
<file path=[Content_Types].xml><?xml version="1.0" encoding="utf-8"?>
<Types xmlns="http://schemas.openxmlformats.org/package/2006/content-types">
  <Default Extension="xml" ContentType="application/xml"/>
  <Default Extension="jpg" ContentType="image/jpeg"/>
  <Default Extension="rels" ContentType="application/vnd.openxmlformats-package.relationships+xml"/>
  <Default Extension="emf" ContentType="image/x-emf"/>
  <Default Extension="xlsx" ContentType="application/vnd.openxmlformats-officedocument.spreadsheetml.sheet"/>
  <Default Extension="png" ContentType="image/png"/>
  <Default Extension="bin" ContentType="application/vnd.openxmlformats-officedocument.oleObjec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7.xml" ContentType="application/vnd.openxmlformats-officedocument.wordprocessingml.footer+xml"/>
  <Override PartName="/word/footer18.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drawings/drawing2.xml" ContentType="application/vnd.openxmlformats-officedocument.drawingml.chartshapes+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rawings/drawing3.xml" ContentType="application/vnd.openxmlformats-officedocument.drawingml.chartshapes+xml"/>
  <Override PartName="/word/charts/chart16.xml" ContentType="application/vnd.openxmlformats-officedocument.drawingml.chart+xml"/>
  <Override PartName="/word/drawings/drawing4.xml" ContentType="application/vnd.openxmlformats-officedocument.drawingml.chartshapes+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A2B121" w14:textId="77777777" w:rsidR="008D0B8B" w:rsidRPr="00532ABB" w:rsidRDefault="008D0B8B" w:rsidP="00D71AB1">
      <w:pPr>
        <w:jc w:val="center"/>
        <w:rPr>
          <w:b/>
          <w:color w:val="548DD4"/>
          <w:sz w:val="20"/>
          <w:szCs w:val="20"/>
        </w:rPr>
      </w:pPr>
    </w:p>
    <w:p w14:paraId="7A720258" w14:textId="77777777" w:rsidR="008D0B8B" w:rsidRPr="00532ABB" w:rsidRDefault="008D0B8B" w:rsidP="00D71AB1">
      <w:pPr>
        <w:rPr>
          <w:b/>
          <w:color w:val="548DD4"/>
          <w:sz w:val="16"/>
          <w:szCs w:val="16"/>
        </w:rPr>
      </w:pPr>
    </w:p>
    <w:p w14:paraId="02D0F57D" w14:textId="77777777" w:rsidR="008D0B8B" w:rsidRPr="00532ABB" w:rsidRDefault="008D0B8B" w:rsidP="00D71AB1">
      <w:pPr>
        <w:jc w:val="center"/>
        <w:rPr>
          <w:b/>
          <w:color w:val="548DD4"/>
          <w:sz w:val="16"/>
          <w:szCs w:val="16"/>
        </w:rPr>
      </w:pPr>
    </w:p>
    <w:p w14:paraId="25667848" w14:textId="77777777" w:rsidR="008D0B8B" w:rsidRPr="00C84F7D" w:rsidRDefault="008D0B8B" w:rsidP="00D71AB1">
      <w:pPr>
        <w:jc w:val="center"/>
        <w:rPr>
          <w:b/>
          <w:color w:val="1F497D" w:themeColor="text2"/>
          <w:sz w:val="16"/>
          <w:szCs w:val="16"/>
        </w:rPr>
      </w:pPr>
    </w:p>
    <w:p w14:paraId="67211AA7" w14:textId="77777777" w:rsidR="008D0B8B" w:rsidRPr="00532ABB" w:rsidRDefault="008D0B8B" w:rsidP="00D71AB1">
      <w:pPr>
        <w:jc w:val="center"/>
        <w:rPr>
          <w:b/>
          <w:color w:val="548DD4"/>
          <w:sz w:val="16"/>
          <w:szCs w:val="16"/>
        </w:rPr>
      </w:pPr>
    </w:p>
    <w:p w14:paraId="7C0867DC" w14:textId="77777777" w:rsidR="008D0B8B" w:rsidRPr="00532ABB" w:rsidRDefault="008D0B8B" w:rsidP="00D71AB1">
      <w:pPr>
        <w:jc w:val="center"/>
        <w:rPr>
          <w:b/>
          <w:color w:val="548DD4"/>
          <w:sz w:val="16"/>
          <w:szCs w:val="16"/>
        </w:rPr>
      </w:pPr>
    </w:p>
    <w:p w14:paraId="6985520A" w14:textId="77777777" w:rsidR="008D0B8B" w:rsidRPr="00532ABB" w:rsidRDefault="008D0B8B" w:rsidP="00D71AB1">
      <w:pPr>
        <w:jc w:val="center"/>
        <w:rPr>
          <w:b/>
          <w:color w:val="548DD4"/>
          <w:sz w:val="16"/>
          <w:szCs w:val="16"/>
        </w:rPr>
      </w:pPr>
    </w:p>
    <w:p w14:paraId="740F6E88" w14:textId="77777777" w:rsidR="00617F79" w:rsidRDefault="00617F79" w:rsidP="003A0814">
      <w:pPr>
        <w:ind w:left="720"/>
        <w:jc w:val="center"/>
        <w:rPr>
          <w:b/>
          <w:color w:val="1F497D" w:themeColor="text2"/>
          <w:sz w:val="48"/>
          <w:szCs w:val="48"/>
        </w:rPr>
      </w:pPr>
    </w:p>
    <w:p w14:paraId="0F1057D6" w14:textId="77777777" w:rsidR="00617F79" w:rsidRDefault="00617F79" w:rsidP="003A0814">
      <w:pPr>
        <w:ind w:left="720"/>
        <w:jc w:val="center"/>
        <w:rPr>
          <w:b/>
          <w:color w:val="1F497D" w:themeColor="text2"/>
          <w:sz w:val="48"/>
          <w:szCs w:val="48"/>
        </w:rPr>
      </w:pPr>
    </w:p>
    <w:p w14:paraId="3AA931DC" w14:textId="60AE37BF" w:rsidR="00C84F7D" w:rsidRPr="003A0814" w:rsidRDefault="00B86778" w:rsidP="003A0814">
      <w:pPr>
        <w:ind w:left="720"/>
        <w:jc w:val="center"/>
        <w:rPr>
          <w:b/>
          <w:color w:val="1F497D" w:themeColor="text2"/>
          <w:sz w:val="48"/>
          <w:szCs w:val="48"/>
        </w:rPr>
      </w:pPr>
      <w:r>
        <w:rPr>
          <w:b/>
          <w:color w:val="1F497D" w:themeColor="text2"/>
          <w:sz w:val="48"/>
          <w:szCs w:val="48"/>
        </w:rPr>
        <w:t>Amendment 41</w:t>
      </w:r>
      <w:r w:rsidR="00C84F7D" w:rsidRPr="003A0814">
        <w:rPr>
          <w:b/>
          <w:color w:val="1F497D" w:themeColor="text2"/>
          <w:sz w:val="48"/>
          <w:szCs w:val="48"/>
        </w:rPr>
        <w:t xml:space="preserve"> to the Fishery Management Plan for the Snapper Grouper Fishery of the South Atlantic Region</w:t>
      </w:r>
    </w:p>
    <w:p w14:paraId="07EA91CD" w14:textId="77777777" w:rsidR="008D0B8B" w:rsidRPr="00532ABB" w:rsidRDefault="008D0B8B" w:rsidP="00D71AB1">
      <w:pPr>
        <w:jc w:val="center"/>
        <w:rPr>
          <w:b/>
          <w:color w:val="548DD4"/>
          <w:sz w:val="16"/>
          <w:szCs w:val="16"/>
        </w:rPr>
      </w:pPr>
    </w:p>
    <w:p w14:paraId="4CE826E2" w14:textId="77777777" w:rsidR="008D0B8B" w:rsidRPr="00532ABB" w:rsidRDefault="008D0B8B" w:rsidP="00D71AB1">
      <w:pPr>
        <w:jc w:val="center"/>
        <w:rPr>
          <w:b/>
          <w:color w:val="548DD4"/>
          <w:sz w:val="16"/>
          <w:szCs w:val="16"/>
        </w:rPr>
      </w:pPr>
    </w:p>
    <w:p w14:paraId="01289BE6" w14:textId="77777777" w:rsidR="008D0B8B" w:rsidRPr="00532ABB" w:rsidRDefault="008D0B8B" w:rsidP="00D71AB1">
      <w:pPr>
        <w:jc w:val="center"/>
        <w:rPr>
          <w:b/>
          <w:color w:val="548DD4"/>
          <w:sz w:val="16"/>
          <w:szCs w:val="16"/>
        </w:rPr>
      </w:pPr>
    </w:p>
    <w:p w14:paraId="0DF17A55" w14:textId="267FC3C8" w:rsidR="008D0B8B" w:rsidRDefault="008D0B8B" w:rsidP="000915D2">
      <w:pPr>
        <w:jc w:val="center"/>
        <w:rPr>
          <w:b/>
          <w:noProof/>
          <w:color w:val="548DD4"/>
          <w:sz w:val="16"/>
          <w:szCs w:val="16"/>
        </w:rPr>
      </w:pPr>
    </w:p>
    <w:p w14:paraId="0E869498" w14:textId="77777777" w:rsidR="004E0ABB" w:rsidRDefault="004E0ABB" w:rsidP="000915D2">
      <w:pPr>
        <w:jc w:val="center"/>
        <w:rPr>
          <w:b/>
          <w:noProof/>
          <w:color w:val="548DD4"/>
          <w:sz w:val="16"/>
          <w:szCs w:val="16"/>
        </w:rPr>
      </w:pPr>
    </w:p>
    <w:p w14:paraId="488C106E" w14:textId="77777777" w:rsidR="004E0ABB" w:rsidRDefault="004E0ABB" w:rsidP="000915D2">
      <w:pPr>
        <w:jc w:val="center"/>
        <w:rPr>
          <w:b/>
          <w:noProof/>
          <w:color w:val="548DD4"/>
          <w:sz w:val="16"/>
          <w:szCs w:val="16"/>
        </w:rPr>
      </w:pPr>
    </w:p>
    <w:p w14:paraId="405F38AF" w14:textId="77777777" w:rsidR="004E0ABB" w:rsidRDefault="004E0ABB" w:rsidP="000915D2">
      <w:pPr>
        <w:jc w:val="center"/>
        <w:rPr>
          <w:b/>
          <w:noProof/>
          <w:color w:val="548DD4"/>
          <w:sz w:val="16"/>
          <w:szCs w:val="16"/>
        </w:rPr>
      </w:pPr>
    </w:p>
    <w:p w14:paraId="200E5A8F" w14:textId="77777777" w:rsidR="004E0ABB" w:rsidRDefault="004E0ABB" w:rsidP="000915D2">
      <w:pPr>
        <w:jc w:val="center"/>
        <w:rPr>
          <w:b/>
          <w:noProof/>
          <w:color w:val="548DD4"/>
          <w:sz w:val="16"/>
          <w:szCs w:val="16"/>
        </w:rPr>
      </w:pPr>
    </w:p>
    <w:p w14:paraId="61B4D047" w14:textId="77777777" w:rsidR="004E0ABB" w:rsidRDefault="004E0ABB" w:rsidP="000915D2">
      <w:pPr>
        <w:jc w:val="center"/>
        <w:rPr>
          <w:b/>
          <w:noProof/>
          <w:color w:val="548DD4"/>
          <w:sz w:val="16"/>
          <w:szCs w:val="16"/>
        </w:rPr>
      </w:pPr>
    </w:p>
    <w:p w14:paraId="70A713B3" w14:textId="77777777" w:rsidR="004E0ABB" w:rsidRDefault="004E0ABB" w:rsidP="000915D2">
      <w:pPr>
        <w:jc w:val="center"/>
        <w:rPr>
          <w:b/>
          <w:noProof/>
          <w:color w:val="548DD4"/>
          <w:sz w:val="16"/>
          <w:szCs w:val="16"/>
        </w:rPr>
      </w:pPr>
    </w:p>
    <w:p w14:paraId="0C9580D2" w14:textId="0140E3A1" w:rsidR="004E0ABB" w:rsidRDefault="00617F79" w:rsidP="00FC0B9F">
      <w:pPr>
        <w:jc w:val="center"/>
        <w:rPr>
          <w:b/>
          <w:noProof/>
          <w:color w:val="548DD4"/>
          <w:sz w:val="16"/>
          <w:szCs w:val="16"/>
        </w:rPr>
      </w:pPr>
      <w:r>
        <w:rPr>
          <w:b/>
          <w:noProof/>
          <w:color w:val="548DD4"/>
          <w:sz w:val="16"/>
          <w:szCs w:val="16"/>
        </w:rPr>
        <w:drawing>
          <wp:inline distT="0" distB="0" distL="0" distR="0" wp14:anchorId="647B4E4D" wp14:editId="32A160E8">
            <wp:extent cx="4900846" cy="2331559"/>
            <wp:effectExtent l="0" t="0" r="190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tton Snapper copy.jpg"/>
                    <pic:cNvPicPr/>
                  </pic:nvPicPr>
                  <pic:blipFill>
                    <a:blip r:embed="rId12">
                      <a:extLst>
                        <a:ext uri="{28A0092B-C50C-407E-A947-70E740481C1C}">
                          <a14:useLocalDpi xmlns:a14="http://schemas.microsoft.com/office/drawing/2010/main" val="0"/>
                        </a:ext>
                      </a:extLst>
                    </a:blip>
                    <a:stretch>
                      <a:fillRect/>
                    </a:stretch>
                  </pic:blipFill>
                  <pic:spPr>
                    <a:xfrm>
                      <a:off x="0" y="0"/>
                      <a:ext cx="4900846" cy="2331559"/>
                    </a:xfrm>
                    <a:prstGeom prst="rect">
                      <a:avLst/>
                    </a:prstGeom>
                  </pic:spPr>
                </pic:pic>
              </a:graphicData>
            </a:graphic>
          </wp:inline>
        </w:drawing>
      </w:r>
    </w:p>
    <w:p w14:paraId="7C96F837" w14:textId="77777777" w:rsidR="003A0814" w:rsidRDefault="003A0814" w:rsidP="003A0814">
      <w:pPr>
        <w:rPr>
          <w:b/>
          <w:sz w:val="40"/>
          <w:szCs w:val="40"/>
        </w:rPr>
      </w:pPr>
    </w:p>
    <w:p w14:paraId="46BD5AB7" w14:textId="51ABEC09" w:rsidR="006F3985" w:rsidRDefault="00A82CA4" w:rsidP="003A0814">
      <w:pPr>
        <w:ind w:left="720" w:right="864"/>
        <w:jc w:val="center"/>
        <w:rPr>
          <w:b/>
          <w:sz w:val="40"/>
          <w:szCs w:val="40"/>
        </w:rPr>
      </w:pPr>
      <w:r>
        <w:rPr>
          <w:b/>
          <w:sz w:val="40"/>
          <w:szCs w:val="40"/>
        </w:rPr>
        <w:t>November 10</w:t>
      </w:r>
      <w:r w:rsidR="00922E4D">
        <w:rPr>
          <w:b/>
          <w:sz w:val="40"/>
          <w:szCs w:val="40"/>
        </w:rPr>
        <w:t>, 2016</w:t>
      </w:r>
    </w:p>
    <w:p w14:paraId="694E02F5" w14:textId="77777777" w:rsidR="001C1569" w:rsidRDefault="001C1569" w:rsidP="00D71AB1">
      <w:pPr>
        <w:jc w:val="center"/>
        <w:rPr>
          <w:b/>
          <w:sz w:val="40"/>
          <w:szCs w:val="40"/>
        </w:rPr>
      </w:pPr>
    </w:p>
    <w:p w14:paraId="3169368C" w14:textId="77777777" w:rsidR="00FC0B9F" w:rsidRDefault="00FC0B9F" w:rsidP="00D71AB1">
      <w:pPr>
        <w:jc w:val="center"/>
        <w:rPr>
          <w:b/>
          <w:sz w:val="40"/>
          <w:szCs w:val="40"/>
        </w:rPr>
      </w:pPr>
    </w:p>
    <w:p w14:paraId="2C5E6AA5" w14:textId="77777777" w:rsidR="00FC0B9F" w:rsidRPr="00DE2D1A" w:rsidRDefault="00FC0B9F" w:rsidP="00D71AB1">
      <w:pPr>
        <w:jc w:val="center"/>
        <w:rPr>
          <w:b/>
          <w:sz w:val="40"/>
          <w:szCs w:val="40"/>
        </w:rPr>
      </w:pPr>
    </w:p>
    <w:p w14:paraId="70D46118" w14:textId="77777777" w:rsidR="008D0B8B" w:rsidRPr="00532ABB" w:rsidRDefault="008D0B8B" w:rsidP="00D71AB1">
      <w:pPr>
        <w:rPr>
          <w:sz w:val="16"/>
          <w:szCs w:val="16"/>
        </w:rPr>
      </w:pPr>
    </w:p>
    <w:p w14:paraId="1E9DCBBC" w14:textId="77777777" w:rsidR="008D0B8B" w:rsidRPr="00532ABB" w:rsidRDefault="003A0814" w:rsidP="003A0814">
      <w:pPr>
        <w:ind w:left="720" w:right="864"/>
        <w:jc w:val="center"/>
      </w:pPr>
      <w:r w:rsidRPr="00532ABB">
        <w:rPr>
          <w:noProof/>
        </w:rPr>
        <w:drawing>
          <wp:inline distT="0" distB="0" distL="0" distR="0" wp14:anchorId="7BF1C8C1" wp14:editId="05AF83AF">
            <wp:extent cx="927100" cy="927100"/>
            <wp:effectExtent l="19050" t="0" r="6350" b="0"/>
            <wp:docPr id="1" name="Picture 1" descr="Fishery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hery logo color"/>
                    <pic:cNvPicPr>
                      <a:picLocks noChangeAspect="1" noChangeArrowheads="1"/>
                    </pic:cNvPicPr>
                  </pic:nvPicPr>
                  <pic:blipFill>
                    <a:blip r:embed="rId13"/>
                    <a:srcRect/>
                    <a:stretch>
                      <a:fillRect/>
                    </a:stretch>
                  </pic:blipFill>
                  <pic:spPr bwMode="auto">
                    <a:xfrm>
                      <a:off x="0" y="0"/>
                      <a:ext cx="927100" cy="927100"/>
                    </a:xfrm>
                    <a:prstGeom prst="rect">
                      <a:avLst/>
                    </a:prstGeom>
                    <a:noFill/>
                    <a:ln w="9525">
                      <a:noFill/>
                      <a:miter lim="800000"/>
                      <a:headEnd/>
                      <a:tailEnd/>
                    </a:ln>
                  </pic:spPr>
                </pic:pic>
              </a:graphicData>
            </a:graphic>
          </wp:inline>
        </w:drawing>
      </w:r>
      <w:r w:rsidRPr="00532ABB">
        <w:rPr>
          <w:noProof/>
        </w:rPr>
        <w:drawing>
          <wp:inline distT="0" distB="0" distL="0" distR="0" wp14:anchorId="395B95E2" wp14:editId="0991D99E">
            <wp:extent cx="927100" cy="946150"/>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927100" cy="946150"/>
                    </a:xfrm>
                    <a:prstGeom prst="rect">
                      <a:avLst/>
                    </a:prstGeom>
                    <a:noFill/>
                    <a:ln w="9525">
                      <a:noFill/>
                      <a:miter lim="800000"/>
                      <a:headEnd/>
                      <a:tailEnd/>
                    </a:ln>
                  </pic:spPr>
                </pic:pic>
              </a:graphicData>
            </a:graphic>
          </wp:inline>
        </w:drawing>
      </w:r>
    </w:p>
    <w:p w14:paraId="269DA212" w14:textId="77777777" w:rsidR="008D0B8B" w:rsidRPr="00532ABB" w:rsidRDefault="008D0B8B" w:rsidP="00D71AB1"/>
    <w:p w14:paraId="085F5DEA" w14:textId="77777777" w:rsidR="00786FDD" w:rsidRPr="00532ABB" w:rsidRDefault="008D0B8B" w:rsidP="003A0814">
      <w:pPr>
        <w:ind w:left="720" w:right="864"/>
        <w:jc w:val="center"/>
        <w:rPr>
          <w:b/>
          <w:sz w:val="18"/>
          <w:szCs w:val="18"/>
        </w:rPr>
      </w:pPr>
      <w:r w:rsidRPr="00532ABB">
        <w:rPr>
          <w:b/>
          <w:sz w:val="18"/>
          <w:szCs w:val="18"/>
        </w:rPr>
        <w:t>Envi</w:t>
      </w:r>
      <w:r w:rsidR="00686D4F" w:rsidRPr="00532ABB">
        <w:rPr>
          <w:b/>
          <w:sz w:val="18"/>
          <w:szCs w:val="18"/>
        </w:rPr>
        <w:t xml:space="preserve">ronmental </w:t>
      </w:r>
      <w:r w:rsidR="008C55E6">
        <w:rPr>
          <w:b/>
          <w:sz w:val="18"/>
          <w:szCs w:val="18"/>
        </w:rPr>
        <w:t>Assessment</w:t>
      </w:r>
      <w:r w:rsidR="00A14753">
        <w:rPr>
          <w:b/>
          <w:sz w:val="18"/>
          <w:szCs w:val="18"/>
        </w:rPr>
        <w:t xml:space="preserve"> </w:t>
      </w:r>
      <w:r w:rsidR="00686D4F" w:rsidRPr="00532ABB">
        <w:rPr>
          <w:b/>
          <w:sz w:val="18"/>
          <w:szCs w:val="18"/>
        </w:rPr>
        <w:t xml:space="preserve">    </w:t>
      </w:r>
      <w:r w:rsidR="004C6A74">
        <w:rPr>
          <w:b/>
          <w:sz w:val="18"/>
          <w:szCs w:val="18"/>
        </w:rPr>
        <w:t xml:space="preserve">   </w:t>
      </w:r>
      <w:r w:rsidRPr="00532ABB">
        <w:rPr>
          <w:b/>
          <w:sz w:val="18"/>
          <w:szCs w:val="18"/>
        </w:rPr>
        <w:t xml:space="preserve">Regulatory Impact Review  </w:t>
      </w:r>
      <w:r w:rsidR="003330A9" w:rsidRPr="00532ABB">
        <w:rPr>
          <w:b/>
          <w:sz w:val="18"/>
          <w:szCs w:val="18"/>
        </w:rPr>
        <w:t xml:space="preserve"> </w:t>
      </w:r>
      <w:r w:rsidR="004C6A74">
        <w:rPr>
          <w:b/>
          <w:sz w:val="18"/>
          <w:szCs w:val="18"/>
        </w:rPr>
        <w:t xml:space="preserve">   </w:t>
      </w:r>
      <w:r w:rsidR="00A40C38">
        <w:rPr>
          <w:b/>
          <w:sz w:val="18"/>
          <w:szCs w:val="18"/>
        </w:rPr>
        <w:t xml:space="preserve">Regulatory Flexibility Analysis </w:t>
      </w:r>
      <w:r w:rsidR="00A14753">
        <w:rPr>
          <w:b/>
          <w:sz w:val="18"/>
          <w:szCs w:val="18"/>
        </w:rPr>
        <w:t xml:space="preserve"> </w:t>
      </w:r>
      <w:r w:rsidR="003330A9" w:rsidRPr="00532ABB">
        <w:rPr>
          <w:b/>
          <w:sz w:val="18"/>
          <w:szCs w:val="18"/>
        </w:rPr>
        <w:t xml:space="preserve"> </w:t>
      </w:r>
      <w:r w:rsidR="00A14753">
        <w:rPr>
          <w:b/>
          <w:sz w:val="18"/>
          <w:szCs w:val="18"/>
        </w:rPr>
        <w:t xml:space="preserve">  Fishery Impact Statement</w:t>
      </w:r>
    </w:p>
    <w:p w14:paraId="4DA29786" w14:textId="3E72CC79" w:rsidR="008D0B8B" w:rsidRPr="00532ABB" w:rsidRDefault="00786FDD" w:rsidP="003A0814">
      <w:pPr>
        <w:ind w:left="720" w:right="864"/>
        <w:jc w:val="center"/>
        <w:rPr>
          <w:b/>
          <w:sz w:val="18"/>
          <w:szCs w:val="18"/>
        </w:rPr>
      </w:pPr>
      <w:r w:rsidRPr="00532ABB">
        <w:rPr>
          <w:b/>
          <w:sz w:val="18"/>
          <w:szCs w:val="18"/>
        </w:rPr>
        <w:t xml:space="preserve">A publication of the South Atlantic Fishery Management Council pursuant to National Oceanic and Atmospheric Administration Award Number </w:t>
      </w:r>
      <w:r w:rsidR="00EB1832" w:rsidRPr="00EB1832">
        <w:rPr>
          <w:b/>
          <w:sz w:val="18"/>
          <w:szCs w:val="18"/>
        </w:rPr>
        <w:t>FNA15NMF4410010</w:t>
      </w:r>
    </w:p>
    <w:p w14:paraId="719BCE63" w14:textId="77777777" w:rsidR="008D0B8B" w:rsidRPr="00532ABB" w:rsidRDefault="008D0B8B" w:rsidP="00D71AB1">
      <w:pPr>
        <w:rPr>
          <w:b/>
          <w:sz w:val="18"/>
          <w:szCs w:val="18"/>
        </w:rPr>
        <w:sectPr w:rsidR="008D0B8B" w:rsidRPr="00532ABB" w:rsidSect="0038545E">
          <w:footerReference w:type="even" r:id="rId15"/>
          <w:footerReference w:type="first" r:id="rId16"/>
          <w:type w:val="nextColumn"/>
          <w:pgSz w:w="12240" w:h="15840" w:code="1"/>
          <w:pgMar w:top="288" w:right="288" w:bottom="288" w:left="288" w:header="720" w:footer="720" w:gutter="0"/>
          <w:cols w:space="720"/>
          <w:docGrid w:linePitch="360"/>
        </w:sectPr>
      </w:pPr>
    </w:p>
    <w:p w14:paraId="01499C96" w14:textId="77777777" w:rsidR="008D0B8B" w:rsidRPr="00532ABB" w:rsidRDefault="008D0B8B" w:rsidP="00D71AB1">
      <w:pPr>
        <w:jc w:val="center"/>
        <w:rPr>
          <w:b/>
          <w:sz w:val="36"/>
          <w:szCs w:val="36"/>
        </w:rPr>
      </w:pPr>
      <w:r w:rsidRPr="00532ABB">
        <w:rPr>
          <w:b/>
          <w:sz w:val="36"/>
          <w:szCs w:val="36"/>
        </w:rPr>
        <w:lastRenderedPageBreak/>
        <w:t>Abbreviations and Acronyms Used in the FMP</w:t>
      </w:r>
    </w:p>
    <w:p w14:paraId="0008DA46" w14:textId="77777777" w:rsidR="008D0B8B" w:rsidRPr="00532ABB" w:rsidRDefault="008D0B8B" w:rsidP="00D71AB1">
      <w:pPr>
        <w:jc w:val="center"/>
        <w:rPr>
          <w:b/>
          <w:sz w:val="16"/>
          <w:szCs w:val="16"/>
        </w:rPr>
      </w:pPr>
    </w:p>
    <w:p w14:paraId="6EAA503F" w14:textId="77777777" w:rsidR="008D0B8B" w:rsidRPr="00532ABB" w:rsidRDefault="008D0B8B" w:rsidP="00D71AB1">
      <w:pPr>
        <w:rPr>
          <w:b/>
          <w:sz w:val="16"/>
          <w:szCs w:val="16"/>
        </w:rPr>
      </w:pPr>
    </w:p>
    <w:p w14:paraId="16D57BA8" w14:textId="77777777" w:rsidR="008D0B8B" w:rsidRPr="00532ABB" w:rsidRDefault="008D0B8B" w:rsidP="00D71AB1">
      <w:pPr>
        <w:rPr>
          <w:b/>
          <w:sz w:val="16"/>
          <w:szCs w:val="16"/>
        </w:rPr>
        <w:sectPr w:rsidR="008D0B8B" w:rsidRPr="00532ABB" w:rsidSect="0038545E">
          <w:footerReference w:type="default" r:id="rId17"/>
          <w:pgSz w:w="12240" w:h="15840"/>
          <w:pgMar w:top="1440" w:right="1800" w:bottom="1440" w:left="1800" w:header="720" w:footer="720" w:gutter="0"/>
          <w:pgNumType w:fmt="upperRoman" w:start="1"/>
          <w:cols w:space="720"/>
          <w:docGrid w:linePitch="360"/>
        </w:sectPr>
      </w:pPr>
    </w:p>
    <w:p w14:paraId="16F5A5B0" w14:textId="77777777" w:rsidR="008D0B8B" w:rsidRPr="00532ABB" w:rsidRDefault="008D0B8B" w:rsidP="00D71AB1">
      <w:pPr>
        <w:ind w:left="1170" w:hanging="1170"/>
        <w:rPr>
          <w:sz w:val="20"/>
          <w:szCs w:val="20"/>
        </w:rPr>
      </w:pPr>
      <w:r w:rsidRPr="00532ABB">
        <w:rPr>
          <w:b/>
          <w:sz w:val="20"/>
          <w:szCs w:val="20"/>
        </w:rPr>
        <w:lastRenderedPageBreak/>
        <w:t>ABC</w:t>
      </w:r>
      <w:r w:rsidRPr="00532ABB">
        <w:rPr>
          <w:b/>
          <w:sz w:val="20"/>
          <w:szCs w:val="20"/>
        </w:rPr>
        <w:tab/>
      </w:r>
      <w:r w:rsidRPr="00532ABB">
        <w:rPr>
          <w:sz w:val="20"/>
          <w:szCs w:val="20"/>
        </w:rPr>
        <w:t>acceptable biological catch</w:t>
      </w:r>
    </w:p>
    <w:p w14:paraId="68E2199E" w14:textId="77777777" w:rsidR="008D0B8B" w:rsidRPr="00532ABB" w:rsidRDefault="008D0B8B" w:rsidP="00D71AB1">
      <w:pPr>
        <w:ind w:left="1170" w:hanging="1170"/>
        <w:rPr>
          <w:sz w:val="20"/>
          <w:szCs w:val="20"/>
        </w:rPr>
      </w:pPr>
    </w:p>
    <w:p w14:paraId="44FDA395" w14:textId="77777777" w:rsidR="008D0B8B" w:rsidRPr="00532ABB" w:rsidRDefault="008D0B8B" w:rsidP="00D71AB1">
      <w:pPr>
        <w:ind w:left="1170" w:hanging="1170"/>
        <w:rPr>
          <w:sz w:val="20"/>
          <w:szCs w:val="20"/>
        </w:rPr>
      </w:pPr>
      <w:r w:rsidRPr="00532ABB">
        <w:rPr>
          <w:b/>
          <w:sz w:val="20"/>
          <w:szCs w:val="20"/>
        </w:rPr>
        <w:t>ACL</w:t>
      </w:r>
      <w:r w:rsidRPr="00532ABB">
        <w:rPr>
          <w:sz w:val="20"/>
          <w:szCs w:val="20"/>
        </w:rPr>
        <w:tab/>
        <w:t>annual catch limits</w:t>
      </w:r>
    </w:p>
    <w:p w14:paraId="51795528" w14:textId="77777777" w:rsidR="008D0B8B" w:rsidRPr="00532ABB" w:rsidRDefault="008D0B8B" w:rsidP="00D71AB1">
      <w:pPr>
        <w:ind w:left="1170" w:hanging="1170"/>
        <w:rPr>
          <w:sz w:val="20"/>
          <w:szCs w:val="20"/>
        </w:rPr>
      </w:pPr>
    </w:p>
    <w:p w14:paraId="36C4CB0E" w14:textId="77777777" w:rsidR="008D0B8B" w:rsidRPr="00532ABB" w:rsidRDefault="008D0B8B" w:rsidP="00D71AB1">
      <w:pPr>
        <w:ind w:left="1170" w:hanging="1170"/>
        <w:rPr>
          <w:sz w:val="20"/>
          <w:szCs w:val="20"/>
        </w:rPr>
      </w:pPr>
      <w:r w:rsidRPr="00532ABB">
        <w:rPr>
          <w:b/>
          <w:sz w:val="20"/>
          <w:szCs w:val="20"/>
        </w:rPr>
        <w:t>AM</w:t>
      </w:r>
      <w:r w:rsidRPr="00532ABB">
        <w:rPr>
          <w:sz w:val="20"/>
          <w:szCs w:val="20"/>
        </w:rPr>
        <w:tab/>
        <w:t>accountability measures</w:t>
      </w:r>
    </w:p>
    <w:p w14:paraId="36AEA4AA" w14:textId="77777777" w:rsidR="008D0B8B" w:rsidRPr="00532ABB" w:rsidRDefault="008D0B8B" w:rsidP="00D71AB1">
      <w:pPr>
        <w:ind w:left="1170" w:hanging="1170"/>
        <w:rPr>
          <w:sz w:val="20"/>
          <w:szCs w:val="20"/>
        </w:rPr>
      </w:pPr>
    </w:p>
    <w:p w14:paraId="64EFD9A9" w14:textId="77777777" w:rsidR="008D0B8B" w:rsidRPr="00532ABB" w:rsidRDefault="008D0B8B" w:rsidP="00D71AB1">
      <w:pPr>
        <w:ind w:left="1170" w:hanging="1170"/>
        <w:rPr>
          <w:sz w:val="20"/>
          <w:szCs w:val="20"/>
        </w:rPr>
      </w:pPr>
      <w:r w:rsidRPr="00532ABB">
        <w:rPr>
          <w:b/>
          <w:sz w:val="20"/>
          <w:szCs w:val="20"/>
        </w:rPr>
        <w:t>ACT</w:t>
      </w:r>
      <w:r w:rsidRPr="00532ABB">
        <w:rPr>
          <w:sz w:val="20"/>
          <w:szCs w:val="20"/>
        </w:rPr>
        <w:tab/>
        <w:t>annual catch target</w:t>
      </w:r>
    </w:p>
    <w:p w14:paraId="607E024F" w14:textId="77777777" w:rsidR="008D0B8B" w:rsidRPr="00532ABB" w:rsidRDefault="008D0B8B" w:rsidP="00D71AB1">
      <w:pPr>
        <w:ind w:left="1170" w:hanging="1170"/>
        <w:rPr>
          <w:sz w:val="20"/>
          <w:szCs w:val="20"/>
        </w:rPr>
      </w:pPr>
    </w:p>
    <w:p w14:paraId="5D2B6957"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B</w:t>
      </w:r>
      <w:r w:rsidRPr="00532ABB">
        <w:rPr>
          <w:sz w:val="20"/>
          <w:szCs w:val="20"/>
        </w:rPr>
        <w:tab/>
      </w:r>
      <w:r w:rsidRPr="00532ABB">
        <w:rPr>
          <w:sz w:val="20"/>
          <w:szCs w:val="20"/>
        </w:rPr>
        <w:tab/>
        <w:t>a measure of stock biomass in either weight or other appropriate unit</w:t>
      </w:r>
    </w:p>
    <w:p w14:paraId="657503DF"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552276F9"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B</w:t>
      </w:r>
      <w:r w:rsidRPr="00532ABB">
        <w:rPr>
          <w:b/>
          <w:sz w:val="20"/>
          <w:szCs w:val="20"/>
          <w:vertAlign w:val="subscript"/>
        </w:rPr>
        <w:t>MSY</w:t>
      </w:r>
      <w:r w:rsidRPr="00532ABB">
        <w:rPr>
          <w:sz w:val="20"/>
          <w:szCs w:val="20"/>
        </w:rPr>
        <w:tab/>
      </w:r>
      <w:r w:rsidRPr="00532ABB">
        <w:rPr>
          <w:sz w:val="20"/>
          <w:szCs w:val="20"/>
        </w:rPr>
        <w:tab/>
        <w:t>the stock biomass expected to exist under equilibrium conditions when fishing at F</w:t>
      </w:r>
      <w:r w:rsidRPr="00532ABB">
        <w:rPr>
          <w:sz w:val="20"/>
          <w:szCs w:val="20"/>
          <w:vertAlign w:val="subscript"/>
        </w:rPr>
        <w:t>MSY</w:t>
      </w:r>
    </w:p>
    <w:p w14:paraId="263B1D0E"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44D65975"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vertAlign w:val="subscript"/>
        </w:rPr>
      </w:pPr>
      <w:r w:rsidRPr="00532ABB">
        <w:rPr>
          <w:b/>
          <w:sz w:val="20"/>
          <w:szCs w:val="20"/>
        </w:rPr>
        <w:t>B</w:t>
      </w:r>
      <w:r w:rsidRPr="00532ABB">
        <w:rPr>
          <w:b/>
          <w:sz w:val="20"/>
          <w:szCs w:val="20"/>
          <w:vertAlign w:val="subscript"/>
        </w:rPr>
        <w:t>OY</w:t>
      </w:r>
      <w:r w:rsidRPr="00532ABB">
        <w:rPr>
          <w:sz w:val="20"/>
          <w:szCs w:val="20"/>
        </w:rPr>
        <w:tab/>
      </w:r>
      <w:r w:rsidRPr="00532ABB">
        <w:rPr>
          <w:sz w:val="20"/>
          <w:szCs w:val="20"/>
        </w:rPr>
        <w:tab/>
        <w:t>the stock biomass expected to exist under equilibrium conditions when fishing at F</w:t>
      </w:r>
      <w:r w:rsidRPr="00532ABB">
        <w:rPr>
          <w:sz w:val="20"/>
          <w:szCs w:val="20"/>
          <w:vertAlign w:val="subscript"/>
        </w:rPr>
        <w:t>OY</w:t>
      </w:r>
    </w:p>
    <w:p w14:paraId="6E32C042"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2C068D41" w14:textId="558E4B8F"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B</w:t>
      </w:r>
      <w:r w:rsidRPr="00532ABB">
        <w:rPr>
          <w:b/>
          <w:sz w:val="20"/>
          <w:szCs w:val="20"/>
          <w:vertAlign w:val="subscript"/>
        </w:rPr>
        <w:t>CURR</w:t>
      </w:r>
      <w:r w:rsidRPr="00532ABB">
        <w:rPr>
          <w:sz w:val="20"/>
          <w:szCs w:val="20"/>
        </w:rPr>
        <w:tab/>
      </w:r>
      <w:r w:rsidRPr="00532ABB">
        <w:rPr>
          <w:sz w:val="20"/>
          <w:szCs w:val="20"/>
        </w:rPr>
        <w:tab/>
      </w:r>
      <w:r w:rsidR="00EC458B">
        <w:rPr>
          <w:sz w:val="20"/>
          <w:szCs w:val="20"/>
        </w:rPr>
        <w:t>t</w:t>
      </w:r>
      <w:r w:rsidRPr="00532ABB">
        <w:rPr>
          <w:sz w:val="20"/>
          <w:szCs w:val="20"/>
        </w:rPr>
        <w:t>he current stock biomass</w:t>
      </w:r>
    </w:p>
    <w:p w14:paraId="1265B209"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626BB851"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598AEC57"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CPUE</w:t>
      </w:r>
      <w:r w:rsidRPr="00532ABB">
        <w:rPr>
          <w:b/>
          <w:sz w:val="20"/>
          <w:szCs w:val="20"/>
        </w:rPr>
        <w:tab/>
      </w:r>
      <w:r w:rsidRPr="00532ABB">
        <w:rPr>
          <w:sz w:val="20"/>
          <w:szCs w:val="20"/>
        </w:rPr>
        <w:tab/>
        <w:t>catch per unit effort</w:t>
      </w:r>
    </w:p>
    <w:p w14:paraId="4199BB8B"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41BC9997"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DEIS</w:t>
      </w:r>
      <w:r w:rsidRPr="00532ABB">
        <w:rPr>
          <w:sz w:val="20"/>
          <w:szCs w:val="20"/>
        </w:rPr>
        <w:tab/>
      </w:r>
      <w:r w:rsidRPr="00532ABB">
        <w:rPr>
          <w:sz w:val="20"/>
          <w:szCs w:val="20"/>
        </w:rPr>
        <w:tab/>
        <w:t>draft environmental impact statement</w:t>
      </w:r>
    </w:p>
    <w:p w14:paraId="7B5D0461"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3A7DE4DD"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EA</w:t>
      </w:r>
      <w:r w:rsidRPr="00532ABB">
        <w:rPr>
          <w:sz w:val="20"/>
          <w:szCs w:val="20"/>
        </w:rPr>
        <w:tab/>
      </w:r>
      <w:r w:rsidRPr="00532ABB">
        <w:rPr>
          <w:sz w:val="20"/>
          <w:szCs w:val="20"/>
        </w:rPr>
        <w:tab/>
        <w:t>environmental assessment</w:t>
      </w:r>
    </w:p>
    <w:p w14:paraId="0AC1D438"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48F72B54"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EEZ</w:t>
      </w:r>
      <w:r w:rsidRPr="00532ABB">
        <w:rPr>
          <w:sz w:val="20"/>
          <w:szCs w:val="20"/>
        </w:rPr>
        <w:tab/>
      </w:r>
      <w:r w:rsidRPr="00532ABB">
        <w:rPr>
          <w:sz w:val="20"/>
          <w:szCs w:val="20"/>
        </w:rPr>
        <w:tab/>
        <w:t>exclusive economic zone</w:t>
      </w:r>
    </w:p>
    <w:p w14:paraId="4D461E31"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16010E20"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EFH</w:t>
      </w:r>
      <w:r w:rsidRPr="00532ABB">
        <w:rPr>
          <w:sz w:val="20"/>
          <w:szCs w:val="20"/>
        </w:rPr>
        <w:tab/>
      </w:r>
      <w:r w:rsidRPr="00532ABB">
        <w:rPr>
          <w:sz w:val="20"/>
          <w:szCs w:val="20"/>
        </w:rPr>
        <w:tab/>
        <w:t>essential fish habitat</w:t>
      </w:r>
    </w:p>
    <w:p w14:paraId="4187B0AD"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0D91A887"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F</w:t>
      </w:r>
      <w:r w:rsidRPr="00532ABB">
        <w:rPr>
          <w:sz w:val="20"/>
          <w:szCs w:val="20"/>
        </w:rPr>
        <w:tab/>
      </w:r>
      <w:r w:rsidRPr="00532ABB">
        <w:rPr>
          <w:sz w:val="20"/>
          <w:szCs w:val="20"/>
        </w:rPr>
        <w:tab/>
        <w:t>a measure of the instantaneous rate of fishing mortality</w:t>
      </w:r>
    </w:p>
    <w:p w14:paraId="27FB080E"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6470BFB9" w14:textId="77777777" w:rsidR="008D0B8B" w:rsidRPr="00532ABB" w:rsidRDefault="008D0B8B" w:rsidP="00D71AB1">
      <w:pPr>
        <w:ind w:left="1170" w:hanging="1170"/>
        <w:rPr>
          <w:sz w:val="20"/>
          <w:szCs w:val="20"/>
        </w:rPr>
      </w:pPr>
      <w:r w:rsidRPr="00532ABB">
        <w:rPr>
          <w:b/>
          <w:sz w:val="20"/>
          <w:szCs w:val="20"/>
        </w:rPr>
        <w:t>F</w:t>
      </w:r>
      <w:r w:rsidRPr="00532ABB">
        <w:rPr>
          <w:b/>
          <w:sz w:val="20"/>
          <w:szCs w:val="20"/>
          <w:vertAlign w:val="subscript"/>
        </w:rPr>
        <w:t>30%SPR</w:t>
      </w:r>
      <w:r w:rsidRPr="00532ABB">
        <w:rPr>
          <w:b/>
          <w:bCs/>
          <w:sz w:val="20"/>
          <w:szCs w:val="20"/>
        </w:rPr>
        <w:tab/>
      </w:r>
      <w:r w:rsidRPr="00532ABB">
        <w:rPr>
          <w:sz w:val="20"/>
          <w:szCs w:val="20"/>
        </w:rPr>
        <w:t>fishing mortality that will produce a static SPR = 30%</w:t>
      </w:r>
    </w:p>
    <w:p w14:paraId="547816B7" w14:textId="77777777" w:rsidR="008D0B8B" w:rsidRPr="00532ABB" w:rsidRDefault="008D0B8B" w:rsidP="00D71AB1">
      <w:pPr>
        <w:ind w:left="1170" w:hanging="1170"/>
        <w:rPr>
          <w:sz w:val="20"/>
          <w:szCs w:val="20"/>
        </w:rPr>
      </w:pPr>
    </w:p>
    <w:p w14:paraId="1E0C43A6"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F</w:t>
      </w:r>
      <w:r w:rsidRPr="00532ABB">
        <w:rPr>
          <w:b/>
          <w:sz w:val="20"/>
          <w:szCs w:val="20"/>
          <w:vertAlign w:val="subscript"/>
        </w:rPr>
        <w:t>CURR</w:t>
      </w:r>
      <w:r w:rsidRPr="00532ABB">
        <w:rPr>
          <w:b/>
          <w:sz w:val="20"/>
          <w:szCs w:val="20"/>
        </w:rPr>
        <w:tab/>
      </w:r>
      <w:r w:rsidRPr="00532ABB">
        <w:rPr>
          <w:sz w:val="20"/>
          <w:szCs w:val="20"/>
        </w:rPr>
        <w:tab/>
        <w:t>the current instantaneous rate of fishing mortality</w:t>
      </w:r>
    </w:p>
    <w:p w14:paraId="578BF0A0"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2E9B023E" w14:textId="77777777" w:rsidR="008D0B8B" w:rsidRPr="00532ABB" w:rsidRDefault="008D0B8B" w:rsidP="00D71AB1">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F</w:t>
      </w:r>
      <w:r w:rsidRPr="00532ABB">
        <w:rPr>
          <w:b/>
          <w:sz w:val="20"/>
          <w:szCs w:val="20"/>
          <w:vertAlign w:val="subscript"/>
        </w:rPr>
        <w:t>MSY</w:t>
      </w:r>
      <w:r w:rsidRPr="00532ABB">
        <w:rPr>
          <w:sz w:val="20"/>
          <w:szCs w:val="20"/>
        </w:rPr>
        <w:tab/>
      </w:r>
      <w:r w:rsidRPr="00532ABB">
        <w:rPr>
          <w:sz w:val="20"/>
          <w:szCs w:val="20"/>
        </w:rPr>
        <w:tab/>
        <w:t>the rate of fishing mortality expected to achieve MSY under equilibrium conditions and a corresponding biomass of B</w:t>
      </w:r>
      <w:r w:rsidRPr="00532ABB">
        <w:rPr>
          <w:sz w:val="20"/>
          <w:szCs w:val="20"/>
          <w:vertAlign w:val="subscript"/>
        </w:rPr>
        <w:t>MSY</w:t>
      </w:r>
    </w:p>
    <w:p w14:paraId="0BB1CF61" w14:textId="77777777" w:rsidR="008D0B8B" w:rsidRPr="00532ABB" w:rsidRDefault="008D0B8B" w:rsidP="00D71AB1">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3F6D8153"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vertAlign w:val="subscript"/>
        </w:rPr>
      </w:pPr>
      <w:r w:rsidRPr="00532ABB">
        <w:rPr>
          <w:b/>
          <w:sz w:val="20"/>
          <w:szCs w:val="20"/>
        </w:rPr>
        <w:t>F</w:t>
      </w:r>
      <w:r w:rsidRPr="00532ABB">
        <w:rPr>
          <w:b/>
          <w:sz w:val="20"/>
          <w:szCs w:val="20"/>
          <w:vertAlign w:val="subscript"/>
        </w:rPr>
        <w:t>OY</w:t>
      </w:r>
      <w:r w:rsidRPr="00532ABB">
        <w:rPr>
          <w:sz w:val="20"/>
          <w:szCs w:val="20"/>
        </w:rPr>
        <w:tab/>
      </w:r>
      <w:r w:rsidRPr="00532ABB">
        <w:rPr>
          <w:sz w:val="20"/>
          <w:szCs w:val="20"/>
        </w:rPr>
        <w:tab/>
        <w:t>the rate of fishing mortality expected to achieve OY under equilibrium conditions and a corresponding biomass of B</w:t>
      </w:r>
      <w:r w:rsidRPr="00532ABB">
        <w:rPr>
          <w:sz w:val="20"/>
          <w:szCs w:val="20"/>
          <w:vertAlign w:val="subscript"/>
        </w:rPr>
        <w:t>OY</w:t>
      </w:r>
    </w:p>
    <w:p w14:paraId="670712C2"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vertAlign w:val="subscript"/>
        </w:rPr>
      </w:pPr>
    </w:p>
    <w:p w14:paraId="417A01D3"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FMP</w:t>
      </w:r>
      <w:r w:rsidRPr="00532ABB">
        <w:rPr>
          <w:sz w:val="20"/>
          <w:szCs w:val="20"/>
        </w:rPr>
        <w:tab/>
      </w:r>
      <w:r w:rsidRPr="00532ABB">
        <w:rPr>
          <w:sz w:val="20"/>
          <w:szCs w:val="20"/>
        </w:rPr>
        <w:tab/>
        <w:t>fishery management plan</w:t>
      </w:r>
    </w:p>
    <w:p w14:paraId="00A4D7D1"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4EF83070"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FMU</w:t>
      </w:r>
      <w:r w:rsidRPr="00532ABB">
        <w:rPr>
          <w:sz w:val="20"/>
          <w:szCs w:val="20"/>
        </w:rPr>
        <w:tab/>
      </w:r>
      <w:r w:rsidRPr="00532ABB">
        <w:rPr>
          <w:sz w:val="20"/>
          <w:szCs w:val="20"/>
        </w:rPr>
        <w:tab/>
        <w:t>fishery management unit</w:t>
      </w:r>
    </w:p>
    <w:p w14:paraId="2267056B"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654798CF"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M</w:t>
      </w:r>
      <w:r w:rsidRPr="00532ABB">
        <w:rPr>
          <w:sz w:val="20"/>
          <w:szCs w:val="20"/>
        </w:rPr>
        <w:tab/>
      </w:r>
      <w:r w:rsidRPr="00532ABB">
        <w:rPr>
          <w:sz w:val="20"/>
          <w:szCs w:val="20"/>
        </w:rPr>
        <w:tab/>
        <w:t>natural mortality rate</w:t>
      </w:r>
    </w:p>
    <w:p w14:paraId="06BE2D39"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48D98606"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MARMAP</w:t>
      </w:r>
      <w:r w:rsidRPr="00532ABB">
        <w:rPr>
          <w:sz w:val="20"/>
          <w:szCs w:val="20"/>
        </w:rPr>
        <w:tab/>
        <w:t>Marine Resources Monitoring Assessment and Prediction Program</w:t>
      </w:r>
    </w:p>
    <w:p w14:paraId="5BF7755C"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3F5E3AD1"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MFMT</w:t>
      </w:r>
      <w:r w:rsidRPr="00532ABB">
        <w:rPr>
          <w:b/>
          <w:sz w:val="20"/>
          <w:szCs w:val="20"/>
        </w:rPr>
        <w:tab/>
      </w:r>
      <w:r w:rsidRPr="00532ABB">
        <w:rPr>
          <w:b/>
          <w:sz w:val="20"/>
          <w:szCs w:val="20"/>
        </w:rPr>
        <w:tab/>
      </w:r>
      <w:r w:rsidRPr="00532ABB">
        <w:rPr>
          <w:sz w:val="20"/>
          <w:szCs w:val="20"/>
        </w:rPr>
        <w:t>maximum fishing mortality threshold</w:t>
      </w:r>
    </w:p>
    <w:p w14:paraId="1D032916"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1D4BFD92"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MMPA</w:t>
      </w:r>
      <w:r w:rsidRPr="00532ABB">
        <w:rPr>
          <w:sz w:val="20"/>
          <w:szCs w:val="20"/>
        </w:rPr>
        <w:tab/>
      </w:r>
      <w:r w:rsidRPr="00532ABB">
        <w:rPr>
          <w:sz w:val="20"/>
          <w:szCs w:val="20"/>
        </w:rPr>
        <w:tab/>
        <w:t>Marine Mammal Protection Act</w:t>
      </w:r>
    </w:p>
    <w:p w14:paraId="074B95F2"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79C41876"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MRFSS</w:t>
      </w:r>
      <w:r w:rsidRPr="00532ABB">
        <w:rPr>
          <w:sz w:val="20"/>
          <w:szCs w:val="20"/>
        </w:rPr>
        <w:tab/>
      </w:r>
      <w:r w:rsidRPr="00532ABB">
        <w:rPr>
          <w:sz w:val="20"/>
          <w:szCs w:val="20"/>
        </w:rPr>
        <w:tab/>
        <w:t>Marine Recreational Fisheries Statistics Survey</w:t>
      </w:r>
    </w:p>
    <w:p w14:paraId="72EB65DE"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4BAFF15B"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right="-630" w:hanging="1170"/>
        <w:rPr>
          <w:sz w:val="20"/>
          <w:szCs w:val="20"/>
        </w:rPr>
      </w:pPr>
      <w:r w:rsidRPr="00532ABB">
        <w:rPr>
          <w:b/>
          <w:sz w:val="20"/>
          <w:szCs w:val="20"/>
        </w:rPr>
        <w:t>MRIP</w:t>
      </w:r>
      <w:r w:rsidRPr="00532ABB">
        <w:rPr>
          <w:b/>
          <w:sz w:val="20"/>
          <w:szCs w:val="20"/>
        </w:rPr>
        <w:tab/>
      </w:r>
      <w:r w:rsidRPr="00532ABB">
        <w:rPr>
          <w:sz w:val="20"/>
          <w:szCs w:val="20"/>
        </w:rPr>
        <w:tab/>
        <w:t>Marine Recreational Information Program</w:t>
      </w:r>
    </w:p>
    <w:p w14:paraId="37CB05B4"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02A69579"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MSFCMA</w:t>
      </w:r>
      <w:r w:rsidRPr="00532ABB">
        <w:rPr>
          <w:b/>
          <w:sz w:val="20"/>
          <w:szCs w:val="20"/>
        </w:rPr>
        <w:tab/>
      </w:r>
      <w:r w:rsidRPr="00532ABB">
        <w:rPr>
          <w:sz w:val="20"/>
          <w:szCs w:val="20"/>
        </w:rPr>
        <w:t>Magnuson-Stevens Fishery Conservation and Management Act</w:t>
      </w:r>
    </w:p>
    <w:p w14:paraId="4BC0F695"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44C091BD"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 xml:space="preserve">MSST </w:t>
      </w:r>
      <w:r w:rsidRPr="00532ABB">
        <w:rPr>
          <w:b/>
          <w:sz w:val="20"/>
          <w:szCs w:val="20"/>
        </w:rPr>
        <w:tab/>
      </w:r>
      <w:r w:rsidRPr="00532ABB">
        <w:rPr>
          <w:sz w:val="20"/>
          <w:szCs w:val="20"/>
        </w:rPr>
        <w:tab/>
        <w:t>minimum stock size threshold</w:t>
      </w:r>
    </w:p>
    <w:p w14:paraId="2AA3E7D0"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6D00DC78"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MSY</w:t>
      </w:r>
      <w:r w:rsidRPr="00532ABB">
        <w:rPr>
          <w:sz w:val="20"/>
          <w:szCs w:val="20"/>
        </w:rPr>
        <w:tab/>
      </w:r>
      <w:r w:rsidRPr="00532ABB">
        <w:rPr>
          <w:sz w:val="20"/>
          <w:szCs w:val="20"/>
        </w:rPr>
        <w:tab/>
        <w:t>maximum sustainable yield</w:t>
      </w:r>
    </w:p>
    <w:p w14:paraId="5516D37D"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67BC51D4"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NEPA</w:t>
      </w:r>
      <w:r w:rsidRPr="00532ABB">
        <w:rPr>
          <w:sz w:val="20"/>
          <w:szCs w:val="20"/>
        </w:rPr>
        <w:tab/>
      </w:r>
      <w:r w:rsidRPr="00532ABB">
        <w:rPr>
          <w:sz w:val="20"/>
          <w:szCs w:val="20"/>
        </w:rPr>
        <w:tab/>
        <w:t>National Environmental Policy Act</w:t>
      </w:r>
    </w:p>
    <w:p w14:paraId="3E9C0FAD"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04123BA4"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NMFS</w:t>
      </w:r>
      <w:r w:rsidRPr="00532ABB">
        <w:rPr>
          <w:sz w:val="20"/>
          <w:szCs w:val="20"/>
        </w:rPr>
        <w:tab/>
      </w:r>
      <w:r w:rsidRPr="00532ABB">
        <w:rPr>
          <w:sz w:val="20"/>
          <w:szCs w:val="20"/>
        </w:rPr>
        <w:tab/>
        <w:t>National Marine Fisheries Service</w:t>
      </w:r>
    </w:p>
    <w:p w14:paraId="4A86A33F"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2A318938"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right="-630" w:hanging="1170"/>
        <w:rPr>
          <w:sz w:val="20"/>
          <w:szCs w:val="20"/>
        </w:rPr>
      </w:pPr>
      <w:r w:rsidRPr="00532ABB">
        <w:rPr>
          <w:b/>
          <w:sz w:val="20"/>
          <w:szCs w:val="20"/>
        </w:rPr>
        <w:t>NOAA</w:t>
      </w:r>
      <w:r w:rsidRPr="00532ABB">
        <w:rPr>
          <w:sz w:val="20"/>
          <w:szCs w:val="20"/>
        </w:rPr>
        <w:tab/>
      </w:r>
      <w:r w:rsidRPr="00532ABB">
        <w:rPr>
          <w:sz w:val="20"/>
          <w:szCs w:val="20"/>
        </w:rPr>
        <w:tab/>
        <w:t>National Oceanic and Atmospheric Administration</w:t>
      </w:r>
    </w:p>
    <w:p w14:paraId="496A014F"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02C116FC"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32ABB">
        <w:rPr>
          <w:b/>
          <w:sz w:val="20"/>
          <w:szCs w:val="20"/>
        </w:rPr>
        <w:t>OFL</w:t>
      </w:r>
      <w:r w:rsidRPr="00532ABB">
        <w:rPr>
          <w:sz w:val="20"/>
          <w:szCs w:val="20"/>
        </w:rPr>
        <w:tab/>
      </w:r>
      <w:r w:rsidRPr="00532ABB">
        <w:rPr>
          <w:sz w:val="20"/>
          <w:szCs w:val="20"/>
        </w:rPr>
        <w:tab/>
        <w:t>overfishing limit</w:t>
      </w:r>
    </w:p>
    <w:p w14:paraId="449B6882" w14:textId="77777777" w:rsidR="008D0B8B" w:rsidRPr="00532ABB" w:rsidRDefault="008D0B8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19052E74" w14:textId="77777777" w:rsidR="008D0B8B" w:rsidRDefault="008D0B8B" w:rsidP="00D71AB1">
      <w:pPr>
        <w:tabs>
          <w:tab w:val="left" w:pos="720"/>
        </w:tabs>
        <w:ind w:left="1170" w:hanging="1170"/>
        <w:rPr>
          <w:sz w:val="20"/>
          <w:szCs w:val="20"/>
        </w:rPr>
      </w:pPr>
      <w:r w:rsidRPr="00532ABB">
        <w:rPr>
          <w:b/>
          <w:sz w:val="20"/>
          <w:szCs w:val="20"/>
        </w:rPr>
        <w:t>OY</w:t>
      </w:r>
      <w:r w:rsidRPr="00532ABB">
        <w:rPr>
          <w:sz w:val="20"/>
          <w:szCs w:val="20"/>
        </w:rPr>
        <w:tab/>
      </w:r>
      <w:r w:rsidRPr="00532ABB">
        <w:rPr>
          <w:sz w:val="20"/>
          <w:szCs w:val="20"/>
        </w:rPr>
        <w:tab/>
        <w:t>optimum yield</w:t>
      </w:r>
    </w:p>
    <w:p w14:paraId="37B70452" w14:textId="77777777" w:rsidR="00EC458B" w:rsidRDefault="00EC458B" w:rsidP="00D71AB1">
      <w:pPr>
        <w:tabs>
          <w:tab w:val="left" w:pos="720"/>
        </w:tabs>
        <w:ind w:left="1170" w:hanging="1170"/>
        <w:rPr>
          <w:sz w:val="20"/>
          <w:szCs w:val="20"/>
        </w:rPr>
      </w:pPr>
    </w:p>
    <w:p w14:paraId="032D9143" w14:textId="26504E95" w:rsidR="00EC458B" w:rsidRPr="00532ABB" w:rsidRDefault="00EC458B" w:rsidP="00D71AB1">
      <w:pPr>
        <w:tabs>
          <w:tab w:val="left" w:pos="720"/>
        </w:tabs>
        <w:ind w:left="1170" w:hanging="1170"/>
        <w:rPr>
          <w:sz w:val="20"/>
          <w:szCs w:val="20"/>
        </w:rPr>
      </w:pPr>
      <w:r>
        <w:rPr>
          <w:sz w:val="20"/>
          <w:szCs w:val="20"/>
        </w:rPr>
        <w:t>RFA</w:t>
      </w:r>
      <w:r>
        <w:rPr>
          <w:sz w:val="20"/>
          <w:szCs w:val="20"/>
        </w:rPr>
        <w:tab/>
      </w:r>
      <w:r>
        <w:rPr>
          <w:sz w:val="20"/>
          <w:szCs w:val="20"/>
        </w:rPr>
        <w:tab/>
        <w:t>Regulatory Flexibility Act</w:t>
      </w:r>
    </w:p>
    <w:p w14:paraId="76D3DFD8" w14:textId="77777777" w:rsidR="008D0B8B" w:rsidRPr="00532ABB" w:rsidRDefault="008D0B8B" w:rsidP="00D71AB1">
      <w:pPr>
        <w:tabs>
          <w:tab w:val="left" w:pos="720"/>
        </w:tabs>
        <w:ind w:left="1170" w:hanging="1170"/>
        <w:rPr>
          <w:sz w:val="20"/>
          <w:szCs w:val="20"/>
        </w:rPr>
      </w:pPr>
    </w:p>
    <w:p w14:paraId="393F5B27" w14:textId="038C756E" w:rsidR="008D0B8B" w:rsidRPr="00532ABB" w:rsidRDefault="008D0B8B" w:rsidP="00D71AB1">
      <w:pPr>
        <w:tabs>
          <w:tab w:val="left" w:pos="720"/>
          <w:tab w:val="left" w:pos="1440"/>
          <w:tab w:val="decimal" w:pos="8460"/>
        </w:tabs>
        <w:ind w:left="1170" w:hanging="1170"/>
        <w:rPr>
          <w:sz w:val="20"/>
          <w:szCs w:val="20"/>
        </w:rPr>
      </w:pPr>
      <w:r w:rsidRPr="00532ABB">
        <w:rPr>
          <w:b/>
          <w:sz w:val="20"/>
          <w:szCs w:val="20"/>
        </w:rPr>
        <w:t>RIR</w:t>
      </w:r>
      <w:r w:rsidRPr="00532ABB">
        <w:rPr>
          <w:sz w:val="20"/>
          <w:szCs w:val="20"/>
        </w:rPr>
        <w:tab/>
      </w:r>
      <w:r w:rsidRPr="00532ABB">
        <w:rPr>
          <w:sz w:val="20"/>
          <w:szCs w:val="20"/>
        </w:rPr>
        <w:tab/>
      </w:r>
      <w:r w:rsidR="00EC458B">
        <w:rPr>
          <w:sz w:val="20"/>
          <w:szCs w:val="20"/>
        </w:rPr>
        <w:t>R</w:t>
      </w:r>
      <w:r w:rsidR="00EC458B" w:rsidRPr="00532ABB">
        <w:rPr>
          <w:sz w:val="20"/>
          <w:szCs w:val="20"/>
        </w:rPr>
        <w:t xml:space="preserve">egulatory </w:t>
      </w:r>
      <w:r w:rsidR="00EC458B">
        <w:rPr>
          <w:sz w:val="20"/>
          <w:szCs w:val="20"/>
        </w:rPr>
        <w:t>I</w:t>
      </w:r>
      <w:r w:rsidRPr="00532ABB">
        <w:rPr>
          <w:sz w:val="20"/>
          <w:szCs w:val="20"/>
        </w:rPr>
        <w:t xml:space="preserve">mpact </w:t>
      </w:r>
      <w:r w:rsidR="00EC458B">
        <w:rPr>
          <w:sz w:val="20"/>
          <w:szCs w:val="20"/>
        </w:rPr>
        <w:t>R</w:t>
      </w:r>
      <w:r w:rsidRPr="00532ABB">
        <w:rPr>
          <w:sz w:val="20"/>
          <w:szCs w:val="20"/>
        </w:rPr>
        <w:t>eview</w:t>
      </w:r>
    </w:p>
    <w:p w14:paraId="4E98C068" w14:textId="77777777" w:rsidR="008D0B8B" w:rsidRPr="00532ABB" w:rsidRDefault="008D0B8B" w:rsidP="00D71AB1">
      <w:pPr>
        <w:tabs>
          <w:tab w:val="left" w:pos="720"/>
          <w:tab w:val="left" w:pos="1440"/>
          <w:tab w:val="decimal" w:pos="8460"/>
        </w:tabs>
        <w:ind w:left="1170" w:hanging="1170"/>
        <w:rPr>
          <w:sz w:val="20"/>
          <w:szCs w:val="20"/>
        </w:rPr>
      </w:pPr>
    </w:p>
    <w:p w14:paraId="551A3C6F" w14:textId="77777777" w:rsidR="008D0B8B" w:rsidRPr="00532ABB" w:rsidRDefault="00F4284C" w:rsidP="00D71AB1">
      <w:pPr>
        <w:tabs>
          <w:tab w:val="left" w:pos="720"/>
          <w:tab w:val="left" w:pos="1440"/>
          <w:tab w:val="decimal" w:pos="8460"/>
        </w:tabs>
        <w:ind w:left="1170" w:right="-540" w:hanging="1170"/>
        <w:rPr>
          <w:sz w:val="20"/>
          <w:szCs w:val="20"/>
        </w:rPr>
      </w:pPr>
      <w:r>
        <w:rPr>
          <w:b/>
          <w:sz w:val="20"/>
          <w:szCs w:val="20"/>
        </w:rPr>
        <w:t>SAFMC</w:t>
      </w:r>
      <w:r w:rsidR="008D0B8B" w:rsidRPr="00532ABB">
        <w:rPr>
          <w:sz w:val="20"/>
          <w:szCs w:val="20"/>
        </w:rPr>
        <w:tab/>
      </w:r>
      <w:r w:rsidR="00983D05">
        <w:rPr>
          <w:sz w:val="20"/>
          <w:szCs w:val="20"/>
        </w:rPr>
        <w:tab/>
      </w:r>
      <w:r w:rsidR="008D0B8B" w:rsidRPr="00532ABB">
        <w:rPr>
          <w:sz w:val="20"/>
          <w:szCs w:val="20"/>
        </w:rPr>
        <w:t>South Atlantic Fishery Management Council</w:t>
      </w:r>
    </w:p>
    <w:p w14:paraId="6A8D4251" w14:textId="77777777" w:rsidR="008D0B8B" w:rsidRPr="00532ABB" w:rsidRDefault="008D0B8B" w:rsidP="00D71AB1">
      <w:pPr>
        <w:tabs>
          <w:tab w:val="left" w:pos="720"/>
          <w:tab w:val="left" w:pos="1440"/>
          <w:tab w:val="decimal" w:pos="8460"/>
        </w:tabs>
        <w:ind w:left="1170" w:hanging="1170"/>
        <w:rPr>
          <w:sz w:val="20"/>
          <w:szCs w:val="20"/>
        </w:rPr>
      </w:pPr>
    </w:p>
    <w:p w14:paraId="48360F04" w14:textId="77777777" w:rsidR="008D0B8B" w:rsidRPr="00532ABB" w:rsidRDefault="008D0B8B" w:rsidP="00D71AB1">
      <w:pPr>
        <w:tabs>
          <w:tab w:val="left" w:pos="720"/>
          <w:tab w:val="left" w:pos="1440"/>
          <w:tab w:val="decimal" w:pos="8460"/>
        </w:tabs>
        <w:ind w:left="1170" w:right="-450" w:hanging="1170"/>
        <w:rPr>
          <w:sz w:val="20"/>
          <w:szCs w:val="20"/>
        </w:rPr>
      </w:pPr>
      <w:r w:rsidRPr="00532ABB">
        <w:rPr>
          <w:b/>
          <w:sz w:val="20"/>
          <w:szCs w:val="20"/>
        </w:rPr>
        <w:t>SEDAR</w:t>
      </w:r>
      <w:r w:rsidRPr="00532ABB">
        <w:rPr>
          <w:sz w:val="20"/>
          <w:szCs w:val="20"/>
        </w:rPr>
        <w:tab/>
      </w:r>
      <w:r w:rsidRPr="00532ABB">
        <w:rPr>
          <w:sz w:val="20"/>
          <w:szCs w:val="20"/>
        </w:rPr>
        <w:tab/>
        <w:t>Southeast Data Assessment and Review</w:t>
      </w:r>
    </w:p>
    <w:p w14:paraId="5CEAF461" w14:textId="77777777" w:rsidR="008D0B8B" w:rsidRPr="00532ABB" w:rsidRDefault="008D0B8B" w:rsidP="00D71AB1">
      <w:pPr>
        <w:tabs>
          <w:tab w:val="left" w:pos="720"/>
          <w:tab w:val="left" w:pos="1440"/>
          <w:tab w:val="decimal" w:pos="8460"/>
        </w:tabs>
        <w:ind w:left="1170" w:hanging="1170"/>
        <w:rPr>
          <w:sz w:val="20"/>
          <w:szCs w:val="20"/>
        </w:rPr>
      </w:pPr>
    </w:p>
    <w:p w14:paraId="3CAE049B" w14:textId="77777777" w:rsidR="008D0B8B" w:rsidRPr="00532ABB" w:rsidRDefault="008D0B8B" w:rsidP="00D71AB1">
      <w:pPr>
        <w:tabs>
          <w:tab w:val="left" w:pos="720"/>
          <w:tab w:val="left" w:pos="1440"/>
          <w:tab w:val="decimal" w:pos="8460"/>
        </w:tabs>
        <w:ind w:left="1170" w:hanging="1170"/>
        <w:rPr>
          <w:sz w:val="20"/>
          <w:szCs w:val="20"/>
        </w:rPr>
      </w:pPr>
      <w:r w:rsidRPr="00532ABB">
        <w:rPr>
          <w:b/>
          <w:sz w:val="20"/>
          <w:szCs w:val="20"/>
        </w:rPr>
        <w:t>SEFSC</w:t>
      </w:r>
      <w:r w:rsidRPr="00532ABB">
        <w:rPr>
          <w:b/>
          <w:sz w:val="20"/>
          <w:szCs w:val="20"/>
        </w:rPr>
        <w:tab/>
      </w:r>
      <w:r w:rsidRPr="00532ABB">
        <w:rPr>
          <w:b/>
          <w:sz w:val="20"/>
          <w:szCs w:val="20"/>
        </w:rPr>
        <w:tab/>
      </w:r>
      <w:r w:rsidRPr="00532ABB">
        <w:rPr>
          <w:sz w:val="20"/>
          <w:szCs w:val="20"/>
        </w:rPr>
        <w:t>Southeast Fisheries Science Center</w:t>
      </w:r>
    </w:p>
    <w:p w14:paraId="7AF38034" w14:textId="77777777" w:rsidR="008D0B8B" w:rsidRPr="00532ABB" w:rsidRDefault="008D0B8B" w:rsidP="00D71AB1">
      <w:pPr>
        <w:tabs>
          <w:tab w:val="left" w:pos="720"/>
          <w:tab w:val="left" w:pos="1440"/>
          <w:tab w:val="decimal" w:pos="8460"/>
        </w:tabs>
        <w:ind w:left="1170" w:hanging="1170"/>
        <w:rPr>
          <w:sz w:val="20"/>
          <w:szCs w:val="20"/>
        </w:rPr>
      </w:pPr>
    </w:p>
    <w:p w14:paraId="6A8A392F" w14:textId="77777777" w:rsidR="008D0B8B" w:rsidRPr="00532ABB" w:rsidRDefault="008D0B8B" w:rsidP="00D71AB1">
      <w:pPr>
        <w:tabs>
          <w:tab w:val="left" w:pos="720"/>
          <w:tab w:val="left" w:pos="1440"/>
          <w:tab w:val="decimal" w:pos="8460"/>
        </w:tabs>
        <w:ind w:left="1170" w:hanging="1170"/>
        <w:rPr>
          <w:sz w:val="20"/>
          <w:szCs w:val="20"/>
        </w:rPr>
      </w:pPr>
      <w:r w:rsidRPr="00532ABB">
        <w:rPr>
          <w:b/>
          <w:sz w:val="20"/>
          <w:szCs w:val="20"/>
        </w:rPr>
        <w:t>SERO</w:t>
      </w:r>
      <w:r w:rsidRPr="00532ABB">
        <w:rPr>
          <w:sz w:val="20"/>
          <w:szCs w:val="20"/>
        </w:rPr>
        <w:tab/>
      </w:r>
      <w:r w:rsidRPr="00532ABB">
        <w:rPr>
          <w:sz w:val="20"/>
          <w:szCs w:val="20"/>
        </w:rPr>
        <w:tab/>
        <w:t>Southeast Regional Office</w:t>
      </w:r>
    </w:p>
    <w:p w14:paraId="53C0A84C" w14:textId="77777777" w:rsidR="008D0B8B" w:rsidRPr="00532ABB" w:rsidRDefault="008D0B8B" w:rsidP="00D71AB1">
      <w:pPr>
        <w:tabs>
          <w:tab w:val="left" w:pos="720"/>
          <w:tab w:val="left" w:pos="1440"/>
          <w:tab w:val="decimal" w:pos="8460"/>
        </w:tabs>
        <w:ind w:left="1170" w:hanging="1170"/>
        <w:rPr>
          <w:sz w:val="20"/>
          <w:szCs w:val="20"/>
        </w:rPr>
      </w:pPr>
    </w:p>
    <w:p w14:paraId="21055EDA" w14:textId="77777777" w:rsidR="008D0B8B" w:rsidRPr="00532ABB" w:rsidRDefault="008D0B8B" w:rsidP="00D71AB1">
      <w:pPr>
        <w:tabs>
          <w:tab w:val="left" w:pos="720"/>
          <w:tab w:val="left" w:pos="1440"/>
          <w:tab w:val="decimal" w:pos="8460"/>
        </w:tabs>
        <w:ind w:left="1170" w:hanging="1170"/>
        <w:rPr>
          <w:sz w:val="20"/>
          <w:szCs w:val="20"/>
        </w:rPr>
      </w:pPr>
      <w:r w:rsidRPr="00532ABB">
        <w:rPr>
          <w:b/>
          <w:sz w:val="20"/>
          <w:szCs w:val="20"/>
        </w:rPr>
        <w:t>SIA</w:t>
      </w:r>
      <w:r w:rsidRPr="00532ABB">
        <w:rPr>
          <w:sz w:val="20"/>
          <w:szCs w:val="20"/>
        </w:rPr>
        <w:tab/>
      </w:r>
      <w:r w:rsidRPr="00532ABB">
        <w:rPr>
          <w:sz w:val="20"/>
          <w:szCs w:val="20"/>
        </w:rPr>
        <w:tab/>
        <w:t>social impact assessment</w:t>
      </w:r>
    </w:p>
    <w:p w14:paraId="6614929B" w14:textId="77777777" w:rsidR="008D0B8B" w:rsidRPr="00532ABB" w:rsidRDefault="008D0B8B" w:rsidP="00D71AB1">
      <w:pPr>
        <w:tabs>
          <w:tab w:val="left" w:pos="720"/>
          <w:tab w:val="left" w:pos="1440"/>
          <w:tab w:val="decimal" w:pos="8460"/>
        </w:tabs>
        <w:ind w:left="1170" w:hanging="1170"/>
        <w:rPr>
          <w:sz w:val="20"/>
          <w:szCs w:val="20"/>
        </w:rPr>
      </w:pPr>
    </w:p>
    <w:p w14:paraId="3E49341A" w14:textId="77777777" w:rsidR="008D0B8B" w:rsidRPr="00532ABB" w:rsidRDefault="008D0B8B" w:rsidP="00D71AB1">
      <w:pPr>
        <w:tabs>
          <w:tab w:val="left" w:pos="720"/>
          <w:tab w:val="left" w:pos="1440"/>
          <w:tab w:val="decimal" w:pos="8460"/>
        </w:tabs>
        <w:ind w:left="1170" w:hanging="1170"/>
        <w:rPr>
          <w:sz w:val="20"/>
          <w:szCs w:val="20"/>
        </w:rPr>
      </w:pPr>
      <w:r w:rsidRPr="00532ABB">
        <w:rPr>
          <w:b/>
          <w:sz w:val="20"/>
          <w:szCs w:val="20"/>
        </w:rPr>
        <w:t>SPR</w:t>
      </w:r>
      <w:r w:rsidRPr="00532ABB">
        <w:rPr>
          <w:sz w:val="20"/>
          <w:szCs w:val="20"/>
        </w:rPr>
        <w:tab/>
      </w:r>
      <w:r w:rsidRPr="00532ABB">
        <w:rPr>
          <w:sz w:val="20"/>
          <w:szCs w:val="20"/>
        </w:rPr>
        <w:tab/>
        <w:t>spawning potential ratio</w:t>
      </w:r>
    </w:p>
    <w:p w14:paraId="1960A396" w14:textId="77777777" w:rsidR="008D0B8B" w:rsidRPr="00532ABB" w:rsidRDefault="008D0B8B" w:rsidP="00D71AB1">
      <w:pPr>
        <w:tabs>
          <w:tab w:val="left" w:pos="720"/>
          <w:tab w:val="left" w:pos="1440"/>
          <w:tab w:val="decimal" w:pos="8460"/>
        </w:tabs>
        <w:ind w:left="1170" w:hanging="1170"/>
        <w:rPr>
          <w:sz w:val="20"/>
          <w:szCs w:val="20"/>
        </w:rPr>
      </w:pPr>
    </w:p>
    <w:p w14:paraId="2B7078AD" w14:textId="77777777" w:rsidR="008D0B8B" w:rsidRPr="00532ABB" w:rsidRDefault="008D0B8B" w:rsidP="00D71AB1">
      <w:pPr>
        <w:tabs>
          <w:tab w:val="left" w:pos="720"/>
        </w:tabs>
        <w:ind w:left="1170" w:hanging="1170"/>
        <w:rPr>
          <w:sz w:val="20"/>
          <w:szCs w:val="20"/>
        </w:rPr>
      </w:pPr>
      <w:r w:rsidRPr="00532ABB">
        <w:rPr>
          <w:b/>
          <w:sz w:val="20"/>
          <w:szCs w:val="20"/>
        </w:rPr>
        <w:t>SSC</w:t>
      </w:r>
      <w:r w:rsidRPr="00532ABB">
        <w:rPr>
          <w:sz w:val="20"/>
          <w:szCs w:val="20"/>
        </w:rPr>
        <w:tab/>
      </w:r>
      <w:r w:rsidRPr="00532ABB">
        <w:rPr>
          <w:sz w:val="20"/>
          <w:szCs w:val="20"/>
        </w:rPr>
        <w:tab/>
        <w:t>Scientific and Statistical Committee</w:t>
      </w:r>
    </w:p>
    <w:p w14:paraId="14D24DC1" w14:textId="77777777" w:rsidR="008D0B8B" w:rsidRPr="00532ABB" w:rsidRDefault="008D0B8B" w:rsidP="00D71AB1">
      <w:pPr>
        <w:sectPr w:rsidR="008D0B8B" w:rsidRPr="00532ABB" w:rsidSect="0038545E">
          <w:type w:val="continuous"/>
          <w:pgSz w:w="12240" w:h="15840"/>
          <w:pgMar w:top="1440" w:right="1350" w:bottom="1440" w:left="1260" w:header="720" w:footer="720" w:gutter="0"/>
          <w:pgNumType w:fmt="upperRoman" w:start="1"/>
          <w:cols w:num="2" w:space="1170"/>
          <w:docGrid w:linePitch="360"/>
        </w:sectPr>
      </w:pPr>
    </w:p>
    <w:p w14:paraId="62FDB4D6" w14:textId="06239216" w:rsidR="006F3985" w:rsidRPr="00532ABB" w:rsidRDefault="00973FB9" w:rsidP="00D71AB1">
      <w:pPr>
        <w:rPr>
          <w:b/>
          <w:color w:val="365F91"/>
          <w:sz w:val="32"/>
          <w:szCs w:val="32"/>
        </w:rPr>
      </w:pPr>
      <w:r>
        <w:rPr>
          <w:b/>
          <w:color w:val="365F91" w:themeColor="accent1" w:themeShade="BF"/>
          <w:sz w:val="32"/>
          <w:szCs w:val="32"/>
        </w:rPr>
        <w:lastRenderedPageBreak/>
        <w:t>Amendment 41</w:t>
      </w:r>
      <w:r w:rsidR="00E130D0" w:rsidRPr="00E130D0">
        <w:rPr>
          <w:b/>
          <w:color w:val="365F91" w:themeColor="accent1" w:themeShade="BF"/>
          <w:sz w:val="32"/>
          <w:szCs w:val="32"/>
        </w:rPr>
        <w:t xml:space="preserve"> to the Fishery Management Plan for the Snapper Grouper Fishery of the South A</w:t>
      </w:r>
      <w:r w:rsidR="00FB085E">
        <w:rPr>
          <w:b/>
          <w:color w:val="365F91" w:themeColor="accent1" w:themeShade="BF"/>
          <w:sz w:val="32"/>
          <w:szCs w:val="32"/>
        </w:rPr>
        <w:t>tlantic Region</w:t>
      </w:r>
    </w:p>
    <w:p w14:paraId="3A0F59C6" w14:textId="77777777" w:rsidR="006F3985" w:rsidRPr="00532ABB" w:rsidRDefault="006F3985" w:rsidP="00D71AB1">
      <w:pPr>
        <w:pBdr>
          <w:bottom w:val="single" w:sz="4" w:space="1" w:color="auto"/>
        </w:pBdr>
        <w:tabs>
          <w:tab w:val="left" w:pos="720"/>
          <w:tab w:val="left" w:pos="1440"/>
          <w:tab w:val="decimal" w:pos="8460"/>
        </w:tabs>
      </w:pPr>
    </w:p>
    <w:p w14:paraId="182E4AFF" w14:textId="1F010AC1" w:rsidR="006F3985" w:rsidRPr="008B1E1B" w:rsidRDefault="006F3985" w:rsidP="00973FB9">
      <w:pPr>
        <w:pStyle w:val="ListParagraph"/>
        <w:spacing w:after="0" w:line="240" w:lineRule="auto"/>
        <w:ind w:left="4320" w:hanging="4320"/>
        <w:rPr>
          <w:rFonts w:ascii="Times New Roman" w:eastAsia="Times New Roman" w:hAnsi="Times New Roman"/>
          <w:spacing w:val="-1"/>
          <w:sz w:val="24"/>
          <w:szCs w:val="24"/>
        </w:rPr>
      </w:pPr>
      <w:r w:rsidRPr="00FC0B9F">
        <w:rPr>
          <w:rFonts w:ascii="Times New Roman" w:hAnsi="Times New Roman"/>
          <w:b/>
          <w:sz w:val="24"/>
          <w:szCs w:val="24"/>
        </w:rPr>
        <w:t>Proposed action:</w:t>
      </w:r>
      <w:r w:rsidRPr="00532ABB">
        <w:rPr>
          <w:b/>
        </w:rPr>
        <w:tab/>
      </w:r>
      <w:r w:rsidR="00973FB9">
        <w:rPr>
          <w:rFonts w:ascii="Times New Roman" w:eastAsia="Times New Roman" w:hAnsi="Times New Roman"/>
          <w:sz w:val="24"/>
          <w:szCs w:val="24"/>
        </w:rPr>
        <w:t xml:space="preserve">The actions are to update biological benchmarks and </w:t>
      </w:r>
      <w:r w:rsidR="00CB46FE">
        <w:rPr>
          <w:rFonts w:ascii="Times New Roman" w:eastAsia="Times New Roman" w:hAnsi="Times New Roman"/>
          <w:sz w:val="24"/>
          <w:szCs w:val="24"/>
        </w:rPr>
        <w:t xml:space="preserve">allowable </w:t>
      </w:r>
      <w:r w:rsidR="00973FB9">
        <w:rPr>
          <w:rFonts w:ascii="Times New Roman" w:eastAsia="Times New Roman" w:hAnsi="Times New Roman"/>
          <w:sz w:val="24"/>
          <w:szCs w:val="24"/>
        </w:rPr>
        <w:t>fishing levels for mutton snapper based on the latest stock assessment and revise management measures</w:t>
      </w:r>
    </w:p>
    <w:p w14:paraId="42FFCD29" w14:textId="77777777" w:rsidR="000F0C9F" w:rsidRPr="000F0C9F" w:rsidRDefault="000F0C9F" w:rsidP="00D71AB1">
      <w:pPr>
        <w:pStyle w:val="ListParagraph"/>
        <w:spacing w:after="0" w:line="240" w:lineRule="auto"/>
        <w:ind w:left="0"/>
        <w:rPr>
          <w:rFonts w:ascii="Times New Roman" w:hAnsi="Times New Roman"/>
          <w:sz w:val="24"/>
          <w:szCs w:val="24"/>
        </w:rPr>
      </w:pPr>
    </w:p>
    <w:p w14:paraId="6A6E8465" w14:textId="77777777" w:rsidR="0077254F" w:rsidRPr="00532ABB" w:rsidRDefault="006F3985" w:rsidP="00D71AB1">
      <w:pPr>
        <w:tabs>
          <w:tab w:val="decimal" w:pos="0"/>
          <w:tab w:val="left" w:pos="720"/>
        </w:tabs>
        <w:ind w:left="4320" w:hanging="4320"/>
      </w:pPr>
      <w:r w:rsidRPr="00532ABB">
        <w:rPr>
          <w:b/>
        </w:rPr>
        <w:t>Lead agency:</w:t>
      </w:r>
      <w:r w:rsidRPr="00532ABB">
        <w:tab/>
        <w:t xml:space="preserve">FMP </w:t>
      </w:r>
      <w:r w:rsidR="000C4352">
        <w:t>Action</w:t>
      </w:r>
      <w:r w:rsidR="00985A1C">
        <w:t>s</w:t>
      </w:r>
      <w:r w:rsidRPr="00532ABB">
        <w:t xml:space="preserve"> – South Atla</w:t>
      </w:r>
      <w:r w:rsidR="002437D8" w:rsidRPr="00532ABB">
        <w:t>ntic Fishery Management Council</w:t>
      </w:r>
    </w:p>
    <w:p w14:paraId="2CDA031D" w14:textId="77777777" w:rsidR="006F3985" w:rsidRPr="00532ABB" w:rsidRDefault="0077254F" w:rsidP="00D71AB1">
      <w:pPr>
        <w:tabs>
          <w:tab w:val="decimal" w:pos="0"/>
          <w:tab w:val="left" w:pos="720"/>
        </w:tabs>
        <w:ind w:left="4320" w:hanging="4320"/>
      </w:pPr>
      <w:r w:rsidRPr="00532ABB">
        <w:rPr>
          <w:b/>
        </w:rPr>
        <w:tab/>
      </w:r>
      <w:r w:rsidRPr="00532ABB">
        <w:rPr>
          <w:b/>
        </w:rPr>
        <w:tab/>
      </w:r>
      <w:r w:rsidRPr="00532ABB">
        <w:t xml:space="preserve">Environmental Assessment – </w:t>
      </w:r>
      <w:r w:rsidR="00BC00AB" w:rsidRPr="00532ABB">
        <w:t>National Marine Fisheries S</w:t>
      </w:r>
      <w:r w:rsidR="002437D8" w:rsidRPr="00532ABB">
        <w:t xml:space="preserve">ervice </w:t>
      </w:r>
      <w:r w:rsidR="00EE4EA8" w:rsidRPr="00532ABB">
        <w:t xml:space="preserve">(NMFS) </w:t>
      </w:r>
      <w:r w:rsidR="006F3985" w:rsidRPr="00532ABB">
        <w:t>Southeast Regional Office</w:t>
      </w:r>
    </w:p>
    <w:p w14:paraId="42B64301" w14:textId="77777777" w:rsidR="006F3985" w:rsidRPr="00532ABB" w:rsidRDefault="000F0C9F" w:rsidP="00D71AB1">
      <w:pPr>
        <w:tabs>
          <w:tab w:val="decimal" w:pos="0"/>
          <w:tab w:val="left" w:pos="720"/>
        </w:tabs>
      </w:pPr>
      <w:r>
        <w:tab/>
      </w:r>
      <w:r>
        <w:tab/>
      </w:r>
      <w:r>
        <w:tab/>
      </w:r>
      <w:r>
        <w:tab/>
      </w:r>
      <w:r>
        <w:tab/>
      </w:r>
      <w:r>
        <w:tab/>
      </w:r>
    </w:p>
    <w:p w14:paraId="6535648A" w14:textId="77777777" w:rsidR="006F3985" w:rsidRPr="00532ABB" w:rsidRDefault="006F3985" w:rsidP="00D71AB1">
      <w:pPr>
        <w:tabs>
          <w:tab w:val="decimal" w:pos="0"/>
          <w:tab w:val="left" w:pos="720"/>
          <w:tab w:val="left" w:pos="1440"/>
        </w:tabs>
      </w:pPr>
      <w:r w:rsidRPr="00532ABB">
        <w:rPr>
          <w:b/>
        </w:rPr>
        <w:t>For Further Information Contact:</w:t>
      </w:r>
      <w:r w:rsidRPr="00532ABB">
        <w:tab/>
      </w:r>
      <w:r w:rsidRPr="00532ABB">
        <w:tab/>
        <w:t>South Atlantic Fishery Management Council</w:t>
      </w:r>
    </w:p>
    <w:p w14:paraId="4C5EE08B" w14:textId="77777777" w:rsidR="006F3985" w:rsidRPr="00532ABB" w:rsidRDefault="006F3985" w:rsidP="00D71AB1">
      <w:pPr>
        <w:tabs>
          <w:tab w:val="decimal" w:pos="0"/>
          <w:tab w:val="left" w:pos="720"/>
          <w:tab w:val="left" w:pos="1440"/>
        </w:tabs>
      </w:pPr>
      <w:r w:rsidRPr="00532ABB">
        <w:tab/>
      </w:r>
      <w:r w:rsidRPr="00532ABB">
        <w:tab/>
      </w:r>
      <w:r w:rsidRPr="00532ABB">
        <w:tab/>
      </w:r>
      <w:r w:rsidRPr="00532ABB">
        <w:tab/>
      </w:r>
      <w:r w:rsidRPr="00532ABB">
        <w:tab/>
      </w:r>
      <w:r w:rsidRPr="00532ABB">
        <w:tab/>
        <w:t>4055 Faber Place, Suite 201</w:t>
      </w:r>
    </w:p>
    <w:p w14:paraId="6ED9093D" w14:textId="77777777" w:rsidR="006F3985" w:rsidRPr="00532ABB" w:rsidRDefault="006F3985" w:rsidP="00D71AB1">
      <w:pPr>
        <w:tabs>
          <w:tab w:val="decimal" w:pos="0"/>
          <w:tab w:val="left" w:pos="720"/>
          <w:tab w:val="left" w:pos="1440"/>
        </w:tabs>
      </w:pPr>
      <w:r w:rsidRPr="00532ABB">
        <w:tab/>
      </w:r>
      <w:r w:rsidRPr="00532ABB">
        <w:tab/>
      </w:r>
      <w:r w:rsidRPr="00532ABB">
        <w:tab/>
      </w:r>
      <w:r w:rsidRPr="00532ABB">
        <w:tab/>
      </w:r>
      <w:r w:rsidRPr="00532ABB">
        <w:tab/>
      </w:r>
      <w:r w:rsidRPr="00532ABB">
        <w:tab/>
        <w:t>North Charleston, SC 29405</w:t>
      </w:r>
    </w:p>
    <w:p w14:paraId="174453B6" w14:textId="77777777" w:rsidR="006F3985" w:rsidRPr="00532ABB" w:rsidRDefault="006F3985" w:rsidP="00D71AB1">
      <w:pPr>
        <w:tabs>
          <w:tab w:val="decimal" w:pos="0"/>
          <w:tab w:val="left" w:pos="720"/>
          <w:tab w:val="left" w:pos="1440"/>
        </w:tabs>
      </w:pPr>
      <w:r w:rsidRPr="00532ABB">
        <w:tab/>
      </w:r>
      <w:r w:rsidRPr="00532ABB">
        <w:tab/>
      </w:r>
      <w:r w:rsidRPr="00532ABB">
        <w:tab/>
      </w:r>
      <w:r w:rsidRPr="00532ABB">
        <w:tab/>
      </w:r>
      <w:r w:rsidRPr="00532ABB">
        <w:tab/>
      </w:r>
      <w:r w:rsidRPr="00532ABB">
        <w:tab/>
        <w:t>843-571-4366</w:t>
      </w:r>
    </w:p>
    <w:p w14:paraId="334C2BFC" w14:textId="77777777" w:rsidR="006F3985" w:rsidRDefault="006F3985" w:rsidP="00D71AB1">
      <w:pPr>
        <w:tabs>
          <w:tab w:val="decimal" w:pos="0"/>
          <w:tab w:val="left" w:pos="720"/>
          <w:tab w:val="left" w:pos="1440"/>
        </w:tabs>
      </w:pPr>
      <w:r w:rsidRPr="00532ABB">
        <w:tab/>
      </w:r>
      <w:r w:rsidRPr="00532ABB">
        <w:tab/>
      </w:r>
      <w:r w:rsidRPr="00532ABB">
        <w:tab/>
      </w:r>
      <w:r w:rsidRPr="00532ABB">
        <w:tab/>
      </w:r>
      <w:r w:rsidRPr="00532ABB">
        <w:tab/>
      </w:r>
      <w:r w:rsidRPr="00532ABB">
        <w:tab/>
        <w:t>866-SAFMC-10</w:t>
      </w:r>
    </w:p>
    <w:p w14:paraId="0C40253D" w14:textId="77777777" w:rsidR="00C76F56" w:rsidRPr="00532ABB" w:rsidRDefault="00C76F56" w:rsidP="00D71AB1">
      <w:pPr>
        <w:tabs>
          <w:tab w:val="decimal" w:pos="0"/>
          <w:tab w:val="left" w:pos="720"/>
          <w:tab w:val="left" w:pos="1440"/>
        </w:tabs>
      </w:pPr>
      <w:r>
        <w:tab/>
      </w:r>
      <w:r>
        <w:tab/>
      </w:r>
      <w:r>
        <w:tab/>
      </w:r>
      <w:r>
        <w:tab/>
      </w:r>
      <w:r>
        <w:tab/>
      </w:r>
      <w:r>
        <w:tab/>
      </w:r>
      <w:r w:rsidR="002664B0">
        <w:t>Myra Brouwer</w:t>
      </w:r>
    </w:p>
    <w:p w14:paraId="13E13B9A" w14:textId="20081477" w:rsidR="006F3985" w:rsidRDefault="006F3985" w:rsidP="00D71AB1">
      <w:r w:rsidRPr="00532ABB">
        <w:tab/>
      </w:r>
      <w:r w:rsidRPr="00532ABB">
        <w:tab/>
      </w:r>
      <w:r w:rsidRPr="00532ABB">
        <w:tab/>
      </w:r>
      <w:r w:rsidRPr="00532ABB">
        <w:tab/>
      </w:r>
      <w:r w:rsidRPr="00532ABB">
        <w:tab/>
      </w:r>
      <w:r w:rsidRPr="00532ABB">
        <w:tab/>
      </w:r>
      <w:hyperlink r:id="rId18" w:history="1">
        <w:r w:rsidR="00973FB9" w:rsidRPr="00705972">
          <w:rPr>
            <w:rStyle w:val="Hyperlink"/>
          </w:rPr>
          <w:t>Myra.Brouwer@safmc.net</w:t>
        </w:r>
      </w:hyperlink>
    </w:p>
    <w:p w14:paraId="12F6647F" w14:textId="77777777" w:rsidR="00973FB9" w:rsidRDefault="00973FB9" w:rsidP="00D71AB1"/>
    <w:p w14:paraId="42B83D64" w14:textId="77777777" w:rsidR="006F3985" w:rsidRPr="00532ABB" w:rsidRDefault="006F3985" w:rsidP="00D71AB1">
      <w:pPr>
        <w:tabs>
          <w:tab w:val="decimal" w:pos="0"/>
          <w:tab w:val="left" w:pos="720"/>
          <w:tab w:val="left" w:pos="1440"/>
        </w:tabs>
      </w:pPr>
    </w:p>
    <w:p w14:paraId="3117F2E1" w14:textId="77777777" w:rsidR="006F3985" w:rsidRPr="00532ABB" w:rsidRDefault="006F3985" w:rsidP="00D71AB1">
      <w:pPr>
        <w:tabs>
          <w:tab w:val="decimal" w:pos="0"/>
          <w:tab w:val="left" w:pos="720"/>
          <w:tab w:val="left" w:pos="1440"/>
        </w:tabs>
      </w:pPr>
      <w:r w:rsidRPr="00532ABB">
        <w:tab/>
      </w:r>
      <w:r w:rsidRPr="00532ABB">
        <w:tab/>
      </w:r>
      <w:r w:rsidRPr="00532ABB">
        <w:tab/>
      </w:r>
      <w:r w:rsidRPr="00532ABB">
        <w:tab/>
      </w:r>
      <w:r w:rsidRPr="00532ABB">
        <w:tab/>
      </w:r>
      <w:r w:rsidRPr="00532ABB">
        <w:tab/>
      </w:r>
      <w:r w:rsidR="00BC00AB" w:rsidRPr="00532ABB">
        <w:t>NMFS</w:t>
      </w:r>
      <w:r w:rsidRPr="00532ABB">
        <w:t>, Southeast Region</w:t>
      </w:r>
    </w:p>
    <w:p w14:paraId="7ECD7B80" w14:textId="77777777" w:rsidR="006F3985" w:rsidRPr="00532ABB" w:rsidRDefault="006F3985" w:rsidP="00D71AB1">
      <w:pPr>
        <w:tabs>
          <w:tab w:val="decimal" w:pos="0"/>
          <w:tab w:val="left" w:pos="720"/>
          <w:tab w:val="left" w:pos="1440"/>
        </w:tabs>
        <w:ind w:left="4320"/>
      </w:pPr>
      <w:r w:rsidRPr="00532ABB">
        <w:t>263 13</w:t>
      </w:r>
      <w:r w:rsidRPr="00532ABB">
        <w:rPr>
          <w:vertAlign w:val="superscript"/>
        </w:rPr>
        <w:t>th</w:t>
      </w:r>
      <w:r w:rsidRPr="00532ABB">
        <w:t xml:space="preserve"> Avenue South</w:t>
      </w:r>
    </w:p>
    <w:p w14:paraId="2C07CE91" w14:textId="77777777" w:rsidR="006F3985" w:rsidRPr="00532ABB" w:rsidRDefault="006F3985" w:rsidP="00D71AB1">
      <w:pPr>
        <w:tabs>
          <w:tab w:val="decimal" w:pos="0"/>
          <w:tab w:val="left" w:pos="720"/>
          <w:tab w:val="left" w:pos="1440"/>
        </w:tabs>
      </w:pPr>
      <w:r w:rsidRPr="00532ABB">
        <w:tab/>
      </w:r>
      <w:r w:rsidRPr="00532ABB">
        <w:tab/>
      </w:r>
      <w:r w:rsidRPr="00532ABB">
        <w:tab/>
      </w:r>
      <w:r w:rsidRPr="00532ABB">
        <w:tab/>
      </w:r>
      <w:r w:rsidRPr="00532ABB">
        <w:tab/>
      </w:r>
      <w:r w:rsidRPr="00532ABB">
        <w:tab/>
        <w:t>St. Petersburg, FL 33701</w:t>
      </w:r>
    </w:p>
    <w:p w14:paraId="428C6E43" w14:textId="02456B92" w:rsidR="006F3985" w:rsidRDefault="00EB1832" w:rsidP="00D71AB1">
      <w:pPr>
        <w:tabs>
          <w:tab w:val="decimal" w:pos="0"/>
          <w:tab w:val="left" w:pos="720"/>
          <w:tab w:val="left" w:pos="1440"/>
        </w:tabs>
      </w:pPr>
      <w:r>
        <w:tab/>
      </w:r>
      <w:r>
        <w:tab/>
      </w:r>
      <w:r>
        <w:tab/>
      </w:r>
      <w:r>
        <w:tab/>
      </w:r>
      <w:r>
        <w:tab/>
      </w:r>
      <w:r>
        <w:tab/>
        <w:t>727- 209-5967</w:t>
      </w:r>
      <w:r w:rsidR="006F3985" w:rsidRPr="00532ABB">
        <w:tab/>
      </w:r>
    </w:p>
    <w:p w14:paraId="206ED529" w14:textId="75A23FFB" w:rsidR="00C76F56" w:rsidRPr="00532ABB" w:rsidRDefault="00C76F56" w:rsidP="00D71AB1">
      <w:pPr>
        <w:tabs>
          <w:tab w:val="decimal" w:pos="0"/>
          <w:tab w:val="left" w:pos="720"/>
          <w:tab w:val="left" w:pos="1440"/>
        </w:tabs>
      </w:pPr>
      <w:r>
        <w:tab/>
      </w:r>
      <w:r>
        <w:tab/>
      </w:r>
      <w:r>
        <w:tab/>
      </w:r>
      <w:r>
        <w:tab/>
      </w:r>
      <w:r>
        <w:tab/>
      </w:r>
      <w:r>
        <w:tab/>
      </w:r>
      <w:r w:rsidR="00973FB9">
        <w:t>Mary Vara</w:t>
      </w:r>
    </w:p>
    <w:p w14:paraId="56F4510C" w14:textId="2F4310E4" w:rsidR="006F3985" w:rsidRDefault="006F3985" w:rsidP="00D71AB1">
      <w:pPr>
        <w:tabs>
          <w:tab w:val="decimal" w:pos="0"/>
          <w:tab w:val="left" w:pos="720"/>
          <w:tab w:val="left" w:pos="1440"/>
        </w:tabs>
      </w:pPr>
      <w:r w:rsidRPr="00532ABB">
        <w:tab/>
      </w:r>
      <w:r w:rsidRPr="00532ABB">
        <w:tab/>
      </w:r>
      <w:r w:rsidRPr="00532ABB">
        <w:tab/>
      </w:r>
      <w:r w:rsidRPr="00532ABB">
        <w:tab/>
      </w:r>
      <w:r w:rsidRPr="00532ABB">
        <w:tab/>
      </w:r>
      <w:r w:rsidRPr="00532ABB">
        <w:tab/>
      </w:r>
      <w:hyperlink r:id="rId19" w:history="1">
        <w:r w:rsidR="00973FB9" w:rsidRPr="00705972">
          <w:rPr>
            <w:rStyle w:val="Hyperlink"/>
          </w:rPr>
          <w:t>Mary.Vara@noaa.gov</w:t>
        </w:r>
      </w:hyperlink>
    </w:p>
    <w:p w14:paraId="506C66AD" w14:textId="10F6D817" w:rsidR="00973FB9" w:rsidRDefault="00922E4D" w:rsidP="00D71AB1">
      <w:pPr>
        <w:tabs>
          <w:tab w:val="decimal" w:pos="0"/>
          <w:tab w:val="left" w:pos="720"/>
          <w:tab w:val="left" w:pos="1440"/>
        </w:tabs>
      </w:pPr>
      <w:r>
        <w:tab/>
      </w:r>
      <w:r>
        <w:tab/>
      </w:r>
      <w:r>
        <w:tab/>
      </w:r>
      <w:r>
        <w:tab/>
      </w:r>
      <w:r>
        <w:tab/>
      </w:r>
      <w:r>
        <w:tab/>
        <w:t>Nikhil Mehta</w:t>
      </w:r>
    </w:p>
    <w:p w14:paraId="0EAFFFD9" w14:textId="7E49E5A7" w:rsidR="00922E4D" w:rsidRPr="00532ABB" w:rsidRDefault="00922E4D" w:rsidP="00D71AB1">
      <w:pPr>
        <w:tabs>
          <w:tab w:val="decimal" w:pos="0"/>
          <w:tab w:val="left" w:pos="720"/>
          <w:tab w:val="left" w:pos="1440"/>
        </w:tabs>
      </w:pPr>
      <w:r>
        <w:tab/>
      </w:r>
      <w:r>
        <w:tab/>
      </w:r>
      <w:r>
        <w:tab/>
      </w:r>
      <w:r>
        <w:tab/>
      </w:r>
      <w:r>
        <w:tab/>
      </w:r>
      <w:r>
        <w:tab/>
      </w:r>
      <w:hyperlink r:id="rId20" w:history="1">
        <w:r w:rsidRPr="00922E4D">
          <w:rPr>
            <w:rStyle w:val="Hyperlink"/>
          </w:rPr>
          <w:t>Nikhil.Mehta@noaa.gov</w:t>
        </w:r>
      </w:hyperlink>
    </w:p>
    <w:p w14:paraId="75D61A50" w14:textId="77777777" w:rsidR="006F3985" w:rsidRPr="00532ABB" w:rsidRDefault="006F3985" w:rsidP="00D71AB1">
      <w:pPr>
        <w:jc w:val="center"/>
        <w:rPr>
          <w:b/>
          <w:color w:val="548DD4" w:themeColor="text2" w:themeTint="99"/>
        </w:rPr>
      </w:pPr>
    </w:p>
    <w:p w14:paraId="31BC70EA" w14:textId="77777777" w:rsidR="006F3985" w:rsidRPr="00532ABB" w:rsidRDefault="006F3985" w:rsidP="00D71AB1">
      <w:pPr>
        <w:jc w:val="center"/>
        <w:rPr>
          <w:b/>
          <w:color w:val="548DD4" w:themeColor="text2" w:themeTint="99"/>
        </w:rPr>
      </w:pPr>
    </w:p>
    <w:p w14:paraId="2544929B" w14:textId="77777777" w:rsidR="006F3985" w:rsidRPr="00532ABB" w:rsidRDefault="006F3985" w:rsidP="00D71AB1">
      <w:pPr>
        <w:jc w:val="center"/>
        <w:rPr>
          <w:b/>
          <w:color w:val="548DD4" w:themeColor="text2" w:themeTint="99"/>
        </w:rPr>
        <w:sectPr w:rsidR="006F3985" w:rsidRPr="00532ABB" w:rsidSect="0038545E">
          <w:footerReference w:type="default" r:id="rId21"/>
          <w:type w:val="nextColumn"/>
          <w:pgSz w:w="12240" w:h="15840" w:code="1"/>
          <w:pgMar w:top="1440" w:right="1800" w:bottom="1440" w:left="1800" w:header="720" w:footer="720" w:gutter="0"/>
          <w:pgNumType w:fmt="upperRoman"/>
          <w:cols w:space="720"/>
          <w:docGrid w:linePitch="360"/>
        </w:sectPr>
      </w:pPr>
    </w:p>
    <w:p w14:paraId="011D8ABF" w14:textId="77777777" w:rsidR="007E1AEA" w:rsidRPr="000E374B" w:rsidRDefault="007E1AEA" w:rsidP="00D71AB1">
      <w:pPr>
        <w:pStyle w:val="Heading1"/>
        <w:jc w:val="center"/>
        <w:rPr>
          <w:rFonts w:ascii="Times New Roman" w:hAnsi="Times New Roman" w:cs="Times New Roman"/>
          <w:color w:val="4F81BD" w:themeColor="accent1"/>
          <w:sz w:val="56"/>
          <w:szCs w:val="56"/>
        </w:rPr>
      </w:pPr>
      <w:bookmarkStart w:id="0" w:name="_Toc347932335"/>
      <w:bookmarkStart w:id="1" w:name="_Toc357691466"/>
      <w:bookmarkStart w:id="2" w:name="_Toc357691548"/>
      <w:bookmarkStart w:id="3" w:name="_Toc359412936"/>
      <w:bookmarkStart w:id="4" w:name="_Toc361410380"/>
      <w:bookmarkStart w:id="5" w:name="_Toc362192334"/>
      <w:bookmarkStart w:id="6" w:name="_Toc365017713"/>
      <w:bookmarkStart w:id="7" w:name="_Toc368404587"/>
      <w:bookmarkStart w:id="8" w:name="_Toc374615651"/>
      <w:bookmarkStart w:id="9" w:name="_Toc339811685"/>
      <w:r w:rsidRPr="000E374B">
        <w:rPr>
          <w:rFonts w:ascii="Times New Roman" w:hAnsi="Times New Roman" w:cs="Times New Roman"/>
          <w:color w:val="4F81BD" w:themeColor="accent1"/>
          <w:sz w:val="56"/>
          <w:szCs w:val="56"/>
        </w:rPr>
        <w:lastRenderedPageBreak/>
        <w:t>Table of Contents</w:t>
      </w:r>
      <w:bookmarkEnd w:id="0"/>
      <w:bookmarkEnd w:id="1"/>
      <w:bookmarkEnd w:id="2"/>
      <w:bookmarkEnd w:id="3"/>
      <w:bookmarkEnd w:id="4"/>
      <w:bookmarkEnd w:id="5"/>
      <w:bookmarkEnd w:id="6"/>
      <w:bookmarkEnd w:id="7"/>
      <w:bookmarkEnd w:id="8"/>
      <w:bookmarkEnd w:id="9"/>
    </w:p>
    <w:p w14:paraId="66919123" w14:textId="77777777" w:rsidR="00BE4012" w:rsidRPr="00BE4012" w:rsidRDefault="00FE05EA" w:rsidP="00BE4012">
      <w:pPr>
        <w:pStyle w:val="TOC1"/>
        <w:rPr>
          <w:rFonts w:eastAsiaTheme="minorEastAsia"/>
          <w:lang w:eastAsia="ja-JP"/>
        </w:rPr>
      </w:pPr>
      <w:r w:rsidRPr="00BE4012">
        <w:fldChar w:fldCharType="begin"/>
      </w:r>
      <w:r w:rsidR="007E1AEA" w:rsidRPr="00BE4012">
        <w:instrText xml:space="preserve"> TOC \o "1-3" \h \z \u </w:instrText>
      </w:r>
      <w:r w:rsidRPr="00BE4012">
        <w:fldChar w:fldCharType="separate"/>
      </w:r>
      <w:r w:rsidR="00BE4012" w:rsidRPr="00BE4012">
        <w:t>Table of Contents</w:t>
      </w:r>
      <w:r w:rsidR="00BE4012" w:rsidRPr="00BE4012">
        <w:tab/>
      </w:r>
      <w:r w:rsidR="00BE4012" w:rsidRPr="00BE4012">
        <w:fldChar w:fldCharType="begin"/>
      </w:r>
      <w:r w:rsidR="00BE4012" w:rsidRPr="00BE4012">
        <w:instrText xml:space="preserve"> PAGEREF _Toc339811685 \h </w:instrText>
      </w:r>
      <w:r w:rsidR="00BE4012" w:rsidRPr="00BE4012">
        <w:fldChar w:fldCharType="separate"/>
      </w:r>
      <w:r w:rsidR="00121B59">
        <w:t>III</w:t>
      </w:r>
      <w:r w:rsidR="00BE4012" w:rsidRPr="00BE4012">
        <w:fldChar w:fldCharType="end"/>
      </w:r>
    </w:p>
    <w:p w14:paraId="7979CC12" w14:textId="77777777" w:rsidR="00BE4012" w:rsidRPr="00BE4012" w:rsidRDefault="00BE4012" w:rsidP="00BE4012">
      <w:pPr>
        <w:pStyle w:val="TOC1"/>
        <w:rPr>
          <w:rFonts w:eastAsiaTheme="minorEastAsia"/>
          <w:lang w:eastAsia="ja-JP"/>
        </w:rPr>
      </w:pPr>
      <w:r w:rsidRPr="00BE4012">
        <w:t>List of Appendices</w:t>
      </w:r>
      <w:r w:rsidRPr="00BE4012">
        <w:tab/>
      </w:r>
      <w:r w:rsidRPr="00BE4012">
        <w:fldChar w:fldCharType="begin"/>
      </w:r>
      <w:r w:rsidRPr="00BE4012">
        <w:instrText xml:space="preserve"> PAGEREF _Toc339811686 \h </w:instrText>
      </w:r>
      <w:r w:rsidRPr="00BE4012">
        <w:fldChar w:fldCharType="separate"/>
      </w:r>
      <w:r w:rsidR="00121B59">
        <w:t>VIII</w:t>
      </w:r>
      <w:r w:rsidRPr="00BE4012">
        <w:fldChar w:fldCharType="end"/>
      </w:r>
    </w:p>
    <w:p w14:paraId="5096D602" w14:textId="77777777" w:rsidR="00BE4012" w:rsidRPr="00BE4012" w:rsidRDefault="00BE4012" w:rsidP="00BE4012">
      <w:pPr>
        <w:pStyle w:val="TOC1"/>
        <w:rPr>
          <w:rFonts w:eastAsiaTheme="minorEastAsia"/>
          <w:lang w:eastAsia="ja-JP"/>
        </w:rPr>
      </w:pPr>
      <w:r w:rsidRPr="00BE4012">
        <w:t>List of Tables</w:t>
      </w:r>
      <w:r w:rsidRPr="00BE4012">
        <w:tab/>
      </w:r>
      <w:r w:rsidRPr="00BE4012">
        <w:fldChar w:fldCharType="begin"/>
      </w:r>
      <w:r w:rsidRPr="00BE4012">
        <w:instrText xml:space="preserve"> PAGEREF _Toc339811687 \h </w:instrText>
      </w:r>
      <w:r w:rsidRPr="00BE4012">
        <w:fldChar w:fldCharType="separate"/>
      </w:r>
      <w:r w:rsidR="00121B59">
        <w:t>IX</w:t>
      </w:r>
      <w:r w:rsidRPr="00BE4012">
        <w:fldChar w:fldCharType="end"/>
      </w:r>
    </w:p>
    <w:p w14:paraId="459CF427" w14:textId="77777777" w:rsidR="00BE4012" w:rsidRPr="00BE4012" w:rsidRDefault="00BE4012" w:rsidP="00BE4012">
      <w:pPr>
        <w:pStyle w:val="TOC1"/>
        <w:rPr>
          <w:rFonts w:eastAsiaTheme="minorEastAsia"/>
          <w:lang w:eastAsia="ja-JP"/>
        </w:rPr>
      </w:pPr>
      <w:r w:rsidRPr="00BE4012">
        <w:t>List of Figures</w:t>
      </w:r>
      <w:r w:rsidRPr="00BE4012">
        <w:tab/>
      </w:r>
      <w:r w:rsidRPr="00BE4012">
        <w:fldChar w:fldCharType="begin"/>
      </w:r>
      <w:r w:rsidRPr="00BE4012">
        <w:instrText xml:space="preserve"> PAGEREF _Toc339811688 \h </w:instrText>
      </w:r>
      <w:r w:rsidRPr="00BE4012">
        <w:fldChar w:fldCharType="separate"/>
      </w:r>
      <w:r w:rsidR="00121B59">
        <w:t>XII</w:t>
      </w:r>
      <w:r w:rsidRPr="00BE4012">
        <w:fldChar w:fldCharType="end"/>
      </w:r>
    </w:p>
    <w:p w14:paraId="314F4573" w14:textId="5408DE29" w:rsidR="00BE4012" w:rsidRPr="00BE4012" w:rsidRDefault="00BE4012" w:rsidP="00BE4012">
      <w:pPr>
        <w:pStyle w:val="TOC1"/>
        <w:rPr>
          <w:rFonts w:eastAsiaTheme="minorEastAsia"/>
          <w:lang w:eastAsia="ja-JP"/>
        </w:rPr>
      </w:pPr>
      <w:r w:rsidRPr="00BE4012">
        <w:t>Summary</w:t>
      </w:r>
      <w:r w:rsidRPr="00BE4012">
        <w:tab/>
      </w:r>
      <w:r w:rsidR="00121B59">
        <w:t>S-</w:t>
      </w:r>
      <w:r w:rsidRPr="00BE4012">
        <w:fldChar w:fldCharType="begin"/>
      </w:r>
      <w:r w:rsidRPr="00BE4012">
        <w:instrText xml:space="preserve"> PAGEREF _Toc339811689 \h </w:instrText>
      </w:r>
      <w:r w:rsidRPr="00BE4012">
        <w:fldChar w:fldCharType="separate"/>
      </w:r>
      <w:r w:rsidR="00121B59">
        <w:t>1</w:t>
      </w:r>
      <w:r w:rsidRPr="00BE4012">
        <w:fldChar w:fldCharType="end"/>
      </w:r>
    </w:p>
    <w:p w14:paraId="492818FB" w14:textId="77777777" w:rsidR="00BE4012" w:rsidRPr="00BE4012" w:rsidRDefault="00BE4012" w:rsidP="00BE4012">
      <w:pPr>
        <w:pStyle w:val="TOC1"/>
        <w:rPr>
          <w:rFonts w:eastAsiaTheme="minorEastAsia"/>
          <w:lang w:eastAsia="ja-JP"/>
        </w:rPr>
      </w:pPr>
      <w:r w:rsidRPr="00BE4012">
        <w:t>Chapter 1.  Introduction</w:t>
      </w:r>
      <w:r w:rsidRPr="00BE4012">
        <w:tab/>
      </w:r>
      <w:r w:rsidRPr="00BE4012">
        <w:fldChar w:fldCharType="begin"/>
      </w:r>
      <w:r w:rsidRPr="00BE4012">
        <w:instrText xml:space="preserve"> PAGEREF _Toc339811690 \h </w:instrText>
      </w:r>
      <w:r w:rsidRPr="00BE4012">
        <w:fldChar w:fldCharType="separate"/>
      </w:r>
      <w:r w:rsidR="00121B59">
        <w:t>1</w:t>
      </w:r>
      <w:r w:rsidRPr="00BE4012">
        <w:fldChar w:fldCharType="end"/>
      </w:r>
    </w:p>
    <w:p w14:paraId="2253249C"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1.1</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What actions are being proposed in this amendment?</w:t>
      </w:r>
      <w:r w:rsidRPr="00BE4012">
        <w:rPr>
          <w:rFonts w:ascii="Times New Roman" w:hAnsi="Times New Roman" w:cs="Times New Roman"/>
          <w:b w:val="0"/>
          <w:iCs w:val="0"/>
        </w:rPr>
        <w:t xml:space="preserve"> </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_Toc339811691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1</w:t>
      </w:r>
      <w:r w:rsidRPr="00BE4012">
        <w:rPr>
          <w:rFonts w:ascii="Times New Roman" w:hAnsi="Times New Roman" w:cs="Times New Roman"/>
          <w:b w:val="0"/>
        </w:rPr>
        <w:fldChar w:fldCharType="end"/>
      </w:r>
    </w:p>
    <w:p w14:paraId="6AB03CD3"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1.2</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Who is proposing the amendment?</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_Toc339811692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1</w:t>
      </w:r>
      <w:r w:rsidRPr="00BE4012">
        <w:rPr>
          <w:rFonts w:ascii="Times New Roman" w:hAnsi="Times New Roman" w:cs="Times New Roman"/>
          <w:b w:val="0"/>
        </w:rPr>
        <w:fldChar w:fldCharType="end"/>
      </w:r>
    </w:p>
    <w:p w14:paraId="061A67C9"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1.3</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Purpose and need statement</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_Toc339811693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2</w:t>
      </w:r>
      <w:r w:rsidRPr="00BE4012">
        <w:rPr>
          <w:rFonts w:ascii="Times New Roman" w:hAnsi="Times New Roman" w:cs="Times New Roman"/>
          <w:b w:val="0"/>
        </w:rPr>
        <w:fldChar w:fldCharType="end"/>
      </w:r>
    </w:p>
    <w:p w14:paraId="3E0C4A89"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1.4</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What is the history of management for mutton snapper?</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_Toc339811694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2</w:t>
      </w:r>
      <w:r w:rsidRPr="00BE4012">
        <w:rPr>
          <w:rFonts w:ascii="Times New Roman" w:hAnsi="Times New Roman" w:cs="Times New Roman"/>
          <w:b w:val="0"/>
        </w:rPr>
        <w:fldChar w:fldCharType="end"/>
      </w:r>
    </w:p>
    <w:p w14:paraId="78942C4D" w14:textId="5DD9B0DD"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1.5</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What are annual catch limits and accountability measures and why are they required?</w:t>
      </w:r>
      <w:r w:rsidR="00121B59">
        <w:rPr>
          <w:rFonts w:ascii="Times New Roman" w:hAnsi="Times New Roman" w:cs="Times New Roman"/>
          <w:b w:val="0"/>
        </w:rPr>
        <w:t>.............</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_Toc339811695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3</w:t>
      </w:r>
      <w:r w:rsidRPr="00BE4012">
        <w:rPr>
          <w:rFonts w:ascii="Times New Roman" w:hAnsi="Times New Roman" w:cs="Times New Roman"/>
          <w:b w:val="0"/>
        </w:rPr>
        <w:fldChar w:fldCharType="end"/>
      </w:r>
    </w:p>
    <w:p w14:paraId="67749190" w14:textId="036305CD"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1.6</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What is the acceptable biological catch recommendation for mutton snapper?</w:t>
      </w:r>
      <w:r w:rsidR="00121B59">
        <w:rPr>
          <w:rFonts w:ascii="Times New Roman" w:hAnsi="Times New Roman" w:cs="Times New Roman"/>
          <w:b w:val="0"/>
        </w:rPr>
        <w:t>..............</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_Toc339811696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5</w:t>
      </w:r>
      <w:r w:rsidRPr="00BE4012">
        <w:rPr>
          <w:rFonts w:ascii="Times New Roman" w:hAnsi="Times New Roman" w:cs="Times New Roman"/>
          <w:b w:val="0"/>
        </w:rPr>
        <w:fldChar w:fldCharType="end"/>
      </w:r>
    </w:p>
    <w:p w14:paraId="7E012A6F" w14:textId="77777777" w:rsidR="00BE4012" w:rsidRPr="00BE4012" w:rsidRDefault="00BE4012" w:rsidP="00BE4012">
      <w:pPr>
        <w:pStyle w:val="TOC1"/>
        <w:rPr>
          <w:rFonts w:eastAsiaTheme="minorEastAsia"/>
          <w:lang w:eastAsia="ja-JP"/>
        </w:rPr>
      </w:pPr>
      <w:r w:rsidRPr="00BE4012">
        <w:t>Chapter 2.  Proposed Actions and Alternatives</w:t>
      </w:r>
      <w:r w:rsidRPr="00BE4012">
        <w:tab/>
      </w:r>
      <w:r w:rsidRPr="00BE4012">
        <w:fldChar w:fldCharType="begin"/>
      </w:r>
      <w:r w:rsidRPr="00BE4012">
        <w:instrText xml:space="preserve"> PAGEREF _Toc339811697 \h </w:instrText>
      </w:r>
      <w:r w:rsidRPr="00BE4012">
        <w:fldChar w:fldCharType="separate"/>
      </w:r>
      <w:r w:rsidR="00121B59">
        <w:t>8</w:t>
      </w:r>
      <w:r w:rsidRPr="00BE4012">
        <w:fldChar w:fldCharType="end"/>
      </w:r>
    </w:p>
    <w:p w14:paraId="0DC5DE76"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2.1</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Action 1.  Specify maximum sustainable yield (MSY) for mutton snapper in the South Atlantic Region</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_Toc339811698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8</w:t>
      </w:r>
      <w:r w:rsidRPr="00BE4012">
        <w:rPr>
          <w:rFonts w:ascii="Times New Roman" w:hAnsi="Times New Roman" w:cs="Times New Roman"/>
          <w:b w:val="0"/>
        </w:rPr>
        <w:fldChar w:fldCharType="end"/>
      </w:r>
    </w:p>
    <w:p w14:paraId="7AF40B56" w14:textId="77777777" w:rsidR="00BE4012" w:rsidRPr="00BE4012" w:rsidRDefault="00BE4012">
      <w:pPr>
        <w:pStyle w:val="TOC2"/>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Comparison of Alternatives:</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_Toc339811699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8</w:t>
      </w:r>
      <w:r w:rsidRPr="00BE4012">
        <w:rPr>
          <w:rFonts w:ascii="Times New Roman" w:hAnsi="Times New Roman" w:cs="Times New Roman"/>
          <w:b w:val="0"/>
        </w:rPr>
        <w:fldChar w:fldCharType="end"/>
      </w:r>
    </w:p>
    <w:p w14:paraId="7F63E477"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2.2</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Action 2.  Specify minimum stock size threshold (MSST) for mutton snapper in the South Atlantic Region</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_Toc339811700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10</w:t>
      </w:r>
      <w:r w:rsidRPr="00BE4012">
        <w:rPr>
          <w:rFonts w:ascii="Times New Roman" w:hAnsi="Times New Roman" w:cs="Times New Roman"/>
          <w:b w:val="0"/>
        </w:rPr>
        <w:fldChar w:fldCharType="end"/>
      </w:r>
    </w:p>
    <w:p w14:paraId="36409DBF" w14:textId="77777777" w:rsidR="00BE4012" w:rsidRPr="00BE4012" w:rsidRDefault="00BE4012">
      <w:pPr>
        <w:pStyle w:val="TOC2"/>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Comparison of Alternatives:</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_Toc339811701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10</w:t>
      </w:r>
      <w:r w:rsidRPr="00BE4012">
        <w:rPr>
          <w:rFonts w:ascii="Times New Roman" w:hAnsi="Times New Roman" w:cs="Times New Roman"/>
          <w:b w:val="0"/>
        </w:rPr>
        <w:fldChar w:fldCharType="end"/>
      </w:r>
    </w:p>
    <w:p w14:paraId="67F06D3E"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2.3</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Action 3.  Revise annual catch limits (ACLs) and optimum yield (OY) for mutton snapper in the South Atlantic Region</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_Toc339811702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12</w:t>
      </w:r>
      <w:r w:rsidRPr="00BE4012">
        <w:rPr>
          <w:rFonts w:ascii="Times New Roman" w:hAnsi="Times New Roman" w:cs="Times New Roman"/>
          <w:b w:val="0"/>
        </w:rPr>
        <w:fldChar w:fldCharType="end"/>
      </w:r>
    </w:p>
    <w:p w14:paraId="0D9BE0F5" w14:textId="77777777" w:rsidR="00BE4012" w:rsidRPr="00BE4012" w:rsidRDefault="00BE4012">
      <w:pPr>
        <w:pStyle w:val="TOC2"/>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Comparison of Alternatives:</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_Toc339811703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12</w:t>
      </w:r>
      <w:r w:rsidRPr="00BE4012">
        <w:rPr>
          <w:rFonts w:ascii="Times New Roman" w:hAnsi="Times New Roman" w:cs="Times New Roman"/>
          <w:b w:val="0"/>
        </w:rPr>
        <w:fldChar w:fldCharType="end"/>
      </w:r>
    </w:p>
    <w:p w14:paraId="3011CD07"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bCs w:val="0"/>
        </w:rPr>
        <w:t>2.4</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bCs w:val="0"/>
        </w:rPr>
        <w:t>Action 4.  Revise recreational annual catch target (ACT) for mutton snapper in the South Atlantic Region</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_Toc339811704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16</w:t>
      </w:r>
      <w:r w:rsidRPr="00BE4012">
        <w:rPr>
          <w:rFonts w:ascii="Times New Roman" w:hAnsi="Times New Roman" w:cs="Times New Roman"/>
          <w:b w:val="0"/>
        </w:rPr>
        <w:fldChar w:fldCharType="end"/>
      </w:r>
    </w:p>
    <w:p w14:paraId="35F35DF6" w14:textId="77777777" w:rsidR="00BE4012" w:rsidRPr="00BE4012" w:rsidRDefault="00BE4012">
      <w:pPr>
        <w:pStyle w:val="TOC2"/>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Comparison of Alternatives</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_Toc339811705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16</w:t>
      </w:r>
      <w:r w:rsidRPr="00BE4012">
        <w:rPr>
          <w:rFonts w:ascii="Times New Roman" w:hAnsi="Times New Roman" w:cs="Times New Roman"/>
          <w:b w:val="0"/>
        </w:rPr>
        <w:fldChar w:fldCharType="end"/>
      </w:r>
    </w:p>
    <w:p w14:paraId="546866BB"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2.5</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 xml:space="preserve">Action 5.  Modify </w:t>
      </w:r>
      <w:r w:rsidRPr="00BE4012">
        <w:rPr>
          <w:rFonts w:ascii="Times New Roman" w:hAnsi="Times New Roman" w:cs="Times New Roman"/>
          <w:b w:val="0"/>
          <w:highlight w:val="yellow"/>
        </w:rPr>
        <w:t>the commercial and recreational</w:t>
      </w:r>
      <w:r w:rsidRPr="00BE4012">
        <w:rPr>
          <w:rFonts w:ascii="Times New Roman" w:hAnsi="Times New Roman" w:cs="Times New Roman"/>
          <w:b w:val="0"/>
        </w:rPr>
        <w:t xml:space="preserve"> </w:t>
      </w:r>
      <w:r w:rsidRPr="00BE4012">
        <w:rPr>
          <w:rFonts w:ascii="Times New Roman" w:hAnsi="Times New Roman" w:cs="Times New Roman"/>
          <w:b w:val="0"/>
          <w:strike/>
          <w:highlight w:val="yellow"/>
        </w:rPr>
        <w:t>mutton snapper</w:t>
      </w:r>
      <w:r w:rsidRPr="00BE4012">
        <w:rPr>
          <w:rFonts w:ascii="Times New Roman" w:hAnsi="Times New Roman" w:cs="Times New Roman"/>
          <w:b w:val="0"/>
          <w:strike/>
        </w:rPr>
        <w:t xml:space="preserve"> </w:t>
      </w:r>
      <w:r w:rsidRPr="00BE4012">
        <w:rPr>
          <w:rFonts w:ascii="Times New Roman" w:hAnsi="Times New Roman" w:cs="Times New Roman"/>
          <w:b w:val="0"/>
        </w:rPr>
        <w:t xml:space="preserve">minimum size limit </w:t>
      </w:r>
      <w:r w:rsidRPr="00BE4012">
        <w:rPr>
          <w:rFonts w:ascii="Times New Roman" w:hAnsi="Times New Roman" w:cs="Times New Roman"/>
          <w:b w:val="0"/>
          <w:highlight w:val="yellow"/>
        </w:rPr>
        <w:t>for mutton snapper</w:t>
      </w:r>
      <w:r w:rsidRPr="00BE4012">
        <w:rPr>
          <w:rFonts w:ascii="Times New Roman" w:hAnsi="Times New Roman" w:cs="Times New Roman"/>
          <w:b w:val="0"/>
        </w:rPr>
        <w:t xml:space="preserve"> in the South Atlantic Region</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_Toc339811706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19</w:t>
      </w:r>
      <w:r w:rsidRPr="00BE4012">
        <w:rPr>
          <w:rFonts w:ascii="Times New Roman" w:hAnsi="Times New Roman" w:cs="Times New Roman"/>
          <w:b w:val="0"/>
        </w:rPr>
        <w:fldChar w:fldCharType="end"/>
      </w:r>
    </w:p>
    <w:p w14:paraId="4439EEE6" w14:textId="77777777" w:rsidR="00BE4012" w:rsidRPr="00BE4012" w:rsidRDefault="00BE4012">
      <w:pPr>
        <w:pStyle w:val="TOC2"/>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Comparison of Alternatives</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_Toc339811707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19</w:t>
      </w:r>
      <w:r w:rsidRPr="00BE4012">
        <w:rPr>
          <w:rFonts w:ascii="Times New Roman" w:hAnsi="Times New Roman" w:cs="Times New Roman"/>
          <w:b w:val="0"/>
        </w:rPr>
        <w:fldChar w:fldCharType="end"/>
      </w:r>
    </w:p>
    <w:p w14:paraId="7D8EB4A9"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2.6</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Action 6.  Designate spawning months during which certain commercial and recreational management measures for mutton snapper should apply in the South Atlantic Region</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_Toc339811708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21</w:t>
      </w:r>
      <w:r w:rsidRPr="00BE4012">
        <w:rPr>
          <w:rFonts w:ascii="Times New Roman" w:hAnsi="Times New Roman" w:cs="Times New Roman"/>
          <w:b w:val="0"/>
        </w:rPr>
        <w:fldChar w:fldCharType="end"/>
      </w:r>
    </w:p>
    <w:p w14:paraId="66B59FB1" w14:textId="77777777" w:rsidR="00BE4012" w:rsidRPr="00BE4012" w:rsidRDefault="00BE4012">
      <w:pPr>
        <w:pStyle w:val="TOC2"/>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Comparison of Alternatives:</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_Toc339811709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21</w:t>
      </w:r>
      <w:r w:rsidRPr="00BE4012">
        <w:rPr>
          <w:rFonts w:ascii="Times New Roman" w:hAnsi="Times New Roman" w:cs="Times New Roman"/>
          <w:b w:val="0"/>
        </w:rPr>
        <w:fldChar w:fldCharType="end"/>
      </w:r>
    </w:p>
    <w:p w14:paraId="60BC4382" w14:textId="33697FE8"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2.7</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Action 7.  Modify mutton snapper recreational bag limit in the South Atlantic Region</w:t>
      </w:r>
      <w:r w:rsidR="00121B59">
        <w:rPr>
          <w:rFonts w:ascii="Times New Roman" w:hAnsi="Times New Roman" w:cs="Times New Roman"/>
          <w:b w:val="0"/>
        </w:rPr>
        <w:t>…………..</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_Toc339811710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23</w:t>
      </w:r>
      <w:r w:rsidRPr="00BE4012">
        <w:rPr>
          <w:rFonts w:ascii="Times New Roman" w:hAnsi="Times New Roman" w:cs="Times New Roman"/>
          <w:b w:val="0"/>
        </w:rPr>
        <w:fldChar w:fldCharType="end"/>
      </w:r>
    </w:p>
    <w:p w14:paraId="3176B5E2" w14:textId="77777777" w:rsidR="00BE4012" w:rsidRPr="00BE4012" w:rsidRDefault="00BE4012">
      <w:pPr>
        <w:pStyle w:val="TOC2"/>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Comparison of Alternatives</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_Toc339811711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23</w:t>
      </w:r>
      <w:r w:rsidRPr="00BE4012">
        <w:rPr>
          <w:rFonts w:ascii="Times New Roman" w:hAnsi="Times New Roman" w:cs="Times New Roman"/>
          <w:b w:val="0"/>
        </w:rPr>
        <w:fldChar w:fldCharType="end"/>
      </w:r>
    </w:p>
    <w:p w14:paraId="322C68E8" w14:textId="434EBE79"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2.8</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Action 8.  Modify mutton snapper commercial trip limit in the South Atlantic Region</w:t>
      </w:r>
      <w:r w:rsidR="00121B59">
        <w:rPr>
          <w:rFonts w:ascii="Times New Roman" w:hAnsi="Times New Roman" w:cs="Times New Roman"/>
          <w:b w:val="0"/>
        </w:rPr>
        <w:t>…………..</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_Toc339811712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26</w:t>
      </w:r>
      <w:r w:rsidRPr="00BE4012">
        <w:rPr>
          <w:rFonts w:ascii="Times New Roman" w:hAnsi="Times New Roman" w:cs="Times New Roman"/>
          <w:b w:val="0"/>
        </w:rPr>
        <w:fldChar w:fldCharType="end"/>
      </w:r>
    </w:p>
    <w:p w14:paraId="6CC162E5" w14:textId="77777777" w:rsidR="00BE4012" w:rsidRPr="00BE4012" w:rsidRDefault="00BE4012">
      <w:pPr>
        <w:pStyle w:val="TOC2"/>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Comparison of Alternatives</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_Toc339811713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26</w:t>
      </w:r>
      <w:r w:rsidRPr="00BE4012">
        <w:rPr>
          <w:rFonts w:ascii="Times New Roman" w:hAnsi="Times New Roman" w:cs="Times New Roman"/>
          <w:b w:val="0"/>
        </w:rPr>
        <w:fldChar w:fldCharType="end"/>
      </w:r>
    </w:p>
    <w:p w14:paraId="51FBEA7E" w14:textId="77777777" w:rsidR="00BE4012" w:rsidRPr="00BE4012" w:rsidRDefault="00BE4012" w:rsidP="00BE4012">
      <w:pPr>
        <w:pStyle w:val="TOC1"/>
        <w:rPr>
          <w:rFonts w:eastAsiaTheme="minorEastAsia"/>
          <w:lang w:eastAsia="ja-JP"/>
        </w:rPr>
      </w:pPr>
      <w:r w:rsidRPr="00BE4012">
        <w:t>Chapter 3.  Affected Environment</w:t>
      </w:r>
      <w:r w:rsidRPr="00BE4012">
        <w:tab/>
      </w:r>
      <w:r w:rsidRPr="00BE4012">
        <w:fldChar w:fldCharType="begin"/>
      </w:r>
      <w:r w:rsidRPr="00BE4012">
        <w:instrText xml:space="preserve"> PAGEREF _Toc339811714 \h </w:instrText>
      </w:r>
      <w:r w:rsidRPr="00BE4012">
        <w:fldChar w:fldCharType="separate"/>
      </w:r>
      <w:r w:rsidR="00121B59">
        <w:t>29</w:t>
      </w:r>
      <w:r w:rsidRPr="00BE4012">
        <w:fldChar w:fldCharType="end"/>
      </w:r>
    </w:p>
    <w:p w14:paraId="485FD4FD"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3.1</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Habitat Environment</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_Toc339811715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29</w:t>
      </w:r>
      <w:r w:rsidRPr="00BE4012">
        <w:rPr>
          <w:rFonts w:ascii="Times New Roman" w:hAnsi="Times New Roman" w:cs="Times New Roman"/>
          <w:b w:val="0"/>
        </w:rPr>
        <w:fldChar w:fldCharType="end"/>
      </w:r>
    </w:p>
    <w:p w14:paraId="1F7AD95C"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3.2</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Biological and Ecological Environment</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_Toc339811716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33</w:t>
      </w:r>
      <w:r w:rsidRPr="00BE4012">
        <w:rPr>
          <w:rFonts w:ascii="Times New Roman" w:hAnsi="Times New Roman" w:cs="Times New Roman"/>
          <w:b w:val="0"/>
        </w:rPr>
        <w:fldChar w:fldCharType="end"/>
      </w:r>
    </w:p>
    <w:p w14:paraId="46F16408" w14:textId="77777777" w:rsidR="00BE4012" w:rsidRPr="00BE4012" w:rsidRDefault="00BE4012">
      <w:pPr>
        <w:pStyle w:val="TOC3"/>
        <w:rPr>
          <w:rFonts w:eastAsiaTheme="minorEastAsia"/>
          <w:bCs w:val="0"/>
          <w:lang w:eastAsia="ja-JP"/>
        </w:rPr>
      </w:pPr>
      <w:r w:rsidRPr="00BE4012">
        <w:lastRenderedPageBreak/>
        <w:t>3.2.1  Fish Populations Affected by this Amendment</w:t>
      </w:r>
      <w:r w:rsidRPr="00BE4012">
        <w:tab/>
      </w:r>
      <w:r w:rsidRPr="00BE4012">
        <w:fldChar w:fldCharType="begin"/>
      </w:r>
      <w:r w:rsidRPr="00BE4012">
        <w:instrText xml:space="preserve"> PAGEREF _Toc339811717 \h </w:instrText>
      </w:r>
      <w:r w:rsidRPr="00BE4012">
        <w:fldChar w:fldCharType="separate"/>
      </w:r>
      <w:r w:rsidR="00121B59">
        <w:t>33</w:t>
      </w:r>
      <w:r w:rsidRPr="00BE4012">
        <w:fldChar w:fldCharType="end"/>
      </w:r>
    </w:p>
    <w:p w14:paraId="359756EE" w14:textId="77777777" w:rsidR="00BE4012" w:rsidRPr="00BE4012" w:rsidRDefault="00BE4012">
      <w:pPr>
        <w:pStyle w:val="TOC3"/>
        <w:rPr>
          <w:rFonts w:eastAsiaTheme="minorEastAsia"/>
          <w:bCs w:val="0"/>
          <w:lang w:eastAsia="ja-JP"/>
        </w:rPr>
      </w:pPr>
      <w:r w:rsidRPr="00BE4012">
        <w:rPr>
          <w:bCs w:val="0"/>
        </w:rPr>
        <w:t>3.2.2  Bycatch</w:t>
      </w:r>
      <w:r w:rsidRPr="00BE4012">
        <w:tab/>
      </w:r>
      <w:r w:rsidRPr="00BE4012">
        <w:fldChar w:fldCharType="begin"/>
      </w:r>
      <w:r w:rsidRPr="00BE4012">
        <w:instrText xml:space="preserve"> PAGEREF _Toc339811718 \h </w:instrText>
      </w:r>
      <w:r w:rsidRPr="00BE4012">
        <w:fldChar w:fldCharType="separate"/>
      </w:r>
      <w:r w:rsidR="00121B59">
        <w:t>36</w:t>
      </w:r>
      <w:r w:rsidRPr="00BE4012">
        <w:fldChar w:fldCharType="end"/>
      </w:r>
    </w:p>
    <w:p w14:paraId="09EEC201" w14:textId="77777777" w:rsidR="00BE4012" w:rsidRPr="00BE4012" w:rsidRDefault="00BE4012">
      <w:pPr>
        <w:pStyle w:val="TOC3"/>
        <w:tabs>
          <w:tab w:val="left" w:pos="1440"/>
        </w:tabs>
        <w:rPr>
          <w:rFonts w:eastAsiaTheme="minorEastAsia"/>
          <w:bCs w:val="0"/>
          <w:lang w:eastAsia="ja-JP"/>
        </w:rPr>
      </w:pPr>
      <w:r w:rsidRPr="00BE4012">
        <w:t>3.2.5</w:t>
      </w:r>
      <w:r w:rsidRPr="00BE4012">
        <w:rPr>
          <w:rFonts w:eastAsiaTheme="minorEastAsia"/>
          <w:bCs w:val="0"/>
          <w:lang w:eastAsia="ja-JP"/>
        </w:rPr>
        <w:tab/>
      </w:r>
      <w:r w:rsidRPr="00BE4012">
        <w:t>Protected Species</w:t>
      </w:r>
      <w:r w:rsidRPr="00BE4012">
        <w:tab/>
      </w:r>
      <w:r w:rsidRPr="00BE4012">
        <w:fldChar w:fldCharType="begin"/>
      </w:r>
      <w:r w:rsidRPr="00BE4012">
        <w:instrText xml:space="preserve"> PAGEREF _Toc339811719 \h </w:instrText>
      </w:r>
      <w:r w:rsidRPr="00BE4012">
        <w:fldChar w:fldCharType="separate"/>
      </w:r>
      <w:r w:rsidR="00121B59">
        <w:t>37</w:t>
      </w:r>
      <w:r w:rsidRPr="00BE4012">
        <w:fldChar w:fldCharType="end"/>
      </w:r>
    </w:p>
    <w:p w14:paraId="2795562A" w14:textId="77777777" w:rsidR="00BE4012" w:rsidRPr="00BE4012" w:rsidRDefault="00BE4012">
      <w:pPr>
        <w:pStyle w:val="TOC2"/>
        <w:tabs>
          <w:tab w:val="left" w:pos="1180"/>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 xml:space="preserve">3.3 </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Economic and Social Environment</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_Toc339811720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43</w:t>
      </w:r>
      <w:r w:rsidRPr="00BE4012">
        <w:rPr>
          <w:rFonts w:ascii="Times New Roman" w:hAnsi="Times New Roman" w:cs="Times New Roman"/>
          <w:b w:val="0"/>
        </w:rPr>
        <w:fldChar w:fldCharType="end"/>
      </w:r>
    </w:p>
    <w:p w14:paraId="27174CC5" w14:textId="77777777" w:rsidR="00BE4012" w:rsidRPr="00BE4012" w:rsidRDefault="00BE4012">
      <w:pPr>
        <w:pStyle w:val="TOC2"/>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3.3.1  Economic Environment</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_Toc339811721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43</w:t>
      </w:r>
      <w:r w:rsidRPr="00BE4012">
        <w:rPr>
          <w:rFonts w:ascii="Times New Roman" w:hAnsi="Times New Roman" w:cs="Times New Roman"/>
          <w:b w:val="0"/>
        </w:rPr>
        <w:fldChar w:fldCharType="end"/>
      </w:r>
    </w:p>
    <w:p w14:paraId="43E8EE4B" w14:textId="77777777" w:rsidR="00BE4012" w:rsidRPr="00BE4012" w:rsidRDefault="00BE4012">
      <w:pPr>
        <w:pStyle w:val="TOC3"/>
        <w:tabs>
          <w:tab w:val="left" w:pos="2700"/>
        </w:tabs>
        <w:rPr>
          <w:rFonts w:eastAsiaTheme="minorEastAsia"/>
          <w:bCs w:val="0"/>
          <w:lang w:eastAsia="ja-JP"/>
        </w:rPr>
      </w:pPr>
      <w:r w:rsidRPr="00BE4012">
        <w:t>3.3.1.1</w:t>
      </w:r>
      <w:r w:rsidRPr="00BE4012">
        <w:rPr>
          <w:rFonts w:eastAsiaTheme="minorEastAsia"/>
          <w:bCs w:val="0"/>
          <w:lang w:eastAsia="ja-JP"/>
        </w:rPr>
        <w:tab/>
      </w:r>
      <w:r w:rsidRPr="00BE4012">
        <w:t>Economic Description of the Commercial Sector</w:t>
      </w:r>
      <w:r w:rsidRPr="00BE4012">
        <w:tab/>
      </w:r>
      <w:r w:rsidRPr="00BE4012">
        <w:fldChar w:fldCharType="begin"/>
      </w:r>
      <w:r w:rsidRPr="00BE4012">
        <w:instrText xml:space="preserve"> PAGEREF _Toc339811722 \h </w:instrText>
      </w:r>
      <w:r w:rsidRPr="00BE4012">
        <w:fldChar w:fldCharType="separate"/>
      </w:r>
      <w:r w:rsidR="00121B59">
        <w:t>43</w:t>
      </w:r>
      <w:r w:rsidRPr="00BE4012">
        <w:fldChar w:fldCharType="end"/>
      </w:r>
    </w:p>
    <w:p w14:paraId="5A0A8D15" w14:textId="77777777" w:rsidR="00BE4012" w:rsidRPr="00BE4012" w:rsidRDefault="00BE4012">
      <w:pPr>
        <w:pStyle w:val="TOC3"/>
        <w:tabs>
          <w:tab w:val="left" w:pos="2700"/>
        </w:tabs>
        <w:rPr>
          <w:rFonts w:eastAsiaTheme="minorEastAsia"/>
          <w:bCs w:val="0"/>
          <w:lang w:eastAsia="ja-JP"/>
        </w:rPr>
      </w:pPr>
      <w:r w:rsidRPr="00BE4012">
        <w:t>3.3.1.2</w:t>
      </w:r>
      <w:r w:rsidRPr="00BE4012">
        <w:rPr>
          <w:rFonts w:eastAsiaTheme="minorEastAsia"/>
          <w:bCs w:val="0"/>
          <w:lang w:eastAsia="ja-JP"/>
        </w:rPr>
        <w:tab/>
      </w:r>
      <w:r w:rsidRPr="00BE4012">
        <w:t>Economic Description of the Recreational Sector</w:t>
      </w:r>
      <w:r w:rsidRPr="00BE4012">
        <w:tab/>
      </w:r>
      <w:r w:rsidRPr="00BE4012">
        <w:fldChar w:fldCharType="begin"/>
      </w:r>
      <w:r w:rsidRPr="00BE4012">
        <w:instrText xml:space="preserve"> PAGEREF _Toc339811723 \h </w:instrText>
      </w:r>
      <w:r w:rsidRPr="00BE4012">
        <w:fldChar w:fldCharType="separate"/>
      </w:r>
      <w:r w:rsidR="00121B59">
        <w:t>53</w:t>
      </w:r>
      <w:r w:rsidRPr="00BE4012">
        <w:fldChar w:fldCharType="end"/>
      </w:r>
    </w:p>
    <w:p w14:paraId="61D356AA" w14:textId="77777777" w:rsidR="00BE4012" w:rsidRPr="00BE4012" w:rsidRDefault="00BE4012">
      <w:pPr>
        <w:pStyle w:val="TOC2"/>
        <w:tabs>
          <w:tab w:val="left" w:pos="13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3.3.2</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Social Environment</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_Toc339811724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64</w:t>
      </w:r>
      <w:r w:rsidRPr="00BE4012">
        <w:rPr>
          <w:rFonts w:ascii="Times New Roman" w:hAnsi="Times New Roman" w:cs="Times New Roman"/>
          <w:b w:val="0"/>
        </w:rPr>
        <w:fldChar w:fldCharType="end"/>
      </w:r>
    </w:p>
    <w:p w14:paraId="03B09127" w14:textId="77777777" w:rsidR="00BE4012" w:rsidRPr="00BE4012" w:rsidRDefault="00BE4012">
      <w:pPr>
        <w:pStyle w:val="TOC2"/>
        <w:tabs>
          <w:tab w:val="left" w:pos="13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3.3.3</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Environmental Justice Considerations</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_Toc339811725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68</w:t>
      </w:r>
      <w:r w:rsidRPr="00BE4012">
        <w:rPr>
          <w:rFonts w:ascii="Times New Roman" w:hAnsi="Times New Roman" w:cs="Times New Roman"/>
          <w:b w:val="0"/>
        </w:rPr>
        <w:fldChar w:fldCharType="end"/>
      </w:r>
    </w:p>
    <w:p w14:paraId="27BD2D08"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3.4</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Administrative Environment</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_Toc339811726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70</w:t>
      </w:r>
      <w:r w:rsidRPr="00BE4012">
        <w:rPr>
          <w:rFonts w:ascii="Times New Roman" w:hAnsi="Times New Roman" w:cs="Times New Roman"/>
          <w:b w:val="0"/>
        </w:rPr>
        <w:fldChar w:fldCharType="end"/>
      </w:r>
    </w:p>
    <w:p w14:paraId="1F7557A9" w14:textId="77777777" w:rsidR="00BE4012" w:rsidRPr="00BE4012" w:rsidRDefault="00BE4012">
      <w:pPr>
        <w:pStyle w:val="TOC3"/>
        <w:tabs>
          <w:tab w:val="left" w:pos="1440"/>
        </w:tabs>
        <w:rPr>
          <w:rFonts w:eastAsiaTheme="minorEastAsia"/>
          <w:bCs w:val="0"/>
          <w:lang w:eastAsia="ja-JP"/>
        </w:rPr>
      </w:pPr>
      <w:r w:rsidRPr="00BE4012">
        <w:rPr>
          <w:bCs w:val="0"/>
        </w:rPr>
        <w:t>3.4.1</w:t>
      </w:r>
      <w:r w:rsidRPr="00BE4012">
        <w:rPr>
          <w:rFonts w:eastAsiaTheme="minorEastAsia"/>
          <w:bCs w:val="0"/>
          <w:lang w:eastAsia="ja-JP"/>
        </w:rPr>
        <w:tab/>
      </w:r>
      <w:r w:rsidRPr="00BE4012">
        <w:rPr>
          <w:bCs w:val="0"/>
        </w:rPr>
        <w:t>The Fishery Management Process and Applicable Laws</w:t>
      </w:r>
      <w:r w:rsidRPr="00BE4012">
        <w:tab/>
      </w:r>
      <w:r w:rsidRPr="00BE4012">
        <w:fldChar w:fldCharType="begin"/>
      </w:r>
      <w:r w:rsidRPr="00BE4012">
        <w:instrText xml:space="preserve"> PAGEREF _Toc339811727 \h </w:instrText>
      </w:r>
      <w:r w:rsidRPr="00BE4012">
        <w:fldChar w:fldCharType="separate"/>
      </w:r>
      <w:r w:rsidR="00121B59">
        <w:t>70</w:t>
      </w:r>
      <w:r w:rsidRPr="00BE4012">
        <w:fldChar w:fldCharType="end"/>
      </w:r>
    </w:p>
    <w:p w14:paraId="73B0BA5E" w14:textId="77777777" w:rsidR="00BE4012" w:rsidRPr="00BE4012" w:rsidRDefault="00BE4012" w:rsidP="00BE4012">
      <w:pPr>
        <w:pStyle w:val="TOC1"/>
        <w:rPr>
          <w:rFonts w:eastAsiaTheme="minorEastAsia"/>
          <w:lang w:eastAsia="ja-JP"/>
        </w:rPr>
      </w:pPr>
      <w:r w:rsidRPr="00BE4012">
        <w:t>Chapter 4.  Environmental Effects and Comparison of Alternatives</w:t>
      </w:r>
      <w:r w:rsidRPr="00BE4012">
        <w:tab/>
      </w:r>
      <w:r w:rsidRPr="00BE4012">
        <w:fldChar w:fldCharType="begin"/>
      </w:r>
      <w:r w:rsidRPr="00BE4012">
        <w:instrText xml:space="preserve"> PAGEREF _Toc339811728 \h </w:instrText>
      </w:r>
      <w:r w:rsidRPr="00BE4012">
        <w:fldChar w:fldCharType="separate"/>
      </w:r>
      <w:r w:rsidR="00121B59">
        <w:t>73</w:t>
      </w:r>
      <w:r w:rsidRPr="00BE4012">
        <w:fldChar w:fldCharType="end"/>
      </w:r>
    </w:p>
    <w:p w14:paraId="5DEAAF64"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4.1</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Action 1.  Specify maximum sustainable yield (MSY) for mutton snapper in the South Atlantic Region</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_Toc339811729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73</w:t>
      </w:r>
      <w:r w:rsidRPr="00BE4012">
        <w:rPr>
          <w:rFonts w:ascii="Times New Roman" w:hAnsi="Times New Roman" w:cs="Times New Roman"/>
          <w:b w:val="0"/>
        </w:rPr>
        <w:fldChar w:fldCharType="end"/>
      </w:r>
    </w:p>
    <w:p w14:paraId="0F578A4A" w14:textId="77777777" w:rsidR="00BE4012" w:rsidRPr="00BE4012" w:rsidRDefault="00BE4012">
      <w:pPr>
        <w:pStyle w:val="TOC3"/>
        <w:tabs>
          <w:tab w:val="left" w:pos="1440"/>
        </w:tabs>
        <w:rPr>
          <w:rFonts w:eastAsiaTheme="minorEastAsia"/>
          <w:bCs w:val="0"/>
          <w:lang w:eastAsia="ja-JP"/>
        </w:rPr>
      </w:pPr>
      <w:r w:rsidRPr="00BE4012">
        <w:t>4.1.1</w:t>
      </w:r>
      <w:r w:rsidRPr="00BE4012">
        <w:rPr>
          <w:rFonts w:eastAsiaTheme="minorEastAsia"/>
          <w:bCs w:val="0"/>
          <w:lang w:eastAsia="ja-JP"/>
        </w:rPr>
        <w:tab/>
      </w:r>
      <w:r w:rsidRPr="00BE4012">
        <w:t>Biological Effects</w:t>
      </w:r>
      <w:r w:rsidRPr="00BE4012">
        <w:tab/>
      </w:r>
      <w:r w:rsidRPr="00BE4012">
        <w:fldChar w:fldCharType="begin"/>
      </w:r>
      <w:r w:rsidRPr="00BE4012">
        <w:instrText xml:space="preserve"> PAGEREF _Toc339811730 \h </w:instrText>
      </w:r>
      <w:r w:rsidRPr="00BE4012">
        <w:fldChar w:fldCharType="separate"/>
      </w:r>
      <w:r w:rsidR="00121B59">
        <w:t>73</w:t>
      </w:r>
      <w:r w:rsidRPr="00BE4012">
        <w:fldChar w:fldCharType="end"/>
      </w:r>
    </w:p>
    <w:p w14:paraId="2C60EF22" w14:textId="77777777" w:rsidR="00BE4012" w:rsidRPr="00BE4012" w:rsidRDefault="00BE4012">
      <w:pPr>
        <w:pStyle w:val="TOC3"/>
        <w:tabs>
          <w:tab w:val="left" w:pos="1440"/>
        </w:tabs>
        <w:rPr>
          <w:rFonts w:eastAsiaTheme="minorEastAsia"/>
          <w:bCs w:val="0"/>
          <w:lang w:eastAsia="ja-JP"/>
        </w:rPr>
      </w:pPr>
      <w:r w:rsidRPr="00BE4012">
        <w:t>4.1.2</w:t>
      </w:r>
      <w:r w:rsidRPr="00BE4012">
        <w:rPr>
          <w:rFonts w:eastAsiaTheme="minorEastAsia"/>
          <w:bCs w:val="0"/>
          <w:lang w:eastAsia="ja-JP"/>
        </w:rPr>
        <w:tab/>
      </w:r>
      <w:r w:rsidRPr="00BE4012">
        <w:t>Economic Effects</w:t>
      </w:r>
      <w:r w:rsidRPr="00BE4012">
        <w:tab/>
      </w:r>
      <w:r w:rsidRPr="00BE4012">
        <w:fldChar w:fldCharType="begin"/>
      </w:r>
      <w:r w:rsidRPr="00BE4012">
        <w:instrText xml:space="preserve"> PAGEREF _Toc339811731 \h </w:instrText>
      </w:r>
      <w:r w:rsidRPr="00BE4012">
        <w:fldChar w:fldCharType="separate"/>
      </w:r>
      <w:r w:rsidR="00121B59">
        <w:t>74</w:t>
      </w:r>
      <w:r w:rsidRPr="00BE4012">
        <w:fldChar w:fldCharType="end"/>
      </w:r>
    </w:p>
    <w:p w14:paraId="1DC2B250" w14:textId="77777777" w:rsidR="00BE4012" w:rsidRPr="00BE4012" w:rsidRDefault="00BE4012">
      <w:pPr>
        <w:pStyle w:val="TOC3"/>
        <w:tabs>
          <w:tab w:val="left" w:pos="1440"/>
        </w:tabs>
        <w:rPr>
          <w:rFonts w:eastAsiaTheme="minorEastAsia"/>
          <w:bCs w:val="0"/>
          <w:lang w:eastAsia="ja-JP"/>
        </w:rPr>
      </w:pPr>
      <w:r w:rsidRPr="00BE4012">
        <w:t>4.1.3</w:t>
      </w:r>
      <w:r w:rsidRPr="00BE4012">
        <w:rPr>
          <w:rFonts w:eastAsiaTheme="minorEastAsia"/>
          <w:bCs w:val="0"/>
          <w:lang w:eastAsia="ja-JP"/>
        </w:rPr>
        <w:tab/>
      </w:r>
      <w:r w:rsidRPr="00BE4012">
        <w:t>Social Effects</w:t>
      </w:r>
      <w:r w:rsidRPr="00BE4012">
        <w:tab/>
      </w:r>
      <w:r w:rsidRPr="00BE4012">
        <w:fldChar w:fldCharType="begin"/>
      </w:r>
      <w:r w:rsidRPr="00BE4012">
        <w:instrText xml:space="preserve"> PAGEREF _Toc339811732 \h </w:instrText>
      </w:r>
      <w:r w:rsidRPr="00BE4012">
        <w:fldChar w:fldCharType="separate"/>
      </w:r>
      <w:r w:rsidR="00121B59">
        <w:t>74</w:t>
      </w:r>
      <w:r w:rsidRPr="00BE4012">
        <w:fldChar w:fldCharType="end"/>
      </w:r>
    </w:p>
    <w:p w14:paraId="513F5B10" w14:textId="77777777" w:rsidR="00BE4012" w:rsidRPr="00BE4012" w:rsidRDefault="00BE4012">
      <w:pPr>
        <w:pStyle w:val="TOC3"/>
        <w:tabs>
          <w:tab w:val="left" w:pos="1440"/>
        </w:tabs>
        <w:rPr>
          <w:rFonts w:eastAsiaTheme="minorEastAsia"/>
          <w:bCs w:val="0"/>
          <w:lang w:eastAsia="ja-JP"/>
        </w:rPr>
      </w:pPr>
      <w:r w:rsidRPr="00BE4012">
        <w:t>4.1.4</w:t>
      </w:r>
      <w:r w:rsidRPr="00BE4012">
        <w:rPr>
          <w:rFonts w:eastAsiaTheme="minorEastAsia"/>
          <w:bCs w:val="0"/>
          <w:lang w:eastAsia="ja-JP"/>
        </w:rPr>
        <w:tab/>
      </w:r>
      <w:r w:rsidRPr="00BE4012">
        <w:t>Administrative Effects</w:t>
      </w:r>
      <w:r w:rsidRPr="00BE4012">
        <w:tab/>
      </w:r>
      <w:r w:rsidRPr="00BE4012">
        <w:fldChar w:fldCharType="begin"/>
      </w:r>
      <w:r w:rsidRPr="00BE4012">
        <w:instrText xml:space="preserve"> PAGEREF _Toc339811733 \h </w:instrText>
      </w:r>
      <w:r w:rsidRPr="00BE4012">
        <w:fldChar w:fldCharType="separate"/>
      </w:r>
      <w:r w:rsidR="00121B59">
        <w:t>74</w:t>
      </w:r>
      <w:r w:rsidRPr="00BE4012">
        <w:fldChar w:fldCharType="end"/>
      </w:r>
    </w:p>
    <w:p w14:paraId="069550E7"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eastAsiaTheme="minorHAnsi" w:hAnsi="Times New Roman" w:cs="Times New Roman"/>
          <w:b w:val="0"/>
        </w:rPr>
        <w:t>4.2</w:t>
      </w:r>
      <w:r w:rsidRPr="00BE4012">
        <w:rPr>
          <w:rFonts w:ascii="Times New Roman" w:eastAsiaTheme="minorEastAsia" w:hAnsi="Times New Roman" w:cs="Times New Roman"/>
          <w:b w:val="0"/>
          <w:bCs w:val="0"/>
          <w:iCs w:val="0"/>
          <w:lang w:val="en-US" w:eastAsia="ja-JP"/>
        </w:rPr>
        <w:tab/>
      </w:r>
      <w:r w:rsidRPr="00BE4012">
        <w:rPr>
          <w:rFonts w:ascii="Times New Roman" w:eastAsiaTheme="minorHAnsi" w:hAnsi="Times New Roman" w:cs="Times New Roman"/>
          <w:b w:val="0"/>
        </w:rPr>
        <w:t xml:space="preserve">Action 2.  </w:t>
      </w:r>
      <w:r w:rsidRPr="00BE4012">
        <w:rPr>
          <w:rFonts w:ascii="Times New Roman" w:hAnsi="Times New Roman" w:cs="Times New Roman"/>
          <w:b w:val="0"/>
        </w:rPr>
        <w:t>Specify minimum stock size threshold (MSST) for mutton snapper in the South Atlantic Region</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_Toc339811734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76</w:t>
      </w:r>
      <w:r w:rsidRPr="00BE4012">
        <w:rPr>
          <w:rFonts w:ascii="Times New Roman" w:hAnsi="Times New Roman" w:cs="Times New Roman"/>
          <w:b w:val="0"/>
        </w:rPr>
        <w:fldChar w:fldCharType="end"/>
      </w:r>
    </w:p>
    <w:p w14:paraId="294D6A76" w14:textId="77777777" w:rsidR="00BE4012" w:rsidRPr="00BE4012" w:rsidRDefault="00BE4012">
      <w:pPr>
        <w:pStyle w:val="TOC3"/>
        <w:tabs>
          <w:tab w:val="left" w:pos="1440"/>
        </w:tabs>
        <w:rPr>
          <w:rFonts w:eastAsiaTheme="minorEastAsia"/>
          <w:bCs w:val="0"/>
          <w:lang w:eastAsia="ja-JP"/>
        </w:rPr>
      </w:pPr>
      <w:r w:rsidRPr="00BE4012">
        <w:t>4.2.1</w:t>
      </w:r>
      <w:r w:rsidRPr="00BE4012">
        <w:rPr>
          <w:rFonts w:eastAsiaTheme="minorEastAsia"/>
          <w:bCs w:val="0"/>
          <w:lang w:eastAsia="ja-JP"/>
        </w:rPr>
        <w:tab/>
      </w:r>
      <w:r w:rsidRPr="00BE4012">
        <w:t>Biological Effects</w:t>
      </w:r>
      <w:r w:rsidRPr="00BE4012">
        <w:tab/>
      </w:r>
      <w:r w:rsidRPr="00BE4012">
        <w:fldChar w:fldCharType="begin"/>
      </w:r>
      <w:r w:rsidRPr="00BE4012">
        <w:instrText xml:space="preserve"> PAGEREF _Toc339811735 \h </w:instrText>
      </w:r>
      <w:r w:rsidRPr="00BE4012">
        <w:fldChar w:fldCharType="separate"/>
      </w:r>
      <w:r w:rsidR="00121B59">
        <w:t>76</w:t>
      </w:r>
      <w:r w:rsidRPr="00BE4012">
        <w:fldChar w:fldCharType="end"/>
      </w:r>
    </w:p>
    <w:p w14:paraId="19FA01B8" w14:textId="77777777" w:rsidR="00BE4012" w:rsidRPr="00BE4012" w:rsidRDefault="00BE4012">
      <w:pPr>
        <w:pStyle w:val="TOC3"/>
        <w:tabs>
          <w:tab w:val="left" w:pos="1440"/>
        </w:tabs>
        <w:rPr>
          <w:rFonts w:eastAsiaTheme="minorEastAsia"/>
          <w:bCs w:val="0"/>
          <w:lang w:eastAsia="ja-JP"/>
        </w:rPr>
      </w:pPr>
      <w:r w:rsidRPr="00BE4012">
        <w:t>4.2.2</w:t>
      </w:r>
      <w:r w:rsidRPr="00BE4012">
        <w:rPr>
          <w:rFonts w:eastAsiaTheme="minorEastAsia"/>
          <w:bCs w:val="0"/>
          <w:lang w:eastAsia="ja-JP"/>
        </w:rPr>
        <w:tab/>
      </w:r>
      <w:r w:rsidRPr="00BE4012">
        <w:t>Economic Effects</w:t>
      </w:r>
      <w:r w:rsidRPr="00BE4012">
        <w:tab/>
      </w:r>
      <w:r w:rsidRPr="00BE4012">
        <w:fldChar w:fldCharType="begin"/>
      </w:r>
      <w:r w:rsidRPr="00BE4012">
        <w:instrText xml:space="preserve"> PAGEREF _Toc339811736 \h </w:instrText>
      </w:r>
      <w:r w:rsidRPr="00BE4012">
        <w:fldChar w:fldCharType="separate"/>
      </w:r>
      <w:r w:rsidR="00121B59">
        <w:t>77</w:t>
      </w:r>
      <w:r w:rsidRPr="00BE4012">
        <w:fldChar w:fldCharType="end"/>
      </w:r>
    </w:p>
    <w:p w14:paraId="2720A2F2" w14:textId="77777777" w:rsidR="00BE4012" w:rsidRPr="00BE4012" w:rsidRDefault="00BE4012">
      <w:pPr>
        <w:pStyle w:val="TOC3"/>
        <w:tabs>
          <w:tab w:val="left" w:pos="1440"/>
        </w:tabs>
        <w:rPr>
          <w:rFonts w:eastAsiaTheme="minorEastAsia"/>
          <w:bCs w:val="0"/>
          <w:lang w:eastAsia="ja-JP"/>
        </w:rPr>
      </w:pPr>
      <w:r w:rsidRPr="00BE4012">
        <w:t>4.2.3</w:t>
      </w:r>
      <w:r w:rsidRPr="00BE4012">
        <w:rPr>
          <w:rFonts w:eastAsiaTheme="minorEastAsia"/>
          <w:bCs w:val="0"/>
          <w:lang w:eastAsia="ja-JP"/>
        </w:rPr>
        <w:tab/>
      </w:r>
      <w:r w:rsidRPr="00BE4012">
        <w:t>Social Effects</w:t>
      </w:r>
      <w:r w:rsidRPr="00BE4012">
        <w:tab/>
      </w:r>
      <w:r w:rsidRPr="00BE4012">
        <w:fldChar w:fldCharType="begin"/>
      </w:r>
      <w:r w:rsidRPr="00BE4012">
        <w:instrText xml:space="preserve"> PAGEREF _Toc339811737 \h </w:instrText>
      </w:r>
      <w:r w:rsidRPr="00BE4012">
        <w:fldChar w:fldCharType="separate"/>
      </w:r>
      <w:r w:rsidR="00121B59">
        <w:t>78</w:t>
      </w:r>
      <w:r w:rsidRPr="00BE4012">
        <w:fldChar w:fldCharType="end"/>
      </w:r>
    </w:p>
    <w:p w14:paraId="2A17F31C" w14:textId="77777777" w:rsidR="00BE4012" w:rsidRPr="00BE4012" w:rsidRDefault="00BE4012">
      <w:pPr>
        <w:pStyle w:val="TOC3"/>
        <w:tabs>
          <w:tab w:val="left" w:pos="1440"/>
        </w:tabs>
        <w:rPr>
          <w:rFonts w:eastAsiaTheme="minorEastAsia"/>
          <w:bCs w:val="0"/>
          <w:lang w:eastAsia="ja-JP"/>
        </w:rPr>
      </w:pPr>
      <w:r w:rsidRPr="00BE4012">
        <w:t>4.2.4</w:t>
      </w:r>
      <w:r w:rsidRPr="00BE4012">
        <w:rPr>
          <w:rFonts w:eastAsiaTheme="minorEastAsia"/>
          <w:bCs w:val="0"/>
          <w:lang w:eastAsia="ja-JP"/>
        </w:rPr>
        <w:tab/>
      </w:r>
      <w:r w:rsidRPr="00BE4012">
        <w:t>Administrative Effects</w:t>
      </w:r>
      <w:r w:rsidRPr="00BE4012">
        <w:tab/>
      </w:r>
      <w:r w:rsidRPr="00BE4012">
        <w:fldChar w:fldCharType="begin"/>
      </w:r>
      <w:r w:rsidRPr="00BE4012">
        <w:instrText xml:space="preserve"> PAGEREF _Toc339811738 \h </w:instrText>
      </w:r>
      <w:r w:rsidRPr="00BE4012">
        <w:fldChar w:fldCharType="separate"/>
      </w:r>
      <w:r w:rsidR="00121B59">
        <w:t>79</w:t>
      </w:r>
      <w:r w:rsidRPr="00BE4012">
        <w:fldChar w:fldCharType="end"/>
      </w:r>
    </w:p>
    <w:p w14:paraId="73D640CD"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4.3</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Action 3.  Revise annual catch limits (ACLs) and optimum yield (OY) for mutton snapper in the South Atlantic Region</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_Toc339811739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80</w:t>
      </w:r>
      <w:r w:rsidRPr="00BE4012">
        <w:rPr>
          <w:rFonts w:ascii="Times New Roman" w:hAnsi="Times New Roman" w:cs="Times New Roman"/>
          <w:b w:val="0"/>
        </w:rPr>
        <w:fldChar w:fldCharType="end"/>
      </w:r>
    </w:p>
    <w:p w14:paraId="7D80EB2F" w14:textId="77777777" w:rsidR="00BE4012" w:rsidRPr="00BE4012" w:rsidRDefault="00BE4012">
      <w:pPr>
        <w:pStyle w:val="TOC3"/>
        <w:tabs>
          <w:tab w:val="left" w:pos="1440"/>
        </w:tabs>
        <w:rPr>
          <w:rFonts w:eastAsiaTheme="minorEastAsia"/>
          <w:bCs w:val="0"/>
          <w:lang w:eastAsia="ja-JP"/>
        </w:rPr>
      </w:pPr>
      <w:r w:rsidRPr="00BE4012">
        <w:t>4.3.1</w:t>
      </w:r>
      <w:r w:rsidRPr="00BE4012">
        <w:rPr>
          <w:rFonts w:eastAsiaTheme="minorEastAsia"/>
          <w:bCs w:val="0"/>
          <w:lang w:eastAsia="ja-JP"/>
        </w:rPr>
        <w:tab/>
      </w:r>
      <w:r w:rsidRPr="00BE4012">
        <w:t xml:space="preserve">Biological Effects </w:t>
      </w:r>
      <w:r w:rsidRPr="00BE4012">
        <w:tab/>
      </w:r>
      <w:r w:rsidRPr="00BE4012">
        <w:fldChar w:fldCharType="begin"/>
      </w:r>
      <w:r w:rsidRPr="00BE4012">
        <w:instrText xml:space="preserve"> PAGEREF _Toc339811740 \h </w:instrText>
      </w:r>
      <w:r w:rsidRPr="00BE4012">
        <w:fldChar w:fldCharType="separate"/>
      </w:r>
      <w:r w:rsidR="00121B59">
        <w:t>80</w:t>
      </w:r>
      <w:r w:rsidRPr="00BE4012">
        <w:fldChar w:fldCharType="end"/>
      </w:r>
    </w:p>
    <w:p w14:paraId="55CB6DDF" w14:textId="77777777" w:rsidR="00BE4012" w:rsidRPr="00BE4012" w:rsidRDefault="00BE4012">
      <w:pPr>
        <w:pStyle w:val="TOC3"/>
        <w:tabs>
          <w:tab w:val="left" w:pos="1440"/>
        </w:tabs>
        <w:rPr>
          <w:rFonts w:eastAsiaTheme="minorEastAsia"/>
          <w:bCs w:val="0"/>
          <w:lang w:eastAsia="ja-JP"/>
        </w:rPr>
      </w:pPr>
      <w:r w:rsidRPr="00BE4012">
        <w:t>4.3.2</w:t>
      </w:r>
      <w:r w:rsidRPr="00BE4012">
        <w:rPr>
          <w:rFonts w:eastAsiaTheme="minorEastAsia"/>
          <w:bCs w:val="0"/>
          <w:lang w:eastAsia="ja-JP"/>
        </w:rPr>
        <w:tab/>
      </w:r>
      <w:r w:rsidRPr="00BE4012">
        <w:t>Economic Effects</w:t>
      </w:r>
      <w:r w:rsidRPr="00BE4012">
        <w:tab/>
      </w:r>
      <w:r w:rsidRPr="00BE4012">
        <w:fldChar w:fldCharType="begin"/>
      </w:r>
      <w:r w:rsidRPr="00BE4012">
        <w:instrText xml:space="preserve"> PAGEREF _Toc339811741 \h </w:instrText>
      </w:r>
      <w:r w:rsidRPr="00BE4012">
        <w:fldChar w:fldCharType="separate"/>
      </w:r>
      <w:r w:rsidR="00121B59">
        <w:t>83</w:t>
      </w:r>
      <w:r w:rsidRPr="00BE4012">
        <w:fldChar w:fldCharType="end"/>
      </w:r>
    </w:p>
    <w:p w14:paraId="7842F154" w14:textId="77777777" w:rsidR="00BE4012" w:rsidRPr="00BE4012" w:rsidRDefault="00BE4012">
      <w:pPr>
        <w:pStyle w:val="TOC3"/>
        <w:tabs>
          <w:tab w:val="left" w:pos="1440"/>
        </w:tabs>
        <w:rPr>
          <w:rFonts w:eastAsiaTheme="minorEastAsia"/>
          <w:bCs w:val="0"/>
          <w:lang w:eastAsia="ja-JP"/>
        </w:rPr>
      </w:pPr>
      <w:r w:rsidRPr="00BE4012">
        <w:t>4.3.3</w:t>
      </w:r>
      <w:r w:rsidRPr="00BE4012">
        <w:rPr>
          <w:rFonts w:eastAsiaTheme="minorEastAsia"/>
          <w:bCs w:val="0"/>
          <w:lang w:eastAsia="ja-JP"/>
        </w:rPr>
        <w:tab/>
      </w:r>
      <w:r w:rsidRPr="00BE4012">
        <w:t>Social Effects</w:t>
      </w:r>
      <w:r w:rsidRPr="00BE4012">
        <w:tab/>
      </w:r>
      <w:r w:rsidRPr="00BE4012">
        <w:fldChar w:fldCharType="begin"/>
      </w:r>
      <w:r w:rsidRPr="00BE4012">
        <w:instrText xml:space="preserve"> PAGEREF _Toc339811742 \h </w:instrText>
      </w:r>
      <w:r w:rsidRPr="00BE4012">
        <w:fldChar w:fldCharType="separate"/>
      </w:r>
      <w:r w:rsidR="00121B59">
        <w:t>84</w:t>
      </w:r>
      <w:r w:rsidRPr="00BE4012">
        <w:fldChar w:fldCharType="end"/>
      </w:r>
    </w:p>
    <w:p w14:paraId="3B31243E" w14:textId="77777777" w:rsidR="00BE4012" w:rsidRPr="00BE4012" w:rsidRDefault="00BE4012">
      <w:pPr>
        <w:pStyle w:val="TOC3"/>
        <w:tabs>
          <w:tab w:val="left" w:pos="1440"/>
        </w:tabs>
        <w:rPr>
          <w:rFonts w:eastAsiaTheme="minorEastAsia"/>
          <w:bCs w:val="0"/>
          <w:lang w:eastAsia="ja-JP"/>
        </w:rPr>
      </w:pPr>
      <w:r w:rsidRPr="00BE4012">
        <w:t>4.3.4</w:t>
      </w:r>
      <w:r w:rsidRPr="00BE4012">
        <w:rPr>
          <w:rFonts w:eastAsiaTheme="minorEastAsia"/>
          <w:bCs w:val="0"/>
          <w:lang w:eastAsia="ja-JP"/>
        </w:rPr>
        <w:tab/>
      </w:r>
      <w:r w:rsidRPr="00BE4012">
        <w:t>Administrative Effects</w:t>
      </w:r>
      <w:r w:rsidRPr="00BE4012">
        <w:tab/>
      </w:r>
      <w:r w:rsidRPr="00BE4012">
        <w:fldChar w:fldCharType="begin"/>
      </w:r>
      <w:r w:rsidRPr="00BE4012">
        <w:instrText xml:space="preserve"> PAGEREF _Toc339811743 \h </w:instrText>
      </w:r>
      <w:r w:rsidRPr="00BE4012">
        <w:fldChar w:fldCharType="separate"/>
      </w:r>
      <w:r w:rsidR="00121B59">
        <w:t>85</w:t>
      </w:r>
      <w:r w:rsidRPr="00BE4012">
        <w:fldChar w:fldCharType="end"/>
      </w:r>
    </w:p>
    <w:p w14:paraId="67483AC2"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bCs w:val="0"/>
        </w:rPr>
        <w:t>4.4</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bCs w:val="0"/>
        </w:rPr>
        <w:t>Action 4.  Revise recreational annual catch target (ACT) for mutton snapper in the South Atlantic Region</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_Toc339811744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86</w:t>
      </w:r>
      <w:r w:rsidRPr="00BE4012">
        <w:rPr>
          <w:rFonts w:ascii="Times New Roman" w:hAnsi="Times New Roman" w:cs="Times New Roman"/>
          <w:b w:val="0"/>
        </w:rPr>
        <w:fldChar w:fldCharType="end"/>
      </w:r>
    </w:p>
    <w:p w14:paraId="59031551" w14:textId="77777777" w:rsidR="00BE4012" w:rsidRPr="00BE4012" w:rsidRDefault="00BE4012">
      <w:pPr>
        <w:pStyle w:val="TOC3"/>
        <w:tabs>
          <w:tab w:val="left" w:pos="1440"/>
        </w:tabs>
        <w:rPr>
          <w:rFonts w:eastAsiaTheme="minorEastAsia"/>
          <w:bCs w:val="0"/>
          <w:lang w:eastAsia="ja-JP"/>
        </w:rPr>
      </w:pPr>
      <w:r w:rsidRPr="00BE4012">
        <w:t>4.4.1</w:t>
      </w:r>
      <w:r w:rsidRPr="00BE4012">
        <w:rPr>
          <w:rFonts w:eastAsiaTheme="minorEastAsia"/>
          <w:bCs w:val="0"/>
          <w:lang w:eastAsia="ja-JP"/>
        </w:rPr>
        <w:tab/>
      </w:r>
      <w:r w:rsidRPr="00BE4012">
        <w:t>Biological Effects</w:t>
      </w:r>
      <w:r w:rsidRPr="00BE4012">
        <w:tab/>
      </w:r>
      <w:r w:rsidRPr="00BE4012">
        <w:fldChar w:fldCharType="begin"/>
      </w:r>
      <w:r w:rsidRPr="00BE4012">
        <w:instrText xml:space="preserve"> PAGEREF _Toc339811745 \h </w:instrText>
      </w:r>
      <w:r w:rsidRPr="00BE4012">
        <w:fldChar w:fldCharType="separate"/>
      </w:r>
      <w:r w:rsidR="00121B59">
        <w:t>86</w:t>
      </w:r>
      <w:r w:rsidRPr="00BE4012">
        <w:fldChar w:fldCharType="end"/>
      </w:r>
    </w:p>
    <w:p w14:paraId="6655B364" w14:textId="77777777" w:rsidR="00BE4012" w:rsidRPr="00BE4012" w:rsidRDefault="00BE4012">
      <w:pPr>
        <w:pStyle w:val="TOC3"/>
        <w:tabs>
          <w:tab w:val="left" w:pos="1440"/>
        </w:tabs>
        <w:rPr>
          <w:rFonts w:eastAsiaTheme="minorEastAsia"/>
          <w:bCs w:val="0"/>
          <w:lang w:eastAsia="ja-JP"/>
        </w:rPr>
      </w:pPr>
      <w:r w:rsidRPr="00BE4012">
        <w:t>4.4.2</w:t>
      </w:r>
      <w:r w:rsidRPr="00BE4012">
        <w:rPr>
          <w:rFonts w:eastAsiaTheme="minorEastAsia"/>
          <w:bCs w:val="0"/>
          <w:lang w:eastAsia="ja-JP"/>
        </w:rPr>
        <w:tab/>
      </w:r>
      <w:r w:rsidRPr="00BE4012">
        <w:t>Economic Effects</w:t>
      </w:r>
      <w:r w:rsidRPr="00BE4012">
        <w:tab/>
      </w:r>
      <w:r w:rsidRPr="00BE4012">
        <w:fldChar w:fldCharType="begin"/>
      </w:r>
      <w:r w:rsidRPr="00BE4012">
        <w:instrText xml:space="preserve"> PAGEREF _Toc339811746 \h </w:instrText>
      </w:r>
      <w:r w:rsidRPr="00BE4012">
        <w:fldChar w:fldCharType="separate"/>
      </w:r>
      <w:r w:rsidR="00121B59">
        <w:t>88</w:t>
      </w:r>
      <w:r w:rsidRPr="00BE4012">
        <w:fldChar w:fldCharType="end"/>
      </w:r>
    </w:p>
    <w:p w14:paraId="00D003E9" w14:textId="77777777" w:rsidR="00BE4012" w:rsidRPr="00BE4012" w:rsidRDefault="00BE4012">
      <w:pPr>
        <w:pStyle w:val="TOC3"/>
        <w:tabs>
          <w:tab w:val="left" w:pos="1440"/>
        </w:tabs>
        <w:rPr>
          <w:rFonts w:eastAsiaTheme="minorEastAsia"/>
          <w:bCs w:val="0"/>
          <w:lang w:eastAsia="ja-JP"/>
        </w:rPr>
      </w:pPr>
      <w:r w:rsidRPr="00BE4012">
        <w:t>4.4.3</w:t>
      </w:r>
      <w:r w:rsidRPr="00BE4012">
        <w:rPr>
          <w:rFonts w:eastAsiaTheme="minorEastAsia"/>
          <w:bCs w:val="0"/>
          <w:lang w:eastAsia="ja-JP"/>
        </w:rPr>
        <w:tab/>
      </w:r>
      <w:r w:rsidRPr="00BE4012">
        <w:t>Social Effects</w:t>
      </w:r>
      <w:r w:rsidRPr="00BE4012">
        <w:tab/>
      </w:r>
      <w:r w:rsidRPr="00BE4012">
        <w:fldChar w:fldCharType="begin"/>
      </w:r>
      <w:r w:rsidRPr="00BE4012">
        <w:instrText xml:space="preserve"> PAGEREF _Toc339811747 \h </w:instrText>
      </w:r>
      <w:r w:rsidRPr="00BE4012">
        <w:fldChar w:fldCharType="separate"/>
      </w:r>
      <w:r w:rsidR="00121B59">
        <w:t>88</w:t>
      </w:r>
      <w:r w:rsidRPr="00BE4012">
        <w:fldChar w:fldCharType="end"/>
      </w:r>
    </w:p>
    <w:p w14:paraId="4732A96E" w14:textId="77777777" w:rsidR="00BE4012" w:rsidRPr="00BE4012" w:rsidRDefault="00BE4012">
      <w:pPr>
        <w:pStyle w:val="TOC3"/>
        <w:tabs>
          <w:tab w:val="left" w:pos="1440"/>
        </w:tabs>
        <w:rPr>
          <w:rFonts w:eastAsiaTheme="minorEastAsia"/>
          <w:bCs w:val="0"/>
          <w:lang w:eastAsia="ja-JP"/>
        </w:rPr>
      </w:pPr>
      <w:r w:rsidRPr="00BE4012">
        <w:t>4.4.4</w:t>
      </w:r>
      <w:r w:rsidRPr="00BE4012">
        <w:rPr>
          <w:rFonts w:eastAsiaTheme="minorEastAsia"/>
          <w:bCs w:val="0"/>
          <w:lang w:eastAsia="ja-JP"/>
        </w:rPr>
        <w:tab/>
      </w:r>
      <w:r w:rsidRPr="00BE4012">
        <w:t>Administrative Effects</w:t>
      </w:r>
      <w:r w:rsidRPr="00BE4012">
        <w:tab/>
      </w:r>
      <w:r w:rsidRPr="00BE4012">
        <w:fldChar w:fldCharType="begin"/>
      </w:r>
      <w:r w:rsidRPr="00BE4012">
        <w:instrText xml:space="preserve"> PAGEREF _Toc339811748 \h </w:instrText>
      </w:r>
      <w:r w:rsidRPr="00BE4012">
        <w:fldChar w:fldCharType="separate"/>
      </w:r>
      <w:r w:rsidR="00121B59">
        <w:t>88</w:t>
      </w:r>
      <w:r w:rsidRPr="00BE4012">
        <w:fldChar w:fldCharType="end"/>
      </w:r>
    </w:p>
    <w:p w14:paraId="7D9ACC1B" w14:textId="075476CF"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4.5</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Action 5.  Modify mutton snapper minimum size limit in the South Atlantic Region</w:t>
      </w:r>
      <w:r w:rsidR="00121B59">
        <w:rPr>
          <w:rFonts w:ascii="Times New Roman" w:hAnsi="Times New Roman" w:cs="Times New Roman"/>
          <w:b w:val="0"/>
        </w:rPr>
        <w:t>…………..</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_Toc339811749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90</w:t>
      </w:r>
      <w:r w:rsidRPr="00BE4012">
        <w:rPr>
          <w:rFonts w:ascii="Times New Roman" w:hAnsi="Times New Roman" w:cs="Times New Roman"/>
          <w:b w:val="0"/>
        </w:rPr>
        <w:fldChar w:fldCharType="end"/>
      </w:r>
    </w:p>
    <w:p w14:paraId="369529BC" w14:textId="77777777" w:rsidR="00BE4012" w:rsidRPr="00BE4012" w:rsidRDefault="00BE4012">
      <w:pPr>
        <w:pStyle w:val="TOC3"/>
        <w:tabs>
          <w:tab w:val="left" w:pos="1440"/>
        </w:tabs>
        <w:rPr>
          <w:rFonts w:eastAsiaTheme="minorEastAsia"/>
          <w:bCs w:val="0"/>
          <w:lang w:eastAsia="ja-JP"/>
        </w:rPr>
      </w:pPr>
      <w:r w:rsidRPr="00BE4012">
        <w:t>4.5.1</w:t>
      </w:r>
      <w:r w:rsidRPr="00BE4012">
        <w:rPr>
          <w:rFonts w:eastAsiaTheme="minorEastAsia"/>
          <w:bCs w:val="0"/>
          <w:lang w:eastAsia="ja-JP"/>
        </w:rPr>
        <w:tab/>
      </w:r>
      <w:r w:rsidRPr="00BE4012">
        <w:t xml:space="preserve">Biological Effects </w:t>
      </w:r>
      <w:r w:rsidRPr="00BE4012">
        <w:tab/>
      </w:r>
      <w:r w:rsidRPr="00BE4012">
        <w:fldChar w:fldCharType="begin"/>
      </w:r>
      <w:r w:rsidRPr="00BE4012">
        <w:instrText xml:space="preserve"> PAGEREF _Toc339811750 \h </w:instrText>
      </w:r>
      <w:r w:rsidRPr="00BE4012">
        <w:fldChar w:fldCharType="separate"/>
      </w:r>
      <w:r w:rsidR="00121B59">
        <w:t>90</w:t>
      </w:r>
      <w:r w:rsidRPr="00BE4012">
        <w:fldChar w:fldCharType="end"/>
      </w:r>
    </w:p>
    <w:p w14:paraId="136EE9F1" w14:textId="77777777" w:rsidR="00BE4012" w:rsidRPr="00BE4012" w:rsidRDefault="00BE4012">
      <w:pPr>
        <w:pStyle w:val="TOC3"/>
        <w:tabs>
          <w:tab w:val="left" w:pos="1440"/>
        </w:tabs>
        <w:rPr>
          <w:rFonts w:eastAsiaTheme="minorEastAsia"/>
          <w:bCs w:val="0"/>
          <w:lang w:eastAsia="ja-JP"/>
        </w:rPr>
      </w:pPr>
      <w:r w:rsidRPr="00BE4012">
        <w:t>4.5.2</w:t>
      </w:r>
      <w:r w:rsidRPr="00BE4012">
        <w:rPr>
          <w:rFonts w:eastAsiaTheme="minorEastAsia"/>
          <w:bCs w:val="0"/>
          <w:lang w:eastAsia="ja-JP"/>
        </w:rPr>
        <w:tab/>
      </w:r>
      <w:r w:rsidRPr="00BE4012">
        <w:t>Economic Effects</w:t>
      </w:r>
      <w:r w:rsidRPr="00BE4012">
        <w:tab/>
      </w:r>
      <w:r w:rsidRPr="00BE4012">
        <w:fldChar w:fldCharType="begin"/>
      </w:r>
      <w:r w:rsidRPr="00BE4012">
        <w:instrText xml:space="preserve"> PAGEREF _Toc339811751 \h </w:instrText>
      </w:r>
      <w:r w:rsidRPr="00BE4012">
        <w:fldChar w:fldCharType="separate"/>
      </w:r>
      <w:r w:rsidR="00121B59">
        <w:t>96</w:t>
      </w:r>
      <w:r w:rsidRPr="00BE4012">
        <w:fldChar w:fldCharType="end"/>
      </w:r>
    </w:p>
    <w:p w14:paraId="21117175" w14:textId="77777777" w:rsidR="00BE4012" w:rsidRPr="00BE4012" w:rsidRDefault="00BE4012">
      <w:pPr>
        <w:pStyle w:val="TOC3"/>
        <w:tabs>
          <w:tab w:val="left" w:pos="1440"/>
        </w:tabs>
        <w:rPr>
          <w:rFonts w:eastAsiaTheme="minorEastAsia"/>
          <w:bCs w:val="0"/>
          <w:lang w:eastAsia="ja-JP"/>
        </w:rPr>
      </w:pPr>
      <w:r w:rsidRPr="00BE4012">
        <w:t>4.5.3</w:t>
      </w:r>
      <w:r w:rsidRPr="00BE4012">
        <w:rPr>
          <w:rFonts w:eastAsiaTheme="minorEastAsia"/>
          <w:bCs w:val="0"/>
          <w:lang w:eastAsia="ja-JP"/>
        </w:rPr>
        <w:tab/>
      </w:r>
      <w:r w:rsidRPr="00BE4012">
        <w:t>Social Effects</w:t>
      </w:r>
      <w:r w:rsidRPr="00BE4012">
        <w:tab/>
      </w:r>
      <w:r w:rsidRPr="00BE4012">
        <w:fldChar w:fldCharType="begin"/>
      </w:r>
      <w:r w:rsidRPr="00BE4012">
        <w:instrText xml:space="preserve"> PAGEREF _Toc339811752 \h </w:instrText>
      </w:r>
      <w:r w:rsidRPr="00BE4012">
        <w:fldChar w:fldCharType="separate"/>
      </w:r>
      <w:r w:rsidR="00121B59">
        <w:t>98</w:t>
      </w:r>
      <w:r w:rsidRPr="00BE4012">
        <w:fldChar w:fldCharType="end"/>
      </w:r>
    </w:p>
    <w:p w14:paraId="353A641B" w14:textId="77777777" w:rsidR="00BE4012" w:rsidRPr="00BE4012" w:rsidRDefault="00BE4012">
      <w:pPr>
        <w:pStyle w:val="TOC3"/>
        <w:tabs>
          <w:tab w:val="left" w:pos="1440"/>
        </w:tabs>
        <w:rPr>
          <w:rFonts w:eastAsiaTheme="minorEastAsia"/>
          <w:bCs w:val="0"/>
          <w:lang w:eastAsia="ja-JP"/>
        </w:rPr>
      </w:pPr>
      <w:r w:rsidRPr="00BE4012">
        <w:t>4.5.4</w:t>
      </w:r>
      <w:r w:rsidRPr="00BE4012">
        <w:rPr>
          <w:rFonts w:eastAsiaTheme="minorEastAsia"/>
          <w:bCs w:val="0"/>
          <w:lang w:eastAsia="ja-JP"/>
        </w:rPr>
        <w:tab/>
      </w:r>
      <w:r w:rsidRPr="00BE4012">
        <w:t>Administrative Effects</w:t>
      </w:r>
      <w:r w:rsidRPr="00BE4012">
        <w:tab/>
      </w:r>
      <w:r w:rsidRPr="00BE4012">
        <w:fldChar w:fldCharType="begin"/>
      </w:r>
      <w:r w:rsidRPr="00BE4012">
        <w:instrText xml:space="preserve"> PAGEREF _Toc339811753 \h </w:instrText>
      </w:r>
      <w:r w:rsidRPr="00BE4012">
        <w:fldChar w:fldCharType="separate"/>
      </w:r>
      <w:r w:rsidR="00121B59">
        <w:t>99</w:t>
      </w:r>
      <w:r w:rsidRPr="00BE4012">
        <w:fldChar w:fldCharType="end"/>
      </w:r>
    </w:p>
    <w:p w14:paraId="1C1F280B"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bCs w:val="0"/>
        </w:rPr>
        <w:t>4.6</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bCs w:val="0"/>
        </w:rPr>
        <w:t xml:space="preserve">Action 6.  </w:t>
      </w:r>
      <w:r w:rsidRPr="00BE4012">
        <w:rPr>
          <w:rFonts w:ascii="Times New Roman" w:hAnsi="Times New Roman" w:cs="Times New Roman"/>
          <w:b w:val="0"/>
        </w:rPr>
        <w:t>Designate spawning months during which certain commercial and recreational management measures for mutton snapper should apply in the South Atlantic Region</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_Toc339811754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100</w:t>
      </w:r>
      <w:r w:rsidRPr="00BE4012">
        <w:rPr>
          <w:rFonts w:ascii="Times New Roman" w:hAnsi="Times New Roman" w:cs="Times New Roman"/>
          <w:b w:val="0"/>
        </w:rPr>
        <w:fldChar w:fldCharType="end"/>
      </w:r>
    </w:p>
    <w:p w14:paraId="724FE55E" w14:textId="77777777" w:rsidR="00BE4012" w:rsidRPr="00BE4012" w:rsidRDefault="00BE4012">
      <w:pPr>
        <w:pStyle w:val="TOC3"/>
        <w:tabs>
          <w:tab w:val="left" w:pos="1440"/>
        </w:tabs>
        <w:rPr>
          <w:rFonts w:eastAsiaTheme="minorEastAsia"/>
          <w:bCs w:val="0"/>
          <w:lang w:eastAsia="ja-JP"/>
        </w:rPr>
      </w:pPr>
      <w:r w:rsidRPr="00BE4012">
        <w:t>4.6.1</w:t>
      </w:r>
      <w:r w:rsidRPr="00BE4012">
        <w:rPr>
          <w:rFonts w:eastAsiaTheme="minorEastAsia"/>
          <w:bCs w:val="0"/>
          <w:lang w:eastAsia="ja-JP"/>
        </w:rPr>
        <w:tab/>
      </w:r>
      <w:r w:rsidRPr="00BE4012">
        <w:t>Biological Effects</w:t>
      </w:r>
      <w:r w:rsidRPr="00BE4012">
        <w:tab/>
      </w:r>
      <w:r w:rsidRPr="00BE4012">
        <w:fldChar w:fldCharType="begin"/>
      </w:r>
      <w:r w:rsidRPr="00BE4012">
        <w:instrText xml:space="preserve"> PAGEREF _Toc339811755 \h </w:instrText>
      </w:r>
      <w:r w:rsidRPr="00BE4012">
        <w:fldChar w:fldCharType="separate"/>
      </w:r>
      <w:r w:rsidR="00121B59">
        <w:t>100</w:t>
      </w:r>
      <w:r w:rsidRPr="00BE4012">
        <w:fldChar w:fldCharType="end"/>
      </w:r>
    </w:p>
    <w:p w14:paraId="7E1F29E7" w14:textId="77777777" w:rsidR="00BE4012" w:rsidRPr="00BE4012" w:rsidRDefault="00BE4012">
      <w:pPr>
        <w:pStyle w:val="TOC3"/>
        <w:tabs>
          <w:tab w:val="left" w:pos="1440"/>
        </w:tabs>
        <w:rPr>
          <w:rFonts w:eastAsiaTheme="minorEastAsia"/>
          <w:bCs w:val="0"/>
          <w:lang w:eastAsia="ja-JP"/>
        </w:rPr>
      </w:pPr>
      <w:r w:rsidRPr="00BE4012">
        <w:lastRenderedPageBreak/>
        <w:t>4.6.2</w:t>
      </w:r>
      <w:r w:rsidRPr="00BE4012">
        <w:rPr>
          <w:rFonts w:eastAsiaTheme="minorEastAsia"/>
          <w:bCs w:val="0"/>
          <w:lang w:eastAsia="ja-JP"/>
        </w:rPr>
        <w:tab/>
      </w:r>
      <w:r w:rsidRPr="00BE4012">
        <w:t>Economic Effects</w:t>
      </w:r>
      <w:r w:rsidRPr="00BE4012">
        <w:tab/>
      </w:r>
      <w:r w:rsidRPr="00BE4012">
        <w:fldChar w:fldCharType="begin"/>
      </w:r>
      <w:r w:rsidRPr="00BE4012">
        <w:instrText xml:space="preserve"> PAGEREF _Toc339811756 \h </w:instrText>
      </w:r>
      <w:r w:rsidRPr="00BE4012">
        <w:fldChar w:fldCharType="separate"/>
      </w:r>
      <w:r w:rsidR="00121B59">
        <w:t>101</w:t>
      </w:r>
      <w:r w:rsidRPr="00BE4012">
        <w:fldChar w:fldCharType="end"/>
      </w:r>
    </w:p>
    <w:p w14:paraId="0C976C58" w14:textId="77777777" w:rsidR="00BE4012" w:rsidRPr="00BE4012" w:rsidRDefault="00BE4012">
      <w:pPr>
        <w:pStyle w:val="TOC3"/>
        <w:tabs>
          <w:tab w:val="left" w:pos="1440"/>
        </w:tabs>
        <w:rPr>
          <w:rFonts w:eastAsiaTheme="minorEastAsia"/>
          <w:bCs w:val="0"/>
          <w:lang w:eastAsia="ja-JP"/>
        </w:rPr>
      </w:pPr>
      <w:r w:rsidRPr="00BE4012">
        <w:t>4.6.3</w:t>
      </w:r>
      <w:r w:rsidRPr="00BE4012">
        <w:rPr>
          <w:rFonts w:eastAsiaTheme="minorEastAsia"/>
          <w:bCs w:val="0"/>
          <w:lang w:eastAsia="ja-JP"/>
        </w:rPr>
        <w:tab/>
      </w:r>
      <w:r w:rsidRPr="00BE4012">
        <w:t>Social Effects</w:t>
      </w:r>
      <w:r w:rsidRPr="00BE4012">
        <w:tab/>
      </w:r>
      <w:r w:rsidRPr="00BE4012">
        <w:fldChar w:fldCharType="begin"/>
      </w:r>
      <w:r w:rsidRPr="00BE4012">
        <w:instrText xml:space="preserve"> PAGEREF _Toc339811757 \h </w:instrText>
      </w:r>
      <w:r w:rsidRPr="00BE4012">
        <w:fldChar w:fldCharType="separate"/>
      </w:r>
      <w:r w:rsidR="00121B59">
        <w:t>102</w:t>
      </w:r>
      <w:r w:rsidRPr="00BE4012">
        <w:fldChar w:fldCharType="end"/>
      </w:r>
    </w:p>
    <w:p w14:paraId="28243553" w14:textId="77777777" w:rsidR="00BE4012" w:rsidRPr="00BE4012" w:rsidRDefault="00BE4012">
      <w:pPr>
        <w:pStyle w:val="TOC3"/>
        <w:tabs>
          <w:tab w:val="left" w:pos="1440"/>
        </w:tabs>
        <w:rPr>
          <w:rFonts w:eastAsiaTheme="minorEastAsia"/>
          <w:bCs w:val="0"/>
          <w:lang w:eastAsia="ja-JP"/>
        </w:rPr>
      </w:pPr>
      <w:r w:rsidRPr="00BE4012">
        <w:t>4.6.4</w:t>
      </w:r>
      <w:r w:rsidRPr="00BE4012">
        <w:rPr>
          <w:rFonts w:eastAsiaTheme="minorEastAsia"/>
          <w:bCs w:val="0"/>
          <w:lang w:eastAsia="ja-JP"/>
        </w:rPr>
        <w:tab/>
      </w:r>
      <w:r w:rsidRPr="00BE4012">
        <w:t>Administrative Effects</w:t>
      </w:r>
      <w:r w:rsidRPr="00BE4012">
        <w:tab/>
      </w:r>
      <w:r w:rsidRPr="00BE4012">
        <w:fldChar w:fldCharType="begin"/>
      </w:r>
      <w:r w:rsidRPr="00BE4012">
        <w:instrText xml:space="preserve"> PAGEREF _Toc339811758 \h </w:instrText>
      </w:r>
      <w:r w:rsidRPr="00BE4012">
        <w:fldChar w:fldCharType="separate"/>
      </w:r>
      <w:r w:rsidR="00121B59">
        <w:t>102</w:t>
      </w:r>
      <w:r w:rsidRPr="00BE4012">
        <w:fldChar w:fldCharType="end"/>
      </w:r>
    </w:p>
    <w:p w14:paraId="101E8453" w14:textId="47EA5733"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4.7</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Action 7.  Modify mutton snapper recreational bag limit in the South Atlantic Region</w:t>
      </w:r>
      <w:r w:rsidR="00121B59">
        <w:rPr>
          <w:rFonts w:ascii="Times New Roman" w:hAnsi="Times New Roman" w:cs="Times New Roman"/>
          <w:b w:val="0"/>
        </w:rPr>
        <w:t>…………..</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_Toc339811759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103</w:t>
      </w:r>
      <w:r w:rsidRPr="00BE4012">
        <w:rPr>
          <w:rFonts w:ascii="Times New Roman" w:hAnsi="Times New Roman" w:cs="Times New Roman"/>
          <w:b w:val="0"/>
        </w:rPr>
        <w:fldChar w:fldCharType="end"/>
      </w:r>
    </w:p>
    <w:p w14:paraId="7DC72F74" w14:textId="77777777" w:rsidR="00BE4012" w:rsidRPr="00BE4012" w:rsidRDefault="00BE4012">
      <w:pPr>
        <w:pStyle w:val="TOC3"/>
        <w:rPr>
          <w:rFonts w:eastAsiaTheme="minorEastAsia"/>
          <w:bCs w:val="0"/>
          <w:lang w:eastAsia="ja-JP"/>
        </w:rPr>
      </w:pPr>
      <w:r w:rsidRPr="00BE4012">
        <w:t xml:space="preserve"> 4.7.1  Biological Effects</w:t>
      </w:r>
      <w:r w:rsidRPr="00BE4012">
        <w:tab/>
      </w:r>
      <w:r w:rsidRPr="00BE4012">
        <w:fldChar w:fldCharType="begin"/>
      </w:r>
      <w:r w:rsidRPr="00BE4012">
        <w:instrText xml:space="preserve"> PAGEREF _Toc339811760 \h </w:instrText>
      </w:r>
      <w:r w:rsidRPr="00BE4012">
        <w:fldChar w:fldCharType="separate"/>
      </w:r>
      <w:r w:rsidR="00121B59">
        <w:t>103</w:t>
      </w:r>
      <w:r w:rsidRPr="00BE4012">
        <w:fldChar w:fldCharType="end"/>
      </w:r>
    </w:p>
    <w:p w14:paraId="5D746408" w14:textId="77777777" w:rsidR="00BE4012" w:rsidRPr="00BE4012" w:rsidRDefault="00BE4012">
      <w:pPr>
        <w:pStyle w:val="TOC3"/>
        <w:rPr>
          <w:rFonts w:eastAsiaTheme="minorEastAsia"/>
          <w:bCs w:val="0"/>
          <w:lang w:eastAsia="ja-JP"/>
        </w:rPr>
      </w:pPr>
      <w:r w:rsidRPr="00BE4012">
        <w:t>4.7.2  Economic Effects</w:t>
      </w:r>
      <w:r w:rsidRPr="00BE4012">
        <w:tab/>
      </w:r>
      <w:r w:rsidRPr="00BE4012">
        <w:fldChar w:fldCharType="begin"/>
      </w:r>
      <w:r w:rsidRPr="00BE4012">
        <w:instrText xml:space="preserve"> PAGEREF _Toc339811761 \h </w:instrText>
      </w:r>
      <w:r w:rsidRPr="00BE4012">
        <w:fldChar w:fldCharType="separate"/>
      </w:r>
      <w:r w:rsidR="00121B59">
        <w:t>106</w:t>
      </w:r>
      <w:r w:rsidRPr="00BE4012">
        <w:fldChar w:fldCharType="end"/>
      </w:r>
    </w:p>
    <w:p w14:paraId="552E8084" w14:textId="77777777" w:rsidR="00BE4012" w:rsidRPr="00BE4012" w:rsidRDefault="00BE4012">
      <w:pPr>
        <w:pStyle w:val="TOC3"/>
        <w:tabs>
          <w:tab w:val="left" w:pos="1440"/>
        </w:tabs>
        <w:rPr>
          <w:rFonts w:eastAsiaTheme="minorEastAsia"/>
          <w:bCs w:val="0"/>
          <w:lang w:eastAsia="ja-JP"/>
        </w:rPr>
      </w:pPr>
      <w:r w:rsidRPr="00BE4012">
        <w:t>4.7.3</w:t>
      </w:r>
      <w:r w:rsidRPr="00BE4012">
        <w:rPr>
          <w:rFonts w:eastAsiaTheme="minorEastAsia"/>
          <w:bCs w:val="0"/>
          <w:lang w:eastAsia="ja-JP"/>
        </w:rPr>
        <w:tab/>
      </w:r>
      <w:r w:rsidRPr="00BE4012">
        <w:t>Social Effects</w:t>
      </w:r>
      <w:r w:rsidRPr="00BE4012">
        <w:tab/>
      </w:r>
      <w:r w:rsidRPr="00BE4012">
        <w:fldChar w:fldCharType="begin"/>
      </w:r>
      <w:r w:rsidRPr="00BE4012">
        <w:instrText xml:space="preserve"> PAGEREF _Toc339811762 \h </w:instrText>
      </w:r>
      <w:r w:rsidRPr="00BE4012">
        <w:fldChar w:fldCharType="separate"/>
      </w:r>
      <w:r w:rsidR="00121B59">
        <w:t>107</w:t>
      </w:r>
      <w:r w:rsidRPr="00BE4012">
        <w:fldChar w:fldCharType="end"/>
      </w:r>
    </w:p>
    <w:p w14:paraId="74051A39" w14:textId="77777777" w:rsidR="00BE4012" w:rsidRPr="00BE4012" w:rsidRDefault="00BE4012">
      <w:pPr>
        <w:pStyle w:val="TOC3"/>
        <w:tabs>
          <w:tab w:val="left" w:pos="1440"/>
        </w:tabs>
        <w:rPr>
          <w:rFonts w:eastAsiaTheme="minorEastAsia"/>
          <w:bCs w:val="0"/>
          <w:lang w:eastAsia="ja-JP"/>
        </w:rPr>
      </w:pPr>
      <w:r w:rsidRPr="00BE4012">
        <w:t>4.7.4</w:t>
      </w:r>
      <w:r w:rsidRPr="00BE4012">
        <w:rPr>
          <w:rFonts w:eastAsiaTheme="minorEastAsia"/>
          <w:bCs w:val="0"/>
          <w:lang w:eastAsia="ja-JP"/>
        </w:rPr>
        <w:tab/>
      </w:r>
      <w:r w:rsidRPr="00BE4012">
        <w:t>Administrative Effects</w:t>
      </w:r>
      <w:r w:rsidRPr="00BE4012">
        <w:tab/>
      </w:r>
      <w:r w:rsidRPr="00BE4012">
        <w:fldChar w:fldCharType="begin"/>
      </w:r>
      <w:r w:rsidRPr="00BE4012">
        <w:instrText xml:space="preserve"> PAGEREF _Toc339811763 \h </w:instrText>
      </w:r>
      <w:r w:rsidRPr="00BE4012">
        <w:fldChar w:fldCharType="separate"/>
      </w:r>
      <w:r w:rsidR="00121B59">
        <w:t>108</w:t>
      </w:r>
      <w:r w:rsidRPr="00BE4012">
        <w:fldChar w:fldCharType="end"/>
      </w:r>
    </w:p>
    <w:p w14:paraId="02CBE77C" w14:textId="74F66FE3"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4.8</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Action 8.  Modify mutton snapper commercial trip limit in the South Atlantic Region</w:t>
      </w:r>
      <w:r w:rsidR="00121B59">
        <w:rPr>
          <w:rFonts w:ascii="Times New Roman" w:hAnsi="Times New Roman" w:cs="Times New Roman"/>
          <w:b w:val="0"/>
        </w:rPr>
        <w:t>…………..</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_Toc339811764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109</w:t>
      </w:r>
      <w:r w:rsidRPr="00BE4012">
        <w:rPr>
          <w:rFonts w:ascii="Times New Roman" w:hAnsi="Times New Roman" w:cs="Times New Roman"/>
          <w:b w:val="0"/>
        </w:rPr>
        <w:fldChar w:fldCharType="end"/>
      </w:r>
    </w:p>
    <w:p w14:paraId="637C2D60" w14:textId="77777777" w:rsidR="00BE4012" w:rsidRPr="00BE4012" w:rsidRDefault="00BE4012">
      <w:pPr>
        <w:pStyle w:val="TOC3"/>
        <w:tabs>
          <w:tab w:val="left" w:pos="1440"/>
        </w:tabs>
        <w:rPr>
          <w:rFonts w:eastAsiaTheme="minorEastAsia"/>
          <w:bCs w:val="0"/>
          <w:lang w:eastAsia="ja-JP"/>
        </w:rPr>
      </w:pPr>
      <w:r w:rsidRPr="00BE4012">
        <w:t>4.8.1</w:t>
      </w:r>
      <w:r w:rsidRPr="00BE4012">
        <w:rPr>
          <w:rFonts w:eastAsiaTheme="minorEastAsia"/>
          <w:bCs w:val="0"/>
          <w:lang w:eastAsia="ja-JP"/>
        </w:rPr>
        <w:tab/>
      </w:r>
      <w:r w:rsidRPr="00BE4012">
        <w:t>Biological Effects</w:t>
      </w:r>
      <w:r w:rsidRPr="00BE4012">
        <w:tab/>
      </w:r>
      <w:r w:rsidRPr="00BE4012">
        <w:fldChar w:fldCharType="begin"/>
      </w:r>
      <w:r w:rsidRPr="00BE4012">
        <w:instrText xml:space="preserve"> PAGEREF _Toc339811765 \h </w:instrText>
      </w:r>
      <w:r w:rsidRPr="00BE4012">
        <w:fldChar w:fldCharType="separate"/>
      </w:r>
      <w:r w:rsidR="00121B59">
        <w:t>109</w:t>
      </w:r>
      <w:r w:rsidRPr="00BE4012">
        <w:fldChar w:fldCharType="end"/>
      </w:r>
    </w:p>
    <w:p w14:paraId="2DE5B7F6" w14:textId="77777777" w:rsidR="00BE4012" w:rsidRPr="00BE4012" w:rsidRDefault="00BE4012">
      <w:pPr>
        <w:pStyle w:val="TOC3"/>
        <w:tabs>
          <w:tab w:val="left" w:pos="1440"/>
        </w:tabs>
        <w:rPr>
          <w:rFonts w:eastAsiaTheme="minorEastAsia"/>
          <w:bCs w:val="0"/>
          <w:lang w:eastAsia="ja-JP"/>
        </w:rPr>
      </w:pPr>
      <w:r w:rsidRPr="00BE4012">
        <w:t>4.8.2</w:t>
      </w:r>
      <w:r w:rsidRPr="00BE4012">
        <w:rPr>
          <w:rFonts w:eastAsiaTheme="minorEastAsia"/>
          <w:bCs w:val="0"/>
          <w:lang w:eastAsia="ja-JP"/>
        </w:rPr>
        <w:tab/>
      </w:r>
      <w:r w:rsidRPr="00BE4012">
        <w:t>Economic Effects</w:t>
      </w:r>
      <w:r w:rsidRPr="00BE4012">
        <w:tab/>
      </w:r>
      <w:r w:rsidRPr="00BE4012">
        <w:fldChar w:fldCharType="begin"/>
      </w:r>
      <w:r w:rsidRPr="00BE4012">
        <w:instrText xml:space="preserve"> PAGEREF _Toc339811766 \h </w:instrText>
      </w:r>
      <w:r w:rsidRPr="00BE4012">
        <w:fldChar w:fldCharType="separate"/>
      </w:r>
      <w:r w:rsidR="00121B59">
        <w:t>116</w:t>
      </w:r>
      <w:r w:rsidRPr="00BE4012">
        <w:fldChar w:fldCharType="end"/>
      </w:r>
    </w:p>
    <w:p w14:paraId="60CF1B0D" w14:textId="77777777" w:rsidR="00BE4012" w:rsidRPr="00BE4012" w:rsidRDefault="00BE4012">
      <w:pPr>
        <w:pStyle w:val="TOC3"/>
        <w:tabs>
          <w:tab w:val="left" w:pos="1440"/>
        </w:tabs>
        <w:rPr>
          <w:rFonts w:eastAsiaTheme="minorEastAsia"/>
          <w:bCs w:val="0"/>
          <w:lang w:eastAsia="ja-JP"/>
        </w:rPr>
      </w:pPr>
      <w:r w:rsidRPr="00BE4012">
        <w:t>4.8.3</w:t>
      </w:r>
      <w:r w:rsidRPr="00BE4012">
        <w:rPr>
          <w:rFonts w:eastAsiaTheme="minorEastAsia"/>
          <w:bCs w:val="0"/>
          <w:lang w:eastAsia="ja-JP"/>
        </w:rPr>
        <w:tab/>
      </w:r>
      <w:r w:rsidRPr="00BE4012">
        <w:t>Social Effects</w:t>
      </w:r>
      <w:r w:rsidRPr="00BE4012">
        <w:tab/>
      </w:r>
      <w:r w:rsidRPr="00BE4012">
        <w:fldChar w:fldCharType="begin"/>
      </w:r>
      <w:r w:rsidRPr="00BE4012">
        <w:instrText xml:space="preserve"> PAGEREF _Toc339811767 \h </w:instrText>
      </w:r>
      <w:r w:rsidRPr="00BE4012">
        <w:fldChar w:fldCharType="separate"/>
      </w:r>
      <w:r w:rsidR="00121B59">
        <w:t>117</w:t>
      </w:r>
      <w:r w:rsidRPr="00BE4012">
        <w:fldChar w:fldCharType="end"/>
      </w:r>
    </w:p>
    <w:p w14:paraId="044DB4E4" w14:textId="77777777" w:rsidR="00BE4012" w:rsidRPr="00BE4012" w:rsidRDefault="00BE4012">
      <w:pPr>
        <w:pStyle w:val="TOC3"/>
        <w:rPr>
          <w:rFonts w:eastAsiaTheme="minorEastAsia"/>
          <w:bCs w:val="0"/>
          <w:lang w:eastAsia="ja-JP"/>
        </w:rPr>
      </w:pPr>
      <w:r w:rsidRPr="00BE4012">
        <w:rPr>
          <w:rFonts w:eastAsia="Calibri"/>
        </w:rPr>
        <w:t>4.8.4  Administrative Effects</w:t>
      </w:r>
      <w:r w:rsidRPr="00BE4012">
        <w:tab/>
      </w:r>
      <w:r w:rsidRPr="00BE4012">
        <w:fldChar w:fldCharType="begin"/>
      </w:r>
      <w:r w:rsidRPr="00BE4012">
        <w:instrText xml:space="preserve"> PAGEREF _Toc339811768 \h </w:instrText>
      </w:r>
      <w:r w:rsidRPr="00BE4012">
        <w:fldChar w:fldCharType="separate"/>
      </w:r>
      <w:r w:rsidR="00121B59">
        <w:t>118</w:t>
      </w:r>
      <w:r w:rsidRPr="00BE4012">
        <w:fldChar w:fldCharType="end"/>
      </w:r>
    </w:p>
    <w:p w14:paraId="34214946" w14:textId="77777777" w:rsidR="00BE4012" w:rsidRPr="00BE4012" w:rsidRDefault="00BE4012" w:rsidP="00BE4012">
      <w:pPr>
        <w:pStyle w:val="TOC1"/>
        <w:rPr>
          <w:rFonts w:eastAsiaTheme="minorEastAsia"/>
          <w:lang w:eastAsia="ja-JP"/>
        </w:rPr>
      </w:pPr>
      <w:r w:rsidRPr="00BE4012">
        <w:t>Chapter 5.  Council’s Choice for the Preferred Alternatives</w:t>
      </w:r>
      <w:r w:rsidRPr="00BE4012">
        <w:tab/>
      </w:r>
      <w:r w:rsidRPr="00BE4012">
        <w:fldChar w:fldCharType="begin"/>
      </w:r>
      <w:r w:rsidRPr="00BE4012">
        <w:instrText xml:space="preserve"> PAGEREF _Toc339811769 \h </w:instrText>
      </w:r>
      <w:r w:rsidRPr="00BE4012">
        <w:fldChar w:fldCharType="separate"/>
      </w:r>
      <w:r w:rsidR="00121B59">
        <w:t>119</w:t>
      </w:r>
      <w:r w:rsidRPr="00BE4012">
        <w:fldChar w:fldCharType="end"/>
      </w:r>
    </w:p>
    <w:p w14:paraId="7C04CFFA"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5.1</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Action 1.  Specify maximum sustainable yield (MSY) for mutton snapper in the South Atlantic Region</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_Toc339811770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119</w:t>
      </w:r>
      <w:r w:rsidRPr="00BE4012">
        <w:rPr>
          <w:rFonts w:ascii="Times New Roman" w:hAnsi="Times New Roman" w:cs="Times New Roman"/>
          <w:b w:val="0"/>
        </w:rPr>
        <w:fldChar w:fldCharType="end"/>
      </w:r>
    </w:p>
    <w:p w14:paraId="5FABA9F2" w14:textId="4296DF34" w:rsidR="00BE4012" w:rsidRPr="00BE4012" w:rsidRDefault="00BE4012">
      <w:pPr>
        <w:pStyle w:val="TOC3"/>
        <w:tabs>
          <w:tab w:val="left" w:pos="1440"/>
        </w:tabs>
        <w:rPr>
          <w:rFonts w:eastAsiaTheme="minorEastAsia"/>
          <w:bCs w:val="0"/>
          <w:lang w:eastAsia="ja-JP"/>
        </w:rPr>
      </w:pPr>
      <w:r w:rsidRPr="00BE4012">
        <w:t>5.</w:t>
      </w:r>
      <w:r w:rsidRPr="00BE4012">
        <w:rPr>
          <w:bCs w:val="0"/>
        </w:rPr>
        <w:t>1</w:t>
      </w:r>
      <w:r w:rsidRPr="00BE4012">
        <w:t>.1</w:t>
      </w:r>
      <w:r w:rsidRPr="00BE4012">
        <w:rPr>
          <w:rFonts w:eastAsiaTheme="minorEastAsia"/>
          <w:bCs w:val="0"/>
          <w:lang w:eastAsia="ja-JP"/>
        </w:rPr>
        <w:tab/>
      </w:r>
      <w:r w:rsidRPr="00BE4012">
        <w:rPr>
          <w:bCs w:val="0"/>
        </w:rPr>
        <w:t>Snapper Grouper</w:t>
      </w:r>
      <w:r w:rsidRPr="00BE4012">
        <w:t xml:space="preserve"> Advisory Panel (AP) Comments and Recommendations</w:t>
      </w:r>
      <w:r w:rsidR="00121B59">
        <w:t>………</w:t>
      </w:r>
      <w:r w:rsidRPr="00BE4012">
        <w:tab/>
      </w:r>
      <w:r w:rsidRPr="00BE4012">
        <w:fldChar w:fldCharType="begin"/>
      </w:r>
      <w:r w:rsidRPr="00BE4012">
        <w:instrText xml:space="preserve"> PAGEREF _Toc339811771 \h </w:instrText>
      </w:r>
      <w:r w:rsidRPr="00BE4012">
        <w:fldChar w:fldCharType="separate"/>
      </w:r>
      <w:r w:rsidR="00121B59">
        <w:t>119</w:t>
      </w:r>
      <w:r w:rsidRPr="00BE4012">
        <w:fldChar w:fldCharType="end"/>
      </w:r>
    </w:p>
    <w:p w14:paraId="57A39A21" w14:textId="77777777" w:rsidR="00BE4012" w:rsidRPr="00BE4012" w:rsidRDefault="00BE4012">
      <w:pPr>
        <w:pStyle w:val="TOC3"/>
        <w:tabs>
          <w:tab w:val="left" w:pos="1440"/>
        </w:tabs>
        <w:rPr>
          <w:rFonts w:eastAsiaTheme="minorEastAsia"/>
          <w:bCs w:val="0"/>
          <w:lang w:eastAsia="ja-JP"/>
        </w:rPr>
      </w:pPr>
      <w:r w:rsidRPr="00BE4012">
        <w:t>5.</w:t>
      </w:r>
      <w:r w:rsidRPr="00BE4012">
        <w:rPr>
          <w:bCs w:val="0"/>
        </w:rPr>
        <w:t>1</w:t>
      </w:r>
      <w:r w:rsidRPr="00BE4012">
        <w:t>.</w:t>
      </w:r>
      <w:r w:rsidRPr="00BE4012">
        <w:rPr>
          <w:bCs w:val="0"/>
        </w:rPr>
        <w:t>2</w:t>
      </w:r>
      <w:r w:rsidRPr="00BE4012">
        <w:rPr>
          <w:rFonts w:eastAsiaTheme="minorEastAsia"/>
          <w:bCs w:val="0"/>
          <w:lang w:eastAsia="ja-JP"/>
        </w:rPr>
        <w:tab/>
      </w:r>
      <w:r w:rsidRPr="00BE4012">
        <w:t>Law Enforcement AP Comments and Recommendations</w:t>
      </w:r>
      <w:r w:rsidRPr="00BE4012">
        <w:tab/>
      </w:r>
      <w:r w:rsidRPr="00BE4012">
        <w:fldChar w:fldCharType="begin"/>
      </w:r>
      <w:r w:rsidRPr="00BE4012">
        <w:instrText xml:space="preserve"> PAGEREF _Toc339811772 \h </w:instrText>
      </w:r>
      <w:r w:rsidRPr="00BE4012">
        <w:fldChar w:fldCharType="separate"/>
      </w:r>
      <w:r w:rsidR="00121B59">
        <w:t>119</w:t>
      </w:r>
      <w:r w:rsidRPr="00BE4012">
        <w:fldChar w:fldCharType="end"/>
      </w:r>
    </w:p>
    <w:p w14:paraId="3A5CCF70" w14:textId="77777777" w:rsidR="00BE4012" w:rsidRPr="00BE4012" w:rsidRDefault="00BE4012">
      <w:pPr>
        <w:pStyle w:val="TOC3"/>
        <w:tabs>
          <w:tab w:val="left" w:pos="1440"/>
        </w:tabs>
        <w:rPr>
          <w:rFonts w:eastAsiaTheme="minorEastAsia"/>
          <w:bCs w:val="0"/>
          <w:lang w:eastAsia="ja-JP"/>
        </w:rPr>
      </w:pPr>
      <w:r w:rsidRPr="00BE4012">
        <w:t>5.</w:t>
      </w:r>
      <w:r w:rsidRPr="00BE4012">
        <w:rPr>
          <w:bCs w:val="0"/>
        </w:rPr>
        <w:t>1</w:t>
      </w:r>
      <w:r w:rsidRPr="00BE4012">
        <w:t>.</w:t>
      </w:r>
      <w:r w:rsidRPr="00BE4012">
        <w:rPr>
          <w:bCs w:val="0"/>
        </w:rPr>
        <w:t>3</w:t>
      </w:r>
      <w:r w:rsidRPr="00BE4012">
        <w:rPr>
          <w:rFonts w:eastAsiaTheme="minorEastAsia"/>
          <w:bCs w:val="0"/>
          <w:lang w:eastAsia="ja-JP"/>
        </w:rPr>
        <w:tab/>
      </w:r>
      <w:r w:rsidRPr="00BE4012">
        <w:t>Scientific and Statistical Committee (SSC) Comments and Recommendations</w:t>
      </w:r>
      <w:r w:rsidRPr="00BE4012">
        <w:tab/>
      </w:r>
      <w:r w:rsidRPr="00BE4012">
        <w:fldChar w:fldCharType="begin"/>
      </w:r>
      <w:r w:rsidRPr="00BE4012">
        <w:instrText xml:space="preserve"> PAGEREF _Toc339811773 \h </w:instrText>
      </w:r>
      <w:r w:rsidRPr="00BE4012">
        <w:fldChar w:fldCharType="separate"/>
      </w:r>
      <w:r w:rsidR="00121B59">
        <w:t>119</w:t>
      </w:r>
      <w:r w:rsidRPr="00BE4012">
        <w:fldChar w:fldCharType="end"/>
      </w:r>
    </w:p>
    <w:p w14:paraId="158EC14C" w14:textId="77777777" w:rsidR="00BE4012" w:rsidRPr="00BE4012" w:rsidRDefault="00BE4012">
      <w:pPr>
        <w:pStyle w:val="TOC3"/>
        <w:tabs>
          <w:tab w:val="left" w:pos="1440"/>
        </w:tabs>
        <w:rPr>
          <w:rFonts w:eastAsiaTheme="minorEastAsia"/>
          <w:bCs w:val="0"/>
          <w:lang w:eastAsia="ja-JP"/>
        </w:rPr>
      </w:pPr>
      <w:r w:rsidRPr="00BE4012">
        <w:t>5.</w:t>
      </w:r>
      <w:r w:rsidRPr="00BE4012">
        <w:rPr>
          <w:bCs w:val="0"/>
        </w:rPr>
        <w:t>1</w:t>
      </w:r>
      <w:r w:rsidRPr="00BE4012">
        <w:t>.</w:t>
      </w:r>
      <w:r w:rsidRPr="00BE4012">
        <w:rPr>
          <w:bCs w:val="0"/>
        </w:rPr>
        <w:t>4</w:t>
      </w:r>
      <w:r w:rsidRPr="00BE4012">
        <w:rPr>
          <w:rFonts w:eastAsiaTheme="minorEastAsia"/>
          <w:bCs w:val="0"/>
          <w:lang w:eastAsia="ja-JP"/>
        </w:rPr>
        <w:tab/>
      </w:r>
      <w:r w:rsidRPr="00BE4012">
        <w:t>Public Comments and Recommendations</w:t>
      </w:r>
      <w:r w:rsidRPr="00BE4012">
        <w:tab/>
      </w:r>
      <w:r w:rsidRPr="00BE4012">
        <w:fldChar w:fldCharType="begin"/>
      </w:r>
      <w:r w:rsidRPr="00BE4012">
        <w:instrText xml:space="preserve"> PAGEREF _Toc339811774 \h </w:instrText>
      </w:r>
      <w:r w:rsidRPr="00BE4012">
        <w:fldChar w:fldCharType="separate"/>
      </w:r>
      <w:r w:rsidR="00121B59">
        <w:t>120</w:t>
      </w:r>
      <w:r w:rsidRPr="00BE4012">
        <w:fldChar w:fldCharType="end"/>
      </w:r>
    </w:p>
    <w:p w14:paraId="209A50A3" w14:textId="77777777" w:rsidR="00BE4012" w:rsidRPr="00BE4012" w:rsidRDefault="00BE4012">
      <w:pPr>
        <w:pStyle w:val="TOC3"/>
        <w:tabs>
          <w:tab w:val="left" w:pos="1440"/>
        </w:tabs>
        <w:rPr>
          <w:rFonts w:eastAsiaTheme="minorEastAsia"/>
          <w:bCs w:val="0"/>
          <w:lang w:eastAsia="ja-JP"/>
        </w:rPr>
      </w:pPr>
      <w:r w:rsidRPr="00BE4012">
        <w:t>5.</w:t>
      </w:r>
      <w:r w:rsidRPr="00BE4012">
        <w:rPr>
          <w:bCs w:val="0"/>
        </w:rPr>
        <w:t>1</w:t>
      </w:r>
      <w:r w:rsidRPr="00BE4012">
        <w:t>.</w:t>
      </w:r>
      <w:r w:rsidRPr="00BE4012">
        <w:rPr>
          <w:bCs w:val="0"/>
        </w:rPr>
        <w:t>5</w:t>
      </w:r>
      <w:r w:rsidRPr="00BE4012">
        <w:rPr>
          <w:rFonts w:eastAsiaTheme="minorEastAsia"/>
          <w:bCs w:val="0"/>
          <w:lang w:eastAsia="ja-JP"/>
        </w:rPr>
        <w:tab/>
      </w:r>
      <w:r w:rsidRPr="00BE4012">
        <w:t>South Atlantic Council Rationale</w:t>
      </w:r>
      <w:r w:rsidRPr="00BE4012">
        <w:tab/>
      </w:r>
      <w:r w:rsidRPr="00BE4012">
        <w:fldChar w:fldCharType="begin"/>
      </w:r>
      <w:r w:rsidRPr="00BE4012">
        <w:instrText xml:space="preserve"> PAGEREF _Toc339811775 \h </w:instrText>
      </w:r>
      <w:r w:rsidRPr="00BE4012">
        <w:fldChar w:fldCharType="separate"/>
      </w:r>
      <w:r w:rsidR="00121B59">
        <w:t>120</w:t>
      </w:r>
      <w:r w:rsidRPr="00BE4012">
        <w:fldChar w:fldCharType="end"/>
      </w:r>
    </w:p>
    <w:p w14:paraId="5B143064" w14:textId="30FDA0C3" w:rsidR="00BE4012" w:rsidRPr="00BE4012" w:rsidRDefault="00BE4012">
      <w:pPr>
        <w:pStyle w:val="TOC3"/>
        <w:tabs>
          <w:tab w:val="left" w:pos="1440"/>
        </w:tabs>
        <w:rPr>
          <w:rFonts w:eastAsiaTheme="minorEastAsia"/>
          <w:bCs w:val="0"/>
          <w:lang w:eastAsia="ja-JP"/>
        </w:rPr>
      </w:pPr>
      <w:r w:rsidRPr="00BE4012">
        <w:t>5.1.6</w:t>
      </w:r>
      <w:r w:rsidRPr="00BE4012">
        <w:rPr>
          <w:rFonts w:eastAsiaTheme="minorEastAsia"/>
          <w:bCs w:val="0"/>
          <w:lang w:eastAsia="ja-JP"/>
        </w:rPr>
        <w:tab/>
      </w:r>
      <w:r w:rsidRPr="00BE4012">
        <w:t>How is this Action Addressing the Vision Blueprint for the Snapper Grouper Fishery?</w:t>
      </w:r>
      <w:r w:rsidR="00121B59">
        <w:t>................</w:t>
      </w:r>
      <w:r w:rsidRPr="00BE4012">
        <w:tab/>
      </w:r>
      <w:r w:rsidRPr="00BE4012">
        <w:fldChar w:fldCharType="begin"/>
      </w:r>
      <w:r w:rsidRPr="00BE4012">
        <w:instrText xml:space="preserve"> PAGEREF _Toc339811776 \h </w:instrText>
      </w:r>
      <w:r w:rsidRPr="00BE4012">
        <w:fldChar w:fldCharType="separate"/>
      </w:r>
      <w:r w:rsidR="00121B59">
        <w:t>121</w:t>
      </w:r>
      <w:r w:rsidRPr="00BE4012">
        <w:fldChar w:fldCharType="end"/>
      </w:r>
    </w:p>
    <w:p w14:paraId="3091487E"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5.2</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 xml:space="preserve"> </w:t>
      </w:r>
      <w:r w:rsidRPr="00BE4012">
        <w:rPr>
          <w:rFonts w:ascii="Times New Roman" w:eastAsiaTheme="minorHAnsi" w:hAnsi="Times New Roman" w:cs="Times New Roman"/>
          <w:b w:val="0"/>
        </w:rPr>
        <w:t xml:space="preserve">Action 2.  </w:t>
      </w:r>
      <w:r w:rsidRPr="00BE4012">
        <w:rPr>
          <w:rFonts w:ascii="Times New Roman" w:hAnsi="Times New Roman" w:cs="Times New Roman"/>
          <w:b w:val="0"/>
        </w:rPr>
        <w:t>Specify minimum stock size threshold (MSST) for mutton snapper in the South Atlantic Region</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_Toc339811777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122</w:t>
      </w:r>
      <w:r w:rsidRPr="00BE4012">
        <w:rPr>
          <w:rFonts w:ascii="Times New Roman" w:hAnsi="Times New Roman" w:cs="Times New Roman"/>
          <w:b w:val="0"/>
        </w:rPr>
        <w:fldChar w:fldCharType="end"/>
      </w:r>
    </w:p>
    <w:p w14:paraId="5096CD48" w14:textId="77777777" w:rsidR="00BE4012" w:rsidRPr="00BE4012" w:rsidRDefault="00BE4012">
      <w:pPr>
        <w:pStyle w:val="TOC3"/>
        <w:tabs>
          <w:tab w:val="left" w:pos="1440"/>
        </w:tabs>
        <w:rPr>
          <w:rFonts w:eastAsiaTheme="minorEastAsia"/>
          <w:bCs w:val="0"/>
          <w:lang w:eastAsia="ja-JP"/>
        </w:rPr>
      </w:pPr>
      <w:r w:rsidRPr="00BE4012">
        <w:rPr>
          <w:bCs w:val="0"/>
        </w:rPr>
        <w:t>5.2.1</w:t>
      </w:r>
      <w:r w:rsidRPr="00BE4012">
        <w:rPr>
          <w:rFonts w:eastAsiaTheme="minorEastAsia"/>
          <w:bCs w:val="0"/>
          <w:lang w:eastAsia="ja-JP"/>
        </w:rPr>
        <w:tab/>
      </w:r>
      <w:r w:rsidRPr="00BE4012">
        <w:rPr>
          <w:bCs w:val="0"/>
        </w:rPr>
        <w:t>Snapper Grouper AP Comments and Recommendations</w:t>
      </w:r>
      <w:r w:rsidRPr="00BE4012">
        <w:tab/>
      </w:r>
      <w:r w:rsidRPr="00BE4012">
        <w:fldChar w:fldCharType="begin"/>
      </w:r>
      <w:r w:rsidRPr="00BE4012">
        <w:instrText xml:space="preserve"> PAGEREF _Toc339811778 \h </w:instrText>
      </w:r>
      <w:r w:rsidRPr="00BE4012">
        <w:fldChar w:fldCharType="separate"/>
      </w:r>
      <w:r w:rsidR="00121B59">
        <w:t>122</w:t>
      </w:r>
      <w:r w:rsidRPr="00BE4012">
        <w:fldChar w:fldCharType="end"/>
      </w:r>
    </w:p>
    <w:p w14:paraId="444E363F" w14:textId="77777777" w:rsidR="00BE4012" w:rsidRPr="00BE4012" w:rsidRDefault="00BE4012">
      <w:pPr>
        <w:pStyle w:val="TOC3"/>
        <w:tabs>
          <w:tab w:val="left" w:pos="1440"/>
        </w:tabs>
        <w:rPr>
          <w:rFonts w:eastAsiaTheme="minorEastAsia"/>
          <w:bCs w:val="0"/>
          <w:lang w:eastAsia="ja-JP"/>
        </w:rPr>
      </w:pPr>
      <w:r w:rsidRPr="00BE4012">
        <w:rPr>
          <w:bCs w:val="0"/>
        </w:rPr>
        <w:t>5.2.2</w:t>
      </w:r>
      <w:r w:rsidRPr="00BE4012">
        <w:rPr>
          <w:rFonts w:eastAsiaTheme="minorEastAsia"/>
          <w:bCs w:val="0"/>
          <w:lang w:eastAsia="ja-JP"/>
        </w:rPr>
        <w:tab/>
      </w:r>
      <w:r w:rsidRPr="00BE4012">
        <w:rPr>
          <w:bCs w:val="0"/>
        </w:rPr>
        <w:t>Law Enforcement AP Comments and Recommendations</w:t>
      </w:r>
      <w:r w:rsidRPr="00BE4012">
        <w:tab/>
      </w:r>
      <w:r w:rsidRPr="00BE4012">
        <w:fldChar w:fldCharType="begin"/>
      </w:r>
      <w:r w:rsidRPr="00BE4012">
        <w:instrText xml:space="preserve"> PAGEREF _Toc339811779 \h </w:instrText>
      </w:r>
      <w:r w:rsidRPr="00BE4012">
        <w:fldChar w:fldCharType="separate"/>
      </w:r>
      <w:r w:rsidR="00121B59">
        <w:t>122</w:t>
      </w:r>
      <w:r w:rsidRPr="00BE4012">
        <w:fldChar w:fldCharType="end"/>
      </w:r>
    </w:p>
    <w:p w14:paraId="0783E8BB" w14:textId="77777777" w:rsidR="00BE4012" w:rsidRPr="00BE4012" w:rsidRDefault="00BE4012">
      <w:pPr>
        <w:pStyle w:val="TOC3"/>
        <w:tabs>
          <w:tab w:val="left" w:pos="1440"/>
        </w:tabs>
        <w:rPr>
          <w:rFonts w:eastAsiaTheme="minorEastAsia"/>
          <w:bCs w:val="0"/>
          <w:lang w:eastAsia="ja-JP"/>
        </w:rPr>
      </w:pPr>
      <w:r w:rsidRPr="00BE4012">
        <w:rPr>
          <w:bCs w:val="0"/>
        </w:rPr>
        <w:t>5.2.3</w:t>
      </w:r>
      <w:r w:rsidRPr="00BE4012">
        <w:rPr>
          <w:rFonts w:eastAsiaTheme="minorEastAsia"/>
          <w:bCs w:val="0"/>
          <w:lang w:eastAsia="ja-JP"/>
        </w:rPr>
        <w:tab/>
      </w:r>
      <w:r w:rsidRPr="00BE4012">
        <w:rPr>
          <w:bCs w:val="0"/>
        </w:rPr>
        <w:t>Scientific and Statistical Committee Comments and Recommendations</w:t>
      </w:r>
      <w:r w:rsidRPr="00BE4012">
        <w:tab/>
      </w:r>
      <w:r w:rsidRPr="00BE4012">
        <w:fldChar w:fldCharType="begin"/>
      </w:r>
      <w:r w:rsidRPr="00BE4012">
        <w:instrText xml:space="preserve"> PAGEREF _Toc339811780 \h </w:instrText>
      </w:r>
      <w:r w:rsidRPr="00BE4012">
        <w:fldChar w:fldCharType="separate"/>
      </w:r>
      <w:r w:rsidR="00121B59">
        <w:t>122</w:t>
      </w:r>
      <w:r w:rsidRPr="00BE4012">
        <w:fldChar w:fldCharType="end"/>
      </w:r>
    </w:p>
    <w:p w14:paraId="6A83F93D" w14:textId="77777777" w:rsidR="00BE4012" w:rsidRPr="00BE4012" w:rsidRDefault="00BE4012">
      <w:pPr>
        <w:pStyle w:val="TOC3"/>
        <w:tabs>
          <w:tab w:val="left" w:pos="1440"/>
        </w:tabs>
        <w:rPr>
          <w:rFonts w:eastAsiaTheme="minorEastAsia"/>
          <w:bCs w:val="0"/>
          <w:lang w:eastAsia="ja-JP"/>
        </w:rPr>
      </w:pPr>
      <w:r w:rsidRPr="00BE4012">
        <w:rPr>
          <w:bCs w:val="0"/>
        </w:rPr>
        <w:t>5.2.4</w:t>
      </w:r>
      <w:r w:rsidRPr="00BE4012">
        <w:rPr>
          <w:rFonts w:eastAsiaTheme="minorEastAsia"/>
          <w:bCs w:val="0"/>
          <w:lang w:eastAsia="ja-JP"/>
        </w:rPr>
        <w:tab/>
      </w:r>
      <w:r w:rsidRPr="00BE4012">
        <w:rPr>
          <w:bCs w:val="0"/>
        </w:rPr>
        <w:t>Public Comments and Recommendations</w:t>
      </w:r>
      <w:r w:rsidRPr="00BE4012">
        <w:tab/>
      </w:r>
      <w:r w:rsidRPr="00BE4012">
        <w:fldChar w:fldCharType="begin"/>
      </w:r>
      <w:r w:rsidRPr="00BE4012">
        <w:instrText xml:space="preserve"> PAGEREF _Toc339811781 \h </w:instrText>
      </w:r>
      <w:r w:rsidRPr="00BE4012">
        <w:fldChar w:fldCharType="separate"/>
      </w:r>
      <w:r w:rsidR="00121B59">
        <w:t>123</w:t>
      </w:r>
      <w:r w:rsidRPr="00BE4012">
        <w:fldChar w:fldCharType="end"/>
      </w:r>
    </w:p>
    <w:p w14:paraId="63FD98E9" w14:textId="77777777" w:rsidR="00BE4012" w:rsidRPr="00BE4012" w:rsidRDefault="00BE4012">
      <w:pPr>
        <w:pStyle w:val="TOC3"/>
        <w:tabs>
          <w:tab w:val="left" w:pos="1440"/>
        </w:tabs>
        <w:rPr>
          <w:rFonts w:eastAsiaTheme="minorEastAsia"/>
          <w:bCs w:val="0"/>
          <w:lang w:eastAsia="ja-JP"/>
        </w:rPr>
      </w:pPr>
      <w:r w:rsidRPr="00BE4012">
        <w:rPr>
          <w:bCs w:val="0"/>
        </w:rPr>
        <w:t>5.2.5</w:t>
      </w:r>
      <w:r w:rsidRPr="00BE4012">
        <w:rPr>
          <w:rFonts w:eastAsiaTheme="minorEastAsia"/>
          <w:bCs w:val="0"/>
          <w:lang w:eastAsia="ja-JP"/>
        </w:rPr>
        <w:tab/>
      </w:r>
      <w:r w:rsidRPr="00BE4012">
        <w:rPr>
          <w:bCs w:val="0"/>
        </w:rPr>
        <w:t>South Atlantic Council Rationale</w:t>
      </w:r>
      <w:r w:rsidRPr="00BE4012">
        <w:tab/>
      </w:r>
      <w:r w:rsidRPr="00BE4012">
        <w:fldChar w:fldCharType="begin"/>
      </w:r>
      <w:r w:rsidRPr="00BE4012">
        <w:instrText xml:space="preserve"> PAGEREF _Toc339811782 \h </w:instrText>
      </w:r>
      <w:r w:rsidRPr="00BE4012">
        <w:fldChar w:fldCharType="separate"/>
      </w:r>
      <w:r w:rsidR="00121B59">
        <w:t>123</w:t>
      </w:r>
      <w:r w:rsidRPr="00BE4012">
        <w:fldChar w:fldCharType="end"/>
      </w:r>
    </w:p>
    <w:p w14:paraId="12E0173C" w14:textId="0D0D2EA3" w:rsidR="00BE4012" w:rsidRPr="00BE4012" w:rsidRDefault="00BE4012">
      <w:pPr>
        <w:pStyle w:val="TOC3"/>
        <w:tabs>
          <w:tab w:val="left" w:pos="1440"/>
        </w:tabs>
        <w:rPr>
          <w:rFonts w:eastAsiaTheme="minorEastAsia"/>
          <w:bCs w:val="0"/>
          <w:lang w:eastAsia="ja-JP"/>
        </w:rPr>
      </w:pPr>
      <w:r w:rsidRPr="00BE4012">
        <w:t>5.2.6</w:t>
      </w:r>
      <w:r w:rsidRPr="00BE4012">
        <w:rPr>
          <w:rFonts w:eastAsiaTheme="minorEastAsia"/>
          <w:bCs w:val="0"/>
          <w:lang w:eastAsia="ja-JP"/>
        </w:rPr>
        <w:tab/>
      </w:r>
      <w:r w:rsidRPr="00BE4012">
        <w:t>How is this Action Addressing the Vision Blueprint for the Snapper Grouper Fishery?</w:t>
      </w:r>
      <w:r w:rsidR="00121B59">
        <w:t>................</w:t>
      </w:r>
      <w:r w:rsidRPr="00BE4012">
        <w:tab/>
      </w:r>
      <w:r w:rsidRPr="00BE4012">
        <w:fldChar w:fldCharType="begin"/>
      </w:r>
      <w:r w:rsidRPr="00BE4012">
        <w:instrText xml:space="preserve"> PAGEREF _Toc339811783 \h </w:instrText>
      </w:r>
      <w:r w:rsidRPr="00BE4012">
        <w:fldChar w:fldCharType="separate"/>
      </w:r>
      <w:r w:rsidR="00121B59">
        <w:t>124</w:t>
      </w:r>
      <w:r w:rsidRPr="00BE4012">
        <w:fldChar w:fldCharType="end"/>
      </w:r>
    </w:p>
    <w:p w14:paraId="39E8248D"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5.3</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Action 3.  Revise annual catch limits (ACLs) and optimum yield (OY) for mutton snapper in the South Atlantic Region</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_Toc339811784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126</w:t>
      </w:r>
      <w:r w:rsidRPr="00BE4012">
        <w:rPr>
          <w:rFonts w:ascii="Times New Roman" w:hAnsi="Times New Roman" w:cs="Times New Roman"/>
          <w:b w:val="0"/>
        </w:rPr>
        <w:fldChar w:fldCharType="end"/>
      </w:r>
    </w:p>
    <w:p w14:paraId="19CF0134" w14:textId="77777777" w:rsidR="00BE4012" w:rsidRPr="00BE4012" w:rsidRDefault="00BE4012">
      <w:pPr>
        <w:pStyle w:val="TOC3"/>
        <w:tabs>
          <w:tab w:val="left" w:pos="1440"/>
        </w:tabs>
        <w:rPr>
          <w:rFonts w:eastAsiaTheme="minorEastAsia"/>
          <w:bCs w:val="0"/>
          <w:lang w:eastAsia="ja-JP"/>
        </w:rPr>
      </w:pPr>
      <w:r w:rsidRPr="00BE4012">
        <w:rPr>
          <w:bCs w:val="0"/>
        </w:rPr>
        <w:t>5.3.1</w:t>
      </w:r>
      <w:r w:rsidRPr="00BE4012">
        <w:rPr>
          <w:rFonts w:eastAsiaTheme="minorEastAsia"/>
          <w:bCs w:val="0"/>
          <w:lang w:eastAsia="ja-JP"/>
        </w:rPr>
        <w:tab/>
      </w:r>
      <w:r w:rsidRPr="00BE4012">
        <w:rPr>
          <w:bCs w:val="0"/>
        </w:rPr>
        <w:t>Snapper Grouper AP Comments and Recommendations</w:t>
      </w:r>
      <w:r w:rsidRPr="00BE4012">
        <w:tab/>
      </w:r>
      <w:r w:rsidRPr="00BE4012">
        <w:fldChar w:fldCharType="begin"/>
      </w:r>
      <w:r w:rsidRPr="00BE4012">
        <w:instrText xml:space="preserve"> PAGEREF _Toc339811785 \h </w:instrText>
      </w:r>
      <w:r w:rsidRPr="00BE4012">
        <w:fldChar w:fldCharType="separate"/>
      </w:r>
      <w:r w:rsidR="00121B59">
        <w:t>126</w:t>
      </w:r>
      <w:r w:rsidRPr="00BE4012">
        <w:fldChar w:fldCharType="end"/>
      </w:r>
    </w:p>
    <w:p w14:paraId="356DE269" w14:textId="77777777" w:rsidR="00BE4012" w:rsidRPr="00BE4012" w:rsidRDefault="00BE4012">
      <w:pPr>
        <w:pStyle w:val="TOC3"/>
        <w:tabs>
          <w:tab w:val="left" w:pos="1440"/>
        </w:tabs>
        <w:rPr>
          <w:rFonts w:eastAsiaTheme="minorEastAsia"/>
          <w:bCs w:val="0"/>
          <w:lang w:eastAsia="ja-JP"/>
        </w:rPr>
      </w:pPr>
      <w:r w:rsidRPr="00BE4012">
        <w:rPr>
          <w:bCs w:val="0"/>
        </w:rPr>
        <w:t>5.3.2</w:t>
      </w:r>
      <w:r w:rsidRPr="00BE4012">
        <w:rPr>
          <w:rFonts w:eastAsiaTheme="minorEastAsia"/>
          <w:bCs w:val="0"/>
          <w:lang w:eastAsia="ja-JP"/>
        </w:rPr>
        <w:tab/>
      </w:r>
      <w:r w:rsidRPr="00BE4012">
        <w:rPr>
          <w:bCs w:val="0"/>
        </w:rPr>
        <w:t>Law Enforcement AP Comments and Recommendations</w:t>
      </w:r>
      <w:r w:rsidRPr="00BE4012">
        <w:tab/>
      </w:r>
      <w:r w:rsidRPr="00BE4012">
        <w:fldChar w:fldCharType="begin"/>
      </w:r>
      <w:r w:rsidRPr="00BE4012">
        <w:instrText xml:space="preserve"> PAGEREF _Toc339811786 \h </w:instrText>
      </w:r>
      <w:r w:rsidRPr="00BE4012">
        <w:fldChar w:fldCharType="separate"/>
      </w:r>
      <w:r w:rsidR="00121B59">
        <w:t>126</w:t>
      </w:r>
      <w:r w:rsidRPr="00BE4012">
        <w:fldChar w:fldCharType="end"/>
      </w:r>
    </w:p>
    <w:p w14:paraId="5393AAAA" w14:textId="77777777" w:rsidR="00BE4012" w:rsidRPr="00BE4012" w:rsidRDefault="00BE4012">
      <w:pPr>
        <w:pStyle w:val="TOC3"/>
        <w:tabs>
          <w:tab w:val="left" w:pos="1440"/>
        </w:tabs>
        <w:rPr>
          <w:rFonts w:eastAsiaTheme="minorEastAsia"/>
          <w:bCs w:val="0"/>
          <w:lang w:eastAsia="ja-JP"/>
        </w:rPr>
      </w:pPr>
      <w:r w:rsidRPr="00BE4012">
        <w:rPr>
          <w:bCs w:val="0"/>
        </w:rPr>
        <w:t>5.3.3</w:t>
      </w:r>
      <w:r w:rsidRPr="00BE4012">
        <w:rPr>
          <w:rFonts w:eastAsiaTheme="minorEastAsia"/>
          <w:bCs w:val="0"/>
          <w:lang w:eastAsia="ja-JP"/>
        </w:rPr>
        <w:tab/>
      </w:r>
      <w:r w:rsidRPr="00BE4012">
        <w:rPr>
          <w:bCs w:val="0"/>
        </w:rPr>
        <w:t>Scientific and Statistical Committee Comments and Recommendations</w:t>
      </w:r>
      <w:r w:rsidRPr="00BE4012">
        <w:tab/>
      </w:r>
      <w:r w:rsidRPr="00BE4012">
        <w:fldChar w:fldCharType="begin"/>
      </w:r>
      <w:r w:rsidRPr="00BE4012">
        <w:instrText xml:space="preserve"> PAGEREF _Toc339811787 \h </w:instrText>
      </w:r>
      <w:r w:rsidRPr="00BE4012">
        <w:fldChar w:fldCharType="separate"/>
      </w:r>
      <w:r w:rsidR="00121B59">
        <w:t>126</w:t>
      </w:r>
      <w:r w:rsidRPr="00BE4012">
        <w:fldChar w:fldCharType="end"/>
      </w:r>
    </w:p>
    <w:p w14:paraId="63071166" w14:textId="77777777" w:rsidR="00BE4012" w:rsidRPr="00BE4012" w:rsidRDefault="00BE4012">
      <w:pPr>
        <w:pStyle w:val="TOC3"/>
        <w:tabs>
          <w:tab w:val="left" w:pos="1440"/>
        </w:tabs>
        <w:rPr>
          <w:rFonts w:eastAsiaTheme="minorEastAsia"/>
          <w:bCs w:val="0"/>
          <w:lang w:eastAsia="ja-JP"/>
        </w:rPr>
      </w:pPr>
      <w:r w:rsidRPr="00BE4012">
        <w:rPr>
          <w:bCs w:val="0"/>
        </w:rPr>
        <w:t>5.3.4</w:t>
      </w:r>
      <w:r w:rsidRPr="00BE4012">
        <w:rPr>
          <w:rFonts w:eastAsiaTheme="minorEastAsia"/>
          <w:bCs w:val="0"/>
          <w:lang w:eastAsia="ja-JP"/>
        </w:rPr>
        <w:tab/>
      </w:r>
      <w:r w:rsidRPr="00BE4012">
        <w:rPr>
          <w:bCs w:val="0"/>
        </w:rPr>
        <w:t>Public Comments and Recommendations</w:t>
      </w:r>
      <w:r w:rsidRPr="00BE4012">
        <w:tab/>
      </w:r>
      <w:r w:rsidRPr="00BE4012">
        <w:fldChar w:fldCharType="begin"/>
      </w:r>
      <w:r w:rsidRPr="00BE4012">
        <w:instrText xml:space="preserve"> PAGEREF _Toc339811788 \h </w:instrText>
      </w:r>
      <w:r w:rsidRPr="00BE4012">
        <w:fldChar w:fldCharType="separate"/>
      </w:r>
      <w:r w:rsidR="00121B59">
        <w:t>127</w:t>
      </w:r>
      <w:r w:rsidRPr="00BE4012">
        <w:fldChar w:fldCharType="end"/>
      </w:r>
    </w:p>
    <w:p w14:paraId="21336780" w14:textId="77777777" w:rsidR="00BE4012" w:rsidRPr="00BE4012" w:rsidRDefault="00BE4012">
      <w:pPr>
        <w:pStyle w:val="TOC3"/>
        <w:tabs>
          <w:tab w:val="left" w:pos="1440"/>
        </w:tabs>
        <w:rPr>
          <w:rFonts w:eastAsiaTheme="minorEastAsia"/>
          <w:bCs w:val="0"/>
          <w:lang w:eastAsia="ja-JP"/>
        </w:rPr>
      </w:pPr>
      <w:r w:rsidRPr="00BE4012">
        <w:rPr>
          <w:bCs w:val="0"/>
        </w:rPr>
        <w:t>5.3.5</w:t>
      </w:r>
      <w:r w:rsidRPr="00BE4012">
        <w:rPr>
          <w:rFonts w:eastAsiaTheme="minorEastAsia"/>
          <w:bCs w:val="0"/>
          <w:lang w:eastAsia="ja-JP"/>
        </w:rPr>
        <w:tab/>
      </w:r>
      <w:r w:rsidRPr="00BE4012">
        <w:rPr>
          <w:bCs w:val="0"/>
        </w:rPr>
        <w:t>South Atlantic Council Rationale</w:t>
      </w:r>
      <w:r w:rsidRPr="00BE4012">
        <w:tab/>
      </w:r>
      <w:r w:rsidRPr="00BE4012">
        <w:fldChar w:fldCharType="begin"/>
      </w:r>
      <w:r w:rsidRPr="00BE4012">
        <w:instrText xml:space="preserve"> PAGEREF _Toc339811789 \h </w:instrText>
      </w:r>
      <w:r w:rsidRPr="00BE4012">
        <w:fldChar w:fldCharType="separate"/>
      </w:r>
      <w:r w:rsidR="00121B59">
        <w:t>127</w:t>
      </w:r>
      <w:r w:rsidRPr="00BE4012">
        <w:fldChar w:fldCharType="end"/>
      </w:r>
    </w:p>
    <w:p w14:paraId="4C164D20" w14:textId="4DC2D5DE" w:rsidR="00BE4012" w:rsidRPr="00BE4012" w:rsidRDefault="00BE4012">
      <w:pPr>
        <w:pStyle w:val="TOC3"/>
        <w:tabs>
          <w:tab w:val="left" w:pos="1440"/>
        </w:tabs>
        <w:rPr>
          <w:rFonts w:eastAsiaTheme="minorEastAsia"/>
          <w:bCs w:val="0"/>
          <w:lang w:eastAsia="ja-JP"/>
        </w:rPr>
      </w:pPr>
      <w:r w:rsidRPr="00BE4012">
        <w:t>5.3.6</w:t>
      </w:r>
      <w:r w:rsidRPr="00BE4012">
        <w:rPr>
          <w:rFonts w:eastAsiaTheme="minorEastAsia"/>
          <w:bCs w:val="0"/>
          <w:lang w:eastAsia="ja-JP"/>
        </w:rPr>
        <w:tab/>
      </w:r>
      <w:r w:rsidRPr="00BE4012">
        <w:t>How is this Action Addressing the Vision Blueprint for the Snapper Grouper Fishery?</w:t>
      </w:r>
      <w:r w:rsidR="00121B59">
        <w:t>................</w:t>
      </w:r>
      <w:r w:rsidRPr="00BE4012">
        <w:tab/>
      </w:r>
      <w:r w:rsidRPr="00BE4012">
        <w:fldChar w:fldCharType="begin"/>
      </w:r>
      <w:r w:rsidRPr="00BE4012">
        <w:instrText xml:space="preserve"> PAGEREF _Toc339811790 \h </w:instrText>
      </w:r>
      <w:r w:rsidRPr="00BE4012">
        <w:fldChar w:fldCharType="separate"/>
      </w:r>
      <w:r w:rsidR="00121B59">
        <w:t>128</w:t>
      </w:r>
      <w:r w:rsidRPr="00BE4012">
        <w:fldChar w:fldCharType="end"/>
      </w:r>
    </w:p>
    <w:p w14:paraId="0E99A43D"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bCs w:val="0"/>
        </w:rPr>
        <w:lastRenderedPageBreak/>
        <w:t>5.4</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bCs w:val="0"/>
        </w:rPr>
        <w:t>Revise recreational annual catch target (ACT) for mutton snapper in the South Atlantic Region</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_Toc339811791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129</w:t>
      </w:r>
      <w:r w:rsidRPr="00BE4012">
        <w:rPr>
          <w:rFonts w:ascii="Times New Roman" w:hAnsi="Times New Roman" w:cs="Times New Roman"/>
          <w:b w:val="0"/>
        </w:rPr>
        <w:fldChar w:fldCharType="end"/>
      </w:r>
    </w:p>
    <w:p w14:paraId="373E62F2" w14:textId="77777777" w:rsidR="00BE4012" w:rsidRPr="00BE4012" w:rsidRDefault="00BE4012">
      <w:pPr>
        <w:pStyle w:val="TOC3"/>
        <w:tabs>
          <w:tab w:val="left" w:pos="1440"/>
        </w:tabs>
        <w:rPr>
          <w:rFonts w:eastAsiaTheme="minorEastAsia"/>
          <w:bCs w:val="0"/>
          <w:lang w:eastAsia="ja-JP"/>
        </w:rPr>
      </w:pPr>
      <w:r w:rsidRPr="00BE4012">
        <w:rPr>
          <w:bCs w:val="0"/>
        </w:rPr>
        <w:t>5.4.1</w:t>
      </w:r>
      <w:r w:rsidRPr="00BE4012">
        <w:rPr>
          <w:rFonts w:eastAsiaTheme="minorEastAsia"/>
          <w:bCs w:val="0"/>
          <w:lang w:eastAsia="ja-JP"/>
        </w:rPr>
        <w:tab/>
      </w:r>
      <w:r w:rsidRPr="00BE4012">
        <w:rPr>
          <w:bCs w:val="0"/>
        </w:rPr>
        <w:t>Snapper Grouper AP Comments and Recommendations</w:t>
      </w:r>
      <w:r w:rsidRPr="00BE4012">
        <w:tab/>
      </w:r>
      <w:r w:rsidRPr="00BE4012">
        <w:fldChar w:fldCharType="begin"/>
      </w:r>
      <w:r w:rsidRPr="00BE4012">
        <w:instrText xml:space="preserve"> PAGEREF _Toc339811792 \h </w:instrText>
      </w:r>
      <w:r w:rsidRPr="00BE4012">
        <w:fldChar w:fldCharType="separate"/>
      </w:r>
      <w:r w:rsidR="00121B59">
        <w:t>129</w:t>
      </w:r>
      <w:r w:rsidRPr="00BE4012">
        <w:fldChar w:fldCharType="end"/>
      </w:r>
    </w:p>
    <w:p w14:paraId="6F66ACE3" w14:textId="77777777" w:rsidR="00BE4012" w:rsidRPr="00BE4012" w:rsidRDefault="00BE4012">
      <w:pPr>
        <w:pStyle w:val="TOC3"/>
        <w:tabs>
          <w:tab w:val="left" w:pos="1440"/>
        </w:tabs>
        <w:rPr>
          <w:rFonts w:eastAsiaTheme="minorEastAsia"/>
          <w:bCs w:val="0"/>
          <w:lang w:eastAsia="ja-JP"/>
        </w:rPr>
      </w:pPr>
      <w:r w:rsidRPr="00BE4012">
        <w:rPr>
          <w:bCs w:val="0"/>
        </w:rPr>
        <w:t>5.4.2</w:t>
      </w:r>
      <w:r w:rsidRPr="00BE4012">
        <w:rPr>
          <w:rFonts w:eastAsiaTheme="minorEastAsia"/>
          <w:bCs w:val="0"/>
          <w:lang w:eastAsia="ja-JP"/>
        </w:rPr>
        <w:tab/>
      </w:r>
      <w:r w:rsidRPr="00BE4012">
        <w:rPr>
          <w:bCs w:val="0"/>
        </w:rPr>
        <w:t>Law Enforcement AP Comments and Recommendations</w:t>
      </w:r>
      <w:r w:rsidRPr="00BE4012">
        <w:tab/>
      </w:r>
      <w:r w:rsidRPr="00BE4012">
        <w:fldChar w:fldCharType="begin"/>
      </w:r>
      <w:r w:rsidRPr="00BE4012">
        <w:instrText xml:space="preserve"> PAGEREF _Toc339811793 \h </w:instrText>
      </w:r>
      <w:r w:rsidRPr="00BE4012">
        <w:fldChar w:fldCharType="separate"/>
      </w:r>
      <w:r w:rsidR="00121B59">
        <w:t>129</w:t>
      </w:r>
      <w:r w:rsidRPr="00BE4012">
        <w:fldChar w:fldCharType="end"/>
      </w:r>
    </w:p>
    <w:p w14:paraId="51036B89" w14:textId="77777777" w:rsidR="00BE4012" w:rsidRPr="00BE4012" w:rsidRDefault="00BE4012">
      <w:pPr>
        <w:pStyle w:val="TOC3"/>
        <w:tabs>
          <w:tab w:val="left" w:pos="1440"/>
        </w:tabs>
        <w:rPr>
          <w:rFonts w:eastAsiaTheme="minorEastAsia"/>
          <w:bCs w:val="0"/>
          <w:lang w:eastAsia="ja-JP"/>
        </w:rPr>
      </w:pPr>
      <w:r w:rsidRPr="00BE4012">
        <w:rPr>
          <w:bCs w:val="0"/>
        </w:rPr>
        <w:t>5.4.3</w:t>
      </w:r>
      <w:r w:rsidRPr="00BE4012">
        <w:rPr>
          <w:rFonts w:eastAsiaTheme="minorEastAsia"/>
          <w:bCs w:val="0"/>
          <w:lang w:eastAsia="ja-JP"/>
        </w:rPr>
        <w:tab/>
      </w:r>
      <w:r w:rsidRPr="00BE4012">
        <w:rPr>
          <w:bCs w:val="0"/>
        </w:rPr>
        <w:t>Scientific and Statistical Committee Comments and Recommendations</w:t>
      </w:r>
      <w:r w:rsidRPr="00BE4012">
        <w:tab/>
      </w:r>
      <w:r w:rsidRPr="00BE4012">
        <w:fldChar w:fldCharType="begin"/>
      </w:r>
      <w:r w:rsidRPr="00BE4012">
        <w:instrText xml:space="preserve"> PAGEREF _Toc339811794 \h </w:instrText>
      </w:r>
      <w:r w:rsidRPr="00BE4012">
        <w:fldChar w:fldCharType="separate"/>
      </w:r>
      <w:r w:rsidR="00121B59">
        <w:t>129</w:t>
      </w:r>
      <w:r w:rsidRPr="00BE4012">
        <w:fldChar w:fldCharType="end"/>
      </w:r>
    </w:p>
    <w:p w14:paraId="0B415657" w14:textId="77777777" w:rsidR="00BE4012" w:rsidRPr="00BE4012" w:rsidRDefault="00BE4012">
      <w:pPr>
        <w:pStyle w:val="TOC3"/>
        <w:tabs>
          <w:tab w:val="left" w:pos="1440"/>
        </w:tabs>
        <w:rPr>
          <w:rFonts w:eastAsiaTheme="minorEastAsia"/>
          <w:bCs w:val="0"/>
          <w:lang w:eastAsia="ja-JP"/>
        </w:rPr>
      </w:pPr>
      <w:r w:rsidRPr="00BE4012">
        <w:rPr>
          <w:bCs w:val="0"/>
        </w:rPr>
        <w:t>5.4.4</w:t>
      </w:r>
      <w:r w:rsidRPr="00BE4012">
        <w:rPr>
          <w:rFonts w:eastAsiaTheme="minorEastAsia"/>
          <w:bCs w:val="0"/>
          <w:lang w:eastAsia="ja-JP"/>
        </w:rPr>
        <w:tab/>
      </w:r>
      <w:r w:rsidRPr="00BE4012">
        <w:rPr>
          <w:bCs w:val="0"/>
        </w:rPr>
        <w:t>Public Comments and Recommendations</w:t>
      </w:r>
      <w:r w:rsidRPr="00BE4012">
        <w:tab/>
      </w:r>
      <w:r w:rsidRPr="00BE4012">
        <w:fldChar w:fldCharType="begin"/>
      </w:r>
      <w:r w:rsidRPr="00BE4012">
        <w:instrText xml:space="preserve"> PAGEREF _Toc339811795 \h </w:instrText>
      </w:r>
      <w:r w:rsidRPr="00BE4012">
        <w:fldChar w:fldCharType="separate"/>
      </w:r>
      <w:r w:rsidR="00121B59">
        <w:t>129</w:t>
      </w:r>
      <w:r w:rsidRPr="00BE4012">
        <w:fldChar w:fldCharType="end"/>
      </w:r>
    </w:p>
    <w:p w14:paraId="649A0CD6" w14:textId="77777777" w:rsidR="00BE4012" w:rsidRPr="00BE4012" w:rsidRDefault="00BE4012">
      <w:pPr>
        <w:pStyle w:val="TOC3"/>
        <w:tabs>
          <w:tab w:val="left" w:pos="1440"/>
        </w:tabs>
        <w:rPr>
          <w:rFonts w:eastAsiaTheme="minorEastAsia"/>
          <w:bCs w:val="0"/>
          <w:lang w:eastAsia="ja-JP"/>
        </w:rPr>
      </w:pPr>
      <w:r w:rsidRPr="00BE4012">
        <w:rPr>
          <w:bCs w:val="0"/>
        </w:rPr>
        <w:t>5.4.5</w:t>
      </w:r>
      <w:r w:rsidRPr="00BE4012">
        <w:rPr>
          <w:rFonts w:eastAsiaTheme="minorEastAsia"/>
          <w:bCs w:val="0"/>
          <w:lang w:eastAsia="ja-JP"/>
        </w:rPr>
        <w:tab/>
      </w:r>
      <w:r w:rsidRPr="00BE4012">
        <w:rPr>
          <w:bCs w:val="0"/>
        </w:rPr>
        <w:t>South Atlantic Council Rationale</w:t>
      </w:r>
      <w:r w:rsidRPr="00BE4012">
        <w:tab/>
      </w:r>
      <w:r w:rsidRPr="00BE4012">
        <w:fldChar w:fldCharType="begin"/>
      </w:r>
      <w:r w:rsidRPr="00BE4012">
        <w:instrText xml:space="preserve"> PAGEREF _Toc339811796 \h </w:instrText>
      </w:r>
      <w:r w:rsidRPr="00BE4012">
        <w:fldChar w:fldCharType="separate"/>
      </w:r>
      <w:r w:rsidR="00121B59">
        <w:t>130</w:t>
      </w:r>
      <w:r w:rsidRPr="00BE4012">
        <w:fldChar w:fldCharType="end"/>
      </w:r>
    </w:p>
    <w:p w14:paraId="04EB67A8" w14:textId="46937765" w:rsidR="00BE4012" w:rsidRPr="00BE4012" w:rsidRDefault="00BE4012">
      <w:pPr>
        <w:pStyle w:val="TOC3"/>
        <w:tabs>
          <w:tab w:val="left" w:pos="1440"/>
        </w:tabs>
        <w:rPr>
          <w:rFonts w:eastAsiaTheme="minorEastAsia"/>
          <w:bCs w:val="0"/>
          <w:lang w:eastAsia="ja-JP"/>
        </w:rPr>
      </w:pPr>
      <w:r w:rsidRPr="00BE4012">
        <w:t>5.4.6</w:t>
      </w:r>
      <w:r w:rsidRPr="00BE4012">
        <w:rPr>
          <w:rFonts w:eastAsiaTheme="minorEastAsia"/>
          <w:bCs w:val="0"/>
          <w:lang w:eastAsia="ja-JP"/>
        </w:rPr>
        <w:tab/>
      </w:r>
      <w:r w:rsidRPr="00BE4012">
        <w:t>How is this Action Addressing the Vision Blueprint for the Snapper Grouper Fishery?</w:t>
      </w:r>
      <w:r w:rsidR="00121B59">
        <w:t>................</w:t>
      </w:r>
      <w:r w:rsidRPr="00BE4012">
        <w:tab/>
      </w:r>
      <w:r w:rsidRPr="00BE4012">
        <w:fldChar w:fldCharType="begin"/>
      </w:r>
      <w:r w:rsidRPr="00BE4012">
        <w:instrText xml:space="preserve"> PAGEREF _Toc339811797 \h </w:instrText>
      </w:r>
      <w:r w:rsidRPr="00BE4012">
        <w:fldChar w:fldCharType="separate"/>
      </w:r>
      <w:r w:rsidR="00121B59">
        <w:t>130</w:t>
      </w:r>
      <w:r w:rsidRPr="00BE4012">
        <w:fldChar w:fldCharType="end"/>
      </w:r>
    </w:p>
    <w:p w14:paraId="55F43973" w14:textId="5B3B7389"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5.5</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Action 5.  Modify mutton snapper minimum size limit in the South Atlantic Region</w:t>
      </w:r>
      <w:r w:rsidR="00121B59">
        <w:rPr>
          <w:rFonts w:ascii="Times New Roman" w:hAnsi="Times New Roman" w:cs="Times New Roman"/>
          <w:b w:val="0"/>
        </w:rPr>
        <w:t>…………..</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_Toc339811798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132</w:t>
      </w:r>
      <w:r w:rsidRPr="00BE4012">
        <w:rPr>
          <w:rFonts w:ascii="Times New Roman" w:hAnsi="Times New Roman" w:cs="Times New Roman"/>
          <w:b w:val="0"/>
        </w:rPr>
        <w:fldChar w:fldCharType="end"/>
      </w:r>
    </w:p>
    <w:p w14:paraId="154CCB12" w14:textId="77777777" w:rsidR="00BE4012" w:rsidRPr="00BE4012" w:rsidRDefault="00BE4012">
      <w:pPr>
        <w:pStyle w:val="TOC3"/>
        <w:tabs>
          <w:tab w:val="left" w:pos="1440"/>
        </w:tabs>
        <w:rPr>
          <w:rFonts w:eastAsiaTheme="minorEastAsia"/>
          <w:bCs w:val="0"/>
          <w:lang w:eastAsia="ja-JP"/>
        </w:rPr>
      </w:pPr>
      <w:r w:rsidRPr="00BE4012">
        <w:rPr>
          <w:bCs w:val="0"/>
        </w:rPr>
        <w:t>5.5.1</w:t>
      </w:r>
      <w:r w:rsidRPr="00BE4012">
        <w:rPr>
          <w:rFonts w:eastAsiaTheme="minorEastAsia"/>
          <w:bCs w:val="0"/>
          <w:lang w:eastAsia="ja-JP"/>
        </w:rPr>
        <w:tab/>
      </w:r>
      <w:r w:rsidRPr="00BE4012">
        <w:rPr>
          <w:bCs w:val="0"/>
        </w:rPr>
        <w:t>Snapper Grouper AP Comments and Recommendations</w:t>
      </w:r>
      <w:r w:rsidRPr="00BE4012">
        <w:tab/>
      </w:r>
      <w:r w:rsidRPr="00BE4012">
        <w:fldChar w:fldCharType="begin"/>
      </w:r>
      <w:r w:rsidRPr="00BE4012">
        <w:instrText xml:space="preserve"> PAGEREF _Toc339811799 \h </w:instrText>
      </w:r>
      <w:r w:rsidRPr="00BE4012">
        <w:fldChar w:fldCharType="separate"/>
      </w:r>
      <w:r w:rsidR="00121B59">
        <w:t>132</w:t>
      </w:r>
      <w:r w:rsidRPr="00BE4012">
        <w:fldChar w:fldCharType="end"/>
      </w:r>
    </w:p>
    <w:p w14:paraId="3E17204B" w14:textId="77777777" w:rsidR="00BE4012" w:rsidRPr="00BE4012" w:rsidRDefault="00BE4012">
      <w:pPr>
        <w:pStyle w:val="TOC3"/>
        <w:tabs>
          <w:tab w:val="left" w:pos="1440"/>
        </w:tabs>
        <w:rPr>
          <w:rFonts w:eastAsiaTheme="minorEastAsia"/>
          <w:bCs w:val="0"/>
          <w:lang w:eastAsia="ja-JP"/>
        </w:rPr>
      </w:pPr>
      <w:r w:rsidRPr="00BE4012">
        <w:rPr>
          <w:bCs w:val="0"/>
        </w:rPr>
        <w:t>5.5.2</w:t>
      </w:r>
      <w:r w:rsidRPr="00BE4012">
        <w:rPr>
          <w:rFonts w:eastAsiaTheme="minorEastAsia"/>
          <w:bCs w:val="0"/>
          <w:lang w:eastAsia="ja-JP"/>
        </w:rPr>
        <w:tab/>
      </w:r>
      <w:r w:rsidRPr="00BE4012">
        <w:rPr>
          <w:bCs w:val="0"/>
        </w:rPr>
        <w:t>Law Enforcement AP Comments and Recommendations</w:t>
      </w:r>
      <w:r w:rsidRPr="00BE4012">
        <w:tab/>
      </w:r>
      <w:r w:rsidRPr="00BE4012">
        <w:fldChar w:fldCharType="begin"/>
      </w:r>
      <w:r w:rsidRPr="00BE4012">
        <w:instrText xml:space="preserve"> PAGEREF _Toc339811800 \h </w:instrText>
      </w:r>
      <w:r w:rsidRPr="00BE4012">
        <w:fldChar w:fldCharType="separate"/>
      </w:r>
      <w:r w:rsidR="00121B59">
        <w:t>132</w:t>
      </w:r>
      <w:r w:rsidRPr="00BE4012">
        <w:fldChar w:fldCharType="end"/>
      </w:r>
    </w:p>
    <w:p w14:paraId="183EC446" w14:textId="77777777" w:rsidR="00BE4012" w:rsidRPr="00BE4012" w:rsidRDefault="00BE4012">
      <w:pPr>
        <w:pStyle w:val="TOC3"/>
        <w:tabs>
          <w:tab w:val="left" w:pos="1440"/>
        </w:tabs>
        <w:rPr>
          <w:rFonts w:eastAsiaTheme="minorEastAsia"/>
          <w:bCs w:val="0"/>
          <w:lang w:eastAsia="ja-JP"/>
        </w:rPr>
      </w:pPr>
      <w:r w:rsidRPr="00BE4012">
        <w:rPr>
          <w:bCs w:val="0"/>
        </w:rPr>
        <w:t>5.5.3</w:t>
      </w:r>
      <w:r w:rsidRPr="00BE4012">
        <w:rPr>
          <w:rFonts w:eastAsiaTheme="minorEastAsia"/>
          <w:bCs w:val="0"/>
          <w:lang w:eastAsia="ja-JP"/>
        </w:rPr>
        <w:tab/>
      </w:r>
      <w:r w:rsidRPr="00BE4012">
        <w:rPr>
          <w:bCs w:val="0"/>
        </w:rPr>
        <w:t>Scientific and Statistical Committee Comments and Recommendations</w:t>
      </w:r>
      <w:r w:rsidRPr="00BE4012">
        <w:tab/>
      </w:r>
      <w:r w:rsidRPr="00BE4012">
        <w:fldChar w:fldCharType="begin"/>
      </w:r>
      <w:r w:rsidRPr="00BE4012">
        <w:instrText xml:space="preserve"> PAGEREF _Toc339811801 \h </w:instrText>
      </w:r>
      <w:r w:rsidRPr="00BE4012">
        <w:fldChar w:fldCharType="separate"/>
      </w:r>
      <w:r w:rsidR="00121B59">
        <w:t>132</w:t>
      </w:r>
      <w:r w:rsidRPr="00BE4012">
        <w:fldChar w:fldCharType="end"/>
      </w:r>
    </w:p>
    <w:p w14:paraId="3AFC81E7" w14:textId="77777777" w:rsidR="00BE4012" w:rsidRPr="00BE4012" w:rsidRDefault="00BE4012">
      <w:pPr>
        <w:pStyle w:val="TOC3"/>
        <w:tabs>
          <w:tab w:val="left" w:pos="1440"/>
        </w:tabs>
        <w:rPr>
          <w:rFonts w:eastAsiaTheme="minorEastAsia"/>
          <w:bCs w:val="0"/>
          <w:lang w:eastAsia="ja-JP"/>
        </w:rPr>
      </w:pPr>
      <w:r w:rsidRPr="00BE4012">
        <w:rPr>
          <w:bCs w:val="0"/>
        </w:rPr>
        <w:t>5.5.4</w:t>
      </w:r>
      <w:r w:rsidRPr="00BE4012">
        <w:rPr>
          <w:rFonts w:eastAsiaTheme="minorEastAsia"/>
          <w:bCs w:val="0"/>
          <w:lang w:eastAsia="ja-JP"/>
        </w:rPr>
        <w:tab/>
      </w:r>
      <w:r w:rsidRPr="00BE4012">
        <w:rPr>
          <w:bCs w:val="0"/>
        </w:rPr>
        <w:t>Public Comments and Recommendations</w:t>
      </w:r>
      <w:r w:rsidRPr="00BE4012">
        <w:tab/>
      </w:r>
      <w:r w:rsidRPr="00BE4012">
        <w:fldChar w:fldCharType="begin"/>
      </w:r>
      <w:r w:rsidRPr="00BE4012">
        <w:instrText xml:space="preserve"> PAGEREF _Toc339811802 \h </w:instrText>
      </w:r>
      <w:r w:rsidRPr="00BE4012">
        <w:fldChar w:fldCharType="separate"/>
      </w:r>
      <w:r w:rsidR="00121B59">
        <w:t>132</w:t>
      </w:r>
      <w:r w:rsidRPr="00BE4012">
        <w:fldChar w:fldCharType="end"/>
      </w:r>
    </w:p>
    <w:p w14:paraId="041057E8" w14:textId="77777777" w:rsidR="00BE4012" w:rsidRPr="00BE4012" w:rsidRDefault="00BE4012">
      <w:pPr>
        <w:pStyle w:val="TOC3"/>
        <w:tabs>
          <w:tab w:val="left" w:pos="1440"/>
        </w:tabs>
        <w:rPr>
          <w:rFonts w:eastAsiaTheme="minorEastAsia"/>
          <w:bCs w:val="0"/>
          <w:lang w:eastAsia="ja-JP"/>
        </w:rPr>
      </w:pPr>
      <w:r w:rsidRPr="00BE4012">
        <w:rPr>
          <w:bCs w:val="0"/>
        </w:rPr>
        <w:t>5.5.5</w:t>
      </w:r>
      <w:r w:rsidRPr="00BE4012">
        <w:rPr>
          <w:rFonts w:eastAsiaTheme="minorEastAsia"/>
          <w:bCs w:val="0"/>
          <w:lang w:eastAsia="ja-JP"/>
        </w:rPr>
        <w:tab/>
      </w:r>
      <w:r w:rsidRPr="00BE4012">
        <w:rPr>
          <w:bCs w:val="0"/>
        </w:rPr>
        <w:t>South Atlantic Council Rationale</w:t>
      </w:r>
      <w:r w:rsidRPr="00BE4012">
        <w:tab/>
      </w:r>
      <w:r w:rsidRPr="00BE4012">
        <w:fldChar w:fldCharType="begin"/>
      </w:r>
      <w:r w:rsidRPr="00BE4012">
        <w:instrText xml:space="preserve"> PAGEREF _Toc339811803 \h </w:instrText>
      </w:r>
      <w:r w:rsidRPr="00BE4012">
        <w:fldChar w:fldCharType="separate"/>
      </w:r>
      <w:r w:rsidR="00121B59">
        <w:t>133</w:t>
      </w:r>
      <w:r w:rsidRPr="00BE4012">
        <w:fldChar w:fldCharType="end"/>
      </w:r>
    </w:p>
    <w:p w14:paraId="020922B9" w14:textId="12CC3ECA" w:rsidR="00BE4012" w:rsidRPr="00BE4012" w:rsidRDefault="00BE4012">
      <w:pPr>
        <w:pStyle w:val="TOC3"/>
        <w:tabs>
          <w:tab w:val="left" w:pos="1440"/>
        </w:tabs>
        <w:rPr>
          <w:rFonts w:eastAsiaTheme="minorEastAsia"/>
          <w:bCs w:val="0"/>
          <w:lang w:eastAsia="ja-JP"/>
        </w:rPr>
      </w:pPr>
      <w:r w:rsidRPr="00BE4012">
        <w:t>5.5.6</w:t>
      </w:r>
      <w:r w:rsidRPr="00BE4012">
        <w:rPr>
          <w:rFonts w:eastAsiaTheme="minorEastAsia"/>
          <w:bCs w:val="0"/>
          <w:lang w:eastAsia="ja-JP"/>
        </w:rPr>
        <w:tab/>
      </w:r>
      <w:r w:rsidRPr="00BE4012">
        <w:t>How is this Action Addressing the Vision Blueprint for the Snapper Grouper Fishery?</w:t>
      </w:r>
      <w:r w:rsidR="00121B59">
        <w:t>................</w:t>
      </w:r>
      <w:r w:rsidRPr="00BE4012">
        <w:tab/>
      </w:r>
      <w:r w:rsidRPr="00BE4012">
        <w:fldChar w:fldCharType="begin"/>
      </w:r>
      <w:r w:rsidRPr="00BE4012">
        <w:instrText xml:space="preserve"> PAGEREF _Toc339811804 \h </w:instrText>
      </w:r>
      <w:r w:rsidRPr="00BE4012">
        <w:fldChar w:fldCharType="separate"/>
      </w:r>
      <w:r w:rsidR="00121B59">
        <w:t>134</w:t>
      </w:r>
      <w:r w:rsidRPr="00BE4012">
        <w:fldChar w:fldCharType="end"/>
      </w:r>
    </w:p>
    <w:p w14:paraId="3385B29A" w14:textId="77777777"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5.6</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bCs w:val="0"/>
        </w:rPr>
        <w:t xml:space="preserve">Action 6.  </w:t>
      </w:r>
      <w:r w:rsidRPr="00BE4012">
        <w:rPr>
          <w:rFonts w:ascii="Times New Roman" w:hAnsi="Times New Roman" w:cs="Times New Roman"/>
          <w:b w:val="0"/>
        </w:rPr>
        <w:t>Designate spawning months during which certain commercial and recreational management measures for mutton snapper should apply in the South Atlantic Region</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_Toc339811805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135</w:t>
      </w:r>
      <w:r w:rsidRPr="00BE4012">
        <w:rPr>
          <w:rFonts w:ascii="Times New Roman" w:hAnsi="Times New Roman" w:cs="Times New Roman"/>
          <w:b w:val="0"/>
        </w:rPr>
        <w:fldChar w:fldCharType="end"/>
      </w:r>
    </w:p>
    <w:p w14:paraId="2B219BE9" w14:textId="50EDD082" w:rsidR="00BE4012" w:rsidRPr="00BE4012" w:rsidRDefault="00BE4012">
      <w:pPr>
        <w:pStyle w:val="TOC3"/>
        <w:tabs>
          <w:tab w:val="left" w:pos="1440"/>
        </w:tabs>
        <w:rPr>
          <w:rFonts w:eastAsiaTheme="minorEastAsia"/>
          <w:bCs w:val="0"/>
          <w:lang w:eastAsia="ja-JP"/>
        </w:rPr>
      </w:pPr>
      <w:r w:rsidRPr="00BE4012">
        <w:rPr>
          <w:bCs w:val="0"/>
        </w:rPr>
        <w:t>5.6.1</w:t>
      </w:r>
      <w:r w:rsidRPr="00BE4012">
        <w:rPr>
          <w:rFonts w:eastAsiaTheme="minorEastAsia"/>
          <w:bCs w:val="0"/>
          <w:lang w:eastAsia="ja-JP"/>
        </w:rPr>
        <w:tab/>
      </w:r>
      <w:r w:rsidRPr="00BE4012">
        <w:rPr>
          <w:bCs w:val="0"/>
        </w:rPr>
        <w:t>Snapper Grouper Advisory Panel (AP) Comments and Recommendations</w:t>
      </w:r>
      <w:r w:rsidR="00121B59">
        <w:rPr>
          <w:bCs w:val="0"/>
        </w:rPr>
        <w:t>……….</w:t>
      </w:r>
      <w:r w:rsidRPr="00BE4012">
        <w:tab/>
      </w:r>
      <w:r w:rsidRPr="00BE4012">
        <w:fldChar w:fldCharType="begin"/>
      </w:r>
      <w:r w:rsidRPr="00BE4012">
        <w:instrText xml:space="preserve"> PAGEREF _Toc339811806 \h </w:instrText>
      </w:r>
      <w:r w:rsidRPr="00BE4012">
        <w:fldChar w:fldCharType="separate"/>
      </w:r>
      <w:r w:rsidR="00121B59">
        <w:t>135</w:t>
      </w:r>
      <w:r w:rsidRPr="00BE4012">
        <w:fldChar w:fldCharType="end"/>
      </w:r>
    </w:p>
    <w:p w14:paraId="4366FB95" w14:textId="77777777" w:rsidR="00BE4012" w:rsidRPr="00BE4012" w:rsidRDefault="00BE4012">
      <w:pPr>
        <w:pStyle w:val="TOC3"/>
        <w:tabs>
          <w:tab w:val="left" w:pos="1440"/>
        </w:tabs>
        <w:rPr>
          <w:rFonts w:eastAsiaTheme="minorEastAsia"/>
          <w:bCs w:val="0"/>
          <w:lang w:eastAsia="ja-JP"/>
        </w:rPr>
      </w:pPr>
      <w:r w:rsidRPr="00BE4012">
        <w:rPr>
          <w:bCs w:val="0"/>
        </w:rPr>
        <w:t>5.6.2</w:t>
      </w:r>
      <w:r w:rsidRPr="00BE4012">
        <w:rPr>
          <w:rFonts w:eastAsiaTheme="minorEastAsia"/>
          <w:bCs w:val="0"/>
          <w:lang w:eastAsia="ja-JP"/>
        </w:rPr>
        <w:tab/>
      </w:r>
      <w:r w:rsidRPr="00BE4012">
        <w:rPr>
          <w:bCs w:val="0"/>
        </w:rPr>
        <w:t>Law Enforcement AP Comments and Recommendations</w:t>
      </w:r>
      <w:r w:rsidRPr="00BE4012">
        <w:tab/>
      </w:r>
      <w:r w:rsidRPr="00BE4012">
        <w:fldChar w:fldCharType="begin"/>
      </w:r>
      <w:r w:rsidRPr="00BE4012">
        <w:instrText xml:space="preserve"> PAGEREF _Toc339811807 \h </w:instrText>
      </w:r>
      <w:r w:rsidRPr="00BE4012">
        <w:fldChar w:fldCharType="separate"/>
      </w:r>
      <w:r w:rsidR="00121B59">
        <w:t>135</w:t>
      </w:r>
      <w:r w:rsidRPr="00BE4012">
        <w:fldChar w:fldCharType="end"/>
      </w:r>
    </w:p>
    <w:p w14:paraId="60CE56F9" w14:textId="77777777" w:rsidR="00BE4012" w:rsidRPr="00BE4012" w:rsidRDefault="00BE4012">
      <w:pPr>
        <w:pStyle w:val="TOC3"/>
        <w:tabs>
          <w:tab w:val="left" w:pos="1440"/>
        </w:tabs>
        <w:rPr>
          <w:rFonts w:eastAsiaTheme="minorEastAsia"/>
          <w:bCs w:val="0"/>
          <w:lang w:eastAsia="ja-JP"/>
        </w:rPr>
      </w:pPr>
      <w:r w:rsidRPr="00BE4012">
        <w:rPr>
          <w:bCs w:val="0"/>
        </w:rPr>
        <w:t>5.6.3</w:t>
      </w:r>
      <w:r w:rsidRPr="00BE4012">
        <w:rPr>
          <w:rFonts w:eastAsiaTheme="minorEastAsia"/>
          <w:bCs w:val="0"/>
          <w:lang w:eastAsia="ja-JP"/>
        </w:rPr>
        <w:tab/>
      </w:r>
      <w:r w:rsidRPr="00BE4012">
        <w:rPr>
          <w:bCs w:val="0"/>
        </w:rPr>
        <w:t>Scientific and Statistical Committee (SSC) Comments and Recommendations</w:t>
      </w:r>
      <w:r w:rsidRPr="00BE4012">
        <w:tab/>
      </w:r>
      <w:r w:rsidRPr="00BE4012">
        <w:fldChar w:fldCharType="begin"/>
      </w:r>
      <w:r w:rsidRPr="00BE4012">
        <w:instrText xml:space="preserve"> PAGEREF _Toc339811808 \h </w:instrText>
      </w:r>
      <w:r w:rsidRPr="00BE4012">
        <w:fldChar w:fldCharType="separate"/>
      </w:r>
      <w:r w:rsidR="00121B59">
        <w:t>135</w:t>
      </w:r>
      <w:r w:rsidRPr="00BE4012">
        <w:fldChar w:fldCharType="end"/>
      </w:r>
    </w:p>
    <w:p w14:paraId="66EB721C" w14:textId="77777777" w:rsidR="00BE4012" w:rsidRPr="00BE4012" w:rsidRDefault="00BE4012">
      <w:pPr>
        <w:pStyle w:val="TOC3"/>
        <w:tabs>
          <w:tab w:val="left" w:pos="1440"/>
        </w:tabs>
        <w:rPr>
          <w:rFonts w:eastAsiaTheme="minorEastAsia"/>
          <w:bCs w:val="0"/>
          <w:lang w:eastAsia="ja-JP"/>
        </w:rPr>
      </w:pPr>
      <w:r w:rsidRPr="00BE4012">
        <w:rPr>
          <w:bCs w:val="0"/>
        </w:rPr>
        <w:t>5.6.4</w:t>
      </w:r>
      <w:r w:rsidRPr="00BE4012">
        <w:rPr>
          <w:rFonts w:eastAsiaTheme="minorEastAsia"/>
          <w:bCs w:val="0"/>
          <w:lang w:eastAsia="ja-JP"/>
        </w:rPr>
        <w:tab/>
      </w:r>
      <w:r w:rsidRPr="00BE4012">
        <w:rPr>
          <w:bCs w:val="0"/>
        </w:rPr>
        <w:t>Public Comments and Recommendations</w:t>
      </w:r>
      <w:r w:rsidRPr="00BE4012">
        <w:tab/>
      </w:r>
      <w:r w:rsidRPr="00BE4012">
        <w:fldChar w:fldCharType="begin"/>
      </w:r>
      <w:r w:rsidRPr="00BE4012">
        <w:instrText xml:space="preserve"> PAGEREF _Toc339811809 \h </w:instrText>
      </w:r>
      <w:r w:rsidRPr="00BE4012">
        <w:fldChar w:fldCharType="separate"/>
      </w:r>
      <w:r w:rsidR="00121B59">
        <w:t>136</w:t>
      </w:r>
      <w:r w:rsidRPr="00BE4012">
        <w:fldChar w:fldCharType="end"/>
      </w:r>
    </w:p>
    <w:p w14:paraId="71858C56" w14:textId="77777777" w:rsidR="00BE4012" w:rsidRPr="00BE4012" w:rsidRDefault="00BE4012">
      <w:pPr>
        <w:pStyle w:val="TOC3"/>
        <w:tabs>
          <w:tab w:val="left" w:pos="1440"/>
        </w:tabs>
        <w:rPr>
          <w:rFonts w:eastAsiaTheme="minorEastAsia"/>
          <w:bCs w:val="0"/>
          <w:lang w:eastAsia="ja-JP"/>
        </w:rPr>
      </w:pPr>
      <w:r w:rsidRPr="00BE4012">
        <w:t>5.6.5</w:t>
      </w:r>
      <w:r w:rsidRPr="00BE4012">
        <w:rPr>
          <w:rFonts w:eastAsiaTheme="minorEastAsia"/>
          <w:bCs w:val="0"/>
          <w:lang w:eastAsia="ja-JP"/>
        </w:rPr>
        <w:tab/>
      </w:r>
      <w:r w:rsidRPr="00BE4012">
        <w:t>South Atlantic Council Rationale</w:t>
      </w:r>
      <w:r w:rsidRPr="00BE4012">
        <w:tab/>
      </w:r>
      <w:r w:rsidRPr="00BE4012">
        <w:fldChar w:fldCharType="begin"/>
      </w:r>
      <w:r w:rsidRPr="00BE4012">
        <w:instrText xml:space="preserve"> PAGEREF _Toc339811810 \h </w:instrText>
      </w:r>
      <w:r w:rsidRPr="00BE4012">
        <w:fldChar w:fldCharType="separate"/>
      </w:r>
      <w:r w:rsidR="00121B59">
        <w:t>136</w:t>
      </w:r>
      <w:r w:rsidRPr="00BE4012">
        <w:fldChar w:fldCharType="end"/>
      </w:r>
    </w:p>
    <w:p w14:paraId="2B65BC39" w14:textId="4E64F5D9" w:rsidR="00BE4012" w:rsidRPr="00BE4012" w:rsidRDefault="00BE4012">
      <w:pPr>
        <w:pStyle w:val="TOC3"/>
        <w:tabs>
          <w:tab w:val="left" w:pos="1440"/>
        </w:tabs>
        <w:rPr>
          <w:rFonts w:eastAsiaTheme="minorEastAsia"/>
          <w:bCs w:val="0"/>
          <w:lang w:eastAsia="ja-JP"/>
        </w:rPr>
      </w:pPr>
      <w:r w:rsidRPr="00BE4012">
        <w:t>5.6.6</w:t>
      </w:r>
      <w:r w:rsidRPr="00BE4012">
        <w:rPr>
          <w:rFonts w:eastAsiaTheme="minorEastAsia"/>
          <w:bCs w:val="0"/>
          <w:lang w:eastAsia="ja-JP"/>
        </w:rPr>
        <w:tab/>
      </w:r>
      <w:r w:rsidRPr="00BE4012">
        <w:t>How is this Action Addressing the Vision Blueprint for the Snapper Grouper Fishery?</w:t>
      </w:r>
      <w:r w:rsidR="00121B59">
        <w:t>................</w:t>
      </w:r>
      <w:r w:rsidRPr="00BE4012">
        <w:tab/>
      </w:r>
      <w:r w:rsidRPr="00BE4012">
        <w:fldChar w:fldCharType="begin"/>
      </w:r>
      <w:r w:rsidRPr="00BE4012">
        <w:instrText xml:space="preserve"> PAGEREF _Toc339811811 \h </w:instrText>
      </w:r>
      <w:r w:rsidRPr="00BE4012">
        <w:fldChar w:fldCharType="separate"/>
      </w:r>
      <w:r w:rsidR="00121B59">
        <w:t>137</w:t>
      </w:r>
      <w:r w:rsidRPr="00BE4012">
        <w:fldChar w:fldCharType="end"/>
      </w:r>
    </w:p>
    <w:p w14:paraId="78F2AFA5" w14:textId="5107A950"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5.7</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Action 7.  Modify mutton snapper recreational bag limit in the South Atlantic Region</w:t>
      </w:r>
      <w:r w:rsidR="00121B59">
        <w:rPr>
          <w:rFonts w:ascii="Times New Roman" w:hAnsi="Times New Roman" w:cs="Times New Roman"/>
          <w:b w:val="0"/>
        </w:rPr>
        <w:t>……………</w:t>
      </w:r>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_Toc339811812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138</w:t>
      </w:r>
      <w:r w:rsidRPr="00BE4012">
        <w:rPr>
          <w:rFonts w:ascii="Times New Roman" w:hAnsi="Times New Roman" w:cs="Times New Roman"/>
          <w:b w:val="0"/>
        </w:rPr>
        <w:fldChar w:fldCharType="end"/>
      </w:r>
    </w:p>
    <w:p w14:paraId="11493E16" w14:textId="77777777" w:rsidR="00BE4012" w:rsidRPr="00BE4012" w:rsidRDefault="00BE4012">
      <w:pPr>
        <w:pStyle w:val="TOC3"/>
        <w:tabs>
          <w:tab w:val="left" w:pos="1440"/>
        </w:tabs>
        <w:rPr>
          <w:rFonts w:eastAsiaTheme="minorEastAsia"/>
          <w:bCs w:val="0"/>
          <w:lang w:eastAsia="ja-JP"/>
        </w:rPr>
      </w:pPr>
      <w:r w:rsidRPr="00BE4012">
        <w:rPr>
          <w:bCs w:val="0"/>
        </w:rPr>
        <w:t>5.7.1</w:t>
      </w:r>
      <w:r w:rsidRPr="00BE4012">
        <w:rPr>
          <w:rFonts w:eastAsiaTheme="minorEastAsia"/>
          <w:bCs w:val="0"/>
          <w:lang w:eastAsia="ja-JP"/>
        </w:rPr>
        <w:tab/>
      </w:r>
      <w:r w:rsidRPr="00BE4012">
        <w:rPr>
          <w:bCs w:val="0"/>
        </w:rPr>
        <w:t>Snapper Grouper AP Comments and Recommendations</w:t>
      </w:r>
      <w:r w:rsidRPr="00BE4012">
        <w:tab/>
      </w:r>
      <w:r w:rsidRPr="00BE4012">
        <w:fldChar w:fldCharType="begin"/>
      </w:r>
      <w:r w:rsidRPr="00BE4012">
        <w:instrText xml:space="preserve"> PAGEREF _Toc339811813 \h </w:instrText>
      </w:r>
      <w:r w:rsidRPr="00BE4012">
        <w:fldChar w:fldCharType="separate"/>
      </w:r>
      <w:r w:rsidR="00121B59">
        <w:t>138</w:t>
      </w:r>
      <w:r w:rsidRPr="00BE4012">
        <w:fldChar w:fldCharType="end"/>
      </w:r>
    </w:p>
    <w:p w14:paraId="41DF9042" w14:textId="77777777" w:rsidR="00BE4012" w:rsidRPr="00BE4012" w:rsidRDefault="00BE4012">
      <w:pPr>
        <w:pStyle w:val="TOC3"/>
        <w:tabs>
          <w:tab w:val="left" w:pos="1440"/>
        </w:tabs>
        <w:rPr>
          <w:rFonts w:eastAsiaTheme="minorEastAsia"/>
          <w:bCs w:val="0"/>
          <w:lang w:eastAsia="ja-JP"/>
        </w:rPr>
      </w:pPr>
      <w:r w:rsidRPr="00BE4012">
        <w:rPr>
          <w:bCs w:val="0"/>
        </w:rPr>
        <w:t>5.7.2</w:t>
      </w:r>
      <w:r w:rsidRPr="00BE4012">
        <w:rPr>
          <w:rFonts w:eastAsiaTheme="minorEastAsia"/>
          <w:bCs w:val="0"/>
          <w:lang w:eastAsia="ja-JP"/>
        </w:rPr>
        <w:tab/>
      </w:r>
      <w:r w:rsidRPr="00BE4012">
        <w:rPr>
          <w:bCs w:val="0"/>
        </w:rPr>
        <w:t>Law Enforcement AP Comments and Recommendations</w:t>
      </w:r>
      <w:r w:rsidRPr="00BE4012">
        <w:tab/>
      </w:r>
      <w:r w:rsidRPr="00BE4012">
        <w:fldChar w:fldCharType="begin"/>
      </w:r>
      <w:r w:rsidRPr="00BE4012">
        <w:instrText xml:space="preserve"> PAGEREF _Toc339811814 \h </w:instrText>
      </w:r>
      <w:r w:rsidRPr="00BE4012">
        <w:fldChar w:fldCharType="separate"/>
      </w:r>
      <w:r w:rsidR="00121B59">
        <w:t>138</w:t>
      </w:r>
      <w:r w:rsidRPr="00BE4012">
        <w:fldChar w:fldCharType="end"/>
      </w:r>
    </w:p>
    <w:p w14:paraId="38AE0BA5" w14:textId="77777777" w:rsidR="00BE4012" w:rsidRPr="00BE4012" w:rsidRDefault="00BE4012">
      <w:pPr>
        <w:pStyle w:val="TOC3"/>
        <w:tabs>
          <w:tab w:val="left" w:pos="1440"/>
        </w:tabs>
        <w:rPr>
          <w:rFonts w:eastAsiaTheme="minorEastAsia"/>
          <w:bCs w:val="0"/>
          <w:lang w:eastAsia="ja-JP"/>
        </w:rPr>
      </w:pPr>
      <w:r w:rsidRPr="00BE4012">
        <w:rPr>
          <w:bCs w:val="0"/>
        </w:rPr>
        <w:t>5.7.3</w:t>
      </w:r>
      <w:r w:rsidRPr="00BE4012">
        <w:rPr>
          <w:rFonts w:eastAsiaTheme="minorEastAsia"/>
          <w:bCs w:val="0"/>
          <w:lang w:eastAsia="ja-JP"/>
        </w:rPr>
        <w:tab/>
      </w:r>
      <w:r w:rsidRPr="00BE4012">
        <w:rPr>
          <w:bCs w:val="0"/>
        </w:rPr>
        <w:t>Scientific and Statistical Committee Comments and Recommendations</w:t>
      </w:r>
      <w:r w:rsidRPr="00BE4012">
        <w:tab/>
      </w:r>
      <w:r w:rsidRPr="00BE4012">
        <w:fldChar w:fldCharType="begin"/>
      </w:r>
      <w:r w:rsidRPr="00BE4012">
        <w:instrText xml:space="preserve"> PAGEREF _Toc339811815 \h </w:instrText>
      </w:r>
      <w:r w:rsidRPr="00BE4012">
        <w:fldChar w:fldCharType="separate"/>
      </w:r>
      <w:r w:rsidR="00121B59">
        <w:t>138</w:t>
      </w:r>
      <w:r w:rsidRPr="00BE4012">
        <w:fldChar w:fldCharType="end"/>
      </w:r>
    </w:p>
    <w:p w14:paraId="0801805A" w14:textId="77777777" w:rsidR="00BE4012" w:rsidRPr="00BE4012" w:rsidRDefault="00BE4012">
      <w:pPr>
        <w:pStyle w:val="TOC3"/>
        <w:tabs>
          <w:tab w:val="left" w:pos="1440"/>
        </w:tabs>
        <w:rPr>
          <w:rFonts w:eastAsiaTheme="minorEastAsia"/>
          <w:bCs w:val="0"/>
          <w:lang w:eastAsia="ja-JP"/>
        </w:rPr>
      </w:pPr>
      <w:r w:rsidRPr="00BE4012">
        <w:rPr>
          <w:bCs w:val="0"/>
        </w:rPr>
        <w:t>5.7.4</w:t>
      </w:r>
      <w:r w:rsidRPr="00BE4012">
        <w:rPr>
          <w:rFonts w:eastAsiaTheme="minorEastAsia"/>
          <w:bCs w:val="0"/>
          <w:lang w:eastAsia="ja-JP"/>
        </w:rPr>
        <w:tab/>
      </w:r>
      <w:r w:rsidRPr="00BE4012">
        <w:rPr>
          <w:bCs w:val="0"/>
        </w:rPr>
        <w:t>Public Comments and Recommendations</w:t>
      </w:r>
      <w:r w:rsidRPr="00BE4012">
        <w:tab/>
      </w:r>
      <w:r w:rsidRPr="00BE4012">
        <w:fldChar w:fldCharType="begin"/>
      </w:r>
      <w:r w:rsidRPr="00BE4012">
        <w:instrText xml:space="preserve"> PAGEREF _Toc339811816 \h </w:instrText>
      </w:r>
      <w:r w:rsidRPr="00BE4012">
        <w:fldChar w:fldCharType="separate"/>
      </w:r>
      <w:r w:rsidR="00121B59">
        <w:t>139</w:t>
      </w:r>
      <w:r w:rsidRPr="00BE4012">
        <w:fldChar w:fldCharType="end"/>
      </w:r>
    </w:p>
    <w:p w14:paraId="3CA5B425" w14:textId="77777777" w:rsidR="00BE4012" w:rsidRPr="00BE4012" w:rsidRDefault="00BE4012">
      <w:pPr>
        <w:pStyle w:val="TOC3"/>
        <w:tabs>
          <w:tab w:val="left" w:pos="1440"/>
        </w:tabs>
        <w:rPr>
          <w:rFonts w:eastAsiaTheme="minorEastAsia"/>
          <w:bCs w:val="0"/>
          <w:lang w:eastAsia="ja-JP"/>
        </w:rPr>
      </w:pPr>
      <w:r w:rsidRPr="00BE4012">
        <w:t>5.7.5</w:t>
      </w:r>
      <w:r w:rsidRPr="00BE4012">
        <w:rPr>
          <w:rFonts w:eastAsiaTheme="minorEastAsia"/>
          <w:bCs w:val="0"/>
          <w:lang w:eastAsia="ja-JP"/>
        </w:rPr>
        <w:tab/>
      </w:r>
      <w:r w:rsidRPr="00BE4012">
        <w:t>South Atlantic Council Rationale</w:t>
      </w:r>
      <w:r w:rsidRPr="00BE4012">
        <w:tab/>
      </w:r>
      <w:r w:rsidRPr="00BE4012">
        <w:fldChar w:fldCharType="begin"/>
      </w:r>
      <w:r w:rsidRPr="00BE4012">
        <w:instrText xml:space="preserve"> PAGEREF _Toc339811817 \h </w:instrText>
      </w:r>
      <w:r w:rsidRPr="00BE4012">
        <w:fldChar w:fldCharType="separate"/>
      </w:r>
      <w:r w:rsidR="00121B59">
        <w:t>140</w:t>
      </w:r>
      <w:r w:rsidRPr="00BE4012">
        <w:fldChar w:fldCharType="end"/>
      </w:r>
    </w:p>
    <w:p w14:paraId="3BFCB2CD" w14:textId="2DF74F3C" w:rsidR="00BE4012" w:rsidRPr="00BE4012" w:rsidRDefault="00BE4012">
      <w:pPr>
        <w:pStyle w:val="TOC3"/>
        <w:tabs>
          <w:tab w:val="left" w:pos="1440"/>
        </w:tabs>
        <w:rPr>
          <w:rFonts w:eastAsiaTheme="minorEastAsia"/>
          <w:bCs w:val="0"/>
          <w:lang w:eastAsia="ja-JP"/>
        </w:rPr>
      </w:pPr>
      <w:r w:rsidRPr="00BE4012">
        <w:t>5.7.6</w:t>
      </w:r>
      <w:r w:rsidRPr="00BE4012">
        <w:rPr>
          <w:rFonts w:eastAsiaTheme="minorEastAsia"/>
          <w:bCs w:val="0"/>
          <w:lang w:eastAsia="ja-JP"/>
        </w:rPr>
        <w:tab/>
      </w:r>
      <w:r w:rsidRPr="00BE4012">
        <w:t>How is this Action Addressing the Vision Blueprint for the Snapper Grouper Fishery?</w:t>
      </w:r>
      <w:r w:rsidR="00121B59">
        <w:t>................</w:t>
      </w:r>
      <w:r w:rsidRPr="00BE4012">
        <w:tab/>
      </w:r>
      <w:r w:rsidRPr="00BE4012">
        <w:fldChar w:fldCharType="begin"/>
      </w:r>
      <w:r w:rsidRPr="00BE4012">
        <w:instrText xml:space="preserve"> PAGEREF _Toc339811818 \h </w:instrText>
      </w:r>
      <w:r w:rsidRPr="00BE4012">
        <w:fldChar w:fldCharType="separate"/>
      </w:r>
      <w:r w:rsidR="00121B59">
        <w:t>140</w:t>
      </w:r>
      <w:r w:rsidRPr="00BE4012">
        <w:fldChar w:fldCharType="end"/>
      </w:r>
    </w:p>
    <w:p w14:paraId="686447A0" w14:textId="295CA709" w:rsidR="00BE4012" w:rsidRPr="00BE4012" w:rsidRDefault="00BE4012">
      <w:pPr>
        <w:pStyle w:val="TOC2"/>
        <w:tabs>
          <w:tab w:val="left" w:pos="1114"/>
        </w:tabs>
        <w:rPr>
          <w:rFonts w:ascii="Times New Roman" w:eastAsiaTheme="minorEastAsia" w:hAnsi="Times New Roman" w:cs="Times New Roman"/>
          <w:b w:val="0"/>
          <w:bCs w:val="0"/>
          <w:iCs w:val="0"/>
          <w:lang w:val="en-US" w:eastAsia="ja-JP"/>
        </w:rPr>
      </w:pPr>
      <w:r w:rsidRPr="00BE4012">
        <w:rPr>
          <w:rFonts w:ascii="Times New Roman" w:hAnsi="Times New Roman" w:cs="Times New Roman"/>
          <w:b w:val="0"/>
        </w:rPr>
        <w:t>5.8</w:t>
      </w:r>
      <w:r w:rsidRPr="00BE4012">
        <w:rPr>
          <w:rFonts w:ascii="Times New Roman" w:eastAsiaTheme="minorEastAsia" w:hAnsi="Times New Roman" w:cs="Times New Roman"/>
          <w:b w:val="0"/>
          <w:bCs w:val="0"/>
          <w:iCs w:val="0"/>
          <w:lang w:val="en-US" w:eastAsia="ja-JP"/>
        </w:rPr>
        <w:tab/>
      </w:r>
      <w:r w:rsidRPr="00BE4012">
        <w:rPr>
          <w:rFonts w:ascii="Times New Roman" w:hAnsi="Times New Roman" w:cs="Times New Roman"/>
          <w:b w:val="0"/>
        </w:rPr>
        <w:t>Action 8.  Modify mutton snapper commercial trip limit in the South Atlantic Region</w:t>
      </w:r>
      <w:r w:rsidR="00121B59">
        <w:rPr>
          <w:rFonts w:ascii="Times New Roman" w:hAnsi="Times New Roman" w:cs="Times New Roman"/>
          <w:b w:val="0"/>
        </w:rPr>
        <w:t>…………..</w:t>
      </w:r>
      <w:bookmarkStart w:id="10" w:name="_GoBack"/>
      <w:bookmarkEnd w:id="10"/>
      <w:r w:rsidRPr="00BE4012">
        <w:rPr>
          <w:rFonts w:ascii="Times New Roman" w:hAnsi="Times New Roman" w:cs="Times New Roman"/>
          <w:b w:val="0"/>
        </w:rPr>
        <w:tab/>
      </w:r>
      <w:r w:rsidRPr="00BE4012">
        <w:rPr>
          <w:rFonts w:ascii="Times New Roman" w:hAnsi="Times New Roman" w:cs="Times New Roman"/>
          <w:b w:val="0"/>
        </w:rPr>
        <w:fldChar w:fldCharType="begin"/>
      </w:r>
      <w:r w:rsidRPr="00BE4012">
        <w:rPr>
          <w:rFonts w:ascii="Times New Roman" w:hAnsi="Times New Roman" w:cs="Times New Roman"/>
          <w:b w:val="0"/>
        </w:rPr>
        <w:instrText xml:space="preserve"> PAGEREF _Toc339811819 \h </w:instrText>
      </w:r>
      <w:r w:rsidRPr="00BE4012">
        <w:rPr>
          <w:rFonts w:ascii="Times New Roman" w:hAnsi="Times New Roman" w:cs="Times New Roman"/>
          <w:b w:val="0"/>
        </w:rPr>
      </w:r>
      <w:r w:rsidRPr="00BE4012">
        <w:rPr>
          <w:rFonts w:ascii="Times New Roman" w:hAnsi="Times New Roman" w:cs="Times New Roman"/>
          <w:b w:val="0"/>
        </w:rPr>
        <w:fldChar w:fldCharType="separate"/>
      </w:r>
      <w:r w:rsidR="00121B59">
        <w:rPr>
          <w:rFonts w:ascii="Times New Roman" w:hAnsi="Times New Roman" w:cs="Times New Roman"/>
          <w:b w:val="0"/>
        </w:rPr>
        <w:t>142</w:t>
      </w:r>
      <w:r w:rsidRPr="00BE4012">
        <w:rPr>
          <w:rFonts w:ascii="Times New Roman" w:hAnsi="Times New Roman" w:cs="Times New Roman"/>
          <w:b w:val="0"/>
        </w:rPr>
        <w:fldChar w:fldCharType="end"/>
      </w:r>
    </w:p>
    <w:p w14:paraId="6A1CA734" w14:textId="77777777" w:rsidR="00BE4012" w:rsidRPr="00BE4012" w:rsidRDefault="00BE4012">
      <w:pPr>
        <w:pStyle w:val="TOC3"/>
        <w:tabs>
          <w:tab w:val="left" w:pos="1440"/>
        </w:tabs>
        <w:rPr>
          <w:rFonts w:eastAsiaTheme="minorEastAsia"/>
          <w:bCs w:val="0"/>
          <w:lang w:eastAsia="ja-JP"/>
        </w:rPr>
      </w:pPr>
      <w:r w:rsidRPr="00BE4012">
        <w:rPr>
          <w:bCs w:val="0"/>
        </w:rPr>
        <w:t>5.8.1</w:t>
      </w:r>
      <w:r w:rsidRPr="00BE4012">
        <w:rPr>
          <w:rFonts w:eastAsiaTheme="minorEastAsia"/>
          <w:bCs w:val="0"/>
          <w:lang w:eastAsia="ja-JP"/>
        </w:rPr>
        <w:tab/>
      </w:r>
      <w:r w:rsidRPr="00BE4012">
        <w:rPr>
          <w:bCs w:val="0"/>
        </w:rPr>
        <w:t>Snapper Grouper AP Comments and Recommendations</w:t>
      </w:r>
      <w:r w:rsidRPr="00BE4012">
        <w:tab/>
      </w:r>
      <w:r w:rsidRPr="00BE4012">
        <w:fldChar w:fldCharType="begin"/>
      </w:r>
      <w:r w:rsidRPr="00BE4012">
        <w:instrText xml:space="preserve"> PAGEREF _Toc339811820 \h </w:instrText>
      </w:r>
      <w:r w:rsidRPr="00BE4012">
        <w:fldChar w:fldCharType="separate"/>
      </w:r>
      <w:r w:rsidR="00121B59">
        <w:t>142</w:t>
      </w:r>
      <w:r w:rsidRPr="00BE4012">
        <w:fldChar w:fldCharType="end"/>
      </w:r>
    </w:p>
    <w:p w14:paraId="68476D2D" w14:textId="77777777" w:rsidR="00BE4012" w:rsidRPr="00BE4012" w:rsidRDefault="00BE4012">
      <w:pPr>
        <w:pStyle w:val="TOC3"/>
        <w:tabs>
          <w:tab w:val="left" w:pos="1440"/>
        </w:tabs>
        <w:rPr>
          <w:rFonts w:eastAsiaTheme="minorEastAsia"/>
          <w:bCs w:val="0"/>
          <w:lang w:eastAsia="ja-JP"/>
        </w:rPr>
      </w:pPr>
      <w:r w:rsidRPr="00BE4012">
        <w:rPr>
          <w:bCs w:val="0"/>
        </w:rPr>
        <w:t>5.8.2</w:t>
      </w:r>
      <w:r w:rsidRPr="00BE4012">
        <w:rPr>
          <w:rFonts w:eastAsiaTheme="minorEastAsia"/>
          <w:bCs w:val="0"/>
          <w:lang w:eastAsia="ja-JP"/>
        </w:rPr>
        <w:tab/>
      </w:r>
      <w:r w:rsidRPr="00BE4012">
        <w:rPr>
          <w:bCs w:val="0"/>
        </w:rPr>
        <w:t>Law Enforcement AP Comments and Recommendations</w:t>
      </w:r>
      <w:r w:rsidRPr="00BE4012">
        <w:tab/>
      </w:r>
      <w:r w:rsidRPr="00BE4012">
        <w:fldChar w:fldCharType="begin"/>
      </w:r>
      <w:r w:rsidRPr="00BE4012">
        <w:instrText xml:space="preserve"> PAGEREF _Toc339811821 \h </w:instrText>
      </w:r>
      <w:r w:rsidRPr="00BE4012">
        <w:fldChar w:fldCharType="separate"/>
      </w:r>
      <w:r w:rsidR="00121B59">
        <w:t>142</w:t>
      </w:r>
      <w:r w:rsidRPr="00BE4012">
        <w:fldChar w:fldCharType="end"/>
      </w:r>
    </w:p>
    <w:p w14:paraId="173437C8" w14:textId="77777777" w:rsidR="00BE4012" w:rsidRPr="00BE4012" w:rsidRDefault="00BE4012">
      <w:pPr>
        <w:pStyle w:val="TOC3"/>
        <w:tabs>
          <w:tab w:val="left" w:pos="1440"/>
        </w:tabs>
        <w:rPr>
          <w:rFonts w:eastAsiaTheme="minorEastAsia"/>
          <w:bCs w:val="0"/>
          <w:lang w:eastAsia="ja-JP"/>
        </w:rPr>
      </w:pPr>
      <w:r w:rsidRPr="00BE4012">
        <w:rPr>
          <w:bCs w:val="0"/>
        </w:rPr>
        <w:t>5.8.3</w:t>
      </w:r>
      <w:r w:rsidRPr="00BE4012">
        <w:rPr>
          <w:rFonts w:eastAsiaTheme="minorEastAsia"/>
          <w:bCs w:val="0"/>
          <w:lang w:eastAsia="ja-JP"/>
        </w:rPr>
        <w:tab/>
      </w:r>
      <w:r w:rsidRPr="00BE4012">
        <w:rPr>
          <w:bCs w:val="0"/>
        </w:rPr>
        <w:t>Scientific and Statistical Committee Comments and Recommendations</w:t>
      </w:r>
      <w:r w:rsidRPr="00BE4012">
        <w:tab/>
      </w:r>
      <w:r w:rsidRPr="00BE4012">
        <w:fldChar w:fldCharType="begin"/>
      </w:r>
      <w:r w:rsidRPr="00BE4012">
        <w:instrText xml:space="preserve"> PAGEREF _Toc339811822 \h </w:instrText>
      </w:r>
      <w:r w:rsidRPr="00BE4012">
        <w:fldChar w:fldCharType="separate"/>
      </w:r>
      <w:r w:rsidR="00121B59">
        <w:t>142</w:t>
      </w:r>
      <w:r w:rsidRPr="00BE4012">
        <w:fldChar w:fldCharType="end"/>
      </w:r>
    </w:p>
    <w:p w14:paraId="494CC4BA" w14:textId="77777777" w:rsidR="00BE4012" w:rsidRPr="00BE4012" w:rsidRDefault="00BE4012">
      <w:pPr>
        <w:pStyle w:val="TOC3"/>
        <w:tabs>
          <w:tab w:val="left" w:pos="1440"/>
        </w:tabs>
        <w:rPr>
          <w:rFonts w:eastAsiaTheme="minorEastAsia"/>
          <w:bCs w:val="0"/>
          <w:lang w:eastAsia="ja-JP"/>
        </w:rPr>
      </w:pPr>
      <w:r w:rsidRPr="00BE4012">
        <w:rPr>
          <w:bCs w:val="0"/>
        </w:rPr>
        <w:t>5.8.4</w:t>
      </w:r>
      <w:r w:rsidRPr="00BE4012">
        <w:rPr>
          <w:rFonts w:eastAsiaTheme="minorEastAsia"/>
          <w:bCs w:val="0"/>
          <w:lang w:eastAsia="ja-JP"/>
        </w:rPr>
        <w:tab/>
      </w:r>
      <w:r w:rsidRPr="00BE4012">
        <w:rPr>
          <w:bCs w:val="0"/>
        </w:rPr>
        <w:t>Public Comments and Recommendations</w:t>
      </w:r>
      <w:r w:rsidRPr="00BE4012">
        <w:tab/>
      </w:r>
      <w:r w:rsidRPr="00BE4012">
        <w:fldChar w:fldCharType="begin"/>
      </w:r>
      <w:r w:rsidRPr="00BE4012">
        <w:instrText xml:space="preserve"> PAGEREF _Toc339811823 \h </w:instrText>
      </w:r>
      <w:r w:rsidRPr="00BE4012">
        <w:fldChar w:fldCharType="separate"/>
      </w:r>
      <w:r w:rsidR="00121B59">
        <w:t>143</w:t>
      </w:r>
      <w:r w:rsidRPr="00BE4012">
        <w:fldChar w:fldCharType="end"/>
      </w:r>
    </w:p>
    <w:p w14:paraId="212401F1" w14:textId="77777777" w:rsidR="00BE4012" w:rsidRPr="00BE4012" w:rsidRDefault="00BE4012">
      <w:pPr>
        <w:pStyle w:val="TOC3"/>
        <w:tabs>
          <w:tab w:val="left" w:pos="1440"/>
        </w:tabs>
        <w:rPr>
          <w:rFonts w:eastAsiaTheme="minorEastAsia"/>
          <w:bCs w:val="0"/>
          <w:lang w:eastAsia="ja-JP"/>
        </w:rPr>
      </w:pPr>
      <w:r w:rsidRPr="00BE4012">
        <w:t>5.8.5</w:t>
      </w:r>
      <w:r w:rsidRPr="00BE4012">
        <w:rPr>
          <w:rFonts w:eastAsiaTheme="minorEastAsia"/>
          <w:bCs w:val="0"/>
          <w:lang w:eastAsia="ja-JP"/>
        </w:rPr>
        <w:tab/>
      </w:r>
      <w:r w:rsidRPr="00BE4012">
        <w:t>South Atlantic Council Rationale</w:t>
      </w:r>
      <w:r w:rsidRPr="00BE4012">
        <w:tab/>
      </w:r>
      <w:r w:rsidRPr="00BE4012">
        <w:fldChar w:fldCharType="begin"/>
      </w:r>
      <w:r w:rsidRPr="00BE4012">
        <w:instrText xml:space="preserve"> PAGEREF _Toc339811824 \h </w:instrText>
      </w:r>
      <w:r w:rsidRPr="00BE4012">
        <w:fldChar w:fldCharType="separate"/>
      </w:r>
      <w:r w:rsidR="00121B59">
        <w:t>144</w:t>
      </w:r>
      <w:r w:rsidRPr="00BE4012">
        <w:fldChar w:fldCharType="end"/>
      </w:r>
    </w:p>
    <w:p w14:paraId="7D6B4361" w14:textId="402F2A9B" w:rsidR="00BE4012" w:rsidRPr="00BE4012" w:rsidRDefault="00BE4012">
      <w:pPr>
        <w:pStyle w:val="TOC3"/>
        <w:tabs>
          <w:tab w:val="left" w:pos="1440"/>
        </w:tabs>
        <w:rPr>
          <w:rFonts w:eastAsiaTheme="minorEastAsia"/>
          <w:bCs w:val="0"/>
          <w:lang w:eastAsia="ja-JP"/>
        </w:rPr>
      </w:pPr>
      <w:r w:rsidRPr="00BE4012">
        <w:lastRenderedPageBreak/>
        <w:t>5.8.6</w:t>
      </w:r>
      <w:r w:rsidRPr="00BE4012">
        <w:rPr>
          <w:rFonts w:eastAsiaTheme="minorEastAsia"/>
          <w:bCs w:val="0"/>
          <w:lang w:eastAsia="ja-JP"/>
        </w:rPr>
        <w:tab/>
      </w:r>
      <w:r w:rsidRPr="00BE4012">
        <w:t>How is this Action Addressing the Vision Blueprint for the Snapper Grouper Fishery?</w:t>
      </w:r>
      <w:r w:rsidR="00121B59">
        <w:t>.................</w:t>
      </w:r>
      <w:r w:rsidRPr="00BE4012">
        <w:tab/>
      </w:r>
      <w:r w:rsidRPr="00BE4012">
        <w:fldChar w:fldCharType="begin"/>
      </w:r>
      <w:r w:rsidRPr="00BE4012">
        <w:instrText xml:space="preserve"> PAGEREF _Toc339811825 \h </w:instrText>
      </w:r>
      <w:r w:rsidRPr="00BE4012">
        <w:fldChar w:fldCharType="separate"/>
      </w:r>
      <w:r w:rsidR="00121B59">
        <w:t>144</w:t>
      </w:r>
      <w:r w:rsidRPr="00BE4012">
        <w:fldChar w:fldCharType="end"/>
      </w:r>
    </w:p>
    <w:p w14:paraId="1704CF5C" w14:textId="77777777" w:rsidR="00BE4012" w:rsidRPr="00BE4012" w:rsidRDefault="00BE4012" w:rsidP="00BE4012">
      <w:pPr>
        <w:pStyle w:val="TOC1"/>
        <w:rPr>
          <w:rFonts w:eastAsiaTheme="minorEastAsia"/>
          <w:lang w:eastAsia="ja-JP"/>
        </w:rPr>
      </w:pPr>
      <w:r w:rsidRPr="00BE4012">
        <w:t>Chapter 6.  Cumulative Effects</w:t>
      </w:r>
      <w:r w:rsidRPr="00BE4012">
        <w:tab/>
      </w:r>
      <w:r w:rsidRPr="00BE4012">
        <w:fldChar w:fldCharType="begin"/>
      </w:r>
      <w:r w:rsidRPr="00BE4012">
        <w:instrText xml:space="preserve"> PAGEREF _Toc339811826 \h </w:instrText>
      </w:r>
      <w:r w:rsidRPr="00BE4012">
        <w:fldChar w:fldCharType="separate"/>
      </w:r>
      <w:r w:rsidR="00121B59">
        <w:t>146</w:t>
      </w:r>
      <w:r w:rsidRPr="00BE4012">
        <w:fldChar w:fldCharType="end"/>
      </w:r>
    </w:p>
    <w:p w14:paraId="2E93BE49" w14:textId="77777777" w:rsidR="00BE4012" w:rsidRPr="00BE4012" w:rsidRDefault="00BE4012" w:rsidP="00BE4012">
      <w:pPr>
        <w:pStyle w:val="TOC1"/>
        <w:rPr>
          <w:rFonts w:eastAsiaTheme="minorEastAsia"/>
          <w:lang w:eastAsia="ja-JP"/>
        </w:rPr>
      </w:pPr>
      <w:r w:rsidRPr="00BE4012">
        <w:t>Chapter 7.  List of Interdisciplinary Plan Team (IPT) Members</w:t>
      </w:r>
      <w:r w:rsidRPr="00BE4012">
        <w:tab/>
      </w:r>
      <w:r w:rsidRPr="00BE4012">
        <w:fldChar w:fldCharType="begin"/>
      </w:r>
      <w:r w:rsidRPr="00BE4012">
        <w:instrText xml:space="preserve"> PAGEREF _Toc339811827 \h </w:instrText>
      </w:r>
      <w:r w:rsidRPr="00BE4012">
        <w:fldChar w:fldCharType="separate"/>
      </w:r>
      <w:r w:rsidR="00121B59">
        <w:t>152</w:t>
      </w:r>
      <w:r w:rsidRPr="00BE4012">
        <w:fldChar w:fldCharType="end"/>
      </w:r>
    </w:p>
    <w:p w14:paraId="74F7C365" w14:textId="77777777" w:rsidR="00BE4012" w:rsidRPr="00BE4012" w:rsidRDefault="00BE4012" w:rsidP="00BE4012">
      <w:pPr>
        <w:pStyle w:val="TOC1"/>
        <w:rPr>
          <w:rFonts w:eastAsiaTheme="minorEastAsia"/>
          <w:lang w:eastAsia="ja-JP"/>
        </w:rPr>
      </w:pPr>
      <w:r w:rsidRPr="00BE4012">
        <w:t>Chapter 8.  Agencies and Persons Consulted</w:t>
      </w:r>
      <w:r w:rsidRPr="00BE4012">
        <w:tab/>
      </w:r>
      <w:r w:rsidRPr="00BE4012">
        <w:fldChar w:fldCharType="begin"/>
      </w:r>
      <w:r w:rsidRPr="00BE4012">
        <w:instrText xml:space="preserve"> PAGEREF _Toc339811828 \h </w:instrText>
      </w:r>
      <w:r w:rsidRPr="00BE4012">
        <w:fldChar w:fldCharType="separate"/>
      </w:r>
      <w:r w:rsidR="00121B59">
        <w:t>153</w:t>
      </w:r>
      <w:r w:rsidRPr="00BE4012">
        <w:fldChar w:fldCharType="end"/>
      </w:r>
    </w:p>
    <w:p w14:paraId="600FE177" w14:textId="77777777" w:rsidR="00BE4012" w:rsidRPr="00BE4012" w:rsidRDefault="00BE4012" w:rsidP="00BE4012">
      <w:pPr>
        <w:pStyle w:val="TOC1"/>
        <w:rPr>
          <w:rFonts w:eastAsiaTheme="minorEastAsia"/>
          <w:lang w:eastAsia="ja-JP"/>
        </w:rPr>
      </w:pPr>
      <w:r w:rsidRPr="00BE4012">
        <w:t>Chapter 9.  References</w:t>
      </w:r>
      <w:r w:rsidRPr="00BE4012">
        <w:tab/>
      </w:r>
      <w:r w:rsidRPr="00BE4012">
        <w:fldChar w:fldCharType="begin"/>
      </w:r>
      <w:r w:rsidRPr="00BE4012">
        <w:instrText xml:space="preserve"> PAGEREF _Toc339811829 \h </w:instrText>
      </w:r>
      <w:r w:rsidRPr="00BE4012">
        <w:fldChar w:fldCharType="separate"/>
      </w:r>
      <w:r w:rsidR="00121B59">
        <w:t>154</w:t>
      </w:r>
      <w:r w:rsidRPr="00BE4012">
        <w:fldChar w:fldCharType="end"/>
      </w:r>
    </w:p>
    <w:p w14:paraId="5C498219" w14:textId="733F9BD0" w:rsidR="00BE4012" w:rsidRPr="00BE4012" w:rsidRDefault="00BE4012" w:rsidP="00BE4012">
      <w:pPr>
        <w:pStyle w:val="TOC1"/>
        <w:rPr>
          <w:rFonts w:eastAsiaTheme="minorEastAsia"/>
          <w:lang w:eastAsia="ja-JP"/>
        </w:rPr>
      </w:pPr>
      <w:r w:rsidRPr="00BE4012">
        <w:t>Appendix A.  Considered But Rejected Alternatives</w:t>
      </w:r>
      <w:r w:rsidRPr="00BE4012">
        <w:tab/>
      </w:r>
      <w:r w:rsidR="00121B59">
        <w:t>A-</w:t>
      </w:r>
      <w:r w:rsidRPr="00BE4012">
        <w:fldChar w:fldCharType="begin"/>
      </w:r>
      <w:r w:rsidRPr="00BE4012">
        <w:instrText xml:space="preserve"> PAGEREF _Toc339811830 \h </w:instrText>
      </w:r>
      <w:r w:rsidRPr="00BE4012">
        <w:fldChar w:fldCharType="separate"/>
      </w:r>
      <w:r w:rsidR="00121B59">
        <w:t>1</w:t>
      </w:r>
      <w:r w:rsidRPr="00BE4012">
        <w:fldChar w:fldCharType="end"/>
      </w:r>
    </w:p>
    <w:p w14:paraId="0B10DA31" w14:textId="6A49815B" w:rsidR="00BE4012" w:rsidRPr="00BE4012" w:rsidRDefault="00BE4012" w:rsidP="00BE4012">
      <w:pPr>
        <w:pStyle w:val="TOC1"/>
        <w:rPr>
          <w:rFonts w:eastAsiaTheme="minorEastAsia"/>
          <w:lang w:eastAsia="ja-JP"/>
        </w:rPr>
      </w:pPr>
      <w:r w:rsidRPr="00BE4012">
        <w:t>Appendix B.  Glossary</w:t>
      </w:r>
      <w:r w:rsidRPr="00BE4012">
        <w:tab/>
      </w:r>
      <w:r w:rsidR="00121B59">
        <w:t>B-</w:t>
      </w:r>
      <w:r w:rsidRPr="00BE4012">
        <w:fldChar w:fldCharType="begin"/>
      </w:r>
      <w:r w:rsidRPr="00BE4012">
        <w:instrText xml:space="preserve"> PAGEREF _Toc339811831 \h </w:instrText>
      </w:r>
      <w:r w:rsidRPr="00BE4012">
        <w:fldChar w:fldCharType="separate"/>
      </w:r>
      <w:r w:rsidR="00121B59">
        <w:t>1</w:t>
      </w:r>
      <w:r w:rsidRPr="00BE4012">
        <w:fldChar w:fldCharType="end"/>
      </w:r>
    </w:p>
    <w:p w14:paraId="208F4CDD" w14:textId="20F47792" w:rsidR="00BE4012" w:rsidRPr="00BE4012" w:rsidRDefault="00BE4012" w:rsidP="00BE4012">
      <w:pPr>
        <w:pStyle w:val="TOC1"/>
        <w:rPr>
          <w:rFonts w:eastAsiaTheme="minorEastAsia"/>
          <w:lang w:eastAsia="ja-JP"/>
        </w:rPr>
      </w:pPr>
      <w:r w:rsidRPr="00BE4012">
        <w:t>Appendix C.  History of Management</w:t>
      </w:r>
      <w:r w:rsidRPr="00BE4012">
        <w:tab/>
      </w:r>
      <w:r w:rsidR="00121B59">
        <w:t>C-</w:t>
      </w:r>
      <w:r w:rsidRPr="00BE4012">
        <w:fldChar w:fldCharType="begin"/>
      </w:r>
      <w:r w:rsidRPr="00BE4012">
        <w:instrText xml:space="preserve"> PAGEREF _Toc339811832 \h </w:instrText>
      </w:r>
      <w:r w:rsidRPr="00BE4012">
        <w:fldChar w:fldCharType="separate"/>
      </w:r>
      <w:r w:rsidR="00121B59">
        <w:t>1</w:t>
      </w:r>
      <w:r w:rsidRPr="00BE4012">
        <w:fldChar w:fldCharType="end"/>
      </w:r>
    </w:p>
    <w:p w14:paraId="34848391" w14:textId="5D9BEB03" w:rsidR="00BE4012" w:rsidRPr="00BE4012" w:rsidRDefault="00BE4012" w:rsidP="00BE4012">
      <w:pPr>
        <w:pStyle w:val="TOC1"/>
        <w:rPr>
          <w:rFonts w:eastAsiaTheme="minorEastAsia"/>
          <w:lang w:eastAsia="ja-JP"/>
        </w:rPr>
      </w:pPr>
      <w:r w:rsidRPr="00BE4012">
        <w:t>Appendix D.  Bycatch Practicability Analysis</w:t>
      </w:r>
      <w:r w:rsidRPr="00BE4012">
        <w:tab/>
      </w:r>
      <w:r w:rsidR="00121B59">
        <w:t>D-</w:t>
      </w:r>
      <w:r w:rsidRPr="00BE4012">
        <w:fldChar w:fldCharType="begin"/>
      </w:r>
      <w:r w:rsidRPr="00BE4012">
        <w:instrText xml:space="preserve"> PAGEREF _Toc339811833 \h </w:instrText>
      </w:r>
      <w:r w:rsidRPr="00BE4012">
        <w:fldChar w:fldCharType="separate"/>
      </w:r>
      <w:r w:rsidR="00121B59">
        <w:t>1</w:t>
      </w:r>
      <w:r w:rsidRPr="00BE4012">
        <w:fldChar w:fldCharType="end"/>
      </w:r>
    </w:p>
    <w:p w14:paraId="5AB81DE0" w14:textId="4193BD2A" w:rsidR="00BE4012" w:rsidRPr="00BE4012" w:rsidRDefault="00BE4012" w:rsidP="00BE4012">
      <w:pPr>
        <w:pStyle w:val="TOC1"/>
        <w:rPr>
          <w:rFonts w:eastAsiaTheme="minorEastAsia"/>
          <w:lang w:eastAsia="ja-JP"/>
        </w:rPr>
      </w:pPr>
      <w:r w:rsidRPr="00BE4012">
        <w:t>Appendix E.  Regulatory Impact Review</w:t>
      </w:r>
      <w:r w:rsidRPr="00BE4012">
        <w:tab/>
      </w:r>
      <w:r w:rsidR="00121B59">
        <w:t>E-</w:t>
      </w:r>
      <w:r w:rsidRPr="00BE4012">
        <w:fldChar w:fldCharType="begin"/>
      </w:r>
      <w:r w:rsidRPr="00BE4012">
        <w:instrText xml:space="preserve"> PAGEREF _Toc339811834 \h </w:instrText>
      </w:r>
      <w:r w:rsidRPr="00BE4012">
        <w:fldChar w:fldCharType="separate"/>
      </w:r>
      <w:r w:rsidR="00121B59">
        <w:t>1</w:t>
      </w:r>
      <w:r w:rsidRPr="00BE4012">
        <w:fldChar w:fldCharType="end"/>
      </w:r>
    </w:p>
    <w:p w14:paraId="645F1029" w14:textId="5BCCBD63" w:rsidR="00BE4012" w:rsidRPr="00BE4012" w:rsidRDefault="00BE4012" w:rsidP="00BE4012">
      <w:pPr>
        <w:pStyle w:val="TOC1"/>
        <w:rPr>
          <w:rFonts w:eastAsiaTheme="minorEastAsia"/>
          <w:lang w:eastAsia="ja-JP"/>
        </w:rPr>
      </w:pPr>
      <w:r w:rsidRPr="00BE4012">
        <w:t>Appendix F.  Regulatory Flexibility Analysis</w:t>
      </w:r>
      <w:r w:rsidRPr="00BE4012">
        <w:tab/>
      </w:r>
      <w:r w:rsidR="00121B59">
        <w:t>F-</w:t>
      </w:r>
      <w:r w:rsidRPr="00BE4012">
        <w:fldChar w:fldCharType="begin"/>
      </w:r>
      <w:r w:rsidRPr="00BE4012">
        <w:instrText xml:space="preserve"> PAGEREF _Toc339811835 \h </w:instrText>
      </w:r>
      <w:r w:rsidRPr="00BE4012">
        <w:fldChar w:fldCharType="separate"/>
      </w:r>
      <w:r w:rsidR="00121B59">
        <w:t>1</w:t>
      </w:r>
      <w:r w:rsidRPr="00BE4012">
        <w:fldChar w:fldCharType="end"/>
      </w:r>
    </w:p>
    <w:p w14:paraId="2DFBE36A" w14:textId="588A6398" w:rsidR="00BE4012" w:rsidRPr="00BE4012" w:rsidRDefault="00BE4012" w:rsidP="00BE4012">
      <w:pPr>
        <w:pStyle w:val="TOC1"/>
        <w:rPr>
          <w:rFonts w:eastAsiaTheme="minorEastAsia"/>
          <w:lang w:eastAsia="ja-JP"/>
        </w:rPr>
      </w:pPr>
      <w:r w:rsidRPr="00BE4012">
        <w:t>Appendix G.  Other Applicable Laws</w:t>
      </w:r>
      <w:r w:rsidRPr="00BE4012">
        <w:tab/>
      </w:r>
      <w:r w:rsidR="00121B59">
        <w:t>G-</w:t>
      </w:r>
      <w:r w:rsidRPr="00BE4012">
        <w:fldChar w:fldCharType="begin"/>
      </w:r>
      <w:r w:rsidRPr="00BE4012">
        <w:instrText xml:space="preserve"> PAGEREF _Toc339811836 \h </w:instrText>
      </w:r>
      <w:r w:rsidRPr="00BE4012">
        <w:fldChar w:fldCharType="separate"/>
      </w:r>
      <w:r w:rsidR="00121B59">
        <w:t>1</w:t>
      </w:r>
      <w:r w:rsidRPr="00BE4012">
        <w:fldChar w:fldCharType="end"/>
      </w:r>
    </w:p>
    <w:p w14:paraId="33503047" w14:textId="501B95E2" w:rsidR="00BE4012" w:rsidRPr="00BE4012" w:rsidRDefault="00BE4012" w:rsidP="00BE4012">
      <w:pPr>
        <w:pStyle w:val="TOC1"/>
        <w:rPr>
          <w:rFonts w:eastAsiaTheme="minorEastAsia"/>
          <w:lang w:eastAsia="ja-JP"/>
        </w:rPr>
      </w:pPr>
      <w:r w:rsidRPr="00BE4012">
        <w:t>Appendix H.  Essential Fish Habitat and Ecosystem-based Management</w:t>
      </w:r>
      <w:r w:rsidRPr="00BE4012">
        <w:tab/>
      </w:r>
      <w:r w:rsidR="00121B59">
        <w:t>H-</w:t>
      </w:r>
      <w:r w:rsidRPr="00BE4012">
        <w:fldChar w:fldCharType="begin"/>
      </w:r>
      <w:r w:rsidRPr="00BE4012">
        <w:instrText xml:space="preserve"> PAGEREF _Toc339811837 \h </w:instrText>
      </w:r>
      <w:r w:rsidRPr="00BE4012">
        <w:fldChar w:fldCharType="separate"/>
      </w:r>
      <w:r w:rsidR="00121B59">
        <w:t>1</w:t>
      </w:r>
      <w:r w:rsidRPr="00BE4012">
        <w:fldChar w:fldCharType="end"/>
      </w:r>
    </w:p>
    <w:p w14:paraId="2658D44F" w14:textId="4D51ECDF" w:rsidR="00BE4012" w:rsidRPr="00BE4012" w:rsidRDefault="00BE4012" w:rsidP="00BE4012">
      <w:pPr>
        <w:pStyle w:val="TOC1"/>
        <w:rPr>
          <w:rFonts w:eastAsiaTheme="minorEastAsia"/>
          <w:lang w:eastAsia="ja-JP"/>
        </w:rPr>
      </w:pPr>
      <w:r w:rsidRPr="00BE4012">
        <w:t>Appendix I.  Fishery Impact Statement</w:t>
      </w:r>
      <w:r w:rsidRPr="00BE4012">
        <w:tab/>
      </w:r>
      <w:r w:rsidR="00121B59">
        <w:t>I-</w:t>
      </w:r>
      <w:r w:rsidRPr="00BE4012">
        <w:fldChar w:fldCharType="begin"/>
      </w:r>
      <w:r w:rsidRPr="00BE4012">
        <w:instrText xml:space="preserve"> PAGEREF _Toc339811838 \h </w:instrText>
      </w:r>
      <w:r w:rsidRPr="00BE4012">
        <w:fldChar w:fldCharType="separate"/>
      </w:r>
      <w:r w:rsidR="00121B59">
        <w:t>1</w:t>
      </w:r>
      <w:r w:rsidRPr="00BE4012">
        <w:fldChar w:fldCharType="end"/>
      </w:r>
    </w:p>
    <w:p w14:paraId="38D59D3C" w14:textId="5AF904D2" w:rsidR="00BE4012" w:rsidRPr="00BE4012" w:rsidRDefault="00BE4012" w:rsidP="00BE4012">
      <w:pPr>
        <w:pStyle w:val="TOC1"/>
        <w:rPr>
          <w:rFonts w:eastAsiaTheme="minorEastAsia"/>
          <w:lang w:eastAsia="ja-JP"/>
        </w:rPr>
      </w:pPr>
      <w:r w:rsidRPr="00BE4012">
        <w:t>Appendix J.  Method for Specifying the Mutton Snapper OFL, ABC, and ACL in Numbers of Fish</w:t>
      </w:r>
      <w:r w:rsidRPr="00BE4012">
        <w:tab/>
      </w:r>
      <w:r w:rsidR="00121B59">
        <w:t>J-</w:t>
      </w:r>
      <w:r w:rsidRPr="00BE4012">
        <w:fldChar w:fldCharType="begin"/>
      </w:r>
      <w:r w:rsidRPr="00BE4012">
        <w:instrText xml:space="preserve"> PAGEREF _Toc339811839 \h </w:instrText>
      </w:r>
      <w:r w:rsidRPr="00BE4012">
        <w:fldChar w:fldCharType="separate"/>
      </w:r>
      <w:r w:rsidR="00121B59">
        <w:t>1</w:t>
      </w:r>
      <w:r w:rsidRPr="00BE4012">
        <w:fldChar w:fldCharType="end"/>
      </w:r>
    </w:p>
    <w:p w14:paraId="75FDEC06" w14:textId="5231163E" w:rsidR="00BE4012" w:rsidRPr="00BE4012" w:rsidRDefault="00BE4012" w:rsidP="00BE4012">
      <w:pPr>
        <w:pStyle w:val="TOC1"/>
        <w:rPr>
          <w:rFonts w:eastAsiaTheme="minorEastAsia"/>
          <w:lang w:eastAsia="ja-JP"/>
        </w:rPr>
      </w:pPr>
      <w:r w:rsidRPr="00BE4012">
        <w:t>Appendix K.  Recreational and Commercial Data Analyses of Management Alternatives</w:t>
      </w:r>
      <w:r w:rsidR="00121B59">
        <w:t>..</w:t>
      </w:r>
      <w:r w:rsidRPr="00BE4012">
        <w:tab/>
      </w:r>
      <w:r w:rsidR="00121B59">
        <w:t>K-</w:t>
      </w:r>
      <w:r w:rsidRPr="00BE4012">
        <w:fldChar w:fldCharType="begin"/>
      </w:r>
      <w:r w:rsidRPr="00BE4012">
        <w:instrText xml:space="preserve"> PAGEREF _Toc339811840 \h </w:instrText>
      </w:r>
      <w:r w:rsidRPr="00BE4012">
        <w:fldChar w:fldCharType="separate"/>
      </w:r>
      <w:r w:rsidR="00121B59">
        <w:t>1</w:t>
      </w:r>
      <w:r w:rsidRPr="00BE4012">
        <w:fldChar w:fldCharType="end"/>
      </w:r>
    </w:p>
    <w:p w14:paraId="0B190EAC" w14:textId="77777777" w:rsidR="007E1AEA" w:rsidRPr="00307962" w:rsidRDefault="00FE05EA" w:rsidP="00D71AB1">
      <w:r w:rsidRPr="00BE4012">
        <w:fldChar w:fldCharType="end"/>
      </w:r>
    </w:p>
    <w:p w14:paraId="5B54925B" w14:textId="77777777" w:rsidR="007E1AEA" w:rsidRPr="0000613D" w:rsidRDefault="007E1AEA" w:rsidP="00D71AB1">
      <w:pPr>
        <w:jc w:val="center"/>
        <w:rPr>
          <w:color w:val="000000" w:themeColor="text1"/>
        </w:rPr>
      </w:pPr>
    </w:p>
    <w:p w14:paraId="567F9DE6" w14:textId="77777777" w:rsidR="00601702" w:rsidRPr="00532ABB" w:rsidRDefault="00601702" w:rsidP="00D71AB1">
      <w:pPr>
        <w:jc w:val="center"/>
        <w:rPr>
          <w:b/>
          <w:color w:val="548DD4" w:themeColor="text2" w:themeTint="99"/>
        </w:rPr>
        <w:sectPr w:rsidR="00601702" w:rsidRPr="00532ABB" w:rsidSect="0038545E">
          <w:pgSz w:w="12240" w:h="15840" w:code="1"/>
          <w:pgMar w:top="1440" w:right="1800" w:bottom="1440" w:left="1800" w:header="720" w:footer="720" w:gutter="0"/>
          <w:pgNumType w:fmt="upperRoman"/>
          <w:cols w:space="720"/>
          <w:docGrid w:linePitch="360"/>
        </w:sectPr>
      </w:pPr>
    </w:p>
    <w:p w14:paraId="78D96F85" w14:textId="77777777" w:rsidR="008D0B8B" w:rsidRPr="004B2D0B" w:rsidRDefault="008D0B8B" w:rsidP="004B2D0B">
      <w:pPr>
        <w:pStyle w:val="Heading1"/>
        <w:jc w:val="center"/>
        <w:rPr>
          <w:rFonts w:ascii="Times New Roman" w:hAnsi="Times New Roman" w:cs="Times New Roman"/>
          <w:color w:val="4F81BD" w:themeColor="accent1"/>
          <w:sz w:val="56"/>
          <w:szCs w:val="56"/>
        </w:rPr>
      </w:pPr>
      <w:bookmarkStart w:id="11" w:name="_Toc281922233"/>
      <w:bookmarkStart w:id="12" w:name="_Toc304879946"/>
      <w:bookmarkStart w:id="13" w:name="_Toc361410381"/>
      <w:bookmarkStart w:id="14" w:name="_Toc339811686"/>
      <w:r w:rsidRPr="004B2D0B">
        <w:rPr>
          <w:rFonts w:ascii="Times New Roman" w:hAnsi="Times New Roman" w:cs="Times New Roman"/>
          <w:color w:val="4F81BD" w:themeColor="accent1"/>
          <w:sz w:val="56"/>
          <w:szCs w:val="56"/>
        </w:rPr>
        <w:lastRenderedPageBreak/>
        <w:t>List of Appendices</w:t>
      </w:r>
      <w:bookmarkEnd w:id="11"/>
      <w:bookmarkEnd w:id="12"/>
      <w:bookmarkEnd w:id="13"/>
      <w:bookmarkEnd w:id="14"/>
    </w:p>
    <w:p w14:paraId="489841E5" w14:textId="77777777" w:rsidR="008D0B8B" w:rsidRPr="00532ABB" w:rsidRDefault="008D0B8B" w:rsidP="00D71AB1">
      <w:pPr>
        <w:jc w:val="center"/>
        <w:rPr>
          <w:noProof/>
        </w:rPr>
      </w:pPr>
    </w:p>
    <w:p w14:paraId="1424BC58" w14:textId="77777777" w:rsidR="008D0B8B" w:rsidRPr="00E02C01" w:rsidRDefault="008D0B8B" w:rsidP="00D71AB1">
      <w:pPr>
        <w:rPr>
          <w:rFonts w:ascii="Arial" w:hAnsi="Arial" w:cs="Arial"/>
          <w:sz w:val="28"/>
          <w:szCs w:val="28"/>
        </w:rPr>
      </w:pPr>
    </w:p>
    <w:p w14:paraId="1A85D7D4" w14:textId="678F3039" w:rsidR="00E7070D" w:rsidRDefault="0016500F" w:rsidP="00D71AB1">
      <w:pPr>
        <w:rPr>
          <w:rFonts w:ascii="Arial" w:hAnsi="Arial" w:cs="Arial"/>
          <w:b/>
          <w:sz w:val="28"/>
          <w:szCs w:val="28"/>
        </w:rPr>
      </w:pPr>
      <w:r>
        <w:rPr>
          <w:rFonts w:ascii="Arial" w:hAnsi="Arial" w:cs="Arial"/>
          <w:b/>
          <w:sz w:val="28"/>
          <w:szCs w:val="28"/>
        </w:rPr>
        <w:t>Appendix A.</w:t>
      </w:r>
      <w:r>
        <w:rPr>
          <w:rFonts w:ascii="Arial" w:hAnsi="Arial" w:cs="Arial"/>
          <w:b/>
          <w:sz w:val="28"/>
          <w:szCs w:val="28"/>
        </w:rPr>
        <w:tab/>
      </w:r>
      <w:r w:rsidRPr="0016500F">
        <w:rPr>
          <w:rFonts w:ascii="Arial" w:hAnsi="Arial" w:cs="Arial"/>
          <w:sz w:val="28"/>
          <w:szCs w:val="28"/>
        </w:rPr>
        <w:t>Considered But Rejected Alternatives</w:t>
      </w:r>
    </w:p>
    <w:p w14:paraId="3B1A2E04" w14:textId="77777777" w:rsidR="0016500F" w:rsidRDefault="0016500F" w:rsidP="00D71AB1">
      <w:pPr>
        <w:rPr>
          <w:rFonts w:ascii="Arial" w:hAnsi="Arial" w:cs="Arial"/>
          <w:b/>
          <w:sz w:val="28"/>
          <w:szCs w:val="28"/>
        </w:rPr>
      </w:pPr>
    </w:p>
    <w:p w14:paraId="605A40C0" w14:textId="221B8119" w:rsidR="002B3E29" w:rsidRPr="00E02C01" w:rsidRDefault="00E7070D" w:rsidP="00D71AB1">
      <w:pPr>
        <w:rPr>
          <w:rFonts w:ascii="Arial" w:hAnsi="Arial" w:cs="Arial"/>
          <w:sz w:val="28"/>
          <w:szCs w:val="28"/>
        </w:rPr>
      </w:pPr>
      <w:r>
        <w:rPr>
          <w:rFonts w:ascii="Arial" w:hAnsi="Arial" w:cs="Arial"/>
          <w:b/>
          <w:sz w:val="28"/>
          <w:szCs w:val="28"/>
        </w:rPr>
        <w:t>Appendix B</w:t>
      </w:r>
      <w:r w:rsidR="0055499A" w:rsidRPr="00E02C01">
        <w:rPr>
          <w:rFonts w:ascii="Arial" w:hAnsi="Arial" w:cs="Arial"/>
          <w:b/>
          <w:sz w:val="28"/>
          <w:szCs w:val="28"/>
        </w:rPr>
        <w:t>.</w:t>
      </w:r>
      <w:r w:rsidR="0055499A" w:rsidRPr="00E02C01">
        <w:rPr>
          <w:rFonts w:ascii="Arial" w:hAnsi="Arial" w:cs="Arial"/>
          <w:sz w:val="28"/>
          <w:szCs w:val="28"/>
        </w:rPr>
        <w:tab/>
        <w:t>Glossary</w:t>
      </w:r>
    </w:p>
    <w:p w14:paraId="0172FC37" w14:textId="77777777" w:rsidR="002B3E29" w:rsidRPr="00E02C01" w:rsidRDefault="002B3E29" w:rsidP="00D71AB1">
      <w:pPr>
        <w:rPr>
          <w:rFonts w:ascii="Arial" w:hAnsi="Arial" w:cs="Arial"/>
          <w:sz w:val="28"/>
          <w:szCs w:val="28"/>
        </w:rPr>
      </w:pPr>
    </w:p>
    <w:p w14:paraId="33428420" w14:textId="3B3AF4CE" w:rsidR="0055499A" w:rsidRPr="00E02C01" w:rsidRDefault="002B3E29" w:rsidP="00D71AB1">
      <w:pPr>
        <w:rPr>
          <w:rFonts w:ascii="Arial" w:hAnsi="Arial" w:cs="Arial"/>
          <w:sz w:val="28"/>
          <w:szCs w:val="28"/>
        </w:rPr>
      </w:pPr>
      <w:r w:rsidRPr="00E02C01">
        <w:rPr>
          <w:rFonts w:ascii="Arial" w:hAnsi="Arial" w:cs="Arial"/>
          <w:b/>
          <w:sz w:val="28"/>
          <w:szCs w:val="28"/>
        </w:rPr>
        <w:t xml:space="preserve">Appendix </w:t>
      </w:r>
      <w:r w:rsidR="00E7070D">
        <w:rPr>
          <w:rFonts w:ascii="Arial" w:hAnsi="Arial" w:cs="Arial"/>
          <w:b/>
          <w:sz w:val="28"/>
          <w:szCs w:val="28"/>
        </w:rPr>
        <w:t>C</w:t>
      </w:r>
      <w:r w:rsidRPr="00E02C01">
        <w:rPr>
          <w:rFonts w:ascii="Arial" w:hAnsi="Arial" w:cs="Arial"/>
          <w:sz w:val="28"/>
          <w:szCs w:val="28"/>
        </w:rPr>
        <w:t xml:space="preserve">. </w:t>
      </w:r>
      <w:r w:rsidRPr="00E02C01">
        <w:rPr>
          <w:rFonts w:ascii="Arial" w:hAnsi="Arial" w:cs="Arial"/>
          <w:sz w:val="28"/>
          <w:szCs w:val="28"/>
        </w:rPr>
        <w:tab/>
      </w:r>
      <w:r w:rsidR="0055499A" w:rsidRPr="00E02C01">
        <w:rPr>
          <w:rFonts w:ascii="Arial" w:hAnsi="Arial" w:cs="Arial"/>
          <w:sz w:val="28"/>
          <w:szCs w:val="28"/>
        </w:rPr>
        <w:t>History of Management</w:t>
      </w:r>
      <w:r w:rsidR="0055499A" w:rsidRPr="00E02C01">
        <w:rPr>
          <w:rFonts w:ascii="Arial" w:hAnsi="Arial" w:cs="Arial"/>
          <w:sz w:val="28"/>
          <w:szCs w:val="28"/>
        </w:rPr>
        <w:tab/>
      </w:r>
    </w:p>
    <w:p w14:paraId="19D397AB" w14:textId="77777777" w:rsidR="0055499A" w:rsidRPr="00E02C01" w:rsidRDefault="0055499A" w:rsidP="00D71AB1">
      <w:pPr>
        <w:rPr>
          <w:rFonts w:ascii="Arial" w:hAnsi="Arial" w:cs="Arial"/>
          <w:sz w:val="28"/>
          <w:szCs w:val="28"/>
        </w:rPr>
      </w:pPr>
    </w:p>
    <w:p w14:paraId="656E4A81" w14:textId="08B54252" w:rsidR="0055499A" w:rsidRDefault="002B3E29" w:rsidP="00D71AB1">
      <w:pPr>
        <w:rPr>
          <w:rFonts w:ascii="Arial" w:hAnsi="Arial" w:cs="Arial"/>
          <w:sz w:val="28"/>
          <w:szCs w:val="28"/>
        </w:rPr>
      </w:pPr>
      <w:r w:rsidRPr="00E02C01">
        <w:rPr>
          <w:rFonts w:ascii="Arial" w:hAnsi="Arial" w:cs="Arial"/>
          <w:b/>
          <w:sz w:val="28"/>
          <w:szCs w:val="28"/>
        </w:rPr>
        <w:t xml:space="preserve">Appendix </w:t>
      </w:r>
      <w:r w:rsidR="00E7070D">
        <w:rPr>
          <w:rFonts w:ascii="Arial" w:hAnsi="Arial" w:cs="Arial"/>
          <w:b/>
          <w:sz w:val="28"/>
          <w:szCs w:val="28"/>
        </w:rPr>
        <w:t>D</w:t>
      </w:r>
      <w:r w:rsidR="0055499A" w:rsidRPr="00E02C01">
        <w:rPr>
          <w:rFonts w:ascii="Arial" w:hAnsi="Arial" w:cs="Arial"/>
          <w:b/>
          <w:sz w:val="28"/>
          <w:szCs w:val="28"/>
        </w:rPr>
        <w:t>.</w:t>
      </w:r>
      <w:r w:rsidR="0055499A" w:rsidRPr="00E02C01">
        <w:rPr>
          <w:rFonts w:ascii="Arial" w:hAnsi="Arial" w:cs="Arial"/>
          <w:sz w:val="28"/>
          <w:szCs w:val="28"/>
        </w:rPr>
        <w:tab/>
        <w:t>Bycatch Practicability Analysis</w:t>
      </w:r>
    </w:p>
    <w:p w14:paraId="532D3514" w14:textId="77777777" w:rsidR="0055499A" w:rsidRPr="00E02C01" w:rsidRDefault="0055499A" w:rsidP="00D71AB1">
      <w:pPr>
        <w:rPr>
          <w:rFonts w:ascii="Arial" w:hAnsi="Arial" w:cs="Arial"/>
          <w:sz w:val="28"/>
          <w:szCs w:val="28"/>
        </w:rPr>
      </w:pPr>
    </w:p>
    <w:p w14:paraId="085A2C51" w14:textId="0D598DAC" w:rsidR="0055499A" w:rsidRPr="00E02C01" w:rsidRDefault="00AB4E15" w:rsidP="00D71AB1">
      <w:pPr>
        <w:rPr>
          <w:rFonts w:ascii="Arial" w:hAnsi="Arial" w:cs="Arial"/>
          <w:sz w:val="28"/>
          <w:szCs w:val="28"/>
        </w:rPr>
      </w:pPr>
      <w:r>
        <w:rPr>
          <w:rFonts w:ascii="Arial" w:hAnsi="Arial" w:cs="Arial"/>
          <w:b/>
          <w:sz w:val="28"/>
          <w:szCs w:val="28"/>
        </w:rPr>
        <w:t xml:space="preserve">Appendix </w:t>
      </w:r>
      <w:r w:rsidR="00E7070D">
        <w:rPr>
          <w:rFonts w:ascii="Arial" w:hAnsi="Arial" w:cs="Arial"/>
          <w:b/>
          <w:sz w:val="28"/>
          <w:szCs w:val="28"/>
        </w:rPr>
        <w:t>E</w:t>
      </w:r>
      <w:r w:rsidR="0055499A" w:rsidRPr="00E02C01">
        <w:rPr>
          <w:rFonts w:ascii="Arial" w:hAnsi="Arial" w:cs="Arial"/>
          <w:b/>
          <w:sz w:val="28"/>
          <w:szCs w:val="28"/>
        </w:rPr>
        <w:t>.</w:t>
      </w:r>
      <w:r w:rsidR="0055499A" w:rsidRPr="00E02C01">
        <w:rPr>
          <w:rFonts w:ascii="Arial" w:hAnsi="Arial" w:cs="Arial"/>
          <w:sz w:val="28"/>
          <w:szCs w:val="28"/>
        </w:rPr>
        <w:tab/>
        <w:t>Regulatory Impact Review</w:t>
      </w:r>
    </w:p>
    <w:p w14:paraId="0662D00F" w14:textId="77777777" w:rsidR="0055499A" w:rsidRPr="00E02C01" w:rsidRDefault="0055499A" w:rsidP="00D71AB1">
      <w:pPr>
        <w:rPr>
          <w:rFonts w:ascii="Arial" w:hAnsi="Arial" w:cs="Arial"/>
          <w:sz w:val="28"/>
          <w:szCs w:val="28"/>
        </w:rPr>
      </w:pPr>
    </w:p>
    <w:p w14:paraId="17D47E82" w14:textId="7C8CB660" w:rsidR="0055499A" w:rsidRPr="00E02C01" w:rsidRDefault="00AB4E15" w:rsidP="00D71AB1">
      <w:pPr>
        <w:rPr>
          <w:rFonts w:ascii="Arial" w:hAnsi="Arial" w:cs="Arial"/>
          <w:sz w:val="28"/>
          <w:szCs w:val="28"/>
        </w:rPr>
      </w:pPr>
      <w:r>
        <w:rPr>
          <w:rFonts w:ascii="Arial" w:hAnsi="Arial" w:cs="Arial"/>
          <w:b/>
          <w:sz w:val="28"/>
          <w:szCs w:val="28"/>
        </w:rPr>
        <w:t xml:space="preserve">Appendix </w:t>
      </w:r>
      <w:r w:rsidR="00E7070D">
        <w:rPr>
          <w:rFonts w:ascii="Arial" w:hAnsi="Arial" w:cs="Arial"/>
          <w:b/>
          <w:sz w:val="28"/>
          <w:szCs w:val="28"/>
        </w:rPr>
        <w:t>F</w:t>
      </w:r>
      <w:r w:rsidR="0055499A" w:rsidRPr="00E02C01">
        <w:rPr>
          <w:rFonts w:ascii="Arial" w:hAnsi="Arial" w:cs="Arial"/>
          <w:b/>
          <w:sz w:val="28"/>
          <w:szCs w:val="28"/>
        </w:rPr>
        <w:t>.</w:t>
      </w:r>
      <w:r w:rsidR="0055499A" w:rsidRPr="00E02C01">
        <w:rPr>
          <w:rFonts w:ascii="Arial" w:hAnsi="Arial" w:cs="Arial"/>
          <w:sz w:val="28"/>
          <w:szCs w:val="28"/>
        </w:rPr>
        <w:tab/>
        <w:t>Regulatory Flexibility Analysis</w:t>
      </w:r>
    </w:p>
    <w:p w14:paraId="4E05F766" w14:textId="77777777" w:rsidR="0055499A" w:rsidRPr="00E02C01" w:rsidRDefault="0055499A" w:rsidP="00D71AB1">
      <w:pPr>
        <w:rPr>
          <w:rFonts w:ascii="Arial" w:hAnsi="Arial" w:cs="Arial"/>
          <w:sz w:val="28"/>
          <w:szCs w:val="28"/>
        </w:rPr>
      </w:pPr>
    </w:p>
    <w:p w14:paraId="55F0EA68" w14:textId="7CB2E0D1" w:rsidR="0055499A" w:rsidRDefault="00AB4E15" w:rsidP="00D71AB1">
      <w:pPr>
        <w:rPr>
          <w:rFonts w:ascii="Arial" w:hAnsi="Arial" w:cs="Arial"/>
          <w:sz w:val="28"/>
          <w:szCs w:val="28"/>
        </w:rPr>
      </w:pPr>
      <w:r>
        <w:rPr>
          <w:rFonts w:ascii="Arial" w:hAnsi="Arial" w:cs="Arial"/>
          <w:b/>
          <w:sz w:val="28"/>
          <w:szCs w:val="28"/>
        </w:rPr>
        <w:t xml:space="preserve">Appendix </w:t>
      </w:r>
      <w:r w:rsidR="00E7070D">
        <w:rPr>
          <w:rFonts w:ascii="Arial" w:hAnsi="Arial" w:cs="Arial"/>
          <w:b/>
          <w:sz w:val="28"/>
          <w:szCs w:val="28"/>
        </w:rPr>
        <w:t>G</w:t>
      </w:r>
      <w:r w:rsidR="0055499A" w:rsidRPr="00E02C01">
        <w:rPr>
          <w:rFonts w:ascii="Arial" w:hAnsi="Arial" w:cs="Arial"/>
          <w:b/>
          <w:sz w:val="28"/>
          <w:szCs w:val="28"/>
        </w:rPr>
        <w:t>.</w:t>
      </w:r>
      <w:r w:rsidR="0055499A" w:rsidRPr="00E02C01">
        <w:rPr>
          <w:rFonts w:ascii="Arial" w:hAnsi="Arial" w:cs="Arial"/>
          <w:sz w:val="28"/>
          <w:szCs w:val="28"/>
        </w:rPr>
        <w:tab/>
        <w:t>Other Applicable Law</w:t>
      </w:r>
    </w:p>
    <w:p w14:paraId="165D7645" w14:textId="77777777" w:rsidR="0098447C" w:rsidRDefault="0098447C" w:rsidP="00D71AB1">
      <w:pPr>
        <w:rPr>
          <w:rFonts w:ascii="Arial" w:hAnsi="Arial" w:cs="Arial"/>
          <w:sz w:val="28"/>
          <w:szCs w:val="28"/>
        </w:rPr>
      </w:pPr>
    </w:p>
    <w:p w14:paraId="1A8EEA6B" w14:textId="2762BF91" w:rsidR="0098447C" w:rsidRDefault="0098447C" w:rsidP="00DC4922">
      <w:pPr>
        <w:ind w:left="2160" w:hanging="2160"/>
        <w:rPr>
          <w:rFonts w:ascii="Arial" w:hAnsi="Arial" w:cs="Arial"/>
          <w:sz w:val="28"/>
          <w:szCs w:val="28"/>
        </w:rPr>
      </w:pPr>
      <w:r w:rsidRPr="0098447C">
        <w:rPr>
          <w:rFonts w:ascii="Arial" w:hAnsi="Arial" w:cs="Arial"/>
          <w:b/>
          <w:sz w:val="28"/>
          <w:szCs w:val="28"/>
        </w:rPr>
        <w:t xml:space="preserve">Appendix </w:t>
      </w:r>
      <w:r w:rsidR="00E7070D">
        <w:rPr>
          <w:rFonts w:ascii="Arial" w:hAnsi="Arial" w:cs="Arial"/>
          <w:b/>
          <w:sz w:val="28"/>
          <w:szCs w:val="28"/>
        </w:rPr>
        <w:t>H</w:t>
      </w:r>
      <w:r w:rsidRPr="0098447C">
        <w:rPr>
          <w:rFonts w:ascii="Arial" w:hAnsi="Arial" w:cs="Arial"/>
          <w:b/>
          <w:sz w:val="28"/>
          <w:szCs w:val="28"/>
        </w:rPr>
        <w:t xml:space="preserve">.  </w:t>
      </w:r>
      <w:r>
        <w:rPr>
          <w:rFonts w:ascii="Arial" w:hAnsi="Arial" w:cs="Arial"/>
          <w:b/>
          <w:sz w:val="28"/>
          <w:szCs w:val="28"/>
        </w:rPr>
        <w:tab/>
      </w:r>
      <w:r w:rsidR="00DC4922">
        <w:rPr>
          <w:rFonts w:ascii="Arial" w:hAnsi="Arial" w:cs="Arial"/>
          <w:sz w:val="28"/>
          <w:szCs w:val="28"/>
        </w:rPr>
        <w:t>Essential Fish Habitat and Ecosystem-based Management</w:t>
      </w:r>
      <w:r>
        <w:rPr>
          <w:rFonts w:ascii="Arial" w:hAnsi="Arial" w:cs="Arial"/>
          <w:sz w:val="28"/>
          <w:szCs w:val="28"/>
        </w:rPr>
        <w:t xml:space="preserve"> </w:t>
      </w:r>
    </w:p>
    <w:p w14:paraId="77C3CAEF" w14:textId="77777777" w:rsidR="00C905DB" w:rsidRDefault="00C905DB" w:rsidP="00D71AB1">
      <w:pPr>
        <w:rPr>
          <w:rFonts w:ascii="Arial" w:hAnsi="Arial" w:cs="Arial"/>
          <w:sz w:val="28"/>
          <w:szCs w:val="28"/>
        </w:rPr>
      </w:pPr>
    </w:p>
    <w:p w14:paraId="2D4D1847" w14:textId="69118437" w:rsidR="00C905DB" w:rsidRDefault="00E7070D" w:rsidP="00D71AB1">
      <w:pPr>
        <w:rPr>
          <w:rFonts w:ascii="Arial" w:hAnsi="Arial" w:cs="Arial"/>
          <w:sz w:val="28"/>
          <w:szCs w:val="28"/>
        </w:rPr>
      </w:pPr>
      <w:r>
        <w:rPr>
          <w:rFonts w:ascii="Arial" w:hAnsi="Arial" w:cs="Arial"/>
          <w:b/>
          <w:sz w:val="28"/>
          <w:szCs w:val="28"/>
        </w:rPr>
        <w:t>Appendix I</w:t>
      </w:r>
      <w:r w:rsidR="00C905DB" w:rsidRPr="00C905DB">
        <w:rPr>
          <w:rFonts w:ascii="Arial" w:hAnsi="Arial" w:cs="Arial"/>
          <w:b/>
          <w:sz w:val="28"/>
          <w:szCs w:val="28"/>
        </w:rPr>
        <w:t>.</w:t>
      </w:r>
      <w:r w:rsidR="00C905DB">
        <w:rPr>
          <w:rFonts w:ascii="Arial" w:hAnsi="Arial" w:cs="Arial"/>
          <w:sz w:val="28"/>
          <w:szCs w:val="28"/>
        </w:rPr>
        <w:t xml:space="preserve"> </w:t>
      </w:r>
      <w:r w:rsidR="00C905DB">
        <w:rPr>
          <w:rFonts w:ascii="Arial" w:hAnsi="Arial" w:cs="Arial"/>
          <w:sz w:val="28"/>
          <w:szCs w:val="28"/>
        </w:rPr>
        <w:tab/>
        <w:t xml:space="preserve">Fishery Impact Statement </w:t>
      </w:r>
    </w:p>
    <w:p w14:paraId="5E78199F" w14:textId="77777777" w:rsidR="00604653" w:rsidRDefault="00604653" w:rsidP="00D71AB1">
      <w:pPr>
        <w:rPr>
          <w:rFonts w:ascii="Arial" w:hAnsi="Arial" w:cs="Arial"/>
          <w:sz w:val="28"/>
          <w:szCs w:val="28"/>
        </w:rPr>
      </w:pPr>
    </w:p>
    <w:p w14:paraId="407BD017" w14:textId="09D67936" w:rsidR="00604653" w:rsidRDefault="00604653" w:rsidP="00604653">
      <w:pPr>
        <w:ind w:left="2160" w:hanging="2160"/>
        <w:rPr>
          <w:rFonts w:ascii="Arial" w:hAnsi="Arial" w:cs="Arial"/>
          <w:sz w:val="28"/>
          <w:szCs w:val="28"/>
        </w:rPr>
      </w:pPr>
      <w:r w:rsidRPr="00604653">
        <w:rPr>
          <w:rFonts w:ascii="Arial" w:hAnsi="Arial" w:cs="Arial"/>
          <w:b/>
          <w:sz w:val="28"/>
          <w:szCs w:val="28"/>
        </w:rPr>
        <w:t>Appendix J.</w:t>
      </w:r>
      <w:r>
        <w:rPr>
          <w:rFonts w:ascii="Arial" w:hAnsi="Arial" w:cs="Arial"/>
          <w:sz w:val="28"/>
          <w:szCs w:val="28"/>
        </w:rPr>
        <w:tab/>
      </w:r>
      <w:r w:rsidRPr="00604653">
        <w:rPr>
          <w:rFonts w:ascii="Arial" w:hAnsi="Arial" w:cs="Arial"/>
          <w:sz w:val="28"/>
          <w:szCs w:val="28"/>
        </w:rPr>
        <w:t xml:space="preserve">Methodology for Specifying the </w:t>
      </w:r>
      <w:r>
        <w:rPr>
          <w:rFonts w:ascii="Arial" w:hAnsi="Arial" w:cs="Arial"/>
          <w:sz w:val="28"/>
          <w:szCs w:val="28"/>
        </w:rPr>
        <w:t>Mutton Snapper</w:t>
      </w:r>
      <w:r w:rsidRPr="00604653">
        <w:rPr>
          <w:rFonts w:ascii="Arial" w:hAnsi="Arial" w:cs="Arial"/>
          <w:sz w:val="28"/>
          <w:szCs w:val="28"/>
        </w:rPr>
        <w:t xml:space="preserve"> OFL, ABC, and ACL in Numbers of Fish</w:t>
      </w:r>
    </w:p>
    <w:p w14:paraId="3D2E181B" w14:textId="77777777" w:rsidR="00FC0B9F" w:rsidRDefault="00FC0B9F" w:rsidP="00604653">
      <w:pPr>
        <w:ind w:left="2160" w:hanging="2160"/>
        <w:rPr>
          <w:rFonts w:ascii="Arial" w:hAnsi="Arial" w:cs="Arial"/>
          <w:sz w:val="28"/>
          <w:szCs w:val="28"/>
        </w:rPr>
      </w:pPr>
    </w:p>
    <w:p w14:paraId="2C5F8752" w14:textId="251865EB" w:rsidR="00FC0B9F" w:rsidRPr="0098447C" w:rsidRDefault="00FC0B9F" w:rsidP="00604653">
      <w:pPr>
        <w:ind w:left="2160" w:hanging="2160"/>
        <w:rPr>
          <w:rFonts w:ascii="Arial" w:hAnsi="Arial" w:cs="Arial"/>
          <w:sz w:val="28"/>
          <w:szCs w:val="28"/>
        </w:rPr>
      </w:pPr>
      <w:r w:rsidRPr="00FC0B9F">
        <w:rPr>
          <w:rFonts w:ascii="Arial" w:hAnsi="Arial" w:cs="Arial"/>
          <w:b/>
          <w:sz w:val="28"/>
          <w:szCs w:val="28"/>
        </w:rPr>
        <w:t>Appendix K.</w:t>
      </w:r>
      <w:r>
        <w:rPr>
          <w:rFonts w:ascii="Arial" w:hAnsi="Arial" w:cs="Arial"/>
          <w:sz w:val="28"/>
          <w:szCs w:val="28"/>
        </w:rPr>
        <w:tab/>
      </w:r>
      <w:r w:rsidR="007862B2">
        <w:rPr>
          <w:rFonts w:ascii="Arial" w:hAnsi="Arial" w:cs="Arial"/>
          <w:sz w:val="28"/>
          <w:szCs w:val="28"/>
        </w:rPr>
        <w:t>Data Analyses</w:t>
      </w:r>
    </w:p>
    <w:p w14:paraId="01A9338A" w14:textId="77777777" w:rsidR="00087588" w:rsidRDefault="00087588" w:rsidP="00D71AB1">
      <w:pPr>
        <w:rPr>
          <w:sz w:val="28"/>
          <w:szCs w:val="28"/>
        </w:rPr>
      </w:pPr>
    </w:p>
    <w:p w14:paraId="532ADD25" w14:textId="77777777" w:rsidR="002C1096" w:rsidRPr="00532ABB" w:rsidRDefault="002C1096" w:rsidP="00D71AB1">
      <w:pPr>
        <w:rPr>
          <w:sz w:val="28"/>
          <w:szCs w:val="28"/>
        </w:rPr>
      </w:pPr>
    </w:p>
    <w:p w14:paraId="2E72AE22" w14:textId="77777777" w:rsidR="00BF0D55" w:rsidRPr="00532ABB" w:rsidRDefault="00BF0D55" w:rsidP="00D71AB1">
      <w:pPr>
        <w:rPr>
          <w:b/>
          <w:sz w:val="28"/>
          <w:szCs w:val="28"/>
        </w:rPr>
      </w:pPr>
    </w:p>
    <w:p w14:paraId="008F1D8E" w14:textId="77777777" w:rsidR="008D0B8B" w:rsidRPr="00532ABB" w:rsidRDefault="008D0B8B" w:rsidP="00D71AB1">
      <w:pPr>
        <w:sectPr w:rsidR="008D0B8B" w:rsidRPr="00532ABB" w:rsidSect="0038545E">
          <w:footerReference w:type="default" r:id="rId22"/>
          <w:pgSz w:w="12240" w:h="15840" w:code="1"/>
          <w:pgMar w:top="1440" w:right="1800" w:bottom="1440" w:left="1800" w:header="720" w:footer="720" w:gutter="0"/>
          <w:pgNumType w:fmt="upperRoman"/>
          <w:cols w:space="720"/>
          <w:docGrid w:linePitch="360"/>
        </w:sectPr>
      </w:pPr>
    </w:p>
    <w:p w14:paraId="0D6D83D7" w14:textId="77777777" w:rsidR="008D0B8B" w:rsidRPr="004B2D0B" w:rsidRDefault="008D0B8B" w:rsidP="004B2D0B">
      <w:pPr>
        <w:pStyle w:val="Heading1"/>
        <w:jc w:val="center"/>
        <w:rPr>
          <w:rFonts w:ascii="Times New Roman" w:hAnsi="Times New Roman" w:cs="Times New Roman"/>
          <w:color w:val="4F81BD" w:themeColor="accent1"/>
          <w:sz w:val="56"/>
          <w:szCs w:val="56"/>
        </w:rPr>
      </w:pPr>
      <w:bookmarkStart w:id="15" w:name="_Toc281922235"/>
      <w:bookmarkStart w:id="16" w:name="_Toc304879948"/>
      <w:bookmarkStart w:id="17" w:name="_Toc361410383"/>
      <w:bookmarkStart w:id="18" w:name="_Toc339811687"/>
      <w:bookmarkStart w:id="19" w:name="OLE_LINK20"/>
      <w:bookmarkStart w:id="20" w:name="OLE_LINK21"/>
      <w:r w:rsidRPr="004B2D0B">
        <w:rPr>
          <w:rFonts w:ascii="Times New Roman" w:hAnsi="Times New Roman" w:cs="Times New Roman"/>
          <w:color w:val="4F81BD" w:themeColor="accent1"/>
          <w:sz w:val="56"/>
          <w:szCs w:val="56"/>
        </w:rPr>
        <w:lastRenderedPageBreak/>
        <w:t>List of Tables</w:t>
      </w:r>
      <w:bookmarkEnd w:id="15"/>
      <w:bookmarkEnd w:id="16"/>
      <w:bookmarkEnd w:id="17"/>
      <w:bookmarkEnd w:id="18"/>
    </w:p>
    <w:p w14:paraId="3D678BE0" w14:textId="77777777" w:rsidR="008D0B8B" w:rsidRPr="00532ABB" w:rsidRDefault="008D0B8B" w:rsidP="00D71AB1">
      <w:pPr>
        <w:rPr>
          <w:b/>
        </w:rPr>
      </w:pPr>
    </w:p>
    <w:p w14:paraId="4E4B1254" w14:textId="77777777" w:rsidR="00A82CA4" w:rsidRDefault="00FE05EA">
      <w:pPr>
        <w:pStyle w:val="TableofFigures"/>
        <w:tabs>
          <w:tab w:val="right" w:leader="dot" w:pos="8630"/>
        </w:tabs>
        <w:rPr>
          <w:rFonts w:asciiTheme="minorHAnsi" w:eastAsiaTheme="minorEastAsia" w:hAnsiTheme="minorHAnsi" w:cstheme="minorBidi"/>
          <w:noProof/>
          <w:lang w:eastAsia="ja-JP"/>
        </w:rPr>
      </w:pPr>
      <w:r w:rsidRPr="00350583">
        <w:rPr>
          <w:rFonts w:ascii="Arial" w:hAnsi="Arial" w:cs="Arial"/>
          <w:sz w:val="22"/>
          <w:szCs w:val="22"/>
        </w:rPr>
        <w:fldChar w:fldCharType="begin"/>
      </w:r>
      <w:r w:rsidR="008D0B8B" w:rsidRPr="00350583">
        <w:rPr>
          <w:rFonts w:ascii="Arial" w:hAnsi="Arial" w:cs="Arial"/>
          <w:sz w:val="22"/>
          <w:szCs w:val="22"/>
        </w:rPr>
        <w:instrText xml:space="preserve"> TOC \h \z \t "Table title" \c </w:instrText>
      </w:r>
      <w:r w:rsidRPr="00350583">
        <w:rPr>
          <w:rFonts w:ascii="Arial" w:hAnsi="Arial" w:cs="Arial"/>
          <w:sz w:val="22"/>
          <w:szCs w:val="22"/>
        </w:rPr>
        <w:fldChar w:fldCharType="separate"/>
      </w:r>
      <w:r w:rsidR="00A82CA4" w:rsidRPr="009F56A6">
        <w:rPr>
          <w:b/>
          <w:noProof/>
        </w:rPr>
        <w:t>Table 1.4.1.</w:t>
      </w:r>
      <w:r w:rsidR="00A82CA4">
        <w:rPr>
          <w:noProof/>
        </w:rPr>
        <w:t xml:space="preserve">  Management actions pertaining to mutton snapper in the South Atlantic.</w:t>
      </w:r>
      <w:r w:rsidR="00A82CA4">
        <w:rPr>
          <w:noProof/>
        </w:rPr>
        <w:tab/>
      </w:r>
      <w:r w:rsidR="00A82CA4">
        <w:rPr>
          <w:noProof/>
        </w:rPr>
        <w:fldChar w:fldCharType="begin"/>
      </w:r>
      <w:r w:rsidR="00A82CA4">
        <w:rPr>
          <w:noProof/>
        </w:rPr>
        <w:instrText xml:space="preserve"> PAGEREF _Toc340431536 \h </w:instrText>
      </w:r>
      <w:r w:rsidR="00A82CA4">
        <w:rPr>
          <w:noProof/>
        </w:rPr>
      </w:r>
      <w:r w:rsidR="00A82CA4">
        <w:rPr>
          <w:noProof/>
        </w:rPr>
        <w:fldChar w:fldCharType="separate"/>
      </w:r>
      <w:r w:rsidR="00A82CA4">
        <w:rPr>
          <w:noProof/>
        </w:rPr>
        <w:t>2</w:t>
      </w:r>
      <w:r w:rsidR="00A82CA4">
        <w:rPr>
          <w:noProof/>
        </w:rPr>
        <w:fldChar w:fldCharType="end"/>
      </w:r>
    </w:p>
    <w:p w14:paraId="310AEF91"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 xml:space="preserve">Table 1.6.1. </w:t>
      </w:r>
      <w:r>
        <w:rPr>
          <w:noProof/>
        </w:rPr>
        <w:t xml:space="preserve"> Stock status recommendations for mutton snapper from SEDAR 15A Update (2015).</w:t>
      </w:r>
      <w:r>
        <w:rPr>
          <w:noProof/>
        </w:rPr>
        <w:tab/>
      </w:r>
      <w:r>
        <w:rPr>
          <w:noProof/>
        </w:rPr>
        <w:fldChar w:fldCharType="begin"/>
      </w:r>
      <w:r>
        <w:rPr>
          <w:noProof/>
        </w:rPr>
        <w:instrText xml:space="preserve"> PAGEREF _Toc340431537 \h </w:instrText>
      </w:r>
      <w:r>
        <w:rPr>
          <w:noProof/>
        </w:rPr>
      </w:r>
      <w:r>
        <w:rPr>
          <w:noProof/>
        </w:rPr>
        <w:fldChar w:fldCharType="separate"/>
      </w:r>
      <w:r>
        <w:rPr>
          <w:noProof/>
        </w:rPr>
        <w:t>6</w:t>
      </w:r>
      <w:r>
        <w:rPr>
          <w:noProof/>
        </w:rPr>
        <w:fldChar w:fldCharType="end"/>
      </w:r>
    </w:p>
    <w:p w14:paraId="0B95595B"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1.6.2.</w:t>
      </w:r>
      <w:r>
        <w:rPr>
          <w:noProof/>
        </w:rPr>
        <w:t xml:space="preserve">  OFL recommendations for mutton snapper recommendations from SEDAR 15A Update (2015).</w:t>
      </w:r>
      <w:r>
        <w:rPr>
          <w:noProof/>
        </w:rPr>
        <w:tab/>
      </w:r>
      <w:r>
        <w:rPr>
          <w:noProof/>
        </w:rPr>
        <w:fldChar w:fldCharType="begin"/>
      </w:r>
      <w:r>
        <w:rPr>
          <w:noProof/>
        </w:rPr>
        <w:instrText xml:space="preserve"> PAGEREF _Toc340431538 \h </w:instrText>
      </w:r>
      <w:r>
        <w:rPr>
          <w:noProof/>
        </w:rPr>
      </w:r>
      <w:r>
        <w:rPr>
          <w:noProof/>
        </w:rPr>
        <w:fldChar w:fldCharType="separate"/>
      </w:r>
      <w:r>
        <w:rPr>
          <w:noProof/>
        </w:rPr>
        <w:t>6</w:t>
      </w:r>
      <w:r>
        <w:rPr>
          <w:noProof/>
        </w:rPr>
        <w:fldChar w:fldCharType="end"/>
      </w:r>
    </w:p>
    <w:p w14:paraId="7B91BD10"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1.6.3.</w:t>
      </w:r>
      <w:r>
        <w:rPr>
          <w:noProof/>
        </w:rPr>
        <w:t xml:space="preserve">  ABC recommendations for mutton snapper recommendations from SEDAR 15A Update (2015) and the SSC.  ABC would be specified based on landing projections in numbers of fish.  The South Atlantic Council’s apportionment is 82% of the ABC.</w:t>
      </w:r>
      <w:r>
        <w:rPr>
          <w:noProof/>
        </w:rPr>
        <w:tab/>
      </w:r>
      <w:r>
        <w:rPr>
          <w:noProof/>
        </w:rPr>
        <w:fldChar w:fldCharType="begin"/>
      </w:r>
      <w:r>
        <w:rPr>
          <w:noProof/>
        </w:rPr>
        <w:instrText xml:space="preserve"> PAGEREF _Toc340431539 \h </w:instrText>
      </w:r>
      <w:r>
        <w:rPr>
          <w:noProof/>
        </w:rPr>
      </w:r>
      <w:r>
        <w:rPr>
          <w:noProof/>
        </w:rPr>
        <w:fldChar w:fldCharType="separate"/>
      </w:r>
      <w:r>
        <w:rPr>
          <w:noProof/>
        </w:rPr>
        <w:t>6</w:t>
      </w:r>
      <w:r>
        <w:rPr>
          <w:noProof/>
        </w:rPr>
        <w:fldChar w:fldCharType="end"/>
      </w:r>
    </w:p>
    <w:p w14:paraId="210F1A2E"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1.6.4.</w:t>
      </w:r>
      <w:r>
        <w:rPr>
          <w:noProof/>
        </w:rPr>
        <w:t xml:space="preserve">  Management benchmarks and allowable fishing levels established through the Comprehensive ACL Amendment (lbs ww).</w:t>
      </w:r>
      <w:r>
        <w:rPr>
          <w:noProof/>
        </w:rPr>
        <w:tab/>
      </w:r>
      <w:r>
        <w:rPr>
          <w:noProof/>
        </w:rPr>
        <w:fldChar w:fldCharType="begin"/>
      </w:r>
      <w:r>
        <w:rPr>
          <w:noProof/>
        </w:rPr>
        <w:instrText xml:space="preserve"> PAGEREF _Toc340431540 \h </w:instrText>
      </w:r>
      <w:r>
        <w:rPr>
          <w:noProof/>
        </w:rPr>
      </w:r>
      <w:r>
        <w:rPr>
          <w:noProof/>
        </w:rPr>
        <w:fldChar w:fldCharType="separate"/>
      </w:r>
      <w:r>
        <w:rPr>
          <w:noProof/>
        </w:rPr>
        <w:t>7</w:t>
      </w:r>
      <w:r>
        <w:rPr>
          <w:noProof/>
        </w:rPr>
        <w:fldChar w:fldCharType="end"/>
      </w:r>
    </w:p>
    <w:p w14:paraId="5B6C2ADB"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2.3.1.</w:t>
      </w:r>
      <w:r>
        <w:rPr>
          <w:noProof/>
        </w:rPr>
        <w:t xml:space="preserve">  Proposed acceptable biological catch values and annual catch limits for mutton snapper in the South Atlantic based on </w:t>
      </w:r>
      <w:r w:rsidRPr="009F56A6">
        <w:rPr>
          <w:b/>
          <w:noProof/>
        </w:rPr>
        <w:t>Sub-Alternatives 2a (Preferred)-2c</w:t>
      </w:r>
      <w:r>
        <w:rPr>
          <w:noProof/>
        </w:rPr>
        <w:t>.</w:t>
      </w:r>
      <w:r>
        <w:rPr>
          <w:noProof/>
        </w:rPr>
        <w:tab/>
      </w:r>
      <w:r>
        <w:rPr>
          <w:noProof/>
        </w:rPr>
        <w:fldChar w:fldCharType="begin"/>
      </w:r>
      <w:r>
        <w:rPr>
          <w:noProof/>
        </w:rPr>
        <w:instrText xml:space="preserve"> PAGEREF _Toc340431541 \h </w:instrText>
      </w:r>
      <w:r>
        <w:rPr>
          <w:noProof/>
        </w:rPr>
      </w:r>
      <w:r>
        <w:rPr>
          <w:noProof/>
        </w:rPr>
        <w:fldChar w:fldCharType="separate"/>
      </w:r>
      <w:r>
        <w:rPr>
          <w:noProof/>
        </w:rPr>
        <w:t>12</w:t>
      </w:r>
      <w:r>
        <w:rPr>
          <w:noProof/>
        </w:rPr>
        <w:fldChar w:fldCharType="end"/>
      </w:r>
    </w:p>
    <w:p w14:paraId="5FB4ECB9"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2.3.2.</w:t>
      </w:r>
      <w:r>
        <w:rPr>
          <w:noProof/>
        </w:rPr>
        <w:t xml:space="preserve">  Annual and average commercial (lbs ww) and recreational (lbs ww and numbers of fish) landings of mutton snapper for the South Atlantic region, 2010-2014.</w:t>
      </w:r>
      <w:r>
        <w:rPr>
          <w:noProof/>
        </w:rPr>
        <w:tab/>
      </w:r>
      <w:r>
        <w:rPr>
          <w:noProof/>
        </w:rPr>
        <w:fldChar w:fldCharType="begin"/>
      </w:r>
      <w:r>
        <w:rPr>
          <w:noProof/>
        </w:rPr>
        <w:instrText xml:space="preserve"> PAGEREF _Toc340431542 \h </w:instrText>
      </w:r>
      <w:r>
        <w:rPr>
          <w:noProof/>
        </w:rPr>
      </w:r>
      <w:r>
        <w:rPr>
          <w:noProof/>
        </w:rPr>
        <w:fldChar w:fldCharType="separate"/>
      </w:r>
      <w:r>
        <w:rPr>
          <w:noProof/>
        </w:rPr>
        <w:t>13</w:t>
      </w:r>
      <w:r>
        <w:rPr>
          <w:noProof/>
        </w:rPr>
        <w:fldChar w:fldCharType="end"/>
      </w:r>
    </w:p>
    <w:p w14:paraId="3AEA54E4"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2.4.1.</w:t>
      </w:r>
      <w:r>
        <w:rPr>
          <w:noProof/>
        </w:rPr>
        <w:t xml:space="preserve">  Proposed recreational annual catch targets (ACTs) in pounds whole weight (lbs ww) for proposes sub-alternatives under </w:t>
      </w:r>
      <w:r w:rsidRPr="009F56A6">
        <w:rPr>
          <w:b/>
          <w:noProof/>
        </w:rPr>
        <w:t>Preferred Alternative 2</w:t>
      </w:r>
      <w:r>
        <w:rPr>
          <w:noProof/>
        </w:rPr>
        <w:t>.</w:t>
      </w:r>
      <w:r>
        <w:rPr>
          <w:noProof/>
        </w:rPr>
        <w:tab/>
      </w:r>
      <w:r>
        <w:rPr>
          <w:noProof/>
        </w:rPr>
        <w:fldChar w:fldCharType="begin"/>
      </w:r>
      <w:r>
        <w:rPr>
          <w:noProof/>
        </w:rPr>
        <w:instrText xml:space="preserve"> PAGEREF _Toc340431543 \h </w:instrText>
      </w:r>
      <w:r>
        <w:rPr>
          <w:noProof/>
        </w:rPr>
      </w:r>
      <w:r>
        <w:rPr>
          <w:noProof/>
        </w:rPr>
        <w:fldChar w:fldCharType="separate"/>
      </w:r>
      <w:r>
        <w:rPr>
          <w:noProof/>
        </w:rPr>
        <w:t>17</w:t>
      </w:r>
      <w:r>
        <w:rPr>
          <w:noProof/>
        </w:rPr>
        <w:fldChar w:fldCharType="end"/>
      </w:r>
    </w:p>
    <w:p w14:paraId="4AC786F2"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rFonts w:cs="Arial"/>
          <w:b/>
          <w:noProof/>
        </w:rPr>
        <w:t>Table 2.7.1.</w:t>
      </w:r>
      <w:r w:rsidRPr="009F56A6">
        <w:rPr>
          <w:rFonts w:cs="Arial"/>
          <w:noProof/>
        </w:rPr>
        <w:t xml:space="preserve"> Current recreational mutton snapper fishing regulations in State and Federal waters off Florida and in the Gulf of Mexico, and the South Atlantic (June 2015).</w:t>
      </w:r>
      <w:r>
        <w:rPr>
          <w:noProof/>
        </w:rPr>
        <w:tab/>
      </w:r>
      <w:r>
        <w:rPr>
          <w:noProof/>
        </w:rPr>
        <w:fldChar w:fldCharType="begin"/>
      </w:r>
      <w:r>
        <w:rPr>
          <w:noProof/>
        </w:rPr>
        <w:instrText xml:space="preserve"> PAGEREF _Toc340431544 \h </w:instrText>
      </w:r>
      <w:r>
        <w:rPr>
          <w:noProof/>
        </w:rPr>
      </w:r>
      <w:r>
        <w:rPr>
          <w:noProof/>
        </w:rPr>
        <w:fldChar w:fldCharType="separate"/>
      </w:r>
      <w:r>
        <w:rPr>
          <w:noProof/>
        </w:rPr>
        <w:t>24</w:t>
      </w:r>
      <w:r>
        <w:rPr>
          <w:noProof/>
        </w:rPr>
        <w:fldChar w:fldCharType="end"/>
      </w:r>
    </w:p>
    <w:p w14:paraId="6390BCC4"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 xml:space="preserve">Table 3.2.1.  </w:t>
      </w:r>
      <w:r>
        <w:rPr>
          <w:noProof/>
        </w:rPr>
        <w:t>Three-year South Atlantic anticipated takes sea turtles in the snapper grouper fishery.</w:t>
      </w:r>
      <w:r>
        <w:rPr>
          <w:noProof/>
        </w:rPr>
        <w:tab/>
      </w:r>
      <w:r>
        <w:rPr>
          <w:noProof/>
        </w:rPr>
        <w:fldChar w:fldCharType="begin"/>
      </w:r>
      <w:r>
        <w:rPr>
          <w:noProof/>
        </w:rPr>
        <w:instrText xml:space="preserve"> PAGEREF _Toc340431545 \h </w:instrText>
      </w:r>
      <w:r>
        <w:rPr>
          <w:noProof/>
        </w:rPr>
      </w:r>
      <w:r>
        <w:rPr>
          <w:noProof/>
        </w:rPr>
        <w:fldChar w:fldCharType="separate"/>
      </w:r>
      <w:r>
        <w:rPr>
          <w:noProof/>
        </w:rPr>
        <w:t>41</w:t>
      </w:r>
      <w:r>
        <w:rPr>
          <w:noProof/>
        </w:rPr>
        <w:fldChar w:fldCharType="end"/>
      </w:r>
    </w:p>
    <w:p w14:paraId="42A696A7"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3.3.1</w:t>
      </w:r>
      <w:r>
        <w:rPr>
          <w:noProof/>
        </w:rPr>
        <w:t>.  Key Commercial Species/Species Groups in the South Atlantic Region, 2014.</w:t>
      </w:r>
      <w:r>
        <w:rPr>
          <w:noProof/>
        </w:rPr>
        <w:tab/>
      </w:r>
      <w:r>
        <w:rPr>
          <w:noProof/>
        </w:rPr>
        <w:fldChar w:fldCharType="begin"/>
      </w:r>
      <w:r>
        <w:rPr>
          <w:noProof/>
        </w:rPr>
        <w:instrText xml:space="preserve"> PAGEREF _Toc340431546 \h </w:instrText>
      </w:r>
      <w:r>
        <w:rPr>
          <w:noProof/>
        </w:rPr>
      </w:r>
      <w:r>
        <w:rPr>
          <w:noProof/>
        </w:rPr>
        <w:fldChar w:fldCharType="separate"/>
      </w:r>
      <w:r>
        <w:rPr>
          <w:noProof/>
        </w:rPr>
        <w:t>43</w:t>
      </w:r>
      <w:r>
        <w:rPr>
          <w:noProof/>
        </w:rPr>
        <w:fldChar w:fldCharType="end"/>
      </w:r>
    </w:p>
    <w:p w14:paraId="0BEE4A48"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3.3.2</w:t>
      </w:r>
      <w:r>
        <w:rPr>
          <w:noProof/>
        </w:rPr>
        <w:t>.  Key species/species groups in South Atlantic States, 2014.</w:t>
      </w:r>
      <w:r>
        <w:rPr>
          <w:noProof/>
        </w:rPr>
        <w:tab/>
      </w:r>
      <w:r>
        <w:rPr>
          <w:noProof/>
        </w:rPr>
        <w:fldChar w:fldCharType="begin"/>
      </w:r>
      <w:r>
        <w:rPr>
          <w:noProof/>
        </w:rPr>
        <w:instrText xml:space="preserve"> PAGEREF _Toc340431547 \h </w:instrText>
      </w:r>
      <w:r>
        <w:rPr>
          <w:noProof/>
        </w:rPr>
      </w:r>
      <w:r>
        <w:rPr>
          <w:noProof/>
        </w:rPr>
        <w:fldChar w:fldCharType="separate"/>
      </w:r>
      <w:r>
        <w:rPr>
          <w:noProof/>
        </w:rPr>
        <w:t>44</w:t>
      </w:r>
      <w:r>
        <w:rPr>
          <w:noProof/>
        </w:rPr>
        <w:fldChar w:fldCharType="end"/>
      </w:r>
    </w:p>
    <w:p w14:paraId="4FA455D1"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3.3.3.</w:t>
      </w:r>
      <w:r>
        <w:rPr>
          <w:noProof/>
        </w:rPr>
        <w:t xml:space="preserve">  Numbers of valid South Atlantic commercial snapper grouper permits, 2009-2016.</w:t>
      </w:r>
      <w:r>
        <w:rPr>
          <w:noProof/>
        </w:rPr>
        <w:tab/>
      </w:r>
      <w:r>
        <w:rPr>
          <w:noProof/>
        </w:rPr>
        <w:fldChar w:fldCharType="begin"/>
      </w:r>
      <w:r>
        <w:rPr>
          <w:noProof/>
        </w:rPr>
        <w:instrText xml:space="preserve"> PAGEREF _Toc340431548 \h </w:instrText>
      </w:r>
      <w:r>
        <w:rPr>
          <w:noProof/>
        </w:rPr>
      </w:r>
      <w:r>
        <w:rPr>
          <w:noProof/>
        </w:rPr>
        <w:fldChar w:fldCharType="separate"/>
      </w:r>
      <w:r>
        <w:rPr>
          <w:noProof/>
        </w:rPr>
        <w:t>45</w:t>
      </w:r>
      <w:r>
        <w:rPr>
          <w:noProof/>
        </w:rPr>
        <w:fldChar w:fldCharType="end"/>
      </w:r>
    </w:p>
    <w:p w14:paraId="6E7D0C76"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 xml:space="preserve">Table 3.3.4.  </w:t>
      </w:r>
      <w:r>
        <w:rPr>
          <w:noProof/>
        </w:rPr>
        <w:t>Number and percentage of valid and renewable/transferable snapper grouper permits by state of residence of permit holder as of March 9, 2016.</w:t>
      </w:r>
      <w:r>
        <w:rPr>
          <w:noProof/>
        </w:rPr>
        <w:tab/>
      </w:r>
      <w:r>
        <w:rPr>
          <w:noProof/>
        </w:rPr>
        <w:fldChar w:fldCharType="begin"/>
      </w:r>
      <w:r>
        <w:rPr>
          <w:noProof/>
        </w:rPr>
        <w:instrText xml:space="preserve"> PAGEREF _Toc340431549 \h </w:instrText>
      </w:r>
      <w:r>
        <w:rPr>
          <w:noProof/>
        </w:rPr>
      </w:r>
      <w:r>
        <w:rPr>
          <w:noProof/>
        </w:rPr>
        <w:fldChar w:fldCharType="separate"/>
      </w:r>
      <w:r>
        <w:rPr>
          <w:noProof/>
        </w:rPr>
        <w:t>45</w:t>
      </w:r>
      <w:r>
        <w:rPr>
          <w:noProof/>
        </w:rPr>
        <w:fldChar w:fldCharType="end"/>
      </w:r>
    </w:p>
    <w:p w14:paraId="4E540D64"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 xml:space="preserve">Table 3.3.5.  </w:t>
      </w:r>
      <w:r>
        <w:rPr>
          <w:noProof/>
        </w:rPr>
        <w:t>Number and percentage of Gulf and South Atlantic dealer permits by state of residence of permit holder as of March 23, 2016.</w:t>
      </w:r>
      <w:r>
        <w:rPr>
          <w:noProof/>
        </w:rPr>
        <w:tab/>
      </w:r>
      <w:r>
        <w:rPr>
          <w:noProof/>
        </w:rPr>
        <w:fldChar w:fldCharType="begin"/>
      </w:r>
      <w:r>
        <w:rPr>
          <w:noProof/>
        </w:rPr>
        <w:instrText xml:space="preserve"> PAGEREF _Toc340431550 \h </w:instrText>
      </w:r>
      <w:r>
        <w:rPr>
          <w:noProof/>
        </w:rPr>
      </w:r>
      <w:r>
        <w:rPr>
          <w:noProof/>
        </w:rPr>
        <w:fldChar w:fldCharType="separate"/>
      </w:r>
      <w:r>
        <w:rPr>
          <w:noProof/>
        </w:rPr>
        <w:t>46</w:t>
      </w:r>
      <w:r>
        <w:rPr>
          <w:noProof/>
        </w:rPr>
        <w:fldChar w:fldCharType="end"/>
      </w:r>
    </w:p>
    <w:p w14:paraId="09929F5B"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3.3.6.</w:t>
      </w:r>
      <w:r>
        <w:rPr>
          <w:noProof/>
        </w:rPr>
        <w:t xml:space="preserve">  Commercial landings (lbs ww) and ACL for mutton snapper harvested from South Atlantic Region, 2010-2014.</w:t>
      </w:r>
      <w:r>
        <w:rPr>
          <w:noProof/>
        </w:rPr>
        <w:tab/>
      </w:r>
      <w:r>
        <w:rPr>
          <w:noProof/>
        </w:rPr>
        <w:fldChar w:fldCharType="begin"/>
      </w:r>
      <w:r>
        <w:rPr>
          <w:noProof/>
        </w:rPr>
        <w:instrText xml:space="preserve"> PAGEREF _Toc340431551 \h </w:instrText>
      </w:r>
      <w:r>
        <w:rPr>
          <w:noProof/>
        </w:rPr>
      </w:r>
      <w:r>
        <w:rPr>
          <w:noProof/>
        </w:rPr>
        <w:fldChar w:fldCharType="separate"/>
      </w:r>
      <w:r>
        <w:rPr>
          <w:noProof/>
        </w:rPr>
        <w:t>46</w:t>
      </w:r>
      <w:r>
        <w:rPr>
          <w:noProof/>
        </w:rPr>
        <w:fldChar w:fldCharType="end"/>
      </w:r>
    </w:p>
    <w:p w14:paraId="58F81A5B"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3.3.7.</w:t>
      </w:r>
      <w:r>
        <w:rPr>
          <w:noProof/>
        </w:rPr>
        <w:t xml:space="preserve">  Commercial landings of mutton snapper (lbs ww) by County in South Atlantic region, 2011-2015.</w:t>
      </w:r>
      <w:r>
        <w:rPr>
          <w:noProof/>
        </w:rPr>
        <w:tab/>
      </w:r>
      <w:r>
        <w:rPr>
          <w:noProof/>
        </w:rPr>
        <w:fldChar w:fldCharType="begin"/>
      </w:r>
      <w:r>
        <w:rPr>
          <w:noProof/>
        </w:rPr>
        <w:instrText xml:space="preserve"> PAGEREF _Toc340431552 \h </w:instrText>
      </w:r>
      <w:r>
        <w:rPr>
          <w:noProof/>
        </w:rPr>
      </w:r>
      <w:r>
        <w:rPr>
          <w:noProof/>
        </w:rPr>
        <w:fldChar w:fldCharType="separate"/>
      </w:r>
      <w:r>
        <w:rPr>
          <w:noProof/>
        </w:rPr>
        <w:t>48</w:t>
      </w:r>
      <w:r>
        <w:rPr>
          <w:noProof/>
        </w:rPr>
        <w:fldChar w:fldCharType="end"/>
      </w:r>
    </w:p>
    <w:p w14:paraId="41180D05"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3.3.8.</w:t>
      </w:r>
      <w:r>
        <w:rPr>
          <w:noProof/>
        </w:rPr>
        <w:t xml:space="preserve">  Florida commercial landings of mutton snapper (lbs ww) by jurisdiction in the South Atlantic region, 2010-2014.</w:t>
      </w:r>
      <w:r>
        <w:rPr>
          <w:noProof/>
        </w:rPr>
        <w:tab/>
      </w:r>
      <w:r>
        <w:rPr>
          <w:noProof/>
        </w:rPr>
        <w:fldChar w:fldCharType="begin"/>
      </w:r>
      <w:r>
        <w:rPr>
          <w:noProof/>
        </w:rPr>
        <w:instrText xml:space="preserve"> PAGEREF _Toc340431553 \h </w:instrText>
      </w:r>
      <w:r>
        <w:rPr>
          <w:noProof/>
        </w:rPr>
      </w:r>
      <w:r>
        <w:rPr>
          <w:noProof/>
        </w:rPr>
        <w:fldChar w:fldCharType="separate"/>
      </w:r>
      <w:r>
        <w:rPr>
          <w:noProof/>
        </w:rPr>
        <w:t>49</w:t>
      </w:r>
      <w:r>
        <w:rPr>
          <w:noProof/>
        </w:rPr>
        <w:fldChar w:fldCharType="end"/>
      </w:r>
    </w:p>
    <w:p w14:paraId="52B84B3D"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3.3.9.</w:t>
      </w:r>
      <w:r>
        <w:rPr>
          <w:noProof/>
        </w:rPr>
        <w:t xml:space="preserve">  Numbers and averages of vessels and trips with mutton snapper landings, 2010-2014.</w:t>
      </w:r>
      <w:r>
        <w:rPr>
          <w:noProof/>
        </w:rPr>
        <w:tab/>
      </w:r>
      <w:r>
        <w:rPr>
          <w:noProof/>
        </w:rPr>
        <w:fldChar w:fldCharType="begin"/>
      </w:r>
      <w:r>
        <w:rPr>
          <w:noProof/>
        </w:rPr>
        <w:instrText xml:space="preserve"> PAGEREF _Toc340431554 \h </w:instrText>
      </w:r>
      <w:r>
        <w:rPr>
          <w:noProof/>
        </w:rPr>
      </w:r>
      <w:r>
        <w:rPr>
          <w:noProof/>
        </w:rPr>
        <w:fldChar w:fldCharType="separate"/>
      </w:r>
      <w:r>
        <w:rPr>
          <w:noProof/>
        </w:rPr>
        <w:t>50</w:t>
      </w:r>
      <w:r>
        <w:rPr>
          <w:noProof/>
        </w:rPr>
        <w:fldChar w:fldCharType="end"/>
      </w:r>
    </w:p>
    <w:p w14:paraId="032B3583"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3.3.10.</w:t>
      </w:r>
      <w:r>
        <w:rPr>
          <w:noProof/>
        </w:rPr>
        <w:t xml:space="preserve">  Dockside revenue (2015 $) from mutton snapper and other species by trips with mutton snapper landings, 2011-2014.</w:t>
      </w:r>
      <w:r>
        <w:rPr>
          <w:noProof/>
        </w:rPr>
        <w:tab/>
      </w:r>
      <w:r>
        <w:rPr>
          <w:noProof/>
        </w:rPr>
        <w:fldChar w:fldCharType="begin"/>
      </w:r>
      <w:r>
        <w:rPr>
          <w:noProof/>
        </w:rPr>
        <w:instrText xml:space="preserve"> PAGEREF _Toc340431555 \h </w:instrText>
      </w:r>
      <w:r>
        <w:rPr>
          <w:noProof/>
        </w:rPr>
      </w:r>
      <w:r>
        <w:rPr>
          <w:noProof/>
        </w:rPr>
        <w:fldChar w:fldCharType="separate"/>
      </w:r>
      <w:r>
        <w:rPr>
          <w:noProof/>
        </w:rPr>
        <w:t>51</w:t>
      </w:r>
      <w:r>
        <w:rPr>
          <w:noProof/>
        </w:rPr>
        <w:fldChar w:fldCharType="end"/>
      </w:r>
    </w:p>
    <w:p w14:paraId="2BB0879B"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lastRenderedPageBreak/>
        <w:t>Table 3.3.11.</w:t>
      </w:r>
      <w:r>
        <w:rPr>
          <w:noProof/>
        </w:rPr>
        <w:t xml:space="preserve">  Total dockside revenue (2015 $) from mutton snapper and other species landed by vessels with mutton snapper landings in South Atlantic, 2010-2014.</w:t>
      </w:r>
      <w:r>
        <w:rPr>
          <w:noProof/>
        </w:rPr>
        <w:tab/>
      </w:r>
      <w:r>
        <w:rPr>
          <w:noProof/>
        </w:rPr>
        <w:fldChar w:fldCharType="begin"/>
      </w:r>
      <w:r>
        <w:rPr>
          <w:noProof/>
        </w:rPr>
        <w:instrText xml:space="preserve"> PAGEREF _Toc340431556 \h </w:instrText>
      </w:r>
      <w:r>
        <w:rPr>
          <w:noProof/>
        </w:rPr>
      </w:r>
      <w:r>
        <w:rPr>
          <w:noProof/>
        </w:rPr>
        <w:fldChar w:fldCharType="separate"/>
      </w:r>
      <w:r>
        <w:rPr>
          <w:noProof/>
        </w:rPr>
        <w:t>51</w:t>
      </w:r>
      <w:r>
        <w:rPr>
          <w:noProof/>
        </w:rPr>
        <w:fldChar w:fldCharType="end"/>
      </w:r>
    </w:p>
    <w:p w14:paraId="2E4F14D0"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3.3.12.</w:t>
      </w:r>
      <w:r>
        <w:rPr>
          <w:noProof/>
        </w:rPr>
        <w:t xml:space="preserve">  Estimates of average annual economic impacts of average commercial mutton snapper landings, 2011-2015.</w:t>
      </w:r>
      <w:r>
        <w:rPr>
          <w:noProof/>
        </w:rPr>
        <w:tab/>
      </w:r>
      <w:r>
        <w:rPr>
          <w:noProof/>
        </w:rPr>
        <w:fldChar w:fldCharType="begin"/>
      </w:r>
      <w:r>
        <w:rPr>
          <w:noProof/>
        </w:rPr>
        <w:instrText xml:space="preserve"> PAGEREF _Toc340431557 \h </w:instrText>
      </w:r>
      <w:r>
        <w:rPr>
          <w:noProof/>
        </w:rPr>
      </w:r>
      <w:r>
        <w:rPr>
          <w:noProof/>
        </w:rPr>
        <w:fldChar w:fldCharType="separate"/>
      </w:r>
      <w:r>
        <w:rPr>
          <w:noProof/>
        </w:rPr>
        <w:t>52</w:t>
      </w:r>
      <w:r>
        <w:rPr>
          <w:noProof/>
        </w:rPr>
        <w:fldChar w:fldCharType="end"/>
      </w:r>
    </w:p>
    <w:p w14:paraId="2ADE2F54"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3.3.13</w:t>
      </w:r>
      <w:r>
        <w:rPr>
          <w:noProof/>
        </w:rPr>
        <w:t>.  Number and percentage of trips by pounds landed of mutton snapper, 2010-2014.</w:t>
      </w:r>
      <w:r>
        <w:rPr>
          <w:noProof/>
        </w:rPr>
        <w:tab/>
      </w:r>
      <w:r>
        <w:rPr>
          <w:noProof/>
        </w:rPr>
        <w:fldChar w:fldCharType="begin"/>
      </w:r>
      <w:r>
        <w:rPr>
          <w:noProof/>
        </w:rPr>
        <w:instrText xml:space="preserve"> PAGEREF _Toc340431558 \h </w:instrText>
      </w:r>
      <w:r>
        <w:rPr>
          <w:noProof/>
        </w:rPr>
      </w:r>
      <w:r>
        <w:rPr>
          <w:noProof/>
        </w:rPr>
        <w:fldChar w:fldCharType="separate"/>
      </w:r>
      <w:r>
        <w:rPr>
          <w:noProof/>
        </w:rPr>
        <w:t>52</w:t>
      </w:r>
      <w:r>
        <w:rPr>
          <w:noProof/>
        </w:rPr>
        <w:fldChar w:fldCharType="end"/>
      </w:r>
    </w:p>
    <w:p w14:paraId="28CA7319"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3.3.14.</w:t>
      </w:r>
      <w:r>
        <w:rPr>
          <w:noProof/>
        </w:rPr>
        <w:t xml:space="preserve">   Average number of crew and pounds (gw) per person per trip, 2010-2014.</w:t>
      </w:r>
      <w:r>
        <w:rPr>
          <w:noProof/>
        </w:rPr>
        <w:tab/>
      </w:r>
      <w:r>
        <w:rPr>
          <w:noProof/>
        </w:rPr>
        <w:fldChar w:fldCharType="begin"/>
      </w:r>
      <w:r>
        <w:rPr>
          <w:noProof/>
        </w:rPr>
        <w:instrText xml:space="preserve"> PAGEREF _Toc340431559 \h </w:instrText>
      </w:r>
      <w:r>
        <w:rPr>
          <w:noProof/>
        </w:rPr>
      </w:r>
      <w:r>
        <w:rPr>
          <w:noProof/>
        </w:rPr>
        <w:fldChar w:fldCharType="separate"/>
      </w:r>
      <w:r>
        <w:rPr>
          <w:noProof/>
        </w:rPr>
        <w:t>52</w:t>
      </w:r>
      <w:r>
        <w:rPr>
          <w:noProof/>
        </w:rPr>
        <w:fldChar w:fldCharType="end"/>
      </w:r>
    </w:p>
    <w:p w14:paraId="79AE47CA"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3.3.15.</w:t>
      </w:r>
      <w:r>
        <w:rPr>
          <w:noProof/>
        </w:rPr>
        <w:t xml:space="preserve">  Angler trips in the South Atlantic region by area, 2014.</w:t>
      </w:r>
      <w:r>
        <w:rPr>
          <w:noProof/>
        </w:rPr>
        <w:tab/>
      </w:r>
      <w:r>
        <w:rPr>
          <w:noProof/>
        </w:rPr>
        <w:fldChar w:fldCharType="begin"/>
      </w:r>
      <w:r>
        <w:rPr>
          <w:noProof/>
        </w:rPr>
        <w:instrText xml:space="preserve"> PAGEREF _Toc340431560 \h </w:instrText>
      </w:r>
      <w:r>
        <w:rPr>
          <w:noProof/>
        </w:rPr>
      </w:r>
      <w:r>
        <w:rPr>
          <w:noProof/>
        </w:rPr>
        <w:fldChar w:fldCharType="separate"/>
      </w:r>
      <w:r>
        <w:rPr>
          <w:noProof/>
        </w:rPr>
        <w:t>53</w:t>
      </w:r>
      <w:r>
        <w:rPr>
          <w:noProof/>
        </w:rPr>
        <w:fldChar w:fldCharType="end"/>
      </w:r>
    </w:p>
    <w:p w14:paraId="2E051C0D"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3.3.16.</w:t>
      </w:r>
      <w:r>
        <w:rPr>
          <w:noProof/>
        </w:rPr>
        <w:t xml:space="preserve">  Anglers, angler trips, and economic impacts of trips in the South Atlantic.</w:t>
      </w:r>
      <w:r>
        <w:rPr>
          <w:noProof/>
        </w:rPr>
        <w:tab/>
      </w:r>
      <w:r>
        <w:rPr>
          <w:noProof/>
        </w:rPr>
        <w:fldChar w:fldCharType="begin"/>
      </w:r>
      <w:r>
        <w:rPr>
          <w:noProof/>
        </w:rPr>
        <w:instrText xml:space="preserve"> PAGEREF _Toc340431561 \h </w:instrText>
      </w:r>
      <w:r>
        <w:rPr>
          <w:noProof/>
        </w:rPr>
      </w:r>
      <w:r>
        <w:rPr>
          <w:noProof/>
        </w:rPr>
        <w:fldChar w:fldCharType="separate"/>
      </w:r>
      <w:r>
        <w:rPr>
          <w:noProof/>
        </w:rPr>
        <w:t>54</w:t>
      </w:r>
      <w:r>
        <w:rPr>
          <w:noProof/>
        </w:rPr>
        <w:fldChar w:fldCharType="end"/>
      </w:r>
    </w:p>
    <w:p w14:paraId="1511E861"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3.3.17</w:t>
      </w:r>
      <w:r>
        <w:rPr>
          <w:noProof/>
        </w:rPr>
        <w:t>.  Species groups caught by anglers in the South Atlantic Region, 2013.</w:t>
      </w:r>
      <w:r>
        <w:rPr>
          <w:noProof/>
        </w:rPr>
        <w:tab/>
      </w:r>
      <w:r>
        <w:rPr>
          <w:noProof/>
        </w:rPr>
        <w:fldChar w:fldCharType="begin"/>
      </w:r>
      <w:r>
        <w:rPr>
          <w:noProof/>
        </w:rPr>
        <w:instrText xml:space="preserve"> PAGEREF _Toc340431562 \h </w:instrText>
      </w:r>
      <w:r>
        <w:rPr>
          <w:noProof/>
        </w:rPr>
      </w:r>
      <w:r>
        <w:rPr>
          <w:noProof/>
        </w:rPr>
        <w:fldChar w:fldCharType="separate"/>
      </w:r>
      <w:r>
        <w:rPr>
          <w:noProof/>
        </w:rPr>
        <w:t>54</w:t>
      </w:r>
      <w:r>
        <w:rPr>
          <w:noProof/>
        </w:rPr>
        <w:fldChar w:fldCharType="end"/>
      </w:r>
    </w:p>
    <w:p w14:paraId="6B0C99EB"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3.3.18.</w:t>
      </w:r>
      <w:r>
        <w:rPr>
          <w:noProof/>
        </w:rPr>
        <w:t xml:space="preserve">  Number and percentages of vessels with South Atlantic charter/headboat snapper grouper permit by state of mailing recipient as of March 24, 2014.</w:t>
      </w:r>
      <w:r>
        <w:rPr>
          <w:noProof/>
        </w:rPr>
        <w:tab/>
      </w:r>
      <w:r>
        <w:rPr>
          <w:noProof/>
        </w:rPr>
        <w:fldChar w:fldCharType="begin"/>
      </w:r>
      <w:r>
        <w:rPr>
          <w:noProof/>
        </w:rPr>
        <w:instrText xml:space="preserve"> PAGEREF _Toc340431563 \h </w:instrText>
      </w:r>
      <w:r>
        <w:rPr>
          <w:noProof/>
        </w:rPr>
      </w:r>
      <w:r>
        <w:rPr>
          <w:noProof/>
        </w:rPr>
        <w:fldChar w:fldCharType="separate"/>
      </w:r>
      <w:r>
        <w:rPr>
          <w:noProof/>
        </w:rPr>
        <w:t>55</w:t>
      </w:r>
      <w:r>
        <w:rPr>
          <w:noProof/>
        </w:rPr>
        <w:fldChar w:fldCharType="end"/>
      </w:r>
    </w:p>
    <w:p w14:paraId="5D79AD8D"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3.3.19.</w:t>
      </w:r>
      <w:r>
        <w:rPr>
          <w:noProof/>
        </w:rPr>
        <w:t xml:space="preserve">  Recreational landings (lbs ww) and ACL for mutton snapper, 2010-2014.</w:t>
      </w:r>
      <w:r>
        <w:rPr>
          <w:noProof/>
        </w:rPr>
        <w:tab/>
      </w:r>
      <w:r>
        <w:rPr>
          <w:noProof/>
        </w:rPr>
        <w:fldChar w:fldCharType="begin"/>
      </w:r>
      <w:r>
        <w:rPr>
          <w:noProof/>
        </w:rPr>
        <w:instrText xml:space="preserve"> PAGEREF _Toc340431564 \h </w:instrText>
      </w:r>
      <w:r>
        <w:rPr>
          <w:noProof/>
        </w:rPr>
      </w:r>
      <w:r>
        <w:rPr>
          <w:noProof/>
        </w:rPr>
        <w:fldChar w:fldCharType="separate"/>
      </w:r>
      <w:r>
        <w:rPr>
          <w:noProof/>
        </w:rPr>
        <w:t>56</w:t>
      </w:r>
      <w:r>
        <w:rPr>
          <w:noProof/>
        </w:rPr>
        <w:fldChar w:fldCharType="end"/>
      </w:r>
    </w:p>
    <w:p w14:paraId="2003EAB1"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3.3.20.</w:t>
      </w:r>
      <w:r>
        <w:rPr>
          <w:noProof/>
        </w:rPr>
        <w:t xml:space="preserve">  Estimates of recreational catch of mutton snapper (numbers of fish) in the South Atlantic region by state, 2010-2014.</w:t>
      </w:r>
      <w:r>
        <w:rPr>
          <w:noProof/>
        </w:rPr>
        <w:tab/>
      </w:r>
      <w:r>
        <w:rPr>
          <w:noProof/>
        </w:rPr>
        <w:fldChar w:fldCharType="begin"/>
      </w:r>
      <w:r>
        <w:rPr>
          <w:noProof/>
        </w:rPr>
        <w:instrText xml:space="preserve"> PAGEREF _Toc340431565 \h </w:instrText>
      </w:r>
      <w:r>
        <w:rPr>
          <w:noProof/>
        </w:rPr>
      </w:r>
      <w:r>
        <w:rPr>
          <w:noProof/>
        </w:rPr>
        <w:fldChar w:fldCharType="separate"/>
      </w:r>
      <w:r>
        <w:rPr>
          <w:noProof/>
        </w:rPr>
        <w:t>57</w:t>
      </w:r>
      <w:r>
        <w:rPr>
          <w:noProof/>
        </w:rPr>
        <w:fldChar w:fldCharType="end"/>
      </w:r>
    </w:p>
    <w:p w14:paraId="514F546D"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3.3.21.</w:t>
      </w:r>
      <w:r>
        <w:rPr>
          <w:noProof/>
        </w:rPr>
        <w:t xml:space="preserve">  Estimates of recreational catch (numbers of fish) of mutton snapper in East Florida by mode, 2010-2014.</w:t>
      </w:r>
      <w:r>
        <w:rPr>
          <w:noProof/>
        </w:rPr>
        <w:tab/>
      </w:r>
      <w:r>
        <w:rPr>
          <w:noProof/>
        </w:rPr>
        <w:fldChar w:fldCharType="begin"/>
      </w:r>
      <w:r>
        <w:rPr>
          <w:noProof/>
        </w:rPr>
        <w:instrText xml:space="preserve"> PAGEREF _Toc340431566 \h </w:instrText>
      </w:r>
      <w:r>
        <w:rPr>
          <w:noProof/>
        </w:rPr>
      </w:r>
      <w:r>
        <w:rPr>
          <w:noProof/>
        </w:rPr>
        <w:fldChar w:fldCharType="separate"/>
      </w:r>
      <w:r>
        <w:rPr>
          <w:noProof/>
        </w:rPr>
        <w:t>58</w:t>
      </w:r>
      <w:r>
        <w:rPr>
          <w:noProof/>
        </w:rPr>
        <w:fldChar w:fldCharType="end"/>
      </w:r>
    </w:p>
    <w:p w14:paraId="6B66C86A"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3.3.22.</w:t>
      </w:r>
      <w:r>
        <w:rPr>
          <w:noProof/>
        </w:rPr>
        <w:t xml:space="preserve">  Estimates of average annual catch (numbers of fish) of mutton snapper and percent harvested by anglers in East Florida by mode, 2010-2014.</w:t>
      </w:r>
      <w:r>
        <w:rPr>
          <w:noProof/>
        </w:rPr>
        <w:tab/>
      </w:r>
      <w:r>
        <w:rPr>
          <w:noProof/>
        </w:rPr>
        <w:fldChar w:fldCharType="begin"/>
      </w:r>
      <w:r>
        <w:rPr>
          <w:noProof/>
        </w:rPr>
        <w:instrText xml:space="preserve"> PAGEREF _Toc340431567 \h </w:instrText>
      </w:r>
      <w:r>
        <w:rPr>
          <w:noProof/>
        </w:rPr>
      </w:r>
      <w:r>
        <w:rPr>
          <w:noProof/>
        </w:rPr>
        <w:fldChar w:fldCharType="separate"/>
      </w:r>
      <w:r>
        <w:rPr>
          <w:noProof/>
        </w:rPr>
        <w:t>59</w:t>
      </w:r>
      <w:r>
        <w:rPr>
          <w:noProof/>
        </w:rPr>
        <w:fldChar w:fldCharType="end"/>
      </w:r>
    </w:p>
    <w:p w14:paraId="61237D25"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3.3.23.</w:t>
      </w:r>
      <w:r>
        <w:rPr>
          <w:noProof/>
        </w:rPr>
        <w:t xml:space="preserve">  Estimates of number of mutton snapper caught and harvested by East Florida anglers by waters fished, 2010-2014.</w:t>
      </w:r>
      <w:r>
        <w:rPr>
          <w:noProof/>
        </w:rPr>
        <w:tab/>
      </w:r>
      <w:r>
        <w:rPr>
          <w:noProof/>
        </w:rPr>
        <w:fldChar w:fldCharType="begin"/>
      </w:r>
      <w:r>
        <w:rPr>
          <w:noProof/>
        </w:rPr>
        <w:instrText xml:space="preserve"> PAGEREF _Toc340431568 \h </w:instrText>
      </w:r>
      <w:r>
        <w:rPr>
          <w:noProof/>
        </w:rPr>
      </w:r>
      <w:r>
        <w:rPr>
          <w:noProof/>
        </w:rPr>
        <w:fldChar w:fldCharType="separate"/>
      </w:r>
      <w:r>
        <w:rPr>
          <w:noProof/>
        </w:rPr>
        <w:t>59</w:t>
      </w:r>
      <w:r>
        <w:rPr>
          <w:noProof/>
        </w:rPr>
        <w:fldChar w:fldCharType="end"/>
      </w:r>
    </w:p>
    <w:p w14:paraId="2984F159"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3.3.24.</w:t>
      </w:r>
      <w:r>
        <w:rPr>
          <w:noProof/>
        </w:rPr>
        <w:t xml:space="preserve">  Estimates of number and percentage of angler trips that targeted mutton snapper in the South Atlantic region (off East Florida), 2010-2014.</w:t>
      </w:r>
      <w:r>
        <w:rPr>
          <w:noProof/>
        </w:rPr>
        <w:tab/>
      </w:r>
      <w:r>
        <w:rPr>
          <w:noProof/>
        </w:rPr>
        <w:fldChar w:fldCharType="begin"/>
      </w:r>
      <w:r>
        <w:rPr>
          <w:noProof/>
        </w:rPr>
        <w:instrText xml:space="preserve"> PAGEREF _Toc340431569 \h </w:instrText>
      </w:r>
      <w:r>
        <w:rPr>
          <w:noProof/>
        </w:rPr>
      </w:r>
      <w:r>
        <w:rPr>
          <w:noProof/>
        </w:rPr>
        <w:fldChar w:fldCharType="separate"/>
      </w:r>
      <w:r>
        <w:rPr>
          <w:noProof/>
        </w:rPr>
        <w:t>60</w:t>
      </w:r>
      <w:r>
        <w:rPr>
          <w:noProof/>
        </w:rPr>
        <w:fldChar w:fldCharType="end"/>
      </w:r>
    </w:p>
    <w:p w14:paraId="6C2BB54D"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3.3.25.</w:t>
      </w:r>
      <w:r>
        <w:rPr>
          <w:noProof/>
        </w:rPr>
        <w:t xml:space="preserve">  Estimates of number and percentage of angler trips that targeted mutton snapper in the South Atlantic region by mode and waters fished, 2010-2014.</w:t>
      </w:r>
      <w:r>
        <w:rPr>
          <w:noProof/>
        </w:rPr>
        <w:tab/>
      </w:r>
      <w:r>
        <w:rPr>
          <w:noProof/>
        </w:rPr>
        <w:fldChar w:fldCharType="begin"/>
      </w:r>
      <w:r>
        <w:rPr>
          <w:noProof/>
        </w:rPr>
        <w:instrText xml:space="preserve"> PAGEREF _Toc340431570 \h </w:instrText>
      </w:r>
      <w:r>
        <w:rPr>
          <w:noProof/>
        </w:rPr>
      </w:r>
      <w:r>
        <w:rPr>
          <w:noProof/>
        </w:rPr>
        <w:fldChar w:fldCharType="separate"/>
      </w:r>
      <w:r>
        <w:rPr>
          <w:noProof/>
        </w:rPr>
        <w:t>60</w:t>
      </w:r>
      <w:r>
        <w:rPr>
          <w:noProof/>
        </w:rPr>
        <w:fldChar w:fldCharType="end"/>
      </w:r>
    </w:p>
    <w:p w14:paraId="63D7403C"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3.3.26.</w:t>
      </w:r>
      <w:r>
        <w:rPr>
          <w:noProof/>
        </w:rPr>
        <w:t xml:space="preserve">  Economic impacts of angler trips that targeted mutton snapper  (2015 $).</w:t>
      </w:r>
      <w:r>
        <w:rPr>
          <w:noProof/>
        </w:rPr>
        <w:tab/>
      </w:r>
      <w:r>
        <w:rPr>
          <w:noProof/>
        </w:rPr>
        <w:fldChar w:fldCharType="begin"/>
      </w:r>
      <w:r>
        <w:rPr>
          <w:noProof/>
        </w:rPr>
        <w:instrText xml:space="preserve"> PAGEREF _Toc340431571 \h </w:instrText>
      </w:r>
      <w:r>
        <w:rPr>
          <w:noProof/>
        </w:rPr>
      </w:r>
      <w:r>
        <w:rPr>
          <w:noProof/>
        </w:rPr>
        <w:fldChar w:fldCharType="separate"/>
      </w:r>
      <w:r>
        <w:rPr>
          <w:noProof/>
        </w:rPr>
        <w:t>61</w:t>
      </w:r>
      <w:r>
        <w:rPr>
          <w:noProof/>
        </w:rPr>
        <w:fldChar w:fldCharType="end"/>
      </w:r>
    </w:p>
    <w:p w14:paraId="53C821FA"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3.3.27.</w:t>
      </w:r>
      <w:r>
        <w:rPr>
          <w:noProof/>
        </w:rPr>
        <w:t xml:space="preserve">  Estimates of number of East Florida angler trips that caught mutton snapper by mode and waters fished, 2010-2014.</w:t>
      </w:r>
      <w:r>
        <w:rPr>
          <w:noProof/>
        </w:rPr>
        <w:tab/>
      </w:r>
      <w:r>
        <w:rPr>
          <w:noProof/>
        </w:rPr>
        <w:fldChar w:fldCharType="begin"/>
      </w:r>
      <w:r>
        <w:rPr>
          <w:noProof/>
        </w:rPr>
        <w:instrText xml:space="preserve"> PAGEREF _Toc340431572 \h </w:instrText>
      </w:r>
      <w:r>
        <w:rPr>
          <w:noProof/>
        </w:rPr>
      </w:r>
      <w:r>
        <w:rPr>
          <w:noProof/>
        </w:rPr>
        <w:fldChar w:fldCharType="separate"/>
      </w:r>
      <w:r>
        <w:rPr>
          <w:noProof/>
        </w:rPr>
        <w:t>61</w:t>
      </w:r>
      <w:r>
        <w:rPr>
          <w:noProof/>
        </w:rPr>
        <w:fldChar w:fldCharType="end"/>
      </w:r>
    </w:p>
    <w:p w14:paraId="3FCC480A"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3.3.28.</w:t>
      </w:r>
      <w:r>
        <w:rPr>
          <w:noProof/>
        </w:rPr>
        <w:t xml:space="preserve">  Estimates of number of East Florida angler trips that caught and harvested mutton snapper by mode and waters fished, 2010-2014.</w:t>
      </w:r>
      <w:r>
        <w:rPr>
          <w:noProof/>
        </w:rPr>
        <w:tab/>
      </w:r>
      <w:r>
        <w:rPr>
          <w:noProof/>
        </w:rPr>
        <w:fldChar w:fldCharType="begin"/>
      </w:r>
      <w:r>
        <w:rPr>
          <w:noProof/>
        </w:rPr>
        <w:instrText xml:space="preserve"> PAGEREF _Toc340431573 \h </w:instrText>
      </w:r>
      <w:r>
        <w:rPr>
          <w:noProof/>
        </w:rPr>
      </w:r>
      <w:r>
        <w:rPr>
          <w:noProof/>
        </w:rPr>
        <w:fldChar w:fldCharType="separate"/>
      </w:r>
      <w:r>
        <w:rPr>
          <w:noProof/>
        </w:rPr>
        <w:t>62</w:t>
      </w:r>
      <w:r>
        <w:rPr>
          <w:noProof/>
        </w:rPr>
        <w:fldChar w:fldCharType="end"/>
      </w:r>
    </w:p>
    <w:p w14:paraId="1AF487C5"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3.3.29.</w:t>
      </w:r>
      <w:r>
        <w:rPr>
          <w:noProof/>
        </w:rPr>
        <w:t xml:space="preserve">  Estimates of number of East Florida angler trips that caught and released mutton snapper by mode and waters fished, 2010-2014.</w:t>
      </w:r>
      <w:r>
        <w:rPr>
          <w:noProof/>
        </w:rPr>
        <w:tab/>
      </w:r>
      <w:r>
        <w:rPr>
          <w:noProof/>
        </w:rPr>
        <w:fldChar w:fldCharType="begin"/>
      </w:r>
      <w:r>
        <w:rPr>
          <w:noProof/>
        </w:rPr>
        <w:instrText xml:space="preserve"> PAGEREF _Toc340431574 \h </w:instrText>
      </w:r>
      <w:r>
        <w:rPr>
          <w:noProof/>
        </w:rPr>
      </w:r>
      <w:r>
        <w:rPr>
          <w:noProof/>
        </w:rPr>
        <w:fldChar w:fldCharType="separate"/>
      </w:r>
      <w:r>
        <w:rPr>
          <w:noProof/>
        </w:rPr>
        <w:t>62</w:t>
      </w:r>
      <w:r>
        <w:rPr>
          <w:noProof/>
        </w:rPr>
        <w:fldChar w:fldCharType="end"/>
      </w:r>
    </w:p>
    <w:p w14:paraId="320945C4"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3.3.30.</w:t>
      </w:r>
      <w:r>
        <w:rPr>
          <w:noProof/>
        </w:rPr>
        <w:t xml:space="preserve">  Estimates of observed pounds and number of mutton snapper harvested in the South Atlantic Region, 2010-2014.</w:t>
      </w:r>
      <w:r>
        <w:rPr>
          <w:noProof/>
        </w:rPr>
        <w:tab/>
      </w:r>
      <w:r>
        <w:rPr>
          <w:noProof/>
        </w:rPr>
        <w:fldChar w:fldCharType="begin"/>
      </w:r>
      <w:r>
        <w:rPr>
          <w:noProof/>
        </w:rPr>
        <w:instrText xml:space="preserve"> PAGEREF _Toc340431575 \h </w:instrText>
      </w:r>
      <w:r>
        <w:rPr>
          <w:noProof/>
        </w:rPr>
      </w:r>
      <w:r>
        <w:rPr>
          <w:noProof/>
        </w:rPr>
        <w:fldChar w:fldCharType="separate"/>
      </w:r>
      <w:r>
        <w:rPr>
          <w:noProof/>
        </w:rPr>
        <w:t>63</w:t>
      </w:r>
      <w:r>
        <w:rPr>
          <w:noProof/>
        </w:rPr>
        <w:fldChar w:fldCharType="end"/>
      </w:r>
    </w:p>
    <w:p w14:paraId="28C648B2"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4.3.1.</w:t>
      </w:r>
      <w:r>
        <w:rPr>
          <w:noProof/>
        </w:rPr>
        <w:t xml:space="preserve">  Commercial and recreational landings of mutton snapper, by sector, for the South Atlantic region, 2010-2014.</w:t>
      </w:r>
      <w:r>
        <w:rPr>
          <w:noProof/>
        </w:rPr>
        <w:tab/>
      </w:r>
      <w:r>
        <w:rPr>
          <w:noProof/>
        </w:rPr>
        <w:fldChar w:fldCharType="begin"/>
      </w:r>
      <w:r>
        <w:rPr>
          <w:noProof/>
        </w:rPr>
        <w:instrText xml:space="preserve"> PAGEREF _Toc340431576 \h </w:instrText>
      </w:r>
      <w:r>
        <w:rPr>
          <w:noProof/>
        </w:rPr>
      </w:r>
      <w:r>
        <w:rPr>
          <w:noProof/>
        </w:rPr>
        <w:fldChar w:fldCharType="separate"/>
      </w:r>
      <w:r>
        <w:rPr>
          <w:noProof/>
        </w:rPr>
        <w:t>80</w:t>
      </w:r>
      <w:r>
        <w:rPr>
          <w:noProof/>
        </w:rPr>
        <w:fldChar w:fldCharType="end"/>
      </w:r>
    </w:p>
    <w:p w14:paraId="59DF9BFF"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4.3.2.</w:t>
      </w:r>
      <w:r>
        <w:rPr>
          <w:noProof/>
        </w:rPr>
        <w:t xml:space="preserve">  Proposed acceptable biological catch values and annual catch limits for mutton snapper in the South Atlantic based on </w:t>
      </w:r>
      <w:r w:rsidRPr="009F56A6">
        <w:rPr>
          <w:b/>
          <w:noProof/>
        </w:rPr>
        <w:t>Sub-alternatives 2a (Preferred)-2c</w:t>
      </w:r>
      <w:r>
        <w:rPr>
          <w:noProof/>
        </w:rPr>
        <w:t>.</w:t>
      </w:r>
      <w:r>
        <w:rPr>
          <w:noProof/>
        </w:rPr>
        <w:tab/>
      </w:r>
      <w:r>
        <w:rPr>
          <w:noProof/>
        </w:rPr>
        <w:fldChar w:fldCharType="begin"/>
      </w:r>
      <w:r>
        <w:rPr>
          <w:noProof/>
        </w:rPr>
        <w:instrText xml:space="preserve"> PAGEREF _Toc340431577 \h </w:instrText>
      </w:r>
      <w:r>
        <w:rPr>
          <w:noProof/>
        </w:rPr>
      </w:r>
      <w:r>
        <w:rPr>
          <w:noProof/>
        </w:rPr>
        <w:fldChar w:fldCharType="separate"/>
      </w:r>
      <w:r>
        <w:rPr>
          <w:noProof/>
        </w:rPr>
        <w:t>81</w:t>
      </w:r>
      <w:r>
        <w:rPr>
          <w:noProof/>
        </w:rPr>
        <w:fldChar w:fldCharType="end"/>
      </w:r>
    </w:p>
    <w:p w14:paraId="72705C7A"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4.3.3.</w:t>
      </w:r>
      <w:r>
        <w:rPr>
          <w:noProof/>
        </w:rPr>
        <w:t xml:space="preserve">  Estimated consumer surplus (2015 $) for recreational mutton snapper landings, 2010-2014.</w:t>
      </w:r>
      <w:r>
        <w:rPr>
          <w:noProof/>
        </w:rPr>
        <w:tab/>
      </w:r>
      <w:r>
        <w:rPr>
          <w:noProof/>
        </w:rPr>
        <w:fldChar w:fldCharType="begin"/>
      </w:r>
      <w:r>
        <w:rPr>
          <w:noProof/>
        </w:rPr>
        <w:instrText xml:space="preserve"> PAGEREF _Toc340431578 \h </w:instrText>
      </w:r>
      <w:r>
        <w:rPr>
          <w:noProof/>
        </w:rPr>
      </w:r>
      <w:r>
        <w:rPr>
          <w:noProof/>
        </w:rPr>
        <w:fldChar w:fldCharType="separate"/>
      </w:r>
      <w:r>
        <w:rPr>
          <w:noProof/>
        </w:rPr>
        <w:t>84</w:t>
      </w:r>
      <w:r>
        <w:rPr>
          <w:noProof/>
        </w:rPr>
        <w:fldChar w:fldCharType="end"/>
      </w:r>
    </w:p>
    <w:p w14:paraId="5B98A22A"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rFonts w:cs="Arial"/>
          <w:b/>
          <w:noProof/>
        </w:rPr>
        <w:lastRenderedPageBreak/>
        <w:t>Table 4.3.4</w:t>
      </w:r>
      <w:r w:rsidRPr="009F56A6">
        <w:rPr>
          <w:rFonts w:cs="Arial"/>
          <w:noProof/>
        </w:rPr>
        <w:t xml:space="preserve">.  Estimated change in recreational landings and associated change in consumer surplus (CS) (in 2015 $) under </w:t>
      </w:r>
      <w:r w:rsidRPr="009F56A6">
        <w:rPr>
          <w:rFonts w:cs="Arial"/>
          <w:b/>
          <w:noProof/>
        </w:rPr>
        <w:t>Preferred Alternative 2</w:t>
      </w:r>
      <w:r w:rsidRPr="009F56A6">
        <w:rPr>
          <w:rFonts w:cs="Arial"/>
          <w:noProof/>
        </w:rPr>
        <w:t xml:space="preserve"> based on average recreational landings of mutton snapper from 2010-2014.</w:t>
      </w:r>
      <w:r>
        <w:rPr>
          <w:noProof/>
        </w:rPr>
        <w:tab/>
      </w:r>
      <w:r>
        <w:rPr>
          <w:noProof/>
        </w:rPr>
        <w:fldChar w:fldCharType="begin"/>
      </w:r>
      <w:r>
        <w:rPr>
          <w:noProof/>
        </w:rPr>
        <w:instrText xml:space="preserve"> PAGEREF _Toc340431579 \h </w:instrText>
      </w:r>
      <w:r>
        <w:rPr>
          <w:noProof/>
        </w:rPr>
      </w:r>
      <w:r>
        <w:rPr>
          <w:noProof/>
        </w:rPr>
        <w:fldChar w:fldCharType="separate"/>
      </w:r>
      <w:r>
        <w:rPr>
          <w:noProof/>
        </w:rPr>
        <w:t>84</w:t>
      </w:r>
      <w:r>
        <w:rPr>
          <w:noProof/>
        </w:rPr>
        <w:fldChar w:fldCharType="end"/>
      </w:r>
    </w:p>
    <w:p w14:paraId="09920A31"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4.4.1.</w:t>
      </w:r>
      <w:r>
        <w:rPr>
          <w:noProof/>
        </w:rPr>
        <w:t xml:space="preserve">  Proposed recreational annual catch targets (ACTs) in numbers of fish for each of the proposed annual catch limit alternatives under </w:t>
      </w:r>
      <w:r w:rsidRPr="009F56A6">
        <w:rPr>
          <w:b/>
          <w:noProof/>
        </w:rPr>
        <w:t>Action 3</w:t>
      </w:r>
      <w:r>
        <w:rPr>
          <w:noProof/>
        </w:rPr>
        <w:t>.</w:t>
      </w:r>
      <w:r>
        <w:rPr>
          <w:noProof/>
        </w:rPr>
        <w:tab/>
      </w:r>
      <w:r>
        <w:rPr>
          <w:noProof/>
        </w:rPr>
        <w:fldChar w:fldCharType="begin"/>
      </w:r>
      <w:r>
        <w:rPr>
          <w:noProof/>
        </w:rPr>
        <w:instrText xml:space="preserve"> PAGEREF _Toc340431580 \h </w:instrText>
      </w:r>
      <w:r>
        <w:rPr>
          <w:noProof/>
        </w:rPr>
      </w:r>
      <w:r>
        <w:rPr>
          <w:noProof/>
        </w:rPr>
        <w:fldChar w:fldCharType="separate"/>
      </w:r>
      <w:r>
        <w:rPr>
          <w:noProof/>
        </w:rPr>
        <w:t>88</w:t>
      </w:r>
      <w:r>
        <w:rPr>
          <w:noProof/>
        </w:rPr>
        <w:fldChar w:fldCharType="end"/>
      </w:r>
    </w:p>
    <w:p w14:paraId="429DA09D"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4.5.1.</w:t>
      </w:r>
      <w:r>
        <w:rPr>
          <w:noProof/>
        </w:rPr>
        <w:t xml:space="preserve">  Projected recreational landings of mutton snapper (numbers of fish) and closure dates for each of the three proposed ACLs, under the current bag limit (10 mutton snapper within the aggregate), and with no further restrictions during May and June.  Preferred minimum size limit alternative in bold.</w:t>
      </w:r>
      <w:r>
        <w:rPr>
          <w:noProof/>
        </w:rPr>
        <w:tab/>
      </w:r>
      <w:r>
        <w:rPr>
          <w:noProof/>
        </w:rPr>
        <w:fldChar w:fldCharType="begin"/>
      </w:r>
      <w:r>
        <w:rPr>
          <w:noProof/>
        </w:rPr>
        <w:instrText xml:space="preserve"> PAGEREF _Toc340431581 \h </w:instrText>
      </w:r>
      <w:r>
        <w:rPr>
          <w:noProof/>
        </w:rPr>
      </w:r>
      <w:r>
        <w:rPr>
          <w:noProof/>
        </w:rPr>
        <w:fldChar w:fldCharType="separate"/>
      </w:r>
      <w:r>
        <w:rPr>
          <w:noProof/>
        </w:rPr>
        <w:t>92</w:t>
      </w:r>
      <w:r>
        <w:rPr>
          <w:noProof/>
        </w:rPr>
        <w:fldChar w:fldCharType="end"/>
      </w:r>
    </w:p>
    <w:p w14:paraId="34278452"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4.5.2.</w:t>
      </w:r>
      <w:r>
        <w:rPr>
          <w:noProof/>
        </w:rPr>
        <w:t xml:space="preserve"> Estimated percent reductions in mutton snapper commercial landings for the minimum size limits being considered in Amendment 41.  The reduction was generated with TIP data from 2013-2015, and a sample 925 fish.</w:t>
      </w:r>
      <w:r>
        <w:rPr>
          <w:noProof/>
        </w:rPr>
        <w:tab/>
      </w:r>
      <w:r>
        <w:rPr>
          <w:noProof/>
        </w:rPr>
        <w:fldChar w:fldCharType="begin"/>
      </w:r>
      <w:r>
        <w:rPr>
          <w:noProof/>
        </w:rPr>
        <w:instrText xml:space="preserve"> PAGEREF _Toc340431582 \h </w:instrText>
      </w:r>
      <w:r>
        <w:rPr>
          <w:noProof/>
        </w:rPr>
      </w:r>
      <w:r>
        <w:rPr>
          <w:noProof/>
        </w:rPr>
        <w:fldChar w:fldCharType="separate"/>
      </w:r>
      <w:r>
        <w:rPr>
          <w:noProof/>
        </w:rPr>
        <w:t>96</w:t>
      </w:r>
      <w:r>
        <w:rPr>
          <w:noProof/>
        </w:rPr>
        <w:fldChar w:fldCharType="end"/>
      </w:r>
    </w:p>
    <w:p w14:paraId="6B0C1D18"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rFonts w:cs="Arial"/>
          <w:b/>
          <w:noProof/>
        </w:rPr>
        <w:t>Table 4.5.3</w:t>
      </w:r>
      <w:r w:rsidRPr="009F56A6">
        <w:rPr>
          <w:rFonts w:cs="Arial"/>
          <w:noProof/>
        </w:rPr>
        <w:t>.  Estimated change in consumer surplus (2015 $) for the recreational mutton snapper fishery in the first year of implementation.</w:t>
      </w:r>
      <w:r>
        <w:rPr>
          <w:noProof/>
        </w:rPr>
        <w:tab/>
      </w:r>
      <w:r>
        <w:rPr>
          <w:noProof/>
        </w:rPr>
        <w:fldChar w:fldCharType="begin"/>
      </w:r>
      <w:r>
        <w:rPr>
          <w:noProof/>
        </w:rPr>
        <w:instrText xml:space="preserve"> PAGEREF _Toc340431583 \h </w:instrText>
      </w:r>
      <w:r>
        <w:rPr>
          <w:noProof/>
        </w:rPr>
      </w:r>
      <w:r>
        <w:rPr>
          <w:noProof/>
        </w:rPr>
        <w:fldChar w:fldCharType="separate"/>
      </w:r>
      <w:r>
        <w:rPr>
          <w:noProof/>
        </w:rPr>
        <w:t>98</w:t>
      </w:r>
      <w:r>
        <w:rPr>
          <w:noProof/>
        </w:rPr>
        <w:fldChar w:fldCharType="end"/>
      </w:r>
    </w:p>
    <w:p w14:paraId="4AC523B8"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rFonts w:cs="Arial"/>
          <w:b/>
          <w:noProof/>
        </w:rPr>
        <w:t>Table 4.5.4</w:t>
      </w:r>
      <w:r w:rsidRPr="009F56A6">
        <w:rPr>
          <w:rFonts w:cs="Arial"/>
          <w:noProof/>
        </w:rPr>
        <w:t>.  Estimated change in the ex-vessel value (2015 dollars) of commercial mutton snapper landings in the first year of implementation.</w:t>
      </w:r>
      <w:r>
        <w:rPr>
          <w:noProof/>
        </w:rPr>
        <w:tab/>
      </w:r>
      <w:r>
        <w:rPr>
          <w:noProof/>
        </w:rPr>
        <w:fldChar w:fldCharType="begin"/>
      </w:r>
      <w:r>
        <w:rPr>
          <w:noProof/>
        </w:rPr>
        <w:instrText xml:space="preserve"> PAGEREF _Toc340431584 \h </w:instrText>
      </w:r>
      <w:r>
        <w:rPr>
          <w:noProof/>
        </w:rPr>
      </w:r>
      <w:r>
        <w:rPr>
          <w:noProof/>
        </w:rPr>
        <w:fldChar w:fldCharType="separate"/>
      </w:r>
      <w:r>
        <w:rPr>
          <w:noProof/>
        </w:rPr>
        <w:t>99</w:t>
      </w:r>
      <w:r>
        <w:rPr>
          <w:noProof/>
        </w:rPr>
        <w:fldChar w:fldCharType="end"/>
      </w:r>
    </w:p>
    <w:p w14:paraId="07F82962"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rFonts w:eastAsia="Calibri"/>
          <w:b/>
          <w:noProof/>
        </w:rPr>
        <w:t>Table 4.7.1.</w:t>
      </w:r>
      <w:r w:rsidRPr="009F56A6">
        <w:rPr>
          <w:rFonts w:eastAsia="Calibri"/>
          <w:noProof/>
        </w:rPr>
        <w:t xml:space="preserve">  South Atlantic recreational (private, charter, and headboat) mutton snapper landings by wave, 2010-2014.</w:t>
      </w:r>
      <w:r>
        <w:rPr>
          <w:noProof/>
        </w:rPr>
        <w:tab/>
      </w:r>
      <w:r>
        <w:rPr>
          <w:noProof/>
        </w:rPr>
        <w:fldChar w:fldCharType="begin"/>
      </w:r>
      <w:r>
        <w:rPr>
          <w:noProof/>
        </w:rPr>
        <w:instrText xml:space="preserve"> PAGEREF _Toc340431585 \h </w:instrText>
      </w:r>
      <w:r>
        <w:rPr>
          <w:noProof/>
        </w:rPr>
      </w:r>
      <w:r>
        <w:rPr>
          <w:noProof/>
        </w:rPr>
        <w:fldChar w:fldCharType="separate"/>
      </w:r>
      <w:r>
        <w:rPr>
          <w:noProof/>
        </w:rPr>
        <w:t>104</w:t>
      </w:r>
      <w:r>
        <w:rPr>
          <w:noProof/>
        </w:rPr>
        <w:fldChar w:fldCharType="end"/>
      </w:r>
    </w:p>
    <w:p w14:paraId="5658386B"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4.7.2.</w:t>
      </w:r>
      <w:r>
        <w:rPr>
          <w:noProof/>
        </w:rPr>
        <w:t xml:space="preserve"> Projected mutton snapper recreational landings (in numbers of fish) under various bag limits at the preferred 18</w:t>
      </w:r>
      <w:r w:rsidRPr="009F56A6">
        <w:rPr>
          <w:b/>
          <w:noProof/>
        </w:rPr>
        <w:t>-inch minimum size limit</w:t>
      </w:r>
      <w:r>
        <w:rPr>
          <w:noProof/>
        </w:rPr>
        <w:t xml:space="preserve"> and an </w:t>
      </w:r>
      <w:r w:rsidRPr="009F56A6">
        <w:rPr>
          <w:b/>
          <w:noProof/>
        </w:rPr>
        <w:t>April-June</w:t>
      </w:r>
      <w:r>
        <w:rPr>
          <w:noProof/>
        </w:rPr>
        <w:t xml:space="preserve"> spawning season.  “pp” signifies “per person” and “pv” signifies “per vessel.”</w:t>
      </w:r>
      <w:r>
        <w:rPr>
          <w:noProof/>
        </w:rPr>
        <w:tab/>
      </w:r>
      <w:r>
        <w:rPr>
          <w:noProof/>
        </w:rPr>
        <w:fldChar w:fldCharType="begin"/>
      </w:r>
      <w:r>
        <w:rPr>
          <w:noProof/>
        </w:rPr>
        <w:instrText xml:space="preserve"> PAGEREF _Toc340431586 \h </w:instrText>
      </w:r>
      <w:r>
        <w:rPr>
          <w:noProof/>
        </w:rPr>
      </w:r>
      <w:r>
        <w:rPr>
          <w:noProof/>
        </w:rPr>
        <w:fldChar w:fldCharType="separate"/>
      </w:r>
      <w:r>
        <w:rPr>
          <w:noProof/>
        </w:rPr>
        <w:t>106</w:t>
      </w:r>
      <w:r>
        <w:rPr>
          <w:noProof/>
        </w:rPr>
        <w:fldChar w:fldCharType="end"/>
      </w:r>
    </w:p>
    <w:p w14:paraId="117933F8"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4.7.3.</w:t>
      </w:r>
      <w:r>
        <w:rPr>
          <w:noProof/>
        </w:rPr>
        <w:t xml:space="preserve">  Projected recreational landings of mutton snapper (numbers of fish) for sub-alternatives under </w:t>
      </w:r>
      <w:r w:rsidRPr="009F56A6">
        <w:rPr>
          <w:b/>
          <w:noProof/>
        </w:rPr>
        <w:t xml:space="preserve">Preferred Alternative 4 </w:t>
      </w:r>
      <w:r>
        <w:rPr>
          <w:noProof/>
        </w:rPr>
        <w:t>(year round bag limits)</w:t>
      </w:r>
      <w:r w:rsidRPr="009F56A6">
        <w:rPr>
          <w:b/>
          <w:noProof/>
        </w:rPr>
        <w:t xml:space="preserve"> </w:t>
      </w:r>
      <w:r>
        <w:rPr>
          <w:noProof/>
        </w:rPr>
        <w:t xml:space="preserve">at the various minimum size limits considered under </w:t>
      </w:r>
      <w:r w:rsidRPr="009F56A6">
        <w:rPr>
          <w:b/>
          <w:noProof/>
        </w:rPr>
        <w:t>Action 5</w:t>
      </w:r>
      <w:r>
        <w:rPr>
          <w:noProof/>
        </w:rPr>
        <w:t xml:space="preserve"> (preferred indicated in bold)</w:t>
      </w:r>
      <w:r>
        <w:rPr>
          <w:noProof/>
        </w:rPr>
        <w:tab/>
      </w:r>
      <w:r>
        <w:rPr>
          <w:noProof/>
        </w:rPr>
        <w:fldChar w:fldCharType="begin"/>
      </w:r>
      <w:r>
        <w:rPr>
          <w:noProof/>
        </w:rPr>
        <w:instrText xml:space="preserve"> PAGEREF _Toc340431587 \h </w:instrText>
      </w:r>
      <w:r>
        <w:rPr>
          <w:noProof/>
        </w:rPr>
      </w:r>
      <w:r>
        <w:rPr>
          <w:noProof/>
        </w:rPr>
        <w:fldChar w:fldCharType="separate"/>
      </w:r>
      <w:r>
        <w:rPr>
          <w:noProof/>
        </w:rPr>
        <w:t>106</w:t>
      </w:r>
      <w:r>
        <w:rPr>
          <w:noProof/>
        </w:rPr>
        <w:fldChar w:fldCharType="end"/>
      </w:r>
    </w:p>
    <w:p w14:paraId="71CB756D"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4.7.4.</w:t>
      </w:r>
      <w:r>
        <w:rPr>
          <w:noProof/>
        </w:rPr>
        <w:t xml:space="preserve"> Estimated short-term decrease in recreational landings and consumer surplus (2015 dollars) for the sub-alternatives of </w:t>
      </w:r>
      <w:r w:rsidRPr="009F56A6">
        <w:rPr>
          <w:b/>
          <w:noProof/>
        </w:rPr>
        <w:t>Preferred Alternative 4</w:t>
      </w:r>
      <w:r>
        <w:rPr>
          <w:noProof/>
        </w:rPr>
        <w:t xml:space="preserve"> of </w:t>
      </w:r>
      <w:r w:rsidRPr="009F56A6">
        <w:rPr>
          <w:b/>
          <w:noProof/>
        </w:rPr>
        <w:t>Action 7</w:t>
      </w:r>
      <w:r>
        <w:rPr>
          <w:noProof/>
        </w:rPr>
        <w:t xml:space="preserve"> and minimum size limit options in </w:t>
      </w:r>
      <w:r w:rsidRPr="009F56A6">
        <w:rPr>
          <w:b/>
          <w:noProof/>
        </w:rPr>
        <w:t>Action 5</w:t>
      </w:r>
      <w:r>
        <w:rPr>
          <w:noProof/>
        </w:rPr>
        <w:t>.</w:t>
      </w:r>
      <w:r>
        <w:rPr>
          <w:noProof/>
        </w:rPr>
        <w:tab/>
      </w:r>
      <w:r>
        <w:rPr>
          <w:noProof/>
        </w:rPr>
        <w:fldChar w:fldCharType="begin"/>
      </w:r>
      <w:r>
        <w:rPr>
          <w:noProof/>
        </w:rPr>
        <w:instrText xml:space="preserve"> PAGEREF _Toc340431588 \h </w:instrText>
      </w:r>
      <w:r>
        <w:rPr>
          <w:noProof/>
        </w:rPr>
      </w:r>
      <w:r>
        <w:rPr>
          <w:noProof/>
        </w:rPr>
        <w:fldChar w:fldCharType="separate"/>
      </w:r>
      <w:r>
        <w:rPr>
          <w:noProof/>
        </w:rPr>
        <w:t>108</w:t>
      </w:r>
      <w:r>
        <w:rPr>
          <w:noProof/>
        </w:rPr>
        <w:fldChar w:fldCharType="end"/>
      </w:r>
    </w:p>
    <w:p w14:paraId="2564C99D"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rFonts w:eastAsia="Calibri"/>
          <w:b/>
          <w:noProof/>
        </w:rPr>
        <w:t>Table 4.8.1.</w:t>
      </w:r>
      <w:r w:rsidRPr="009F56A6">
        <w:rPr>
          <w:rFonts w:eastAsia="Calibri"/>
          <w:noProof/>
        </w:rPr>
        <w:t xml:space="preserve">  Commercial landings of mutton snapper by gear in the South Atlantic for 2004-2013.  Landings are reported in pounds whole weight</w:t>
      </w:r>
      <w:r>
        <w:rPr>
          <w:noProof/>
        </w:rPr>
        <w:t>.  Confidential landings are labeled as “NA.”</w:t>
      </w:r>
      <w:r>
        <w:rPr>
          <w:noProof/>
        </w:rPr>
        <w:tab/>
      </w:r>
      <w:r>
        <w:rPr>
          <w:noProof/>
        </w:rPr>
        <w:fldChar w:fldCharType="begin"/>
      </w:r>
      <w:r>
        <w:rPr>
          <w:noProof/>
        </w:rPr>
        <w:instrText xml:space="preserve"> PAGEREF _Toc340431589 \h </w:instrText>
      </w:r>
      <w:r>
        <w:rPr>
          <w:noProof/>
        </w:rPr>
      </w:r>
      <w:r>
        <w:rPr>
          <w:noProof/>
        </w:rPr>
        <w:fldChar w:fldCharType="separate"/>
      </w:r>
      <w:r>
        <w:rPr>
          <w:noProof/>
        </w:rPr>
        <w:t>111</w:t>
      </w:r>
      <w:r>
        <w:rPr>
          <w:noProof/>
        </w:rPr>
        <w:fldChar w:fldCharType="end"/>
      </w:r>
    </w:p>
    <w:p w14:paraId="26975EFC"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4.8.2.</w:t>
      </w:r>
      <w:r>
        <w:rPr>
          <w:noProof/>
        </w:rPr>
        <w:t xml:space="preserve"> Percent decreases in commercial landings for trip limits proposed under </w:t>
      </w:r>
      <w:r w:rsidRPr="009F56A6">
        <w:rPr>
          <w:b/>
          <w:noProof/>
        </w:rPr>
        <w:t>Preferred Alternative 2</w:t>
      </w:r>
      <w:r>
        <w:rPr>
          <w:noProof/>
        </w:rPr>
        <w:t xml:space="preserve"> of </w:t>
      </w:r>
      <w:r w:rsidRPr="009F56A6">
        <w:rPr>
          <w:b/>
          <w:noProof/>
        </w:rPr>
        <w:t>Action 8</w:t>
      </w:r>
      <w:r>
        <w:rPr>
          <w:noProof/>
        </w:rPr>
        <w:t>.  Preferred indicated in bold.</w:t>
      </w:r>
      <w:r>
        <w:rPr>
          <w:noProof/>
        </w:rPr>
        <w:tab/>
      </w:r>
      <w:r>
        <w:rPr>
          <w:noProof/>
        </w:rPr>
        <w:fldChar w:fldCharType="begin"/>
      </w:r>
      <w:r>
        <w:rPr>
          <w:noProof/>
        </w:rPr>
        <w:instrText xml:space="preserve"> PAGEREF _Toc340431590 \h </w:instrText>
      </w:r>
      <w:r>
        <w:rPr>
          <w:noProof/>
        </w:rPr>
      </w:r>
      <w:r>
        <w:rPr>
          <w:noProof/>
        </w:rPr>
        <w:fldChar w:fldCharType="separate"/>
      </w:r>
      <w:r>
        <w:rPr>
          <w:noProof/>
        </w:rPr>
        <w:t>114</w:t>
      </w:r>
      <w:r>
        <w:rPr>
          <w:noProof/>
        </w:rPr>
        <w:fldChar w:fldCharType="end"/>
      </w:r>
    </w:p>
    <w:p w14:paraId="18239FF3"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9F56A6">
        <w:rPr>
          <w:b/>
          <w:noProof/>
        </w:rPr>
        <w:t>Table 4.8.3.</w:t>
      </w:r>
      <w:r>
        <w:rPr>
          <w:noProof/>
        </w:rPr>
        <w:t xml:space="preserve"> Projected percent decrease in commercial landings of mutton snapper for commercial trip limits proposed under Preferred Alternative 3 of Action 8.  Preferred alternatives indicated in bold.</w:t>
      </w:r>
      <w:r>
        <w:rPr>
          <w:noProof/>
        </w:rPr>
        <w:tab/>
      </w:r>
      <w:r>
        <w:rPr>
          <w:noProof/>
        </w:rPr>
        <w:fldChar w:fldCharType="begin"/>
      </w:r>
      <w:r>
        <w:rPr>
          <w:noProof/>
        </w:rPr>
        <w:instrText xml:space="preserve"> PAGEREF _Toc340431591 \h </w:instrText>
      </w:r>
      <w:r>
        <w:rPr>
          <w:noProof/>
        </w:rPr>
      </w:r>
      <w:r>
        <w:rPr>
          <w:noProof/>
        </w:rPr>
        <w:fldChar w:fldCharType="separate"/>
      </w:r>
      <w:r>
        <w:rPr>
          <w:noProof/>
        </w:rPr>
        <w:t>116</w:t>
      </w:r>
      <w:r>
        <w:rPr>
          <w:noProof/>
        </w:rPr>
        <w:fldChar w:fldCharType="end"/>
      </w:r>
    </w:p>
    <w:p w14:paraId="009BDCA7" w14:textId="77777777" w:rsidR="008D0B8B" w:rsidRPr="00532ABB" w:rsidRDefault="00FE05EA" w:rsidP="00D71AB1">
      <w:pPr>
        <w:jc w:val="center"/>
        <w:rPr>
          <w:b/>
        </w:rPr>
        <w:sectPr w:rsidR="008D0B8B" w:rsidRPr="00532ABB" w:rsidSect="0038545E">
          <w:footerReference w:type="default" r:id="rId23"/>
          <w:pgSz w:w="12240" w:h="15840" w:code="1"/>
          <w:pgMar w:top="1440" w:right="1800" w:bottom="1440" w:left="1800" w:header="720" w:footer="720" w:gutter="0"/>
          <w:pgNumType w:fmt="upperRoman"/>
          <w:cols w:space="720"/>
          <w:docGrid w:linePitch="360"/>
        </w:sectPr>
      </w:pPr>
      <w:r w:rsidRPr="00350583">
        <w:rPr>
          <w:rFonts w:ascii="Arial" w:hAnsi="Arial" w:cs="Arial"/>
          <w:sz w:val="22"/>
          <w:szCs w:val="22"/>
        </w:rPr>
        <w:fldChar w:fldCharType="end"/>
      </w:r>
    </w:p>
    <w:p w14:paraId="400C582D" w14:textId="77777777" w:rsidR="00825FD3" w:rsidRDefault="00825FD3" w:rsidP="00D71AB1">
      <w:pPr>
        <w:pStyle w:val="Heading1"/>
        <w:rPr>
          <w:rFonts w:ascii="Times New Roman" w:hAnsi="Times New Roman" w:cs="Times New Roman"/>
          <w:color w:val="8DB3E2"/>
          <w:sz w:val="36"/>
          <w:szCs w:val="36"/>
        </w:rPr>
        <w:sectPr w:rsidR="00825FD3" w:rsidSect="0038545E">
          <w:footerReference w:type="default" r:id="rId24"/>
          <w:type w:val="continuous"/>
          <w:pgSz w:w="12240" w:h="15840" w:code="1"/>
          <w:pgMar w:top="1440" w:right="1440" w:bottom="1440" w:left="1440" w:header="720" w:footer="720" w:gutter="0"/>
          <w:cols w:space="720"/>
          <w:docGrid w:linePitch="360"/>
        </w:sectPr>
      </w:pPr>
      <w:bookmarkStart w:id="21" w:name="_Toc205109569"/>
      <w:bookmarkStart w:id="22" w:name="_Toc225571367"/>
      <w:bookmarkStart w:id="23" w:name="_Toc266779444"/>
      <w:bookmarkStart w:id="24" w:name="_Toc304879949"/>
      <w:bookmarkEnd w:id="19"/>
      <w:bookmarkEnd w:id="20"/>
    </w:p>
    <w:p w14:paraId="349F9595" w14:textId="77777777" w:rsidR="005C4AEE" w:rsidRDefault="005C4AEE" w:rsidP="004B2D0B">
      <w:pPr>
        <w:pStyle w:val="Heading1"/>
        <w:jc w:val="center"/>
        <w:rPr>
          <w:rFonts w:ascii="Times New Roman" w:hAnsi="Times New Roman" w:cs="Times New Roman"/>
          <w:color w:val="4F81BD" w:themeColor="accent1"/>
          <w:sz w:val="56"/>
          <w:szCs w:val="56"/>
        </w:rPr>
      </w:pPr>
      <w:bookmarkStart w:id="25" w:name="_Toc281922234"/>
      <w:bookmarkStart w:id="26" w:name="_Toc304879947"/>
      <w:bookmarkStart w:id="27" w:name="_Toc361410382"/>
      <w:bookmarkStart w:id="28" w:name="_Toc339811688"/>
      <w:bookmarkStart w:id="29" w:name="_Toc361410384"/>
      <w:r w:rsidRPr="004B2D0B">
        <w:rPr>
          <w:rFonts w:ascii="Times New Roman" w:hAnsi="Times New Roman" w:cs="Times New Roman"/>
          <w:color w:val="4F81BD" w:themeColor="accent1"/>
          <w:sz w:val="56"/>
          <w:szCs w:val="56"/>
        </w:rPr>
        <w:lastRenderedPageBreak/>
        <w:t>List of Figures</w:t>
      </w:r>
      <w:bookmarkEnd w:id="25"/>
      <w:bookmarkEnd w:id="26"/>
      <w:bookmarkEnd w:id="27"/>
      <w:bookmarkEnd w:id="28"/>
    </w:p>
    <w:p w14:paraId="39F2E823" w14:textId="77777777" w:rsidR="004B2D0B" w:rsidRPr="004B2D0B" w:rsidRDefault="004B2D0B" w:rsidP="004B2D0B"/>
    <w:p w14:paraId="4092A9EC" w14:textId="77777777" w:rsidR="00A82CA4" w:rsidRDefault="005C4AEE">
      <w:pPr>
        <w:pStyle w:val="TableofFigures"/>
        <w:tabs>
          <w:tab w:val="right" w:leader="dot" w:pos="8630"/>
        </w:tabs>
        <w:rPr>
          <w:rFonts w:asciiTheme="minorHAnsi" w:eastAsiaTheme="minorEastAsia" w:hAnsiTheme="minorHAnsi" w:cstheme="minorBidi"/>
          <w:noProof/>
          <w:lang w:eastAsia="ja-JP"/>
        </w:rPr>
      </w:pPr>
      <w:r w:rsidRPr="00350583">
        <w:rPr>
          <w:rFonts w:ascii="Arial" w:hAnsi="Arial" w:cs="Arial"/>
          <w:sz w:val="22"/>
          <w:szCs w:val="22"/>
        </w:rPr>
        <w:fldChar w:fldCharType="begin"/>
      </w:r>
      <w:r w:rsidRPr="00350583">
        <w:rPr>
          <w:rFonts w:ascii="Arial" w:hAnsi="Arial" w:cs="Arial"/>
          <w:sz w:val="22"/>
          <w:szCs w:val="22"/>
        </w:rPr>
        <w:instrText xml:space="preserve"> TOC \h \z \t "Figure title" \c </w:instrText>
      </w:r>
      <w:r w:rsidRPr="00350583">
        <w:rPr>
          <w:rFonts w:ascii="Arial" w:hAnsi="Arial" w:cs="Arial"/>
          <w:sz w:val="22"/>
          <w:szCs w:val="22"/>
        </w:rPr>
        <w:fldChar w:fldCharType="separate"/>
      </w:r>
      <w:r w:rsidR="00A82CA4" w:rsidRPr="001D5FD4">
        <w:rPr>
          <w:rFonts w:ascii="Arial" w:hAnsi="Arial" w:cs="Arial"/>
          <w:b/>
          <w:noProof/>
        </w:rPr>
        <w:t>Figure 1.5.1.</w:t>
      </w:r>
      <w:r w:rsidR="00A82CA4" w:rsidRPr="001D5FD4">
        <w:rPr>
          <w:rFonts w:ascii="Arial" w:hAnsi="Arial" w:cs="Arial"/>
          <w:noProof/>
        </w:rPr>
        <w:t xml:space="preserve">  The relationship of the reference points to each other.</w:t>
      </w:r>
      <w:r w:rsidR="00A82CA4">
        <w:rPr>
          <w:noProof/>
        </w:rPr>
        <w:tab/>
      </w:r>
      <w:r w:rsidR="00A82CA4">
        <w:rPr>
          <w:noProof/>
        </w:rPr>
        <w:fldChar w:fldCharType="begin"/>
      </w:r>
      <w:r w:rsidR="00A82CA4">
        <w:rPr>
          <w:noProof/>
        </w:rPr>
        <w:instrText xml:space="preserve"> PAGEREF _Toc340431592 \h </w:instrText>
      </w:r>
      <w:r w:rsidR="00A82CA4">
        <w:rPr>
          <w:noProof/>
        </w:rPr>
      </w:r>
      <w:r w:rsidR="00A82CA4">
        <w:rPr>
          <w:noProof/>
        </w:rPr>
        <w:fldChar w:fldCharType="separate"/>
      </w:r>
      <w:r w:rsidR="00A82CA4">
        <w:rPr>
          <w:noProof/>
        </w:rPr>
        <w:t>4</w:t>
      </w:r>
      <w:r w:rsidR="00A82CA4">
        <w:rPr>
          <w:noProof/>
        </w:rPr>
        <w:fldChar w:fldCharType="end"/>
      </w:r>
    </w:p>
    <w:p w14:paraId="558DA44A"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1D5FD4">
        <w:rPr>
          <w:rFonts w:ascii="Arial" w:hAnsi="Arial"/>
          <w:b/>
          <w:noProof/>
        </w:rPr>
        <w:t>Figure 3.2.1.</w:t>
      </w:r>
      <w:r w:rsidRPr="001D5FD4">
        <w:rPr>
          <w:rFonts w:ascii="Arial" w:hAnsi="Arial"/>
          <w:noProof/>
        </w:rPr>
        <w:t xml:space="preserve">  Two components of the biological environment described in this document.</w:t>
      </w:r>
      <w:r>
        <w:rPr>
          <w:noProof/>
        </w:rPr>
        <w:tab/>
      </w:r>
      <w:r>
        <w:rPr>
          <w:noProof/>
        </w:rPr>
        <w:fldChar w:fldCharType="begin"/>
      </w:r>
      <w:r>
        <w:rPr>
          <w:noProof/>
        </w:rPr>
        <w:instrText xml:space="preserve"> PAGEREF _Toc340431593 \h </w:instrText>
      </w:r>
      <w:r>
        <w:rPr>
          <w:noProof/>
        </w:rPr>
      </w:r>
      <w:r>
        <w:rPr>
          <w:noProof/>
        </w:rPr>
        <w:fldChar w:fldCharType="separate"/>
      </w:r>
      <w:r>
        <w:rPr>
          <w:noProof/>
        </w:rPr>
        <w:t>33</w:t>
      </w:r>
      <w:r>
        <w:rPr>
          <w:noProof/>
        </w:rPr>
        <w:fldChar w:fldCharType="end"/>
      </w:r>
    </w:p>
    <w:p w14:paraId="35E497C1"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1D5FD4">
        <w:rPr>
          <w:rFonts w:ascii="Arial" w:hAnsi="Arial" w:cs="Arial"/>
          <w:b/>
          <w:noProof/>
        </w:rPr>
        <w:t>Figure 3.3.1.</w:t>
      </w:r>
      <w:r w:rsidRPr="001D5FD4">
        <w:rPr>
          <w:rFonts w:ascii="Arial" w:hAnsi="Arial" w:cs="Arial"/>
          <w:noProof/>
        </w:rPr>
        <w:t xml:space="preserve">  Annual commercial landings (lbs ww) of mutton snapper harvested from South Atlantic region by state, 2010-2014.</w:t>
      </w:r>
      <w:r>
        <w:rPr>
          <w:noProof/>
        </w:rPr>
        <w:tab/>
      </w:r>
      <w:r>
        <w:rPr>
          <w:noProof/>
        </w:rPr>
        <w:fldChar w:fldCharType="begin"/>
      </w:r>
      <w:r>
        <w:rPr>
          <w:noProof/>
        </w:rPr>
        <w:instrText xml:space="preserve"> PAGEREF _Toc340431594 \h </w:instrText>
      </w:r>
      <w:r>
        <w:rPr>
          <w:noProof/>
        </w:rPr>
      </w:r>
      <w:r>
        <w:rPr>
          <w:noProof/>
        </w:rPr>
        <w:fldChar w:fldCharType="separate"/>
      </w:r>
      <w:r>
        <w:rPr>
          <w:noProof/>
        </w:rPr>
        <w:t>47</w:t>
      </w:r>
      <w:r>
        <w:rPr>
          <w:noProof/>
        </w:rPr>
        <w:fldChar w:fldCharType="end"/>
      </w:r>
    </w:p>
    <w:p w14:paraId="1D9E9E08"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1D5FD4">
        <w:rPr>
          <w:rFonts w:ascii="Arial" w:hAnsi="Arial" w:cs="Arial"/>
          <w:b/>
          <w:noProof/>
        </w:rPr>
        <w:t>Figure 3.3.2.</w:t>
      </w:r>
      <w:r w:rsidRPr="001D5FD4">
        <w:rPr>
          <w:rFonts w:ascii="Arial" w:hAnsi="Arial" w:cs="Arial"/>
          <w:noProof/>
        </w:rPr>
        <w:t xml:space="preserve">  Average monthly commercial landings (lbs ww) of mutton snapper harvested from the South Atlantic region and landed in Florida, 2010-2014.</w:t>
      </w:r>
      <w:r>
        <w:rPr>
          <w:noProof/>
        </w:rPr>
        <w:tab/>
      </w:r>
      <w:r>
        <w:rPr>
          <w:noProof/>
        </w:rPr>
        <w:fldChar w:fldCharType="begin"/>
      </w:r>
      <w:r>
        <w:rPr>
          <w:noProof/>
        </w:rPr>
        <w:instrText xml:space="preserve"> PAGEREF _Toc340431595 \h </w:instrText>
      </w:r>
      <w:r>
        <w:rPr>
          <w:noProof/>
        </w:rPr>
      </w:r>
      <w:r>
        <w:rPr>
          <w:noProof/>
        </w:rPr>
        <w:fldChar w:fldCharType="separate"/>
      </w:r>
      <w:r>
        <w:rPr>
          <w:noProof/>
        </w:rPr>
        <w:t>47</w:t>
      </w:r>
      <w:r>
        <w:rPr>
          <w:noProof/>
        </w:rPr>
        <w:fldChar w:fldCharType="end"/>
      </w:r>
    </w:p>
    <w:p w14:paraId="6921675B"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1D5FD4">
        <w:rPr>
          <w:rFonts w:ascii="Arial" w:hAnsi="Arial" w:cs="Arial"/>
          <w:b/>
          <w:noProof/>
        </w:rPr>
        <w:t>Figure 3.3.3.</w:t>
      </w:r>
      <w:r w:rsidRPr="001D5FD4">
        <w:rPr>
          <w:rFonts w:ascii="Arial" w:hAnsi="Arial" w:cs="Arial"/>
          <w:noProof/>
        </w:rPr>
        <w:t xml:space="preserve">  Monthly commercial landings (lbs ww) of mutton snapper harvested from South Atlantic region and landed in Florida, 2010-2014.</w:t>
      </w:r>
      <w:r>
        <w:rPr>
          <w:noProof/>
        </w:rPr>
        <w:tab/>
      </w:r>
      <w:r>
        <w:rPr>
          <w:noProof/>
        </w:rPr>
        <w:fldChar w:fldCharType="begin"/>
      </w:r>
      <w:r>
        <w:rPr>
          <w:noProof/>
        </w:rPr>
        <w:instrText xml:space="preserve"> PAGEREF _Toc340431596 \h </w:instrText>
      </w:r>
      <w:r>
        <w:rPr>
          <w:noProof/>
        </w:rPr>
      </w:r>
      <w:r>
        <w:rPr>
          <w:noProof/>
        </w:rPr>
        <w:fldChar w:fldCharType="separate"/>
      </w:r>
      <w:r>
        <w:rPr>
          <w:noProof/>
        </w:rPr>
        <w:t>48</w:t>
      </w:r>
      <w:r>
        <w:rPr>
          <w:noProof/>
        </w:rPr>
        <w:fldChar w:fldCharType="end"/>
      </w:r>
    </w:p>
    <w:p w14:paraId="4186EEB7"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1D5FD4">
        <w:rPr>
          <w:rFonts w:ascii="Arial" w:hAnsi="Arial" w:cs="Arial"/>
          <w:b/>
          <w:noProof/>
        </w:rPr>
        <w:t>Figure 3.3.4.</w:t>
      </w:r>
      <w:r w:rsidRPr="001D5FD4">
        <w:rPr>
          <w:rFonts w:ascii="Arial" w:hAnsi="Arial" w:cs="Arial"/>
          <w:noProof/>
        </w:rPr>
        <w:t xml:space="preserve">  Percentage of mutton snapper landings (lbs ww) by gear, 2010-2014.</w:t>
      </w:r>
      <w:r>
        <w:rPr>
          <w:noProof/>
        </w:rPr>
        <w:tab/>
      </w:r>
      <w:r>
        <w:rPr>
          <w:noProof/>
        </w:rPr>
        <w:fldChar w:fldCharType="begin"/>
      </w:r>
      <w:r>
        <w:rPr>
          <w:noProof/>
        </w:rPr>
        <w:instrText xml:space="preserve"> PAGEREF _Toc340431597 \h </w:instrText>
      </w:r>
      <w:r>
        <w:rPr>
          <w:noProof/>
        </w:rPr>
      </w:r>
      <w:r>
        <w:rPr>
          <w:noProof/>
        </w:rPr>
        <w:fldChar w:fldCharType="separate"/>
      </w:r>
      <w:r>
        <w:rPr>
          <w:noProof/>
        </w:rPr>
        <w:t>49</w:t>
      </w:r>
      <w:r>
        <w:rPr>
          <w:noProof/>
        </w:rPr>
        <w:fldChar w:fldCharType="end"/>
      </w:r>
    </w:p>
    <w:p w14:paraId="7080C875"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1D5FD4">
        <w:rPr>
          <w:rFonts w:ascii="Arial" w:hAnsi="Arial" w:cs="Arial"/>
          <w:b/>
          <w:noProof/>
        </w:rPr>
        <w:t>Figure 3.3.5.</w:t>
      </w:r>
      <w:r w:rsidRPr="001D5FD4">
        <w:rPr>
          <w:rFonts w:ascii="Arial" w:hAnsi="Arial" w:cs="Arial"/>
          <w:noProof/>
        </w:rPr>
        <w:t xml:space="preserve">  Annual commercial landings (lbs gw) of mutton snapper, 2006-2015.</w:t>
      </w:r>
      <w:r>
        <w:rPr>
          <w:noProof/>
        </w:rPr>
        <w:tab/>
      </w:r>
      <w:r>
        <w:rPr>
          <w:noProof/>
        </w:rPr>
        <w:fldChar w:fldCharType="begin"/>
      </w:r>
      <w:r>
        <w:rPr>
          <w:noProof/>
        </w:rPr>
        <w:instrText xml:space="preserve"> PAGEREF _Toc340431598 \h </w:instrText>
      </w:r>
      <w:r>
        <w:rPr>
          <w:noProof/>
        </w:rPr>
      </w:r>
      <w:r>
        <w:rPr>
          <w:noProof/>
        </w:rPr>
        <w:fldChar w:fldCharType="separate"/>
      </w:r>
      <w:r>
        <w:rPr>
          <w:noProof/>
        </w:rPr>
        <w:t>50</w:t>
      </w:r>
      <w:r>
        <w:rPr>
          <w:noProof/>
        </w:rPr>
        <w:fldChar w:fldCharType="end"/>
      </w:r>
    </w:p>
    <w:p w14:paraId="17971283"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1D5FD4">
        <w:rPr>
          <w:rFonts w:ascii="Arial" w:hAnsi="Arial" w:cs="Arial"/>
          <w:b/>
          <w:noProof/>
        </w:rPr>
        <w:t>Figure 3.3.6.</w:t>
      </w:r>
      <w:r w:rsidRPr="001D5FD4">
        <w:rPr>
          <w:rFonts w:ascii="Arial" w:hAnsi="Arial" w:cs="Arial"/>
          <w:noProof/>
        </w:rPr>
        <w:t xml:space="preserve">  Recreational landings (lbs gw) of mutton snapper in South Atlantic Region by wave, 2012-2015.</w:t>
      </w:r>
      <w:r>
        <w:rPr>
          <w:noProof/>
        </w:rPr>
        <w:tab/>
      </w:r>
      <w:r>
        <w:rPr>
          <w:noProof/>
        </w:rPr>
        <w:fldChar w:fldCharType="begin"/>
      </w:r>
      <w:r>
        <w:rPr>
          <w:noProof/>
        </w:rPr>
        <w:instrText xml:space="preserve"> PAGEREF _Toc340431599 \h </w:instrText>
      </w:r>
      <w:r>
        <w:rPr>
          <w:noProof/>
        </w:rPr>
      </w:r>
      <w:r>
        <w:rPr>
          <w:noProof/>
        </w:rPr>
        <w:fldChar w:fldCharType="separate"/>
      </w:r>
      <w:r>
        <w:rPr>
          <w:noProof/>
        </w:rPr>
        <w:t>56</w:t>
      </w:r>
      <w:r>
        <w:rPr>
          <w:noProof/>
        </w:rPr>
        <w:fldChar w:fldCharType="end"/>
      </w:r>
    </w:p>
    <w:p w14:paraId="19ADF58C"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1D5FD4">
        <w:rPr>
          <w:rFonts w:ascii="Arial" w:hAnsi="Arial" w:cs="Arial"/>
          <w:b/>
          <w:noProof/>
        </w:rPr>
        <w:t>Figure 3.3.7.</w:t>
      </w:r>
      <w:r w:rsidRPr="001D5FD4">
        <w:rPr>
          <w:rFonts w:ascii="Arial" w:hAnsi="Arial" w:cs="Arial"/>
          <w:noProof/>
        </w:rPr>
        <w:t xml:space="preserve">  Top ten South Atlantic communities ranked by pounds and value regional of quotient (RQ) of mutton snapper.</w:t>
      </w:r>
      <w:r>
        <w:rPr>
          <w:noProof/>
        </w:rPr>
        <w:tab/>
      </w:r>
      <w:r>
        <w:rPr>
          <w:noProof/>
        </w:rPr>
        <w:fldChar w:fldCharType="begin"/>
      </w:r>
      <w:r>
        <w:rPr>
          <w:noProof/>
        </w:rPr>
        <w:instrText xml:space="preserve"> PAGEREF _Toc340431600 \h </w:instrText>
      </w:r>
      <w:r>
        <w:rPr>
          <w:noProof/>
        </w:rPr>
      </w:r>
      <w:r>
        <w:rPr>
          <w:noProof/>
        </w:rPr>
        <w:fldChar w:fldCharType="separate"/>
      </w:r>
      <w:r>
        <w:rPr>
          <w:noProof/>
        </w:rPr>
        <w:t>66</w:t>
      </w:r>
      <w:r>
        <w:rPr>
          <w:noProof/>
        </w:rPr>
        <w:fldChar w:fldCharType="end"/>
      </w:r>
    </w:p>
    <w:p w14:paraId="41B1BA0D"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1D5FD4">
        <w:rPr>
          <w:rFonts w:ascii="Arial" w:hAnsi="Arial" w:cs="Arial"/>
          <w:b/>
          <w:noProof/>
        </w:rPr>
        <w:t>Figure 3.3.8.</w:t>
      </w:r>
      <w:r w:rsidRPr="001D5FD4">
        <w:rPr>
          <w:rFonts w:ascii="Arial" w:hAnsi="Arial" w:cs="Arial"/>
          <w:noProof/>
        </w:rPr>
        <w:t xml:space="preserve">  Commercial engagement and reliance for South Atlantic mutton snapper fishing communities.</w:t>
      </w:r>
      <w:r>
        <w:rPr>
          <w:noProof/>
        </w:rPr>
        <w:tab/>
      </w:r>
      <w:r>
        <w:rPr>
          <w:noProof/>
        </w:rPr>
        <w:fldChar w:fldCharType="begin"/>
      </w:r>
      <w:r>
        <w:rPr>
          <w:noProof/>
        </w:rPr>
        <w:instrText xml:space="preserve"> PAGEREF _Toc340431601 \h </w:instrText>
      </w:r>
      <w:r>
        <w:rPr>
          <w:noProof/>
        </w:rPr>
      </w:r>
      <w:r>
        <w:rPr>
          <w:noProof/>
        </w:rPr>
        <w:fldChar w:fldCharType="separate"/>
      </w:r>
      <w:r>
        <w:rPr>
          <w:noProof/>
        </w:rPr>
        <w:t>67</w:t>
      </w:r>
      <w:r>
        <w:rPr>
          <w:noProof/>
        </w:rPr>
        <w:fldChar w:fldCharType="end"/>
      </w:r>
    </w:p>
    <w:p w14:paraId="5A3B556B"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1D5FD4">
        <w:rPr>
          <w:rFonts w:ascii="Arial" w:hAnsi="Arial" w:cs="Arial"/>
          <w:b/>
          <w:noProof/>
        </w:rPr>
        <w:t>Figure 3.3.9</w:t>
      </w:r>
      <w:r w:rsidRPr="001D5FD4">
        <w:rPr>
          <w:rFonts w:ascii="Arial" w:hAnsi="Arial" w:cs="Arial"/>
          <w:noProof/>
        </w:rPr>
        <w:t>.  Top 15 Florida recreational fishing communities’ engagement and reliance.</w:t>
      </w:r>
      <w:r>
        <w:rPr>
          <w:noProof/>
        </w:rPr>
        <w:tab/>
      </w:r>
      <w:r>
        <w:rPr>
          <w:noProof/>
        </w:rPr>
        <w:fldChar w:fldCharType="begin"/>
      </w:r>
      <w:r>
        <w:rPr>
          <w:noProof/>
        </w:rPr>
        <w:instrText xml:space="preserve"> PAGEREF _Toc340431602 \h </w:instrText>
      </w:r>
      <w:r>
        <w:rPr>
          <w:noProof/>
        </w:rPr>
      </w:r>
      <w:r>
        <w:rPr>
          <w:noProof/>
        </w:rPr>
        <w:fldChar w:fldCharType="separate"/>
      </w:r>
      <w:r>
        <w:rPr>
          <w:noProof/>
        </w:rPr>
        <w:t>68</w:t>
      </w:r>
      <w:r>
        <w:rPr>
          <w:noProof/>
        </w:rPr>
        <w:fldChar w:fldCharType="end"/>
      </w:r>
    </w:p>
    <w:p w14:paraId="3148DBC3"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1D5FD4">
        <w:rPr>
          <w:rFonts w:ascii="Arial" w:hAnsi="Arial" w:cs="Arial"/>
          <w:b/>
          <w:noProof/>
        </w:rPr>
        <w:t>Figure 3.3.10.</w:t>
      </w:r>
      <w:r w:rsidRPr="001D5FD4">
        <w:rPr>
          <w:rFonts w:ascii="Arial" w:hAnsi="Arial" w:cs="Arial"/>
          <w:noProof/>
        </w:rPr>
        <w:t xml:space="preserve">  Social vulnerability indices for top commercial and recreational communities.</w:t>
      </w:r>
      <w:r>
        <w:rPr>
          <w:noProof/>
        </w:rPr>
        <w:tab/>
      </w:r>
      <w:r>
        <w:rPr>
          <w:noProof/>
        </w:rPr>
        <w:fldChar w:fldCharType="begin"/>
      </w:r>
      <w:r>
        <w:rPr>
          <w:noProof/>
        </w:rPr>
        <w:instrText xml:space="preserve"> PAGEREF _Toc340431603 \h </w:instrText>
      </w:r>
      <w:r>
        <w:rPr>
          <w:noProof/>
        </w:rPr>
      </w:r>
      <w:r>
        <w:rPr>
          <w:noProof/>
        </w:rPr>
        <w:fldChar w:fldCharType="separate"/>
      </w:r>
      <w:r>
        <w:rPr>
          <w:noProof/>
        </w:rPr>
        <w:t>69</w:t>
      </w:r>
      <w:r>
        <w:rPr>
          <w:noProof/>
        </w:rPr>
        <w:fldChar w:fldCharType="end"/>
      </w:r>
    </w:p>
    <w:p w14:paraId="5323A546"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1D5FD4">
        <w:rPr>
          <w:rFonts w:ascii="Arial" w:hAnsi="Arial" w:cs="Arial"/>
          <w:b/>
          <w:noProof/>
        </w:rPr>
        <w:t>Figure 4.5.1.</w:t>
      </w:r>
      <w:r w:rsidRPr="001D5FD4">
        <w:rPr>
          <w:rFonts w:ascii="Arial" w:hAnsi="Arial" w:cs="Arial"/>
          <w:noProof/>
        </w:rPr>
        <w:t xml:space="preserve">  Size composition (inches total length) of recreational mutton snapper landings in the South Atlantic, 2010-2014 as estimated by the Marine Recreational Information Program.</w:t>
      </w:r>
      <w:r>
        <w:rPr>
          <w:noProof/>
        </w:rPr>
        <w:tab/>
      </w:r>
      <w:r>
        <w:rPr>
          <w:noProof/>
        </w:rPr>
        <w:fldChar w:fldCharType="begin"/>
      </w:r>
      <w:r>
        <w:rPr>
          <w:noProof/>
        </w:rPr>
        <w:instrText xml:space="preserve"> PAGEREF _Toc340431604 \h </w:instrText>
      </w:r>
      <w:r>
        <w:rPr>
          <w:noProof/>
        </w:rPr>
      </w:r>
      <w:r>
        <w:rPr>
          <w:noProof/>
        </w:rPr>
        <w:fldChar w:fldCharType="separate"/>
      </w:r>
      <w:r>
        <w:rPr>
          <w:noProof/>
        </w:rPr>
        <w:t>93</w:t>
      </w:r>
      <w:r>
        <w:rPr>
          <w:noProof/>
        </w:rPr>
        <w:fldChar w:fldCharType="end"/>
      </w:r>
    </w:p>
    <w:p w14:paraId="19885BAE"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1D5FD4">
        <w:rPr>
          <w:rFonts w:ascii="Arial" w:hAnsi="Arial" w:cs="Arial"/>
          <w:b/>
          <w:noProof/>
        </w:rPr>
        <w:t>Figure 4.5.2.</w:t>
      </w:r>
      <w:r w:rsidRPr="001D5FD4">
        <w:rPr>
          <w:rFonts w:ascii="Arial" w:hAnsi="Arial" w:cs="Arial"/>
          <w:noProof/>
        </w:rPr>
        <w:t xml:space="preserve">  Size composition (inches total length) of recreational mutton snapper landings by area, 2010-2014. NEFL = Northeast Florida; SEFL=southeast Florida</w:t>
      </w:r>
      <w:r>
        <w:rPr>
          <w:noProof/>
        </w:rPr>
        <w:tab/>
      </w:r>
      <w:r>
        <w:rPr>
          <w:noProof/>
        </w:rPr>
        <w:fldChar w:fldCharType="begin"/>
      </w:r>
      <w:r>
        <w:rPr>
          <w:noProof/>
        </w:rPr>
        <w:instrText xml:space="preserve"> PAGEREF _Toc340431605 \h </w:instrText>
      </w:r>
      <w:r>
        <w:rPr>
          <w:noProof/>
        </w:rPr>
      </w:r>
      <w:r>
        <w:rPr>
          <w:noProof/>
        </w:rPr>
        <w:fldChar w:fldCharType="separate"/>
      </w:r>
      <w:r>
        <w:rPr>
          <w:noProof/>
        </w:rPr>
        <w:t>94</w:t>
      </w:r>
      <w:r>
        <w:rPr>
          <w:noProof/>
        </w:rPr>
        <w:fldChar w:fldCharType="end"/>
      </w:r>
    </w:p>
    <w:p w14:paraId="1F31CF3F"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1D5FD4">
        <w:rPr>
          <w:rFonts w:ascii="Arial" w:hAnsi="Arial" w:cs="Arial"/>
          <w:b/>
          <w:noProof/>
        </w:rPr>
        <w:t xml:space="preserve">Figure 4.5.3.  </w:t>
      </w:r>
      <w:r w:rsidRPr="001D5FD4">
        <w:rPr>
          <w:rFonts w:ascii="Arial" w:hAnsi="Arial" w:cs="Arial"/>
          <w:noProof/>
        </w:rPr>
        <w:t>Size composition (inches total length) of recreational mutton snapper landings in the Southeast Headboat Survey, 2010-2014.</w:t>
      </w:r>
      <w:r>
        <w:rPr>
          <w:noProof/>
        </w:rPr>
        <w:tab/>
      </w:r>
      <w:r>
        <w:rPr>
          <w:noProof/>
        </w:rPr>
        <w:fldChar w:fldCharType="begin"/>
      </w:r>
      <w:r>
        <w:rPr>
          <w:noProof/>
        </w:rPr>
        <w:instrText xml:space="preserve"> PAGEREF _Toc340431606 \h </w:instrText>
      </w:r>
      <w:r>
        <w:rPr>
          <w:noProof/>
        </w:rPr>
      </w:r>
      <w:r>
        <w:rPr>
          <w:noProof/>
        </w:rPr>
        <w:fldChar w:fldCharType="separate"/>
      </w:r>
      <w:r>
        <w:rPr>
          <w:noProof/>
        </w:rPr>
        <w:t>95</w:t>
      </w:r>
      <w:r>
        <w:rPr>
          <w:noProof/>
        </w:rPr>
        <w:fldChar w:fldCharType="end"/>
      </w:r>
    </w:p>
    <w:p w14:paraId="54E85DBB"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1D5FD4">
        <w:rPr>
          <w:rFonts w:ascii="Arial" w:hAnsi="Arial" w:cs="Arial"/>
          <w:b/>
          <w:noProof/>
        </w:rPr>
        <w:t xml:space="preserve">Figure 4.5.4. </w:t>
      </w:r>
      <w:r w:rsidRPr="001D5FD4">
        <w:rPr>
          <w:rFonts w:ascii="Arial" w:hAnsi="Arial" w:cs="Arial"/>
          <w:noProof/>
        </w:rPr>
        <w:t>South Atlantic mutton snapper total length distribution (inches total length) generated from commercial dockside intercepts (TIP data) from 2013 to 2015 (N=925 mutton snapper).</w:t>
      </w:r>
      <w:r>
        <w:rPr>
          <w:noProof/>
        </w:rPr>
        <w:tab/>
      </w:r>
      <w:r>
        <w:rPr>
          <w:noProof/>
        </w:rPr>
        <w:fldChar w:fldCharType="begin"/>
      </w:r>
      <w:r>
        <w:rPr>
          <w:noProof/>
        </w:rPr>
        <w:instrText xml:space="preserve"> PAGEREF _Toc340431607 \h </w:instrText>
      </w:r>
      <w:r>
        <w:rPr>
          <w:noProof/>
        </w:rPr>
      </w:r>
      <w:r>
        <w:rPr>
          <w:noProof/>
        </w:rPr>
        <w:fldChar w:fldCharType="separate"/>
      </w:r>
      <w:r>
        <w:rPr>
          <w:noProof/>
        </w:rPr>
        <w:t>96</w:t>
      </w:r>
      <w:r>
        <w:rPr>
          <w:noProof/>
        </w:rPr>
        <w:fldChar w:fldCharType="end"/>
      </w:r>
    </w:p>
    <w:p w14:paraId="7160B176"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1D5FD4">
        <w:rPr>
          <w:rFonts w:ascii="Arial" w:eastAsia="Calibri" w:hAnsi="Arial" w:cs="Arial"/>
          <w:b/>
          <w:noProof/>
        </w:rPr>
        <w:t>Figure 4.8.1.</w:t>
      </w:r>
      <w:r w:rsidRPr="001D5FD4">
        <w:rPr>
          <w:rFonts w:ascii="Arial" w:eastAsia="Calibri" w:hAnsi="Arial" w:cs="Arial"/>
          <w:noProof/>
        </w:rPr>
        <w:t xml:space="preserve">  Average annual South Atlantic commercial mutton snapper landings by month from 2010-2014 and 95% confidence intervals.</w:t>
      </w:r>
      <w:r>
        <w:rPr>
          <w:noProof/>
        </w:rPr>
        <w:tab/>
      </w:r>
      <w:r>
        <w:rPr>
          <w:noProof/>
        </w:rPr>
        <w:fldChar w:fldCharType="begin"/>
      </w:r>
      <w:r>
        <w:rPr>
          <w:noProof/>
        </w:rPr>
        <w:instrText xml:space="preserve"> PAGEREF _Toc340431608 \h </w:instrText>
      </w:r>
      <w:r>
        <w:rPr>
          <w:noProof/>
        </w:rPr>
      </w:r>
      <w:r>
        <w:rPr>
          <w:noProof/>
        </w:rPr>
        <w:fldChar w:fldCharType="separate"/>
      </w:r>
      <w:r>
        <w:rPr>
          <w:noProof/>
        </w:rPr>
        <w:t>111</w:t>
      </w:r>
      <w:r>
        <w:rPr>
          <w:noProof/>
        </w:rPr>
        <w:fldChar w:fldCharType="end"/>
      </w:r>
    </w:p>
    <w:p w14:paraId="2584F69A"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1D5FD4">
        <w:rPr>
          <w:rFonts w:ascii="Arial" w:eastAsia="Calibri" w:hAnsi="Arial" w:cs="Arial"/>
          <w:b/>
          <w:noProof/>
        </w:rPr>
        <w:t>Figure 4.8.2.</w:t>
      </w:r>
      <w:r w:rsidRPr="001D5FD4">
        <w:rPr>
          <w:rFonts w:ascii="Arial" w:eastAsia="Calibri" w:hAnsi="Arial" w:cs="Arial"/>
          <w:noProof/>
        </w:rPr>
        <w:t xml:space="preserve">  South Atlantic annual commercial landings (lbs ww) of mutton snapper.</w:t>
      </w:r>
      <w:r>
        <w:rPr>
          <w:noProof/>
        </w:rPr>
        <w:tab/>
      </w:r>
      <w:r>
        <w:rPr>
          <w:noProof/>
        </w:rPr>
        <w:fldChar w:fldCharType="begin"/>
      </w:r>
      <w:r>
        <w:rPr>
          <w:noProof/>
        </w:rPr>
        <w:instrText xml:space="preserve"> PAGEREF _Toc340431609 \h </w:instrText>
      </w:r>
      <w:r>
        <w:rPr>
          <w:noProof/>
        </w:rPr>
      </w:r>
      <w:r>
        <w:rPr>
          <w:noProof/>
        </w:rPr>
        <w:fldChar w:fldCharType="separate"/>
      </w:r>
      <w:r>
        <w:rPr>
          <w:noProof/>
        </w:rPr>
        <w:t>112</w:t>
      </w:r>
      <w:r>
        <w:rPr>
          <w:noProof/>
        </w:rPr>
        <w:fldChar w:fldCharType="end"/>
      </w:r>
    </w:p>
    <w:p w14:paraId="78F539CC"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1D5FD4">
        <w:rPr>
          <w:rFonts w:ascii="Arial" w:hAnsi="Arial" w:cs="Arial"/>
          <w:b/>
          <w:noProof/>
        </w:rPr>
        <w:t>Figure 4.8.3.</w:t>
      </w:r>
      <w:r w:rsidRPr="001D5FD4">
        <w:rPr>
          <w:rFonts w:ascii="Arial" w:hAnsi="Arial" w:cs="Arial"/>
          <w:noProof/>
        </w:rPr>
        <w:t xml:space="preserve"> Distribution of mutton snapper harvested per trip (lbs ww) in the South Atlantic region from the commercial logbook dataset from 2012 to </w:t>
      </w:r>
      <w:r w:rsidRPr="001D5FD4">
        <w:rPr>
          <w:rFonts w:ascii="Arial" w:hAnsi="Arial" w:cs="Arial"/>
          <w:noProof/>
        </w:rPr>
        <w:lastRenderedPageBreak/>
        <w:t>2014.  Commercial restrictions only apply to the commercial sector during May-June.</w:t>
      </w:r>
      <w:r>
        <w:rPr>
          <w:noProof/>
        </w:rPr>
        <w:tab/>
      </w:r>
      <w:r>
        <w:rPr>
          <w:noProof/>
        </w:rPr>
        <w:fldChar w:fldCharType="begin"/>
      </w:r>
      <w:r>
        <w:rPr>
          <w:noProof/>
        </w:rPr>
        <w:instrText xml:space="preserve"> PAGEREF _Toc340431610 \h </w:instrText>
      </w:r>
      <w:r>
        <w:rPr>
          <w:noProof/>
        </w:rPr>
      </w:r>
      <w:r>
        <w:rPr>
          <w:noProof/>
        </w:rPr>
        <w:fldChar w:fldCharType="separate"/>
      </w:r>
      <w:r>
        <w:rPr>
          <w:noProof/>
        </w:rPr>
        <w:t>113</w:t>
      </w:r>
      <w:r>
        <w:rPr>
          <w:noProof/>
        </w:rPr>
        <w:fldChar w:fldCharType="end"/>
      </w:r>
    </w:p>
    <w:p w14:paraId="72B74EBA" w14:textId="77777777" w:rsidR="00A82CA4" w:rsidRDefault="00A82CA4">
      <w:pPr>
        <w:pStyle w:val="TableofFigures"/>
        <w:tabs>
          <w:tab w:val="right" w:leader="dot" w:pos="8630"/>
        </w:tabs>
        <w:rPr>
          <w:rFonts w:asciiTheme="minorHAnsi" w:eastAsiaTheme="minorEastAsia" w:hAnsiTheme="minorHAnsi" w:cstheme="minorBidi"/>
          <w:noProof/>
          <w:lang w:eastAsia="ja-JP"/>
        </w:rPr>
      </w:pPr>
      <w:r w:rsidRPr="001D5FD4">
        <w:rPr>
          <w:rFonts w:ascii="Arial" w:hAnsi="Arial" w:cs="Arial"/>
          <w:b/>
          <w:noProof/>
        </w:rPr>
        <w:t>Figure 4.8.4.</w:t>
      </w:r>
      <w:r w:rsidRPr="001D5FD4">
        <w:rPr>
          <w:rFonts w:ascii="Arial" w:hAnsi="Arial"/>
          <w:b/>
          <w:noProof/>
        </w:rPr>
        <w:t xml:space="preserve"> </w:t>
      </w:r>
      <w:r w:rsidRPr="001D5FD4">
        <w:rPr>
          <w:rFonts w:ascii="Arial" w:hAnsi="Arial" w:cs="Arial"/>
          <w:noProof/>
        </w:rPr>
        <w:t xml:space="preserve"> Distribution of the numbers of mutton snapper harvested per person per day (A) and per vessel per day (B) in the South Atlantic region during May and June.  Data are from the commercial logbook dataset from 2012 through 2014 (n = 1,411 trips).</w:t>
      </w:r>
      <w:r>
        <w:rPr>
          <w:noProof/>
        </w:rPr>
        <w:tab/>
      </w:r>
      <w:r>
        <w:rPr>
          <w:noProof/>
        </w:rPr>
        <w:fldChar w:fldCharType="begin"/>
      </w:r>
      <w:r>
        <w:rPr>
          <w:noProof/>
        </w:rPr>
        <w:instrText xml:space="preserve"> PAGEREF _Toc340431611 \h </w:instrText>
      </w:r>
      <w:r>
        <w:rPr>
          <w:noProof/>
        </w:rPr>
      </w:r>
      <w:r>
        <w:rPr>
          <w:noProof/>
        </w:rPr>
        <w:fldChar w:fldCharType="separate"/>
      </w:r>
      <w:r>
        <w:rPr>
          <w:noProof/>
        </w:rPr>
        <w:t>115</w:t>
      </w:r>
      <w:r>
        <w:rPr>
          <w:noProof/>
        </w:rPr>
        <w:fldChar w:fldCharType="end"/>
      </w:r>
    </w:p>
    <w:p w14:paraId="71668096" w14:textId="77777777" w:rsidR="004B2D0B" w:rsidRDefault="005C4AEE" w:rsidP="00D71AB1">
      <w:pPr>
        <w:rPr>
          <w:rFonts w:ascii="Arial" w:hAnsi="Arial" w:cs="Arial"/>
          <w:b/>
          <w:bCs/>
          <w:noProof/>
          <w:sz w:val="22"/>
          <w:szCs w:val="22"/>
        </w:rPr>
        <w:sectPr w:rsidR="004B2D0B" w:rsidSect="0038545E">
          <w:footerReference w:type="default" r:id="rId25"/>
          <w:pgSz w:w="12240" w:h="15840" w:code="1"/>
          <w:pgMar w:top="1440" w:right="1800" w:bottom="1440" w:left="1800" w:header="720" w:footer="720" w:gutter="0"/>
          <w:pgNumType w:fmt="upperRoman"/>
          <w:cols w:space="720"/>
          <w:docGrid w:linePitch="360"/>
        </w:sectPr>
      </w:pPr>
      <w:r w:rsidRPr="00350583">
        <w:rPr>
          <w:rFonts w:ascii="Arial" w:hAnsi="Arial" w:cs="Arial"/>
          <w:b/>
          <w:bCs/>
          <w:noProof/>
          <w:sz w:val="22"/>
          <w:szCs w:val="22"/>
        </w:rPr>
        <w:fldChar w:fldCharType="end"/>
      </w:r>
    </w:p>
    <w:p w14:paraId="045FF933" w14:textId="77777777" w:rsidR="004B2D0B" w:rsidRPr="006253B9" w:rsidRDefault="004B2D0B" w:rsidP="004B2D0B">
      <w:pPr>
        <w:pStyle w:val="Heading1"/>
        <w:jc w:val="center"/>
        <w:rPr>
          <w:rFonts w:ascii="Times New Roman" w:hAnsi="Times New Roman" w:cs="Times New Roman"/>
          <w:noProof/>
          <w:color w:val="4F81BD" w:themeColor="accent1"/>
          <w:sz w:val="56"/>
          <w:szCs w:val="56"/>
        </w:rPr>
      </w:pPr>
      <w:bookmarkStart w:id="30" w:name="_Toc339811689"/>
      <w:r w:rsidRPr="006253B9">
        <w:rPr>
          <w:rFonts w:ascii="Times New Roman" w:hAnsi="Times New Roman" w:cs="Times New Roman"/>
          <w:noProof/>
          <w:color w:val="4F81BD" w:themeColor="accent1"/>
          <w:sz w:val="56"/>
          <w:szCs w:val="56"/>
        </w:rPr>
        <w:lastRenderedPageBreak/>
        <w:t>Summary</w:t>
      </w:r>
      <w:bookmarkEnd w:id="30"/>
    </w:p>
    <w:p w14:paraId="70E7D2FF" w14:textId="77777777" w:rsidR="004B2D0B" w:rsidRPr="00B95EF2" w:rsidRDefault="004B2D0B" w:rsidP="00B95EF2"/>
    <w:p w14:paraId="089666B1" w14:textId="77777777" w:rsidR="004B2D0B" w:rsidRPr="004B2D0B" w:rsidRDefault="004B2D0B" w:rsidP="004B2D0B">
      <w:pPr>
        <w:rPr>
          <w:b/>
        </w:rPr>
      </w:pPr>
    </w:p>
    <w:p w14:paraId="739E4D82" w14:textId="77777777" w:rsidR="00762B22" w:rsidRPr="00347A1C" w:rsidRDefault="00762B22" w:rsidP="00762B22">
      <w:pPr>
        <w:rPr>
          <w:b/>
          <w:color w:val="548DD4" w:themeColor="text2" w:themeTint="99"/>
          <w:sz w:val="40"/>
          <w:szCs w:val="40"/>
        </w:rPr>
      </w:pPr>
      <w:r w:rsidRPr="00347A1C">
        <w:rPr>
          <w:b/>
          <w:color w:val="548DD4" w:themeColor="text2" w:themeTint="99"/>
          <w:sz w:val="40"/>
          <w:szCs w:val="40"/>
        </w:rPr>
        <w:t>Why is the South Atlantic Council considering action?</w:t>
      </w:r>
    </w:p>
    <w:p w14:paraId="1B1063DF" w14:textId="77777777" w:rsidR="00762B22" w:rsidRDefault="00762B22" w:rsidP="00762B22">
      <w:pPr>
        <w:ind w:firstLine="360"/>
        <w:rPr>
          <w:color w:val="000000"/>
        </w:rPr>
      </w:pPr>
    </w:p>
    <w:p w14:paraId="5ED42E5D" w14:textId="156D09EC" w:rsidR="00762B22" w:rsidRDefault="00762B22" w:rsidP="00762B22">
      <w:pPr>
        <w:ind w:firstLine="360"/>
      </w:pPr>
      <w:r>
        <w:rPr>
          <w:color w:val="000000"/>
        </w:rPr>
        <w:t xml:space="preserve">In 2012, </w:t>
      </w:r>
      <w:r>
        <w:t>t</w:t>
      </w:r>
      <w:r w:rsidRPr="00CC4CCC">
        <w:t>he Comprehensive A</w:t>
      </w:r>
      <w:r>
        <w:t xml:space="preserve">nnual </w:t>
      </w:r>
      <w:r w:rsidRPr="00CC4CCC">
        <w:t>C</w:t>
      </w:r>
      <w:r>
        <w:t xml:space="preserve">atch </w:t>
      </w:r>
      <w:r w:rsidRPr="00CC4CCC">
        <w:t>L</w:t>
      </w:r>
      <w:r>
        <w:t>imits (ACL)</w:t>
      </w:r>
      <w:r w:rsidRPr="00CC4CCC">
        <w:t xml:space="preserve"> Amendment (SAFMC 2011</w:t>
      </w:r>
      <w:r w:rsidR="00F513C4">
        <w:t>c</w:t>
      </w:r>
      <w:r w:rsidRPr="00CC4CCC">
        <w:t xml:space="preserve">) </w:t>
      </w:r>
      <w:r>
        <w:t xml:space="preserve">allocated the mutton snapper Acceptable Biological Catch (ABC) between the South Atlantic and Gulf of Mexico Councils </w:t>
      </w:r>
      <w:r w:rsidRPr="00C520E2">
        <w:t>based on the Florida Keys (Monroe County) jurisdictional boundary</w:t>
      </w:r>
      <w:r>
        <w:t xml:space="preserve">.  The </w:t>
      </w:r>
      <w:r w:rsidRPr="00C520E2">
        <w:t xml:space="preserve">South Atlantic </w:t>
      </w:r>
      <w:r>
        <w:t>Council received 82% of the ABC</w:t>
      </w:r>
      <w:r w:rsidRPr="00C520E2">
        <w:t xml:space="preserve"> and </w:t>
      </w:r>
      <w:r>
        <w:t>the Gulf Council received 18% of the ABC (established</w:t>
      </w:r>
      <w:r w:rsidRPr="00C520E2">
        <w:t xml:space="preserve"> using 50% of average landings from 1990-2008 + 50% of average landings from 2006-2008).</w:t>
      </w:r>
      <w:r>
        <w:t xml:space="preserve">  The following parameters (pounds whole weight; lbs ww) were implemented for mutton snapper in the South Atlantic through the Comprehensive ACL Amendment:</w:t>
      </w:r>
    </w:p>
    <w:p w14:paraId="0D038326" w14:textId="77777777" w:rsidR="00762B22" w:rsidRDefault="00762B22" w:rsidP="00762B22">
      <w:pPr>
        <w:ind w:firstLine="360"/>
      </w:pPr>
    </w:p>
    <w:tbl>
      <w:tblPr>
        <w:tblStyle w:val="TableGrid"/>
        <w:tblW w:w="0" w:type="auto"/>
        <w:tblLook w:val="04A0" w:firstRow="1" w:lastRow="0" w:firstColumn="1" w:lastColumn="0" w:noHBand="0" w:noVBand="1"/>
      </w:tblPr>
      <w:tblGrid>
        <w:gridCol w:w="4202"/>
        <w:gridCol w:w="1176"/>
      </w:tblGrid>
      <w:tr w:rsidR="00762B22" w:rsidRPr="00347A1C" w14:paraId="1ED67342" w14:textId="77777777" w:rsidTr="00762B22">
        <w:tc>
          <w:tcPr>
            <w:tcW w:w="0" w:type="auto"/>
            <w:shd w:val="clear" w:color="auto" w:fill="D9D9D9" w:themeFill="background1" w:themeFillShade="D9"/>
          </w:tcPr>
          <w:p w14:paraId="5ACB08B8" w14:textId="77777777" w:rsidR="00762B22" w:rsidRPr="00347A1C" w:rsidRDefault="00762B22" w:rsidP="00762B22">
            <w:pPr>
              <w:rPr>
                <w:b/>
              </w:rPr>
            </w:pPr>
            <w:r w:rsidRPr="00347A1C">
              <w:rPr>
                <w:b/>
              </w:rPr>
              <w:t>Parameter</w:t>
            </w:r>
          </w:p>
        </w:tc>
        <w:tc>
          <w:tcPr>
            <w:tcW w:w="0" w:type="auto"/>
            <w:shd w:val="clear" w:color="auto" w:fill="D9D9D9" w:themeFill="background1" w:themeFillShade="D9"/>
          </w:tcPr>
          <w:p w14:paraId="3A1A525C" w14:textId="77777777" w:rsidR="00762B22" w:rsidRPr="00347A1C" w:rsidRDefault="00762B22" w:rsidP="00762B22">
            <w:pPr>
              <w:rPr>
                <w:b/>
              </w:rPr>
            </w:pPr>
            <w:r w:rsidRPr="00347A1C">
              <w:rPr>
                <w:b/>
              </w:rPr>
              <w:t>Value</w:t>
            </w:r>
          </w:p>
        </w:tc>
      </w:tr>
      <w:tr w:rsidR="00762B22" w14:paraId="2FCBC622" w14:textId="77777777" w:rsidTr="00762B22">
        <w:tc>
          <w:tcPr>
            <w:tcW w:w="0" w:type="auto"/>
          </w:tcPr>
          <w:p w14:paraId="24106AAB" w14:textId="77777777" w:rsidR="00762B22" w:rsidRDefault="00762B22" w:rsidP="00762B22">
            <w:r>
              <w:t>Overfishing Limit (OFL)</w:t>
            </w:r>
          </w:p>
        </w:tc>
        <w:tc>
          <w:tcPr>
            <w:tcW w:w="0" w:type="auto"/>
          </w:tcPr>
          <w:p w14:paraId="24D8E4BC" w14:textId="77777777" w:rsidR="00762B22" w:rsidRDefault="00762B22" w:rsidP="00762B22">
            <w:r>
              <w:t>1,515,300</w:t>
            </w:r>
          </w:p>
        </w:tc>
      </w:tr>
      <w:tr w:rsidR="00762B22" w14:paraId="05D53026" w14:textId="77777777" w:rsidTr="00762B22">
        <w:tc>
          <w:tcPr>
            <w:tcW w:w="0" w:type="auto"/>
          </w:tcPr>
          <w:p w14:paraId="377CC4EB" w14:textId="77777777" w:rsidR="00762B22" w:rsidRDefault="00762B22" w:rsidP="00762B22">
            <w:r>
              <w:t>Acceptable Biological Catch (ABC)</w:t>
            </w:r>
          </w:p>
        </w:tc>
        <w:tc>
          <w:tcPr>
            <w:tcW w:w="0" w:type="auto"/>
          </w:tcPr>
          <w:p w14:paraId="489B388C" w14:textId="77777777" w:rsidR="00762B22" w:rsidRDefault="00762B22" w:rsidP="00762B22">
            <w:r>
              <w:t>926,600</w:t>
            </w:r>
          </w:p>
        </w:tc>
      </w:tr>
      <w:tr w:rsidR="00762B22" w14:paraId="51825C6C" w14:textId="77777777" w:rsidTr="00762B22">
        <w:tc>
          <w:tcPr>
            <w:tcW w:w="0" w:type="auto"/>
          </w:tcPr>
          <w:p w14:paraId="5EA4DAC0" w14:textId="77777777" w:rsidR="00762B22" w:rsidRDefault="00762B22" w:rsidP="00762B22">
            <w:r>
              <w:t>Annual Catch Limit (ACL)</w:t>
            </w:r>
          </w:p>
        </w:tc>
        <w:tc>
          <w:tcPr>
            <w:tcW w:w="0" w:type="auto"/>
          </w:tcPr>
          <w:p w14:paraId="7568D362" w14:textId="77777777" w:rsidR="00762B22" w:rsidRDefault="00762B22" w:rsidP="00762B22">
            <w:r>
              <w:t>926,600</w:t>
            </w:r>
          </w:p>
        </w:tc>
      </w:tr>
      <w:tr w:rsidR="00762B22" w14:paraId="493C309D" w14:textId="77777777" w:rsidTr="00762B22">
        <w:tc>
          <w:tcPr>
            <w:tcW w:w="0" w:type="auto"/>
          </w:tcPr>
          <w:p w14:paraId="112084F6" w14:textId="77777777" w:rsidR="00762B22" w:rsidRDefault="00762B22" w:rsidP="00762B22">
            <w:r>
              <w:t>Commercial ACL</w:t>
            </w:r>
          </w:p>
        </w:tc>
        <w:tc>
          <w:tcPr>
            <w:tcW w:w="0" w:type="auto"/>
          </w:tcPr>
          <w:p w14:paraId="27999029" w14:textId="77777777" w:rsidR="00762B22" w:rsidRDefault="00762B22" w:rsidP="00762B22">
            <w:r>
              <w:t>157,707</w:t>
            </w:r>
          </w:p>
        </w:tc>
      </w:tr>
      <w:tr w:rsidR="00762B22" w14:paraId="68FBB3C2" w14:textId="77777777" w:rsidTr="00762B22">
        <w:tc>
          <w:tcPr>
            <w:tcW w:w="0" w:type="auto"/>
          </w:tcPr>
          <w:p w14:paraId="2521C7F6" w14:textId="77777777" w:rsidR="00762B22" w:rsidRDefault="00762B22" w:rsidP="00762B22">
            <w:r>
              <w:t>Recreational ACL</w:t>
            </w:r>
          </w:p>
        </w:tc>
        <w:tc>
          <w:tcPr>
            <w:tcW w:w="0" w:type="auto"/>
          </w:tcPr>
          <w:p w14:paraId="1C00E270" w14:textId="77777777" w:rsidR="00762B22" w:rsidRDefault="00762B22" w:rsidP="00762B22">
            <w:r>
              <w:t>768,893</w:t>
            </w:r>
          </w:p>
        </w:tc>
      </w:tr>
      <w:tr w:rsidR="00762B22" w14:paraId="43C5BA83" w14:textId="77777777" w:rsidTr="00762B22">
        <w:tc>
          <w:tcPr>
            <w:tcW w:w="0" w:type="auto"/>
          </w:tcPr>
          <w:p w14:paraId="1B2C07D9" w14:textId="77777777" w:rsidR="00762B22" w:rsidRDefault="00762B22" w:rsidP="00762B22">
            <w:r>
              <w:t>Recreational Annual Catch Target (ACT)</w:t>
            </w:r>
          </w:p>
        </w:tc>
        <w:tc>
          <w:tcPr>
            <w:tcW w:w="0" w:type="auto"/>
          </w:tcPr>
          <w:p w14:paraId="0335D8AB" w14:textId="77777777" w:rsidR="00762B22" w:rsidRDefault="00762B22" w:rsidP="00762B22">
            <w:r>
              <w:t>668,937</w:t>
            </w:r>
          </w:p>
        </w:tc>
      </w:tr>
    </w:tbl>
    <w:p w14:paraId="788B41E8" w14:textId="77777777" w:rsidR="00762B22" w:rsidRDefault="00762B22" w:rsidP="00762B22"/>
    <w:p w14:paraId="13911BBF" w14:textId="77777777" w:rsidR="00762B22" w:rsidRDefault="00762B22" w:rsidP="00762B22">
      <w:pPr>
        <w:rPr>
          <w:i/>
        </w:rPr>
      </w:pPr>
      <w:r w:rsidRPr="00056789">
        <w:t>The current commercial ACL is 157,743 lbs ww</w:t>
      </w:r>
      <w:r>
        <w:t xml:space="preserve"> and the recreational ACL </w:t>
      </w:r>
      <w:r w:rsidRPr="00056789">
        <w:t>is 768,857 lbs ww</w:t>
      </w:r>
      <w:r>
        <w:t xml:space="preserve"> </w:t>
      </w:r>
      <w:r w:rsidRPr="00322985">
        <w:rPr>
          <w:i/>
        </w:rPr>
        <w:t>(NOTE: The commercial allocation in the Comp ACL was 17.02% and the recreational allocation was 82.98%.  However the ACLs that were implemented were calculated using this allocation to 6 decimal places instead of 2).</w:t>
      </w:r>
    </w:p>
    <w:p w14:paraId="40E224EF" w14:textId="77777777" w:rsidR="00762B22" w:rsidRPr="00006826" w:rsidRDefault="00762B22" w:rsidP="00762B22">
      <w:pPr>
        <w:ind w:firstLine="360"/>
      </w:pPr>
    </w:p>
    <w:p w14:paraId="3EAFC7A8" w14:textId="77777777" w:rsidR="00762B22" w:rsidRDefault="00762B22" w:rsidP="00762B22">
      <w:pPr>
        <w:ind w:firstLine="360"/>
        <w:rPr>
          <w:szCs w:val="28"/>
        </w:rPr>
      </w:pPr>
      <w:r>
        <w:t xml:space="preserve">  </w:t>
      </w:r>
      <w:r>
        <w:rPr>
          <w:szCs w:val="28"/>
        </w:rPr>
        <w:t xml:space="preserve"> In 2015, a</w:t>
      </w:r>
      <w:r w:rsidRPr="00412ED8">
        <w:rPr>
          <w:szCs w:val="28"/>
        </w:rPr>
        <w:t xml:space="preserve">n update to the stock assessment for mutton snapper in the southeastern U.S. </w:t>
      </w:r>
      <w:r>
        <w:rPr>
          <w:szCs w:val="28"/>
        </w:rPr>
        <w:t xml:space="preserve">was conducted </w:t>
      </w:r>
      <w:r w:rsidRPr="00412ED8">
        <w:rPr>
          <w:szCs w:val="28"/>
        </w:rPr>
        <w:t>with data through 2013</w:t>
      </w:r>
      <w:r>
        <w:rPr>
          <w:szCs w:val="28"/>
        </w:rPr>
        <w:t xml:space="preserve"> </w:t>
      </w:r>
      <w:r w:rsidRPr="00412ED8">
        <w:rPr>
          <w:szCs w:val="28"/>
        </w:rPr>
        <w:t>(SEDAR 15A Upd</w:t>
      </w:r>
      <w:r>
        <w:rPr>
          <w:szCs w:val="28"/>
        </w:rPr>
        <w:t>ate 2015)</w:t>
      </w:r>
      <w:r w:rsidRPr="00412ED8">
        <w:rPr>
          <w:szCs w:val="28"/>
        </w:rPr>
        <w:t>.</w:t>
      </w:r>
      <w:r>
        <w:rPr>
          <w:szCs w:val="28"/>
        </w:rPr>
        <w:t xml:space="preserve">  The South Atlantic Council needs to take action to implement biological benchmarks and fishing levels recommended by the latest stock assessment update </w:t>
      </w:r>
      <w:r w:rsidRPr="00412ED8">
        <w:t>(SEDAR 15A Update 2015).</w:t>
      </w:r>
      <w:r>
        <w:rPr>
          <w:szCs w:val="28"/>
        </w:rPr>
        <w:t xml:space="preserve">  However,</w:t>
      </w:r>
      <w:r w:rsidRPr="00F40394">
        <w:rPr>
          <w:szCs w:val="28"/>
        </w:rPr>
        <w:t xml:space="preserve"> </w:t>
      </w:r>
      <w:r w:rsidRPr="003023A6">
        <w:rPr>
          <w:b/>
          <w:szCs w:val="28"/>
        </w:rPr>
        <w:t>based on improvements to the modeling approach, the 2015 assessment estimated a smaller adult population compared to the 2008 assessment.  Because of this finding the ass</w:t>
      </w:r>
      <w:r>
        <w:rPr>
          <w:b/>
          <w:szCs w:val="28"/>
        </w:rPr>
        <w:t xml:space="preserve">essment recommends a lower ABC </w:t>
      </w:r>
      <w:r w:rsidRPr="003023A6">
        <w:rPr>
          <w:b/>
          <w:szCs w:val="28"/>
        </w:rPr>
        <w:t xml:space="preserve">to maintain sustainable harvest. </w:t>
      </w:r>
      <w:r w:rsidRPr="00F40394">
        <w:rPr>
          <w:szCs w:val="28"/>
        </w:rPr>
        <w:t xml:space="preserve"> </w:t>
      </w:r>
      <w:r>
        <w:rPr>
          <w:szCs w:val="28"/>
        </w:rPr>
        <w:t>Consequently, the Council may modify existing management measures for mutton snapper to achieve the desired level of harvest.</w:t>
      </w:r>
    </w:p>
    <w:p w14:paraId="089720DB" w14:textId="5FE1C70E" w:rsidR="004B2D0B" w:rsidRDefault="004B2D0B" w:rsidP="00193E42">
      <w:pPr>
        <w:ind w:firstLine="360"/>
        <w:rPr>
          <w:szCs w:val="28"/>
        </w:rPr>
      </w:pPr>
    </w:p>
    <w:p w14:paraId="38F985D8" w14:textId="77777777" w:rsidR="00193E42" w:rsidRDefault="00193E42" w:rsidP="00193E42">
      <w:pPr>
        <w:ind w:firstLine="360"/>
        <w:rPr>
          <w:szCs w:val="28"/>
        </w:rPr>
      </w:pPr>
    </w:p>
    <w:p w14:paraId="4CC06C99" w14:textId="77777777" w:rsidR="00110CD9" w:rsidRDefault="00110CD9">
      <w:pPr>
        <w:rPr>
          <w:color w:val="000000"/>
        </w:rPr>
      </w:pPr>
      <w:r>
        <w:rPr>
          <w:color w:val="000000"/>
        </w:rPr>
        <w:br w:type="page"/>
      </w:r>
    </w:p>
    <w:p w14:paraId="0E11E9CF" w14:textId="7DE0B350" w:rsidR="0069557F" w:rsidRPr="009E03CE" w:rsidRDefault="003A1241" w:rsidP="009E03CE">
      <w:pPr>
        <w:rPr>
          <w:b/>
          <w:iCs/>
          <w:noProof/>
          <w:color w:val="4F81BD" w:themeColor="accent1"/>
          <w:sz w:val="40"/>
          <w:szCs w:val="40"/>
        </w:rPr>
      </w:pPr>
      <w:bookmarkStart w:id="31" w:name="_Toc328123646"/>
      <w:r w:rsidRPr="009E03CE">
        <w:rPr>
          <w:b/>
          <w:color w:val="4F81BD" w:themeColor="accent1"/>
          <w:sz w:val="40"/>
          <w:szCs w:val="40"/>
        </w:rPr>
        <w:lastRenderedPageBreak/>
        <w:t>What actions are being proposed in this a</w:t>
      </w:r>
      <w:r w:rsidR="0069557F" w:rsidRPr="009E03CE">
        <w:rPr>
          <w:b/>
          <w:color w:val="4F81BD" w:themeColor="accent1"/>
          <w:sz w:val="40"/>
          <w:szCs w:val="40"/>
        </w:rPr>
        <w:t>mendment?</w:t>
      </w:r>
      <w:r w:rsidR="0069557F" w:rsidRPr="009E03CE">
        <w:rPr>
          <w:b/>
          <w:noProof/>
          <w:color w:val="4F81BD" w:themeColor="accent1"/>
          <w:sz w:val="40"/>
          <w:szCs w:val="40"/>
        </w:rPr>
        <w:t xml:space="preserve"> </w:t>
      </w:r>
    </w:p>
    <w:bookmarkEnd w:id="31"/>
    <w:p w14:paraId="60436E9B" w14:textId="77777777" w:rsidR="0069557F" w:rsidRPr="00347A1C" w:rsidRDefault="0069557F" w:rsidP="0069557F"/>
    <w:p w14:paraId="15F72A4B" w14:textId="77777777" w:rsidR="0069557F" w:rsidRDefault="0069557F" w:rsidP="0069557F">
      <w:pPr>
        <w:numPr>
          <w:ilvl w:val="12"/>
          <w:numId w:val="0"/>
        </w:numPr>
        <w:ind w:firstLine="180"/>
        <w:contextualSpacing/>
        <w:rPr>
          <w:rFonts w:eastAsiaTheme="minorHAnsi"/>
          <w:color w:val="000000"/>
        </w:rPr>
      </w:pPr>
      <w:r w:rsidRPr="00EB1832">
        <w:rPr>
          <w:rFonts w:eastAsiaTheme="minorHAnsi"/>
          <w:color w:val="000000"/>
        </w:rPr>
        <w:t xml:space="preserve">Amendment 41 to the Fishery Management Plan for the Snapper Grouper Fishery of the South Atlantic Region (Snapper Grouper FMP) proposes </w:t>
      </w:r>
      <w:r>
        <w:rPr>
          <w:rFonts w:eastAsiaTheme="minorHAnsi"/>
          <w:color w:val="000000"/>
        </w:rPr>
        <w:t>the following 8 actions for mutton snapper in the South Atlantic Region:</w:t>
      </w:r>
    </w:p>
    <w:p w14:paraId="461E4DFF" w14:textId="77777777" w:rsidR="0069557F" w:rsidRDefault="0069557F" w:rsidP="0069557F">
      <w:pPr>
        <w:numPr>
          <w:ilvl w:val="12"/>
          <w:numId w:val="0"/>
        </w:numPr>
        <w:ind w:firstLine="180"/>
        <w:contextualSpacing/>
        <w:rPr>
          <w:rFonts w:eastAsiaTheme="minorHAnsi"/>
          <w:color w:val="000000"/>
        </w:rPr>
      </w:pPr>
    </w:p>
    <w:p w14:paraId="13A305CF" w14:textId="77777777" w:rsidR="0069557F" w:rsidRPr="008A5A12" w:rsidRDefault="0069557F" w:rsidP="0069557F">
      <w:pPr>
        <w:pStyle w:val="ListParagraph"/>
        <w:numPr>
          <w:ilvl w:val="0"/>
          <w:numId w:val="33"/>
        </w:numPr>
        <w:spacing w:after="0"/>
        <w:rPr>
          <w:rFonts w:ascii="Times New Roman" w:eastAsiaTheme="minorHAnsi" w:hAnsi="Times New Roman"/>
          <w:b/>
          <w:color w:val="000000"/>
          <w:sz w:val="28"/>
          <w:szCs w:val="24"/>
        </w:rPr>
      </w:pPr>
      <w:r w:rsidRPr="008A5A12">
        <w:rPr>
          <w:rFonts w:ascii="Times New Roman" w:eastAsiaTheme="minorHAnsi" w:hAnsi="Times New Roman"/>
          <w:b/>
          <w:color w:val="000000"/>
          <w:sz w:val="28"/>
          <w:szCs w:val="24"/>
        </w:rPr>
        <w:t xml:space="preserve">Specify maximum sustainable yield (MSY) </w:t>
      </w:r>
    </w:p>
    <w:p w14:paraId="70228554" w14:textId="77777777" w:rsidR="0069557F" w:rsidRPr="00867C0C" w:rsidRDefault="0069557F" w:rsidP="0069557F">
      <w:pPr>
        <w:spacing w:after="120"/>
        <w:ind w:left="1267"/>
        <w:rPr>
          <w:rFonts w:eastAsiaTheme="minorHAnsi"/>
          <w:color w:val="000000"/>
        </w:rPr>
      </w:pPr>
      <w:r>
        <w:rPr>
          <w:rFonts w:eastAsiaTheme="minorHAnsi"/>
          <w:b/>
          <w:color w:val="000000"/>
        </w:rPr>
        <w:t xml:space="preserve">Currently: </w:t>
      </w:r>
      <w:r w:rsidRPr="00867C0C">
        <w:rPr>
          <w:rFonts w:eastAsiaTheme="minorHAnsi"/>
          <w:color w:val="000000"/>
        </w:rPr>
        <w:t>not specified</w:t>
      </w:r>
    </w:p>
    <w:p w14:paraId="7761CB04" w14:textId="77777777" w:rsidR="0069557F" w:rsidRDefault="0069557F" w:rsidP="0069557F">
      <w:pPr>
        <w:ind w:left="1260"/>
      </w:pPr>
      <w:r w:rsidRPr="00867C0C">
        <w:rPr>
          <w:rFonts w:eastAsiaTheme="minorHAnsi"/>
          <w:b/>
          <w:color w:val="000000"/>
        </w:rPr>
        <w:t>Preferred Alternative 2</w:t>
      </w:r>
      <w:r>
        <w:rPr>
          <w:rFonts w:eastAsiaTheme="minorHAnsi"/>
          <w:color w:val="000000"/>
        </w:rPr>
        <w:t xml:space="preserve">.  </w:t>
      </w:r>
      <w:r w:rsidRPr="00867C0C">
        <w:t>912,500 pounds whole w</w:t>
      </w:r>
      <w:r>
        <w:t>eight (lbs ww</w:t>
      </w:r>
      <w:r w:rsidRPr="00867C0C">
        <w:t>)</w:t>
      </w:r>
    </w:p>
    <w:p w14:paraId="7DB6610B" w14:textId="77777777" w:rsidR="0069557F" w:rsidRPr="00867C0C" w:rsidRDefault="0069557F" w:rsidP="0069557F">
      <w:pPr>
        <w:ind w:left="1260"/>
        <w:rPr>
          <w:rFonts w:eastAsiaTheme="minorHAnsi"/>
          <w:color w:val="000000"/>
        </w:rPr>
      </w:pPr>
    </w:p>
    <w:p w14:paraId="58B5E84B" w14:textId="77777777" w:rsidR="0069557F" w:rsidRPr="008A5A12" w:rsidRDefault="0069557F" w:rsidP="0069557F">
      <w:pPr>
        <w:pStyle w:val="ListParagraph"/>
        <w:numPr>
          <w:ilvl w:val="0"/>
          <w:numId w:val="33"/>
        </w:numPr>
        <w:spacing w:after="0"/>
        <w:rPr>
          <w:rFonts w:ascii="Times New Roman" w:eastAsiaTheme="minorHAnsi" w:hAnsi="Times New Roman"/>
          <w:color w:val="000000"/>
          <w:sz w:val="28"/>
          <w:szCs w:val="24"/>
        </w:rPr>
      </w:pPr>
      <w:r w:rsidRPr="008A5A12">
        <w:rPr>
          <w:rFonts w:ascii="Times New Roman" w:eastAsiaTheme="minorHAnsi" w:hAnsi="Times New Roman"/>
          <w:b/>
          <w:color w:val="000000"/>
          <w:sz w:val="28"/>
          <w:szCs w:val="24"/>
        </w:rPr>
        <w:t>Specify minimum stock size threshold (MSST)</w:t>
      </w:r>
      <w:r w:rsidRPr="008A5A12">
        <w:rPr>
          <w:rFonts w:ascii="Times New Roman" w:eastAsiaTheme="minorHAnsi" w:hAnsi="Times New Roman"/>
          <w:color w:val="000000"/>
          <w:sz w:val="28"/>
          <w:szCs w:val="24"/>
        </w:rPr>
        <w:t xml:space="preserve"> </w:t>
      </w:r>
    </w:p>
    <w:p w14:paraId="559D647B" w14:textId="77777777" w:rsidR="0069557F" w:rsidRPr="00867C0C" w:rsidRDefault="0069557F" w:rsidP="0069557F">
      <w:pPr>
        <w:spacing w:after="120"/>
        <w:ind w:left="1267"/>
        <w:rPr>
          <w:rFonts w:eastAsiaTheme="minorHAnsi"/>
          <w:color w:val="000000"/>
        </w:rPr>
      </w:pPr>
      <w:r w:rsidRPr="00867C0C">
        <w:rPr>
          <w:rFonts w:eastAsiaTheme="minorHAnsi"/>
          <w:b/>
          <w:color w:val="000000"/>
        </w:rPr>
        <w:t xml:space="preserve">Currently: </w:t>
      </w:r>
      <w:r w:rsidRPr="00867C0C">
        <w:rPr>
          <w:rFonts w:eastAsiaTheme="minorHAnsi"/>
          <w:color w:val="000000"/>
        </w:rPr>
        <w:t>not specified</w:t>
      </w:r>
    </w:p>
    <w:p w14:paraId="1224975B" w14:textId="77777777" w:rsidR="0069557F" w:rsidRDefault="0069557F" w:rsidP="0069557F">
      <w:pPr>
        <w:ind w:left="1260"/>
        <w:rPr>
          <w:rFonts w:eastAsiaTheme="minorHAnsi"/>
          <w:color w:val="000000"/>
        </w:rPr>
      </w:pPr>
      <w:r w:rsidRPr="00867C0C">
        <w:rPr>
          <w:rFonts w:eastAsiaTheme="minorHAnsi"/>
          <w:b/>
          <w:color w:val="000000"/>
        </w:rPr>
        <w:t>Preferred Alternative 3</w:t>
      </w:r>
      <w:r>
        <w:rPr>
          <w:rFonts w:eastAsiaTheme="minorHAnsi"/>
          <w:color w:val="000000"/>
        </w:rPr>
        <w:t xml:space="preserve">.  </w:t>
      </w:r>
      <w:r w:rsidRPr="00867C0C">
        <w:rPr>
          <w:rFonts w:eastAsiaTheme="minorHAnsi"/>
          <w:color w:val="000000"/>
        </w:rPr>
        <w:t>MSST = 75% SSB</w:t>
      </w:r>
      <w:r w:rsidRPr="00867C0C">
        <w:rPr>
          <w:rFonts w:eastAsiaTheme="minorHAnsi"/>
          <w:color w:val="000000"/>
          <w:vertAlign w:val="subscript"/>
        </w:rPr>
        <w:t>MSY</w:t>
      </w:r>
      <w:r w:rsidRPr="00867C0C">
        <w:rPr>
          <w:rFonts w:eastAsiaTheme="minorHAnsi"/>
          <w:color w:val="000000"/>
        </w:rPr>
        <w:t xml:space="preserve"> = 3,486,900</w:t>
      </w:r>
      <w:r>
        <w:rPr>
          <w:rFonts w:eastAsiaTheme="minorHAnsi"/>
          <w:color w:val="000000"/>
        </w:rPr>
        <w:t xml:space="preserve"> lbs ww</w:t>
      </w:r>
      <w:r w:rsidRPr="00867C0C">
        <w:rPr>
          <w:rFonts w:eastAsiaTheme="minorHAnsi"/>
          <w:color w:val="000000"/>
        </w:rPr>
        <w:t xml:space="preserve"> </w:t>
      </w:r>
    </w:p>
    <w:p w14:paraId="20CF3B47" w14:textId="77777777" w:rsidR="0069557F" w:rsidRPr="00867C0C" w:rsidRDefault="0069557F" w:rsidP="0069557F">
      <w:pPr>
        <w:ind w:left="1260"/>
        <w:rPr>
          <w:rFonts w:eastAsiaTheme="minorHAnsi"/>
          <w:color w:val="000000"/>
        </w:rPr>
      </w:pPr>
    </w:p>
    <w:p w14:paraId="4921D5A1" w14:textId="77777777" w:rsidR="0069557F" w:rsidRPr="008A5A12" w:rsidRDefault="0069557F" w:rsidP="0069557F">
      <w:pPr>
        <w:pStyle w:val="ListParagraph"/>
        <w:numPr>
          <w:ilvl w:val="0"/>
          <w:numId w:val="33"/>
        </w:numPr>
        <w:spacing w:after="0"/>
        <w:rPr>
          <w:rFonts w:ascii="Times New Roman" w:eastAsiaTheme="minorHAnsi" w:hAnsi="Times New Roman"/>
          <w:color w:val="000000"/>
          <w:sz w:val="28"/>
          <w:szCs w:val="24"/>
        </w:rPr>
      </w:pPr>
      <w:r w:rsidRPr="008A5A12">
        <w:rPr>
          <w:rFonts w:ascii="Times New Roman" w:eastAsiaTheme="minorHAnsi" w:hAnsi="Times New Roman"/>
          <w:b/>
          <w:color w:val="000000"/>
          <w:sz w:val="28"/>
          <w:szCs w:val="24"/>
        </w:rPr>
        <w:t>Revise annual catch limits (ACLs) and optimum yield (OY)</w:t>
      </w:r>
      <w:r w:rsidRPr="008A5A12">
        <w:rPr>
          <w:rFonts w:ascii="Times New Roman" w:eastAsiaTheme="minorHAnsi" w:hAnsi="Times New Roman"/>
          <w:color w:val="000000"/>
          <w:sz w:val="28"/>
          <w:szCs w:val="24"/>
        </w:rPr>
        <w:t xml:space="preserve"> </w:t>
      </w:r>
      <w:r w:rsidRPr="008A5A12">
        <w:rPr>
          <w:rFonts w:ascii="Times New Roman" w:hAnsi="Times New Roman"/>
          <w:sz w:val="28"/>
          <w:szCs w:val="24"/>
        </w:rPr>
        <w:t xml:space="preserve">(see </w:t>
      </w:r>
      <w:r w:rsidRPr="008A5A12">
        <w:rPr>
          <w:rFonts w:ascii="Times New Roman" w:hAnsi="Times New Roman"/>
          <w:b/>
          <w:sz w:val="28"/>
          <w:szCs w:val="24"/>
        </w:rPr>
        <w:t>Table S-1</w:t>
      </w:r>
      <w:r w:rsidRPr="008A5A12">
        <w:rPr>
          <w:rFonts w:ascii="Times New Roman" w:hAnsi="Times New Roman"/>
          <w:sz w:val="28"/>
          <w:szCs w:val="24"/>
        </w:rPr>
        <w:t>)</w:t>
      </w:r>
    </w:p>
    <w:p w14:paraId="320D5C3A" w14:textId="77777777" w:rsidR="0069557F" w:rsidRDefault="0069557F" w:rsidP="0069557F">
      <w:pPr>
        <w:ind w:left="1260"/>
      </w:pPr>
      <w:r>
        <w:rPr>
          <w:b/>
        </w:rPr>
        <w:t xml:space="preserve">Currently: </w:t>
      </w:r>
      <w:r w:rsidRPr="00406DDD">
        <w:t>ACL = OY = ABC =</w:t>
      </w:r>
      <w:r>
        <w:rPr>
          <w:b/>
        </w:rPr>
        <w:t xml:space="preserve"> </w:t>
      </w:r>
      <w:r>
        <w:t>926,600 lbs ww</w:t>
      </w:r>
    </w:p>
    <w:p w14:paraId="4597F5A3" w14:textId="23ED716F" w:rsidR="0069557F" w:rsidRDefault="00F11EA9" w:rsidP="0069557F">
      <w:pPr>
        <w:ind w:left="1260"/>
      </w:pPr>
      <w:r>
        <w:t xml:space="preserve">Commercial ACL = </w:t>
      </w:r>
      <w:r w:rsidR="0069557F">
        <w:t>157,743 lbs ww</w:t>
      </w:r>
    </w:p>
    <w:p w14:paraId="71B73C83" w14:textId="77777777" w:rsidR="0069557F" w:rsidRDefault="0069557F" w:rsidP="0069557F">
      <w:pPr>
        <w:spacing w:after="120"/>
        <w:ind w:left="1267"/>
        <w:rPr>
          <w:b/>
        </w:rPr>
      </w:pPr>
      <w:r>
        <w:t>Recreational ACL = 768,857 lbs ww</w:t>
      </w:r>
    </w:p>
    <w:p w14:paraId="1D9966AD" w14:textId="2E6BAB68" w:rsidR="0069557F" w:rsidRDefault="0069557F" w:rsidP="0069557F">
      <w:pPr>
        <w:ind w:left="1260"/>
      </w:pPr>
      <w:r w:rsidRPr="00406DDD">
        <w:rPr>
          <w:b/>
        </w:rPr>
        <w:t>Preferred Sub-alternative 2a.</w:t>
      </w:r>
      <w:r>
        <w:t xml:space="preserve">  ACL = OY = ABC = </w:t>
      </w:r>
      <w:r w:rsidR="00A021F4" w:rsidRPr="00A021F4">
        <w:t>129,150</w:t>
      </w:r>
      <w:r w:rsidR="00A021F4">
        <w:t xml:space="preserve"> fish</w:t>
      </w:r>
      <w:r>
        <w:t xml:space="preserve"> for 2017.  </w:t>
      </w:r>
    </w:p>
    <w:p w14:paraId="2104C2B5" w14:textId="77777777" w:rsidR="0069557F" w:rsidRDefault="0069557F" w:rsidP="0069557F">
      <w:pPr>
        <w:ind w:left="1260"/>
      </w:pPr>
      <w:r>
        <w:t xml:space="preserve">Commercial ACL = </w:t>
      </w:r>
      <w:r w:rsidRPr="00406DDD">
        <w:t xml:space="preserve">100,015 </w:t>
      </w:r>
      <w:r>
        <w:t>lbs ww (for 2017)</w:t>
      </w:r>
    </w:p>
    <w:p w14:paraId="4EAE54A6" w14:textId="77777777" w:rsidR="0069557F" w:rsidRDefault="0069557F" w:rsidP="0069557F">
      <w:pPr>
        <w:ind w:left="1260"/>
      </w:pPr>
      <w:r>
        <w:t xml:space="preserve">Recreational ACL = </w:t>
      </w:r>
      <w:r w:rsidRPr="00406DDD">
        <w:t xml:space="preserve">116,127 </w:t>
      </w:r>
      <w:r>
        <w:t>fish (for 2017)</w:t>
      </w:r>
    </w:p>
    <w:p w14:paraId="10F2354E" w14:textId="77777777" w:rsidR="0069557F" w:rsidRPr="00406DDD" w:rsidRDefault="0069557F" w:rsidP="0069557F">
      <w:pPr>
        <w:ind w:left="1260"/>
        <w:rPr>
          <w:rFonts w:eastAsiaTheme="minorHAnsi"/>
          <w:color w:val="000000"/>
        </w:rPr>
      </w:pPr>
    </w:p>
    <w:p w14:paraId="36F3B260" w14:textId="77777777" w:rsidR="0069557F" w:rsidRPr="008A5A12" w:rsidRDefault="0069557F" w:rsidP="0069557F">
      <w:pPr>
        <w:pStyle w:val="ListParagraph"/>
        <w:numPr>
          <w:ilvl w:val="0"/>
          <w:numId w:val="33"/>
        </w:numPr>
        <w:spacing w:after="0"/>
        <w:rPr>
          <w:rFonts w:ascii="Times New Roman" w:eastAsiaTheme="minorHAnsi" w:hAnsi="Times New Roman"/>
          <w:b/>
          <w:color w:val="000000"/>
          <w:sz w:val="28"/>
          <w:szCs w:val="24"/>
        </w:rPr>
      </w:pPr>
      <w:r w:rsidRPr="008A5A12">
        <w:rPr>
          <w:rFonts w:ascii="Times New Roman" w:eastAsiaTheme="minorHAnsi" w:hAnsi="Times New Roman"/>
          <w:b/>
          <w:color w:val="000000"/>
          <w:sz w:val="28"/>
          <w:szCs w:val="24"/>
        </w:rPr>
        <w:t>Revise the recreational annual catch target (ACT)</w:t>
      </w:r>
    </w:p>
    <w:p w14:paraId="3E0ED9D4" w14:textId="77777777" w:rsidR="0069557F" w:rsidRDefault="0069557F" w:rsidP="0069557F">
      <w:pPr>
        <w:spacing w:after="120"/>
        <w:ind w:left="1267"/>
        <w:rPr>
          <w:rFonts w:eastAsiaTheme="minorHAnsi"/>
          <w:color w:val="000000"/>
        </w:rPr>
      </w:pPr>
      <w:r w:rsidRPr="00406DDD">
        <w:rPr>
          <w:rFonts w:eastAsiaTheme="minorHAnsi"/>
          <w:b/>
          <w:color w:val="000000"/>
        </w:rPr>
        <w:t>Currently:</w:t>
      </w:r>
      <w:r>
        <w:rPr>
          <w:rFonts w:eastAsiaTheme="minorHAnsi"/>
          <w:color w:val="000000"/>
        </w:rPr>
        <w:t xml:space="preserve"> </w:t>
      </w:r>
      <w:r w:rsidRPr="00882168">
        <w:t>ACT = recreational ACL*(1-PSE) o</w:t>
      </w:r>
      <w:r>
        <w:t xml:space="preserve">r ACL*0.5, whichever is greater = </w:t>
      </w:r>
      <w:r w:rsidRPr="006223A3">
        <w:t>668,906</w:t>
      </w:r>
      <w:r w:rsidRPr="00882168">
        <w:t xml:space="preserve"> lbs ww</w:t>
      </w:r>
    </w:p>
    <w:p w14:paraId="5AC76265" w14:textId="77777777" w:rsidR="0069557F" w:rsidRDefault="0069557F" w:rsidP="0069557F">
      <w:pPr>
        <w:ind w:left="1260"/>
      </w:pPr>
      <w:r>
        <w:rPr>
          <w:rFonts w:eastAsiaTheme="minorHAnsi"/>
          <w:b/>
          <w:color w:val="000000"/>
        </w:rPr>
        <w:t>Preferred Sub-alternative 2b</w:t>
      </w:r>
      <w:r w:rsidRPr="00406DDD">
        <w:rPr>
          <w:rFonts w:eastAsiaTheme="minorHAnsi"/>
          <w:b/>
          <w:color w:val="000000"/>
        </w:rPr>
        <w:t>.</w:t>
      </w:r>
      <w:r>
        <w:rPr>
          <w:rFonts w:eastAsiaTheme="minorHAnsi"/>
          <w:color w:val="000000"/>
        </w:rPr>
        <w:t xml:space="preserve"> </w:t>
      </w:r>
      <w:r w:rsidRPr="00882168">
        <w:t>ACT =85% recreational ACL</w:t>
      </w:r>
      <w:r>
        <w:t xml:space="preserve"> = </w:t>
      </w:r>
      <w:r w:rsidRPr="00AD51F9">
        <w:t>98,708</w:t>
      </w:r>
      <w:r>
        <w:t xml:space="preserve"> fish</w:t>
      </w:r>
    </w:p>
    <w:p w14:paraId="2E16A85D" w14:textId="77777777" w:rsidR="0069557F" w:rsidRPr="00AD51F9" w:rsidRDefault="0069557F" w:rsidP="0069557F">
      <w:pPr>
        <w:ind w:left="1260"/>
        <w:rPr>
          <w:rFonts w:eastAsiaTheme="minorHAnsi"/>
          <w:color w:val="000000"/>
        </w:rPr>
      </w:pPr>
    </w:p>
    <w:p w14:paraId="3645D24D" w14:textId="77777777" w:rsidR="0069557F" w:rsidRPr="008A5A12" w:rsidRDefault="0069557F" w:rsidP="0069557F">
      <w:pPr>
        <w:pStyle w:val="ListParagraph"/>
        <w:numPr>
          <w:ilvl w:val="0"/>
          <w:numId w:val="33"/>
        </w:numPr>
        <w:spacing w:after="0"/>
        <w:rPr>
          <w:rFonts w:ascii="Times New Roman" w:eastAsiaTheme="minorHAnsi" w:hAnsi="Times New Roman"/>
          <w:b/>
          <w:color w:val="000000"/>
          <w:sz w:val="28"/>
          <w:szCs w:val="24"/>
        </w:rPr>
      </w:pPr>
      <w:r w:rsidRPr="008A5A12">
        <w:rPr>
          <w:rFonts w:ascii="Times New Roman" w:eastAsiaTheme="minorHAnsi" w:hAnsi="Times New Roman"/>
          <w:b/>
          <w:color w:val="000000"/>
          <w:sz w:val="28"/>
          <w:szCs w:val="24"/>
        </w:rPr>
        <w:t>Modify the minimum size limit</w:t>
      </w:r>
    </w:p>
    <w:p w14:paraId="2FA197A2" w14:textId="77777777" w:rsidR="0069557F" w:rsidRDefault="0069557F" w:rsidP="0069557F">
      <w:pPr>
        <w:spacing w:after="120"/>
        <w:ind w:left="1267"/>
        <w:rPr>
          <w:rFonts w:eastAsiaTheme="minorHAnsi"/>
          <w:color w:val="000000"/>
        </w:rPr>
      </w:pPr>
      <w:r w:rsidRPr="00AD51F9">
        <w:rPr>
          <w:rFonts w:eastAsiaTheme="minorHAnsi"/>
          <w:b/>
          <w:color w:val="000000"/>
        </w:rPr>
        <w:t>Currently:</w:t>
      </w:r>
      <w:r>
        <w:rPr>
          <w:rFonts w:eastAsiaTheme="minorHAnsi"/>
          <w:color w:val="000000"/>
        </w:rPr>
        <w:t xml:space="preserve"> minimum size limit = 16 inches total length (TL)</w:t>
      </w:r>
    </w:p>
    <w:p w14:paraId="6542FC83" w14:textId="77777777" w:rsidR="0069557F" w:rsidRDefault="0069557F" w:rsidP="0069557F">
      <w:pPr>
        <w:ind w:left="1260"/>
        <w:rPr>
          <w:rFonts w:eastAsiaTheme="minorHAnsi"/>
          <w:color w:val="000000"/>
        </w:rPr>
      </w:pPr>
      <w:r w:rsidRPr="00AD51F9">
        <w:rPr>
          <w:rFonts w:eastAsiaTheme="minorHAnsi"/>
          <w:b/>
          <w:color w:val="000000"/>
        </w:rPr>
        <w:t>Preferred Alternative 3.</w:t>
      </w:r>
      <w:r>
        <w:rPr>
          <w:rFonts w:eastAsiaTheme="minorHAnsi"/>
          <w:color w:val="000000"/>
        </w:rPr>
        <w:t xml:space="preserve"> 18 inches TL</w:t>
      </w:r>
    </w:p>
    <w:p w14:paraId="55DE258D" w14:textId="77777777" w:rsidR="0069557F" w:rsidRPr="00AD51F9" w:rsidRDefault="0069557F" w:rsidP="0069557F">
      <w:pPr>
        <w:ind w:left="1260"/>
        <w:rPr>
          <w:rFonts w:eastAsiaTheme="minorHAnsi"/>
          <w:color w:val="000000"/>
        </w:rPr>
      </w:pPr>
    </w:p>
    <w:p w14:paraId="465364A5" w14:textId="32288675" w:rsidR="0069557F" w:rsidRPr="008A5A12" w:rsidRDefault="0069557F" w:rsidP="0069557F">
      <w:pPr>
        <w:pStyle w:val="ListParagraph"/>
        <w:numPr>
          <w:ilvl w:val="0"/>
          <w:numId w:val="33"/>
        </w:numPr>
        <w:spacing w:after="0"/>
        <w:rPr>
          <w:rFonts w:ascii="Times New Roman" w:eastAsiaTheme="minorHAnsi" w:hAnsi="Times New Roman"/>
          <w:b/>
          <w:color w:val="000000"/>
          <w:sz w:val="28"/>
          <w:szCs w:val="24"/>
        </w:rPr>
      </w:pPr>
      <w:r w:rsidRPr="008A5A12">
        <w:rPr>
          <w:rFonts w:ascii="Times New Roman" w:eastAsiaTheme="minorHAnsi" w:hAnsi="Times New Roman"/>
          <w:b/>
          <w:color w:val="000000"/>
          <w:sz w:val="28"/>
          <w:szCs w:val="24"/>
        </w:rPr>
        <w:t xml:space="preserve">Designate </w:t>
      </w:r>
      <w:r w:rsidR="0015281C">
        <w:rPr>
          <w:rFonts w:ascii="Times New Roman" w:eastAsiaTheme="minorHAnsi" w:hAnsi="Times New Roman"/>
          <w:b/>
          <w:color w:val="000000"/>
          <w:sz w:val="28"/>
          <w:szCs w:val="24"/>
        </w:rPr>
        <w:t>the</w:t>
      </w:r>
      <w:r w:rsidRPr="008A5A12">
        <w:rPr>
          <w:rFonts w:ascii="Times New Roman" w:eastAsiaTheme="minorHAnsi" w:hAnsi="Times New Roman"/>
          <w:b/>
          <w:color w:val="000000"/>
          <w:sz w:val="28"/>
          <w:szCs w:val="24"/>
        </w:rPr>
        <w:t xml:space="preserve"> </w:t>
      </w:r>
      <w:r w:rsidR="0015281C">
        <w:rPr>
          <w:rFonts w:ascii="Times New Roman" w:eastAsiaTheme="minorHAnsi" w:hAnsi="Times New Roman"/>
          <w:b/>
          <w:color w:val="000000"/>
          <w:sz w:val="28"/>
          <w:szCs w:val="24"/>
        </w:rPr>
        <w:t>“</w:t>
      </w:r>
      <w:r w:rsidRPr="008A5A12">
        <w:rPr>
          <w:rFonts w:ascii="Times New Roman" w:eastAsiaTheme="minorHAnsi" w:hAnsi="Times New Roman"/>
          <w:b/>
          <w:color w:val="000000"/>
          <w:sz w:val="28"/>
          <w:szCs w:val="24"/>
        </w:rPr>
        <w:t xml:space="preserve">spawning </w:t>
      </w:r>
      <w:r w:rsidR="0015281C">
        <w:rPr>
          <w:rFonts w:ascii="Times New Roman" w:eastAsiaTheme="minorHAnsi" w:hAnsi="Times New Roman"/>
          <w:b/>
          <w:color w:val="000000"/>
          <w:sz w:val="28"/>
          <w:szCs w:val="24"/>
        </w:rPr>
        <w:t>months”</w:t>
      </w:r>
      <w:r w:rsidRPr="008A5A12">
        <w:rPr>
          <w:rFonts w:ascii="Times New Roman" w:eastAsiaTheme="minorHAnsi" w:hAnsi="Times New Roman"/>
          <w:b/>
          <w:color w:val="000000"/>
          <w:sz w:val="28"/>
          <w:szCs w:val="24"/>
        </w:rPr>
        <w:t xml:space="preserve"> for regulatory purposes</w:t>
      </w:r>
    </w:p>
    <w:p w14:paraId="0848E04B" w14:textId="313DE762" w:rsidR="0069557F" w:rsidRDefault="0069557F" w:rsidP="0069557F">
      <w:pPr>
        <w:spacing w:after="120"/>
        <w:ind w:left="1267"/>
        <w:rPr>
          <w:rFonts w:eastAsiaTheme="minorHAnsi"/>
          <w:color w:val="000000"/>
        </w:rPr>
      </w:pPr>
      <w:r w:rsidRPr="00AD51F9">
        <w:rPr>
          <w:rFonts w:eastAsiaTheme="minorHAnsi"/>
          <w:b/>
          <w:color w:val="000000"/>
        </w:rPr>
        <w:t>Currently:</w:t>
      </w:r>
      <w:r>
        <w:rPr>
          <w:rFonts w:eastAsiaTheme="minorHAnsi"/>
          <w:color w:val="000000"/>
        </w:rPr>
        <w:t xml:space="preserve"> </w:t>
      </w:r>
      <w:r w:rsidR="00477BB3" w:rsidRPr="000109FC">
        <w:rPr>
          <w:highlight w:val="yellow"/>
        </w:rPr>
        <w:t>Seasonal harvest limitations apply to the commercial sector during mutton snapper spawning in May and June each year.  There are no comparable seasonal restrictions during May and June that apply to the recreational sector.</w:t>
      </w:r>
    </w:p>
    <w:p w14:paraId="6ED14242" w14:textId="58BDEABB" w:rsidR="0069557F" w:rsidRDefault="0069557F" w:rsidP="0069557F">
      <w:pPr>
        <w:ind w:left="1260"/>
      </w:pPr>
      <w:r>
        <w:rPr>
          <w:b/>
        </w:rPr>
        <w:t>Preferred Sub-alternative 2a</w:t>
      </w:r>
      <w:r w:rsidRPr="00EF32D8">
        <w:rPr>
          <w:b/>
        </w:rPr>
        <w:t>.</w:t>
      </w:r>
      <w:r w:rsidRPr="00EF32D8">
        <w:t xml:space="preserve">  For regulatory purposes, </w:t>
      </w:r>
      <w:r>
        <w:t xml:space="preserve">designate </w:t>
      </w:r>
      <w:r w:rsidR="00FA68EB">
        <w:t>April-June as “spawning months.”</w:t>
      </w:r>
      <w:r>
        <w:t xml:space="preserve"> </w:t>
      </w:r>
      <w:r w:rsidR="00BB2F80">
        <w:t xml:space="preserve"> </w:t>
      </w:r>
      <w:r>
        <w:t>The remainder of the year would be the “regular season.”</w:t>
      </w:r>
    </w:p>
    <w:p w14:paraId="6CE7D3D6" w14:textId="77777777" w:rsidR="0069557F" w:rsidRDefault="0069557F" w:rsidP="0069557F">
      <w:r>
        <w:br w:type="page"/>
      </w:r>
    </w:p>
    <w:p w14:paraId="14B6AE4F" w14:textId="77777777" w:rsidR="0069557F" w:rsidRPr="002768D5" w:rsidRDefault="0069557F" w:rsidP="0069557F">
      <w:pPr>
        <w:ind w:left="1260"/>
      </w:pPr>
    </w:p>
    <w:p w14:paraId="3F49C007" w14:textId="77777777" w:rsidR="0069557F" w:rsidRPr="008A5A12" w:rsidRDefault="0069557F" w:rsidP="0069557F">
      <w:pPr>
        <w:pStyle w:val="ListParagraph"/>
        <w:numPr>
          <w:ilvl w:val="0"/>
          <w:numId w:val="33"/>
        </w:numPr>
        <w:spacing w:after="0"/>
        <w:rPr>
          <w:rFonts w:ascii="Times New Roman" w:eastAsiaTheme="minorHAnsi" w:hAnsi="Times New Roman"/>
          <w:b/>
          <w:color w:val="000000"/>
          <w:sz w:val="28"/>
          <w:szCs w:val="24"/>
        </w:rPr>
      </w:pPr>
      <w:r w:rsidRPr="008A5A12">
        <w:rPr>
          <w:rFonts w:ascii="Times New Roman" w:eastAsiaTheme="minorHAnsi" w:hAnsi="Times New Roman"/>
          <w:b/>
          <w:color w:val="000000"/>
          <w:sz w:val="28"/>
          <w:szCs w:val="24"/>
        </w:rPr>
        <w:t>Modify the recreational bag limit</w:t>
      </w:r>
    </w:p>
    <w:p w14:paraId="0B589048" w14:textId="77777777" w:rsidR="0069557F" w:rsidRDefault="0069557F" w:rsidP="0069557F">
      <w:pPr>
        <w:spacing w:after="120"/>
        <w:ind w:left="1267"/>
        <w:rPr>
          <w:rFonts w:eastAsiaTheme="minorHAnsi"/>
          <w:color w:val="000000"/>
        </w:rPr>
      </w:pPr>
      <w:r w:rsidRPr="002768D5">
        <w:rPr>
          <w:rFonts w:eastAsiaTheme="minorHAnsi"/>
          <w:b/>
          <w:color w:val="000000"/>
        </w:rPr>
        <w:t>Currently:</w:t>
      </w:r>
      <w:r>
        <w:rPr>
          <w:rFonts w:eastAsiaTheme="minorHAnsi"/>
          <w:color w:val="000000"/>
        </w:rPr>
        <w:t xml:space="preserve"> 10 fish/person/day, included in the 10-snapper aggregate bag limit.</w:t>
      </w:r>
    </w:p>
    <w:p w14:paraId="5FA3D56C" w14:textId="3495184F" w:rsidR="0069557F" w:rsidRDefault="0069557F" w:rsidP="0069557F">
      <w:pPr>
        <w:ind w:left="1260"/>
        <w:rPr>
          <w:rFonts w:eastAsiaTheme="minorHAnsi"/>
          <w:color w:val="000000"/>
        </w:rPr>
      </w:pPr>
      <w:r w:rsidRPr="002768D5">
        <w:rPr>
          <w:rFonts w:eastAsiaTheme="minorHAnsi"/>
          <w:b/>
          <w:color w:val="000000"/>
        </w:rPr>
        <w:t>Preferred Sub-alternative 4</w:t>
      </w:r>
      <w:r w:rsidR="002E5BF4">
        <w:rPr>
          <w:rFonts w:eastAsiaTheme="minorHAnsi"/>
          <w:b/>
          <w:color w:val="000000"/>
        </w:rPr>
        <w:t>c</w:t>
      </w:r>
      <w:r w:rsidRPr="002768D5">
        <w:rPr>
          <w:rFonts w:eastAsiaTheme="minorHAnsi"/>
          <w:b/>
          <w:color w:val="000000"/>
        </w:rPr>
        <w:t>.</w:t>
      </w:r>
      <w:r>
        <w:rPr>
          <w:rFonts w:eastAsiaTheme="minorHAnsi"/>
          <w:color w:val="000000"/>
        </w:rPr>
        <w:t xml:space="preserve"> </w:t>
      </w:r>
      <w:r w:rsidRPr="002768D5">
        <w:rPr>
          <w:rFonts w:eastAsiaTheme="minorHAnsi"/>
          <w:color w:val="000000"/>
        </w:rPr>
        <w:t xml:space="preserve">Retain mutton snapper within the recreational 10 snapper aggregate bag limit in the South </w:t>
      </w:r>
      <w:r>
        <w:rPr>
          <w:rFonts w:eastAsiaTheme="minorHAnsi"/>
          <w:color w:val="000000"/>
        </w:rPr>
        <w:t>Atlantic, but specify bag limit</w:t>
      </w:r>
      <w:r w:rsidRPr="002768D5">
        <w:rPr>
          <w:rFonts w:eastAsiaTheme="minorHAnsi"/>
          <w:color w:val="000000"/>
        </w:rPr>
        <w:t xml:space="preserve"> </w:t>
      </w:r>
      <w:r>
        <w:rPr>
          <w:rFonts w:eastAsiaTheme="minorHAnsi"/>
          <w:color w:val="000000"/>
        </w:rPr>
        <w:t xml:space="preserve">of </w:t>
      </w:r>
      <w:r w:rsidR="002E5BF4">
        <w:rPr>
          <w:rFonts w:eastAsiaTheme="minorHAnsi"/>
          <w:color w:val="000000"/>
        </w:rPr>
        <w:t>5</w:t>
      </w:r>
      <w:r>
        <w:rPr>
          <w:rFonts w:eastAsiaTheme="minorHAnsi"/>
          <w:color w:val="000000"/>
        </w:rPr>
        <w:t xml:space="preserve"> fish/person/day </w:t>
      </w:r>
      <w:r w:rsidRPr="002768D5">
        <w:rPr>
          <w:rFonts w:eastAsiaTheme="minorHAnsi"/>
          <w:color w:val="000000"/>
        </w:rPr>
        <w:t>within the aggregate bag limit year round.</w:t>
      </w:r>
    </w:p>
    <w:p w14:paraId="2B3F8413" w14:textId="77777777" w:rsidR="0069557F" w:rsidRPr="002768D5" w:rsidRDefault="0069557F" w:rsidP="0069557F">
      <w:pPr>
        <w:ind w:left="1260"/>
        <w:rPr>
          <w:rFonts w:eastAsiaTheme="minorHAnsi"/>
          <w:color w:val="000000"/>
        </w:rPr>
      </w:pPr>
    </w:p>
    <w:p w14:paraId="3EBA9FB3" w14:textId="274A9293" w:rsidR="0069557F" w:rsidRPr="008A5A12" w:rsidRDefault="0069557F" w:rsidP="0069557F">
      <w:pPr>
        <w:pStyle w:val="ListParagraph"/>
        <w:numPr>
          <w:ilvl w:val="0"/>
          <w:numId w:val="33"/>
        </w:numPr>
        <w:spacing w:after="0"/>
        <w:ind w:left="907"/>
        <w:rPr>
          <w:rFonts w:ascii="Times New Roman" w:eastAsiaTheme="minorHAnsi" w:hAnsi="Times New Roman"/>
          <w:b/>
          <w:color w:val="000000"/>
          <w:sz w:val="28"/>
          <w:szCs w:val="24"/>
        </w:rPr>
      </w:pPr>
      <w:r w:rsidRPr="008A5A12">
        <w:rPr>
          <w:rFonts w:ascii="Times New Roman" w:eastAsiaTheme="minorHAnsi" w:hAnsi="Times New Roman"/>
          <w:b/>
          <w:color w:val="000000"/>
          <w:sz w:val="28"/>
          <w:szCs w:val="24"/>
        </w:rPr>
        <w:t>Modify the commercial trip</w:t>
      </w:r>
      <w:r w:rsidR="00A021F4">
        <w:rPr>
          <w:rFonts w:ascii="Times New Roman" w:eastAsiaTheme="minorHAnsi" w:hAnsi="Times New Roman"/>
          <w:b/>
          <w:color w:val="000000"/>
          <w:sz w:val="28"/>
          <w:szCs w:val="24"/>
        </w:rPr>
        <w:t xml:space="preserve"> </w:t>
      </w:r>
      <w:r w:rsidRPr="008A5A12">
        <w:rPr>
          <w:rFonts w:ascii="Times New Roman" w:eastAsiaTheme="minorHAnsi" w:hAnsi="Times New Roman"/>
          <w:b/>
          <w:color w:val="000000"/>
          <w:sz w:val="28"/>
          <w:szCs w:val="24"/>
        </w:rPr>
        <w:t>limit</w:t>
      </w:r>
    </w:p>
    <w:p w14:paraId="188D64DB" w14:textId="2A457DCD" w:rsidR="0069557F" w:rsidRPr="00BB2F80" w:rsidRDefault="0069557F" w:rsidP="0069557F">
      <w:pPr>
        <w:spacing w:after="120"/>
        <w:ind w:left="1267"/>
        <w:rPr>
          <w:rFonts w:eastAsiaTheme="minorHAnsi"/>
          <w:color w:val="000000"/>
        </w:rPr>
      </w:pPr>
      <w:r w:rsidRPr="00AD51F9">
        <w:rPr>
          <w:rFonts w:eastAsiaTheme="minorHAnsi"/>
          <w:b/>
          <w:color w:val="000000"/>
        </w:rPr>
        <w:t>Currently:</w:t>
      </w:r>
      <w:r>
        <w:rPr>
          <w:rFonts w:eastAsiaTheme="minorHAnsi"/>
          <w:color w:val="000000"/>
        </w:rPr>
        <w:t xml:space="preserve"> Commercial restrictions apply May through June </w:t>
      </w:r>
      <w:r w:rsidRPr="00BB2F80">
        <w:rPr>
          <w:rFonts w:eastAsiaTheme="minorHAnsi"/>
          <w:color w:val="000000"/>
        </w:rPr>
        <w:t>- 10 fish/person/day or 10</w:t>
      </w:r>
      <w:r w:rsidR="009F3606" w:rsidRPr="00BB2F80">
        <w:rPr>
          <w:rFonts w:eastAsiaTheme="minorHAnsi"/>
          <w:color w:val="000000"/>
        </w:rPr>
        <w:t xml:space="preserve"> </w:t>
      </w:r>
      <w:r w:rsidRPr="00BB2F80">
        <w:rPr>
          <w:rFonts w:eastAsiaTheme="minorHAnsi"/>
          <w:color w:val="000000"/>
        </w:rPr>
        <w:t>fish/</w:t>
      </w:r>
      <w:r w:rsidR="00B7247A" w:rsidRPr="00BB2F80">
        <w:rPr>
          <w:rFonts w:eastAsiaTheme="minorHAnsi"/>
          <w:color w:val="000000"/>
        </w:rPr>
        <w:t>person/</w:t>
      </w:r>
      <w:r w:rsidRPr="00BB2F80">
        <w:rPr>
          <w:rFonts w:eastAsiaTheme="minorHAnsi"/>
          <w:color w:val="000000"/>
        </w:rPr>
        <w:t>trip, whichever is more restrictive</w:t>
      </w:r>
      <w:r w:rsidRPr="00AD1548">
        <w:rPr>
          <w:rFonts w:eastAsiaTheme="minorHAnsi"/>
          <w:color w:val="000000"/>
        </w:rPr>
        <w:t>.</w:t>
      </w:r>
      <w:r w:rsidR="00AD1548" w:rsidRPr="00AD1548">
        <w:rPr>
          <w:rFonts w:eastAsiaTheme="minorHAnsi"/>
          <w:color w:val="000000"/>
        </w:rPr>
        <w:t xml:space="preserve"> </w:t>
      </w:r>
      <w:r w:rsidR="00477BB3" w:rsidRPr="00ED1CA1">
        <w:rPr>
          <w:color w:val="1F497D" w:themeColor="text2"/>
        </w:rPr>
        <w:t xml:space="preserve"> </w:t>
      </w:r>
      <w:r w:rsidR="00477BB3" w:rsidRPr="00BA3DAD">
        <w:t xml:space="preserve">There is no possession or trip limit for the commercial sector in the South Atlantic from </w:t>
      </w:r>
      <w:r w:rsidR="00477BB3" w:rsidRPr="00BA3DAD">
        <w:rPr>
          <w:highlight w:val="yellow"/>
        </w:rPr>
        <w:t>January through April and July through December.</w:t>
      </w:r>
      <w:r w:rsidR="00477BB3" w:rsidRPr="000109FC">
        <w:rPr>
          <w:color w:val="1F497D" w:themeColor="text2"/>
          <w:szCs w:val="20"/>
        </w:rPr>
        <w:t xml:space="preserve">  </w:t>
      </w:r>
    </w:p>
    <w:p w14:paraId="0362DC56" w14:textId="5FBF564A" w:rsidR="0069557F" w:rsidRDefault="0069557F" w:rsidP="0069557F">
      <w:pPr>
        <w:spacing w:after="120"/>
        <w:ind w:left="1267"/>
        <w:rPr>
          <w:rFonts w:eastAsiaTheme="minorHAnsi"/>
          <w:color w:val="000000"/>
        </w:rPr>
      </w:pPr>
      <w:r>
        <w:rPr>
          <w:rFonts w:eastAsiaTheme="minorHAnsi"/>
          <w:b/>
          <w:color w:val="000000"/>
        </w:rPr>
        <w:t>Preferred Sub-alternative 2</w:t>
      </w:r>
      <w:r w:rsidR="002E5BF4">
        <w:rPr>
          <w:rFonts w:eastAsiaTheme="minorHAnsi"/>
          <w:b/>
          <w:color w:val="000000"/>
        </w:rPr>
        <w:t>c</w:t>
      </w:r>
      <w:r>
        <w:rPr>
          <w:rFonts w:eastAsiaTheme="minorHAnsi"/>
          <w:b/>
          <w:color w:val="000000"/>
        </w:rPr>
        <w:t xml:space="preserve">.  </w:t>
      </w:r>
      <w:r w:rsidRPr="002768D5">
        <w:rPr>
          <w:rFonts w:eastAsiaTheme="minorHAnsi"/>
          <w:color w:val="000000"/>
        </w:rPr>
        <w:t xml:space="preserve">Establish a commercial trip limit </w:t>
      </w:r>
      <w:r>
        <w:rPr>
          <w:rFonts w:eastAsiaTheme="minorHAnsi"/>
          <w:color w:val="000000"/>
        </w:rPr>
        <w:t xml:space="preserve">of </w:t>
      </w:r>
      <w:r w:rsidR="002E5BF4">
        <w:rPr>
          <w:rFonts w:eastAsiaTheme="minorHAnsi"/>
          <w:color w:val="000000"/>
        </w:rPr>
        <w:t>5</w:t>
      </w:r>
      <w:r>
        <w:rPr>
          <w:rFonts w:eastAsiaTheme="minorHAnsi"/>
          <w:color w:val="000000"/>
        </w:rPr>
        <w:t xml:space="preserve">00 pounds </w:t>
      </w:r>
      <w:r w:rsidRPr="002768D5">
        <w:rPr>
          <w:rFonts w:eastAsiaTheme="minorHAnsi"/>
          <w:color w:val="000000"/>
        </w:rPr>
        <w:t>for mutton snapper during the “regular season” (i.e., non-spawning months) in the South Atlantic.</w:t>
      </w:r>
    </w:p>
    <w:p w14:paraId="077DCD22" w14:textId="4437AF3D" w:rsidR="0069557F" w:rsidRDefault="0069557F" w:rsidP="0069557F">
      <w:pPr>
        <w:ind w:left="1267"/>
      </w:pPr>
      <w:r>
        <w:rPr>
          <w:b/>
        </w:rPr>
        <w:t>Preferred Sub-a</w:t>
      </w:r>
      <w:r w:rsidRPr="0039024C">
        <w:rPr>
          <w:b/>
        </w:rPr>
        <w:t>lternative 3</w:t>
      </w:r>
      <w:r w:rsidR="002E5BF4">
        <w:rPr>
          <w:b/>
        </w:rPr>
        <w:t>f</w:t>
      </w:r>
      <w:r>
        <w:rPr>
          <w:b/>
        </w:rPr>
        <w:t>.</w:t>
      </w:r>
      <w:r w:rsidRPr="0039024C">
        <w:t xml:space="preserve">  Specify a commercial </w:t>
      </w:r>
      <w:r w:rsidR="00D92442" w:rsidRPr="00D92442">
        <w:t>trip</w:t>
      </w:r>
      <w:r w:rsidR="00A021F4" w:rsidRPr="00D92442">
        <w:t xml:space="preserve"> </w:t>
      </w:r>
      <w:r w:rsidRPr="0039024C">
        <w:t xml:space="preserve">limit for mutton snapper during </w:t>
      </w:r>
      <w:r w:rsidRPr="00C91FC1">
        <w:t>the “spawning months”</w:t>
      </w:r>
      <w:r w:rsidRPr="0039024C">
        <w:t xml:space="preserve"> in the South </w:t>
      </w:r>
      <w:r w:rsidRPr="0039024C">
        <w:rPr>
          <w:caps/>
        </w:rPr>
        <w:t>A</w:t>
      </w:r>
      <w:r>
        <w:t xml:space="preserve">tlantic of </w:t>
      </w:r>
      <w:r w:rsidR="002E5BF4">
        <w:t>5</w:t>
      </w:r>
      <w:r>
        <w:t xml:space="preserve"> fish/person/day</w:t>
      </w:r>
      <w:r w:rsidR="00D92442">
        <w:t xml:space="preserve"> </w:t>
      </w:r>
      <w:r w:rsidR="00D92442" w:rsidRPr="00D92442">
        <w:rPr>
          <w:highlight w:val="yellow"/>
        </w:rPr>
        <w:t>or 5 fish/person/trip, whichever is more restrictive</w:t>
      </w:r>
      <w:r w:rsidR="00A021F4" w:rsidRPr="00D92442">
        <w:rPr>
          <w:highlight w:val="yellow"/>
        </w:rPr>
        <w:t>.</w:t>
      </w:r>
    </w:p>
    <w:p w14:paraId="59651A89" w14:textId="77777777" w:rsidR="0069557F" w:rsidRDefault="0069557F">
      <w:pPr>
        <w:rPr>
          <w:b/>
          <w:bCs/>
          <w:iCs/>
          <w:sz w:val="28"/>
          <w:szCs w:val="28"/>
        </w:rPr>
      </w:pPr>
      <w:r>
        <w:br w:type="page"/>
      </w:r>
    </w:p>
    <w:p w14:paraId="23E82DBB" w14:textId="10E453E5" w:rsidR="002A367C" w:rsidRDefault="003A1241" w:rsidP="009E03CE">
      <w:pPr>
        <w:rPr>
          <w:b/>
          <w:color w:val="4F81BD" w:themeColor="accent1"/>
          <w:sz w:val="40"/>
          <w:szCs w:val="40"/>
        </w:rPr>
      </w:pPr>
      <w:r w:rsidRPr="009E03CE">
        <w:rPr>
          <w:b/>
          <w:color w:val="4F81BD" w:themeColor="accent1"/>
          <w:sz w:val="40"/>
          <w:szCs w:val="40"/>
        </w:rPr>
        <w:lastRenderedPageBreak/>
        <w:t>What is the acceptable biological c</w:t>
      </w:r>
      <w:r w:rsidR="002A367C" w:rsidRPr="009E03CE">
        <w:rPr>
          <w:b/>
          <w:color w:val="4F81BD" w:themeColor="accent1"/>
          <w:sz w:val="40"/>
          <w:szCs w:val="40"/>
        </w:rPr>
        <w:t xml:space="preserve">atch </w:t>
      </w:r>
      <w:r w:rsidRPr="009E03CE">
        <w:rPr>
          <w:b/>
          <w:color w:val="4F81BD" w:themeColor="accent1"/>
          <w:sz w:val="40"/>
          <w:szCs w:val="40"/>
        </w:rPr>
        <w:t>recommendation for m</w:t>
      </w:r>
      <w:r w:rsidR="002A367C" w:rsidRPr="009E03CE">
        <w:rPr>
          <w:b/>
          <w:color w:val="4F81BD" w:themeColor="accent1"/>
          <w:sz w:val="40"/>
          <w:szCs w:val="40"/>
        </w:rPr>
        <w:t xml:space="preserve">utton </w:t>
      </w:r>
      <w:r w:rsidRPr="009E03CE">
        <w:rPr>
          <w:b/>
          <w:color w:val="4F81BD" w:themeColor="accent1"/>
          <w:sz w:val="40"/>
          <w:szCs w:val="40"/>
        </w:rPr>
        <w:t>s</w:t>
      </w:r>
      <w:r w:rsidR="002A367C" w:rsidRPr="009E03CE">
        <w:rPr>
          <w:b/>
          <w:color w:val="4F81BD" w:themeColor="accent1"/>
          <w:sz w:val="40"/>
          <w:szCs w:val="40"/>
        </w:rPr>
        <w:t>napper?</w:t>
      </w:r>
    </w:p>
    <w:p w14:paraId="2B0A9ABE" w14:textId="28BBD255" w:rsidR="009E03CE" w:rsidRPr="009E03CE" w:rsidRDefault="009E03CE" w:rsidP="009E03CE">
      <w:pPr>
        <w:rPr>
          <w:b/>
          <w:color w:val="4F81BD" w:themeColor="accent1"/>
          <w:sz w:val="40"/>
          <w:szCs w:val="40"/>
        </w:rPr>
      </w:pPr>
    </w:p>
    <w:p w14:paraId="5247E133" w14:textId="7BC279BB" w:rsidR="00427877" w:rsidRDefault="009E03CE" w:rsidP="00007A84">
      <w:pPr>
        <w:rPr>
          <w:color w:val="000000"/>
        </w:rPr>
      </w:pPr>
      <w:r w:rsidRPr="009E03CE">
        <w:rPr>
          <w:b/>
          <w:noProof/>
          <w:color w:val="4F81BD" w:themeColor="accent1"/>
          <w:sz w:val="40"/>
          <w:szCs w:val="40"/>
        </w:rPr>
        <mc:AlternateContent>
          <mc:Choice Requires="wps">
            <w:drawing>
              <wp:anchor distT="0" distB="0" distL="114300" distR="114300" simplePos="0" relativeHeight="251712000" behindDoc="0" locked="0" layoutInCell="1" allowOverlap="1" wp14:anchorId="344EFBE2" wp14:editId="31F50C40">
                <wp:simplePos x="0" y="0"/>
                <wp:positionH relativeFrom="column">
                  <wp:posOffset>-27305</wp:posOffset>
                </wp:positionH>
                <wp:positionV relativeFrom="paragraph">
                  <wp:posOffset>48895</wp:posOffset>
                </wp:positionV>
                <wp:extent cx="2694305" cy="1521460"/>
                <wp:effectExtent l="101600" t="50800" r="48895" b="78740"/>
                <wp:wrapSquare wrapText="bothSides"/>
                <wp:docPr id="57" name="Text Box 57"/>
                <wp:cNvGraphicFramePr/>
                <a:graphic xmlns:a="http://schemas.openxmlformats.org/drawingml/2006/main">
                  <a:graphicData uri="http://schemas.microsoft.com/office/word/2010/wordprocessingShape">
                    <wps:wsp>
                      <wps:cNvSpPr txBox="1"/>
                      <wps:spPr>
                        <a:xfrm>
                          <a:off x="0" y="0"/>
                          <a:ext cx="2694305" cy="1521460"/>
                        </a:xfrm>
                        <a:prstGeom prst="rect">
                          <a:avLst/>
                        </a:prstGeom>
                        <a:ln/>
                        <a:effectLst>
                          <a:outerShdw blurRad="50800" dist="38100" dir="10800000" algn="r" rotWithShape="0">
                            <a:prstClr val="black">
                              <a:alpha val="40000"/>
                            </a:prstClr>
                          </a:outerShdw>
                        </a:effectLst>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30A72144" w14:textId="77777777" w:rsidR="009108B8" w:rsidRPr="008D2C68" w:rsidRDefault="009108B8" w:rsidP="002A367C">
                            <w:pPr>
                              <w:jc w:val="center"/>
                              <w:rPr>
                                <w:b/>
                                <w:i/>
                                <w:color w:val="548DD4" w:themeColor="text2" w:themeTint="99"/>
                              </w:rPr>
                            </w:pPr>
                            <w:r w:rsidRPr="008D2C68">
                              <w:rPr>
                                <w:b/>
                                <w:i/>
                                <w:color w:val="548DD4" w:themeColor="text2" w:themeTint="99"/>
                              </w:rPr>
                              <w:t xml:space="preserve">What is </w:t>
                            </w:r>
                            <w:r>
                              <w:rPr>
                                <w:b/>
                                <w:i/>
                                <w:color w:val="548DD4" w:themeColor="text2" w:themeTint="99"/>
                              </w:rPr>
                              <w:t>Acceptable Biological Catch</w:t>
                            </w:r>
                            <w:r w:rsidRPr="008D2C68">
                              <w:rPr>
                                <w:b/>
                                <w:i/>
                                <w:color w:val="548DD4" w:themeColor="text2" w:themeTint="99"/>
                              </w:rPr>
                              <w:t>?</w:t>
                            </w:r>
                          </w:p>
                          <w:p w14:paraId="16B3FEB4" w14:textId="77777777" w:rsidR="009108B8" w:rsidRDefault="009108B8" w:rsidP="002A367C"/>
                          <w:p w14:paraId="123F006E" w14:textId="77777777" w:rsidR="009108B8" w:rsidRDefault="009108B8" w:rsidP="002A367C">
                            <w:pPr>
                              <w:rPr>
                                <w:sz w:val="22"/>
                              </w:rPr>
                            </w:pPr>
                            <w:r>
                              <w:rPr>
                                <w:b/>
                                <w:sz w:val="22"/>
                              </w:rPr>
                              <w:t>ABC</w:t>
                            </w:r>
                            <w:r w:rsidRPr="009B7256">
                              <w:rPr>
                                <w:b/>
                                <w:sz w:val="22"/>
                              </w:rPr>
                              <w:t xml:space="preserve"> = </w:t>
                            </w:r>
                            <w:r>
                              <w:rPr>
                                <w:b/>
                                <w:sz w:val="22"/>
                              </w:rPr>
                              <w:t>Acceptable Biological Catch</w:t>
                            </w:r>
                            <w:r w:rsidRPr="009B7256">
                              <w:rPr>
                                <w:sz w:val="22"/>
                              </w:rPr>
                              <w:t xml:space="preserve"> </w:t>
                            </w:r>
                          </w:p>
                          <w:p w14:paraId="160048EA" w14:textId="5B1AE13D" w:rsidR="009108B8" w:rsidRPr="008A5A12" w:rsidRDefault="009108B8" w:rsidP="002A367C">
                            <w:pPr>
                              <w:rPr>
                                <w:sz w:val="22"/>
                              </w:rPr>
                            </w:pPr>
                            <w:r w:rsidRPr="009B7256">
                              <w:rPr>
                                <w:sz w:val="20"/>
                              </w:rPr>
                              <w:t xml:space="preserve">The </w:t>
                            </w:r>
                            <w:r>
                              <w:rPr>
                                <w:sz w:val="20"/>
                              </w:rPr>
                              <w:t>ABC is the m</w:t>
                            </w:r>
                            <w:r w:rsidRPr="00BB2BDD">
                              <w:rPr>
                                <w:sz w:val="20"/>
                              </w:rPr>
                              <w:t xml:space="preserve">aximum amount of fish stock than can be harvested without adversely affecting recruitment of other components of the stock. The ABC level is </w:t>
                            </w:r>
                            <w:r>
                              <w:rPr>
                                <w:sz w:val="20"/>
                              </w:rPr>
                              <w:t>sometimes</w:t>
                            </w:r>
                            <w:r w:rsidRPr="00BB2BDD">
                              <w:rPr>
                                <w:sz w:val="20"/>
                              </w:rPr>
                              <w:t xml:space="preserve"> higher than the total allowable catch, leaving a buffer between the two.</w:t>
                            </w:r>
                          </w:p>
                          <w:p w14:paraId="23FA0164" w14:textId="77777777" w:rsidR="009108B8" w:rsidRPr="009B7256" w:rsidRDefault="009108B8" w:rsidP="002A367C">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7" o:spid="_x0000_s1026" type="#_x0000_t202" style="position:absolute;margin-left:-2.1pt;margin-top:3.85pt;width:212.15pt;height:119.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" fillcolor="white [3201]" strokecolor="#4f81bd [3204]" strokeweight="2pt">
                <v:shadow on="t" opacity="26214f" mv:blur="50800f" origin=".5" offset="-3pt,0"/>
                <v:textbox>
                  <w:txbxContent>
                    <w:p w14:paraId="30A72144" w14:textId="77777777" w:rsidR="009108B8" w:rsidRPr="008D2C68" w:rsidRDefault="009108B8" w:rsidP="002A367C">
                      <w:pPr>
                        <w:jc w:val="center"/>
                        <w:rPr>
                          <w:b/>
                          <w:i/>
                          <w:color w:val="548DD4" w:themeColor="text2" w:themeTint="99"/>
                        </w:rPr>
                      </w:pPr>
                      <w:r w:rsidRPr="008D2C68">
                        <w:rPr>
                          <w:b/>
                          <w:i/>
                          <w:color w:val="548DD4" w:themeColor="text2" w:themeTint="99"/>
                        </w:rPr>
                        <w:t xml:space="preserve">What is </w:t>
                      </w:r>
                      <w:r>
                        <w:rPr>
                          <w:b/>
                          <w:i/>
                          <w:color w:val="548DD4" w:themeColor="text2" w:themeTint="99"/>
                        </w:rPr>
                        <w:t>Acceptable Biological Catch</w:t>
                      </w:r>
                      <w:r w:rsidRPr="008D2C68">
                        <w:rPr>
                          <w:b/>
                          <w:i/>
                          <w:color w:val="548DD4" w:themeColor="text2" w:themeTint="99"/>
                        </w:rPr>
                        <w:t>?</w:t>
                      </w:r>
                    </w:p>
                    <w:p w14:paraId="16B3FEB4" w14:textId="77777777" w:rsidR="009108B8" w:rsidRDefault="009108B8" w:rsidP="002A367C"/>
                    <w:p w14:paraId="123F006E" w14:textId="77777777" w:rsidR="009108B8" w:rsidRDefault="009108B8" w:rsidP="002A367C">
                      <w:pPr>
                        <w:rPr>
                          <w:sz w:val="22"/>
                        </w:rPr>
                      </w:pPr>
                      <w:r>
                        <w:rPr>
                          <w:b/>
                          <w:sz w:val="22"/>
                        </w:rPr>
                        <w:t>ABC</w:t>
                      </w:r>
                      <w:r w:rsidRPr="009B7256">
                        <w:rPr>
                          <w:b/>
                          <w:sz w:val="22"/>
                        </w:rPr>
                        <w:t xml:space="preserve"> = </w:t>
                      </w:r>
                      <w:r>
                        <w:rPr>
                          <w:b/>
                          <w:sz w:val="22"/>
                        </w:rPr>
                        <w:t>Acceptable Biological Catch</w:t>
                      </w:r>
                      <w:r w:rsidRPr="009B7256">
                        <w:rPr>
                          <w:sz w:val="22"/>
                        </w:rPr>
                        <w:t xml:space="preserve"> </w:t>
                      </w:r>
                    </w:p>
                    <w:p w14:paraId="160048EA" w14:textId="5B1AE13D" w:rsidR="009108B8" w:rsidRPr="008A5A12" w:rsidRDefault="009108B8" w:rsidP="002A367C">
                      <w:pPr>
                        <w:rPr>
                          <w:sz w:val="22"/>
                        </w:rPr>
                      </w:pPr>
                      <w:r w:rsidRPr="009B7256">
                        <w:rPr>
                          <w:sz w:val="20"/>
                        </w:rPr>
                        <w:t xml:space="preserve">The </w:t>
                      </w:r>
                      <w:r>
                        <w:rPr>
                          <w:sz w:val="20"/>
                        </w:rPr>
                        <w:t>ABC is the m</w:t>
                      </w:r>
                      <w:r w:rsidRPr="00BB2BDD">
                        <w:rPr>
                          <w:sz w:val="20"/>
                        </w:rPr>
                        <w:t xml:space="preserve">aximum amount of fish stock than can be harvested without adversely affecting recruitment of other components of the stock. The ABC level is </w:t>
                      </w:r>
                      <w:r>
                        <w:rPr>
                          <w:sz w:val="20"/>
                        </w:rPr>
                        <w:t>sometimes</w:t>
                      </w:r>
                      <w:r w:rsidRPr="00BB2BDD">
                        <w:rPr>
                          <w:sz w:val="20"/>
                        </w:rPr>
                        <w:t xml:space="preserve"> higher than the total allowable catch, leaving a buffer between the two.</w:t>
                      </w:r>
                    </w:p>
                    <w:p w14:paraId="23FA0164" w14:textId="77777777" w:rsidR="009108B8" w:rsidRPr="009B7256" w:rsidRDefault="009108B8" w:rsidP="002A367C">
                      <w:pPr>
                        <w:rPr>
                          <w:sz w:val="22"/>
                        </w:rPr>
                      </w:pPr>
                    </w:p>
                  </w:txbxContent>
                </v:textbox>
                <w10:wrap type="square"/>
              </v:shape>
            </w:pict>
          </mc:Fallback>
        </mc:AlternateContent>
      </w:r>
      <w:r w:rsidR="002A367C">
        <w:rPr>
          <w:color w:val="000000"/>
        </w:rPr>
        <w:t xml:space="preserve">     An update to the stock assessment for mutton snapper in the southeastern U.S. (SEDAR 15A Update 2015) was conducted in 2015 with data through 2013.  The Scientific and Statistical Committee (SSC) reviewed the results at their April 28-30, 2015</w:t>
      </w:r>
      <w:r w:rsidR="00611C4C">
        <w:rPr>
          <w:color w:val="000000"/>
        </w:rPr>
        <w:t>,</w:t>
      </w:r>
      <w:r w:rsidR="002A367C">
        <w:rPr>
          <w:color w:val="000000"/>
        </w:rPr>
        <w:t xml:space="preserve"> meeting and made the following fishing level recommendations for mutton snapper in the South Atlantic</w:t>
      </w:r>
      <w:r w:rsidR="00427877">
        <w:rPr>
          <w:color w:val="000000"/>
        </w:rPr>
        <w:t>:</w:t>
      </w:r>
    </w:p>
    <w:p w14:paraId="23CD8B9A" w14:textId="760B0560" w:rsidR="00193E42" w:rsidRDefault="002A367C" w:rsidP="00007A84">
      <w:pPr>
        <w:rPr>
          <w:color w:val="000000"/>
        </w:rPr>
      </w:pPr>
      <w:r>
        <w:rPr>
          <w:color w:val="000000"/>
        </w:rPr>
        <w:t xml:space="preserve"> </w:t>
      </w:r>
    </w:p>
    <w:p w14:paraId="0D1309CB" w14:textId="77777777" w:rsidR="00110CD9" w:rsidRDefault="00110CD9" w:rsidP="00193E42">
      <w:pPr>
        <w:ind w:firstLine="360"/>
        <w:rPr>
          <w:color w:val="000000"/>
        </w:rPr>
      </w:pPr>
    </w:p>
    <w:p w14:paraId="5C30BAA8" w14:textId="40CCBEA5" w:rsidR="00193E42" w:rsidRPr="00486C08" w:rsidRDefault="00B7247A" w:rsidP="00EC458B">
      <w:pPr>
        <w:rPr>
          <w:rFonts w:ascii="Arial" w:hAnsi="Arial" w:cs="Arial"/>
          <w:sz w:val="20"/>
          <w:szCs w:val="20"/>
        </w:rPr>
      </w:pPr>
      <w:r w:rsidRPr="00B7247A">
        <w:rPr>
          <w:rFonts w:ascii="Arial" w:hAnsi="Arial" w:cs="Arial"/>
          <w:b/>
          <w:sz w:val="20"/>
          <w:szCs w:val="20"/>
        </w:rPr>
        <w:t>Table S-1.</w:t>
      </w:r>
      <w:r>
        <w:rPr>
          <w:rFonts w:ascii="Arial" w:hAnsi="Arial" w:cs="Arial"/>
          <w:sz w:val="20"/>
          <w:szCs w:val="20"/>
        </w:rPr>
        <w:t xml:space="preserve">  </w:t>
      </w:r>
      <w:r w:rsidR="00193E42" w:rsidRPr="00486C08">
        <w:rPr>
          <w:rFonts w:ascii="Arial" w:hAnsi="Arial" w:cs="Arial"/>
          <w:sz w:val="20"/>
          <w:szCs w:val="20"/>
        </w:rPr>
        <w:t>Mutton Snapper recommendations</w:t>
      </w:r>
      <w:r w:rsidR="00193E42">
        <w:rPr>
          <w:rFonts w:ascii="Arial" w:hAnsi="Arial" w:cs="Arial"/>
          <w:sz w:val="20"/>
          <w:szCs w:val="20"/>
        </w:rPr>
        <w:t xml:space="preserve"> from SEDAR 15A Update (2015).</w:t>
      </w:r>
      <w:r w:rsidR="00A021F4">
        <w:rPr>
          <w:rFonts w:ascii="Arial" w:hAnsi="Arial" w:cs="Arial"/>
          <w:sz w:val="20"/>
          <w:szCs w:val="20"/>
        </w:rPr>
        <w:t xml:space="preserve">  ABC to be specified based on landings projections in numbers of fish.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2"/>
        <w:gridCol w:w="3959"/>
        <w:gridCol w:w="2005"/>
      </w:tblGrid>
      <w:tr w:rsidR="00193E42" w:rsidRPr="00B32742" w14:paraId="33BB0D31" w14:textId="77777777" w:rsidTr="008E4EC7">
        <w:tc>
          <w:tcPr>
            <w:tcW w:w="1886" w:type="pct"/>
            <w:shd w:val="clear" w:color="auto" w:fill="D9D9D9" w:themeFill="background1" w:themeFillShade="D9"/>
            <w:tcMar>
              <w:top w:w="144" w:type="nil"/>
              <w:right w:w="144" w:type="nil"/>
            </w:tcMar>
          </w:tcPr>
          <w:p w14:paraId="5475AF7F" w14:textId="77777777" w:rsidR="00193E42" w:rsidRPr="00B32742" w:rsidRDefault="00193E42" w:rsidP="008E4EC7">
            <w:pPr>
              <w:widowControl w:val="0"/>
              <w:autoSpaceDE w:val="0"/>
              <w:autoSpaceDN w:val="0"/>
              <w:adjustRightInd w:val="0"/>
              <w:jc w:val="center"/>
              <w:rPr>
                <w:sz w:val="22"/>
                <w:szCs w:val="22"/>
              </w:rPr>
            </w:pPr>
            <w:r w:rsidRPr="00B32742">
              <w:rPr>
                <w:b/>
                <w:bCs/>
                <w:sz w:val="22"/>
                <w:szCs w:val="22"/>
              </w:rPr>
              <w:t>Criteria</w:t>
            </w:r>
          </w:p>
        </w:tc>
        <w:tc>
          <w:tcPr>
            <w:tcW w:w="2067" w:type="pct"/>
            <w:shd w:val="clear" w:color="auto" w:fill="D9D9D9" w:themeFill="background1" w:themeFillShade="D9"/>
            <w:tcMar>
              <w:top w:w="144" w:type="nil"/>
              <w:right w:w="144" w:type="nil"/>
            </w:tcMar>
          </w:tcPr>
          <w:p w14:paraId="41DA8DA1" w14:textId="77777777" w:rsidR="00193E42" w:rsidRPr="00B32742" w:rsidRDefault="00193E42" w:rsidP="008E4EC7">
            <w:pPr>
              <w:widowControl w:val="0"/>
              <w:autoSpaceDE w:val="0"/>
              <w:autoSpaceDN w:val="0"/>
              <w:adjustRightInd w:val="0"/>
              <w:jc w:val="center"/>
              <w:rPr>
                <w:sz w:val="22"/>
                <w:szCs w:val="22"/>
              </w:rPr>
            </w:pPr>
            <w:r w:rsidRPr="00B32742">
              <w:rPr>
                <w:b/>
                <w:bCs/>
                <w:sz w:val="22"/>
                <w:szCs w:val="22"/>
              </w:rPr>
              <w:t>Deterministic</w:t>
            </w:r>
          </w:p>
        </w:tc>
        <w:tc>
          <w:tcPr>
            <w:tcW w:w="1047" w:type="pct"/>
            <w:shd w:val="clear" w:color="auto" w:fill="D9D9D9" w:themeFill="background1" w:themeFillShade="D9"/>
            <w:tcMar>
              <w:top w:w="144" w:type="nil"/>
              <w:right w:w="144" w:type="nil"/>
            </w:tcMar>
          </w:tcPr>
          <w:p w14:paraId="787821F1" w14:textId="77777777" w:rsidR="00193E42" w:rsidRPr="00B32742" w:rsidRDefault="00193E42" w:rsidP="008E4EC7">
            <w:pPr>
              <w:widowControl w:val="0"/>
              <w:autoSpaceDE w:val="0"/>
              <w:autoSpaceDN w:val="0"/>
              <w:adjustRightInd w:val="0"/>
              <w:jc w:val="center"/>
              <w:rPr>
                <w:sz w:val="22"/>
                <w:szCs w:val="22"/>
              </w:rPr>
            </w:pPr>
            <w:r w:rsidRPr="00B32742">
              <w:rPr>
                <w:b/>
                <w:bCs/>
                <w:sz w:val="22"/>
                <w:szCs w:val="22"/>
              </w:rPr>
              <w:t>Probabilistic</w:t>
            </w:r>
          </w:p>
        </w:tc>
      </w:tr>
      <w:tr w:rsidR="00193E42" w:rsidRPr="00B32742" w14:paraId="4B5927E2" w14:textId="77777777" w:rsidTr="008E4EC7">
        <w:tc>
          <w:tcPr>
            <w:tcW w:w="1886" w:type="pct"/>
            <w:tcMar>
              <w:top w:w="144" w:type="nil"/>
              <w:right w:w="144" w:type="nil"/>
            </w:tcMar>
          </w:tcPr>
          <w:p w14:paraId="29F5E758" w14:textId="77777777" w:rsidR="00193E42" w:rsidRPr="00B32742" w:rsidRDefault="00193E42" w:rsidP="008E4EC7">
            <w:pPr>
              <w:widowControl w:val="0"/>
              <w:autoSpaceDE w:val="0"/>
              <w:autoSpaceDN w:val="0"/>
              <w:adjustRightInd w:val="0"/>
              <w:rPr>
                <w:sz w:val="22"/>
                <w:szCs w:val="22"/>
              </w:rPr>
            </w:pPr>
            <w:r w:rsidRPr="00B32742">
              <w:rPr>
                <w:sz w:val="22"/>
                <w:szCs w:val="22"/>
              </w:rPr>
              <w:t>Overfished evaluation</w:t>
            </w:r>
          </w:p>
        </w:tc>
        <w:tc>
          <w:tcPr>
            <w:tcW w:w="2067" w:type="pct"/>
            <w:tcMar>
              <w:top w:w="144" w:type="nil"/>
              <w:right w:w="144" w:type="nil"/>
            </w:tcMar>
          </w:tcPr>
          <w:p w14:paraId="59B8ECF0" w14:textId="77777777" w:rsidR="00193E42" w:rsidRPr="00B32742" w:rsidRDefault="00193E42" w:rsidP="008E4EC7">
            <w:pPr>
              <w:widowControl w:val="0"/>
              <w:autoSpaceDE w:val="0"/>
              <w:autoSpaceDN w:val="0"/>
              <w:adjustRightInd w:val="0"/>
              <w:jc w:val="center"/>
              <w:rPr>
                <w:sz w:val="22"/>
                <w:szCs w:val="22"/>
              </w:rPr>
            </w:pPr>
            <w:r w:rsidRPr="00B32742">
              <w:rPr>
                <w:sz w:val="22"/>
                <w:szCs w:val="22"/>
              </w:rPr>
              <w:t>Not overfished: SSB/SSB</w:t>
            </w:r>
            <w:r w:rsidRPr="00B32742">
              <w:rPr>
                <w:sz w:val="22"/>
                <w:szCs w:val="22"/>
                <w:vertAlign w:val="subscript"/>
              </w:rPr>
              <w:t>F30%</w:t>
            </w:r>
            <w:r w:rsidRPr="00B32742">
              <w:rPr>
                <w:sz w:val="22"/>
                <w:szCs w:val="22"/>
              </w:rPr>
              <w:t>=1.13</w:t>
            </w:r>
          </w:p>
        </w:tc>
        <w:tc>
          <w:tcPr>
            <w:tcW w:w="1047" w:type="pct"/>
            <w:tcMar>
              <w:top w:w="144" w:type="nil"/>
              <w:right w:w="144" w:type="nil"/>
            </w:tcMar>
          </w:tcPr>
          <w:p w14:paraId="2666A874" w14:textId="77777777" w:rsidR="00193E42" w:rsidRPr="00B32742" w:rsidRDefault="00193E42" w:rsidP="008E4EC7">
            <w:pPr>
              <w:widowControl w:val="0"/>
              <w:autoSpaceDE w:val="0"/>
              <w:autoSpaceDN w:val="0"/>
              <w:adjustRightInd w:val="0"/>
              <w:jc w:val="center"/>
              <w:rPr>
                <w:sz w:val="22"/>
                <w:szCs w:val="22"/>
                <w:lang w:val="x-none" w:eastAsia="x-none"/>
              </w:rPr>
            </w:pPr>
          </w:p>
        </w:tc>
      </w:tr>
      <w:tr w:rsidR="00193E42" w:rsidRPr="00B32742" w14:paraId="5DD35051" w14:textId="77777777" w:rsidTr="008E4EC7">
        <w:tc>
          <w:tcPr>
            <w:tcW w:w="1886" w:type="pct"/>
            <w:tcMar>
              <w:top w:w="144" w:type="nil"/>
              <w:right w:w="144" w:type="nil"/>
            </w:tcMar>
          </w:tcPr>
          <w:p w14:paraId="365BD65B" w14:textId="77777777" w:rsidR="00193E42" w:rsidRPr="00B32742" w:rsidRDefault="00193E42" w:rsidP="008E4EC7">
            <w:pPr>
              <w:widowControl w:val="0"/>
              <w:autoSpaceDE w:val="0"/>
              <w:autoSpaceDN w:val="0"/>
              <w:adjustRightInd w:val="0"/>
              <w:rPr>
                <w:sz w:val="22"/>
                <w:szCs w:val="22"/>
              </w:rPr>
            </w:pPr>
            <w:r w:rsidRPr="00B32742">
              <w:rPr>
                <w:sz w:val="22"/>
                <w:szCs w:val="22"/>
              </w:rPr>
              <w:t>Overfishing evaluation</w:t>
            </w:r>
          </w:p>
        </w:tc>
        <w:tc>
          <w:tcPr>
            <w:tcW w:w="2067" w:type="pct"/>
            <w:tcMar>
              <w:top w:w="144" w:type="nil"/>
              <w:right w:w="144" w:type="nil"/>
            </w:tcMar>
          </w:tcPr>
          <w:p w14:paraId="7C3B1EF2" w14:textId="77777777" w:rsidR="00193E42" w:rsidRPr="00B32742" w:rsidRDefault="00193E42" w:rsidP="008E4EC7">
            <w:pPr>
              <w:widowControl w:val="0"/>
              <w:autoSpaceDE w:val="0"/>
              <w:autoSpaceDN w:val="0"/>
              <w:adjustRightInd w:val="0"/>
              <w:jc w:val="center"/>
              <w:rPr>
                <w:sz w:val="22"/>
                <w:szCs w:val="22"/>
              </w:rPr>
            </w:pPr>
            <w:r w:rsidRPr="00B32742">
              <w:rPr>
                <w:sz w:val="22"/>
                <w:szCs w:val="22"/>
              </w:rPr>
              <w:t>Not overfishing: F/F</w:t>
            </w:r>
            <w:r w:rsidRPr="00B32742">
              <w:rPr>
                <w:sz w:val="22"/>
                <w:szCs w:val="22"/>
                <w:vertAlign w:val="subscript"/>
              </w:rPr>
              <w:t>30%SPR</w:t>
            </w:r>
            <w:r w:rsidRPr="00B32742">
              <w:rPr>
                <w:sz w:val="22"/>
                <w:szCs w:val="22"/>
              </w:rPr>
              <w:t>=0.65</w:t>
            </w:r>
          </w:p>
        </w:tc>
        <w:tc>
          <w:tcPr>
            <w:tcW w:w="1047" w:type="pct"/>
            <w:tcMar>
              <w:top w:w="144" w:type="nil"/>
              <w:right w:w="144" w:type="nil"/>
            </w:tcMar>
          </w:tcPr>
          <w:p w14:paraId="031F2B78" w14:textId="77777777" w:rsidR="00193E42" w:rsidRPr="00B32742" w:rsidRDefault="00193E42" w:rsidP="008E4EC7">
            <w:pPr>
              <w:widowControl w:val="0"/>
              <w:autoSpaceDE w:val="0"/>
              <w:autoSpaceDN w:val="0"/>
              <w:adjustRightInd w:val="0"/>
              <w:jc w:val="center"/>
              <w:rPr>
                <w:sz w:val="22"/>
                <w:szCs w:val="22"/>
                <w:lang w:val="x-none" w:eastAsia="x-none"/>
              </w:rPr>
            </w:pPr>
          </w:p>
        </w:tc>
      </w:tr>
      <w:tr w:rsidR="00193E42" w:rsidRPr="00B32742" w14:paraId="3ECA82E6" w14:textId="77777777" w:rsidTr="008E4EC7">
        <w:tc>
          <w:tcPr>
            <w:tcW w:w="1886" w:type="pct"/>
            <w:tcMar>
              <w:top w:w="144" w:type="nil"/>
              <w:right w:w="144" w:type="nil"/>
            </w:tcMar>
          </w:tcPr>
          <w:p w14:paraId="0EBD1656" w14:textId="77777777" w:rsidR="00193E42" w:rsidRPr="00B32742" w:rsidRDefault="00193E42" w:rsidP="008E4EC7">
            <w:pPr>
              <w:widowControl w:val="0"/>
              <w:autoSpaceDE w:val="0"/>
              <w:autoSpaceDN w:val="0"/>
              <w:adjustRightInd w:val="0"/>
              <w:rPr>
                <w:sz w:val="22"/>
                <w:szCs w:val="22"/>
              </w:rPr>
            </w:pPr>
            <w:r w:rsidRPr="00B32742">
              <w:rPr>
                <w:sz w:val="22"/>
                <w:szCs w:val="22"/>
              </w:rPr>
              <w:t>MFMT (F</w:t>
            </w:r>
            <w:r w:rsidRPr="00B32742">
              <w:rPr>
                <w:sz w:val="22"/>
                <w:szCs w:val="22"/>
                <w:vertAlign w:val="subscript"/>
              </w:rPr>
              <w:t>30%SPR</w:t>
            </w:r>
            <w:r w:rsidRPr="00B32742">
              <w:rPr>
                <w:sz w:val="22"/>
                <w:szCs w:val="22"/>
              </w:rPr>
              <w:t>)</w:t>
            </w:r>
          </w:p>
        </w:tc>
        <w:tc>
          <w:tcPr>
            <w:tcW w:w="2067" w:type="pct"/>
            <w:tcMar>
              <w:top w:w="144" w:type="nil"/>
              <w:right w:w="144" w:type="nil"/>
            </w:tcMar>
          </w:tcPr>
          <w:p w14:paraId="070EA2BC" w14:textId="77777777" w:rsidR="00193E42" w:rsidRPr="00B32742" w:rsidRDefault="00193E42" w:rsidP="008E4EC7">
            <w:pPr>
              <w:widowControl w:val="0"/>
              <w:autoSpaceDE w:val="0"/>
              <w:autoSpaceDN w:val="0"/>
              <w:adjustRightInd w:val="0"/>
              <w:jc w:val="center"/>
              <w:rPr>
                <w:sz w:val="22"/>
                <w:szCs w:val="22"/>
              </w:rPr>
            </w:pPr>
            <w:r w:rsidRPr="00B32742">
              <w:rPr>
                <w:sz w:val="22"/>
                <w:szCs w:val="22"/>
              </w:rPr>
              <w:t>0.18</w:t>
            </w:r>
          </w:p>
        </w:tc>
        <w:tc>
          <w:tcPr>
            <w:tcW w:w="1047" w:type="pct"/>
            <w:tcMar>
              <w:top w:w="144" w:type="nil"/>
              <w:right w:w="144" w:type="nil"/>
            </w:tcMar>
          </w:tcPr>
          <w:p w14:paraId="5785B055" w14:textId="77777777" w:rsidR="00193E42" w:rsidRPr="00B32742" w:rsidRDefault="00193E42" w:rsidP="008E4EC7">
            <w:pPr>
              <w:widowControl w:val="0"/>
              <w:autoSpaceDE w:val="0"/>
              <w:autoSpaceDN w:val="0"/>
              <w:adjustRightInd w:val="0"/>
              <w:jc w:val="center"/>
              <w:rPr>
                <w:sz w:val="22"/>
                <w:szCs w:val="22"/>
                <w:lang w:val="x-none" w:eastAsia="x-none"/>
              </w:rPr>
            </w:pPr>
          </w:p>
        </w:tc>
      </w:tr>
      <w:tr w:rsidR="00193E42" w:rsidRPr="00B32742" w14:paraId="00DB2AD8" w14:textId="77777777" w:rsidTr="008E4EC7">
        <w:tc>
          <w:tcPr>
            <w:tcW w:w="1886" w:type="pct"/>
            <w:tcMar>
              <w:top w:w="144" w:type="nil"/>
              <w:right w:w="144" w:type="nil"/>
            </w:tcMar>
          </w:tcPr>
          <w:p w14:paraId="7A0C791C" w14:textId="77777777" w:rsidR="00193E42" w:rsidRPr="00B32742" w:rsidRDefault="00193E42" w:rsidP="008E4EC7">
            <w:pPr>
              <w:widowControl w:val="0"/>
              <w:autoSpaceDE w:val="0"/>
              <w:autoSpaceDN w:val="0"/>
              <w:adjustRightInd w:val="0"/>
              <w:rPr>
                <w:sz w:val="22"/>
                <w:szCs w:val="22"/>
              </w:rPr>
            </w:pPr>
            <w:r w:rsidRPr="00B32742">
              <w:rPr>
                <w:sz w:val="22"/>
                <w:szCs w:val="22"/>
              </w:rPr>
              <w:t>SSB</w:t>
            </w:r>
            <w:r w:rsidRPr="00B32742">
              <w:rPr>
                <w:sz w:val="22"/>
                <w:szCs w:val="22"/>
                <w:vertAlign w:val="subscript"/>
              </w:rPr>
              <w:t>30%SPR</w:t>
            </w:r>
            <w:r w:rsidRPr="00B32742">
              <w:rPr>
                <w:sz w:val="22"/>
                <w:szCs w:val="22"/>
              </w:rPr>
              <w:t xml:space="preserve"> (lbs females)</w:t>
            </w:r>
          </w:p>
        </w:tc>
        <w:tc>
          <w:tcPr>
            <w:tcW w:w="2067" w:type="pct"/>
            <w:tcMar>
              <w:top w:w="144" w:type="nil"/>
              <w:right w:w="144" w:type="nil"/>
            </w:tcMar>
          </w:tcPr>
          <w:p w14:paraId="4B8F12EB" w14:textId="77777777" w:rsidR="00193E42" w:rsidRPr="00B32742" w:rsidRDefault="00193E42" w:rsidP="008E4EC7">
            <w:pPr>
              <w:widowControl w:val="0"/>
              <w:autoSpaceDE w:val="0"/>
              <w:autoSpaceDN w:val="0"/>
              <w:adjustRightInd w:val="0"/>
              <w:jc w:val="center"/>
              <w:rPr>
                <w:sz w:val="22"/>
                <w:szCs w:val="22"/>
              </w:rPr>
            </w:pPr>
            <w:r w:rsidRPr="00B32742">
              <w:rPr>
                <w:sz w:val="22"/>
                <w:szCs w:val="22"/>
              </w:rPr>
              <w:t>4,649,200</w:t>
            </w:r>
          </w:p>
        </w:tc>
        <w:tc>
          <w:tcPr>
            <w:tcW w:w="1047" w:type="pct"/>
            <w:tcMar>
              <w:top w:w="144" w:type="nil"/>
              <w:right w:w="144" w:type="nil"/>
            </w:tcMar>
          </w:tcPr>
          <w:p w14:paraId="4AD5A301" w14:textId="77777777" w:rsidR="00193E42" w:rsidRPr="00B32742" w:rsidRDefault="00193E42" w:rsidP="008E4EC7">
            <w:pPr>
              <w:widowControl w:val="0"/>
              <w:autoSpaceDE w:val="0"/>
              <w:autoSpaceDN w:val="0"/>
              <w:adjustRightInd w:val="0"/>
              <w:jc w:val="center"/>
              <w:rPr>
                <w:sz w:val="22"/>
                <w:szCs w:val="22"/>
                <w:lang w:val="x-none" w:eastAsia="x-none"/>
              </w:rPr>
            </w:pPr>
          </w:p>
        </w:tc>
      </w:tr>
      <w:tr w:rsidR="00193E42" w:rsidRPr="00B32742" w14:paraId="2312286D" w14:textId="77777777" w:rsidTr="008E4EC7">
        <w:tc>
          <w:tcPr>
            <w:tcW w:w="1886" w:type="pct"/>
            <w:tcMar>
              <w:top w:w="144" w:type="nil"/>
              <w:right w:w="144" w:type="nil"/>
            </w:tcMar>
          </w:tcPr>
          <w:p w14:paraId="73074CE6" w14:textId="77777777" w:rsidR="00193E42" w:rsidRPr="00B32742" w:rsidRDefault="00193E42" w:rsidP="008E4EC7">
            <w:pPr>
              <w:widowControl w:val="0"/>
              <w:autoSpaceDE w:val="0"/>
              <w:autoSpaceDN w:val="0"/>
              <w:adjustRightInd w:val="0"/>
              <w:rPr>
                <w:sz w:val="22"/>
                <w:szCs w:val="22"/>
              </w:rPr>
            </w:pPr>
            <w:r w:rsidRPr="00B32742">
              <w:rPr>
                <w:sz w:val="22"/>
                <w:szCs w:val="22"/>
              </w:rPr>
              <w:t>MSST (lbs females)</w:t>
            </w:r>
          </w:p>
        </w:tc>
        <w:tc>
          <w:tcPr>
            <w:tcW w:w="2067" w:type="pct"/>
            <w:tcMar>
              <w:top w:w="144" w:type="nil"/>
              <w:right w:w="144" w:type="nil"/>
            </w:tcMar>
          </w:tcPr>
          <w:p w14:paraId="7A1E08BE" w14:textId="77777777" w:rsidR="00193E42" w:rsidRPr="00B32742" w:rsidRDefault="00193E42" w:rsidP="008E4EC7">
            <w:pPr>
              <w:widowControl w:val="0"/>
              <w:autoSpaceDE w:val="0"/>
              <w:autoSpaceDN w:val="0"/>
              <w:adjustRightInd w:val="0"/>
              <w:jc w:val="center"/>
              <w:rPr>
                <w:sz w:val="22"/>
                <w:szCs w:val="22"/>
              </w:rPr>
            </w:pPr>
            <w:r w:rsidRPr="00B32742">
              <w:rPr>
                <w:sz w:val="22"/>
                <w:szCs w:val="22"/>
              </w:rPr>
              <w:t>4,137,700</w:t>
            </w:r>
          </w:p>
        </w:tc>
        <w:tc>
          <w:tcPr>
            <w:tcW w:w="1047" w:type="pct"/>
            <w:tcMar>
              <w:top w:w="144" w:type="nil"/>
              <w:right w:w="144" w:type="nil"/>
            </w:tcMar>
          </w:tcPr>
          <w:p w14:paraId="6D4249B2" w14:textId="77777777" w:rsidR="00193E42" w:rsidRPr="00B32742" w:rsidRDefault="00193E42" w:rsidP="008E4EC7">
            <w:pPr>
              <w:widowControl w:val="0"/>
              <w:autoSpaceDE w:val="0"/>
              <w:autoSpaceDN w:val="0"/>
              <w:adjustRightInd w:val="0"/>
              <w:jc w:val="center"/>
              <w:rPr>
                <w:sz w:val="22"/>
                <w:szCs w:val="22"/>
                <w:lang w:val="x-none" w:eastAsia="x-none"/>
              </w:rPr>
            </w:pPr>
          </w:p>
        </w:tc>
      </w:tr>
      <w:tr w:rsidR="00193E42" w:rsidRPr="00B32742" w14:paraId="4F21A6A6" w14:textId="77777777" w:rsidTr="008E4EC7">
        <w:tc>
          <w:tcPr>
            <w:tcW w:w="1886" w:type="pct"/>
            <w:tcMar>
              <w:top w:w="144" w:type="nil"/>
              <w:right w:w="144" w:type="nil"/>
            </w:tcMar>
          </w:tcPr>
          <w:p w14:paraId="0AA5B3B2" w14:textId="77777777" w:rsidR="00193E42" w:rsidRPr="00B32742" w:rsidRDefault="00193E42" w:rsidP="008E4EC7">
            <w:pPr>
              <w:widowControl w:val="0"/>
              <w:autoSpaceDE w:val="0"/>
              <w:autoSpaceDN w:val="0"/>
              <w:adjustRightInd w:val="0"/>
              <w:rPr>
                <w:sz w:val="22"/>
                <w:szCs w:val="22"/>
              </w:rPr>
            </w:pPr>
            <w:r w:rsidRPr="00B32742">
              <w:rPr>
                <w:sz w:val="22"/>
                <w:szCs w:val="22"/>
              </w:rPr>
              <w:t>Y at F</w:t>
            </w:r>
            <w:r w:rsidRPr="00B32742">
              <w:rPr>
                <w:sz w:val="22"/>
                <w:szCs w:val="22"/>
                <w:vertAlign w:val="subscript"/>
              </w:rPr>
              <w:t>30%SPR</w:t>
            </w:r>
            <w:r w:rsidRPr="00B32742">
              <w:rPr>
                <w:sz w:val="22"/>
                <w:szCs w:val="22"/>
              </w:rPr>
              <w:t xml:space="preserve"> (MSY proxy, lbs)</w:t>
            </w:r>
          </w:p>
        </w:tc>
        <w:tc>
          <w:tcPr>
            <w:tcW w:w="2067" w:type="pct"/>
            <w:tcMar>
              <w:top w:w="144" w:type="nil"/>
              <w:right w:w="144" w:type="nil"/>
            </w:tcMar>
          </w:tcPr>
          <w:p w14:paraId="11EB5BD4" w14:textId="77777777" w:rsidR="00193E42" w:rsidRPr="00B32742" w:rsidRDefault="00193E42" w:rsidP="008E4EC7">
            <w:pPr>
              <w:widowControl w:val="0"/>
              <w:autoSpaceDE w:val="0"/>
              <w:autoSpaceDN w:val="0"/>
              <w:adjustRightInd w:val="0"/>
              <w:jc w:val="center"/>
              <w:rPr>
                <w:sz w:val="22"/>
                <w:szCs w:val="22"/>
              </w:rPr>
            </w:pPr>
            <w:r w:rsidRPr="00B32742">
              <w:rPr>
                <w:sz w:val="22"/>
                <w:szCs w:val="22"/>
              </w:rPr>
              <w:t>912,500</w:t>
            </w:r>
          </w:p>
        </w:tc>
        <w:tc>
          <w:tcPr>
            <w:tcW w:w="1047" w:type="pct"/>
            <w:tcMar>
              <w:top w:w="144" w:type="nil"/>
              <w:right w:w="144" w:type="nil"/>
            </w:tcMar>
          </w:tcPr>
          <w:p w14:paraId="0D2E9548" w14:textId="77777777" w:rsidR="00193E42" w:rsidRPr="00B32742" w:rsidRDefault="00193E42" w:rsidP="008E4EC7">
            <w:pPr>
              <w:widowControl w:val="0"/>
              <w:autoSpaceDE w:val="0"/>
              <w:autoSpaceDN w:val="0"/>
              <w:adjustRightInd w:val="0"/>
              <w:jc w:val="center"/>
              <w:rPr>
                <w:sz w:val="22"/>
                <w:szCs w:val="22"/>
                <w:lang w:val="x-none" w:eastAsia="x-none"/>
              </w:rPr>
            </w:pPr>
          </w:p>
        </w:tc>
      </w:tr>
      <w:tr w:rsidR="00193E42" w:rsidRPr="00B32742" w14:paraId="5C140370" w14:textId="77777777" w:rsidTr="008E4EC7">
        <w:tc>
          <w:tcPr>
            <w:tcW w:w="1886" w:type="pct"/>
            <w:tcMar>
              <w:top w:w="144" w:type="nil"/>
              <w:right w:w="144" w:type="nil"/>
            </w:tcMar>
          </w:tcPr>
          <w:p w14:paraId="590310AF" w14:textId="77777777" w:rsidR="00193E42" w:rsidRPr="00B32742" w:rsidRDefault="00193E42" w:rsidP="008E4EC7">
            <w:pPr>
              <w:widowControl w:val="0"/>
              <w:autoSpaceDE w:val="0"/>
              <w:autoSpaceDN w:val="0"/>
              <w:adjustRightInd w:val="0"/>
              <w:rPr>
                <w:sz w:val="22"/>
                <w:szCs w:val="22"/>
              </w:rPr>
            </w:pPr>
            <w:r w:rsidRPr="00B32742">
              <w:rPr>
                <w:sz w:val="22"/>
                <w:szCs w:val="22"/>
              </w:rPr>
              <w:t>Y at F</w:t>
            </w:r>
            <w:r w:rsidRPr="00B32742">
              <w:rPr>
                <w:sz w:val="22"/>
                <w:szCs w:val="22"/>
                <w:vertAlign w:val="subscript"/>
              </w:rPr>
              <w:t>40%SPR</w:t>
            </w:r>
            <w:r w:rsidRPr="00B32742">
              <w:rPr>
                <w:sz w:val="22"/>
                <w:szCs w:val="22"/>
              </w:rPr>
              <w:t xml:space="preserve"> (lbs)</w:t>
            </w:r>
          </w:p>
        </w:tc>
        <w:tc>
          <w:tcPr>
            <w:tcW w:w="2067" w:type="pct"/>
            <w:tcMar>
              <w:top w:w="144" w:type="nil"/>
              <w:right w:w="144" w:type="nil"/>
            </w:tcMar>
          </w:tcPr>
          <w:p w14:paraId="65A3F65E" w14:textId="77777777" w:rsidR="00193E42" w:rsidRPr="00B32742" w:rsidRDefault="00193E42" w:rsidP="008E4EC7">
            <w:pPr>
              <w:widowControl w:val="0"/>
              <w:autoSpaceDE w:val="0"/>
              <w:autoSpaceDN w:val="0"/>
              <w:adjustRightInd w:val="0"/>
              <w:jc w:val="center"/>
              <w:rPr>
                <w:sz w:val="22"/>
                <w:szCs w:val="22"/>
              </w:rPr>
            </w:pPr>
            <w:r w:rsidRPr="00B32742">
              <w:rPr>
                <w:sz w:val="22"/>
                <w:szCs w:val="22"/>
              </w:rPr>
              <w:t>874,000</w:t>
            </w:r>
          </w:p>
        </w:tc>
        <w:tc>
          <w:tcPr>
            <w:tcW w:w="1047" w:type="pct"/>
            <w:tcMar>
              <w:top w:w="144" w:type="nil"/>
              <w:right w:w="144" w:type="nil"/>
            </w:tcMar>
          </w:tcPr>
          <w:p w14:paraId="5E2F6A75" w14:textId="77777777" w:rsidR="00193E42" w:rsidRPr="00B32742" w:rsidRDefault="00193E42" w:rsidP="008E4EC7">
            <w:pPr>
              <w:widowControl w:val="0"/>
              <w:autoSpaceDE w:val="0"/>
              <w:autoSpaceDN w:val="0"/>
              <w:adjustRightInd w:val="0"/>
              <w:jc w:val="center"/>
              <w:rPr>
                <w:sz w:val="22"/>
                <w:szCs w:val="22"/>
                <w:lang w:val="x-none" w:eastAsia="x-none"/>
              </w:rPr>
            </w:pPr>
          </w:p>
        </w:tc>
      </w:tr>
      <w:tr w:rsidR="00193E42" w:rsidRPr="00B32742" w14:paraId="032E44AE" w14:textId="77777777" w:rsidTr="008E4EC7">
        <w:tc>
          <w:tcPr>
            <w:tcW w:w="1886" w:type="pct"/>
            <w:tcMar>
              <w:top w:w="144" w:type="nil"/>
              <w:right w:w="144" w:type="nil"/>
            </w:tcMar>
          </w:tcPr>
          <w:p w14:paraId="06D4BFF9" w14:textId="77777777" w:rsidR="00193E42" w:rsidRPr="00B32742" w:rsidRDefault="00193E42" w:rsidP="008E4EC7">
            <w:pPr>
              <w:widowControl w:val="0"/>
              <w:autoSpaceDE w:val="0"/>
              <w:autoSpaceDN w:val="0"/>
              <w:adjustRightInd w:val="0"/>
              <w:rPr>
                <w:sz w:val="22"/>
                <w:szCs w:val="22"/>
              </w:rPr>
            </w:pPr>
            <w:r w:rsidRPr="00B32742">
              <w:rPr>
                <w:sz w:val="22"/>
                <w:szCs w:val="22"/>
              </w:rPr>
              <w:t>ABC Control Rule Adjustment</w:t>
            </w:r>
          </w:p>
        </w:tc>
        <w:tc>
          <w:tcPr>
            <w:tcW w:w="2067" w:type="pct"/>
            <w:tcMar>
              <w:top w:w="144" w:type="nil"/>
              <w:right w:w="144" w:type="nil"/>
            </w:tcMar>
          </w:tcPr>
          <w:p w14:paraId="2AD57698" w14:textId="77777777" w:rsidR="00193E42" w:rsidRPr="00B32742" w:rsidRDefault="00193E42" w:rsidP="008E4EC7">
            <w:pPr>
              <w:widowControl w:val="0"/>
              <w:autoSpaceDE w:val="0"/>
              <w:autoSpaceDN w:val="0"/>
              <w:adjustRightInd w:val="0"/>
              <w:jc w:val="center"/>
              <w:rPr>
                <w:sz w:val="22"/>
                <w:szCs w:val="22"/>
                <w:lang w:val="x-none" w:eastAsia="x-none"/>
              </w:rPr>
            </w:pPr>
          </w:p>
        </w:tc>
        <w:tc>
          <w:tcPr>
            <w:tcW w:w="1047" w:type="pct"/>
            <w:tcMar>
              <w:top w:w="144" w:type="nil"/>
              <w:right w:w="144" w:type="nil"/>
            </w:tcMar>
          </w:tcPr>
          <w:p w14:paraId="5A337577" w14:textId="77777777" w:rsidR="00193E42" w:rsidRPr="00B32742" w:rsidRDefault="00193E42" w:rsidP="008E4EC7">
            <w:pPr>
              <w:widowControl w:val="0"/>
              <w:autoSpaceDE w:val="0"/>
              <w:autoSpaceDN w:val="0"/>
              <w:adjustRightInd w:val="0"/>
              <w:jc w:val="center"/>
              <w:rPr>
                <w:sz w:val="22"/>
                <w:szCs w:val="22"/>
              </w:rPr>
            </w:pPr>
            <w:r w:rsidRPr="00B32742">
              <w:rPr>
                <w:sz w:val="22"/>
                <w:szCs w:val="22"/>
              </w:rPr>
              <w:t>20%</w:t>
            </w:r>
          </w:p>
        </w:tc>
      </w:tr>
      <w:tr w:rsidR="00193E42" w:rsidRPr="00B32742" w14:paraId="2BDA9E2A" w14:textId="77777777" w:rsidTr="008E4EC7">
        <w:tc>
          <w:tcPr>
            <w:tcW w:w="1886" w:type="pct"/>
            <w:tcMar>
              <w:top w:w="144" w:type="nil"/>
              <w:right w:w="144" w:type="nil"/>
            </w:tcMar>
          </w:tcPr>
          <w:p w14:paraId="210D70A6" w14:textId="77777777" w:rsidR="00193E42" w:rsidRPr="00B32742" w:rsidRDefault="00193E42" w:rsidP="008E4EC7">
            <w:pPr>
              <w:widowControl w:val="0"/>
              <w:autoSpaceDE w:val="0"/>
              <w:autoSpaceDN w:val="0"/>
              <w:adjustRightInd w:val="0"/>
              <w:rPr>
                <w:sz w:val="22"/>
                <w:szCs w:val="22"/>
              </w:rPr>
            </w:pPr>
            <w:r w:rsidRPr="00B32742">
              <w:rPr>
                <w:sz w:val="22"/>
                <w:szCs w:val="22"/>
              </w:rPr>
              <w:t>P-Star</w:t>
            </w:r>
          </w:p>
        </w:tc>
        <w:tc>
          <w:tcPr>
            <w:tcW w:w="2067" w:type="pct"/>
            <w:tcMar>
              <w:top w:w="144" w:type="nil"/>
              <w:right w:w="144" w:type="nil"/>
            </w:tcMar>
          </w:tcPr>
          <w:p w14:paraId="1BA754F2" w14:textId="77777777" w:rsidR="00193E42" w:rsidRPr="00B32742" w:rsidRDefault="00193E42" w:rsidP="008E4EC7">
            <w:pPr>
              <w:widowControl w:val="0"/>
              <w:autoSpaceDE w:val="0"/>
              <w:autoSpaceDN w:val="0"/>
              <w:adjustRightInd w:val="0"/>
              <w:jc w:val="center"/>
              <w:rPr>
                <w:sz w:val="22"/>
                <w:szCs w:val="22"/>
                <w:lang w:val="x-none" w:eastAsia="x-none"/>
              </w:rPr>
            </w:pPr>
          </w:p>
        </w:tc>
        <w:tc>
          <w:tcPr>
            <w:tcW w:w="1047" w:type="pct"/>
            <w:tcMar>
              <w:top w:w="144" w:type="nil"/>
              <w:right w:w="144" w:type="nil"/>
            </w:tcMar>
          </w:tcPr>
          <w:p w14:paraId="7D727AB6" w14:textId="77777777" w:rsidR="00193E42" w:rsidRPr="00B32742" w:rsidRDefault="00193E42" w:rsidP="008E4EC7">
            <w:pPr>
              <w:widowControl w:val="0"/>
              <w:autoSpaceDE w:val="0"/>
              <w:autoSpaceDN w:val="0"/>
              <w:adjustRightInd w:val="0"/>
              <w:jc w:val="center"/>
              <w:rPr>
                <w:sz w:val="22"/>
                <w:szCs w:val="22"/>
              </w:rPr>
            </w:pPr>
            <w:r w:rsidRPr="00B32742">
              <w:rPr>
                <w:sz w:val="22"/>
                <w:szCs w:val="22"/>
              </w:rPr>
              <w:t>30%</w:t>
            </w:r>
          </w:p>
        </w:tc>
      </w:tr>
    </w:tbl>
    <w:p w14:paraId="548C20C6" w14:textId="77777777" w:rsidR="00B32742" w:rsidRDefault="00193E42" w:rsidP="00B95EF2">
      <w:pPr>
        <w:rPr>
          <w:rFonts w:ascii="Calibri" w:hAnsi="Calibri" w:cs="Calibri"/>
          <w:color w:val="18376A"/>
          <w:sz w:val="30"/>
          <w:szCs w:val="30"/>
        </w:rPr>
      </w:pPr>
      <w:r>
        <w:rPr>
          <w:rFonts w:ascii="Calibri" w:hAnsi="Calibri" w:cs="Calibri"/>
          <w:color w:val="18376A"/>
          <w:sz w:val="30"/>
          <w:szCs w:val="30"/>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1317"/>
        <w:gridCol w:w="1186"/>
        <w:gridCol w:w="1297"/>
        <w:gridCol w:w="1318"/>
        <w:gridCol w:w="1816"/>
        <w:gridCol w:w="1814"/>
      </w:tblGrid>
      <w:tr w:rsidR="00D85CE8" w:rsidRPr="00B32742" w14:paraId="2E814543" w14:textId="77777777" w:rsidTr="00A021F4">
        <w:trPr>
          <w:trHeight w:val="243"/>
        </w:trPr>
        <w:tc>
          <w:tcPr>
            <w:tcW w:w="433" w:type="pct"/>
            <w:shd w:val="clear" w:color="auto" w:fill="D9D9D9" w:themeFill="background1" w:themeFillShade="D9"/>
          </w:tcPr>
          <w:p w14:paraId="7C9A47A1" w14:textId="77777777" w:rsidR="00D85CE8" w:rsidRPr="00B32742" w:rsidRDefault="00D85CE8" w:rsidP="00D85CE8">
            <w:pPr>
              <w:widowControl w:val="0"/>
              <w:autoSpaceDE w:val="0"/>
              <w:autoSpaceDN w:val="0"/>
              <w:adjustRightInd w:val="0"/>
              <w:jc w:val="center"/>
              <w:rPr>
                <w:b/>
                <w:sz w:val="22"/>
                <w:szCs w:val="22"/>
              </w:rPr>
            </w:pPr>
          </w:p>
        </w:tc>
        <w:tc>
          <w:tcPr>
            <w:tcW w:w="3620" w:type="pct"/>
            <w:gridSpan w:val="5"/>
            <w:shd w:val="clear" w:color="auto" w:fill="D9D9D9" w:themeFill="background1" w:themeFillShade="D9"/>
            <w:tcMar>
              <w:top w:w="144" w:type="nil"/>
              <w:right w:w="144" w:type="nil"/>
            </w:tcMar>
          </w:tcPr>
          <w:p w14:paraId="45BAEBEA" w14:textId="77777777" w:rsidR="00D85CE8" w:rsidRPr="00B32742" w:rsidRDefault="00D85CE8" w:rsidP="00D85CE8">
            <w:pPr>
              <w:widowControl w:val="0"/>
              <w:autoSpaceDE w:val="0"/>
              <w:autoSpaceDN w:val="0"/>
              <w:adjustRightInd w:val="0"/>
              <w:jc w:val="center"/>
              <w:rPr>
                <w:b/>
                <w:sz w:val="22"/>
                <w:szCs w:val="22"/>
              </w:rPr>
            </w:pPr>
            <w:r w:rsidRPr="00B32742">
              <w:rPr>
                <w:b/>
                <w:sz w:val="22"/>
                <w:szCs w:val="22"/>
              </w:rPr>
              <w:t>OFL RECOMMENDATIONS</w:t>
            </w:r>
          </w:p>
        </w:tc>
        <w:tc>
          <w:tcPr>
            <w:tcW w:w="947" w:type="pct"/>
            <w:shd w:val="clear" w:color="auto" w:fill="D9D9D9" w:themeFill="background1" w:themeFillShade="D9"/>
          </w:tcPr>
          <w:p w14:paraId="2EF956BC" w14:textId="77777777" w:rsidR="00D85CE8" w:rsidRPr="00B32742" w:rsidRDefault="00D85CE8" w:rsidP="00D85CE8">
            <w:pPr>
              <w:widowControl w:val="0"/>
              <w:autoSpaceDE w:val="0"/>
              <w:autoSpaceDN w:val="0"/>
              <w:adjustRightInd w:val="0"/>
              <w:jc w:val="center"/>
              <w:rPr>
                <w:b/>
                <w:sz w:val="22"/>
                <w:szCs w:val="22"/>
              </w:rPr>
            </w:pPr>
          </w:p>
        </w:tc>
      </w:tr>
      <w:tr w:rsidR="00D85CE8" w:rsidRPr="00B32742" w14:paraId="691FAD48" w14:textId="77777777" w:rsidTr="00D85CE8">
        <w:trPr>
          <w:trHeight w:val="500"/>
        </w:trPr>
        <w:tc>
          <w:tcPr>
            <w:tcW w:w="433" w:type="pct"/>
            <w:shd w:val="clear" w:color="auto" w:fill="D9D9D9" w:themeFill="background1" w:themeFillShade="D9"/>
            <w:tcMar>
              <w:top w:w="144" w:type="nil"/>
              <w:right w:w="144" w:type="nil"/>
            </w:tcMar>
          </w:tcPr>
          <w:p w14:paraId="304AE273" w14:textId="77777777" w:rsidR="00D85CE8" w:rsidRPr="00B32742" w:rsidRDefault="00D85CE8" w:rsidP="00D85CE8">
            <w:pPr>
              <w:widowControl w:val="0"/>
              <w:autoSpaceDE w:val="0"/>
              <w:autoSpaceDN w:val="0"/>
              <w:adjustRightInd w:val="0"/>
              <w:jc w:val="center"/>
              <w:rPr>
                <w:b/>
                <w:sz w:val="22"/>
                <w:szCs w:val="22"/>
              </w:rPr>
            </w:pPr>
            <w:r w:rsidRPr="00B32742">
              <w:rPr>
                <w:b/>
                <w:sz w:val="22"/>
                <w:szCs w:val="22"/>
              </w:rPr>
              <w:t>Year</w:t>
            </w:r>
          </w:p>
        </w:tc>
        <w:tc>
          <w:tcPr>
            <w:tcW w:w="688" w:type="pct"/>
            <w:shd w:val="clear" w:color="auto" w:fill="D9D9D9" w:themeFill="background1" w:themeFillShade="D9"/>
            <w:tcMar>
              <w:top w:w="144" w:type="nil"/>
              <w:right w:w="144" w:type="nil"/>
            </w:tcMar>
          </w:tcPr>
          <w:p w14:paraId="43DE17B7" w14:textId="77777777" w:rsidR="00D85CE8" w:rsidRPr="00B32742" w:rsidRDefault="00D85CE8" w:rsidP="00D85CE8">
            <w:pPr>
              <w:widowControl w:val="0"/>
              <w:autoSpaceDE w:val="0"/>
              <w:autoSpaceDN w:val="0"/>
              <w:adjustRightInd w:val="0"/>
              <w:jc w:val="center"/>
              <w:rPr>
                <w:b/>
                <w:sz w:val="22"/>
                <w:szCs w:val="22"/>
              </w:rPr>
            </w:pPr>
            <w:r w:rsidRPr="00B32742">
              <w:rPr>
                <w:b/>
                <w:sz w:val="22"/>
                <w:szCs w:val="22"/>
              </w:rPr>
              <w:t>Land</w:t>
            </w:r>
            <w:r>
              <w:rPr>
                <w:b/>
                <w:sz w:val="22"/>
                <w:szCs w:val="22"/>
              </w:rPr>
              <w:t>ings</w:t>
            </w:r>
            <w:r w:rsidRPr="00B32742">
              <w:rPr>
                <w:b/>
                <w:sz w:val="22"/>
                <w:szCs w:val="22"/>
              </w:rPr>
              <w:t xml:space="preserve"> (lbs)</w:t>
            </w:r>
          </w:p>
        </w:tc>
        <w:tc>
          <w:tcPr>
            <w:tcW w:w="619" w:type="pct"/>
            <w:shd w:val="clear" w:color="auto" w:fill="D9D9D9" w:themeFill="background1" w:themeFillShade="D9"/>
            <w:tcMar>
              <w:top w:w="144" w:type="nil"/>
              <w:right w:w="144" w:type="nil"/>
            </w:tcMar>
          </w:tcPr>
          <w:p w14:paraId="3A409B53" w14:textId="77777777" w:rsidR="00D85CE8" w:rsidRPr="00B32742" w:rsidRDefault="00D85CE8" w:rsidP="00D85CE8">
            <w:pPr>
              <w:widowControl w:val="0"/>
              <w:autoSpaceDE w:val="0"/>
              <w:autoSpaceDN w:val="0"/>
              <w:adjustRightInd w:val="0"/>
              <w:jc w:val="center"/>
              <w:rPr>
                <w:b/>
                <w:sz w:val="22"/>
                <w:szCs w:val="22"/>
              </w:rPr>
            </w:pPr>
            <w:r w:rsidRPr="00B32742">
              <w:rPr>
                <w:b/>
                <w:sz w:val="22"/>
                <w:szCs w:val="22"/>
              </w:rPr>
              <w:t>Discards (lbs)</w:t>
            </w:r>
          </w:p>
        </w:tc>
        <w:tc>
          <w:tcPr>
            <w:tcW w:w="677" w:type="pct"/>
            <w:shd w:val="clear" w:color="auto" w:fill="D9D9D9" w:themeFill="background1" w:themeFillShade="D9"/>
          </w:tcPr>
          <w:p w14:paraId="5B93A2CE" w14:textId="77777777" w:rsidR="00D85CE8" w:rsidRDefault="00D85CE8" w:rsidP="00D85CE8">
            <w:pPr>
              <w:widowControl w:val="0"/>
              <w:autoSpaceDE w:val="0"/>
              <w:autoSpaceDN w:val="0"/>
              <w:adjustRightInd w:val="0"/>
              <w:jc w:val="center"/>
              <w:rPr>
                <w:b/>
                <w:sz w:val="22"/>
                <w:szCs w:val="22"/>
              </w:rPr>
            </w:pPr>
            <w:r>
              <w:rPr>
                <w:b/>
                <w:sz w:val="22"/>
                <w:szCs w:val="22"/>
              </w:rPr>
              <w:t>Catch</w:t>
            </w:r>
          </w:p>
          <w:p w14:paraId="49D9A901" w14:textId="77777777" w:rsidR="00D85CE8" w:rsidRPr="00B32742" w:rsidRDefault="00D85CE8" w:rsidP="00D85CE8">
            <w:pPr>
              <w:widowControl w:val="0"/>
              <w:autoSpaceDE w:val="0"/>
              <w:autoSpaceDN w:val="0"/>
              <w:adjustRightInd w:val="0"/>
              <w:jc w:val="center"/>
              <w:rPr>
                <w:b/>
                <w:sz w:val="22"/>
                <w:szCs w:val="22"/>
              </w:rPr>
            </w:pPr>
            <w:r>
              <w:rPr>
                <w:b/>
                <w:sz w:val="22"/>
                <w:szCs w:val="22"/>
              </w:rPr>
              <w:t>(lbs)</w:t>
            </w:r>
          </w:p>
        </w:tc>
        <w:tc>
          <w:tcPr>
            <w:tcW w:w="688" w:type="pct"/>
            <w:shd w:val="clear" w:color="auto" w:fill="D9D9D9" w:themeFill="background1" w:themeFillShade="D9"/>
            <w:tcMar>
              <w:top w:w="144" w:type="nil"/>
              <w:right w:w="144" w:type="nil"/>
            </w:tcMar>
          </w:tcPr>
          <w:p w14:paraId="3E3561FB" w14:textId="77777777" w:rsidR="00D85CE8" w:rsidRPr="00B32742" w:rsidRDefault="00D85CE8" w:rsidP="00D85CE8">
            <w:pPr>
              <w:widowControl w:val="0"/>
              <w:autoSpaceDE w:val="0"/>
              <w:autoSpaceDN w:val="0"/>
              <w:adjustRightInd w:val="0"/>
              <w:jc w:val="center"/>
              <w:rPr>
                <w:b/>
                <w:sz w:val="22"/>
                <w:szCs w:val="22"/>
              </w:rPr>
            </w:pPr>
            <w:r w:rsidRPr="00B32742">
              <w:rPr>
                <w:b/>
                <w:sz w:val="22"/>
                <w:szCs w:val="22"/>
              </w:rPr>
              <w:t>Land</w:t>
            </w:r>
            <w:r>
              <w:rPr>
                <w:b/>
                <w:sz w:val="22"/>
                <w:szCs w:val="22"/>
              </w:rPr>
              <w:t>ings</w:t>
            </w:r>
            <w:r w:rsidRPr="00B32742">
              <w:rPr>
                <w:b/>
                <w:sz w:val="22"/>
                <w:szCs w:val="22"/>
              </w:rPr>
              <w:t xml:space="preserve"> (numbers)</w:t>
            </w:r>
          </w:p>
        </w:tc>
        <w:tc>
          <w:tcPr>
            <w:tcW w:w="947" w:type="pct"/>
            <w:shd w:val="clear" w:color="auto" w:fill="D9D9D9" w:themeFill="background1" w:themeFillShade="D9"/>
            <w:tcMar>
              <w:top w:w="144" w:type="nil"/>
              <w:right w:w="144" w:type="nil"/>
            </w:tcMar>
          </w:tcPr>
          <w:p w14:paraId="20FCB320" w14:textId="77777777" w:rsidR="00D85CE8" w:rsidRPr="00B32742" w:rsidRDefault="00D85CE8" w:rsidP="00D85CE8">
            <w:pPr>
              <w:widowControl w:val="0"/>
              <w:autoSpaceDE w:val="0"/>
              <w:autoSpaceDN w:val="0"/>
              <w:adjustRightInd w:val="0"/>
              <w:jc w:val="center"/>
              <w:rPr>
                <w:b/>
                <w:sz w:val="22"/>
                <w:szCs w:val="22"/>
              </w:rPr>
            </w:pPr>
            <w:r w:rsidRPr="00B32742">
              <w:rPr>
                <w:b/>
                <w:sz w:val="22"/>
                <w:szCs w:val="22"/>
              </w:rPr>
              <w:t>Discards (numbers)</w:t>
            </w:r>
          </w:p>
        </w:tc>
        <w:tc>
          <w:tcPr>
            <w:tcW w:w="947" w:type="pct"/>
            <w:shd w:val="clear" w:color="auto" w:fill="D9D9D9" w:themeFill="background1" w:themeFillShade="D9"/>
          </w:tcPr>
          <w:p w14:paraId="19709D68" w14:textId="77777777" w:rsidR="00D85CE8" w:rsidRDefault="00D85CE8" w:rsidP="00D85CE8">
            <w:pPr>
              <w:widowControl w:val="0"/>
              <w:autoSpaceDE w:val="0"/>
              <w:autoSpaceDN w:val="0"/>
              <w:adjustRightInd w:val="0"/>
              <w:jc w:val="center"/>
              <w:rPr>
                <w:b/>
                <w:sz w:val="22"/>
                <w:szCs w:val="22"/>
              </w:rPr>
            </w:pPr>
            <w:r>
              <w:rPr>
                <w:b/>
                <w:sz w:val="22"/>
                <w:szCs w:val="22"/>
              </w:rPr>
              <w:t xml:space="preserve">Catch </w:t>
            </w:r>
          </w:p>
          <w:p w14:paraId="10535CE6" w14:textId="77777777" w:rsidR="00D85CE8" w:rsidRPr="00B32742" w:rsidRDefault="00D85CE8" w:rsidP="00D85CE8">
            <w:pPr>
              <w:widowControl w:val="0"/>
              <w:autoSpaceDE w:val="0"/>
              <w:autoSpaceDN w:val="0"/>
              <w:adjustRightInd w:val="0"/>
              <w:jc w:val="center"/>
              <w:rPr>
                <w:b/>
                <w:sz w:val="22"/>
                <w:szCs w:val="22"/>
              </w:rPr>
            </w:pPr>
            <w:r>
              <w:rPr>
                <w:b/>
                <w:sz w:val="22"/>
                <w:szCs w:val="22"/>
              </w:rPr>
              <w:t>(numbers)</w:t>
            </w:r>
          </w:p>
        </w:tc>
      </w:tr>
      <w:tr w:rsidR="00D85CE8" w:rsidRPr="00B32742" w14:paraId="2BFD70E0" w14:textId="77777777" w:rsidTr="00D85CE8">
        <w:trPr>
          <w:trHeight w:val="256"/>
        </w:trPr>
        <w:tc>
          <w:tcPr>
            <w:tcW w:w="433" w:type="pct"/>
            <w:tcMar>
              <w:top w:w="144" w:type="nil"/>
              <w:right w:w="144" w:type="nil"/>
            </w:tcMar>
            <w:vAlign w:val="center"/>
          </w:tcPr>
          <w:p w14:paraId="1CFEDA4B" w14:textId="77777777" w:rsidR="00D85CE8" w:rsidRPr="00B32742" w:rsidRDefault="00D85CE8" w:rsidP="00D85CE8">
            <w:pPr>
              <w:widowControl w:val="0"/>
              <w:autoSpaceDE w:val="0"/>
              <w:autoSpaceDN w:val="0"/>
              <w:adjustRightInd w:val="0"/>
              <w:jc w:val="center"/>
              <w:rPr>
                <w:sz w:val="22"/>
                <w:szCs w:val="22"/>
              </w:rPr>
            </w:pPr>
            <w:r w:rsidRPr="00B32742">
              <w:rPr>
                <w:sz w:val="22"/>
                <w:szCs w:val="22"/>
              </w:rPr>
              <w:t>2017</w:t>
            </w:r>
          </w:p>
        </w:tc>
        <w:tc>
          <w:tcPr>
            <w:tcW w:w="688" w:type="pct"/>
            <w:tcMar>
              <w:top w:w="144" w:type="nil"/>
              <w:right w:w="144" w:type="nil"/>
            </w:tcMar>
            <w:vAlign w:val="center"/>
          </w:tcPr>
          <w:p w14:paraId="780930E1" w14:textId="77777777" w:rsidR="00D85CE8" w:rsidRPr="00B32742" w:rsidRDefault="00D85CE8" w:rsidP="00D85CE8">
            <w:pPr>
              <w:widowControl w:val="0"/>
              <w:autoSpaceDE w:val="0"/>
              <w:autoSpaceDN w:val="0"/>
              <w:adjustRightInd w:val="0"/>
              <w:jc w:val="center"/>
              <w:rPr>
                <w:sz w:val="22"/>
                <w:szCs w:val="22"/>
              </w:rPr>
            </w:pPr>
            <w:r w:rsidRPr="00B32742">
              <w:rPr>
                <w:sz w:val="22"/>
                <w:szCs w:val="22"/>
              </w:rPr>
              <w:t>751,711</w:t>
            </w:r>
          </w:p>
        </w:tc>
        <w:tc>
          <w:tcPr>
            <w:tcW w:w="619" w:type="pct"/>
            <w:tcMar>
              <w:top w:w="144" w:type="nil"/>
              <w:right w:w="144" w:type="nil"/>
            </w:tcMar>
            <w:vAlign w:val="center"/>
          </w:tcPr>
          <w:p w14:paraId="13A52C70" w14:textId="77777777" w:rsidR="00D85CE8" w:rsidRPr="00B32742" w:rsidRDefault="00D85CE8" w:rsidP="00D85CE8">
            <w:pPr>
              <w:widowControl w:val="0"/>
              <w:autoSpaceDE w:val="0"/>
              <w:autoSpaceDN w:val="0"/>
              <w:adjustRightInd w:val="0"/>
              <w:jc w:val="center"/>
              <w:rPr>
                <w:sz w:val="22"/>
                <w:szCs w:val="22"/>
              </w:rPr>
            </w:pPr>
            <w:r w:rsidRPr="00B32742">
              <w:rPr>
                <w:sz w:val="22"/>
                <w:szCs w:val="22"/>
              </w:rPr>
              <w:t>55,962</w:t>
            </w:r>
          </w:p>
        </w:tc>
        <w:tc>
          <w:tcPr>
            <w:tcW w:w="677" w:type="pct"/>
          </w:tcPr>
          <w:p w14:paraId="42A6928A" w14:textId="77777777" w:rsidR="00D85CE8" w:rsidRPr="00B32742" w:rsidRDefault="00D85CE8" w:rsidP="00D85CE8">
            <w:pPr>
              <w:widowControl w:val="0"/>
              <w:autoSpaceDE w:val="0"/>
              <w:autoSpaceDN w:val="0"/>
              <w:adjustRightInd w:val="0"/>
              <w:jc w:val="center"/>
              <w:rPr>
                <w:sz w:val="22"/>
                <w:szCs w:val="22"/>
              </w:rPr>
            </w:pPr>
            <w:r>
              <w:rPr>
                <w:sz w:val="22"/>
                <w:szCs w:val="22"/>
              </w:rPr>
              <w:t>807,673</w:t>
            </w:r>
          </w:p>
        </w:tc>
        <w:tc>
          <w:tcPr>
            <w:tcW w:w="688" w:type="pct"/>
            <w:tcMar>
              <w:top w:w="144" w:type="nil"/>
              <w:right w:w="144" w:type="nil"/>
            </w:tcMar>
            <w:vAlign w:val="center"/>
          </w:tcPr>
          <w:p w14:paraId="0B508769" w14:textId="77777777" w:rsidR="00D85CE8" w:rsidRPr="00B32742" w:rsidRDefault="00D85CE8" w:rsidP="00D85CE8">
            <w:pPr>
              <w:widowControl w:val="0"/>
              <w:autoSpaceDE w:val="0"/>
              <w:autoSpaceDN w:val="0"/>
              <w:adjustRightInd w:val="0"/>
              <w:jc w:val="center"/>
              <w:rPr>
                <w:sz w:val="22"/>
                <w:szCs w:val="22"/>
              </w:rPr>
            </w:pPr>
            <w:r w:rsidRPr="00B32742">
              <w:rPr>
                <w:sz w:val="22"/>
                <w:szCs w:val="22"/>
              </w:rPr>
              <w:t>164,150</w:t>
            </w:r>
          </w:p>
        </w:tc>
        <w:tc>
          <w:tcPr>
            <w:tcW w:w="947" w:type="pct"/>
            <w:tcMar>
              <w:top w:w="144" w:type="nil"/>
              <w:right w:w="144" w:type="nil"/>
            </w:tcMar>
            <w:vAlign w:val="center"/>
          </w:tcPr>
          <w:p w14:paraId="2B67815E" w14:textId="77777777" w:rsidR="00D85CE8" w:rsidRPr="00B32742" w:rsidRDefault="00D85CE8" w:rsidP="00D85CE8">
            <w:pPr>
              <w:widowControl w:val="0"/>
              <w:autoSpaceDE w:val="0"/>
              <w:autoSpaceDN w:val="0"/>
              <w:adjustRightInd w:val="0"/>
              <w:jc w:val="center"/>
              <w:rPr>
                <w:sz w:val="22"/>
                <w:szCs w:val="22"/>
              </w:rPr>
            </w:pPr>
            <w:r w:rsidRPr="00B32742">
              <w:rPr>
                <w:sz w:val="22"/>
                <w:szCs w:val="22"/>
              </w:rPr>
              <w:t>29,660</w:t>
            </w:r>
          </w:p>
        </w:tc>
        <w:tc>
          <w:tcPr>
            <w:tcW w:w="947" w:type="pct"/>
          </w:tcPr>
          <w:p w14:paraId="3CDAABCB" w14:textId="77777777" w:rsidR="00D85CE8" w:rsidRPr="00B32742" w:rsidRDefault="00D85CE8" w:rsidP="00D85CE8">
            <w:pPr>
              <w:widowControl w:val="0"/>
              <w:autoSpaceDE w:val="0"/>
              <w:autoSpaceDN w:val="0"/>
              <w:adjustRightInd w:val="0"/>
              <w:jc w:val="center"/>
              <w:rPr>
                <w:sz w:val="22"/>
                <w:szCs w:val="22"/>
              </w:rPr>
            </w:pPr>
            <w:r>
              <w:rPr>
                <w:sz w:val="22"/>
                <w:szCs w:val="22"/>
              </w:rPr>
              <w:t>193,810</w:t>
            </w:r>
          </w:p>
        </w:tc>
      </w:tr>
      <w:tr w:rsidR="00D85CE8" w:rsidRPr="00B32742" w14:paraId="22EEE4AF" w14:textId="77777777" w:rsidTr="00D85CE8">
        <w:trPr>
          <w:trHeight w:val="243"/>
        </w:trPr>
        <w:tc>
          <w:tcPr>
            <w:tcW w:w="433" w:type="pct"/>
            <w:tcMar>
              <w:top w:w="144" w:type="nil"/>
              <w:right w:w="144" w:type="nil"/>
            </w:tcMar>
            <w:vAlign w:val="center"/>
          </w:tcPr>
          <w:p w14:paraId="34E00AF5" w14:textId="77777777" w:rsidR="00D85CE8" w:rsidRPr="00B32742" w:rsidRDefault="00D85CE8" w:rsidP="00D85CE8">
            <w:pPr>
              <w:widowControl w:val="0"/>
              <w:autoSpaceDE w:val="0"/>
              <w:autoSpaceDN w:val="0"/>
              <w:adjustRightInd w:val="0"/>
              <w:jc w:val="center"/>
              <w:rPr>
                <w:sz w:val="22"/>
                <w:szCs w:val="22"/>
              </w:rPr>
            </w:pPr>
            <w:r w:rsidRPr="00B32742">
              <w:rPr>
                <w:sz w:val="22"/>
                <w:szCs w:val="22"/>
              </w:rPr>
              <w:t>2018</w:t>
            </w:r>
          </w:p>
        </w:tc>
        <w:tc>
          <w:tcPr>
            <w:tcW w:w="688" w:type="pct"/>
            <w:tcMar>
              <w:top w:w="144" w:type="nil"/>
              <w:right w:w="144" w:type="nil"/>
            </w:tcMar>
            <w:vAlign w:val="center"/>
          </w:tcPr>
          <w:p w14:paraId="12111AB8" w14:textId="77777777" w:rsidR="00D85CE8" w:rsidRPr="00B32742" w:rsidRDefault="00D85CE8" w:rsidP="00D85CE8">
            <w:pPr>
              <w:widowControl w:val="0"/>
              <w:autoSpaceDE w:val="0"/>
              <w:autoSpaceDN w:val="0"/>
              <w:adjustRightInd w:val="0"/>
              <w:jc w:val="center"/>
              <w:rPr>
                <w:sz w:val="22"/>
                <w:szCs w:val="22"/>
              </w:rPr>
            </w:pPr>
            <w:r w:rsidRPr="00B32742">
              <w:rPr>
                <w:sz w:val="22"/>
                <w:szCs w:val="22"/>
              </w:rPr>
              <w:t>793,823</w:t>
            </w:r>
          </w:p>
        </w:tc>
        <w:tc>
          <w:tcPr>
            <w:tcW w:w="619" w:type="pct"/>
            <w:tcMar>
              <w:top w:w="144" w:type="nil"/>
              <w:right w:w="144" w:type="nil"/>
            </w:tcMar>
            <w:vAlign w:val="center"/>
          </w:tcPr>
          <w:p w14:paraId="353AC3C9" w14:textId="77777777" w:rsidR="00D85CE8" w:rsidRPr="00B32742" w:rsidRDefault="00D85CE8" w:rsidP="00D85CE8">
            <w:pPr>
              <w:widowControl w:val="0"/>
              <w:autoSpaceDE w:val="0"/>
              <w:autoSpaceDN w:val="0"/>
              <w:adjustRightInd w:val="0"/>
              <w:jc w:val="center"/>
              <w:rPr>
                <w:sz w:val="22"/>
                <w:szCs w:val="22"/>
              </w:rPr>
            </w:pPr>
            <w:r w:rsidRPr="00B32742">
              <w:rPr>
                <w:sz w:val="22"/>
                <w:szCs w:val="22"/>
              </w:rPr>
              <w:t>56,994</w:t>
            </w:r>
          </w:p>
        </w:tc>
        <w:tc>
          <w:tcPr>
            <w:tcW w:w="677" w:type="pct"/>
          </w:tcPr>
          <w:p w14:paraId="2A75BFAD" w14:textId="77777777" w:rsidR="00D85CE8" w:rsidRPr="00B32742" w:rsidRDefault="00D85CE8" w:rsidP="00D85CE8">
            <w:pPr>
              <w:widowControl w:val="0"/>
              <w:autoSpaceDE w:val="0"/>
              <w:autoSpaceDN w:val="0"/>
              <w:adjustRightInd w:val="0"/>
              <w:jc w:val="center"/>
              <w:rPr>
                <w:sz w:val="22"/>
                <w:szCs w:val="22"/>
              </w:rPr>
            </w:pPr>
            <w:r>
              <w:rPr>
                <w:sz w:val="22"/>
                <w:szCs w:val="22"/>
              </w:rPr>
              <w:t>850,817</w:t>
            </w:r>
          </w:p>
        </w:tc>
        <w:tc>
          <w:tcPr>
            <w:tcW w:w="688" w:type="pct"/>
            <w:tcMar>
              <w:top w:w="144" w:type="nil"/>
              <w:right w:w="144" w:type="nil"/>
            </w:tcMar>
            <w:vAlign w:val="center"/>
          </w:tcPr>
          <w:p w14:paraId="02471888" w14:textId="77777777" w:rsidR="00D85CE8" w:rsidRPr="00B32742" w:rsidRDefault="00D85CE8" w:rsidP="00D85CE8">
            <w:pPr>
              <w:widowControl w:val="0"/>
              <w:autoSpaceDE w:val="0"/>
              <w:autoSpaceDN w:val="0"/>
              <w:adjustRightInd w:val="0"/>
              <w:jc w:val="center"/>
              <w:rPr>
                <w:sz w:val="22"/>
                <w:szCs w:val="22"/>
              </w:rPr>
            </w:pPr>
            <w:r w:rsidRPr="00B32742">
              <w:rPr>
                <w:sz w:val="22"/>
                <w:szCs w:val="22"/>
              </w:rPr>
              <w:t>173,656</w:t>
            </w:r>
          </w:p>
        </w:tc>
        <w:tc>
          <w:tcPr>
            <w:tcW w:w="947" w:type="pct"/>
            <w:tcMar>
              <w:top w:w="144" w:type="nil"/>
              <w:right w:w="144" w:type="nil"/>
            </w:tcMar>
            <w:vAlign w:val="center"/>
          </w:tcPr>
          <w:p w14:paraId="7C84D439" w14:textId="77777777" w:rsidR="00D85CE8" w:rsidRPr="00B32742" w:rsidRDefault="00D85CE8" w:rsidP="00D85CE8">
            <w:pPr>
              <w:widowControl w:val="0"/>
              <w:autoSpaceDE w:val="0"/>
              <w:autoSpaceDN w:val="0"/>
              <w:adjustRightInd w:val="0"/>
              <w:jc w:val="center"/>
              <w:rPr>
                <w:sz w:val="22"/>
                <w:szCs w:val="22"/>
              </w:rPr>
            </w:pPr>
            <w:r w:rsidRPr="00B32742">
              <w:rPr>
                <w:sz w:val="22"/>
                <w:szCs w:val="22"/>
              </w:rPr>
              <w:t>30,071</w:t>
            </w:r>
          </w:p>
        </w:tc>
        <w:tc>
          <w:tcPr>
            <w:tcW w:w="947" w:type="pct"/>
          </w:tcPr>
          <w:p w14:paraId="0ECE7F1B" w14:textId="77777777" w:rsidR="00D85CE8" w:rsidRPr="00B32742" w:rsidRDefault="00D85CE8" w:rsidP="00D85CE8">
            <w:pPr>
              <w:widowControl w:val="0"/>
              <w:autoSpaceDE w:val="0"/>
              <w:autoSpaceDN w:val="0"/>
              <w:adjustRightInd w:val="0"/>
              <w:jc w:val="center"/>
              <w:rPr>
                <w:sz w:val="22"/>
                <w:szCs w:val="22"/>
              </w:rPr>
            </w:pPr>
            <w:r>
              <w:rPr>
                <w:sz w:val="22"/>
                <w:szCs w:val="22"/>
              </w:rPr>
              <w:t>203,727</w:t>
            </w:r>
          </w:p>
        </w:tc>
      </w:tr>
      <w:tr w:rsidR="00D85CE8" w:rsidRPr="00B32742" w14:paraId="067EB612" w14:textId="77777777" w:rsidTr="00D85CE8">
        <w:trPr>
          <w:trHeight w:val="243"/>
        </w:trPr>
        <w:tc>
          <w:tcPr>
            <w:tcW w:w="433" w:type="pct"/>
            <w:tcMar>
              <w:top w:w="144" w:type="nil"/>
              <w:right w:w="144" w:type="nil"/>
            </w:tcMar>
            <w:vAlign w:val="center"/>
          </w:tcPr>
          <w:p w14:paraId="41C7D80E" w14:textId="77777777" w:rsidR="00D85CE8" w:rsidRPr="00B32742" w:rsidRDefault="00D85CE8" w:rsidP="00D85CE8">
            <w:pPr>
              <w:widowControl w:val="0"/>
              <w:autoSpaceDE w:val="0"/>
              <w:autoSpaceDN w:val="0"/>
              <w:adjustRightInd w:val="0"/>
              <w:jc w:val="center"/>
              <w:rPr>
                <w:sz w:val="22"/>
                <w:szCs w:val="22"/>
              </w:rPr>
            </w:pPr>
            <w:r w:rsidRPr="00B32742">
              <w:rPr>
                <w:sz w:val="22"/>
                <w:szCs w:val="22"/>
              </w:rPr>
              <w:t>2019</w:t>
            </w:r>
          </w:p>
        </w:tc>
        <w:tc>
          <w:tcPr>
            <w:tcW w:w="688" w:type="pct"/>
            <w:tcMar>
              <w:top w:w="144" w:type="nil"/>
              <w:right w:w="144" w:type="nil"/>
            </w:tcMar>
            <w:vAlign w:val="center"/>
          </w:tcPr>
          <w:p w14:paraId="2AB859B1" w14:textId="77777777" w:rsidR="00D85CE8" w:rsidRPr="00B32742" w:rsidRDefault="00D85CE8" w:rsidP="00D85CE8">
            <w:pPr>
              <w:widowControl w:val="0"/>
              <w:autoSpaceDE w:val="0"/>
              <w:autoSpaceDN w:val="0"/>
              <w:adjustRightInd w:val="0"/>
              <w:jc w:val="center"/>
              <w:rPr>
                <w:sz w:val="22"/>
                <w:szCs w:val="22"/>
              </w:rPr>
            </w:pPr>
            <w:r w:rsidRPr="00B32742">
              <w:rPr>
                <w:sz w:val="22"/>
                <w:szCs w:val="22"/>
              </w:rPr>
              <w:t>835,318</w:t>
            </w:r>
          </w:p>
        </w:tc>
        <w:tc>
          <w:tcPr>
            <w:tcW w:w="619" w:type="pct"/>
            <w:tcMar>
              <w:top w:w="144" w:type="nil"/>
              <w:right w:w="144" w:type="nil"/>
            </w:tcMar>
            <w:vAlign w:val="center"/>
          </w:tcPr>
          <w:p w14:paraId="7D55B583" w14:textId="77777777" w:rsidR="00D85CE8" w:rsidRPr="00B32742" w:rsidRDefault="00D85CE8" w:rsidP="00D85CE8">
            <w:pPr>
              <w:widowControl w:val="0"/>
              <w:autoSpaceDE w:val="0"/>
              <w:autoSpaceDN w:val="0"/>
              <w:adjustRightInd w:val="0"/>
              <w:jc w:val="center"/>
              <w:rPr>
                <w:sz w:val="22"/>
                <w:szCs w:val="22"/>
              </w:rPr>
            </w:pPr>
            <w:r w:rsidRPr="00B32742">
              <w:rPr>
                <w:sz w:val="22"/>
                <w:szCs w:val="22"/>
              </w:rPr>
              <w:t>58,170</w:t>
            </w:r>
          </w:p>
        </w:tc>
        <w:tc>
          <w:tcPr>
            <w:tcW w:w="677" w:type="pct"/>
          </w:tcPr>
          <w:p w14:paraId="5C21571A" w14:textId="77777777" w:rsidR="00D85CE8" w:rsidRPr="00B32742" w:rsidRDefault="00D85CE8" w:rsidP="00D85CE8">
            <w:pPr>
              <w:widowControl w:val="0"/>
              <w:autoSpaceDE w:val="0"/>
              <w:autoSpaceDN w:val="0"/>
              <w:adjustRightInd w:val="0"/>
              <w:jc w:val="center"/>
              <w:rPr>
                <w:sz w:val="22"/>
                <w:szCs w:val="22"/>
              </w:rPr>
            </w:pPr>
            <w:r>
              <w:rPr>
                <w:sz w:val="22"/>
                <w:szCs w:val="22"/>
              </w:rPr>
              <w:t>893,488</w:t>
            </w:r>
          </w:p>
        </w:tc>
        <w:tc>
          <w:tcPr>
            <w:tcW w:w="688" w:type="pct"/>
            <w:tcMar>
              <w:top w:w="144" w:type="nil"/>
              <w:right w:w="144" w:type="nil"/>
            </w:tcMar>
            <w:vAlign w:val="center"/>
          </w:tcPr>
          <w:p w14:paraId="06176BAC" w14:textId="77777777" w:rsidR="00D85CE8" w:rsidRPr="00B32742" w:rsidRDefault="00D85CE8" w:rsidP="00D85CE8">
            <w:pPr>
              <w:widowControl w:val="0"/>
              <w:autoSpaceDE w:val="0"/>
              <w:autoSpaceDN w:val="0"/>
              <w:adjustRightInd w:val="0"/>
              <w:jc w:val="center"/>
              <w:rPr>
                <w:sz w:val="22"/>
                <w:szCs w:val="22"/>
              </w:rPr>
            </w:pPr>
            <w:r w:rsidRPr="00B32742">
              <w:rPr>
                <w:sz w:val="22"/>
                <w:szCs w:val="22"/>
              </w:rPr>
              <w:t>180,716</w:t>
            </w:r>
          </w:p>
        </w:tc>
        <w:tc>
          <w:tcPr>
            <w:tcW w:w="947" w:type="pct"/>
            <w:tcMar>
              <w:top w:w="144" w:type="nil"/>
              <w:right w:w="144" w:type="nil"/>
            </w:tcMar>
            <w:vAlign w:val="center"/>
          </w:tcPr>
          <w:p w14:paraId="4B8A5630" w14:textId="77777777" w:rsidR="00D85CE8" w:rsidRPr="00B32742" w:rsidRDefault="00D85CE8" w:rsidP="00D85CE8">
            <w:pPr>
              <w:widowControl w:val="0"/>
              <w:autoSpaceDE w:val="0"/>
              <w:autoSpaceDN w:val="0"/>
              <w:adjustRightInd w:val="0"/>
              <w:jc w:val="center"/>
              <w:rPr>
                <w:sz w:val="22"/>
                <w:szCs w:val="22"/>
              </w:rPr>
            </w:pPr>
            <w:r w:rsidRPr="00B32742">
              <w:rPr>
                <w:sz w:val="22"/>
                <w:szCs w:val="22"/>
              </w:rPr>
              <w:t>30,430</w:t>
            </w:r>
          </w:p>
        </w:tc>
        <w:tc>
          <w:tcPr>
            <w:tcW w:w="947" w:type="pct"/>
          </w:tcPr>
          <w:p w14:paraId="15194BD4" w14:textId="77777777" w:rsidR="00D85CE8" w:rsidRPr="00B32742" w:rsidRDefault="00D85CE8" w:rsidP="00D85CE8">
            <w:pPr>
              <w:widowControl w:val="0"/>
              <w:autoSpaceDE w:val="0"/>
              <w:autoSpaceDN w:val="0"/>
              <w:adjustRightInd w:val="0"/>
              <w:jc w:val="center"/>
              <w:rPr>
                <w:sz w:val="22"/>
                <w:szCs w:val="22"/>
              </w:rPr>
            </w:pPr>
            <w:r>
              <w:rPr>
                <w:sz w:val="22"/>
                <w:szCs w:val="22"/>
              </w:rPr>
              <w:t>211,146</w:t>
            </w:r>
          </w:p>
        </w:tc>
      </w:tr>
      <w:tr w:rsidR="00D85CE8" w:rsidRPr="00B32742" w14:paraId="2C776C82" w14:textId="77777777" w:rsidTr="00D85CE8">
        <w:trPr>
          <w:trHeight w:val="256"/>
        </w:trPr>
        <w:tc>
          <w:tcPr>
            <w:tcW w:w="433" w:type="pct"/>
            <w:tcMar>
              <w:top w:w="144" w:type="nil"/>
              <w:right w:w="144" w:type="nil"/>
            </w:tcMar>
            <w:vAlign w:val="center"/>
          </w:tcPr>
          <w:p w14:paraId="461B90E7" w14:textId="77777777" w:rsidR="00D85CE8" w:rsidRPr="00B32742" w:rsidRDefault="00D85CE8" w:rsidP="00D85CE8">
            <w:pPr>
              <w:widowControl w:val="0"/>
              <w:autoSpaceDE w:val="0"/>
              <w:autoSpaceDN w:val="0"/>
              <w:adjustRightInd w:val="0"/>
              <w:jc w:val="center"/>
              <w:rPr>
                <w:sz w:val="22"/>
                <w:szCs w:val="22"/>
              </w:rPr>
            </w:pPr>
            <w:r w:rsidRPr="00B32742">
              <w:rPr>
                <w:sz w:val="22"/>
                <w:szCs w:val="22"/>
              </w:rPr>
              <w:t>2020</w:t>
            </w:r>
          </w:p>
        </w:tc>
        <w:tc>
          <w:tcPr>
            <w:tcW w:w="688" w:type="pct"/>
            <w:tcMar>
              <w:top w:w="144" w:type="nil"/>
              <w:right w:w="144" w:type="nil"/>
            </w:tcMar>
            <w:vAlign w:val="center"/>
          </w:tcPr>
          <w:p w14:paraId="2A92C8E2" w14:textId="77777777" w:rsidR="00D85CE8" w:rsidRPr="00B32742" w:rsidRDefault="00D85CE8" w:rsidP="00D85CE8">
            <w:pPr>
              <w:widowControl w:val="0"/>
              <w:autoSpaceDE w:val="0"/>
              <w:autoSpaceDN w:val="0"/>
              <w:adjustRightInd w:val="0"/>
              <w:jc w:val="center"/>
              <w:rPr>
                <w:sz w:val="22"/>
                <w:szCs w:val="22"/>
              </w:rPr>
            </w:pPr>
            <w:r w:rsidRPr="00B32742">
              <w:rPr>
                <w:sz w:val="22"/>
                <w:szCs w:val="22"/>
              </w:rPr>
              <w:t>850,077</w:t>
            </w:r>
          </w:p>
        </w:tc>
        <w:tc>
          <w:tcPr>
            <w:tcW w:w="619" w:type="pct"/>
            <w:tcMar>
              <w:top w:w="144" w:type="nil"/>
              <w:right w:w="144" w:type="nil"/>
            </w:tcMar>
            <w:vAlign w:val="center"/>
          </w:tcPr>
          <w:p w14:paraId="5C314D35" w14:textId="77777777" w:rsidR="00D85CE8" w:rsidRPr="00B32742" w:rsidRDefault="00D85CE8" w:rsidP="00D85CE8">
            <w:pPr>
              <w:widowControl w:val="0"/>
              <w:autoSpaceDE w:val="0"/>
              <w:autoSpaceDN w:val="0"/>
              <w:adjustRightInd w:val="0"/>
              <w:jc w:val="center"/>
              <w:rPr>
                <w:sz w:val="22"/>
                <w:szCs w:val="22"/>
              </w:rPr>
            </w:pPr>
            <w:r w:rsidRPr="00B32742">
              <w:rPr>
                <w:sz w:val="22"/>
                <w:szCs w:val="22"/>
              </w:rPr>
              <w:t>58,857</w:t>
            </w:r>
          </w:p>
        </w:tc>
        <w:tc>
          <w:tcPr>
            <w:tcW w:w="677" w:type="pct"/>
          </w:tcPr>
          <w:p w14:paraId="6A6BD28D" w14:textId="77777777" w:rsidR="00D85CE8" w:rsidRPr="00B32742" w:rsidRDefault="00D85CE8" w:rsidP="00D85CE8">
            <w:pPr>
              <w:widowControl w:val="0"/>
              <w:autoSpaceDE w:val="0"/>
              <w:autoSpaceDN w:val="0"/>
              <w:adjustRightInd w:val="0"/>
              <w:jc w:val="center"/>
              <w:rPr>
                <w:sz w:val="22"/>
                <w:szCs w:val="22"/>
              </w:rPr>
            </w:pPr>
            <w:r>
              <w:rPr>
                <w:sz w:val="22"/>
                <w:szCs w:val="22"/>
              </w:rPr>
              <w:t>908,934</w:t>
            </w:r>
          </w:p>
        </w:tc>
        <w:tc>
          <w:tcPr>
            <w:tcW w:w="688" w:type="pct"/>
            <w:tcMar>
              <w:top w:w="144" w:type="nil"/>
              <w:right w:w="144" w:type="nil"/>
            </w:tcMar>
            <w:vAlign w:val="center"/>
          </w:tcPr>
          <w:p w14:paraId="4579656E" w14:textId="77777777" w:rsidR="00D85CE8" w:rsidRPr="00B32742" w:rsidRDefault="00D85CE8" w:rsidP="00D85CE8">
            <w:pPr>
              <w:widowControl w:val="0"/>
              <w:autoSpaceDE w:val="0"/>
              <w:autoSpaceDN w:val="0"/>
              <w:adjustRightInd w:val="0"/>
              <w:jc w:val="center"/>
              <w:rPr>
                <w:sz w:val="22"/>
                <w:szCs w:val="22"/>
              </w:rPr>
            </w:pPr>
            <w:r w:rsidRPr="00B32742">
              <w:rPr>
                <w:sz w:val="22"/>
                <w:szCs w:val="22"/>
              </w:rPr>
              <w:t>184,868</w:t>
            </w:r>
          </w:p>
        </w:tc>
        <w:tc>
          <w:tcPr>
            <w:tcW w:w="947" w:type="pct"/>
            <w:tcMar>
              <w:top w:w="144" w:type="nil"/>
              <w:right w:w="144" w:type="nil"/>
            </w:tcMar>
            <w:vAlign w:val="center"/>
          </w:tcPr>
          <w:p w14:paraId="5D35109D" w14:textId="77777777" w:rsidR="00D85CE8" w:rsidRPr="00B32742" w:rsidRDefault="00D85CE8" w:rsidP="00D85CE8">
            <w:pPr>
              <w:widowControl w:val="0"/>
              <w:autoSpaceDE w:val="0"/>
              <w:autoSpaceDN w:val="0"/>
              <w:adjustRightInd w:val="0"/>
              <w:jc w:val="center"/>
              <w:rPr>
                <w:sz w:val="22"/>
                <w:szCs w:val="22"/>
              </w:rPr>
            </w:pPr>
            <w:r w:rsidRPr="00B32742">
              <w:rPr>
                <w:sz w:val="22"/>
                <w:szCs w:val="22"/>
              </w:rPr>
              <w:t>30,780</w:t>
            </w:r>
          </w:p>
        </w:tc>
        <w:tc>
          <w:tcPr>
            <w:tcW w:w="947" w:type="pct"/>
          </w:tcPr>
          <w:p w14:paraId="57CB4734" w14:textId="77777777" w:rsidR="00D85CE8" w:rsidRPr="00B32742" w:rsidRDefault="00D85CE8" w:rsidP="00D85CE8">
            <w:pPr>
              <w:widowControl w:val="0"/>
              <w:autoSpaceDE w:val="0"/>
              <w:autoSpaceDN w:val="0"/>
              <w:adjustRightInd w:val="0"/>
              <w:jc w:val="center"/>
              <w:rPr>
                <w:sz w:val="22"/>
                <w:szCs w:val="22"/>
              </w:rPr>
            </w:pPr>
            <w:r>
              <w:rPr>
                <w:sz w:val="22"/>
                <w:szCs w:val="22"/>
              </w:rPr>
              <w:t>215,648</w:t>
            </w:r>
          </w:p>
        </w:tc>
      </w:tr>
    </w:tbl>
    <w:p w14:paraId="7C8A902A" w14:textId="77777777" w:rsidR="00D85CE8" w:rsidRDefault="00D85CE8" w:rsidP="00D85CE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1383"/>
        <w:gridCol w:w="1201"/>
        <w:gridCol w:w="1312"/>
        <w:gridCol w:w="1318"/>
        <w:gridCol w:w="1831"/>
        <w:gridCol w:w="1827"/>
      </w:tblGrid>
      <w:tr w:rsidR="00D85CE8" w:rsidRPr="00475D23" w14:paraId="5D782FCD" w14:textId="77777777" w:rsidTr="00D85CE8">
        <w:trPr>
          <w:trHeight w:val="260"/>
        </w:trPr>
        <w:tc>
          <w:tcPr>
            <w:tcW w:w="368" w:type="pct"/>
            <w:shd w:val="clear" w:color="auto" w:fill="D9D9D9" w:themeFill="background1" w:themeFillShade="D9"/>
          </w:tcPr>
          <w:p w14:paraId="6AC98C66" w14:textId="77777777" w:rsidR="00D85CE8" w:rsidRPr="00475D23" w:rsidRDefault="00D85CE8" w:rsidP="00D85CE8">
            <w:pPr>
              <w:widowControl w:val="0"/>
              <w:autoSpaceDE w:val="0"/>
              <w:autoSpaceDN w:val="0"/>
              <w:adjustRightInd w:val="0"/>
              <w:jc w:val="center"/>
              <w:rPr>
                <w:b/>
                <w:sz w:val="22"/>
              </w:rPr>
            </w:pPr>
          </w:p>
        </w:tc>
        <w:tc>
          <w:tcPr>
            <w:tcW w:w="3678" w:type="pct"/>
            <w:gridSpan w:val="5"/>
            <w:shd w:val="clear" w:color="auto" w:fill="D9D9D9" w:themeFill="background1" w:themeFillShade="D9"/>
            <w:tcMar>
              <w:top w:w="144" w:type="nil"/>
              <w:right w:w="144" w:type="nil"/>
            </w:tcMar>
          </w:tcPr>
          <w:p w14:paraId="511C09AF" w14:textId="6F308CCB" w:rsidR="00D85CE8" w:rsidRPr="00475D23" w:rsidRDefault="00D85CE8" w:rsidP="00AF508F">
            <w:pPr>
              <w:widowControl w:val="0"/>
              <w:autoSpaceDE w:val="0"/>
              <w:autoSpaceDN w:val="0"/>
              <w:adjustRightInd w:val="0"/>
              <w:jc w:val="center"/>
              <w:rPr>
                <w:b/>
                <w:sz w:val="22"/>
              </w:rPr>
            </w:pPr>
            <w:r w:rsidRPr="00475D23">
              <w:rPr>
                <w:b/>
                <w:sz w:val="22"/>
              </w:rPr>
              <w:t>ABC RECOMMENDATIONS (P* = 0.</w:t>
            </w:r>
            <w:r w:rsidR="00AF508F">
              <w:rPr>
                <w:b/>
                <w:sz w:val="22"/>
              </w:rPr>
              <w:t>30</w:t>
            </w:r>
            <w:r w:rsidRPr="00475D23">
              <w:rPr>
                <w:b/>
                <w:sz w:val="22"/>
              </w:rPr>
              <w:t>)</w:t>
            </w:r>
          </w:p>
        </w:tc>
        <w:tc>
          <w:tcPr>
            <w:tcW w:w="954" w:type="pct"/>
            <w:shd w:val="clear" w:color="auto" w:fill="D9D9D9" w:themeFill="background1" w:themeFillShade="D9"/>
          </w:tcPr>
          <w:p w14:paraId="3BAC5651" w14:textId="77777777" w:rsidR="00D85CE8" w:rsidRPr="00475D23" w:rsidRDefault="00D85CE8" w:rsidP="00D85CE8">
            <w:pPr>
              <w:widowControl w:val="0"/>
              <w:autoSpaceDE w:val="0"/>
              <w:autoSpaceDN w:val="0"/>
              <w:adjustRightInd w:val="0"/>
              <w:jc w:val="center"/>
              <w:rPr>
                <w:b/>
                <w:sz w:val="22"/>
              </w:rPr>
            </w:pPr>
          </w:p>
        </w:tc>
      </w:tr>
      <w:tr w:rsidR="00D85CE8" w:rsidRPr="00475D23" w14:paraId="31E4F3DD" w14:textId="77777777" w:rsidTr="00D85CE8">
        <w:trPr>
          <w:trHeight w:val="506"/>
        </w:trPr>
        <w:tc>
          <w:tcPr>
            <w:tcW w:w="368" w:type="pct"/>
            <w:shd w:val="clear" w:color="auto" w:fill="D9D9D9" w:themeFill="background1" w:themeFillShade="D9"/>
            <w:tcMar>
              <w:top w:w="144" w:type="nil"/>
              <w:right w:w="144" w:type="nil"/>
            </w:tcMar>
          </w:tcPr>
          <w:p w14:paraId="66CEA529" w14:textId="77777777" w:rsidR="00D85CE8" w:rsidRPr="00475D23" w:rsidRDefault="00D85CE8" w:rsidP="00D85CE8">
            <w:pPr>
              <w:widowControl w:val="0"/>
              <w:autoSpaceDE w:val="0"/>
              <w:autoSpaceDN w:val="0"/>
              <w:adjustRightInd w:val="0"/>
              <w:jc w:val="center"/>
              <w:rPr>
                <w:b/>
                <w:sz w:val="22"/>
              </w:rPr>
            </w:pPr>
            <w:r w:rsidRPr="00475D23">
              <w:rPr>
                <w:b/>
                <w:sz w:val="22"/>
              </w:rPr>
              <w:t>Year</w:t>
            </w:r>
          </w:p>
        </w:tc>
        <w:tc>
          <w:tcPr>
            <w:tcW w:w="722" w:type="pct"/>
            <w:shd w:val="clear" w:color="auto" w:fill="D9D9D9" w:themeFill="background1" w:themeFillShade="D9"/>
            <w:tcMar>
              <w:top w:w="144" w:type="nil"/>
              <w:right w:w="144" w:type="nil"/>
            </w:tcMar>
          </w:tcPr>
          <w:p w14:paraId="20A2FFFF" w14:textId="77777777" w:rsidR="00D85CE8" w:rsidRPr="00475D23" w:rsidRDefault="00D85CE8" w:rsidP="00D85CE8">
            <w:pPr>
              <w:widowControl w:val="0"/>
              <w:autoSpaceDE w:val="0"/>
              <w:autoSpaceDN w:val="0"/>
              <w:adjustRightInd w:val="0"/>
              <w:jc w:val="center"/>
              <w:rPr>
                <w:b/>
                <w:sz w:val="22"/>
              </w:rPr>
            </w:pPr>
            <w:r w:rsidRPr="00475D23">
              <w:rPr>
                <w:b/>
                <w:sz w:val="22"/>
              </w:rPr>
              <w:t>Land</w:t>
            </w:r>
            <w:r>
              <w:rPr>
                <w:b/>
                <w:sz w:val="22"/>
              </w:rPr>
              <w:t>ings</w:t>
            </w:r>
            <w:r w:rsidRPr="00475D23">
              <w:rPr>
                <w:b/>
                <w:sz w:val="22"/>
              </w:rPr>
              <w:t xml:space="preserve"> (lbs)</w:t>
            </w:r>
          </w:p>
        </w:tc>
        <w:tc>
          <w:tcPr>
            <w:tcW w:w="627" w:type="pct"/>
            <w:shd w:val="clear" w:color="auto" w:fill="D9D9D9" w:themeFill="background1" w:themeFillShade="D9"/>
            <w:tcMar>
              <w:top w:w="144" w:type="nil"/>
              <w:right w:w="144" w:type="nil"/>
            </w:tcMar>
          </w:tcPr>
          <w:p w14:paraId="284394E8" w14:textId="77777777" w:rsidR="00D85CE8" w:rsidRPr="00475D23" w:rsidRDefault="00D85CE8" w:rsidP="00D85CE8">
            <w:pPr>
              <w:widowControl w:val="0"/>
              <w:autoSpaceDE w:val="0"/>
              <w:autoSpaceDN w:val="0"/>
              <w:adjustRightInd w:val="0"/>
              <w:jc w:val="center"/>
              <w:rPr>
                <w:b/>
                <w:sz w:val="22"/>
              </w:rPr>
            </w:pPr>
            <w:r w:rsidRPr="00475D23">
              <w:rPr>
                <w:b/>
                <w:sz w:val="22"/>
              </w:rPr>
              <w:t>Discards (lbs)</w:t>
            </w:r>
          </w:p>
        </w:tc>
        <w:tc>
          <w:tcPr>
            <w:tcW w:w="685" w:type="pct"/>
            <w:shd w:val="clear" w:color="auto" w:fill="D9D9D9" w:themeFill="background1" w:themeFillShade="D9"/>
          </w:tcPr>
          <w:p w14:paraId="43B455C2" w14:textId="77777777" w:rsidR="00D85CE8" w:rsidRDefault="00D85CE8" w:rsidP="00D85CE8">
            <w:pPr>
              <w:widowControl w:val="0"/>
              <w:autoSpaceDE w:val="0"/>
              <w:autoSpaceDN w:val="0"/>
              <w:adjustRightInd w:val="0"/>
              <w:jc w:val="center"/>
              <w:rPr>
                <w:b/>
                <w:sz w:val="22"/>
              </w:rPr>
            </w:pPr>
            <w:r>
              <w:rPr>
                <w:b/>
                <w:sz w:val="22"/>
              </w:rPr>
              <w:t>Catch</w:t>
            </w:r>
          </w:p>
          <w:p w14:paraId="784AC645" w14:textId="77777777" w:rsidR="00D85CE8" w:rsidRPr="00475D23" w:rsidRDefault="00D85CE8" w:rsidP="00D85CE8">
            <w:pPr>
              <w:widowControl w:val="0"/>
              <w:autoSpaceDE w:val="0"/>
              <w:autoSpaceDN w:val="0"/>
              <w:adjustRightInd w:val="0"/>
              <w:jc w:val="center"/>
              <w:rPr>
                <w:b/>
                <w:sz w:val="22"/>
              </w:rPr>
            </w:pPr>
            <w:r>
              <w:rPr>
                <w:b/>
                <w:sz w:val="22"/>
              </w:rPr>
              <w:t>(lbs)</w:t>
            </w:r>
          </w:p>
        </w:tc>
        <w:tc>
          <w:tcPr>
            <w:tcW w:w="688" w:type="pct"/>
            <w:shd w:val="clear" w:color="auto" w:fill="D9D9D9" w:themeFill="background1" w:themeFillShade="D9"/>
            <w:tcMar>
              <w:top w:w="144" w:type="nil"/>
              <w:right w:w="144" w:type="nil"/>
            </w:tcMar>
          </w:tcPr>
          <w:p w14:paraId="67A53A41" w14:textId="739B7D9C" w:rsidR="00D85CE8" w:rsidRPr="00475D23" w:rsidRDefault="00D85CE8" w:rsidP="00D85CE8">
            <w:pPr>
              <w:widowControl w:val="0"/>
              <w:autoSpaceDE w:val="0"/>
              <w:autoSpaceDN w:val="0"/>
              <w:adjustRightInd w:val="0"/>
              <w:jc w:val="center"/>
              <w:rPr>
                <w:b/>
                <w:sz w:val="22"/>
              </w:rPr>
            </w:pPr>
            <w:r w:rsidRPr="00475D23">
              <w:rPr>
                <w:b/>
                <w:sz w:val="22"/>
              </w:rPr>
              <w:t>Land</w:t>
            </w:r>
            <w:r>
              <w:rPr>
                <w:b/>
                <w:sz w:val="22"/>
              </w:rPr>
              <w:t>ings</w:t>
            </w:r>
            <w:r w:rsidR="00A021F4">
              <w:rPr>
                <w:b/>
                <w:sz w:val="22"/>
              </w:rPr>
              <w:t xml:space="preserve"> </w:t>
            </w:r>
            <w:r>
              <w:rPr>
                <w:b/>
                <w:sz w:val="22"/>
              </w:rPr>
              <w:t>(numbers</w:t>
            </w:r>
            <w:r w:rsidRPr="00475D23">
              <w:rPr>
                <w:b/>
                <w:sz w:val="22"/>
              </w:rPr>
              <w:t>)</w:t>
            </w:r>
          </w:p>
        </w:tc>
        <w:tc>
          <w:tcPr>
            <w:tcW w:w="956" w:type="pct"/>
            <w:shd w:val="clear" w:color="auto" w:fill="D9D9D9" w:themeFill="background1" w:themeFillShade="D9"/>
            <w:tcMar>
              <w:top w:w="144" w:type="nil"/>
              <w:right w:w="144" w:type="nil"/>
            </w:tcMar>
          </w:tcPr>
          <w:p w14:paraId="48B8ACC0" w14:textId="77777777" w:rsidR="00D85CE8" w:rsidRPr="00475D23" w:rsidRDefault="00D85CE8" w:rsidP="00D85CE8">
            <w:pPr>
              <w:widowControl w:val="0"/>
              <w:autoSpaceDE w:val="0"/>
              <w:autoSpaceDN w:val="0"/>
              <w:adjustRightInd w:val="0"/>
              <w:jc w:val="center"/>
              <w:rPr>
                <w:b/>
                <w:sz w:val="22"/>
              </w:rPr>
            </w:pPr>
            <w:r w:rsidRPr="00475D23">
              <w:rPr>
                <w:b/>
                <w:sz w:val="22"/>
              </w:rPr>
              <w:t xml:space="preserve">Discards </w:t>
            </w:r>
            <w:r>
              <w:rPr>
                <w:b/>
                <w:sz w:val="22"/>
              </w:rPr>
              <w:t>(numbers</w:t>
            </w:r>
            <w:r w:rsidRPr="00475D23">
              <w:rPr>
                <w:b/>
                <w:sz w:val="22"/>
              </w:rPr>
              <w:t>)</w:t>
            </w:r>
          </w:p>
        </w:tc>
        <w:tc>
          <w:tcPr>
            <w:tcW w:w="954" w:type="pct"/>
            <w:shd w:val="clear" w:color="auto" w:fill="D9D9D9" w:themeFill="background1" w:themeFillShade="D9"/>
          </w:tcPr>
          <w:p w14:paraId="6FC8131F" w14:textId="77777777" w:rsidR="00D85CE8" w:rsidRDefault="00D85CE8" w:rsidP="00D85CE8">
            <w:pPr>
              <w:widowControl w:val="0"/>
              <w:autoSpaceDE w:val="0"/>
              <w:autoSpaceDN w:val="0"/>
              <w:adjustRightInd w:val="0"/>
              <w:jc w:val="center"/>
              <w:rPr>
                <w:b/>
                <w:sz w:val="22"/>
              </w:rPr>
            </w:pPr>
            <w:r>
              <w:rPr>
                <w:b/>
                <w:sz w:val="22"/>
              </w:rPr>
              <w:t xml:space="preserve">Catch </w:t>
            </w:r>
          </w:p>
          <w:p w14:paraId="69927024" w14:textId="77777777" w:rsidR="00D85CE8" w:rsidRPr="00475D23" w:rsidRDefault="00D85CE8" w:rsidP="00D85CE8">
            <w:pPr>
              <w:widowControl w:val="0"/>
              <w:autoSpaceDE w:val="0"/>
              <w:autoSpaceDN w:val="0"/>
              <w:adjustRightInd w:val="0"/>
              <w:jc w:val="center"/>
              <w:rPr>
                <w:b/>
                <w:sz w:val="22"/>
              </w:rPr>
            </w:pPr>
            <w:r>
              <w:rPr>
                <w:b/>
                <w:sz w:val="22"/>
              </w:rPr>
              <w:t>(numbers)</w:t>
            </w:r>
          </w:p>
        </w:tc>
      </w:tr>
      <w:tr w:rsidR="00D85CE8" w:rsidRPr="00475D23" w14:paraId="0C2804C6" w14:textId="77777777" w:rsidTr="00D85CE8">
        <w:trPr>
          <w:trHeight w:val="247"/>
        </w:trPr>
        <w:tc>
          <w:tcPr>
            <w:tcW w:w="368" w:type="pct"/>
            <w:tcMar>
              <w:top w:w="144" w:type="nil"/>
              <w:right w:w="144" w:type="nil"/>
            </w:tcMar>
            <w:vAlign w:val="center"/>
          </w:tcPr>
          <w:p w14:paraId="05671452" w14:textId="77777777" w:rsidR="00D85CE8" w:rsidRPr="00475D23" w:rsidRDefault="00D85CE8" w:rsidP="00D85CE8">
            <w:pPr>
              <w:widowControl w:val="0"/>
              <w:autoSpaceDE w:val="0"/>
              <w:autoSpaceDN w:val="0"/>
              <w:adjustRightInd w:val="0"/>
              <w:jc w:val="center"/>
              <w:rPr>
                <w:sz w:val="22"/>
              </w:rPr>
            </w:pPr>
            <w:r w:rsidRPr="00475D23">
              <w:rPr>
                <w:sz w:val="22"/>
              </w:rPr>
              <w:t>2017</w:t>
            </w:r>
          </w:p>
        </w:tc>
        <w:tc>
          <w:tcPr>
            <w:tcW w:w="722" w:type="pct"/>
            <w:tcMar>
              <w:top w:w="144" w:type="nil"/>
              <w:right w:w="144" w:type="nil"/>
            </w:tcMar>
            <w:vAlign w:val="center"/>
          </w:tcPr>
          <w:p w14:paraId="5E834F46" w14:textId="77777777" w:rsidR="00D85CE8" w:rsidRPr="00475D23" w:rsidRDefault="00D85CE8" w:rsidP="00D85CE8">
            <w:pPr>
              <w:widowControl w:val="0"/>
              <w:autoSpaceDE w:val="0"/>
              <w:autoSpaceDN w:val="0"/>
              <w:adjustRightInd w:val="0"/>
              <w:jc w:val="center"/>
              <w:rPr>
                <w:sz w:val="22"/>
              </w:rPr>
            </w:pPr>
            <w:r w:rsidRPr="00475D23">
              <w:rPr>
                <w:sz w:val="22"/>
              </w:rPr>
              <w:t>717,200</w:t>
            </w:r>
          </w:p>
        </w:tc>
        <w:tc>
          <w:tcPr>
            <w:tcW w:w="627" w:type="pct"/>
            <w:tcMar>
              <w:top w:w="144" w:type="nil"/>
              <w:right w:w="144" w:type="nil"/>
            </w:tcMar>
            <w:vAlign w:val="center"/>
          </w:tcPr>
          <w:p w14:paraId="6E852730" w14:textId="77777777" w:rsidR="00D85CE8" w:rsidRPr="00475D23" w:rsidRDefault="00D85CE8" w:rsidP="00D85CE8">
            <w:pPr>
              <w:widowControl w:val="0"/>
              <w:autoSpaceDE w:val="0"/>
              <w:autoSpaceDN w:val="0"/>
              <w:adjustRightInd w:val="0"/>
              <w:jc w:val="center"/>
              <w:rPr>
                <w:sz w:val="22"/>
              </w:rPr>
            </w:pPr>
            <w:r w:rsidRPr="00475D23">
              <w:rPr>
                <w:sz w:val="22"/>
              </w:rPr>
              <w:t>53,700</w:t>
            </w:r>
          </w:p>
        </w:tc>
        <w:tc>
          <w:tcPr>
            <w:tcW w:w="685" w:type="pct"/>
          </w:tcPr>
          <w:p w14:paraId="053D58D3" w14:textId="77777777" w:rsidR="00D85CE8" w:rsidRPr="00475D23" w:rsidRDefault="00D85CE8" w:rsidP="00D85CE8">
            <w:pPr>
              <w:widowControl w:val="0"/>
              <w:autoSpaceDE w:val="0"/>
              <w:autoSpaceDN w:val="0"/>
              <w:adjustRightInd w:val="0"/>
              <w:jc w:val="center"/>
              <w:rPr>
                <w:sz w:val="22"/>
              </w:rPr>
            </w:pPr>
            <w:r>
              <w:rPr>
                <w:sz w:val="22"/>
              </w:rPr>
              <w:t>770,900</w:t>
            </w:r>
          </w:p>
        </w:tc>
        <w:tc>
          <w:tcPr>
            <w:tcW w:w="688" w:type="pct"/>
            <w:tcMar>
              <w:top w:w="144" w:type="nil"/>
              <w:right w:w="144" w:type="nil"/>
            </w:tcMar>
            <w:vAlign w:val="center"/>
          </w:tcPr>
          <w:p w14:paraId="1D8537D9" w14:textId="77777777" w:rsidR="00D85CE8" w:rsidRPr="00475D23" w:rsidRDefault="00D85CE8" w:rsidP="00D85CE8">
            <w:pPr>
              <w:widowControl w:val="0"/>
              <w:autoSpaceDE w:val="0"/>
              <w:autoSpaceDN w:val="0"/>
              <w:adjustRightInd w:val="0"/>
              <w:jc w:val="center"/>
              <w:rPr>
                <w:sz w:val="22"/>
              </w:rPr>
            </w:pPr>
            <w:r w:rsidRPr="00475D23">
              <w:rPr>
                <w:sz w:val="22"/>
              </w:rPr>
              <w:t>157,500</w:t>
            </w:r>
          </w:p>
        </w:tc>
        <w:tc>
          <w:tcPr>
            <w:tcW w:w="956" w:type="pct"/>
            <w:tcMar>
              <w:top w:w="144" w:type="nil"/>
              <w:right w:w="144" w:type="nil"/>
            </w:tcMar>
            <w:vAlign w:val="center"/>
          </w:tcPr>
          <w:p w14:paraId="1ABC4538" w14:textId="77777777" w:rsidR="00D85CE8" w:rsidRPr="00475D23" w:rsidRDefault="00D85CE8" w:rsidP="00D85CE8">
            <w:pPr>
              <w:widowControl w:val="0"/>
              <w:autoSpaceDE w:val="0"/>
              <w:autoSpaceDN w:val="0"/>
              <w:adjustRightInd w:val="0"/>
              <w:jc w:val="center"/>
              <w:rPr>
                <w:sz w:val="22"/>
              </w:rPr>
            </w:pPr>
            <w:r w:rsidRPr="00475D23">
              <w:rPr>
                <w:sz w:val="22"/>
              </w:rPr>
              <w:t>28,400</w:t>
            </w:r>
          </w:p>
        </w:tc>
        <w:tc>
          <w:tcPr>
            <w:tcW w:w="954" w:type="pct"/>
          </w:tcPr>
          <w:p w14:paraId="43B83076" w14:textId="77777777" w:rsidR="00D85CE8" w:rsidRPr="00475D23" w:rsidRDefault="00D85CE8" w:rsidP="00D85CE8">
            <w:pPr>
              <w:widowControl w:val="0"/>
              <w:autoSpaceDE w:val="0"/>
              <w:autoSpaceDN w:val="0"/>
              <w:adjustRightInd w:val="0"/>
              <w:jc w:val="center"/>
              <w:rPr>
                <w:sz w:val="22"/>
              </w:rPr>
            </w:pPr>
            <w:r>
              <w:rPr>
                <w:sz w:val="22"/>
              </w:rPr>
              <w:t>185,900</w:t>
            </w:r>
          </w:p>
        </w:tc>
      </w:tr>
      <w:tr w:rsidR="00D85CE8" w:rsidRPr="00475D23" w14:paraId="122CF186" w14:textId="77777777" w:rsidTr="00D85CE8">
        <w:trPr>
          <w:trHeight w:val="260"/>
        </w:trPr>
        <w:tc>
          <w:tcPr>
            <w:tcW w:w="368" w:type="pct"/>
            <w:tcMar>
              <w:top w:w="144" w:type="nil"/>
              <w:right w:w="144" w:type="nil"/>
            </w:tcMar>
            <w:vAlign w:val="center"/>
          </w:tcPr>
          <w:p w14:paraId="764BD49A" w14:textId="77777777" w:rsidR="00D85CE8" w:rsidRPr="00475D23" w:rsidRDefault="00D85CE8" w:rsidP="00D85CE8">
            <w:pPr>
              <w:widowControl w:val="0"/>
              <w:autoSpaceDE w:val="0"/>
              <w:autoSpaceDN w:val="0"/>
              <w:adjustRightInd w:val="0"/>
              <w:jc w:val="center"/>
              <w:rPr>
                <w:sz w:val="22"/>
              </w:rPr>
            </w:pPr>
            <w:r w:rsidRPr="00475D23">
              <w:rPr>
                <w:sz w:val="22"/>
              </w:rPr>
              <w:t>2018</w:t>
            </w:r>
          </w:p>
        </w:tc>
        <w:tc>
          <w:tcPr>
            <w:tcW w:w="722" w:type="pct"/>
            <w:tcMar>
              <w:top w:w="144" w:type="nil"/>
              <w:right w:w="144" w:type="nil"/>
            </w:tcMar>
            <w:vAlign w:val="center"/>
          </w:tcPr>
          <w:p w14:paraId="56280C62" w14:textId="77777777" w:rsidR="00D85CE8" w:rsidRPr="00475D23" w:rsidRDefault="00D85CE8" w:rsidP="00D85CE8">
            <w:pPr>
              <w:widowControl w:val="0"/>
              <w:autoSpaceDE w:val="0"/>
              <w:autoSpaceDN w:val="0"/>
              <w:adjustRightInd w:val="0"/>
              <w:jc w:val="center"/>
              <w:rPr>
                <w:sz w:val="22"/>
              </w:rPr>
            </w:pPr>
            <w:r w:rsidRPr="00475D23">
              <w:rPr>
                <w:sz w:val="22"/>
              </w:rPr>
              <w:t>746,800</w:t>
            </w:r>
          </w:p>
        </w:tc>
        <w:tc>
          <w:tcPr>
            <w:tcW w:w="627" w:type="pct"/>
            <w:tcMar>
              <w:top w:w="144" w:type="nil"/>
              <w:right w:w="144" w:type="nil"/>
            </w:tcMar>
            <w:vAlign w:val="center"/>
          </w:tcPr>
          <w:p w14:paraId="596FEFEE" w14:textId="77777777" w:rsidR="00D85CE8" w:rsidRPr="00475D23" w:rsidRDefault="00D85CE8" w:rsidP="00D85CE8">
            <w:pPr>
              <w:widowControl w:val="0"/>
              <w:autoSpaceDE w:val="0"/>
              <w:autoSpaceDN w:val="0"/>
              <w:adjustRightInd w:val="0"/>
              <w:jc w:val="center"/>
              <w:rPr>
                <w:sz w:val="22"/>
              </w:rPr>
            </w:pPr>
            <w:r w:rsidRPr="00475D23">
              <w:rPr>
                <w:sz w:val="22"/>
              </w:rPr>
              <w:t>53,900</w:t>
            </w:r>
          </w:p>
        </w:tc>
        <w:tc>
          <w:tcPr>
            <w:tcW w:w="685" w:type="pct"/>
          </w:tcPr>
          <w:p w14:paraId="36545F9E" w14:textId="77777777" w:rsidR="00D85CE8" w:rsidRPr="00475D23" w:rsidRDefault="00D85CE8" w:rsidP="00D85CE8">
            <w:pPr>
              <w:widowControl w:val="0"/>
              <w:autoSpaceDE w:val="0"/>
              <w:autoSpaceDN w:val="0"/>
              <w:adjustRightInd w:val="0"/>
              <w:jc w:val="center"/>
              <w:rPr>
                <w:sz w:val="22"/>
              </w:rPr>
            </w:pPr>
            <w:r>
              <w:rPr>
                <w:sz w:val="22"/>
              </w:rPr>
              <w:t>800,700</w:t>
            </w:r>
          </w:p>
        </w:tc>
        <w:tc>
          <w:tcPr>
            <w:tcW w:w="688" w:type="pct"/>
            <w:tcMar>
              <w:top w:w="144" w:type="nil"/>
              <w:right w:w="144" w:type="nil"/>
            </w:tcMar>
            <w:vAlign w:val="center"/>
          </w:tcPr>
          <w:p w14:paraId="5DE5084A" w14:textId="77777777" w:rsidR="00D85CE8" w:rsidRPr="00475D23" w:rsidRDefault="00D85CE8" w:rsidP="00D85CE8">
            <w:pPr>
              <w:widowControl w:val="0"/>
              <w:autoSpaceDE w:val="0"/>
              <w:autoSpaceDN w:val="0"/>
              <w:adjustRightInd w:val="0"/>
              <w:jc w:val="center"/>
              <w:rPr>
                <w:sz w:val="22"/>
              </w:rPr>
            </w:pPr>
            <w:r w:rsidRPr="00475D23">
              <w:rPr>
                <w:sz w:val="22"/>
              </w:rPr>
              <w:t>164,500</w:t>
            </w:r>
          </w:p>
        </w:tc>
        <w:tc>
          <w:tcPr>
            <w:tcW w:w="956" w:type="pct"/>
            <w:tcMar>
              <w:top w:w="144" w:type="nil"/>
              <w:right w:w="144" w:type="nil"/>
            </w:tcMar>
            <w:vAlign w:val="center"/>
          </w:tcPr>
          <w:p w14:paraId="367BDB32" w14:textId="77777777" w:rsidR="00D85CE8" w:rsidRPr="00475D23" w:rsidRDefault="00D85CE8" w:rsidP="00D85CE8">
            <w:pPr>
              <w:widowControl w:val="0"/>
              <w:autoSpaceDE w:val="0"/>
              <w:autoSpaceDN w:val="0"/>
              <w:adjustRightInd w:val="0"/>
              <w:jc w:val="center"/>
              <w:rPr>
                <w:sz w:val="22"/>
              </w:rPr>
            </w:pPr>
            <w:r w:rsidRPr="00475D23">
              <w:rPr>
                <w:sz w:val="22"/>
              </w:rPr>
              <w:t>28,300</w:t>
            </w:r>
          </w:p>
        </w:tc>
        <w:tc>
          <w:tcPr>
            <w:tcW w:w="954" w:type="pct"/>
          </w:tcPr>
          <w:p w14:paraId="4894DE9C" w14:textId="77777777" w:rsidR="00D85CE8" w:rsidRPr="00475D23" w:rsidRDefault="00D85CE8" w:rsidP="00D85CE8">
            <w:pPr>
              <w:widowControl w:val="0"/>
              <w:autoSpaceDE w:val="0"/>
              <w:autoSpaceDN w:val="0"/>
              <w:adjustRightInd w:val="0"/>
              <w:jc w:val="center"/>
              <w:rPr>
                <w:sz w:val="22"/>
              </w:rPr>
            </w:pPr>
            <w:r>
              <w:rPr>
                <w:sz w:val="22"/>
              </w:rPr>
              <w:t>192,800</w:t>
            </w:r>
          </w:p>
        </w:tc>
      </w:tr>
      <w:tr w:rsidR="00D85CE8" w:rsidRPr="00475D23" w14:paraId="2CE3ACCF" w14:textId="77777777" w:rsidTr="00D85CE8">
        <w:trPr>
          <w:trHeight w:val="247"/>
        </w:trPr>
        <w:tc>
          <w:tcPr>
            <w:tcW w:w="368" w:type="pct"/>
            <w:tcMar>
              <w:top w:w="144" w:type="nil"/>
              <w:right w:w="144" w:type="nil"/>
            </w:tcMar>
            <w:vAlign w:val="center"/>
          </w:tcPr>
          <w:p w14:paraId="613A55E7" w14:textId="77777777" w:rsidR="00D85CE8" w:rsidRPr="00475D23" w:rsidRDefault="00D85CE8" w:rsidP="00D85CE8">
            <w:pPr>
              <w:widowControl w:val="0"/>
              <w:autoSpaceDE w:val="0"/>
              <w:autoSpaceDN w:val="0"/>
              <w:adjustRightInd w:val="0"/>
              <w:jc w:val="center"/>
              <w:rPr>
                <w:sz w:val="22"/>
              </w:rPr>
            </w:pPr>
            <w:r w:rsidRPr="00475D23">
              <w:rPr>
                <w:sz w:val="22"/>
              </w:rPr>
              <w:t>2019</w:t>
            </w:r>
          </w:p>
        </w:tc>
        <w:tc>
          <w:tcPr>
            <w:tcW w:w="722" w:type="pct"/>
            <w:tcMar>
              <w:top w:w="144" w:type="nil"/>
              <w:right w:w="144" w:type="nil"/>
            </w:tcMar>
            <w:vAlign w:val="center"/>
          </w:tcPr>
          <w:p w14:paraId="15FE6FEA" w14:textId="77777777" w:rsidR="00D85CE8" w:rsidRPr="00475D23" w:rsidRDefault="00D85CE8" w:rsidP="00D85CE8">
            <w:pPr>
              <w:widowControl w:val="0"/>
              <w:autoSpaceDE w:val="0"/>
              <w:autoSpaceDN w:val="0"/>
              <w:adjustRightInd w:val="0"/>
              <w:jc w:val="center"/>
              <w:rPr>
                <w:sz w:val="22"/>
              </w:rPr>
            </w:pPr>
            <w:r w:rsidRPr="00475D23">
              <w:rPr>
                <w:sz w:val="22"/>
              </w:rPr>
              <w:t>774,400</w:t>
            </w:r>
          </w:p>
        </w:tc>
        <w:tc>
          <w:tcPr>
            <w:tcW w:w="627" w:type="pct"/>
            <w:tcMar>
              <w:top w:w="144" w:type="nil"/>
              <w:right w:w="144" w:type="nil"/>
            </w:tcMar>
            <w:vAlign w:val="center"/>
          </w:tcPr>
          <w:p w14:paraId="5D18142F" w14:textId="77777777" w:rsidR="00D85CE8" w:rsidRPr="00475D23" w:rsidRDefault="00D85CE8" w:rsidP="00D85CE8">
            <w:pPr>
              <w:widowControl w:val="0"/>
              <w:autoSpaceDE w:val="0"/>
              <w:autoSpaceDN w:val="0"/>
              <w:adjustRightInd w:val="0"/>
              <w:jc w:val="center"/>
              <w:rPr>
                <w:sz w:val="22"/>
              </w:rPr>
            </w:pPr>
            <w:r w:rsidRPr="00475D23">
              <w:rPr>
                <w:sz w:val="22"/>
              </w:rPr>
              <w:t>54,400</w:t>
            </w:r>
          </w:p>
        </w:tc>
        <w:tc>
          <w:tcPr>
            <w:tcW w:w="685" w:type="pct"/>
          </w:tcPr>
          <w:p w14:paraId="7FCB4768" w14:textId="77777777" w:rsidR="00D85CE8" w:rsidRPr="00475D23" w:rsidRDefault="00D85CE8" w:rsidP="00D85CE8">
            <w:pPr>
              <w:widowControl w:val="0"/>
              <w:autoSpaceDE w:val="0"/>
              <w:autoSpaceDN w:val="0"/>
              <w:adjustRightInd w:val="0"/>
              <w:jc w:val="center"/>
              <w:rPr>
                <w:sz w:val="22"/>
              </w:rPr>
            </w:pPr>
            <w:r>
              <w:rPr>
                <w:sz w:val="22"/>
              </w:rPr>
              <w:t>828,800</w:t>
            </w:r>
          </w:p>
        </w:tc>
        <w:tc>
          <w:tcPr>
            <w:tcW w:w="688" w:type="pct"/>
            <w:tcMar>
              <w:top w:w="144" w:type="nil"/>
              <w:right w:w="144" w:type="nil"/>
            </w:tcMar>
            <w:vAlign w:val="center"/>
          </w:tcPr>
          <w:p w14:paraId="347F560C" w14:textId="77777777" w:rsidR="00D85CE8" w:rsidRPr="00475D23" w:rsidRDefault="00D85CE8" w:rsidP="00D85CE8">
            <w:pPr>
              <w:widowControl w:val="0"/>
              <w:autoSpaceDE w:val="0"/>
              <w:autoSpaceDN w:val="0"/>
              <w:adjustRightInd w:val="0"/>
              <w:jc w:val="center"/>
              <w:rPr>
                <w:sz w:val="22"/>
              </w:rPr>
            </w:pPr>
            <w:r w:rsidRPr="00475D23">
              <w:rPr>
                <w:sz w:val="22"/>
              </w:rPr>
              <w:t>169,300</w:t>
            </w:r>
          </w:p>
        </w:tc>
        <w:tc>
          <w:tcPr>
            <w:tcW w:w="956" w:type="pct"/>
            <w:tcMar>
              <w:top w:w="144" w:type="nil"/>
              <w:right w:w="144" w:type="nil"/>
            </w:tcMar>
            <w:vAlign w:val="center"/>
          </w:tcPr>
          <w:p w14:paraId="1414C82E" w14:textId="77777777" w:rsidR="00D85CE8" w:rsidRPr="00475D23" w:rsidRDefault="00D85CE8" w:rsidP="00D85CE8">
            <w:pPr>
              <w:widowControl w:val="0"/>
              <w:autoSpaceDE w:val="0"/>
              <w:autoSpaceDN w:val="0"/>
              <w:adjustRightInd w:val="0"/>
              <w:jc w:val="center"/>
              <w:rPr>
                <w:sz w:val="22"/>
              </w:rPr>
            </w:pPr>
            <w:r w:rsidRPr="00475D23">
              <w:rPr>
                <w:sz w:val="22"/>
              </w:rPr>
              <w:t>28,300</w:t>
            </w:r>
          </w:p>
        </w:tc>
        <w:tc>
          <w:tcPr>
            <w:tcW w:w="954" w:type="pct"/>
          </w:tcPr>
          <w:p w14:paraId="7C503A90" w14:textId="77777777" w:rsidR="00D85CE8" w:rsidRPr="00475D23" w:rsidRDefault="00D85CE8" w:rsidP="00D85CE8">
            <w:pPr>
              <w:widowControl w:val="0"/>
              <w:autoSpaceDE w:val="0"/>
              <w:autoSpaceDN w:val="0"/>
              <w:adjustRightInd w:val="0"/>
              <w:jc w:val="center"/>
              <w:rPr>
                <w:sz w:val="22"/>
              </w:rPr>
            </w:pPr>
            <w:r>
              <w:rPr>
                <w:sz w:val="22"/>
              </w:rPr>
              <w:t>197,600</w:t>
            </w:r>
          </w:p>
        </w:tc>
      </w:tr>
      <w:tr w:rsidR="00D85CE8" w:rsidRPr="00475D23" w14:paraId="1CF87910" w14:textId="77777777" w:rsidTr="00D85CE8">
        <w:trPr>
          <w:trHeight w:val="260"/>
        </w:trPr>
        <w:tc>
          <w:tcPr>
            <w:tcW w:w="368" w:type="pct"/>
            <w:tcMar>
              <w:top w:w="144" w:type="nil"/>
              <w:right w:w="144" w:type="nil"/>
            </w:tcMar>
            <w:vAlign w:val="center"/>
          </w:tcPr>
          <w:p w14:paraId="35695CD6" w14:textId="77777777" w:rsidR="00D85CE8" w:rsidRPr="00475D23" w:rsidRDefault="00D85CE8" w:rsidP="00D85CE8">
            <w:pPr>
              <w:widowControl w:val="0"/>
              <w:autoSpaceDE w:val="0"/>
              <w:autoSpaceDN w:val="0"/>
              <w:adjustRightInd w:val="0"/>
              <w:jc w:val="center"/>
              <w:rPr>
                <w:sz w:val="22"/>
              </w:rPr>
            </w:pPr>
            <w:r w:rsidRPr="00475D23">
              <w:rPr>
                <w:sz w:val="22"/>
              </w:rPr>
              <w:t>2020</w:t>
            </w:r>
          </w:p>
        </w:tc>
        <w:tc>
          <w:tcPr>
            <w:tcW w:w="722" w:type="pct"/>
            <w:tcMar>
              <w:top w:w="144" w:type="nil"/>
              <w:right w:w="144" w:type="nil"/>
            </w:tcMar>
            <w:vAlign w:val="center"/>
          </w:tcPr>
          <w:p w14:paraId="261B5D34" w14:textId="77777777" w:rsidR="00D85CE8" w:rsidRPr="00475D23" w:rsidRDefault="00D85CE8" w:rsidP="00D85CE8">
            <w:pPr>
              <w:widowControl w:val="0"/>
              <w:autoSpaceDE w:val="0"/>
              <w:autoSpaceDN w:val="0"/>
              <w:adjustRightInd w:val="0"/>
              <w:jc w:val="center"/>
              <w:rPr>
                <w:sz w:val="22"/>
              </w:rPr>
            </w:pPr>
            <w:r w:rsidRPr="00475D23">
              <w:rPr>
                <w:sz w:val="22"/>
              </w:rPr>
              <w:t>798,300</w:t>
            </w:r>
          </w:p>
        </w:tc>
        <w:tc>
          <w:tcPr>
            <w:tcW w:w="627" w:type="pct"/>
            <w:tcMar>
              <w:top w:w="144" w:type="nil"/>
              <w:right w:w="144" w:type="nil"/>
            </w:tcMar>
            <w:vAlign w:val="center"/>
          </w:tcPr>
          <w:p w14:paraId="02D3571B" w14:textId="77777777" w:rsidR="00D85CE8" w:rsidRPr="00475D23" w:rsidRDefault="00D85CE8" w:rsidP="00D85CE8">
            <w:pPr>
              <w:widowControl w:val="0"/>
              <w:autoSpaceDE w:val="0"/>
              <w:autoSpaceDN w:val="0"/>
              <w:adjustRightInd w:val="0"/>
              <w:jc w:val="center"/>
              <w:rPr>
                <w:sz w:val="22"/>
              </w:rPr>
            </w:pPr>
            <w:r w:rsidRPr="00475D23">
              <w:rPr>
                <w:sz w:val="22"/>
              </w:rPr>
              <w:t>54,500</w:t>
            </w:r>
          </w:p>
        </w:tc>
        <w:tc>
          <w:tcPr>
            <w:tcW w:w="685" w:type="pct"/>
          </w:tcPr>
          <w:p w14:paraId="00C157AB" w14:textId="77777777" w:rsidR="00D85CE8" w:rsidRPr="00475D23" w:rsidRDefault="00D85CE8" w:rsidP="00D85CE8">
            <w:pPr>
              <w:widowControl w:val="0"/>
              <w:autoSpaceDE w:val="0"/>
              <w:autoSpaceDN w:val="0"/>
              <w:adjustRightInd w:val="0"/>
              <w:jc w:val="center"/>
              <w:rPr>
                <w:sz w:val="22"/>
              </w:rPr>
            </w:pPr>
            <w:r>
              <w:rPr>
                <w:sz w:val="22"/>
              </w:rPr>
              <w:t>852,800</w:t>
            </w:r>
          </w:p>
        </w:tc>
        <w:tc>
          <w:tcPr>
            <w:tcW w:w="688" w:type="pct"/>
            <w:tcMar>
              <w:top w:w="144" w:type="nil"/>
              <w:right w:w="144" w:type="nil"/>
            </w:tcMar>
            <w:vAlign w:val="center"/>
          </w:tcPr>
          <w:p w14:paraId="144CD8B9" w14:textId="77777777" w:rsidR="00D85CE8" w:rsidRPr="00475D23" w:rsidRDefault="00D85CE8" w:rsidP="00D85CE8">
            <w:pPr>
              <w:widowControl w:val="0"/>
              <w:autoSpaceDE w:val="0"/>
              <w:autoSpaceDN w:val="0"/>
              <w:adjustRightInd w:val="0"/>
              <w:jc w:val="center"/>
              <w:rPr>
                <w:sz w:val="22"/>
              </w:rPr>
            </w:pPr>
            <w:r w:rsidRPr="00475D23">
              <w:rPr>
                <w:sz w:val="22"/>
              </w:rPr>
              <w:t>172,700</w:t>
            </w:r>
          </w:p>
        </w:tc>
        <w:tc>
          <w:tcPr>
            <w:tcW w:w="956" w:type="pct"/>
            <w:tcMar>
              <w:top w:w="144" w:type="nil"/>
              <w:right w:w="144" w:type="nil"/>
            </w:tcMar>
            <w:vAlign w:val="center"/>
          </w:tcPr>
          <w:p w14:paraId="6322F203" w14:textId="77777777" w:rsidR="00D85CE8" w:rsidRPr="00475D23" w:rsidRDefault="00D85CE8" w:rsidP="00D85CE8">
            <w:pPr>
              <w:widowControl w:val="0"/>
              <w:autoSpaceDE w:val="0"/>
              <w:autoSpaceDN w:val="0"/>
              <w:adjustRightInd w:val="0"/>
              <w:jc w:val="center"/>
              <w:rPr>
                <w:sz w:val="22"/>
              </w:rPr>
            </w:pPr>
            <w:r w:rsidRPr="00475D23">
              <w:rPr>
                <w:sz w:val="22"/>
              </w:rPr>
              <w:t>28,300</w:t>
            </w:r>
          </w:p>
        </w:tc>
        <w:tc>
          <w:tcPr>
            <w:tcW w:w="954" w:type="pct"/>
          </w:tcPr>
          <w:p w14:paraId="4EAB4EBD" w14:textId="77777777" w:rsidR="00D85CE8" w:rsidRPr="00475D23" w:rsidRDefault="00D85CE8" w:rsidP="00D85CE8">
            <w:pPr>
              <w:widowControl w:val="0"/>
              <w:autoSpaceDE w:val="0"/>
              <w:autoSpaceDN w:val="0"/>
              <w:adjustRightInd w:val="0"/>
              <w:jc w:val="center"/>
              <w:rPr>
                <w:sz w:val="22"/>
              </w:rPr>
            </w:pPr>
            <w:r>
              <w:rPr>
                <w:sz w:val="22"/>
              </w:rPr>
              <w:t>201,000</w:t>
            </w:r>
          </w:p>
        </w:tc>
      </w:tr>
    </w:tbl>
    <w:p w14:paraId="03490A79" w14:textId="77777777" w:rsidR="00D85CE8" w:rsidRDefault="00D85CE8" w:rsidP="00D85CE8">
      <w:pPr>
        <w:rPr>
          <w:rFonts w:ascii="Calibri" w:hAnsi="Calibri" w:cs="Calibri"/>
          <w:color w:val="18376A"/>
          <w:sz w:val="30"/>
          <w:szCs w:val="30"/>
        </w:rPr>
      </w:pPr>
      <w:r>
        <w:rPr>
          <w:rFonts w:ascii="Calibri" w:hAnsi="Calibri" w:cs="Calibri"/>
          <w:color w:val="18376A"/>
          <w:sz w:val="30"/>
          <w:szCs w:val="30"/>
        </w:rPr>
        <w:t> </w:t>
      </w:r>
    </w:p>
    <w:p w14:paraId="154A8439" w14:textId="77777777" w:rsidR="00D85CE8" w:rsidRDefault="00D85CE8" w:rsidP="00B95EF2">
      <w:pPr>
        <w:rPr>
          <w:rFonts w:ascii="Calibri" w:hAnsi="Calibri" w:cs="Calibri"/>
          <w:color w:val="18376A"/>
          <w:sz w:val="30"/>
          <w:szCs w:val="30"/>
        </w:rPr>
      </w:pPr>
    </w:p>
    <w:p w14:paraId="66BF2B96" w14:textId="77777777" w:rsidR="00D85CE8" w:rsidRDefault="00D85CE8" w:rsidP="00B95EF2">
      <w:pPr>
        <w:rPr>
          <w:rFonts w:ascii="Calibri" w:hAnsi="Calibri" w:cs="Calibri"/>
          <w:color w:val="18376A"/>
          <w:sz w:val="30"/>
          <w:szCs w:val="30"/>
        </w:rPr>
      </w:pPr>
    </w:p>
    <w:p w14:paraId="4EF81220" w14:textId="77777777" w:rsidR="00D85CE8" w:rsidRDefault="00D85CE8" w:rsidP="00B95EF2">
      <w:pPr>
        <w:rPr>
          <w:rFonts w:ascii="Calibri" w:hAnsi="Calibri" w:cs="Calibri"/>
          <w:color w:val="18376A"/>
          <w:sz w:val="30"/>
          <w:szCs w:val="30"/>
        </w:rPr>
      </w:pPr>
    </w:p>
    <w:p w14:paraId="1DDC4066" w14:textId="77777777" w:rsidR="00D85CE8" w:rsidRDefault="00D85CE8" w:rsidP="00B95EF2">
      <w:pPr>
        <w:rPr>
          <w:rFonts w:ascii="Calibri" w:hAnsi="Calibri" w:cs="Calibri"/>
          <w:color w:val="18376A"/>
          <w:sz w:val="30"/>
          <w:szCs w:val="30"/>
        </w:rPr>
      </w:pPr>
    </w:p>
    <w:p w14:paraId="0D8D9944" w14:textId="1ED23B0D" w:rsidR="00F358B5" w:rsidRDefault="009B291F" w:rsidP="00B95EF2">
      <w:pPr>
        <w:rPr>
          <w:rFonts w:ascii="Calibri" w:hAnsi="Calibri" w:cs="Calibri"/>
          <w:color w:val="18376A"/>
          <w:sz w:val="30"/>
          <w:szCs w:val="30"/>
        </w:rPr>
      </w:pPr>
      <w:r>
        <w:rPr>
          <w:noProof/>
        </w:rPr>
        <mc:AlternateContent>
          <mc:Choice Requires="wps">
            <w:drawing>
              <wp:inline distT="0" distB="0" distL="0" distR="0" wp14:anchorId="0969932D" wp14:editId="23D1DA0A">
                <wp:extent cx="5486400" cy="2533227"/>
                <wp:effectExtent l="0" t="0" r="25400" b="3238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33227"/>
                        </a:xfrm>
                        <a:prstGeom prst="rect">
                          <a:avLst/>
                        </a:prstGeom>
                        <a:solidFill>
                          <a:srgbClr val="FFFFFF"/>
                        </a:solidFill>
                        <a:ln w="9525">
                          <a:solidFill>
                            <a:srgbClr val="000000"/>
                          </a:solidFill>
                          <a:miter lim="800000"/>
                          <a:headEnd/>
                          <a:tailEnd/>
                        </a:ln>
                      </wps:spPr>
                      <wps:txbx>
                        <w:txbxContent>
                          <w:p w14:paraId="648837AA" w14:textId="77777777" w:rsidR="009108B8" w:rsidRPr="000E374B" w:rsidRDefault="009108B8" w:rsidP="009B291F">
                            <w:pPr>
                              <w:spacing w:before="7" w:line="274" w:lineRule="exact"/>
                              <w:ind w:right="814"/>
                              <w:rPr>
                                <w:rFonts w:ascii="Arial" w:hAnsi="Arial" w:cs="Arial"/>
                                <w:b/>
                                <w:color w:val="4F81BD" w:themeColor="accent1"/>
                                <w:sz w:val="28"/>
                                <w:szCs w:val="28"/>
                              </w:rPr>
                            </w:pPr>
                            <w:r w:rsidRPr="000E374B">
                              <w:rPr>
                                <w:rFonts w:ascii="Arial" w:hAnsi="Arial" w:cs="Arial"/>
                                <w:b/>
                                <w:color w:val="4F81BD" w:themeColor="accent1"/>
                                <w:sz w:val="28"/>
                                <w:szCs w:val="28"/>
                              </w:rPr>
                              <w:t>Purpose for Actions</w:t>
                            </w:r>
                          </w:p>
                          <w:p w14:paraId="5A18E971" w14:textId="77777777" w:rsidR="009108B8" w:rsidRDefault="009108B8" w:rsidP="00D8234D">
                            <w:pPr>
                              <w:rPr>
                                <w:iCs/>
                              </w:rPr>
                            </w:pPr>
                          </w:p>
                          <w:p w14:paraId="39DFFFCC" w14:textId="385623C2" w:rsidR="009108B8" w:rsidRPr="00380482" w:rsidRDefault="009108B8" w:rsidP="00D8234D">
                            <w:pPr>
                              <w:rPr>
                                <w:iCs/>
                              </w:rPr>
                            </w:pPr>
                            <w:r w:rsidRPr="00380482">
                              <w:rPr>
                                <w:iCs/>
                              </w:rPr>
                              <w:t xml:space="preserve">The </w:t>
                            </w:r>
                            <w:r w:rsidRPr="00380482">
                              <w:rPr>
                                <w:i/>
                                <w:iCs/>
                              </w:rPr>
                              <w:t>purpose</w:t>
                            </w:r>
                            <w:r w:rsidRPr="00380482">
                              <w:rPr>
                                <w:iCs/>
                              </w:rPr>
                              <w:t xml:space="preserve"> of this amendment is to update the a</w:t>
                            </w:r>
                            <w:r>
                              <w:rPr>
                                <w:iCs/>
                              </w:rPr>
                              <w:t>cceptable biological catch</w:t>
                            </w:r>
                            <w:r w:rsidRPr="00380482">
                              <w:rPr>
                                <w:iCs/>
                              </w:rPr>
                              <w:t xml:space="preserve">, </w:t>
                            </w:r>
                            <w:r>
                              <w:rPr>
                                <w:iCs/>
                              </w:rPr>
                              <w:t>annual catch limit</w:t>
                            </w:r>
                            <w:r w:rsidRPr="00380482">
                              <w:rPr>
                                <w:iCs/>
                              </w:rPr>
                              <w:t xml:space="preserve">, </w:t>
                            </w:r>
                            <w:r>
                              <w:rPr>
                                <w:iCs/>
                              </w:rPr>
                              <w:t>maximum sustainable yield</w:t>
                            </w:r>
                            <w:r w:rsidRPr="00380482">
                              <w:rPr>
                                <w:iCs/>
                              </w:rPr>
                              <w:t>, mi</w:t>
                            </w:r>
                            <w:r>
                              <w:rPr>
                                <w:iCs/>
                              </w:rPr>
                              <w:t>nimum stock size threshold, optimum yield</w:t>
                            </w:r>
                            <w:r w:rsidRPr="00380482">
                              <w:rPr>
                                <w:iCs/>
                              </w:rPr>
                              <w:t xml:space="preserve">, and revise management measures for the </w:t>
                            </w:r>
                            <w:r>
                              <w:rPr>
                                <w:iCs/>
                              </w:rPr>
                              <w:t>mutton snapper</w:t>
                            </w:r>
                            <w:r w:rsidRPr="00380482">
                              <w:rPr>
                                <w:iCs/>
                              </w:rPr>
                              <w:t xml:space="preserve"> component of the snapper grouper fishery</w:t>
                            </w:r>
                            <w:r>
                              <w:rPr>
                                <w:iCs/>
                              </w:rPr>
                              <w:t xml:space="preserve"> based on the results of the most recent stock assessment</w:t>
                            </w:r>
                            <w:r w:rsidRPr="00380482">
                              <w:rPr>
                                <w:iCs/>
                              </w:rPr>
                              <w:t>.</w:t>
                            </w:r>
                          </w:p>
                          <w:p w14:paraId="58CC690C" w14:textId="77777777" w:rsidR="009108B8" w:rsidRPr="000E374B" w:rsidRDefault="009108B8" w:rsidP="009B291F">
                            <w:pPr>
                              <w:spacing w:before="7" w:line="274" w:lineRule="exact"/>
                              <w:ind w:right="814"/>
                              <w:rPr>
                                <w:rFonts w:ascii="Arial" w:hAnsi="Arial" w:cs="Arial"/>
                                <w:b/>
                                <w:color w:val="4F81BD" w:themeColor="accent1"/>
                              </w:rPr>
                            </w:pPr>
                          </w:p>
                          <w:p w14:paraId="2FE7E42B" w14:textId="77777777" w:rsidR="009108B8" w:rsidRPr="000E374B" w:rsidRDefault="009108B8" w:rsidP="009B291F">
                            <w:pPr>
                              <w:rPr>
                                <w:rFonts w:ascii="Arial" w:hAnsi="Arial" w:cs="Arial"/>
                                <w:b/>
                                <w:color w:val="4F81BD" w:themeColor="accent1"/>
                                <w:sz w:val="28"/>
                                <w:szCs w:val="28"/>
                              </w:rPr>
                            </w:pPr>
                            <w:r w:rsidRPr="000E374B">
                              <w:rPr>
                                <w:rFonts w:ascii="Arial" w:hAnsi="Arial" w:cs="Arial"/>
                                <w:b/>
                                <w:color w:val="4F81BD" w:themeColor="accent1"/>
                                <w:sz w:val="28"/>
                                <w:szCs w:val="28"/>
                              </w:rPr>
                              <w:t>Need for Actions</w:t>
                            </w:r>
                          </w:p>
                          <w:p w14:paraId="08C07084" w14:textId="77777777" w:rsidR="009108B8" w:rsidRDefault="009108B8" w:rsidP="00D8234D">
                            <w:pPr>
                              <w:rPr>
                                <w:iCs/>
                              </w:rPr>
                            </w:pPr>
                          </w:p>
                          <w:p w14:paraId="363956A0" w14:textId="44257AED" w:rsidR="009108B8" w:rsidRPr="00AD40F6" w:rsidRDefault="009108B8" w:rsidP="00D8234D">
                            <w:pPr>
                              <w:rPr>
                                <w:rFonts w:ascii="Arial" w:hAnsi="Arial" w:cs="Arial"/>
                                <w:b/>
                              </w:rPr>
                            </w:pPr>
                            <w:r w:rsidRPr="00380482">
                              <w:rPr>
                                <w:iCs/>
                              </w:rPr>
                              <w:t xml:space="preserve">The </w:t>
                            </w:r>
                            <w:r w:rsidRPr="00380482">
                              <w:rPr>
                                <w:i/>
                                <w:iCs/>
                              </w:rPr>
                              <w:t>need</w:t>
                            </w:r>
                            <w:r w:rsidRPr="00380482">
                              <w:rPr>
                                <w:iCs/>
                              </w:rPr>
                              <w:t xml:space="preserve"> for the amendment is to</w:t>
                            </w:r>
                            <w:r>
                              <w:rPr>
                                <w:iCs/>
                              </w:rPr>
                              <w:t xml:space="preserve"> base mutton snapper management measures on the best scientific information available in order to achieve and maintain optimum yield and to </w:t>
                            </w:r>
                            <w:r w:rsidRPr="00380482">
                              <w:rPr>
                                <w:iCs/>
                              </w:rPr>
                              <w:t>prevent</w:t>
                            </w:r>
                            <w:r>
                              <w:rPr>
                                <w:iCs/>
                              </w:rPr>
                              <w:t xml:space="preserve"> </w:t>
                            </w:r>
                            <w:r w:rsidRPr="00380482">
                              <w:rPr>
                                <w:iCs/>
                              </w:rPr>
                              <w:t xml:space="preserve">overfishing </w:t>
                            </w:r>
                            <w:r w:rsidRPr="003A2DF3">
                              <w:rPr>
                                <w:iCs/>
                              </w:rPr>
                              <w:t>while minimizing, to the extent practicable, adverse social and economic effects</w:t>
                            </w:r>
                            <w:r w:rsidRPr="00380482">
                              <w:rPr>
                                <w:iCs/>
                              </w:rPr>
                              <w:t>.</w:t>
                            </w:r>
                          </w:p>
                        </w:txbxContent>
                      </wps:txbx>
                      <wps:bodyPr rot="0" vert="horz" wrap="square" lIns="91440" tIns="45720" rIns="91440" bIns="45720" anchor="t" anchorCtr="0" upright="1">
                        <a:noAutofit/>
                      </wps:bodyPr>
                    </wps:wsp>
                  </a:graphicData>
                </a:graphic>
              </wp:inline>
            </w:drawing>
          </mc:Choice>
          <mc:Fallback>
            <w:pict>
              <v:shape id="Text Box 18" o:spid="_x0000_s1027" type="#_x0000_t202" style="width:6in;height:199.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">
                <v:textbox>
                  <w:txbxContent>
                    <w:p w14:paraId="648837AA" w14:textId="77777777" w:rsidR="009108B8" w:rsidRPr="000E374B" w:rsidRDefault="009108B8" w:rsidP="009B291F">
                      <w:pPr>
                        <w:spacing w:before="7" w:line="274" w:lineRule="exact"/>
                        <w:ind w:right="814"/>
                        <w:rPr>
                          <w:rFonts w:ascii="Arial" w:hAnsi="Arial" w:cs="Arial"/>
                          <w:b/>
                          <w:color w:val="4F81BD" w:themeColor="accent1"/>
                          <w:sz w:val="28"/>
                          <w:szCs w:val="28"/>
                        </w:rPr>
                      </w:pPr>
                      <w:r w:rsidRPr="000E374B">
                        <w:rPr>
                          <w:rFonts w:ascii="Arial" w:hAnsi="Arial" w:cs="Arial"/>
                          <w:b/>
                          <w:color w:val="4F81BD" w:themeColor="accent1"/>
                          <w:sz w:val="28"/>
                          <w:szCs w:val="28"/>
                        </w:rPr>
                        <w:t>Purpose for Actions</w:t>
                      </w:r>
                    </w:p>
                    <w:p w14:paraId="5A18E971" w14:textId="77777777" w:rsidR="009108B8" w:rsidRDefault="009108B8" w:rsidP="00D8234D">
                      <w:pPr>
                        <w:rPr>
                          <w:iCs/>
                        </w:rPr>
                      </w:pPr>
                    </w:p>
                    <w:p w14:paraId="39DFFFCC" w14:textId="385623C2" w:rsidR="009108B8" w:rsidRPr="00380482" w:rsidRDefault="009108B8" w:rsidP="00D8234D">
                      <w:pPr>
                        <w:rPr>
                          <w:iCs/>
                        </w:rPr>
                      </w:pPr>
                      <w:r w:rsidRPr="00380482">
                        <w:rPr>
                          <w:iCs/>
                        </w:rPr>
                        <w:t xml:space="preserve">The </w:t>
                      </w:r>
                      <w:r w:rsidRPr="00380482">
                        <w:rPr>
                          <w:i/>
                          <w:iCs/>
                        </w:rPr>
                        <w:t>purpose</w:t>
                      </w:r>
                      <w:r w:rsidRPr="00380482">
                        <w:rPr>
                          <w:iCs/>
                        </w:rPr>
                        <w:t xml:space="preserve"> of this amendment is to update the a</w:t>
                      </w:r>
                      <w:r>
                        <w:rPr>
                          <w:iCs/>
                        </w:rPr>
                        <w:t>cceptable biological catch</w:t>
                      </w:r>
                      <w:r w:rsidRPr="00380482">
                        <w:rPr>
                          <w:iCs/>
                        </w:rPr>
                        <w:t xml:space="preserve">, </w:t>
                      </w:r>
                      <w:r>
                        <w:rPr>
                          <w:iCs/>
                        </w:rPr>
                        <w:t>annual catch limit</w:t>
                      </w:r>
                      <w:r w:rsidRPr="00380482">
                        <w:rPr>
                          <w:iCs/>
                        </w:rPr>
                        <w:t xml:space="preserve">, </w:t>
                      </w:r>
                      <w:r>
                        <w:rPr>
                          <w:iCs/>
                        </w:rPr>
                        <w:t>maximum sustainable yield</w:t>
                      </w:r>
                      <w:r w:rsidRPr="00380482">
                        <w:rPr>
                          <w:iCs/>
                        </w:rPr>
                        <w:t>, mi</w:t>
                      </w:r>
                      <w:r>
                        <w:rPr>
                          <w:iCs/>
                        </w:rPr>
                        <w:t>nimum stock size threshold, optimum yield</w:t>
                      </w:r>
                      <w:r w:rsidRPr="00380482">
                        <w:rPr>
                          <w:iCs/>
                        </w:rPr>
                        <w:t xml:space="preserve">, and revise management measures for the </w:t>
                      </w:r>
                      <w:r>
                        <w:rPr>
                          <w:iCs/>
                        </w:rPr>
                        <w:t>mutton snapper</w:t>
                      </w:r>
                      <w:r w:rsidRPr="00380482">
                        <w:rPr>
                          <w:iCs/>
                        </w:rPr>
                        <w:t xml:space="preserve"> component of the snapper grouper fishery</w:t>
                      </w:r>
                      <w:r>
                        <w:rPr>
                          <w:iCs/>
                        </w:rPr>
                        <w:t xml:space="preserve"> based on the results of the most recent stock assessment</w:t>
                      </w:r>
                      <w:r w:rsidRPr="00380482">
                        <w:rPr>
                          <w:iCs/>
                        </w:rPr>
                        <w:t>.</w:t>
                      </w:r>
                    </w:p>
                    <w:p w14:paraId="58CC690C" w14:textId="77777777" w:rsidR="009108B8" w:rsidRPr="000E374B" w:rsidRDefault="009108B8" w:rsidP="009B291F">
                      <w:pPr>
                        <w:spacing w:before="7" w:line="274" w:lineRule="exact"/>
                        <w:ind w:right="814"/>
                        <w:rPr>
                          <w:rFonts w:ascii="Arial" w:hAnsi="Arial" w:cs="Arial"/>
                          <w:b/>
                          <w:color w:val="4F81BD" w:themeColor="accent1"/>
                        </w:rPr>
                      </w:pPr>
                    </w:p>
                    <w:p w14:paraId="2FE7E42B" w14:textId="77777777" w:rsidR="009108B8" w:rsidRPr="000E374B" w:rsidRDefault="009108B8" w:rsidP="009B291F">
                      <w:pPr>
                        <w:rPr>
                          <w:rFonts w:ascii="Arial" w:hAnsi="Arial" w:cs="Arial"/>
                          <w:b/>
                          <w:color w:val="4F81BD" w:themeColor="accent1"/>
                          <w:sz w:val="28"/>
                          <w:szCs w:val="28"/>
                        </w:rPr>
                      </w:pPr>
                      <w:r w:rsidRPr="000E374B">
                        <w:rPr>
                          <w:rFonts w:ascii="Arial" w:hAnsi="Arial" w:cs="Arial"/>
                          <w:b/>
                          <w:color w:val="4F81BD" w:themeColor="accent1"/>
                          <w:sz w:val="28"/>
                          <w:szCs w:val="28"/>
                        </w:rPr>
                        <w:t>Need for Actions</w:t>
                      </w:r>
                    </w:p>
                    <w:p w14:paraId="08C07084" w14:textId="77777777" w:rsidR="009108B8" w:rsidRDefault="009108B8" w:rsidP="00D8234D">
                      <w:pPr>
                        <w:rPr>
                          <w:iCs/>
                        </w:rPr>
                      </w:pPr>
                    </w:p>
                    <w:p w14:paraId="363956A0" w14:textId="44257AED" w:rsidR="009108B8" w:rsidRPr="00AD40F6" w:rsidRDefault="009108B8" w:rsidP="00D8234D">
                      <w:pPr>
                        <w:rPr>
                          <w:rFonts w:ascii="Arial" w:hAnsi="Arial" w:cs="Arial"/>
                          <w:b/>
                        </w:rPr>
                      </w:pPr>
                      <w:r w:rsidRPr="00380482">
                        <w:rPr>
                          <w:iCs/>
                        </w:rPr>
                        <w:t xml:space="preserve">The </w:t>
                      </w:r>
                      <w:r w:rsidRPr="00380482">
                        <w:rPr>
                          <w:i/>
                          <w:iCs/>
                        </w:rPr>
                        <w:t>need</w:t>
                      </w:r>
                      <w:r w:rsidRPr="00380482">
                        <w:rPr>
                          <w:iCs/>
                        </w:rPr>
                        <w:t xml:space="preserve"> for the amendment is to</w:t>
                      </w:r>
                      <w:r>
                        <w:rPr>
                          <w:iCs/>
                        </w:rPr>
                        <w:t xml:space="preserve"> base mutton snapper management measures on the best scientific information available in order to achieve and maintain optimum yield and to </w:t>
                      </w:r>
                      <w:r w:rsidRPr="00380482">
                        <w:rPr>
                          <w:iCs/>
                        </w:rPr>
                        <w:t>prevent</w:t>
                      </w:r>
                      <w:r>
                        <w:rPr>
                          <w:iCs/>
                        </w:rPr>
                        <w:t xml:space="preserve"> </w:t>
                      </w:r>
                      <w:r w:rsidRPr="00380482">
                        <w:rPr>
                          <w:iCs/>
                        </w:rPr>
                        <w:t xml:space="preserve">overfishing </w:t>
                      </w:r>
                      <w:r w:rsidRPr="003A2DF3">
                        <w:rPr>
                          <w:iCs/>
                        </w:rPr>
                        <w:t>while minimizing, to the extent practicable, adverse social and economic effects</w:t>
                      </w:r>
                      <w:r w:rsidRPr="00380482">
                        <w:rPr>
                          <w:iCs/>
                        </w:rPr>
                        <w:t>.</w:t>
                      </w:r>
                    </w:p>
                  </w:txbxContent>
                </v:textbox>
                <w10:anchorlock/>
              </v:shape>
            </w:pict>
          </mc:Fallback>
        </mc:AlternateContent>
      </w:r>
    </w:p>
    <w:p w14:paraId="712932BB" w14:textId="77777777" w:rsidR="00B32742" w:rsidRPr="00F358B5" w:rsidRDefault="00B32742" w:rsidP="00B95EF2">
      <w:pPr>
        <w:rPr>
          <w:b/>
          <w:color w:val="1F497D" w:themeColor="text2"/>
          <w:sz w:val="28"/>
          <w:szCs w:val="28"/>
        </w:rPr>
        <w:sectPr w:rsidR="00B32742" w:rsidRPr="00F358B5" w:rsidSect="0038545E">
          <w:footerReference w:type="default" r:id="rId26"/>
          <w:pgSz w:w="12240" w:h="15840" w:code="1"/>
          <w:pgMar w:top="1440" w:right="1440" w:bottom="1440" w:left="1440" w:header="720" w:footer="720" w:gutter="0"/>
          <w:pgNumType w:start="1"/>
          <w:cols w:space="720"/>
          <w:docGrid w:linePitch="360"/>
        </w:sectPr>
      </w:pPr>
    </w:p>
    <w:p w14:paraId="15DCEA47" w14:textId="77777777" w:rsidR="00686FB7" w:rsidRDefault="00686FB7" w:rsidP="00B95EF2"/>
    <w:p w14:paraId="232A36F5" w14:textId="7E024A05" w:rsidR="008D0B8B" w:rsidRDefault="008D0B8B" w:rsidP="009E03CE">
      <w:pPr>
        <w:pStyle w:val="Heading1"/>
        <w:rPr>
          <w:rFonts w:ascii="Times New Roman" w:hAnsi="Times New Roman" w:cs="Times New Roman"/>
          <w:color w:val="4F81BD" w:themeColor="accent1"/>
          <w:sz w:val="56"/>
          <w:szCs w:val="56"/>
        </w:rPr>
      </w:pPr>
      <w:bookmarkStart w:id="32" w:name="_Toc339811690"/>
      <w:r w:rsidRPr="009E03CE">
        <w:rPr>
          <w:rFonts w:ascii="Times New Roman" w:hAnsi="Times New Roman" w:cs="Times New Roman"/>
          <w:color w:val="8DB3E2"/>
          <w:sz w:val="36"/>
          <w:szCs w:val="36"/>
        </w:rPr>
        <w:t xml:space="preserve">Chapter 1.  </w:t>
      </w:r>
      <w:r w:rsidRPr="009E03CE">
        <w:rPr>
          <w:rFonts w:ascii="Times New Roman" w:hAnsi="Times New Roman" w:cs="Times New Roman"/>
          <w:color w:val="4F81BD" w:themeColor="accent1"/>
          <w:sz w:val="56"/>
          <w:szCs w:val="56"/>
        </w:rPr>
        <w:t>Introduction</w:t>
      </w:r>
      <w:bookmarkEnd w:id="21"/>
      <w:bookmarkEnd w:id="22"/>
      <w:bookmarkEnd w:id="23"/>
      <w:bookmarkEnd w:id="24"/>
      <w:bookmarkEnd w:id="29"/>
      <w:bookmarkEnd w:id="32"/>
    </w:p>
    <w:p w14:paraId="188A8BFF" w14:textId="77777777" w:rsidR="009E03CE" w:rsidRPr="009E03CE" w:rsidRDefault="009E03CE" w:rsidP="009E03CE"/>
    <w:p w14:paraId="258B1B4A" w14:textId="72E0FF52" w:rsidR="008D0B8B" w:rsidRPr="00FC6516" w:rsidRDefault="003A1241" w:rsidP="00D71AB1">
      <w:pPr>
        <w:pStyle w:val="Heading2"/>
        <w:numPr>
          <w:ilvl w:val="1"/>
          <w:numId w:val="1"/>
        </w:numPr>
        <w:rPr>
          <w:rFonts w:ascii="Arial" w:hAnsi="Arial" w:cs="Arial"/>
          <w:i/>
        </w:rPr>
      </w:pPr>
      <w:bookmarkStart w:id="33" w:name="_Toc304879950"/>
      <w:bookmarkStart w:id="34" w:name="_Toc361410385"/>
      <w:bookmarkStart w:id="35" w:name="_Toc339811691"/>
      <w:r>
        <w:rPr>
          <w:rFonts w:ascii="Arial" w:hAnsi="Arial" w:cs="Arial"/>
        </w:rPr>
        <w:t>What actions are being p</w:t>
      </w:r>
      <w:r w:rsidR="008D0B8B" w:rsidRPr="00FC6516">
        <w:rPr>
          <w:rFonts w:ascii="Arial" w:hAnsi="Arial" w:cs="Arial"/>
        </w:rPr>
        <w:t>roposed</w:t>
      </w:r>
      <w:r>
        <w:rPr>
          <w:rFonts w:ascii="Arial" w:hAnsi="Arial" w:cs="Arial"/>
        </w:rPr>
        <w:t xml:space="preserve"> in this a</w:t>
      </w:r>
      <w:r w:rsidR="00AC7C65">
        <w:rPr>
          <w:rFonts w:ascii="Arial" w:hAnsi="Arial" w:cs="Arial"/>
        </w:rPr>
        <w:t>mendment</w:t>
      </w:r>
      <w:r w:rsidR="008D0B8B" w:rsidRPr="00FC6516">
        <w:rPr>
          <w:rFonts w:ascii="Arial" w:hAnsi="Arial" w:cs="Arial"/>
        </w:rPr>
        <w:t>?</w:t>
      </w:r>
      <w:bookmarkEnd w:id="33"/>
      <w:bookmarkEnd w:id="34"/>
      <w:r w:rsidR="00FD4607" w:rsidRPr="00FD4607">
        <w:rPr>
          <w:iCs w:val="0"/>
          <w:noProof/>
        </w:rPr>
        <w:t xml:space="preserve"> </w:t>
      </w:r>
      <w:r w:rsidR="00FD4607" w:rsidRPr="009654D9">
        <w:rPr>
          <w:iCs w:val="0"/>
          <w:noProof/>
        </w:rPr>
        <mc:AlternateContent>
          <mc:Choice Requires="wps">
            <w:drawing>
              <wp:anchor distT="0" distB="0" distL="182880" distR="114300" simplePos="0" relativeHeight="251666944" behindDoc="1" locked="1" layoutInCell="1" allowOverlap="1" wp14:anchorId="3B56460F" wp14:editId="73791AAB">
                <wp:simplePos x="0" y="0"/>
                <wp:positionH relativeFrom="column">
                  <wp:posOffset>2671445</wp:posOffset>
                </wp:positionH>
                <wp:positionV relativeFrom="page">
                  <wp:posOffset>2051685</wp:posOffset>
                </wp:positionV>
                <wp:extent cx="3261360" cy="3837940"/>
                <wp:effectExtent l="0" t="76200" r="91440" b="22860"/>
                <wp:wrapTight wrapText="bothSides">
                  <wp:wrapPolygon edited="0">
                    <wp:start x="168" y="-429"/>
                    <wp:lineTo x="0" y="-429"/>
                    <wp:lineTo x="0" y="21586"/>
                    <wp:lineTo x="21869" y="21586"/>
                    <wp:lineTo x="22037" y="20871"/>
                    <wp:lineTo x="22037" y="-429"/>
                    <wp:lineTo x="168" y="-429"/>
                  </wp:wrapPolygon>
                </wp:wrapTight>
                <wp:docPr id="7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3837940"/>
                        </a:xfrm>
                        <a:prstGeom prst="rect">
                          <a:avLst/>
                        </a:prstGeom>
                        <a:solidFill>
                          <a:srgbClr val="FFFFFF"/>
                        </a:solidFill>
                        <a:ln w="31750">
                          <a:solidFill>
                            <a:srgbClr val="4F81BD"/>
                          </a:solidFill>
                          <a:miter lim="800000"/>
                          <a:headEnd/>
                          <a:tailEnd/>
                        </a:ln>
                        <a:effectLst>
                          <a:outerShdw dist="107763" dir="18900000" algn="ctr" rotWithShape="0">
                            <a:srgbClr val="868686">
                              <a:alpha val="50000"/>
                            </a:srgb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710F1A09" w14:textId="77777777" w:rsidR="009108B8" w:rsidRPr="00EE4F9F" w:rsidRDefault="009108B8" w:rsidP="00FD4607">
                            <w:pPr>
                              <w:jc w:val="center"/>
                              <w:rPr>
                                <w:iCs/>
                                <w:color w:val="548DD4"/>
                                <w:sz w:val="16"/>
                                <w:szCs w:val="16"/>
                              </w:rPr>
                            </w:pPr>
                          </w:p>
                          <w:p w14:paraId="6B66CEB1" w14:textId="77777777" w:rsidR="009108B8" w:rsidRPr="00B32742" w:rsidRDefault="009108B8" w:rsidP="00FD4607">
                            <w:pPr>
                              <w:jc w:val="center"/>
                              <w:rPr>
                                <w:rFonts w:ascii="Arial" w:hAnsi="Arial" w:cs="Arial"/>
                                <w:b/>
                                <w:i/>
                                <w:iCs/>
                                <w:color w:val="548DD4"/>
                              </w:rPr>
                            </w:pPr>
                            <w:r w:rsidRPr="00B32742">
                              <w:rPr>
                                <w:rFonts w:ascii="Arial" w:hAnsi="Arial" w:cs="Arial"/>
                                <w:b/>
                                <w:i/>
                                <w:iCs/>
                                <w:color w:val="548DD4"/>
                              </w:rPr>
                              <w:t>South Atlantic Fishery Management Council</w:t>
                            </w:r>
                          </w:p>
                          <w:p w14:paraId="62144D37" w14:textId="77777777" w:rsidR="009108B8" w:rsidRPr="00121B74" w:rsidRDefault="009108B8" w:rsidP="00FD4607">
                            <w:pPr>
                              <w:rPr>
                                <w:rFonts w:ascii="Arial" w:hAnsi="Arial" w:cs="Arial"/>
                                <w:szCs w:val="28"/>
                              </w:rPr>
                            </w:pPr>
                          </w:p>
                          <w:p w14:paraId="3FE32CFE" w14:textId="77777777" w:rsidR="009108B8" w:rsidRPr="00B32742" w:rsidRDefault="009108B8" w:rsidP="00FD4607">
                            <w:pPr>
                              <w:pStyle w:val="DarkList-Accent52"/>
                              <w:numPr>
                                <w:ilvl w:val="0"/>
                                <w:numId w:val="2"/>
                              </w:numPr>
                              <w:ind w:left="270" w:hanging="270"/>
                              <w:rPr>
                                <w:rFonts w:ascii="Arial" w:hAnsi="Arial" w:cs="Arial"/>
                                <w:iCs/>
                                <w:color w:val="1F497D"/>
                                <w:sz w:val="20"/>
                                <w:szCs w:val="20"/>
                              </w:rPr>
                            </w:pPr>
                            <w:r w:rsidRPr="00B32742">
                              <w:rPr>
                                <w:rFonts w:ascii="Arial" w:hAnsi="Arial" w:cs="Arial"/>
                                <w:iCs/>
                                <w:color w:val="1F497D"/>
                                <w:sz w:val="20"/>
                                <w:szCs w:val="20"/>
                              </w:rPr>
                              <w:t>Responsible for conservation and management of fish stocks in the South Atlantic Region</w:t>
                            </w:r>
                          </w:p>
                          <w:p w14:paraId="0941E957" w14:textId="77777777" w:rsidR="009108B8" w:rsidRPr="00B32742" w:rsidRDefault="009108B8" w:rsidP="00FD4607">
                            <w:pPr>
                              <w:pStyle w:val="DarkList-Accent52"/>
                              <w:ind w:left="270"/>
                              <w:rPr>
                                <w:rFonts w:ascii="Arial" w:hAnsi="Arial" w:cs="Arial"/>
                                <w:iCs/>
                                <w:color w:val="1F497D"/>
                                <w:sz w:val="20"/>
                                <w:szCs w:val="20"/>
                              </w:rPr>
                            </w:pPr>
                          </w:p>
                          <w:p w14:paraId="40A152A5" w14:textId="77777777" w:rsidR="009108B8" w:rsidRPr="00B32742" w:rsidRDefault="009108B8" w:rsidP="00FD4607">
                            <w:pPr>
                              <w:pStyle w:val="DarkList-Accent52"/>
                              <w:numPr>
                                <w:ilvl w:val="0"/>
                                <w:numId w:val="2"/>
                              </w:numPr>
                              <w:ind w:left="270" w:hanging="270"/>
                              <w:rPr>
                                <w:rFonts w:ascii="Arial" w:hAnsi="Arial" w:cs="Arial"/>
                                <w:iCs/>
                                <w:color w:val="1F497D"/>
                                <w:sz w:val="20"/>
                                <w:szCs w:val="20"/>
                              </w:rPr>
                            </w:pPr>
                            <w:r w:rsidRPr="00B32742">
                              <w:rPr>
                                <w:rFonts w:ascii="Arial" w:hAnsi="Arial" w:cs="Arial"/>
                                <w:iCs/>
                                <w:color w:val="1F497D"/>
                                <w:sz w:val="20"/>
                                <w:szCs w:val="20"/>
                              </w:rPr>
                              <w:t xml:space="preserve">Consists of 13 voting members who are appointed by the Secretary of Commerce, </w:t>
                            </w:r>
                          </w:p>
                          <w:p w14:paraId="07EC6BF2" w14:textId="2540E1B5" w:rsidR="009108B8" w:rsidRPr="00B32742" w:rsidRDefault="009108B8" w:rsidP="00FD4607">
                            <w:pPr>
                              <w:pStyle w:val="DarkList-Accent52"/>
                              <w:ind w:left="270"/>
                              <w:rPr>
                                <w:rFonts w:ascii="Arial" w:hAnsi="Arial" w:cs="Arial"/>
                                <w:iCs/>
                                <w:color w:val="1F497D"/>
                                <w:sz w:val="20"/>
                                <w:szCs w:val="20"/>
                              </w:rPr>
                            </w:pPr>
                            <w:r w:rsidRPr="00B32742">
                              <w:rPr>
                                <w:rFonts w:ascii="Arial" w:hAnsi="Arial" w:cs="Arial"/>
                                <w:iCs/>
                                <w:color w:val="1F497D"/>
                                <w:sz w:val="20"/>
                                <w:szCs w:val="20"/>
                              </w:rPr>
                              <w:t xml:space="preserve">1 representative from each of the 4 South Atlantic states, the Southeast Regional </w:t>
                            </w:r>
                            <w:r>
                              <w:rPr>
                                <w:rFonts w:ascii="Arial" w:hAnsi="Arial" w:cs="Arial"/>
                                <w:iCs/>
                                <w:color w:val="1F497D"/>
                                <w:sz w:val="20"/>
                                <w:szCs w:val="20"/>
                              </w:rPr>
                              <w:t>Administrator</w:t>
                            </w:r>
                            <w:r w:rsidRPr="00B32742">
                              <w:rPr>
                                <w:rFonts w:ascii="Arial" w:hAnsi="Arial" w:cs="Arial"/>
                                <w:iCs/>
                                <w:color w:val="1F497D"/>
                                <w:sz w:val="20"/>
                                <w:szCs w:val="20"/>
                              </w:rPr>
                              <w:t xml:space="preserve"> of NMFS, and 4 non-voting members</w:t>
                            </w:r>
                          </w:p>
                          <w:p w14:paraId="13F5DAE3" w14:textId="77777777" w:rsidR="009108B8" w:rsidRPr="00B32742" w:rsidRDefault="009108B8" w:rsidP="00FD4607">
                            <w:pPr>
                              <w:pStyle w:val="DarkList-Accent52"/>
                              <w:ind w:left="270"/>
                              <w:rPr>
                                <w:rFonts w:ascii="Arial" w:hAnsi="Arial" w:cs="Arial"/>
                                <w:iCs/>
                                <w:color w:val="1F497D"/>
                                <w:sz w:val="20"/>
                                <w:szCs w:val="20"/>
                              </w:rPr>
                            </w:pPr>
                          </w:p>
                          <w:p w14:paraId="59DB043D" w14:textId="77777777" w:rsidR="009108B8" w:rsidRPr="00B32742" w:rsidRDefault="009108B8" w:rsidP="00FD4607">
                            <w:pPr>
                              <w:pStyle w:val="DarkList-Accent52"/>
                              <w:numPr>
                                <w:ilvl w:val="0"/>
                                <w:numId w:val="2"/>
                              </w:numPr>
                              <w:ind w:left="270" w:hanging="270"/>
                              <w:rPr>
                                <w:rFonts w:ascii="Arial" w:hAnsi="Arial" w:cs="Arial"/>
                                <w:iCs/>
                                <w:color w:val="1F497D"/>
                                <w:sz w:val="20"/>
                                <w:szCs w:val="20"/>
                              </w:rPr>
                            </w:pPr>
                            <w:r w:rsidRPr="00B32742">
                              <w:rPr>
                                <w:rFonts w:ascii="Arial" w:hAnsi="Arial" w:cs="Arial"/>
                                <w:iCs/>
                                <w:color w:val="1F497D"/>
                                <w:sz w:val="20"/>
                                <w:szCs w:val="20"/>
                              </w:rPr>
                              <w:t>Responsible for developing fishery management plans and amendments under the Magnuson-Stevens Act; recommends actions to NMFS for implementation</w:t>
                            </w:r>
                          </w:p>
                          <w:p w14:paraId="423E86D4" w14:textId="77777777" w:rsidR="009108B8" w:rsidRPr="00B32742" w:rsidRDefault="009108B8" w:rsidP="00FD4607">
                            <w:pPr>
                              <w:pStyle w:val="DarkList-Accent52"/>
                              <w:ind w:left="270"/>
                              <w:rPr>
                                <w:rFonts w:ascii="Arial" w:hAnsi="Arial" w:cs="Arial"/>
                                <w:iCs/>
                                <w:color w:val="1F497D"/>
                                <w:sz w:val="20"/>
                                <w:szCs w:val="20"/>
                              </w:rPr>
                            </w:pPr>
                          </w:p>
                          <w:p w14:paraId="73C757B7" w14:textId="726218AB" w:rsidR="009108B8" w:rsidRPr="00B32742" w:rsidRDefault="009108B8" w:rsidP="00FD4607">
                            <w:pPr>
                              <w:pStyle w:val="DarkList-Accent52"/>
                              <w:numPr>
                                <w:ilvl w:val="0"/>
                                <w:numId w:val="2"/>
                              </w:numPr>
                              <w:ind w:left="270" w:hanging="270"/>
                              <w:rPr>
                                <w:rFonts w:ascii="Arial" w:hAnsi="Arial" w:cs="Arial"/>
                                <w:iCs/>
                                <w:color w:val="1F497D"/>
                                <w:sz w:val="20"/>
                                <w:szCs w:val="20"/>
                              </w:rPr>
                            </w:pPr>
                            <w:r w:rsidRPr="00B32742">
                              <w:rPr>
                                <w:rFonts w:ascii="Arial" w:hAnsi="Arial" w:cs="Arial"/>
                                <w:iCs/>
                                <w:color w:val="1F497D"/>
                                <w:sz w:val="20"/>
                                <w:szCs w:val="20"/>
                              </w:rPr>
                              <w:t>Management area is from 3 to 200 nautical miles off the coasts of North Carolina, South Carolina, Georgia, and east Florida through Key West, with the exception of Mackerel which is from New York to Florida, and Dolphin-Wahoo, which is from Maine to Florida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8" type="#_x0000_t202" style="position:absolute;left:0;text-align:left;margin-left:210.35pt;margin-top:161.55pt;width:256.8pt;height:302.2pt;z-index:-251649536;visibility:visible;mso-wrap-style:square;mso-width-percent:0;mso-height-percent:0;mso-wrap-distance-left:14.4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" strokecolor="#4f81bd" strokeweight="2.5pt">
                <v:shadow on="t" color="#868686" opacity=".5" mv:blur="0" offset="6pt,-6pt"/>
                <v:textbox>
                  <w:txbxContent>
                    <w:p w14:paraId="710F1A09" w14:textId="77777777" w:rsidR="009108B8" w:rsidRPr="00EE4F9F" w:rsidRDefault="009108B8" w:rsidP="00FD4607">
                      <w:pPr>
                        <w:jc w:val="center"/>
                        <w:rPr>
                          <w:iCs/>
                          <w:color w:val="548DD4"/>
                          <w:sz w:val="16"/>
                          <w:szCs w:val="16"/>
                        </w:rPr>
                      </w:pPr>
                    </w:p>
                    <w:p w14:paraId="6B66CEB1" w14:textId="77777777" w:rsidR="009108B8" w:rsidRPr="00B32742" w:rsidRDefault="009108B8" w:rsidP="00FD4607">
                      <w:pPr>
                        <w:jc w:val="center"/>
                        <w:rPr>
                          <w:rFonts w:ascii="Arial" w:hAnsi="Arial" w:cs="Arial"/>
                          <w:b/>
                          <w:i/>
                          <w:iCs/>
                          <w:color w:val="548DD4"/>
                        </w:rPr>
                      </w:pPr>
                      <w:r w:rsidRPr="00B32742">
                        <w:rPr>
                          <w:rFonts w:ascii="Arial" w:hAnsi="Arial" w:cs="Arial"/>
                          <w:b/>
                          <w:i/>
                          <w:iCs/>
                          <w:color w:val="548DD4"/>
                        </w:rPr>
                        <w:t>South Atlantic Fishery Management Council</w:t>
                      </w:r>
                    </w:p>
                    <w:p w14:paraId="62144D37" w14:textId="77777777" w:rsidR="009108B8" w:rsidRPr="00121B74" w:rsidRDefault="009108B8" w:rsidP="00FD4607">
                      <w:pPr>
                        <w:rPr>
                          <w:rFonts w:ascii="Arial" w:hAnsi="Arial" w:cs="Arial"/>
                          <w:szCs w:val="28"/>
                        </w:rPr>
                      </w:pPr>
                    </w:p>
                    <w:p w14:paraId="3FE32CFE" w14:textId="77777777" w:rsidR="009108B8" w:rsidRPr="00B32742" w:rsidRDefault="009108B8" w:rsidP="00FD4607">
                      <w:pPr>
                        <w:pStyle w:val="DarkList-Accent52"/>
                        <w:numPr>
                          <w:ilvl w:val="0"/>
                          <w:numId w:val="2"/>
                        </w:numPr>
                        <w:ind w:left="270" w:hanging="270"/>
                        <w:rPr>
                          <w:rFonts w:ascii="Arial" w:hAnsi="Arial" w:cs="Arial"/>
                          <w:iCs/>
                          <w:color w:val="1F497D"/>
                          <w:sz w:val="20"/>
                          <w:szCs w:val="20"/>
                        </w:rPr>
                      </w:pPr>
                      <w:r w:rsidRPr="00B32742">
                        <w:rPr>
                          <w:rFonts w:ascii="Arial" w:hAnsi="Arial" w:cs="Arial"/>
                          <w:iCs/>
                          <w:color w:val="1F497D"/>
                          <w:sz w:val="20"/>
                          <w:szCs w:val="20"/>
                        </w:rPr>
                        <w:t>Responsible for conservation and management of fish stocks in the South Atlantic Region</w:t>
                      </w:r>
                    </w:p>
                    <w:p w14:paraId="0941E957" w14:textId="77777777" w:rsidR="009108B8" w:rsidRPr="00B32742" w:rsidRDefault="009108B8" w:rsidP="00FD4607">
                      <w:pPr>
                        <w:pStyle w:val="DarkList-Accent52"/>
                        <w:ind w:left="270"/>
                        <w:rPr>
                          <w:rFonts w:ascii="Arial" w:hAnsi="Arial" w:cs="Arial"/>
                          <w:iCs/>
                          <w:color w:val="1F497D"/>
                          <w:sz w:val="20"/>
                          <w:szCs w:val="20"/>
                        </w:rPr>
                      </w:pPr>
                    </w:p>
                    <w:p w14:paraId="40A152A5" w14:textId="77777777" w:rsidR="009108B8" w:rsidRPr="00B32742" w:rsidRDefault="009108B8" w:rsidP="00FD4607">
                      <w:pPr>
                        <w:pStyle w:val="DarkList-Accent52"/>
                        <w:numPr>
                          <w:ilvl w:val="0"/>
                          <w:numId w:val="2"/>
                        </w:numPr>
                        <w:ind w:left="270" w:hanging="270"/>
                        <w:rPr>
                          <w:rFonts w:ascii="Arial" w:hAnsi="Arial" w:cs="Arial"/>
                          <w:iCs/>
                          <w:color w:val="1F497D"/>
                          <w:sz w:val="20"/>
                          <w:szCs w:val="20"/>
                        </w:rPr>
                      </w:pPr>
                      <w:r w:rsidRPr="00B32742">
                        <w:rPr>
                          <w:rFonts w:ascii="Arial" w:hAnsi="Arial" w:cs="Arial"/>
                          <w:iCs/>
                          <w:color w:val="1F497D"/>
                          <w:sz w:val="20"/>
                          <w:szCs w:val="20"/>
                        </w:rPr>
                        <w:t xml:space="preserve">Consists of 13 voting members who are appointed by the Secretary of Commerce, </w:t>
                      </w:r>
                    </w:p>
                    <w:p w14:paraId="07EC6BF2" w14:textId="2540E1B5" w:rsidR="009108B8" w:rsidRPr="00B32742" w:rsidRDefault="009108B8" w:rsidP="00FD4607">
                      <w:pPr>
                        <w:pStyle w:val="DarkList-Accent52"/>
                        <w:ind w:left="270"/>
                        <w:rPr>
                          <w:rFonts w:ascii="Arial" w:hAnsi="Arial" w:cs="Arial"/>
                          <w:iCs/>
                          <w:color w:val="1F497D"/>
                          <w:sz w:val="20"/>
                          <w:szCs w:val="20"/>
                        </w:rPr>
                      </w:pPr>
                      <w:r w:rsidRPr="00B32742">
                        <w:rPr>
                          <w:rFonts w:ascii="Arial" w:hAnsi="Arial" w:cs="Arial"/>
                          <w:iCs/>
                          <w:color w:val="1F497D"/>
                          <w:sz w:val="20"/>
                          <w:szCs w:val="20"/>
                        </w:rPr>
                        <w:t xml:space="preserve">1 representative from each of the 4 South Atlantic states, the Southeast Regional </w:t>
                      </w:r>
                      <w:r>
                        <w:rPr>
                          <w:rFonts w:ascii="Arial" w:hAnsi="Arial" w:cs="Arial"/>
                          <w:iCs/>
                          <w:color w:val="1F497D"/>
                          <w:sz w:val="20"/>
                          <w:szCs w:val="20"/>
                        </w:rPr>
                        <w:t>Administrator</w:t>
                      </w:r>
                      <w:r w:rsidRPr="00B32742">
                        <w:rPr>
                          <w:rFonts w:ascii="Arial" w:hAnsi="Arial" w:cs="Arial"/>
                          <w:iCs/>
                          <w:color w:val="1F497D"/>
                          <w:sz w:val="20"/>
                          <w:szCs w:val="20"/>
                        </w:rPr>
                        <w:t xml:space="preserve"> of NMFS, and 4 non-voting members</w:t>
                      </w:r>
                    </w:p>
                    <w:p w14:paraId="13F5DAE3" w14:textId="77777777" w:rsidR="009108B8" w:rsidRPr="00B32742" w:rsidRDefault="009108B8" w:rsidP="00FD4607">
                      <w:pPr>
                        <w:pStyle w:val="DarkList-Accent52"/>
                        <w:ind w:left="270"/>
                        <w:rPr>
                          <w:rFonts w:ascii="Arial" w:hAnsi="Arial" w:cs="Arial"/>
                          <w:iCs/>
                          <w:color w:val="1F497D"/>
                          <w:sz w:val="20"/>
                          <w:szCs w:val="20"/>
                        </w:rPr>
                      </w:pPr>
                    </w:p>
                    <w:p w14:paraId="59DB043D" w14:textId="77777777" w:rsidR="009108B8" w:rsidRPr="00B32742" w:rsidRDefault="009108B8" w:rsidP="00FD4607">
                      <w:pPr>
                        <w:pStyle w:val="DarkList-Accent52"/>
                        <w:numPr>
                          <w:ilvl w:val="0"/>
                          <w:numId w:val="2"/>
                        </w:numPr>
                        <w:ind w:left="270" w:hanging="270"/>
                        <w:rPr>
                          <w:rFonts w:ascii="Arial" w:hAnsi="Arial" w:cs="Arial"/>
                          <w:iCs/>
                          <w:color w:val="1F497D"/>
                          <w:sz w:val="20"/>
                          <w:szCs w:val="20"/>
                        </w:rPr>
                      </w:pPr>
                      <w:r w:rsidRPr="00B32742">
                        <w:rPr>
                          <w:rFonts w:ascii="Arial" w:hAnsi="Arial" w:cs="Arial"/>
                          <w:iCs/>
                          <w:color w:val="1F497D"/>
                          <w:sz w:val="20"/>
                          <w:szCs w:val="20"/>
                        </w:rPr>
                        <w:t>Responsible for developing fishery management plans and amendments under the Magnuson-Stevens Act; recommends actions to NMFS for implementation</w:t>
                      </w:r>
                    </w:p>
                    <w:p w14:paraId="423E86D4" w14:textId="77777777" w:rsidR="009108B8" w:rsidRPr="00B32742" w:rsidRDefault="009108B8" w:rsidP="00FD4607">
                      <w:pPr>
                        <w:pStyle w:val="DarkList-Accent52"/>
                        <w:ind w:left="270"/>
                        <w:rPr>
                          <w:rFonts w:ascii="Arial" w:hAnsi="Arial" w:cs="Arial"/>
                          <w:iCs/>
                          <w:color w:val="1F497D"/>
                          <w:sz w:val="20"/>
                          <w:szCs w:val="20"/>
                        </w:rPr>
                      </w:pPr>
                    </w:p>
                    <w:p w14:paraId="73C757B7" w14:textId="726218AB" w:rsidR="009108B8" w:rsidRPr="00B32742" w:rsidRDefault="009108B8" w:rsidP="00FD4607">
                      <w:pPr>
                        <w:pStyle w:val="DarkList-Accent52"/>
                        <w:numPr>
                          <w:ilvl w:val="0"/>
                          <w:numId w:val="2"/>
                        </w:numPr>
                        <w:ind w:left="270" w:hanging="270"/>
                        <w:rPr>
                          <w:rFonts w:ascii="Arial" w:hAnsi="Arial" w:cs="Arial"/>
                          <w:iCs/>
                          <w:color w:val="1F497D"/>
                          <w:sz w:val="20"/>
                          <w:szCs w:val="20"/>
                        </w:rPr>
                      </w:pPr>
                      <w:r w:rsidRPr="00B32742">
                        <w:rPr>
                          <w:rFonts w:ascii="Arial" w:hAnsi="Arial" w:cs="Arial"/>
                          <w:iCs/>
                          <w:color w:val="1F497D"/>
                          <w:sz w:val="20"/>
                          <w:szCs w:val="20"/>
                        </w:rPr>
                        <w:t>Management area is from 3 to 200 nautical miles off the coasts of North Carolina, South Carolina, Georgia, and east Florida through Key West, with the exception of Mackerel which is from New York to Florida, and Dolphin-Wahoo, which is from Maine to Florida</w:t>
                      </w:r>
                    </w:p>
                  </w:txbxContent>
                </v:textbox>
                <w10:wrap type="tight" anchory="page"/>
                <w10:anchorlock/>
              </v:shape>
            </w:pict>
          </mc:Fallback>
        </mc:AlternateContent>
      </w:r>
      <w:bookmarkEnd w:id="35"/>
    </w:p>
    <w:p w14:paraId="21E88418" w14:textId="6CE9C13F" w:rsidR="00CB46FE" w:rsidRDefault="00EB1832" w:rsidP="000E374B">
      <w:pPr>
        <w:numPr>
          <w:ilvl w:val="12"/>
          <w:numId w:val="0"/>
        </w:numPr>
        <w:ind w:firstLine="180"/>
        <w:contextualSpacing/>
        <w:rPr>
          <w:rFonts w:eastAsiaTheme="minorHAnsi"/>
          <w:color w:val="000000"/>
        </w:rPr>
      </w:pPr>
      <w:r w:rsidRPr="00EB1832">
        <w:rPr>
          <w:rFonts w:eastAsiaTheme="minorHAnsi"/>
          <w:color w:val="000000"/>
        </w:rPr>
        <w:t xml:space="preserve">Amendment 41 to the Fishery Management Plan for the Snapper Grouper Fishery of the South Atlantic Region (Snapper Grouper FMP) proposes to </w:t>
      </w:r>
      <w:r w:rsidR="00CB46FE">
        <w:rPr>
          <w:rFonts w:eastAsiaTheme="minorHAnsi"/>
          <w:color w:val="000000"/>
        </w:rPr>
        <w:t>modify management of mutton snapper in the South Atlantic to respond to a recent stock assessment and protect mutton snapper during the spawning season.  Action</w:t>
      </w:r>
      <w:r w:rsidR="009654D9">
        <w:rPr>
          <w:rFonts w:eastAsiaTheme="minorHAnsi"/>
          <w:color w:val="000000"/>
        </w:rPr>
        <w:t>s</w:t>
      </w:r>
      <w:r w:rsidR="00CB46FE">
        <w:rPr>
          <w:rFonts w:eastAsiaTheme="minorHAnsi"/>
          <w:color w:val="000000"/>
        </w:rPr>
        <w:t xml:space="preserve"> in the amendment include the modification of management benchmarks and allowable fishing levels. </w:t>
      </w:r>
    </w:p>
    <w:p w14:paraId="58BB7BC3" w14:textId="77777777" w:rsidR="009654D9" w:rsidRDefault="009654D9" w:rsidP="000E374B">
      <w:pPr>
        <w:numPr>
          <w:ilvl w:val="12"/>
          <w:numId w:val="0"/>
        </w:numPr>
        <w:ind w:firstLine="180"/>
        <w:contextualSpacing/>
        <w:rPr>
          <w:rFonts w:eastAsiaTheme="minorHAnsi"/>
          <w:color w:val="000000"/>
        </w:rPr>
      </w:pPr>
    </w:p>
    <w:p w14:paraId="2DB820E6" w14:textId="10002704" w:rsidR="00341848" w:rsidRDefault="00CB46FE" w:rsidP="000E374B">
      <w:pPr>
        <w:numPr>
          <w:ilvl w:val="12"/>
          <w:numId w:val="0"/>
        </w:numPr>
        <w:ind w:firstLine="180"/>
        <w:contextualSpacing/>
        <w:rPr>
          <w:rFonts w:eastAsiaTheme="minorHAnsi"/>
          <w:color w:val="000000"/>
        </w:rPr>
      </w:pPr>
      <w:r>
        <w:rPr>
          <w:rFonts w:eastAsiaTheme="minorHAnsi"/>
          <w:color w:val="000000"/>
        </w:rPr>
        <w:t xml:space="preserve">  The amendment would also </w:t>
      </w:r>
      <w:r w:rsidR="00EB1832" w:rsidRPr="00EB1832">
        <w:rPr>
          <w:rFonts w:eastAsiaTheme="minorHAnsi"/>
          <w:color w:val="000000"/>
        </w:rPr>
        <w:t xml:space="preserve">designate the </w:t>
      </w:r>
      <w:r w:rsidR="00427877">
        <w:rPr>
          <w:rFonts w:eastAsiaTheme="minorHAnsi"/>
          <w:color w:val="000000"/>
        </w:rPr>
        <w:t>“</w:t>
      </w:r>
      <w:r w:rsidR="00EB1832" w:rsidRPr="00EB1832">
        <w:rPr>
          <w:rFonts w:eastAsiaTheme="minorHAnsi"/>
          <w:color w:val="000000"/>
        </w:rPr>
        <w:t xml:space="preserve">spawning </w:t>
      </w:r>
      <w:r w:rsidR="00427877">
        <w:rPr>
          <w:rFonts w:eastAsiaTheme="minorHAnsi"/>
          <w:color w:val="000000"/>
        </w:rPr>
        <w:t xml:space="preserve">months,” </w:t>
      </w:r>
      <w:r w:rsidR="00C41736">
        <w:rPr>
          <w:rFonts w:eastAsiaTheme="minorHAnsi"/>
          <w:color w:val="000000"/>
        </w:rPr>
        <w:t>(</w:t>
      </w:r>
      <w:r w:rsidR="00427877">
        <w:rPr>
          <w:rFonts w:eastAsiaTheme="minorHAnsi"/>
          <w:color w:val="000000"/>
        </w:rPr>
        <w:t>during which stricter regulations may apply</w:t>
      </w:r>
      <w:r w:rsidR="00C41736">
        <w:rPr>
          <w:rFonts w:eastAsiaTheme="minorHAnsi"/>
          <w:color w:val="000000"/>
        </w:rPr>
        <w:t>)</w:t>
      </w:r>
      <w:r w:rsidR="00427877">
        <w:rPr>
          <w:rFonts w:eastAsiaTheme="minorHAnsi"/>
          <w:color w:val="000000"/>
        </w:rPr>
        <w:t xml:space="preserve">, modify the minimum size limit, </w:t>
      </w:r>
      <w:r w:rsidR="00EB1832" w:rsidRPr="00EB1832">
        <w:rPr>
          <w:rFonts w:eastAsiaTheme="minorHAnsi"/>
          <w:color w:val="000000"/>
        </w:rPr>
        <w:t xml:space="preserve">recreational </w:t>
      </w:r>
      <w:r w:rsidR="00427877">
        <w:rPr>
          <w:rFonts w:eastAsiaTheme="minorHAnsi"/>
          <w:color w:val="000000"/>
        </w:rPr>
        <w:t xml:space="preserve">bag limit, </w:t>
      </w:r>
      <w:r w:rsidR="00EB1832" w:rsidRPr="00EB1832">
        <w:rPr>
          <w:rFonts w:eastAsiaTheme="minorHAnsi"/>
          <w:color w:val="000000"/>
        </w:rPr>
        <w:t>and commercial trip limit</w:t>
      </w:r>
      <w:r>
        <w:rPr>
          <w:rFonts w:eastAsiaTheme="minorHAnsi"/>
          <w:color w:val="000000"/>
        </w:rPr>
        <w:t>.</w:t>
      </w:r>
    </w:p>
    <w:p w14:paraId="1556FCC5" w14:textId="77777777" w:rsidR="009654D9" w:rsidRPr="00BB39A4" w:rsidRDefault="009654D9" w:rsidP="000E374B">
      <w:pPr>
        <w:numPr>
          <w:ilvl w:val="12"/>
          <w:numId w:val="0"/>
        </w:numPr>
        <w:ind w:firstLine="180"/>
        <w:contextualSpacing/>
      </w:pPr>
    </w:p>
    <w:p w14:paraId="0BD2E1BD" w14:textId="096CDD50" w:rsidR="008D0B8B" w:rsidRPr="00FC6516" w:rsidRDefault="00FD4607" w:rsidP="007109B8">
      <w:pPr>
        <w:pStyle w:val="Heading2"/>
        <w:rPr>
          <w:rFonts w:ascii="Arial" w:hAnsi="Arial" w:cs="Arial"/>
          <w:i/>
        </w:rPr>
      </w:pPr>
      <w:bookmarkStart w:id="36" w:name="_Toc304879951"/>
      <w:bookmarkStart w:id="37" w:name="_Toc361410386"/>
      <w:bookmarkStart w:id="38" w:name="_Toc339811692"/>
      <w:r>
        <w:rPr>
          <w:rFonts w:ascii="Arial" w:hAnsi="Arial" w:cs="Arial"/>
        </w:rPr>
        <w:t>1.2</w:t>
      </w:r>
      <w:r>
        <w:rPr>
          <w:rFonts w:ascii="Arial" w:hAnsi="Arial" w:cs="Arial"/>
        </w:rPr>
        <w:tab/>
      </w:r>
      <w:r w:rsidR="003A1241">
        <w:rPr>
          <w:rFonts w:ascii="Arial" w:hAnsi="Arial" w:cs="Arial"/>
        </w:rPr>
        <w:t>Who is proposing the a</w:t>
      </w:r>
      <w:r w:rsidR="00AC7C65">
        <w:rPr>
          <w:rFonts w:ascii="Arial" w:hAnsi="Arial" w:cs="Arial"/>
        </w:rPr>
        <w:t>mendment</w:t>
      </w:r>
      <w:r w:rsidR="008D0B8B" w:rsidRPr="00FC6516">
        <w:rPr>
          <w:rFonts w:ascii="Arial" w:hAnsi="Arial" w:cs="Arial"/>
        </w:rPr>
        <w:t>?</w:t>
      </w:r>
      <w:bookmarkEnd w:id="36"/>
      <w:bookmarkEnd w:id="37"/>
      <w:bookmarkEnd w:id="38"/>
    </w:p>
    <w:p w14:paraId="6C1F874B" w14:textId="2B87D72F" w:rsidR="008520BB" w:rsidRPr="00E0122A" w:rsidRDefault="00553534" w:rsidP="000E374B">
      <w:pPr>
        <w:ind w:firstLine="360"/>
      </w:pPr>
      <w:r w:rsidRPr="00532ABB">
        <w:t>The South Atlantic Council develops the</w:t>
      </w:r>
      <w:r w:rsidR="00D50C10" w:rsidRPr="00D50C10">
        <w:t xml:space="preserve"> </w:t>
      </w:r>
      <w:r w:rsidR="00D50C10">
        <w:t xml:space="preserve">amendment </w:t>
      </w:r>
      <w:r w:rsidRPr="00532ABB">
        <w:t xml:space="preserve">and </w:t>
      </w:r>
      <w:r w:rsidR="00F779F1" w:rsidRPr="00532ABB">
        <w:t>submit</w:t>
      </w:r>
      <w:r w:rsidR="00F4412F">
        <w:t>s</w:t>
      </w:r>
      <w:r w:rsidR="00F779F1">
        <w:t xml:space="preserve"> </w:t>
      </w:r>
      <w:r w:rsidR="003A264B">
        <w:t>it</w:t>
      </w:r>
      <w:r w:rsidRPr="00532ABB">
        <w:t xml:space="preserve"> to the National Marine Fisheries Service (NMFS) who</w:t>
      </w:r>
      <w:r w:rsidR="003A264B">
        <w:t xml:space="preserve">, </w:t>
      </w:r>
      <w:r w:rsidR="003A264B" w:rsidRPr="00532ABB">
        <w:t>on behalf of the Secretary of Commerce</w:t>
      </w:r>
      <w:r w:rsidR="003A264B">
        <w:t>,</w:t>
      </w:r>
      <w:r w:rsidR="00F4412F">
        <w:t xml:space="preserve"> </w:t>
      </w:r>
      <w:r w:rsidR="00D50C10" w:rsidRPr="00FE5874">
        <w:t>ultimately approves, disapproves, or partially approves, and implements the actions in the amendment through the development of</w:t>
      </w:r>
      <w:r w:rsidR="00D50C10">
        <w:t xml:space="preserve"> regulations</w:t>
      </w:r>
      <w:r w:rsidRPr="00532ABB">
        <w:t>.  NMFS is a</w:t>
      </w:r>
      <w:r w:rsidR="00EB1832">
        <w:t>n</w:t>
      </w:r>
      <w:r w:rsidR="00913D86">
        <w:t xml:space="preserve"> office of</w:t>
      </w:r>
      <w:r w:rsidRPr="00532ABB">
        <w:t xml:space="preserve"> the National Oceanic and Atmospheric Administration.</w:t>
      </w:r>
      <w:r w:rsidR="007C7C6E">
        <w:t xml:space="preserve">  The South Atlantic </w:t>
      </w:r>
      <w:r w:rsidR="004C02DB">
        <w:t xml:space="preserve">Fishery Management </w:t>
      </w:r>
      <w:r w:rsidR="007C7C6E">
        <w:t xml:space="preserve">Council </w:t>
      </w:r>
      <w:r w:rsidR="004C02DB">
        <w:t xml:space="preserve">(South Atlantic Council) </w:t>
      </w:r>
      <w:r w:rsidR="007C7C6E">
        <w:t>and NMFS are also responsible for making this document available for public comment</w:t>
      </w:r>
      <w:r w:rsidR="00F779F1">
        <w:t>.  The draft</w:t>
      </w:r>
      <w:r w:rsidR="007C7C6E">
        <w:t xml:space="preserve"> environmental assessment (EA) </w:t>
      </w:r>
      <w:r w:rsidR="00F4412F">
        <w:t>was</w:t>
      </w:r>
      <w:r w:rsidR="007C7C6E">
        <w:t xml:space="preserve"> made available to</w:t>
      </w:r>
      <w:r w:rsidR="00F779F1">
        <w:t xml:space="preserve"> the</w:t>
      </w:r>
      <w:r w:rsidR="007C7C6E">
        <w:t xml:space="preserve"> public during</w:t>
      </w:r>
      <w:r w:rsidR="00F779F1">
        <w:t xml:space="preserve"> the</w:t>
      </w:r>
      <w:r w:rsidR="007C7C6E">
        <w:t xml:space="preserve"> scoping process, public hearings, and</w:t>
      </w:r>
      <w:r w:rsidR="00F779F1">
        <w:t xml:space="preserve"> in</w:t>
      </w:r>
      <w:r w:rsidR="007C7C6E">
        <w:t xml:space="preserve"> South Atlantic Council meeting briefing books.  The final EA/amendment will be published for public comment during the notice of availability and </w:t>
      </w:r>
      <w:r w:rsidR="00F779F1">
        <w:t>proposed</w:t>
      </w:r>
      <w:r w:rsidR="007C7C6E">
        <w:t xml:space="preserve"> rule stages of the rulemaking process.  </w:t>
      </w:r>
      <w:r w:rsidR="00F779F1">
        <w:t>The p</w:t>
      </w:r>
      <w:r w:rsidR="007C7C6E">
        <w:t>ublic hearing</w:t>
      </w:r>
      <w:r w:rsidR="00F779F1">
        <w:t xml:space="preserve"> draft</w:t>
      </w:r>
      <w:r w:rsidR="007C7C6E">
        <w:t xml:space="preserve"> and final EA/amendment may be found online</w:t>
      </w:r>
      <w:r w:rsidR="008520BB">
        <w:t xml:space="preserve"> at: </w:t>
      </w:r>
      <w:hyperlink r:id="rId27" w:history="1">
        <w:r w:rsidR="002137CB" w:rsidRPr="002F6143">
          <w:rPr>
            <w:rStyle w:val="Hyperlink"/>
          </w:rPr>
          <w:t>http://sero.nmfs.noaa.gov/sustainable_fisheries/s_atl/sg/2016/am41/index.html</w:t>
        </w:r>
      </w:hyperlink>
      <w:r w:rsidR="002137CB">
        <w:t xml:space="preserve"> </w:t>
      </w:r>
      <w:r w:rsidR="00F316CC" w:rsidRPr="00E0122A">
        <w:t>and</w:t>
      </w:r>
      <w:r w:rsidR="002137CB">
        <w:t xml:space="preserve"> </w:t>
      </w:r>
      <w:r w:rsidR="004C02DB">
        <w:t xml:space="preserve"> </w:t>
      </w:r>
      <w:r w:rsidR="00F316CC" w:rsidRPr="00E0122A">
        <w:t>on the S</w:t>
      </w:r>
      <w:r w:rsidR="00B70672" w:rsidRPr="00E0122A">
        <w:t>o</w:t>
      </w:r>
      <w:r w:rsidR="00F316CC" w:rsidRPr="00E0122A">
        <w:t xml:space="preserve">uth Atlantic Council website at </w:t>
      </w:r>
      <w:hyperlink r:id="rId28" w:history="1">
        <w:r w:rsidR="00E0122A" w:rsidRPr="00E0122A">
          <w:rPr>
            <w:rStyle w:val="Hyperlink"/>
          </w:rPr>
          <w:t>http://www.safmc.net</w:t>
        </w:r>
      </w:hyperlink>
      <w:r w:rsidR="00F316CC" w:rsidRPr="00E0122A">
        <w:t>.</w:t>
      </w:r>
    </w:p>
    <w:p w14:paraId="676C5C84" w14:textId="385941D9" w:rsidR="00CB12BB" w:rsidRDefault="00CB12BB">
      <w:r>
        <w:br w:type="page"/>
      </w:r>
    </w:p>
    <w:p w14:paraId="668A3306" w14:textId="6AFDFDEE" w:rsidR="00A74145" w:rsidRDefault="006D759C" w:rsidP="00D71AB1">
      <w:pPr>
        <w:pStyle w:val="Heading2"/>
        <w:rPr>
          <w:rFonts w:ascii="Arial" w:hAnsi="Arial" w:cs="Arial"/>
          <w:noProof/>
        </w:rPr>
      </w:pPr>
      <w:bookmarkStart w:id="39" w:name="_Toc361410387"/>
      <w:bookmarkStart w:id="40" w:name="_Toc339811693"/>
      <w:r w:rsidRPr="00FC6516">
        <w:rPr>
          <w:rFonts w:ascii="Arial" w:hAnsi="Arial" w:cs="Arial"/>
          <w:noProof/>
        </w:rPr>
        <w:lastRenderedPageBreak/>
        <w:t>1.3</w:t>
      </w:r>
      <w:r w:rsidRPr="00FC6516">
        <w:rPr>
          <w:rFonts w:ascii="Arial" w:hAnsi="Arial" w:cs="Arial"/>
          <w:noProof/>
        </w:rPr>
        <w:tab/>
      </w:r>
      <w:bookmarkEnd w:id="39"/>
      <w:r w:rsidR="003A1241">
        <w:rPr>
          <w:rFonts w:ascii="Arial" w:hAnsi="Arial" w:cs="Arial"/>
          <w:noProof/>
        </w:rPr>
        <w:t>Purpose and need s</w:t>
      </w:r>
      <w:r w:rsidR="00547F47">
        <w:rPr>
          <w:rFonts w:ascii="Arial" w:hAnsi="Arial" w:cs="Arial"/>
          <w:noProof/>
        </w:rPr>
        <w:t>tatement</w:t>
      </w:r>
      <w:bookmarkEnd w:id="40"/>
      <w:r w:rsidR="00547F47">
        <w:rPr>
          <w:rFonts w:ascii="Arial" w:hAnsi="Arial" w:cs="Arial"/>
          <w:noProof/>
        </w:rPr>
        <w:t xml:space="preserve"> </w:t>
      </w:r>
    </w:p>
    <w:p w14:paraId="5B43B20F" w14:textId="77777777" w:rsidR="007B0466" w:rsidRPr="0060693D" w:rsidRDefault="007B0466" w:rsidP="0060693D"/>
    <w:p w14:paraId="147B310A" w14:textId="77777777" w:rsidR="00672DF6" w:rsidRDefault="00553534" w:rsidP="00D71AB1">
      <w:r>
        <w:rPr>
          <w:noProof/>
        </w:rPr>
        <mc:AlternateContent>
          <mc:Choice Requires="wps">
            <w:drawing>
              <wp:inline distT="0" distB="0" distL="0" distR="0" wp14:anchorId="2FD49222" wp14:editId="48AF6CEB">
                <wp:extent cx="5681133" cy="2609711"/>
                <wp:effectExtent l="0" t="0" r="34290" b="3238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133" cy="2609711"/>
                        </a:xfrm>
                        <a:prstGeom prst="rect">
                          <a:avLst/>
                        </a:prstGeom>
                        <a:solidFill>
                          <a:srgbClr val="FFFFFF"/>
                        </a:solidFill>
                        <a:ln w="9525">
                          <a:solidFill>
                            <a:srgbClr val="000000"/>
                          </a:solidFill>
                          <a:miter lim="800000"/>
                          <a:headEnd/>
                          <a:tailEnd/>
                        </a:ln>
                      </wps:spPr>
                      <wps:txbx>
                        <w:txbxContent>
                          <w:p w14:paraId="47DA2126" w14:textId="77777777" w:rsidR="009108B8" w:rsidRPr="000E374B" w:rsidRDefault="009108B8" w:rsidP="007900F6">
                            <w:pPr>
                              <w:spacing w:before="7" w:line="274" w:lineRule="exact"/>
                              <w:ind w:right="814"/>
                              <w:rPr>
                                <w:rFonts w:ascii="Arial" w:hAnsi="Arial" w:cs="Arial"/>
                                <w:b/>
                                <w:color w:val="4F81BD" w:themeColor="accent1"/>
                                <w:sz w:val="28"/>
                                <w:szCs w:val="28"/>
                              </w:rPr>
                            </w:pPr>
                            <w:r w:rsidRPr="000E374B">
                              <w:rPr>
                                <w:rFonts w:ascii="Arial" w:hAnsi="Arial" w:cs="Arial"/>
                                <w:b/>
                                <w:color w:val="4F81BD" w:themeColor="accent1"/>
                                <w:sz w:val="28"/>
                                <w:szCs w:val="28"/>
                              </w:rPr>
                              <w:t>Purpose for Actions</w:t>
                            </w:r>
                          </w:p>
                          <w:p w14:paraId="43261FDA" w14:textId="77777777" w:rsidR="009108B8" w:rsidRPr="000E374B" w:rsidRDefault="009108B8" w:rsidP="007900F6">
                            <w:pPr>
                              <w:spacing w:before="7" w:line="274" w:lineRule="exact"/>
                              <w:ind w:right="814"/>
                              <w:rPr>
                                <w:rFonts w:ascii="Arial" w:hAnsi="Arial" w:cs="Arial"/>
                                <w:b/>
                                <w:color w:val="4F81BD" w:themeColor="accent1"/>
                              </w:rPr>
                            </w:pPr>
                          </w:p>
                          <w:p w14:paraId="4666E521" w14:textId="243E5BCE" w:rsidR="009108B8" w:rsidRDefault="009108B8" w:rsidP="00553534">
                            <w:pPr>
                              <w:rPr>
                                <w:iCs/>
                              </w:rPr>
                            </w:pPr>
                            <w:r w:rsidRPr="00380482">
                              <w:rPr>
                                <w:iCs/>
                              </w:rPr>
                              <w:t xml:space="preserve">The </w:t>
                            </w:r>
                            <w:r w:rsidRPr="00380482">
                              <w:rPr>
                                <w:i/>
                                <w:iCs/>
                              </w:rPr>
                              <w:t>purpose</w:t>
                            </w:r>
                            <w:r w:rsidRPr="00380482">
                              <w:rPr>
                                <w:iCs/>
                              </w:rPr>
                              <w:t xml:space="preserve"> of this amendment is to update the a</w:t>
                            </w:r>
                            <w:r>
                              <w:rPr>
                                <w:iCs/>
                              </w:rPr>
                              <w:t>cceptable biological catch</w:t>
                            </w:r>
                            <w:r w:rsidRPr="00380482">
                              <w:rPr>
                                <w:iCs/>
                              </w:rPr>
                              <w:t xml:space="preserve">, </w:t>
                            </w:r>
                            <w:r>
                              <w:rPr>
                                <w:iCs/>
                              </w:rPr>
                              <w:t>annual catch limit</w:t>
                            </w:r>
                            <w:r w:rsidRPr="00380482">
                              <w:rPr>
                                <w:iCs/>
                              </w:rPr>
                              <w:t xml:space="preserve">, </w:t>
                            </w:r>
                            <w:r>
                              <w:rPr>
                                <w:iCs/>
                              </w:rPr>
                              <w:t>maximum sustainable yield</w:t>
                            </w:r>
                            <w:r w:rsidRPr="00380482">
                              <w:rPr>
                                <w:iCs/>
                              </w:rPr>
                              <w:t>, mi</w:t>
                            </w:r>
                            <w:r>
                              <w:rPr>
                                <w:iCs/>
                              </w:rPr>
                              <w:t>nimum stock size threshold, optimum yield</w:t>
                            </w:r>
                            <w:r w:rsidRPr="00380482">
                              <w:rPr>
                                <w:iCs/>
                              </w:rPr>
                              <w:t xml:space="preserve">, and revise management measures for the </w:t>
                            </w:r>
                            <w:r>
                              <w:rPr>
                                <w:iCs/>
                              </w:rPr>
                              <w:t>mutton snapper</w:t>
                            </w:r>
                            <w:r w:rsidRPr="00380482">
                              <w:rPr>
                                <w:iCs/>
                              </w:rPr>
                              <w:t xml:space="preserve"> component of the snapper grouper fishery</w:t>
                            </w:r>
                            <w:r>
                              <w:rPr>
                                <w:iCs/>
                              </w:rPr>
                              <w:t xml:space="preserve"> based on the results of the most </w:t>
                            </w:r>
                            <w:r w:rsidRPr="00380482">
                              <w:rPr>
                                <w:iCs/>
                              </w:rPr>
                              <w:t>recent stock assessment.</w:t>
                            </w:r>
                          </w:p>
                          <w:p w14:paraId="6939554A" w14:textId="77777777" w:rsidR="009108B8" w:rsidRDefault="009108B8" w:rsidP="00553534"/>
                          <w:p w14:paraId="7470FB2D" w14:textId="77777777" w:rsidR="009108B8" w:rsidRPr="000E374B" w:rsidRDefault="009108B8" w:rsidP="00553534">
                            <w:pPr>
                              <w:rPr>
                                <w:rFonts w:ascii="Arial" w:hAnsi="Arial" w:cs="Arial"/>
                                <w:b/>
                                <w:color w:val="4F81BD" w:themeColor="accent1"/>
                                <w:sz w:val="28"/>
                                <w:szCs w:val="28"/>
                              </w:rPr>
                            </w:pPr>
                            <w:r w:rsidRPr="000E374B">
                              <w:rPr>
                                <w:rFonts w:ascii="Arial" w:hAnsi="Arial" w:cs="Arial"/>
                                <w:b/>
                                <w:color w:val="4F81BD" w:themeColor="accent1"/>
                                <w:sz w:val="28"/>
                                <w:szCs w:val="28"/>
                              </w:rPr>
                              <w:t>Need for Actions</w:t>
                            </w:r>
                          </w:p>
                          <w:p w14:paraId="28A0B741" w14:textId="77777777" w:rsidR="009108B8" w:rsidRPr="000E374B" w:rsidRDefault="009108B8" w:rsidP="00553534">
                            <w:pPr>
                              <w:rPr>
                                <w:rFonts w:ascii="Arial" w:hAnsi="Arial" w:cs="Arial"/>
                                <w:b/>
                                <w:color w:val="4F81BD" w:themeColor="accent1"/>
                              </w:rPr>
                            </w:pPr>
                          </w:p>
                          <w:p w14:paraId="4ED317D9" w14:textId="452BCB1D" w:rsidR="009108B8" w:rsidRPr="00380482" w:rsidRDefault="009108B8" w:rsidP="00EB1832">
                            <w:pPr>
                              <w:rPr>
                                <w:iCs/>
                              </w:rPr>
                            </w:pPr>
                            <w:r w:rsidRPr="00380482">
                              <w:rPr>
                                <w:iCs/>
                              </w:rPr>
                              <w:t xml:space="preserve">The </w:t>
                            </w:r>
                            <w:r w:rsidRPr="00380482">
                              <w:rPr>
                                <w:i/>
                                <w:iCs/>
                              </w:rPr>
                              <w:t>need</w:t>
                            </w:r>
                            <w:r w:rsidRPr="00380482">
                              <w:rPr>
                                <w:iCs/>
                              </w:rPr>
                              <w:t xml:space="preserve"> for the amendment is to</w:t>
                            </w:r>
                            <w:r>
                              <w:rPr>
                                <w:iCs/>
                              </w:rPr>
                              <w:t xml:space="preserve"> base mutton snapper management measures on the best scientific information available in order to achieve and maintain optimum yield and to </w:t>
                            </w:r>
                            <w:r w:rsidRPr="00380482">
                              <w:rPr>
                                <w:iCs/>
                              </w:rPr>
                              <w:t>prevent</w:t>
                            </w:r>
                            <w:r>
                              <w:rPr>
                                <w:iCs/>
                              </w:rPr>
                              <w:t xml:space="preserve"> </w:t>
                            </w:r>
                            <w:r w:rsidRPr="00380482">
                              <w:rPr>
                                <w:iCs/>
                              </w:rPr>
                              <w:t xml:space="preserve">overfishing </w:t>
                            </w:r>
                            <w:r w:rsidRPr="003A2DF3">
                              <w:rPr>
                                <w:iCs/>
                              </w:rPr>
                              <w:t>while minimizing, to the extent practicable, adverse social and economic effects</w:t>
                            </w:r>
                            <w:r w:rsidRPr="00380482">
                              <w:rPr>
                                <w:iCs/>
                              </w:rPr>
                              <w:t>.</w:t>
                            </w:r>
                          </w:p>
                          <w:p w14:paraId="2D60E589" w14:textId="2E535AE7" w:rsidR="009108B8" w:rsidRPr="00AD40F6" w:rsidRDefault="009108B8" w:rsidP="00EB1832">
                            <w:pPr>
                              <w:ind w:firstLine="360"/>
                              <w:rPr>
                                <w:rFonts w:ascii="Arial" w:hAnsi="Arial" w:cs="Arial"/>
                                <w:b/>
                              </w:rPr>
                            </w:pPr>
                          </w:p>
                        </w:txbxContent>
                      </wps:txbx>
                      <wps:bodyPr rot="0" vert="horz" wrap="square" lIns="91440" tIns="45720" rIns="91440" bIns="45720" anchor="t" anchorCtr="0" upright="1">
                        <a:noAutofit/>
                      </wps:bodyPr>
                    </wps:wsp>
                  </a:graphicData>
                </a:graphic>
              </wp:inline>
            </w:drawing>
          </mc:Choice>
          <mc:Fallback>
            <w:pict>
              <v:shape id="Text Box 19" o:spid="_x0000_s1029" type="#_x0000_t202" style="width:447.35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">
                <v:textbox>
                  <w:txbxContent>
                    <w:p w14:paraId="47DA2126" w14:textId="77777777" w:rsidR="009108B8" w:rsidRPr="000E374B" w:rsidRDefault="009108B8" w:rsidP="007900F6">
                      <w:pPr>
                        <w:spacing w:before="7" w:line="274" w:lineRule="exact"/>
                        <w:ind w:right="814"/>
                        <w:rPr>
                          <w:rFonts w:ascii="Arial" w:hAnsi="Arial" w:cs="Arial"/>
                          <w:b/>
                          <w:color w:val="4F81BD" w:themeColor="accent1"/>
                          <w:sz w:val="28"/>
                          <w:szCs w:val="28"/>
                        </w:rPr>
                      </w:pPr>
                      <w:r w:rsidRPr="000E374B">
                        <w:rPr>
                          <w:rFonts w:ascii="Arial" w:hAnsi="Arial" w:cs="Arial"/>
                          <w:b/>
                          <w:color w:val="4F81BD" w:themeColor="accent1"/>
                          <w:sz w:val="28"/>
                          <w:szCs w:val="28"/>
                        </w:rPr>
                        <w:t>Purpose for Actions</w:t>
                      </w:r>
                    </w:p>
                    <w:p w14:paraId="43261FDA" w14:textId="77777777" w:rsidR="009108B8" w:rsidRPr="000E374B" w:rsidRDefault="009108B8" w:rsidP="007900F6">
                      <w:pPr>
                        <w:spacing w:before="7" w:line="274" w:lineRule="exact"/>
                        <w:ind w:right="814"/>
                        <w:rPr>
                          <w:rFonts w:ascii="Arial" w:hAnsi="Arial" w:cs="Arial"/>
                          <w:b/>
                          <w:color w:val="4F81BD" w:themeColor="accent1"/>
                        </w:rPr>
                      </w:pPr>
                    </w:p>
                    <w:p w14:paraId="4666E521" w14:textId="243E5BCE" w:rsidR="009108B8" w:rsidRDefault="009108B8" w:rsidP="00553534">
                      <w:pPr>
                        <w:rPr>
                          <w:iCs/>
                        </w:rPr>
                      </w:pPr>
                      <w:r w:rsidRPr="00380482">
                        <w:rPr>
                          <w:iCs/>
                        </w:rPr>
                        <w:t xml:space="preserve">The </w:t>
                      </w:r>
                      <w:r w:rsidRPr="00380482">
                        <w:rPr>
                          <w:i/>
                          <w:iCs/>
                        </w:rPr>
                        <w:t>purpose</w:t>
                      </w:r>
                      <w:r w:rsidRPr="00380482">
                        <w:rPr>
                          <w:iCs/>
                        </w:rPr>
                        <w:t xml:space="preserve"> of this amendment is to update the a</w:t>
                      </w:r>
                      <w:r>
                        <w:rPr>
                          <w:iCs/>
                        </w:rPr>
                        <w:t>cceptable biological catch</w:t>
                      </w:r>
                      <w:r w:rsidRPr="00380482">
                        <w:rPr>
                          <w:iCs/>
                        </w:rPr>
                        <w:t xml:space="preserve">, </w:t>
                      </w:r>
                      <w:r>
                        <w:rPr>
                          <w:iCs/>
                        </w:rPr>
                        <w:t>annual catch limit</w:t>
                      </w:r>
                      <w:r w:rsidRPr="00380482">
                        <w:rPr>
                          <w:iCs/>
                        </w:rPr>
                        <w:t xml:space="preserve">, </w:t>
                      </w:r>
                      <w:r>
                        <w:rPr>
                          <w:iCs/>
                        </w:rPr>
                        <w:t>maximum sustainable yield</w:t>
                      </w:r>
                      <w:r w:rsidRPr="00380482">
                        <w:rPr>
                          <w:iCs/>
                        </w:rPr>
                        <w:t>, mi</w:t>
                      </w:r>
                      <w:r>
                        <w:rPr>
                          <w:iCs/>
                        </w:rPr>
                        <w:t>nimum stock size threshold, optimum yield</w:t>
                      </w:r>
                      <w:r w:rsidRPr="00380482">
                        <w:rPr>
                          <w:iCs/>
                        </w:rPr>
                        <w:t xml:space="preserve">, and revise management measures for the </w:t>
                      </w:r>
                      <w:r>
                        <w:rPr>
                          <w:iCs/>
                        </w:rPr>
                        <w:t>mutton snapper</w:t>
                      </w:r>
                      <w:r w:rsidRPr="00380482">
                        <w:rPr>
                          <w:iCs/>
                        </w:rPr>
                        <w:t xml:space="preserve"> component of the snapper grouper fishery</w:t>
                      </w:r>
                      <w:r>
                        <w:rPr>
                          <w:iCs/>
                        </w:rPr>
                        <w:t xml:space="preserve"> based on the results of the most </w:t>
                      </w:r>
                      <w:r w:rsidRPr="00380482">
                        <w:rPr>
                          <w:iCs/>
                        </w:rPr>
                        <w:t>recent stock assessment.</w:t>
                      </w:r>
                    </w:p>
                    <w:p w14:paraId="6939554A" w14:textId="77777777" w:rsidR="009108B8" w:rsidRDefault="009108B8" w:rsidP="00553534"/>
                    <w:p w14:paraId="7470FB2D" w14:textId="77777777" w:rsidR="009108B8" w:rsidRPr="000E374B" w:rsidRDefault="009108B8" w:rsidP="00553534">
                      <w:pPr>
                        <w:rPr>
                          <w:rFonts w:ascii="Arial" w:hAnsi="Arial" w:cs="Arial"/>
                          <w:b/>
                          <w:color w:val="4F81BD" w:themeColor="accent1"/>
                          <w:sz w:val="28"/>
                          <w:szCs w:val="28"/>
                        </w:rPr>
                      </w:pPr>
                      <w:r w:rsidRPr="000E374B">
                        <w:rPr>
                          <w:rFonts w:ascii="Arial" w:hAnsi="Arial" w:cs="Arial"/>
                          <w:b/>
                          <w:color w:val="4F81BD" w:themeColor="accent1"/>
                          <w:sz w:val="28"/>
                          <w:szCs w:val="28"/>
                        </w:rPr>
                        <w:t>Need for Actions</w:t>
                      </w:r>
                    </w:p>
                    <w:p w14:paraId="28A0B741" w14:textId="77777777" w:rsidR="009108B8" w:rsidRPr="000E374B" w:rsidRDefault="009108B8" w:rsidP="00553534">
                      <w:pPr>
                        <w:rPr>
                          <w:rFonts w:ascii="Arial" w:hAnsi="Arial" w:cs="Arial"/>
                          <w:b/>
                          <w:color w:val="4F81BD" w:themeColor="accent1"/>
                        </w:rPr>
                      </w:pPr>
                    </w:p>
                    <w:p w14:paraId="4ED317D9" w14:textId="452BCB1D" w:rsidR="009108B8" w:rsidRPr="00380482" w:rsidRDefault="009108B8" w:rsidP="00EB1832">
                      <w:pPr>
                        <w:rPr>
                          <w:iCs/>
                        </w:rPr>
                      </w:pPr>
                      <w:r w:rsidRPr="00380482">
                        <w:rPr>
                          <w:iCs/>
                        </w:rPr>
                        <w:t xml:space="preserve">The </w:t>
                      </w:r>
                      <w:r w:rsidRPr="00380482">
                        <w:rPr>
                          <w:i/>
                          <w:iCs/>
                        </w:rPr>
                        <w:t>need</w:t>
                      </w:r>
                      <w:r w:rsidRPr="00380482">
                        <w:rPr>
                          <w:iCs/>
                        </w:rPr>
                        <w:t xml:space="preserve"> for the amendment is to</w:t>
                      </w:r>
                      <w:r>
                        <w:rPr>
                          <w:iCs/>
                        </w:rPr>
                        <w:t xml:space="preserve"> base mutton snapper management measures on the best scientific information available in order to achieve and maintain optimum yield and to </w:t>
                      </w:r>
                      <w:r w:rsidRPr="00380482">
                        <w:rPr>
                          <w:iCs/>
                        </w:rPr>
                        <w:t>prevent</w:t>
                      </w:r>
                      <w:r>
                        <w:rPr>
                          <w:iCs/>
                        </w:rPr>
                        <w:t xml:space="preserve"> </w:t>
                      </w:r>
                      <w:r w:rsidRPr="00380482">
                        <w:rPr>
                          <w:iCs/>
                        </w:rPr>
                        <w:t xml:space="preserve">overfishing </w:t>
                      </w:r>
                      <w:r w:rsidRPr="003A2DF3">
                        <w:rPr>
                          <w:iCs/>
                        </w:rPr>
                        <w:t>while minimizing, to the extent practicable, adverse social and economic effects</w:t>
                      </w:r>
                      <w:r w:rsidRPr="00380482">
                        <w:rPr>
                          <w:iCs/>
                        </w:rPr>
                        <w:t>.</w:t>
                      </w:r>
                    </w:p>
                    <w:p w14:paraId="2D60E589" w14:textId="2E535AE7" w:rsidR="009108B8" w:rsidRPr="00AD40F6" w:rsidRDefault="009108B8" w:rsidP="00EB1832">
                      <w:pPr>
                        <w:ind w:firstLine="360"/>
                        <w:rPr>
                          <w:rFonts w:ascii="Arial" w:hAnsi="Arial" w:cs="Arial"/>
                          <w:b/>
                        </w:rPr>
                      </w:pPr>
                    </w:p>
                  </w:txbxContent>
                </v:textbox>
                <w10:anchorlock/>
              </v:shape>
            </w:pict>
          </mc:Fallback>
        </mc:AlternateContent>
      </w:r>
    </w:p>
    <w:p w14:paraId="5514FC10" w14:textId="77777777" w:rsidR="009006C2" w:rsidRDefault="009006C2" w:rsidP="00D71AB1"/>
    <w:p w14:paraId="4A1AE5D2" w14:textId="780865F0" w:rsidR="00701F22" w:rsidRPr="00701F22" w:rsidRDefault="003A1241" w:rsidP="00701F22">
      <w:pPr>
        <w:pStyle w:val="Heading2"/>
        <w:rPr>
          <w:rFonts w:ascii="Arial" w:hAnsi="Arial" w:cs="Arial"/>
        </w:rPr>
      </w:pPr>
      <w:bookmarkStart w:id="41" w:name="_Toc339811694"/>
      <w:r>
        <w:rPr>
          <w:rFonts w:ascii="Arial" w:hAnsi="Arial" w:cs="Arial"/>
        </w:rPr>
        <w:t>1.4</w:t>
      </w:r>
      <w:r>
        <w:rPr>
          <w:rFonts w:ascii="Arial" w:hAnsi="Arial" w:cs="Arial"/>
        </w:rPr>
        <w:tab/>
        <w:t>What is the history of m</w:t>
      </w:r>
      <w:r w:rsidR="00701F22" w:rsidRPr="00701F22">
        <w:rPr>
          <w:rFonts w:ascii="Arial" w:hAnsi="Arial" w:cs="Arial"/>
        </w:rPr>
        <w:t xml:space="preserve">anagement for </w:t>
      </w:r>
      <w:r>
        <w:rPr>
          <w:rFonts w:ascii="Arial" w:hAnsi="Arial" w:cs="Arial"/>
        </w:rPr>
        <w:t>mutton snapper</w:t>
      </w:r>
      <w:r w:rsidR="00701F22" w:rsidRPr="00701F22">
        <w:rPr>
          <w:rFonts w:ascii="Arial" w:hAnsi="Arial" w:cs="Arial"/>
        </w:rPr>
        <w:t>?</w:t>
      </w:r>
      <w:bookmarkEnd w:id="41"/>
    </w:p>
    <w:p w14:paraId="6CD04590" w14:textId="565117DB" w:rsidR="00EE379E" w:rsidRDefault="00701F22" w:rsidP="00EE379E">
      <w:pPr>
        <w:ind w:firstLine="360"/>
      </w:pPr>
      <w:r>
        <w:t xml:space="preserve">Snapper grouper regulations in the South Atlantic were first implemented in 1983.  </w:t>
      </w:r>
      <w:r w:rsidR="00BA56BF" w:rsidRPr="00BA56BF">
        <w:rPr>
          <w:b/>
        </w:rPr>
        <w:t>Table 1.4.1</w:t>
      </w:r>
      <w:r w:rsidR="00BA56BF">
        <w:t xml:space="preserve"> provides a summary of regulati</w:t>
      </w:r>
      <w:r w:rsidR="00EB1832">
        <w:t>ons affecting mutton snapper</w:t>
      </w:r>
      <w:r w:rsidR="00D85CE8">
        <w:t xml:space="preserve"> since 1992</w:t>
      </w:r>
      <w:r w:rsidR="00EB1832">
        <w:t xml:space="preserve">.  Refer to </w:t>
      </w:r>
      <w:r w:rsidR="00EB1832" w:rsidRPr="00EB1832">
        <w:rPr>
          <w:b/>
        </w:rPr>
        <w:t>Appendix C</w:t>
      </w:r>
      <w:r w:rsidR="00EB1832">
        <w:t xml:space="preserve"> f</w:t>
      </w:r>
      <w:r w:rsidR="00BA56BF">
        <w:t>or the management history of the snapper grouper fishery</w:t>
      </w:r>
      <w:r w:rsidR="00EB1832">
        <w:t>.</w:t>
      </w:r>
    </w:p>
    <w:p w14:paraId="4200A879" w14:textId="77777777" w:rsidR="00EE379E" w:rsidRDefault="00EE379E" w:rsidP="00EE379E">
      <w:pPr>
        <w:ind w:firstLine="360"/>
      </w:pPr>
    </w:p>
    <w:p w14:paraId="3EFE099E" w14:textId="0D098A05" w:rsidR="009F4239" w:rsidRPr="009F4239" w:rsidRDefault="009F4239" w:rsidP="00110CD9">
      <w:pPr>
        <w:pStyle w:val="Tabletitle"/>
      </w:pPr>
      <w:bookmarkStart w:id="42" w:name="_Toc340431536"/>
      <w:r w:rsidRPr="009F4239">
        <w:rPr>
          <w:b/>
        </w:rPr>
        <w:t>Table 1.4.1.</w:t>
      </w:r>
      <w:r w:rsidRPr="009F4239">
        <w:t xml:space="preserve">  Management actions pertaining to mutton snapper in the South Atlantic.</w:t>
      </w:r>
      <w:bookmarkEnd w:id="42"/>
    </w:p>
    <w:tbl>
      <w:tblPr>
        <w:tblStyle w:val="TableGrid"/>
        <w:tblW w:w="0" w:type="auto"/>
        <w:tblLook w:val="04A0" w:firstRow="1" w:lastRow="0" w:firstColumn="1" w:lastColumn="0" w:noHBand="0" w:noVBand="1"/>
      </w:tblPr>
      <w:tblGrid>
        <w:gridCol w:w="3192"/>
        <w:gridCol w:w="3192"/>
        <w:gridCol w:w="3192"/>
      </w:tblGrid>
      <w:tr w:rsidR="00BA56BF" w:rsidRPr="00A021F4" w14:paraId="464D66B1" w14:textId="77777777" w:rsidTr="00EE379E">
        <w:trPr>
          <w:tblHeader/>
        </w:trPr>
        <w:tc>
          <w:tcPr>
            <w:tcW w:w="3192" w:type="dxa"/>
            <w:shd w:val="clear" w:color="auto" w:fill="D9D9D9" w:themeFill="background1" w:themeFillShade="D9"/>
          </w:tcPr>
          <w:p w14:paraId="670C82F5" w14:textId="444D701A" w:rsidR="00BA56BF" w:rsidRPr="00A021F4" w:rsidRDefault="00C06E2A" w:rsidP="002508B7">
            <w:pPr>
              <w:jc w:val="center"/>
              <w:rPr>
                <w:b/>
                <w:sz w:val="20"/>
                <w:szCs w:val="20"/>
              </w:rPr>
            </w:pPr>
            <w:r w:rsidRPr="00A021F4">
              <w:rPr>
                <w:b/>
                <w:sz w:val="20"/>
                <w:szCs w:val="20"/>
              </w:rPr>
              <w:t>Management Action</w:t>
            </w:r>
          </w:p>
        </w:tc>
        <w:tc>
          <w:tcPr>
            <w:tcW w:w="3192" w:type="dxa"/>
            <w:shd w:val="clear" w:color="auto" w:fill="D9D9D9" w:themeFill="background1" w:themeFillShade="D9"/>
            <w:vAlign w:val="center"/>
          </w:tcPr>
          <w:p w14:paraId="6608D448" w14:textId="69D27AE5" w:rsidR="00BA56BF" w:rsidRPr="00A021F4" w:rsidRDefault="00C06E2A" w:rsidP="002508B7">
            <w:pPr>
              <w:jc w:val="center"/>
              <w:rPr>
                <w:b/>
                <w:sz w:val="20"/>
                <w:szCs w:val="20"/>
              </w:rPr>
            </w:pPr>
            <w:r w:rsidRPr="00A021F4">
              <w:rPr>
                <w:b/>
                <w:sz w:val="20"/>
                <w:szCs w:val="20"/>
              </w:rPr>
              <w:t>Amendment</w:t>
            </w:r>
          </w:p>
        </w:tc>
        <w:tc>
          <w:tcPr>
            <w:tcW w:w="3192" w:type="dxa"/>
            <w:shd w:val="clear" w:color="auto" w:fill="D9D9D9" w:themeFill="background1" w:themeFillShade="D9"/>
            <w:vAlign w:val="center"/>
          </w:tcPr>
          <w:p w14:paraId="7BC4C1D8" w14:textId="4AC1A125" w:rsidR="00BA56BF" w:rsidRPr="00A021F4" w:rsidRDefault="00C06E2A" w:rsidP="002508B7">
            <w:pPr>
              <w:jc w:val="center"/>
              <w:rPr>
                <w:b/>
                <w:sz w:val="20"/>
                <w:szCs w:val="20"/>
              </w:rPr>
            </w:pPr>
            <w:r w:rsidRPr="00A021F4">
              <w:rPr>
                <w:b/>
                <w:sz w:val="20"/>
                <w:szCs w:val="20"/>
              </w:rPr>
              <w:t>Effective date</w:t>
            </w:r>
          </w:p>
        </w:tc>
      </w:tr>
      <w:tr w:rsidR="00BA56BF" w:rsidRPr="00A021F4" w14:paraId="61393B01" w14:textId="77777777" w:rsidTr="002508B7">
        <w:tc>
          <w:tcPr>
            <w:tcW w:w="3192" w:type="dxa"/>
          </w:tcPr>
          <w:p w14:paraId="7EAB6DA8" w14:textId="7E1ED04C" w:rsidR="00BA56BF" w:rsidRPr="00A021F4" w:rsidRDefault="00C06E2A" w:rsidP="00D71AB1">
            <w:pPr>
              <w:rPr>
                <w:sz w:val="20"/>
                <w:szCs w:val="20"/>
              </w:rPr>
            </w:pPr>
            <w:r w:rsidRPr="00A021F4">
              <w:rPr>
                <w:sz w:val="20"/>
                <w:szCs w:val="20"/>
              </w:rPr>
              <w:t>-Minimum size limit of 12 inches total length (TL) for mut</w:t>
            </w:r>
            <w:r w:rsidR="002508B7" w:rsidRPr="00A021F4">
              <w:rPr>
                <w:sz w:val="20"/>
                <w:szCs w:val="20"/>
              </w:rPr>
              <w:t>ton</w:t>
            </w:r>
            <w:r w:rsidRPr="00A021F4">
              <w:rPr>
                <w:sz w:val="20"/>
                <w:szCs w:val="20"/>
              </w:rPr>
              <w:t xml:space="preserve"> snapper</w:t>
            </w:r>
          </w:p>
          <w:p w14:paraId="5DBC4ABC" w14:textId="77777777" w:rsidR="00C06E2A" w:rsidRPr="00A021F4" w:rsidRDefault="00C06E2A" w:rsidP="00D71AB1">
            <w:pPr>
              <w:rPr>
                <w:sz w:val="20"/>
                <w:szCs w:val="20"/>
              </w:rPr>
            </w:pPr>
            <w:r w:rsidRPr="00A021F4">
              <w:rPr>
                <w:sz w:val="20"/>
                <w:szCs w:val="20"/>
              </w:rPr>
              <w:t>-During May and June each year, possession is limited to aggregate (10 snapper excluding vermilion and only 2 can be red snapper)</w:t>
            </w:r>
          </w:p>
          <w:p w14:paraId="22696B72" w14:textId="6606E254" w:rsidR="00C06E2A" w:rsidRPr="00A021F4" w:rsidRDefault="00C06E2A" w:rsidP="00D71AB1">
            <w:pPr>
              <w:rPr>
                <w:sz w:val="20"/>
                <w:szCs w:val="20"/>
              </w:rPr>
            </w:pPr>
            <w:r w:rsidRPr="00A021F4">
              <w:rPr>
                <w:sz w:val="20"/>
                <w:szCs w:val="20"/>
              </w:rPr>
              <w:t>-Use of longlines inside of 50 fathoms is prohibited</w:t>
            </w:r>
          </w:p>
        </w:tc>
        <w:tc>
          <w:tcPr>
            <w:tcW w:w="3192" w:type="dxa"/>
            <w:vAlign w:val="center"/>
          </w:tcPr>
          <w:p w14:paraId="414BB168" w14:textId="42BB2EA1" w:rsidR="00BA56BF" w:rsidRPr="00A021F4" w:rsidRDefault="00C06E2A" w:rsidP="002508B7">
            <w:pPr>
              <w:jc w:val="center"/>
              <w:rPr>
                <w:sz w:val="20"/>
                <w:szCs w:val="20"/>
              </w:rPr>
            </w:pPr>
            <w:r w:rsidRPr="00A021F4">
              <w:rPr>
                <w:sz w:val="20"/>
                <w:szCs w:val="20"/>
              </w:rPr>
              <w:t>Amendment 4</w:t>
            </w:r>
          </w:p>
        </w:tc>
        <w:tc>
          <w:tcPr>
            <w:tcW w:w="3192" w:type="dxa"/>
            <w:vAlign w:val="center"/>
          </w:tcPr>
          <w:p w14:paraId="0FE1B714" w14:textId="21F8B81F" w:rsidR="00BA56BF" w:rsidRPr="00A021F4" w:rsidRDefault="00C06E2A" w:rsidP="002508B7">
            <w:pPr>
              <w:jc w:val="center"/>
              <w:rPr>
                <w:sz w:val="20"/>
                <w:szCs w:val="20"/>
              </w:rPr>
            </w:pPr>
            <w:r w:rsidRPr="00A021F4">
              <w:rPr>
                <w:sz w:val="20"/>
                <w:szCs w:val="20"/>
              </w:rPr>
              <w:t>January 1992</w:t>
            </w:r>
          </w:p>
        </w:tc>
      </w:tr>
      <w:tr w:rsidR="00BA56BF" w:rsidRPr="00A021F4" w14:paraId="7D64C0F1" w14:textId="77777777" w:rsidTr="002508B7">
        <w:tc>
          <w:tcPr>
            <w:tcW w:w="3192" w:type="dxa"/>
          </w:tcPr>
          <w:p w14:paraId="7F29E439" w14:textId="6CF97D74" w:rsidR="00BA56BF" w:rsidRPr="00A021F4" w:rsidRDefault="00F12E49" w:rsidP="00D71AB1">
            <w:pPr>
              <w:rPr>
                <w:sz w:val="20"/>
                <w:szCs w:val="20"/>
              </w:rPr>
            </w:pPr>
            <w:r w:rsidRPr="00A021F4">
              <w:rPr>
                <w:sz w:val="20"/>
                <w:szCs w:val="20"/>
              </w:rPr>
              <w:t>-Minimum s</w:t>
            </w:r>
            <w:r w:rsidR="002508B7" w:rsidRPr="00A021F4">
              <w:rPr>
                <w:sz w:val="20"/>
                <w:szCs w:val="20"/>
              </w:rPr>
              <w:t>ize limit increased to 16 inches TL</w:t>
            </w:r>
          </w:p>
          <w:p w14:paraId="6B996CCD" w14:textId="1C0F93E8" w:rsidR="002508B7" w:rsidRPr="00A021F4" w:rsidRDefault="002508B7" w:rsidP="00D71AB1">
            <w:pPr>
              <w:rPr>
                <w:sz w:val="20"/>
                <w:szCs w:val="20"/>
              </w:rPr>
            </w:pPr>
            <w:r w:rsidRPr="00A021F4">
              <w:rPr>
                <w:sz w:val="20"/>
                <w:szCs w:val="20"/>
              </w:rPr>
              <w:t>-No longlines south of St. Lucie Inlet, FL</w:t>
            </w:r>
          </w:p>
        </w:tc>
        <w:tc>
          <w:tcPr>
            <w:tcW w:w="3192" w:type="dxa"/>
            <w:vAlign w:val="center"/>
          </w:tcPr>
          <w:p w14:paraId="77EFF3B3" w14:textId="15245114" w:rsidR="00BA56BF" w:rsidRPr="00A021F4" w:rsidRDefault="002508B7" w:rsidP="002508B7">
            <w:pPr>
              <w:jc w:val="center"/>
              <w:rPr>
                <w:sz w:val="20"/>
                <w:szCs w:val="20"/>
              </w:rPr>
            </w:pPr>
            <w:r w:rsidRPr="00A021F4">
              <w:rPr>
                <w:sz w:val="20"/>
                <w:szCs w:val="20"/>
              </w:rPr>
              <w:t>Amendment 7</w:t>
            </w:r>
          </w:p>
        </w:tc>
        <w:tc>
          <w:tcPr>
            <w:tcW w:w="3192" w:type="dxa"/>
            <w:vAlign w:val="center"/>
          </w:tcPr>
          <w:p w14:paraId="4B65045A" w14:textId="2D471C25" w:rsidR="00BA56BF" w:rsidRPr="00A021F4" w:rsidRDefault="002508B7" w:rsidP="002508B7">
            <w:pPr>
              <w:jc w:val="center"/>
              <w:rPr>
                <w:sz w:val="20"/>
                <w:szCs w:val="20"/>
              </w:rPr>
            </w:pPr>
            <w:r w:rsidRPr="00A021F4">
              <w:rPr>
                <w:sz w:val="20"/>
                <w:szCs w:val="20"/>
              </w:rPr>
              <w:t>January 1995</w:t>
            </w:r>
          </w:p>
        </w:tc>
      </w:tr>
      <w:tr w:rsidR="00BA56BF" w:rsidRPr="00A021F4" w14:paraId="06DBEC19" w14:textId="77777777" w:rsidTr="002508B7">
        <w:tc>
          <w:tcPr>
            <w:tcW w:w="3192" w:type="dxa"/>
          </w:tcPr>
          <w:p w14:paraId="1D4ACBFF" w14:textId="3CA84094" w:rsidR="00BA56BF" w:rsidRPr="00A021F4" w:rsidRDefault="002508B7" w:rsidP="00D71AB1">
            <w:pPr>
              <w:rPr>
                <w:sz w:val="20"/>
                <w:szCs w:val="20"/>
              </w:rPr>
            </w:pPr>
            <w:r w:rsidRPr="00A021F4">
              <w:rPr>
                <w:sz w:val="20"/>
                <w:szCs w:val="20"/>
              </w:rPr>
              <w:t>-Limited entry program for snapper grouper fishery</w:t>
            </w:r>
          </w:p>
        </w:tc>
        <w:tc>
          <w:tcPr>
            <w:tcW w:w="3192" w:type="dxa"/>
            <w:vAlign w:val="center"/>
          </w:tcPr>
          <w:p w14:paraId="5980C595" w14:textId="1DC2491B" w:rsidR="00BA56BF" w:rsidRPr="00A021F4" w:rsidRDefault="002508B7" w:rsidP="002508B7">
            <w:pPr>
              <w:jc w:val="center"/>
              <w:rPr>
                <w:sz w:val="20"/>
                <w:szCs w:val="20"/>
              </w:rPr>
            </w:pPr>
            <w:r w:rsidRPr="00A021F4">
              <w:rPr>
                <w:sz w:val="20"/>
                <w:szCs w:val="20"/>
              </w:rPr>
              <w:t>Amendment 8</w:t>
            </w:r>
          </w:p>
        </w:tc>
        <w:tc>
          <w:tcPr>
            <w:tcW w:w="3192" w:type="dxa"/>
            <w:vAlign w:val="center"/>
          </w:tcPr>
          <w:p w14:paraId="3C28DE10" w14:textId="417B5465" w:rsidR="00BA56BF" w:rsidRPr="00A021F4" w:rsidRDefault="002508B7" w:rsidP="002508B7">
            <w:pPr>
              <w:jc w:val="center"/>
              <w:rPr>
                <w:sz w:val="20"/>
                <w:szCs w:val="20"/>
              </w:rPr>
            </w:pPr>
            <w:r w:rsidRPr="00A021F4">
              <w:rPr>
                <w:sz w:val="20"/>
                <w:szCs w:val="20"/>
              </w:rPr>
              <w:t>August 1998</w:t>
            </w:r>
          </w:p>
        </w:tc>
      </w:tr>
      <w:tr w:rsidR="00BA56BF" w:rsidRPr="00A021F4" w14:paraId="1DA956C6" w14:textId="77777777" w:rsidTr="002508B7">
        <w:tc>
          <w:tcPr>
            <w:tcW w:w="3192" w:type="dxa"/>
          </w:tcPr>
          <w:p w14:paraId="3DFD3E38" w14:textId="11088E38" w:rsidR="00BA56BF" w:rsidRPr="00A021F4" w:rsidRDefault="002508B7" w:rsidP="008349CB">
            <w:pPr>
              <w:rPr>
                <w:sz w:val="20"/>
                <w:szCs w:val="20"/>
              </w:rPr>
            </w:pPr>
            <w:r w:rsidRPr="00A021F4">
              <w:rPr>
                <w:sz w:val="20"/>
                <w:szCs w:val="20"/>
              </w:rPr>
              <w:t xml:space="preserve">-MSY proxy for mutton = 30% static </w:t>
            </w:r>
            <w:r w:rsidR="004C02DB" w:rsidRPr="00A021F4">
              <w:rPr>
                <w:sz w:val="20"/>
                <w:szCs w:val="20"/>
              </w:rPr>
              <w:t>spawning potential ratio</w:t>
            </w:r>
            <w:r w:rsidRPr="00A021F4">
              <w:rPr>
                <w:sz w:val="20"/>
                <w:szCs w:val="20"/>
              </w:rPr>
              <w:t xml:space="preserve">; OY proxy is 40% static </w:t>
            </w:r>
            <w:r w:rsidR="008349CB" w:rsidRPr="00A021F4">
              <w:rPr>
                <w:sz w:val="20"/>
                <w:szCs w:val="20"/>
              </w:rPr>
              <w:t>spawning potential ratio</w:t>
            </w:r>
            <w:r w:rsidRPr="00A021F4">
              <w:rPr>
                <w:sz w:val="20"/>
                <w:szCs w:val="20"/>
              </w:rPr>
              <w:t>; MSST = 1-M*B</w:t>
            </w:r>
            <w:r w:rsidRPr="00A021F4">
              <w:rPr>
                <w:sz w:val="20"/>
                <w:szCs w:val="20"/>
                <w:vertAlign w:val="subscript"/>
              </w:rPr>
              <w:t>MSY</w:t>
            </w:r>
          </w:p>
        </w:tc>
        <w:tc>
          <w:tcPr>
            <w:tcW w:w="3192" w:type="dxa"/>
            <w:vAlign w:val="center"/>
          </w:tcPr>
          <w:p w14:paraId="3748BA98" w14:textId="431FF979" w:rsidR="00BA56BF" w:rsidRPr="00A021F4" w:rsidRDefault="002508B7" w:rsidP="002508B7">
            <w:pPr>
              <w:jc w:val="center"/>
              <w:rPr>
                <w:sz w:val="20"/>
                <w:szCs w:val="20"/>
              </w:rPr>
            </w:pPr>
            <w:r w:rsidRPr="00A021F4">
              <w:rPr>
                <w:sz w:val="20"/>
                <w:szCs w:val="20"/>
              </w:rPr>
              <w:t>Amendment 11</w:t>
            </w:r>
          </w:p>
        </w:tc>
        <w:tc>
          <w:tcPr>
            <w:tcW w:w="3192" w:type="dxa"/>
            <w:vAlign w:val="center"/>
          </w:tcPr>
          <w:p w14:paraId="7C2B214C" w14:textId="3CB26495" w:rsidR="00BA56BF" w:rsidRPr="00A021F4" w:rsidRDefault="002508B7" w:rsidP="002508B7">
            <w:pPr>
              <w:jc w:val="center"/>
              <w:rPr>
                <w:sz w:val="20"/>
                <w:szCs w:val="20"/>
              </w:rPr>
            </w:pPr>
            <w:r w:rsidRPr="00A021F4">
              <w:rPr>
                <w:sz w:val="20"/>
                <w:szCs w:val="20"/>
              </w:rPr>
              <w:t>December 1999</w:t>
            </w:r>
          </w:p>
        </w:tc>
      </w:tr>
      <w:tr w:rsidR="002508B7" w:rsidRPr="00A021F4" w14:paraId="2C6747D3" w14:textId="77777777" w:rsidTr="002508B7">
        <w:tc>
          <w:tcPr>
            <w:tcW w:w="3192" w:type="dxa"/>
          </w:tcPr>
          <w:p w14:paraId="607B5819" w14:textId="78F6EC50" w:rsidR="002508B7" w:rsidRPr="00A021F4" w:rsidRDefault="002508B7" w:rsidP="008349CB">
            <w:pPr>
              <w:rPr>
                <w:sz w:val="20"/>
                <w:szCs w:val="20"/>
              </w:rPr>
            </w:pPr>
            <w:r w:rsidRPr="00A021F4">
              <w:rPr>
                <w:sz w:val="20"/>
                <w:szCs w:val="20"/>
              </w:rPr>
              <w:t xml:space="preserve">Specify </w:t>
            </w:r>
            <w:r w:rsidR="004C02DB" w:rsidRPr="00A021F4">
              <w:rPr>
                <w:sz w:val="20"/>
                <w:szCs w:val="20"/>
              </w:rPr>
              <w:t>a</w:t>
            </w:r>
            <w:r w:rsidRPr="00A021F4">
              <w:rPr>
                <w:sz w:val="20"/>
                <w:szCs w:val="20"/>
              </w:rPr>
              <w:t xml:space="preserve">cceptable </w:t>
            </w:r>
            <w:r w:rsidR="004C02DB" w:rsidRPr="00A021F4">
              <w:rPr>
                <w:sz w:val="20"/>
                <w:szCs w:val="20"/>
              </w:rPr>
              <w:t>b</w:t>
            </w:r>
            <w:r w:rsidRPr="00A021F4">
              <w:rPr>
                <w:sz w:val="20"/>
                <w:szCs w:val="20"/>
              </w:rPr>
              <w:t xml:space="preserve">iological </w:t>
            </w:r>
            <w:r w:rsidR="004C02DB" w:rsidRPr="00A021F4">
              <w:rPr>
                <w:sz w:val="20"/>
                <w:szCs w:val="20"/>
              </w:rPr>
              <w:t>c</w:t>
            </w:r>
            <w:r w:rsidRPr="00A021F4">
              <w:rPr>
                <w:sz w:val="20"/>
                <w:szCs w:val="20"/>
              </w:rPr>
              <w:t xml:space="preserve">atch, jurisdictional allocation (Gulf &amp; South Atlantic), ACLs, sector allocations, recreational ACT, and </w:t>
            </w:r>
            <w:r w:rsidR="004C02DB" w:rsidRPr="00A021F4">
              <w:rPr>
                <w:sz w:val="20"/>
                <w:szCs w:val="20"/>
              </w:rPr>
              <w:t>a</w:t>
            </w:r>
            <w:r w:rsidRPr="00A021F4">
              <w:rPr>
                <w:sz w:val="20"/>
                <w:szCs w:val="20"/>
              </w:rPr>
              <w:t xml:space="preserve">ccountability </w:t>
            </w:r>
            <w:r w:rsidR="004C02DB" w:rsidRPr="00A021F4">
              <w:rPr>
                <w:sz w:val="20"/>
                <w:szCs w:val="20"/>
              </w:rPr>
              <w:t>m</w:t>
            </w:r>
            <w:r w:rsidRPr="00A021F4">
              <w:rPr>
                <w:sz w:val="20"/>
                <w:szCs w:val="20"/>
              </w:rPr>
              <w:t xml:space="preserve">easures </w:t>
            </w:r>
          </w:p>
        </w:tc>
        <w:tc>
          <w:tcPr>
            <w:tcW w:w="3192" w:type="dxa"/>
            <w:vAlign w:val="center"/>
          </w:tcPr>
          <w:p w14:paraId="76EF981C" w14:textId="05ECB610" w:rsidR="002508B7" w:rsidRPr="00A021F4" w:rsidRDefault="002508B7" w:rsidP="002508B7">
            <w:pPr>
              <w:jc w:val="center"/>
              <w:rPr>
                <w:sz w:val="20"/>
                <w:szCs w:val="20"/>
              </w:rPr>
            </w:pPr>
            <w:r w:rsidRPr="00A021F4">
              <w:rPr>
                <w:sz w:val="20"/>
                <w:szCs w:val="20"/>
              </w:rPr>
              <w:t>Comprehensive ACL Amendment</w:t>
            </w:r>
          </w:p>
        </w:tc>
        <w:tc>
          <w:tcPr>
            <w:tcW w:w="3192" w:type="dxa"/>
            <w:vAlign w:val="center"/>
          </w:tcPr>
          <w:p w14:paraId="60AB72FD" w14:textId="65113843" w:rsidR="002508B7" w:rsidRPr="00A021F4" w:rsidRDefault="002508B7" w:rsidP="002508B7">
            <w:pPr>
              <w:jc w:val="center"/>
              <w:rPr>
                <w:sz w:val="20"/>
                <w:szCs w:val="20"/>
              </w:rPr>
            </w:pPr>
            <w:r w:rsidRPr="00A021F4">
              <w:rPr>
                <w:sz w:val="20"/>
                <w:szCs w:val="20"/>
              </w:rPr>
              <w:t>April 2012</w:t>
            </w:r>
          </w:p>
        </w:tc>
      </w:tr>
    </w:tbl>
    <w:p w14:paraId="026FF8C4" w14:textId="77777777" w:rsidR="009006C2" w:rsidRPr="002E31B2" w:rsidRDefault="009006C2" w:rsidP="00D71AB1"/>
    <w:p w14:paraId="46A33520" w14:textId="36195C8B" w:rsidR="001B7BCC" w:rsidRPr="00667CDC" w:rsidRDefault="003A1241" w:rsidP="001B7BCC">
      <w:pPr>
        <w:pStyle w:val="Heading2"/>
        <w:rPr>
          <w:rFonts w:ascii="Arial" w:hAnsi="Arial" w:cs="Arial"/>
        </w:rPr>
      </w:pPr>
      <w:bookmarkStart w:id="43" w:name="_Toc447717367"/>
      <w:bookmarkStart w:id="44" w:name="_Toc339811695"/>
      <w:bookmarkStart w:id="45" w:name="_Toc304879956"/>
      <w:bookmarkStart w:id="46" w:name="_Toc135811863"/>
      <w:bookmarkStart w:id="47" w:name="_Toc188766744"/>
      <w:r>
        <w:rPr>
          <w:rFonts w:ascii="Arial" w:hAnsi="Arial" w:cs="Arial"/>
        </w:rPr>
        <w:lastRenderedPageBreak/>
        <w:t>1.5</w:t>
      </w:r>
      <w:r>
        <w:rPr>
          <w:rFonts w:ascii="Arial" w:hAnsi="Arial" w:cs="Arial"/>
        </w:rPr>
        <w:tab/>
        <w:t>What are annual catch l</w:t>
      </w:r>
      <w:r w:rsidR="001B7BCC" w:rsidRPr="00667CDC">
        <w:rPr>
          <w:rFonts w:ascii="Arial" w:hAnsi="Arial" w:cs="Arial"/>
        </w:rPr>
        <w:t>imits</w:t>
      </w:r>
      <w:r w:rsidR="001B7BCC" w:rsidRPr="00667CDC">
        <w:rPr>
          <w:rFonts w:ascii="Arial" w:hAnsi="Arial" w:cs="Arial"/>
        </w:rPr>
        <w:fldChar w:fldCharType="begin"/>
      </w:r>
      <w:r w:rsidR="001B7BCC" w:rsidRPr="00667CDC">
        <w:rPr>
          <w:rFonts w:ascii="Arial" w:hAnsi="Arial" w:cs="Arial"/>
        </w:rPr>
        <w:instrText xml:space="preserve"> XE "Annual Catch Limits (ACLs)" </w:instrText>
      </w:r>
      <w:r w:rsidR="001B7BCC" w:rsidRPr="00667CDC">
        <w:rPr>
          <w:rFonts w:ascii="Arial" w:hAnsi="Arial" w:cs="Arial"/>
        </w:rPr>
        <w:fldChar w:fldCharType="end"/>
      </w:r>
      <w:r>
        <w:rPr>
          <w:rFonts w:ascii="Arial" w:hAnsi="Arial" w:cs="Arial"/>
        </w:rPr>
        <w:t xml:space="preserve"> and accountability m</w:t>
      </w:r>
      <w:r w:rsidR="001B7BCC" w:rsidRPr="00667CDC">
        <w:rPr>
          <w:rFonts w:ascii="Arial" w:hAnsi="Arial" w:cs="Arial"/>
        </w:rPr>
        <w:t>easures</w:t>
      </w:r>
      <w:r w:rsidR="001B7BCC" w:rsidRPr="00667CDC">
        <w:rPr>
          <w:rFonts w:ascii="Arial" w:hAnsi="Arial" w:cs="Arial"/>
        </w:rPr>
        <w:fldChar w:fldCharType="begin"/>
      </w:r>
      <w:r w:rsidR="001B7BCC" w:rsidRPr="00667CDC">
        <w:rPr>
          <w:rFonts w:ascii="Arial" w:hAnsi="Arial" w:cs="Arial"/>
        </w:rPr>
        <w:instrText xml:space="preserve"> XE "</w:instrText>
      </w:r>
      <w:r w:rsidR="001B7BCC" w:rsidRPr="00667CDC">
        <w:rPr>
          <w:rFonts w:ascii="Arial" w:hAnsi="Arial" w:cs="Arial"/>
          <w:color w:val="1F497D" w:themeColor="text2"/>
        </w:rPr>
        <w:instrText>Accountability Measures</w:instrText>
      </w:r>
      <w:r w:rsidR="001B7BCC" w:rsidRPr="00667CDC">
        <w:rPr>
          <w:rFonts w:ascii="Arial" w:hAnsi="Arial" w:cs="Arial"/>
        </w:rPr>
        <w:instrText xml:space="preserve">" </w:instrText>
      </w:r>
      <w:r w:rsidR="001B7BCC" w:rsidRPr="00667CDC">
        <w:rPr>
          <w:rFonts w:ascii="Arial" w:hAnsi="Arial" w:cs="Arial"/>
        </w:rPr>
        <w:fldChar w:fldCharType="end"/>
      </w:r>
      <w:r>
        <w:rPr>
          <w:rFonts w:ascii="Arial" w:hAnsi="Arial" w:cs="Arial"/>
        </w:rPr>
        <w:t xml:space="preserve"> and why are they r</w:t>
      </w:r>
      <w:r w:rsidR="001B7BCC" w:rsidRPr="00667CDC">
        <w:rPr>
          <w:rFonts w:ascii="Arial" w:hAnsi="Arial" w:cs="Arial"/>
        </w:rPr>
        <w:t>equired?</w:t>
      </w:r>
      <w:bookmarkEnd w:id="43"/>
      <w:bookmarkEnd w:id="44"/>
    </w:p>
    <w:p w14:paraId="7E39ECFB" w14:textId="0320C17E" w:rsidR="001B7BCC" w:rsidRDefault="00110CD9" w:rsidP="001B7BCC">
      <w:pPr>
        <w:rPr>
          <w:rFonts w:ascii="Arial" w:hAnsi="Arial" w:cs="Arial"/>
          <w:b/>
          <w:bCs/>
          <w:color w:val="000000" w:themeColor="text1"/>
          <w:kern w:val="32"/>
          <w:sz w:val="28"/>
          <w:szCs w:val="28"/>
        </w:rPr>
      </w:pPr>
      <w:r>
        <w:rPr>
          <w:noProof/>
        </w:rPr>
        <mc:AlternateContent>
          <mc:Choice Requires="wps">
            <w:drawing>
              <wp:anchor distT="0" distB="0" distL="182880" distR="114300" simplePos="0" relativeHeight="251705856" behindDoc="1" locked="0" layoutInCell="1" allowOverlap="1" wp14:anchorId="75EEF5D4" wp14:editId="59A7027D">
                <wp:simplePos x="0" y="0"/>
                <wp:positionH relativeFrom="column">
                  <wp:posOffset>3067685</wp:posOffset>
                </wp:positionH>
                <wp:positionV relativeFrom="paragraph">
                  <wp:posOffset>87630</wp:posOffset>
                </wp:positionV>
                <wp:extent cx="3221355" cy="5885180"/>
                <wp:effectExtent l="0" t="76200" r="106045" b="33020"/>
                <wp:wrapTight wrapText="bothSides">
                  <wp:wrapPolygon edited="0">
                    <wp:start x="170" y="-280"/>
                    <wp:lineTo x="0" y="-280"/>
                    <wp:lineTo x="0" y="21628"/>
                    <wp:lineTo x="21970" y="21628"/>
                    <wp:lineTo x="22141" y="21162"/>
                    <wp:lineTo x="22141" y="-280"/>
                    <wp:lineTo x="170" y="-280"/>
                  </wp:wrapPolygon>
                </wp:wrapTight>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5885180"/>
                        </a:xfrm>
                        <a:prstGeom prst="rect">
                          <a:avLst/>
                        </a:prstGeom>
                        <a:solidFill>
                          <a:srgbClr val="FFFFFF"/>
                        </a:solidFill>
                        <a:ln w="31750">
                          <a:solidFill>
                            <a:srgbClr val="4F81BD"/>
                          </a:solidFill>
                          <a:miter lim="800000"/>
                          <a:headEnd/>
                          <a:tailEnd/>
                        </a:ln>
                        <a:effectLst>
                          <a:outerShdw dist="107763" dir="18900000" algn="ctr" rotWithShape="0">
                            <a:srgbClr val="868686">
                              <a:alpha val="50000"/>
                            </a:srgbClr>
                          </a:outerShdw>
                        </a:effectLst>
                      </wps:spPr>
                      <wps:txbx>
                        <w:txbxContent>
                          <w:p w14:paraId="4080D26B" w14:textId="77777777" w:rsidR="009108B8" w:rsidRPr="001A4702" w:rsidRDefault="009108B8" w:rsidP="001B7BCC">
                            <w:pPr>
                              <w:jc w:val="center"/>
                              <w:rPr>
                                <w:b/>
                                <w:i/>
                                <w:iCs/>
                                <w:color w:val="548DD4"/>
                                <w:sz w:val="28"/>
                                <w:szCs w:val="28"/>
                              </w:rPr>
                            </w:pPr>
                            <w:r w:rsidRPr="001A4702">
                              <w:rPr>
                                <w:b/>
                                <w:i/>
                                <w:iCs/>
                                <w:color w:val="548DD4"/>
                                <w:sz w:val="28"/>
                                <w:szCs w:val="28"/>
                              </w:rPr>
                              <w:t>Definitions</w:t>
                            </w:r>
                          </w:p>
                          <w:p w14:paraId="29153315" w14:textId="77777777" w:rsidR="009108B8" w:rsidRPr="00B74CCB" w:rsidRDefault="009108B8" w:rsidP="001B7BCC">
                            <w:pPr>
                              <w:rPr>
                                <w:iCs/>
                                <w:color w:val="1F497D"/>
                              </w:rPr>
                            </w:pPr>
                          </w:p>
                          <w:p w14:paraId="2D5568CC" w14:textId="3113B628" w:rsidR="009108B8" w:rsidRPr="001A4702" w:rsidRDefault="009108B8" w:rsidP="001B7BCC">
                            <w:pPr>
                              <w:rPr>
                                <w:rFonts w:ascii="Arial" w:hAnsi="Arial" w:cs="Arial"/>
                                <w:b/>
                                <w:iCs/>
                                <w:color w:val="1F497D"/>
                                <w:sz w:val="20"/>
                                <w:szCs w:val="20"/>
                              </w:rPr>
                            </w:pPr>
                            <w:r w:rsidRPr="001A4702">
                              <w:rPr>
                                <w:rFonts w:ascii="Arial" w:hAnsi="Arial" w:cs="Arial"/>
                                <w:b/>
                                <w:iCs/>
                                <w:color w:val="1F497D"/>
                                <w:sz w:val="20"/>
                                <w:szCs w:val="20"/>
                              </w:rPr>
                              <w:t>Annual Catch Limits</w:t>
                            </w:r>
                            <w:r>
                              <w:rPr>
                                <w:rFonts w:ascii="Arial" w:hAnsi="Arial" w:cs="Arial"/>
                                <w:b/>
                                <w:iCs/>
                                <w:color w:val="1F497D"/>
                                <w:sz w:val="20"/>
                                <w:szCs w:val="20"/>
                              </w:rPr>
                              <w:t xml:space="preserve"> (ACL)</w:t>
                            </w:r>
                          </w:p>
                          <w:p w14:paraId="40A22E7B" w14:textId="77777777" w:rsidR="009108B8" w:rsidRPr="001A4702" w:rsidRDefault="009108B8" w:rsidP="001B7BCC">
                            <w:pPr>
                              <w:rPr>
                                <w:rFonts w:ascii="Arial" w:hAnsi="Arial" w:cs="Arial"/>
                                <w:iCs/>
                                <w:color w:val="1F497D"/>
                                <w:sz w:val="20"/>
                                <w:szCs w:val="20"/>
                              </w:rPr>
                            </w:pPr>
                            <w:r w:rsidRPr="001A4702">
                              <w:rPr>
                                <w:rFonts w:ascii="Arial" w:hAnsi="Arial" w:cs="Arial"/>
                                <w:iCs/>
                                <w:color w:val="1F497D"/>
                                <w:sz w:val="20"/>
                                <w:szCs w:val="20"/>
                              </w:rPr>
                              <w:t>The level of annual catch (</w:t>
                            </w:r>
                            <w:r>
                              <w:rPr>
                                <w:rFonts w:ascii="Arial" w:hAnsi="Arial" w:cs="Arial"/>
                                <w:iCs/>
                                <w:color w:val="1F497D"/>
                                <w:sz w:val="20"/>
                                <w:szCs w:val="20"/>
                              </w:rPr>
                              <w:t>pounds</w:t>
                            </w:r>
                            <w:r w:rsidRPr="001A4702">
                              <w:rPr>
                                <w:rFonts w:ascii="Arial" w:hAnsi="Arial" w:cs="Arial"/>
                                <w:iCs/>
                                <w:color w:val="1F497D"/>
                                <w:sz w:val="20"/>
                                <w:szCs w:val="20"/>
                              </w:rPr>
                              <w:t xml:space="preserve"> or numbers) that triggers accountability measures to ensure that overfishing is not occurring.</w:t>
                            </w:r>
                          </w:p>
                          <w:p w14:paraId="28DDEC64" w14:textId="77777777" w:rsidR="009108B8" w:rsidRPr="001A4702" w:rsidRDefault="009108B8" w:rsidP="001B7BCC">
                            <w:pPr>
                              <w:rPr>
                                <w:rFonts w:ascii="Arial" w:hAnsi="Arial" w:cs="Arial"/>
                                <w:iCs/>
                                <w:color w:val="1F497D"/>
                                <w:sz w:val="20"/>
                                <w:szCs w:val="20"/>
                              </w:rPr>
                            </w:pPr>
                          </w:p>
                          <w:p w14:paraId="64C28BA5" w14:textId="1A8B46D4" w:rsidR="009108B8" w:rsidRPr="001A4702" w:rsidRDefault="009108B8" w:rsidP="001B7BCC">
                            <w:pPr>
                              <w:rPr>
                                <w:rFonts w:ascii="Arial" w:hAnsi="Arial" w:cs="Arial"/>
                                <w:b/>
                                <w:iCs/>
                                <w:color w:val="1F497D"/>
                                <w:sz w:val="20"/>
                                <w:szCs w:val="20"/>
                              </w:rPr>
                            </w:pPr>
                            <w:r w:rsidRPr="001A4702">
                              <w:rPr>
                                <w:rFonts w:ascii="Arial" w:hAnsi="Arial" w:cs="Arial"/>
                                <w:b/>
                                <w:iCs/>
                                <w:color w:val="1F497D"/>
                                <w:sz w:val="20"/>
                                <w:szCs w:val="20"/>
                              </w:rPr>
                              <w:t>Annual Catch Targets</w:t>
                            </w:r>
                            <w:r>
                              <w:rPr>
                                <w:rFonts w:ascii="Arial" w:hAnsi="Arial" w:cs="Arial"/>
                                <w:b/>
                                <w:iCs/>
                                <w:color w:val="1F497D"/>
                                <w:sz w:val="20"/>
                                <w:szCs w:val="20"/>
                              </w:rPr>
                              <w:t xml:space="preserve"> (ACT)</w:t>
                            </w:r>
                          </w:p>
                          <w:p w14:paraId="1674388C" w14:textId="77777777" w:rsidR="009108B8" w:rsidRPr="001A4702" w:rsidRDefault="009108B8" w:rsidP="001B7BCC">
                            <w:pPr>
                              <w:rPr>
                                <w:rFonts w:ascii="Arial" w:hAnsi="Arial" w:cs="Arial"/>
                                <w:iCs/>
                                <w:color w:val="1F497D"/>
                                <w:sz w:val="20"/>
                                <w:szCs w:val="20"/>
                              </w:rPr>
                            </w:pPr>
                            <w:r w:rsidRPr="001A4702">
                              <w:rPr>
                                <w:rFonts w:ascii="Arial" w:hAnsi="Arial" w:cs="Arial"/>
                                <w:iCs/>
                                <w:color w:val="1F497D"/>
                                <w:sz w:val="20"/>
                                <w:szCs w:val="20"/>
                              </w:rPr>
                              <w:t>The level of annual catch (</w:t>
                            </w:r>
                            <w:r>
                              <w:rPr>
                                <w:rFonts w:ascii="Arial" w:hAnsi="Arial" w:cs="Arial"/>
                                <w:iCs/>
                                <w:color w:val="1F497D"/>
                                <w:sz w:val="20"/>
                                <w:szCs w:val="20"/>
                              </w:rPr>
                              <w:t>pounds</w:t>
                            </w:r>
                            <w:r w:rsidRPr="001A4702">
                              <w:rPr>
                                <w:rFonts w:ascii="Arial" w:hAnsi="Arial" w:cs="Arial"/>
                                <w:iCs/>
                                <w:color w:val="1F497D"/>
                                <w:sz w:val="20"/>
                                <w:szCs w:val="20"/>
                              </w:rPr>
                              <w:t xml:space="preserve"> or numbers) that is the management target of the fishery, and accounts for management uncertainty in controlling the actual catch at or below the ACL.  </w:t>
                            </w:r>
                          </w:p>
                          <w:p w14:paraId="03AA1327" w14:textId="77777777" w:rsidR="009108B8" w:rsidRPr="001A4702" w:rsidRDefault="009108B8" w:rsidP="001B7BCC">
                            <w:pPr>
                              <w:rPr>
                                <w:rFonts w:ascii="Arial" w:hAnsi="Arial" w:cs="Arial"/>
                                <w:iCs/>
                                <w:color w:val="1F497D"/>
                                <w:sz w:val="20"/>
                                <w:szCs w:val="20"/>
                              </w:rPr>
                            </w:pPr>
                          </w:p>
                          <w:p w14:paraId="2EAD6CCD" w14:textId="78CBB9AF" w:rsidR="009108B8" w:rsidRPr="001A4702" w:rsidRDefault="009108B8" w:rsidP="001B7BCC">
                            <w:pPr>
                              <w:rPr>
                                <w:rFonts w:ascii="Arial" w:hAnsi="Arial" w:cs="Arial"/>
                                <w:b/>
                                <w:iCs/>
                                <w:color w:val="1F497D"/>
                                <w:sz w:val="20"/>
                                <w:szCs w:val="20"/>
                              </w:rPr>
                            </w:pPr>
                            <w:r w:rsidRPr="001A4702">
                              <w:rPr>
                                <w:rFonts w:ascii="Arial" w:hAnsi="Arial" w:cs="Arial"/>
                                <w:b/>
                                <w:iCs/>
                                <w:color w:val="1F497D"/>
                                <w:sz w:val="20"/>
                                <w:szCs w:val="20"/>
                              </w:rPr>
                              <w:t>Accountability Measures</w:t>
                            </w:r>
                            <w:r>
                              <w:rPr>
                                <w:rFonts w:ascii="Arial" w:hAnsi="Arial" w:cs="Arial"/>
                                <w:b/>
                                <w:iCs/>
                                <w:color w:val="1F497D"/>
                                <w:sz w:val="20"/>
                                <w:szCs w:val="20"/>
                              </w:rPr>
                              <w:t xml:space="preserve"> (AM)</w:t>
                            </w:r>
                          </w:p>
                          <w:p w14:paraId="4E33BFB3" w14:textId="77777777" w:rsidR="009108B8" w:rsidRPr="001A4702" w:rsidRDefault="009108B8" w:rsidP="001B7BCC">
                            <w:pPr>
                              <w:rPr>
                                <w:rFonts w:ascii="Arial" w:hAnsi="Arial" w:cs="Arial"/>
                                <w:iCs/>
                                <w:color w:val="1F497D"/>
                                <w:sz w:val="20"/>
                                <w:szCs w:val="20"/>
                              </w:rPr>
                            </w:pPr>
                            <w:r w:rsidRPr="001A4702">
                              <w:rPr>
                                <w:rFonts w:ascii="Arial" w:hAnsi="Arial" w:cs="Arial"/>
                                <w:iCs/>
                                <w:color w:val="1F497D"/>
                                <w:sz w:val="20"/>
                                <w:szCs w:val="20"/>
                              </w:rPr>
                              <w:t>Management controls to prevent ACLs, including sector ACLs, from being exceeded, and to correct or mitigate overages of the ACL if they occur.</w:t>
                            </w:r>
                          </w:p>
                          <w:p w14:paraId="324E1DF4" w14:textId="77777777" w:rsidR="009108B8" w:rsidRPr="001A4702" w:rsidRDefault="009108B8" w:rsidP="001B7BCC">
                            <w:pPr>
                              <w:rPr>
                                <w:rFonts w:ascii="Arial" w:hAnsi="Arial" w:cs="Arial"/>
                                <w:iCs/>
                                <w:color w:val="1F497D"/>
                                <w:sz w:val="20"/>
                                <w:szCs w:val="20"/>
                              </w:rPr>
                            </w:pPr>
                          </w:p>
                          <w:p w14:paraId="79DFF101" w14:textId="77777777" w:rsidR="009108B8" w:rsidRPr="001A4702" w:rsidRDefault="009108B8" w:rsidP="001B7BCC">
                            <w:pPr>
                              <w:rPr>
                                <w:rFonts w:ascii="Arial" w:hAnsi="Arial" w:cs="Arial"/>
                                <w:b/>
                                <w:iCs/>
                                <w:color w:val="1F497D"/>
                                <w:sz w:val="20"/>
                                <w:szCs w:val="20"/>
                              </w:rPr>
                            </w:pPr>
                            <w:r w:rsidRPr="001A4702">
                              <w:rPr>
                                <w:rFonts w:ascii="Arial" w:hAnsi="Arial" w:cs="Arial"/>
                                <w:b/>
                                <w:iCs/>
                                <w:color w:val="1F497D"/>
                                <w:sz w:val="20"/>
                                <w:szCs w:val="20"/>
                              </w:rPr>
                              <w:t>Allocations</w:t>
                            </w:r>
                          </w:p>
                          <w:p w14:paraId="1F2DABA0" w14:textId="77777777" w:rsidR="009108B8" w:rsidRPr="001A4702" w:rsidRDefault="009108B8" w:rsidP="001B7BCC">
                            <w:pPr>
                              <w:rPr>
                                <w:rFonts w:ascii="Arial" w:hAnsi="Arial" w:cs="Arial"/>
                                <w:iCs/>
                                <w:color w:val="1F497D"/>
                                <w:sz w:val="20"/>
                                <w:szCs w:val="20"/>
                              </w:rPr>
                            </w:pPr>
                            <w:r w:rsidRPr="001A4702">
                              <w:rPr>
                                <w:rFonts w:ascii="Arial" w:hAnsi="Arial" w:cs="Arial"/>
                                <w:iCs/>
                                <w:color w:val="1F497D"/>
                                <w:sz w:val="20"/>
                                <w:szCs w:val="20"/>
                              </w:rPr>
                              <w:t>A division of the overall ACL among sectors (e.g</w:t>
                            </w:r>
                            <w:r>
                              <w:rPr>
                                <w:rFonts w:ascii="Arial" w:hAnsi="Arial" w:cs="Arial"/>
                                <w:iCs/>
                                <w:color w:val="1F497D"/>
                                <w:sz w:val="20"/>
                                <w:szCs w:val="20"/>
                              </w:rPr>
                              <w:t>.</w:t>
                            </w:r>
                            <w:r w:rsidRPr="001A4702">
                              <w:rPr>
                                <w:rFonts w:ascii="Arial" w:hAnsi="Arial" w:cs="Arial"/>
                                <w:iCs/>
                                <w:color w:val="1F497D"/>
                                <w:sz w:val="20"/>
                                <w:szCs w:val="20"/>
                              </w:rPr>
                              <w:t>, recreational and commercial) to create sector ACLs.</w:t>
                            </w:r>
                          </w:p>
                          <w:p w14:paraId="361DE122" w14:textId="77777777" w:rsidR="009108B8" w:rsidRPr="001A4702" w:rsidRDefault="009108B8" w:rsidP="001B7BCC">
                            <w:pPr>
                              <w:rPr>
                                <w:rFonts w:ascii="Arial" w:hAnsi="Arial" w:cs="Arial"/>
                                <w:iCs/>
                                <w:color w:val="1F497D"/>
                                <w:sz w:val="20"/>
                                <w:szCs w:val="20"/>
                              </w:rPr>
                            </w:pPr>
                          </w:p>
                          <w:p w14:paraId="33529E2F" w14:textId="77777777" w:rsidR="009108B8" w:rsidRPr="001A4702" w:rsidRDefault="009108B8" w:rsidP="001B7BCC">
                            <w:pPr>
                              <w:rPr>
                                <w:rFonts w:ascii="Arial" w:hAnsi="Arial" w:cs="Arial"/>
                                <w:b/>
                                <w:iCs/>
                                <w:color w:val="1F497D"/>
                                <w:sz w:val="20"/>
                                <w:szCs w:val="20"/>
                              </w:rPr>
                            </w:pPr>
                            <w:r w:rsidRPr="001A4702">
                              <w:rPr>
                                <w:rFonts w:ascii="Arial" w:hAnsi="Arial" w:cs="Arial"/>
                                <w:b/>
                                <w:iCs/>
                                <w:color w:val="1F497D"/>
                                <w:sz w:val="20"/>
                                <w:szCs w:val="20"/>
                              </w:rPr>
                              <w:t>Maximum Sustainable Yield</w:t>
                            </w:r>
                            <w:r>
                              <w:rPr>
                                <w:rFonts w:ascii="Arial" w:hAnsi="Arial" w:cs="Arial"/>
                                <w:b/>
                                <w:iCs/>
                                <w:color w:val="1F497D"/>
                                <w:sz w:val="20"/>
                                <w:szCs w:val="20"/>
                              </w:rPr>
                              <w:t xml:space="preserve"> (MSY)</w:t>
                            </w:r>
                          </w:p>
                          <w:p w14:paraId="038B39D5" w14:textId="77777777" w:rsidR="009108B8" w:rsidRPr="001A4702" w:rsidRDefault="009108B8" w:rsidP="001B7BCC">
                            <w:pPr>
                              <w:rPr>
                                <w:rFonts w:ascii="Arial" w:hAnsi="Arial" w:cs="Arial"/>
                                <w:iCs/>
                                <w:color w:val="1F497D"/>
                                <w:sz w:val="20"/>
                                <w:szCs w:val="20"/>
                              </w:rPr>
                            </w:pPr>
                            <w:r w:rsidRPr="001A4702">
                              <w:rPr>
                                <w:rFonts w:ascii="Arial" w:hAnsi="Arial" w:cs="Arial"/>
                                <w:iCs/>
                                <w:color w:val="1F497D"/>
                                <w:sz w:val="20"/>
                                <w:szCs w:val="20"/>
                              </w:rPr>
                              <w:t>Largest long-term average catch or yield that can be taken from a stock or stock complex under prevailing ecological and environmental conditions.</w:t>
                            </w:r>
                          </w:p>
                          <w:p w14:paraId="0F36622B" w14:textId="77777777" w:rsidR="009108B8" w:rsidRPr="001A4702" w:rsidRDefault="009108B8" w:rsidP="001B7BCC">
                            <w:pPr>
                              <w:rPr>
                                <w:rFonts w:ascii="Arial" w:hAnsi="Arial" w:cs="Arial"/>
                                <w:iCs/>
                                <w:color w:val="1F497D"/>
                                <w:sz w:val="20"/>
                                <w:szCs w:val="20"/>
                              </w:rPr>
                            </w:pPr>
                          </w:p>
                          <w:p w14:paraId="3460D188" w14:textId="77777777" w:rsidR="009108B8" w:rsidRPr="001A4702" w:rsidRDefault="009108B8" w:rsidP="001B7BCC">
                            <w:pPr>
                              <w:rPr>
                                <w:rFonts w:ascii="Arial" w:hAnsi="Arial" w:cs="Arial"/>
                                <w:b/>
                                <w:iCs/>
                                <w:color w:val="1F497D"/>
                                <w:sz w:val="20"/>
                                <w:szCs w:val="20"/>
                              </w:rPr>
                            </w:pPr>
                            <w:r w:rsidRPr="001A4702">
                              <w:rPr>
                                <w:rFonts w:ascii="Arial" w:hAnsi="Arial" w:cs="Arial"/>
                                <w:b/>
                                <w:iCs/>
                                <w:color w:val="1F497D"/>
                                <w:sz w:val="20"/>
                                <w:szCs w:val="20"/>
                              </w:rPr>
                              <w:t>Optimum Yield</w:t>
                            </w:r>
                            <w:r>
                              <w:rPr>
                                <w:rFonts w:ascii="Arial" w:hAnsi="Arial" w:cs="Arial"/>
                                <w:b/>
                                <w:iCs/>
                                <w:color w:val="1F497D"/>
                                <w:sz w:val="20"/>
                                <w:szCs w:val="20"/>
                              </w:rPr>
                              <w:t xml:space="preserve"> (OY)</w:t>
                            </w:r>
                          </w:p>
                          <w:p w14:paraId="015313F2" w14:textId="77777777" w:rsidR="009108B8" w:rsidRPr="001A4702" w:rsidRDefault="009108B8" w:rsidP="001B7BCC">
                            <w:pPr>
                              <w:rPr>
                                <w:rFonts w:ascii="Arial" w:hAnsi="Arial" w:cs="Arial"/>
                                <w:iCs/>
                                <w:color w:val="1F497D"/>
                                <w:sz w:val="20"/>
                                <w:szCs w:val="20"/>
                              </w:rPr>
                            </w:pPr>
                            <w:r w:rsidRPr="001A4702">
                              <w:rPr>
                                <w:rFonts w:ascii="Arial" w:hAnsi="Arial" w:cs="Arial"/>
                                <w:iCs/>
                                <w:color w:val="1F497D"/>
                                <w:sz w:val="20"/>
                                <w:szCs w:val="20"/>
                              </w:rPr>
                              <w:t>The amount of catch that will provide the greatest overall benefit to the nation, particularly with respect to food production and recreational opportunities and taking into account the protection of marine ecosystems.</w:t>
                            </w:r>
                          </w:p>
                          <w:p w14:paraId="6B30CD9B" w14:textId="77777777" w:rsidR="009108B8" w:rsidRPr="001A4702" w:rsidRDefault="009108B8" w:rsidP="001B7BCC">
                            <w:pPr>
                              <w:rPr>
                                <w:rFonts w:ascii="Arial" w:hAnsi="Arial" w:cs="Arial"/>
                                <w:iCs/>
                                <w:color w:val="1F497D"/>
                                <w:sz w:val="20"/>
                                <w:szCs w:val="20"/>
                              </w:rPr>
                            </w:pPr>
                          </w:p>
                          <w:p w14:paraId="4A4C90F8" w14:textId="77777777" w:rsidR="009108B8" w:rsidRPr="001A4702" w:rsidRDefault="009108B8" w:rsidP="001B7BCC">
                            <w:pPr>
                              <w:rPr>
                                <w:rFonts w:ascii="Arial" w:hAnsi="Arial" w:cs="Arial"/>
                                <w:b/>
                                <w:iCs/>
                                <w:color w:val="1F497D"/>
                                <w:sz w:val="20"/>
                                <w:szCs w:val="20"/>
                              </w:rPr>
                            </w:pPr>
                            <w:r w:rsidRPr="001A4702">
                              <w:rPr>
                                <w:rFonts w:ascii="Arial" w:hAnsi="Arial" w:cs="Arial"/>
                                <w:b/>
                                <w:iCs/>
                                <w:color w:val="1F497D"/>
                                <w:sz w:val="20"/>
                                <w:szCs w:val="20"/>
                              </w:rPr>
                              <w:t>Minimum Stock Size Threshold</w:t>
                            </w:r>
                            <w:r>
                              <w:rPr>
                                <w:rFonts w:ascii="Arial" w:hAnsi="Arial" w:cs="Arial"/>
                                <w:b/>
                                <w:iCs/>
                                <w:color w:val="1F497D"/>
                                <w:sz w:val="20"/>
                                <w:szCs w:val="20"/>
                              </w:rPr>
                              <w:t xml:space="preserve"> (MSST)</w:t>
                            </w:r>
                          </w:p>
                          <w:p w14:paraId="7662616B" w14:textId="77777777" w:rsidR="009108B8" w:rsidRPr="00B8746A" w:rsidRDefault="009108B8" w:rsidP="001B7BCC">
                            <w:pPr>
                              <w:rPr>
                                <w:rFonts w:ascii="Arial" w:hAnsi="Arial" w:cs="Arial"/>
                                <w:iCs/>
                                <w:color w:val="1F497D"/>
                                <w:sz w:val="20"/>
                                <w:szCs w:val="20"/>
                              </w:rPr>
                            </w:pPr>
                            <w:r w:rsidRPr="001A4702">
                              <w:rPr>
                                <w:rFonts w:ascii="Arial" w:hAnsi="Arial" w:cs="Arial"/>
                                <w:iCs/>
                                <w:color w:val="1F497D"/>
                                <w:sz w:val="20"/>
                                <w:szCs w:val="20"/>
                              </w:rPr>
                              <w:t>A status determination criterion.  If current stock size is below</w:t>
                            </w:r>
                            <w:r>
                              <w:rPr>
                                <w:rFonts w:ascii="Arial" w:hAnsi="Arial" w:cs="Arial"/>
                                <w:iCs/>
                                <w:color w:val="1F497D"/>
                                <w:sz w:val="20"/>
                                <w:szCs w:val="20"/>
                              </w:rPr>
                              <w:t xml:space="preserve"> </w:t>
                            </w:r>
                            <w:r w:rsidRPr="001A4702">
                              <w:rPr>
                                <w:rFonts w:ascii="Arial" w:hAnsi="Arial" w:cs="Arial"/>
                                <w:iCs/>
                                <w:color w:val="1F497D"/>
                                <w:sz w:val="20"/>
                                <w:szCs w:val="20"/>
                              </w:rPr>
                              <w:t>MSST, the stock is overfished.</w:t>
                            </w:r>
                          </w:p>
                          <w:p w14:paraId="37403238" w14:textId="77777777" w:rsidR="009108B8" w:rsidRDefault="009108B8" w:rsidP="001B7BCC">
                            <w:pPr>
                              <w:rPr>
                                <w:rFonts w:ascii="Arial" w:hAnsi="Arial" w:cs="Arial"/>
                                <w:iCs/>
                                <w:color w:val="1F497D"/>
                              </w:rPr>
                            </w:pPr>
                          </w:p>
                          <w:p w14:paraId="34D35AFF" w14:textId="77777777" w:rsidR="009108B8" w:rsidRDefault="009108B8" w:rsidP="001B7BCC">
                            <w:pPr>
                              <w:rPr>
                                <w:rFonts w:ascii="Arial" w:hAnsi="Arial" w:cs="Arial"/>
                                <w:iCs/>
                                <w:color w:val="1F497D"/>
                              </w:rPr>
                            </w:pPr>
                          </w:p>
                          <w:p w14:paraId="2B56BB82" w14:textId="77777777" w:rsidR="009108B8" w:rsidRDefault="009108B8" w:rsidP="001B7BCC">
                            <w:pPr>
                              <w:rPr>
                                <w:rFonts w:ascii="Arial" w:hAnsi="Arial" w:cs="Arial"/>
                                <w:iCs/>
                                <w:color w:val="1F497D"/>
                              </w:rPr>
                            </w:pPr>
                          </w:p>
                          <w:p w14:paraId="39644005" w14:textId="77777777" w:rsidR="009108B8" w:rsidRPr="00B74CCB" w:rsidRDefault="009108B8" w:rsidP="001B7BCC">
                            <w:pPr>
                              <w:rPr>
                                <w:rFonts w:ascii="Arial" w:hAnsi="Arial" w:cs="Arial"/>
                                <w:iCs/>
                                <w:color w:val="1F497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0" type="#_x0000_t202" style="position:absolute;margin-left:241.55pt;margin-top:6.9pt;width:253.65pt;height:463.4pt;z-index:-251610624;visibility:visible;mso-wrap-style:square;mso-width-percent:0;mso-height-percent:0;mso-wrap-distance-left:14.4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" strokecolor="#4f81bd" strokeweight="2.5pt">
                <v:shadow on="t" color="#868686" opacity=".5" mv:blur="0" offset="6pt,-6pt"/>
                <v:textbox>
                  <w:txbxContent>
                    <w:p w14:paraId="4080D26B" w14:textId="77777777" w:rsidR="009108B8" w:rsidRPr="001A4702" w:rsidRDefault="009108B8" w:rsidP="001B7BCC">
                      <w:pPr>
                        <w:jc w:val="center"/>
                        <w:rPr>
                          <w:b/>
                          <w:i/>
                          <w:iCs/>
                          <w:color w:val="548DD4"/>
                          <w:sz w:val="28"/>
                          <w:szCs w:val="28"/>
                        </w:rPr>
                      </w:pPr>
                      <w:r w:rsidRPr="001A4702">
                        <w:rPr>
                          <w:b/>
                          <w:i/>
                          <w:iCs/>
                          <w:color w:val="548DD4"/>
                          <w:sz w:val="28"/>
                          <w:szCs w:val="28"/>
                        </w:rPr>
                        <w:t>Definitions</w:t>
                      </w:r>
                    </w:p>
                    <w:p w14:paraId="29153315" w14:textId="77777777" w:rsidR="009108B8" w:rsidRPr="00B74CCB" w:rsidRDefault="009108B8" w:rsidP="001B7BCC">
                      <w:pPr>
                        <w:rPr>
                          <w:iCs/>
                          <w:color w:val="1F497D"/>
                        </w:rPr>
                      </w:pPr>
                    </w:p>
                    <w:p w14:paraId="2D5568CC" w14:textId="3113B628" w:rsidR="009108B8" w:rsidRPr="001A4702" w:rsidRDefault="009108B8" w:rsidP="001B7BCC">
                      <w:pPr>
                        <w:rPr>
                          <w:rFonts w:ascii="Arial" w:hAnsi="Arial" w:cs="Arial"/>
                          <w:b/>
                          <w:iCs/>
                          <w:color w:val="1F497D"/>
                          <w:sz w:val="20"/>
                          <w:szCs w:val="20"/>
                        </w:rPr>
                      </w:pPr>
                      <w:r w:rsidRPr="001A4702">
                        <w:rPr>
                          <w:rFonts w:ascii="Arial" w:hAnsi="Arial" w:cs="Arial"/>
                          <w:b/>
                          <w:iCs/>
                          <w:color w:val="1F497D"/>
                          <w:sz w:val="20"/>
                          <w:szCs w:val="20"/>
                        </w:rPr>
                        <w:t>Annual Catch Limits</w:t>
                      </w:r>
                      <w:r>
                        <w:rPr>
                          <w:rFonts w:ascii="Arial" w:hAnsi="Arial" w:cs="Arial"/>
                          <w:b/>
                          <w:iCs/>
                          <w:color w:val="1F497D"/>
                          <w:sz w:val="20"/>
                          <w:szCs w:val="20"/>
                        </w:rPr>
                        <w:t xml:space="preserve"> (ACL)</w:t>
                      </w:r>
                    </w:p>
                    <w:p w14:paraId="40A22E7B" w14:textId="77777777" w:rsidR="009108B8" w:rsidRPr="001A4702" w:rsidRDefault="009108B8" w:rsidP="001B7BCC">
                      <w:pPr>
                        <w:rPr>
                          <w:rFonts w:ascii="Arial" w:hAnsi="Arial" w:cs="Arial"/>
                          <w:iCs/>
                          <w:color w:val="1F497D"/>
                          <w:sz w:val="20"/>
                          <w:szCs w:val="20"/>
                        </w:rPr>
                      </w:pPr>
                      <w:r w:rsidRPr="001A4702">
                        <w:rPr>
                          <w:rFonts w:ascii="Arial" w:hAnsi="Arial" w:cs="Arial"/>
                          <w:iCs/>
                          <w:color w:val="1F497D"/>
                          <w:sz w:val="20"/>
                          <w:szCs w:val="20"/>
                        </w:rPr>
                        <w:t>The level of annual catch (</w:t>
                      </w:r>
                      <w:r>
                        <w:rPr>
                          <w:rFonts w:ascii="Arial" w:hAnsi="Arial" w:cs="Arial"/>
                          <w:iCs/>
                          <w:color w:val="1F497D"/>
                          <w:sz w:val="20"/>
                          <w:szCs w:val="20"/>
                        </w:rPr>
                        <w:t>pounds</w:t>
                      </w:r>
                      <w:r w:rsidRPr="001A4702">
                        <w:rPr>
                          <w:rFonts w:ascii="Arial" w:hAnsi="Arial" w:cs="Arial"/>
                          <w:iCs/>
                          <w:color w:val="1F497D"/>
                          <w:sz w:val="20"/>
                          <w:szCs w:val="20"/>
                        </w:rPr>
                        <w:t xml:space="preserve"> or numbers) that triggers accountability measures to ensure that overfishing is not occurring.</w:t>
                      </w:r>
                    </w:p>
                    <w:p w14:paraId="28DDEC64" w14:textId="77777777" w:rsidR="009108B8" w:rsidRPr="001A4702" w:rsidRDefault="009108B8" w:rsidP="001B7BCC">
                      <w:pPr>
                        <w:rPr>
                          <w:rFonts w:ascii="Arial" w:hAnsi="Arial" w:cs="Arial"/>
                          <w:iCs/>
                          <w:color w:val="1F497D"/>
                          <w:sz w:val="20"/>
                          <w:szCs w:val="20"/>
                        </w:rPr>
                      </w:pPr>
                    </w:p>
                    <w:p w14:paraId="64C28BA5" w14:textId="1A8B46D4" w:rsidR="009108B8" w:rsidRPr="001A4702" w:rsidRDefault="009108B8" w:rsidP="001B7BCC">
                      <w:pPr>
                        <w:rPr>
                          <w:rFonts w:ascii="Arial" w:hAnsi="Arial" w:cs="Arial"/>
                          <w:b/>
                          <w:iCs/>
                          <w:color w:val="1F497D"/>
                          <w:sz w:val="20"/>
                          <w:szCs w:val="20"/>
                        </w:rPr>
                      </w:pPr>
                      <w:r w:rsidRPr="001A4702">
                        <w:rPr>
                          <w:rFonts w:ascii="Arial" w:hAnsi="Arial" w:cs="Arial"/>
                          <w:b/>
                          <w:iCs/>
                          <w:color w:val="1F497D"/>
                          <w:sz w:val="20"/>
                          <w:szCs w:val="20"/>
                        </w:rPr>
                        <w:t>Annual Catch Targets</w:t>
                      </w:r>
                      <w:r>
                        <w:rPr>
                          <w:rFonts w:ascii="Arial" w:hAnsi="Arial" w:cs="Arial"/>
                          <w:b/>
                          <w:iCs/>
                          <w:color w:val="1F497D"/>
                          <w:sz w:val="20"/>
                          <w:szCs w:val="20"/>
                        </w:rPr>
                        <w:t xml:space="preserve"> (ACT)</w:t>
                      </w:r>
                    </w:p>
                    <w:p w14:paraId="1674388C" w14:textId="77777777" w:rsidR="009108B8" w:rsidRPr="001A4702" w:rsidRDefault="009108B8" w:rsidP="001B7BCC">
                      <w:pPr>
                        <w:rPr>
                          <w:rFonts w:ascii="Arial" w:hAnsi="Arial" w:cs="Arial"/>
                          <w:iCs/>
                          <w:color w:val="1F497D"/>
                          <w:sz w:val="20"/>
                          <w:szCs w:val="20"/>
                        </w:rPr>
                      </w:pPr>
                      <w:r w:rsidRPr="001A4702">
                        <w:rPr>
                          <w:rFonts w:ascii="Arial" w:hAnsi="Arial" w:cs="Arial"/>
                          <w:iCs/>
                          <w:color w:val="1F497D"/>
                          <w:sz w:val="20"/>
                          <w:szCs w:val="20"/>
                        </w:rPr>
                        <w:t>The level of annual catch (</w:t>
                      </w:r>
                      <w:r>
                        <w:rPr>
                          <w:rFonts w:ascii="Arial" w:hAnsi="Arial" w:cs="Arial"/>
                          <w:iCs/>
                          <w:color w:val="1F497D"/>
                          <w:sz w:val="20"/>
                          <w:szCs w:val="20"/>
                        </w:rPr>
                        <w:t>pounds</w:t>
                      </w:r>
                      <w:r w:rsidRPr="001A4702">
                        <w:rPr>
                          <w:rFonts w:ascii="Arial" w:hAnsi="Arial" w:cs="Arial"/>
                          <w:iCs/>
                          <w:color w:val="1F497D"/>
                          <w:sz w:val="20"/>
                          <w:szCs w:val="20"/>
                        </w:rPr>
                        <w:t xml:space="preserve"> or numbers) that is the management target of the fishery, and accounts for management uncertainty in controlling the actual catch at or below the ACL.  </w:t>
                      </w:r>
                    </w:p>
                    <w:p w14:paraId="03AA1327" w14:textId="77777777" w:rsidR="009108B8" w:rsidRPr="001A4702" w:rsidRDefault="009108B8" w:rsidP="001B7BCC">
                      <w:pPr>
                        <w:rPr>
                          <w:rFonts w:ascii="Arial" w:hAnsi="Arial" w:cs="Arial"/>
                          <w:iCs/>
                          <w:color w:val="1F497D"/>
                          <w:sz w:val="20"/>
                          <w:szCs w:val="20"/>
                        </w:rPr>
                      </w:pPr>
                    </w:p>
                    <w:p w14:paraId="2EAD6CCD" w14:textId="78CBB9AF" w:rsidR="009108B8" w:rsidRPr="001A4702" w:rsidRDefault="009108B8" w:rsidP="001B7BCC">
                      <w:pPr>
                        <w:rPr>
                          <w:rFonts w:ascii="Arial" w:hAnsi="Arial" w:cs="Arial"/>
                          <w:b/>
                          <w:iCs/>
                          <w:color w:val="1F497D"/>
                          <w:sz w:val="20"/>
                          <w:szCs w:val="20"/>
                        </w:rPr>
                      </w:pPr>
                      <w:r w:rsidRPr="001A4702">
                        <w:rPr>
                          <w:rFonts w:ascii="Arial" w:hAnsi="Arial" w:cs="Arial"/>
                          <w:b/>
                          <w:iCs/>
                          <w:color w:val="1F497D"/>
                          <w:sz w:val="20"/>
                          <w:szCs w:val="20"/>
                        </w:rPr>
                        <w:t>Accountability Measures</w:t>
                      </w:r>
                      <w:r>
                        <w:rPr>
                          <w:rFonts w:ascii="Arial" w:hAnsi="Arial" w:cs="Arial"/>
                          <w:b/>
                          <w:iCs/>
                          <w:color w:val="1F497D"/>
                          <w:sz w:val="20"/>
                          <w:szCs w:val="20"/>
                        </w:rPr>
                        <w:t xml:space="preserve"> (AM)</w:t>
                      </w:r>
                    </w:p>
                    <w:p w14:paraId="4E33BFB3" w14:textId="77777777" w:rsidR="009108B8" w:rsidRPr="001A4702" w:rsidRDefault="009108B8" w:rsidP="001B7BCC">
                      <w:pPr>
                        <w:rPr>
                          <w:rFonts w:ascii="Arial" w:hAnsi="Arial" w:cs="Arial"/>
                          <w:iCs/>
                          <w:color w:val="1F497D"/>
                          <w:sz w:val="20"/>
                          <w:szCs w:val="20"/>
                        </w:rPr>
                      </w:pPr>
                      <w:r w:rsidRPr="001A4702">
                        <w:rPr>
                          <w:rFonts w:ascii="Arial" w:hAnsi="Arial" w:cs="Arial"/>
                          <w:iCs/>
                          <w:color w:val="1F497D"/>
                          <w:sz w:val="20"/>
                          <w:szCs w:val="20"/>
                        </w:rPr>
                        <w:t>Management controls to prevent ACLs, including sector ACLs, from being exceeded, and to correct or mitigate overages of the ACL if they occur.</w:t>
                      </w:r>
                    </w:p>
                    <w:p w14:paraId="324E1DF4" w14:textId="77777777" w:rsidR="009108B8" w:rsidRPr="001A4702" w:rsidRDefault="009108B8" w:rsidP="001B7BCC">
                      <w:pPr>
                        <w:rPr>
                          <w:rFonts w:ascii="Arial" w:hAnsi="Arial" w:cs="Arial"/>
                          <w:iCs/>
                          <w:color w:val="1F497D"/>
                          <w:sz w:val="20"/>
                          <w:szCs w:val="20"/>
                        </w:rPr>
                      </w:pPr>
                    </w:p>
                    <w:p w14:paraId="79DFF101" w14:textId="77777777" w:rsidR="009108B8" w:rsidRPr="001A4702" w:rsidRDefault="009108B8" w:rsidP="001B7BCC">
                      <w:pPr>
                        <w:rPr>
                          <w:rFonts w:ascii="Arial" w:hAnsi="Arial" w:cs="Arial"/>
                          <w:b/>
                          <w:iCs/>
                          <w:color w:val="1F497D"/>
                          <w:sz w:val="20"/>
                          <w:szCs w:val="20"/>
                        </w:rPr>
                      </w:pPr>
                      <w:r w:rsidRPr="001A4702">
                        <w:rPr>
                          <w:rFonts w:ascii="Arial" w:hAnsi="Arial" w:cs="Arial"/>
                          <w:b/>
                          <w:iCs/>
                          <w:color w:val="1F497D"/>
                          <w:sz w:val="20"/>
                          <w:szCs w:val="20"/>
                        </w:rPr>
                        <w:t>Allocations</w:t>
                      </w:r>
                    </w:p>
                    <w:p w14:paraId="1F2DABA0" w14:textId="77777777" w:rsidR="009108B8" w:rsidRPr="001A4702" w:rsidRDefault="009108B8" w:rsidP="001B7BCC">
                      <w:pPr>
                        <w:rPr>
                          <w:rFonts w:ascii="Arial" w:hAnsi="Arial" w:cs="Arial"/>
                          <w:iCs/>
                          <w:color w:val="1F497D"/>
                          <w:sz w:val="20"/>
                          <w:szCs w:val="20"/>
                        </w:rPr>
                      </w:pPr>
                      <w:r w:rsidRPr="001A4702">
                        <w:rPr>
                          <w:rFonts w:ascii="Arial" w:hAnsi="Arial" w:cs="Arial"/>
                          <w:iCs/>
                          <w:color w:val="1F497D"/>
                          <w:sz w:val="20"/>
                          <w:szCs w:val="20"/>
                        </w:rPr>
                        <w:t>A division of the overall ACL among sectors (e.g</w:t>
                      </w:r>
                      <w:r>
                        <w:rPr>
                          <w:rFonts w:ascii="Arial" w:hAnsi="Arial" w:cs="Arial"/>
                          <w:iCs/>
                          <w:color w:val="1F497D"/>
                          <w:sz w:val="20"/>
                          <w:szCs w:val="20"/>
                        </w:rPr>
                        <w:t>.</w:t>
                      </w:r>
                      <w:r w:rsidRPr="001A4702">
                        <w:rPr>
                          <w:rFonts w:ascii="Arial" w:hAnsi="Arial" w:cs="Arial"/>
                          <w:iCs/>
                          <w:color w:val="1F497D"/>
                          <w:sz w:val="20"/>
                          <w:szCs w:val="20"/>
                        </w:rPr>
                        <w:t>, recreational and commercial) to create sector ACLs.</w:t>
                      </w:r>
                    </w:p>
                    <w:p w14:paraId="361DE122" w14:textId="77777777" w:rsidR="009108B8" w:rsidRPr="001A4702" w:rsidRDefault="009108B8" w:rsidP="001B7BCC">
                      <w:pPr>
                        <w:rPr>
                          <w:rFonts w:ascii="Arial" w:hAnsi="Arial" w:cs="Arial"/>
                          <w:iCs/>
                          <w:color w:val="1F497D"/>
                          <w:sz w:val="20"/>
                          <w:szCs w:val="20"/>
                        </w:rPr>
                      </w:pPr>
                    </w:p>
                    <w:p w14:paraId="33529E2F" w14:textId="77777777" w:rsidR="009108B8" w:rsidRPr="001A4702" w:rsidRDefault="009108B8" w:rsidP="001B7BCC">
                      <w:pPr>
                        <w:rPr>
                          <w:rFonts w:ascii="Arial" w:hAnsi="Arial" w:cs="Arial"/>
                          <w:b/>
                          <w:iCs/>
                          <w:color w:val="1F497D"/>
                          <w:sz w:val="20"/>
                          <w:szCs w:val="20"/>
                        </w:rPr>
                      </w:pPr>
                      <w:r w:rsidRPr="001A4702">
                        <w:rPr>
                          <w:rFonts w:ascii="Arial" w:hAnsi="Arial" w:cs="Arial"/>
                          <w:b/>
                          <w:iCs/>
                          <w:color w:val="1F497D"/>
                          <w:sz w:val="20"/>
                          <w:szCs w:val="20"/>
                        </w:rPr>
                        <w:t>Maximum Sustainable Yield</w:t>
                      </w:r>
                      <w:r>
                        <w:rPr>
                          <w:rFonts w:ascii="Arial" w:hAnsi="Arial" w:cs="Arial"/>
                          <w:b/>
                          <w:iCs/>
                          <w:color w:val="1F497D"/>
                          <w:sz w:val="20"/>
                          <w:szCs w:val="20"/>
                        </w:rPr>
                        <w:t xml:space="preserve"> (MSY)</w:t>
                      </w:r>
                    </w:p>
                    <w:p w14:paraId="038B39D5" w14:textId="77777777" w:rsidR="009108B8" w:rsidRPr="001A4702" w:rsidRDefault="009108B8" w:rsidP="001B7BCC">
                      <w:pPr>
                        <w:rPr>
                          <w:rFonts w:ascii="Arial" w:hAnsi="Arial" w:cs="Arial"/>
                          <w:iCs/>
                          <w:color w:val="1F497D"/>
                          <w:sz w:val="20"/>
                          <w:szCs w:val="20"/>
                        </w:rPr>
                      </w:pPr>
                      <w:r w:rsidRPr="001A4702">
                        <w:rPr>
                          <w:rFonts w:ascii="Arial" w:hAnsi="Arial" w:cs="Arial"/>
                          <w:iCs/>
                          <w:color w:val="1F497D"/>
                          <w:sz w:val="20"/>
                          <w:szCs w:val="20"/>
                        </w:rPr>
                        <w:t>Largest long-term average catch or yield that can be taken from a stock or stock complex under prevailing ecological and environmental conditions.</w:t>
                      </w:r>
                    </w:p>
                    <w:p w14:paraId="0F36622B" w14:textId="77777777" w:rsidR="009108B8" w:rsidRPr="001A4702" w:rsidRDefault="009108B8" w:rsidP="001B7BCC">
                      <w:pPr>
                        <w:rPr>
                          <w:rFonts w:ascii="Arial" w:hAnsi="Arial" w:cs="Arial"/>
                          <w:iCs/>
                          <w:color w:val="1F497D"/>
                          <w:sz w:val="20"/>
                          <w:szCs w:val="20"/>
                        </w:rPr>
                      </w:pPr>
                    </w:p>
                    <w:p w14:paraId="3460D188" w14:textId="77777777" w:rsidR="009108B8" w:rsidRPr="001A4702" w:rsidRDefault="009108B8" w:rsidP="001B7BCC">
                      <w:pPr>
                        <w:rPr>
                          <w:rFonts w:ascii="Arial" w:hAnsi="Arial" w:cs="Arial"/>
                          <w:b/>
                          <w:iCs/>
                          <w:color w:val="1F497D"/>
                          <w:sz w:val="20"/>
                          <w:szCs w:val="20"/>
                        </w:rPr>
                      </w:pPr>
                      <w:r w:rsidRPr="001A4702">
                        <w:rPr>
                          <w:rFonts w:ascii="Arial" w:hAnsi="Arial" w:cs="Arial"/>
                          <w:b/>
                          <w:iCs/>
                          <w:color w:val="1F497D"/>
                          <w:sz w:val="20"/>
                          <w:szCs w:val="20"/>
                        </w:rPr>
                        <w:t>Optimum Yield</w:t>
                      </w:r>
                      <w:r>
                        <w:rPr>
                          <w:rFonts w:ascii="Arial" w:hAnsi="Arial" w:cs="Arial"/>
                          <w:b/>
                          <w:iCs/>
                          <w:color w:val="1F497D"/>
                          <w:sz w:val="20"/>
                          <w:szCs w:val="20"/>
                        </w:rPr>
                        <w:t xml:space="preserve"> (OY)</w:t>
                      </w:r>
                    </w:p>
                    <w:p w14:paraId="015313F2" w14:textId="77777777" w:rsidR="009108B8" w:rsidRPr="001A4702" w:rsidRDefault="009108B8" w:rsidP="001B7BCC">
                      <w:pPr>
                        <w:rPr>
                          <w:rFonts w:ascii="Arial" w:hAnsi="Arial" w:cs="Arial"/>
                          <w:iCs/>
                          <w:color w:val="1F497D"/>
                          <w:sz w:val="20"/>
                          <w:szCs w:val="20"/>
                        </w:rPr>
                      </w:pPr>
                      <w:r w:rsidRPr="001A4702">
                        <w:rPr>
                          <w:rFonts w:ascii="Arial" w:hAnsi="Arial" w:cs="Arial"/>
                          <w:iCs/>
                          <w:color w:val="1F497D"/>
                          <w:sz w:val="20"/>
                          <w:szCs w:val="20"/>
                        </w:rPr>
                        <w:t>The amount of catch that will provide the greatest overall benefit to the nation, particularly with respect to food production and recreational opportunities and taking into account the protection of marine ecosystems.</w:t>
                      </w:r>
                    </w:p>
                    <w:p w14:paraId="6B30CD9B" w14:textId="77777777" w:rsidR="009108B8" w:rsidRPr="001A4702" w:rsidRDefault="009108B8" w:rsidP="001B7BCC">
                      <w:pPr>
                        <w:rPr>
                          <w:rFonts w:ascii="Arial" w:hAnsi="Arial" w:cs="Arial"/>
                          <w:iCs/>
                          <w:color w:val="1F497D"/>
                          <w:sz w:val="20"/>
                          <w:szCs w:val="20"/>
                        </w:rPr>
                      </w:pPr>
                    </w:p>
                    <w:p w14:paraId="4A4C90F8" w14:textId="77777777" w:rsidR="009108B8" w:rsidRPr="001A4702" w:rsidRDefault="009108B8" w:rsidP="001B7BCC">
                      <w:pPr>
                        <w:rPr>
                          <w:rFonts w:ascii="Arial" w:hAnsi="Arial" w:cs="Arial"/>
                          <w:b/>
                          <w:iCs/>
                          <w:color w:val="1F497D"/>
                          <w:sz w:val="20"/>
                          <w:szCs w:val="20"/>
                        </w:rPr>
                      </w:pPr>
                      <w:r w:rsidRPr="001A4702">
                        <w:rPr>
                          <w:rFonts w:ascii="Arial" w:hAnsi="Arial" w:cs="Arial"/>
                          <w:b/>
                          <w:iCs/>
                          <w:color w:val="1F497D"/>
                          <w:sz w:val="20"/>
                          <w:szCs w:val="20"/>
                        </w:rPr>
                        <w:t>Minimum Stock Size Threshold</w:t>
                      </w:r>
                      <w:r>
                        <w:rPr>
                          <w:rFonts w:ascii="Arial" w:hAnsi="Arial" w:cs="Arial"/>
                          <w:b/>
                          <w:iCs/>
                          <w:color w:val="1F497D"/>
                          <w:sz w:val="20"/>
                          <w:szCs w:val="20"/>
                        </w:rPr>
                        <w:t xml:space="preserve"> (MSST)</w:t>
                      </w:r>
                    </w:p>
                    <w:p w14:paraId="7662616B" w14:textId="77777777" w:rsidR="009108B8" w:rsidRPr="00B8746A" w:rsidRDefault="009108B8" w:rsidP="001B7BCC">
                      <w:pPr>
                        <w:rPr>
                          <w:rFonts w:ascii="Arial" w:hAnsi="Arial" w:cs="Arial"/>
                          <w:iCs/>
                          <w:color w:val="1F497D"/>
                          <w:sz w:val="20"/>
                          <w:szCs w:val="20"/>
                        </w:rPr>
                      </w:pPr>
                      <w:r w:rsidRPr="001A4702">
                        <w:rPr>
                          <w:rFonts w:ascii="Arial" w:hAnsi="Arial" w:cs="Arial"/>
                          <w:iCs/>
                          <w:color w:val="1F497D"/>
                          <w:sz w:val="20"/>
                          <w:szCs w:val="20"/>
                        </w:rPr>
                        <w:t>A status determination criterion.  If current stock size is below</w:t>
                      </w:r>
                      <w:r>
                        <w:rPr>
                          <w:rFonts w:ascii="Arial" w:hAnsi="Arial" w:cs="Arial"/>
                          <w:iCs/>
                          <w:color w:val="1F497D"/>
                          <w:sz w:val="20"/>
                          <w:szCs w:val="20"/>
                        </w:rPr>
                        <w:t xml:space="preserve"> </w:t>
                      </w:r>
                      <w:r w:rsidRPr="001A4702">
                        <w:rPr>
                          <w:rFonts w:ascii="Arial" w:hAnsi="Arial" w:cs="Arial"/>
                          <w:iCs/>
                          <w:color w:val="1F497D"/>
                          <w:sz w:val="20"/>
                          <w:szCs w:val="20"/>
                        </w:rPr>
                        <w:t>MSST, the stock is overfished.</w:t>
                      </w:r>
                    </w:p>
                    <w:p w14:paraId="37403238" w14:textId="77777777" w:rsidR="009108B8" w:rsidRDefault="009108B8" w:rsidP="001B7BCC">
                      <w:pPr>
                        <w:rPr>
                          <w:rFonts w:ascii="Arial" w:hAnsi="Arial" w:cs="Arial"/>
                          <w:iCs/>
                          <w:color w:val="1F497D"/>
                        </w:rPr>
                      </w:pPr>
                    </w:p>
                    <w:p w14:paraId="34D35AFF" w14:textId="77777777" w:rsidR="009108B8" w:rsidRDefault="009108B8" w:rsidP="001B7BCC">
                      <w:pPr>
                        <w:rPr>
                          <w:rFonts w:ascii="Arial" w:hAnsi="Arial" w:cs="Arial"/>
                          <w:iCs/>
                          <w:color w:val="1F497D"/>
                        </w:rPr>
                      </w:pPr>
                    </w:p>
                    <w:p w14:paraId="2B56BB82" w14:textId="77777777" w:rsidR="009108B8" w:rsidRDefault="009108B8" w:rsidP="001B7BCC">
                      <w:pPr>
                        <w:rPr>
                          <w:rFonts w:ascii="Arial" w:hAnsi="Arial" w:cs="Arial"/>
                          <w:iCs/>
                          <w:color w:val="1F497D"/>
                        </w:rPr>
                      </w:pPr>
                    </w:p>
                    <w:p w14:paraId="39644005" w14:textId="77777777" w:rsidR="009108B8" w:rsidRPr="00B74CCB" w:rsidRDefault="009108B8" w:rsidP="001B7BCC">
                      <w:pPr>
                        <w:rPr>
                          <w:rFonts w:ascii="Arial" w:hAnsi="Arial" w:cs="Arial"/>
                          <w:iCs/>
                          <w:color w:val="1F497D"/>
                        </w:rPr>
                      </w:pPr>
                    </w:p>
                  </w:txbxContent>
                </v:textbox>
                <w10:wrap type="tight"/>
              </v:shape>
            </w:pict>
          </mc:Fallback>
        </mc:AlternateContent>
      </w:r>
    </w:p>
    <w:p w14:paraId="0F4549A7" w14:textId="700DAFE2" w:rsidR="001B7BCC" w:rsidRDefault="001B7BCC" w:rsidP="001B7BCC">
      <w:pPr>
        <w:autoSpaceDE w:val="0"/>
        <w:autoSpaceDN w:val="0"/>
        <w:adjustRightInd w:val="0"/>
        <w:ind w:firstLine="360"/>
      </w:pPr>
      <w:r>
        <w:t xml:space="preserve">A reauthorization of the Magnuson-Stevens Fishery Conservation and Management Act (Magnuson-Stevens Act) in 2007 required implementation of new tools to end and prevent overfishing to achieve the </w:t>
      </w:r>
      <w:r w:rsidR="00427877">
        <w:t>optimum yield (</w:t>
      </w:r>
      <w:r>
        <w:t>OY</w:t>
      </w:r>
      <w:r w:rsidR="00427877">
        <w:t>)</w:t>
      </w:r>
      <w:r>
        <w:t xml:space="preserve"> from a fishery.  The tools are </w:t>
      </w:r>
      <w:r w:rsidR="00427877">
        <w:t>annual catch limits (</w:t>
      </w:r>
      <w:r>
        <w:t>ACLs</w:t>
      </w:r>
      <w:r w:rsidR="00427877">
        <w:t>)</w:t>
      </w:r>
      <w:r>
        <w:t xml:space="preserve"> and accountability measures (AMs).  An ACL is the level of annual catch of a stock that, if met or exceeded, triggers some corrective action.  The AMs are the corrective action, and they are management controls to prevent ACLs from being exceeded and to correct overages of ACLs if they occur.  Two examples of AMs include an in-season closure if catch is projected to reach the ACL and reducing the ACL by an overage that occurred the previous fishing year.  Amendmen</w:t>
      </w:r>
      <w:r w:rsidR="00667CDC">
        <w:t>t 41</w:t>
      </w:r>
      <w:r>
        <w:t xml:space="preserve"> includes alternatives that would revise the current ACLs for </w:t>
      </w:r>
      <w:r w:rsidR="00667CDC">
        <w:t>mutton snapper</w:t>
      </w:r>
      <w:r>
        <w:t xml:space="preserve">. </w:t>
      </w:r>
      <w:bookmarkStart w:id="48" w:name="_Toc185405852"/>
      <w:bookmarkStart w:id="49" w:name="_Toc276982884"/>
      <w:r w:rsidR="009A7C7B">
        <w:t xml:space="preserve"> </w:t>
      </w:r>
      <w:r w:rsidR="009A7C7B" w:rsidRPr="004A059D">
        <w:t xml:space="preserve">The South Atlantic Council </w:t>
      </w:r>
      <w:r w:rsidR="009A7C7B">
        <w:t>took</w:t>
      </w:r>
      <w:r w:rsidR="009A7C7B" w:rsidRPr="004A059D">
        <w:t xml:space="preserve"> action in </w:t>
      </w:r>
      <w:r w:rsidR="009A7C7B">
        <w:t>Amendment 34 to the Snapper Grouper FMP (SAFMC 2015)</w:t>
      </w:r>
      <w:r w:rsidR="009A7C7B" w:rsidRPr="004A059D">
        <w:t xml:space="preserve"> </w:t>
      </w:r>
      <w:r w:rsidR="009A7C7B">
        <w:t xml:space="preserve">to </w:t>
      </w:r>
      <w:r w:rsidR="009A7C7B" w:rsidRPr="004A059D">
        <w:t>enhance the effectivenes</w:t>
      </w:r>
      <w:r w:rsidR="009A7C7B">
        <w:t xml:space="preserve">s </w:t>
      </w:r>
      <w:r w:rsidR="009A7C7B" w:rsidRPr="004A059D">
        <w:t>of the AM</w:t>
      </w:r>
      <w:r w:rsidR="009A7C7B">
        <w:t>s</w:t>
      </w:r>
      <w:r w:rsidR="009A7C7B" w:rsidRPr="004A059D">
        <w:t xml:space="preserve"> for </w:t>
      </w:r>
      <w:r w:rsidR="009A7C7B">
        <w:t>mutton snapper</w:t>
      </w:r>
      <w:r w:rsidR="009A7C7B" w:rsidRPr="004A059D">
        <w:t>.</w:t>
      </w:r>
    </w:p>
    <w:p w14:paraId="2E59D276" w14:textId="77777777" w:rsidR="00667CDC" w:rsidRDefault="00667CDC" w:rsidP="001B7BCC">
      <w:pPr>
        <w:autoSpaceDE w:val="0"/>
        <w:autoSpaceDN w:val="0"/>
        <w:adjustRightInd w:val="0"/>
        <w:ind w:firstLine="360"/>
      </w:pPr>
    </w:p>
    <w:p w14:paraId="702757DE" w14:textId="761A5869" w:rsidR="001B7BCC" w:rsidRPr="00667CDC" w:rsidRDefault="001B7BCC" w:rsidP="00667CDC">
      <w:pPr>
        <w:rPr>
          <w:rFonts w:ascii="Arial" w:hAnsi="Arial" w:cs="Arial"/>
          <w:b/>
          <w:sz w:val="28"/>
          <w:szCs w:val="28"/>
        </w:rPr>
      </w:pPr>
      <w:bookmarkStart w:id="50" w:name="_Toc447717368"/>
      <w:r w:rsidRPr="00667CDC">
        <w:rPr>
          <w:rFonts w:ascii="Arial" w:hAnsi="Arial" w:cs="Arial"/>
          <w:b/>
          <w:sz w:val="28"/>
          <w:szCs w:val="28"/>
        </w:rPr>
        <w:t>Ho</w:t>
      </w:r>
      <w:r w:rsidR="003A1241">
        <w:rPr>
          <w:rFonts w:ascii="Arial" w:hAnsi="Arial" w:cs="Arial"/>
          <w:b/>
          <w:sz w:val="28"/>
          <w:szCs w:val="28"/>
        </w:rPr>
        <w:t>w does the South Atlantic Council determine the annual catch l</w:t>
      </w:r>
      <w:r w:rsidRPr="00667CDC">
        <w:rPr>
          <w:rFonts w:ascii="Arial" w:hAnsi="Arial" w:cs="Arial"/>
          <w:b/>
          <w:sz w:val="28"/>
          <w:szCs w:val="28"/>
        </w:rPr>
        <w:t>imits?</w:t>
      </w:r>
      <w:bookmarkEnd w:id="48"/>
      <w:bookmarkEnd w:id="49"/>
      <w:bookmarkEnd w:id="50"/>
    </w:p>
    <w:p w14:paraId="3062D570" w14:textId="77777777" w:rsidR="001B7BCC" w:rsidRPr="00D915BE" w:rsidRDefault="001B7BCC" w:rsidP="001B7BCC">
      <w:pPr>
        <w:autoSpaceDE w:val="0"/>
        <w:autoSpaceDN w:val="0"/>
        <w:adjustRightInd w:val="0"/>
      </w:pPr>
    </w:p>
    <w:p w14:paraId="5AA2F1D8" w14:textId="5A15A4BE" w:rsidR="001B7BCC" w:rsidRDefault="001B7BCC" w:rsidP="001B7BCC">
      <w:pPr>
        <w:ind w:firstLine="360"/>
      </w:pPr>
      <w:r>
        <w:t xml:space="preserve">ACLs are derived from the overfishing limit (OFL) and the </w:t>
      </w:r>
      <w:r w:rsidR="00427877">
        <w:t>acceptable biological catch (</w:t>
      </w:r>
      <w:r>
        <w:t>ABC</w:t>
      </w:r>
      <w:r w:rsidR="00427877">
        <w:t>)</w:t>
      </w:r>
      <w:r>
        <w:t xml:space="preserve"> </w:t>
      </w:r>
      <w:r>
        <w:rPr>
          <w:b/>
        </w:rPr>
        <w:t>(F</w:t>
      </w:r>
      <w:r w:rsidR="00667CDC">
        <w:rPr>
          <w:b/>
        </w:rPr>
        <w:t>igure 1.5</w:t>
      </w:r>
      <w:r>
        <w:rPr>
          <w:b/>
        </w:rPr>
        <w:t>.1</w:t>
      </w:r>
      <w:r w:rsidRPr="00590C74">
        <w:rPr>
          <w:b/>
        </w:rPr>
        <w:t>)</w:t>
      </w:r>
      <w:r>
        <w:t>.</w:t>
      </w:r>
      <w:r w:rsidRPr="00D915BE">
        <w:t xml:space="preserve">  </w:t>
      </w:r>
      <w:r>
        <w:t xml:space="preserve">The South Atlantic </w:t>
      </w:r>
      <w:r w:rsidRPr="00D915BE">
        <w:t xml:space="preserve">Council’s </w:t>
      </w:r>
      <w:r>
        <w:t>S</w:t>
      </w:r>
      <w:r w:rsidR="00427877">
        <w:t xml:space="preserve">cientific and </w:t>
      </w:r>
      <w:r>
        <w:t>S</w:t>
      </w:r>
      <w:r w:rsidR="00427877">
        <w:t xml:space="preserve">tatistical </w:t>
      </w:r>
      <w:r>
        <w:t>C</w:t>
      </w:r>
      <w:r w:rsidR="00427877">
        <w:t>ommittee (SSC)</w:t>
      </w:r>
      <w:r>
        <w:t xml:space="preserve"> determines the OFL from the stock assessment and the ABC (based on the South Atlantic Council/SSC’s ABC control rule), and recommends those to the South Atlantic Council.  </w:t>
      </w:r>
      <w:r w:rsidRPr="00D915BE">
        <w:t>The OFL is an estimate of the catch level above which overfishing is occurring.  The ABC is defined as the level of a stock or stock complex’s annual catch that accounts for the scientific uncertainty in the estimate of OFL</w:t>
      </w:r>
      <w:r w:rsidRPr="00563B52">
        <w:t xml:space="preserve"> a</w:t>
      </w:r>
      <w:r w:rsidRPr="00C016C6">
        <w:t>n</w:t>
      </w:r>
      <w:r w:rsidRPr="00D915BE">
        <w:t xml:space="preserve">d any other scientific uncertainty.  </w:t>
      </w:r>
    </w:p>
    <w:p w14:paraId="3824C23D" w14:textId="77777777" w:rsidR="001B7BCC" w:rsidRPr="00590C74" w:rsidRDefault="001B7BCC" w:rsidP="001B7BCC"/>
    <w:p w14:paraId="753C5EAC" w14:textId="77777777" w:rsidR="001B7BCC" w:rsidRDefault="001B7BCC" w:rsidP="001B7BCC">
      <w:pPr>
        <w:rPr>
          <w:rFonts w:ascii="Arial" w:hAnsi="Arial" w:cs="Arial"/>
          <w:b/>
          <w:sz w:val="20"/>
          <w:szCs w:val="20"/>
        </w:rPr>
      </w:pPr>
      <w:r>
        <w:rPr>
          <w:noProof/>
        </w:rPr>
        <w:lastRenderedPageBreak/>
        <w:drawing>
          <wp:inline distT="0" distB="0" distL="0" distR="0" wp14:anchorId="6A9DEC20" wp14:editId="47787672">
            <wp:extent cx="2324100" cy="25241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100" cy="2524125"/>
                    </a:xfrm>
                    <a:prstGeom prst="rect">
                      <a:avLst/>
                    </a:prstGeom>
                    <a:noFill/>
                    <a:ln>
                      <a:noFill/>
                    </a:ln>
                  </pic:spPr>
                </pic:pic>
              </a:graphicData>
            </a:graphic>
          </wp:inline>
        </w:drawing>
      </w:r>
    </w:p>
    <w:p w14:paraId="2808D563" w14:textId="65FBD77F" w:rsidR="001B7BCC" w:rsidRPr="00EF2599" w:rsidRDefault="00667CDC" w:rsidP="001B7BCC">
      <w:pPr>
        <w:pStyle w:val="Figuretitle"/>
        <w:rPr>
          <w:rFonts w:ascii="Arial" w:hAnsi="Arial" w:cs="Arial"/>
          <w:sz w:val="20"/>
          <w:szCs w:val="20"/>
        </w:rPr>
      </w:pPr>
      <w:bookmarkStart w:id="51" w:name="_Toc185402568"/>
      <w:bookmarkStart w:id="52" w:name="_Toc276983382"/>
      <w:bookmarkStart w:id="53" w:name="_Toc447717638"/>
      <w:bookmarkStart w:id="54" w:name="_Toc340431592"/>
      <w:r>
        <w:rPr>
          <w:rFonts w:ascii="Arial" w:hAnsi="Arial" w:cs="Arial"/>
          <w:b/>
          <w:sz w:val="20"/>
          <w:szCs w:val="20"/>
        </w:rPr>
        <w:t>Figure 1.5</w:t>
      </w:r>
      <w:r w:rsidR="001B7BCC">
        <w:rPr>
          <w:rFonts w:ascii="Arial" w:hAnsi="Arial" w:cs="Arial"/>
          <w:b/>
          <w:sz w:val="20"/>
          <w:szCs w:val="20"/>
        </w:rPr>
        <w:t>.1</w:t>
      </w:r>
      <w:r w:rsidR="001B7BCC" w:rsidRPr="00EF2599">
        <w:rPr>
          <w:rFonts w:ascii="Arial" w:hAnsi="Arial" w:cs="Arial"/>
          <w:b/>
          <w:sz w:val="20"/>
          <w:szCs w:val="20"/>
        </w:rPr>
        <w:t>.</w:t>
      </w:r>
      <w:r w:rsidR="001B7BCC" w:rsidRPr="00EF2599">
        <w:rPr>
          <w:rFonts w:ascii="Arial" w:hAnsi="Arial" w:cs="Arial"/>
          <w:sz w:val="20"/>
          <w:szCs w:val="20"/>
        </w:rPr>
        <w:t xml:space="preserve">  </w:t>
      </w:r>
      <w:r w:rsidR="001B7BCC">
        <w:rPr>
          <w:rFonts w:ascii="Arial" w:hAnsi="Arial" w:cs="Arial"/>
          <w:sz w:val="20"/>
          <w:szCs w:val="20"/>
        </w:rPr>
        <w:t>The relationship of the reference points to each other.</w:t>
      </w:r>
      <w:bookmarkEnd w:id="51"/>
      <w:bookmarkEnd w:id="52"/>
      <w:bookmarkEnd w:id="53"/>
      <w:bookmarkEnd w:id="54"/>
    </w:p>
    <w:p w14:paraId="11713EBF" w14:textId="77777777" w:rsidR="001B7BCC" w:rsidRDefault="001B7BCC" w:rsidP="00667CDC"/>
    <w:p w14:paraId="515AB564" w14:textId="644F79C6" w:rsidR="009A7C7B" w:rsidRDefault="00234105" w:rsidP="009A7C7B">
      <w:pPr>
        <w:ind w:firstLine="360"/>
      </w:pPr>
      <w:r>
        <w:t xml:space="preserve">The Magnuson-Stevens Act National Standard 1 (NS 1) guidelines </w:t>
      </w:r>
      <w:r w:rsidRPr="00DC5169">
        <w:t>establish the relationship between conservation and management measures, preventing overfishing, and achieving OY from each stock, stock complex</w:t>
      </w:r>
      <w:r>
        <w:t>,</w:t>
      </w:r>
      <w:r w:rsidRPr="00DC5169">
        <w:t xml:space="preserve"> or fishery. </w:t>
      </w:r>
      <w:r>
        <w:t xml:space="preserve"> </w:t>
      </w:r>
      <w:r w:rsidRPr="00DC5169">
        <w:t>The NS</w:t>
      </w:r>
      <w:r w:rsidR="00427877">
        <w:t xml:space="preserve"> </w:t>
      </w:r>
      <w:r w:rsidRPr="00DC5169">
        <w:t xml:space="preserve">1 guidelines discuss the relationship of </w:t>
      </w:r>
      <w:r>
        <w:t xml:space="preserve">the </w:t>
      </w:r>
      <w:r w:rsidRPr="00DC5169">
        <w:t xml:space="preserve">OFL to </w:t>
      </w:r>
      <w:r>
        <w:t xml:space="preserve">the </w:t>
      </w:r>
      <w:r w:rsidR="00427877">
        <w:t>maximum sustainable yield (</w:t>
      </w:r>
      <w:r>
        <w:t>MSY</w:t>
      </w:r>
      <w:r w:rsidR="00427877">
        <w:t>)</w:t>
      </w:r>
      <w:r>
        <w:t xml:space="preserve"> </w:t>
      </w:r>
      <w:r w:rsidRPr="00DC5169">
        <w:t xml:space="preserve">and ACL to OY. </w:t>
      </w:r>
      <w:r>
        <w:t xml:space="preserve"> </w:t>
      </w:r>
      <w:r w:rsidRPr="00DC5169">
        <w:t xml:space="preserve">The OFL is an annual amount of catch that corresponds to the estimate of </w:t>
      </w:r>
      <w:r>
        <w:t xml:space="preserve">maximum fishing mortality threshold </w:t>
      </w:r>
      <w:r w:rsidRPr="00DC5169">
        <w:t xml:space="preserve">applied to a stock; MSY is the long-term average of such catches. </w:t>
      </w:r>
      <w:r>
        <w:t xml:space="preserve"> </w:t>
      </w:r>
      <w:r w:rsidRPr="00DC5169">
        <w:t xml:space="preserve">The ACL </w:t>
      </w:r>
      <w:r>
        <w:t>is</w:t>
      </w:r>
      <w:r w:rsidRPr="00DC5169">
        <w:t xml:space="preserve"> the limit that triggers AMs</w:t>
      </w:r>
      <w:r>
        <w:t xml:space="preserve"> and is</w:t>
      </w:r>
      <w:r w:rsidRPr="00DC5169">
        <w:t xml:space="preserve"> the management target for </w:t>
      </w:r>
      <w:r>
        <w:t>the species</w:t>
      </w:r>
      <w:r w:rsidRPr="00DC5169">
        <w:t>.</w:t>
      </w:r>
      <w:r>
        <w:t xml:space="preserve">  </w:t>
      </w:r>
      <w:r w:rsidRPr="00DC5169">
        <w:t xml:space="preserve">Management measures for a fishery should, on an annual basis, prevent the ACL from being exceeded. </w:t>
      </w:r>
      <w:r>
        <w:t xml:space="preserve"> </w:t>
      </w:r>
      <w:r w:rsidRPr="00DC5169">
        <w:t>The long-term objective is to achieve OY through annual achievement of an ACL.</w:t>
      </w:r>
      <w:r>
        <w:t xml:space="preserve"> </w:t>
      </w:r>
      <w:r w:rsidRPr="00DC5169">
        <w:t xml:space="preserve"> The NS</w:t>
      </w:r>
      <w:r w:rsidR="00427877">
        <w:t xml:space="preserve"> </w:t>
      </w:r>
      <w:r w:rsidRPr="00DC5169">
        <w:t>1 guidelines state that if OY is set close to MSY, the conservation and management measures in the fishery must have very good control of the amount of catch to achieve the OY without overfishing.</w:t>
      </w:r>
      <w:r w:rsidR="00792AC4">
        <w:t xml:space="preserve">  </w:t>
      </w:r>
    </w:p>
    <w:p w14:paraId="7790EC84" w14:textId="77777777" w:rsidR="009A7C7B" w:rsidRDefault="009A7C7B" w:rsidP="009A7C7B">
      <w:pPr>
        <w:ind w:firstLine="360"/>
      </w:pPr>
    </w:p>
    <w:p w14:paraId="23A69C8B" w14:textId="60CF9DBE" w:rsidR="009A7C7B" w:rsidRPr="00BC3C29" w:rsidRDefault="009A7C7B" w:rsidP="009A7C7B">
      <w:pPr>
        <w:ind w:firstLine="360"/>
      </w:pPr>
      <w:r w:rsidRPr="00BC3C29">
        <w:t xml:space="preserve">The updated framework procedure included in Amendment 17B </w:t>
      </w:r>
      <w:r>
        <w:t xml:space="preserve">to the Snapper Grouper FMP (SAFMC 2010b) </w:t>
      </w:r>
      <w:r w:rsidRPr="00BC3C29">
        <w:t xml:space="preserve">allows for the timely establishment and adjustment of </w:t>
      </w:r>
      <w:r>
        <w:t xml:space="preserve">ACLs </w:t>
      </w:r>
      <w:r w:rsidRPr="00BC3C29">
        <w:t xml:space="preserve">if the </w:t>
      </w:r>
      <w:r>
        <w:t xml:space="preserve">South Atlantic </w:t>
      </w:r>
      <w:r w:rsidRPr="00BC3C29">
        <w:t xml:space="preserve">Council and </w:t>
      </w:r>
      <w:r>
        <w:t>the National Marine Fisheries Service</w:t>
      </w:r>
      <w:r w:rsidRPr="00BC3C29">
        <w:fldChar w:fldCharType="begin"/>
      </w:r>
      <w:r w:rsidRPr="00BC3C29">
        <w:instrText xml:space="preserve"> XE "Fisheries" </w:instrText>
      </w:r>
      <w:r w:rsidRPr="00BC3C29">
        <w:fldChar w:fldCharType="end"/>
      </w:r>
      <w:r>
        <w:t xml:space="preserve"> determine they are necessary.</w:t>
      </w:r>
    </w:p>
    <w:p w14:paraId="49D04534" w14:textId="77777777" w:rsidR="009A7C7B" w:rsidRPr="00BC3C29" w:rsidRDefault="009A7C7B" w:rsidP="009A7C7B"/>
    <w:p w14:paraId="55FBCB62" w14:textId="0C81FC5D" w:rsidR="009A7C7B" w:rsidRPr="00BC3C29" w:rsidRDefault="009A7C7B" w:rsidP="009A7C7B">
      <w:pPr>
        <w:ind w:firstLine="360"/>
      </w:pPr>
      <w:r>
        <w:t>The NS</w:t>
      </w:r>
      <w:r w:rsidR="00427877">
        <w:t xml:space="preserve"> </w:t>
      </w:r>
      <w:r w:rsidRPr="00BC3C29">
        <w:t xml:space="preserve">1 guidelines recommend a performance standard by which the efficacy of any system of ACLs and AMs can be measured and evaluated.  According to the guidelines: </w:t>
      </w:r>
    </w:p>
    <w:p w14:paraId="37B6533B" w14:textId="77777777" w:rsidR="009A7C7B" w:rsidRPr="00BC3C29" w:rsidRDefault="009A7C7B" w:rsidP="009A7C7B"/>
    <w:p w14:paraId="68A3D619" w14:textId="77777777" w:rsidR="009A7C7B" w:rsidRPr="00BC3C29" w:rsidRDefault="009A7C7B" w:rsidP="009A7C7B">
      <w:pPr>
        <w:rPr>
          <w:i/>
        </w:rPr>
      </w:pPr>
      <w:r w:rsidRPr="00BC3C29">
        <w:rPr>
          <w:i/>
        </w:rPr>
        <w:tab/>
        <w:t xml:space="preserve">…if catch exceeds the ACL for a </w:t>
      </w:r>
      <w:r>
        <w:rPr>
          <w:i/>
        </w:rPr>
        <w:t>given stock or stock complex more</w:t>
      </w:r>
      <w:r w:rsidRPr="00BC3C29">
        <w:rPr>
          <w:i/>
        </w:rPr>
        <w:t xml:space="preserve"> than </w:t>
      </w:r>
    </w:p>
    <w:p w14:paraId="70596AD9" w14:textId="77777777" w:rsidR="009A7C7B" w:rsidRPr="00BC3C29" w:rsidRDefault="009A7C7B" w:rsidP="009A7C7B">
      <w:pPr>
        <w:rPr>
          <w:i/>
        </w:rPr>
      </w:pPr>
      <w:r w:rsidRPr="00BC3C29">
        <w:rPr>
          <w:i/>
        </w:rPr>
        <w:tab/>
        <w:t xml:space="preserve">once in the last four years, the system of ACLs and AMs should be </w:t>
      </w:r>
    </w:p>
    <w:p w14:paraId="31650B02" w14:textId="77777777" w:rsidR="009A7C7B" w:rsidRPr="00BC3C29" w:rsidRDefault="009A7C7B" w:rsidP="009A7C7B">
      <w:pPr>
        <w:rPr>
          <w:i/>
        </w:rPr>
      </w:pPr>
      <w:r w:rsidRPr="00BC3C29">
        <w:rPr>
          <w:i/>
        </w:rPr>
        <w:tab/>
        <w:t xml:space="preserve">re-evaluated, and modified if necessary, to improve its performance </w:t>
      </w:r>
    </w:p>
    <w:p w14:paraId="0C640F17" w14:textId="77777777" w:rsidR="009A7C7B" w:rsidRPr="00BC3C29" w:rsidRDefault="009A7C7B" w:rsidP="009A7C7B">
      <w:pPr>
        <w:rPr>
          <w:i/>
        </w:rPr>
      </w:pPr>
      <w:r w:rsidRPr="00BC3C29">
        <w:rPr>
          <w:i/>
        </w:rPr>
        <w:tab/>
        <w:t xml:space="preserve">and effectiveness (74 FR 3178). </w:t>
      </w:r>
    </w:p>
    <w:p w14:paraId="75A3A424" w14:textId="77777777" w:rsidR="009A7C7B" w:rsidRPr="00BC3C29" w:rsidRDefault="009A7C7B" w:rsidP="009A7C7B">
      <w:pPr>
        <w:rPr>
          <w:i/>
        </w:rPr>
      </w:pPr>
    </w:p>
    <w:p w14:paraId="2356953B" w14:textId="058A643B" w:rsidR="00234105" w:rsidRDefault="009A7C7B" w:rsidP="009A7C7B">
      <w:pPr>
        <w:ind w:firstLine="360"/>
      </w:pPr>
      <w:r w:rsidRPr="00BC3C29">
        <w:t xml:space="preserve">If </w:t>
      </w:r>
      <w:r>
        <w:t>an evaluation</w:t>
      </w:r>
      <w:r w:rsidRPr="00BC3C29">
        <w:t xml:space="preserve"> </w:t>
      </w:r>
      <w:r>
        <w:t xml:space="preserve">concludes that the ACL is </w:t>
      </w:r>
      <w:r w:rsidRPr="00BC3C29">
        <w:t xml:space="preserve">chronically exceeded </w:t>
      </w:r>
      <w:r>
        <w:t xml:space="preserve">for </w:t>
      </w:r>
      <w:r w:rsidRPr="00BC3C29">
        <w:t xml:space="preserve">any </w:t>
      </w:r>
      <w:r>
        <w:t>one species or species group</w:t>
      </w:r>
      <w:r w:rsidRPr="00BC3C29">
        <w:t xml:space="preserve">, and post-season AMs are repeatedly needed to correct for ACL overages, adjustments to management measures would be made.  As stated previously, the updated framework procedure implemented through Amendment 17B </w:t>
      </w:r>
      <w:r>
        <w:t xml:space="preserve">(SAFMC 2010b) </w:t>
      </w:r>
      <w:r w:rsidRPr="00BC3C29">
        <w:t xml:space="preserve">could be utilized to modify management measures such as bag limits, trip limits, seasonal closures, and gear prohibitions in a timely manner.  Using the regulatory amendment process to implement such </w:t>
      </w:r>
      <w:r w:rsidRPr="00BC3C29">
        <w:lastRenderedPageBreak/>
        <w:t>changes, if needed, is the timeliest method of addressing issues associated with repeated ACL overages through permanent regulations.</w:t>
      </w:r>
      <w:r w:rsidR="00792AC4" w:rsidRPr="004A059D">
        <w:t>.</w:t>
      </w:r>
    </w:p>
    <w:p w14:paraId="1412295F" w14:textId="77777777" w:rsidR="005D1AFA" w:rsidRDefault="005D1AFA" w:rsidP="00234105">
      <w:pPr>
        <w:ind w:firstLine="360"/>
      </w:pPr>
    </w:p>
    <w:p w14:paraId="36A06CB4" w14:textId="3BE02BFB" w:rsidR="005D1AFA" w:rsidRDefault="005D1AFA" w:rsidP="005D1AFA">
      <w:pPr>
        <w:pStyle w:val="Default"/>
        <w:widowControl w:val="0"/>
        <w:ind w:firstLine="360"/>
        <w:contextualSpacing/>
      </w:pPr>
      <w:r>
        <w:t>W</w:t>
      </w:r>
      <w:r w:rsidRPr="004A059D">
        <w:t xml:space="preserve">ith vastly improved commercial monitoring mechanisms </w:t>
      </w:r>
      <w:r>
        <w:t>now in place in the South Atlantic Region</w:t>
      </w:r>
      <w:r w:rsidRPr="004A059D">
        <w:t xml:space="preserve">, it is unlikely that repeated commercial ACL overages would occur. </w:t>
      </w:r>
      <w:r>
        <w:t xml:space="preserve"> </w:t>
      </w:r>
      <w:r w:rsidRPr="004A059D">
        <w:t xml:space="preserve">The </w:t>
      </w:r>
      <w:r>
        <w:t xml:space="preserve">National Marine Fisheries Service </w:t>
      </w:r>
      <w:r w:rsidRPr="004A059D">
        <w:t xml:space="preserve">Commercial Landings Monitoring (CLM) </w:t>
      </w:r>
      <w:r>
        <w:t xml:space="preserve">system </w:t>
      </w:r>
      <w:r w:rsidRPr="004A059D">
        <w:t xml:space="preserve">came online in June 2012 and is now being used to track commercial landings of federally managed fish species. </w:t>
      </w:r>
      <w:r>
        <w:t xml:space="preserve"> The CLM system can</w:t>
      </w:r>
      <w:r w:rsidRPr="004A059D">
        <w:t xml:space="preserve"> track dealer reporting compliance with a direct link to the permits database </w:t>
      </w:r>
      <w:r>
        <w:t>at the NMFS Southeast Regional Office</w:t>
      </w:r>
      <w:r w:rsidRPr="004A059D">
        <w:t>.</w:t>
      </w:r>
      <w:r>
        <w:t xml:space="preserve">  </w:t>
      </w:r>
      <w:r w:rsidR="00FC3993">
        <w:t xml:space="preserve">Additionally, the Joint Seafood </w:t>
      </w:r>
      <w:r w:rsidRPr="004A059D">
        <w:t>Dealer Reporting Amendment</w:t>
      </w:r>
      <w:r>
        <w:t xml:space="preserve"> (GMFMC &amp; SAFMC 2013b)</w:t>
      </w:r>
      <w:r w:rsidRPr="004A059D">
        <w:t xml:space="preserve">, which </w:t>
      </w:r>
      <w:r>
        <w:t xml:space="preserve">became effective on August 7, 2014, requires electronic reporting, </w:t>
      </w:r>
      <w:r w:rsidRPr="004A059D">
        <w:t>increase</w:t>
      </w:r>
      <w:r>
        <w:t xml:space="preserve">s </w:t>
      </w:r>
      <w:r w:rsidRPr="004A059D">
        <w:t>required reporting frequency for dealers to once per week, and require</w:t>
      </w:r>
      <w:r>
        <w:t>s</w:t>
      </w:r>
      <w:r w:rsidRPr="004A059D">
        <w:t xml:space="preserve"> a single dealer permit for all finfish dealers in the Southeast Region. </w:t>
      </w:r>
      <w:r>
        <w:t xml:space="preserve"> The </w:t>
      </w:r>
      <w:r w:rsidRPr="004A059D">
        <w:t>CLM system and actions in the Joint Generic Dealer Reporting amendment are expected to provide more timely and accurate data reporting and would thus</w:t>
      </w:r>
      <w:r>
        <w:t xml:space="preserve"> </w:t>
      </w:r>
      <w:r w:rsidRPr="004A059D">
        <w:t xml:space="preserve">reduce the incidence of quota overages. </w:t>
      </w:r>
    </w:p>
    <w:p w14:paraId="4376F48E" w14:textId="77777777" w:rsidR="005D1AFA" w:rsidRDefault="005D1AFA" w:rsidP="005D1AFA">
      <w:pPr>
        <w:pStyle w:val="Default"/>
        <w:widowControl w:val="0"/>
        <w:contextualSpacing/>
      </w:pPr>
    </w:p>
    <w:p w14:paraId="17C9DFEE" w14:textId="71951E7B" w:rsidR="005D1AFA" w:rsidRDefault="005D1AFA" w:rsidP="005D1AFA">
      <w:pPr>
        <w:ind w:firstLine="360"/>
      </w:pPr>
      <w:r w:rsidRPr="004A059D">
        <w:t>Harvest monitoring efforts in the</w:t>
      </w:r>
      <w:r>
        <w:t xml:space="preserve"> </w:t>
      </w:r>
      <w:r w:rsidRPr="004A059D">
        <w:t xml:space="preserve">recreational sector </w:t>
      </w:r>
      <w:r>
        <w:t xml:space="preserve">are also </w:t>
      </w:r>
      <w:r w:rsidRPr="004A059D">
        <w:t>improv</w:t>
      </w:r>
      <w:r>
        <w:t>ing in the South Atlantic Region</w:t>
      </w:r>
      <w:r w:rsidRPr="004A059D">
        <w:t xml:space="preserve">. </w:t>
      </w:r>
      <w:r>
        <w:t xml:space="preserve"> On January 27, </w:t>
      </w:r>
      <w:r w:rsidRPr="004A059D">
        <w:t>201</w:t>
      </w:r>
      <w:r>
        <w:t>4</w:t>
      </w:r>
      <w:r w:rsidRPr="004A059D">
        <w:t xml:space="preserve">, </w:t>
      </w:r>
      <w:r>
        <w:t xml:space="preserve">regulations became effective requiring </w:t>
      </w:r>
      <w:r w:rsidRPr="004A059D">
        <w:t>headboat</w:t>
      </w:r>
      <w:r>
        <w:t xml:space="preserve">s to </w:t>
      </w:r>
      <w:r w:rsidRPr="004A059D">
        <w:t xml:space="preserve">report their landings electronically </w:t>
      </w:r>
      <w:r>
        <w:t>once per week (Generic Headboat Amendment, GMFMC &amp; SAFMC 2013a)</w:t>
      </w:r>
      <w:r w:rsidRPr="004A059D">
        <w:t xml:space="preserve">. </w:t>
      </w:r>
      <w:r>
        <w:t xml:space="preserve"> </w:t>
      </w:r>
      <w:r w:rsidRPr="004A059D">
        <w:t>The</w:t>
      </w:r>
      <w:r>
        <w:t xml:space="preserve"> Southeast Fisheries Science Center </w:t>
      </w:r>
      <w:r w:rsidRPr="004A059D">
        <w:t xml:space="preserve">is also developing an electronic reporting system for charter boats operating </w:t>
      </w:r>
      <w:r>
        <w:t xml:space="preserve">in </w:t>
      </w:r>
      <w:r w:rsidRPr="004A059D">
        <w:t>the Southeast Region</w:t>
      </w:r>
      <w:r>
        <w:t xml:space="preserve"> and t</w:t>
      </w:r>
      <w:r w:rsidRPr="004A059D">
        <w:t>he Gulf of</w:t>
      </w:r>
      <w:r>
        <w:t xml:space="preserve"> </w:t>
      </w:r>
      <w:r w:rsidRPr="004A059D">
        <w:t xml:space="preserve">Mexico and South Atlantic Councils </w:t>
      </w:r>
      <w:r>
        <w:t>are developing</w:t>
      </w:r>
      <w:r w:rsidRPr="004A059D">
        <w:t xml:space="preserve"> amendment</w:t>
      </w:r>
      <w:r>
        <w:t>s</w:t>
      </w:r>
      <w:r w:rsidRPr="004A059D">
        <w:t xml:space="preserve"> that would require electronic reporting for charterboats with a set reporting frequency. </w:t>
      </w:r>
    </w:p>
    <w:p w14:paraId="10E1B784" w14:textId="77777777" w:rsidR="00234105" w:rsidRDefault="00234105" w:rsidP="00667CDC"/>
    <w:p w14:paraId="621829B1" w14:textId="2E3A2A0A" w:rsidR="009F4239" w:rsidRDefault="00667CDC" w:rsidP="009F4239">
      <w:pPr>
        <w:pStyle w:val="Heading2"/>
        <w:rPr>
          <w:rFonts w:ascii="Arial" w:hAnsi="Arial" w:cs="Arial"/>
        </w:rPr>
      </w:pPr>
      <w:bookmarkStart w:id="55" w:name="_Toc339811696"/>
      <w:r>
        <w:rPr>
          <w:rFonts w:ascii="Arial" w:hAnsi="Arial" w:cs="Arial"/>
        </w:rPr>
        <w:t>1.6</w:t>
      </w:r>
      <w:r w:rsidR="009F4239" w:rsidRPr="009F4239">
        <w:rPr>
          <w:rFonts w:ascii="Arial" w:hAnsi="Arial" w:cs="Arial"/>
        </w:rPr>
        <w:tab/>
      </w:r>
      <w:r w:rsidR="003A1241">
        <w:rPr>
          <w:rFonts w:ascii="Arial" w:hAnsi="Arial" w:cs="Arial"/>
        </w:rPr>
        <w:t>What is the acceptable biological catch recommendation for mutton s</w:t>
      </w:r>
      <w:r w:rsidR="009F4239" w:rsidRPr="009F4239">
        <w:rPr>
          <w:rFonts w:ascii="Arial" w:hAnsi="Arial" w:cs="Arial"/>
        </w:rPr>
        <w:t>napper</w:t>
      </w:r>
      <w:r w:rsidR="003A1241">
        <w:rPr>
          <w:rFonts w:ascii="Arial" w:hAnsi="Arial" w:cs="Arial"/>
        </w:rPr>
        <w:t>?</w:t>
      </w:r>
      <w:bookmarkEnd w:id="55"/>
    </w:p>
    <w:p w14:paraId="44669309" w14:textId="77777777" w:rsidR="000C4129" w:rsidRPr="000C4129" w:rsidRDefault="000C4129" w:rsidP="000C4129"/>
    <w:p w14:paraId="6B06DEAC" w14:textId="5CB168D8" w:rsidR="00251D20" w:rsidRDefault="000C4129" w:rsidP="00251D20">
      <w:pPr>
        <w:ind w:firstLine="360"/>
      </w:pPr>
      <w:r>
        <w:rPr>
          <w:color w:val="000000"/>
        </w:rPr>
        <w:t>An update to the stock assessment for mutton snapper in the southeastern U.S. (SEDAR 15A Update 2015) was conducted in 2015 with data through 2013.  The SSC reviewed the results at their April 28-30, 2015 meeting and made fishing level recommendations</w:t>
      </w:r>
      <w:r w:rsidR="006B49CB">
        <w:rPr>
          <w:color w:val="000000"/>
        </w:rPr>
        <w:t xml:space="preserve"> for mutton snapper in the South Atlantic and Gulf of Mexico</w:t>
      </w:r>
      <w:r w:rsidR="00CB46FE">
        <w:rPr>
          <w:color w:val="000000"/>
        </w:rPr>
        <w:t xml:space="preserve"> (</w:t>
      </w:r>
      <w:r w:rsidR="00CB46FE" w:rsidRPr="00007A84">
        <w:rPr>
          <w:b/>
          <w:color w:val="000000"/>
        </w:rPr>
        <w:t>Tables 1.6.1-1.6.3</w:t>
      </w:r>
      <w:r w:rsidR="00CB46FE">
        <w:rPr>
          <w:color w:val="000000"/>
        </w:rPr>
        <w:t>).</w:t>
      </w:r>
      <w:r>
        <w:rPr>
          <w:color w:val="000000"/>
        </w:rPr>
        <w:t xml:space="preserve"> </w:t>
      </w:r>
      <w:r w:rsidR="00251D20">
        <w:rPr>
          <w:color w:val="000000"/>
        </w:rPr>
        <w:t xml:space="preserve"> </w:t>
      </w:r>
      <w:r w:rsidR="00251D20">
        <w:t xml:space="preserve">The SEDAR 15A Update (2015) resulted in lower biological reference point values and fishing level projections than those from the original assessment (SEDAR 15A 2008).  </w:t>
      </w:r>
      <w:r w:rsidR="00251D20" w:rsidRPr="00432B95">
        <w:t xml:space="preserve">The </w:t>
      </w:r>
      <w:r w:rsidR="00251D20">
        <w:t xml:space="preserve">methodologies used in the </w:t>
      </w:r>
      <w:r w:rsidR="00251D20" w:rsidRPr="00432B95">
        <w:t>two assessments are very different</w:t>
      </w:r>
      <w:r w:rsidR="00251D20">
        <w:t>,</w:t>
      </w:r>
      <w:r w:rsidR="00251D20" w:rsidRPr="00432B95">
        <w:t xml:space="preserve"> making direc</w:t>
      </w:r>
      <w:r w:rsidR="00251D20">
        <w:t>t comparisons difficult</w:t>
      </w:r>
      <w:r w:rsidR="00251D20" w:rsidRPr="00432B95">
        <w:t xml:space="preserve">.  </w:t>
      </w:r>
      <w:r w:rsidR="00251D20">
        <w:t>A few items were noted that could have contributed to the differences: the</w:t>
      </w:r>
      <w:r w:rsidR="00251D20" w:rsidRPr="00432B95">
        <w:t xml:space="preserve"> M</w:t>
      </w:r>
      <w:r w:rsidR="00251D20">
        <w:t xml:space="preserve">arine </w:t>
      </w:r>
      <w:r w:rsidR="00251D20" w:rsidRPr="00432B95">
        <w:t>R</w:t>
      </w:r>
      <w:r w:rsidR="00251D20">
        <w:t xml:space="preserve">ecreational </w:t>
      </w:r>
      <w:r w:rsidR="00251D20" w:rsidRPr="00432B95">
        <w:t>I</w:t>
      </w:r>
      <w:r w:rsidR="00251D20">
        <w:t xml:space="preserve">nformation </w:t>
      </w:r>
      <w:r w:rsidR="00251D20" w:rsidRPr="00432B95">
        <w:t>P</w:t>
      </w:r>
      <w:r w:rsidR="00251D20">
        <w:t>rogram (MRIP)</w:t>
      </w:r>
      <w:r w:rsidR="00251D20" w:rsidRPr="00432B95">
        <w:t xml:space="preserve">-calibrated landings used in the update are very different (especially in the early years of the time series) from the landings stream in the original assessment. </w:t>
      </w:r>
      <w:r w:rsidR="00251D20">
        <w:t xml:space="preserve"> </w:t>
      </w:r>
      <w:r w:rsidR="00251D20" w:rsidRPr="00432B95">
        <w:t>Also</w:t>
      </w:r>
      <w:r w:rsidR="00251D20">
        <w:t>,</w:t>
      </w:r>
      <w:r w:rsidR="00251D20" w:rsidRPr="00432B95">
        <w:t xml:space="preserve"> the update included several more years of data (7 years) than what a t</w:t>
      </w:r>
      <w:r w:rsidR="00251D20">
        <w:t xml:space="preserve">ypical update usually includes.  </w:t>
      </w:r>
      <w:r w:rsidR="00251D20" w:rsidRPr="00432B95">
        <w:t>In addition, the original assessment was done with few samples for growth and reproductive parameters.  In short, there are probably numerous factors contributing to the difference i</w:t>
      </w:r>
      <w:r w:rsidR="00251D20">
        <w:t>n the reference points and the projected levels of catch.  Due to the</w:t>
      </w:r>
      <w:r w:rsidR="00251D20" w:rsidRPr="00383521">
        <w:t xml:space="preserve"> life history</w:t>
      </w:r>
      <w:r w:rsidR="00251D20">
        <w:t xml:space="preserve"> of mutton snapper</w:t>
      </w:r>
      <w:r w:rsidR="00251D20" w:rsidRPr="00383521">
        <w:t>, there can be hyper</w:t>
      </w:r>
      <w:r w:rsidR="00251D20">
        <w:t>-</w:t>
      </w:r>
      <w:r w:rsidR="00251D20" w:rsidRPr="00383521">
        <w:t>stabili</w:t>
      </w:r>
      <w:r w:rsidR="00251D20">
        <w:t xml:space="preserve">ty in the indices of abundance; that is, </w:t>
      </w:r>
      <w:r w:rsidR="00251D20" w:rsidRPr="00383521">
        <w:t xml:space="preserve">because the bulk of the landings </w:t>
      </w:r>
      <w:r w:rsidR="00251D20">
        <w:t>occur</w:t>
      </w:r>
      <w:r w:rsidR="00251D20" w:rsidRPr="00383521">
        <w:t xml:space="preserve"> in May and June when mutton </w:t>
      </w:r>
      <w:r w:rsidR="00251D20">
        <w:t xml:space="preserve">snapper </w:t>
      </w:r>
      <w:r w:rsidR="00251D20" w:rsidRPr="00383521">
        <w:t xml:space="preserve">are </w:t>
      </w:r>
      <w:r w:rsidR="00251D20">
        <w:t>aggregated to spawn</w:t>
      </w:r>
      <w:r w:rsidR="00251D20" w:rsidRPr="00383521">
        <w:t xml:space="preserve">, the </w:t>
      </w:r>
      <w:r w:rsidR="00251D20">
        <w:t>catch per unit effort (</w:t>
      </w:r>
      <w:r w:rsidR="00251D20" w:rsidRPr="00383521">
        <w:t>CPUE</w:t>
      </w:r>
      <w:r w:rsidR="00251D20">
        <w:t>)</w:t>
      </w:r>
      <w:r w:rsidR="00251D20" w:rsidRPr="00383521">
        <w:t xml:space="preserve"> fluctuates little</w:t>
      </w:r>
      <w:r w:rsidR="00251D20">
        <w:t>.</w:t>
      </w:r>
      <w:r w:rsidR="00251D20" w:rsidRPr="00383521">
        <w:t xml:space="preserve"> </w:t>
      </w:r>
      <w:r w:rsidR="00251D20">
        <w:t xml:space="preserve"> T</w:t>
      </w:r>
      <w:r w:rsidR="00251D20" w:rsidRPr="00383521">
        <w:t xml:space="preserve">his may lead to the </w:t>
      </w:r>
      <w:r w:rsidR="00251D20">
        <w:t xml:space="preserve">false </w:t>
      </w:r>
      <w:r w:rsidR="00251D20" w:rsidRPr="00383521">
        <w:t>assumption that catches are sustainable over the long term.  Also</w:t>
      </w:r>
      <w:r w:rsidR="00251D20">
        <w:t>,</w:t>
      </w:r>
      <w:r w:rsidR="00251D20" w:rsidRPr="00383521">
        <w:t xml:space="preserve"> this type of harvest affects recruitment</w:t>
      </w:r>
      <w:r w:rsidR="00251D20">
        <w:t xml:space="preserve"> and proactive management measures may be needed </w:t>
      </w:r>
      <w:r w:rsidR="00251D20" w:rsidRPr="00383521">
        <w:t xml:space="preserve">to prevent </w:t>
      </w:r>
      <w:r w:rsidR="00251D20">
        <w:t>overfishing</w:t>
      </w:r>
      <w:r w:rsidR="00251D20" w:rsidRPr="00383521">
        <w:t>.</w:t>
      </w:r>
    </w:p>
    <w:p w14:paraId="53FE3B1E" w14:textId="02B814E9" w:rsidR="000C4129" w:rsidRPr="00486C08" w:rsidRDefault="000C4129" w:rsidP="000C4129">
      <w:pPr>
        <w:ind w:firstLine="360"/>
        <w:rPr>
          <w:color w:val="000000"/>
        </w:rPr>
      </w:pPr>
    </w:p>
    <w:p w14:paraId="5B2ECF4E" w14:textId="77777777" w:rsidR="000C4129" w:rsidRDefault="000C4129" w:rsidP="000C4129">
      <w:pPr>
        <w:widowControl w:val="0"/>
        <w:tabs>
          <w:tab w:val="left" w:pos="1267"/>
        </w:tabs>
        <w:autoSpaceDE w:val="0"/>
        <w:autoSpaceDN w:val="0"/>
        <w:adjustRightInd w:val="0"/>
        <w:rPr>
          <w:rFonts w:ascii="Arial" w:hAnsi="Arial" w:cs="Arial"/>
          <w:sz w:val="20"/>
          <w:szCs w:val="20"/>
        </w:rPr>
      </w:pPr>
      <w:r>
        <w:rPr>
          <w:rFonts w:ascii="Arial" w:hAnsi="Arial" w:cs="Arial"/>
          <w:sz w:val="20"/>
          <w:szCs w:val="20"/>
        </w:rPr>
        <w:tab/>
      </w:r>
    </w:p>
    <w:p w14:paraId="2DD3C246" w14:textId="7FD3345F" w:rsidR="000C4129" w:rsidRPr="00486C08" w:rsidRDefault="00CB46FE" w:rsidP="0065404C">
      <w:pPr>
        <w:pStyle w:val="Tabletitle"/>
      </w:pPr>
      <w:bookmarkStart w:id="56" w:name="_Toc340431537"/>
      <w:r w:rsidRPr="0065404C">
        <w:rPr>
          <w:b/>
        </w:rPr>
        <w:t>Table 1.6.1</w:t>
      </w:r>
      <w:r w:rsidR="0065404C">
        <w:rPr>
          <w:b/>
        </w:rPr>
        <w:t xml:space="preserve">. </w:t>
      </w:r>
      <w:r>
        <w:t xml:space="preserve"> Stock status recommendations for m</w:t>
      </w:r>
      <w:r w:rsidR="000C4129" w:rsidRPr="00486C08">
        <w:t xml:space="preserve">utton </w:t>
      </w:r>
      <w:r>
        <w:t>s</w:t>
      </w:r>
      <w:r w:rsidR="000C4129" w:rsidRPr="00486C08">
        <w:t>napper</w:t>
      </w:r>
      <w:r w:rsidR="000C4129">
        <w:t xml:space="preserve"> from SEDAR 15A</w:t>
      </w:r>
      <w:r>
        <w:t xml:space="preserve"> </w:t>
      </w:r>
      <w:r w:rsidR="000C4129">
        <w:t>Update (2015).</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2"/>
        <w:gridCol w:w="3959"/>
        <w:gridCol w:w="2005"/>
      </w:tblGrid>
      <w:tr w:rsidR="00005F9C" w:rsidRPr="00B32742" w14:paraId="22205BF5" w14:textId="77777777" w:rsidTr="00005F9C">
        <w:tc>
          <w:tcPr>
            <w:tcW w:w="1886" w:type="pct"/>
            <w:shd w:val="clear" w:color="auto" w:fill="D9D9D9" w:themeFill="background1" w:themeFillShade="D9"/>
            <w:tcMar>
              <w:top w:w="144" w:type="nil"/>
              <w:right w:w="144" w:type="nil"/>
            </w:tcMar>
          </w:tcPr>
          <w:p w14:paraId="6930FEFE" w14:textId="77777777" w:rsidR="00005F9C" w:rsidRPr="00B32742" w:rsidRDefault="00005F9C" w:rsidP="00005F9C">
            <w:pPr>
              <w:widowControl w:val="0"/>
              <w:autoSpaceDE w:val="0"/>
              <w:autoSpaceDN w:val="0"/>
              <w:adjustRightInd w:val="0"/>
              <w:jc w:val="center"/>
              <w:rPr>
                <w:sz w:val="22"/>
                <w:szCs w:val="22"/>
              </w:rPr>
            </w:pPr>
            <w:r w:rsidRPr="00B32742">
              <w:rPr>
                <w:b/>
                <w:bCs/>
                <w:sz w:val="22"/>
                <w:szCs w:val="22"/>
              </w:rPr>
              <w:t>Criteria</w:t>
            </w:r>
          </w:p>
        </w:tc>
        <w:tc>
          <w:tcPr>
            <w:tcW w:w="2067" w:type="pct"/>
            <w:shd w:val="clear" w:color="auto" w:fill="D9D9D9" w:themeFill="background1" w:themeFillShade="D9"/>
            <w:tcMar>
              <w:top w:w="144" w:type="nil"/>
              <w:right w:w="144" w:type="nil"/>
            </w:tcMar>
          </w:tcPr>
          <w:p w14:paraId="17B3501C" w14:textId="77777777" w:rsidR="00005F9C" w:rsidRPr="00B32742" w:rsidRDefault="00005F9C" w:rsidP="00005F9C">
            <w:pPr>
              <w:widowControl w:val="0"/>
              <w:autoSpaceDE w:val="0"/>
              <w:autoSpaceDN w:val="0"/>
              <w:adjustRightInd w:val="0"/>
              <w:jc w:val="center"/>
              <w:rPr>
                <w:sz w:val="22"/>
                <w:szCs w:val="22"/>
              </w:rPr>
            </w:pPr>
            <w:r w:rsidRPr="00B32742">
              <w:rPr>
                <w:b/>
                <w:bCs/>
                <w:sz w:val="22"/>
                <w:szCs w:val="22"/>
              </w:rPr>
              <w:t>Deterministic</w:t>
            </w:r>
          </w:p>
        </w:tc>
        <w:tc>
          <w:tcPr>
            <w:tcW w:w="1047" w:type="pct"/>
            <w:shd w:val="clear" w:color="auto" w:fill="D9D9D9" w:themeFill="background1" w:themeFillShade="D9"/>
            <w:tcMar>
              <w:top w:w="144" w:type="nil"/>
              <w:right w:w="144" w:type="nil"/>
            </w:tcMar>
          </w:tcPr>
          <w:p w14:paraId="551502FC" w14:textId="77777777" w:rsidR="00005F9C" w:rsidRPr="00B32742" w:rsidRDefault="00005F9C" w:rsidP="00005F9C">
            <w:pPr>
              <w:widowControl w:val="0"/>
              <w:autoSpaceDE w:val="0"/>
              <w:autoSpaceDN w:val="0"/>
              <w:adjustRightInd w:val="0"/>
              <w:jc w:val="center"/>
              <w:rPr>
                <w:sz w:val="22"/>
                <w:szCs w:val="22"/>
              </w:rPr>
            </w:pPr>
            <w:r w:rsidRPr="00B32742">
              <w:rPr>
                <w:b/>
                <w:bCs/>
                <w:sz w:val="22"/>
                <w:szCs w:val="22"/>
              </w:rPr>
              <w:t>Probabilistic</w:t>
            </w:r>
          </w:p>
        </w:tc>
      </w:tr>
      <w:tr w:rsidR="00005F9C" w:rsidRPr="00B32742" w14:paraId="7A17CD07" w14:textId="77777777" w:rsidTr="00005F9C">
        <w:tc>
          <w:tcPr>
            <w:tcW w:w="1886" w:type="pct"/>
            <w:tcMar>
              <w:top w:w="144" w:type="nil"/>
              <w:right w:w="144" w:type="nil"/>
            </w:tcMar>
          </w:tcPr>
          <w:p w14:paraId="4E749ABF" w14:textId="77777777" w:rsidR="00005F9C" w:rsidRPr="00B32742" w:rsidRDefault="00005F9C" w:rsidP="00005F9C">
            <w:pPr>
              <w:widowControl w:val="0"/>
              <w:autoSpaceDE w:val="0"/>
              <w:autoSpaceDN w:val="0"/>
              <w:adjustRightInd w:val="0"/>
              <w:rPr>
                <w:sz w:val="22"/>
                <w:szCs w:val="22"/>
              </w:rPr>
            </w:pPr>
            <w:r w:rsidRPr="00B32742">
              <w:rPr>
                <w:sz w:val="22"/>
                <w:szCs w:val="22"/>
              </w:rPr>
              <w:t>Overfished evaluation</w:t>
            </w:r>
          </w:p>
        </w:tc>
        <w:tc>
          <w:tcPr>
            <w:tcW w:w="2067" w:type="pct"/>
            <w:tcMar>
              <w:top w:w="144" w:type="nil"/>
              <w:right w:w="144" w:type="nil"/>
            </w:tcMar>
          </w:tcPr>
          <w:p w14:paraId="6A617BEF" w14:textId="77777777" w:rsidR="00005F9C" w:rsidRPr="00B32742" w:rsidRDefault="00005F9C" w:rsidP="00005F9C">
            <w:pPr>
              <w:widowControl w:val="0"/>
              <w:autoSpaceDE w:val="0"/>
              <w:autoSpaceDN w:val="0"/>
              <w:adjustRightInd w:val="0"/>
              <w:jc w:val="center"/>
              <w:rPr>
                <w:sz w:val="22"/>
                <w:szCs w:val="22"/>
              </w:rPr>
            </w:pPr>
            <w:r w:rsidRPr="00B32742">
              <w:rPr>
                <w:sz w:val="22"/>
                <w:szCs w:val="22"/>
              </w:rPr>
              <w:t>Not overfished: SSB/SSB</w:t>
            </w:r>
            <w:r w:rsidRPr="00B32742">
              <w:rPr>
                <w:sz w:val="22"/>
                <w:szCs w:val="22"/>
                <w:vertAlign w:val="subscript"/>
              </w:rPr>
              <w:t>F30%</w:t>
            </w:r>
            <w:r w:rsidRPr="00B32742">
              <w:rPr>
                <w:sz w:val="22"/>
                <w:szCs w:val="22"/>
              </w:rPr>
              <w:t>=1.13</w:t>
            </w:r>
          </w:p>
        </w:tc>
        <w:tc>
          <w:tcPr>
            <w:tcW w:w="1047" w:type="pct"/>
            <w:tcMar>
              <w:top w:w="144" w:type="nil"/>
              <w:right w:w="144" w:type="nil"/>
            </w:tcMar>
          </w:tcPr>
          <w:p w14:paraId="38DC64E7" w14:textId="77777777" w:rsidR="00005F9C" w:rsidRPr="00B32742" w:rsidRDefault="00005F9C" w:rsidP="00005F9C">
            <w:pPr>
              <w:widowControl w:val="0"/>
              <w:autoSpaceDE w:val="0"/>
              <w:autoSpaceDN w:val="0"/>
              <w:adjustRightInd w:val="0"/>
              <w:jc w:val="center"/>
              <w:rPr>
                <w:sz w:val="22"/>
                <w:szCs w:val="22"/>
                <w:lang w:val="x-none" w:eastAsia="x-none"/>
              </w:rPr>
            </w:pPr>
          </w:p>
        </w:tc>
      </w:tr>
      <w:tr w:rsidR="00005F9C" w:rsidRPr="00B32742" w14:paraId="48F44D1D" w14:textId="77777777" w:rsidTr="00005F9C">
        <w:tc>
          <w:tcPr>
            <w:tcW w:w="1886" w:type="pct"/>
            <w:tcMar>
              <w:top w:w="144" w:type="nil"/>
              <w:right w:w="144" w:type="nil"/>
            </w:tcMar>
          </w:tcPr>
          <w:p w14:paraId="7E2180F2" w14:textId="77777777" w:rsidR="00005F9C" w:rsidRPr="00B32742" w:rsidRDefault="00005F9C" w:rsidP="00005F9C">
            <w:pPr>
              <w:widowControl w:val="0"/>
              <w:autoSpaceDE w:val="0"/>
              <w:autoSpaceDN w:val="0"/>
              <w:adjustRightInd w:val="0"/>
              <w:rPr>
                <w:sz w:val="22"/>
                <w:szCs w:val="22"/>
              </w:rPr>
            </w:pPr>
            <w:r w:rsidRPr="00B32742">
              <w:rPr>
                <w:sz w:val="22"/>
                <w:szCs w:val="22"/>
              </w:rPr>
              <w:t>Overfishing evaluation</w:t>
            </w:r>
          </w:p>
        </w:tc>
        <w:tc>
          <w:tcPr>
            <w:tcW w:w="2067" w:type="pct"/>
            <w:tcMar>
              <w:top w:w="144" w:type="nil"/>
              <w:right w:w="144" w:type="nil"/>
            </w:tcMar>
          </w:tcPr>
          <w:p w14:paraId="665CCA69" w14:textId="77777777" w:rsidR="00005F9C" w:rsidRPr="00B32742" w:rsidRDefault="00005F9C" w:rsidP="00005F9C">
            <w:pPr>
              <w:widowControl w:val="0"/>
              <w:autoSpaceDE w:val="0"/>
              <w:autoSpaceDN w:val="0"/>
              <w:adjustRightInd w:val="0"/>
              <w:jc w:val="center"/>
              <w:rPr>
                <w:sz w:val="22"/>
                <w:szCs w:val="22"/>
              </w:rPr>
            </w:pPr>
            <w:r w:rsidRPr="00B32742">
              <w:rPr>
                <w:sz w:val="22"/>
                <w:szCs w:val="22"/>
              </w:rPr>
              <w:t>Not overfishing: F/F</w:t>
            </w:r>
            <w:r w:rsidRPr="00B32742">
              <w:rPr>
                <w:sz w:val="22"/>
                <w:szCs w:val="22"/>
                <w:vertAlign w:val="subscript"/>
              </w:rPr>
              <w:t>30%SPR</w:t>
            </w:r>
            <w:r w:rsidRPr="00B32742">
              <w:rPr>
                <w:sz w:val="22"/>
                <w:szCs w:val="22"/>
              </w:rPr>
              <w:t>=0.65</w:t>
            </w:r>
          </w:p>
        </w:tc>
        <w:tc>
          <w:tcPr>
            <w:tcW w:w="1047" w:type="pct"/>
            <w:tcMar>
              <w:top w:w="144" w:type="nil"/>
              <w:right w:w="144" w:type="nil"/>
            </w:tcMar>
          </w:tcPr>
          <w:p w14:paraId="10CDF9C9" w14:textId="77777777" w:rsidR="00005F9C" w:rsidRPr="00B32742" w:rsidRDefault="00005F9C" w:rsidP="00005F9C">
            <w:pPr>
              <w:widowControl w:val="0"/>
              <w:autoSpaceDE w:val="0"/>
              <w:autoSpaceDN w:val="0"/>
              <w:adjustRightInd w:val="0"/>
              <w:jc w:val="center"/>
              <w:rPr>
                <w:sz w:val="22"/>
                <w:szCs w:val="22"/>
                <w:lang w:val="x-none" w:eastAsia="x-none"/>
              </w:rPr>
            </w:pPr>
          </w:p>
        </w:tc>
      </w:tr>
      <w:tr w:rsidR="00005F9C" w:rsidRPr="00B32742" w14:paraId="0105DF0F" w14:textId="77777777" w:rsidTr="00005F9C">
        <w:tc>
          <w:tcPr>
            <w:tcW w:w="1886" w:type="pct"/>
            <w:tcMar>
              <w:top w:w="144" w:type="nil"/>
              <w:right w:w="144" w:type="nil"/>
            </w:tcMar>
          </w:tcPr>
          <w:p w14:paraId="5F3F3B1C" w14:textId="77777777" w:rsidR="00005F9C" w:rsidRPr="00B32742" w:rsidRDefault="00005F9C" w:rsidP="00005F9C">
            <w:pPr>
              <w:widowControl w:val="0"/>
              <w:autoSpaceDE w:val="0"/>
              <w:autoSpaceDN w:val="0"/>
              <w:adjustRightInd w:val="0"/>
              <w:rPr>
                <w:sz w:val="22"/>
                <w:szCs w:val="22"/>
              </w:rPr>
            </w:pPr>
            <w:r w:rsidRPr="00B32742">
              <w:rPr>
                <w:sz w:val="22"/>
                <w:szCs w:val="22"/>
              </w:rPr>
              <w:t>MFMT (F</w:t>
            </w:r>
            <w:r w:rsidRPr="00B32742">
              <w:rPr>
                <w:sz w:val="22"/>
                <w:szCs w:val="22"/>
                <w:vertAlign w:val="subscript"/>
              </w:rPr>
              <w:t>30%SPR</w:t>
            </w:r>
            <w:r w:rsidRPr="00B32742">
              <w:rPr>
                <w:sz w:val="22"/>
                <w:szCs w:val="22"/>
              </w:rPr>
              <w:t>)</w:t>
            </w:r>
          </w:p>
        </w:tc>
        <w:tc>
          <w:tcPr>
            <w:tcW w:w="2067" w:type="pct"/>
            <w:tcMar>
              <w:top w:w="144" w:type="nil"/>
              <w:right w:w="144" w:type="nil"/>
            </w:tcMar>
          </w:tcPr>
          <w:p w14:paraId="17CB7864" w14:textId="77777777" w:rsidR="00005F9C" w:rsidRPr="00B32742" w:rsidRDefault="00005F9C" w:rsidP="00005F9C">
            <w:pPr>
              <w:widowControl w:val="0"/>
              <w:autoSpaceDE w:val="0"/>
              <w:autoSpaceDN w:val="0"/>
              <w:adjustRightInd w:val="0"/>
              <w:jc w:val="center"/>
              <w:rPr>
                <w:sz w:val="22"/>
                <w:szCs w:val="22"/>
              </w:rPr>
            </w:pPr>
            <w:r w:rsidRPr="00B32742">
              <w:rPr>
                <w:sz w:val="22"/>
                <w:szCs w:val="22"/>
              </w:rPr>
              <w:t>0.18</w:t>
            </w:r>
          </w:p>
        </w:tc>
        <w:tc>
          <w:tcPr>
            <w:tcW w:w="1047" w:type="pct"/>
            <w:tcMar>
              <w:top w:w="144" w:type="nil"/>
              <w:right w:w="144" w:type="nil"/>
            </w:tcMar>
          </w:tcPr>
          <w:p w14:paraId="73D65849" w14:textId="77777777" w:rsidR="00005F9C" w:rsidRPr="00B32742" w:rsidRDefault="00005F9C" w:rsidP="00005F9C">
            <w:pPr>
              <w:widowControl w:val="0"/>
              <w:autoSpaceDE w:val="0"/>
              <w:autoSpaceDN w:val="0"/>
              <w:adjustRightInd w:val="0"/>
              <w:jc w:val="center"/>
              <w:rPr>
                <w:sz w:val="22"/>
                <w:szCs w:val="22"/>
                <w:lang w:val="x-none" w:eastAsia="x-none"/>
              </w:rPr>
            </w:pPr>
          </w:p>
        </w:tc>
      </w:tr>
      <w:tr w:rsidR="00005F9C" w:rsidRPr="00B32742" w14:paraId="53ADA2C0" w14:textId="77777777" w:rsidTr="00005F9C">
        <w:tc>
          <w:tcPr>
            <w:tcW w:w="1886" w:type="pct"/>
            <w:tcMar>
              <w:top w:w="144" w:type="nil"/>
              <w:right w:w="144" w:type="nil"/>
            </w:tcMar>
          </w:tcPr>
          <w:p w14:paraId="594B03B6" w14:textId="77777777" w:rsidR="00005F9C" w:rsidRPr="00B32742" w:rsidRDefault="00005F9C" w:rsidP="00005F9C">
            <w:pPr>
              <w:widowControl w:val="0"/>
              <w:autoSpaceDE w:val="0"/>
              <w:autoSpaceDN w:val="0"/>
              <w:adjustRightInd w:val="0"/>
              <w:rPr>
                <w:sz w:val="22"/>
                <w:szCs w:val="22"/>
              </w:rPr>
            </w:pPr>
            <w:r w:rsidRPr="00B32742">
              <w:rPr>
                <w:sz w:val="22"/>
                <w:szCs w:val="22"/>
              </w:rPr>
              <w:t>SSB</w:t>
            </w:r>
            <w:r w:rsidRPr="00B32742">
              <w:rPr>
                <w:sz w:val="22"/>
                <w:szCs w:val="22"/>
                <w:vertAlign w:val="subscript"/>
              </w:rPr>
              <w:t>30%SPR</w:t>
            </w:r>
            <w:r w:rsidRPr="00B32742">
              <w:rPr>
                <w:sz w:val="22"/>
                <w:szCs w:val="22"/>
              </w:rPr>
              <w:t xml:space="preserve"> (lbs females)</w:t>
            </w:r>
          </w:p>
        </w:tc>
        <w:tc>
          <w:tcPr>
            <w:tcW w:w="2067" w:type="pct"/>
            <w:tcMar>
              <w:top w:w="144" w:type="nil"/>
              <w:right w:w="144" w:type="nil"/>
            </w:tcMar>
          </w:tcPr>
          <w:p w14:paraId="2DDA3EFA" w14:textId="77777777" w:rsidR="00005F9C" w:rsidRPr="00B32742" w:rsidRDefault="00005F9C" w:rsidP="00005F9C">
            <w:pPr>
              <w:widowControl w:val="0"/>
              <w:autoSpaceDE w:val="0"/>
              <w:autoSpaceDN w:val="0"/>
              <w:adjustRightInd w:val="0"/>
              <w:jc w:val="center"/>
              <w:rPr>
                <w:sz w:val="22"/>
                <w:szCs w:val="22"/>
              </w:rPr>
            </w:pPr>
            <w:r w:rsidRPr="00B32742">
              <w:rPr>
                <w:sz w:val="22"/>
                <w:szCs w:val="22"/>
              </w:rPr>
              <w:t>4,649,200</w:t>
            </w:r>
          </w:p>
        </w:tc>
        <w:tc>
          <w:tcPr>
            <w:tcW w:w="1047" w:type="pct"/>
            <w:tcMar>
              <w:top w:w="144" w:type="nil"/>
              <w:right w:w="144" w:type="nil"/>
            </w:tcMar>
          </w:tcPr>
          <w:p w14:paraId="28AEC44E" w14:textId="77777777" w:rsidR="00005F9C" w:rsidRPr="00B32742" w:rsidRDefault="00005F9C" w:rsidP="00005F9C">
            <w:pPr>
              <w:widowControl w:val="0"/>
              <w:autoSpaceDE w:val="0"/>
              <w:autoSpaceDN w:val="0"/>
              <w:adjustRightInd w:val="0"/>
              <w:jc w:val="center"/>
              <w:rPr>
                <w:sz w:val="22"/>
                <w:szCs w:val="22"/>
                <w:lang w:val="x-none" w:eastAsia="x-none"/>
              </w:rPr>
            </w:pPr>
          </w:p>
        </w:tc>
      </w:tr>
      <w:tr w:rsidR="00005F9C" w:rsidRPr="00B32742" w14:paraId="72DCC362" w14:textId="77777777" w:rsidTr="00005F9C">
        <w:tc>
          <w:tcPr>
            <w:tcW w:w="1886" w:type="pct"/>
            <w:tcMar>
              <w:top w:w="144" w:type="nil"/>
              <w:right w:w="144" w:type="nil"/>
            </w:tcMar>
          </w:tcPr>
          <w:p w14:paraId="4749855A" w14:textId="77777777" w:rsidR="00005F9C" w:rsidRPr="00B32742" w:rsidRDefault="00005F9C" w:rsidP="00005F9C">
            <w:pPr>
              <w:widowControl w:val="0"/>
              <w:autoSpaceDE w:val="0"/>
              <w:autoSpaceDN w:val="0"/>
              <w:adjustRightInd w:val="0"/>
              <w:rPr>
                <w:sz w:val="22"/>
                <w:szCs w:val="22"/>
              </w:rPr>
            </w:pPr>
            <w:r w:rsidRPr="00B32742">
              <w:rPr>
                <w:sz w:val="22"/>
                <w:szCs w:val="22"/>
              </w:rPr>
              <w:t>MSST (lbs females)</w:t>
            </w:r>
          </w:p>
        </w:tc>
        <w:tc>
          <w:tcPr>
            <w:tcW w:w="2067" w:type="pct"/>
            <w:tcMar>
              <w:top w:w="144" w:type="nil"/>
              <w:right w:w="144" w:type="nil"/>
            </w:tcMar>
          </w:tcPr>
          <w:p w14:paraId="6A8DB339" w14:textId="77777777" w:rsidR="00005F9C" w:rsidRPr="00B32742" w:rsidRDefault="00005F9C" w:rsidP="00005F9C">
            <w:pPr>
              <w:widowControl w:val="0"/>
              <w:autoSpaceDE w:val="0"/>
              <w:autoSpaceDN w:val="0"/>
              <w:adjustRightInd w:val="0"/>
              <w:jc w:val="center"/>
              <w:rPr>
                <w:sz w:val="22"/>
                <w:szCs w:val="22"/>
              </w:rPr>
            </w:pPr>
            <w:r w:rsidRPr="00B32742">
              <w:rPr>
                <w:sz w:val="22"/>
                <w:szCs w:val="22"/>
              </w:rPr>
              <w:t>4,137,700</w:t>
            </w:r>
          </w:p>
        </w:tc>
        <w:tc>
          <w:tcPr>
            <w:tcW w:w="1047" w:type="pct"/>
            <w:tcMar>
              <w:top w:w="144" w:type="nil"/>
              <w:right w:w="144" w:type="nil"/>
            </w:tcMar>
          </w:tcPr>
          <w:p w14:paraId="59217044" w14:textId="77777777" w:rsidR="00005F9C" w:rsidRPr="00B32742" w:rsidRDefault="00005F9C" w:rsidP="00005F9C">
            <w:pPr>
              <w:widowControl w:val="0"/>
              <w:autoSpaceDE w:val="0"/>
              <w:autoSpaceDN w:val="0"/>
              <w:adjustRightInd w:val="0"/>
              <w:jc w:val="center"/>
              <w:rPr>
                <w:sz w:val="22"/>
                <w:szCs w:val="22"/>
                <w:lang w:val="x-none" w:eastAsia="x-none"/>
              </w:rPr>
            </w:pPr>
          </w:p>
        </w:tc>
      </w:tr>
      <w:tr w:rsidR="00005F9C" w:rsidRPr="00B32742" w14:paraId="6299CCB8" w14:textId="77777777" w:rsidTr="00005F9C">
        <w:tc>
          <w:tcPr>
            <w:tcW w:w="1886" w:type="pct"/>
            <w:tcMar>
              <w:top w:w="144" w:type="nil"/>
              <w:right w:w="144" w:type="nil"/>
            </w:tcMar>
          </w:tcPr>
          <w:p w14:paraId="1A4068E9" w14:textId="77777777" w:rsidR="00005F9C" w:rsidRPr="00B32742" w:rsidRDefault="00005F9C" w:rsidP="00005F9C">
            <w:pPr>
              <w:widowControl w:val="0"/>
              <w:autoSpaceDE w:val="0"/>
              <w:autoSpaceDN w:val="0"/>
              <w:adjustRightInd w:val="0"/>
              <w:rPr>
                <w:sz w:val="22"/>
                <w:szCs w:val="22"/>
              </w:rPr>
            </w:pPr>
            <w:r w:rsidRPr="00B32742">
              <w:rPr>
                <w:sz w:val="22"/>
                <w:szCs w:val="22"/>
              </w:rPr>
              <w:t>Y at F</w:t>
            </w:r>
            <w:r w:rsidRPr="00B32742">
              <w:rPr>
                <w:sz w:val="22"/>
                <w:szCs w:val="22"/>
                <w:vertAlign w:val="subscript"/>
              </w:rPr>
              <w:t>30%SPR</w:t>
            </w:r>
            <w:r w:rsidRPr="00B32742">
              <w:rPr>
                <w:sz w:val="22"/>
                <w:szCs w:val="22"/>
              </w:rPr>
              <w:t xml:space="preserve"> (MSY proxy, lbs)</w:t>
            </w:r>
          </w:p>
        </w:tc>
        <w:tc>
          <w:tcPr>
            <w:tcW w:w="2067" w:type="pct"/>
            <w:tcMar>
              <w:top w:w="144" w:type="nil"/>
              <w:right w:w="144" w:type="nil"/>
            </w:tcMar>
          </w:tcPr>
          <w:p w14:paraId="3405721C" w14:textId="77777777" w:rsidR="00005F9C" w:rsidRPr="00B32742" w:rsidRDefault="00005F9C" w:rsidP="00005F9C">
            <w:pPr>
              <w:widowControl w:val="0"/>
              <w:autoSpaceDE w:val="0"/>
              <w:autoSpaceDN w:val="0"/>
              <w:adjustRightInd w:val="0"/>
              <w:jc w:val="center"/>
              <w:rPr>
                <w:sz w:val="22"/>
                <w:szCs w:val="22"/>
              </w:rPr>
            </w:pPr>
            <w:r w:rsidRPr="00B32742">
              <w:rPr>
                <w:sz w:val="22"/>
                <w:szCs w:val="22"/>
              </w:rPr>
              <w:t>912,500</w:t>
            </w:r>
          </w:p>
        </w:tc>
        <w:tc>
          <w:tcPr>
            <w:tcW w:w="1047" w:type="pct"/>
            <w:tcMar>
              <w:top w:w="144" w:type="nil"/>
              <w:right w:w="144" w:type="nil"/>
            </w:tcMar>
          </w:tcPr>
          <w:p w14:paraId="4FF7703E" w14:textId="77777777" w:rsidR="00005F9C" w:rsidRPr="00B32742" w:rsidRDefault="00005F9C" w:rsidP="00005F9C">
            <w:pPr>
              <w:widowControl w:val="0"/>
              <w:autoSpaceDE w:val="0"/>
              <w:autoSpaceDN w:val="0"/>
              <w:adjustRightInd w:val="0"/>
              <w:jc w:val="center"/>
              <w:rPr>
                <w:sz w:val="22"/>
                <w:szCs w:val="22"/>
                <w:lang w:val="x-none" w:eastAsia="x-none"/>
              </w:rPr>
            </w:pPr>
          </w:p>
        </w:tc>
      </w:tr>
      <w:tr w:rsidR="00005F9C" w:rsidRPr="00B32742" w14:paraId="526649FC" w14:textId="77777777" w:rsidTr="00005F9C">
        <w:tc>
          <w:tcPr>
            <w:tcW w:w="1886" w:type="pct"/>
            <w:tcMar>
              <w:top w:w="144" w:type="nil"/>
              <w:right w:w="144" w:type="nil"/>
            </w:tcMar>
          </w:tcPr>
          <w:p w14:paraId="414F92A6" w14:textId="77777777" w:rsidR="00005F9C" w:rsidRPr="00B32742" w:rsidRDefault="00005F9C" w:rsidP="00005F9C">
            <w:pPr>
              <w:widowControl w:val="0"/>
              <w:autoSpaceDE w:val="0"/>
              <w:autoSpaceDN w:val="0"/>
              <w:adjustRightInd w:val="0"/>
              <w:rPr>
                <w:sz w:val="22"/>
                <w:szCs w:val="22"/>
              </w:rPr>
            </w:pPr>
            <w:r w:rsidRPr="00B32742">
              <w:rPr>
                <w:sz w:val="22"/>
                <w:szCs w:val="22"/>
              </w:rPr>
              <w:t>Y at F</w:t>
            </w:r>
            <w:r w:rsidRPr="00B32742">
              <w:rPr>
                <w:sz w:val="22"/>
                <w:szCs w:val="22"/>
                <w:vertAlign w:val="subscript"/>
              </w:rPr>
              <w:t>40%SPR</w:t>
            </w:r>
            <w:r w:rsidRPr="00B32742">
              <w:rPr>
                <w:sz w:val="22"/>
                <w:szCs w:val="22"/>
              </w:rPr>
              <w:t xml:space="preserve"> (lbs)</w:t>
            </w:r>
          </w:p>
        </w:tc>
        <w:tc>
          <w:tcPr>
            <w:tcW w:w="2067" w:type="pct"/>
            <w:tcMar>
              <w:top w:w="144" w:type="nil"/>
              <w:right w:w="144" w:type="nil"/>
            </w:tcMar>
          </w:tcPr>
          <w:p w14:paraId="24B9C20C" w14:textId="77777777" w:rsidR="00005F9C" w:rsidRPr="00B32742" w:rsidRDefault="00005F9C" w:rsidP="00005F9C">
            <w:pPr>
              <w:widowControl w:val="0"/>
              <w:autoSpaceDE w:val="0"/>
              <w:autoSpaceDN w:val="0"/>
              <w:adjustRightInd w:val="0"/>
              <w:jc w:val="center"/>
              <w:rPr>
                <w:sz w:val="22"/>
                <w:szCs w:val="22"/>
              </w:rPr>
            </w:pPr>
            <w:r w:rsidRPr="00B32742">
              <w:rPr>
                <w:sz w:val="22"/>
                <w:szCs w:val="22"/>
              </w:rPr>
              <w:t>874,000</w:t>
            </w:r>
          </w:p>
        </w:tc>
        <w:tc>
          <w:tcPr>
            <w:tcW w:w="1047" w:type="pct"/>
            <w:tcMar>
              <w:top w:w="144" w:type="nil"/>
              <w:right w:w="144" w:type="nil"/>
            </w:tcMar>
          </w:tcPr>
          <w:p w14:paraId="055614BD" w14:textId="77777777" w:rsidR="00005F9C" w:rsidRPr="00B32742" w:rsidRDefault="00005F9C" w:rsidP="00005F9C">
            <w:pPr>
              <w:widowControl w:val="0"/>
              <w:autoSpaceDE w:val="0"/>
              <w:autoSpaceDN w:val="0"/>
              <w:adjustRightInd w:val="0"/>
              <w:jc w:val="center"/>
              <w:rPr>
                <w:sz w:val="22"/>
                <w:szCs w:val="22"/>
                <w:lang w:val="x-none" w:eastAsia="x-none"/>
              </w:rPr>
            </w:pPr>
          </w:p>
        </w:tc>
      </w:tr>
      <w:tr w:rsidR="00005F9C" w:rsidRPr="00B32742" w14:paraId="1E493B89" w14:textId="77777777" w:rsidTr="00005F9C">
        <w:tc>
          <w:tcPr>
            <w:tcW w:w="1886" w:type="pct"/>
            <w:tcMar>
              <w:top w:w="144" w:type="nil"/>
              <w:right w:w="144" w:type="nil"/>
            </w:tcMar>
          </w:tcPr>
          <w:p w14:paraId="393132A5" w14:textId="77777777" w:rsidR="00005F9C" w:rsidRPr="00B32742" w:rsidRDefault="00005F9C" w:rsidP="00005F9C">
            <w:pPr>
              <w:widowControl w:val="0"/>
              <w:autoSpaceDE w:val="0"/>
              <w:autoSpaceDN w:val="0"/>
              <w:adjustRightInd w:val="0"/>
              <w:rPr>
                <w:sz w:val="22"/>
                <w:szCs w:val="22"/>
              </w:rPr>
            </w:pPr>
            <w:r w:rsidRPr="00B32742">
              <w:rPr>
                <w:sz w:val="22"/>
                <w:szCs w:val="22"/>
              </w:rPr>
              <w:t>ABC Control Rule Adjustment</w:t>
            </w:r>
          </w:p>
        </w:tc>
        <w:tc>
          <w:tcPr>
            <w:tcW w:w="2067" w:type="pct"/>
            <w:tcMar>
              <w:top w:w="144" w:type="nil"/>
              <w:right w:w="144" w:type="nil"/>
            </w:tcMar>
          </w:tcPr>
          <w:p w14:paraId="2F70C593" w14:textId="77777777" w:rsidR="00005F9C" w:rsidRPr="00B32742" w:rsidRDefault="00005F9C" w:rsidP="00005F9C">
            <w:pPr>
              <w:widowControl w:val="0"/>
              <w:autoSpaceDE w:val="0"/>
              <w:autoSpaceDN w:val="0"/>
              <w:adjustRightInd w:val="0"/>
              <w:jc w:val="center"/>
              <w:rPr>
                <w:sz w:val="22"/>
                <w:szCs w:val="22"/>
                <w:lang w:val="x-none" w:eastAsia="x-none"/>
              </w:rPr>
            </w:pPr>
          </w:p>
        </w:tc>
        <w:tc>
          <w:tcPr>
            <w:tcW w:w="1047" w:type="pct"/>
            <w:tcMar>
              <w:top w:w="144" w:type="nil"/>
              <w:right w:w="144" w:type="nil"/>
            </w:tcMar>
          </w:tcPr>
          <w:p w14:paraId="145865E2" w14:textId="77777777" w:rsidR="00005F9C" w:rsidRPr="00B32742" w:rsidRDefault="00005F9C" w:rsidP="00005F9C">
            <w:pPr>
              <w:widowControl w:val="0"/>
              <w:autoSpaceDE w:val="0"/>
              <w:autoSpaceDN w:val="0"/>
              <w:adjustRightInd w:val="0"/>
              <w:jc w:val="center"/>
              <w:rPr>
                <w:sz w:val="22"/>
                <w:szCs w:val="22"/>
              </w:rPr>
            </w:pPr>
            <w:r w:rsidRPr="00B32742">
              <w:rPr>
                <w:sz w:val="22"/>
                <w:szCs w:val="22"/>
              </w:rPr>
              <w:t>20%</w:t>
            </w:r>
          </w:p>
        </w:tc>
      </w:tr>
      <w:tr w:rsidR="00005F9C" w:rsidRPr="00B32742" w14:paraId="616100B6" w14:textId="77777777" w:rsidTr="00005F9C">
        <w:tc>
          <w:tcPr>
            <w:tcW w:w="1886" w:type="pct"/>
            <w:tcMar>
              <w:top w:w="144" w:type="nil"/>
              <w:right w:w="144" w:type="nil"/>
            </w:tcMar>
          </w:tcPr>
          <w:p w14:paraId="7A7DC597" w14:textId="77777777" w:rsidR="00005F9C" w:rsidRPr="00B32742" w:rsidRDefault="00005F9C" w:rsidP="00005F9C">
            <w:pPr>
              <w:widowControl w:val="0"/>
              <w:autoSpaceDE w:val="0"/>
              <w:autoSpaceDN w:val="0"/>
              <w:adjustRightInd w:val="0"/>
              <w:rPr>
                <w:sz w:val="22"/>
                <w:szCs w:val="22"/>
              </w:rPr>
            </w:pPr>
            <w:r w:rsidRPr="00B32742">
              <w:rPr>
                <w:sz w:val="22"/>
                <w:szCs w:val="22"/>
              </w:rPr>
              <w:t>P-Star</w:t>
            </w:r>
          </w:p>
        </w:tc>
        <w:tc>
          <w:tcPr>
            <w:tcW w:w="2067" w:type="pct"/>
            <w:tcMar>
              <w:top w:w="144" w:type="nil"/>
              <w:right w:w="144" w:type="nil"/>
            </w:tcMar>
          </w:tcPr>
          <w:p w14:paraId="4612355B" w14:textId="77777777" w:rsidR="00005F9C" w:rsidRPr="00B32742" w:rsidRDefault="00005F9C" w:rsidP="00005F9C">
            <w:pPr>
              <w:widowControl w:val="0"/>
              <w:autoSpaceDE w:val="0"/>
              <w:autoSpaceDN w:val="0"/>
              <w:adjustRightInd w:val="0"/>
              <w:jc w:val="center"/>
              <w:rPr>
                <w:sz w:val="22"/>
                <w:szCs w:val="22"/>
                <w:lang w:val="x-none" w:eastAsia="x-none"/>
              </w:rPr>
            </w:pPr>
          </w:p>
        </w:tc>
        <w:tc>
          <w:tcPr>
            <w:tcW w:w="1047" w:type="pct"/>
            <w:tcMar>
              <w:top w:w="144" w:type="nil"/>
              <w:right w:w="144" w:type="nil"/>
            </w:tcMar>
          </w:tcPr>
          <w:p w14:paraId="4395B581" w14:textId="77777777" w:rsidR="00005F9C" w:rsidRPr="00B32742" w:rsidRDefault="00005F9C" w:rsidP="00005F9C">
            <w:pPr>
              <w:widowControl w:val="0"/>
              <w:autoSpaceDE w:val="0"/>
              <w:autoSpaceDN w:val="0"/>
              <w:adjustRightInd w:val="0"/>
              <w:jc w:val="center"/>
              <w:rPr>
                <w:sz w:val="22"/>
                <w:szCs w:val="22"/>
              </w:rPr>
            </w:pPr>
            <w:r w:rsidRPr="00B32742">
              <w:rPr>
                <w:sz w:val="22"/>
                <w:szCs w:val="22"/>
              </w:rPr>
              <w:t>30%</w:t>
            </w:r>
          </w:p>
        </w:tc>
      </w:tr>
    </w:tbl>
    <w:p w14:paraId="7318B276" w14:textId="1D1015D1" w:rsidR="00110CD9" w:rsidRDefault="00110CD9">
      <w:pPr>
        <w:rPr>
          <w:rFonts w:ascii="Arial" w:hAnsi="Arial" w:cs="Arial"/>
          <w:sz w:val="20"/>
          <w:szCs w:val="20"/>
        </w:rPr>
      </w:pPr>
    </w:p>
    <w:p w14:paraId="5556F464" w14:textId="648D2369" w:rsidR="00CB46FE" w:rsidRDefault="00CB46FE" w:rsidP="0065404C">
      <w:pPr>
        <w:pStyle w:val="Tabletitle"/>
      </w:pPr>
      <w:bookmarkStart w:id="57" w:name="_Toc340431538"/>
      <w:r w:rsidRPr="0065404C">
        <w:rPr>
          <w:b/>
        </w:rPr>
        <w:t>Table 1.6.2</w:t>
      </w:r>
      <w:r w:rsidR="0065404C">
        <w:rPr>
          <w:b/>
        </w:rPr>
        <w:t>.</w:t>
      </w:r>
      <w:r>
        <w:t xml:space="preserve">  OFL recommendations for mutton s</w:t>
      </w:r>
      <w:r w:rsidRPr="00486C08">
        <w:t>napper recommendations</w:t>
      </w:r>
      <w:r>
        <w:t xml:space="preserve"> from SEDAR 15A Update (2015).</w:t>
      </w:r>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
        <w:gridCol w:w="499"/>
        <w:gridCol w:w="868"/>
        <w:gridCol w:w="1035"/>
        <w:gridCol w:w="1105"/>
        <w:gridCol w:w="2074"/>
        <w:gridCol w:w="1659"/>
        <w:gridCol w:w="1655"/>
      </w:tblGrid>
      <w:tr w:rsidR="00D85CE8" w:rsidRPr="00475D23" w14:paraId="4D3969D3" w14:textId="19039F82" w:rsidTr="000F0536">
        <w:trPr>
          <w:tblHeader/>
        </w:trPr>
        <w:tc>
          <w:tcPr>
            <w:tcW w:w="617" w:type="pct"/>
            <w:gridSpan w:val="2"/>
            <w:shd w:val="clear" w:color="auto" w:fill="D9D9D9" w:themeFill="background1" w:themeFillShade="D9"/>
          </w:tcPr>
          <w:p w14:paraId="516437E7" w14:textId="77777777" w:rsidR="00D85CE8" w:rsidRPr="00475D23" w:rsidRDefault="00D85CE8" w:rsidP="000C4129">
            <w:pPr>
              <w:widowControl w:val="0"/>
              <w:autoSpaceDE w:val="0"/>
              <w:autoSpaceDN w:val="0"/>
              <w:adjustRightInd w:val="0"/>
              <w:jc w:val="center"/>
              <w:rPr>
                <w:b/>
                <w:sz w:val="22"/>
              </w:rPr>
            </w:pPr>
          </w:p>
        </w:tc>
        <w:tc>
          <w:tcPr>
            <w:tcW w:w="3519" w:type="pct"/>
            <w:gridSpan w:val="5"/>
            <w:shd w:val="clear" w:color="auto" w:fill="D9D9D9" w:themeFill="background1" w:themeFillShade="D9"/>
            <w:tcMar>
              <w:top w:w="144" w:type="nil"/>
              <w:right w:w="144" w:type="nil"/>
            </w:tcMar>
          </w:tcPr>
          <w:p w14:paraId="678DFD40" w14:textId="2926D272" w:rsidR="00D85CE8" w:rsidRPr="00475D23" w:rsidRDefault="00D85CE8" w:rsidP="000C4129">
            <w:pPr>
              <w:widowControl w:val="0"/>
              <w:autoSpaceDE w:val="0"/>
              <w:autoSpaceDN w:val="0"/>
              <w:adjustRightInd w:val="0"/>
              <w:jc w:val="center"/>
              <w:rPr>
                <w:b/>
                <w:sz w:val="22"/>
              </w:rPr>
            </w:pPr>
            <w:r w:rsidRPr="00475D23">
              <w:rPr>
                <w:b/>
                <w:sz w:val="22"/>
              </w:rPr>
              <w:t>OFL RECOMMENDATIONS</w:t>
            </w:r>
          </w:p>
        </w:tc>
        <w:tc>
          <w:tcPr>
            <w:tcW w:w="864" w:type="pct"/>
            <w:shd w:val="clear" w:color="auto" w:fill="D9D9D9" w:themeFill="background1" w:themeFillShade="D9"/>
          </w:tcPr>
          <w:p w14:paraId="3B0AF573" w14:textId="77777777" w:rsidR="00D85CE8" w:rsidRPr="00475D23" w:rsidRDefault="00D85CE8" w:rsidP="000C4129">
            <w:pPr>
              <w:widowControl w:val="0"/>
              <w:autoSpaceDE w:val="0"/>
              <w:autoSpaceDN w:val="0"/>
              <w:adjustRightInd w:val="0"/>
              <w:jc w:val="center"/>
              <w:rPr>
                <w:b/>
                <w:sz w:val="22"/>
              </w:rPr>
            </w:pPr>
          </w:p>
        </w:tc>
      </w:tr>
      <w:tr w:rsidR="00D85CE8" w:rsidRPr="00475D23" w14:paraId="4524F8B6" w14:textId="2E771199" w:rsidTr="000F0536">
        <w:trPr>
          <w:tblHeader/>
        </w:trPr>
        <w:tc>
          <w:tcPr>
            <w:tcW w:w="356" w:type="pct"/>
            <w:shd w:val="clear" w:color="auto" w:fill="D9D9D9" w:themeFill="background1" w:themeFillShade="D9"/>
            <w:tcMar>
              <w:top w:w="144" w:type="nil"/>
              <w:right w:w="144" w:type="nil"/>
            </w:tcMar>
          </w:tcPr>
          <w:p w14:paraId="2E9D9ADF" w14:textId="77777777" w:rsidR="00D85CE8" w:rsidRPr="00475D23" w:rsidRDefault="00D85CE8" w:rsidP="000C4129">
            <w:pPr>
              <w:widowControl w:val="0"/>
              <w:autoSpaceDE w:val="0"/>
              <w:autoSpaceDN w:val="0"/>
              <w:adjustRightInd w:val="0"/>
              <w:jc w:val="center"/>
              <w:rPr>
                <w:b/>
                <w:sz w:val="22"/>
              </w:rPr>
            </w:pPr>
            <w:r w:rsidRPr="00475D23">
              <w:rPr>
                <w:b/>
                <w:sz w:val="22"/>
              </w:rPr>
              <w:t>Year</w:t>
            </w:r>
          </w:p>
        </w:tc>
        <w:tc>
          <w:tcPr>
            <w:tcW w:w="714" w:type="pct"/>
            <w:gridSpan w:val="2"/>
            <w:shd w:val="clear" w:color="auto" w:fill="D9D9D9" w:themeFill="background1" w:themeFillShade="D9"/>
            <w:tcMar>
              <w:top w:w="144" w:type="nil"/>
              <w:right w:w="144" w:type="nil"/>
            </w:tcMar>
          </w:tcPr>
          <w:p w14:paraId="6F4B20F8" w14:textId="72564762" w:rsidR="00D85CE8" w:rsidRPr="00475D23" w:rsidRDefault="00D85CE8" w:rsidP="00D85CE8">
            <w:pPr>
              <w:widowControl w:val="0"/>
              <w:autoSpaceDE w:val="0"/>
              <w:autoSpaceDN w:val="0"/>
              <w:adjustRightInd w:val="0"/>
              <w:jc w:val="center"/>
              <w:rPr>
                <w:b/>
                <w:sz w:val="22"/>
              </w:rPr>
            </w:pPr>
            <w:r w:rsidRPr="00475D23">
              <w:rPr>
                <w:b/>
                <w:sz w:val="22"/>
              </w:rPr>
              <w:t>Land</w:t>
            </w:r>
            <w:r>
              <w:rPr>
                <w:b/>
                <w:sz w:val="22"/>
              </w:rPr>
              <w:t>ings</w:t>
            </w:r>
            <w:r w:rsidRPr="00475D23">
              <w:rPr>
                <w:b/>
                <w:sz w:val="22"/>
              </w:rPr>
              <w:t xml:space="preserve"> (lbs)</w:t>
            </w:r>
          </w:p>
        </w:tc>
        <w:tc>
          <w:tcPr>
            <w:tcW w:w="540" w:type="pct"/>
            <w:shd w:val="clear" w:color="auto" w:fill="D9D9D9" w:themeFill="background1" w:themeFillShade="D9"/>
            <w:tcMar>
              <w:top w:w="144" w:type="nil"/>
              <w:right w:w="144" w:type="nil"/>
            </w:tcMar>
          </w:tcPr>
          <w:p w14:paraId="303CC0A2" w14:textId="77777777" w:rsidR="00D85CE8" w:rsidRPr="00475D23" w:rsidRDefault="00D85CE8" w:rsidP="000C4129">
            <w:pPr>
              <w:widowControl w:val="0"/>
              <w:autoSpaceDE w:val="0"/>
              <w:autoSpaceDN w:val="0"/>
              <w:adjustRightInd w:val="0"/>
              <w:jc w:val="center"/>
              <w:rPr>
                <w:b/>
                <w:sz w:val="22"/>
              </w:rPr>
            </w:pPr>
            <w:r w:rsidRPr="00475D23">
              <w:rPr>
                <w:b/>
                <w:sz w:val="22"/>
              </w:rPr>
              <w:t>Discards (lbs)</w:t>
            </w:r>
          </w:p>
        </w:tc>
        <w:tc>
          <w:tcPr>
            <w:tcW w:w="577" w:type="pct"/>
            <w:shd w:val="clear" w:color="auto" w:fill="D9D9D9" w:themeFill="background1" w:themeFillShade="D9"/>
          </w:tcPr>
          <w:p w14:paraId="603C3C1E" w14:textId="77777777" w:rsidR="00D85CE8" w:rsidRDefault="00D85CE8" w:rsidP="00D85CE8">
            <w:pPr>
              <w:widowControl w:val="0"/>
              <w:autoSpaceDE w:val="0"/>
              <w:autoSpaceDN w:val="0"/>
              <w:adjustRightInd w:val="0"/>
              <w:jc w:val="center"/>
              <w:rPr>
                <w:b/>
                <w:sz w:val="22"/>
              </w:rPr>
            </w:pPr>
            <w:r>
              <w:rPr>
                <w:b/>
                <w:sz w:val="22"/>
              </w:rPr>
              <w:t xml:space="preserve">Catch </w:t>
            </w:r>
          </w:p>
          <w:p w14:paraId="77560BE0" w14:textId="01DB3DD8" w:rsidR="00D85CE8" w:rsidRPr="00475D23" w:rsidRDefault="00D85CE8" w:rsidP="000C4129">
            <w:pPr>
              <w:widowControl w:val="0"/>
              <w:autoSpaceDE w:val="0"/>
              <w:autoSpaceDN w:val="0"/>
              <w:adjustRightInd w:val="0"/>
              <w:jc w:val="center"/>
              <w:rPr>
                <w:b/>
                <w:sz w:val="22"/>
              </w:rPr>
            </w:pPr>
            <w:r>
              <w:rPr>
                <w:b/>
                <w:sz w:val="22"/>
              </w:rPr>
              <w:t>(lbs)</w:t>
            </w:r>
          </w:p>
        </w:tc>
        <w:tc>
          <w:tcPr>
            <w:tcW w:w="1083" w:type="pct"/>
            <w:shd w:val="clear" w:color="auto" w:fill="D9D9D9" w:themeFill="background1" w:themeFillShade="D9"/>
            <w:tcMar>
              <w:top w:w="144" w:type="nil"/>
              <w:right w:w="144" w:type="nil"/>
            </w:tcMar>
          </w:tcPr>
          <w:p w14:paraId="25B6C81E" w14:textId="72FD7089" w:rsidR="00D85CE8" w:rsidRPr="00475D23" w:rsidRDefault="00D85CE8" w:rsidP="00D85CE8">
            <w:pPr>
              <w:widowControl w:val="0"/>
              <w:autoSpaceDE w:val="0"/>
              <w:autoSpaceDN w:val="0"/>
              <w:adjustRightInd w:val="0"/>
              <w:jc w:val="center"/>
              <w:rPr>
                <w:b/>
                <w:sz w:val="22"/>
              </w:rPr>
            </w:pPr>
            <w:r w:rsidRPr="00475D23">
              <w:rPr>
                <w:b/>
                <w:sz w:val="22"/>
              </w:rPr>
              <w:t>Land</w:t>
            </w:r>
            <w:r>
              <w:rPr>
                <w:b/>
                <w:sz w:val="22"/>
              </w:rPr>
              <w:t>ings</w:t>
            </w:r>
            <w:r w:rsidR="00110CD9">
              <w:rPr>
                <w:b/>
                <w:sz w:val="22"/>
              </w:rPr>
              <w:t xml:space="preserve"> </w:t>
            </w:r>
            <w:r>
              <w:rPr>
                <w:b/>
                <w:sz w:val="22"/>
              </w:rPr>
              <w:t>(numbers</w:t>
            </w:r>
            <w:r w:rsidRPr="00475D23">
              <w:rPr>
                <w:b/>
                <w:sz w:val="22"/>
              </w:rPr>
              <w:t>)</w:t>
            </w:r>
          </w:p>
        </w:tc>
        <w:tc>
          <w:tcPr>
            <w:tcW w:w="866" w:type="pct"/>
            <w:shd w:val="clear" w:color="auto" w:fill="D9D9D9" w:themeFill="background1" w:themeFillShade="D9"/>
            <w:tcMar>
              <w:top w:w="144" w:type="nil"/>
              <w:right w:w="144" w:type="nil"/>
            </w:tcMar>
          </w:tcPr>
          <w:p w14:paraId="7027E264" w14:textId="77777777" w:rsidR="00D85CE8" w:rsidRPr="00475D23" w:rsidRDefault="00D85CE8" w:rsidP="000C4129">
            <w:pPr>
              <w:widowControl w:val="0"/>
              <w:autoSpaceDE w:val="0"/>
              <w:autoSpaceDN w:val="0"/>
              <w:adjustRightInd w:val="0"/>
              <w:jc w:val="center"/>
              <w:rPr>
                <w:b/>
                <w:sz w:val="22"/>
              </w:rPr>
            </w:pPr>
            <w:r w:rsidRPr="00475D23">
              <w:rPr>
                <w:b/>
                <w:sz w:val="22"/>
              </w:rPr>
              <w:t xml:space="preserve">Discards </w:t>
            </w:r>
            <w:r>
              <w:rPr>
                <w:b/>
                <w:sz w:val="22"/>
              </w:rPr>
              <w:t>(numbers</w:t>
            </w:r>
            <w:r w:rsidRPr="00475D23">
              <w:rPr>
                <w:b/>
                <w:sz w:val="22"/>
              </w:rPr>
              <w:t>)</w:t>
            </w:r>
          </w:p>
        </w:tc>
        <w:tc>
          <w:tcPr>
            <w:tcW w:w="864" w:type="pct"/>
            <w:shd w:val="clear" w:color="auto" w:fill="D9D9D9" w:themeFill="background1" w:themeFillShade="D9"/>
          </w:tcPr>
          <w:p w14:paraId="14FC7385" w14:textId="77777777" w:rsidR="00D85CE8" w:rsidRDefault="00D85CE8" w:rsidP="00D85CE8">
            <w:pPr>
              <w:widowControl w:val="0"/>
              <w:autoSpaceDE w:val="0"/>
              <w:autoSpaceDN w:val="0"/>
              <w:adjustRightInd w:val="0"/>
              <w:jc w:val="center"/>
              <w:rPr>
                <w:b/>
                <w:sz w:val="22"/>
              </w:rPr>
            </w:pPr>
            <w:r>
              <w:rPr>
                <w:b/>
                <w:sz w:val="22"/>
              </w:rPr>
              <w:t>Catch</w:t>
            </w:r>
          </w:p>
          <w:p w14:paraId="28EAE5BD" w14:textId="33E86858" w:rsidR="00D85CE8" w:rsidRPr="00475D23" w:rsidRDefault="00D85CE8" w:rsidP="000C4129">
            <w:pPr>
              <w:widowControl w:val="0"/>
              <w:autoSpaceDE w:val="0"/>
              <w:autoSpaceDN w:val="0"/>
              <w:adjustRightInd w:val="0"/>
              <w:jc w:val="center"/>
              <w:rPr>
                <w:b/>
                <w:sz w:val="22"/>
              </w:rPr>
            </w:pPr>
            <w:r>
              <w:rPr>
                <w:b/>
                <w:sz w:val="22"/>
              </w:rPr>
              <w:t>(numbers)</w:t>
            </w:r>
          </w:p>
        </w:tc>
      </w:tr>
      <w:tr w:rsidR="00D85CE8" w:rsidRPr="00475D23" w14:paraId="081619A3" w14:textId="40A32956" w:rsidTr="000F0536">
        <w:tc>
          <w:tcPr>
            <w:tcW w:w="356" w:type="pct"/>
            <w:tcMar>
              <w:top w:w="144" w:type="nil"/>
              <w:right w:w="144" w:type="nil"/>
            </w:tcMar>
            <w:vAlign w:val="center"/>
          </w:tcPr>
          <w:p w14:paraId="62D4F52B" w14:textId="77777777" w:rsidR="00D85CE8" w:rsidRPr="00475D23" w:rsidRDefault="00D85CE8" w:rsidP="000C4129">
            <w:pPr>
              <w:widowControl w:val="0"/>
              <w:autoSpaceDE w:val="0"/>
              <w:autoSpaceDN w:val="0"/>
              <w:adjustRightInd w:val="0"/>
              <w:jc w:val="center"/>
              <w:rPr>
                <w:sz w:val="22"/>
              </w:rPr>
            </w:pPr>
            <w:r w:rsidRPr="00475D23">
              <w:rPr>
                <w:sz w:val="22"/>
              </w:rPr>
              <w:t>2017</w:t>
            </w:r>
          </w:p>
        </w:tc>
        <w:tc>
          <w:tcPr>
            <w:tcW w:w="714" w:type="pct"/>
            <w:gridSpan w:val="2"/>
            <w:tcMar>
              <w:top w:w="144" w:type="nil"/>
              <w:right w:w="144" w:type="nil"/>
            </w:tcMar>
            <w:vAlign w:val="center"/>
          </w:tcPr>
          <w:p w14:paraId="1ECE5933" w14:textId="77777777" w:rsidR="00D85CE8" w:rsidRPr="00475D23" w:rsidRDefault="00D85CE8" w:rsidP="000C4129">
            <w:pPr>
              <w:widowControl w:val="0"/>
              <w:autoSpaceDE w:val="0"/>
              <w:autoSpaceDN w:val="0"/>
              <w:adjustRightInd w:val="0"/>
              <w:jc w:val="center"/>
              <w:rPr>
                <w:sz w:val="22"/>
              </w:rPr>
            </w:pPr>
            <w:r w:rsidRPr="00475D23">
              <w:rPr>
                <w:sz w:val="22"/>
              </w:rPr>
              <w:t>751,711</w:t>
            </w:r>
          </w:p>
        </w:tc>
        <w:tc>
          <w:tcPr>
            <w:tcW w:w="540" w:type="pct"/>
            <w:tcMar>
              <w:top w:w="144" w:type="nil"/>
              <w:right w:w="144" w:type="nil"/>
            </w:tcMar>
            <w:vAlign w:val="center"/>
          </w:tcPr>
          <w:p w14:paraId="6D40C68D" w14:textId="77777777" w:rsidR="00D85CE8" w:rsidRPr="00475D23" w:rsidRDefault="00D85CE8" w:rsidP="000C4129">
            <w:pPr>
              <w:widowControl w:val="0"/>
              <w:autoSpaceDE w:val="0"/>
              <w:autoSpaceDN w:val="0"/>
              <w:adjustRightInd w:val="0"/>
              <w:jc w:val="center"/>
              <w:rPr>
                <w:sz w:val="22"/>
              </w:rPr>
            </w:pPr>
            <w:r w:rsidRPr="00475D23">
              <w:rPr>
                <w:sz w:val="22"/>
              </w:rPr>
              <w:t>55,962</w:t>
            </w:r>
          </w:p>
        </w:tc>
        <w:tc>
          <w:tcPr>
            <w:tcW w:w="577" w:type="pct"/>
          </w:tcPr>
          <w:p w14:paraId="0B3CB7B3" w14:textId="274DCBFE" w:rsidR="00D85CE8" w:rsidRPr="00475D23" w:rsidRDefault="00D85CE8" w:rsidP="000C4129">
            <w:pPr>
              <w:widowControl w:val="0"/>
              <w:autoSpaceDE w:val="0"/>
              <w:autoSpaceDN w:val="0"/>
              <w:adjustRightInd w:val="0"/>
              <w:jc w:val="center"/>
              <w:rPr>
                <w:sz w:val="22"/>
              </w:rPr>
            </w:pPr>
            <w:r>
              <w:rPr>
                <w:sz w:val="22"/>
              </w:rPr>
              <w:t>807,673</w:t>
            </w:r>
          </w:p>
        </w:tc>
        <w:tc>
          <w:tcPr>
            <w:tcW w:w="1083" w:type="pct"/>
            <w:tcMar>
              <w:top w:w="144" w:type="nil"/>
              <w:right w:w="144" w:type="nil"/>
            </w:tcMar>
            <w:vAlign w:val="center"/>
          </w:tcPr>
          <w:p w14:paraId="690E04EF" w14:textId="58F006AB" w:rsidR="00D85CE8" w:rsidRPr="00475D23" w:rsidRDefault="00D85CE8" w:rsidP="000C4129">
            <w:pPr>
              <w:widowControl w:val="0"/>
              <w:autoSpaceDE w:val="0"/>
              <w:autoSpaceDN w:val="0"/>
              <w:adjustRightInd w:val="0"/>
              <w:jc w:val="center"/>
              <w:rPr>
                <w:sz w:val="22"/>
              </w:rPr>
            </w:pPr>
            <w:r w:rsidRPr="00475D23">
              <w:rPr>
                <w:sz w:val="22"/>
              </w:rPr>
              <w:t>164,150</w:t>
            </w:r>
          </w:p>
        </w:tc>
        <w:tc>
          <w:tcPr>
            <w:tcW w:w="866" w:type="pct"/>
            <w:tcMar>
              <w:top w:w="144" w:type="nil"/>
              <w:right w:w="144" w:type="nil"/>
            </w:tcMar>
            <w:vAlign w:val="center"/>
          </w:tcPr>
          <w:p w14:paraId="59E02C73" w14:textId="77777777" w:rsidR="00D85CE8" w:rsidRPr="00475D23" w:rsidRDefault="00D85CE8" w:rsidP="000C4129">
            <w:pPr>
              <w:widowControl w:val="0"/>
              <w:autoSpaceDE w:val="0"/>
              <w:autoSpaceDN w:val="0"/>
              <w:adjustRightInd w:val="0"/>
              <w:jc w:val="center"/>
              <w:rPr>
                <w:sz w:val="22"/>
              </w:rPr>
            </w:pPr>
            <w:r w:rsidRPr="00475D23">
              <w:rPr>
                <w:sz w:val="22"/>
              </w:rPr>
              <w:t>29,660</w:t>
            </w:r>
          </w:p>
        </w:tc>
        <w:tc>
          <w:tcPr>
            <w:tcW w:w="864" w:type="pct"/>
          </w:tcPr>
          <w:p w14:paraId="4E75ABF9" w14:textId="62595D15" w:rsidR="00D85CE8" w:rsidRPr="00475D23" w:rsidRDefault="00D85CE8" w:rsidP="000C4129">
            <w:pPr>
              <w:widowControl w:val="0"/>
              <w:autoSpaceDE w:val="0"/>
              <w:autoSpaceDN w:val="0"/>
              <w:adjustRightInd w:val="0"/>
              <w:jc w:val="center"/>
              <w:rPr>
                <w:sz w:val="22"/>
              </w:rPr>
            </w:pPr>
            <w:r>
              <w:rPr>
                <w:sz w:val="22"/>
              </w:rPr>
              <w:t>193,810</w:t>
            </w:r>
          </w:p>
        </w:tc>
      </w:tr>
      <w:tr w:rsidR="00D85CE8" w:rsidRPr="00475D23" w14:paraId="650D7133" w14:textId="1353403C" w:rsidTr="000F0536">
        <w:tc>
          <w:tcPr>
            <w:tcW w:w="356" w:type="pct"/>
            <w:tcMar>
              <w:top w:w="144" w:type="nil"/>
              <w:right w:w="144" w:type="nil"/>
            </w:tcMar>
            <w:vAlign w:val="center"/>
          </w:tcPr>
          <w:p w14:paraId="52E23E3B" w14:textId="77777777" w:rsidR="00D85CE8" w:rsidRPr="00475D23" w:rsidRDefault="00D85CE8" w:rsidP="000C4129">
            <w:pPr>
              <w:widowControl w:val="0"/>
              <w:autoSpaceDE w:val="0"/>
              <w:autoSpaceDN w:val="0"/>
              <w:adjustRightInd w:val="0"/>
              <w:jc w:val="center"/>
              <w:rPr>
                <w:sz w:val="22"/>
              </w:rPr>
            </w:pPr>
            <w:r w:rsidRPr="00475D23">
              <w:rPr>
                <w:sz w:val="22"/>
              </w:rPr>
              <w:t>2018</w:t>
            </w:r>
          </w:p>
        </w:tc>
        <w:tc>
          <w:tcPr>
            <w:tcW w:w="714" w:type="pct"/>
            <w:gridSpan w:val="2"/>
            <w:tcMar>
              <w:top w:w="144" w:type="nil"/>
              <w:right w:w="144" w:type="nil"/>
            </w:tcMar>
            <w:vAlign w:val="center"/>
          </w:tcPr>
          <w:p w14:paraId="4C7A4A3B" w14:textId="77777777" w:rsidR="00D85CE8" w:rsidRPr="00475D23" w:rsidRDefault="00D85CE8" w:rsidP="000C4129">
            <w:pPr>
              <w:widowControl w:val="0"/>
              <w:autoSpaceDE w:val="0"/>
              <w:autoSpaceDN w:val="0"/>
              <w:adjustRightInd w:val="0"/>
              <w:jc w:val="center"/>
              <w:rPr>
                <w:sz w:val="22"/>
              </w:rPr>
            </w:pPr>
            <w:r w:rsidRPr="00475D23">
              <w:rPr>
                <w:sz w:val="22"/>
              </w:rPr>
              <w:t>793,823</w:t>
            </w:r>
          </w:p>
        </w:tc>
        <w:tc>
          <w:tcPr>
            <w:tcW w:w="540" w:type="pct"/>
            <w:tcMar>
              <w:top w:w="144" w:type="nil"/>
              <w:right w:w="144" w:type="nil"/>
            </w:tcMar>
            <w:vAlign w:val="center"/>
          </w:tcPr>
          <w:p w14:paraId="0A7E8963" w14:textId="77777777" w:rsidR="00D85CE8" w:rsidRPr="00475D23" w:rsidRDefault="00D85CE8" w:rsidP="000C4129">
            <w:pPr>
              <w:widowControl w:val="0"/>
              <w:autoSpaceDE w:val="0"/>
              <w:autoSpaceDN w:val="0"/>
              <w:adjustRightInd w:val="0"/>
              <w:jc w:val="center"/>
              <w:rPr>
                <w:sz w:val="22"/>
              </w:rPr>
            </w:pPr>
            <w:r w:rsidRPr="00475D23">
              <w:rPr>
                <w:sz w:val="22"/>
              </w:rPr>
              <w:t>56,994</w:t>
            </w:r>
          </w:p>
        </w:tc>
        <w:tc>
          <w:tcPr>
            <w:tcW w:w="577" w:type="pct"/>
          </w:tcPr>
          <w:p w14:paraId="04C1E811" w14:textId="6E9794A8" w:rsidR="00D85CE8" w:rsidRPr="00475D23" w:rsidRDefault="00D85CE8" w:rsidP="000C4129">
            <w:pPr>
              <w:widowControl w:val="0"/>
              <w:autoSpaceDE w:val="0"/>
              <w:autoSpaceDN w:val="0"/>
              <w:adjustRightInd w:val="0"/>
              <w:jc w:val="center"/>
              <w:rPr>
                <w:sz w:val="22"/>
              </w:rPr>
            </w:pPr>
            <w:r>
              <w:rPr>
                <w:sz w:val="22"/>
              </w:rPr>
              <w:t>850,817</w:t>
            </w:r>
          </w:p>
        </w:tc>
        <w:tc>
          <w:tcPr>
            <w:tcW w:w="1083" w:type="pct"/>
            <w:tcMar>
              <w:top w:w="144" w:type="nil"/>
              <w:right w:w="144" w:type="nil"/>
            </w:tcMar>
            <w:vAlign w:val="center"/>
          </w:tcPr>
          <w:p w14:paraId="3369472C" w14:textId="335FFEE2" w:rsidR="00D85CE8" w:rsidRPr="00475D23" w:rsidRDefault="00D85CE8" w:rsidP="000C4129">
            <w:pPr>
              <w:widowControl w:val="0"/>
              <w:autoSpaceDE w:val="0"/>
              <w:autoSpaceDN w:val="0"/>
              <w:adjustRightInd w:val="0"/>
              <w:jc w:val="center"/>
              <w:rPr>
                <w:sz w:val="22"/>
              </w:rPr>
            </w:pPr>
            <w:r w:rsidRPr="00475D23">
              <w:rPr>
                <w:sz w:val="22"/>
              </w:rPr>
              <w:t>173,656</w:t>
            </w:r>
          </w:p>
        </w:tc>
        <w:tc>
          <w:tcPr>
            <w:tcW w:w="866" w:type="pct"/>
            <w:tcMar>
              <w:top w:w="144" w:type="nil"/>
              <w:right w:w="144" w:type="nil"/>
            </w:tcMar>
            <w:vAlign w:val="center"/>
          </w:tcPr>
          <w:p w14:paraId="68DC4344" w14:textId="77777777" w:rsidR="00D85CE8" w:rsidRPr="00475D23" w:rsidRDefault="00D85CE8" w:rsidP="000C4129">
            <w:pPr>
              <w:widowControl w:val="0"/>
              <w:autoSpaceDE w:val="0"/>
              <w:autoSpaceDN w:val="0"/>
              <w:adjustRightInd w:val="0"/>
              <w:jc w:val="center"/>
              <w:rPr>
                <w:sz w:val="22"/>
              </w:rPr>
            </w:pPr>
            <w:r w:rsidRPr="00475D23">
              <w:rPr>
                <w:sz w:val="22"/>
              </w:rPr>
              <w:t>30,071</w:t>
            </w:r>
          </w:p>
        </w:tc>
        <w:tc>
          <w:tcPr>
            <w:tcW w:w="864" w:type="pct"/>
          </w:tcPr>
          <w:p w14:paraId="7BD3E9ED" w14:textId="1954E565" w:rsidR="00D85CE8" w:rsidRPr="00475D23" w:rsidRDefault="00D85CE8" w:rsidP="000C4129">
            <w:pPr>
              <w:widowControl w:val="0"/>
              <w:autoSpaceDE w:val="0"/>
              <w:autoSpaceDN w:val="0"/>
              <w:adjustRightInd w:val="0"/>
              <w:jc w:val="center"/>
              <w:rPr>
                <w:sz w:val="22"/>
              </w:rPr>
            </w:pPr>
            <w:r>
              <w:rPr>
                <w:sz w:val="22"/>
              </w:rPr>
              <w:t>203,727</w:t>
            </w:r>
          </w:p>
        </w:tc>
      </w:tr>
      <w:tr w:rsidR="00D85CE8" w:rsidRPr="00475D23" w14:paraId="568A5F1A" w14:textId="0BC228C7" w:rsidTr="000F0536">
        <w:tc>
          <w:tcPr>
            <w:tcW w:w="356" w:type="pct"/>
            <w:tcMar>
              <w:top w:w="144" w:type="nil"/>
              <w:right w:w="144" w:type="nil"/>
            </w:tcMar>
            <w:vAlign w:val="center"/>
          </w:tcPr>
          <w:p w14:paraId="4FBCA823" w14:textId="77777777" w:rsidR="00D85CE8" w:rsidRPr="00475D23" w:rsidRDefault="00D85CE8" w:rsidP="000C4129">
            <w:pPr>
              <w:widowControl w:val="0"/>
              <w:autoSpaceDE w:val="0"/>
              <w:autoSpaceDN w:val="0"/>
              <w:adjustRightInd w:val="0"/>
              <w:jc w:val="center"/>
              <w:rPr>
                <w:sz w:val="22"/>
              </w:rPr>
            </w:pPr>
            <w:r w:rsidRPr="00475D23">
              <w:rPr>
                <w:sz w:val="22"/>
              </w:rPr>
              <w:t>2019</w:t>
            </w:r>
          </w:p>
        </w:tc>
        <w:tc>
          <w:tcPr>
            <w:tcW w:w="714" w:type="pct"/>
            <w:gridSpan w:val="2"/>
            <w:tcMar>
              <w:top w:w="144" w:type="nil"/>
              <w:right w:w="144" w:type="nil"/>
            </w:tcMar>
            <w:vAlign w:val="center"/>
          </w:tcPr>
          <w:p w14:paraId="138B352A" w14:textId="77777777" w:rsidR="00D85CE8" w:rsidRPr="00475D23" w:rsidRDefault="00D85CE8" w:rsidP="000C4129">
            <w:pPr>
              <w:widowControl w:val="0"/>
              <w:autoSpaceDE w:val="0"/>
              <w:autoSpaceDN w:val="0"/>
              <w:adjustRightInd w:val="0"/>
              <w:jc w:val="center"/>
              <w:rPr>
                <w:sz w:val="22"/>
              </w:rPr>
            </w:pPr>
            <w:r w:rsidRPr="00475D23">
              <w:rPr>
                <w:sz w:val="22"/>
              </w:rPr>
              <w:t>835,318</w:t>
            </w:r>
          </w:p>
        </w:tc>
        <w:tc>
          <w:tcPr>
            <w:tcW w:w="540" w:type="pct"/>
            <w:tcMar>
              <w:top w:w="144" w:type="nil"/>
              <w:right w:w="144" w:type="nil"/>
            </w:tcMar>
            <w:vAlign w:val="center"/>
          </w:tcPr>
          <w:p w14:paraId="5E8335B1" w14:textId="77777777" w:rsidR="00D85CE8" w:rsidRPr="00475D23" w:rsidRDefault="00D85CE8" w:rsidP="000C4129">
            <w:pPr>
              <w:widowControl w:val="0"/>
              <w:autoSpaceDE w:val="0"/>
              <w:autoSpaceDN w:val="0"/>
              <w:adjustRightInd w:val="0"/>
              <w:jc w:val="center"/>
              <w:rPr>
                <w:sz w:val="22"/>
              </w:rPr>
            </w:pPr>
            <w:r w:rsidRPr="00475D23">
              <w:rPr>
                <w:sz w:val="22"/>
              </w:rPr>
              <w:t>58,170</w:t>
            </w:r>
          </w:p>
        </w:tc>
        <w:tc>
          <w:tcPr>
            <w:tcW w:w="577" w:type="pct"/>
          </w:tcPr>
          <w:p w14:paraId="2E1E1406" w14:textId="482ED283" w:rsidR="00D85CE8" w:rsidRPr="00475D23" w:rsidRDefault="00D85CE8" w:rsidP="000C4129">
            <w:pPr>
              <w:widowControl w:val="0"/>
              <w:autoSpaceDE w:val="0"/>
              <w:autoSpaceDN w:val="0"/>
              <w:adjustRightInd w:val="0"/>
              <w:jc w:val="center"/>
              <w:rPr>
                <w:sz w:val="22"/>
              </w:rPr>
            </w:pPr>
            <w:r>
              <w:rPr>
                <w:sz w:val="22"/>
              </w:rPr>
              <w:t>893,488</w:t>
            </w:r>
          </w:p>
        </w:tc>
        <w:tc>
          <w:tcPr>
            <w:tcW w:w="1083" w:type="pct"/>
            <w:tcMar>
              <w:top w:w="144" w:type="nil"/>
              <w:right w:w="144" w:type="nil"/>
            </w:tcMar>
            <w:vAlign w:val="center"/>
          </w:tcPr>
          <w:p w14:paraId="6AAFB24C" w14:textId="1DF07DFD" w:rsidR="00D85CE8" w:rsidRPr="00475D23" w:rsidRDefault="00D85CE8" w:rsidP="000C4129">
            <w:pPr>
              <w:widowControl w:val="0"/>
              <w:autoSpaceDE w:val="0"/>
              <w:autoSpaceDN w:val="0"/>
              <w:adjustRightInd w:val="0"/>
              <w:jc w:val="center"/>
              <w:rPr>
                <w:sz w:val="22"/>
              </w:rPr>
            </w:pPr>
            <w:r w:rsidRPr="00475D23">
              <w:rPr>
                <w:sz w:val="22"/>
              </w:rPr>
              <w:t>180,716</w:t>
            </w:r>
          </w:p>
        </w:tc>
        <w:tc>
          <w:tcPr>
            <w:tcW w:w="866" w:type="pct"/>
            <w:tcMar>
              <w:top w:w="144" w:type="nil"/>
              <w:right w:w="144" w:type="nil"/>
            </w:tcMar>
            <w:vAlign w:val="center"/>
          </w:tcPr>
          <w:p w14:paraId="7157F622" w14:textId="77777777" w:rsidR="00D85CE8" w:rsidRPr="00475D23" w:rsidRDefault="00D85CE8" w:rsidP="000C4129">
            <w:pPr>
              <w:widowControl w:val="0"/>
              <w:autoSpaceDE w:val="0"/>
              <w:autoSpaceDN w:val="0"/>
              <w:adjustRightInd w:val="0"/>
              <w:jc w:val="center"/>
              <w:rPr>
                <w:sz w:val="22"/>
              </w:rPr>
            </w:pPr>
            <w:r w:rsidRPr="00475D23">
              <w:rPr>
                <w:sz w:val="22"/>
              </w:rPr>
              <w:t>30,430</w:t>
            </w:r>
          </w:p>
        </w:tc>
        <w:tc>
          <w:tcPr>
            <w:tcW w:w="864" w:type="pct"/>
          </w:tcPr>
          <w:p w14:paraId="32A3218D" w14:textId="68F10358" w:rsidR="00D85CE8" w:rsidRPr="00475D23" w:rsidRDefault="00D85CE8" w:rsidP="000C4129">
            <w:pPr>
              <w:widowControl w:val="0"/>
              <w:autoSpaceDE w:val="0"/>
              <w:autoSpaceDN w:val="0"/>
              <w:adjustRightInd w:val="0"/>
              <w:jc w:val="center"/>
              <w:rPr>
                <w:sz w:val="22"/>
              </w:rPr>
            </w:pPr>
            <w:r>
              <w:rPr>
                <w:sz w:val="22"/>
              </w:rPr>
              <w:t>211,146</w:t>
            </w:r>
          </w:p>
        </w:tc>
      </w:tr>
      <w:tr w:rsidR="00D85CE8" w:rsidRPr="00475D23" w14:paraId="73DF9194" w14:textId="374AEE19" w:rsidTr="000F0536">
        <w:tc>
          <w:tcPr>
            <w:tcW w:w="356" w:type="pct"/>
            <w:tcMar>
              <w:top w:w="144" w:type="nil"/>
              <w:right w:w="144" w:type="nil"/>
            </w:tcMar>
            <w:vAlign w:val="center"/>
          </w:tcPr>
          <w:p w14:paraId="156F3FE4" w14:textId="77777777" w:rsidR="00D85CE8" w:rsidRPr="00475D23" w:rsidRDefault="00D85CE8" w:rsidP="000C4129">
            <w:pPr>
              <w:widowControl w:val="0"/>
              <w:autoSpaceDE w:val="0"/>
              <w:autoSpaceDN w:val="0"/>
              <w:adjustRightInd w:val="0"/>
              <w:jc w:val="center"/>
              <w:rPr>
                <w:sz w:val="22"/>
              </w:rPr>
            </w:pPr>
            <w:r w:rsidRPr="00475D23">
              <w:rPr>
                <w:sz w:val="22"/>
              </w:rPr>
              <w:t>2020</w:t>
            </w:r>
          </w:p>
        </w:tc>
        <w:tc>
          <w:tcPr>
            <w:tcW w:w="714" w:type="pct"/>
            <w:gridSpan w:val="2"/>
            <w:tcMar>
              <w:top w:w="144" w:type="nil"/>
              <w:right w:w="144" w:type="nil"/>
            </w:tcMar>
            <w:vAlign w:val="center"/>
          </w:tcPr>
          <w:p w14:paraId="67F2C054" w14:textId="77777777" w:rsidR="00D85CE8" w:rsidRPr="00475D23" w:rsidRDefault="00D85CE8" w:rsidP="000C4129">
            <w:pPr>
              <w:widowControl w:val="0"/>
              <w:autoSpaceDE w:val="0"/>
              <w:autoSpaceDN w:val="0"/>
              <w:adjustRightInd w:val="0"/>
              <w:jc w:val="center"/>
              <w:rPr>
                <w:sz w:val="22"/>
              </w:rPr>
            </w:pPr>
            <w:r w:rsidRPr="00475D23">
              <w:rPr>
                <w:sz w:val="22"/>
              </w:rPr>
              <w:t>850,077</w:t>
            </w:r>
          </w:p>
        </w:tc>
        <w:tc>
          <w:tcPr>
            <w:tcW w:w="540" w:type="pct"/>
            <w:tcMar>
              <w:top w:w="144" w:type="nil"/>
              <w:right w:w="144" w:type="nil"/>
            </w:tcMar>
            <w:vAlign w:val="center"/>
          </w:tcPr>
          <w:p w14:paraId="66C940B0" w14:textId="77777777" w:rsidR="00D85CE8" w:rsidRPr="00475D23" w:rsidRDefault="00D85CE8" w:rsidP="000C4129">
            <w:pPr>
              <w:widowControl w:val="0"/>
              <w:autoSpaceDE w:val="0"/>
              <w:autoSpaceDN w:val="0"/>
              <w:adjustRightInd w:val="0"/>
              <w:jc w:val="center"/>
              <w:rPr>
                <w:sz w:val="22"/>
              </w:rPr>
            </w:pPr>
            <w:r w:rsidRPr="00475D23">
              <w:rPr>
                <w:sz w:val="22"/>
              </w:rPr>
              <w:t>58,857</w:t>
            </w:r>
          </w:p>
        </w:tc>
        <w:tc>
          <w:tcPr>
            <w:tcW w:w="577" w:type="pct"/>
          </w:tcPr>
          <w:p w14:paraId="4F0AEFB4" w14:textId="474ED191" w:rsidR="00D85CE8" w:rsidRPr="00475D23" w:rsidRDefault="00D85CE8" w:rsidP="000C4129">
            <w:pPr>
              <w:widowControl w:val="0"/>
              <w:autoSpaceDE w:val="0"/>
              <w:autoSpaceDN w:val="0"/>
              <w:adjustRightInd w:val="0"/>
              <w:jc w:val="center"/>
              <w:rPr>
                <w:sz w:val="22"/>
              </w:rPr>
            </w:pPr>
            <w:r>
              <w:rPr>
                <w:sz w:val="22"/>
              </w:rPr>
              <w:t>908,934</w:t>
            </w:r>
          </w:p>
        </w:tc>
        <w:tc>
          <w:tcPr>
            <w:tcW w:w="1083" w:type="pct"/>
            <w:tcMar>
              <w:top w:w="144" w:type="nil"/>
              <w:right w:w="144" w:type="nil"/>
            </w:tcMar>
            <w:vAlign w:val="center"/>
          </w:tcPr>
          <w:p w14:paraId="51C38889" w14:textId="52F2FE19" w:rsidR="00D85CE8" w:rsidRPr="00475D23" w:rsidRDefault="00D85CE8" w:rsidP="000C4129">
            <w:pPr>
              <w:widowControl w:val="0"/>
              <w:autoSpaceDE w:val="0"/>
              <w:autoSpaceDN w:val="0"/>
              <w:adjustRightInd w:val="0"/>
              <w:jc w:val="center"/>
              <w:rPr>
                <w:sz w:val="22"/>
              </w:rPr>
            </w:pPr>
            <w:r w:rsidRPr="00475D23">
              <w:rPr>
                <w:sz w:val="22"/>
              </w:rPr>
              <w:t>184,868</w:t>
            </w:r>
          </w:p>
        </w:tc>
        <w:tc>
          <w:tcPr>
            <w:tcW w:w="866" w:type="pct"/>
            <w:tcMar>
              <w:top w:w="144" w:type="nil"/>
              <w:right w:w="144" w:type="nil"/>
            </w:tcMar>
            <w:vAlign w:val="center"/>
          </w:tcPr>
          <w:p w14:paraId="5559DF7D" w14:textId="77777777" w:rsidR="00D85CE8" w:rsidRPr="00475D23" w:rsidRDefault="00D85CE8" w:rsidP="000C4129">
            <w:pPr>
              <w:widowControl w:val="0"/>
              <w:autoSpaceDE w:val="0"/>
              <w:autoSpaceDN w:val="0"/>
              <w:adjustRightInd w:val="0"/>
              <w:jc w:val="center"/>
              <w:rPr>
                <w:sz w:val="22"/>
              </w:rPr>
            </w:pPr>
            <w:r w:rsidRPr="00475D23">
              <w:rPr>
                <w:sz w:val="22"/>
              </w:rPr>
              <w:t>30,780</w:t>
            </w:r>
          </w:p>
        </w:tc>
        <w:tc>
          <w:tcPr>
            <w:tcW w:w="864" w:type="pct"/>
          </w:tcPr>
          <w:p w14:paraId="509D00AF" w14:textId="011A34E5" w:rsidR="00D85CE8" w:rsidRPr="00475D23" w:rsidRDefault="00D85CE8" w:rsidP="000C4129">
            <w:pPr>
              <w:widowControl w:val="0"/>
              <w:autoSpaceDE w:val="0"/>
              <w:autoSpaceDN w:val="0"/>
              <w:adjustRightInd w:val="0"/>
              <w:jc w:val="center"/>
              <w:rPr>
                <w:sz w:val="22"/>
              </w:rPr>
            </w:pPr>
            <w:r>
              <w:rPr>
                <w:sz w:val="22"/>
              </w:rPr>
              <w:t>215,648</w:t>
            </w:r>
          </w:p>
        </w:tc>
      </w:tr>
    </w:tbl>
    <w:p w14:paraId="1FB832AD" w14:textId="148630EE" w:rsidR="000C4129" w:rsidRDefault="000C4129" w:rsidP="000C4129"/>
    <w:p w14:paraId="57750C1A" w14:textId="54F9213D" w:rsidR="00CB46FE" w:rsidRDefault="00CB46FE" w:rsidP="0065404C">
      <w:pPr>
        <w:pStyle w:val="Tabletitle"/>
      </w:pPr>
      <w:bookmarkStart w:id="58" w:name="_Toc340431539"/>
      <w:r w:rsidRPr="0065404C">
        <w:rPr>
          <w:b/>
        </w:rPr>
        <w:t>Table 1.6.3</w:t>
      </w:r>
      <w:r w:rsidR="0065404C" w:rsidRPr="0065404C">
        <w:rPr>
          <w:b/>
        </w:rPr>
        <w:t>.</w:t>
      </w:r>
      <w:r>
        <w:t xml:space="preserve">  ABC recommendations for mutton s</w:t>
      </w:r>
      <w:r w:rsidRPr="00486C08">
        <w:t>napper recommendations</w:t>
      </w:r>
      <w:r>
        <w:t xml:space="preserve"> from SEDAR 15A Update (2015) and the SSC.</w:t>
      </w:r>
      <w:r w:rsidR="00DE4AD0">
        <w:t xml:space="preserve">  ABC would be specified based on landing projections in numbers of fish.</w:t>
      </w:r>
      <w:r w:rsidR="000F0536">
        <w:t xml:space="preserve">  The South Atlantic Council’s apportionment is 82% of the ABC.</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
        <w:gridCol w:w="1318"/>
        <w:gridCol w:w="1153"/>
        <w:gridCol w:w="34"/>
        <w:gridCol w:w="931"/>
        <w:gridCol w:w="1318"/>
        <w:gridCol w:w="1950"/>
        <w:gridCol w:w="2191"/>
      </w:tblGrid>
      <w:tr w:rsidR="00D85CE8" w:rsidRPr="00475D23" w14:paraId="22B539E3" w14:textId="77777777" w:rsidTr="000F0536">
        <w:trPr>
          <w:tblHeader/>
        </w:trPr>
        <w:tc>
          <w:tcPr>
            <w:tcW w:w="1646" w:type="pct"/>
            <w:gridSpan w:val="3"/>
            <w:shd w:val="clear" w:color="auto" w:fill="D9D9D9" w:themeFill="background1" w:themeFillShade="D9"/>
          </w:tcPr>
          <w:p w14:paraId="13FDAE1D" w14:textId="77777777" w:rsidR="00D85CE8" w:rsidRPr="00475D23" w:rsidRDefault="00D85CE8" w:rsidP="00D85CE8">
            <w:pPr>
              <w:widowControl w:val="0"/>
              <w:autoSpaceDE w:val="0"/>
              <w:autoSpaceDN w:val="0"/>
              <w:adjustRightInd w:val="0"/>
              <w:jc w:val="center"/>
              <w:rPr>
                <w:b/>
                <w:sz w:val="22"/>
              </w:rPr>
            </w:pPr>
          </w:p>
        </w:tc>
        <w:tc>
          <w:tcPr>
            <w:tcW w:w="2210" w:type="pct"/>
            <w:gridSpan w:val="4"/>
            <w:shd w:val="clear" w:color="auto" w:fill="D9D9D9" w:themeFill="background1" w:themeFillShade="D9"/>
            <w:tcMar>
              <w:top w:w="144" w:type="nil"/>
              <w:right w:w="144" w:type="nil"/>
            </w:tcMar>
          </w:tcPr>
          <w:p w14:paraId="060D5DAA" w14:textId="158B8756" w:rsidR="00D85CE8" w:rsidRPr="00475D23" w:rsidRDefault="00D85CE8" w:rsidP="00AF508F">
            <w:pPr>
              <w:widowControl w:val="0"/>
              <w:autoSpaceDE w:val="0"/>
              <w:autoSpaceDN w:val="0"/>
              <w:adjustRightInd w:val="0"/>
              <w:jc w:val="center"/>
              <w:rPr>
                <w:b/>
                <w:sz w:val="22"/>
              </w:rPr>
            </w:pPr>
            <w:r w:rsidRPr="00475D23">
              <w:rPr>
                <w:b/>
                <w:sz w:val="22"/>
              </w:rPr>
              <w:t>ABC RECOMMENDATIONS (P* = 0.</w:t>
            </w:r>
            <w:r w:rsidR="00AF508F">
              <w:rPr>
                <w:b/>
                <w:sz w:val="22"/>
              </w:rPr>
              <w:t>30</w:t>
            </w:r>
            <w:r w:rsidRPr="00475D23">
              <w:rPr>
                <w:b/>
                <w:sz w:val="22"/>
              </w:rPr>
              <w:t>)</w:t>
            </w:r>
          </w:p>
        </w:tc>
        <w:tc>
          <w:tcPr>
            <w:tcW w:w="1144" w:type="pct"/>
            <w:shd w:val="clear" w:color="auto" w:fill="D9D9D9" w:themeFill="background1" w:themeFillShade="D9"/>
          </w:tcPr>
          <w:p w14:paraId="49CEEF0A" w14:textId="77777777" w:rsidR="00D85CE8" w:rsidRPr="00475D23" w:rsidRDefault="00D85CE8" w:rsidP="00D85CE8">
            <w:pPr>
              <w:widowControl w:val="0"/>
              <w:autoSpaceDE w:val="0"/>
              <w:autoSpaceDN w:val="0"/>
              <w:adjustRightInd w:val="0"/>
              <w:jc w:val="center"/>
              <w:rPr>
                <w:b/>
                <w:sz w:val="22"/>
              </w:rPr>
            </w:pPr>
          </w:p>
        </w:tc>
      </w:tr>
      <w:tr w:rsidR="00D85CE8" w:rsidRPr="00475D23" w14:paraId="5CFD5FB8" w14:textId="77777777" w:rsidTr="000F0536">
        <w:trPr>
          <w:tblHeader/>
        </w:trPr>
        <w:tc>
          <w:tcPr>
            <w:tcW w:w="356" w:type="pct"/>
            <w:shd w:val="clear" w:color="auto" w:fill="D9D9D9" w:themeFill="background1" w:themeFillShade="D9"/>
            <w:tcMar>
              <w:top w:w="144" w:type="nil"/>
              <w:right w:w="144" w:type="nil"/>
            </w:tcMar>
          </w:tcPr>
          <w:p w14:paraId="1D7A787B" w14:textId="77777777" w:rsidR="00D85CE8" w:rsidRPr="00475D23" w:rsidRDefault="00D85CE8" w:rsidP="00D85CE8">
            <w:pPr>
              <w:widowControl w:val="0"/>
              <w:autoSpaceDE w:val="0"/>
              <w:autoSpaceDN w:val="0"/>
              <w:adjustRightInd w:val="0"/>
              <w:jc w:val="center"/>
              <w:rPr>
                <w:b/>
                <w:sz w:val="22"/>
              </w:rPr>
            </w:pPr>
            <w:r w:rsidRPr="00475D23">
              <w:rPr>
                <w:b/>
                <w:sz w:val="22"/>
              </w:rPr>
              <w:t>Year</w:t>
            </w:r>
          </w:p>
        </w:tc>
        <w:tc>
          <w:tcPr>
            <w:tcW w:w="688" w:type="pct"/>
            <w:shd w:val="clear" w:color="auto" w:fill="D9D9D9" w:themeFill="background1" w:themeFillShade="D9"/>
            <w:tcMar>
              <w:top w:w="144" w:type="nil"/>
              <w:right w:w="144" w:type="nil"/>
            </w:tcMar>
          </w:tcPr>
          <w:p w14:paraId="7E6CD74E" w14:textId="77777777" w:rsidR="00D85CE8" w:rsidRPr="00475D23" w:rsidRDefault="00D85CE8" w:rsidP="00D85CE8">
            <w:pPr>
              <w:widowControl w:val="0"/>
              <w:autoSpaceDE w:val="0"/>
              <w:autoSpaceDN w:val="0"/>
              <w:adjustRightInd w:val="0"/>
              <w:jc w:val="center"/>
              <w:rPr>
                <w:b/>
                <w:sz w:val="22"/>
              </w:rPr>
            </w:pPr>
            <w:r w:rsidRPr="00475D23">
              <w:rPr>
                <w:b/>
                <w:sz w:val="22"/>
              </w:rPr>
              <w:t>Land</w:t>
            </w:r>
            <w:r>
              <w:rPr>
                <w:b/>
                <w:sz w:val="22"/>
              </w:rPr>
              <w:t>ings</w:t>
            </w:r>
            <w:r w:rsidRPr="00475D23">
              <w:rPr>
                <w:b/>
                <w:sz w:val="22"/>
              </w:rPr>
              <w:t xml:space="preserve"> (lbs)</w:t>
            </w:r>
          </w:p>
        </w:tc>
        <w:tc>
          <w:tcPr>
            <w:tcW w:w="620" w:type="pct"/>
            <w:gridSpan w:val="2"/>
            <w:shd w:val="clear" w:color="auto" w:fill="D9D9D9" w:themeFill="background1" w:themeFillShade="D9"/>
            <w:tcMar>
              <w:top w:w="144" w:type="nil"/>
              <w:right w:w="144" w:type="nil"/>
            </w:tcMar>
          </w:tcPr>
          <w:p w14:paraId="308CB643" w14:textId="77777777" w:rsidR="00D85CE8" w:rsidRPr="00475D23" w:rsidRDefault="00D85CE8" w:rsidP="00D85CE8">
            <w:pPr>
              <w:widowControl w:val="0"/>
              <w:autoSpaceDE w:val="0"/>
              <w:autoSpaceDN w:val="0"/>
              <w:adjustRightInd w:val="0"/>
              <w:jc w:val="center"/>
              <w:rPr>
                <w:b/>
                <w:sz w:val="22"/>
              </w:rPr>
            </w:pPr>
            <w:r w:rsidRPr="00475D23">
              <w:rPr>
                <w:b/>
                <w:sz w:val="22"/>
              </w:rPr>
              <w:t>Discards (lbs)</w:t>
            </w:r>
          </w:p>
        </w:tc>
        <w:tc>
          <w:tcPr>
            <w:tcW w:w="486" w:type="pct"/>
            <w:shd w:val="clear" w:color="auto" w:fill="D9D9D9" w:themeFill="background1" w:themeFillShade="D9"/>
          </w:tcPr>
          <w:p w14:paraId="2138E39C" w14:textId="77777777" w:rsidR="00D85CE8" w:rsidRDefault="00D85CE8" w:rsidP="00D85CE8">
            <w:pPr>
              <w:widowControl w:val="0"/>
              <w:autoSpaceDE w:val="0"/>
              <w:autoSpaceDN w:val="0"/>
              <w:adjustRightInd w:val="0"/>
              <w:jc w:val="center"/>
              <w:rPr>
                <w:b/>
                <w:sz w:val="22"/>
              </w:rPr>
            </w:pPr>
            <w:r>
              <w:rPr>
                <w:b/>
                <w:sz w:val="22"/>
              </w:rPr>
              <w:t>Catch</w:t>
            </w:r>
          </w:p>
          <w:p w14:paraId="1E80A526" w14:textId="77777777" w:rsidR="00D85CE8" w:rsidRPr="00475D23" w:rsidRDefault="00D85CE8" w:rsidP="00D85CE8">
            <w:pPr>
              <w:widowControl w:val="0"/>
              <w:autoSpaceDE w:val="0"/>
              <w:autoSpaceDN w:val="0"/>
              <w:adjustRightInd w:val="0"/>
              <w:jc w:val="center"/>
              <w:rPr>
                <w:b/>
                <w:sz w:val="22"/>
              </w:rPr>
            </w:pPr>
            <w:r>
              <w:rPr>
                <w:b/>
                <w:sz w:val="22"/>
              </w:rPr>
              <w:t>(lbs)</w:t>
            </w:r>
          </w:p>
        </w:tc>
        <w:tc>
          <w:tcPr>
            <w:tcW w:w="688" w:type="pct"/>
            <w:shd w:val="clear" w:color="auto" w:fill="D9D9D9" w:themeFill="background1" w:themeFillShade="D9"/>
            <w:tcMar>
              <w:top w:w="144" w:type="nil"/>
              <w:right w:w="144" w:type="nil"/>
            </w:tcMar>
          </w:tcPr>
          <w:p w14:paraId="484C759A" w14:textId="77777777" w:rsidR="00D85CE8" w:rsidRPr="00475D23" w:rsidRDefault="00D85CE8" w:rsidP="00D85CE8">
            <w:pPr>
              <w:widowControl w:val="0"/>
              <w:autoSpaceDE w:val="0"/>
              <w:autoSpaceDN w:val="0"/>
              <w:adjustRightInd w:val="0"/>
              <w:jc w:val="center"/>
              <w:rPr>
                <w:b/>
                <w:sz w:val="22"/>
              </w:rPr>
            </w:pPr>
            <w:r w:rsidRPr="00475D23">
              <w:rPr>
                <w:b/>
                <w:sz w:val="22"/>
              </w:rPr>
              <w:t>Land</w:t>
            </w:r>
            <w:r>
              <w:rPr>
                <w:b/>
                <w:sz w:val="22"/>
              </w:rPr>
              <w:t>ings</w:t>
            </w:r>
            <w:r w:rsidRPr="00475D23">
              <w:rPr>
                <w:b/>
                <w:sz w:val="22"/>
              </w:rPr>
              <w:t xml:space="preserve"> </w:t>
            </w:r>
            <w:r>
              <w:rPr>
                <w:b/>
                <w:sz w:val="22"/>
              </w:rPr>
              <w:t>(numbers</w:t>
            </w:r>
            <w:r w:rsidRPr="00475D23">
              <w:rPr>
                <w:b/>
                <w:sz w:val="22"/>
              </w:rPr>
              <w:t>)</w:t>
            </w:r>
          </w:p>
        </w:tc>
        <w:tc>
          <w:tcPr>
            <w:tcW w:w="1018" w:type="pct"/>
            <w:shd w:val="clear" w:color="auto" w:fill="D9D9D9" w:themeFill="background1" w:themeFillShade="D9"/>
            <w:tcMar>
              <w:top w:w="144" w:type="nil"/>
              <w:right w:w="144" w:type="nil"/>
            </w:tcMar>
          </w:tcPr>
          <w:p w14:paraId="384863C5" w14:textId="77777777" w:rsidR="00D85CE8" w:rsidRPr="00475D23" w:rsidRDefault="00D85CE8" w:rsidP="00D85CE8">
            <w:pPr>
              <w:widowControl w:val="0"/>
              <w:autoSpaceDE w:val="0"/>
              <w:autoSpaceDN w:val="0"/>
              <w:adjustRightInd w:val="0"/>
              <w:jc w:val="center"/>
              <w:rPr>
                <w:b/>
                <w:sz w:val="22"/>
              </w:rPr>
            </w:pPr>
            <w:r w:rsidRPr="00475D23">
              <w:rPr>
                <w:b/>
                <w:sz w:val="22"/>
              </w:rPr>
              <w:t xml:space="preserve">Discards </w:t>
            </w:r>
            <w:r>
              <w:rPr>
                <w:b/>
                <w:sz w:val="22"/>
              </w:rPr>
              <w:t>(numbers</w:t>
            </w:r>
            <w:r w:rsidRPr="00475D23">
              <w:rPr>
                <w:b/>
                <w:sz w:val="22"/>
              </w:rPr>
              <w:t>)</w:t>
            </w:r>
          </w:p>
        </w:tc>
        <w:tc>
          <w:tcPr>
            <w:tcW w:w="1144" w:type="pct"/>
            <w:shd w:val="clear" w:color="auto" w:fill="D9D9D9" w:themeFill="background1" w:themeFillShade="D9"/>
          </w:tcPr>
          <w:p w14:paraId="4C2859B4" w14:textId="77777777" w:rsidR="00D85CE8" w:rsidRDefault="00D85CE8" w:rsidP="00D85CE8">
            <w:pPr>
              <w:widowControl w:val="0"/>
              <w:autoSpaceDE w:val="0"/>
              <w:autoSpaceDN w:val="0"/>
              <w:adjustRightInd w:val="0"/>
              <w:jc w:val="center"/>
              <w:rPr>
                <w:b/>
                <w:sz w:val="22"/>
              </w:rPr>
            </w:pPr>
            <w:r>
              <w:rPr>
                <w:b/>
                <w:sz w:val="22"/>
              </w:rPr>
              <w:t>Catch</w:t>
            </w:r>
          </w:p>
          <w:p w14:paraId="43061FC3" w14:textId="77777777" w:rsidR="00D85CE8" w:rsidRPr="00475D23" w:rsidRDefault="00D85CE8" w:rsidP="00D85CE8">
            <w:pPr>
              <w:widowControl w:val="0"/>
              <w:autoSpaceDE w:val="0"/>
              <w:autoSpaceDN w:val="0"/>
              <w:adjustRightInd w:val="0"/>
              <w:jc w:val="center"/>
              <w:rPr>
                <w:b/>
                <w:sz w:val="22"/>
              </w:rPr>
            </w:pPr>
            <w:r>
              <w:rPr>
                <w:b/>
                <w:sz w:val="22"/>
              </w:rPr>
              <w:t>(numbers)</w:t>
            </w:r>
          </w:p>
        </w:tc>
      </w:tr>
      <w:tr w:rsidR="00D85CE8" w:rsidRPr="00475D23" w14:paraId="4EF351F0" w14:textId="77777777" w:rsidTr="000F0536">
        <w:tc>
          <w:tcPr>
            <w:tcW w:w="356" w:type="pct"/>
            <w:tcMar>
              <w:top w:w="144" w:type="nil"/>
              <w:right w:w="144" w:type="nil"/>
            </w:tcMar>
            <w:vAlign w:val="center"/>
          </w:tcPr>
          <w:p w14:paraId="67FF08CE" w14:textId="77777777" w:rsidR="00D85CE8" w:rsidRPr="00475D23" w:rsidRDefault="00D85CE8" w:rsidP="00D85CE8">
            <w:pPr>
              <w:widowControl w:val="0"/>
              <w:autoSpaceDE w:val="0"/>
              <w:autoSpaceDN w:val="0"/>
              <w:adjustRightInd w:val="0"/>
              <w:jc w:val="center"/>
              <w:rPr>
                <w:sz w:val="22"/>
              </w:rPr>
            </w:pPr>
            <w:r w:rsidRPr="00475D23">
              <w:rPr>
                <w:sz w:val="22"/>
              </w:rPr>
              <w:t>2017</w:t>
            </w:r>
          </w:p>
        </w:tc>
        <w:tc>
          <w:tcPr>
            <w:tcW w:w="688" w:type="pct"/>
            <w:tcMar>
              <w:top w:w="144" w:type="nil"/>
              <w:right w:w="144" w:type="nil"/>
            </w:tcMar>
            <w:vAlign w:val="center"/>
          </w:tcPr>
          <w:p w14:paraId="3E01A4DF" w14:textId="77777777" w:rsidR="00D85CE8" w:rsidRPr="00475D23" w:rsidRDefault="00D85CE8" w:rsidP="00D85CE8">
            <w:pPr>
              <w:widowControl w:val="0"/>
              <w:autoSpaceDE w:val="0"/>
              <w:autoSpaceDN w:val="0"/>
              <w:adjustRightInd w:val="0"/>
              <w:jc w:val="center"/>
              <w:rPr>
                <w:sz w:val="22"/>
              </w:rPr>
            </w:pPr>
            <w:r w:rsidRPr="00475D23">
              <w:rPr>
                <w:sz w:val="22"/>
              </w:rPr>
              <w:t>717,200</w:t>
            </w:r>
          </w:p>
        </w:tc>
        <w:tc>
          <w:tcPr>
            <w:tcW w:w="620" w:type="pct"/>
            <w:gridSpan w:val="2"/>
            <w:tcMar>
              <w:top w:w="144" w:type="nil"/>
              <w:right w:w="144" w:type="nil"/>
            </w:tcMar>
            <w:vAlign w:val="center"/>
          </w:tcPr>
          <w:p w14:paraId="601ED747" w14:textId="77777777" w:rsidR="00D85CE8" w:rsidRPr="00475D23" w:rsidRDefault="00D85CE8" w:rsidP="00D85CE8">
            <w:pPr>
              <w:widowControl w:val="0"/>
              <w:autoSpaceDE w:val="0"/>
              <w:autoSpaceDN w:val="0"/>
              <w:adjustRightInd w:val="0"/>
              <w:jc w:val="center"/>
              <w:rPr>
                <w:sz w:val="22"/>
              </w:rPr>
            </w:pPr>
            <w:r w:rsidRPr="00475D23">
              <w:rPr>
                <w:sz w:val="22"/>
              </w:rPr>
              <w:t>53,700</w:t>
            </w:r>
          </w:p>
        </w:tc>
        <w:tc>
          <w:tcPr>
            <w:tcW w:w="486" w:type="pct"/>
          </w:tcPr>
          <w:p w14:paraId="1A359796" w14:textId="77777777" w:rsidR="00D85CE8" w:rsidRPr="00475D23" w:rsidRDefault="00D85CE8" w:rsidP="00D85CE8">
            <w:pPr>
              <w:widowControl w:val="0"/>
              <w:autoSpaceDE w:val="0"/>
              <w:autoSpaceDN w:val="0"/>
              <w:adjustRightInd w:val="0"/>
              <w:jc w:val="center"/>
              <w:rPr>
                <w:sz w:val="22"/>
              </w:rPr>
            </w:pPr>
            <w:r>
              <w:rPr>
                <w:sz w:val="22"/>
              </w:rPr>
              <w:t>770,900</w:t>
            </w:r>
          </w:p>
        </w:tc>
        <w:tc>
          <w:tcPr>
            <w:tcW w:w="688" w:type="pct"/>
            <w:tcMar>
              <w:top w:w="144" w:type="nil"/>
              <w:right w:w="144" w:type="nil"/>
            </w:tcMar>
            <w:vAlign w:val="center"/>
          </w:tcPr>
          <w:p w14:paraId="15051256" w14:textId="77777777" w:rsidR="00D85CE8" w:rsidRPr="00475D23" w:rsidRDefault="00D85CE8" w:rsidP="00D85CE8">
            <w:pPr>
              <w:widowControl w:val="0"/>
              <w:autoSpaceDE w:val="0"/>
              <w:autoSpaceDN w:val="0"/>
              <w:adjustRightInd w:val="0"/>
              <w:jc w:val="center"/>
              <w:rPr>
                <w:sz w:val="22"/>
              </w:rPr>
            </w:pPr>
            <w:r w:rsidRPr="00475D23">
              <w:rPr>
                <w:sz w:val="22"/>
              </w:rPr>
              <w:t>157,500</w:t>
            </w:r>
          </w:p>
        </w:tc>
        <w:tc>
          <w:tcPr>
            <w:tcW w:w="1018" w:type="pct"/>
            <w:tcMar>
              <w:top w:w="144" w:type="nil"/>
              <w:right w:w="144" w:type="nil"/>
            </w:tcMar>
            <w:vAlign w:val="center"/>
          </w:tcPr>
          <w:p w14:paraId="7E9D3399" w14:textId="77777777" w:rsidR="00D85CE8" w:rsidRPr="00475D23" w:rsidRDefault="00D85CE8" w:rsidP="00D85CE8">
            <w:pPr>
              <w:widowControl w:val="0"/>
              <w:autoSpaceDE w:val="0"/>
              <w:autoSpaceDN w:val="0"/>
              <w:adjustRightInd w:val="0"/>
              <w:jc w:val="center"/>
              <w:rPr>
                <w:sz w:val="22"/>
              </w:rPr>
            </w:pPr>
            <w:r w:rsidRPr="00475D23">
              <w:rPr>
                <w:sz w:val="22"/>
              </w:rPr>
              <w:t>28,400</w:t>
            </w:r>
          </w:p>
        </w:tc>
        <w:tc>
          <w:tcPr>
            <w:tcW w:w="1144" w:type="pct"/>
          </w:tcPr>
          <w:p w14:paraId="6FD163EC" w14:textId="77777777" w:rsidR="00D85CE8" w:rsidRPr="00475D23" w:rsidRDefault="00D85CE8" w:rsidP="00D85CE8">
            <w:pPr>
              <w:widowControl w:val="0"/>
              <w:autoSpaceDE w:val="0"/>
              <w:autoSpaceDN w:val="0"/>
              <w:adjustRightInd w:val="0"/>
              <w:jc w:val="center"/>
              <w:rPr>
                <w:sz w:val="22"/>
              </w:rPr>
            </w:pPr>
            <w:r>
              <w:rPr>
                <w:sz w:val="22"/>
              </w:rPr>
              <w:t>185,900</w:t>
            </w:r>
          </w:p>
        </w:tc>
      </w:tr>
      <w:tr w:rsidR="00D85CE8" w:rsidRPr="00475D23" w14:paraId="78B9745E" w14:textId="77777777" w:rsidTr="000F0536">
        <w:tc>
          <w:tcPr>
            <w:tcW w:w="356" w:type="pct"/>
            <w:tcMar>
              <w:top w:w="144" w:type="nil"/>
              <w:right w:w="144" w:type="nil"/>
            </w:tcMar>
            <w:vAlign w:val="center"/>
          </w:tcPr>
          <w:p w14:paraId="679B521B" w14:textId="77777777" w:rsidR="00D85CE8" w:rsidRPr="00475D23" w:rsidRDefault="00D85CE8" w:rsidP="00D85CE8">
            <w:pPr>
              <w:widowControl w:val="0"/>
              <w:autoSpaceDE w:val="0"/>
              <w:autoSpaceDN w:val="0"/>
              <w:adjustRightInd w:val="0"/>
              <w:jc w:val="center"/>
              <w:rPr>
                <w:sz w:val="22"/>
              </w:rPr>
            </w:pPr>
            <w:r w:rsidRPr="00475D23">
              <w:rPr>
                <w:sz w:val="22"/>
              </w:rPr>
              <w:t>2018</w:t>
            </w:r>
          </w:p>
        </w:tc>
        <w:tc>
          <w:tcPr>
            <w:tcW w:w="688" w:type="pct"/>
            <w:tcMar>
              <w:top w:w="144" w:type="nil"/>
              <w:right w:w="144" w:type="nil"/>
            </w:tcMar>
            <w:vAlign w:val="center"/>
          </w:tcPr>
          <w:p w14:paraId="4CA9C18E" w14:textId="77777777" w:rsidR="00D85CE8" w:rsidRPr="00475D23" w:rsidRDefault="00D85CE8" w:rsidP="00D85CE8">
            <w:pPr>
              <w:widowControl w:val="0"/>
              <w:autoSpaceDE w:val="0"/>
              <w:autoSpaceDN w:val="0"/>
              <w:adjustRightInd w:val="0"/>
              <w:jc w:val="center"/>
              <w:rPr>
                <w:sz w:val="22"/>
              </w:rPr>
            </w:pPr>
            <w:r w:rsidRPr="00475D23">
              <w:rPr>
                <w:sz w:val="22"/>
              </w:rPr>
              <w:t>746,800</w:t>
            </w:r>
          </w:p>
        </w:tc>
        <w:tc>
          <w:tcPr>
            <w:tcW w:w="620" w:type="pct"/>
            <w:gridSpan w:val="2"/>
            <w:tcMar>
              <w:top w:w="144" w:type="nil"/>
              <w:right w:w="144" w:type="nil"/>
            </w:tcMar>
            <w:vAlign w:val="center"/>
          </w:tcPr>
          <w:p w14:paraId="27734612" w14:textId="77777777" w:rsidR="00D85CE8" w:rsidRPr="00475D23" w:rsidRDefault="00D85CE8" w:rsidP="00D85CE8">
            <w:pPr>
              <w:widowControl w:val="0"/>
              <w:autoSpaceDE w:val="0"/>
              <w:autoSpaceDN w:val="0"/>
              <w:adjustRightInd w:val="0"/>
              <w:jc w:val="center"/>
              <w:rPr>
                <w:sz w:val="22"/>
              </w:rPr>
            </w:pPr>
            <w:r w:rsidRPr="00475D23">
              <w:rPr>
                <w:sz w:val="22"/>
              </w:rPr>
              <w:t>53,900</w:t>
            </w:r>
          </w:p>
        </w:tc>
        <w:tc>
          <w:tcPr>
            <w:tcW w:w="486" w:type="pct"/>
          </w:tcPr>
          <w:p w14:paraId="0C53E015" w14:textId="77777777" w:rsidR="00D85CE8" w:rsidRPr="00475D23" w:rsidRDefault="00D85CE8" w:rsidP="00D85CE8">
            <w:pPr>
              <w:widowControl w:val="0"/>
              <w:autoSpaceDE w:val="0"/>
              <w:autoSpaceDN w:val="0"/>
              <w:adjustRightInd w:val="0"/>
              <w:jc w:val="center"/>
              <w:rPr>
                <w:sz w:val="22"/>
              </w:rPr>
            </w:pPr>
            <w:r>
              <w:rPr>
                <w:sz w:val="22"/>
              </w:rPr>
              <w:t>800,700</w:t>
            </w:r>
          </w:p>
        </w:tc>
        <w:tc>
          <w:tcPr>
            <w:tcW w:w="688" w:type="pct"/>
            <w:tcMar>
              <w:top w:w="144" w:type="nil"/>
              <w:right w:w="144" w:type="nil"/>
            </w:tcMar>
            <w:vAlign w:val="center"/>
          </w:tcPr>
          <w:p w14:paraId="08C83A4F" w14:textId="77777777" w:rsidR="00D85CE8" w:rsidRPr="00475D23" w:rsidRDefault="00D85CE8" w:rsidP="00D85CE8">
            <w:pPr>
              <w:widowControl w:val="0"/>
              <w:autoSpaceDE w:val="0"/>
              <w:autoSpaceDN w:val="0"/>
              <w:adjustRightInd w:val="0"/>
              <w:jc w:val="center"/>
              <w:rPr>
                <w:sz w:val="22"/>
              </w:rPr>
            </w:pPr>
            <w:r w:rsidRPr="00475D23">
              <w:rPr>
                <w:sz w:val="22"/>
              </w:rPr>
              <w:t>164,500</w:t>
            </w:r>
          </w:p>
        </w:tc>
        <w:tc>
          <w:tcPr>
            <w:tcW w:w="1018" w:type="pct"/>
            <w:tcMar>
              <w:top w:w="144" w:type="nil"/>
              <w:right w:w="144" w:type="nil"/>
            </w:tcMar>
            <w:vAlign w:val="center"/>
          </w:tcPr>
          <w:p w14:paraId="0471906A" w14:textId="77777777" w:rsidR="00D85CE8" w:rsidRPr="00475D23" w:rsidRDefault="00D85CE8" w:rsidP="00D85CE8">
            <w:pPr>
              <w:widowControl w:val="0"/>
              <w:autoSpaceDE w:val="0"/>
              <w:autoSpaceDN w:val="0"/>
              <w:adjustRightInd w:val="0"/>
              <w:jc w:val="center"/>
              <w:rPr>
                <w:sz w:val="22"/>
              </w:rPr>
            </w:pPr>
            <w:r w:rsidRPr="00475D23">
              <w:rPr>
                <w:sz w:val="22"/>
              </w:rPr>
              <w:t>28,300</w:t>
            </w:r>
          </w:p>
        </w:tc>
        <w:tc>
          <w:tcPr>
            <w:tcW w:w="1144" w:type="pct"/>
          </w:tcPr>
          <w:p w14:paraId="13BDF054" w14:textId="77777777" w:rsidR="00D85CE8" w:rsidRPr="00475D23" w:rsidRDefault="00D85CE8" w:rsidP="00D85CE8">
            <w:pPr>
              <w:widowControl w:val="0"/>
              <w:autoSpaceDE w:val="0"/>
              <w:autoSpaceDN w:val="0"/>
              <w:adjustRightInd w:val="0"/>
              <w:jc w:val="center"/>
              <w:rPr>
                <w:sz w:val="22"/>
              </w:rPr>
            </w:pPr>
            <w:r>
              <w:rPr>
                <w:sz w:val="22"/>
              </w:rPr>
              <w:t>192,800</w:t>
            </w:r>
          </w:p>
        </w:tc>
      </w:tr>
      <w:tr w:rsidR="00D85CE8" w:rsidRPr="00475D23" w14:paraId="25307D78" w14:textId="77777777" w:rsidTr="000F0536">
        <w:tc>
          <w:tcPr>
            <w:tcW w:w="356" w:type="pct"/>
            <w:tcMar>
              <w:top w:w="144" w:type="nil"/>
              <w:right w:w="144" w:type="nil"/>
            </w:tcMar>
            <w:vAlign w:val="center"/>
          </w:tcPr>
          <w:p w14:paraId="7DB240A4" w14:textId="77777777" w:rsidR="00D85CE8" w:rsidRPr="00475D23" w:rsidRDefault="00D85CE8" w:rsidP="00D85CE8">
            <w:pPr>
              <w:widowControl w:val="0"/>
              <w:autoSpaceDE w:val="0"/>
              <w:autoSpaceDN w:val="0"/>
              <w:adjustRightInd w:val="0"/>
              <w:jc w:val="center"/>
              <w:rPr>
                <w:sz w:val="22"/>
              </w:rPr>
            </w:pPr>
            <w:r w:rsidRPr="00475D23">
              <w:rPr>
                <w:sz w:val="22"/>
              </w:rPr>
              <w:t>2019</w:t>
            </w:r>
          </w:p>
        </w:tc>
        <w:tc>
          <w:tcPr>
            <w:tcW w:w="688" w:type="pct"/>
            <w:tcMar>
              <w:top w:w="144" w:type="nil"/>
              <w:right w:w="144" w:type="nil"/>
            </w:tcMar>
            <w:vAlign w:val="center"/>
          </w:tcPr>
          <w:p w14:paraId="3A66D594" w14:textId="77777777" w:rsidR="00D85CE8" w:rsidRPr="00475D23" w:rsidRDefault="00D85CE8" w:rsidP="00D85CE8">
            <w:pPr>
              <w:widowControl w:val="0"/>
              <w:autoSpaceDE w:val="0"/>
              <w:autoSpaceDN w:val="0"/>
              <w:adjustRightInd w:val="0"/>
              <w:jc w:val="center"/>
              <w:rPr>
                <w:sz w:val="22"/>
              </w:rPr>
            </w:pPr>
            <w:r w:rsidRPr="00475D23">
              <w:rPr>
                <w:sz w:val="22"/>
              </w:rPr>
              <w:t>774,400</w:t>
            </w:r>
          </w:p>
        </w:tc>
        <w:tc>
          <w:tcPr>
            <w:tcW w:w="620" w:type="pct"/>
            <w:gridSpan w:val="2"/>
            <w:tcMar>
              <w:top w:w="144" w:type="nil"/>
              <w:right w:w="144" w:type="nil"/>
            </w:tcMar>
            <w:vAlign w:val="center"/>
          </w:tcPr>
          <w:p w14:paraId="161C6E4D" w14:textId="77777777" w:rsidR="00D85CE8" w:rsidRPr="00475D23" w:rsidRDefault="00D85CE8" w:rsidP="00D85CE8">
            <w:pPr>
              <w:widowControl w:val="0"/>
              <w:autoSpaceDE w:val="0"/>
              <w:autoSpaceDN w:val="0"/>
              <w:adjustRightInd w:val="0"/>
              <w:jc w:val="center"/>
              <w:rPr>
                <w:sz w:val="22"/>
              </w:rPr>
            </w:pPr>
            <w:r w:rsidRPr="00475D23">
              <w:rPr>
                <w:sz w:val="22"/>
              </w:rPr>
              <w:t>54,400</w:t>
            </w:r>
          </w:p>
        </w:tc>
        <w:tc>
          <w:tcPr>
            <w:tcW w:w="486" w:type="pct"/>
          </w:tcPr>
          <w:p w14:paraId="5BC04A26" w14:textId="77777777" w:rsidR="00D85CE8" w:rsidRPr="00475D23" w:rsidRDefault="00D85CE8" w:rsidP="00D85CE8">
            <w:pPr>
              <w:widowControl w:val="0"/>
              <w:autoSpaceDE w:val="0"/>
              <w:autoSpaceDN w:val="0"/>
              <w:adjustRightInd w:val="0"/>
              <w:jc w:val="center"/>
              <w:rPr>
                <w:sz w:val="22"/>
              </w:rPr>
            </w:pPr>
            <w:r>
              <w:rPr>
                <w:sz w:val="22"/>
              </w:rPr>
              <w:t>828,800</w:t>
            </w:r>
          </w:p>
        </w:tc>
        <w:tc>
          <w:tcPr>
            <w:tcW w:w="688" w:type="pct"/>
            <w:tcMar>
              <w:top w:w="144" w:type="nil"/>
              <w:right w:w="144" w:type="nil"/>
            </w:tcMar>
            <w:vAlign w:val="center"/>
          </w:tcPr>
          <w:p w14:paraId="7AE98D43" w14:textId="77777777" w:rsidR="00D85CE8" w:rsidRPr="00475D23" w:rsidRDefault="00D85CE8" w:rsidP="00D85CE8">
            <w:pPr>
              <w:widowControl w:val="0"/>
              <w:autoSpaceDE w:val="0"/>
              <w:autoSpaceDN w:val="0"/>
              <w:adjustRightInd w:val="0"/>
              <w:jc w:val="center"/>
              <w:rPr>
                <w:sz w:val="22"/>
              </w:rPr>
            </w:pPr>
            <w:r w:rsidRPr="00475D23">
              <w:rPr>
                <w:sz w:val="22"/>
              </w:rPr>
              <w:t>169,300</w:t>
            </w:r>
          </w:p>
        </w:tc>
        <w:tc>
          <w:tcPr>
            <w:tcW w:w="1018" w:type="pct"/>
            <w:tcMar>
              <w:top w:w="144" w:type="nil"/>
              <w:right w:w="144" w:type="nil"/>
            </w:tcMar>
            <w:vAlign w:val="center"/>
          </w:tcPr>
          <w:p w14:paraId="6CDD2E09" w14:textId="77777777" w:rsidR="00D85CE8" w:rsidRPr="00475D23" w:rsidRDefault="00D85CE8" w:rsidP="00D85CE8">
            <w:pPr>
              <w:widowControl w:val="0"/>
              <w:autoSpaceDE w:val="0"/>
              <w:autoSpaceDN w:val="0"/>
              <w:adjustRightInd w:val="0"/>
              <w:jc w:val="center"/>
              <w:rPr>
                <w:sz w:val="22"/>
              </w:rPr>
            </w:pPr>
            <w:r w:rsidRPr="00475D23">
              <w:rPr>
                <w:sz w:val="22"/>
              </w:rPr>
              <w:t>28,300</w:t>
            </w:r>
          </w:p>
        </w:tc>
        <w:tc>
          <w:tcPr>
            <w:tcW w:w="1144" w:type="pct"/>
          </w:tcPr>
          <w:p w14:paraId="7C3C0248" w14:textId="77777777" w:rsidR="00D85CE8" w:rsidRPr="00475D23" w:rsidRDefault="00D85CE8" w:rsidP="00D85CE8">
            <w:pPr>
              <w:widowControl w:val="0"/>
              <w:autoSpaceDE w:val="0"/>
              <w:autoSpaceDN w:val="0"/>
              <w:adjustRightInd w:val="0"/>
              <w:jc w:val="center"/>
              <w:rPr>
                <w:sz w:val="22"/>
              </w:rPr>
            </w:pPr>
            <w:r>
              <w:rPr>
                <w:sz w:val="22"/>
              </w:rPr>
              <w:t>197,600</w:t>
            </w:r>
          </w:p>
        </w:tc>
      </w:tr>
      <w:tr w:rsidR="00D85CE8" w:rsidRPr="00475D23" w14:paraId="612B23B2" w14:textId="77777777" w:rsidTr="000F0536">
        <w:tc>
          <w:tcPr>
            <w:tcW w:w="356" w:type="pct"/>
            <w:tcMar>
              <w:top w:w="144" w:type="nil"/>
              <w:right w:w="144" w:type="nil"/>
            </w:tcMar>
            <w:vAlign w:val="center"/>
          </w:tcPr>
          <w:p w14:paraId="504A1B11" w14:textId="77777777" w:rsidR="00D85CE8" w:rsidRPr="00475D23" w:rsidRDefault="00D85CE8" w:rsidP="00D85CE8">
            <w:pPr>
              <w:widowControl w:val="0"/>
              <w:autoSpaceDE w:val="0"/>
              <w:autoSpaceDN w:val="0"/>
              <w:adjustRightInd w:val="0"/>
              <w:jc w:val="center"/>
              <w:rPr>
                <w:sz w:val="22"/>
              </w:rPr>
            </w:pPr>
            <w:r w:rsidRPr="00475D23">
              <w:rPr>
                <w:sz w:val="22"/>
              </w:rPr>
              <w:t>2020</w:t>
            </w:r>
          </w:p>
        </w:tc>
        <w:tc>
          <w:tcPr>
            <w:tcW w:w="688" w:type="pct"/>
            <w:tcMar>
              <w:top w:w="144" w:type="nil"/>
              <w:right w:w="144" w:type="nil"/>
            </w:tcMar>
            <w:vAlign w:val="center"/>
          </w:tcPr>
          <w:p w14:paraId="45FD370A" w14:textId="77777777" w:rsidR="00D85CE8" w:rsidRPr="00475D23" w:rsidRDefault="00D85CE8" w:rsidP="00D85CE8">
            <w:pPr>
              <w:widowControl w:val="0"/>
              <w:autoSpaceDE w:val="0"/>
              <w:autoSpaceDN w:val="0"/>
              <w:adjustRightInd w:val="0"/>
              <w:jc w:val="center"/>
              <w:rPr>
                <w:sz w:val="22"/>
              </w:rPr>
            </w:pPr>
            <w:r w:rsidRPr="00475D23">
              <w:rPr>
                <w:sz w:val="22"/>
              </w:rPr>
              <w:t>798,300</w:t>
            </w:r>
          </w:p>
        </w:tc>
        <w:tc>
          <w:tcPr>
            <w:tcW w:w="620" w:type="pct"/>
            <w:gridSpan w:val="2"/>
            <w:tcMar>
              <w:top w:w="144" w:type="nil"/>
              <w:right w:w="144" w:type="nil"/>
            </w:tcMar>
            <w:vAlign w:val="center"/>
          </w:tcPr>
          <w:p w14:paraId="1E3548A3" w14:textId="77777777" w:rsidR="00D85CE8" w:rsidRPr="00475D23" w:rsidRDefault="00D85CE8" w:rsidP="00D85CE8">
            <w:pPr>
              <w:widowControl w:val="0"/>
              <w:autoSpaceDE w:val="0"/>
              <w:autoSpaceDN w:val="0"/>
              <w:adjustRightInd w:val="0"/>
              <w:jc w:val="center"/>
              <w:rPr>
                <w:sz w:val="22"/>
              </w:rPr>
            </w:pPr>
            <w:r w:rsidRPr="00475D23">
              <w:rPr>
                <w:sz w:val="22"/>
              </w:rPr>
              <w:t>54,500</w:t>
            </w:r>
          </w:p>
        </w:tc>
        <w:tc>
          <w:tcPr>
            <w:tcW w:w="486" w:type="pct"/>
          </w:tcPr>
          <w:p w14:paraId="7D304C0F" w14:textId="77777777" w:rsidR="00D85CE8" w:rsidRPr="00475D23" w:rsidRDefault="00D85CE8" w:rsidP="00D85CE8">
            <w:pPr>
              <w:widowControl w:val="0"/>
              <w:autoSpaceDE w:val="0"/>
              <w:autoSpaceDN w:val="0"/>
              <w:adjustRightInd w:val="0"/>
              <w:jc w:val="center"/>
              <w:rPr>
                <w:sz w:val="22"/>
              </w:rPr>
            </w:pPr>
            <w:r>
              <w:rPr>
                <w:sz w:val="22"/>
              </w:rPr>
              <w:t>852,800</w:t>
            </w:r>
          </w:p>
        </w:tc>
        <w:tc>
          <w:tcPr>
            <w:tcW w:w="688" w:type="pct"/>
            <w:tcMar>
              <w:top w:w="144" w:type="nil"/>
              <w:right w:w="144" w:type="nil"/>
            </w:tcMar>
            <w:vAlign w:val="center"/>
          </w:tcPr>
          <w:p w14:paraId="40E2DA27" w14:textId="77777777" w:rsidR="00D85CE8" w:rsidRPr="00475D23" w:rsidRDefault="00D85CE8" w:rsidP="00D85CE8">
            <w:pPr>
              <w:widowControl w:val="0"/>
              <w:autoSpaceDE w:val="0"/>
              <w:autoSpaceDN w:val="0"/>
              <w:adjustRightInd w:val="0"/>
              <w:jc w:val="center"/>
              <w:rPr>
                <w:sz w:val="22"/>
              </w:rPr>
            </w:pPr>
            <w:r w:rsidRPr="00475D23">
              <w:rPr>
                <w:sz w:val="22"/>
              </w:rPr>
              <w:t>172,700</w:t>
            </w:r>
          </w:p>
        </w:tc>
        <w:tc>
          <w:tcPr>
            <w:tcW w:w="1018" w:type="pct"/>
            <w:tcMar>
              <w:top w:w="144" w:type="nil"/>
              <w:right w:w="144" w:type="nil"/>
            </w:tcMar>
            <w:vAlign w:val="center"/>
          </w:tcPr>
          <w:p w14:paraId="59D7EA00" w14:textId="77777777" w:rsidR="00D85CE8" w:rsidRPr="00475D23" w:rsidRDefault="00D85CE8" w:rsidP="00D85CE8">
            <w:pPr>
              <w:widowControl w:val="0"/>
              <w:autoSpaceDE w:val="0"/>
              <w:autoSpaceDN w:val="0"/>
              <w:adjustRightInd w:val="0"/>
              <w:jc w:val="center"/>
              <w:rPr>
                <w:sz w:val="22"/>
              </w:rPr>
            </w:pPr>
            <w:r w:rsidRPr="00475D23">
              <w:rPr>
                <w:sz w:val="22"/>
              </w:rPr>
              <w:t>28,300</w:t>
            </w:r>
          </w:p>
        </w:tc>
        <w:tc>
          <w:tcPr>
            <w:tcW w:w="1144" w:type="pct"/>
          </w:tcPr>
          <w:p w14:paraId="4B38E80D" w14:textId="77777777" w:rsidR="00D85CE8" w:rsidRPr="00475D23" w:rsidRDefault="00D85CE8" w:rsidP="00D85CE8">
            <w:pPr>
              <w:widowControl w:val="0"/>
              <w:autoSpaceDE w:val="0"/>
              <w:autoSpaceDN w:val="0"/>
              <w:adjustRightInd w:val="0"/>
              <w:jc w:val="center"/>
              <w:rPr>
                <w:sz w:val="22"/>
              </w:rPr>
            </w:pPr>
            <w:r>
              <w:rPr>
                <w:sz w:val="22"/>
              </w:rPr>
              <w:t>201,000</w:t>
            </w:r>
          </w:p>
        </w:tc>
      </w:tr>
    </w:tbl>
    <w:p w14:paraId="3DAF9541" w14:textId="77777777" w:rsidR="00D85CE8" w:rsidRDefault="00D85CE8" w:rsidP="000C4129"/>
    <w:p w14:paraId="135B1DD6" w14:textId="73CDD332" w:rsidR="00CB46FE" w:rsidRDefault="000C4129" w:rsidP="00CB46FE">
      <w:pPr>
        <w:ind w:firstLine="360"/>
        <w:rPr>
          <w:i/>
        </w:rPr>
      </w:pPr>
      <w:r w:rsidRPr="00CC4CCC">
        <w:t>The Comprehensive ACL Amendment (SAFMC 2011</w:t>
      </w:r>
      <w:r w:rsidR="003061E9">
        <w:t>c</w:t>
      </w:r>
      <w:r w:rsidRPr="00CC4CCC">
        <w:t>) established a j</w:t>
      </w:r>
      <w:r>
        <w:t>urisdictional allocation between the South Atlantic and Gulf of Mexico Councils for the mutton snapper ABC</w:t>
      </w:r>
      <w:r w:rsidR="00CB46FE">
        <w:t>.  The jurisdictional allocation was</w:t>
      </w:r>
      <w:r>
        <w:t xml:space="preserve"> </w:t>
      </w:r>
      <w:r w:rsidRPr="00C520E2">
        <w:t>based on the Florida Keys (Monroe County) jurisdictional boundary between the G</w:t>
      </w:r>
      <w:r>
        <w:t>ulf and South Atlantic Councils</w:t>
      </w:r>
      <w:r w:rsidR="00CB46FE">
        <w:t>.  The</w:t>
      </w:r>
      <w:r>
        <w:t xml:space="preserve"> </w:t>
      </w:r>
      <w:r w:rsidRPr="00C520E2">
        <w:t xml:space="preserve">South Atlantic </w:t>
      </w:r>
      <w:r>
        <w:t>Council was allocated 82% of the ABC</w:t>
      </w:r>
      <w:r w:rsidRPr="00C520E2">
        <w:t xml:space="preserve"> and </w:t>
      </w:r>
      <w:r>
        <w:t>the Gulf Council received 18% of the ABC (established</w:t>
      </w:r>
      <w:r w:rsidRPr="00C520E2">
        <w:t xml:space="preserve"> using 50% of average landings from 1990-2008 + 50% of average landings from 2006-2008)</w:t>
      </w:r>
      <w:r w:rsidR="00CB46FE">
        <w:t xml:space="preserve"> (</w:t>
      </w:r>
      <w:r w:rsidR="00CB46FE" w:rsidRPr="0065404C">
        <w:rPr>
          <w:b/>
        </w:rPr>
        <w:t>Table 1.6.4</w:t>
      </w:r>
      <w:r w:rsidR="0065404C">
        <w:t>)</w:t>
      </w:r>
      <w:r w:rsidRPr="00C520E2">
        <w:t>.</w:t>
      </w:r>
      <w:r>
        <w:t xml:space="preserve">  </w:t>
      </w:r>
      <w:r w:rsidR="00CB46FE" w:rsidRPr="00CB46FE">
        <w:t xml:space="preserve"> </w:t>
      </w:r>
      <w:r w:rsidR="00CB46FE" w:rsidRPr="00056789">
        <w:t xml:space="preserve">The current commercial </w:t>
      </w:r>
      <w:r w:rsidR="00CB46FE">
        <w:t>annual catch limit (</w:t>
      </w:r>
      <w:r w:rsidR="00CB46FE" w:rsidRPr="00056789">
        <w:t>ACL</w:t>
      </w:r>
      <w:r w:rsidR="00CB46FE">
        <w:t>)</w:t>
      </w:r>
      <w:r w:rsidR="00CB46FE" w:rsidRPr="00056789">
        <w:t xml:space="preserve"> (17.02</w:t>
      </w:r>
      <w:r w:rsidR="00CB46FE">
        <w:t>3851</w:t>
      </w:r>
      <w:r w:rsidR="00CB46FE" w:rsidRPr="00056789">
        <w:t>%) is 157,743 lbs ww</w:t>
      </w:r>
      <w:r w:rsidR="00CB46FE">
        <w:t xml:space="preserve"> and the recreational ACL (82.976149</w:t>
      </w:r>
      <w:r w:rsidR="00CB46FE" w:rsidRPr="00056789">
        <w:t>%) is 768,857 lbs ww</w:t>
      </w:r>
      <w:r w:rsidR="00CB46FE">
        <w:t xml:space="preserve"> </w:t>
      </w:r>
      <w:r w:rsidR="00CB46FE" w:rsidRPr="00322985">
        <w:rPr>
          <w:i/>
        </w:rPr>
        <w:t xml:space="preserve">(NOTE: The commercial allocation in the Comp ACL was 17.02% and the recreational allocation was 82.98%.  However the ACLs that were implemented were calculated using this </w:t>
      </w:r>
      <w:r w:rsidR="00B6244C">
        <w:rPr>
          <w:i/>
        </w:rPr>
        <w:t xml:space="preserve">allocation to </w:t>
      </w:r>
      <w:r w:rsidR="00B6244C" w:rsidRPr="00322985">
        <w:rPr>
          <w:i/>
        </w:rPr>
        <w:t xml:space="preserve">6 decimal places </w:t>
      </w:r>
      <w:r w:rsidR="00B6244C">
        <w:rPr>
          <w:i/>
        </w:rPr>
        <w:t xml:space="preserve">(17.019965% and 82.980045%) </w:t>
      </w:r>
      <w:r w:rsidR="00B6244C" w:rsidRPr="00322985">
        <w:rPr>
          <w:i/>
        </w:rPr>
        <w:t>instead of 2.</w:t>
      </w:r>
    </w:p>
    <w:p w14:paraId="7567C8D3" w14:textId="77777777" w:rsidR="00BA34DF" w:rsidRDefault="00BA34DF">
      <w:pPr>
        <w:rPr>
          <w:rFonts w:ascii="Arial" w:hAnsi="Arial"/>
          <w:b/>
          <w:bCs/>
          <w:sz w:val="20"/>
        </w:rPr>
      </w:pPr>
      <w:r>
        <w:rPr>
          <w:b/>
        </w:rPr>
        <w:br w:type="page"/>
      </w:r>
    </w:p>
    <w:p w14:paraId="3361A959" w14:textId="19A1F604" w:rsidR="000C4129" w:rsidRPr="0065404C" w:rsidRDefault="00CB46FE" w:rsidP="0065404C">
      <w:pPr>
        <w:pStyle w:val="Tabletitle"/>
        <w:rPr>
          <w:i/>
        </w:rPr>
      </w:pPr>
      <w:bookmarkStart w:id="59" w:name="_Toc340431540"/>
      <w:r w:rsidRPr="0065404C">
        <w:rPr>
          <w:b/>
        </w:rPr>
        <w:lastRenderedPageBreak/>
        <w:t>Table 1.6.4.</w:t>
      </w:r>
      <w:r w:rsidRPr="00E265BD">
        <w:t xml:space="preserve"> </w:t>
      </w:r>
      <w:r w:rsidR="0065404C">
        <w:t xml:space="preserve"> </w:t>
      </w:r>
      <w:r w:rsidRPr="00E265BD">
        <w:t>Management benchmarks and allowable fishing levels established through the Comprehensive ACL Amendment (lbs ww).</w:t>
      </w:r>
      <w:bookmarkEnd w:id="59"/>
    </w:p>
    <w:p w14:paraId="44AA7806" w14:textId="77777777" w:rsidR="000C4129" w:rsidRDefault="000C4129" w:rsidP="000C4129">
      <w:pPr>
        <w:rPr>
          <w:b/>
        </w:rPr>
      </w:pPr>
      <w:r>
        <w:rPr>
          <w:b/>
          <w:noProof/>
        </w:rPr>
        <w:drawing>
          <wp:inline distT="0" distB="0" distL="0" distR="0" wp14:anchorId="4158B449" wp14:editId="03091D34">
            <wp:extent cx="2377440" cy="1511292"/>
            <wp:effectExtent l="0" t="0" r="1016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7440" cy="1511292"/>
                    </a:xfrm>
                    <a:prstGeom prst="rect">
                      <a:avLst/>
                    </a:prstGeom>
                    <a:noFill/>
                    <a:ln>
                      <a:noFill/>
                    </a:ln>
                  </pic:spPr>
                </pic:pic>
              </a:graphicData>
            </a:graphic>
          </wp:inline>
        </w:drawing>
      </w:r>
    </w:p>
    <w:p w14:paraId="3A9F5D65" w14:textId="77777777" w:rsidR="00C41736" w:rsidRDefault="00C41736" w:rsidP="000C4129">
      <w:pPr>
        <w:rPr>
          <w:b/>
        </w:rPr>
      </w:pPr>
    </w:p>
    <w:p w14:paraId="3B664B63" w14:textId="47753A61" w:rsidR="00FF2B14" w:rsidRPr="003D1E11" w:rsidRDefault="00FF2B14" w:rsidP="00581C7F">
      <w:pPr>
        <w:ind w:firstLine="360"/>
      </w:pPr>
      <w:r w:rsidRPr="003D1E11">
        <w:t xml:space="preserve">The Magnuson-Stevens Act </w:t>
      </w:r>
      <w:r>
        <w:t xml:space="preserve">NS 1 </w:t>
      </w:r>
      <w:r w:rsidR="00BA34DF">
        <w:t>g</w:t>
      </w:r>
      <w:r w:rsidRPr="003D1E11">
        <w:t>uidelines</w:t>
      </w:r>
      <w:r>
        <w:fldChar w:fldCharType="begin"/>
      </w:r>
      <w:r>
        <w:instrText xml:space="preserve"> XE "</w:instrText>
      </w:r>
      <w:r w:rsidRPr="00F04A74">
        <w:instrText>National Standard 1 Guidelines</w:instrText>
      </w:r>
      <w:r>
        <w:instrText xml:space="preserve">" </w:instrText>
      </w:r>
      <w:r>
        <w:fldChar w:fldCharType="end"/>
      </w:r>
      <w:r w:rsidRPr="003D1E11">
        <w:t xml:space="preserve"> provide a definition of overfishing</w:t>
      </w:r>
      <w:r>
        <w:fldChar w:fldCharType="begin"/>
      </w:r>
      <w:r>
        <w:instrText xml:space="preserve"> XE "</w:instrText>
      </w:r>
      <w:r w:rsidRPr="00095BD6">
        <w:rPr>
          <w:i/>
        </w:rPr>
        <w:instrText>overfishing</w:instrText>
      </w:r>
      <w:r>
        <w:instrText xml:space="preserve">" </w:instrText>
      </w:r>
      <w:r>
        <w:fldChar w:fldCharType="end"/>
      </w:r>
      <w:r w:rsidRPr="003D1E11">
        <w:t xml:space="preserve"> that allows overfishing to be determined in two ways, by a fishing mortal</w:t>
      </w:r>
      <w:r>
        <w:t xml:space="preserve">ity rate or by a level of catch (see 50 C.F.R § 600.310 (e)(2)(i)(B)).  </w:t>
      </w:r>
      <w:r w:rsidRPr="003D1E11">
        <w:t xml:space="preserve">The </w:t>
      </w:r>
      <w:r>
        <w:t>NS</w:t>
      </w:r>
      <w:r w:rsidRPr="003D1E11">
        <w:t xml:space="preserve"> 1 Guidelines</w:t>
      </w:r>
      <w:r>
        <w:fldChar w:fldCharType="begin"/>
      </w:r>
      <w:r>
        <w:instrText xml:space="preserve"> XE "</w:instrText>
      </w:r>
      <w:r w:rsidRPr="00F04A74">
        <w:instrText>National Standard 1 Guidelines</w:instrText>
      </w:r>
      <w:r>
        <w:instrText xml:space="preserve">" </w:instrText>
      </w:r>
      <w:r>
        <w:fldChar w:fldCharType="end"/>
      </w:r>
      <w:r w:rsidRPr="003D1E11">
        <w:t xml:space="preserve"> provide more detail about these two methods, and require that </w:t>
      </w:r>
      <w:r>
        <w:t>fishery management plan</w:t>
      </w:r>
      <w:r w:rsidRPr="003D1E11">
        <w:t xml:space="preserve">s </w:t>
      </w:r>
      <w:r>
        <w:t xml:space="preserve">(FMP) </w:t>
      </w:r>
      <w:r w:rsidRPr="003D1E11">
        <w:t>describe which method will be used to determine an overfishing</w:t>
      </w:r>
      <w:r>
        <w:fldChar w:fldCharType="begin"/>
      </w:r>
      <w:r>
        <w:instrText xml:space="preserve"> XE "</w:instrText>
      </w:r>
      <w:r w:rsidRPr="00095BD6">
        <w:rPr>
          <w:i/>
        </w:rPr>
        <w:instrText>overfishing</w:instrText>
      </w:r>
      <w:r>
        <w:instrText xml:space="preserve">" </w:instrText>
      </w:r>
      <w:r>
        <w:fldChar w:fldCharType="end"/>
      </w:r>
      <w:r>
        <w:t xml:space="preserve"> status (see </w:t>
      </w:r>
      <w:r w:rsidRPr="003D1E11">
        <w:t>50</w:t>
      </w:r>
      <w:r>
        <w:t xml:space="preserve"> C.F.R. § 600.310 (e)(2)(ii)(A)).  The overfishing definition for mutton snapper is addressed in Amendment 37 to the Snapper Grouper Fishery Management Plan (SAFMC, under </w:t>
      </w:r>
      <w:r w:rsidR="0070375D">
        <w:t>review</w:t>
      </w:r>
      <w:r>
        <w:t>).</w:t>
      </w:r>
    </w:p>
    <w:p w14:paraId="702D9898" w14:textId="77777777" w:rsidR="00073C09" w:rsidRDefault="00E31AB6" w:rsidP="00D85CE8">
      <w:pPr>
        <w:ind w:firstLine="360"/>
        <w:sectPr w:rsidR="00073C09" w:rsidSect="00667CDC">
          <w:footerReference w:type="even" r:id="rId31"/>
          <w:footerReference w:type="default" r:id="rId32"/>
          <w:pgSz w:w="12240" w:h="15840"/>
          <w:pgMar w:top="1440" w:right="1440" w:bottom="1440" w:left="1440" w:header="720" w:footer="539" w:gutter="0"/>
          <w:pgNumType w:start="1"/>
          <w:cols w:space="720"/>
          <w:docGrid w:linePitch="360"/>
        </w:sectPr>
      </w:pPr>
      <w:r w:rsidRPr="009F4239">
        <w:br w:type="page"/>
      </w:r>
    </w:p>
    <w:p w14:paraId="7694BAEF" w14:textId="77777777" w:rsidR="00331400" w:rsidRPr="00E31AB6" w:rsidRDefault="008D0B8B" w:rsidP="00D71AB1">
      <w:pPr>
        <w:pStyle w:val="Heading1"/>
        <w:rPr>
          <w:rFonts w:ascii="Times New Roman" w:hAnsi="Times New Roman" w:cs="Times New Roman"/>
          <w:color w:val="548DD4"/>
          <w:sz w:val="56"/>
          <w:szCs w:val="56"/>
        </w:rPr>
      </w:pPr>
      <w:bookmarkStart w:id="60" w:name="_Toc361410389"/>
      <w:bookmarkStart w:id="61" w:name="_Toc339811697"/>
      <w:r w:rsidRPr="00532ABB">
        <w:rPr>
          <w:rFonts w:ascii="Times New Roman" w:hAnsi="Times New Roman" w:cs="Times New Roman"/>
          <w:color w:val="8DB3E2"/>
          <w:sz w:val="36"/>
          <w:szCs w:val="36"/>
        </w:rPr>
        <w:lastRenderedPageBreak/>
        <w:t>Chapter 2.</w:t>
      </w:r>
      <w:r w:rsidRPr="00532ABB">
        <w:rPr>
          <w:rFonts w:ascii="Times New Roman" w:hAnsi="Times New Roman" w:cs="Times New Roman"/>
          <w:color w:val="548DD4"/>
          <w:sz w:val="56"/>
          <w:szCs w:val="56"/>
        </w:rPr>
        <w:t xml:space="preserve">  Proposed Action</w:t>
      </w:r>
      <w:bookmarkEnd w:id="45"/>
      <w:r w:rsidR="00FA0487" w:rsidRPr="00532ABB">
        <w:rPr>
          <w:rFonts w:ascii="Times New Roman" w:hAnsi="Times New Roman" w:cs="Times New Roman"/>
          <w:color w:val="548DD4"/>
          <w:sz w:val="56"/>
          <w:szCs w:val="56"/>
        </w:rPr>
        <w:t>s</w:t>
      </w:r>
      <w:bookmarkEnd w:id="60"/>
      <w:r w:rsidR="000247AB">
        <w:rPr>
          <w:rFonts w:ascii="Times New Roman" w:hAnsi="Times New Roman" w:cs="Times New Roman"/>
          <w:color w:val="548DD4"/>
          <w:sz w:val="56"/>
          <w:szCs w:val="56"/>
        </w:rPr>
        <w:t xml:space="preserve"> and Alternatives</w:t>
      </w:r>
      <w:bookmarkEnd w:id="61"/>
    </w:p>
    <w:p w14:paraId="42D45670" w14:textId="77777777" w:rsidR="003B4E90" w:rsidRDefault="003B4E90" w:rsidP="00D71AB1">
      <w:bookmarkStart w:id="62" w:name="_Toc304879960"/>
      <w:bookmarkStart w:id="63" w:name="_Toc188766758"/>
      <w:bookmarkEnd w:id="46"/>
      <w:bookmarkEnd w:id="47"/>
    </w:p>
    <w:p w14:paraId="0B81756A" w14:textId="21E00007" w:rsidR="00CB12BB" w:rsidRPr="00CB12BB" w:rsidRDefault="00DB4D41" w:rsidP="00CB12BB">
      <w:pPr>
        <w:pStyle w:val="Heading2"/>
        <w:rPr>
          <w:rFonts w:ascii="Arial" w:hAnsi="Arial" w:cs="Arial"/>
        </w:rPr>
      </w:pPr>
      <w:bookmarkStart w:id="64" w:name="_Toc339811698"/>
      <w:r>
        <w:rPr>
          <w:rFonts w:ascii="Arial" w:hAnsi="Arial" w:cs="Arial"/>
          <w:color w:val="000000"/>
        </w:rPr>
        <w:t>2.1</w:t>
      </w:r>
      <w:r>
        <w:rPr>
          <w:rFonts w:ascii="Arial" w:hAnsi="Arial" w:cs="Arial"/>
          <w:color w:val="000000"/>
        </w:rPr>
        <w:tab/>
      </w:r>
      <w:r w:rsidR="00CB12BB" w:rsidRPr="00CB12BB">
        <w:rPr>
          <w:rFonts w:ascii="Arial" w:hAnsi="Arial" w:cs="Arial"/>
          <w:color w:val="000000"/>
        </w:rPr>
        <w:t xml:space="preserve">Action 1.  </w:t>
      </w:r>
      <w:r w:rsidR="00CC558E">
        <w:rPr>
          <w:rFonts w:ascii="Arial" w:hAnsi="Arial" w:cs="Arial"/>
        </w:rPr>
        <w:t xml:space="preserve">Specify </w:t>
      </w:r>
      <w:r w:rsidR="00CC558E" w:rsidRPr="008C454A">
        <w:rPr>
          <w:rFonts w:ascii="Arial" w:hAnsi="Arial" w:cs="Arial"/>
        </w:rPr>
        <w:t>maximum sustainable y</w:t>
      </w:r>
      <w:r w:rsidR="00CB12BB" w:rsidRPr="008C454A">
        <w:rPr>
          <w:rFonts w:ascii="Arial" w:hAnsi="Arial" w:cs="Arial"/>
        </w:rPr>
        <w:t>ield (MSY) for mutton snapper</w:t>
      </w:r>
      <w:r w:rsidR="00B6465A" w:rsidRPr="008C454A">
        <w:rPr>
          <w:rFonts w:ascii="Arial" w:hAnsi="Arial" w:cs="Arial"/>
        </w:rPr>
        <w:t xml:space="preserve"> </w:t>
      </w:r>
      <w:r w:rsidR="004B1A22" w:rsidRPr="008C454A">
        <w:rPr>
          <w:rFonts w:ascii="Arial" w:hAnsi="Arial" w:cs="Arial"/>
        </w:rPr>
        <w:t>in the South Atlantic</w:t>
      </w:r>
      <w:r w:rsidR="00774344" w:rsidRPr="008C454A">
        <w:rPr>
          <w:rFonts w:ascii="Arial" w:hAnsi="Arial" w:cs="Arial"/>
        </w:rPr>
        <w:t xml:space="preserve"> R</w:t>
      </w:r>
      <w:r w:rsidR="004B1A22" w:rsidRPr="008C454A">
        <w:rPr>
          <w:rFonts w:ascii="Arial" w:hAnsi="Arial" w:cs="Arial"/>
        </w:rPr>
        <w:t>egion</w:t>
      </w:r>
      <w:bookmarkEnd w:id="64"/>
    </w:p>
    <w:p w14:paraId="00822214" w14:textId="77777777" w:rsidR="00CB12BB" w:rsidRDefault="00CB12BB" w:rsidP="00CB12BB"/>
    <w:p w14:paraId="4FDE7DD4" w14:textId="06D4309E" w:rsidR="00E0004C" w:rsidRDefault="00E0004C" w:rsidP="00E0004C">
      <w:r w:rsidRPr="004C46E1">
        <w:rPr>
          <w:b/>
        </w:rPr>
        <w:t>Alternative 1 (No Action).</w:t>
      </w:r>
      <w:r>
        <w:t xml:space="preserve">  The </w:t>
      </w:r>
      <w:r w:rsidR="00B6244C">
        <w:t xml:space="preserve">maximum sustainable yield </w:t>
      </w:r>
      <w:r>
        <w:t>for mutton snapper in the South Atlantic equals the yield produced by F</w:t>
      </w:r>
      <w:r w:rsidRPr="004C46E1">
        <w:rPr>
          <w:vertAlign w:val="subscript"/>
        </w:rPr>
        <w:t>MSY</w:t>
      </w:r>
      <w:r>
        <w:t>.  F</w:t>
      </w:r>
      <w:r w:rsidRPr="004C46E1">
        <w:rPr>
          <w:vertAlign w:val="subscript"/>
        </w:rPr>
        <w:t>30%SPR</w:t>
      </w:r>
      <w:r>
        <w:t xml:space="preserve"> is used as the F</w:t>
      </w:r>
      <w:r w:rsidRPr="004C46E1">
        <w:rPr>
          <w:vertAlign w:val="subscript"/>
        </w:rPr>
        <w:t>MSY</w:t>
      </w:r>
      <w:r>
        <w:t xml:space="preserve"> proxy. </w:t>
      </w:r>
      <w:r w:rsidR="00964C9B">
        <w:t xml:space="preserve"> </w:t>
      </w:r>
      <w:r w:rsidRPr="00B6465A">
        <w:t>The value is not specified.</w:t>
      </w:r>
      <w:r>
        <w:t xml:space="preserve"> </w:t>
      </w:r>
    </w:p>
    <w:p w14:paraId="258E1771" w14:textId="77777777" w:rsidR="00E0004C" w:rsidRDefault="00E0004C" w:rsidP="00E0004C"/>
    <w:p w14:paraId="57261354" w14:textId="32A3480E" w:rsidR="00E0004C" w:rsidRDefault="00B6465A" w:rsidP="00E0004C">
      <w:r>
        <w:rPr>
          <w:b/>
        </w:rPr>
        <w:t xml:space="preserve">Preferred </w:t>
      </w:r>
      <w:r w:rsidR="00E0004C" w:rsidRPr="004C46E1">
        <w:rPr>
          <w:b/>
        </w:rPr>
        <w:t>Alternative 2.</w:t>
      </w:r>
      <w:r w:rsidR="00E0004C">
        <w:t xml:space="preserve">  </w:t>
      </w:r>
      <w:r w:rsidR="00B6244C">
        <w:t>The m</w:t>
      </w:r>
      <w:r w:rsidR="00E0004C">
        <w:t>aximum sustainable yield equals the yield produced by F</w:t>
      </w:r>
      <w:r w:rsidR="00E0004C" w:rsidRPr="004C46E1">
        <w:rPr>
          <w:vertAlign w:val="subscript"/>
        </w:rPr>
        <w:t>MSY</w:t>
      </w:r>
      <w:r w:rsidR="00E0004C">
        <w:t xml:space="preserve"> or the F</w:t>
      </w:r>
      <w:r w:rsidR="00E0004C" w:rsidRPr="004C46E1">
        <w:rPr>
          <w:vertAlign w:val="subscript"/>
        </w:rPr>
        <w:t>MSY</w:t>
      </w:r>
      <w:r w:rsidR="00E0004C">
        <w:t xml:space="preserve"> proxy.  MSY and F</w:t>
      </w:r>
      <w:r w:rsidR="00E0004C" w:rsidRPr="004C46E1">
        <w:rPr>
          <w:vertAlign w:val="subscript"/>
        </w:rPr>
        <w:t xml:space="preserve">MSY </w:t>
      </w:r>
      <w:r w:rsidR="00E0004C">
        <w:t xml:space="preserve">are recommended by the most recent SEDAR/SSC.  </w:t>
      </w:r>
    </w:p>
    <w:p w14:paraId="6AC07014" w14:textId="77777777" w:rsidR="00E0004C" w:rsidRDefault="00E0004C" w:rsidP="00E0004C"/>
    <w:tbl>
      <w:tblPr>
        <w:tblW w:w="0" w:type="auto"/>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ook w:val="04A0" w:firstRow="1" w:lastRow="0" w:firstColumn="1" w:lastColumn="0" w:noHBand="0" w:noVBand="1"/>
      </w:tblPr>
      <w:tblGrid>
        <w:gridCol w:w="2128"/>
        <w:gridCol w:w="2823"/>
        <w:gridCol w:w="1922"/>
        <w:gridCol w:w="2469"/>
      </w:tblGrid>
      <w:tr w:rsidR="00E0004C" w:rsidRPr="00AF2BA1" w14:paraId="71E8834E" w14:textId="77777777" w:rsidTr="008E4EC7">
        <w:trPr>
          <w:trHeight w:val="578"/>
        </w:trPr>
        <w:tc>
          <w:tcPr>
            <w:tcW w:w="2128" w:type="dxa"/>
            <w:tcBorders>
              <w:top w:val="single" w:sz="4" w:space="0" w:color="auto"/>
              <w:left w:val="single" w:sz="4" w:space="0" w:color="auto"/>
              <w:bottom w:val="single" w:sz="24" w:space="0" w:color="C0504D"/>
              <w:right w:val="nil"/>
            </w:tcBorders>
            <w:shd w:val="clear" w:color="auto" w:fill="FFFFFF"/>
            <w:vAlign w:val="center"/>
          </w:tcPr>
          <w:p w14:paraId="7398A50D" w14:textId="77777777" w:rsidR="00E0004C" w:rsidRPr="00AF2BA1" w:rsidRDefault="00E0004C" w:rsidP="008E4EC7">
            <w:pPr>
              <w:tabs>
                <w:tab w:val="left" w:pos="6552"/>
              </w:tabs>
              <w:jc w:val="center"/>
              <w:rPr>
                <w:rFonts w:ascii="Arial" w:hAnsi="Arial" w:cs="Arial"/>
                <w:b/>
                <w:bCs/>
                <w:color w:val="000000"/>
                <w:sz w:val="22"/>
                <w:szCs w:val="36"/>
              </w:rPr>
            </w:pPr>
            <w:r w:rsidRPr="00AF2BA1">
              <w:rPr>
                <w:rFonts w:ascii="Arial" w:hAnsi="Arial" w:cs="Arial"/>
                <w:b/>
                <w:bCs/>
                <w:color w:val="000000"/>
                <w:sz w:val="22"/>
                <w:szCs w:val="36"/>
              </w:rPr>
              <w:t>Alternatives</w:t>
            </w:r>
          </w:p>
        </w:tc>
        <w:tc>
          <w:tcPr>
            <w:tcW w:w="2823" w:type="dxa"/>
            <w:tcBorders>
              <w:top w:val="single" w:sz="4" w:space="0" w:color="auto"/>
              <w:left w:val="nil"/>
              <w:bottom w:val="single" w:sz="24" w:space="0" w:color="C0504D"/>
              <w:right w:val="nil"/>
            </w:tcBorders>
            <w:shd w:val="clear" w:color="auto" w:fill="FFFFFF"/>
            <w:vAlign w:val="center"/>
          </w:tcPr>
          <w:p w14:paraId="4200D23E" w14:textId="77777777" w:rsidR="00E0004C" w:rsidRPr="00AF2BA1" w:rsidRDefault="00E0004C" w:rsidP="008E4EC7">
            <w:pPr>
              <w:tabs>
                <w:tab w:val="left" w:pos="6552"/>
              </w:tabs>
              <w:jc w:val="center"/>
              <w:rPr>
                <w:rFonts w:ascii="Arial" w:hAnsi="Arial" w:cs="Arial"/>
                <w:b/>
                <w:bCs/>
                <w:color w:val="000000"/>
                <w:sz w:val="22"/>
                <w:szCs w:val="36"/>
              </w:rPr>
            </w:pPr>
            <w:r w:rsidRPr="00AF2BA1">
              <w:rPr>
                <w:rFonts w:ascii="Arial" w:hAnsi="Arial" w:cs="Arial"/>
                <w:b/>
                <w:bCs/>
                <w:color w:val="000000"/>
                <w:sz w:val="22"/>
                <w:szCs w:val="36"/>
              </w:rPr>
              <w:t>Equation</w:t>
            </w:r>
          </w:p>
        </w:tc>
        <w:tc>
          <w:tcPr>
            <w:tcW w:w="1922" w:type="dxa"/>
            <w:tcBorders>
              <w:top w:val="single" w:sz="4" w:space="0" w:color="auto"/>
              <w:left w:val="nil"/>
              <w:bottom w:val="single" w:sz="24" w:space="0" w:color="C0504D"/>
              <w:right w:val="nil"/>
            </w:tcBorders>
            <w:shd w:val="clear" w:color="auto" w:fill="FFFFFF"/>
            <w:vAlign w:val="center"/>
          </w:tcPr>
          <w:p w14:paraId="348E6B5E" w14:textId="77777777" w:rsidR="00E0004C" w:rsidRPr="00AF2BA1" w:rsidRDefault="00E0004C" w:rsidP="008E4EC7">
            <w:pPr>
              <w:tabs>
                <w:tab w:val="left" w:pos="6552"/>
              </w:tabs>
              <w:jc w:val="center"/>
              <w:rPr>
                <w:rFonts w:ascii="Arial" w:hAnsi="Arial" w:cs="Arial"/>
                <w:b/>
                <w:bCs/>
                <w:color w:val="000000"/>
                <w:sz w:val="22"/>
                <w:szCs w:val="36"/>
              </w:rPr>
            </w:pPr>
            <w:r w:rsidRPr="00AF2BA1">
              <w:rPr>
                <w:rFonts w:ascii="Arial" w:hAnsi="Arial" w:cs="Arial"/>
                <w:b/>
                <w:bCs/>
                <w:color w:val="000000"/>
                <w:sz w:val="22"/>
                <w:szCs w:val="36"/>
              </w:rPr>
              <w:t>F</w:t>
            </w:r>
            <w:r w:rsidRPr="00AF2BA1">
              <w:rPr>
                <w:rFonts w:ascii="Arial" w:hAnsi="Arial" w:cs="Arial"/>
                <w:b/>
                <w:bCs/>
                <w:color w:val="000000"/>
                <w:sz w:val="22"/>
                <w:szCs w:val="36"/>
                <w:vertAlign w:val="subscript"/>
              </w:rPr>
              <w:t>MSY</w:t>
            </w:r>
          </w:p>
        </w:tc>
        <w:tc>
          <w:tcPr>
            <w:tcW w:w="2469" w:type="dxa"/>
            <w:tcBorders>
              <w:top w:val="single" w:sz="4" w:space="0" w:color="auto"/>
              <w:left w:val="nil"/>
              <w:bottom w:val="single" w:sz="24" w:space="0" w:color="C0504D"/>
              <w:right w:val="single" w:sz="4" w:space="0" w:color="auto"/>
            </w:tcBorders>
            <w:shd w:val="clear" w:color="auto" w:fill="FFFFFF"/>
            <w:vAlign w:val="center"/>
          </w:tcPr>
          <w:p w14:paraId="56B9BCA1" w14:textId="77777777" w:rsidR="00E0004C" w:rsidRPr="00AF2BA1" w:rsidRDefault="00E0004C" w:rsidP="008E4EC7">
            <w:pPr>
              <w:tabs>
                <w:tab w:val="left" w:pos="6552"/>
              </w:tabs>
              <w:jc w:val="center"/>
              <w:rPr>
                <w:rFonts w:ascii="Arial" w:hAnsi="Arial" w:cs="Arial"/>
                <w:b/>
                <w:bCs/>
                <w:color w:val="000000"/>
                <w:sz w:val="22"/>
                <w:szCs w:val="36"/>
              </w:rPr>
            </w:pPr>
            <w:r w:rsidRPr="00AF2BA1">
              <w:rPr>
                <w:rFonts w:ascii="Arial" w:hAnsi="Arial" w:cs="Arial"/>
                <w:b/>
                <w:bCs/>
                <w:color w:val="000000"/>
                <w:sz w:val="22"/>
                <w:szCs w:val="36"/>
              </w:rPr>
              <w:t>MSY Values</w:t>
            </w:r>
          </w:p>
          <w:p w14:paraId="2E865145" w14:textId="77777777" w:rsidR="00E0004C" w:rsidRPr="00AF2BA1" w:rsidRDefault="00E0004C" w:rsidP="008E4EC7">
            <w:pPr>
              <w:tabs>
                <w:tab w:val="left" w:pos="6552"/>
              </w:tabs>
              <w:jc w:val="center"/>
              <w:rPr>
                <w:rFonts w:ascii="Arial" w:hAnsi="Arial" w:cs="Arial"/>
                <w:b/>
                <w:bCs/>
                <w:color w:val="000000"/>
                <w:sz w:val="22"/>
              </w:rPr>
            </w:pPr>
            <w:r w:rsidRPr="00AF2BA1">
              <w:rPr>
                <w:rFonts w:ascii="Arial" w:hAnsi="Arial" w:cs="Arial"/>
                <w:b/>
                <w:bCs/>
                <w:color w:val="000000"/>
                <w:sz w:val="22"/>
              </w:rPr>
              <w:t>(lbs whole weight)</w:t>
            </w:r>
          </w:p>
        </w:tc>
      </w:tr>
      <w:tr w:rsidR="00E0004C" w:rsidRPr="00AF2BA1" w14:paraId="2DDB765C" w14:textId="77777777" w:rsidTr="008E4EC7">
        <w:trPr>
          <w:trHeight w:val="2005"/>
        </w:trPr>
        <w:tc>
          <w:tcPr>
            <w:tcW w:w="2128" w:type="dxa"/>
            <w:tcBorders>
              <w:left w:val="single" w:sz="4" w:space="0" w:color="auto"/>
              <w:bottom w:val="single" w:sz="4" w:space="0" w:color="2C4C74"/>
              <w:right w:val="nil"/>
            </w:tcBorders>
            <w:shd w:val="clear" w:color="auto" w:fill="2C4C74"/>
            <w:vAlign w:val="center"/>
          </w:tcPr>
          <w:p w14:paraId="00022CDE" w14:textId="77777777" w:rsidR="00E0004C" w:rsidRPr="00AF2BA1" w:rsidRDefault="00E0004C" w:rsidP="008E4EC7">
            <w:pPr>
              <w:tabs>
                <w:tab w:val="left" w:pos="6552"/>
              </w:tabs>
              <w:jc w:val="center"/>
              <w:rPr>
                <w:rFonts w:ascii="Arial" w:hAnsi="Arial" w:cs="Arial"/>
                <w:b/>
                <w:color w:val="FFFFFF"/>
                <w:sz w:val="22"/>
              </w:rPr>
            </w:pPr>
            <w:r w:rsidRPr="00AF2BA1">
              <w:rPr>
                <w:rFonts w:ascii="Arial" w:hAnsi="Arial" w:cs="Arial"/>
                <w:b/>
                <w:color w:val="FFFFFF"/>
                <w:sz w:val="22"/>
              </w:rPr>
              <w:t>Alternative 1</w:t>
            </w:r>
          </w:p>
          <w:p w14:paraId="6E7FF8EB" w14:textId="77777777" w:rsidR="00E0004C" w:rsidRPr="00AF2BA1" w:rsidRDefault="00E0004C" w:rsidP="008E4EC7">
            <w:pPr>
              <w:tabs>
                <w:tab w:val="left" w:pos="6552"/>
              </w:tabs>
              <w:jc w:val="center"/>
              <w:rPr>
                <w:rFonts w:ascii="Arial" w:hAnsi="Arial" w:cs="Arial"/>
                <w:color w:val="FFFFFF"/>
                <w:sz w:val="22"/>
              </w:rPr>
            </w:pPr>
            <w:r w:rsidRPr="00AF2BA1">
              <w:rPr>
                <w:rFonts w:ascii="Arial" w:hAnsi="Arial" w:cs="Arial"/>
                <w:b/>
                <w:color w:val="FFFFFF"/>
                <w:sz w:val="22"/>
              </w:rPr>
              <w:t>(No Action)</w:t>
            </w:r>
          </w:p>
        </w:tc>
        <w:tc>
          <w:tcPr>
            <w:tcW w:w="2823" w:type="dxa"/>
            <w:shd w:val="clear" w:color="auto" w:fill="A7BFDE"/>
            <w:vAlign w:val="center"/>
          </w:tcPr>
          <w:p w14:paraId="3E7D3906" w14:textId="77777777" w:rsidR="00E0004C" w:rsidRPr="00AF2BA1" w:rsidRDefault="00E0004C" w:rsidP="008E4EC7">
            <w:pPr>
              <w:tabs>
                <w:tab w:val="left" w:pos="6552"/>
              </w:tabs>
              <w:jc w:val="center"/>
              <w:rPr>
                <w:rFonts w:ascii="Arial" w:hAnsi="Arial" w:cs="Arial"/>
                <w:color w:val="000000"/>
                <w:sz w:val="22"/>
              </w:rPr>
            </w:pPr>
          </w:p>
          <w:p w14:paraId="650160F0" w14:textId="77777777" w:rsidR="00E0004C" w:rsidRPr="00AF2BA1" w:rsidRDefault="00E0004C" w:rsidP="008E4EC7">
            <w:pPr>
              <w:tabs>
                <w:tab w:val="left" w:pos="6552"/>
              </w:tabs>
              <w:rPr>
                <w:rFonts w:ascii="Arial" w:hAnsi="Arial" w:cs="Arial"/>
                <w:color w:val="000000"/>
                <w:sz w:val="22"/>
              </w:rPr>
            </w:pPr>
            <w:r w:rsidRPr="00AF2BA1">
              <w:rPr>
                <w:rFonts w:ascii="Arial" w:hAnsi="Arial" w:cs="Arial"/>
                <w:color w:val="000000"/>
                <w:sz w:val="22"/>
              </w:rPr>
              <w:t>MSY equals the yield produced by F</w:t>
            </w:r>
            <w:r w:rsidRPr="00AF2BA1">
              <w:rPr>
                <w:rFonts w:ascii="Arial" w:hAnsi="Arial" w:cs="Arial"/>
                <w:color w:val="000000"/>
                <w:sz w:val="22"/>
                <w:vertAlign w:val="subscript"/>
              </w:rPr>
              <w:t>MSY</w:t>
            </w:r>
            <w:r w:rsidRPr="00AF2BA1">
              <w:rPr>
                <w:rFonts w:ascii="Arial" w:hAnsi="Arial" w:cs="Arial"/>
                <w:color w:val="000000"/>
                <w:sz w:val="22"/>
              </w:rPr>
              <w:t>.  F</w:t>
            </w:r>
            <w:r w:rsidRPr="00AF2BA1">
              <w:rPr>
                <w:rFonts w:ascii="Arial" w:hAnsi="Arial" w:cs="Arial"/>
                <w:color w:val="000000"/>
                <w:sz w:val="22"/>
                <w:vertAlign w:val="subscript"/>
              </w:rPr>
              <w:t xml:space="preserve">30%SPR  </w:t>
            </w:r>
            <w:r w:rsidRPr="00AF2BA1">
              <w:rPr>
                <w:rFonts w:ascii="Arial" w:hAnsi="Arial" w:cs="Arial"/>
                <w:color w:val="000000"/>
                <w:sz w:val="22"/>
              </w:rPr>
              <w:t>is used as the F</w:t>
            </w:r>
            <w:r w:rsidRPr="00AF2BA1">
              <w:rPr>
                <w:rFonts w:ascii="Arial" w:hAnsi="Arial" w:cs="Arial"/>
                <w:color w:val="000000"/>
                <w:sz w:val="22"/>
                <w:vertAlign w:val="subscript"/>
              </w:rPr>
              <w:t>MSY</w:t>
            </w:r>
            <w:r w:rsidRPr="00AF2BA1">
              <w:rPr>
                <w:rFonts w:ascii="Arial" w:hAnsi="Arial" w:cs="Arial"/>
                <w:color w:val="000000"/>
                <w:sz w:val="22"/>
              </w:rPr>
              <w:t xml:space="preserve"> proxy.</w:t>
            </w:r>
          </w:p>
        </w:tc>
        <w:tc>
          <w:tcPr>
            <w:tcW w:w="1922" w:type="dxa"/>
            <w:shd w:val="clear" w:color="auto" w:fill="A7BFDE"/>
            <w:vAlign w:val="center"/>
          </w:tcPr>
          <w:p w14:paraId="00F0B527" w14:textId="77777777" w:rsidR="00E0004C" w:rsidRPr="00AF2BA1" w:rsidRDefault="00E0004C" w:rsidP="008E4EC7">
            <w:pPr>
              <w:tabs>
                <w:tab w:val="left" w:pos="6552"/>
              </w:tabs>
              <w:jc w:val="center"/>
              <w:rPr>
                <w:rFonts w:ascii="Arial" w:hAnsi="Arial" w:cs="Arial"/>
                <w:color w:val="000000"/>
                <w:sz w:val="22"/>
              </w:rPr>
            </w:pPr>
            <w:r w:rsidRPr="00AF2BA1">
              <w:rPr>
                <w:rFonts w:ascii="Arial" w:hAnsi="Arial" w:cs="Arial"/>
                <w:color w:val="000000"/>
                <w:sz w:val="22"/>
              </w:rPr>
              <w:t>F</w:t>
            </w:r>
            <w:r w:rsidRPr="00AF2BA1">
              <w:rPr>
                <w:rFonts w:ascii="Arial" w:hAnsi="Arial" w:cs="Arial"/>
                <w:color w:val="000000"/>
                <w:sz w:val="22"/>
                <w:vertAlign w:val="subscript"/>
              </w:rPr>
              <w:t>30%SPR</w:t>
            </w:r>
          </w:p>
        </w:tc>
        <w:tc>
          <w:tcPr>
            <w:tcW w:w="2469" w:type="dxa"/>
            <w:tcBorders>
              <w:right w:val="single" w:sz="4" w:space="0" w:color="auto"/>
            </w:tcBorders>
            <w:shd w:val="clear" w:color="auto" w:fill="A7BFDE"/>
            <w:vAlign w:val="center"/>
          </w:tcPr>
          <w:p w14:paraId="2D62441A" w14:textId="77777777" w:rsidR="00E0004C" w:rsidRPr="001111E4" w:rsidRDefault="00E0004C" w:rsidP="008E4EC7">
            <w:pPr>
              <w:tabs>
                <w:tab w:val="left" w:pos="6552"/>
              </w:tabs>
              <w:jc w:val="center"/>
              <w:rPr>
                <w:rFonts w:ascii="Arial" w:hAnsi="Arial" w:cs="Arial"/>
                <w:color w:val="000000"/>
                <w:sz w:val="22"/>
                <w:highlight w:val="green"/>
              </w:rPr>
            </w:pPr>
            <w:r w:rsidRPr="00B6465A">
              <w:rPr>
                <w:rFonts w:ascii="Arial" w:hAnsi="Arial" w:cs="Arial"/>
                <w:color w:val="000000"/>
                <w:sz w:val="22"/>
              </w:rPr>
              <w:t>Not specified</w:t>
            </w:r>
          </w:p>
        </w:tc>
      </w:tr>
      <w:tr w:rsidR="00E0004C" w:rsidRPr="009468DD" w14:paraId="3F642A87" w14:textId="77777777" w:rsidTr="008E4EC7">
        <w:trPr>
          <w:trHeight w:val="1719"/>
        </w:trPr>
        <w:tc>
          <w:tcPr>
            <w:tcW w:w="2128" w:type="dxa"/>
            <w:tcBorders>
              <w:left w:val="single" w:sz="4" w:space="0" w:color="auto"/>
              <w:bottom w:val="single" w:sz="4" w:space="0" w:color="auto"/>
              <w:right w:val="nil"/>
            </w:tcBorders>
            <w:shd w:val="clear" w:color="auto" w:fill="2C4C74"/>
            <w:vAlign w:val="center"/>
          </w:tcPr>
          <w:p w14:paraId="57586F64" w14:textId="77777777" w:rsidR="00E0004C" w:rsidRDefault="00E0004C" w:rsidP="008E4EC7">
            <w:pPr>
              <w:tabs>
                <w:tab w:val="left" w:pos="6552"/>
              </w:tabs>
              <w:jc w:val="center"/>
              <w:rPr>
                <w:rFonts w:ascii="Arial" w:hAnsi="Arial" w:cs="Arial"/>
                <w:b/>
                <w:color w:val="FFFFFF"/>
                <w:sz w:val="22"/>
              </w:rPr>
            </w:pPr>
            <w:r w:rsidRPr="009468DD">
              <w:rPr>
                <w:rFonts w:ascii="Arial" w:hAnsi="Arial" w:cs="Arial"/>
                <w:b/>
                <w:color w:val="FFFFFF"/>
                <w:sz w:val="22"/>
              </w:rPr>
              <w:t>Alternative 2</w:t>
            </w:r>
          </w:p>
          <w:p w14:paraId="3514DB84" w14:textId="7C36258D" w:rsidR="00D85CE8" w:rsidRPr="009468DD" w:rsidRDefault="00D85CE8" w:rsidP="008E4EC7">
            <w:pPr>
              <w:tabs>
                <w:tab w:val="left" w:pos="6552"/>
              </w:tabs>
              <w:jc w:val="center"/>
              <w:rPr>
                <w:rFonts w:ascii="Arial" w:hAnsi="Arial" w:cs="Arial"/>
                <w:b/>
                <w:color w:val="FFFFFF"/>
                <w:sz w:val="22"/>
              </w:rPr>
            </w:pPr>
            <w:r>
              <w:rPr>
                <w:rFonts w:ascii="Arial" w:hAnsi="Arial" w:cs="Arial"/>
                <w:b/>
                <w:color w:val="FFFFFF"/>
                <w:sz w:val="22"/>
              </w:rPr>
              <w:t>(Preferred)</w:t>
            </w:r>
          </w:p>
          <w:p w14:paraId="76B627DA" w14:textId="77777777" w:rsidR="00E0004C" w:rsidRPr="009468DD" w:rsidRDefault="00E0004C" w:rsidP="008E4EC7">
            <w:pPr>
              <w:tabs>
                <w:tab w:val="left" w:pos="6552"/>
              </w:tabs>
              <w:jc w:val="center"/>
              <w:rPr>
                <w:rFonts w:ascii="Arial" w:hAnsi="Arial" w:cs="Arial"/>
                <w:b/>
                <w:color w:val="FFFFFF"/>
                <w:sz w:val="22"/>
              </w:rPr>
            </w:pPr>
          </w:p>
        </w:tc>
        <w:tc>
          <w:tcPr>
            <w:tcW w:w="2823" w:type="dxa"/>
            <w:tcBorders>
              <w:bottom w:val="single" w:sz="4" w:space="0" w:color="auto"/>
            </w:tcBorders>
            <w:shd w:val="clear" w:color="auto" w:fill="EDF2F8"/>
          </w:tcPr>
          <w:p w14:paraId="4523DA85" w14:textId="77777777" w:rsidR="00E0004C" w:rsidRPr="006E5F13" w:rsidRDefault="00E0004C" w:rsidP="008E4EC7">
            <w:pPr>
              <w:tabs>
                <w:tab w:val="left" w:pos="6552"/>
              </w:tabs>
              <w:rPr>
                <w:rFonts w:ascii="Arial" w:hAnsi="Arial" w:cs="Arial"/>
                <w:color w:val="000000"/>
                <w:sz w:val="22"/>
              </w:rPr>
            </w:pPr>
            <w:r w:rsidRPr="006E5F13">
              <w:rPr>
                <w:rFonts w:ascii="Arial" w:hAnsi="Arial" w:cs="Arial"/>
                <w:color w:val="000000"/>
                <w:sz w:val="22"/>
              </w:rPr>
              <w:t>MSY equals the yield produced by F</w:t>
            </w:r>
            <w:r w:rsidRPr="006E5F13">
              <w:rPr>
                <w:rFonts w:ascii="Arial" w:hAnsi="Arial" w:cs="Arial"/>
                <w:color w:val="000000"/>
                <w:sz w:val="22"/>
                <w:vertAlign w:val="subscript"/>
              </w:rPr>
              <w:t>MSY</w:t>
            </w:r>
            <w:r w:rsidRPr="006E5F13">
              <w:rPr>
                <w:rFonts w:ascii="Arial" w:hAnsi="Arial" w:cs="Arial"/>
                <w:color w:val="000000"/>
                <w:sz w:val="22"/>
              </w:rPr>
              <w:t xml:space="preserve"> or the F</w:t>
            </w:r>
            <w:r w:rsidRPr="006E5F13">
              <w:rPr>
                <w:rFonts w:ascii="Arial" w:hAnsi="Arial" w:cs="Arial"/>
                <w:color w:val="000000"/>
                <w:sz w:val="22"/>
                <w:vertAlign w:val="subscript"/>
              </w:rPr>
              <w:t>MSY</w:t>
            </w:r>
            <w:r w:rsidRPr="006E5F13">
              <w:rPr>
                <w:rFonts w:ascii="Arial" w:hAnsi="Arial" w:cs="Arial"/>
                <w:color w:val="000000"/>
                <w:sz w:val="22"/>
              </w:rPr>
              <w:t xml:space="preserve"> proxy.  MSY and F</w:t>
            </w:r>
            <w:r w:rsidRPr="006E5F13">
              <w:rPr>
                <w:rFonts w:ascii="Arial" w:hAnsi="Arial" w:cs="Arial"/>
                <w:color w:val="000000"/>
                <w:sz w:val="22"/>
                <w:vertAlign w:val="subscript"/>
              </w:rPr>
              <w:t xml:space="preserve">MSY </w:t>
            </w:r>
            <w:r w:rsidRPr="006E5F13">
              <w:rPr>
                <w:rFonts w:ascii="Arial" w:hAnsi="Arial" w:cs="Arial"/>
                <w:color w:val="000000"/>
                <w:sz w:val="22"/>
              </w:rPr>
              <w:t>are recommended by the most recent SEDAR/SSC.</w:t>
            </w:r>
          </w:p>
        </w:tc>
        <w:tc>
          <w:tcPr>
            <w:tcW w:w="1922" w:type="dxa"/>
            <w:tcBorders>
              <w:bottom w:val="single" w:sz="4" w:space="0" w:color="auto"/>
            </w:tcBorders>
            <w:shd w:val="clear" w:color="auto" w:fill="EDF2F8"/>
            <w:vAlign w:val="center"/>
          </w:tcPr>
          <w:p w14:paraId="0B82F1C4" w14:textId="77777777" w:rsidR="00E0004C" w:rsidRPr="0073741E" w:rsidRDefault="00E0004C" w:rsidP="008E4EC7">
            <w:pPr>
              <w:tabs>
                <w:tab w:val="left" w:pos="6552"/>
              </w:tabs>
              <w:jc w:val="center"/>
              <w:rPr>
                <w:rFonts w:ascii="Arial" w:hAnsi="Arial" w:cs="Arial"/>
                <w:color w:val="000000"/>
                <w:sz w:val="22"/>
              </w:rPr>
            </w:pPr>
            <w:r w:rsidRPr="00AF2BA1">
              <w:rPr>
                <w:rFonts w:ascii="Arial" w:hAnsi="Arial" w:cs="Arial"/>
                <w:color w:val="000000"/>
                <w:sz w:val="22"/>
              </w:rPr>
              <w:t>F</w:t>
            </w:r>
            <w:r w:rsidRPr="00AF2BA1">
              <w:rPr>
                <w:rFonts w:ascii="Arial" w:hAnsi="Arial" w:cs="Arial"/>
                <w:color w:val="000000"/>
                <w:sz w:val="22"/>
                <w:vertAlign w:val="subscript"/>
              </w:rPr>
              <w:t>30%SPR</w:t>
            </w:r>
          </w:p>
        </w:tc>
        <w:tc>
          <w:tcPr>
            <w:tcW w:w="2469" w:type="dxa"/>
            <w:tcBorders>
              <w:bottom w:val="single" w:sz="4" w:space="0" w:color="auto"/>
              <w:right w:val="single" w:sz="4" w:space="0" w:color="auto"/>
            </w:tcBorders>
            <w:shd w:val="clear" w:color="auto" w:fill="EDF2F8"/>
            <w:vAlign w:val="center"/>
          </w:tcPr>
          <w:p w14:paraId="3981B0B0" w14:textId="77777777" w:rsidR="00E0004C" w:rsidRPr="004A6126" w:rsidRDefault="00E0004C" w:rsidP="008E4EC7">
            <w:pPr>
              <w:tabs>
                <w:tab w:val="left" w:pos="6552"/>
              </w:tabs>
              <w:jc w:val="center"/>
              <w:rPr>
                <w:rFonts w:ascii="Arial" w:hAnsi="Arial" w:cs="Arial"/>
                <w:b/>
                <w:color w:val="000000"/>
                <w:sz w:val="22"/>
              </w:rPr>
            </w:pPr>
            <w:r w:rsidRPr="004A6126">
              <w:rPr>
                <w:rFonts w:ascii="Arial" w:hAnsi="Arial" w:cs="Arial"/>
                <w:b/>
                <w:color w:val="000000"/>
                <w:sz w:val="22"/>
              </w:rPr>
              <w:t xml:space="preserve"> </w:t>
            </w:r>
            <w:r w:rsidRPr="004A6126">
              <w:rPr>
                <w:rFonts w:ascii="Arial" w:hAnsi="Arial" w:cs="Arial"/>
                <w:sz w:val="22"/>
              </w:rPr>
              <w:t>912,500</w:t>
            </w:r>
          </w:p>
        </w:tc>
      </w:tr>
    </w:tbl>
    <w:p w14:paraId="00C047AD" w14:textId="77777777" w:rsidR="00E0004C" w:rsidRPr="007D1041" w:rsidRDefault="00E0004C" w:rsidP="00E0004C"/>
    <w:p w14:paraId="0FF454DE" w14:textId="3E2021C6" w:rsidR="00AE5EFD" w:rsidRPr="00AE5EFD" w:rsidRDefault="00AE5EFD" w:rsidP="00AE5EFD">
      <w:pPr>
        <w:pStyle w:val="Heading2"/>
        <w:rPr>
          <w:rFonts w:ascii="Arial" w:hAnsi="Arial" w:cs="Arial"/>
        </w:rPr>
      </w:pPr>
      <w:bookmarkStart w:id="65" w:name="_Toc339811699"/>
      <w:r w:rsidRPr="00AE5EFD">
        <w:rPr>
          <w:rFonts w:ascii="Arial" w:hAnsi="Arial" w:cs="Arial"/>
        </w:rPr>
        <w:t>Comparison of Alternatives:</w:t>
      </w:r>
      <w:bookmarkEnd w:id="65"/>
    </w:p>
    <w:p w14:paraId="6836B543" w14:textId="2B775B5C" w:rsidR="00410706" w:rsidRDefault="00E0004C" w:rsidP="00410706">
      <w:pPr>
        <w:ind w:firstLine="360"/>
      </w:pPr>
      <w:r w:rsidRPr="001111E4">
        <w:rPr>
          <w:color w:val="000000"/>
        </w:rPr>
        <w:t xml:space="preserve">  </w:t>
      </w:r>
      <w:r>
        <w:t xml:space="preserve">Maximum </w:t>
      </w:r>
      <w:r w:rsidR="0008072A">
        <w:t>sustainable yield</w:t>
      </w:r>
      <w:r>
        <w:t xml:space="preserve"> </w:t>
      </w:r>
      <w:r w:rsidR="00C41736">
        <w:t xml:space="preserve">(MSY) </w:t>
      </w:r>
      <w:r>
        <w:t>is the l</w:t>
      </w:r>
      <w:r w:rsidRPr="00D01D20">
        <w:t>argest long-term average catch that can be taken from a stock under prevailing ecological and environmental conditions.</w:t>
      </w:r>
      <w:r>
        <w:t xml:space="preserve">  MSY for snapper grouper species was initially specified in Amendment 11 (SAFMC 1998).  At that time, MSY was unk</w:t>
      </w:r>
      <w:r w:rsidR="003623FC">
        <w:t>nown for mutton snapper due to</w:t>
      </w:r>
      <w:r>
        <w:t xml:space="preserve"> lack of data.  When </w:t>
      </w:r>
      <w:r w:rsidR="00AE5EFD">
        <w:t>a stock assessment is conducted,</w:t>
      </w:r>
      <w:r>
        <w:t xml:space="preserve"> the model produces estimates of MSY.  </w:t>
      </w:r>
      <w:r w:rsidR="00B6244C">
        <w:t xml:space="preserve">However, </w:t>
      </w:r>
      <w:r w:rsidR="0074368C">
        <w:t xml:space="preserve">the South Atlantic Fishery Management Council (South Atlantic Council) did not specify the MSY estimate from </w:t>
      </w:r>
      <w:r w:rsidRPr="00E80707">
        <w:rPr>
          <w:color w:val="000000"/>
        </w:rPr>
        <w:t>SEDAR 15A (2008)</w:t>
      </w:r>
      <w:r w:rsidR="0074368C">
        <w:rPr>
          <w:color w:val="000000"/>
        </w:rPr>
        <w:t xml:space="preserve">. </w:t>
      </w:r>
      <w:r w:rsidR="0074368C">
        <w:t xml:space="preserve"> Therefore,</w:t>
      </w:r>
      <w:r w:rsidR="003623FC">
        <w:t xml:space="preserve"> the South Atlantic Council is taking action though Amendment 41 </w:t>
      </w:r>
      <w:r w:rsidR="008349CB">
        <w:t xml:space="preserve">to the Snapper Grouper FMP </w:t>
      </w:r>
      <w:r>
        <w:t xml:space="preserve">to adopt the new definition and value for MSY that resulted from the updated assessment (SEDAR 15A update 2015).  Selecting </w:t>
      </w:r>
      <w:r w:rsidR="003623FC">
        <w:t xml:space="preserve">the manner to adopt </w:t>
      </w:r>
      <w:r>
        <w:t xml:space="preserve">MSY would allow for </w:t>
      </w:r>
      <w:r>
        <w:lastRenderedPageBreak/>
        <w:t xml:space="preserve">subsequent revisions to that value when the stock assessment is updated or a new assessment is performed without the </w:t>
      </w:r>
      <w:r w:rsidR="003623FC">
        <w:t xml:space="preserve">South Atlantic </w:t>
      </w:r>
      <w:r>
        <w:t xml:space="preserve">Council having to take action.  </w:t>
      </w:r>
      <w:r w:rsidR="00B6465A" w:rsidRPr="00B6465A">
        <w:rPr>
          <w:b/>
        </w:rPr>
        <w:t xml:space="preserve">Preferred </w:t>
      </w:r>
      <w:r w:rsidRPr="00B6465A">
        <w:rPr>
          <w:b/>
        </w:rPr>
        <w:t>A</w:t>
      </w:r>
      <w:r w:rsidRPr="00280306">
        <w:rPr>
          <w:b/>
        </w:rPr>
        <w:t>lternative 2</w:t>
      </w:r>
      <w:r>
        <w:t xml:space="preserve"> would provide that option.</w:t>
      </w:r>
      <w:r w:rsidR="00AE5EFD">
        <w:t xml:space="preserve">  Under </w:t>
      </w:r>
      <w:r w:rsidR="00AE5EFD" w:rsidRPr="00C309B9">
        <w:rPr>
          <w:b/>
        </w:rPr>
        <w:t>Alternative 1 (No Action)</w:t>
      </w:r>
      <w:r w:rsidR="00AE5EFD" w:rsidRPr="00C309B9">
        <w:t xml:space="preserve">, a </w:t>
      </w:r>
      <w:r w:rsidR="00AE5EFD">
        <w:t>yield (</w:t>
      </w:r>
      <w:r w:rsidR="00AE5EFD" w:rsidRPr="00C309B9">
        <w:t>poundage</w:t>
      </w:r>
      <w:r w:rsidR="00AE5EFD">
        <w:t>)</w:t>
      </w:r>
      <w:r w:rsidR="00AE5EFD" w:rsidRPr="00C309B9">
        <w:t xml:space="preserve"> for MSY is not specified since one was not specified in Amendment 11</w:t>
      </w:r>
      <w:r w:rsidR="00AE5EFD">
        <w:t xml:space="preserve"> (SAFMC 1998)</w:t>
      </w:r>
      <w:r w:rsidR="00AE5EFD" w:rsidRPr="00C309B9">
        <w:t xml:space="preserve">.  </w:t>
      </w:r>
      <w:r w:rsidR="00D85CE8" w:rsidRPr="0065404C">
        <w:rPr>
          <w:b/>
        </w:rPr>
        <w:t>Preferred</w:t>
      </w:r>
      <w:r w:rsidR="00D85CE8">
        <w:t xml:space="preserve"> </w:t>
      </w:r>
      <w:r w:rsidR="00AE5EFD" w:rsidRPr="00C309B9">
        <w:rPr>
          <w:b/>
          <w:bCs/>
        </w:rPr>
        <w:t xml:space="preserve">Alternative 2 </w:t>
      </w:r>
      <w:r w:rsidR="00AE5EFD" w:rsidRPr="00C309B9">
        <w:t xml:space="preserve">would </w:t>
      </w:r>
      <w:r w:rsidR="00AE5EFD">
        <w:t>allow for</w:t>
      </w:r>
      <w:r w:rsidR="00AE5EFD" w:rsidRPr="00E86BF7">
        <w:t xml:space="preserve"> periodic adjustments of F</w:t>
      </w:r>
      <w:r w:rsidR="00AE5EFD" w:rsidRPr="00E86BF7">
        <w:rPr>
          <w:vertAlign w:val="subscript"/>
        </w:rPr>
        <w:t>MSY</w:t>
      </w:r>
      <w:r w:rsidR="00AE5EFD" w:rsidRPr="00E86BF7">
        <w:t xml:space="preserve"> and MSY values based on </w:t>
      </w:r>
      <w:r w:rsidR="00AE5EFD">
        <w:t xml:space="preserve">estimates from </w:t>
      </w:r>
      <w:r w:rsidR="00AE5EFD" w:rsidRPr="00E86BF7">
        <w:t xml:space="preserve">new assessments without the need for a plan amendment.  </w:t>
      </w:r>
      <w:r w:rsidR="00AE5EFD">
        <w:t xml:space="preserve">As neither alternative under this action would have </w:t>
      </w:r>
      <w:r w:rsidR="00AE5EFD" w:rsidRPr="003D48A6">
        <w:t>direct effe</w:t>
      </w:r>
      <w:r w:rsidR="00AE5EFD">
        <w:t xml:space="preserve">cts on resource harvest or use, biological effects would be neutral.  However, </w:t>
      </w:r>
      <w:r w:rsidR="003623FC" w:rsidRPr="003623FC">
        <w:rPr>
          <w:b/>
        </w:rPr>
        <w:t xml:space="preserve">Preferred </w:t>
      </w:r>
      <w:r w:rsidR="003623FC">
        <w:rPr>
          <w:b/>
          <w:bCs/>
        </w:rPr>
        <w:t>Alternative 2</w:t>
      </w:r>
      <w:r w:rsidR="00AE5EFD" w:rsidRPr="003D48A6">
        <w:t xml:space="preserve">, which is recommended in the most recent </w:t>
      </w:r>
      <w:r w:rsidR="003623FC">
        <w:t>Southeast Data, Assessment, and Review (</w:t>
      </w:r>
      <w:r w:rsidR="00AE5EFD" w:rsidRPr="003D48A6">
        <w:t>SEDAR</w:t>
      </w:r>
      <w:r w:rsidR="003623FC">
        <w:t>)</w:t>
      </w:r>
      <w:r w:rsidR="00AE5EFD" w:rsidRPr="003D48A6">
        <w:t xml:space="preserve"> and by the </w:t>
      </w:r>
      <w:r w:rsidR="003623FC">
        <w:t xml:space="preserve">South Atlantic </w:t>
      </w:r>
      <w:r w:rsidR="008349CB">
        <w:t xml:space="preserve">Council’s </w:t>
      </w:r>
      <w:r w:rsidR="00AE5EFD" w:rsidRPr="003D48A6">
        <w:t>S</w:t>
      </w:r>
      <w:r w:rsidR="003623FC">
        <w:t xml:space="preserve">cientific and </w:t>
      </w:r>
      <w:r w:rsidR="00AE5EFD" w:rsidRPr="003D48A6">
        <w:t>S</w:t>
      </w:r>
      <w:r w:rsidR="003623FC">
        <w:t xml:space="preserve">tatistical </w:t>
      </w:r>
      <w:r w:rsidR="00AE5EFD" w:rsidRPr="003D48A6">
        <w:t>C</w:t>
      </w:r>
      <w:r w:rsidR="003623FC">
        <w:t>ommittee (SSC)</w:t>
      </w:r>
      <w:r w:rsidR="00AE5EFD" w:rsidRPr="003D48A6">
        <w:t>, has a better scientific basis</w:t>
      </w:r>
      <w:r w:rsidR="00AE5EFD">
        <w:t xml:space="preserve"> and thus </w:t>
      </w:r>
      <w:r w:rsidR="00AE5EFD" w:rsidRPr="003D48A6">
        <w:t xml:space="preserve">provides a more solid ground for management actions that have </w:t>
      </w:r>
      <w:r w:rsidR="007E76C4">
        <w:t xml:space="preserve">biological, </w:t>
      </w:r>
      <w:r w:rsidR="00AE5EFD" w:rsidRPr="003D48A6">
        <w:t>economic</w:t>
      </w:r>
      <w:r w:rsidR="0008072A">
        <w:t>,</w:t>
      </w:r>
      <w:r w:rsidR="00AE5EFD" w:rsidRPr="003D48A6">
        <w:t xml:space="preserve"> </w:t>
      </w:r>
      <w:r w:rsidR="00AE5EFD">
        <w:t xml:space="preserve">and social </w:t>
      </w:r>
      <w:r w:rsidR="00AE5EFD" w:rsidRPr="003D48A6">
        <w:t>implications.</w:t>
      </w:r>
      <w:r w:rsidR="003623FC">
        <w:t xml:space="preserve">  </w:t>
      </w:r>
      <w:r w:rsidR="00410706">
        <w:t>A MSY level that reflects the best available information (</w:t>
      </w:r>
      <w:r w:rsidR="00410706" w:rsidRPr="004A7A26">
        <w:rPr>
          <w:b/>
        </w:rPr>
        <w:t xml:space="preserve">Preferred </w:t>
      </w:r>
      <w:r w:rsidR="00410706">
        <w:rPr>
          <w:b/>
        </w:rPr>
        <w:t>Alternative 2</w:t>
      </w:r>
      <w:r w:rsidR="00410706">
        <w:t xml:space="preserve">) is expected to contribute to achieving management goals and minimizing risk of overfishing for mutton snapper, resulting in greater expected long-term benefits to the commercial fleet and recreational fishermen who target mutton snapper than under </w:t>
      </w:r>
      <w:r w:rsidR="00410706">
        <w:rPr>
          <w:b/>
        </w:rPr>
        <w:t>Alternative 1 (No Action)</w:t>
      </w:r>
      <w:r w:rsidR="00410706">
        <w:t>.</w:t>
      </w:r>
    </w:p>
    <w:p w14:paraId="5385F757" w14:textId="77777777" w:rsidR="00410706" w:rsidRDefault="00410706" w:rsidP="00796707">
      <w:pPr>
        <w:ind w:firstLine="360"/>
      </w:pPr>
    </w:p>
    <w:p w14:paraId="2EB6E598" w14:textId="7FA48A61" w:rsidR="003623FC" w:rsidRDefault="00326473" w:rsidP="00796707">
      <w:pPr>
        <w:ind w:firstLine="360"/>
      </w:pPr>
      <w:r w:rsidRPr="00326473">
        <w:t xml:space="preserve">The South Atlantic Council’s </w:t>
      </w:r>
      <w:r>
        <w:t>SSC</w:t>
      </w:r>
      <w:r w:rsidRPr="00326473">
        <w:t xml:space="preserve"> endorsed t</w:t>
      </w:r>
      <w:r>
        <w:t>he guidance provided by the SEDAR 15A Update (2015</w:t>
      </w:r>
      <w:r w:rsidR="00005F9C">
        <w:t>) regarding MSY;</w:t>
      </w:r>
      <w:r w:rsidRPr="00326473">
        <w:t xml:space="preserve"> therefore, </w:t>
      </w:r>
      <w:r w:rsidR="006E2E4D">
        <w:t>there are no other</w:t>
      </w:r>
      <w:r w:rsidR="006E2E4D" w:rsidRPr="00326473">
        <w:t xml:space="preserve"> </w:t>
      </w:r>
      <w:r w:rsidRPr="00326473">
        <w:t xml:space="preserve">alternatives </w:t>
      </w:r>
      <w:r w:rsidR="006E2E4D">
        <w:t>the Council could consider</w:t>
      </w:r>
      <w:r w:rsidRPr="00326473">
        <w:t xml:space="preserve"> in this action </w:t>
      </w:r>
      <w:r w:rsidR="006E2E4D">
        <w:t xml:space="preserve">that are </w:t>
      </w:r>
      <w:r w:rsidRPr="00326473">
        <w:t>reasonable alternatives to setting t</w:t>
      </w:r>
      <w:r>
        <w:t>he MSY for mutton snapper</w:t>
      </w:r>
      <w:r w:rsidRPr="00326473">
        <w:t>.</w:t>
      </w:r>
    </w:p>
    <w:p w14:paraId="1340D492" w14:textId="77777777" w:rsidR="003623FC" w:rsidRDefault="003623FC" w:rsidP="00796707">
      <w:pPr>
        <w:ind w:firstLine="360"/>
      </w:pPr>
    </w:p>
    <w:p w14:paraId="221A1E0C" w14:textId="77777777" w:rsidR="006E2E4D" w:rsidRPr="0082710E" w:rsidRDefault="006E2E4D" w:rsidP="0082710E">
      <w:pPr>
        <w:ind w:firstLine="360"/>
      </w:pPr>
    </w:p>
    <w:p w14:paraId="12F1BF5D" w14:textId="77777777" w:rsidR="00410706" w:rsidRDefault="00410706">
      <w:pPr>
        <w:rPr>
          <w:rFonts w:ascii="Arial" w:hAnsi="Arial" w:cs="Arial"/>
          <w:b/>
          <w:bCs/>
          <w:iCs/>
          <w:sz w:val="28"/>
          <w:szCs w:val="28"/>
        </w:rPr>
      </w:pPr>
      <w:r>
        <w:rPr>
          <w:rFonts w:ascii="Arial" w:hAnsi="Arial" w:cs="Arial"/>
        </w:rPr>
        <w:br w:type="page"/>
      </w:r>
    </w:p>
    <w:p w14:paraId="5E2E9C08" w14:textId="556EB3BA" w:rsidR="00CB12BB" w:rsidRPr="00CB12BB" w:rsidRDefault="00DB4D41" w:rsidP="00CB12BB">
      <w:pPr>
        <w:pStyle w:val="Heading2"/>
        <w:rPr>
          <w:rFonts w:ascii="Arial" w:hAnsi="Arial" w:cs="Arial"/>
        </w:rPr>
      </w:pPr>
      <w:bookmarkStart w:id="66" w:name="_Toc339811700"/>
      <w:r>
        <w:rPr>
          <w:rFonts w:ascii="Arial" w:hAnsi="Arial" w:cs="Arial"/>
        </w:rPr>
        <w:lastRenderedPageBreak/>
        <w:t>2.2</w:t>
      </w:r>
      <w:r>
        <w:rPr>
          <w:rFonts w:ascii="Arial" w:hAnsi="Arial" w:cs="Arial"/>
        </w:rPr>
        <w:tab/>
      </w:r>
      <w:r w:rsidR="00CC558E">
        <w:rPr>
          <w:rFonts w:ascii="Arial" w:hAnsi="Arial" w:cs="Arial"/>
        </w:rPr>
        <w:t xml:space="preserve">Action 2.  </w:t>
      </w:r>
      <w:r w:rsidR="00CC558E" w:rsidRPr="008C454A">
        <w:rPr>
          <w:rFonts w:ascii="Arial" w:hAnsi="Arial" w:cs="Arial"/>
        </w:rPr>
        <w:t>Specify minimum stock size t</w:t>
      </w:r>
      <w:r w:rsidR="00CB12BB" w:rsidRPr="008C454A">
        <w:rPr>
          <w:rFonts w:ascii="Arial" w:hAnsi="Arial" w:cs="Arial"/>
        </w:rPr>
        <w:t>hreshold (MSST) for mutton snapper</w:t>
      </w:r>
      <w:r w:rsidR="004B1A22" w:rsidRPr="008C454A">
        <w:rPr>
          <w:rFonts w:ascii="Arial" w:hAnsi="Arial" w:cs="Arial"/>
        </w:rPr>
        <w:t xml:space="preserve"> </w:t>
      </w:r>
      <w:r w:rsidR="00774344" w:rsidRPr="008C454A">
        <w:rPr>
          <w:rFonts w:ascii="Arial" w:hAnsi="Arial" w:cs="Arial"/>
        </w:rPr>
        <w:t>in the South Atlantic R</w:t>
      </w:r>
      <w:r w:rsidR="004B1A22" w:rsidRPr="008C454A">
        <w:rPr>
          <w:rFonts w:ascii="Arial" w:hAnsi="Arial" w:cs="Arial"/>
        </w:rPr>
        <w:t>egion</w:t>
      </w:r>
      <w:bookmarkEnd w:id="66"/>
    </w:p>
    <w:p w14:paraId="3D24BFA4" w14:textId="77777777" w:rsidR="00CB12BB" w:rsidRDefault="00CB12BB" w:rsidP="00CB12BB"/>
    <w:p w14:paraId="45D7F0D1" w14:textId="14FE15AD" w:rsidR="00055F28" w:rsidRDefault="00055F28" w:rsidP="00055F28">
      <w:r w:rsidRPr="006E5F13">
        <w:rPr>
          <w:b/>
        </w:rPr>
        <w:t>Alternative 1 (No Action).</w:t>
      </w:r>
      <w:r>
        <w:t xml:space="preserve">  The min</w:t>
      </w:r>
      <w:r w:rsidR="0065404C">
        <w:t>imum stock size threshold</w:t>
      </w:r>
      <w:r>
        <w:t xml:space="preserve"> for mutton snapper is </w:t>
      </w:r>
      <w:r w:rsidRPr="002E5BF4">
        <w:t>SSB</w:t>
      </w:r>
      <w:r w:rsidRPr="002E5BF4">
        <w:rPr>
          <w:vertAlign w:val="subscript"/>
        </w:rPr>
        <w:t>MSY</w:t>
      </w:r>
      <w:r w:rsidRPr="002E5BF4">
        <w:t xml:space="preserve"> ((1-M) or 0.5, whichever is greater).  The value is not specified.</w:t>
      </w:r>
      <w:r w:rsidR="00972519" w:rsidRPr="002E5BF4">
        <w:t xml:space="preserve">  SSB</w:t>
      </w:r>
      <w:r w:rsidR="00972519" w:rsidRPr="002E5BF4">
        <w:rPr>
          <w:vertAlign w:val="subscript"/>
        </w:rPr>
        <w:t>MSY</w:t>
      </w:r>
      <w:r w:rsidR="00972519" w:rsidRPr="002E5BF4">
        <w:t xml:space="preserve"> = spawning stock biomass at maximum sustainable yield and M = natural mortality.</w:t>
      </w:r>
    </w:p>
    <w:p w14:paraId="083E6C41" w14:textId="77777777" w:rsidR="00055F28" w:rsidRDefault="00055F28" w:rsidP="00055F28"/>
    <w:p w14:paraId="5DCBA36C" w14:textId="26290F15" w:rsidR="00055F28" w:rsidRPr="002F6AB6" w:rsidRDefault="00055F28" w:rsidP="00055F28">
      <w:r w:rsidRPr="004E0C82">
        <w:rPr>
          <w:b/>
        </w:rPr>
        <w:t>Alternative 2.</w:t>
      </w:r>
      <w:r>
        <w:t xml:space="preserve">  Minimum stock size threshold = 50% of </w:t>
      </w:r>
      <w:r w:rsidRPr="004E0C82">
        <w:t>SSB</w:t>
      </w:r>
      <w:r w:rsidRPr="004E0C82">
        <w:rPr>
          <w:vertAlign w:val="subscript"/>
        </w:rPr>
        <w:t>MSY</w:t>
      </w:r>
      <w:r>
        <w:t xml:space="preserve"> </w:t>
      </w:r>
    </w:p>
    <w:p w14:paraId="68494DB5" w14:textId="77777777" w:rsidR="00055F28" w:rsidRDefault="00055F28" w:rsidP="00055F28">
      <w:pPr>
        <w:rPr>
          <w:vertAlign w:val="subscript"/>
        </w:rPr>
      </w:pPr>
    </w:p>
    <w:p w14:paraId="5F371309" w14:textId="10346330" w:rsidR="00055F28" w:rsidRPr="00807C86" w:rsidRDefault="00B6465A" w:rsidP="00055F28">
      <w:r>
        <w:rPr>
          <w:b/>
        </w:rPr>
        <w:t xml:space="preserve">Preferred </w:t>
      </w:r>
      <w:r w:rsidR="00055F28" w:rsidRPr="004E0C82">
        <w:rPr>
          <w:b/>
        </w:rPr>
        <w:t>Alternative 3.</w:t>
      </w:r>
      <w:r w:rsidR="00055F28">
        <w:t xml:space="preserve">  Minimum stock size threshold = 75% of SSB</w:t>
      </w:r>
      <w:r w:rsidR="00055F28" w:rsidRPr="004E0C82">
        <w:rPr>
          <w:vertAlign w:val="subscript"/>
        </w:rPr>
        <w:t>MSY</w:t>
      </w:r>
      <w:r w:rsidR="00055F28">
        <w:t xml:space="preserve"> </w:t>
      </w:r>
    </w:p>
    <w:p w14:paraId="5EE22AE4" w14:textId="77777777" w:rsidR="00055F28" w:rsidRDefault="00055F28" w:rsidP="00055F28">
      <w:pPr>
        <w:rPr>
          <w:rFonts w:ascii="Arial" w:hAnsi="Arial" w:cs="Arial"/>
          <w:b/>
          <w:sz w:val="28"/>
          <w:szCs w:val="28"/>
        </w:rPr>
      </w:pPr>
    </w:p>
    <w:tbl>
      <w:tblPr>
        <w:tblW w:w="10239"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ook w:val="04A0" w:firstRow="1" w:lastRow="0" w:firstColumn="1" w:lastColumn="0" w:noHBand="0" w:noVBand="1"/>
      </w:tblPr>
      <w:tblGrid>
        <w:gridCol w:w="1578"/>
        <w:gridCol w:w="5701"/>
        <w:gridCol w:w="690"/>
        <w:gridCol w:w="2270"/>
      </w:tblGrid>
      <w:tr w:rsidR="00055F28" w:rsidRPr="003E562E" w14:paraId="294CC29F" w14:textId="77777777" w:rsidTr="008E4EC7">
        <w:trPr>
          <w:trHeight w:val="864"/>
        </w:trPr>
        <w:tc>
          <w:tcPr>
            <w:tcW w:w="0" w:type="auto"/>
            <w:tcBorders>
              <w:top w:val="single" w:sz="4" w:space="0" w:color="auto"/>
              <w:left w:val="single" w:sz="4" w:space="0" w:color="auto"/>
              <w:bottom w:val="single" w:sz="24" w:space="0" w:color="C0504D"/>
              <w:right w:val="nil"/>
            </w:tcBorders>
            <w:shd w:val="clear" w:color="auto" w:fill="FFFFFF"/>
            <w:vAlign w:val="center"/>
          </w:tcPr>
          <w:p w14:paraId="259458E0" w14:textId="77777777" w:rsidR="00055F28" w:rsidRPr="003E562E" w:rsidRDefault="00055F28" w:rsidP="008E4EC7">
            <w:pPr>
              <w:tabs>
                <w:tab w:val="left" w:pos="6552"/>
              </w:tabs>
              <w:jc w:val="center"/>
              <w:rPr>
                <w:rFonts w:ascii="Arial" w:hAnsi="Arial" w:cs="Arial"/>
                <w:b/>
                <w:bCs/>
                <w:color w:val="000000"/>
                <w:sz w:val="22"/>
              </w:rPr>
            </w:pPr>
          </w:p>
          <w:p w14:paraId="4722605E" w14:textId="77777777" w:rsidR="00055F28" w:rsidRPr="003E562E" w:rsidRDefault="00055F28" w:rsidP="008E4EC7">
            <w:pPr>
              <w:tabs>
                <w:tab w:val="left" w:pos="6552"/>
              </w:tabs>
              <w:jc w:val="center"/>
              <w:rPr>
                <w:rFonts w:ascii="Arial" w:hAnsi="Arial" w:cs="Arial"/>
                <w:b/>
                <w:bCs/>
                <w:color w:val="000000"/>
                <w:sz w:val="22"/>
              </w:rPr>
            </w:pPr>
            <w:r w:rsidRPr="003E562E">
              <w:rPr>
                <w:rFonts w:ascii="Arial" w:hAnsi="Arial" w:cs="Arial"/>
                <w:b/>
                <w:bCs/>
                <w:color w:val="000000"/>
                <w:sz w:val="22"/>
              </w:rPr>
              <w:t>Alternatives</w:t>
            </w:r>
          </w:p>
        </w:tc>
        <w:tc>
          <w:tcPr>
            <w:tcW w:w="0" w:type="auto"/>
            <w:tcBorders>
              <w:top w:val="single" w:sz="4" w:space="0" w:color="auto"/>
              <w:left w:val="nil"/>
              <w:bottom w:val="single" w:sz="24" w:space="0" w:color="C0504D"/>
              <w:right w:val="nil"/>
            </w:tcBorders>
            <w:shd w:val="clear" w:color="auto" w:fill="FFFFFF"/>
            <w:vAlign w:val="center"/>
          </w:tcPr>
          <w:p w14:paraId="0CD7CB92" w14:textId="77777777" w:rsidR="00055F28" w:rsidRPr="003E562E" w:rsidRDefault="00055F28" w:rsidP="008E4EC7">
            <w:pPr>
              <w:tabs>
                <w:tab w:val="left" w:pos="6552"/>
              </w:tabs>
              <w:jc w:val="center"/>
              <w:rPr>
                <w:rFonts w:ascii="Arial" w:hAnsi="Arial" w:cs="Arial"/>
                <w:b/>
                <w:bCs/>
                <w:color w:val="000000"/>
                <w:sz w:val="22"/>
              </w:rPr>
            </w:pPr>
          </w:p>
          <w:p w14:paraId="4DA95636" w14:textId="77777777" w:rsidR="00055F28" w:rsidRPr="003E562E" w:rsidRDefault="00055F28" w:rsidP="008E4EC7">
            <w:pPr>
              <w:tabs>
                <w:tab w:val="left" w:pos="6552"/>
              </w:tabs>
              <w:jc w:val="center"/>
              <w:rPr>
                <w:rFonts w:ascii="Arial" w:hAnsi="Arial" w:cs="Arial"/>
                <w:b/>
                <w:bCs/>
                <w:color w:val="000000"/>
                <w:sz w:val="22"/>
              </w:rPr>
            </w:pPr>
            <w:r w:rsidRPr="003E562E">
              <w:rPr>
                <w:rFonts w:ascii="Arial" w:hAnsi="Arial" w:cs="Arial"/>
                <w:b/>
                <w:bCs/>
                <w:color w:val="000000"/>
                <w:sz w:val="22"/>
              </w:rPr>
              <w:t>MSST Equation</w:t>
            </w:r>
          </w:p>
        </w:tc>
        <w:tc>
          <w:tcPr>
            <w:tcW w:w="0" w:type="auto"/>
            <w:tcBorders>
              <w:top w:val="single" w:sz="4" w:space="0" w:color="auto"/>
              <w:left w:val="nil"/>
              <w:bottom w:val="single" w:sz="24" w:space="0" w:color="C0504D"/>
              <w:right w:val="nil"/>
            </w:tcBorders>
            <w:shd w:val="clear" w:color="auto" w:fill="FFFFFF"/>
            <w:vAlign w:val="center"/>
          </w:tcPr>
          <w:p w14:paraId="745D3BF7" w14:textId="77777777" w:rsidR="00055F28" w:rsidRPr="003E562E" w:rsidRDefault="00055F28" w:rsidP="008E4EC7">
            <w:pPr>
              <w:tabs>
                <w:tab w:val="left" w:pos="6552"/>
              </w:tabs>
              <w:jc w:val="center"/>
              <w:rPr>
                <w:rFonts w:ascii="Arial" w:hAnsi="Arial" w:cs="Arial"/>
                <w:b/>
                <w:bCs/>
                <w:color w:val="000000"/>
                <w:sz w:val="22"/>
              </w:rPr>
            </w:pPr>
            <w:r w:rsidRPr="003E562E">
              <w:rPr>
                <w:rFonts w:ascii="Arial" w:hAnsi="Arial" w:cs="Arial"/>
                <w:b/>
                <w:bCs/>
                <w:color w:val="000000"/>
                <w:sz w:val="22"/>
              </w:rPr>
              <w:t>M</w:t>
            </w:r>
          </w:p>
        </w:tc>
        <w:tc>
          <w:tcPr>
            <w:tcW w:w="0" w:type="auto"/>
            <w:tcBorders>
              <w:top w:val="single" w:sz="4" w:space="0" w:color="auto"/>
              <w:left w:val="nil"/>
              <w:bottom w:val="single" w:sz="24" w:space="0" w:color="C0504D"/>
              <w:right w:val="single" w:sz="4" w:space="0" w:color="auto"/>
            </w:tcBorders>
            <w:shd w:val="clear" w:color="auto" w:fill="FFFFFF"/>
            <w:vAlign w:val="center"/>
          </w:tcPr>
          <w:p w14:paraId="37D27794" w14:textId="77777777" w:rsidR="00055F28" w:rsidRPr="003E562E" w:rsidRDefault="00055F28" w:rsidP="008E4EC7">
            <w:pPr>
              <w:tabs>
                <w:tab w:val="left" w:pos="6552"/>
              </w:tabs>
              <w:jc w:val="center"/>
              <w:rPr>
                <w:rFonts w:ascii="Arial" w:hAnsi="Arial" w:cs="Arial"/>
                <w:b/>
                <w:bCs/>
                <w:color w:val="000000"/>
                <w:sz w:val="22"/>
              </w:rPr>
            </w:pPr>
            <w:r w:rsidRPr="003E562E">
              <w:rPr>
                <w:rFonts w:ascii="Arial" w:hAnsi="Arial" w:cs="Arial"/>
                <w:b/>
                <w:bCs/>
                <w:color w:val="000000"/>
                <w:sz w:val="22"/>
              </w:rPr>
              <w:t>MSST Values</w:t>
            </w:r>
          </w:p>
          <w:p w14:paraId="2042448E" w14:textId="77777777" w:rsidR="00055F28" w:rsidRPr="003E562E" w:rsidRDefault="00055F28" w:rsidP="008E4EC7">
            <w:pPr>
              <w:tabs>
                <w:tab w:val="left" w:pos="6552"/>
              </w:tabs>
              <w:jc w:val="center"/>
              <w:rPr>
                <w:rFonts w:ascii="Arial" w:hAnsi="Arial" w:cs="Arial"/>
                <w:b/>
                <w:bCs/>
                <w:color w:val="000000"/>
                <w:sz w:val="22"/>
              </w:rPr>
            </w:pPr>
            <w:r w:rsidRPr="003E562E">
              <w:rPr>
                <w:rFonts w:ascii="Arial" w:hAnsi="Arial" w:cs="Arial"/>
                <w:b/>
                <w:bCs/>
                <w:color w:val="000000"/>
                <w:sz w:val="22"/>
              </w:rPr>
              <w:t>(lbs whole weight)</w:t>
            </w:r>
          </w:p>
        </w:tc>
      </w:tr>
      <w:tr w:rsidR="00055F28" w:rsidRPr="003E562E" w14:paraId="1A1D3244" w14:textId="77777777" w:rsidTr="008E4EC7">
        <w:trPr>
          <w:trHeight w:val="809"/>
        </w:trPr>
        <w:tc>
          <w:tcPr>
            <w:tcW w:w="0" w:type="auto"/>
            <w:tcBorders>
              <w:left w:val="single" w:sz="4" w:space="0" w:color="auto"/>
              <w:right w:val="nil"/>
            </w:tcBorders>
            <w:shd w:val="clear" w:color="auto" w:fill="2C4C74"/>
            <w:vAlign w:val="center"/>
          </w:tcPr>
          <w:p w14:paraId="00D308BC" w14:textId="77777777" w:rsidR="00055F28" w:rsidRPr="003E562E" w:rsidRDefault="00055F28" w:rsidP="008E4EC7">
            <w:pPr>
              <w:tabs>
                <w:tab w:val="left" w:pos="6552"/>
              </w:tabs>
              <w:jc w:val="center"/>
              <w:rPr>
                <w:rFonts w:ascii="Arial" w:hAnsi="Arial" w:cs="Arial"/>
                <w:b/>
                <w:color w:val="FFFFFF"/>
                <w:sz w:val="22"/>
              </w:rPr>
            </w:pPr>
            <w:r w:rsidRPr="003E562E">
              <w:rPr>
                <w:rFonts w:ascii="Arial" w:hAnsi="Arial" w:cs="Arial"/>
                <w:b/>
                <w:color w:val="FFFFFF"/>
                <w:sz w:val="22"/>
              </w:rPr>
              <w:t>1</w:t>
            </w:r>
          </w:p>
          <w:p w14:paraId="3B02C5E6" w14:textId="77777777" w:rsidR="00055F28" w:rsidRPr="003E562E" w:rsidRDefault="00055F28" w:rsidP="008E4EC7">
            <w:pPr>
              <w:tabs>
                <w:tab w:val="left" w:pos="6552"/>
              </w:tabs>
              <w:jc w:val="center"/>
              <w:rPr>
                <w:rFonts w:ascii="Arial" w:hAnsi="Arial" w:cs="Arial"/>
                <w:color w:val="FFFFFF"/>
                <w:sz w:val="22"/>
              </w:rPr>
            </w:pPr>
            <w:r w:rsidRPr="003E562E">
              <w:rPr>
                <w:rFonts w:ascii="Arial" w:hAnsi="Arial" w:cs="Arial"/>
                <w:b/>
                <w:color w:val="FFFFFF"/>
                <w:sz w:val="22"/>
              </w:rPr>
              <w:t>(No Action)</w:t>
            </w:r>
          </w:p>
        </w:tc>
        <w:tc>
          <w:tcPr>
            <w:tcW w:w="0" w:type="auto"/>
            <w:shd w:val="clear" w:color="auto" w:fill="A7BFDE"/>
            <w:vAlign w:val="center"/>
          </w:tcPr>
          <w:p w14:paraId="746EEBD5" w14:textId="77777777" w:rsidR="00055F28" w:rsidRPr="003E562E" w:rsidRDefault="00055F28" w:rsidP="008E4EC7">
            <w:pPr>
              <w:rPr>
                <w:rFonts w:ascii="Arial" w:hAnsi="Arial" w:cs="Arial"/>
                <w:color w:val="000000"/>
                <w:sz w:val="22"/>
              </w:rPr>
            </w:pPr>
            <w:r>
              <w:rPr>
                <w:rFonts w:ascii="Arial" w:hAnsi="Arial" w:cs="Arial"/>
                <w:color w:val="000000"/>
                <w:sz w:val="22"/>
              </w:rPr>
              <w:t>MSST =</w:t>
            </w:r>
            <w:r w:rsidRPr="003E562E">
              <w:rPr>
                <w:rFonts w:ascii="Arial" w:hAnsi="Arial" w:cs="Arial"/>
                <w:color w:val="000000"/>
                <w:sz w:val="22"/>
              </w:rPr>
              <w:t xml:space="preserve"> SSB</w:t>
            </w:r>
            <w:r w:rsidRPr="003E562E">
              <w:rPr>
                <w:rFonts w:ascii="Arial" w:hAnsi="Arial" w:cs="Arial"/>
                <w:color w:val="000000"/>
                <w:sz w:val="22"/>
                <w:vertAlign w:val="subscript"/>
              </w:rPr>
              <w:t>MSY</w:t>
            </w:r>
            <w:r w:rsidRPr="003E562E">
              <w:rPr>
                <w:rFonts w:ascii="Arial" w:hAnsi="Arial" w:cs="Arial"/>
                <w:color w:val="000000"/>
                <w:sz w:val="22"/>
              </w:rPr>
              <w:t xml:space="preserve"> ((1-M) or 0.5, whichever is greater).</w:t>
            </w:r>
          </w:p>
        </w:tc>
        <w:tc>
          <w:tcPr>
            <w:tcW w:w="0" w:type="auto"/>
            <w:shd w:val="clear" w:color="auto" w:fill="A7BFDE"/>
            <w:vAlign w:val="center"/>
          </w:tcPr>
          <w:p w14:paraId="5E5A4988" w14:textId="77777777" w:rsidR="00055F28" w:rsidRPr="003E562E" w:rsidRDefault="00055F28" w:rsidP="008E4EC7">
            <w:pPr>
              <w:jc w:val="center"/>
              <w:rPr>
                <w:rFonts w:ascii="Arial" w:hAnsi="Arial" w:cs="Arial"/>
                <w:color w:val="000000"/>
                <w:sz w:val="22"/>
              </w:rPr>
            </w:pPr>
            <w:r w:rsidRPr="003E562E">
              <w:rPr>
                <w:rFonts w:ascii="Arial" w:hAnsi="Arial" w:cs="Arial"/>
                <w:color w:val="000000"/>
                <w:sz w:val="22"/>
              </w:rPr>
              <w:t>0.11</w:t>
            </w:r>
          </w:p>
        </w:tc>
        <w:tc>
          <w:tcPr>
            <w:tcW w:w="0" w:type="auto"/>
            <w:tcBorders>
              <w:right w:val="single" w:sz="4" w:space="0" w:color="auto"/>
            </w:tcBorders>
            <w:shd w:val="clear" w:color="auto" w:fill="A7BFDE"/>
            <w:vAlign w:val="center"/>
          </w:tcPr>
          <w:p w14:paraId="48C3C9B0" w14:textId="77777777" w:rsidR="00055F28" w:rsidRPr="001111E4" w:rsidRDefault="00055F28" w:rsidP="008E4EC7">
            <w:pPr>
              <w:jc w:val="center"/>
              <w:rPr>
                <w:rFonts w:ascii="Arial" w:hAnsi="Arial" w:cs="Arial"/>
                <w:color w:val="000000"/>
                <w:sz w:val="22"/>
              </w:rPr>
            </w:pPr>
            <w:r w:rsidRPr="00B6465A">
              <w:rPr>
                <w:rFonts w:ascii="Arial" w:hAnsi="Arial" w:cs="Arial"/>
                <w:color w:val="000000"/>
                <w:sz w:val="22"/>
              </w:rPr>
              <w:t>Not specified</w:t>
            </w:r>
          </w:p>
        </w:tc>
      </w:tr>
      <w:tr w:rsidR="00055F28" w:rsidRPr="003E562E" w14:paraId="58A265A4" w14:textId="77777777" w:rsidTr="008E4EC7">
        <w:trPr>
          <w:trHeight w:val="566"/>
        </w:trPr>
        <w:tc>
          <w:tcPr>
            <w:tcW w:w="0" w:type="auto"/>
            <w:tcBorders>
              <w:left w:val="single" w:sz="4" w:space="0" w:color="auto"/>
              <w:right w:val="nil"/>
            </w:tcBorders>
            <w:shd w:val="clear" w:color="auto" w:fill="2C4C74"/>
            <w:vAlign w:val="center"/>
          </w:tcPr>
          <w:p w14:paraId="6D1E1F8F" w14:textId="77777777" w:rsidR="00055F28" w:rsidRPr="003E562E" w:rsidRDefault="00055F28" w:rsidP="008E4EC7">
            <w:pPr>
              <w:tabs>
                <w:tab w:val="left" w:pos="6552"/>
              </w:tabs>
              <w:jc w:val="center"/>
              <w:rPr>
                <w:rFonts w:ascii="Arial" w:hAnsi="Arial" w:cs="Arial"/>
                <w:b/>
                <w:color w:val="FFFFFF"/>
                <w:sz w:val="22"/>
              </w:rPr>
            </w:pPr>
            <w:r w:rsidRPr="003E562E">
              <w:rPr>
                <w:rFonts w:ascii="Arial" w:hAnsi="Arial" w:cs="Arial"/>
                <w:b/>
                <w:color w:val="FFFFFF"/>
                <w:sz w:val="22"/>
              </w:rPr>
              <w:t>2</w:t>
            </w:r>
          </w:p>
        </w:tc>
        <w:tc>
          <w:tcPr>
            <w:tcW w:w="0" w:type="auto"/>
            <w:shd w:val="clear" w:color="auto" w:fill="EDF2F8"/>
            <w:vAlign w:val="center"/>
          </w:tcPr>
          <w:p w14:paraId="37ADAE61" w14:textId="77777777" w:rsidR="00055F28" w:rsidRPr="003E562E" w:rsidRDefault="00055F28" w:rsidP="008E4EC7">
            <w:pPr>
              <w:rPr>
                <w:rFonts w:ascii="Arial" w:hAnsi="Arial" w:cs="Arial"/>
                <w:color w:val="000000"/>
                <w:sz w:val="22"/>
              </w:rPr>
            </w:pPr>
            <w:r w:rsidRPr="003E562E">
              <w:rPr>
                <w:rFonts w:ascii="Arial" w:hAnsi="Arial" w:cs="Arial"/>
                <w:color w:val="000000"/>
                <w:sz w:val="22"/>
              </w:rPr>
              <w:t>MSST = 50% of SSB</w:t>
            </w:r>
            <w:r w:rsidRPr="003E562E">
              <w:rPr>
                <w:rFonts w:ascii="Arial" w:hAnsi="Arial" w:cs="Arial"/>
                <w:color w:val="000000"/>
                <w:sz w:val="22"/>
                <w:vertAlign w:val="subscript"/>
              </w:rPr>
              <w:t>MSY</w:t>
            </w:r>
          </w:p>
        </w:tc>
        <w:tc>
          <w:tcPr>
            <w:tcW w:w="0" w:type="auto"/>
            <w:shd w:val="clear" w:color="auto" w:fill="EDF2F8"/>
            <w:vAlign w:val="center"/>
          </w:tcPr>
          <w:p w14:paraId="1D079BC7" w14:textId="77777777" w:rsidR="00055F28" w:rsidRPr="003E562E" w:rsidRDefault="00055F28" w:rsidP="008E4EC7">
            <w:pPr>
              <w:jc w:val="center"/>
              <w:rPr>
                <w:rFonts w:ascii="Arial" w:hAnsi="Arial" w:cs="Arial"/>
                <w:color w:val="000000"/>
                <w:sz w:val="22"/>
              </w:rPr>
            </w:pPr>
            <w:r>
              <w:rPr>
                <w:rFonts w:ascii="Arial" w:hAnsi="Arial" w:cs="Arial"/>
                <w:color w:val="000000"/>
                <w:sz w:val="22"/>
              </w:rPr>
              <w:t>0.17</w:t>
            </w:r>
          </w:p>
        </w:tc>
        <w:tc>
          <w:tcPr>
            <w:tcW w:w="0" w:type="auto"/>
            <w:tcBorders>
              <w:right w:val="single" w:sz="4" w:space="0" w:color="auto"/>
            </w:tcBorders>
            <w:shd w:val="clear" w:color="auto" w:fill="EDF2F8"/>
            <w:vAlign w:val="center"/>
          </w:tcPr>
          <w:p w14:paraId="47EFE148" w14:textId="77777777" w:rsidR="00055F28" w:rsidRPr="003E562E" w:rsidRDefault="00055F28" w:rsidP="008E4EC7">
            <w:pPr>
              <w:jc w:val="center"/>
              <w:rPr>
                <w:rFonts w:ascii="Arial" w:hAnsi="Arial" w:cs="Arial"/>
                <w:color w:val="000000"/>
                <w:sz w:val="22"/>
              </w:rPr>
            </w:pPr>
            <w:r w:rsidRPr="003E562E">
              <w:rPr>
                <w:rFonts w:ascii="Arial" w:hAnsi="Arial" w:cs="Arial"/>
                <w:sz w:val="22"/>
              </w:rPr>
              <w:t>2,324,600</w:t>
            </w:r>
          </w:p>
        </w:tc>
      </w:tr>
      <w:tr w:rsidR="00055F28" w:rsidRPr="003E562E" w14:paraId="29FF3ABA" w14:textId="77777777" w:rsidTr="008E4EC7">
        <w:trPr>
          <w:trHeight w:val="680"/>
        </w:trPr>
        <w:tc>
          <w:tcPr>
            <w:tcW w:w="0" w:type="auto"/>
            <w:tcBorders>
              <w:left w:val="single" w:sz="4" w:space="0" w:color="auto"/>
              <w:bottom w:val="single" w:sz="4" w:space="0" w:color="auto"/>
              <w:right w:val="nil"/>
            </w:tcBorders>
            <w:shd w:val="clear" w:color="auto" w:fill="2C4C74"/>
            <w:vAlign w:val="center"/>
          </w:tcPr>
          <w:p w14:paraId="6922204A" w14:textId="77777777" w:rsidR="00055F28" w:rsidRDefault="00055F28" w:rsidP="008E4EC7">
            <w:pPr>
              <w:tabs>
                <w:tab w:val="left" w:pos="6552"/>
              </w:tabs>
              <w:jc w:val="center"/>
              <w:rPr>
                <w:rFonts w:ascii="Arial" w:hAnsi="Arial" w:cs="Arial"/>
                <w:b/>
                <w:color w:val="FFFFFF"/>
                <w:sz w:val="22"/>
              </w:rPr>
            </w:pPr>
            <w:r w:rsidRPr="003E562E">
              <w:rPr>
                <w:rFonts w:ascii="Arial" w:hAnsi="Arial" w:cs="Arial"/>
                <w:b/>
                <w:color w:val="FFFFFF"/>
                <w:sz w:val="22"/>
              </w:rPr>
              <w:t>3</w:t>
            </w:r>
          </w:p>
          <w:p w14:paraId="602DE995" w14:textId="5C66D477" w:rsidR="007E76C4" w:rsidRPr="003E562E" w:rsidRDefault="007E76C4" w:rsidP="008E4EC7">
            <w:pPr>
              <w:tabs>
                <w:tab w:val="left" w:pos="6552"/>
              </w:tabs>
              <w:jc w:val="center"/>
              <w:rPr>
                <w:rFonts w:ascii="Arial" w:hAnsi="Arial" w:cs="Arial"/>
                <w:b/>
                <w:color w:val="FFFFFF"/>
                <w:sz w:val="22"/>
              </w:rPr>
            </w:pPr>
            <w:r>
              <w:rPr>
                <w:rFonts w:ascii="Arial" w:hAnsi="Arial" w:cs="Arial"/>
                <w:b/>
                <w:color w:val="FFFFFF"/>
                <w:sz w:val="22"/>
              </w:rPr>
              <w:t>(Preferred)</w:t>
            </w:r>
          </w:p>
          <w:p w14:paraId="5D3D9D4F" w14:textId="77777777" w:rsidR="00055F28" w:rsidRPr="003E562E" w:rsidRDefault="00055F28" w:rsidP="008E4EC7">
            <w:pPr>
              <w:tabs>
                <w:tab w:val="left" w:pos="6552"/>
              </w:tabs>
              <w:jc w:val="center"/>
              <w:rPr>
                <w:rFonts w:ascii="Arial" w:hAnsi="Arial" w:cs="Arial"/>
                <w:b/>
                <w:color w:val="FFFFFF"/>
                <w:sz w:val="22"/>
              </w:rPr>
            </w:pPr>
          </w:p>
        </w:tc>
        <w:tc>
          <w:tcPr>
            <w:tcW w:w="0" w:type="auto"/>
            <w:tcBorders>
              <w:bottom w:val="single" w:sz="4" w:space="0" w:color="auto"/>
            </w:tcBorders>
            <w:shd w:val="clear" w:color="auto" w:fill="A7BFDE"/>
            <w:vAlign w:val="center"/>
          </w:tcPr>
          <w:p w14:paraId="1FC8C528" w14:textId="77777777" w:rsidR="00055F28" w:rsidRPr="003E562E" w:rsidRDefault="00055F28" w:rsidP="008E4EC7">
            <w:pPr>
              <w:rPr>
                <w:rFonts w:ascii="Arial" w:hAnsi="Arial" w:cs="Arial"/>
                <w:color w:val="000000"/>
                <w:sz w:val="22"/>
              </w:rPr>
            </w:pPr>
            <w:r w:rsidRPr="003E562E">
              <w:rPr>
                <w:rFonts w:ascii="Arial" w:hAnsi="Arial" w:cs="Arial"/>
                <w:color w:val="000000"/>
                <w:sz w:val="22"/>
              </w:rPr>
              <w:t>MSST = 75% of SSB</w:t>
            </w:r>
            <w:r w:rsidRPr="003E562E">
              <w:rPr>
                <w:rFonts w:ascii="Arial" w:hAnsi="Arial" w:cs="Arial"/>
                <w:color w:val="000000"/>
                <w:sz w:val="22"/>
                <w:vertAlign w:val="subscript"/>
              </w:rPr>
              <w:t>MSY</w:t>
            </w:r>
          </w:p>
        </w:tc>
        <w:tc>
          <w:tcPr>
            <w:tcW w:w="0" w:type="auto"/>
            <w:tcBorders>
              <w:bottom w:val="single" w:sz="4" w:space="0" w:color="auto"/>
            </w:tcBorders>
            <w:shd w:val="clear" w:color="auto" w:fill="A7BFDE"/>
            <w:vAlign w:val="center"/>
          </w:tcPr>
          <w:p w14:paraId="744040C2" w14:textId="77777777" w:rsidR="00055F28" w:rsidRPr="003E562E" w:rsidRDefault="00055F28" w:rsidP="008E4EC7">
            <w:pPr>
              <w:jc w:val="center"/>
              <w:rPr>
                <w:rFonts w:ascii="Arial" w:hAnsi="Arial" w:cs="Arial"/>
                <w:color w:val="000000"/>
                <w:sz w:val="22"/>
              </w:rPr>
            </w:pPr>
            <w:r>
              <w:rPr>
                <w:rFonts w:ascii="Arial" w:hAnsi="Arial" w:cs="Arial"/>
                <w:color w:val="000000"/>
                <w:sz w:val="22"/>
              </w:rPr>
              <w:t>0.17</w:t>
            </w:r>
          </w:p>
        </w:tc>
        <w:tc>
          <w:tcPr>
            <w:tcW w:w="0" w:type="auto"/>
            <w:tcBorders>
              <w:bottom w:val="single" w:sz="4" w:space="0" w:color="auto"/>
              <w:right w:val="single" w:sz="4" w:space="0" w:color="auto"/>
            </w:tcBorders>
            <w:shd w:val="clear" w:color="auto" w:fill="A7BFDE"/>
            <w:vAlign w:val="center"/>
          </w:tcPr>
          <w:p w14:paraId="60013947" w14:textId="77777777" w:rsidR="00055F28" w:rsidRPr="003E562E" w:rsidRDefault="00055F28" w:rsidP="008E4EC7">
            <w:pPr>
              <w:jc w:val="center"/>
              <w:rPr>
                <w:rFonts w:ascii="Arial" w:hAnsi="Arial" w:cs="Arial"/>
                <w:color w:val="000000"/>
                <w:sz w:val="22"/>
              </w:rPr>
            </w:pPr>
            <w:r w:rsidRPr="003E562E">
              <w:rPr>
                <w:rFonts w:ascii="Arial" w:hAnsi="Arial" w:cs="Arial"/>
                <w:sz w:val="22"/>
              </w:rPr>
              <w:t>3,486,900</w:t>
            </w:r>
          </w:p>
        </w:tc>
      </w:tr>
    </w:tbl>
    <w:p w14:paraId="3F7CB48E" w14:textId="77777777" w:rsidR="00055F28" w:rsidRDefault="00055F28" w:rsidP="00055F28">
      <w:pPr>
        <w:rPr>
          <w:color w:val="000000"/>
        </w:rPr>
      </w:pPr>
    </w:p>
    <w:p w14:paraId="1109C03A" w14:textId="77777777" w:rsidR="00AE5EFD" w:rsidRPr="00AE5EFD" w:rsidRDefault="00AE5EFD" w:rsidP="00AE5EFD">
      <w:pPr>
        <w:pStyle w:val="Heading2"/>
        <w:rPr>
          <w:rFonts w:ascii="Arial" w:hAnsi="Arial" w:cs="Arial"/>
        </w:rPr>
      </w:pPr>
      <w:bookmarkStart w:id="67" w:name="_Toc339811701"/>
      <w:r w:rsidRPr="00AE5EFD">
        <w:rPr>
          <w:rFonts w:ascii="Arial" w:hAnsi="Arial" w:cs="Arial"/>
        </w:rPr>
        <w:t>Comparison of Alternatives:</w:t>
      </w:r>
      <w:bookmarkEnd w:id="67"/>
    </w:p>
    <w:p w14:paraId="6232CBD9" w14:textId="39EC2D01" w:rsidR="00326473" w:rsidRDefault="00326473" w:rsidP="00055F28">
      <w:pPr>
        <w:numPr>
          <w:ilvl w:val="12"/>
          <w:numId w:val="0"/>
        </w:numPr>
        <w:ind w:firstLine="360"/>
        <w:contextualSpacing/>
      </w:pPr>
      <w:r>
        <w:t xml:space="preserve">The </w:t>
      </w:r>
      <w:r w:rsidR="0008072A">
        <w:t>MSST</w:t>
      </w:r>
      <w:r w:rsidR="00005F9C">
        <w:t xml:space="preserve"> </w:t>
      </w:r>
      <w:r>
        <w:t>is the biomass level below which a stock is considered overfished.  MSST for mutton snapper in the South Atlantic is currently specified as MSST = SSB</w:t>
      </w:r>
      <w:r w:rsidRPr="00027438">
        <w:rPr>
          <w:vertAlign w:val="subscript"/>
        </w:rPr>
        <w:t>MSY</w:t>
      </w:r>
      <w:r>
        <w:t>*((1-M) or 0.5, whichever is greater) where SSB</w:t>
      </w:r>
      <w:r w:rsidRPr="00960B54">
        <w:rPr>
          <w:vertAlign w:val="subscript"/>
        </w:rPr>
        <w:t>MSY</w:t>
      </w:r>
      <w:r>
        <w:t xml:space="preserve"> is the spawning stock biomass at the MSY level and M is the natural mortality rate.  </w:t>
      </w:r>
    </w:p>
    <w:p w14:paraId="078068C6" w14:textId="77777777" w:rsidR="00326473" w:rsidRDefault="00326473" w:rsidP="00055F28">
      <w:pPr>
        <w:numPr>
          <w:ilvl w:val="12"/>
          <w:numId w:val="0"/>
        </w:numPr>
        <w:ind w:firstLine="360"/>
        <w:contextualSpacing/>
        <w:rPr>
          <w:color w:val="000000"/>
        </w:rPr>
      </w:pPr>
    </w:p>
    <w:p w14:paraId="0B013F77" w14:textId="24DB8326" w:rsidR="00AE5EFD" w:rsidRDefault="00055F28" w:rsidP="00055F28">
      <w:pPr>
        <w:numPr>
          <w:ilvl w:val="12"/>
          <w:numId w:val="0"/>
        </w:numPr>
        <w:ind w:firstLine="360"/>
        <w:contextualSpacing/>
      </w:pPr>
      <w:r w:rsidRPr="00E80707">
        <w:rPr>
          <w:color w:val="000000"/>
        </w:rPr>
        <w:t xml:space="preserve">The SEDAR 15A (2008) assessment produced a </w:t>
      </w:r>
      <w:r w:rsidR="00D41F81">
        <w:rPr>
          <w:color w:val="000000"/>
        </w:rPr>
        <w:t>MSST</w:t>
      </w:r>
      <w:r w:rsidR="00326473">
        <w:rPr>
          <w:color w:val="000000"/>
        </w:rPr>
        <w:t xml:space="preserve"> estimate that was not </w:t>
      </w:r>
      <w:r>
        <w:rPr>
          <w:color w:val="000000"/>
        </w:rPr>
        <w:t xml:space="preserve">adopted by the </w:t>
      </w:r>
      <w:r w:rsidR="00AE5EFD">
        <w:rPr>
          <w:color w:val="000000"/>
        </w:rPr>
        <w:t xml:space="preserve">South Atlantic </w:t>
      </w:r>
      <w:r>
        <w:rPr>
          <w:color w:val="000000"/>
        </w:rPr>
        <w:t>Council</w:t>
      </w:r>
      <w:r w:rsidR="00326473">
        <w:rPr>
          <w:color w:val="000000"/>
        </w:rPr>
        <w:t xml:space="preserve"> through a plan amendment;</w:t>
      </w:r>
      <w:r>
        <w:rPr>
          <w:color w:val="000000"/>
        </w:rPr>
        <w:t xml:space="preserve"> hence</w:t>
      </w:r>
      <w:r w:rsidR="00326473">
        <w:rPr>
          <w:color w:val="000000"/>
        </w:rPr>
        <w:t>,</w:t>
      </w:r>
      <w:r>
        <w:rPr>
          <w:color w:val="000000"/>
        </w:rPr>
        <w:t xml:space="preserve"> a value has not yet been specified.</w:t>
      </w:r>
      <w:r w:rsidRPr="00E80707">
        <w:rPr>
          <w:color w:val="000000"/>
        </w:rPr>
        <w:t xml:space="preserve"> </w:t>
      </w:r>
      <w:r>
        <w:t xml:space="preserve"> The assessment update estimated </w:t>
      </w:r>
      <w:r w:rsidR="00C41736">
        <w:t>natural mortality</w:t>
      </w:r>
      <w:r>
        <w:t xml:space="preserve"> for mutton snapper at 0.17.  When</w:t>
      </w:r>
      <w:r w:rsidRPr="007C67D9">
        <w:t xml:space="preserve"> the natural mortality rate is low, less than 0.25, even small fluctuations in biomass due to natural variations not related to fishing mortality may cause a stock to vary between an overfished or rebuilt condition.  When a species is identified as overfished, the Magnuson-Stevens Fishery Conservation and Management Act (Magnuson-Stevens Act) requires that a plan be implemented to rebuild the stock.</w:t>
      </w:r>
      <w:r>
        <w:t xml:space="preserve">  The </w:t>
      </w:r>
      <w:r w:rsidR="00AE5EFD">
        <w:t xml:space="preserve">South Atlantic </w:t>
      </w:r>
      <w:r>
        <w:t xml:space="preserve">Council changed the definition for MSST through </w:t>
      </w:r>
      <w:r w:rsidRPr="007C67D9">
        <w:t>Regulatory Amendment 21</w:t>
      </w:r>
      <w:r>
        <w:t xml:space="preserve"> </w:t>
      </w:r>
      <w:r w:rsidR="00DE6103">
        <w:t xml:space="preserve">to the Snapper Grouper FMP </w:t>
      </w:r>
      <w:r>
        <w:t>(</w:t>
      </w:r>
      <w:r w:rsidR="00AE5EFD">
        <w:t>SAFMC 2014</w:t>
      </w:r>
      <w:r>
        <w:t>) for select snapper grouper species with low natural mortality from MSST = SSB</w:t>
      </w:r>
      <w:r w:rsidRPr="00027438">
        <w:rPr>
          <w:vertAlign w:val="subscript"/>
        </w:rPr>
        <w:t>MSY</w:t>
      </w:r>
      <w:r>
        <w:t>*((1-M) or 0.5, whichever is greater) to MSST = 75% SSB</w:t>
      </w:r>
      <w:r w:rsidRPr="00027438">
        <w:rPr>
          <w:vertAlign w:val="subscript"/>
        </w:rPr>
        <w:t>MSY</w:t>
      </w:r>
      <w:r>
        <w:t>.  Other snapper grouper amendments changed MSST to 75% SSB</w:t>
      </w:r>
      <w:r w:rsidRPr="00027438">
        <w:rPr>
          <w:vertAlign w:val="subscript"/>
        </w:rPr>
        <w:t>MSY</w:t>
      </w:r>
      <w:r>
        <w:t xml:space="preserve"> for snowy grouper, golden tilefish, and red grouper (Amendments 15A</w:t>
      </w:r>
      <w:r w:rsidR="00AE5EFD">
        <w:t xml:space="preserve"> (2008a)</w:t>
      </w:r>
      <w:r>
        <w:t>, 15B</w:t>
      </w:r>
      <w:r w:rsidR="00AE5EFD">
        <w:t xml:space="preserve"> (2008b)</w:t>
      </w:r>
      <w:r>
        <w:t>, and 24</w:t>
      </w:r>
      <w:r w:rsidR="00AE5EFD">
        <w:t xml:space="preserve"> (2011)</w:t>
      </w:r>
      <w:r>
        <w:t xml:space="preserve">, respectively). </w:t>
      </w:r>
      <w:r w:rsidR="00AE5EFD">
        <w:t xml:space="preserve"> </w:t>
      </w:r>
      <w:r w:rsidRPr="007C67D9">
        <w:t xml:space="preserve">The snapper grouper species with low </w:t>
      </w:r>
      <w:r w:rsidR="00C41736">
        <w:t>natural mortality rates</w:t>
      </w:r>
      <w:r w:rsidRPr="007C67D9">
        <w:t xml:space="preserve"> addressed in </w:t>
      </w:r>
      <w:r>
        <w:t>Regulatory Amendment 21 were</w:t>
      </w:r>
      <w:r w:rsidRPr="007C67D9">
        <w:t xml:space="preserve"> red snapper, blueline tilefish, gag, black grouper, yellowtail snapper, vermilion snapper, red porgy, and greater </w:t>
      </w:r>
      <w:r w:rsidRPr="007C67D9">
        <w:lastRenderedPageBreak/>
        <w:t xml:space="preserve">amberjack.  Redefining MSST for these species </w:t>
      </w:r>
      <w:r>
        <w:t>was done to</w:t>
      </w:r>
      <w:r w:rsidRPr="007C67D9">
        <w:t xml:space="preserve"> help prevent unnecessary overfished designations when small drops in biomass are due to natural variation in recruitment or other environmental variables, and ensure that rebuilding plans are applied to stocks when truly appropriate.</w:t>
      </w:r>
      <w:r>
        <w:t xml:space="preserve">  The estimated natural mortality for mutton snapper from the stock assessment update is within the range of natural mortality values for species addressed in Regulatory Amendment 21 (0.08 – 0.23).</w:t>
      </w:r>
    </w:p>
    <w:p w14:paraId="767DEC60" w14:textId="77777777" w:rsidR="00AE5EFD" w:rsidRDefault="00AE5EFD" w:rsidP="00055F28">
      <w:pPr>
        <w:numPr>
          <w:ilvl w:val="12"/>
          <w:numId w:val="0"/>
        </w:numPr>
        <w:ind w:firstLine="360"/>
        <w:contextualSpacing/>
      </w:pPr>
    </w:p>
    <w:p w14:paraId="47F7603E" w14:textId="4051F191" w:rsidR="009C1B65" w:rsidRPr="009C1B65" w:rsidRDefault="00AE5EFD" w:rsidP="00055F28">
      <w:pPr>
        <w:numPr>
          <w:ilvl w:val="12"/>
          <w:numId w:val="0"/>
        </w:numPr>
        <w:ind w:firstLine="360"/>
        <w:contextualSpacing/>
      </w:pPr>
      <w:r w:rsidRPr="0004021F">
        <w:rPr>
          <w:b/>
        </w:rPr>
        <w:t>Alternative 1 (No Action)</w:t>
      </w:r>
      <w:r>
        <w:t xml:space="preserve"> would retain the MSST definition established in Amendment 11 to the </w:t>
      </w:r>
      <w:r w:rsidR="00877281">
        <w:t>Snapper Grouper FMP (SAFMC 1998</w:t>
      </w:r>
      <w:r>
        <w:t xml:space="preserve">) for the mutton snapper stock.  </w:t>
      </w:r>
      <w:r>
        <w:rPr>
          <w:b/>
        </w:rPr>
        <w:t xml:space="preserve">Alternative 2 </w:t>
      </w:r>
      <w:r w:rsidRPr="00006826">
        <w:t xml:space="preserve">would </w:t>
      </w:r>
      <w:r>
        <w:t>set</w:t>
      </w:r>
      <w:r w:rsidRPr="00524458">
        <w:t xml:space="preserve"> the</w:t>
      </w:r>
      <w:r>
        <w:rPr>
          <w:b/>
        </w:rPr>
        <w:t xml:space="preserve"> </w:t>
      </w:r>
      <w:r>
        <w:t xml:space="preserve">MSST at 50% of the </w:t>
      </w:r>
      <w:r w:rsidR="00866B6A">
        <w:t>s</w:t>
      </w:r>
      <w:r>
        <w:t xml:space="preserve">pawning </w:t>
      </w:r>
      <w:r w:rsidR="00866B6A">
        <w:t>s</w:t>
      </w:r>
      <w:r>
        <w:t xml:space="preserve">tock </w:t>
      </w:r>
      <w:r w:rsidR="00866B6A">
        <w:t>b</w:t>
      </w:r>
      <w:r>
        <w:t>iomass at MSY (SSB</w:t>
      </w:r>
      <w:r w:rsidRPr="00524458">
        <w:rPr>
          <w:vertAlign w:val="subscript"/>
        </w:rPr>
        <w:t>MSY</w:t>
      </w:r>
      <w:r>
        <w:t>)</w:t>
      </w:r>
      <w:r w:rsidR="00866B6A">
        <w:t>;</w:t>
      </w:r>
      <w:r>
        <w:t xml:space="preserve"> whereas</w:t>
      </w:r>
      <w:r w:rsidR="00866B6A">
        <w:t>,</w:t>
      </w:r>
      <w:r>
        <w:t xml:space="preserve"> </w:t>
      </w:r>
      <w:r w:rsidRPr="004279DC">
        <w:rPr>
          <w:b/>
        </w:rPr>
        <w:t xml:space="preserve">Preferred </w:t>
      </w:r>
      <w:r w:rsidRPr="00524458">
        <w:rPr>
          <w:b/>
        </w:rPr>
        <w:t xml:space="preserve">Alternative </w:t>
      </w:r>
      <w:r>
        <w:rPr>
          <w:b/>
        </w:rPr>
        <w:t xml:space="preserve">3 </w:t>
      </w:r>
      <w:r>
        <w:t>would establish MSST at 75% of SSB</w:t>
      </w:r>
      <w:r w:rsidRPr="00443947">
        <w:rPr>
          <w:vertAlign w:val="subscript"/>
        </w:rPr>
        <w:t>MSY</w:t>
      </w:r>
      <w:r>
        <w:t xml:space="preserve">.  Since </w:t>
      </w:r>
      <w:r w:rsidRPr="00C34728">
        <w:rPr>
          <w:b/>
        </w:rPr>
        <w:t xml:space="preserve">Alternative </w:t>
      </w:r>
      <w:r>
        <w:rPr>
          <w:b/>
        </w:rPr>
        <w:t xml:space="preserve">1 </w:t>
      </w:r>
      <w:r w:rsidRPr="00C34728">
        <w:rPr>
          <w:b/>
        </w:rPr>
        <w:t>(No Action)</w:t>
      </w:r>
      <w:r>
        <w:t xml:space="preserve"> </w:t>
      </w:r>
      <w:r w:rsidRPr="00E36E72">
        <w:t>nearly eliminat</w:t>
      </w:r>
      <w:r>
        <w:t xml:space="preserve">es </w:t>
      </w:r>
      <w:r w:rsidRPr="00E36E72">
        <w:t xml:space="preserve">the buffer between MSST and </w:t>
      </w:r>
      <w:r>
        <w:t>SS</w:t>
      </w:r>
      <w:r w:rsidRPr="00E36E72">
        <w:t>B</w:t>
      </w:r>
      <w:r w:rsidRPr="00C34728">
        <w:rPr>
          <w:vertAlign w:val="subscript"/>
        </w:rPr>
        <w:t>MSY</w:t>
      </w:r>
      <w:r w:rsidRPr="00E36E72">
        <w:t xml:space="preserve"> </w:t>
      </w:r>
      <w:r>
        <w:t>for stocks with low natural mortality rates, such as mutton snapper, the</w:t>
      </w:r>
      <w:r w:rsidRPr="00E36E72">
        <w:t xml:space="preserve"> stock would never be permitted to fall below </w:t>
      </w:r>
      <w:r>
        <w:t>SS</w:t>
      </w:r>
      <w:r w:rsidRPr="00E36E72">
        <w:t>B</w:t>
      </w:r>
      <w:r w:rsidRPr="00C34728">
        <w:rPr>
          <w:vertAlign w:val="subscript"/>
        </w:rPr>
        <w:t>MSY</w:t>
      </w:r>
      <w:r w:rsidRPr="00E36E72">
        <w:t xml:space="preserve"> without triggering an “overfished” determination and mandatory development </w:t>
      </w:r>
      <w:r>
        <w:t xml:space="preserve">of </w:t>
      </w:r>
      <w:r w:rsidRPr="00E36E72">
        <w:t>a rebuilding plan.</w:t>
      </w:r>
      <w:r>
        <w:t xml:space="preserve">  The most biologically conservative alternative is </w:t>
      </w:r>
      <w:r w:rsidRPr="00671EDE">
        <w:rPr>
          <w:b/>
        </w:rPr>
        <w:t>Alternative 1 (No Action)</w:t>
      </w:r>
      <w:r>
        <w:t xml:space="preserve">; however, under this alternative, development of a rebuilding plan may be required when it is not biologically necessary.  The biological benefits of </w:t>
      </w:r>
      <w:r w:rsidRPr="00671EDE">
        <w:rPr>
          <w:b/>
        </w:rPr>
        <w:t>Alternative 1 (No Action)</w:t>
      </w:r>
      <w:r>
        <w:t xml:space="preserve"> would take the form of increased harvest restrictions that would be implemented with the intent to rebuild the stock according to the current MSST threshold criterion.  </w:t>
      </w:r>
      <w:r w:rsidRPr="00F464E3">
        <w:rPr>
          <w:b/>
        </w:rPr>
        <w:t xml:space="preserve">Alternative </w:t>
      </w:r>
      <w:r>
        <w:rPr>
          <w:b/>
        </w:rPr>
        <w:t>2</w:t>
      </w:r>
      <w:r>
        <w:t xml:space="preserve"> would be the least biologically beneficial since it would allow biomass to decrease by 50% before triggering the rebuilding plan requirement.  </w:t>
      </w:r>
      <w:r w:rsidRPr="00006D5E">
        <w:rPr>
          <w:b/>
        </w:rPr>
        <w:t xml:space="preserve">Preferred </w:t>
      </w:r>
      <w:r w:rsidRPr="00671EDE">
        <w:rPr>
          <w:b/>
        </w:rPr>
        <w:t xml:space="preserve">Alternative </w:t>
      </w:r>
      <w:r>
        <w:rPr>
          <w:b/>
        </w:rPr>
        <w:t>3</w:t>
      </w:r>
      <w:r>
        <w:t xml:space="preserve"> would still require the development of a rebuilding plan if mutton snapper was deemed overfished, but would reduce the risk of requiring a rebuilding plan when decreased biomass was due to natural variations in recruitment.</w:t>
      </w:r>
      <w:r w:rsidR="00055F28">
        <w:tab/>
      </w:r>
    </w:p>
    <w:p w14:paraId="26B5C22D" w14:textId="77777777" w:rsidR="00326473" w:rsidRDefault="00326473"/>
    <w:p w14:paraId="17D902D9" w14:textId="010F08EC" w:rsidR="00753C64" w:rsidRDefault="00753C64" w:rsidP="00753C64">
      <w:pPr>
        <w:ind w:firstLine="360"/>
      </w:pPr>
      <w:r w:rsidRPr="00686DAC">
        <w:t>Like MSY, MSST does not alter the current harvest or use of the resource, and thus would have no direct economic effects on fishery participants and associated industries or communities.</w:t>
      </w:r>
      <w:r>
        <w:t xml:space="preserve"> </w:t>
      </w:r>
      <w:r w:rsidRPr="00686DAC">
        <w:t xml:space="preserve"> Unlike MSY, however, MSST is directly related to actions for rebuilding the stock that would have economic implications.</w:t>
      </w:r>
      <w:r>
        <w:t xml:space="preserve">  </w:t>
      </w:r>
      <w:r>
        <w:rPr>
          <w:b/>
          <w:bCs/>
        </w:rPr>
        <w:t>Alternative</w:t>
      </w:r>
      <w:r w:rsidRPr="00686DAC">
        <w:rPr>
          <w:b/>
          <w:bCs/>
        </w:rPr>
        <w:t xml:space="preserve"> 1</w:t>
      </w:r>
      <w:r>
        <w:rPr>
          <w:b/>
          <w:bCs/>
        </w:rPr>
        <w:t xml:space="preserve"> (No Action)</w:t>
      </w:r>
      <w:r w:rsidRPr="00686DAC">
        <w:rPr>
          <w:b/>
          <w:bCs/>
        </w:rPr>
        <w:t xml:space="preserve"> </w:t>
      </w:r>
      <w:r w:rsidRPr="00686DAC">
        <w:t>lie</w:t>
      </w:r>
      <w:r>
        <w:t>s</w:t>
      </w:r>
      <w:r w:rsidRPr="00686DAC">
        <w:t xml:space="preserve"> on </w:t>
      </w:r>
      <w:r>
        <w:t>the high</w:t>
      </w:r>
      <w:r w:rsidRPr="00686DAC">
        <w:t xml:space="preserve"> end of the continuum for potential negative economic effects because </w:t>
      </w:r>
      <w:r>
        <w:t>it</w:t>
      </w:r>
      <w:r w:rsidRPr="00686DAC">
        <w:t xml:space="preserve"> ha</w:t>
      </w:r>
      <w:r>
        <w:t xml:space="preserve">s </w:t>
      </w:r>
      <w:r w:rsidRPr="00686DAC">
        <w:t xml:space="preserve">the highest probability of triggering restrictive rebuilding actions.  A likely mitigating factor with </w:t>
      </w:r>
      <w:r>
        <w:rPr>
          <w:b/>
          <w:bCs/>
        </w:rPr>
        <w:t>Alternative</w:t>
      </w:r>
      <w:r w:rsidRPr="00686DAC">
        <w:rPr>
          <w:b/>
          <w:bCs/>
        </w:rPr>
        <w:t xml:space="preserve"> 1 (No Action) </w:t>
      </w:r>
      <w:r w:rsidRPr="00686DAC">
        <w:t xml:space="preserve">is the possibility that the required management actions would have adverse economic effects </w:t>
      </w:r>
      <w:r>
        <w:t>that</w:t>
      </w:r>
      <w:r w:rsidRPr="00686DAC">
        <w:t xml:space="preserve"> would not last </w:t>
      </w:r>
      <w:r>
        <w:t xml:space="preserve">as </w:t>
      </w:r>
      <w:r w:rsidRPr="00686DAC">
        <w:t>long</w:t>
      </w:r>
      <w:r>
        <w:t xml:space="preserve"> or not be as severe</w:t>
      </w:r>
      <w:r w:rsidRPr="00686DAC">
        <w:t xml:space="preserve">. </w:t>
      </w:r>
      <w:r>
        <w:t xml:space="preserve"> However,</w:t>
      </w:r>
      <w:r w:rsidRPr="00686DAC">
        <w:t xml:space="preserve"> a frequently varying regulatory regime would tend to de-stabilize business planning and fishing decisions</w:t>
      </w:r>
      <w:r w:rsidR="00964C9B">
        <w:t>,</w:t>
      </w:r>
      <w:r w:rsidRPr="00686DAC">
        <w:t xml:space="preserve"> which could have potentially worse economic consequences. </w:t>
      </w:r>
      <w:r>
        <w:t xml:space="preserve"> </w:t>
      </w:r>
      <w:r w:rsidRPr="00686DAC">
        <w:t>T</w:t>
      </w:r>
      <w:r>
        <w:t xml:space="preserve">he economic implications of </w:t>
      </w:r>
      <w:r w:rsidRPr="00686DAC">
        <w:rPr>
          <w:b/>
        </w:rPr>
        <w:t xml:space="preserve">Preferred Alternative </w:t>
      </w:r>
      <w:r>
        <w:rPr>
          <w:b/>
        </w:rPr>
        <w:t>3</w:t>
      </w:r>
      <w:r w:rsidRPr="00686DAC">
        <w:t xml:space="preserve"> </w:t>
      </w:r>
      <w:r>
        <w:t xml:space="preserve">and its sub-alternatives </w:t>
      </w:r>
      <w:r w:rsidRPr="00686DAC">
        <w:t xml:space="preserve">may be characterized as falling between </w:t>
      </w:r>
      <w:r>
        <w:rPr>
          <w:b/>
          <w:bCs/>
        </w:rPr>
        <w:t>Alternative</w:t>
      </w:r>
      <w:r w:rsidRPr="00686DAC">
        <w:rPr>
          <w:b/>
          <w:bCs/>
        </w:rPr>
        <w:t xml:space="preserve"> 1 (No Action) </w:t>
      </w:r>
      <w:r w:rsidRPr="00686DAC">
        <w:t xml:space="preserve">and </w:t>
      </w:r>
      <w:r w:rsidRPr="00686DAC">
        <w:rPr>
          <w:b/>
        </w:rPr>
        <w:t xml:space="preserve">Alternative </w:t>
      </w:r>
      <w:r>
        <w:rPr>
          <w:b/>
          <w:bCs/>
        </w:rPr>
        <w:t>2</w:t>
      </w:r>
      <w:r w:rsidRPr="00686DAC">
        <w:t>.</w:t>
      </w:r>
    </w:p>
    <w:p w14:paraId="7FD4F7D4" w14:textId="77777777" w:rsidR="00326473" w:rsidRDefault="00326473"/>
    <w:p w14:paraId="7D2B25E1" w14:textId="38D6001B" w:rsidR="009458D0" w:rsidRDefault="00326473" w:rsidP="00326473">
      <w:pPr>
        <w:ind w:firstLine="360"/>
      </w:pPr>
      <w:r w:rsidRPr="00326473">
        <w:t>Social effects of revised biological paramete</w:t>
      </w:r>
      <w:r>
        <w:t>rs such as MSST for a stock would</w:t>
      </w:r>
      <w:r w:rsidRPr="00326473">
        <w:t xml:space="preserve"> be associated with both the biological and economic effects of the modified MSST value.  </w:t>
      </w:r>
      <w:r>
        <w:t xml:space="preserve">Under all alternatives, fishermen could be affected by future restricted access to mutton snapper due to an overfished designation, which could have negative effects on associated fishing businesses and communities.  Although </w:t>
      </w:r>
      <w:r>
        <w:rPr>
          <w:b/>
        </w:rPr>
        <w:t>Preferred Alternative 3</w:t>
      </w:r>
      <w:r>
        <w:t xml:space="preserve"> is the more restrictive approach to set the MSST than </w:t>
      </w:r>
      <w:r>
        <w:rPr>
          <w:b/>
        </w:rPr>
        <w:t xml:space="preserve">Alternatives 1 (No Action) </w:t>
      </w:r>
      <w:r w:rsidRPr="0099579B">
        <w:t>and</w:t>
      </w:r>
      <w:r>
        <w:rPr>
          <w:b/>
        </w:rPr>
        <w:t xml:space="preserve"> 2</w:t>
      </w:r>
      <w:r>
        <w:t>, it would also be the most likely to trigger a overfished status, which may avoid more severe biological impacts to the stock.</w:t>
      </w:r>
      <w:r w:rsidR="009458D0">
        <w:br w:type="page"/>
      </w:r>
    </w:p>
    <w:p w14:paraId="395BCCB5" w14:textId="33B19FCB" w:rsidR="009458D0" w:rsidRPr="00AD27F8" w:rsidRDefault="00DB4D41" w:rsidP="00AD27F8">
      <w:pPr>
        <w:pStyle w:val="Heading2"/>
        <w:rPr>
          <w:rFonts w:ascii="Arial" w:hAnsi="Arial" w:cs="Arial"/>
        </w:rPr>
      </w:pPr>
      <w:bookmarkStart w:id="68" w:name="_Toc339811702"/>
      <w:r>
        <w:rPr>
          <w:rFonts w:ascii="Arial" w:hAnsi="Arial" w:cs="Arial"/>
        </w:rPr>
        <w:lastRenderedPageBreak/>
        <w:t>2.3</w:t>
      </w:r>
      <w:r>
        <w:rPr>
          <w:rFonts w:ascii="Arial" w:hAnsi="Arial" w:cs="Arial"/>
        </w:rPr>
        <w:tab/>
      </w:r>
      <w:r w:rsidR="00CC558E" w:rsidRPr="008C454A">
        <w:rPr>
          <w:rFonts w:ascii="Arial" w:hAnsi="Arial" w:cs="Arial"/>
        </w:rPr>
        <w:t>Action 3.  Revise annual catch limits (ACLs) and optimum y</w:t>
      </w:r>
      <w:r w:rsidR="009458D0" w:rsidRPr="008C454A">
        <w:rPr>
          <w:rFonts w:ascii="Arial" w:hAnsi="Arial" w:cs="Arial"/>
        </w:rPr>
        <w:t xml:space="preserve">ield (OY) for mutton snapper </w:t>
      </w:r>
      <w:r w:rsidR="00774344" w:rsidRPr="008C454A">
        <w:rPr>
          <w:rFonts w:ascii="Arial" w:hAnsi="Arial" w:cs="Arial"/>
        </w:rPr>
        <w:t>in the South Atlantic R</w:t>
      </w:r>
      <w:r w:rsidR="009458D0" w:rsidRPr="008C454A">
        <w:rPr>
          <w:rFonts w:ascii="Arial" w:hAnsi="Arial" w:cs="Arial"/>
        </w:rPr>
        <w:t>egion</w:t>
      </w:r>
      <w:bookmarkEnd w:id="68"/>
    </w:p>
    <w:p w14:paraId="11C9106D" w14:textId="77777777" w:rsidR="009458D0" w:rsidRDefault="009458D0" w:rsidP="009458D0">
      <w:pPr>
        <w:rPr>
          <w:b/>
        </w:rPr>
      </w:pPr>
    </w:p>
    <w:p w14:paraId="6A602BA0" w14:textId="04CED265" w:rsidR="006E2E4D" w:rsidRDefault="002B189D" w:rsidP="00CC558E">
      <w:pPr>
        <w:rPr>
          <w:i/>
        </w:rPr>
      </w:pPr>
      <w:r>
        <w:rPr>
          <w:b/>
        </w:rPr>
        <w:t>Alternative 1 (No A</w:t>
      </w:r>
      <w:r w:rsidR="00055F28">
        <w:rPr>
          <w:b/>
        </w:rPr>
        <w:t xml:space="preserve">ction).  </w:t>
      </w:r>
      <w:r w:rsidR="00055F28">
        <w:t xml:space="preserve">The current </w:t>
      </w:r>
      <w:r w:rsidR="00964C9B">
        <w:t>acceptable biological catch</w:t>
      </w:r>
      <w:r w:rsidR="00055F28">
        <w:t xml:space="preserve"> for mutton snapper is 926,600 </w:t>
      </w:r>
      <w:r w:rsidR="002E4C7D">
        <w:t>pounds whole weight (</w:t>
      </w:r>
      <w:r w:rsidR="00055F28">
        <w:t>lbs ww</w:t>
      </w:r>
      <w:r w:rsidR="002E4C7D">
        <w:t>)</w:t>
      </w:r>
      <w:r w:rsidR="005C4FDB">
        <w:t xml:space="preserve"> </w:t>
      </w:r>
      <w:r w:rsidR="005C4FDB" w:rsidRPr="002E5BF4">
        <w:t>based on a</w:t>
      </w:r>
      <w:r w:rsidR="00055F28" w:rsidRPr="002E5BF4">
        <w:t xml:space="preserve"> </w:t>
      </w:r>
      <w:r w:rsidR="005C4FDB" w:rsidRPr="002E5BF4">
        <w:t xml:space="preserve">jurisdictional allocation for the South Atlantic of 82% of </w:t>
      </w:r>
      <w:r w:rsidR="008F3E67" w:rsidRPr="002E5BF4">
        <w:t>the acceptable biological catch and is set equal to optimum yield and the total annual catch limit.</w:t>
      </w:r>
      <w:r w:rsidR="008F3E67">
        <w:t xml:space="preserve"> </w:t>
      </w:r>
      <w:r w:rsidR="0008072A">
        <w:t xml:space="preserve"> </w:t>
      </w:r>
      <w:r w:rsidR="00055F28">
        <w:t xml:space="preserve">The commercial </w:t>
      </w:r>
      <w:r w:rsidR="00964C9B">
        <w:t xml:space="preserve">annual catch limit </w:t>
      </w:r>
      <w:r w:rsidR="00055F28">
        <w:t xml:space="preserve">is 157,743 lbs ww </w:t>
      </w:r>
      <w:r w:rsidR="008F3E67">
        <w:t>(</w:t>
      </w:r>
      <w:r w:rsidR="008F3E67" w:rsidRPr="002E5BF4">
        <w:t>17.02%)</w:t>
      </w:r>
      <w:r w:rsidR="008F3E67">
        <w:t xml:space="preserve"> </w:t>
      </w:r>
      <w:r w:rsidR="00055F28">
        <w:t xml:space="preserve">and the recreational </w:t>
      </w:r>
      <w:r w:rsidR="008F3E67" w:rsidRPr="002E5BF4">
        <w:t>annual catch limit</w:t>
      </w:r>
      <w:r w:rsidR="00055F28" w:rsidRPr="002E5BF4">
        <w:t xml:space="preserve"> is 768,857 lbs ww</w:t>
      </w:r>
      <w:r w:rsidR="008F3E67" w:rsidRPr="002E5BF4">
        <w:t xml:space="preserve"> (</w:t>
      </w:r>
      <w:r w:rsidR="005C4FDB" w:rsidRPr="002E5BF4">
        <w:t>82.98%</w:t>
      </w:r>
      <w:r w:rsidR="008F3E67" w:rsidRPr="002E5BF4">
        <w:t xml:space="preserve">). </w:t>
      </w:r>
      <w:r w:rsidR="00055F28" w:rsidRPr="002E5BF4">
        <w:rPr>
          <w:i/>
        </w:rPr>
        <w:t>(</w:t>
      </w:r>
      <w:r w:rsidR="00055F28" w:rsidRPr="00FF37EC">
        <w:rPr>
          <w:i/>
        </w:rPr>
        <w:t xml:space="preserve">NOTE: The commercial allocation in the Comp ACL was 17.02% and the recreational allocation was 82.98%.  </w:t>
      </w:r>
      <w:r w:rsidR="00F56E2F" w:rsidRPr="00FF37EC">
        <w:rPr>
          <w:i/>
        </w:rPr>
        <w:t>However</w:t>
      </w:r>
      <w:r w:rsidR="00964C9B">
        <w:rPr>
          <w:i/>
        </w:rPr>
        <w:t>,</w:t>
      </w:r>
      <w:r w:rsidR="00055F28" w:rsidRPr="00FF37EC">
        <w:rPr>
          <w:i/>
        </w:rPr>
        <w:t xml:space="preserve"> </w:t>
      </w:r>
      <w:r w:rsidR="007E76C4" w:rsidRPr="00FF37EC">
        <w:rPr>
          <w:i/>
        </w:rPr>
        <w:t>the ACLs that were implemented were calculated using this allocation to 6 decimal places instead of 2).</w:t>
      </w:r>
    </w:p>
    <w:p w14:paraId="01D19C8C" w14:textId="77777777" w:rsidR="00055F28" w:rsidRDefault="00055F28" w:rsidP="00CC558E"/>
    <w:p w14:paraId="06C040AC" w14:textId="12CCA543" w:rsidR="00161162" w:rsidRDefault="00161162" w:rsidP="00161162">
      <w:r>
        <w:rPr>
          <w:b/>
        </w:rPr>
        <w:t xml:space="preserve">Preferred </w:t>
      </w:r>
      <w:r w:rsidRPr="00737AE0">
        <w:rPr>
          <w:b/>
        </w:rPr>
        <w:t>Alternative 2.</w:t>
      </w:r>
      <w:r w:rsidR="008F3E67">
        <w:rPr>
          <w:b/>
        </w:rPr>
        <w:t xml:space="preserve"> </w:t>
      </w:r>
      <w:r w:rsidR="002E5BF4">
        <w:rPr>
          <w:b/>
        </w:rPr>
        <w:t xml:space="preserve"> </w:t>
      </w:r>
      <w:r w:rsidR="008F3E67" w:rsidRPr="008F3E67">
        <w:t>Specify annual catch limits and optimum yield for the South Atlantic using the existing sector allocations (</w:t>
      </w:r>
      <w:r w:rsidR="008F3E67" w:rsidRPr="002E5BF4">
        <w:t xml:space="preserve">17.02% commercial and 82.98% recreational) and specify the recreational </w:t>
      </w:r>
      <w:r w:rsidR="00746DE1" w:rsidRPr="002E5BF4">
        <w:t xml:space="preserve">annual catch limit </w:t>
      </w:r>
      <w:r w:rsidR="008F3E67" w:rsidRPr="002E5BF4">
        <w:t xml:space="preserve">in numbers of fish.  The </w:t>
      </w:r>
      <w:r w:rsidR="00DC40AA" w:rsidRPr="002E5BF4">
        <w:t>annual catch limits</w:t>
      </w:r>
      <w:r w:rsidR="00DC40AA">
        <w:t xml:space="preserve"> </w:t>
      </w:r>
      <w:r w:rsidR="008F3E67" w:rsidRPr="008F3E67">
        <w:t>specified for 2020 would remain in place until modified.</w:t>
      </w:r>
    </w:p>
    <w:p w14:paraId="187DBFBB" w14:textId="24CE442A" w:rsidR="00161162" w:rsidRDefault="00161162" w:rsidP="00161162">
      <w:pPr>
        <w:ind w:left="720"/>
      </w:pPr>
      <w:r>
        <w:rPr>
          <w:b/>
        </w:rPr>
        <w:t xml:space="preserve">Preferred </w:t>
      </w:r>
      <w:r w:rsidRPr="00056789">
        <w:rPr>
          <w:b/>
        </w:rPr>
        <w:t>Sub-alternative 2a.</w:t>
      </w:r>
      <w:r>
        <w:t xml:space="preserve">  ACL = OY = ABC.  </w:t>
      </w:r>
    </w:p>
    <w:p w14:paraId="2B313A15" w14:textId="79D9B0E0" w:rsidR="00161162" w:rsidRDefault="00161162" w:rsidP="00161162">
      <w:pPr>
        <w:ind w:left="720"/>
      </w:pPr>
      <w:r w:rsidRPr="00056789">
        <w:rPr>
          <w:b/>
        </w:rPr>
        <w:t>Sub-alternative 2b.</w:t>
      </w:r>
      <w:r>
        <w:t xml:space="preserve">  ACL = OY = 95% ABC.  </w:t>
      </w:r>
    </w:p>
    <w:p w14:paraId="4C01F77E" w14:textId="1920E910" w:rsidR="00B6465A" w:rsidRPr="006614AC" w:rsidRDefault="00161162" w:rsidP="00161162">
      <w:pPr>
        <w:ind w:firstLine="720"/>
      </w:pPr>
      <w:r w:rsidRPr="00056789">
        <w:rPr>
          <w:b/>
        </w:rPr>
        <w:t>Sub-alternative 2c.</w:t>
      </w:r>
      <w:r>
        <w:t xml:space="preserve">  ACL = OY = 90% ABC.</w:t>
      </w:r>
    </w:p>
    <w:p w14:paraId="754105DE" w14:textId="77777777" w:rsidR="00055F28" w:rsidRDefault="00055F28" w:rsidP="00055F28">
      <w:pPr>
        <w:rPr>
          <w:b/>
        </w:rPr>
      </w:pPr>
    </w:p>
    <w:p w14:paraId="71BC8550" w14:textId="77777777" w:rsidR="00AE5EFD" w:rsidRPr="00AE5EFD" w:rsidRDefault="00AE5EFD" w:rsidP="00AE5EFD">
      <w:pPr>
        <w:pStyle w:val="Heading2"/>
        <w:rPr>
          <w:rFonts w:ascii="Arial" w:hAnsi="Arial" w:cs="Arial"/>
        </w:rPr>
      </w:pPr>
      <w:bookmarkStart w:id="69" w:name="_Toc339811703"/>
      <w:r w:rsidRPr="00AE5EFD">
        <w:rPr>
          <w:rFonts w:ascii="Arial" w:hAnsi="Arial" w:cs="Arial"/>
        </w:rPr>
        <w:t>Comparison of Alternatives:</w:t>
      </w:r>
      <w:bookmarkEnd w:id="69"/>
    </w:p>
    <w:p w14:paraId="269B4F25" w14:textId="7F2F4275" w:rsidR="00055F28" w:rsidRDefault="008D1051" w:rsidP="00ED46DB">
      <w:pPr>
        <w:ind w:firstLine="360"/>
      </w:pPr>
      <w:r>
        <w:t xml:space="preserve">To set the ACL and OY for mutton snapper, the South Atlantic Council may exercise varying degrees of precaution to account for management uncertainty.  </w:t>
      </w:r>
      <w:r w:rsidR="00ED46DB" w:rsidRPr="00F95460">
        <w:rPr>
          <w:b/>
        </w:rPr>
        <w:t>Alternative 1 (No Action)</w:t>
      </w:r>
      <w:r w:rsidR="00ED46DB" w:rsidRPr="00F95460">
        <w:t xml:space="preserve"> would </w:t>
      </w:r>
      <w:r w:rsidR="00ED46DB">
        <w:t>retain the existing</w:t>
      </w:r>
      <w:r w:rsidR="00ED46DB" w:rsidRPr="00F95460">
        <w:t xml:space="preserve"> ACL</w:t>
      </w:r>
      <w:r w:rsidR="00F67FE7">
        <w:t xml:space="preserve"> and OY</w:t>
      </w:r>
      <w:r w:rsidR="00ED46DB" w:rsidRPr="00F95460">
        <w:t xml:space="preserve"> for </w:t>
      </w:r>
      <w:r w:rsidR="00ED46DB">
        <w:t>mutton snapper</w:t>
      </w:r>
      <w:r w:rsidR="00ED46DB" w:rsidRPr="00F95460">
        <w:t>, which would not adhere to the best scientific</w:t>
      </w:r>
      <w:r w:rsidR="00ED46DB">
        <w:t xml:space="preserve"> information available (SEDAR 15A Update 2015</w:t>
      </w:r>
      <w:r w:rsidR="00ED46DB" w:rsidRPr="00F95460">
        <w:t>) and</w:t>
      </w:r>
      <w:r w:rsidR="00F67FE7">
        <w:t>,</w:t>
      </w:r>
      <w:r w:rsidR="00ED46DB" w:rsidRPr="00F95460">
        <w:t xml:space="preserve"> therefore, is not a </w:t>
      </w:r>
      <w:r w:rsidR="009A7C7B">
        <w:t xml:space="preserve">reasonable </w:t>
      </w:r>
      <w:r w:rsidR="00ED46DB" w:rsidRPr="00F95460">
        <w:t xml:space="preserve">alternative. </w:t>
      </w:r>
      <w:r>
        <w:t xml:space="preserve"> </w:t>
      </w:r>
      <w:r w:rsidR="00ED46DB" w:rsidRPr="00006826">
        <w:rPr>
          <w:b/>
        </w:rPr>
        <w:t>Preferred</w:t>
      </w:r>
      <w:r w:rsidR="00ED46DB">
        <w:t xml:space="preserve"> </w:t>
      </w:r>
      <w:r w:rsidR="00ED46DB" w:rsidRPr="00524458">
        <w:rPr>
          <w:b/>
        </w:rPr>
        <w:t>Sub-alternative 2a</w:t>
      </w:r>
      <w:r w:rsidR="00ED46DB">
        <w:t xml:space="preserve"> would set the ACL and OY at the same level as ABC</w:t>
      </w:r>
      <w:r w:rsidR="00964C9B">
        <w:t>;</w:t>
      </w:r>
      <w:r w:rsidR="00ED46DB">
        <w:t xml:space="preserve"> whereas</w:t>
      </w:r>
      <w:r w:rsidR="00964C9B">
        <w:t>,</w:t>
      </w:r>
      <w:r w:rsidR="00ED46DB">
        <w:t xml:space="preserve"> </w:t>
      </w:r>
      <w:r w:rsidR="00ED46DB" w:rsidRPr="00524458">
        <w:rPr>
          <w:b/>
        </w:rPr>
        <w:t>Sub-alternatives 2b</w:t>
      </w:r>
      <w:r w:rsidR="00ED46DB">
        <w:t xml:space="preserve"> and </w:t>
      </w:r>
      <w:r w:rsidR="00ED46DB" w:rsidRPr="00524458">
        <w:rPr>
          <w:b/>
        </w:rPr>
        <w:t>2c</w:t>
      </w:r>
      <w:r w:rsidR="00ED46DB">
        <w:t xml:space="preserve"> would each provide a management uncertainty buffer of 5% and 10%, respectively.  </w:t>
      </w:r>
      <w:r w:rsidR="00055F28" w:rsidRPr="00910E89">
        <w:rPr>
          <w:b/>
        </w:rPr>
        <w:t xml:space="preserve">Table </w:t>
      </w:r>
      <w:r w:rsidR="005027F6">
        <w:rPr>
          <w:b/>
        </w:rPr>
        <w:t>2.3.1</w:t>
      </w:r>
      <w:r w:rsidR="00055F28">
        <w:t xml:space="preserve"> shows proposed commercial </w:t>
      </w:r>
      <w:r>
        <w:t xml:space="preserve">(in pounds whole weight; lbs ww) </w:t>
      </w:r>
      <w:r w:rsidR="00055F28">
        <w:t xml:space="preserve">and recreational ACLs </w:t>
      </w:r>
      <w:r>
        <w:t xml:space="preserve">(in numbers of fish) </w:t>
      </w:r>
      <w:r w:rsidR="00055F28">
        <w:t xml:space="preserve">for each of the proposed sub-alternatives under </w:t>
      </w:r>
      <w:r w:rsidR="00B6465A" w:rsidRPr="00B6465A">
        <w:rPr>
          <w:b/>
        </w:rPr>
        <w:t xml:space="preserve">Preferred </w:t>
      </w:r>
      <w:r w:rsidR="00055F28" w:rsidRPr="00910E89">
        <w:rPr>
          <w:b/>
        </w:rPr>
        <w:t>Alternative 2</w:t>
      </w:r>
      <w:r w:rsidR="00055F28">
        <w:t xml:space="preserve">. </w:t>
      </w:r>
      <w:r w:rsidR="002E4C7D">
        <w:t xml:space="preserve"> For comparison, </w:t>
      </w:r>
      <w:r w:rsidR="002E4C7D" w:rsidRPr="002E4C7D">
        <w:rPr>
          <w:b/>
        </w:rPr>
        <w:t>Table 2.3.2</w:t>
      </w:r>
      <w:r w:rsidR="002E4C7D">
        <w:t xml:space="preserve"> presents average commercial and recreational landings of mutton snapper from 2010 through 2014.</w:t>
      </w:r>
    </w:p>
    <w:p w14:paraId="109BDE0D" w14:textId="77777777" w:rsidR="00ED46DB" w:rsidRDefault="00ED46DB" w:rsidP="00055F28">
      <w:pPr>
        <w:ind w:firstLine="360"/>
      </w:pPr>
    </w:p>
    <w:p w14:paraId="0091D602" w14:textId="6A5B3D5B" w:rsidR="00E45F3C" w:rsidRDefault="00E45F3C" w:rsidP="00E45F3C">
      <w:pPr>
        <w:pStyle w:val="Tabletitle"/>
      </w:pPr>
      <w:bookmarkStart w:id="70" w:name="_Toc340431541"/>
      <w:r w:rsidRPr="00910E89">
        <w:rPr>
          <w:b/>
        </w:rPr>
        <w:t xml:space="preserve">Table </w:t>
      </w:r>
      <w:r>
        <w:rPr>
          <w:b/>
        </w:rPr>
        <w:t>2.3.</w:t>
      </w:r>
      <w:r w:rsidRPr="00910E89">
        <w:rPr>
          <w:b/>
        </w:rPr>
        <w:t>1.</w:t>
      </w:r>
      <w:r w:rsidRPr="00910E89">
        <w:t xml:space="preserve">  Proposed acceptable biological catch values and annual catch limits for mutton snapper in the South Atlantic based on </w:t>
      </w:r>
      <w:r w:rsidR="00FC00FF">
        <w:rPr>
          <w:b/>
        </w:rPr>
        <w:t>Sub-Alternative</w:t>
      </w:r>
      <w:r w:rsidR="00ED1CA1">
        <w:rPr>
          <w:b/>
        </w:rPr>
        <w:t>s</w:t>
      </w:r>
      <w:r w:rsidR="00FC00FF">
        <w:rPr>
          <w:b/>
        </w:rPr>
        <w:t xml:space="preserve"> 2</w:t>
      </w:r>
      <w:r w:rsidR="00ED1CA1">
        <w:rPr>
          <w:b/>
        </w:rPr>
        <w:t>a (Preferred)-2c</w:t>
      </w:r>
      <w:r w:rsidRPr="00910E89">
        <w:t>.</w:t>
      </w:r>
      <w:bookmarkEnd w:id="70"/>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1483"/>
        <w:gridCol w:w="1330"/>
        <w:gridCol w:w="1372"/>
        <w:gridCol w:w="1569"/>
        <w:gridCol w:w="1657"/>
        <w:gridCol w:w="1484"/>
      </w:tblGrid>
      <w:tr w:rsidR="00E45F3C" w:rsidRPr="00317A9E" w14:paraId="22F0D237" w14:textId="77777777" w:rsidTr="0008072A">
        <w:tc>
          <w:tcPr>
            <w:tcW w:w="9576" w:type="dxa"/>
            <w:gridSpan w:val="7"/>
            <w:shd w:val="clear" w:color="auto" w:fill="D9D9D9" w:themeFill="background1" w:themeFillShade="D9"/>
            <w:tcMar>
              <w:top w:w="144" w:type="nil"/>
              <w:right w:w="144" w:type="nil"/>
            </w:tcMar>
            <w:vAlign w:val="bottom"/>
          </w:tcPr>
          <w:p w14:paraId="75CBB522" w14:textId="77777777" w:rsidR="00E45F3C" w:rsidRPr="00667CDC" w:rsidRDefault="00E45F3C" w:rsidP="00E45F3C">
            <w:pPr>
              <w:widowControl w:val="0"/>
              <w:autoSpaceDE w:val="0"/>
              <w:autoSpaceDN w:val="0"/>
              <w:adjustRightInd w:val="0"/>
              <w:jc w:val="center"/>
              <w:rPr>
                <w:sz w:val="22"/>
                <w:szCs w:val="22"/>
              </w:rPr>
            </w:pPr>
            <w:r>
              <w:rPr>
                <w:b/>
                <w:bCs/>
                <w:sz w:val="22"/>
                <w:szCs w:val="22"/>
              </w:rPr>
              <w:t xml:space="preserve">Preferred Sub-alt 2a - </w:t>
            </w:r>
            <w:r w:rsidRPr="00667CDC">
              <w:rPr>
                <w:b/>
                <w:bCs/>
                <w:sz w:val="22"/>
                <w:szCs w:val="22"/>
              </w:rPr>
              <w:t xml:space="preserve">ACL = </w:t>
            </w:r>
            <w:r>
              <w:rPr>
                <w:b/>
                <w:bCs/>
                <w:sz w:val="22"/>
                <w:szCs w:val="22"/>
              </w:rPr>
              <w:t xml:space="preserve">OY = </w:t>
            </w:r>
            <w:r w:rsidRPr="00667CDC">
              <w:rPr>
                <w:b/>
                <w:bCs/>
                <w:sz w:val="22"/>
                <w:szCs w:val="22"/>
              </w:rPr>
              <w:t>ABC</w:t>
            </w:r>
          </w:p>
        </w:tc>
      </w:tr>
      <w:tr w:rsidR="00E45F3C" w:rsidRPr="00317A9E" w14:paraId="18FFF8FF" w14:textId="77777777" w:rsidTr="0008072A">
        <w:tc>
          <w:tcPr>
            <w:tcW w:w="681" w:type="dxa"/>
            <w:shd w:val="clear" w:color="auto" w:fill="D9D9D9" w:themeFill="background1" w:themeFillShade="D9"/>
            <w:tcMar>
              <w:top w:w="144" w:type="nil"/>
              <w:right w:w="144" w:type="nil"/>
            </w:tcMar>
            <w:vAlign w:val="center"/>
          </w:tcPr>
          <w:p w14:paraId="0BBD468D" w14:textId="77777777" w:rsidR="00E45F3C" w:rsidRPr="00667CDC" w:rsidRDefault="00E45F3C" w:rsidP="00E45F3C">
            <w:pPr>
              <w:widowControl w:val="0"/>
              <w:autoSpaceDE w:val="0"/>
              <w:autoSpaceDN w:val="0"/>
              <w:adjustRightInd w:val="0"/>
              <w:jc w:val="center"/>
              <w:rPr>
                <w:sz w:val="22"/>
                <w:szCs w:val="22"/>
              </w:rPr>
            </w:pPr>
            <w:r w:rsidRPr="00667CDC">
              <w:rPr>
                <w:b/>
                <w:bCs/>
                <w:sz w:val="22"/>
                <w:szCs w:val="22"/>
              </w:rPr>
              <w:t>Year</w:t>
            </w:r>
          </w:p>
        </w:tc>
        <w:tc>
          <w:tcPr>
            <w:tcW w:w="1483" w:type="dxa"/>
            <w:shd w:val="clear" w:color="auto" w:fill="D9D9D9" w:themeFill="background1" w:themeFillShade="D9"/>
            <w:tcMar>
              <w:top w:w="144" w:type="nil"/>
              <w:right w:w="144" w:type="nil"/>
            </w:tcMar>
            <w:vAlign w:val="center"/>
          </w:tcPr>
          <w:p w14:paraId="77483608" w14:textId="77777777" w:rsidR="00E45F3C" w:rsidRPr="00667CDC" w:rsidRDefault="00E45F3C" w:rsidP="00E45F3C">
            <w:pPr>
              <w:widowControl w:val="0"/>
              <w:autoSpaceDE w:val="0"/>
              <w:autoSpaceDN w:val="0"/>
              <w:adjustRightInd w:val="0"/>
              <w:jc w:val="center"/>
              <w:rPr>
                <w:sz w:val="22"/>
                <w:szCs w:val="22"/>
              </w:rPr>
            </w:pPr>
            <w:r w:rsidRPr="00667CDC">
              <w:rPr>
                <w:b/>
                <w:bCs/>
                <w:sz w:val="22"/>
                <w:szCs w:val="22"/>
              </w:rPr>
              <w:t>Total ABC</w:t>
            </w:r>
            <w:r>
              <w:rPr>
                <w:b/>
                <w:bCs/>
                <w:sz w:val="22"/>
                <w:szCs w:val="22"/>
              </w:rPr>
              <w:t xml:space="preserve"> (SA + Gulf)</w:t>
            </w:r>
            <w:r w:rsidRPr="00667CDC">
              <w:rPr>
                <w:b/>
                <w:bCs/>
                <w:sz w:val="22"/>
                <w:szCs w:val="22"/>
              </w:rPr>
              <w:t xml:space="preserve"> num</w:t>
            </w:r>
          </w:p>
        </w:tc>
        <w:tc>
          <w:tcPr>
            <w:tcW w:w="1330" w:type="dxa"/>
            <w:shd w:val="clear" w:color="auto" w:fill="D9D9D9" w:themeFill="background1" w:themeFillShade="D9"/>
            <w:tcMar>
              <w:top w:w="144" w:type="nil"/>
              <w:right w:w="144" w:type="nil"/>
            </w:tcMar>
            <w:vAlign w:val="center"/>
          </w:tcPr>
          <w:p w14:paraId="284DD48F" w14:textId="77777777" w:rsidR="00E45F3C" w:rsidRPr="00667CDC" w:rsidRDefault="00E45F3C" w:rsidP="00E45F3C">
            <w:pPr>
              <w:widowControl w:val="0"/>
              <w:autoSpaceDE w:val="0"/>
              <w:autoSpaceDN w:val="0"/>
              <w:adjustRightInd w:val="0"/>
              <w:jc w:val="center"/>
              <w:rPr>
                <w:sz w:val="22"/>
                <w:szCs w:val="22"/>
              </w:rPr>
            </w:pPr>
            <w:r w:rsidRPr="00667CDC">
              <w:rPr>
                <w:b/>
                <w:bCs/>
                <w:sz w:val="22"/>
                <w:szCs w:val="22"/>
              </w:rPr>
              <w:t>SA ABC num</w:t>
            </w:r>
          </w:p>
        </w:tc>
        <w:tc>
          <w:tcPr>
            <w:tcW w:w="1372" w:type="dxa"/>
            <w:shd w:val="clear" w:color="auto" w:fill="D9D9D9" w:themeFill="background1" w:themeFillShade="D9"/>
            <w:tcMar>
              <w:top w:w="144" w:type="nil"/>
              <w:right w:w="144" w:type="nil"/>
            </w:tcMar>
            <w:vAlign w:val="center"/>
          </w:tcPr>
          <w:p w14:paraId="4CE02AF8" w14:textId="77777777" w:rsidR="00E45F3C" w:rsidRPr="00667CDC" w:rsidRDefault="00E45F3C" w:rsidP="00E45F3C">
            <w:pPr>
              <w:widowControl w:val="0"/>
              <w:autoSpaceDE w:val="0"/>
              <w:autoSpaceDN w:val="0"/>
              <w:adjustRightInd w:val="0"/>
              <w:jc w:val="center"/>
              <w:rPr>
                <w:sz w:val="22"/>
                <w:szCs w:val="22"/>
              </w:rPr>
            </w:pPr>
            <w:r w:rsidRPr="00667CDC">
              <w:rPr>
                <w:b/>
                <w:bCs/>
                <w:sz w:val="22"/>
                <w:szCs w:val="22"/>
              </w:rPr>
              <w:t>Yield ABC lbs</w:t>
            </w:r>
          </w:p>
        </w:tc>
        <w:tc>
          <w:tcPr>
            <w:tcW w:w="1569" w:type="dxa"/>
            <w:shd w:val="clear" w:color="auto" w:fill="D9D9D9" w:themeFill="background1" w:themeFillShade="D9"/>
            <w:tcMar>
              <w:top w:w="144" w:type="nil"/>
              <w:right w:w="144" w:type="nil"/>
            </w:tcMar>
            <w:vAlign w:val="center"/>
          </w:tcPr>
          <w:p w14:paraId="4EDD4EB3" w14:textId="77777777" w:rsidR="00E45F3C" w:rsidRPr="00667CDC" w:rsidRDefault="00E45F3C" w:rsidP="00E45F3C">
            <w:pPr>
              <w:widowControl w:val="0"/>
              <w:autoSpaceDE w:val="0"/>
              <w:autoSpaceDN w:val="0"/>
              <w:adjustRightInd w:val="0"/>
              <w:jc w:val="center"/>
              <w:rPr>
                <w:sz w:val="22"/>
                <w:szCs w:val="22"/>
              </w:rPr>
            </w:pPr>
            <w:r w:rsidRPr="00667CDC">
              <w:rPr>
                <w:b/>
                <w:bCs/>
                <w:sz w:val="22"/>
                <w:szCs w:val="22"/>
              </w:rPr>
              <w:t>Comm ACL (lbs)</w:t>
            </w:r>
          </w:p>
        </w:tc>
        <w:tc>
          <w:tcPr>
            <w:tcW w:w="1657" w:type="dxa"/>
            <w:shd w:val="clear" w:color="auto" w:fill="D9D9D9" w:themeFill="background1" w:themeFillShade="D9"/>
            <w:tcMar>
              <w:top w:w="144" w:type="nil"/>
              <w:right w:w="144" w:type="nil"/>
            </w:tcMar>
            <w:vAlign w:val="center"/>
          </w:tcPr>
          <w:p w14:paraId="1B21045E" w14:textId="77777777" w:rsidR="00E45F3C" w:rsidRPr="00667CDC" w:rsidRDefault="00E45F3C" w:rsidP="00E45F3C">
            <w:pPr>
              <w:widowControl w:val="0"/>
              <w:autoSpaceDE w:val="0"/>
              <w:autoSpaceDN w:val="0"/>
              <w:adjustRightInd w:val="0"/>
              <w:jc w:val="center"/>
              <w:rPr>
                <w:sz w:val="22"/>
                <w:szCs w:val="22"/>
              </w:rPr>
            </w:pPr>
            <w:r w:rsidRPr="00667CDC">
              <w:rPr>
                <w:b/>
                <w:bCs/>
                <w:sz w:val="22"/>
                <w:szCs w:val="22"/>
              </w:rPr>
              <w:t>Comm ACL (num)</w:t>
            </w:r>
          </w:p>
        </w:tc>
        <w:tc>
          <w:tcPr>
            <w:tcW w:w="1484" w:type="dxa"/>
            <w:shd w:val="clear" w:color="auto" w:fill="D9D9D9" w:themeFill="background1" w:themeFillShade="D9"/>
            <w:tcMar>
              <w:top w:w="144" w:type="nil"/>
              <w:right w:w="144" w:type="nil"/>
            </w:tcMar>
            <w:vAlign w:val="center"/>
          </w:tcPr>
          <w:p w14:paraId="5CB14DBB" w14:textId="77777777" w:rsidR="00E45F3C" w:rsidRPr="00667CDC" w:rsidRDefault="00E45F3C" w:rsidP="00E45F3C">
            <w:pPr>
              <w:widowControl w:val="0"/>
              <w:autoSpaceDE w:val="0"/>
              <w:autoSpaceDN w:val="0"/>
              <w:adjustRightInd w:val="0"/>
              <w:jc w:val="center"/>
              <w:rPr>
                <w:sz w:val="22"/>
                <w:szCs w:val="22"/>
              </w:rPr>
            </w:pPr>
            <w:r w:rsidRPr="00667CDC">
              <w:rPr>
                <w:b/>
                <w:bCs/>
                <w:sz w:val="22"/>
                <w:szCs w:val="22"/>
              </w:rPr>
              <w:t>Rec ACL (num)</w:t>
            </w:r>
          </w:p>
        </w:tc>
      </w:tr>
      <w:tr w:rsidR="00E45F3C" w:rsidRPr="00317A9E" w14:paraId="48B92604" w14:textId="77777777" w:rsidTr="0008072A">
        <w:tc>
          <w:tcPr>
            <w:tcW w:w="681" w:type="dxa"/>
            <w:tcMar>
              <w:top w:w="144" w:type="nil"/>
              <w:right w:w="144" w:type="nil"/>
            </w:tcMar>
            <w:vAlign w:val="bottom"/>
          </w:tcPr>
          <w:p w14:paraId="2EFFFDFE"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2017</w:t>
            </w:r>
          </w:p>
        </w:tc>
        <w:tc>
          <w:tcPr>
            <w:tcW w:w="1483" w:type="dxa"/>
            <w:tcMar>
              <w:top w:w="144" w:type="nil"/>
              <w:right w:w="144" w:type="nil"/>
            </w:tcMar>
            <w:vAlign w:val="bottom"/>
          </w:tcPr>
          <w:p w14:paraId="2DBFCB52"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157,500</w:t>
            </w:r>
          </w:p>
        </w:tc>
        <w:tc>
          <w:tcPr>
            <w:tcW w:w="1330" w:type="dxa"/>
            <w:tcMar>
              <w:top w:w="144" w:type="nil"/>
              <w:right w:w="144" w:type="nil"/>
            </w:tcMar>
            <w:vAlign w:val="bottom"/>
          </w:tcPr>
          <w:p w14:paraId="31E7DEA8"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129,150</w:t>
            </w:r>
          </w:p>
        </w:tc>
        <w:tc>
          <w:tcPr>
            <w:tcW w:w="1372" w:type="dxa"/>
            <w:tcMar>
              <w:top w:w="144" w:type="nil"/>
              <w:right w:w="144" w:type="nil"/>
            </w:tcMar>
            <w:vAlign w:val="bottom"/>
          </w:tcPr>
          <w:p w14:paraId="2755B304"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587,633</w:t>
            </w:r>
          </w:p>
        </w:tc>
        <w:tc>
          <w:tcPr>
            <w:tcW w:w="1569" w:type="dxa"/>
            <w:tcMar>
              <w:top w:w="144" w:type="nil"/>
              <w:right w:w="144" w:type="nil"/>
            </w:tcMar>
            <w:vAlign w:val="bottom"/>
          </w:tcPr>
          <w:p w14:paraId="1DC16E15"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100,015</w:t>
            </w:r>
          </w:p>
        </w:tc>
        <w:tc>
          <w:tcPr>
            <w:tcW w:w="1657" w:type="dxa"/>
            <w:tcMar>
              <w:top w:w="144" w:type="nil"/>
              <w:right w:w="144" w:type="nil"/>
            </w:tcMar>
            <w:vAlign w:val="bottom"/>
          </w:tcPr>
          <w:p w14:paraId="20A8D600"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13,023</w:t>
            </w:r>
          </w:p>
        </w:tc>
        <w:tc>
          <w:tcPr>
            <w:tcW w:w="1484" w:type="dxa"/>
            <w:tcMar>
              <w:top w:w="144" w:type="nil"/>
              <w:right w:w="144" w:type="nil"/>
            </w:tcMar>
            <w:vAlign w:val="bottom"/>
          </w:tcPr>
          <w:p w14:paraId="08268496"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116,127</w:t>
            </w:r>
          </w:p>
        </w:tc>
      </w:tr>
      <w:tr w:rsidR="00E45F3C" w:rsidRPr="00317A9E" w14:paraId="4CDAE080" w14:textId="77777777" w:rsidTr="0008072A">
        <w:tc>
          <w:tcPr>
            <w:tcW w:w="681" w:type="dxa"/>
            <w:tcMar>
              <w:top w:w="144" w:type="nil"/>
              <w:right w:w="144" w:type="nil"/>
            </w:tcMar>
            <w:vAlign w:val="bottom"/>
          </w:tcPr>
          <w:p w14:paraId="01F431C9"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2018</w:t>
            </w:r>
          </w:p>
        </w:tc>
        <w:tc>
          <w:tcPr>
            <w:tcW w:w="1483" w:type="dxa"/>
            <w:tcMar>
              <w:top w:w="144" w:type="nil"/>
              <w:right w:w="144" w:type="nil"/>
            </w:tcMar>
            <w:vAlign w:val="bottom"/>
          </w:tcPr>
          <w:p w14:paraId="1026A6B1"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164,500</w:t>
            </w:r>
          </w:p>
        </w:tc>
        <w:tc>
          <w:tcPr>
            <w:tcW w:w="1330" w:type="dxa"/>
            <w:tcMar>
              <w:top w:w="144" w:type="nil"/>
              <w:right w:w="144" w:type="nil"/>
            </w:tcMar>
            <w:vAlign w:val="bottom"/>
          </w:tcPr>
          <w:p w14:paraId="35D59066"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134,890</w:t>
            </w:r>
          </w:p>
        </w:tc>
        <w:tc>
          <w:tcPr>
            <w:tcW w:w="1372" w:type="dxa"/>
            <w:tcMar>
              <w:top w:w="144" w:type="nil"/>
              <w:right w:w="144" w:type="nil"/>
            </w:tcMar>
            <w:vAlign w:val="bottom"/>
          </w:tcPr>
          <w:p w14:paraId="5D115718"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612,401</w:t>
            </w:r>
          </w:p>
        </w:tc>
        <w:tc>
          <w:tcPr>
            <w:tcW w:w="1569" w:type="dxa"/>
            <w:tcMar>
              <w:top w:w="144" w:type="nil"/>
              <w:right w:w="144" w:type="nil"/>
            </w:tcMar>
            <w:vAlign w:val="bottom"/>
          </w:tcPr>
          <w:p w14:paraId="7D471CD7"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104,231</w:t>
            </w:r>
          </w:p>
        </w:tc>
        <w:tc>
          <w:tcPr>
            <w:tcW w:w="1657" w:type="dxa"/>
            <w:tcMar>
              <w:top w:w="144" w:type="nil"/>
              <w:right w:w="144" w:type="nil"/>
            </w:tcMar>
            <w:vAlign w:val="bottom"/>
          </w:tcPr>
          <w:p w14:paraId="2C2A5E3D"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13,572</w:t>
            </w:r>
          </w:p>
        </w:tc>
        <w:tc>
          <w:tcPr>
            <w:tcW w:w="1484" w:type="dxa"/>
            <w:tcMar>
              <w:top w:w="144" w:type="nil"/>
              <w:right w:w="144" w:type="nil"/>
            </w:tcMar>
            <w:vAlign w:val="bottom"/>
          </w:tcPr>
          <w:p w14:paraId="706E26FE"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121,318</w:t>
            </w:r>
          </w:p>
        </w:tc>
      </w:tr>
      <w:tr w:rsidR="00E45F3C" w:rsidRPr="00317A9E" w14:paraId="35BD358A" w14:textId="77777777" w:rsidTr="0008072A">
        <w:tc>
          <w:tcPr>
            <w:tcW w:w="681" w:type="dxa"/>
            <w:tcMar>
              <w:top w:w="144" w:type="nil"/>
              <w:right w:w="144" w:type="nil"/>
            </w:tcMar>
            <w:vAlign w:val="bottom"/>
          </w:tcPr>
          <w:p w14:paraId="03E35CA7"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2019</w:t>
            </w:r>
          </w:p>
        </w:tc>
        <w:tc>
          <w:tcPr>
            <w:tcW w:w="1483" w:type="dxa"/>
            <w:tcMar>
              <w:top w:w="144" w:type="nil"/>
              <w:right w:w="144" w:type="nil"/>
            </w:tcMar>
            <w:vAlign w:val="bottom"/>
          </w:tcPr>
          <w:p w14:paraId="44663774"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169,300</w:t>
            </w:r>
          </w:p>
        </w:tc>
        <w:tc>
          <w:tcPr>
            <w:tcW w:w="1330" w:type="dxa"/>
            <w:tcMar>
              <w:top w:w="144" w:type="nil"/>
              <w:right w:w="144" w:type="nil"/>
            </w:tcMar>
            <w:vAlign w:val="bottom"/>
          </w:tcPr>
          <w:p w14:paraId="206A2D3E"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138,826</w:t>
            </w:r>
          </w:p>
        </w:tc>
        <w:tc>
          <w:tcPr>
            <w:tcW w:w="1372" w:type="dxa"/>
            <w:tcMar>
              <w:top w:w="144" w:type="nil"/>
              <w:right w:w="144" w:type="nil"/>
            </w:tcMar>
            <w:vAlign w:val="bottom"/>
          </w:tcPr>
          <w:p w14:paraId="24565DAB"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634,435</w:t>
            </w:r>
          </w:p>
        </w:tc>
        <w:tc>
          <w:tcPr>
            <w:tcW w:w="1569" w:type="dxa"/>
            <w:tcMar>
              <w:top w:w="144" w:type="nil"/>
              <w:right w:w="144" w:type="nil"/>
            </w:tcMar>
            <w:vAlign w:val="bottom"/>
          </w:tcPr>
          <w:p w14:paraId="2054412A"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107,981</w:t>
            </w:r>
          </w:p>
        </w:tc>
        <w:tc>
          <w:tcPr>
            <w:tcW w:w="1657" w:type="dxa"/>
            <w:tcMar>
              <w:top w:w="144" w:type="nil"/>
              <w:right w:w="144" w:type="nil"/>
            </w:tcMar>
            <w:vAlign w:val="bottom"/>
          </w:tcPr>
          <w:p w14:paraId="5B54AC24"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14,060</w:t>
            </w:r>
          </w:p>
        </w:tc>
        <w:tc>
          <w:tcPr>
            <w:tcW w:w="1484" w:type="dxa"/>
            <w:tcMar>
              <w:top w:w="144" w:type="nil"/>
              <w:right w:w="144" w:type="nil"/>
            </w:tcMar>
            <w:vAlign w:val="bottom"/>
          </w:tcPr>
          <w:p w14:paraId="5A5CD0A5"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124,766</w:t>
            </w:r>
          </w:p>
        </w:tc>
      </w:tr>
      <w:tr w:rsidR="00E45F3C" w:rsidRPr="00317A9E" w14:paraId="06B7C34C" w14:textId="77777777" w:rsidTr="0008072A">
        <w:tc>
          <w:tcPr>
            <w:tcW w:w="681" w:type="dxa"/>
            <w:tcMar>
              <w:top w:w="144" w:type="nil"/>
              <w:right w:w="144" w:type="nil"/>
            </w:tcMar>
            <w:vAlign w:val="bottom"/>
          </w:tcPr>
          <w:p w14:paraId="36BBC2AE"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2020</w:t>
            </w:r>
          </w:p>
        </w:tc>
        <w:tc>
          <w:tcPr>
            <w:tcW w:w="1483" w:type="dxa"/>
            <w:tcMar>
              <w:top w:w="144" w:type="nil"/>
              <w:right w:w="144" w:type="nil"/>
            </w:tcMar>
            <w:vAlign w:val="bottom"/>
          </w:tcPr>
          <w:p w14:paraId="5C2854FE"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172,700</w:t>
            </w:r>
          </w:p>
        </w:tc>
        <w:tc>
          <w:tcPr>
            <w:tcW w:w="1330" w:type="dxa"/>
            <w:tcMar>
              <w:top w:w="144" w:type="nil"/>
              <w:right w:w="144" w:type="nil"/>
            </w:tcMar>
            <w:vAlign w:val="bottom"/>
          </w:tcPr>
          <w:p w14:paraId="12516E91"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141,614</w:t>
            </w:r>
          </w:p>
        </w:tc>
        <w:tc>
          <w:tcPr>
            <w:tcW w:w="1372" w:type="dxa"/>
            <w:tcMar>
              <w:top w:w="144" w:type="nil"/>
              <w:right w:w="144" w:type="nil"/>
            </w:tcMar>
            <w:vAlign w:val="bottom"/>
          </w:tcPr>
          <w:p w14:paraId="590B5F6E"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654,257</w:t>
            </w:r>
          </w:p>
        </w:tc>
        <w:tc>
          <w:tcPr>
            <w:tcW w:w="1569" w:type="dxa"/>
            <w:tcMar>
              <w:top w:w="144" w:type="nil"/>
              <w:right w:w="144" w:type="nil"/>
            </w:tcMar>
            <w:vAlign w:val="bottom"/>
          </w:tcPr>
          <w:p w14:paraId="2458E5FD"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111,354</w:t>
            </w:r>
          </w:p>
        </w:tc>
        <w:tc>
          <w:tcPr>
            <w:tcW w:w="1657" w:type="dxa"/>
            <w:tcMar>
              <w:top w:w="144" w:type="nil"/>
              <w:right w:w="144" w:type="nil"/>
            </w:tcMar>
            <w:vAlign w:val="bottom"/>
          </w:tcPr>
          <w:p w14:paraId="017BEB63"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14,499</w:t>
            </w:r>
          </w:p>
        </w:tc>
        <w:tc>
          <w:tcPr>
            <w:tcW w:w="1484" w:type="dxa"/>
            <w:tcMar>
              <w:top w:w="144" w:type="nil"/>
              <w:right w:w="144" w:type="nil"/>
            </w:tcMar>
            <w:vAlign w:val="bottom"/>
          </w:tcPr>
          <w:p w14:paraId="0A01EB97"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127,115</w:t>
            </w:r>
          </w:p>
        </w:tc>
      </w:tr>
    </w:tbl>
    <w:p w14:paraId="52CBE581" w14:textId="1A4BA28A" w:rsidR="00E45F3C" w:rsidRDefault="00E45F3C" w:rsidP="00E45F3C">
      <w:pPr>
        <w:widowControl w:val="0"/>
        <w:autoSpaceDE w:val="0"/>
        <w:autoSpaceDN w:val="0"/>
        <w:adjustRightInd w:val="0"/>
      </w:pPr>
    </w:p>
    <w:p w14:paraId="62A754C8" w14:textId="77777777" w:rsidR="00E45F3C" w:rsidRDefault="00E45F3C">
      <w:r>
        <w:br w:type="page"/>
      </w:r>
    </w:p>
    <w:p w14:paraId="6E5DA9E5" w14:textId="2FC089C7" w:rsidR="00E45F3C" w:rsidRPr="00E45F3C" w:rsidRDefault="00E45F3C" w:rsidP="00E45F3C">
      <w:pPr>
        <w:widowControl w:val="0"/>
        <w:autoSpaceDE w:val="0"/>
        <w:autoSpaceDN w:val="0"/>
        <w:adjustRightInd w:val="0"/>
        <w:rPr>
          <w:rFonts w:ascii="Arial" w:hAnsi="Arial" w:cs="Arial"/>
          <w:sz w:val="20"/>
          <w:szCs w:val="20"/>
        </w:rPr>
      </w:pPr>
      <w:r w:rsidRPr="00E45F3C">
        <w:rPr>
          <w:rFonts w:ascii="Arial" w:hAnsi="Arial" w:cs="Arial"/>
          <w:b/>
          <w:sz w:val="20"/>
          <w:szCs w:val="20"/>
        </w:rPr>
        <w:lastRenderedPageBreak/>
        <w:t>Table 2.3.1.</w:t>
      </w:r>
      <w:r w:rsidRPr="00E45F3C">
        <w:rPr>
          <w:rFonts w:ascii="Arial" w:hAnsi="Arial" w:cs="Arial"/>
          <w:sz w:val="20"/>
          <w:szCs w:val="20"/>
        </w:rPr>
        <w:t xml:space="preserve">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1483"/>
        <w:gridCol w:w="1330"/>
        <w:gridCol w:w="1372"/>
        <w:gridCol w:w="1569"/>
        <w:gridCol w:w="1657"/>
        <w:gridCol w:w="1484"/>
      </w:tblGrid>
      <w:tr w:rsidR="00E45F3C" w:rsidRPr="00317A9E" w14:paraId="24A45DA2" w14:textId="77777777" w:rsidTr="0008072A">
        <w:tc>
          <w:tcPr>
            <w:tcW w:w="9576" w:type="dxa"/>
            <w:gridSpan w:val="7"/>
            <w:shd w:val="clear" w:color="auto" w:fill="D9D9D9" w:themeFill="background1" w:themeFillShade="D9"/>
            <w:tcMar>
              <w:top w:w="144" w:type="nil"/>
              <w:right w:w="144" w:type="nil"/>
            </w:tcMar>
            <w:vAlign w:val="bottom"/>
          </w:tcPr>
          <w:p w14:paraId="73307278" w14:textId="77777777" w:rsidR="00E45F3C" w:rsidRPr="00667CDC" w:rsidRDefault="00E45F3C" w:rsidP="00E45F3C">
            <w:pPr>
              <w:widowControl w:val="0"/>
              <w:autoSpaceDE w:val="0"/>
              <w:autoSpaceDN w:val="0"/>
              <w:adjustRightInd w:val="0"/>
              <w:jc w:val="center"/>
              <w:rPr>
                <w:sz w:val="22"/>
                <w:szCs w:val="22"/>
              </w:rPr>
            </w:pPr>
            <w:r>
              <w:rPr>
                <w:b/>
                <w:bCs/>
                <w:sz w:val="22"/>
                <w:szCs w:val="22"/>
              </w:rPr>
              <w:t xml:space="preserve">Sub-alt 2b - </w:t>
            </w:r>
            <w:r w:rsidRPr="00667CDC">
              <w:rPr>
                <w:b/>
                <w:bCs/>
                <w:sz w:val="22"/>
                <w:szCs w:val="22"/>
              </w:rPr>
              <w:t xml:space="preserve">ACL = </w:t>
            </w:r>
            <w:r>
              <w:rPr>
                <w:b/>
                <w:bCs/>
                <w:sz w:val="22"/>
                <w:szCs w:val="22"/>
              </w:rPr>
              <w:t xml:space="preserve">OY = </w:t>
            </w:r>
            <w:r w:rsidRPr="00667CDC">
              <w:rPr>
                <w:b/>
                <w:bCs/>
                <w:sz w:val="22"/>
                <w:szCs w:val="22"/>
              </w:rPr>
              <w:t>95% ABC</w:t>
            </w:r>
          </w:p>
        </w:tc>
      </w:tr>
      <w:tr w:rsidR="00E45F3C" w:rsidRPr="00317A9E" w14:paraId="082327F9" w14:textId="77777777" w:rsidTr="0008072A">
        <w:tc>
          <w:tcPr>
            <w:tcW w:w="681" w:type="dxa"/>
            <w:shd w:val="clear" w:color="auto" w:fill="D9D9D9" w:themeFill="background1" w:themeFillShade="D9"/>
            <w:tcMar>
              <w:top w:w="144" w:type="nil"/>
              <w:right w:w="144" w:type="nil"/>
            </w:tcMar>
            <w:vAlign w:val="center"/>
          </w:tcPr>
          <w:p w14:paraId="50A8C307" w14:textId="77777777" w:rsidR="00E45F3C" w:rsidRPr="00667CDC" w:rsidRDefault="00E45F3C" w:rsidP="00E45F3C">
            <w:pPr>
              <w:widowControl w:val="0"/>
              <w:autoSpaceDE w:val="0"/>
              <w:autoSpaceDN w:val="0"/>
              <w:adjustRightInd w:val="0"/>
              <w:jc w:val="center"/>
              <w:rPr>
                <w:sz w:val="22"/>
                <w:szCs w:val="22"/>
              </w:rPr>
            </w:pPr>
            <w:r w:rsidRPr="00667CDC">
              <w:rPr>
                <w:b/>
                <w:bCs/>
                <w:sz w:val="22"/>
                <w:szCs w:val="22"/>
              </w:rPr>
              <w:t>Year</w:t>
            </w:r>
          </w:p>
        </w:tc>
        <w:tc>
          <w:tcPr>
            <w:tcW w:w="1483" w:type="dxa"/>
            <w:shd w:val="clear" w:color="auto" w:fill="D9D9D9" w:themeFill="background1" w:themeFillShade="D9"/>
            <w:tcMar>
              <w:top w:w="144" w:type="nil"/>
              <w:right w:w="144" w:type="nil"/>
            </w:tcMar>
            <w:vAlign w:val="center"/>
          </w:tcPr>
          <w:p w14:paraId="754EBFB4" w14:textId="77777777" w:rsidR="00E45F3C" w:rsidRDefault="00E45F3C" w:rsidP="00E45F3C">
            <w:pPr>
              <w:widowControl w:val="0"/>
              <w:autoSpaceDE w:val="0"/>
              <w:autoSpaceDN w:val="0"/>
              <w:adjustRightInd w:val="0"/>
              <w:jc w:val="center"/>
              <w:rPr>
                <w:b/>
                <w:bCs/>
                <w:sz w:val="22"/>
                <w:szCs w:val="22"/>
              </w:rPr>
            </w:pPr>
            <w:r w:rsidRPr="00667CDC">
              <w:rPr>
                <w:b/>
                <w:bCs/>
                <w:sz w:val="22"/>
                <w:szCs w:val="22"/>
              </w:rPr>
              <w:t>Total ABC</w:t>
            </w:r>
          </w:p>
          <w:p w14:paraId="691D4643" w14:textId="77777777" w:rsidR="00E45F3C" w:rsidRPr="00667CDC" w:rsidRDefault="00E45F3C" w:rsidP="00E45F3C">
            <w:pPr>
              <w:widowControl w:val="0"/>
              <w:autoSpaceDE w:val="0"/>
              <w:autoSpaceDN w:val="0"/>
              <w:adjustRightInd w:val="0"/>
              <w:jc w:val="center"/>
              <w:rPr>
                <w:sz w:val="22"/>
                <w:szCs w:val="22"/>
              </w:rPr>
            </w:pPr>
            <w:r>
              <w:rPr>
                <w:b/>
                <w:bCs/>
                <w:sz w:val="22"/>
                <w:szCs w:val="22"/>
              </w:rPr>
              <w:t>(SA + Gulf)</w:t>
            </w:r>
            <w:r w:rsidRPr="00667CDC">
              <w:rPr>
                <w:b/>
                <w:bCs/>
                <w:sz w:val="22"/>
                <w:szCs w:val="22"/>
              </w:rPr>
              <w:t xml:space="preserve">  num</w:t>
            </w:r>
          </w:p>
        </w:tc>
        <w:tc>
          <w:tcPr>
            <w:tcW w:w="1330" w:type="dxa"/>
            <w:shd w:val="clear" w:color="auto" w:fill="D9D9D9" w:themeFill="background1" w:themeFillShade="D9"/>
            <w:tcMar>
              <w:top w:w="144" w:type="nil"/>
              <w:right w:w="144" w:type="nil"/>
            </w:tcMar>
            <w:vAlign w:val="center"/>
          </w:tcPr>
          <w:p w14:paraId="231D6B82" w14:textId="77777777" w:rsidR="00E45F3C" w:rsidRPr="00667CDC" w:rsidRDefault="00E45F3C" w:rsidP="00E45F3C">
            <w:pPr>
              <w:widowControl w:val="0"/>
              <w:autoSpaceDE w:val="0"/>
              <w:autoSpaceDN w:val="0"/>
              <w:adjustRightInd w:val="0"/>
              <w:jc w:val="center"/>
              <w:rPr>
                <w:sz w:val="22"/>
                <w:szCs w:val="22"/>
              </w:rPr>
            </w:pPr>
            <w:r w:rsidRPr="00667CDC">
              <w:rPr>
                <w:b/>
                <w:bCs/>
                <w:sz w:val="22"/>
                <w:szCs w:val="22"/>
              </w:rPr>
              <w:t>SA ABC num</w:t>
            </w:r>
          </w:p>
        </w:tc>
        <w:tc>
          <w:tcPr>
            <w:tcW w:w="1372" w:type="dxa"/>
            <w:shd w:val="clear" w:color="auto" w:fill="D9D9D9" w:themeFill="background1" w:themeFillShade="D9"/>
            <w:tcMar>
              <w:top w:w="144" w:type="nil"/>
              <w:right w:w="144" w:type="nil"/>
            </w:tcMar>
            <w:vAlign w:val="center"/>
          </w:tcPr>
          <w:p w14:paraId="3AB214AC" w14:textId="77777777" w:rsidR="00E45F3C" w:rsidRPr="00667CDC" w:rsidRDefault="00E45F3C" w:rsidP="00E45F3C">
            <w:pPr>
              <w:widowControl w:val="0"/>
              <w:autoSpaceDE w:val="0"/>
              <w:autoSpaceDN w:val="0"/>
              <w:adjustRightInd w:val="0"/>
              <w:jc w:val="center"/>
              <w:rPr>
                <w:sz w:val="22"/>
                <w:szCs w:val="22"/>
              </w:rPr>
            </w:pPr>
            <w:r w:rsidRPr="00667CDC">
              <w:rPr>
                <w:b/>
                <w:bCs/>
                <w:sz w:val="22"/>
                <w:szCs w:val="22"/>
              </w:rPr>
              <w:t>Yield ABC lbs</w:t>
            </w:r>
          </w:p>
        </w:tc>
        <w:tc>
          <w:tcPr>
            <w:tcW w:w="1569" w:type="dxa"/>
            <w:shd w:val="clear" w:color="auto" w:fill="D9D9D9" w:themeFill="background1" w:themeFillShade="D9"/>
            <w:tcMar>
              <w:top w:w="144" w:type="nil"/>
              <w:right w:w="144" w:type="nil"/>
            </w:tcMar>
            <w:vAlign w:val="center"/>
          </w:tcPr>
          <w:p w14:paraId="5CCFD809" w14:textId="77777777" w:rsidR="00E45F3C" w:rsidRPr="00667CDC" w:rsidRDefault="00E45F3C" w:rsidP="00E45F3C">
            <w:pPr>
              <w:widowControl w:val="0"/>
              <w:autoSpaceDE w:val="0"/>
              <w:autoSpaceDN w:val="0"/>
              <w:adjustRightInd w:val="0"/>
              <w:jc w:val="center"/>
              <w:rPr>
                <w:sz w:val="22"/>
                <w:szCs w:val="22"/>
              </w:rPr>
            </w:pPr>
            <w:r w:rsidRPr="00667CDC">
              <w:rPr>
                <w:b/>
                <w:bCs/>
                <w:sz w:val="22"/>
                <w:szCs w:val="22"/>
              </w:rPr>
              <w:t>Comm ACL (lbs)</w:t>
            </w:r>
          </w:p>
        </w:tc>
        <w:tc>
          <w:tcPr>
            <w:tcW w:w="1657" w:type="dxa"/>
            <w:shd w:val="clear" w:color="auto" w:fill="D9D9D9" w:themeFill="background1" w:themeFillShade="D9"/>
            <w:tcMar>
              <w:top w:w="144" w:type="nil"/>
              <w:right w:w="144" w:type="nil"/>
            </w:tcMar>
            <w:vAlign w:val="center"/>
          </w:tcPr>
          <w:p w14:paraId="2C9FAB09" w14:textId="77777777" w:rsidR="00E45F3C" w:rsidRPr="00667CDC" w:rsidRDefault="00E45F3C" w:rsidP="00E45F3C">
            <w:pPr>
              <w:widowControl w:val="0"/>
              <w:autoSpaceDE w:val="0"/>
              <w:autoSpaceDN w:val="0"/>
              <w:adjustRightInd w:val="0"/>
              <w:jc w:val="center"/>
              <w:rPr>
                <w:sz w:val="22"/>
                <w:szCs w:val="22"/>
              </w:rPr>
            </w:pPr>
            <w:r w:rsidRPr="00667CDC">
              <w:rPr>
                <w:b/>
                <w:bCs/>
                <w:sz w:val="22"/>
                <w:szCs w:val="22"/>
              </w:rPr>
              <w:t>Comm ACL (num)</w:t>
            </w:r>
          </w:p>
        </w:tc>
        <w:tc>
          <w:tcPr>
            <w:tcW w:w="1484" w:type="dxa"/>
            <w:shd w:val="clear" w:color="auto" w:fill="D9D9D9" w:themeFill="background1" w:themeFillShade="D9"/>
            <w:tcMar>
              <w:top w:w="144" w:type="nil"/>
              <w:right w:w="144" w:type="nil"/>
            </w:tcMar>
            <w:vAlign w:val="center"/>
          </w:tcPr>
          <w:p w14:paraId="047142FA" w14:textId="77777777" w:rsidR="00E45F3C" w:rsidRPr="00667CDC" w:rsidRDefault="00E45F3C" w:rsidP="00E45F3C">
            <w:pPr>
              <w:widowControl w:val="0"/>
              <w:autoSpaceDE w:val="0"/>
              <w:autoSpaceDN w:val="0"/>
              <w:adjustRightInd w:val="0"/>
              <w:jc w:val="center"/>
              <w:rPr>
                <w:sz w:val="22"/>
                <w:szCs w:val="22"/>
              </w:rPr>
            </w:pPr>
            <w:r w:rsidRPr="00667CDC">
              <w:rPr>
                <w:b/>
                <w:bCs/>
                <w:sz w:val="22"/>
                <w:szCs w:val="22"/>
              </w:rPr>
              <w:t>Rec ACL (num)</w:t>
            </w:r>
          </w:p>
        </w:tc>
      </w:tr>
      <w:tr w:rsidR="00E45F3C" w:rsidRPr="00317A9E" w14:paraId="1D3F1E5C" w14:textId="77777777" w:rsidTr="0008072A">
        <w:tc>
          <w:tcPr>
            <w:tcW w:w="681" w:type="dxa"/>
            <w:tcMar>
              <w:top w:w="144" w:type="nil"/>
              <w:right w:w="144" w:type="nil"/>
            </w:tcMar>
            <w:vAlign w:val="bottom"/>
          </w:tcPr>
          <w:p w14:paraId="47C122F2"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2017</w:t>
            </w:r>
          </w:p>
        </w:tc>
        <w:tc>
          <w:tcPr>
            <w:tcW w:w="1483" w:type="dxa"/>
            <w:tcMar>
              <w:top w:w="144" w:type="nil"/>
              <w:right w:w="144" w:type="nil"/>
            </w:tcMar>
            <w:vAlign w:val="bottom"/>
          </w:tcPr>
          <w:p w14:paraId="57666D30"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157,500</w:t>
            </w:r>
          </w:p>
        </w:tc>
        <w:tc>
          <w:tcPr>
            <w:tcW w:w="1330" w:type="dxa"/>
            <w:tcMar>
              <w:top w:w="144" w:type="nil"/>
              <w:right w:w="144" w:type="nil"/>
            </w:tcMar>
            <w:vAlign w:val="bottom"/>
          </w:tcPr>
          <w:p w14:paraId="0F77AB06"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122,693</w:t>
            </w:r>
          </w:p>
        </w:tc>
        <w:tc>
          <w:tcPr>
            <w:tcW w:w="1372" w:type="dxa"/>
            <w:tcMar>
              <w:top w:w="144" w:type="nil"/>
              <w:right w:w="144" w:type="nil"/>
            </w:tcMar>
            <w:vAlign w:val="bottom"/>
          </w:tcPr>
          <w:p w14:paraId="7CE8BDD2"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558,251</w:t>
            </w:r>
          </w:p>
        </w:tc>
        <w:tc>
          <w:tcPr>
            <w:tcW w:w="1569" w:type="dxa"/>
            <w:tcMar>
              <w:top w:w="144" w:type="nil"/>
              <w:right w:w="144" w:type="nil"/>
            </w:tcMar>
            <w:vAlign w:val="bottom"/>
          </w:tcPr>
          <w:p w14:paraId="07C72DC9"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95,014</w:t>
            </w:r>
          </w:p>
        </w:tc>
        <w:tc>
          <w:tcPr>
            <w:tcW w:w="1657" w:type="dxa"/>
            <w:tcMar>
              <w:top w:w="144" w:type="nil"/>
              <w:right w:w="144" w:type="nil"/>
            </w:tcMar>
            <w:vAlign w:val="bottom"/>
          </w:tcPr>
          <w:p w14:paraId="7F341B4F"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12,372</w:t>
            </w:r>
          </w:p>
        </w:tc>
        <w:tc>
          <w:tcPr>
            <w:tcW w:w="1484" w:type="dxa"/>
            <w:tcMar>
              <w:top w:w="144" w:type="nil"/>
              <w:right w:w="144" w:type="nil"/>
            </w:tcMar>
            <w:vAlign w:val="bottom"/>
          </w:tcPr>
          <w:p w14:paraId="0D0894BF"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110,321</w:t>
            </w:r>
          </w:p>
        </w:tc>
      </w:tr>
      <w:tr w:rsidR="00E45F3C" w:rsidRPr="00317A9E" w14:paraId="24AE34FB" w14:textId="77777777" w:rsidTr="0008072A">
        <w:tc>
          <w:tcPr>
            <w:tcW w:w="681" w:type="dxa"/>
            <w:tcMar>
              <w:top w:w="144" w:type="nil"/>
              <w:right w:w="144" w:type="nil"/>
            </w:tcMar>
            <w:vAlign w:val="bottom"/>
          </w:tcPr>
          <w:p w14:paraId="197C6107"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2018</w:t>
            </w:r>
          </w:p>
        </w:tc>
        <w:tc>
          <w:tcPr>
            <w:tcW w:w="1483" w:type="dxa"/>
            <w:tcMar>
              <w:top w:w="144" w:type="nil"/>
              <w:right w:w="144" w:type="nil"/>
            </w:tcMar>
            <w:vAlign w:val="bottom"/>
          </w:tcPr>
          <w:p w14:paraId="53A30675"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164,500</w:t>
            </w:r>
          </w:p>
        </w:tc>
        <w:tc>
          <w:tcPr>
            <w:tcW w:w="1330" w:type="dxa"/>
            <w:tcMar>
              <w:top w:w="144" w:type="nil"/>
              <w:right w:w="144" w:type="nil"/>
            </w:tcMar>
            <w:vAlign w:val="bottom"/>
          </w:tcPr>
          <w:p w14:paraId="303BAA32"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128,146</w:t>
            </w:r>
          </w:p>
        </w:tc>
        <w:tc>
          <w:tcPr>
            <w:tcW w:w="1372" w:type="dxa"/>
            <w:tcMar>
              <w:top w:w="144" w:type="nil"/>
              <w:right w:w="144" w:type="nil"/>
            </w:tcMar>
            <w:vAlign w:val="bottom"/>
          </w:tcPr>
          <w:p w14:paraId="7BFD0505"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581,781</w:t>
            </w:r>
          </w:p>
        </w:tc>
        <w:tc>
          <w:tcPr>
            <w:tcW w:w="1569" w:type="dxa"/>
            <w:tcMar>
              <w:top w:w="144" w:type="nil"/>
              <w:right w:w="144" w:type="nil"/>
            </w:tcMar>
            <w:vAlign w:val="bottom"/>
          </w:tcPr>
          <w:p w14:paraId="34B68E3F"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99,019</w:t>
            </w:r>
          </w:p>
        </w:tc>
        <w:tc>
          <w:tcPr>
            <w:tcW w:w="1657" w:type="dxa"/>
            <w:tcMar>
              <w:top w:w="144" w:type="nil"/>
              <w:right w:w="144" w:type="nil"/>
            </w:tcMar>
            <w:vAlign w:val="bottom"/>
          </w:tcPr>
          <w:p w14:paraId="5A7BE36C"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12,893</w:t>
            </w:r>
          </w:p>
        </w:tc>
        <w:tc>
          <w:tcPr>
            <w:tcW w:w="1484" w:type="dxa"/>
            <w:tcMar>
              <w:top w:w="144" w:type="nil"/>
              <w:right w:w="144" w:type="nil"/>
            </w:tcMar>
            <w:vAlign w:val="bottom"/>
          </w:tcPr>
          <w:p w14:paraId="5DD08C96"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115,252</w:t>
            </w:r>
          </w:p>
        </w:tc>
      </w:tr>
      <w:tr w:rsidR="00E45F3C" w:rsidRPr="00317A9E" w14:paraId="776B897E" w14:textId="77777777" w:rsidTr="0008072A">
        <w:tc>
          <w:tcPr>
            <w:tcW w:w="681" w:type="dxa"/>
            <w:tcMar>
              <w:top w:w="144" w:type="nil"/>
              <w:right w:w="144" w:type="nil"/>
            </w:tcMar>
            <w:vAlign w:val="bottom"/>
          </w:tcPr>
          <w:p w14:paraId="4A333688"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2019</w:t>
            </w:r>
          </w:p>
        </w:tc>
        <w:tc>
          <w:tcPr>
            <w:tcW w:w="1483" w:type="dxa"/>
            <w:tcMar>
              <w:top w:w="144" w:type="nil"/>
              <w:right w:w="144" w:type="nil"/>
            </w:tcMar>
            <w:vAlign w:val="bottom"/>
          </w:tcPr>
          <w:p w14:paraId="29BFE5D6"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169,300</w:t>
            </w:r>
          </w:p>
        </w:tc>
        <w:tc>
          <w:tcPr>
            <w:tcW w:w="1330" w:type="dxa"/>
            <w:tcMar>
              <w:top w:w="144" w:type="nil"/>
              <w:right w:w="144" w:type="nil"/>
            </w:tcMar>
            <w:vAlign w:val="bottom"/>
          </w:tcPr>
          <w:p w14:paraId="41E101D5"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131,885</w:t>
            </w:r>
          </w:p>
        </w:tc>
        <w:tc>
          <w:tcPr>
            <w:tcW w:w="1372" w:type="dxa"/>
            <w:tcMar>
              <w:top w:w="144" w:type="nil"/>
              <w:right w:w="144" w:type="nil"/>
            </w:tcMar>
            <w:vAlign w:val="bottom"/>
          </w:tcPr>
          <w:p w14:paraId="70101FF8"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602,713</w:t>
            </w:r>
          </w:p>
        </w:tc>
        <w:tc>
          <w:tcPr>
            <w:tcW w:w="1569" w:type="dxa"/>
            <w:tcMar>
              <w:top w:w="144" w:type="nil"/>
              <w:right w:w="144" w:type="nil"/>
            </w:tcMar>
            <w:vAlign w:val="bottom"/>
          </w:tcPr>
          <w:p w14:paraId="35A753E5"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102,582</w:t>
            </w:r>
          </w:p>
        </w:tc>
        <w:tc>
          <w:tcPr>
            <w:tcW w:w="1657" w:type="dxa"/>
            <w:tcMar>
              <w:top w:w="144" w:type="nil"/>
              <w:right w:w="144" w:type="nil"/>
            </w:tcMar>
            <w:vAlign w:val="bottom"/>
          </w:tcPr>
          <w:p w14:paraId="6F4A5A1F"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13,357</w:t>
            </w:r>
          </w:p>
        </w:tc>
        <w:tc>
          <w:tcPr>
            <w:tcW w:w="1484" w:type="dxa"/>
            <w:tcMar>
              <w:top w:w="144" w:type="nil"/>
              <w:right w:w="144" w:type="nil"/>
            </w:tcMar>
            <w:vAlign w:val="bottom"/>
          </w:tcPr>
          <w:p w14:paraId="1270409D"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118,528</w:t>
            </w:r>
          </w:p>
        </w:tc>
      </w:tr>
      <w:tr w:rsidR="00E45F3C" w:rsidRPr="00317A9E" w14:paraId="73AFA3AA" w14:textId="77777777" w:rsidTr="0008072A">
        <w:tc>
          <w:tcPr>
            <w:tcW w:w="681" w:type="dxa"/>
            <w:tcMar>
              <w:top w:w="144" w:type="nil"/>
              <w:right w:w="144" w:type="nil"/>
            </w:tcMar>
            <w:vAlign w:val="bottom"/>
          </w:tcPr>
          <w:p w14:paraId="7386AB65"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2020</w:t>
            </w:r>
          </w:p>
        </w:tc>
        <w:tc>
          <w:tcPr>
            <w:tcW w:w="1483" w:type="dxa"/>
            <w:tcMar>
              <w:top w:w="144" w:type="nil"/>
              <w:right w:w="144" w:type="nil"/>
            </w:tcMar>
            <w:vAlign w:val="bottom"/>
          </w:tcPr>
          <w:p w14:paraId="106A2F04"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172,700</w:t>
            </w:r>
          </w:p>
        </w:tc>
        <w:tc>
          <w:tcPr>
            <w:tcW w:w="1330" w:type="dxa"/>
            <w:tcMar>
              <w:top w:w="144" w:type="nil"/>
              <w:right w:w="144" w:type="nil"/>
            </w:tcMar>
            <w:vAlign w:val="bottom"/>
          </w:tcPr>
          <w:p w14:paraId="549A6087"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134,533</w:t>
            </w:r>
          </w:p>
        </w:tc>
        <w:tc>
          <w:tcPr>
            <w:tcW w:w="1372" w:type="dxa"/>
            <w:tcMar>
              <w:top w:w="144" w:type="nil"/>
              <w:right w:w="144" w:type="nil"/>
            </w:tcMar>
            <w:vAlign w:val="bottom"/>
          </w:tcPr>
          <w:p w14:paraId="4175FE19"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621,544</w:t>
            </w:r>
          </w:p>
        </w:tc>
        <w:tc>
          <w:tcPr>
            <w:tcW w:w="1569" w:type="dxa"/>
            <w:tcMar>
              <w:top w:w="144" w:type="nil"/>
              <w:right w:w="144" w:type="nil"/>
            </w:tcMar>
            <w:vAlign w:val="bottom"/>
          </w:tcPr>
          <w:p w14:paraId="66A1E3DD"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105,787</w:t>
            </w:r>
          </w:p>
        </w:tc>
        <w:tc>
          <w:tcPr>
            <w:tcW w:w="1657" w:type="dxa"/>
            <w:tcMar>
              <w:top w:w="144" w:type="nil"/>
              <w:right w:w="144" w:type="nil"/>
            </w:tcMar>
            <w:vAlign w:val="bottom"/>
          </w:tcPr>
          <w:p w14:paraId="6BAF8CDE"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13,774</w:t>
            </w:r>
          </w:p>
        </w:tc>
        <w:tc>
          <w:tcPr>
            <w:tcW w:w="1484" w:type="dxa"/>
            <w:tcMar>
              <w:top w:w="144" w:type="nil"/>
              <w:right w:w="144" w:type="nil"/>
            </w:tcMar>
            <w:vAlign w:val="bottom"/>
          </w:tcPr>
          <w:p w14:paraId="48BC1CF4"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120,759</w:t>
            </w:r>
          </w:p>
        </w:tc>
      </w:tr>
    </w:tbl>
    <w:p w14:paraId="3426A798" w14:textId="77777777" w:rsidR="00E45F3C" w:rsidRPr="00D41F81" w:rsidRDefault="00E45F3C" w:rsidP="00E45F3C">
      <w:pPr>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1483"/>
        <w:gridCol w:w="1330"/>
        <w:gridCol w:w="1372"/>
        <w:gridCol w:w="1569"/>
        <w:gridCol w:w="1657"/>
        <w:gridCol w:w="1484"/>
      </w:tblGrid>
      <w:tr w:rsidR="00E45F3C" w:rsidRPr="00317A9E" w14:paraId="5609276E" w14:textId="77777777" w:rsidTr="0008072A">
        <w:tc>
          <w:tcPr>
            <w:tcW w:w="9576" w:type="dxa"/>
            <w:gridSpan w:val="7"/>
            <w:shd w:val="clear" w:color="auto" w:fill="D9D9D9" w:themeFill="background1" w:themeFillShade="D9"/>
            <w:tcMar>
              <w:top w:w="144" w:type="nil"/>
              <w:right w:w="144" w:type="nil"/>
            </w:tcMar>
            <w:vAlign w:val="bottom"/>
          </w:tcPr>
          <w:p w14:paraId="49F84F5B" w14:textId="77777777" w:rsidR="00E45F3C" w:rsidRPr="00667CDC" w:rsidRDefault="00E45F3C" w:rsidP="00E45F3C">
            <w:pPr>
              <w:widowControl w:val="0"/>
              <w:autoSpaceDE w:val="0"/>
              <w:autoSpaceDN w:val="0"/>
              <w:adjustRightInd w:val="0"/>
              <w:jc w:val="center"/>
              <w:rPr>
                <w:sz w:val="22"/>
                <w:szCs w:val="22"/>
              </w:rPr>
            </w:pPr>
            <w:r>
              <w:rPr>
                <w:b/>
                <w:bCs/>
                <w:sz w:val="22"/>
                <w:szCs w:val="22"/>
              </w:rPr>
              <w:t xml:space="preserve">Sub-alt 2c - </w:t>
            </w:r>
            <w:r w:rsidRPr="00667CDC">
              <w:rPr>
                <w:b/>
                <w:bCs/>
                <w:sz w:val="22"/>
                <w:szCs w:val="22"/>
              </w:rPr>
              <w:t xml:space="preserve">ACL = </w:t>
            </w:r>
            <w:r>
              <w:rPr>
                <w:b/>
                <w:bCs/>
                <w:sz w:val="22"/>
                <w:szCs w:val="22"/>
              </w:rPr>
              <w:t xml:space="preserve">OY = </w:t>
            </w:r>
            <w:r w:rsidRPr="00667CDC">
              <w:rPr>
                <w:b/>
                <w:bCs/>
                <w:sz w:val="22"/>
                <w:szCs w:val="22"/>
              </w:rPr>
              <w:t>90% ABC</w:t>
            </w:r>
          </w:p>
        </w:tc>
      </w:tr>
      <w:tr w:rsidR="00E45F3C" w:rsidRPr="00317A9E" w14:paraId="0FA9B500" w14:textId="77777777" w:rsidTr="0008072A">
        <w:tc>
          <w:tcPr>
            <w:tcW w:w="681" w:type="dxa"/>
            <w:shd w:val="clear" w:color="auto" w:fill="D9D9D9" w:themeFill="background1" w:themeFillShade="D9"/>
            <w:tcMar>
              <w:top w:w="144" w:type="nil"/>
              <w:right w:w="144" w:type="nil"/>
            </w:tcMar>
            <w:vAlign w:val="center"/>
          </w:tcPr>
          <w:p w14:paraId="383A8AD7" w14:textId="77777777" w:rsidR="00E45F3C" w:rsidRPr="00667CDC" w:rsidRDefault="00E45F3C" w:rsidP="00E45F3C">
            <w:pPr>
              <w:widowControl w:val="0"/>
              <w:autoSpaceDE w:val="0"/>
              <w:autoSpaceDN w:val="0"/>
              <w:adjustRightInd w:val="0"/>
              <w:jc w:val="center"/>
              <w:rPr>
                <w:sz w:val="22"/>
                <w:szCs w:val="22"/>
              </w:rPr>
            </w:pPr>
            <w:r w:rsidRPr="00667CDC">
              <w:rPr>
                <w:b/>
                <w:bCs/>
                <w:sz w:val="22"/>
                <w:szCs w:val="22"/>
              </w:rPr>
              <w:t>Year</w:t>
            </w:r>
          </w:p>
        </w:tc>
        <w:tc>
          <w:tcPr>
            <w:tcW w:w="1483" w:type="dxa"/>
            <w:shd w:val="clear" w:color="auto" w:fill="D9D9D9" w:themeFill="background1" w:themeFillShade="D9"/>
            <w:tcMar>
              <w:top w:w="144" w:type="nil"/>
              <w:right w:w="144" w:type="nil"/>
            </w:tcMar>
            <w:vAlign w:val="center"/>
          </w:tcPr>
          <w:p w14:paraId="38ED38D1" w14:textId="77777777" w:rsidR="00E45F3C" w:rsidRDefault="00E45F3C" w:rsidP="00E45F3C">
            <w:pPr>
              <w:widowControl w:val="0"/>
              <w:autoSpaceDE w:val="0"/>
              <w:autoSpaceDN w:val="0"/>
              <w:adjustRightInd w:val="0"/>
              <w:jc w:val="center"/>
              <w:rPr>
                <w:b/>
                <w:bCs/>
                <w:sz w:val="22"/>
                <w:szCs w:val="22"/>
              </w:rPr>
            </w:pPr>
            <w:r w:rsidRPr="00667CDC">
              <w:rPr>
                <w:b/>
                <w:bCs/>
                <w:sz w:val="22"/>
                <w:szCs w:val="22"/>
              </w:rPr>
              <w:t>Total ABC</w:t>
            </w:r>
          </w:p>
          <w:p w14:paraId="7FA9742D" w14:textId="77777777" w:rsidR="00E45F3C" w:rsidRPr="00667CDC" w:rsidRDefault="00E45F3C" w:rsidP="00E45F3C">
            <w:pPr>
              <w:widowControl w:val="0"/>
              <w:autoSpaceDE w:val="0"/>
              <w:autoSpaceDN w:val="0"/>
              <w:adjustRightInd w:val="0"/>
              <w:jc w:val="center"/>
              <w:rPr>
                <w:sz w:val="22"/>
                <w:szCs w:val="22"/>
              </w:rPr>
            </w:pPr>
            <w:r>
              <w:rPr>
                <w:b/>
                <w:bCs/>
                <w:sz w:val="22"/>
                <w:szCs w:val="22"/>
              </w:rPr>
              <w:t>(SA + Gulf)</w:t>
            </w:r>
            <w:r w:rsidRPr="00667CDC">
              <w:rPr>
                <w:b/>
                <w:bCs/>
                <w:sz w:val="22"/>
                <w:szCs w:val="22"/>
              </w:rPr>
              <w:t xml:space="preserve">  num</w:t>
            </w:r>
          </w:p>
        </w:tc>
        <w:tc>
          <w:tcPr>
            <w:tcW w:w="1330" w:type="dxa"/>
            <w:shd w:val="clear" w:color="auto" w:fill="D9D9D9" w:themeFill="background1" w:themeFillShade="D9"/>
            <w:tcMar>
              <w:top w:w="144" w:type="nil"/>
              <w:right w:w="144" w:type="nil"/>
            </w:tcMar>
            <w:vAlign w:val="center"/>
          </w:tcPr>
          <w:p w14:paraId="22DAE2C7" w14:textId="77777777" w:rsidR="00E45F3C" w:rsidRPr="00667CDC" w:rsidRDefault="00E45F3C" w:rsidP="00E45F3C">
            <w:pPr>
              <w:widowControl w:val="0"/>
              <w:autoSpaceDE w:val="0"/>
              <w:autoSpaceDN w:val="0"/>
              <w:adjustRightInd w:val="0"/>
              <w:jc w:val="center"/>
              <w:rPr>
                <w:sz w:val="22"/>
                <w:szCs w:val="22"/>
              </w:rPr>
            </w:pPr>
            <w:r w:rsidRPr="00667CDC">
              <w:rPr>
                <w:b/>
                <w:bCs/>
                <w:sz w:val="22"/>
                <w:szCs w:val="22"/>
              </w:rPr>
              <w:t>SA ABC num</w:t>
            </w:r>
          </w:p>
        </w:tc>
        <w:tc>
          <w:tcPr>
            <w:tcW w:w="1372" w:type="dxa"/>
            <w:shd w:val="clear" w:color="auto" w:fill="D9D9D9" w:themeFill="background1" w:themeFillShade="D9"/>
            <w:tcMar>
              <w:top w:w="144" w:type="nil"/>
              <w:right w:w="144" w:type="nil"/>
            </w:tcMar>
            <w:vAlign w:val="center"/>
          </w:tcPr>
          <w:p w14:paraId="423AACA8" w14:textId="77777777" w:rsidR="00E45F3C" w:rsidRPr="00667CDC" w:rsidRDefault="00E45F3C" w:rsidP="00E45F3C">
            <w:pPr>
              <w:widowControl w:val="0"/>
              <w:autoSpaceDE w:val="0"/>
              <w:autoSpaceDN w:val="0"/>
              <w:adjustRightInd w:val="0"/>
              <w:jc w:val="center"/>
              <w:rPr>
                <w:sz w:val="22"/>
                <w:szCs w:val="22"/>
              </w:rPr>
            </w:pPr>
            <w:r w:rsidRPr="00667CDC">
              <w:rPr>
                <w:b/>
                <w:bCs/>
                <w:sz w:val="22"/>
                <w:szCs w:val="22"/>
              </w:rPr>
              <w:t>Yield ABC lbs</w:t>
            </w:r>
          </w:p>
        </w:tc>
        <w:tc>
          <w:tcPr>
            <w:tcW w:w="1569" w:type="dxa"/>
            <w:shd w:val="clear" w:color="auto" w:fill="D9D9D9" w:themeFill="background1" w:themeFillShade="D9"/>
            <w:tcMar>
              <w:top w:w="144" w:type="nil"/>
              <w:right w:w="144" w:type="nil"/>
            </w:tcMar>
            <w:vAlign w:val="center"/>
          </w:tcPr>
          <w:p w14:paraId="5FFE83FE" w14:textId="77777777" w:rsidR="00E45F3C" w:rsidRPr="00667CDC" w:rsidRDefault="00E45F3C" w:rsidP="00E45F3C">
            <w:pPr>
              <w:widowControl w:val="0"/>
              <w:autoSpaceDE w:val="0"/>
              <w:autoSpaceDN w:val="0"/>
              <w:adjustRightInd w:val="0"/>
              <w:jc w:val="center"/>
              <w:rPr>
                <w:sz w:val="22"/>
                <w:szCs w:val="22"/>
              </w:rPr>
            </w:pPr>
            <w:r w:rsidRPr="00667CDC">
              <w:rPr>
                <w:b/>
                <w:bCs/>
                <w:sz w:val="22"/>
                <w:szCs w:val="22"/>
              </w:rPr>
              <w:t>Comm ACL (lbs)</w:t>
            </w:r>
          </w:p>
        </w:tc>
        <w:tc>
          <w:tcPr>
            <w:tcW w:w="1657" w:type="dxa"/>
            <w:shd w:val="clear" w:color="auto" w:fill="D9D9D9" w:themeFill="background1" w:themeFillShade="D9"/>
            <w:tcMar>
              <w:top w:w="144" w:type="nil"/>
              <w:right w:w="144" w:type="nil"/>
            </w:tcMar>
            <w:vAlign w:val="center"/>
          </w:tcPr>
          <w:p w14:paraId="421A94BE" w14:textId="77777777" w:rsidR="00E45F3C" w:rsidRPr="00667CDC" w:rsidRDefault="00E45F3C" w:rsidP="00E45F3C">
            <w:pPr>
              <w:widowControl w:val="0"/>
              <w:autoSpaceDE w:val="0"/>
              <w:autoSpaceDN w:val="0"/>
              <w:adjustRightInd w:val="0"/>
              <w:jc w:val="center"/>
              <w:rPr>
                <w:sz w:val="22"/>
                <w:szCs w:val="22"/>
              </w:rPr>
            </w:pPr>
            <w:r w:rsidRPr="00667CDC">
              <w:rPr>
                <w:b/>
                <w:bCs/>
                <w:sz w:val="22"/>
                <w:szCs w:val="22"/>
              </w:rPr>
              <w:t>Comm ACL (num)</w:t>
            </w:r>
          </w:p>
        </w:tc>
        <w:tc>
          <w:tcPr>
            <w:tcW w:w="1484" w:type="dxa"/>
            <w:shd w:val="clear" w:color="auto" w:fill="D9D9D9" w:themeFill="background1" w:themeFillShade="D9"/>
            <w:tcMar>
              <w:top w:w="144" w:type="nil"/>
              <w:right w:w="144" w:type="nil"/>
            </w:tcMar>
            <w:vAlign w:val="center"/>
          </w:tcPr>
          <w:p w14:paraId="10C92554" w14:textId="77777777" w:rsidR="00E45F3C" w:rsidRPr="00667CDC" w:rsidRDefault="00E45F3C" w:rsidP="00E45F3C">
            <w:pPr>
              <w:widowControl w:val="0"/>
              <w:autoSpaceDE w:val="0"/>
              <w:autoSpaceDN w:val="0"/>
              <w:adjustRightInd w:val="0"/>
              <w:jc w:val="center"/>
              <w:rPr>
                <w:sz w:val="22"/>
                <w:szCs w:val="22"/>
              </w:rPr>
            </w:pPr>
            <w:r w:rsidRPr="00667CDC">
              <w:rPr>
                <w:b/>
                <w:bCs/>
                <w:sz w:val="22"/>
                <w:szCs w:val="22"/>
              </w:rPr>
              <w:t>Rec ACL (num)</w:t>
            </w:r>
          </w:p>
        </w:tc>
      </w:tr>
      <w:tr w:rsidR="00E45F3C" w:rsidRPr="00317A9E" w14:paraId="73DCF89D" w14:textId="77777777" w:rsidTr="0008072A">
        <w:tc>
          <w:tcPr>
            <w:tcW w:w="681" w:type="dxa"/>
            <w:tcMar>
              <w:top w:w="144" w:type="nil"/>
              <w:right w:w="144" w:type="nil"/>
            </w:tcMar>
            <w:vAlign w:val="bottom"/>
          </w:tcPr>
          <w:p w14:paraId="7C917E4A"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2017</w:t>
            </w:r>
          </w:p>
        </w:tc>
        <w:tc>
          <w:tcPr>
            <w:tcW w:w="1483" w:type="dxa"/>
            <w:tcMar>
              <w:top w:w="144" w:type="nil"/>
              <w:right w:w="144" w:type="nil"/>
            </w:tcMar>
            <w:vAlign w:val="bottom"/>
          </w:tcPr>
          <w:p w14:paraId="74A6CD0C"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157,500</w:t>
            </w:r>
          </w:p>
        </w:tc>
        <w:tc>
          <w:tcPr>
            <w:tcW w:w="1330" w:type="dxa"/>
            <w:tcMar>
              <w:top w:w="144" w:type="nil"/>
              <w:right w:w="144" w:type="nil"/>
            </w:tcMar>
            <w:vAlign w:val="bottom"/>
          </w:tcPr>
          <w:p w14:paraId="3E15426A"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116,235</w:t>
            </w:r>
          </w:p>
        </w:tc>
        <w:tc>
          <w:tcPr>
            <w:tcW w:w="1372" w:type="dxa"/>
            <w:tcMar>
              <w:top w:w="144" w:type="nil"/>
              <w:right w:w="144" w:type="nil"/>
            </w:tcMar>
            <w:vAlign w:val="bottom"/>
          </w:tcPr>
          <w:p w14:paraId="50A1BC7E"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528,869</w:t>
            </w:r>
          </w:p>
        </w:tc>
        <w:tc>
          <w:tcPr>
            <w:tcW w:w="1569" w:type="dxa"/>
            <w:tcMar>
              <w:top w:w="144" w:type="nil"/>
              <w:right w:w="144" w:type="nil"/>
            </w:tcMar>
            <w:vAlign w:val="bottom"/>
          </w:tcPr>
          <w:p w14:paraId="67C8FB66"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90,014</w:t>
            </w:r>
          </w:p>
        </w:tc>
        <w:tc>
          <w:tcPr>
            <w:tcW w:w="1657" w:type="dxa"/>
            <w:tcMar>
              <w:top w:w="144" w:type="nil"/>
              <w:right w:w="144" w:type="nil"/>
            </w:tcMar>
            <w:vAlign w:val="bottom"/>
          </w:tcPr>
          <w:p w14:paraId="246158CA"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11,721</w:t>
            </w:r>
          </w:p>
        </w:tc>
        <w:tc>
          <w:tcPr>
            <w:tcW w:w="1484" w:type="dxa"/>
            <w:tcMar>
              <w:top w:w="144" w:type="nil"/>
              <w:right w:w="144" w:type="nil"/>
            </w:tcMar>
            <w:vAlign w:val="bottom"/>
          </w:tcPr>
          <w:p w14:paraId="459803F7"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104,514</w:t>
            </w:r>
          </w:p>
        </w:tc>
      </w:tr>
      <w:tr w:rsidR="00E45F3C" w:rsidRPr="00317A9E" w14:paraId="5B1C803C" w14:textId="77777777" w:rsidTr="0008072A">
        <w:tc>
          <w:tcPr>
            <w:tcW w:w="681" w:type="dxa"/>
            <w:tcMar>
              <w:top w:w="144" w:type="nil"/>
              <w:right w:w="144" w:type="nil"/>
            </w:tcMar>
            <w:vAlign w:val="bottom"/>
          </w:tcPr>
          <w:p w14:paraId="7F3A8FB9"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2018</w:t>
            </w:r>
          </w:p>
        </w:tc>
        <w:tc>
          <w:tcPr>
            <w:tcW w:w="1483" w:type="dxa"/>
            <w:tcMar>
              <w:top w:w="144" w:type="nil"/>
              <w:right w:w="144" w:type="nil"/>
            </w:tcMar>
            <w:vAlign w:val="bottom"/>
          </w:tcPr>
          <w:p w14:paraId="04A8B39B"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164,500</w:t>
            </w:r>
          </w:p>
        </w:tc>
        <w:tc>
          <w:tcPr>
            <w:tcW w:w="1330" w:type="dxa"/>
            <w:tcMar>
              <w:top w:w="144" w:type="nil"/>
              <w:right w:w="144" w:type="nil"/>
            </w:tcMar>
            <w:vAlign w:val="bottom"/>
          </w:tcPr>
          <w:p w14:paraId="56FEFD7A"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121,401</w:t>
            </w:r>
          </w:p>
        </w:tc>
        <w:tc>
          <w:tcPr>
            <w:tcW w:w="1372" w:type="dxa"/>
            <w:tcMar>
              <w:top w:w="144" w:type="nil"/>
              <w:right w:w="144" w:type="nil"/>
            </w:tcMar>
            <w:vAlign w:val="bottom"/>
          </w:tcPr>
          <w:p w14:paraId="0F4F05B1"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551,161</w:t>
            </w:r>
          </w:p>
        </w:tc>
        <w:tc>
          <w:tcPr>
            <w:tcW w:w="1569" w:type="dxa"/>
            <w:tcMar>
              <w:top w:w="144" w:type="nil"/>
              <w:right w:w="144" w:type="nil"/>
            </w:tcMar>
            <w:vAlign w:val="bottom"/>
          </w:tcPr>
          <w:p w14:paraId="659A1F01"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93,808</w:t>
            </w:r>
          </w:p>
        </w:tc>
        <w:tc>
          <w:tcPr>
            <w:tcW w:w="1657" w:type="dxa"/>
            <w:tcMar>
              <w:top w:w="144" w:type="nil"/>
              <w:right w:w="144" w:type="nil"/>
            </w:tcMar>
            <w:vAlign w:val="bottom"/>
          </w:tcPr>
          <w:p w14:paraId="64A4630B"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12,215</w:t>
            </w:r>
          </w:p>
        </w:tc>
        <w:tc>
          <w:tcPr>
            <w:tcW w:w="1484" w:type="dxa"/>
            <w:tcMar>
              <w:top w:w="144" w:type="nil"/>
              <w:right w:w="144" w:type="nil"/>
            </w:tcMar>
            <w:vAlign w:val="bottom"/>
          </w:tcPr>
          <w:p w14:paraId="11789C9A"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109,186</w:t>
            </w:r>
          </w:p>
        </w:tc>
      </w:tr>
      <w:tr w:rsidR="00E45F3C" w:rsidRPr="00317A9E" w14:paraId="36EBFADA" w14:textId="77777777" w:rsidTr="0008072A">
        <w:tc>
          <w:tcPr>
            <w:tcW w:w="681" w:type="dxa"/>
            <w:tcMar>
              <w:top w:w="144" w:type="nil"/>
              <w:right w:w="144" w:type="nil"/>
            </w:tcMar>
            <w:vAlign w:val="bottom"/>
          </w:tcPr>
          <w:p w14:paraId="6F7051CA"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2019</w:t>
            </w:r>
          </w:p>
        </w:tc>
        <w:tc>
          <w:tcPr>
            <w:tcW w:w="1483" w:type="dxa"/>
            <w:tcMar>
              <w:top w:w="144" w:type="nil"/>
              <w:right w:w="144" w:type="nil"/>
            </w:tcMar>
            <w:vAlign w:val="bottom"/>
          </w:tcPr>
          <w:p w14:paraId="42FEA3F9"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169,300</w:t>
            </w:r>
          </w:p>
        </w:tc>
        <w:tc>
          <w:tcPr>
            <w:tcW w:w="1330" w:type="dxa"/>
            <w:tcMar>
              <w:top w:w="144" w:type="nil"/>
              <w:right w:w="144" w:type="nil"/>
            </w:tcMar>
            <w:vAlign w:val="bottom"/>
          </w:tcPr>
          <w:p w14:paraId="3DE56F62"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124,943</w:t>
            </w:r>
          </w:p>
        </w:tc>
        <w:tc>
          <w:tcPr>
            <w:tcW w:w="1372" w:type="dxa"/>
            <w:tcMar>
              <w:top w:w="144" w:type="nil"/>
              <w:right w:w="144" w:type="nil"/>
            </w:tcMar>
            <w:vAlign w:val="bottom"/>
          </w:tcPr>
          <w:p w14:paraId="25EED9F8"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570,991</w:t>
            </w:r>
          </w:p>
        </w:tc>
        <w:tc>
          <w:tcPr>
            <w:tcW w:w="1569" w:type="dxa"/>
            <w:tcMar>
              <w:top w:w="144" w:type="nil"/>
              <w:right w:w="144" w:type="nil"/>
            </w:tcMar>
            <w:vAlign w:val="bottom"/>
          </w:tcPr>
          <w:p w14:paraId="572CD0FD"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97,183</w:t>
            </w:r>
          </w:p>
        </w:tc>
        <w:tc>
          <w:tcPr>
            <w:tcW w:w="1657" w:type="dxa"/>
            <w:tcMar>
              <w:top w:w="144" w:type="nil"/>
              <w:right w:w="144" w:type="nil"/>
            </w:tcMar>
            <w:vAlign w:val="bottom"/>
          </w:tcPr>
          <w:p w14:paraId="6D5A6834"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12,654</w:t>
            </w:r>
          </w:p>
        </w:tc>
        <w:tc>
          <w:tcPr>
            <w:tcW w:w="1484" w:type="dxa"/>
            <w:tcMar>
              <w:top w:w="144" w:type="nil"/>
              <w:right w:w="144" w:type="nil"/>
            </w:tcMar>
            <w:vAlign w:val="bottom"/>
          </w:tcPr>
          <w:p w14:paraId="405C7B1E"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112,289</w:t>
            </w:r>
          </w:p>
        </w:tc>
      </w:tr>
      <w:tr w:rsidR="00E45F3C" w:rsidRPr="00317A9E" w14:paraId="544DB50F" w14:textId="77777777" w:rsidTr="0008072A">
        <w:tc>
          <w:tcPr>
            <w:tcW w:w="681" w:type="dxa"/>
            <w:tcMar>
              <w:top w:w="144" w:type="nil"/>
              <w:right w:w="144" w:type="nil"/>
            </w:tcMar>
            <w:vAlign w:val="bottom"/>
          </w:tcPr>
          <w:p w14:paraId="16034594"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2020</w:t>
            </w:r>
          </w:p>
        </w:tc>
        <w:tc>
          <w:tcPr>
            <w:tcW w:w="1483" w:type="dxa"/>
            <w:tcMar>
              <w:top w:w="144" w:type="nil"/>
              <w:right w:w="144" w:type="nil"/>
            </w:tcMar>
            <w:vAlign w:val="bottom"/>
          </w:tcPr>
          <w:p w14:paraId="16910414"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172,700</w:t>
            </w:r>
          </w:p>
        </w:tc>
        <w:tc>
          <w:tcPr>
            <w:tcW w:w="1330" w:type="dxa"/>
            <w:tcMar>
              <w:top w:w="144" w:type="nil"/>
              <w:right w:w="144" w:type="nil"/>
            </w:tcMar>
            <w:vAlign w:val="bottom"/>
          </w:tcPr>
          <w:p w14:paraId="5456276A"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127,453</w:t>
            </w:r>
          </w:p>
        </w:tc>
        <w:tc>
          <w:tcPr>
            <w:tcW w:w="1372" w:type="dxa"/>
            <w:tcMar>
              <w:top w:w="144" w:type="nil"/>
              <w:right w:w="144" w:type="nil"/>
            </w:tcMar>
            <w:vAlign w:val="bottom"/>
          </w:tcPr>
          <w:p w14:paraId="0832F789"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588,831</w:t>
            </w:r>
          </w:p>
        </w:tc>
        <w:tc>
          <w:tcPr>
            <w:tcW w:w="1569" w:type="dxa"/>
            <w:tcMar>
              <w:top w:w="144" w:type="nil"/>
              <w:right w:w="144" w:type="nil"/>
            </w:tcMar>
            <w:vAlign w:val="bottom"/>
          </w:tcPr>
          <w:p w14:paraId="264EF712"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100,219</w:t>
            </w:r>
          </w:p>
        </w:tc>
        <w:tc>
          <w:tcPr>
            <w:tcW w:w="1657" w:type="dxa"/>
            <w:tcMar>
              <w:top w:w="144" w:type="nil"/>
              <w:right w:w="144" w:type="nil"/>
            </w:tcMar>
            <w:vAlign w:val="bottom"/>
          </w:tcPr>
          <w:p w14:paraId="3E693F23"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13,049</w:t>
            </w:r>
          </w:p>
        </w:tc>
        <w:tc>
          <w:tcPr>
            <w:tcW w:w="1484" w:type="dxa"/>
            <w:tcMar>
              <w:top w:w="144" w:type="nil"/>
              <w:right w:w="144" w:type="nil"/>
            </w:tcMar>
            <w:vAlign w:val="bottom"/>
          </w:tcPr>
          <w:p w14:paraId="66A7F422" w14:textId="77777777" w:rsidR="00E45F3C" w:rsidRPr="00667CDC" w:rsidRDefault="00E45F3C" w:rsidP="00E45F3C">
            <w:pPr>
              <w:widowControl w:val="0"/>
              <w:autoSpaceDE w:val="0"/>
              <w:autoSpaceDN w:val="0"/>
              <w:adjustRightInd w:val="0"/>
              <w:jc w:val="center"/>
              <w:rPr>
                <w:sz w:val="22"/>
                <w:szCs w:val="22"/>
              </w:rPr>
            </w:pPr>
            <w:r w:rsidRPr="00667CDC">
              <w:rPr>
                <w:sz w:val="22"/>
                <w:szCs w:val="22"/>
              </w:rPr>
              <w:t>114,403</w:t>
            </w:r>
          </w:p>
        </w:tc>
      </w:tr>
    </w:tbl>
    <w:p w14:paraId="4427F231" w14:textId="77777777" w:rsidR="00E45F3C" w:rsidRDefault="00E45F3C" w:rsidP="00E45F3C">
      <w:r>
        <w:rPr>
          <w:rFonts w:ascii="Arial" w:hAnsi="Arial" w:cs="Arial"/>
          <w:sz w:val="20"/>
          <w:szCs w:val="20"/>
        </w:rPr>
        <w:t xml:space="preserve">NOTE: Refer to </w:t>
      </w:r>
      <w:r w:rsidRPr="00667CDC">
        <w:rPr>
          <w:rFonts w:ascii="Arial" w:hAnsi="Arial" w:cs="Arial"/>
          <w:b/>
          <w:sz w:val="20"/>
          <w:szCs w:val="20"/>
        </w:rPr>
        <w:t xml:space="preserve">Appendix </w:t>
      </w:r>
      <w:r>
        <w:rPr>
          <w:rFonts w:ascii="Arial" w:hAnsi="Arial" w:cs="Arial"/>
          <w:b/>
          <w:sz w:val="20"/>
          <w:szCs w:val="20"/>
        </w:rPr>
        <w:t>J</w:t>
      </w:r>
      <w:r>
        <w:rPr>
          <w:rFonts w:ascii="Arial" w:hAnsi="Arial" w:cs="Arial"/>
          <w:sz w:val="20"/>
          <w:szCs w:val="20"/>
        </w:rPr>
        <w:t xml:space="preserve"> for methodology used to calculate the recreational ACL in numbers of fish.</w:t>
      </w:r>
    </w:p>
    <w:p w14:paraId="4B83114D" w14:textId="77777777" w:rsidR="00E45F3C" w:rsidRPr="00C35E06" w:rsidRDefault="00E45F3C" w:rsidP="00E45F3C">
      <w:pPr>
        <w:rPr>
          <w:rFonts w:ascii="Arial" w:hAnsi="Arial" w:cs="Arial"/>
          <w:sz w:val="20"/>
          <w:szCs w:val="20"/>
        </w:rPr>
      </w:pPr>
      <w:r w:rsidRPr="003E048B">
        <w:rPr>
          <w:rFonts w:ascii="Arial" w:hAnsi="Arial" w:cs="Arial"/>
          <w:sz w:val="20"/>
          <w:szCs w:val="20"/>
        </w:rPr>
        <w:t>Source:</w:t>
      </w:r>
      <w:r>
        <w:rPr>
          <w:rFonts w:ascii="Arial" w:hAnsi="Arial" w:cs="Arial"/>
          <w:sz w:val="20"/>
          <w:szCs w:val="20"/>
        </w:rPr>
        <w:t xml:space="preserve"> M. Errigo, SAFMC staff.</w:t>
      </w:r>
    </w:p>
    <w:p w14:paraId="0EE84AFF" w14:textId="77777777" w:rsidR="00E45F3C" w:rsidRDefault="00E45F3C" w:rsidP="00055F28">
      <w:pPr>
        <w:ind w:firstLine="360"/>
      </w:pPr>
    </w:p>
    <w:p w14:paraId="14679EB0" w14:textId="20B78D44" w:rsidR="002E4C7D" w:rsidRPr="006278EB" w:rsidRDefault="002E4C7D" w:rsidP="002E4C7D">
      <w:pPr>
        <w:pStyle w:val="Tabletitle"/>
      </w:pPr>
      <w:bookmarkStart w:id="71" w:name="_Toc340431542"/>
      <w:r>
        <w:rPr>
          <w:b/>
        </w:rPr>
        <w:t>Table 2.3.2</w:t>
      </w:r>
      <w:r w:rsidRPr="00497AFE">
        <w:rPr>
          <w:b/>
        </w:rPr>
        <w:t>.</w:t>
      </w:r>
      <w:r>
        <w:t xml:space="preserve">  Annual and average c</w:t>
      </w:r>
      <w:r w:rsidRPr="006278EB">
        <w:t xml:space="preserve">ommercial </w:t>
      </w:r>
      <w:r>
        <w:t xml:space="preserve">(lbs ww) </w:t>
      </w:r>
      <w:r w:rsidRPr="006278EB">
        <w:t xml:space="preserve">and recreational </w:t>
      </w:r>
      <w:r>
        <w:t xml:space="preserve">(lbs ww and numbers of fish) </w:t>
      </w:r>
      <w:r w:rsidRPr="006278EB">
        <w:t>landin</w:t>
      </w:r>
      <w:r>
        <w:t>gs of mutton snapper</w:t>
      </w:r>
      <w:r w:rsidRPr="006278EB">
        <w:t xml:space="preserve"> for the South Atlantic region, 2010-2014.</w:t>
      </w:r>
      <w:bookmarkEnd w:id="71"/>
    </w:p>
    <w:tbl>
      <w:tblPr>
        <w:tblW w:w="56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1082"/>
        <w:gridCol w:w="1082"/>
        <w:gridCol w:w="1609"/>
        <w:gridCol w:w="1082"/>
      </w:tblGrid>
      <w:tr w:rsidR="002E4C7D" w:rsidRPr="006278EB" w14:paraId="543A4897" w14:textId="77777777" w:rsidTr="00C04CFB">
        <w:trPr>
          <w:trHeight w:val="280"/>
        </w:trPr>
        <w:tc>
          <w:tcPr>
            <w:tcW w:w="754" w:type="dxa"/>
            <w:vMerge w:val="restart"/>
            <w:shd w:val="clear" w:color="auto" w:fill="D9D9D9" w:themeFill="background1" w:themeFillShade="D9"/>
            <w:noWrap/>
            <w:vAlign w:val="center"/>
            <w:hideMark/>
          </w:tcPr>
          <w:p w14:paraId="663F7058" w14:textId="77777777" w:rsidR="002E4C7D" w:rsidRPr="006278EB" w:rsidRDefault="002E4C7D" w:rsidP="00C04CFB">
            <w:pPr>
              <w:jc w:val="center"/>
              <w:rPr>
                <w:b/>
                <w:bCs/>
                <w:color w:val="000000"/>
                <w:sz w:val="22"/>
              </w:rPr>
            </w:pPr>
            <w:r w:rsidRPr="006278EB">
              <w:rPr>
                <w:b/>
                <w:bCs/>
                <w:color w:val="000000"/>
                <w:sz w:val="22"/>
              </w:rPr>
              <w:t>Year</w:t>
            </w:r>
          </w:p>
        </w:tc>
        <w:tc>
          <w:tcPr>
            <w:tcW w:w="2164" w:type="dxa"/>
            <w:gridSpan w:val="2"/>
            <w:shd w:val="clear" w:color="auto" w:fill="D9D9D9" w:themeFill="background1" w:themeFillShade="D9"/>
            <w:noWrap/>
            <w:vAlign w:val="bottom"/>
            <w:hideMark/>
          </w:tcPr>
          <w:p w14:paraId="2AC5D8D4" w14:textId="77777777" w:rsidR="002E4C7D" w:rsidRPr="006278EB" w:rsidRDefault="002E4C7D" w:rsidP="00C04CFB">
            <w:pPr>
              <w:jc w:val="center"/>
              <w:rPr>
                <w:b/>
                <w:bCs/>
                <w:color w:val="000000"/>
                <w:sz w:val="22"/>
              </w:rPr>
            </w:pPr>
            <w:r w:rsidRPr="006278EB">
              <w:rPr>
                <w:b/>
                <w:bCs/>
                <w:color w:val="000000"/>
                <w:sz w:val="22"/>
              </w:rPr>
              <w:t>Recreational</w:t>
            </w:r>
          </w:p>
        </w:tc>
        <w:tc>
          <w:tcPr>
            <w:tcW w:w="1609" w:type="dxa"/>
            <w:shd w:val="clear" w:color="auto" w:fill="D9D9D9" w:themeFill="background1" w:themeFillShade="D9"/>
            <w:noWrap/>
            <w:vAlign w:val="bottom"/>
            <w:hideMark/>
          </w:tcPr>
          <w:p w14:paraId="031C1656" w14:textId="77777777" w:rsidR="002E4C7D" w:rsidRPr="006278EB" w:rsidRDefault="002E4C7D" w:rsidP="00C04CFB">
            <w:pPr>
              <w:jc w:val="center"/>
              <w:rPr>
                <w:b/>
                <w:bCs/>
                <w:color w:val="000000"/>
                <w:sz w:val="22"/>
              </w:rPr>
            </w:pPr>
            <w:r w:rsidRPr="006278EB">
              <w:rPr>
                <w:b/>
                <w:bCs/>
                <w:color w:val="000000"/>
                <w:sz w:val="22"/>
              </w:rPr>
              <w:t>Commercial</w:t>
            </w:r>
          </w:p>
        </w:tc>
        <w:tc>
          <w:tcPr>
            <w:tcW w:w="1082" w:type="dxa"/>
            <w:shd w:val="clear" w:color="auto" w:fill="D9D9D9" w:themeFill="background1" w:themeFillShade="D9"/>
            <w:noWrap/>
            <w:vAlign w:val="bottom"/>
            <w:hideMark/>
          </w:tcPr>
          <w:p w14:paraId="67918222" w14:textId="77777777" w:rsidR="002E4C7D" w:rsidRPr="006278EB" w:rsidRDefault="002E4C7D" w:rsidP="00C04CFB">
            <w:pPr>
              <w:jc w:val="center"/>
              <w:rPr>
                <w:b/>
                <w:bCs/>
                <w:color w:val="000000"/>
                <w:sz w:val="22"/>
              </w:rPr>
            </w:pPr>
            <w:r w:rsidRPr="006278EB">
              <w:rPr>
                <w:b/>
                <w:bCs/>
                <w:color w:val="000000"/>
                <w:sz w:val="22"/>
              </w:rPr>
              <w:t>Total</w:t>
            </w:r>
          </w:p>
        </w:tc>
      </w:tr>
      <w:tr w:rsidR="002E4C7D" w:rsidRPr="006278EB" w14:paraId="3538DFD9" w14:textId="77777777" w:rsidTr="00C04CFB">
        <w:trPr>
          <w:trHeight w:val="280"/>
        </w:trPr>
        <w:tc>
          <w:tcPr>
            <w:tcW w:w="754" w:type="dxa"/>
            <w:vMerge/>
            <w:vAlign w:val="center"/>
            <w:hideMark/>
          </w:tcPr>
          <w:p w14:paraId="5AFFAB76" w14:textId="77777777" w:rsidR="002E4C7D" w:rsidRPr="006278EB" w:rsidRDefault="002E4C7D" w:rsidP="00C04CFB">
            <w:pPr>
              <w:rPr>
                <w:b/>
                <w:bCs/>
                <w:color w:val="000000"/>
                <w:sz w:val="22"/>
              </w:rPr>
            </w:pPr>
          </w:p>
        </w:tc>
        <w:tc>
          <w:tcPr>
            <w:tcW w:w="1082" w:type="dxa"/>
            <w:shd w:val="clear" w:color="auto" w:fill="D9D9D9" w:themeFill="background1" w:themeFillShade="D9"/>
            <w:noWrap/>
            <w:vAlign w:val="bottom"/>
            <w:hideMark/>
          </w:tcPr>
          <w:p w14:paraId="1D61A935" w14:textId="77777777" w:rsidR="002E4C7D" w:rsidRPr="006278EB" w:rsidRDefault="002E4C7D" w:rsidP="00C04CFB">
            <w:pPr>
              <w:jc w:val="center"/>
              <w:rPr>
                <w:b/>
                <w:bCs/>
                <w:color w:val="000000"/>
                <w:sz w:val="22"/>
              </w:rPr>
            </w:pPr>
            <w:r w:rsidRPr="006278EB">
              <w:rPr>
                <w:b/>
                <w:bCs/>
                <w:color w:val="000000"/>
                <w:sz w:val="22"/>
              </w:rPr>
              <w:t>number</w:t>
            </w:r>
          </w:p>
        </w:tc>
        <w:tc>
          <w:tcPr>
            <w:tcW w:w="1082" w:type="dxa"/>
            <w:shd w:val="clear" w:color="auto" w:fill="D9D9D9" w:themeFill="background1" w:themeFillShade="D9"/>
            <w:noWrap/>
            <w:vAlign w:val="bottom"/>
            <w:hideMark/>
          </w:tcPr>
          <w:p w14:paraId="46A519D7" w14:textId="77777777" w:rsidR="002E4C7D" w:rsidRPr="006278EB" w:rsidRDefault="002E4C7D" w:rsidP="00C04CFB">
            <w:pPr>
              <w:jc w:val="center"/>
              <w:rPr>
                <w:b/>
                <w:bCs/>
                <w:color w:val="000000"/>
                <w:sz w:val="22"/>
              </w:rPr>
            </w:pPr>
            <w:r w:rsidRPr="006278EB">
              <w:rPr>
                <w:b/>
                <w:bCs/>
                <w:color w:val="000000"/>
                <w:sz w:val="22"/>
              </w:rPr>
              <w:t>lbs ww</w:t>
            </w:r>
          </w:p>
        </w:tc>
        <w:tc>
          <w:tcPr>
            <w:tcW w:w="1609" w:type="dxa"/>
            <w:shd w:val="clear" w:color="auto" w:fill="D9D9D9" w:themeFill="background1" w:themeFillShade="D9"/>
            <w:noWrap/>
            <w:vAlign w:val="bottom"/>
            <w:hideMark/>
          </w:tcPr>
          <w:p w14:paraId="46DD20CD" w14:textId="77777777" w:rsidR="002E4C7D" w:rsidRPr="006278EB" w:rsidRDefault="002E4C7D" w:rsidP="00C04CFB">
            <w:pPr>
              <w:jc w:val="center"/>
              <w:rPr>
                <w:b/>
                <w:bCs/>
                <w:color w:val="000000"/>
                <w:sz w:val="22"/>
              </w:rPr>
            </w:pPr>
            <w:r w:rsidRPr="006278EB">
              <w:rPr>
                <w:b/>
                <w:bCs/>
                <w:color w:val="000000"/>
                <w:sz w:val="22"/>
              </w:rPr>
              <w:t>lbs ww</w:t>
            </w:r>
          </w:p>
        </w:tc>
        <w:tc>
          <w:tcPr>
            <w:tcW w:w="1082" w:type="dxa"/>
            <w:shd w:val="clear" w:color="auto" w:fill="D9D9D9" w:themeFill="background1" w:themeFillShade="D9"/>
            <w:noWrap/>
            <w:vAlign w:val="bottom"/>
            <w:hideMark/>
          </w:tcPr>
          <w:p w14:paraId="2C402E31" w14:textId="77777777" w:rsidR="002E4C7D" w:rsidRPr="006278EB" w:rsidRDefault="002E4C7D" w:rsidP="00C04CFB">
            <w:pPr>
              <w:jc w:val="center"/>
              <w:rPr>
                <w:b/>
                <w:bCs/>
                <w:color w:val="000000"/>
                <w:sz w:val="22"/>
              </w:rPr>
            </w:pPr>
            <w:r w:rsidRPr="006278EB">
              <w:rPr>
                <w:b/>
                <w:bCs/>
                <w:color w:val="000000"/>
                <w:sz w:val="22"/>
              </w:rPr>
              <w:t>lbs ww</w:t>
            </w:r>
          </w:p>
        </w:tc>
      </w:tr>
      <w:tr w:rsidR="002E4C7D" w:rsidRPr="006278EB" w14:paraId="225CD75A" w14:textId="77777777" w:rsidTr="00C04CFB">
        <w:trPr>
          <w:trHeight w:val="280"/>
        </w:trPr>
        <w:tc>
          <w:tcPr>
            <w:tcW w:w="754" w:type="dxa"/>
            <w:shd w:val="clear" w:color="auto" w:fill="auto"/>
            <w:noWrap/>
            <w:vAlign w:val="bottom"/>
            <w:hideMark/>
          </w:tcPr>
          <w:p w14:paraId="61F05DB3" w14:textId="77777777" w:rsidR="002E4C7D" w:rsidRPr="006278EB" w:rsidRDefault="002E4C7D" w:rsidP="00C04CFB">
            <w:pPr>
              <w:jc w:val="center"/>
              <w:rPr>
                <w:color w:val="000000"/>
                <w:sz w:val="22"/>
              </w:rPr>
            </w:pPr>
            <w:r w:rsidRPr="006278EB">
              <w:rPr>
                <w:color w:val="000000"/>
                <w:sz w:val="22"/>
              </w:rPr>
              <w:t>2010</w:t>
            </w:r>
          </w:p>
        </w:tc>
        <w:tc>
          <w:tcPr>
            <w:tcW w:w="1082" w:type="dxa"/>
            <w:shd w:val="clear" w:color="auto" w:fill="auto"/>
            <w:noWrap/>
            <w:vAlign w:val="bottom"/>
            <w:hideMark/>
          </w:tcPr>
          <w:p w14:paraId="5D477C02" w14:textId="77777777" w:rsidR="002E4C7D" w:rsidRPr="006278EB" w:rsidRDefault="002E4C7D" w:rsidP="00C04CFB">
            <w:pPr>
              <w:jc w:val="center"/>
              <w:rPr>
                <w:color w:val="000000"/>
                <w:sz w:val="22"/>
              </w:rPr>
            </w:pPr>
            <w:r w:rsidRPr="006278EB">
              <w:rPr>
                <w:color w:val="000000"/>
                <w:sz w:val="22"/>
              </w:rPr>
              <w:t>130,249</w:t>
            </w:r>
          </w:p>
        </w:tc>
        <w:tc>
          <w:tcPr>
            <w:tcW w:w="1082" w:type="dxa"/>
            <w:shd w:val="clear" w:color="auto" w:fill="auto"/>
            <w:noWrap/>
            <w:vAlign w:val="bottom"/>
            <w:hideMark/>
          </w:tcPr>
          <w:p w14:paraId="1A6D4CB8" w14:textId="77777777" w:rsidR="002E4C7D" w:rsidRPr="006278EB" w:rsidRDefault="002E4C7D" w:rsidP="00C04CFB">
            <w:pPr>
              <w:jc w:val="center"/>
              <w:rPr>
                <w:color w:val="000000"/>
                <w:sz w:val="22"/>
              </w:rPr>
            </w:pPr>
            <w:r w:rsidRPr="006278EB">
              <w:rPr>
                <w:color w:val="000000"/>
                <w:sz w:val="22"/>
              </w:rPr>
              <w:t>477,647</w:t>
            </w:r>
          </w:p>
        </w:tc>
        <w:tc>
          <w:tcPr>
            <w:tcW w:w="1609" w:type="dxa"/>
            <w:shd w:val="clear" w:color="auto" w:fill="auto"/>
            <w:noWrap/>
            <w:vAlign w:val="bottom"/>
            <w:hideMark/>
          </w:tcPr>
          <w:p w14:paraId="6E24E936" w14:textId="77777777" w:rsidR="002E4C7D" w:rsidRPr="006278EB" w:rsidRDefault="002E4C7D" w:rsidP="00C04CFB">
            <w:pPr>
              <w:jc w:val="center"/>
              <w:rPr>
                <w:color w:val="000000"/>
                <w:sz w:val="22"/>
              </w:rPr>
            </w:pPr>
            <w:r w:rsidRPr="006278EB">
              <w:rPr>
                <w:color w:val="000000"/>
                <w:sz w:val="22"/>
              </w:rPr>
              <w:t>74,833</w:t>
            </w:r>
          </w:p>
        </w:tc>
        <w:tc>
          <w:tcPr>
            <w:tcW w:w="1082" w:type="dxa"/>
            <w:shd w:val="clear" w:color="auto" w:fill="auto"/>
            <w:noWrap/>
            <w:vAlign w:val="bottom"/>
            <w:hideMark/>
          </w:tcPr>
          <w:p w14:paraId="1913A991" w14:textId="77777777" w:rsidR="002E4C7D" w:rsidRPr="006278EB" w:rsidRDefault="002E4C7D" w:rsidP="00C04CFB">
            <w:pPr>
              <w:jc w:val="center"/>
              <w:rPr>
                <w:color w:val="000000"/>
                <w:sz w:val="22"/>
              </w:rPr>
            </w:pPr>
            <w:r w:rsidRPr="006278EB">
              <w:rPr>
                <w:color w:val="000000"/>
                <w:sz w:val="22"/>
              </w:rPr>
              <w:t>552,480</w:t>
            </w:r>
          </w:p>
        </w:tc>
      </w:tr>
      <w:tr w:rsidR="002E4C7D" w:rsidRPr="006278EB" w14:paraId="26405FB5" w14:textId="77777777" w:rsidTr="00C04CFB">
        <w:trPr>
          <w:trHeight w:val="280"/>
        </w:trPr>
        <w:tc>
          <w:tcPr>
            <w:tcW w:w="754" w:type="dxa"/>
            <w:shd w:val="clear" w:color="auto" w:fill="auto"/>
            <w:noWrap/>
            <w:vAlign w:val="bottom"/>
            <w:hideMark/>
          </w:tcPr>
          <w:p w14:paraId="5EBE4999" w14:textId="77777777" w:rsidR="002E4C7D" w:rsidRPr="006278EB" w:rsidRDefault="002E4C7D" w:rsidP="00C04CFB">
            <w:pPr>
              <w:jc w:val="center"/>
              <w:rPr>
                <w:color w:val="000000"/>
                <w:sz w:val="22"/>
              </w:rPr>
            </w:pPr>
            <w:r w:rsidRPr="006278EB">
              <w:rPr>
                <w:color w:val="000000"/>
                <w:sz w:val="22"/>
              </w:rPr>
              <w:t>2011</w:t>
            </w:r>
          </w:p>
        </w:tc>
        <w:tc>
          <w:tcPr>
            <w:tcW w:w="1082" w:type="dxa"/>
            <w:shd w:val="clear" w:color="auto" w:fill="auto"/>
            <w:noWrap/>
            <w:vAlign w:val="bottom"/>
            <w:hideMark/>
          </w:tcPr>
          <w:p w14:paraId="451A4B5F" w14:textId="77777777" w:rsidR="002E4C7D" w:rsidRPr="006278EB" w:rsidRDefault="002E4C7D" w:rsidP="00C04CFB">
            <w:pPr>
              <w:jc w:val="center"/>
              <w:rPr>
                <w:color w:val="000000"/>
                <w:sz w:val="22"/>
              </w:rPr>
            </w:pPr>
            <w:r w:rsidRPr="006278EB">
              <w:rPr>
                <w:color w:val="000000"/>
                <w:sz w:val="22"/>
              </w:rPr>
              <w:t>60,151</w:t>
            </w:r>
          </w:p>
        </w:tc>
        <w:tc>
          <w:tcPr>
            <w:tcW w:w="1082" w:type="dxa"/>
            <w:shd w:val="clear" w:color="auto" w:fill="auto"/>
            <w:noWrap/>
            <w:vAlign w:val="bottom"/>
            <w:hideMark/>
          </w:tcPr>
          <w:p w14:paraId="1CCA5EB8" w14:textId="77777777" w:rsidR="002E4C7D" w:rsidRPr="006278EB" w:rsidRDefault="002E4C7D" w:rsidP="00C04CFB">
            <w:pPr>
              <w:jc w:val="center"/>
              <w:rPr>
                <w:color w:val="000000"/>
                <w:sz w:val="22"/>
              </w:rPr>
            </w:pPr>
            <w:r w:rsidRPr="006278EB">
              <w:rPr>
                <w:color w:val="000000"/>
                <w:sz w:val="22"/>
              </w:rPr>
              <w:t>251,446</w:t>
            </w:r>
          </w:p>
        </w:tc>
        <w:tc>
          <w:tcPr>
            <w:tcW w:w="1609" w:type="dxa"/>
            <w:shd w:val="clear" w:color="auto" w:fill="auto"/>
            <w:noWrap/>
            <w:vAlign w:val="bottom"/>
            <w:hideMark/>
          </w:tcPr>
          <w:p w14:paraId="1AA07F34" w14:textId="77777777" w:rsidR="002E4C7D" w:rsidRPr="006278EB" w:rsidRDefault="002E4C7D" w:rsidP="00C04CFB">
            <w:pPr>
              <w:jc w:val="center"/>
              <w:rPr>
                <w:color w:val="000000"/>
                <w:sz w:val="22"/>
              </w:rPr>
            </w:pPr>
            <w:r w:rsidRPr="006278EB">
              <w:rPr>
                <w:color w:val="000000"/>
                <w:sz w:val="22"/>
              </w:rPr>
              <w:t>66,160</w:t>
            </w:r>
          </w:p>
        </w:tc>
        <w:tc>
          <w:tcPr>
            <w:tcW w:w="1082" w:type="dxa"/>
            <w:shd w:val="clear" w:color="auto" w:fill="auto"/>
            <w:noWrap/>
            <w:vAlign w:val="bottom"/>
            <w:hideMark/>
          </w:tcPr>
          <w:p w14:paraId="1A3CB6E0" w14:textId="77777777" w:rsidR="002E4C7D" w:rsidRPr="006278EB" w:rsidRDefault="002E4C7D" w:rsidP="00C04CFB">
            <w:pPr>
              <w:jc w:val="center"/>
              <w:rPr>
                <w:color w:val="000000"/>
                <w:sz w:val="22"/>
              </w:rPr>
            </w:pPr>
            <w:r w:rsidRPr="006278EB">
              <w:rPr>
                <w:color w:val="000000"/>
                <w:sz w:val="22"/>
              </w:rPr>
              <w:t>317,606</w:t>
            </w:r>
          </w:p>
        </w:tc>
      </w:tr>
      <w:tr w:rsidR="002E4C7D" w:rsidRPr="006278EB" w14:paraId="1A48490D" w14:textId="77777777" w:rsidTr="00C04CFB">
        <w:trPr>
          <w:trHeight w:val="280"/>
        </w:trPr>
        <w:tc>
          <w:tcPr>
            <w:tcW w:w="754" w:type="dxa"/>
            <w:shd w:val="clear" w:color="auto" w:fill="auto"/>
            <w:noWrap/>
            <w:vAlign w:val="bottom"/>
            <w:hideMark/>
          </w:tcPr>
          <w:p w14:paraId="0EA45C4D" w14:textId="77777777" w:rsidR="002E4C7D" w:rsidRPr="006278EB" w:rsidRDefault="002E4C7D" w:rsidP="00C04CFB">
            <w:pPr>
              <w:jc w:val="center"/>
              <w:rPr>
                <w:color w:val="000000"/>
                <w:sz w:val="22"/>
              </w:rPr>
            </w:pPr>
            <w:r w:rsidRPr="006278EB">
              <w:rPr>
                <w:color w:val="000000"/>
                <w:sz w:val="22"/>
              </w:rPr>
              <w:t>2012</w:t>
            </w:r>
          </w:p>
        </w:tc>
        <w:tc>
          <w:tcPr>
            <w:tcW w:w="1082" w:type="dxa"/>
            <w:shd w:val="clear" w:color="auto" w:fill="auto"/>
            <w:noWrap/>
            <w:vAlign w:val="bottom"/>
            <w:hideMark/>
          </w:tcPr>
          <w:p w14:paraId="5275BCA1" w14:textId="77777777" w:rsidR="002E4C7D" w:rsidRPr="006278EB" w:rsidRDefault="002E4C7D" w:rsidP="00C04CFB">
            <w:pPr>
              <w:jc w:val="center"/>
              <w:rPr>
                <w:color w:val="000000"/>
                <w:sz w:val="22"/>
              </w:rPr>
            </w:pPr>
            <w:r w:rsidRPr="006278EB">
              <w:rPr>
                <w:color w:val="000000"/>
                <w:sz w:val="22"/>
              </w:rPr>
              <w:t>86,108</w:t>
            </w:r>
          </w:p>
        </w:tc>
        <w:tc>
          <w:tcPr>
            <w:tcW w:w="1082" w:type="dxa"/>
            <w:shd w:val="clear" w:color="auto" w:fill="auto"/>
            <w:noWrap/>
            <w:vAlign w:val="bottom"/>
            <w:hideMark/>
          </w:tcPr>
          <w:p w14:paraId="09D25158" w14:textId="77777777" w:rsidR="002E4C7D" w:rsidRPr="006278EB" w:rsidRDefault="002E4C7D" w:rsidP="00C04CFB">
            <w:pPr>
              <w:jc w:val="center"/>
              <w:rPr>
                <w:color w:val="000000"/>
                <w:sz w:val="22"/>
              </w:rPr>
            </w:pPr>
            <w:r w:rsidRPr="006278EB">
              <w:rPr>
                <w:color w:val="000000"/>
                <w:sz w:val="22"/>
              </w:rPr>
              <w:t>505,583</w:t>
            </w:r>
          </w:p>
        </w:tc>
        <w:tc>
          <w:tcPr>
            <w:tcW w:w="1609" w:type="dxa"/>
            <w:shd w:val="clear" w:color="auto" w:fill="auto"/>
            <w:noWrap/>
            <w:vAlign w:val="bottom"/>
            <w:hideMark/>
          </w:tcPr>
          <w:p w14:paraId="6487632D" w14:textId="77777777" w:rsidR="002E4C7D" w:rsidRPr="006278EB" w:rsidRDefault="002E4C7D" w:rsidP="00C04CFB">
            <w:pPr>
              <w:jc w:val="center"/>
              <w:rPr>
                <w:color w:val="000000"/>
                <w:sz w:val="22"/>
              </w:rPr>
            </w:pPr>
            <w:r w:rsidRPr="006278EB">
              <w:rPr>
                <w:color w:val="000000"/>
                <w:sz w:val="22"/>
              </w:rPr>
              <w:t>77,231</w:t>
            </w:r>
          </w:p>
        </w:tc>
        <w:tc>
          <w:tcPr>
            <w:tcW w:w="1082" w:type="dxa"/>
            <w:shd w:val="clear" w:color="auto" w:fill="auto"/>
            <w:noWrap/>
            <w:vAlign w:val="bottom"/>
            <w:hideMark/>
          </w:tcPr>
          <w:p w14:paraId="38F496C1" w14:textId="77777777" w:rsidR="002E4C7D" w:rsidRPr="006278EB" w:rsidRDefault="002E4C7D" w:rsidP="00C04CFB">
            <w:pPr>
              <w:jc w:val="center"/>
              <w:rPr>
                <w:color w:val="000000"/>
                <w:sz w:val="22"/>
              </w:rPr>
            </w:pPr>
            <w:r w:rsidRPr="006278EB">
              <w:rPr>
                <w:color w:val="000000"/>
                <w:sz w:val="22"/>
              </w:rPr>
              <w:t>582,814</w:t>
            </w:r>
          </w:p>
        </w:tc>
      </w:tr>
      <w:tr w:rsidR="002E4C7D" w:rsidRPr="006278EB" w14:paraId="635EF593" w14:textId="77777777" w:rsidTr="00C04CFB">
        <w:trPr>
          <w:trHeight w:val="280"/>
        </w:trPr>
        <w:tc>
          <w:tcPr>
            <w:tcW w:w="754" w:type="dxa"/>
            <w:shd w:val="clear" w:color="auto" w:fill="auto"/>
            <w:noWrap/>
            <w:vAlign w:val="bottom"/>
            <w:hideMark/>
          </w:tcPr>
          <w:p w14:paraId="62273084" w14:textId="77777777" w:rsidR="002E4C7D" w:rsidRPr="006278EB" w:rsidRDefault="002E4C7D" w:rsidP="00C04CFB">
            <w:pPr>
              <w:jc w:val="center"/>
              <w:rPr>
                <w:color w:val="000000"/>
                <w:sz w:val="22"/>
              </w:rPr>
            </w:pPr>
            <w:r w:rsidRPr="006278EB">
              <w:rPr>
                <w:color w:val="000000"/>
                <w:sz w:val="22"/>
              </w:rPr>
              <w:t>2013</w:t>
            </w:r>
          </w:p>
        </w:tc>
        <w:tc>
          <w:tcPr>
            <w:tcW w:w="1082" w:type="dxa"/>
            <w:shd w:val="clear" w:color="auto" w:fill="auto"/>
            <w:noWrap/>
            <w:vAlign w:val="bottom"/>
            <w:hideMark/>
          </w:tcPr>
          <w:p w14:paraId="147D2C05" w14:textId="77777777" w:rsidR="002E4C7D" w:rsidRPr="006278EB" w:rsidRDefault="002E4C7D" w:rsidP="00C04CFB">
            <w:pPr>
              <w:jc w:val="center"/>
              <w:rPr>
                <w:color w:val="000000"/>
                <w:sz w:val="22"/>
              </w:rPr>
            </w:pPr>
            <w:r w:rsidRPr="006278EB">
              <w:rPr>
                <w:color w:val="000000"/>
                <w:sz w:val="22"/>
              </w:rPr>
              <w:t>126,241</w:t>
            </w:r>
          </w:p>
        </w:tc>
        <w:tc>
          <w:tcPr>
            <w:tcW w:w="1082" w:type="dxa"/>
            <w:shd w:val="clear" w:color="auto" w:fill="auto"/>
            <w:noWrap/>
            <w:vAlign w:val="bottom"/>
            <w:hideMark/>
          </w:tcPr>
          <w:p w14:paraId="210E7D28" w14:textId="77777777" w:rsidR="002E4C7D" w:rsidRPr="006278EB" w:rsidRDefault="002E4C7D" w:rsidP="00C04CFB">
            <w:pPr>
              <w:jc w:val="center"/>
              <w:rPr>
                <w:color w:val="000000"/>
                <w:sz w:val="22"/>
              </w:rPr>
            </w:pPr>
            <w:r w:rsidRPr="006278EB">
              <w:rPr>
                <w:color w:val="000000"/>
                <w:sz w:val="22"/>
              </w:rPr>
              <w:t>660,449</w:t>
            </w:r>
          </w:p>
        </w:tc>
        <w:tc>
          <w:tcPr>
            <w:tcW w:w="1609" w:type="dxa"/>
            <w:shd w:val="clear" w:color="auto" w:fill="auto"/>
            <w:noWrap/>
            <w:vAlign w:val="bottom"/>
            <w:hideMark/>
          </w:tcPr>
          <w:p w14:paraId="43E429FE" w14:textId="77777777" w:rsidR="002E4C7D" w:rsidRPr="006278EB" w:rsidRDefault="002E4C7D" w:rsidP="00C04CFB">
            <w:pPr>
              <w:jc w:val="center"/>
              <w:rPr>
                <w:color w:val="000000"/>
                <w:sz w:val="22"/>
              </w:rPr>
            </w:pPr>
            <w:r w:rsidRPr="006278EB">
              <w:rPr>
                <w:color w:val="000000"/>
                <w:sz w:val="22"/>
              </w:rPr>
              <w:t>75,010</w:t>
            </w:r>
          </w:p>
        </w:tc>
        <w:tc>
          <w:tcPr>
            <w:tcW w:w="1082" w:type="dxa"/>
            <w:shd w:val="clear" w:color="auto" w:fill="auto"/>
            <w:noWrap/>
            <w:vAlign w:val="bottom"/>
            <w:hideMark/>
          </w:tcPr>
          <w:p w14:paraId="232BD389" w14:textId="77777777" w:rsidR="002E4C7D" w:rsidRPr="006278EB" w:rsidRDefault="002E4C7D" w:rsidP="00C04CFB">
            <w:pPr>
              <w:jc w:val="center"/>
              <w:rPr>
                <w:color w:val="000000"/>
                <w:sz w:val="22"/>
              </w:rPr>
            </w:pPr>
            <w:r w:rsidRPr="006278EB">
              <w:rPr>
                <w:color w:val="000000"/>
                <w:sz w:val="22"/>
              </w:rPr>
              <w:t>735,459</w:t>
            </w:r>
          </w:p>
        </w:tc>
      </w:tr>
      <w:tr w:rsidR="002E4C7D" w:rsidRPr="006278EB" w14:paraId="418EF840" w14:textId="77777777" w:rsidTr="00C04CFB">
        <w:trPr>
          <w:trHeight w:val="280"/>
        </w:trPr>
        <w:tc>
          <w:tcPr>
            <w:tcW w:w="754" w:type="dxa"/>
            <w:shd w:val="clear" w:color="auto" w:fill="auto"/>
            <w:noWrap/>
            <w:vAlign w:val="bottom"/>
            <w:hideMark/>
          </w:tcPr>
          <w:p w14:paraId="4CFFFB31" w14:textId="77777777" w:rsidR="002E4C7D" w:rsidRPr="006278EB" w:rsidRDefault="002E4C7D" w:rsidP="00C04CFB">
            <w:pPr>
              <w:jc w:val="center"/>
              <w:rPr>
                <w:color w:val="000000"/>
                <w:sz w:val="22"/>
              </w:rPr>
            </w:pPr>
            <w:r w:rsidRPr="006278EB">
              <w:rPr>
                <w:color w:val="000000"/>
                <w:sz w:val="22"/>
              </w:rPr>
              <w:t>2014</w:t>
            </w:r>
          </w:p>
        </w:tc>
        <w:tc>
          <w:tcPr>
            <w:tcW w:w="1082" w:type="dxa"/>
            <w:shd w:val="clear" w:color="auto" w:fill="auto"/>
            <w:noWrap/>
            <w:vAlign w:val="bottom"/>
            <w:hideMark/>
          </w:tcPr>
          <w:p w14:paraId="13546B22" w14:textId="77777777" w:rsidR="002E4C7D" w:rsidRPr="006278EB" w:rsidRDefault="002E4C7D" w:rsidP="00C04CFB">
            <w:pPr>
              <w:jc w:val="center"/>
              <w:rPr>
                <w:color w:val="000000"/>
                <w:sz w:val="22"/>
              </w:rPr>
            </w:pPr>
            <w:r w:rsidRPr="006278EB">
              <w:rPr>
                <w:color w:val="000000"/>
                <w:sz w:val="22"/>
              </w:rPr>
              <w:t>157,501</w:t>
            </w:r>
          </w:p>
        </w:tc>
        <w:tc>
          <w:tcPr>
            <w:tcW w:w="1082" w:type="dxa"/>
            <w:shd w:val="clear" w:color="auto" w:fill="auto"/>
            <w:noWrap/>
            <w:vAlign w:val="bottom"/>
            <w:hideMark/>
          </w:tcPr>
          <w:p w14:paraId="289EB325" w14:textId="77777777" w:rsidR="002E4C7D" w:rsidRPr="006278EB" w:rsidRDefault="002E4C7D" w:rsidP="00C04CFB">
            <w:pPr>
              <w:jc w:val="center"/>
              <w:rPr>
                <w:color w:val="000000"/>
                <w:sz w:val="22"/>
              </w:rPr>
            </w:pPr>
            <w:r w:rsidRPr="006278EB">
              <w:rPr>
                <w:color w:val="000000"/>
                <w:sz w:val="22"/>
              </w:rPr>
              <w:t>538,122</w:t>
            </w:r>
          </w:p>
        </w:tc>
        <w:tc>
          <w:tcPr>
            <w:tcW w:w="1609" w:type="dxa"/>
            <w:shd w:val="clear" w:color="auto" w:fill="auto"/>
            <w:noWrap/>
            <w:vAlign w:val="bottom"/>
            <w:hideMark/>
          </w:tcPr>
          <w:p w14:paraId="6B4B6A54" w14:textId="77777777" w:rsidR="002E4C7D" w:rsidRPr="006278EB" w:rsidRDefault="002E4C7D" w:rsidP="00C04CFB">
            <w:pPr>
              <w:jc w:val="center"/>
              <w:rPr>
                <w:color w:val="000000"/>
                <w:sz w:val="22"/>
              </w:rPr>
            </w:pPr>
            <w:r w:rsidRPr="006278EB">
              <w:rPr>
                <w:color w:val="000000"/>
                <w:sz w:val="22"/>
              </w:rPr>
              <w:t>91,173</w:t>
            </w:r>
          </w:p>
        </w:tc>
        <w:tc>
          <w:tcPr>
            <w:tcW w:w="1082" w:type="dxa"/>
            <w:shd w:val="clear" w:color="auto" w:fill="auto"/>
            <w:noWrap/>
            <w:vAlign w:val="bottom"/>
            <w:hideMark/>
          </w:tcPr>
          <w:p w14:paraId="473B1B31" w14:textId="77777777" w:rsidR="002E4C7D" w:rsidRPr="006278EB" w:rsidRDefault="002E4C7D" w:rsidP="00C04CFB">
            <w:pPr>
              <w:jc w:val="center"/>
              <w:rPr>
                <w:color w:val="000000"/>
                <w:sz w:val="22"/>
              </w:rPr>
            </w:pPr>
            <w:r w:rsidRPr="006278EB">
              <w:rPr>
                <w:color w:val="000000"/>
                <w:sz w:val="22"/>
              </w:rPr>
              <w:t>629,295</w:t>
            </w:r>
          </w:p>
        </w:tc>
      </w:tr>
      <w:tr w:rsidR="002E4C7D" w:rsidRPr="00CA3503" w14:paraId="6F6F46F6" w14:textId="77777777" w:rsidTr="00C04CFB">
        <w:trPr>
          <w:trHeight w:val="280"/>
        </w:trPr>
        <w:tc>
          <w:tcPr>
            <w:tcW w:w="754" w:type="dxa"/>
            <w:shd w:val="clear" w:color="auto" w:fill="auto"/>
            <w:noWrap/>
            <w:vAlign w:val="bottom"/>
          </w:tcPr>
          <w:p w14:paraId="24D673BD" w14:textId="77777777" w:rsidR="002E4C7D" w:rsidRPr="00CA3503" w:rsidRDefault="002E4C7D" w:rsidP="00C04CFB">
            <w:pPr>
              <w:jc w:val="center"/>
              <w:rPr>
                <w:b/>
                <w:color w:val="000000"/>
                <w:sz w:val="22"/>
              </w:rPr>
            </w:pPr>
            <w:r w:rsidRPr="00CA3503">
              <w:rPr>
                <w:b/>
                <w:color w:val="000000"/>
                <w:sz w:val="22"/>
              </w:rPr>
              <w:t>Mean</w:t>
            </w:r>
          </w:p>
        </w:tc>
        <w:tc>
          <w:tcPr>
            <w:tcW w:w="1082" w:type="dxa"/>
            <w:shd w:val="clear" w:color="auto" w:fill="auto"/>
            <w:noWrap/>
            <w:vAlign w:val="bottom"/>
          </w:tcPr>
          <w:p w14:paraId="5222CDE2" w14:textId="77777777" w:rsidR="002E4C7D" w:rsidRPr="00CA3503" w:rsidRDefault="002E4C7D" w:rsidP="00C04CFB">
            <w:pPr>
              <w:jc w:val="center"/>
              <w:rPr>
                <w:b/>
                <w:color w:val="000000"/>
                <w:sz w:val="22"/>
              </w:rPr>
            </w:pPr>
            <w:r w:rsidRPr="00CA3503">
              <w:rPr>
                <w:b/>
                <w:color w:val="000000"/>
                <w:sz w:val="22"/>
              </w:rPr>
              <w:t>112,050</w:t>
            </w:r>
          </w:p>
        </w:tc>
        <w:tc>
          <w:tcPr>
            <w:tcW w:w="1082" w:type="dxa"/>
            <w:shd w:val="clear" w:color="auto" w:fill="auto"/>
            <w:noWrap/>
            <w:vAlign w:val="bottom"/>
          </w:tcPr>
          <w:p w14:paraId="1C414819" w14:textId="77777777" w:rsidR="002E4C7D" w:rsidRPr="00CA3503" w:rsidRDefault="002E4C7D" w:rsidP="00C04CFB">
            <w:pPr>
              <w:jc w:val="center"/>
              <w:rPr>
                <w:b/>
                <w:color w:val="000000"/>
                <w:sz w:val="22"/>
              </w:rPr>
            </w:pPr>
            <w:r w:rsidRPr="00CA3503">
              <w:rPr>
                <w:b/>
                <w:color w:val="000000"/>
                <w:sz w:val="22"/>
              </w:rPr>
              <w:t>486,650</w:t>
            </w:r>
          </w:p>
        </w:tc>
        <w:tc>
          <w:tcPr>
            <w:tcW w:w="1609" w:type="dxa"/>
            <w:shd w:val="clear" w:color="auto" w:fill="auto"/>
            <w:noWrap/>
            <w:vAlign w:val="bottom"/>
          </w:tcPr>
          <w:p w14:paraId="0F779744" w14:textId="77777777" w:rsidR="002E4C7D" w:rsidRPr="00CA3503" w:rsidRDefault="002E4C7D" w:rsidP="00C04CFB">
            <w:pPr>
              <w:jc w:val="center"/>
              <w:rPr>
                <w:b/>
                <w:color w:val="000000"/>
                <w:sz w:val="22"/>
              </w:rPr>
            </w:pPr>
            <w:r w:rsidRPr="00CA3503">
              <w:rPr>
                <w:b/>
                <w:color w:val="000000"/>
                <w:sz w:val="22"/>
              </w:rPr>
              <w:t>76,881</w:t>
            </w:r>
          </w:p>
        </w:tc>
        <w:tc>
          <w:tcPr>
            <w:tcW w:w="1082" w:type="dxa"/>
            <w:shd w:val="clear" w:color="auto" w:fill="auto"/>
            <w:noWrap/>
            <w:vAlign w:val="bottom"/>
          </w:tcPr>
          <w:p w14:paraId="79F2B74F" w14:textId="77777777" w:rsidR="002E4C7D" w:rsidRPr="00CA3503" w:rsidRDefault="002E4C7D" w:rsidP="00C04CFB">
            <w:pPr>
              <w:jc w:val="center"/>
              <w:rPr>
                <w:b/>
                <w:color w:val="000000"/>
                <w:sz w:val="22"/>
              </w:rPr>
            </w:pPr>
            <w:r w:rsidRPr="00CA3503">
              <w:rPr>
                <w:b/>
                <w:color w:val="000000"/>
                <w:sz w:val="22"/>
              </w:rPr>
              <w:t>563,531</w:t>
            </w:r>
          </w:p>
        </w:tc>
      </w:tr>
    </w:tbl>
    <w:p w14:paraId="1D2D088B" w14:textId="77777777" w:rsidR="002E4C7D" w:rsidRDefault="002E4C7D" w:rsidP="00055F28">
      <w:pPr>
        <w:ind w:firstLine="360"/>
      </w:pPr>
    </w:p>
    <w:p w14:paraId="63AD8F84" w14:textId="77777777" w:rsidR="002E4C7D" w:rsidRDefault="002E4C7D" w:rsidP="00055F28">
      <w:pPr>
        <w:ind w:firstLine="360"/>
      </w:pPr>
    </w:p>
    <w:p w14:paraId="6A3D8757" w14:textId="068853A3" w:rsidR="00722834" w:rsidRDefault="00722834" w:rsidP="00972519">
      <w:pPr>
        <w:ind w:firstLine="360"/>
      </w:pPr>
      <w:r w:rsidRPr="00581C7F">
        <w:rPr>
          <w:bCs/>
        </w:rPr>
        <w:t xml:space="preserve">Positive </w:t>
      </w:r>
      <w:r w:rsidR="009A7C7B">
        <w:rPr>
          <w:bCs/>
        </w:rPr>
        <w:t xml:space="preserve">long-term </w:t>
      </w:r>
      <w:r>
        <w:rPr>
          <w:bCs/>
        </w:rPr>
        <w:t xml:space="preserve">indirect </w:t>
      </w:r>
      <w:r w:rsidRPr="00581C7F">
        <w:rPr>
          <w:bCs/>
        </w:rPr>
        <w:t>biological effects would be greater under</w:t>
      </w:r>
      <w:r>
        <w:rPr>
          <w:b/>
          <w:bCs/>
        </w:rPr>
        <w:t xml:space="preserve"> </w:t>
      </w:r>
      <w:r w:rsidR="00ED46DB">
        <w:rPr>
          <w:b/>
          <w:bCs/>
        </w:rPr>
        <w:t xml:space="preserve">Sub-alternatives 2b </w:t>
      </w:r>
      <w:r w:rsidR="00ED46DB" w:rsidRPr="00524458">
        <w:rPr>
          <w:bCs/>
        </w:rPr>
        <w:t>and</w:t>
      </w:r>
      <w:r w:rsidR="00ED46DB">
        <w:rPr>
          <w:b/>
          <w:bCs/>
        </w:rPr>
        <w:t xml:space="preserve"> 2c</w:t>
      </w:r>
      <w:r w:rsidR="00ED46DB" w:rsidRPr="00B0349A">
        <w:rPr>
          <w:b/>
          <w:bCs/>
        </w:rPr>
        <w:t xml:space="preserve"> </w:t>
      </w:r>
      <w:r w:rsidR="00ED46DB" w:rsidRPr="00B0349A">
        <w:t xml:space="preserve">than </w:t>
      </w:r>
      <w:r>
        <w:t xml:space="preserve">under </w:t>
      </w:r>
      <w:r w:rsidR="00ED46DB" w:rsidRPr="001F05C1">
        <w:rPr>
          <w:b/>
        </w:rPr>
        <w:t>Preferred</w:t>
      </w:r>
      <w:r w:rsidR="00ED46DB">
        <w:t xml:space="preserve"> </w:t>
      </w:r>
      <w:r w:rsidR="00ED46DB">
        <w:rPr>
          <w:b/>
          <w:bCs/>
        </w:rPr>
        <w:t>Sub-a</w:t>
      </w:r>
      <w:r w:rsidR="00ED46DB" w:rsidRPr="00B0349A">
        <w:rPr>
          <w:b/>
          <w:bCs/>
        </w:rPr>
        <w:t>lternative 2</w:t>
      </w:r>
      <w:r w:rsidR="00ED46DB">
        <w:rPr>
          <w:b/>
          <w:bCs/>
        </w:rPr>
        <w:t>a</w:t>
      </w:r>
      <w:r w:rsidR="00ED46DB" w:rsidRPr="00B0349A">
        <w:rPr>
          <w:b/>
          <w:bCs/>
        </w:rPr>
        <w:t xml:space="preserve"> </w:t>
      </w:r>
      <w:r w:rsidR="00ED46DB" w:rsidRPr="00B0349A">
        <w:t xml:space="preserve">because they would create a buffer between the ACL/OY and ABC, with </w:t>
      </w:r>
      <w:r w:rsidR="00ED46DB">
        <w:rPr>
          <w:b/>
          <w:bCs/>
        </w:rPr>
        <w:t>Sub-alternative 2c</w:t>
      </w:r>
      <w:r w:rsidR="00ED46DB" w:rsidRPr="00B0349A">
        <w:rPr>
          <w:b/>
          <w:bCs/>
        </w:rPr>
        <w:t xml:space="preserve"> </w:t>
      </w:r>
      <w:r w:rsidR="00ED46DB" w:rsidRPr="00B0349A">
        <w:t>settin</w:t>
      </w:r>
      <w:r w:rsidR="00ED46DB">
        <w:t>g the most conservative ACL at 9</w:t>
      </w:r>
      <w:r w:rsidR="00ED46DB" w:rsidRPr="00B0349A">
        <w:t>0% of the ABC (</w:t>
      </w:r>
      <w:r w:rsidR="00ED46DB" w:rsidRPr="00725403">
        <w:rPr>
          <w:b/>
        </w:rPr>
        <w:t xml:space="preserve">Table </w:t>
      </w:r>
      <w:r w:rsidR="00ED46DB">
        <w:rPr>
          <w:b/>
        </w:rPr>
        <w:t>2.3.1</w:t>
      </w:r>
      <w:r w:rsidR="00ED46DB" w:rsidRPr="00B0349A">
        <w:t xml:space="preserve">).  </w:t>
      </w:r>
      <w:r>
        <w:t xml:space="preserve">Relative to </w:t>
      </w:r>
      <w:r w:rsidRPr="00581C7F">
        <w:rPr>
          <w:b/>
        </w:rPr>
        <w:t>Alternative 1 (No Action)</w:t>
      </w:r>
      <w:r w:rsidRPr="00581C7F">
        <w:t>,</w:t>
      </w:r>
      <w:r w:rsidRPr="00722834">
        <w:t xml:space="preserve"> </w:t>
      </w:r>
      <w:r w:rsidRPr="00581C7F">
        <w:rPr>
          <w:b/>
        </w:rPr>
        <w:t>Preferred Alternative 2</w:t>
      </w:r>
      <w:r>
        <w:t xml:space="preserve"> and its sub-alternatives would have positive indirect effects on the biological environment since they would establish catch limits that are based on the latest scientific information available.  </w:t>
      </w:r>
    </w:p>
    <w:p w14:paraId="5D22A6B6" w14:textId="77777777" w:rsidR="00722834" w:rsidRDefault="00722834" w:rsidP="00972519">
      <w:pPr>
        <w:ind w:firstLine="360"/>
      </w:pPr>
    </w:p>
    <w:p w14:paraId="495615CF" w14:textId="1A79B82F" w:rsidR="0008484D" w:rsidRDefault="00ED46DB" w:rsidP="00972519">
      <w:pPr>
        <w:ind w:firstLine="360"/>
      </w:pPr>
      <w:r w:rsidRPr="00B0349A">
        <w:t xml:space="preserve">Creating a buffer between the ACL/OY and ABC would provide greater assurance that overfishing is prevented, and the long-term average biomass is near or above </w:t>
      </w:r>
      <w:r>
        <w:t>the spawning stock biomass at the maximum sustainable yield (</w:t>
      </w:r>
      <w:r w:rsidRPr="00B0349A">
        <w:t>SSB</w:t>
      </w:r>
      <w:r w:rsidRPr="00B0349A">
        <w:rPr>
          <w:vertAlign w:val="subscript"/>
        </w:rPr>
        <w:t>MSY</w:t>
      </w:r>
      <w:r>
        <w:t>)</w:t>
      </w:r>
      <w:r w:rsidRPr="00B0349A">
        <w:t>.  Howe</w:t>
      </w:r>
      <w:r>
        <w:t xml:space="preserve">ver, the South Atlantic Council’s </w:t>
      </w:r>
      <w:r w:rsidRPr="00B0349A">
        <w:t xml:space="preserve">ABC control rule takes into account scientific uncertainty.  The </w:t>
      </w:r>
      <w:r>
        <w:t>Magnuson-Stevens Act National Standard</w:t>
      </w:r>
      <w:r w:rsidRPr="00B0349A">
        <w:t xml:space="preserve"> 1 </w:t>
      </w:r>
      <w:r>
        <w:t>(NS</w:t>
      </w:r>
      <w:r w:rsidR="008D1051">
        <w:t xml:space="preserve"> </w:t>
      </w:r>
      <w:r>
        <w:t xml:space="preserve">1) </w:t>
      </w:r>
      <w:r w:rsidRPr="00B0349A">
        <w:t xml:space="preserve">guidelines indicate </w:t>
      </w:r>
      <w:r>
        <w:t xml:space="preserve">an </w:t>
      </w:r>
      <w:r w:rsidRPr="00B0349A">
        <w:t xml:space="preserve">ACL may typically be set very close to the ABC.  Setting a buffer between the ACL and ABC would be appropriate in situations where there is uncertainty in whether or not management measures are constraining fishing mortality to target levels. </w:t>
      </w:r>
      <w:r>
        <w:t xml:space="preserve"> </w:t>
      </w:r>
      <w:r w:rsidRPr="00B0349A">
        <w:t>A</w:t>
      </w:r>
      <w:r>
        <w:t xml:space="preserve">n annual catch target (ACT; see </w:t>
      </w:r>
      <w:r w:rsidRPr="001F05C1">
        <w:rPr>
          <w:b/>
        </w:rPr>
        <w:t>Action 4</w:t>
      </w:r>
      <w:r>
        <w:t>), which is</w:t>
      </w:r>
      <w:r w:rsidRPr="00B0349A">
        <w:t xml:space="preserve"> not required</w:t>
      </w:r>
      <w:r>
        <w:t xml:space="preserve">, can also be set below </w:t>
      </w:r>
      <w:r>
        <w:lastRenderedPageBreak/>
        <w:t>the ACL</w:t>
      </w:r>
      <w:r w:rsidRPr="00B0349A">
        <w:t xml:space="preserve"> to account for management uncertainty and provide greater assurance overfishing does not occur.</w:t>
      </w:r>
    </w:p>
    <w:p w14:paraId="7310FBEE" w14:textId="77777777" w:rsidR="00722834" w:rsidRDefault="00722834" w:rsidP="00972519">
      <w:pPr>
        <w:ind w:firstLine="360"/>
      </w:pPr>
    </w:p>
    <w:p w14:paraId="79DE10D1" w14:textId="5DBEE904" w:rsidR="00055F28" w:rsidRDefault="002D40D8" w:rsidP="00042F0D">
      <w:pPr>
        <w:ind w:firstLine="360"/>
      </w:pPr>
      <w:r>
        <w:t>When possible, t</w:t>
      </w:r>
      <w:r w:rsidR="0008484D">
        <w:t xml:space="preserve">he </w:t>
      </w:r>
      <w:r w:rsidR="00AE5EFD">
        <w:t xml:space="preserve">South Atlantic </w:t>
      </w:r>
      <w:r w:rsidR="0008484D">
        <w:t xml:space="preserve">Council prefers specifying the recreational ACL in numbers of fish and the commercial ACL in pounds. </w:t>
      </w:r>
      <w:r w:rsidR="00042F0D">
        <w:t xml:space="preserve"> The rationale is that recreational landings are already tracked in numbers of fish while commercial landings are tracked in pounds.  </w:t>
      </w:r>
      <w:r w:rsidR="00042F0D" w:rsidRPr="00525ABF">
        <w:t>Issues develop</w:t>
      </w:r>
      <w:r>
        <w:t>,</w:t>
      </w:r>
      <w:r w:rsidR="00042F0D" w:rsidRPr="00525ABF">
        <w:t xml:space="preserve"> however, when different </w:t>
      </w:r>
      <w:r w:rsidR="00461AA3">
        <w:t xml:space="preserve">minimum </w:t>
      </w:r>
      <w:r w:rsidR="00042F0D" w:rsidRPr="00525ABF">
        <w:t>size limits are considered for management and the commercial and recreationa</w:t>
      </w:r>
      <w:r w:rsidR="007F172B">
        <w:t>l ACLs are in different units.  I</w:t>
      </w:r>
      <w:r w:rsidR="00042F0D" w:rsidRPr="00525ABF">
        <w:t xml:space="preserve">f the minimum size limit is increased, as the </w:t>
      </w:r>
      <w:r w:rsidR="00042F0D">
        <w:t xml:space="preserve">South Atlantic </w:t>
      </w:r>
      <w:r w:rsidR="00042F0D" w:rsidRPr="00525ABF">
        <w:t>Council proposes to do, the average size</w:t>
      </w:r>
      <w:r w:rsidR="00042F0D">
        <w:t>,</w:t>
      </w:r>
      <w:r w:rsidR="00042F0D" w:rsidRPr="00525ABF">
        <w:t xml:space="preserve"> and thus weight</w:t>
      </w:r>
      <w:r w:rsidR="00042F0D">
        <w:t>,</w:t>
      </w:r>
      <w:r w:rsidR="00042F0D" w:rsidRPr="00525ABF">
        <w:t xml:space="preserve"> of fish harvested </w:t>
      </w:r>
      <w:r w:rsidR="00461AA3">
        <w:t>would</w:t>
      </w:r>
      <w:r w:rsidR="00461AA3" w:rsidRPr="00525ABF">
        <w:t xml:space="preserve"> </w:t>
      </w:r>
      <w:r w:rsidR="00042F0D" w:rsidRPr="00525ABF">
        <w:t xml:space="preserve">also increase.  If the method for converting between an ACL in pounds and an ACL in numbers does not address the change in average weight, the expected increase in the average weight of landed fish could lead to the poundage associated with the ACL specified in numbers exceeding the ACL expressed in pounds. </w:t>
      </w:r>
      <w:r w:rsidR="00042F0D">
        <w:t xml:space="preserve"> </w:t>
      </w:r>
      <w:r w:rsidR="00042F0D" w:rsidRPr="00525ABF">
        <w:t xml:space="preserve">This could also result in a perceived shift in </w:t>
      </w:r>
      <w:r w:rsidR="008D1051">
        <w:t xml:space="preserve">sector </w:t>
      </w:r>
      <w:r w:rsidR="00042F0D" w:rsidRPr="00525ABF">
        <w:t>allocations when they are compar</w:t>
      </w:r>
      <w:r w:rsidR="008D1051">
        <w:t xml:space="preserve">ed in the original units across </w:t>
      </w:r>
      <w:r w:rsidR="00042F0D" w:rsidRPr="00525ABF">
        <w:t xml:space="preserve">sectors, and if the change in weight landed is great enough, the ABC and </w:t>
      </w:r>
      <w:r w:rsidR="00461AA3">
        <w:t>overfishing limit</w:t>
      </w:r>
      <w:r w:rsidR="00461AA3" w:rsidRPr="00525ABF">
        <w:t xml:space="preserve"> </w:t>
      </w:r>
      <w:r w:rsidR="00042F0D" w:rsidRPr="00525ABF">
        <w:t>in pounds could be exceeded.</w:t>
      </w:r>
      <w:r w:rsidR="00042F0D">
        <w:t xml:space="preserve"> </w:t>
      </w:r>
      <w:r w:rsidR="00042F0D" w:rsidRPr="000927CB">
        <w:t xml:space="preserve"> </w:t>
      </w:r>
      <w:r w:rsidR="00042F0D">
        <w:t xml:space="preserve">To avoid these issues, the method described in </w:t>
      </w:r>
      <w:r w:rsidR="00042F0D" w:rsidRPr="00042F0D">
        <w:rPr>
          <w:b/>
        </w:rPr>
        <w:t>Appendix J</w:t>
      </w:r>
      <w:r w:rsidR="00042F0D">
        <w:t xml:space="preserve"> was used to specify the ABC</w:t>
      </w:r>
      <w:r w:rsidR="00C04CFB">
        <w:t xml:space="preserve"> (and OY)</w:t>
      </w:r>
      <w:r w:rsidR="00042F0D">
        <w:t xml:space="preserve"> and </w:t>
      </w:r>
      <w:r w:rsidR="0008072A">
        <w:t xml:space="preserve">the </w:t>
      </w:r>
      <w:r w:rsidR="00C04CFB">
        <w:t xml:space="preserve">recreational </w:t>
      </w:r>
      <w:r w:rsidR="00042F0D">
        <w:t xml:space="preserve">ACL for mutton snapper in numbers of fish.  This method is designed to keep the numbers of fish harvested constant while allowing the yield to vary based on the possible change in </w:t>
      </w:r>
      <w:r w:rsidR="007F172B">
        <w:t xml:space="preserve">size </w:t>
      </w:r>
      <w:r w:rsidR="00042F0D">
        <w:t xml:space="preserve">selectivity </w:t>
      </w:r>
      <w:r w:rsidR="007F172B">
        <w:t>(</w:t>
      </w:r>
      <w:r w:rsidR="007F172B" w:rsidRPr="007F172B">
        <w:t>the probability of fish being retained in a fishing gear as a function of the length of the fish</w:t>
      </w:r>
      <w:r w:rsidR="007F172B">
        <w:t xml:space="preserve">) </w:t>
      </w:r>
      <w:r w:rsidR="00042F0D" w:rsidRPr="007F172B">
        <w:t>due</w:t>
      </w:r>
      <w:r w:rsidR="00042F0D">
        <w:t xml:space="preserve"> to changes in the minimum size limit.  Specifying the ABC</w:t>
      </w:r>
      <w:r w:rsidR="00C04CFB">
        <w:t xml:space="preserve"> (and OY)</w:t>
      </w:r>
      <w:r w:rsidR="00042F0D">
        <w:t xml:space="preserve"> and </w:t>
      </w:r>
      <w:r w:rsidR="0008072A">
        <w:t xml:space="preserve">the </w:t>
      </w:r>
      <w:r w:rsidR="00C04CFB">
        <w:t xml:space="preserve">recreational </w:t>
      </w:r>
      <w:r w:rsidR="00042F0D">
        <w:t xml:space="preserve">ACL in numbers </w:t>
      </w:r>
      <w:r w:rsidR="00C04CFB">
        <w:t xml:space="preserve">of fish </w:t>
      </w:r>
      <w:r w:rsidR="00042F0D">
        <w:t xml:space="preserve">results in a lower risk of exceeding the recreational ACL due to an increase in the minimum size limit.  </w:t>
      </w:r>
    </w:p>
    <w:p w14:paraId="0382DC63" w14:textId="6571A2D4" w:rsidR="00E96C18" w:rsidRDefault="00E96C18" w:rsidP="00E96C18">
      <w:pPr>
        <w:ind w:firstLine="360"/>
      </w:pPr>
    </w:p>
    <w:p w14:paraId="3DB92174" w14:textId="5EAFABFD" w:rsidR="00A82CA4" w:rsidRDefault="009108B8" w:rsidP="00E96C18">
      <w:pPr>
        <w:ind w:firstLine="360"/>
      </w:pPr>
      <w:r w:rsidRPr="009108B8">
        <w:t xml:space="preserve">In general, ACLs that allow for more fish to be landed can result in increased positive economic effects.   The ACL does not directly impact a fishery unless harvest increases or the ACL is exceeded, thereby triggering AMs such as closures or other restrictive measure.  As such, ACLs that do not restrict harvest in a fishery do not have realized economic effects.  </w:t>
      </w:r>
      <w:r>
        <w:t>For the commercial sector, t</w:t>
      </w:r>
      <w:r w:rsidRPr="009108B8">
        <w:t xml:space="preserve">he immediate, short-term ACLs proposed under the sub-alternatives of </w:t>
      </w:r>
      <w:r w:rsidRPr="009108B8">
        <w:rPr>
          <w:b/>
        </w:rPr>
        <w:t>Preferred Alternative 2</w:t>
      </w:r>
      <w:r w:rsidRPr="009108B8">
        <w:t xml:space="preserve"> are lower than what is specified in </w:t>
      </w:r>
      <w:r w:rsidRPr="009108B8">
        <w:rPr>
          <w:b/>
        </w:rPr>
        <w:t>Alternative 1 (No Action)</w:t>
      </w:r>
      <w:r w:rsidRPr="009108B8">
        <w:t xml:space="preserve"> (</w:t>
      </w:r>
      <w:r w:rsidRPr="009108B8">
        <w:rPr>
          <w:b/>
        </w:rPr>
        <w:t>Table 2.3.1</w:t>
      </w:r>
      <w:r w:rsidRPr="009108B8">
        <w:t xml:space="preserve">), with </w:t>
      </w:r>
      <w:r w:rsidRPr="009108B8">
        <w:rPr>
          <w:b/>
        </w:rPr>
        <w:t>Preferred Sub-alternative 2a</w:t>
      </w:r>
      <w:r w:rsidRPr="009108B8">
        <w:t xml:space="preserve"> being least restrictive followed by </w:t>
      </w:r>
      <w:r w:rsidRPr="009108B8">
        <w:rPr>
          <w:b/>
        </w:rPr>
        <w:t>Sub-alternative 2b</w:t>
      </w:r>
      <w:r w:rsidRPr="009108B8">
        <w:t xml:space="preserve">, and </w:t>
      </w:r>
      <w:r w:rsidRPr="009108B8">
        <w:rPr>
          <w:b/>
        </w:rPr>
        <w:t>Sub-alternative 2c</w:t>
      </w:r>
      <w:r w:rsidRPr="009108B8">
        <w:t>.  However, it is unlikely that the commercial sector would see a mutton snapper closure due to reaching its ACL, as annual commercial landings of the species are expected to be less (</w:t>
      </w:r>
      <w:r w:rsidRPr="009108B8">
        <w:rPr>
          <w:b/>
        </w:rPr>
        <w:t>Table 2.3.2</w:t>
      </w:r>
      <w:r w:rsidRPr="009108B8">
        <w:t>) than any of the proposed commercial ACLs, assuming commercial fish</w:t>
      </w:r>
      <w:r>
        <w:t xml:space="preserve">ing behavior does not change.  </w:t>
      </w:r>
      <w:r w:rsidRPr="009108B8">
        <w:t>Therefore, there are no expected differences in terms of realized economic effects among the sub-alternatives</w:t>
      </w:r>
      <w:r>
        <w:t xml:space="preserve"> for the commercial sector</w:t>
      </w:r>
      <w:r w:rsidRPr="009108B8">
        <w:t xml:space="preserve">. </w:t>
      </w:r>
      <w:r w:rsidR="00A82CA4">
        <w:t xml:space="preserve">  </w:t>
      </w:r>
      <w:r w:rsidRPr="009108B8">
        <w:t xml:space="preserve">For the recreational sector, </w:t>
      </w:r>
      <w:r w:rsidRPr="009108B8">
        <w:rPr>
          <w:b/>
        </w:rPr>
        <w:t>Sub-alternative 2c</w:t>
      </w:r>
      <w:r w:rsidRPr="009108B8">
        <w:t xml:space="preserve"> has the largest anticipated negative economic effect, as it has the lowest recreational ACL compared to the baseline.  </w:t>
      </w:r>
      <w:r w:rsidRPr="009108B8">
        <w:rPr>
          <w:b/>
        </w:rPr>
        <w:t>Sub-alternative 2b</w:t>
      </w:r>
      <w:r w:rsidRPr="009108B8">
        <w:t xml:space="preserve"> has less potential for negative economic effects compared to </w:t>
      </w:r>
      <w:r w:rsidRPr="009108B8">
        <w:rPr>
          <w:b/>
        </w:rPr>
        <w:t>Sub-alternative 2c</w:t>
      </w:r>
      <w:r w:rsidRPr="009108B8">
        <w:t xml:space="preserve"> (</w:t>
      </w:r>
      <w:r w:rsidRPr="009108B8">
        <w:rPr>
          <w:b/>
        </w:rPr>
        <w:t>Table 4.3.4</w:t>
      </w:r>
      <w:r w:rsidRPr="009108B8">
        <w:t xml:space="preserve">).  For all sub-alternatives of </w:t>
      </w:r>
      <w:r w:rsidRPr="009108B8">
        <w:rPr>
          <w:b/>
        </w:rPr>
        <w:t>Alternative 2</w:t>
      </w:r>
      <w:r w:rsidRPr="009108B8">
        <w:t>, the ACL is projected to increase in years following 2017, therefore the loss of consumer surplus (CS) is expected to be smaller in these years and the economic effects may even be neutral or turn to a net gain in CS, depending on the observed landings of mutton snapper and the sub-alternative that is chosen.</w:t>
      </w:r>
    </w:p>
    <w:p w14:paraId="5A06384B" w14:textId="77777777" w:rsidR="009108B8" w:rsidRDefault="009108B8" w:rsidP="00E96C18">
      <w:pPr>
        <w:ind w:firstLine="360"/>
      </w:pPr>
    </w:p>
    <w:p w14:paraId="0478D9B8" w14:textId="59C327C6" w:rsidR="0071057A" w:rsidRDefault="0071057A" w:rsidP="0071057A">
      <w:pPr>
        <w:ind w:firstLine="360"/>
        <w:rPr>
          <w:rStyle w:val="StyleHeading3CharTimesNewRoman12pt"/>
          <w:rFonts w:ascii="Arial" w:hAnsi="Arial"/>
          <w:bCs w:val="0"/>
          <w:iCs/>
          <w:sz w:val="28"/>
          <w:szCs w:val="28"/>
        </w:rPr>
      </w:pPr>
      <w:r>
        <w:rPr>
          <w:rFonts w:eastAsia="Calibri"/>
        </w:rPr>
        <w:t>In terms of social effects, the ACL for any stock does not directly affect resource users</w:t>
      </w:r>
      <w:r w:rsidRPr="00F7316F">
        <w:rPr>
          <w:rFonts w:eastAsia="Calibri"/>
        </w:rPr>
        <w:t xml:space="preserve"> unless the ACL is met or exceeded, in which case AMs that restrict or close harvest could negatively impact the commercial fleet, for-hire fleet, and private anglers. </w:t>
      </w:r>
      <w:r>
        <w:rPr>
          <w:rFonts w:eastAsia="Calibri"/>
        </w:rPr>
        <w:t xml:space="preserve"> </w:t>
      </w:r>
      <w:r w:rsidRPr="00F7316F">
        <w:rPr>
          <w:rFonts w:eastAsia="Calibri"/>
        </w:rPr>
        <w:t xml:space="preserve">AMs can have significant direct </w:t>
      </w:r>
      <w:r w:rsidRPr="00F7316F">
        <w:rPr>
          <w:rFonts w:eastAsia="Calibri"/>
        </w:rPr>
        <w:lastRenderedPageBreak/>
        <w:t xml:space="preserve">and indirect social effects because, when triggered, can restrict harvest in the current season or subsequent seasons. </w:t>
      </w:r>
      <w:r>
        <w:rPr>
          <w:rFonts w:eastAsia="Calibri"/>
        </w:rPr>
        <w:t xml:space="preserve"> </w:t>
      </w:r>
      <w:r w:rsidRPr="00E3400A">
        <w:rPr>
          <w:b/>
        </w:rPr>
        <w:t>Section 3.3.2</w:t>
      </w:r>
      <w:r w:rsidRPr="00E3400A">
        <w:t xml:space="preserve"> describes communities that could be affected by changes to mutton snapper management, particularly in the Florida Keys. </w:t>
      </w:r>
      <w:r>
        <w:t xml:space="preserve"> </w:t>
      </w:r>
      <w:r w:rsidRPr="00E3400A">
        <w:t xml:space="preserve">Mutton snapper is an important species for the recreational sector in south Florida. </w:t>
      </w:r>
      <w:r>
        <w:t xml:space="preserve"> </w:t>
      </w:r>
      <w:r w:rsidRPr="00E3400A">
        <w:t>Changes to access to mutton snapper could also affect fish houses and restaurants that depend on a steady supply of the fish.</w:t>
      </w:r>
      <w:r>
        <w:t xml:space="preserve"> </w:t>
      </w:r>
      <w:r w:rsidR="005509FB">
        <w:t xml:space="preserve"> </w:t>
      </w:r>
      <w:r>
        <w:t xml:space="preserve">However, under current conditions and landings for the mutton snapper fishery, the proposed ACLs under </w:t>
      </w:r>
      <w:r>
        <w:rPr>
          <w:b/>
        </w:rPr>
        <w:t xml:space="preserve">Alternative 1 (No Action) </w:t>
      </w:r>
      <w:r w:rsidR="00A82CA4">
        <w:t xml:space="preserve">and </w:t>
      </w:r>
      <w:r w:rsidRPr="00AA1D53">
        <w:rPr>
          <w:rFonts w:eastAsia="Calibri"/>
          <w:b/>
        </w:rPr>
        <w:t xml:space="preserve">Preferred </w:t>
      </w:r>
      <w:r>
        <w:rPr>
          <w:rFonts w:eastAsia="Calibri"/>
          <w:b/>
        </w:rPr>
        <w:t xml:space="preserve">Alternative 2 </w:t>
      </w:r>
      <w:r>
        <w:rPr>
          <w:rFonts w:eastAsia="Calibri"/>
        </w:rPr>
        <w:t xml:space="preserve">would not restrict access to the resource because landings have not reached the </w:t>
      </w:r>
      <w:r w:rsidR="005509FB">
        <w:rPr>
          <w:rFonts w:eastAsia="Calibri"/>
        </w:rPr>
        <w:t xml:space="preserve">proposed </w:t>
      </w:r>
      <w:r>
        <w:rPr>
          <w:rFonts w:eastAsia="Calibri"/>
        </w:rPr>
        <w:t xml:space="preserve">ACLs under either alternative. Additionally, the ACL for mutton snapper would be based on the most recent stock assessment under </w:t>
      </w:r>
      <w:r w:rsidRPr="006A59ED">
        <w:rPr>
          <w:rFonts w:eastAsia="Calibri"/>
          <w:b/>
        </w:rPr>
        <w:t xml:space="preserve">Preferred </w:t>
      </w:r>
      <w:r>
        <w:rPr>
          <w:rFonts w:eastAsia="Calibri"/>
          <w:b/>
        </w:rPr>
        <w:t>Alternative 2</w:t>
      </w:r>
      <w:r>
        <w:rPr>
          <w:rFonts w:eastAsia="Calibri"/>
        </w:rPr>
        <w:t xml:space="preserve">, which would be beneficial to fishermen by aligning management with the best available information. </w:t>
      </w:r>
      <w:r w:rsidR="005509FB">
        <w:rPr>
          <w:rFonts w:eastAsia="Calibri"/>
        </w:rPr>
        <w:t xml:space="preserve"> </w:t>
      </w:r>
      <w:r>
        <w:rPr>
          <w:rFonts w:eastAsia="Calibri"/>
        </w:rPr>
        <w:t xml:space="preserve">Although the sub-alternatives under </w:t>
      </w:r>
      <w:r>
        <w:rPr>
          <w:rFonts w:eastAsia="Calibri"/>
          <w:b/>
        </w:rPr>
        <w:t>Preferred Alternative 2</w:t>
      </w:r>
      <w:r>
        <w:rPr>
          <w:rFonts w:eastAsia="Calibri"/>
        </w:rPr>
        <w:t xml:space="preserve"> are expected to have identical effects (minimal) on fishermen because landings have not reached the proposed ACLs in recent years, lower ACLs could restrict access in the future if there is an increase in effort.  </w:t>
      </w:r>
      <w:r>
        <w:rPr>
          <w:rFonts w:eastAsia="Calibri"/>
          <w:b/>
        </w:rPr>
        <w:t>Sub-alternative 2c</w:t>
      </w:r>
      <w:r>
        <w:rPr>
          <w:rFonts w:eastAsia="Calibri"/>
        </w:rPr>
        <w:t xml:space="preserve"> could result in the lowest ACLs, followed by </w:t>
      </w:r>
      <w:r>
        <w:rPr>
          <w:rFonts w:eastAsia="Calibri"/>
          <w:b/>
        </w:rPr>
        <w:t>Sub-alternative 2b</w:t>
      </w:r>
      <w:r w:rsidRPr="00455F05">
        <w:rPr>
          <w:rFonts w:eastAsia="Calibri"/>
        </w:rPr>
        <w:t xml:space="preserve"> and</w:t>
      </w:r>
      <w:r>
        <w:rPr>
          <w:rFonts w:eastAsia="Calibri"/>
          <w:b/>
        </w:rPr>
        <w:t xml:space="preserve"> Preferred Sub-alternative 2a</w:t>
      </w:r>
      <w:r>
        <w:rPr>
          <w:rFonts w:eastAsia="Calibri"/>
        </w:rPr>
        <w:t xml:space="preserve">.  </w:t>
      </w:r>
    </w:p>
    <w:p w14:paraId="74FDAFEF" w14:textId="4CFB2F64" w:rsidR="008D1051" w:rsidRPr="000042F2" w:rsidRDefault="008D1051" w:rsidP="008D1051">
      <w:pPr>
        <w:ind w:firstLine="360"/>
        <w:rPr>
          <w:rFonts w:eastAsia="Calibri"/>
        </w:rPr>
      </w:pPr>
    </w:p>
    <w:p w14:paraId="27C6E4E6" w14:textId="2957E70F" w:rsidR="008D1051" w:rsidRPr="00FA28B6" w:rsidRDefault="008D1051" w:rsidP="00E96C18">
      <w:pPr>
        <w:ind w:firstLine="360"/>
      </w:pPr>
    </w:p>
    <w:p w14:paraId="07C802AE" w14:textId="77777777" w:rsidR="00CF5E27" w:rsidRDefault="00CF5E27">
      <w:pPr>
        <w:rPr>
          <w:rStyle w:val="StyleHeading3CharTimesNewRoman12pt"/>
          <w:rFonts w:ascii="Arial" w:hAnsi="Arial"/>
          <w:bCs w:val="0"/>
          <w:iCs/>
          <w:sz w:val="28"/>
          <w:szCs w:val="28"/>
        </w:rPr>
      </w:pPr>
      <w:r>
        <w:rPr>
          <w:rStyle w:val="StyleHeading3CharTimesNewRoman12pt"/>
          <w:rFonts w:ascii="Arial" w:hAnsi="Arial"/>
          <w:b w:val="0"/>
          <w:sz w:val="28"/>
          <w:szCs w:val="28"/>
        </w:rPr>
        <w:br w:type="page"/>
      </w:r>
    </w:p>
    <w:p w14:paraId="5B8E49A6" w14:textId="510A00A8" w:rsidR="00CD09B7" w:rsidRPr="00CD09B7" w:rsidRDefault="00DB4D41" w:rsidP="00CD09B7">
      <w:pPr>
        <w:pStyle w:val="Heading2"/>
        <w:rPr>
          <w:rStyle w:val="StyleHeading3CharTimesNewRoman12pt"/>
          <w:rFonts w:ascii="Arial" w:hAnsi="Arial"/>
          <w:b/>
          <w:sz w:val="28"/>
          <w:szCs w:val="28"/>
        </w:rPr>
      </w:pPr>
      <w:bookmarkStart w:id="72" w:name="_Toc339811704"/>
      <w:r>
        <w:rPr>
          <w:rStyle w:val="StyleHeading3CharTimesNewRoman12pt"/>
          <w:rFonts w:ascii="Arial" w:hAnsi="Arial"/>
          <w:b/>
          <w:sz w:val="28"/>
          <w:szCs w:val="28"/>
        </w:rPr>
        <w:lastRenderedPageBreak/>
        <w:t>2.4</w:t>
      </w:r>
      <w:r>
        <w:rPr>
          <w:rStyle w:val="StyleHeading3CharTimesNewRoman12pt"/>
          <w:rFonts w:ascii="Arial" w:hAnsi="Arial"/>
          <w:b/>
          <w:sz w:val="28"/>
          <w:szCs w:val="28"/>
        </w:rPr>
        <w:tab/>
      </w:r>
      <w:r w:rsidR="00CC558E">
        <w:rPr>
          <w:rStyle w:val="StyleHeading3CharTimesNewRoman12pt"/>
          <w:rFonts w:ascii="Arial" w:hAnsi="Arial"/>
          <w:b/>
          <w:sz w:val="28"/>
          <w:szCs w:val="28"/>
        </w:rPr>
        <w:t xml:space="preserve">Action 4.  Revise </w:t>
      </w:r>
      <w:r w:rsidR="00CC558E" w:rsidRPr="008C454A">
        <w:rPr>
          <w:rStyle w:val="StyleHeading3CharTimesNewRoman12pt"/>
          <w:rFonts w:ascii="Arial" w:hAnsi="Arial"/>
          <w:b/>
          <w:sz w:val="28"/>
          <w:szCs w:val="28"/>
        </w:rPr>
        <w:t>recreational a</w:t>
      </w:r>
      <w:r w:rsidR="00CD09B7" w:rsidRPr="008C454A">
        <w:rPr>
          <w:rStyle w:val="StyleHeading3CharTimesNewRoman12pt"/>
          <w:rFonts w:ascii="Arial" w:hAnsi="Arial"/>
          <w:b/>
          <w:sz w:val="28"/>
          <w:szCs w:val="28"/>
        </w:rPr>
        <w:t xml:space="preserve">nnual </w:t>
      </w:r>
      <w:r w:rsidR="00CC558E" w:rsidRPr="008C454A">
        <w:rPr>
          <w:rStyle w:val="StyleHeading3CharTimesNewRoman12pt"/>
          <w:rFonts w:ascii="Arial" w:hAnsi="Arial"/>
          <w:b/>
          <w:sz w:val="28"/>
          <w:szCs w:val="28"/>
        </w:rPr>
        <w:t>catch t</w:t>
      </w:r>
      <w:r w:rsidR="00CD09B7" w:rsidRPr="008C454A">
        <w:rPr>
          <w:rStyle w:val="StyleHeading3CharTimesNewRoman12pt"/>
          <w:rFonts w:ascii="Arial" w:hAnsi="Arial"/>
          <w:b/>
          <w:sz w:val="28"/>
          <w:szCs w:val="28"/>
        </w:rPr>
        <w:t>arget (ACT) for mutton</w:t>
      </w:r>
      <w:r w:rsidR="00774344" w:rsidRPr="008C454A">
        <w:rPr>
          <w:rStyle w:val="StyleHeading3CharTimesNewRoman12pt"/>
          <w:rFonts w:ascii="Arial" w:hAnsi="Arial"/>
          <w:b/>
          <w:sz w:val="28"/>
          <w:szCs w:val="28"/>
        </w:rPr>
        <w:t xml:space="preserve"> snapper in the South Atlantic R</w:t>
      </w:r>
      <w:r w:rsidR="00CD09B7" w:rsidRPr="008C454A">
        <w:rPr>
          <w:rStyle w:val="StyleHeading3CharTimesNewRoman12pt"/>
          <w:rFonts w:ascii="Arial" w:hAnsi="Arial"/>
          <w:b/>
          <w:sz w:val="28"/>
          <w:szCs w:val="28"/>
        </w:rPr>
        <w:t>egion</w:t>
      </w:r>
      <w:bookmarkEnd w:id="72"/>
    </w:p>
    <w:p w14:paraId="7CAC449C" w14:textId="77777777" w:rsidR="00CD09B7" w:rsidRDefault="00CD09B7" w:rsidP="00CD09B7">
      <w:pPr>
        <w:rPr>
          <w:b/>
        </w:rPr>
      </w:pPr>
    </w:p>
    <w:p w14:paraId="4F1F1438" w14:textId="66711894" w:rsidR="00180459" w:rsidRPr="002D40D8" w:rsidRDefault="00180459" w:rsidP="00180459">
      <w:r w:rsidRPr="002D40D8">
        <w:rPr>
          <w:b/>
        </w:rPr>
        <w:t>Alternative 1 (No Action).</w:t>
      </w:r>
      <w:r w:rsidRPr="002D40D8">
        <w:t xml:space="preserve">  The current </w:t>
      </w:r>
      <w:r w:rsidR="00461AA3" w:rsidRPr="002D40D8">
        <w:t xml:space="preserve">annual catch target </w:t>
      </w:r>
      <w:r w:rsidRPr="002D40D8">
        <w:t xml:space="preserve">is 668,906 lbs ww and applies to mutton snapper throughout the South Atlantic Council’s jurisdiction. </w:t>
      </w:r>
      <w:r w:rsidR="00461AA3" w:rsidRPr="002D40D8">
        <w:t xml:space="preserve"> </w:t>
      </w:r>
      <w:r w:rsidRPr="002D40D8">
        <w:t xml:space="preserve">The </w:t>
      </w:r>
      <w:r w:rsidR="00D0662D" w:rsidRPr="002D40D8">
        <w:t>annual catch target equals</w:t>
      </w:r>
      <w:r w:rsidRPr="002D40D8">
        <w:t xml:space="preserve"> recreational ACL*(1-PSE) or ACL*0.5, whichever is greater, and where </w:t>
      </w:r>
      <w:r w:rsidR="00DC04A0" w:rsidRPr="002D40D8">
        <w:t xml:space="preserve">percent standard error </w:t>
      </w:r>
      <w:r w:rsidRPr="002D40D8">
        <w:t>(PSE) = 13% = average PSE 2005-2009 (for South Atlantic only).</w:t>
      </w:r>
    </w:p>
    <w:p w14:paraId="765788C6" w14:textId="77777777" w:rsidR="00180459" w:rsidRPr="002D40D8" w:rsidRDefault="00180459" w:rsidP="00180459"/>
    <w:p w14:paraId="04D8DC99" w14:textId="6957CD27" w:rsidR="00161162" w:rsidRPr="00882168" w:rsidRDefault="00161162" w:rsidP="00161162">
      <w:r w:rsidRPr="002D40D8">
        <w:rPr>
          <w:b/>
        </w:rPr>
        <w:t>Preferred Alternative 2.</w:t>
      </w:r>
      <w:r w:rsidRPr="002D40D8">
        <w:t xml:space="preserve">  Revise the annual catch target for mutton snapper for the recreational sector and specify </w:t>
      </w:r>
      <w:r w:rsidR="00DC40AA" w:rsidRPr="002D40D8">
        <w:t xml:space="preserve">it </w:t>
      </w:r>
      <w:r w:rsidRPr="002D40D8">
        <w:t xml:space="preserve">in numbers of fish.  The </w:t>
      </w:r>
      <w:r w:rsidR="00DC40AA" w:rsidRPr="002D40D8">
        <w:t xml:space="preserve">annual catch target </w:t>
      </w:r>
      <w:r w:rsidRPr="002D40D8">
        <w:t>for 2020 would remain in place until modified.</w:t>
      </w:r>
    </w:p>
    <w:p w14:paraId="3112129C" w14:textId="65ED4A36" w:rsidR="00D66B86" w:rsidRDefault="00161162" w:rsidP="0055735E">
      <w:pPr>
        <w:ind w:left="720"/>
      </w:pPr>
      <w:r w:rsidRPr="00D66B86">
        <w:rPr>
          <w:b/>
        </w:rPr>
        <w:t>Sub-alternative 2a.</w:t>
      </w:r>
      <w:r w:rsidRPr="00D66B86">
        <w:t xml:space="preserve">  ACT = recreational ACL*(1-PSE) or ACL*0.5, whichever is greater.</w:t>
      </w:r>
    </w:p>
    <w:tbl>
      <w:tblPr>
        <w:tblW w:w="260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tblGrid>
      <w:tr w:rsidR="00D0662D" w:rsidRPr="00903F45" w14:paraId="201A0332" w14:textId="77777777" w:rsidTr="00D0662D">
        <w:trPr>
          <w:trHeight w:val="300"/>
        </w:trPr>
        <w:tc>
          <w:tcPr>
            <w:tcW w:w="1300" w:type="dxa"/>
            <w:shd w:val="clear" w:color="auto" w:fill="D9D9D9" w:themeFill="background1" w:themeFillShade="D9"/>
            <w:noWrap/>
            <w:vAlign w:val="center"/>
            <w:hideMark/>
          </w:tcPr>
          <w:p w14:paraId="030443EC" w14:textId="77777777" w:rsidR="00D0662D" w:rsidRPr="00903F45" w:rsidRDefault="00D0662D" w:rsidP="000D7AB4">
            <w:pPr>
              <w:rPr>
                <w:b/>
                <w:color w:val="000000"/>
                <w:sz w:val="22"/>
                <w:szCs w:val="22"/>
              </w:rPr>
            </w:pPr>
            <w:r w:rsidRPr="00903F45">
              <w:rPr>
                <w:b/>
                <w:color w:val="000000"/>
                <w:sz w:val="22"/>
                <w:szCs w:val="22"/>
              </w:rPr>
              <w:t>Year</w:t>
            </w:r>
          </w:p>
        </w:tc>
        <w:tc>
          <w:tcPr>
            <w:tcW w:w="1300" w:type="dxa"/>
            <w:shd w:val="clear" w:color="auto" w:fill="D9D9D9" w:themeFill="background1" w:themeFillShade="D9"/>
            <w:noWrap/>
            <w:vAlign w:val="center"/>
            <w:hideMark/>
          </w:tcPr>
          <w:p w14:paraId="55AE7060" w14:textId="77777777" w:rsidR="00D0662D" w:rsidRPr="00903F45" w:rsidRDefault="00D0662D" w:rsidP="000D7AB4">
            <w:pPr>
              <w:rPr>
                <w:b/>
                <w:color w:val="000000"/>
                <w:sz w:val="22"/>
                <w:szCs w:val="22"/>
              </w:rPr>
            </w:pPr>
            <w:r w:rsidRPr="00903F45">
              <w:rPr>
                <w:b/>
                <w:color w:val="000000"/>
                <w:sz w:val="22"/>
                <w:szCs w:val="22"/>
              </w:rPr>
              <w:t>PSE</w:t>
            </w:r>
          </w:p>
        </w:tc>
      </w:tr>
      <w:tr w:rsidR="00D0662D" w:rsidRPr="00903F45" w14:paraId="0251CC71" w14:textId="77777777" w:rsidTr="00D0662D">
        <w:trPr>
          <w:trHeight w:val="300"/>
        </w:trPr>
        <w:tc>
          <w:tcPr>
            <w:tcW w:w="1300" w:type="dxa"/>
            <w:shd w:val="clear" w:color="auto" w:fill="auto"/>
            <w:noWrap/>
            <w:vAlign w:val="center"/>
            <w:hideMark/>
          </w:tcPr>
          <w:p w14:paraId="20F96A5C" w14:textId="77777777" w:rsidR="00D0662D" w:rsidRPr="00903F45" w:rsidRDefault="00D0662D" w:rsidP="000D7AB4">
            <w:pPr>
              <w:rPr>
                <w:color w:val="000000"/>
                <w:sz w:val="22"/>
                <w:szCs w:val="22"/>
              </w:rPr>
            </w:pPr>
            <w:r w:rsidRPr="00903F45">
              <w:rPr>
                <w:color w:val="000000"/>
                <w:sz w:val="22"/>
                <w:szCs w:val="22"/>
              </w:rPr>
              <w:t>2010</w:t>
            </w:r>
          </w:p>
        </w:tc>
        <w:tc>
          <w:tcPr>
            <w:tcW w:w="1300" w:type="dxa"/>
            <w:shd w:val="clear" w:color="auto" w:fill="auto"/>
            <w:noWrap/>
            <w:vAlign w:val="center"/>
            <w:hideMark/>
          </w:tcPr>
          <w:p w14:paraId="1B72130E" w14:textId="77777777" w:rsidR="00D0662D" w:rsidRPr="00903F45" w:rsidRDefault="00D0662D" w:rsidP="000D7AB4">
            <w:pPr>
              <w:rPr>
                <w:color w:val="000000"/>
                <w:sz w:val="22"/>
                <w:szCs w:val="22"/>
              </w:rPr>
            </w:pPr>
            <w:r w:rsidRPr="00903F45">
              <w:rPr>
                <w:color w:val="000000"/>
                <w:sz w:val="22"/>
                <w:szCs w:val="22"/>
              </w:rPr>
              <w:t>10.2</w:t>
            </w:r>
          </w:p>
        </w:tc>
      </w:tr>
      <w:tr w:rsidR="00D0662D" w:rsidRPr="00903F45" w14:paraId="3CB657BC" w14:textId="77777777" w:rsidTr="00D0662D">
        <w:trPr>
          <w:trHeight w:val="300"/>
        </w:trPr>
        <w:tc>
          <w:tcPr>
            <w:tcW w:w="1300" w:type="dxa"/>
            <w:shd w:val="clear" w:color="auto" w:fill="auto"/>
            <w:noWrap/>
            <w:vAlign w:val="center"/>
            <w:hideMark/>
          </w:tcPr>
          <w:p w14:paraId="171CC20D" w14:textId="77777777" w:rsidR="00D0662D" w:rsidRPr="00903F45" w:rsidRDefault="00D0662D" w:rsidP="000D7AB4">
            <w:pPr>
              <w:rPr>
                <w:color w:val="000000"/>
                <w:sz w:val="22"/>
                <w:szCs w:val="22"/>
              </w:rPr>
            </w:pPr>
            <w:r w:rsidRPr="00903F45">
              <w:rPr>
                <w:color w:val="000000"/>
                <w:sz w:val="22"/>
                <w:szCs w:val="22"/>
              </w:rPr>
              <w:t>2011</w:t>
            </w:r>
          </w:p>
        </w:tc>
        <w:tc>
          <w:tcPr>
            <w:tcW w:w="1300" w:type="dxa"/>
            <w:shd w:val="clear" w:color="auto" w:fill="auto"/>
            <w:noWrap/>
            <w:vAlign w:val="center"/>
            <w:hideMark/>
          </w:tcPr>
          <w:p w14:paraId="454D2CA4" w14:textId="77777777" w:rsidR="00D0662D" w:rsidRPr="00903F45" w:rsidRDefault="00D0662D" w:rsidP="000D7AB4">
            <w:pPr>
              <w:rPr>
                <w:color w:val="000000"/>
                <w:sz w:val="22"/>
                <w:szCs w:val="22"/>
              </w:rPr>
            </w:pPr>
            <w:r w:rsidRPr="00903F45">
              <w:rPr>
                <w:color w:val="000000"/>
                <w:sz w:val="22"/>
                <w:szCs w:val="22"/>
              </w:rPr>
              <w:t>15.2</w:t>
            </w:r>
          </w:p>
        </w:tc>
      </w:tr>
      <w:tr w:rsidR="00D0662D" w:rsidRPr="00903F45" w14:paraId="64EFF2D6" w14:textId="77777777" w:rsidTr="00D0662D">
        <w:trPr>
          <w:trHeight w:val="300"/>
        </w:trPr>
        <w:tc>
          <w:tcPr>
            <w:tcW w:w="1300" w:type="dxa"/>
            <w:shd w:val="clear" w:color="auto" w:fill="auto"/>
            <w:noWrap/>
            <w:vAlign w:val="center"/>
            <w:hideMark/>
          </w:tcPr>
          <w:p w14:paraId="3A509E11" w14:textId="77777777" w:rsidR="00D0662D" w:rsidRPr="00903F45" w:rsidRDefault="00D0662D" w:rsidP="000D7AB4">
            <w:pPr>
              <w:rPr>
                <w:color w:val="000000"/>
                <w:sz w:val="22"/>
                <w:szCs w:val="22"/>
              </w:rPr>
            </w:pPr>
            <w:r w:rsidRPr="00903F45">
              <w:rPr>
                <w:color w:val="000000"/>
                <w:sz w:val="22"/>
                <w:szCs w:val="22"/>
              </w:rPr>
              <w:t>2012</w:t>
            </w:r>
          </w:p>
        </w:tc>
        <w:tc>
          <w:tcPr>
            <w:tcW w:w="1300" w:type="dxa"/>
            <w:shd w:val="clear" w:color="auto" w:fill="auto"/>
            <w:noWrap/>
            <w:vAlign w:val="center"/>
            <w:hideMark/>
          </w:tcPr>
          <w:p w14:paraId="41CCB2B0" w14:textId="77777777" w:rsidR="00D0662D" w:rsidRPr="00903F45" w:rsidRDefault="00D0662D" w:rsidP="000D7AB4">
            <w:pPr>
              <w:rPr>
                <w:color w:val="000000"/>
                <w:sz w:val="22"/>
                <w:szCs w:val="22"/>
              </w:rPr>
            </w:pPr>
            <w:r w:rsidRPr="00903F45">
              <w:rPr>
                <w:color w:val="000000"/>
                <w:sz w:val="22"/>
                <w:szCs w:val="22"/>
              </w:rPr>
              <w:t>21.2</w:t>
            </w:r>
          </w:p>
        </w:tc>
      </w:tr>
      <w:tr w:rsidR="00D0662D" w:rsidRPr="00903F45" w14:paraId="60C01F3E" w14:textId="77777777" w:rsidTr="00D0662D">
        <w:trPr>
          <w:trHeight w:val="300"/>
        </w:trPr>
        <w:tc>
          <w:tcPr>
            <w:tcW w:w="1300" w:type="dxa"/>
            <w:shd w:val="clear" w:color="auto" w:fill="auto"/>
            <w:noWrap/>
            <w:vAlign w:val="center"/>
            <w:hideMark/>
          </w:tcPr>
          <w:p w14:paraId="6443E0F8" w14:textId="77777777" w:rsidR="00D0662D" w:rsidRPr="00903F45" w:rsidRDefault="00D0662D" w:rsidP="000D7AB4">
            <w:pPr>
              <w:rPr>
                <w:color w:val="000000"/>
                <w:sz w:val="22"/>
                <w:szCs w:val="22"/>
              </w:rPr>
            </w:pPr>
            <w:r w:rsidRPr="00903F45">
              <w:rPr>
                <w:color w:val="000000"/>
                <w:sz w:val="22"/>
                <w:szCs w:val="22"/>
              </w:rPr>
              <w:t>2013</w:t>
            </w:r>
          </w:p>
        </w:tc>
        <w:tc>
          <w:tcPr>
            <w:tcW w:w="1300" w:type="dxa"/>
            <w:shd w:val="clear" w:color="auto" w:fill="auto"/>
            <w:noWrap/>
            <w:vAlign w:val="center"/>
            <w:hideMark/>
          </w:tcPr>
          <w:p w14:paraId="1B1A7325" w14:textId="77777777" w:rsidR="00D0662D" w:rsidRPr="00903F45" w:rsidRDefault="00D0662D" w:rsidP="000D7AB4">
            <w:pPr>
              <w:rPr>
                <w:color w:val="000000"/>
                <w:sz w:val="22"/>
                <w:szCs w:val="22"/>
              </w:rPr>
            </w:pPr>
            <w:r w:rsidRPr="00903F45">
              <w:rPr>
                <w:color w:val="000000"/>
                <w:sz w:val="22"/>
                <w:szCs w:val="22"/>
              </w:rPr>
              <w:t>15.1</w:t>
            </w:r>
          </w:p>
        </w:tc>
      </w:tr>
      <w:tr w:rsidR="00D0662D" w:rsidRPr="00903F45" w14:paraId="7DFFD5B9" w14:textId="77777777" w:rsidTr="00D0662D">
        <w:trPr>
          <w:trHeight w:val="300"/>
        </w:trPr>
        <w:tc>
          <w:tcPr>
            <w:tcW w:w="1300" w:type="dxa"/>
            <w:shd w:val="clear" w:color="auto" w:fill="auto"/>
            <w:noWrap/>
            <w:vAlign w:val="center"/>
            <w:hideMark/>
          </w:tcPr>
          <w:p w14:paraId="457B6E55" w14:textId="77777777" w:rsidR="00D0662D" w:rsidRPr="00903F45" w:rsidRDefault="00D0662D" w:rsidP="000D7AB4">
            <w:pPr>
              <w:rPr>
                <w:color w:val="000000"/>
                <w:sz w:val="22"/>
                <w:szCs w:val="22"/>
              </w:rPr>
            </w:pPr>
            <w:r w:rsidRPr="00903F45">
              <w:rPr>
                <w:color w:val="000000"/>
                <w:sz w:val="22"/>
                <w:szCs w:val="22"/>
              </w:rPr>
              <w:t>2014</w:t>
            </w:r>
          </w:p>
        </w:tc>
        <w:tc>
          <w:tcPr>
            <w:tcW w:w="1300" w:type="dxa"/>
            <w:shd w:val="clear" w:color="auto" w:fill="auto"/>
            <w:noWrap/>
            <w:vAlign w:val="center"/>
            <w:hideMark/>
          </w:tcPr>
          <w:p w14:paraId="2B44806E" w14:textId="77777777" w:rsidR="00D0662D" w:rsidRPr="00903F45" w:rsidRDefault="00D0662D" w:rsidP="000D7AB4">
            <w:pPr>
              <w:rPr>
                <w:color w:val="000000"/>
                <w:sz w:val="22"/>
                <w:szCs w:val="22"/>
              </w:rPr>
            </w:pPr>
            <w:r w:rsidRPr="00903F45">
              <w:rPr>
                <w:color w:val="000000"/>
                <w:sz w:val="22"/>
                <w:szCs w:val="22"/>
              </w:rPr>
              <w:t>17.9</w:t>
            </w:r>
          </w:p>
        </w:tc>
      </w:tr>
      <w:tr w:rsidR="00D0662D" w:rsidRPr="00903F45" w14:paraId="7BE22045" w14:textId="77777777" w:rsidTr="00D0662D">
        <w:trPr>
          <w:trHeight w:val="300"/>
        </w:trPr>
        <w:tc>
          <w:tcPr>
            <w:tcW w:w="1300" w:type="dxa"/>
            <w:shd w:val="clear" w:color="auto" w:fill="auto"/>
            <w:noWrap/>
            <w:vAlign w:val="center"/>
            <w:hideMark/>
          </w:tcPr>
          <w:p w14:paraId="5AB70B46" w14:textId="77777777" w:rsidR="00D0662D" w:rsidRPr="00903F45" w:rsidRDefault="00D0662D" w:rsidP="000D7AB4">
            <w:pPr>
              <w:rPr>
                <w:b/>
                <w:color w:val="000000"/>
                <w:sz w:val="22"/>
                <w:szCs w:val="22"/>
              </w:rPr>
            </w:pPr>
            <w:r w:rsidRPr="00903F45">
              <w:rPr>
                <w:b/>
                <w:color w:val="000000"/>
                <w:sz w:val="22"/>
                <w:szCs w:val="22"/>
              </w:rPr>
              <w:t>Average</w:t>
            </w:r>
          </w:p>
        </w:tc>
        <w:tc>
          <w:tcPr>
            <w:tcW w:w="1300" w:type="dxa"/>
            <w:shd w:val="clear" w:color="auto" w:fill="auto"/>
            <w:noWrap/>
            <w:vAlign w:val="center"/>
            <w:hideMark/>
          </w:tcPr>
          <w:p w14:paraId="3B385A04" w14:textId="77777777" w:rsidR="00D0662D" w:rsidRPr="00903F45" w:rsidRDefault="00D0662D" w:rsidP="000D7AB4">
            <w:pPr>
              <w:rPr>
                <w:b/>
                <w:color w:val="000000"/>
                <w:sz w:val="22"/>
                <w:szCs w:val="22"/>
              </w:rPr>
            </w:pPr>
            <w:r w:rsidRPr="00903F45">
              <w:rPr>
                <w:b/>
                <w:color w:val="000000"/>
                <w:sz w:val="22"/>
                <w:szCs w:val="22"/>
              </w:rPr>
              <w:t>15.9</w:t>
            </w:r>
          </w:p>
        </w:tc>
      </w:tr>
    </w:tbl>
    <w:p w14:paraId="73424FCC" w14:textId="6866495A" w:rsidR="00D0662D" w:rsidRPr="002D40D8" w:rsidRDefault="00D0662D" w:rsidP="0055735E">
      <w:pPr>
        <w:ind w:left="720"/>
        <w:rPr>
          <w:rFonts w:ascii="Arial" w:hAnsi="Arial" w:cs="Arial"/>
          <w:sz w:val="20"/>
          <w:szCs w:val="20"/>
        </w:rPr>
      </w:pPr>
      <w:r w:rsidRPr="002D40D8">
        <w:rPr>
          <w:rFonts w:ascii="Arial" w:hAnsi="Arial" w:cs="Arial"/>
          <w:sz w:val="20"/>
          <w:szCs w:val="20"/>
        </w:rPr>
        <w:t>Note: PSE = Percent Standard Error. The PSE is a measure of precision presented for recreational estimates. The higher the PSE, the less precise the estimate.  The average PSE value for the most recent 5 complete years of recreational data would be used in the equation.</w:t>
      </w:r>
    </w:p>
    <w:p w14:paraId="1D60C663" w14:textId="5E2DD8CD" w:rsidR="00D66B86" w:rsidRPr="00D66B86" w:rsidRDefault="00161162" w:rsidP="0055735E">
      <w:pPr>
        <w:ind w:left="720"/>
      </w:pPr>
      <w:r w:rsidRPr="00D66B86">
        <w:rPr>
          <w:b/>
        </w:rPr>
        <w:t>Preferred Sub-alternative 2b.</w:t>
      </w:r>
      <w:r w:rsidRPr="00D66B86">
        <w:t xml:space="preserve"> ACT =85% recreational ACL.</w:t>
      </w:r>
    </w:p>
    <w:p w14:paraId="04AB9EB1" w14:textId="25623A58" w:rsidR="00180459" w:rsidRDefault="00161162" w:rsidP="00D0662D">
      <w:pPr>
        <w:ind w:left="720"/>
        <w:sectPr w:rsidR="00180459" w:rsidSect="001D534D">
          <w:footerReference w:type="even" r:id="rId33"/>
          <w:footerReference w:type="default" r:id="rId34"/>
          <w:footerReference w:type="first" r:id="rId35"/>
          <w:pgSz w:w="12240" w:h="15840"/>
          <w:pgMar w:top="1440" w:right="1440" w:bottom="1440" w:left="1440" w:header="720" w:footer="539" w:gutter="0"/>
          <w:cols w:space="720"/>
          <w:docGrid w:linePitch="360"/>
        </w:sectPr>
      </w:pPr>
      <w:r w:rsidRPr="00D66B86">
        <w:rPr>
          <w:b/>
        </w:rPr>
        <w:t>Sub-alternative 2c.</w:t>
      </w:r>
      <w:r w:rsidRPr="00D66B86">
        <w:t xml:space="preserve"> A</w:t>
      </w:r>
      <w:r w:rsidR="00D0662D">
        <w:t>CT = 75% recreational ACL</w:t>
      </w:r>
    </w:p>
    <w:p w14:paraId="21663F06" w14:textId="77777777" w:rsidR="00180459" w:rsidRDefault="00180459" w:rsidP="00CC558E">
      <w:pPr>
        <w:sectPr w:rsidR="00180459" w:rsidSect="008E4EC7">
          <w:type w:val="continuous"/>
          <w:pgSz w:w="12240" w:h="15840"/>
          <w:pgMar w:top="1440" w:right="1440" w:bottom="1440" w:left="1440" w:header="720" w:footer="539" w:gutter="0"/>
          <w:cols w:num="2" w:space="720"/>
          <w:titlePg/>
          <w:docGrid w:linePitch="360"/>
        </w:sectPr>
      </w:pPr>
    </w:p>
    <w:p w14:paraId="47C46142" w14:textId="6237BC20" w:rsidR="00180459" w:rsidRPr="00AE5EFD" w:rsidRDefault="00AE5EFD" w:rsidP="00AE5EFD">
      <w:pPr>
        <w:pStyle w:val="Heading2"/>
        <w:rPr>
          <w:rFonts w:ascii="Arial" w:hAnsi="Arial" w:cs="Arial"/>
        </w:rPr>
      </w:pPr>
      <w:bookmarkStart w:id="73" w:name="_Toc339811705"/>
      <w:r w:rsidRPr="00AE5EFD">
        <w:rPr>
          <w:rFonts w:ascii="Arial" w:hAnsi="Arial" w:cs="Arial"/>
        </w:rPr>
        <w:lastRenderedPageBreak/>
        <w:t>Comparison of Alternatives</w:t>
      </w:r>
      <w:bookmarkEnd w:id="73"/>
    </w:p>
    <w:p w14:paraId="2A9D53FE" w14:textId="76123F97" w:rsidR="00F85B65" w:rsidRDefault="0008484D" w:rsidP="00F85B65">
      <w:pPr>
        <w:ind w:firstLine="360"/>
      </w:pPr>
      <w:r w:rsidRPr="00FE5ECC">
        <w:t>The N</w:t>
      </w:r>
      <w:r>
        <w:t xml:space="preserve">ational </w:t>
      </w:r>
      <w:r w:rsidRPr="00FE5ECC">
        <w:t>S</w:t>
      </w:r>
      <w:r>
        <w:t xml:space="preserve">tandard </w:t>
      </w:r>
      <w:r w:rsidRPr="00FE5ECC">
        <w:t xml:space="preserve">1 </w:t>
      </w:r>
      <w:r>
        <w:t xml:space="preserve">(NS1) </w:t>
      </w:r>
      <w:r w:rsidRPr="00FE5ECC">
        <w:t xml:space="preserve">guidelines recommend the use of </w:t>
      </w:r>
      <w:r>
        <w:t>ACTs</w:t>
      </w:r>
      <w:r w:rsidRPr="00FE5ECC">
        <w:t xml:space="preserve"> </w:t>
      </w:r>
      <w:r>
        <w:t xml:space="preserve">to prevent </w:t>
      </w:r>
      <w:r w:rsidRPr="00FE5ECC">
        <w:t>ACL</w:t>
      </w:r>
      <w:r>
        <w:t>s from being</w:t>
      </w:r>
      <w:r w:rsidRPr="00FE5ECC">
        <w:t xml:space="preserve"> exceeded.  For </w:t>
      </w:r>
      <w:r>
        <w:t>species</w:t>
      </w:r>
      <w:r w:rsidRPr="00FE5ECC">
        <w:t xml:space="preserve"> without in-season management control</w:t>
      </w:r>
      <w:r>
        <w:t>, managers</w:t>
      </w:r>
      <w:r w:rsidRPr="00FE5ECC">
        <w:t xml:space="preserve"> may utilize ACTs that are set below </w:t>
      </w:r>
      <w:r w:rsidR="00FD51DC">
        <w:t>annual catch limits (</w:t>
      </w:r>
      <w:r w:rsidRPr="00FE5ECC">
        <w:t>ACLs</w:t>
      </w:r>
      <w:r w:rsidR="00FD51DC">
        <w:t>)</w:t>
      </w:r>
      <w:r w:rsidRPr="00FE5ECC">
        <w:t xml:space="preserve"> so that catches do not exceed the ACLs.  </w:t>
      </w:r>
      <w:r w:rsidR="00F85B65" w:rsidRPr="00FE5ECC">
        <w:t xml:space="preserve">If an ACT is specified as part of the </w:t>
      </w:r>
      <w:r w:rsidR="00F85B65">
        <w:t xml:space="preserve">system of </w:t>
      </w:r>
      <w:r w:rsidR="007D1C98">
        <w:t>accountability measures (</w:t>
      </w:r>
      <w:r w:rsidR="00F85B65">
        <w:t>AMs</w:t>
      </w:r>
      <w:r w:rsidR="007D1C98">
        <w:t>)</w:t>
      </w:r>
      <w:r w:rsidR="00F85B65">
        <w:t xml:space="preserve"> </w:t>
      </w:r>
      <w:r w:rsidR="00F85B65" w:rsidRPr="00FE5ECC">
        <w:t xml:space="preserve">for </w:t>
      </w:r>
      <w:r w:rsidR="00F85B65">
        <w:t>mutton snapper</w:t>
      </w:r>
      <w:r w:rsidR="00F85B65">
        <w:fldChar w:fldCharType="begin"/>
      </w:r>
      <w:r w:rsidR="00F85B65">
        <w:instrText xml:space="preserve"> XE "</w:instrText>
      </w:r>
      <w:r w:rsidR="008449D0">
        <w:instrText>mutton snapper</w:instrText>
      </w:r>
      <w:r w:rsidR="00F85B65">
        <w:instrText xml:space="preserve">" </w:instrText>
      </w:r>
      <w:r w:rsidR="00F85B65">
        <w:fldChar w:fldCharType="end"/>
      </w:r>
      <w:r w:rsidR="00F85B65" w:rsidRPr="00FE5ECC">
        <w:t>, an ACT control rule that accounts for management uncertainty may be utilized for setting the ACT.  The objective for est</w:t>
      </w:r>
      <w:r w:rsidR="00F85B65">
        <w:t>ablishing an ACT and related AMs</w:t>
      </w:r>
      <w:r w:rsidR="00F85B65" w:rsidRPr="00FE5ECC">
        <w:t xml:space="preserve"> is </w:t>
      </w:r>
      <w:r w:rsidR="00F85B65">
        <w:t>to prevent the ACL from being exceeded</w:t>
      </w:r>
      <w:r w:rsidR="00F85B65" w:rsidRPr="00FE5ECC">
        <w:t>.</w:t>
      </w:r>
      <w:r w:rsidR="00F85B65">
        <w:t xml:space="preserve">  </w:t>
      </w:r>
      <w:r w:rsidR="00F85B65" w:rsidRPr="00007A84">
        <w:t>In managing the snapper grouper fishery</w:t>
      </w:r>
      <w:r w:rsidR="007D1C98" w:rsidRPr="00007A84">
        <w:t>,</w:t>
      </w:r>
      <w:r w:rsidR="00F85B65" w:rsidRPr="00007A84">
        <w:t xml:space="preserve"> however, the South Atlantic Council has chosen not to use ACTs to trigger AMs because it is anticipated that improvements in reporting will reduce management uncertainty.  Should the South Atlantic Council, in the future, utilize ACTs to manage recreational harvest, these values </w:t>
      </w:r>
      <w:r w:rsidR="00461AA3" w:rsidRPr="00007A84">
        <w:t xml:space="preserve">would </w:t>
      </w:r>
      <w:r w:rsidR="00F85B65" w:rsidRPr="00007A84">
        <w:t>already have been specified and become part of the regulations.</w:t>
      </w:r>
    </w:p>
    <w:p w14:paraId="166AB0FC" w14:textId="77777777" w:rsidR="007D1C98" w:rsidRDefault="007D1C98" w:rsidP="00F85B65">
      <w:pPr>
        <w:ind w:firstLine="360"/>
      </w:pPr>
    </w:p>
    <w:p w14:paraId="3546392B" w14:textId="77777777" w:rsidR="007D1C98" w:rsidRDefault="007D1C98" w:rsidP="007D1C98">
      <w:pPr>
        <w:ind w:firstLine="360"/>
      </w:pPr>
      <w:r w:rsidRPr="00BE56AA">
        <w:rPr>
          <w:b/>
        </w:rPr>
        <w:t xml:space="preserve">Table </w:t>
      </w:r>
      <w:r>
        <w:rPr>
          <w:b/>
        </w:rPr>
        <w:t>2.4.1</w:t>
      </w:r>
      <w:r>
        <w:t xml:space="preserve"> shows recreational ACTs for mutton snapper under each of the proposed ACL alternatives from Action 3.</w:t>
      </w:r>
    </w:p>
    <w:p w14:paraId="620BEF13" w14:textId="77777777" w:rsidR="007D1C98" w:rsidRDefault="007D1C98" w:rsidP="007D1C98">
      <w:pPr>
        <w:ind w:firstLine="360"/>
      </w:pPr>
    </w:p>
    <w:p w14:paraId="29C96B72" w14:textId="77777777" w:rsidR="007D1C98" w:rsidRDefault="007D1C98">
      <w:pPr>
        <w:rPr>
          <w:rFonts w:ascii="Arial" w:hAnsi="Arial"/>
          <w:b/>
          <w:bCs/>
          <w:sz w:val="20"/>
        </w:rPr>
      </w:pPr>
      <w:r>
        <w:rPr>
          <w:b/>
        </w:rPr>
        <w:br w:type="page"/>
      </w:r>
    </w:p>
    <w:p w14:paraId="7EDF9E8A" w14:textId="16147496" w:rsidR="007D1C98" w:rsidRPr="0055735E" w:rsidRDefault="007D1C98" w:rsidP="007D1C98">
      <w:pPr>
        <w:pStyle w:val="Tabletitle"/>
      </w:pPr>
      <w:bookmarkStart w:id="74" w:name="_Toc340431543"/>
      <w:r>
        <w:rPr>
          <w:b/>
        </w:rPr>
        <w:lastRenderedPageBreak/>
        <w:t>Table 2.4.1</w:t>
      </w:r>
      <w:r w:rsidRPr="00BE56AA">
        <w:rPr>
          <w:b/>
        </w:rPr>
        <w:t>.</w:t>
      </w:r>
      <w:r w:rsidRPr="00BE56AA">
        <w:t xml:space="preserve">  Proposed recreational annual catch targets (ACTs) in </w:t>
      </w:r>
      <w:r>
        <w:t xml:space="preserve">pounds whole weight (lbs ww) for proposes sub-alternatives under </w:t>
      </w:r>
      <w:r w:rsidRPr="00FD51DC">
        <w:rPr>
          <w:b/>
        </w:rPr>
        <w:t>Preferred Alternative 2</w:t>
      </w:r>
      <w:r>
        <w:t>.</w:t>
      </w:r>
      <w:bookmarkEnd w:id="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980"/>
        <w:gridCol w:w="2127"/>
        <w:gridCol w:w="1915"/>
        <w:gridCol w:w="1916"/>
      </w:tblGrid>
      <w:tr w:rsidR="007D1C98" w:rsidRPr="00873B9E" w14:paraId="0CDEBEF1" w14:textId="77777777" w:rsidTr="007D1C98">
        <w:trPr>
          <w:trHeight w:val="251"/>
          <w:tblHeader/>
          <w:jc w:val="center"/>
        </w:trPr>
        <w:tc>
          <w:tcPr>
            <w:tcW w:w="9576" w:type="dxa"/>
            <w:gridSpan w:val="5"/>
            <w:shd w:val="clear" w:color="000000" w:fill="D9D9D9"/>
            <w:noWrap/>
            <w:vAlign w:val="center"/>
          </w:tcPr>
          <w:p w14:paraId="63D210E3" w14:textId="77777777" w:rsidR="007D1C98" w:rsidRPr="00873B9E" w:rsidRDefault="007D1C98" w:rsidP="007D1C98">
            <w:pPr>
              <w:jc w:val="center"/>
              <w:rPr>
                <w:b/>
                <w:bCs/>
                <w:color w:val="000000"/>
                <w:sz w:val="22"/>
                <w:szCs w:val="22"/>
              </w:rPr>
            </w:pPr>
            <w:r w:rsidRPr="00873B9E">
              <w:rPr>
                <w:b/>
                <w:bCs/>
                <w:color w:val="000000"/>
                <w:sz w:val="22"/>
                <w:szCs w:val="22"/>
              </w:rPr>
              <w:t>Preferred Sub-alternative 2a (Action 3)</w:t>
            </w:r>
            <w:r>
              <w:rPr>
                <w:b/>
                <w:bCs/>
                <w:color w:val="000000"/>
                <w:sz w:val="22"/>
                <w:szCs w:val="22"/>
              </w:rPr>
              <w:t xml:space="preserve">: </w:t>
            </w:r>
            <w:r w:rsidRPr="00873B9E">
              <w:rPr>
                <w:b/>
                <w:bCs/>
                <w:color w:val="000000"/>
                <w:sz w:val="22"/>
                <w:szCs w:val="22"/>
              </w:rPr>
              <w:t>ACL = OY = ABC</w:t>
            </w:r>
          </w:p>
        </w:tc>
      </w:tr>
      <w:tr w:rsidR="007D1C98" w:rsidRPr="00873B9E" w14:paraId="4DB61027" w14:textId="77777777" w:rsidTr="007D1C98">
        <w:trPr>
          <w:trHeight w:val="278"/>
          <w:tblHeader/>
          <w:jc w:val="center"/>
        </w:trPr>
        <w:tc>
          <w:tcPr>
            <w:tcW w:w="1638" w:type="dxa"/>
            <w:shd w:val="clear" w:color="000000" w:fill="D9D9D9"/>
            <w:noWrap/>
            <w:vAlign w:val="center"/>
            <w:hideMark/>
          </w:tcPr>
          <w:p w14:paraId="584FDB4C" w14:textId="77777777" w:rsidR="007D1C98" w:rsidRPr="00873B9E" w:rsidRDefault="007D1C98" w:rsidP="007D1C98">
            <w:pPr>
              <w:jc w:val="center"/>
              <w:rPr>
                <w:b/>
                <w:bCs/>
                <w:color w:val="000000"/>
                <w:sz w:val="22"/>
                <w:szCs w:val="22"/>
              </w:rPr>
            </w:pPr>
            <w:r w:rsidRPr="00873B9E">
              <w:rPr>
                <w:b/>
                <w:bCs/>
                <w:color w:val="000000"/>
                <w:sz w:val="22"/>
                <w:szCs w:val="22"/>
              </w:rPr>
              <w:t>Year</w:t>
            </w:r>
          </w:p>
        </w:tc>
        <w:tc>
          <w:tcPr>
            <w:tcW w:w="1980" w:type="dxa"/>
            <w:shd w:val="clear" w:color="000000" w:fill="D9D9D9"/>
            <w:noWrap/>
            <w:vAlign w:val="center"/>
            <w:hideMark/>
          </w:tcPr>
          <w:p w14:paraId="0A9CD1D9" w14:textId="77777777" w:rsidR="007D1C98" w:rsidRPr="00873B9E" w:rsidRDefault="007D1C98" w:rsidP="007D1C98">
            <w:pPr>
              <w:jc w:val="center"/>
              <w:rPr>
                <w:b/>
                <w:bCs/>
                <w:color w:val="000000"/>
                <w:sz w:val="22"/>
                <w:szCs w:val="22"/>
              </w:rPr>
            </w:pPr>
            <w:r w:rsidRPr="00873B9E">
              <w:rPr>
                <w:b/>
                <w:bCs/>
                <w:color w:val="000000"/>
                <w:sz w:val="22"/>
                <w:szCs w:val="22"/>
              </w:rPr>
              <w:t>Rec ACL (num)</w:t>
            </w:r>
          </w:p>
        </w:tc>
        <w:tc>
          <w:tcPr>
            <w:tcW w:w="2127" w:type="dxa"/>
            <w:shd w:val="clear" w:color="000000" w:fill="D9D9D9"/>
            <w:noWrap/>
            <w:vAlign w:val="center"/>
            <w:hideMark/>
          </w:tcPr>
          <w:p w14:paraId="3D2B2023" w14:textId="77777777" w:rsidR="007D1C98" w:rsidRPr="00873B9E" w:rsidRDefault="007D1C98" w:rsidP="007D1C98">
            <w:pPr>
              <w:jc w:val="center"/>
              <w:rPr>
                <w:b/>
                <w:bCs/>
                <w:color w:val="000000"/>
                <w:sz w:val="22"/>
                <w:szCs w:val="22"/>
              </w:rPr>
            </w:pPr>
            <w:r w:rsidRPr="00873B9E">
              <w:rPr>
                <w:b/>
                <w:bCs/>
                <w:color w:val="000000"/>
                <w:sz w:val="22"/>
                <w:szCs w:val="22"/>
              </w:rPr>
              <w:t>Sub-alt 2a</w:t>
            </w:r>
          </w:p>
        </w:tc>
        <w:tc>
          <w:tcPr>
            <w:tcW w:w="1915" w:type="dxa"/>
            <w:shd w:val="clear" w:color="000000" w:fill="D9D9D9"/>
            <w:noWrap/>
            <w:vAlign w:val="center"/>
            <w:hideMark/>
          </w:tcPr>
          <w:p w14:paraId="3A7CC24C" w14:textId="77777777" w:rsidR="007D1C98" w:rsidRPr="00873B9E" w:rsidRDefault="007D1C98" w:rsidP="007D1C98">
            <w:pPr>
              <w:jc w:val="center"/>
              <w:rPr>
                <w:b/>
                <w:bCs/>
                <w:color w:val="000000"/>
                <w:sz w:val="22"/>
                <w:szCs w:val="22"/>
              </w:rPr>
            </w:pPr>
            <w:r w:rsidRPr="00873B9E">
              <w:rPr>
                <w:b/>
                <w:bCs/>
                <w:color w:val="000000"/>
                <w:sz w:val="22"/>
                <w:szCs w:val="22"/>
              </w:rPr>
              <w:t>Pref Sub-alt 2b</w:t>
            </w:r>
          </w:p>
        </w:tc>
        <w:tc>
          <w:tcPr>
            <w:tcW w:w="1916" w:type="dxa"/>
            <w:shd w:val="clear" w:color="000000" w:fill="D9D9D9"/>
            <w:noWrap/>
            <w:vAlign w:val="center"/>
            <w:hideMark/>
          </w:tcPr>
          <w:p w14:paraId="5F36A072" w14:textId="77777777" w:rsidR="007D1C98" w:rsidRPr="00873B9E" w:rsidRDefault="007D1C98" w:rsidP="007D1C98">
            <w:pPr>
              <w:jc w:val="center"/>
              <w:rPr>
                <w:b/>
                <w:bCs/>
                <w:color w:val="000000"/>
                <w:sz w:val="22"/>
                <w:szCs w:val="22"/>
              </w:rPr>
            </w:pPr>
            <w:r w:rsidRPr="00873B9E">
              <w:rPr>
                <w:b/>
                <w:bCs/>
                <w:color w:val="000000"/>
                <w:sz w:val="22"/>
                <w:szCs w:val="22"/>
              </w:rPr>
              <w:t>Sub-alt 2c</w:t>
            </w:r>
          </w:p>
        </w:tc>
      </w:tr>
      <w:tr w:rsidR="007D1C98" w:rsidRPr="00873B9E" w14:paraId="2CBD5773" w14:textId="77777777" w:rsidTr="007D1C98">
        <w:trPr>
          <w:trHeight w:val="323"/>
          <w:jc w:val="center"/>
        </w:trPr>
        <w:tc>
          <w:tcPr>
            <w:tcW w:w="1638" w:type="dxa"/>
            <w:shd w:val="clear" w:color="auto" w:fill="auto"/>
            <w:vAlign w:val="center"/>
            <w:hideMark/>
          </w:tcPr>
          <w:p w14:paraId="5C9680BB" w14:textId="77777777" w:rsidR="007D1C98" w:rsidRPr="00873B9E" w:rsidRDefault="007D1C98" w:rsidP="007D1C98">
            <w:pPr>
              <w:jc w:val="center"/>
              <w:rPr>
                <w:color w:val="000000"/>
                <w:sz w:val="22"/>
                <w:szCs w:val="22"/>
              </w:rPr>
            </w:pPr>
            <w:r w:rsidRPr="00873B9E">
              <w:rPr>
                <w:sz w:val="22"/>
                <w:szCs w:val="22"/>
              </w:rPr>
              <w:t>2017</w:t>
            </w:r>
          </w:p>
        </w:tc>
        <w:tc>
          <w:tcPr>
            <w:tcW w:w="1980" w:type="dxa"/>
            <w:shd w:val="clear" w:color="auto" w:fill="auto"/>
            <w:noWrap/>
            <w:vAlign w:val="center"/>
            <w:hideMark/>
          </w:tcPr>
          <w:p w14:paraId="14D57A9A" w14:textId="77777777" w:rsidR="007D1C98" w:rsidRPr="00873B9E" w:rsidRDefault="007D1C98" w:rsidP="007D1C98">
            <w:pPr>
              <w:jc w:val="center"/>
              <w:rPr>
                <w:color w:val="000000"/>
                <w:sz w:val="22"/>
                <w:szCs w:val="22"/>
              </w:rPr>
            </w:pPr>
            <w:r w:rsidRPr="00873B9E">
              <w:rPr>
                <w:sz w:val="22"/>
                <w:szCs w:val="22"/>
              </w:rPr>
              <w:t>116,127</w:t>
            </w:r>
          </w:p>
        </w:tc>
        <w:tc>
          <w:tcPr>
            <w:tcW w:w="2127" w:type="dxa"/>
            <w:shd w:val="clear" w:color="auto" w:fill="auto"/>
            <w:noWrap/>
            <w:vAlign w:val="center"/>
            <w:hideMark/>
          </w:tcPr>
          <w:p w14:paraId="5CCD124D" w14:textId="77777777" w:rsidR="007D1C98" w:rsidRPr="00873B9E" w:rsidRDefault="007D1C98" w:rsidP="007D1C98">
            <w:pPr>
              <w:jc w:val="center"/>
              <w:rPr>
                <w:color w:val="000000"/>
                <w:sz w:val="22"/>
                <w:szCs w:val="22"/>
              </w:rPr>
            </w:pPr>
            <w:r w:rsidRPr="00873B9E">
              <w:rPr>
                <w:sz w:val="22"/>
                <w:szCs w:val="22"/>
              </w:rPr>
              <w:t>97,663</w:t>
            </w:r>
          </w:p>
        </w:tc>
        <w:tc>
          <w:tcPr>
            <w:tcW w:w="1915" w:type="dxa"/>
            <w:shd w:val="clear" w:color="auto" w:fill="auto"/>
            <w:noWrap/>
            <w:vAlign w:val="center"/>
            <w:hideMark/>
          </w:tcPr>
          <w:p w14:paraId="42440231" w14:textId="77777777" w:rsidR="007D1C98" w:rsidRPr="00873B9E" w:rsidRDefault="007D1C98" w:rsidP="007D1C98">
            <w:pPr>
              <w:jc w:val="center"/>
              <w:rPr>
                <w:color w:val="000000"/>
                <w:sz w:val="22"/>
                <w:szCs w:val="22"/>
              </w:rPr>
            </w:pPr>
            <w:r w:rsidRPr="00873B9E">
              <w:rPr>
                <w:sz w:val="22"/>
                <w:szCs w:val="22"/>
              </w:rPr>
              <w:t>98,708</w:t>
            </w:r>
          </w:p>
        </w:tc>
        <w:tc>
          <w:tcPr>
            <w:tcW w:w="1916" w:type="dxa"/>
            <w:shd w:val="clear" w:color="auto" w:fill="auto"/>
            <w:noWrap/>
            <w:vAlign w:val="center"/>
            <w:hideMark/>
          </w:tcPr>
          <w:p w14:paraId="4614F30F" w14:textId="77777777" w:rsidR="007D1C98" w:rsidRPr="00873B9E" w:rsidRDefault="007D1C98" w:rsidP="007D1C98">
            <w:pPr>
              <w:jc w:val="center"/>
              <w:rPr>
                <w:color w:val="000000"/>
                <w:sz w:val="22"/>
                <w:szCs w:val="22"/>
              </w:rPr>
            </w:pPr>
            <w:r w:rsidRPr="00873B9E">
              <w:rPr>
                <w:sz w:val="22"/>
                <w:szCs w:val="22"/>
              </w:rPr>
              <w:t>87,095</w:t>
            </w:r>
          </w:p>
        </w:tc>
      </w:tr>
      <w:tr w:rsidR="007D1C98" w:rsidRPr="00873B9E" w14:paraId="2EC10D31" w14:textId="77777777" w:rsidTr="007D1C98">
        <w:trPr>
          <w:trHeight w:val="170"/>
          <w:jc w:val="center"/>
        </w:trPr>
        <w:tc>
          <w:tcPr>
            <w:tcW w:w="1638" w:type="dxa"/>
            <w:shd w:val="clear" w:color="auto" w:fill="auto"/>
            <w:vAlign w:val="center"/>
            <w:hideMark/>
          </w:tcPr>
          <w:p w14:paraId="76D097D0" w14:textId="77777777" w:rsidR="007D1C98" w:rsidRPr="00873B9E" w:rsidRDefault="007D1C98" w:rsidP="007D1C98">
            <w:pPr>
              <w:jc w:val="center"/>
              <w:rPr>
                <w:color w:val="000000"/>
                <w:sz w:val="22"/>
                <w:szCs w:val="22"/>
              </w:rPr>
            </w:pPr>
            <w:r w:rsidRPr="00873B9E">
              <w:rPr>
                <w:sz w:val="22"/>
                <w:szCs w:val="22"/>
              </w:rPr>
              <w:t>2018</w:t>
            </w:r>
          </w:p>
        </w:tc>
        <w:tc>
          <w:tcPr>
            <w:tcW w:w="1980" w:type="dxa"/>
            <w:shd w:val="clear" w:color="auto" w:fill="auto"/>
            <w:noWrap/>
            <w:vAlign w:val="center"/>
            <w:hideMark/>
          </w:tcPr>
          <w:p w14:paraId="3B5CF9E1" w14:textId="77777777" w:rsidR="007D1C98" w:rsidRPr="00873B9E" w:rsidRDefault="007D1C98" w:rsidP="007D1C98">
            <w:pPr>
              <w:jc w:val="center"/>
              <w:rPr>
                <w:color w:val="000000"/>
                <w:sz w:val="22"/>
                <w:szCs w:val="22"/>
              </w:rPr>
            </w:pPr>
            <w:r w:rsidRPr="00873B9E">
              <w:rPr>
                <w:sz w:val="22"/>
                <w:szCs w:val="22"/>
              </w:rPr>
              <w:t>121,318</w:t>
            </w:r>
          </w:p>
        </w:tc>
        <w:tc>
          <w:tcPr>
            <w:tcW w:w="2127" w:type="dxa"/>
            <w:shd w:val="clear" w:color="auto" w:fill="auto"/>
            <w:noWrap/>
            <w:vAlign w:val="center"/>
            <w:hideMark/>
          </w:tcPr>
          <w:p w14:paraId="78EAF531" w14:textId="77777777" w:rsidR="007D1C98" w:rsidRPr="00903F45" w:rsidRDefault="007D1C98" w:rsidP="007D1C98">
            <w:pPr>
              <w:jc w:val="center"/>
              <w:rPr>
                <w:color w:val="000000"/>
                <w:sz w:val="22"/>
                <w:szCs w:val="22"/>
              </w:rPr>
            </w:pPr>
            <w:r w:rsidRPr="00903F45">
              <w:rPr>
                <w:sz w:val="22"/>
                <w:szCs w:val="22"/>
              </w:rPr>
              <w:t>102,029</w:t>
            </w:r>
          </w:p>
        </w:tc>
        <w:tc>
          <w:tcPr>
            <w:tcW w:w="1915" w:type="dxa"/>
            <w:shd w:val="clear" w:color="auto" w:fill="auto"/>
            <w:noWrap/>
            <w:vAlign w:val="center"/>
            <w:hideMark/>
          </w:tcPr>
          <w:p w14:paraId="68CD4B70" w14:textId="77777777" w:rsidR="007D1C98" w:rsidRPr="00903F45" w:rsidRDefault="007D1C98" w:rsidP="007D1C98">
            <w:pPr>
              <w:jc w:val="center"/>
              <w:rPr>
                <w:color w:val="000000"/>
                <w:sz w:val="22"/>
                <w:szCs w:val="22"/>
              </w:rPr>
            </w:pPr>
            <w:r w:rsidRPr="00903F45">
              <w:rPr>
                <w:sz w:val="22"/>
                <w:szCs w:val="22"/>
              </w:rPr>
              <w:t>103,121</w:t>
            </w:r>
          </w:p>
        </w:tc>
        <w:tc>
          <w:tcPr>
            <w:tcW w:w="1916" w:type="dxa"/>
            <w:shd w:val="clear" w:color="auto" w:fill="auto"/>
            <w:noWrap/>
            <w:vAlign w:val="center"/>
            <w:hideMark/>
          </w:tcPr>
          <w:p w14:paraId="26D40498" w14:textId="77777777" w:rsidR="007D1C98" w:rsidRPr="00903F45" w:rsidRDefault="007D1C98" w:rsidP="007D1C98">
            <w:pPr>
              <w:jc w:val="center"/>
              <w:rPr>
                <w:color w:val="000000"/>
                <w:sz w:val="22"/>
                <w:szCs w:val="22"/>
              </w:rPr>
            </w:pPr>
            <w:r w:rsidRPr="00903F45">
              <w:rPr>
                <w:sz w:val="22"/>
                <w:szCs w:val="22"/>
              </w:rPr>
              <w:t>90,989</w:t>
            </w:r>
          </w:p>
        </w:tc>
      </w:tr>
      <w:tr w:rsidR="007D1C98" w:rsidRPr="00873B9E" w14:paraId="0712767F" w14:textId="77777777" w:rsidTr="007D1C98">
        <w:trPr>
          <w:trHeight w:val="53"/>
          <w:jc w:val="center"/>
        </w:trPr>
        <w:tc>
          <w:tcPr>
            <w:tcW w:w="1638" w:type="dxa"/>
            <w:shd w:val="clear" w:color="auto" w:fill="auto"/>
            <w:vAlign w:val="center"/>
            <w:hideMark/>
          </w:tcPr>
          <w:p w14:paraId="3F23DFB3" w14:textId="77777777" w:rsidR="007D1C98" w:rsidRPr="00873B9E" w:rsidRDefault="007D1C98" w:rsidP="007D1C98">
            <w:pPr>
              <w:jc w:val="center"/>
              <w:rPr>
                <w:color w:val="000000"/>
                <w:sz w:val="22"/>
                <w:szCs w:val="22"/>
              </w:rPr>
            </w:pPr>
            <w:r w:rsidRPr="00873B9E">
              <w:rPr>
                <w:sz w:val="22"/>
                <w:szCs w:val="22"/>
              </w:rPr>
              <w:t>2019</w:t>
            </w:r>
          </w:p>
        </w:tc>
        <w:tc>
          <w:tcPr>
            <w:tcW w:w="1980" w:type="dxa"/>
            <w:shd w:val="clear" w:color="auto" w:fill="auto"/>
            <w:noWrap/>
            <w:vAlign w:val="center"/>
            <w:hideMark/>
          </w:tcPr>
          <w:p w14:paraId="5E49BA21" w14:textId="77777777" w:rsidR="007D1C98" w:rsidRPr="00873B9E" w:rsidRDefault="007D1C98" w:rsidP="007D1C98">
            <w:pPr>
              <w:jc w:val="center"/>
              <w:rPr>
                <w:color w:val="000000"/>
                <w:sz w:val="22"/>
                <w:szCs w:val="22"/>
              </w:rPr>
            </w:pPr>
            <w:r w:rsidRPr="00873B9E">
              <w:rPr>
                <w:sz w:val="22"/>
                <w:szCs w:val="22"/>
              </w:rPr>
              <w:t>124,766</w:t>
            </w:r>
          </w:p>
        </w:tc>
        <w:tc>
          <w:tcPr>
            <w:tcW w:w="2127" w:type="dxa"/>
            <w:shd w:val="clear" w:color="auto" w:fill="auto"/>
            <w:noWrap/>
            <w:vAlign w:val="center"/>
            <w:hideMark/>
          </w:tcPr>
          <w:p w14:paraId="4D76779A" w14:textId="77777777" w:rsidR="007D1C98" w:rsidRPr="00903F45" w:rsidRDefault="007D1C98" w:rsidP="007D1C98">
            <w:pPr>
              <w:jc w:val="center"/>
              <w:rPr>
                <w:color w:val="000000"/>
                <w:sz w:val="22"/>
                <w:szCs w:val="22"/>
              </w:rPr>
            </w:pPr>
            <w:r w:rsidRPr="00903F45">
              <w:rPr>
                <w:sz w:val="22"/>
                <w:szCs w:val="22"/>
              </w:rPr>
              <w:t>104,928</w:t>
            </w:r>
          </w:p>
        </w:tc>
        <w:tc>
          <w:tcPr>
            <w:tcW w:w="1915" w:type="dxa"/>
            <w:shd w:val="clear" w:color="auto" w:fill="auto"/>
            <w:noWrap/>
            <w:vAlign w:val="center"/>
            <w:hideMark/>
          </w:tcPr>
          <w:p w14:paraId="54D73333" w14:textId="77777777" w:rsidR="007D1C98" w:rsidRPr="00903F45" w:rsidRDefault="007D1C98" w:rsidP="007D1C98">
            <w:pPr>
              <w:jc w:val="center"/>
              <w:rPr>
                <w:color w:val="000000"/>
                <w:sz w:val="22"/>
                <w:szCs w:val="22"/>
              </w:rPr>
            </w:pPr>
            <w:r w:rsidRPr="00903F45">
              <w:rPr>
                <w:sz w:val="22"/>
                <w:szCs w:val="22"/>
              </w:rPr>
              <w:t>106,051</w:t>
            </w:r>
          </w:p>
        </w:tc>
        <w:tc>
          <w:tcPr>
            <w:tcW w:w="1916" w:type="dxa"/>
            <w:shd w:val="clear" w:color="auto" w:fill="auto"/>
            <w:noWrap/>
            <w:vAlign w:val="center"/>
            <w:hideMark/>
          </w:tcPr>
          <w:p w14:paraId="5ED406B7" w14:textId="77777777" w:rsidR="007D1C98" w:rsidRPr="00903F45" w:rsidRDefault="007D1C98" w:rsidP="007D1C98">
            <w:pPr>
              <w:jc w:val="center"/>
              <w:rPr>
                <w:color w:val="000000"/>
                <w:sz w:val="22"/>
                <w:szCs w:val="22"/>
              </w:rPr>
            </w:pPr>
            <w:r w:rsidRPr="00903F45">
              <w:rPr>
                <w:sz w:val="22"/>
                <w:szCs w:val="22"/>
              </w:rPr>
              <w:t>93,574</w:t>
            </w:r>
          </w:p>
        </w:tc>
      </w:tr>
      <w:tr w:rsidR="007D1C98" w:rsidRPr="00873B9E" w14:paraId="1316C8D0" w14:textId="77777777" w:rsidTr="007D1C98">
        <w:trPr>
          <w:trHeight w:val="53"/>
          <w:jc w:val="center"/>
        </w:trPr>
        <w:tc>
          <w:tcPr>
            <w:tcW w:w="1638" w:type="dxa"/>
            <w:shd w:val="clear" w:color="auto" w:fill="auto"/>
            <w:vAlign w:val="center"/>
            <w:hideMark/>
          </w:tcPr>
          <w:p w14:paraId="6A589BB5" w14:textId="77777777" w:rsidR="007D1C98" w:rsidRPr="00873B9E" w:rsidRDefault="007D1C98" w:rsidP="007D1C98">
            <w:pPr>
              <w:jc w:val="center"/>
              <w:rPr>
                <w:color w:val="000000"/>
                <w:sz w:val="22"/>
                <w:szCs w:val="22"/>
              </w:rPr>
            </w:pPr>
            <w:r w:rsidRPr="00873B9E">
              <w:rPr>
                <w:sz w:val="22"/>
                <w:szCs w:val="22"/>
              </w:rPr>
              <w:t>2020 onwards</w:t>
            </w:r>
          </w:p>
        </w:tc>
        <w:tc>
          <w:tcPr>
            <w:tcW w:w="1980" w:type="dxa"/>
            <w:shd w:val="clear" w:color="auto" w:fill="auto"/>
            <w:noWrap/>
            <w:vAlign w:val="center"/>
            <w:hideMark/>
          </w:tcPr>
          <w:p w14:paraId="645A6A15" w14:textId="77777777" w:rsidR="007D1C98" w:rsidRPr="00873B9E" w:rsidRDefault="007D1C98" w:rsidP="007D1C98">
            <w:pPr>
              <w:jc w:val="center"/>
              <w:rPr>
                <w:color w:val="000000"/>
                <w:sz w:val="22"/>
                <w:szCs w:val="22"/>
              </w:rPr>
            </w:pPr>
            <w:r w:rsidRPr="00873B9E">
              <w:rPr>
                <w:sz w:val="22"/>
                <w:szCs w:val="22"/>
              </w:rPr>
              <w:t>127,115</w:t>
            </w:r>
          </w:p>
        </w:tc>
        <w:tc>
          <w:tcPr>
            <w:tcW w:w="2127" w:type="dxa"/>
            <w:shd w:val="clear" w:color="auto" w:fill="auto"/>
            <w:noWrap/>
            <w:vAlign w:val="center"/>
            <w:hideMark/>
          </w:tcPr>
          <w:p w14:paraId="7BA4A714" w14:textId="77777777" w:rsidR="007D1C98" w:rsidRPr="00903F45" w:rsidRDefault="007D1C98" w:rsidP="007D1C98">
            <w:pPr>
              <w:jc w:val="center"/>
              <w:rPr>
                <w:color w:val="000000"/>
                <w:sz w:val="22"/>
                <w:szCs w:val="22"/>
              </w:rPr>
            </w:pPr>
            <w:r w:rsidRPr="00903F45">
              <w:rPr>
                <w:sz w:val="22"/>
                <w:szCs w:val="22"/>
              </w:rPr>
              <w:t>106,903</w:t>
            </w:r>
          </w:p>
        </w:tc>
        <w:tc>
          <w:tcPr>
            <w:tcW w:w="1915" w:type="dxa"/>
            <w:shd w:val="clear" w:color="auto" w:fill="auto"/>
            <w:noWrap/>
            <w:vAlign w:val="center"/>
            <w:hideMark/>
          </w:tcPr>
          <w:p w14:paraId="76AAA957" w14:textId="77777777" w:rsidR="007D1C98" w:rsidRPr="00903F45" w:rsidRDefault="007D1C98" w:rsidP="007D1C98">
            <w:pPr>
              <w:jc w:val="center"/>
              <w:rPr>
                <w:color w:val="000000"/>
                <w:sz w:val="22"/>
                <w:szCs w:val="22"/>
              </w:rPr>
            </w:pPr>
            <w:r w:rsidRPr="00903F45">
              <w:rPr>
                <w:sz w:val="22"/>
                <w:szCs w:val="22"/>
              </w:rPr>
              <w:t>108,048</w:t>
            </w:r>
          </w:p>
        </w:tc>
        <w:tc>
          <w:tcPr>
            <w:tcW w:w="1916" w:type="dxa"/>
            <w:shd w:val="clear" w:color="auto" w:fill="auto"/>
            <w:noWrap/>
            <w:vAlign w:val="center"/>
            <w:hideMark/>
          </w:tcPr>
          <w:p w14:paraId="0C2F7135" w14:textId="77777777" w:rsidR="007D1C98" w:rsidRPr="00903F45" w:rsidRDefault="007D1C98" w:rsidP="007D1C98">
            <w:pPr>
              <w:jc w:val="center"/>
              <w:rPr>
                <w:color w:val="000000"/>
                <w:sz w:val="22"/>
                <w:szCs w:val="22"/>
              </w:rPr>
            </w:pPr>
            <w:r w:rsidRPr="00903F45">
              <w:rPr>
                <w:sz w:val="22"/>
                <w:szCs w:val="22"/>
              </w:rPr>
              <w:t>95,336</w:t>
            </w:r>
          </w:p>
        </w:tc>
      </w:tr>
      <w:tr w:rsidR="007D1C98" w:rsidRPr="00873B9E" w14:paraId="02198E07" w14:textId="77777777" w:rsidTr="007D1C98">
        <w:trPr>
          <w:trHeight w:val="53"/>
          <w:jc w:val="center"/>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227CC5" w14:textId="77777777" w:rsidR="007D1C98" w:rsidRPr="00006826" w:rsidRDefault="007D1C98" w:rsidP="007D1C98">
            <w:pPr>
              <w:jc w:val="center"/>
              <w:rPr>
                <w:b/>
                <w:sz w:val="22"/>
                <w:szCs w:val="22"/>
              </w:rPr>
            </w:pPr>
            <w:r w:rsidRPr="00006826">
              <w:rPr>
                <w:b/>
                <w:sz w:val="22"/>
                <w:szCs w:val="22"/>
              </w:rPr>
              <w:t>Sub-alternative 2b (Action 3)</w:t>
            </w:r>
            <w:r>
              <w:rPr>
                <w:b/>
                <w:sz w:val="22"/>
                <w:szCs w:val="22"/>
              </w:rPr>
              <w:t xml:space="preserve">: </w:t>
            </w:r>
            <w:r w:rsidRPr="00006826">
              <w:rPr>
                <w:b/>
                <w:sz w:val="22"/>
                <w:szCs w:val="22"/>
              </w:rPr>
              <w:t>ACL = OY = 95%ABC</w:t>
            </w:r>
          </w:p>
        </w:tc>
      </w:tr>
      <w:tr w:rsidR="007D1C98" w:rsidRPr="00873B9E" w14:paraId="6D8511D8" w14:textId="77777777" w:rsidTr="007D1C98">
        <w:trPr>
          <w:trHeight w:val="53"/>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296A4AC8" w14:textId="77777777" w:rsidR="007D1C98" w:rsidRPr="00873B9E" w:rsidRDefault="007D1C98" w:rsidP="007D1C98">
            <w:pPr>
              <w:jc w:val="center"/>
              <w:rPr>
                <w:sz w:val="22"/>
                <w:szCs w:val="22"/>
              </w:rPr>
            </w:pPr>
            <w:r w:rsidRPr="00873B9E">
              <w:rPr>
                <w:sz w:val="22"/>
                <w:szCs w:val="22"/>
              </w:rPr>
              <w:t>2017</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3A2E3" w14:textId="77777777" w:rsidR="007D1C98" w:rsidRPr="00873B9E" w:rsidRDefault="007D1C98" w:rsidP="007D1C98">
            <w:pPr>
              <w:jc w:val="center"/>
              <w:rPr>
                <w:sz w:val="22"/>
                <w:szCs w:val="22"/>
              </w:rPr>
            </w:pPr>
            <w:r w:rsidRPr="00873B9E">
              <w:rPr>
                <w:sz w:val="22"/>
                <w:szCs w:val="22"/>
              </w:rPr>
              <w:t>110,321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CD335" w14:textId="77777777" w:rsidR="007D1C98" w:rsidRPr="00873B9E" w:rsidRDefault="007D1C98" w:rsidP="007D1C98">
            <w:pPr>
              <w:jc w:val="center"/>
              <w:rPr>
                <w:sz w:val="22"/>
                <w:szCs w:val="22"/>
              </w:rPr>
            </w:pPr>
            <w:r w:rsidRPr="00873B9E">
              <w:rPr>
                <w:sz w:val="22"/>
                <w:szCs w:val="22"/>
              </w:rPr>
              <w:t>92,780</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F4BBA" w14:textId="77777777" w:rsidR="007D1C98" w:rsidRPr="00903F45" w:rsidRDefault="007D1C98" w:rsidP="007D1C98">
            <w:pPr>
              <w:jc w:val="center"/>
              <w:rPr>
                <w:sz w:val="22"/>
                <w:szCs w:val="22"/>
              </w:rPr>
            </w:pPr>
            <w:r w:rsidRPr="00903F45">
              <w:rPr>
                <w:sz w:val="22"/>
                <w:szCs w:val="22"/>
              </w:rPr>
              <w:t>93,773</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9169B" w14:textId="77777777" w:rsidR="007D1C98" w:rsidRPr="00903F45" w:rsidRDefault="007D1C98" w:rsidP="007D1C98">
            <w:pPr>
              <w:jc w:val="center"/>
              <w:rPr>
                <w:sz w:val="22"/>
                <w:szCs w:val="22"/>
              </w:rPr>
            </w:pPr>
            <w:r w:rsidRPr="00903F45">
              <w:rPr>
                <w:sz w:val="22"/>
                <w:szCs w:val="22"/>
              </w:rPr>
              <w:t>82,741</w:t>
            </w:r>
          </w:p>
        </w:tc>
      </w:tr>
      <w:tr w:rsidR="007D1C98" w:rsidRPr="00873B9E" w14:paraId="533D5C13" w14:textId="77777777" w:rsidTr="007D1C98">
        <w:trPr>
          <w:trHeight w:val="53"/>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250A8DFF" w14:textId="77777777" w:rsidR="007D1C98" w:rsidRPr="00873B9E" w:rsidRDefault="007D1C98" w:rsidP="007D1C98">
            <w:pPr>
              <w:jc w:val="center"/>
              <w:rPr>
                <w:sz w:val="22"/>
                <w:szCs w:val="22"/>
              </w:rPr>
            </w:pPr>
            <w:r w:rsidRPr="00873B9E">
              <w:rPr>
                <w:sz w:val="22"/>
                <w:szCs w:val="22"/>
              </w:rPr>
              <w:t>2018</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6334D" w14:textId="77777777" w:rsidR="007D1C98" w:rsidRPr="00873B9E" w:rsidRDefault="007D1C98" w:rsidP="007D1C98">
            <w:pPr>
              <w:jc w:val="center"/>
              <w:rPr>
                <w:sz w:val="22"/>
                <w:szCs w:val="22"/>
              </w:rPr>
            </w:pPr>
            <w:r w:rsidRPr="00873B9E">
              <w:rPr>
                <w:sz w:val="22"/>
                <w:szCs w:val="22"/>
              </w:rPr>
              <w:t>115,252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AC546" w14:textId="77777777" w:rsidR="007D1C98" w:rsidRPr="00873B9E" w:rsidRDefault="007D1C98" w:rsidP="007D1C98">
            <w:pPr>
              <w:jc w:val="center"/>
              <w:rPr>
                <w:sz w:val="22"/>
                <w:szCs w:val="22"/>
              </w:rPr>
            </w:pPr>
            <w:r w:rsidRPr="00873B9E">
              <w:rPr>
                <w:sz w:val="22"/>
                <w:szCs w:val="22"/>
              </w:rPr>
              <w:t>96,927</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EE007" w14:textId="77777777" w:rsidR="007D1C98" w:rsidRPr="00903F45" w:rsidRDefault="007D1C98" w:rsidP="007D1C98">
            <w:pPr>
              <w:jc w:val="center"/>
              <w:rPr>
                <w:sz w:val="22"/>
                <w:szCs w:val="22"/>
              </w:rPr>
            </w:pPr>
            <w:r w:rsidRPr="00903F45">
              <w:rPr>
                <w:sz w:val="22"/>
                <w:szCs w:val="22"/>
              </w:rPr>
              <w:t>97,965</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53EF6" w14:textId="77777777" w:rsidR="007D1C98" w:rsidRPr="00903F45" w:rsidRDefault="007D1C98" w:rsidP="007D1C98">
            <w:pPr>
              <w:jc w:val="center"/>
              <w:rPr>
                <w:sz w:val="22"/>
                <w:szCs w:val="22"/>
              </w:rPr>
            </w:pPr>
            <w:r w:rsidRPr="00903F45">
              <w:rPr>
                <w:sz w:val="22"/>
                <w:szCs w:val="22"/>
              </w:rPr>
              <w:t>86,439</w:t>
            </w:r>
          </w:p>
        </w:tc>
      </w:tr>
      <w:tr w:rsidR="007D1C98" w:rsidRPr="00873B9E" w14:paraId="2FC3A243" w14:textId="77777777" w:rsidTr="007D1C98">
        <w:trPr>
          <w:trHeight w:val="53"/>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740236A4" w14:textId="77777777" w:rsidR="007D1C98" w:rsidRPr="00873B9E" w:rsidRDefault="007D1C98" w:rsidP="007D1C98">
            <w:pPr>
              <w:jc w:val="center"/>
              <w:rPr>
                <w:sz w:val="22"/>
                <w:szCs w:val="22"/>
              </w:rPr>
            </w:pPr>
            <w:r w:rsidRPr="00873B9E">
              <w:rPr>
                <w:sz w:val="22"/>
                <w:szCs w:val="22"/>
              </w:rPr>
              <w:t>2019</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72771" w14:textId="77777777" w:rsidR="007D1C98" w:rsidRPr="00873B9E" w:rsidRDefault="007D1C98" w:rsidP="007D1C98">
            <w:pPr>
              <w:jc w:val="center"/>
              <w:rPr>
                <w:sz w:val="22"/>
                <w:szCs w:val="22"/>
              </w:rPr>
            </w:pPr>
            <w:r w:rsidRPr="00873B9E">
              <w:rPr>
                <w:sz w:val="22"/>
                <w:szCs w:val="22"/>
              </w:rPr>
              <w:t>118,528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0E941" w14:textId="77777777" w:rsidR="007D1C98" w:rsidRPr="00873B9E" w:rsidRDefault="007D1C98" w:rsidP="007D1C98">
            <w:pPr>
              <w:jc w:val="center"/>
              <w:rPr>
                <w:sz w:val="22"/>
                <w:szCs w:val="22"/>
              </w:rPr>
            </w:pPr>
            <w:r w:rsidRPr="00873B9E">
              <w:rPr>
                <w:sz w:val="22"/>
                <w:szCs w:val="22"/>
              </w:rPr>
              <w:t>99,682</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115DE" w14:textId="77777777" w:rsidR="007D1C98" w:rsidRPr="00903F45" w:rsidRDefault="007D1C98" w:rsidP="007D1C98">
            <w:pPr>
              <w:jc w:val="center"/>
              <w:rPr>
                <w:sz w:val="22"/>
                <w:szCs w:val="22"/>
              </w:rPr>
            </w:pPr>
            <w:r w:rsidRPr="00903F45">
              <w:rPr>
                <w:sz w:val="22"/>
                <w:szCs w:val="22"/>
              </w:rPr>
              <w:t>100,749</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0A26A" w14:textId="77777777" w:rsidR="007D1C98" w:rsidRPr="00903F45" w:rsidRDefault="007D1C98" w:rsidP="007D1C98">
            <w:pPr>
              <w:jc w:val="center"/>
              <w:rPr>
                <w:sz w:val="22"/>
                <w:szCs w:val="22"/>
              </w:rPr>
            </w:pPr>
            <w:r w:rsidRPr="00903F45">
              <w:rPr>
                <w:sz w:val="22"/>
                <w:szCs w:val="22"/>
              </w:rPr>
              <w:t>88,896</w:t>
            </w:r>
          </w:p>
        </w:tc>
      </w:tr>
      <w:tr w:rsidR="007D1C98" w:rsidRPr="00873B9E" w14:paraId="3A355F7F" w14:textId="77777777" w:rsidTr="007D1C98">
        <w:trPr>
          <w:trHeight w:val="53"/>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7F34B170" w14:textId="77777777" w:rsidR="007D1C98" w:rsidRPr="00873B9E" w:rsidRDefault="007D1C98" w:rsidP="007D1C98">
            <w:pPr>
              <w:jc w:val="center"/>
              <w:rPr>
                <w:sz w:val="22"/>
                <w:szCs w:val="22"/>
              </w:rPr>
            </w:pPr>
            <w:r w:rsidRPr="00873B9E">
              <w:rPr>
                <w:sz w:val="22"/>
                <w:szCs w:val="22"/>
              </w:rPr>
              <w:t>2020 onwards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8125F" w14:textId="77777777" w:rsidR="007D1C98" w:rsidRPr="00873B9E" w:rsidRDefault="007D1C98" w:rsidP="007D1C98">
            <w:pPr>
              <w:jc w:val="center"/>
              <w:rPr>
                <w:sz w:val="22"/>
                <w:szCs w:val="22"/>
              </w:rPr>
            </w:pPr>
            <w:r w:rsidRPr="00873B9E">
              <w:rPr>
                <w:sz w:val="22"/>
                <w:szCs w:val="22"/>
              </w:rPr>
              <w:t>120,759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58394" w14:textId="77777777" w:rsidR="007D1C98" w:rsidRPr="00903F45" w:rsidRDefault="007D1C98" w:rsidP="007D1C98">
            <w:pPr>
              <w:jc w:val="center"/>
              <w:rPr>
                <w:sz w:val="22"/>
                <w:szCs w:val="22"/>
              </w:rPr>
            </w:pPr>
            <w:r w:rsidRPr="00903F45">
              <w:rPr>
                <w:sz w:val="22"/>
                <w:szCs w:val="22"/>
              </w:rPr>
              <w:t>101,558</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5A007" w14:textId="77777777" w:rsidR="007D1C98" w:rsidRPr="00903F45" w:rsidRDefault="007D1C98" w:rsidP="007D1C98">
            <w:pPr>
              <w:jc w:val="center"/>
              <w:rPr>
                <w:sz w:val="22"/>
                <w:szCs w:val="22"/>
              </w:rPr>
            </w:pPr>
            <w:r w:rsidRPr="00903F45">
              <w:rPr>
                <w:sz w:val="22"/>
                <w:szCs w:val="22"/>
              </w:rPr>
              <w:t>102,645</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90F85" w14:textId="77777777" w:rsidR="007D1C98" w:rsidRPr="00903F45" w:rsidRDefault="007D1C98" w:rsidP="007D1C98">
            <w:pPr>
              <w:jc w:val="center"/>
              <w:rPr>
                <w:sz w:val="22"/>
                <w:szCs w:val="22"/>
              </w:rPr>
            </w:pPr>
            <w:r w:rsidRPr="00903F45">
              <w:rPr>
                <w:sz w:val="22"/>
                <w:szCs w:val="22"/>
              </w:rPr>
              <w:t>90,569</w:t>
            </w:r>
          </w:p>
        </w:tc>
      </w:tr>
      <w:tr w:rsidR="007D1C98" w:rsidRPr="00873B9E" w14:paraId="2C8B2441" w14:textId="77777777" w:rsidTr="007D1C98">
        <w:trPr>
          <w:trHeight w:val="53"/>
          <w:jc w:val="center"/>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9D607B" w14:textId="77777777" w:rsidR="007D1C98" w:rsidRPr="00873B9E" w:rsidRDefault="007D1C98" w:rsidP="007D1C98">
            <w:pPr>
              <w:jc w:val="center"/>
              <w:rPr>
                <w:b/>
                <w:sz w:val="22"/>
                <w:szCs w:val="22"/>
              </w:rPr>
            </w:pPr>
            <w:r w:rsidRPr="00873B9E">
              <w:rPr>
                <w:b/>
                <w:sz w:val="22"/>
                <w:szCs w:val="22"/>
              </w:rPr>
              <w:t>Sub-alternative 2c (Action 3)</w:t>
            </w:r>
            <w:r>
              <w:rPr>
                <w:b/>
                <w:sz w:val="22"/>
                <w:szCs w:val="22"/>
              </w:rPr>
              <w:t xml:space="preserve">: </w:t>
            </w:r>
            <w:r w:rsidRPr="00873B9E">
              <w:rPr>
                <w:b/>
                <w:sz w:val="22"/>
                <w:szCs w:val="22"/>
              </w:rPr>
              <w:t>ACL = OY = 90%ABC</w:t>
            </w:r>
          </w:p>
        </w:tc>
      </w:tr>
      <w:tr w:rsidR="007D1C98" w:rsidRPr="00873B9E" w14:paraId="04561488" w14:textId="77777777" w:rsidTr="007D1C98">
        <w:trPr>
          <w:trHeight w:val="53"/>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70FA95B8" w14:textId="77777777" w:rsidR="007D1C98" w:rsidRPr="00873B9E" w:rsidRDefault="007D1C98" w:rsidP="007D1C98">
            <w:pPr>
              <w:jc w:val="center"/>
              <w:rPr>
                <w:sz w:val="22"/>
                <w:szCs w:val="22"/>
              </w:rPr>
            </w:pPr>
            <w:r w:rsidRPr="00873B9E">
              <w:rPr>
                <w:sz w:val="22"/>
                <w:szCs w:val="22"/>
              </w:rPr>
              <w:t>2017</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EB851" w14:textId="77777777" w:rsidR="007D1C98" w:rsidRPr="00873B9E" w:rsidRDefault="007D1C98" w:rsidP="007D1C98">
            <w:pPr>
              <w:jc w:val="center"/>
              <w:rPr>
                <w:sz w:val="22"/>
                <w:szCs w:val="22"/>
              </w:rPr>
            </w:pPr>
            <w:r w:rsidRPr="00873B9E">
              <w:rPr>
                <w:sz w:val="22"/>
                <w:szCs w:val="22"/>
              </w:rPr>
              <w:t>104,514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1DAA8" w14:textId="77777777" w:rsidR="007D1C98" w:rsidRPr="00903F45" w:rsidRDefault="007D1C98" w:rsidP="007D1C98">
            <w:pPr>
              <w:jc w:val="center"/>
              <w:rPr>
                <w:sz w:val="22"/>
                <w:szCs w:val="22"/>
              </w:rPr>
            </w:pPr>
            <w:r w:rsidRPr="00903F45">
              <w:rPr>
                <w:sz w:val="22"/>
                <w:szCs w:val="22"/>
              </w:rPr>
              <w:t>87,897</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E5A10" w14:textId="77777777" w:rsidR="007D1C98" w:rsidRPr="00903F45" w:rsidRDefault="007D1C98" w:rsidP="007D1C98">
            <w:pPr>
              <w:jc w:val="center"/>
              <w:rPr>
                <w:sz w:val="22"/>
                <w:szCs w:val="22"/>
              </w:rPr>
            </w:pPr>
            <w:r w:rsidRPr="00903F45">
              <w:rPr>
                <w:sz w:val="22"/>
                <w:szCs w:val="22"/>
              </w:rPr>
              <w:t>88,837</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1FB65" w14:textId="77777777" w:rsidR="007D1C98" w:rsidRPr="00903F45" w:rsidRDefault="007D1C98" w:rsidP="007D1C98">
            <w:pPr>
              <w:jc w:val="center"/>
              <w:rPr>
                <w:sz w:val="22"/>
                <w:szCs w:val="22"/>
              </w:rPr>
            </w:pPr>
            <w:r w:rsidRPr="00903F45">
              <w:rPr>
                <w:sz w:val="22"/>
                <w:szCs w:val="22"/>
              </w:rPr>
              <w:t>78,386</w:t>
            </w:r>
          </w:p>
        </w:tc>
      </w:tr>
      <w:tr w:rsidR="007D1C98" w:rsidRPr="00873B9E" w14:paraId="05F9F985" w14:textId="77777777" w:rsidTr="007D1C98">
        <w:trPr>
          <w:trHeight w:val="53"/>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755E59C7" w14:textId="77777777" w:rsidR="007D1C98" w:rsidRPr="00873B9E" w:rsidRDefault="007D1C98" w:rsidP="007D1C98">
            <w:pPr>
              <w:jc w:val="center"/>
              <w:rPr>
                <w:sz w:val="22"/>
                <w:szCs w:val="22"/>
              </w:rPr>
            </w:pPr>
            <w:r w:rsidRPr="00873B9E">
              <w:rPr>
                <w:sz w:val="22"/>
                <w:szCs w:val="22"/>
              </w:rPr>
              <w:t>2018</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72639" w14:textId="77777777" w:rsidR="007D1C98" w:rsidRPr="00873B9E" w:rsidRDefault="007D1C98" w:rsidP="007D1C98">
            <w:pPr>
              <w:jc w:val="center"/>
              <w:rPr>
                <w:sz w:val="22"/>
                <w:szCs w:val="22"/>
              </w:rPr>
            </w:pPr>
            <w:r w:rsidRPr="00873B9E">
              <w:rPr>
                <w:sz w:val="22"/>
                <w:szCs w:val="22"/>
              </w:rPr>
              <w:t>109,186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22729" w14:textId="77777777" w:rsidR="007D1C98" w:rsidRPr="00903F45" w:rsidRDefault="007D1C98" w:rsidP="007D1C98">
            <w:pPr>
              <w:jc w:val="center"/>
              <w:rPr>
                <w:sz w:val="22"/>
                <w:szCs w:val="22"/>
              </w:rPr>
            </w:pPr>
            <w:r w:rsidRPr="00903F45">
              <w:rPr>
                <w:sz w:val="22"/>
                <w:szCs w:val="22"/>
              </w:rPr>
              <w:t>91,826</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50A30" w14:textId="77777777" w:rsidR="007D1C98" w:rsidRPr="00903F45" w:rsidRDefault="007D1C98" w:rsidP="007D1C98">
            <w:pPr>
              <w:jc w:val="center"/>
              <w:rPr>
                <w:sz w:val="22"/>
                <w:szCs w:val="22"/>
              </w:rPr>
            </w:pPr>
            <w:r w:rsidRPr="00903F45">
              <w:rPr>
                <w:sz w:val="22"/>
                <w:szCs w:val="22"/>
              </w:rPr>
              <w:t>92,809</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4B96A" w14:textId="77777777" w:rsidR="007D1C98" w:rsidRPr="00903F45" w:rsidRDefault="007D1C98" w:rsidP="007D1C98">
            <w:pPr>
              <w:jc w:val="center"/>
              <w:rPr>
                <w:sz w:val="22"/>
                <w:szCs w:val="22"/>
              </w:rPr>
            </w:pPr>
            <w:r w:rsidRPr="00903F45">
              <w:rPr>
                <w:sz w:val="22"/>
                <w:szCs w:val="22"/>
              </w:rPr>
              <w:t>81,890</w:t>
            </w:r>
          </w:p>
        </w:tc>
      </w:tr>
      <w:tr w:rsidR="007D1C98" w:rsidRPr="00873B9E" w14:paraId="0C66BAC7" w14:textId="77777777" w:rsidTr="007D1C98">
        <w:trPr>
          <w:trHeight w:val="53"/>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61E606E8" w14:textId="77777777" w:rsidR="007D1C98" w:rsidRPr="00873B9E" w:rsidRDefault="007D1C98" w:rsidP="007D1C98">
            <w:pPr>
              <w:jc w:val="center"/>
              <w:rPr>
                <w:sz w:val="22"/>
                <w:szCs w:val="22"/>
              </w:rPr>
            </w:pPr>
            <w:r w:rsidRPr="00873B9E">
              <w:rPr>
                <w:sz w:val="22"/>
                <w:szCs w:val="22"/>
              </w:rPr>
              <w:t>2019</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3D6D6" w14:textId="77777777" w:rsidR="007D1C98" w:rsidRPr="00873B9E" w:rsidRDefault="007D1C98" w:rsidP="007D1C98">
            <w:pPr>
              <w:jc w:val="center"/>
              <w:rPr>
                <w:sz w:val="22"/>
                <w:szCs w:val="22"/>
              </w:rPr>
            </w:pPr>
            <w:r w:rsidRPr="00873B9E">
              <w:rPr>
                <w:sz w:val="22"/>
                <w:szCs w:val="22"/>
              </w:rPr>
              <w:t>112,289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5A071" w14:textId="77777777" w:rsidR="007D1C98" w:rsidRPr="00903F45" w:rsidRDefault="007D1C98" w:rsidP="007D1C98">
            <w:pPr>
              <w:jc w:val="center"/>
              <w:rPr>
                <w:sz w:val="22"/>
                <w:szCs w:val="22"/>
              </w:rPr>
            </w:pPr>
            <w:r w:rsidRPr="00903F45">
              <w:rPr>
                <w:sz w:val="22"/>
                <w:szCs w:val="22"/>
              </w:rPr>
              <w:t>94,435</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8DA95" w14:textId="77777777" w:rsidR="007D1C98" w:rsidRPr="00903F45" w:rsidRDefault="007D1C98" w:rsidP="007D1C98">
            <w:pPr>
              <w:jc w:val="center"/>
              <w:rPr>
                <w:sz w:val="22"/>
                <w:szCs w:val="22"/>
              </w:rPr>
            </w:pPr>
            <w:r w:rsidRPr="00903F45">
              <w:rPr>
                <w:sz w:val="22"/>
                <w:szCs w:val="22"/>
              </w:rPr>
              <w:t>95,446</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63D33" w14:textId="77777777" w:rsidR="007D1C98" w:rsidRPr="00903F45" w:rsidRDefault="007D1C98" w:rsidP="007D1C98">
            <w:pPr>
              <w:jc w:val="center"/>
              <w:rPr>
                <w:sz w:val="22"/>
                <w:szCs w:val="22"/>
              </w:rPr>
            </w:pPr>
            <w:r w:rsidRPr="00903F45">
              <w:rPr>
                <w:sz w:val="22"/>
                <w:szCs w:val="22"/>
              </w:rPr>
              <w:t>84,217</w:t>
            </w:r>
          </w:p>
        </w:tc>
      </w:tr>
      <w:tr w:rsidR="007D1C98" w:rsidRPr="00873B9E" w14:paraId="2BAFE82C" w14:textId="77777777" w:rsidTr="007D1C98">
        <w:trPr>
          <w:trHeight w:val="53"/>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5C181153" w14:textId="77777777" w:rsidR="007D1C98" w:rsidRPr="00873B9E" w:rsidRDefault="007D1C98" w:rsidP="007D1C98">
            <w:pPr>
              <w:jc w:val="center"/>
              <w:rPr>
                <w:sz w:val="22"/>
                <w:szCs w:val="22"/>
              </w:rPr>
            </w:pPr>
            <w:r w:rsidRPr="00873B9E">
              <w:rPr>
                <w:sz w:val="22"/>
                <w:szCs w:val="22"/>
              </w:rPr>
              <w:t>2020 onwards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D7D5D" w14:textId="77777777" w:rsidR="007D1C98" w:rsidRPr="00873B9E" w:rsidRDefault="007D1C98" w:rsidP="007D1C98">
            <w:pPr>
              <w:jc w:val="center"/>
              <w:rPr>
                <w:sz w:val="22"/>
                <w:szCs w:val="22"/>
              </w:rPr>
            </w:pPr>
            <w:r w:rsidRPr="00873B9E">
              <w:rPr>
                <w:sz w:val="22"/>
                <w:szCs w:val="22"/>
              </w:rPr>
              <w:t>114,403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F14F3" w14:textId="77777777" w:rsidR="007D1C98" w:rsidRPr="00903F45" w:rsidRDefault="007D1C98" w:rsidP="007D1C98">
            <w:pPr>
              <w:jc w:val="center"/>
              <w:rPr>
                <w:sz w:val="22"/>
                <w:szCs w:val="22"/>
              </w:rPr>
            </w:pPr>
            <w:r w:rsidRPr="00903F45">
              <w:rPr>
                <w:sz w:val="22"/>
                <w:szCs w:val="22"/>
              </w:rPr>
              <w:t>96,213</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3A903" w14:textId="77777777" w:rsidR="007D1C98" w:rsidRPr="00903F45" w:rsidRDefault="007D1C98" w:rsidP="007D1C98">
            <w:pPr>
              <w:jc w:val="center"/>
              <w:rPr>
                <w:sz w:val="22"/>
                <w:szCs w:val="22"/>
              </w:rPr>
            </w:pPr>
            <w:r w:rsidRPr="00903F45">
              <w:rPr>
                <w:sz w:val="22"/>
                <w:szCs w:val="22"/>
              </w:rPr>
              <w:t>97,243</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79FF3" w14:textId="77777777" w:rsidR="007D1C98" w:rsidRPr="00903F45" w:rsidRDefault="007D1C98" w:rsidP="007D1C98">
            <w:pPr>
              <w:jc w:val="center"/>
              <w:rPr>
                <w:sz w:val="22"/>
                <w:szCs w:val="22"/>
              </w:rPr>
            </w:pPr>
            <w:r w:rsidRPr="00903F45">
              <w:rPr>
                <w:sz w:val="22"/>
                <w:szCs w:val="22"/>
              </w:rPr>
              <w:t>85,802</w:t>
            </w:r>
          </w:p>
        </w:tc>
      </w:tr>
    </w:tbl>
    <w:p w14:paraId="2C246C06" w14:textId="542856F8" w:rsidR="0008484D" w:rsidRDefault="0008484D" w:rsidP="00F85B65">
      <w:pPr>
        <w:ind w:firstLine="360"/>
      </w:pPr>
    </w:p>
    <w:p w14:paraId="5E5E9054" w14:textId="791972C5" w:rsidR="0008484D" w:rsidRDefault="0008484D" w:rsidP="00006826">
      <w:pPr>
        <w:ind w:firstLine="360"/>
      </w:pPr>
      <w:r w:rsidRPr="00FE5ECC">
        <w:t>Since the ACT is typically set lower and would be reached sooner than the ACL for any given species, using an ACT rather than the ACL as a trigger for AMs in the recreational sector may prevent an ACL overage.  This more conservative approach would likely help to ensure that recreational data uncertainties do not cause or contribute to excessive ACL overages for vulnerable species.  Using recreational ACTs rather than the ACLs to trigger recreational AMs may not eliminate ACL overages completely; however, using such a strategy for the recreational sector may reduce the need to comp</w:t>
      </w:r>
      <w:r>
        <w:t xml:space="preserve">ensate for very large overages. </w:t>
      </w:r>
    </w:p>
    <w:p w14:paraId="3B494C84" w14:textId="6D4DCD20" w:rsidR="00180459" w:rsidRDefault="00180459" w:rsidP="00180459"/>
    <w:p w14:paraId="6965ECC0" w14:textId="7B1D7C7B" w:rsidR="00180459" w:rsidRPr="0055735E" w:rsidRDefault="00F85B65" w:rsidP="00F85B65">
      <w:pPr>
        <w:ind w:firstLine="360"/>
      </w:pPr>
      <w:r>
        <w:t>The current recreational ACT (</w:t>
      </w:r>
      <w:r w:rsidRPr="00006826">
        <w:rPr>
          <w:b/>
        </w:rPr>
        <w:t>Alternative 1 (No Action)</w:t>
      </w:r>
      <w:r>
        <w:t>) for mutton snapper in the South Atlantic Council’s area of jurisdiction is 668,906 lbs ww.  Since the South Atlantic Council proposes to specify the recreational ACL for mutton snapper in numbers of fish (</w:t>
      </w:r>
      <w:r w:rsidRPr="00006826">
        <w:rPr>
          <w:b/>
        </w:rPr>
        <w:t>Action 3</w:t>
      </w:r>
      <w:r>
        <w:t xml:space="preserve">), </w:t>
      </w:r>
      <w:r w:rsidRPr="00C616C2">
        <w:rPr>
          <w:b/>
        </w:rPr>
        <w:t>Alternative</w:t>
      </w:r>
      <w:r w:rsidRPr="00006826">
        <w:rPr>
          <w:b/>
        </w:rPr>
        <w:t xml:space="preserve"> 1 (No Action)</w:t>
      </w:r>
      <w:r>
        <w:t xml:space="preserve"> is not a </w:t>
      </w:r>
      <w:r w:rsidR="00DC40AA">
        <w:t xml:space="preserve">practical </w:t>
      </w:r>
      <w:r>
        <w:t xml:space="preserve">alternative as there would be no consistency in the units.  </w:t>
      </w:r>
      <w:r w:rsidR="00DC40AA">
        <w:t xml:space="preserve">Further, the ACT under </w:t>
      </w:r>
      <w:r w:rsidR="00DC40AA" w:rsidRPr="00581C7F">
        <w:rPr>
          <w:b/>
        </w:rPr>
        <w:t xml:space="preserve">Alternative 1 (No Action) </w:t>
      </w:r>
      <w:r w:rsidR="00DC40AA">
        <w:t xml:space="preserve">is no longer based on the latest scientific information.  </w:t>
      </w:r>
      <w:r>
        <w:t xml:space="preserve">Because the South Atlantic Council has not employed ACTs in its management strategy for the snapper grouper fishery, the biological effects of </w:t>
      </w:r>
      <w:r w:rsidRPr="00352929">
        <w:rPr>
          <w:b/>
        </w:rPr>
        <w:t xml:space="preserve">Preferred </w:t>
      </w:r>
      <w:r>
        <w:rPr>
          <w:b/>
        </w:rPr>
        <w:t xml:space="preserve">Alternative 2 </w:t>
      </w:r>
      <w:r w:rsidRPr="00006826">
        <w:t>and its sub-</w:t>
      </w:r>
      <w:r w:rsidRPr="00CD683A">
        <w:t>alternatives</w:t>
      </w:r>
      <w:r>
        <w:rPr>
          <w:b/>
        </w:rPr>
        <w:t xml:space="preserve"> </w:t>
      </w:r>
      <w:r>
        <w:t xml:space="preserve">would be neutral.  Of the sub-alternatives under </w:t>
      </w:r>
      <w:r w:rsidRPr="00006826">
        <w:rPr>
          <w:b/>
        </w:rPr>
        <w:t>Preferred Alternative 2</w:t>
      </w:r>
      <w:r>
        <w:t xml:space="preserve">, </w:t>
      </w:r>
      <w:r w:rsidRPr="00006826">
        <w:rPr>
          <w:b/>
        </w:rPr>
        <w:t xml:space="preserve">Preferred Sub-alternative </w:t>
      </w:r>
      <w:r w:rsidR="00DB7781" w:rsidRPr="00006826">
        <w:rPr>
          <w:b/>
        </w:rPr>
        <w:t>2</w:t>
      </w:r>
      <w:r w:rsidR="00DB7781">
        <w:rPr>
          <w:b/>
        </w:rPr>
        <w:t>a</w:t>
      </w:r>
      <w:r w:rsidR="00DB7781">
        <w:t xml:space="preserve"> </w:t>
      </w:r>
      <w:r>
        <w:t>proposes the highest values</w:t>
      </w:r>
      <w:r w:rsidR="00DB7781">
        <w:t>, and if in the future</w:t>
      </w:r>
      <w:r w:rsidR="00612A49">
        <w:t>,</w:t>
      </w:r>
      <w:r>
        <w:t xml:space="preserve"> </w:t>
      </w:r>
      <w:r w:rsidR="00FD51DC">
        <w:t>AMs</w:t>
      </w:r>
      <w:r>
        <w:t xml:space="preserve"> were tied to the recreational ACT, they </w:t>
      </w:r>
      <w:r w:rsidR="00612A49">
        <w:t xml:space="preserve">could </w:t>
      </w:r>
      <w:r>
        <w:t xml:space="preserve">be triggered </w:t>
      </w:r>
      <w:r w:rsidR="00612A49">
        <w:t xml:space="preserve">more </w:t>
      </w:r>
      <w:r>
        <w:t xml:space="preserve">frequently than under </w:t>
      </w:r>
      <w:r w:rsidRPr="00006826">
        <w:rPr>
          <w:b/>
        </w:rPr>
        <w:t xml:space="preserve">Sub-alternative </w:t>
      </w:r>
      <w:r w:rsidR="00612A49" w:rsidRPr="00006826">
        <w:rPr>
          <w:b/>
        </w:rPr>
        <w:t>2</w:t>
      </w:r>
      <w:r w:rsidR="00612A49">
        <w:rPr>
          <w:b/>
        </w:rPr>
        <w:t>b</w:t>
      </w:r>
      <w:r w:rsidR="00612A49">
        <w:t xml:space="preserve"> </w:t>
      </w:r>
      <w:r>
        <w:t xml:space="preserve">or </w:t>
      </w:r>
      <w:r w:rsidRPr="00006826">
        <w:rPr>
          <w:b/>
        </w:rPr>
        <w:t>2c</w:t>
      </w:r>
      <w:r>
        <w:t xml:space="preserve">.  </w:t>
      </w:r>
      <w:r w:rsidRPr="0055735E">
        <w:t xml:space="preserve">However, as stated previously, recreational ACTs are currently not an active part of the management strategy for snapper grouper species and </w:t>
      </w:r>
      <w:r w:rsidR="0041182A" w:rsidRPr="0055735E">
        <w:t>AM</w:t>
      </w:r>
      <w:r w:rsidRPr="0055735E">
        <w:t>s are in place to ensure that ACLs are not exceeded.</w:t>
      </w:r>
    </w:p>
    <w:p w14:paraId="32C934C1" w14:textId="3C741547" w:rsidR="00873B9E" w:rsidRPr="005E336A" w:rsidRDefault="00873B9E">
      <w:pPr>
        <w:rPr>
          <w:rFonts w:ascii="Arial" w:hAnsi="Arial" w:cs="Arial"/>
          <w:b/>
          <w:bCs/>
          <w:iCs/>
          <w:strike/>
          <w:sz w:val="28"/>
          <w:szCs w:val="28"/>
        </w:rPr>
      </w:pPr>
    </w:p>
    <w:p w14:paraId="37C5D665" w14:textId="0F37E470" w:rsidR="00D63714" w:rsidRPr="005E336A" w:rsidRDefault="00D63714" w:rsidP="00D63714">
      <w:pPr>
        <w:ind w:firstLine="360"/>
        <w:rPr>
          <w:strike/>
        </w:rPr>
      </w:pPr>
      <w:r>
        <w:t xml:space="preserve">The </w:t>
      </w:r>
      <w:r w:rsidR="00612A49">
        <w:t xml:space="preserve">various </w:t>
      </w:r>
      <w:r>
        <w:t xml:space="preserve">ACT </w:t>
      </w:r>
      <w:r w:rsidR="00C41736">
        <w:t xml:space="preserve">alternatives </w:t>
      </w:r>
      <w:r w:rsidR="00612A49">
        <w:t>of</w:t>
      </w:r>
      <w:r>
        <w:t xml:space="preserve"> this action only </w:t>
      </w:r>
      <w:r w:rsidR="00612A49">
        <w:t xml:space="preserve">apply </w:t>
      </w:r>
      <w:r>
        <w:t xml:space="preserve">to the recreational sector and </w:t>
      </w:r>
      <w:r w:rsidR="00612A49">
        <w:t xml:space="preserve">are </w:t>
      </w:r>
      <w:r>
        <w:t>not tied to the AMs</w:t>
      </w:r>
      <w:r w:rsidR="0041182A">
        <w:t>;</w:t>
      </w:r>
      <w:r>
        <w:t xml:space="preserve"> therefore</w:t>
      </w:r>
      <w:r w:rsidR="0041182A">
        <w:t>,</w:t>
      </w:r>
      <w:r>
        <w:t xml:space="preserve"> </w:t>
      </w:r>
      <w:r w:rsidR="00612A49">
        <w:t xml:space="preserve">even if recreational catch or landings were to exceed the ACT, but not the recreational ACL, there would be no early closure or reduced future annual landings in the recreational sector and, consequently, no economic impacts beyond the baseline.  However, if in </w:t>
      </w:r>
      <w:r w:rsidR="00612A49">
        <w:lastRenderedPageBreak/>
        <w:t xml:space="preserve">the future, accountability measures were tied to the recreational ACT, among the sub-alternatives of </w:t>
      </w:r>
      <w:r w:rsidR="00612A49" w:rsidRPr="001C1474">
        <w:rPr>
          <w:b/>
        </w:rPr>
        <w:t>Preferred Alternative 2</w:t>
      </w:r>
      <w:r w:rsidR="00612A49">
        <w:t xml:space="preserve">, </w:t>
      </w:r>
      <w:r w:rsidR="00612A49" w:rsidRPr="001C1474">
        <w:rPr>
          <w:b/>
        </w:rPr>
        <w:t>Preferred Sub-alternative 2a</w:t>
      </w:r>
      <w:r w:rsidR="00612A49">
        <w:t xml:space="preserve"> would allow for the largest recreational landings before triggering an AM, while </w:t>
      </w:r>
      <w:r w:rsidR="00612A49" w:rsidRPr="001C1474">
        <w:rPr>
          <w:b/>
        </w:rPr>
        <w:t>Sub-alternative 2c</w:t>
      </w:r>
      <w:r w:rsidR="00612A49">
        <w:t xml:space="preserve"> would allow for the smallest.   </w:t>
      </w:r>
      <w:r w:rsidR="00612A49" w:rsidRPr="001C1474">
        <w:rPr>
          <w:b/>
        </w:rPr>
        <w:t>Alternative 1</w:t>
      </w:r>
      <w:r w:rsidR="00612A49">
        <w:t xml:space="preserve"> </w:t>
      </w:r>
      <w:r w:rsidR="005E336A" w:rsidRPr="005E336A">
        <w:rPr>
          <w:b/>
        </w:rPr>
        <w:t>(No Action)</w:t>
      </w:r>
      <w:r w:rsidR="005E336A">
        <w:t xml:space="preserve"> </w:t>
      </w:r>
      <w:r w:rsidR="00612A49">
        <w:t xml:space="preserve">would </w:t>
      </w:r>
      <w:r w:rsidR="005E336A">
        <w:t>continue to specify</w:t>
      </w:r>
      <w:r w:rsidR="00612A49">
        <w:t xml:space="preserve"> the ACT </w:t>
      </w:r>
      <w:r w:rsidR="005E336A">
        <w:t>in</w:t>
      </w:r>
      <w:r w:rsidR="00612A49">
        <w:t xml:space="preserve"> weight instead of numbers</w:t>
      </w:r>
      <w:r w:rsidR="005E336A">
        <w:t xml:space="preserve"> and would not be based on the best scientific information available since it is not based on the latest stock assessment</w:t>
      </w:r>
      <w:r w:rsidR="00612A49">
        <w:t>.</w:t>
      </w:r>
      <w:r w:rsidR="00D212F7">
        <w:t xml:space="preserve">  </w:t>
      </w:r>
      <w:r w:rsidR="00D212F7">
        <w:rPr>
          <w:b/>
        </w:rPr>
        <w:t>Sub-alternative 2c</w:t>
      </w:r>
      <w:r w:rsidR="00D212F7">
        <w:t xml:space="preserve"> provides the largest step-down from the ACL to the ACT and would create the largest potential negative economic effect if set as trigger for the AMs, while </w:t>
      </w:r>
      <w:r w:rsidR="00D212F7" w:rsidRPr="00197290">
        <w:rPr>
          <w:b/>
        </w:rPr>
        <w:t>Sub</w:t>
      </w:r>
      <w:r w:rsidR="00D212F7">
        <w:rPr>
          <w:b/>
        </w:rPr>
        <w:t>-alternative 2b</w:t>
      </w:r>
      <w:r w:rsidR="00D212F7">
        <w:t xml:space="preserve"> provides the smallest step-down from the ACL</w:t>
      </w:r>
      <w:r w:rsidR="00D212F7" w:rsidRPr="0003282F">
        <w:t xml:space="preserve"> </w:t>
      </w:r>
      <w:r w:rsidR="00D212F7">
        <w:t xml:space="preserve">to the ACT, thereby leading to the smallest potential negative economic effect.  </w:t>
      </w:r>
      <w:r w:rsidR="00D212F7" w:rsidRPr="00197290">
        <w:rPr>
          <w:b/>
        </w:rPr>
        <w:t xml:space="preserve">Preferred </w:t>
      </w:r>
      <w:r w:rsidR="00D212F7">
        <w:rPr>
          <w:b/>
        </w:rPr>
        <w:t>Sub-alternative 2a</w:t>
      </w:r>
      <w:r w:rsidR="00D212F7">
        <w:t xml:space="preserve"> falls in between the other two sub-alternatives.  </w:t>
      </w:r>
    </w:p>
    <w:p w14:paraId="2119C2DB" w14:textId="77777777" w:rsidR="00591039" w:rsidRDefault="00591039"/>
    <w:p w14:paraId="630D3DE5" w14:textId="353D6D8D" w:rsidR="00591039" w:rsidRDefault="00591039" w:rsidP="00591039">
      <w:pPr>
        <w:ind w:firstLine="360"/>
        <w:rPr>
          <w:rFonts w:ascii="Arial" w:hAnsi="Arial" w:cs="Arial"/>
          <w:b/>
          <w:bCs/>
          <w:iCs/>
          <w:sz w:val="28"/>
          <w:szCs w:val="28"/>
        </w:rPr>
      </w:pPr>
      <w:r>
        <w:t xml:space="preserve">Establishment of a recreational ACT for mutton snapper would likely have </w:t>
      </w:r>
      <w:r w:rsidR="00612A49">
        <w:t>no</w:t>
      </w:r>
      <w:r w:rsidR="00FD51DC">
        <w:t xml:space="preserve"> or</w:t>
      </w:r>
      <w:r w:rsidR="00612A49">
        <w:t xml:space="preserve"> </w:t>
      </w:r>
      <w:r>
        <w:t xml:space="preserve">little effects on recreational fishermen targeting mutton snapper, unless the South Atlantic Council decides to set the ACT as a trigger for AMs at a later time.  Because the ACT is currently used for monitoring only, it is expected that the social effects of </w:t>
      </w:r>
      <w:r>
        <w:rPr>
          <w:b/>
        </w:rPr>
        <w:t>Alternative 1 (No Action)</w:t>
      </w:r>
      <w:r>
        <w:t xml:space="preserve"> and the sub-alternatives under </w:t>
      </w:r>
      <w:r w:rsidRPr="004A7A26">
        <w:rPr>
          <w:b/>
        </w:rPr>
        <w:t xml:space="preserve">Preferred </w:t>
      </w:r>
      <w:r>
        <w:rPr>
          <w:b/>
        </w:rPr>
        <w:t>Alternative 2</w:t>
      </w:r>
      <w:r>
        <w:t xml:space="preserve"> would be </w:t>
      </w:r>
      <w:r w:rsidR="002D2DC4">
        <w:t>the same.</w:t>
      </w:r>
    </w:p>
    <w:p w14:paraId="5216689B" w14:textId="77777777" w:rsidR="00591039" w:rsidRDefault="00591039">
      <w:pPr>
        <w:rPr>
          <w:rFonts w:ascii="Arial" w:hAnsi="Arial" w:cs="Arial"/>
          <w:b/>
          <w:bCs/>
          <w:iCs/>
          <w:sz w:val="28"/>
          <w:szCs w:val="28"/>
        </w:rPr>
      </w:pPr>
      <w:r>
        <w:rPr>
          <w:rFonts w:ascii="Arial" w:hAnsi="Arial" w:cs="Arial"/>
        </w:rPr>
        <w:br w:type="page"/>
      </w:r>
    </w:p>
    <w:p w14:paraId="4796E361" w14:textId="7A645A55" w:rsidR="008C454A" w:rsidRPr="000A5352" w:rsidRDefault="008C454A" w:rsidP="008C454A">
      <w:pPr>
        <w:pStyle w:val="Heading2"/>
        <w:rPr>
          <w:rFonts w:ascii="Arial" w:hAnsi="Arial" w:cs="Arial"/>
        </w:rPr>
      </w:pPr>
      <w:bookmarkStart w:id="75" w:name="_Toc339811706"/>
      <w:r>
        <w:rPr>
          <w:rFonts w:ascii="Arial" w:hAnsi="Arial" w:cs="Arial"/>
        </w:rPr>
        <w:lastRenderedPageBreak/>
        <w:t>2.5</w:t>
      </w:r>
      <w:r>
        <w:rPr>
          <w:rFonts w:ascii="Arial" w:hAnsi="Arial" w:cs="Arial"/>
        </w:rPr>
        <w:tab/>
      </w:r>
      <w:r w:rsidRPr="000A5352">
        <w:rPr>
          <w:rFonts w:ascii="Arial" w:hAnsi="Arial" w:cs="Arial"/>
        </w:rPr>
        <w:t xml:space="preserve">Action </w:t>
      </w:r>
      <w:r>
        <w:rPr>
          <w:rFonts w:ascii="Arial" w:hAnsi="Arial" w:cs="Arial"/>
        </w:rPr>
        <w:t xml:space="preserve">5.  Modify </w:t>
      </w:r>
      <w:r w:rsidR="00A431D7" w:rsidRPr="00A431D7">
        <w:rPr>
          <w:rFonts w:ascii="Arial" w:hAnsi="Arial" w:cs="Arial"/>
          <w:highlight w:val="yellow"/>
        </w:rPr>
        <w:t>the commercial and recreational</w:t>
      </w:r>
      <w:r w:rsidR="00A431D7">
        <w:rPr>
          <w:rFonts w:ascii="Arial" w:hAnsi="Arial" w:cs="Arial"/>
        </w:rPr>
        <w:t xml:space="preserve"> </w:t>
      </w:r>
      <w:r w:rsidRPr="00A431D7">
        <w:rPr>
          <w:rFonts w:ascii="Arial" w:hAnsi="Arial" w:cs="Arial"/>
          <w:strike/>
          <w:highlight w:val="yellow"/>
        </w:rPr>
        <w:t>mutton snapper</w:t>
      </w:r>
      <w:r w:rsidRPr="00A431D7">
        <w:rPr>
          <w:rFonts w:ascii="Arial" w:hAnsi="Arial" w:cs="Arial"/>
          <w:strike/>
        </w:rPr>
        <w:t xml:space="preserve"> </w:t>
      </w:r>
      <w:r>
        <w:rPr>
          <w:rFonts w:ascii="Arial" w:hAnsi="Arial" w:cs="Arial"/>
        </w:rPr>
        <w:t>minimum size l</w:t>
      </w:r>
      <w:r w:rsidRPr="000A5352">
        <w:rPr>
          <w:rFonts w:ascii="Arial" w:hAnsi="Arial" w:cs="Arial"/>
        </w:rPr>
        <w:t xml:space="preserve">imit </w:t>
      </w:r>
      <w:r w:rsidR="00A431D7" w:rsidRPr="00A431D7">
        <w:rPr>
          <w:rFonts w:ascii="Arial" w:hAnsi="Arial" w:cs="Arial"/>
          <w:highlight w:val="yellow"/>
        </w:rPr>
        <w:t>for mutton snapper</w:t>
      </w:r>
      <w:r w:rsidR="00A431D7">
        <w:rPr>
          <w:rFonts w:ascii="Arial" w:hAnsi="Arial" w:cs="Arial"/>
        </w:rPr>
        <w:t xml:space="preserve"> </w:t>
      </w:r>
      <w:r w:rsidRPr="000A5352">
        <w:rPr>
          <w:rFonts w:ascii="Arial" w:hAnsi="Arial" w:cs="Arial"/>
        </w:rPr>
        <w:t xml:space="preserve">in </w:t>
      </w:r>
      <w:r w:rsidRPr="00640700">
        <w:rPr>
          <w:rFonts w:ascii="Arial" w:hAnsi="Arial" w:cs="Arial"/>
        </w:rPr>
        <w:t>the</w:t>
      </w:r>
      <w:r>
        <w:rPr>
          <w:rFonts w:ascii="Arial" w:hAnsi="Arial" w:cs="Arial"/>
        </w:rPr>
        <w:t xml:space="preserve"> </w:t>
      </w:r>
      <w:r w:rsidRPr="000A5352">
        <w:rPr>
          <w:rFonts w:ascii="Arial" w:hAnsi="Arial" w:cs="Arial"/>
        </w:rPr>
        <w:t>South Atlantic</w:t>
      </w:r>
      <w:r>
        <w:rPr>
          <w:rFonts w:ascii="Arial" w:hAnsi="Arial" w:cs="Arial"/>
        </w:rPr>
        <w:t xml:space="preserve"> R</w:t>
      </w:r>
      <w:r w:rsidRPr="000C11A3">
        <w:rPr>
          <w:rFonts w:ascii="Arial" w:hAnsi="Arial" w:cs="Arial"/>
        </w:rPr>
        <w:t>egion</w:t>
      </w:r>
      <w:bookmarkEnd w:id="75"/>
    </w:p>
    <w:p w14:paraId="029DC840" w14:textId="77777777" w:rsidR="008C454A" w:rsidRDefault="008C454A" w:rsidP="008C454A"/>
    <w:p w14:paraId="7A17E1B7" w14:textId="76EA6A6F" w:rsidR="008C454A" w:rsidRPr="002D40D8" w:rsidRDefault="008C454A" w:rsidP="008C454A">
      <w:r w:rsidRPr="000C11A3">
        <w:rPr>
          <w:b/>
        </w:rPr>
        <w:t>Alternative 1 (No Action).</w:t>
      </w:r>
      <w:r>
        <w:t xml:space="preserve">  The minimum size limit for mutton snapper </w:t>
      </w:r>
      <w:r w:rsidR="00A431D7" w:rsidRPr="00A431D7">
        <w:rPr>
          <w:highlight w:val="yellow"/>
        </w:rPr>
        <w:t>(commercial and recreational)</w:t>
      </w:r>
      <w:r w:rsidR="00A431D7">
        <w:t xml:space="preserve"> </w:t>
      </w:r>
      <w:r>
        <w:t xml:space="preserve">in the South Atlantic region is 16 inches </w:t>
      </w:r>
      <w:r w:rsidR="002D40D8">
        <w:t>total length.</w:t>
      </w:r>
    </w:p>
    <w:p w14:paraId="013B189B" w14:textId="77777777" w:rsidR="008C454A" w:rsidRPr="002D40D8" w:rsidRDefault="008C454A" w:rsidP="008C454A"/>
    <w:p w14:paraId="4C5BA381" w14:textId="1A021266" w:rsidR="008C454A" w:rsidRDefault="008C454A" w:rsidP="008C454A">
      <w:r w:rsidRPr="002D40D8">
        <w:rPr>
          <w:b/>
        </w:rPr>
        <w:t>Alternative 2.</w:t>
      </w:r>
      <w:r w:rsidRPr="002D40D8">
        <w:t xml:space="preserve">  Increase the </w:t>
      </w:r>
      <w:r w:rsidR="00A431D7" w:rsidRPr="00A431D7">
        <w:rPr>
          <w:highlight w:val="yellow"/>
        </w:rPr>
        <w:t>commercial and recreational</w:t>
      </w:r>
      <w:r w:rsidR="00A431D7">
        <w:t xml:space="preserve"> </w:t>
      </w:r>
      <w:r w:rsidRPr="002D40D8">
        <w:t xml:space="preserve">minimum size limit for mutton snapper in the South Atlantic region to 17 inches </w:t>
      </w:r>
      <w:r w:rsidR="002D40D8">
        <w:t>total length.</w:t>
      </w:r>
    </w:p>
    <w:p w14:paraId="47B15642" w14:textId="77777777" w:rsidR="002D40D8" w:rsidRPr="002D40D8" w:rsidRDefault="002D40D8" w:rsidP="008C454A"/>
    <w:p w14:paraId="729C5DAF" w14:textId="4429030F" w:rsidR="008C454A" w:rsidRPr="002D40D8" w:rsidRDefault="008C454A" w:rsidP="008C454A">
      <w:r w:rsidRPr="002D40D8">
        <w:rPr>
          <w:b/>
        </w:rPr>
        <w:t>Preferred Alternative 3.</w:t>
      </w:r>
      <w:r w:rsidRPr="002D40D8">
        <w:t xml:space="preserve">  Increase the </w:t>
      </w:r>
      <w:r w:rsidR="00A431D7" w:rsidRPr="00A431D7">
        <w:rPr>
          <w:highlight w:val="yellow"/>
        </w:rPr>
        <w:t>commercial and recreational</w:t>
      </w:r>
      <w:r w:rsidR="00A431D7">
        <w:t xml:space="preserve"> </w:t>
      </w:r>
      <w:r w:rsidRPr="002D40D8">
        <w:t xml:space="preserve">minimum size limit for mutton snapper in the South Atlantic region to 18 inches </w:t>
      </w:r>
      <w:r w:rsidR="005E336A" w:rsidRPr="002D40D8">
        <w:t>total length</w:t>
      </w:r>
      <w:r w:rsidR="002D40D8">
        <w:t>.</w:t>
      </w:r>
      <w:r w:rsidR="005E336A" w:rsidRPr="002D40D8">
        <w:t xml:space="preserve"> </w:t>
      </w:r>
    </w:p>
    <w:p w14:paraId="73C2E9E6" w14:textId="77777777" w:rsidR="008C454A" w:rsidRPr="002D40D8" w:rsidRDefault="008C454A" w:rsidP="008C454A"/>
    <w:p w14:paraId="179408FB" w14:textId="74672AE4" w:rsidR="008C454A" w:rsidRPr="002D40D8" w:rsidRDefault="008C454A" w:rsidP="008C454A">
      <w:r w:rsidRPr="002D40D8">
        <w:rPr>
          <w:b/>
        </w:rPr>
        <w:t>Alternative 4.</w:t>
      </w:r>
      <w:r w:rsidRPr="002D40D8">
        <w:t xml:space="preserve">  Increase the </w:t>
      </w:r>
      <w:r w:rsidR="00A431D7" w:rsidRPr="00A431D7">
        <w:rPr>
          <w:highlight w:val="yellow"/>
        </w:rPr>
        <w:t>commercial and recreational</w:t>
      </w:r>
      <w:r w:rsidR="00A431D7">
        <w:t xml:space="preserve"> </w:t>
      </w:r>
      <w:r w:rsidRPr="002D40D8">
        <w:t xml:space="preserve">minimum size limit for mutton snapper in the South Atlantic region to 19 inches </w:t>
      </w:r>
      <w:r w:rsidR="002D40D8">
        <w:t>total length.</w:t>
      </w:r>
    </w:p>
    <w:p w14:paraId="2529325E" w14:textId="77777777" w:rsidR="008C454A" w:rsidRPr="002D40D8" w:rsidRDefault="008C454A" w:rsidP="008C454A"/>
    <w:p w14:paraId="56030FC0" w14:textId="34E561DE" w:rsidR="008C454A" w:rsidRDefault="008C454A" w:rsidP="008C454A">
      <w:r w:rsidRPr="002D40D8">
        <w:rPr>
          <w:b/>
        </w:rPr>
        <w:t>Alternative 5.</w:t>
      </w:r>
      <w:r w:rsidRPr="002D40D8">
        <w:t xml:space="preserve">  Increase the </w:t>
      </w:r>
      <w:r w:rsidR="00A431D7" w:rsidRPr="00A431D7">
        <w:rPr>
          <w:highlight w:val="yellow"/>
        </w:rPr>
        <w:t>commercial and recreational</w:t>
      </w:r>
      <w:r w:rsidR="00A431D7">
        <w:t xml:space="preserve"> </w:t>
      </w:r>
      <w:r w:rsidRPr="002D40D8">
        <w:t xml:space="preserve">minimum size limit for mutton snapper in the South Atlantic region to 20 inches </w:t>
      </w:r>
      <w:r w:rsidR="005E336A" w:rsidRPr="002D40D8">
        <w:t>total length</w:t>
      </w:r>
      <w:r w:rsidR="002D40D8">
        <w:t>.</w:t>
      </w:r>
      <w:r w:rsidR="005E336A" w:rsidRPr="002D40D8">
        <w:t xml:space="preserve"> </w:t>
      </w:r>
    </w:p>
    <w:p w14:paraId="10A07F3C" w14:textId="77777777" w:rsidR="00FD51DC" w:rsidRDefault="00FD51DC" w:rsidP="00FD51DC"/>
    <w:p w14:paraId="3EA70404" w14:textId="7B70F7C9" w:rsidR="00AE5EFD" w:rsidRPr="00AE5EFD" w:rsidRDefault="00AE5EFD" w:rsidP="00AE5EFD">
      <w:pPr>
        <w:pStyle w:val="Heading2"/>
        <w:rPr>
          <w:rFonts w:ascii="Arial" w:hAnsi="Arial" w:cs="Arial"/>
        </w:rPr>
      </w:pPr>
      <w:bookmarkStart w:id="76" w:name="_Toc339811707"/>
      <w:r w:rsidRPr="00AE5EFD">
        <w:rPr>
          <w:rFonts w:ascii="Arial" w:hAnsi="Arial" w:cs="Arial"/>
        </w:rPr>
        <w:t>Comparison of Alternatives</w:t>
      </w:r>
      <w:bookmarkEnd w:id="76"/>
    </w:p>
    <w:p w14:paraId="2B64B292" w14:textId="5548023C" w:rsidR="00DC40AA" w:rsidRDefault="00AE5EFD" w:rsidP="0051542F">
      <w:pPr>
        <w:ind w:firstLine="360"/>
      </w:pPr>
      <w:r>
        <w:t>The minimum size limit for mutton snapper in federal waters of the South Atlantic was specified in Amendment 7 to the Snapper Grouper FMP (SAFMC 1995) as 16 inches total length</w:t>
      </w:r>
      <w:r w:rsidR="0051542F">
        <w:t xml:space="preserve"> (TL)</w:t>
      </w:r>
      <w:r>
        <w:t xml:space="preserve">. </w:t>
      </w:r>
      <w:r w:rsidR="00EA13A7">
        <w:t xml:space="preserve"> </w:t>
      </w:r>
      <w:r w:rsidR="0051542F">
        <w:t xml:space="preserve">The SEDAR 15A (2008) stock assessment of mutton snapper cited evidence that 50% </w:t>
      </w:r>
      <w:r w:rsidR="00FD51DC">
        <w:t xml:space="preserve">of mutton snapper reach </w:t>
      </w:r>
      <w:r w:rsidR="0051542F">
        <w:t xml:space="preserve">sexual maturity between 14 and 18 inches </w:t>
      </w:r>
      <w:r w:rsidR="00AD1B31">
        <w:t>TL</w:t>
      </w:r>
      <w:r w:rsidR="0051542F">
        <w:t xml:space="preserve"> (</w:t>
      </w:r>
      <w:r w:rsidR="0051542F" w:rsidRPr="0051542F">
        <w:rPr>
          <w:b/>
        </w:rPr>
        <w:t>Section 4.5.1</w:t>
      </w:r>
      <w:r w:rsidR="0051542F">
        <w:t xml:space="preserve">).  More recent scientific information indicates that the size at 50% maturity for </w:t>
      </w:r>
      <w:r w:rsidR="00227A22">
        <w:t xml:space="preserve">male mutton </w:t>
      </w:r>
      <w:r w:rsidR="00591039">
        <w:t>snapper is 16 inches TL and</w:t>
      </w:r>
      <w:r w:rsidR="00227A22">
        <w:t xml:space="preserve">18 inches TL for females (Sadovy de Mitcheson and Colin 2011).  </w:t>
      </w:r>
      <w:r w:rsidR="00227A22" w:rsidRPr="00227A22">
        <w:rPr>
          <w:b/>
        </w:rPr>
        <w:t>Alternative 1 (No Action)</w:t>
      </w:r>
      <w:r w:rsidR="00227A22">
        <w:t xml:space="preserve"> would retain the existing minimum size of 16 inches TL in federal waters of the South Atlantic.  </w:t>
      </w:r>
      <w:r w:rsidR="00227A22" w:rsidRPr="00227A22">
        <w:rPr>
          <w:b/>
        </w:rPr>
        <w:t>Alternatives 2-5</w:t>
      </w:r>
      <w:r w:rsidR="00227A22">
        <w:t xml:space="preserve"> consider one-inch increases up to 20 inches</w:t>
      </w:r>
      <w:r w:rsidR="00AD1B31">
        <w:t xml:space="preserve"> TL</w:t>
      </w:r>
      <w:r w:rsidR="00227A22">
        <w:t xml:space="preserve">, respectively. </w:t>
      </w:r>
      <w:r w:rsidR="00EF6FAF" w:rsidRPr="00007A84">
        <w:t xml:space="preserve">The South Atlantic Council did not consider decreasing </w:t>
      </w:r>
      <w:r w:rsidR="00FD51DC">
        <w:t>the minimum size limit as that c</w:t>
      </w:r>
      <w:r w:rsidR="00EF6FAF" w:rsidRPr="00007A84">
        <w:t>ould negatively affect the mutton snapper stock by allowing harvest of individuals that are not yet sexually mature.</w:t>
      </w:r>
      <w:r w:rsidR="00EF6FAF">
        <w:t xml:space="preserve">  </w:t>
      </w:r>
      <w:r w:rsidR="00227A22" w:rsidRPr="005743C0">
        <w:rPr>
          <w:b/>
        </w:rPr>
        <w:t>Alternative 1 (No Action)</w:t>
      </w:r>
      <w:r w:rsidR="00227A22">
        <w:t xml:space="preserve"> would not be as biologically beneficial as the alternatives considered under this action because it allows harvest of some reproductively immature individuals.  </w:t>
      </w:r>
      <w:r w:rsidR="00227A22" w:rsidRPr="005743C0">
        <w:rPr>
          <w:b/>
        </w:rPr>
        <w:t>Alternatives 2-5</w:t>
      </w:r>
      <w:r w:rsidR="00227A22">
        <w:t xml:space="preserve"> would impart </w:t>
      </w:r>
      <w:r w:rsidR="00197549">
        <w:t xml:space="preserve">some </w:t>
      </w:r>
      <w:r w:rsidR="00227A22">
        <w:t xml:space="preserve">biological benefits to the mutton snapper population by allowing more individuals to reach reproductive </w:t>
      </w:r>
      <w:r w:rsidR="00A431D7">
        <w:t>maturity</w:t>
      </w:r>
      <w:r w:rsidR="00227A22">
        <w:t xml:space="preserve"> before being harvested.  Of these, </w:t>
      </w:r>
      <w:r w:rsidR="00227A22">
        <w:rPr>
          <w:b/>
        </w:rPr>
        <w:t xml:space="preserve">Alternatives 4 </w:t>
      </w:r>
      <w:r w:rsidR="00227A22" w:rsidRPr="001D534D">
        <w:t xml:space="preserve">and </w:t>
      </w:r>
      <w:r w:rsidR="00227A22" w:rsidRPr="005743C0">
        <w:rPr>
          <w:b/>
        </w:rPr>
        <w:t>5</w:t>
      </w:r>
      <w:r w:rsidR="00227A22">
        <w:t xml:space="preserve"> would be more biologically beneficial than </w:t>
      </w:r>
      <w:r w:rsidR="00227A22" w:rsidRPr="0000613D">
        <w:rPr>
          <w:b/>
        </w:rPr>
        <w:t>Preferred</w:t>
      </w:r>
      <w:r w:rsidR="00227A22">
        <w:t xml:space="preserve"> </w:t>
      </w:r>
      <w:r w:rsidR="00227A22" w:rsidRPr="005743C0">
        <w:rPr>
          <w:b/>
        </w:rPr>
        <w:t>Alternative 3</w:t>
      </w:r>
      <w:r w:rsidR="00227A22">
        <w:t xml:space="preserve"> or </w:t>
      </w:r>
      <w:r w:rsidR="00227A22" w:rsidRPr="005743C0">
        <w:rPr>
          <w:b/>
        </w:rPr>
        <w:t>Alternative 2</w:t>
      </w:r>
      <w:r w:rsidR="00227A22">
        <w:t xml:space="preserve"> as they would presumably encompass all the reproductively active individuals in the population.  Hence, biological benefits would be greatest under </w:t>
      </w:r>
      <w:r w:rsidR="00227A22" w:rsidRPr="0000613D">
        <w:rPr>
          <w:b/>
        </w:rPr>
        <w:t>Alternative 5</w:t>
      </w:r>
      <w:r w:rsidR="00227A22">
        <w:t xml:space="preserve"> and decrease with each subsequent a</w:t>
      </w:r>
      <w:r w:rsidR="00591039">
        <w:t>lternative in diminishing order.</w:t>
      </w:r>
      <w:r w:rsidR="00DC40AA">
        <w:t xml:space="preserve">  </w:t>
      </w:r>
    </w:p>
    <w:p w14:paraId="25DAE724" w14:textId="77777777" w:rsidR="00591039" w:rsidRDefault="00591039" w:rsidP="0051542F">
      <w:pPr>
        <w:ind w:firstLine="360"/>
      </w:pPr>
    </w:p>
    <w:p w14:paraId="447B06A6" w14:textId="642D2A08" w:rsidR="002D2DC4" w:rsidRDefault="002D2DC4" w:rsidP="002D2DC4">
      <w:pPr>
        <w:ind w:firstLine="360"/>
      </w:pPr>
      <w:r w:rsidRPr="000B6B96">
        <w:t xml:space="preserve">The greater the increase in </w:t>
      </w:r>
      <w:r>
        <w:t xml:space="preserve">the minimum </w:t>
      </w:r>
      <w:r w:rsidRPr="000B6B96">
        <w:t xml:space="preserve">size limit from </w:t>
      </w:r>
      <w:r w:rsidRPr="000B6B96">
        <w:rPr>
          <w:b/>
        </w:rPr>
        <w:t>Alternative 1 (No Action)</w:t>
      </w:r>
      <w:r w:rsidRPr="000B6B96">
        <w:t xml:space="preserve">, the </w:t>
      </w:r>
      <w:r>
        <w:t xml:space="preserve">greater the </w:t>
      </w:r>
      <w:r w:rsidRPr="000B6B96">
        <w:t xml:space="preserve">probability for short-term </w:t>
      </w:r>
      <w:r>
        <w:t xml:space="preserve">negative economic effects because both commercial and recreational fishers have to discard larger numbers of fish that are under the size limit.  To </w:t>
      </w:r>
      <w:r>
        <w:lastRenderedPageBreak/>
        <w:t xml:space="preserve">mitigate for decreased landings, fishers would have to take more trips or longer trips and incur higher associated trip costs. </w:t>
      </w:r>
      <w:r w:rsidR="0051763C">
        <w:t xml:space="preserve"> </w:t>
      </w:r>
      <w:r w:rsidRPr="001C1474">
        <w:rPr>
          <w:b/>
        </w:rPr>
        <w:t>Alternative 5</w:t>
      </w:r>
      <w:r>
        <w:t xml:space="preserve"> would result in the largest decrease in landings or the largest increase in trip costs, followed in turn by </w:t>
      </w:r>
      <w:r w:rsidRPr="001C1474">
        <w:rPr>
          <w:b/>
        </w:rPr>
        <w:t>Alternative 4</w:t>
      </w:r>
      <w:r>
        <w:t xml:space="preserve">, </w:t>
      </w:r>
      <w:r w:rsidRPr="001C1474">
        <w:rPr>
          <w:b/>
        </w:rPr>
        <w:t>Preferred Alternative 3</w:t>
      </w:r>
      <w:r>
        <w:t xml:space="preserve">, </w:t>
      </w:r>
      <w:r w:rsidRPr="001C1474">
        <w:rPr>
          <w:b/>
        </w:rPr>
        <w:t>Alternative 2</w:t>
      </w:r>
      <w:r>
        <w:t xml:space="preserve"> and </w:t>
      </w:r>
      <w:r w:rsidRPr="001C1474">
        <w:rPr>
          <w:b/>
        </w:rPr>
        <w:t xml:space="preserve">Alternative </w:t>
      </w:r>
      <w:r>
        <w:rPr>
          <w:b/>
        </w:rPr>
        <w:t>1</w:t>
      </w:r>
      <w:r w:rsidR="0051763C">
        <w:rPr>
          <w:b/>
        </w:rPr>
        <w:t xml:space="preserve"> (No Action)</w:t>
      </w:r>
      <w:r>
        <w:t xml:space="preserve">.  </w:t>
      </w:r>
      <w:r>
        <w:rPr>
          <w:b/>
        </w:rPr>
        <w:t xml:space="preserve">Alternative 1 (No Action) </w:t>
      </w:r>
      <w:r>
        <w:t xml:space="preserve">would yield the highest positive, direct, short-term net economic effects compared to </w:t>
      </w:r>
      <w:r>
        <w:rPr>
          <w:b/>
        </w:rPr>
        <w:t xml:space="preserve">Alternatives 2 </w:t>
      </w:r>
      <w:r w:rsidRPr="001E6451">
        <w:t>through</w:t>
      </w:r>
      <w:r>
        <w:rPr>
          <w:b/>
        </w:rPr>
        <w:t xml:space="preserve"> 5</w:t>
      </w:r>
      <w:r>
        <w:t>.</w:t>
      </w:r>
      <w:r w:rsidRPr="00EE1ABF">
        <w:t xml:space="preserve"> </w:t>
      </w:r>
      <w:r>
        <w:t xml:space="preserve">  However, </w:t>
      </w:r>
      <w:r w:rsidRPr="001C1474">
        <w:rPr>
          <w:b/>
        </w:rPr>
        <w:t>Alternatives 2-5</w:t>
      </w:r>
      <w:r>
        <w:t xml:space="preserve"> would generate larger long-term economic benefits than </w:t>
      </w:r>
      <w:r w:rsidRPr="001C1474">
        <w:rPr>
          <w:b/>
        </w:rPr>
        <w:t>Alternative 1</w:t>
      </w:r>
      <w:r w:rsidR="0051763C">
        <w:rPr>
          <w:b/>
        </w:rPr>
        <w:t xml:space="preserve"> (No Action)</w:t>
      </w:r>
      <w:r>
        <w:t xml:space="preserve"> because</w:t>
      </w:r>
      <w:r w:rsidR="0051763C">
        <w:t xml:space="preserve"> of improvements of the stock. </w:t>
      </w:r>
    </w:p>
    <w:p w14:paraId="3EBADDBB" w14:textId="77777777" w:rsidR="002D2DC4" w:rsidRDefault="002D2DC4" w:rsidP="002D2DC4">
      <w:pPr>
        <w:ind w:firstLine="360"/>
      </w:pPr>
    </w:p>
    <w:p w14:paraId="21D91717" w14:textId="62E4B9E3" w:rsidR="002D2DC4" w:rsidRPr="00771924" w:rsidRDefault="002D2DC4" w:rsidP="002D2DC4">
      <w:pPr>
        <w:ind w:firstLine="360"/>
      </w:pPr>
      <w:r>
        <w:t>A minimum size limit can reduce recreational trip satisfaction if anglers are not able to meet the bag limit.  The largest minimum size limit (</w:t>
      </w:r>
      <w:r>
        <w:rPr>
          <w:b/>
        </w:rPr>
        <w:t>Alternative 5</w:t>
      </w:r>
      <w:r>
        <w:t>) would be expected to have the highest level of short-term negative effects on angler trips and associated businesse</w:t>
      </w:r>
      <w:r w:rsidR="004B2C01">
        <w:t>s</w:t>
      </w:r>
      <w:r>
        <w:t xml:space="preserve">, followed by </w:t>
      </w:r>
      <w:r>
        <w:rPr>
          <w:b/>
        </w:rPr>
        <w:t>Alternative 4</w:t>
      </w:r>
      <w:r>
        <w:t xml:space="preserve">, </w:t>
      </w:r>
      <w:r>
        <w:rPr>
          <w:b/>
        </w:rPr>
        <w:t>Preferred Alternative 3</w:t>
      </w:r>
      <w:r>
        <w:t xml:space="preserve">, and </w:t>
      </w:r>
      <w:r>
        <w:rPr>
          <w:b/>
        </w:rPr>
        <w:t>Alternative 2</w:t>
      </w:r>
      <w:r>
        <w:t xml:space="preserve">.  </w:t>
      </w:r>
      <w:r>
        <w:rPr>
          <w:b/>
        </w:rPr>
        <w:t xml:space="preserve">Alternative 1 (No Action) </w:t>
      </w:r>
      <w:r>
        <w:t xml:space="preserve">would have the least negative effect on trip satisfaction, any minimum size limit may restrict the number of fish that can be landed. </w:t>
      </w:r>
    </w:p>
    <w:p w14:paraId="17C73F43" w14:textId="7E10FE8D" w:rsidR="008C454A" w:rsidRDefault="008C454A">
      <w:pPr>
        <w:rPr>
          <w:rFonts w:ascii="Arial" w:hAnsi="Arial" w:cs="Arial"/>
          <w:b/>
          <w:bCs/>
          <w:iCs/>
          <w:sz w:val="28"/>
          <w:szCs w:val="28"/>
        </w:rPr>
      </w:pPr>
    </w:p>
    <w:p w14:paraId="714F85B3" w14:textId="77777777" w:rsidR="005E336A" w:rsidRDefault="005E336A">
      <w:pPr>
        <w:rPr>
          <w:rFonts w:ascii="Arial" w:hAnsi="Arial" w:cs="Arial"/>
          <w:b/>
          <w:bCs/>
          <w:iCs/>
          <w:sz w:val="28"/>
          <w:szCs w:val="28"/>
        </w:rPr>
      </w:pPr>
      <w:r>
        <w:rPr>
          <w:rFonts w:ascii="Arial" w:hAnsi="Arial" w:cs="Arial"/>
        </w:rPr>
        <w:br w:type="page"/>
      </w:r>
    </w:p>
    <w:p w14:paraId="728B8D27" w14:textId="4E20623F" w:rsidR="00AD27F8" w:rsidRPr="00667CDC" w:rsidRDefault="00DB4D41" w:rsidP="00667CDC">
      <w:pPr>
        <w:pStyle w:val="Heading2"/>
      </w:pPr>
      <w:bookmarkStart w:id="77" w:name="_Toc339811708"/>
      <w:r>
        <w:rPr>
          <w:rFonts w:ascii="Arial" w:hAnsi="Arial" w:cs="Arial"/>
        </w:rPr>
        <w:lastRenderedPageBreak/>
        <w:t>2.</w:t>
      </w:r>
      <w:r w:rsidR="008C454A">
        <w:rPr>
          <w:rFonts w:ascii="Arial" w:hAnsi="Arial" w:cs="Arial"/>
        </w:rPr>
        <w:t>6</w:t>
      </w:r>
      <w:r>
        <w:rPr>
          <w:rFonts w:ascii="Arial" w:hAnsi="Arial" w:cs="Arial"/>
        </w:rPr>
        <w:tab/>
      </w:r>
      <w:r w:rsidR="00CD09B7" w:rsidRPr="00CD09B7">
        <w:rPr>
          <w:rFonts w:ascii="Arial" w:hAnsi="Arial" w:cs="Arial"/>
        </w:rPr>
        <w:t xml:space="preserve">Action </w:t>
      </w:r>
      <w:r w:rsidR="008C454A">
        <w:rPr>
          <w:rFonts w:ascii="Arial" w:hAnsi="Arial" w:cs="Arial"/>
        </w:rPr>
        <w:t>6</w:t>
      </w:r>
      <w:r w:rsidR="00CD09B7" w:rsidRPr="00CD09B7">
        <w:rPr>
          <w:rFonts w:ascii="Arial" w:hAnsi="Arial" w:cs="Arial"/>
        </w:rPr>
        <w:t xml:space="preserve">.  </w:t>
      </w:r>
      <w:r w:rsidR="00924C0A" w:rsidRPr="00EF32D8">
        <w:rPr>
          <w:rFonts w:ascii="Arial" w:hAnsi="Arial" w:cs="Arial"/>
        </w:rPr>
        <w:t xml:space="preserve">Designate spawning </w:t>
      </w:r>
      <w:r w:rsidR="002B189D">
        <w:rPr>
          <w:rFonts w:ascii="Arial" w:hAnsi="Arial" w:cs="Arial"/>
        </w:rPr>
        <w:t>months</w:t>
      </w:r>
      <w:r w:rsidR="00924C0A" w:rsidRPr="00EF32D8">
        <w:rPr>
          <w:rFonts w:ascii="Arial" w:hAnsi="Arial" w:cs="Arial"/>
        </w:rPr>
        <w:t xml:space="preserve"> during which </w:t>
      </w:r>
      <w:r w:rsidR="002B189D">
        <w:rPr>
          <w:rFonts w:ascii="Arial" w:hAnsi="Arial" w:cs="Arial"/>
        </w:rPr>
        <w:t xml:space="preserve">certain </w:t>
      </w:r>
      <w:r w:rsidR="00924C0A" w:rsidRPr="00EF32D8">
        <w:rPr>
          <w:rFonts w:ascii="Arial" w:hAnsi="Arial" w:cs="Arial"/>
        </w:rPr>
        <w:t xml:space="preserve">commercial and </w:t>
      </w:r>
      <w:r w:rsidR="00924C0A" w:rsidRPr="008C454A">
        <w:rPr>
          <w:rFonts w:ascii="Arial" w:hAnsi="Arial" w:cs="Arial"/>
        </w:rPr>
        <w:t>recreational management measures for mutton snapper should apply</w:t>
      </w:r>
      <w:r w:rsidR="004B1A22" w:rsidRPr="008C454A">
        <w:rPr>
          <w:rFonts w:ascii="Arial" w:hAnsi="Arial" w:cs="Arial"/>
        </w:rPr>
        <w:t xml:space="preserve"> </w:t>
      </w:r>
      <w:r w:rsidR="00774344" w:rsidRPr="008C454A">
        <w:rPr>
          <w:rFonts w:ascii="Arial" w:hAnsi="Arial" w:cs="Arial"/>
        </w:rPr>
        <w:t>in the South Atlantic R</w:t>
      </w:r>
      <w:r w:rsidR="004B1A22" w:rsidRPr="008C454A">
        <w:rPr>
          <w:rFonts w:ascii="Arial" w:hAnsi="Arial" w:cs="Arial"/>
        </w:rPr>
        <w:t>egion</w:t>
      </w:r>
      <w:bookmarkEnd w:id="77"/>
    </w:p>
    <w:p w14:paraId="030499E2" w14:textId="77777777" w:rsidR="009A3217" w:rsidRDefault="009A3217" w:rsidP="00924C0A">
      <w:pPr>
        <w:rPr>
          <w:b/>
        </w:rPr>
      </w:pPr>
    </w:p>
    <w:p w14:paraId="1D932248" w14:textId="77777777" w:rsidR="005509FB" w:rsidRDefault="00924C0A" w:rsidP="0058475F">
      <w:pPr>
        <w:rPr>
          <w:highlight w:val="yellow"/>
        </w:rPr>
      </w:pPr>
      <w:r w:rsidRPr="00EF32D8">
        <w:rPr>
          <w:b/>
        </w:rPr>
        <w:t>Alternative 1 (No Action).</w:t>
      </w:r>
      <w:r w:rsidRPr="00EF32D8">
        <w:t xml:space="preserve"> </w:t>
      </w:r>
      <w:r w:rsidR="007145E2">
        <w:t xml:space="preserve"> </w:t>
      </w:r>
      <w:r w:rsidR="005509FB" w:rsidRPr="005509FB">
        <w:rPr>
          <w:strike/>
          <w:highlight w:val="yellow"/>
        </w:rPr>
        <w:t>During May and June, each year, the possession of mutton snapper in or from the exclusive economic zone on board a vessel that has a commercial permit for South Atlantic snapper grouper is limited to 10 per person per day or 10 per person per trip, whichever is more restrictive.</w:t>
      </w:r>
    </w:p>
    <w:p w14:paraId="1CF398CF" w14:textId="3096DADB" w:rsidR="002633AF" w:rsidRPr="002633AF" w:rsidRDefault="000109FC" w:rsidP="0058475F">
      <w:r w:rsidRPr="000109FC">
        <w:rPr>
          <w:highlight w:val="yellow"/>
        </w:rPr>
        <w:t>Seasonal harvest limitations apply to the commercial sector during mutton snapper spawning in May and June each year.  There are no comparable seasonal restrictions during May and June that apply to the recreational sector.</w:t>
      </w:r>
    </w:p>
    <w:p w14:paraId="79D1479E" w14:textId="77777777" w:rsidR="002633AF" w:rsidRDefault="002633AF" w:rsidP="0058475F">
      <w:pPr>
        <w:rPr>
          <w:b/>
        </w:rPr>
      </w:pPr>
    </w:p>
    <w:p w14:paraId="2232725B" w14:textId="5855889E" w:rsidR="0058475F" w:rsidRDefault="00845813" w:rsidP="0058475F">
      <w:r>
        <w:rPr>
          <w:b/>
        </w:rPr>
        <w:t xml:space="preserve">Preferred </w:t>
      </w:r>
      <w:r w:rsidR="0058475F" w:rsidRPr="00EF32D8">
        <w:rPr>
          <w:b/>
        </w:rPr>
        <w:t>Alternative 2.</w:t>
      </w:r>
      <w:r w:rsidR="0058475F" w:rsidRPr="00EF32D8">
        <w:t xml:space="preserve">  For regulatory purposes, </w:t>
      </w:r>
      <w:r w:rsidR="0058475F">
        <w:t>designate the</w:t>
      </w:r>
      <w:r w:rsidR="00FA68EB">
        <w:t xml:space="preserve"> following as “spawning months</w:t>
      </w:r>
      <w:r w:rsidR="00FA68EB" w:rsidRPr="005509FB">
        <w:t>.”</w:t>
      </w:r>
      <w:r w:rsidR="0058475F">
        <w:t xml:space="preserve">  The remainder of the year would be the “regular season.”</w:t>
      </w:r>
    </w:p>
    <w:p w14:paraId="0459BFA4" w14:textId="6860BE54" w:rsidR="0058475F" w:rsidRDefault="008C454A" w:rsidP="005E336A">
      <w:pPr>
        <w:ind w:left="720"/>
      </w:pPr>
      <w:r>
        <w:rPr>
          <w:b/>
        </w:rPr>
        <w:t xml:space="preserve">Preferred </w:t>
      </w:r>
      <w:r w:rsidR="0058475F">
        <w:rPr>
          <w:b/>
        </w:rPr>
        <w:t>Sub-alternative 2a</w:t>
      </w:r>
      <w:r w:rsidR="0058475F" w:rsidRPr="00EF32D8">
        <w:rPr>
          <w:b/>
        </w:rPr>
        <w:t>.</w:t>
      </w:r>
      <w:r w:rsidR="0058475F" w:rsidRPr="00EF32D8">
        <w:t xml:space="preserve">  </w:t>
      </w:r>
      <w:r w:rsidR="0058475F" w:rsidRPr="005523BC">
        <w:t>April-June</w:t>
      </w:r>
    </w:p>
    <w:p w14:paraId="4390AEF0" w14:textId="730CD168" w:rsidR="00D66B86" w:rsidRPr="005523BC" w:rsidRDefault="0058475F" w:rsidP="005E336A">
      <w:pPr>
        <w:ind w:left="720"/>
      </w:pPr>
      <w:r w:rsidRPr="005523BC">
        <w:rPr>
          <w:b/>
        </w:rPr>
        <w:t>Sub-alternative 2b.</w:t>
      </w:r>
      <w:r>
        <w:t xml:space="preserve">  </w:t>
      </w:r>
      <w:r w:rsidRPr="005523BC">
        <w:t>April-July</w:t>
      </w:r>
    </w:p>
    <w:p w14:paraId="7FB043D7" w14:textId="6D5167F1" w:rsidR="0058475F" w:rsidRPr="005523BC" w:rsidRDefault="0058475F" w:rsidP="005E336A">
      <w:pPr>
        <w:ind w:left="720"/>
      </w:pPr>
      <w:r>
        <w:rPr>
          <w:b/>
        </w:rPr>
        <w:t>Sub-alternative 2c</w:t>
      </w:r>
      <w:r w:rsidRPr="00EF32D8">
        <w:rPr>
          <w:b/>
        </w:rPr>
        <w:t>.</w:t>
      </w:r>
      <w:r w:rsidRPr="00EF32D8">
        <w:t xml:space="preserve">  </w:t>
      </w:r>
      <w:r w:rsidRPr="005523BC">
        <w:t>May-July</w:t>
      </w:r>
    </w:p>
    <w:p w14:paraId="6BD92BD3" w14:textId="77777777" w:rsidR="00924C0A" w:rsidRPr="00EF32D8" w:rsidRDefault="00924C0A" w:rsidP="00924C0A"/>
    <w:p w14:paraId="05731CD1" w14:textId="0878D9CB" w:rsidR="00924C0A" w:rsidRPr="00AE5EFD" w:rsidRDefault="00AE5EFD" w:rsidP="00AE5EFD">
      <w:pPr>
        <w:pStyle w:val="Heading2"/>
        <w:rPr>
          <w:rFonts w:ascii="Arial" w:hAnsi="Arial" w:cs="Arial"/>
        </w:rPr>
      </w:pPr>
      <w:bookmarkStart w:id="78" w:name="_Toc339811709"/>
      <w:r w:rsidRPr="00AE5EFD">
        <w:rPr>
          <w:rFonts w:ascii="Arial" w:hAnsi="Arial" w:cs="Arial"/>
        </w:rPr>
        <w:t>Comparison of Alternatives:</w:t>
      </w:r>
      <w:bookmarkEnd w:id="78"/>
      <w:r w:rsidRPr="00E37E25">
        <w:rPr>
          <w:i/>
          <w:u w:val="single"/>
        </w:rPr>
        <w:t xml:space="preserve"> </w:t>
      </w:r>
    </w:p>
    <w:p w14:paraId="2C25256A" w14:textId="23AAF0F8" w:rsidR="00924C0A" w:rsidRDefault="00924C0A" w:rsidP="00924C0A">
      <w:pPr>
        <w:ind w:firstLine="360"/>
      </w:pPr>
      <w:r>
        <w:t xml:space="preserve">Amendment 4 </w:t>
      </w:r>
      <w:r w:rsidR="00AD1B31">
        <w:t xml:space="preserve">to the Snapper Grouper FMP </w:t>
      </w:r>
      <w:r>
        <w:t xml:space="preserve">(SAFMC 1991) designated May and June as the months </w:t>
      </w:r>
      <w:r w:rsidR="00FC0F17">
        <w:t xml:space="preserve">during which stricter commercial </w:t>
      </w:r>
      <w:r>
        <w:t xml:space="preserve">regulations </w:t>
      </w:r>
      <w:r w:rsidR="00FC0F17">
        <w:t xml:space="preserve">would be implemented </w:t>
      </w:r>
      <w:r>
        <w:t xml:space="preserve">to prevent overharvesting of </w:t>
      </w:r>
      <w:r w:rsidR="002863B3">
        <w:t xml:space="preserve">mutton snapper </w:t>
      </w:r>
      <w:r>
        <w:t xml:space="preserve">spawning aggregations.  </w:t>
      </w:r>
      <w:r w:rsidR="00FC0F17">
        <w:t>No management measures were put in place to constrain recreational harvest during those months</w:t>
      </w:r>
      <w:r w:rsidR="00A431D7">
        <w:t>,</w:t>
      </w:r>
      <w:r w:rsidR="00FC0F17">
        <w:t xml:space="preserve"> however.  </w:t>
      </w:r>
      <w:r>
        <w:t xml:space="preserve">In recent years, fishermen and law enforcement personnel have approached the </w:t>
      </w:r>
      <w:r w:rsidR="00FC0F17">
        <w:t xml:space="preserve">South Atlantic </w:t>
      </w:r>
      <w:r>
        <w:t xml:space="preserve">Council with concerns about overexploitation of mutton snapper while they are aggregated to spawn.  The Florida Fish and Wildlife Commission (FWC) has received similar comments since 2007.  FWC staff has regularly heard comments about reducing recreational bag limits and commercial trip limits.  Stakeholders are particularly concerned about how many mutton snapper are harvested during the spawning season.  Hence, the </w:t>
      </w:r>
      <w:r w:rsidR="00FC0F17">
        <w:t xml:space="preserve">South Atlantic </w:t>
      </w:r>
      <w:r>
        <w:t>Council is coordinating with FWC to implement compatible regulations for mutton snapper in state and federal waters that would address stakeholder concerns and benefit the mutton snapper resource.  A necessary step to achieving compatible regulations is to designate the time frame during which more restrictive regulations would apply, i.e., the “spawning months” vs. “regular season.”</w:t>
      </w:r>
    </w:p>
    <w:p w14:paraId="1FF036C6" w14:textId="77777777" w:rsidR="00C24FE8" w:rsidRDefault="00C24FE8" w:rsidP="00924C0A">
      <w:pPr>
        <w:ind w:firstLine="360"/>
      </w:pPr>
    </w:p>
    <w:p w14:paraId="5D722019" w14:textId="54FFF0A3" w:rsidR="00C24FE8" w:rsidRDefault="00C36EF5" w:rsidP="00924C0A">
      <w:pPr>
        <w:ind w:firstLine="360"/>
      </w:pPr>
      <w:r>
        <w:t xml:space="preserve">There is no “designated” spawning season for mutton snapper by the South Atlantic Council.  However, under </w:t>
      </w:r>
      <w:r w:rsidR="00C24FE8" w:rsidRPr="00006826">
        <w:rPr>
          <w:b/>
        </w:rPr>
        <w:t>Alternative 1 (No Action)</w:t>
      </w:r>
      <w:r w:rsidRPr="00A431D7">
        <w:t>,</w:t>
      </w:r>
      <w:r>
        <w:rPr>
          <w:b/>
        </w:rPr>
        <w:t xml:space="preserve"> </w:t>
      </w:r>
      <w:r w:rsidR="00C24FE8">
        <w:t xml:space="preserve">May and June </w:t>
      </w:r>
      <w:r>
        <w:t xml:space="preserve">were recognized </w:t>
      </w:r>
      <w:r w:rsidR="00C24FE8">
        <w:t xml:space="preserve">as the months </w:t>
      </w:r>
      <w:r w:rsidR="002863B3">
        <w:t>during which stricter harvest measures for the commercial sector should be in place to offer some protection to spawning fish</w:t>
      </w:r>
      <w:r w:rsidR="00C24FE8">
        <w:t xml:space="preserve">.  Indeed, as stated in </w:t>
      </w:r>
      <w:r w:rsidR="00C24FE8" w:rsidRPr="00C24FE8">
        <w:rPr>
          <w:b/>
        </w:rPr>
        <w:t>Section 4.6.1</w:t>
      </w:r>
      <w:r w:rsidR="00C24FE8">
        <w:t xml:space="preserve">, studies suggest that these months encompass the peak of the mutton snapper spawning season in south Florida and the Florida Keys.  Specifying the months during which specific management measures are to apply would not in itself result in any biological effects.  However, alternatives that better align the timeframe of regulations with the biology of the species would indirectly result in beneficial </w:t>
      </w:r>
      <w:r w:rsidR="00C24FE8">
        <w:lastRenderedPageBreak/>
        <w:t xml:space="preserve">biological effects.  In general, </w:t>
      </w:r>
      <w:r w:rsidR="00C24FE8" w:rsidRPr="0000613D">
        <w:rPr>
          <w:b/>
        </w:rPr>
        <w:t xml:space="preserve">Preferred </w:t>
      </w:r>
      <w:r w:rsidR="00C24FE8" w:rsidRPr="00006826">
        <w:rPr>
          <w:b/>
        </w:rPr>
        <w:t>Alternative 2</w:t>
      </w:r>
      <w:r w:rsidR="00C24FE8">
        <w:t xml:space="preserve"> (and its sub-alternatives) would result in positive indire</w:t>
      </w:r>
      <w:r w:rsidR="001A49BE">
        <w:t>ct biological effects in that they</w:t>
      </w:r>
      <w:r w:rsidR="00C24FE8">
        <w:t xml:space="preserve"> would lengthen the timeframe during which more restrictive regulations would presumably apply to target protection to spawning individuals.  Of these, </w:t>
      </w:r>
      <w:r w:rsidR="00C24FE8" w:rsidRPr="00006826">
        <w:rPr>
          <w:b/>
        </w:rPr>
        <w:t>Sub-alternative 2b</w:t>
      </w:r>
      <w:r w:rsidR="00C24FE8">
        <w:t xml:space="preserve"> would indirectly provide the most biological benefit to mutton snapper in that it encompasses the longest amount of time (4 months) and has the greatest potential of capturing the bulk of mutton snapper spawning activity in the South Atlantic Council’s area of jurisdiction.  </w:t>
      </w:r>
      <w:r w:rsidR="00C24FE8" w:rsidRPr="0000613D">
        <w:rPr>
          <w:b/>
        </w:rPr>
        <w:t xml:space="preserve">Preferred </w:t>
      </w:r>
      <w:r w:rsidR="00C24FE8" w:rsidRPr="00006826">
        <w:rPr>
          <w:b/>
        </w:rPr>
        <w:t>Sub-alternative 2a</w:t>
      </w:r>
      <w:r w:rsidR="00C24FE8">
        <w:t xml:space="preserve"> and </w:t>
      </w:r>
      <w:r w:rsidR="00C24FE8" w:rsidRPr="0000613D">
        <w:rPr>
          <w:b/>
        </w:rPr>
        <w:t>Sub-alternative</w:t>
      </w:r>
      <w:r w:rsidR="00C24FE8">
        <w:t xml:space="preserve"> </w:t>
      </w:r>
      <w:r w:rsidR="00C24FE8" w:rsidRPr="00006826">
        <w:rPr>
          <w:b/>
        </w:rPr>
        <w:t>2b</w:t>
      </w:r>
      <w:r w:rsidR="00C24FE8">
        <w:t xml:space="preserve"> would result in regulations taking effect one month earlier than under </w:t>
      </w:r>
      <w:r w:rsidR="00C24FE8" w:rsidRPr="00006826">
        <w:rPr>
          <w:b/>
        </w:rPr>
        <w:t>Alternative 1 (No Action)</w:t>
      </w:r>
      <w:r w:rsidR="00C24FE8">
        <w:t xml:space="preserve"> and </w:t>
      </w:r>
      <w:r w:rsidR="00C24FE8" w:rsidRPr="00006826">
        <w:rPr>
          <w:b/>
        </w:rPr>
        <w:t>Sub-alternative 2c</w:t>
      </w:r>
      <w:r w:rsidR="00C24FE8">
        <w:t>, possibly imparting some indirect biological benefit in light of changing climate and its observed effect on species’ reproductive cycles.</w:t>
      </w:r>
    </w:p>
    <w:p w14:paraId="281922C9" w14:textId="77777777" w:rsidR="00924C0A" w:rsidRDefault="00924C0A" w:rsidP="00924C0A">
      <w:pPr>
        <w:ind w:firstLine="360"/>
      </w:pPr>
      <w:r>
        <w:t xml:space="preserve"> </w:t>
      </w:r>
    </w:p>
    <w:p w14:paraId="24029167" w14:textId="01ED7A7D" w:rsidR="002D2DC4" w:rsidRDefault="00845813" w:rsidP="002D2DC4">
      <w:pPr>
        <w:ind w:firstLine="360"/>
      </w:pPr>
      <w:r>
        <w:rPr>
          <w:b/>
        </w:rPr>
        <w:t xml:space="preserve">Preferred </w:t>
      </w:r>
      <w:r w:rsidR="002D2DC4" w:rsidRPr="001C1474">
        <w:rPr>
          <w:b/>
        </w:rPr>
        <w:t>Alternative 2</w:t>
      </w:r>
      <w:r w:rsidR="002D2DC4">
        <w:t xml:space="preserve"> </w:t>
      </w:r>
      <w:r>
        <w:t>does not propose any changes to existing regulations</w:t>
      </w:r>
      <w:r w:rsidR="002D2DC4">
        <w:t xml:space="preserve">.  Consequently, without a change in management measures during the </w:t>
      </w:r>
      <w:r w:rsidR="002863B3">
        <w:t>“</w:t>
      </w:r>
      <w:r w:rsidR="002D2DC4">
        <w:t xml:space="preserve">spawning </w:t>
      </w:r>
      <w:r w:rsidR="002863B3">
        <w:t>months</w:t>
      </w:r>
      <w:r w:rsidR="00FC00FF">
        <w:t>,</w:t>
      </w:r>
      <w:r w:rsidR="002863B3">
        <w:t>”</w:t>
      </w:r>
      <w:r w:rsidR="002D2DC4">
        <w:t xml:space="preserve"> </w:t>
      </w:r>
      <w:r w:rsidR="002D2DC4" w:rsidRPr="001C1474">
        <w:rPr>
          <w:b/>
        </w:rPr>
        <w:t>Alternative 1</w:t>
      </w:r>
      <w:r w:rsidR="002D2DC4">
        <w:t xml:space="preserve"> </w:t>
      </w:r>
      <w:r w:rsidR="004B2C01" w:rsidRPr="004B2C01">
        <w:rPr>
          <w:b/>
        </w:rPr>
        <w:t>(No Action)</w:t>
      </w:r>
      <w:r w:rsidR="004B2C01">
        <w:t xml:space="preserve"> </w:t>
      </w:r>
      <w:r w:rsidR="002D2DC4">
        <w:t xml:space="preserve">and </w:t>
      </w:r>
      <w:r w:rsidRPr="00007A84">
        <w:rPr>
          <w:b/>
        </w:rPr>
        <w:t xml:space="preserve">Preferred </w:t>
      </w:r>
      <w:r w:rsidR="002D2DC4" w:rsidRPr="001C1474">
        <w:rPr>
          <w:b/>
        </w:rPr>
        <w:t>Alternative 2</w:t>
      </w:r>
      <w:r w:rsidR="002D2DC4">
        <w:t xml:space="preserve"> would have the same economic impact.  However, if </w:t>
      </w:r>
      <w:r w:rsidR="002863B3">
        <w:t>stricter</w:t>
      </w:r>
      <w:r w:rsidR="002D2DC4">
        <w:t xml:space="preserve"> recreational bag limits (Action 7) and commercial trip limits (Action 8)  are put in place</w:t>
      </w:r>
      <w:r w:rsidR="002863B3">
        <w:t xml:space="preserve"> during the designated “spawning months</w:t>
      </w:r>
      <w:r w:rsidR="00FC00FF">
        <w:t>,</w:t>
      </w:r>
      <w:r w:rsidR="002863B3">
        <w:t>”</w:t>
      </w:r>
      <w:r w:rsidR="002D2DC4">
        <w:t xml:space="preserve"> both sectors </w:t>
      </w:r>
      <w:r w:rsidR="002863B3">
        <w:t>could</w:t>
      </w:r>
      <w:r w:rsidR="002D2DC4">
        <w:t xml:space="preserve"> experience short-term negative economic effects from the extension of </w:t>
      </w:r>
      <w:r w:rsidR="002863B3">
        <w:t>stricter</w:t>
      </w:r>
      <w:r w:rsidR="002D2DC4">
        <w:t xml:space="preserve"> regulations and</w:t>
      </w:r>
      <w:r>
        <w:t>/or</w:t>
      </w:r>
      <w:r w:rsidR="002D2DC4">
        <w:t xml:space="preserve"> establishment of bag and trip limits</w:t>
      </w:r>
      <w:r w:rsidR="002863B3">
        <w:t xml:space="preserve"> during the “regular season.”</w:t>
      </w:r>
      <w:r w:rsidR="002D2DC4">
        <w:t xml:space="preserve">  Both </w:t>
      </w:r>
      <w:r w:rsidR="002D2DC4" w:rsidRPr="008664D4">
        <w:rPr>
          <w:b/>
        </w:rPr>
        <w:t>Preferred Sub-alternative 2a</w:t>
      </w:r>
      <w:r w:rsidR="002D2DC4">
        <w:t xml:space="preserve"> and </w:t>
      </w:r>
      <w:r w:rsidR="002D2DC4" w:rsidRPr="00F6141A">
        <w:rPr>
          <w:b/>
        </w:rPr>
        <w:t>Sub-alternative 2c</w:t>
      </w:r>
      <w:r w:rsidR="002D2DC4">
        <w:t xml:space="preserve"> would extend the </w:t>
      </w:r>
      <w:r w:rsidR="002863B3">
        <w:t>“</w:t>
      </w:r>
      <w:r w:rsidR="002D2DC4">
        <w:t xml:space="preserve">spawning </w:t>
      </w:r>
      <w:r w:rsidR="002863B3">
        <w:t>months”</w:t>
      </w:r>
      <w:r w:rsidR="002D2DC4">
        <w:t xml:space="preserve"> by one month and </w:t>
      </w:r>
      <w:r w:rsidR="002D2DC4" w:rsidRPr="001C1474">
        <w:rPr>
          <w:b/>
        </w:rPr>
        <w:t>Sub-alternative 2b</w:t>
      </w:r>
      <w:r w:rsidR="002D2DC4">
        <w:t xml:space="preserve"> would extend it by two months.  It is expected that the longer the </w:t>
      </w:r>
      <w:r w:rsidR="002863B3">
        <w:t>designated “</w:t>
      </w:r>
      <w:r w:rsidR="002D2DC4">
        <w:t xml:space="preserve">spawning </w:t>
      </w:r>
      <w:r w:rsidR="002863B3">
        <w:t>months</w:t>
      </w:r>
      <w:r w:rsidR="00FC00FF">
        <w:t>,</w:t>
      </w:r>
      <w:r w:rsidR="002863B3">
        <w:t>”</w:t>
      </w:r>
      <w:r w:rsidR="002D2DC4">
        <w:t xml:space="preserve"> the larger the adverse ec</w:t>
      </w:r>
      <w:r w:rsidR="002863B3">
        <w:t>onomic and social impacts from</w:t>
      </w:r>
      <w:r w:rsidR="002D2DC4">
        <w:t xml:space="preserve"> </w:t>
      </w:r>
      <w:r w:rsidR="002863B3">
        <w:t>stricter</w:t>
      </w:r>
      <w:r w:rsidR="002D2DC4">
        <w:t xml:space="preserve"> </w:t>
      </w:r>
      <w:r>
        <w:t xml:space="preserve">harvest </w:t>
      </w:r>
      <w:r w:rsidR="002D2DC4">
        <w:t>limit</w:t>
      </w:r>
      <w:r w:rsidR="002863B3">
        <w:t>s</w:t>
      </w:r>
      <w:r>
        <w:t xml:space="preserve">, if </w:t>
      </w:r>
      <w:r w:rsidR="002863B3">
        <w:t>they</w:t>
      </w:r>
      <w:r>
        <w:t xml:space="preserve"> were implemented</w:t>
      </w:r>
      <w:r w:rsidR="002D2DC4">
        <w:t xml:space="preserve">.  Therefore, </w:t>
      </w:r>
      <w:r w:rsidR="002D2DC4" w:rsidRPr="00F6141A">
        <w:rPr>
          <w:b/>
        </w:rPr>
        <w:t>Sub-alternative 2b</w:t>
      </w:r>
      <w:r w:rsidR="002D2DC4" w:rsidRPr="00C42D8B">
        <w:t>, which establishes the longest</w:t>
      </w:r>
      <w:r w:rsidR="002D2DC4">
        <w:rPr>
          <w:b/>
        </w:rPr>
        <w:t xml:space="preserve"> </w:t>
      </w:r>
      <w:r w:rsidR="002863B3">
        <w:t>period during which stricter harvest limits would be potentially in effect</w:t>
      </w:r>
      <w:r w:rsidR="002D2DC4">
        <w:t xml:space="preserve">, would have the largest short-term </w:t>
      </w:r>
      <w:r>
        <w:t xml:space="preserve">indirect </w:t>
      </w:r>
      <w:r w:rsidR="002D2DC4">
        <w:t xml:space="preserve">adverse economic and social impacts and </w:t>
      </w:r>
      <w:r w:rsidR="002D2DC4" w:rsidRPr="001C1474">
        <w:rPr>
          <w:b/>
        </w:rPr>
        <w:t>Alternative 1</w:t>
      </w:r>
      <w:r w:rsidR="002D2DC4">
        <w:t xml:space="preserve"> </w:t>
      </w:r>
      <w:r w:rsidR="002D2DC4" w:rsidRPr="001C1474">
        <w:rPr>
          <w:b/>
        </w:rPr>
        <w:t xml:space="preserve">(No Action) </w:t>
      </w:r>
      <w:r w:rsidR="002D2DC4">
        <w:t xml:space="preserve">would have the smallest short-term adverse economic and </w:t>
      </w:r>
      <w:r w:rsidR="002863B3">
        <w:t>social impacts.  As indicated in</w:t>
      </w:r>
      <w:r w:rsidR="002D2DC4">
        <w:t xml:space="preserve"> </w:t>
      </w:r>
      <w:r w:rsidR="002D2DC4" w:rsidRPr="001C1474">
        <w:rPr>
          <w:b/>
        </w:rPr>
        <w:t>Figure 3.3.3</w:t>
      </w:r>
      <w:r w:rsidR="002D2DC4">
        <w:t>, average commercial landings of mutton snappe</w:t>
      </w:r>
      <w:r w:rsidR="002863B3">
        <w:t>r in July are greater than</w:t>
      </w:r>
      <w:r w:rsidR="002D2DC4">
        <w:t xml:space="preserve"> in April.  Consequently, </w:t>
      </w:r>
      <w:r w:rsidR="002D2DC4" w:rsidRPr="001C1474">
        <w:rPr>
          <w:b/>
        </w:rPr>
        <w:t>Sub-alternative 2c</w:t>
      </w:r>
      <w:r w:rsidR="002D2DC4">
        <w:t xml:space="preserve"> would have larger adverse economic and social impacts </w:t>
      </w:r>
      <w:r>
        <w:t xml:space="preserve">for </w:t>
      </w:r>
      <w:r w:rsidR="002D2DC4">
        <w:t xml:space="preserve">the commercial sector than </w:t>
      </w:r>
      <w:r w:rsidR="002D2DC4" w:rsidRPr="001C1474">
        <w:rPr>
          <w:b/>
        </w:rPr>
        <w:t>Preferred Sub-alternative 2b</w:t>
      </w:r>
      <w:r w:rsidR="002D2DC4">
        <w:t xml:space="preserve">.  </w:t>
      </w:r>
      <w:r w:rsidR="002D2DC4" w:rsidRPr="001C1474">
        <w:rPr>
          <w:b/>
        </w:rPr>
        <w:t>Preferred Sub-alternative 2b</w:t>
      </w:r>
      <w:r w:rsidR="002D2DC4">
        <w:t xml:space="preserve"> and </w:t>
      </w:r>
      <w:r w:rsidR="002D2DC4" w:rsidRPr="001C1474">
        <w:rPr>
          <w:b/>
        </w:rPr>
        <w:t>Sub-alternative 2c</w:t>
      </w:r>
      <w:r w:rsidR="002D2DC4">
        <w:t xml:space="preserve"> are expected to have similar economic and social effects </w:t>
      </w:r>
      <w:r>
        <w:t>for</w:t>
      </w:r>
      <w:r w:rsidR="002D2DC4">
        <w:t xml:space="preserve"> the recreational sector.</w:t>
      </w:r>
    </w:p>
    <w:p w14:paraId="1190E241" w14:textId="77777777" w:rsidR="002D2DC4" w:rsidRDefault="002D2DC4" w:rsidP="002D2DC4"/>
    <w:p w14:paraId="15CB13A5" w14:textId="4A16FA41" w:rsidR="00CD09B7" w:rsidRDefault="00CD09B7" w:rsidP="001A49BE">
      <w:pPr>
        <w:ind w:firstLine="360"/>
      </w:pPr>
      <w:r>
        <w:br w:type="page"/>
      </w:r>
    </w:p>
    <w:p w14:paraId="543F1FF4" w14:textId="3716FF3D" w:rsidR="00CD09B7" w:rsidRPr="000A5352" w:rsidRDefault="00DB4D41" w:rsidP="00CD09B7">
      <w:pPr>
        <w:pStyle w:val="Heading2"/>
        <w:rPr>
          <w:rFonts w:ascii="Arial" w:hAnsi="Arial" w:cs="Arial"/>
        </w:rPr>
      </w:pPr>
      <w:bookmarkStart w:id="79" w:name="_Toc339811710"/>
      <w:r>
        <w:rPr>
          <w:rFonts w:ascii="Arial" w:hAnsi="Arial" w:cs="Arial"/>
        </w:rPr>
        <w:lastRenderedPageBreak/>
        <w:t>2.</w:t>
      </w:r>
      <w:r w:rsidR="008C454A">
        <w:rPr>
          <w:rFonts w:ascii="Arial" w:hAnsi="Arial" w:cs="Arial"/>
        </w:rPr>
        <w:t>7</w:t>
      </w:r>
      <w:r>
        <w:rPr>
          <w:rFonts w:ascii="Arial" w:hAnsi="Arial" w:cs="Arial"/>
        </w:rPr>
        <w:tab/>
      </w:r>
      <w:r w:rsidR="00CD09B7" w:rsidRPr="000A5352">
        <w:rPr>
          <w:rFonts w:ascii="Arial" w:hAnsi="Arial" w:cs="Arial"/>
        </w:rPr>
        <w:t xml:space="preserve">Action </w:t>
      </w:r>
      <w:r w:rsidR="008C454A">
        <w:rPr>
          <w:rFonts w:ascii="Arial" w:hAnsi="Arial" w:cs="Arial"/>
        </w:rPr>
        <w:t>7</w:t>
      </w:r>
      <w:r w:rsidR="00CD09B7" w:rsidRPr="000A5352">
        <w:rPr>
          <w:rFonts w:ascii="Arial" w:hAnsi="Arial" w:cs="Arial"/>
        </w:rPr>
        <w:t xml:space="preserve">.  </w:t>
      </w:r>
      <w:r w:rsidR="00CC558E" w:rsidRPr="008C454A">
        <w:rPr>
          <w:rFonts w:ascii="Arial" w:hAnsi="Arial" w:cs="Arial"/>
        </w:rPr>
        <w:t>Modify mutton snapper recreational bag l</w:t>
      </w:r>
      <w:r w:rsidR="008E4EC7" w:rsidRPr="008C454A">
        <w:rPr>
          <w:rFonts w:ascii="Arial" w:hAnsi="Arial" w:cs="Arial"/>
        </w:rPr>
        <w:t>imit in the South Atlantic</w:t>
      </w:r>
      <w:r w:rsidR="004B1A22" w:rsidRPr="008C454A">
        <w:rPr>
          <w:rFonts w:ascii="Arial" w:hAnsi="Arial" w:cs="Arial"/>
        </w:rPr>
        <w:t xml:space="preserve"> </w:t>
      </w:r>
      <w:r w:rsidR="00774344" w:rsidRPr="008C454A">
        <w:rPr>
          <w:rFonts w:ascii="Arial" w:hAnsi="Arial" w:cs="Arial"/>
        </w:rPr>
        <w:t>R</w:t>
      </w:r>
      <w:r w:rsidR="004B1A22" w:rsidRPr="008C454A">
        <w:rPr>
          <w:rFonts w:ascii="Arial" w:hAnsi="Arial" w:cs="Arial"/>
        </w:rPr>
        <w:t>egion</w:t>
      </w:r>
      <w:bookmarkEnd w:id="79"/>
    </w:p>
    <w:p w14:paraId="62902214" w14:textId="77777777" w:rsidR="009A3217" w:rsidRDefault="009A3217" w:rsidP="008E4EC7">
      <w:pPr>
        <w:rPr>
          <w:b/>
        </w:rPr>
      </w:pPr>
    </w:p>
    <w:p w14:paraId="56A70BCA" w14:textId="04B992B6" w:rsidR="008E4EC7" w:rsidRDefault="008E4EC7" w:rsidP="008E4EC7">
      <w:r w:rsidRPr="0039024C">
        <w:rPr>
          <w:b/>
        </w:rPr>
        <w:t>Alternative 1 (No Action).</w:t>
      </w:r>
      <w:r w:rsidRPr="0039024C">
        <w:t xml:space="preserve">  Mutton snapper is part of the aggregate 10 snapper bag limit in the South Atlantic</w:t>
      </w:r>
      <w:r w:rsidR="002D2DC4">
        <w:t xml:space="preserve"> </w:t>
      </w:r>
      <w:r w:rsidR="002D2DC4" w:rsidRPr="007145E2">
        <w:t>that applies throughout the fishing year</w:t>
      </w:r>
      <w:r w:rsidRPr="007145E2">
        <w:t>.  In the South Atlantic, the 10 snapper-per-person</w:t>
      </w:r>
      <w:r w:rsidR="002D2DC4" w:rsidRPr="007145E2">
        <w:t xml:space="preserve">-per-day </w:t>
      </w:r>
      <w:r w:rsidRPr="007145E2">
        <w:t xml:space="preserve">aggregate includes </w:t>
      </w:r>
      <w:r w:rsidR="00D5440C" w:rsidRPr="007145E2">
        <w:t xml:space="preserve">the following snapper species: lane, yellowtail, gray, mutton, queen, blackfin, cubera, and silk. </w:t>
      </w:r>
      <w:r w:rsidRPr="007145E2">
        <w:t xml:space="preserve">Cubera snapper less than 30 inches total length are included in the 10 fish bag limit.  The aggregate 10 snapper bag limit includes a maximum of 2 cubera snapper per person (not to exceed 2 per/vessel) for fish 30 inches </w:t>
      </w:r>
      <w:r w:rsidR="00C36EF5" w:rsidRPr="007145E2">
        <w:t>total length</w:t>
      </w:r>
      <w:r w:rsidRPr="007145E2">
        <w:t xml:space="preserve"> or larger off Florida</w:t>
      </w:r>
      <w:r w:rsidRPr="007145E2">
        <w:rPr>
          <w:i/>
        </w:rPr>
        <w:t xml:space="preserve">. </w:t>
      </w:r>
      <w:r w:rsidR="00C36EF5" w:rsidRPr="007145E2">
        <w:rPr>
          <w:i/>
        </w:rPr>
        <w:t xml:space="preserve"> </w:t>
      </w:r>
      <w:r w:rsidRPr="007145E2">
        <w:t>Note: The Gulf of Mexico Fishery Management Council and the State of Florida regulations include mutton snapper in the 10 snapper bag limit.</w:t>
      </w:r>
    </w:p>
    <w:p w14:paraId="617C24AA" w14:textId="77777777" w:rsidR="008E4EC7" w:rsidRPr="005809BF" w:rsidRDefault="008E4EC7" w:rsidP="008E4EC7"/>
    <w:p w14:paraId="72977741" w14:textId="1EF5F991" w:rsidR="008E4EC7" w:rsidRPr="00C7424B" w:rsidRDefault="008E4EC7" w:rsidP="008E4EC7">
      <w:pPr>
        <w:rPr>
          <w:u w:val="single"/>
        </w:rPr>
      </w:pPr>
      <w:r w:rsidRPr="0039024C">
        <w:rPr>
          <w:b/>
        </w:rPr>
        <w:t>Alternative 2.</w:t>
      </w:r>
      <w:r w:rsidRPr="0039024C">
        <w:t xml:space="preserve">  Retain mutton snapper within the recreational 10 </w:t>
      </w:r>
      <w:r w:rsidRPr="00C7424B">
        <w:t>snapper aggregate bag limit in the South Atlantic, but specify a bag limit for mutton snapper during the “regular season” (i.e., non-spawning months)</w:t>
      </w:r>
      <w:r w:rsidR="002D2DC4">
        <w:t>.</w:t>
      </w:r>
      <w:r w:rsidRPr="00C7424B">
        <w:t xml:space="preserve"> </w:t>
      </w:r>
    </w:p>
    <w:p w14:paraId="37C6EF3A" w14:textId="613349F7" w:rsidR="008E4EC7" w:rsidRPr="00C7424B" w:rsidRDefault="008E4EC7" w:rsidP="008E4EC7">
      <w:pPr>
        <w:ind w:left="720"/>
      </w:pPr>
      <w:r w:rsidRPr="00C7424B">
        <w:rPr>
          <w:b/>
        </w:rPr>
        <w:t>Sub-alternative 2a.</w:t>
      </w:r>
      <w:r w:rsidRPr="00C7424B">
        <w:t xml:space="preserve"> </w:t>
      </w:r>
      <w:r w:rsidR="00C36EF5">
        <w:t xml:space="preserve"> </w:t>
      </w:r>
      <w:r w:rsidRPr="00C7424B">
        <w:t xml:space="preserve">4 fish/person/day </w:t>
      </w:r>
    </w:p>
    <w:p w14:paraId="65D44C39" w14:textId="07A96FB0" w:rsidR="008E4EC7" w:rsidRPr="00C7424B" w:rsidRDefault="008E4EC7" w:rsidP="008E4EC7">
      <w:pPr>
        <w:ind w:left="720"/>
      </w:pPr>
      <w:r w:rsidRPr="00C7424B">
        <w:rPr>
          <w:b/>
        </w:rPr>
        <w:t>Sub-alternative 2b.</w:t>
      </w:r>
      <w:r w:rsidRPr="00C7424B">
        <w:t xml:space="preserve"> </w:t>
      </w:r>
      <w:r w:rsidR="00C36EF5">
        <w:t xml:space="preserve"> </w:t>
      </w:r>
      <w:r w:rsidRPr="00C7424B">
        <w:t xml:space="preserve">5 fish/person/day </w:t>
      </w:r>
    </w:p>
    <w:p w14:paraId="1C7D23D7" w14:textId="0A2E5615" w:rsidR="008E4EC7" w:rsidRPr="00C7424B" w:rsidRDefault="008E4EC7" w:rsidP="008E4EC7">
      <w:pPr>
        <w:ind w:left="720"/>
      </w:pPr>
      <w:r w:rsidRPr="00C7424B">
        <w:rPr>
          <w:b/>
        </w:rPr>
        <w:t>Sub-alternative 2c.</w:t>
      </w:r>
      <w:r w:rsidR="00C7424B" w:rsidRPr="00C7424B">
        <w:t xml:space="preserve"> </w:t>
      </w:r>
      <w:r w:rsidR="00C36EF5">
        <w:t xml:space="preserve"> </w:t>
      </w:r>
      <w:r w:rsidRPr="00C7424B">
        <w:t xml:space="preserve">10 fish/person/day </w:t>
      </w:r>
    </w:p>
    <w:p w14:paraId="07D4AF9F" w14:textId="77777777" w:rsidR="008E4EC7" w:rsidRPr="00C7424B" w:rsidRDefault="008E4EC7" w:rsidP="008E4EC7">
      <w:pPr>
        <w:ind w:left="720"/>
      </w:pPr>
    </w:p>
    <w:p w14:paraId="0562294D" w14:textId="5D7404DE" w:rsidR="008E4EC7" w:rsidRPr="00C7424B" w:rsidRDefault="008E4EC7" w:rsidP="008E4EC7">
      <w:r w:rsidRPr="00C7424B">
        <w:rPr>
          <w:b/>
        </w:rPr>
        <w:t>Alternative 3.</w:t>
      </w:r>
      <w:r w:rsidRPr="00C7424B">
        <w:t xml:space="preserve">  Retain mutton snapper within the recreational 10 snapper aggregate bag limit in the South Atlantic, but specify bag/vessel limits for mutton snapper during the “spawning months</w:t>
      </w:r>
      <w:r w:rsidR="002D2DC4">
        <w:t>.</w:t>
      </w:r>
      <w:r w:rsidRPr="00C7424B">
        <w:t>”</w:t>
      </w:r>
    </w:p>
    <w:p w14:paraId="21D72DD7" w14:textId="0EF4BC15" w:rsidR="008E4EC7" w:rsidRDefault="008E4EC7" w:rsidP="008E4EC7">
      <w:pPr>
        <w:ind w:firstLine="720"/>
      </w:pPr>
      <w:r w:rsidRPr="00C7424B">
        <w:rPr>
          <w:b/>
        </w:rPr>
        <w:t>Sub-alternative 3a.</w:t>
      </w:r>
      <w:r w:rsidR="00713C80">
        <w:t xml:space="preserve">  </w:t>
      </w:r>
      <w:r w:rsidRPr="00C7424B">
        <w:t>2 fish/person/day</w:t>
      </w:r>
    </w:p>
    <w:p w14:paraId="1185BF13" w14:textId="7A35F767" w:rsidR="00713C80" w:rsidRPr="00C7424B" w:rsidRDefault="00713C80" w:rsidP="008E4EC7">
      <w:pPr>
        <w:ind w:firstLine="720"/>
      </w:pPr>
      <w:r w:rsidRPr="00713C80">
        <w:rPr>
          <w:b/>
        </w:rPr>
        <w:t>Sub-alternative 3b.</w:t>
      </w:r>
      <w:r>
        <w:t xml:space="preserve">  3 fish/person/day</w:t>
      </w:r>
    </w:p>
    <w:p w14:paraId="50635EAB" w14:textId="54C2CFDB" w:rsidR="008E4EC7" w:rsidRPr="00C7424B" w:rsidRDefault="005027F6" w:rsidP="008E4EC7">
      <w:pPr>
        <w:ind w:left="720"/>
      </w:pPr>
      <w:r>
        <w:rPr>
          <w:b/>
        </w:rPr>
        <w:t>Sub-alternative 3c</w:t>
      </w:r>
      <w:r w:rsidR="00713C80">
        <w:rPr>
          <w:b/>
        </w:rPr>
        <w:t xml:space="preserve">.  </w:t>
      </w:r>
      <w:r w:rsidR="008E4EC7" w:rsidRPr="00C7424B">
        <w:t xml:space="preserve">10 fish/vessel/day </w:t>
      </w:r>
    </w:p>
    <w:p w14:paraId="0F3393AD" w14:textId="16BF53FC" w:rsidR="008E4EC7" w:rsidRDefault="005027F6" w:rsidP="008E4EC7">
      <w:pPr>
        <w:ind w:left="720"/>
      </w:pPr>
      <w:r>
        <w:rPr>
          <w:b/>
        </w:rPr>
        <w:t>Sub-alternative 3d</w:t>
      </w:r>
      <w:r w:rsidR="008E4EC7" w:rsidRPr="00C7424B">
        <w:rPr>
          <w:b/>
        </w:rPr>
        <w:t>.</w:t>
      </w:r>
      <w:r w:rsidR="008E4EC7" w:rsidRPr="00C7424B">
        <w:t xml:space="preserve"> </w:t>
      </w:r>
      <w:r w:rsidR="00713C80">
        <w:t xml:space="preserve"> </w:t>
      </w:r>
      <w:r w:rsidR="008E4EC7" w:rsidRPr="00C7424B">
        <w:t>12 fish/vessel/day</w:t>
      </w:r>
    </w:p>
    <w:p w14:paraId="07790337" w14:textId="0283A9C1" w:rsidR="00713C80" w:rsidRPr="00C7424B" w:rsidRDefault="00713C80" w:rsidP="008E4EC7">
      <w:pPr>
        <w:ind w:left="720"/>
      </w:pPr>
      <w:r>
        <w:rPr>
          <w:b/>
        </w:rPr>
        <w:t>Sub</w:t>
      </w:r>
      <w:r w:rsidR="005027F6">
        <w:rPr>
          <w:b/>
        </w:rPr>
        <w:t>-alternative 3e</w:t>
      </w:r>
      <w:r w:rsidRPr="00713C80">
        <w:rPr>
          <w:b/>
        </w:rPr>
        <w:t>.</w:t>
      </w:r>
      <w:r>
        <w:t xml:space="preserve">  No retention</w:t>
      </w:r>
    </w:p>
    <w:p w14:paraId="48B50740" w14:textId="77777777" w:rsidR="008E4EC7" w:rsidRPr="00C7424B" w:rsidRDefault="008E4EC7" w:rsidP="008E4EC7"/>
    <w:p w14:paraId="63E3ECF4" w14:textId="618190E9" w:rsidR="008E4EC7" w:rsidRPr="00C7424B" w:rsidRDefault="008C454A" w:rsidP="008E4EC7">
      <w:r>
        <w:rPr>
          <w:b/>
        </w:rPr>
        <w:t xml:space="preserve">Preferred </w:t>
      </w:r>
      <w:r w:rsidR="008E4EC7" w:rsidRPr="00C7424B">
        <w:rPr>
          <w:b/>
        </w:rPr>
        <w:t>Alternative 4.</w:t>
      </w:r>
      <w:r w:rsidR="008E4EC7" w:rsidRPr="00C7424B">
        <w:t xml:space="preserve"> Retain mutton snapper within the recreational 10 snapper aggregate bag limit in the South Atlantic, but specify bag limits for mutton snapper within the aggregate bag limit year round.</w:t>
      </w:r>
    </w:p>
    <w:p w14:paraId="3A062A27" w14:textId="09A06607" w:rsidR="008E4EC7" w:rsidRPr="00C7424B" w:rsidRDefault="008E4EC7" w:rsidP="008E4EC7">
      <w:pPr>
        <w:ind w:left="720"/>
      </w:pPr>
      <w:r w:rsidRPr="00C7424B">
        <w:rPr>
          <w:b/>
        </w:rPr>
        <w:t>Sub-alternative 4a.</w:t>
      </w:r>
      <w:r w:rsidRPr="00C7424B">
        <w:t xml:space="preserve">  2 fish/person/day</w:t>
      </w:r>
    </w:p>
    <w:p w14:paraId="198BE805" w14:textId="0BB8146C" w:rsidR="008E4EC7" w:rsidRPr="00C7424B" w:rsidRDefault="008E4EC7" w:rsidP="008E4EC7">
      <w:pPr>
        <w:ind w:left="720"/>
      </w:pPr>
      <w:r w:rsidRPr="00C7424B">
        <w:rPr>
          <w:b/>
        </w:rPr>
        <w:t>Sub-alternative 4b.</w:t>
      </w:r>
      <w:r w:rsidRPr="00C7424B">
        <w:t xml:space="preserve">  3 fish/person/day</w:t>
      </w:r>
    </w:p>
    <w:p w14:paraId="2750D718" w14:textId="5E3E00F8" w:rsidR="008E4EC7" w:rsidRPr="00A863F3" w:rsidRDefault="007145E2" w:rsidP="008E4EC7">
      <w:pPr>
        <w:ind w:left="720"/>
        <w:contextualSpacing/>
      </w:pPr>
      <w:r w:rsidRPr="00A431D7">
        <w:rPr>
          <w:b/>
        </w:rPr>
        <w:t xml:space="preserve">Preferred </w:t>
      </w:r>
      <w:r w:rsidR="008E4EC7" w:rsidRPr="00A431D7">
        <w:rPr>
          <w:b/>
        </w:rPr>
        <w:t>Sub-alternative 4c.</w:t>
      </w:r>
      <w:r w:rsidR="008E4EC7" w:rsidRPr="00A431D7">
        <w:t xml:space="preserve">  5 fish/person/day</w:t>
      </w:r>
    </w:p>
    <w:p w14:paraId="63586DF0" w14:textId="77777777" w:rsidR="008E4EC7" w:rsidRDefault="008E4EC7" w:rsidP="008E4EC7">
      <w:pPr>
        <w:rPr>
          <w:i/>
          <w:u w:val="single"/>
        </w:rPr>
      </w:pPr>
    </w:p>
    <w:p w14:paraId="704F7E26" w14:textId="582ADBB9" w:rsidR="00AE5EFD" w:rsidRPr="00AE5EFD" w:rsidRDefault="00AE5EFD" w:rsidP="00AE5EFD">
      <w:pPr>
        <w:pStyle w:val="Heading2"/>
        <w:rPr>
          <w:rFonts w:ascii="Arial" w:hAnsi="Arial" w:cs="Arial"/>
        </w:rPr>
      </w:pPr>
      <w:bookmarkStart w:id="80" w:name="_Toc339811711"/>
      <w:r w:rsidRPr="00AE5EFD">
        <w:rPr>
          <w:rFonts w:ascii="Arial" w:hAnsi="Arial" w:cs="Arial"/>
        </w:rPr>
        <w:t>Comparison of Alternatives</w:t>
      </w:r>
      <w:bookmarkEnd w:id="80"/>
    </w:p>
    <w:p w14:paraId="577CB74A" w14:textId="0FB0C2C9" w:rsidR="008E4EC7" w:rsidRPr="00255470" w:rsidRDefault="008E4EC7" w:rsidP="008E4EC7">
      <w:pPr>
        <w:ind w:firstLine="360"/>
      </w:pPr>
      <w:r>
        <w:t xml:space="preserve">As mentioned previously, there is stakeholder concern about fishing effort on mutton snapper spawning aggregations despite the healthy status of the mutton snapper stock.  In 2010, the Snapper Grouper Advisory Panel (AP) recommended that the South Atlantic Council consider a spawning area closure or a seasonal closure in May and June of each year.  Furthermore, the AP recommended that the mutton snapper bag limit be reduced to 3 fish per person per day.  The most recent stock assessment of mutton snapper in the southeastern United States (SEDAR 15A Update 2015) indicated that mutton snapper are neither overfished nor experiencing overfishing.  </w:t>
      </w:r>
      <w:r>
        <w:lastRenderedPageBreak/>
        <w:t xml:space="preserve">Currently, mutton snapper is part of the 10 snapper aggregate (gray snapper, mutton snapper, yellowtail snapper, </w:t>
      </w:r>
      <w:r w:rsidR="002428A3">
        <w:t>c</w:t>
      </w:r>
      <w:r>
        <w:t>ubera snapper, queen snapper, blackfin snapper, silk sna</w:t>
      </w:r>
      <w:r w:rsidR="005102D1">
        <w:t>pper, and lane snapper</w:t>
      </w:r>
      <w:r>
        <w:t xml:space="preserve">). </w:t>
      </w:r>
      <w:bookmarkStart w:id="81" w:name="_Toc419885498"/>
      <w:r w:rsidR="005102D1">
        <w:t xml:space="preserve"> Note</w:t>
      </w:r>
      <w:r>
        <w:t xml:space="preserve">: </w:t>
      </w:r>
      <w:r w:rsidR="005102D1">
        <w:t xml:space="preserve">dog snapper and mahogany snapper were removed from the snapper grouper fishery management unit through </w:t>
      </w:r>
      <w:r>
        <w:t xml:space="preserve">Amendment 35 </w:t>
      </w:r>
      <w:r w:rsidR="002428A3">
        <w:t xml:space="preserve">to the Snapper Grouper FMP </w:t>
      </w:r>
      <w:r>
        <w:t>(</w:t>
      </w:r>
      <w:r w:rsidR="005102D1">
        <w:t>SAFMC 2015</w:t>
      </w:r>
      <w:r w:rsidR="00877281">
        <w:t>c</w:t>
      </w:r>
      <w:r w:rsidR="005102D1">
        <w:t>) effective June 22, 2016</w:t>
      </w:r>
      <w:r>
        <w:t xml:space="preserve">).  Current management measures for mutton snapper in federal waters of the South Atlantic and the Gulf of Mexico and state waters of Florida are shown in </w:t>
      </w:r>
      <w:r w:rsidR="005102D1">
        <w:rPr>
          <w:b/>
        </w:rPr>
        <w:t>Table 2.7</w:t>
      </w:r>
      <w:r w:rsidR="00A222F9">
        <w:rPr>
          <w:b/>
        </w:rPr>
        <w:t>.1</w:t>
      </w:r>
      <w:r>
        <w:t xml:space="preserve">. </w:t>
      </w:r>
    </w:p>
    <w:p w14:paraId="669081D3" w14:textId="77777777" w:rsidR="008E4EC7" w:rsidRDefault="008E4EC7" w:rsidP="008E4EC7">
      <w:pPr>
        <w:ind w:firstLine="360"/>
        <w:rPr>
          <w:b/>
        </w:rPr>
      </w:pPr>
    </w:p>
    <w:p w14:paraId="50D163BA" w14:textId="6BA15301" w:rsidR="008E4EC7" w:rsidRPr="004C6195" w:rsidRDefault="008E4EC7" w:rsidP="008E4EC7">
      <w:pPr>
        <w:pStyle w:val="Tabletitle"/>
        <w:rPr>
          <w:rFonts w:cs="Arial"/>
          <w:szCs w:val="20"/>
        </w:rPr>
      </w:pPr>
      <w:bookmarkStart w:id="82" w:name="_Toc419885499"/>
      <w:bookmarkStart w:id="83" w:name="_Toc340431544"/>
      <w:bookmarkEnd w:id="81"/>
      <w:r w:rsidRPr="004C6195">
        <w:rPr>
          <w:rFonts w:cs="Arial"/>
          <w:b/>
          <w:szCs w:val="20"/>
        </w:rPr>
        <w:t xml:space="preserve">Table </w:t>
      </w:r>
      <w:r w:rsidR="005102D1">
        <w:rPr>
          <w:rFonts w:cs="Arial"/>
          <w:b/>
          <w:szCs w:val="20"/>
        </w:rPr>
        <w:t>2.7</w:t>
      </w:r>
      <w:r w:rsidR="00A222F9">
        <w:rPr>
          <w:rFonts w:cs="Arial"/>
          <w:b/>
          <w:szCs w:val="20"/>
        </w:rPr>
        <w:t>.1</w:t>
      </w:r>
      <w:r w:rsidRPr="004C6195">
        <w:rPr>
          <w:rFonts w:cs="Arial"/>
          <w:b/>
          <w:szCs w:val="20"/>
        </w:rPr>
        <w:t>.</w:t>
      </w:r>
      <w:r w:rsidRPr="004C6195">
        <w:rPr>
          <w:rFonts w:cs="Arial"/>
          <w:szCs w:val="20"/>
        </w:rPr>
        <w:t xml:space="preserve"> Current recreational mutton snapper fishing regulations in State </w:t>
      </w:r>
      <w:r w:rsidR="002D2DC4">
        <w:rPr>
          <w:rFonts w:cs="Arial"/>
          <w:szCs w:val="20"/>
        </w:rPr>
        <w:t xml:space="preserve">and Federal </w:t>
      </w:r>
      <w:r w:rsidRPr="004C6195">
        <w:rPr>
          <w:rFonts w:cs="Arial"/>
          <w:szCs w:val="20"/>
        </w:rPr>
        <w:t>waters off Florida</w:t>
      </w:r>
      <w:r w:rsidR="002D2DC4">
        <w:rPr>
          <w:rFonts w:cs="Arial"/>
          <w:szCs w:val="20"/>
        </w:rPr>
        <w:t xml:space="preserve"> and in</w:t>
      </w:r>
      <w:r w:rsidRPr="004C6195">
        <w:rPr>
          <w:rFonts w:cs="Arial"/>
          <w:szCs w:val="20"/>
        </w:rPr>
        <w:t xml:space="preserve"> the Gulf of Mexico</w:t>
      </w:r>
      <w:r>
        <w:rPr>
          <w:rFonts w:cs="Arial"/>
          <w:szCs w:val="20"/>
        </w:rPr>
        <w:t>,</w:t>
      </w:r>
      <w:r w:rsidRPr="004C6195">
        <w:rPr>
          <w:rFonts w:cs="Arial"/>
          <w:szCs w:val="20"/>
        </w:rPr>
        <w:t xml:space="preserve"> and the South Atlantic (June 2015).</w:t>
      </w:r>
      <w:bookmarkEnd w:id="82"/>
      <w:bookmarkEnd w:id="83"/>
    </w:p>
    <w:tbl>
      <w:tblPr>
        <w:tblStyle w:val="TableGrid1"/>
        <w:tblW w:w="9270" w:type="dxa"/>
        <w:tblInd w:w="-5" w:type="dxa"/>
        <w:tblLook w:val="04A0" w:firstRow="1" w:lastRow="0" w:firstColumn="1" w:lastColumn="0" w:noHBand="0" w:noVBand="1"/>
      </w:tblPr>
      <w:tblGrid>
        <w:gridCol w:w="1011"/>
        <w:gridCol w:w="1689"/>
        <w:gridCol w:w="2250"/>
        <w:gridCol w:w="2160"/>
        <w:gridCol w:w="2160"/>
      </w:tblGrid>
      <w:tr w:rsidR="008E4EC7" w:rsidRPr="001E0684" w14:paraId="3DBECA47" w14:textId="77777777" w:rsidTr="008E4EC7">
        <w:tc>
          <w:tcPr>
            <w:tcW w:w="1011" w:type="dxa"/>
            <w:tcBorders>
              <w:bottom w:val="single" w:sz="4" w:space="0" w:color="auto"/>
            </w:tcBorders>
            <w:shd w:val="clear" w:color="auto" w:fill="D9D9D9" w:themeFill="background1" w:themeFillShade="D9"/>
          </w:tcPr>
          <w:p w14:paraId="0BEBBBE0" w14:textId="77777777" w:rsidR="008E4EC7" w:rsidRPr="001E0684" w:rsidRDefault="008E4EC7" w:rsidP="008E4EC7">
            <w:pPr>
              <w:rPr>
                <w:b/>
                <w:sz w:val="22"/>
              </w:rPr>
            </w:pPr>
            <w:r w:rsidRPr="001E0684">
              <w:rPr>
                <w:b/>
                <w:sz w:val="22"/>
              </w:rPr>
              <w:t>Species</w:t>
            </w:r>
          </w:p>
        </w:tc>
        <w:tc>
          <w:tcPr>
            <w:tcW w:w="1689" w:type="dxa"/>
            <w:shd w:val="clear" w:color="auto" w:fill="D9D9D9" w:themeFill="background1" w:themeFillShade="D9"/>
          </w:tcPr>
          <w:p w14:paraId="6D934A07" w14:textId="77777777" w:rsidR="008E4EC7" w:rsidRPr="001E0684" w:rsidRDefault="008E4EC7" w:rsidP="008E4EC7">
            <w:pPr>
              <w:jc w:val="center"/>
              <w:rPr>
                <w:b/>
                <w:sz w:val="22"/>
              </w:rPr>
            </w:pPr>
            <w:r w:rsidRPr="001E0684">
              <w:rPr>
                <w:b/>
                <w:sz w:val="22"/>
              </w:rPr>
              <w:t>Regulations</w:t>
            </w:r>
          </w:p>
        </w:tc>
        <w:tc>
          <w:tcPr>
            <w:tcW w:w="2250" w:type="dxa"/>
            <w:shd w:val="clear" w:color="auto" w:fill="D9D9D9" w:themeFill="background1" w:themeFillShade="D9"/>
          </w:tcPr>
          <w:p w14:paraId="468BDD96" w14:textId="77777777" w:rsidR="008E4EC7" w:rsidRPr="001E0684" w:rsidRDefault="008E4EC7" w:rsidP="008E4EC7">
            <w:pPr>
              <w:rPr>
                <w:b/>
                <w:sz w:val="22"/>
              </w:rPr>
            </w:pPr>
            <w:r w:rsidRPr="001E0684">
              <w:rPr>
                <w:b/>
                <w:sz w:val="22"/>
              </w:rPr>
              <w:t xml:space="preserve">State Waters Gulf </w:t>
            </w:r>
          </w:p>
          <w:p w14:paraId="7EC0A4D2" w14:textId="77777777" w:rsidR="008E4EC7" w:rsidRPr="001E0684" w:rsidRDefault="008E4EC7" w:rsidP="008E4EC7">
            <w:pPr>
              <w:rPr>
                <w:b/>
                <w:sz w:val="22"/>
              </w:rPr>
            </w:pPr>
            <w:r w:rsidRPr="001E0684">
              <w:rPr>
                <w:b/>
                <w:sz w:val="22"/>
              </w:rPr>
              <w:t>and South Atlantic</w:t>
            </w:r>
          </w:p>
        </w:tc>
        <w:tc>
          <w:tcPr>
            <w:tcW w:w="2160" w:type="dxa"/>
            <w:shd w:val="clear" w:color="auto" w:fill="D9D9D9" w:themeFill="background1" w:themeFillShade="D9"/>
          </w:tcPr>
          <w:p w14:paraId="3F800A9E" w14:textId="77777777" w:rsidR="008E4EC7" w:rsidRPr="001E0684" w:rsidRDefault="008E4EC7" w:rsidP="008E4EC7">
            <w:pPr>
              <w:rPr>
                <w:b/>
                <w:sz w:val="22"/>
              </w:rPr>
            </w:pPr>
            <w:r w:rsidRPr="001E0684">
              <w:rPr>
                <w:b/>
                <w:sz w:val="22"/>
              </w:rPr>
              <w:t>Federal Waters Gulf of Mexico</w:t>
            </w:r>
          </w:p>
        </w:tc>
        <w:tc>
          <w:tcPr>
            <w:tcW w:w="2160" w:type="dxa"/>
            <w:shd w:val="clear" w:color="auto" w:fill="D9D9D9" w:themeFill="background1" w:themeFillShade="D9"/>
          </w:tcPr>
          <w:p w14:paraId="2E2432D4" w14:textId="77777777" w:rsidR="008E4EC7" w:rsidRPr="001E0684" w:rsidRDefault="008E4EC7" w:rsidP="008E4EC7">
            <w:pPr>
              <w:rPr>
                <w:b/>
                <w:sz w:val="22"/>
              </w:rPr>
            </w:pPr>
            <w:r w:rsidRPr="001E0684">
              <w:rPr>
                <w:b/>
                <w:sz w:val="22"/>
              </w:rPr>
              <w:t xml:space="preserve">Federal Waters South Atlantic </w:t>
            </w:r>
          </w:p>
        </w:tc>
      </w:tr>
      <w:tr w:rsidR="008E4EC7" w:rsidRPr="001E0684" w14:paraId="5AB66293" w14:textId="77777777" w:rsidTr="008E4EC7">
        <w:tc>
          <w:tcPr>
            <w:tcW w:w="1011" w:type="dxa"/>
            <w:vMerge w:val="restart"/>
            <w:shd w:val="clear" w:color="auto" w:fill="F2F2F2" w:themeFill="background1" w:themeFillShade="F2"/>
          </w:tcPr>
          <w:p w14:paraId="5B62E8C6" w14:textId="77777777" w:rsidR="008E4EC7" w:rsidRPr="001E0684" w:rsidRDefault="008E4EC7" w:rsidP="008E4EC7">
            <w:pPr>
              <w:rPr>
                <w:b/>
                <w:sz w:val="22"/>
              </w:rPr>
            </w:pPr>
            <w:r w:rsidRPr="001E0684">
              <w:rPr>
                <w:b/>
                <w:sz w:val="22"/>
              </w:rPr>
              <w:t>Mutton Snapper</w:t>
            </w:r>
          </w:p>
        </w:tc>
        <w:tc>
          <w:tcPr>
            <w:tcW w:w="1689" w:type="dxa"/>
            <w:tcBorders>
              <w:bottom w:val="single" w:sz="4" w:space="0" w:color="365F91" w:themeColor="accent1" w:themeShade="BF"/>
            </w:tcBorders>
          </w:tcPr>
          <w:p w14:paraId="7C88CBBE" w14:textId="77777777" w:rsidR="008E4EC7" w:rsidRPr="001E0684" w:rsidRDefault="008E4EC7" w:rsidP="008E4EC7">
            <w:pPr>
              <w:rPr>
                <w:sz w:val="22"/>
              </w:rPr>
            </w:pPr>
            <w:r w:rsidRPr="001E0684">
              <w:rPr>
                <w:sz w:val="22"/>
              </w:rPr>
              <w:t>Size Limit</w:t>
            </w:r>
          </w:p>
        </w:tc>
        <w:tc>
          <w:tcPr>
            <w:tcW w:w="6570" w:type="dxa"/>
            <w:gridSpan w:val="3"/>
            <w:tcBorders>
              <w:bottom w:val="single" w:sz="4" w:space="0" w:color="365F91" w:themeColor="accent1" w:themeShade="BF"/>
            </w:tcBorders>
          </w:tcPr>
          <w:p w14:paraId="26FD33BB" w14:textId="77777777" w:rsidR="008E4EC7" w:rsidRPr="001E0684" w:rsidRDefault="008E4EC7" w:rsidP="008E4EC7">
            <w:pPr>
              <w:jc w:val="center"/>
              <w:rPr>
                <w:sz w:val="22"/>
              </w:rPr>
            </w:pPr>
            <w:r w:rsidRPr="001E0684">
              <w:rPr>
                <w:sz w:val="22"/>
              </w:rPr>
              <w:t>16” TL</w:t>
            </w:r>
          </w:p>
        </w:tc>
      </w:tr>
      <w:tr w:rsidR="008E4EC7" w:rsidRPr="001E0684" w14:paraId="7B77E914" w14:textId="77777777" w:rsidTr="008E4EC7">
        <w:tc>
          <w:tcPr>
            <w:tcW w:w="1011" w:type="dxa"/>
            <w:vMerge/>
            <w:shd w:val="clear" w:color="auto" w:fill="F2F2F2" w:themeFill="background1" w:themeFillShade="F2"/>
          </w:tcPr>
          <w:p w14:paraId="21F092D9" w14:textId="77777777" w:rsidR="008E4EC7" w:rsidRPr="001E0684" w:rsidRDefault="008E4EC7" w:rsidP="008E4EC7">
            <w:pPr>
              <w:rPr>
                <w:sz w:val="22"/>
              </w:rPr>
            </w:pPr>
          </w:p>
        </w:tc>
        <w:tc>
          <w:tcPr>
            <w:tcW w:w="1689" w:type="dxa"/>
            <w:tcBorders>
              <w:top w:val="single" w:sz="4" w:space="0" w:color="365F91" w:themeColor="accent1" w:themeShade="BF"/>
              <w:bottom w:val="single" w:sz="4" w:space="0" w:color="365F91" w:themeColor="accent1" w:themeShade="BF"/>
            </w:tcBorders>
            <w:shd w:val="clear" w:color="auto" w:fill="FFFFFF" w:themeFill="background1"/>
          </w:tcPr>
          <w:p w14:paraId="253E4276" w14:textId="77777777" w:rsidR="008E4EC7" w:rsidRPr="001E0684" w:rsidRDefault="008E4EC7" w:rsidP="008E4EC7">
            <w:pPr>
              <w:rPr>
                <w:sz w:val="22"/>
              </w:rPr>
            </w:pPr>
            <w:r w:rsidRPr="001E0684">
              <w:rPr>
                <w:sz w:val="22"/>
              </w:rPr>
              <w:t xml:space="preserve">Bag Limit </w:t>
            </w:r>
          </w:p>
          <w:p w14:paraId="6088621C" w14:textId="77777777" w:rsidR="008E4EC7" w:rsidRPr="001E0684" w:rsidRDefault="008E4EC7" w:rsidP="008E4EC7">
            <w:pPr>
              <w:rPr>
                <w:sz w:val="22"/>
              </w:rPr>
            </w:pPr>
          </w:p>
        </w:tc>
        <w:tc>
          <w:tcPr>
            <w:tcW w:w="6570" w:type="dxa"/>
            <w:gridSpan w:val="3"/>
            <w:tcBorders>
              <w:top w:val="single" w:sz="4" w:space="0" w:color="365F91" w:themeColor="accent1" w:themeShade="BF"/>
              <w:bottom w:val="single" w:sz="4" w:space="0" w:color="365F91" w:themeColor="accent1" w:themeShade="BF"/>
              <w:right w:val="single" w:sz="4" w:space="0" w:color="auto"/>
            </w:tcBorders>
            <w:shd w:val="clear" w:color="auto" w:fill="FFFFFF" w:themeFill="background1"/>
          </w:tcPr>
          <w:p w14:paraId="6B28C3AE" w14:textId="77777777" w:rsidR="008E4EC7" w:rsidRPr="001E0684" w:rsidRDefault="008E4EC7" w:rsidP="008E4EC7">
            <w:pPr>
              <w:jc w:val="center"/>
              <w:rPr>
                <w:sz w:val="22"/>
              </w:rPr>
            </w:pPr>
            <w:r w:rsidRPr="001E0684">
              <w:rPr>
                <w:sz w:val="22"/>
              </w:rPr>
              <w:t>10 snapper aggregate</w:t>
            </w:r>
          </w:p>
          <w:p w14:paraId="15E7DF8D" w14:textId="77777777" w:rsidR="008E4EC7" w:rsidRPr="001E0684" w:rsidRDefault="008E4EC7" w:rsidP="008E4EC7">
            <w:pPr>
              <w:jc w:val="center"/>
              <w:rPr>
                <w:sz w:val="22"/>
              </w:rPr>
            </w:pPr>
            <w:r w:rsidRPr="001E0684">
              <w:rPr>
                <w:sz w:val="22"/>
              </w:rPr>
              <w:t>(per person/day)</w:t>
            </w:r>
          </w:p>
        </w:tc>
      </w:tr>
      <w:tr w:rsidR="008E4EC7" w:rsidRPr="001E0684" w14:paraId="1B246E3A" w14:textId="77777777" w:rsidTr="008E4EC7">
        <w:tc>
          <w:tcPr>
            <w:tcW w:w="1011" w:type="dxa"/>
            <w:vMerge/>
            <w:shd w:val="clear" w:color="auto" w:fill="F2F2F2" w:themeFill="background1" w:themeFillShade="F2"/>
          </w:tcPr>
          <w:p w14:paraId="4235A1B2" w14:textId="77777777" w:rsidR="008E4EC7" w:rsidRPr="001E0684" w:rsidRDefault="008E4EC7" w:rsidP="008E4EC7">
            <w:pPr>
              <w:rPr>
                <w:sz w:val="22"/>
              </w:rPr>
            </w:pPr>
          </w:p>
        </w:tc>
        <w:tc>
          <w:tcPr>
            <w:tcW w:w="1689" w:type="dxa"/>
            <w:tcBorders>
              <w:top w:val="single" w:sz="4" w:space="0" w:color="365F91" w:themeColor="accent1" w:themeShade="BF"/>
            </w:tcBorders>
          </w:tcPr>
          <w:p w14:paraId="1E890634" w14:textId="77777777" w:rsidR="008E4EC7" w:rsidRPr="001E0684" w:rsidRDefault="008E4EC7" w:rsidP="008E4EC7">
            <w:pPr>
              <w:rPr>
                <w:sz w:val="22"/>
              </w:rPr>
            </w:pPr>
            <w:r w:rsidRPr="001E0684">
              <w:rPr>
                <w:sz w:val="22"/>
              </w:rPr>
              <w:t>Season</w:t>
            </w:r>
          </w:p>
        </w:tc>
        <w:tc>
          <w:tcPr>
            <w:tcW w:w="6570" w:type="dxa"/>
            <w:gridSpan w:val="3"/>
            <w:tcBorders>
              <w:top w:val="single" w:sz="4" w:space="0" w:color="365F91" w:themeColor="accent1" w:themeShade="BF"/>
            </w:tcBorders>
          </w:tcPr>
          <w:p w14:paraId="09BFB8E2" w14:textId="77777777" w:rsidR="008E4EC7" w:rsidRPr="001E0684" w:rsidRDefault="008E4EC7" w:rsidP="008E4EC7">
            <w:pPr>
              <w:jc w:val="center"/>
              <w:rPr>
                <w:sz w:val="22"/>
              </w:rPr>
            </w:pPr>
            <w:r w:rsidRPr="001E0684">
              <w:rPr>
                <w:sz w:val="22"/>
              </w:rPr>
              <w:t>Year round</w:t>
            </w:r>
          </w:p>
        </w:tc>
      </w:tr>
    </w:tbl>
    <w:p w14:paraId="445D3A13" w14:textId="77777777" w:rsidR="00913524" w:rsidRDefault="00913524" w:rsidP="008E4EC7">
      <w:pPr>
        <w:rPr>
          <w:bCs/>
        </w:rPr>
      </w:pPr>
    </w:p>
    <w:p w14:paraId="5C7F782B" w14:textId="2CB32166" w:rsidR="00AE5017" w:rsidRDefault="00AE5017" w:rsidP="00AE5017">
      <w:pPr>
        <w:ind w:firstLine="360"/>
      </w:pPr>
      <w:r>
        <w:t xml:space="preserve">In general, constraining recreational harvest by means of bag limits results in neutral biological effects because the ACL limits overall harvest to a level that is sustainable over the long-term.  However, bag limits can be beneficial in managing harvest of species whose biology makes them particularly vulnerable to fishing mortality during part of their life cycle, such as when they are reproducing.  As such, </w:t>
      </w:r>
      <w:r w:rsidRPr="00A917AD">
        <w:rPr>
          <w:b/>
        </w:rPr>
        <w:t>Alternative 3</w:t>
      </w:r>
      <w:r>
        <w:t xml:space="preserve"> and its sub-alternatives</w:t>
      </w:r>
      <w:r w:rsidR="002D2DC4">
        <w:t>, which</w:t>
      </w:r>
      <w:r>
        <w:t xml:space="preserve"> would </w:t>
      </w:r>
      <w:r w:rsidR="002D2DC4">
        <w:t xml:space="preserve">establish the lowest bag limits, would </w:t>
      </w:r>
      <w:r>
        <w:t xml:space="preserve">provide greater biological benefits </w:t>
      </w:r>
      <w:r w:rsidR="002D2DC4">
        <w:t xml:space="preserve">than </w:t>
      </w:r>
      <w:r w:rsidRPr="00A917AD">
        <w:rPr>
          <w:b/>
        </w:rPr>
        <w:t>Alternative 1 (No Action)</w:t>
      </w:r>
      <w:r>
        <w:t xml:space="preserve">, </w:t>
      </w:r>
      <w:r w:rsidRPr="00A917AD">
        <w:rPr>
          <w:b/>
        </w:rPr>
        <w:t>Alternative 2</w:t>
      </w:r>
      <w:r>
        <w:t xml:space="preserve">, and </w:t>
      </w:r>
      <w:r w:rsidRPr="0000613D">
        <w:rPr>
          <w:b/>
        </w:rPr>
        <w:t xml:space="preserve">Preferred </w:t>
      </w:r>
      <w:r w:rsidRPr="00A917AD">
        <w:rPr>
          <w:b/>
        </w:rPr>
        <w:t>Alternative 4</w:t>
      </w:r>
      <w:r>
        <w:t xml:space="preserve">.  Among the </w:t>
      </w:r>
      <w:r w:rsidRPr="00A917AD">
        <w:rPr>
          <w:b/>
        </w:rPr>
        <w:t>Alternative 3</w:t>
      </w:r>
      <w:r>
        <w:t xml:space="preserve"> sub-alternatives, </w:t>
      </w:r>
      <w:r w:rsidRPr="00A917AD">
        <w:rPr>
          <w:b/>
        </w:rPr>
        <w:t>Sub-alternative 3e</w:t>
      </w:r>
      <w:r>
        <w:t>, no retention of mutton snapper</w:t>
      </w:r>
      <w:r w:rsidR="00D6611E">
        <w:t>,</w:t>
      </w:r>
      <w:r>
        <w:t xml:space="preserve"> would provide the greatest biological benefit since fish would not be subject to fishing mortality while they are in spawning condition.  Positive biological effects would</w:t>
      </w:r>
      <w:r w:rsidR="002D2DC4">
        <w:t xml:space="preserve"> also</w:t>
      </w:r>
      <w:r>
        <w:t xml:space="preserve"> be expected from </w:t>
      </w:r>
      <w:r w:rsidRPr="00BD7E9A">
        <w:rPr>
          <w:b/>
        </w:rPr>
        <w:t>Sub-alternatives 3a</w:t>
      </w:r>
      <w:r>
        <w:t xml:space="preserve">, </w:t>
      </w:r>
      <w:r w:rsidRPr="00BD7E9A">
        <w:rPr>
          <w:b/>
        </w:rPr>
        <w:t>3b</w:t>
      </w:r>
      <w:r>
        <w:t xml:space="preserve">, </w:t>
      </w:r>
      <w:r w:rsidRPr="00BD7E9A">
        <w:rPr>
          <w:b/>
        </w:rPr>
        <w:t>3c</w:t>
      </w:r>
      <w:r>
        <w:t xml:space="preserve">, and </w:t>
      </w:r>
      <w:r w:rsidRPr="00BD7E9A">
        <w:rPr>
          <w:b/>
        </w:rPr>
        <w:t>3d</w:t>
      </w:r>
      <w:r>
        <w:t xml:space="preserve">, in that order, as these sub-alternatives would </w:t>
      </w:r>
      <w:r w:rsidR="002D2DC4">
        <w:t>also</w:t>
      </w:r>
      <w:r w:rsidR="004B2C01">
        <w:t xml:space="preserve"> </w:t>
      </w:r>
      <w:r>
        <w:t xml:space="preserve">constrain recreational harvest during the spawning months.  </w:t>
      </w:r>
    </w:p>
    <w:p w14:paraId="194A8FE8" w14:textId="77777777" w:rsidR="00AE5017" w:rsidRDefault="00AE5017" w:rsidP="008E4EC7">
      <w:pPr>
        <w:rPr>
          <w:bCs/>
        </w:rPr>
      </w:pPr>
    </w:p>
    <w:p w14:paraId="1453F5B0" w14:textId="0F7DDEB8" w:rsidR="00AE5017" w:rsidRDefault="00AE5017" w:rsidP="00AE5017">
      <w:pPr>
        <w:ind w:firstLine="360"/>
      </w:pPr>
      <w:r w:rsidRPr="00FF45B8">
        <w:rPr>
          <w:b/>
        </w:rPr>
        <w:t>Preferred Alternative</w:t>
      </w:r>
      <w:r>
        <w:t xml:space="preserve"> </w:t>
      </w:r>
      <w:r w:rsidRPr="00BD7E9A">
        <w:rPr>
          <w:b/>
        </w:rPr>
        <w:t>4</w:t>
      </w:r>
      <w:r>
        <w:t xml:space="preserve"> and its sub-alternatives propose specifying a mutton snapper bag limit within the 10-snapper aggregate year-round.  </w:t>
      </w:r>
      <w:r w:rsidR="000A70FE">
        <w:t xml:space="preserve">As shown in </w:t>
      </w:r>
      <w:r w:rsidR="000A70FE" w:rsidRPr="000A70FE">
        <w:rPr>
          <w:b/>
        </w:rPr>
        <w:t>Figure 4.7.1</w:t>
      </w:r>
      <w:r w:rsidR="000A70FE">
        <w:t>, from</w:t>
      </w:r>
      <w:r w:rsidR="000A70FE" w:rsidRPr="000A70FE">
        <w:t xml:space="preserve"> 201</w:t>
      </w:r>
      <w:r w:rsidR="00E86A9A">
        <w:t>0</w:t>
      </w:r>
      <w:r w:rsidR="000A70FE" w:rsidRPr="000A70FE">
        <w:t xml:space="preserve"> through 201</w:t>
      </w:r>
      <w:r w:rsidR="00E86A9A">
        <w:t>4</w:t>
      </w:r>
      <w:r w:rsidR="000A70FE" w:rsidRPr="000A70FE">
        <w:t xml:space="preserve">, most anglers </w:t>
      </w:r>
      <w:r w:rsidR="000A70FE">
        <w:t xml:space="preserve">(private and for-hire modes) </w:t>
      </w:r>
      <w:r w:rsidR="000A70FE" w:rsidRPr="000A70FE">
        <w:t xml:space="preserve">caught three or fewer mutton snapper. </w:t>
      </w:r>
      <w:r w:rsidR="000A70FE">
        <w:t xml:space="preserve">  Therefore</w:t>
      </w:r>
      <w:r>
        <w:t xml:space="preserve">, </w:t>
      </w:r>
      <w:r w:rsidRPr="00F651DC">
        <w:rPr>
          <w:b/>
        </w:rPr>
        <w:t>Preferred S</w:t>
      </w:r>
      <w:r w:rsidRPr="0000613D">
        <w:rPr>
          <w:b/>
        </w:rPr>
        <w:t>ub-alternative 4c</w:t>
      </w:r>
      <w:r>
        <w:t xml:space="preserve"> would have little effect in constraining recreational harvest on its own and essentially be the same as </w:t>
      </w:r>
      <w:r w:rsidRPr="00BC7853">
        <w:rPr>
          <w:b/>
        </w:rPr>
        <w:t>Alternative 1 (No Action)</w:t>
      </w:r>
      <w:r>
        <w:t xml:space="preserve">. </w:t>
      </w:r>
      <w:r w:rsidR="0042419B">
        <w:t xml:space="preserve"> </w:t>
      </w:r>
      <w:r w:rsidRPr="000E60BA">
        <w:rPr>
          <w:b/>
        </w:rPr>
        <w:t>Sub-alternatives 4a</w:t>
      </w:r>
      <w:r>
        <w:t xml:space="preserve"> and </w:t>
      </w:r>
      <w:r w:rsidRPr="000E60BA">
        <w:rPr>
          <w:b/>
        </w:rPr>
        <w:t>4b</w:t>
      </w:r>
      <w:r>
        <w:rPr>
          <w:b/>
        </w:rPr>
        <w:t xml:space="preserve"> </w:t>
      </w:r>
      <w:r>
        <w:t xml:space="preserve">would impart a similar level of biological benefit to the mutton snapper stock as </w:t>
      </w:r>
      <w:r w:rsidRPr="000E60BA">
        <w:rPr>
          <w:b/>
        </w:rPr>
        <w:t>Sub-alternatives 3a</w:t>
      </w:r>
      <w:r>
        <w:t xml:space="preserve"> and </w:t>
      </w:r>
      <w:r w:rsidRPr="000E60BA">
        <w:rPr>
          <w:b/>
        </w:rPr>
        <w:t>3b</w:t>
      </w:r>
      <w:r>
        <w:t xml:space="preserve"> since they would also lower the level of fishing mortality during the spawning </w:t>
      </w:r>
      <w:r w:rsidR="00D6611E">
        <w:t>months</w:t>
      </w:r>
      <w:r>
        <w:t>.</w:t>
      </w:r>
    </w:p>
    <w:p w14:paraId="2DEA4A79" w14:textId="77777777" w:rsidR="00AE5017" w:rsidRDefault="00AE5017" w:rsidP="008E4EC7">
      <w:pPr>
        <w:rPr>
          <w:bCs/>
        </w:rPr>
      </w:pPr>
    </w:p>
    <w:p w14:paraId="0AFAA74B" w14:textId="09A0CEEC" w:rsidR="00950EDC" w:rsidRDefault="002D2DC4" w:rsidP="00950EDC">
      <w:pPr>
        <w:ind w:firstLine="360"/>
      </w:pPr>
      <w:r>
        <w:t>Anglers tend to prefer high catch rates and large fish, and a smaller bag limit can reduce their catch rate.  However, a</w:t>
      </w:r>
      <w:r w:rsidR="0031146B">
        <w:t>s</w:t>
      </w:r>
      <w:r w:rsidR="00950EDC">
        <w:t xml:space="preserve"> shown in </w:t>
      </w:r>
      <w:r w:rsidR="00950EDC" w:rsidRPr="00E42544">
        <w:rPr>
          <w:b/>
        </w:rPr>
        <w:t>Figure 4.</w:t>
      </w:r>
      <w:r w:rsidR="0031146B">
        <w:rPr>
          <w:b/>
        </w:rPr>
        <w:t>7</w:t>
      </w:r>
      <w:r w:rsidR="00950EDC" w:rsidRPr="00E42544">
        <w:rPr>
          <w:b/>
        </w:rPr>
        <w:t>.1</w:t>
      </w:r>
      <w:r w:rsidR="00950EDC">
        <w:t xml:space="preserve">, few anglers land more than three mutton snappers on a single trip.  Therefore, setting the bag limit between 4 and 10 fish </w:t>
      </w:r>
      <w:r w:rsidR="002428A3">
        <w:t xml:space="preserve">per person per day </w:t>
      </w:r>
      <w:r w:rsidR="00950EDC">
        <w:t xml:space="preserve">is expected to have minimal negative economic effects, while setting the bag limit at 1, 2, or 3 fish </w:t>
      </w:r>
      <w:r w:rsidR="002428A3">
        <w:t xml:space="preserve">per person per day </w:t>
      </w:r>
      <w:r w:rsidR="00950EDC">
        <w:t>can be expected to have larger negative economic effects.</w:t>
      </w:r>
      <w:r w:rsidR="002428A3">
        <w:t xml:space="preserve"> </w:t>
      </w:r>
      <w:r w:rsidR="0051763C">
        <w:t xml:space="preserve"> </w:t>
      </w:r>
      <w:r w:rsidR="00A733AD">
        <w:t xml:space="preserve">During the regular season, </w:t>
      </w:r>
      <w:r w:rsidR="00A733AD" w:rsidRPr="00C63E21">
        <w:rPr>
          <w:b/>
        </w:rPr>
        <w:t>Sub-alternatives 2a</w:t>
      </w:r>
      <w:r w:rsidR="00A733AD">
        <w:t xml:space="preserve"> and </w:t>
      </w:r>
      <w:r w:rsidR="00A733AD" w:rsidRPr="00C63E21">
        <w:rPr>
          <w:b/>
        </w:rPr>
        <w:t>2b</w:t>
      </w:r>
      <w:r w:rsidR="00A733AD">
        <w:t xml:space="preserve"> would be more restrictive than the current bag limit of up to 10 mutton snapper per person/day within the snapper aggregate bag limit, therefore </w:t>
      </w:r>
      <w:r w:rsidR="00A733AD">
        <w:lastRenderedPageBreak/>
        <w:t xml:space="preserve">some negative economic impacts may be expected.  </w:t>
      </w:r>
      <w:r w:rsidR="00A733AD" w:rsidRPr="00C63E21">
        <w:rPr>
          <w:b/>
        </w:rPr>
        <w:t>Sub-alternative 2c</w:t>
      </w:r>
      <w:r w:rsidR="00A733AD">
        <w:t xml:space="preserve"> would allow the harvest of up to 10 mutton snapper per person/day, which is equivalent to the current bag limit; therefore, no economic effects are expected from this sub-alternative.  </w:t>
      </w:r>
      <w:r w:rsidR="00950EDC">
        <w:t xml:space="preserve">Vessel limits in </w:t>
      </w:r>
      <w:r w:rsidR="00950EDC" w:rsidRPr="002D62AA">
        <w:rPr>
          <w:b/>
        </w:rPr>
        <w:t>Sub-alternative 3a</w:t>
      </w:r>
      <w:r w:rsidR="00950EDC">
        <w:t xml:space="preserve"> through </w:t>
      </w:r>
      <w:r w:rsidR="00950EDC" w:rsidRPr="002D62AA">
        <w:rPr>
          <w:b/>
        </w:rPr>
        <w:t>Sub-alternative 3e</w:t>
      </w:r>
      <w:r w:rsidR="00950EDC">
        <w:rPr>
          <w:b/>
        </w:rPr>
        <w:t xml:space="preserve"> </w:t>
      </w:r>
      <w:r w:rsidR="00950EDC">
        <w:t xml:space="preserve">would affect recreational participants only on trips where the vessel limit is more restrictive than the bag limit.  </w:t>
      </w:r>
      <w:r w:rsidR="00950EDC" w:rsidRPr="00F3152D">
        <w:t xml:space="preserve">The sub-alternatives of </w:t>
      </w:r>
      <w:r w:rsidR="00950EDC" w:rsidRPr="00892946">
        <w:rPr>
          <w:b/>
        </w:rPr>
        <w:t>Preferred</w:t>
      </w:r>
      <w:r w:rsidR="00950EDC">
        <w:t xml:space="preserve"> </w:t>
      </w:r>
      <w:r w:rsidR="00950EDC" w:rsidRPr="00F3152D">
        <w:rPr>
          <w:b/>
        </w:rPr>
        <w:t xml:space="preserve">Alternative </w:t>
      </w:r>
      <w:r w:rsidR="00950EDC">
        <w:rPr>
          <w:b/>
        </w:rPr>
        <w:t>4</w:t>
      </w:r>
      <w:r w:rsidR="00950EDC" w:rsidRPr="00F3152D">
        <w:t xml:space="preserve"> would establish a recreational </w:t>
      </w:r>
      <w:r w:rsidR="00950EDC">
        <w:t xml:space="preserve">bag </w:t>
      </w:r>
      <w:r w:rsidR="00950EDC" w:rsidRPr="00F3152D">
        <w:t xml:space="preserve">limit that would be more restrictive than the current </w:t>
      </w:r>
      <w:r w:rsidR="00950EDC">
        <w:t>10</w:t>
      </w:r>
      <w:r w:rsidR="00950EDC" w:rsidRPr="00F3152D">
        <w:t xml:space="preserve"> fish per person </w:t>
      </w:r>
      <w:r w:rsidR="002428A3">
        <w:t xml:space="preserve">per day </w:t>
      </w:r>
      <w:r w:rsidR="00950EDC">
        <w:t xml:space="preserve">aggregate snapper </w:t>
      </w:r>
      <w:r w:rsidR="00950EDC" w:rsidRPr="00F3152D">
        <w:t>limit (</w:t>
      </w:r>
      <w:r w:rsidR="00950EDC">
        <w:rPr>
          <w:b/>
        </w:rPr>
        <w:t>Alternative 1 (</w:t>
      </w:r>
      <w:r w:rsidR="00950EDC" w:rsidRPr="00F3152D">
        <w:rPr>
          <w:b/>
        </w:rPr>
        <w:t>No Action</w:t>
      </w:r>
      <w:r w:rsidR="00950EDC">
        <w:rPr>
          <w:b/>
        </w:rPr>
        <w:t>)</w:t>
      </w:r>
      <w:r w:rsidR="00950EDC" w:rsidRPr="00F3152D">
        <w:t xml:space="preserve">).  </w:t>
      </w:r>
      <w:r w:rsidR="00950EDC">
        <w:t>These sub-alternatives</w:t>
      </w:r>
      <w:r w:rsidR="0042419B">
        <w:t xml:space="preserve">, </w:t>
      </w:r>
      <w:r w:rsidR="00950EDC">
        <w:t xml:space="preserve">paired with minimum size limit options from </w:t>
      </w:r>
      <w:r w:rsidR="00950EDC" w:rsidRPr="00892946">
        <w:rPr>
          <w:b/>
        </w:rPr>
        <w:t>Action 5</w:t>
      </w:r>
      <w:r w:rsidR="0042419B">
        <w:t>,</w:t>
      </w:r>
      <w:r w:rsidR="00950EDC">
        <w:t xml:space="preserve"> provide total consumer surplus (CS) estimates for the recreational sector (</w:t>
      </w:r>
      <w:r w:rsidR="00950EDC" w:rsidRPr="00603AFA">
        <w:rPr>
          <w:b/>
        </w:rPr>
        <w:t>Table 4.7.4</w:t>
      </w:r>
      <w:r w:rsidR="00950EDC">
        <w:t xml:space="preserve">).  In general, </w:t>
      </w:r>
      <w:r w:rsidR="0042419B" w:rsidRPr="00007A84">
        <w:rPr>
          <w:b/>
        </w:rPr>
        <w:t xml:space="preserve">Preferred </w:t>
      </w:r>
      <w:r w:rsidR="00950EDC" w:rsidRPr="00C904FB">
        <w:rPr>
          <w:b/>
        </w:rPr>
        <w:t>Sub-</w:t>
      </w:r>
      <w:r w:rsidR="00950EDC">
        <w:rPr>
          <w:b/>
        </w:rPr>
        <w:t>A</w:t>
      </w:r>
      <w:r w:rsidR="00950EDC" w:rsidRPr="00C904FB">
        <w:rPr>
          <w:b/>
        </w:rPr>
        <w:t>lternative 4c</w:t>
      </w:r>
      <w:r w:rsidR="00950EDC">
        <w:t xml:space="preserve"> has the highest potential CS followed by </w:t>
      </w:r>
      <w:r w:rsidR="00950EDC" w:rsidRPr="00C904FB">
        <w:rPr>
          <w:b/>
        </w:rPr>
        <w:t>Sub-alternative 4b</w:t>
      </w:r>
      <w:r w:rsidR="00950EDC">
        <w:t xml:space="preserve">, with </w:t>
      </w:r>
      <w:r w:rsidR="00950EDC" w:rsidRPr="00C904FB">
        <w:rPr>
          <w:b/>
        </w:rPr>
        <w:t>Sub-alternative 4a</w:t>
      </w:r>
      <w:r w:rsidR="00950EDC">
        <w:t xml:space="preserve"> having the lowest estimated potential CS.  </w:t>
      </w:r>
    </w:p>
    <w:p w14:paraId="02E413E4" w14:textId="77777777" w:rsidR="00AE5017" w:rsidRDefault="00AE5017" w:rsidP="008E4EC7">
      <w:pPr>
        <w:rPr>
          <w:bCs/>
        </w:rPr>
      </w:pPr>
    </w:p>
    <w:p w14:paraId="02DBBE57" w14:textId="483BAFE3" w:rsidR="00AE5017" w:rsidRPr="00AE5017" w:rsidRDefault="00AE5017" w:rsidP="00AE5017">
      <w:pPr>
        <w:ind w:firstLine="360"/>
        <w:rPr>
          <w:rFonts w:eastAsia="Calibri"/>
        </w:rPr>
        <w:sectPr w:rsidR="00AE5017" w:rsidRPr="00AE5017" w:rsidSect="0038545E">
          <w:footerReference w:type="default" r:id="rId36"/>
          <w:footerReference w:type="first" r:id="rId37"/>
          <w:type w:val="continuous"/>
          <w:pgSz w:w="12240" w:h="15840" w:code="1"/>
          <w:pgMar w:top="1440" w:right="1440" w:bottom="1440" w:left="1440" w:header="720" w:footer="720" w:gutter="0"/>
          <w:cols w:space="720"/>
          <w:docGrid w:linePitch="360"/>
        </w:sectPr>
      </w:pPr>
      <w:r w:rsidRPr="00510712">
        <w:rPr>
          <w:rFonts w:eastAsia="Calibri"/>
        </w:rPr>
        <w:t>In general, the social effects of modifying the</w:t>
      </w:r>
      <w:r>
        <w:rPr>
          <w:rFonts w:eastAsia="Calibri"/>
        </w:rPr>
        <w:t xml:space="preserve"> recreational</w:t>
      </w:r>
      <w:r w:rsidRPr="00510712">
        <w:rPr>
          <w:rFonts w:eastAsia="Calibri"/>
        </w:rPr>
        <w:t xml:space="preserve"> </w:t>
      </w:r>
      <w:r>
        <w:rPr>
          <w:rFonts w:eastAsia="Calibri"/>
        </w:rPr>
        <w:t>harvest limits would</w:t>
      </w:r>
      <w:r w:rsidRPr="00510712">
        <w:rPr>
          <w:rFonts w:eastAsia="Calibri"/>
        </w:rPr>
        <w:t xml:space="preserve"> be associated with the biological costs of each alternative, </w:t>
      </w:r>
      <w:r>
        <w:rPr>
          <w:rFonts w:eastAsia="Calibri"/>
        </w:rPr>
        <w:t xml:space="preserve">as well as the effects on current recreational fishing opportunities.  While </w:t>
      </w:r>
      <w:r w:rsidRPr="00A4377D">
        <w:rPr>
          <w:rFonts w:eastAsia="Calibri"/>
          <w:b/>
        </w:rPr>
        <w:t>Alternatives 2</w:t>
      </w:r>
      <w:r>
        <w:rPr>
          <w:rFonts w:eastAsia="Calibri"/>
        </w:rPr>
        <w:t>-</w:t>
      </w:r>
      <w:r>
        <w:rPr>
          <w:rFonts w:eastAsia="Calibri"/>
          <w:b/>
        </w:rPr>
        <w:t>4 (Preferred)</w:t>
      </w:r>
      <w:r w:rsidRPr="00A4377D">
        <w:rPr>
          <w:rFonts w:eastAsia="Calibri"/>
          <w:b/>
        </w:rPr>
        <w:t xml:space="preserve"> </w:t>
      </w:r>
      <w:r>
        <w:rPr>
          <w:rFonts w:eastAsia="Calibri"/>
        </w:rPr>
        <w:t xml:space="preserve">could </w:t>
      </w:r>
      <w:r w:rsidR="0042419B">
        <w:rPr>
          <w:rFonts w:eastAsia="Calibri"/>
        </w:rPr>
        <w:t xml:space="preserve">further </w:t>
      </w:r>
      <w:r>
        <w:rPr>
          <w:rFonts w:eastAsia="Calibri"/>
        </w:rPr>
        <w:t>restrict</w:t>
      </w:r>
      <w:r w:rsidRPr="00BA0E71">
        <w:rPr>
          <w:rFonts w:eastAsia="Calibri"/>
        </w:rPr>
        <w:t xml:space="preserve"> recreational fishing opportunities for </w:t>
      </w:r>
      <w:r>
        <w:rPr>
          <w:rFonts w:eastAsia="Calibri"/>
        </w:rPr>
        <w:t>mutton snapper</w:t>
      </w:r>
      <w:r w:rsidR="0042419B">
        <w:rPr>
          <w:rFonts w:eastAsia="Calibri"/>
        </w:rPr>
        <w:t xml:space="preserve"> beyond status quo (</w:t>
      </w:r>
      <w:r w:rsidR="0042419B" w:rsidRPr="00007A84">
        <w:rPr>
          <w:rFonts w:eastAsia="Calibri"/>
          <w:b/>
        </w:rPr>
        <w:t>Alternative 1 (No Action)</w:t>
      </w:r>
      <w:r w:rsidR="0042419B">
        <w:rPr>
          <w:rFonts w:eastAsia="Calibri"/>
        </w:rPr>
        <w:t>)</w:t>
      </w:r>
      <w:r>
        <w:rPr>
          <w:rFonts w:eastAsia="Calibri"/>
        </w:rPr>
        <w:t xml:space="preserve">, especially under the </w:t>
      </w:r>
      <w:r w:rsidR="0042419B">
        <w:rPr>
          <w:rFonts w:eastAsia="Calibri"/>
        </w:rPr>
        <w:t>“</w:t>
      </w:r>
      <w:r>
        <w:rPr>
          <w:rFonts w:eastAsia="Calibri"/>
        </w:rPr>
        <w:t xml:space="preserve">spawning </w:t>
      </w:r>
      <w:r w:rsidR="0042419B">
        <w:rPr>
          <w:rFonts w:eastAsia="Calibri"/>
        </w:rPr>
        <w:t xml:space="preserve">months” </w:t>
      </w:r>
      <w:r>
        <w:rPr>
          <w:rFonts w:eastAsia="Calibri"/>
        </w:rPr>
        <w:t xml:space="preserve">limits </w:t>
      </w:r>
      <w:r w:rsidR="0042419B">
        <w:rPr>
          <w:rFonts w:eastAsia="Calibri"/>
        </w:rPr>
        <w:t>proposed under</w:t>
      </w:r>
      <w:r>
        <w:rPr>
          <w:rFonts w:eastAsia="Calibri"/>
        </w:rPr>
        <w:t xml:space="preserve"> </w:t>
      </w:r>
      <w:r w:rsidRPr="00A4377D">
        <w:rPr>
          <w:rFonts w:eastAsia="Calibri"/>
          <w:b/>
        </w:rPr>
        <w:t>Alternative 3</w:t>
      </w:r>
      <w:r>
        <w:rPr>
          <w:rFonts w:eastAsia="Calibri"/>
        </w:rPr>
        <w:t xml:space="preserve">, the harvest limits </w:t>
      </w:r>
      <w:r w:rsidRPr="00BA0E71">
        <w:rPr>
          <w:rFonts w:eastAsia="Calibri"/>
        </w:rPr>
        <w:t>would also be expected to contribute to</w:t>
      </w:r>
      <w:r>
        <w:rPr>
          <w:rFonts w:eastAsia="Calibri"/>
        </w:rPr>
        <w:t xml:space="preserve"> long-term benefits to the stock and for future recreational opportunities.  </w:t>
      </w:r>
      <w:r>
        <w:rPr>
          <w:rFonts w:eastAsia="Calibri"/>
          <w:b/>
        </w:rPr>
        <w:t>Alternative 1 (No Action)</w:t>
      </w:r>
      <w:r>
        <w:rPr>
          <w:rFonts w:eastAsia="Calibri"/>
        </w:rPr>
        <w:t xml:space="preserve"> would be the most beneficial to recreational fishermen in the short-term </w:t>
      </w:r>
      <w:r w:rsidR="0071057A" w:rsidRPr="0071057A">
        <w:rPr>
          <w:rFonts w:eastAsia="Calibri"/>
        </w:rPr>
        <w:t xml:space="preserve"> </w:t>
      </w:r>
      <w:r w:rsidR="0071057A">
        <w:rPr>
          <w:rStyle w:val="CommentReference"/>
          <w:sz w:val="24"/>
        </w:rPr>
        <w:t xml:space="preserve">because it would allow the highest number of mutton snapper to be kept, which may improve recreational trip satisfaction, </w:t>
      </w:r>
      <w:r>
        <w:rPr>
          <w:rFonts w:eastAsia="Calibri"/>
        </w:rPr>
        <w:t xml:space="preserve">but could detract from measures </w:t>
      </w:r>
      <w:r w:rsidR="0042419B">
        <w:rPr>
          <w:rFonts w:eastAsia="Calibri"/>
        </w:rPr>
        <w:t>aimed at</w:t>
      </w:r>
      <w:r>
        <w:rPr>
          <w:rFonts w:eastAsia="Calibri"/>
        </w:rPr>
        <w:t xml:space="preserve"> protect</w:t>
      </w:r>
      <w:r w:rsidR="0042419B">
        <w:rPr>
          <w:rFonts w:eastAsia="Calibri"/>
        </w:rPr>
        <w:t>ing</w:t>
      </w:r>
      <w:r>
        <w:rPr>
          <w:rFonts w:eastAsia="Calibri"/>
        </w:rPr>
        <w:t xml:space="preserve"> the stock during spawning activity.  The limi</w:t>
      </w:r>
      <w:r w:rsidR="005509FB">
        <w:rPr>
          <w:rFonts w:eastAsia="Calibri"/>
        </w:rPr>
        <w:t>ts during the ‘regular season’ (</w:t>
      </w:r>
      <w:r>
        <w:rPr>
          <w:rFonts w:eastAsia="Calibri"/>
        </w:rPr>
        <w:t xml:space="preserve">which depends on the potential spawning season designated in </w:t>
      </w:r>
      <w:r w:rsidRPr="00AE5017">
        <w:rPr>
          <w:rFonts w:eastAsia="Calibri"/>
          <w:b/>
        </w:rPr>
        <w:t>Action 6</w:t>
      </w:r>
      <w:r w:rsidR="005509FB">
        <w:rPr>
          <w:rFonts w:eastAsia="Calibri"/>
        </w:rPr>
        <w:t>)</w:t>
      </w:r>
      <w:r>
        <w:rPr>
          <w:rFonts w:eastAsia="Calibri"/>
        </w:rPr>
        <w:t xml:space="preserve"> under </w:t>
      </w:r>
      <w:r>
        <w:rPr>
          <w:rFonts w:eastAsia="Calibri"/>
          <w:b/>
        </w:rPr>
        <w:t>Alternative 2</w:t>
      </w:r>
      <w:r>
        <w:rPr>
          <w:rFonts w:eastAsia="Calibri"/>
        </w:rPr>
        <w:t xml:space="preserve"> </w:t>
      </w:r>
      <w:r w:rsidR="009A0ACD">
        <w:rPr>
          <w:rFonts w:eastAsia="Calibri"/>
        </w:rPr>
        <w:t xml:space="preserve">and its sub-alternatives </w:t>
      </w:r>
      <w:r>
        <w:rPr>
          <w:rFonts w:eastAsia="Calibri"/>
        </w:rPr>
        <w:t>could have negative effects on opportu</w:t>
      </w:r>
      <w:r w:rsidR="00911D82">
        <w:rPr>
          <w:rFonts w:eastAsia="Calibri"/>
        </w:rPr>
        <w:t xml:space="preserve">nities to retain mutton snapper.  The </w:t>
      </w:r>
      <w:r w:rsidR="0042419B">
        <w:rPr>
          <w:rFonts w:eastAsia="Calibri"/>
        </w:rPr>
        <w:t xml:space="preserve">proposed </w:t>
      </w:r>
      <w:r w:rsidR="00911D82">
        <w:rPr>
          <w:rFonts w:eastAsia="Calibri"/>
        </w:rPr>
        <w:t xml:space="preserve">vessel limits </w:t>
      </w:r>
      <w:r w:rsidR="0042419B">
        <w:rPr>
          <w:rFonts w:eastAsia="Calibri"/>
        </w:rPr>
        <w:t xml:space="preserve">under </w:t>
      </w:r>
      <w:r w:rsidR="0042419B" w:rsidRPr="00007A84">
        <w:rPr>
          <w:rFonts w:eastAsia="Calibri"/>
          <w:b/>
        </w:rPr>
        <w:t>Sub-alternatives 3c</w:t>
      </w:r>
      <w:r w:rsidR="0042419B">
        <w:rPr>
          <w:rFonts w:eastAsia="Calibri"/>
        </w:rPr>
        <w:t xml:space="preserve"> and </w:t>
      </w:r>
      <w:r w:rsidR="0042419B" w:rsidRPr="00007A84">
        <w:rPr>
          <w:rFonts w:eastAsia="Calibri"/>
          <w:b/>
        </w:rPr>
        <w:t>3d</w:t>
      </w:r>
      <w:r w:rsidR="009A0ACD">
        <w:rPr>
          <w:rFonts w:eastAsia="Calibri"/>
          <w:b/>
        </w:rPr>
        <w:t xml:space="preserve"> </w:t>
      </w:r>
      <w:r w:rsidR="00911D82">
        <w:rPr>
          <w:rFonts w:eastAsia="Calibri"/>
        </w:rPr>
        <w:t xml:space="preserve">could have negative effects on recreational fishing opportunities, specifically for headboat businesses with higher numbers of people on board, but would be expected to have long-term benefits to the stock.  The most restrictive measure (no retention) under </w:t>
      </w:r>
      <w:r w:rsidR="00911D82">
        <w:rPr>
          <w:rFonts w:eastAsia="Calibri"/>
          <w:b/>
        </w:rPr>
        <w:t>Sub-alternative 3e</w:t>
      </w:r>
      <w:r w:rsidR="00911D82">
        <w:rPr>
          <w:rFonts w:eastAsia="Calibri"/>
        </w:rPr>
        <w:t xml:space="preserve"> would be the most likely to have short-term negative effects on recreational fishermen and for-hire businesses, but would affect all levels of recreational participation (angler</w:t>
      </w:r>
      <w:r w:rsidR="0031146B">
        <w:rPr>
          <w:rFonts w:eastAsia="Calibri"/>
        </w:rPr>
        <w:t>s on pr</w:t>
      </w:r>
      <w:r w:rsidR="004B2C01">
        <w:rPr>
          <w:rFonts w:eastAsia="Calibri"/>
        </w:rPr>
        <w:t>i</w:t>
      </w:r>
      <w:r w:rsidR="0031146B">
        <w:rPr>
          <w:rFonts w:eastAsia="Calibri"/>
        </w:rPr>
        <w:t>vate and for-hire vessels</w:t>
      </w:r>
      <w:r w:rsidR="00911D82">
        <w:rPr>
          <w:rFonts w:eastAsia="Calibri"/>
        </w:rPr>
        <w:t>) at equal levels.  Setting the recreational harvest limits year-round (</w:t>
      </w:r>
      <w:r w:rsidR="00911D82" w:rsidRPr="009F56B9">
        <w:rPr>
          <w:rFonts w:eastAsia="Calibri"/>
          <w:b/>
        </w:rPr>
        <w:t xml:space="preserve">Preferred </w:t>
      </w:r>
      <w:r w:rsidR="00911D82">
        <w:rPr>
          <w:rFonts w:eastAsia="Calibri"/>
          <w:b/>
        </w:rPr>
        <w:t>Alternative 4</w:t>
      </w:r>
      <w:r w:rsidR="009A0ACD">
        <w:rPr>
          <w:rFonts w:eastAsia="Calibri"/>
          <w:b/>
        </w:rPr>
        <w:t xml:space="preserve"> </w:t>
      </w:r>
      <w:r w:rsidR="009A0ACD" w:rsidRPr="009A0ACD">
        <w:rPr>
          <w:rFonts w:eastAsia="Calibri"/>
        </w:rPr>
        <w:t>and its sub-alternatives</w:t>
      </w:r>
      <w:r w:rsidR="00911D82">
        <w:rPr>
          <w:rFonts w:eastAsia="Calibri"/>
        </w:rPr>
        <w:t>) would reduce complexity of management measures, which would likely improve compliance.  Negative short-term effects due to restrictions on retention of mutton snapper would be expected to increase with lower bag limits.</w:t>
      </w:r>
    </w:p>
    <w:p w14:paraId="4EE20864" w14:textId="2E276899" w:rsidR="00913524" w:rsidRPr="000A5352" w:rsidRDefault="00CC558E" w:rsidP="00913524">
      <w:pPr>
        <w:pStyle w:val="Heading2"/>
        <w:rPr>
          <w:rFonts w:ascii="Arial" w:hAnsi="Arial" w:cs="Arial"/>
        </w:rPr>
      </w:pPr>
      <w:bookmarkStart w:id="84" w:name="_Toc339811712"/>
      <w:r>
        <w:rPr>
          <w:rFonts w:ascii="Arial" w:hAnsi="Arial" w:cs="Arial"/>
        </w:rPr>
        <w:lastRenderedPageBreak/>
        <w:t>2.</w:t>
      </w:r>
      <w:r w:rsidR="008C454A">
        <w:rPr>
          <w:rFonts w:ascii="Arial" w:hAnsi="Arial" w:cs="Arial"/>
        </w:rPr>
        <w:t>8</w:t>
      </w:r>
      <w:r>
        <w:rPr>
          <w:rFonts w:ascii="Arial" w:hAnsi="Arial" w:cs="Arial"/>
        </w:rPr>
        <w:tab/>
      </w:r>
      <w:r w:rsidR="00913524" w:rsidRPr="000A5352">
        <w:rPr>
          <w:rFonts w:ascii="Arial" w:hAnsi="Arial" w:cs="Arial"/>
        </w:rPr>
        <w:t xml:space="preserve">Action </w:t>
      </w:r>
      <w:r w:rsidR="008C454A">
        <w:rPr>
          <w:rFonts w:ascii="Arial" w:hAnsi="Arial" w:cs="Arial"/>
        </w:rPr>
        <w:t>8</w:t>
      </w:r>
      <w:r>
        <w:rPr>
          <w:rFonts w:ascii="Arial" w:hAnsi="Arial" w:cs="Arial"/>
        </w:rPr>
        <w:t xml:space="preserve">.  </w:t>
      </w:r>
      <w:r w:rsidRPr="008C454A">
        <w:rPr>
          <w:rFonts w:ascii="Arial" w:hAnsi="Arial" w:cs="Arial"/>
        </w:rPr>
        <w:t xml:space="preserve">Modify mutton snapper commercial </w:t>
      </w:r>
      <w:r w:rsidR="00731442" w:rsidRPr="00F47EA3">
        <w:rPr>
          <w:rFonts w:ascii="Arial" w:hAnsi="Arial" w:cs="Arial"/>
        </w:rPr>
        <w:t>trip</w:t>
      </w:r>
      <w:r w:rsidR="00731442">
        <w:rPr>
          <w:rFonts w:ascii="Arial" w:hAnsi="Arial" w:cs="Arial"/>
        </w:rPr>
        <w:t xml:space="preserve"> </w:t>
      </w:r>
      <w:r w:rsidRPr="008C454A">
        <w:rPr>
          <w:rFonts w:ascii="Arial" w:hAnsi="Arial" w:cs="Arial"/>
        </w:rPr>
        <w:t>l</w:t>
      </w:r>
      <w:r w:rsidR="00913524" w:rsidRPr="008C454A">
        <w:rPr>
          <w:rFonts w:ascii="Arial" w:hAnsi="Arial" w:cs="Arial"/>
        </w:rPr>
        <w:t>imit in the South Atlantic</w:t>
      </w:r>
      <w:r w:rsidR="004B1A22" w:rsidRPr="008C454A">
        <w:rPr>
          <w:rFonts w:ascii="Arial" w:hAnsi="Arial" w:cs="Arial"/>
        </w:rPr>
        <w:t xml:space="preserve"> </w:t>
      </w:r>
      <w:r w:rsidR="00774344" w:rsidRPr="008C454A">
        <w:rPr>
          <w:rFonts w:ascii="Arial" w:hAnsi="Arial" w:cs="Arial"/>
        </w:rPr>
        <w:t>R</w:t>
      </w:r>
      <w:r w:rsidR="004B1A22" w:rsidRPr="008C454A">
        <w:rPr>
          <w:rFonts w:ascii="Arial" w:hAnsi="Arial" w:cs="Arial"/>
        </w:rPr>
        <w:t>egion</w:t>
      </w:r>
      <w:bookmarkEnd w:id="84"/>
    </w:p>
    <w:p w14:paraId="5068B3AE" w14:textId="77777777" w:rsidR="00913524" w:rsidRDefault="00913524" w:rsidP="00913524">
      <w:pPr>
        <w:ind w:right="-180"/>
        <w:contextualSpacing/>
        <w:rPr>
          <w:b/>
        </w:rPr>
      </w:pPr>
    </w:p>
    <w:p w14:paraId="11F500E5" w14:textId="1B816AF4" w:rsidR="002633AF" w:rsidRPr="00D9457E" w:rsidRDefault="00913524" w:rsidP="00913524">
      <w:r>
        <w:rPr>
          <w:b/>
        </w:rPr>
        <w:t>Alternative 1 (No A</w:t>
      </w:r>
      <w:r w:rsidRPr="00D9457E">
        <w:rPr>
          <w:b/>
        </w:rPr>
        <w:t>ction).</w:t>
      </w:r>
      <w:r w:rsidRPr="00D9457E">
        <w:t xml:space="preserve"> </w:t>
      </w:r>
      <w:r w:rsidR="007145E2">
        <w:t xml:space="preserve"> </w:t>
      </w:r>
      <w:r w:rsidR="002633AF" w:rsidRPr="007145E2">
        <w:t xml:space="preserve">During May and June, each year, the possession of mutton snapper in or from the </w:t>
      </w:r>
      <w:r w:rsidR="002428A3" w:rsidRPr="007145E2">
        <w:t xml:space="preserve">exclusive economic zone </w:t>
      </w:r>
      <w:r w:rsidR="002633AF" w:rsidRPr="007145E2">
        <w:t>on board a vessel that has a commercial pe</w:t>
      </w:r>
      <w:r w:rsidR="00F47EA3">
        <w:t xml:space="preserve">rmit for South Atlantic snapper </w:t>
      </w:r>
      <w:r w:rsidR="002633AF" w:rsidRPr="007145E2">
        <w:t>grouper is limited to 10 per person per day or 10 per person per trip, whichever is more restrictive.</w:t>
      </w:r>
      <w:r w:rsidR="00D737E7" w:rsidRPr="007145E2">
        <w:t xml:space="preserve">  There is no </w:t>
      </w:r>
      <w:r w:rsidR="004B2C01" w:rsidRPr="007145E2">
        <w:t>possession or</w:t>
      </w:r>
      <w:r w:rsidR="00D737E7" w:rsidRPr="007145E2">
        <w:t xml:space="preserve"> trip limit for the commercial sector in </w:t>
      </w:r>
      <w:r w:rsidR="004B2C01" w:rsidRPr="007145E2">
        <w:t xml:space="preserve">the </w:t>
      </w:r>
      <w:r w:rsidR="00D737E7" w:rsidRPr="007145E2">
        <w:t xml:space="preserve">South Atlantic from </w:t>
      </w:r>
      <w:r w:rsidR="005509FB" w:rsidRPr="005509FB">
        <w:rPr>
          <w:strike/>
          <w:highlight w:val="yellow"/>
        </w:rPr>
        <w:t>July through April</w:t>
      </w:r>
      <w:r w:rsidR="005509FB">
        <w:t xml:space="preserve"> </w:t>
      </w:r>
      <w:r w:rsidR="000109FC" w:rsidRPr="000109FC">
        <w:rPr>
          <w:highlight w:val="yellow"/>
        </w:rPr>
        <w:t>January through April and July through December</w:t>
      </w:r>
      <w:r w:rsidR="00D737E7" w:rsidRPr="000109FC">
        <w:rPr>
          <w:highlight w:val="yellow"/>
        </w:rPr>
        <w:t>.</w:t>
      </w:r>
      <w:r w:rsidR="00D737E7" w:rsidRPr="00A627A0">
        <w:rPr>
          <w:color w:val="1F497D" w:themeColor="text2"/>
        </w:rPr>
        <w:t xml:space="preserve">  </w:t>
      </w:r>
    </w:p>
    <w:p w14:paraId="3A7D2B3E" w14:textId="77777777" w:rsidR="00913524" w:rsidRDefault="00913524" w:rsidP="00913524">
      <w:pPr>
        <w:rPr>
          <w:b/>
        </w:rPr>
      </w:pPr>
    </w:p>
    <w:p w14:paraId="6EF0AA7C" w14:textId="00705657" w:rsidR="00913524" w:rsidRPr="00D9457E" w:rsidRDefault="008C454A" w:rsidP="00913524">
      <w:r>
        <w:rPr>
          <w:b/>
        </w:rPr>
        <w:t xml:space="preserve">Preferred </w:t>
      </w:r>
      <w:r w:rsidR="00913524" w:rsidRPr="00D9457E">
        <w:rPr>
          <w:b/>
        </w:rPr>
        <w:t>Alternative 2.</w:t>
      </w:r>
      <w:r w:rsidR="00913524" w:rsidRPr="00D9457E">
        <w:t xml:space="preserve">  Establish a commercial trip limit for mutton snapper during </w:t>
      </w:r>
      <w:r w:rsidR="00913524" w:rsidRPr="00C91FC1">
        <w:t>the “regular season” (i.e., non-spawning months)</w:t>
      </w:r>
      <w:r w:rsidR="00913524" w:rsidRPr="00D9457E">
        <w:t xml:space="preserve"> in the South Atlantic.</w:t>
      </w:r>
    </w:p>
    <w:p w14:paraId="21C94365" w14:textId="4ABDC2FF" w:rsidR="00913524" w:rsidRPr="007145E2" w:rsidRDefault="00913524" w:rsidP="00913524">
      <w:pPr>
        <w:ind w:left="720"/>
      </w:pPr>
      <w:r w:rsidRPr="00D9457E">
        <w:rPr>
          <w:b/>
        </w:rPr>
        <w:t>Sub-alternative 2a.</w:t>
      </w:r>
      <w:r w:rsidRPr="00D9457E">
        <w:t xml:space="preserve">  300 pounds</w:t>
      </w:r>
      <w:r w:rsidR="002428A3">
        <w:t xml:space="preserve"> </w:t>
      </w:r>
      <w:r w:rsidR="002428A3" w:rsidRPr="007145E2">
        <w:t>whole weight</w:t>
      </w:r>
    </w:p>
    <w:p w14:paraId="412B4658" w14:textId="56B5182D" w:rsidR="00913524" w:rsidRPr="007145E2" w:rsidRDefault="00913524" w:rsidP="00913524">
      <w:pPr>
        <w:ind w:left="720"/>
      </w:pPr>
      <w:r w:rsidRPr="007145E2">
        <w:rPr>
          <w:b/>
        </w:rPr>
        <w:t>Sub-alternative 2b.</w:t>
      </w:r>
      <w:r w:rsidRPr="007145E2">
        <w:t xml:space="preserve">  400 pounds</w:t>
      </w:r>
      <w:r w:rsidR="002428A3" w:rsidRPr="007145E2">
        <w:t xml:space="preserve"> whole weight</w:t>
      </w:r>
    </w:p>
    <w:p w14:paraId="343670D7" w14:textId="6CEE9CAE" w:rsidR="00913524" w:rsidRPr="0039024C" w:rsidRDefault="007145E2" w:rsidP="00913524">
      <w:pPr>
        <w:ind w:left="720"/>
      </w:pPr>
      <w:r w:rsidRPr="00F47EA3">
        <w:rPr>
          <w:b/>
        </w:rPr>
        <w:t xml:space="preserve">Preferred </w:t>
      </w:r>
      <w:r w:rsidR="00913524" w:rsidRPr="00F47EA3">
        <w:rPr>
          <w:b/>
        </w:rPr>
        <w:t>Sub-alternative 2c.</w:t>
      </w:r>
      <w:r w:rsidR="00913524" w:rsidRPr="00F47EA3">
        <w:t xml:space="preserve">  500 pounds</w:t>
      </w:r>
      <w:r w:rsidR="002428A3" w:rsidRPr="00F47EA3">
        <w:t xml:space="preserve"> whole weight</w:t>
      </w:r>
    </w:p>
    <w:p w14:paraId="2793BDE6" w14:textId="77777777" w:rsidR="00913524" w:rsidRDefault="00913524" w:rsidP="00913524">
      <w:pPr>
        <w:rPr>
          <w:b/>
        </w:rPr>
      </w:pPr>
    </w:p>
    <w:p w14:paraId="69E8F991" w14:textId="3B81495A" w:rsidR="00913524" w:rsidRPr="0039024C" w:rsidRDefault="008C454A" w:rsidP="00913524">
      <w:r>
        <w:rPr>
          <w:b/>
        </w:rPr>
        <w:t xml:space="preserve">Preferred </w:t>
      </w:r>
      <w:r w:rsidR="00913524" w:rsidRPr="0039024C">
        <w:rPr>
          <w:b/>
        </w:rPr>
        <w:t>Alternative 3</w:t>
      </w:r>
      <w:r w:rsidR="00913524">
        <w:rPr>
          <w:b/>
        </w:rPr>
        <w:t>.</w:t>
      </w:r>
      <w:r w:rsidR="00913524" w:rsidRPr="0039024C">
        <w:t xml:space="preserve">  Specify a commercial trip limit for mutton snapper during </w:t>
      </w:r>
      <w:r w:rsidR="00913524" w:rsidRPr="00C91FC1">
        <w:t>the “spawning months”</w:t>
      </w:r>
      <w:r w:rsidR="00913524" w:rsidRPr="0039024C">
        <w:t xml:space="preserve"> in the South </w:t>
      </w:r>
      <w:r w:rsidR="00913524" w:rsidRPr="0039024C">
        <w:rPr>
          <w:caps/>
        </w:rPr>
        <w:t>A</w:t>
      </w:r>
      <w:r w:rsidR="00913524" w:rsidRPr="0039024C">
        <w:t>tlantic.</w:t>
      </w:r>
    </w:p>
    <w:p w14:paraId="29BB27CA" w14:textId="4060218D" w:rsidR="00913524" w:rsidRDefault="00913524" w:rsidP="00913524">
      <w:pPr>
        <w:ind w:left="720"/>
      </w:pPr>
      <w:r w:rsidRPr="0039024C">
        <w:rPr>
          <w:b/>
        </w:rPr>
        <w:t>Sub-alternative 3a.</w:t>
      </w:r>
      <w:r w:rsidRPr="0039024C">
        <w:t xml:space="preserve">  2 fish/person/day</w:t>
      </w:r>
      <w:r w:rsidR="00F47EA3">
        <w:t xml:space="preserve"> </w:t>
      </w:r>
      <w:r w:rsidR="00F47EA3" w:rsidRPr="00F47EA3">
        <w:rPr>
          <w:highlight w:val="yellow"/>
        </w:rPr>
        <w:t>or 2 fish/person/trip, whichever is more restrictive</w:t>
      </w:r>
    </w:p>
    <w:p w14:paraId="19A330D4" w14:textId="2AB6276B" w:rsidR="000C11A3" w:rsidRPr="0039024C" w:rsidRDefault="000C11A3" w:rsidP="00913524">
      <w:pPr>
        <w:ind w:left="720"/>
      </w:pPr>
      <w:r>
        <w:rPr>
          <w:b/>
        </w:rPr>
        <w:t>Sub-</w:t>
      </w:r>
      <w:r w:rsidRPr="000C11A3">
        <w:rPr>
          <w:b/>
        </w:rPr>
        <w:t>alternative 3b.</w:t>
      </w:r>
      <w:r>
        <w:t xml:space="preserve">  3 fish/person/day</w:t>
      </w:r>
      <w:r w:rsidR="00F47EA3">
        <w:t xml:space="preserve"> </w:t>
      </w:r>
      <w:r w:rsidR="00F47EA3" w:rsidRPr="00F47EA3">
        <w:rPr>
          <w:highlight w:val="yellow"/>
        </w:rPr>
        <w:t>or 3 fish/person/trip, whichever is more restrictive</w:t>
      </w:r>
    </w:p>
    <w:p w14:paraId="3B2F108A" w14:textId="2458F892" w:rsidR="00913524" w:rsidRDefault="000C11A3" w:rsidP="00913524">
      <w:pPr>
        <w:ind w:left="720"/>
      </w:pPr>
      <w:r>
        <w:rPr>
          <w:b/>
        </w:rPr>
        <w:t>Sub-alternative 3c</w:t>
      </w:r>
      <w:r w:rsidR="00913524" w:rsidRPr="0039024C">
        <w:rPr>
          <w:b/>
        </w:rPr>
        <w:t>.</w:t>
      </w:r>
      <w:r w:rsidR="00913524">
        <w:t xml:space="preserve">  10 fish/vessel</w:t>
      </w:r>
      <w:r w:rsidR="00913524" w:rsidRPr="0039024C">
        <w:t>/day</w:t>
      </w:r>
    </w:p>
    <w:p w14:paraId="179A4A6A" w14:textId="5C9D72F7" w:rsidR="00913524" w:rsidRDefault="000C11A3" w:rsidP="00913524">
      <w:pPr>
        <w:ind w:left="720"/>
      </w:pPr>
      <w:r>
        <w:rPr>
          <w:b/>
        </w:rPr>
        <w:t>Sub-alternative 3d</w:t>
      </w:r>
      <w:r w:rsidR="00913524" w:rsidRPr="0039024C">
        <w:rPr>
          <w:b/>
        </w:rPr>
        <w:t>.</w:t>
      </w:r>
      <w:r w:rsidR="00913524">
        <w:t xml:space="preserve">  12 fish/vessel</w:t>
      </w:r>
      <w:r w:rsidR="00913524" w:rsidRPr="0039024C">
        <w:t>/day</w:t>
      </w:r>
    </w:p>
    <w:p w14:paraId="15258B8B" w14:textId="15BCAD09" w:rsidR="00913524" w:rsidRDefault="000C11A3" w:rsidP="00AE5EFD">
      <w:pPr>
        <w:ind w:left="720"/>
      </w:pPr>
      <w:r>
        <w:rPr>
          <w:b/>
        </w:rPr>
        <w:t>Sub-</w:t>
      </w:r>
      <w:r w:rsidRPr="000C11A3">
        <w:rPr>
          <w:b/>
        </w:rPr>
        <w:t>alternative 3e.</w:t>
      </w:r>
      <w:r>
        <w:t xml:space="preserve">  No retention</w:t>
      </w:r>
    </w:p>
    <w:p w14:paraId="5937DC2B" w14:textId="41826671" w:rsidR="007145E2" w:rsidRDefault="007145E2" w:rsidP="00AE5EFD">
      <w:pPr>
        <w:ind w:left="720"/>
      </w:pPr>
      <w:r w:rsidRPr="00F47EA3">
        <w:rPr>
          <w:b/>
        </w:rPr>
        <w:t>Preferred Sub-alternative 3f.</w:t>
      </w:r>
      <w:r w:rsidRPr="00F47EA3">
        <w:t xml:space="preserve">  5 fish/person/day</w:t>
      </w:r>
      <w:r w:rsidR="00F47EA3">
        <w:t xml:space="preserve"> </w:t>
      </w:r>
      <w:r w:rsidR="00F47EA3" w:rsidRPr="00F47EA3">
        <w:rPr>
          <w:highlight w:val="yellow"/>
        </w:rPr>
        <w:t>or 5 fish/person/trip, whichever is more restrictive</w:t>
      </w:r>
    </w:p>
    <w:p w14:paraId="0246DD95" w14:textId="77777777" w:rsidR="00AE5EFD" w:rsidRPr="00AE5EFD" w:rsidRDefault="00AE5EFD" w:rsidP="00AE5EFD">
      <w:pPr>
        <w:ind w:left="720"/>
      </w:pPr>
    </w:p>
    <w:p w14:paraId="34A76AE5" w14:textId="03B43DAF" w:rsidR="00AE5EFD" w:rsidRPr="00AE5EFD" w:rsidRDefault="00AE5EFD" w:rsidP="00AE5EFD">
      <w:pPr>
        <w:pStyle w:val="Heading2"/>
        <w:rPr>
          <w:rFonts w:ascii="Arial" w:hAnsi="Arial" w:cs="Arial"/>
        </w:rPr>
      </w:pPr>
      <w:bookmarkStart w:id="85" w:name="_Toc339811713"/>
      <w:r w:rsidRPr="00AE5EFD">
        <w:rPr>
          <w:rFonts w:ascii="Arial" w:hAnsi="Arial" w:cs="Arial"/>
        </w:rPr>
        <w:t>Comparison of Alternatives</w:t>
      </w:r>
      <w:bookmarkEnd w:id="85"/>
    </w:p>
    <w:p w14:paraId="78A2C331" w14:textId="538283A1" w:rsidR="00913524" w:rsidRDefault="00913524" w:rsidP="00913524">
      <w:pPr>
        <w:ind w:firstLine="360"/>
        <w:contextualSpacing/>
      </w:pPr>
      <w:r>
        <w:t xml:space="preserve">This action considers alternatives for </w:t>
      </w:r>
      <w:r w:rsidR="00731442">
        <w:t xml:space="preserve">a </w:t>
      </w:r>
      <w:r>
        <w:t xml:space="preserve">mutton snapper commercial </w:t>
      </w:r>
      <w:r w:rsidR="004B2C01">
        <w:t xml:space="preserve">trip </w:t>
      </w:r>
      <w:r>
        <w:t>limit in the South Atlantic during the “regular season” (i.e., non-spawning months)</w:t>
      </w:r>
      <w:r w:rsidR="00F5584A">
        <w:t xml:space="preserve"> </w:t>
      </w:r>
      <w:r w:rsidR="00406806">
        <w:t>and modification of the commercial</w:t>
      </w:r>
      <w:r w:rsidR="00731442">
        <w:t xml:space="preserve"> </w:t>
      </w:r>
      <w:r w:rsidR="00F47EA3">
        <w:t>trip</w:t>
      </w:r>
      <w:r w:rsidR="00731442">
        <w:t xml:space="preserve"> limit during the </w:t>
      </w:r>
      <w:r w:rsidR="00F5584A">
        <w:t xml:space="preserve">“spawning </w:t>
      </w:r>
      <w:r w:rsidR="003F17D4">
        <w:t>months</w:t>
      </w:r>
      <w:r w:rsidR="00F5584A">
        <w:t>.”</w:t>
      </w:r>
      <w:r>
        <w:t xml:space="preserve">  </w:t>
      </w:r>
      <w:r w:rsidR="0031146B">
        <w:t>Currently, d</w:t>
      </w:r>
      <w:r>
        <w:t xml:space="preserve">uring May and June, the commercial sector in the South Atlantic is restricted to 10 mutton snapper per </w:t>
      </w:r>
      <w:r w:rsidR="003F17D4">
        <w:t xml:space="preserve">person per </w:t>
      </w:r>
      <w:r>
        <w:t xml:space="preserve">day or 10 mutton snapper </w:t>
      </w:r>
      <w:r w:rsidR="003F17D4">
        <w:t xml:space="preserve">per person </w:t>
      </w:r>
      <w:r>
        <w:t xml:space="preserve">per trip, whichever is more restrictive.  There is no </w:t>
      </w:r>
      <w:r w:rsidR="004B2C01">
        <w:t xml:space="preserve">trip </w:t>
      </w:r>
      <w:r w:rsidR="0031146B">
        <w:t>limit</w:t>
      </w:r>
      <w:r>
        <w:t xml:space="preserve"> for the commercial sector during the July-April regular season. </w:t>
      </w:r>
      <w:bookmarkStart w:id="86" w:name="_Toc419885502"/>
    </w:p>
    <w:p w14:paraId="17273872" w14:textId="77777777" w:rsidR="00913524" w:rsidRDefault="00913524" w:rsidP="00913524">
      <w:pPr>
        <w:contextualSpacing/>
      </w:pPr>
    </w:p>
    <w:p w14:paraId="0AC217D3" w14:textId="77777777" w:rsidR="003F17D4" w:rsidRDefault="003F17D4">
      <w:pPr>
        <w:rPr>
          <w:rFonts w:ascii="Arial" w:hAnsi="Arial"/>
          <w:b/>
          <w:bCs/>
          <w:sz w:val="20"/>
        </w:rPr>
      </w:pPr>
      <w:r>
        <w:rPr>
          <w:b/>
        </w:rPr>
        <w:br w:type="page"/>
      </w:r>
    </w:p>
    <w:bookmarkEnd w:id="86"/>
    <w:p w14:paraId="1F1A313F" w14:textId="4CE60E83" w:rsidR="0031146B" w:rsidRPr="003F17D4" w:rsidRDefault="0031146B" w:rsidP="0031146B">
      <w:pPr>
        <w:ind w:firstLine="360"/>
      </w:pPr>
      <w:r>
        <w:lastRenderedPageBreak/>
        <w:t>Commercial landings of mutton snapper in the South Atlantic region are highest during the May-June peak spawning period (</w:t>
      </w:r>
      <w:r w:rsidRPr="00FC67CD">
        <w:rPr>
          <w:b/>
        </w:rPr>
        <w:t xml:space="preserve">Figure </w:t>
      </w:r>
      <w:r>
        <w:rPr>
          <w:b/>
        </w:rPr>
        <w:t>4.8.1</w:t>
      </w:r>
      <w:r>
        <w:t xml:space="preserve">) despite the current restriction on harvest.  A commercial trip limit of </w:t>
      </w:r>
      <w:r w:rsidR="007576E8">
        <w:t>5</w:t>
      </w:r>
      <w:r>
        <w:t>00 lbs ww (</w:t>
      </w:r>
      <w:r w:rsidR="007576E8" w:rsidRPr="00007A84">
        <w:rPr>
          <w:b/>
        </w:rPr>
        <w:t>Preferred</w:t>
      </w:r>
      <w:r w:rsidR="007576E8">
        <w:t xml:space="preserve"> </w:t>
      </w:r>
      <w:r w:rsidRPr="00643474">
        <w:rPr>
          <w:b/>
        </w:rPr>
        <w:t>Sub-alternative 2</w:t>
      </w:r>
      <w:r w:rsidR="007576E8">
        <w:rPr>
          <w:b/>
        </w:rPr>
        <w:t>c</w:t>
      </w:r>
      <w:r>
        <w:t xml:space="preserve">) outside of the designated spawning months (April through June according to </w:t>
      </w:r>
      <w:r w:rsidRPr="00643474">
        <w:rPr>
          <w:b/>
        </w:rPr>
        <w:t>Preferred Sub-alternative 2a</w:t>
      </w:r>
      <w:r>
        <w:t xml:space="preserve">, </w:t>
      </w:r>
      <w:r w:rsidRPr="00643474">
        <w:rPr>
          <w:b/>
        </w:rPr>
        <w:t>Action 6</w:t>
      </w:r>
      <w:r>
        <w:t xml:space="preserve">) is expected to result in a </w:t>
      </w:r>
      <w:r w:rsidR="007576E8">
        <w:t>3.7</w:t>
      </w:r>
      <w:r>
        <w:t>% decrease in annual commercial harvest of mutton snapper</w:t>
      </w:r>
      <w:r w:rsidR="007576E8">
        <w:t xml:space="preserve"> whereas the proposed commercial </w:t>
      </w:r>
      <w:r w:rsidR="00F47EA3">
        <w:t>trip</w:t>
      </w:r>
      <w:r w:rsidR="007576E8">
        <w:t xml:space="preserve"> limit of 5 fish per person per day </w:t>
      </w:r>
      <w:r w:rsidR="00D6611E">
        <w:t xml:space="preserve">during the “spawning months” </w:t>
      </w:r>
      <w:r w:rsidR="007576E8">
        <w:t>(</w:t>
      </w:r>
      <w:r w:rsidR="007576E8" w:rsidRPr="00007A84">
        <w:rPr>
          <w:b/>
        </w:rPr>
        <w:t>Preferred Sub-alternative</w:t>
      </w:r>
      <w:r w:rsidR="007576E8">
        <w:t xml:space="preserve"> </w:t>
      </w:r>
      <w:r w:rsidR="007576E8" w:rsidRPr="00007A84">
        <w:rPr>
          <w:b/>
        </w:rPr>
        <w:t>3f</w:t>
      </w:r>
      <w:r w:rsidR="007576E8">
        <w:t>) would reduce commercial harvest of mutton snapper by 13.6%.  Therefore, b</w:t>
      </w:r>
      <w:r>
        <w:t xml:space="preserve">ased on analyses detailed in </w:t>
      </w:r>
      <w:r w:rsidRPr="00A91BD6">
        <w:rPr>
          <w:b/>
        </w:rPr>
        <w:t>Section 4.8.1</w:t>
      </w:r>
      <w:r>
        <w:t xml:space="preserve">, the combination of </w:t>
      </w:r>
      <w:r w:rsidRPr="003F17D4">
        <w:rPr>
          <w:b/>
        </w:rPr>
        <w:t>Preferred Sub-alternative 2</w:t>
      </w:r>
      <w:r w:rsidR="0051763C">
        <w:rPr>
          <w:b/>
        </w:rPr>
        <w:t>c</w:t>
      </w:r>
      <w:r>
        <w:t xml:space="preserve"> </w:t>
      </w:r>
      <w:r w:rsidR="0051763C">
        <w:t xml:space="preserve">(500 lbs ww during regular season) </w:t>
      </w:r>
      <w:r>
        <w:t xml:space="preserve">and </w:t>
      </w:r>
      <w:r w:rsidRPr="003F17D4">
        <w:rPr>
          <w:b/>
        </w:rPr>
        <w:t>3</w:t>
      </w:r>
      <w:r w:rsidR="0051763C">
        <w:rPr>
          <w:b/>
        </w:rPr>
        <w:t>f</w:t>
      </w:r>
      <w:r>
        <w:t xml:space="preserve"> (</w:t>
      </w:r>
      <w:r w:rsidR="0051763C">
        <w:t>5</w:t>
      </w:r>
      <w:r>
        <w:t xml:space="preserve"> fish/person/day</w:t>
      </w:r>
      <w:r w:rsidR="00F47EA3">
        <w:t xml:space="preserve"> or 5/person/trip</w:t>
      </w:r>
      <w:r w:rsidR="0051763C">
        <w:t xml:space="preserve"> during April-June</w:t>
      </w:r>
      <w:r>
        <w:t xml:space="preserve">) of Action 8 is expected to reduce annual commercial harvest of mutton snapper in the South Atlantic by about </w:t>
      </w:r>
      <w:r w:rsidR="00731442" w:rsidRPr="00007A84">
        <w:t>17</w:t>
      </w:r>
      <w:r>
        <w:t>%.</w:t>
      </w:r>
    </w:p>
    <w:p w14:paraId="14740C0F" w14:textId="77777777" w:rsidR="003F17D4" w:rsidRDefault="003F17D4" w:rsidP="003F17D4">
      <w:pPr>
        <w:ind w:firstLine="360"/>
      </w:pPr>
    </w:p>
    <w:p w14:paraId="7826E11B" w14:textId="259F82F4" w:rsidR="0031146B" w:rsidRDefault="0031146B" w:rsidP="0031146B">
      <w:pPr>
        <w:ind w:firstLine="360"/>
      </w:pPr>
      <w:r>
        <w:t>T</w:t>
      </w:r>
      <w:r w:rsidRPr="003D60B0">
        <w:t xml:space="preserve">rip limits do not </w:t>
      </w:r>
      <w:r>
        <w:t xml:space="preserve">generally result in biological effects, positive or negative, since annual harvest is constrained by the ACL to a level that is sustainable over the long-term.  Although </w:t>
      </w:r>
      <w:r w:rsidRPr="00332B17">
        <w:rPr>
          <w:b/>
        </w:rPr>
        <w:t>Alternative 1 (No Action)</w:t>
      </w:r>
      <w:r>
        <w:t xml:space="preserve"> places some level of constraint on commercial harvest of mutton snapper during the spawning season, </w:t>
      </w:r>
      <w:r w:rsidR="0051763C">
        <w:t xml:space="preserve">average </w:t>
      </w:r>
      <w:r>
        <w:t xml:space="preserve">commercial landings have been highest during </w:t>
      </w:r>
      <w:r w:rsidR="0051763C">
        <w:t>May-June</w:t>
      </w:r>
      <w:r>
        <w:t xml:space="preserve"> indicating that current regulations are ineffective in</w:t>
      </w:r>
      <w:r w:rsidR="00AE3C2C">
        <w:t xml:space="preserve"> </w:t>
      </w:r>
      <w:r w:rsidR="007576E8">
        <w:t>constraining commercial harvest</w:t>
      </w:r>
      <w:r>
        <w:t xml:space="preserve"> when the species is most vulnerable</w:t>
      </w:r>
      <w:r w:rsidR="007576E8">
        <w:t>;</w:t>
      </w:r>
      <w:r>
        <w:t xml:space="preserve"> </w:t>
      </w:r>
      <w:r w:rsidR="007576E8">
        <w:t>that is,</w:t>
      </w:r>
      <w:r>
        <w:t xml:space="preserve"> during formation of spawning aggregations.  As such, </w:t>
      </w:r>
      <w:r w:rsidRPr="0000613D">
        <w:rPr>
          <w:b/>
        </w:rPr>
        <w:t xml:space="preserve">Preferred </w:t>
      </w:r>
      <w:r w:rsidRPr="003D60B0">
        <w:rPr>
          <w:b/>
        </w:rPr>
        <w:t>Alternative 3</w:t>
      </w:r>
      <w:r>
        <w:t xml:space="preserve"> and its sub-alternatives would be more biologically beneficial than </w:t>
      </w:r>
      <w:r w:rsidRPr="0000613D">
        <w:rPr>
          <w:b/>
        </w:rPr>
        <w:t>Preferred</w:t>
      </w:r>
      <w:r>
        <w:t xml:space="preserve"> </w:t>
      </w:r>
      <w:r w:rsidRPr="00332B17">
        <w:rPr>
          <w:b/>
        </w:rPr>
        <w:t>Alternative 2</w:t>
      </w:r>
      <w:r>
        <w:t xml:space="preserve"> and its sub-alternatives since they would presumably reduce harvest when mutton snapper are spawning.  Therefore, </w:t>
      </w:r>
      <w:r w:rsidRPr="0000613D">
        <w:rPr>
          <w:b/>
        </w:rPr>
        <w:t xml:space="preserve">Preferred </w:t>
      </w:r>
      <w:r>
        <w:rPr>
          <w:b/>
        </w:rPr>
        <w:t>A</w:t>
      </w:r>
      <w:r w:rsidRPr="00332B17">
        <w:rPr>
          <w:b/>
        </w:rPr>
        <w:t>lternative</w:t>
      </w:r>
      <w:r>
        <w:t xml:space="preserve"> </w:t>
      </w:r>
      <w:r w:rsidRPr="00565B4F">
        <w:rPr>
          <w:b/>
        </w:rPr>
        <w:t>3</w:t>
      </w:r>
      <w:r>
        <w:t xml:space="preserve"> and its sub-alternatives would likely result in greater biological benefits relative to </w:t>
      </w:r>
      <w:r w:rsidRPr="00332B17">
        <w:rPr>
          <w:b/>
        </w:rPr>
        <w:t>Alternative 1 (No Action)</w:t>
      </w:r>
      <w:r>
        <w:t xml:space="preserve">.  Among the </w:t>
      </w:r>
      <w:r w:rsidRPr="0000613D">
        <w:rPr>
          <w:b/>
        </w:rPr>
        <w:t xml:space="preserve">Preferred </w:t>
      </w:r>
      <w:r w:rsidRPr="00332B17">
        <w:rPr>
          <w:b/>
        </w:rPr>
        <w:t>Alternative 3</w:t>
      </w:r>
      <w:r>
        <w:t xml:space="preserve"> sub-alternatives, </w:t>
      </w:r>
      <w:r w:rsidRPr="00332B17">
        <w:rPr>
          <w:b/>
        </w:rPr>
        <w:t>Sub-alternative 3e</w:t>
      </w:r>
      <w:r>
        <w:t xml:space="preserve"> would be the most biologically beneficial to the mutton snapper stock as it would prohibit commercial harvest during the spawning months.  </w:t>
      </w:r>
    </w:p>
    <w:p w14:paraId="45AB5EE1" w14:textId="77777777" w:rsidR="003F17D4" w:rsidRDefault="003F17D4" w:rsidP="003F17D4">
      <w:pPr>
        <w:rPr>
          <w:bCs/>
        </w:rPr>
      </w:pPr>
    </w:p>
    <w:p w14:paraId="499A9A85" w14:textId="0BB84FD9" w:rsidR="009A0ACD" w:rsidRDefault="007576E8" w:rsidP="003F17D4">
      <w:pPr>
        <w:ind w:firstLine="360"/>
      </w:pPr>
      <w:r>
        <w:t>In general, t</w:t>
      </w:r>
      <w:r w:rsidR="0031146B">
        <w:t>he lower the trip limit, the more likely some commercial vessels would experience negative economic effects.  Lower trip limits may reduce net operative revenue for commercial vessels through a reduction in efficiency.  The severity of such impacts would be based on the overall dependence a vessel has on mutton snapper and the vessel’s ability to substitute other species to make up for loss of revenue from reduced mutton snapper landings</w:t>
      </w:r>
      <w:r w:rsidR="00262134">
        <w:t>.  The sub-alternatives of</w:t>
      </w:r>
      <w:r w:rsidR="00262134">
        <w:rPr>
          <w:b/>
        </w:rPr>
        <w:t xml:space="preserve"> Preferred Alternative 2 </w:t>
      </w:r>
      <w:r w:rsidR="00262134" w:rsidRPr="00FE70CA">
        <w:t>and its sub-alternatives</w:t>
      </w:r>
      <w:r w:rsidR="00262134">
        <w:rPr>
          <w:b/>
        </w:rPr>
        <w:t xml:space="preserve"> </w:t>
      </w:r>
      <w:r w:rsidR="00262134">
        <w:t xml:space="preserve">set trip limits during the “regular season.”  The lower the trip limit, the more likely some commercial vessels will experience negative economic effects.  Some permit holders are restricted to a 225-pound limit of snapper grouper species and would not be affected by the commercial trip limits in </w:t>
      </w:r>
      <w:r w:rsidR="00262134" w:rsidRPr="00C63E21">
        <w:rPr>
          <w:b/>
        </w:rPr>
        <w:t>Preferred Alternative 2</w:t>
      </w:r>
      <w:r w:rsidR="00262134">
        <w:rPr>
          <w:b/>
        </w:rPr>
        <w:t xml:space="preserve"> </w:t>
      </w:r>
      <w:r w:rsidR="00262134" w:rsidRPr="00FE70CA">
        <w:t>and its sub-alternatives</w:t>
      </w:r>
      <w:r w:rsidR="00262134">
        <w:t xml:space="preserve">.  For the remaining permit holders, negative economic effects may occur due to trip limits proposed under sub-alternatives of </w:t>
      </w:r>
      <w:r w:rsidR="00262134" w:rsidRPr="00194F81">
        <w:rPr>
          <w:b/>
        </w:rPr>
        <w:t xml:space="preserve">Preferred Alternative </w:t>
      </w:r>
      <w:r w:rsidR="00262134" w:rsidRPr="002F6F56">
        <w:rPr>
          <w:b/>
        </w:rPr>
        <w:t>2</w:t>
      </w:r>
      <w:r w:rsidR="00262134">
        <w:t>; however, these effects are expected to be minimal on most trips, as the vast majority of commercial trips land 300 pounds or less of mutton snapper per trip (</w:t>
      </w:r>
      <w:r w:rsidR="00262134" w:rsidRPr="00C63E21">
        <w:rPr>
          <w:b/>
        </w:rPr>
        <w:t>Figure 4.8.3</w:t>
      </w:r>
      <w:r w:rsidR="00262134">
        <w:t xml:space="preserve">).  </w:t>
      </w:r>
      <w:r w:rsidR="00262134" w:rsidRPr="00FE4632">
        <w:rPr>
          <w:b/>
        </w:rPr>
        <w:t>Sub-alternative 2a</w:t>
      </w:r>
      <w:r w:rsidR="00262134">
        <w:t xml:space="preserve"> sets the lowest trip limit and is expected to have the largest negative, short-term economic effect followed by </w:t>
      </w:r>
      <w:r w:rsidR="00262134" w:rsidRPr="00FE4632">
        <w:rPr>
          <w:b/>
        </w:rPr>
        <w:t>Sub-alternative</w:t>
      </w:r>
      <w:r w:rsidR="00262134">
        <w:t xml:space="preserve"> </w:t>
      </w:r>
      <w:r w:rsidR="00262134" w:rsidRPr="00FE4632">
        <w:rPr>
          <w:b/>
        </w:rPr>
        <w:t>2b</w:t>
      </w:r>
      <w:r w:rsidR="00262134">
        <w:t xml:space="preserve"> and </w:t>
      </w:r>
      <w:r w:rsidR="00262134" w:rsidRPr="009E7B64">
        <w:rPr>
          <w:b/>
        </w:rPr>
        <w:t>Pref</w:t>
      </w:r>
      <w:r w:rsidR="00262134" w:rsidRPr="00FE4632">
        <w:rPr>
          <w:b/>
        </w:rPr>
        <w:t>e</w:t>
      </w:r>
      <w:r w:rsidR="00262134">
        <w:rPr>
          <w:b/>
        </w:rPr>
        <w:t>r</w:t>
      </w:r>
      <w:r w:rsidR="00262134" w:rsidRPr="00FE4632">
        <w:rPr>
          <w:b/>
        </w:rPr>
        <w:t>red Sub-altern</w:t>
      </w:r>
      <w:r w:rsidR="00262134">
        <w:rPr>
          <w:b/>
        </w:rPr>
        <w:t>at</w:t>
      </w:r>
      <w:r w:rsidR="00262134" w:rsidRPr="00FE4632">
        <w:rPr>
          <w:b/>
        </w:rPr>
        <w:t>ive 2c</w:t>
      </w:r>
      <w:r w:rsidR="00262134">
        <w:t xml:space="preserve">.  </w:t>
      </w:r>
    </w:p>
    <w:p w14:paraId="72138E07" w14:textId="77777777" w:rsidR="00262134" w:rsidRDefault="00262134" w:rsidP="003F17D4">
      <w:pPr>
        <w:ind w:firstLine="360"/>
      </w:pPr>
    </w:p>
    <w:p w14:paraId="733C94CE" w14:textId="4AD82093" w:rsidR="00262134" w:rsidRDefault="00262134" w:rsidP="003F17D4">
      <w:pPr>
        <w:ind w:firstLine="360"/>
      </w:pPr>
      <w:r w:rsidRPr="00A9757E">
        <w:t>The</w:t>
      </w:r>
      <w:r>
        <w:t xml:space="preserve"> sub-alternatives of</w:t>
      </w:r>
      <w:r>
        <w:rPr>
          <w:b/>
        </w:rPr>
        <w:t xml:space="preserve"> Preferred Alternative 3 </w:t>
      </w:r>
      <w:r>
        <w:t>set trip limits during the designated “spawning months” (</w:t>
      </w:r>
      <w:r>
        <w:rPr>
          <w:b/>
        </w:rPr>
        <w:t>Action 5</w:t>
      </w:r>
      <w:r w:rsidR="00803031">
        <w:t xml:space="preserve">).  </w:t>
      </w:r>
      <w:r>
        <w:t xml:space="preserve">The realized severity of such impacts on a commercial trip </w:t>
      </w:r>
      <w:r>
        <w:lastRenderedPageBreak/>
        <w:t xml:space="preserve">would be based on the overall dependence a vessel has on mutton snapper, the ability of the vessel to exceed the current trip limit specified during May and June in </w:t>
      </w:r>
      <w:r>
        <w:rPr>
          <w:b/>
        </w:rPr>
        <w:t>Alternative</w:t>
      </w:r>
      <w:r w:rsidRPr="00194F81">
        <w:rPr>
          <w:b/>
        </w:rPr>
        <w:t xml:space="preserve"> 1 (No Action)</w:t>
      </w:r>
      <w:r>
        <w:t xml:space="preserve">, and the vessel’s ability to substitute other species to make up for loss of revenue from reduced mutton snapper landings.  In comparison to </w:t>
      </w:r>
      <w:r>
        <w:rPr>
          <w:b/>
        </w:rPr>
        <w:t>Alternative 1 (No A</w:t>
      </w:r>
      <w:r w:rsidRPr="00FE4632">
        <w:rPr>
          <w:b/>
        </w:rPr>
        <w:t>ction)</w:t>
      </w:r>
      <w:r>
        <w:t xml:space="preserve">, </w:t>
      </w:r>
      <w:r w:rsidRPr="00EA66C3">
        <w:rPr>
          <w:b/>
        </w:rPr>
        <w:t xml:space="preserve">Sub-alternative </w:t>
      </w:r>
      <w:r>
        <w:rPr>
          <w:b/>
        </w:rPr>
        <w:t>3e</w:t>
      </w:r>
      <w:r>
        <w:t xml:space="preserve"> specifies no retention during the “spawning months” and is expected to have the largest negative, short-term economic effect followed by </w:t>
      </w:r>
      <w:r w:rsidRPr="00EA66C3">
        <w:rPr>
          <w:b/>
        </w:rPr>
        <w:t>Sub-alternative</w:t>
      </w:r>
      <w:r>
        <w:t xml:space="preserve"> </w:t>
      </w:r>
      <w:r w:rsidRPr="00FE4632">
        <w:rPr>
          <w:b/>
        </w:rPr>
        <w:t>3a</w:t>
      </w:r>
      <w:r w:rsidRPr="008F3D62">
        <w:t>,</w:t>
      </w:r>
      <w:r>
        <w:rPr>
          <w:b/>
        </w:rPr>
        <w:t xml:space="preserve"> </w:t>
      </w:r>
      <w:r w:rsidRPr="00EA66C3">
        <w:rPr>
          <w:b/>
        </w:rPr>
        <w:t>Sub-alternative</w:t>
      </w:r>
      <w:r>
        <w:t xml:space="preserve"> </w:t>
      </w:r>
      <w:r w:rsidRPr="00FE4632">
        <w:rPr>
          <w:b/>
        </w:rPr>
        <w:t>3b</w:t>
      </w:r>
      <w:r>
        <w:t>,</w:t>
      </w:r>
      <w:r w:rsidRPr="002B47A0">
        <w:rPr>
          <w:b/>
        </w:rPr>
        <w:t xml:space="preserve"> </w:t>
      </w:r>
      <w:r>
        <w:rPr>
          <w:b/>
        </w:rPr>
        <w:t xml:space="preserve">Preferred </w:t>
      </w:r>
      <w:r w:rsidRPr="00EA66C3">
        <w:rPr>
          <w:b/>
        </w:rPr>
        <w:t>Sub-alternative</w:t>
      </w:r>
      <w:r>
        <w:t xml:space="preserve"> </w:t>
      </w:r>
      <w:r w:rsidRPr="00EA66C3">
        <w:rPr>
          <w:b/>
        </w:rPr>
        <w:t>3</w:t>
      </w:r>
      <w:r>
        <w:rPr>
          <w:b/>
        </w:rPr>
        <w:t>f</w:t>
      </w:r>
      <w:r w:rsidRPr="008F3D62">
        <w:t>,</w:t>
      </w:r>
      <w:r>
        <w:rPr>
          <w:b/>
        </w:rPr>
        <w:t xml:space="preserve"> </w:t>
      </w:r>
      <w:r w:rsidRPr="00EA66C3">
        <w:rPr>
          <w:b/>
        </w:rPr>
        <w:t>Sub-alternative</w:t>
      </w:r>
      <w:r>
        <w:t xml:space="preserve"> </w:t>
      </w:r>
      <w:r w:rsidRPr="00EA66C3">
        <w:rPr>
          <w:b/>
        </w:rPr>
        <w:t>3</w:t>
      </w:r>
      <w:r>
        <w:rPr>
          <w:b/>
        </w:rPr>
        <w:t>c</w:t>
      </w:r>
      <w:r w:rsidRPr="008F3D62">
        <w:t>,</w:t>
      </w:r>
      <w:r>
        <w:t xml:space="preserve"> and </w:t>
      </w:r>
      <w:r w:rsidRPr="00EA66C3">
        <w:rPr>
          <w:b/>
        </w:rPr>
        <w:t xml:space="preserve">Sub-alternative </w:t>
      </w:r>
      <w:r>
        <w:rPr>
          <w:b/>
        </w:rPr>
        <w:t>3d</w:t>
      </w:r>
      <w:r>
        <w:t>.</w:t>
      </w:r>
    </w:p>
    <w:p w14:paraId="12EF72BE" w14:textId="77777777" w:rsidR="0031146B" w:rsidRDefault="0031146B" w:rsidP="003F17D4">
      <w:pPr>
        <w:ind w:firstLine="360"/>
        <w:rPr>
          <w:bCs/>
        </w:rPr>
      </w:pPr>
    </w:p>
    <w:p w14:paraId="052F2D7F" w14:textId="29A4D88E" w:rsidR="009A0ACD" w:rsidRPr="009A0ACD" w:rsidRDefault="009A0ACD" w:rsidP="009A0ACD">
      <w:pPr>
        <w:ind w:firstLine="360"/>
        <w:contextualSpacing/>
      </w:pPr>
      <w:r>
        <w:t>The social effects of establishing a trip limit during “non-spawning” months (</w:t>
      </w:r>
      <w:r w:rsidRPr="009A0ACD">
        <w:rPr>
          <w:b/>
        </w:rPr>
        <w:t xml:space="preserve">Preferred </w:t>
      </w:r>
      <w:r>
        <w:rPr>
          <w:b/>
        </w:rPr>
        <w:t>Alternative 2</w:t>
      </w:r>
      <w:r>
        <w:t xml:space="preserve">) would depend on the level of landings of mutton for commercial trips in recent years.  In general, most trips land less than 300 lbs </w:t>
      </w:r>
      <w:r w:rsidR="002428A3">
        <w:t xml:space="preserve">ww </w:t>
      </w:r>
      <w:r>
        <w:t xml:space="preserve">of mutton snapper, and a large proportion lands under 50 lbs </w:t>
      </w:r>
      <w:r w:rsidR="002428A3">
        <w:t xml:space="preserve">ww </w:t>
      </w:r>
      <w:r>
        <w:t>per trip (</w:t>
      </w:r>
      <w:r w:rsidRPr="003C618D">
        <w:rPr>
          <w:b/>
        </w:rPr>
        <w:t>Figure 4.8.3</w:t>
      </w:r>
      <w:r>
        <w:t xml:space="preserve">).  This suggests that mutton snapper are part of a varied catch combination on commercial trips.  The expected effects on commercial fishermen on trips targeting mutton snapper (likely along with several other species on the same trip) under </w:t>
      </w:r>
      <w:r>
        <w:rPr>
          <w:b/>
        </w:rPr>
        <w:t xml:space="preserve">Preferred Alternative 2 </w:t>
      </w:r>
      <w:r w:rsidRPr="009A0ACD">
        <w:t>and its sub-alternatives</w:t>
      </w:r>
      <w:r>
        <w:t xml:space="preserve"> are expected to be minimal to none.  Even with a </w:t>
      </w:r>
      <w:r w:rsidR="00D6611E">
        <w:t>trip</w:t>
      </w:r>
      <w:r>
        <w:t xml:space="preserve"> limit proposed under </w:t>
      </w:r>
      <w:r>
        <w:rPr>
          <w:b/>
        </w:rPr>
        <w:t>Sub-a</w:t>
      </w:r>
      <w:r w:rsidRPr="003C618D">
        <w:rPr>
          <w:b/>
        </w:rPr>
        <w:t>lternative</w:t>
      </w:r>
      <w:r>
        <w:rPr>
          <w:b/>
        </w:rPr>
        <w:t>s</w:t>
      </w:r>
      <w:r w:rsidRPr="003C618D">
        <w:rPr>
          <w:b/>
        </w:rPr>
        <w:t xml:space="preserve"> 3</w:t>
      </w:r>
      <w:r>
        <w:rPr>
          <w:b/>
        </w:rPr>
        <w:t>a-3</w:t>
      </w:r>
      <w:r w:rsidR="007576E8">
        <w:rPr>
          <w:b/>
        </w:rPr>
        <w:t>f (Preferred)</w:t>
      </w:r>
      <w:r>
        <w:t xml:space="preserve">, there would likely be minimal effects on commercial fishermen on trips targeting mutton snapper (likely as part of multi-species trips).  </w:t>
      </w:r>
      <w:r>
        <w:rPr>
          <w:b/>
        </w:rPr>
        <w:t xml:space="preserve">Sub-alternative 3e </w:t>
      </w:r>
      <w:r>
        <w:t xml:space="preserve">would be the most restrictive and could have negative effects on commercial vessels if mutton snapper is a primary target species, but would not be expected to have more than minimal effects for most commercial fishermen.  </w:t>
      </w:r>
      <w:r w:rsidR="0071057A">
        <w:rPr>
          <w:rFonts w:eastAsia="Calibri"/>
        </w:rPr>
        <w:t xml:space="preserve">The lower vessel limits would have more negative effects for vessels with more people on board; so (after no retention under </w:t>
      </w:r>
      <w:r w:rsidR="0071057A">
        <w:rPr>
          <w:rFonts w:eastAsia="Calibri"/>
          <w:b/>
        </w:rPr>
        <w:t xml:space="preserve">Sub-alternative </w:t>
      </w:r>
      <w:r w:rsidR="0071057A" w:rsidRPr="00F96AAA">
        <w:rPr>
          <w:rFonts w:eastAsia="Calibri"/>
          <w:b/>
        </w:rPr>
        <w:t>3e</w:t>
      </w:r>
      <w:r w:rsidR="0071057A">
        <w:rPr>
          <w:rFonts w:eastAsia="Calibri"/>
        </w:rPr>
        <w:t xml:space="preserve">) </w:t>
      </w:r>
      <w:r w:rsidR="0071057A">
        <w:rPr>
          <w:rFonts w:eastAsia="Calibri"/>
          <w:b/>
        </w:rPr>
        <w:t>Sub-alternative 3a</w:t>
      </w:r>
      <w:r w:rsidR="0071057A">
        <w:rPr>
          <w:rFonts w:eastAsia="Calibri"/>
        </w:rPr>
        <w:t xml:space="preserve"> could have the most negative effects due to restrictions on the number of fish that can be landed, followed by </w:t>
      </w:r>
      <w:r w:rsidR="0071057A">
        <w:rPr>
          <w:rFonts w:eastAsia="Calibri"/>
          <w:b/>
        </w:rPr>
        <w:t>Sub-alternative 3b</w:t>
      </w:r>
      <w:r w:rsidR="0071057A">
        <w:rPr>
          <w:rFonts w:eastAsia="Calibri"/>
        </w:rPr>
        <w:t xml:space="preserve">, </w:t>
      </w:r>
      <w:r w:rsidR="0071057A">
        <w:rPr>
          <w:rFonts w:eastAsia="Calibri"/>
          <w:b/>
        </w:rPr>
        <w:t>Preferred Sub-alternative 3f</w:t>
      </w:r>
      <w:r w:rsidR="0071057A" w:rsidRPr="00A91BD6">
        <w:rPr>
          <w:rFonts w:eastAsia="Calibri"/>
        </w:rPr>
        <w:t>,</w:t>
      </w:r>
      <w:r w:rsidR="0071057A">
        <w:rPr>
          <w:rFonts w:eastAsia="Calibri"/>
          <w:b/>
        </w:rPr>
        <w:t xml:space="preserve"> Sub-alternative 3c</w:t>
      </w:r>
      <w:r w:rsidR="0071057A">
        <w:rPr>
          <w:rFonts w:eastAsia="Calibri"/>
        </w:rPr>
        <w:t>, and</w:t>
      </w:r>
      <w:r w:rsidR="0071057A" w:rsidRPr="007D26F2">
        <w:rPr>
          <w:rFonts w:eastAsia="Calibri"/>
          <w:b/>
        </w:rPr>
        <w:t xml:space="preserve"> </w:t>
      </w:r>
      <w:r w:rsidR="0071057A">
        <w:rPr>
          <w:rFonts w:eastAsia="Calibri"/>
          <w:b/>
        </w:rPr>
        <w:t>Sub-alternative 3d</w:t>
      </w:r>
      <w:r w:rsidR="0071057A" w:rsidRPr="005509FB">
        <w:rPr>
          <w:rFonts w:eastAsia="Calibri"/>
        </w:rPr>
        <w:t>.</w:t>
      </w:r>
      <w:r w:rsidR="0071057A">
        <w:rPr>
          <w:rFonts w:eastAsia="Calibri"/>
          <w:b/>
        </w:rPr>
        <w:t xml:space="preserve">  </w:t>
      </w:r>
      <w:r w:rsidR="0071057A">
        <w:rPr>
          <w:rFonts w:eastAsia="Calibri"/>
        </w:rPr>
        <w:t>However, under current fishery conditions, it is likely that only a limit that would result in 4 or less fish per vessel per trip (</w:t>
      </w:r>
      <w:r w:rsidR="0071057A">
        <w:rPr>
          <w:rFonts w:eastAsia="Calibri"/>
          <w:b/>
        </w:rPr>
        <w:t xml:space="preserve">Sub-alternatives 3a </w:t>
      </w:r>
      <w:r w:rsidR="0071057A">
        <w:rPr>
          <w:rFonts w:eastAsia="Calibri"/>
        </w:rPr>
        <w:t xml:space="preserve">and </w:t>
      </w:r>
      <w:r w:rsidR="0071057A">
        <w:rPr>
          <w:rFonts w:eastAsia="Calibri"/>
          <w:b/>
        </w:rPr>
        <w:t>3b</w:t>
      </w:r>
      <w:r w:rsidR="0071057A">
        <w:rPr>
          <w:rFonts w:eastAsia="Calibri"/>
        </w:rPr>
        <w:t>) could have negative effects on commercial fishermen, and those would be minimal effects.</w:t>
      </w:r>
    </w:p>
    <w:p w14:paraId="12E5D743" w14:textId="77777777" w:rsidR="009A0ACD" w:rsidRDefault="009A0ACD" w:rsidP="003F17D4">
      <w:pPr>
        <w:ind w:firstLine="360"/>
        <w:rPr>
          <w:bCs/>
        </w:rPr>
        <w:sectPr w:rsidR="009A0ACD" w:rsidSect="00C40BDA">
          <w:pgSz w:w="12240" w:h="15840"/>
          <w:pgMar w:top="1440" w:right="1440" w:bottom="1440" w:left="1440" w:header="720" w:footer="720" w:gutter="0"/>
          <w:cols w:space="720"/>
          <w:docGrid w:linePitch="360"/>
        </w:sectPr>
      </w:pPr>
    </w:p>
    <w:p w14:paraId="7B591ADA" w14:textId="77777777" w:rsidR="008D0B8B" w:rsidRPr="00532ABB" w:rsidRDefault="008D0B8B" w:rsidP="00D71AB1">
      <w:pPr>
        <w:pStyle w:val="Heading1"/>
        <w:rPr>
          <w:rStyle w:val="Heading3Char"/>
          <w:rFonts w:ascii="Times New Roman" w:hAnsi="Times New Roman" w:cs="Times New Roman"/>
          <w:b/>
          <w:bCs/>
          <w:kern w:val="0"/>
        </w:rPr>
      </w:pPr>
      <w:bookmarkStart w:id="87" w:name="_Toc361410392"/>
      <w:bookmarkStart w:id="88" w:name="_Toc339811714"/>
      <w:r w:rsidRPr="00532ABB">
        <w:rPr>
          <w:rStyle w:val="Heading3Char"/>
          <w:rFonts w:ascii="Times New Roman" w:hAnsi="Times New Roman" w:cs="Times New Roman"/>
          <w:b/>
          <w:bCs/>
          <w:color w:val="8DB3E2"/>
          <w:sz w:val="36"/>
          <w:szCs w:val="36"/>
        </w:rPr>
        <w:lastRenderedPageBreak/>
        <w:t>Chapter 3.</w:t>
      </w:r>
      <w:r w:rsidRPr="00532ABB">
        <w:rPr>
          <w:rStyle w:val="Heading3Char"/>
          <w:rFonts w:ascii="Times New Roman" w:hAnsi="Times New Roman" w:cs="Times New Roman"/>
          <w:b/>
          <w:bCs/>
          <w:sz w:val="40"/>
          <w:szCs w:val="40"/>
        </w:rPr>
        <w:t xml:space="preserve">  </w:t>
      </w:r>
      <w:r w:rsidRPr="00532ABB">
        <w:rPr>
          <w:rStyle w:val="Heading3Char"/>
          <w:rFonts w:ascii="Times New Roman" w:hAnsi="Times New Roman" w:cs="Times New Roman"/>
          <w:b/>
          <w:bCs/>
          <w:color w:val="548DD4"/>
          <w:sz w:val="56"/>
          <w:szCs w:val="56"/>
        </w:rPr>
        <w:t>Affected Environment</w:t>
      </w:r>
      <w:bookmarkEnd w:id="62"/>
      <w:bookmarkEnd w:id="87"/>
      <w:bookmarkEnd w:id="88"/>
    </w:p>
    <w:p w14:paraId="24680F9D" w14:textId="77777777" w:rsidR="0089666E" w:rsidRDefault="0089666E" w:rsidP="00D71AB1"/>
    <w:p w14:paraId="472BBB99" w14:textId="77777777" w:rsidR="008D0B8B" w:rsidRDefault="008D0B8B" w:rsidP="00D71AB1">
      <w:pPr>
        <w:ind w:firstLine="360"/>
      </w:pPr>
      <w:r w:rsidRPr="00532ABB">
        <w:t>This section describes the affected environment in the proposed project area.  The affected environment is divided into four major components:</w:t>
      </w:r>
    </w:p>
    <w:p w14:paraId="73C8B3F2" w14:textId="77777777" w:rsidR="0089666E" w:rsidRDefault="0089666E" w:rsidP="00D71AB1">
      <w:r>
        <w:rPr>
          <w:noProof/>
        </w:rPr>
        <mc:AlternateContent>
          <mc:Choice Requires="wps">
            <w:drawing>
              <wp:anchor distT="0" distB="0" distL="114300" distR="114300" simplePos="0" relativeHeight="251653631" behindDoc="1" locked="0" layoutInCell="1" allowOverlap="1" wp14:anchorId="051C0227" wp14:editId="1E8B3310">
                <wp:simplePos x="0" y="0"/>
                <wp:positionH relativeFrom="column">
                  <wp:posOffset>7620</wp:posOffset>
                </wp:positionH>
                <wp:positionV relativeFrom="paragraph">
                  <wp:posOffset>139700</wp:posOffset>
                </wp:positionV>
                <wp:extent cx="4960620" cy="1981200"/>
                <wp:effectExtent l="0" t="0" r="11430" b="19050"/>
                <wp:wrapNone/>
                <wp:docPr id="8" name="Rectangle 8"/>
                <wp:cNvGraphicFramePr/>
                <a:graphic xmlns:a="http://schemas.openxmlformats.org/drawingml/2006/main">
                  <a:graphicData uri="http://schemas.microsoft.com/office/word/2010/wordprocessingShape">
                    <wps:wsp>
                      <wps:cNvSpPr/>
                      <wps:spPr>
                        <a:xfrm>
                          <a:off x="0" y="0"/>
                          <a:ext cx="4960620" cy="19812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6" style="position:absolute;margin-left:.6pt;margin-top:11pt;width:390.6pt;height:156pt;z-index:-2516628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" fillcolor="#dbe5f1 [660]" strokecolor="#243f60 [1604]" strokeweight="2pt"/>
            </w:pict>
          </mc:Fallback>
        </mc:AlternateContent>
      </w:r>
    </w:p>
    <w:p w14:paraId="75AC432C" w14:textId="77777777" w:rsidR="0089666E" w:rsidRPr="00D809E8" w:rsidRDefault="0089666E" w:rsidP="00D71AB1">
      <w:pPr>
        <w:numPr>
          <w:ilvl w:val="0"/>
          <w:numId w:val="3"/>
        </w:numPr>
        <w:rPr>
          <w:sz w:val="32"/>
          <w:szCs w:val="32"/>
        </w:rPr>
      </w:pPr>
      <w:r w:rsidRPr="00D809E8">
        <w:rPr>
          <w:b/>
          <w:sz w:val="32"/>
          <w:szCs w:val="32"/>
        </w:rPr>
        <w:t>Habitat environment</w:t>
      </w:r>
      <w:r w:rsidRPr="00D809E8">
        <w:rPr>
          <w:sz w:val="32"/>
          <w:szCs w:val="32"/>
        </w:rPr>
        <w:t xml:space="preserve"> (Section 3.1)</w:t>
      </w:r>
    </w:p>
    <w:p w14:paraId="6C99DD5A" w14:textId="77777777" w:rsidR="0089666E" w:rsidRPr="00D809E8" w:rsidRDefault="0089666E" w:rsidP="00D71AB1">
      <w:pPr>
        <w:ind w:left="720"/>
        <w:rPr>
          <w:sz w:val="32"/>
          <w:szCs w:val="32"/>
        </w:rPr>
      </w:pPr>
    </w:p>
    <w:p w14:paraId="65CDB4F6" w14:textId="77777777" w:rsidR="0089666E" w:rsidRPr="00D809E8" w:rsidRDefault="0089666E" w:rsidP="00D71AB1">
      <w:pPr>
        <w:numPr>
          <w:ilvl w:val="0"/>
          <w:numId w:val="3"/>
        </w:numPr>
        <w:rPr>
          <w:sz w:val="32"/>
          <w:szCs w:val="32"/>
        </w:rPr>
      </w:pPr>
      <w:r w:rsidRPr="00D809E8">
        <w:rPr>
          <w:b/>
          <w:sz w:val="32"/>
          <w:szCs w:val="32"/>
        </w:rPr>
        <w:t xml:space="preserve">Biological </w:t>
      </w:r>
      <w:r w:rsidR="007833A3" w:rsidRPr="00D809E8">
        <w:rPr>
          <w:b/>
          <w:sz w:val="32"/>
          <w:szCs w:val="32"/>
        </w:rPr>
        <w:t xml:space="preserve">and Ecological </w:t>
      </w:r>
      <w:r w:rsidRPr="00D809E8">
        <w:rPr>
          <w:b/>
          <w:sz w:val="32"/>
          <w:szCs w:val="32"/>
        </w:rPr>
        <w:t>environment</w:t>
      </w:r>
      <w:r w:rsidRPr="00D809E8">
        <w:rPr>
          <w:sz w:val="32"/>
          <w:szCs w:val="32"/>
        </w:rPr>
        <w:t xml:space="preserve"> (Section 3.2)</w:t>
      </w:r>
    </w:p>
    <w:p w14:paraId="1FA43788" w14:textId="77777777" w:rsidR="0089666E" w:rsidRPr="00D809E8" w:rsidRDefault="0089666E" w:rsidP="00D71AB1">
      <w:pPr>
        <w:rPr>
          <w:sz w:val="32"/>
          <w:szCs w:val="32"/>
        </w:rPr>
      </w:pPr>
    </w:p>
    <w:p w14:paraId="79F3210A" w14:textId="77777777" w:rsidR="0089666E" w:rsidRPr="00D809E8" w:rsidRDefault="002A6F41" w:rsidP="00D71AB1">
      <w:pPr>
        <w:numPr>
          <w:ilvl w:val="0"/>
          <w:numId w:val="3"/>
        </w:numPr>
        <w:rPr>
          <w:sz w:val="32"/>
          <w:szCs w:val="32"/>
        </w:rPr>
      </w:pPr>
      <w:r w:rsidRPr="00D809E8">
        <w:rPr>
          <w:b/>
          <w:sz w:val="32"/>
          <w:szCs w:val="32"/>
        </w:rPr>
        <w:t>Economic and Social</w:t>
      </w:r>
      <w:r w:rsidR="0089666E" w:rsidRPr="00D809E8">
        <w:rPr>
          <w:b/>
          <w:sz w:val="32"/>
          <w:szCs w:val="32"/>
        </w:rPr>
        <w:t xml:space="preserve"> environment</w:t>
      </w:r>
      <w:r w:rsidR="0089666E" w:rsidRPr="00D809E8">
        <w:rPr>
          <w:sz w:val="32"/>
          <w:szCs w:val="32"/>
        </w:rPr>
        <w:t xml:space="preserve"> (Sections 3.3)</w:t>
      </w:r>
    </w:p>
    <w:p w14:paraId="7F476527" w14:textId="77777777" w:rsidR="0089666E" w:rsidRPr="00D809E8" w:rsidRDefault="0089666E" w:rsidP="00D71AB1">
      <w:pPr>
        <w:rPr>
          <w:sz w:val="32"/>
          <w:szCs w:val="32"/>
        </w:rPr>
      </w:pPr>
    </w:p>
    <w:p w14:paraId="7100985A" w14:textId="77777777" w:rsidR="0089666E" w:rsidRPr="00D809E8" w:rsidRDefault="0089666E" w:rsidP="00D71AB1">
      <w:pPr>
        <w:numPr>
          <w:ilvl w:val="0"/>
          <w:numId w:val="3"/>
        </w:numPr>
        <w:rPr>
          <w:sz w:val="32"/>
          <w:szCs w:val="32"/>
        </w:rPr>
      </w:pPr>
      <w:r w:rsidRPr="00D809E8">
        <w:rPr>
          <w:b/>
          <w:sz w:val="32"/>
          <w:szCs w:val="32"/>
        </w:rPr>
        <w:t>Administrative environment</w:t>
      </w:r>
      <w:r w:rsidRPr="00D809E8">
        <w:rPr>
          <w:sz w:val="32"/>
          <w:szCs w:val="32"/>
        </w:rPr>
        <w:t xml:space="preserve"> (Section 3.4)</w:t>
      </w:r>
    </w:p>
    <w:p w14:paraId="3EE1B965" w14:textId="77777777" w:rsidR="0089666E" w:rsidRPr="00532ABB" w:rsidRDefault="0089666E" w:rsidP="00D71AB1"/>
    <w:p w14:paraId="7492258A" w14:textId="77777777" w:rsidR="008D0B8B" w:rsidRPr="00532ABB" w:rsidRDefault="008D0B8B" w:rsidP="00D71AB1"/>
    <w:p w14:paraId="7BA4AA4C" w14:textId="410EFCFF" w:rsidR="000F0C9F" w:rsidRPr="00676C26" w:rsidRDefault="00E7443C" w:rsidP="00676C26">
      <w:pPr>
        <w:pStyle w:val="Heading2"/>
        <w:rPr>
          <w:rFonts w:ascii="Arial" w:hAnsi="Arial" w:cs="Arial"/>
        </w:rPr>
      </w:pPr>
      <w:bookmarkStart w:id="89" w:name="_Toc304879961"/>
      <w:bookmarkStart w:id="90" w:name="_Toc361410393"/>
      <w:bookmarkStart w:id="91" w:name="_Toc339811715"/>
      <w:r w:rsidRPr="00FC6516">
        <w:rPr>
          <w:rFonts w:ascii="Arial" w:hAnsi="Arial" w:cs="Arial"/>
        </w:rPr>
        <w:t>3.1</w:t>
      </w:r>
      <w:r w:rsidRPr="00FC6516">
        <w:rPr>
          <w:rFonts w:ascii="Arial" w:hAnsi="Arial" w:cs="Arial"/>
        </w:rPr>
        <w:tab/>
        <w:t>Habitat Environment</w:t>
      </w:r>
      <w:bookmarkEnd w:id="89"/>
      <w:bookmarkEnd w:id="90"/>
      <w:bookmarkEnd w:id="91"/>
    </w:p>
    <w:p w14:paraId="7726128D" w14:textId="77777777" w:rsidR="004B2864" w:rsidRPr="004B2864" w:rsidRDefault="004B2864" w:rsidP="00D71AB1">
      <w:pPr>
        <w:keepNext/>
        <w:spacing w:before="240" w:after="60"/>
        <w:outlineLvl w:val="1"/>
        <w:rPr>
          <w:rFonts w:ascii="Arial" w:hAnsi="Arial" w:cs="Arial"/>
          <w:b/>
          <w:bCs/>
          <w:iCs/>
          <w:sz w:val="28"/>
          <w:szCs w:val="28"/>
        </w:rPr>
      </w:pPr>
      <w:bookmarkStart w:id="92" w:name="_Toc383187593"/>
      <w:r w:rsidRPr="004B2864">
        <w:rPr>
          <w:rFonts w:ascii="Arial" w:hAnsi="Arial" w:cs="Arial"/>
          <w:b/>
          <w:bCs/>
          <w:iCs/>
          <w:sz w:val="28"/>
          <w:szCs w:val="28"/>
        </w:rPr>
        <w:t>3.1.1</w:t>
      </w:r>
      <w:r w:rsidRPr="004B2864">
        <w:rPr>
          <w:rFonts w:ascii="Arial" w:hAnsi="Arial" w:cs="Arial"/>
          <w:b/>
          <w:bCs/>
          <w:iCs/>
          <w:sz w:val="28"/>
          <w:szCs w:val="28"/>
        </w:rPr>
        <w:tab/>
        <w:t>Inshore/Estuarine Habitat</w:t>
      </w:r>
      <w:bookmarkEnd w:id="92"/>
    </w:p>
    <w:p w14:paraId="0AA2AFA0" w14:textId="1BC94A75" w:rsidR="004B2864" w:rsidRDefault="004B2864" w:rsidP="00D71AB1">
      <w:pPr>
        <w:ind w:firstLine="360"/>
      </w:pPr>
      <w:r w:rsidRPr="004B2864">
        <w:t xml:space="preserve">Many snapper grouper species utilize both pelagic and benthic habitats during several stages of their life histories; larval stages of these species live in the water column and feed on plankton.  Most juveniles and adults are demersal (bottom dwellers) and associate with hard structures on the continental shelf that have moderate to high relief (e.g., coral reef systems and artificial reef structures, rocky hard-bottom substrates, ledges and caves, sloping soft-bottom areas, and limestone outcroppings).  Juvenile stages of some snapper grouper species also utilize inshore seagrass beds, mangrove estuaries, lagoons, oyster reefs, and embayment systems.  In many species, various combinations of these habitats may be utilized during daytime feeding migrations or seasonal shifts in cross-shelf distributions.  Additional information on the habitat utilized by species in the Snapper Grouper Complex is included in Volume II of the Fishery Ecosystem Plan (FEP; SAFMC 2009b) and incorporated here by reference.  The FEP can be found at: </w:t>
      </w:r>
      <w:hyperlink r:id="rId38" w:history="1">
        <w:r w:rsidRPr="004B2864">
          <w:rPr>
            <w:color w:val="0000FF"/>
            <w:u w:val="single"/>
          </w:rPr>
          <w:t>http://www.safmc.net/ecosystem-management/fishery-ecosystem-plan-1</w:t>
        </w:r>
      </w:hyperlink>
      <w:r w:rsidRPr="004B2864">
        <w:t>.</w:t>
      </w:r>
      <w:r w:rsidR="00AE3C2C">
        <w:t xml:space="preserve">  The life history of mutton snapper is summarized in </w:t>
      </w:r>
      <w:r w:rsidR="00AE3C2C" w:rsidRPr="00AE3C2C">
        <w:rPr>
          <w:b/>
        </w:rPr>
        <w:t>Section 3.2.1</w:t>
      </w:r>
      <w:r w:rsidR="00AE3C2C">
        <w:t>.</w:t>
      </w:r>
    </w:p>
    <w:p w14:paraId="026C28BE" w14:textId="77777777" w:rsidR="00954826" w:rsidRPr="004B2864" w:rsidRDefault="00954826" w:rsidP="00D71AB1">
      <w:pPr>
        <w:ind w:firstLine="360"/>
      </w:pPr>
    </w:p>
    <w:p w14:paraId="1E383F1B" w14:textId="77777777" w:rsidR="004B2864" w:rsidRPr="004B2864" w:rsidRDefault="004B2864" w:rsidP="00D71AB1">
      <w:pPr>
        <w:keepNext/>
        <w:spacing w:before="240" w:after="60"/>
        <w:outlineLvl w:val="1"/>
        <w:rPr>
          <w:rFonts w:ascii="Arial" w:hAnsi="Arial" w:cs="Arial"/>
          <w:b/>
          <w:bCs/>
          <w:iCs/>
          <w:sz w:val="28"/>
          <w:szCs w:val="28"/>
        </w:rPr>
      </w:pPr>
      <w:bookmarkStart w:id="93" w:name="_Toc383187594"/>
      <w:r w:rsidRPr="004B2864">
        <w:rPr>
          <w:rFonts w:ascii="Arial" w:hAnsi="Arial" w:cs="Arial"/>
          <w:b/>
          <w:bCs/>
          <w:iCs/>
          <w:sz w:val="28"/>
          <w:szCs w:val="28"/>
        </w:rPr>
        <w:t>3.1.2</w:t>
      </w:r>
      <w:r w:rsidRPr="004B2864">
        <w:rPr>
          <w:rFonts w:ascii="Arial" w:hAnsi="Arial" w:cs="Arial"/>
          <w:b/>
          <w:bCs/>
          <w:iCs/>
          <w:sz w:val="28"/>
          <w:szCs w:val="28"/>
        </w:rPr>
        <w:tab/>
        <w:t>Offshore Habitat</w:t>
      </w:r>
      <w:bookmarkEnd w:id="93"/>
    </w:p>
    <w:p w14:paraId="6ED9A833" w14:textId="6917C075" w:rsidR="004B2864" w:rsidRPr="004B2864" w:rsidRDefault="004B2864" w:rsidP="00D71AB1">
      <w:pPr>
        <w:ind w:firstLine="360"/>
      </w:pPr>
      <w:r w:rsidRPr="004B2864">
        <w:t xml:space="preserve">Predominant snapper grouper offshore fishing areas are located in live bottom and shelf-edge habitats where water temperatures range from 11º to 27º C (52º to 81º F) due to the proximity of the Gulf Stream, with lower shelf habitat temperatures varying from 11º to 14º C (52º to 57º F).  Water depths range from 16 to </w:t>
      </w:r>
      <w:r w:rsidR="008109B7">
        <w:t>55 meters (54 to 180</w:t>
      </w:r>
      <w:r w:rsidRPr="004B2864">
        <w:t xml:space="preserve"> ft) or greater for live-bottom habitats, 55 to 110 meters (180 to 360 ft) for the shelf-edge habitat, and from 110 to 183 meters (360 to 600 ft) for lower-shelf habitat areas.</w:t>
      </w:r>
    </w:p>
    <w:p w14:paraId="2F16B1FA" w14:textId="77777777" w:rsidR="004B2864" w:rsidRPr="004B2864" w:rsidRDefault="004B2864" w:rsidP="00D71AB1"/>
    <w:p w14:paraId="14B68AA1" w14:textId="7773CA95" w:rsidR="004B2864" w:rsidRPr="004B2864" w:rsidRDefault="004B2864" w:rsidP="00D71AB1">
      <w:pPr>
        <w:ind w:firstLine="360"/>
      </w:pPr>
      <w:r w:rsidRPr="00A420FF">
        <w:lastRenderedPageBreak/>
        <w:t xml:space="preserve">The exact extent and distribution of productive snapper grouper habitat </w:t>
      </w:r>
      <w:r w:rsidR="00A420FF" w:rsidRPr="00A420FF">
        <w:t>in South Atlantic contin</w:t>
      </w:r>
      <w:r w:rsidR="00C02D02">
        <w:t>ental shelf habitats is unknown</w:t>
      </w:r>
      <w:r w:rsidRPr="00A420FF">
        <w:t>.</w:t>
      </w:r>
      <w:r w:rsidRPr="004B2864">
        <w:t xml:space="preserve">  Current data suggest from 3</w:t>
      </w:r>
      <w:r w:rsidR="00C02D02">
        <w:t>%</w:t>
      </w:r>
      <w:r w:rsidRPr="004B2864">
        <w:t xml:space="preserve"> to 30% of the shelf is suitable habitat for these species.  These live-bottom habitats may include low relief areas, supporting sparse to moderate growth of sessile (permanently attached) invertebrates, moderate relief reefs from 0.5 to 2 meters (1.6 to 6.6 ft), or high relief ridges at or near the shelf break consisting of outcrops of rock that are heavily encrusted with sessile invertebrates such as sponges and sea fan species.  Live-bottom habitat is scattered irregularly over most of the shelf north of Cape Canaveral</w:t>
      </w:r>
      <w:r w:rsidR="00880CF7">
        <w:t xml:space="preserve"> </w:t>
      </w:r>
      <w:r w:rsidRPr="004B2864">
        <w:t>but is most abundant offshore from northeastern Florida.  South of Cape Canaveral the continental shelf narrows from 56 to 16 kilometers (35 to 10 mi) wide off the southeast coast of Florida and the Florida Keys.  The lack of a large shelf area, presence of extensive, rugged living fossil coral reefs, and dominance of a tropical Caribbean fauna are distinctive benthic characteristics of this area.</w:t>
      </w:r>
    </w:p>
    <w:p w14:paraId="39F10EEA" w14:textId="77777777" w:rsidR="004B2864" w:rsidRPr="004B2864" w:rsidRDefault="004B2864" w:rsidP="00D71AB1">
      <w:pPr>
        <w:ind w:firstLine="360"/>
      </w:pPr>
    </w:p>
    <w:p w14:paraId="6FD60B56" w14:textId="77777777" w:rsidR="004B2864" w:rsidRPr="004B2864" w:rsidRDefault="004B2864" w:rsidP="00D71AB1">
      <w:pPr>
        <w:ind w:firstLine="360"/>
      </w:pPr>
      <w:r w:rsidRPr="004B2864">
        <w:t>Rock outcroppings occur throughout the continental shelf from Cape Hatteras, North Carolina to Key West, Florida (MacIntyre and Milliman 1970; Miller and Richards 1979; Parker et al. 1983), which are principally composed of limestone and carbonate sandstone (Newton et al. 1971), and exhibit vertical relief ranging from less than 0.5 to over 10 meters (33 ft).  Ledge systems formed by rock outcrops and piles of irregularly sized boulders are also common.  Parker et al. (1983) estimated that 24% (9,443 km</w:t>
      </w:r>
      <w:r w:rsidRPr="004B2864">
        <w:rPr>
          <w:vertAlign w:val="superscript"/>
        </w:rPr>
        <w:t>2</w:t>
      </w:r>
      <w:r w:rsidRPr="004B2864">
        <w:t>) of the area between the 27 and 101 meter (89 and 331 ft) depth contours from Cape Hatteras, North Carolina to Cape Canaveral, Florida is reef habitat.  Although the bottom communities found in water depths between 100 and 300 meters (328 and 984 ft) from Cape Hatteras, North Carolina to Key West, Florida is relatively small compared to the whole shelf, this area, based upon landing information of fishers, constitutes prime reef fish habitat and probably significantly contributes to the total amount of reef habitat in this region.</w:t>
      </w:r>
    </w:p>
    <w:p w14:paraId="017DC467" w14:textId="77777777" w:rsidR="004B2864" w:rsidRPr="004B2864" w:rsidRDefault="004B2864" w:rsidP="00D71AB1">
      <w:pPr>
        <w:ind w:firstLine="360"/>
      </w:pPr>
    </w:p>
    <w:p w14:paraId="50E45518" w14:textId="77777777" w:rsidR="004B2864" w:rsidRPr="004B2864" w:rsidRDefault="004B2864" w:rsidP="00D71AB1">
      <w:pPr>
        <w:ind w:firstLine="360"/>
      </w:pPr>
      <w:r w:rsidRPr="004B2864">
        <w:t xml:space="preserve">Artificial reef structures are also utilized to attract fish and increase fish harvests; however, research on artificial reefs is limited and opinions differ as to whether or not these structures promote an increase of ecological biomass or merely concentrate fishes by attracting them from nearby, natural un-vegetated areas of little or no relief.  There are several notable shipwrecks along the southeast coast in state and federal waters including </w:t>
      </w:r>
      <w:r w:rsidRPr="00C02D02">
        <w:rPr>
          <w:i/>
        </w:rPr>
        <w:t>Lofthus</w:t>
      </w:r>
      <w:r w:rsidRPr="004B2864">
        <w:t xml:space="preserve"> (eastern Florida), </w:t>
      </w:r>
      <w:r w:rsidRPr="00C02D02">
        <w:rPr>
          <w:i/>
        </w:rPr>
        <w:t>SS Copenhagen</w:t>
      </w:r>
      <w:r w:rsidRPr="004B2864">
        <w:t xml:space="preserve"> (southeast Florida), </w:t>
      </w:r>
      <w:r w:rsidRPr="00C02D02">
        <w:rPr>
          <w:i/>
        </w:rPr>
        <w:t>Half Moon</w:t>
      </w:r>
      <w:r w:rsidRPr="004B2864">
        <w:t xml:space="preserve"> (southeast Florida), </w:t>
      </w:r>
      <w:r w:rsidRPr="00C02D02">
        <w:rPr>
          <w:i/>
        </w:rPr>
        <w:t>Hebe</w:t>
      </w:r>
      <w:r w:rsidRPr="004B2864">
        <w:t xml:space="preserve"> (Myrtle Beach, South Carolina), </w:t>
      </w:r>
      <w:r w:rsidRPr="00C02D02">
        <w:rPr>
          <w:i/>
        </w:rPr>
        <w:t>Georgiana</w:t>
      </w:r>
      <w:r w:rsidRPr="004B2864">
        <w:t xml:space="preserve"> (Charleston, South Carolina), </w:t>
      </w:r>
      <w:r w:rsidRPr="00C02D02">
        <w:rPr>
          <w:i/>
        </w:rPr>
        <w:t>U.S.S. Monitor</w:t>
      </w:r>
      <w:r w:rsidRPr="004B2864">
        <w:t xml:space="preserve"> (Cape Hatteras, North Carolina), </w:t>
      </w:r>
      <w:r w:rsidRPr="00C02D02">
        <w:rPr>
          <w:i/>
        </w:rPr>
        <w:t>Huron</w:t>
      </w:r>
      <w:r w:rsidRPr="004B2864">
        <w:t xml:space="preserve"> (Nags Head, North Carolina), and </w:t>
      </w:r>
      <w:r w:rsidRPr="00C02D02">
        <w:rPr>
          <w:i/>
        </w:rPr>
        <w:t>Metropolis</w:t>
      </w:r>
      <w:r w:rsidRPr="004B2864">
        <w:t xml:space="preserve"> (Corolla, North Carolina).</w:t>
      </w:r>
    </w:p>
    <w:p w14:paraId="62A163F7" w14:textId="77777777" w:rsidR="004B2864" w:rsidRPr="004B2864" w:rsidRDefault="004B2864" w:rsidP="00D71AB1">
      <w:pPr>
        <w:ind w:firstLine="360"/>
      </w:pPr>
    </w:p>
    <w:p w14:paraId="6484F5C3" w14:textId="02ECB769" w:rsidR="004B2864" w:rsidRPr="004B2864" w:rsidRDefault="004B2864" w:rsidP="00D71AB1">
      <w:pPr>
        <w:ind w:firstLine="360"/>
      </w:pPr>
      <w:r w:rsidRPr="004B2864">
        <w:t>The distribution of coral and live hard bottom habitat as presented in the Southeast Marine Assessment and Prediction Program (SEAMAP) bottom mapping project is a proxy for the distribution of the species within the snapper grouper complex.  The method used to determine hard bottom habitat relied on the identification of reef obligate species including members of the snapper grouper complex.  The Florida Fish and Wildlife Research Institute (FWRI), using the best available information on the distribution of hard bottom habitat in the South Atlantic region, prepared ArcView maps for the four-state project.  These maps, which consolidate known distribution of coral, hard/live bottom, and artificial reefs as hard bottom, are available on the South Atlantic Council</w:t>
      </w:r>
      <w:r w:rsidR="00954826">
        <w:t>’s</w:t>
      </w:r>
      <w:r w:rsidRPr="004B2864">
        <w:t xml:space="preserve"> online map services provided by</w:t>
      </w:r>
      <w:r w:rsidRPr="004B2864">
        <w:rPr>
          <w:color w:val="1F497D"/>
        </w:rPr>
        <w:t xml:space="preserve"> </w:t>
      </w:r>
      <w:r w:rsidRPr="00C02D02">
        <w:t>th</w:t>
      </w:r>
      <w:r w:rsidRPr="004B2864">
        <w:t>e newly developed SAFMC Habitat and Ecosystem Atlas:</w:t>
      </w:r>
      <w:r w:rsidRPr="004B2864">
        <w:rPr>
          <w:rFonts w:ascii="Verdana" w:hAnsi="Verdana"/>
          <w:sz w:val="18"/>
          <w:szCs w:val="18"/>
        </w:rPr>
        <w:t xml:space="preserve"> </w:t>
      </w:r>
      <w:hyperlink r:id="rId39" w:history="1">
        <w:r w:rsidRPr="004B2864">
          <w:rPr>
            <w:color w:val="0000FF"/>
            <w:u w:val="single"/>
          </w:rPr>
          <w:t>http://ocean.floridamarine.org/safmc_atlas/</w:t>
        </w:r>
      </w:hyperlink>
      <w:r w:rsidRPr="004B2864">
        <w:t>.</w:t>
      </w:r>
      <w:r w:rsidRPr="004B2864">
        <w:rPr>
          <w:rFonts w:ascii="Verdana" w:hAnsi="Verdana"/>
          <w:sz w:val="18"/>
          <w:szCs w:val="18"/>
        </w:rPr>
        <w:t xml:space="preserve">  </w:t>
      </w:r>
      <w:r w:rsidRPr="004B2864">
        <w:t xml:space="preserve">An introduction to the system is found at:  </w:t>
      </w:r>
      <w:hyperlink r:id="rId40" w:history="1">
        <w:r w:rsidRPr="004B2864">
          <w:rPr>
            <w:color w:val="0000FF"/>
            <w:u w:val="single"/>
          </w:rPr>
          <w:t>http://www.safmc.net/ecosystem-management/mapping-and-gis-data</w:t>
        </w:r>
      </w:hyperlink>
      <w:r w:rsidRPr="004B2864">
        <w:t>.</w:t>
      </w:r>
    </w:p>
    <w:p w14:paraId="5BD51D6B" w14:textId="77777777" w:rsidR="004B2864" w:rsidRPr="004B2864" w:rsidRDefault="004B2864" w:rsidP="00D71AB1">
      <w:pPr>
        <w:ind w:firstLine="360"/>
      </w:pPr>
    </w:p>
    <w:p w14:paraId="19D67B13" w14:textId="77777777" w:rsidR="004B2864" w:rsidRDefault="004B2864" w:rsidP="00D71AB1">
      <w:pPr>
        <w:ind w:firstLine="360"/>
      </w:pPr>
      <w:r w:rsidRPr="004B2864">
        <w:t>Plots of the spatial distribution of offshore species were generated from the Marine Resources Monitoring, Assessment, and Prediction Program (MARMAP) data.  The plots serve as point confirmation of the presence of each species within the scope of the sampling program.  These plots, in combination with the hard bottom habitat distributions previously mentioned, can be employed as proxies for offshore snapper grouper complex distributions in the south Atlantic region.  Maps of the distribution of snapper grouper species by gear type based on MARMAP data can also be generated through the South Atlantic Council’s Internet Mapping System at the above address.</w:t>
      </w:r>
    </w:p>
    <w:p w14:paraId="543C3C47" w14:textId="77777777" w:rsidR="00EC1CF5" w:rsidRPr="00954826" w:rsidRDefault="00EC1CF5" w:rsidP="00D71AB1">
      <w:pPr>
        <w:ind w:firstLine="360"/>
      </w:pPr>
    </w:p>
    <w:p w14:paraId="25E1485C" w14:textId="143A2314" w:rsidR="00EC1CF5" w:rsidRDefault="00E22D3B" w:rsidP="00D71AB1">
      <w:pPr>
        <w:ind w:firstLine="360"/>
        <w:rPr>
          <w:color w:val="0000FF"/>
        </w:rPr>
      </w:pPr>
      <w:r w:rsidRPr="000E374B">
        <w:t>Additional i</w:t>
      </w:r>
      <w:r w:rsidR="00EC1CF5" w:rsidRPr="000E374B">
        <w:t xml:space="preserve">nformation on the habitat utilized by </w:t>
      </w:r>
      <w:r w:rsidRPr="000E374B">
        <w:t>snapper grouper</w:t>
      </w:r>
      <w:r w:rsidR="001466EB">
        <w:t xml:space="preserve"> species</w:t>
      </w:r>
      <w:r w:rsidR="00EC1CF5" w:rsidRPr="000E374B">
        <w:t xml:space="preserve"> is included in Volume II of the Fishery Ecosystem Plan (</w:t>
      </w:r>
      <w:r w:rsidR="00AB2619">
        <w:t xml:space="preserve">FEP; </w:t>
      </w:r>
      <w:r w:rsidR="00EC1CF5" w:rsidRPr="000E374B">
        <w:t>SAFMC 2009b).</w:t>
      </w:r>
      <w:r w:rsidR="00AB2619">
        <w:t xml:space="preserve"> </w:t>
      </w:r>
      <w:r w:rsidR="00EC1CF5" w:rsidRPr="000E374B">
        <w:t xml:space="preserve">The FEP can be found at: </w:t>
      </w:r>
      <w:hyperlink r:id="rId41" w:history="1">
        <w:r w:rsidR="001466EB" w:rsidRPr="004B2864">
          <w:rPr>
            <w:color w:val="0000FF"/>
            <w:u w:val="single"/>
          </w:rPr>
          <w:t>http://www.safmc.net/ecosystem-management/fishery-ecosystem-plan-1</w:t>
        </w:r>
      </w:hyperlink>
      <w:r w:rsidR="001466EB" w:rsidRPr="004B2864">
        <w:t>.</w:t>
      </w:r>
    </w:p>
    <w:p w14:paraId="7C71978A" w14:textId="77777777" w:rsidR="00954826" w:rsidRPr="00954826" w:rsidRDefault="00954826" w:rsidP="00D71AB1">
      <w:pPr>
        <w:ind w:firstLine="360"/>
      </w:pPr>
    </w:p>
    <w:p w14:paraId="4EA1BFB9" w14:textId="77777777" w:rsidR="004B2864" w:rsidRPr="004B2864" w:rsidRDefault="004B2864" w:rsidP="00D71AB1">
      <w:pPr>
        <w:keepNext/>
        <w:spacing w:before="240" w:after="60"/>
        <w:outlineLvl w:val="1"/>
        <w:rPr>
          <w:rFonts w:ascii="Arial" w:hAnsi="Arial" w:cs="Arial"/>
          <w:b/>
          <w:bCs/>
          <w:iCs/>
          <w:sz w:val="28"/>
          <w:szCs w:val="28"/>
        </w:rPr>
      </w:pPr>
      <w:bookmarkStart w:id="94" w:name="_Toc313629065"/>
      <w:bookmarkStart w:id="95" w:name="_Toc383187595"/>
      <w:r w:rsidRPr="004B2864">
        <w:rPr>
          <w:rFonts w:ascii="Arial" w:hAnsi="Arial" w:cs="Arial"/>
          <w:b/>
          <w:bCs/>
          <w:iCs/>
          <w:sz w:val="28"/>
          <w:szCs w:val="28"/>
        </w:rPr>
        <w:t>3.1.3</w:t>
      </w:r>
      <w:r w:rsidRPr="004B2864">
        <w:rPr>
          <w:rFonts w:ascii="Arial" w:hAnsi="Arial" w:cs="Arial"/>
          <w:b/>
          <w:bCs/>
          <w:iCs/>
          <w:sz w:val="28"/>
          <w:szCs w:val="28"/>
        </w:rPr>
        <w:tab/>
        <w:t>Essential Fish Habitat</w:t>
      </w:r>
      <w:bookmarkEnd w:id="94"/>
      <w:bookmarkEnd w:id="95"/>
      <w:r w:rsidRPr="004B2864">
        <w:rPr>
          <w:rFonts w:ascii="Arial" w:hAnsi="Arial" w:cs="Arial"/>
          <w:b/>
          <w:bCs/>
          <w:iCs/>
          <w:sz w:val="28"/>
          <w:szCs w:val="28"/>
        </w:rPr>
        <w:t xml:space="preserve"> </w:t>
      </w:r>
    </w:p>
    <w:p w14:paraId="2E44EEEE" w14:textId="77777777" w:rsidR="004B2864" w:rsidRPr="004B2864" w:rsidRDefault="004B2864" w:rsidP="00D71AB1">
      <w:pPr>
        <w:ind w:firstLine="360"/>
      </w:pPr>
      <w:r w:rsidRPr="004B2864">
        <w:t xml:space="preserve">Essential fish habitat (EFH) is defined in the Magnuson-Stevens Fishery Conservation and Management Act (Magnuson-Stevens Act) as “those waters and substrates necessary to fish for spawning, breeding, feeding, or growth to maturity” (16 U.S. C. 1802(10)).  Specific categories of EFH identified in the South Atlantic Bight, which are utilized by federally managed fish and invertebrate species, include both estuarine/inshore and marine/offshore areas.  Specifically, estuarine/inshore EFH includes:  Estuarine emergent and mangrove wetlands, submerged aquatic vegetation, oyster reefs and shell banks, intertidal flats, palustrine emergent and forested systems, aquatic beds, and estuarine water column.  Additionally, marine/offshore EFH includes:  live/hard bottom habitats, coral and coral reefs, artificial and manmade reefs, </w:t>
      </w:r>
      <w:r w:rsidRPr="004B2864">
        <w:rPr>
          <w:i/>
        </w:rPr>
        <w:t>Sargassum</w:t>
      </w:r>
      <w:r w:rsidRPr="004B2864">
        <w:t xml:space="preserve"> species, and marine water column.  </w:t>
      </w:r>
    </w:p>
    <w:p w14:paraId="258EE852" w14:textId="77777777" w:rsidR="004B2864" w:rsidRPr="004B2864" w:rsidRDefault="004B2864" w:rsidP="00D71AB1">
      <w:pPr>
        <w:ind w:firstLine="360"/>
      </w:pPr>
    </w:p>
    <w:p w14:paraId="76734CAE" w14:textId="77777777" w:rsidR="004B2864" w:rsidRPr="004B2864" w:rsidRDefault="004B2864" w:rsidP="00D71AB1">
      <w:pPr>
        <w:ind w:firstLine="360"/>
      </w:pPr>
      <w:r w:rsidRPr="004B2864">
        <w:t xml:space="preserve">EFH utilized by snapper grouper species in this region includes coral reefs, live/hard bottom, submerged aquatic vegetation, artificial reefs, and medium to high profile outcroppings on and around the shelf break zone from shore to at least 183 meters [600 ft (but to at least 2,000 ft for wreckfish)] where the annual water temperature range is sufficiently warm to maintain adult populations of members of this largely tropical fish complex.  EFH includes the spawning area in the water column above the adult habitat and the additional pelagic environment, including </w:t>
      </w:r>
      <w:r w:rsidRPr="004B2864">
        <w:rPr>
          <w:i/>
        </w:rPr>
        <w:t>Sargassum</w:t>
      </w:r>
      <w:r w:rsidRPr="004B2864">
        <w:t>, required for survival of larvae and growth up to and including settlement.  In addition, the Gulf Stream is also EFH because it provides a mechanism to disperse snapper grouper larvae.</w:t>
      </w:r>
      <w:r w:rsidRPr="004B2864">
        <w:cr/>
      </w:r>
    </w:p>
    <w:p w14:paraId="4051A692" w14:textId="77777777" w:rsidR="004B2864" w:rsidRDefault="004B2864" w:rsidP="00D71AB1">
      <w:pPr>
        <w:ind w:firstLine="360"/>
      </w:pPr>
      <w:r w:rsidRPr="004B2864">
        <w:t>For specific life stages of estuarine-dependent and near shore snapper grouper species, EFH includes areas inshore of the 30 meter (100-ft) contour, such as attached macroalgae; submerged rooted vascular plants (seagrasses); estuarine emergent vegetated wetlands (saltmarshes, brackish marsh); tidal creeks; estuarine scrub/shrub (mangrove fringe); oyster reefs and shell banks; unconsolidated bottom (soft sediments); artificial reefs; and coral reefs and live/hard bottom habitats.</w:t>
      </w:r>
    </w:p>
    <w:p w14:paraId="17701685" w14:textId="77777777" w:rsidR="00D50E6A" w:rsidRDefault="00D50E6A" w:rsidP="00D71AB1">
      <w:pPr>
        <w:ind w:firstLine="360"/>
      </w:pPr>
    </w:p>
    <w:p w14:paraId="421C99DF" w14:textId="77777777" w:rsidR="004B2864" w:rsidRPr="004B2864" w:rsidRDefault="004B2864" w:rsidP="00D71AB1">
      <w:pPr>
        <w:ind w:firstLine="360"/>
      </w:pPr>
    </w:p>
    <w:p w14:paraId="5E47EAA2" w14:textId="77777777" w:rsidR="004B2864" w:rsidRPr="004B2864" w:rsidRDefault="004B2864" w:rsidP="00D71AB1">
      <w:pPr>
        <w:keepNext/>
        <w:spacing w:before="240" w:after="60"/>
        <w:outlineLvl w:val="1"/>
        <w:rPr>
          <w:rFonts w:ascii="Arial" w:hAnsi="Arial" w:cs="Arial"/>
          <w:b/>
          <w:bCs/>
          <w:iCs/>
          <w:sz w:val="28"/>
          <w:szCs w:val="28"/>
        </w:rPr>
      </w:pPr>
      <w:bookmarkStart w:id="96" w:name="_Toc305680752"/>
      <w:bookmarkStart w:id="97" w:name="_Toc313629066"/>
      <w:bookmarkStart w:id="98" w:name="_Toc383187596"/>
      <w:r w:rsidRPr="004B2864">
        <w:rPr>
          <w:rFonts w:ascii="Arial" w:hAnsi="Arial" w:cs="Arial"/>
          <w:b/>
          <w:bCs/>
          <w:iCs/>
          <w:sz w:val="28"/>
        </w:rPr>
        <w:lastRenderedPageBreak/>
        <w:t>3.1.4</w:t>
      </w:r>
      <w:bookmarkEnd w:id="96"/>
      <w:r w:rsidRPr="004B2864">
        <w:rPr>
          <w:rFonts w:ascii="Arial" w:hAnsi="Arial" w:cs="Arial"/>
          <w:b/>
          <w:bCs/>
          <w:iCs/>
          <w:sz w:val="28"/>
        </w:rPr>
        <w:t xml:space="preserve">  Habitat Areas of Particular Concern</w:t>
      </w:r>
      <w:bookmarkEnd w:id="97"/>
      <w:bookmarkEnd w:id="98"/>
    </w:p>
    <w:p w14:paraId="080134E7" w14:textId="6B318344" w:rsidR="004B2864" w:rsidRPr="004B2864" w:rsidRDefault="004B2864" w:rsidP="00D71AB1">
      <w:pPr>
        <w:ind w:firstLine="360"/>
      </w:pPr>
      <w:r w:rsidRPr="004B2864">
        <w:t xml:space="preserve">Areas which meet the criteria for Essential Fish Habitat-Habitat Areas of Particular Concern (EFH-HAPCs) for species in the snapper grouper management unit include medium to high profile offshore hard bottoms where spawning normally occurs; localities of known or likely periodic spawning aggregations; near shore hard bottom areas; The Point, The Ten Fathom Ledge, and Big Rock (North Carolina); The Charleston Bump (South Carolina); mangrove habitat; seagrass habitat; oyster/shell habitat; all coastal inlets; all state-designated nursery habitats of particular importance to snapper grouper (e.g., Primary and Secondary Nursery Areas designated in North Carolina); pelagic and benthic </w:t>
      </w:r>
      <w:r w:rsidRPr="004B2864">
        <w:rPr>
          <w:i/>
        </w:rPr>
        <w:t>Sargassum</w:t>
      </w:r>
      <w:r w:rsidRPr="004B2864">
        <w:t>; Hoyt Hills for wreckfish; the Oculina Bank Habitat Area of Particular Concern; all hermatypic coral habitats and reefs; manganese outcroppings on the Blake Plateau; South Atlantic Council-designated Artificial Reef Special Management Zones (SMZs); and deepwater MPAs.  Areas that meet the criteria for EFH-HAPCs include habitats required during each life stage (including egg, larval, postlarval, juvenile, and adult stages).</w:t>
      </w:r>
    </w:p>
    <w:p w14:paraId="3157328C" w14:textId="77777777" w:rsidR="004B2864" w:rsidRPr="004B2864" w:rsidRDefault="004B2864" w:rsidP="00D71AB1">
      <w:pPr>
        <w:ind w:firstLine="360"/>
      </w:pPr>
    </w:p>
    <w:p w14:paraId="793AFA46" w14:textId="302FB97B" w:rsidR="004B2864" w:rsidRDefault="004B2864" w:rsidP="00D71AB1">
      <w:pPr>
        <w:ind w:firstLine="360"/>
      </w:pPr>
      <w:r w:rsidRPr="004B2864">
        <w:t>In addition to protecting habitat from fishing related degradation though fishery management plan regulations, the South Atlantic Council, in cooperation with NMFS, actively comments on non-fishing projects or policies that may impact essential fish habitat.  With guidance from the Habitat Advisory Panel, the South Atlantic Council has developed and approved policies on: energy exploration, development, transportation and hydropower re-licensing; beach dredging and filling and large-scale coastal engineering; protection and enhancement of submerged aquatic vegetation; alterations to riverine, estuarine and near shore flows; offshore aquaculture; and marine and estuarine invasive species.</w:t>
      </w:r>
    </w:p>
    <w:p w14:paraId="66A05254" w14:textId="77777777" w:rsidR="007F2E83" w:rsidRDefault="007F2E83" w:rsidP="00D71AB1"/>
    <w:p w14:paraId="2F8346F2" w14:textId="45CAC89C" w:rsidR="0032199D" w:rsidRPr="001B3C78" w:rsidRDefault="0032199D" w:rsidP="0032199D">
      <w:pPr>
        <w:autoSpaceDE w:val="0"/>
        <w:autoSpaceDN w:val="0"/>
        <w:adjustRightInd w:val="0"/>
        <w:ind w:firstLine="360"/>
      </w:pPr>
      <w:r>
        <w:t xml:space="preserve">The potential impacts the actions in this amendment may have on </w:t>
      </w:r>
      <w:r w:rsidR="00087EBE">
        <w:t xml:space="preserve">EFH, and EFH-HAPCs </w:t>
      </w:r>
      <w:r>
        <w:t xml:space="preserve">are discussed in </w:t>
      </w:r>
      <w:r w:rsidRPr="000E374B">
        <w:rPr>
          <w:b/>
        </w:rPr>
        <w:t>Chapter 4</w:t>
      </w:r>
      <w:r>
        <w:t xml:space="preserve"> of this document.  </w:t>
      </w:r>
    </w:p>
    <w:p w14:paraId="5A457101" w14:textId="77777777" w:rsidR="00E74175" w:rsidRPr="00532ABB" w:rsidRDefault="00E74175" w:rsidP="00D71AB1"/>
    <w:p w14:paraId="33D62C1D" w14:textId="77777777" w:rsidR="00C00EF1" w:rsidRDefault="00C00EF1">
      <w:pPr>
        <w:rPr>
          <w:rFonts w:ascii="Arial" w:hAnsi="Arial" w:cs="Arial"/>
          <w:b/>
          <w:bCs/>
          <w:iCs/>
          <w:sz w:val="28"/>
          <w:szCs w:val="28"/>
        </w:rPr>
      </w:pPr>
      <w:bookmarkStart w:id="99" w:name="_Toc304879966"/>
      <w:bookmarkStart w:id="100" w:name="_Toc361410394"/>
      <w:bookmarkStart w:id="101" w:name="_Toc179262406"/>
      <w:bookmarkStart w:id="102" w:name="_Toc116295921"/>
      <w:bookmarkStart w:id="103" w:name="_Toc122834540"/>
      <w:bookmarkEnd w:id="63"/>
      <w:r>
        <w:rPr>
          <w:rFonts w:ascii="Arial" w:hAnsi="Arial" w:cs="Arial"/>
        </w:rPr>
        <w:br w:type="page"/>
      </w:r>
    </w:p>
    <w:p w14:paraId="350D0AF5" w14:textId="4012FF3A" w:rsidR="008D0B8B" w:rsidRPr="00FC6516" w:rsidRDefault="008D0B8B" w:rsidP="00D71AB1">
      <w:pPr>
        <w:pStyle w:val="Heading2"/>
        <w:rPr>
          <w:rFonts w:ascii="Arial" w:hAnsi="Arial" w:cs="Arial"/>
          <w:i/>
        </w:rPr>
      </w:pPr>
      <w:bookmarkStart w:id="104" w:name="_Toc339811716"/>
      <w:r w:rsidRPr="00FC6516">
        <w:rPr>
          <w:rFonts w:ascii="Arial" w:hAnsi="Arial" w:cs="Arial"/>
        </w:rPr>
        <w:lastRenderedPageBreak/>
        <w:t>3.2</w:t>
      </w:r>
      <w:r w:rsidRPr="00FC6516">
        <w:rPr>
          <w:rFonts w:ascii="Arial" w:hAnsi="Arial" w:cs="Arial"/>
        </w:rPr>
        <w:tab/>
        <w:t>Biological and Ecological Environment</w:t>
      </w:r>
      <w:bookmarkEnd w:id="99"/>
      <w:bookmarkEnd w:id="100"/>
      <w:bookmarkEnd w:id="104"/>
      <w:r w:rsidRPr="00FC6516">
        <w:rPr>
          <w:rFonts w:ascii="Arial" w:hAnsi="Arial" w:cs="Arial"/>
        </w:rPr>
        <w:t xml:space="preserve"> </w:t>
      </w:r>
    </w:p>
    <w:p w14:paraId="1ADA48BE" w14:textId="77777777" w:rsidR="00D92BEF" w:rsidRPr="001B3C78" w:rsidRDefault="00D92BEF" w:rsidP="00D92BEF">
      <w:pPr>
        <w:pStyle w:val="Heading3"/>
        <w:rPr>
          <w:sz w:val="28"/>
          <w:szCs w:val="28"/>
        </w:rPr>
      </w:pPr>
      <w:bookmarkStart w:id="105" w:name="_Toc304879967"/>
      <w:bookmarkStart w:id="106" w:name="_Toc361410395"/>
      <w:bookmarkStart w:id="107" w:name="_Toc339811717"/>
      <w:bookmarkStart w:id="108" w:name="_Toc383187599"/>
      <w:r w:rsidRPr="001B3C78">
        <w:rPr>
          <w:sz w:val="28"/>
          <w:szCs w:val="28"/>
        </w:rPr>
        <w:t>3.2.1  Fish Populations</w:t>
      </w:r>
      <w:bookmarkEnd w:id="105"/>
      <w:r w:rsidRPr="001B3C78">
        <w:rPr>
          <w:sz w:val="28"/>
          <w:szCs w:val="28"/>
        </w:rPr>
        <w:t xml:space="preserve"> Affected by this Amendment</w:t>
      </w:r>
      <w:bookmarkEnd w:id="106"/>
      <w:bookmarkEnd w:id="107"/>
    </w:p>
    <w:p w14:paraId="43256DAD" w14:textId="77777777" w:rsidR="00D92BEF" w:rsidRPr="00A41042" w:rsidRDefault="00D92BEF" w:rsidP="00D92BEF">
      <w:pPr>
        <w:rPr>
          <w:i/>
          <w:u w:val="single"/>
        </w:rPr>
      </w:pPr>
    </w:p>
    <w:p w14:paraId="4AAE6787" w14:textId="77777777" w:rsidR="00A25036" w:rsidRDefault="00A25036" w:rsidP="00A25036">
      <w:pPr>
        <w:ind w:firstLine="360"/>
      </w:pPr>
      <w:r>
        <w:t>The reef environment in the South Atlantic management area affected by actions in this environmental impact statement is defined by two components (</w:t>
      </w:r>
      <w:r w:rsidRPr="00A3285C">
        <w:rPr>
          <w:b/>
        </w:rPr>
        <w:t>Figure 3</w:t>
      </w:r>
      <w:r>
        <w:rPr>
          <w:b/>
        </w:rPr>
        <w:t>.2.1</w:t>
      </w:r>
      <w:r>
        <w:t>).  Each component will be described in detail in the following sections.</w:t>
      </w:r>
    </w:p>
    <w:p w14:paraId="1FC6740C" w14:textId="77777777" w:rsidR="00A25036" w:rsidRDefault="00A25036" w:rsidP="00A25036">
      <w:r>
        <w:rPr>
          <w:noProof/>
        </w:rPr>
        <mc:AlternateContent>
          <mc:Choice Requires="wpg">
            <w:drawing>
              <wp:anchor distT="0" distB="0" distL="114300" distR="114300" simplePos="0" relativeHeight="251696640" behindDoc="0" locked="0" layoutInCell="1" allowOverlap="1" wp14:anchorId="3116CDC6" wp14:editId="14FEA9FE">
                <wp:simplePos x="0" y="0"/>
                <wp:positionH relativeFrom="column">
                  <wp:posOffset>307975</wp:posOffset>
                </wp:positionH>
                <wp:positionV relativeFrom="paragraph">
                  <wp:posOffset>113665</wp:posOffset>
                </wp:positionV>
                <wp:extent cx="5393055" cy="2266315"/>
                <wp:effectExtent l="19050" t="0" r="0" b="57785"/>
                <wp:wrapTight wrapText="bothSides">
                  <wp:wrapPolygon edited="0">
                    <wp:start x="16709" y="0"/>
                    <wp:lineTo x="10529" y="182"/>
                    <wp:lineTo x="8469" y="908"/>
                    <wp:lineTo x="8469" y="2905"/>
                    <wp:lineTo x="8088" y="4539"/>
                    <wp:lineTo x="8011" y="5447"/>
                    <wp:lineTo x="3052" y="6173"/>
                    <wp:lineTo x="305" y="7263"/>
                    <wp:lineTo x="305" y="8715"/>
                    <wp:lineTo x="-76" y="9623"/>
                    <wp:lineTo x="-76" y="13254"/>
                    <wp:lineTo x="458" y="14525"/>
                    <wp:lineTo x="458" y="16341"/>
                    <wp:lineTo x="3281" y="17430"/>
                    <wp:lineTo x="7554" y="17793"/>
                    <wp:lineTo x="9308" y="20335"/>
                    <wp:lineTo x="9308" y="20880"/>
                    <wp:lineTo x="10453" y="21969"/>
                    <wp:lineTo x="10911" y="21969"/>
                    <wp:lineTo x="12131" y="21969"/>
                    <wp:lineTo x="12437" y="21969"/>
                    <wp:lineTo x="13734" y="20698"/>
                    <wp:lineTo x="13810" y="20335"/>
                    <wp:lineTo x="13963" y="17975"/>
                    <wp:lineTo x="13963" y="16341"/>
                    <wp:lineTo x="12284" y="15433"/>
                    <wp:lineTo x="8774" y="14525"/>
                    <wp:lineTo x="8927" y="14525"/>
                    <wp:lineTo x="8545" y="13254"/>
                    <wp:lineTo x="8088" y="11620"/>
                    <wp:lineTo x="8927" y="8897"/>
                    <wp:lineTo x="12360" y="8715"/>
                    <wp:lineTo x="20982" y="6718"/>
                    <wp:lineTo x="20906" y="5810"/>
                    <wp:lineTo x="21211" y="5810"/>
                    <wp:lineTo x="21516" y="4358"/>
                    <wp:lineTo x="21516" y="1997"/>
                    <wp:lineTo x="19990" y="363"/>
                    <wp:lineTo x="18922" y="0"/>
                    <wp:lineTo x="16709" y="0"/>
                  </wp:wrapPolygon>
                </wp:wrapTight>
                <wp:docPr id="33"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3055" cy="2266315"/>
                          <a:chOff x="648" y="2555"/>
                          <a:chExt cx="7949" cy="3569"/>
                        </a:xfrm>
                      </wpg:grpSpPr>
                      <wps:wsp>
                        <wps:cNvPr id="34" name="AutoShape 1162"/>
                        <wps:cNvSpPr>
                          <a:spLocks noChangeArrowheads="1"/>
                        </wps:cNvSpPr>
                        <wps:spPr bwMode="auto">
                          <a:xfrm rot="1990930">
                            <a:off x="3288" y="4788"/>
                            <a:ext cx="545" cy="609"/>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Oval 1157"/>
                        <wps:cNvSpPr>
                          <a:spLocks noChangeArrowheads="1"/>
                        </wps:cNvSpPr>
                        <wps:spPr bwMode="auto">
                          <a:xfrm>
                            <a:off x="5808" y="2555"/>
                            <a:ext cx="2789" cy="1193"/>
                          </a:xfrm>
                          <a:prstGeom prst="ellipse">
                            <a:avLst/>
                          </a:prstGeom>
                          <a:solidFill>
                            <a:srgbClr val="FFFFFF"/>
                          </a:solidFill>
                          <a:ln>
                            <a:noFill/>
                          </a:ln>
                          <a:effectLst/>
                          <a:extLst>
                            <a:ext uri="{91240B29-F687-4f45-9708-019B960494DF}">
                              <a14:hiddenLine xmlns:a14="http://schemas.microsoft.com/office/drawing/2010/main" w="12700">
                                <a:solidFill>
                                  <a:srgbClr val="4BACC6"/>
                                </a:solidFill>
                                <a:prstDash val="dash"/>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3C6B68" w14:textId="185139C7" w:rsidR="009108B8" w:rsidRPr="00461EF9" w:rsidRDefault="009108B8" w:rsidP="004623CD">
                              <w:pPr>
                                <w:pStyle w:val="ListParagraph"/>
                                <w:numPr>
                                  <w:ilvl w:val="0"/>
                                  <w:numId w:val="4"/>
                                </w:numPr>
                                <w:spacing w:after="0" w:line="240" w:lineRule="auto"/>
                                <w:ind w:left="180" w:right="83" w:hanging="180"/>
                                <w:rPr>
                                  <w:rFonts w:ascii="Times New Roman" w:hAnsi="Times New Roman"/>
                                  <w:b/>
                                  <w:color w:val="548DD4"/>
                                  <w:sz w:val="20"/>
                                  <w:szCs w:val="20"/>
                                </w:rPr>
                              </w:pPr>
                              <w:r>
                                <w:rPr>
                                  <w:rFonts w:ascii="Times New Roman" w:hAnsi="Times New Roman"/>
                                  <w:b/>
                                  <w:color w:val="548DD4"/>
                                  <w:sz w:val="20"/>
                                  <w:szCs w:val="20"/>
                                </w:rPr>
                                <w:t>Mutton snapper</w:t>
                              </w:r>
                            </w:p>
                            <w:p w14:paraId="5BF14554" w14:textId="77777777" w:rsidR="009108B8" w:rsidRPr="00CD0A4F" w:rsidRDefault="009108B8" w:rsidP="004623CD">
                              <w:pPr>
                                <w:numPr>
                                  <w:ilvl w:val="0"/>
                                  <w:numId w:val="4"/>
                                </w:numPr>
                                <w:ind w:left="180" w:right="83" w:hanging="180"/>
                                <w:rPr>
                                  <w:b/>
                                  <w:color w:val="548DD4"/>
                                  <w:sz w:val="20"/>
                                  <w:szCs w:val="20"/>
                                </w:rPr>
                              </w:pPr>
                              <w:r>
                                <w:rPr>
                                  <w:b/>
                                  <w:color w:val="548DD4"/>
                                  <w:sz w:val="20"/>
                                  <w:szCs w:val="20"/>
                                </w:rPr>
                                <w:t>Other affected species</w:t>
                              </w:r>
                            </w:p>
                          </w:txbxContent>
                        </wps:txbx>
                        <wps:bodyPr rot="0" vert="horz" wrap="square" lIns="91440" tIns="45720" rIns="91440" bIns="45720" anchor="t" anchorCtr="0" upright="1">
                          <a:noAutofit/>
                        </wps:bodyPr>
                      </wps:wsp>
                      <wps:wsp>
                        <wps:cNvPr id="39" name="Oval 1158"/>
                        <wps:cNvSpPr>
                          <a:spLocks noChangeArrowheads="1"/>
                        </wps:cNvSpPr>
                        <wps:spPr bwMode="auto">
                          <a:xfrm>
                            <a:off x="648" y="3630"/>
                            <a:ext cx="2765" cy="1662"/>
                          </a:xfrm>
                          <a:prstGeom prst="ellipse">
                            <a:avLst/>
                          </a:prstGeom>
                          <a:solidFill>
                            <a:srgbClr val="4BACC6"/>
                          </a:solidFill>
                          <a:ln w="38100">
                            <a:solidFill>
                              <a:srgbClr val="F2F2F2"/>
                            </a:solidFill>
                            <a:round/>
                            <a:headEnd/>
                            <a:tailEnd/>
                          </a:ln>
                          <a:effectLst>
                            <a:outerShdw dist="117088" dir="2436078" algn="ctr" rotWithShape="0">
                              <a:srgbClr val="205867">
                                <a:alpha val="50000"/>
                              </a:srgbClr>
                            </a:outerShdw>
                          </a:effectLst>
                        </wps:spPr>
                        <wps:txbx>
                          <w:txbxContent>
                            <w:p w14:paraId="06DC6046" w14:textId="77777777" w:rsidR="009108B8" w:rsidRDefault="009108B8" w:rsidP="00A25036">
                              <w:pPr>
                                <w:jc w:val="center"/>
                                <w:rPr>
                                  <w:b/>
                                  <w:color w:val="FFFFFF"/>
                                  <w:sz w:val="28"/>
                                  <w:szCs w:val="28"/>
                                </w:rPr>
                              </w:pPr>
                              <w:r w:rsidRPr="002F755D">
                                <w:rPr>
                                  <w:b/>
                                  <w:color w:val="FFFFFF"/>
                                  <w:sz w:val="28"/>
                                  <w:szCs w:val="28"/>
                                </w:rPr>
                                <w:t xml:space="preserve">Biological </w:t>
                              </w:r>
                              <w:r>
                                <w:rPr>
                                  <w:b/>
                                  <w:color w:val="FFFFFF"/>
                                  <w:sz w:val="28"/>
                                  <w:szCs w:val="28"/>
                                </w:rPr>
                                <w:t>/</w:t>
                              </w:r>
                            </w:p>
                            <w:p w14:paraId="4F662390" w14:textId="77777777" w:rsidR="009108B8" w:rsidRPr="002F755D" w:rsidRDefault="009108B8" w:rsidP="00A25036">
                              <w:pPr>
                                <w:rPr>
                                  <w:b/>
                                  <w:color w:val="FFFFFF"/>
                                  <w:sz w:val="28"/>
                                  <w:szCs w:val="28"/>
                                </w:rPr>
                              </w:pPr>
                              <w:r>
                                <w:rPr>
                                  <w:b/>
                                  <w:color w:val="FFFFFF"/>
                                  <w:sz w:val="28"/>
                                  <w:szCs w:val="28"/>
                                </w:rPr>
                                <w:t xml:space="preserve">Ecological </w:t>
                              </w:r>
                              <w:r w:rsidRPr="002F755D">
                                <w:rPr>
                                  <w:b/>
                                  <w:color w:val="FFFFFF"/>
                                  <w:sz w:val="28"/>
                                  <w:szCs w:val="28"/>
                                </w:rPr>
                                <w:t>Environment</w:t>
                              </w:r>
                            </w:p>
                          </w:txbxContent>
                        </wps:txbx>
                        <wps:bodyPr rot="0" vert="horz" wrap="square" lIns="91440" tIns="45720" rIns="91440" bIns="45720" anchor="t" anchorCtr="0" upright="1">
                          <a:noAutofit/>
                        </wps:bodyPr>
                      </wps:wsp>
                      <wps:wsp>
                        <wps:cNvPr id="40" name="AutoShape 1159"/>
                        <wps:cNvSpPr>
                          <a:spLocks noChangeArrowheads="1"/>
                        </wps:cNvSpPr>
                        <wps:spPr bwMode="auto">
                          <a:xfrm rot="20451258">
                            <a:off x="3374" y="3515"/>
                            <a:ext cx="545" cy="609"/>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Oval 1160"/>
                        <wps:cNvSpPr>
                          <a:spLocks noChangeArrowheads="1"/>
                        </wps:cNvSpPr>
                        <wps:spPr bwMode="auto">
                          <a:xfrm>
                            <a:off x="4008" y="5110"/>
                            <a:ext cx="1733" cy="1014"/>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6F0819CD" w14:textId="77777777" w:rsidR="009108B8" w:rsidRPr="002F755D" w:rsidRDefault="009108B8" w:rsidP="00A25036">
                              <w:pPr>
                                <w:jc w:val="center"/>
                                <w:rPr>
                                  <w:b/>
                                  <w:color w:val="548DD4"/>
                                  <w:sz w:val="20"/>
                                  <w:szCs w:val="20"/>
                                </w:rPr>
                              </w:pPr>
                              <w:r>
                                <w:rPr>
                                  <w:b/>
                                  <w:color w:val="548DD4"/>
                                  <w:sz w:val="20"/>
                                  <w:szCs w:val="20"/>
                                </w:rPr>
                                <w:t>Protected</w:t>
                              </w:r>
                              <w:r w:rsidRPr="002F755D">
                                <w:rPr>
                                  <w:b/>
                                  <w:color w:val="548DD4"/>
                                  <w:sz w:val="20"/>
                                  <w:szCs w:val="20"/>
                                </w:rPr>
                                <w:t xml:space="preserve"> species</w:t>
                              </w:r>
                            </w:p>
                          </w:txbxContent>
                        </wps:txbx>
                        <wps:bodyPr rot="0" vert="horz" wrap="square" lIns="91440" tIns="45720" rIns="91440" bIns="45720" anchor="t" anchorCtr="0" upright="1">
                          <a:noAutofit/>
                        </wps:bodyPr>
                      </wps:wsp>
                      <wps:wsp>
                        <wps:cNvPr id="48" name="Oval 1161"/>
                        <wps:cNvSpPr>
                          <a:spLocks noChangeArrowheads="1"/>
                        </wps:cNvSpPr>
                        <wps:spPr bwMode="auto">
                          <a:xfrm>
                            <a:off x="3802" y="2628"/>
                            <a:ext cx="1831" cy="1120"/>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46E6EF0F" w14:textId="77777777" w:rsidR="009108B8" w:rsidRPr="00CD0A4F" w:rsidRDefault="009108B8" w:rsidP="00A25036">
                              <w:pPr>
                                <w:jc w:val="center"/>
                                <w:rPr>
                                  <w:b/>
                                  <w:color w:val="548DD4"/>
                                  <w:sz w:val="20"/>
                                  <w:szCs w:val="20"/>
                                </w:rPr>
                              </w:pPr>
                              <w:r>
                                <w:rPr>
                                  <w:b/>
                                  <w:color w:val="548DD4"/>
                                  <w:sz w:val="20"/>
                                  <w:szCs w:val="20"/>
                                </w:rPr>
                                <w:t>Fish populations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0" o:spid="_x0000_s1031" style="position:absolute;margin-left:24.25pt;margin-top:8.95pt;width:424.65pt;height:178.45pt;z-index:251696640;mso-position-horizontal-relative:text;mso-position-vertical-relative:text" coordorigin="648,2555" coordsize="7949,35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">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62" o:spid="_x0000_s1032" type="#_x0000_t13" style="position:absolute;left:3288;top:4788;width:545;height:609;rotation:2174626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V77GwwAA&#10;ANsAAAAPAAAAZHJzL2Rvd25yZXYueG1sRI9PawIxFMTvgt8hPKE3zdYW0a3ZRSz9A55cBa+P5HU3&#10;dPOybFJd/fRNoeBxmJnfMOtycK04Ux+sZwWPswwEsfbGcq3geHibLkGEiGyw9UwKrhSgLMajNebG&#10;X3hP5yrWIkE45KigibHLpQy6IYdh5jvi5H353mFMsq+l6fGS4K6V8yxbSIeW00KDHW0b0t/Vj1Ow&#10;O2m+2szGjbmt3mX4uNV68arUw2TYvICINMR7+L/9aRQ8PcPfl/QDZP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V77GwwAAANsAAAAPAAAAAAAAAAAAAAAAAJcCAABkcnMvZG93&#10;bnJldi54bWxQSwUGAAAAAAQABAD1AAAAhwMAAAAA&#10;"/>
                <v:oval id="Oval 1157" o:spid="_x0000_s1033" style="position:absolute;left:5808;top:2555;width:2789;height:11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lh1CwQAA&#10;ANsAAAAPAAAAZHJzL2Rvd25yZXYueG1sRE9NawIxEL0X+h/CFLzVbBWkbo0iBaE9VOjqocdhMyaL&#10;m8myGdfVX98cCj0+3vdqM4ZWDdSnJrKBl2kBiriOtmFn4HjYPb+CSoJssY1MBm6UYLN+fFhhaeOV&#10;v2moxKkcwqlEA16kK7VOtaeAaRo74sydYh9QMuydtj1ec3ho9awoFjpgw7nBY0fvnupzdQkGZj9U&#10;HYPfF+6zESfbYbm8V1/GTJ7G7RsooVH+xX/uD2tgnsfmL/kH6P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pYdQsEAAADbAAAADwAAAAAAAAAAAAAAAACXAgAAZHJzL2Rvd25y&#10;ZXYueG1sUEsFBgAAAAAEAAQA9QAAAIUDAAAAAA==&#10;" stroked="f" strokecolor="#4bacc6" strokeweight="1pt">
                  <v:stroke dashstyle="dash"/>
                  <v:shadow color="#868686" opacity="1" mv:blur="0" offset="2pt,2pt"/>
                  <v:textbox>
                    <w:txbxContent>
                      <w:p w14:paraId="4F3C6B68" w14:textId="185139C7" w:rsidR="009108B8" w:rsidRPr="00461EF9" w:rsidRDefault="009108B8" w:rsidP="004623CD">
                        <w:pPr>
                          <w:pStyle w:val="ListParagraph"/>
                          <w:numPr>
                            <w:ilvl w:val="0"/>
                            <w:numId w:val="4"/>
                          </w:numPr>
                          <w:spacing w:after="0" w:line="240" w:lineRule="auto"/>
                          <w:ind w:left="180" w:right="83" w:hanging="180"/>
                          <w:rPr>
                            <w:rFonts w:ascii="Times New Roman" w:hAnsi="Times New Roman"/>
                            <w:b/>
                            <w:color w:val="548DD4"/>
                            <w:sz w:val="20"/>
                            <w:szCs w:val="20"/>
                          </w:rPr>
                        </w:pPr>
                        <w:r>
                          <w:rPr>
                            <w:rFonts w:ascii="Times New Roman" w:hAnsi="Times New Roman"/>
                            <w:b/>
                            <w:color w:val="548DD4"/>
                            <w:sz w:val="20"/>
                            <w:szCs w:val="20"/>
                          </w:rPr>
                          <w:t>Mutton snapper</w:t>
                        </w:r>
                      </w:p>
                      <w:p w14:paraId="5BF14554" w14:textId="77777777" w:rsidR="009108B8" w:rsidRPr="00CD0A4F" w:rsidRDefault="009108B8" w:rsidP="004623CD">
                        <w:pPr>
                          <w:numPr>
                            <w:ilvl w:val="0"/>
                            <w:numId w:val="4"/>
                          </w:numPr>
                          <w:ind w:left="180" w:right="83" w:hanging="180"/>
                          <w:rPr>
                            <w:b/>
                            <w:color w:val="548DD4"/>
                            <w:sz w:val="20"/>
                            <w:szCs w:val="20"/>
                          </w:rPr>
                        </w:pPr>
                        <w:r>
                          <w:rPr>
                            <w:b/>
                            <w:color w:val="548DD4"/>
                            <w:sz w:val="20"/>
                            <w:szCs w:val="20"/>
                          </w:rPr>
                          <w:t>Other affected species</w:t>
                        </w:r>
                      </w:p>
                    </w:txbxContent>
                  </v:textbox>
                </v:oval>
                <v:oval id="Oval 1158" o:spid="_x0000_s1034" style="position:absolute;left:648;top:3630;width:2765;height:16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U7PtvwAA&#10;ANsAAAAPAAAAZHJzL2Rvd25yZXYueG1sRI9Bi8IwFITvgv8hPMGbprqw1moUKSx4tXrw+GyebbF5&#10;KUnU+u+NIOxxmJlvmPW2N614kPONZQWzaQKCuLS64UrB6fg3SUH4gKyxtUwKXuRhuxkO1php++QD&#10;PYpQiQhhn6GCOoQuk9KXNRn0U9sRR+9qncEQpaukdviMcNPKeZL8SoMNx4UaO8prKm/F3Sg4Un6p&#10;Znt3KM7S7nSX5ovilSs1HvW7FYhAffgPf9t7reBnCZ8v8QfIzR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BTs+2/AAAA2wAAAA8AAAAAAAAAAAAAAAAAlwIAAGRycy9kb3ducmV2&#10;LnhtbFBLBQYAAAAABAAEAPUAAACDAwAAAAA=&#10;" fillcolor="#4bacc6" strokecolor="#f2f2f2" strokeweight="3pt">
                  <v:shadow on="t" color="#205867" opacity=".5" mv:blur="0" offset="7pt,6pt"/>
                  <v:textbox>
                    <w:txbxContent>
                      <w:p w14:paraId="06DC6046" w14:textId="77777777" w:rsidR="009108B8" w:rsidRDefault="009108B8" w:rsidP="00A25036">
                        <w:pPr>
                          <w:jc w:val="center"/>
                          <w:rPr>
                            <w:b/>
                            <w:color w:val="FFFFFF"/>
                            <w:sz w:val="28"/>
                            <w:szCs w:val="28"/>
                          </w:rPr>
                        </w:pPr>
                        <w:r w:rsidRPr="002F755D">
                          <w:rPr>
                            <w:b/>
                            <w:color w:val="FFFFFF"/>
                            <w:sz w:val="28"/>
                            <w:szCs w:val="28"/>
                          </w:rPr>
                          <w:t xml:space="preserve">Biological </w:t>
                        </w:r>
                        <w:r>
                          <w:rPr>
                            <w:b/>
                            <w:color w:val="FFFFFF"/>
                            <w:sz w:val="28"/>
                            <w:szCs w:val="28"/>
                          </w:rPr>
                          <w:t>/</w:t>
                        </w:r>
                      </w:p>
                      <w:p w14:paraId="4F662390" w14:textId="77777777" w:rsidR="009108B8" w:rsidRPr="002F755D" w:rsidRDefault="009108B8" w:rsidP="00A25036">
                        <w:pPr>
                          <w:rPr>
                            <w:b/>
                            <w:color w:val="FFFFFF"/>
                            <w:sz w:val="28"/>
                            <w:szCs w:val="28"/>
                          </w:rPr>
                        </w:pPr>
                        <w:r>
                          <w:rPr>
                            <w:b/>
                            <w:color w:val="FFFFFF"/>
                            <w:sz w:val="28"/>
                            <w:szCs w:val="28"/>
                          </w:rPr>
                          <w:t xml:space="preserve">Ecological </w:t>
                        </w:r>
                        <w:r w:rsidRPr="002F755D">
                          <w:rPr>
                            <w:b/>
                            <w:color w:val="FFFFFF"/>
                            <w:sz w:val="28"/>
                            <w:szCs w:val="28"/>
                          </w:rPr>
                          <w:t>Environment</w:t>
                        </w:r>
                      </w:p>
                    </w:txbxContent>
                  </v:textbox>
                </v:oval>
                <v:shape id="AutoShape 1159" o:spid="_x0000_s1035" type="#_x0000_t13" style="position:absolute;left:3374;top:3515;width:545;height:609;rotation:-1254733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MH2VwAAA&#10;ANsAAAAPAAAAZHJzL2Rvd25yZXYueG1sRE/LisIwFN0L8w/hDsxOEx+IVKPIwIiL2Yxa0N21ubbV&#10;5qY0qXb+3iwEl4fzXqw6W4k7Nb50rGE4UCCIM2dKzjUc9j/9GQgfkA1WjknDP3lYLT96C0yMe/Af&#10;3XchFzGEfYIaihDqREqfFWTRD1xNHLmLayyGCJtcmgYfMdxWcqTUVFosOTYUWNN3Qdlt11oN6Wjz&#10;u6nbdnwt1cnz8ZCelU+1/vrs1nMQgbrwFr/cW6NhEtfHL/EHyO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AMH2VwAAAANsAAAAPAAAAAAAAAAAAAAAAAJcCAABkcnMvZG93bnJl&#10;di54bWxQSwUGAAAAAAQABAD1AAAAhAMAAAAA&#10;"/>
                <v:oval id="Oval 1160" o:spid="_x0000_s1036" style="position:absolute;left:4008;top:5110;width:1733;height:1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yMMexQAA&#10;ANsAAAAPAAAAZHJzL2Rvd25yZXYueG1sRI9Pa8JAFMTvBb/D8oTe6ibSVomuYloKFemh/js/s88k&#10;JPs2ZDcx/fZuodDjMDO/YZbrwdSip9aVlhXEkwgEcWZ1ybmC4+HjaQ7CeWSNtWVS8EMO1qvRwxIT&#10;bW/8Tf3e5yJA2CWooPC+SaR0WUEG3cQ2xMG72tagD7LNpW7xFuCmltMoepUGSw4LBTb0VlBW7Tuj&#10;4JCaOJdVc47f4/Lr9LK7pN12p9TjeNgsQHga/H/4r/2pFTzP4PdL+AFyd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Iwx7FAAAA2wAAAA8AAAAAAAAAAAAAAAAAlwIAAGRycy9k&#10;b3ducmV2LnhtbFBLBQYAAAAABAAEAPUAAACJAwAAAAA=&#10;" strokecolor="#92cddc" strokeweight="1pt">
                  <v:fill color2="#b6dde8" focus="100%" type="gradient"/>
                  <v:shadow on="t" color="#205867" opacity=".5" mv:blur="0" offset="1pt,2pt"/>
                  <v:textbox>
                    <w:txbxContent>
                      <w:p w14:paraId="6F0819CD" w14:textId="77777777" w:rsidR="009108B8" w:rsidRPr="002F755D" w:rsidRDefault="009108B8" w:rsidP="00A25036">
                        <w:pPr>
                          <w:jc w:val="center"/>
                          <w:rPr>
                            <w:b/>
                            <w:color w:val="548DD4"/>
                            <w:sz w:val="20"/>
                            <w:szCs w:val="20"/>
                          </w:rPr>
                        </w:pPr>
                        <w:r>
                          <w:rPr>
                            <w:b/>
                            <w:color w:val="548DD4"/>
                            <w:sz w:val="20"/>
                            <w:szCs w:val="20"/>
                          </w:rPr>
                          <w:t>Protected</w:t>
                        </w:r>
                        <w:r w:rsidRPr="002F755D">
                          <w:rPr>
                            <w:b/>
                            <w:color w:val="548DD4"/>
                            <w:sz w:val="20"/>
                            <w:szCs w:val="20"/>
                          </w:rPr>
                          <w:t xml:space="preserve"> species</w:t>
                        </w:r>
                      </w:p>
                    </w:txbxContent>
                  </v:textbox>
                </v:oval>
                <v:oval id="Oval 1161" o:spid="_x0000_s1037" style="position:absolute;left:3802;top:2628;width:1831;height:1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V1dswQAA&#10;ANsAAAAPAAAAZHJzL2Rvd25yZXYueG1sRE/Pa8IwFL4L+x/CG3jTtENFOqPMDUERD+q281vz1hab&#10;l5Kktf735iB4/Ph+L1a9qUVHzleWFaTjBARxbnXFhYLv82Y0B+EDssbaMim4kYfV8mWwwEzbKx+p&#10;O4VCxBD2GSooQ2gyKX1ekkE/tg1x5P6tMxgidIXUDq8x3NTyLUlm0mDFsaHEhj5Lyi+n1ig4r01a&#10;yEvzm36l1eFnuv9bt7u9UsPX/uMdRKA+PMUP91YrmMSx8Uv8AXJ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1dXbMEAAADbAAAADwAAAAAAAAAAAAAAAACXAgAAZHJzL2Rvd25y&#10;ZXYueG1sUEsFBgAAAAAEAAQA9QAAAIUDAAAAAA==&#10;" strokecolor="#92cddc" strokeweight="1pt">
                  <v:fill color2="#b6dde8" focus="100%" type="gradient"/>
                  <v:shadow on="t" color="#205867" opacity=".5" mv:blur="0" offset="1pt,2pt"/>
                  <v:textbox>
                    <w:txbxContent>
                      <w:p w14:paraId="46E6EF0F" w14:textId="77777777" w:rsidR="009108B8" w:rsidRPr="00CD0A4F" w:rsidRDefault="009108B8" w:rsidP="00A25036">
                        <w:pPr>
                          <w:jc w:val="center"/>
                          <w:rPr>
                            <w:b/>
                            <w:color w:val="548DD4"/>
                            <w:sz w:val="20"/>
                            <w:szCs w:val="20"/>
                          </w:rPr>
                        </w:pPr>
                        <w:r>
                          <w:rPr>
                            <w:b/>
                            <w:color w:val="548DD4"/>
                            <w:sz w:val="20"/>
                            <w:szCs w:val="20"/>
                          </w:rPr>
                          <w:t>Fish populations</w:t>
                        </w:r>
                      </w:p>
                    </w:txbxContent>
                  </v:textbox>
                </v:oval>
                <w10:wrap type="tight"/>
              </v:group>
            </w:pict>
          </mc:Fallback>
        </mc:AlternateContent>
      </w:r>
    </w:p>
    <w:p w14:paraId="1B5EA736" w14:textId="77777777" w:rsidR="00A25036" w:rsidRDefault="00A25036" w:rsidP="00A25036"/>
    <w:p w14:paraId="19417499" w14:textId="77777777" w:rsidR="00A25036" w:rsidRDefault="00A25036" w:rsidP="00A25036">
      <w:pPr>
        <w:tabs>
          <w:tab w:val="left" w:pos="8520"/>
        </w:tabs>
      </w:pPr>
      <w:r>
        <w:tab/>
      </w:r>
    </w:p>
    <w:p w14:paraId="7F22CAF9" w14:textId="77777777" w:rsidR="00A25036" w:rsidRDefault="00A25036" w:rsidP="00A25036">
      <w:pPr>
        <w:tabs>
          <w:tab w:val="left" w:pos="8520"/>
        </w:tabs>
      </w:pPr>
    </w:p>
    <w:p w14:paraId="74D1B7E7" w14:textId="77777777" w:rsidR="00A25036" w:rsidRDefault="00A25036" w:rsidP="00A25036">
      <w:pPr>
        <w:tabs>
          <w:tab w:val="left" w:pos="8520"/>
        </w:tabs>
      </w:pPr>
    </w:p>
    <w:p w14:paraId="2C890617" w14:textId="77777777" w:rsidR="00A25036" w:rsidRDefault="00A25036" w:rsidP="00A25036">
      <w:pPr>
        <w:tabs>
          <w:tab w:val="left" w:pos="8520"/>
        </w:tabs>
      </w:pPr>
    </w:p>
    <w:p w14:paraId="1FBB6CDC" w14:textId="77777777" w:rsidR="00A25036" w:rsidRDefault="00A25036" w:rsidP="00A25036"/>
    <w:p w14:paraId="744BF8DA" w14:textId="77777777" w:rsidR="00A25036" w:rsidRDefault="00A25036" w:rsidP="00A25036"/>
    <w:p w14:paraId="2196C799" w14:textId="77777777" w:rsidR="00A25036" w:rsidRDefault="00A25036" w:rsidP="00A25036">
      <w:r>
        <w:rPr>
          <w:noProof/>
        </w:rPr>
        <mc:AlternateContent>
          <mc:Choice Requires="wps">
            <w:drawing>
              <wp:anchor distT="0" distB="0" distL="114300" distR="114300" simplePos="0" relativeHeight="251695616" behindDoc="0" locked="0" layoutInCell="1" allowOverlap="1" wp14:anchorId="1A72B612" wp14:editId="3DBF9B8B">
                <wp:simplePos x="0" y="0"/>
                <wp:positionH relativeFrom="column">
                  <wp:posOffset>3488055</wp:posOffset>
                </wp:positionH>
                <wp:positionV relativeFrom="paragraph">
                  <wp:posOffset>91440</wp:posOffset>
                </wp:positionV>
                <wp:extent cx="2133600" cy="969010"/>
                <wp:effectExtent l="0" t="0" r="0" b="0"/>
                <wp:wrapTight wrapText="bothSides">
                  <wp:wrapPolygon edited="0">
                    <wp:start x="6686" y="0"/>
                    <wp:lineTo x="0" y="2265"/>
                    <wp:lineTo x="0" y="14721"/>
                    <wp:lineTo x="2314" y="18118"/>
                    <wp:lineTo x="2314" y="18684"/>
                    <wp:lineTo x="6171" y="20949"/>
                    <wp:lineTo x="6686" y="20949"/>
                    <wp:lineTo x="14657" y="20949"/>
                    <wp:lineTo x="15171" y="20949"/>
                    <wp:lineTo x="19029" y="18684"/>
                    <wp:lineTo x="19029" y="18118"/>
                    <wp:lineTo x="21343" y="14721"/>
                    <wp:lineTo x="21343" y="2265"/>
                    <wp:lineTo x="14657" y="0"/>
                    <wp:lineTo x="6686" y="0"/>
                  </wp:wrapPolygon>
                </wp:wrapTight>
                <wp:docPr id="49" name="Oval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969010"/>
                        </a:xfrm>
                        <a:prstGeom prst="ellipse">
                          <a:avLst/>
                        </a:prstGeom>
                        <a:solidFill>
                          <a:srgbClr val="FFFFFF"/>
                        </a:solidFill>
                        <a:ln>
                          <a:noFill/>
                        </a:ln>
                        <a:effectLst/>
                        <a:extLst>
                          <a:ext uri="{91240B29-F687-4f45-9708-019B960494DF}">
                            <a14:hiddenLine xmlns:a14="http://schemas.microsoft.com/office/drawing/2010/main" w="12700">
                              <a:solidFill>
                                <a:srgbClr val="4BACC6"/>
                              </a:solidFill>
                              <a:prstDash val="dash"/>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847F41" w14:textId="77777777" w:rsidR="009108B8" w:rsidRDefault="009108B8" w:rsidP="004623CD">
                            <w:pPr>
                              <w:numPr>
                                <w:ilvl w:val="0"/>
                                <w:numId w:val="4"/>
                              </w:numPr>
                              <w:ind w:left="180" w:right="83" w:hanging="180"/>
                              <w:rPr>
                                <w:b/>
                                <w:color w:val="548DD4"/>
                                <w:sz w:val="20"/>
                                <w:szCs w:val="20"/>
                              </w:rPr>
                            </w:pPr>
                            <w:r>
                              <w:rPr>
                                <w:b/>
                                <w:color w:val="548DD4"/>
                                <w:sz w:val="20"/>
                                <w:szCs w:val="20"/>
                              </w:rPr>
                              <w:t>Sea turtles</w:t>
                            </w:r>
                          </w:p>
                          <w:p w14:paraId="7E12AA7D" w14:textId="77777777" w:rsidR="009108B8" w:rsidRDefault="009108B8" w:rsidP="004623CD">
                            <w:pPr>
                              <w:numPr>
                                <w:ilvl w:val="0"/>
                                <w:numId w:val="4"/>
                              </w:numPr>
                              <w:ind w:left="180" w:right="83" w:hanging="180"/>
                              <w:rPr>
                                <w:b/>
                                <w:color w:val="548DD4"/>
                                <w:sz w:val="20"/>
                                <w:szCs w:val="20"/>
                              </w:rPr>
                            </w:pPr>
                            <w:r>
                              <w:rPr>
                                <w:b/>
                                <w:color w:val="548DD4"/>
                                <w:sz w:val="20"/>
                                <w:szCs w:val="20"/>
                              </w:rPr>
                              <w:t>Marine Mammals</w:t>
                            </w:r>
                          </w:p>
                          <w:p w14:paraId="2D23815C" w14:textId="77777777" w:rsidR="009108B8" w:rsidRDefault="009108B8" w:rsidP="004623CD">
                            <w:pPr>
                              <w:numPr>
                                <w:ilvl w:val="0"/>
                                <w:numId w:val="4"/>
                              </w:numPr>
                              <w:ind w:left="180" w:right="83" w:hanging="180"/>
                              <w:rPr>
                                <w:b/>
                                <w:color w:val="548DD4"/>
                                <w:sz w:val="20"/>
                                <w:szCs w:val="20"/>
                              </w:rPr>
                            </w:pPr>
                            <w:r>
                              <w:rPr>
                                <w:b/>
                                <w:color w:val="548DD4"/>
                                <w:sz w:val="20"/>
                                <w:szCs w:val="20"/>
                              </w:rPr>
                              <w:t>Corals</w:t>
                            </w:r>
                          </w:p>
                          <w:p w14:paraId="46267B51" w14:textId="77777777" w:rsidR="009108B8" w:rsidRDefault="009108B8" w:rsidP="004623CD">
                            <w:pPr>
                              <w:numPr>
                                <w:ilvl w:val="0"/>
                                <w:numId w:val="4"/>
                              </w:numPr>
                              <w:ind w:left="180" w:right="83" w:hanging="180"/>
                              <w:rPr>
                                <w:b/>
                                <w:color w:val="548DD4"/>
                                <w:sz w:val="20"/>
                                <w:szCs w:val="20"/>
                              </w:rPr>
                            </w:pPr>
                            <w:r>
                              <w:rPr>
                                <w:b/>
                                <w:color w:val="548DD4"/>
                                <w:sz w:val="20"/>
                                <w:szCs w:val="20"/>
                              </w:rPr>
                              <w:t>Fish</w:t>
                            </w:r>
                          </w:p>
                          <w:p w14:paraId="4D55A48C" w14:textId="77777777" w:rsidR="009108B8" w:rsidRPr="00CD0A4F" w:rsidRDefault="009108B8" w:rsidP="004623CD">
                            <w:pPr>
                              <w:numPr>
                                <w:ilvl w:val="0"/>
                                <w:numId w:val="4"/>
                              </w:numPr>
                              <w:ind w:left="180" w:right="83" w:hanging="180"/>
                              <w:rPr>
                                <w:b/>
                                <w:color w:val="548DD4"/>
                                <w:sz w:val="20"/>
                                <w:szCs w:val="20"/>
                              </w:rPr>
                            </w:pPr>
                            <w:r>
                              <w:rPr>
                                <w:b/>
                                <w:color w:val="548DD4"/>
                                <w:sz w:val="20"/>
                                <w:szCs w:val="20"/>
                              </w:rPr>
                              <w:t>Invertebrates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56" o:spid="_x0000_s1038" style="position:absolute;margin-left:274.65pt;margin-top:7.2pt;width:168pt;height:76.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" stroked="f" strokecolor="#4bacc6" strokeweight="1pt">
                <v:stroke dashstyle="dash"/>
                <v:shadow color="#868686" opacity="1" mv:blur="0" offset="2pt,2pt"/>
                <v:textbox>
                  <w:txbxContent>
                    <w:p w14:paraId="28847F41" w14:textId="77777777" w:rsidR="009108B8" w:rsidRDefault="009108B8" w:rsidP="004623CD">
                      <w:pPr>
                        <w:numPr>
                          <w:ilvl w:val="0"/>
                          <w:numId w:val="4"/>
                        </w:numPr>
                        <w:ind w:left="180" w:right="83" w:hanging="180"/>
                        <w:rPr>
                          <w:b/>
                          <w:color w:val="548DD4"/>
                          <w:sz w:val="20"/>
                          <w:szCs w:val="20"/>
                        </w:rPr>
                      </w:pPr>
                      <w:r>
                        <w:rPr>
                          <w:b/>
                          <w:color w:val="548DD4"/>
                          <w:sz w:val="20"/>
                          <w:szCs w:val="20"/>
                        </w:rPr>
                        <w:t>Sea turtles</w:t>
                      </w:r>
                    </w:p>
                    <w:p w14:paraId="7E12AA7D" w14:textId="77777777" w:rsidR="009108B8" w:rsidRDefault="009108B8" w:rsidP="004623CD">
                      <w:pPr>
                        <w:numPr>
                          <w:ilvl w:val="0"/>
                          <w:numId w:val="4"/>
                        </w:numPr>
                        <w:ind w:left="180" w:right="83" w:hanging="180"/>
                        <w:rPr>
                          <w:b/>
                          <w:color w:val="548DD4"/>
                          <w:sz w:val="20"/>
                          <w:szCs w:val="20"/>
                        </w:rPr>
                      </w:pPr>
                      <w:r>
                        <w:rPr>
                          <w:b/>
                          <w:color w:val="548DD4"/>
                          <w:sz w:val="20"/>
                          <w:szCs w:val="20"/>
                        </w:rPr>
                        <w:t>Marine Mammals</w:t>
                      </w:r>
                    </w:p>
                    <w:p w14:paraId="2D23815C" w14:textId="77777777" w:rsidR="009108B8" w:rsidRDefault="009108B8" w:rsidP="004623CD">
                      <w:pPr>
                        <w:numPr>
                          <w:ilvl w:val="0"/>
                          <w:numId w:val="4"/>
                        </w:numPr>
                        <w:ind w:left="180" w:right="83" w:hanging="180"/>
                        <w:rPr>
                          <w:b/>
                          <w:color w:val="548DD4"/>
                          <w:sz w:val="20"/>
                          <w:szCs w:val="20"/>
                        </w:rPr>
                      </w:pPr>
                      <w:r>
                        <w:rPr>
                          <w:b/>
                          <w:color w:val="548DD4"/>
                          <w:sz w:val="20"/>
                          <w:szCs w:val="20"/>
                        </w:rPr>
                        <w:t>Corals</w:t>
                      </w:r>
                    </w:p>
                    <w:p w14:paraId="46267B51" w14:textId="77777777" w:rsidR="009108B8" w:rsidRDefault="009108B8" w:rsidP="004623CD">
                      <w:pPr>
                        <w:numPr>
                          <w:ilvl w:val="0"/>
                          <w:numId w:val="4"/>
                        </w:numPr>
                        <w:ind w:left="180" w:right="83" w:hanging="180"/>
                        <w:rPr>
                          <w:b/>
                          <w:color w:val="548DD4"/>
                          <w:sz w:val="20"/>
                          <w:szCs w:val="20"/>
                        </w:rPr>
                      </w:pPr>
                      <w:r>
                        <w:rPr>
                          <w:b/>
                          <w:color w:val="548DD4"/>
                          <w:sz w:val="20"/>
                          <w:szCs w:val="20"/>
                        </w:rPr>
                        <w:t>Fish</w:t>
                      </w:r>
                    </w:p>
                    <w:p w14:paraId="4D55A48C" w14:textId="77777777" w:rsidR="009108B8" w:rsidRPr="00CD0A4F" w:rsidRDefault="009108B8" w:rsidP="004623CD">
                      <w:pPr>
                        <w:numPr>
                          <w:ilvl w:val="0"/>
                          <w:numId w:val="4"/>
                        </w:numPr>
                        <w:ind w:left="180" w:right="83" w:hanging="180"/>
                        <w:rPr>
                          <w:b/>
                          <w:color w:val="548DD4"/>
                          <w:sz w:val="20"/>
                          <w:szCs w:val="20"/>
                        </w:rPr>
                      </w:pPr>
                      <w:r>
                        <w:rPr>
                          <w:b/>
                          <w:color w:val="548DD4"/>
                          <w:sz w:val="20"/>
                          <w:szCs w:val="20"/>
                        </w:rPr>
                        <w:t>Invertebrates</w:t>
                      </w:r>
                    </w:p>
                  </w:txbxContent>
                </v:textbox>
                <w10:wrap type="tight"/>
              </v:oval>
            </w:pict>
          </mc:Fallback>
        </mc:AlternateContent>
      </w:r>
    </w:p>
    <w:p w14:paraId="3073EA8F" w14:textId="77777777" w:rsidR="00A25036" w:rsidRDefault="00A25036" w:rsidP="00A25036"/>
    <w:p w14:paraId="69FA4FB5" w14:textId="77777777" w:rsidR="00A25036" w:rsidRDefault="00A25036" w:rsidP="00A25036"/>
    <w:p w14:paraId="42D0B1D7" w14:textId="77777777" w:rsidR="00A25036" w:rsidRDefault="00A25036" w:rsidP="00A25036"/>
    <w:p w14:paraId="5B434BD6" w14:textId="77777777" w:rsidR="00A25036" w:rsidRDefault="00A25036" w:rsidP="00A25036"/>
    <w:p w14:paraId="3FC13C90" w14:textId="77777777" w:rsidR="00A25036" w:rsidRDefault="00A25036" w:rsidP="00A25036">
      <w:pPr>
        <w:pStyle w:val="Figuretitle"/>
        <w:rPr>
          <w:rFonts w:ascii="Arial" w:hAnsi="Arial"/>
          <w:b/>
          <w:sz w:val="20"/>
          <w:szCs w:val="20"/>
        </w:rPr>
      </w:pPr>
      <w:bookmarkStart w:id="109" w:name="_Toc313627613"/>
    </w:p>
    <w:p w14:paraId="733D48C2" w14:textId="77777777" w:rsidR="00A25036" w:rsidRDefault="00A25036" w:rsidP="00A25036">
      <w:pPr>
        <w:pStyle w:val="Figuretitle"/>
        <w:rPr>
          <w:rFonts w:ascii="Arial" w:hAnsi="Arial"/>
          <w:b/>
          <w:sz w:val="20"/>
          <w:szCs w:val="20"/>
        </w:rPr>
      </w:pPr>
    </w:p>
    <w:p w14:paraId="50B13000" w14:textId="6D757103" w:rsidR="00A25036" w:rsidRPr="00BA63F0" w:rsidRDefault="00A25036" w:rsidP="00BA63F0">
      <w:pPr>
        <w:pStyle w:val="Figuretitle"/>
        <w:rPr>
          <w:rFonts w:ascii="Arial" w:hAnsi="Arial"/>
          <w:sz w:val="20"/>
          <w:szCs w:val="20"/>
        </w:rPr>
      </w:pPr>
      <w:bookmarkStart w:id="110" w:name="_Toc278461758"/>
      <w:bookmarkStart w:id="111" w:name="_Toc317319915"/>
      <w:bookmarkStart w:id="112" w:name="_Toc340431593"/>
      <w:r>
        <w:rPr>
          <w:rFonts w:ascii="Arial" w:hAnsi="Arial"/>
          <w:b/>
          <w:sz w:val="20"/>
          <w:szCs w:val="20"/>
        </w:rPr>
        <w:t>Figure 3.2.</w:t>
      </w:r>
      <w:r w:rsidRPr="004A1CB4">
        <w:rPr>
          <w:rFonts w:ascii="Arial" w:hAnsi="Arial"/>
          <w:b/>
          <w:sz w:val="20"/>
          <w:szCs w:val="20"/>
        </w:rPr>
        <w:t>1.</w:t>
      </w:r>
      <w:r w:rsidRPr="004A1CB4">
        <w:rPr>
          <w:rFonts w:ascii="Arial" w:hAnsi="Arial"/>
          <w:sz w:val="20"/>
          <w:szCs w:val="20"/>
        </w:rPr>
        <w:t xml:space="preserve">  Two components of the biological environment described in this</w:t>
      </w:r>
      <w:r>
        <w:rPr>
          <w:rFonts w:ascii="Arial" w:hAnsi="Arial"/>
          <w:sz w:val="20"/>
          <w:szCs w:val="20"/>
        </w:rPr>
        <w:t xml:space="preserve"> document</w:t>
      </w:r>
      <w:r w:rsidRPr="004A1CB4">
        <w:rPr>
          <w:rFonts w:ascii="Arial" w:hAnsi="Arial"/>
          <w:sz w:val="20"/>
          <w:szCs w:val="20"/>
        </w:rPr>
        <w:t>.</w:t>
      </w:r>
      <w:bookmarkEnd w:id="109"/>
      <w:bookmarkEnd w:id="110"/>
      <w:bookmarkEnd w:id="111"/>
      <w:bookmarkEnd w:id="112"/>
    </w:p>
    <w:p w14:paraId="388B47AB" w14:textId="77777777" w:rsidR="00A25036" w:rsidRDefault="00A25036" w:rsidP="00D92BEF">
      <w:pPr>
        <w:ind w:firstLine="360"/>
      </w:pPr>
    </w:p>
    <w:p w14:paraId="0DED58B9" w14:textId="4BAED1F3" w:rsidR="00D92BEF" w:rsidRPr="005E224F" w:rsidRDefault="00D92BEF" w:rsidP="00D92BEF">
      <w:pPr>
        <w:ind w:firstLine="360"/>
      </w:pPr>
      <w:r w:rsidRPr="005E224F">
        <w:t>The waters off the South Atlantic coast are home to a diverse population of fish.  The snapper grouper fishery management unit contains 5</w:t>
      </w:r>
      <w:r w:rsidR="00787753">
        <w:t>5</w:t>
      </w:r>
      <w:r w:rsidRPr="005E224F">
        <w:t xml:space="preserve"> species of fish, many of them ne</w:t>
      </w:r>
      <w:r w:rsidR="00FA68EB">
        <w:t>ither “snappers” nor “groupers.”</w:t>
      </w:r>
      <w:r w:rsidRPr="005E224F">
        <w:t xml:space="preserve">  These species live in depths from a few feet (typically as juveniles) to hundreds of feet.  As far as north/south distribution, the more temperate species tend to live in the upper reaches of the South Atlantic management area (e.g., black sea bass, red porgy) while the tropical variety’s core residence is in the waters off south Florida, Caribbean Islands, and northern South America (e.g., black grouper, mutton snapper).  These are reef-dwelling species that live amongst each other.  These species rely on the reef environment for protection and food.  There are several reef tracts that follow the southeastern coast.  The fact that these fish populations congregate dictates the nature of the fishery (multi-species) and further forms the type of management regulations proposed in this document.</w:t>
      </w:r>
    </w:p>
    <w:p w14:paraId="657160A2" w14:textId="77777777" w:rsidR="00D92BEF" w:rsidRDefault="00D92BEF" w:rsidP="00D92BEF">
      <w:pPr>
        <w:tabs>
          <w:tab w:val="left" w:pos="2170"/>
        </w:tabs>
        <w:ind w:firstLine="360"/>
      </w:pPr>
    </w:p>
    <w:p w14:paraId="6A38BB87" w14:textId="77777777" w:rsidR="00663991" w:rsidRDefault="00663991" w:rsidP="00663991">
      <w:pPr>
        <w:rPr>
          <w:rFonts w:ascii="Arial" w:hAnsi="Arial" w:cs="Arial"/>
          <w:b/>
          <w:sz w:val="28"/>
          <w:szCs w:val="28"/>
        </w:rPr>
      </w:pPr>
      <w:r w:rsidRPr="00DB4D41">
        <w:rPr>
          <w:rFonts w:ascii="Arial" w:hAnsi="Arial" w:cs="Arial"/>
          <w:b/>
          <w:sz w:val="28"/>
          <w:szCs w:val="28"/>
        </w:rPr>
        <w:t>Mutton Snapper</w:t>
      </w:r>
    </w:p>
    <w:p w14:paraId="14B4B36A" w14:textId="77777777" w:rsidR="00663991" w:rsidRDefault="00663991" w:rsidP="00D92BEF">
      <w:pPr>
        <w:tabs>
          <w:tab w:val="left" w:pos="2170"/>
        </w:tabs>
        <w:ind w:firstLine="360"/>
      </w:pPr>
    </w:p>
    <w:p w14:paraId="60316BB4" w14:textId="2F918684" w:rsidR="00BA63F0" w:rsidRDefault="00D92BEF" w:rsidP="00AE3C2C">
      <w:pPr>
        <w:ind w:firstLine="360"/>
        <w:rPr>
          <w:b/>
          <w:i/>
          <w:u w:val="single"/>
        </w:rPr>
      </w:pPr>
      <w:r>
        <w:t>L</w:t>
      </w:r>
      <w:r w:rsidRPr="005E224F">
        <w:t xml:space="preserve">ife history, biological characteristics, and stock status </w:t>
      </w:r>
      <w:r>
        <w:t xml:space="preserve">information for </w:t>
      </w:r>
      <w:r w:rsidR="00344301">
        <w:t>mutton snapper</w:t>
      </w:r>
      <w:r>
        <w:t xml:space="preserve"> </w:t>
      </w:r>
      <w:r w:rsidRPr="005E224F">
        <w:t xml:space="preserve">may be found </w:t>
      </w:r>
      <w:r>
        <w:t xml:space="preserve">the </w:t>
      </w:r>
      <w:r w:rsidRPr="005E224F">
        <w:t>Southeast Data, Assess</w:t>
      </w:r>
      <w:r>
        <w:t>ment, and</w:t>
      </w:r>
      <w:r w:rsidR="00344301">
        <w:t xml:space="preserve"> Review (SEDAR) report, SEDAR 15A Update (2015</w:t>
      </w:r>
      <w:r>
        <w:t>), which is</w:t>
      </w:r>
      <w:r w:rsidRPr="005E224F">
        <w:t xml:space="preserve"> available on the SEDAR web site </w:t>
      </w:r>
      <w:hyperlink r:id="rId42" w:history="1">
        <w:r w:rsidR="00C02D02" w:rsidRPr="006643FA">
          <w:rPr>
            <w:rStyle w:val="Hyperlink"/>
          </w:rPr>
          <w:t>http://www.sefsc.noaa.gov/sedar/</w:t>
        </w:r>
      </w:hyperlink>
      <w:r w:rsidR="00C02D02">
        <w:t xml:space="preserve"> </w:t>
      </w:r>
      <w:r>
        <w:t xml:space="preserve">and is hereby incorporated by reference </w:t>
      </w:r>
      <w:r w:rsidRPr="005E224F">
        <w:t xml:space="preserve">(see </w:t>
      </w:r>
      <w:r w:rsidRPr="005E224F">
        <w:rPr>
          <w:b/>
        </w:rPr>
        <w:t>Section 3.2.3</w:t>
      </w:r>
      <w:r w:rsidRPr="005E224F">
        <w:t xml:space="preserve"> for more information on the SEDAR process).</w:t>
      </w:r>
      <w:r w:rsidR="00BA63F0">
        <w:rPr>
          <w:b/>
          <w:i/>
          <w:u w:val="single"/>
        </w:rPr>
        <w:br w:type="page"/>
      </w:r>
    </w:p>
    <w:p w14:paraId="75D90AAB" w14:textId="18C991A5" w:rsidR="00CC33A5" w:rsidRPr="00C41736" w:rsidRDefault="00CC33A5" w:rsidP="00C41736">
      <w:pPr>
        <w:rPr>
          <w:b/>
          <w:i/>
          <w:u w:val="single"/>
        </w:rPr>
      </w:pPr>
      <w:r w:rsidRPr="00846D0C">
        <w:rPr>
          <w:b/>
          <w:i/>
          <w:u w:val="single"/>
        </w:rPr>
        <w:lastRenderedPageBreak/>
        <w:t>Life History</w:t>
      </w:r>
    </w:p>
    <w:p w14:paraId="02B51FD1" w14:textId="0D6FFAB6" w:rsidR="00803893" w:rsidRDefault="00CC33A5" w:rsidP="00803893">
      <w:pPr>
        <w:ind w:firstLine="360"/>
      </w:pPr>
      <w:r w:rsidRPr="00CC33A5">
        <w:t>Mutton snapper</w:t>
      </w:r>
      <w:r>
        <w:t xml:space="preserve"> are </w:t>
      </w:r>
      <w:r w:rsidRPr="00CC33A5">
        <w:t xml:space="preserve">distributed from </w:t>
      </w:r>
      <w:r>
        <w:t xml:space="preserve">the </w:t>
      </w:r>
      <w:r w:rsidRPr="00CC33A5">
        <w:t>United States south to Brazil including Bermuda, the Gulf of</w:t>
      </w:r>
      <w:r>
        <w:t xml:space="preserve"> Mexico, and the Caribbean</w:t>
      </w:r>
      <w:r w:rsidR="002A74AA">
        <w:t xml:space="preserve"> (</w:t>
      </w:r>
      <w:r w:rsidR="00BD26FA">
        <w:t xml:space="preserve">Burton 2002, </w:t>
      </w:r>
      <w:r w:rsidR="002A74AA">
        <w:t>Faunce et al. 2007)</w:t>
      </w:r>
      <w:r>
        <w:t>.  Mutton snapper occur</w:t>
      </w:r>
      <w:r w:rsidRPr="00CC33A5">
        <w:t xml:space="preserve"> on the continental shelf areas as well as in clear waters around islands.</w:t>
      </w:r>
      <w:r w:rsidR="00AB2619">
        <w:t xml:space="preserve"> </w:t>
      </w:r>
      <w:r w:rsidRPr="00CC33A5">
        <w:t>The species forms small aggregations that disband during the night</w:t>
      </w:r>
      <w:r w:rsidR="00FF7F8D">
        <w:t xml:space="preserve"> (Allen 1985)</w:t>
      </w:r>
      <w:r w:rsidRPr="00CC33A5">
        <w:t xml:space="preserve">. </w:t>
      </w:r>
      <w:r>
        <w:t xml:space="preserve"> Mutton snapper feed both during the </w:t>
      </w:r>
      <w:r w:rsidRPr="00CC33A5">
        <w:t xml:space="preserve">day and </w:t>
      </w:r>
      <w:r>
        <w:t xml:space="preserve">at </w:t>
      </w:r>
      <w:r w:rsidRPr="00CC33A5">
        <w:t>night on fishes, shrimps, crabs, cephalopods, and gastropods</w:t>
      </w:r>
      <w:r w:rsidR="00FF7F8D">
        <w:t xml:space="preserve"> (Allen 1985)</w:t>
      </w:r>
      <w:r w:rsidRPr="00CC33A5">
        <w:t xml:space="preserve">. </w:t>
      </w:r>
      <w:r>
        <w:t xml:space="preserve"> </w:t>
      </w:r>
      <w:r w:rsidR="00803893">
        <w:t>Common names in English include mutton snapper, mutton fish, king snapper, virgin snapper, snapper, and in Spanish include pargo, pargo cebado, pargo cebal, pargo colorado, pargo criollo (Cuba), pargo mulato, and sama</w:t>
      </w:r>
      <w:r w:rsidR="002A74AA">
        <w:t xml:space="preserve"> (Murray and Bester 2007)</w:t>
      </w:r>
      <w:r w:rsidR="00803893">
        <w:t>.  The maximum observed age for mutton snapper is 40 years</w:t>
      </w:r>
      <w:r w:rsidR="00947D7D">
        <w:t xml:space="preserve"> with a maximum size of 96 cm total length</w:t>
      </w:r>
      <w:r w:rsidR="00171F2D">
        <w:t xml:space="preserve"> (Faunce et al. 2007)</w:t>
      </w:r>
      <w:r w:rsidR="00803893">
        <w:t>.</w:t>
      </w:r>
    </w:p>
    <w:p w14:paraId="799BA365" w14:textId="7CE2374A" w:rsidR="00C21583" w:rsidRDefault="00672E85" w:rsidP="00887DB8">
      <w:r w:rsidRPr="00834F72">
        <w:rPr>
          <w:noProof/>
        </w:rPr>
        <mc:AlternateContent>
          <mc:Choice Requires="wps">
            <w:drawing>
              <wp:anchor distT="0" distB="0" distL="182880" distR="114300" simplePos="0" relativeHeight="251698688" behindDoc="0" locked="0" layoutInCell="1" allowOverlap="1" wp14:anchorId="2B8A35C4" wp14:editId="516D204B">
                <wp:simplePos x="0" y="0"/>
                <wp:positionH relativeFrom="column">
                  <wp:posOffset>3408045</wp:posOffset>
                </wp:positionH>
                <wp:positionV relativeFrom="paragraph">
                  <wp:posOffset>151130</wp:posOffset>
                </wp:positionV>
                <wp:extent cx="2579370" cy="4006850"/>
                <wp:effectExtent l="0" t="76200" r="113030" b="31750"/>
                <wp:wrapSquare wrapText="bothSides"/>
                <wp:docPr id="50" name="Text Box 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4006850"/>
                        </a:xfrm>
                        <a:prstGeom prst="rect">
                          <a:avLst/>
                        </a:prstGeom>
                        <a:solidFill>
                          <a:srgbClr val="FFFFFF"/>
                        </a:solidFill>
                        <a:ln w="31750">
                          <a:solidFill>
                            <a:srgbClr val="4F81BD"/>
                          </a:solidFill>
                          <a:miter lim="800000"/>
                          <a:headEnd/>
                          <a:tailEnd/>
                        </a:ln>
                        <a:effectLst>
                          <a:outerShdw dist="107763" dir="18900000" algn="ctr" rotWithShape="0">
                            <a:srgbClr val="868686">
                              <a:alpha val="50000"/>
                            </a:srgb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62D86162" w14:textId="1BB9F4C6" w:rsidR="009108B8" w:rsidRDefault="009108B8" w:rsidP="00C21583">
                            <w:pPr>
                              <w:jc w:val="center"/>
                              <w:rPr>
                                <w:b/>
                                <w:color w:val="1F497D"/>
                                <w:sz w:val="28"/>
                                <w:szCs w:val="28"/>
                              </w:rPr>
                            </w:pPr>
                            <w:r>
                              <w:rPr>
                                <w:b/>
                                <w:color w:val="1F497D"/>
                                <w:sz w:val="28"/>
                                <w:szCs w:val="28"/>
                              </w:rPr>
                              <w:t>Mutton snapper Life History</w:t>
                            </w:r>
                          </w:p>
                          <w:p w14:paraId="221CEB02" w14:textId="77777777" w:rsidR="009108B8" w:rsidRPr="00A57B90" w:rsidRDefault="009108B8" w:rsidP="00C21583">
                            <w:pPr>
                              <w:jc w:val="center"/>
                              <w:rPr>
                                <w:b/>
                                <w:i/>
                                <w:color w:val="1F497D"/>
                                <w:sz w:val="28"/>
                                <w:szCs w:val="28"/>
                              </w:rPr>
                            </w:pPr>
                            <w:r w:rsidRPr="00A57B90">
                              <w:rPr>
                                <w:b/>
                                <w:i/>
                                <w:color w:val="1F497D"/>
                                <w:sz w:val="28"/>
                                <w:szCs w:val="28"/>
                              </w:rPr>
                              <w:t>An Overview</w:t>
                            </w:r>
                          </w:p>
                          <w:p w14:paraId="4A706F9C" w14:textId="5D19C536" w:rsidR="009108B8" w:rsidRPr="00A57B90" w:rsidRDefault="009108B8" w:rsidP="00C21583">
                            <w:pPr>
                              <w:jc w:val="center"/>
                              <w:rPr>
                                <w:b/>
                                <w:i/>
                                <w:color w:val="1F497D"/>
                                <w:sz w:val="28"/>
                                <w:szCs w:val="28"/>
                              </w:rPr>
                            </w:pPr>
                            <w:r w:rsidRPr="00AE3C2C">
                              <w:rPr>
                                <w:b/>
                                <w:i/>
                                <w:noProof/>
                                <w:color w:val="1F497D"/>
                                <w:sz w:val="28"/>
                                <w:szCs w:val="28"/>
                              </w:rPr>
                              <w:drawing>
                                <wp:inline distT="0" distB="0" distL="0" distR="0" wp14:anchorId="40AFA094" wp14:editId="2E53E73D">
                                  <wp:extent cx="2073243" cy="986516"/>
                                  <wp:effectExtent l="0" t="0" r="1016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tton Snapper copy.jpg"/>
                                          <pic:cNvPicPr/>
                                        </pic:nvPicPr>
                                        <pic:blipFill>
                                          <a:blip r:embed="rId12">
                                            <a:extLst>
                                              <a:ext uri="{28A0092B-C50C-407E-A947-70E740481C1C}">
                                                <a14:useLocalDpi xmlns:a14="http://schemas.microsoft.com/office/drawing/2010/main" val="0"/>
                                              </a:ext>
                                            </a:extLst>
                                          </a:blip>
                                          <a:stretch>
                                            <a:fillRect/>
                                          </a:stretch>
                                        </pic:blipFill>
                                        <pic:spPr>
                                          <a:xfrm>
                                            <a:off x="0" y="0"/>
                                            <a:ext cx="2073243" cy="986516"/>
                                          </a:xfrm>
                                          <a:prstGeom prst="rect">
                                            <a:avLst/>
                                          </a:prstGeom>
                                        </pic:spPr>
                                      </pic:pic>
                                    </a:graphicData>
                                  </a:graphic>
                                </wp:inline>
                              </w:drawing>
                            </w:r>
                          </w:p>
                          <w:p w14:paraId="5676A33D" w14:textId="5397AE7C" w:rsidR="009108B8" w:rsidRPr="008D6AB1" w:rsidRDefault="009108B8" w:rsidP="004623CD">
                            <w:pPr>
                              <w:numPr>
                                <w:ilvl w:val="0"/>
                                <w:numId w:val="5"/>
                              </w:numPr>
                              <w:rPr>
                                <w:rFonts w:ascii="Arial" w:hAnsi="Arial" w:cs="Arial"/>
                                <w:sz w:val="18"/>
                                <w:szCs w:val="18"/>
                              </w:rPr>
                            </w:pPr>
                            <w:r>
                              <w:rPr>
                                <w:rFonts w:ascii="Arial" w:hAnsi="Arial" w:cs="Arial"/>
                                <w:sz w:val="18"/>
                                <w:szCs w:val="18"/>
                              </w:rPr>
                              <w:t>Extend from Brazil to Massachusetts,</w:t>
                            </w:r>
                            <w:r w:rsidRPr="001A4869">
                              <w:rPr>
                                <w:rFonts w:ascii="Arial" w:hAnsi="Arial" w:cs="Arial"/>
                                <w:sz w:val="18"/>
                                <w:szCs w:val="18"/>
                              </w:rPr>
                              <w:t xml:space="preserve"> </w:t>
                            </w:r>
                            <w:r>
                              <w:rPr>
                                <w:rFonts w:ascii="Arial" w:hAnsi="Arial" w:cs="Arial"/>
                                <w:sz w:val="18"/>
                                <w:szCs w:val="18"/>
                              </w:rPr>
                              <w:t>including t</w:t>
                            </w:r>
                            <w:r w:rsidRPr="001A4869">
                              <w:rPr>
                                <w:rFonts w:ascii="Arial" w:hAnsi="Arial" w:cs="Arial"/>
                                <w:sz w:val="18"/>
                                <w:szCs w:val="18"/>
                              </w:rPr>
                              <w:t>he Gulf of Mexico and Caribbean Sea.</w:t>
                            </w:r>
                          </w:p>
                          <w:p w14:paraId="206146C2" w14:textId="77777777" w:rsidR="009108B8" w:rsidRPr="00395E46" w:rsidRDefault="009108B8" w:rsidP="00C21583">
                            <w:pPr>
                              <w:rPr>
                                <w:rFonts w:ascii="Arial" w:hAnsi="Arial" w:cs="Arial"/>
                                <w:sz w:val="18"/>
                                <w:szCs w:val="18"/>
                                <w:highlight w:val="yellow"/>
                              </w:rPr>
                            </w:pPr>
                          </w:p>
                          <w:p w14:paraId="4EE45405" w14:textId="08272D7F" w:rsidR="009108B8" w:rsidRPr="00DF4123" w:rsidRDefault="009108B8" w:rsidP="004623CD">
                            <w:pPr>
                              <w:numPr>
                                <w:ilvl w:val="0"/>
                                <w:numId w:val="5"/>
                              </w:numPr>
                              <w:rPr>
                                <w:rFonts w:ascii="Arial" w:hAnsi="Arial" w:cs="Arial"/>
                                <w:sz w:val="18"/>
                                <w:szCs w:val="18"/>
                              </w:rPr>
                            </w:pPr>
                            <w:r>
                              <w:rPr>
                                <w:rFonts w:ascii="Arial" w:hAnsi="Arial" w:cs="Arial"/>
                                <w:sz w:val="18"/>
                                <w:szCs w:val="18"/>
                              </w:rPr>
                              <w:t xml:space="preserve">Adults are </w:t>
                            </w:r>
                            <w:r w:rsidRPr="00DF4123">
                              <w:rPr>
                                <w:rFonts w:ascii="Arial" w:hAnsi="Arial" w:cs="Arial"/>
                                <w:sz w:val="18"/>
                                <w:szCs w:val="18"/>
                              </w:rPr>
                              <w:t>typica</w:t>
                            </w:r>
                            <w:r>
                              <w:rPr>
                                <w:rFonts w:ascii="Arial" w:hAnsi="Arial" w:cs="Arial"/>
                                <w:sz w:val="18"/>
                                <w:szCs w:val="18"/>
                              </w:rPr>
                              <w:t>lly associated with hard bottom and</w:t>
                            </w:r>
                            <w:r w:rsidRPr="00DF4123">
                              <w:rPr>
                                <w:rFonts w:ascii="Arial" w:hAnsi="Arial" w:cs="Arial"/>
                                <w:sz w:val="18"/>
                                <w:szCs w:val="18"/>
                              </w:rPr>
                              <w:t xml:space="preserve"> reef habitats, </w:t>
                            </w:r>
                            <w:r>
                              <w:rPr>
                                <w:rFonts w:ascii="Arial" w:hAnsi="Arial" w:cs="Arial"/>
                                <w:sz w:val="18"/>
                                <w:szCs w:val="18"/>
                              </w:rPr>
                              <w:t>as deep as 9</w:t>
                            </w:r>
                            <w:r w:rsidRPr="00DF4123">
                              <w:rPr>
                                <w:rFonts w:ascii="Arial" w:hAnsi="Arial" w:cs="Arial"/>
                                <w:sz w:val="18"/>
                                <w:szCs w:val="18"/>
                              </w:rPr>
                              <w:t xml:space="preserve">5 m, with juveniles in nearshore estuaries, </w:t>
                            </w:r>
                            <w:r>
                              <w:rPr>
                                <w:rFonts w:ascii="Arial" w:hAnsi="Arial" w:cs="Arial"/>
                                <w:sz w:val="18"/>
                                <w:szCs w:val="18"/>
                              </w:rPr>
                              <w:t xml:space="preserve">tidal mangrove creeks, canals, and </w:t>
                            </w:r>
                            <w:r w:rsidRPr="00DF4123">
                              <w:rPr>
                                <w:rFonts w:ascii="Arial" w:hAnsi="Arial" w:cs="Arial"/>
                                <w:sz w:val="18"/>
                                <w:szCs w:val="18"/>
                              </w:rPr>
                              <w:t xml:space="preserve">seagrass beds. </w:t>
                            </w:r>
                          </w:p>
                          <w:p w14:paraId="287831F6" w14:textId="77777777" w:rsidR="009108B8" w:rsidRPr="00395E46" w:rsidRDefault="009108B8" w:rsidP="00C21583">
                            <w:pPr>
                              <w:rPr>
                                <w:rFonts w:ascii="Arial" w:hAnsi="Arial" w:cs="Arial"/>
                                <w:sz w:val="18"/>
                                <w:szCs w:val="18"/>
                                <w:highlight w:val="yellow"/>
                              </w:rPr>
                            </w:pPr>
                          </w:p>
                          <w:p w14:paraId="262184A8" w14:textId="0BB10442" w:rsidR="009108B8" w:rsidRDefault="009108B8" w:rsidP="004623CD">
                            <w:pPr>
                              <w:pStyle w:val="ListParagraph"/>
                              <w:numPr>
                                <w:ilvl w:val="0"/>
                                <w:numId w:val="5"/>
                              </w:numPr>
                              <w:spacing w:after="0" w:line="240" w:lineRule="auto"/>
                              <w:rPr>
                                <w:rFonts w:ascii="Arial" w:hAnsi="Arial" w:cs="Arial"/>
                                <w:sz w:val="18"/>
                                <w:szCs w:val="18"/>
                              </w:rPr>
                            </w:pPr>
                            <w:r>
                              <w:rPr>
                                <w:rFonts w:ascii="Arial" w:hAnsi="Arial" w:cs="Arial"/>
                                <w:sz w:val="18"/>
                                <w:szCs w:val="18"/>
                              </w:rPr>
                              <w:t>Form spawning aggregations.</w:t>
                            </w:r>
                          </w:p>
                          <w:p w14:paraId="6EEAF626" w14:textId="77777777" w:rsidR="009108B8" w:rsidRPr="003B52DD" w:rsidRDefault="009108B8" w:rsidP="00C21583">
                            <w:pPr>
                              <w:rPr>
                                <w:rFonts w:ascii="Arial" w:hAnsi="Arial" w:cs="Arial"/>
                                <w:sz w:val="18"/>
                                <w:szCs w:val="18"/>
                              </w:rPr>
                            </w:pPr>
                          </w:p>
                          <w:p w14:paraId="46F1F6D5" w14:textId="3658B996" w:rsidR="009108B8" w:rsidRPr="00EE1E5A" w:rsidRDefault="009108B8" w:rsidP="004623CD">
                            <w:pPr>
                              <w:numPr>
                                <w:ilvl w:val="0"/>
                                <w:numId w:val="5"/>
                              </w:numPr>
                              <w:rPr>
                                <w:rFonts w:ascii="Arial" w:hAnsi="Arial" w:cs="Arial"/>
                                <w:sz w:val="18"/>
                                <w:szCs w:val="18"/>
                              </w:rPr>
                            </w:pPr>
                            <w:r w:rsidRPr="00EE1E5A">
                              <w:rPr>
                                <w:rFonts w:ascii="Arial" w:hAnsi="Arial" w:cs="Arial"/>
                                <w:sz w:val="18"/>
                                <w:szCs w:val="18"/>
                              </w:rPr>
                              <w:t xml:space="preserve">The spawning season extends from </w:t>
                            </w:r>
                            <w:r>
                              <w:rPr>
                                <w:rFonts w:ascii="Arial" w:hAnsi="Arial" w:cs="Arial"/>
                                <w:sz w:val="18"/>
                                <w:szCs w:val="18"/>
                              </w:rPr>
                              <w:t>February to July, with a peak in activity during May and June.</w:t>
                            </w:r>
                          </w:p>
                          <w:p w14:paraId="4B9719ED" w14:textId="77777777" w:rsidR="009108B8" w:rsidRPr="00395E46" w:rsidRDefault="009108B8" w:rsidP="00C21583">
                            <w:pPr>
                              <w:rPr>
                                <w:rFonts w:ascii="Arial" w:hAnsi="Arial" w:cs="Arial"/>
                                <w:sz w:val="18"/>
                                <w:szCs w:val="18"/>
                                <w:highlight w:val="yellow"/>
                              </w:rPr>
                            </w:pPr>
                          </w:p>
                          <w:p w14:paraId="7ECA7D0C" w14:textId="2828A1BE" w:rsidR="009108B8" w:rsidRPr="003B52DD" w:rsidRDefault="009108B8" w:rsidP="004623CD">
                            <w:pPr>
                              <w:numPr>
                                <w:ilvl w:val="0"/>
                                <w:numId w:val="5"/>
                              </w:numPr>
                              <w:rPr>
                                <w:rFonts w:ascii="Arial" w:hAnsi="Arial" w:cs="Arial"/>
                                <w:sz w:val="18"/>
                                <w:szCs w:val="18"/>
                              </w:rPr>
                            </w:pPr>
                            <w:r w:rsidRPr="003B52DD">
                              <w:rPr>
                                <w:rFonts w:ascii="Arial" w:hAnsi="Arial" w:cs="Arial"/>
                                <w:sz w:val="18"/>
                                <w:szCs w:val="18"/>
                              </w:rPr>
                              <w:t xml:space="preserve">Oldest fish </w:t>
                            </w:r>
                            <w:r>
                              <w:rPr>
                                <w:rFonts w:ascii="Arial" w:hAnsi="Arial" w:cs="Arial"/>
                                <w:sz w:val="18"/>
                                <w:szCs w:val="18"/>
                              </w:rPr>
                              <w:t>reported</w:t>
                            </w:r>
                            <w:r w:rsidRPr="003B52DD">
                              <w:rPr>
                                <w:rFonts w:ascii="Arial" w:hAnsi="Arial" w:cs="Arial"/>
                                <w:sz w:val="18"/>
                                <w:szCs w:val="18"/>
                              </w:rPr>
                              <w:t xml:space="preserve"> is </w:t>
                            </w:r>
                            <w:r>
                              <w:rPr>
                                <w:rFonts w:ascii="Arial" w:hAnsi="Arial" w:cs="Arial"/>
                                <w:sz w:val="18"/>
                                <w:szCs w:val="18"/>
                              </w:rPr>
                              <w:t>40</w:t>
                            </w:r>
                            <w:r w:rsidRPr="003B52DD">
                              <w:rPr>
                                <w:rFonts w:ascii="Arial" w:hAnsi="Arial" w:cs="Arial"/>
                                <w:sz w:val="18"/>
                                <w:szCs w:val="18"/>
                              </w:rPr>
                              <w:t xml:space="preserve"> years old</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3" o:spid="_x0000_s1039" type="#_x0000_t202" style="position:absolute;margin-left:268.35pt;margin-top:11.9pt;width:203.1pt;height:315.5pt;z-index:251698688;visibility:visible;mso-wrap-style:square;mso-width-percent:0;mso-height-percent:0;mso-wrap-distance-left:14.4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" strokecolor="#4f81bd" strokeweight="2.5pt">
                <v:shadow on="t" color="#868686" opacity=".5" mv:blur="0" offset="6pt,-6pt"/>
                <v:textbox>
                  <w:txbxContent>
                    <w:p w14:paraId="62D86162" w14:textId="1BB9F4C6" w:rsidR="009108B8" w:rsidRDefault="009108B8" w:rsidP="00C21583">
                      <w:pPr>
                        <w:jc w:val="center"/>
                        <w:rPr>
                          <w:b/>
                          <w:color w:val="1F497D"/>
                          <w:sz w:val="28"/>
                          <w:szCs w:val="28"/>
                        </w:rPr>
                      </w:pPr>
                      <w:r>
                        <w:rPr>
                          <w:b/>
                          <w:color w:val="1F497D"/>
                          <w:sz w:val="28"/>
                          <w:szCs w:val="28"/>
                        </w:rPr>
                        <w:t>Mutton snapper Life History</w:t>
                      </w:r>
                    </w:p>
                    <w:p w14:paraId="221CEB02" w14:textId="77777777" w:rsidR="009108B8" w:rsidRPr="00A57B90" w:rsidRDefault="009108B8" w:rsidP="00C21583">
                      <w:pPr>
                        <w:jc w:val="center"/>
                        <w:rPr>
                          <w:b/>
                          <w:i/>
                          <w:color w:val="1F497D"/>
                          <w:sz w:val="28"/>
                          <w:szCs w:val="28"/>
                        </w:rPr>
                      </w:pPr>
                      <w:r w:rsidRPr="00A57B90">
                        <w:rPr>
                          <w:b/>
                          <w:i/>
                          <w:color w:val="1F497D"/>
                          <w:sz w:val="28"/>
                          <w:szCs w:val="28"/>
                        </w:rPr>
                        <w:t>An Overview</w:t>
                      </w:r>
                    </w:p>
                    <w:p w14:paraId="4A706F9C" w14:textId="5D19C536" w:rsidR="009108B8" w:rsidRPr="00A57B90" w:rsidRDefault="009108B8" w:rsidP="00C21583">
                      <w:pPr>
                        <w:jc w:val="center"/>
                        <w:rPr>
                          <w:b/>
                          <w:i/>
                          <w:color w:val="1F497D"/>
                          <w:sz w:val="28"/>
                          <w:szCs w:val="28"/>
                        </w:rPr>
                      </w:pPr>
                      <w:r w:rsidRPr="00AE3C2C">
                        <w:rPr>
                          <w:b/>
                          <w:i/>
                          <w:noProof/>
                          <w:color w:val="1F497D"/>
                          <w:sz w:val="28"/>
                          <w:szCs w:val="28"/>
                        </w:rPr>
                        <w:drawing>
                          <wp:inline distT="0" distB="0" distL="0" distR="0" wp14:anchorId="40AFA094" wp14:editId="2E53E73D">
                            <wp:extent cx="2073243" cy="986516"/>
                            <wp:effectExtent l="0" t="0" r="1016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tton Snapper copy.jpg"/>
                                    <pic:cNvPicPr/>
                                  </pic:nvPicPr>
                                  <pic:blipFill>
                                    <a:blip r:embed="rId12">
                                      <a:extLst>
                                        <a:ext uri="{28A0092B-C50C-407E-A947-70E740481C1C}">
                                          <a14:useLocalDpi xmlns:a14="http://schemas.microsoft.com/office/drawing/2010/main" val="0"/>
                                        </a:ext>
                                      </a:extLst>
                                    </a:blip>
                                    <a:stretch>
                                      <a:fillRect/>
                                    </a:stretch>
                                  </pic:blipFill>
                                  <pic:spPr>
                                    <a:xfrm>
                                      <a:off x="0" y="0"/>
                                      <a:ext cx="2073243" cy="986516"/>
                                    </a:xfrm>
                                    <a:prstGeom prst="rect">
                                      <a:avLst/>
                                    </a:prstGeom>
                                  </pic:spPr>
                                </pic:pic>
                              </a:graphicData>
                            </a:graphic>
                          </wp:inline>
                        </w:drawing>
                      </w:r>
                    </w:p>
                    <w:p w14:paraId="5676A33D" w14:textId="5397AE7C" w:rsidR="009108B8" w:rsidRPr="008D6AB1" w:rsidRDefault="009108B8" w:rsidP="004623CD">
                      <w:pPr>
                        <w:numPr>
                          <w:ilvl w:val="0"/>
                          <w:numId w:val="5"/>
                        </w:numPr>
                        <w:rPr>
                          <w:rFonts w:ascii="Arial" w:hAnsi="Arial" w:cs="Arial"/>
                          <w:sz w:val="18"/>
                          <w:szCs w:val="18"/>
                        </w:rPr>
                      </w:pPr>
                      <w:r>
                        <w:rPr>
                          <w:rFonts w:ascii="Arial" w:hAnsi="Arial" w:cs="Arial"/>
                          <w:sz w:val="18"/>
                          <w:szCs w:val="18"/>
                        </w:rPr>
                        <w:t>Extend from Brazil to Massachusetts,</w:t>
                      </w:r>
                      <w:r w:rsidRPr="001A4869">
                        <w:rPr>
                          <w:rFonts w:ascii="Arial" w:hAnsi="Arial" w:cs="Arial"/>
                          <w:sz w:val="18"/>
                          <w:szCs w:val="18"/>
                        </w:rPr>
                        <w:t xml:space="preserve"> </w:t>
                      </w:r>
                      <w:r>
                        <w:rPr>
                          <w:rFonts w:ascii="Arial" w:hAnsi="Arial" w:cs="Arial"/>
                          <w:sz w:val="18"/>
                          <w:szCs w:val="18"/>
                        </w:rPr>
                        <w:t>including t</w:t>
                      </w:r>
                      <w:r w:rsidRPr="001A4869">
                        <w:rPr>
                          <w:rFonts w:ascii="Arial" w:hAnsi="Arial" w:cs="Arial"/>
                          <w:sz w:val="18"/>
                          <w:szCs w:val="18"/>
                        </w:rPr>
                        <w:t>he Gulf of Mexico and Caribbean Sea.</w:t>
                      </w:r>
                    </w:p>
                    <w:p w14:paraId="206146C2" w14:textId="77777777" w:rsidR="009108B8" w:rsidRPr="00395E46" w:rsidRDefault="009108B8" w:rsidP="00C21583">
                      <w:pPr>
                        <w:rPr>
                          <w:rFonts w:ascii="Arial" w:hAnsi="Arial" w:cs="Arial"/>
                          <w:sz w:val="18"/>
                          <w:szCs w:val="18"/>
                          <w:highlight w:val="yellow"/>
                        </w:rPr>
                      </w:pPr>
                    </w:p>
                    <w:p w14:paraId="4EE45405" w14:textId="08272D7F" w:rsidR="009108B8" w:rsidRPr="00DF4123" w:rsidRDefault="009108B8" w:rsidP="004623CD">
                      <w:pPr>
                        <w:numPr>
                          <w:ilvl w:val="0"/>
                          <w:numId w:val="5"/>
                        </w:numPr>
                        <w:rPr>
                          <w:rFonts w:ascii="Arial" w:hAnsi="Arial" w:cs="Arial"/>
                          <w:sz w:val="18"/>
                          <w:szCs w:val="18"/>
                        </w:rPr>
                      </w:pPr>
                      <w:r>
                        <w:rPr>
                          <w:rFonts w:ascii="Arial" w:hAnsi="Arial" w:cs="Arial"/>
                          <w:sz w:val="18"/>
                          <w:szCs w:val="18"/>
                        </w:rPr>
                        <w:t xml:space="preserve">Adults are </w:t>
                      </w:r>
                      <w:r w:rsidRPr="00DF4123">
                        <w:rPr>
                          <w:rFonts w:ascii="Arial" w:hAnsi="Arial" w:cs="Arial"/>
                          <w:sz w:val="18"/>
                          <w:szCs w:val="18"/>
                        </w:rPr>
                        <w:t>typica</w:t>
                      </w:r>
                      <w:r>
                        <w:rPr>
                          <w:rFonts w:ascii="Arial" w:hAnsi="Arial" w:cs="Arial"/>
                          <w:sz w:val="18"/>
                          <w:szCs w:val="18"/>
                        </w:rPr>
                        <w:t>lly associated with hard bottom and</w:t>
                      </w:r>
                      <w:r w:rsidRPr="00DF4123">
                        <w:rPr>
                          <w:rFonts w:ascii="Arial" w:hAnsi="Arial" w:cs="Arial"/>
                          <w:sz w:val="18"/>
                          <w:szCs w:val="18"/>
                        </w:rPr>
                        <w:t xml:space="preserve"> reef habitats, </w:t>
                      </w:r>
                      <w:r>
                        <w:rPr>
                          <w:rFonts w:ascii="Arial" w:hAnsi="Arial" w:cs="Arial"/>
                          <w:sz w:val="18"/>
                          <w:szCs w:val="18"/>
                        </w:rPr>
                        <w:t>as deep as 9</w:t>
                      </w:r>
                      <w:r w:rsidRPr="00DF4123">
                        <w:rPr>
                          <w:rFonts w:ascii="Arial" w:hAnsi="Arial" w:cs="Arial"/>
                          <w:sz w:val="18"/>
                          <w:szCs w:val="18"/>
                        </w:rPr>
                        <w:t xml:space="preserve">5 m, with juveniles in nearshore estuaries, </w:t>
                      </w:r>
                      <w:r>
                        <w:rPr>
                          <w:rFonts w:ascii="Arial" w:hAnsi="Arial" w:cs="Arial"/>
                          <w:sz w:val="18"/>
                          <w:szCs w:val="18"/>
                        </w:rPr>
                        <w:t xml:space="preserve">tidal mangrove creeks, canals, and </w:t>
                      </w:r>
                      <w:r w:rsidRPr="00DF4123">
                        <w:rPr>
                          <w:rFonts w:ascii="Arial" w:hAnsi="Arial" w:cs="Arial"/>
                          <w:sz w:val="18"/>
                          <w:szCs w:val="18"/>
                        </w:rPr>
                        <w:t xml:space="preserve">seagrass beds. </w:t>
                      </w:r>
                    </w:p>
                    <w:p w14:paraId="287831F6" w14:textId="77777777" w:rsidR="009108B8" w:rsidRPr="00395E46" w:rsidRDefault="009108B8" w:rsidP="00C21583">
                      <w:pPr>
                        <w:rPr>
                          <w:rFonts w:ascii="Arial" w:hAnsi="Arial" w:cs="Arial"/>
                          <w:sz w:val="18"/>
                          <w:szCs w:val="18"/>
                          <w:highlight w:val="yellow"/>
                        </w:rPr>
                      </w:pPr>
                    </w:p>
                    <w:p w14:paraId="262184A8" w14:textId="0BB10442" w:rsidR="009108B8" w:rsidRDefault="009108B8" w:rsidP="004623CD">
                      <w:pPr>
                        <w:pStyle w:val="ListParagraph"/>
                        <w:numPr>
                          <w:ilvl w:val="0"/>
                          <w:numId w:val="5"/>
                        </w:numPr>
                        <w:spacing w:after="0" w:line="240" w:lineRule="auto"/>
                        <w:rPr>
                          <w:rFonts w:ascii="Arial" w:hAnsi="Arial" w:cs="Arial"/>
                          <w:sz w:val="18"/>
                          <w:szCs w:val="18"/>
                        </w:rPr>
                      </w:pPr>
                      <w:r>
                        <w:rPr>
                          <w:rFonts w:ascii="Arial" w:hAnsi="Arial" w:cs="Arial"/>
                          <w:sz w:val="18"/>
                          <w:szCs w:val="18"/>
                        </w:rPr>
                        <w:t>Form spawning aggregations.</w:t>
                      </w:r>
                    </w:p>
                    <w:p w14:paraId="6EEAF626" w14:textId="77777777" w:rsidR="009108B8" w:rsidRPr="003B52DD" w:rsidRDefault="009108B8" w:rsidP="00C21583">
                      <w:pPr>
                        <w:rPr>
                          <w:rFonts w:ascii="Arial" w:hAnsi="Arial" w:cs="Arial"/>
                          <w:sz w:val="18"/>
                          <w:szCs w:val="18"/>
                        </w:rPr>
                      </w:pPr>
                    </w:p>
                    <w:p w14:paraId="46F1F6D5" w14:textId="3658B996" w:rsidR="009108B8" w:rsidRPr="00EE1E5A" w:rsidRDefault="009108B8" w:rsidP="004623CD">
                      <w:pPr>
                        <w:numPr>
                          <w:ilvl w:val="0"/>
                          <w:numId w:val="5"/>
                        </w:numPr>
                        <w:rPr>
                          <w:rFonts w:ascii="Arial" w:hAnsi="Arial" w:cs="Arial"/>
                          <w:sz w:val="18"/>
                          <w:szCs w:val="18"/>
                        </w:rPr>
                      </w:pPr>
                      <w:r w:rsidRPr="00EE1E5A">
                        <w:rPr>
                          <w:rFonts w:ascii="Arial" w:hAnsi="Arial" w:cs="Arial"/>
                          <w:sz w:val="18"/>
                          <w:szCs w:val="18"/>
                        </w:rPr>
                        <w:t xml:space="preserve">The spawning season extends from </w:t>
                      </w:r>
                      <w:r>
                        <w:rPr>
                          <w:rFonts w:ascii="Arial" w:hAnsi="Arial" w:cs="Arial"/>
                          <w:sz w:val="18"/>
                          <w:szCs w:val="18"/>
                        </w:rPr>
                        <w:t>February to July, with a peak in activity during May and June.</w:t>
                      </w:r>
                    </w:p>
                    <w:p w14:paraId="4B9719ED" w14:textId="77777777" w:rsidR="009108B8" w:rsidRPr="00395E46" w:rsidRDefault="009108B8" w:rsidP="00C21583">
                      <w:pPr>
                        <w:rPr>
                          <w:rFonts w:ascii="Arial" w:hAnsi="Arial" w:cs="Arial"/>
                          <w:sz w:val="18"/>
                          <w:szCs w:val="18"/>
                          <w:highlight w:val="yellow"/>
                        </w:rPr>
                      </w:pPr>
                    </w:p>
                    <w:p w14:paraId="7ECA7D0C" w14:textId="2828A1BE" w:rsidR="009108B8" w:rsidRPr="003B52DD" w:rsidRDefault="009108B8" w:rsidP="004623CD">
                      <w:pPr>
                        <w:numPr>
                          <w:ilvl w:val="0"/>
                          <w:numId w:val="5"/>
                        </w:numPr>
                        <w:rPr>
                          <w:rFonts w:ascii="Arial" w:hAnsi="Arial" w:cs="Arial"/>
                          <w:sz w:val="18"/>
                          <w:szCs w:val="18"/>
                        </w:rPr>
                      </w:pPr>
                      <w:r w:rsidRPr="003B52DD">
                        <w:rPr>
                          <w:rFonts w:ascii="Arial" w:hAnsi="Arial" w:cs="Arial"/>
                          <w:sz w:val="18"/>
                          <w:szCs w:val="18"/>
                        </w:rPr>
                        <w:t xml:space="preserve">Oldest fish </w:t>
                      </w:r>
                      <w:r>
                        <w:rPr>
                          <w:rFonts w:ascii="Arial" w:hAnsi="Arial" w:cs="Arial"/>
                          <w:sz w:val="18"/>
                          <w:szCs w:val="18"/>
                        </w:rPr>
                        <w:t>reported</w:t>
                      </w:r>
                      <w:r w:rsidRPr="003B52DD">
                        <w:rPr>
                          <w:rFonts w:ascii="Arial" w:hAnsi="Arial" w:cs="Arial"/>
                          <w:sz w:val="18"/>
                          <w:szCs w:val="18"/>
                        </w:rPr>
                        <w:t xml:space="preserve"> is </w:t>
                      </w:r>
                      <w:r>
                        <w:rPr>
                          <w:rFonts w:ascii="Arial" w:hAnsi="Arial" w:cs="Arial"/>
                          <w:sz w:val="18"/>
                          <w:szCs w:val="18"/>
                        </w:rPr>
                        <w:t>40</w:t>
                      </w:r>
                      <w:r w:rsidRPr="003B52DD">
                        <w:rPr>
                          <w:rFonts w:ascii="Arial" w:hAnsi="Arial" w:cs="Arial"/>
                          <w:sz w:val="18"/>
                          <w:szCs w:val="18"/>
                        </w:rPr>
                        <w:t xml:space="preserve"> years old</w:t>
                      </w:r>
                      <w:r>
                        <w:rPr>
                          <w:rFonts w:ascii="Arial" w:hAnsi="Arial" w:cs="Arial"/>
                          <w:sz w:val="18"/>
                          <w:szCs w:val="18"/>
                        </w:rPr>
                        <w:t>.</w:t>
                      </w:r>
                    </w:p>
                  </w:txbxContent>
                </v:textbox>
                <w10:wrap type="square"/>
              </v:shape>
            </w:pict>
          </mc:Fallback>
        </mc:AlternateContent>
      </w:r>
    </w:p>
    <w:p w14:paraId="0A266711" w14:textId="7382E5D5" w:rsidR="00803893" w:rsidRDefault="00803893" w:rsidP="00BB0107">
      <w:pPr>
        <w:ind w:firstLine="360"/>
      </w:pPr>
      <w:r>
        <w:t>Mutton snapper exhibit spatial separation of adult and juvenile members of the local population</w:t>
      </w:r>
      <w:r w:rsidR="00A42BFE">
        <w:t>.  After a pelagic larval period of approximately 31 days, mutton snapper settle onto a suite of available habitats including, nearshore vegetated habitats such as seagrass beds less than 10 m deep (Lindeman et al. 2000).  J</w:t>
      </w:r>
      <w:r w:rsidR="00A42BFE" w:rsidRPr="00A42BFE">
        <w:t>uveniles are abundant in shallow waters such as tidal mangrove creeks, canals, and shallow protected bays, utilizing turtle grass as bottom cover</w:t>
      </w:r>
      <w:r w:rsidR="006C7DD1">
        <w:t xml:space="preserve"> (Allen 1985)</w:t>
      </w:r>
      <w:r w:rsidR="00A42BFE" w:rsidRPr="00A42BFE">
        <w:t xml:space="preserve">. </w:t>
      </w:r>
      <w:r w:rsidR="00AB2619">
        <w:t xml:space="preserve"> </w:t>
      </w:r>
      <w:r w:rsidR="00D365F7" w:rsidRPr="00A42BFE">
        <w:t>Large adults are found in or near offshore reef and rock rubble habitats</w:t>
      </w:r>
      <w:r w:rsidR="00D365F7">
        <w:t xml:space="preserve">.  </w:t>
      </w:r>
      <w:r w:rsidR="00A42BFE">
        <w:t xml:space="preserve">Once </w:t>
      </w:r>
      <w:r w:rsidR="00A42BFE" w:rsidRPr="00A42BFE">
        <w:t>adult mutton snapper beco</w:t>
      </w:r>
      <w:r w:rsidR="00A42BFE">
        <w:t>me</w:t>
      </w:r>
      <w:r w:rsidR="00A42BFE" w:rsidRPr="00A42BFE">
        <w:t xml:space="preserve"> established in an area, they tend to remain there. </w:t>
      </w:r>
      <w:r w:rsidR="00A42BFE">
        <w:t xml:space="preserve"> </w:t>
      </w:r>
      <w:r w:rsidR="00A42BFE" w:rsidRPr="00A42BFE">
        <w:t xml:space="preserve">Small aggregations of mutton snapper may form during the day, disbanding at night. </w:t>
      </w:r>
      <w:r w:rsidR="00D365F7">
        <w:t xml:space="preserve"> </w:t>
      </w:r>
      <w:r w:rsidR="00A42BFE" w:rsidRPr="00A42BFE">
        <w:t xml:space="preserve">These fish may be </w:t>
      </w:r>
      <w:r w:rsidR="00A42BFE">
        <w:t>found at depths ranging from 80-</w:t>
      </w:r>
      <w:r w:rsidR="00A42BFE" w:rsidRPr="00A42BFE">
        <w:t>310 feet (25-95 m)</w:t>
      </w:r>
      <w:r w:rsidR="00FF7F8D" w:rsidRPr="00FF7F8D">
        <w:t xml:space="preserve"> (Murray and Bester 2007)</w:t>
      </w:r>
      <w:r w:rsidR="00A42BFE" w:rsidRPr="00A42BFE">
        <w:t>.</w:t>
      </w:r>
      <w:r>
        <w:t xml:space="preserve"> </w:t>
      </w:r>
      <w:r w:rsidR="00D365F7">
        <w:t xml:space="preserve"> </w:t>
      </w:r>
      <w:r w:rsidR="00BB0107" w:rsidRPr="00BB0107">
        <w:t>They are solitary and wary</w:t>
      </w:r>
      <w:r w:rsidR="00BB0107">
        <w:t xml:space="preserve"> </w:t>
      </w:r>
      <w:r w:rsidR="00BB0107" w:rsidRPr="00BB0107">
        <w:t>fish, rarely found in groups or schools</w:t>
      </w:r>
      <w:r w:rsidR="00BB0107">
        <w:t xml:space="preserve"> </w:t>
      </w:r>
      <w:r w:rsidR="00BB0107" w:rsidRPr="00BB0107">
        <w:t>except during spawning aggregations</w:t>
      </w:r>
      <w:r w:rsidR="00BB0107">
        <w:t xml:space="preserve"> </w:t>
      </w:r>
      <w:r w:rsidR="00156F83">
        <w:t>(Domeier et al.</w:t>
      </w:r>
      <w:r w:rsidR="00BB0107" w:rsidRPr="00BB0107">
        <w:t xml:space="preserve"> 1996).</w:t>
      </w:r>
    </w:p>
    <w:p w14:paraId="566034DD" w14:textId="77777777" w:rsidR="002E77FE" w:rsidRDefault="002E77FE" w:rsidP="00803893">
      <w:pPr>
        <w:ind w:firstLine="360"/>
      </w:pPr>
    </w:p>
    <w:p w14:paraId="5C6CAD26" w14:textId="15F044F9" w:rsidR="002E77FE" w:rsidRPr="00EF32D8" w:rsidRDefault="002E77FE" w:rsidP="002E77FE">
      <w:pPr>
        <w:ind w:firstLine="360"/>
      </w:pPr>
      <w:r>
        <w:t>Mutton snapper are known to form</w:t>
      </w:r>
      <w:r w:rsidRPr="00EF32D8">
        <w:t xml:space="preserve"> aggregations </w:t>
      </w:r>
      <w:r>
        <w:t xml:space="preserve">when they spawn </w:t>
      </w:r>
      <w:r w:rsidRPr="00EF32D8">
        <w:t xml:space="preserve">(Figuerola et al. 1997). </w:t>
      </w:r>
      <w:r>
        <w:t xml:space="preserve"> Burton et al. (2005 and references therein) indicate that mutton snapper spawning </w:t>
      </w:r>
      <w:r w:rsidRPr="002F639F">
        <w:t xml:space="preserve">occurs from May through July </w:t>
      </w:r>
      <w:r>
        <w:t xml:space="preserve">at Riley’s Hump </w:t>
      </w:r>
      <w:r w:rsidRPr="002F639F">
        <w:t xml:space="preserve">and peaks in June, as indicated by </w:t>
      </w:r>
      <w:r>
        <w:t>gonadosomatic indices</w:t>
      </w:r>
      <w:r w:rsidRPr="002F639F">
        <w:t xml:space="preserve"> (M. </w:t>
      </w:r>
      <w:r w:rsidR="00863B69">
        <w:t xml:space="preserve">L. </w:t>
      </w:r>
      <w:r w:rsidRPr="002F639F">
        <w:t>Burton, unpubl. data).</w:t>
      </w:r>
      <w:r>
        <w:t xml:space="preserve">  Fish begin to aggregate for spawning around the full moon (Burton et al</w:t>
      </w:r>
      <w:r w:rsidR="00863B69">
        <w:t>.</w:t>
      </w:r>
      <w:r>
        <w:t xml:space="preserve"> 2005).  </w:t>
      </w:r>
      <w:r w:rsidRPr="00EF32D8">
        <w:t xml:space="preserve">Individuals have been observed in spawning condition in the U.S. Caribbean from February through July (Erdman 1976). </w:t>
      </w:r>
      <w:r>
        <w:t xml:space="preserve"> </w:t>
      </w:r>
      <w:r w:rsidRPr="00EF32D8">
        <w:t xml:space="preserve">Some spawning occurs during February to June off Puerto Rico, but spawning peaks during the week following the full moon in April and May. </w:t>
      </w:r>
      <w:r>
        <w:t xml:space="preserve"> </w:t>
      </w:r>
      <w:r w:rsidRPr="00EF32D8">
        <w:t>Spawning aggregations are known to occur north of St. Thomas, USVI, and south of St. Croix, USVI, in March, April, and May (Rielinger 1999).</w:t>
      </w:r>
      <w:r>
        <w:t xml:space="preserve">  </w:t>
      </w:r>
      <w:r w:rsidR="005E61FB">
        <w:t>Spawning has also been reported from the Turks and Caicos, Florida, the Bahamas, and Cuba (Burton 2002, Barbieri and Colvocoresses 2003, Claro and Lindeman 2003).  Garcia-Cagide et al. (2001) and Claro and Lindeman (2003), place peak spawning 6-7 days after the full moon during May and June.</w:t>
      </w:r>
      <w:r w:rsidR="00702F15">
        <w:t xml:space="preserve">  Sexual maturity occurs at 40 cm fork length (FL; 16 inches) among males </w:t>
      </w:r>
      <w:r w:rsidR="00702F15">
        <w:lastRenderedPageBreak/>
        <w:t>and 46 cm FL (18 inches) among females (Sado</w:t>
      </w:r>
      <w:r w:rsidR="00873318">
        <w:t xml:space="preserve">vy de Mitcheson and Colin 2011 and references therein).  </w:t>
      </w:r>
    </w:p>
    <w:p w14:paraId="503B6924" w14:textId="77777777" w:rsidR="002E77FE" w:rsidRPr="00887DB8" w:rsidRDefault="002E77FE" w:rsidP="00887DB8"/>
    <w:p w14:paraId="3C494DCE" w14:textId="32F1B5C8" w:rsidR="00803893" w:rsidRPr="00846D0C" w:rsidRDefault="002E77FE" w:rsidP="00846D0C">
      <w:pPr>
        <w:ind w:firstLine="360"/>
        <w:rPr>
          <w:b/>
          <w:bCs/>
          <w:lang w:val="x-none" w:eastAsia="x-none"/>
        </w:rPr>
      </w:pPr>
      <w:r>
        <w:t>Graham et al</w:t>
      </w:r>
      <w:r w:rsidR="005E61FB">
        <w:t>.</w:t>
      </w:r>
      <w:r>
        <w:t xml:space="preserve"> (2008) report evidence of a significant decline in catch-per-unit effort, mean landings and inter-annual median lengths of mutton snapper in Belize, due to overexploitation at a spawning aggregation in Gladden Spit.  The authors suggest that “a</w:t>
      </w:r>
      <w:r w:rsidRPr="002F639F">
        <w:t xml:space="preserve"> precautionary approach to spawning aggregation management is warranted that provides full protection from fishing to enhance population persistence. </w:t>
      </w:r>
      <w:r w:rsidR="005E61FB">
        <w:t xml:space="preserve"> </w:t>
      </w:r>
      <w:r w:rsidRPr="002F639F">
        <w:t>The findings also highlight the need for substantially greater enforcement and long-term fisheries monitoring under a comprehensive regional management strategy.</w:t>
      </w:r>
      <w:r>
        <w:t>”</w:t>
      </w:r>
      <w:r w:rsidR="00AB2619">
        <w:t xml:space="preserve"> </w:t>
      </w:r>
      <w:r w:rsidR="00FE2956">
        <w:t>Mutton snapper was listed as “vulnerable” in the 2015 IUCN red list of threatened species (</w:t>
      </w:r>
      <w:hyperlink r:id="rId43" w:history="1">
        <w:r w:rsidR="00FE2956" w:rsidRPr="00FE2956">
          <w:rPr>
            <w:rStyle w:val="Hyperlink"/>
          </w:rPr>
          <w:t>http://www.iucnredlist.org/details/12416/0</w:t>
        </w:r>
      </w:hyperlink>
      <w:r w:rsidR="00FE2956">
        <w:t>)</w:t>
      </w:r>
    </w:p>
    <w:p w14:paraId="2FA335CF" w14:textId="77777777" w:rsidR="00C63516" w:rsidRDefault="00C63516" w:rsidP="00803893">
      <w:pPr>
        <w:ind w:firstLine="360"/>
      </w:pPr>
    </w:p>
    <w:p w14:paraId="57759285" w14:textId="77777777" w:rsidR="00C63516" w:rsidRDefault="00C63516" w:rsidP="00C63516">
      <w:pPr>
        <w:ind w:firstLine="360"/>
      </w:pPr>
      <w:r>
        <w:t>Little is documented regarding the seasonal migrations of mutton snapper along coastlines.</w:t>
      </w:r>
    </w:p>
    <w:p w14:paraId="48B709C8" w14:textId="112DD42E" w:rsidR="00C63516" w:rsidRDefault="00C63516" w:rsidP="00C63516">
      <w:r>
        <w:t xml:space="preserve">Fishermen in Martin County, Florida, note a spike in catch rates during the Fall (November) and Winter (February) that may be related to the latitudinal movement of fishes into the region (B. Hartig, B. Taylor pers. </w:t>
      </w:r>
      <w:r w:rsidR="00D1588C">
        <w:t>c</w:t>
      </w:r>
      <w:r>
        <w:t>om</w:t>
      </w:r>
      <w:r w:rsidR="00D1588C">
        <w:t>.</w:t>
      </w:r>
      <w:r>
        <w:t>).  Perhaps the most significant movement patterns of mutton snapper occurs during the summer, when normally solitary individuals aggregate during days and weeks of travel time to specific locations that persist from days to two weeks throughout the Caribbean (Domeier and Colin 1997).  In Florida, Lindeman et al. (2000) reported 22 locations identified by fishermen in the lower Keys that may serve as spawning aggregations for snapper; only three of which were particular to mutton snapper.  Claro and Lindeman (2003) report nine snapper spawning locations in Cuba; four of which were used by mutton snapper.</w:t>
      </w:r>
    </w:p>
    <w:p w14:paraId="3B39F04B" w14:textId="77777777" w:rsidR="005F0A4A" w:rsidRDefault="005F0A4A" w:rsidP="00C63516"/>
    <w:p w14:paraId="0A81BF61" w14:textId="73E8257F" w:rsidR="00473054" w:rsidRDefault="00AE6F07" w:rsidP="00887DB8">
      <w:pPr>
        <w:ind w:firstLine="360"/>
      </w:pPr>
      <w:r>
        <w:t>Faunce et</w:t>
      </w:r>
      <w:r w:rsidR="005F0A4A">
        <w:t xml:space="preserve"> al. (2007) considered mutton snapper in the southeastern </w:t>
      </w:r>
      <w:r w:rsidR="00887DB8">
        <w:t>U.S.</w:t>
      </w:r>
      <w:r w:rsidR="005F0A4A">
        <w:t xml:space="preserve"> to be a single stock.</w:t>
      </w:r>
      <w:r w:rsidR="00672E85">
        <w:t xml:space="preserve">  </w:t>
      </w:r>
      <w:r w:rsidR="00887DB8" w:rsidRPr="00887DB8">
        <w:t>The st</w:t>
      </w:r>
      <w:r w:rsidR="002C5BBC">
        <w:t>rong Caribbean, loop, and Gulf S</w:t>
      </w:r>
      <w:r w:rsidR="00887DB8" w:rsidRPr="00887DB8">
        <w:t>tream currents of the region are sufficient to maintain a homogenous population a</w:t>
      </w:r>
      <w:r w:rsidR="002C5BBC">
        <w:t>t the genetic level (Shulzitski</w:t>
      </w:r>
      <w:r w:rsidR="00887DB8" w:rsidRPr="00887DB8">
        <w:t xml:space="preserve"> et al. 2005). </w:t>
      </w:r>
      <w:r w:rsidR="00887DB8">
        <w:t xml:space="preserve"> </w:t>
      </w:r>
      <w:r w:rsidR="00672E85">
        <w:t>A recent study (Carson et al. 2011) of the genetics of mutton snapper from the Florida Keys, Puerto Rico, and the U.S. Virgin Islands supported the single stock hypothesis.</w:t>
      </w:r>
    </w:p>
    <w:p w14:paraId="711135A3" w14:textId="77777777" w:rsidR="00672E85" w:rsidRDefault="00672E85" w:rsidP="005F0A4A">
      <w:pPr>
        <w:ind w:firstLine="360"/>
      </w:pPr>
    </w:p>
    <w:p w14:paraId="057589FC" w14:textId="7C5ECA2B" w:rsidR="00473054" w:rsidRDefault="00473054" w:rsidP="00473054">
      <w:pPr>
        <w:rPr>
          <w:b/>
          <w:i/>
          <w:u w:val="single"/>
        </w:rPr>
      </w:pPr>
      <w:r w:rsidRPr="00473054">
        <w:rPr>
          <w:b/>
          <w:i/>
          <w:u w:val="single"/>
        </w:rPr>
        <w:t>Stock Status</w:t>
      </w:r>
    </w:p>
    <w:p w14:paraId="27784035" w14:textId="76495B0F" w:rsidR="00473054" w:rsidRDefault="007306CC" w:rsidP="00667CDC">
      <w:pPr>
        <w:ind w:firstLine="360"/>
      </w:pPr>
      <w:r>
        <w:t xml:space="preserve">Mutton snapper in the South Atlantic and the Gulf of Mexico </w:t>
      </w:r>
      <w:r w:rsidR="000B2C10">
        <w:t>are considered to belong to a single stock.  The stock was</w:t>
      </w:r>
      <w:r>
        <w:t xml:space="preserve"> assessed through SEDA</w:t>
      </w:r>
      <w:r w:rsidR="000B2C10">
        <w:t>R 15A (2008) with data</w:t>
      </w:r>
      <w:r>
        <w:t xml:space="preserve"> through 2006. </w:t>
      </w:r>
      <w:r w:rsidR="000B2C10">
        <w:t xml:space="preserve"> </w:t>
      </w:r>
      <w:r w:rsidR="001B7BCC">
        <w:rPr>
          <w:color w:val="000000"/>
        </w:rPr>
        <w:t xml:space="preserve">Snapper Grouper </w:t>
      </w:r>
      <w:r w:rsidR="001B7BCC" w:rsidRPr="00CC4CCC">
        <w:rPr>
          <w:color w:val="000000"/>
        </w:rPr>
        <w:t>Amendment 11 (</w:t>
      </w:r>
      <w:r w:rsidR="001B7BCC">
        <w:rPr>
          <w:color w:val="000000"/>
        </w:rPr>
        <w:t xml:space="preserve">SAFMC </w:t>
      </w:r>
      <w:r w:rsidR="00572B79">
        <w:rPr>
          <w:color w:val="000000"/>
        </w:rPr>
        <w:t>1998</w:t>
      </w:r>
      <w:r w:rsidR="001B7BCC" w:rsidRPr="00CC4CCC">
        <w:rPr>
          <w:color w:val="000000"/>
        </w:rPr>
        <w:t>) and the Generic Annual Catch Limits/Accountability Measures Amendment (</w:t>
      </w:r>
      <w:r w:rsidR="001B7BCC">
        <w:rPr>
          <w:color w:val="000000"/>
        </w:rPr>
        <w:t>GMFMC 2011)</w:t>
      </w:r>
      <w:r w:rsidR="001B7BCC" w:rsidRPr="00CC4CCC">
        <w:rPr>
          <w:color w:val="000000"/>
        </w:rPr>
        <w:t xml:space="preserve"> </w:t>
      </w:r>
      <w:r w:rsidR="001B7BCC">
        <w:rPr>
          <w:color w:val="000000"/>
        </w:rPr>
        <w:t>specified</w:t>
      </w:r>
      <w:r w:rsidR="001B7BCC" w:rsidRPr="00CC4CCC">
        <w:rPr>
          <w:color w:val="000000"/>
        </w:rPr>
        <w:t xml:space="preserve"> F</w:t>
      </w:r>
      <w:r w:rsidR="001B7BCC" w:rsidRPr="00CC4CCC">
        <w:rPr>
          <w:color w:val="000000"/>
          <w:vertAlign w:val="subscript"/>
        </w:rPr>
        <w:t>30%</w:t>
      </w:r>
      <w:r w:rsidR="001B7BCC" w:rsidRPr="00CC4CCC">
        <w:rPr>
          <w:color w:val="000000"/>
        </w:rPr>
        <w:t xml:space="preserve"> as a proxy</w:t>
      </w:r>
      <w:r w:rsidR="001B7BCC">
        <w:rPr>
          <w:color w:val="000000"/>
        </w:rPr>
        <w:t xml:space="preserve"> </w:t>
      </w:r>
      <w:r w:rsidR="001B7BCC" w:rsidRPr="00CC4CCC">
        <w:rPr>
          <w:color w:val="000000"/>
        </w:rPr>
        <w:t>for F</w:t>
      </w:r>
      <w:r w:rsidR="001B7BCC" w:rsidRPr="00CC4CCC">
        <w:rPr>
          <w:color w:val="000000"/>
          <w:vertAlign w:val="subscript"/>
        </w:rPr>
        <w:t>MSY</w:t>
      </w:r>
      <w:r w:rsidR="001B7BCC" w:rsidRPr="00CC4CCC">
        <w:rPr>
          <w:color w:val="000000"/>
        </w:rPr>
        <w:t xml:space="preserve"> and the corresponding yield as a proxy for </w:t>
      </w:r>
      <w:r w:rsidR="001B7BCC">
        <w:rPr>
          <w:color w:val="000000"/>
        </w:rPr>
        <w:t>Maximum Sustainable Yield</w:t>
      </w:r>
      <w:r w:rsidR="001B7BCC" w:rsidRPr="00CC4CCC">
        <w:rPr>
          <w:color w:val="000000"/>
        </w:rPr>
        <w:t xml:space="preserve">, </w:t>
      </w:r>
      <w:r w:rsidR="001B7BCC">
        <w:rPr>
          <w:color w:val="000000"/>
        </w:rPr>
        <w:t xml:space="preserve">and specified the </w:t>
      </w:r>
      <w:r w:rsidR="001B7BCC" w:rsidRPr="00CC4CCC">
        <w:rPr>
          <w:color w:val="000000"/>
        </w:rPr>
        <w:t>yield at F</w:t>
      </w:r>
      <w:r w:rsidR="001B7BCC" w:rsidRPr="00CC4CCC">
        <w:rPr>
          <w:color w:val="000000"/>
          <w:vertAlign w:val="subscript"/>
        </w:rPr>
        <w:t>40%</w:t>
      </w:r>
      <w:r w:rsidR="001B7BCC">
        <w:rPr>
          <w:color w:val="000000"/>
        </w:rPr>
        <w:t xml:space="preserve"> </w:t>
      </w:r>
      <w:r w:rsidR="001B7BCC" w:rsidRPr="00CC4CCC">
        <w:rPr>
          <w:color w:val="000000"/>
        </w:rPr>
        <w:t>as a proxy for the Acceptable Biological Catch</w:t>
      </w:r>
      <w:r w:rsidR="001B7BCC">
        <w:rPr>
          <w:color w:val="000000"/>
        </w:rPr>
        <w:t xml:space="preserve"> (ABC)</w:t>
      </w:r>
      <w:r w:rsidR="001B7BCC" w:rsidRPr="00CC4CCC">
        <w:rPr>
          <w:color w:val="000000"/>
        </w:rPr>
        <w:t xml:space="preserve">. </w:t>
      </w:r>
      <w:r w:rsidR="001B7BCC">
        <w:rPr>
          <w:color w:val="000000"/>
        </w:rPr>
        <w:t xml:space="preserve"> </w:t>
      </w:r>
      <w:r w:rsidR="001B7BCC" w:rsidRPr="00CC4CCC">
        <w:rPr>
          <w:color w:val="000000"/>
        </w:rPr>
        <w:t>The</w:t>
      </w:r>
      <w:r w:rsidR="001B7BCC">
        <w:rPr>
          <w:color w:val="000000"/>
        </w:rPr>
        <w:t xml:space="preserve"> </w:t>
      </w:r>
      <w:r w:rsidR="001B7BCC" w:rsidRPr="00CC4CCC">
        <w:rPr>
          <w:color w:val="000000"/>
        </w:rPr>
        <w:t xml:space="preserve">SEDAR 15A </w:t>
      </w:r>
      <w:r w:rsidR="001B7BCC">
        <w:rPr>
          <w:color w:val="000000"/>
        </w:rPr>
        <w:t xml:space="preserve">(2008) </w:t>
      </w:r>
      <w:r w:rsidR="001B7BCC" w:rsidRPr="00CC4CCC">
        <w:rPr>
          <w:color w:val="000000"/>
        </w:rPr>
        <w:t>A</w:t>
      </w:r>
      <w:r w:rsidR="001B7BCC">
        <w:rPr>
          <w:color w:val="000000"/>
        </w:rPr>
        <w:t xml:space="preserve">ssessment </w:t>
      </w:r>
      <w:r w:rsidR="001B7BCC" w:rsidRPr="00CC4CCC">
        <w:rPr>
          <w:color w:val="000000"/>
        </w:rPr>
        <w:t>W</w:t>
      </w:r>
      <w:r w:rsidR="001B7BCC">
        <w:rPr>
          <w:color w:val="000000"/>
        </w:rPr>
        <w:t>orkshop</w:t>
      </w:r>
      <w:r w:rsidR="001B7BCC" w:rsidRPr="00CC4CCC">
        <w:rPr>
          <w:color w:val="000000"/>
        </w:rPr>
        <w:t xml:space="preserve"> panel did not recommend changing any of the management criteria for mutton</w:t>
      </w:r>
      <w:r w:rsidR="001B7BCC">
        <w:rPr>
          <w:color w:val="000000"/>
        </w:rPr>
        <w:t xml:space="preserve"> </w:t>
      </w:r>
      <w:r w:rsidR="001B7BCC" w:rsidRPr="00CC4CCC">
        <w:rPr>
          <w:color w:val="000000"/>
        </w:rPr>
        <w:t>snapper.</w:t>
      </w:r>
      <w:r w:rsidR="001B7BCC">
        <w:t xml:space="preserve">  </w:t>
      </w:r>
      <w:r>
        <w:t>The mutton snapper stock was determin</w:t>
      </w:r>
      <w:r w:rsidR="00F5584A">
        <w:t>ed to not be overfished nor</w:t>
      </w:r>
      <w:r>
        <w:t xml:space="preserve"> was it undergoing</w:t>
      </w:r>
      <w:r w:rsidR="00C466F6">
        <w:t xml:space="preserve"> overfishing at that time.  From the SEDAR 15A (2008) report: </w:t>
      </w:r>
      <w:r w:rsidR="00C466F6" w:rsidRPr="00C466F6">
        <w:rPr>
          <w:i/>
        </w:rPr>
        <w:t>The stock status ratios from the base run were F</w:t>
      </w:r>
      <w:r w:rsidR="00C466F6" w:rsidRPr="00C466F6">
        <w:rPr>
          <w:i/>
          <w:vertAlign w:val="subscript"/>
        </w:rPr>
        <w:t>2006</w:t>
      </w:r>
      <w:r w:rsidR="00C466F6" w:rsidRPr="00C466F6">
        <w:rPr>
          <w:i/>
        </w:rPr>
        <w:t>/F</w:t>
      </w:r>
      <w:r w:rsidR="00C466F6" w:rsidRPr="00C466F6">
        <w:rPr>
          <w:i/>
          <w:vertAlign w:val="subscript"/>
        </w:rPr>
        <w:t xml:space="preserve">30% </w:t>
      </w:r>
      <w:r w:rsidR="00C466F6" w:rsidRPr="00C466F6">
        <w:rPr>
          <w:i/>
        </w:rPr>
        <w:t>= 0.51 and SSB</w:t>
      </w:r>
      <w:r w:rsidR="00C466F6" w:rsidRPr="00C466F6">
        <w:rPr>
          <w:i/>
          <w:vertAlign w:val="subscript"/>
        </w:rPr>
        <w:t>2006</w:t>
      </w:r>
      <w:r w:rsidR="00C466F6" w:rsidRPr="00C466F6">
        <w:rPr>
          <w:i/>
        </w:rPr>
        <w:t>/SSB</w:t>
      </w:r>
      <w:r w:rsidR="00C466F6" w:rsidRPr="00C466F6">
        <w:rPr>
          <w:i/>
          <w:vertAlign w:val="subscript"/>
        </w:rPr>
        <w:t xml:space="preserve">F30% </w:t>
      </w:r>
      <w:r w:rsidR="00C466F6" w:rsidRPr="00C466F6">
        <w:rPr>
          <w:i/>
        </w:rPr>
        <w:t xml:space="preserve">= 1.14. </w:t>
      </w:r>
      <w:r w:rsidR="00AB2619">
        <w:rPr>
          <w:i/>
        </w:rPr>
        <w:t xml:space="preserve"> </w:t>
      </w:r>
      <w:r w:rsidR="00C466F6" w:rsidRPr="00C466F6">
        <w:rPr>
          <w:i/>
        </w:rPr>
        <w:t>Using the current status criteria, the base run indicates the stock was neither undergoing overfishing nor was the stock overfished in 2006, but sensitivity runs indicate that there is a moderate probability that the stock could be overfished.</w:t>
      </w:r>
      <w:r w:rsidR="00AB2619">
        <w:rPr>
          <w:i/>
        </w:rPr>
        <w:t xml:space="preserve"> </w:t>
      </w:r>
      <w:r w:rsidR="00C466F6" w:rsidRPr="00C466F6">
        <w:rPr>
          <w:i/>
        </w:rPr>
        <w:t>The general increase in the recreational fishing mortality rate adds to the concern.</w:t>
      </w:r>
    </w:p>
    <w:p w14:paraId="5436D5CE" w14:textId="77777777" w:rsidR="00C466F6" w:rsidRDefault="00C466F6" w:rsidP="00C466F6"/>
    <w:p w14:paraId="4B43FE5B" w14:textId="03C5718D" w:rsidR="00473054" w:rsidRDefault="00846D0C" w:rsidP="00846D0C">
      <w:pPr>
        <w:ind w:firstLine="360"/>
        <w:rPr>
          <w:i/>
        </w:rPr>
      </w:pPr>
      <w:r>
        <w:lastRenderedPageBreak/>
        <w:t>An</w:t>
      </w:r>
      <w:r w:rsidR="00C466F6">
        <w:t xml:space="preserve"> update assessment was conducted in 2015 with data through 2013 (SEDAR 15A Update).  </w:t>
      </w:r>
      <w:r w:rsidR="000B2C10">
        <w:t xml:space="preserve">The update results showed that mutton snapper in the South Atlantic and Gulf of Mexico were neither overfished nor undergoing overfishing.  From the SEDAR 15A Update (2015):  </w:t>
      </w:r>
      <w:r w:rsidR="003255B0" w:rsidRPr="009E7298">
        <w:rPr>
          <w:i/>
        </w:rPr>
        <w:t xml:space="preserve">The current fishing mortality rate of fully selected ages expressed as the geometric mean of the rates from 2011, 2012, and 2013 was 0.12 per year and the Maximum Fishing Mortality Threshold (MFMT) was 0.18 per year which was defined as the fishing mortality rate associated with a spawning potential ratio of 30% (GMFMC and SAFMC 2011) </w:t>
      </w:r>
      <w:r w:rsidR="009E7298" w:rsidRPr="009E7298">
        <w:rPr>
          <w:i/>
        </w:rPr>
        <w:t>such that mutton snapper was not undergoing overfishing.  The spawning biomass in 2013 was 2,387 mt and the biomass at MFMT was 2,109 mt such that mutton snapper were not overfished.</w:t>
      </w:r>
      <w:r w:rsidR="00A07E09">
        <w:rPr>
          <w:i/>
        </w:rPr>
        <w:t xml:space="preserve">  The Overfishing Limit (OFL) was defined as the yield associated with the MFMT and the value from the base run was 413,900 mt (912,500 lb) and the Acceptable Biological Catch (ABC) was the yield at a fishing mortality rate associated with a spawning potential ratio of 40% and the value from the base run was 396,400 mt (874,000 lb).</w:t>
      </w:r>
    </w:p>
    <w:p w14:paraId="300DFDD5" w14:textId="77777777" w:rsidR="00432B95" w:rsidRDefault="00432B95" w:rsidP="00846D0C">
      <w:pPr>
        <w:ind w:firstLine="360"/>
        <w:rPr>
          <w:i/>
        </w:rPr>
      </w:pPr>
    </w:p>
    <w:p w14:paraId="23CFA022" w14:textId="25669743" w:rsidR="00432B95" w:rsidRDefault="00432B95" w:rsidP="00846D0C">
      <w:pPr>
        <w:ind w:firstLine="360"/>
      </w:pPr>
      <w:r>
        <w:t xml:space="preserve">The SEDAR 15A Update (2015) resulted in lower </w:t>
      </w:r>
      <w:r w:rsidR="00796707">
        <w:t xml:space="preserve">biological reference points and </w:t>
      </w:r>
      <w:r>
        <w:t xml:space="preserve">fishing level projections than those from the original assessment (SEDAR 15A 2008).  </w:t>
      </w:r>
      <w:r w:rsidRPr="00432B95">
        <w:t xml:space="preserve">The </w:t>
      </w:r>
      <w:r>
        <w:t xml:space="preserve">methodologies used in the </w:t>
      </w:r>
      <w:r w:rsidRPr="00432B95">
        <w:t xml:space="preserve">two assessments are very different making direct comparisons difficult, however.  </w:t>
      </w:r>
      <w:r>
        <w:t>A few items were noted that could have contributed to the differences: the</w:t>
      </w:r>
      <w:r w:rsidRPr="00432B95">
        <w:t xml:space="preserve"> MRIP-calibrated landings used in the update are very different (especially in the early years of the time series) from the landings stream in the original assessment. </w:t>
      </w:r>
      <w:r>
        <w:t xml:space="preserve"> </w:t>
      </w:r>
      <w:r w:rsidRPr="00432B95">
        <w:t>Also</w:t>
      </w:r>
      <w:r w:rsidR="00AB2619">
        <w:t>,</w:t>
      </w:r>
      <w:r w:rsidRPr="00432B95">
        <w:t xml:space="preserve"> the update included several more years of data (7 years) than what a typical update usually includes. </w:t>
      </w:r>
      <w:r w:rsidR="00796707">
        <w:t xml:space="preserve"> </w:t>
      </w:r>
      <w:r w:rsidRPr="00432B95">
        <w:t>In addition, the original assessment was done with few samples for growth and reproductive parameters.  In short, there are probably numerous factors contributing to the difference i</w:t>
      </w:r>
      <w:r w:rsidR="00383521">
        <w:t xml:space="preserve">n the </w:t>
      </w:r>
      <w:r w:rsidR="00796707">
        <w:t xml:space="preserve">reference points and </w:t>
      </w:r>
      <w:r w:rsidR="00383521">
        <w:t xml:space="preserve">projected levels of catch.  </w:t>
      </w:r>
      <w:r w:rsidR="00AB2619">
        <w:t>B</w:t>
      </w:r>
      <w:r w:rsidR="00AE6F07">
        <w:t>ecause of its</w:t>
      </w:r>
      <w:r w:rsidR="00383521" w:rsidRPr="00383521">
        <w:t xml:space="preserve"> life history, there can be hyper</w:t>
      </w:r>
      <w:r w:rsidR="00AB2619">
        <w:t>-</w:t>
      </w:r>
      <w:r w:rsidR="00383521" w:rsidRPr="00383521">
        <w:t xml:space="preserve">stability in the indices of abundance: because the bulk of the landings are happening in May and June when mutton are forming spawning aggregations, the </w:t>
      </w:r>
      <w:r w:rsidR="00383521">
        <w:t xml:space="preserve">catch per unit effort </w:t>
      </w:r>
      <w:r w:rsidR="00383521" w:rsidRPr="00383521">
        <w:t>fluctuates little and this may lead to the assumption that catches are sustainable over the long term when in fact they are not.  Also</w:t>
      </w:r>
      <w:r w:rsidR="00AB2619">
        <w:t>,</w:t>
      </w:r>
      <w:r w:rsidR="00383521" w:rsidRPr="00383521">
        <w:t xml:space="preserve"> recruitment is affected </w:t>
      </w:r>
      <w:r w:rsidR="00383521">
        <w:t xml:space="preserve">by this type of harvest and proactive management measures are needed </w:t>
      </w:r>
      <w:r w:rsidR="00383521" w:rsidRPr="00383521">
        <w:t xml:space="preserve">to prevent </w:t>
      </w:r>
      <w:r w:rsidR="00383521">
        <w:t>overfishing</w:t>
      </w:r>
      <w:r w:rsidR="00383521" w:rsidRPr="00383521">
        <w:t>.</w:t>
      </w:r>
    </w:p>
    <w:p w14:paraId="7D19B78D" w14:textId="045A5708" w:rsidR="00C41736" w:rsidRDefault="00C41736" w:rsidP="00C41736">
      <w:pPr>
        <w:pStyle w:val="Heading3"/>
        <w:rPr>
          <w:bCs w:val="0"/>
          <w:sz w:val="28"/>
          <w:szCs w:val="28"/>
        </w:rPr>
      </w:pPr>
      <w:bookmarkStart w:id="113" w:name="_Toc339811718"/>
      <w:r w:rsidRPr="00C41736">
        <w:rPr>
          <w:bCs w:val="0"/>
          <w:sz w:val="28"/>
          <w:szCs w:val="28"/>
        </w:rPr>
        <w:t>3.2.2  Bycatch</w:t>
      </w:r>
      <w:bookmarkEnd w:id="113"/>
    </w:p>
    <w:p w14:paraId="07E52237" w14:textId="77777777" w:rsidR="00C41736" w:rsidRPr="00C41736" w:rsidRDefault="00C41736" w:rsidP="00C41736"/>
    <w:p w14:paraId="0F384773" w14:textId="64C3A2EB" w:rsidR="00C41736" w:rsidRPr="00C41736" w:rsidRDefault="00241AEF" w:rsidP="009A2C4B">
      <w:pPr>
        <w:ind w:firstLine="360"/>
      </w:pPr>
      <w:r w:rsidRPr="009C5ECD">
        <w:t xml:space="preserve">As summarized in </w:t>
      </w:r>
      <w:r w:rsidRPr="00F31217">
        <w:rPr>
          <w:b/>
        </w:rPr>
        <w:t>Appendix D</w:t>
      </w:r>
      <w:r>
        <w:t xml:space="preserve">, the </w:t>
      </w:r>
      <w:r w:rsidRPr="00C41736">
        <w:t xml:space="preserve">Bycatch Practicability Analysis </w:t>
      </w:r>
      <w:r>
        <w:t>(</w:t>
      </w:r>
      <w:r w:rsidRPr="009C5ECD">
        <w:t>BPA</w:t>
      </w:r>
      <w:r>
        <w:t>)</w:t>
      </w:r>
      <w:r w:rsidRPr="009C5ECD">
        <w:t xml:space="preserve">, the actions in Amendment 41 are not expected to result in significant changes in bycatch of mutton snapper.  In addition, the </w:t>
      </w:r>
      <w:r w:rsidR="00EF6C02">
        <w:t xml:space="preserve">South Atlantic </w:t>
      </w:r>
      <w:r w:rsidRPr="009C5ECD">
        <w:t xml:space="preserve">Council, NMFS, and the SEFSC have implemented and plan to implement </w:t>
      </w:r>
      <w:r w:rsidRPr="009C5ECD">
        <w:rPr>
          <w:color w:val="000000"/>
        </w:rPr>
        <w:t xml:space="preserve">numerous management measures and reporting requirements that have improved, or are likely to improve monitoring efforts of discards and discard mortality. </w:t>
      </w:r>
      <w:r>
        <w:rPr>
          <w:color w:val="000000"/>
        </w:rPr>
        <w:t xml:space="preserve"> </w:t>
      </w:r>
      <w:r w:rsidRPr="009C5ECD">
        <w:rPr>
          <w:color w:val="000000"/>
        </w:rPr>
        <w:t>Therefore, no additional action is needed to minimize bycatch or bycatch mortality within the snapper grouper fishery.</w:t>
      </w:r>
      <w:r>
        <w:rPr>
          <w:color w:val="000000"/>
        </w:rPr>
        <w:t xml:space="preserve">  </w:t>
      </w:r>
      <w:r w:rsidR="00C41736" w:rsidRPr="00C41736">
        <w:t xml:space="preserve">See </w:t>
      </w:r>
      <w:r w:rsidR="00C41736">
        <w:rPr>
          <w:b/>
          <w:bCs/>
        </w:rPr>
        <w:t>Appendix D</w:t>
      </w:r>
      <w:r w:rsidR="00C41736" w:rsidRPr="00C41736">
        <w:rPr>
          <w:b/>
          <w:bCs/>
        </w:rPr>
        <w:t xml:space="preserve"> </w:t>
      </w:r>
      <w:r w:rsidR="00C41736" w:rsidRPr="00C41736">
        <w:t>for detailed descriptions of bycatch</w:t>
      </w:r>
      <w:r>
        <w:t xml:space="preserve"> </w:t>
      </w:r>
      <w:r w:rsidR="00C41736" w:rsidRPr="00C41736">
        <w:t xml:space="preserve">when fishing for </w:t>
      </w:r>
      <w:r w:rsidR="00C41736">
        <w:t>mutton snapper</w:t>
      </w:r>
      <w:r w:rsidR="00C41736" w:rsidRPr="00C41736">
        <w:t>.</w:t>
      </w:r>
    </w:p>
    <w:p w14:paraId="79E8772D" w14:textId="77777777" w:rsidR="00D92BEF" w:rsidRDefault="00D92BEF" w:rsidP="00D92BEF">
      <w:pPr>
        <w:ind w:firstLine="360"/>
      </w:pPr>
    </w:p>
    <w:p w14:paraId="7C5E3F17" w14:textId="46A74E84" w:rsidR="00C41736" w:rsidRDefault="005E224F" w:rsidP="00D71AB1">
      <w:pPr>
        <w:keepNext/>
        <w:spacing w:before="240" w:after="60"/>
        <w:outlineLvl w:val="2"/>
        <w:rPr>
          <w:rFonts w:ascii="Arial" w:hAnsi="Arial" w:cs="Arial"/>
          <w:b/>
          <w:bCs/>
          <w:sz w:val="28"/>
          <w:szCs w:val="28"/>
        </w:rPr>
      </w:pPr>
      <w:r w:rsidRPr="005E224F">
        <w:rPr>
          <w:rFonts w:ascii="Arial" w:hAnsi="Arial" w:cs="Arial"/>
          <w:b/>
          <w:bCs/>
          <w:sz w:val="28"/>
          <w:szCs w:val="28"/>
        </w:rPr>
        <w:t>3</w:t>
      </w:r>
      <w:r w:rsidR="00C41736">
        <w:rPr>
          <w:rFonts w:ascii="Arial" w:hAnsi="Arial" w:cs="Arial"/>
          <w:b/>
          <w:bCs/>
          <w:sz w:val="28"/>
          <w:szCs w:val="28"/>
        </w:rPr>
        <w:t>.2.3</w:t>
      </w:r>
      <w:r w:rsidRPr="005E224F">
        <w:rPr>
          <w:rFonts w:ascii="Arial" w:hAnsi="Arial" w:cs="Arial"/>
          <w:b/>
          <w:bCs/>
          <w:sz w:val="28"/>
          <w:szCs w:val="28"/>
        </w:rPr>
        <w:tab/>
        <w:t>Other Species Affected</w:t>
      </w:r>
      <w:bookmarkEnd w:id="108"/>
    </w:p>
    <w:p w14:paraId="1B7BECDB" w14:textId="77777777" w:rsidR="00C41736" w:rsidRPr="005E224F" w:rsidRDefault="00C41736" w:rsidP="00C41736"/>
    <w:p w14:paraId="22A08359" w14:textId="4DBB5FC8" w:rsidR="00863B69" w:rsidRDefault="00863B69" w:rsidP="00D71AB1">
      <w:pPr>
        <w:ind w:firstLine="360"/>
      </w:pPr>
      <w:r w:rsidRPr="00863B69">
        <w:t>Three species constitute the majority of snapper (Family Lutjanidae) targeted by fishermen in nearshore waters of Florida; the lane snapper (</w:t>
      </w:r>
      <w:r w:rsidRPr="00863B69">
        <w:rPr>
          <w:i/>
        </w:rPr>
        <w:t>Lutjanus synagris</w:t>
      </w:r>
      <w:r w:rsidRPr="00863B69">
        <w:t>), gray snapper (</w:t>
      </w:r>
      <w:r w:rsidRPr="00863B69">
        <w:rPr>
          <w:i/>
        </w:rPr>
        <w:t xml:space="preserve">Lutjanus </w:t>
      </w:r>
      <w:r w:rsidRPr="00863B69">
        <w:rPr>
          <w:i/>
        </w:rPr>
        <w:lastRenderedPageBreak/>
        <w:t>griseus</w:t>
      </w:r>
      <w:r w:rsidRPr="00863B69">
        <w:t>)</w:t>
      </w:r>
      <w:r w:rsidR="00AB2619">
        <w:t>,</w:t>
      </w:r>
      <w:r w:rsidRPr="00863B69">
        <w:t xml:space="preserve"> and mutton snapper (</w:t>
      </w:r>
      <w:r w:rsidRPr="00863B69">
        <w:rPr>
          <w:i/>
        </w:rPr>
        <w:t>Lutjanus analis</w:t>
      </w:r>
      <w:r w:rsidRPr="00863B69">
        <w:t xml:space="preserve">).  Mutton snapper achieve the largest body size of these snappers, and represent a valuable fishery resource.  </w:t>
      </w:r>
    </w:p>
    <w:p w14:paraId="02DBA349" w14:textId="77777777" w:rsidR="00863B69" w:rsidRDefault="00863B69" w:rsidP="00D71AB1">
      <w:pPr>
        <w:ind w:firstLine="360"/>
      </w:pPr>
    </w:p>
    <w:p w14:paraId="65884F52" w14:textId="77777777" w:rsidR="005E224F" w:rsidRPr="005E224F" w:rsidRDefault="005E224F" w:rsidP="00D71AB1">
      <w:pPr>
        <w:ind w:firstLine="360"/>
      </w:pPr>
      <w:r w:rsidRPr="005E224F">
        <w:t xml:space="preserve">For details on the life histories and ecology of co-occurring species, the reader is referred to Volume II of the Fishery Ecosystem Plan (SAFMC 2009b) available at: </w:t>
      </w:r>
      <w:hyperlink r:id="rId44" w:history="1">
        <w:r w:rsidRPr="005E224F">
          <w:rPr>
            <w:color w:val="0000FF"/>
            <w:u w:val="single"/>
          </w:rPr>
          <w:t>http://www.safmc.net/ecosystem-management/fishery-ecosystem-plan-1</w:t>
        </w:r>
      </w:hyperlink>
      <w:r w:rsidRPr="005E224F">
        <w:t>.</w:t>
      </w:r>
    </w:p>
    <w:p w14:paraId="74F59089" w14:textId="77777777" w:rsidR="005000B5" w:rsidRDefault="005000B5">
      <w:pPr>
        <w:rPr>
          <w:rFonts w:ascii="Arial" w:hAnsi="Arial" w:cs="Arial"/>
          <w:b/>
          <w:bCs/>
          <w:sz w:val="28"/>
          <w:szCs w:val="28"/>
        </w:rPr>
      </w:pPr>
      <w:bookmarkStart w:id="114" w:name="_Toc383187600"/>
    </w:p>
    <w:p w14:paraId="7A5BA9F3" w14:textId="3BDA4A06" w:rsidR="005E224F" w:rsidRPr="005E224F" w:rsidRDefault="00C41736" w:rsidP="00D71AB1">
      <w:pPr>
        <w:keepNext/>
        <w:spacing w:before="240" w:after="60"/>
        <w:outlineLvl w:val="2"/>
        <w:rPr>
          <w:rFonts w:ascii="Arial" w:hAnsi="Arial" w:cs="Arial"/>
          <w:b/>
          <w:bCs/>
          <w:sz w:val="28"/>
          <w:szCs w:val="28"/>
        </w:rPr>
      </w:pPr>
      <w:r>
        <w:rPr>
          <w:rFonts w:ascii="Arial" w:hAnsi="Arial" w:cs="Arial"/>
          <w:b/>
          <w:bCs/>
          <w:sz w:val="28"/>
          <w:szCs w:val="28"/>
        </w:rPr>
        <w:t>3.2.4</w:t>
      </w:r>
      <w:r w:rsidR="00AD019A">
        <w:rPr>
          <w:rFonts w:ascii="Arial" w:hAnsi="Arial" w:cs="Arial"/>
          <w:b/>
          <w:bCs/>
          <w:sz w:val="28"/>
          <w:szCs w:val="28"/>
        </w:rPr>
        <w:tab/>
      </w:r>
      <w:r w:rsidR="005E224F" w:rsidRPr="005E224F">
        <w:rPr>
          <w:rFonts w:ascii="Arial" w:hAnsi="Arial" w:cs="Arial"/>
          <w:b/>
          <w:bCs/>
          <w:sz w:val="28"/>
          <w:szCs w:val="28"/>
        </w:rPr>
        <w:t>The Stock Assessment Process</w:t>
      </w:r>
      <w:bookmarkEnd w:id="114"/>
    </w:p>
    <w:p w14:paraId="2993C90A" w14:textId="27D972B4" w:rsidR="005E224F" w:rsidRPr="005E224F" w:rsidRDefault="005E224F" w:rsidP="00D71AB1">
      <w:pPr>
        <w:ind w:firstLine="360"/>
      </w:pPr>
      <w:r w:rsidRPr="005E224F">
        <w:rPr>
          <w:noProof/>
          <w:highlight w:val="yellow"/>
        </w:rPr>
        <w:drawing>
          <wp:anchor distT="0" distB="0" distL="114300" distR="114300" simplePos="0" relativeHeight="251664896" behindDoc="0" locked="0" layoutInCell="1" allowOverlap="1" wp14:anchorId="5D32BCAF" wp14:editId="7E7D7789">
            <wp:simplePos x="0" y="0"/>
            <wp:positionH relativeFrom="column">
              <wp:posOffset>3175</wp:posOffset>
            </wp:positionH>
            <wp:positionV relativeFrom="paragraph">
              <wp:posOffset>22860</wp:posOffset>
            </wp:positionV>
            <wp:extent cx="1426845" cy="1367790"/>
            <wp:effectExtent l="25400" t="0" r="0" b="0"/>
            <wp:wrapSquare wrapText="bothSides"/>
            <wp:docPr id="28"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45" cstate="print"/>
                    <a:srcRect/>
                    <a:stretch>
                      <a:fillRect/>
                    </a:stretch>
                  </pic:blipFill>
                  <pic:spPr bwMode="auto">
                    <a:xfrm>
                      <a:off x="0" y="0"/>
                      <a:ext cx="1426845" cy="1367790"/>
                    </a:xfrm>
                    <a:prstGeom prst="rect">
                      <a:avLst/>
                    </a:prstGeom>
                    <a:noFill/>
                  </pic:spPr>
                </pic:pic>
              </a:graphicData>
            </a:graphic>
          </wp:anchor>
        </w:drawing>
      </w:r>
      <w:r w:rsidR="00C02D02">
        <w:t>The Southeast Data, Assessment, and Review (</w:t>
      </w:r>
      <w:r w:rsidRPr="005E224F">
        <w:t>SEDAR</w:t>
      </w:r>
      <w:r w:rsidR="00C02D02">
        <w:t>)</w:t>
      </w:r>
      <w:r w:rsidR="0071601E">
        <w:t xml:space="preserve"> process</w:t>
      </w:r>
      <w:r w:rsidRPr="005E224F">
        <w:t xml:space="preserve"> is a cooperative Fishery Management Council </w:t>
      </w:r>
      <w:r w:rsidR="0071601E">
        <w:t>initiative</w:t>
      </w:r>
      <w:r w:rsidRPr="005E224F">
        <w:t xml:space="preserve"> to improve the quality and reliability of fishery stock assessments in the South Atlantic, Gulf of Mexico, and U.S. Caribbean.  The Caribbean, Gulf of Mexico, and South Atlantic Fishery Management Councils manage SEDAR in coordination with the National Marine Fisheries Service (NMFS) and the Atlantic and Gulf States Marine Fisheries Commissions.  SEDAR seeks improvements in the scientific quality of stock assessments, constituent and stakeholder participation in assessment development, transparency in the assessment process, and a rigorous and independent scientific review of completed stock assessments. </w:t>
      </w:r>
    </w:p>
    <w:p w14:paraId="25943E8E" w14:textId="77777777" w:rsidR="005E224F" w:rsidRPr="005E224F" w:rsidRDefault="005E224F" w:rsidP="00D71AB1">
      <w:pPr>
        <w:ind w:firstLine="360"/>
      </w:pPr>
    </w:p>
    <w:p w14:paraId="433090B9" w14:textId="77777777" w:rsidR="005E224F" w:rsidRPr="005E224F" w:rsidRDefault="005E224F" w:rsidP="00D71AB1">
      <w:pPr>
        <w:ind w:firstLine="360"/>
      </w:pPr>
      <w:r w:rsidRPr="005E224F">
        <w:t>SEDAR is organized around three workshops.  First is the Data Workshop, during which fisheries monitoring and life history data are reviewed and compiled.  Second is the Assessment Workshop, which may be conducted via a workshop and several webinars, during which assessment models are developed and population parameters are estimated using the information provided from the Data Workshop.  Third and final is the Review Workshop, during which independent experts review the input data, assessment methods, and assessment products.  The completed assessment, including the reports of all three workshops and all supporting documentation, are then forwarded to the South Atlantic Council’s Scientific and Statistical Committee (SSC).  The SSC considers whether the assessment represents the best available science and develops fishing level recommendations for South Atlantic Council consideration.</w:t>
      </w:r>
    </w:p>
    <w:p w14:paraId="392CD975" w14:textId="77777777" w:rsidR="005E224F" w:rsidRPr="005E224F" w:rsidRDefault="005E224F" w:rsidP="00D71AB1">
      <w:pPr>
        <w:ind w:firstLine="360"/>
      </w:pPr>
    </w:p>
    <w:p w14:paraId="5C71BB4A" w14:textId="13A740B1" w:rsidR="0095714A" w:rsidRDefault="005E224F" w:rsidP="002878D2">
      <w:pPr>
        <w:ind w:firstLine="360"/>
      </w:pPr>
      <w:r w:rsidRPr="005E224F">
        <w:t xml:space="preserve">SEDAR workshops are public meetings organized by SEDAR.  Workshop participants appointed by the lead Council are drawn from state and federal agencies, non-government organizations, Council members, Council advisors, and the fishing industry with a goal of including a broad range of disciplines and perspectives.  All participants are expected to contribute to this scientific process by preparing working papers, contributing data, providing assessment analyses, evaluating and discussing information presented, and completing the workshop report. </w:t>
      </w:r>
    </w:p>
    <w:p w14:paraId="12698A57" w14:textId="77777777" w:rsidR="002878D2" w:rsidRDefault="002878D2" w:rsidP="002878D2">
      <w:pPr>
        <w:ind w:firstLine="360"/>
      </w:pPr>
    </w:p>
    <w:p w14:paraId="122AF0E2" w14:textId="55F73279" w:rsidR="00FC6516" w:rsidRDefault="00C41736" w:rsidP="00D71AB1">
      <w:pPr>
        <w:pStyle w:val="Heading3"/>
        <w:rPr>
          <w:szCs w:val="24"/>
        </w:rPr>
      </w:pPr>
      <w:bookmarkStart w:id="115" w:name="_Toc304879976"/>
      <w:bookmarkStart w:id="116" w:name="_Toc361410396"/>
      <w:bookmarkStart w:id="117" w:name="_Toc339811719"/>
      <w:bookmarkEnd w:id="101"/>
      <w:r>
        <w:rPr>
          <w:sz w:val="28"/>
          <w:szCs w:val="28"/>
        </w:rPr>
        <w:t>3.2.5</w:t>
      </w:r>
      <w:r w:rsidR="00AD019A">
        <w:rPr>
          <w:sz w:val="28"/>
          <w:szCs w:val="28"/>
        </w:rPr>
        <w:tab/>
      </w:r>
      <w:r w:rsidR="008D0B8B" w:rsidRPr="008520BB">
        <w:rPr>
          <w:sz w:val="28"/>
          <w:szCs w:val="28"/>
        </w:rPr>
        <w:t>Protected Species</w:t>
      </w:r>
      <w:bookmarkEnd w:id="115"/>
      <w:bookmarkEnd w:id="116"/>
      <w:bookmarkEnd w:id="117"/>
    </w:p>
    <w:p w14:paraId="404DFB65" w14:textId="0AB22C5C" w:rsidR="00EF6C02" w:rsidRDefault="00EF6C02" w:rsidP="00FA1480">
      <w:pPr>
        <w:ind w:firstLine="360"/>
      </w:pPr>
      <w:bookmarkStart w:id="118" w:name="_Toc273970432"/>
      <w:bookmarkStart w:id="119" w:name="_Toc162341629"/>
      <w:bookmarkStart w:id="120" w:name="_Toc292788382"/>
      <w:r w:rsidRPr="00EF6C02">
        <w:rPr>
          <w:highlight w:val="yellow"/>
        </w:rPr>
        <w:t>To be updated upon completion of the Biological Opinion</w:t>
      </w:r>
    </w:p>
    <w:p w14:paraId="598C7319" w14:textId="42C4B17C" w:rsidR="00FA1480" w:rsidRDefault="00FA1480" w:rsidP="00FA1480">
      <w:pPr>
        <w:ind w:firstLine="360"/>
      </w:pPr>
      <w:r>
        <w:t xml:space="preserve">There are 49 species, or distinct population segments (DPSs) of species, protected by federal law that may occur in the exclusive economic zone (EEZ) of the South Atlantic Region.  Thirty-one of these species are marine mammals protected under the Marine Mammal Protection Act </w:t>
      </w:r>
      <w:r>
        <w:lastRenderedPageBreak/>
        <w:t xml:space="preserve">(MMPA) (Wynne and Schwartz 1999, Waring et al. 2013).  The MMPA requires that each commercial fishery be classified by the number of marine mammals they seriously injure or kill.  NMFS’s List of Fisheries (LOF) classifies U.S. commercial fisheries into three categories based on the number of incidental mortality or serious injury they cause to marine mammals.  More information about the LOF and the classification process can be found at: </w:t>
      </w:r>
      <w:hyperlink r:id="rId46" w:history="1">
        <w:r w:rsidR="00F5584A" w:rsidRPr="00CD1532">
          <w:rPr>
            <w:rStyle w:val="Hyperlink"/>
          </w:rPr>
          <w:t>http://www.nmfs.noaa.gov/pr/interactions/fisheries/2016_list_of_fisheries_lof.html</w:t>
        </w:r>
      </w:hyperlink>
      <w:r w:rsidR="00F5584A">
        <w:rPr>
          <w:rStyle w:val="Hyperlink"/>
        </w:rPr>
        <w:t>.</w:t>
      </w:r>
    </w:p>
    <w:p w14:paraId="35F17B84" w14:textId="77777777" w:rsidR="00FA1480" w:rsidRDefault="00FA1480" w:rsidP="00FA1480">
      <w:pPr>
        <w:ind w:firstLine="360"/>
      </w:pPr>
    </w:p>
    <w:p w14:paraId="1C0DD248" w14:textId="6ACBAFF3" w:rsidR="00FA1480" w:rsidRDefault="00FA1480" w:rsidP="00FA1480">
      <w:pPr>
        <w:ind w:firstLine="360"/>
      </w:pPr>
      <w:r>
        <w:t>Six of the marine mammal species (sperm, sei, fin, blue, humpback, and North Atlantic right whales) protected by the MMPA, are also listed as endangered under the Endangered Species Act (ESA).  In addition to those six marine mammals, five species of sea turtles (green, hawksbill, Kemp’s ridley, leatherback, and loggerhead); the smalltooth sawfish; five DPSs of Atlantic sturgeon; and six species of coral [elkhorn coral (</w:t>
      </w:r>
      <w:r w:rsidRPr="00FA1480">
        <w:rPr>
          <w:i/>
        </w:rPr>
        <w:t>Acropora palmata</w:t>
      </w:r>
      <w:r>
        <w:t>), staghorn coral (</w:t>
      </w:r>
      <w:r w:rsidRPr="00FA1480">
        <w:rPr>
          <w:i/>
        </w:rPr>
        <w:t>A. cervicornis</w:t>
      </w:r>
      <w:r>
        <w:t>) (“</w:t>
      </w:r>
      <w:r w:rsidRPr="00FA1480">
        <w:rPr>
          <w:i/>
        </w:rPr>
        <w:t>Acropora</w:t>
      </w:r>
      <w:r>
        <w:t>” collectively); lobed star coral (</w:t>
      </w:r>
      <w:r w:rsidRPr="00FA1480">
        <w:rPr>
          <w:i/>
        </w:rPr>
        <w:t>Orbicella annularis</w:t>
      </w:r>
      <w:r>
        <w:t>), mountainous star coral (</w:t>
      </w:r>
      <w:r w:rsidRPr="00FA1480">
        <w:rPr>
          <w:i/>
        </w:rPr>
        <w:t>O. faveolata</w:t>
      </w:r>
      <w:r>
        <w:t>), and knobby star coral (</w:t>
      </w:r>
      <w:r w:rsidRPr="00FA1480">
        <w:rPr>
          <w:i/>
        </w:rPr>
        <w:t>O. franksi</w:t>
      </w:r>
      <w:r>
        <w:t>) (“</w:t>
      </w:r>
      <w:r w:rsidRPr="00FA1480">
        <w:rPr>
          <w:i/>
        </w:rPr>
        <w:t>Orbicella</w:t>
      </w:r>
      <w:r>
        <w:t>” collectively); and rough cactus coral (</w:t>
      </w:r>
      <w:r w:rsidRPr="00FA1480">
        <w:rPr>
          <w:i/>
        </w:rPr>
        <w:t>Mycetophylia ferox</w:t>
      </w:r>
      <w:r>
        <w:t xml:space="preserve">)] are also protected under the ESA.  Portions of designated critical habitat for North Atlantic right whales, the Northwest Atlantic (NWA) DPS of loggerhead sea turtles, and </w:t>
      </w:r>
      <w:r w:rsidRPr="00FA1480">
        <w:rPr>
          <w:i/>
        </w:rPr>
        <w:t>Acropora</w:t>
      </w:r>
      <w:r>
        <w:t xml:space="preserve"> corals occur within the South Atlantic Council’s jurisdiction.  NMFS has conducted specific analyses (“Section 7 consultations”) to evaluate the potential adverse effects from the South Atlantic snapper grouper fishery on species and critical habitat protected under the ESA.  Information on these, as well as sea turtles and smalltooth sawfish and how they are adversely affected by the snapper grouper fishery are discussed below.  </w:t>
      </w:r>
    </w:p>
    <w:p w14:paraId="496CB910" w14:textId="77777777" w:rsidR="007853FD" w:rsidRPr="007853FD" w:rsidRDefault="007853FD" w:rsidP="007853FD">
      <w:pPr>
        <w:widowControl w:val="0"/>
        <w:autoSpaceDE w:val="0"/>
        <w:autoSpaceDN w:val="0"/>
        <w:adjustRightInd w:val="0"/>
        <w:ind w:right="39"/>
      </w:pPr>
    </w:p>
    <w:p w14:paraId="6B048236" w14:textId="60A23788" w:rsidR="007853FD" w:rsidRPr="007853FD" w:rsidRDefault="007853FD" w:rsidP="007853FD">
      <w:pPr>
        <w:widowControl w:val="0"/>
        <w:autoSpaceDE w:val="0"/>
        <w:autoSpaceDN w:val="0"/>
        <w:adjustRightInd w:val="0"/>
        <w:ind w:right="39" w:firstLine="360"/>
        <w:rPr>
          <w:color w:val="000000"/>
        </w:rPr>
      </w:pPr>
      <w:r w:rsidRPr="007853FD">
        <w:rPr>
          <w:color w:val="000000"/>
        </w:rPr>
        <w:t>Subsequent to the June 7, 2006, biological opinion, elkhorn and staghorn coral (</w:t>
      </w:r>
      <w:r w:rsidRPr="007853FD">
        <w:rPr>
          <w:i/>
          <w:color w:val="000000"/>
        </w:rPr>
        <w:t>Acropora cervicornis</w:t>
      </w:r>
      <w:r w:rsidRPr="007853FD">
        <w:rPr>
          <w:color w:val="000000"/>
        </w:rPr>
        <w:t xml:space="preserve"> and </w:t>
      </w:r>
      <w:r w:rsidRPr="007853FD">
        <w:rPr>
          <w:i/>
          <w:color w:val="000000"/>
        </w:rPr>
        <w:t>Acropora palmata</w:t>
      </w:r>
      <w:r w:rsidRPr="007853FD">
        <w:rPr>
          <w:color w:val="000000"/>
        </w:rPr>
        <w:t xml:space="preserve">) were listed as threatened.  In a consultation memorandum dated July 9, 2007, NMFS concluded the continued authorization of the South Atlantic snapper grouper fishery is not likely to adversely affect these </w:t>
      </w:r>
      <w:r w:rsidRPr="007853FD">
        <w:rPr>
          <w:i/>
          <w:color w:val="000000"/>
        </w:rPr>
        <w:t xml:space="preserve">Acropora </w:t>
      </w:r>
      <w:r w:rsidRPr="007853FD">
        <w:rPr>
          <w:color w:val="000000"/>
        </w:rPr>
        <w:t xml:space="preserve">species.  On November 26, 2008, an </w:t>
      </w:r>
      <w:r w:rsidRPr="007853FD">
        <w:rPr>
          <w:i/>
          <w:color w:val="000000"/>
        </w:rPr>
        <w:t>Acropora</w:t>
      </w:r>
      <w:r w:rsidRPr="007853FD">
        <w:rPr>
          <w:color w:val="000000"/>
        </w:rPr>
        <w:t xml:space="preserve"> critical habitat was designated.  In a consultation memorandum dated December 2, 2008, NMFS concluded the continued authorization of the snapper grouper fishery is not likely to adversely affect </w:t>
      </w:r>
      <w:r w:rsidRPr="007853FD">
        <w:rPr>
          <w:i/>
          <w:color w:val="000000"/>
        </w:rPr>
        <w:t xml:space="preserve">Acropora </w:t>
      </w:r>
      <w:r w:rsidRPr="007853FD">
        <w:rPr>
          <w:color w:val="000000"/>
        </w:rPr>
        <w:t xml:space="preserve">critical habitat.  On September 10, 2014, NMFS listed 20 new coral species under the ESA, five of those species occur in the Caribbean (including Florida) and all of these are listed as threatened.  The 2 previously listed </w:t>
      </w:r>
      <w:r w:rsidRPr="007853FD">
        <w:rPr>
          <w:i/>
          <w:color w:val="000000"/>
        </w:rPr>
        <w:t>Acropora</w:t>
      </w:r>
      <w:r w:rsidRPr="007853FD">
        <w:rPr>
          <w:color w:val="000000"/>
        </w:rPr>
        <w:t xml:space="preserve"> coral species remain protected as threatened.  In a</w:t>
      </w:r>
      <w:r w:rsidR="00557CDD">
        <w:rPr>
          <w:color w:val="000000"/>
        </w:rPr>
        <w:t xml:space="preserve">n </w:t>
      </w:r>
      <w:r w:rsidR="005B3183">
        <w:rPr>
          <w:color w:val="000000"/>
        </w:rPr>
        <w:t>“</w:t>
      </w:r>
      <w:r w:rsidR="00557CDD">
        <w:rPr>
          <w:color w:val="000000"/>
        </w:rPr>
        <w:t>ESA</w:t>
      </w:r>
      <w:r w:rsidRPr="007853FD">
        <w:rPr>
          <w:color w:val="000000"/>
        </w:rPr>
        <w:t xml:space="preserve"> </w:t>
      </w:r>
      <w:r w:rsidR="00557CDD">
        <w:rPr>
          <w:color w:val="000000"/>
        </w:rPr>
        <w:t xml:space="preserve">section 7 consultation on the continued authorization of the snapper grouper </w:t>
      </w:r>
      <w:r w:rsidR="005B3183">
        <w:rPr>
          <w:color w:val="000000"/>
        </w:rPr>
        <w:t xml:space="preserve">and dolphin and wahoo fisheries following the listing of new coral species”, </w:t>
      </w:r>
      <w:r w:rsidRPr="007853FD">
        <w:rPr>
          <w:color w:val="000000"/>
        </w:rPr>
        <w:t xml:space="preserve">dated September 11, 2014, NMFS indicated that the previous determination remains valid and the South Atlantic snapper grouper fishery is still not likely to adversely affect </w:t>
      </w:r>
      <w:r w:rsidRPr="007853FD">
        <w:rPr>
          <w:i/>
          <w:color w:val="000000"/>
        </w:rPr>
        <w:t>Acropora</w:t>
      </w:r>
      <w:r w:rsidRPr="007853FD">
        <w:rPr>
          <w:color w:val="000000"/>
        </w:rPr>
        <w:t xml:space="preserve"> corals.</w:t>
      </w:r>
    </w:p>
    <w:p w14:paraId="270444EF" w14:textId="77777777" w:rsidR="007853FD" w:rsidRPr="007853FD" w:rsidRDefault="007853FD" w:rsidP="007853FD">
      <w:pPr>
        <w:widowControl w:val="0"/>
        <w:autoSpaceDE w:val="0"/>
        <w:autoSpaceDN w:val="0"/>
        <w:adjustRightInd w:val="0"/>
        <w:ind w:right="39" w:firstLine="360"/>
        <w:rPr>
          <w:color w:val="000000"/>
        </w:rPr>
      </w:pPr>
    </w:p>
    <w:p w14:paraId="69D54D47" w14:textId="7BAEC620" w:rsidR="007853FD" w:rsidRPr="007853FD" w:rsidRDefault="00D818AB" w:rsidP="007853FD">
      <w:pPr>
        <w:widowControl w:val="0"/>
        <w:autoSpaceDE w:val="0"/>
        <w:autoSpaceDN w:val="0"/>
        <w:adjustRightInd w:val="0"/>
        <w:ind w:right="39" w:firstLine="360"/>
        <w:rPr>
          <w:color w:val="000000"/>
        </w:rPr>
      </w:pPr>
      <w:r>
        <w:rPr>
          <w:color w:val="000000"/>
        </w:rPr>
        <w:t>The September 10</w:t>
      </w:r>
      <w:r w:rsidR="007853FD" w:rsidRPr="007853FD">
        <w:rPr>
          <w:color w:val="000000"/>
        </w:rPr>
        <w:t xml:space="preserve"> 2014, final listing rule provided some new information on the threats facing </w:t>
      </w:r>
      <w:r w:rsidR="007853FD" w:rsidRPr="007853FD">
        <w:rPr>
          <w:i/>
          <w:color w:val="000000"/>
        </w:rPr>
        <w:t>Acropora</w:t>
      </w:r>
      <w:r w:rsidR="007853FD" w:rsidRPr="007853FD">
        <w:rPr>
          <w:color w:val="000000"/>
        </w:rPr>
        <w:t xml:space="preserve">; however, none of the information suggested that previous determinations were no longer valid. </w:t>
      </w:r>
      <w:r w:rsidR="00783113">
        <w:rPr>
          <w:color w:val="000000"/>
        </w:rPr>
        <w:t xml:space="preserve"> </w:t>
      </w:r>
      <w:r w:rsidR="007853FD" w:rsidRPr="007853FD">
        <w:rPr>
          <w:color w:val="000000"/>
        </w:rPr>
        <w:t xml:space="preserve">For this reason, a memo dated September 11, 2014, indicates that previous determination remains valid and the South Atlantic snapper grouper fishery is still not likely to adversely affect </w:t>
      </w:r>
      <w:r w:rsidR="007853FD" w:rsidRPr="007853FD">
        <w:rPr>
          <w:i/>
          <w:color w:val="000000"/>
        </w:rPr>
        <w:t>Acropora</w:t>
      </w:r>
      <w:r w:rsidR="007853FD" w:rsidRPr="007853FD">
        <w:rPr>
          <w:color w:val="000000"/>
        </w:rPr>
        <w:t xml:space="preserve"> corals.  For the remaining 5 species of coral (</w:t>
      </w:r>
      <w:r w:rsidR="007853FD" w:rsidRPr="007853FD">
        <w:rPr>
          <w:i/>
          <w:color w:val="000000"/>
        </w:rPr>
        <w:t>Mycetophyllia ferox, Dendrogyra cylindrus, Orbicella annularis, O.</w:t>
      </w:r>
      <w:r w:rsidR="00BA4A68">
        <w:rPr>
          <w:i/>
          <w:color w:val="000000"/>
        </w:rPr>
        <w:t xml:space="preserve"> </w:t>
      </w:r>
      <w:r w:rsidR="007853FD" w:rsidRPr="007853FD">
        <w:rPr>
          <w:i/>
          <w:color w:val="000000"/>
        </w:rPr>
        <w:t>faveolata, and O.</w:t>
      </w:r>
      <w:r w:rsidR="00BA4A68">
        <w:rPr>
          <w:i/>
          <w:color w:val="000000"/>
        </w:rPr>
        <w:t xml:space="preserve"> </w:t>
      </w:r>
      <w:r w:rsidR="007853FD" w:rsidRPr="007853FD">
        <w:rPr>
          <w:i/>
          <w:color w:val="000000"/>
        </w:rPr>
        <w:t>franksi</w:t>
      </w:r>
      <w:r w:rsidR="007853FD" w:rsidRPr="007853FD">
        <w:rPr>
          <w:color w:val="000000"/>
        </w:rPr>
        <w:t xml:space="preserve">), the threats to corals from fishing identified in the status review for these species (SSR) include (1) trophic effects, (2) human-induced physical damage, and (3) destructive fishing practices.  The September 11, 2014, memo indicates South Atlantic snapper grouper fishery will not cause trophic effects because it does not capture herbivorous fish.  </w:t>
      </w:r>
    </w:p>
    <w:p w14:paraId="37028F6F" w14:textId="77777777" w:rsidR="007853FD" w:rsidRPr="007853FD" w:rsidRDefault="007853FD" w:rsidP="007853FD">
      <w:pPr>
        <w:widowControl w:val="0"/>
        <w:autoSpaceDE w:val="0"/>
        <w:autoSpaceDN w:val="0"/>
        <w:adjustRightInd w:val="0"/>
        <w:ind w:right="39"/>
        <w:rPr>
          <w:color w:val="000000"/>
        </w:rPr>
      </w:pPr>
    </w:p>
    <w:p w14:paraId="348AE0A6" w14:textId="5A7862BF" w:rsidR="001B3C78" w:rsidRPr="001B3C78" w:rsidRDefault="00C41736" w:rsidP="00D71AB1">
      <w:pPr>
        <w:keepNext/>
        <w:spacing w:before="240" w:after="60"/>
        <w:outlineLvl w:val="2"/>
        <w:rPr>
          <w:rFonts w:ascii="Arial" w:hAnsi="Arial" w:cs="Arial"/>
          <w:b/>
          <w:bCs/>
          <w:sz w:val="28"/>
          <w:szCs w:val="28"/>
        </w:rPr>
      </w:pPr>
      <w:bookmarkStart w:id="121" w:name="_Toc383187602"/>
      <w:r>
        <w:rPr>
          <w:rFonts w:ascii="Arial" w:hAnsi="Arial" w:cs="Arial"/>
          <w:b/>
          <w:bCs/>
          <w:sz w:val="28"/>
          <w:szCs w:val="28"/>
        </w:rPr>
        <w:t>3.2.5</w:t>
      </w:r>
      <w:r w:rsidR="001B3C78" w:rsidRPr="001B3C78">
        <w:rPr>
          <w:rFonts w:ascii="Arial" w:hAnsi="Arial" w:cs="Arial"/>
          <w:b/>
          <w:bCs/>
          <w:sz w:val="28"/>
          <w:szCs w:val="28"/>
        </w:rPr>
        <w:t>.1</w:t>
      </w:r>
      <w:r w:rsidR="001B3C78" w:rsidRPr="001B3C78">
        <w:rPr>
          <w:rFonts w:ascii="Arial" w:hAnsi="Arial" w:cs="Arial"/>
          <w:b/>
          <w:bCs/>
          <w:sz w:val="28"/>
          <w:szCs w:val="28"/>
        </w:rPr>
        <w:tab/>
        <w:t>ESA-Listed Sea Turtles</w:t>
      </w:r>
      <w:bookmarkEnd w:id="121"/>
    </w:p>
    <w:p w14:paraId="4ED90B4F" w14:textId="77777777" w:rsidR="001B3C78" w:rsidRPr="001B3C78" w:rsidRDefault="001B3C78" w:rsidP="00D71AB1">
      <w:pPr>
        <w:autoSpaceDE w:val="0"/>
        <w:autoSpaceDN w:val="0"/>
        <w:adjustRightInd w:val="0"/>
        <w:ind w:firstLine="360"/>
      </w:pPr>
      <w:r w:rsidRPr="001B3C78">
        <w:t>Green, hawksbill, Kemp’s ridley, leatherback, and loggerhead sea turtles are all highly migratory and travel widely throughout the South Atlantic.  The following sections are a brief overview of the general life history characteristics of the sea turtles found in the South Atlantic region.  Several volumes exist that cover the biology and ecology of these species more thoroughly (i.e., Lutz and Musick (eds.) 1997, Lutz et al. (eds.) 2002).</w:t>
      </w:r>
    </w:p>
    <w:p w14:paraId="7793A8B7" w14:textId="77777777" w:rsidR="001B3C78" w:rsidRPr="001B3C78" w:rsidRDefault="001B3C78" w:rsidP="00D71AB1">
      <w:pPr>
        <w:autoSpaceDE w:val="0"/>
        <w:autoSpaceDN w:val="0"/>
        <w:adjustRightInd w:val="0"/>
        <w:ind w:firstLine="360"/>
      </w:pPr>
    </w:p>
    <w:p w14:paraId="76BC7E92" w14:textId="77777777" w:rsidR="001B3C78" w:rsidRPr="001B3C78" w:rsidRDefault="001B3C78" w:rsidP="00D71AB1">
      <w:pPr>
        <w:autoSpaceDE w:val="0"/>
        <w:autoSpaceDN w:val="0"/>
        <w:adjustRightInd w:val="0"/>
        <w:ind w:firstLine="360"/>
      </w:pPr>
      <w:r w:rsidRPr="00B03C08">
        <w:rPr>
          <w:b/>
          <w:bCs/>
        </w:rPr>
        <w:t>Green</w:t>
      </w:r>
      <w:r w:rsidRPr="001B3C78">
        <w:t xml:space="preserve"> sea turtle hatchlings are thought to occupy pelagic areas of the open ocean and are often associated with </w:t>
      </w:r>
      <w:r w:rsidRPr="001B3C78">
        <w:rPr>
          <w:i/>
        </w:rPr>
        <w:t>Sargassum</w:t>
      </w:r>
      <w:r w:rsidRPr="001B3C78">
        <w:t xml:space="preserve"> rafts (Carr 1987, Walker 1994).  Pelagic stage green sea turtles are thought to be carnivorous.  Stomach samples of these animals found ctenophores and pelagic snails (Frick 1976, Hughes 1974).  At approximately 20 to 25 cm carapace length, juveniles migrate from pelagic habitats to benthic foraging areas (Bjorndal 1997).  As juveniles move into benthic foraging areas a diet shift towards herbivory occurs.  They consume primarily seagrasses and algae, but are also know to consume jellyfish, salps, and sponges (Bjorndal 1980, 1997; Paredes 1969; Mortimer 1981, 1982).  The diving abilities of all sea turtles species vary by their life stages.  The maximum diving range of green sea turtles is estimated at 110 m (360 ft) (Frick 1976), but they are most frequently making dives of less than 20 m (65 ft.) (Walker 1994).  The time of these dives also varies by life stage.  The maximum dive length is estimated at 66 minutes with most dives lasting from 9 to 23 minutes (Walker 1994).</w:t>
      </w:r>
    </w:p>
    <w:p w14:paraId="38509E40" w14:textId="77777777" w:rsidR="001B3C78" w:rsidRPr="001B3C78" w:rsidRDefault="001B3C78" w:rsidP="00D71AB1">
      <w:pPr>
        <w:autoSpaceDE w:val="0"/>
        <w:autoSpaceDN w:val="0"/>
        <w:adjustRightInd w:val="0"/>
        <w:ind w:firstLine="360"/>
      </w:pPr>
    </w:p>
    <w:p w14:paraId="07D3D6CB" w14:textId="77777777" w:rsidR="001B3C78" w:rsidRPr="001B3C78" w:rsidRDefault="001B3C78" w:rsidP="00D71AB1">
      <w:pPr>
        <w:autoSpaceDE w:val="0"/>
        <w:autoSpaceDN w:val="0"/>
        <w:adjustRightInd w:val="0"/>
        <w:ind w:firstLine="360"/>
      </w:pPr>
      <w:r w:rsidRPr="001B3C78">
        <w:t xml:space="preserve">The </w:t>
      </w:r>
      <w:r w:rsidRPr="001B3C78">
        <w:rPr>
          <w:b/>
          <w:bCs/>
        </w:rPr>
        <w:t>hawksbill’s</w:t>
      </w:r>
      <w:r w:rsidRPr="001B3C78">
        <w:t xml:space="preserve"> pelagic stage lasts from the time they leave the nesting beach as hatchlings until they are approximately 22-25 cm in straight carapace length (Meylan 1988, Meylan and Donnelly 1999).  The pelagic stage is followed by residency in developmental habitats (foraging areas where juveniles reside and grow) in coastal waters.  Little is known about the diet of pelagic stage hawksbills.  Adult foraging typically occurs over coral reefs, although other hard-bottom communities and mangrove-fringed areas are occupied occasionally.  Hawksbills show fidelity to their foraging areas over several years (Van Dam and Diéz 1998).  The hawksbill’s diet is highly specialized and consists primarily of sponges (Meylan 1988).  Gravid females have been noted ingesting coralline substrate (Meylan 1984) and calcareous algae (Anderes Alvarez and Uchida 1994), which are believed to be possible sources of calcium to aid in eggshell production.  The maximum diving depths of these animals are not known, but the maximum length of dives is estimated at 73.5 minutes.  More routinely, dives last about 56 minutes (Hughes 1974).</w:t>
      </w:r>
    </w:p>
    <w:p w14:paraId="64E3DF8B" w14:textId="77777777" w:rsidR="001B3C78" w:rsidRPr="001B3C78" w:rsidRDefault="001B3C78" w:rsidP="00D71AB1">
      <w:pPr>
        <w:autoSpaceDE w:val="0"/>
        <w:autoSpaceDN w:val="0"/>
        <w:adjustRightInd w:val="0"/>
        <w:ind w:firstLine="360"/>
      </w:pPr>
    </w:p>
    <w:p w14:paraId="1503C15F" w14:textId="77777777" w:rsidR="001B3C78" w:rsidRPr="001B3C78" w:rsidRDefault="001B3C78" w:rsidP="00D71AB1">
      <w:pPr>
        <w:autoSpaceDE w:val="0"/>
        <w:autoSpaceDN w:val="0"/>
        <w:adjustRightInd w:val="0"/>
        <w:ind w:firstLine="360"/>
      </w:pPr>
      <w:r w:rsidRPr="001B3C78">
        <w:rPr>
          <w:b/>
          <w:bCs/>
        </w:rPr>
        <w:t>Kemp’s ridley</w:t>
      </w:r>
      <w:r w:rsidRPr="001B3C78">
        <w:t xml:space="preserve"> hatchlings are also pelagic during the early stages of life and feed in surface waters (Carr 1987, Ogren 1989).  Once the juveniles reach approximately 20 cm carapace length they move to relatively shallow (less than 50 m) benthic foraging habitat over unconsolidated substrates (Márquez-M. 1994).  They have also been observed transiting long distances between foraging habitats (Ogren 1989).  Kemp’s ridleys feeding in these nearshore areas primarily prey on crabs, though they are also known to ingest mollusks, fish, marine vegetation, and shrimp (Shaver 1991).  The fish and shrimp Kemp’s ridleys ingest are not thought to be a primary prey item but instead may be scavenged opportunistically from bycatch discards or from discarded bait (Shaver 1991).  Given their predilection for shallower water, Kemp’s ridleys most routinely make dives of 50 m or less (Soma 1985, Byles 1988).  Their maximum diving range is unknown.  </w:t>
      </w:r>
      <w:r w:rsidRPr="001B3C78">
        <w:lastRenderedPageBreak/>
        <w:t>Depending on the life stage, Kemp’s ridleys may be able to stay submerged anywhere from 167 minutes to 300 minutes, though dives of 12.7 minutes to 16.7 minutes are much more common (Soma 1985, Mendonca and Pritchard 1986, Byles 1988).  Kemp’s ridleys may also spend as much as 96% of their time underwater (Soma 1985, Byles 1988).</w:t>
      </w:r>
    </w:p>
    <w:p w14:paraId="4C1E263D" w14:textId="77777777" w:rsidR="001B3C78" w:rsidRPr="001B3C78" w:rsidRDefault="001B3C78" w:rsidP="00D71AB1">
      <w:pPr>
        <w:autoSpaceDE w:val="0"/>
        <w:autoSpaceDN w:val="0"/>
        <w:adjustRightInd w:val="0"/>
        <w:ind w:firstLine="360"/>
      </w:pPr>
    </w:p>
    <w:p w14:paraId="3BADCC00" w14:textId="77777777" w:rsidR="001B3C78" w:rsidRPr="001B3C78" w:rsidRDefault="001B3C78" w:rsidP="00D71AB1">
      <w:pPr>
        <w:autoSpaceDE w:val="0"/>
        <w:autoSpaceDN w:val="0"/>
        <w:adjustRightInd w:val="0"/>
        <w:ind w:firstLine="360"/>
      </w:pPr>
      <w:r w:rsidRPr="001B3C78">
        <w:rPr>
          <w:b/>
          <w:bCs/>
        </w:rPr>
        <w:t xml:space="preserve">Leatherbacks </w:t>
      </w:r>
      <w:r w:rsidRPr="001B3C78">
        <w:t xml:space="preserve">are the most pelagic of all ESA-listed sea turtles and spend most of their time in the open ocean.  Although they will enter coastal waters and are seen over the continental shelf on a seasonal basis to feed in areas where jellyfish are concentrated.  Leatherbacks feed primarily on cnidarians (medusae, siphonophores) and tunicates.  Unlike other sea turtles, leatherbacks’ diets do not shift during their life cycles.  Because leatherbacks’ ability to capture and eat jellyfish is not constrained by size or age, they continue to feed on these species regardless of life stage (Bjorndal 1997).  Leatherbacks are the deepest diving of all sea turtles.  It is estimated that these species can dive in excess of 1,000 m (Eckert et al. 1989) but more frequently dive to depths of 50 m to 84 m (Eckert et al. 1986).  Dive times range from a maximum of 37 minutes to more routines dives of 4 to 14.5 minutes (Standora et al. 1984, Eckert et al. 1986, Eckert et al. 1989, Keinath and Musick 1993).  Leatherbacks may spend 74% to 91% of their time submerged (Standora et al. 1984).  </w:t>
      </w:r>
    </w:p>
    <w:p w14:paraId="1577EDAD" w14:textId="77777777" w:rsidR="001B3C78" w:rsidRPr="001B3C78" w:rsidRDefault="001B3C78" w:rsidP="00D71AB1">
      <w:pPr>
        <w:autoSpaceDE w:val="0"/>
        <w:autoSpaceDN w:val="0"/>
        <w:adjustRightInd w:val="0"/>
        <w:ind w:firstLine="360"/>
      </w:pPr>
    </w:p>
    <w:p w14:paraId="34E5B8E0" w14:textId="77777777" w:rsidR="001B3C78" w:rsidRDefault="001B3C78" w:rsidP="00D71AB1">
      <w:pPr>
        <w:autoSpaceDE w:val="0"/>
        <w:autoSpaceDN w:val="0"/>
        <w:adjustRightInd w:val="0"/>
        <w:ind w:firstLine="360"/>
      </w:pPr>
      <w:r w:rsidRPr="001B3C78">
        <w:rPr>
          <w:b/>
          <w:bCs/>
        </w:rPr>
        <w:t>Loggerhead</w:t>
      </w:r>
      <w:r w:rsidRPr="001B3C78">
        <w:t xml:space="preserve"> hatchlings forage in the open ocean and are often associated with </w:t>
      </w:r>
      <w:r w:rsidRPr="001B3C78">
        <w:rPr>
          <w:i/>
        </w:rPr>
        <w:t xml:space="preserve">Sargassum </w:t>
      </w:r>
      <w:r w:rsidRPr="001B3C78">
        <w:t>rafts (Hughes 1974, Carr 1987, Walker 1994, Bolten and Balazs 1995).  The pelagic stage of these sea turtles eat a wide range of organisms including salps, jellyfish, amphipods, crabs, syngnathid fish, squid, and pelagic snails (Brongersma 1972).  Stranding records indicate that when pelagic immature loggerheads reach 40-60 cm straight-line carapace length they begin to live in coastal inshore and nearshore waters of the continental shelf throughout the U.S. Atlantic (Witzell 2002).  Here they forage over hard- and soft-bottom habitats (Carr 1986).  Benthic foraging loggerheads eat a variety of invertebrates with crabs and mollusks being an important prey source (Burke et al. 1993).  Estimates of the maximum diving depths of loggerheads range from 211 m to 233 m (692-764ft.) (Thayer et al. 1984, Limpus and Nichols 1988).  The lengths of loggerhead dives are frequently between 17 and 30 minutes (Thayer et al. 1984, Limpus and Nichols 1988, Limpus and Nichols 1994, Lanyan et al. 1989) and they may spend anywhere from 80 to 94% of their time submerged (Limpus and Nichols 1994, Lanyan et al. 1989).</w:t>
      </w:r>
      <w:r w:rsidR="00876415">
        <w:t xml:space="preserve">  </w:t>
      </w:r>
    </w:p>
    <w:p w14:paraId="32AF8DCA" w14:textId="77777777" w:rsidR="007853FD" w:rsidRDefault="007853FD" w:rsidP="00D71AB1">
      <w:pPr>
        <w:autoSpaceDE w:val="0"/>
        <w:autoSpaceDN w:val="0"/>
        <w:adjustRightInd w:val="0"/>
        <w:ind w:firstLine="360"/>
      </w:pPr>
    </w:p>
    <w:p w14:paraId="69FE6033" w14:textId="16A2F839" w:rsidR="007853FD" w:rsidRPr="0095714A" w:rsidRDefault="007853FD" w:rsidP="0095714A">
      <w:pPr>
        <w:ind w:firstLine="360"/>
      </w:pPr>
      <w:r w:rsidRPr="007853FD">
        <w:t>Sea turtles are vulnerable to capture by bottom longline and vertical hook-and-line gear.  The magnitude of the interactions between sea turtles and the South Atlantic snapper grouper fishery was evaluated in NMFS (2006) using data from the Supplementary Discard Data Program (SDDP).  Three loggerheads and three unidentified sea turtles were caught on vertical lines; one leatherback and one loggerhead were caught on bottom longlines, all were released alive.  The effort reported in the program represented between approximately 5% and 14% of all South Atlantic snapper grouper fishing effort.  These data were extrapolated in NMFS (2006) to better estimate the number of interact</w:t>
      </w:r>
      <w:r w:rsidR="0071601E">
        <w:t xml:space="preserve">ions between the entire snapper </w:t>
      </w:r>
      <w:r w:rsidRPr="007853FD">
        <w:t>grouper fishery and ESA-listed sea turtles.  The extrapolated estimate was used to project future interactions (</w:t>
      </w:r>
      <w:r w:rsidR="002878D2">
        <w:rPr>
          <w:b/>
          <w:bCs/>
        </w:rPr>
        <w:t>Table 3.2.</w:t>
      </w:r>
      <w:r>
        <w:rPr>
          <w:b/>
          <w:bCs/>
        </w:rPr>
        <w:t>1</w:t>
      </w:r>
      <w:r w:rsidRPr="007853FD">
        <w:t xml:space="preserve">). </w:t>
      </w:r>
    </w:p>
    <w:p w14:paraId="1C69EF62" w14:textId="05758A7A" w:rsidR="00FA1480" w:rsidRDefault="00FA1480">
      <w:pPr>
        <w:rPr>
          <w:rFonts w:ascii="Arial" w:hAnsi="Arial"/>
          <w:b/>
          <w:bCs/>
          <w:sz w:val="20"/>
          <w:szCs w:val="20"/>
        </w:rPr>
      </w:pPr>
    </w:p>
    <w:p w14:paraId="1C12026A" w14:textId="77777777" w:rsidR="00AE6F07" w:rsidRDefault="00AE6F07">
      <w:pPr>
        <w:rPr>
          <w:rFonts w:ascii="Arial" w:hAnsi="Arial"/>
          <w:b/>
          <w:bCs/>
          <w:sz w:val="20"/>
        </w:rPr>
      </w:pPr>
      <w:r>
        <w:rPr>
          <w:b/>
        </w:rPr>
        <w:br w:type="page"/>
      </w:r>
    </w:p>
    <w:p w14:paraId="71DDBA5A" w14:textId="0AD4AD88" w:rsidR="007853FD" w:rsidRPr="007853FD" w:rsidRDefault="002878D2" w:rsidP="0067221B">
      <w:pPr>
        <w:pStyle w:val="Tabletitle"/>
      </w:pPr>
      <w:bookmarkStart w:id="122" w:name="_Toc340431545"/>
      <w:r>
        <w:rPr>
          <w:b/>
        </w:rPr>
        <w:lastRenderedPageBreak/>
        <w:t>Table 3.2</w:t>
      </w:r>
      <w:r w:rsidR="00167455">
        <w:rPr>
          <w:b/>
        </w:rPr>
        <w:t>.1</w:t>
      </w:r>
      <w:r w:rsidR="007853FD" w:rsidRPr="007853FD">
        <w:rPr>
          <w:b/>
        </w:rPr>
        <w:t xml:space="preserve">.  </w:t>
      </w:r>
      <w:r w:rsidR="007853FD" w:rsidRPr="007853FD">
        <w:t>Three-year South Atlantic anticipated takes sea turtles in the snapper grouper fishery.</w:t>
      </w:r>
      <w:bookmarkEnd w:id="122"/>
      <w:r w:rsidR="007853FD" w:rsidRPr="007853F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3191"/>
        <w:gridCol w:w="3166"/>
      </w:tblGrid>
      <w:tr w:rsidR="007853FD" w:rsidRPr="007853FD" w14:paraId="26E0BD60" w14:textId="77777777" w:rsidTr="00167455">
        <w:tc>
          <w:tcPr>
            <w:tcW w:w="3385" w:type="dxa"/>
            <w:shd w:val="clear" w:color="auto" w:fill="D9D9D9" w:themeFill="background1" w:themeFillShade="D9"/>
          </w:tcPr>
          <w:p w14:paraId="62430BAD" w14:textId="77777777" w:rsidR="007853FD" w:rsidRPr="007853FD" w:rsidRDefault="007853FD" w:rsidP="00167455">
            <w:pPr>
              <w:widowControl w:val="0"/>
              <w:autoSpaceDE w:val="0"/>
              <w:autoSpaceDN w:val="0"/>
              <w:adjustRightInd w:val="0"/>
              <w:ind w:right="39"/>
              <w:jc w:val="center"/>
              <w:rPr>
                <w:b/>
                <w:bCs/>
              </w:rPr>
            </w:pPr>
            <w:r w:rsidRPr="007853FD">
              <w:rPr>
                <w:b/>
                <w:bCs/>
              </w:rPr>
              <w:t>Species</w:t>
            </w:r>
          </w:p>
        </w:tc>
        <w:tc>
          <w:tcPr>
            <w:tcW w:w="3385" w:type="dxa"/>
            <w:shd w:val="clear" w:color="auto" w:fill="D9D9D9" w:themeFill="background1" w:themeFillShade="D9"/>
          </w:tcPr>
          <w:p w14:paraId="4123C4CA" w14:textId="77777777" w:rsidR="007853FD" w:rsidRPr="007853FD" w:rsidRDefault="007853FD" w:rsidP="00167455">
            <w:pPr>
              <w:widowControl w:val="0"/>
              <w:autoSpaceDE w:val="0"/>
              <w:autoSpaceDN w:val="0"/>
              <w:adjustRightInd w:val="0"/>
              <w:ind w:right="39"/>
              <w:jc w:val="center"/>
              <w:rPr>
                <w:b/>
                <w:bCs/>
              </w:rPr>
            </w:pPr>
            <w:r w:rsidRPr="007853FD">
              <w:rPr>
                <w:b/>
                <w:bCs/>
              </w:rPr>
              <w:t>Amount of Take</w:t>
            </w:r>
          </w:p>
        </w:tc>
        <w:tc>
          <w:tcPr>
            <w:tcW w:w="3385" w:type="dxa"/>
            <w:shd w:val="clear" w:color="auto" w:fill="D9D9D9" w:themeFill="background1" w:themeFillShade="D9"/>
          </w:tcPr>
          <w:p w14:paraId="1441442A" w14:textId="77777777" w:rsidR="007853FD" w:rsidRPr="007853FD" w:rsidRDefault="007853FD" w:rsidP="00167455">
            <w:pPr>
              <w:widowControl w:val="0"/>
              <w:autoSpaceDE w:val="0"/>
              <w:autoSpaceDN w:val="0"/>
              <w:adjustRightInd w:val="0"/>
              <w:ind w:right="39"/>
              <w:jc w:val="center"/>
              <w:rPr>
                <w:b/>
                <w:bCs/>
              </w:rPr>
            </w:pPr>
            <w:r w:rsidRPr="007853FD">
              <w:rPr>
                <w:b/>
                <w:bCs/>
              </w:rPr>
              <w:t>Total</w:t>
            </w:r>
          </w:p>
        </w:tc>
      </w:tr>
      <w:tr w:rsidR="007853FD" w:rsidRPr="007853FD" w14:paraId="486754BB" w14:textId="77777777" w:rsidTr="00167455">
        <w:tc>
          <w:tcPr>
            <w:tcW w:w="3385" w:type="dxa"/>
            <w:vMerge w:val="restart"/>
          </w:tcPr>
          <w:p w14:paraId="16CDD59B" w14:textId="77777777" w:rsidR="007853FD" w:rsidRPr="007853FD" w:rsidRDefault="007853FD" w:rsidP="00167455">
            <w:pPr>
              <w:widowControl w:val="0"/>
              <w:autoSpaceDE w:val="0"/>
              <w:autoSpaceDN w:val="0"/>
              <w:adjustRightInd w:val="0"/>
              <w:ind w:right="39"/>
              <w:rPr>
                <w:bCs/>
              </w:rPr>
            </w:pPr>
            <w:r w:rsidRPr="007853FD">
              <w:rPr>
                <w:bCs/>
              </w:rPr>
              <w:t>Green</w:t>
            </w:r>
          </w:p>
        </w:tc>
        <w:tc>
          <w:tcPr>
            <w:tcW w:w="3385" w:type="dxa"/>
          </w:tcPr>
          <w:p w14:paraId="71886AF4" w14:textId="77777777" w:rsidR="007853FD" w:rsidRPr="007853FD" w:rsidRDefault="007853FD" w:rsidP="00167455">
            <w:pPr>
              <w:widowControl w:val="0"/>
              <w:autoSpaceDE w:val="0"/>
              <w:autoSpaceDN w:val="0"/>
              <w:adjustRightInd w:val="0"/>
              <w:ind w:right="39"/>
              <w:jc w:val="center"/>
              <w:rPr>
                <w:bCs/>
              </w:rPr>
            </w:pPr>
            <w:r w:rsidRPr="007853FD">
              <w:rPr>
                <w:bCs/>
              </w:rPr>
              <w:t>Total Take</w:t>
            </w:r>
          </w:p>
        </w:tc>
        <w:tc>
          <w:tcPr>
            <w:tcW w:w="3385" w:type="dxa"/>
          </w:tcPr>
          <w:p w14:paraId="197C1611" w14:textId="77777777" w:rsidR="007853FD" w:rsidRPr="007853FD" w:rsidRDefault="007853FD" w:rsidP="00167455">
            <w:pPr>
              <w:widowControl w:val="0"/>
              <w:autoSpaceDE w:val="0"/>
              <w:autoSpaceDN w:val="0"/>
              <w:adjustRightInd w:val="0"/>
              <w:ind w:right="39"/>
              <w:jc w:val="center"/>
              <w:rPr>
                <w:bCs/>
              </w:rPr>
            </w:pPr>
            <w:r w:rsidRPr="007853FD">
              <w:rPr>
                <w:bCs/>
              </w:rPr>
              <w:t>39</w:t>
            </w:r>
          </w:p>
        </w:tc>
      </w:tr>
      <w:tr w:rsidR="007853FD" w:rsidRPr="007853FD" w14:paraId="704EF2B0" w14:textId="77777777" w:rsidTr="00167455">
        <w:tc>
          <w:tcPr>
            <w:tcW w:w="3385" w:type="dxa"/>
            <w:vMerge/>
          </w:tcPr>
          <w:p w14:paraId="3F2A5982" w14:textId="77777777" w:rsidR="007853FD" w:rsidRPr="007853FD" w:rsidRDefault="007853FD" w:rsidP="00167455">
            <w:pPr>
              <w:widowControl w:val="0"/>
              <w:autoSpaceDE w:val="0"/>
              <w:autoSpaceDN w:val="0"/>
              <w:adjustRightInd w:val="0"/>
              <w:ind w:right="39"/>
              <w:rPr>
                <w:bCs/>
              </w:rPr>
            </w:pPr>
          </w:p>
        </w:tc>
        <w:tc>
          <w:tcPr>
            <w:tcW w:w="3385" w:type="dxa"/>
          </w:tcPr>
          <w:p w14:paraId="56B8A651" w14:textId="77777777" w:rsidR="007853FD" w:rsidRPr="007853FD" w:rsidRDefault="007853FD" w:rsidP="00167455">
            <w:pPr>
              <w:widowControl w:val="0"/>
              <w:autoSpaceDE w:val="0"/>
              <w:autoSpaceDN w:val="0"/>
              <w:adjustRightInd w:val="0"/>
              <w:ind w:right="39"/>
              <w:jc w:val="center"/>
              <w:rPr>
                <w:bCs/>
              </w:rPr>
            </w:pPr>
            <w:r w:rsidRPr="007853FD">
              <w:rPr>
                <w:bCs/>
              </w:rPr>
              <w:t>Lethal Take</w:t>
            </w:r>
          </w:p>
        </w:tc>
        <w:tc>
          <w:tcPr>
            <w:tcW w:w="3385" w:type="dxa"/>
          </w:tcPr>
          <w:p w14:paraId="04D16651" w14:textId="77777777" w:rsidR="007853FD" w:rsidRPr="007853FD" w:rsidRDefault="007853FD" w:rsidP="00167455">
            <w:pPr>
              <w:widowControl w:val="0"/>
              <w:autoSpaceDE w:val="0"/>
              <w:autoSpaceDN w:val="0"/>
              <w:adjustRightInd w:val="0"/>
              <w:ind w:right="39"/>
              <w:jc w:val="center"/>
              <w:rPr>
                <w:bCs/>
              </w:rPr>
            </w:pPr>
            <w:r w:rsidRPr="007853FD">
              <w:rPr>
                <w:bCs/>
              </w:rPr>
              <w:t>14</w:t>
            </w:r>
          </w:p>
        </w:tc>
      </w:tr>
      <w:tr w:rsidR="007853FD" w:rsidRPr="007853FD" w14:paraId="675DBFF6" w14:textId="77777777" w:rsidTr="00167455">
        <w:tc>
          <w:tcPr>
            <w:tcW w:w="3385" w:type="dxa"/>
            <w:vMerge w:val="restart"/>
          </w:tcPr>
          <w:p w14:paraId="1FC12BCC" w14:textId="77777777" w:rsidR="007853FD" w:rsidRPr="007853FD" w:rsidRDefault="007853FD" w:rsidP="00167455">
            <w:pPr>
              <w:widowControl w:val="0"/>
              <w:autoSpaceDE w:val="0"/>
              <w:autoSpaceDN w:val="0"/>
              <w:adjustRightInd w:val="0"/>
              <w:ind w:right="39"/>
              <w:rPr>
                <w:bCs/>
              </w:rPr>
            </w:pPr>
            <w:r w:rsidRPr="007853FD">
              <w:rPr>
                <w:bCs/>
              </w:rPr>
              <w:t>Hawksbill</w:t>
            </w:r>
          </w:p>
        </w:tc>
        <w:tc>
          <w:tcPr>
            <w:tcW w:w="3385" w:type="dxa"/>
          </w:tcPr>
          <w:p w14:paraId="50B9ED47" w14:textId="77777777" w:rsidR="007853FD" w:rsidRPr="007853FD" w:rsidRDefault="007853FD" w:rsidP="00167455">
            <w:pPr>
              <w:widowControl w:val="0"/>
              <w:autoSpaceDE w:val="0"/>
              <w:autoSpaceDN w:val="0"/>
              <w:adjustRightInd w:val="0"/>
              <w:ind w:right="39"/>
              <w:jc w:val="center"/>
              <w:rPr>
                <w:bCs/>
              </w:rPr>
            </w:pPr>
            <w:r w:rsidRPr="007853FD">
              <w:rPr>
                <w:bCs/>
              </w:rPr>
              <w:t>Total Take</w:t>
            </w:r>
          </w:p>
        </w:tc>
        <w:tc>
          <w:tcPr>
            <w:tcW w:w="3385" w:type="dxa"/>
          </w:tcPr>
          <w:p w14:paraId="07D0912A" w14:textId="77777777" w:rsidR="007853FD" w:rsidRPr="007853FD" w:rsidRDefault="007853FD" w:rsidP="00167455">
            <w:pPr>
              <w:widowControl w:val="0"/>
              <w:autoSpaceDE w:val="0"/>
              <w:autoSpaceDN w:val="0"/>
              <w:adjustRightInd w:val="0"/>
              <w:ind w:right="39"/>
              <w:jc w:val="center"/>
              <w:rPr>
                <w:bCs/>
              </w:rPr>
            </w:pPr>
            <w:r w:rsidRPr="007853FD">
              <w:rPr>
                <w:bCs/>
              </w:rPr>
              <w:t>4</w:t>
            </w:r>
          </w:p>
        </w:tc>
      </w:tr>
      <w:tr w:rsidR="007853FD" w:rsidRPr="007853FD" w14:paraId="27094CD0" w14:textId="77777777" w:rsidTr="00167455">
        <w:tc>
          <w:tcPr>
            <w:tcW w:w="3385" w:type="dxa"/>
            <w:vMerge/>
          </w:tcPr>
          <w:p w14:paraId="129A3A0E" w14:textId="77777777" w:rsidR="007853FD" w:rsidRPr="007853FD" w:rsidRDefault="007853FD" w:rsidP="00167455">
            <w:pPr>
              <w:widowControl w:val="0"/>
              <w:autoSpaceDE w:val="0"/>
              <w:autoSpaceDN w:val="0"/>
              <w:adjustRightInd w:val="0"/>
              <w:ind w:right="39"/>
              <w:rPr>
                <w:bCs/>
              </w:rPr>
            </w:pPr>
          </w:p>
        </w:tc>
        <w:tc>
          <w:tcPr>
            <w:tcW w:w="3385" w:type="dxa"/>
          </w:tcPr>
          <w:p w14:paraId="41B1DDF6" w14:textId="77777777" w:rsidR="007853FD" w:rsidRPr="007853FD" w:rsidRDefault="007853FD" w:rsidP="00167455">
            <w:pPr>
              <w:widowControl w:val="0"/>
              <w:autoSpaceDE w:val="0"/>
              <w:autoSpaceDN w:val="0"/>
              <w:adjustRightInd w:val="0"/>
              <w:ind w:right="39"/>
              <w:jc w:val="center"/>
              <w:rPr>
                <w:bCs/>
              </w:rPr>
            </w:pPr>
            <w:r w:rsidRPr="007853FD">
              <w:rPr>
                <w:bCs/>
              </w:rPr>
              <w:t>Lethal Take</w:t>
            </w:r>
          </w:p>
        </w:tc>
        <w:tc>
          <w:tcPr>
            <w:tcW w:w="3385" w:type="dxa"/>
          </w:tcPr>
          <w:p w14:paraId="5F9D0D04" w14:textId="77777777" w:rsidR="007853FD" w:rsidRPr="007853FD" w:rsidRDefault="007853FD" w:rsidP="00167455">
            <w:pPr>
              <w:widowControl w:val="0"/>
              <w:autoSpaceDE w:val="0"/>
              <w:autoSpaceDN w:val="0"/>
              <w:adjustRightInd w:val="0"/>
              <w:ind w:right="39"/>
              <w:jc w:val="center"/>
              <w:rPr>
                <w:bCs/>
              </w:rPr>
            </w:pPr>
            <w:r w:rsidRPr="007853FD">
              <w:rPr>
                <w:bCs/>
              </w:rPr>
              <w:t>3</w:t>
            </w:r>
          </w:p>
        </w:tc>
      </w:tr>
      <w:tr w:rsidR="007853FD" w:rsidRPr="007853FD" w14:paraId="2330C313" w14:textId="77777777" w:rsidTr="00167455">
        <w:tc>
          <w:tcPr>
            <w:tcW w:w="3385" w:type="dxa"/>
            <w:vMerge w:val="restart"/>
          </w:tcPr>
          <w:p w14:paraId="2AD492CB" w14:textId="77777777" w:rsidR="007853FD" w:rsidRPr="007853FD" w:rsidRDefault="007853FD" w:rsidP="00167455">
            <w:pPr>
              <w:widowControl w:val="0"/>
              <w:autoSpaceDE w:val="0"/>
              <w:autoSpaceDN w:val="0"/>
              <w:adjustRightInd w:val="0"/>
              <w:ind w:right="39"/>
              <w:rPr>
                <w:bCs/>
              </w:rPr>
            </w:pPr>
            <w:r w:rsidRPr="007853FD">
              <w:rPr>
                <w:bCs/>
              </w:rPr>
              <w:t>Kemp’s Ridley</w:t>
            </w:r>
          </w:p>
        </w:tc>
        <w:tc>
          <w:tcPr>
            <w:tcW w:w="3385" w:type="dxa"/>
          </w:tcPr>
          <w:p w14:paraId="3810374F" w14:textId="77777777" w:rsidR="007853FD" w:rsidRPr="007853FD" w:rsidRDefault="007853FD" w:rsidP="00167455">
            <w:pPr>
              <w:widowControl w:val="0"/>
              <w:autoSpaceDE w:val="0"/>
              <w:autoSpaceDN w:val="0"/>
              <w:adjustRightInd w:val="0"/>
              <w:ind w:right="39"/>
              <w:jc w:val="center"/>
              <w:rPr>
                <w:bCs/>
              </w:rPr>
            </w:pPr>
            <w:r w:rsidRPr="007853FD">
              <w:rPr>
                <w:bCs/>
              </w:rPr>
              <w:t>Total Take</w:t>
            </w:r>
          </w:p>
        </w:tc>
        <w:tc>
          <w:tcPr>
            <w:tcW w:w="3385" w:type="dxa"/>
          </w:tcPr>
          <w:p w14:paraId="6126A910" w14:textId="77777777" w:rsidR="007853FD" w:rsidRPr="007853FD" w:rsidRDefault="007853FD" w:rsidP="00167455">
            <w:pPr>
              <w:widowControl w:val="0"/>
              <w:autoSpaceDE w:val="0"/>
              <w:autoSpaceDN w:val="0"/>
              <w:adjustRightInd w:val="0"/>
              <w:ind w:right="39"/>
              <w:jc w:val="center"/>
              <w:rPr>
                <w:bCs/>
              </w:rPr>
            </w:pPr>
            <w:r w:rsidRPr="007853FD">
              <w:rPr>
                <w:bCs/>
              </w:rPr>
              <w:t>19</w:t>
            </w:r>
          </w:p>
        </w:tc>
      </w:tr>
      <w:tr w:rsidR="007853FD" w:rsidRPr="007853FD" w14:paraId="00BF7BDB" w14:textId="77777777" w:rsidTr="00167455">
        <w:tc>
          <w:tcPr>
            <w:tcW w:w="3385" w:type="dxa"/>
            <w:vMerge/>
          </w:tcPr>
          <w:p w14:paraId="20B877D6" w14:textId="77777777" w:rsidR="007853FD" w:rsidRPr="007853FD" w:rsidRDefault="007853FD" w:rsidP="00167455">
            <w:pPr>
              <w:widowControl w:val="0"/>
              <w:autoSpaceDE w:val="0"/>
              <w:autoSpaceDN w:val="0"/>
              <w:adjustRightInd w:val="0"/>
              <w:ind w:right="39"/>
              <w:rPr>
                <w:bCs/>
              </w:rPr>
            </w:pPr>
          </w:p>
        </w:tc>
        <w:tc>
          <w:tcPr>
            <w:tcW w:w="3385" w:type="dxa"/>
          </w:tcPr>
          <w:p w14:paraId="5FDA0E9A" w14:textId="77777777" w:rsidR="007853FD" w:rsidRPr="007853FD" w:rsidRDefault="007853FD" w:rsidP="00167455">
            <w:pPr>
              <w:widowControl w:val="0"/>
              <w:autoSpaceDE w:val="0"/>
              <w:autoSpaceDN w:val="0"/>
              <w:adjustRightInd w:val="0"/>
              <w:ind w:right="39"/>
              <w:jc w:val="center"/>
              <w:rPr>
                <w:bCs/>
              </w:rPr>
            </w:pPr>
            <w:r w:rsidRPr="007853FD">
              <w:rPr>
                <w:bCs/>
              </w:rPr>
              <w:t>Lethal Take</w:t>
            </w:r>
          </w:p>
        </w:tc>
        <w:tc>
          <w:tcPr>
            <w:tcW w:w="3385" w:type="dxa"/>
          </w:tcPr>
          <w:p w14:paraId="4B6F1D2F" w14:textId="77777777" w:rsidR="007853FD" w:rsidRPr="007853FD" w:rsidRDefault="007853FD" w:rsidP="00167455">
            <w:pPr>
              <w:widowControl w:val="0"/>
              <w:autoSpaceDE w:val="0"/>
              <w:autoSpaceDN w:val="0"/>
              <w:adjustRightInd w:val="0"/>
              <w:ind w:right="39"/>
              <w:jc w:val="center"/>
              <w:rPr>
                <w:bCs/>
              </w:rPr>
            </w:pPr>
            <w:r w:rsidRPr="007853FD">
              <w:rPr>
                <w:bCs/>
              </w:rPr>
              <w:t>8</w:t>
            </w:r>
          </w:p>
        </w:tc>
      </w:tr>
      <w:tr w:rsidR="007853FD" w:rsidRPr="007853FD" w14:paraId="44BD5461" w14:textId="77777777" w:rsidTr="00167455">
        <w:tc>
          <w:tcPr>
            <w:tcW w:w="3385" w:type="dxa"/>
            <w:vMerge w:val="restart"/>
          </w:tcPr>
          <w:p w14:paraId="4CFF23A0" w14:textId="77777777" w:rsidR="007853FD" w:rsidRPr="007853FD" w:rsidRDefault="007853FD" w:rsidP="00167455">
            <w:pPr>
              <w:widowControl w:val="0"/>
              <w:autoSpaceDE w:val="0"/>
              <w:autoSpaceDN w:val="0"/>
              <w:adjustRightInd w:val="0"/>
              <w:ind w:right="39"/>
              <w:rPr>
                <w:bCs/>
              </w:rPr>
            </w:pPr>
            <w:r w:rsidRPr="007853FD">
              <w:rPr>
                <w:bCs/>
              </w:rPr>
              <w:t>Leatherback</w:t>
            </w:r>
          </w:p>
          <w:p w14:paraId="73068B43" w14:textId="77777777" w:rsidR="007853FD" w:rsidRPr="007853FD" w:rsidRDefault="007853FD" w:rsidP="00167455">
            <w:pPr>
              <w:widowControl w:val="0"/>
              <w:autoSpaceDE w:val="0"/>
              <w:autoSpaceDN w:val="0"/>
              <w:adjustRightInd w:val="0"/>
              <w:ind w:right="39"/>
              <w:rPr>
                <w:bCs/>
              </w:rPr>
            </w:pPr>
          </w:p>
        </w:tc>
        <w:tc>
          <w:tcPr>
            <w:tcW w:w="3385" w:type="dxa"/>
          </w:tcPr>
          <w:p w14:paraId="5D198259" w14:textId="77777777" w:rsidR="007853FD" w:rsidRPr="007853FD" w:rsidRDefault="007853FD" w:rsidP="00167455">
            <w:pPr>
              <w:widowControl w:val="0"/>
              <w:autoSpaceDE w:val="0"/>
              <w:autoSpaceDN w:val="0"/>
              <w:adjustRightInd w:val="0"/>
              <w:ind w:right="39"/>
              <w:jc w:val="center"/>
              <w:rPr>
                <w:bCs/>
              </w:rPr>
            </w:pPr>
            <w:r w:rsidRPr="007853FD">
              <w:rPr>
                <w:bCs/>
              </w:rPr>
              <w:t>Total Take</w:t>
            </w:r>
          </w:p>
        </w:tc>
        <w:tc>
          <w:tcPr>
            <w:tcW w:w="3385" w:type="dxa"/>
          </w:tcPr>
          <w:p w14:paraId="36AA77A9" w14:textId="77777777" w:rsidR="007853FD" w:rsidRPr="007853FD" w:rsidRDefault="007853FD" w:rsidP="00167455">
            <w:pPr>
              <w:widowControl w:val="0"/>
              <w:autoSpaceDE w:val="0"/>
              <w:autoSpaceDN w:val="0"/>
              <w:adjustRightInd w:val="0"/>
              <w:ind w:right="39"/>
              <w:jc w:val="center"/>
              <w:rPr>
                <w:bCs/>
              </w:rPr>
            </w:pPr>
            <w:r w:rsidRPr="007853FD">
              <w:rPr>
                <w:bCs/>
              </w:rPr>
              <w:t>25</w:t>
            </w:r>
          </w:p>
        </w:tc>
      </w:tr>
      <w:tr w:rsidR="007853FD" w:rsidRPr="007853FD" w14:paraId="5CE79AF9" w14:textId="77777777" w:rsidTr="00167455">
        <w:tc>
          <w:tcPr>
            <w:tcW w:w="3385" w:type="dxa"/>
            <w:vMerge/>
          </w:tcPr>
          <w:p w14:paraId="2E5AD9BE" w14:textId="77777777" w:rsidR="007853FD" w:rsidRPr="007853FD" w:rsidRDefault="007853FD" w:rsidP="00167455">
            <w:pPr>
              <w:widowControl w:val="0"/>
              <w:autoSpaceDE w:val="0"/>
              <w:autoSpaceDN w:val="0"/>
              <w:adjustRightInd w:val="0"/>
              <w:ind w:right="39"/>
              <w:rPr>
                <w:bCs/>
              </w:rPr>
            </w:pPr>
          </w:p>
        </w:tc>
        <w:tc>
          <w:tcPr>
            <w:tcW w:w="3385" w:type="dxa"/>
          </w:tcPr>
          <w:p w14:paraId="6E6012F4" w14:textId="77777777" w:rsidR="007853FD" w:rsidRPr="007853FD" w:rsidRDefault="007853FD" w:rsidP="00167455">
            <w:pPr>
              <w:widowControl w:val="0"/>
              <w:autoSpaceDE w:val="0"/>
              <w:autoSpaceDN w:val="0"/>
              <w:adjustRightInd w:val="0"/>
              <w:ind w:right="39"/>
              <w:jc w:val="center"/>
              <w:rPr>
                <w:bCs/>
              </w:rPr>
            </w:pPr>
            <w:r w:rsidRPr="007853FD">
              <w:rPr>
                <w:bCs/>
              </w:rPr>
              <w:t>Lethal Take</w:t>
            </w:r>
          </w:p>
        </w:tc>
        <w:tc>
          <w:tcPr>
            <w:tcW w:w="3385" w:type="dxa"/>
          </w:tcPr>
          <w:p w14:paraId="76C41F09" w14:textId="77777777" w:rsidR="007853FD" w:rsidRPr="007853FD" w:rsidRDefault="007853FD" w:rsidP="00167455">
            <w:pPr>
              <w:widowControl w:val="0"/>
              <w:autoSpaceDE w:val="0"/>
              <w:autoSpaceDN w:val="0"/>
              <w:adjustRightInd w:val="0"/>
              <w:ind w:right="39"/>
              <w:jc w:val="center"/>
              <w:rPr>
                <w:bCs/>
              </w:rPr>
            </w:pPr>
            <w:r w:rsidRPr="007853FD">
              <w:rPr>
                <w:bCs/>
              </w:rPr>
              <w:t>15</w:t>
            </w:r>
          </w:p>
        </w:tc>
      </w:tr>
      <w:tr w:rsidR="007853FD" w:rsidRPr="007853FD" w14:paraId="4BBB394E" w14:textId="77777777" w:rsidTr="00167455">
        <w:tc>
          <w:tcPr>
            <w:tcW w:w="3385" w:type="dxa"/>
            <w:vMerge w:val="restart"/>
          </w:tcPr>
          <w:p w14:paraId="3C31224A" w14:textId="77777777" w:rsidR="007853FD" w:rsidRPr="007853FD" w:rsidRDefault="007853FD" w:rsidP="00167455">
            <w:pPr>
              <w:widowControl w:val="0"/>
              <w:autoSpaceDE w:val="0"/>
              <w:autoSpaceDN w:val="0"/>
              <w:adjustRightInd w:val="0"/>
              <w:ind w:right="39"/>
              <w:rPr>
                <w:bCs/>
              </w:rPr>
            </w:pPr>
            <w:r w:rsidRPr="007853FD">
              <w:rPr>
                <w:bCs/>
              </w:rPr>
              <w:t>Loggerhead</w:t>
            </w:r>
          </w:p>
        </w:tc>
        <w:tc>
          <w:tcPr>
            <w:tcW w:w="3385" w:type="dxa"/>
          </w:tcPr>
          <w:p w14:paraId="43FD56EF" w14:textId="77777777" w:rsidR="007853FD" w:rsidRPr="007853FD" w:rsidRDefault="007853FD" w:rsidP="00167455">
            <w:pPr>
              <w:widowControl w:val="0"/>
              <w:autoSpaceDE w:val="0"/>
              <w:autoSpaceDN w:val="0"/>
              <w:adjustRightInd w:val="0"/>
              <w:ind w:right="39"/>
              <w:jc w:val="center"/>
              <w:rPr>
                <w:bCs/>
              </w:rPr>
            </w:pPr>
            <w:r w:rsidRPr="007853FD">
              <w:rPr>
                <w:bCs/>
              </w:rPr>
              <w:t>Total Take</w:t>
            </w:r>
          </w:p>
        </w:tc>
        <w:tc>
          <w:tcPr>
            <w:tcW w:w="3385" w:type="dxa"/>
          </w:tcPr>
          <w:p w14:paraId="68FCF7CC" w14:textId="77777777" w:rsidR="007853FD" w:rsidRPr="007853FD" w:rsidRDefault="007853FD" w:rsidP="00167455">
            <w:pPr>
              <w:widowControl w:val="0"/>
              <w:autoSpaceDE w:val="0"/>
              <w:autoSpaceDN w:val="0"/>
              <w:adjustRightInd w:val="0"/>
              <w:ind w:right="39"/>
              <w:jc w:val="center"/>
              <w:rPr>
                <w:bCs/>
              </w:rPr>
            </w:pPr>
            <w:r w:rsidRPr="007853FD">
              <w:rPr>
                <w:bCs/>
              </w:rPr>
              <w:t>202</w:t>
            </w:r>
          </w:p>
        </w:tc>
      </w:tr>
      <w:tr w:rsidR="007853FD" w:rsidRPr="007853FD" w14:paraId="3898FD7D" w14:textId="77777777" w:rsidTr="00167455">
        <w:tc>
          <w:tcPr>
            <w:tcW w:w="3385" w:type="dxa"/>
            <w:vMerge/>
          </w:tcPr>
          <w:p w14:paraId="68924A43" w14:textId="77777777" w:rsidR="007853FD" w:rsidRPr="007853FD" w:rsidRDefault="007853FD" w:rsidP="00167455">
            <w:pPr>
              <w:widowControl w:val="0"/>
              <w:autoSpaceDE w:val="0"/>
              <w:autoSpaceDN w:val="0"/>
              <w:adjustRightInd w:val="0"/>
              <w:ind w:right="39"/>
              <w:rPr>
                <w:bCs/>
              </w:rPr>
            </w:pPr>
          </w:p>
        </w:tc>
        <w:tc>
          <w:tcPr>
            <w:tcW w:w="3385" w:type="dxa"/>
          </w:tcPr>
          <w:p w14:paraId="4F37DFE1" w14:textId="77777777" w:rsidR="007853FD" w:rsidRPr="007853FD" w:rsidRDefault="007853FD" w:rsidP="00167455">
            <w:pPr>
              <w:widowControl w:val="0"/>
              <w:autoSpaceDE w:val="0"/>
              <w:autoSpaceDN w:val="0"/>
              <w:adjustRightInd w:val="0"/>
              <w:ind w:right="39"/>
              <w:jc w:val="center"/>
              <w:rPr>
                <w:bCs/>
              </w:rPr>
            </w:pPr>
            <w:r w:rsidRPr="007853FD">
              <w:rPr>
                <w:bCs/>
              </w:rPr>
              <w:t>Lethal Take</w:t>
            </w:r>
          </w:p>
        </w:tc>
        <w:tc>
          <w:tcPr>
            <w:tcW w:w="3385" w:type="dxa"/>
          </w:tcPr>
          <w:p w14:paraId="2D949807" w14:textId="77777777" w:rsidR="007853FD" w:rsidRPr="007853FD" w:rsidRDefault="007853FD" w:rsidP="00167455">
            <w:pPr>
              <w:widowControl w:val="0"/>
              <w:autoSpaceDE w:val="0"/>
              <w:autoSpaceDN w:val="0"/>
              <w:adjustRightInd w:val="0"/>
              <w:ind w:right="39"/>
              <w:jc w:val="center"/>
              <w:rPr>
                <w:bCs/>
              </w:rPr>
            </w:pPr>
            <w:r w:rsidRPr="007853FD">
              <w:rPr>
                <w:bCs/>
              </w:rPr>
              <w:t>67</w:t>
            </w:r>
          </w:p>
        </w:tc>
      </w:tr>
    </w:tbl>
    <w:p w14:paraId="6041800C" w14:textId="77777777" w:rsidR="007853FD" w:rsidRPr="007853FD" w:rsidRDefault="007853FD" w:rsidP="007853FD">
      <w:pPr>
        <w:widowControl w:val="0"/>
        <w:autoSpaceDE w:val="0"/>
        <w:autoSpaceDN w:val="0"/>
        <w:adjustRightInd w:val="0"/>
        <w:ind w:right="39"/>
        <w:rPr>
          <w:rFonts w:ascii="Arial" w:hAnsi="Arial"/>
          <w:bCs/>
          <w:sz w:val="20"/>
          <w:szCs w:val="20"/>
        </w:rPr>
      </w:pPr>
      <w:r w:rsidRPr="007853FD">
        <w:rPr>
          <w:rFonts w:ascii="Arial" w:hAnsi="Arial"/>
          <w:bCs/>
          <w:sz w:val="20"/>
          <w:szCs w:val="20"/>
        </w:rPr>
        <w:t xml:space="preserve">Source:  NMFS 2006.  </w:t>
      </w:r>
      <w:r w:rsidRPr="007853FD">
        <w:rPr>
          <w:rFonts w:ascii="Arial" w:hAnsi="Arial"/>
          <w:color w:val="000000"/>
          <w:sz w:val="20"/>
          <w:szCs w:val="20"/>
        </w:rPr>
        <w:t>NMFS (National Marine Fisheries Service). 2006. Endangered Species Act Section 7 consultation on the continued authorization of snapper grouper fishing under the Snapper Grouper FMP and Proposed Amendment 13C.  Biological Opinion.  June 7.</w:t>
      </w:r>
    </w:p>
    <w:p w14:paraId="4BDA2BD1" w14:textId="77777777" w:rsidR="007853FD" w:rsidRPr="007853FD" w:rsidRDefault="007853FD" w:rsidP="007853FD">
      <w:pPr>
        <w:widowControl w:val="0"/>
        <w:autoSpaceDE w:val="0"/>
        <w:autoSpaceDN w:val="0"/>
        <w:adjustRightInd w:val="0"/>
        <w:ind w:right="39"/>
      </w:pPr>
    </w:p>
    <w:p w14:paraId="0BCFDA81" w14:textId="5CBAE8FD" w:rsidR="007853FD" w:rsidRPr="007853FD" w:rsidRDefault="007853FD" w:rsidP="007853FD">
      <w:pPr>
        <w:widowControl w:val="0"/>
        <w:autoSpaceDE w:val="0"/>
        <w:autoSpaceDN w:val="0"/>
        <w:adjustRightInd w:val="0"/>
        <w:ind w:right="39" w:firstLine="360"/>
      </w:pPr>
      <w:r w:rsidRPr="007853FD">
        <w:t>The SDDP does not provide data on recreational fishing interactions with ESA-listed sea turtle species.  However, anecdotal information indicates that recreational fishermen occasionally take sea turtles with hook-and-line gear.  The biological opinion also used the extrapolated data from the SDDP to estimate the magnitude of recreational fishing on sea turtles (</w:t>
      </w:r>
      <w:r>
        <w:rPr>
          <w:b/>
          <w:bCs/>
        </w:rPr>
        <w:t xml:space="preserve">Table </w:t>
      </w:r>
      <w:r w:rsidR="002878D2">
        <w:rPr>
          <w:b/>
          <w:bCs/>
        </w:rPr>
        <w:t>3.2</w:t>
      </w:r>
      <w:r w:rsidR="00167455">
        <w:rPr>
          <w:b/>
          <w:bCs/>
        </w:rPr>
        <w:t>.1</w:t>
      </w:r>
      <w:r w:rsidRPr="007853FD">
        <w:t xml:space="preserve">). </w:t>
      </w:r>
    </w:p>
    <w:p w14:paraId="3FFE37B8" w14:textId="77777777" w:rsidR="007853FD" w:rsidRPr="007853FD" w:rsidRDefault="007853FD" w:rsidP="007853FD">
      <w:pPr>
        <w:widowControl w:val="0"/>
        <w:autoSpaceDE w:val="0"/>
        <w:autoSpaceDN w:val="0"/>
        <w:adjustRightInd w:val="0"/>
        <w:ind w:right="39"/>
      </w:pPr>
    </w:p>
    <w:p w14:paraId="13DF5753" w14:textId="7FC843DA" w:rsidR="007853FD" w:rsidRDefault="007853FD" w:rsidP="007853FD">
      <w:pPr>
        <w:autoSpaceDE w:val="0"/>
        <w:autoSpaceDN w:val="0"/>
        <w:adjustRightInd w:val="0"/>
        <w:ind w:firstLine="360"/>
      </w:pPr>
      <w:r w:rsidRPr="007853FD">
        <w:t>Regulations implemented through Amendment 15B to the Snapper Grouper FMP (74 FR 31225; June 30, 2009</w:t>
      </w:r>
      <w:r w:rsidR="00273ADD">
        <w:t>; SAFMC 2008b</w:t>
      </w:r>
      <w:r w:rsidRPr="007853FD">
        <w:t>) required all commercial or charter/headboat vessels with a South Atlantic snapper grouper permit, carrying hook-and-line gear on board, to possess required literature and release gear to aid in the safe release of incidentally caught sea turtles and smalltooth sawfish.  Comprehensive Ecosystem-Based Amendment 2 modified these requirements (76 FR 82183; December 30, 2011</w:t>
      </w:r>
      <w:r w:rsidR="00273ADD">
        <w:t xml:space="preserve">; SAFMC </w:t>
      </w:r>
      <w:r w:rsidR="00A53206" w:rsidRPr="00D809E8">
        <w:t>2011e</w:t>
      </w:r>
      <w:r w:rsidRPr="007853FD">
        <w:t>) by requiring different gear for vessels with different freeboard heights, mirroring the requirements in the Gulf of Mexico.  These regulations are thought to decrease the mortality associated with accidental interactions with sea turtles and smalltooth sawfish.</w:t>
      </w:r>
    </w:p>
    <w:p w14:paraId="7BF1E9FA" w14:textId="77777777" w:rsidR="007853FD" w:rsidRDefault="007853FD" w:rsidP="007853FD">
      <w:pPr>
        <w:autoSpaceDE w:val="0"/>
        <w:autoSpaceDN w:val="0"/>
        <w:adjustRightInd w:val="0"/>
        <w:ind w:firstLine="360"/>
      </w:pPr>
    </w:p>
    <w:p w14:paraId="0AAA17AE" w14:textId="0152B5DA" w:rsidR="007853FD" w:rsidRPr="001B3C78" w:rsidRDefault="007853FD" w:rsidP="007853FD">
      <w:pPr>
        <w:autoSpaceDE w:val="0"/>
        <w:autoSpaceDN w:val="0"/>
        <w:adjustRightInd w:val="0"/>
        <w:ind w:firstLine="360"/>
      </w:pPr>
      <w:r w:rsidRPr="007853FD">
        <w:t xml:space="preserve">On July 10, 2014, NMFS published a final rule designating critical habitat for the Northwest Atlantic Ocean (NWA) Loggerhead Sea Turtle DPS in the </w:t>
      </w:r>
      <w:r w:rsidRPr="007853FD">
        <w:rPr>
          <w:i/>
        </w:rPr>
        <w:t>Federal Register</w:t>
      </w:r>
      <w:r w:rsidRPr="007853FD">
        <w:t xml:space="preserve"> (79 FR 39856).  The final rule, effective August 11, 2014, designates 38 marine areas within the Atlantic Ocean and Gulf of Mexico, which contain the physical or biological features essential for the conservation of the loggerhead sea turtle.  A memorandum dated September 16, 2014, evaluated the effects of continued authorization of federal fisheries, including snapper grouper, on the newly-designated critical habitat.  The memo concluded that activities associated with the snapper grouper fishery would not adversely affect any of the NWA loggerhead DPS critical habitat units.</w:t>
      </w:r>
    </w:p>
    <w:p w14:paraId="6BF23799" w14:textId="77777777" w:rsidR="001B3C78" w:rsidRPr="001B3C78" w:rsidRDefault="001B3C78" w:rsidP="00D71AB1">
      <w:pPr>
        <w:autoSpaceDE w:val="0"/>
        <w:autoSpaceDN w:val="0"/>
        <w:adjustRightInd w:val="0"/>
        <w:ind w:firstLine="360"/>
      </w:pPr>
    </w:p>
    <w:p w14:paraId="464BDAB3" w14:textId="2B5F82B0" w:rsidR="001B3C78" w:rsidRPr="001B3C78" w:rsidRDefault="00C41736" w:rsidP="00D71AB1">
      <w:pPr>
        <w:keepNext/>
        <w:spacing w:before="240" w:after="60"/>
        <w:outlineLvl w:val="2"/>
        <w:rPr>
          <w:rFonts w:ascii="Arial" w:hAnsi="Arial" w:cs="Arial"/>
          <w:b/>
          <w:bCs/>
          <w:sz w:val="28"/>
          <w:szCs w:val="28"/>
        </w:rPr>
      </w:pPr>
      <w:bookmarkStart w:id="123" w:name="_Toc383187603"/>
      <w:r>
        <w:rPr>
          <w:rFonts w:ascii="Arial" w:hAnsi="Arial" w:cs="Arial"/>
          <w:b/>
          <w:bCs/>
          <w:sz w:val="28"/>
          <w:szCs w:val="28"/>
        </w:rPr>
        <w:t>3.2.5</w:t>
      </w:r>
      <w:r w:rsidR="001B3C78" w:rsidRPr="001B3C78">
        <w:rPr>
          <w:rFonts w:ascii="Arial" w:hAnsi="Arial" w:cs="Arial"/>
          <w:b/>
          <w:bCs/>
          <w:sz w:val="28"/>
          <w:szCs w:val="28"/>
        </w:rPr>
        <w:t>.2</w:t>
      </w:r>
      <w:r w:rsidR="001B3C78" w:rsidRPr="001B3C78">
        <w:rPr>
          <w:rFonts w:ascii="Arial" w:hAnsi="Arial" w:cs="Arial"/>
          <w:b/>
          <w:bCs/>
          <w:sz w:val="28"/>
          <w:szCs w:val="28"/>
        </w:rPr>
        <w:tab/>
        <w:t>ESA-Listed Marine Fish</w:t>
      </w:r>
      <w:bookmarkEnd w:id="123"/>
    </w:p>
    <w:p w14:paraId="6711D114" w14:textId="77777777" w:rsidR="001B3C78" w:rsidRDefault="001B3C78" w:rsidP="00D71AB1">
      <w:pPr>
        <w:autoSpaceDE w:val="0"/>
        <w:autoSpaceDN w:val="0"/>
        <w:adjustRightInd w:val="0"/>
        <w:ind w:firstLine="360"/>
        <w:rPr>
          <w:color w:val="000000"/>
        </w:rPr>
      </w:pPr>
      <w:r w:rsidRPr="001B3C78">
        <w:t xml:space="preserve">Historically the </w:t>
      </w:r>
      <w:r w:rsidRPr="001B3C78">
        <w:rPr>
          <w:b/>
          <w:bCs/>
        </w:rPr>
        <w:t>smalltooth sawfish</w:t>
      </w:r>
      <w:r w:rsidRPr="001B3C78">
        <w:t xml:space="preserve"> in the U.S. ranged from New York to the Mexico border.  Their current range is poorly understood but believed to have contracted from these historical areas.  In the South Atlantic region, they are most commonly found in Florida, primarily off the </w:t>
      </w:r>
      <w:r w:rsidRPr="001B3C78">
        <w:lastRenderedPageBreak/>
        <w:t>Florida Keys (Simpfendorfer and Wiley 2004).  Only two smalltooth sawfish have been recorded north of Florida since 1963 [the first was captured off North Carolina in 1963 and the other off Georgia in 2002 (National Smalltooth Sawfish Database, Florida Museum of Natural History)].  Historical accounts and recent encounter data suggest that immature individuals are most common in shallow coastal waters less than 25 meters (Bigelow and Schroeder 1953, Adams and Wilson 1995), while mature animals occur in waters in excess of 100 meters (Simpfendorfer pers. comm. 2006).  Smalltooth sawfish feed primarily on fish.  Mullet, jacks, and ladyfish are believed to be their primary food sources (Simpfendorfer 2001).  Smalltooth sawfish also prey on crustaceans (mostly shrimp and crabs) by disturbing bottom sediment with their saw (Norman and Fraser 1938, Bigelow and Schroeder 1953).</w:t>
      </w:r>
      <w:bookmarkEnd w:id="118"/>
      <w:bookmarkEnd w:id="119"/>
      <w:bookmarkEnd w:id="120"/>
      <w:r w:rsidRPr="001B3C78">
        <w:rPr>
          <w:color w:val="000000"/>
        </w:rPr>
        <w:t xml:space="preserve">  </w:t>
      </w:r>
    </w:p>
    <w:p w14:paraId="2A932BFF" w14:textId="77777777" w:rsidR="007853FD" w:rsidRDefault="007853FD" w:rsidP="00D71AB1">
      <w:pPr>
        <w:autoSpaceDE w:val="0"/>
        <w:autoSpaceDN w:val="0"/>
        <w:adjustRightInd w:val="0"/>
        <w:ind w:firstLine="360"/>
        <w:rPr>
          <w:color w:val="000000"/>
        </w:rPr>
      </w:pPr>
    </w:p>
    <w:p w14:paraId="06FBDAC0" w14:textId="6B693A43" w:rsidR="007853FD" w:rsidRPr="00B931C6" w:rsidRDefault="007853FD" w:rsidP="00D71AB1">
      <w:pPr>
        <w:autoSpaceDE w:val="0"/>
        <w:autoSpaceDN w:val="0"/>
        <w:adjustRightInd w:val="0"/>
        <w:ind w:firstLine="360"/>
        <w:rPr>
          <w:color w:val="000000"/>
        </w:rPr>
      </w:pPr>
      <w:r>
        <w:t>O</w:t>
      </w:r>
      <w:r w:rsidRPr="007853FD">
        <w:t xml:space="preserve">n September 22, 2011, NMFS and the U.S. Fish and Wildlife Service determined the </w:t>
      </w:r>
      <w:r w:rsidRPr="00797BD8">
        <w:rPr>
          <w:b/>
        </w:rPr>
        <w:t>loggerhead sea turtle</w:t>
      </w:r>
      <w:r w:rsidRPr="007853FD">
        <w:t xml:space="preserve"> population consists of nine distinct population segments (DPSs) (76 FR 58868).  Previously, loggerhead sea turtles were listed as threatened species throughout their global range.  The snapper grouper fishery interacts with loggerhead sea turtles from what is now considered the Northwest Atlantic (NWA) DPS, which remains listed as threatened.  Five DPSs of Atlantic sturgeon were also listed since the completion of the 2006 biological opinion.  In a consultation memorandum dated February 15, 2012, NMFS concluded the continued authorization of the South Atlantic snapper grouper fishery is not likely to adversely affect the Atlantic sturgeon.  The February 15, 2012, memorandum also stated that because the 2006 biological opinion had evaluated </w:t>
      </w:r>
      <w:r w:rsidRPr="007853FD">
        <w:rPr>
          <w:rFonts w:eastAsia="Calibri"/>
          <w:lang w:val="en-CA"/>
        </w:rPr>
        <w:t>the impacts of the fishery</w:t>
      </w:r>
      <w:r w:rsidRPr="007853FD">
        <w:t xml:space="preserve"> on the </w:t>
      </w:r>
      <w:r w:rsidRPr="007853FD">
        <w:rPr>
          <w:lang w:val="en-CA"/>
        </w:rPr>
        <w:t xml:space="preserve">loggerhead </w:t>
      </w:r>
      <w:r w:rsidRPr="007853FD">
        <w:t xml:space="preserve">subpopulations now wholly contained within the NWA DPS, the opinion’s conclusion that the fishery </w:t>
      </w:r>
      <w:r w:rsidRPr="007853FD">
        <w:rPr>
          <w:lang w:val="en-CA"/>
        </w:rPr>
        <w:t xml:space="preserve">is not likely to jeopardize the continued existence of loggerhead sea turtles </w:t>
      </w:r>
      <w:r w:rsidRPr="007853FD">
        <w:rPr>
          <w:rFonts w:eastAsia="Calibri"/>
          <w:lang w:val="en-CA"/>
        </w:rPr>
        <w:t>remains valid.</w:t>
      </w:r>
    </w:p>
    <w:p w14:paraId="0F090929" w14:textId="271917B2" w:rsidR="00797BD8" w:rsidRPr="00797BD8" w:rsidRDefault="00797BD8" w:rsidP="00797BD8">
      <w:pPr>
        <w:pStyle w:val="NormalWeb"/>
        <w:ind w:firstLine="360"/>
      </w:pPr>
      <w:bookmarkStart w:id="124" w:name="_Toc276634279"/>
      <w:bookmarkStart w:id="125" w:name="_Toc304879981"/>
      <w:bookmarkStart w:id="126" w:name="_Toc361410397"/>
      <w:r>
        <w:t xml:space="preserve">On </w:t>
      </w:r>
      <w:r w:rsidRPr="00797BD8">
        <w:t xml:space="preserve">June 29, </w:t>
      </w:r>
      <w:r>
        <w:t>2016, NMFS published a final rule</w:t>
      </w:r>
      <w:r w:rsidRPr="00797BD8">
        <w:t xml:space="preserve"> in the </w:t>
      </w:r>
      <w:r w:rsidRPr="00797BD8">
        <w:rPr>
          <w:i/>
          <w:iCs/>
        </w:rPr>
        <w:t>Federal Register</w:t>
      </w:r>
      <w:r w:rsidRPr="00797BD8">
        <w:t xml:space="preserve"> list</w:t>
      </w:r>
      <w:r>
        <w:t>ing</w:t>
      </w:r>
      <w:r w:rsidRPr="00797BD8">
        <w:t xml:space="preserve"> </w:t>
      </w:r>
      <w:r w:rsidRPr="00797BD8">
        <w:rPr>
          <w:b/>
        </w:rPr>
        <w:t xml:space="preserve">Nassau grouper </w:t>
      </w:r>
      <w:r w:rsidRPr="00797BD8">
        <w:t>as threatened under the Endangered Species Act due to a decline in its population (</w:t>
      </w:r>
      <w:r w:rsidRPr="00361CDF">
        <w:t>81 FR 42268</w:t>
      </w:r>
      <w:r>
        <w:t>).  The final rule beca</w:t>
      </w:r>
      <w:r w:rsidRPr="00797BD8">
        <w:t>me effective on July 29, 2016.</w:t>
      </w:r>
      <w:r>
        <w:rPr>
          <w:rStyle w:val="Heading4Char1"/>
          <w:bCs/>
          <w:iCs/>
          <w:sz w:val="24"/>
          <w:szCs w:val="24"/>
        </w:rPr>
        <w:t xml:space="preserve"> </w:t>
      </w:r>
      <w:r w:rsidRPr="00797BD8">
        <w:t xml:space="preserve"> The species is in need of more conservation efforts given its population has not yet recovered. </w:t>
      </w:r>
      <w:r>
        <w:t xml:space="preserve"> However, t</w:t>
      </w:r>
      <w:r w:rsidRPr="00797BD8">
        <w:t xml:space="preserve">his listing does not change current fishing regulations in the U.S. (including federal waters in U.S. Caribbean territories), as harvest of this species is already prohibited in state, territorial, and federal waters. </w:t>
      </w:r>
      <w:r>
        <w:t xml:space="preserve"> </w:t>
      </w:r>
      <w:r w:rsidRPr="00797BD8">
        <w:t>Commercial and recreational fishing for this species was first prohibited in U.S. federal waters in 1990 when it was listed as a Species of Concern. </w:t>
      </w:r>
      <w:r>
        <w:t xml:space="preserve"> </w:t>
      </w:r>
      <w:r w:rsidRPr="00797BD8">
        <w:t xml:space="preserve">Prior to 1990, historical harvest greatly diminished the population of Nassau grouper and eliminated many spawning groups. </w:t>
      </w:r>
      <w:r>
        <w:t xml:space="preserve"> </w:t>
      </w:r>
      <w:r w:rsidRPr="00797BD8">
        <w:t xml:space="preserve">Because Nassau grouper is a slow growing, late maturing fish, the population has yet to recover despite conservation efforts. </w:t>
      </w:r>
      <w:r>
        <w:t xml:space="preserve"> </w:t>
      </w:r>
      <w:r w:rsidRPr="00797BD8">
        <w:t>In addition, Nassau grouper is still harvested in several Caribbean countries and fishing pressure on the remaining spawning groups continues to threaten the species. </w:t>
      </w:r>
      <w:r>
        <w:t xml:space="preserve"> </w:t>
      </w:r>
      <w:r w:rsidRPr="00797BD8">
        <w:t xml:space="preserve">While a threatened listing status does not afford the same strict prohibitions on import, export, and incidental catch that an endangered status does, </w:t>
      </w:r>
      <w:r w:rsidR="00361CDF">
        <w:t>NMFS</w:t>
      </w:r>
      <w:r w:rsidRPr="00797BD8">
        <w:t xml:space="preserve"> will assess whether to add additional regulatory measures in future rule makings. </w:t>
      </w:r>
      <w:r>
        <w:t xml:space="preserve"> </w:t>
      </w:r>
      <w:r w:rsidR="00361CDF">
        <w:t>NMFS</w:t>
      </w:r>
      <w:r w:rsidRPr="00797BD8">
        <w:t xml:space="preserve"> will also organize a recovery team to begin development of a plan to guide the conservation and recovery of the species. The plan will lay out the criteria and actions necessary to ensure species recovery.  It will also be used to ensure recovery efforts are on target and being met effectively and efficiently.</w:t>
      </w:r>
    </w:p>
    <w:p w14:paraId="4F6C534C" w14:textId="77E91413" w:rsidR="003522C3" w:rsidRPr="008E3814" w:rsidRDefault="00C62A30" w:rsidP="00D71AB1">
      <w:pPr>
        <w:pStyle w:val="Heading2"/>
        <w:rPr>
          <w:rFonts w:ascii="Arial" w:hAnsi="Arial" w:cs="Arial"/>
        </w:rPr>
      </w:pPr>
      <w:bookmarkStart w:id="127" w:name="_Toc339811720"/>
      <w:r w:rsidRPr="00C62A30">
        <w:rPr>
          <w:rStyle w:val="Heading4Char1"/>
          <w:rFonts w:ascii="Arial" w:hAnsi="Arial" w:cs="Arial"/>
        </w:rPr>
        <w:lastRenderedPageBreak/>
        <w:t xml:space="preserve">3.3 </w:t>
      </w:r>
      <w:r w:rsidR="005B52EC">
        <w:rPr>
          <w:rStyle w:val="Heading4Char1"/>
          <w:rFonts w:ascii="Arial" w:hAnsi="Arial" w:cs="Arial"/>
        </w:rPr>
        <w:tab/>
      </w:r>
      <w:r w:rsidR="002A6F41">
        <w:rPr>
          <w:rStyle w:val="Heading4Char1"/>
          <w:rFonts w:ascii="Arial" w:hAnsi="Arial" w:cs="Arial"/>
        </w:rPr>
        <w:t>Economic and Social</w:t>
      </w:r>
      <w:r w:rsidRPr="00C62A30">
        <w:rPr>
          <w:rStyle w:val="Heading4Char1"/>
          <w:rFonts w:ascii="Arial" w:hAnsi="Arial" w:cs="Arial"/>
        </w:rPr>
        <w:t xml:space="preserve"> Environment</w:t>
      </w:r>
      <w:bookmarkEnd w:id="127"/>
      <w:r w:rsidRPr="00C62A30">
        <w:rPr>
          <w:rStyle w:val="Heading4Char1"/>
          <w:rFonts w:ascii="Arial" w:hAnsi="Arial" w:cs="Arial"/>
        </w:rPr>
        <w:t xml:space="preserve"> </w:t>
      </w:r>
    </w:p>
    <w:p w14:paraId="314D766E" w14:textId="7AA47151" w:rsidR="00E65D9E" w:rsidRPr="00AE3C2C" w:rsidRDefault="004A077F" w:rsidP="00E65D9E">
      <w:pPr>
        <w:pStyle w:val="Heading2"/>
        <w:rPr>
          <w:rFonts w:ascii="Arial" w:hAnsi="Arial" w:cs="Arial"/>
        </w:rPr>
      </w:pPr>
      <w:bookmarkStart w:id="128" w:name="_Toc350432238"/>
      <w:bookmarkStart w:id="129" w:name="_Toc352662002"/>
      <w:bookmarkStart w:id="130" w:name="_Toc363119401"/>
      <w:bookmarkStart w:id="131" w:name="_Toc385873185"/>
      <w:bookmarkStart w:id="132" w:name="_Toc339811721"/>
      <w:bookmarkStart w:id="133" w:name="_Toc276634283"/>
      <w:bookmarkStart w:id="134" w:name="_Toc304879991"/>
      <w:bookmarkStart w:id="135" w:name="_Toc361410402"/>
      <w:bookmarkEnd w:id="124"/>
      <w:bookmarkEnd w:id="125"/>
      <w:bookmarkEnd w:id="126"/>
      <w:r w:rsidRPr="000C21CA">
        <w:rPr>
          <w:rFonts w:ascii="Arial" w:hAnsi="Arial" w:cs="Arial"/>
        </w:rPr>
        <w:t>3.3</w:t>
      </w:r>
      <w:r>
        <w:rPr>
          <w:rFonts w:ascii="Arial" w:hAnsi="Arial" w:cs="Arial"/>
        </w:rPr>
        <w:t>.1</w:t>
      </w:r>
      <w:r w:rsidRPr="000C21CA">
        <w:rPr>
          <w:rFonts w:ascii="Arial" w:hAnsi="Arial" w:cs="Arial"/>
        </w:rPr>
        <w:t xml:space="preserve">  Economic Environment</w:t>
      </w:r>
      <w:bookmarkEnd w:id="128"/>
      <w:bookmarkEnd w:id="129"/>
      <w:bookmarkEnd w:id="130"/>
      <w:bookmarkEnd w:id="131"/>
      <w:bookmarkEnd w:id="132"/>
    </w:p>
    <w:p w14:paraId="3C253664" w14:textId="77777777" w:rsidR="00E65D9E" w:rsidRPr="00C06287" w:rsidRDefault="00E65D9E" w:rsidP="00E65D9E">
      <w:pPr>
        <w:pStyle w:val="Heading3"/>
        <w:rPr>
          <w:sz w:val="28"/>
          <w:szCs w:val="28"/>
        </w:rPr>
      </w:pPr>
      <w:bookmarkStart w:id="136" w:name="_Toc339811722"/>
      <w:r w:rsidRPr="00941184">
        <w:rPr>
          <w:sz w:val="28"/>
          <w:szCs w:val="28"/>
        </w:rPr>
        <w:t>3.3.1.1</w:t>
      </w:r>
      <w:r w:rsidRPr="00941184">
        <w:rPr>
          <w:sz w:val="28"/>
          <w:szCs w:val="28"/>
        </w:rPr>
        <w:tab/>
        <w:t>Economic Description of the Commercial Sector</w:t>
      </w:r>
      <w:bookmarkEnd w:id="136"/>
    </w:p>
    <w:p w14:paraId="157BC5E8" w14:textId="1D8AAA73" w:rsidR="00E65D9E" w:rsidRPr="00AE3C2C" w:rsidRDefault="00E65D9E" w:rsidP="00AE3C2C"/>
    <w:p w14:paraId="122D02A7" w14:textId="36AF3350" w:rsidR="00DD6CD0" w:rsidRPr="0067026A" w:rsidRDefault="00DD6CD0" w:rsidP="00DD6CD0">
      <w:pPr>
        <w:autoSpaceDE w:val="0"/>
        <w:autoSpaceDN w:val="0"/>
        <w:adjustRightInd w:val="0"/>
        <w:ind w:firstLine="360"/>
      </w:pPr>
      <w:r>
        <w:t>In 2014</w:t>
      </w:r>
      <w:r w:rsidRPr="0067026A">
        <w:t>, the U.S. seafood industry</w:t>
      </w:r>
      <w:r>
        <w:t xml:space="preserve"> </w:t>
      </w:r>
      <w:r w:rsidRPr="0067026A">
        <w:t>supported approximately 1.3</w:t>
      </w:r>
      <w:r>
        <w:t>9</w:t>
      </w:r>
      <w:r w:rsidRPr="0067026A">
        <w:t xml:space="preserve"> million full- and part-time jo</w:t>
      </w:r>
      <w:r>
        <w:t>bs and generated $153 billion in sales, $42 billion in income</w:t>
      </w:r>
      <w:r w:rsidRPr="0067026A">
        <w:t xml:space="preserve">, and </w:t>
      </w:r>
      <w:r>
        <w:t>$64</w:t>
      </w:r>
      <w:r w:rsidRPr="0067026A">
        <w:t xml:space="preserve"> billion in val</w:t>
      </w:r>
      <w:r>
        <w:t xml:space="preserve">ue added impacts nationwide (NMFS </w:t>
      </w:r>
      <w:r w:rsidR="00361CDF">
        <w:t>2016</w:t>
      </w:r>
      <w:r w:rsidRPr="0067026A">
        <w:t xml:space="preserve">).  The </w:t>
      </w:r>
      <w:r>
        <w:t xml:space="preserve">nation’s </w:t>
      </w:r>
      <w:r w:rsidRPr="0067026A">
        <w:t>comm</w:t>
      </w:r>
      <w:r>
        <w:t>ercial fishing sector landed 9.4</w:t>
      </w:r>
      <w:r w:rsidRPr="0067026A">
        <w:t xml:space="preserve"> billion pounds of finfish and shellfi</w:t>
      </w:r>
      <w:r>
        <w:t>sh with a dockside (ex-vessel) value of $5.5</w:t>
      </w:r>
      <w:r w:rsidRPr="0067026A">
        <w:t xml:space="preserve"> billion.  Over 60% of those la</w:t>
      </w:r>
      <w:r>
        <w:t xml:space="preserve">ndings were made up of ten </w:t>
      </w:r>
      <w:r w:rsidRPr="0067026A">
        <w:t>key species and species groups.  None of those</w:t>
      </w:r>
      <w:r>
        <w:t xml:space="preserve"> national</w:t>
      </w:r>
      <w:r w:rsidRPr="0067026A">
        <w:t xml:space="preserve"> key species or species groups are within the South Atlantic snapper grouper fishery.  </w:t>
      </w:r>
    </w:p>
    <w:p w14:paraId="63CB7497" w14:textId="77777777" w:rsidR="00DD6CD0" w:rsidRPr="0067026A" w:rsidRDefault="00DD6CD0" w:rsidP="00DD6CD0">
      <w:pPr>
        <w:ind w:firstLine="360"/>
      </w:pPr>
    </w:p>
    <w:p w14:paraId="0F44C057" w14:textId="78B93261" w:rsidR="00DD6CD0" w:rsidRPr="0067026A" w:rsidRDefault="00DD6CD0" w:rsidP="00DD6CD0">
      <w:r>
        <w:t xml:space="preserve">     Commercial fishermen in the South Atlantic Region (Region) landed approximately 105 million pounds of finfish and shellfish with a dockside value (revenue) of approximately $184million in 2014 (NMFS </w:t>
      </w:r>
      <w:r w:rsidR="00361CDF">
        <w:t>2016</w:t>
      </w:r>
      <w:r>
        <w:t>), which is almost 1% of national landings by weight and approximately 3% by dockside revenue.  Approximately 47% of the Region’s landings by weight and 52% by dockside revenue were from the combined landings of blue crab and shrimp (</w:t>
      </w:r>
      <w:r w:rsidRPr="00832925">
        <w:rPr>
          <w:b/>
        </w:rPr>
        <w:t>Table 3.3.1</w:t>
      </w:r>
      <w:r>
        <w:t xml:space="preserve">).  </w:t>
      </w:r>
    </w:p>
    <w:p w14:paraId="5B938A44" w14:textId="77777777" w:rsidR="00DD6CD0" w:rsidRDefault="00DD6CD0" w:rsidP="00DD6CD0">
      <w:pPr>
        <w:ind w:firstLine="360"/>
      </w:pPr>
    </w:p>
    <w:p w14:paraId="462C498A" w14:textId="77777777" w:rsidR="00DD6CD0" w:rsidRPr="00E257FC" w:rsidRDefault="00DD6CD0" w:rsidP="00DD6CD0">
      <w:pPr>
        <w:pStyle w:val="Tabletitle"/>
        <w:rPr>
          <w:rFonts w:cs="Arial"/>
          <w:b/>
          <w:szCs w:val="20"/>
        </w:rPr>
      </w:pPr>
      <w:bookmarkStart w:id="137" w:name="_Toc340431546"/>
      <w:r w:rsidRPr="00FD1B97">
        <w:rPr>
          <w:b/>
        </w:rPr>
        <w:t>Table 3.3.1</w:t>
      </w:r>
      <w:r w:rsidRPr="00FD1B97">
        <w:t>.  Key Commercial Species/Species Groups in the South Atlantic Region, 201</w:t>
      </w:r>
      <w:r>
        <w:t>4</w:t>
      </w:r>
      <w:r w:rsidRPr="00FD1B97">
        <w:t>.</w:t>
      </w:r>
      <w:bookmarkEnd w:id="137"/>
      <w:r w:rsidRPr="00FD1B97">
        <w:t xml:space="preserve">  </w:t>
      </w:r>
    </w:p>
    <w:tbl>
      <w:tblPr>
        <w:tblW w:w="9303" w:type="dxa"/>
        <w:tblInd w:w="93" w:type="dxa"/>
        <w:tblLook w:val="04A0" w:firstRow="1" w:lastRow="0" w:firstColumn="1" w:lastColumn="0" w:noHBand="0" w:noVBand="1"/>
      </w:tblPr>
      <w:tblGrid>
        <w:gridCol w:w="1869"/>
        <w:gridCol w:w="1413"/>
        <w:gridCol w:w="1677"/>
        <w:gridCol w:w="1119"/>
        <w:gridCol w:w="1831"/>
        <w:gridCol w:w="1394"/>
      </w:tblGrid>
      <w:tr w:rsidR="00DD6CD0" w:rsidRPr="00E257FC" w14:paraId="1B0DF6D5" w14:textId="77777777" w:rsidTr="00501559">
        <w:trPr>
          <w:trHeight w:val="610"/>
        </w:trPr>
        <w:tc>
          <w:tcPr>
            <w:tcW w:w="1869"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14:paraId="2C0E101F" w14:textId="77777777" w:rsidR="00DD6CD0" w:rsidRPr="00E257FC" w:rsidRDefault="00DD6CD0" w:rsidP="00501559">
            <w:pPr>
              <w:jc w:val="center"/>
              <w:rPr>
                <w:b/>
                <w:bCs/>
                <w:color w:val="000000"/>
                <w:sz w:val="22"/>
                <w:szCs w:val="22"/>
              </w:rPr>
            </w:pPr>
            <w:r w:rsidRPr="00E257FC">
              <w:rPr>
                <w:b/>
                <w:bCs/>
                <w:color w:val="000000"/>
                <w:sz w:val="22"/>
                <w:szCs w:val="22"/>
              </w:rPr>
              <w:t>Key Species/ Species Group</w:t>
            </w:r>
          </w:p>
        </w:tc>
        <w:tc>
          <w:tcPr>
            <w:tcW w:w="1413"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328D38B3" w14:textId="77777777" w:rsidR="00DD6CD0" w:rsidRPr="00E257FC" w:rsidRDefault="00DD6CD0" w:rsidP="00501559">
            <w:pPr>
              <w:jc w:val="center"/>
              <w:rPr>
                <w:b/>
                <w:bCs/>
                <w:color w:val="000000"/>
                <w:sz w:val="22"/>
                <w:szCs w:val="22"/>
              </w:rPr>
            </w:pPr>
            <w:r w:rsidRPr="00E257FC">
              <w:rPr>
                <w:b/>
                <w:bCs/>
                <w:color w:val="000000"/>
                <w:sz w:val="22"/>
                <w:szCs w:val="22"/>
              </w:rPr>
              <w:t>Dockside revenue (thousands)</w:t>
            </w:r>
          </w:p>
        </w:tc>
        <w:tc>
          <w:tcPr>
            <w:tcW w:w="1677"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6EC4F0C8" w14:textId="77777777" w:rsidR="00DD6CD0" w:rsidRPr="00E257FC" w:rsidRDefault="00DD6CD0" w:rsidP="00501559">
            <w:pPr>
              <w:jc w:val="center"/>
              <w:rPr>
                <w:b/>
                <w:bCs/>
                <w:color w:val="000000"/>
                <w:sz w:val="22"/>
                <w:szCs w:val="22"/>
              </w:rPr>
            </w:pPr>
            <w:r w:rsidRPr="00E257FC">
              <w:rPr>
                <w:b/>
                <w:bCs/>
                <w:color w:val="000000"/>
                <w:sz w:val="22"/>
                <w:szCs w:val="22"/>
              </w:rPr>
              <w:t>Pounds landed (thousands)</w:t>
            </w:r>
          </w:p>
        </w:tc>
        <w:tc>
          <w:tcPr>
            <w:tcW w:w="1119" w:type="dxa"/>
            <w:tcBorders>
              <w:top w:val="single" w:sz="4" w:space="0" w:color="auto"/>
              <w:left w:val="nil"/>
              <w:bottom w:val="single" w:sz="4" w:space="0" w:color="auto"/>
              <w:right w:val="single" w:sz="4" w:space="0" w:color="auto"/>
            </w:tcBorders>
            <w:shd w:val="clear" w:color="000000" w:fill="D9D9D9" w:themeFill="background1" w:themeFillShade="D9"/>
          </w:tcPr>
          <w:p w14:paraId="14562CFC" w14:textId="77777777" w:rsidR="00DD6CD0" w:rsidRPr="00E257FC" w:rsidRDefault="00DD6CD0" w:rsidP="00501559">
            <w:pPr>
              <w:jc w:val="center"/>
              <w:rPr>
                <w:b/>
                <w:bCs/>
                <w:color w:val="000000"/>
                <w:sz w:val="22"/>
                <w:szCs w:val="22"/>
              </w:rPr>
            </w:pPr>
            <w:r w:rsidRPr="00E257FC">
              <w:rPr>
                <w:b/>
                <w:bCs/>
                <w:color w:val="000000"/>
                <w:sz w:val="22"/>
                <w:szCs w:val="22"/>
              </w:rPr>
              <w:t>Average price per pound</w:t>
            </w:r>
          </w:p>
        </w:tc>
        <w:tc>
          <w:tcPr>
            <w:tcW w:w="1831"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14:paraId="49086AA1" w14:textId="77777777" w:rsidR="00DD6CD0" w:rsidRPr="00E257FC" w:rsidRDefault="00DD6CD0" w:rsidP="00501559">
            <w:pPr>
              <w:jc w:val="center"/>
              <w:rPr>
                <w:b/>
                <w:bCs/>
                <w:color w:val="000000"/>
                <w:sz w:val="22"/>
                <w:szCs w:val="22"/>
              </w:rPr>
            </w:pPr>
            <w:r w:rsidRPr="00E257FC">
              <w:rPr>
                <w:b/>
                <w:bCs/>
                <w:color w:val="000000"/>
                <w:sz w:val="22"/>
                <w:szCs w:val="22"/>
              </w:rPr>
              <w:t>Percent of all dockside revenue</w:t>
            </w:r>
          </w:p>
        </w:tc>
        <w:tc>
          <w:tcPr>
            <w:tcW w:w="1394"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62EF8D56" w14:textId="77777777" w:rsidR="00DD6CD0" w:rsidRPr="00E257FC" w:rsidRDefault="00DD6CD0" w:rsidP="00501559">
            <w:pPr>
              <w:jc w:val="center"/>
              <w:rPr>
                <w:b/>
                <w:bCs/>
                <w:color w:val="000000"/>
                <w:sz w:val="22"/>
                <w:szCs w:val="22"/>
              </w:rPr>
            </w:pPr>
            <w:r w:rsidRPr="00E257FC">
              <w:rPr>
                <w:b/>
                <w:bCs/>
                <w:color w:val="000000"/>
                <w:sz w:val="22"/>
                <w:szCs w:val="22"/>
              </w:rPr>
              <w:t>Percent of all pounds landed</w:t>
            </w:r>
          </w:p>
        </w:tc>
      </w:tr>
      <w:tr w:rsidR="00DD6CD0" w:rsidRPr="00E257FC" w14:paraId="2BA6C79C" w14:textId="77777777" w:rsidTr="00501559">
        <w:trPr>
          <w:trHeight w:val="305"/>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01C31403" w14:textId="77777777" w:rsidR="00DD6CD0" w:rsidRPr="00E257FC" w:rsidRDefault="00DD6CD0" w:rsidP="00501559">
            <w:pPr>
              <w:rPr>
                <w:color w:val="000000"/>
                <w:sz w:val="22"/>
                <w:szCs w:val="22"/>
              </w:rPr>
            </w:pPr>
            <w:r w:rsidRPr="00E257FC">
              <w:rPr>
                <w:color w:val="000000"/>
                <w:sz w:val="22"/>
                <w:szCs w:val="22"/>
              </w:rPr>
              <w:t>Blue crab</w:t>
            </w:r>
          </w:p>
        </w:tc>
        <w:tc>
          <w:tcPr>
            <w:tcW w:w="1413" w:type="dxa"/>
            <w:tcBorders>
              <w:top w:val="nil"/>
              <w:left w:val="nil"/>
              <w:bottom w:val="single" w:sz="4" w:space="0" w:color="auto"/>
              <w:right w:val="single" w:sz="4" w:space="0" w:color="auto"/>
            </w:tcBorders>
            <w:shd w:val="clear" w:color="auto" w:fill="auto"/>
            <w:noWrap/>
            <w:vAlign w:val="bottom"/>
            <w:hideMark/>
          </w:tcPr>
          <w:p w14:paraId="33E36745" w14:textId="77777777" w:rsidR="00DD6CD0" w:rsidRPr="00E257FC" w:rsidRDefault="00DD6CD0" w:rsidP="00501559">
            <w:pPr>
              <w:jc w:val="center"/>
              <w:rPr>
                <w:color w:val="000000"/>
                <w:sz w:val="22"/>
                <w:szCs w:val="22"/>
              </w:rPr>
            </w:pPr>
            <w:r w:rsidRPr="00E257FC">
              <w:rPr>
                <w:color w:val="000000"/>
                <w:sz w:val="22"/>
                <w:szCs w:val="22"/>
              </w:rPr>
              <w:t>$4</w:t>
            </w:r>
            <w:r>
              <w:rPr>
                <w:color w:val="000000"/>
                <w:sz w:val="22"/>
                <w:szCs w:val="22"/>
              </w:rPr>
              <w:t>6,2</w:t>
            </w:r>
            <w:r w:rsidRPr="00E257FC">
              <w:rPr>
                <w:color w:val="000000"/>
                <w:sz w:val="22"/>
                <w:szCs w:val="22"/>
              </w:rPr>
              <w:t>3</w:t>
            </w:r>
            <w:r>
              <w:rPr>
                <w:color w:val="000000"/>
                <w:sz w:val="22"/>
                <w:szCs w:val="22"/>
              </w:rPr>
              <w:t>0</w:t>
            </w:r>
          </w:p>
        </w:tc>
        <w:tc>
          <w:tcPr>
            <w:tcW w:w="1677" w:type="dxa"/>
            <w:tcBorders>
              <w:top w:val="nil"/>
              <w:left w:val="nil"/>
              <w:bottom w:val="single" w:sz="4" w:space="0" w:color="auto"/>
              <w:right w:val="single" w:sz="4" w:space="0" w:color="auto"/>
            </w:tcBorders>
            <w:shd w:val="clear" w:color="auto" w:fill="auto"/>
            <w:noWrap/>
            <w:vAlign w:val="bottom"/>
            <w:hideMark/>
          </w:tcPr>
          <w:p w14:paraId="35FD940B" w14:textId="77777777" w:rsidR="00DD6CD0" w:rsidRPr="00E257FC" w:rsidRDefault="00DD6CD0" w:rsidP="00501559">
            <w:pPr>
              <w:jc w:val="center"/>
              <w:rPr>
                <w:color w:val="000000"/>
                <w:sz w:val="22"/>
                <w:szCs w:val="22"/>
              </w:rPr>
            </w:pPr>
            <w:r w:rsidRPr="00E257FC">
              <w:rPr>
                <w:color w:val="000000"/>
                <w:sz w:val="22"/>
                <w:szCs w:val="22"/>
              </w:rPr>
              <w:t>3</w:t>
            </w:r>
            <w:r>
              <w:rPr>
                <w:color w:val="000000"/>
                <w:sz w:val="22"/>
                <w:szCs w:val="22"/>
              </w:rPr>
              <w:t>3</w:t>
            </w:r>
            <w:r w:rsidRPr="00E257FC">
              <w:rPr>
                <w:color w:val="000000"/>
                <w:sz w:val="22"/>
                <w:szCs w:val="22"/>
              </w:rPr>
              <w:t>,</w:t>
            </w:r>
            <w:r>
              <w:rPr>
                <w:color w:val="000000"/>
                <w:sz w:val="22"/>
                <w:szCs w:val="22"/>
              </w:rPr>
              <w:t>84</w:t>
            </w:r>
            <w:r w:rsidRPr="00E257FC">
              <w:rPr>
                <w:color w:val="000000"/>
                <w:sz w:val="22"/>
                <w:szCs w:val="22"/>
              </w:rPr>
              <w:t>7</w:t>
            </w:r>
          </w:p>
        </w:tc>
        <w:tc>
          <w:tcPr>
            <w:tcW w:w="1119" w:type="dxa"/>
            <w:tcBorders>
              <w:top w:val="single" w:sz="4" w:space="0" w:color="auto"/>
              <w:left w:val="nil"/>
              <w:bottom w:val="single" w:sz="4" w:space="0" w:color="auto"/>
              <w:right w:val="single" w:sz="4" w:space="0" w:color="auto"/>
            </w:tcBorders>
            <w:vAlign w:val="bottom"/>
          </w:tcPr>
          <w:p w14:paraId="5C252989" w14:textId="77777777" w:rsidR="00DD6CD0" w:rsidRPr="00E257FC" w:rsidRDefault="00DD6CD0" w:rsidP="00501559">
            <w:pPr>
              <w:jc w:val="center"/>
              <w:rPr>
                <w:color w:val="000000"/>
                <w:sz w:val="22"/>
                <w:szCs w:val="22"/>
              </w:rPr>
            </w:pPr>
            <w:r w:rsidRPr="00E257FC">
              <w:rPr>
                <w:color w:val="000000"/>
                <w:sz w:val="22"/>
                <w:szCs w:val="22"/>
              </w:rPr>
              <w:t>$1.3</w:t>
            </w:r>
            <w:r>
              <w:rPr>
                <w:color w:val="000000"/>
                <w:sz w:val="22"/>
                <w:szCs w:val="22"/>
              </w:rPr>
              <w:t>7</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14:paraId="18B747CF" w14:textId="77777777" w:rsidR="00DD6CD0" w:rsidRPr="00E257FC" w:rsidRDefault="00DD6CD0" w:rsidP="00501559">
            <w:pPr>
              <w:jc w:val="center"/>
              <w:rPr>
                <w:color w:val="000000"/>
                <w:sz w:val="22"/>
                <w:szCs w:val="22"/>
              </w:rPr>
            </w:pPr>
            <w:r>
              <w:rPr>
                <w:color w:val="000000"/>
                <w:sz w:val="22"/>
                <w:szCs w:val="22"/>
              </w:rPr>
              <w:t>32.1</w:t>
            </w:r>
            <w:r w:rsidRPr="00E257FC">
              <w:rPr>
                <w:color w:val="000000"/>
                <w:sz w:val="22"/>
                <w:szCs w:val="22"/>
              </w:rPr>
              <w:t>%</w:t>
            </w:r>
          </w:p>
        </w:tc>
        <w:tc>
          <w:tcPr>
            <w:tcW w:w="1394" w:type="dxa"/>
            <w:tcBorders>
              <w:top w:val="nil"/>
              <w:left w:val="nil"/>
              <w:bottom w:val="single" w:sz="4" w:space="0" w:color="auto"/>
              <w:right w:val="single" w:sz="4" w:space="0" w:color="auto"/>
            </w:tcBorders>
            <w:shd w:val="clear" w:color="auto" w:fill="auto"/>
            <w:noWrap/>
            <w:vAlign w:val="bottom"/>
            <w:hideMark/>
          </w:tcPr>
          <w:p w14:paraId="4A4A9E46" w14:textId="77777777" w:rsidR="00DD6CD0" w:rsidRPr="00E257FC" w:rsidRDefault="00DD6CD0" w:rsidP="00501559">
            <w:pPr>
              <w:jc w:val="center"/>
              <w:rPr>
                <w:color w:val="000000"/>
                <w:sz w:val="22"/>
                <w:szCs w:val="22"/>
              </w:rPr>
            </w:pPr>
            <w:r w:rsidRPr="00E257FC">
              <w:rPr>
                <w:color w:val="000000"/>
                <w:sz w:val="22"/>
                <w:szCs w:val="22"/>
              </w:rPr>
              <w:t>3</w:t>
            </w:r>
            <w:r>
              <w:rPr>
                <w:color w:val="000000"/>
                <w:sz w:val="22"/>
                <w:szCs w:val="22"/>
              </w:rPr>
              <w:t>2</w:t>
            </w:r>
            <w:r w:rsidRPr="00E257FC">
              <w:rPr>
                <w:color w:val="000000"/>
                <w:sz w:val="22"/>
                <w:szCs w:val="22"/>
              </w:rPr>
              <w:t>.</w:t>
            </w:r>
            <w:r>
              <w:rPr>
                <w:color w:val="000000"/>
                <w:sz w:val="22"/>
                <w:szCs w:val="22"/>
              </w:rPr>
              <w:t>1</w:t>
            </w:r>
            <w:r w:rsidRPr="00E257FC">
              <w:rPr>
                <w:color w:val="000000"/>
                <w:sz w:val="22"/>
                <w:szCs w:val="22"/>
              </w:rPr>
              <w:t>%</w:t>
            </w:r>
          </w:p>
        </w:tc>
      </w:tr>
      <w:tr w:rsidR="00DD6CD0" w:rsidRPr="00E257FC" w14:paraId="773FA058" w14:textId="77777777" w:rsidTr="00501559">
        <w:trPr>
          <w:trHeight w:val="305"/>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38447FE4" w14:textId="77777777" w:rsidR="00DD6CD0" w:rsidRPr="00E257FC" w:rsidRDefault="00DD6CD0" w:rsidP="00501559">
            <w:pPr>
              <w:rPr>
                <w:color w:val="000000"/>
                <w:sz w:val="22"/>
                <w:szCs w:val="22"/>
              </w:rPr>
            </w:pPr>
            <w:r w:rsidRPr="00E257FC">
              <w:rPr>
                <w:color w:val="000000"/>
                <w:sz w:val="22"/>
                <w:szCs w:val="22"/>
              </w:rPr>
              <w:t>Clams</w:t>
            </w:r>
          </w:p>
        </w:tc>
        <w:tc>
          <w:tcPr>
            <w:tcW w:w="1413" w:type="dxa"/>
            <w:tcBorders>
              <w:top w:val="nil"/>
              <w:left w:val="nil"/>
              <w:bottom w:val="single" w:sz="4" w:space="0" w:color="auto"/>
              <w:right w:val="single" w:sz="4" w:space="0" w:color="auto"/>
            </w:tcBorders>
            <w:shd w:val="clear" w:color="auto" w:fill="auto"/>
            <w:noWrap/>
            <w:vAlign w:val="bottom"/>
            <w:hideMark/>
          </w:tcPr>
          <w:p w14:paraId="36EB2DF6" w14:textId="77777777" w:rsidR="00DD6CD0" w:rsidRPr="00E257FC" w:rsidRDefault="00DD6CD0" w:rsidP="00501559">
            <w:pPr>
              <w:jc w:val="center"/>
              <w:rPr>
                <w:color w:val="000000"/>
                <w:sz w:val="22"/>
                <w:szCs w:val="22"/>
              </w:rPr>
            </w:pPr>
            <w:r w:rsidRPr="00E257FC">
              <w:rPr>
                <w:color w:val="000000"/>
                <w:sz w:val="22"/>
                <w:szCs w:val="22"/>
              </w:rPr>
              <w:t>$</w:t>
            </w:r>
            <w:r>
              <w:rPr>
                <w:color w:val="000000"/>
                <w:sz w:val="22"/>
                <w:szCs w:val="22"/>
              </w:rPr>
              <w:t>4</w:t>
            </w:r>
            <w:r w:rsidRPr="00E257FC">
              <w:rPr>
                <w:color w:val="000000"/>
                <w:sz w:val="22"/>
                <w:szCs w:val="22"/>
              </w:rPr>
              <w:t>,</w:t>
            </w:r>
            <w:r>
              <w:rPr>
                <w:color w:val="000000"/>
                <w:sz w:val="22"/>
                <w:szCs w:val="22"/>
              </w:rPr>
              <w:t>157</w:t>
            </w:r>
          </w:p>
        </w:tc>
        <w:tc>
          <w:tcPr>
            <w:tcW w:w="1677" w:type="dxa"/>
            <w:tcBorders>
              <w:top w:val="nil"/>
              <w:left w:val="nil"/>
              <w:bottom w:val="single" w:sz="4" w:space="0" w:color="auto"/>
              <w:right w:val="single" w:sz="4" w:space="0" w:color="auto"/>
            </w:tcBorders>
            <w:shd w:val="clear" w:color="auto" w:fill="auto"/>
            <w:noWrap/>
            <w:vAlign w:val="bottom"/>
            <w:hideMark/>
          </w:tcPr>
          <w:p w14:paraId="774F11ED" w14:textId="77777777" w:rsidR="00DD6CD0" w:rsidRPr="00E257FC" w:rsidRDefault="00DD6CD0" w:rsidP="00501559">
            <w:pPr>
              <w:jc w:val="center"/>
              <w:rPr>
                <w:color w:val="000000"/>
                <w:sz w:val="22"/>
                <w:szCs w:val="22"/>
              </w:rPr>
            </w:pPr>
            <w:r>
              <w:rPr>
                <w:color w:val="000000"/>
                <w:sz w:val="22"/>
                <w:szCs w:val="22"/>
              </w:rPr>
              <w:t>1,7</w:t>
            </w:r>
            <w:r w:rsidRPr="00E257FC">
              <w:rPr>
                <w:color w:val="000000"/>
                <w:sz w:val="22"/>
                <w:szCs w:val="22"/>
              </w:rPr>
              <w:t>53</w:t>
            </w:r>
          </w:p>
        </w:tc>
        <w:tc>
          <w:tcPr>
            <w:tcW w:w="1119" w:type="dxa"/>
            <w:tcBorders>
              <w:top w:val="single" w:sz="4" w:space="0" w:color="auto"/>
              <w:left w:val="nil"/>
              <w:bottom w:val="single" w:sz="4" w:space="0" w:color="auto"/>
              <w:right w:val="single" w:sz="4" w:space="0" w:color="auto"/>
            </w:tcBorders>
            <w:vAlign w:val="bottom"/>
          </w:tcPr>
          <w:p w14:paraId="2F6FAFF4" w14:textId="77777777" w:rsidR="00DD6CD0" w:rsidRPr="00E257FC" w:rsidRDefault="00DD6CD0" w:rsidP="00501559">
            <w:pPr>
              <w:jc w:val="center"/>
              <w:rPr>
                <w:color w:val="000000"/>
                <w:sz w:val="22"/>
                <w:szCs w:val="22"/>
              </w:rPr>
            </w:pPr>
            <w:r w:rsidRPr="00E257FC">
              <w:rPr>
                <w:color w:val="000000"/>
                <w:sz w:val="22"/>
                <w:szCs w:val="22"/>
              </w:rPr>
              <w:t>$</w:t>
            </w:r>
            <w:r>
              <w:rPr>
                <w:color w:val="000000"/>
                <w:sz w:val="22"/>
                <w:szCs w:val="22"/>
              </w:rPr>
              <w:t>2.37</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14:paraId="6ABDEB0C" w14:textId="77777777" w:rsidR="00DD6CD0" w:rsidRPr="00E257FC" w:rsidRDefault="00DD6CD0" w:rsidP="00501559">
            <w:pPr>
              <w:jc w:val="center"/>
              <w:rPr>
                <w:color w:val="000000"/>
                <w:sz w:val="22"/>
                <w:szCs w:val="22"/>
              </w:rPr>
            </w:pPr>
            <w:r>
              <w:rPr>
                <w:color w:val="000000"/>
                <w:sz w:val="22"/>
                <w:szCs w:val="22"/>
              </w:rPr>
              <w:t>1.7</w:t>
            </w:r>
            <w:r w:rsidRPr="00E257FC">
              <w:rPr>
                <w:color w:val="000000"/>
                <w:sz w:val="22"/>
                <w:szCs w:val="22"/>
              </w:rPr>
              <w:t>%</w:t>
            </w:r>
          </w:p>
        </w:tc>
        <w:tc>
          <w:tcPr>
            <w:tcW w:w="1394" w:type="dxa"/>
            <w:tcBorders>
              <w:top w:val="nil"/>
              <w:left w:val="nil"/>
              <w:bottom w:val="single" w:sz="4" w:space="0" w:color="auto"/>
              <w:right w:val="single" w:sz="4" w:space="0" w:color="auto"/>
            </w:tcBorders>
            <w:shd w:val="clear" w:color="auto" w:fill="auto"/>
            <w:noWrap/>
            <w:vAlign w:val="bottom"/>
            <w:hideMark/>
          </w:tcPr>
          <w:p w14:paraId="12EF092C" w14:textId="77777777" w:rsidR="00DD6CD0" w:rsidRPr="00E257FC" w:rsidRDefault="00DD6CD0" w:rsidP="00501559">
            <w:pPr>
              <w:jc w:val="center"/>
              <w:rPr>
                <w:color w:val="000000"/>
                <w:sz w:val="22"/>
                <w:szCs w:val="22"/>
              </w:rPr>
            </w:pPr>
            <w:r>
              <w:rPr>
                <w:color w:val="000000"/>
                <w:sz w:val="22"/>
                <w:szCs w:val="22"/>
              </w:rPr>
              <w:t>1</w:t>
            </w:r>
            <w:r w:rsidRPr="00E257FC">
              <w:rPr>
                <w:color w:val="000000"/>
                <w:sz w:val="22"/>
                <w:szCs w:val="22"/>
              </w:rPr>
              <w:t>.</w:t>
            </w:r>
            <w:r>
              <w:rPr>
                <w:color w:val="000000"/>
                <w:sz w:val="22"/>
                <w:szCs w:val="22"/>
              </w:rPr>
              <w:t>7</w:t>
            </w:r>
            <w:r w:rsidRPr="00E257FC">
              <w:rPr>
                <w:color w:val="000000"/>
                <w:sz w:val="22"/>
                <w:szCs w:val="22"/>
              </w:rPr>
              <w:t>%</w:t>
            </w:r>
          </w:p>
        </w:tc>
      </w:tr>
      <w:tr w:rsidR="00DD6CD0" w:rsidRPr="00E257FC" w14:paraId="1A832A99" w14:textId="77777777" w:rsidTr="00501559">
        <w:trPr>
          <w:trHeight w:val="305"/>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5EF7351F" w14:textId="77777777" w:rsidR="00DD6CD0" w:rsidRPr="00E257FC" w:rsidRDefault="00DD6CD0" w:rsidP="00501559">
            <w:pPr>
              <w:rPr>
                <w:color w:val="000000"/>
                <w:sz w:val="22"/>
                <w:szCs w:val="22"/>
              </w:rPr>
            </w:pPr>
            <w:r w:rsidRPr="00E257FC">
              <w:rPr>
                <w:color w:val="000000"/>
                <w:sz w:val="22"/>
                <w:szCs w:val="22"/>
              </w:rPr>
              <w:t>Flounders</w:t>
            </w:r>
          </w:p>
        </w:tc>
        <w:tc>
          <w:tcPr>
            <w:tcW w:w="1413" w:type="dxa"/>
            <w:tcBorders>
              <w:top w:val="nil"/>
              <w:left w:val="nil"/>
              <w:bottom w:val="single" w:sz="4" w:space="0" w:color="auto"/>
              <w:right w:val="single" w:sz="4" w:space="0" w:color="auto"/>
            </w:tcBorders>
            <w:shd w:val="clear" w:color="auto" w:fill="auto"/>
            <w:noWrap/>
            <w:vAlign w:val="bottom"/>
            <w:hideMark/>
          </w:tcPr>
          <w:p w14:paraId="4CBDC87E" w14:textId="77777777" w:rsidR="00DD6CD0" w:rsidRPr="00E257FC" w:rsidRDefault="00DD6CD0" w:rsidP="00501559">
            <w:pPr>
              <w:jc w:val="center"/>
              <w:rPr>
                <w:color w:val="000000"/>
                <w:sz w:val="22"/>
                <w:szCs w:val="22"/>
              </w:rPr>
            </w:pPr>
            <w:r w:rsidRPr="00E257FC">
              <w:rPr>
                <w:color w:val="000000"/>
                <w:sz w:val="22"/>
                <w:szCs w:val="22"/>
              </w:rPr>
              <w:t>$</w:t>
            </w:r>
            <w:r>
              <w:rPr>
                <w:color w:val="000000"/>
                <w:sz w:val="22"/>
                <w:szCs w:val="22"/>
              </w:rPr>
              <w:t>13</w:t>
            </w:r>
            <w:r w:rsidRPr="00E257FC">
              <w:rPr>
                <w:color w:val="000000"/>
                <w:sz w:val="22"/>
                <w:szCs w:val="22"/>
              </w:rPr>
              <w:t>,</w:t>
            </w:r>
            <w:r>
              <w:rPr>
                <w:color w:val="000000"/>
                <w:sz w:val="22"/>
                <w:szCs w:val="22"/>
              </w:rPr>
              <w:t>47</w:t>
            </w:r>
            <w:r w:rsidRPr="00E257FC">
              <w:rPr>
                <w:color w:val="000000"/>
                <w:sz w:val="22"/>
                <w:szCs w:val="22"/>
              </w:rPr>
              <w:t>0</w:t>
            </w:r>
          </w:p>
        </w:tc>
        <w:tc>
          <w:tcPr>
            <w:tcW w:w="1677" w:type="dxa"/>
            <w:tcBorders>
              <w:top w:val="nil"/>
              <w:left w:val="nil"/>
              <w:bottom w:val="single" w:sz="4" w:space="0" w:color="auto"/>
              <w:right w:val="single" w:sz="4" w:space="0" w:color="auto"/>
            </w:tcBorders>
            <w:shd w:val="clear" w:color="auto" w:fill="auto"/>
            <w:noWrap/>
            <w:vAlign w:val="bottom"/>
            <w:hideMark/>
          </w:tcPr>
          <w:p w14:paraId="27C168A2" w14:textId="77777777" w:rsidR="00DD6CD0" w:rsidRPr="00E257FC" w:rsidRDefault="00DD6CD0" w:rsidP="00501559">
            <w:pPr>
              <w:jc w:val="center"/>
              <w:rPr>
                <w:color w:val="000000"/>
                <w:sz w:val="22"/>
                <w:szCs w:val="22"/>
              </w:rPr>
            </w:pPr>
            <w:r>
              <w:rPr>
                <w:color w:val="000000"/>
                <w:sz w:val="22"/>
                <w:szCs w:val="22"/>
              </w:rPr>
              <w:t>4</w:t>
            </w:r>
            <w:r w:rsidRPr="00E257FC">
              <w:rPr>
                <w:color w:val="000000"/>
                <w:sz w:val="22"/>
                <w:szCs w:val="22"/>
              </w:rPr>
              <w:t>,7</w:t>
            </w:r>
            <w:r>
              <w:rPr>
                <w:color w:val="000000"/>
                <w:sz w:val="22"/>
                <w:szCs w:val="22"/>
              </w:rPr>
              <w:t>26</w:t>
            </w:r>
          </w:p>
        </w:tc>
        <w:tc>
          <w:tcPr>
            <w:tcW w:w="1119" w:type="dxa"/>
            <w:tcBorders>
              <w:top w:val="single" w:sz="4" w:space="0" w:color="auto"/>
              <w:left w:val="nil"/>
              <w:bottom w:val="single" w:sz="4" w:space="0" w:color="auto"/>
              <w:right w:val="single" w:sz="4" w:space="0" w:color="auto"/>
            </w:tcBorders>
            <w:vAlign w:val="bottom"/>
          </w:tcPr>
          <w:p w14:paraId="41D7E70B" w14:textId="77777777" w:rsidR="00DD6CD0" w:rsidRPr="00E257FC" w:rsidRDefault="00DD6CD0" w:rsidP="00501559">
            <w:pPr>
              <w:jc w:val="center"/>
              <w:rPr>
                <w:color w:val="000000"/>
                <w:sz w:val="22"/>
                <w:szCs w:val="22"/>
              </w:rPr>
            </w:pPr>
            <w:r w:rsidRPr="00E257FC">
              <w:rPr>
                <w:color w:val="000000"/>
                <w:sz w:val="22"/>
                <w:szCs w:val="22"/>
              </w:rPr>
              <w:t>$2.</w:t>
            </w:r>
            <w:r>
              <w:rPr>
                <w:color w:val="000000"/>
                <w:sz w:val="22"/>
                <w:szCs w:val="22"/>
              </w:rPr>
              <w:t>85</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14:paraId="12C762D2" w14:textId="77777777" w:rsidR="00DD6CD0" w:rsidRPr="00E257FC" w:rsidRDefault="00DD6CD0" w:rsidP="00501559">
            <w:pPr>
              <w:jc w:val="center"/>
              <w:rPr>
                <w:color w:val="000000"/>
                <w:sz w:val="22"/>
                <w:szCs w:val="22"/>
              </w:rPr>
            </w:pPr>
            <w:r w:rsidRPr="00E257FC">
              <w:rPr>
                <w:color w:val="000000"/>
                <w:sz w:val="22"/>
                <w:szCs w:val="22"/>
              </w:rPr>
              <w:t>4.</w:t>
            </w:r>
            <w:r>
              <w:rPr>
                <w:color w:val="000000"/>
                <w:sz w:val="22"/>
                <w:szCs w:val="22"/>
              </w:rPr>
              <w:t>5</w:t>
            </w:r>
            <w:r w:rsidRPr="00E257FC">
              <w:rPr>
                <w:color w:val="000000"/>
                <w:sz w:val="22"/>
                <w:szCs w:val="22"/>
              </w:rPr>
              <w:t>%</w:t>
            </w:r>
          </w:p>
        </w:tc>
        <w:tc>
          <w:tcPr>
            <w:tcW w:w="1394" w:type="dxa"/>
            <w:tcBorders>
              <w:top w:val="nil"/>
              <w:left w:val="nil"/>
              <w:bottom w:val="single" w:sz="4" w:space="0" w:color="auto"/>
              <w:right w:val="single" w:sz="4" w:space="0" w:color="auto"/>
            </w:tcBorders>
            <w:shd w:val="clear" w:color="auto" w:fill="auto"/>
            <w:noWrap/>
            <w:vAlign w:val="bottom"/>
            <w:hideMark/>
          </w:tcPr>
          <w:p w14:paraId="0626D341" w14:textId="77777777" w:rsidR="00DD6CD0" w:rsidRPr="00E257FC" w:rsidRDefault="00DD6CD0" w:rsidP="00501559">
            <w:pPr>
              <w:jc w:val="center"/>
              <w:rPr>
                <w:color w:val="000000"/>
                <w:sz w:val="22"/>
                <w:szCs w:val="22"/>
              </w:rPr>
            </w:pPr>
            <w:r>
              <w:rPr>
                <w:color w:val="000000"/>
                <w:sz w:val="22"/>
                <w:szCs w:val="22"/>
              </w:rPr>
              <w:t>4</w:t>
            </w:r>
            <w:r w:rsidRPr="00E257FC">
              <w:rPr>
                <w:color w:val="000000"/>
                <w:sz w:val="22"/>
                <w:szCs w:val="22"/>
              </w:rPr>
              <w:t>.</w:t>
            </w:r>
            <w:r>
              <w:rPr>
                <w:color w:val="000000"/>
                <w:sz w:val="22"/>
                <w:szCs w:val="22"/>
              </w:rPr>
              <w:t>5</w:t>
            </w:r>
            <w:r w:rsidRPr="00E257FC">
              <w:rPr>
                <w:color w:val="000000"/>
                <w:sz w:val="22"/>
                <w:szCs w:val="22"/>
              </w:rPr>
              <w:t>%</w:t>
            </w:r>
          </w:p>
        </w:tc>
      </w:tr>
      <w:tr w:rsidR="00DD6CD0" w:rsidRPr="00E257FC" w14:paraId="21C0184D" w14:textId="77777777" w:rsidTr="00501559">
        <w:trPr>
          <w:trHeight w:val="305"/>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3505FC16" w14:textId="77777777" w:rsidR="00DD6CD0" w:rsidRPr="001C1474" w:rsidRDefault="00DD6CD0" w:rsidP="00501559">
            <w:pPr>
              <w:rPr>
                <w:b/>
                <w:iCs/>
                <w:color w:val="000000"/>
                <w:sz w:val="22"/>
                <w:szCs w:val="22"/>
              </w:rPr>
            </w:pPr>
            <w:r w:rsidRPr="001C1474">
              <w:rPr>
                <w:b/>
                <w:iCs/>
                <w:color w:val="000000"/>
                <w:sz w:val="22"/>
                <w:szCs w:val="22"/>
              </w:rPr>
              <w:t>Groupers</w:t>
            </w:r>
          </w:p>
        </w:tc>
        <w:tc>
          <w:tcPr>
            <w:tcW w:w="1413" w:type="dxa"/>
            <w:tcBorders>
              <w:top w:val="nil"/>
              <w:left w:val="nil"/>
              <w:bottom w:val="single" w:sz="4" w:space="0" w:color="auto"/>
              <w:right w:val="single" w:sz="4" w:space="0" w:color="auto"/>
            </w:tcBorders>
            <w:shd w:val="clear" w:color="auto" w:fill="auto"/>
            <w:noWrap/>
            <w:vAlign w:val="bottom"/>
            <w:hideMark/>
          </w:tcPr>
          <w:p w14:paraId="41A49CED" w14:textId="77777777" w:rsidR="00DD6CD0" w:rsidRPr="001C1474" w:rsidRDefault="00DD6CD0" w:rsidP="00501559">
            <w:pPr>
              <w:jc w:val="center"/>
              <w:rPr>
                <w:b/>
                <w:iCs/>
                <w:color w:val="000000"/>
                <w:sz w:val="22"/>
                <w:szCs w:val="22"/>
              </w:rPr>
            </w:pPr>
            <w:r w:rsidRPr="001C1474">
              <w:rPr>
                <w:b/>
                <w:iCs/>
                <w:color w:val="000000"/>
                <w:sz w:val="22"/>
                <w:szCs w:val="22"/>
              </w:rPr>
              <w:t>$2,499</w:t>
            </w:r>
          </w:p>
        </w:tc>
        <w:tc>
          <w:tcPr>
            <w:tcW w:w="1677" w:type="dxa"/>
            <w:tcBorders>
              <w:top w:val="nil"/>
              <w:left w:val="nil"/>
              <w:bottom w:val="single" w:sz="4" w:space="0" w:color="auto"/>
              <w:right w:val="single" w:sz="4" w:space="0" w:color="auto"/>
            </w:tcBorders>
            <w:shd w:val="clear" w:color="auto" w:fill="auto"/>
            <w:noWrap/>
            <w:vAlign w:val="bottom"/>
            <w:hideMark/>
          </w:tcPr>
          <w:p w14:paraId="63250E21" w14:textId="77777777" w:rsidR="00DD6CD0" w:rsidRPr="001C1474" w:rsidRDefault="00DD6CD0" w:rsidP="00501559">
            <w:pPr>
              <w:jc w:val="center"/>
              <w:rPr>
                <w:b/>
                <w:iCs/>
                <w:color w:val="000000"/>
                <w:sz w:val="22"/>
                <w:szCs w:val="22"/>
              </w:rPr>
            </w:pPr>
            <w:r w:rsidRPr="001C1474">
              <w:rPr>
                <w:b/>
                <w:iCs/>
                <w:color w:val="000000"/>
                <w:sz w:val="22"/>
                <w:szCs w:val="22"/>
              </w:rPr>
              <w:t>557</w:t>
            </w:r>
          </w:p>
        </w:tc>
        <w:tc>
          <w:tcPr>
            <w:tcW w:w="1119" w:type="dxa"/>
            <w:tcBorders>
              <w:top w:val="single" w:sz="4" w:space="0" w:color="auto"/>
              <w:left w:val="nil"/>
              <w:bottom w:val="single" w:sz="4" w:space="0" w:color="auto"/>
              <w:right w:val="single" w:sz="4" w:space="0" w:color="auto"/>
            </w:tcBorders>
            <w:vAlign w:val="bottom"/>
          </w:tcPr>
          <w:p w14:paraId="1F9C069F" w14:textId="77777777" w:rsidR="00DD6CD0" w:rsidRPr="001C1474" w:rsidRDefault="00DD6CD0" w:rsidP="00501559">
            <w:pPr>
              <w:jc w:val="center"/>
              <w:rPr>
                <w:b/>
                <w:iCs/>
                <w:color w:val="000000"/>
                <w:sz w:val="22"/>
                <w:szCs w:val="22"/>
              </w:rPr>
            </w:pPr>
            <w:r w:rsidRPr="001C1474">
              <w:rPr>
                <w:b/>
                <w:iCs/>
                <w:color w:val="000000"/>
                <w:sz w:val="22"/>
                <w:szCs w:val="22"/>
              </w:rPr>
              <w:t>$4.49</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14:paraId="3FB6B430" w14:textId="77777777" w:rsidR="00DD6CD0" w:rsidRPr="001C1474" w:rsidRDefault="00DD6CD0" w:rsidP="00501559">
            <w:pPr>
              <w:jc w:val="center"/>
              <w:rPr>
                <w:b/>
                <w:iCs/>
                <w:color w:val="000000"/>
                <w:sz w:val="22"/>
                <w:szCs w:val="22"/>
              </w:rPr>
            </w:pPr>
            <w:r w:rsidRPr="001C1474">
              <w:rPr>
                <w:b/>
                <w:iCs/>
                <w:color w:val="000000"/>
                <w:sz w:val="22"/>
                <w:szCs w:val="22"/>
              </w:rPr>
              <w:t>0.5%</w:t>
            </w:r>
          </w:p>
        </w:tc>
        <w:tc>
          <w:tcPr>
            <w:tcW w:w="1394" w:type="dxa"/>
            <w:tcBorders>
              <w:top w:val="nil"/>
              <w:left w:val="nil"/>
              <w:bottom w:val="single" w:sz="4" w:space="0" w:color="auto"/>
              <w:right w:val="single" w:sz="4" w:space="0" w:color="auto"/>
            </w:tcBorders>
            <w:shd w:val="clear" w:color="auto" w:fill="auto"/>
            <w:noWrap/>
            <w:vAlign w:val="bottom"/>
            <w:hideMark/>
          </w:tcPr>
          <w:p w14:paraId="5F2B78A4" w14:textId="77777777" w:rsidR="00DD6CD0" w:rsidRPr="001C1474" w:rsidRDefault="00DD6CD0" w:rsidP="00501559">
            <w:pPr>
              <w:jc w:val="center"/>
              <w:rPr>
                <w:b/>
                <w:iCs/>
                <w:color w:val="000000"/>
                <w:sz w:val="22"/>
                <w:szCs w:val="22"/>
              </w:rPr>
            </w:pPr>
            <w:r w:rsidRPr="001C1474">
              <w:rPr>
                <w:b/>
                <w:iCs/>
                <w:color w:val="000000"/>
                <w:sz w:val="22"/>
                <w:szCs w:val="22"/>
              </w:rPr>
              <w:t>0.5%</w:t>
            </w:r>
          </w:p>
        </w:tc>
      </w:tr>
      <w:tr w:rsidR="00DD6CD0" w:rsidRPr="00E257FC" w14:paraId="1C4ADCCF" w14:textId="77777777" w:rsidTr="00501559">
        <w:trPr>
          <w:trHeight w:val="305"/>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61710AF3" w14:textId="77777777" w:rsidR="00DD6CD0" w:rsidRPr="00E257FC" w:rsidRDefault="00DD6CD0" w:rsidP="00501559">
            <w:pPr>
              <w:rPr>
                <w:color w:val="000000"/>
                <w:sz w:val="22"/>
                <w:szCs w:val="22"/>
              </w:rPr>
            </w:pPr>
            <w:r w:rsidRPr="00E257FC">
              <w:rPr>
                <w:color w:val="000000"/>
                <w:sz w:val="22"/>
                <w:szCs w:val="22"/>
              </w:rPr>
              <w:t>King mackerels</w:t>
            </w:r>
          </w:p>
        </w:tc>
        <w:tc>
          <w:tcPr>
            <w:tcW w:w="1413" w:type="dxa"/>
            <w:tcBorders>
              <w:top w:val="nil"/>
              <w:left w:val="nil"/>
              <w:bottom w:val="single" w:sz="4" w:space="0" w:color="auto"/>
              <w:right w:val="single" w:sz="4" w:space="0" w:color="auto"/>
            </w:tcBorders>
            <w:shd w:val="clear" w:color="auto" w:fill="auto"/>
            <w:noWrap/>
            <w:vAlign w:val="bottom"/>
            <w:hideMark/>
          </w:tcPr>
          <w:p w14:paraId="48BE0955" w14:textId="77777777" w:rsidR="00DD6CD0" w:rsidRPr="00E257FC" w:rsidRDefault="00DD6CD0" w:rsidP="00501559">
            <w:pPr>
              <w:jc w:val="center"/>
              <w:rPr>
                <w:color w:val="000000"/>
                <w:sz w:val="22"/>
                <w:szCs w:val="22"/>
              </w:rPr>
            </w:pPr>
            <w:r w:rsidRPr="00E257FC">
              <w:rPr>
                <w:color w:val="000000"/>
                <w:sz w:val="22"/>
                <w:szCs w:val="22"/>
              </w:rPr>
              <w:t>$5,</w:t>
            </w:r>
            <w:r>
              <w:rPr>
                <w:color w:val="000000"/>
                <w:sz w:val="22"/>
                <w:szCs w:val="22"/>
              </w:rPr>
              <w:t>504</w:t>
            </w:r>
          </w:p>
        </w:tc>
        <w:tc>
          <w:tcPr>
            <w:tcW w:w="1677" w:type="dxa"/>
            <w:tcBorders>
              <w:top w:val="nil"/>
              <w:left w:val="nil"/>
              <w:bottom w:val="single" w:sz="4" w:space="0" w:color="auto"/>
              <w:right w:val="single" w:sz="4" w:space="0" w:color="auto"/>
            </w:tcBorders>
            <w:shd w:val="clear" w:color="auto" w:fill="auto"/>
            <w:noWrap/>
            <w:vAlign w:val="bottom"/>
            <w:hideMark/>
          </w:tcPr>
          <w:p w14:paraId="3D78E1CA" w14:textId="77777777" w:rsidR="00DD6CD0" w:rsidRPr="00E257FC" w:rsidRDefault="00DD6CD0" w:rsidP="00501559">
            <w:pPr>
              <w:jc w:val="center"/>
              <w:rPr>
                <w:color w:val="000000"/>
                <w:sz w:val="22"/>
                <w:szCs w:val="22"/>
              </w:rPr>
            </w:pPr>
            <w:r>
              <w:rPr>
                <w:color w:val="000000"/>
                <w:sz w:val="22"/>
                <w:szCs w:val="22"/>
              </w:rPr>
              <w:t>2</w:t>
            </w:r>
            <w:r w:rsidRPr="00E257FC">
              <w:rPr>
                <w:color w:val="000000"/>
                <w:sz w:val="22"/>
                <w:szCs w:val="22"/>
              </w:rPr>
              <w:t>,</w:t>
            </w:r>
            <w:r>
              <w:rPr>
                <w:color w:val="000000"/>
                <w:sz w:val="22"/>
                <w:szCs w:val="22"/>
              </w:rPr>
              <w:t>25</w:t>
            </w:r>
            <w:r w:rsidRPr="00E257FC">
              <w:rPr>
                <w:color w:val="000000"/>
                <w:sz w:val="22"/>
                <w:szCs w:val="22"/>
              </w:rPr>
              <w:t>9</w:t>
            </w:r>
          </w:p>
        </w:tc>
        <w:tc>
          <w:tcPr>
            <w:tcW w:w="1119" w:type="dxa"/>
            <w:tcBorders>
              <w:top w:val="single" w:sz="4" w:space="0" w:color="auto"/>
              <w:left w:val="nil"/>
              <w:bottom w:val="single" w:sz="4" w:space="0" w:color="auto"/>
              <w:right w:val="single" w:sz="4" w:space="0" w:color="auto"/>
            </w:tcBorders>
            <w:vAlign w:val="bottom"/>
          </w:tcPr>
          <w:p w14:paraId="617AC90A" w14:textId="77777777" w:rsidR="00DD6CD0" w:rsidRPr="00E257FC" w:rsidRDefault="00DD6CD0" w:rsidP="00501559">
            <w:pPr>
              <w:jc w:val="center"/>
              <w:rPr>
                <w:color w:val="000000"/>
                <w:sz w:val="22"/>
                <w:szCs w:val="22"/>
              </w:rPr>
            </w:pPr>
            <w:r w:rsidRPr="00E257FC">
              <w:rPr>
                <w:color w:val="000000"/>
                <w:sz w:val="22"/>
                <w:szCs w:val="22"/>
              </w:rPr>
              <w:t>$2.</w:t>
            </w:r>
            <w:r>
              <w:rPr>
                <w:color w:val="000000"/>
                <w:sz w:val="22"/>
                <w:szCs w:val="22"/>
              </w:rPr>
              <w:t>44</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14:paraId="3E7F697D" w14:textId="77777777" w:rsidR="00DD6CD0" w:rsidRPr="00E257FC" w:rsidRDefault="00DD6CD0" w:rsidP="00501559">
            <w:pPr>
              <w:jc w:val="center"/>
              <w:rPr>
                <w:color w:val="000000"/>
                <w:sz w:val="22"/>
                <w:szCs w:val="22"/>
              </w:rPr>
            </w:pPr>
            <w:r>
              <w:rPr>
                <w:color w:val="000000"/>
                <w:sz w:val="22"/>
                <w:szCs w:val="22"/>
              </w:rPr>
              <w:t>2.1</w:t>
            </w:r>
            <w:r w:rsidRPr="00E257FC">
              <w:rPr>
                <w:color w:val="000000"/>
                <w:sz w:val="22"/>
                <w:szCs w:val="22"/>
              </w:rPr>
              <w:t>%</w:t>
            </w:r>
          </w:p>
        </w:tc>
        <w:tc>
          <w:tcPr>
            <w:tcW w:w="1394" w:type="dxa"/>
            <w:tcBorders>
              <w:top w:val="nil"/>
              <w:left w:val="nil"/>
              <w:bottom w:val="single" w:sz="4" w:space="0" w:color="auto"/>
              <w:right w:val="single" w:sz="4" w:space="0" w:color="auto"/>
            </w:tcBorders>
            <w:shd w:val="clear" w:color="auto" w:fill="auto"/>
            <w:noWrap/>
            <w:vAlign w:val="bottom"/>
            <w:hideMark/>
          </w:tcPr>
          <w:p w14:paraId="38FEA69E" w14:textId="77777777" w:rsidR="00DD6CD0" w:rsidRPr="00E257FC" w:rsidRDefault="00DD6CD0" w:rsidP="00501559">
            <w:pPr>
              <w:jc w:val="center"/>
              <w:rPr>
                <w:color w:val="000000"/>
                <w:sz w:val="22"/>
                <w:szCs w:val="22"/>
              </w:rPr>
            </w:pPr>
            <w:r w:rsidRPr="00E257FC">
              <w:rPr>
                <w:color w:val="000000"/>
                <w:sz w:val="22"/>
                <w:szCs w:val="22"/>
              </w:rPr>
              <w:t>2.1%</w:t>
            </w:r>
          </w:p>
        </w:tc>
      </w:tr>
      <w:tr w:rsidR="00DD6CD0" w:rsidRPr="00E257FC" w14:paraId="51D54640" w14:textId="77777777" w:rsidTr="00501559">
        <w:trPr>
          <w:trHeight w:val="305"/>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7F05A9C4" w14:textId="77777777" w:rsidR="00DD6CD0" w:rsidRPr="00E257FC" w:rsidRDefault="00DD6CD0" w:rsidP="00501559">
            <w:pPr>
              <w:rPr>
                <w:color w:val="000000"/>
                <w:sz w:val="22"/>
                <w:szCs w:val="22"/>
              </w:rPr>
            </w:pPr>
            <w:r w:rsidRPr="00E257FC">
              <w:rPr>
                <w:color w:val="000000"/>
                <w:sz w:val="22"/>
                <w:szCs w:val="22"/>
              </w:rPr>
              <w:t>Oysters</w:t>
            </w:r>
          </w:p>
        </w:tc>
        <w:tc>
          <w:tcPr>
            <w:tcW w:w="1413" w:type="dxa"/>
            <w:tcBorders>
              <w:top w:val="nil"/>
              <w:left w:val="nil"/>
              <w:bottom w:val="single" w:sz="4" w:space="0" w:color="auto"/>
              <w:right w:val="single" w:sz="4" w:space="0" w:color="auto"/>
            </w:tcBorders>
            <w:shd w:val="clear" w:color="auto" w:fill="auto"/>
            <w:noWrap/>
            <w:vAlign w:val="bottom"/>
            <w:hideMark/>
          </w:tcPr>
          <w:p w14:paraId="174EC9BA" w14:textId="77777777" w:rsidR="00DD6CD0" w:rsidRPr="00E257FC" w:rsidRDefault="00DD6CD0" w:rsidP="00501559">
            <w:pPr>
              <w:jc w:val="center"/>
              <w:rPr>
                <w:color w:val="000000"/>
                <w:sz w:val="22"/>
                <w:szCs w:val="22"/>
              </w:rPr>
            </w:pPr>
            <w:r w:rsidRPr="00E257FC">
              <w:rPr>
                <w:color w:val="000000"/>
                <w:sz w:val="22"/>
                <w:szCs w:val="22"/>
              </w:rPr>
              <w:t>$</w:t>
            </w:r>
            <w:r>
              <w:rPr>
                <w:color w:val="000000"/>
                <w:sz w:val="22"/>
                <w:szCs w:val="22"/>
              </w:rPr>
              <w:t>7</w:t>
            </w:r>
            <w:r w:rsidRPr="00E257FC">
              <w:rPr>
                <w:color w:val="000000"/>
                <w:sz w:val="22"/>
                <w:szCs w:val="22"/>
              </w:rPr>
              <w:t>,</w:t>
            </w:r>
            <w:r>
              <w:rPr>
                <w:color w:val="000000"/>
                <w:sz w:val="22"/>
                <w:szCs w:val="22"/>
              </w:rPr>
              <w:t>146</w:t>
            </w:r>
          </w:p>
        </w:tc>
        <w:tc>
          <w:tcPr>
            <w:tcW w:w="1677" w:type="dxa"/>
            <w:tcBorders>
              <w:top w:val="nil"/>
              <w:left w:val="nil"/>
              <w:bottom w:val="single" w:sz="4" w:space="0" w:color="auto"/>
              <w:right w:val="single" w:sz="4" w:space="0" w:color="auto"/>
            </w:tcBorders>
            <w:shd w:val="clear" w:color="auto" w:fill="auto"/>
            <w:noWrap/>
            <w:vAlign w:val="bottom"/>
            <w:hideMark/>
          </w:tcPr>
          <w:p w14:paraId="449DB26C" w14:textId="77777777" w:rsidR="00DD6CD0" w:rsidRPr="00E257FC" w:rsidRDefault="00DD6CD0" w:rsidP="00501559">
            <w:pPr>
              <w:jc w:val="center"/>
              <w:rPr>
                <w:color w:val="000000"/>
                <w:sz w:val="22"/>
                <w:szCs w:val="22"/>
              </w:rPr>
            </w:pPr>
            <w:r w:rsidRPr="00E257FC">
              <w:rPr>
                <w:color w:val="000000"/>
                <w:sz w:val="22"/>
                <w:szCs w:val="22"/>
              </w:rPr>
              <w:t>1,</w:t>
            </w:r>
            <w:r>
              <w:rPr>
                <w:color w:val="000000"/>
                <w:sz w:val="22"/>
                <w:szCs w:val="22"/>
              </w:rPr>
              <w:t>14</w:t>
            </w:r>
            <w:r w:rsidRPr="00E257FC">
              <w:rPr>
                <w:color w:val="000000"/>
                <w:sz w:val="22"/>
                <w:szCs w:val="22"/>
              </w:rPr>
              <w:t>0</w:t>
            </w:r>
          </w:p>
        </w:tc>
        <w:tc>
          <w:tcPr>
            <w:tcW w:w="1119" w:type="dxa"/>
            <w:tcBorders>
              <w:top w:val="single" w:sz="4" w:space="0" w:color="auto"/>
              <w:left w:val="nil"/>
              <w:bottom w:val="single" w:sz="4" w:space="0" w:color="auto"/>
              <w:right w:val="single" w:sz="4" w:space="0" w:color="auto"/>
            </w:tcBorders>
            <w:vAlign w:val="bottom"/>
          </w:tcPr>
          <w:p w14:paraId="70D2A881" w14:textId="77777777" w:rsidR="00DD6CD0" w:rsidRPr="00E257FC" w:rsidRDefault="00DD6CD0" w:rsidP="00501559">
            <w:pPr>
              <w:jc w:val="center"/>
              <w:rPr>
                <w:color w:val="000000"/>
                <w:sz w:val="22"/>
                <w:szCs w:val="22"/>
              </w:rPr>
            </w:pPr>
            <w:r w:rsidRPr="00E257FC">
              <w:rPr>
                <w:color w:val="000000"/>
                <w:sz w:val="22"/>
                <w:szCs w:val="22"/>
              </w:rPr>
              <w:t>$</w:t>
            </w:r>
            <w:r>
              <w:rPr>
                <w:color w:val="000000"/>
                <w:sz w:val="22"/>
                <w:szCs w:val="22"/>
              </w:rPr>
              <w:t>6.27</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14:paraId="5C9763CF" w14:textId="77777777" w:rsidR="00DD6CD0" w:rsidRPr="00E257FC" w:rsidRDefault="00DD6CD0" w:rsidP="00501559">
            <w:pPr>
              <w:jc w:val="center"/>
              <w:rPr>
                <w:color w:val="000000"/>
                <w:sz w:val="22"/>
                <w:szCs w:val="22"/>
              </w:rPr>
            </w:pPr>
            <w:r>
              <w:rPr>
                <w:color w:val="000000"/>
                <w:sz w:val="22"/>
                <w:szCs w:val="22"/>
              </w:rPr>
              <w:t>1.1</w:t>
            </w:r>
            <w:r w:rsidRPr="00E257FC">
              <w:rPr>
                <w:color w:val="000000"/>
                <w:sz w:val="22"/>
                <w:szCs w:val="22"/>
              </w:rPr>
              <w:t>%</w:t>
            </w:r>
          </w:p>
        </w:tc>
        <w:tc>
          <w:tcPr>
            <w:tcW w:w="1394" w:type="dxa"/>
            <w:tcBorders>
              <w:top w:val="nil"/>
              <w:left w:val="nil"/>
              <w:bottom w:val="single" w:sz="4" w:space="0" w:color="auto"/>
              <w:right w:val="single" w:sz="4" w:space="0" w:color="auto"/>
            </w:tcBorders>
            <w:shd w:val="clear" w:color="auto" w:fill="auto"/>
            <w:noWrap/>
            <w:vAlign w:val="bottom"/>
            <w:hideMark/>
          </w:tcPr>
          <w:p w14:paraId="36DCDB49" w14:textId="77777777" w:rsidR="00DD6CD0" w:rsidRPr="00E257FC" w:rsidRDefault="00DD6CD0" w:rsidP="00501559">
            <w:pPr>
              <w:jc w:val="center"/>
              <w:rPr>
                <w:color w:val="000000"/>
                <w:sz w:val="22"/>
                <w:szCs w:val="22"/>
              </w:rPr>
            </w:pPr>
            <w:r w:rsidRPr="00E257FC">
              <w:rPr>
                <w:color w:val="000000"/>
                <w:sz w:val="22"/>
                <w:szCs w:val="22"/>
              </w:rPr>
              <w:t>1.1%</w:t>
            </w:r>
          </w:p>
        </w:tc>
      </w:tr>
      <w:tr w:rsidR="00DD6CD0" w:rsidRPr="00E257FC" w14:paraId="19A8554D" w14:textId="77777777" w:rsidTr="00501559">
        <w:trPr>
          <w:trHeight w:val="305"/>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7DF4F111" w14:textId="77777777" w:rsidR="00DD6CD0" w:rsidRPr="00E257FC" w:rsidRDefault="00DD6CD0" w:rsidP="00501559">
            <w:pPr>
              <w:rPr>
                <w:color w:val="000000"/>
                <w:sz w:val="22"/>
                <w:szCs w:val="22"/>
              </w:rPr>
            </w:pPr>
            <w:r w:rsidRPr="00E257FC">
              <w:rPr>
                <w:color w:val="000000"/>
                <w:sz w:val="22"/>
                <w:szCs w:val="22"/>
              </w:rPr>
              <w:t>Shrimp</w:t>
            </w:r>
          </w:p>
        </w:tc>
        <w:tc>
          <w:tcPr>
            <w:tcW w:w="1413" w:type="dxa"/>
            <w:tcBorders>
              <w:top w:val="nil"/>
              <w:left w:val="nil"/>
              <w:bottom w:val="single" w:sz="4" w:space="0" w:color="auto"/>
              <w:right w:val="single" w:sz="4" w:space="0" w:color="auto"/>
            </w:tcBorders>
            <w:shd w:val="clear" w:color="auto" w:fill="auto"/>
            <w:noWrap/>
            <w:vAlign w:val="bottom"/>
            <w:hideMark/>
          </w:tcPr>
          <w:p w14:paraId="38D127FD" w14:textId="77777777" w:rsidR="00DD6CD0" w:rsidRPr="00E257FC" w:rsidRDefault="00DD6CD0" w:rsidP="00501559">
            <w:pPr>
              <w:jc w:val="center"/>
              <w:rPr>
                <w:color w:val="000000"/>
                <w:sz w:val="22"/>
                <w:szCs w:val="22"/>
              </w:rPr>
            </w:pPr>
            <w:r w:rsidRPr="00E257FC">
              <w:rPr>
                <w:color w:val="000000"/>
                <w:sz w:val="22"/>
                <w:szCs w:val="22"/>
              </w:rPr>
              <w:t>$</w:t>
            </w:r>
            <w:r>
              <w:rPr>
                <w:color w:val="000000"/>
                <w:sz w:val="22"/>
                <w:szCs w:val="22"/>
              </w:rPr>
              <w:t>50</w:t>
            </w:r>
            <w:r w:rsidRPr="00E257FC">
              <w:rPr>
                <w:color w:val="000000"/>
                <w:sz w:val="22"/>
                <w:szCs w:val="22"/>
              </w:rPr>
              <w:t>,</w:t>
            </w:r>
            <w:r>
              <w:rPr>
                <w:color w:val="000000"/>
                <w:sz w:val="22"/>
                <w:szCs w:val="22"/>
              </w:rPr>
              <w:t>00</w:t>
            </w:r>
          </w:p>
        </w:tc>
        <w:tc>
          <w:tcPr>
            <w:tcW w:w="1677" w:type="dxa"/>
            <w:tcBorders>
              <w:top w:val="nil"/>
              <w:left w:val="nil"/>
              <w:bottom w:val="single" w:sz="4" w:space="0" w:color="auto"/>
              <w:right w:val="single" w:sz="4" w:space="0" w:color="auto"/>
            </w:tcBorders>
            <w:shd w:val="clear" w:color="auto" w:fill="auto"/>
            <w:noWrap/>
            <w:vAlign w:val="bottom"/>
            <w:hideMark/>
          </w:tcPr>
          <w:p w14:paraId="4AF7F6D7" w14:textId="77777777" w:rsidR="00DD6CD0" w:rsidRPr="00E257FC" w:rsidRDefault="00DD6CD0" w:rsidP="00501559">
            <w:pPr>
              <w:jc w:val="center"/>
              <w:rPr>
                <w:color w:val="000000"/>
                <w:sz w:val="22"/>
                <w:szCs w:val="22"/>
              </w:rPr>
            </w:pPr>
            <w:r w:rsidRPr="00E257FC">
              <w:rPr>
                <w:color w:val="000000"/>
                <w:sz w:val="22"/>
                <w:szCs w:val="22"/>
              </w:rPr>
              <w:t>1</w:t>
            </w:r>
            <w:r>
              <w:rPr>
                <w:color w:val="000000"/>
                <w:sz w:val="22"/>
                <w:szCs w:val="22"/>
              </w:rPr>
              <w:t>5</w:t>
            </w:r>
            <w:r w:rsidRPr="00E257FC">
              <w:rPr>
                <w:color w:val="000000"/>
                <w:sz w:val="22"/>
                <w:szCs w:val="22"/>
              </w:rPr>
              <w:t>,80</w:t>
            </w:r>
            <w:r>
              <w:rPr>
                <w:color w:val="000000"/>
                <w:sz w:val="22"/>
                <w:szCs w:val="22"/>
              </w:rPr>
              <w:t>9</w:t>
            </w:r>
          </w:p>
        </w:tc>
        <w:tc>
          <w:tcPr>
            <w:tcW w:w="1119" w:type="dxa"/>
            <w:tcBorders>
              <w:top w:val="single" w:sz="4" w:space="0" w:color="auto"/>
              <w:left w:val="nil"/>
              <w:bottom w:val="single" w:sz="4" w:space="0" w:color="auto"/>
              <w:right w:val="single" w:sz="4" w:space="0" w:color="auto"/>
            </w:tcBorders>
            <w:vAlign w:val="bottom"/>
          </w:tcPr>
          <w:p w14:paraId="25C57F75" w14:textId="77777777" w:rsidR="00DD6CD0" w:rsidRPr="00E257FC" w:rsidRDefault="00DD6CD0" w:rsidP="00501559">
            <w:pPr>
              <w:jc w:val="center"/>
              <w:rPr>
                <w:color w:val="000000"/>
                <w:sz w:val="22"/>
                <w:szCs w:val="22"/>
              </w:rPr>
            </w:pPr>
            <w:r w:rsidRPr="00E257FC">
              <w:rPr>
                <w:color w:val="000000"/>
                <w:sz w:val="22"/>
                <w:szCs w:val="22"/>
              </w:rPr>
              <w:t>$</w:t>
            </w:r>
            <w:r>
              <w:rPr>
                <w:color w:val="000000"/>
                <w:sz w:val="22"/>
                <w:szCs w:val="22"/>
              </w:rPr>
              <w:t>3.17</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14:paraId="24B76DD1" w14:textId="77777777" w:rsidR="00DD6CD0" w:rsidRPr="00E257FC" w:rsidRDefault="00DD6CD0" w:rsidP="00501559">
            <w:pPr>
              <w:jc w:val="center"/>
              <w:rPr>
                <w:color w:val="000000"/>
                <w:sz w:val="22"/>
                <w:szCs w:val="22"/>
              </w:rPr>
            </w:pPr>
            <w:r>
              <w:rPr>
                <w:color w:val="000000"/>
                <w:sz w:val="22"/>
                <w:szCs w:val="22"/>
              </w:rPr>
              <w:t>15</w:t>
            </w:r>
            <w:r w:rsidRPr="00E257FC">
              <w:rPr>
                <w:color w:val="000000"/>
                <w:sz w:val="22"/>
                <w:szCs w:val="22"/>
              </w:rPr>
              <w:t>.0%</w:t>
            </w:r>
          </w:p>
        </w:tc>
        <w:tc>
          <w:tcPr>
            <w:tcW w:w="1394" w:type="dxa"/>
            <w:tcBorders>
              <w:top w:val="nil"/>
              <w:left w:val="nil"/>
              <w:bottom w:val="single" w:sz="4" w:space="0" w:color="auto"/>
              <w:right w:val="single" w:sz="4" w:space="0" w:color="auto"/>
            </w:tcBorders>
            <w:shd w:val="clear" w:color="auto" w:fill="auto"/>
            <w:noWrap/>
            <w:vAlign w:val="bottom"/>
            <w:hideMark/>
          </w:tcPr>
          <w:p w14:paraId="2BFCBB40" w14:textId="77777777" w:rsidR="00DD6CD0" w:rsidRPr="00E257FC" w:rsidRDefault="00DD6CD0" w:rsidP="00501559">
            <w:pPr>
              <w:jc w:val="center"/>
              <w:rPr>
                <w:color w:val="000000"/>
                <w:sz w:val="22"/>
                <w:szCs w:val="22"/>
              </w:rPr>
            </w:pPr>
            <w:r w:rsidRPr="00E257FC">
              <w:rPr>
                <w:color w:val="000000"/>
                <w:sz w:val="22"/>
                <w:szCs w:val="22"/>
              </w:rPr>
              <w:t>15.0%</w:t>
            </w:r>
          </w:p>
        </w:tc>
      </w:tr>
      <w:tr w:rsidR="00DD6CD0" w:rsidRPr="00E257FC" w14:paraId="6C15E35D" w14:textId="77777777" w:rsidTr="00501559">
        <w:trPr>
          <w:trHeight w:val="305"/>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69DD36A6" w14:textId="77777777" w:rsidR="00DD6CD0" w:rsidRPr="00E257FC" w:rsidRDefault="00DD6CD0" w:rsidP="00501559">
            <w:pPr>
              <w:rPr>
                <w:b/>
                <w:iCs/>
                <w:color w:val="000000"/>
                <w:sz w:val="22"/>
                <w:szCs w:val="22"/>
              </w:rPr>
            </w:pPr>
            <w:r w:rsidRPr="00E257FC">
              <w:rPr>
                <w:b/>
                <w:iCs/>
                <w:color w:val="000000"/>
                <w:sz w:val="22"/>
                <w:szCs w:val="22"/>
              </w:rPr>
              <w:t>Snappers</w:t>
            </w:r>
          </w:p>
        </w:tc>
        <w:tc>
          <w:tcPr>
            <w:tcW w:w="1413" w:type="dxa"/>
            <w:tcBorders>
              <w:top w:val="nil"/>
              <w:left w:val="nil"/>
              <w:bottom w:val="single" w:sz="4" w:space="0" w:color="auto"/>
              <w:right w:val="single" w:sz="4" w:space="0" w:color="auto"/>
            </w:tcBorders>
            <w:shd w:val="clear" w:color="auto" w:fill="auto"/>
            <w:noWrap/>
            <w:vAlign w:val="bottom"/>
            <w:hideMark/>
          </w:tcPr>
          <w:p w14:paraId="668669AD" w14:textId="77777777" w:rsidR="00DD6CD0" w:rsidRPr="00E257FC" w:rsidRDefault="00DD6CD0" w:rsidP="00501559">
            <w:pPr>
              <w:jc w:val="center"/>
              <w:rPr>
                <w:b/>
                <w:iCs/>
                <w:color w:val="000000"/>
                <w:sz w:val="22"/>
                <w:szCs w:val="22"/>
              </w:rPr>
            </w:pPr>
            <w:r w:rsidRPr="00E257FC">
              <w:rPr>
                <w:b/>
                <w:iCs/>
                <w:color w:val="000000"/>
                <w:sz w:val="22"/>
                <w:szCs w:val="22"/>
              </w:rPr>
              <w:t>$3,</w:t>
            </w:r>
            <w:r w:rsidRPr="00E257FC" w:rsidDel="00863FAB">
              <w:rPr>
                <w:b/>
                <w:iCs/>
                <w:color w:val="000000"/>
                <w:sz w:val="22"/>
                <w:szCs w:val="22"/>
              </w:rPr>
              <w:t xml:space="preserve"> </w:t>
            </w:r>
            <w:r w:rsidRPr="00E257FC">
              <w:rPr>
                <w:b/>
                <w:iCs/>
                <w:color w:val="000000"/>
                <w:sz w:val="22"/>
                <w:szCs w:val="22"/>
              </w:rPr>
              <w:t>8</w:t>
            </w:r>
            <w:r>
              <w:rPr>
                <w:b/>
                <w:iCs/>
                <w:color w:val="000000"/>
                <w:sz w:val="22"/>
                <w:szCs w:val="22"/>
              </w:rPr>
              <w:t>83</w:t>
            </w:r>
          </w:p>
        </w:tc>
        <w:tc>
          <w:tcPr>
            <w:tcW w:w="1677" w:type="dxa"/>
            <w:tcBorders>
              <w:top w:val="nil"/>
              <w:left w:val="nil"/>
              <w:bottom w:val="single" w:sz="4" w:space="0" w:color="auto"/>
              <w:right w:val="single" w:sz="4" w:space="0" w:color="auto"/>
            </w:tcBorders>
            <w:shd w:val="clear" w:color="auto" w:fill="auto"/>
            <w:noWrap/>
            <w:vAlign w:val="bottom"/>
            <w:hideMark/>
          </w:tcPr>
          <w:p w14:paraId="4D90F6DA" w14:textId="77777777" w:rsidR="00DD6CD0" w:rsidRPr="00E257FC" w:rsidRDefault="00DD6CD0" w:rsidP="00501559">
            <w:pPr>
              <w:jc w:val="center"/>
              <w:rPr>
                <w:b/>
                <w:iCs/>
                <w:color w:val="000000"/>
                <w:sz w:val="22"/>
                <w:szCs w:val="22"/>
              </w:rPr>
            </w:pPr>
            <w:r w:rsidRPr="00E257FC">
              <w:rPr>
                <w:b/>
                <w:iCs/>
                <w:color w:val="000000"/>
                <w:sz w:val="22"/>
                <w:szCs w:val="22"/>
              </w:rPr>
              <w:t>1,14</w:t>
            </w:r>
            <w:r>
              <w:rPr>
                <w:b/>
                <w:iCs/>
                <w:color w:val="000000"/>
                <w:sz w:val="22"/>
                <w:szCs w:val="22"/>
              </w:rPr>
              <w:t>9</w:t>
            </w:r>
          </w:p>
        </w:tc>
        <w:tc>
          <w:tcPr>
            <w:tcW w:w="1119" w:type="dxa"/>
            <w:tcBorders>
              <w:top w:val="single" w:sz="4" w:space="0" w:color="auto"/>
              <w:left w:val="nil"/>
              <w:bottom w:val="single" w:sz="4" w:space="0" w:color="auto"/>
              <w:right w:val="single" w:sz="4" w:space="0" w:color="auto"/>
            </w:tcBorders>
            <w:vAlign w:val="bottom"/>
          </w:tcPr>
          <w:p w14:paraId="4D5ADD57" w14:textId="77777777" w:rsidR="00DD6CD0" w:rsidRPr="00E257FC" w:rsidRDefault="00DD6CD0" w:rsidP="00501559">
            <w:pPr>
              <w:jc w:val="center"/>
              <w:rPr>
                <w:b/>
                <w:iCs/>
                <w:color w:val="000000"/>
                <w:sz w:val="22"/>
                <w:szCs w:val="22"/>
              </w:rPr>
            </w:pPr>
            <w:r w:rsidRPr="00E257FC">
              <w:rPr>
                <w:b/>
                <w:iCs/>
                <w:color w:val="000000"/>
                <w:sz w:val="22"/>
                <w:szCs w:val="22"/>
              </w:rPr>
              <w:t>$3.</w:t>
            </w:r>
            <w:r>
              <w:rPr>
                <w:b/>
                <w:iCs/>
                <w:color w:val="000000"/>
                <w:sz w:val="22"/>
                <w:szCs w:val="22"/>
              </w:rPr>
              <w:t>38</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14:paraId="31EA2BC5" w14:textId="77777777" w:rsidR="00DD6CD0" w:rsidRPr="00E257FC" w:rsidRDefault="00DD6CD0" w:rsidP="00501559">
            <w:pPr>
              <w:jc w:val="center"/>
              <w:rPr>
                <w:b/>
                <w:iCs/>
                <w:color w:val="000000"/>
                <w:sz w:val="22"/>
                <w:szCs w:val="22"/>
              </w:rPr>
            </w:pPr>
            <w:r>
              <w:rPr>
                <w:b/>
                <w:iCs/>
                <w:color w:val="000000"/>
                <w:sz w:val="22"/>
                <w:szCs w:val="22"/>
              </w:rPr>
              <w:t>1.1</w:t>
            </w:r>
            <w:r w:rsidRPr="00E257FC">
              <w:rPr>
                <w:b/>
                <w:iCs/>
                <w:color w:val="000000"/>
                <w:sz w:val="22"/>
                <w:szCs w:val="22"/>
              </w:rPr>
              <w:t>%</w:t>
            </w:r>
          </w:p>
        </w:tc>
        <w:tc>
          <w:tcPr>
            <w:tcW w:w="1394" w:type="dxa"/>
            <w:tcBorders>
              <w:top w:val="nil"/>
              <w:left w:val="nil"/>
              <w:bottom w:val="single" w:sz="4" w:space="0" w:color="auto"/>
              <w:right w:val="single" w:sz="4" w:space="0" w:color="auto"/>
            </w:tcBorders>
            <w:shd w:val="clear" w:color="auto" w:fill="auto"/>
            <w:noWrap/>
            <w:vAlign w:val="bottom"/>
            <w:hideMark/>
          </w:tcPr>
          <w:p w14:paraId="7F9E043F" w14:textId="77777777" w:rsidR="00DD6CD0" w:rsidRPr="00E257FC" w:rsidRDefault="00DD6CD0" w:rsidP="00501559">
            <w:pPr>
              <w:jc w:val="center"/>
              <w:rPr>
                <w:b/>
                <w:iCs/>
                <w:color w:val="000000"/>
                <w:sz w:val="22"/>
                <w:szCs w:val="22"/>
              </w:rPr>
            </w:pPr>
            <w:r w:rsidRPr="00E257FC">
              <w:rPr>
                <w:b/>
                <w:iCs/>
                <w:color w:val="000000"/>
                <w:sz w:val="22"/>
                <w:szCs w:val="22"/>
              </w:rPr>
              <w:t>1.</w:t>
            </w:r>
            <w:r>
              <w:rPr>
                <w:b/>
                <w:iCs/>
                <w:color w:val="000000"/>
                <w:sz w:val="22"/>
                <w:szCs w:val="22"/>
              </w:rPr>
              <w:t>1</w:t>
            </w:r>
            <w:r w:rsidRPr="00E257FC">
              <w:rPr>
                <w:b/>
                <w:iCs/>
                <w:color w:val="000000"/>
                <w:sz w:val="22"/>
                <w:szCs w:val="22"/>
              </w:rPr>
              <w:t>%</w:t>
            </w:r>
          </w:p>
        </w:tc>
      </w:tr>
      <w:tr w:rsidR="00DD6CD0" w:rsidRPr="00E257FC" w14:paraId="3DEBCAF8" w14:textId="77777777" w:rsidTr="00501559">
        <w:trPr>
          <w:trHeight w:val="305"/>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1EC05801" w14:textId="77777777" w:rsidR="00DD6CD0" w:rsidRPr="00E257FC" w:rsidRDefault="00DD6CD0" w:rsidP="00501559">
            <w:pPr>
              <w:rPr>
                <w:color w:val="000000"/>
                <w:sz w:val="22"/>
                <w:szCs w:val="22"/>
              </w:rPr>
            </w:pPr>
            <w:r w:rsidRPr="00E257FC">
              <w:rPr>
                <w:color w:val="000000"/>
                <w:sz w:val="22"/>
                <w:szCs w:val="22"/>
              </w:rPr>
              <w:t>Swordfish</w:t>
            </w:r>
          </w:p>
        </w:tc>
        <w:tc>
          <w:tcPr>
            <w:tcW w:w="1413" w:type="dxa"/>
            <w:tcBorders>
              <w:top w:val="nil"/>
              <w:left w:val="nil"/>
              <w:bottom w:val="single" w:sz="4" w:space="0" w:color="auto"/>
              <w:right w:val="single" w:sz="4" w:space="0" w:color="auto"/>
            </w:tcBorders>
            <w:shd w:val="clear" w:color="auto" w:fill="auto"/>
            <w:noWrap/>
            <w:vAlign w:val="bottom"/>
            <w:hideMark/>
          </w:tcPr>
          <w:p w14:paraId="53FCE385" w14:textId="77777777" w:rsidR="00DD6CD0" w:rsidRPr="00E257FC" w:rsidRDefault="00DD6CD0" w:rsidP="00501559">
            <w:pPr>
              <w:jc w:val="center"/>
              <w:rPr>
                <w:color w:val="000000"/>
                <w:sz w:val="22"/>
                <w:szCs w:val="22"/>
              </w:rPr>
            </w:pPr>
            <w:r w:rsidRPr="00E257FC">
              <w:rPr>
                <w:color w:val="000000"/>
                <w:sz w:val="22"/>
                <w:szCs w:val="22"/>
              </w:rPr>
              <w:t>$</w:t>
            </w:r>
            <w:r>
              <w:rPr>
                <w:color w:val="000000"/>
                <w:sz w:val="22"/>
                <w:szCs w:val="22"/>
              </w:rPr>
              <w:t>5</w:t>
            </w:r>
            <w:r w:rsidRPr="00E257FC">
              <w:rPr>
                <w:color w:val="000000"/>
                <w:sz w:val="22"/>
                <w:szCs w:val="22"/>
              </w:rPr>
              <w:t>,</w:t>
            </w:r>
            <w:r>
              <w:rPr>
                <w:color w:val="000000"/>
                <w:sz w:val="22"/>
                <w:szCs w:val="22"/>
              </w:rPr>
              <w:t>656</w:t>
            </w:r>
          </w:p>
        </w:tc>
        <w:tc>
          <w:tcPr>
            <w:tcW w:w="1677" w:type="dxa"/>
            <w:tcBorders>
              <w:top w:val="nil"/>
              <w:left w:val="nil"/>
              <w:bottom w:val="single" w:sz="4" w:space="0" w:color="auto"/>
              <w:right w:val="single" w:sz="4" w:space="0" w:color="auto"/>
            </w:tcBorders>
            <w:shd w:val="clear" w:color="auto" w:fill="auto"/>
            <w:noWrap/>
            <w:vAlign w:val="bottom"/>
            <w:hideMark/>
          </w:tcPr>
          <w:p w14:paraId="27B15842" w14:textId="77777777" w:rsidR="00DD6CD0" w:rsidRPr="00E257FC" w:rsidRDefault="00DD6CD0" w:rsidP="00501559">
            <w:pPr>
              <w:jc w:val="center"/>
              <w:rPr>
                <w:color w:val="000000"/>
                <w:sz w:val="22"/>
                <w:szCs w:val="22"/>
              </w:rPr>
            </w:pPr>
            <w:r>
              <w:rPr>
                <w:color w:val="000000"/>
                <w:sz w:val="22"/>
                <w:szCs w:val="22"/>
              </w:rPr>
              <w:t>1</w:t>
            </w:r>
            <w:r w:rsidRPr="00E257FC">
              <w:rPr>
                <w:color w:val="000000"/>
                <w:sz w:val="22"/>
                <w:szCs w:val="22"/>
              </w:rPr>
              <w:t>,</w:t>
            </w:r>
            <w:r w:rsidRPr="00E257FC" w:rsidDel="00863FAB">
              <w:rPr>
                <w:color w:val="000000"/>
                <w:sz w:val="22"/>
                <w:szCs w:val="22"/>
              </w:rPr>
              <w:t xml:space="preserve"> </w:t>
            </w:r>
            <w:r w:rsidRPr="00E257FC">
              <w:rPr>
                <w:color w:val="000000"/>
                <w:sz w:val="22"/>
                <w:szCs w:val="22"/>
              </w:rPr>
              <w:t>6</w:t>
            </w:r>
            <w:r>
              <w:rPr>
                <w:color w:val="000000"/>
                <w:sz w:val="22"/>
                <w:szCs w:val="22"/>
              </w:rPr>
              <w:t>69</w:t>
            </w:r>
          </w:p>
        </w:tc>
        <w:tc>
          <w:tcPr>
            <w:tcW w:w="1119" w:type="dxa"/>
            <w:tcBorders>
              <w:top w:val="single" w:sz="4" w:space="0" w:color="auto"/>
              <w:left w:val="nil"/>
              <w:bottom w:val="single" w:sz="4" w:space="0" w:color="auto"/>
              <w:right w:val="single" w:sz="4" w:space="0" w:color="auto"/>
            </w:tcBorders>
            <w:vAlign w:val="bottom"/>
          </w:tcPr>
          <w:p w14:paraId="5993A7E1" w14:textId="77777777" w:rsidR="00DD6CD0" w:rsidRPr="00E257FC" w:rsidRDefault="00DD6CD0" w:rsidP="00501559">
            <w:pPr>
              <w:jc w:val="center"/>
              <w:rPr>
                <w:color w:val="000000"/>
                <w:sz w:val="22"/>
                <w:szCs w:val="22"/>
              </w:rPr>
            </w:pPr>
            <w:r w:rsidRPr="00E257FC">
              <w:rPr>
                <w:color w:val="000000"/>
                <w:sz w:val="22"/>
                <w:szCs w:val="22"/>
              </w:rPr>
              <w:t>$3.33</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14:paraId="109C3CA8" w14:textId="77777777" w:rsidR="00DD6CD0" w:rsidRPr="00E257FC" w:rsidRDefault="00DD6CD0" w:rsidP="00501559">
            <w:pPr>
              <w:jc w:val="center"/>
              <w:rPr>
                <w:color w:val="000000"/>
                <w:sz w:val="22"/>
                <w:szCs w:val="22"/>
              </w:rPr>
            </w:pPr>
            <w:r>
              <w:rPr>
                <w:color w:val="000000"/>
                <w:sz w:val="22"/>
                <w:szCs w:val="22"/>
              </w:rPr>
              <w:t>1.6</w:t>
            </w:r>
            <w:r w:rsidRPr="00E257FC">
              <w:rPr>
                <w:color w:val="000000"/>
                <w:sz w:val="22"/>
                <w:szCs w:val="22"/>
              </w:rPr>
              <w:t>%</w:t>
            </w:r>
          </w:p>
        </w:tc>
        <w:tc>
          <w:tcPr>
            <w:tcW w:w="1394" w:type="dxa"/>
            <w:tcBorders>
              <w:top w:val="nil"/>
              <w:left w:val="nil"/>
              <w:bottom w:val="single" w:sz="4" w:space="0" w:color="auto"/>
              <w:right w:val="single" w:sz="4" w:space="0" w:color="auto"/>
            </w:tcBorders>
            <w:shd w:val="clear" w:color="auto" w:fill="auto"/>
            <w:noWrap/>
            <w:vAlign w:val="bottom"/>
            <w:hideMark/>
          </w:tcPr>
          <w:p w14:paraId="54CFAB4F" w14:textId="77777777" w:rsidR="00DD6CD0" w:rsidRPr="00E257FC" w:rsidRDefault="00DD6CD0" w:rsidP="00501559">
            <w:pPr>
              <w:jc w:val="center"/>
              <w:rPr>
                <w:color w:val="000000"/>
                <w:sz w:val="22"/>
                <w:szCs w:val="22"/>
              </w:rPr>
            </w:pPr>
            <w:r>
              <w:rPr>
                <w:color w:val="000000"/>
                <w:sz w:val="22"/>
                <w:szCs w:val="22"/>
              </w:rPr>
              <w:t>1</w:t>
            </w:r>
            <w:r w:rsidRPr="00E257FC">
              <w:rPr>
                <w:color w:val="000000"/>
                <w:sz w:val="22"/>
                <w:szCs w:val="22"/>
              </w:rPr>
              <w:t>.</w:t>
            </w:r>
            <w:r>
              <w:rPr>
                <w:color w:val="000000"/>
                <w:sz w:val="22"/>
                <w:szCs w:val="22"/>
              </w:rPr>
              <w:t>6</w:t>
            </w:r>
            <w:r w:rsidRPr="00E257FC">
              <w:rPr>
                <w:color w:val="000000"/>
                <w:sz w:val="22"/>
                <w:szCs w:val="22"/>
              </w:rPr>
              <w:t>%</w:t>
            </w:r>
          </w:p>
        </w:tc>
      </w:tr>
      <w:tr w:rsidR="00DD6CD0" w:rsidRPr="00E257FC" w14:paraId="2F97956B" w14:textId="77777777" w:rsidTr="00501559">
        <w:trPr>
          <w:trHeight w:val="305"/>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19D65AB2" w14:textId="77777777" w:rsidR="00DD6CD0" w:rsidRPr="00E257FC" w:rsidRDefault="00DD6CD0" w:rsidP="00501559">
            <w:pPr>
              <w:rPr>
                <w:color w:val="000000"/>
                <w:sz w:val="22"/>
                <w:szCs w:val="22"/>
              </w:rPr>
            </w:pPr>
            <w:r w:rsidRPr="00E257FC">
              <w:rPr>
                <w:color w:val="000000"/>
                <w:sz w:val="22"/>
                <w:szCs w:val="22"/>
              </w:rPr>
              <w:t>Tunas</w:t>
            </w:r>
          </w:p>
        </w:tc>
        <w:tc>
          <w:tcPr>
            <w:tcW w:w="1413" w:type="dxa"/>
            <w:tcBorders>
              <w:top w:val="nil"/>
              <w:left w:val="nil"/>
              <w:bottom w:val="single" w:sz="4" w:space="0" w:color="auto"/>
              <w:right w:val="single" w:sz="4" w:space="0" w:color="auto"/>
            </w:tcBorders>
            <w:shd w:val="clear" w:color="auto" w:fill="auto"/>
            <w:noWrap/>
            <w:vAlign w:val="bottom"/>
            <w:hideMark/>
          </w:tcPr>
          <w:p w14:paraId="4F6226E5" w14:textId="77777777" w:rsidR="00DD6CD0" w:rsidRPr="00E257FC" w:rsidRDefault="00DD6CD0" w:rsidP="00501559">
            <w:pPr>
              <w:jc w:val="center"/>
              <w:rPr>
                <w:color w:val="000000"/>
                <w:sz w:val="22"/>
                <w:szCs w:val="22"/>
              </w:rPr>
            </w:pPr>
            <w:r w:rsidRPr="00E257FC">
              <w:rPr>
                <w:color w:val="000000"/>
                <w:sz w:val="22"/>
                <w:szCs w:val="22"/>
              </w:rPr>
              <w:t>$</w:t>
            </w:r>
            <w:r>
              <w:rPr>
                <w:color w:val="000000"/>
                <w:sz w:val="22"/>
                <w:szCs w:val="22"/>
              </w:rPr>
              <w:t>6</w:t>
            </w:r>
            <w:r w:rsidRPr="00E257FC" w:rsidDel="00863FAB">
              <w:rPr>
                <w:color w:val="000000"/>
                <w:sz w:val="22"/>
                <w:szCs w:val="22"/>
              </w:rPr>
              <w:t xml:space="preserve"> </w:t>
            </w:r>
            <w:r w:rsidRPr="00E257FC">
              <w:rPr>
                <w:color w:val="000000"/>
                <w:sz w:val="22"/>
                <w:szCs w:val="22"/>
              </w:rPr>
              <w:t>,</w:t>
            </w:r>
            <w:r>
              <w:rPr>
                <w:color w:val="000000"/>
                <w:sz w:val="22"/>
                <w:szCs w:val="22"/>
              </w:rPr>
              <w:t>233</w:t>
            </w:r>
          </w:p>
        </w:tc>
        <w:tc>
          <w:tcPr>
            <w:tcW w:w="1677" w:type="dxa"/>
            <w:tcBorders>
              <w:top w:val="nil"/>
              <w:left w:val="nil"/>
              <w:bottom w:val="single" w:sz="4" w:space="0" w:color="auto"/>
              <w:right w:val="single" w:sz="4" w:space="0" w:color="auto"/>
            </w:tcBorders>
            <w:shd w:val="clear" w:color="auto" w:fill="auto"/>
            <w:noWrap/>
            <w:vAlign w:val="bottom"/>
            <w:hideMark/>
          </w:tcPr>
          <w:p w14:paraId="037AFCEE" w14:textId="77777777" w:rsidR="00DD6CD0" w:rsidRPr="00E257FC" w:rsidRDefault="00DD6CD0" w:rsidP="00501559">
            <w:pPr>
              <w:jc w:val="center"/>
              <w:rPr>
                <w:color w:val="000000"/>
                <w:sz w:val="22"/>
                <w:szCs w:val="22"/>
              </w:rPr>
            </w:pPr>
            <w:r w:rsidRPr="00E257FC">
              <w:rPr>
                <w:color w:val="000000"/>
                <w:sz w:val="22"/>
                <w:szCs w:val="22"/>
              </w:rPr>
              <w:t>2,6</w:t>
            </w:r>
            <w:r>
              <w:rPr>
                <w:color w:val="000000"/>
                <w:sz w:val="22"/>
                <w:szCs w:val="22"/>
              </w:rPr>
              <w:t>59</w:t>
            </w:r>
          </w:p>
        </w:tc>
        <w:tc>
          <w:tcPr>
            <w:tcW w:w="1119" w:type="dxa"/>
            <w:tcBorders>
              <w:top w:val="single" w:sz="4" w:space="0" w:color="auto"/>
              <w:left w:val="nil"/>
              <w:bottom w:val="single" w:sz="4" w:space="0" w:color="auto"/>
              <w:right w:val="single" w:sz="4" w:space="0" w:color="auto"/>
            </w:tcBorders>
            <w:vAlign w:val="bottom"/>
          </w:tcPr>
          <w:p w14:paraId="2045F2DB" w14:textId="77777777" w:rsidR="00DD6CD0" w:rsidRPr="00E257FC" w:rsidRDefault="00DD6CD0" w:rsidP="00501559">
            <w:pPr>
              <w:jc w:val="center"/>
              <w:rPr>
                <w:color w:val="000000"/>
                <w:sz w:val="22"/>
                <w:szCs w:val="22"/>
              </w:rPr>
            </w:pPr>
            <w:r w:rsidRPr="00E257FC">
              <w:rPr>
                <w:color w:val="000000"/>
                <w:sz w:val="22"/>
                <w:szCs w:val="22"/>
              </w:rPr>
              <w:t>$2.</w:t>
            </w:r>
            <w:r>
              <w:rPr>
                <w:color w:val="000000"/>
                <w:sz w:val="22"/>
                <w:szCs w:val="22"/>
              </w:rPr>
              <w:t>34</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14:paraId="36827E78" w14:textId="77777777" w:rsidR="00DD6CD0" w:rsidRPr="00E257FC" w:rsidRDefault="00DD6CD0" w:rsidP="00501559">
            <w:pPr>
              <w:jc w:val="center"/>
              <w:rPr>
                <w:color w:val="000000"/>
                <w:sz w:val="22"/>
                <w:szCs w:val="22"/>
              </w:rPr>
            </w:pPr>
            <w:r>
              <w:rPr>
                <w:color w:val="000000"/>
                <w:sz w:val="22"/>
                <w:szCs w:val="22"/>
              </w:rPr>
              <w:t>2.5</w:t>
            </w:r>
            <w:r w:rsidRPr="00E257FC">
              <w:rPr>
                <w:color w:val="000000"/>
                <w:sz w:val="22"/>
                <w:szCs w:val="22"/>
              </w:rPr>
              <w:t>%</w:t>
            </w:r>
          </w:p>
        </w:tc>
        <w:tc>
          <w:tcPr>
            <w:tcW w:w="1394" w:type="dxa"/>
            <w:tcBorders>
              <w:top w:val="nil"/>
              <w:left w:val="nil"/>
              <w:bottom w:val="single" w:sz="4" w:space="0" w:color="auto"/>
              <w:right w:val="single" w:sz="4" w:space="0" w:color="auto"/>
            </w:tcBorders>
            <w:shd w:val="clear" w:color="auto" w:fill="auto"/>
            <w:noWrap/>
            <w:vAlign w:val="bottom"/>
            <w:hideMark/>
          </w:tcPr>
          <w:p w14:paraId="473AA34D" w14:textId="77777777" w:rsidR="00DD6CD0" w:rsidRPr="00E257FC" w:rsidRDefault="00DD6CD0" w:rsidP="00501559">
            <w:pPr>
              <w:jc w:val="center"/>
              <w:rPr>
                <w:color w:val="000000"/>
                <w:sz w:val="22"/>
                <w:szCs w:val="22"/>
              </w:rPr>
            </w:pPr>
            <w:r w:rsidRPr="00E257FC">
              <w:rPr>
                <w:color w:val="000000"/>
                <w:sz w:val="22"/>
                <w:szCs w:val="22"/>
              </w:rPr>
              <w:t>2.</w:t>
            </w:r>
            <w:r>
              <w:rPr>
                <w:color w:val="000000"/>
                <w:sz w:val="22"/>
                <w:szCs w:val="22"/>
              </w:rPr>
              <w:t>5</w:t>
            </w:r>
            <w:r w:rsidRPr="00E257FC">
              <w:rPr>
                <w:color w:val="000000"/>
                <w:sz w:val="22"/>
                <w:szCs w:val="22"/>
              </w:rPr>
              <w:t>%</w:t>
            </w:r>
          </w:p>
        </w:tc>
      </w:tr>
      <w:tr w:rsidR="00DD6CD0" w:rsidRPr="00E257FC" w14:paraId="25BD6E15" w14:textId="77777777" w:rsidTr="00501559">
        <w:trPr>
          <w:trHeight w:val="305"/>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654BF88B" w14:textId="77777777" w:rsidR="00DD6CD0" w:rsidRPr="00E257FC" w:rsidRDefault="00DD6CD0" w:rsidP="00501559">
            <w:pPr>
              <w:rPr>
                <w:color w:val="000000"/>
                <w:sz w:val="22"/>
                <w:szCs w:val="22"/>
              </w:rPr>
            </w:pPr>
            <w:r w:rsidRPr="00E257FC">
              <w:rPr>
                <w:color w:val="000000"/>
                <w:sz w:val="22"/>
                <w:szCs w:val="22"/>
              </w:rPr>
              <w:t>Total Key</w:t>
            </w:r>
          </w:p>
        </w:tc>
        <w:tc>
          <w:tcPr>
            <w:tcW w:w="1413" w:type="dxa"/>
            <w:tcBorders>
              <w:top w:val="nil"/>
              <w:left w:val="nil"/>
              <w:bottom w:val="single" w:sz="4" w:space="0" w:color="auto"/>
              <w:right w:val="single" w:sz="4" w:space="0" w:color="auto"/>
            </w:tcBorders>
            <w:shd w:val="clear" w:color="auto" w:fill="auto"/>
            <w:noWrap/>
            <w:vAlign w:val="bottom"/>
            <w:hideMark/>
          </w:tcPr>
          <w:p w14:paraId="2E8AE20F" w14:textId="77777777" w:rsidR="00DD6CD0" w:rsidRPr="00E257FC" w:rsidRDefault="00DD6CD0" w:rsidP="00501559">
            <w:pPr>
              <w:jc w:val="center"/>
              <w:rPr>
                <w:color w:val="000000"/>
                <w:sz w:val="22"/>
                <w:szCs w:val="22"/>
              </w:rPr>
            </w:pPr>
            <w:r w:rsidRPr="00E257FC">
              <w:rPr>
                <w:color w:val="000000"/>
                <w:sz w:val="22"/>
                <w:szCs w:val="22"/>
              </w:rPr>
              <w:t>$1</w:t>
            </w:r>
            <w:r>
              <w:rPr>
                <w:color w:val="000000"/>
                <w:sz w:val="22"/>
                <w:szCs w:val="22"/>
              </w:rPr>
              <w:t>4</w:t>
            </w:r>
            <w:r w:rsidRPr="00E257FC">
              <w:rPr>
                <w:color w:val="000000"/>
                <w:sz w:val="22"/>
                <w:szCs w:val="22"/>
              </w:rPr>
              <w:t>4,</w:t>
            </w:r>
            <w:r>
              <w:rPr>
                <w:color w:val="000000"/>
                <w:sz w:val="22"/>
                <w:szCs w:val="22"/>
              </w:rPr>
              <w:t>85</w:t>
            </w:r>
            <w:r w:rsidRPr="00E257FC">
              <w:rPr>
                <w:color w:val="000000"/>
                <w:sz w:val="22"/>
                <w:szCs w:val="22"/>
              </w:rPr>
              <w:t>8</w:t>
            </w:r>
          </w:p>
        </w:tc>
        <w:tc>
          <w:tcPr>
            <w:tcW w:w="1677" w:type="dxa"/>
            <w:tcBorders>
              <w:top w:val="nil"/>
              <w:left w:val="nil"/>
              <w:bottom w:val="single" w:sz="4" w:space="0" w:color="auto"/>
              <w:right w:val="single" w:sz="4" w:space="0" w:color="auto"/>
            </w:tcBorders>
            <w:shd w:val="clear" w:color="auto" w:fill="auto"/>
            <w:noWrap/>
            <w:vAlign w:val="bottom"/>
            <w:hideMark/>
          </w:tcPr>
          <w:p w14:paraId="210F3311" w14:textId="77777777" w:rsidR="00DD6CD0" w:rsidRPr="00E257FC" w:rsidRDefault="00DD6CD0" w:rsidP="00501559">
            <w:pPr>
              <w:jc w:val="center"/>
              <w:rPr>
                <w:color w:val="000000"/>
                <w:sz w:val="22"/>
                <w:szCs w:val="22"/>
              </w:rPr>
            </w:pPr>
            <w:r>
              <w:rPr>
                <w:color w:val="000000"/>
                <w:sz w:val="22"/>
                <w:szCs w:val="22"/>
              </w:rPr>
              <w:t>6</w:t>
            </w:r>
            <w:r w:rsidRPr="00E257FC">
              <w:rPr>
                <w:color w:val="000000"/>
                <w:sz w:val="22"/>
                <w:szCs w:val="22"/>
              </w:rPr>
              <w:t>5,</w:t>
            </w:r>
            <w:r>
              <w:rPr>
                <w:color w:val="000000"/>
                <w:sz w:val="22"/>
                <w:szCs w:val="22"/>
              </w:rPr>
              <w:t>598</w:t>
            </w:r>
          </w:p>
        </w:tc>
        <w:tc>
          <w:tcPr>
            <w:tcW w:w="1119" w:type="dxa"/>
            <w:tcBorders>
              <w:top w:val="single" w:sz="4" w:space="0" w:color="auto"/>
              <w:left w:val="nil"/>
              <w:bottom w:val="single" w:sz="4" w:space="0" w:color="auto"/>
              <w:right w:val="single" w:sz="4" w:space="0" w:color="auto"/>
            </w:tcBorders>
            <w:vAlign w:val="bottom"/>
          </w:tcPr>
          <w:p w14:paraId="5F26CFF1" w14:textId="77777777" w:rsidR="00DD6CD0" w:rsidRPr="00E257FC" w:rsidRDefault="00DD6CD0" w:rsidP="00501559">
            <w:pPr>
              <w:jc w:val="center"/>
              <w:rPr>
                <w:color w:val="000000"/>
                <w:sz w:val="22"/>
                <w:szCs w:val="22"/>
              </w:rPr>
            </w:pP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14:paraId="6F04364D" w14:textId="77777777" w:rsidR="00DD6CD0" w:rsidRPr="00E257FC" w:rsidRDefault="00DD6CD0" w:rsidP="00501559">
            <w:pPr>
              <w:jc w:val="center"/>
              <w:rPr>
                <w:color w:val="000000"/>
                <w:sz w:val="22"/>
                <w:szCs w:val="22"/>
              </w:rPr>
            </w:pPr>
            <w:r>
              <w:rPr>
                <w:color w:val="000000"/>
                <w:sz w:val="22"/>
                <w:szCs w:val="22"/>
              </w:rPr>
              <w:t>62.3</w:t>
            </w:r>
            <w:r w:rsidRPr="00E257FC">
              <w:rPr>
                <w:color w:val="000000"/>
                <w:sz w:val="22"/>
                <w:szCs w:val="22"/>
              </w:rPr>
              <w:t>%</w:t>
            </w:r>
          </w:p>
        </w:tc>
        <w:tc>
          <w:tcPr>
            <w:tcW w:w="1394" w:type="dxa"/>
            <w:tcBorders>
              <w:top w:val="nil"/>
              <w:left w:val="nil"/>
              <w:bottom w:val="single" w:sz="4" w:space="0" w:color="auto"/>
              <w:right w:val="single" w:sz="4" w:space="0" w:color="auto"/>
            </w:tcBorders>
            <w:shd w:val="clear" w:color="auto" w:fill="auto"/>
            <w:noWrap/>
            <w:vAlign w:val="bottom"/>
            <w:hideMark/>
          </w:tcPr>
          <w:p w14:paraId="0FA41B71" w14:textId="77777777" w:rsidR="00DD6CD0" w:rsidRPr="00E257FC" w:rsidRDefault="00DD6CD0" w:rsidP="00501559">
            <w:pPr>
              <w:jc w:val="center"/>
              <w:rPr>
                <w:color w:val="000000"/>
                <w:sz w:val="22"/>
                <w:szCs w:val="22"/>
              </w:rPr>
            </w:pPr>
            <w:r w:rsidRPr="00E257FC">
              <w:rPr>
                <w:color w:val="000000"/>
                <w:sz w:val="22"/>
                <w:szCs w:val="22"/>
              </w:rPr>
              <w:t>6</w:t>
            </w:r>
            <w:r>
              <w:rPr>
                <w:color w:val="000000"/>
                <w:sz w:val="22"/>
                <w:szCs w:val="22"/>
              </w:rPr>
              <w:t>2</w:t>
            </w:r>
            <w:r w:rsidRPr="00E257FC">
              <w:rPr>
                <w:color w:val="000000"/>
                <w:sz w:val="22"/>
                <w:szCs w:val="22"/>
              </w:rPr>
              <w:t>.3%</w:t>
            </w:r>
          </w:p>
        </w:tc>
      </w:tr>
      <w:tr w:rsidR="00DD6CD0" w:rsidRPr="00E257FC" w14:paraId="54D2EB63" w14:textId="77777777" w:rsidTr="00501559">
        <w:trPr>
          <w:trHeight w:val="305"/>
        </w:trPr>
        <w:tc>
          <w:tcPr>
            <w:tcW w:w="1869" w:type="dxa"/>
            <w:tcBorders>
              <w:top w:val="nil"/>
              <w:left w:val="single" w:sz="4" w:space="0" w:color="auto"/>
              <w:bottom w:val="single" w:sz="4" w:space="0" w:color="auto"/>
              <w:right w:val="single" w:sz="4" w:space="0" w:color="auto"/>
            </w:tcBorders>
            <w:shd w:val="clear" w:color="000000" w:fill="auto"/>
            <w:noWrap/>
            <w:vAlign w:val="bottom"/>
            <w:hideMark/>
          </w:tcPr>
          <w:p w14:paraId="6F34DFA9" w14:textId="77777777" w:rsidR="00DD6CD0" w:rsidRPr="00E257FC" w:rsidRDefault="00DD6CD0" w:rsidP="00501559">
            <w:pPr>
              <w:rPr>
                <w:b/>
                <w:bCs/>
                <w:color w:val="000000"/>
                <w:sz w:val="22"/>
                <w:szCs w:val="22"/>
              </w:rPr>
            </w:pPr>
            <w:r w:rsidRPr="00E257FC">
              <w:rPr>
                <w:b/>
                <w:bCs/>
                <w:color w:val="000000"/>
                <w:sz w:val="22"/>
                <w:szCs w:val="22"/>
              </w:rPr>
              <w:t>All Landings</w:t>
            </w:r>
          </w:p>
        </w:tc>
        <w:tc>
          <w:tcPr>
            <w:tcW w:w="1413" w:type="dxa"/>
            <w:tcBorders>
              <w:top w:val="nil"/>
              <w:left w:val="nil"/>
              <w:bottom w:val="single" w:sz="4" w:space="0" w:color="auto"/>
              <w:right w:val="single" w:sz="4" w:space="0" w:color="auto"/>
            </w:tcBorders>
            <w:shd w:val="clear" w:color="000000" w:fill="auto"/>
            <w:noWrap/>
            <w:vAlign w:val="bottom"/>
            <w:hideMark/>
          </w:tcPr>
          <w:p w14:paraId="5A7553E6" w14:textId="77777777" w:rsidR="00DD6CD0" w:rsidRPr="00E257FC" w:rsidRDefault="00DD6CD0" w:rsidP="00501559">
            <w:pPr>
              <w:jc w:val="center"/>
              <w:rPr>
                <w:color w:val="000000"/>
                <w:sz w:val="22"/>
                <w:szCs w:val="22"/>
              </w:rPr>
            </w:pPr>
            <w:r w:rsidRPr="00E257FC">
              <w:rPr>
                <w:color w:val="000000"/>
                <w:sz w:val="22"/>
                <w:szCs w:val="22"/>
              </w:rPr>
              <w:t>$1</w:t>
            </w:r>
            <w:r>
              <w:rPr>
                <w:color w:val="000000"/>
                <w:sz w:val="22"/>
                <w:szCs w:val="22"/>
              </w:rPr>
              <w:t>84</w:t>
            </w:r>
            <w:r w:rsidRPr="00E257FC">
              <w:rPr>
                <w:color w:val="000000"/>
                <w:sz w:val="22"/>
                <w:szCs w:val="22"/>
              </w:rPr>
              <w:t>,</w:t>
            </w:r>
            <w:r>
              <w:rPr>
                <w:color w:val="000000"/>
                <w:sz w:val="22"/>
                <w:szCs w:val="22"/>
              </w:rPr>
              <w:t>34</w:t>
            </w:r>
            <w:r w:rsidRPr="00E257FC">
              <w:rPr>
                <w:color w:val="000000"/>
                <w:sz w:val="22"/>
                <w:szCs w:val="22"/>
              </w:rPr>
              <w:t>6</w:t>
            </w:r>
          </w:p>
        </w:tc>
        <w:tc>
          <w:tcPr>
            <w:tcW w:w="1677" w:type="dxa"/>
            <w:tcBorders>
              <w:top w:val="nil"/>
              <w:left w:val="nil"/>
              <w:bottom w:val="single" w:sz="4" w:space="0" w:color="auto"/>
              <w:right w:val="single" w:sz="4" w:space="0" w:color="auto"/>
            </w:tcBorders>
            <w:shd w:val="clear" w:color="000000" w:fill="auto"/>
            <w:noWrap/>
            <w:vAlign w:val="bottom"/>
            <w:hideMark/>
          </w:tcPr>
          <w:p w14:paraId="622081FC" w14:textId="77777777" w:rsidR="00DD6CD0" w:rsidRPr="00E257FC" w:rsidRDefault="00DD6CD0" w:rsidP="00501559">
            <w:pPr>
              <w:jc w:val="center"/>
              <w:rPr>
                <w:color w:val="000000"/>
                <w:sz w:val="22"/>
                <w:szCs w:val="22"/>
              </w:rPr>
            </w:pPr>
            <w:r w:rsidRPr="00E257FC">
              <w:rPr>
                <w:color w:val="000000"/>
                <w:sz w:val="22"/>
                <w:szCs w:val="22"/>
              </w:rPr>
              <w:t>1</w:t>
            </w:r>
            <w:r>
              <w:rPr>
                <w:color w:val="000000"/>
                <w:sz w:val="22"/>
                <w:szCs w:val="22"/>
              </w:rPr>
              <w:t>05</w:t>
            </w:r>
            <w:r w:rsidRPr="00E257FC">
              <w:rPr>
                <w:color w:val="000000"/>
                <w:sz w:val="22"/>
                <w:szCs w:val="22"/>
              </w:rPr>
              <w:t>,</w:t>
            </w:r>
            <w:r>
              <w:rPr>
                <w:color w:val="000000"/>
                <w:sz w:val="22"/>
                <w:szCs w:val="22"/>
              </w:rPr>
              <w:t>343</w:t>
            </w:r>
          </w:p>
        </w:tc>
        <w:tc>
          <w:tcPr>
            <w:tcW w:w="1119" w:type="dxa"/>
            <w:tcBorders>
              <w:top w:val="single" w:sz="4" w:space="0" w:color="auto"/>
              <w:left w:val="nil"/>
              <w:bottom w:val="single" w:sz="4" w:space="0" w:color="auto"/>
              <w:right w:val="single" w:sz="4" w:space="0" w:color="auto"/>
            </w:tcBorders>
            <w:shd w:val="clear" w:color="000000" w:fill="auto"/>
            <w:vAlign w:val="bottom"/>
          </w:tcPr>
          <w:p w14:paraId="14277BD0" w14:textId="77777777" w:rsidR="00DD6CD0" w:rsidRPr="00E257FC" w:rsidRDefault="00DD6CD0" w:rsidP="00501559">
            <w:pPr>
              <w:jc w:val="center"/>
              <w:rPr>
                <w:color w:val="000000"/>
                <w:sz w:val="22"/>
                <w:szCs w:val="22"/>
              </w:rPr>
            </w:pPr>
          </w:p>
        </w:tc>
        <w:tc>
          <w:tcPr>
            <w:tcW w:w="1831" w:type="dxa"/>
            <w:tcBorders>
              <w:top w:val="nil"/>
              <w:left w:val="single" w:sz="4" w:space="0" w:color="auto"/>
              <w:bottom w:val="single" w:sz="4" w:space="0" w:color="auto"/>
              <w:right w:val="single" w:sz="4" w:space="0" w:color="auto"/>
            </w:tcBorders>
            <w:shd w:val="clear" w:color="000000" w:fill="auto"/>
            <w:noWrap/>
            <w:vAlign w:val="bottom"/>
            <w:hideMark/>
          </w:tcPr>
          <w:p w14:paraId="49C5972E" w14:textId="77777777" w:rsidR="00DD6CD0" w:rsidRPr="00E257FC" w:rsidRDefault="00DD6CD0" w:rsidP="00501559">
            <w:pPr>
              <w:jc w:val="center"/>
              <w:rPr>
                <w:color w:val="000000"/>
                <w:sz w:val="22"/>
                <w:szCs w:val="22"/>
              </w:rPr>
            </w:pPr>
            <w:r w:rsidRPr="00E257FC">
              <w:rPr>
                <w:color w:val="000000"/>
                <w:sz w:val="22"/>
                <w:szCs w:val="22"/>
              </w:rPr>
              <w:t>100.0%</w:t>
            </w:r>
          </w:p>
        </w:tc>
        <w:tc>
          <w:tcPr>
            <w:tcW w:w="1394" w:type="dxa"/>
            <w:tcBorders>
              <w:top w:val="nil"/>
              <w:left w:val="nil"/>
              <w:bottom w:val="single" w:sz="4" w:space="0" w:color="auto"/>
              <w:right w:val="single" w:sz="4" w:space="0" w:color="auto"/>
            </w:tcBorders>
            <w:shd w:val="clear" w:color="000000" w:fill="auto"/>
            <w:noWrap/>
            <w:vAlign w:val="bottom"/>
            <w:hideMark/>
          </w:tcPr>
          <w:p w14:paraId="3C459787" w14:textId="77777777" w:rsidR="00DD6CD0" w:rsidRPr="00E257FC" w:rsidRDefault="00DD6CD0" w:rsidP="00501559">
            <w:pPr>
              <w:jc w:val="center"/>
              <w:rPr>
                <w:color w:val="000000"/>
                <w:sz w:val="22"/>
                <w:szCs w:val="22"/>
              </w:rPr>
            </w:pPr>
            <w:r w:rsidRPr="00E257FC">
              <w:rPr>
                <w:color w:val="000000"/>
                <w:sz w:val="22"/>
                <w:szCs w:val="22"/>
              </w:rPr>
              <w:t>100.0%</w:t>
            </w:r>
          </w:p>
        </w:tc>
      </w:tr>
    </w:tbl>
    <w:p w14:paraId="3A9D0A89" w14:textId="77777777" w:rsidR="00DD6CD0" w:rsidRDefault="00DD6CD0" w:rsidP="00DD6CD0">
      <w:pPr>
        <w:rPr>
          <w:rFonts w:ascii="Arial" w:hAnsi="Arial" w:cs="Arial"/>
          <w:sz w:val="20"/>
          <w:szCs w:val="20"/>
        </w:rPr>
      </w:pPr>
      <w:r w:rsidRPr="00FD1B97">
        <w:rPr>
          <w:rFonts w:ascii="Arial" w:hAnsi="Arial" w:cs="Arial"/>
          <w:sz w:val="20"/>
          <w:szCs w:val="20"/>
        </w:rPr>
        <w:t>Source:  NMFS FEUS 201</w:t>
      </w:r>
      <w:r>
        <w:rPr>
          <w:rFonts w:ascii="Arial" w:hAnsi="Arial" w:cs="Arial"/>
          <w:sz w:val="20"/>
          <w:szCs w:val="20"/>
        </w:rPr>
        <w:t>4</w:t>
      </w:r>
      <w:r w:rsidRPr="00FD1B97">
        <w:rPr>
          <w:rFonts w:ascii="Arial" w:hAnsi="Arial" w:cs="Arial"/>
          <w:sz w:val="20"/>
          <w:szCs w:val="20"/>
        </w:rPr>
        <w:t>.</w:t>
      </w:r>
    </w:p>
    <w:p w14:paraId="46E3BD58" w14:textId="77777777" w:rsidR="00AE3C2C" w:rsidRDefault="00AE3C2C" w:rsidP="00DD6CD0">
      <w:pPr>
        <w:rPr>
          <w:rFonts w:ascii="Arial" w:hAnsi="Arial" w:cs="Arial"/>
          <w:sz w:val="20"/>
          <w:szCs w:val="20"/>
        </w:rPr>
      </w:pPr>
    </w:p>
    <w:p w14:paraId="2ACCDC67" w14:textId="15E8803E" w:rsidR="00E257FC" w:rsidRDefault="00E257FC" w:rsidP="00E257FC">
      <w:pPr>
        <w:ind w:firstLine="360"/>
      </w:pPr>
      <w:r>
        <w:t xml:space="preserve">Groupers and snappers are among the ten key species/species groups in the </w:t>
      </w:r>
      <w:r w:rsidR="00286DD8">
        <w:t>R</w:t>
      </w:r>
      <w:r>
        <w:t xml:space="preserve">egion.  Landings of snappers accounted for 2.3% of the </w:t>
      </w:r>
      <w:r w:rsidR="00286DD8">
        <w:t>R</w:t>
      </w:r>
      <w:r>
        <w:t>egion’s dockside revenue in 2013 and landings of groupers accounted for 1.6% of that revenue (</w:t>
      </w:r>
      <w:r w:rsidRPr="00D46EFA">
        <w:rPr>
          <w:b/>
        </w:rPr>
        <w:t>Table 3.3.1</w:t>
      </w:r>
      <w:r>
        <w:t xml:space="preserve">).  The average annual dockside price of groupers in 2013 was $4.25 per pound and that of snappers was $3.21 per pound.  In 2012, the average dockside price </w:t>
      </w:r>
      <w:r w:rsidR="00286DD8">
        <w:t xml:space="preserve">of </w:t>
      </w:r>
      <w:r>
        <w:t xml:space="preserve">groupers was $3.93 and for snappers was $3.13 (NMFS </w:t>
      </w:r>
      <w:r w:rsidR="00C214EE">
        <w:t>2015</w:t>
      </w:r>
      <w:r>
        <w:t>).  Note that these snappers and groupers may include species that are not federally managed, such as tiger grouper.</w:t>
      </w:r>
    </w:p>
    <w:p w14:paraId="1030174A" w14:textId="77777777" w:rsidR="00E257FC" w:rsidRDefault="00E257FC" w:rsidP="00E257FC">
      <w:pPr>
        <w:ind w:firstLine="360"/>
      </w:pPr>
    </w:p>
    <w:p w14:paraId="4755CD02" w14:textId="4662F9CE" w:rsidR="00DD6CD0" w:rsidRDefault="00DD6CD0" w:rsidP="00DD6CD0">
      <w:pPr>
        <w:ind w:firstLine="360"/>
      </w:pPr>
      <w:r>
        <w:t>Groupers and snappers are among the ten key species/species groups in the Region.  Landings of snappers accounted for 1.1% of the Region’s dockside revenue in 2014 and landings of groupers accounted for 0.5% of that revenue (</w:t>
      </w:r>
      <w:r w:rsidRPr="00D46EFA">
        <w:rPr>
          <w:b/>
        </w:rPr>
        <w:t>Table 3.3.1</w:t>
      </w:r>
      <w:r>
        <w:t xml:space="preserve">).  The average annual dockside price of groupers in 2014 was $4.49 per pound and that of snappers was $3.38 per pound.  In 2013, the average dockside price of groupers was $4.24 and for snappers was $3.38 (NMFS </w:t>
      </w:r>
      <w:r w:rsidR="00C214EE">
        <w:t>2015</w:t>
      </w:r>
      <w:r>
        <w:t>).  Note that these snappers and groupers may include species that are not federally managed, such as tiger grouper.</w:t>
      </w:r>
    </w:p>
    <w:p w14:paraId="41A6A57C" w14:textId="77777777" w:rsidR="00DD6CD0" w:rsidRDefault="00DD6CD0" w:rsidP="00DD6CD0">
      <w:pPr>
        <w:ind w:firstLine="360"/>
      </w:pPr>
    </w:p>
    <w:p w14:paraId="31276522" w14:textId="77777777" w:rsidR="00DD6CD0" w:rsidRDefault="00DD6CD0" w:rsidP="00DD6CD0">
      <w:pPr>
        <w:ind w:firstLine="360"/>
      </w:pPr>
      <w:r>
        <w:t>Groupers and snappers are key species groups in all four of the South Atlantic States: East Florida (FL), Georgia (GA), North Carolina (NC) and South Carolina (SC).  Black sea bass and tilefish, which are within the snapper grouper fishery, are also key species/species groups in the Carolinas (</w:t>
      </w:r>
      <w:r w:rsidRPr="003C4B4C">
        <w:rPr>
          <w:b/>
        </w:rPr>
        <w:t>Table 3.3.2</w:t>
      </w:r>
      <w:r>
        <w:t xml:space="preserve">). </w:t>
      </w:r>
    </w:p>
    <w:p w14:paraId="681317BC" w14:textId="77777777" w:rsidR="00B45740" w:rsidRDefault="00B45740" w:rsidP="00B45740"/>
    <w:p w14:paraId="3F828028" w14:textId="77777777" w:rsidR="00B45740" w:rsidRPr="00FD1B97" w:rsidRDefault="00B45740" w:rsidP="00B45740">
      <w:pPr>
        <w:pStyle w:val="Tabletitle"/>
      </w:pPr>
      <w:bookmarkStart w:id="138" w:name="_Toc340431547"/>
      <w:r w:rsidRPr="00FD1B97">
        <w:rPr>
          <w:b/>
        </w:rPr>
        <w:t>Table 3.3.2</w:t>
      </w:r>
      <w:r w:rsidRPr="00FD1B97">
        <w:t xml:space="preserve">.  Key species/species groups in </w:t>
      </w:r>
      <w:r>
        <w:t>South Atlantic S</w:t>
      </w:r>
      <w:r w:rsidRPr="00FD1B97">
        <w:t>tates, 201</w:t>
      </w:r>
      <w:r>
        <w:t>4</w:t>
      </w:r>
      <w:r w:rsidRPr="00FD1B97">
        <w:t>.</w:t>
      </w:r>
      <w:bookmarkEnd w:id="138"/>
      <w:r w:rsidRPr="00FD1B97">
        <w:t xml:space="preserve"> </w:t>
      </w:r>
    </w:p>
    <w:tbl>
      <w:tblPr>
        <w:tblW w:w="9483" w:type="dxa"/>
        <w:tblInd w:w="93" w:type="dxa"/>
        <w:tblLook w:val="04A0" w:firstRow="1" w:lastRow="0" w:firstColumn="1" w:lastColumn="0" w:noHBand="0" w:noVBand="1"/>
      </w:tblPr>
      <w:tblGrid>
        <w:gridCol w:w="1947"/>
        <w:gridCol w:w="854"/>
        <w:gridCol w:w="1368"/>
        <w:gridCol w:w="850"/>
        <w:gridCol w:w="850"/>
        <w:gridCol w:w="854"/>
        <w:gridCol w:w="1368"/>
        <w:gridCol w:w="696"/>
        <w:gridCol w:w="696"/>
      </w:tblGrid>
      <w:tr w:rsidR="00B45740" w:rsidRPr="00E257FC" w14:paraId="24D6FC30" w14:textId="77777777" w:rsidTr="00501559">
        <w:trPr>
          <w:trHeight w:val="300"/>
        </w:trPr>
        <w:tc>
          <w:tcPr>
            <w:tcW w:w="194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7B57D9" w14:textId="77777777" w:rsidR="00B45740" w:rsidRPr="00E257FC" w:rsidRDefault="00B45740" w:rsidP="00501559">
            <w:pPr>
              <w:jc w:val="center"/>
              <w:rPr>
                <w:b/>
                <w:bCs/>
                <w:color w:val="000000"/>
                <w:sz w:val="22"/>
                <w:szCs w:val="22"/>
              </w:rPr>
            </w:pPr>
            <w:r w:rsidRPr="00E257FC">
              <w:rPr>
                <w:b/>
                <w:bCs/>
                <w:color w:val="000000"/>
                <w:sz w:val="22"/>
                <w:szCs w:val="22"/>
              </w:rPr>
              <w:t>Key Species/ Species Group</w:t>
            </w:r>
          </w:p>
        </w:tc>
        <w:tc>
          <w:tcPr>
            <w:tcW w:w="3922"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2E5E716" w14:textId="77777777" w:rsidR="00B45740" w:rsidRPr="00E257FC" w:rsidRDefault="00B45740" w:rsidP="00501559">
            <w:pPr>
              <w:jc w:val="center"/>
              <w:rPr>
                <w:b/>
                <w:bCs/>
                <w:color w:val="000000"/>
                <w:sz w:val="22"/>
                <w:szCs w:val="22"/>
              </w:rPr>
            </w:pPr>
            <w:r w:rsidRPr="00E257FC">
              <w:rPr>
                <w:b/>
                <w:bCs/>
                <w:color w:val="000000"/>
                <w:sz w:val="22"/>
                <w:szCs w:val="22"/>
              </w:rPr>
              <w:t>Dockside revenue (thousands)</w:t>
            </w:r>
          </w:p>
        </w:tc>
        <w:tc>
          <w:tcPr>
            <w:tcW w:w="3614" w:type="dxa"/>
            <w:gridSpan w:val="4"/>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78DF2D3A" w14:textId="77777777" w:rsidR="00B45740" w:rsidRPr="00E257FC" w:rsidRDefault="00B45740" w:rsidP="00501559">
            <w:pPr>
              <w:jc w:val="center"/>
              <w:rPr>
                <w:b/>
                <w:bCs/>
                <w:color w:val="000000"/>
                <w:sz w:val="22"/>
                <w:szCs w:val="22"/>
              </w:rPr>
            </w:pPr>
            <w:r w:rsidRPr="00E257FC">
              <w:rPr>
                <w:b/>
                <w:bCs/>
                <w:color w:val="000000"/>
                <w:sz w:val="22"/>
                <w:szCs w:val="22"/>
              </w:rPr>
              <w:t>Percent all dockside revenue</w:t>
            </w:r>
          </w:p>
        </w:tc>
      </w:tr>
      <w:tr w:rsidR="00B45740" w:rsidRPr="00E257FC" w14:paraId="3117B8AC" w14:textId="77777777" w:rsidTr="00501559">
        <w:trPr>
          <w:trHeight w:val="300"/>
        </w:trPr>
        <w:tc>
          <w:tcPr>
            <w:tcW w:w="194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95897D" w14:textId="77777777" w:rsidR="00B45740" w:rsidRPr="00E257FC" w:rsidRDefault="00B45740" w:rsidP="00501559">
            <w:pPr>
              <w:rPr>
                <w:b/>
                <w:bCs/>
                <w:color w:val="000000"/>
                <w:sz w:val="22"/>
                <w:szCs w:val="22"/>
              </w:rPr>
            </w:pPr>
          </w:p>
        </w:tc>
        <w:tc>
          <w:tcPr>
            <w:tcW w:w="854" w:type="dxa"/>
            <w:tcBorders>
              <w:top w:val="nil"/>
              <w:left w:val="nil"/>
              <w:bottom w:val="single" w:sz="4" w:space="0" w:color="auto"/>
              <w:right w:val="single" w:sz="4" w:space="0" w:color="auto"/>
            </w:tcBorders>
            <w:shd w:val="clear" w:color="auto" w:fill="D9D9D9" w:themeFill="background1" w:themeFillShade="D9"/>
            <w:vAlign w:val="center"/>
            <w:hideMark/>
          </w:tcPr>
          <w:p w14:paraId="11C86844" w14:textId="77777777" w:rsidR="00B45740" w:rsidRPr="00E257FC" w:rsidRDefault="00B45740" w:rsidP="00501559">
            <w:pPr>
              <w:jc w:val="center"/>
              <w:rPr>
                <w:b/>
                <w:bCs/>
                <w:color w:val="000000"/>
                <w:sz w:val="22"/>
                <w:szCs w:val="22"/>
              </w:rPr>
            </w:pPr>
            <w:r w:rsidRPr="00E257FC">
              <w:rPr>
                <w:b/>
                <w:bCs/>
                <w:color w:val="000000"/>
                <w:sz w:val="22"/>
                <w:szCs w:val="22"/>
              </w:rPr>
              <w:t>East FL</w:t>
            </w:r>
          </w:p>
        </w:tc>
        <w:tc>
          <w:tcPr>
            <w:tcW w:w="1368" w:type="dxa"/>
            <w:tcBorders>
              <w:top w:val="nil"/>
              <w:left w:val="nil"/>
              <w:bottom w:val="single" w:sz="4" w:space="0" w:color="auto"/>
              <w:right w:val="single" w:sz="4" w:space="0" w:color="auto"/>
            </w:tcBorders>
            <w:shd w:val="clear" w:color="auto" w:fill="D9D9D9" w:themeFill="background1" w:themeFillShade="D9"/>
            <w:vAlign w:val="center"/>
            <w:hideMark/>
          </w:tcPr>
          <w:p w14:paraId="5054A2BD" w14:textId="77777777" w:rsidR="00B45740" w:rsidRPr="00E257FC" w:rsidRDefault="00B45740" w:rsidP="00501559">
            <w:pPr>
              <w:jc w:val="center"/>
              <w:rPr>
                <w:b/>
                <w:bCs/>
                <w:color w:val="000000"/>
                <w:sz w:val="22"/>
                <w:szCs w:val="22"/>
              </w:rPr>
            </w:pPr>
            <w:r w:rsidRPr="00E257FC">
              <w:rPr>
                <w:b/>
                <w:bCs/>
                <w:color w:val="000000"/>
                <w:sz w:val="22"/>
                <w:szCs w:val="22"/>
              </w:rPr>
              <w:t>GA</w:t>
            </w:r>
          </w:p>
        </w:tc>
        <w:tc>
          <w:tcPr>
            <w:tcW w:w="850" w:type="dxa"/>
            <w:tcBorders>
              <w:top w:val="nil"/>
              <w:left w:val="nil"/>
              <w:bottom w:val="single" w:sz="4" w:space="0" w:color="auto"/>
              <w:right w:val="single" w:sz="4" w:space="0" w:color="auto"/>
            </w:tcBorders>
            <w:shd w:val="clear" w:color="auto" w:fill="D9D9D9" w:themeFill="background1" w:themeFillShade="D9"/>
            <w:vAlign w:val="center"/>
            <w:hideMark/>
          </w:tcPr>
          <w:p w14:paraId="59F402AD" w14:textId="77777777" w:rsidR="00B45740" w:rsidRPr="00E257FC" w:rsidRDefault="00B45740" w:rsidP="00501559">
            <w:pPr>
              <w:jc w:val="center"/>
              <w:rPr>
                <w:b/>
                <w:bCs/>
                <w:color w:val="000000"/>
                <w:sz w:val="22"/>
                <w:szCs w:val="22"/>
              </w:rPr>
            </w:pPr>
            <w:r w:rsidRPr="00E257FC">
              <w:rPr>
                <w:b/>
                <w:bCs/>
                <w:color w:val="000000"/>
                <w:sz w:val="22"/>
                <w:szCs w:val="22"/>
              </w:rPr>
              <w:t>NC</w:t>
            </w:r>
          </w:p>
        </w:tc>
        <w:tc>
          <w:tcPr>
            <w:tcW w:w="850" w:type="dxa"/>
            <w:tcBorders>
              <w:top w:val="nil"/>
              <w:left w:val="nil"/>
              <w:bottom w:val="single" w:sz="4" w:space="0" w:color="auto"/>
              <w:right w:val="single" w:sz="4" w:space="0" w:color="auto"/>
            </w:tcBorders>
            <w:shd w:val="clear" w:color="auto" w:fill="D9D9D9" w:themeFill="background1" w:themeFillShade="D9"/>
            <w:vAlign w:val="center"/>
            <w:hideMark/>
          </w:tcPr>
          <w:p w14:paraId="011794C6" w14:textId="77777777" w:rsidR="00B45740" w:rsidRPr="00E257FC" w:rsidRDefault="00B45740" w:rsidP="00501559">
            <w:pPr>
              <w:jc w:val="center"/>
              <w:rPr>
                <w:b/>
                <w:bCs/>
                <w:color w:val="000000"/>
                <w:sz w:val="22"/>
                <w:szCs w:val="22"/>
              </w:rPr>
            </w:pPr>
            <w:r w:rsidRPr="00E257FC">
              <w:rPr>
                <w:b/>
                <w:bCs/>
                <w:color w:val="000000"/>
                <w:sz w:val="22"/>
                <w:szCs w:val="22"/>
              </w:rPr>
              <w:t>SC</w:t>
            </w:r>
          </w:p>
        </w:tc>
        <w:tc>
          <w:tcPr>
            <w:tcW w:w="854" w:type="dxa"/>
            <w:tcBorders>
              <w:top w:val="nil"/>
              <w:left w:val="nil"/>
              <w:bottom w:val="single" w:sz="4" w:space="0" w:color="auto"/>
              <w:right w:val="single" w:sz="4" w:space="0" w:color="auto"/>
            </w:tcBorders>
            <w:shd w:val="clear" w:color="auto" w:fill="D9D9D9" w:themeFill="background1" w:themeFillShade="D9"/>
            <w:vAlign w:val="center"/>
            <w:hideMark/>
          </w:tcPr>
          <w:p w14:paraId="00B30EF4" w14:textId="77777777" w:rsidR="00B45740" w:rsidRPr="00E257FC" w:rsidRDefault="00B45740" w:rsidP="00501559">
            <w:pPr>
              <w:jc w:val="center"/>
              <w:rPr>
                <w:b/>
                <w:bCs/>
                <w:color w:val="000000"/>
                <w:sz w:val="22"/>
                <w:szCs w:val="22"/>
              </w:rPr>
            </w:pPr>
            <w:r w:rsidRPr="00E257FC">
              <w:rPr>
                <w:b/>
                <w:bCs/>
                <w:color w:val="000000"/>
                <w:sz w:val="22"/>
                <w:szCs w:val="22"/>
              </w:rPr>
              <w:t>East FL</w:t>
            </w:r>
          </w:p>
        </w:tc>
        <w:tc>
          <w:tcPr>
            <w:tcW w:w="1368" w:type="dxa"/>
            <w:tcBorders>
              <w:top w:val="nil"/>
              <w:left w:val="nil"/>
              <w:bottom w:val="single" w:sz="4" w:space="0" w:color="auto"/>
              <w:right w:val="single" w:sz="4" w:space="0" w:color="auto"/>
            </w:tcBorders>
            <w:shd w:val="clear" w:color="auto" w:fill="D9D9D9" w:themeFill="background1" w:themeFillShade="D9"/>
            <w:vAlign w:val="center"/>
            <w:hideMark/>
          </w:tcPr>
          <w:p w14:paraId="705161C2" w14:textId="77777777" w:rsidR="00B45740" w:rsidRPr="00E257FC" w:rsidRDefault="00B45740" w:rsidP="00501559">
            <w:pPr>
              <w:jc w:val="center"/>
              <w:rPr>
                <w:b/>
                <w:bCs/>
                <w:color w:val="000000"/>
                <w:sz w:val="22"/>
                <w:szCs w:val="22"/>
              </w:rPr>
            </w:pPr>
            <w:r w:rsidRPr="00E257FC">
              <w:rPr>
                <w:b/>
                <w:bCs/>
                <w:color w:val="000000"/>
                <w:sz w:val="22"/>
                <w:szCs w:val="22"/>
              </w:rPr>
              <w:t>GA</w:t>
            </w:r>
          </w:p>
        </w:tc>
        <w:tc>
          <w:tcPr>
            <w:tcW w:w="696" w:type="dxa"/>
            <w:tcBorders>
              <w:top w:val="nil"/>
              <w:left w:val="nil"/>
              <w:bottom w:val="single" w:sz="4" w:space="0" w:color="auto"/>
              <w:right w:val="single" w:sz="4" w:space="0" w:color="auto"/>
            </w:tcBorders>
            <w:shd w:val="clear" w:color="auto" w:fill="D9D9D9" w:themeFill="background1" w:themeFillShade="D9"/>
            <w:vAlign w:val="center"/>
            <w:hideMark/>
          </w:tcPr>
          <w:p w14:paraId="7D2040E0" w14:textId="77777777" w:rsidR="00B45740" w:rsidRPr="00E257FC" w:rsidRDefault="00B45740" w:rsidP="00501559">
            <w:pPr>
              <w:jc w:val="center"/>
              <w:rPr>
                <w:b/>
                <w:bCs/>
                <w:color w:val="000000"/>
                <w:sz w:val="22"/>
                <w:szCs w:val="22"/>
              </w:rPr>
            </w:pPr>
            <w:r w:rsidRPr="00E257FC">
              <w:rPr>
                <w:b/>
                <w:bCs/>
                <w:color w:val="000000"/>
                <w:sz w:val="22"/>
                <w:szCs w:val="22"/>
              </w:rPr>
              <w:t>NC</w:t>
            </w:r>
          </w:p>
        </w:tc>
        <w:tc>
          <w:tcPr>
            <w:tcW w:w="696" w:type="dxa"/>
            <w:tcBorders>
              <w:top w:val="nil"/>
              <w:left w:val="nil"/>
              <w:bottom w:val="single" w:sz="4" w:space="0" w:color="auto"/>
              <w:right w:val="single" w:sz="4" w:space="0" w:color="auto"/>
            </w:tcBorders>
            <w:shd w:val="clear" w:color="auto" w:fill="D9D9D9" w:themeFill="background1" w:themeFillShade="D9"/>
            <w:vAlign w:val="center"/>
            <w:hideMark/>
          </w:tcPr>
          <w:p w14:paraId="5965CA88" w14:textId="77777777" w:rsidR="00B45740" w:rsidRPr="00E257FC" w:rsidRDefault="00B45740" w:rsidP="00501559">
            <w:pPr>
              <w:jc w:val="center"/>
              <w:rPr>
                <w:b/>
                <w:bCs/>
                <w:color w:val="000000"/>
                <w:sz w:val="22"/>
                <w:szCs w:val="22"/>
              </w:rPr>
            </w:pPr>
            <w:r w:rsidRPr="00E257FC">
              <w:rPr>
                <w:b/>
                <w:bCs/>
                <w:color w:val="000000"/>
                <w:sz w:val="22"/>
                <w:szCs w:val="22"/>
              </w:rPr>
              <w:t>SC</w:t>
            </w:r>
          </w:p>
        </w:tc>
      </w:tr>
      <w:tr w:rsidR="00B45740" w:rsidRPr="00E257FC" w14:paraId="267683D9" w14:textId="77777777" w:rsidTr="00501559">
        <w:trPr>
          <w:trHeight w:val="300"/>
        </w:trPr>
        <w:tc>
          <w:tcPr>
            <w:tcW w:w="1947" w:type="dxa"/>
            <w:tcBorders>
              <w:top w:val="nil"/>
              <w:left w:val="single" w:sz="4" w:space="0" w:color="auto"/>
              <w:bottom w:val="single" w:sz="4" w:space="0" w:color="auto"/>
              <w:right w:val="single" w:sz="4" w:space="0" w:color="auto"/>
            </w:tcBorders>
            <w:shd w:val="clear" w:color="000000" w:fill="FFFFFF"/>
            <w:noWrap/>
            <w:vAlign w:val="center"/>
            <w:hideMark/>
          </w:tcPr>
          <w:p w14:paraId="76145C39" w14:textId="77777777" w:rsidR="00B45740" w:rsidRPr="00E257FC" w:rsidRDefault="00B45740" w:rsidP="00501559">
            <w:pPr>
              <w:jc w:val="center"/>
              <w:rPr>
                <w:color w:val="000000"/>
                <w:sz w:val="22"/>
                <w:szCs w:val="22"/>
              </w:rPr>
            </w:pPr>
            <w:r w:rsidRPr="00E257FC">
              <w:rPr>
                <w:color w:val="000000"/>
                <w:sz w:val="22"/>
                <w:szCs w:val="22"/>
              </w:rPr>
              <w:t>Black sea bass</w:t>
            </w:r>
          </w:p>
        </w:tc>
        <w:tc>
          <w:tcPr>
            <w:tcW w:w="854" w:type="dxa"/>
            <w:tcBorders>
              <w:top w:val="nil"/>
              <w:left w:val="nil"/>
              <w:bottom w:val="single" w:sz="4" w:space="0" w:color="auto"/>
              <w:right w:val="single" w:sz="4" w:space="0" w:color="auto"/>
            </w:tcBorders>
            <w:shd w:val="clear" w:color="auto" w:fill="auto"/>
            <w:noWrap/>
            <w:vAlign w:val="bottom"/>
            <w:hideMark/>
          </w:tcPr>
          <w:p w14:paraId="0622EA53" w14:textId="77777777" w:rsidR="00B45740" w:rsidRPr="00E257FC" w:rsidRDefault="00B45740" w:rsidP="00501559">
            <w:pPr>
              <w:jc w:val="center"/>
              <w:rPr>
                <w:color w:val="000000"/>
                <w:sz w:val="22"/>
                <w:szCs w:val="22"/>
              </w:rPr>
            </w:pPr>
            <w:r w:rsidRPr="00E257FC">
              <w:rPr>
                <w:color w:val="000000"/>
                <w:sz w:val="22"/>
                <w:szCs w:val="22"/>
              </w:rPr>
              <w:t> </w:t>
            </w:r>
          </w:p>
        </w:tc>
        <w:tc>
          <w:tcPr>
            <w:tcW w:w="1368" w:type="dxa"/>
            <w:tcBorders>
              <w:top w:val="nil"/>
              <w:left w:val="nil"/>
              <w:bottom w:val="single" w:sz="4" w:space="0" w:color="auto"/>
              <w:right w:val="single" w:sz="4" w:space="0" w:color="auto"/>
            </w:tcBorders>
            <w:shd w:val="clear" w:color="auto" w:fill="auto"/>
            <w:noWrap/>
            <w:vAlign w:val="bottom"/>
            <w:hideMark/>
          </w:tcPr>
          <w:p w14:paraId="0484301F" w14:textId="77777777" w:rsidR="00B45740" w:rsidRPr="00E257FC" w:rsidRDefault="00B45740" w:rsidP="00501559">
            <w:pPr>
              <w:jc w:val="center"/>
              <w:rPr>
                <w:color w:val="000000"/>
                <w:sz w:val="22"/>
                <w:szCs w:val="22"/>
              </w:rPr>
            </w:pPr>
            <w:r w:rsidRPr="00E257FC">
              <w:rPr>
                <w:color w:val="000000"/>
                <w:sz w:val="22"/>
                <w:szCs w:val="22"/>
              </w:rPr>
              <w:t> </w:t>
            </w:r>
          </w:p>
        </w:tc>
        <w:tc>
          <w:tcPr>
            <w:tcW w:w="850" w:type="dxa"/>
            <w:tcBorders>
              <w:top w:val="nil"/>
              <w:left w:val="nil"/>
              <w:bottom w:val="single" w:sz="4" w:space="0" w:color="auto"/>
              <w:right w:val="single" w:sz="4" w:space="0" w:color="auto"/>
            </w:tcBorders>
            <w:shd w:val="clear" w:color="000000" w:fill="FFFFFF"/>
            <w:vAlign w:val="bottom"/>
            <w:hideMark/>
          </w:tcPr>
          <w:p w14:paraId="5E36D10E" w14:textId="77777777" w:rsidR="00B45740" w:rsidRPr="00E257FC" w:rsidRDefault="00B45740" w:rsidP="00501559">
            <w:pPr>
              <w:jc w:val="center"/>
              <w:rPr>
                <w:color w:val="000000"/>
                <w:sz w:val="22"/>
                <w:szCs w:val="22"/>
              </w:rPr>
            </w:pPr>
            <w:r w:rsidRPr="00E257FC">
              <w:rPr>
                <w:color w:val="000000"/>
                <w:sz w:val="22"/>
                <w:szCs w:val="22"/>
              </w:rPr>
              <w:t>$</w:t>
            </w:r>
            <w:r>
              <w:rPr>
                <w:color w:val="000000"/>
                <w:sz w:val="22"/>
                <w:szCs w:val="22"/>
              </w:rPr>
              <w:t>1,40</w:t>
            </w:r>
            <w:r w:rsidRPr="00E257FC">
              <w:rPr>
                <w:color w:val="000000"/>
                <w:sz w:val="22"/>
                <w:szCs w:val="22"/>
              </w:rPr>
              <w:t>9</w:t>
            </w:r>
          </w:p>
        </w:tc>
        <w:tc>
          <w:tcPr>
            <w:tcW w:w="850" w:type="dxa"/>
            <w:tcBorders>
              <w:top w:val="nil"/>
              <w:left w:val="nil"/>
              <w:bottom w:val="single" w:sz="4" w:space="0" w:color="auto"/>
              <w:right w:val="single" w:sz="4" w:space="0" w:color="auto"/>
            </w:tcBorders>
            <w:shd w:val="clear" w:color="000000" w:fill="FFFFFF"/>
            <w:vAlign w:val="bottom"/>
            <w:hideMark/>
          </w:tcPr>
          <w:p w14:paraId="77FEDDF9" w14:textId="77777777" w:rsidR="00B45740" w:rsidRPr="00E257FC" w:rsidRDefault="00B45740" w:rsidP="00501559">
            <w:pPr>
              <w:jc w:val="center"/>
              <w:rPr>
                <w:color w:val="000000"/>
                <w:sz w:val="22"/>
                <w:szCs w:val="22"/>
              </w:rPr>
            </w:pPr>
            <w:r w:rsidRPr="00E257FC">
              <w:rPr>
                <w:color w:val="000000"/>
                <w:sz w:val="22"/>
                <w:szCs w:val="22"/>
              </w:rPr>
              <w:t> </w:t>
            </w:r>
            <w:r>
              <w:rPr>
                <w:color w:val="000000"/>
                <w:sz w:val="22"/>
                <w:szCs w:val="22"/>
              </w:rPr>
              <w:t>$321</w:t>
            </w:r>
          </w:p>
        </w:tc>
        <w:tc>
          <w:tcPr>
            <w:tcW w:w="854" w:type="dxa"/>
            <w:tcBorders>
              <w:top w:val="nil"/>
              <w:left w:val="nil"/>
              <w:bottom w:val="single" w:sz="4" w:space="0" w:color="auto"/>
              <w:right w:val="single" w:sz="4" w:space="0" w:color="auto"/>
            </w:tcBorders>
            <w:shd w:val="clear" w:color="auto" w:fill="auto"/>
            <w:noWrap/>
            <w:vAlign w:val="bottom"/>
            <w:hideMark/>
          </w:tcPr>
          <w:p w14:paraId="07969C23" w14:textId="77777777" w:rsidR="00B45740" w:rsidRPr="00E257FC" w:rsidRDefault="00B45740" w:rsidP="00501559">
            <w:pPr>
              <w:jc w:val="center"/>
              <w:rPr>
                <w:color w:val="000000"/>
                <w:sz w:val="22"/>
                <w:szCs w:val="22"/>
              </w:rPr>
            </w:pPr>
            <w:r w:rsidRPr="00E257FC">
              <w:rPr>
                <w:color w:val="000000"/>
                <w:sz w:val="22"/>
                <w:szCs w:val="22"/>
              </w:rPr>
              <w:t> </w:t>
            </w:r>
          </w:p>
        </w:tc>
        <w:tc>
          <w:tcPr>
            <w:tcW w:w="1368" w:type="dxa"/>
            <w:tcBorders>
              <w:top w:val="nil"/>
              <w:left w:val="nil"/>
              <w:bottom w:val="single" w:sz="4" w:space="0" w:color="auto"/>
              <w:right w:val="single" w:sz="4" w:space="0" w:color="auto"/>
            </w:tcBorders>
            <w:shd w:val="clear" w:color="auto" w:fill="auto"/>
            <w:noWrap/>
            <w:vAlign w:val="bottom"/>
            <w:hideMark/>
          </w:tcPr>
          <w:p w14:paraId="37F095CD" w14:textId="77777777" w:rsidR="00B45740" w:rsidRPr="00E257FC" w:rsidRDefault="00B45740" w:rsidP="00501559">
            <w:pPr>
              <w:jc w:val="center"/>
              <w:rPr>
                <w:color w:val="000000"/>
                <w:sz w:val="22"/>
                <w:szCs w:val="22"/>
              </w:rPr>
            </w:pPr>
            <w:r w:rsidRPr="00E257FC">
              <w:rPr>
                <w:color w:val="000000"/>
                <w:sz w:val="22"/>
                <w:szCs w:val="22"/>
              </w:rPr>
              <w:t> </w:t>
            </w:r>
          </w:p>
        </w:tc>
        <w:tc>
          <w:tcPr>
            <w:tcW w:w="696" w:type="dxa"/>
            <w:tcBorders>
              <w:top w:val="nil"/>
              <w:left w:val="nil"/>
              <w:bottom w:val="single" w:sz="4" w:space="0" w:color="auto"/>
              <w:right w:val="single" w:sz="4" w:space="0" w:color="auto"/>
            </w:tcBorders>
            <w:shd w:val="clear" w:color="auto" w:fill="auto"/>
            <w:noWrap/>
            <w:vAlign w:val="bottom"/>
            <w:hideMark/>
          </w:tcPr>
          <w:p w14:paraId="23AF9DF6" w14:textId="77777777" w:rsidR="00B45740" w:rsidRPr="00E257FC" w:rsidRDefault="00B45740" w:rsidP="00501559">
            <w:pPr>
              <w:jc w:val="center"/>
              <w:rPr>
                <w:color w:val="000000"/>
                <w:sz w:val="22"/>
                <w:szCs w:val="22"/>
              </w:rPr>
            </w:pPr>
            <w:r>
              <w:rPr>
                <w:color w:val="000000"/>
                <w:sz w:val="22"/>
                <w:szCs w:val="22"/>
              </w:rPr>
              <w:t>0</w:t>
            </w:r>
            <w:r w:rsidRPr="00E257FC">
              <w:rPr>
                <w:color w:val="000000"/>
                <w:sz w:val="22"/>
                <w:szCs w:val="22"/>
              </w:rPr>
              <w:t>.</w:t>
            </w:r>
            <w:r>
              <w:rPr>
                <w:color w:val="000000"/>
                <w:sz w:val="22"/>
                <w:szCs w:val="22"/>
              </w:rPr>
              <w:t>9</w:t>
            </w:r>
            <w:r w:rsidRPr="00E257FC">
              <w:rPr>
                <w:color w:val="000000"/>
                <w:sz w:val="22"/>
                <w:szCs w:val="22"/>
              </w:rPr>
              <w:t>%</w:t>
            </w:r>
          </w:p>
        </w:tc>
        <w:tc>
          <w:tcPr>
            <w:tcW w:w="696" w:type="dxa"/>
            <w:tcBorders>
              <w:top w:val="nil"/>
              <w:left w:val="nil"/>
              <w:bottom w:val="single" w:sz="4" w:space="0" w:color="auto"/>
              <w:right w:val="single" w:sz="4" w:space="0" w:color="auto"/>
            </w:tcBorders>
            <w:shd w:val="clear" w:color="000000" w:fill="FFFFFF"/>
            <w:vAlign w:val="bottom"/>
            <w:hideMark/>
          </w:tcPr>
          <w:p w14:paraId="234B9A98" w14:textId="77777777" w:rsidR="00B45740" w:rsidRPr="00E257FC" w:rsidRDefault="00B45740" w:rsidP="00501559">
            <w:pPr>
              <w:jc w:val="center"/>
              <w:rPr>
                <w:color w:val="000000"/>
                <w:sz w:val="22"/>
                <w:szCs w:val="22"/>
              </w:rPr>
            </w:pPr>
            <w:r w:rsidRPr="00E257FC">
              <w:rPr>
                <w:color w:val="000000"/>
                <w:sz w:val="22"/>
                <w:szCs w:val="22"/>
              </w:rPr>
              <w:t> </w:t>
            </w:r>
          </w:p>
        </w:tc>
      </w:tr>
      <w:tr w:rsidR="00B45740" w:rsidRPr="00E257FC" w14:paraId="250D5BBF" w14:textId="77777777" w:rsidTr="00501559">
        <w:trPr>
          <w:trHeight w:val="300"/>
        </w:trPr>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2BACF260" w14:textId="77777777" w:rsidR="00B45740" w:rsidRPr="00E257FC" w:rsidRDefault="00B45740" w:rsidP="00501559">
            <w:pPr>
              <w:jc w:val="center"/>
              <w:rPr>
                <w:color w:val="000000"/>
                <w:sz w:val="22"/>
                <w:szCs w:val="22"/>
              </w:rPr>
            </w:pPr>
            <w:r w:rsidRPr="00E257FC">
              <w:rPr>
                <w:color w:val="000000"/>
                <w:sz w:val="22"/>
                <w:szCs w:val="22"/>
              </w:rPr>
              <w:t>Groupers</w:t>
            </w:r>
          </w:p>
        </w:tc>
        <w:tc>
          <w:tcPr>
            <w:tcW w:w="854" w:type="dxa"/>
            <w:tcBorders>
              <w:top w:val="nil"/>
              <w:left w:val="nil"/>
              <w:bottom w:val="single" w:sz="4" w:space="0" w:color="auto"/>
              <w:right w:val="single" w:sz="4" w:space="0" w:color="auto"/>
            </w:tcBorders>
            <w:shd w:val="clear" w:color="auto" w:fill="auto"/>
            <w:noWrap/>
            <w:vAlign w:val="bottom"/>
            <w:hideMark/>
          </w:tcPr>
          <w:p w14:paraId="24DB1ED9" w14:textId="77777777" w:rsidR="00B45740" w:rsidRPr="00E257FC" w:rsidRDefault="00B45740" w:rsidP="00501559">
            <w:pPr>
              <w:jc w:val="center"/>
              <w:rPr>
                <w:color w:val="000000"/>
                <w:sz w:val="22"/>
                <w:szCs w:val="22"/>
              </w:rPr>
            </w:pPr>
            <w:r w:rsidRPr="00E257FC">
              <w:rPr>
                <w:color w:val="000000"/>
                <w:sz w:val="22"/>
                <w:szCs w:val="22"/>
              </w:rPr>
              <w:t>$</w:t>
            </w:r>
            <w:r>
              <w:rPr>
                <w:color w:val="000000"/>
                <w:sz w:val="22"/>
                <w:szCs w:val="22"/>
              </w:rPr>
              <w:t>59</w:t>
            </w:r>
            <w:r w:rsidRPr="00E257FC">
              <w:rPr>
                <w:color w:val="000000"/>
                <w:sz w:val="22"/>
                <w:szCs w:val="22"/>
              </w:rPr>
              <w:t>6</w:t>
            </w:r>
          </w:p>
        </w:tc>
        <w:tc>
          <w:tcPr>
            <w:tcW w:w="1368" w:type="dxa"/>
            <w:tcBorders>
              <w:top w:val="nil"/>
              <w:left w:val="nil"/>
              <w:bottom w:val="single" w:sz="4" w:space="0" w:color="auto"/>
              <w:right w:val="single" w:sz="4" w:space="0" w:color="auto"/>
            </w:tcBorders>
            <w:shd w:val="clear" w:color="auto" w:fill="auto"/>
            <w:noWrap/>
            <w:vAlign w:val="bottom"/>
            <w:hideMark/>
          </w:tcPr>
          <w:p w14:paraId="053B39BC" w14:textId="77777777" w:rsidR="00B45740" w:rsidRPr="00E257FC" w:rsidRDefault="00B45740" w:rsidP="00501559">
            <w:pPr>
              <w:jc w:val="center"/>
              <w:rPr>
                <w:color w:val="000000"/>
                <w:sz w:val="22"/>
                <w:szCs w:val="22"/>
              </w:rPr>
            </w:pPr>
            <w:r w:rsidRPr="00E257FC">
              <w:rPr>
                <w:color w:val="000000"/>
                <w:sz w:val="22"/>
                <w:szCs w:val="22"/>
              </w:rPr>
              <w:t>Confidential</w:t>
            </w:r>
          </w:p>
        </w:tc>
        <w:tc>
          <w:tcPr>
            <w:tcW w:w="850" w:type="dxa"/>
            <w:tcBorders>
              <w:top w:val="nil"/>
              <w:left w:val="nil"/>
              <w:bottom w:val="single" w:sz="4" w:space="0" w:color="auto"/>
              <w:right w:val="single" w:sz="4" w:space="0" w:color="auto"/>
            </w:tcBorders>
            <w:shd w:val="clear" w:color="auto" w:fill="auto"/>
            <w:noWrap/>
            <w:vAlign w:val="bottom"/>
            <w:hideMark/>
          </w:tcPr>
          <w:p w14:paraId="4C229F0A" w14:textId="77777777" w:rsidR="00B45740" w:rsidRPr="00E257FC" w:rsidRDefault="00B45740" w:rsidP="00501559">
            <w:pPr>
              <w:jc w:val="center"/>
              <w:rPr>
                <w:color w:val="000000"/>
                <w:sz w:val="22"/>
                <w:szCs w:val="22"/>
              </w:rPr>
            </w:pPr>
            <w:r w:rsidRPr="00E257FC">
              <w:rPr>
                <w:color w:val="000000"/>
                <w:sz w:val="22"/>
                <w:szCs w:val="22"/>
              </w:rPr>
              <w:t>$1,0</w:t>
            </w:r>
            <w:r>
              <w:rPr>
                <w:color w:val="000000"/>
                <w:sz w:val="22"/>
                <w:szCs w:val="22"/>
              </w:rPr>
              <w:t>57</w:t>
            </w:r>
          </w:p>
        </w:tc>
        <w:tc>
          <w:tcPr>
            <w:tcW w:w="850" w:type="dxa"/>
            <w:tcBorders>
              <w:top w:val="nil"/>
              <w:left w:val="nil"/>
              <w:bottom w:val="single" w:sz="4" w:space="0" w:color="auto"/>
              <w:right w:val="single" w:sz="4" w:space="0" w:color="auto"/>
            </w:tcBorders>
            <w:shd w:val="clear" w:color="auto" w:fill="auto"/>
            <w:noWrap/>
            <w:vAlign w:val="bottom"/>
            <w:hideMark/>
          </w:tcPr>
          <w:p w14:paraId="673C0FE2" w14:textId="77777777" w:rsidR="00B45740" w:rsidRPr="00E257FC" w:rsidRDefault="00B45740" w:rsidP="00501559">
            <w:pPr>
              <w:jc w:val="center"/>
              <w:rPr>
                <w:color w:val="000000"/>
                <w:sz w:val="22"/>
                <w:szCs w:val="22"/>
              </w:rPr>
            </w:pPr>
            <w:r w:rsidRPr="00E257FC">
              <w:rPr>
                <w:color w:val="000000"/>
                <w:sz w:val="22"/>
                <w:szCs w:val="22"/>
              </w:rPr>
              <w:t>$</w:t>
            </w:r>
            <w:r>
              <w:rPr>
                <w:color w:val="000000"/>
                <w:sz w:val="22"/>
                <w:szCs w:val="22"/>
              </w:rPr>
              <w:t>846</w:t>
            </w:r>
          </w:p>
        </w:tc>
        <w:tc>
          <w:tcPr>
            <w:tcW w:w="854" w:type="dxa"/>
            <w:tcBorders>
              <w:top w:val="nil"/>
              <w:left w:val="nil"/>
              <w:bottom w:val="single" w:sz="4" w:space="0" w:color="auto"/>
              <w:right w:val="single" w:sz="4" w:space="0" w:color="auto"/>
            </w:tcBorders>
            <w:shd w:val="clear" w:color="auto" w:fill="auto"/>
            <w:noWrap/>
            <w:vAlign w:val="bottom"/>
            <w:hideMark/>
          </w:tcPr>
          <w:p w14:paraId="063A355C" w14:textId="77777777" w:rsidR="00B45740" w:rsidRPr="00E257FC" w:rsidRDefault="00B45740" w:rsidP="00501559">
            <w:pPr>
              <w:jc w:val="center"/>
              <w:rPr>
                <w:color w:val="000000"/>
                <w:sz w:val="22"/>
                <w:szCs w:val="22"/>
              </w:rPr>
            </w:pPr>
            <w:r w:rsidRPr="00E257FC">
              <w:rPr>
                <w:color w:val="000000"/>
                <w:sz w:val="22"/>
                <w:szCs w:val="22"/>
              </w:rPr>
              <w:t>1.</w:t>
            </w:r>
            <w:r>
              <w:rPr>
                <w:color w:val="000000"/>
                <w:sz w:val="22"/>
                <w:szCs w:val="22"/>
              </w:rPr>
              <w:t>2</w:t>
            </w:r>
            <w:r w:rsidRPr="00E257FC">
              <w:rPr>
                <w:color w:val="000000"/>
                <w:sz w:val="22"/>
                <w:szCs w:val="22"/>
              </w:rPr>
              <w:t>%</w:t>
            </w:r>
          </w:p>
        </w:tc>
        <w:tc>
          <w:tcPr>
            <w:tcW w:w="1368" w:type="dxa"/>
            <w:tcBorders>
              <w:top w:val="nil"/>
              <w:left w:val="nil"/>
              <w:bottom w:val="single" w:sz="4" w:space="0" w:color="auto"/>
              <w:right w:val="single" w:sz="4" w:space="0" w:color="auto"/>
            </w:tcBorders>
            <w:shd w:val="clear" w:color="auto" w:fill="auto"/>
            <w:noWrap/>
            <w:vAlign w:val="bottom"/>
            <w:hideMark/>
          </w:tcPr>
          <w:p w14:paraId="021DBF40" w14:textId="77777777" w:rsidR="00B45740" w:rsidRPr="00E257FC" w:rsidRDefault="00B45740" w:rsidP="00501559">
            <w:pPr>
              <w:jc w:val="center"/>
              <w:rPr>
                <w:color w:val="000000"/>
                <w:sz w:val="22"/>
                <w:szCs w:val="22"/>
              </w:rPr>
            </w:pPr>
            <w:r w:rsidRPr="00E257FC">
              <w:rPr>
                <w:color w:val="000000"/>
                <w:sz w:val="22"/>
                <w:szCs w:val="22"/>
              </w:rPr>
              <w:t>Confidential</w:t>
            </w:r>
          </w:p>
        </w:tc>
        <w:tc>
          <w:tcPr>
            <w:tcW w:w="696" w:type="dxa"/>
            <w:tcBorders>
              <w:top w:val="nil"/>
              <w:left w:val="nil"/>
              <w:bottom w:val="single" w:sz="4" w:space="0" w:color="auto"/>
              <w:right w:val="single" w:sz="4" w:space="0" w:color="auto"/>
            </w:tcBorders>
            <w:shd w:val="clear" w:color="auto" w:fill="auto"/>
            <w:noWrap/>
            <w:vAlign w:val="bottom"/>
            <w:hideMark/>
          </w:tcPr>
          <w:p w14:paraId="4A3EAFE6" w14:textId="77777777" w:rsidR="00B45740" w:rsidRPr="00E257FC" w:rsidRDefault="00B45740" w:rsidP="00501559">
            <w:pPr>
              <w:jc w:val="center"/>
              <w:rPr>
                <w:color w:val="000000"/>
                <w:sz w:val="22"/>
                <w:szCs w:val="22"/>
              </w:rPr>
            </w:pPr>
            <w:r w:rsidRPr="00E257FC">
              <w:rPr>
                <w:color w:val="000000"/>
                <w:sz w:val="22"/>
                <w:szCs w:val="22"/>
              </w:rPr>
              <w:t>1.</w:t>
            </w:r>
            <w:r>
              <w:rPr>
                <w:color w:val="000000"/>
                <w:sz w:val="22"/>
                <w:szCs w:val="22"/>
              </w:rPr>
              <w:t>1</w:t>
            </w:r>
            <w:r w:rsidRPr="00E257FC">
              <w:rPr>
                <w:color w:val="000000"/>
                <w:sz w:val="22"/>
                <w:szCs w:val="22"/>
              </w:rPr>
              <w:t>%</w:t>
            </w:r>
          </w:p>
        </w:tc>
        <w:tc>
          <w:tcPr>
            <w:tcW w:w="696" w:type="dxa"/>
            <w:tcBorders>
              <w:top w:val="nil"/>
              <w:left w:val="nil"/>
              <w:bottom w:val="single" w:sz="4" w:space="0" w:color="auto"/>
              <w:right w:val="single" w:sz="4" w:space="0" w:color="auto"/>
            </w:tcBorders>
            <w:shd w:val="clear" w:color="auto" w:fill="auto"/>
            <w:noWrap/>
            <w:vAlign w:val="bottom"/>
            <w:hideMark/>
          </w:tcPr>
          <w:p w14:paraId="61EEE67E" w14:textId="77777777" w:rsidR="00B45740" w:rsidRPr="00E257FC" w:rsidRDefault="00B45740" w:rsidP="00501559">
            <w:pPr>
              <w:jc w:val="center"/>
              <w:rPr>
                <w:color w:val="000000"/>
                <w:sz w:val="22"/>
                <w:szCs w:val="22"/>
              </w:rPr>
            </w:pPr>
            <w:r w:rsidRPr="00E257FC">
              <w:rPr>
                <w:color w:val="000000"/>
                <w:sz w:val="22"/>
                <w:szCs w:val="22"/>
              </w:rPr>
              <w:t>4.3%</w:t>
            </w:r>
          </w:p>
        </w:tc>
      </w:tr>
      <w:tr w:rsidR="00B45740" w:rsidRPr="00E257FC" w14:paraId="20E506E6" w14:textId="77777777" w:rsidTr="00501559">
        <w:trPr>
          <w:trHeight w:val="300"/>
        </w:trPr>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0C857E6A" w14:textId="77777777" w:rsidR="00B45740" w:rsidRPr="00E257FC" w:rsidRDefault="00B45740" w:rsidP="00501559">
            <w:pPr>
              <w:jc w:val="center"/>
              <w:rPr>
                <w:color w:val="000000"/>
                <w:sz w:val="22"/>
                <w:szCs w:val="22"/>
              </w:rPr>
            </w:pPr>
            <w:r w:rsidRPr="00E257FC">
              <w:rPr>
                <w:color w:val="000000"/>
                <w:sz w:val="22"/>
                <w:szCs w:val="22"/>
              </w:rPr>
              <w:t>Snappers</w:t>
            </w:r>
          </w:p>
        </w:tc>
        <w:tc>
          <w:tcPr>
            <w:tcW w:w="854" w:type="dxa"/>
            <w:tcBorders>
              <w:top w:val="nil"/>
              <w:left w:val="nil"/>
              <w:bottom w:val="single" w:sz="4" w:space="0" w:color="auto"/>
              <w:right w:val="single" w:sz="4" w:space="0" w:color="auto"/>
            </w:tcBorders>
            <w:shd w:val="clear" w:color="auto" w:fill="auto"/>
            <w:noWrap/>
            <w:vAlign w:val="bottom"/>
            <w:hideMark/>
          </w:tcPr>
          <w:p w14:paraId="784F5BAE" w14:textId="77777777" w:rsidR="00B45740" w:rsidRPr="00E257FC" w:rsidRDefault="00B45740" w:rsidP="00501559">
            <w:pPr>
              <w:jc w:val="center"/>
              <w:rPr>
                <w:color w:val="000000"/>
                <w:sz w:val="22"/>
                <w:szCs w:val="22"/>
              </w:rPr>
            </w:pPr>
            <w:r w:rsidRPr="00E257FC">
              <w:rPr>
                <w:color w:val="000000"/>
                <w:sz w:val="22"/>
                <w:szCs w:val="22"/>
              </w:rPr>
              <w:t>$</w:t>
            </w:r>
            <w:r>
              <w:rPr>
                <w:color w:val="000000"/>
                <w:sz w:val="22"/>
                <w:szCs w:val="22"/>
              </w:rPr>
              <w:t>2</w:t>
            </w:r>
            <w:r w:rsidRPr="00E257FC">
              <w:rPr>
                <w:color w:val="000000"/>
                <w:sz w:val="22"/>
                <w:szCs w:val="22"/>
              </w:rPr>
              <w:t>,</w:t>
            </w:r>
            <w:r>
              <w:rPr>
                <w:color w:val="000000"/>
                <w:sz w:val="22"/>
                <w:szCs w:val="22"/>
              </w:rPr>
              <w:t>084</w:t>
            </w:r>
          </w:p>
        </w:tc>
        <w:tc>
          <w:tcPr>
            <w:tcW w:w="1368" w:type="dxa"/>
            <w:tcBorders>
              <w:top w:val="nil"/>
              <w:left w:val="nil"/>
              <w:bottom w:val="single" w:sz="4" w:space="0" w:color="auto"/>
              <w:right w:val="single" w:sz="4" w:space="0" w:color="auto"/>
            </w:tcBorders>
            <w:shd w:val="clear" w:color="auto" w:fill="auto"/>
            <w:noWrap/>
            <w:vAlign w:val="bottom"/>
            <w:hideMark/>
          </w:tcPr>
          <w:p w14:paraId="177D24BD" w14:textId="77777777" w:rsidR="00B45740" w:rsidRPr="00E257FC" w:rsidRDefault="00B45740" w:rsidP="00501559">
            <w:pPr>
              <w:jc w:val="center"/>
              <w:rPr>
                <w:color w:val="000000"/>
                <w:sz w:val="22"/>
                <w:szCs w:val="22"/>
              </w:rPr>
            </w:pPr>
            <w:r w:rsidRPr="00E257FC">
              <w:rPr>
                <w:color w:val="000000"/>
                <w:sz w:val="22"/>
                <w:szCs w:val="22"/>
              </w:rPr>
              <w:t>Confidential</w:t>
            </w:r>
          </w:p>
        </w:tc>
        <w:tc>
          <w:tcPr>
            <w:tcW w:w="850" w:type="dxa"/>
            <w:tcBorders>
              <w:top w:val="nil"/>
              <w:left w:val="nil"/>
              <w:bottom w:val="single" w:sz="4" w:space="0" w:color="auto"/>
              <w:right w:val="single" w:sz="4" w:space="0" w:color="auto"/>
            </w:tcBorders>
            <w:shd w:val="clear" w:color="auto" w:fill="auto"/>
            <w:noWrap/>
            <w:vAlign w:val="bottom"/>
            <w:hideMark/>
          </w:tcPr>
          <w:p w14:paraId="36F72A52" w14:textId="77777777" w:rsidR="00B45740" w:rsidRPr="00E257FC" w:rsidRDefault="00B45740" w:rsidP="00501559">
            <w:pPr>
              <w:jc w:val="center"/>
              <w:rPr>
                <w:color w:val="000000"/>
                <w:sz w:val="22"/>
                <w:szCs w:val="22"/>
              </w:rPr>
            </w:pPr>
            <w:r w:rsidRPr="00E257FC">
              <w:rPr>
                <w:color w:val="000000"/>
                <w:sz w:val="22"/>
                <w:szCs w:val="22"/>
              </w:rPr>
              <w:t>$</w:t>
            </w:r>
            <w:r>
              <w:rPr>
                <w:color w:val="000000"/>
                <w:sz w:val="22"/>
                <w:szCs w:val="22"/>
              </w:rPr>
              <w:t>865</w:t>
            </w:r>
          </w:p>
        </w:tc>
        <w:tc>
          <w:tcPr>
            <w:tcW w:w="850" w:type="dxa"/>
            <w:tcBorders>
              <w:top w:val="nil"/>
              <w:left w:val="nil"/>
              <w:bottom w:val="single" w:sz="4" w:space="0" w:color="auto"/>
              <w:right w:val="single" w:sz="4" w:space="0" w:color="auto"/>
            </w:tcBorders>
            <w:shd w:val="clear" w:color="auto" w:fill="auto"/>
            <w:noWrap/>
            <w:vAlign w:val="bottom"/>
            <w:hideMark/>
          </w:tcPr>
          <w:p w14:paraId="431F6674" w14:textId="77777777" w:rsidR="00B45740" w:rsidRPr="00E257FC" w:rsidRDefault="00B45740" w:rsidP="00501559">
            <w:pPr>
              <w:jc w:val="center"/>
              <w:rPr>
                <w:color w:val="000000"/>
                <w:sz w:val="22"/>
                <w:szCs w:val="22"/>
              </w:rPr>
            </w:pPr>
            <w:r w:rsidRPr="00E257FC">
              <w:rPr>
                <w:color w:val="000000"/>
                <w:sz w:val="22"/>
                <w:szCs w:val="22"/>
              </w:rPr>
              <w:t>$</w:t>
            </w:r>
            <w:r>
              <w:rPr>
                <w:color w:val="000000"/>
                <w:sz w:val="22"/>
                <w:szCs w:val="22"/>
              </w:rPr>
              <w:t>935</w:t>
            </w:r>
          </w:p>
        </w:tc>
        <w:tc>
          <w:tcPr>
            <w:tcW w:w="854" w:type="dxa"/>
            <w:tcBorders>
              <w:top w:val="nil"/>
              <w:left w:val="nil"/>
              <w:bottom w:val="single" w:sz="4" w:space="0" w:color="auto"/>
              <w:right w:val="single" w:sz="4" w:space="0" w:color="auto"/>
            </w:tcBorders>
            <w:shd w:val="clear" w:color="auto" w:fill="auto"/>
            <w:noWrap/>
            <w:vAlign w:val="bottom"/>
            <w:hideMark/>
          </w:tcPr>
          <w:p w14:paraId="26AA41BD" w14:textId="77777777" w:rsidR="00B45740" w:rsidRPr="00E257FC" w:rsidRDefault="00B45740" w:rsidP="00501559">
            <w:pPr>
              <w:jc w:val="center"/>
              <w:rPr>
                <w:color w:val="000000"/>
                <w:sz w:val="22"/>
                <w:szCs w:val="22"/>
              </w:rPr>
            </w:pPr>
            <w:r w:rsidRPr="00E257FC">
              <w:rPr>
                <w:color w:val="000000"/>
                <w:sz w:val="22"/>
                <w:szCs w:val="22"/>
              </w:rPr>
              <w:t>3.</w:t>
            </w:r>
            <w:r>
              <w:rPr>
                <w:color w:val="000000"/>
                <w:sz w:val="22"/>
                <w:szCs w:val="22"/>
              </w:rPr>
              <w:t>3</w:t>
            </w:r>
            <w:r w:rsidRPr="00E257FC">
              <w:rPr>
                <w:color w:val="000000"/>
                <w:sz w:val="22"/>
                <w:szCs w:val="22"/>
              </w:rPr>
              <w:t>%</w:t>
            </w:r>
          </w:p>
        </w:tc>
        <w:tc>
          <w:tcPr>
            <w:tcW w:w="1368" w:type="dxa"/>
            <w:tcBorders>
              <w:top w:val="nil"/>
              <w:left w:val="nil"/>
              <w:bottom w:val="single" w:sz="4" w:space="0" w:color="auto"/>
              <w:right w:val="single" w:sz="4" w:space="0" w:color="auto"/>
            </w:tcBorders>
            <w:shd w:val="clear" w:color="auto" w:fill="auto"/>
            <w:noWrap/>
            <w:vAlign w:val="bottom"/>
            <w:hideMark/>
          </w:tcPr>
          <w:p w14:paraId="6CA8C214" w14:textId="77777777" w:rsidR="00B45740" w:rsidRPr="00E257FC" w:rsidRDefault="00B45740" w:rsidP="00501559">
            <w:pPr>
              <w:jc w:val="center"/>
              <w:rPr>
                <w:color w:val="000000"/>
                <w:sz w:val="22"/>
                <w:szCs w:val="22"/>
              </w:rPr>
            </w:pPr>
            <w:r w:rsidRPr="00E257FC">
              <w:rPr>
                <w:color w:val="000000"/>
                <w:sz w:val="22"/>
                <w:szCs w:val="22"/>
              </w:rPr>
              <w:t>Confidential</w:t>
            </w:r>
          </w:p>
        </w:tc>
        <w:tc>
          <w:tcPr>
            <w:tcW w:w="696" w:type="dxa"/>
            <w:tcBorders>
              <w:top w:val="nil"/>
              <w:left w:val="nil"/>
              <w:bottom w:val="single" w:sz="4" w:space="0" w:color="auto"/>
              <w:right w:val="single" w:sz="4" w:space="0" w:color="auto"/>
            </w:tcBorders>
            <w:shd w:val="clear" w:color="auto" w:fill="auto"/>
            <w:noWrap/>
            <w:vAlign w:val="bottom"/>
            <w:hideMark/>
          </w:tcPr>
          <w:p w14:paraId="212A71FA" w14:textId="77777777" w:rsidR="00B45740" w:rsidRPr="00E257FC" w:rsidRDefault="00B45740" w:rsidP="00501559">
            <w:pPr>
              <w:jc w:val="center"/>
              <w:rPr>
                <w:color w:val="000000"/>
                <w:sz w:val="22"/>
                <w:szCs w:val="22"/>
              </w:rPr>
            </w:pPr>
            <w:r w:rsidRPr="00E257FC">
              <w:rPr>
                <w:color w:val="000000"/>
                <w:sz w:val="22"/>
                <w:szCs w:val="22"/>
              </w:rPr>
              <w:t>1.</w:t>
            </w:r>
            <w:r>
              <w:rPr>
                <w:color w:val="000000"/>
                <w:sz w:val="22"/>
                <w:szCs w:val="22"/>
              </w:rPr>
              <w:t>0</w:t>
            </w:r>
            <w:r w:rsidRPr="00E257FC">
              <w:rPr>
                <w:color w:val="000000"/>
                <w:sz w:val="22"/>
                <w:szCs w:val="22"/>
              </w:rPr>
              <w:t>%</w:t>
            </w:r>
          </w:p>
        </w:tc>
        <w:tc>
          <w:tcPr>
            <w:tcW w:w="696" w:type="dxa"/>
            <w:tcBorders>
              <w:top w:val="nil"/>
              <w:left w:val="nil"/>
              <w:bottom w:val="single" w:sz="4" w:space="0" w:color="auto"/>
              <w:right w:val="single" w:sz="4" w:space="0" w:color="auto"/>
            </w:tcBorders>
            <w:shd w:val="clear" w:color="auto" w:fill="auto"/>
            <w:noWrap/>
            <w:vAlign w:val="bottom"/>
            <w:hideMark/>
          </w:tcPr>
          <w:p w14:paraId="74634F45" w14:textId="77777777" w:rsidR="00B45740" w:rsidRPr="00E257FC" w:rsidRDefault="00B45740" w:rsidP="00501559">
            <w:pPr>
              <w:jc w:val="center"/>
              <w:rPr>
                <w:color w:val="000000"/>
                <w:sz w:val="22"/>
                <w:szCs w:val="22"/>
              </w:rPr>
            </w:pPr>
            <w:r w:rsidRPr="00E257FC">
              <w:rPr>
                <w:color w:val="000000"/>
                <w:sz w:val="22"/>
                <w:szCs w:val="22"/>
              </w:rPr>
              <w:t>4.</w:t>
            </w:r>
            <w:r>
              <w:rPr>
                <w:color w:val="000000"/>
                <w:sz w:val="22"/>
                <w:szCs w:val="22"/>
              </w:rPr>
              <w:t>7</w:t>
            </w:r>
            <w:r w:rsidRPr="00E257FC">
              <w:rPr>
                <w:color w:val="000000"/>
                <w:sz w:val="22"/>
                <w:szCs w:val="22"/>
              </w:rPr>
              <w:t>%</w:t>
            </w:r>
          </w:p>
        </w:tc>
      </w:tr>
      <w:tr w:rsidR="00B45740" w:rsidRPr="00E257FC" w14:paraId="12FCF3D1" w14:textId="77777777" w:rsidTr="00501559">
        <w:trPr>
          <w:trHeight w:val="300"/>
        </w:trPr>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0D4670B6" w14:textId="77777777" w:rsidR="00B45740" w:rsidRPr="00E257FC" w:rsidRDefault="00B45740" w:rsidP="00501559">
            <w:pPr>
              <w:jc w:val="center"/>
              <w:rPr>
                <w:color w:val="000000"/>
                <w:sz w:val="22"/>
                <w:szCs w:val="22"/>
              </w:rPr>
            </w:pPr>
            <w:r w:rsidRPr="00E257FC">
              <w:rPr>
                <w:color w:val="000000"/>
                <w:sz w:val="22"/>
                <w:szCs w:val="22"/>
              </w:rPr>
              <w:t>Tilefish</w:t>
            </w:r>
          </w:p>
        </w:tc>
        <w:tc>
          <w:tcPr>
            <w:tcW w:w="854" w:type="dxa"/>
            <w:tcBorders>
              <w:top w:val="nil"/>
              <w:left w:val="nil"/>
              <w:bottom w:val="single" w:sz="4" w:space="0" w:color="auto"/>
              <w:right w:val="single" w:sz="4" w:space="0" w:color="auto"/>
            </w:tcBorders>
            <w:shd w:val="clear" w:color="auto" w:fill="auto"/>
            <w:noWrap/>
            <w:vAlign w:val="bottom"/>
            <w:hideMark/>
          </w:tcPr>
          <w:p w14:paraId="625EB0B6" w14:textId="77777777" w:rsidR="00B45740" w:rsidRPr="00E257FC" w:rsidRDefault="00B45740" w:rsidP="00501559">
            <w:pPr>
              <w:jc w:val="center"/>
              <w:rPr>
                <w:color w:val="000000"/>
                <w:sz w:val="22"/>
                <w:szCs w:val="22"/>
              </w:rPr>
            </w:pPr>
            <w:r w:rsidRPr="00E257FC">
              <w:rPr>
                <w:color w:val="000000"/>
                <w:sz w:val="22"/>
                <w:szCs w:val="22"/>
              </w:rPr>
              <w:t> </w:t>
            </w:r>
          </w:p>
        </w:tc>
        <w:tc>
          <w:tcPr>
            <w:tcW w:w="1368" w:type="dxa"/>
            <w:tcBorders>
              <w:top w:val="nil"/>
              <w:left w:val="nil"/>
              <w:bottom w:val="single" w:sz="4" w:space="0" w:color="auto"/>
              <w:right w:val="single" w:sz="4" w:space="0" w:color="auto"/>
            </w:tcBorders>
            <w:shd w:val="clear" w:color="auto" w:fill="auto"/>
            <w:noWrap/>
            <w:vAlign w:val="bottom"/>
            <w:hideMark/>
          </w:tcPr>
          <w:p w14:paraId="65AE119A" w14:textId="77777777" w:rsidR="00B45740" w:rsidRPr="00E257FC" w:rsidRDefault="00B45740" w:rsidP="00501559">
            <w:pPr>
              <w:jc w:val="center"/>
              <w:rPr>
                <w:color w:val="000000"/>
                <w:sz w:val="22"/>
                <w:szCs w:val="22"/>
              </w:rPr>
            </w:pPr>
            <w:r w:rsidRPr="00E257FC">
              <w:rPr>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61E638D4" w14:textId="77777777" w:rsidR="00B45740" w:rsidRPr="00E257FC" w:rsidRDefault="00B45740" w:rsidP="00501559">
            <w:pPr>
              <w:jc w:val="center"/>
              <w:rPr>
                <w:color w:val="000000"/>
                <w:sz w:val="22"/>
                <w:szCs w:val="22"/>
              </w:rPr>
            </w:pPr>
            <w:r w:rsidRPr="00E257FC">
              <w:rPr>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581F0ED5" w14:textId="77777777" w:rsidR="00B45740" w:rsidRPr="00E257FC" w:rsidRDefault="00B45740" w:rsidP="00501559">
            <w:pPr>
              <w:jc w:val="center"/>
              <w:rPr>
                <w:color w:val="000000"/>
                <w:sz w:val="22"/>
                <w:szCs w:val="22"/>
              </w:rPr>
            </w:pPr>
            <w:r w:rsidRPr="00E257FC">
              <w:rPr>
                <w:color w:val="000000"/>
                <w:sz w:val="22"/>
                <w:szCs w:val="22"/>
              </w:rPr>
              <w:t>$</w:t>
            </w:r>
            <w:r>
              <w:rPr>
                <w:color w:val="000000"/>
                <w:sz w:val="22"/>
                <w:szCs w:val="22"/>
              </w:rPr>
              <w:t>47</w:t>
            </w:r>
            <w:r w:rsidRPr="00E257FC">
              <w:rPr>
                <w:color w:val="000000"/>
                <w:sz w:val="22"/>
                <w:szCs w:val="22"/>
              </w:rPr>
              <w:t>5</w:t>
            </w:r>
          </w:p>
        </w:tc>
        <w:tc>
          <w:tcPr>
            <w:tcW w:w="854" w:type="dxa"/>
            <w:tcBorders>
              <w:top w:val="nil"/>
              <w:left w:val="nil"/>
              <w:bottom w:val="single" w:sz="4" w:space="0" w:color="auto"/>
              <w:right w:val="single" w:sz="4" w:space="0" w:color="auto"/>
            </w:tcBorders>
            <w:shd w:val="clear" w:color="auto" w:fill="auto"/>
            <w:noWrap/>
            <w:vAlign w:val="bottom"/>
            <w:hideMark/>
          </w:tcPr>
          <w:p w14:paraId="3A88D7D9" w14:textId="77777777" w:rsidR="00B45740" w:rsidRPr="00E257FC" w:rsidRDefault="00B45740" w:rsidP="00501559">
            <w:pPr>
              <w:jc w:val="center"/>
              <w:rPr>
                <w:color w:val="000000"/>
                <w:sz w:val="22"/>
                <w:szCs w:val="22"/>
              </w:rPr>
            </w:pPr>
            <w:r w:rsidRPr="00E257FC">
              <w:rPr>
                <w:color w:val="000000"/>
                <w:sz w:val="22"/>
                <w:szCs w:val="22"/>
              </w:rPr>
              <w:t> </w:t>
            </w:r>
          </w:p>
        </w:tc>
        <w:tc>
          <w:tcPr>
            <w:tcW w:w="1368" w:type="dxa"/>
            <w:tcBorders>
              <w:top w:val="nil"/>
              <w:left w:val="nil"/>
              <w:bottom w:val="single" w:sz="4" w:space="0" w:color="auto"/>
              <w:right w:val="single" w:sz="4" w:space="0" w:color="auto"/>
            </w:tcBorders>
            <w:shd w:val="clear" w:color="auto" w:fill="auto"/>
            <w:noWrap/>
            <w:vAlign w:val="bottom"/>
            <w:hideMark/>
          </w:tcPr>
          <w:p w14:paraId="2ECD6AD6" w14:textId="77777777" w:rsidR="00B45740" w:rsidRPr="00E257FC" w:rsidRDefault="00B45740" w:rsidP="00501559">
            <w:pPr>
              <w:jc w:val="center"/>
              <w:rPr>
                <w:color w:val="000000"/>
                <w:sz w:val="22"/>
                <w:szCs w:val="22"/>
              </w:rPr>
            </w:pPr>
            <w:r w:rsidRPr="00E257FC">
              <w:rPr>
                <w:color w:val="000000"/>
                <w:sz w:val="22"/>
                <w:szCs w:val="22"/>
              </w:rPr>
              <w:t> </w:t>
            </w:r>
          </w:p>
        </w:tc>
        <w:tc>
          <w:tcPr>
            <w:tcW w:w="696" w:type="dxa"/>
            <w:tcBorders>
              <w:top w:val="nil"/>
              <w:left w:val="nil"/>
              <w:bottom w:val="single" w:sz="4" w:space="0" w:color="auto"/>
              <w:right w:val="single" w:sz="4" w:space="0" w:color="auto"/>
            </w:tcBorders>
            <w:shd w:val="clear" w:color="auto" w:fill="auto"/>
            <w:noWrap/>
            <w:vAlign w:val="bottom"/>
            <w:hideMark/>
          </w:tcPr>
          <w:p w14:paraId="198866C4" w14:textId="77777777" w:rsidR="00B45740" w:rsidRPr="00E257FC" w:rsidRDefault="00B45740" w:rsidP="00501559">
            <w:pPr>
              <w:jc w:val="center"/>
              <w:rPr>
                <w:color w:val="000000"/>
                <w:sz w:val="22"/>
                <w:szCs w:val="22"/>
              </w:rPr>
            </w:pPr>
            <w:r w:rsidRPr="00E257FC">
              <w:rPr>
                <w:color w:val="000000"/>
                <w:sz w:val="22"/>
                <w:szCs w:val="22"/>
              </w:rPr>
              <w:t> </w:t>
            </w:r>
          </w:p>
        </w:tc>
        <w:tc>
          <w:tcPr>
            <w:tcW w:w="696" w:type="dxa"/>
            <w:tcBorders>
              <w:top w:val="nil"/>
              <w:left w:val="nil"/>
              <w:bottom w:val="single" w:sz="4" w:space="0" w:color="auto"/>
              <w:right w:val="single" w:sz="4" w:space="0" w:color="auto"/>
            </w:tcBorders>
            <w:shd w:val="clear" w:color="auto" w:fill="auto"/>
            <w:noWrap/>
            <w:vAlign w:val="bottom"/>
            <w:hideMark/>
          </w:tcPr>
          <w:p w14:paraId="20DB2A92" w14:textId="77777777" w:rsidR="00B45740" w:rsidRPr="00E257FC" w:rsidRDefault="00B45740" w:rsidP="00501559">
            <w:pPr>
              <w:jc w:val="center"/>
              <w:rPr>
                <w:color w:val="000000"/>
                <w:sz w:val="22"/>
                <w:szCs w:val="22"/>
              </w:rPr>
            </w:pPr>
          </w:p>
        </w:tc>
      </w:tr>
    </w:tbl>
    <w:p w14:paraId="0D224510" w14:textId="77777777" w:rsidR="00B45740" w:rsidRDefault="00B45740" w:rsidP="00B45740">
      <w:r w:rsidRPr="00FD1B97">
        <w:rPr>
          <w:rFonts w:ascii="Arial" w:hAnsi="Arial" w:cs="Arial"/>
          <w:sz w:val="20"/>
          <w:szCs w:val="20"/>
        </w:rPr>
        <w:t>Source:  NMFS FEUS 201</w:t>
      </w:r>
      <w:r>
        <w:rPr>
          <w:rFonts w:ascii="Arial" w:hAnsi="Arial" w:cs="Arial"/>
          <w:sz w:val="20"/>
          <w:szCs w:val="20"/>
        </w:rPr>
        <w:t>4</w:t>
      </w:r>
      <w:r w:rsidRPr="00FD1B97">
        <w:rPr>
          <w:rFonts w:ascii="Arial" w:hAnsi="Arial" w:cs="Arial"/>
          <w:sz w:val="20"/>
          <w:szCs w:val="20"/>
        </w:rPr>
        <w:t xml:space="preserve">.  </w:t>
      </w:r>
    </w:p>
    <w:p w14:paraId="1FBDC4CB" w14:textId="77777777" w:rsidR="005F0F19" w:rsidRPr="00941184" w:rsidRDefault="005F0F19" w:rsidP="005F0F19">
      <w:pPr>
        <w:rPr>
          <w:rFonts w:ascii="Arial" w:hAnsi="Arial" w:cs="Arial"/>
          <w:b/>
        </w:rPr>
      </w:pPr>
    </w:p>
    <w:p w14:paraId="4E335E9C" w14:textId="1EB3D6FB" w:rsidR="005F0F19" w:rsidRDefault="005F0F19" w:rsidP="005F0F19">
      <w:pPr>
        <w:ind w:firstLine="360"/>
      </w:pPr>
      <w:r w:rsidRPr="0067026A">
        <w:t xml:space="preserve">The number of species within the snapper grouper fishery varied </w:t>
      </w:r>
      <w:r>
        <w:t>in recent years</w:t>
      </w:r>
      <w:r w:rsidRPr="0067026A">
        <w:t xml:space="preserve">.  </w:t>
      </w:r>
      <w:r>
        <w:t>Up until 2011, t</w:t>
      </w:r>
      <w:r w:rsidRPr="0067026A">
        <w:t>here were 7</w:t>
      </w:r>
      <w:r>
        <w:t>3 species in the fishery.  In 2012, implementation of the Comprehensive ACL Amendment (SAFMC 2011c) reduced the number of species to 60</w:t>
      </w:r>
      <w:r w:rsidRPr="0067026A">
        <w:t xml:space="preserve">.  In </w:t>
      </w:r>
      <w:r>
        <w:t>2013, blue runner was removed</w:t>
      </w:r>
      <w:r w:rsidR="00847AB4">
        <w:t xml:space="preserve"> (Amendment 27, SAFMC 2013)</w:t>
      </w:r>
      <w:r>
        <w:t xml:space="preserve">, and four more species </w:t>
      </w:r>
      <w:r w:rsidR="00847AB4">
        <w:t>were</w:t>
      </w:r>
      <w:r>
        <w:t xml:space="preserve"> removed in 2016 (Amendment 35</w:t>
      </w:r>
      <w:r w:rsidR="00847AB4">
        <w:t>, SAFMC 2015c</w:t>
      </w:r>
      <w:r>
        <w:t xml:space="preserve">):  black snapper, dog snapper, mahogany snapper, and schoolmaster.  </w:t>
      </w:r>
      <w:r w:rsidRPr="0067026A">
        <w:t>Cons</w:t>
      </w:r>
      <w:r>
        <w:t>equently, after those four are removed, there will be 55</w:t>
      </w:r>
      <w:r w:rsidRPr="0067026A">
        <w:t xml:space="preserve"> specie</w:t>
      </w:r>
      <w:r>
        <w:t xml:space="preserve">s within the fishery, and five of those species are </w:t>
      </w:r>
      <w:r w:rsidRPr="0067026A">
        <w:t xml:space="preserve">designated </w:t>
      </w:r>
      <w:r>
        <w:t>as ecosystem component species.  The 50 species with federal regulations that manage their harvest comprise 21</w:t>
      </w:r>
      <w:r w:rsidRPr="0067026A">
        <w:t xml:space="preserve"> </w:t>
      </w:r>
      <w:r>
        <w:t xml:space="preserve">individual </w:t>
      </w:r>
      <w:r w:rsidRPr="0067026A">
        <w:t xml:space="preserve">species and </w:t>
      </w:r>
      <w:r>
        <w:t xml:space="preserve">seven species groups, or complexes, each with its </w:t>
      </w:r>
      <w:r w:rsidRPr="0067026A">
        <w:t xml:space="preserve">own </w:t>
      </w:r>
      <w:r>
        <w:t>commercial ACL</w:t>
      </w:r>
      <w:r w:rsidRPr="0067026A">
        <w:t>.</w:t>
      </w:r>
    </w:p>
    <w:p w14:paraId="23C16FB9" w14:textId="77777777" w:rsidR="005F0F19" w:rsidRDefault="005F0F19" w:rsidP="005F0F19">
      <w:pPr>
        <w:ind w:firstLine="360"/>
      </w:pPr>
    </w:p>
    <w:p w14:paraId="4EE7D902" w14:textId="338DEF39" w:rsidR="005F0F19" w:rsidRPr="0067026A" w:rsidRDefault="005F0F19" w:rsidP="005F0F19">
      <w:pPr>
        <w:ind w:firstLine="360"/>
      </w:pPr>
      <w:r w:rsidRPr="0067026A">
        <w:t>Any</w:t>
      </w:r>
      <w:r>
        <w:t xml:space="preserve"> commercial fishing vessel that harvests any individual species or species group of</w:t>
      </w:r>
      <w:r w:rsidRPr="0067026A">
        <w:t xml:space="preserve"> the snapper grouper fishery </w:t>
      </w:r>
      <w:r>
        <w:t xml:space="preserve">in the South Atlantic EEZ </w:t>
      </w:r>
      <w:r w:rsidRPr="0067026A">
        <w:t>must have a valid commercial snapper grouper permit</w:t>
      </w:r>
      <w:r>
        <w:t xml:space="preserve"> that is specifically assigned to that vessel.  The permit </w:t>
      </w:r>
      <w:r w:rsidRPr="0067026A">
        <w:t xml:space="preserve">is a limited access permit for either an unlimited quantity of pounds </w:t>
      </w:r>
      <w:r>
        <w:t xml:space="preserve">(of species within the fishery) </w:t>
      </w:r>
      <w:r w:rsidRPr="0067026A">
        <w:t>per trip or no more than 225 pounds per trip.  The numbers of both valid unlimited and 225-lb permits h</w:t>
      </w:r>
      <w:r>
        <w:t xml:space="preserve">ave generally declined annually </w:t>
      </w:r>
      <w:r w:rsidRPr="0067026A">
        <w:t>resulting in increased concentration of the commercial sector of the fishery (</w:t>
      </w:r>
      <w:r>
        <w:rPr>
          <w:b/>
        </w:rPr>
        <w:t>Table 3.3.3</w:t>
      </w:r>
      <w:r w:rsidRPr="0067026A">
        <w:t xml:space="preserve">).  If the expired </w:t>
      </w:r>
      <w:r>
        <w:t>but renewable permits as of March 9, 2016</w:t>
      </w:r>
      <w:r w:rsidRPr="0067026A">
        <w:t xml:space="preserve"> become valid, the</w:t>
      </w:r>
      <w:r>
        <w:t>re would be</w:t>
      </w:r>
      <w:r w:rsidRPr="0067026A">
        <w:t xml:space="preserve"> </w:t>
      </w:r>
      <w:r>
        <w:t>555 vessels with valid unlimited and 116 vessels with</w:t>
      </w:r>
      <w:r w:rsidRPr="0067026A">
        <w:t xml:space="preserve"> </w:t>
      </w:r>
      <w:r>
        <w:t xml:space="preserve">valid trip-limited permits (225-lb).  </w:t>
      </w:r>
      <w:r w:rsidR="005E2E4F">
        <w:t>As of October 30, 2016, there were 114</w:t>
      </w:r>
      <w:r w:rsidR="00B45740">
        <w:t xml:space="preserve"> vessels with a 225-lb perm</w:t>
      </w:r>
      <w:r w:rsidR="00AE3C2C">
        <w:t xml:space="preserve">it (valid or renewable) and </w:t>
      </w:r>
      <w:r w:rsidR="005E2E4F">
        <w:t>52</w:t>
      </w:r>
      <w:r w:rsidR="00B45740">
        <w:t xml:space="preserve">1 vessels with an unlimited pounds permit (valid or renewable).  </w:t>
      </w:r>
      <w:r w:rsidRPr="0067026A">
        <w:t>Note that these permits do not allow fishing for wreckfish.  To commercial</w:t>
      </w:r>
      <w:r>
        <w:t>ly</w:t>
      </w:r>
      <w:r w:rsidRPr="0067026A">
        <w:t xml:space="preserve"> land wrec</w:t>
      </w:r>
      <w:r>
        <w:t xml:space="preserve">kfish, a vessel must </w:t>
      </w:r>
      <w:r w:rsidRPr="0067026A">
        <w:t xml:space="preserve">have </w:t>
      </w:r>
      <w:r>
        <w:t xml:space="preserve">in addition to a valid snapper grouper permit </w:t>
      </w:r>
      <w:r w:rsidRPr="0067026A">
        <w:t>a wreckfish permit</w:t>
      </w:r>
      <w:r>
        <w:t>.</w:t>
      </w:r>
      <w:r w:rsidRPr="0067026A">
        <w:t xml:space="preserve"> </w:t>
      </w:r>
      <w:r>
        <w:t>W</w:t>
      </w:r>
      <w:r w:rsidRPr="0067026A">
        <w:t xml:space="preserve">reckfish permits are limited to </w:t>
      </w:r>
      <w:r w:rsidRPr="0067026A">
        <w:lastRenderedPageBreak/>
        <w:t xml:space="preserve">those </w:t>
      </w:r>
      <w:r>
        <w:t>vessels owned by individuals/businesses w</w:t>
      </w:r>
      <w:r w:rsidRPr="0067026A">
        <w:t xml:space="preserve">ith </w:t>
      </w:r>
      <w:r>
        <w:t>shares</w:t>
      </w:r>
      <w:r w:rsidRPr="0067026A">
        <w:t xml:space="preserve"> </w:t>
      </w:r>
      <w:r>
        <w:t xml:space="preserve">in </w:t>
      </w:r>
      <w:r w:rsidRPr="0067026A">
        <w:t>the wreckfish indi</w:t>
      </w:r>
      <w:r>
        <w:t>vidual fishing quota (IFQ) program</w:t>
      </w:r>
      <w:r w:rsidRPr="0067026A">
        <w:t xml:space="preserve">. </w:t>
      </w:r>
      <w:r>
        <w:t xml:space="preserve">  </w:t>
      </w:r>
    </w:p>
    <w:p w14:paraId="2F7D0289" w14:textId="77777777" w:rsidR="005F0F19" w:rsidRPr="00AE3C2C" w:rsidRDefault="005F0F19" w:rsidP="005F0F19">
      <w:pPr>
        <w:rPr>
          <w:b/>
        </w:rPr>
      </w:pPr>
    </w:p>
    <w:p w14:paraId="3F63904A" w14:textId="77777777" w:rsidR="005F0F19" w:rsidRPr="0067026A" w:rsidRDefault="005F0F19" w:rsidP="00AE3C2C">
      <w:pPr>
        <w:pStyle w:val="Tabletitle"/>
      </w:pPr>
      <w:bookmarkStart w:id="139" w:name="_Toc304628620"/>
      <w:bookmarkStart w:id="140" w:name="_Toc340431548"/>
      <w:r w:rsidRPr="00AE3C2C">
        <w:rPr>
          <w:b/>
        </w:rPr>
        <w:t>Table 3.3.3.</w:t>
      </w:r>
      <w:r w:rsidRPr="0067026A">
        <w:t xml:space="preserve">  Numbers of valid South Atlantic commercial snapper grouper perm</w:t>
      </w:r>
      <w:r>
        <w:t>its, 2009-2016</w:t>
      </w:r>
      <w:r w:rsidRPr="0067026A">
        <w:t>.</w:t>
      </w:r>
      <w:bookmarkEnd w:id="139"/>
      <w:bookmarkEnd w:id="140"/>
      <w:r w:rsidRPr="0067026A">
        <w:t xml:space="preserve">  </w:t>
      </w:r>
    </w:p>
    <w:tbl>
      <w:tblPr>
        <w:tblW w:w="7473" w:type="dxa"/>
        <w:tblInd w:w="93" w:type="dxa"/>
        <w:tblLook w:val="04A0" w:firstRow="1" w:lastRow="0" w:firstColumn="1" w:lastColumn="0" w:noHBand="0" w:noVBand="1"/>
      </w:tblPr>
      <w:tblGrid>
        <w:gridCol w:w="960"/>
        <w:gridCol w:w="1211"/>
        <w:gridCol w:w="904"/>
        <w:gridCol w:w="1158"/>
        <w:gridCol w:w="912"/>
        <w:gridCol w:w="1158"/>
        <w:gridCol w:w="1170"/>
      </w:tblGrid>
      <w:tr w:rsidR="005F0F19" w:rsidRPr="00C33D69" w14:paraId="24B0A52F" w14:textId="77777777" w:rsidTr="00502EF8">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D9D9D9" w:themeFill="background1" w:themeFillShade="D9"/>
            <w:noWrap/>
            <w:vAlign w:val="center"/>
            <w:hideMark/>
          </w:tcPr>
          <w:p w14:paraId="69A34477" w14:textId="77777777" w:rsidR="005F0F19" w:rsidRPr="00C33D69" w:rsidRDefault="005F0F19" w:rsidP="00502EF8">
            <w:pPr>
              <w:jc w:val="center"/>
              <w:rPr>
                <w:b/>
                <w:bCs/>
                <w:color w:val="000000"/>
                <w:sz w:val="22"/>
                <w:szCs w:val="22"/>
              </w:rPr>
            </w:pPr>
            <w:r w:rsidRPr="00C33D69">
              <w:rPr>
                <w:b/>
                <w:bCs/>
                <w:color w:val="000000"/>
                <w:sz w:val="22"/>
                <w:szCs w:val="22"/>
              </w:rPr>
              <w:t>Year</w:t>
            </w:r>
          </w:p>
        </w:tc>
        <w:tc>
          <w:tcPr>
            <w:tcW w:w="2115" w:type="dxa"/>
            <w:gridSpan w:val="2"/>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3786846A" w14:textId="77777777" w:rsidR="005F0F19" w:rsidRPr="00C33D69" w:rsidRDefault="005F0F19" w:rsidP="00502EF8">
            <w:pPr>
              <w:jc w:val="center"/>
              <w:rPr>
                <w:b/>
                <w:bCs/>
                <w:color w:val="000000"/>
                <w:sz w:val="22"/>
                <w:szCs w:val="22"/>
              </w:rPr>
            </w:pPr>
            <w:r w:rsidRPr="00C33D69">
              <w:rPr>
                <w:b/>
                <w:bCs/>
                <w:color w:val="000000"/>
                <w:sz w:val="22"/>
                <w:szCs w:val="22"/>
              </w:rPr>
              <w:t>Valid permits</w:t>
            </w:r>
          </w:p>
        </w:tc>
        <w:tc>
          <w:tcPr>
            <w:tcW w:w="2070" w:type="dxa"/>
            <w:gridSpan w:val="2"/>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3E92A1A9" w14:textId="77777777" w:rsidR="005F0F19" w:rsidRPr="00C33D69" w:rsidRDefault="005F0F19" w:rsidP="00502EF8">
            <w:pPr>
              <w:jc w:val="center"/>
              <w:rPr>
                <w:b/>
                <w:bCs/>
                <w:color w:val="000000"/>
                <w:sz w:val="22"/>
                <w:szCs w:val="22"/>
              </w:rPr>
            </w:pPr>
            <w:r w:rsidRPr="00C33D69">
              <w:rPr>
                <w:b/>
                <w:bCs/>
                <w:color w:val="000000"/>
                <w:sz w:val="22"/>
                <w:szCs w:val="22"/>
              </w:rPr>
              <w:t>Change</w:t>
            </w:r>
          </w:p>
        </w:tc>
        <w:tc>
          <w:tcPr>
            <w:tcW w:w="2328" w:type="dxa"/>
            <w:gridSpan w:val="2"/>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1A50B15B" w14:textId="77777777" w:rsidR="005F0F19" w:rsidRPr="00C33D69" w:rsidRDefault="005F0F19" w:rsidP="00502EF8">
            <w:pPr>
              <w:jc w:val="center"/>
              <w:rPr>
                <w:b/>
                <w:bCs/>
                <w:color w:val="000000"/>
                <w:sz w:val="22"/>
                <w:szCs w:val="22"/>
              </w:rPr>
            </w:pPr>
            <w:r w:rsidRPr="00C33D69">
              <w:rPr>
                <w:b/>
                <w:bCs/>
                <w:color w:val="000000"/>
                <w:sz w:val="22"/>
                <w:szCs w:val="22"/>
              </w:rPr>
              <w:t>% Change</w:t>
            </w:r>
          </w:p>
        </w:tc>
      </w:tr>
      <w:tr w:rsidR="005F0F19" w:rsidRPr="00C33D69" w14:paraId="14B9F54A" w14:textId="77777777" w:rsidTr="00502EF8">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27BDCD99" w14:textId="77777777" w:rsidR="005F0F19" w:rsidRPr="00C33D69" w:rsidRDefault="005F0F19" w:rsidP="00502EF8">
            <w:pPr>
              <w:rPr>
                <w:b/>
                <w:bCs/>
                <w:color w:val="000000"/>
                <w:sz w:val="22"/>
                <w:szCs w:val="22"/>
              </w:rPr>
            </w:pPr>
          </w:p>
        </w:tc>
        <w:tc>
          <w:tcPr>
            <w:tcW w:w="1211" w:type="dxa"/>
            <w:tcBorders>
              <w:top w:val="nil"/>
              <w:left w:val="nil"/>
              <w:bottom w:val="single" w:sz="4" w:space="0" w:color="auto"/>
              <w:right w:val="single" w:sz="4" w:space="0" w:color="auto"/>
            </w:tcBorders>
            <w:shd w:val="clear" w:color="000000" w:fill="D9D9D9" w:themeFill="background1" w:themeFillShade="D9"/>
            <w:noWrap/>
            <w:vAlign w:val="center"/>
            <w:hideMark/>
          </w:tcPr>
          <w:p w14:paraId="37853209" w14:textId="77777777" w:rsidR="005F0F19" w:rsidRPr="00C33D69" w:rsidRDefault="005F0F19" w:rsidP="00502EF8">
            <w:pPr>
              <w:jc w:val="center"/>
              <w:rPr>
                <w:b/>
                <w:bCs/>
                <w:color w:val="000000"/>
                <w:sz w:val="22"/>
                <w:szCs w:val="22"/>
              </w:rPr>
            </w:pPr>
            <w:r w:rsidRPr="00C33D69">
              <w:rPr>
                <w:b/>
                <w:bCs/>
                <w:color w:val="000000"/>
                <w:sz w:val="22"/>
                <w:szCs w:val="22"/>
              </w:rPr>
              <w:t>Unlimited</w:t>
            </w:r>
          </w:p>
        </w:tc>
        <w:tc>
          <w:tcPr>
            <w:tcW w:w="904" w:type="dxa"/>
            <w:tcBorders>
              <w:top w:val="nil"/>
              <w:left w:val="nil"/>
              <w:bottom w:val="single" w:sz="4" w:space="0" w:color="auto"/>
              <w:right w:val="single" w:sz="4" w:space="0" w:color="auto"/>
            </w:tcBorders>
            <w:shd w:val="clear" w:color="000000" w:fill="D9D9D9" w:themeFill="background1" w:themeFillShade="D9"/>
            <w:noWrap/>
            <w:vAlign w:val="center"/>
            <w:hideMark/>
          </w:tcPr>
          <w:p w14:paraId="0BDD59BE" w14:textId="77777777" w:rsidR="005F0F19" w:rsidRPr="00C33D69" w:rsidRDefault="005F0F19" w:rsidP="00502EF8">
            <w:pPr>
              <w:jc w:val="center"/>
              <w:rPr>
                <w:b/>
                <w:bCs/>
                <w:color w:val="000000"/>
                <w:sz w:val="22"/>
                <w:szCs w:val="22"/>
              </w:rPr>
            </w:pPr>
            <w:r w:rsidRPr="00C33D69">
              <w:rPr>
                <w:b/>
                <w:bCs/>
                <w:color w:val="000000"/>
                <w:sz w:val="22"/>
                <w:szCs w:val="22"/>
              </w:rPr>
              <w:t>225-lb</w:t>
            </w:r>
          </w:p>
        </w:tc>
        <w:tc>
          <w:tcPr>
            <w:tcW w:w="1158" w:type="dxa"/>
            <w:tcBorders>
              <w:top w:val="nil"/>
              <w:left w:val="nil"/>
              <w:bottom w:val="single" w:sz="4" w:space="0" w:color="auto"/>
              <w:right w:val="single" w:sz="4" w:space="0" w:color="auto"/>
            </w:tcBorders>
            <w:shd w:val="clear" w:color="000000" w:fill="D9D9D9" w:themeFill="background1" w:themeFillShade="D9"/>
            <w:noWrap/>
            <w:vAlign w:val="center"/>
            <w:hideMark/>
          </w:tcPr>
          <w:p w14:paraId="45C872AA" w14:textId="77777777" w:rsidR="005F0F19" w:rsidRPr="00C33D69" w:rsidRDefault="005F0F19" w:rsidP="00502EF8">
            <w:pPr>
              <w:jc w:val="center"/>
              <w:rPr>
                <w:b/>
                <w:bCs/>
                <w:color w:val="000000"/>
                <w:sz w:val="22"/>
                <w:szCs w:val="22"/>
              </w:rPr>
            </w:pPr>
            <w:r w:rsidRPr="00C33D69">
              <w:rPr>
                <w:b/>
                <w:bCs/>
                <w:color w:val="000000"/>
                <w:sz w:val="22"/>
                <w:szCs w:val="22"/>
              </w:rPr>
              <w:t>Unlimited</w:t>
            </w:r>
          </w:p>
        </w:tc>
        <w:tc>
          <w:tcPr>
            <w:tcW w:w="912" w:type="dxa"/>
            <w:tcBorders>
              <w:top w:val="nil"/>
              <w:left w:val="nil"/>
              <w:bottom w:val="single" w:sz="4" w:space="0" w:color="auto"/>
              <w:right w:val="single" w:sz="4" w:space="0" w:color="auto"/>
            </w:tcBorders>
            <w:shd w:val="clear" w:color="000000" w:fill="D9D9D9" w:themeFill="background1" w:themeFillShade="D9"/>
            <w:noWrap/>
            <w:vAlign w:val="center"/>
            <w:hideMark/>
          </w:tcPr>
          <w:p w14:paraId="35E3B6C8" w14:textId="77777777" w:rsidR="005F0F19" w:rsidRPr="00C33D69" w:rsidRDefault="005F0F19" w:rsidP="00502EF8">
            <w:pPr>
              <w:jc w:val="center"/>
              <w:rPr>
                <w:b/>
                <w:bCs/>
                <w:color w:val="000000"/>
                <w:sz w:val="22"/>
                <w:szCs w:val="22"/>
              </w:rPr>
            </w:pPr>
            <w:r w:rsidRPr="00C33D69">
              <w:rPr>
                <w:b/>
                <w:bCs/>
                <w:color w:val="000000"/>
                <w:sz w:val="22"/>
                <w:szCs w:val="22"/>
              </w:rPr>
              <w:t>225-lb</w:t>
            </w:r>
          </w:p>
        </w:tc>
        <w:tc>
          <w:tcPr>
            <w:tcW w:w="1158" w:type="dxa"/>
            <w:tcBorders>
              <w:top w:val="nil"/>
              <w:left w:val="nil"/>
              <w:bottom w:val="single" w:sz="4" w:space="0" w:color="auto"/>
              <w:right w:val="single" w:sz="4" w:space="0" w:color="auto"/>
            </w:tcBorders>
            <w:shd w:val="clear" w:color="000000" w:fill="D9D9D9" w:themeFill="background1" w:themeFillShade="D9"/>
            <w:noWrap/>
            <w:vAlign w:val="center"/>
            <w:hideMark/>
          </w:tcPr>
          <w:p w14:paraId="7BE7D405" w14:textId="77777777" w:rsidR="005F0F19" w:rsidRPr="00C33D69" w:rsidRDefault="005F0F19" w:rsidP="00502EF8">
            <w:pPr>
              <w:jc w:val="center"/>
              <w:rPr>
                <w:b/>
                <w:bCs/>
                <w:color w:val="000000"/>
                <w:sz w:val="22"/>
                <w:szCs w:val="22"/>
              </w:rPr>
            </w:pPr>
            <w:r w:rsidRPr="00C33D69">
              <w:rPr>
                <w:b/>
                <w:bCs/>
                <w:color w:val="000000"/>
                <w:sz w:val="22"/>
                <w:szCs w:val="22"/>
              </w:rPr>
              <w:t>Unlimited</w:t>
            </w:r>
          </w:p>
        </w:tc>
        <w:tc>
          <w:tcPr>
            <w:tcW w:w="1170" w:type="dxa"/>
            <w:tcBorders>
              <w:top w:val="nil"/>
              <w:left w:val="nil"/>
              <w:bottom w:val="single" w:sz="4" w:space="0" w:color="auto"/>
              <w:right w:val="single" w:sz="4" w:space="0" w:color="auto"/>
            </w:tcBorders>
            <w:shd w:val="clear" w:color="000000" w:fill="D9D9D9" w:themeFill="background1" w:themeFillShade="D9"/>
            <w:noWrap/>
            <w:vAlign w:val="center"/>
            <w:hideMark/>
          </w:tcPr>
          <w:p w14:paraId="07BDBAF5" w14:textId="77777777" w:rsidR="005F0F19" w:rsidRPr="00C33D69" w:rsidRDefault="005F0F19" w:rsidP="00502EF8">
            <w:pPr>
              <w:jc w:val="center"/>
              <w:rPr>
                <w:b/>
                <w:bCs/>
                <w:color w:val="000000"/>
                <w:sz w:val="22"/>
                <w:szCs w:val="22"/>
              </w:rPr>
            </w:pPr>
            <w:r w:rsidRPr="00C33D69">
              <w:rPr>
                <w:b/>
                <w:bCs/>
                <w:color w:val="000000"/>
                <w:sz w:val="22"/>
                <w:szCs w:val="22"/>
              </w:rPr>
              <w:t>225-lb</w:t>
            </w:r>
          </w:p>
        </w:tc>
      </w:tr>
      <w:tr w:rsidR="005F0F19" w:rsidRPr="00C33D69" w14:paraId="6CF72930" w14:textId="77777777" w:rsidTr="00502EF8">
        <w:trPr>
          <w:trHeight w:val="300"/>
        </w:trPr>
        <w:tc>
          <w:tcPr>
            <w:tcW w:w="960" w:type="dxa"/>
            <w:tcBorders>
              <w:top w:val="nil"/>
              <w:left w:val="single" w:sz="4" w:space="0" w:color="auto"/>
              <w:bottom w:val="single" w:sz="4" w:space="0" w:color="auto"/>
              <w:right w:val="single" w:sz="4" w:space="0" w:color="auto"/>
            </w:tcBorders>
            <w:shd w:val="clear" w:color="000000" w:fill="auto"/>
            <w:noWrap/>
            <w:vAlign w:val="bottom"/>
            <w:hideMark/>
          </w:tcPr>
          <w:p w14:paraId="3D03D8C5" w14:textId="77777777" w:rsidR="005F0F19" w:rsidRPr="00906787" w:rsidRDefault="005F0F19" w:rsidP="00502EF8">
            <w:pPr>
              <w:jc w:val="center"/>
              <w:rPr>
                <w:bCs/>
                <w:color w:val="000000"/>
                <w:sz w:val="22"/>
                <w:szCs w:val="22"/>
              </w:rPr>
            </w:pPr>
            <w:r w:rsidRPr="00906787">
              <w:rPr>
                <w:bCs/>
                <w:color w:val="000000"/>
                <w:sz w:val="22"/>
                <w:szCs w:val="22"/>
              </w:rPr>
              <w:t>2009</w:t>
            </w:r>
          </w:p>
        </w:tc>
        <w:tc>
          <w:tcPr>
            <w:tcW w:w="1211" w:type="dxa"/>
            <w:tcBorders>
              <w:top w:val="nil"/>
              <w:left w:val="nil"/>
              <w:bottom w:val="single" w:sz="4" w:space="0" w:color="auto"/>
              <w:right w:val="single" w:sz="4" w:space="0" w:color="auto"/>
            </w:tcBorders>
            <w:shd w:val="clear" w:color="auto" w:fill="auto"/>
            <w:noWrap/>
            <w:vAlign w:val="bottom"/>
            <w:hideMark/>
          </w:tcPr>
          <w:p w14:paraId="579FE2F1" w14:textId="77777777" w:rsidR="005F0F19" w:rsidRPr="00C33D69" w:rsidRDefault="005F0F19" w:rsidP="00502EF8">
            <w:pPr>
              <w:jc w:val="center"/>
              <w:rPr>
                <w:color w:val="000000"/>
                <w:sz w:val="22"/>
                <w:szCs w:val="22"/>
              </w:rPr>
            </w:pPr>
            <w:r w:rsidRPr="00C33D69">
              <w:rPr>
                <w:color w:val="000000"/>
                <w:sz w:val="22"/>
                <w:szCs w:val="22"/>
              </w:rPr>
              <w:t>640</w:t>
            </w:r>
          </w:p>
        </w:tc>
        <w:tc>
          <w:tcPr>
            <w:tcW w:w="904" w:type="dxa"/>
            <w:tcBorders>
              <w:top w:val="nil"/>
              <w:left w:val="nil"/>
              <w:bottom w:val="single" w:sz="4" w:space="0" w:color="auto"/>
              <w:right w:val="single" w:sz="4" w:space="0" w:color="auto"/>
            </w:tcBorders>
            <w:shd w:val="clear" w:color="auto" w:fill="auto"/>
            <w:noWrap/>
            <w:vAlign w:val="bottom"/>
            <w:hideMark/>
          </w:tcPr>
          <w:p w14:paraId="2BD22E8A" w14:textId="77777777" w:rsidR="005F0F19" w:rsidRPr="00C33D69" w:rsidRDefault="005F0F19" w:rsidP="00502EF8">
            <w:pPr>
              <w:jc w:val="center"/>
              <w:rPr>
                <w:color w:val="000000"/>
                <w:sz w:val="22"/>
                <w:szCs w:val="22"/>
              </w:rPr>
            </w:pPr>
            <w:r w:rsidRPr="00C33D69">
              <w:rPr>
                <w:color w:val="000000"/>
                <w:sz w:val="22"/>
                <w:szCs w:val="22"/>
              </w:rPr>
              <w:t>144</w:t>
            </w:r>
          </w:p>
        </w:tc>
        <w:tc>
          <w:tcPr>
            <w:tcW w:w="1158" w:type="dxa"/>
            <w:tcBorders>
              <w:top w:val="nil"/>
              <w:left w:val="nil"/>
              <w:bottom w:val="single" w:sz="4" w:space="0" w:color="auto"/>
              <w:right w:val="single" w:sz="4" w:space="0" w:color="auto"/>
            </w:tcBorders>
            <w:shd w:val="clear" w:color="auto" w:fill="auto"/>
            <w:noWrap/>
            <w:vAlign w:val="bottom"/>
            <w:hideMark/>
          </w:tcPr>
          <w:p w14:paraId="395028B1" w14:textId="77777777" w:rsidR="005F0F19" w:rsidRPr="00C33D69" w:rsidRDefault="005F0F19" w:rsidP="00502EF8">
            <w:pPr>
              <w:jc w:val="center"/>
              <w:rPr>
                <w:color w:val="000000"/>
                <w:sz w:val="22"/>
                <w:szCs w:val="22"/>
              </w:rPr>
            </w:pPr>
            <w:r w:rsidRPr="00C33D69">
              <w:rPr>
                <w:color w:val="000000"/>
                <w:sz w:val="22"/>
                <w:szCs w:val="22"/>
              </w:rPr>
              <w:t>-25</w:t>
            </w:r>
          </w:p>
        </w:tc>
        <w:tc>
          <w:tcPr>
            <w:tcW w:w="912" w:type="dxa"/>
            <w:tcBorders>
              <w:top w:val="nil"/>
              <w:left w:val="nil"/>
              <w:bottom w:val="single" w:sz="4" w:space="0" w:color="auto"/>
              <w:right w:val="single" w:sz="4" w:space="0" w:color="auto"/>
            </w:tcBorders>
            <w:shd w:val="clear" w:color="auto" w:fill="auto"/>
            <w:noWrap/>
            <w:vAlign w:val="bottom"/>
            <w:hideMark/>
          </w:tcPr>
          <w:p w14:paraId="5335EFDB" w14:textId="77777777" w:rsidR="005F0F19" w:rsidRPr="00C33D69" w:rsidRDefault="005F0F19" w:rsidP="00502EF8">
            <w:pPr>
              <w:jc w:val="center"/>
              <w:rPr>
                <w:color w:val="000000"/>
                <w:sz w:val="22"/>
                <w:szCs w:val="22"/>
              </w:rPr>
            </w:pPr>
            <w:r w:rsidRPr="00C33D69">
              <w:rPr>
                <w:color w:val="000000"/>
                <w:sz w:val="22"/>
                <w:szCs w:val="22"/>
              </w:rPr>
              <w:t>-7</w:t>
            </w:r>
          </w:p>
        </w:tc>
        <w:tc>
          <w:tcPr>
            <w:tcW w:w="1158" w:type="dxa"/>
            <w:tcBorders>
              <w:top w:val="nil"/>
              <w:left w:val="nil"/>
              <w:bottom w:val="single" w:sz="4" w:space="0" w:color="auto"/>
              <w:right w:val="single" w:sz="4" w:space="0" w:color="auto"/>
            </w:tcBorders>
            <w:shd w:val="clear" w:color="auto" w:fill="auto"/>
            <w:noWrap/>
            <w:vAlign w:val="bottom"/>
            <w:hideMark/>
          </w:tcPr>
          <w:p w14:paraId="573F916E" w14:textId="77777777" w:rsidR="005F0F19" w:rsidRPr="00C33D69" w:rsidRDefault="005F0F19" w:rsidP="00502EF8">
            <w:pPr>
              <w:jc w:val="center"/>
              <w:rPr>
                <w:color w:val="000000"/>
                <w:sz w:val="22"/>
                <w:szCs w:val="22"/>
              </w:rPr>
            </w:pPr>
            <w:r w:rsidRPr="00C33D69">
              <w:rPr>
                <w:color w:val="000000"/>
                <w:sz w:val="22"/>
                <w:szCs w:val="22"/>
              </w:rPr>
              <w:t>-3.76%</w:t>
            </w:r>
          </w:p>
        </w:tc>
        <w:tc>
          <w:tcPr>
            <w:tcW w:w="1170" w:type="dxa"/>
            <w:tcBorders>
              <w:top w:val="nil"/>
              <w:left w:val="nil"/>
              <w:bottom w:val="single" w:sz="4" w:space="0" w:color="auto"/>
              <w:right w:val="single" w:sz="4" w:space="0" w:color="auto"/>
            </w:tcBorders>
            <w:shd w:val="clear" w:color="auto" w:fill="auto"/>
            <w:noWrap/>
            <w:vAlign w:val="bottom"/>
            <w:hideMark/>
          </w:tcPr>
          <w:p w14:paraId="3CBAFFE1" w14:textId="77777777" w:rsidR="005F0F19" w:rsidRPr="00C33D69" w:rsidRDefault="005F0F19" w:rsidP="00502EF8">
            <w:pPr>
              <w:jc w:val="center"/>
              <w:rPr>
                <w:color w:val="000000"/>
                <w:sz w:val="22"/>
                <w:szCs w:val="22"/>
              </w:rPr>
            </w:pPr>
            <w:r w:rsidRPr="00C33D69">
              <w:rPr>
                <w:color w:val="000000"/>
                <w:sz w:val="22"/>
                <w:szCs w:val="22"/>
              </w:rPr>
              <w:t>-4.64%</w:t>
            </w:r>
          </w:p>
        </w:tc>
      </w:tr>
      <w:tr w:rsidR="005F0F19" w:rsidRPr="00C33D69" w14:paraId="3C54C48B" w14:textId="77777777" w:rsidTr="00502EF8">
        <w:trPr>
          <w:trHeight w:val="300"/>
        </w:trPr>
        <w:tc>
          <w:tcPr>
            <w:tcW w:w="960" w:type="dxa"/>
            <w:tcBorders>
              <w:top w:val="nil"/>
              <w:left w:val="single" w:sz="4" w:space="0" w:color="auto"/>
              <w:bottom w:val="single" w:sz="4" w:space="0" w:color="auto"/>
              <w:right w:val="single" w:sz="4" w:space="0" w:color="auto"/>
            </w:tcBorders>
            <w:shd w:val="clear" w:color="000000" w:fill="auto"/>
            <w:noWrap/>
            <w:vAlign w:val="bottom"/>
            <w:hideMark/>
          </w:tcPr>
          <w:p w14:paraId="60F3F718" w14:textId="77777777" w:rsidR="005F0F19" w:rsidRPr="00906787" w:rsidRDefault="005F0F19" w:rsidP="00502EF8">
            <w:pPr>
              <w:jc w:val="center"/>
              <w:rPr>
                <w:bCs/>
                <w:color w:val="000000"/>
                <w:sz w:val="22"/>
                <w:szCs w:val="22"/>
              </w:rPr>
            </w:pPr>
            <w:r w:rsidRPr="00906787">
              <w:rPr>
                <w:bCs/>
                <w:color w:val="000000"/>
                <w:sz w:val="22"/>
                <w:szCs w:val="22"/>
              </w:rPr>
              <w:t>2010</w:t>
            </w:r>
          </w:p>
        </w:tc>
        <w:tc>
          <w:tcPr>
            <w:tcW w:w="1211" w:type="dxa"/>
            <w:tcBorders>
              <w:top w:val="nil"/>
              <w:left w:val="nil"/>
              <w:bottom w:val="single" w:sz="4" w:space="0" w:color="auto"/>
              <w:right w:val="single" w:sz="4" w:space="0" w:color="auto"/>
            </w:tcBorders>
            <w:shd w:val="clear" w:color="auto" w:fill="auto"/>
            <w:noWrap/>
            <w:vAlign w:val="bottom"/>
            <w:hideMark/>
          </w:tcPr>
          <w:p w14:paraId="0A5B39DA" w14:textId="77777777" w:rsidR="005F0F19" w:rsidRPr="00C33D69" w:rsidRDefault="005F0F19" w:rsidP="00502EF8">
            <w:pPr>
              <w:jc w:val="center"/>
              <w:rPr>
                <w:color w:val="000000"/>
                <w:sz w:val="22"/>
                <w:szCs w:val="22"/>
              </w:rPr>
            </w:pPr>
            <w:r w:rsidRPr="00C33D69">
              <w:rPr>
                <w:color w:val="000000"/>
                <w:sz w:val="22"/>
                <w:szCs w:val="22"/>
              </w:rPr>
              <w:t>624</w:t>
            </w:r>
          </w:p>
        </w:tc>
        <w:tc>
          <w:tcPr>
            <w:tcW w:w="904" w:type="dxa"/>
            <w:tcBorders>
              <w:top w:val="nil"/>
              <w:left w:val="nil"/>
              <w:bottom w:val="single" w:sz="4" w:space="0" w:color="auto"/>
              <w:right w:val="single" w:sz="4" w:space="0" w:color="auto"/>
            </w:tcBorders>
            <w:shd w:val="clear" w:color="auto" w:fill="auto"/>
            <w:noWrap/>
            <w:vAlign w:val="bottom"/>
            <w:hideMark/>
          </w:tcPr>
          <w:p w14:paraId="68C70369" w14:textId="77777777" w:rsidR="005F0F19" w:rsidRPr="00C33D69" w:rsidRDefault="005F0F19" w:rsidP="00502EF8">
            <w:pPr>
              <w:jc w:val="center"/>
              <w:rPr>
                <w:color w:val="000000"/>
                <w:sz w:val="22"/>
                <w:szCs w:val="22"/>
              </w:rPr>
            </w:pPr>
            <w:r w:rsidRPr="00C33D69">
              <w:rPr>
                <w:color w:val="000000"/>
                <w:sz w:val="22"/>
                <w:szCs w:val="22"/>
              </w:rPr>
              <w:t>139</w:t>
            </w:r>
          </w:p>
        </w:tc>
        <w:tc>
          <w:tcPr>
            <w:tcW w:w="1158" w:type="dxa"/>
            <w:tcBorders>
              <w:top w:val="nil"/>
              <w:left w:val="nil"/>
              <w:bottom w:val="single" w:sz="4" w:space="0" w:color="auto"/>
              <w:right w:val="single" w:sz="4" w:space="0" w:color="auto"/>
            </w:tcBorders>
            <w:shd w:val="clear" w:color="auto" w:fill="auto"/>
            <w:noWrap/>
            <w:vAlign w:val="bottom"/>
            <w:hideMark/>
          </w:tcPr>
          <w:p w14:paraId="35DABB39" w14:textId="77777777" w:rsidR="005F0F19" w:rsidRPr="00C33D69" w:rsidRDefault="005F0F19" w:rsidP="00502EF8">
            <w:pPr>
              <w:jc w:val="center"/>
              <w:rPr>
                <w:color w:val="000000"/>
                <w:sz w:val="22"/>
                <w:szCs w:val="22"/>
              </w:rPr>
            </w:pPr>
            <w:r w:rsidRPr="00C33D69">
              <w:rPr>
                <w:color w:val="000000"/>
                <w:sz w:val="22"/>
                <w:szCs w:val="22"/>
              </w:rPr>
              <w:t>-16</w:t>
            </w:r>
          </w:p>
        </w:tc>
        <w:tc>
          <w:tcPr>
            <w:tcW w:w="912" w:type="dxa"/>
            <w:tcBorders>
              <w:top w:val="nil"/>
              <w:left w:val="nil"/>
              <w:bottom w:val="single" w:sz="4" w:space="0" w:color="auto"/>
              <w:right w:val="single" w:sz="4" w:space="0" w:color="auto"/>
            </w:tcBorders>
            <w:shd w:val="clear" w:color="auto" w:fill="auto"/>
            <w:noWrap/>
            <w:vAlign w:val="bottom"/>
            <w:hideMark/>
          </w:tcPr>
          <w:p w14:paraId="234D38A6" w14:textId="77777777" w:rsidR="005F0F19" w:rsidRPr="00C33D69" w:rsidRDefault="005F0F19" w:rsidP="00502EF8">
            <w:pPr>
              <w:jc w:val="center"/>
              <w:rPr>
                <w:color w:val="000000"/>
                <w:sz w:val="22"/>
                <w:szCs w:val="22"/>
              </w:rPr>
            </w:pPr>
            <w:r w:rsidRPr="00C33D69">
              <w:rPr>
                <w:color w:val="000000"/>
                <w:sz w:val="22"/>
                <w:szCs w:val="22"/>
              </w:rPr>
              <w:t>-5</w:t>
            </w:r>
          </w:p>
        </w:tc>
        <w:tc>
          <w:tcPr>
            <w:tcW w:w="1158" w:type="dxa"/>
            <w:tcBorders>
              <w:top w:val="nil"/>
              <w:left w:val="nil"/>
              <w:bottom w:val="single" w:sz="4" w:space="0" w:color="auto"/>
              <w:right w:val="single" w:sz="4" w:space="0" w:color="auto"/>
            </w:tcBorders>
            <w:shd w:val="clear" w:color="auto" w:fill="auto"/>
            <w:noWrap/>
            <w:vAlign w:val="bottom"/>
            <w:hideMark/>
          </w:tcPr>
          <w:p w14:paraId="648301F5" w14:textId="77777777" w:rsidR="005F0F19" w:rsidRPr="00C33D69" w:rsidRDefault="005F0F19" w:rsidP="00502EF8">
            <w:pPr>
              <w:jc w:val="center"/>
              <w:rPr>
                <w:color w:val="000000"/>
                <w:sz w:val="22"/>
                <w:szCs w:val="22"/>
              </w:rPr>
            </w:pPr>
            <w:r w:rsidRPr="00C33D69">
              <w:rPr>
                <w:color w:val="000000"/>
                <w:sz w:val="22"/>
                <w:szCs w:val="22"/>
              </w:rPr>
              <w:t>-2.50%</w:t>
            </w:r>
          </w:p>
        </w:tc>
        <w:tc>
          <w:tcPr>
            <w:tcW w:w="1170" w:type="dxa"/>
            <w:tcBorders>
              <w:top w:val="nil"/>
              <w:left w:val="nil"/>
              <w:bottom w:val="single" w:sz="4" w:space="0" w:color="auto"/>
              <w:right w:val="single" w:sz="4" w:space="0" w:color="auto"/>
            </w:tcBorders>
            <w:shd w:val="clear" w:color="auto" w:fill="auto"/>
            <w:noWrap/>
            <w:vAlign w:val="bottom"/>
            <w:hideMark/>
          </w:tcPr>
          <w:p w14:paraId="10EF030D" w14:textId="77777777" w:rsidR="005F0F19" w:rsidRPr="00C33D69" w:rsidRDefault="005F0F19" w:rsidP="00502EF8">
            <w:pPr>
              <w:jc w:val="center"/>
              <w:rPr>
                <w:color w:val="000000"/>
                <w:sz w:val="22"/>
                <w:szCs w:val="22"/>
              </w:rPr>
            </w:pPr>
            <w:r w:rsidRPr="00C33D69">
              <w:rPr>
                <w:color w:val="000000"/>
                <w:sz w:val="22"/>
                <w:szCs w:val="22"/>
              </w:rPr>
              <w:t>-3.47%</w:t>
            </w:r>
          </w:p>
        </w:tc>
      </w:tr>
      <w:tr w:rsidR="005F0F19" w:rsidRPr="00C33D69" w14:paraId="2643C1D6" w14:textId="77777777" w:rsidTr="00502EF8">
        <w:trPr>
          <w:trHeight w:val="300"/>
        </w:trPr>
        <w:tc>
          <w:tcPr>
            <w:tcW w:w="960" w:type="dxa"/>
            <w:tcBorders>
              <w:top w:val="nil"/>
              <w:left w:val="single" w:sz="4" w:space="0" w:color="auto"/>
              <w:bottom w:val="single" w:sz="4" w:space="0" w:color="auto"/>
              <w:right w:val="single" w:sz="4" w:space="0" w:color="auto"/>
            </w:tcBorders>
            <w:shd w:val="clear" w:color="000000" w:fill="auto"/>
            <w:noWrap/>
            <w:vAlign w:val="bottom"/>
            <w:hideMark/>
          </w:tcPr>
          <w:p w14:paraId="1B04D287" w14:textId="77777777" w:rsidR="005F0F19" w:rsidRPr="00906787" w:rsidRDefault="005F0F19" w:rsidP="00502EF8">
            <w:pPr>
              <w:jc w:val="center"/>
              <w:rPr>
                <w:bCs/>
                <w:color w:val="000000"/>
                <w:sz w:val="22"/>
                <w:szCs w:val="22"/>
              </w:rPr>
            </w:pPr>
            <w:r w:rsidRPr="00906787">
              <w:rPr>
                <w:bCs/>
                <w:color w:val="000000"/>
                <w:sz w:val="22"/>
                <w:szCs w:val="22"/>
              </w:rPr>
              <w:t>2011</w:t>
            </w:r>
          </w:p>
        </w:tc>
        <w:tc>
          <w:tcPr>
            <w:tcW w:w="1211" w:type="dxa"/>
            <w:tcBorders>
              <w:top w:val="nil"/>
              <w:left w:val="nil"/>
              <w:bottom w:val="single" w:sz="4" w:space="0" w:color="auto"/>
              <w:right w:val="single" w:sz="4" w:space="0" w:color="auto"/>
            </w:tcBorders>
            <w:shd w:val="clear" w:color="auto" w:fill="auto"/>
            <w:noWrap/>
            <w:vAlign w:val="bottom"/>
            <w:hideMark/>
          </w:tcPr>
          <w:p w14:paraId="230D4A34" w14:textId="77777777" w:rsidR="005F0F19" w:rsidRPr="00C33D69" w:rsidRDefault="005F0F19" w:rsidP="00502EF8">
            <w:pPr>
              <w:jc w:val="center"/>
              <w:rPr>
                <w:color w:val="000000"/>
                <w:sz w:val="22"/>
                <w:szCs w:val="22"/>
              </w:rPr>
            </w:pPr>
            <w:r w:rsidRPr="00C33D69">
              <w:rPr>
                <w:color w:val="000000"/>
                <w:sz w:val="22"/>
                <w:szCs w:val="22"/>
              </w:rPr>
              <w:t>569</w:t>
            </w:r>
          </w:p>
        </w:tc>
        <w:tc>
          <w:tcPr>
            <w:tcW w:w="904" w:type="dxa"/>
            <w:tcBorders>
              <w:top w:val="nil"/>
              <w:left w:val="nil"/>
              <w:bottom w:val="single" w:sz="4" w:space="0" w:color="auto"/>
              <w:right w:val="single" w:sz="4" w:space="0" w:color="auto"/>
            </w:tcBorders>
            <w:shd w:val="clear" w:color="auto" w:fill="auto"/>
            <w:noWrap/>
            <w:vAlign w:val="bottom"/>
            <w:hideMark/>
          </w:tcPr>
          <w:p w14:paraId="4FE47977" w14:textId="77777777" w:rsidR="005F0F19" w:rsidRPr="00C33D69" w:rsidRDefault="005F0F19" w:rsidP="00502EF8">
            <w:pPr>
              <w:jc w:val="center"/>
              <w:rPr>
                <w:color w:val="000000"/>
                <w:sz w:val="22"/>
                <w:szCs w:val="22"/>
              </w:rPr>
            </w:pPr>
            <w:r w:rsidRPr="00C33D69">
              <w:rPr>
                <w:color w:val="000000"/>
                <w:sz w:val="22"/>
                <w:szCs w:val="22"/>
              </w:rPr>
              <w:t>126</w:t>
            </w:r>
          </w:p>
        </w:tc>
        <w:tc>
          <w:tcPr>
            <w:tcW w:w="1158" w:type="dxa"/>
            <w:tcBorders>
              <w:top w:val="nil"/>
              <w:left w:val="nil"/>
              <w:bottom w:val="single" w:sz="4" w:space="0" w:color="auto"/>
              <w:right w:val="single" w:sz="4" w:space="0" w:color="auto"/>
            </w:tcBorders>
            <w:shd w:val="clear" w:color="auto" w:fill="auto"/>
            <w:noWrap/>
            <w:vAlign w:val="bottom"/>
            <w:hideMark/>
          </w:tcPr>
          <w:p w14:paraId="0B14BC80" w14:textId="77777777" w:rsidR="005F0F19" w:rsidRPr="00C33D69" w:rsidRDefault="005F0F19" w:rsidP="00502EF8">
            <w:pPr>
              <w:jc w:val="center"/>
              <w:rPr>
                <w:color w:val="000000"/>
                <w:sz w:val="22"/>
                <w:szCs w:val="22"/>
              </w:rPr>
            </w:pPr>
            <w:r w:rsidRPr="00C33D69">
              <w:rPr>
                <w:color w:val="000000"/>
                <w:sz w:val="22"/>
                <w:szCs w:val="22"/>
              </w:rPr>
              <w:t>-55</w:t>
            </w:r>
          </w:p>
        </w:tc>
        <w:tc>
          <w:tcPr>
            <w:tcW w:w="912" w:type="dxa"/>
            <w:tcBorders>
              <w:top w:val="nil"/>
              <w:left w:val="nil"/>
              <w:bottom w:val="single" w:sz="4" w:space="0" w:color="auto"/>
              <w:right w:val="single" w:sz="4" w:space="0" w:color="auto"/>
            </w:tcBorders>
            <w:shd w:val="clear" w:color="auto" w:fill="auto"/>
            <w:noWrap/>
            <w:vAlign w:val="bottom"/>
            <w:hideMark/>
          </w:tcPr>
          <w:p w14:paraId="35902E0D" w14:textId="77777777" w:rsidR="005F0F19" w:rsidRPr="00C33D69" w:rsidRDefault="005F0F19" w:rsidP="00502EF8">
            <w:pPr>
              <w:jc w:val="center"/>
              <w:rPr>
                <w:color w:val="000000"/>
                <w:sz w:val="22"/>
                <w:szCs w:val="22"/>
              </w:rPr>
            </w:pPr>
            <w:r w:rsidRPr="00C33D69">
              <w:rPr>
                <w:color w:val="000000"/>
                <w:sz w:val="22"/>
                <w:szCs w:val="22"/>
              </w:rPr>
              <w:t>-13</w:t>
            </w:r>
          </w:p>
        </w:tc>
        <w:tc>
          <w:tcPr>
            <w:tcW w:w="1158" w:type="dxa"/>
            <w:tcBorders>
              <w:top w:val="nil"/>
              <w:left w:val="nil"/>
              <w:bottom w:val="single" w:sz="4" w:space="0" w:color="auto"/>
              <w:right w:val="single" w:sz="4" w:space="0" w:color="auto"/>
            </w:tcBorders>
            <w:shd w:val="clear" w:color="auto" w:fill="auto"/>
            <w:noWrap/>
            <w:vAlign w:val="bottom"/>
            <w:hideMark/>
          </w:tcPr>
          <w:p w14:paraId="7743815C" w14:textId="77777777" w:rsidR="005F0F19" w:rsidRPr="00C33D69" w:rsidRDefault="005F0F19" w:rsidP="00502EF8">
            <w:pPr>
              <w:jc w:val="center"/>
              <w:rPr>
                <w:color w:val="000000"/>
                <w:sz w:val="22"/>
                <w:szCs w:val="22"/>
              </w:rPr>
            </w:pPr>
            <w:r w:rsidRPr="00C33D69">
              <w:rPr>
                <w:color w:val="000000"/>
                <w:sz w:val="22"/>
                <w:szCs w:val="22"/>
              </w:rPr>
              <w:t>-8.81%</w:t>
            </w:r>
          </w:p>
        </w:tc>
        <w:tc>
          <w:tcPr>
            <w:tcW w:w="1170" w:type="dxa"/>
            <w:tcBorders>
              <w:top w:val="nil"/>
              <w:left w:val="nil"/>
              <w:bottom w:val="single" w:sz="4" w:space="0" w:color="auto"/>
              <w:right w:val="single" w:sz="4" w:space="0" w:color="auto"/>
            </w:tcBorders>
            <w:shd w:val="clear" w:color="auto" w:fill="auto"/>
            <w:noWrap/>
            <w:vAlign w:val="bottom"/>
            <w:hideMark/>
          </w:tcPr>
          <w:p w14:paraId="73C6A20D" w14:textId="77777777" w:rsidR="005F0F19" w:rsidRPr="00C33D69" w:rsidRDefault="005F0F19" w:rsidP="00502EF8">
            <w:pPr>
              <w:jc w:val="center"/>
              <w:rPr>
                <w:color w:val="000000"/>
                <w:sz w:val="22"/>
                <w:szCs w:val="22"/>
              </w:rPr>
            </w:pPr>
            <w:r w:rsidRPr="00C33D69">
              <w:rPr>
                <w:color w:val="000000"/>
                <w:sz w:val="22"/>
                <w:szCs w:val="22"/>
              </w:rPr>
              <w:t>-9.35%</w:t>
            </w:r>
          </w:p>
        </w:tc>
      </w:tr>
      <w:tr w:rsidR="005F0F19" w:rsidRPr="00C33D69" w14:paraId="5A567065" w14:textId="77777777" w:rsidTr="00502EF8">
        <w:trPr>
          <w:trHeight w:val="300"/>
        </w:trPr>
        <w:tc>
          <w:tcPr>
            <w:tcW w:w="960" w:type="dxa"/>
            <w:tcBorders>
              <w:top w:val="nil"/>
              <w:left w:val="single" w:sz="4" w:space="0" w:color="auto"/>
              <w:bottom w:val="single" w:sz="4" w:space="0" w:color="auto"/>
              <w:right w:val="single" w:sz="4" w:space="0" w:color="auto"/>
            </w:tcBorders>
            <w:shd w:val="clear" w:color="000000" w:fill="auto"/>
            <w:noWrap/>
            <w:vAlign w:val="bottom"/>
            <w:hideMark/>
          </w:tcPr>
          <w:p w14:paraId="107004FD" w14:textId="77777777" w:rsidR="005F0F19" w:rsidRPr="00906787" w:rsidRDefault="005F0F19" w:rsidP="00502EF8">
            <w:pPr>
              <w:jc w:val="center"/>
              <w:rPr>
                <w:bCs/>
                <w:color w:val="000000"/>
                <w:sz w:val="22"/>
                <w:szCs w:val="22"/>
              </w:rPr>
            </w:pPr>
            <w:r w:rsidRPr="00906787">
              <w:rPr>
                <w:bCs/>
                <w:color w:val="000000"/>
                <w:sz w:val="22"/>
                <w:szCs w:val="22"/>
              </w:rPr>
              <w:t>2012</w:t>
            </w:r>
          </w:p>
        </w:tc>
        <w:tc>
          <w:tcPr>
            <w:tcW w:w="1211" w:type="dxa"/>
            <w:tcBorders>
              <w:top w:val="nil"/>
              <w:left w:val="nil"/>
              <w:bottom w:val="single" w:sz="4" w:space="0" w:color="auto"/>
              <w:right w:val="single" w:sz="4" w:space="0" w:color="auto"/>
            </w:tcBorders>
            <w:shd w:val="clear" w:color="auto" w:fill="auto"/>
            <w:noWrap/>
            <w:vAlign w:val="bottom"/>
            <w:hideMark/>
          </w:tcPr>
          <w:p w14:paraId="347C1402" w14:textId="77777777" w:rsidR="005F0F19" w:rsidRPr="00C33D69" w:rsidRDefault="005F0F19" w:rsidP="00502EF8">
            <w:pPr>
              <w:jc w:val="center"/>
              <w:rPr>
                <w:color w:val="000000"/>
                <w:sz w:val="22"/>
                <w:szCs w:val="22"/>
              </w:rPr>
            </w:pPr>
            <w:r w:rsidRPr="00C33D69">
              <w:rPr>
                <w:color w:val="000000"/>
                <w:sz w:val="22"/>
                <w:szCs w:val="22"/>
              </w:rPr>
              <w:t>558</w:t>
            </w:r>
          </w:p>
        </w:tc>
        <w:tc>
          <w:tcPr>
            <w:tcW w:w="904" w:type="dxa"/>
            <w:tcBorders>
              <w:top w:val="nil"/>
              <w:left w:val="nil"/>
              <w:bottom w:val="single" w:sz="4" w:space="0" w:color="auto"/>
              <w:right w:val="single" w:sz="4" w:space="0" w:color="auto"/>
            </w:tcBorders>
            <w:shd w:val="clear" w:color="auto" w:fill="auto"/>
            <w:noWrap/>
            <w:vAlign w:val="bottom"/>
            <w:hideMark/>
          </w:tcPr>
          <w:p w14:paraId="1718701D" w14:textId="77777777" w:rsidR="005F0F19" w:rsidRPr="00C33D69" w:rsidRDefault="005F0F19" w:rsidP="00502EF8">
            <w:pPr>
              <w:jc w:val="center"/>
              <w:rPr>
                <w:color w:val="000000"/>
                <w:sz w:val="22"/>
                <w:szCs w:val="22"/>
              </w:rPr>
            </w:pPr>
            <w:r w:rsidRPr="00C33D69">
              <w:rPr>
                <w:color w:val="000000"/>
                <w:sz w:val="22"/>
                <w:szCs w:val="22"/>
              </w:rPr>
              <w:t>123</w:t>
            </w:r>
          </w:p>
        </w:tc>
        <w:tc>
          <w:tcPr>
            <w:tcW w:w="1158" w:type="dxa"/>
            <w:tcBorders>
              <w:top w:val="nil"/>
              <w:left w:val="nil"/>
              <w:bottom w:val="single" w:sz="4" w:space="0" w:color="auto"/>
              <w:right w:val="single" w:sz="4" w:space="0" w:color="auto"/>
            </w:tcBorders>
            <w:shd w:val="clear" w:color="auto" w:fill="auto"/>
            <w:noWrap/>
            <w:vAlign w:val="bottom"/>
            <w:hideMark/>
          </w:tcPr>
          <w:p w14:paraId="1F91C4C8" w14:textId="77777777" w:rsidR="005F0F19" w:rsidRPr="00C33D69" w:rsidRDefault="005F0F19" w:rsidP="00502EF8">
            <w:pPr>
              <w:jc w:val="center"/>
              <w:rPr>
                <w:color w:val="000000"/>
                <w:sz w:val="22"/>
                <w:szCs w:val="22"/>
              </w:rPr>
            </w:pPr>
            <w:r w:rsidRPr="00C33D69">
              <w:rPr>
                <w:color w:val="000000"/>
                <w:sz w:val="22"/>
                <w:szCs w:val="22"/>
              </w:rPr>
              <w:t>-11</w:t>
            </w:r>
          </w:p>
        </w:tc>
        <w:tc>
          <w:tcPr>
            <w:tcW w:w="912" w:type="dxa"/>
            <w:tcBorders>
              <w:top w:val="nil"/>
              <w:left w:val="nil"/>
              <w:bottom w:val="single" w:sz="4" w:space="0" w:color="auto"/>
              <w:right w:val="single" w:sz="4" w:space="0" w:color="auto"/>
            </w:tcBorders>
            <w:shd w:val="clear" w:color="auto" w:fill="auto"/>
            <w:noWrap/>
            <w:vAlign w:val="bottom"/>
            <w:hideMark/>
          </w:tcPr>
          <w:p w14:paraId="3636E1A2" w14:textId="77777777" w:rsidR="005F0F19" w:rsidRPr="00C33D69" w:rsidRDefault="005F0F19" w:rsidP="00502EF8">
            <w:pPr>
              <w:jc w:val="center"/>
              <w:rPr>
                <w:color w:val="000000"/>
                <w:sz w:val="22"/>
                <w:szCs w:val="22"/>
              </w:rPr>
            </w:pPr>
            <w:r w:rsidRPr="00C33D69">
              <w:rPr>
                <w:color w:val="000000"/>
                <w:sz w:val="22"/>
                <w:szCs w:val="22"/>
              </w:rPr>
              <w:t>-3</w:t>
            </w:r>
          </w:p>
        </w:tc>
        <w:tc>
          <w:tcPr>
            <w:tcW w:w="1158" w:type="dxa"/>
            <w:tcBorders>
              <w:top w:val="nil"/>
              <w:left w:val="nil"/>
              <w:bottom w:val="single" w:sz="4" w:space="0" w:color="auto"/>
              <w:right w:val="single" w:sz="4" w:space="0" w:color="auto"/>
            </w:tcBorders>
            <w:shd w:val="clear" w:color="auto" w:fill="auto"/>
            <w:noWrap/>
            <w:vAlign w:val="bottom"/>
            <w:hideMark/>
          </w:tcPr>
          <w:p w14:paraId="727AC76F" w14:textId="77777777" w:rsidR="005F0F19" w:rsidRPr="00C33D69" w:rsidRDefault="005F0F19" w:rsidP="00502EF8">
            <w:pPr>
              <w:jc w:val="center"/>
              <w:rPr>
                <w:color w:val="000000"/>
                <w:sz w:val="22"/>
                <w:szCs w:val="22"/>
              </w:rPr>
            </w:pPr>
            <w:r w:rsidRPr="00C33D69">
              <w:rPr>
                <w:color w:val="000000"/>
                <w:sz w:val="22"/>
                <w:szCs w:val="22"/>
              </w:rPr>
              <w:t>-1.93%</w:t>
            </w:r>
          </w:p>
        </w:tc>
        <w:tc>
          <w:tcPr>
            <w:tcW w:w="1170" w:type="dxa"/>
            <w:tcBorders>
              <w:top w:val="nil"/>
              <w:left w:val="nil"/>
              <w:bottom w:val="single" w:sz="4" w:space="0" w:color="auto"/>
              <w:right w:val="single" w:sz="4" w:space="0" w:color="auto"/>
            </w:tcBorders>
            <w:shd w:val="clear" w:color="auto" w:fill="auto"/>
            <w:noWrap/>
            <w:vAlign w:val="bottom"/>
            <w:hideMark/>
          </w:tcPr>
          <w:p w14:paraId="6B41E761" w14:textId="77777777" w:rsidR="005F0F19" w:rsidRPr="00C33D69" w:rsidRDefault="005F0F19" w:rsidP="00502EF8">
            <w:pPr>
              <w:jc w:val="center"/>
              <w:rPr>
                <w:color w:val="000000"/>
                <w:sz w:val="22"/>
                <w:szCs w:val="22"/>
              </w:rPr>
            </w:pPr>
            <w:r w:rsidRPr="00C33D69">
              <w:rPr>
                <w:color w:val="000000"/>
                <w:sz w:val="22"/>
                <w:szCs w:val="22"/>
              </w:rPr>
              <w:t>-2.38%</w:t>
            </w:r>
          </w:p>
        </w:tc>
      </w:tr>
      <w:tr w:rsidR="005F0F19" w:rsidRPr="00C33D69" w14:paraId="02698B56" w14:textId="77777777" w:rsidTr="00502EF8">
        <w:trPr>
          <w:trHeight w:val="300"/>
        </w:trPr>
        <w:tc>
          <w:tcPr>
            <w:tcW w:w="960" w:type="dxa"/>
            <w:tcBorders>
              <w:top w:val="nil"/>
              <w:left w:val="single" w:sz="4" w:space="0" w:color="auto"/>
              <w:bottom w:val="single" w:sz="4" w:space="0" w:color="auto"/>
              <w:right w:val="single" w:sz="4" w:space="0" w:color="auto"/>
            </w:tcBorders>
            <w:shd w:val="clear" w:color="000000" w:fill="auto"/>
            <w:noWrap/>
            <w:vAlign w:val="bottom"/>
            <w:hideMark/>
          </w:tcPr>
          <w:p w14:paraId="4122ABC8" w14:textId="77777777" w:rsidR="005F0F19" w:rsidRPr="00906787" w:rsidRDefault="005F0F19" w:rsidP="00502EF8">
            <w:pPr>
              <w:jc w:val="center"/>
              <w:rPr>
                <w:bCs/>
                <w:color w:val="000000"/>
                <w:sz w:val="22"/>
                <w:szCs w:val="22"/>
              </w:rPr>
            </w:pPr>
            <w:r w:rsidRPr="00906787">
              <w:rPr>
                <w:bCs/>
                <w:color w:val="000000"/>
                <w:sz w:val="22"/>
                <w:szCs w:val="22"/>
              </w:rPr>
              <w:t>2013</w:t>
            </w:r>
          </w:p>
        </w:tc>
        <w:tc>
          <w:tcPr>
            <w:tcW w:w="1211" w:type="dxa"/>
            <w:tcBorders>
              <w:top w:val="nil"/>
              <w:left w:val="nil"/>
              <w:bottom w:val="single" w:sz="4" w:space="0" w:color="auto"/>
              <w:right w:val="single" w:sz="4" w:space="0" w:color="auto"/>
            </w:tcBorders>
            <w:shd w:val="clear" w:color="auto" w:fill="auto"/>
            <w:noWrap/>
            <w:vAlign w:val="bottom"/>
            <w:hideMark/>
          </w:tcPr>
          <w:p w14:paraId="6A24F05E" w14:textId="77777777" w:rsidR="005F0F19" w:rsidRPr="00C33D69" w:rsidRDefault="005F0F19" w:rsidP="00502EF8">
            <w:pPr>
              <w:jc w:val="center"/>
              <w:rPr>
                <w:color w:val="000000"/>
                <w:sz w:val="22"/>
                <w:szCs w:val="22"/>
              </w:rPr>
            </w:pPr>
            <w:r w:rsidRPr="00C33D69">
              <w:rPr>
                <w:color w:val="000000"/>
                <w:sz w:val="22"/>
                <w:szCs w:val="22"/>
              </w:rPr>
              <w:t>551</w:t>
            </w:r>
          </w:p>
        </w:tc>
        <w:tc>
          <w:tcPr>
            <w:tcW w:w="904" w:type="dxa"/>
            <w:tcBorders>
              <w:top w:val="nil"/>
              <w:left w:val="nil"/>
              <w:bottom w:val="single" w:sz="4" w:space="0" w:color="auto"/>
              <w:right w:val="single" w:sz="4" w:space="0" w:color="auto"/>
            </w:tcBorders>
            <w:shd w:val="clear" w:color="auto" w:fill="auto"/>
            <w:noWrap/>
            <w:vAlign w:val="bottom"/>
            <w:hideMark/>
          </w:tcPr>
          <w:p w14:paraId="262648C0" w14:textId="77777777" w:rsidR="005F0F19" w:rsidRPr="00C33D69" w:rsidRDefault="005F0F19" w:rsidP="00502EF8">
            <w:pPr>
              <w:jc w:val="center"/>
              <w:rPr>
                <w:color w:val="000000"/>
                <w:sz w:val="22"/>
                <w:szCs w:val="22"/>
              </w:rPr>
            </w:pPr>
            <w:r w:rsidRPr="00C33D69">
              <w:rPr>
                <w:color w:val="000000"/>
                <w:sz w:val="22"/>
                <w:szCs w:val="22"/>
              </w:rPr>
              <w:t>121</w:t>
            </w:r>
          </w:p>
        </w:tc>
        <w:tc>
          <w:tcPr>
            <w:tcW w:w="1158" w:type="dxa"/>
            <w:tcBorders>
              <w:top w:val="nil"/>
              <w:left w:val="nil"/>
              <w:bottom w:val="single" w:sz="4" w:space="0" w:color="auto"/>
              <w:right w:val="single" w:sz="4" w:space="0" w:color="auto"/>
            </w:tcBorders>
            <w:shd w:val="clear" w:color="auto" w:fill="auto"/>
            <w:noWrap/>
            <w:vAlign w:val="bottom"/>
            <w:hideMark/>
          </w:tcPr>
          <w:p w14:paraId="25C1B83B" w14:textId="77777777" w:rsidR="005F0F19" w:rsidRPr="00C33D69" w:rsidRDefault="005F0F19" w:rsidP="00502EF8">
            <w:pPr>
              <w:jc w:val="center"/>
              <w:rPr>
                <w:color w:val="000000"/>
                <w:sz w:val="22"/>
                <w:szCs w:val="22"/>
              </w:rPr>
            </w:pPr>
            <w:r w:rsidRPr="00C33D69">
              <w:rPr>
                <w:color w:val="000000"/>
                <w:sz w:val="22"/>
                <w:szCs w:val="22"/>
              </w:rPr>
              <w:t>-7</w:t>
            </w:r>
          </w:p>
        </w:tc>
        <w:tc>
          <w:tcPr>
            <w:tcW w:w="912" w:type="dxa"/>
            <w:tcBorders>
              <w:top w:val="nil"/>
              <w:left w:val="nil"/>
              <w:bottom w:val="single" w:sz="4" w:space="0" w:color="auto"/>
              <w:right w:val="single" w:sz="4" w:space="0" w:color="auto"/>
            </w:tcBorders>
            <w:shd w:val="clear" w:color="auto" w:fill="auto"/>
            <w:noWrap/>
            <w:vAlign w:val="bottom"/>
            <w:hideMark/>
          </w:tcPr>
          <w:p w14:paraId="13C5780B" w14:textId="77777777" w:rsidR="005F0F19" w:rsidRPr="00C33D69" w:rsidRDefault="005F0F19" w:rsidP="00502EF8">
            <w:pPr>
              <w:jc w:val="center"/>
              <w:rPr>
                <w:color w:val="000000"/>
                <w:sz w:val="22"/>
                <w:szCs w:val="22"/>
              </w:rPr>
            </w:pPr>
            <w:r w:rsidRPr="00C33D69">
              <w:rPr>
                <w:color w:val="000000"/>
                <w:sz w:val="22"/>
                <w:szCs w:val="22"/>
              </w:rPr>
              <w:t>-2</w:t>
            </w:r>
          </w:p>
        </w:tc>
        <w:tc>
          <w:tcPr>
            <w:tcW w:w="1158" w:type="dxa"/>
            <w:tcBorders>
              <w:top w:val="nil"/>
              <w:left w:val="nil"/>
              <w:bottom w:val="single" w:sz="4" w:space="0" w:color="auto"/>
              <w:right w:val="single" w:sz="4" w:space="0" w:color="auto"/>
            </w:tcBorders>
            <w:shd w:val="clear" w:color="auto" w:fill="auto"/>
            <w:noWrap/>
            <w:vAlign w:val="bottom"/>
            <w:hideMark/>
          </w:tcPr>
          <w:p w14:paraId="199AF1D9" w14:textId="77777777" w:rsidR="005F0F19" w:rsidRPr="00C33D69" w:rsidRDefault="005F0F19" w:rsidP="00502EF8">
            <w:pPr>
              <w:jc w:val="center"/>
              <w:rPr>
                <w:color w:val="000000"/>
                <w:sz w:val="22"/>
                <w:szCs w:val="22"/>
              </w:rPr>
            </w:pPr>
            <w:r w:rsidRPr="00C33D69">
              <w:rPr>
                <w:color w:val="000000"/>
                <w:sz w:val="22"/>
                <w:szCs w:val="22"/>
              </w:rPr>
              <w:t>-1.25%</w:t>
            </w:r>
          </w:p>
        </w:tc>
        <w:tc>
          <w:tcPr>
            <w:tcW w:w="1170" w:type="dxa"/>
            <w:tcBorders>
              <w:top w:val="nil"/>
              <w:left w:val="nil"/>
              <w:bottom w:val="single" w:sz="4" w:space="0" w:color="auto"/>
              <w:right w:val="single" w:sz="4" w:space="0" w:color="auto"/>
            </w:tcBorders>
            <w:shd w:val="clear" w:color="auto" w:fill="auto"/>
            <w:noWrap/>
            <w:vAlign w:val="bottom"/>
            <w:hideMark/>
          </w:tcPr>
          <w:p w14:paraId="683CDFFB" w14:textId="77777777" w:rsidR="005F0F19" w:rsidRPr="00C33D69" w:rsidRDefault="005F0F19" w:rsidP="00502EF8">
            <w:pPr>
              <w:jc w:val="center"/>
              <w:rPr>
                <w:color w:val="000000"/>
                <w:sz w:val="22"/>
                <w:szCs w:val="22"/>
              </w:rPr>
            </w:pPr>
            <w:r w:rsidRPr="00C33D69">
              <w:rPr>
                <w:color w:val="000000"/>
                <w:sz w:val="22"/>
                <w:szCs w:val="22"/>
              </w:rPr>
              <w:t>-1.63%</w:t>
            </w:r>
          </w:p>
        </w:tc>
      </w:tr>
      <w:tr w:rsidR="005F0F19" w:rsidRPr="00C33D69" w14:paraId="65E129C5" w14:textId="77777777" w:rsidTr="00502EF8">
        <w:trPr>
          <w:trHeight w:val="300"/>
        </w:trPr>
        <w:tc>
          <w:tcPr>
            <w:tcW w:w="960" w:type="dxa"/>
            <w:tcBorders>
              <w:top w:val="nil"/>
              <w:left w:val="single" w:sz="4" w:space="0" w:color="auto"/>
              <w:bottom w:val="single" w:sz="4" w:space="0" w:color="auto"/>
              <w:right w:val="single" w:sz="4" w:space="0" w:color="auto"/>
            </w:tcBorders>
            <w:shd w:val="clear" w:color="000000" w:fill="auto"/>
            <w:noWrap/>
            <w:vAlign w:val="bottom"/>
            <w:hideMark/>
          </w:tcPr>
          <w:p w14:paraId="26130BFB" w14:textId="77777777" w:rsidR="005F0F19" w:rsidRPr="00906787" w:rsidRDefault="005F0F19" w:rsidP="00502EF8">
            <w:pPr>
              <w:jc w:val="center"/>
              <w:rPr>
                <w:bCs/>
                <w:color w:val="000000"/>
                <w:sz w:val="22"/>
                <w:szCs w:val="22"/>
              </w:rPr>
            </w:pPr>
            <w:r w:rsidRPr="00906787">
              <w:rPr>
                <w:bCs/>
                <w:color w:val="000000"/>
                <w:sz w:val="22"/>
                <w:szCs w:val="22"/>
              </w:rPr>
              <w:t>2014</w:t>
            </w:r>
          </w:p>
        </w:tc>
        <w:tc>
          <w:tcPr>
            <w:tcW w:w="1211" w:type="dxa"/>
            <w:tcBorders>
              <w:top w:val="nil"/>
              <w:left w:val="nil"/>
              <w:bottom w:val="single" w:sz="4" w:space="0" w:color="auto"/>
              <w:right w:val="single" w:sz="4" w:space="0" w:color="auto"/>
            </w:tcBorders>
            <w:shd w:val="clear" w:color="auto" w:fill="auto"/>
            <w:noWrap/>
            <w:vAlign w:val="bottom"/>
            <w:hideMark/>
          </w:tcPr>
          <w:p w14:paraId="43BF5655" w14:textId="77777777" w:rsidR="005F0F19" w:rsidRPr="00C33D69" w:rsidRDefault="005F0F19" w:rsidP="00502EF8">
            <w:pPr>
              <w:jc w:val="center"/>
              <w:rPr>
                <w:color w:val="000000"/>
                <w:sz w:val="22"/>
                <w:szCs w:val="22"/>
              </w:rPr>
            </w:pPr>
            <w:r w:rsidRPr="00C33D69">
              <w:rPr>
                <w:color w:val="000000"/>
                <w:sz w:val="22"/>
                <w:szCs w:val="22"/>
              </w:rPr>
              <w:t>541</w:t>
            </w:r>
          </w:p>
        </w:tc>
        <w:tc>
          <w:tcPr>
            <w:tcW w:w="904" w:type="dxa"/>
            <w:tcBorders>
              <w:top w:val="nil"/>
              <w:left w:val="nil"/>
              <w:bottom w:val="single" w:sz="4" w:space="0" w:color="auto"/>
              <w:right w:val="single" w:sz="4" w:space="0" w:color="auto"/>
            </w:tcBorders>
            <w:shd w:val="clear" w:color="auto" w:fill="auto"/>
            <w:noWrap/>
            <w:vAlign w:val="bottom"/>
            <w:hideMark/>
          </w:tcPr>
          <w:p w14:paraId="1E5FC390" w14:textId="77777777" w:rsidR="005F0F19" w:rsidRPr="00C33D69" w:rsidRDefault="005F0F19" w:rsidP="00502EF8">
            <w:pPr>
              <w:jc w:val="center"/>
              <w:rPr>
                <w:color w:val="000000"/>
                <w:sz w:val="22"/>
                <w:szCs w:val="22"/>
              </w:rPr>
            </w:pPr>
            <w:r w:rsidRPr="00C33D69">
              <w:rPr>
                <w:color w:val="000000"/>
                <w:sz w:val="22"/>
                <w:szCs w:val="22"/>
              </w:rPr>
              <w:t>109</w:t>
            </w:r>
          </w:p>
        </w:tc>
        <w:tc>
          <w:tcPr>
            <w:tcW w:w="1158" w:type="dxa"/>
            <w:tcBorders>
              <w:top w:val="nil"/>
              <w:left w:val="nil"/>
              <w:bottom w:val="single" w:sz="4" w:space="0" w:color="auto"/>
              <w:right w:val="single" w:sz="4" w:space="0" w:color="auto"/>
            </w:tcBorders>
            <w:shd w:val="clear" w:color="auto" w:fill="auto"/>
            <w:noWrap/>
            <w:vAlign w:val="bottom"/>
            <w:hideMark/>
          </w:tcPr>
          <w:p w14:paraId="5ADE2621" w14:textId="77777777" w:rsidR="005F0F19" w:rsidRPr="00C33D69" w:rsidRDefault="005F0F19" w:rsidP="00502EF8">
            <w:pPr>
              <w:jc w:val="center"/>
              <w:rPr>
                <w:color w:val="000000"/>
                <w:sz w:val="22"/>
                <w:szCs w:val="22"/>
              </w:rPr>
            </w:pPr>
            <w:r w:rsidRPr="00C33D69">
              <w:rPr>
                <w:color w:val="000000"/>
                <w:sz w:val="22"/>
                <w:szCs w:val="22"/>
              </w:rPr>
              <w:t>-10</w:t>
            </w:r>
          </w:p>
        </w:tc>
        <w:tc>
          <w:tcPr>
            <w:tcW w:w="912" w:type="dxa"/>
            <w:tcBorders>
              <w:top w:val="nil"/>
              <w:left w:val="nil"/>
              <w:bottom w:val="single" w:sz="4" w:space="0" w:color="auto"/>
              <w:right w:val="single" w:sz="4" w:space="0" w:color="auto"/>
            </w:tcBorders>
            <w:shd w:val="clear" w:color="auto" w:fill="auto"/>
            <w:noWrap/>
            <w:vAlign w:val="bottom"/>
            <w:hideMark/>
          </w:tcPr>
          <w:p w14:paraId="1769B062" w14:textId="77777777" w:rsidR="005F0F19" w:rsidRPr="00C33D69" w:rsidRDefault="005F0F19" w:rsidP="00502EF8">
            <w:pPr>
              <w:jc w:val="center"/>
              <w:rPr>
                <w:color w:val="000000"/>
                <w:sz w:val="22"/>
                <w:szCs w:val="22"/>
              </w:rPr>
            </w:pPr>
            <w:r w:rsidRPr="00C33D69">
              <w:rPr>
                <w:color w:val="000000"/>
                <w:sz w:val="22"/>
                <w:szCs w:val="22"/>
              </w:rPr>
              <w:t>-12</w:t>
            </w:r>
          </w:p>
        </w:tc>
        <w:tc>
          <w:tcPr>
            <w:tcW w:w="1158" w:type="dxa"/>
            <w:tcBorders>
              <w:top w:val="nil"/>
              <w:left w:val="nil"/>
              <w:bottom w:val="single" w:sz="4" w:space="0" w:color="auto"/>
              <w:right w:val="single" w:sz="4" w:space="0" w:color="auto"/>
            </w:tcBorders>
            <w:shd w:val="clear" w:color="auto" w:fill="auto"/>
            <w:noWrap/>
            <w:vAlign w:val="bottom"/>
            <w:hideMark/>
          </w:tcPr>
          <w:p w14:paraId="4CA064C3" w14:textId="77777777" w:rsidR="005F0F19" w:rsidRPr="00C33D69" w:rsidRDefault="005F0F19" w:rsidP="00502EF8">
            <w:pPr>
              <w:jc w:val="center"/>
              <w:rPr>
                <w:color w:val="000000"/>
                <w:sz w:val="22"/>
                <w:szCs w:val="22"/>
              </w:rPr>
            </w:pPr>
            <w:r w:rsidRPr="00C33D69">
              <w:rPr>
                <w:color w:val="000000"/>
                <w:sz w:val="22"/>
                <w:szCs w:val="22"/>
              </w:rPr>
              <w:t>-1.81%</w:t>
            </w:r>
          </w:p>
        </w:tc>
        <w:tc>
          <w:tcPr>
            <w:tcW w:w="1170" w:type="dxa"/>
            <w:tcBorders>
              <w:top w:val="nil"/>
              <w:left w:val="nil"/>
              <w:bottom w:val="single" w:sz="4" w:space="0" w:color="auto"/>
              <w:right w:val="single" w:sz="4" w:space="0" w:color="auto"/>
            </w:tcBorders>
            <w:shd w:val="clear" w:color="auto" w:fill="auto"/>
            <w:noWrap/>
            <w:vAlign w:val="bottom"/>
            <w:hideMark/>
          </w:tcPr>
          <w:p w14:paraId="4046596B" w14:textId="77777777" w:rsidR="005F0F19" w:rsidRPr="00C33D69" w:rsidRDefault="005F0F19" w:rsidP="00502EF8">
            <w:pPr>
              <w:jc w:val="center"/>
              <w:rPr>
                <w:color w:val="000000"/>
                <w:sz w:val="22"/>
                <w:szCs w:val="22"/>
              </w:rPr>
            </w:pPr>
            <w:r w:rsidRPr="00C33D69">
              <w:rPr>
                <w:color w:val="000000"/>
                <w:sz w:val="22"/>
                <w:szCs w:val="22"/>
              </w:rPr>
              <w:t>-9.92%</w:t>
            </w:r>
          </w:p>
        </w:tc>
      </w:tr>
      <w:tr w:rsidR="005F0F19" w:rsidRPr="00C33D69" w14:paraId="3C77677D" w14:textId="77777777" w:rsidTr="00502EF8">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0A0C6AD9" w14:textId="77777777" w:rsidR="005F0F19" w:rsidRPr="00906787" w:rsidRDefault="005F0F19" w:rsidP="00502EF8">
            <w:pPr>
              <w:jc w:val="center"/>
              <w:rPr>
                <w:bCs/>
                <w:color w:val="000000"/>
                <w:sz w:val="22"/>
                <w:szCs w:val="22"/>
              </w:rPr>
            </w:pPr>
            <w:r w:rsidRPr="00906787">
              <w:rPr>
                <w:bCs/>
                <w:color w:val="000000"/>
                <w:sz w:val="22"/>
                <w:szCs w:val="22"/>
              </w:rPr>
              <w:t>2015</w:t>
            </w:r>
          </w:p>
        </w:tc>
        <w:tc>
          <w:tcPr>
            <w:tcW w:w="1211" w:type="dxa"/>
            <w:tcBorders>
              <w:top w:val="single" w:sz="4" w:space="0" w:color="auto"/>
              <w:left w:val="nil"/>
              <w:bottom w:val="single" w:sz="4" w:space="0" w:color="auto"/>
              <w:right w:val="single" w:sz="4" w:space="0" w:color="auto"/>
            </w:tcBorders>
            <w:shd w:val="clear" w:color="auto" w:fill="auto"/>
            <w:noWrap/>
            <w:vAlign w:val="bottom"/>
          </w:tcPr>
          <w:p w14:paraId="196BB91D" w14:textId="77777777" w:rsidR="005F0F19" w:rsidRPr="00C33D69" w:rsidRDefault="005F0F19" w:rsidP="00502EF8">
            <w:pPr>
              <w:jc w:val="center"/>
              <w:rPr>
                <w:color w:val="000000"/>
                <w:sz w:val="22"/>
                <w:szCs w:val="22"/>
              </w:rPr>
            </w:pPr>
            <w:r w:rsidRPr="00C33D69">
              <w:rPr>
                <w:color w:val="000000"/>
                <w:sz w:val="22"/>
                <w:szCs w:val="22"/>
              </w:rPr>
              <w:t>527</w:t>
            </w:r>
          </w:p>
        </w:tc>
        <w:tc>
          <w:tcPr>
            <w:tcW w:w="904" w:type="dxa"/>
            <w:tcBorders>
              <w:top w:val="single" w:sz="4" w:space="0" w:color="auto"/>
              <w:left w:val="nil"/>
              <w:bottom w:val="single" w:sz="4" w:space="0" w:color="auto"/>
              <w:right w:val="single" w:sz="4" w:space="0" w:color="auto"/>
            </w:tcBorders>
            <w:shd w:val="clear" w:color="auto" w:fill="auto"/>
            <w:noWrap/>
            <w:vAlign w:val="bottom"/>
          </w:tcPr>
          <w:p w14:paraId="54A93C70" w14:textId="77777777" w:rsidR="005F0F19" w:rsidRPr="00C33D69" w:rsidRDefault="005F0F19" w:rsidP="00502EF8">
            <w:pPr>
              <w:jc w:val="center"/>
              <w:rPr>
                <w:color w:val="000000"/>
                <w:sz w:val="22"/>
                <w:szCs w:val="22"/>
              </w:rPr>
            </w:pPr>
            <w:r w:rsidRPr="00C33D69">
              <w:rPr>
                <w:color w:val="000000"/>
                <w:sz w:val="22"/>
                <w:szCs w:val="22"/>
              </w:rPr>
              <w:t>110</w:t>
            </w:r>
          </w:p>
        </w:tc>
        <w:tc>
          <w:tcPr>
            <w:tcW w:w="1158" w:type="dxa"/>
            <w:tcBorders>
              <w:top w:val="single" w:sz="4" w:space="0" w:color="auto"/>
              <w:left w:val="nil"/>
              <w:bottom w:val="single" w:sz="4" w:space="0" w:color="auto"/>
              <w:right w:val="single" w:sz="4" w:space="0" w:color="auto"/>
            </w:tcBorders>
            <w:shd w:val="clear" w:color="auto" w:fill="auto"/>
            <w:noWrap/>
            <w:vAlign w:val="bottom"/>
          </w:tcPr>
          <w:p w14:paraId="7B8089A6" w14:textId="77777777" w:rsidR="005F0F19" w:rsidRPr="00C33D69" w:rsidRDefault="005F0F19" w:rsidP="00502EF8">
            <w:pPr>
              <w:jc w:val="center"/>
              <w:rPr>
                <w:color w:val="000000"/>
                <w:sz w:val="22"/>
                <w:szCs w:val="22"/>
              </w:rPr>
            </w:pPr>
            <w:r w:rsidRPr="00C33D69">
              <w:rPr>
                <w:color w:val="000000"/>
                <w:sz w:val="22"/>
                <w:szCs w:val="22"/>
              </w:rPr>
              <w:t>-14</w:t>
            </w:r>
          </w:p>
        </w:tc>
        <w:tc>
          <w:tcPr>
            <w:tcW w:w="912" w:type="dxa"/>
            <w:tcBorders>
              <w:top w:val="single" w:sz="4" w:space="0" w:color="auto"/>
              <w:left w:val="nil"/>
              <w:bottom w:val="single" w:sz="4" w:space="0" w:color="auto"/>
              <w:right w:val="single" w:sz="4" w:space="0" w:color="auto"/>
            </w:tcBorders>
            <w:shd w:val="clear" w:color="auto" w:fill="auto"/>
            <w:noWrap/>
            <w:vAlign w:val="bottom"/>
          </w:tcPr>
          <w:p w14:paraId="0D2D93E7" w14:textId="77777777" w:rsidR="005F0F19" w:rsidRPr="00C33D69" w:rsidRDefault="005F0F19" w:rsidP="00502EF8">
            <w:pPr>
              <w:jc w:val="center"/>
              <w:rPr>
                <w:color w:val="000000"/>
                <w:sz w:val="22"/>
                <w:szCs w:val="22"/>
              </w:rPr>
            </w:pPr>
            <w:r w:rsidRPr="00C33D69">
              <w:rPr>
                <w:color w:val="000000"/>
                <w:sz w:val="22"/>
                <w:szCs w:val="22"/>
              </w:rPr>
              <w:t>+1</w:t>
            </w:r>
          </w:p>
        </w:tc>
        <w:tc>
          <w:tcPr>
            <w:tcW w:w="1158" w:type="dxa"/>
            <w:tcBorders>
              <w:top w:val="single" w:sz="4" w:space="0" w:color="auto"/>
              <w:left w:val="nil"/>
              <w:bottom w:val="single" w:sz="4" w:space="0" w:color="auto"/>
              <w:right w:val="single" w:sz="4" w:space="0" w:color="auto"/>
            </w:tcBorders>
            <w:shd w:val="clear" w:color="auto" w:fill="auto"/>
            <w:noWrap/>
            <w:vAlign w:val="bottom"/>
          </w:tcPr>
          <w:p w14:paraId="288FBC4B" w14:textId="77777777" w:rsidR="005F0F19" w:rsidRPr="00C33D69" w:rsidRDefault="005F0F19" w:rsidP="00502EF8">
            <w:pPr>
              <w:jc w:val="center"/>
              <w:rPr>
                <w:color w:val="000000"/>
                <w:sz w:val="22"/>
                <w:szCs w:val="22"/>
              </w:rPr>
            </w:pPr>
            <w:r w:rsidRPr="00C33D69">
              <w:rPr>
                <w:color w:val="000000"/>
                <w:sz w:val="22"/>
                <w:szCs w:val="22"/>
              </w:rPr>
              <w:t>-2.59%</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2D3745A4" w14:textId="77777777" w:rsidR="005F0F19" w:rsidRPr="00C33D69" w:rsidRDefault="005F0F19" w:rsidP="00502EF8">
            <w:pPr>
              <w:jc w:val="center"/>
              <w:rPr>
                <w:color w:val="000000"/>
                <w:sz w:val="22"/>
                <w:szCs w:val="22"/>
              </w:rPr>
            </w:pPr>
            <w:r w:rsidRPr="00C33D69">
              <w:rPr>
                <w:color w:val="000000"/>
                <w:sz w:val="22"/>
                <w:szCs w:val="22"/>
              </w:rPr>
              <w:t>+0.91%</w:t>
            </w:r>
          </w:p>
        </w:tc>
      </w:tr>
      <w:tr w:rsidR="00B45740" w:rsidRPr="00C33D69" w14:paraId="1103DFBC" w14:textId="77777777" w:rsidTr="00502EF8">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4BCA081E" w14:textId="02F132ED" w:rsidR="00B45740" w:rsidRPr="00906787" w:rsidRDefault="00B45740" w:rsidP="00502EF8">
            <w:pPr>
              <w:jc w:val="center"/>
              <w:rPr>
                <w:bCs/>
                <w:color w:val="000000"/>
                <w:sz w:val="22"/>
                <w:szCs w:val="22"/>
              </w:rPr>
            </w:pPr>
            <w:r w:rsidRPr="00906787">
              <w:rPr>
                <w:bCs/>
                <w:color w:val="000000"/>
                <w:sz w:val="22"/>
                <w:szCs w:val="22"/>
              </w:rPr>
              <w:t>2016</w:t>
            </w:r>
          </w:p>
        </w:tc>
        <w:tc>
          <w:tcPr>
            <w:tcW w:w="1211" w:type="dxa"/>
            <w:tcBorders>
              <w:top w:val="single" w:sz="4" w:space="0" w:color="auto"/>
              <w:left w:val="nil"/>
              <w:bottom w:val="single" w:sz="4" w:space="0" w:color="auto"/>
              <w:right w:val="single" w:sz="4" w:space="0" w:color="auto"/>
            </w:tcBorders>
            <w:shd w:val="clear" w:color="auto" w:fill="auto"/>
            <w:noWrap/>
            <w:vAlign w:val="bottom"/>
          </w:tcPr>
          <w:p w14:paraId="20A63B58" w14:textId="7A3B56EE" w:rsidR="00B45740" w:rsidRPr="00C33D69" w:rsidRDefault="00B45740" w:rsidP="00502EF8">
            <w:pPr>
              <w:jc w:val="center"/>
              <w:rPr>
                <w:color w:val="000000"/>
                <w:sz w:val="22"/>
                <w:szCs w:val="22"/>
              </w:rPr>
            </w:pPr>
            <w:r w:rsidRPr="00C33D69">
              <w:rPr>
                <w:color w:val="000000"/>
                <w:sz w:val="22"/>
                <w:szCs w:val="22"/>
              </w:rPr>
              <w:t>5</w:t>
            </w:r>
            <w:r>
              <w:rPr>
                <w:color w:val="000000"/>
                <w:sz w:val="22"/>
                <w:szCs w:val="22"/>
              </w:rPr>
              <w:t>37</w:t>
            </w:r>
          </w:p>
        </w:tc>
        <w:tc>
          <w:tcPr>
            <w:tcW w:w="904" w:type="dxa"/>
            <w:tcBorders>
              <w:top w:val="single" w:sz="4" w:space="0" w:color="auto"/>
              <w:left w:val="nil"/>
              <w:bottom w:val="single" w:sz="4" w:space="0" w:color="auto"/>
              <w:right w:val="single" w:sz="4" w:space="0" w:color="auto"/>
            </w:tcBorders>
            <w:shd w:val="clear" w:color="auto" w:fill="auto"/>
            <w:noWrap/>
            <w:vAlign w:val="bottom"/>
          </w:tcPr>
          <w:p w14:paraId="243F6DA5" w14:textId="5182E871" w:rsidR="00B45740" w:rsidRPr="00C33D69" w:rsidRDefault="00B45740" w:rsidP="00502EF8">
            <w:pPr>
              <w:jc w:val="center"/>
              <w:rPr>
                <w:color w:val="000000"/>
                <w:sz w:val="22"/>
                <w:szCs w:val="22"/>
              </w:rPr>
            </w:pPr>
            <w:r w:rsidRPr="00C33D69">
              <w:rPr>
                <w:color w:val="000000"/>
                <w:sz w:val="22"/>
                <w:szCs w:val="22"/>
              </w:rPr>
              <w:t>10</w:t>
            </w:r>
            <w:r>
              <w:rPr>
                <w:color w:val="000000"/>
                <w:sz w:val="22"/>
                <w:szCs w:val="22"/>
              </w:rPr>
              <w:t>8</w:t>
            </w:r>
          </w:p>
        </w:tc>
        <w:tc>
          <w:tcPr>
            <w:tcW w:w="1158" w:type="dxa"/>
            <w:tcBorders>
              <w:top w:val="single" w:sz="4" w:space="0" w:color="auto"/>
              <w:left w:val="nil"/>
              <w:bottom w:val="single" w:sz="4" w:space="0" w:color="auto"/>
              <w:right w:val="single" w:sz="4" w:space="0" w:color="auto"/>
            </w:tcBorders>
            <w:shd w:val="clear" w:color="auto" w:fill="auto"/>
            <w:noWrap/>
            <w:vAlign w:val="bottom"/>
          </w:tcPr>
          <w:p w14:paraId="305E2224" w14:textId="261C0AE6" w:rsidR="00B45740" w:rsidRPr="00C33D69" w:rsidRDefault="00B45740" w:rsidP="00502EF8">
            <w:pPr>
              <w:jc w:val="center"/>
              <w:rPr>
                <w:color w:val="000000"/>
                <w:sz w:val="22"/>
                <w:szCs w:val="22"/>
              </w:rPr>
            </w:pPr>
            <w:r>
              <w:rPr>
                <w:color w:val="000000"/>
                <w:sz w:val="22"/>
                <w:szCs w:val="22"/>
              </w:rPr>
              <w:t>+10</w:t>
            </w:r>
          </w:p>
        </w:tc>
        <w:tc>
          <w:tcPr>
            <w:tcW w:w="912" w:type="dxa"/>
            <w:tcBorders>
              <w:top w:val="single" w:sz="4" w:space="0" w:color="auto"/>
              <w:left w:val="nil"/>
              <w:bottom w:val="single" w:sz="4" w:space="0" w:color="auto"/>
              <w:right w:val="single" w:sz="4" w:space="0" w:color="auto"/>
            </w:tcBorders>
            <w:shd w:val="clear" w:color="auto" w:fill="auto"/>
            <w:noWrap/>
            <w:vAlign w:val="bottom"/>
          </w:tcPr>
          <w:p w14:paraId="265098B2" w14:textId="1CDAD6D9" w:rsidR="00B45740" w:rsidRPr="00C33D69" w:rsidRDefault="00B45740" w:rsidP="00502EF8">
            <w:pPr>
              <w:jc w:val="center"/>
              <w:rPr>
                <w:color w:val="000000"/>
                <w:sz w:val="22"/>
                <w:szCs w:val="22"/>
              </w:rPr>
            </w:pPr>
            <w:r w:rsidRPr="00C33D69">
              <w:rPr>
                <w:color w:val="000000"/>
                <w:sz w:val="22"/>
                <w:szCs w:val="22"/>
              </w:rPr>
              <w:t>-</w:t>
            </w:r>
            <w:r>
              <w:rPr>
                <w:color w:val="000000"/>
                <w:sz w:val="22"/>
                <w:szCs w:val="22"/>
              </w:rPr>
              <w:t>2</w:t>
            </w:r>
          </w:p>
        </w:tc>
        <w:tc>
          <w:tcPr>
            <w:tcW w:w="1158" w:type="dxa"/>
            <w:tcBorders>
              <w:top w:val="single" w:sz="4" w:space="0" w:color="auto"/>
              <w:left w:val="nil"/>
              <w:bottom w:val="single" w:sz="4" w:space="0" w:color="auto"/>
              <w:right w:val="single" w:sz="4" w:space="0" w:color="auto"/>
            </w:tcBorders>
            <w:shd w:val="clear" w:color="auto" w:fill="auto"/>
            <w:noWrap/>
            <w:vAlign w:val="bottom"/>
          </w:tcPr>
          <w:p w14:paraId="7CFEA16D" w14:textId="12710CA4" w:rsidR="00B45740" w:rsidRPr="00C33D69" w:rsidRDefault="00B45740" w:rsidP="00502EF8">
            <w:pPr>
              <w:jc w:val="center"/>
              <w:rPr>
                <w:color w:val="000000"/>
                <w:sz w:val="22"/>
                <w:szCs w:val="22"/>
              </w:rPr>
            </w:pPr>
            <w:r>
              <w:rPr>
                <w:color w:val="000000"/>
                <w:sz w:val="22"/>
                <w:szCs w:val="22"/>
              </w:rPr>
              <w:t>+</w:t>
            </w:r>
            <w:r w:rsidRPr="00C33D69">
              <w:rPr>
                <w:color w:val="000000"/>
                <w:sz w:val="22"/>
                <w:szCs w:val="22"/>
              </w:rPr>
              <w:t>1</w:t>
            </w:r>
            <w:r>
              <w:rPr>
                <w:color w:val="000000"/>
                <w:sz w:val="22"/>
                <w:szCs w:val="22"/>
              </w:rPr>
              <w:t>.8</w:t>
            </w:r>
            <w:r w:rsidRPr="00C33D69">
              <w:rPr>
                <w:color w:val="000000"/>
                <w:sz w:val="22"/>
                <w:szCs w:val="22"/>
              </w:rPr>
              <w:t>9%</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4F83DEB7" w14:textId="15FE9FD6" w:rsidR="00B45740" w:rsidRPr="00C33D69" w:rsidRDefault="00B45740" w:rsidP="00502EF8">
            <w:pPr>
              <w:jc w:val="center"/>
              <w:rPr>
                <w:color w:val="000000"/>
                <w:sz w:val="22"/>
                <w:szCs w:val="22"/>
              </w:rPr>
            </w:pPr>
            <w:r w:rsidRPr="00C33D69">
              <w:rPr>
                <w:color w:val="000000"/>
                <w:sz w:val="22"/>
                <w:szCs w:val="22"/>
              </w:rPr>
              <w:t>-</w:t>
            </w:r>
            <w:r>
              <w:rPr>
                <w:color w:val="000000"/>
                <w:sz w:val="22"/>
                <w:szCs w:val="22"/>
              </w:rPr>
              <w:t>1</w:t>
            </w:r>
            <w:r w:rsidRPr="00C33D69">
              <w:rPr>
                <w:color w:val="000000"/>
                <w:sz w:val="22"/>
                <w:szCs w:val="22"/>
              </w:rPr>
              <w:t>.</w:t>
            </w:r>
            <w:r>
              <w:rPr>
                <w:color w:val="000000"/>
                <w:sz w:val="22"/>
                <w:szCs w:val="22"/>
              </w:rPr>
              <w:t>82</w:t>
            </w:r>
            <w:r w:rsidRPr="00C33D69">
              <w:rPr>
                <w:color w:val="000000"/>
                <w:sz w:val="22"/>
                <w:szCs w:val="22"/>
              </w:rPr>
              <w:t>%</w:t>
            </w:r>
          </w:p>
        </w:tc>
      </w:tr>
    </w:tbl>
    <w:p w14:paraId="5CAAED30" w14:textId="00C21F92" w:rsidR="005F0F19" w:rsidRPr="0067026A" w:rsidRDefault="005F0F19" w:rsidP="005F0F19">
      <w:pPr>
        <w:rPr>
          <w:rFonts w:ascii="Arial" w:hAnsi="Arial" w:cs="Arial"/>
          <w:sz w:val="20"/>
          <w:szCs w:val="20"/>
        </w:rPr>
      </w:pPr>
      <w:r w:rsidRPr="0067026A">
        <w:rPr>
          <w:rFonts w:ascii="Arial" w:hAnsi="Arial" w:cs="Arial"/>
          <w:sz w:val="20"/>
          <w:szCs w:val="20"/>
        </w:rPr>
        <w:t>Sources:  SAFMC May 22, 2013 (Snapper Grouper R</w:t>
      </w:r>
      <w:r>
        <w:rPr>
          <w:rFonts w:ascii="Arial" w:hAnsi="Arial" w:cs="Arial"/>
          <w:sz w:val="20"/>
          <w:szCs w:val="20"/>
        </w:rPr>
        <w:t>egulatory Amendment 19) for 2009</w:t>
      </w:r>
      <w:r w:rsidRPr="0067026A">
        <w:rPr>
          <w:rFonts w:ascii="Arial" w:hAnsi="Arial" w:cs="Arial"/>
          <w:sz w:val="20"/>
          <w:szCs w:val="20"/>
        </w:rPr>
        <w:t xml:space="preserve"> - 2013 and NMFS SERO</w:t>
      </w:r>
      <w:r>
        <w:rPr>
          <w:rFonts w:ascii="Arial" w:hAnsi="Arial" w:cs="Arial"/>
          <w:sz w:val="20"/>
          <w:szCs w:val="20"/>
        </w:rPr>
        <w:t xml:space="preserve"> PIMS as of March 13, 2014; </w:t>
      </w:r>
      <w:r w:rsidRPr="0067026A">
        <w:rPr>
          <w:rFonts w:ascii="Arial" w:hAnsi="Arial" w:cs="Arial"/>
          <w:sz w:val="20"/>
          <w:szCs w:val="20"/>
        </w:rPr>
        <w:t>October 13, 2015</w:t>
      </w:r>
      <w:r>
        <w:rPr>
          <w:rFonts w:ascii="Arial" w:hAnsi="Arial" w:cs="Arial"/>
          <w:sz w:val="20"/>
          <w:szCs w:val="20"/>
        </w:rPr>
        <w:t xml:space="preserve">, and </w:t>
      </w:r>
      <w:r w:rsidR="00B45740">
        <w:rPr>
          <w:rFonts w:ascii="Arial" w:hAnsi="Arial" w:cs="Arial"/>
          <w:sz w:val="20"/>
          <w:szCs w:val="20"/>
        </w:rPr>
        <w:t>July 25</w:t>
      </w:r>
      <w:r>
        <w:rPr>
          <w:rFonts w:ascii="Arial" w:hAnsi="Arial" w:cs="Arial"/>
          <w:sz w:val="20"/>
          <w:szCs w:val="20"/>
        </w:rPr>
        <w:t>, 2016</w:t>
      </w:r>
      <w:r w:rsidRPr="0067026A">
        <w:rPr>
          <w:rFonts w:ascii="Arial" w:hAnsi="Arial" w:cs="Arial"/>
          <w:sz w:val="20"/>
          <w:szCs w:val="20"/>
        </w:rPr>
        <w:t>.</w:t>
      </w:r>
    </w:p>
    <w:p w14:paraId="245A25A1" w14:textId="77777777" w:rsidR="005F0F19" w:rsidRDefault="005F0F19" w:rsidP="005F0F19"/>
    <w:p w14:paraId="31624723" w14:textId="77777777" w:rsidR="005F0F19" w:rsidRPr="0067026A" w:rsidRDefault="005F0F19" w:rsidP="005F0F19">
      <w:pPr>
        <w:ind w:firstLine="360"/>
      </w:pPr>
      <w:r>
        <w:t xml:space="preserve">The majority of </w:t>
      </w:r>
      <w:r w:rsidRPr="0067026A">
        <w:t>commercial snapper grouper permit holders resi</w:t>
      </w:r>
      <w:r>
        <w:t xml:space="preserve">de in Florida.  North Carolina ranks second in number of residents who hold either permit </w:t>
      </w:r>
      <w:r w:rsidRPr="0067026A">
        <w:t>(</w:t>
      </w:r>
      <w:r>
        <w:rPr>
          <w:b/>
        </w:rPr>
        <w:t>Table 3.3.4</w:t>
      </w:r>
      <w:r w:rsidRPr="0067026A">
        <w:t xml:space="preserve">).  </w:t>
      </w:r>
      <w:r>
        <w:t>Residents (individuals or businesses) of states outside the Region hold more unlimited and 225-pound permits than residents of Georgia.</w:t>
      </w:r>
    </w:p>
    <w:p w14:paraId="224FE5A7" w14:textId="77777777" w:rsidR="005F0F19" w:rsidRPr="0067026A" w:rsidRDefault="005F0F19" w:rsidP="005F0F19"/>
    <w:p w14:paraId="6E2A0CA2" w14:textId="77777777" w:rsidR="005F0F19" w:rsidRPr="0067026A" w:rsidRDefault="005F0F19" w:rsidP="005F0F19">
      <w:pPr>
        <w:pStyle w:val="Tabletitle"/>
        <w:rPr>
          <w:b/>
        </w:rPr>
      </w:pPr>
      <w:bookmarkStart w:id="141" w:name="_Toc304628622"/>
      <w:bookmarkStart w:id="142" w:name="_Toc340431549"/>
      <w:r>
        <w:rPr>
          <w:b/>
        </w:rPr>
        <w:t>Table 3.3.4</w:t>
      </w:r>
      <w:r w:rsidRPr="0067026A">
        <w:rPr>
          <w:b/>
        </w:rPr>
        <w:t xml:space="preserve">.  </w:t>
      </w:r>
      <w:r w:rsidRPr="0067026A">
        <w:t>Number and percent</w:t>
      </w:r>
      <w:r>
        <w:t>age</w:t>
      </w:r>
      <w:r w:rsidRPr="0067026A">
        <w:t xml:space="preserve"> of valid and renewable/transferable snapper grouper permits by state of residence of permit holder as o</w:t>
      </w:r>
      <w:r>
        <w:t>f March 9, 2016</w:t>
      </w:r>
      <w:r w:rsidRPr="0067026A">
        <w:t>.</w:t>
      </w:r>
      <w:bookmarkEnd w:id="141"/>
      <w:bookmarkEnd w:id="142"/>
      <w:r w:rsidRPr="0067026A">
        <w:rPr>
          <w:b/>
        </w:rPr>
        <w:t xml:space="preserve">  </w:t>
      </w:r>
    </w:p>
    <w:tbl>
      <w:tblPr>
        <w:tblW w:w="5600" w:type="dxa"/>
        <w:tblInd w:w="93" w:type="dxa"/>
        <w:tblLook w:val="04A0" w:firstRow="1" w:lastRow="0" w:firstColumn="1" w:lastColumn="0" w:noHBand="0" w:noVBand="1"/>
      </w:tblPr>
      <w:tblGrid>
        <w:gridCol w:w="1088"/>
        <w:gridCol w:w="1163"/>
        <w:gridCol w:w="1014"/>
        <w:gridCol w:w="1247"/>
        <w:gridCol w:w="1088"/>
      </w:tblGrid>
      <w:tr w:rsidR="005F0F19" w:rsidRPr="00C33D69" w14:paraId="5E67A2BC" w14:textId="77777777" w:rsidTr="00502EF8">
        <w:trPr>
          <w:trHeight w:val="277"/>
        </w:trPr>
        <w:tc>
          <w:tcPr>
            <w:tcW w:w="1088" w:type="dxa"/>
            <w:vMerge w:val="restart"/>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5E33A24E" w14:textId="77777777" w:rsidR="005F0F19" w:rsidRPr="00C33D69" w:rsidRDefault="005F0F19" w:rsidP="00502EF8">
            <w:pPr>
              <w:jc w:val="center"/>
              <w:rPr>
                <w:b/>
                <w:bCs/>
                <w:color w:val="000000"/>
                <w:sz w:val="22"/>
                <w:szCs w:val="22"/>
              </w:rPr>
            </w:pPr>
            <w:r w:rsidRPr="00C33D69">
              <w:rPr>
                <w:b/>
                <w:bCs/>
                <w:color w:val="000000"/>
                <w:sz w:val="22"/>
                <w:szCs w:val="22"/>
              </w:rPr>
              <w:t>State</w:t>
            </w:r>
          </w:p>
        </w:tc>
        <w:tc>
          <w:tcPr>
            <w:tcW w:w="21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DE6631F" w14:textId="77777777" w:rsidR="005F0F19" w:rsidRPr="00C33D69" w:rsidRDefault="005F0F19" w:rsidP="00502EF8">
            <w:pPr>
              <w:jc w:val="center"/>
              <w:rPr>
                <w:b/>
                <w:bCs/>
                <w:color w:val="000000"/>
                <w:sz w:val="22"/>
                <w:szCs w:val="22"/>
              </w:rPr>
            </w:pPr>
            <w:r w:rsidRPr="00C33D69">
              <w:rPr>
                <w:b/>
                <w:bCs/>
                <w:color w:val="000000"/>
                <w:sz w:val="22"/>
                <w:szCs w:val="22"/>
              </w:rPr>
              <w:t>Unlimited permits</w:t>
            </w:r>
          </w:p>
        </w:tc>
        <w:tc>
          <w:tcPr>
            <w:tcW w:w="233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A75A5D5" w14:textId="77777777" w:rsidR="005F0F19" w:rsidRPr="00C33D69" w:rsidRDefault="005F0F19" w:rsidP="00502EF8">
            <w:pPr>
              <w:jc w:val="center"/>
              <w:rPr>
                <w:b/>
                <w:bCs/>
                <w:color w:val="000000"/>
                <w:sz w:val="22"/>
                <w:szCs w:val="22"/>
              </w:rPr>
            </w:pPr>
            <w:r>
              <w:rPr>
                <w:b/>
                <w:bCs/>
                <w:color w:val="000000"/>
                <w:sz w:val="22"/>
                <w:szCs w:val="22"/>
              </w:rPr>
              <w:t>225-pound</w:t>
            </w:r>
            <w:r w:rsidRPr="00C33D69">
              <w:rPr>
                <w:b/>
                <w:bCs/>
                <w:color w:val="000000"/>
                <w:sz w:val="22"/>
                <w:szCs w:val="22"/>
              </w:rPr>
              <w:t xml:space="preserve"> permits</w:t>
            </w:r>
          </w:p>
        </w:tc>
      </w:tr>
      <w:tr w:rsidR="005F0F19" w:rsidRPr="00C33D69" w14:paraId="72062B8E" w14:textId="77777777" w:rsidTr="00502EF8">
        <w:trPr>
          <w:trHeight w:val="277"/>
        </w:trPr>
        <w:tc>
          <w:tcPr>
            <w:tcW w:w="1088" w:type="dxa"/>
            <w:vMerge/>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48DAF5A4" w14:textId="77777777" w:rsidR="005F0F19" w:rsidRPr="00C33D69" w:rsidRDefault="005F0F19" w:rsidP="00502EF8">
            <w:pPr>
              <w:rPr>
                <w:b/>
                <w:bCs/>
                <w:color w:val="000000"/>
                <w:sz w:val="22"/>
                <w:szCs w:val="22"/>
              </w:rPr>
            </w:pPr>
          </w:p>
        </w:tc>
        <w:tc>
          <w:tcPr>
            <w:tcW w:w="116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30E6B46" w14:textId="77777777" w:rsidR="005F0F19" w:rsidRPr="00C33D69" w:rsidRDefault="005F0F19" w:rsidP="00502EF8">
            <w:pPr>
              <w:jc w:val="center"/>
              <w:rPr>
                <w:b/>
                <w:bCs/>
                <w:color w:val="000000"/>
                <w:sz w:val="22"/>
                <w:szCs w:val="22"/>
              </w:rPr>
            </w:pPr>
            <w:r w:rsidRPr="00C33D69">
              <w:rPr>
                <w:b/>
                <w:bCs/>
                <w:color w:val="000000"/>
                <w:sz w:val="22"/>
                <w:szCs w:val="22"/>
              </w:rPr>
              <w:t>Number</w:t>
            </w:r>
          </w:p>
        </w:tc>
        <w:tc>
          <w:tcPr>
            <w:tcW w:w="1014" w:type="dxa"/>
            <w:tcBorders>
              <w:top w:val="nil"/>
              <w:left w:val="nil"/>
              <w:bottom w:val="single" w:sz="4" w:space="0" w:color="auto"/>
              <w:right w:val="single" w:sz="4" w:space="0" w:color="auto"/>
            </w:tcBorders>
            <w:shd w:val="clear" w:color="auto" w:fill="D9D9D9" w:themeFill="background1" w:themeFillShade="D9"/>
            <w:noWrap/>
            <w:vAlign w:val="bottom"/>
            <w:hideMark/>
          </w:tcPr>
          <w:p w14:paraId="2B3615FA" w14:textId="77777777" w:rsidR="005F0F19" w:rsidRPr="00C33D69" w:rsidRDefault="005F0F19" w:rsidP="00502EF8">
            <w:pPr>
              <w:jc w:val="center"/>
              <w:rPr>
                <w:b/>
                <w:bCs/>
                <w:color w:val="000000"/>
                <w:sz w:val="22"/>
                <w:szCs w:val="22"/>
              </w:rPr>
            </w:pPr>
            <w:r w:rsidRPr="00C33D69">
              <w:rPr>
                <w:b/>
                <w:bCs/>
                <w:color w:val="000000"/>
                <w:sz w:val="22"/>
                <w:szCs w:val="22"/>
              </w:rPr>
              <w:t xml:space="preserve">% </w:t>
            </w:r>
          </w:p>
        </w:tc>
        <w:tc>
          <w:tcPr>
            <w:tcW w:w="1247" w:type="dxa"/>
            <w:tcBorders>
              <w:top w:val="nil"/>
              <w:left w:val="nil"/>
              <w:bottom w:val="single" w:sz="4" w:space="0" w:color="auto"/>
              <w:right w:val="single" w:sz="4" w:space="0" w:color="auto"/>
            </w:tcBorders>
            <w:shd w:val="clear" w:color="auto" w:fill="D9D9D9" w:themeFill="background1" w:themeFillShade="D9"/>
            <w:noWrap/>
            <w:vAlign w:val="bottom"/>
            <w:hideMark/>
          </w:tcPr>
          <w:p w14:paraId="54F5DE7A" w14:textId="77777777" w:rsidR="005F0F19" w:rsidRPr="00C33D69" w:rsidRDefault="005F0F19" w:rsidP="00502EF8">
            <w:pPr>
              <w:jc w:val="center"/>
              <w:rPr>
                <w:b/>
                <w:bCs/>
                <w:color w:val="000000"/>
                <w:sz w:val="22"/>
                <w:szCs w:val="22"/>
              </w:rPr>
            </w:pPr>
            <w:r w:rsidRPr="00C33D69">
              <w:rPr>
                <w:b/>
                <w:bCs/>
                <w:color w:val="000000"/>
                <w:sz w:val="22"/>
                <w:szCs w:val="22"/>
              </w:rPr>
              <w:t>Number</w:t>
            </w: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14:paraId="7764D32C" w14:textId="77777777" w:rsidR="005F0F19" w:rsidRPr="00C33D69" w:rsidRDefault="005F0F19" w:rsidP="00502EF8">
            <w:pPr>
              <w:jc w:val="center"/>
              <w:rPr>
                <w:b/>
                <w:bCs/>
                <w:color w:val="000000"/>
                <w:sz w:val="22"/>
                <w:szCs w:val="22"/>
              </w:rPr>
            </w:pPr>
            <w:r w:rsidRPr="00C33D69">
              <w:rPr>
                <w:b/>
                <w:bCs/>
                <w:color w:val="000000"/>
                <w:sz w:val="22"/>
                <w:szCs w:val="22"/>
              </w:rPr>
              <w:t xml:space="preserve">% </w:t>
            </w:r>
          </w:p>
        </w:tc>
      </w:tr>
      <w:tr w:rsidR="005F0F19" w:rsidRPr="00C33D69" w14:paraId="50CCF5F1" w14:textId="77777777" w:rsidTr="00502EF8">
        <w:trPr>
          <w:trHeight w:val="277"/>
        </w:trPr>
        <w:tc>
          <w:tcPr>
            <w:tcW w:w="1088" w:type="dxa"/>
            <w:tcBorders>
              <w:top w:val="nil"/>
              <w:left w:val="single" w:sz="4" w:space="0" w:color="auto"/>
              <w:bottom w:val="single" w:sz="4" w:space="0" w:color="auto"/>
              <w:right w:val="nil"/>
            </w:tcBorders>
            <w:shd w:val="clear" w:color="000000" w:fill="auto"/>
            <w:noWrap/>
            <w:vAlign w:val="bottom"/>
            <w:hideMark/>
          </w:tcPr>
          <w:p w14:paraId="71C1C811" w14:textId="77777777" w:rsidR="005F0F19" w:rsidRPr="0079075D" w:rsidRDefault="005F0F19" w:rsidP="00502EF8">
            <w:pPr>
              <w:rPr>
                <w:bCs/>
                <w:color w:val="000000"/>
                <w:sz w:val="22"/>
                <w:szCs w:val="22"/>
              </w:rPr>
            </w:pPr>
            <w:r w:rsidRPr="0079075D">
              <w:rPr>
                <w:bCs/>
                <w:color w:val="000000"/>
                <w:sz w:val="22"/>
                <w:szCs w:val="22"/>
              </w:rPr>
              <w:t>FL</w:t>
            </w:r>
          </w:p>
        </w:tc>
        <w:tc>
          <w:tcPr>
            <w:tcW w:w="1163" w:type="dxa"/>
            <w:tcBorders>
              <w:top w:val="nil"/>
              <w:left w:val="single" w:sz="4" w:space="0" w:color="auto"/>
              <w:bottom w:val="single" w:sz="4" w:space="0" w:color="auto"/>
              <w:right w:val="single" w:sz="4" w:space="0" w:color="auto"/>
            </w:tcBorders>
            <w:shd w:val="clear" w:color="auto" w:fill="auto"/>
            <w:noWrap/>
            <w:vAlign w:val="bottom"/>
            <w:hideMark/>
          </w:tcPr>
          <w:p w14:paraId="32251A28" w14:textId="77777777" w:rsidR="005F0F19" w:rsidRPr="00C33D69" w:rsidRDefault="005F0F19" w:rsidP="00502EF8">
            <w:pPr>
              <w:jc w:val="right"/>
              <w:rPr>
                <w:color w:val="000000"/>
                <w:sz w:val="22"/>
                <w:szCs w:val="22"/>
              </w:rPr>
            </w:pPr>
            <w:r w:rsidRPr="00C33D69">
              <w:rPr>
                <w:color w:val="000000"/>
                <w:sz w:val="22"/>
                <w:szCs w:val="22"/>
              </w:rPr>
              <w:t>375</w:t>
            </w:r>
          </w:p>
        </w:tc>
        <w:tc>
          <w:tcPr>
            <w:tcW w:w="1014" w:type="dxa"/>
            <w:tcBorders>
              <w:top w:val="nil"/>
              <w:left w:val="nil"/>
              <w:bottom w:val="single" w:sz="4" w:space="0" w:color="auto"/>
              <w:right w:val="single" w:sz="4" w:space="0" w:color="auto"/>
            </w:tcBorders>
            <w:shd w:val="clear" w:color="auto" w:fill="auto"/>
            <w:noWrap/>
            <w:vAlign w:val="bottom"/>
            <w:hideMark/>
          </w:tcPr>
          <w:p w14:paraId="54692C40" w14:textId="77777777" w:rsidR="005F0F19" w:rsidRPr="00C33D69" w:rsidRDefault="005F0F19" w:rsidP="00502EF8">
            <w:pPr>
              <w:jc w:val="right"/>
              <w:rPr>
                <w:color w:val="000000"/>
                <w:sz w:val="22"/>
                <w:szCs w:val="22"/>
              </w:rPr>
            </w:pPr>
            <w:r w:rsidRPr="00C33D69">
              <w:rPr>
                <w:color w:val="000000"/>
                <w:sz w:val="22"/>
                <w:szCs w:val="22"/>
              </w:rPr>
              <w:t>67.6%</w:t>
            </w:r>
          </w:p>
        </w:tc>
        <w:tc>
          <w:tcPr>
            <w:tcW w:w="1247" w:type="dxa"/>
            <w:tcBorders>
              <w:top w:val="nil"/>
              <w:left w:val="nil"/>
              <w:bottom w:val="single" w:sz="4" w:space="0" w:color="auto"/>
              <w:right w:val="single" w:sz="4" w:space="0" w:color="auto"/>
            </w:tcBorders>
            <w:shd w:val="clear" w:color="auto" w:fill="auto"/>
            <w:noWrap/>
            <w:vAlign w:val="bottom"/>
            <w:hideMark/>
          </w:tcPr>
          <w:p w14:paraId="61D3642C" w14:textId="77777777" w:rsidR="005F0F19" w:rsidRPr="00C33D69" w:rsidRDefault="005F0F19" w:rsidP="00502EF8">
            <w:pPr>
              <w:jc w:val="right"/>
              <w:rPr>
                <w:color w:val="000000"/>
                <w:sz w:val="22"/>
                <w:szCs w:val="22"/>
              </w:rPr>
            </w:pPr>
            <w:r w:rsidRPr="00C33D69">
              <w:rPr>
                <w:color w:val="000000"/>
                <w:sz w:val="22"/>
                <w:szCs w:val="22"/>
              </w:rPr>
              <w:t>103</w:t>
            </w:r>
          </w:p>
        </w:tc>
        <w:tc>
          <w:tcPr>
            <w:tcW w:w="1088" w:type="dxa"/>
            <w:tcBorders>
              <w:top w:val="nil"/>
              <w:left w:val="nil"/>
              <w:bottom w:val="single" w:sz="4" w:space="0" w:color="auto"/>
              <w:right w:val="single" w:sz="4" w:space="0" w:color="auto"/>
            </w:tcBorders>
            <w:shd w:val="clear" w:color="auto" w:fill="auto"/>
            <w:noWrap/>
            <w:vAlign w:val="bottom"/>
            <w:hideMark/>
          </w:tcPr>
          <w:p w14:paraId="05B6CC6C" w14:textId="77777777" w:rsidR="005F0F19" w:rsidRPr="00C33D69" w:rsidRDefault="005F0F19" w:rsidP="00502EF8">
            <w:pPr>
              <w:jc w:val="right"/>
              <w:rPr>
                <w:color w:val="000000"/>
                <w:sz w:val="22"/>
                <w:szCs w:val="22"/>
              </w:rPr>
            </w:pPr>
            <w:r w:rsidRPr="00C33D69">
              <w:rPr>
                <w:color w:val="000000"/>
                <w:sz w:val="22"/>
                <w:szCs w:val="22"/>
              </w:rPr>
              <w:t>88.8%</w:t>
            </w:r>
          </w:p>
        </w:tc>
      </w:tr>
      <w:tr w:rsidR="005F0F19" w:rsidRPr="00C33D69" w14:paraId="3ADDF5F3" w14:textId="77777777" w:rsidTr="00502EF8">
        <w:trPr>
          <w:trHeight w:val="277"/>
        </w:trPr>
        <w:tc>
          <w:tcPr>
            <w:tcW w:w="1088" w:type="dxa"/>
            <w:tcBorders>
              <w:top w:val="nil"/>
              <w:left w:val="single" w:sz="4" w:space="0" w:color="auto"/>
              <w:bottom w:val="single" w:sz="4" w:space="0" w:color="auto"/>
              <w:right w:val="nil"/>
            </w:tcBorders>
            <w:shd w:val="clear" w:color="000000" w:fill="auto"/>
            <w:noWrap/>
            <w:vAlign w:val="bottom"/>
            <w:hideMark/>
          </w:tcPr>
          <w:p w14:paraId="62040CEB" w14:textId="77777777" w:rsidR="005F0F19" w:rsidRPr="0079075D" w:rsidRDefault="005F0F19" w:rsidP="00502EF8">
            <w:pPr>
              <w:rPr>
                <w:bCs/>
                <w:color w:val="000000"/>
                <w:sz w:val="22"/>
                <w:szCs w:val="22"/>
              </w:rPr>
            </w:pPr>
            <w:r w:rsidRPr="0079075D">
              <w:rPr>
                <w:bCs/>
                <w:color w:val="000000"/>
                <w:sz w:val="22"/>
                <w:szCs w:val="22"/>
              </w:rPr>
              <w:t>GA</w:t>
            </w:r>
          </w:p>
        </w:tc>
        <w:tc>
          <w:tcPr>
            <w:tcW w:w="1163" w:type="dxa"/>
            <w:tcBorders>
              <w:top w:val="nil"/>
              <w:left w:val="single" w:sz="4" w:space="0" w:color="auto"/>
              <w:bottom w:val="single" w:sz="4" w:space="0" w:color="auto"/>
              <w:right w:val="single" w:sz="4" w:space="0" w:color="auto"/>
            </w:tcBorders>
            <w:shd w:val="clear" w:color="auto" w:fill="auto"/>
            <w:noWrap/>
            <w:vAlign w:val="bottom"/>
            <w:hideMark/>
          </w:tcPr>
          <w:p w14:paraId="50708290" w14:textId="77777777" w:rsidR="005F0F19" w:rsidRPr="00C33D69" w:rsidRDefault="005F0F19" w:rsidP="00502EF8">
            <w:pPr>
              <w:jc w:val="right"/>
              <w:rPr>
                <w:color w:val="000000"/>
                <w:sz w:val="22"/>
                <w:szCs w:val="22"/>
              </w:rPr>
            </w:pPr>
            <w:r w:rsidRPr="00C33D69">
              <w:rPr>
                <w:color w:val="000000"/>
                <w:sz w:val="22"/>
                <w:szCs w:val="22"/>
              </w:rPr>
              <w:t>6</w:t>
            </w:r>
          </w:p>
        </w:tc>
        <w:tc>
          <w:tcPr>
            <w:tcW w:w="1014" w:type="dxa"/>
            <w:tcBorders>
              <w:top w:val="nil"/>
              <w:left w:val="nil"/>
              <w:bottom w:val="single" w:sz="4" w:space="0" w:color="auto"/>
              <w:right w:val="single" w:sz="4" w:space="0" w:color="auto"/>
            </w:tcBorders>
            <w:shd w:val="clear" w:color="auto" w:fill="auto"/>
            <w:noWrap/>
            <w:vAlign w:val="bottom"/>
            <w:hideMark/>
          </w:tcPr>
          <w:p w14:paraId="074DBD6F" w14:textId="77777777" w:rsidR="005F0F19" w:rsidRPr="00C33D69" w:rsidRDefault="005F0F19" w:rsidP="00502EF8">
            <w:pPr>
              <w:jc w:val="right"/>
              <w:rPr>
                <w:color w:val="000000"/>
                <w:sz w:val="22"/>
                <w:szCs w:val="22"/>
              </w:rPr>
            </w:pPr>
            <w:r w:rsidRPr="00C33D69">
              <w:rPr>
                <w:color w:val="000000"/>
                <w:sz w:val="22"/>
                <w:szCs w:val="22"/>
              </w:rPr>
              <w:t>1.1%</w:t>
            </w:r>
          </w:p>
        </w:tc>
        <w:tc>
          <w:tcPr>
            <w:tcW w:w="1247" w:type="dxa"/>
            <w:tcBorders>
              <w:top w:val="nil"/>
              <w:left w:val="nil"/>
              <w:bottom w:val="single" w:sz="4" w:space="0" w:color="auto"/>
              <w:right w:val="single" w:sz="4" w:space="0" w:color="auto"/>
            </w:tcBorders>
            <w:shd w:val="clear" w:color="auto" w:fill="auto"/>
            <w:noWrap/>
            <w:vAlign w:val="bottom"/>
            <w:hideMark/>
          </w:tcPr>
          <w:p w14:paraId="4C690D1C" w14:textId="77777777" w:rsidR="005F0F19" w:rsidRPr="00C33D69" w:rsidRDefault="005F0F19" w:rsidP="00502EF8">
            <w:pPr>
              <w:jc w:val="right"/>
              <w:rPr>
                <w:color w:val="000000"/>
                <w:sz w:val="22"/>
                <w:szCs w:val="22"/>
              </w:rPr>
            </w:pPr>
            <w:r w:rsidRPr="00C33D69">
              <w:rPr>
                <w:color w:val="000000"/>
                <w:sz w:val="22"/>
                <w:szCs w:val="22"/>
              </w:rPr>
              <w:t>0</w:t>
            </w:r>
          </w:p>
        </w:tc>
        <w:tc>
          <w:tcPr>
            <w:tcW w:w="1088" w:type="dxa"/>
            <w:tcBorders>
              <w:top w:val="nil"/>
              <w:left w:val="nil"/>
              <w:bottom w:val="single" w:sz="4" w:space="0" w:color="auto"/>
              <w:right w:val="single" w:sz="4" w:space="0" w:color="auto"/>
            </w:tcBorders>
            <w:shd w:val="clear" w:color="auto" w:fill="auto"/>
            <w:noWrap/>
            <w:vAlign w:val="bottom"/>
            <w:hideMark/>
          </w:tcPr>
          <w:p w14:paraId="7528D771" w14:textId="77777777" w:rsidR="005F0F19" w:rsidRPr="00C33D69" w:rsidRDefault="005F0F19" w:rsidP="00502EF8">
            <w:pPr>
              <w:jc w:val="right"/>
              <w:rPr>
                <w:color w:val="000000"/>
                <w:sz w:val="22"/>
                <w:szCs w:val="22"/>
              </w:rPr>
            </w:pPr>
            <w:r w:rsidRPr="00C33D69">
              <w:rPr>
                <w:color w:val="000000"/>
                <w:sz w:val="22"/>
                <w:szCs w:val="22"/>
              </w:rPr>
              <w:t>0.0%</w:t>
            </w:r>
          </w:p>
        </w:tc>
      </w:tr>
      <w:tr w:rsidR="005F0F19" w:rsidRPr="00C33D69" w14:paraId="2F42CEE3" w14:textId="77777777" w:rsidTr="00502EF8">
        <w:trPr>
          <w:trHeight w:val="277"/>
        </w:trPr>
        <w:tc>
          <w:tcPr>
            <w:tcW w:w="1088" w:type="dxa"/>
            <w:tcBorders>
              <w:top w:val="nil"/>
              <w:left w:val="single" w:sz="4" w:space="0" w:color="auto"/>
              <w:bottom w:val="single" w:sz="4" w:space="0" w:color="auto"/>
              <w:right w:val="nil"/>
            </w:tcBorders>
            <w:shd w:val="clear" w:color="000000" w:fill="auto"/>
            <w:noWrap/>
            <w:vAlign w:val="bottom"/>
            <w:hideMark/>
          </w:tcPr>
          <w:p w14:paraId="70313454" w14:textId="77777777" w:rsidR="005F0F19" w:rsidRPr="0079075D" w:rsidRDefault="005F0F19" w:rsidP="00502EF8">
            <w:pPr>
              <w:rPr>
                <w:bCs/>
                <w:color w:val="000000"/>
                <w:sz w:val="22"/>
                <w:szCs w:val="22"/>
              </w:rPr>
            </w:pPr>
            <w:r w:rsidRPr="0079075D">
              <w:rPr>
                <w:bCs/>
                <w:color w:val="000000"/>
                <w:sz w:val="22"/>
                <w:szCs w:val="22"/>
              </w:rPr>
              <w:t>NC</w:t>
            </w:r>
          </w:p>
        </w:tc>
        <w:tc>
          <w:tcPr>
            <w:tcW w:w="1163" w:type="dxa"/>
            <w:tcBorders>
              <w:top w:val="nil"/>
              <w:left w:val="single" w:sz="4" w:space="0" w:color="auto"/>
              <w:bottom w:val="single" w:sz="4" w:space="0" w:color="auto"/>
              <w:right w:val="single" w:sz="4" w:space="0" w:color="auto"/>
            </w:tcBorders>
            <w:shd w:val="clear" w:color="auto" w:fill="auto"/>
            <w:noWrap/>
            <w:vAlign w:val="bottom"/>
            <w:hideMark/>
          </w:tcPr>
          <w:p w14:paraId="2AB17E8A" w14:textId="77777777" w:rsidR="005F0F19" w:rsidRPr="00C33D69" w:rsidRDefault="005F0F19" w:rsidP="00502EF8">
            <w:pPr>
              <w:jc w:val="right"/>
              <w:rPr>
                <w:color w:val="000000"/>
                <w:sz w:val="22"/>
                <w:szCs w:val="22"/>
              </w:rPr>
            </w:pPr>
            <w:r w:rsidRPr="00C33D69">
              <w:rPr>
                <w:color w:val="000000"/>
                <w:sz w:val="22"/>
                <w:szCs w:val="22"/>
              </w:rPr>
              <w:t>104</w:t>
            </w:r>
          </w:p>
        </w:tc>
        <w:tc>
          <w:tcPr>
            <w:tcW w:w="1014" w:type="dxa"/>
            <w:tcBorders>
              <w:top w:val="nil"/>
              <w:left w:val="nil"/>
              <w:bottom w:val="single" w:sz="4" w:space="0" w:color="auto"/>
              <w:right w:val="single" w:sz="4" w:space="0" w:color="auto"/>
            </w:tcBorders>
            <w:shd w:val="clear" w:color="auto" w:fill="auto"/>
            <w:noWrap/>
            <w:vAlign w:val="bottom"/>
            <w:hideMark/>
          </w:tcPr>
          <w:p w14:paraId="76505011" w14:textId="77777777" w:rsidR="005F0F19" w:rsidRPr="00C33D69" w:rsidRDefault="005F0F19" w:rsidP="00502EF8">
            <w:pPr>
              <w:jc w:val="right"/>
              <w:rPr>
                <w:color w:val="000000"/>
                <w:sz w:val="22"/>
                <w:szCs w:val="22"/>
              </w:rPr>
            </w:pPr>
            <w:r w:rsidRPr="00C33D69">
              <w:rPr>
                <w:color w:val="000000"/>
                <w:sz w:val="22"/>
                <w:szCs w:val="22"/>
              </w:rPr>
              <w:t>18.7%</w:t>
            </w:r>
          </w:p>
        </w:tc>
        <w:tc>
          <w:tcPr>
            <w:tcW w:w="1247" w:type="dxa"/>
            <w:tcBorders>
              <w:top w:val="nil"/>
              <w:left w:val="nil"/>
              <w:bottom w:val="single" w:sz="4" w:space="0" w:color="auto"/>
              <w:right w:val="single" w:sz="4" w:space="0" w:color="auto"/>
            </w:tcBorders>
            <w:shd w:val="clear" w:color="auto" w:fill="auto"/>
            <w:noWrap/>
            <w:vAlign w:val="bottom"/>
            <w:hideMark/>
          </w:tcPr>
          <w:p w14:paraId="021C9783" w14:textId="77777777" w:rsidR="005F0F19" w:rsidRPr="00C33D69" w:rsidRDefault="005F0F19" w:rsidP="00502EF8">
            <w:pPr>
              <w:jc w:val="right"/>
              <w:rPr>
                <w:color w:val="000000"/>
                <w:sz w:val="22"/>
                <w:szCs w:val="22"/>
              </w:rPr>
            </w:pPr>
            <w:r w:rsidRPr="00C33D69">
              <w:rPr>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14:paraId="1DED2F78" w14:textId="77777777" w:rsidR="005F0F19" w:rsidRPr="00C33D69" w:rsidRDefault="005F0F19" w:rsidP="00502EF8">
            <w:pPr>
              <w:jc w:val="right"/>
              <w:rPr>
                <w:color w:val="000000"/>
                <w:sz w:val="22"/>
                <w:szCs w:val="22"/>
              </w:rPr>
            </w:pPr>
            <w:r w:rsidRPr="00C33D69">
              <w:rPr>
                <w:color w:val="000000"/>
                <w:sz w:val="22"/>
                <w:szCs w:val="22"/>
              </w:rPr>
              <w:t>6.9%</w:t>
            </w:r>
          </w:p>
        </w:tc>
      </w:tr>
      <w:tr w:rsidR="005F0F19" w:rsidRPr="00C33D69" w14:paraId="3BDF32B2" w14:textId="77777777" w:rsidTr="00502EF8">
        <w:trPr>
          <w:trHeight w:val="277"/>
        </w:trPr>
        <w:tc>
          <w:tcPr>
            <w:tcW w:w="1088" w:type="dxa"/>
            <w:tcBorders>
              <w:top w:val="nil"/>
              <w:left w:val="single" w:sz="4" w:space="0" w:color="auto"/>
              <w:bottom w:val="single" w:sz="4" w:space="0" w:color="auto"/>
              <w:right w:val="nil"/>
            </w:tcBorders>
            <w:shd w:val="clear" w:color="000000" w:fill="auto"/>
            <w:noWrap/>
            <w:vAlign w:val="bottom"/>
            <w:hideMark/>
          </w:tcPr>
          <w:p w14:paraId="31079F1A" w14:textId="77777777" w:rsidR="005F0F19" w:rsidRPr="0079075D" w:rsidRDefault="005F0F19" w:rsidP="00502EF8">
            <w:pPr>
              <w:rPr>
                <w:bCs/>
                <w:color w:val="000000"/>
                <w:sz w:val="22"/>
                <w:szCs w:val="22"/>
              </w:rPr>
            </w:pPr>
            <w:r w:rsidRPr="0079075D">
              <w:rPr>
                <w:bCs/>
                <w:color w:val="000000"/>
                <w:sz w:val="22"/>
                <w:szCs w:val="22"/>
              </w:rPr>
              <w:t>SC</w:t>
            </w:r>
          </w:p>
        </w:tc>
        <w:tc>
          <w:tcPr>
            <w:tcW w:w="1163" w:type="dxa"/>
            <w:tcBorders>
              <w:top w:val="nil"/>
              <w:left w:val="single" w:sz="4" w:space="0" w:color="auto"/>
              <w:bottom w:val="single" w:sz="4" w:space="0" w:color="auto"/>
              <w:right w:val="single" w:sz="4" w:space="0" w:color="auto"/>
            </w:tcBorders>
            <w:shd w:val="clear" w:color="auto" w:fill="auto"/>
            <w:noWrap/>
            <w:vAlign w:val="bottom"/>
            <w:hideMark/>
          </w:tcPr>
          <w:p w14:paraId="0C6F6A9C" w14:textId="77777777" w:rsidR="005F0F19" w:rsidRPr="00C33D69" w:rsidRDefault="005F0F19" w:rsidP="00502EF8">
            <w:pPr>
              <w:jc w:val="right"/>
              <w:rPr>
                <w:color w:val="000000"/>
                <w:sz w:val="22"/>
                <w:szCs w:val="22"/>
              </w:rPr>
            </w:pPr>
            <w:r w:rsidRPr="00C33D69">
              <w:rPr>
                <w:color w:val="000000"/>
                <w:sz w:val="22"/>
                <w:szCs w:val="22"/>
              </w:rPr>
              <w:t>52</w:t>
            </w:r>
          </w:p>
        </w:tc>
        <w:tc>
          <w:tcPr>
            <w:tcW w:w="1014" w:type="dxa"/>
            <w:tcBorders>
              <w:top w:val="nil"/>
              <w:left w:val="nil"/>
              <w:bottom w:val="single" w:sz="4" w:space="0" w:color="auto"/>
              <w:right w:val="single" w:sz="4" w:space="0" w:color="auto"/>
            </w:tcBorders>
            <w:shd w:val="clear" w:color="auto" w:fill="auto"/>
            <w:noWrap/>
            <w:vAlign w:val="bottom"/>
            <w:hideMark/>
          </w:tcPr>
          <w:p w14:paraId="2959A50F" w14:textId="77777777" w:rsidR="005F0F19" w:rsidRPr="00C33D69" w:rsidRDefault="005F0F19" w:rsidP="00502EF8">
            <w:pPr>
              <w:jc w:val="right"/>
              <w:rPr>
                <w:color w:val="000000"/>
                <w:sz w:val="22"/>
                <w:szCs w:val="22"/>
              </w:rPr>
            </w:pPr>
            <w:r w:rsidRPr="00C33D69">
              <w:rPr>
                <w:color w:val="000000"/>
                <w:sz w:val="22"/>
                <w:szCs w:val="22"/>
              </w:rPr>
              <w:t>9.4%</w:t>
            </w:r>
          </w:p>
        </w:tc>
        <w:tc>
          <w:tcPr>
            <w:tcW w:w="1247" w:type="dxa"/>
            <w:tcBorders>
              <w:top w:val="nil"/>
              <w:left w:val="nil"/>
              <w:bottom w:val="single" w:sz="4" w:space="0" w:color="auto"/>
              <w:right w:val="single" w:sz="4" w:space="0" w:color="auto"/>
            </w:tcBorders>
            <w:shd w:val="clear" w:color="auto" w:fill="auto"/>
            <w:noWrap/>
            <w:vAlign w:val="bottom"/>
            <w:hideMark/>
          </w:tcPr>
          <w:p w14:paraId="6F1E07BD" w14:textId="77777777" w:rsidR="005F0F19" w:rsidRPr="00C33D69" w:rsidRDefault="005F0F19" w:rsidP="00502EF8">
            <w:pPr>
              <w:jc w:val="right"/>
              <w:rPr>
                <w:color w:val="000000"/>
                <w:sz w:val="22"/>
                <w:szCs w:val="22"/>
              </w:rPr>
            </w:pPr>
            <w:r w:rsidRPr="00C33D69">
              <w:rPr>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14:paraId="6E1BCEF3" w14:textId="77777777" w:rsidR="005F0F19" w:rsidRPr="00C33D69" w:rsidRDefault="005F0F19" w:rsidP="00502EF8">
            <w:pPr>
              <w:jc w:val="right"/>
              <w:rPr>
                <w:color w:val="000000"/>
                <w:sz w:val="22"/>
                <w:szCs w:val="22"/>
              </w:rPr>
            </w:pPr>
            <w:r w:rsidRPr="00C33D69">
              <w:rPr>
                <w:color w:val="000000"/>
                <w:sz w:val="22"/>
                <w:szCs w:val="22"/>
              </w:rPr>
              <w:t>1.7%</w:t>
            </w:r>
          </w:p>
        </w:tc>
      </w:tr>
      <w:tr w:rsidR="005F0F19" w:rsidRPr="00C33D69" w14:paraId="3346750A" w14:textId="77777777" w:rsidTr="00502EF8">
        <w:trPr>
          <w:trHeight w:val="277"/>
        </w:trPr>
        <w:tc>
          <w:tcPr>
            <w:tcW w:w="1088" w:type="dxa"/>
            <w:tcBorders>
              <w:top w:val="nil"/>
              <w:left w:val="single" w:sz="4" w:space="0" w:color="auto"/>
              <w:bottom w:val="single" w:sz="4" w:space="0" w:color="auto"/>
              <w:right w:val="single" w:sz="4" w:space="0" w:color="auto"/>
            </w:tcBorders>
            <w:shd w:val="clear" w:color="000000" w:fill="auto"/>
            <w:noWrap/>
            <w:vAlign w:val="bottom"/>
            <w:hideMark/>
          </w:tcPr>
          <w:p w14:paraId="7CA89839" w14:textId="77777777" w:rsidR="005F0F19" w:rsidRPr="0079075D" w:rsidRDefault="005F0F19" w:rsidP="00502EF8">
            <w:pPr>
              <w:rPr>
                <w:bCs/>
                <w:color w:val="000000"/>
                <w:sz w:val="22"/>
                <w:szCs w:val="22"/>
              </w:rPr>
            </w:pPr>
            <w:r w:rsidRPr="0079075D">
              <w:rPr>
                <w:bCs/>
                <w:color w:val="000000"/>
                <w:sz w:val="22"/>
                <w:szCs w:val="22"/>
              </w:rPr>
              <w:t>Other</w:t>
            </w:r>
          </w:p>
        </w:tc>
        <w:tc>
          <w:tcPr>
            <w:tcW w:w="1163" w:type="dxa"/>
            <w:tcBorders>
              <w:top w:val="nil"/>
              <w:left w:val="nil"/>
              <w:bottom w:val="single" w:sz="4" w:space="0" w:color="auto"/>
              <w:right w:val="single" w:sz="4" w:space="0" w:color="auto"/>
            </w:tcBorders>
            <w:shd w:val="clear" w:color="auto" w:fill="auto"/>
            <w:noWrap/>
            <w:vAlign w:val="bottom"/>
            <w:hideMark/>
          </w:tcPr>
          <w:p w14:paraId="6AE4C06F" w14:textId="77777777" w:rsidR="005F0F19" w:rsidRPr="00C33D69" w:rsidRDefault="005F0F19" w:rsidP="00502EF8">
            <w:pPr>
              <w:jc w:val="right"/>
              <w:rPr>
                <w:color w:val="000000"/>
                <w:sz w:val="22"/>
                <w:szCs w:val="22"/>
              </w:rPr>
            </w:pPr>
            <w:r w:rsidRPr="00C33D69">
              <w:rPr>
                <w:color w:val="000000"/>
                <w:sz w:val="22"/>
                <w:szCs w:val="22"/>
              </w:rPr>
              <w:t>18</w:t>
            </w:r>
          </w:p>
        </w:tc>
        <w:tc>
          <w:tcPr>
            <w:tcW w:w="1014" w:type="dxa"/>
            <w:tcBorders>
              <w:top w:val="nil"/>
              <w:left w:val="nil"/>
              <w:bottom w:val="single" w:sz="4" w:space="0" w:color="auto"/>
              <w:right w:val="single" w:sz="4" w:space="0" w:color="auto"/>
            </w:tcBorders>
            <w:shd w:val="clear" w:color="auto" w:fill="auto"/>
            <w:noWrap/>
            <w:vAlign w:val="bottom"/>
            <w:hideMark/>
          </w:tcPr>
          <w:p w14:paraId="64B75ABB" w14:textId="77777777" w:rsidR="005F0F19" w:rsidRPr="00C33D69" w:rsidRDefault="005F0F19" w:rsidP="00502EF8">
            <w:pPr>
              <w:jc w:val="right"/>
              <w:rPr>
                <w:color w:val="000000"/>
                <w:sz w:val="22"/>
                <w:szCs w:val="22"/>
              </w:rPr>
            </w:pPr>
            <w:r w:rsidRPr="00C33D69">
              <w:rPr>
                <w:color w:val="000000"/>
                <w:sz w:val="22"/>
                <w:szCs w:val="22"/>
              </w:rPr>
              <w:t>3.2%</w:t>
            </w:r>
          </w:p>
        </w:tc>
        <w:tc>
          <w:tcPr>
            <w:tcW w:w="1247" w:type="dxa"/>
            <w:tcBorders>
              <w:top w:val="nil"/>
              <w:left w:val="nil"/>
              <w:bottom w:val="single" w:sz="4" w:space="0" w:color="auto"/>
              <w:right w:val="single" w:sz="4" w:space="0" w:color="auto"/>
            </w:tcBorders>
            <w:shd w:val="clear" w:color="auto" w:fill="auto"/>
            <w:noWrap/>
            <w:vAlign w:val="bottom"/>
            <w:hideMark/>
          </w:tcPr>
          <w:p w14:paraId="6920B43D" w14:textId="77777777" w:rsidR="005F0F19" w:rsidRPr="00C33D69" w:rsidRDefault="005F0F19" w:rsidP="00502EF8">
            <w:pPr>
              <w:jc w:val="right"/>
              <w:rPr>
                <w:color w:val="000000"/>
                <w:sz w:val="22"/>
                <w:szCs w:val="22"/>
              </w:rPr>
            </w:pPr>
            <w:r w:rsidRPr="00C33D69">
              <w:rPr>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14:paraId="26AF6F1D" w14:textId="77777777" w:rsidR="005F0F19" w:rsidRPr="00C33D69" w:rsidRDefault="005F0F19" w:rsidP="00502EF8">
            <w:pPr>
              <w:jc w:val="right"/>
              <w:rPr>
                <w:color w:val="000000"/>
                <w:sz w:val="22"/>
                <w:szCs w:val="22"/>
              </w:rPr>
            </w:pPr>
            <w:r w:rsidRPr="00C33D69">
              <w:rPr>
                <w:color w:val="000000"/>
                <w:sz w:val="22"/>
                <w:szCs w:val="22"/>
              </w:rPr>
              <w:t>2.6%</w:t>
            </w:r>
          </w:p>
        </w:tc>
      </w:tr>
      <w:tr w:rsidR="005F0F19" w:rsidRPr="00C33D69" w14:paraId="75486CF2" w14:textId="77777777" w:rsidTr="00502EF8">
        <w:trPr>
          <w:trHeight w:val="277"/>
        </w:trPr>
        <w:tc>
          <w:tcPr>
            <w:tcW w:w="1088" w:type="dxa"/>
            <w:tcBorders>
              <w:top w:val="nil"/>
              <w:left w:val="single" w:sz="4" w:space="0" w:color="auto"/>
              <w:bottom w:val="single" w:sz="4" w:space="0" w:color="auto"/>
              <w:right w:val="nil"/>
            </w:tcBorders>
            <w:shd w:val="clear" w:color="000000" w:fill="auto"/>
            <w:noWrap/>
            <w:vAlign w:val="bottom"/>
            <w:hideMark/>
          </w:tcPr>
          <w:p w14:paraId="3104E1BE" w14:textId="77777777" w:rsidR="005F0F19" w:rsidRPr="0079075D" w:rsidRDefault="005F0F19" w:rsidP="00502EF8">
            <w:pPr>
              <w:rPr>
                <w:bCs/>
                <w:iCs/>
                <w:color w:val="000000"/>
                <w:sz w:val="22"/>
                <w:szCs w:val="22"/>
              </w:rPr>
            </w:pPr>
            <w:r w:rsidRPr="0079075D">
              <w:rPr>
                <w:bCs/>
                <w:iCs/>
                <w:color w:val="000000"/>
                <w:sz w:val="22"/>
                <w:szCs w:val="22"/>
              </w:rPr>
              <w:t>Total</w:t>
            </w:r>
          </w:p>
        </w:tc>
        <w:tc>
          <w:tcPr>
            <w:tcW w:w="1163" w:type="dxa"/>
            <w:tcBorders>
              <w:top w:val="nil"/>
              <w:left w:val="single" w:sz="4" w:space="0" w:color="auto"/>
              <w:bottom w:val="single" w:sz="4" w:space="0" w:color="auto"/>
              <w:right w:val="single" w:sz="4" w:space="0" w:color="auto"/>
            </w:tcBorders>
            <w:shd w:val="clear" w:color="auto" w:fill="auto"/>
            <w:noWrap/>
            <w:vAlign w:val="bottom"/>
            <w:hideMark/>
          </w:tcPr>
          <w:p w14:paraId="2354F916" w14:textId="77777777" w:rsidR="005F0F19" w:rsidRPr="0079075D" w:rsidRDefault="005F0F19" w:rsidP="00502EF8">
            <w:pPr>
              <w:jc w:val="right"/>
              <w:rPr>
                <w:color w:val="000000"/>
                <w:sz w:val="22"/>
                <w:szCs w:val="22"/>
              </w:rPr>
            </w:pPr>
            <w:r w:rsidRPr="0079075D">
              <w:rPr>
                <w:color w:val="000000"/>
                <w:sz w:val="22"/>
                <w:szCs w:val="22"/>
              </w:rPr>
              <w:t>555</w:t>
            </w:r>
          </w:p>
        </w:tc>
        <w:tc>
          <w:tcPr>
            <w:tcW w:w="1014" w:type="dxa"/>
            <w:tcBorders>
              <w:top w:val="nil"/>
              <w:left w:val="nil"/>
              <w:bottom w:val="single" w:sz="4" w:space="0" w:color="auto"/>
              <w:right w:val="single" w:sz="4" w:space="0" w:color="auto"/>
            </w:tcBorders>
            <w:shd w:val="clear" w:color="auto" w:fill="auto"/>
            <w:noWrap/>
            <w:vAlign w:val="bottom"/>
            <w:hideMark/>
          </w:tcPr>
          <w:p w14:paraId="0DE48A47" w14:textId="77777777" w:rsidR="005F0F19" w:rsidRPr="0079075D" w:rsidRDefault="005F0F19" w:rsidP="00502EF8">
            <w:pPr>
              <w:jc w:val="right"/>
              <w:rPr>
                <w:color w:val="000000"/>
                <w:sz w:val="22"/>
                <w:szCs w:val="22"/>
              </w:rPr>
            </w:pPr>
            <w:r w:rsidRPr="0079075D">
              <w:rPr>
                <w:color w:val="000000"/>
                <w:sz w:val="22"/>
                <w:szCs w:val="22"/>
              </w:rPr>
              <w:t>100.0%</w:t>
            </w:r>
          </w:p>
        </w:tc>
        <w:tc>
          <w:tcPr>
            <w:tcW w:w="1247" w:type="dxa"/>
            <w:tcBorders>
              <w:top w:val="nil"/>
              <w:left w:val="nil"/>
              <w:bottom w:val="single" w:sz="4" w:space="0" w:color="auto"/>
              <w:right w:val="single" w:sz="4" w:space="0" w:color="auto"/>
            </w:tcBorders>
            <w:shd w:val="clear" w:color="auto" w:fill="auto"/>
            <w:noWrap/>
            <w:vAlign w:val="bottom"/>
            <w:hideMark/>
          </w:tcPr>
          <w:p w14:paraId="13996BA3" w14:textId="77777777" w:rsidR="005F0F19" w:rsidRPr="0079075D" w:rsidRDefault="005F0F19" w:rsidP="00502EF8">
            <w:pPr>
              <w:jc w:val="right"/>
              <w:rPr>
                <w:color w:val="000000"/>
                <w:sz w:val="22"/>
                <w:szCs w:val="22"/>
              </w:rPr>
            </w:pPr>
            <w:r w:rsidRPr="0079075D">
              <w:rPr>
                <w:color w:val="000000"/>
                <w:sz w:val="22"/>
                <w:szCs w:val="22"/>
              </w:rPr>
              <w:t>116</w:t>
            </w:r>
          </w:p>
        </w:tc>
        <w:tc>
          <w:tcPr>
            <w:tcW w:w="1088" w:type="dxa"/>
            <w:tcBorders>
              <w:top w:val="nil"/>
              <w:left w:val="nil"/>
              <w:bottom w:val="single" w:sz="4" w:space="0" w:color="auto"/>
              <w:right w:val="single" w:sz="4" w:space="0" w:color="auto"/>
            </w:tcBorders>
            <w:shd w:val="clear" w:color="auto" w:fill="auto"/>
            <w:noWrap/>
            <w:vAlign w:val="bottom"/>
            <w:hideMark/>
          </w:tcPr>
          <w:p w14:paraId="7FC2F546" w14:textId="77777777" w:rsidR="005F0F19" w:rsidRPr="0079075D" w:rsidRDefault="005F0F19" w:rsidP="00502EF8">
            <w:pPr>
              <w:jc w:val="right"/>
              <w:rPr>
                <w:color w:val="000000"/>
                <w:sz w:val="22"/>
                <w:szCs w:val="22"/>
              </w:rPr>
            </w:pPr>
            <w:r w:rsidRPr="0079075D">
              <w:rPr>
                <w:color w:val="000000"/>
                <w:sz w:val="22"/>
                <w:szCs w:val="22"/>
              </w:rPr>
              <w:t>100.0%</w:t>
            </w:r>
          </w:p>
        </w:tc>
      </w:tr>
    </w:tbl>
    <w:p w14:paraId="76887D1E" w14:textId="77777777" w:rsidR="005F0F19" w:rsidRPr="0067026A" w:rsidRDefault="005F0F19" w:rsidP="005F0F19">
      <w:r w:rsidRPr="0067026A">
        <w:rPr>
          <w:rFonts w:ascii="Arial" w:hAnsi="Arial" w:cs="Arial"/>
          <w:sz w:val="20"/>
          <w:szCs w:val="20"/>
        </w:rPr>
        <w:t>Source:  NMFS SERO PIMS.</w:t>
      </w:r>
    </w:p>
    <w:p w14:paraId="6D34D5D1" w14:textId="77777777" w:rsidR="005F0F19" w:rsidRPr="0067026A" w:rsidRDefault="005F0F19" w:rsidP="005F0F19"/>
    <w:p w14:paraId="1EFB9EC0" w14:textId="76CEA85B" w:rsidR="005F0F19" w:rsidRDefault="005F0F19" w:rsidP="005F0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pPr>
      <w:r>
        <w:t>Dealers that want to purchase, receive, trade or barter snapper grouper species or species complexes, excluding wreckfish, caught by federal commercially permitted fishing vessels must have a Gulf and South Atlantic dealer permit.  As of March 23, 2016, there were 418 entities with that permit and approximately 57% (240) of those entities resided in Florida (</w:t>
      </w:r>
      <w:r w:rsidRPr="00D44B90">
        <w:rPr>
          <w:b/>
        </w:rPr>
        <w:t>Table 3.3.5</w:t>
      </w:r>
      <w:r>
        <w:t xml:space="preserve">).  A dealer that purchases, receives, trades or barters wreckfish caught in federal waters must have a wreckfish permit.  </w:t>
      </w:r>
      <w:r w:rsidR="005E2E4F">
        <w:t>More recently, as of October 30, 2016, 415</w:t>
      </w:r>
      <w:r w:rsidR="00B45740">
        <w:t xml:space="preserve"> entities had the dealer permit.</w:t>
      </w:r>
    </w:p>
    <w:p w14:paraId="3605EDEA" w14:textId="77777777" w:rsidR="005F0F19" w:rsidRDefault="005F0F19" w:rsidP="005F0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pPr>
    </w:p>
    <w:p w14:paraId="1C84EC66" w14:textId="77777777" w:rsidR="005F0F19" w:rsidRDefault="005F0F19" w:rsidP="005F0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pPr>
    </w:p>
    <w:p w14:paraId="326DB5FC" w14:textId="77777777" w:rsidR="005F0F19" w:rsidRDefault="005F0F19" w:rsidP="005F0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pPr>
    </w:p>
    <w:p w14:paraId="12716F5E" w14:textId="04BB521E" w:rsidR="005F0F19" w:rsidRDefault="005F0F19" w:rsidP="005F0F19">
      <w:pPr>
        <w:rPr>
          <w:rFonts w:ascii="Arial" w:hAnsi="Arial"/>
          <w:b/>
          <w:bCs/>
          <w:sz w:val="20"/>
          <w:szCs w:val="20"/>
        </w:rPr>
      </w:pPr>
    </w:p>
    <w:p w14:paraId="038EA0BF" w14:textId="77777777" w:rsidR="00847AB4" w:rsidRDefault="00847AB4">
      <w:pPr>
        <w:rPr>
          <w:rFonts w:ascii="Arial" w:hAnsi="Arial"/>
          <w:b/>
          <w:bCs/>
          <w:sz w:val="20"/>
        </w:rPr>
      </w:pPr>
      <w:r>
        <w:rPr>
          <w:b/>
        </w:rPr>
        <w:br w:type="page"/>
      </w:r>
    </w:p>
    <w:p w14:paraId="24CA132F" w14:textId="744B3073" w:rsidR="005F0F19" w:rsidRPr="0067026A" w:rsidRDefault="005F0F19" w:rsidP="005F0F19">
      <w:pPr>
        <w:pStyle w:val="Tabletitle"/>
        <w:rPr>
          <w:b/>
        </w:rPr>
      </w:pPr>
      <w:bookmarkStart w:id="143" w:name="_Toc340431550"/>
      <w:r>
        <w:rPr>
          <w:b/>
        </w:rPr>
        <w:lastRenderedPageBreak/>
        <w:t>Table 3.3.5</w:t>
      </w:r>
      <w:r w:rsidRPr="0067026A">
        <w:rPr>
          <w:b/>
        </w:rPr>
        <w:t xml:space="preserve">.  </w:t>
      </w:r>
      <w:r w:rsidRPr="0067026A">
        <w:t>Number and percent</w:t>
      </w:r>
      <w:r>
        <w:t>age</w:t>
      </w:r>
      <w:r w:rsidRPr="0067026A">
        <w:t xml:space="preserve"> of </w:t>
      </w:r>
      <w:r>
        <w:t xml:space="preserve">Gulf and South Atlantic dealer permits </w:t>
      </w:r>
      <w:r w:rsidRPr="0067026A">
        <w:t>by state of residence of permit holder as o</w:t>
      </w:r>
      <w:r>
        <w:t>f March 23, 2016</w:t>
      </w:r>
      <w:r w:rsidRPr="0067026A">
        <w:t>.</w:t>
      </w:r>
      <w:bookmarkEnd w:id="143"/>
      <w:r w:rsidRPr="0067026A">
        <w:rPr>
          <w:b/>
        </w:rPr>
        <w:t xml:space="preserve">  </w:t>
      </w:r>
    </w:p>
    <w:tbl>
      <w:tblPr>
        <w:tblW w:w="5055" w:type="dxa"/>
        <w:tblInd w:w="93" w:type="dxa"/>
        <w:tblLook w:val="04A0" w:firstRow="1" w:lastRow="0" w:firstColumn="1" w:lastColumn="0" w:noHBand="0" w:noVBand="1"/>
      </w:tblPr>
      <w:tblGrid>
        <w:gridCol w:w="2355"/>
        <w:gridCol w:w="1170"/>
        <w:gridCol w:w="1530"/>
      </w:tblGrid>
      <w:tr w:rsidR="005F0F19" w:rsidRPr="00AE3C2C" w14:paraId="1BB2ECB4" w14:textId="77777777" w:rsidTr="00502EF8">
        <w:trPr>
          <w:trHeight w:val="300"/>
        </w:trPr>
        <w:tc>
          <w:tcPr>
            <w:tcW w:w="2355"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bottom"/>
            <w:hideMark/>
          </w:tcPr>
          <w:p w14:paraId="774EC817" w14:textId="77777777" w:rsidR="005F0F19" w:rsidRPr="00AE3C2C" w:rsidRDefault="005F0F19" w:rsidP="00502EF8">
            <w:pPr>
              <w:jc w:val="center"/>
              <w:rPr>
                <w:b/>
                <w:bCs/>
                <w:color w:val="000000"/>
                <w:sz w:val="22"/>
                <w:szCs w:val="22"/>
              </w:rPr>
            </w:pPr>
            <w:r w:rsidRPr="00AE3C2C">
              <w:rPr>
                <w:b/>
                <w:bCs/>
                <w:color w:val="000000"/>
                <w:sz w:val="22"/>
                <w:szCs w:val="22"/>
              </w:rPr>
              <w:t>State</w:t>
            </w:r>
          </w:p>
        </w:tc>
        <w:tc>
          <w:tcPr>
            <w:tcW w:w="1170"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245F0847" w14:textId="77777777" w:rsidR="005F0F19" w:rsidRPr="00AE3C2C" w:rsidRDefault="005F0F19" w:rsidP="00502EF8">
            <w:pPr>
              <w:jc w:val="center"/>
              <w:rPr>
                <w:b/>
                <w:bCs/>
                <w:color w:val="000000"/>
                <w:sz w:val="22"/>
                <w:szCs w:val="22"/>
              </w:rPr>
            </w:pPr>
            <w:r w:rsidRPr="00AE3C2C">
              <w:rPr>
                <w:b/>
                <w:bCs/>
                <w:color w:val="000000"/>
                <w:sz w:val="22"/>
                <w:szCs w:val="22"/>
              </w:rPr>
              <w:t>Number</w:t>
            </w:r>
          </w:p>
        </w:tc>
        <w:tc>
          <w:tcPr>
            <w:tcW w:w="1530"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6CCD5140" w14:textId="77777777" w:rsidR="005F0F19" w:rsidRPr="00AE3C2C" w:rsidRDefault="005F0F19" w:rsidP="00502EF8">
            <w:pPr>
              <w:jc w:val="center"/>
              <w:rPr>
                <w:b/>
                <w:bCs/>
                <w:color w:val="000000"/>
                <w:sz w:val="22"/>
                <w:szCs w:val="22"/>
              </w:rPr>
            </w:pPr>
            <w:r w:rsidRPr="00AE3C2C">
              <w:rPr>
                <w:b/>
                <w:bCs/>
                <w:color w:val="000000"/>
                <w:sz w:val="22"/>
                <w:szCs w:val="22"/>
              </w:rPr>
              <w:t>Percent</w:t>
            </w:r>
          </w:p>
        </w:tc>
      </w:tr>
      <w:tr w:rsidR="005F0F19" w:rsidRPr="00AE3C2C" w14:paraId="3E338DD6" w14:textId="77777777" w:rsidTr="00502EF8">
        <w:trPr>
          <w:trHeight w:val="300"/>
        </w:trPr>
        <w:tc>
          <w:tcPr>
            <w:tcW w:w="2355" w:type="dxa"/>
            <w:tcBorders>
              <w:top w:val="nil"/>
              <w:left w:val="single" w:sz="4" w:space="0" w:color="auto"/>
              <w:bottom w:val="single" w:sz="4" w:space="0" w:color="auto"/>
              <w:right w:val="single" w:sz="4" w:space="0" w:color="auto"/>
            </w:tcBorders>
            <w:shd w:val="clear" w:color="000000" w:fill="auto"/>
            <w:noWrap/>
            <w:vAlign w:val="bottom"/>
            <w:hideMark/>
          </w:tcPr>
          <w:p w14:paraId="3A2F70F6" w14:textId="77777777" w:rsidR="005F0F19" w:rsidRPr="00AE3C2C" w:rsidRDefault="005F0F19" w:rsidP="00502EF8">
            <w:pPr>
              <w:rPr>
                <w:bCs/>
                <w:color w:val="000000"/>
                <w:sz w:val="22"/>
                <w:szCs w:val="22"/>
              </w:rPr>
            </w:pPr>
            <w:r w:rsidRPr="00AE3C2C">
              <w:rPr>
                <w:bCs/>
                <w:color w:val="000000"/>
                <w:sz w:val="22"/>
                <w:szCs w:val="22"/>
              </w:rPr>
              <w:t>FL</w:t>
            </w:r>
          </w:p>
        </w:tc>
        <w:tc>
          <w:tcPr>
            <w:tcW w:w="1170" w:type="dxa"/>
            <w:tcBorders>
              <w:top w:val="nil"/>
              <w:left w:val="nil"/>
              <w:bottom w:val="single" w:sz="4" w:space="0" w:color="auto"/>
              <w:right w:val="single" w:sz="4" w:space="0" w:color="auto"/>
            </w:tcBorders>
            <w:shd w:val="clear" w:color="auto" w:fill="auto"/>
            <w:noWrap/>
            <w:vAlign w:val="bottom"/>
            <w:hideMark/>
          </w:tcPr>
          <w:p w14:paraId="490D505A" w14:textId="77777777" w:rsidR="005F0F19" w:rsidRPr="00AE3C2C" w:rsidRDefault="005F0F19" w:rsidP="00502EF8">
            <w:pPr>
              <w:jc w:val="center"/>
              <w:rPr>
                <w:color w:val="000000"/>
                <w:sz w:val="22"/>
                <w:szCs w:val="22"/>
              </w:rPr>
            </w:pPr>
            <w:r w:rsidRPr="00AE3C2C">
              <w:rPr>
                <w:color w:val="000000"/>
                <w:sz w:val="22"/>
                <w:szCs w:val="22"/>
              </w:rPr>
              <w:t>240</w:t>
            </w:r>
          </w:p>
        </w:tc>
        <w:tc>
          <w:tcPr>
            <w:tcW w:w="1530" w:type="dxa"/>
            <w:tcBorders>
              <w:top w:val="nil"/>
              <w:left w:val="nil"/>
              <w:bottom w:val="single" w:sz="4" w:space="0" w:color="auto"/>
              <w:right w:val="single" w:sz="4" w:space="0" w:color="auto"/>
            </w:tcBorders>
            <w:shd w:val="clear" w:color="auto" w:fill="auto"/>
            <w:noWrap/>
            <w:vAlign w:val="bottom"/>
            <w:hideMark/>
          </w:tcPr>
          <w:p w14:paraId="1ED0755F" w14:textId="77777777" w:rsidR="005F0F19" w:rsidRPr="00AE3C2C" w:rsidRDefault="005F0F19" w:rsidP="00502EF8">
            <w:pPr>
              <w:jc w:val="center"/>
              <w:rPr>
                <w:color w:val="000000"/>
                <w:sz w:val="22"/>
                <w:szCs w:val="22"/>
              </w:rPr>
            </w:pPr>
            <w:r w:rsidRPr="00AE3C2C">
              <w:rPr>
                <w:color w:val="000000"/>
                <w:sz w:val="22"/>
                <w:szCs w:val="22"/>
              </w:rPr>
              <w:t>57.4%</w:t>
            </w:r>
          </w:p>
        </w:tc>
      </w:tr>
      <w:tr w:rsidR="005F0F19" w:rsidRPr="00AE3C2C" w14:paraId="68CD3D4F" w14:textId="77777777" w:rsidTr="00502EF8">
        <w:trPr>
          <w:trHeight w:val="300"/>
        </w:trPr>
        <w:tc>
          <w:tcPr>
            <w:tcW w:w="2355" w:type="dxa"/>
            <w:tcBorders>
              <w:top w:val="nil"/>
              <w:left w:val="single" w:sz="4" w:space="0" w:color="auto"/>
              <w:bottom w:val="single" w:sz="4" w:space="0" w:color="auto"/>
              <w:right w:val="single" w:sz="4" w:space="0" w:color="auto"/>
            </w:tcBorders>
            <w:shd w:val="clear" w:color="000000" w:fill="auto"/>
            <w:noWrap/>
            <w:vAlign w:val="bottom"/>
            <w:hideMark/>
          </w:tcPr>
          <w:p w14:paraId="5AD519CA" w14:textId="77777777" w:rsidR="005F0F19" w:rsidRPr="00AE3C2C" w:rsidRDefault="005F0F19" w:rsidP="00502EF8">
            <w:pPr>
              <w:rPr>
                <w:bCs/>
                <w:color w:val="000000"/>
                <w:sz w:val="22"/>
                <w:szCs w:val="22"/>
              </w:rPr>
            </w:pPr>
            <w:r w:rsidRPr="00AE3C2C">
              <w:rPr>
                <w:bCs/>
                <w:color w:val="000000"/>
                <w:sz w:val="22"/>
                <w:szCs w:val="22"/>
              </w:rPr>
              <w:t>GA</w:t>
            </w:r>
          </w:p>
        </w:tc>
        <w:tc>
          <w:tcPr>
            <w:tcW w:w="1170" w:type="dxa"/>
            <w:tcBorders>
              <w:top w:val="nil"/>
              <w:left w:val="nil"/>
              <w:bottom w:val="single" w:sz="4" w:space="0" w:color="auto"/>
              <w:right w:val="single" w:sz="4" w:space="0" w:color="auto"/>
            </w:tcBorders>
            <w:shd w:val="clear" w:color="auto" w:fill="auto"/>
            <w:noWrap/>
            <w:vAlign w:val="bottom"/>
            <w:hideMark/>
          </w:tcPr>
          <w:p w14:paraId="3C4B4C6D" w14:textId="77777777" w:rsidR="005F0F19" w:rsidRPr="00AE3C2C" w:rsidRDefault="005F0F19" w:rsidP="00502EF8">
            <w:pPr>
              <w:jc w:val="center"/>
              <w:rPr>
                <w:color w:val="000000"/>
                <w:sz w:val="22"/>
                <w:szCs w:val="22"/>
              </w:rPr>
            </w:pPr>
            <w:r w:rsidRPr="00AE3C2C">
              <w:rPr>
                <w:color w:val="000000"/>
                <w:sz w:val="22"/>
                <w:szCs w:val="22"/>
              </w:rPr>
              <w:t>4</w:t>
            </w:r>
          </w:p>
        </w:tc>
        <w:tc>
          <w:tcPr>
            <w:tcW w:w="1530" w:type="dxa"/>
            <w:tcBorders>
              <w:top w:val="nil"/>
              <w:left w:val="nil"/>
              <w:bottom w:val="single" w:sz="4" w:space="0" w:color="auto"/>
              <w:right w:val="single" w:sz="4" w:space="0" w:color="auto"/>
            </w:tcBorders>
            <w:shd w:val="clear" w:color="auto" w:fill="auto"/>
            <w:noWrap/>
            <w:vAlign w:val="bottom"/>
            <w:hideMark/>
          </w:tcPr>
          <w:p w14:paraId="2FBFB69C" w14:textId="77777777" w:rsidR="005F0F19" w:rsidRPr="00AE3C2C" w:rsidRDefault="005F0F19" w:rsidP="00502EF8">
            <w:pPr>
              <w:jc w:val="center"/>
              <w:rPr>
                <w:color w:val="000000"/>
                <w:sz w:val="22"/>
                <w:szCs w:val="22"/>
              </w:rPr>
            </w:pPr>
            <w:r w:rsidRPr="00AE3C2C">
              <w:rPr>
                <w:color w:val="000000"/>
                <w:sz w:val="22"/>
                <w:szCs w:val="22"/>
              </w:rPr>
              <w:t>1.0%</w:t>
            </w:r>
          </w:p>
        </w:tc>
      </w:tr>
      <w:tr w:rsidR="005F0F19" w:rsidRPr="00AE3C2C" w14:paraId="0264E3C8" w14:textId="77777777" w:rsidTr="00502EF8">
        <w:trPr>
          <w:trHeight w:val="300"/>
        </w:trPr>
        <w:tc>
          <w:tcPr>
            <w:tcW w:w="2355" w:type="dxa"/>
            <w:tcBorders>
              <w:top w:val="nil"/>
              <w:left w:val="single" w:sz="4" w:space="0" w:color="auto"/>
              <w:bottom w:val="single" w:sz="4" w:space="0" w:color="auto"/>
              <w:right w:val="single" w:sz="4" w:space="0" w:color="auto"/>
            </w:tcBorders>
            <w:shd w:val="clear" w:color="000000" w:fill="auto"/>
            <w:noWrap/>
            <w:vAlign w:val="bottom"/>
            <w:hideMark/>
          </w:tcPr>
          <w:p w14:paraId="24B5FA35" w14:textId="77777777" w:rsidR="005F0F19" w:rsidRPr="00AE3C2C" w:rsidRDefault="005F0F19" w:rsidP="00502EF8">
            <w:pPr>
              <w:rPr>
                <w:bCs/>
                <w:color w:val="000000"/>
                <w:sz w:val="22"/>
                <w:szCs w:val="22"/>
              </w:rPr>
            </w:pPr>
            <w:r w:rsidRPr="00AE3C2C">
              <w:rPr>
                <w:bCs/>
                <w:color w:val="000000"/>
                <w:sz w:val="22"/>
                <w:szCs w:val="22"/>
              </w:rPr>
              <w:t>NC</w:t>
            </w:r>
          </w:p>
        </w:tc>
        <w:tc>
          <w:tcPr>
            <w:tcW w:w="1170" w:type="dxa"/>
            <w:tcBorders>
              <w:top w:val="nil"/>
              <w:left w:val="nil"/>
              <w:bottom w:val="single" w:sz="4" w:space="0" w:color="auto"/>
              <w:right w:val="single" w:sz="4" w:space="0" w:color="auto"/>
            </w:tcBorders>
            <w:shd w:val="clear" w:color="auto" w:fill="auto"/>
            <w:noWrap/>
            <w:vAlign w:val="bottom"/>
            <w:hideMark/>
          </w:tcPr>
          <w:p w14:paraId="744C9C6A" w14:textId="77777777" w:rsidR="005F0F19" w:rsidRPr="00AE3C2C" w:rsidRDefault="005F0F19" w:rsidP="00502EF8">
            <w:pPr>
              <w:jc w:val="center"/>
              <w:rPr>
                <w:color w:val="000000"/>
                <w:sz w:val="22"/>
                <w:szCs w:val="22"/>
              </w:rPr>
            </w:pPr>
            <w:r w:rsidRPr="00AE3C2C">
              <w:rPr>
                <w:color w:val="000000"/>
                <w:sz w:val="22"/>
                <w:szCs w:val="22"/>
              </w:rPr>
              <w:t>56</w:t>
            </w:r>
          </w:p>
        </w:tc>
        <w:tc>
          <w:tcPr>
            <w:tcW w:w="1530" w:type="dxa"/>
            <w:tcBorders>
              <w:top w:val="nil"/>
              <w:left w:val="nil"/>
              <w:bottom w:val="single" w:sz="4" w:space="0" w:color="auto"/>
              <w:right w:val="single" w:sz="4" w:space="0" w:color="auto"/>
            </w:tcBorders>
            <w:shd w:val="clear" w:color="auto" w:fill="auto"/>
            <w:noWrap/>
            <w:vAlign w:val="bottom"/>
            <w:hideMark/>
          </w:tcPr>
          <w:p w14:paraId="3A19948E" w14:textId="77777777" w:rsidR="005F0F19" w:rsidRPr="00AE3C2C" w:rsidRDefault="005F0F19" w:rsidP="00502EF8">
            <w:pPr>
              <w:jc w:val="center"/>
              <w:rPr>
                <w:color w:val="000000"/>
                <w:sz w:val="22"/>
                <w:szCs w:val="22"/>
              </w:rPr>
            </w:pPr>
            <w:r w:rsidRPr="00AE3C2C">
              <w:rPr>
                <w:color w:val="000000"/>
                <w:sz w:val="22"/>
                <w:szCs w:val="22"/>
              </w:rPr>
              <w:t>13.4%</w:t>
            </w:r>
          </w:p>
        </w:tc>
      </w:tr>
      <w:tr w:rsidR="005F0F19" w:rsidRPr="00AE3C2C" w14:paraId="3AC26DDE" w14:textId="77777777" w:rsidTr="00502EF8">
        <w:trPr>
          <w:trHeight w:val="300"/>
        </w:trPr>
        <w:tc>
          <w:tcPr>
            <w:tcW w:w="2355" w:type="dxa"/>
            <w:tcBorders>
              <w:top w:val="nil"/>
              <w:left w:val="single" w:sz="4" w:space="0" w:color="auto"/>
              <w:bottom w:val="single" w:sz="4" w:space="0" w:color="auto"/>
              <w:right w:val="single" w:sz="4" w:space="0" w:color="auto"/>
            </w:tcBorders>
            <w:shd w:val="clear" w:color="000000" w:fill="auto"/>
            <w:noWrap/>
            <w:vAlign w:val="bottom"/>
            <w:hideMark/>
          </w:tcPr>
          <w:p w14:paraId="73831B1D" w14:textId="77777777" w:rsidR="005F0F19" w:rsidRPr="00AE3C2C" w:rsidRDefault="005F0F19" w:rsidP="00502EF8">
            <w:pPr>
              <w:rPr>
                <w:bCs/>
                <w:color w:val="000000"/>
                <w:sz w:val="22"/>
                <w:szCs w:val="22"/>
              </w:rPr>
            </w:pPr>
            <w:r w:rsidRPr="00AE3C2C">
              <w:rPr>
                <w:bCs/>
                <w:color w:val="000000"/>
                <w:sz w:val="22"/>
                <w:szCs w:val="22"/>
              </w:rPr>
              <w:t>SC</w:t>
            </w:r>
          </w:p>
        </w:tc>
        <w:tc>
          <w:tcPr>
            <w:tcW w:w="1170" w:type="dxa"/>
            <w:tcBorders>
              <w:top w:val="nil"/>
              <w:left w:val="nil"/>
              <w:bottom w:val="single" w:sz="4" w:space="0" w:color="auto"/>
              <w:right w:val="single" w:sz="4" w:space="0" w:color="auto"/>
            </w:tcBorders>
            <w:shd w:val="clear" w:color="auto" w:fill="auto"/>
            <w:noWrap/>
            <w:vAlign w:val="bottom"/>
            <w:hideMark/>
          </w:tcPr>
          <w:p w14:paraId="07B40EDE" w14:textId="77777777" w:rsidR="005F0F19" w:rsidRPr="00AE3C2C" w:rsidRDefault="005F0F19" w:rsidP="00502EF8">
            <w:pPr>
              <w:jc w:val="center"/>
              <w:rPr>
                <w:color w:val="000000"/>
                <w:sz w:val="22"/>
                <w:szCs w:val="22"/>
              </w:rPr>
            </w:pPr>
            <w:r w:rsidRPr="00AE3C2C">
              <w:rPr>
                <w:color w:val="000000"/>
                <w:sz w:val="22"/>
                <w:szCs w:val="22"/>
              </w:rPr>
              <w:t>25</w:t>
            </w:r>
          </w:p>
        </w:tc>
        <w:tc>
          <w:tcPr>
            <w:tcW w:w="1530" w:type="dxa"/>
            <w:tcBorders>
              <w:top w:val="nil"/>
              <w:left w:val="nil"/>
              <w:bottom w:val="single" w:sz="4" w:space="0" w:color="auto"/>
              <w:right w:val="single" w:sz="4" w:space="0" w:color="auto"/>
            </w:tcBorders>
            <w:shd w:val="clear" w:color="auto" w:fill="auto"/>
            <w:noWrap/>
            <w:vAlign w:val="bottom"/>
            <w:hideMark/>
          </w:tcPr>
          <w:p w14:paraId="21AB1146" w14:textId="77777777" w:rsidR="005F0F19" w:rsidRPr="00AE3C2C" w:rsidRDefault="005F0F19" w:rsidP="00502EF8">
            <w:pPr>
              <w:jc w:val="center"/>
              <w:rPr>
                <w:color w:val="000000"/>
                <w:sz w:val="22"/>
                <w:szCs w:val="22"/>
              </w:rPr>
            </w:pPr>
            <w:r w:rsidRPr="00AE3C2C">
              <w:rPr>
                <w:color w:val="000000"/>
                <w:sz w:val="22"/>
                <w:szCs w:val="22"/>
              </w:rPr>
              <w:t>6.0%</w:t>
            </w:r>
          </w:p>
        </w:tc>
      </w:tr>
      <w:tr w:rsidR="005F0F19" w:rsidRPr="00AE3C2C" w14:paraId="419E82B3" w14:textId="77777777" w:rsidTr="00502EF8">
        <w:trPr>
          <w:trHeight w:val="300"/>
        </w:trPr>
        <w:tc>
          <w:tcPr>
            <w:tcW w:w="2355" w:type="dxa"/>
            <w:tcBorders>
              <w:top w:val="nil"/>
              <w:left w:val="single" w:sz="4" w:space="0" w:color="auto"/>
              <w:bottom w:val="single" w:sz="4" w:space="0" w:color="auto"/>
              <w:right w:val="single" w:sz="4" w:space="0" w:color="auto"/>
            </w:tcBorders>
            <w:shd w:val="clear" w:color="000000" w:fill="auto"/>
            <w:noWrap/>
            <w:vAlign w:val="bottom"/>
            <w:hideMark/>
          </w:tcPr>
          <w:p w14:paraId="4FFDA368" w14:textId="77777777" w:rsidR="005F0F19" w:rsidRPr="00AE3C2C" w:rsidRDefault="005F0F19" w:rsidP="00502EF8">
            <w:pPr>
              <w:rPr>
                <w:bCs/>
                <w:color w:val="000000"/>
                <w:sz w:val="22"/>
                <w:szCs w:val="22"/>
              </w:rPr>
            </w:pPr>
            <w:r w:rsidRPr="00AE3C2C">
              <w:rPr>
                <w:bCs/>
                <w:color w:val="000000"/>
                <w:sz w:val="22"/>
                <w:szCs w:val="22"/>
              </w:rPr>
              <w:t>Subtotal</w:t>
            </w:r>
          </w:p>
        </w:tc>
        <w:tc>
          <w:tcPr>
            <w:tcW w:w="1170" w:type="dxa"/>
            <w:tcBorders>
              <w:top w:val="nil"/>
              <w:left w:val="nil"/>
              <w:bottom w:val="single" w:sz="4" w:space="0" w:color="auto"/>
              <w:right w:val="single" w:sz="4" w:space="0" w:color="auto"/>
            </w:tcBorders>
            <w:shd w:val="clear" w:color="auto" w:fill="auto"/>
            <w:noWrap/>
            <w:vAlign w:val="bottom"/>
            <w:hideMark/>
          </w:tcPr>
          <w:p w14:paraId="5072AABE" w14:textId="77777777" w:rsidR="005F0F19" w:rsidRPr="00AE3C2C" w:rsidRDefault="005F0F19" w:rsidP="00502EF8">
            <w:pPr>
              <w:jc w:val="center"/>
              <w:rPr>
                <w:color w:val="000000"/>
                <w:sz w:val="22"/>
                <w:szCs w:val="22"/>
              </w:rPr>
            </w:pPr>
            <w:r w:rsidRPr="00AE3C2C">
              <w:rPr>
                <w:color w:val="000000"/>
                <w:sz w:val="22"/>
                <w:szCs w:val="22"/>
              </w:rPr>
              <w:t>325</w:t>
            </w:r>
          </w:p>
        </w:tc>
        <w:tc>
          <w:tcPr>
            <w:tcW w:w="1530" w:type="dxa"/>
            <w:tcBorders>
              <w:top w:val="nil"/>
              <w:left w:val="nil"/>
              <w:bottom w:val="single" w:sz="4" w:space="0" w:color="auto"/>
              <w:right w:val="single" w:sz="4" w:space="0" w:color="auto"/>
            </w:tcBorders>
            <w:shd w:val="clear" w:color="auto" w:fill="auto"/>
            <w:noWrap/>
            <w:vAlign w:val="bottom"/>
            <w:hideMark/>
          </w:tcPr>
          <w:p w14:paraId="5A0D0C52" w14:textId="77777777" w:rsidR="005F0F19" w:rsidRPr="00AE3C2C" w:rsidRDefault="005F0F19" w:rsidP="00502EF8">
            <w:pPr>
              <w:jc w:val="center"/>
              <w:rPr>
                <w:color w:val="000000"/>
                <w:sz w:val="22"/>
                <w:szCs w:val="22"/>
              </w:rPr>
            </w:pPr>
            <w:r w:rsidRPr="00AE3C2C">
              <w:rPr>
                <w:color w:val="000000"/>
                <w:sz w:val="22"/>
                <w:szCs w:val="22"/>
              </w:rPr>
              <w:t>77.8%</w:t>
            </w:r>
          </w:p>
        </w:tc>
      </w:tr>
      <w:tr w:rsidR="005F0F19" w:rsidRPr="00AE3C2C" w14:paraId="647C8602" w14:textId="77777777" w:rsidTr="00502EF8">
        <w:trPr>
          <w:trHeight w:val="300"/>
        </w:trPr>
        <w:tc>
          <w:tcPr>
            <w:tcW w:w="2355" w:type="dxa"/>
            <w:tcBorders>
              <w:top w:val="nil"/>
              <w:left w:val="single" w:sz="4" w:space="0" w:color="auto"/>
              <w:bottom w:val="single" w:sz="4" w:space="0" w:color="auto"/>
              <w:right w:val="single" w:sz="4" w:space="0" w:color="auto"/>
            </w:tcBorders>
            <w:shd w:val="clear" w:color="000000" w:fill="auto"/>
            <w:noWrap/>
            <w:vAlign w:val="bottom"/>
            <w:hideMark/>
          </w:tcPr>
          <w:p w14:paraId="7908EFDB" w14:textId="77777777" w:rsidR="005F0F19" w:rsidRPr="00AE3C2C" w:rsidRDefault="005F0F19" w:rsidP="00502EF8">
            <w:pPr>
              <w:rPr>
                <w:bCs/>
                <w:color w:val="000000"/>
                <w:sz w:val="22"/>
                <w:szCs w:val="22"/>
              </w:rPr>
            </w:pPr>
            <w:r w:rsidRPr="00AE3C2C">
              <w:rPr>
                <w:bCs/>
                <w:color w:val="000000"/>
                <w:sz w:val="22"/>
                <w:szCs w:val="22"/>
              </w:rPr>
              <w:t>All Other</w:t>
            </w:r>
          </w:p>
        </w:tc>
        <w:tc>
          <w:tcPr>
            <w:tcW w:w="1170" w:type="dxa"/>
            <w:tcBorders>
              <w:top w:val="nil"/>
              <w:left w:val="nil"/>
              <w:bottom w:val="single" w:sz="4" w:space="0" w:color="auto"/>
              <w:right w:val="single" w:sz="4" w:space="0" w:color="auto"/>
            </w:tcBorders>
            <w:shd w:val="clear" w:color="auto" w:fill="auto"/>
            <w:noWrap/>
            <w:vAlign w:val="bottom"/>
            <w:hideMark/>
          </w:tcPr>
          <w:p w14:paraId="66E694CD" w14:textId="77777777" w:rsidR="005F0F19" w:rsidRPr="00AE3C2C" w:rsidRDefault="005F0F19" w:rsidP="00502EF8">
            <w:pPr>
              <w:jc w:val="center"/>
              <w:rPr>
                <w:color w:val="000000"/>
                <w:sz w:val="22"/>
                <w:szCs w:val="22"/>
              </w:rPr>
            </w:pPr>
            <w:r w:rsidRPr="00AE3C2C">
              <w:rPr>
                <w:color w:val="000000"/>
                <w:sz w:val="22"/>
                <w:szCs w:val="22"/>
              </w:rPr>
              <w:t>93</w:t>
            </w:r>
          </w:p>
        </w:tc>
        <w:tc>
          <w:tcPr>
            <w:tcW w:w="1530" w:type="dxa"/>
            <w:tcBorders>
              <w:top w:val="nil"/>
              <w:left w:val="nil"/>
              <w:bottom w:val="single" w:sz="4" w:space="0" w:color="auto"/>
              <w:right w:val="single" w:sz="4" w:space="0" w:color="auto"/>
            </w:tcBorders>
            <w:shd w:val="clear" w:color="auto" w:fill="auto"/>
            <w:noWrap/>
            <w:vAlign w:val="bottom"/>
            <w:hideMark/>
          </w:tcPr>
          <w:p w14:paraId="36E75A35" w14:textId="77777777" w:rsidR="005F0F19" w:rsidRPr="00AE3C2C" w:rsidRDefault="005F0F19" w:rsidP="00502EF8">
            <w:pPr>
              <w:jc w:val="center"/>
              <w:rPr>
                <w:color w:val="000000"/>
                <w:sz w:val="22"/>
                <w:szCs w:val="22"/>
              </w:rPr>
            </w:pPr>
            <w:r w:rsidRPr="00AE3C2C">
              <w:rPr>
                <w:color w:val="000000"/>
                <w:sz w:val="22"/>
                <w:szCs w:val="22"/>
              </w:rPr>
              <w:t>22.2%</w:t>
            </w:r>
          </w:p>
        </w:tc>
      </w:tr>
      <w:tr w:rsidR="005F0F19" w:rsidRPr="00AE3C2C" w14:paraId="440F3434" w14:textId="77777777" w:rsidTr="00502EF8">
        <w:trPr>
          <w:trHeight w:val="300"/>
        </w:trPr>
        <w:tc>
          <w:tcPr>
            <w:tcW w:w="2355" w:type="dxa"/>
            <w:tcBorders>
              <w:top w:val="nil"/>
              <w:left w:val="single" w:sz="4" w:space="0" w:color="auto"/>
              <w:bottom w:val="single" w:sz="4" w:space="0" w:color="auto"/>
              <w:right w:val="single" w:sz="4" w:space="0" w:color="auto"/>
            </w:tcBorders>
            <w:shd w:val="clear" w:color="000000" w:fill="auto"/>
            <w:noWrap/>
            <w:vAlign w:val="bottom"/>
            <w:hideMark/>
          </w:tcPr>
          <w:p w14:paraId="182DE401" w14:textId="77777777" w:rsidR="005F0F19" w:rsidRPr="00AE3C2C" w:rsidRDefault="005F0F19" w:rsidP="00502EF8">
            <w:pPr>
              <w:rPr>
                <w:bCs/>
                <w:color w:val="000000"/>
                <w:sz w:val="22"/>
                <w:szCs w:val="22"/>
              </w:rPr>
            </w:pPr>
            <w:r w:rsidRPr="00AE3C2C">
              <w:rPr>
                <w:bCs/>
                <w:color w:val="000000"/>
                <w:sz w:val="22"/>
                <w:szCs w:val="22"/>
              </w:rPr>
              <w:t>Total</w:t>
            </w:r>
          </w:p>
        </w:tc>
        <w:tc>
          <w:tcPr>
            <w:tcW w:w="1170" w:type="dxa"/>
            <w:tcBorders>
              <w:top w:val="nil"/>
              <w:left w:val="nil"/>
              <w:bottom w:val="single" w:sz="4" w:space="0" w:color="auto"/>
              <w:right w:val="single" w:sz="4" w:space="0" w:color="auto"/>
            </w:tcBorders>
            <w:shd w:val="clear" w:color="auto" w:fill="auto"/>
            <w:noWrap/>
            <w:vAlign w:val="bottom"/>
            <w:hideMark/>
          </w:tcPr>
          <w:p w14:paraId="3390B5B5" w14:textId="77777777" w:rsidR="005F0F19" w:rsidRPr="00AE3C2C" w:rsidRDefault="005F0F19" w:rsidP="00502EF8">
            <w:pPr>
              <w:jc w:val="center"/>
              <w:rPr>
                <w:color w:val="000000"/>
                <w:sz w:val="22"/>
                <w:szCs w:val="22"/>
              </w:rPr>
            </w:pPr>
            <w:r w:rsidRPr="00AE3C2C">
              <w:rPr>
                <w:color w:val="000000"/>
                <w:sz w:val="22"/>
                <w:szCs w:val="22"/>
              </w:rPr>
              <w:t>418</w:t>
            </w:r>
          </w:p>
        </w:tc>
        <w:tc>
          <w:tcPr>
            <w:tcW w:w="1530" w:type="dxa"/>
            <w:tcBorders>
              <w:top w:val="nil"/>
              <w:left w:val="nil"/>
              <w:bottom w:val="single" w:sz="4" w:space="0" w:color="auto"/>
              <w:right w:val="single" w:sz="4" w:space="0" w:color="auto"/>
            </w:tcBorders>
            <w:shd w:val="clear" w:color="auto" w:fill="auto"/>
            <w:noWrap/>
            <w:vAlign w:val="bottom"/>
            <w:hideMark/>
          </w:tcPr>
          <w:p w14:paraId="5197B533" w14:textId="77777777" w:rsidR="005F0F19" w:rsidRPr="00AE3C2C" w:rsidRDefault="005F0F19" w:rsidP="00502EF8">
            <w:pPr>
              <w:jc w:val="center"/>
              <w:rPr>
                <w:color w:val="000000"/>
                <w:sz w:val="22"/>
                <w:szCs w:val="22"/>
              </w:rPr>
            </w:pPr>
            <w:r w:rsidRPr="00AE3C2C">
              <w:rPr>
                <w:color w:val="000000"/>
                <w:sz w:val="22"/>
                <w:szCs w:val="22"/>
              </w:rPr>
              <w:t>100.0%</w:t>
            </w:r>
          </w:p>
        </w:tc>
      </w:tr>
    </w:tbl>
    <w:p w14:paraId="16527E18" w14:textId="77777777" w:rsidR="005F0F19" w:rsidRDefault="005F0F19" w:rsidP="005F0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75BC11F7" w14:textId="77777777" w:rsidR="005F0F19" w:rsidRDefault="005F0F19" w:rsidP="005F0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pPr>
      <w:r>
        <w:t xml:space="preserve">The actions proposed in </w:t>
      </w:r>
      <w:r w:rsidRPr="0067026A">
        <w:t>this regulatory amendment concern fishing for</w:t>
      </w:r>
      <w:r>
        <w:t xml:space="preserve"> mutton snapper only</w:t>
      </w:r>
      <w:r w:rsidRPr="0067026A">
        <w:t>.  Consequently, the remainder of this section</w:t>
      </w:r>
      <w:r>
        <w:t xml:space="preserve"> </w:t>
      </w:r>
      <w:r w:rsidRPr="0067026A">
        <w:t>focuses exclusively on commercial fishing for</w:t>
      </w:r>
      <w:r>
        <w:t xml:space="preserve"> mutton snapper in the region</w:t>
      </w:r>
      <w:r w:rsidRPr="0067026A">
        <w:t xml:space="preserve">.  </w:t>
      </w:r>
    </w:p>
    <w:p w14:paraId="4B0A3A39" w14:textId="77777777" w:rsidR="005F0F19" w:rsidRDefault="005F0F19" w:rsidP="005F0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62688288" w14:textId="0FD7B839" w:rsidR="005F0F19" w:rsidRPr="0067026A" w:rsidRDefault="005F0F19" w:rsidP="005F0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color w:val="000000"/>
        </w:rPr>
      </w:pPr>
      <w:r>
        <w:t xml:space="preserve">      </w:t>
      </w:r>
      <w:r w:rsidRPr="0067026A">
        <w:t xml:space="preserve">Additional information on commercial landings and fishing for the snapper grouper fishery as a whole or the other </w:t>
      </w:r>
      <w:r>
        <w:t xml:space="preserve">species or complexes </w:t>
      </w:r>
      <w:r w:rsidRPr="0067026A">
        <w:t>within it can be found in previous amendments</w:t>
      </w:r>
      <w:r>
        <w:t xml:space="preserve">, such as </w:t>
      </w:r>
      <w:r w:rsidRPr="0067026A">
        <w:t xml:space="preserve">Amendment 13C (SAFMC 2006), Amendment 15A (SAFMC 2008a), Amendment 15B (SAFMC 2008b), Amendment 16 (SAFMC 2009a), Regulatory Amendment 9 (SAFMC 2011a), and </w:t>
      </w:r>
      <w:r>
        <w:t>the Comprehe</w:t>
      </w:r>
      <w:r w:rsidR="00847AB4">
        <w:t>nsive ACL Amendment (SAFMC 2011c</w:t>
      </w:r>
      <w:r>
        <w:t>), and is</w:t>
      </w:r>
      <w:r w:rsidRPr="0067026A">
        <w:t xml:space="preserve"> incorporated herein by reference.  </w:t>
      </w:r>
    </w:p>
    <w:p w14:paraId="5E6495D6" w14:textId="77777777" w:rsidR="005F0F19" w:rsidRDefault="005F0F19" w:rsidP="005F0F19">
      <w:pPr>
        <w:pStyle w:val="BalloonText"/>
        <w:numPr>
          <w:ilvl w:val="12"/>
          <w:numId w:val="0"/>
        </w:numPr>
        <w:rPr>
          <w:rFonts w:ascii="Arial" w:hAnsi="Arial" w:cs="Arial"/>
          <w:b/>
          <w:sz w:val="24"/>
          <w:szCs w:val="24"/>
        </w:rPr>
      </w:pPr>
    </w:p>
    <w:p w14:paraId="53D52B4D" w14:textId="77777777" w:rsidR="005F0F19" w:rsidRPr="0086658D" w:rsidRDefault="005F0F19" w:rsidP="005F0F19">
      <w:pPr>
        <w:rPr>
          <w:rFonts w:ascii="Arial" w:hAnsi="Arial" w:cs="Arial"/>
          <w:b/>
          <w:sz w:val="28"/>
          <w:szCs w:val="28"/>
        </w:rPr>
      </w:pPr>
      <w:r w:rsidRPr="0086658D">
        <w:rPr>
          <w:rFonts w:ascii="Arial" w:hAnsi="Arial" w:cs="Arial"/>
          <w:b/>
          <w:sz w:val="28"/>
          <w:szCs w:val="28"/>
        </w:rPr>
        <w:t>Mutton Snapper</w:t>
      </w:r>
    </w:p>
    <w:p w14:paraId="33EB0CC7" w14:textId="77777777" w:rsidR="005F0F19" w:rsidRDefault="005F0F19" w:rsidP="005F0F19">
      <w:pPr>
        <w:ind w:firstLine="360"/>
      </w:pPr>
    </w:p>
    <w:p w14:paraId="0F03888D" w14:textId="77737AA1" w:rsidR="00501559" w:rsidRDefault="005F0F19" w:rsidP="00501559">
      <w:pPr>
        <w:ind w:firstLine="360"/>
      </w:pPr>
      <w:r>
        <w:t xml:space="preserve">The commercial fishing year (season) for mutton snapper, and most species and species groups within the snapper grouper fishery, runs from January 1 to December 31 every year.  Since 2012, the commercial ACL for mutton snapper has been at 157,743 </w:t>
      </w:r>
      <w:r w:rsidR="00AB2619">
        <w:t xml:space="preserve">pounds whole weight </w:t>
      </w:r>
      <w:r w:rsidR="00493106">
        <w:t>(</w:t>
      </w:r>
      <w:r>
        <w:t>lbs ww</w:t>
      </w:r>
      <w:r w:rsidR="00493106">
        <w:t>)</w:t>
      </w:r>
      <w:r>
        <w:t>.  If commercial landings reach or are projected to reach or exceed the commercial ACL, the season is closed.  However, no season has closed before</w:t>
      </w:r>
      <w:r w:rsidR="005E2E4F">
        <w:t xml:space="preserve"> the end of December.  From 2012 through 2015, no more than 58.7</w:t>
      </w:r>
      <w:r>
        <w:t>% of the commercial ACL was landed (</w:t>
      </w:r>
      <w:r>
        <w:rPr>
          <w:b/>
        </w:rPr>
        <w:t>Table 3.3.6</w:t>
      </w:r>
      <w:r>
        <w:t xml:space="preserve">). </w:t>
      </w:r>
      <w:r w:rsidR="00C44CC7">
        <w:t xml:space="preserve"> </w:t>
      </w:r>
      <w:r w:rsidR="005E2E4F">
        <w:t>Moreover, as of October 21</w:t>
      </w:r>
      <w:r w:rsidR="00501559">
        <w:t xml:space="preserve">, 2016, </w:t>
      </w:r>
      <w:r w:rsidR="005E2E4F">
        <w:t>approximately 38</w:t>
      </w:r>
      <w:r w:rsidR="00501559">
        <w:t xml:space="preserve">% lbs ww of the mutton snapper ACL has been landed, and at that rate, 2016 commercial landings will also be less than the ACL and the season would remain open until December 31. </w:t>
      </w:r>
    </w:p>
    <w:p w14:paraId="0E3255A6" w14:textId="77777777" w:rsidR="005F0F19" w:rsidRDefault="005F0F19" w:rsidP="005F0F19">
      <w:pPr>
        <w:ind w:firstLine="360"/>
      </w:pPr>
    </w:p>
    <w:p w14:paraId="3C0C74A2" w14:textId="02252D1E" w:rsidR="005F0F19" w:rsidRPr="002A4E42" w:rsidRDefault="005F0F19" w:rsidP="005F0F19">
      <w:pPr>
        <w:pStyle w:val="Tabletitle"/>
      </w:pPr>
      <w:bookmarkStart w:id="144" w:name="_Toc340431551"/>
      <w:r>
        <w:rPr>
          <w:b/>
        </w:rPr>
        <w:t>Table 3.3.6</w:t>
      </w:r>
      <w:r w:rsidRPr="00E041AC">
        <w:rPr>
          <w:b/>
        </w:rPr>
        <w:t>.</w:t>
      </w:r>
      <w:r w:rsidRPr="00E13EAB">
        <w:t xml:space="preserve">  Commercial landings </w:t>
      </w:r>
      <w:r>
        <w:t xml:space="preserve">(lbs ww) </w:t>
      </w:r>
      <w:r w:rsidRPr="00E13EAB">
        <w:t>and ACL for mutton snapper harvested from South Atlantic Region</w:t>
      </w:r>
      <w:r>
        <w:t>, 2010-2014.</w:t>
      </w:r>
      <w:bookmarkEnd w:id="144"/>
      <w:r>
        <w:t xml:space="preserve">  </w:t>
      </w:r>
    </w:p>
    <w:tbl>
      <w:tblPr>
        <w:tblW w:w="82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715"/>
        <w:gridCol w:w="2070"/>
        <w:gridCol w:w="2340"/>
      </w:tblGrid>
      <w:tr w:rsidR="005F0F19" w:rsidRPr="00C33D69" w14:paraId="31CA6C59" w14:textId="77777777" w:rsidTr="00502EF8">
        <w:trPr>
          <w:trHeight w:val="300"/>
        </w:trPr>
        <w:tc>
          <w:tcPr>
            <w:tcW w:w="2080" w:type="dxa"/>
            <w:shd w:val="clear" w:color="auto" w:fill="D9D9D9" w:themeFill="background1" w:themeFillShade="D9"/>
            <w:vAlign w:val="center"/>
            <w:hideMark/>
          </w:tcPr>
          <w:p w14:paraId="44E32E96" w14:textId="77777777" w:rsidR="005F0F19" w:rsidRPr="00C33D69" w:rsidRDefault="005F0F19" w:rsidP="00502EF8">
            <w:pPr>
              <w:jc w:val="center"/>
              <w:rPr>
                <w:b/>
                <w:bCs/>
                <w:color w:val="000000"/>
                <w:sz w:val="22"/>
                <w:szCs w:val="22"/>
              </w:rPr>
            </w:pPr>
            <w:r>
              <w:rPr>
                <w:b/>
                <w:bCs/>
                <w:color w:val="000000"/>
                <w:sz w:val="22"/>
                <w:szCs w:val="22"/>
              </w:rPr>
              <w:t>Year</w:t>
            </w:r>
          </w:p>
        </w:tc>
        <w:tc>
          <w:tcPr>
            <w:tcW w:w="1715" w:type="dxa"/>
            <w:shd w:val="clear" w:color="auto" w:fill="D9D9D9" w:themeFill="background1" w:themeFillShade="D9"/>
            <w:noWrap/>
            <w:vAlign w:val="center"/>
            <w:hideMark/>
          </w:tcPr>
          <w:p w14:paraId="5A7F121F" w14:textId="77777777" w:rsidR="005F0F19" w:rsidRPr="00C33D69" w:rsidRDefault="005F0F19" w:rsidP="00502EF8">
            <w:pPr>
              <w:jc w:val="center"/>
              <w:rPr>
                <w:b/>
                <w:bCs/>
                <w:color w:val="000000"/>
                <w:sz w:val="22"/>
                <w:szCs w:val="22"/>
              </w:rPr>
            </w:pPr>
            <w:r w:rsidRPr="00C33D69">
              <w:rPr>
                <w:b/>
                <w:bCs/>
                <w:color w:val="000000"/>
                <w:sz w:val="22"/>
                <w:szCs w:val="22"/>
              </w:rPr>
              <w:t>Landings</w:t>
            </w:r>
          </w:p>
        </w:tc>
        <w:tc>
          <w:tcPr>
            <w:tcW w:w="2070" w:type="dxa"/>
            <w:shd w:val="clear" w:color="auto" w:fill="D9D9D9" w:themeFill="background1" w:themeFillShade="D9"/>
            <w:noWrap/>
            <w:vAlign w:val="center"/>
            <w:hideMark/>
          </w:tcPr>
          <w:p w14:paraId="57E7231A" w14:textId="77777777" w:rsidR="005F0F19" w:rsidRPr="00C33D69" w:rsidRDefault="005F0F19" w:rsidP="00502EF8">
            <w:pPr>
              <w:jc w:val="center"/>
              <w:rPr>
                <w:b/>
                <w:bCs/>
                <w:color w:val="000000"/>
                <w:sz w:val="22"/>
                <w:szCs w:val="22"/>
              </w:rPr>
            </w:pPr>
            <w:r w:rsidRPr="00C33D69">
              <w:rPr>
                <w:b/>
                <w:bCs/>
                <w:color w:val="000000"/>
                <w:sz w:val="22"/>
                <w:szCs w:val="22"/>
              </w:rPr>
              <w:t>Baseline ACL</w:t>
            </w:r>
          </w:p>
        </w:tc>
        <w:tc>
          <w:tcPr>
            <w:tcW w:w="2340" w:type="dxa"/>
            <w:shd w:val="clear" w:color="auto" w:fill="D9D9D9" w:themeFill="background1" w:themeFillShade="D9"/>
            <w:noWrap/>
            <w:vAlign w:val="center"/>
            <w:hideMark/>
          </w:tcPr>
          <w:p w14:paraId="593A6F3D" w14:textId="77777777" w:rsidR="005F0F19" w:rsidRPr="00C33D69" w:rsidRDefault="005F0F19" w:rsidP="00502EF8">
            <w:pPr>
              <w:jc w:val="center"/>
              <w:rPr>
                <w:b/>
                <w:bCs/>
                <w:color w:val="000000"/>
                <w:sz w:val="22"/>
                <w:szCs w:val="22"/>
              </w:rPr>
            </w:pPr>
            <w:r w:rsidRPr="00C33D69">
              <w:rPr>
                <w:b/>
                <w:bCs/>
                <w:color w:val="000000"/>
                <w:sz w:val="22"/>
                <w:szCs w:val="22"/>
              </w:rPr>
              <w:t>Percent ACL</w:t>
            </w:r>
          </w:p>
        </w:tc>
      </w:tr>
      <w:tr w:rsidR="005F0F19" w:rsidRPr="00C33D69" w14:paraId="50F536BA" w14:textId="77777777" w:rsidTr="00502EF8">
        <w:trPr>
          <w:trHeight w:val="315"/>
        </w:trPr>
        <w:tc>
          <w:tcPr>
            <w:tcW w:w="2080" w:type="dxa"/>
            <w:shd w:val="clear" w:color="000000" w:fill="auto"/>
            <w:noWrap/>
            <w:vAlign w:val="bottom"/>
            <w:hideMark/>
          </w:tcPr>
          <w:p w14:paraId="3DAB6F78" w14:textId="77777777" w:rsidR="005F0F19" w:rsidRPr="00C33D69" w:rsidRDefault="005F0F19" w:rsidP="00502EF8">
            <w:pPr>
              <w:jc w:val="center"/>
              <w:rPr>
                <w:bCs/>
                <w:color w:val="000000"/>
                <w:sz w:val="22"/>
                <w:szCs w:val="22"/>
              </w:rPr>
            </w:pPr>
            <w:r w:rsidRPr="00C33D69">
              <w:rPr>
                <w:bCs/>
                <w:color w:val="000000"/>
                <w:sz w:val="22"/>
                <w:szCs w:val="22"/>
              </w:rPr>
              <w:t>2010</w:t>
            </w:r>
          </w:p>
        </w:tc>
        <w:tc>
          <w:tcPr>
            <w:tcW w:w="1715" w:type="dxa"/>
            <w:shd w:val="clear" w:color="auto" w:fill="auto"/>
            <w:noWrap/>
            <w:vAlign w:val="center"/>
            <w:hideMark/>
          </w:tcPr>
          <w:p w14:paraId="74E01FF7" w14:textId="77777777" w:rsidR="005F0F19" w:rsidRPr="00C33D69" w:rsidRDefault="005F0F19" w:rsidP="00502EF8">
            <w:pPr>
              <w:jc w:val="center"/>
              <w:rPr>
                <w:color w:val="000000"/>
                <w:sz w:val="22"/>
                <w:szCs w:val="22"/>
              </w:rPr>
            </w:pPr>
            <w:r w:rsidRPr="00C33D69">
              <w:rPr>
                <w:color w:val="000000"/>
                <w:sz w:val="22"/>
                <w:szCs w:val="22"/>
              </w:rPr>
              <w:t>74,833</w:t>
            </w:r>
          </w:p>
        </w:tc>
        <w:tc>
          <w:tcPr>
            <w:tcW w:w="2070" w:type="dxa"/>
            <w:shd w:val="clear" w:color="auto" w:fill="auto"/>
            <w:noWrap/>
            <w:vAlign w:val="bottom"/>
            <w:hideMark/>
          </w:tcPr>
          <w:p w14:paraId="55372A9C" w14:textId="77777777" w:rsidR="005F0F19" w:rsidRPr="00C33D69" w:rsidRDefault="005F0F19" w:rsidP="00502EF8">
            <w:pPr>
              <w:rPr>
                <w:color w:val="000000"/>
                <w:sz w:val="22"/>
                <w:szCs w:val="22"/>
              </w:rPr>
            </w:pPr>
            <w:r w:rsidRPr="00C33D69">
              <w:rPr>
                <w:color w:val="000000"/>
                <w:sz w:val="22"/>
                <w:szCs w:val="22"/>
              </w:rPr>
              <w:t> </w:t>
            </w:r>
          </w:p>
        </w:tc>
        <w:tc>
          <w:tcPr>
            <w:tcW w:w="2340" w:type="dxa"/>
            <w:shd w:val="clear" w:color="auto" w:fill="auto"/>
            <w:noWrap/>
            <w:vAlign w:val="bottom"/>
            <w:hideMark/>
          </w:tcPr>
          <w:p w14:paraId="406A8175" w14:textId="77777777" w:rsidR="005F0F19" w:rsidRPr="00C33D69" w:rsidRDefault="005F0F19" w:rsidP="00502EF8">
            <w:pPr>
              <w:rPr>
                <w:color w:val="000000"/>
                <w:sz w:val="22"/>
                <w:szCs w:val="22"/>
              </w:rPr>
            </w:pPr>
            <w:r w:rsidRPr="00C33D69">
              <w:rPr>
                <w:color w:val="000000"/>
                <w:sz w:val="22"/>
                <w:szCs w:val="22"/>
              </w:rPr>
              <w:t> </w:t>
            </w:r>
          </w:p>
        </w:tc>
      </w:tr>
      <w:tr w:rsidR="005F0F19" w:rsidRPr="00C33D69" w14:paraId="4ACC2B3B" w14:textId="77777777" w:rsidTr="00502EF8">
        <w:trPr>
          <w:trHeight w:val="315"/>
        </w:trPr>
        <w:tc>
          <w:tcPr>
            <w:tcW w:w="2080" w:type="dxa"/>
            <w:shd w:val="clear" w:color="000000" w:fill="auto"/>
            <w:noWrap/>
            <w:vAlign w:val="bottom"/>
            <w:hideMark/>
          </w:tcPr>
          <w:p w14:paraId="6A415383" w14:textId="77777777" w:rsidR="005F0F19" w:rsidRPr="00C33D69" w:rsidRDefault="005F0F19" w:rsidP="00502EF8">
            <w:pPr>
              <w:jc w:val="center"/>
              <w:rPr>
                <w:bCs/>
                <w:color w:val="000000"/>
                <w:sz w:val="22"/>
                <w:szCs w:val="22"/>
              </w:rPr>
            </w:pPr>
            <w:r w:rsidRPr="00C33D69">
              <w:rPr>
                <w:bCs/>
                <w:color w:val="000000"/>
                <w:sz w:val="22"/>
                <w:szCs w:val="22"/>
              </w:rPr>
              <w:t>2011</w:t>
            </w:r>
          </w:p>
        </w:tc>
        <w:tc>
          <w:tcPr>
            <w:tcW w:w="1715" w:type="dxa"/>
            <w:shd w:val="clear" w:color="auto" w:fill="auto"/>
            <w:noWrap/>
            <w:vAlign w:val="center"/>
            <w:hideMark/>
          </w:tcPr>
          <w:p w14:paraId="672DAF8A" w14:textId="77777777" w:rsidR="005F0F19" w:rsidRPr="00C33D69" w:rsidRDefault="005F0F19" w:rsidP="00502EF8">
            <w:pPr>
              <w:jc w:val="center"/>
              <w:rPr>
                <w:color w:val="000000"/>
                <w:sz w:val="22"/>
                <w:szCs w:val="22"/>
              </w:rPr>
            </w:pPr>
            <w:r w:rsidRPr="00C33D69">
              <w:rPr>
                <w:color w:val="000000"/>
                <w:sz w:val="22"/>
                <w:szCs w:val="22"/>
              </w:rPr>
              <w:t>66,160</w:t>
            </w:r>
          </w:p>
        </w:tc>
        <w:tc>
          <w:tcPr>
            <w:tcW w:w="2070" w:type="dxa"/>
            <w:shd w:val="clear" w:color="auto" w:fill="auto"/>
            <w:noWrap/>
            <w:vAlign w:val="bottom"/>
            <w:hideMark/>
          </w:tcPr>
          <w:p w14:paraId="5EB43100" w14:textId="77777777" w:rsidR="005F0F19" w:rsidRPr="00C33D69" w:rsidRDefault="005F0F19" w:rsidP="00502EF8">
            <w:pPr>
              <w:rPr>
                <w:color w:val="000000"/>
                <w:sz w:val="22"/>
                <w:szCs w:val="22"/>
              </w:rPr>
            </w:pPr>
            <w:r w:rsidRPr="00C33D69">
              <w:rPr>
                <w:color w:val="000000"/>
                <w:sz w:val="22"/>
                <w:szCs w:val="22"/>
              </w:rPr>
              <w:t> </w:t>
            </w:r>
          </w:p>
        </w:tc>
        <w:tc>
          <w:tcPr>
            <w:tcW w:w="2340" w:type="dxa"/>
            <w:shd w:val="clear" w:color="auto" w:fill="auto"/>
            <w:noWrap/>
            <w:vAlign w:val="bottom"/>
            <w:hideMark/>
          </w:tcPr>
          <w:p w14:paraId="41C8AE1B" w14:textId="77777777" w:rsidR="005F0F19" w:rsidRPr="00C33D69" w:rsidRDefault="005F0F19" w:rsidP="00502EF8">
            <w:pPr>
              <w:rPr>
                <w:color w:val="000000"/>
                <w:sz w:val="22"/>
                <w:szCs w:val="22"/>
              </w:rPr>
            </w:pPr>
            <w:r w:rsidRPr="00C33D69">
              <w:rPr>
                <w:color w:val="000000"/>
                <w:sz w:val="22"/>
                <w:szCs w:val="22"/>
              </w:rPr>
              <w:t> </w:t>
            </w:r>
          </w:p>
        </w:tc>
      </w:tr>
      <w:tr w:rsidR="005F0F19" w:rsidRPr="00C33D69" w14:paraId="4489D23A" w14:textId="77777777" w:rsidTr="00502EF8">
        <w:trPr>
          <w:trHeight w:val="315"/>
        </w:trPr>
        <w:tc>
          <w:tcPr>
            <w:tcW w:w="2080" w:type="dxa"/>
            <w:shd w:val="clear" w:color="000000" w:fill="auto"/>
            <w:noWrap/>
            <w:vAlign w:val="center"/>
            <w:hideMark/>
          </w:tcPr>
          <w:p w14:paraId="15A36614" w14:textId="77777777" w:rsidR="005F0F19" w:rsidRPr="00C33D69" w:rsidRDefault="005F0F19" w:rsidP="00502EF8">
            <w:pPr>
              <w:jc w:val="center"/>
              <w:rPr>
                <w:bCs/>
                <w:color w:val="000000"/>
                <w:sz w:val="22"/>
                <w:szCs w:val="22"/>
              </w:rPr>
            </w:pPr>
            <w:r w:rsidRPr="00C33D69">
              <w:rPr>
                <w:bCs/>
                <w:color w:val="000000"/>
                <w:sz w:val="22"/>
                <w:szCs w:val="22"/>
              </w:rPr>
              <w:t>2012</w:t>
            </w:r>
          </w:p>
        </w:tc>
        <w:tc>
          <w:tcPr>
            <w:tcW w:w="1715" w:type="dxa"/>
            <w:shd w:val="clear" w:color="auto" w:fill="auto"/>
            <w:noWrap/>
            <w:vAlign w:val="center"/>
            <w:hideMark/>
          </w:tcPr>
          <w:p w14:paraId="388FD978" w14:textId="77777777" w:rsidR="005F0F19" w:rsidRPr="00C33D69" w:rsidRDefault="005F0F19" w:rsidP="00502EF8">
            <w:pPr>
              <w:jc w:val="center"/>
              <w:rPr>
                <w:color w:val="000000"/>
                <w:sz w:val="22"/>
                <w:szCs w:val="22"/>
              </w:rPr>
            </w:pPr>
            <w:r w:rsidRPr="00C33D69">
              <w:rPr>
                <w:color w:val="000000"/>
                <w:sz w:val="22"/>
                <w:szCs w:val="22"/>
              </w:rPr>
              <w:t>77,231</w:t>
            </w:r>
          </w:p>
        </w:tc>
        <w:tc>
          <w:tcPr>
            <w:tcW w:w="2070" w:type="dxa"/>
            <w:shd w:val="clear" w:color="auto" w:fill="auto"/>
            <w:noWrap/>
            <w:vAlign w:val="center"/>
            <w:hideMark/>
          </w:tcPr>
          <w:p w14:paraId="0196A006" w14:textId="77777777" w:rsidR="005F0F19" w:rsidRPr="00C33D69" w:rsidRDefault="005F0F19" w:rsidP="00502EF8">
            <w:pPr>
              <w:jc w:val="center"/>
              <w:rPr>
                <w:color w:val="000000"/>
                <w:sz w:val="22"/>
                <w:szCs w:val="22"/>
              </w:rPr>
            </w:pPr>
            <w:r w:rsidRPr="00C33D69">
              <w:rPr>
                <w:color w:val="000000"/>
                <w:sz w:val="22"/>
                <w:szCs w:val="22"/>
              </w:rPr>
              <w:t>157,743</w:t>
            </w:r>
          </w:p>
        </w:tc>
        <w:tc>
          <w:tcPr>
            <w:tcW w:w="2340" w:type="dxa"/>
            <w:shd w:val="clear" w:color="auto" w:fill="auto"/>
            <w:noWrap/>
            <w:vAlign w:val="center"/>
            <w:hideMark/>
          </w:tcPr>
          <w:p w14:paraId="0A85A7FA" w14:textId="77777777" w:rsidR="005F0F19" w:rsidRPr="00C33D69" w:rsidRDefault="005F0F19" w:rsidP="00502EF8">
            <w:pPr>
              <w:jc w:val="center"/>
              <w:rPr>
                <w:color w:val="000000"/>
                <w:sz w:val="22"/>
                <w:szCs w:val="22"/>
              </w:rPr>
            </w:pPr>
            <w:r w:rsidRPr="00C33D69">
              <w:rPr>
                <w:color w:val="000000"/>
                <w:sz w:val="22"/>
                <w:szCs w:val="22"/>
              </w:rPr>
              <w:t>48.9%</w:t>
            </w:r>
          </w:p>
        </w:tc>
      </w:tr>
      <w:tr w:rsidR="005F0F19" w:rsidRPr="00C33D69" w14:paraId="71F8D070" w14:textId="77777777" w:rsidTr="00502EF8">
        <w:trPr>
          <w:trHeight w:val="315"/>
        </w:trPr>
        <w:tc>
          <w:tcPr>
            <w:tcW w:w="2080" w:type="dxa"/>
            <w:shd w:val="clear" w:color="000000" w:fill="auto"/>
            <w:noWrap/>
            <w:vAlign w:val="center"/>
            <w:hideMark/>
          </w:tcPr>
          <w:p w14:paraId="7652C715" w14:textId="77777777" w:rsidR="005F0F19" w:rsidRPr="00C33D69" w:rsidRDefault="005F0F19" w:rsidP="00502EF8">
            <w:pPr>
              <w:jc w:val="center"/>
              <w:rPr>
                <w:bCs/>
                <w:color w:val="000000"/>
                <w:sz w:val="22"/>
                <w:szCs w:val="22"/>
              </w:rPr>
            </w:pPr>
            <w:r w:rsidRPr="00C33D69">
              <w:rPr>
                <w:bCs/>
                <w:color w:val="000000"/>
                <w:sz w:val="22"/>
                <w:szCs w:val="22"/>
              </w:rPr>
              <w:t>2013</w:t>
            </w:r>
          </w:p>
        </w:tc>
        <w:tc>
          <w:tcPr>
            <w:tcW w:w="1715" w:type="dxa"/>
            <w:shd w:val="clear" w:color="auto" w:fill="auto"/>
            <w:noWrap/>
            <w:vAlign w:val="center"/>
            <w:hideMark/>
          </w:tcPr>
          <w:p w14:paraId="60AC6836" w14:textId="77777777" w:rsidR="005F0F19" w:rsidRPr="00C33D69" w:rsidRDefault="005F0F19" w:rsidP="00502EF8">
            <w:pPr>
              <w:jc w:val="center"/>
              <w:rPr>
                <w:color w:val="000000"/>
                <w:sz w:val="22"/>
                <w:szCs w:val="22"/>
              </w:rPr>
            </w:pPr>
            <w:r w:rsidRPr="00C33D69">
              <w:rPr>
                <w:color w:val="000000"/>
                <w:sz w:val="22"/>
                <w:szCs w:val="22"/>
              </w:rPr>
              <w:t>75,010</w:t>
            </w:r>
          </w:p>
        </w:tc>
        <w:tc>
          <w:tcPr>
            <w:tcW w:w="2070" w:type="dxa"/>
            <w:shd w:val="clear" w:color="auto" w:fill="auto"/>
            <w:noWrap/>
            <w:vAlign w:val="center"/>
            <w:hideMark/>
          </w:tcPr>
          <w:p w14:paraId="5126DBEC" w14:textId="77777777" w:rsidR="005F0F19" w:rsidRPr="00C33D69" w:rsidRDefault="005F0F19" w:rsidP="00502EF8">
            <w:pPr>
              <w:jc w:val="center"/>
              <w:rPr>
                <w:color w:val="000000"/>
                <w:sz w:val="22"/>
                <w:szCs w:val="22"/>
              </w:rPr>
            </w:pPr>
            <w:r w:rsidRPr="00C33D69">
              <w:rPr>
                <w:color w:val="000000"/>
                <w:sz w:val="22"/>
                <w:szCs w:val="22"/>
              </w:rPr>
              <w:t>157,743</w:t>
            </w:r>
          </w:p>
        </w:tc>
        <w:tc>
          <w:tcPr>
            <w:tcW w:w="2340" w:type="dxa"/>
            <w:shd w:val="clear" w:color="auto" w:fill="auto"/>
            <w:noWrap/>
            <w:vAlign w:val="center"/>
            <w:hideMark/>
          </w:tcPr>
          <w:p w14:paraId="5ACFD3AF" w14:textId="77777777" w:rsidR="005F0F19" w:rsidRPr="00C33D69" w:rsidRDefault="005F0F19" w:rsidP="00502EF8">
            <w:pPr>
              <w:jc w:val="center"/>
              <w:rPr>
                <w:color w:val="000000"/>
                <w:sz w:val="22"/>
                <w:szCs w:val="22"/>
              </w:rPr>
            </w:pPr>
            <w:r w:rsidRPr="00C33D69">
              <w:rPr>
                <w:color w:val="000000"/>
                <w:sz w:val="22"/>
                <w:szCs w:val="22"/>
              </w:rPr>
              <w:t>47.1%</w:t>
            </w:r>
          </w:p>
        </w:tc>
      </w:tr>
      <w:tr w:rsidR="005F0F19" w:rsidRPr="00C33D69" w14:paraId="3B49A186" w14:textId="77777777" w:rsidTr="00502EF8">
        <w:trPr>
          <w:trHeight w:val="315"/>
        </w:trPr>
        <w:tc>
          <w:tcPr>
            <w:tcW w:w="2080" w:type="dxa"/>
            <w:shd w:val="clear" w:color="000000" w:fill="auto"/>
            <w:noWrap/>
            <w:vAlign w:val="center"/>
            <w:hideMark/>
          </w:tcPr>
          <w:p w14:paraId="71616028" w14:textId="77777777" w:rsidR="005F0F19" w:rsidRPr="00C33D69" w:rsidRDefault="005F0F19" w:rsidP="00502EF8">
            <w:pPr>
              <w:jc w:val="center"/>
              <w:rPr>
                <w:bCs/>
                <w:color w:val="000000"/>
                <w:sz w:val="22"/>
                <w:szCs w:val="22"/>
              </w:rPr>
            </w:pPr>
            <w:r w:rsidRPr="00C33D69">
              <w:rPr>
                <w:bCs/>
                <w:color w:val="000000"/>
                <w:sz w:val="22"/>
                <w:szCs w:val="22"/>
              </w:rPr>
              <w:t>2014</w:t>
            </w:r>
          </w:p>
        </w:tc>
        <w:tc>
          <w:tcPr>
            <w:tcW w:w="1715" w:type="dxa"/>
            <w:shd w:val="clear" w:color="auto" w:fill="auto"/>
            <w:noWrap/>
            <w:vAlign w:val="center"/>
            <w:hideMark/>
          </w:tcPr>
          <w:p w14:paraId="3FB2C7F5" w14:textId="77777777" w:rsidR="005F0F19" w:rsidRPr="00C33D69" w:rsidRDefault="005F0F19" w:rsidP="00502EF8">
            <w:pPr>
              <w:jc w:val="center"/>
              <w:rPr>
                <w:color w:val="000000"/>
                <w:sz w:val="22"/>
                <w:szCs w:val="22"/>
              </w:rPr>
            </w:pPr>
            <w:r w:rsidRPr="00C33D69">
              <w:rPr>
                <w:color w:val="000000"/>
                <w:sz w:val="22"/>
                <w:szCs w:val="22"/>
              </w:rPr>
              <w:t>91,173</w:t>
            </w:r>
          </w:p>
        </w:tc>
        <w:tc>
          <w:tcPr>
            <w:tcW w:w="2070" w:type="dxa"/>
            <w:shd w:val="clear" w:color="auto" w:fill="auto"/>
            <w:noWrap/>
            <w:vAlign w:val="center"/>
            <w:hideMark/>
          </w:tcPr>
          <w:p w14:paraId="48ADCB5C" w14:textId="77777777" w:rsidR="005F0F19" w:rsidRPr="00C33D69" w:rsidRDefault="005F0F19" w:rsidP="00502EF8">
            <w:pPr>
              <w:jc w:val="center"/>
              <w:rPr>
                <w:color w:val="000000"/>
                <w:sz w:val="22"/>
                <w:szCs w:val="22"/>
              </w:rPr>
            </w:pPr>
            <w:r w:rsidRPr="00C33D69">
              <w:rPr>
                <w:color w:val="000000"/>
                <w:sz w:val="22"/>
                <w:szCs w:val="22"/>
              </w:rPr>
              <w:t>157,743</w:t>
            </w:r>
          </w:p>
        </w:tc>
        <w:tc>
          <w:tcPr>
            <w:tcW w:w="2340" w:type="dxa"/>
            <w:shd w:val="clear" w:color="auto" w:fill="auto"/>
            <w:noWrap/>
            <w:vAlign w:val="center"/>
            <w:hideMark/>
          </w:tcPr>
          <w:p w14:paraId="4E5F5B97" w14:textId="77777777" w:rsidR="005F0F19" w:rsidRPr="00C33D69" w:rsidRDefault="005F0F19" w:rsidP="00502EF8">
            <w:pPr>
              <w:jc w:val="center"/>
              <w:rPr>
                <w:color w:val="000000"/>
                <w:sz w:val="22"/>
                <w:szCs w:val="22"/>
              </w:rPr>
            </w:pPr>
            <w:r w:rsidRPr="00C33D69">
              <w:rPr>
                <w:color w:val="000000"/>
                <w:sz w:val="22"/>
                <w:szCs w:val="22"/>
              </w:rPr>
              <w:t>55.8%</w:t>
            </w:r>
          </w:p>
        </w:tc>
      </w:tr>
      <w:tr w:rsidR="005E2E4F" w:rsidRPr="00C33D69" w14:paraId="4B037142" w14:textId="77777777" w:rsidTr="005E2E4F">
        <w:trPr>
          <w:trHeight w:val="315"/>
        </w:trPr>
        <w:tc>
          <w:tcPr>
            <w:tcW w:w="2080" w:type="dxa"/>
            <w:shd w:val="clear" w:color="auto" w:fill="auto"/>
            <w:noWrap/>
            <w:vAlign w:val="center"/>
          </w:tcPr>
          <w:p w14:paraId="7CEEA8D1" w14:textId="77777777" w:rsidR="005E2E4F" w:rsidRPr="0079075D" w:rsidRDefault="005E2E4F" w:rsidP="005E2E4F">
            <w:pPr>
              <w:jc w:val="center"/>
              <w:rPr>
                <w:bCs/>
                <w:color w:val="000000"/>
                <w:sz w:val="22"/>
                <w:szCs w:val="22"/>
              </w:rPr>
            </w:pPr>
            <w:r>
              <w:rPr>
                <w:bCs/>
                <w:color w:val="000000"/>
                <w:sz w:val="22"/>
                <w:szCs w:val="22"/>
              </w:rPr>
              <w:t>2015</w:t>
            </w:r>
          </w:p>
        </w:tc>
        <w:tc>
          <w:tcPr>
            <w:tcW w:w="1715" w:type="dxa"/>
            <w:shd w:val="clear" w:color="auto" w:fill="auto"/>
            <w:noWrap/>
            <w:vAlign w:val="center"/>
          </w:tcPr>
          <w:p w14:paraId="6ACF666A" w14:textId="77777777" w:rsidR="005E2E4F" w:rsidRPr="00C33D69" w:rsidRDefault="005E2E4F" w:rsidP="005E2E4F">
            <w:pPr>
              <w:jc w:val="center"/>
              <w:rPr>
                <w:color w:val="000000"/>
                <w:sz w:val="22"/>
                <w:szCs w:val="22"/>
              </w:rPr>
            </w:pPr>
            <w:r>
              <w:rPr>
                <w:color w:val="000000"/>
                <w:sz w:val="22"/>
                <w:szCs w:val="22"/>
              </w:rPr>
              <w:t>92,569</w:t>
            </w:r>
          </w:p>
        </w:tc>
        <w:tc>
          <w:tcPr>
            <w:tcW w:w="2070" w:type="dxa"/>
            <w:shd w:val="clear" w:color="auto" w:fill="auto"/>
            <w:noWrap/>
            <w:vAlign w:val="center"/>
          </w:tcPr>
          <w:p w14:paraId="3198E087" w14:textId="77777777" w:rsidR="005E2E4F" w:rsidRPr="00C33D69" w:rsidRDefault="005E2E4F" w:rsidP="005E2E4F">
            <w:pPr>
              <w:jc w:val="center"/>
              <w:rPr>
                <w:color w:val="000000"/>
                <w:sz w:val="22"/>
                <w:szCs w:val="22"/>
              </w:rPr>
            </w:pPr>
            <w:r>
              <w:rPr>
                <w:color w:val="000000"/>
                <w:sz w:val="22"/>
                <w:szCs w:val="22"/>
              </w:rPr>
              <w:t>157,743</w:t>
            </w:r>
          </w:p>
        </w:tc>
        <w:tc>
          <w:tcPr>
            <w:tcW w:w="2340" w:type="dxa"/>
            <w:shd w:val="clear" w:color="auto" w:fill="auto"/>
            <w:noWrap/>
            <w:vAlign w:val="center"/>
          </w:tcPr>
          <w:p w14:paraId="50EA63CC" w14:textId="77777777" w:rsidR="005E2E4F" w:rsidRPr="00C33D69" w:rsidRDefault="005E2E4F" w:rsidP="005E2E4F">
            <w:pPr>
              <w:jc w:val="center"/>
              <w:rPr>
                <w:color w:val="000000"/>
                <w:sz w:val="22"/>
                <w:szCs w:val="22"/>
              </w:rPr>
            </w:pPr>
            <w:r>
              <w:rPr>
                <w:color w:val="000000"/>
                <w:sz w:val="22"/>
                <w:szCs w:val="22"/>
              </w:rPr>
              <w:t>58.7%</w:t>
            </w:r>
          </w:p>
        </w:tc>
      </w:tr>
      <w:tr w:rsidR="005F0F19" w:rsidRPr="00C33D69" w14:paraId="7992430A" w14:textId="77777777" w:rsidTr="00502EF8">
        <w:trPr>
          <w:trHeight w:val="315"/>
        </w:trPr>
        <w:tc>
          <w:tcPr>
            <w:tcW w:w="2080" w:type="dxa"/>
            <w:shd w:val="clear" w:color="auto" w:fill="auto"/>
            <w:noWrap/>
            <w:vAlign w:val="center"/>
            <w:hideMark/>
          </w:tcPr>
          <w:p w14:paraId="12C65A37" w14:textId="77777777" w:rsidR="005F0F19" w:rsidRPr="0079075D" w:rsidRDefault="005F0F19" w:rsidP="00502EF8">
            <w:pPr>
              <w:jc w:val="center"/>
              <w:rPr>
                <w:bCs/>
                <w:color w:val="000000"/>
                <w:sz w:val="22"/>
                <w:szCs w:val="22"/>
              </w:rPr>
            </w:pPr>
            <w:r w:rsidRPr="0079075D">
              <w:rPr>
                <w:bCs/>
                <w:color w:val="000000"/>
                <w:sz w:val="22"/>
                <w:szCs w:val="22"/>
              </w:rPr>
              <w:t>Average</w:t>
            </w:r>
          </w:p>
        </w:tc>
        <w:tc>
          <w:tcPr>
            <w:tcW w:w="1715" w:type="dxa"/>
            <w:shd w:val="clear" w:color="auto" w:fill="auto"/>
            <w:noWrap/>
            <w:vAlign w:val="center"/>
            <w:hideMark/>
          </w:tcPr>
          <w:p w14:paraId="5E7F9CDC" w14:textId="1460A5C9" w:rsidR="005F0F19" w:rsidRPr="00C33D69" w:rsidRDefault="005E2E4F" w:rsidP="00502EF8">
            <w:pPr>
              <w:jc w:val="center"/>
              <w:rPr>
                <w:color w:val="000000"/>
                <w:sz w:val="22"/>
                <w:szCs w:val="22"/>
              </w:rPr>
            </w:pPr>
            <w:r>
              <w:rPr>
                <w:color w:val="000000"/>
                <w:sz w:val="22"/>
                <w:szCs w:val="22"/>
              </w:rPr>
              <w:t>82,975</w:t>
            </w:r>
          </w:p>
        </w:tc>
        <w:tc>
          <w:tcPr>
            <w:tcW w:w="2070" w:type="dxa"/>
            <w:shd w:val="clear" w:color="auto" w:fill="auto"/>
            <w:noWrap/>
            <w:vAlign w:val="center"/>
            <w:hideMark/>
          </w:tcPr>
          <w:p w14:paraId="60B19C8E" w14:textId="77777777" w:rsidR="005F0F19" w:rsidRPr="00C33D69" w:rsidRDefault="005F0F19" w:rsidP="00502EF8">
            <w:pPr>
              <w:jc w:val="center"/>
              <w:rPr>
                <w:color w:val="000000"/>
                <w:sz w:val="22"/>
                <w:szCs w:val="22"/>
              </w:rPr>
            </w:pPr>
            <w:r w:rsidRPr="00C33D69">
              <w:rPr>
                <w:color w:val="000000"/>
                <w:sz w:val="22"/>
                <w:szCs w:val="22"/>
              </w:rPr>
              <w:t>157,743</w:t>
            </w:r>
          </w:p>
        </w:tc>
        <w:tc>
          <w:tcPr>
            <w:tcW w:w="2340" w:type="dxa"/>
            <w:shd w:val="clear" w:color="auto" w:fill="auto"/>
            <w:noWrap/>
            <w:vAlign w:val="center"/>
            <w:hideMark/>
          </w:tcPr>
          <w:p w14:paraId="18CFDE5D" w14:textId="20477F7B" w:rsidR="005F0F19" w:rsidRPr="00C33D69" w:rsidRDefault="00C44CC7" w:rsidP="00502EF8">
            <w:pPr>
              <w:jc w:val="center"/>
              <w:rPr>
                <w:color w:val="000000"/>
                <w:sz w:val="22"/>
                <w:szCs w:val="22"/>
              </w:rPr>
            </w:pPr>
            <w:r>
              <w:rPr>
                <w:color w:val="000000"/>
                <w:sz w:val="22"/>
                <w:szCs w:val="22"/>
              </w:rPr>
              <w:t>52.6</w:t>
            </w:r>
            <w:r w:rsidR="005F0F19" w:rsidRPr="00C33D69">
              <w:rPr>
                <w:color w:val="000000"/>
                <w:sz w:val="22"/>
                <w:szCs w:val="22"/>
              </w:rPr>
              <w:t>%</w:t>
            </w:r>
          </w:p>
        </w:tc>
      </w:tr>
    </w:tbl>
    <w:p w14:paraId="7B22CBBE" w14:textId="77777777" w:rsidR="005F0F19" w:rsidRDefault="005F0F19" w:rsidP="005F0F19">
      <w:pPr>
        <w:rPr>
          <w:rFonts w:ascii="Arial" w:hAnsi="Arial" w:cs="Arial"/>
          <w:sz w:val="20"/>
          <w:szCs w:val="20"/>
        </w:rPr>
      </w:pPr>
      <w:r>
        <w:rPr>
          <w:rFonts w:ascii="Arial" w:hAnsi="Arial" w:cs="Arial"/>
          <w:sz w:val="20"/>
          <w:szCs w:val="20"/>
        </w:rPr>
        <w:t>Source:  NMFS SERO ACL.</w:t>
      </w:r>
    </w:p>
    <w:p w14:paraId="00EF34A2" w14:textId="77777777" w:rsidR="005F0F19" w:rsidRDefault="005F0F19" w:rsidP="005F0F19">
      <w:pPr>
        <w:ind w:firstLine="360"/>
      </w:pPr>
      <w:r w:rsidRPr="00C33D69">
        <w:lastRenderedPageBreak/>
        <w:t xml:space="preserve">Most of the commercial landings occur in Florida </w:t>
      </w:r>
      <w:r>
        <w:t>(</w:t>
      </w:r>
      <w:r w:rsidRPr="0079075D">
        <w:rPr>
          <w:b/>
        </w:rPr>
        <w:t>Figure 3.3.1</w:t>
      </w:r>
      <w:r w:rsidRPr="00C33D69">
        <w:t>).  From 2010 through 2014, Florida landings accounted for an average of 95% of the mutton snapper (lb</w:t>
      </w:r>
      <w:r>
        <w:t>s</w:t>
      </w:r>
      <w:r w:rsidRPr="00C33D69">
        <w:t xml:space="preserve"> ww) landings.  Florida regulations require the commercial vessel or its operator to have a Special Products license (SPL) with a Restricted Species (RS) endorsement in addition to a having a federal snapper grouper permit.</w:t>
      </w:r>
      <w:r>
        <w:t xml:space="preserve"> </w:t>
      </w:r>
    </w:p>
    <w:p w14:paraId="73C2E106" w14:textId="77777777" w:rsidR="005F0F19" w:rsidRPr="00C33D69" w:rsidRDefault="005F0F19" w:rsidP="005F0F19"/>
    <w:p w14:paraId="163F8989" w14:textId="77777777" w:rsidR="005F0F19" w:rsidRDefault="005F0F19" w:rsidP="005F0F19">
      <w:r w:rsidRPr="00C33D69">
        <w:rPr>
          <w:noProof/>
        </w:rPr>
        <w:drawing>
          <wp:inline distT="0" distB="0" distL="0" distR="0" wp14:anchorId="6D41A9A2" wp14:editId="0B15A0E5">
            <wp:extent cx="5943600" cy="1937537"/>
            <wp:effectExtent l="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937537"/>
                    </a:xfrm>
                    <a:prstGeom prst="rect">
                      <a:avLst/>
                    </a:prstGeom>
                    <a:noFill/>
                    <a:ln>
                      <a:noFill/>
                    </a:ln>
                  </pic:spPr>
                </pic:pic>
              </a:graphicData>
            </a:graphic>
          </wp:inline>
        </w:drawing>
      </w:r>
    </w:p>
    <w:p w14:paraId="1E8C106F" w14:textId="77777777" w:rsidR="005F0F19" w:rsidRPr="00C33D69" w:rsidRDefault="005F0F19" w:rsidP="005F0F19">
      <w:pPr>
        <w:pStyle w:val="Figuretitle"/>
        <w:rPr>
          <w:rFonts w:ascii="Arial" w:hAnsi="Arial" w:cs="Arial"/>
          <w:sz w:val="20"/>
          <w:szCs w:val="20"/>
        </w:rPr>
      </w:pPr>
      <w:bookmarkStart w:id="145" w:name="_Toc340431594"/>
      <w:r w:rsidRPr="00C33D69">
        <w:rPr>
          <w:rFonts w:ascii="Arial" w:hAnsi="Arial" w:cs="Arial"/>
          <w:b/>
          <w:sz w:val="20"/>
          <w:szCs w:val="20"/>
        </w:rPr>
        <w:t>Figure 3.3.1.</w:t>
      </w:r>
      <w:r w:rsidRPr="00C33D69">
        <w:rPr>
          <w:rFonts w:ascii="Arial" w:hAnsi="Arial" w:cs="Arial"/>
          <w:sz w:val="20"/>
          <w:szCs w:val="20"/>
        </w:rPr>
        <w:t xml:space="preserve">  Annual commercial landings (lb</w:t>
      </w:r>
      <w:r>
        <w:rPr>
          <w:rFonts w:ascii="Arial" w:hAnsi="Arial" w:cs="Arial"/>
          <w:sz w:val="20"/>
          <w:szCs w:val="20"/>
        </w:rPr>
        <w:t>s</w:t>
      </w:r>
      <w:r w:rsidRPr="00C33D69">
        <w:rPr>
          <w:rFonts w:ascii="Arial" w:hAnsi="Arial" w:cs="Arial"/>
          <w:sz w:val="20"/>
          <w:szCs w:val="20"/>
        </w:rPr>
        <w:t xml:space="preserve"> ww) of mutton snapper</w:t>
      </w:r>
      <w:r>
        <w:rPr>
          <w:rFonts w:ascii="Arial" w:hAnsi="Arial" w:cs="Arial"/>
          <w:sz w:val="20"/>
          <w:szCs w:val="20"/>
        </w:rPr>
        <w:t xml:space="preserve"> harvested from South Atlantic r</w:t>
      </w:r>
      <w:r w:rsidRPr="00C33D69">
        <w:rPr>
          <w:rFonts w:ascii="Arial" w:hAnsi="Arial" w:cs="Arial"/>
          <w:sz w:val="20"/>
          <w:szCs w:val="20"/>
        </w:rPr>
        <w:t>egion by state, 2010-2014.</w:t>
      </w:r>
      <w:bookmarkEnd w:id="145"/>
      <w:r w:rsidRPr="00C33D69">
        <w:rPr>
          <w:rFonts w:ascii="Arial" w:hAnsi="Arial" w:cs="Arial"/>
          <w:sz w:val="20"/>
          <w:szCs w:val="20"/>
        </w:rPr>
        <w:t xml:space="preserve">  </w:t>
      </w:r>
    </w:p>
    <w:p w14:paraId="7E5F269F" w14:textId="77777777" w:rsidR="005F0F19" w:rsidRPr="00EC5F84" w:rsidRDefault="005F0F19" w:rsidP="005F0F19">
      <w:pPr>
        <w:rPr>
          <w:rFonts w:ascii="Arial" w:hAnsi="Arial" w:cs="Arial"/>
          <w:sz w:val="20"/>
          <w:szCs w:val="20"/>
        </w:rPr>
      </w:pPr>
      <w:r w:rsidRPr="00EC5F84">
        <w:rPr>
          <w:rFonts w:ascii="Arial" w:hAnsi="Arial" w:cs="Arial"/>
          <w:sz w:val="20"/>
          <w:szCs w:val="20"/>
        </w:rPr>
        <w:t>Source:  NMFS SERO ACL.</w:t>
      </w:r>
    </w:p>
    <w:p w14:paraId="235999B9" w14:textId="77777777" w:rsidR="005F0F19" w:rsidRDefault="005F0F19" w:rsidP="005F0F19"/>
    <w:p w14:paraId="3F6B20B4" w14:textId="0BCB46A9" w:rsidR="005F0F19" w:rsidRPr="00BB4961" w:rsidRDefault="005F0F19" w:rsidP="005F0F19">
      <w:pPr>
        <w:ind w:firstLine="360"/>
      </w:pPr>
      <w:r>
        <w:t xml:space="preserve">Mutton snapper are typically solitary, non-schooling fish, but from April to August, they form large spawning aggregations around the full moon.  These aggregations are highly predictable and they occur at the same locations throughout the spawning season and from year to year (Burgess et al. 2015).  </w:t>
      </w:r>
      <w:r w:rsidR="00501559">
        <w:t xml:space="preserve">Two </w:t>
      </w:r>
      <w:r>
        <w:t xml:space="preserve">aggregation areas are Western Dry Rocks (state waters) and Eyeglass Bar (federal waters) off Key West, and </w:t>
      </w:r>
      <w:r w:rsidR="00501559">
        <w:t xml:space="preserve">the third is </w:t>
      </w:r>
      <w:r>
        <w:t>Riley’s Hump (federal waters) in the Dry Tortugas.  Peak spawning occurs from May until early July, and commercial landings are typically highest in May and June; however, 2014 landings do not show the same trend (</w:t>
      </w:r>
      <w:r w:rsidRPr="00EC5F84">
        <w:rPr>
          <w:b/>
        </w:rPr>
        <w:t>Figure</w:t>
      </w:r>
      <w:r>
        <w:rPr>
          <w:b/>
        </w:rPr>
        <w:t>s</w:t>
      </w:r>
      <w:r w:rsidRPr="00EC5F84">
        <w:rPr>
          <w:b/>
        </w:rPr>
        <w:t xml:space="preserve"> 3.3.2</w:t>
      </w:r>
      <w:r>
        <w:rPr>
          <w:b/>
        </w:rPr>
        <w:t xml:space="preserve"> </w:t>
      </w:r>
      <w:r w:rsidRPr="00934AB1">
        <w:t xml:space="preserve">and </w:t>
      </w:r>
      <w:r>
        <w:rPr>
          <w:b/>
        </w:rPr>
        <w:t>3.3.3</w:t>
      </w:r>
      <w:r>
        <w:t xml:space="preserve">).  During the months of May and June, </w:t>
      </w:r>
      <w:r w:rsidRPr="00DE25A0">
        <w:t>the</w:t>
      </w:r>
      <w:r>
        <w:t xml:space="preserve"> </w:t>
      </w:r>
      <w:r w:rsidRPr="00DE25A0">
        <w:t>pos</w:t>
      </w:r>
      <w:r>
        <w:t xml:space="preserve">session of mutton snapper in or from federal or state waters </w:t>
      </w:r>
      <w:r w:rsidRPr="00DE25A0">
        <w:t xml:space="preserve">on board a </w:t>
      </w:r>
      <w:r>
        <w:t xml:space="preserve">commercial fishing vessel is limited to 10 </w:t>
      </w:r>
      <w:r w:rsidRPr="00DE25A0">
        <w:t>per pers</w:t>
      </w:r>
      <w:r>
        <w:t xml:space="preserve">on per day or 10 per person per </w:t>
      </w:r>
      <w:r w:rsidRPr="00DE25A0">
        <w:t>trip, whichever is more restrictive.</w:t>
      </w:r>
      <w:r>
        <w:t xml:space="preserve">  </w:t>
      </w:r>
    </w:p>
    <w:p w14:paraId="0BD272B5" w14:textId="77777777" w:rsidR="005F0F19" w:rsidRDefault="005F0F19" w:rsidP="005F0F19"/>
    <w:p w14:paraId="23875103" w14:textId="77777777" w:rsidR="005F0F19" w:rsidRDefault="005F0F19" w:rsidP="005F0F19">
      <w:r w:rsidRPr="00C33D69">
        <w:rPr>
          <w:noProof/>
        </w:rPr>
        <w:drawing>
          <wp:inline distT="0" distB="0" distL="0" distR="0" wp14:anchorId="57CA1A2D" wp14:editId="7F5B17E5">
            <wp:extent cx="5943600" cy="1965088"/>
            <wp:effectExtent l="0" t="0" r="0" b="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965088"/>
                    </a:xfrm>
                    <a:prstGeom prst="rect">
                      <a:avLst/>
                    </a:prstGeom>
                    <a:noFill/>
                    <a:ln>
                      <a:noFill/>
                    </a:ln>
                  </pic:spPr>
                </pic:pic>
              </a:graphicData>
            </a:graphic>
          </wp:inline>
        </w:drawing>
      </w:r>
    </w:p>
    <w:p w14:paraId="193BAFF7" w14:textId="77777777" w:rsidR="005F0F19" w:rsidRPr="00004E27" w:rsidRDefault="005F0F19" w:rsidP="005F0F19">
      <w:pPr>
        <w:pStyle w:val="Figuretitle"/>
        <w:rPr>
          <w:rFonts w:ascii="Arial" w:hAnsi="Arial" w:cs="Arial"/>
          <w:sz w:val="20"/>
          <w:szCs w:val="20"/>
        </w:rPr>
      </w:pPr>
      <w:bookmarkStart w:id="146" w:name="_Toc340431595"/>
      <w:r w:rsidRPr="00004E27">
        <w:rPr>
          <w:rFonts w:ascii="Arial" w:hAnsi="Arial" w:cs="Arial"/>
          <w:b/>
          <w:sz w:val="20"/>
          <w:szCs w:val="20"/>
        </w:rPr>
        <w:t>Figure 3.3.2.</w:t>
      </w:r>
      <w:r w:rsidRPr="00004E27">
        <w:rPr>
          <w:rFonts w:ascii="Arial" w:hAnsi="Arial" w:cs="Arial"/>
          <w:sz w:val="20"/>
          <w:szCs w:val="20"/>
        </w:rPr>
        <w:t xml:space="preserve">  Average monthly commercial landings (lb</w:t>
      </w:r>
      <w:r>
        <w:rPr>
          <w:rFonts w:ascii="Arial" w:hAnsi="Arial" w:cs="Arial"/>
          <w:sz w:val="20"/>
          <w:szCs w:val="20"/>
        </w:rPr>
        <w:t>s</w:t>
      </w:r>
      <w:r w:rsidRPr="00004E27">
        <w:rPr>
          <w:rFonts w:ascii="Arial" w:hAnsi="Arial" w:cs="Arial"/>
          <w:sz w:val="20"/>
          <w:szCs w:val="20"/>
        </w:rPr>
        <w:t xml:space="preserve"> ww) of mutton snapper harvested from </w:t>
      </w:r>
      <w:r>
        <w:rPr>
          <w:rFonts w:ascii="Arial" w:hAnsi="Arial" w:cs="Arial"/>
          <w:sz w:val="20"/>
          <w:szCs w:val="20"/>
        </w:rPr>
        <w:t>the South Atlantic r</w:t>
      </w:r>
      <w:r w:rsidRPr="00004E27">
        <w:rPr>
          <w:rFonts w:ascii="Arial" w:hAnsi="Arial" w:cs="Arial"/>
          <w:sz w:val="20"/>
          <w:szCs w:val="20"/>
        </w:rPr>
        <w:t>egion and landed in Florida, 2010-2014.</w:t>
      </w:r>
      <w:bookmarkEnd w:id="146"/>
      <w:r w:rsidRPr="00004E27">
        <w:rPr>
          <w:rFonts w:ascii="Arial" w:hAnsi="Arial" w:cs="Arial"/>
          <w:sz w:val="20"/>
          <w:szCs w:val="20"/>
        </w:rPr>
        <w:t xml:space="preserve">  </w:t>
      </w:r>
    </w:p>
    <w:p w14:paraId="21DA6256" w14:textId="77777777" w:rsidR="005F0F19" w:rsidRDefault="005F0F19" w:rsidP="005F0F19">
      <w:pPr>
        <w:rPr>
          <w:rFonts w:ascii="Arial" w:hAnsi="Arial" w:cs="Arial"/>
          <w:sz w:val="20"/>
          <w:szCs w:val="20"/>
        </w:rPr>
      </w:pPr>
      <w:r w:rsidRPr="00EC5F84">
        <w:rPr>
          <w:rFonts w:ascii="Arial" w:hAnsi="Arial" w:cs="Arial"/>
          <w:sz w:val="20"/>
          <w:szCs w:val="20"/>
        </w:rPr>
        <w:t>Source:  NMFS SERO ACL.</w:t>
      </w:r>
    </w:p>
    <w:p w14:paraId="51FB3B48" w14:textId="77777777" w:rsidR="005F0F19" w:rsidRDefault="005F0F19" w:rsidP="005F0F19">
      <w:pPr>
        <w:rPr>
          <w:rFonts w:ascii="Arial" w:hAnsi="Arial" w:cs="Arial"/>
          <w:sz w:val="20"/>
          <w:szCs w:val="20"/>
        </w:rPr>
      </w:pPr>
    </w:p>
    <w:p w14:paraId="2E1E2248" w14:textId="77777777" w:rsidR="005F0F19" w:rsidRPr="00EC5F84" w:rsidRDefault="005F0F19" w:rsidP="005F0F19">
      <w:pPr>
        <w:rPr>
          <w:rFonts w:ascii="Arial" w:hAnsi="Arial" w:cs="Arial"/>
          <w:sz w:val="20"/>
          <w:szCs w:val="20"/>
        </w:rPr>
      </w:pPr>
      <w:r w:rsidRPr="00760453">
        <w:rPr>
          <w:noProof/>
        </w:rPr>
        <w:lastRenderedPageBreak/>
        <w:drawing>
          <wp:inline distT="0" distB="0" distL="0" distR="0" wp14:anchorId="64B0AD71" wp14:editId="68FAAEA0">
            <wp:extent cx="5943600" cy="2245216"/>
            <wp:effectExtent l="0" t="0" r="0"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245216"/>
                    </a:xfrm>
                    <a:prstGeom prst="rect">
                      <a:avLst/>
                    </a:prstGeom>
                    <a:noFill/>
                    <a:ln>
                      <a:noFill/>
                    </a:ln>
                  </pic:spPr>
                </pic:pic>
              </a:graphicData>
            </a:graphic>
          </wp:inline>
        </w:drawing>
      </w:r>
    </w:p>
    <w:p w14:paraId="5515F7ED" w14:textId="77777777" w:rsidR="005F0F19" w:rsidRPr="00760453" w:rsidRDefault="005F0F19" w:rsidP="005F0F19">
      <w:pPr>
        <w:pStyle w:val="Figuretitle"/>
        <w:rPr>
          <w:rFonts w:ascii="Arial" w:hAnsi="Arial" w:cs="Arial"/>
          <w:sz w:val="20"/>
          <w:szCs w:val="20"/>
        </w:rPr>
      </w:pPr>
      <w:bookmarkStart w:id="147" w:name="_Toc340431596"/>
      <w:r w:rsidRPr="00760453">
        <w:rPr>
          <w:rFonts w:ascii="Arial" w:hAnsi="Arial" w:cs="Arial"/>
          <w:b/>
          <w:sz w:val="20"/>
          <w:szCs w:val="20"/>
        </w:rPr>
        <w:t>Figure 3.3.3.</w:t>
      </w:r>
      <w:r w:rsidRPr="00760453">
        <w:rPr>
          <w:rFonts w:ascii="Arial" w:hAnsi="Arial" w:cs="Arial"/>
          <w:sz w:val="20"/>
          <w:szCs w:val="20"/>
        </w:rPr>
        <w:t xml:space="preserve">  Monthly commercial landings (lbs ww) of mutton snapper</w:t>
      </w:r>
      <w:r>
        <w:rPr>
          <w:rFonts w:ascii="Arial" w:hAnsi="Arial" w:cs="Arial"/>
          <w:sz w:val="20"/>
          <w:szCs w:val="20"/>
        </w:rPr>
        <w:t xml:space="preserve"> harvested from South Atlantic r</w:t>
      </w:r>
      <w:r w:rsidRPr="00760453">
        <w:rPr>
          <w:rFonts w:ascii="Arial" w:hAnsi="Arial" w:cs="Arial"/>
          <w:sz w:val="20"/>
          <w:szCs w:val="20"/>
        </w:rPr>
        <w:t>egion and landed in Florida, 2010-2014.</w:t>
      </w:r>
      <w:bookmarkEnd w:id="147"/>
      <w:r w:rsidRPr="00760453">
        <w:rPr>
          <w:rFonts w:ascii="Arial" w:hAnsi="Arial" w:cs="Arial"/>
          <w:sz w:val="20"/>
          <w:szCs w:val="20"/>
        </w:rPr>
        <w:t xml:space="preserve">  </w:t>
      </w:r>
    </w:p>
    <w:p w14:paraId="46D51BC9" w14:textId="77777777" w:rsidR="005F0F19" w:rsidRDefault="005F0F19" w:rsidP="005F0F19">
      <w:pPr>
        <w:rPr>
          <w:rFonts w:ascii="Arial" w:hAnsi="Arial" w:cs="Arial"/>
          <w:sz w:val="20"/>
          <w:szCs w:val="20"/>
        </w:rPr>
      </w:pPr>
      <w:r w:rsidRPr="00EC5F84">
        <w:rPr>
          <w:rFonts w:ascii="Arial" w:hAnsi="Arial" w:cs="Arial"/>
          <w:sz w:val="20"/>
          <w:szCs w:val="20"/>
        </w:rPr>
        <w:t>Source:  NMFS SERO ACL.</w:t>
      </w:r>
    </w:p>
    <w:p w14:paraId="7897BBF1" w14:textId="77777777" w:rsidR="005F0F19" w:rsidRPr="00EC5F84" w:rsidRDefault="005F0F19" w:rsidP="005F0F19">
      <w:pPr>
        <w:rPr>
          <w:rFonts w:ascii="Arial" w:hAnsi="Arial" w:cs="Arial"/>
          <w:sz w:val="20"/>
          <w:szCs w:val="20"/>
        </w:rPr>
      </w:pPr>
    </w:p>
    <w:p w14:paraId="70120927" w14:textId="05346A44" w:rsidR="005F0F19" w:rsidRDefault="005F0F19" w:rsidP="005F0F19">
      <w:pPr>
        <w:ind w:firstLine="360"/>
      </w:pPr>
      <w:r>
        <w:t>The above-mentioned three spawning sites are located off Monroe County, which leads all counties in commercial landin</w:t>
      </w:r>
      <w:r w:rsidR="00C44CC7">
        <w:t>gs of mutton snapper.  From 2011 through 2015</w:t>
      </w:r>
      <w:r>
        <w:t>, commercial landings in Monroe Co</w:t>
      </w:r>
      <w:r w:rsidR="00C44CC7">
        <w:t>unty represented, on average, 64</w:t>
      </w:r>
      <w:r>
        <w:t>% of the area’s combined landings of the species.  Duval County, which is north along the east coast of the state and</w:t>
      </w:r>
      <w:r w:rsidRPr="00074A34">
        <w:t xml:space="preserve"> </w:t>
      </w:r>
      <w:r>
        <w:t>includes Atlantic Beach and Jacksonville, ranks second in average annual landings (</w:t>
      </w:r>
      <w:r>
        <w:rPr>
          <w:b/>
        </w:rPr>
        <w:t>Table 3.3.7</w:t>
      </w:r>
      <w:r>
        <w:t xml:space="preserve">).  </w:t>
      </w:r>
    </w:p>
    <w:p w14:paraId="7EF62010" w14:textId="77777777" w:rsidR="005F0F19" w:rsidRDefault="005F0F19" w:rsidP="005F0F19">
      <w:pPr>
        <w:ind w:firstLine="360"/>
      </w:pPr>
    </w:p>
    <w:p w14:paraId="4339129A" w14:textId="61718FC0" w:rsidR="005F0F19" w:rsidRDefault="005F0F19" w:rsidP="005F0F19">
      <w:pPr>
        <w:pStyle w:val="Tabletitle"/>
      </w:pPr>
      <w:bookmarkStart w:id="148" w:name="_Toc340431552"/>
      <w:r>
        <w:rPr>
          <w:b/>
        </w:rPr>
        <w:t>Table 3.3.7</w:t>
      </w:r>
      <w:r w:rsidRPr="00E041AC">
        <w:rPr>
          <w:b/>
        </w:rPr>
        <w:t>.</w:t>
      </w:r>
      <w:r w:rsidRPr="00FD1B97">
        <w:t xml:space="preserve">  Commercial landings of mutton snapper </w:t>
      </w:r>
      <w:r>
        <w:t xml:space="preserve">(lbs ww) </w:t>
      </w:r>
      <w:r w:rsidRPr="00FD1B97">
        <w:t>by County in So</w:t>
      </w:r>
      <w:r w:rsidR="00C44CC7">
        <w:t>uth Atlantic region, 2011-2015</w:t>
      </w:r>
      <w:r w:rsidRPr="00FD1B97">
        <w:t>.</w:t>
      </w:r>
      <w:bookmarkEnd w:id="148"/>
      <w:r w:rsidRPr="00FD1B97">
        <w:t xml:space="preserve">  </w:t>
      </w:r>
    </w:p>
    <w:tbl>
      <w:tblPr>
        <w:tblW w:w="8023" w:type="dxa"/>
        <w:tblInd w:w="93" w:type="dxa"/>
        <w:tblLook w:val="04A0" w:firstRow="1" w:lastRow="0" w:firstColumn="1" w:lastColumn="0" w:noHBand="0" w:noVBand="1"/>
      </w:tblPr>
      <w:tblGrid>
        <w:gridCol w:w="1455"/>
        <w:gridCol w:w="821"/>
        <w:gridCol w:w="960"/>
        <w:gridCol w:w="960"/>
        <w:gridCol w:w="960"/>
        <w:gridCol w:w="960"/>
        <w:gridCol w:w="998"/>
        <w:gridCol w:w="1005"/>
      </w:tblGrid>
      <w:tr w:rsidR="00C44CC7" w14:paraId="3EA7004F" w14:textId="77777777" w:rsidTr="00C44CC7">
        <w:trPr>
          <w:trHeight w:val="300"/>
        </w:trPr>
        <w:tc>
          <w:tcPr>
            <w:tcW w:w="145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3853AE6" w14:textId="77777777" w:rsidR="00C44CC7" w:rsidRDefault="00C44CC7" w:rsidP="00C44CC7">
            <w:pPr>
              <w:jc w:val="center"/>
              <w:rPr>
                <w:b/>
                <w:bCs/>
                <w:color w:val="000000"/>
                <w:sz w:val="22"/>
                <w:szCs w:val="22"/>
              </w:rPr>
            </w:pPr>
            <w:r>
              <w:rPr>
                <w:b/>
                <w:bCs/>
                <w:color w:val="000000"/>
                <w:sz w:val="22"/>
                <w:szCs w:val="22"/>
              </w:rPr>
              <w:t>County</w:t>
            </w:r>
          </w:p>
        </w:tc>
        <w:tc>
          <w:tcPr>
            <w:tcW w:w="725" w:type="dxa"/>
            <w:tcBorders>
              <w:top w:val="single" w:sz="4" w:space="0" w:color="auto"/>
              <w:left w:val="nil"/>
              <w:bottom w:val="single" w:sz="4" w:space="0" w:color="auto"/>
              <w:right w:val="single" w:sz="4" w:space="0" w:color="auto"/>
            </w:tcBorders>
            <w:shd w:val="clear" w:color="000000" w:fill="D9D9D9"/>
            <w:noWrap/>
            <w:vAlign w:val="bottom"/>
            <w:hideMark/>
          </w:tcPr>
          <w:p w14:paraId="193167AB" w14:textId="77777777" w:rsidR="00C44CC7" w:rsidRDefault="00C44CC7" w:rsidP="00C44CC7">
            <w:pPr>
              <w:jc w:val="center"/>
              <w:rPr>
                <w:b/>
                <w:bCs/>
                <w:color w:val="000000"/>
                <w:sz w:val="22"/>
                <w:szCs w:val="22"/>
              </w:rPr>
            </w:pPr>
            <w:r>
              <w:rPr>
                <w:b/>
                <w:bCs/>
                <w:color w:val="000000"/>
                <w:sz w:val="22"/>
                <w:szCs w:val="22"/>
              </w:rPr>
              <w:t>2011</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1762C3FF" w14:textId="77777777" w:rsidR="00C44CC7" w:rsidRDefault="00C44CC7" w:rsidP="00C44CC7">
            <w:pPr>
              <w:jc w:val="center"/>
              <w:rPr>
                <w:b/>
                <w:bCs/>
                <w:color w:val="000000"/>
                <w:sz w:val="22"/>
                <w:szCs w:val="22"/>
              </w:rPr>
            </w:pPr>
            <w:r>
              <w:rPr>
                <w:b/>
                <w:bCs/>
                <w:color w:val="000000"/>
                <w:sz w:val="22"/>
                <w:szCs w:val="22"/>
              </w:rPr>
              <w:t>2012</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4305BBF1" w14:textId="77777777" w:rsidR="00C44CC7" w:rsidRDefault="00C44CC7" w:rsidP="00C44CC7">
            <w:pPr>
              <w:jc w:val="center"/>
              <w:rPr>
                <w:b/>
                <w:bCs/>
                <w:color w:val="000000"/>
                <w:sz w:val="22"/>
                <w:szCs w:val="22"/>
              </w:rPr>
            </w:pPr>
            <w:r>
              <w:rPr>
                <w:b/>
                <w:bCs/>
                <w:color w:val="000000"/>
                <w:sz w:val="22"/>
                <w:szCs w:val="22"/>
              </w:rPr>
              <w:t>2013</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4E07F021" w14:textId="77777777" w:rsidR="00C44CC7" w:rsidRDefault="00C44CC7" w:rsidP="00C44CC7">
            <w:pPr>
              <w:jc w:val="center"/>
              <w:rPr>
                <w:b/>
                <w:bCs/>
                <w:color w:val="000000"/>
                <w:sz w:val="22"/>
                <w:szCs w:val="22"/>
              </w:rPr>
            </w:pPr>
            <w:r>
              <w:rPr>
                <w:b/>
                <w:bCs/>
                <w:color w:val="000000"/>
                <w:sz w:val="22"/>
                <w:szCs w:val="22"/>
              </w:rPr>
              <w:t>2014</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21940B31" w14:textId="77777777" w:rsidR="00C44CC7" w:rsidRDefault="00C44CC7" w:rsidP="00C44CC7">
            <w:pPr>
              <w:jc w:val="center"/>
              <w:rPr>
                <w:b/>
                <w:bCs/>
                <w:color w:val="000000"/>
                <w:sz w:val="22"/>
                <w:szCs w:val="22"/>
              </w:rPr>
            </w:pPr>
            <w:r>
              <w:rPr>
                <w:b/>
                <w:bCs/>
                <w:color w:val="000000"/>
                <w:sz w:val="22"/>
                <w:szCs w:val="22"/>
              </w:rPr>
              <w:t>2015</w:t>
            </w:r>
          </w:p>
        </w:tc>
        <w:tc>
          <w:tcPr>
            <w:tcW w:w="998" w:type="dxa"/>
            <w:tcBorders>
              <w:top w:val="single" w:sz="4" w:space="0" w:color="auto"/>
              <w:left w:val="nil"/>
              <w:bottom w:val="single" w:sz="4" w:space="0" w:color="auto"/>
              <w:right w:val="single" w:sz="4" w:space="0" w:color="auto"/>
            </w:tcBorders>
            <w:shd w:val="clear" w:color="000000" w:fill="D9D9D9"/>
            <w:noWrap/>
            <w:vAlign w:val="bottom"/>
            <w:hideMark/>
          </w:tcPr>
          <w:p w14:paraId="477E0B2D" w14:textId="77777777" w:rsidR="00C44CC7" w:rsidRDefault="00C44CC7" w:rsidP="00C44CC7">
            <w:pPr>
              <w:jc w:val="center"/>
              <w:rPr>
                <w:b/>
                <w:bCs/>
                <w:color w:val="000000"/>
                <w:sz w:val="22"/>
                <w:szCs w:val="22"/>
              </w:rPr>
            </w:pPr>
            <w:r>
              <w:rPr>
                <w:b/>
                <w:bCs/>
                <w:color w:val="000000"/>
                <w:sz w:val="22"/>
                <w:szCs w:val="22"/>
              </w:rPr>
              <w:t>Average</w:t>
            </w:r>
          </w:p>
        </w:tc>
        <w:tc>
          <w:tcPr>
            <w:tcW w:w="1005" w:type="dxa"/>
            <w:tcBorders>
              <w:top w:val="single" w:sz="4" w:space="0" w:color="auto"/>
              <w:left w:val="nil"/>
              <w:bottom w:val="single" w:sz="4" w:space="0" w:color="auto"/>
              <w:right w:val="single" w:sz="4" w:space="0" w:color="auto"/>
            </w:tcBorders>
            <w:shd w:val="clear" w:color="000000" w:fill="D9D9D9"/>
            <w:noWrap/>
            <w:vAlign w:val="bottom"/>
            <w:hideMark/>
          </w:tcPr>
          <w:p w14:paraId="497F95EA" w14:textId="77777777" w:rsidR="00C44CC7" w:rsidRDefault="00C44CC7" w:rsidP="00C44CC7">
            <w:pPr>
              <w:jc w:val="center"/>
              <w:rPr>
                <w:b/>
                <w:bCs/>
                <w:color w:val="000000"/>
                <w:sz w:val="22"/>
                <w:szCs w:val="22"/>
              </w:rPr>
            </w:pPr>
            <w:r>
              <w:rPr>
                <w:b/>
                <w:bCs/>
                <w:color w:val="000000"/>
                <w:sz w:val="22"/>
                <w:szCs w:val="22"/>
              </w:rPr>
              <w:t>Percent</w:t>
            </w:r>
          </w:p>
        </w:tc>
      </w:tr>
      <w:tr w:rsidR="00C44CC7" w14:paraId="1891F46C" w14:textId="77777777" w:rsidTr="00C44CC7">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14:paraId="27C3A96C" w14:textId="77777777" w:rsidR="00C44CC7" w:rsidRDefault="00C44CC7" w:rsidP="00C44CC7">
            <w:pPr>
              <w:rPr>
                <w:color w:val="000000"/>
                <w:sz w:val="22"/>
                <w:szCs w:val="22"/>
              </w:rPr>
            </w:pPr>
            <w:r>
              <w:rPr>
                <w:bCs/>
                <w:color w:val="000000"/>
                <w:sz w:val="22"/>
                <w:szCs w:val="22"/>
              </w:rPr>
              <w:t>Brevard</w:t>
            </w:r>
          </w:p>
        </w:tc>
        <w:tc>
          <w:tcPr>
            <w:tcW w:w="725" w:type="dxa"/>
            <w:tcBorders>
              <w:top w:val="nil"/>
              <w:left w:val="nil"/>
              <w:bottom w:val="single" w:sz="4" w:space="0" w:color="auto"/>
              <w:right w:val="single" w:sz="4" w:space="0" w:color="auto"/>
            </w:tcBorders>
            <w:shd w:val="clear" w:color="auto" w:fill="auto"/>
            <w:noWrap/>
            <w:vAlign w:val="bottom"/>
            <w:hideMark/>
          </w:tcPr>
          <w:p w14:paraId="18475C18" w14:textId="77777777" w:rsidR="00C44CC7" w:rsidRDefault="00C44CC7" w:rsidP="00C44CC7">
            <w:pPr>
              <w:jc w:val="right"/>
              <w:rPr>
                <w:color w:val="000000"/>
                <w:sz w:val="22"/>
                <w:szCs w:val="22"/>
              </w:rPr>
            </w:pPr>
            <w:r>
              <w:rPr>
                <w:color w:val="000000"/>
                <w:sz w:val="22"/>
                <w:szCs w:val="22"/>
              </w:rPr>
              <w:t>77</w:t>
            </w:r>
          </w:p>
        </w:tc>
        <w:tc>
          <w:tcPr>
            <w:tcW w:w="960" w:type="dxa"/>
            <w:tcBorders>
              <w:top w:val="nil"/>
              <w:left w:val="nil"/>
              <w:bottom w:val="single" w:sz="4" w:space="0" w:color="auto"/>
              <w:right w:val="single" w:sz="4" w:space="0" w:color="auto"/>
            </w:tcBorders>
            <w:shd w:val="clear" w:color="auto" w:fill="auto"/>
            <w:noWrap/>
            <w:vAlign w:val="bottom"/>
            <w:hideMark/>
          </w:tcPr>
          <w:p w14:paraId="04A4BF9E" w14:textId="77777777" w:rsidR="00C44CC7" w:rsidRDefault="00C44CC7" w:rsidP="00C44CC7">
            <w:pPr>
              <w:jc w:val="right"/>
              <w:rPr>
                <w:color w:val="000000"/>
                <w:sz w:val="22"/>
                <w:szCs w:val="22"/>
              </w:rPr>
            </w:pPr>
            <w:r>
              <w:rPr>
                <w:color w:val="000000"/>
                <w:sz w:val="22"/>
                <w:szCs w:val="22"/>
              </w:rPr>
              <w:t>87</w:t>
            </w:r>
          </w:p>
        </w:tc>
        <w:tc>
          <w:tcPr>
            <w:tcW w:w="960" w:type="dxa"/>
            <w:tcBorders>
              <w:top w:val="nil"/>
              <w:left w:val="nil"/>
              <w:bottom w:val="single" w:sz="4" w:space="0" w:color="auto"/>
              <w:right w:val="single" w:sz="4" w:space="0" w:color="auto"/>
            </w:tcBorders>
            <w:shd w:val="clear" w:color="auto" w:fill="auto"/>
            <w:noWrap/>
            <w:vAlign w:val="bottom"/>
            <w:hideMark/>
          </w:tcPr>
          <w:p w14:paraId="3F57BB08" w14:textId="77777777" w:rsidR="00C44CC7" w:rsidRDefault="00C44CC7" w:rsidP="00C44CC7">
            <w:pPr>
              <w:jc w:val="right"/>
              <w:rPr>
                <w:color w:val="000000"/>
                <w:sz w:val="22"/>
                <w:szCs w:val="22"/>
              </w:rPr>
            </w:pPr>
            <w:r>
              <w:rPr>
                <w:color w:val="000000"/>
                <w:sz w:val="22"/>
                <w:szCs w:val="22"/>
              </w:rPr>
              <w:t>92</w:t>
            </w:r>
          </w:p>
        </w:tc>
        <w:tc>
          <w:tcPr>
            <w:tcW w:w="960" w:type="dxa"/>
            <w:tcBorders>
              <w:top w:val="nil"/>
              <w:left w:val="nil"/>
              <w:bottom w:val="single" w:sz="4" w:space="0" w:color="auto"/>
              <w:right w:val="single" w:sz="4" w:space="0" w:color="auto"/>
            </w:tcBorders>
            <w:shd w:val="clear" w:color="auto" w:fill="auto"/>
            <w:noWrap/>
            <w:vAlign w:val="bottom"/>
            <w:hideMark/>
          </w:tcPr>
          <w:p w14:paraId="23AF094F" w14:textId="77777777" w:rsidR="00C44CC7" w:rsidRDefault="00C44CC7" w:rsidP="00C44CC7">
            <w:pPr>
              <w:jc w:val="right"/>
              <w:rPr>
                <w:color w:val="000000"/>
                <w:sz w:val="22"/>
                <w:szCs w:val="22"/>
              </w:rPr>
            </w:pPr>
            <w:r>
              <w:rPr>
                <w:color w:val="000000"/>
                <w:sz w:val="22"/>
                <w:szCs w:val="22"/>
              </w:rPr>
              <w:t>166</w:t>
            </w:r>
          </w:p>
        </w:tc>
        <w:tc>
          <w:tcPr>
            <w:tcW w:w="960" w:type="dxa"/>
            <w:tcBorders>
              <w:top w:val="nil"/>
              <w:left w:val="nil"/>
              <w:bottom w:val="single" w:sz="4" w:space="0" w:color="auto"/>
              <w:right w:val="single" w:sz="4" w:space="0" w:color="auto"/>
            </w:tcBorders>
            <w:shd w:val="clear" w:color="auto" w:fill="auto"/>
            <w:noWrap/>
            <w:vAlign w:val="bottom"/>
            <w:hideMark/>
          </w:tcPr>
          <w:p w14:paraId="0D04E8A7" w14:textId="77777777" w:rsidR="00C44CC7" w:rsidRDefault="00C44CC7" w:rsidP="00C44CC7">
            <w:pPr>
              <w:jc w:val="right"/>
              <w:rPr>
                <w:color w:val="000000"/>
                <w:sz w:val="22"/>
                <w:szCs w:val="22"/>
              </w:rPr>
            </w:pPr>
            <w:r>
              <w:rPr>
                <w:color w:val="000000"/>
                <w:sz w:val="22"/>
                <w:szCs w:val="22"/>
              </w:rPr>
              <w:t>1163</w:t>
            </w:r>
          </w:p>
        </w:tc>
        <w:tc>
          <w:tcPr>
            <w:tcW w:w="998" w:type="dxa"/>
            <w:tcBorders>
              <w:top w:val="nil"/>
              <w:left w:val="nil"/>
              <w:bottom w:val="single" w:sz="4" w:space="0" w:color="auto"/>
              <w:right w:val="single" w:sz="4" w:space="0" w:color="auto"/>
            </w:tcBorders>
            <w:shd w:val="clear" w:color="auto" w:fill="auto"/>
            <w:noWrap/>
            <w:vAlign w:val="bottom"/>
            <w:hideMark/>
          </w:tcPr>
          <w:p w14:paraId="105E170D" w14:textId="77777777" w:rsidR="00C44CC7" w:rsidRDefault="00C44CC7" w:rsidP="00C44CC7">
            <w:pPr>
              <w:jc w:val="right"/>
              <w:rPr>
                <w:color w:val="000000"/>
                <w:sz w:val="22"/>
                <w:szCs w:val="22"/>
              </w:rPr>
            </w:pPr>
            <w:r>
              <w:rPr>
                <w:color w:val="000000"/>
                <w:sz w:val="22"/>
                <w:szCs w:val="22"/>
              </w:rPr>
              <w:t>317</w:t>
            </w:r>
          </w:p>
        </w:tc>
        <w:tc>
          <w:tcPr>
            <w:tcW w:w="1005" w:type="dxa"/>
            <w:tcBorders>
              <w:top w:val="nil"/>
              <w:left w:val="nil"/>
              <w:bottom w:val="single" w:sz="4" w:space="0" w:color="auto"/>
              <w:right w:val="single" w:sz="4" w:space="0" w:color="auto"/>
            </w:tcBorders>
            <w:shd w:val="clear" w:color="auto" w:fill="auto"/>
            <w:noWrap/>
            <w:vAlign w:val="bottom"/>
            <w:hideMark/>
          </w:tcPr>
          <w:p w14:paraId="04A71309" w14:textId="77777777" w:rsidR="00C44CC7" w:rsidRDefault="00C44CC7" w:rsidP="00C44CC7">
            <w:pPr>
              <w:jc w:val="right"/>
              <w:rPr>
                <w:color w:val="000000"/>
                <w:sz w:val="22"/>
                <w:szCs w:val="22"/>
              </w:rPr>
            </w:pPr>
            <w:r>
              <w:rPr>
                <w:color w:val="000000"/>
                <w:sz w:val="22"/>
                <w:szCs w:val="22"/>
              </w:rPr>
              <w:t>0.36%</w:t>
            </w:r>
          </w:p>
        </w:tc>
      </w:tr>
      <w:tr w:rsidR="00C44CC7" w14:paraId="6BBD6983" w14:textId="77777777" w:rsidTr="00C44CC7">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14:paraId="325A96E5" w14:textId="77777777" w:rsidR="00C44CC7" w:rsidRDefault="00C44CC7" w:rsidP="00C44CC7">
            <w:pPr>
              <w:rPr>
                <w:color w:val="000000"/>
                <w:sz w:val="22"/>
                <w:szCs w:val="22"/>
              </w:rPr>
            </w:pPr>
            <w:r>
              <w:rPr>
                <w:bCs/>
                <w:color w:val="000000"/>
                <w:sz w:val="22"/>
                <w:szCs w:val="22"/>
              </w:rPr>
              <w:t>Broward</w:t>
            </w:r>
          </w:p>
        </w:tc>
        <w:tc>
          <w:tcPr>
            <w:tcW w:w="725" w:type="dxa"/>
            <w:tcBorders>
              <w:top w:val="nil"/>
              <w:left w:val="nil"/>
              <w:bottom w:val="single" w:sz="4" w:space="0" w:color="auto"/>
              <w:right w:val="single" w:sz="4" w:space="0" w:color="auto"/>
            </w:tcBorders>
            <w:shd w:val="clear" w:color="auto" w:fill="auto"/>
            <w:noWrap/>
            <w:vAlign w:val="bottom"/>
            <w:hideMark/>
          </w:tcPr>
          <w:p w14:paraId="585BA9DA" w14:textId="77777777" w:rsidR="00C44CC7" w:rsidRDefault="00C44CC7" w:rsidP="00C44CC7">
            <w:pPr>
              <w:jc w:val="right"/>
              <w:rPr>
                <w:color w:val="000000"/>
                <w:sz w:val="22"/>
                <w:szCs w:val="22"/>
              </w:rPr>
            </w:pPr>
            <w:r>
              <w:rPr>
                <w:color w:val="000000"/>
                <w:sz w:val="22"/>
                <w:szCs w:val="22"/>
              </w:rPr>
              <w:t>1,468</w:t>
            </w:r>
          </w:p>
        </w:tc>
        <w:tc>
          <w:tcPr>
            <w:tcW w:w="960" w:type="dxa"/>
            <w:tcBorders>
              <w:top w:val="nil"/>
              <w:left w:val="nil"/>
              <w:bottom w:val="single" w:sz="4" w:space="0" w:color="auto"/>
              <w:right w:val="single" w:sz="4" w:space="0" w:color="auto"/>
            </w:tcBorders>
            <w:shd w:val="clear" w:color="auto" w:fill="auto"/>
            <w:noWrap/>
            <w:vAlign w:val="bottom"/>
            <w:hideMark/>
          </w:tcPr>
          <w:p w14:paraId="4F900828" w14:textId="77777777" w:rsidR="00C44CC7" w:rsidRDefault="00C44CC7" w:rsidP="00C44CC7">
            <w:pPr>
              <w:jc w:val="right"/>
              <w:rPr>
                <w:color w:val="000000"/>
                <w:sz w:val="22"/>
                <w:szCs w:val="22"/>
              </w:rPr>
            </w:pPr>
            <w:r>
              <w:rPr>
                <w:color w:val="000000"/>
                <w:sz w:val="22"/>
                <w:szCs w:val="22"/>
              </w:rPr>
              <w:t>1,689</w:t>
            </w:r>
          </w:p>
        </w:tc>
        <w:tc>
          <w:tcPr>
            <w:tcW w:w="960" w:type="dxa"/>
            <w:tcBorders>
              <w:top w:val="nil"/>
              <w:left w:val="nil"/>
              <w:bottom w:val="single" w:sz="4" w:space="0" w:color="auto"/>
              <w:right w:val="single" w:sz="4" w:space="0" w:color="auto"/>
            </w:tcBorders>
            <w:shd w:val="clear" w:color="auto" w:fill="auto"/>
            <w:noWrap/>
            <w:vAlign w:val="bottom"/>
            <w:hideMark/>
          </w:tcPr>
          <w:p w14:paraId="6395B8F3" w14:textId="77777777" w:rsidR="00C44CC7" w:rsidRDefault="00C44CC7" w:rsidP="00C44CC7">
            <w:pPr>
              <w:jc w:val="right"/>
              <w:rPr>
                <w:color w:val="000000"/>
                <w:sz w:val="22"/>
                <w:szCs w:val="22"/>
              </w:rPr>
            </w:pPr>
            <w:r>
              <w:rPr>
                <w:color w:val="000000"/>
                <w:sz w:val="22"/>
                <w:szCs w:val="22"/>
              </w:rPr>
              <w:t>2,366</w:t>
            </w:r>
          </w:p>
        </w:tc>
        <w:tc>
          <w:tcPr>
            <w:tcW w:w="960" w:type="dxa"/>
            <w:tcBorders>
              <w:top w:val="nil"/>
              <w:left w:val="nil"/>
              <w:bottom w:val="single" w:sz="4" w:space="0" w:color="auto"/>
              <w:right w:val="single" w:sz="4" w:space="0" w:color="auto"/>
            </w:tcBorders>
            <w:shd w:val="clear" w:color="auto" w:fill="auto"/>
            <w:noWrap/>
            <w:vAlign w:val="bottom"/>
            <w:hideMark/>
          </w:tcPr>
          <w:p w14:paraId="01E53AFE" w14:textId="77777777" w:rsidR="00C44CC7" w:rsidRDefault="00C44CC7" w:rsidP="00C44CC7">
            <w:pPr>
              <w:jc w:val="right"/>
              <w:rPr>
                <w:color w:val="000000"/>
                <w:sz w:val="22"/>
                <w:szCs w:val="22"/>
              </w:rPr>
            </w:pPr>
            <w:r>
              <w:rPr>
                <w:color w:val="000000"/>
                <w:sz w:val="22"/>
                <w:szCs w:val="22"/>
              </w:rPr>
              <w:t>1,054</w:t>
            </w:r>
          </w:p>
        </w:tc>
        <w:tc>
          <w:tcPr>
            <w:tcW w:w="960" w:type="dxa"/>
            <w:tcBorders>
              <w:top w:val="nil"/>
              <w:left w:val="nil"/>
              <w:bottom w:val="single" w:sz="4" w:space="0" w:color="auto"/>
              <w:right w:val="single" w:sz="4" w:space="0" w:color="auto"/>
            </w:tcBorders>
            <w:shd w:val="clear" w:color="auto" w:fill="auto"/>
            <w:noWrap/>
            <w:vAlign w:val="bottom"/>
            <w:hideMark/>
          </w:tcPr>
          <w:p w14:paraId="5214C74A" w14:textId="77777777" w:rsidR="00C44CC7" w:rsidRDefault="00C44CC7" w:rsidP="00C44CC7">
            <w:pPr>
              <w:jc w:val="right"/>
              <w:rPr>
                <w:color w:val="000000"/>
                <w:sz w:val="22"/>
                <w:szCs w:val="22"/>
              </w:rPr>
            </w:pPr>
            <w:r>
              <w:rPr>
                <w:color w:val="000000"/>
                <w:sz w:val="22"/>
                <w:szCs w:val="22"/>
              </w:rPr>
              <w:t>850</w:t>
            </w:r>
          </w:p>
        </w:tc>
        <w:tc>
          <w:tcPr>
            <w:tcW w:w="998" w:type="dxa"/>
            <w:tcBorders>
              <w:top w:val="nil"/>
              <w:left w:val="nil"/>
              <w:bottom w:val="single" w:sz="4" w:space="0" w:color="auto"/>
              <w:right w:val="single" w:sz="4" w:space="0" w:color="auto"/>
            </w:tcBorders>
            <w:shd w:val="clear" w:color="auto" w:fill="auto"/>
            <w:noWrap/>
            <w:vAlign w:val="bottom"/>
            <w:hideMark/>
          </w:tcPr>
          <w:p w14:paraId="022E3163" w14:textId="77777777" w:rsidR="00C44CC7" w:rsidRDefault="00C44CC7" w:rsidP="00C44CC7">
            <w:pPr>
              <w:jc w:val="right"/>
              <w:rPr>
                <w:color w:val="000000"/>
                <w:sz w:val="22"/>
                <w:szCs w:val="22"/>
              </w:rPr>
            </w:pPr>
            <w:r>
              <w:rPr>
                <w:color w:val="000000"/>
                <w:sz w:val="22"/>
                <w:szCs w:val="22"/>
              </w:rPr>
              <w:t>1,485</w:t>
            </w:r>
          </w:p>
        </w:tc>
        <w:tc>
          <w:tcPr>
            <w:tcW w:w="1005" w:type="dxa"/>
            <w:tcBorders>
              <w:top w:val="nil"/>
              <w:left w:val="nil"/>
              <w:bottom w:val="single" w:sz="4" w:space="0" w:color="auto"/>
              <w:right w:val="single" w:sz="4" w:space="0" w:color="auto"/>
            </w:tcBorders>
            <w:shd w:val="clear" w:color="auto" w:fill="auto"/>
            <w:noWrap/>
            <w:vAlign w:val="bottom"/>
            <w:hideMark/>
          </w:tcPr>
          <w:p w14:paraId="412962BB" w14:textId="77777777" w:rsidR="00C44CC7" w:rsidRDefault="00C44CC7" w:rsidP="00C44CC7">
            <w:pPr>
              <w:jc w:val="right"/>
              <w:rPr>
                <w:color w:val="000000"/>
                <w:sz w:val="22"/>
                <w:szCs w:val="22"/>
              </w:rPr>
            </w:pPr>
            <w:r>
              <w:rPr>
                <w:color w:val="000000"/>
                <w:sz w:val="22"/>
                <w:szCs w:val="22"/>
              </w:rPr>
              <w:t>1.71%</w:t>
            </w:r>
          </w:p>
        </w:tc>
      </w:tr>
      <w:tr w:rsidR="00C44CC7" w14:paraId="42099B20" w14:textId="77777777" w:rsidTr="00C44CC7">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14:paraId="5C85C5AB" w14:textId="77777777" w:rsidR="00C44CC7" w:rsidRDefault="00C44CC7" w:rsidP="00C44CC7">
            <w:pPr>
              <w:rPr>
                <w:color w:val="000000"/>
                <w:sz w:val="22"/>
                <w:szCs w:val="22"/>
              </w:rPr>
            </w:pPr>
            <w:r>
              <w:rPr>
                <w:bCs/>
                <w:color w:val="000000"/>
                <w:sz w:val="22"/>
                <w:szCs w:val="22"/>
              </w:rPr>
              <w:t>Duval</w:t>
            </w:r>
          </w:p>
        </w:tc>
        <w:tc>
          <w:tcPr>
            <w:tcW w:w="725" w:type="dxa"/>
            <w:tcBorders>
              <w:top w:val="nil"/>
              <w:left w:val="nil"/>
              <w:bottom w:val="single" w:sz="4" w:space="0" w:color="auto"/>
              <w:right w:val="single" w:sz="4" w:space="0" w:color="auto"/>
            </w:tcBorders>
            <w:shd w:val="clear" w:color="auto" w:fill="auto"/>
            <w:noWrap/>
            <w:vAlign w:val="bottom"/>
            <w:hideMark/>
          </w:tcPr>
          <w:p w14:paraId="12FD0D5C" w14:textId="77777777" w:rsidR="00C44CC7" w:rsidRDefault="00C44CC7" w:rsidP="00C44CC7">
            <w:pPr>
              <w:jc w:val="right"/>
              <w:rPr>
                <w:color w:val="000000"/>
                <w:sz w:val="22"/>
                <w:szCs w:val="22"/>
              </w:rPr>
            </w:pPr>
            <w:r>
              <w:rPr>
                <w:color w:val="000000"/>
                <w:sz w:val="22"/>
                <w:szCs w:val="22"/>
              </w:rPr>
              <w:t>1,874</w:t>
            </w:r>
          </w:p>
        </w:tc>
        <w:tc>
          <w:tcPr>
            <w:tcW w:w="960" w:type="dxa"/>
            <w:tcBorders>
              <w:top w:val="nil"/>
              <w:left w:val="nil"/>
              <w:bottom w:val="single" w:sz="4" w:space="0" w:color="auto"/>
              <w:right w:val="single" w:sz="4" w:space="0" w:color="auto"/>
            </w:tcBorders>
            <w:shd w:val="clear" w:color="auto" w:fill="auto"/>
            <w:noWrap/>
            <w:vAlign w:val="bottom"/>
            <w:hideMark/>
          </w:tcPr>
          <w:p w14:paraId="10F64CE7" w14:textId="77777777" w:rsidR="00C44CC7" w:rsidRDefault="00C44CC7" w:rsidP="00C44CC7">
            <w:pPr>
              <w:jc w:val="right"/>
              <w:rPr>
                <w:color w:val="000000"/>
                <w:sz w:val="22"/>
                <w:szCs w:val="22"/>
              </w:rPr>
            </w:pPr>
            <w:r>
              <w:rPr>
                <w:color w:val="000000"/>
                <w:sz w:val="22"/>
                <w:szCs w:val="22"/>
              </w:rPr>
              <w:t>7,318</w:t>
            </w:r>
          </w:p>
        </w:tc>
        <w:tc>
          <w:tcPr>
            <w:tcW w:w="960" w:type="dxa"/>
            <w:tcBorders>
              <w:top w:val="nil"/>
              <w:left w:val="nil"/>
              <w:bottom w:val="single" w:sz="4" w:space="0" w:color="auto"/>
              <w:right w:val="single" w:sz="4" w:space="0" w:color="auto"/>
            </w:tcBorders>
            <w:shd w:val="clear" w:color="auto" w:fill="auto"/>
            <w:noWrap/>
            <w:vAlign w:val="bottom"/>
            <w:hideMark/>
          </w:tcPr>
          <w:p w14:paraId="53F10286" w14:textId="77777777" w:rsidR="00C44CC7" w:rsidRDefault="00C44CC7" w:rsidP="00C44CC7">
            <w:pPr>
              <w:jc w:val="right"/>
              <w:rPr>
                <w:color w:val="000000"/>
                <w:sz w:val="22"/>
                <w:szCs w:val="22"/>
              </w:rPr>
            </w:pPr>
            <w:r>
              <w:rPr>
                <w:color w:val="000000"/>
                <w:sz w:val="22"/>
                <w:szCs w:val="22"/>
              </w:rPr>
              <w:t>13,815</w:t>
            </w:r>
          </w:p>
        </w:tc>
        <w:tc>
          <w:tcPr>
            <w:tcW w:w="960" w:type="dxa"/>
            <w:tcBorders>
              <w:top w:val="nil"/>
              <w:left w:val="nil"/>
              <w:bottom w:val="single" w:sz="4" w:space="0" w:color="auto"/>
              <w:right w:val="single" w:sz="4" w:space="0" w:color="auto"/>
            </w:tcBorders>
            <w:shd w:val="clear" w:color="auto" w:fill="auto"/>
            <w:noWrap/>
            <w:vAlign w:val="bottom"/>
            <w:hideMark/>
          </w:tcPr>
          <w:p w14:paraId="5FFAA8E4" w14:textId="77777777" w:rsidR="00C44CC7" w:rsidRDefault="00C44CC7" w:rsidP="00C44CC7">
            <w:pPr>
              <w:jc w:val="right"/>
              <w:rPr>
                <w:color w:val="000000"/>
                <w:sz w:val="22"/>
                <w:szCs w:val="22"/>
              </w:rPr>
            </w:pPr>
            <w:r>
              <w:rPr>
                <w:color w:val="000000"/>
                <w:sz w:val="22"/>
                <w:szCs w:val="22"/>
              </w:rPr>
              <w:t>15,603</w:t>
            </w:r>
          </w:p>
        </w:tc>
        <w:tc>
          <w:tcPr>
            <w:tcW w:w="960" w:type="dxa"/>
            <w:tcBorders>
              <w:top w:val="nil"/>
              <w:left w:val="nil"/>
              <w:bottom w:val="single" w:sz="4" w:space="0" w:color="auto"/>
              <w:right w:val="single" w:sz="4" w:space="0" w:color="auto"/>
            </w:tcBorders>
            <w:shd w:val="clear" w:color="auto" w:fill="auto"/>
            <w:noWrap/>
            <w:vAlign w:val="bottom"/>
            <w:hideMark/>
          </w:tcPr>
          <w:p w14:paraId="2E2E2758" w14:textId="77777777" w:rsidR="00C44CC7" w:rsidRDefault="00C44CC7" w:rsidP="00C44CC7">
            <w:pPr>
              <w:jc w:val="right"/>
              <w:rPr>
                <w:color w:val="000000"/>
                <w:sz w:val="22"/>
                <w:szCs w:val="22"/>
              </w:rPr>
            </w:pPr>
            <w:r>
              <w:rPr>
                <w:color w:val="000000"/>
                <w:sz w:val="22"/>
                <w:szCs w:val="22"/>
              </w:rPr>
              <w:t>27,641</w:t>
            </w:r>
          </w:p>
        </w:tc>
        <w:tc>
          <w:tcPr>
            <w:tcW w:w="998" w:type="dxa"/>
            <w:tcBorders>
              <w:top w:val="nil"/>
              <w:left w:val="nil"/>
              <w:bottom w:val="single" w:sz="4" w:space="0" w:color="auto"/>
              <w:right w:val="single" w:sz="4" w:space="0" w:color="auto"/>
            </w:tcBorders>
            <w:shd w:val="clear" w:color="auto" w:fill="auto"/>
            <w:noWrap/>
            <w:vAlign w:val="bottom"/>
            <w:hideMark/>
          </w:tcPr>
          <w:p w14:paraId="3BA81FC1" w14:textId="77777777" w:rsidR="00C44CC7" w:rsidRDefault="00C44CC7" w:rsidP="00C44CC7">
            <w:pPr>
              <w:jc w:val="right"/>
              <w:rPr>
                <w:color w:val="000000"/>
                <w:sz w:val="22"/>
                <w:szCs w:val="22"/>
              </w:rPr>
            </w:pPr>
            <w:r>
              <w:rPr>
                <w:color w:val="000000"/>
                <w:sz w:val="22"/>
                <w:szCs w:val="22"/>
              </w:rPr>
              <w:t>13,250</w:t>
            </w:r>
          </w:p>
        </w:tc>
        <w:tc>
          <w:tcPr>
            <w:tcW w:w="1005" w:type="dxa"/>
            <w:tcBorders>
              <w:top w:val="nil"/>
              <w:left w:val="nil"/>
              <w:bottom w:val="single" w:sz="4" w:space="0" w:color="auto"/>
              <w:right w:val="single" w:sz="4" w:space="0" w:color="auto"/>
            </w:tcBorders>
            <w:shd w:val="clear" w:color="auto" w:fill="auto"/>
            <w:noWrap/>
            <w:vAlign w:val="bottom"/>
            <w:hideMark/>
          </w:tcPr>
          <w:p w14:paraId="3BD6FF36" w14:textId="77777777" w:rsidR="00C44CC7" w:rsidRDefault="00C44CC7" w:rsidP="00C44CC7">
            <w:pPr>
              <w:jc w:val="right"/>
              <w:rPr>
                <w:color w:val="000000"/>
                <w:sz w:val="22"/>
                <w:szCs w:val="22"/>
              </w:rPr>
            </w:pPr>
            <w:r>
              <w:rPr>
                <w:color w:val="000000"/>
                <w:sz w:val="22"/>
                <w:szCs w:val="22"/>
              </w:rPr>
              <w:t>15.25%</w:t>
            </w:r>
          </w:p>
        </w:tc>
      </w:tr>
      <w:tr w:rsidR="00C44CC7" w14:paraId="5D6EB051" w14:textId="77777777" w:rsidTr="00C44CC7">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14:paraId="0590F2AB" w14:textId="77777777" w:rsidR="00C44CC7" w:rsidRDefault="00C44CC7" w:rsidP="00C44CC7">
            <w:pPr>
              <w:rPr>
                <w:color w:val="000000"/>
                <w:sz w:val="22"/>
                <w:szCs w:val="22"/>
              </w:rPr>
            </w:pPr>
            <w:r>
              <w:rPr>
                <w:bCs/>
                <w:color w:val="000000"/>
                <w:sz w:val="22"/>
                <w:szCs w:val="22"/>
              </w:rPr>
              <w:t>Escambia</w:t>
            </w:r>
          </w:p>
        </w:tc>
        <w:tc>
          <w:tcPr>
            <w:tcW w:w="725" w:type="dxa"/>
            <w:tcBorders>
              <w:top w:val="nil"/>
              <w:left w:val="nil"/>
              <w:bottom w:val="single" w:sz="4" w:space="0" w:color="auto"/>
              <w:right w:val="single" w:sz="4" w:space="0" w:color="auto"/>
            </w:tcBorders>
            <w:shd w:val="clear" w:color="auto" w:fill="auto"/>
            <w:noWrap/>
            <w:vAlign w:val="bottom"/>
            <w:hideMark/>
          </w:tcPr>
          <w:p w14:paraId="24BA4E02" w14:textId="77777777" w:rsidR="00C44CC7" w:rsidRDefault="00C44CC7" w:rsidP="00C44CC7">
            <w:pPr>
              <w:jc w:val="right"/>
              <w:rPr>
                <w:color w:val="000000"/>
                <w:sz w:val="22"/>
                <w:szCs w:val="22"/>
              </w:rPr>
            </w:pPr>
            <w:r>
              <w:rPr>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14:paraId="1A4F6BEF" w14:textId="77777777" w:rsidR="00C44CC7" w:rsidRDefault="00C44CC7" w:rsidP="00C44CC7">
            <w:pPr>
              <w:jc w:val="right"/>
              <w:rPr>
                <w:color w:val="000000"/>
                <w:sz w:val="22"/>
                <w:szCs w:val="22"/>
              </w:rPr>
            </w:pPr>
            <w:r>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73EC750E" w14:textId="77777777" w:rsidR="00C44CC7" w:rsidRDefault="00C44CC7" w:rsidP="00C44CC7">
            <w:pPr>
              <w:jc w:val="right"/>
              <w:rPr>
                <w:color w:val="000000"/>
                <w:sz w:val="22"/>
                <w:szCs w:val="22"/>
              </w:rPr>
            </w:pPr>
            <w:r>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515393FE" w14:textId="77777777" w:rsidR="00C44CC7" w:rsidRDefault="00C44CC7" w:rsidP="00C44CC7">
            <w:pPr>
              <w:jc w:val="right"/>
              <w:rPr>
                <w:color w:val="000000"/>
                <w:sz w:val="22"/>
                <w:szCs w:val="22"/>
              </w:rPr>
            </w:pPr>
            <w:r>
              <w:rPr>
                <w:color w:val="000000"/>
                <w:sz w:val="22"/>
                <w:szCs w:val="22"/>
              </w:rPr>
              <w:t>38</w:t>
            </w:r>
          </w:p>
        </w:tc>
        <w:tc>
          <w:tcPr>
            <w:tcW w:w="960" w:type="dxa"/>
            <w:tcBorders>
              <w:top w:val="nil"/>
              <w:left w:val="nil"/>
              <w:bottom w:val="single" w:sz="4" w:space="0" w:color="auto"/>
              <w:right w:val="single" w:sz="4" w:space="0" w:color="auto"/>
            </w:tcBorders>
            <w:shd w:val="clear" w:color="auto" w:fill="auto"/>
            <w:noWrap/>
            <w:vAlign w:val="bottom"/>
            <w:hideMark/>
          </w:tcPr>
          <w:p w14:paraId="0E61657F" w14:textId="77777777" w:rsidR="00C44CC7" w:rsidRDefault="00C44CC7" w:rsidP="00C44CC7">
            <w:pPr>
              <w:jc w:val="right"/>
              <w:rPr>
                <w:color w:val="000000"/>
                <w:sz w:val="22"/>
                <w:szCs w:val="22"/>
              </w:rPr>
            </w:pPr>
            <w:r>
              <w:rPr>
                <w:color w:val="000000"/>
                <w:sz w:val="22"/>
                <w:szCs w:val="22"/>
              </w:rPr>
              <w:t>0</w:t>
            </w:r>
          </w:p>
        </w:tc>
        <w:tc>
          <w:tcPr>
            <w:tcW w:w="998" w:type="dxa"/>
            <w:tcBorders>
              <w:top w:val="nil"/>
              <w:left w:val="nil"/>
              <w:bottom w:val="single" w:sz="4" w:space="0" w:color="auto"/>
              <w:right w:val="single" w:sz="4" w:space="0" w:color="auto"/>
            </w:tcBorders>
            <w:shd w:val="clear" w:color="auto" w:fill="auto"/>
            <w:noWrap/>
            <w:vAlign w:val="bottom"/>
            <w:hideMark/>
          </w:tcPr>
          <w:p w14:paraId="497F7408" w14:textId="77777777" w:rsidR="00C44CC7" w:rsidRDefault="00C44CC7" w:rsidP="00C44CC7">
            <w:pPr>
              <w:jc w:val="right"/>
              <w:rPr>
                <w:color w:val="000000"/>
                <w:sz w:val="22"/>
                <w:szCs w:val="22"/>
              </w:rPr>
            </w:pPr>
            <w:r>
              <w:rPr>
                <w:color w:val="000000"/>
                <w:sz w:val="22"/>
                <w:szCs w:val="22"/>
              </w:rPr>
              <w:t>8</w:t>
            </w:r>
          </w:p>
        </w:tc>
        <w:tc>
          <w:tcPr>
            <w:tcW w:w="1005" w:type="dxa"/>
            <w:tcBorders>
              <w:top w:val="nil"/>
              <w:left w:val="nil"/>
              <w:bottom w:val="single" w:sz="4" w:space="0" w:color="auto"/>
              <w:right w:val="single" w:sz="4" w:space="0" w:color="auto"/>
            </w:tcBorders>
            <w:shd w:val="clear" w:color="auto" w:fill="auto"/>
            <w:noWrap/>
            <w:vAlign w:val="bottom"/>
            <w:hideMark/>
          </w:tcPr>
          <w:p w14:paraId="399327E8" w14:textId="77777777" w:rsidR="00C44CC7" w:rsidRDefault="00C44CC7" w:rsidP="00C44CC7">
            <w:pPr>
              <w:jc w:val="right"/>
              <w:rPr>
                <w:color w:val="000000"/>
                <w:sz w:val="22"/>
                <w:szCs w:val="22"/>
              </w:rPr>
            </w:pPr>
            <w:r>
              <w:rPr>
                <w:color w:val="000000"/>
                <w:sz w:val="22"/>
                <w:szCs w:val="22"/>
              </w:rPr>
              <w:t>0.01%</w:t>
            </w:r>
          </w:p>
        </w:tc>
      </w:tr>
      <w:tr w:rsidR="00C44CC7" w14:paraId="102E0FC4" w14:textId="77777777" w:rsidTr="00C44CC7">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14:paraId="7A6F06BD" w14:textId="77777777" w:rsidR="00C44CC7" w:rsidRDefault="00C44CC7" w:rsidP="00C44CC7">
            <w:pPr>
              <w:rPr>
                <w:color w:val="000000"/>
                <w:sz w:val="22"/>
                <w:szCs w:val="22"/>
              </w:rPr>
            </w:pPr>
            <w:r>
              <w:rPr>
                <w:bCs/>
                <w:color w:val="000000"/>
                <w:sz w:val="22"/>
                <w:szCs w:val="22"/>
              </w:rPr>
              <w:t>Indian River</w:t>
            </w:r>
          </w:p>
        </w:tc>
        <w:tc>
          <w:tcPr>
            <w:tcW w:w="725" w:type="dxa"/>
            <w:tcBorders>
              <w:top w:val="nil"/>
              <w:left w:val="nil"/>
              <w:bottom w:val="single" w:sz="4" w:space="0" w:color="auto"/>
              <w:right w:val="single" w:sz="4" w:space="0" w:color="auto"/>
            </w:tcBorders>
            <w:shd w:val="clear" w:color="auto" w:fill="auto"/>
            <w:noWrap/>
            <w:vAlign w:val="bottom"/>
            <w:hideMark/>
          </w:tcPr>
          <w:p w14:paraId="10626F68" w14:textId="77777777" w:rsidR="00C44CC7" w:rsidRDefault="00C44CC7" w:rsidP="00C44CC7">
            <w:pPr>
              <w:jc w:val="right"/>
              <w:rPr>
                <w:color w:val="000000"/>
                <w:sz w:val="22"/>
                <w:szCs w:val="22"/>
              </w:rPr>
            </w:pPr>
            <w:r>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2B58AE3E" w14:textId="77777777" w:rsidR="00C44CC7" w:rsidRDefault="00C44CC7" w:rsidP="00C44CC7">
            <w:pPr>
              <w:jc w:val="right"/>
              <w:rPr>
                <w:color w:val="000000"/>
                <w:sz w:val="22"/>
                <w:szCs w:val="22"/>
              </w:rPr>
            </w:pPr>
            <w:r>
              <w:rPr>
                <w:color w:val="000000"/>
                <w:sz w:val="22"/>
                <w:szCs w:val="22"/>
              </w:rPr>
              <w:t>36</w:t>
            </w:r>
          </w:p>
        </w:tc>
        <w:tc>
          <w:tcPr>
            <w:tcW w:w="960" w:type="dxa"/>
            <w:tcBorders>
              <w:top w:val="nil"/>
              <w:left w:val="nil"/>
              <w:bottom w:val="single" w:sz="4" w:space="0" w:color="auto"/>
              <w:right w:val="single" w:sz="4" w:space="0" w:color="auto"/>
            </w:tcBorders>
            <w:shd w:val="clear" w:color="auto" w:fill="auto"/>
            <w:noWrap/>
            <w:vAlign w:val="bottom"/>
            <w:hideMark/>
          </w:tcPr>
          <w:p w14:paraId="0421429D" w14:textId="77777777" w:rsidR="00C44CC7" w:rsidRDefault="00C44CC7" w:rsidP="00C44CC7">
            <w:pPr>
              <w:jc w:val="right"/>
              <w:rPr>
                <w:color w:val="000000"/>
                <w:sz w:val="22"/>
                <w:szCs w:val="22"/>
              </w:rPr>
            </w:pPr>
            <w:r>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0B053C75" w14:textId="77777777" w:rsidR="00C44CC7" w:rsidRDefault="00C44CC7" w:rsidP="00C44CC7">
            <w:pPr>
              <w:jc w:val="right"/>
              <w:rPr>
                <w:color w:val="000000"/>
                <w:sz w:val="22"/>
                <w:szCs w:val="22"/>
              </w:rPr>
            </w:pPr>
            <w:r>
              <w:rPr>
                <w:color w:val="000000"/>
                <w:sz w:val="22"/>
                <w:szCs w:val="22"/>
              </w:rPr>
              <w:t>18</w:t>
            </w:r>
          </w:p>
        </w:tc>
        <w:tc>
          <w:tcPr>
            <w:tcW w:w="960" w:type="dxa"/>
            <w:tcBorders>
              <w:top w:val="nil"/>
              <w:left w:val="nil"/>
              <w:bottom w:val="single" w:sz="4" w:space="0" w:color="auto"/>
              <w:right w:val="single" w:sz="4" w:space="0" w:color="auto"/>
            </w:tcBorders>
            <w:shd w:val="clear" w:color="auto" w:fill="auto"/>
            <w:noWrap/>
            <w:vAlign w:val="bottom"/>
            <w:hideMark/>
          </w:tcPr>
          <w:p w14:paraId="62ED098D" w14:textId="77777777" w:rsidR="00C44CC7" w:rsidRDefault="00C44CC7" w:rsidP="00C44CC7">
            <w:pPr>
              <w:jc w:val="right"/>
              <w:rPr>
                <w:color w:val="000000"/>
                <w:sz w:val="22"/>
                <w:szCs w:val="22"/>
              </w:rPr>
            </w:pPr>
            <w:r>
              <w:rPr>
                <w:color w:val="000000"/>
                <w:sz w:val="22"/>
                <w:szCs w:val="22"/>
              </w:rPr>
              <w:t>72</w:t>
            </w:r>
          </w:p>
        </w:tc>
        <w:tc>
          <w:tcPr>
            <w:tcW w:w="998" w:type="dxa"/>
            <w:tcBorders>
              <w:top w:val="nil"/>
              <w:left w:val="nil"/>
              <w:bottom w:val="single" w:sz="4" w:space="0" w:color="auto"/>
              <w:right w:val="single" w:sz="4" w:space="0" w:color="auto"/>
            </w:tcBorders>
            <w:shd w:val="clear" w:color="auto" w:fill="auto"/>
            <w:noWrap/>
            <w:vAlign w:val="bottom"/>
            <w:hideMark/>
          </w:tcPr>
          <w:p w14:paraId="3A945724" w14:textId="77777777" w:rsidR="00C44CC7" w:rsidRDefault="00C44CC7" w:rsidP="00C44CC7">
            <w:pPr>
              <w:jc w:val="right"/>
              <w:rPr>
                <w:color w:val="000000"/>
                <w:sz w:val="22"/>
                <w:szCs w:val="22"/>
              </w:rPr>
            </w:pPr>
            <w:r>
              <w:rPr>
                <w:color w:val="000000"/>
                <w:sz w:val="22"/>
                <w:szCs w:val="22"/>
              </w:rPr>
              <w:t>25</w:t>
            </w:r>
          </w:p>
        </w:tc>
        <w:tc>
          <w:tcPr>
            <w:tcW w:w="1005" w:type="dxa"/>
            <w:tcBorders>
              <w:top w:val="nil"/>
              <w:left w:val="nil"/>
              <w:bottom w:val="single" w:sz="4" w:space="0" w:color="auto"/>
              <w:right w:val="single" w:sz="4" w:space="0" w:color="auto"/>
            </w:tcBorders>
            <w:shd w:val="clear" w:color="auto" w:fill="auto"/>
            <w:noWrap/>
            <w:vAlign w:val="bottom"/>
            <w:hideMark/>
          </w:tcPr>
          <w:p w14:paraId="67DFCFA6" w14:textId="77777777" w:rsidR="00C44CC7" w:rsidRDefault="00C44CC7" w:rsidP="00C44CC7">
            <w:pPr>
              <w:jc w:val="right"/>
              <w:rPr>
                <w:color w:val="000000"/>
                <w:sz w:val="22"/>
                <w:szCs w:val="22"/>
              </w:rPr>
            </w:pPr>
            <w:r>
              <w:rPr>
                <w:color w:val="000000"/>
                <w:sz w:val="22"/>
                <w:szCs w:val="22"/>
              </w:rPr>
              <w:t>0.03%</w:t>
            </w:r>
          </w:p>
        </w:tc>
      </w:tr>
      <w:tr w:rsidR="00C44CC7" w14:paraId="595B1B61" w14:textId="77777777" w:rsidTr="00C44CC7">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14:paraId="521F7A5D" w14:textId="77777777" w:rsidR="00C44CC7" w:rsidRDefault="00C44CC7" w:rsidP="00C44CC7">
            <w:pPr>
              <w:rPr>
                <w:color w:val="000000"/>
                <w:sz w:val="22"/>
                <w:szCs w:val="22"/>
              </w:rPr>
            </w:pPr>
            <w:r>
              <w:rPr>
                <w:bCs/>
                <w:color w:val="000000"/>
                <w:sz w:val="22"/>
                <w:szCs w:val="22"/>
              </w:rPr>
              <w:t>Martin</w:t>
            </w:r>
          </w:p>
        </w:tc>
        <w:tc>
          <w:tcPr>
            <w:tcW w:w="725" w:type="dxa"/>
            <w:tcBorders>
              <w:top w:val="nil"/>
              <w:left w:val="nil"/>
              <w:bottom w:val="single" w:sz="4" w:space="0" w:color="auto"/>
              <w:right w:val="single" w:sz="4" w:space="0" w:color="auto"/>
            </w:tcBorders>
            <w:shd w:val="clear" w:color="auto" w:fill="auto"/>
            <w:noWrap/>
            <w:vAlign w:val="bottom"/>
            <w:hideMark/>
          </w:tcPr>
          <w:p w14:paraId="1CA6296A" w14:textId="77777777" w:rsidR="00C44CC7" w:rsidRDefault="00C44CC7" w:rsidP="00C44CC7">
            <w:pPr>
              <w:jc w:val="right"/>
              <w:rPr>
                <w:color w:val="000000"/>
                <w:sz w:val="22"/>
                <w:szCs w:val="22"/>
              </w:rPr>
            </w:pPr>
            <w:r>
              <w:rPr>
                <w:color w:val="000000"/>
                <w:sz w:val="22"/>
                <w:szCs w:val="22"/>
              </w:rPr>
              <w:t>3,503</w:t>
            </w:r>
          </w:p>
        </w:tc>
        <w:tc>
          <w:tcPr>
            <w:tcW w:w="960" w:type="dxa"/>
            <w:tcBorders>
              <w:top w:val="nil"/>
              <w:left w:val="nil"/>
              <w:bottom w:val="single" w:sz="4" w:space="0" w:color="auto"/>
              <w:right w:val="single" w:sz="4" w:space="0" w:color="auto"/>
            </w:tcBorders>
            <w:shd w:val="clear" w:color="auto" w:fill="auto"/>
            <w:noWrap/>
            <w:vAlign w:val="bottom"/>
            <w:hideMark/>
          </w:tcPr>
          <w:p w14:paraId="2D8F8301" w14:textId="77777777" w:rsidR="00C44CC7" w:rsidRDefault="00C44CC7" w:rsidP="00C44CC7">
            <w:pPr>
              <w:jc w:val="right"/>
              <w:rPr>
                <w:color w:val="000000"/>
                <w:sz w:val="22"/>
                <w:szCs w:val="22"/>
              </w:rPr>
            </w:pPr>
            <w:r>
              <w:rPr>
                <w:color w:val="000000"/>
                <w:sz w:val="22"/>
                <w:szCs w:val="22"/>
              </w:rPr>
              <w:t>2,041</w:t>
            </w:r>
          </w:p>
        </w:tc>
        <w:tc>
          <w:tcPr>
            <w:tcW w:w="960" w:type="dxa"/>
            <w:tcBorders>
              <w:top w:val="nil"/>
              <w:left w:val="nil"/>
              <w:bottom w:val="single" w:sz="4" w:space="0" w:color="auto"/>
              <w:right w:val="single" w:sz="4" w:space="0" w:color="auto"/>
            </w:tcBorders>
            <w:shd w:val="clear" w:color="auto" w:fill="auto"/>
            <w:noWrap/>
            <w:vAlign w:val="bottom"/>
            <w:hideMark/>
          </w:tcPr>
          <w:p w14:paraId="75A17961" w14:textId="77777777" w:rsidR="00C44CC7" w:rsidRDefault="00C44CC7" w:rsidP="00C44CC7">
            <w:pPr>
              <w:jc w:val="right"/>
              <w:rPr>
                <w:color w:val="000000"/>
                <w:sz w:val="22"/>
                <w:szCs w:val="22"/>
              </w:rPr>
            </w:pPr>
            <w:r>
              <w:rPr>
                <w:color w:val="000000"/>
                <w:sz w:val="22"/>
                <w:szCs w:val="22"/>
              </w:rPr>
              <w:t>259</w:t>
            </w:r>
          </w:p>
        </w:tc>
        <w:tc>
          <w:tcPr>
            <w:tcW w:w="960" w:type="dxa"/>
            <w:tcBorders>
              <w:top w:val="nil"/>
              <w:left w:val="nil"/>
              <w:bottom w:val="single" w:sz="4" w:space="0" w:color="auto"/>
              <w:right w:val="single" w:sz="4" w:space="0" w:color="auto"/>
            </w:tcBorders>
            <w:shd w:val="clear" w:color="auto" w:fill="auto"/>
            <w:noWrap/>
            <w:vAlign w:val="bottom"/>
            <w:hideMark/>
          </w:tcPr>
          <w:p w14:paraId="4EBA6B09" w14:textId="77777777" w:rsidR="00C44CC7" w:rsidRDefault="00C44CC7" w:rsidP="00C44CC7">
            <w:pPr>
              <w:jc w:val="right"/>
              <w:rPr>
                <w:color w:val="000000"/>
                <w:sz w:val="22"/>
                <w:szCs w:val="22"/>
              </w:rPr>
            </w:pPr>
            <w:r>
              <w:rPr>
                <w:color w:val="000000"/>
                <w:sz w:val="22"/>
                <w:szCs w:val="22"/>
              </w:rPr>
              <w:t>620</w:t>
            </w:r>
          </w:p>
        </w:tc>
        <w:tc>
          <w:tcPr>
            <w:tcW w:w="960" w:type="dxa"/>
            <w:tcBorders>
              <w:top w:val="nil"/>
              <w:left w:val="nil"/>
              <w:bottom w:val="single" w:sz="4" w:space="0" w:color="auto"/>
              <w:right w:val="single" w:sz="4" w:space="0" w:color="auto"/>
            </w:tcBorders>
            <w:shd w:val="clear" w:color="auto" w:fill="auto"/>
            <w:noWrap/>
            <w:vAlign w:val="bottom"/>
            <w:hideMark/>
          </w:tcPr>
          <w:p w14:paraId="60A90837" w14:textId="77777777" w:rsidR="00C44CC7" w:rsidRDefault="00C44CC7" w:rsidP="00C44CC7">
            <w:pPr>
              <w:jc w:val="right"/>
              <w:rPr>
                <w:color w:val="000000"/>
                <w:sz w:val="22"/>
                <w:szCs w:val="22"/>
              </w:rPr>
            </w:pPr>
            <w:r>
              <w:rPr>
                <w:color w:val="000000"/>
                <w:sz w:val="22"/>
                <w:szCs w:val="22"/>
              </w:rPr>
              <w:t>601</w:t>
            </w:r>
          </w:p>
        </w:tc>
        <w:tc>
          <w:tcPr>
            <w:tcW w:w="998" w:type="dxa"/>
            <w:tcBorders>
              <w:top w:val="nil"/>
              <w:left w:val="nil"/>
              <w:bottom w:val="single" w:sz="4" w:space="0" w:color="auto"/>
              <w:right w:val="single" w:sz="4" w:space="0" w:color="auto"/>
            </w:tcBorders>
            <w:shd w:val="clear" w:color="auto" w:fill="auto"/>
            <w:noWrap/>
            <w:vAlign w:val="bottom"/>
            <w:hideMark/>
          </w:tcPr>
          <w:p w14:paraId="4FAD1EEA" w14:textId="77777777" w:rsidR="00C44CC7" w:rsidRDefault="00C44CC7" w:rsidP="00C44CC7">
            <w:pPr>
              <w:jc w:val="right"/>
              <w:rPr>
                <w:color w:val="000000"/>
                <w:sz w:val="22"/>
                <w:szCs w:val="22"/>
              </w:rPr>
            </w:pPr>
            <w:r>
              <w:rPr>
                <w:color w:val="000000"/>
                <w:sz w:val="22"/>
                <w:szCs w:val="22"/>
              </w:rPr>
              <w:t>1,405</w:t>
            </w:r>
          </w:p>
        </w:tc>
        <w:tc>
          <w:tcPr>
            <w:tcW w:w="1005" w:type="dxa"/>
            <w:tcBorders>
              <w:top w:val="nil"/>
              <w:left w:val="nil"/>
              <w:bottom w:val="single" w:sz="4" w:space="0" w:color="auto"/>
              <w:right w:val="single" w:sz="4" w:space="0" w:color="auto"/>
            </w:tcBorders>
            <w:shd w:val="clear" w:color="auto" w:fill="auto"/>
            <w:noWrap/>
            <w:vAlign w:val="bottom"/>
            <w:hideMark/>
          </w:tcPr>
          <w:p w14:paraId="3F87D74B" w14:textId="77777777" w:rsidR="00C44CC7" w:rsidRDefault="00C44CC7" w:rsidP="00C44CC7">
            <w:pPr>
              <w:jc w:val="right"/>
              <w:rPr>
                <w:color w:val="000000"/>
                <w:sz w:val="22"/>
                <w:szCs w:val="22"/>
              </w:rPr>
            </w:pPr>
            <w:r>
              <w:rPr>
                <w:color w:val="000000"/>
                <w:sz w:val="22"/>
                <w:szCs w:val="22"/>
              </w:rPr>
              <w:t>1.62%</w:t>
            </w:r>
          </w:p>
        </w:tc>
      </w:tr>
      <w:tr w:rsidR="00C44CC7" w14:paraId="7E3AA925" w14:textId="77777777" w:rsidTr="00C44CC7">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14:paraId="17364EDA" w14:textId="77777777" w:rsidR="00C44CC7" w:rsidRDefault="00C44CC7" w:rsidP="00C44CC7">
            <w:pPr>
              <w:rPr>
                <w:color w:val="000000"/>
                <w:sz w:val="22"/>
                <w:szCs w:val="22"/>
              </w:rPr>
            </w:pPr>
            <w:r>
              <w:rPr>
                <w:bCs/>
                <w:color w:val="000000"/>
                <w:sz w:val="22"/>
                <w:szCs w:val="22"/>
              </w:rPr>
              <w:t>Miami-Dade</w:t>
            </w:r>
          </w:p>
        </w:tc>
        <w:tc>
          <w:tcPr>
            <w:tcW w:w="725" w:type="dxa"/>
            <w:tcBorders>
              <w:top w:val="nil"/>
              <w:left w:val="nil"/>
              <w:bottom w:val="single" w:sz="4" w:space="0" w:color="auto"/>
              <w:right w:val="single" w:sz="4" w:space="0" w:color="auto"/>
            </w:tcBorders>
            <w:shd w:val="clear" w:color="auto" w:fill="auto"/>
            <w:noWrap/>
            <w:vAlign w:val="bottom"/>
            <w:hideMark/>
          </w:tcPr>
          <w:p w14:paraId="197BC947" w14:textId="77777777" w:rsidR="00C44CC7" w:rsidRDefault="00C44CC7" w:rsidP="00C44CC7">
            <w:pPr>
              <w:jc w:val="right"/>
              <w:rPr>
                <w:color w:val="000000"/>
                <w:sz w:val="22"/>
                <w:szCs w:val="22"/>
              </w:rPr>
            </w:pPr>
            <w:r>
              <w:rPr>
                <w:color w:val="000000"/>
                <w:sz w:val="22"/>
                <w:szCs w:val="22"/>
              </w:rPr>
              <w:t>4,977</w:t>
            </w:r>
          </w:p>
        </w:tc>
        <w:tc>
          <w:tcPr>
            <w:tcW w:w="960" w:type="dxa"/>
            <w:tcBorders>
              <w:top w:val="nil"/>
              <w:left w:val="nil"/>
              <w:bottom w:val="single" w:sz="4" w:space="0" w:color="auto"/>
              <w:right w:val="single" w:sz="4" w:space="0" w:color="auto"/>
            </w:tcBorders>
            <w:shd w:val="clear" w:color="auto" w:fill="auto"/>
            <w:noWrap/>
            <w:vAlign w:val="bottom"/>
            <w:hideMark/>
          </w:tcPr>
          <w:p w14:paraId="3CE57898" w14:textId="77777777" w:rsidR="00C44CC7" w:rsidRDefault="00C44CC7" w:rsidP="00C44CC7">
            <w:pPr>
              <w:jc w:val="right"/>
              <w:rPr>
                <w:color w:val="000000"/>
                <w:sz w:val="22"/>
                <w:szCs w:val="22"/>
              </w:rPr>
            </w:pPr>
            <w:r>
              <w:rPr>
                <w:color w:val="000000"/>
                <w:sz w:val="22"/>
                <w:szCs w:val="22"/>
              </w:rPr>
              <w:t>3,702</w:t>
            </w:r>
          </w:p>
        </w:tc>
        <w:tc>
          <w:tcPr>
            <w:tcW w:w="960" w:type="dxa"/>
            <w:tcBorders>
              <w:top w:val="nil"/>
              <w:left w:val="nil"/>
              <w:bottom w:val="single" w:sz="4" w:space="0" w:color="auto"/>
              <w:right w:val="single" w:sz="4" w:space="0" w:color="auto"/>
            </w:tcBorders>
            <w:shd w:val="clear" w:color="auto" w:fill="auto"/>
            <w:noWrap/>
            <w:vAlign w:val="bottom"/>
            <w:hideMark/>
          </w:tcPr>
          <w:p w14:paraId="4A5023DA" w14:textId="77777777" w:rsidR="00C44CC7" w:rsidRDefault="00C44CC7" w:rsidP="00C44CC7">
            <w:pPr>
              <w:jc w:val="right"/>
              <w:rPr>
                <w:color w:val="000000"/>
                <w:sz w:val="22"/>
                <w:szCs w:val="22"/>
              </w:rPr>
            </w:pPr>
            <w:r>
              <w:rPr>
                <w:color w:val="000000"/>
                <w:sz w:val="22"/>
                <w:szCs w:val="22"/>
              </w:rPr>
              <w:t>4,595</w:t>
            </w:r>
          </w:p>
        </w:tc>
        <w:tc>
          <w:tcPr>
            <w:tcW w:w="960" w:type="dxa"/>
            <w:tcBorders>
              <w:top w:val="nil"/>
              <w:left w:val="nil"/>
              <w:bottom w:val="single" w:sz="4" w:space="0" w:color="auto"/>
              <w:right w:val="single" w:sz="4" w:space="0" w:color="auto"/>
            </w:tcBorders>
            <w:shd w:val="clear" w:color="auto" w:fill="auto"/>
            <w:noWrap/>
            <w:vAlign w:val="bottom"/>
            <w:hideMark/>
          </w:tcPr>
          <w:p w14:paraId="7F7C4AB7" w14:textId="77777777" w:rsidR="00C44CC7" w:rsidRDefault="00C44CC7" w:rsidP="00C44CC7">
            <w:pPr>
              <w:jc w:val="right"/>
              <w:rPr>
                <w:color w:val="000000"/>
                <w:sz w:val="22"/>
                <w:szCs w:val="22"/>
              </w:rPr>
            </w:pPr>
            <w:r>
              <w:rPr>
                <w:color w:val="000000"/>
                <w:sz w:val="22"/>
                <w:szCs w:val="22"/>
              </w:rPr>
              <w:t>1,939</w:t>
            </w:r>
          </w:p>
        </w:tc>
        <w:tc>
          <w:tcPr>
            <w:tcW w:w="960" w:type="dxa"/>
            <w:tcBorders>
              <w:top w:val="nil"/>
              <w:left w:val="nil"/>
              <w:bottom w:val="single" w:sz="4" w:space="0" w:color="auto"/>
              <w:right w:val="single" w:sz="4" w:space="0" w:color="auto"/>
            </w:tcBorders>
            <w:shd w:val="clear" w:color="auto" w:fill="auto"/>
            <w:noWrap/>
            <w:vAlign w:val="bottom"/>
            <w:hideMark/>
          </w:tcPr>
          <w:p w14:paraId="5E4B5D98" w14:textId="77777777" w:rsidR="00C44CC7" w:rsidRDefault="00C44CC7" w:rsidP="00C44CC7">
            <w:pPr>
              <w:jc w:val="right"/>
              <w:rPr>
                <w:color w:val="000000"/>
                <w:sz w:val="22"/>
                <w:szCs w:val="22"/>
              </w:rPr>
            </w:pPr>
            <w:r>
              <w:rPr>
                <w:color w:val="000000"/>
                <w:sz w:val="22"/>
                <w:szCs w:val="22"/>
              </w:rPr>
              <w:t>1,489</w:t>
            </w:r>
          </w:p>
        </w:tc>
        <w:tc>
          <w:tcPr>
            <w:tcW w:w="998" w:type="dxa"/>
            <w:tcBorders>
              <w:top w:val="nil"/>
              <w:left w:val="nil"/>
              <w:bottom w:val="single" w:sz="4" w:space="0" w:color="auto"/>
              <w:right w:val="single" w:sz="4" w:space="0" w:color="auto"/>
            </w:tcBorders>
            <w:shd w:val="clear" w:color="auto" w:fill="auto"/>
            <w:noWrap/>
            <w:vAlign w:val="bottom"/>
            <w:hideMark/>
          </w:tcPr>
          <w:p w14:paraId="0C5267AA" w14:textId="77777777" w:rsidR="00C44CC7" w:rsidRDefault="00C44CC7" w:rsidP="00C44CC7">
            <w:pPr>
              <w:jc w:val="right"/>
              <w:rPr>
                <w:color w:val="000000"/>
                <w:sz w:val="22"/>
                <w:szCs w:val="22"/>
              </w:rPr>
            </w:pPr>
            <w:r>
              <w:rPr>
                <w:color w:val="000000"/>
                <w:sz w:val="22"/>
                <w:szCs w:val="22"/>
              </w:rPr>
              <w:t>3,340</w:t>
            </w:r>
          </w:p>
        </w:tc>
        <w:tc>
          <w:tcPr>
            <w:tcW w:w="1005" w:type="dxa"/>
            <w:tcBorders>
              <w:top w:val="nil"/>
              <w:left w:val="nil"/>
              <w:bottom w:val="single" w:sz="4" w:space="0" w:color="auto"/>
              <w:right w:val="single" w:sz="4" w:space="0" w:color="auto"/>
            </w:tcBorders>
            <w:shd w:val="clear" w:color="auto" w:fill="auto"/>
            <w:noWrap/>
            <w:vAlign w:val="bottom"/>
            <w:hideMark/>
          </w:tcPr>
          <w:p w14:paraId="505F9742" w14:textId="77777777" w:rsidR="00C44CC7" w:rsidRDefault="00C44CC7" w:rsidP="00C44CC7">
            <w:pPr>
              <w:jc w:val="right"/>
              <w:rPr>
                <w:color w:val="000000"/>
                <w:sz w:val="22"/>
                <w:szCs w:val="22"/>
              </w:rPr>
            </w:pPr>
            <w:r>
              <w:rPr>
                <w:color w:val="000000"/>
                <w:sz w:val="22"/>
                <w:szCs w:val="22"/>
              </w:rPr>
              <w:t>3.84%</w:t>
            </w:r>
          </w:p>
        </w:tc>
      </w:tr>
      <w:tr w:rsidR="00C44CC7" w14:paraId="437373A3" w14:textId="77777777" w:rsidTr="00C44CC7">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14:paraId="2B77FF68" w14:textId="77777777" w:rsidR="00C44CC7" w:rsidRDefault="00C44CC7" w:rsidP="00C44CC7">
            <w:pPr>
              <w:rPr>
                <w:b/>
                <w:bCs/>
                <w:color w:val="000000"/>
                <w:sz w:val="22"/>
                <w:szCs w:val="22"/>
              </w:rPr>
            </w:pPr>
            <w:r>
              <w:rPr>
                <w:b/>
                <w:bCs/>
                <w:iCs/>
                <w:color w:val="000000"/>
                <w:sz w:val="22"/>
                <w:szCs w:val="22"/>
              </w:rPr>
              <w:t>Monroe</w:t>
            </w:r>
          </w:p>
        </w:tc>
        <w:tc>
          <w:tcPr>
            <w:tcW w:w="725" w:type="dxa"/>
            <w:tcBorders>
              <w:top w:val="nil"/>
              <w:left w:val="nil"/>
              <w:bottom w:val="single" w:sz="4" w:space="0" w:color="auto"/>
              <w:right w:val="single" w:sz="4" w:space="0" w:color="auto"/>
            </w:tcBorders>
            <w:shd w:val="clear" w:color="auto" w:fill="auto"/>
            <w:noWrap/>
            <w:vAlign w:val="bottom"/>
            <w:hideMark/>
          </w:tcPr>
          <w:p w14:paraId="358E0223" w14:textId="77777777" w:rsidR="00C44CC7" w:rsidRDefault="00C44CC7" w:rsidP="00C44CC7">
            <w:pPr>
              <w:jc w:val="right"/>
              <w:rPr>
                <w:b/>
                <w:bCs/>
                <w:color w:val="000000"/>
                <w:sz w:val="22"/>
                <w:szCs w:val="22"/>
              </w:rPr>
            </w:pPr>
            <w:r>
              <w:rPr>
                <w:b/>
                <w:bCs/>
                <w:color w:val="000000"/>
                <w:sz w:val="22"/>
                <w:szCs w:val="22"/>
              </w:rPr>
              <w:t>61,253</w:t>
            </w:r>
          </w:p>
        </w:tc>
        <w:tc>
          <w:tcPr>
            <w:tcW w:w="960" w:type="dxa"/>
            <w:tcBorders>
              <w:top w:val="nil"/>
              <w:left w:val="nil"/>
              <w:bottom w:val="single" w:sz="4" w:space="0" w:color="auto"/>
              <w:right w:val="single" w:sz="4" w:space="0" w:color="auto"/>
            </w:tcBorders>
            <w:shd w:val="clear" w:color="auto" w:fill="auto"/>
            <w:noWrap/>
            <w:vAlign w:val="bottom"/>
            <w:hideMark/>
          </w:tcPr>
          <w:p w14:paraId="23F4CBE3" w14:textId="77777777" w:rsidR="00C44CC7" w:rsidRDefault="00C44CC7" w:rsidP="00C44CC7">
            <w:pPr>
              <w:jc w:val="right"/>
              <w:rPr>
                <w:b/>
                <w:bCs/>
                <w:color w:val="000000"/>
                <w:sz w:val="22"/>
                <w:szCs w:val="22"/>
              </w:rPr>
            </w:pPr>
            <w:r>
              <w:rPr>
                <w:b/>
                <w:bCs/>
                <w:color w:val="000000"/>
                <w:sz w:val="22"/>
                <w:szCs w:val="22"/>
              </w:rPr>
              <w:t>65,655</w:t>
            </w:r>
          </w:p>
        </w:tc>
        <w:tc>
          <w:tcPr>
            <w:tcW w:w="960" w:type="dxa"/>
            <w:tcBorders>
              <w:top w:val="nil"/>
              <w:left w:val="nil"/>
              <w:bottom w:val="single" w:sz="4" w:space="0" w:color="auto"/>
              <w:right w:val="single" w:sz="4" w:space="0" w:color="auto"/>
            </w:tcBorders>
            <w:shd w:val="clear" w:color="auto" w:fill="auto"/>
            <w:noWrap/>
            <w:vAlign w:val="bottom"/>
            <w:hideMark/>
          </w:tcPr>
          <w:p w14:paraId="013E8EC6" w14:textId="77777777" w:rsidR="00C44CC7" w:rsidRDefault="00C44CC7" w:rsidP="00C44CC7">
            <w:pPr>
              <w:jc w:val="right"/>
              <w:rPr>
                <w:b/>
                <w:bCs/>
                <w:color w:val="000000"/>
                <w:sz w:val="22"/>
                <w:szCs w:val="22"/>
              </w:rPr>
            </w:pPr>
            <w:r>
              <w:rPr>
                <w:b/>
                <w:bCs/>
                <w:color w:val="000000"/>
                <w:sz w:val="22"/>
                <w:szCs w:val="22"/>
              </w:rPr>
              <w:t>48,825</w:t>
            </w:r>
          </w:p>
        </w:tc>
        <w:tc>
          <w:tcPr>
            <w:tcW w:w="960" w:type="dxa"/>
            <w:tcBorders>
              <w:top w:val="nil"/>
              <w:left w:val="nil"/>
              <w:bottom w:val="single" w:sz="4" w:space="0" w:color="auto"/>
              <w:right w:val="single" w:sz="4" w:space="0" w:color="auto"/>
            </w:tcBorders>
            <w:shd w:val="clear" w:color="auto" w:fill="auto"/>
            <w:noWrap/>
            <w:vAlign w:val="bottom"/>
            <w:hideMark/>
          </w:tcPr>
          <w:p w14:paraId="57F7E419" w14:textId="77777777" w:rsidR="00C44CC7" w:rsidRDefault="00C44CC7" w:rsidP="00C44CC7">
            <w:pPr>
              <w:jc w:val="right"/>
              <w:rPr>
                <w:b/>
                <w:bCs/>
                <w:color w:val="000000"/>
                <w:sz w:val="22"/>
                <w:szCs w:val="22"/>
              </w:rPr>
            </w:pPr>
            <w:r>
              <w:rPr>
                <w:b/>
                <w:bCs/>
                <w:color w:val="000000"/>
                <w:sz w:val="22"/>
                <w:szCs w:val="22"/>
              </w:rPr>
              <w:t>55,891</w:t>
            </w:r>
          </w:p>
        </w:tc>
        <w:tc>
          <w:tcPr>
            <w:tcW w:w="960" w:type="dxa"/>
            <w:tcBorders>
              <w:top w:val="nil"/>
              <w:left w:val="nil"/>
              <w:bottom w:val="single" w:sz="4" w:space="0" w:color="auto"/>
              <w:right w:val="single" w:sz="4" w:space="0" w:color="auto"/>
            </w:tcBorders>
            <w:shd w:val="clear" w:color="auto" w:fill="auto"/>
            <w:noWrap/>
            <w:vAlign w:val="bottom"/>
            <w:hideMark/>
          </w:tcPr>
          <w:p w14:paraId="5BF66654" w14:textId="77777777" w:rsidR="00C44CC7" w:rsidRDefault="00C44CC7" w:rsidP="00C44CC7">
            <w:pPr>
              <w:jc w:val="right"/>
              <w:rPr>
                <w:b/>
                <w:bCs/>
                <w:color w:val="000000"/>
                <w:sz w:val="22"/>
                <w:szCs w:val="22"/>
              </w:rPr>
            </w:pPr>
            <w:r>
              <w:rPr>
                <w:b/>
                <w:bCs/>
                <w:color w:val="000000"/>
                <w:sz w:val="22"/>
                <w:szCs w:val="22"/>
              </w:rPr>
              <w:t>47,388</w:t>
            </w:r>
          </w:p>
        </w:tc>
        <w:tc>
          <w:tcPr>
            <w:tcW w:w="998" w:type="dxa"/>
            <w:tcBorders>
              <w:top w:val="nil"/>
              <w:left w:val="nil"/>
              <w:bottom w:val="single" w:sz="4" w:space="0" w:color="auto"/>
              <w:right w:val="single" w:sz="4" w:space="0" w:color="auto"/>
            </w:tcBorders>
            <w:shd w:val="clear" w:color="auto" w:fill="auto"/>
            <w:noWrap/>
            <w:vAlign w:val="bottom"/>
            <w:hideMark/>
          </w:tcPr>
          <w:p w14:paraId="16C08241" w14:textId="77777777" w:rsidR="00C44CC7" w:rsidRDefault="00C44CC7" w:rsidP="00C44CC7">
            <w:pPr>
              <w:jc w:val="right"/>
              <w:rPr>
                <w:b/>
                <w:bCs/>
                <w:color w:val="000000"/>
                <w:sz w:val="22"/>
                <w:szCs w:val="22"/>
              </w:rPr>
            </w:pPr>
            <w:r>
              <w:rPr>
                <w:b/>
                <w:bCs/>
                <w:color w:val="000000"/>
                <w:sz w:val="22"/>
                <w:szCs w:val="22"/>
              </w:rPr>
              <w:t>55,802</w:t>
            </w:r>
          </w:p>
        </w:tc>
        <w:tc>
          <w:tcPr>
            <w:tcW w:w="1005" w:type="dxa"/>
            <w:tcBorders>
              <w:top w:val="nil"/>
              <w:left w:val="nil"/>
              <w:bottom w:val="single" w:sz="4" w:space="0" w:color="auto"/>
              <w:right w:val="single" w:sz="4" w:space="0" w:color="auto"/>
            </w:tcBorders>
            <w:shd w:val="clear" w:color="auto" w:fill="auto"/>
            <w:noWrap/>
            <w:vAlign w:val="bottom"/>
            <w:hideMark/>
          </w:tcPr>
          <w:p w14:paraId="7251B401" w14:textId="77777777" w:rsidR="00C44CC7" w:rsidRDefault="00C44CC7" w:rsidP="00C44CC7">
            <w:pPr>
              <w:jc w:val="right"/>
              <w:rPr>
                <w:b/>
                <w:bCs/>
                <w:color w:val="000000"/>
                <w:sz w:val="22"/>
                <w:szCs w:val="22"/>
              </w:rPr>
            </w:pPr>
            <w:r>
              <w:rPr>
                <w:b/>
                <w:bCs/>
                <w:color w:val="000000"/>
                <w:sz w:val="22"/>
                <w:szCs w:val="22"/>
              </w:rPr>
              <w:t>64.23%</w:t>
            </w:r>
          </w:p>
        </w:tc>
      </w:tr>
      <w:tr w:rsidR="00C44CC7" w14:paraId="6C6B751C" w14:textId="77777777" w:rsidTr="00C44CC7">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14:paraId="3F2815FF" w14:textId="77777777" w:rsidR="00C44CC7" w:rsidRDefault="00C44CC7" w:rsidP="00C44CC7">
            <w:pPr>
              <w:rPr>
                <w:color w:val="000000"/>
                <w:sz w:val="22"/>
                <w:szCs w:val="22"/>
              </w:rPr>
            </w:pPr>
            <w:r>
              <w:rPr>
                <w:bCs/>
                <w:color w:val="000000"/>
                <w:sz w:val="22"/>
                <w:szCs w:val="22"/>
              </w:rPr>
              <w:t>Palm Beach</w:t>
            </w:r>
          </w:p>
        </w:tc>
        <w:tc>
          <w:tcPr>
            <w:tcW w:w="725" w:type="dxa"/>
            <w:tcBorders>
              <w:top w:val="nil"/>
              <w:left w:val="nil"/>
              <w:bottom w:val="single" w:sz="4" w:space="0" w:color="auto"/>
              <w:right w:val="single" w:sz="4" w:space="0" w:color="auto"/>
            </w:tcBorders>
            <w:shd w:val="clear" w:color="auto" w:fill="auto"/>
            <w:noWrap/>
            <w:vAlign w:val="bottom"/>
            <w:hideMark/>
          </w:tcPr>
          <w:p w14:paraId="7FE0B30C" w14:textId="77777777" w:rsidR="00C44CC7" w:rsidRDefault="00C44CC7" w:rsidP="00C44CC7">
            <w:pPr>
              <w:jc w:val="right"/>
              <w:rPr>
                <w:color w:val="000000"/>
                <w:sz w:val="22"/>
                <w:szCs w:val="22"/>
              </w:rPr>
            </w:pPr>
            <w:r>
              <w:rPr>
                <w:color w:val="000000"/>
                <w:sz w:val="22"/>
                <w:szCs w:val="22"/>
              </w:rPr>
              <w:t>4,307</w:t>
            </w:r>
          </w:p>
        </w:tc>
        <w:tc>
          <w:tcPr>
            <w:tcW w:w="960" w:type="dxa"/>
            <w:tcBorders>
              <w:top w:val="nil"/>
              <w:left w:val="nil"/>
              <w:bottom w:val="single" w:sz="4" w:space="0" w:color="auto"/>
              <w:right w:val="single" w:sz="4" w:space="0" w:color="auto"/>
            </w:tcBorders>
            <w:shd w:val="clear" w:color="auto" w:fill="auto"/>
            <w:noWrap/>
            <w:vAlign w:val="bottom"/>
            <w:hideMark/>
          </w:tcPr>
          <w:p w14:paraId="6A41C446" w14:textId="77777777" w:rsidR="00C44CC7" w:rsidRDefault="00C44CC7" w:rsidP="00C44CC7">
            <w:pPr>
              <w:jc w:val="right"/>
              <w:rPr>
                <w:color w:val="000000"/>
                <w:sz w:val="22"/>
                <w:szCs w:val="22"/>
              </w:rPr>
            </w:pPr>
            <w:r>
              <w:rPr>
                <w:color w:val="000000"/>
                <w:sz w:val="22"/>
                <w:szCs w:val="22"/>
              </w:rPr>
              <w:t>6,317</w:t>
            </w:r>
          </w:p>
        </w:tc>
        <w:tc>
          <w:tcPr>
            <w:tcW w:w="960" w:type="dxa"/>
            <w:tcBorders>
              <w:top w:val="nil"/>
              <w:left w:val="nil"/>
              <w:bottom w:val="single" w:sz="4" w:space="0" w:color="auto"/>
              <w:right w:val="single" w:sz="4" w:space="0" w:color="auto"/>
            </w:tcBorders>
            <w:shd w:val="clear" w:color="auto" w:fill="auto"/>
            <w:noWrap/>
            <w:vAlign w:val="bottom"/>
            <w:hideMark/>
          </w:tcPr>
          <w:p w14:paraId="7813A770" w14:textId="77777777" w:rsidR="00C44CC7" w:rsidRDefault="00C44CC7" w:rsidP="00C44CC7">
            <w:pPr>
              <w:jc w:val="right"/>
              <w:rPr>
                <w:color w:val="000000"/>
                <w:sz w:val="22"/>
                <w:szCs w:val="22"/>
              </w:rPr>
            </w:pPr>
            <w:r>
              <w:rPr>
                <w:color w:val="000000"/>
                <w:sz w:val="22"/>
                <w:szCs w:val="22"/>
              </w:rPr>
              <w:t>4,040</w:t>
            </w:r>
          </w:p>
        </w:tc>
        <w:tc>
          <w:tcPr>
            <w:tcW w:w="960" w:type="dxa"/>
            <w:tcBorders>
              <w:top w:val="nil"/>
              <w:left w:val="nil"/>
              <w:bottom w:val="single" w:sz="4" w:space="0" w:color="auto"/>
              <w:right w:val="single" w:sz="4" w:space="0" w:color="auto"/>
            </w:tcBorders>
            <w:shd w:val="clear" w:color="auto" w:fill="auto"/>
            <w:noWrap/>
            <w:vAlign w:val="bottom"/>
            <w:hideMark/>
          </w:tcPr>
          <w:p w14:paraId="250B771D" w14:textId="77777777" w:rsidR="00C44CC7" w:rsidRDefault="00C44CC7" w:rsidP="00C44CC7">
            <w:pPr>
              <w:jc w:val="right"/>
              <w:rPr>
                <w:color w:val="000000"/>
                <w:sz w:val="22"/>
                <w:szCs w:val="22"/>
              </w:rPr>
            </w:pPr>
            <w:r>
              <w:rPr>
                <w:color w:val="000000"/>
                <w:sz w:val="22"/>
                <w:szCs w:val="22"/>
              </w:rPr>
              <w:t>5,434</w:t>
            </w:r>
          </w:p>
        </w:tc>
        <w:tc>
          <w:tcPr>
            <w:tcW w:w="960" w:type="dxa"/>
            <w:tcBorders>
              <w:top w:val="nil"/>
              <w:left w:val="nil"/>
              <w:bottom w:val="single" w:sz="4" w:space="0" w:color="auto"/>
              <w:right w:val="single" w:sz="4" w:space="0" w:color="auto"/>
            </w:tcBorders>
            <w:shd w:val="clear" w:color="auto" w:fill="auto"/>
            <w:noWrap/>
            <w:vAlign w:val="bottom"/>
            <w:hideMark/>
          </w:tcPr>
          <w:p w14:paraId="43E55E17" w14:textId="77777777" w:rsidR="00C44CC7" w:rsidRDefault="00C44CC7" w:rsidP="00C44CC7">
            <w:pPr>
              <w:jc w:val="right"/>
              <w:rPr>
                <w:color w:val="000000"/>
                <w:sz w:val="22"/>
                <w:szCs w:val="22"/>
              </w:rPr>
            </w:pPr>
            <w:r>
              <w:rPr>
                <w:color w:val="000000"/>
                <w:sz w:val="22"/>
                <w:szCs w:val="22"/>
              </w:rPr>
              <w:t>5,101</w:t>
            </w:r>
          </w:p>
        </w:tc>
        <w:tc>
          <w:tcPr>
            <w:tcW w:w="998" w:type="dxa"/>
            <w:tcBorders>
              <w:top w:val="nil"/>
              <w:left w:val="nil"/>
              <w:bottom w:val="single" w:sz="4" w:space="0" w:color="auto"/>
              <w:right w:val="single" w:sz="4" w:space="0" w:color="auto"/>
            </w:tcBorders>
            <w:shd w:val="clear" w:color="auto" w:fill="auto"/>
            <w:noWrap/>
            <w:vAlign w:val="bottom"/>
            <w:hideMark/>
          </w:tcPr>
          <w:p w14:paraId="515767EE" w14:textId="77777777" w:rsidR="00C44CC7" w:rsidRDefault="00C44CC7" w:rsidP="00C44CC7">
            <w:pPr>
              <w:jc w:val="right"/>
              <w:rPr>
                <w:color w:val="000000"/>
                <w:sz w:val="22"/>
                <w:szCs w:val="22"/>
              </w:rPr>
            </w:pPr>
            <w:r>
              <w:rPr>
                <w:color w:val="000000"/>
                <w:sz w:val="22"/>
                <w:szCs w:val="22"/>
              </w:rPr>
              <w:t>5,040</w:t>
            </w:r>
          </w:p>
        </w:tc>
        <w:tc>
          <w:tcPr>
            <w:tcW w:w="1005" w:type="dxa"/>
            <w:tcBorders>
              <w:top w:val="nil"/>
              <w:left w:val="nil"/>
              <w:bottom w:val="single" w:sz="4" w:space="0" w:color="auto"/>
              <w:right w:val="single" w:sz="4" w:space="0" w:color="auto"/>
            </w:tcBorders>
            <w:shd w:val="clear" w:color="auto" w:fill="auto"/>
            <w:noWrap/>
            <w:vAlign w:val="bottom"/>
            <w:hideMark/>
          </w:tcPr>
          <w:p w14:paraId="213AEB8E" w14:textId="77777777" w:rsidR="00C44CC7" w:rsidRDefault="00C44CC7" w:rsidP="00C44CC7">
            <w:pPr>
              <w:jc w:val="right"/>
              <w:rPr>
                <w:color w:val="000000"/>
                <w:sz w:val="22"/>
                <w:szCs w:val="22"/>
              </w:rPr>
            </w:pPr>
            <w:r>
              <w:rPr>
                <w:color w:val="000000"/>
                <w:sz w:val="22"/>
                <w:szCs w:val="22"/>
              </w:rPr>
              <w:t>5.80%</w:t>
            </w:r>
          </w:p>
        </w:tc>
      </w:tr>
      <w:tr w:rsidR="00C44CC7" w14:paraId="3B0C41ED" w14:textId="77777777" w:rsidTr="00C44CC7">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14:paraId="71789ACC" w14:textId="77777777" w:rsidR="00C44CC7" w:rsidRDefault="00C44CC7" w:rsidP="00C44CC7">
            <w:pPr>
              <w:rPr>
                <w:color w:val="000000"/>
                <w:sz w:val="22"/>
                <w:szCs w:val="22"/>
              </w:rPr>
            </w:pPr>
            <w:r>
              <w:rPr>
                <w:bCs/>
                <w:color w:val="000000"/>
                <w:sz w:val="22"/>
                <w:szCs w:val="22"/>
              </w:rPr>
              <w:t>St Johns</w:t>
            </w:r>
          </w:p>
        </w:tc>
        <w:tc>
          <w:tcPr>
            <w:tcW w:w="725" w:type="dxa"/>
            <w:tcBorders>
              <w:top w:val="nil"/>
              <w:left w:val="nil"/>
              <w:bottom w:val="single" w:sz="4" w:space="0" w:color="auto"/>
              <w:right w:val="single" w:sz="4" w:space="0" w:color="auto"/>
            </w:tcBorders>
            <w:shd w:val="clear" w:color="auto" w:fill="auto"/>
            <w:noWrap/>
            <w:vAlign w:val="bottom"/>
            <w:hideMark/>
          </w:tcPr>
          <w:p w14:paraId="3AD7660B" w14:textId="77777777" w:rsidR="00C44CC7" w:rsidRDefault="00C44CC7" w:rsidP="00C44CC7">
            <w:pPr>
              <w:jc w:val="right"/>
              <w:rPr>
                <w:color w:val="000000"/>
                <w:sz w:val="22"/>
                <w:szCs w:val="22"/>
              </w:rPr>
            </w:pPr>
            <w:r>
              <w:rPr>
                <w:color w:val="000000"/>
                <w:sz w:val="22"/>
                <w:szCs w:val="22"/>
              </w:rPr>
              <w:t>376</w:t>
            </w:r>
          </w:p>
        </w:tc>
        <w:tc>
          <w:tcPr>
            <w:tcW w:w="960" w:type="dxa"/>
            <w:tcBorders>
              <w:top w:val="nil"/>
              <w:left w:val="nil"/>
              <w:bottom w:val="single" w:sz="4" w:space="0" w:color="auto"/>
              <w:right w:val="single" w:sz="4" w:space="0" w:color="auto"/>
            </w:tcBorders>
            <w:shd w:val="clear" w:color="auto" w:fill="auto"/>
            <w:noWrap/>
            <w:vAlign w:val="bottom"/>
            <w:hideMark/>
          </w:tcPr>
          <w:p w14:paraId="7472770E" w14:textId="77777777" w:rsidR="00C44CC7" w:rsidRDefault="00C44CC7" w:rsidP="00C44CC7">
            <w:pPr>
              <w:jc w:val="right"/>
              <w:rPr>
                <w:color w:val="000000"/>
                <w:sz w:val="22"/>
                <w:szCs w:val="22"/>
              </w:rPr>
            </w:pPr>
            <w:r>
              <w:rPr>
                <w:color w:val="000000"/>
                <w:sz w:val="22"/>
                <w:szCs w:val="22"/>
              </w:rPr>
              <w:t>3018</w:t>
            </w:r>
          </w:p>
        </w:tc>
        <w:tc>
          <w:tcPr>
            <w:tcW w:w="960" w:type="dxa"/>
            <w:tcBorders>
              <w:top w:val="nil"/>
              <w:left w:val="nil"/>
              <w:bottom w:val="single" w:sz="4" w:space="0" w:color="auto"/>
              <w:right w:val="single" w:sz="4" w:space="0" w:color="auto"/>
            </w:tcBorders>
            <w:shd w:val="clear" w:color="auto" w:fill="auto"/>
            <w:noWrap/>
            <w:vAlign w:val="bottom"/>
            <w:hideMark/>
          </w:tcPr>
          <w:p w14:paraId="664E43BA" w14:textId="77777777" w:rsidR="00C44CC7" w:rsidRDefault="00C44CC7" w:rsidP="00C44CC7">
            <w:pPr>
              <w:jc w:val="right"/>
              <w:rPr>
                <w:color w:val="000000"/>
                <w:sz w:val="22"/>
                <w:szCs w:val="22"/>
              </w:rPr>
            </w:pPr>
            <w:r>
              <w:rPr>
                <w:color w:val="000000"/>
                <w:sz w:val="22"/>
                <w:szCs w:val="22"/>
              </w:rPr>
              <w:t>4,609</w:t>
            </w:r>
          </w:p>
        </w:tc>
        <w:tc>
          <w:tcPr>
            <w:tcW w:w="960" w:type="dxa"/>
            <w:tcBorders>
              <w:top w:val="nil"/>
              <w:left w:val="nil"/>
              <w:bottom w:val="single" w:sz="4" w:space="0" w:color="auto"/>
              <w:right w:val="single" w:sz="4" w:space="0" w:color="auto"/>
            </w:tcBorders>
            <w:shd w:val="clear" w:color="auto" w:fill="auto"/>
            <w:noWrap/>
            <w:vAlign w:val="bottom"/>
            <w:hideMark/>
          </w:tcPr>
          <w:p w14:paraId="63892949" w14:textId="77777777" w:rsidR="00C44CC7" w:rsidRDefault="00C44CC7" w:rsidP="00C44CC7">
            <w:pPr>
              <w:jc w:val="right"/>
              <w:rPr>
                <w:color w:val="000000"/>
                <w:sz w:val="22"/>
                <w:szCs w:val="22"/>
              </w:rPr>
            </w:pPr>
            <w:r>
              <w:rPr>
                <w:color w:val="000000"/>
                <w:sz w:val="22"/>
                <w:szCs w:val="22"/>
              </w:rPr>
              <w:t>5,055</w:t>
            </w:r>
          </w:p>
        </w:tc>
        <w:tc>
          <w:tcPr>
            <w:tcW w:w="960" w:type="dxa"/>
            <w:tcBorders>
              <w:top w:val="nil"/>
              <w:left w:val="nil"/>
              <w:bottom w:val="single" w:sz="4" w:space="0" w:color="auto"/>
              <w:right w:val="single" w:sz="4" w:space="0" w:color="auto"/>
            </w:tcBorders>
            <w:shd w:val="clear" w:color="auto" w:fill="auto"/>
            <w:noWrap/>
            <w:vAlign w:val="bottom"/>
            <w:hideMark/>
          </w:tcPr>
          <w:p w14:paraId="2001B2E2" w14:textId="77777777" w:rsidR="00C44CC7" w:rsidRDefault="00C44CC7" w:rsidP="00C44CC7">
            <w:pPr>
              <w:jc w:val="right"/>
              <w:rPr>
                <w:color w:val="000000"/>
                <w:sz w:val="22"/>
                <w:szCs w:val="22"/>
              </w:rPr>
            </w:pPr>
            <w:r>
              <w:rPr>
                <w:color w:val="000000"/>
                <w:sz w:val="22"/>
                <w:szCs w:val="22"/>
              </w:rPr>
              <w:t>4,260</w:t>
            </w:r>
          </w:p>
        </w:tc>
        <w:tc>
          <w:tcPr>
            <w:tcW w:w="998" w:type="dxa"/>
            <w:tcBorders>
              <w:top w:val="nil"/>
              <w:left w:val="nil"/>
              <w:bottom w:val="single" w:sz="4" w:space="0" w:color="auto"/>
              <w:right w:val="single" w:sz="4" w:space="0" w:color="auto"/>
            </w:tcBorders>
            <w:shd w:val="clear" w:color="auto" w:fill="auto"/>
            <w:noWrap/>
            <w:vAlign w:val="bottom"/>
            <w:hideMark/>
          </w:tcPr>
          <w:p w14:paraId="7C384803" w14:textId="77777777" w:rsidR="00C44CC7" w:rsidRDefault="00C44CC7" w:rsidP="00C44CC7">
            <w:pPr>
              <w:jc w:val="right"/>
              <w:rPr>
                <w:color w:val="000000"/>
                <w:sz w:val="22"/>
                <w:szCs w:val="22"/>
              </w:rPr>
            </w:pPr>
            <w:r>
              <w:rPr>
                <w:color w:val="000000"/>
                <w:sz w:val="22"/>
                <w:szCs w:val="22"/>
              </w:rPr>
              <w:t>3,464</w:t>
            </w:r>
          </w:p>
        </w:tc>
        <w:tc>
          <w:tcPr>
            <w:tcW w:w="1005" w:type="dxa"/>
            <w:tcBorders>
              <w:top w:val="nil"/>
              <w:left w:val="nil"/>
              <w:bottom w:val="single" w:sz="4" w:space="0" w:color="auto"/>
              <w:right w:val="single" w:sz="4" w:space="0" w:color="auto"/>
            </w:tcBorders>
            <w:shd w:val="clear" w:color="auto" w:fill="auto"/>
            <w:noWrap/>
            <w:vAlign w:val="bottom"/>
            <w:hideMark/>
          </w:tcPr>
          <w:p w14:paraId="162F98F9" w14:textId="77777777" w:rsidR="00C44CC7" w:rsidRDefault="00C44CC7" w:rsidP="00C44CC7">
            <w:pPr>
              <w:jc w:val="right"/>
              <w:rPr>
                <w:color w:val="000000"/>
                <w:sz w:val="22"/>
                <w:szCs w:val="22"/>
              </w:rPr>
            </w:pPr>
            <w:r>
              <w:rPr>
                <w:color w:val="000000"/>
                <w:sz w:val="22"/>
                <w:szCs w:val="22"/>
              </w:rPr>
              <w:t>3.99%</w:t>
            </w:r>
          </w:p>
        </w:tc>
      </w:tr>
      <w:tr w:rsidR="00C44CC7" w14:paraId="38E26669" w14:textId="77777777" w:rsidTr="00C44CC7">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14:paraId="604A0726" w14:textId="77777777" w:rsidR="00C44CC7" w:rsidRDefault="00C44CC7" w:rsidP="00C44CC7">
            <w:pPr>
              <w:rPr>
                <w:color w:val="000000"/>
                <w:sz w:val="22"/>
                <w:szCs w:val="22"/>
              </w:rPr>
            </w:pPr>
            <w:r>
              <w:rPr>
                <w:bCs/>
                <w:color w:val="000000"/>
                <w:sz w:val="22"/>
                <w:szCs w:val="22"/>
              </w:rPr>
              <w:t>St Lucie</w:t>
            </w:r>
          </w:p>
        </w:tc>
        <w:tc>
          <w:tcPr>
            <w:tcW w:w="725" w:type="dxa"/>
            <w:tcBorders>
              <w:top w:val="nil"/>
              <w:left w:val="nil"/>
              <w:bottom w:val="single" w:sz="4" w:space="0" w:color="auto"/>
              <w:right w:val="single" w:sz="4" w:space="0" w:color="auto"/>
            </w:tcBorders>
            <w:shd w:val="clear" w:color="auto" w:fill="auto"/>
            <w:noWrap/>
            <w:vAlign w:val="bottom"/>
            <w:hideMark/>
          </w:tcPr>
          <w:p w14:paraId="130125C8" w14:textId="77777777" w:rsidR="00C44CC7" w:rsidRDefault="00C44CC7" w:rsidP="00C44CC7">
            <w:pPr>
              <w:jc w:val="right"/>
              <w:rPr>
                <w:color w:val="000000"/>
                <w:sz w:val="22"/>
                <w:szCs w:val="22"/>
              </w:rPr>
            </w:pPr>
            <w:r>
              <w:rPr>
                <w:color w:val="000000"/>
                <w:sz w:val="22"/>
                <w:szCs w:val="22"/>
              </w:rPr>
              <w:t>162</w:t>
            </w:r>
          </w:p>
        </w:tc>
        <w:tc>
          <w:tcPr>
            <w:tcW w:w="960" w:type="dxa"/>
            <w:tcBorders>
              <w:top w:val="nil"/>
              <w:left w:val="nil"/>
              <w:bottom w:val="single" w:sz="4" w:space="0" w:color="auto"/>
              <w:right w:val="single" w:sz="4" w:space="0" w:color="auto"/>
            </w:tcBorders>
            <w:shd w:val="clear" w:color="auto" w:fill="auto"/>
            <w:noWrap/>
            <w:vAlign w:val="bottom"/>
            <w:hideMark/>
          </w:tcPr>
          <w:p w14:paraId="2E132F7E" w14:textId="77777777" w:rsidR="00C44CC7" w:rsidRDefault="00C44CC7" w:rsidP="00C44CC7">
            <w:pPr>
              <w:jc w:val="right"/>
              <w:rPr>
                <w:color w:val="000000"/>
                <w:sz w:val="22"/>
                <w:szCs w:val="22"/>
              </w:rPr>
            </w:pPr>
            <w:r>
              <w:rPr>
                <w:color w:val="000000"/>
                <w:sz w:val="22"/>
                <w:szCs w:val="22"/>
              </w:rPr>
              <w:t>71</w:t>
            </w:r>
          </w:p>
        </w:tc>
        <w:tc>
          <w:tcPr>
            <w:tcW w:w="960" w:type="dxa"/>
            <w:tcBorders>
              <w:top w:val="nil"/>
              <w:left w:val="nil"/>
              <w:bottom w:val="single" w:sz="4" w:space="0" w:color="auto"/>
              <w:right w:val="single" w:sz="4" w:space="0" w:color="auto"/>
            </w:tcBorders>
            <w:shd w:val="clear" w:color="auto" w:fill="auto"/>
            <w:noWrap/>
            <w:vAlign w:val="bottom"/>
            <w:hideMark/>
          </w:tcPr>
          <w:p w14:paraId="3111B357" w14:textId="77777777" w:rsidR="00C44CC7" w:rsidRDefault="00C44CC7" w:rsidP="00C44CC7">
            <w:pPr>
              <w:jc w:val="right"/>
              <w:rPr>
                <w:color w:val="000000"/>
                <w:sz w:val="22"/>
                <w:szCs w:val="22"/>
              </w:rPr>
            </w:pPr>
            <w:r>
              <w:rPr>
                <w:color w:val="000000"/>
                <w:sz w:val="22"/>
                <w:szCs w:val="22"/>
              </w:rPr>
              <w:t>101</w:t>
            </w:r>
          </w:p>
        </w:tc>
        <w:tc>
          <w:tcPr>
            <w:tcW w:w="960" w:type="dxa"/>
            <w:tcBorders>
              <w:top w:val="nil"/>
              <w:left w:val="nil"/>
              <w:bottom w:val="single" w:sz="4" w:space="0" w:color="auto"/>
              <w:right w:val="single" w:sz="4" w:space="0" w:color="auto"/>
            </w:tcBorders>
            <w:shd w:val="clear" w:color="auto" w:fill="auto"/>
            <w:noWrap/>
            <w:vAlign w:val="bottom"/>
            <w:hideMark/>
          </w:tcPr>
          <w:p w14:paraId="0F19DDC9" w14:textId="77777777" w:rsidR="00C44CC7" w:rsidRDefault="00C44CC7" w:rsidP="00C44CC7">
            <w:pPr>
              <w:jc w:val="right"/>
              <w:rPr>
                <w:color w:val="000000"/>
                <w:sz w:val="22"/>
                <w:szCs w:val="22"/>
              </w:rPr>
            </w:pPr>
            <w:r>
              <w:rPr>
                <w:color w:val="000000"/>
                <w:sz w:val="22"/>
                <w:szCs w:val="22"/>
              </w:rPr>
              <w:t>386</w:t>
            </w:r>
          </w:p>
        </w:tc>
        <w:tc>
          <w:tcPr>
            <w:tcW w:w="960" w:type="dxa"/>
            <w:tcBorders>
              <w:top w:val="nil"/>
              <w:left w:val="nil"/>
              <w:bottom w:val="single" w:sz="4" w:space="0" w:color="auto"/>
              <w:right w:val="single" w:sz="4" w:space="0" w:color="auto"/>
            </w:tcBorders>
            <w:shd w:val="clear" w:color="auto" w:fill="auto"/>
            <w:noWrap/>
            <w:vAlign w:val="bottom"/>
            <w:hideMark/>
          </w:tcPr>
          <w:p w14:paraId="6E5E1EF1" w14:textId="77777777" w:rsidR="00C44CC7" w:rsidRDefault="00C44CC7" w:rsidP="00C44CC7">
            <w:pPr>
              <w:jc w:val="right"/>
              <w:rPr>
                <w:color w:val="000000"/>
                <w:sz w:val="22"/>
                <w:szCs w:val="22"/>
              </w:rPr>
            </w:pPr>
            <w:r>
              <w:rPr>
                <w:color w:val="000000"/>
                <w:sz w:val="22"/>
                <w:szCs w:val="22"/>
              </w:rPr>
              <w:t>660</w:t>
            </w:r>
          </w:p>
        </w:tc>
        <w:tc>
          <w:tcPr>
            <w:tcW w:w="998" w:type="dxa"/>
            <w:tcBorders>
              <w:top w:val="nil"/>
              <w:left w:val="nil"/>
              <w:bottom w:val="single" w:sz="4" w:space="0" w:color="auto"/>
              <w:right w:val="single" w:sz="4" w:space="0" w:color="auto"/>
            </w:tcBorders>
            <w:shd w:val="clear" w:color="auto" w:fill="auto"/>
            <w:noWrap/>
            <w:vAlign w:val="bottom"/>
            <w:hideMark/>
          </w:tcPr>
          <w:p w14:paraId="2BD5E2DC" w14:textId="77777777" w:rsidR="00C44CC7" w:rsidRDefault="00C44CC7" w:rsidP="00C44CC7">
            <w:pPr>
              <w:jc w:val="right"/>
              <w:rPr>
                <w:color w:val="000000"/>
                <w:sz w:val="22"/>
                <w:szCs w:val="22"/>
              </w:rPr>
            </w:pPr>
            <w:r>
              <w:rPr>
                <w:color w:val="000000"/>
                <w:sz w:val="22"/>
                <w:szCs w:val="22"/>
              </w:rPr>
              <w:t>276</w:t>
            </w:r>
          </w:p>
        </w:tc>
        <w:tc>
          <w:tcPr>
            <w:tcW w:w="1005" w:type="dxa"/>
            <w:tcBorders>
              <w:top w:val="nil"/>
              <w:left w:val="nil"/>
              <w:bottom w:val="single" w:sz="4" w:space="0" w:color="auto"/>
              <w:right w:val="single" w:sz="4" w:space="0" w:color="auto"/>
            </w:tcBorders>
            <w:shd w:val="clear" w:color="auto" w:fill="auto"/>
            <w:noWrap/>
            <w:vAlign w:val="bottom"/>
            <w:hideMark/>
          </w:tcPr>
          <w:p w14:paraId="476CED8F" w14:textId="77777777" w:rsidR="00C44CC7" w:rsidRDefault="00C44CC7" w:rsidP="00C44CC7">
            <w:pPr>
              <w:jc w:val="right"/>
              <w:rPr>
                <w:color w:val="000000"/>
                <w:sz w:val="22"/>
                <w:szCs w:val="22"/>
              </w:rPr>
            </w:pPr>
            <w:r>
              <w:rPr>
                <w:color w:val="000000"/>
                <w:sz w:val="22"/>
                <w:szCs w:val="22"/>
              </w:rPr>
              <w:t>0.32%</w:t>
            </w:r>
          </w:p>
        </w:tc>
      </w:tr>
      <w:tr w:rsidR="00C44CC7" w14:paraId="19B54ED6" w14:textId="77777777" w:rsidTr="00C44CC7">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14:paraId="607F8D5B" w14:textId="77777777" w:rsidR="00C44CC7" w:rsidRDefault="00C44CC7" w:rsidP="00C44CC7">
            <w:pPr>
              <w:rPr>
                <w:color w:val="000000"/>
                <w:sz w:val="22"/>
                <w:szCs w:val="22"/>
              </w:rPr>
            </w:pPr>
            <w:r>
              <w:rPr>
                <w:bCs/>
                <w:color w:val="000000"/>
                <w:sz w:val="22"/>
                <w:szCs w:val="22"/>
              </w:rPr>
              <w:t>Volusia</w:t>
            </w:r>
          </w:p>
        </w:tc>
        <w:tc>
          <w:tcPr>
            <w:tcW w:w="725" w:type="dxa"/>
            <w:tcBorders>
              <w:top w:val="nil"/>
              <w:left w:val="nil"/>
              <w:bottom w:val="single" w:sz="4" w:space="0" w:color="auto"/>
              <w:right w:val="single" w:sz="4" w:space="0" w:color="auto"/>
            </w:tcBorders>
            <w:shd w:val="clear" w:color="auto" w:fill="auto"/>
            <w:noWrap/>
            <w:vAlign w:val="bottom"/>
            <w:hideMark/>
          </w:tcPr>
          <w:p w14:paraId="185EB347" w14:textId="77777777" w:rsidR="00C44CC7" w:rsidRDefault="00C44CC7" w:rsidP="00C44CC7">
            <w:pPr>
              <w:jc w:val="right"/>
              <w:rPr>
                <w:color w:val="000000"/>
                <w:sz w:val="22"/>
                <w:szCs w:val="22"/>
              </w:rPr>
            </w:pPr>
            <w:r>
              <w:rPr>
                <w:color w:val="000000"/>
                <w:sz w:val="22"/>
                <w:szCs w:val="22"/>
              </w:rPr>
              <w:t>5162</w:t>
            </w:r>
          </w:p>
        </w:tc>
        <w:tc>
          <w:tcPr>
            <w:tcW w:w="960" w:type="dxa"/>
            <w:tcBorders>
              <w:top w:val="nil"/>
              <w:left w:val="nil"/>
              <w:bottom w:val="single" w:sz="4" w:space="0" w:color="auto"/>
              <w:right w:val="single" w:sz="4" w:space="0" w:color="auto"/>
            </w:tcBorders>
            <w:shd w:val="clear" w:color="auto" w:fill="auto"/>
            <w:noWrap/>
            <w:vAlign w:val="bottom"/>
            <w:hideMark/>
          </w:tcPr>
          <w:p w14:paraId="04106EC2" w14:textId="77777777" w:rsidR="00C44CC7" w:rsidRDefault="00C44CC7" w:rsidP="00C44CC7">
            <w:pPr>
              <w:jc w:val="right"/>
              <w:rPr>
                <w:color w:val="000000"/>
                <w:sz w:val="22"/>
                <w:szCs w:val="22"/>
              </w:rPr>
            </w:pPr>
            <w:r>
              <w:rPr>
                <w:color w:val="000000"/>
                <w:sz w:val="22"/>
                <w:szCs w:val="22"/>
              </w:rPr>
              <w:t>4,684</w:t>
            </w:r>
          </w:p>
        </w:tc>
        <w:tc>
          <w:tcPr>
            <w:tcW w:w="960" w:type="dxa"/>
            <w:tcBorders>
              <w:top w:val="nil"/>
              <w:left w:val="nil"/>
              <w:bottom w:val="single" w:sz="4" w:space="0" w:color="auto"/>
              <w:right w:val="single" w:sz="4" w:space="0" w:color="auto"/>
            </w:tcBorders>
            <w:shd w:val="clear" w:color="auto" w:fill="auto"/>
            <w:noWrap/>
            <w:vAlign w:val="bottom"/>
            <w:hideMark/>
          </w:tcPr>
          <w:p w14:paraId="0575B24A" w14:textId="77777777" w:rsidR="00C44CC7" w:rsidRDefault="00C44CC7" w:rsidP="00C44CC7">
            <w:pPr>
              <w:jc w:val="right"/>
              <w:rPr>
                <w:color w:val="000000"/>
                <w:sz w:val="22"/>
                <w:szCs w:val="22"/>
              </w:rPr>
            </w:pPr>
            <w:r>
              <w:rPr>
                <w:color w:val="000000"/>
                <w:sz w:val="22"/>
                <w:szCs w:val="22"/>
              </w:rPr>
              <w:t>1,334</w:t>
            </w:r>
          </w:p>
        </w:tc>
        <w:tc>
          <w:tcPr>
            <w:tcW w:w="960" w:type="dxa"/>
            <w:tcBorders>
              <w:top w:val="nil"/>
              <w:left w:val="nil"/>
              <w:bottom w:val="single" w:sz="4" w:space="0" w:color="auto"/>
              <w:right w:val="single" w:sz="4" w:space="0" w:color="auto"/>
            </w:tcBorders>
            <w:shd w:val="clear" w:color="auto" w:fill="auto"/>
            <w:noWrap/>
            <w:vAlign w:val="bottom"/>
            <w:hideMark/>
          </w:tcPr>
          <w:p w14:paraId="0F458200" w14:textId="77777777" w:rsidR="00C44CC7" w:rsidRDefault="00C44CC7" w:rsidP="00C44CC7">
            <w:pPr>
              <w:jc w:val="right"/>
              <w:rPr>
                <w:color w:val="000000"/>
                <w:sz w:val="22"/>
                <w:szCs w:val="22"/>
              </w:rPr>
            </w:pPr>
            <w:r>
              <w:rPr>
                <w:color w:val="000000"/>
                <w:sz w:val="22"/>
                <w:szCs w:val="22"/>
              </w:rPr>
              <w:t>775</w:t>
            </w:r>
          </w:p>
        </w:tc>
        <w:tc>
          <w:tcPr>
            <w:tcW w:w="960" w:type="dxa"/>
            <w:tcBorders>
              <w:top w:val="nil"/>
              <w:left w:val="nil"/>
              <w:bottom w:val="single" w:sz="4" w:space="0" w:color="auto"/>
              <w:right w:val="single" w:sz="4" w:space="0" w:color="auto"/>
            </w:tcBorders>
            <w:shd w:val="clear" w:color="auto" w:fill="auto"/>
            <w:noWrap/>
            <w:vAlign w:val="bottom"/>
            <w:hideMark/>
          </w:tcPr>
          <w:p w14:paraId="7898E78E" w14:textId="77777777" w:rsidR="00C44CC7" w:rsidRDefault="00C44CC7" w:rsidP="00C44CC7">
            <w:pPr>
              <w:jc w:val="right"/>
              <w:rPr>
                <w:color w:val="000000"/>
                <w:sz w:val="22"/>
                <w:szCs w:val="22"/>
              </w:rPr>
            </w:pPr>
            <w:r>
              <w:rPr>
                <w:color w:val="000000"/>
                <w:sz w:val="22"/>
                <w:szCs w:val="22"/>
              </w:rPr>
              <w:t>384</w:t>
            </w:r>
          </w:p>
        </w:tc>
        <w:tc>
          <w:tcPr>
            <w:tcW w:w="998" w:type="dxa"/>
            <w:tcBorders>
              <w:top w:val="nil"/>
              <w:left w:val="nil"/>
              <w:bottom w:val="single" w:sz="4" w:space="0" w:color="auto"/>
              <w:right w:val="single" w:sz="4" w:space="0" w:color="auto"/>
            </w:tcBorders>
            <w:shd w:val="clear" w:color="auto" w:fill="auto"/>
            <w:noWrap/>
            <w:vAlign w:val="bottom"/>
            <w:hideMark/>
          </w:tcPr>
          <w:p w14:paraId="1CF81D36" w14:textId="77777777" w:rsidR="00C44CC7" w:rsidRDefault="00C44CC7" w:rsidP="00C44CC7">
            <w:pPr>
              <w:jc w:val="right"/>
              <w:rPr>
                <w:color w:val="000000"/>
                <w:sz w:val="22"/>
                <w:szCs w:val="22"/>
              </w:rPr>
            </w:pPr>
            <w:r>
              <w:rPr>
                <w:color w:val="000000"/>
                <w:sz w:val="22"/>
                <w:szCs w:val="22"/>
              </w:rPr>
              <w:t>2,468</w:t>
            </w:r>
          </w:p>
        </w:tc>
        <w:tc>
          <w:tcPr>
            <w:tcW w:w="1005" w:type="dxa"/>
            <w:tcBorders>
              <w:top w:val="nil"/>
              <w:left w:val="nil"/>
              <w:bottom w:val="single" w:sz="4" w:space="0" w:color="auto"/>
              <w:right w:val="single" w:sz="4" w:space="0" w:color="auto"/>
            </w:tcBorders>
            <w:shd w:val="clear" w:color="auto" w:fill="auto"/>
            <w:noWrap/>
            <w:vAlign w:val="bottom"/>
            <w:hideMark/>
          </w:tcPr>
          <w:p w14:paraId="7585665F" w14:textId="77777777" w:rsidR="00C44CC7" w:rsidRDefault="00C44CC7" w:rsidP="00C44CC7">
            <w:pPr>
              <w:jc w:val="right"/>
              <w:rPr>
                <w:color w:val="000000"/>
                <w:sz w:val="22"/>
                <w:szCs w:val="22"/>
              </w:rPr>
            </w:pPr>
            <w:r>
              <w:rPr>
                <w:color w:val="000000"/>
                <w:sz w:val="22"/>
                <w:szCs w:val="22"/>
              </w:rPr>
              <w:t>2.84%</w:t>
            </w:r>
          </w:p>
        </w:tc>
      </w:tr>
      <w:tr w:rsidR="00C44CC7" w14:paraId="431031C6" w14:textId="77777777" w:rsidTr="00C44CC7">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14:paraId="5B9E3930" w14:textId="77777777" w:rsidR="00C44CC7" w:rsidRDefault="00C44CC7" w:rsidP="00C44CC7">
            <w:pPr>
              <w:rPr>
                <w:color w:val="000000"/>
                <w:sz w:val="22"/>
                <w:szCs w:val="22"/>
              </w:rPr>
            </w:pPr>
            <w:r>
              <w:rPr>
                <w:bCs/>
                <w:color w:val="000000"/>
                <w:sz w:val="22"/>
                <w:szCs w:val="22"/>
              </w:rPr>
              <w:t>Total</w:t>
            </w:r>
          </w:p>
        </w:tc>
        <w:tc>
          <w:tcPr>
            <w:tcW w:w="725" w:type="dxa"/>
            <w:tcBorders>
              <w:top w:val="nil"/>
              <w:left w:val="nil"/>
              <w:bottom w:val="single" w:sz="4" w:space="0" w:color="auto"/>
              <w:right w:val="single" w:sz="4" w:space="0" w:color="auto"/>
            </w:tcBorders>
            <w:shd w:val="clear" w:color="auto" w:fill="auto"/>
            <w:noWrap/>
            <w:vAlign w:val="bottom"/>
            <w:hideMark/>
          </w:tcPr>
          <w:p w14:paraId="6004D149" w14:textId="77777777" w:rsidR="00C44CC7" w:rsidRDefault="00C44CC7" w:rsidP="00C44CC7">
            <w:pPr>
              <w:jc w:val="right"/>
              <w:rPr>
                <w:color w:val="000000"/>
                <w:sz w:val="22"/>
                <w:szCs w:val="22"/>
              </w:rPr>
            </w:pPr>
            <w:r>
              <w:rPr>
                <w:color w:val="000000"/>
                <w:sz w:val="22"/>
                <w:szCs w:val="22"/>
              </w:rPr>
              <w:t>83,163</w:t>
            </w:r>
          </w:p>
        </w:tc>
        <w:tc>
          <w:tcPr>
            <w:tcW w:w="960" w:type="dxa"/>
            <w:tcBorders>
              <w:top w:val="nil"/>
              <w:left w:val="nil"/>
              <w:bottom w:val="single" w:sz="4" w:space="0" w:color="auto"/>
              <w:right w:val="single" w:sz="4" w:space="0" w:color="auto"/>
            </w:tcBorders>
            <w:shd w:val="clear" w:color="auto" w:fill="auto"/>
            <w:noWrap/>
            <w:vAlign w:val="bottom"/>
            <w:hideMark/>
          </w:tcPr>
          <w:p w14:paraId="33DDB81C" w14:textId="77777777" w:rsidR="00C44CC7" w:rsidRDefault="00C44CC7" w:rsidP="00C44CC7">
            <w:pPr>
              <w:jc w:val="right"/>
              <w:rPr>
                <w:color w:val="000000"/>
                <w:sz w:val="22"/>
                <w:szCs w:val="22"/>
              </w:rPr>
            </w:pPr>
            <w:r>
              <w:rPr>
                <w:color w:val="000000"/>
                <w:sz w:val="22"/>
                <w:szCs w:val="22"/>
              </w:rPr>
              <w:t>94,618</w:t>
            </w:r>
          </w:p>
        </w:tc>
        <w:tc>
          <w:tcPr>
            <w:tcW w:w="960" w:type="dxa"/>
            <w:tcBorders>
              <w:top w:val="nil"/>
              <w:left w:val="nil"/>
              <w:bottom w:val="single" w:sz="4" w:space="0" w:color="auto"/>
              <w:right w:val="single" w:sz="4" w:space="0" w:color="auto"/>
            </w:tcBorders>
            <w:shd w:val="clear" w:color="auto" w:fill="auto"/>
            <w:noWrap/>
            <w:vAlign w:val="bottom"/>
            <w:hideMark/>
          </w:tcPr>
          <w:p w14:paraId="5BECD4CD" w14:textId="77777777" w:rsidR="00C44CC7" w:rsidRDefault="00C44CC7" w:rsidP="00C44CC7">
            <w:pPr>
              <w:jc w:val="right"/>
              <w:rPr>
                <w:color w:val="000000"/>
                <w:sz w:val="22"/>
                <w:szCs w:val="22"/>
              </w:rPr>
            </w:pPr>
            <w:r>
              <w:rPr>
                <w:color w:val="000000"/>
                <w:sz w:val="22"/>
                <w:szCs w:val="22"/>
              </w:rPr>
              <w:t>80,036</w:t>
            </w:r>
          </w:p>
        </w:tc>
        <w:tc>
          <w:tcPr>
            <w:tcW w:w="960" w:type="dxa"/>
            <w:tcBorders>
              <w:top w:val="nil"/>
              <w:left w:val="nil"/>
              <w:bottom w:val="single" w:sz="4" w:space="0" w:color="auto"/>
              <w:right w:val="single" w:sz="4" w:space="0" w:color="auto"/>
            </w:tcBorders>
            <w:shd w:val="clear" w:color="auto" w:fill="auto"/>
            <w:noWrap/>
            <w:vAlign w:val="bottom"/>
            <w:hideMark/>
          </w:tcPr>
          <w:p w14:paraId="27AC9304" w14:textId="77777777" w:rsidR="00C44CC7" w:rsidRDefault="00C44CC7" w:rsidP="00C44CC7">
            <w:pPr>
              <w:jc w:val="right"/>
              <w:rPr>
                <w:color w:val="000000"/>
                <w:sz w:val="22"/>
                <w:szCs w:val="22"/>
              </w:rPr>
            </w:pPr>
            <w:r>
              <w:rPr>
                <w:color w:val="000000"/>
                <w:sz w:val="22"/>
                <w:szCs w:val="22"/>
              </w:rPr>
              <w:t>86,979</w:t>
            </w:r>
          </w:p>
        </w:tc>
        <w:tc>
          <w:tcPr>
            <w:tcW w:w="960" w:type="dxa"/>
            <w:tcBorders>
              <w:top w:val="nil"/>
              <w:left w:val="nil"/>
              <w:bottom w:val="single" w:sz="4" w:space="0" w:color="auto"/>
              <w:right w:val="single" w:sz="4" w:space="0" w:color="auto"/>
            </w:tcBorders>
            <w:shd w:val="clear" w:color="auto" w:fill="auto"/>
            <w:noWrap/>
            <w:vAlign w:val="bottom"/>
            <w:hideMark/>
          </w:tcPr>
          <w:p w14:paraId="2290D26D" w14:textId="77777777" w:rsidR="00C44CC7" w:rsidRDefault="00C44CC7" w:rsidP="00C44CC7">
            <w:pPr>
              <w:jc w:val="right"/>
              <w:rPr>
                <w:color w:val="000000"/>
                <w:sz w:val="22"/>
                <w:szCs w:val="22"/>
              </w:rPr>
            </w:pPr>
            <w:r>
              <w:rPr>
                <w:color w:val="000000"/>
                <w:sz w:val="22"/>
                <w:szCs w:val="22"/>
              </w:rPr>
              <w:t>89,609</w:t>
            </w:r>
          </w:p>
        </w:tc>
        <w:tc>
          <w:tcPr>
            <w:tcW w:w="998" w:type="dxa"/>
            <w:tcBorders>
              <w:top w:val="nil"/>
              <w:left w:val="nil"/>
              <w:bottom w:val="single" w:sz="4" w:space="0" w:color="auto"/>
              <w:right w:val="single" w:sz="4" w:space="0" w:color="auto"/>
            </w:tcBorders>
            <w:shd w:val="clear" w:color="auto" w:fill="auto"/>
            <w:noWrap/>
            <w:vAlign w:val="bottom"/>
            <w:hideMark/>
          </w:tcPr>
          <w:p w14:paraId="28E56E80" w14:textId="77777777" w:rsidR="00C44CC7" w:rsidRDefault="00C44CC7" w:rsidP="00C44CC7">
            <w:pPr>
              <w:jc w:val="right"/>
              <w:rPr>
                <w:color w:val="000000"/>
                <w:sz w:val="22"/>
                <w:szCs w:val="22"/>
              </w:rPr>
            </w:pPr>
            <w:r>
              <w:rPr>
                <w:color w:val="000000"/>
                <w:sz w:val="22"/>
                <w:szCs w:val="22"/>
              </w:rPr>
              <w:t>86,881</w:t>
            </w:r>
          </w:p>
        </w:tc>
        <w:tc>
          <w:tcPr>
            <w:tcW w:w="1005" w:type="dxa"/>
            <w:tcBorders>
              <w:top w:val="nil"/>
              <w:left w:val="nil"/>
              <w:bottom w:val="single" w:sz="4" w:space="0" w:color="auto"/>
              <w:right w:val="single" w:sz="4" w:space="0" w:color="auto"/>
            </w:tcBorders>
            <w:shd w:val="clear" w:color="auto" w:fill="auto"/>
            <w:noWrap/>
            <w:vAlign w:val="bottom"/>
            <w:hideMark/>
          </w:tcPr>
          <w:p w14:paraId="04CCE23F" w14:textId="77777777" w:rsidR="00C44CC7" w:rsidRDefault="00C44CC7" w:rsidP="00C44CC7">
            <w:pPr>
              <w:jc w:val="right"/>
              <w:rPr>
                <w:color w:val="000000"/>
                <w:sz w:val="22"/>
                <w:szCs w:val="22"/>
              </w:rPr>
            </w:pPr>
            <w:r>
              <w:rPr>
                <w:color w:val="000000"/>
                <w:sz w:val="22"/>
                <w:szCs w:val="22"/>
              </w:rPr>
              <w:t>100.00%</w:t>
            </w:r>
          </w:p>
        </w:tc>
      </w:tr>
    </w:tbl>
    <w:p w14:paraId="77AC25BC" w14:textId="75CDAF42" w:rsidR="005F0F19" w:rsidRDefault="005F0F19" w:rsidP="005F0F19">
      <w:pPr>
        <w:rPr>
          <w:rFonts w:ascii="Arial" w:hAnsi="Arial" w:cs="Arial"/>
          <w:sz w:val="20"/>
          <w:szCs w:val="20"/>
        </w:rPr>
      </w:pPr>
      <w:r w:rsidRPr="00FD1B97">
        <w:rPr>
          <w:rFonts w:ascii="Arial" w:hAnsi="Arial" w:cs="Arial"/>
          <w:sz w:val="20"/>
          <w:szCs w:val="20"/>
        </w:rPr>
        <w:t>Source:  Florida Fish &amp; Wildlife Conservation Commission, Commercial L</w:t>
      </w:r>
      <w:r w:rsidR="00C44CC7">
        <w:rPr>
          <w:rFonts w:ascii="Arial" w:hAnsi="Arial" w:cs="Arial"/>
          <w:sz w:val="20"/>
          <w:szCs w:val="20"/>
        </w:rPr>
        <w:t>andings Summary, October 30</w:t>
      </w:r>
      <w:r>
        <w:rPr>
          <w:rFonts w:ascii="Arial" w:hAnsi="Arial" w:cs="Arial"/>
          <w:sz w:val="20"/>
          <w:szCs w:val="20"/>
        </w:rPr>
        <w:t xml:space="preserve"> 2016</w:t>
      </w:r>
      <w:r w:rsidRPr="00FD1B97">
        <w:rPr>
          <w:rFonts w:ascii="Arial" w:hAnsi="Arial" w:cs="Arial"/>
          <w:sz w:val="20"/>
          <w:szCs w:val="20"/>
        </w:rPr>
        <w:t>.</w:t>
      </w:r>
    </w:p>
    <w:p w14:paraId="22308D51" w14:textId="77777777" w:rsidR="005F0F19" w:rsidRDefault="005F0F19" w:rsidP="005F0F19">
      <w:pPr>
        <w:rPr>
          <w:rFonts w:ascii="Arial" w:hAnsi="Arial" w:cs="Arial"/>
          <w:sz w:val="20"/>
          <w:szCs w:val="20"/>
        </w:rPr>
      </w:pPr>
    </w:p>
    <w:p w14:paraId="3BAA252F" w14:textId="77777777" w:rsidR="005F0F19" w:rsidRPr="00BB4961" w:rsidRDefault="005F0F19" w:rsidP="005F0F19">
      <w:pPr>
        <w:ind w:firstLine="360"/>
      </w:pPr>
      <w:r>
        <w:t>The majority of South Atlantic mutton snapper that are commercially landed in Florida are typically harvested from federal waters (</w:t>
      </w:r>
      <w:r>
        <w:rPr>
          <w:b/>
        </w:rPr>
        <w:t>Table 3.3.8</w:t>
      </w:r>
      <w:r>
        <w:t xml:space="preserve">).  From 2010 through 2014, mutton snapper taken from federal waters accounted for an average of 65% of annual landings.  In 2014, however, approximately 52% of Florida commercial landings were from waters of unreported </w:t>
      </w:r>
      <w:r>
        <w:lastRenderedPageBreak/>
        <w:t xml:space="preserve">jurisdiction.  Although a vessel may be in both federal and state waters during a single trip, the logbook guidance instructs vessel owners/operators to identify the area where the majority of the catch of each species originates.  </w:t>
      </w:r>
    </w:p>
    <w:p w14:paraId="09613DDD" w14:textId="77777777" w:rsidR="005F0F19" w:rsidRDefault="005F0F19" w:rsidP="005F0F19">
      <w:pPr>
        <w:ind w:firstLine="360"/>
      </w:pPr>
    </w:p>
    <w:p w14:paraId="728F0D31" w14:textId="77777777" w:rsidR="005F0F19" w:rsidRPr="00FD1B97" w:rsidRDefault="005F0F19" w:rsidP="005F0F19">
      <w:pPr>
        <w:pStyle w:val="Tabletitle"/>
      </w:pPr>
      <w:bookmarkStart w:id="149" w:name="_Toc340431553"/>
      <w:r>
        <w:rPr>
          <w:b/>
        </w:rPr>
        <w:t>Table 3.3.8</w:t>
      </w:r>
      <w:r w:rsidRPr="00E041AC">
        <w:rPr>
          <w:b/>
        </w:rPr>
        <w:t>.</w:t>
      </w:r>
      <w:r w:rsidRPr="00FD1B97">
        <w:t xml:space="preserve">  </w:t>
      </w:r>
      <w:r>
        <w:t>Florida c</w:t>
      </w:r>
      <w:r w:rsidRPr="00FD1B97">
        <w:t>ommercial land</w:t>
      </w:r>
      <w:r>
        <w:t>ings of mutton snapper (lbs ww) by jurisdiction</w:t>
      </w:r>
      <w:r w:rsidRPr="00FD1B97">
        <w:t xml:space="preserve"> in </w:t>
      </w:r>
      <w:r>
        <w:t xml:space="preserve">the </w:t>
      </w:r>
      <w:r w:rsidRPr="00FD1B97">
        <w:t>So</w:t>
      </w:r>
      <w:r>
        <w:t>uth Atlantic region, 2010-2014</w:t>
      </w:r>
      <w:r w:rsidRPr="00FD1B97">
        <w:t>.</w:t>
      </w:r>
      <w:bookmarkEnd w:id="149"/>
      <w:r w:rsidRPr="00FD1B97">
        <w:t xml:space="preserve">  </w:t>
      </w:r>
    </w:p>
    <w:tbl>
      <w:tblPr>
        <w:tblW w:w="919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003"/>
        <w:gridCol w:w="876"/>
        <w:gridCol w:w="1416"/>
        <w:gridCol w:w="876"/>
        <w:gridCol w:w="1255"/>
        <w:gridCol w:w="1079"/>
        <w:gridCol w:w="1620"/>
      </w:tblGrid>
      <w:tr w:rsidR="005F0F19" w:rsidRPr="00760453" w14:paraId="36C1AADE" w14:textId="77777777" w:rsidTr="00502EF8">
        <w:trPr>
          <w:trHeight w:val="300"/>
        </w:trPr>
        <w:tc>
          <w:tcPr>
            <w:tcW w:w="1069" w:type="dxa"/>
            <w:shd w:val="clear" w:color="000000" w:fill="D9D9D9" w:themeFill="background1" w:themeFillShade="D9"/>
            <w:vAlign w:val="center"/>
            <w:hideMark/>
          </w:tcPr>
          <w:p w14:paraId="74F9FCB2" w14:textId="77777777" w:rsidR="005F0F19" w:rsidRPr="00760453" w:rsidRDefault="005F0F19" w:rsidP="00502EF8">
            <w:pPr>
              <w:rPr>
                <w:b/>
                <w:bCs/>
                <w:color w:val="000000"/>
                <w:sz w:val="22"/>
                <w:szCs w:val="22"/>
              </w:rPr>
            </w:pPr>
            <w:r w:rsidRPr="00760453">
              <w:rPr>
                <w:b/>
                <w:bCs/>
                <w:color w:val="000000"/>
                <w:sz w:val="22"/>
                <w:szCs w:val="22"/>
              </w:rPr>
              <w:t>Year</w:t>
            </w:r>
          </w:p>
        </w:tc>
        <w:tc>
          <w:tcPr>
            <w:tcW w:w="1003" w:type="dxa"/>
            <w:shd w:val="clear" w:color="000000" w:fill="D9D9D9" w:themeFill="background1" w:themeFillShade="D9"/>
            <w:noWrap/>
            <w:vAlign w:val="bottom"/>
            <w:hideMark/>
          </w:tcPr>
          <w:p w14:paraId="35602815" w14:textId="77777777" w:rsidR="005F0F19" w:rsidRPr="00760453" w:rsidRDefault="005F0F19" w:rsidP="00502EF8">
            <w:pPr>
              <w:jc w:val="center"/>
              <w:rPr>
                <w:b/>
                <w:bCs/>
                <w:color w:val="000000"/>
                <w:sz w:val="22"/>
                <w:szCs w:val="22"/>
              </w:rPr>
            </w:pPr>
            <w:r w:rsidRPr="00760453">
              <w:rPr>
                <w:b/>
                <w:bCs/>
                <w:color w:val="000000"/>
                <w:sz w:val="22"/>
                <w:szCs w:val="22"/>
              </w:rPr>
              <w:t>Federal</w:t>
            </w:r>
          </w:p>
        </w:tc>
        <w:tc>
          <w:tcPr>
            <w:tcW w:w="876" w:type="dxa"/>
            <w:shd w:val="clear" w:color="000000" w:fill="D9D9D9" w:themeFill="background1" w:themeFillShade="D9"/>
            <w:noWrap/>
            <w:vAlign w:val="bottom"/>
            <w:hideMark/>
          </w:tcPr>
          <w:p w14:paraId="44EE8B5D" w14:textId="77777777" w:rsidR="005F0F19" w:rsidRPr="00760453" w:rsidRDefault="005F0F19" w:rsidP="00502EF8">
            <w:pPr>
              <w:jc w:val="center"/>
              <w:rPr>
                <w:b/>
                <w:bCs/>
                <w:color w:val="000000"/>
                <w:sz w:val="22"/>
                <w:szCs w:val="22"/>
              </w:rPr>
            </w:pPr>
            <w:r w:rsidRPr="00760453">
              <w:rPr>
                <w:b/>
                <w:bCs/>
                <w:color w:val="000000"/>
                <w:sz w:val="22"/>
                <w:szCs w:val="22"/>
              </w:rPr>
              <w:t>State</w:t>
            </w:r>
          </w:p>
        </w:tc>
        <w:tc>
          <w:tcPr>
            <w:tcW w:w="1416" w:type="dxa"/>
            <w:shd w:val="clear" w:color="000000" w:fill="D9D9D9" w:themeFill="background1" w:themeFillShade="D9"/>
            <w:noWrap/>
            <w:vAlign w:val="bottom"/>
            <w:hideMark/>
          </w:tcPr>
          <w:p w14:paraId="0E65518B" w14:textId="77777777" w:rsidR="005F0F19" w:rsidRPr="00760453" w:rsidRDefault="005F0F19" w:rsidP="00502EF8">
            <w:pPr>
              <w:jc w:val="center"/>
              <w:rPr>
                <w:b/>
                <w:bCs/>
                <w:color w:val="000000"/>
                <w:sz w:val="22"/>
                <w:szCs w:val="22"/>
              </w:rPr>
            </w:pPr>
            <w:r w:rsidRPr="00760453">
              <w:rPr>
                <w:b/>
                <w:bCs/>
                <w:color w:val="000000"/>
                <w:sz w:val="22"/>
                <w:szCs w:val="22"/>
              </w:rPr>
              <w:t>Unreported</w:t>
            </w:r>
          </w:p>
        </w:tc>
        <w:tc>
          <w:tcPr>
            <w:tcW w:w="876" w:type="dxa"/>
            <w:shd w:val="clear" w:color="000000" w:fill="D9D9D9" w:themeFill="background1" w:themeFillShade="D9"/>
            <w:noWrap/>
            <w:vAlign w:val="bottom"/>
            <w:hideMark/>
          </w:tcPr>
          <w:p w14:paraId="5FF60468" w14:textId="77777777" w:rsidR="005F0F19" w:rsidRPr="00760453" w:rsidRDefault="005F0F19" w:rsidP="00502EF8">
            <w:pPr>
              <w:jc w:val="center"/>
              <w:rPr>
                <w:b/>
                <w:bCs/>
                <w:color w:val="000000"/>
                <w:sz w:val="22"/>
                <w:szCs w:val="22"/>
              </w:rPr>
            </w:pPr>
            <w:r w:rsidRPr="00760453">
              <w:rPr>
                <w:b/>
                <w:bCs/>
                <w:color w:val="000000"/>
                <w:sz w:val="22"/>
                <w:szCs w:val="22"/>
              </w:rPr>
              <w:t>Total</w:t>
            </w:r>
          </w:p>
        </w:tc>
        <w:tc>
          <w:tcPr>
            <w:tcW w:w="1255" w:type="dxa"/>
            <w:shd w:val="clear" w:color="000000" w:fill="D9D9D9" w:themeFill="background1" w:themeFillShade="D9"/>
            <w:noWrap/>
            <w:vAlign w:val="bottom"/>
            <w:hideMark/>
          </w:tcPr>
          <w:p w14:paraId="7C13EB7C" w14:textId="77777777" w:rsidR="005F0F19" w:rsidRPr="00760453" w:rsidRDefault="005F0F19" w:rsidP="00502EF8">
            <w:pPr>
              <w:jc w:val="center"/>
              <w:rPr>
                <w:b/>
                <w:bCs/>
                <w:color w:val="000000"/>
                <w:sz w:val="22"/>
                <w:szCs w:val="22"/>
              </w:rPr>
            </w:pPr>
            <w:r w:rsidRPr="00760453">
              <w:rPr>
                <w:b/>
                <w:bCs/>
                <w:color w:val="000000"/>
                <w:sz w:val="22"/>
                <w:szCs w:val="22"/>
              </w:rPr>
              <w:t>% Federal</w:t>
            </w:r>
          </w:p>
        </w:tc>
        <w:tc>
          <w:tcPr>
            <w:tcW w:w="1079" w:type="dxa"/>
            <w:shd w:val="clear" w:color="000000" w:fill="D9D9D9" w:themeFill="background1" w:themeFillShade="D9"/>
            <w:noWrap/>
            <w:vAlign w:val="bottom"/>
            <w:hideMark/>
          </w:tcPr>
          <w:p w14:paraId="233DEEDB" w14:textId="77777777" w:rsidR="005F0F19" w:rsidRPr="00760453" w:rsidRDefault="005F0F19" w:rsidP="00502EF8">
            <w:pPr>
              <w:jc w:val="center"/>
              <w:rPr>
                <w:b/>
                <w:bCs/>
                <w:color w:val="000000"/>
                <w:sz w:val="22"/>
                <w:szCs w:val="22"/>
              </w:rPr>
            </w:pPr>
            <w:r w:rsidRPr="00760453">
              <w:rPr>
                <w:b/>
                <w:bCs/>
                <w:color w:val="000000"/>
                <w:sz w:val="22"/>
                <w:szCs w:val="22"/>
              </w:rPr>
              <w:t>% State</w:t>
            </w:r>
          </w:p>
        </w:tc>
        <w:tc>
          <w:tcPr>
            <w:tcW w:w="1620" w:type="dxa"/>
            <w:shd w:val="clear" w:color="000000" w:fill="D9D9D9" w:themeFill="background1" w:themeFillShade="D9"/>
            <w:noWrap/>
            <w:vAlign w:val="bottom"/>
            <w:hideMark/>
          </w:tcPr>
          <w:p w14:paraId="1A011650" w14:textId="77777777" w:rsidR="005F0F19" w:rsidRPr="00760453" w:rsidRDefault="005F0F19" w:rsidP="00502EF8">
            <w:pPr>
              <w:jc w:val="center"/>
              <w:rPr>
                <w:b/>
                <w:bCs/>
                <w:color w:val="000000"/>
                <w:sz w:val="22"/>
                <w:szCs w:val="22"/>
              </w:rPr>
            </w:pPr>
            <w:r w:rsidRPr="00760453">
              <w:rPr>
                <w:b/>
                <w:bCs/>
                <w:color w:val="000000"/>
                <w:sz w:val="22"/>
                <w:szCs w:val="22"/>
              </w:rPr>
              <w:t>% Unreported</w:t>
            </w:r>
          </w:p>
        </w:tc>
      </w:tr>
      <w:tr w:rsidR="005F0F19" w:rsidRPr="00760453" w14:paraId="6D2516F0" w14:textId="77777777" w:rsidTr="00502EF8">
        <w:trPr>
          <w:trHeight w:val="300"/>
        </w:trPr>
        <w:tc>
          <w:tcPr>
            <w:tcW w:w="1069" w:type="dxa"/>
            <w:shd w:val="clear" w:color="auto" w:fill="auto"/>
            <w:noWrap/>
            <w:vAlign w:val="bottom"/>
            <w:hideMark/>
          </w:tcPr>
          <w:p w14:paraId="3EC4DC24" w14:textId="77777777" w:rsidR="005F0F19" w:rsidRPr="00760453" w:rsidRDefault="005F0F19" w:rsidP="00502EF8">
            <w:pPr>
              <w:rPr>
                <w:color w:val="000000"/>
                <w:sz w:val="22"/>
                <w:szCs w:val="22"/>
              </w:rPr>
            </w:pPr>
            <w:r w:rsidRPr="00760453">
              <w:rPr>
                <w:color w:val="000000"/>
                <w:sz w:val="22"/>
                <w:szCs w:val="22"/>
              </w:rPr>
              <w:t>2010</w:t>
            </w:r>
          </w:p>
        </w:tc>
        <w:tc>
          <w:tcPr>
            <w:tcW w:w="1003" w:type="dxa"/>
            <w:shd w:val="clear" w:color="auto" w:fill="auto"/>
            <w:noWrap/>
            <w:vAlign w:val="bottom"/>
            <w:hideMark/>
          </w:tcPr>
          <w:p w14:paraId="213E3496" w14:textId="77777777" w:rsidR="005F0F19" w:rsidRPr="00760453" w:rsidRDefault="005F0F19" w:rsidP="00502EF8">
            <w:pPr>
              <w:jc w:val="center"/>
              <w:rPr>
                <w:color w:val="000000"/>
                <w:sz w:val="22"/>
                <w:szCs w:val="22"/>
              </w:rPr>
            </w:pPr>
            <w:r w:rsidRPr="00760453">
              <w:rPr>
                <w:color w:val="000000"/>
                <w:sz w:val="22"/>
                <w:szCs w:val="22"/>
              </w:rPr>
              <w:t>46,296</w:t>
            </w:r>
          </w:p>
        </w:tc>
        <w:tc>
          <w:tcPr>
            <w:tcW w:w="876" w:type="dxa"/>
            <w:shd w:val="clear" w:color="auto" w:fill="auto"/>
            <w:noWrap/>
            <w:vAlign w:val="bottom"/>
            <w:hideMark/>
          </w:tcPr>
          <w:p w14:paraId="6A741A5C" w14:textId="77777777" w:rsidR="005F0F19" w:rsidRPr="00760453" w:rsidRDefault="005F0F19" w:rsidP="00502EF8">
            <w:pPr>
              <w:jc w:val="center"/>
              <w:rPr>
                <w:color w:val="000000"/>
                <w:sz w:val="22"/>
                <w:szCs w:val="22"/>
              </w:rPr>
            </w:pPr>
            <w:r w:rsidRPr="00760453">
              <w:rPr>
                <w:color w:val="000000"/>
                <w:sz w:val="22"/>
                <w:szCs w:val="22"/>
              </w:rPr>
              <w:t>10,321</w:t>
            </w:r>
          </w:p>
        </w:tc>
        <w:tc>
          <w:tcPr>
            <w:tcW w:w="1416" w:type="dxa"/>
            <w:shd w:val="clear" w:color="auto" w:fill="auto"/>
            <w:noWrap/>
            <w:vAlign w:val="bottom"/>
            <w:hideMark/>
          </w:tcPr>
          <w:p w14:paraId="03241A49" w14:textId="77777777" w:rsidR="005F0F19" w:rsidRPr="00760453" w:rsidRDefault="005F0F19" w:rsidP="00502EF8">
            <w:pPr>
              <w:jc w:val="center"/>
              <w:rPr>
                <w:color w:val="000000"/>
                <w:sz w:val="22"/>
                <w:szCs w:val="22"/>
              </w:rPr>
            </w:pPr>
            <w:r w:rsidRPr="00760453">
              <w:rPr>
                <w:color w:val="000000"/>
                <w:sz w:val="22"/>
                <w:szCs w:val="22"/>
              </w:rPr>
              <w:t>18,120</w:t>
            </w:r>
          </w:p>
        </w:tc>
        <w:tc>
          <w:tcPr>
            <w:tcW w:w="876" w:type="dxa"/>
            <w:shd w:val="clear" w:color="auto" w:fill="auto"/>
            <w:noWrap/>
            <w:vAlign w:val="bottom"/>
            <w:hideMark/>
          </w:tcPr>
          <w:p w14:paraId="1B111459" w14:textId="77777777" w:rsidR="005F0F19" w:rsidRPr="00760453" w:rsidRDefault="005F0F19" w:rsidP="00502EF8">
            <w:pPr>
              <w:jc w:val="center"/>
              <w:rPr>
                <w:color w:val="000000"/>
                <w:sz w:val="22"/>
                <w:szCs w:val="22"/>
              </w:rPr>
            </w:pPr>
            <w:r w:rsidRPr="00760453">
              <w:rPr>
                <w:color w:val="000000"/>
                <w:sz w:val="22"/>
                <w:szCs w:val="22"/>
              </w:rPr>
              <w:t>74,737</w:t>
            </w:r>
          </w:p>
        </w:tc>
        <w:tc>
          <w:tcPr>
            <w:tcW w:w="1255" w:type="dxa"/>
            <w:shd w:val="clear" w:color="auto" w:fill="auto"/>
            <w:noWrap/>
            <w:vAlign w:val="bottom"/>
            <w:hideMark/>
          </w:tcPr>
          <w:p w14:paraId="79466C27" w14:textId="77777777" w:rsidR="005F0F19" w:rsidRPr="00760453" w:rsidRDefault="005F0F19" w:rsidP="00502EF8">
            <w:pPr>
              <w:jc w:val="center"/>
              <w:rPr>
                <w:color w:val="000000"/>
                <w:sz w:val="22"/>
                <w:szCs w:val="22"/>
              </w:rPr>
            </w:pPr>
            <w:r w:rsidRPr="00760453">
              <w:rPr>
                <w:color w:val="000000"/>
                <w:sz w:val="22"/>
                <w:szCs w:val="22"/>
              </w:rPr>
              <w:t>61.95%</w:t>
            </w:r>
          </w:p>
        </w:tc>
        <w:tc>
          <w:tcPr>
            <w:tcW w:w="1079" w:type="dxa"/>
            <w:shd w:val="clear" w:color="auto" w:fill="auto"/>
            <w:noWrap/>
            <w:vAlign w:val="bottom"/>
            <w:hideMark/>
          </w:tcPr>
          <w:p w14:paraId="1DB01280" w14:textId="77777777" w:rsidR="005F0F19" w:rsidRPr="00760453" w:rsidRDefault="005F0F19" w:rsidP="00502EF8">
            <w:pPr>
              <w:jc w:val="center"/>
              <w:rPr>
                <w:color w:val="000000"/>
                <w:sz w:val="22"/>
                <w:szCs w:val="22"/>
              </w:rPr>
            </w:pPr>
            <w:r w:rsidRPr="00760453">
              <w:rPr>
                <w:color w:val="000000"/>
                <w:sz w:val="22"/>
                <w:szCs w:val="22"/>
              </w:rPr>
              <w:t>13.81%</w:t>
            </w:r>
          </w:p>
        </w:tc>
        <w:tc>
          <w:tcPr>
            <w:tcW w:w="1620" w:type="dxa"/>
            <w:shd w:val="clear" w:color="auto" w:fill="auto"/>
            <w:noWrap/>
            <w:vAlign w:val="bottom"/>
            <w:hideMark/>
          </w:tcPr>
          <w:p w14:paraId="06C27592" w14:textId="77777777" w:rsidR="005F0F19" w:rsidRPr="00760453" w:rsidRDefault="005F0F19" w:rsidP="00502EF8">
            <w:pPr>
              <w:jc w:val="center"/>
              <w:rPr>
                <w:color w:val="000000"/>
                <w:sz w:val="22"/>
                <w:szCs w:val="22"/>
              </w:rPr>
            </w:pPr>
            <w:r w:rsidRPr="00760453">
              <w:rPr>
                <w:color w:val="000000"/>
                <w:sz w:val="22"/>
                <w:szCs w:val="22"/>
              </w:rPr>
              <w:t>24.25%</w:t>
            </w:r>
          </w:p>
        </w:tc>
      </w:tr>
      <w:tr w:rsidR="005F0F19" w:rsidRPr="00760453" w14:paraId="660C1016" w14:textId="77777777" w:rsidTr="00502EF8">
        <w:trPr>
          <w:trHeight w:val="300"/>
        </w:trPr>
        <w:tc>
          <w:tcPr>
            <w:tcW w:w="1069" w:type="dxa"/>
            <w:shd w:val="clear" w:color="auto" w:fill="auto"/>
            <w:noWrap/>
            <w:vAlign w:val="bottom"/>
            <w:hideMark/>
          </w:tcPr>
          <w:p w14:paraId="42EDD82B" w14:textId="77777777" w:rsidR="005F0F19" w:rsidRPr="00760453" w:rsidRDefault="005F0F19" w:rsidP="00502EF8">
            <w:pPr>
              <w:rPr>
                <w:color w:val="000000"/>
                <w:sz w:val="22"/>
                <w:szCs w:val="22"/>
              </w:rPr>
            </w:pPr>
            <w:r w:rsidRPr="00760453">
              <w:rPr>
                <w:color w:val="000000"/>
                <w:sz w:val="22"/>
                <w:szCs w:val="22"/>
              </w:rPr>
              <w:t>2011</w:t>
            </w:r>
          </w:p>
        </w:tc>
        <w:tc>
          <w:tcPr>
            <w:tcW w:w="1003" w:type="dxa"/>
            <w:shd w:val="clear" w:color="auto" w:fill="auto"/>
            <w:noWrap/>
            <w:vAlign w:val="bottom"/>
            <w:hideMark/>
          </w:tcPr>
          <w:p w14:paraId="398AC183" w14:textId="77777777" w:rsidR="005F0F19" w:rsidRPr="00760453" w:rsidRDefault="005F0F19" w:rsidP="00502EF8">
            <w:pPr>
              <w:jc w:val="center"/>
              <w:rPr>
                <w:color w:val="000000"/>
                <w:sz w:val="22"/>
                <w:szCs w:val="22"/>
              </w:rPr>
            </w:pPr>
            <w:r w:rsidRPr="00760453">
              <w:rPr>
                <w:color w:val="000000"/>
                <w:sz w:val="22"/>
                <w:szCs w:val="22"/>
              </w:rPr>
              <w:t>47,023</w:t>
            </w:r>
          </w:p>
        </w:tc>
        <w:tc>
          <w:tcPr>
            <w:tcW w:w="876" w:type="dxa"/>
            <w:shd w:val="clear" w:color="auto" w:fill="auto"/>
            <w:noWrap/>
            <w:vAlign w:val="bottom"/>
            <w:hideMark/>
          </w:tcPr>
          <w:p w14:paraId="1B2E9AE7" w14:textId="77777777" w:rsidR="005F0F19" w:rsidRPr="00760453" w:rsidRDefault="005F0F19" w:rsidP="00502EF8">
            <w:pPr>
              <w:jc w:val="center"/>
              <w:rPr>
                <w:color w:val="000000"/>
                <w:sz w:val="22"/>
                <w:szCs w:val="22"/>
              </w:rPr>
            </w:pPr>
            <w:r w:rsidRPr="00760453">
              <w:rPr>
                <w:color w:val="000000"/>
                <w:sz w:val="22"/>
                <w:szCs w:val="22"/>
              </w:rPr>
              <w:t>3,960</w:t>
            </w:r>
          </w:p>
        </w:tc>
        <w:tc>
          <w:tcPr>
            <w:tcW w:w="1416" w:type="dxa"/>
            <w:shd w:val="clear" w:color="auto" w:fill="auto"/>
            <w:noWrap/>
            <w:vAlign w:val="bottom"/>
            <w:hideMark/>
          </w:tcPr>
          <w:p w14:paraId="65F9615D" w14:textId="77777777" w:rsidR="005F0F19" w:rsidRPr="00760453" w:rsidRDefault="005F0F19" w:rsidP="00502EF8">
            <w:pPr>
              <w:jc w:val="center"/>
              <w:rPr>
                <w:color w:val="000000"/>
                <w:sz w:val="22"/>
                <w:szCs w:val="22"/>
              </w:rPr>
            </w:pPr>
            <w:r w:rsidRPr="00760453">
              <w:rPr>
                <w:color w:val="000000"/>
                <w:sz w:val="22"/>
                <w:szCs w:val="22"/>
              </w:rPr>
              <w:t>15,175</w:t>
            </w:r>
          </w:p>
        </w:tc>
        <w:tc>
          <w:tcPr>
            <w:tcW w:w="876" w:type="dxa"/>
            <w:shd w:val="clear" w:color="auto" w:fill="auto"/>
            <w:noWrap/>
            <w:vAlign w:val="bottom"/>
            <w:hideMark/>
          </w:tcPr>
          <w:p w14:paraId="2B1917A2" w14:textId="77777777" w:rsidR="005F0F19" w:rsidRPr="00760453" w:rsidRDefault="005F0F19" w:rsidP="00502EF8">
            <w:pPr>
              <w:jc w:val="center"/>
              <w:rPr>
                <w:color w:val="000000"/>
                <w:sz w:val="22"/>
                <w:szCs w:val="22"/>
              </w:rPr>
            </w:pPr>
            <w:r w:rsidRPr="00760453">
              <w:rPr>
                <w:color w:val="000000"/>
                <w:sz w:val="22"/>
                <w:szCs w:val="22"/>
              </w:rPr>
              <w:t>66,158</w:t>
            </w:r>
          </w:p>
        </w:tc>
        <w:tc>
          <w:tcPr>
            <w:tcW w:w="1255" w:type="dxa"/>
            <w:shd w:val="clear" w:color="auto" w:fill="auto"/>
            <w:noWrap/>
            <w:vAlign w:val="bottom"/>
            <w:hideMark/>
          </w:tcPr>
          <w:p w14:paraId="7CAC7C70" w14:textId="77777777" w:rsidR="005F0F19" w:rsidRPr="00760453" w:rsidRDefault="005F0F19" w:rsidP="00502EF8">
            <w:pPr>
              <w:jc w:val="center"/>
              <w:rPr>
                <w:color w:val="000000"/>
                <w:sz w:val="22"/>
                <w:szCs w:val="22"/>
              </w:rPr>
            </w:pPr>
            <w:r w:rsidRPr="00760453">
              <w:rPr>
                <w:color w:val="000000"/>
                <w:sz w:val="22"/>
                <w:szCs w:val="22"/>
              </w:rPr>
              <w:t>71.08%</w:t>
            </w:r>
          </w:p>
        </w:tc>
        <w:tc>
          <w:tcPr>
            <w:tcW w:w="1079" w:type="dxa"/>
            <w:shd w:val="clear" w:color="auto" w:fill="auto"/>
            <w:noWrap/>
            <w:vAlign w:val="bottom"/>
            <w:hideMark/>
          </w:tcPr>
          <w:p w14:paraId="002EC5AF" w14:textId="77777777" w:rsidR="005F0F19" w:rsidRPr="00760453" w:rsidRDefault="005F0F19" w:rsidP="00502EF8">
            <w:pPr>
              <w:jc w:val="center"/>
              <w:rPr>
                <w:color w:val="000000"/>
                <w:sz w:val="22"/>
                <w:szCs w:val="22"/>
              </w:rPr>
            </w:pPr>
            <w:r w:rsidRPr="00760453">
              <w:rPr>
                <w:color w:val="000000"/>
                <w:sz w:val="22"/>
                <w:szCs w:val="22"/>
              </w:rPr>
              <w:t>5.99%</w:t>
            </w:r>
          </w:p>
        </w:tc>
        <w:tc>
          <w:tcPr>
            <w:tcW w:w="1620" w:type="dxa"/>
            <w:shd w:val="clear" w:color="auto" w:fill="auto"/>
            <w:noWrap/>
            <w:vAlign w:val="bottom"/>
            <w:hideMark/>
          </w:tcPr>
          <w:p w14:paraId="1D627AC1" w14:textId="77777777" w:rsidR="005F0F19" w:rsidRPr="00760453" w:rsidRDefault="005F0F19" w:rsidP="00502EF8">
            <w:pPr>
              <w:jc w:val="center"/>
              <w:rPr>
                <w:color w:val="000000"/>
                <w:sz w:val="22"/>
                <w:szCs w:val="22"/>
              </w:rPr>
            </w:pPr>
            <w:r w:rsidRPr="00760453">
              <w:rPr>
                <w:color w:val="000000"/>
                <w:sz w:val="22"/>
                <w:szCs w:val="22"/>
              </w:rPr>
              <w:t>22.94%</w:t>
            </w:r>
          </w:p>
        </w:tc>
      </w:tr>
      <w:tr w:rsidR="005F0F19" w:rsidRPr="00760453" w14:paraId="13406216" w14:textId="77777777" w:rsidTr="00502EF8">
        <w:trPr>
          <w:trHeight w:val="300"/>
        </w:trPr>
        <w:tc>
          <w:tcPr>
            <w:tcW w:w="1069" w:type="dxa"/>
            <w:shd w:val="clear" w:color="auto" w:fill="auto"/>
            <w:noWrap/>
            <w:vAlign w:val="bottom"/>
            <w:hideMark/>
          </w:tcPr>
          <w:p w14:paraId="77D1F946" w14:textId="77777777" w:rsidR="005F0F19" w:rsidRPr="00760453" w:rsidRDefault="005F0F19" w:rsidP="00502EF8">
            <w:pPr>
              <w:rPr>
                <w:color w:val="000000"/>
                <w:sz w:val="22"/>
                <w:szCs w:val="22"/>
              </w:rPr>
            </w:pPr>
            <w:r w:rsidRPr="00760453">
              <w:rPr>
                <w:color w:val="000000"/>
                <w:sz w:val="22"/>
                <w:szCs w:val="22"/>
              </w:rPr>
              <w:t>2012</w:t>
            </w:r>
          </w:p>
        </w:tc>
        <w:tc>
          <w:tcPr>
            <w:tcW w:w="1003" w:type="dxa"/>
            <w:shd w:val="clear" w:color="auto" w:fill="auto"/>
            <w:noWrap/>
            <w:vAlign w:val="bottom"/>
            <w:hideMark/>
          </w:tcPr>
          <w:p w14:paraId="4D54F81A" w14:textId="77777777" w:rsidR="005F0F19" w:rsidRPr="00760453" w:rsidRDefault="005F0F19" w:rsidP="00502EF8">
            <w:pPr>
              <w:jc w:val="center"/>
              <w:rPr>
                <w:color w:val="000000"/>
                <w:sz w:val="22"/>
                <w:szCs w:val="22"/>
              </w:rPr>
            </w:pPr>
            <w:r w:rsidRPr="00760453">
              <w:rPr>
                <w:color w:val="000000"/>
                <w:sz w:val="22"/>
                <w:szCs w:val="22"/>
              </w:rPr>
              <w:t>57,704</w:t>
            </w:r>
          </w:p>
        </w:tc>
        <w:tc>
          <w:tcPr>
            <w:tcW w:w="876" w:type="dxa"/>
            <w:shd w:val="clear" w:color="auto" w:fill="auto"/>
            <w:noWrap/>
            <w:vAlign w:val="bottom"/>
            <w:hideMark/>
          </w:tcPr>
          <w:p w14:paraId="4FBED915" w14:textId="77777777" w:rsidR="005F0F19" w:rsidRPr="00760453" w:rsidRDefault="005F0F19" w:rsidP="00502EF8">
            <w:pPr>
              <w:jc w:val="center"/>
              <w:rPr>
                <w:color w:val="000000"/>
                <w:sz w:val="22"/>
                <w:szCs w:val="22"/>
              </w:rPr>
            </w:pPr>
            <w:r w:rsidRPr="00760453">
              <w:rPr>
                <w:color w:val="000000"/>
                <w:sz w:val="22"/>
                <w:szCs w:val="22"/>
              </w:rPr>
              <w:t>6,169</w:t>
            </w:r>
          </w:p>
        </w:tc>
        <w:tc>
          <w:tcPr>
            <w:tcW w:w="1416" w:type="dxa"/>
            <w:shd w:val="clear" w:color="auto" w:fill="auto"/>
            <w:noWrap/>
            <w:vAlign w:val="bottom"/>
            <w:hideMark/>
          </w:tcPr>
          <w:p w14:paraId="679ADA16" w14:textId="77777777" w:rsidR="005F0F19" w:rsidRPr="00760453" w:rsidRDefault="005F0F19" w:rsidP="00502EF8">
            <w:pPr>
              <w:jc w:val="center"/>
              <w:rPr>
                <w:color w:val="000000"/>
                <w:sz w:val="22"/>
                <w:szCs w:val="22"/>
              </w:rPr>
            </w:pPr>
            <w:r w:rsidRPr="00760453">
              <w:rPr>
                <w:color w:val="000000"/>
                <w:sz w:val="22"/>
                <w:szCs w:val="22"/>
              </w:rPr>
              <w:t>13,249</w:t>
            </w:r>
          </w:p>
        </w:tc>
        <w:tc>
          <w:tcPr>
            <w:tcW w:w="876" w:type="dxa"/>
            <w:shd w:val="clear" w:color="auto" w:fill="auto"/>
            <w:noWrap/>
            <w:vAlign w:val="bottom"/>
            <w:hideMark/>
          </w:tcPr>
          <w:p w14:paraId="3AAD6791" w14:textId="77777777" w:rsidR="005F0F19" w:rsidRPr="00760453" w:rsidRDefault="005F0F19" w:rsidP="00502EF8">
            <w:pPr>
              <w:jc w:val="center"/>
              <w:rPr>
                <w:color w:val="000000"/>
                <w:sz w:val="22"/>
                <w:szCs w:val="22"/>
              </w:rPr>
            </w:pPr>
            <w:r w:rsidRPr="00760453">
              <w:rPr>
                <w:color w:val="000000"/>
                <w:sz w:val="22"/>
                <w:szCs w:val="22"/>
              </w:rPr>
              <w:t>77,122</w:t>
            </w:r>
          </w:p>
        </w:tc>
        <w:tc>
          <w:tcPr>
            <w:tcW w:w="1255" w:type="dxa"/>
            <w:shd w:val="clear" w:color="auto" w:fill="auto"/>
            <w:noWrap/>
            <w:vAlign w:val="bottom"/>
            <w:hideMark/>
          </w:tcPr>
          <w:p w14:paraId="296AFCE5" w14:textId="77777777" w:rsidR="005F0F19" w:rsidRPr="00760453" w:rsidRDefault="005F0F19" w:rsidP="00502EF8">
            <w:pPr>
              <w:jc w:val="center"/>
              <w:rPr>
                <w:color w:val="000000"/>
                <w:sz w:val="22"/>
                <w:szCs w:val="22"/>
              </w:rPr>
            </w:pPr>
            <w:r w:rsidRPr="00760453">
              <w:rPr>
                <w:color w:val="000000"/>
                <w:sz w:val="22"/>
                <w:szCs w:val="22"/>
              </w:rPr>
              <w:t>74.82%</w:t>
            </w:r>
          </w:p>
        </w:tc>
        <w:tc>
          <w:tcPr>
            <w:tcW w:w="1079" w:type="dxa"/>
            <w:shd w:val="clear" w:color="auto" w:fill="auto"/>
            <w:noWrap/>
            <w:vAlign w:val="bottom"/>
            <w:hideMark/>
          </w:tcPr>
          <w:p w14:paraId="0874A128" w14:textId="77777777" w:rsidR="005F0F19" w:rsidRPr="00760453" w:rsidRDefault="005F0F19" w:rsidP="00502EF8">
            <w:pPr>
              <w:jc w:val="center"/>
              <w:rPr>
                <w:color w:val="000000"/>
                <w:sz w:val="22"/>
                <w:szCs w:val="22"/>
              </w:rPr>
            </w:pPr>
            <w:r w:rsidRPr="00760453">
              <w:rPr>
                <w:color w:val="000000"/>
                <w:sz w:val="22"/>
                <w:szCs w:val="22"/>
              </w:rPr>
              <w:t>8.00%</w:t>
            </w:r>
          </w:p>
        </w:tc>
        <w:tc>
          <w:tcPr>
            <w:tcW w:w="1620" w:type="dxa"/>
            <w:shd w:val="clear" w:color="auto" w:fill="auto"/>
            <w:noWrap/>
            <w:vAlign w:val="bottom"/>
            <w:hideMark/>
          </w:tcPr>
          <w:p w14:paraId="7D572556" w14:textId="77777777" w:rsidR="005F0F19" w:rsidRPr="00760453" w:rsidRDefault="005F0F19" w:rsidP="00502EF8">
            <w:pPr>
              <w:jc w:val="center"/>
              <w:rPr>
                <w:color w:val="000000"/>
                <w:sz w:val="22"/>
                <w:szCs w:val="22"/>
              </w:rPr>
            </w:pPr>
            <w:r w:rsidRPr="00760453">
              <w:rPr>
                <w:color w:val="000000"/>
                <w:sz w:val="22"/>
                <w:szCs w:val="22"/>
              </w:rPr>
              <w:t>17.18%</w:t>
            </w:r>
          </w:p>
        </w:tc>
      </w:tr>
      <w:tr w:rsidR="005F0F19" w:rsidRPr="00760453" w14:paraId="35B184AA" w14:textId="77777777" w:rsidTr="00502EF8">
        <w:trPr>
          <w:trHeight w:val="300"/>
        </w:trPr>
        <w:tc>
          <w:tcPr>
            <w:tcW w:w="1069" w:type="dxa"/>
            <w:shd w:val="clear" w:color="auto" w:fill="auto"/>
            <w:noWrap/>
            <w:vAlign w:val="bottom"/>
            <w:hideMark/>
          </w:tcPr>
          <w:p w14:paraId="27FF93A0" w14:textId="77777777" w:rsidR="005F0F19" w:rsidRPr="00760453" w:rsidRDefault="005F0F19" w:rsidP="00502EF8">
            <w:pPr>
              <w:rPr>
                <w:color w:val="000000"/>
                <w:sz w:val="22"/>
                <w:szCs w:val="22"/>
              </w:rPr>
            </w:pPr>
            <w:r w:rsidRPr="00760453">
              <w:rPr>
                <w:color w:val="000000"/>
                <w:sz w:val="22"/>
                <w:szCs w:val="22"/>
              </w:rPr>
              <w:t>2013</w:t>
            </w:r>
          </w:p>
        </w:tc>
        <w:tc>
          <w:tcPr>
            <w:tcW w:w="1003" w:type="dxa"/>
            <w:shd w:val="clear" w:color="auto" w:fill="auto"/>
            <w:noWrap/>
            <w:vAlign w:val="bottom"/>
            <w:hideMark/>
          </w:tcPr>
          <w:p w14:paraId="12CF2C5B" w14:textId="77777777" w:rsidR="005F0F19" w:rsidRPr="00760453" w:rsidRDefault="005F0F19" w:rsidP="00502EF8">
            <w:pPr>
              <w:jc w:val="center"/>
              <w:rPr>
                <w:color w:val="000000"/>
                <w:sz w:val="22"/>
                <w:szCs w:val="22"/>
              </w:rPr>
            </w:pPr>
            <w:r w:rsidRPr="00760453">
              <w:rPr>
                <w:color w:val="000000"/>
                <w:sz w:val="22"/>
                <w:szCs w:val="22"/>
              </w:rPr>
              <w:t>57,080</w:t>
            </w:r>
          </w:p>
        </w:tc>
        <w:tc>
          <w:tcPr>
            <w:tcW w:w="876" w:type="dxa"/>
            <w:shd w:val="clear" w:color="auto" w:fill="auto"/>
            <w:noWrap/>
            <w:vAlign w:val="bottom"/>
            <w:hideMark/>
          </w:tcPr>
          <w:p w14:paraId="30E5609F" w14:textId="77777777" w:rsidR="005F0F19" w:rsidRPr="00760453" w:rsidRDefault="005F0F19" w:rsidP="00502EF8">
            <w:pPr>
              <w:jc w:val="center"/>
              <w:rPr>
                <w:color w:val="000000"/>
                <w:sz w:val="22"/>
                <w:szCs w:val="22"/>
              </w:rPr>
            </w:pPr>
            <w:r w:rsidRPr="00760453">
              <w:rPr>
                <w:color w:val="000000"/>
                <w:sz w:val="22"/>
                <w:szCs w:val="22"/>
              </w:rPr>
              <w:t>3,965</w:t>
            </w:r>
          </w:p>
        </w:tc>
        <w:tc>
          <w:tcPr>
            <w:tcW w:w="1416" w:type="dxa"/>
            <w:shd w:val="clear" w:color="auto" w:fill="auto"/>
            <w:noWrap/>
            <w:vAlign w:val="bottom"/>
            <w:hideMark/>
          </w:tcPr>
          <w:p w14:paraId="6AB88B20" w14:textId="77777777" w:rsidR="005F0F19" w:rsidRPr="00760453" w:rsidRDefault="005F0F19" w:rsidP="00502EF8">
            <w:pPr>
              <w:jc w:val="center"/>
              <w:rPr>
                <w:color w:val="000000"/>
                <w:sz w:val="22"/>
                <w:szCs w:val="22"/>
              </w:rPr>
            </w:pPr>
            <w:r w:rsidRPr="00760453">
              <w:rPr>
                <w:color w:val="000000"/>
                <w:sz w:val="22"/>
                <w:szCs w:val="22"/>
              </w:rPr>
              <w:t>13,184</w:t>
            </w:r>
          </w:p>
        </w:tc>
        <w:tc>
          <w:tcPr>
            <w:tcW w:w="876" w:type="dxa"/>
            <w:shd w:val="clear" w:color="auto" w:fill="auto"/>
            <w:noWrap/>
            <w:vAlign w:val="bottom"/>
            <w:hideMark/>
          </w:tcPr>
          <w:p w14:paraId="44BE42E3" w14:textId="77777777" w:rsidR="005F0F19" w:rsidRPr="00760453" w:rsidRDefault="005F0F19" w:rsidP="00502EF8">
            <w:pPr>
              <w:jc w:val="center"/>
              <w:rPr>
                <w:color w:val="000000"/>
                <w:sz w:val="22"/>
                <w:szCs w:val="22"/>
              </w:rPr>
            </w:pPr>
            <w:r w:rsidRPr="00760453">
              <w:rPr>
                <w:color w:val="000000"/>
                <w:sz w:val="22"/>
                <w:szCs w:val="22"/>
              </w:rPr>
              <w:t>74,229</w:t>
            </w:r>
          </w:p>
        </w:tc>
        <w:tc>
          <w:tcPr>
            <w:tcW w:w="1255" w:type="dxa"/>
            <w:shd w:val="clear" w:color="auto" w:fill="auto"/>
            <w:noWrap/>
            <w:vAlign w:val="bottom"/>
            <w:hideMark/>
          </w:tcPr>
          <w:p w14:paraId="5218C665" w14:textId="77777777" w:rsidR="005F0F19" w:rsidRPr="00760453" w:rsidRDefault="005F0F19" w:rsidP="00502EF8">
            <w:pPr>
              <w:jc w:val="center"/>
              <w:rPr>
                <w:color w:val="000000"/>
                <w:sz w:val="22"/>
                <w:szCs w:val="22"/>
              </w:rPr>
            </w:pPr>
            <w:r w:rsidRPr="00760453">
              <w:rPr>
                <w:color w:val="000000"/>
                <w:sz w:val="22"/>
                <w:szCs w:val="22"/>
              </w:rPr>
              <w:t>76.90%</w:t>
            </w:r>
          </w:p>
        </w:tc>
        <w:tc>
          <w:tcPr>
            <w:tcW w:w="1079" w:type="dxa"/>
            <w:shd w:val="clear" w:color="auto" w:fill="auto"/>
            <w:noWrap/>
            <w:vAlign w:val="bottom"/>
            <w:hideMark/>
          </w:tcPr>
          <w:p w14:paraId="1B7FF8EB" w14:textId="77777777" w:rsidR="005F0F19" w:rsidRPr="00760453" w:rsidRDefault="005F0F19" w:rsidP="00502EF8">
            <w:pPr>
              <w:jc w:val="center"/>
              <w:rPr>
                <w:color w:val="000000"/>
                <w:sz w:val="22"/>
                <w:szCs w:val="22"/>
              </w:rPr>
            </w:pPr>
            <w:r w:rsidRPr="00760453">
              <w:rPr>
                <w:color w:val="000000"/>
                <w:sz w:val="22"/>
                <w:szCs w:val="22"/>
              </w:rPr>
              <w:t>5.34%</w:t>
            </w:r>
          </w:p>
        </w:tc>
        <w:tc>
          <w:tcPr>
            <w:tcW w:w="1620" w:type="dxa"/>
            <w:shd w:val="clear" w:color="auto" w:fill="auto"/>
            <w:noWrap/>
            <w:vAlign w:val="bottom"/>
            <w:hideMark/>
          </w:tcPr>
          <w:p w14:paraId="177D1C40" w14:textId="77777777" w:rsidR="005F0F19" w:rsidRPr="00760453" w:rsidRDefault="005F0F19" w:rsidP="00502EF8">
            <w:pPr>
              <w:jc w:val="center"/>
              <w:rPr>
                <w:color w:val="000000"/>
                <w:sz w:val="22"/>
                <w:szCs w:val="22"/>
              </w:rPr>
            </w:pPr>
            <w:r w:rsidRPr="00760453">
              <w:rPr>
                <w:color w:val="000000"/>
                <w:sz w:val="22"/>
                <w:szCs w:val="22"/>
              </w:rPr>
              <w:t>17.76%</w:t>
            </w:r>
          </w:p>
        </w:tc>
      </w:tr>
      <w:tr w:rsidR="005F0F19" w:rsidRPr="00760453" w14:paraId="55C814E1" w14:textId="77777777" w:rsidTr="00502EF8">
        <w:trPr>
          <w:trHeight w:val="300"/>
        </w:trPr>
        <w:tc>
          <w:tcPr>
            <w:tcW w:w="1069" w:type="dxa"/>
            <w:shd w:val="clear" w:color="auto" w:fill="auto"/>
            <w:noWrap/>
            <w:vAlign w:val="bottom"/>
            <w:hideMark/>
          </w:tcPr>
          <w:p w14:paraId="763B372F" w14:textId="77777777" w:rsidR="005F0F19" w:rsidRPr="00760453" w:rsidRDefault="005F0F19" w:rsidP="00502EF8">
            <w:pPr>
              <w:rPr>
                <w:color w:val="000000"/>
                <w:sz w:val="22"/>
                <w:szCs w:val="22"/>
              </w:rPr>
            </w:pPr>
            <w:r w:rsidRPr="00760453">
              <w:rPr>
                <w:color w:val="000000"/>
                <w:sz w:val="22"/>
                <w:szCs w:val="22"/>
              </w:rPr>
              <w:t>2014</w:t>
            </w:r>
          </w:p>
        </w:tc>
        <w:tc>
          <w:tcPr>
            <w:tcW w:w="1003" w:type="dxa"/>
            <w:shd w:val="clear" w:color="auto" w:fill="auto"/>
            <w:noWrap/>
            <w:vAlign w:val="bottom"/>
            <w:hideMark/>
          </w:tcPr>
          <w:p w14:paraId="58C10693" w14:textId="77777777" w:rsidR="005F0F19" w:rsidRPr="00760453" w:rsidRDefault="005F0F19" w:rsidP="00502EF8">
            <w:pPr>
              <w:jc w:val="center"/>
              <w:rPr>
                <w:color w:val="000000"/>
                <w:sz w:val="22"/>
                <w:szCs w:val="22"/>
              </w:rPr>
            </w:pPr>
            <w:r w:rsidRPr="00760453">
              <w:rPr>
                <w:color w:val="000000"/>
                <w:sz w:val="22"/>
                <w:szCs w:val="22"/>
              </w:rPr>
              <w:t>34,868</w:t>
            </w:r>
          </w:p>
        </w:tc>
        <w:tc>
          <w:tcPr>
            <w:tcW w:w="876" w:type="dxa"/>
            <w:shd w:val="clear" w:color="auto" w:fill="auto"/>
            <w:noWrap/>
            <w:vAlign w:val="bottom"/>
            <w:hideMark/>
          </w:tcPr>
          <w:p w14:paraId="00262307" w14:textId="77777777" w:rsidR="005F0F19" w:rsidRPr="00760453" w:rsidRDefault="005F0F19" w:rsidP="00502EF8">
            <w:pPr>
              <w:jc w:val="center"/>
              <w:rPr>
                <w:color w:val="000000"/>
                <w:sz w:val="22"/>
                <w:szCs w:val="22"/>
              </w:rPr>
            </w:pPr>
            <w:r w:rsidRPr="00760453">
              <w:rPr>
                <w:color w:val="000000"/>
                <w:sz w:val="22"/>
                <w:szCs w:val="22"/>
              </w:rPr>
              <w:t>8,580</w:t>
            </w:r>
          </w:p>
        </w:tc>
        <w:tc>
          <w:tcPr>
            <w:tcW w:w="1416" w:type="dxa"/>
            <w:shd w:val="clear" w:color="auto" w:fill="auto"/>
            <w:noWrap/>
            <w:vAlign w:val="bottom"/>
            <w:hideMark/>
          </w:tcPr>
          <w:p w14:paraId="521A6D0D" w14:textId="77777777" w:rsidR="005F0F19" w:rsidRPr="00760453" w:rsidRDefault="005F0F19" w:rsidP="00502EF8">
            <w:pPr>
              <w:jc w:val="center"/>
              <w:rPr>
                <w:color w:val="000000"/>
                <w:sz w:val="22"/>
                <w:szCs w:val="22"/>
              </w:rPr>
            </w:pPr>
            <w:r w:rsidRPr="00760453">
              <w:rPr>
                <w:color w:val="000000"/>
                <w:sz w:val="22"/>
                <w:szCs w:val="22"/>
              </w:rPr>
              <w:t>47,725</w:t>
            </w:r>
          </w:p>
        </w:tc>
        <w:tc>
          <w:tcPr>
            <w:tcW w:w="876" w:type="dxa"/>
            <w:shd w:val="clear" w:color="auto" w:fill="auto"/>
            <w:noWrap/>
            <w:vAlign w:val="bottom"/>
            <w:hideMark/>
          </w:tcPr>
          <w:p w14:paraId="5AD67DB0" w14:textId="77777777" w:rsidR="005F0F19" w:rsidRPr="00760453" w:rsidRDefault="005F0F19" w:rsidP="00502EF8">
            <w:pPr>
              <w:jc w:val="center"/>
              <w:rPr>
                <w:color w:val="000000"/>
                <w:sz w:val="22"/>
                <w:szCs w:val="22"/>
              </w:rPr>
            </w:pPr>
            <w:r w:rsidRPr="00760453">
              <w:rPr>
                <w:color w:val="000000"/>
                <w:sz w:val="22"/>
                <w:szCs w:val="22"/>
              </w:rPr>
              <w:t>91,173</w:t>
            </w:r>
          </w:p>
        </w:tc>
        <w:tc>
          <w:tcPr>
            <w:tcW w:w="1255" w:type="dxa"/>
            <w:shd w:val="clear" w:color="auto" w:fill="auto"/>
            <w:noWrap/>
            <w:vAlign w:val="bottom"/>
            <w:hideMark/>
          </w:tcPr>
          <w:p w14:paraId="71A0BBBA" w14:textId="77777777" w:rsidR="005F0F19" w:rsidRPr="00760453" w:rsidRDefault="005F0F19" w:rsidP="00502EF8">
            <w:pPr>
              <w:jc w:val="center"/>
              <w:rPr>
                <w:color w:val="000000"/>
                <w:sz w:val="22"/>
                <w:szCs w:val="22"/>
              </w:rPr>
            </w:pPr>
            <w:r w:rsidRPr="00760453">
              <w:rPr>
                <w:color w:val="000000"/>
                <w:sz w:val="22"/>
                <w:szCs w:val="22"/>
              </w:rPr>
              <w:t>38.24%</w:t>
            </w:r>
          </w:p>
        </w:tc>
        <w:tc>
          <w:tcPr>
            <w:tcW w:w="1079" w:type="dxa"/>
            <w:shd w:val="clear" w:color="auto" w:fill="auto"/>
            <w:noWrap/>
            <w:vAlign w:val="bottom"/>
            <w:hideMark/>
          </w:tcPr>
          <w:p w14:paraId="3E4EB2E6" w14:textId="77777777" w:rsidR="005F0F19" w:rsidRPr="00760453" w:rsidRDefault="005F0F19" w:rsidP="00502EF8">
            <w:pPr>
              <w:jc w:val="center"/>
              <w:rPr>
                <w:color w:val="000000"/>
                <w:sz w:val="22"/>
                <w:szCs w:val="22"/>
              </w:rPr>
            </w:pPr>
            <w:r w:rsidRPr="00760453">
              <w:rPr>
                <w:color w:val="000000"/>
                <w:sz w:val="22"/>
                <w:szCs w:val="22"/>
              </w:rPr>
              <w:t>9.41%</w:t>
            </w:r>
          </w:p>
        </w:tc>
        <w:tc>
          <w:tcPr>
            <w:tcW w:w="1620" w:type="dxa"/>
            <w:shd w:val="clear" w:color="auto" w:fill="auto"/>
            <w:noWrap/>
            <w:vAlign w:val="bottom"/>
            <w:hideMark/>
          </w:tcPr>
          <w:p w14:paraId="6C3203C9" w14:textId="77777777" w:rsidR="005F0F19" w:rsidRPr="00760453" w:rsidRDefault="005F0F19" w:rsidP="00502EF8">
            <w:pPr>
              <w:jc w:val="center"/>
              <w:rPr>
                <w:color w:val="000000"/>
                <w:sz w:val="22"/>
                <w:szCs w:val="22"/>
              </w:rPr>
            </w:pPr>
            <w:r w:rsidRPr="00760453">
              <w:rPr>
                <w:color w:val="000000"/>
                <w:sz w:val="22"/>
                <w:szCs w:val="22"/>
              </w:rPr>
              <w:t>52.35%</w:t>
            </w:r>
          </w:p>
        </w:tc>
      </w:tr>
      <w:tr w:rsidR="005F0F19" w:rsidRPr="00760453" w14:paraId="03AA418A" w14:textId="77777777" w:rsidTr="00502EF8">
        <w:trPr>
          <w:trHeight w:val="300"/>
        </w:trPr>
        <w:tc>
          <w:tcPr>
            <w:tcW w:w="1069" w:type="dxa"/>
            <w:shd w:val="clear" w:color="auto" w:fill="auto"/>
            <w:noWrap/>
            <w:vAlign w:val="bottom"/>
            <w:hideMark/>
          </w:tcPr>
          <w:p w14:paraId="77D5D413" w14:textId="77777777" w:rsidR="005F0F19" w:rsidRPr="00760453" w:rsidRDefault="005F0F19" w:rsidP="00502EF8">
            <w:pPr>
              <w:rPr>
                <w:color w:val="000000"/>
                <w:sz w:val="22"/>
                <w:szCs w:val="22"/>
              </w:rPr>
            </w:pPr>
            <w:r w:rsidRPr="00760453">
              <w:rPr>
                <w:color w:val="000000"/>
                <w:sz w:val="22"/>
                <w:szCs w:val="22"/>
              </w:rPr>
              <w:t>Average</w:t>
            </w:r>
          </w:p>
        </w:tc>
        <w:tc>
          <w:tcPr>
            <w:tcW w:w="1003" w:type="dxa"/>
            <w:shd w:val="clear" w:color="auto" w:fill="auto"/>
            <w:noWrap/>
            <w:vAlign w:val="bottom"/>
            <w:hideMark/>
          </w:tcPr>
          <w:p w14:paraId="6135E306" w14:textId="77777777" w:rsidR="005F0F19" w:rsidRPr="00760453" w:rsidRDefault="005F0F19" w:rsidP="00502EF8">
            <w:pPr>
              <w:jc w:val="center"/>
              <w:rPr>
                <w:color w:val="000000"/>
                <w:sz w:val="22"/>
                <w:szCs w:val="22"/>
              </w:rPr>
            </w:pPr>
            <w:r w:rsidRPr="00760453">
              <w:rPr>
                <w:color w:val="000000"/>
                <w:sz w:val="22"/>
                <w:szCs w:val="22"/>
              </w:rPr>
              <w:t>48,594</w:t>
            </w:r>
          </w:p>
        </w:tc>
        <w:tc>
          <w:tcPr>
            <w:tcW w:w="876" w:type="dxa"/>
            <w:shd w:val="clear" w:color="auto" w:fill="auto"/>
            <w:noWrap/>
            <w:vAlign w:val="bottom"/>
            <w:hideMark/>
          </w:tcPr>
          <w:p w14:paraId="6B533C69" w14:textId="77777777" w:rsidR="005F0F19" w:rsidRPr="00760453" w:rsidRDefault="005F0F19" w:rsidP="00502EF8">
            <w:pPr>
              <w:jc w:val="center"/>
              <w:rPr>
                <w:color w:val="000000"/>
                <w:sz w:val="22"/>
                <w:szCs w:val="22"/>
              </w:rPr>
            </w:pPr>
            <w:r w:rsidRPr="00760453">
              <w:rPr>
                <w:color w:val="000000"/>
                <w:sz w:val="22"/>
                <w:szCs w:val="22"/>
              </w:rPr>
              <w:t>6,599</w:t>
            </w:r>
          </w:p>
        </w:tc>
        <w:tc>
          <w:tcPr>
            <w:tcW w:w="1416" w:type="dxa"/>
            <w:shd w:val="clear" w:color="auto" w:fill="auto"/>
            <w:noWrap/>
            <w:vAlign w:val="bottom"/>
            <w:hideMark/>
          </w:tcPr>
          <w:p w14:paraId="7341832D" w14:textId="77777777" w:rsidR="005F0F19" w:rsidRPr="00760453" w:rsidRDefault="005F0F19" w:rsidP="00502EF8">
            <w:pPr>
              <w:jc w:val="center"/>
              <w:rPr>
                <w:color w:val="000000"/>
                <w:sz w:val="22"/>
                <w:szCs w:val="22"/>
              </w:rPr>
            </w:pPr>
            <w:r w:rsidRPr="00760453">
              <w:rPr>
                <w:color w:val="000000"/>
                <w:sz w:val="22"/>
                <w:szCs w:val="22"/>
              </w:rPr>
              <w:t>21,491</w:t>
            </w:r>
          </w:p>
        </w:tc>
        <w:tc>
          <w:tcPr>
            <w:tcW w:w="876" w:type="dxa"/>
            <w:shd w:val="clear" w:color="auto" w:fill="auto"/>
            <w:noWrap/>
            <w:vAlign w:val="bottom"/>
            <w:hideMark/>
          </w:tcPr>
          <w:p w14:paraId="33523914" w14:textId="77777777" w:rsidR="005F0F19" w:rsidRPr="00760453" w:rsidRDefault="005F0F19" w:rsidP="00502EF8">
            <w:pPr>
              <w:jc w:val="center"/>
              <w:rPr>
                <w:color w:val="000000"/>
                <w:sz w:val="22"/>
                <w:szCs w:val="22"/>
              </w:rPr>
            </w:pPr>
            <w:r w:rsidRPr="00760453">
              <w:rPr>
                <w:color w:val="000000"/>
                <w:sz w:val="22"/>
                <w:szCs w:val="22"/>
              </w:rPr>
              <w:t>76,684</w:t>
            </w:r>
          </w:p>
        </w:tc>
        <w:tc>
          <w:tcPr>
            <w:tcW w:w="1255" w:type="dxa"/>
            <w:shd w:val="clear" w:color="auto" w:fill="auto"/>
            <w:noWrap/>
            <w:vAlign w:val="bottom"/>
            <w:hideMark/>
          </w:tcPr>
          <w:p w14:paraId="7464851C" w14:textId="77777777" w:rsidR="005F0F19" w:rsidRPr="00760453" w:rsidRDefault="005F0F19" w:rsidP="00502EF8">
            <w:pPr>
              <w:jc w:val="center"/>
              <w:rPr>
                <w:color w:val="000000"/>
                <w:sz w:val="22"/>
                <w:szCs w:val="22"/>
              </w:rPr>
            </w:pPr>
            <w:r w:rsidRPr="00760453">
              <w:rPr>
                <w:color w:val="000000"/>
                <w:sz w:val="22"/>
                <w:szCs w:val="22"/>
              </w:rPr>
              <w:t>64.60%</w:t>
            </w:r>
          </w:p>
        </w:tc>
        <w:tc>
          <w:tcPr>
            <w:tcW w:w="1079" w:type="dxa"/>
            <w:shd w:val="clear" w:color="auto" w:fill="auto"/>
            <w:noWrap/>
            <w:vAlign w:val="bottom"/>
            <w:hideMark/>
          </w:tcPr>
          <w:p w14:paraId="4F538300" w14:textId="77777777" w:rsidR="005F0F19" w:rsidRPr="00760453" w:rsidRDefault="005F0F19" w:rsidP="00502EF8">
            <w:pPr>
              <w:jc w:val="center"/>
              <w:rPr>
                <w:color w:val="000000"/>
                <w:sz w:val="22"/>
                <w:szCs w:val="22"/>
              </w:rPr>
            </w:pPr>
            <w:r w:rsidRPr="00760453">
              <w:rPr>
                <w:color w:val="000000"/>
                <w:sz w:val="22"/>
                <w:szCs w:val="22"/>
              </w:rPr>
              <w:t>8.51%</w:t>
            </w:r>
          </w:p>
        </w:tc>
        <w:tc>
          <w:tcPr>
            <w:tcW w:w="1620" w:type="dxa"/>
            <w:shd w:val="clear" w:color="auto" w:fill="auto"/>
            <w:noWrap/>
            <w:vAlign w:val="bottom"/>
            <w:hideMark/>
          </w:tcPr>
          <w:p w14:paraId="51D56C58" w14:textId="77777777" w:rsidR="005F0F19" w:rsidRPr="00760453" w:rsidRDefault="005F0F19" w:rsidP="00502EF8">
            <w:pPr>
              <w:jc w:val="center"/>
              <w:rPr>
                <w:color w:val="000000"/>
                <w:sz w:val="22"/>
                <w:szCs w:val="22"/>
              </w:rPr>
            </w:pPr>
            <w:r w:rsidRPr="00760453">
              <w:rPr>
                <w:color w:val="000000"/>
                <w:sz w:val="22"/>
                <w:szCs w:val="22"/>
              </w:rPr>
              <w:t>26.89%</w:t>
            </w:r>
          </w:p>
        </w:tc>
      </w:tr>
    </w:tbl>
    <w:p w14:paraId="35A10F3E" w14:textId="77777777" w:rsidR="005F0F19" w:rsidRDefault="005F0F19" w:rsidP="005F0F19">
      <w:r w:rsidRPr="00FD1B97">
        <w:rPr>
          <w:rFonts w:ascii="Arial" w:hAnsi="Arial" w:cs="Arial"/>
          <w:sz w:val="20"/>
          <w:szCs w:val="20"/>
        </w:rPr>
        <w:t xml:space="preserve">Source:  </w:t>
      </w:r>
      <w:r>
        <w:rPr>
          <w:rFonts w:ascii="Arial" w:hAnsi="Arial" w:cs="Arial"/>
          <w:sz w:val="20"/>
          <w:szCs w:val="20"/>
        </w:rPr>
        <w:t>NMFS SERO ACL</w:t>
      </w:r>
    </w:p>
    <w:p w14:paraId="7ED29BA1" w14:textId="77777777" w:rsidR="005F0F19" w:rsidRDefault="005F0F19" w:rsidP="005F0F19"/>
    <w:p w14:paraId="5E4C14E5" w14:textId="77777777" w:rsidR="00C44CC7" w:rsidRDefault="005F0F19" w:rsidP="00C44CC7">
      <w:pPr>
        <w:ind w:firstLine="360"/>
      </w:pPr>
      <w:r>
        <w:t>Hook and line is the most commonly used gear to harvest mutton snapper in the South Atlantic Region.  Approximately 86% of commercial landings from 2010 through 2014 were taken with hook and line (</w:t>
      </w:r>
      <w:r>
        <w:rPr>
          <w:b/>
        </w:rPr>
        <w:t>Figure 3.3.4</w:t>
      </w:r>
      <w:r>
        <w:t>).</w:t>
      </w:r>
      <w:r w:rsidR="00C44CC7">
        <w:t xml:space="preserve">  Permitted vessels that use longline gear are prohibited from landing (or possessing) mutton snapper in the South Atlantic EEZ and Florida east coast waters.</w:t>
      </w:r>
    </w:p>
    <w:p w14:paraId="70A97515" w14:textId="42414DA2" w:rsidR="005F0F19" w:rsidRDefault="005F0F19" w:rsidP="005F0F19">
      <w:pPr>
        <w:ind w:firstLine="360"/>
      </w:pPr>
    </w:p>
    <w:p w14:paraId="2FFDA1BD" w14:textId="77777777" w:rsidR="005F0F19" w:rsidRDefault="005F0F19" w:rsidP="005F0F19">
      <w:pPr>
        <w:ind w:firstLine="360"/>
      </w:pPr>
    </w:p>
    <w:p w14:paraId="303293EC" w14:textId="77777777" w:rsidR="005F0F19" w:rsidRDefault="005F0F19" w:rsidP="005F0F19">
      <w:r w:rsidRPr="00EE6E5E">
        <w:rPr>
          <w:noProof/>
        </w:rPr>
        <w:drawing>
          <wp:inline distT="0" distB="0" distL="0" distR="0" wp14:anchorId="740A2383" wp14:editId="44014E4D">
            <wp:extent cx="5943600" cy="2171133"/>
            <wp:effectExtent l="0" t="0" r="0" b="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171133"/>
                    </a:xfrm>
                    <a:prstGeom prst="rect">
                      <a:avLst/>
                    </a:prstGeom>
                    <a:noFill/>
                    <a:ln>
                      <a:noFill/>
                    </a:ln>
                  </pic:spPr>
                </pic:pic>
              </a:graphicData>
            </a:graphic>
          </wp:inline>
        </w:drawing>
      </w:r>
    </w:p>
    <w:p w14:paraId="1F618A6C" w14:textId="77777777" w:rsidR="005F0F19" w:rsidRDefault="005F0F19" w:rsidP="005F0F19">
      <w:pPr>
        <w:pStyle w:val="Figuretitle"/>
        <w:rPr>
          <w:rFonts w:ascii="Arial" w:hAnsi="Arial" w:cs="Arial"/>
          <w:sz w:val="20"/>
          <w:szCs w:val="20"/>
        </w:rPr>
      </w:pPr>
      <w:bookmarkStart w:id="150" w:name="_Toc340431597"/>
      <w:r w:rsidRPr="00EE6E5E">
        <w:rPr>
          <w:rFonts w:ascii="Arial" w:hAnsi="Arial" w:cs="Arial"/>
          <w:b/>
          <w:sz w:val="20"/>
          <w:szCs w:val="20"/>
        </w:rPr>
        <w:t>Figure 3.3.4.</w:t>
      </w:r>
      <w:r w:rsidRPr="00EE6E5E">
        <w:rPr>
          <w:rFonts w:ascii="Arial" w:hAnsi="Arial" w:cs="Arial"/>
          <w:sz w:val="20"/>
          <w:szCs w:val="20"/>
        </w:rPr>
        <w:t xml:space="preserve">  Percentage of mutton snapper l</w:t>
      </w:r>
      <w:r>
        <w:rPr>
          <w:rFonts w:ascii="Arial" w:hAnsi="Arial" w:cs="Arial"/>
          <w:sz w:val="20"/>
          <w:szCs w:val="20"/>
        </w:rPr>
        <w:t>andings (lbs ww) by gear, 2010-</w:t>
      </w:r>
      <w:r w:rsidRPr="00EE6E5E">
        <w:rPr>
          <w:rFonts w:ascii="Arial" w:hAnsi="Arial" w:cs="Arial"/>
          <w:sz w:val="20"/>
          <w:szCs w:val="20"/>
        </w:rPr>
        <w:t>2014.</w:t>
      </w:r>
      <w:bookmarkEnd w:id="150"/>
      <w:r w:rsidRPr="00EE6E5E">
        <w:rPr>
          <w:rFonts w:ascii="Arial" w:hAnsi="Arial" w:cs="Arial"/>
          <w:sz w:val="20"/>
          <w:szCs w:val="20"/>
        </w:rPr>
        <w:t xml:space="preserve">  </w:t>
      </w:r>
    </w:p>
    <w:p w14:paraId="7C0801DC" w14:textId="77777777" w:rsidR="005F0F19" w:rsidRPr="00631DE9" w:rsidRDefault="005F0F19" w:rsidP="005F0F19">
      <w:pPr>
        <w:rPr>
          <w:rFonts w:ascii="Arial" w:hAnsi="Arial" w:cs="Arial"/>
          <w:sz w:val="20"/>
          <w:szCs w:val="20"/>
        </w:rPr>
      </w:pPr>
      <w:r w:rsidRPr="00631DE9">
        <w:rPr>
          <w:rFonts w:ascii="Arial" w:hAnsi="Arial" w:cs="Arial"/>
          <w:sz w:val="20"/>
          <w:szCs w:val="20"/>
        </w:rPr>
        <w:t>Source:  NMFS SERO ACL.</w:t>
      </w:r>
    </w:p>
    <w:p w14:paraId="5A3C50B4" w14:textId="77777777" w:rsidR="005F0F19" w:rsidRDefault="005F0F19" w:rsidP="005F0F19">
      <w:pPr>
        <w:pStyle w:val="Figuretitle"/>
        <w:rPr>
          <w:rFonts w:ascii="Arial" w:hAnsi="Arial" w:cs="Arial"/>
          <w:sz w:val="20"/>
          <w:szCs w:val="20"/>
        </w:rPr>
      </w:pPr>
    </w:p>
    <w:p w14:paraId="0E285FC8" w14:textId="202A2FD9" w:rsidR="00C44CC7" w:rsidRDefault="00C44CC7" w:rsidP="00C44CC7">
      <w:pPr>
        <w:ind w:firstLine="360"/>
      </w:pPr>
      <w:r w:rsidRPr="0067026A">
        <w:t xml:space="preserve">As shown in </w:t>
      </w:r>
      <w:r>
        <w:rPr>
          <w:b/>
        </w:rPr>
        <w:t>Figure 3.3.5</w:t>
      </w:r>
      <w:r w:rsidRPr="0067026A">
        <w:t xml:space="preserve">, </w:t>
      </w:r>
      <w:r>
        <w:t xml:space="preserve">annual </w:t>
      </w:r>
      <w:r w:rsidRPr="0067026A">
        <w:t xml:space="preserve">commercial landings of </w:t>
      </w:r>
      <w:r>
        <w:t>mutton snapper in the South Atlantic Region have ranged between 43,397 and 65,698 lbs gutted weight (gw) since 2006</w:t>
      </w:r>
      <w:r w:rsidRPr="0067026A">
        <w:t xml:space="preserve">.  </w:t>
      </w:r>
      <w:r>
        <w:t xml:space="preserve">The annual average increased from 47,430 lbs gw during the 5-year period from 2006 through 2010 to 59,495 lbs gw during the second 5-year period from 2011 through 2015. </w:t>
      </w:r>
    </w:p>
    <w:p w14:paraId="56F0E5ED" w14:textId="6DD7E2E5" w:rsidR="005F0F19" w:rsidRDefault="005F0F19" w:rsidP="005F0F19">
      <w:pPr>
        <w:ind w:firstLine="360"/>
      </w:pPr>
    </w:p>
    <w:p w14:paraId="72B19B72" w14:textId="77777777" w:rsidR="005F0F19" w:rsidRDefault="005F0F19" w:rsidP="005F0F19">
      <w:pPr>
        <w:pStyle w:val="Figuretitle"/>
        <w:ind w:firstLine="360"/>
      </w:pPr>
    </w:p>
    <w:p w14:paraId="22A56944" w14:textId="2B283206" w:rsidR="005F0F19" w:rsidRDefault="00C44CC7" w:rsidP="005F0F19">
      <w:pPr>
        <w:pStyle w:val="Figuretitle"/>
      </w:pPr>
      <w:r>
        <w:rPr>
          <w:noProof/>
        </w:rPr>
        <w:lastRenderedPageBreak/>
        <w:drawing>
          <wp:inline distT="0" distB="0" distL="0" distR="0" wp14:anchorId="4013DBA2" wp14:editId="54DDAC51">
            <wp:extent cx="5614988" cy="1866900"/>
            <wp:effectExtent l="0" t="0" r="24130" b="1905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EC40B21" w14:textId="77777777" w:rsidR="005F0F19" w:rsidRPr="00EE6E5E" w:rsidRDefault="005F0F19" w:rsidP="005F0F19">
      <w:pPr>
        <w:pStyle w:val="Figuretitle"/>
        <w:rPr>
          <w:rFonts w:ascii="Arial" w:hAnsi="Arial" w:cs="Arial"/>
          <w:sz w:val="20"/>
          <w:szCs w:val="20"/>
        </w:rPr>
      </w:pPr>
      <w:bookmarkStart w:id="151" w:name="_Toc340431598"/>
      <w:r w:rsidRPr="00EE6E5E">
        <w:rPr>
          <w:rFonts w:ascii="Arial" w:hAnsi="Arial" w:cs="Arial"/>
          <w:b/>
          <w:sz w:val="20"/>
          <w:szCs w:val="20"/>
        </w:rPr>
        <w:t>Figure 3.3.5.</w:t>
      </w:r>
      <w:r w:rsidRPr="00EE6E5E">
        <w:rPr>
          <w:rFonts w:ascii="Arial" w:hAnsi="Arial" w:cs="Arial"/>
          <w:sz w:val="20"/>
          <w:szCs w:val="20"/>
        </w:rPr>
        <w:t xml:space="preserve">  Annual commercial landings (lbs gw) of mutton snapper, 2006-2015.</w:t>
      </w:r>
      <w:bookmarkEnd w:id="151"/>
      <w:r w:rsidRPr="00EE6E5E">
        <w:rPr>
          <w:rFonts w:ascii="Arial" w:hAnsi="Arial" w:cs="Arial"/>
          <w:sz w:val="20"/>
          <w:szCs w:val="20"/>
        </w:rPr>
        <w:t xml:space="preserve">  </w:t>
      </w:r>
    </w:p>
    <w:p w14:paraId="01EBB806" w14:textId="575B1999" w:rsidR="005F0F19" w:rsidRPr="0067026A" w:rsidRDefault="005F0F19" w:rsidP="005F0F19">
      <w:pPr>
        <w:rPr>
          <w:rFonts w:ascii="Arial" w:hAnsi="Arial" w:cs="Arial"/>
          <w:sz w:val="20"/>
          <w:szCs w:val="20"/>
        </w:rPr>
      </w:pPr>
      <w:r w:rsidRPr="0067026A">
        <w:rPr>
          <w:rFonts w:ascii="Arial" w:hAnsi="Arial" w:cs="Arial"/>
          <w:sz w:val="20"/>
          <w:szCs w:val="20"/>
        </w:rPr>
        <w:t>Source:  SEFSC Economic Query System</w:t>
      </w:r>
      <w:r w:rsidR="00C44CC7">
        <w:rPr>
          <w:rFonts w:ascii="Arial" w:hAnsi="Arial" w:cs="Arial"/>
          <w:sz w:val="20"/>
          <w:szCs w:val="20"/>
        </w:rPr>
        <w:t>, October 30, 2016.</w:t>
      </w:r>
    </w:p>
    <w:p w14:paraId="4AFF7926" w14:textId="77777777" w:rsidR="005F0F19" w:rsidRDefault="005F0F19" w:rsidP="005F0F19">
      <w:pPr>
        <w:pStyle w:val="Figuretitle"/>
        <w:ind w:firstLine="360"/>
      </w:pPr>
    </w:p>
    <w:p w14:paraId="45D77EC6" w14:textId="024B51DF" w:rsidR="005F0F19" w:rsidRPr="00F470E9" w:rsidRDefault="00C44CC7" w:rsidP="005F0F19">
      <w:pPr>
        <w:ind w:firstLine="360"/>
      </w:pPr>
      <w:r w:rsidRPr="00493106">
        <w:t>From 201</w:t>
      </w:r>
      <w:r>
        <w:t>1</w:t>
      </w:r>
      <w:r w:rsidRPr="00493106">
        <w:t xml:space="preserve"> through 201</w:t>
      </w:r>
      <w:r>
        <w:t>5</w:t>
      </w:r>
      <w:r w:rsidRPr="00493106">
        <w:t>, an annual average of 2</w:t>
      </w:r>
      <w:r>
        <w:t>63</w:t>
      </w:r>
      <w:r w:rsidRPr="00493106">
        <w:t xml:space="preserve"> vessels made 1,5</w:t>
      </w:r>
      <w:r>
        <w:t>65</w:t>
      </w:r>
      <w:r w:rsidRPr="00493106">
        <w:t xml:space="preserve"> trips that landed </w:t>
      </w:r>
      <w:r>
        <w:t xml:space="preserve">59,495 lbs gw of </w:t>
      </w:r>
      <w:r w:rsidRPr="00493106">
        <w:t>mutton snapper from the South Atlantic Region</w:t>
      </w:r>
      <w:r w:rsidRPr="007C6289">
        <w:t xml:space="preserve"> (</w:t>
      </w:r>
      <w:r w:rsidRPr="007C6289">
        <w:rPr>
          <w:b/>
        </w:rPr>
        <w:t>Table 3.3.9</w:t>
      </w:r>
      <w:r w:rsidRPr="007C6289">
        <w:t xml:space="preserve">).  </w:t>
      </w:r>
      <w:r>
        <w:t xml:space="preserve">The average vessel harvested 38 lbs gw of the species when it was landed. </w:t>
      </w:r>
      <w:r w:rsidR="005F0F19" w:rsidRPr="007C6289">
        <w:t xml:space="preserve">   </w:t>
      </w:r>
    </w:p>
    <w:p w14:paraId="772745D9" w14:textId="77777777" w:rsidR="005F0F19" w:rsidRDefault="005F0F19" w:rsidP="005F0F19">
      <w:pPr>
        <w:autoSpaceDE w:val="0"/>
        <w:autoSpaceDN w:val="0"/>
        <w:adjustRightInd w:val="0"/>
        <w:ind w:firstLine="360"/>
        <w:rPr>
          <w:rFonts w:ascii="TimesNewRomanPSMT" w:hAnsi="TimesNewRomanPSMT" w:cs="TimesNewRomanPSMT"/>
        </w:rPr>
      </w:pPr>
    </w:p>
    <w:p w14:paraId="38AF8075" w14:textId="78E2FA3C" w:rsidR="005F0F19" w:rsidRDefault="005F0F19" w:rsidP="005F0F19">
      <w:pPr>
        <w:pStyle w:val="Tabletitle"/>
      </w:pPr>
      <w:bookmarkStart w:id="152" w:name="_Toc340431554"/>
      <w:r>
        <w:rPr>
          <w:b/>
        </w:rPr>
        <w:t>Table 3.3.9</w:t>
      </w:r>
      <w:r w:rsidRPr="00E041AC">
        <w:rPr>
          <w:b/>
        </w:rPr>
        <w:t>.</w:t>
      </w:r>
      <w:r w:rsidRPr="0067026A">
        <w:t xml:space="preserve">  Number</w:t>
      </w:r>
      <w:r>
        <w:t xml:space="preserve">s and averages </w:t>
      </w:r>
      <w:r w:rsidRPr="0067026A">
        <w:t>of</w:t>
      </w:r>
      <w:r>
        <w:t xml:space="preserve"> vessels </w:t>
      </w:r>
      <w:r w:rsidR="00B2630F">
        <w:t xml:space="preserve">and </w:t>
      </w:r>
      <w:r>
        <w:t xml:space="preserve">trips with mutton snapper </w:t>
      </w:r>
      <w:r w:rsidRPr="0067026A">
        <w:t>landi</w:t>
      </w:r>
      <w:r>
        <w:t>ngs, 2010-201</w:t>
      </w:r>
      <w:r w:rsidR="00B2630F">
        <w:t>4</w:t>
      </w:r>
      <w:r>
        <w:t>.</w:t>
      </w:r>
      <w:bookmarkEnd w:id="152"/>
    </w:p>
    <w:tbl>
      <w:tblPr>
        <w:tblW w:w="6900" w:type="dxa"/>
        <w:tblInd w:w="93" w:type="dxa"/>
        <w:tblLook w:val="04A0" w:firstRow="1" w:lastRow="0" w:firstColumn="1" w:lastColumn="0" w:noHBand="0" w:noVBand="1"/>
      </w:tblPr>
      <w:tblGrid>
        <w:gridCol w:w="998"/>
        <w:gridCol w:w="1337"/>
        <w:gridCol w:w="993"/>
        <w:gridCol w:w="1340"/>
        <w:gridCol w:w="762"/>
        <w:gridCol w:w="1508"/>
      </w:tblGrid>
      <w:tr w:rsidR="00B2630F" w14:paraId="10275BEF" w14:textId="77777777" w:rsidTr="00D94DF5">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42FDA1D9" w14:textId="77777777" w:rsidR="00B2630F" w:rsidRDefault="00B2630F" w:rsidP="00666827">
            <w:pPr>
              <w:jc w:val="center"/>
              <w:rPr>
                <w:b/>
                <w:bCs/>
                <w:color w:val="000000"/>
                <w:sz w:val="22"/>
                <w:szCs w:val="22"/>
              </w:rPr>
            </w:pPr>
            <w:r>
              <w:rPr>
                <w:b/>
                <w:bCs/>
                <w:color w:val="000000"/>
                <w:sz w:val="22"/>
                <w:szCs w:val="22"/>
              </w:rPr>
              <w:t>Year</w:t>
            </w:r>
          </w:p>
        </w:tc>
        <w:tc>
          <w:tcPr>
            <w:tcW w:w="1337"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736DC80" w14:textId="77777777" w:rsidR="00B2630F" w:rsidRDefault="00B2630F" w:rsidP="00666827">
            <w:pPr>
              <w:jc w:val="center"/>
              <w:rPr>
                <w:b/>
                <w:bCs/>
                <w:color w:val="000000"/>
                <w:sz w:val="22"/>
                <w:szCs w:val="22"/>
              </w:rPr>
            </w:pPr>
            <w:r>
              <w:rPr>
                <w:b/>
                <w:bCs/>
                <w:color w:val="000000"/>
                <w:sz w:val="22"/>
                <w:szCs w:val="22"/>
              </w:rPr>
              <w:t xml:space="preserve">Number of Vessels </w:t>
            </w:r>
          </w:p>
        </w:tc>
        <w:tc>
          <w:tcPr>
            <w:tcW w:w="4603" w:type="dxa"/>
            <w:gridSpan w:val="4"/>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2EB5D133" w14:textId="77777777" w:rsidR="00B2630F" w:rsidRDefault="00B2630F" w:rsidP="00666827">
            <w:pPr>
              <w:jc w:val="center"/>
              <w:rPr>
                <w:b/>
                <w:bCs/>
                <w:color w:val="000000"/>
                <w:sz w:val="22"/>
                <w:szCs w:val="22"/>
              </w:rPr>
            </w:pPr>
            <w:r>
              <w:rPr>
                <w:b/>
                <w:bCs/>
                <w:color w:val="000000"/>
                <w:sz w:val="22"/>
                <w:szCs w:val="22"/>
              </w:rPr>
              <w:t>South Atlantic mutton snapper landings</w:t>
            </w:r>
          </w:p>
        </w:tc>
      </w:tr>
      <w:tr w:rsidR="00B2630F" w14:paraId="2DB0D7F5" w14:textId="77777777" w:rsidTr="00D94DF5">
        <w:trPr>
          <w:trHeight w:val="570"/>
        </w:trPr>
        <w:tc>
          <w:tcPr>
            <w:tcW w:w="96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0FEA176" w14:textId="77777777" w:rsidR="00B2630F" w:rsidRDefault="00B2630F" w:rsidP="00666827">
            <w:pPr>
              <w:rPr>
                <w:b/>
                <w:bCs/>
                <w:color w:val="000000"/>
                <w:sz w:val="22"/>
                <w:szCs w:val="22"/>
              </w:rPr>
            </w:pPr>
          </w:p>
        </w:tc>
        <w:tc>
          <w:tcPr>
            <w:tcW w:w="1337"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3850A33" w14:textId="77777777" w:rsidR="00B2630F" w:rsidRDefault="00B2630F" w:rsidP="00666827">
            <w:pPr>
              <w:rPr>
                <w:b/>
                <w:bCs/>
                <w:color w:val="000000"/>
                <w:sz w:val="22"/>
                <w:szCs w:val="22"/>
              </w:rPr>
            </w:pPr>
          </w:p>
        </w:tc>
        <w:tc>
          <w:tcPr>
            <w:tcW w:w="993" w:type="dxa"/>
            <w:tcBorders>
              <w:top w:val="nil"/>
              <w:left w:val="nil"/>
              <w:bottom w:val="single" w:sz="4" w:space="0" w:color="auto"/>
              <w:right w:val="single" w:sz="4" w:space="0" w:color="auto"/>
            </w:tcBorders>
            <w:shd w:val="clear" w:color="auto" w:fill="D9D9D9" w:themeFill="background1" w:themeFillShade="D9"/>
            <w:noWrap/>
            <w:vAlign w:val="center"/>
            <w:hideMark/>
          </w:tcPr>
          <w:p w14:paraId="31E53AAB" w14:textId="77777777" w:rsidR="00B2630F" w:rsidRDefault="00B2630F" w:rsidP="00666827">
            <w:pPr>
              <w:jc w:val="center"/>
              <w:rPr>
                <w:b/>
                <w:bCs/>
                <w:color w:val="000000"/>
                <w:sz w:val="22"/>
                <w:szCs w:val="22"/>
              </w:rPr>
            </w:pPr>
            <w:r>
              <w:rPr>
                <w:b/>
                <w:bCs/>
                <w:color w:val="000000"/>
                <w:sz w:val="22"/>
                <w:szCs w:val="22"/>
              </w:rPr>
              <w:t>Lbs gw</w:t>
            </w:r>
          </w:p>
        </w:tc>
        <w:tc>
          <w:tcPr>
            <w:tcW w:w="1340" w:type="dxa"/>
            <w:tcBorders>
              <w:top w:val="nil"/>
              <w:left w:val="nil"/>
              <w:bottom w:val="single" w:sz="4" w:space="0" w:color="auto"/>
              <w:right w:val="single" w:sz="4" w:space="0" w:color="auto"/>
            </w:tcBorders>
            <w:shd w:val="clear" w:color="auto" w:fill="D9D9D9" w:themeFill="background1" w:themeFillShade="D9"/>
            <w:vAlign w:val="center"/>
            <w:hideMark/>
          </w:tcPr>
          <w:p w14:paraId="42087A6D" w14:textId="77777777" w:rsidR="00B2630F" w:rsidRDefault="00B2630F" w:rsidP="00666827">
            <w:pPr>
              <w:jc w:val="center"/>
              <w:rPr>
                <w:b/>
                <w:bCs/>
                <w:color w:val="000000"/>
                <w:sz w:val="22"/>
                <w:szCs w:val="22"/>
              </w:rPr>
            </w:pPr>
            <w:r>
              <w:rPr>
                <w:b/>
                <w:bCs/>
                <w:color w:val="000000"/>
                <w:sz w:val="22"/>
                <w:szCs w:val="22"/>
              </w:rPr>
              <w:t>Ave lbs gw per vessel</w:t>
            </w:r>
          </w:p>
        </w:tc>
        <w:tc>
          <w:tcPr>
            <w:tcW w:w="762" w:type="dxa"/>
            <w:tcBorders>
              <w:top w:val="nil"/>
              <w:left w:val="nil"/>
              <w:bottom w:val="single" w:sz="4" w:space="0" w:color="auto"/>
              <w:right w:val="single" w:sz="4" w:space="0" w:color="auto"/>
            </w:tcBorders>
            <w:shd w:val="clear" w:color="auto" w:fill="D9D9D9" w:themeFill="background1" w:themeFillShade="D9"/>
            <w:noWrap/>
            <w:vAlign w:val="center"/>
            <w:hideMark/>
          </w:tcPr>
          <w:p w14:paraId="5A4D8C4D" w14:textId="77777777" w:rsidR="00B2630F" w:rsidRDefault="00B2630F" w:rsidP="00666827">
            <w:pPr>
              <w:jc w:val="center"/>
              <w:rPr>
                <w:b/>
                <w:bCs/>
                <w:color w:val="000000"/>
                <w:sz w:val="22"/>
                <w:szCs w:val="22"/>
              </w:rPr>
            </w:pPr>
            <w:r>
              <w:rPr>
                <w:b/>
                <w:bCs/>
                <w:color w:val="000000"/>
                <w:sz w:val="22"/>
                <w:szCs w:val="22"/>
              </w:rPr>
              <w:t>Trips</w:t>
            </w:r>
          </w:p>
        </w:tc>
        <w:tc>
          <w:tcPr>
            <w:tcW w:w="1508" w:type="dxa"/>
            <w:tcBorders>
              <w:top w:val="nil"/>
              <w:left w:val="nil"/>
              <w:bottom w:val="single" w:sz="4" w:space="0" w:color="auto"/>
              <w:right w:val="single" w:sz="4" w:space="0" w:color="auto"/>
            </w:tcBorders>
            <w:shd w:val="clear" w:color="auto" w:fill="D9D9D9" w:themeFill="background1" w:themeFillShade="D9"/>
            <w:vAlign w:val="center"/>
            <w:hideMark/>
          </w:tcPr>
          <w:p w14:paraId="6C0C449B" w14:textId="77777777" w:rsidR="00B2630F" w:rsidRDefault="00B2630F" w:rsidP="00666827">
            <w:pPr>
              <w:jc w:val="center"/>
              <w:rPr>
                <w:b/>
                <w:bCs/>
                <w:color w:val="000000"/>
                <w:sz w:val="22"/>
                <w:szCs w:val="22"/>
              </w:rPr>
            </w:pPr>
            <w:r>
              <w:rPr>
                <w:b/>
                <w:bCs/>
                <w:color w:val="000000"/>
                <w:sz w:val="22"/>
                <w:szCs w:val="22"/>
              </w:rPr>
              <w:t>Average lbs gw per trip</w:t>
            </w:r>
          </w:p>
        </w:tc>
      </w:tr>
      <w:tr w:rsidR="00B2630F" w14:paraId="318B0859" w14:textId="77777777" w:rsidTr="006668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59B056" w14:textId="77777777" w:rsidR="00B2630F" w:rsidRDefault="00B2630F" w:rsidP="00666827">
            <w:pPr>
              <w:jc w:val="center"/>
              <w:rPr>
                <w:color w:val="000000"/>
                <w:sz w:val="22"/>
                <w:szCs w:val="22"/>
              </w:rPr>
            </w:pPr>
            <w:r>
              <w:rPr>
                <w:color w:val="000000"/>
                <w:sz w:val="22"/>
                <w:szCs w:val="22"/>
              </w:rPr>
              <w:t>2010</w:t>
            </w:r>
          </w:p>
        </w:tc>
        <w:tc>
          <w:tcPr>
            <w:tcW w:w="1337" w:type="dxa"/>
            <w:tcBorders>
              <w:top w:val="nil"/>
              <w:left w:val="nil"/>
              <w:bottom w:val="single" w:sz="4" w:space="0" w:color="auto"/>
              <w:right w:val="single" w:sz="4" w:space="0" w:color="auto"/>
            </w:tcBorders>
            <w:shd w:val="clear" w:color="auto" w:fill="auto"/>
            <w:noWrap/>
            <w:vAlign w:val="bottom"/>
            <w:hideMark/>
          </w:tcPr>
          <w:p w14:paraId="2FCEC762" w14:textId="77777777" w:rsidR="00B2630F" w:rsidRDefault="00B2630F" w:rsidP="00666827">
            <w:pPr>
              <w:jc w:val="center"/>
              <w:rPr>
                <w:color w:val="000000"/>
                <w:sz w:val="22"/>
                <w:szCs w:val="22"/>
              </w:rPr>
            </w:pPr>
            <w:r>
              <w:rPr>
                <w:color w:val="000000"/>
                <w:sz w:val="22"/>
                <w:szCs w:val="22"/>
              </w:rPr>
              <w:t>313</w:t>
            </w:r>
          </w:p>
        </w:tc>
        <w:tc>
          <w:tcPr>
            <w:tcW w:w="993" w:type="dxa"/>
            <w:tcBorders>
              <w:top w:val="nil"/>
              <w:left w:val="nil"/>
              <w:bottom w:val="single" w:sz="4" w:space="0" w:color="auto"/>
              <w:right w:val="single" w:sz="4" w:space="0" w:color="auto"/>
            </w:tcBorders>
            <w:shd w:val="clear" w:color="auto" w:fill="auto"/>
            <w:noWrap/>
            <w:vAlign w:val="bottom"/>
            <w:hideMark/>
          </w:tcPr>
          <w:p w14:paraId="2AC3C30F" w14:textId="77777777" w:rsidR="00B2630F" w:rsidRDefault="00B2630F" w:rsidP="00666827">
            <w:pPr>
              <w:jc w:val="center"/>
              <w:rPr>
                <w:color w:val="000000"/>
                <w:sz w:val="22"/>
                <w:szCs w:val="22"/>
              </w:rPr>
            </w:pPr>
            <w:r>
              <w:rPr>
                <w:color w:val="000000"/>
                <w:sz w:val="22"/>
                <w:szCs w:val="22"/>
              </w:rPr>
              <w:t>51,749</w:t>
            </w:r>
          </w:p>
        </w:tc>
        <w:tc>
          <w:tcPr>
            <w:tcW w:w="1340" w:type="dxa"/>
            <w:tcBorders>
              <w:top w:val="nil"/>
              <w:left w:val="nil"/>
              <w:bottom w:val="single" w:sz="4" w:space="0" w:color="auto"/>
              <w:right w:val="single" w:sz="4" w:space="0" w:color="auto"/>
            </w:tcBorders>
            <w:shd w:val="clear" w:color="auto" w:fill="auto"/>
            <w:noWrap/>
            <w:vAlign w:val="bottom"/>
            <w:hideMark/>
          </w:tcPr>
          <w:p w14:paraId="331EE2BA" w14:textId="77777777" w:rsidR="00B2630F" w:rsidRDefault="00B2630F" w:rsidP="00666827">
            <w:pPr>
              <w:jc w:val="center"/>
              <w:rPr>
                <w:color w:val="000000"/>
                <w:sz w:val="22"/>
                <w:szCs w:val="22"/>
              </w:rPr>
            </w:pPr>
            <w:r>
              <w:rPr>
                <w:color w:val="000000"/>
                <w:sz w:val="22"/>
                <w:szCs w:val="22"/>
              </w:rPr>
              <w:t>165</w:t>
            </w:r>
          </w:p>
        </w:tc>
        <w:tc>
          <w:tcPr>
            <w:tcW w:w="762" w:type="dxa"/>
            <w:tcBorders>
              <w:top w:val="nil"/>
              <w:left w:val="nil"/>
              <w:bottom w:val="single" w:sz="4" w:space="0" w:color="auto"/>
              <w:right w:val="single" w:sz="4" w:space="0" w:color="auto"/>
            </w:tcBorders>
            <w:shd w:val="clear" w:color="auto" w:fill="auto"/>
            <w:noWrap/>
            <w:vAlign w:val="bottom"/>
            <w:hideMark/>
          </w:tcPr>
          <w:p w14:paraId="42ECCFF6" w14:textId="77777777" w:rsidR="00B2630F" w:rsidRDefault="00B2630F" w:rsidP="00666827">
            <w:pPr>
              <w:jc w:val="center"/>
              <w:rPr>
                <w:color w:val="000000"/>
                <w:sz w:val="22"/>
                <w:szCs w:val="22"/>
              </w:rPr>
            </w:pPr>
            <w:r>
              <w:rPr>
                <w:color w:val="000000"/>
                <w:sz w:val="22"/>
                <w:szCs w:val="22"/>
              </w:rPr>
              <w:t>1,495</w:t>
            </w:r>
          </w:p>
        </w:tc>
        <w:tc>
          <w:tcPr>
            <w:tcW w:w="1508" w:type="dxa"/>
            <w:tcBorders>
              <w:top w:val="nil"/>
              <w:left w:val="nil"/>
              <w:bottom w:val="single" w:sz="4" w:space="0" w:color="auto"/>
              <w:right w:val="single" w:sz="4" w:space="0" w:color="auto"/>
            </w:tcBorders>
            <w:shd w:val="clear" w:color="auto" w:fill="auto"/>
            <w:noWrap/>
            <w:vAlign w:val="bottom"/>
            <w:hideMark/>
          </w:tcPr>
          <w:p w14:paraId="11F2FAC5" w14:textId="77777777" w:rsidR="00B2630F" w:rsidRDefault="00B2630F" w:rsidP="00666827">
            <w:pPr>
              <w:jc w:val="center"/>
              <w:rPr>
                <w:color w:val="000000"/>
                <w:sz w:val="22"/>
                <w:szCs w:val="22"/>
              </w:rPr>
            </w:pPr>
            <w:r>
              <w:rPr>
                <w:color w:val="000000"/>
                <w:sz w:val="22"/>
                <w:szCs w:val="22"/>
              </w:rPr>
              <w:t>35</w:t>
            </w:r>
          </w:p>
        </w:tc>
      </w:tr>
      <w:tr w:rsidR="00B2630F" w14:paraId="0D0C2928" w14:textId="77777777" w:rsidTr="006668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CBFB53" w14:textId="77777777" w:rsidR="00B2630F" w:rsidRDefault="00B2630F" w:rsidP="00666827">
            <w:pPr>
              <w:jc w:val="center"/>
              <w:rPr>
                <w:color w:val="000000"/>
                <w:sz w:val="22"/>
                <w:szCs w:val="22"/>
              </w:rPr>
            </w:pPr>
            <w:r>
              <w:rPr>
                <w:bCs/>
                <w:color w:val="000000"/>
                <w:sz w:val="22"/>
                <w:szCs w:val="22"/>
              </w:rPr>
              <w:t>2011</w:t>
            </w:r>
          </w:p>
        </w:tc>
        <w:tc>
          <w:tcPr>
            <w:tcW w:w="1337" w:type="dxa"/>
            <w:tcBorders>
              <w:top w:val="nil"/>
              <w:left w:val="nil"/>
              <w:bottom w:val="single" w:sz="4" w:space="0" w:color="auto"/>
              <w:right w:val="single" w:sz="4" w:space="0" w:color="auto"/>
            </w:tcBorders>
            <w:shd w:val="clear" w:color="auto" w:fill="auto"/>
            <w:noWrap/>
            <w:vAlign w:val="bottom"/>
            <w:hideMark/>
          </w:tcPr>
          <w:p w14:paraId="55757372" w14:textId="77777777" w:rsidR="00B2630F" w:rsidRDefault="00B2630F" w:rsidP="00666827">
            <w:pPr>
              <w:jc w:val="center"/>
              <w:rPr>
                <w:color w:val="000000"/>
                <w:sz w:val="22"/>
                <w:szCs w:val="22"/>
              </w:rPr>
            </w:pPr>
            <w:r>
              <w:rPr>
                <w:color w:val="000000"/>
                <w:sz w:val="22"/>
                <w:szCs w:val="22"/>
              </w:rPr>
              <w:t>278</w:t>
            </w:r>
          </w:p>
        </w:tc>
        <w:tc>
          <w:tcPr>
            <w:tcW w:w="993" w:type="dxa"/>
            <w:tcBorders>
              <w:top w:val="nil"/>
              <w:left w:val="nil"/>
              <w:bottom w:val="single" w:sz="4" w:space="0" w:color="auto"/>
              <w:right w:val="single" w:sz="4" w:space="0" w:color="auto"/>
            </w:tcBorders>
            <w:shd w:val="clear" w:color="auto" w:fill="auto"/>
            <w:noWrap/>
            <w:vAlign w:val="bottom"/>
            <w:hideMark/>
          </w:tcPr>
          <w:p w14:paraId="15DAC385" w14:textId="77777777" w:rsidR="00B2630F" w:rsidRDefault="00B2630F" w:rsidP="00666827">
            <w:pPr>
              <w:jc w:val="center"/>
              <w:rPr>
                <w:color w:val="000000"/>
                <w:sz w:val="22"/>
                <w:szCs w:val="22"/>
              </w:rPr>
            </w:pPr>
            <w:r>
              <w:rPr>
                <w:color w:val="000000"/>
                <w:sz w:val="22"/>
                <w:szCs w:val="22"/>
              </w:rPr>
              <w:t>52,679</w:t>
            </w:r>
          </w:p>
        </w:tc>
        <w:tc>
          <w:tcPr>
            <w:tcW w:w="1340" w:type="dxa"/>
            <w:tcBorders>
              <w:top w:val="nil"/>
              <w:left w:val="nil"/>
              <w:bottom w:val="single" w:sz="4" w:space="0" w:color="auto"/>
              <w:right w:val="single" w:sz="4" w:space="0" w:color="auto"/>
            </w:tcBorders>
            <w:shd w:val="clear" w:color="auto" w:fill="auto"/>
            <w:noWrap/>
            <w:vAlign w:val="bottom"/>
            <w:hideMark/>
          </w:tcPr>
          <w:p w14:paraId="048B7666" w14:textId="77777777" w:rsidR="00B2630F" w:rsidRDefault="00B2630F" w:rsidP="00666827">
            <w:pPr>
              <w:jc w:val="center"/>
              <w:rPr>
                <w:color w:val="000000"/>
                <w:sz w:val="22"/>
                <w:szCs w:val="22"/>
              </w:rPr>
            </w:pPr>
            <w:r>
              <w:rPr>
                <w:color w:val="000000"/>
                <w:sz w:val="22"/>
                <w:szCs w:val="22"/>
              </w:rPr>
              <w:t>189</w:t>
            </w:r>
          </w:p>
        </w:tc>
        <w:tc>
          <w:tcPr>
            <w:tcW w:w="762" w:type="dxa"/>
            <w:tcBorders>
              <w:top w:val="nil"/>
              <w:left w:val="nil"/>
              <w:bottom w:val="single" w:sz="4" w:space="0" w:color="auto"/>
              <w:right w:val="single" w:sz="4" w:space="0" w:color="auto"/>
            </w:tcBorders>
            <w:shd w:val="clear" w:color="auto" w:fill="auto"/>
            <w:noWrap/>
            <w:vAlign w:val="bottom"/>
            <w:hideMark/>
          </w:tcPr>
          <w:p w14:paraId="7549D98E" w14:textId="77777777" w:rsidR="00B2630F" w:rsidRDefault="00B2630F" w:rsidP="00666827">
            <w:pPr>
              <w:jc w:val="center"/>
              <w:rPr>
                <w:color w:val="000000"/>
                <w:sz w:val="22"/>
                <w:szCs w:val="22"/>
              </w:rPr>
            </w:pPr>
            <w:r>
              <w:rPr>
                <w:color w:val="000000"/>
                <w:sz w:val="22"/>
                <w:szCs w:val="22"/>
              </w:rPr>
              <w:t>1,468</w:t>
            </w:r>
          </w:p>
        </w:tc>
        <w:tc>
          <w:tcPr>
            <w:tcW w:w="1508" w:type="dxa"/>
            <w:tcBorders>
              <w:top w:val="nil"/>
              <w:left w:val="nil"/>
              <w:bottom w:val="single" w:sz="4" w:space="0" w:color="auto"/>
              <w:right w:val="single" w:sz="4" w:space="0" w:color="auto"/>
            </w:tcBorders>
            <w:shd w:val="clear" w:color="auto" w:fill="auto"/>
            <w:noWrap/>
            <w:vAlign w:val="bottom"/>
            <w:hideMark/>
          </w:tcPr>
          <w:p w14:paraId="2D2C06C3" w14:textId="77777777" w:rsidR="00B2630F" w:rsidRDefault="00B2630F" w:rsidP="00666827">
            <w:pPr>
              <w:jc w:val="center"/>
              <w:rPr>
                <w:color w:val="000000"/>
                <w:sz w:val="22"/>
                <w:szCs w:val="22"/>
              </w:rPr>
            </w:pPr>
            <w:r>
              <w:rPr>
                <w:color w:val="000000"/>
                <w:sz w:val="22"/>
                <w:szCs w:val="22"/>
              </w:rPr>
              <w:t>36</w:t>
            </w:r>
          </w:p>
        </w:tc>
      </w:tr>
      <w:tr w:rsidR="00B2630F" w14:paraId="57AD13D3" w14:textId="77777777" w:rsidTr="006668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938D7E" w14:textId="77777777" w:rsidR="00B2630F" w:rsidRDefault="00B2630F" w:rsidP="00666827">
            <w:pPr>
              <w:jc w:val="center"/>
              <w:rPr>
                <w:color w:val="000000"/>
                <w:sz w:val="22"/>
                <w:szCs w:val="22"/>
              </w:rPr>
            </w:pPr>
            <w:r>
              <w:rPr>
                <w:bCs/>
                <w:color w:val="000000"/>
                <w:sz w:val="22"/>
                <w:szCs w:val="22"/>
              </w:rPr>
              <w:t>2012</w:t>
            </w:r>
          </w:p>
        </w:tc>
        <w:tc>
          <w:tcPr>
            <w:tcW w:w="1337" w:type="dxa"/>
            <w:tcBorders>
              <w:top w:val="nil"/>
              <w:left w:val="nil"/>
              <w:bottom w:val="single" w:sz="4" w:space="0" w:color="auto"/>
              <w:right w:val="single" w:sz="4" w:space="0" w:color="auto"/>
            </w:tcBorders>
            <w:shd w:val="clear" w:color="auto" w:fill="auto"/>
            <w:noWrap/>
            <w:vAlign w:val="bottom"/>
            <w:hideMark/>
          </w:tcPr>
          <w:p w14:paraId="05A7E9D4" w14:textId="77777777" w:rsidR="00B2630F" w:rsidRDefault="00B2630F" w:rsidP="00666827">
            <w:pPr>
              <w:jc w:val="center"/>
              <w:rPr>
                <w:color w:val="000000"/>
                <w:sz w:val="22"/>
                <w:szCs w:val="22"/>
              </w:rPr>
            </w:pPr>
            <w:r>
              <w:rPr>
                <w:color w:val="000000"/>
                <w:sz w:val="22"/>
                <w:szCs w:val="22"/>
              </w:rPr>
              <w:t>258</w:t>
            </w:r>
          </w:p>
        </w:tc>
        <w:tc>
          <w:tcPr>
            <w:tcW w:w="993" w:type="dxa"/>
            <w:tcBorders>
              <w:top w:val="nil"/>
              <w:left w:val="nil"/>
              <w:bottom w:val="single" w:sz="4" w:space="0" w:color="auto"/>
              <w:right w:val="single" w:sz="4" w:space="0" w:color="auto"/>
            </w:tcBorders>
            <w:shd w:val="clear" w:color="auto" w:fill="auto"/>
            <w:noWrap/>
            <w:vAlign w:val="bottom"/>
            <w:hideMark/>
          </w:tcPr>
          <w:p w14:paraId="15C20F55" w14:textId="77777777" w:rsidR="00B2630F" w:rsidRDefault="00B2630F" w:rsidP="00666827">
            <w:pPr>
              <w:jc w:val="center"/>
              <w:rPr>
                <w:color w:val="000000"/>
                <w:sz w:val="22"/>
                <w:szCs w:val="22"/>
              </w:rPr>
            </w:pPr>
            <w:r>
              <w:rPr>
                <w:color w:val="000000"/>
                <w:sz w:val="22"/>
                <w:szCs w:val="22"/>
              </w:rPr>
              <w:t>61,943</w:t>
            </w:r>
          </w:p>
        </w:tc>
        <w:tc>
          <w:tcPr>
            <w:tcW w:w="1340" w:type="dxa"/>
            <w:tcBorders>
              <w:top w:val="nil"/>
              <w:left w:val="nil"/>
              <w:bottom w:val="single" w:sz="4" w:space="0" w:color="auto"/>
              <w:right w:val="single" w:sz="4" w:space="0" w:color="auto"/>
            </w:tcBorders>
            <w:shd w:val="clear" w:color="auto" w:fill="auto"/>
            <w:noWrap/>
            <w:vAlign w:val="bottom"/>
            <w:hideMark/>
          </w:tcPr>
          <w:p w14:paraId="50D2F4E3" w14:textId="77777777" w:rsidR="00B2630F" w:rsidRDefault="00B2630F" w:rsidP="00666827">
            <w:pPr>
              <w:jc w:val="center"/>
              <w:rPr>
                <w:color w:val="000000"/>
                <w:sz w:val="22"/>
                <w:szCs w:val="22"/>
              </w:rPr>
            </w:pPr>
            <w:r>
              <w:rPr>
                <w:color w:val="000000"/>
                <w:sz w:val="22"/>
                <w:szCs w:val="22"/>
              </w:rPr>
              <w:t>240</w:t>
            </w:r>
          </w:p>
        </w:tc>
        <w:tc>
          <w:tcPr>
            <w:tcW w:w="762" w:type="dxa"/>
            <w:tcBorders>
              <w:top w:val="nil"/>
              <w:left w:val="nil"/>
              <w:bottom w:val="single" w:sz="4" w:space="0" w:color="auto"/>
              <w:right w:val="single" w:sz="4" w:space="0" w:color="auto"/>
            </w:tcBorders>
            <w:shd w:val="clear" w:color="auto" w:fill="auto"/>
            <w:noWrap/>
            <w:vAlign w:val="bottom"/>
            <w:hideMark/>
          </w:tcPr>
          <w:p w14:paraId="48098D78" w14:textId="77777777" w:rsidR="00B2630F" w:rsidRDefault="00B2630F" w:rsidP="00666827">
            <w:pPr>
              <w:jc w:val="center"/>
              <w:rPr>
                <w:color w:val="000000"/>
                <w:sz w:val="22"/>
                <w:szCs w:val="22"/>
              </w:rPr>
            </w:pPr>
            <w:r>
              <w:rPr>
                <w:color w:val="000000"/>
                <w:sz w:val="22"/>
                <w:szCs w:val="22"/>
              </w:rPr>
              <w:t>1,410</w:t>
            </w:r>
          </w:p>
        </w:tc>
        <w:tc>
          <w:tcPr>
            <w:tcW w:w="1508" w:type="dxa"/>
            <w:tcBorders>
              <w:top w:val="nil"/>
              <w:left w:val="nil"/>
              <w:bottom w:val="single" w:sz="4" w:space="0" w:color="auto"/>
              <w:right w:val="single" w:sz="4" w:space="0" w:color="auto"/>
            </w:tcBorders>
            <w:shd w:val="clear" w:color="auto" w:fill="auto"/>
            <w:noWrap/>
            <w:vAlign w:val="bottom"/>
            <w:hideMark/>
          </w:tcPr>
          <w:p w14:paraId="318508BD" w14:textId="77777777" w:rsidR="00B2630F" w:rsidRDefault="00B2630F" w:rsidP="00666827">
            <w:pPr>
              <w:jc w:val="center"/>
              <w:rPr>
                <w:color w:val="000000"/>
                <w:sz w:val="22"/>
                <w:szCs w:val="22"/>
              </w:rPr>
            </w:pPr>
            <w:r>
              <w:rPr>
                <w:color w:val="000000"/>
                <w:sz w:val="22"/>
                <w:szCs w:val="22"/>
              </w:rPr>
              <w:t>44</w:t>
            </w:r>
          </w:p>
        </w:tc>
      </w:tr>
      <w:tr w:rsidR="00B2630F" w14:paraId="10EC2779" w14:textId="77777777" w:rsidTr="006668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DE6556" w14:textId="77777777" w:rsidR="00B2630F" w:rsidRDefault="00B2630F" w:rsidP="00666827">
            <w:pPr>
              <w:jc w:val="center"/>
              <w:rPr>
                <w:color w:val="000000"/>
                <w:sz w:val="22"/>
                <w:szCs w:val="22"/>
              </w:rPr>
            </w:pPr>
            <w:r>
              <w:rPr>
                <w:bCs/>
                <w:color w:val="000000"/>
                <w:sz w:val="22"/>
                <w:szCs w:val="22"/>
              </w:rPr>
              <w:t>2013</w:t>
            </w:r>
          </w:p>
        </w:tc>
        <w:tc>
          <w:tcPr>
            <w:tcW w:w="1337" w:type="dxa"/>
            <w:tcBorders>
              <w:top w:val="nil"/>
              <w:left w:val="nil"/>
              <w:bottom w:val="single" w:sz="4" w:space="0" w:color="auto"/>
              <w:right w:val="single" w:sz="4" w:space="0" w:color="auto"/>
            </w:tcBorders>
            <w:shd w:val="clear" w:color="auto" w:fill="auto"/>
            <w:noWrap/>
            <w:vAlign w:val="bottom"/>
            <w:hideMark/>
          </w:tcPr>
          <w:p w14:paraId="5FE26C5B" w14:textId="77777777" w:rsidR="00B2630F" w:rsidRDefault="00B2630F" w:rsidP="00666827">
            <w:pPr>
              <w:jc w:val="center"/>
              <w:rPr>
                <w:color w:val="000000"/>
                <w:sz w:val="22"/>
                <w:szCs w:val="22"/>
              </w:rPr>
            </w:pPr>
            <w:r>
              <w:rPr>
                <w:color w:val="000000"/>
                <w:sz w:val="22"/>
                <w:szCs w:val="22"/>
              </w:rPr>
              <w:t>254</w:t>
            </w:r>
          </w:p>
        </w:tc>
        <w:tc>
          <w:tcPr>
            <w:tcW w:w="993" w:type="dxa"/>
            <w:tcBorders>
              <w:top w:val="nil"/>
              <w:left w:val="nil"/>
              <w:bottom w:val="single" w:sz="4" w:space="0" w:color="auto"/>
              <w:right w:val="single" w:sz="4" w:space="0" w:color="auto"/>
            </w:tcBorders>
            <w:shd w:val="clear" w:color="auto" w:fill="auto"/>
            <w:noWrap/>
            <w:vAlign w:val="bottom"/>
            <w:hideMark/>
          </w:tcPr>
          <w:p w14:paraId="0C63D047" w14:textId="77777777" w:rsidR="00B2630F" w:rsidRDefault="00B2630F" w:rsidP="00666827">
            <w:pPr>
              <w:jc w:val="center"/>
              <w:rPr>
                <w:color w:val="000000"/>
                <w:sz w:val="22"/>
                <w:szCs w:val="22"/>
              </w:rPr>
            </w:pPr>
            <w:r>
              <w:rPr>
                <w:color w:val="000000"/>
                <w:sz w:val="22"/>
                <w:szCs w:val="22"/>
              </w:rPr>
              <w:t>57,471</w:t>
            </w:r>
          </w:p>
        </w:tc>
        <w:tc>
          <w:tcPr>
            <w:tcW w:w="1340" w:type="dxa"/>
            <w:tcBorders>
              <w:top w:val="nil"/>
              <w:left w:val="nil"/>
              <w:bottom w:val="single" w:sz="4" w:space="0" w:color="auto"/>
              <w:right w:val="single" w:sz="4" w:space="0" w:color="auto"/>
            </w:tcBorders>
            <w:shd w:val="clear" w:color="auto" w:fill="auto"/>
            <w:noWrap/>
            <w:vAlign w:val="bottom"/>
            <w:hideMark/>
          </w:tcPr>
          <w:p w14:paraId="6C39F8E0" w14:textId="77777777" w:rsidR="00B2630F" w:rsidRDefault="00B2630F" w:rsidP="00666827">
            <w:pPr>
              <w:jc w:val="center"/>
              <w:rPr>
                <w:color w:val="000000"/>
                <w:sz w:val="22"/>
                <w:szCs w:val="22"/>
              </w:rPr>
            </w:pPr>
            <w:r>
              <w:rPr>
                <w:color w:val="000000"/>
                <w:sz w:val="22"/>
                <w:szCs w:val="22"/>
              </w:rPr>
              <w:t>226</w:t>
            </w:r>
          </w:p>
        </w:tc>
        <w:tc>
          <w:tcPr>
            <w:tcW w:w="762" w:type="dxa"/>
            <w:tcBorders>
              <w:top w:val="nil"/>
              <w:left w:val="nil"/>
              <w:bottom w:val="single" w:sz="4" w:space="0" w:color="auto"/>
              <w:right w:val="single" w:sz="4" w:space="0" w:color="auto"/>
            </w:tcBorders>
            <w:shd w:val="clear" w:color="auto" w:fill="auto"/>
            <w:noWrap/>
            <w:vAlign w:val="bottom"/>
            <w:hideMark/>
          </w:tcPr>
          <w:p w14:paraId="070D955A" w14:textId="77777777" w:rsidR="00B2630F" w:rsidRDefault="00B2630F" w:rsidP="00666827">
            <w:pPr>
              <w:jc w:val="center"/>
              <w:rPr>
                <w:color w:val="000000"/>
                <w:sz w:val="22"/>
                <w:szCs w:val="22"/>
              </w:rPr>
            </w:pPr>
            <w:r>
              <w:rPr>
                <w:color w:val="000000"/>
                <w:sz w:val="22"/>
                <w:szCs w:val="22"/>
              </w:rPr>
              <w:t>1,415</w:t>
            </w:r>
          </w:p>
        </w:tc>
        <w:tc>
          <w:tcPr>
            <w:tcW w:w="1508" w:type="dxa"/>
            <w:tcBorders>
              <w:top w:val="nil"/>
              <w:left w:val="nil"/>
              <w:bottom w:val="single" w:sz="4" w:space="0" w:color="auto"/>
              <w:right w:val="single" w:sz="4" w:space="0" w:color="auto"/>
            </w:tcBorders>
            <w:shd w:val="clear" w:color="auto" w:fill="auto"/>
            <w:noWrap/>
            <w:vAlign w:val="bottom"/>
            <w:hideMark/>
          </w:tcPr>
          <w:p w14:paraId="2F27476F" w14:textId="77777777" w:rsidR="00B2630F" w:rsidRDefault="00B2630F" w:rsidP="00666827">
            <w:pPr>
              <w:jc w:val="center"/>
              <w:rPr>
                <w:color w:val="000000"/>
                <w:sz w:val="22"/>
                <w:szCs w:val="22"/>
              </w:rPr>
            </w:pPr>
            <w:r>
              <w:rPr>
                <w:color w:val="000000"/>
                <w:sz w:val="22"/>
                <w:szCs w:val="22"/>
              </w:rPr>
              <w:t>41</w:t>
            </w:r>
          </w:p>
        </w:tc>
      </w:tr>
      <w:tr w:rsidR="00B2630F" w14:paraId="6F641F52" w14:textId="77777777" w:rsidTr="006668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B2FEA2" w14:textId="77777777" w:rsidR="00B2630F" w:rsidRDefault="00B2630F" w:rsidP="00666827">
            <w:pPr>
              <w:jc w:val="center"/>
              <w:rPr>
                <w:color w:val="000000"/>
                <w:sz w:val="22"/>
                <w:szCs w:val="22"/>
              </w:rPr>
            </w:pPr>
            <w:r>
              <w:rPr>
                <w:bCs/>
                <w:color w:val="000000"/>
                <w:sz w:val="22"/>
                <w:szCs w:val="22"/>
              </w:rPr>
              <w:t>2014</w:t>
            </w:r>
          </w:p>
        </w:tc>
        <w:tc>
          <w:tcPr>
            <w:tcW w:w="1337" w:type="dxa"/>
            <w:tcBorders>
              <w:top w:val="nil"/>
              <w:left w:val="nil"/>
              <w:bottom w:val="single" w:sz="4" w:space="0" w:color="auto"/>
              <w:right w:val="single" w:sz="4" w:space="0" w:color="auto"/>
            </w:tcBorders>
            <w:shd w:val="clear" w:color="auto" w:fill="auto"/>
            <w:noWrap/>
            <w:vAlign w:val="bottom"/>
            <w:hideMark/>
          </w:tcPr>
          <w:p w14:paraId="43DF771A" w14:textId="77777777" w:rsidR="00B2630F" w:rsidRDefault="00B2630F" w:rsidP="00666827">
            <w:pPr>
              <w:jc w:val="center"/>
              <w:rPr>
                <w:color w:val="000000"/>
                <w:sz w:val="22"/>
                <w:szCs w:val="22"/>
              </w:rPr>
            </w:pPr>
            <w:r>
              <w:rPr>
                <w:color w:val="000000"/>
                <w:sz w:val="22"/>
                <w:szCs w:val="22"/>
              </w:rPr>
              <w:t>257</w:t>
            </w:r>
          </w:p>
        </w:tc>
        <w:tc>
          <w:tcPr>
            <w:tcW w:w="993" w:type="dxa"/>
            <w:tcBorders>
              <w:top w:val="nil"/>
              <w:left w:val="nil"/>
              <w:bottom w:val="single" w:sz="4" w:space="0" w:color="auto"/>
              <w:right w:val="single" w:sz="4" w:space="0" w:color="auto"/>
            </w:tcBorders>
            <w:shd w:val="clear" w:color="auto" w:fill="auto"/>
            <w:noWrap/>
            <w:vAlign w:val="bottom"/>
            <w:hideMark/>
          </w:tcPr>
          <w:p w14:paraId="6EE8E9A6" w14:textId="77777777" w:rsidR="00B2630F" w:rsidRDefault="00B2630F" w:rsidP="00666827">
            <w:pPr>
              <w:jc w:val="center"/>
              <w:rPr>
                <w:color w:val="000000"/>
                <w:sz w:val="22"/>
                <w:szCs w:val="22"/>
              </w:rPr>
            </w:pPr>
            <w:r>
              <w:rPr>
                <w:color w:val="000000"/>
                <w:sz w:val="22"/>
                <w:szCs w:val="22"/>
              </w:rPr>
              <w:t>59,683</w:t>
            </w:r>
          </w:p>
        </w:tc>
        <w:tc>
          <w:tcPr>
            <w:tcW w:w="1340" w:type="dxa"/>
            <w:tcBorders>
              <w:top w:val="nil"/>
              <w:left w:val="nil"/>
              <w:bottom w:val="single" w:sz="4" w:space="0" w:color="auto"/>
              <w:right w:val="single" w:sz="4" w:space="0" w:color="auto"/>
            </w:tcBorders>
            <w:shd w:val="clear" w:color="auto" w:fill="auto"/>
            <w:noWrap/>
            <w:vAlign w:val="bottom"/>
            <w:hideMark/>
          </w:tcPr>
          <w:p w14:paraId="785870E6" w14:textId="77777777" w:rsidR="00B2630F" w:rsidRDefault="00B2630F" w:rsidP="00666827">
            <w:pPr>
              <w:jc w:val="center"/>
              <w:rPr>
                <w:color w:val="000000"/>
                <w:sz w:val="22"/>
                <w:szCs w:val="22"/>
              </w:rPr>
            </w:pPr>
            <w:r>
              <w:rPr>
                <w:color w:val="000000"/>
                <w:sz w:val="22"/>
                <w:szCs w:val="22"/>
              </w:rPr>
              <w:t>232</w:t>
            </w:r>
          </w:p>
        </w:tc>
        <w:tc>
          <w:tcPr>
            <w:tcW w:w="762" w:type="dxa"/>
            <w:tcBorders>
              <w:top w:val="nil"/>
              <w:left w:val="nil"/>
              <w:bottom w:val="single" w:sz="4" w:space="0" w:color="auto"/>
              <w:right w:val="single" w:sz="4" w:space="0" w:color="auto"/>
            </w:tcBorders>
            <w:shd w:val="clear" w:color="auto" w:fill="auto"/>
            <w:noWrap/>
            <w:vAlign w:val="bottom"/>
            <w:hideMark/>
          </w:tcPr>
          <w:p w14:paraId="73F02176" w14:textId="77777777" w:rsidR="00B2630F" w:rsidRDefault="00B2630F" w:rsidP="00666827">
            <w:pPr>
              <w:jc w:val="center"/>
              <w:rPr>
                <w:color w:val="000000"/>
                <w:sz w:val="22"/>
                <w:szCs w:val="22"/>
              </w:rPr>
            </w:pPr>
            <w:r>
              <w:rPr>
                <w:color w:val="000000"/>
                <w:sz w:val="22"/>
                <w:szCs w:val="22"/>
              </w:rPr>
              <w:t>1,729</w:t>
            </w:r>
          </w:p>
        </w:tc>
        <w:tc>
          <w:tcPr>
            <w:tcW w:w="1508" w:type="dxa"/>
            <w:tcBorders>
              <w:top w:val="nil"/>
              <w:left w:val="nil"/>
              <w:bottom w:val="single" w:sz="4" w:space="0" w:color="auto"/>
              <w:right w:val="single" w:sz="4" w:space="0" w:color="auto"/>
            </w:tcBorders>
            <w:shd w:val="clear" w:color="auto" w:fill="auto"/>
            <w:noWrap/>
            <w:vAlign w:val="bottom"/>
            <w:hideMark/>
          </w:tcPr>
          <w:p w14:paraId="5E409A16" w14:textId="77777777" w:rsidR="00B2630F" w:rsidRDefault="00B2630F" w:rsidP="00666827">
            <w:pPr>
              <w:jc w:val="center"/>
              <w:rPr>
                <w:color w:val="000000"/>
                <w:sz w:val="22"/>
                <w:szCs w:val="22"/>
              </w:rPr>
            </w:pPr>
            <w:r>
              <w:rPr>
                <w:color w:val="000000"/>
                <w:sz w:val="22"/>
                <w:szCs w:val="22"/>
              </w:rPr>
              <w:t>35</w:t>
            </w:r>
          </w:p>
        </w:tc>
      </w:tr>
      <w:tr w:rsidR="00B2630F" w14:paraId="518DC65F" w14:textId="77777777" w:rsidTr="006668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128B1E" w14:textId="77777777" w:rsidR="00B2630F" w:rsidRDefault="00B2630F" w:rsidP="00666827">
            <w:pPr>
              <w:jc w:val="center"/>
              <w:rPr>
                <w:b/>
                <w:bCs/>
                <w:color w:val="000000"/>
                <w:sz w:val="22"/>
                <w:szCs w:val="22"/>
              </w:rPr>
            </w:pPr>
            <w:r>
              <w:rPr>
                <w:b/>
                <w:bCs/>
                <w:color w:val="000000"/>
                <w:sz w:val="22"/>
                <w:szCs w:val="22"/>
              </w:rPr>
              <w:t xml:space="preserve">Average </w:t>
            </w:r>
          </w:p>
        </w:tc>
        <w:tc>
          <w:tcPr>
            <w:tcW w:w="1337" w:type="dxa"/>
            <w:tcBorders>
              <w:top w:val="nil"/>
              <w:left w:val="nil"/>
              <w:bottom w:val="single" w:sz="4" w:space="0" w:color="auto"/>
              <w:right w:val="single" w:sz="4" w:space="0" w:color="auto"/>
            </w:tcBorders>
            <w:shd w:val="clear" w:color="auto" w:fill="auto"/>
            <w:noWrap/>
            <w:vAlign w:val="bottom"/>
            <w:hideMark/>
          </w:tcPr>
          <w:p w14:paraId="356FE154" w14:textId="77777777" w:rsidR="00B2630F" w:rsidRDefault="00B2630F" w:rsidP="00666827">
            <w:pPr>
              <w:jc w:val="center"/>
              <w:rPr>
                <w:b/>
                <w:bCs/>
                <w:color w:val="000000"/>
                <w:sz w:val="22"/>
                <w:szCs w:val="22"/>
              </w:rPr>
            </w:pPr>
            <w:r>
              <w:rPr>
                <w:b/>
                <w:bCs/>
                <w:color w:val="000000"/>
                <w:sz w:val="22"/>
                <w:szCs w:val="22"/>
              </w:rPr>
              <w:t>272</w:t>
            </w:r>
          </w:p>
        </w:tc>
        <w:tc>
          <w:tcPr>
            <w:tcW w:w="993" w:type="dxa"/>
            <w:tcBorders>
              <w:top w:val="nil"/>
              <w:left w:val="nil"/>
              <w:bottom w:val="single" w:sz="4" w:space="0" w:color="auto"/>
              <w:right w:val="single" w:sz="4" w:space="0" w:color="auto"/>
            </w:tcBorders>
            <w:shd w:val="clear" w:color="auto" w:fill="auto"/>
            <w:noWrap/>
            <w:vAlign w:val="bottom"/>
            <w:hideMark/>
          </w:tcPr>
          <w:p w14:paraId="20242EDB" w14:textId="77777777" w:rsidR="00B2630F" w:rsidRDefault="00B2630F" w:rsidP="00666827">
            <w:pPr>
              <w:jc w:val="center"/>
              <w:rPr>
                <w:b/>
                <w:bCs/>
                <w:color w:val="000000"/>
                <w:sz w:val="22"/>
                <w:szCs w:val="22"/>
              </w:rPr>
            </w:pPr>
            <w:r>
              <w:rPr>
                <w:b/>
                <w:bCs/>
                <w:color w:val="000000"/>
                <w:sz w:val="22"/>
                <w:szCs w:val="22"/>
              </w:rPr>
              <w:t>56,705</w:t>
            </w:r>
          </w:p>
        </w:tc>
        <w:tc>
          <w:tcPr>
            <w:tcW w:w="1340" w:type="dxa"/>
            <w:tcBorders>
              <w:top w:val="nil"/>
              <w:left w:val="nil"/>
              <w:bottom w:val="single" w:sz="4" w:space="0" w:color="auto"/>
              <w:right w:val="single" w:sz="4" w:space="0" w:color="auto"/>
            </w:tcBorders>
            <w:shd w:val="clear" w:color="auto" w:fill="auto"/>
            <w:noWrap/>
            <w:vAlign w:val="bottom"/>
            <w:hideMark/>
          </w:tcPr>
          <w:p w14:paraId="27264B25" w14:textId="77777777" w:rsidR="00B2630F" w:rsidRDefault="00B2630F" w:rsidP="00666827">
            <w:pPr>
              <w:jc w:val="center"/>
              <w:rPr>
                <w:b/>
                <w:bCs/>
                <w:color w:val="000000"/>
                <w:sz w:val="22"/>
                <w:szCs w:val="22"/>
              </w:rPr>
            </w:pPr>
            <w:r>
              <w:rPr>
                <w:b/>
                <w:bCs/>
                <w:color w:val="000000"/>
                <w:sz w:val="22"/>
                <w:szCs w:val="22"/>
              </w:rPr>
              <w:t>210</w:t>
            </w:r>
          </w:p>
        </w:tc>
        <w:tc>
          <w:tcPr>
            <w:tcW w:w="762" w:type="dxa"/>
            <w:tcBorders>
              <w:top w:val="nil"/>
              <w:left w:val="nil"/>
              <w:bottom w:val="single" w:sz="4" w:space="0" w:color="auto"/>
              <w:right w:val="single" w:sz="4" w:space="0" w:color="auto"/>
            </w:tcBorders>
            <w:shd w:val="clear" w:color="auto" w:fill="auto"/>
            <w:noWrap/>
            <w:vAlign w:val="bottom"/>
            <w:hideMark/>
          </w:tcPr>
          <w:p w14:paraId="031D9E24" w14:textId="77777777" w:rsidR="00B2630F" w:rsidRDefault="00B2630F" w:rsidP="00666827">
            <w:pPr>
              <w:jc w:val="center"/>
              <w:rPr>
                <w:b/>
                <w:bCs/>
                <w:color w:val="000000"/>
                <w:sz w:val="22"/>
                <w:szCs w:val="22"/>
              </w:rPr>
            </w:pPr>
            <w:r>
              <w:rPr>
                <w:b/>
                <w:bCs/>
                <w:color w:val="000000"/>
                <w:sz w:val="22"/>
                <w:szCs w:val="22"/>
              </w:rPr>
              <w:t>1,503</w:t>
            </w:r>
          </w:p>
        </w:tc>
        <w:tc>
          <w:tcPr>
            <w:tcW w:w="1508" w:type="dxa"/>
            <w:tcBorders>
              <w:top w:val="nil"/>
              <w:left w:val="nil"/>
              <w:bottom w:val="single" w:sz="4" w:space="0" w:color="auto"/>
              <w:right w:val="single" w:sz="4" w:space="0" w:color="auto"/>
            </w:tcBorders>
            <w:shd w:val="clear" w:color="auto" w:fill="auto"/>
            <w:noWrap/>
            <w:vAlign w:val="bottom"/>
            <w:hideMark/>
          </w:tcPr>
          <w:p w14:paraId="22487A6F" w14:textId="77777777" w:rsidR="00B2630F" w:rsidRDefault="00B2630F" w:rsidP="00666827">
            <w:pPr>
              <w:jc w:val="center"/>
              <w:rPr>
                <w:b/>
                <w:bCs/>
                <w:color w:val="000000"/>
                <w:sz w:val="22"/>
                <w:szCs w:val="22"/>
              </w:rPr>
            </w:pPr>
            <w:r>
              <w:rPr>
                <w:b/>
                <w:bCs/>
                <w:color w:val="000000"/>
                <w:sz w:val="22"/>
                <w:szCs w:val="22"/>
              </w:rPr>
              <w:t>38</w:t>
            </w:r>
          </w:p>
        </w:tc>
      </w:tr>
    </w:tbl>
    <w:p w14:paraId="7836ADDA" w14:textId="4F26ED1C" w:rsidR="005F0F19" w:rsidRDefault="005F0F19" w:rsidP="005F0F19">
      <w:pPr>
        <w:rPr>
          <w:rFonts w:ascii="Arial" w:hAnsi="Arial" w:cs="Arial"/>
          <w:sz w:val="20"/>
          <w:szCs w:val="20"/>
        </w:rPr>
      </w:pPr>
      <w:r w:rsidRPr="00EE6E5E">
        <w:rPr>
          <w:rFonts w:ascii="Arial" w:hAnsi="Arial" w:cs="Arial"/>
          <w:sz w:val="20"/>
          <w:szCs w:val="20"/>
        </w:rPr>
        <w:t>Sour</w:t>
      </w:r>
      <w:r>
        <w:rPr>
          <w:rFonts w:ascii="Arial" w:hAnsi="Arial" w:cs="Arial"/>
          <w:sz w:val="20"/>
          <w:szCs w:val="20"/>
        </w:rPr>
        <w:t xml:space="preserve">ce: NMFS SEFSC Economic Query System, </w:t>
      </w:r>
      <w:r w:rsidR="00C44CC7">
        <w:rPr>
          <w:rFonts w:ascii="Arial" w:hAnsi="Arial" w:cs="Arial"/>
          <w:sz w:val="20"/>
          <w:szCs w:val="20"/>
        </w:rPr>
        <w:t>October 24</w:t>
      </w:r>
      <w:r>
        <w:rPr>
          <w:rFonts w:ascii="Arial" w:hAnsi="Arial" w:cs="Arial"/>
          <w:sz w:val="20"/>
          <w:szCs w:val="20"/>
        </w:rPr>
        <w:t xml:space="preserve">, 2016. </w:t>
      </w:r>
    </w:p>
    <w:p w14:paraId="64B87722" w14:textId="77777777" w:rsidR="005F0F19" w:rsidRPr="0067026A" w:rsidRDefault="005F0F19" w:rsidP="005F0F19">
      <w:pPr>
        <w:autoSpaceDE w:val="0"/>
        <w:autoSpaceDN w:val="0"/>
        <w:adjustRightInd w:val="0"/>
        <w:rPr>
          <w:rFonts w:ascii="TimesNewRomanPSMT" w:hAnsi="TimesNewRomanPSMT" w:cs="TimesNewRomanPSMT"/>
        </w:rPr>
      </w:pPr>
    </w:p>
    <w:p w14:paraId="3E304543" w14:textId="3ED44BDF" w:rsidR="00C44CC7" w:rsidRDefault="00C44CC7" w:rsidP="00C44CC7">
      <w:pPr>
        <w:autoSpaceDE w:val="0"/>
        <w:autoSpaceDN w:val="0"/>
        <w:adjustRightInd w:val="0"/>
        <w:ind w:firstLine="360"/>
      </w:pPr>
      <w:r>
        <w:t>Annual landings of South Atlantic mutton snapper yielded an average of $17</w:t>
      </w:r>
      <w:r w:rsidR="00B2630F">
        <w:t>3</w:t>
      </w:r>
      <w:r>
        <w:t>,2</w:t>
      </w:r>
      <w:r w:rsidR="00B2630F">
        <w:t>89 (2015 $)</w:t>
      </w:r>
      <w:r>
        <w:t xml:space="preserve"> in dockside revenue.  The average annual dockside revenue from mutton snapper landings was $6</w:t>
      </w:r>
      <w:r w:rsidR="00B2630F">
        <w:t>45</w:t>
      </w:r>
      <w:r>
        <w:t xml:space="preserve"> per vessel and that revenue represented approximately 6.</w:t>
      </w:r>
      <w:r w:rsidR="00B2630F">
        <w:t>1</w:t>
      </w:r>
      <w:r>
        <w:t>% of dockside revenue from all trips that landed mutton snapper (</w:t>
      </w:r>
      <w:r w:rsidRPr="00164CD3">
        <w:rPr>
          <w:b/>
        </w:rPr>
        <w:t>Table 3.3.10</w:t>
      </w:r>
      <w:r>
        <w:t>).</w:t>
      </w:r>
    </w:p>
    <w:p w14:paraId="59612810" w14:textId="5CDDF04F" w:rsidR="005F0F19" w:rsidRPr="0067026A" w:rsidRDefault="005F0F19" w:rsidP="005F0F19">
      <w:pPr>
        <w:autoSpaceDE w:val="0"/>
        <w:autoSpaceDN w:val="0"/>
        <w:adjustRightInd w:val="0"/>
        <w:rPr>
          <w:rFonts w:ascii="TimesNewRomanPSMT" w:hAnsi="TimesNewRomanPSMT" w:cs="TimesNewRomanPSMT"/>
        </w:rPr>
      </w:pPr>
      <w:r>
        <w:rPr>
          <w:rFonts w:ascii="TimesNewRomanPSMT" w:hAnsi="TimesNewRomanPSMT" w:cs="TimesNewRomanPSMT"/>
        </w:rPr>
        <w:tab/>
      </w:r>
    </w:p>
    <w:p w14:paraId="211C382E" w14:textId="77777777" w:rsidR="00971D18" w:rsidRDefault="00971D18">
      <w:pPr>
        <w:rPr>
          <w:rFonts w:ascii="Arial" w:hAnsi="Arial"/>
          <w:b/>
          <w:bCs/>
          <w:sz w:val="20"/>
        </w:rPr>
      </w:pPr>
      <w:r>
        <w:rPr>
          <w:b/>
        </w:rPr>
        <w:br w:type="page"/>
      </w:r>
    </w:p>
    <w:p w14:paraId="7F4ADBBB" w14:textId="198F1F3D" w:rsidR="005F0F19" w:rsidRDefault="005F0F19" w:rsidP="00502EF8">
      <w:pPr>
        <w:pStyle w:val="Tabletitle"/>
      </w:pPr>
      <w:bookmarkStart w:id="153" w:name="_Toc340431555"/>
      <w:r>
        <w:rPr>
          <w:b/>
        </w:rPr>
        <w:lastRenderedPageBreak/>
        <w:t>Table 3.3.10.</w:t>
      </w:r>
      <w:r w:rsidR="00C44CC7">
        <w:t xml:space="preserve">  Dockside revenue (2015</w:t>
      </w:r>
      <w:r w:rsidR="00B2630F">
        <w:t xml:space="preserve"> </w:t>
      </w:r>
      <w:r w:rsidR="00C44CC7">
        <w:t xml:space="preserve">$) from </w:t>
      </w:r>
      <w:r>
        <w:t xml:space="preserve">mutton snapper and other species by </w:t>
      </w:r>
      <w:r w:rsidR="00971D18">
        <w:t xml:space="preserve">trips </w:t>
      </w:r>
      <w:r w:rsidRPr="0067026A">
        <w:t xml:space="preserve">with </w:t>
      </w:r>
      <w:r>
        <w:t xml:space="preserve">mutton snapper </w:t>
      </w:r>
      <w:r w:rsidRPr="0067026A">
        <w:t>landi</w:t>
      </w:r>
      <w:r w:rsidR="00971D18">
        <w:t>ngs, 2011</w:t>
      </w:r>
      <w:r>
        <w:t>-201</w:t>
      </w:r>
      <w:r w:rsidR="00B2630F">
        <w:t>4</w:t>
      </w:r>
      <w:r w:rsidRPr="0067026A">
        <w:t>.</w:t>
      </w:r>
      <w:bookmarkEnd w:id="153"/>
      <w:r w:rsidRPr="0067026A">
        <w:t xml:space="preserve"> </w:t>
      </w:r>
    </w:p>
    <w:tbl>
      <w:tblPr>
        <w:tblW w:w="8300" w:type="dxa"/>
        <w:tblInd w:w="93" w:type="dxa"/>
        <w:tblLook w:val="04A0" w:firstRow="1" w:lastRow="0" w:firstColumn="1" w:lastColumn="0" w:noHBand="0" w:noVBand="1"/>
      </w:tblPr>
      <w:tblGrid>
        <w:gridCol w:w="998"/>
        <w:gridCol w:w="1340"/>
        <w:gridCol w:w="1060"/>
        <w:gridCol w:w="1340"/>
        <w:gridCol w:w="1260"/>
        <w:gridCol w:w="1340"/>
        <w:gridCol w:w="980"/>
      </w:tblGrid>
      <w:tr w:rsidR="00B2630F" w14:paraId="03AFAB46" w14:textId="77777777" w:rsidTr="00D94DF5">
        <w:trPr>
          <w:trHeight w:val="300"/>
        </w:trPr>
        <w:tc>
          <w:tcPr>
            <w:tcW w:w="98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1ACA661C" w14:textId="77777777" w:rsidR="00B2630F" w:rsidRDefault="00B2630F" w:rsidP="00666827">
            <w:pPr>
              <w:jc w:val="center"/>
              <w:rPr>
                <w:b/>
                <w:bCs/>
                <w:color w:val="000000"/>
                <w:sz w:val="22"/>
                <w:szCs w:val="22"/>
              </w:rPr>
            </w:pPr>
            <w:r>
              <w:rPr>
                <w:b/>
                <w:bCs/>
                <w:color w:val="000000"/>
                <w:sz w:val="22"/>
                <w:szCs w:val="22"/>
              </w:rPr>
              <w:t>Year</w:t>
            </w:r>
          </w:p>
        </w:tc>
        <w:tc>
          <w:tcPr>
            <w:tcW w:w="7320" w:type="dxa"/>
            <w:gridSpan w:val="6"/>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61BBFB97" w14:textId="77777777" w:rsidR="00B2630F" w:rsidRDefault="00B2630F" w:rsidP="00666827">
            <w:pPr>
              <w:rPr>
                <w:b/>
                <w:bCs/>
                <w:color w:val="000000"/>
                <w:sz w:val="22"/>
                <w:szCs w:val="22"/>
              </w:rPr>
            </w:pPr>
            <w:r>
              <w:rPr>
                <w:b/>
                <w:bCs/>
                <w:color w:val="000000"/>
                <w:sz w:val="22"/>
                <w:szCs w:val="22"/>
              </w:rPr>
              <w:t>Dockside revenue (2015 $) from mutton snapper trips</w:t>
            </w:r>
          </w:p>
        </w:tc>
      </w:tr>
      <w:tr w:rsidR="00B2630F" w14:paraId="03338721" w14:textId="77777777" w:rsidTr="00D94DF5">
        <w:trPr>
          <w:trHeight w:val="1710"/>
        </w:trPr>
        <w:tc>
          <w:tcPr>
            <w:tcW w:w="9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54A40A0" w14:textId="77777777" w:rsidR="00B2630F" w:rsidRDefault="00B2630F" w:rsidP="00666827">
            <w:pPr>
              <w:rPr>
                <w:b/>
                <w:bCs/>
                <w:color w:val="000000"/>
                <w:sz w:val="22"/>
                <w:szCs w:val="22"/>
              </w:rPr>
            </w:pPr>
          </w:p>
        </w:tc>
        <w:tc>
          <w:tcPr>
            <w:tcW w:w="1340" w:type="dxa"/>
            <w:tcBorders>
              <w:top w:val="nil"/>
              <w:left w:val="nil"/>
              <w:bottom w:val="single" w:sz="4" w:space="0" w:color="auto"/>
              <w:right w:val="single" w:sz="4" w:space="0" w:color="auto"/>
            </w:tcBorders>
            <w:shd w:val="clear" w:color="auto" w:fill="D9D9D9" w:themeFill="background1" w:themeFillShade="D9"/>
            <w:vAlign w:val="center"/>
            <w:hideMark/>
          </w:tcPr>
          <w:p w14:paraId="0C9DE357" w14:textId="77777777" w:rsidR="00B2630F" w:rsidRDefault="00B2630F" w:rsidP="00666827">
            <w:pPr>
              <w:jc w:val="center"/>
              <w:rPr>
                <w:b/>
                <w:bCs/>
                <w:color w:val="000000"/>
                <w:sz w:val="22"/>
                <w:szCs w:val="22"/>
              </w:rPr>
            </w:pPr>
            <w:r>
              <w:rPr>
                <w:b/>
                <w:bCs/>
                <w:color w:val="000000"/>
                <w:sz w:val="22"/>
                <w:szCs w:val="22"/>
              </w:rPr>
              <w:t>Mutton snapper</w:t>
            </w:r>
          </w:p>
        </w:tc>
        <w:tc>
          <w:tcPr>
            <w:tcW w:w="1060" w:type="dxa"/>
            <w:tcBorders>
              <w:top w:val="nil"/>
              <w:left w:val="nil"/>
              <w:bottom w:val="single" w:sz="4" w:space="0" w:color="auto"/>
              <w:right w:val="single" w:sz="4" w:space="0" w:color="auto"/>
            </w:tcBorders>
            <w:shd w:val="clear" w:color="auto" w:fill="D9D9D9" w:themeFill="background1" w:themeFillShade="D9"/>
            <w:vAlign w:val="center"/>
            <w:hideMark/>
          </w:tcPr>
          <w:p w14:paraId="20273056" w14:textId="77777777" w:rsidR="00B2630F" w:rsidRDefault="00B2630F" w:rsidP="00666827">
            <w:pPr>
              <w:jc w:val="center"/>
              <w:rPr>
                <w:b/>
                <w:bCs/>
                <w:color w:val="000000"/>
                <w:sz w:val="22"/>
                <w:szCs w:val="22"/>
              </w:rPr>
            </w:pPr>
            <w:r>
              <w:rPr>
                <w:b/>
                <w:bCs/>
                <w:color w:val="000000"/>
                <w:sz w:val="22"/>
                <w:szCs w:val="22"/>
              </w:rPr>
              <w:t>Average from mutton snapper per vessel</w:t>
            </w:r>
          </w:p>
        </w:tc>
        <w:tc>
          <w:tcPr>
            <w:tcW w:w="1340" w:type="dxa"/>
            <w:tcBorders>
              <w:top w:val="nil"/>
              <w:left w:val="nil"/>
              <w:bottom w:val="single" w:sz="4" w:space="0" w:color="auto"/>
              <w:right w:val="single" w:sz="4" w:space="0" w:color="auto"/>
            </w:tcBorders>
            <w:shd w:val="clear" w:color="auto" w:fill="D9D9D9" w:themeFill="background1" w:themeFillShade="D9"/>
            <w:vAlign w:val="center"/>
            <w:hideMark/>
          </w:tcPr>
          <w:p w14:paraId="1A7621C5" w14:textId="77777777" w:rsidR="00B2630F" w:rsidRDefault="00B2630F" w:rsidP="00666827">
            <w:pPr>
              <w:jc w:val="center"/>
              <w:rPr>
                <w:b/>
                <w:bCs/>
                <w:color w:val="000000"/>
                <w:sz w:val="22"/>
                <w:szCs w:val="22"/>
              </w:rPr>
            </w:pPr>
            <w:r>
              <w:rPr>
                <w:b/>
                <w:bCs/>
                <w:color w:val="000000"/>
                <w:sz w:val="22"/>
                <w:szCs w:val="22"/>
              </w:rPr>
              <w:t>Other species</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14:paraId="40FA43D4" w14:textId="77777777" w:rsidR="00B2630F" w:rsidRDefault="00B2630F" w:rsidP="00666827">
            <w:pPr>
              <w:jc w:val="center"/>
              <w:rPr>
                <w:b/>
                <w:bCs/>
                <w:color w:val="000000"/>
                <w:sz w:val="22"/>
                <w:szCs w:val="22"/>
              </w:rPr>
            </w:pPr>
            <w:r>
              <w:rPr>
                <w:b/>
                <w:bCs/>
                <w:color w:val="000000"/>
                <w:sz w:val="22"/>
                <w:szCs w:val="22"/>
              </w:rPr>
              <w:t>Total from jointly caught species</w:t>
            </w:r>
          </w:p>
        </w:tc>
        <w:tc>
          <w:tcPr>
            <w:tcW w:w="1340" w:type="dxa"/>
            <w:tcBorders>
              <w:top w:val="nil"/>
              <w:left w:val="nil"/>
              <w:bottom w:val="single" w:sz="4" w:space="0" w:color="auto"/>
              <w:right w:val="single" w:sz="4" w:space="0" w:color="auto"/>
            </w:tcBorders>
            <w:shd w:val="clear" w:color="auto" w:fill="D9D9D9" w:themeFill="background1" w:themeFillShade="D9"/>
            <w:vAlign w:val="center"/>
            <w:hideMark/>
          </w:tcPr>
          <w:p w14:paraId="5C08FDDF" w14:textId="77777777" w:rsidR="00B2630F" w:rsidRDefault="00B2630F" w:rsidP="00666827">
            <w:pPr>
              <w:jc w:val="center"/>
              <w:rPr>
                <w:b/>
                <w:bCs/>
                <w:color w:val="000000"/>
                <w:sz w:val="22"/>
                <w:szCs w:val="22"/>
              </w:rPr>
            </w:pPr>
            <w:r>
              <w:rPr>
                <w:b/>
                <w:bCs/>
                <w:color w:val="000000"/>
                <w:sz w:val="22"/>
                <w:szCs w:val="22"/>
              </w:rPr>
              <w:t>Average  per vessel</w:t>
            </w:r>
          </w:p>
        </w:tc>
        <w:tc>
          <w:tcPr>
            <w:tcW w:w="980" w:type="dxa"/>
            <w:tcBorders>
              <w:top w:val="nil"/>
              <w:left w:val="nil"/>
              <w:bottom w:val="single" w:sz="4" w:space="0" w:color="auto"/>
              <w:right w:val="single" w:sz="4" w:space="0" w:color="auto"/>
            </w:tcBorders>
            <w:shd w:val="clear" w:color="auto" w:fill="D9D9D9" w:themeFill="background1" w:themeFillShade="D9"/>
            <w:vAlign w:val="center"/>
            <w:hideMark/>
          </w:tcPr>
          <w:p w14:paraId="60003664" w14:textId="77777777" w:rsidR="00B2630F" w:rsidRDefault="00B2630F" w:rsidP="00666827">
            <w:pPr>
              <w:jc w:val="center"/>
              <w:rPr>
                <w:b/>
                <w:bCs/>
                <w:color w:val="000000"/>
                <w:sz w:val="22"/>
                <w:szCs w:val="22"/>
              </w:rPr>
            </w:pPr>
            <w:r>
              <w:rPr>
                <w:b/>
                <w:bCs/>
                <w:color w:val="000000"/>
                <w:sz w:val="22"/>
                <w:szCs w:val="22"/>
              </w:rPr>
              <w:t>Percent mutton snapper</w:t>
            </w:r>
          </w:p>
        </w:tc>
      </w:tr>
      <w:tr w:rsidR="00B2630F" w14:paraId="2235B581"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AD3A692" w14:textId="77777777" w:rsidR="00B2630F" w:rsidRDefault="00B2630F" w:rsidP="00666827">
            <w:pPr>
              <w:jc w:val="center"/>
              <w:rPr>
                <w:color w:val="000000"/>
                <w:sz w:val="22"/>
                <w:szCs w:val="22"/>
              </w:rPr>
            </w:pPr>
            <w:r>
              <w:rPr>
                <w:color w:val="000000"/>
                <w:sz w:val="22"/>
                <w:szCs w:val="22"/>
              </w:rPr>
              <w:t>2010</w:t>
            </w:r>
          </w:p>
        </w:tc>
        <w:tc>
          <w:tcPr>
            <w:tcW w:w="1340" w:type="dxa"/>
            <w:tcBorders>
              <w:top w:val="nil"/>
              <w:left w:val="nil"/>
              <w:bottom w:val="single" w:sz="4" w:space="0" w:color="auto"/>
              <w:right w:val="single" w:sz="4" w:space="0" w:color="auto"/>
            </w:tcBorders>
            <w:shd w:val="clear" w:color="auto" w:fill="auto"/>
            <w:noWrap/>
            <w:vAlign w:val="bottom"/>
            <w:hideMark/>
          </w:tcPr>
          <w:p w14:paraId="54AA27FA" w14:textId="77777777" w:rsidR="00B2630F" w:rsidRDefault="00B2630F" w:rsidP="00666827">
            <w:pPr>
              <w:jc w:val="center"/>
              <w:rPr>
                <w:color w:val="000000"/>
                <w:sz w:val="22"/>
                <w:szCs w:val="22"/>
              </w:rPr>
            </w:pPr>
            <w:r>
              <w:rPr>
                <w:color w:val="000000"/>
                <w:sz w:val="22"/>
                <w:szCs w:val="22"/>
              </w:rPr>
              <w:t>$148,468</w:t>
            </w:r>
          </w:p>
        </w:tc>
        <w:tc>
          <w:tcPr>
            <w:tcW w:w="1060" w:type="dxa"/>
            <w:tcBorders>
              <w:top w:val="nil"/>
              <w:left w:val="nil"/>
              <w:bottom w:val="single" w:sz="4" w:space="0" w:color="auto"/>
              <w:right w:val="single" w:sz="4" w:space="0" w:color="auto"/>
            </w:tcBorders>
            <w:shd w:val="clear" w:color="auto" w:fill="auto"/>
            <w:noWrap/>
            <w:vAlign w:val="bottom"/>
            <w:hideMark/>
          </w:tcPr>
          <w:p w14:paraId="1ECC72D2" w14:textId="77777777" w:rsidR="00B2630F" w:rsidRDefault="00B2630F" w:rsidP="00666827">
            <w:pPr>
              <w:jc w:val="center"/>
              <w:rPr>
                <w:color w:val="000000"/>
                <w:sz w:val="22"/>
                <w:szCs w:val="22"/>
              </w:rPr>
            </w:pPr>
            <w:r>
              <w:rPr>
                <w:color w:val="000000"/>
                <w:sz w:val="22"/>
                <w:szCs w:val="22"/>
              </w:rPr>
              <w:t>$474</w:t>
            </w:r>
          </w:p>
        </w:tc>
        <w:tc>
          <w:tcPr>
            <w:tcW w:w="1340" w:type="dxa"/>
            <w:tcBorders>
              <w:top w:val="nil"/>
              <w:left w:val="nil"/>
              <w:bottom w:val="single" w:sz="4" w:space="0" w:color="auto"/>
              <w:right w:val="single" w:sz="4" w:space="0" w:color="auto"/>
            </w:tcBorders>
            <w:shd w:val="clear" w:color="auto" w:fill="auto"/>
            <w:noWrap/>
            <w:vAlign w:val="bottom"/>
            <w:hideMark/>
          </w:tcPr>
          <w:p w14:paraId="245DA354" w14:textId="77777777" w:rsidR="00B2630F" w:rsidRDefault="00B2630F" w:rsidP="00666827">
            <w:pPr>
              <w:jc w:val="center"/>
              <w:rPr>
                <w:color w:val="000000"/>
                <w:sz w:val="22"/>
                <w:szCs w:val="22"/>
              </w:rPr>
            </w:pPr>
            <w:r>
              <w:rPr>
                <w:color w:val="000000"/>
                <w:sz w:val="22"/>
                <w:szCs w:val="22"/>
              </w:rPr>
              <w:t>$2,245,707</w:t>
            </w:r>
          </w:p>
        </w:tc>
        <w:tc>
          <w:tcPr>
            <w:tcW w:w="1260" w:type="dxa"/>
            <w:tcBorders>
              <w:top w:val="nil"/>
              <w:left w:val="nil"/>
              <w:bottom w:val="single" w:sz="4" w:space="0" w:color="auto"/>
              <w:right w:val="single" w:sz="4" w:space="0" w:color="auto"/>
            </w:tcBorders>
            <w:shd w:val="clear" w:color="auto" w:fill="auto"/>
            <w:noWrap/>
            <w:vAlign w:val="bottom"/>
            <w:hideMark/>
          </w:tcPr>
          <w:p w14:paraId="374F9A78" w14:textId="77777777" w:rsidR="00B2630F" w:rsidRDefault="00B2630F" w:rsidP="00666827">
            <w:pPr>
              <w:jc w:val="center"/>
              <w:rPr>
                <w:color w:val="000000"/>
                <w:sz w:val="22"/>
                <w:szCs w:val="22"/>
              </w:rPr>
            </w:pPr>
            <w:r>
              <w:rPr>
                <w:color w:val="000000"/>
                <w:sz w:val="22"/>
                <w:szCs w:val="22"/>
              </w:rPr>
              <w:t>$2,394,175</w:t>
            </w:r>
          </w:p>
        </w:tc>
        <w:tc>
          <w:tcPr>
            <w:tcW w:w="1340" w:type="dxa"/>
            <w:tcBorders>
              <w:top w:val="nil"/>
              <w:left w:val="nil"/>
              <w:bottom w:val="single" w:sz="4" w:space="0" w:color="auto"/>
              <w:right w:val="single" w:sz="4" w:space="0" w:color="auto"/>
            </w:tcBorders>
            <w:shd w:val="clear" w:color="auto" w:fill="auto"/>
            <w:noWrap/>
            <w:vAlign w:val="bottom"/>
            <w:hideMark/>
          </w:tcPr>
          <w:p w14:paraId="03E5B5FA" w14:textId="77777777" w:rsidR="00B2630F" w:rsidRDefault="00B2630F" w:rsidP="00666827">
            <w:pPr>
              <w:jc w:val="center"/>
              <w:rPr>
                <w:color w:val="000000"/>
                <w:sz w:val="22"/>
                <w:szCs w:val="22"/>
              </w:rPr>
            </w:pPr>
            <w:r>
              <w:rPr>
                <w:color w:val="000000"/>
                <w:sz w:val="22"/>
                <w:szCs w:val="22"/>
              </w:rPr>
              <w:t>$7,649</w:t>
            </w:r>
          </w:p>
        </w:tc>
        <w:tc>
          <w:tcPr>
            <w:tcW w:w="980" w:type="dxa"/>
            <w:tcBorders>
              <w:top w:val="nil"/>
              <w:left w:val="nil"/>
              <w:bottom w:val="single" w:sz="4" w:space="0" w:color="auto"/>
              <w:right w:val="single" w:sz="4" w:space="0" w:color="auto"/>
            </w:tcBorders>
            <w:shd w:val="clear" w:color="auto" w:fill="auto"/>
            <w:noWrap/>
            <w:vAlign w:val="bottom"/>
            <w:hideMark/>
          </w:tcPr>
          <w:p w14:paraId="1E82FD22" w14:textId="77777777" w:rsidR="00B2630F" w:rsidRDefault="00B2630F" w:rsidP="00666827">
            <w:pPr>
              <w:jc w:val="center"/>
              <w:rPr>
                <w:color w:val="000000"/>
                <w:sz w:val="22"/>
                <w:szCs w:val="22"/>
              </w:rPr>
            </w:pPr>
            <w:r>
              <w:rPr>
                <w:color w:val="000000"/>
                <w:sz w:val="22"/>
                <w:szCs w:val="22"/>
              </w:rPr>
              <w:t>6.2%</w:t>
            </w:r>
          </w:p>
        </w:tc>
      </w:tr>
      <w:tr w:rsidR="00B2630F" w14:paraId="1D7D2964"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180D987" w14:textId="77777777" w:rsidR="00B2630F" w:rsidRDefault="00B2630F" w:rsidP="00666827">
            <w:pPr>
              <w:jc w:val="center"/>
              <w:rPr>
                <w:color w:val="000000"/>
                <w:sz w:val="22"/>
                <w:szCs w:val="22"/>
              </w:rPr>
            </w:pPr>
            <w:r>
              <w:rPr>
                <w:bCs/>
                <w:color w:val="000000"/>
                <w:sz w:val="22"/>
                <w:szCs w:val="22"/>
              </w:rPr>
              <w:t>2011</w:t>
            </w:r>
          </w:p>
        </w:tc>
        <w:tc>
          <w:tcPr>
            <w:tcW w:w="1340" w:type="dxa"/>
            <w:tcBorders>
              <w:top w:val="nil"/>
              <w:left w:val="nil"/>
              <w:bottom w:val="single" w:sz="4" w:space="0" w:color="auto"/>
              <w:right w:val="single" w:sz="4" w:space="0" w:color="auto"/>
            </w:tcBorders>
            <w:shd w:val="clear" w:color="auto" w:fill="auto"/>
            <w:noWrap/>
            <w:vAlign w:val="bottom"/>
            <w:hideMark/>
          </w:tcPr>
          <w:p w14:paraId="4725C458" w14:textId="77777777" w:rsidR="00B2630F" w:rsidRDefault="00B2630F" w:rsidP="00666827">
            <w:pPr>
              <w:jc w:val="center"/>
              <w:rPr>
                <w:color w:val="000000"/>
                <w:sz w:val="22"/>
                <w:szCs w:val="22"/>
              </w:rPr>
            </w:pPr>
            <w:r>
              <w:rPr>
                <w:color w:val="000000"/>
                <w:sz w:val="22"/>
                <w:szCs w:val="22"/>
              </w:rPr>
              <w:t>$164,452</w:t>
            </w:r>
          </w:p>
        </w:tc>
        <w:tc>
          <w:tcPr>
            <w:tcW w:w="1060" w:type="dxa"/>
            <w:tcBorders>
              <w:top w:val="nil"/>
              <w:left w:val="nil"/>
              <w:bottom w:val="single" w:sz="4" w:space="0" w:color="auto"/>
              <w:right w:val="single" w:sz="4" w:space="0" w:color="auto"/>
            </w:tcBorders>
            <w:shd w:val="clear" w:color="auto" w:fill="auto"/>
            <w:noWrap/>
            <w:vAlign w:val="bottom"/>
            <w:hideMark/>
          </w:tcPr>
          <w:p w14:paraId="0EEA3592" w14:textId="77777777" w:rsidR="00B2630F" w:rsidRDefault="00B2630F" w:rsidP="00666827">
            <w:pPr>
              <w:jc w:val="center"/>
              <w:rPr>
                <w:color w:val="000000"/>
                <w:sz w:val="22"/>
                <w:szCs w:val="22"/>
              </w:rPr>
            </w:pPr>
            <w:r>
              <w:rPr>
                <w:color w:val="000000"/>
                <w:sz w:val="22"/>
                <w:szCs w:val="22"/>
              </w:rPr>
              <w:t>$592</w:t>
            </w:r>
          </w:p>
        </w:tc>
        <w:tc>
          <w:tcPr>
            <w:tcW w:w="1340" w:type="dxa"/>
            <w:tcBorders>
              <w:top w:val="nil"/>
              <w:left w:val="nil"/>
              <w:bottom w:val="single" w:sz="4" w:space="0" w:color="auto"/>
              <w:right w:val="single" w:sz="4" w:space="0" w:color="auto"/>
            </w:tcBorders>
            <w:shd w:val="clear" w:color="auto" w:fill="auto"/>
            <w:noWrap/>
            <w:vAlign w:val="bottom"/>
            <w:hideMark/>
          </w:tcPr>
          <w:p w14:paraId="4A15D990" w14:textId="77777777" w:rsidR="00B2630F" w:rsidRDefault="00B2630F" w:rsidP="00666827">
            <w:pPr>
              <w:jc w:val="center"/>
              <w:rPr>
                <w:color w:val="000000"/>
                <w:sz w:val="22"/>
                <w:szCs w:val="22"/>
              </w:rPr>
            </w:pPr>
            <w:r>
              <w:rPr>
                <w:color w:val="000000"/>
                <w:sz w:val="22"/>
                <w:szCs w:val="22"/>
              </w:rPr>
              <w:t>$2,508,213</w:t>
            </w:r>
          </w:p>
        </w:tc>
        <w:tc>
          <w:tcPr>
            <w:tcW w:w="1260" w:type="dxa"/>
            <w:tcBorders>
              <w:top w:val="nil"/>
              <w:left w:val="nil"/>
              <w:bottom w:val="single" w:sz="4" w:space="0" w:color="auto"/>
              <w:right w:val="single" w:sz="4" w:space="0" w:color="auto"/>
            </w:tcBorders>
            <w:shd w:val="clear" w:color="auto" w:fill="auto"/>
            <w:noWrap/>
            <w:vAlign w:val="bottom"/>
            <w:hideMark/>
          </w:tcPr>
          <w:p w14:paraId="434833A4" w14:textId="77777777" w:rsidR="00B2630F" w:rsidRDefault="00B2630F" w:rsidP="00666827">
            <w:pPr>
              <w:jc w:val="center"/>
              <w:rPr>
                <w:color w:val="000000"/>
                <w:sz w:val="22"/>
                <w:szCs w:val="22"/>
              </w:rPr>
            </w:pPr>
            <w:r>
              <w:rPr>
                <w:color w:val="000000"/>
                <w:sz w:val="22"/>
                <w:szCs w:val="22"/>
              </w:rPr>
              <w:t>$2,672,666</w:t>
            </w:r>
          </w:p>
        </w:tc>
        <w:tc>
          <w:tcPr>
            <w:tcW w:w="1340" w:type="dxa"/>
            <w:tcBorders>
              <w:top w:val="nil"/>
              <w:left w:val="nil"/>
              <w:bottom w:val="single" w:sz="4" w:space="0" w:color="auto"/>
              <w:right w:val="single" w:sz="4" w:space="0" w:color="auto"/>
            </w:tcBorders>
            <w:shd w:val="clear" w:color="auto" w:fill="auto"/>
            <w:noWrap/>
            <w:vAlign w:val="bottom"/>
            <w:hideMark/>
          </w:tcPr>
          <w:p w14:paraId="43F1FB9C" w14:textId="77777777" w:rsidR="00B2630F" w:rsidRDefault="00B2630F" w:rsidP="00666827">
            <w:pPr>
              <w:jc w:val="center"/>
              <w:rPr>
                <w:color w:val="000000"/>
                <w:sz w:val="22"/>
                <w:szCs w:val="22"/>
              </w:rPr>
            </w:pPr>
            <w:r>
              <w:rPr>
                <w:color w:val="000000"/>
                <w:sz w:val="22"/>
                <w:szCs w:val="22"/>
              </w:rPr>
              <w:t>$9,614</w:t>
            </w:r>
          </w:p>
        </w:tc>
        <w:tc>
          <w:tcPr>
            <w:tcW w:w="980" w:type="dxa"/>
            <w:tcBorders>
              <w:top w:val="nil"/>
              <w:left w:val="nil"/>
              <w:bottom w:val="single" w:sz="4" w:space="0" w:color="auto"/>
              <w:right w:val="single" w:sz="4" w:space="0" w:color="auto"/>
            </w:tcBorders>
            <w:shd w:val="clear" w:color="auto" w:fill="auto"/>
            <w:noWrap/>
            <w:vAlign w:val="bottom"/>
            <w:hideMark/>
          </w:tcPr>
          <w:p w14:paraId="354E7221" w14:textId="77777777" w:rsidR="00B2630F" w:rsidRDefault="00B2630F" w:rsidP="00666827">
            <w:pPr>
              <w:jc w:val="center"/>
              <w:rPr>
                <w:color w:val="000000"/>
                <w:sz w:val="22"/>
                <w:szCs w:val="22"/>
              </w:rPr>
            </w:pPr>
            <w:r>
              <w:rPr>
                <w:color w:val="000000"/>
                <w:sz w:val="22"/>
                <w:szCs w:val="22"/>
              </w:rPr>
              <w:t>6.2%</w:t>
            </w:r>
          </w:p>
        </w:tc>
      </w:tr>
      <w:tr w:rsidR="00B2630F" w14:paraId="35AB7C50"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5A9AD27" w14:textId="77777777" w:rsidR="00B2630F" w:rsidRDefault="00B2630F" w:rsidP="00666827">
            <w:pPr>
              <w:jc w:val="center"/>
              <w:rPr>
                <w:color w:val="000000"/>
                <w:sz w:val="22"/>
                <w:szCs w:val="22"/>
              </w:rPr>
            </w:pPr>
            <w:r>
              <w:rPr>
                <w:bCs/>
                <w:color w:val="000000"/>
                <w:sz w:val="22"/>
                <w:szCs w:val="22"/>
              </w:rPr>
              <w:t>2012</w:t>
            </w:r>
          </w:p>
        </w:tc>
        <w:tc>
          <w:tcPr>
            <w:tcW w:w="1340" w:type="dxa"/>
            <w:tcBorders>
              <w:top w:val="nil"/>
              <w:left w:val="nil"/>
              <w:bottom w:val="single" w:sz="4" w:space="0" w:color="auto"/>
              <w:right w:val="single" w:sz="4" w:space="0" w:color="auto"/>
            </w:tcBorders>
            <w:shd w:val="clear" w:color="auto" w:fill="auto"/>
            <w:noWrap/>
            <w:vAlign w:val="bottom"/>
            <w:hideMark/>
          </w:tcPr>
          <w:p w14:paraId="3964AA7A" w14:textId="77777777" w:rsidR="00B2630F" w:rsidRDefault="00B2630F" w:rsidP="00666827">
            <w:pPr>
              <w:jc w:val="center"/>
              <w:rPr>
                <w:color w:val="000000"/>
                <w:sz w:val="22"/>
                <w:szCs w:val="22"/>
              </w:rPr>
            </w:pPr>
            <w:r>
              <w:rPr>
                <w:color w:val="000000"/>
                <w:sz w:val="22"/>
                <w:szCs w:val="22"/>
              </w:rPr>
              <w:t>$184,550</w:t>
            </w:r>
          </w:p>
        </w:tc>
        <w:tc>
          <w:tcPr>
            <w:tcW w:w="1060" w:type="dxa"/>
            <w:tcBorders>
              <w:top w:val="nil"/>
              <w:left w:val="nil"/>
              <w:bottom w:val="single" w:sz="4" w:space="0" w:color="auto"/>
              <w:right w:val="single" w:sz="4" w:space="0" w:color="auto"/>
            </w:tcBorders>
            <w:shd w:val="clear" w:color="auto" w:fill="auto"/>
            <w:noWrap/>
            <w:vAlign w:val="bottom"/>
            <w:hideMark/>
          </w:tcPr>
          <w:p w14:paraId="65ECE714" w14:textId="77777777" w:rsidR="00B2630F" w:rsidRDefault="00B2630F" w:rsidP="00666827">
            <w:pPr>
              <w:jc w:val="center"/>
              <w:rPr>
                <w:color w:val="000000"/>
                <w:sz w:val="22"/>
                <w:szCs w:val="22"/>
              </w:rPr>
            </w:pPr>
            <w:r>
              <w:rPr>
                <w:color w:val="000000"/>
                <w:sz w:val="22"/>
                <w:szCs w:val="22"/>
              </w:rPr>
              <w:t>$715</w:t>
            </w:r>
          </w:p>
        </w:tc>
        <w:tc>
          <w:tcPr>
            <w:tcW w:w="1340" w:type="dxa"/>
            <w:tcBorders>
              <w:top w:val="nil"/>
              <w:left w:val="nil"/>
              <w:bottom w:val="single" w:sz="4" w:space="0" w:color="auto"/>
              <w:right w:val="single" w:sz="4" w:space="0" w:color="auto"/>
            </w:tcBorders>
            <w:shd w:val="clear" w:color="auto" w:fill="auto"/>
            <w:noWrap/>
            <w:vAlign w:val="bottom"/>
            <w:hideMark/>
          </w:tcPr>
          <w:p w14:paraId="4C69E586" w14:textId="77777777" w:rsidR="00B2630F" w:rsidRDefault="00B2630F" w:rsidP="00666827">
            <w:pPr>
              <w:jc w:val="center"/>
              <w:rPr>
                <w:color w:val="000000"/>
                <w:sz w:val="22"/>
                <w:szCs w:val="22"/>
              </w:rPr>
            </w:pPr>
            <w:r>
              <w:rPr>
                <w:color w:val="000000"/>
                <w:sz w:val="22"/>
                <w:szCs w:val="22"/>
              </w:rPr>
              <w:t>$2,487,243</w:t>
            </w:r>
          </w:p>
        </w:tc>
        <w:tc>
          <w:tcPr>
            <w:tcW w:w="1260" w:type="dxa"/>
            <w:tcBorders>
              <w:top w:val="nil"/>
              <w:left w:val="nil"/>
              <w:bottom w:val="single" w:sz="4" w:space="0" w:color="auto"/>
              <w:right w:val="single" w:sz="4" w:space="0" w:color="auto"/>
            </w:tcBorders>
            <w:shd w:val="clear" w:color="auto" w:fill="auto"/>
            <w:noWrap/>
            <w:vAlign w:val="bottom"/>
            <w:hideMark/>
          </w:tcPr>
          <w:p w14:paraId="159717CE" w14:textId="77777777" w:rsidR="00B2630F" w:rsidRDefault="00B2630F" w:rsidP="00666827">
            <w:pPr>
              <w:jc w:val="center"/>
              <w:rPr>
                <w:color w:val="000000"/>
                <w:sz w:val="22"/>
                <w:szCs w:val="22"/>
              </w:rPr>
            </w:pPr>
            <w:r>
              <w:rPr>
                <w:color w:val="000000"/>
                <w:sz w:val="22"/>
                <w:szCs w:val="22"/>
              </w:rPr>
              <w:t>$2,671,794</w:t>
            </w:r>
          </w:p>
        </w:tc>
        <w:tc>
          <w:tcPr>
            <w:tcW w:w="1340" w:type="dxa"/>
            <w:tcBorders>
              <w:top w:val="nil"/>
              <w:left w:val="nil"/>
              <w:bottom w:val="single" w:sz="4" w:space="0" w:color="auto"/>
              <w:right w:val="single" w:sz="4" w:space="0" w:color="auto"/>
            </w:tcBorders>
            <w:shd w:val="clear" w:color="auto" w:fill="auto"/>
            <w:noWrap/>
            <w:vAlign w:val="bottom"/>
            <w:hideMark/>
          </w:tcPr>
          <w:p w14:paraId="6078F04F" w14:textId="77777777" w:rsidR="00B2630F" w:rsidRDefault="00B2630F" w:rsidP="00666827">
            <w:pPr>
              <w:jc w:val="center"/>
              <w:rPr>
                <w:color w:val="000000"/>
                <w:sz w:val="22"/>
                <w:szCs w:val="22"/>
              </w:rPr>
            </w:pPr>
            <w:r>
              <w:rPr>
                <w:color w:val="000000"/>
                <w:sz w:val="22"/>
                <w:szCs w:val="22"/>
              </w:rPr>
              <w:t>$10,356</w:t>
            </w:r>
          </w:p>
        </w:tc>
        <w:tc>
          <w:tcPr>
            <w:tcW w:w="980" w:type="dxa"/>
            <w:tcBorders>
              <w:top w:val="nil"/>
              <w:left w:val="nil"/>
              <w:bottom w:val="single" w:sz="4" w:space="0" w:color="auto"/>
              <w:right w:val="single" w:sz="4" w:space="0" w:color="auto"/>
            </w:tcBorders>
            <w:shd w:val="clear" w:color="auto" w:fill="auto"/>
            <w:noWrap/>
            <w:vAlign w:val="bottom"/>
            <w:hideMark/>
          </w:tcPr>
          <w:p w14:paraId="1AA7E290" w14:textId="77777777" w:rsidR="00B2630F" w:rsidRDefault="00B2630F" w:rsidP="00666827">
            <w:pPr>
              <w:jc w:val="center"/>
              <w:rPr>
                <w:color w:val="000000"/>
                <w:sz w:val="22"/>
                <w:szCs w:val="22"/>
              </w:rPr>
            </w:pPr>
            <w:r>
              <w:rPr>
                <w:color w:val="000000"/>
                <w:sz w:val="22"/>
                <w:szCs w:val="22"/>
              </w:rPr>
              <w:t>6.9%</w:t>
            </w:r>
          </w:p>
        </w:tc>
      </w:tr>
      <w:tr w:rsidR="00B2630F" w14:paraId="6F0578E4"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ECCE647" w14:textId="77777777" w:rsidR="00B2630F" w:rsidRDefault="00B2630F" w:rsidP="00666827">
            <w:pPr>
              <w:jc w:val="center"/>
              <w:rPr>
                <w:color w:val="000000"/>
                <w:sz w:val="22"/>
                <w:szCs w:val="22"/>
              </w:rPr>
            </w:pPr>
            <w:r>
              <w:rPr>
                <w:bCs/>
                <w:color w:val="000000"/>
                <w:sz w:val="22"/>
                <w:szCs w:val="22"/>
              </w:rPr>
              <w:t>2013</w:t>
            </w:r>
          </w:p>
        </w:tc>
        <w:tc>
          <w:tcPr>
            <w:tcW w:w="1340" w:type="dxa"/>
            <w:tcBorders>
              <w:top w:val="nil"/>
              <w:left w:val="nil"/>
              <w:bottom w:val="single" w:sz="4" w:space="0" w:color="auto"/>
              <w:right w:val="single" w:sz="4" w:space="0" w:color="auto"/>
            </w:tcBorders>
            <w:shd w:val="clear" w:color="auto" w:fill="auto"/>
            <w:noWrap/>
            <w:vAlign w:val="bottom"/>
            <w:hideMark/>
          </w:tcPr>
          <w:p w14:paraId="65AAE3C5" w14:textId="77777777" w:rsidR="00B2630F" w:rsidRDefault="00B2630F" w:rsidP="00666827">
            <w:pPr>
              <w:jc w:val="center"/>
              <w:rPr>
                <w:color w:val="000000"/>
                <w:sz w:val="22"/>
                <w:szCs w:val="22"/>
              </w:rPr>
            </w:pPr>
            <w:r>
              <w:rPr>
                <w:color w:val="000000"/>
                <w:sz w:val="22"/>
                <w:szCs w:val="22"/>
              </w:rPr>
              <w:t>$180,587</w:t>
            </w:r>
          </w:p>
        </w:tc>
        <w:tc>
          <w:tcPr>
            <w:tcW w:w="1060" w:type="dxa"/>
            <w:tcBorders>
              <w:top w:val="nil"/>
              <w:left w:val="nil"/>
              <w:bottom w:val="single" w:sz="4" w:space="0" w:color="auto"/>
              <w:right w:val="single" w:sz="4" w:space="0" w:color="auto"/>
            </w:tcBorders>
            <w:shd w:val="clear" w:color="auto" w:fill="auto"/>
            <w:noWrap/>
            <w:vAlign w:val="bottom"/>
            <w:hideMark/>
          </w:tcPr>
          <w:p w14:paraId="67F0DC53" w14:textId="77777777" w:rsidR="00B2630F" w:rsidRDefault="00B2630F" w:rsidP="00666827">
            <w:pPr>
              <w:jc w:val="center"/>
              <w:rPr>
                <w:color w:val="000000"/>
                <w:sz w:val="22"/>
                <w:szCs w:val="22"/>
              </w:rPr>
            </w:pPr>
            <w:r>
              <w:rPr>
                <w:color w:val="000000"/>
                <w:sz w:val="22"/>
                <w:szCs w:val="22"/>
              </w:rPr>
              <w:t>$711</w:t>
            </w:r>
          </w:p>
        </w:tc>
        <w:tc>
          <w:tcPr>
            <w:tcW w:w="1340" w:type="dxa"/>
            <w:tcBorders>
              <w:top w:val="nil"/>
              <w:left w:val="nil"/>
              <w:bottom w:val="single" w:sz="4" w:space="0" w:color="auto"/>
              <w:right w:val="single" w:sz="4" w:space="0" w:color="auto"/>
            </w:tcBorders>
            <w:shd w:val="clear" w:color="auto" w:fill="auto"/>
            <w:noWrap/>
            <w:vAlign w:val="bottom"/>
            <w:hideMark/>
          </w:tcPr>
          <w:p w14:paraId="1E413B3D" w14:textId="77777777" w:rsidR="00B2630F" w:rsidRDefault="00B2630F" w:rsidP="00666827">
            <w:pPr>
              <w:jc w:val="center"/>
              <w:rPr>
                <w:color w:val="000000"/>
                <w:sz w:val="22"/>
                <w:szCs w:val="22"/>
              </w:rPr>
            </w:pPr>
            <w:r>
              <w:rPr>
                <w:color w:val="000000"/>
                <w:sz w:val="22"/>
                <w:szCs w:val="22"/>
              </w:rPr>
              <w:t>$3,021,176</w:t>
            </w:r>
          </w:p>
        </w:tc>
        <w:tc>
          <w:tcPr>
            <w:tcW w:w="1260" w:type="dxa"/>
            <w:tcBorders>
              <w:top w:val="nil"/>
              <w:left w:val="nil"/>
              <w:bottom w:val="single" w:sz="4" w:space="0" w:color="auto"/>
              <w:right w:val="single" w:sz="4" w:space="0" w:color="auto"/>
            </w:tcBorders>
            <w:shd w:val="clear" w:color="auto" w:fill="auto"/>
            <w:noWrap/>
            <w:vAlign w:val="bottom"/>
            <w:hideMark/>
          </w:tcPr>
          <w:p w14:paraId="478A59E4" w14:textId="77777777" w:rsidR="00B2630F" w:rsidRDefault="00B2630F" w:rsidP="00666827">
            <w:pPr>
              <w:jc w:val="center"/>
              <w:rPr>
                <w:color w:val="000000"/>
                <w:sz w:val="22"/>
                <w:szCs w:val="22"/>
              </w:rPr>
            </w:pPr>
            <w:r>
              <w:rPr>
                <w:color w:val="000000"/>
                <w:sz w:val="22"/>
                <w:szCs w:val="22"/>
              </w:rPr>
              <w:t>$3,201,763</w:t>
            </w:r>
          </w:p>
        </w:tc>
        <w:tc>
          <w:tcPr>
            <w:tcW w:w="1340" w:type="dxa"/>
            <w:tcBorders>
              <w:top w:val="nil"/>
              <w:left w:val="nil"/>
              <w:bottom w:val="single" w:sz="4" w:space="0" w:color="auto"/>
              <w:right w:val="single" w:sz="4" w:space="0" w:color="auto"/>
            </w:tcBorders>
            <w:shd w:val="clear" w:color="auto" w:fill="auto"/>
            <w:noWrap/>
            <w:vAlign w:val="bottom"/>
            <w:hideMark/>
          </w:tcPr>
          <w:p w14:paraId="21A76BA7" w14:textId="77777777" w:rsidR="00B2630F" w:rsidRDefault="00B2630F" w:rsidP="00666827">
            <w:pPr>
              <w:jc w:val="center"/>
              <w:rPr>
                <w:color w:val="000000"/>
                <w:sz w:val="22"/>
                <w:szCs w:val="22"/>
              </w:rPr>
            </w:pPr>
            <w:r>
              <w:rPr>
                <w:color w:val="000000"/>
                <w:sz w:val="22"/>
                <w:szCs w:val="22"/>
              </w:rPr>
              <w:t>$12,605</w:t>
            </w:r>
          </w:p>
        </w:tc>
        <w:tc>
          <w:tcPr>
            <w:tcW w:w="980" w:type="dxa"/>
            <w:tcBorders>
              <w:top w:val="nil"/>
              <w:left w:val="nil"/>
              <w:bottom w:val="single" w:sz="4" w:space="0" w:color="auto"/>
              <w:right w:val="single" w:sz="4" w:space="0" w:color="auto"/>
            </w:tcBorders>
            <w:shd w:val="clear" w:color="auto" w:fill="auto"/>
            <w:noWrap/>
            <w:vAlign w:val="bottom"/>
            <w:hideMark/>
          </w:tcPr>
          <w:p w14:paraId="2ED9A7C2" w14:textId="77777777" w:rsidR="00B2630F" w:rsidRDefault="00B2630F" w:rsidP="00666827">
            <w:pPr>
              <w:jc w:val="center"/>
              <w:rPr>
                <w:color w:val="000000"/>
                <w:sz w:val="22"/>
                <w:szCs w:val="22"/>
              </w:rPr>
            </w:pPr>
            <w:r>
              <w:rPr>
                <w:color w:val="000000"/>
                <w:sz w:val="22"/>
                <w:szCs w:val="22"/>
              </w:rPr>
              <w:t>5.6%</w:t>
            </w:r>
          </w:p>
        </w:tc>
      </w:tr>
      <w:tr w:rsidR="00B2630F" w14:paraId="3F0FD473"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FFBC49B" w14:textId="77777777" w:rsidR="00B2630F" w:rsidRDefault="00B2630F" w:rsidP="00666827">
            <w:pPr>
              <w:jc w:val="center"/>
              <w:rPr>
                <w:color w:val="000000"/>
                <w:sz w:val="22"/>
                <w:szCs w:val="22"/>
              </w:rPr>
            </w:pPr>
            <w:r>
              <w:rPr>
                <w:bCs/>
                <w:color w:val="000000"/>
                <w:sz w:val="22"/>
                <w:szCs w:val="22"/>
              </w:rPr>
              <w:t>2014</w:t>
            </w:r>
          </w:p>
        </w:tc>
        <w:tc>
          <w:tcPr>
            <w:tcW w:w="1340" w:type="dxa"/>
            <w:tcBorders>
              <w:top w:val="nil"/>
              <w:left w:val="nil"/>
              <w:bottom w:val="single" w:sz="4" w:space="0" w:color="auto"/>
              <w:right w:val="single" w:sz="4" w:space="0" w:color="auto"/>
            </w:tcBorders>
            <w:shd w:val="clear" w:color="auto" w:fill="auto"/>
            <w:noWrap/>
            <w:vAlign w:val="bottom"/>
            <w:hideMark/>
          </w:tcPr>
          <w:p w14:paraId="38B238DD" w14:textId="77777777" w:rsidR="00B2630F" w:rsidRDefault="00B2630F" w:rsidP="00666827">
            <w:pPr>
              <w:jc w:val="center"/>
              <w:rPr>
                <w:color w:val="000000"/>
                <w:sz w:val="22"/>
                <w:szCs w:val="22"/>
              </w:rPr>
            </w:pPr>
            <w:r>
              <w:rPr>
                <w:color w:val="000000"/>
                <w:sz w:val="22"/>
                <w:szCs w:val="22"/>
              </w:rPr>
              <w:t>$188,388</w:t>
            </w:r>
          </w:p>
        </w:tc>
        <w:tc>
          <w:tcPr>
            <w:tcW w:w="1060" w:type="dxa"/>
            <w:tcBorders>
              <w:top w:val="nil"/>
              <w:left w:val="nil"/>
              <w:bottom w:val="single" w:sz="4" w:space="0" w:color="auto"/>
              <w:right w:val="single" w:sz="4" w:space="0" w:color="auto"/>
            </w:tcBorders>
            <w:shd w:val="clear" w:color="auto" w:fill="auto"/>
            <w:noWrap/>
            <w:vAlign w:val="bottom"/>
            <w:hideMark/>
          </w:tcPr>
          <w:p w14:paraId="283C45DC" w14:textId="77777777" w:rsidR="00B2630F" w:rsidRDefault="00B2630F" w:rsidP="00666827">
            <w:pPr>
              <w:jc w:val="center"/>
              <w:rPr>
                <w:color w:val="000000"/>
                <w:sz w:val="22"/>
                <w:szCs w:val="22"/>
              </w:rPr>
            </w:pPr>
            <w:r>
              <w:rPr>
                <w:color w:val="000000"/>
                <w:sz w:val="22"/>
                <w:szCs w:val="22"/>
              </w:rPr>
              <w:t>$733</w:t>
            </w:r>
          </w:p>
        </w:tc>
        <w:tc>
          <w:tcPr>
            <w:tcW w:w="1340" w:type="dxa"/>
            <w:tcBorders>
              <w:top w:val="nil"/>
              <w:left w:val="nil"/>
              <w:bottom w:val="single" w:sz="4" w:space="0" w:color="auto"/>
              <w:right w:val="single" w:sz="4" w:space="0" w:color="auto"/>
            </w:tcBorders>
            <w:shd w:val="clear" w:color="auto" w:fill="auto"/>
            <w:noWrap/>
            <w:vAlign w:val="bottom"/>
            <w:hideMark/>
          </w:tcPr>
          <w:p w14:paraId="2B50DF04" w14:textId="77777777" w:rsidR="00B2630F" w:rsidRDefault="00B2630F" w:rsidP="00666827">
            <w:pPr>
              <w:jc w:val="center"/>
              <w:rPr>
                <w:color w:val="000000"/>
                <w:sz w:val="22"/>
                <w:szCs w:val="22"/>
              </w:rPr>
            </w:pPr>
            <w:r>
              <w:rPr>
                <w:color w:val="000000"/>
                <w:sz w:val="22"/>
                <w:szCs w:val="22"/>
              </w:rPr>
              <w:t>$3,095,953</w:t>
            </w:r>
          </w:p>
        </w:tc>
        <w:tc>
          <w:tcPr>
            <w:tcW w:w="1260" w:type="dxa"/>
            <w:tcBorders>
              <w:top w:val="nil"/>
              <w:left w:val="nil"/>
              <w:bottom w:val="single" w:sz="4" w:space="0" w:color="auto"/>
              <w:right w:val="single" w:sz="4" w:space="0" w:color="auto"/>
            </w:tcBorders>
            <w:shd w:val="clear" w:color="auto" w:fill="auto"/>
            <w:noWrap/>
            <w:vAlign w:val="bottom"/>
            <w:hideMark/>
          </w:tcPr>
          <w:p w14:paraId="58886AFA" w14:textId="77777777" w:rsidR="00B2630F" w:rsidRDefault="00B2630F" w:rsidP="00666827">
            <w:pPr>
              <w:jc w:val="center"/>
              <w:rPr>
                <w:color w:val="000000"/>
                <w:sz w:val="22"/>
                <w:szCs w:val="22"/>
              </w:rPr>
            </w:pPr>
            <w:r>
              <w:rPr>
                <w:color w:val="000000"/>
                <w:sz w:val="22"/>
                <w:szCs w:val="22"/>
              </w:rPr>
              <w:t>$3,284,341</w:t>
            </w:r>
          </w:p>
        </w:tc>
        <w:tc>
          <w:tcPr>
            <w:tcW w:w="1340" w:type="dxa"/>
            <w:tcBorders>
              <w:top w:val="nil"/>
              <w:left w:val="nil"/>
              <w:bottom w:val="single" w:sz="4" w:space="0" w:color="auto"/>
              <w:right w:val="single" w:sz="4" w:space="0" w:color="auto"/>
            </w:tcBorders>
            <w:shd w:val="clear" w:color="auto" w:fill="auto"/>
            <w:noWrap/>
            <w:vAlign w:val="bottom"/>
            <w:hideMark/>
          </w:tcPr>
          <w:p w14:paraId="047CE073" w14:textId="77777777" w:rsidR="00B2630F" w:rsidRDefault="00B2630F" w:rsidP="00666827">
            <w:pPr>
              <w:jc w:val="center"/>
              <w:rPr>
                <w:color w:val="000000"/>
                <w:sz w:val="22"/>
                <w:szCs w:val="22"/>
              </w:rPr>
            </w:pPr>
            <w:r>
              <w:rPr>
                <w:color w:val="000000"/>
                <w:sz w:val="22"/>
                <w:szCs w:val="22"/>
              </w:rPr>
              <w:t>$12,780</w:t>
            </w:r>
          </w:p>
        </w:tc>
        <w:tc>
          <w:tcPr>
            <w:tcW w:w="980" w:type="dxa"/>
            <w:tcBorders>
              <w:top w:val="nil"/>
              <w:left w:val="nil"/>
              <w:bottom w:val="single" w:sz="4" w:space="0" w:color="auto"/>
              <w:right w:val="single" w:sz="4" w:space="0" w:color="auto"/>
            </w:tcBorders>
            <w:shd w:val="clear" w:color="auto" w:fill="auto"/>
            <w:noWrap/>
            <w:vAlign w:val="bottom"/>
            <w:hideMark/>
          </w:tcPr>
          <w:p w14:paraId="45BB5745" w14:textId="77777777" w:rsidR="00B2630F" w:rsidRDefault="00B2630F" w:rsidP="00666827">
            <w:pPr>
              <w:jc w:val="center"/>
              <w:rPr>
                <w:color w:val="000000"/>
                <w:sz w:val="22"/>
                <w:szCs w:val="22"/>
              </w:rPr>
            </w:pPr>
            <w:r>
              <w:rPr>
                <w:color w:val="000000"/>
                <w:sz w:val="22"/>
                <w:szCs w:val="22"/>
              </w:rPr>
              <w:t>5.7%</w:t>
            </w:r>
          </w:p>
        </w:tc>
      </w:tr>
      <w:tr w:rsidR="00B2630F" w14:paraId="400C1649"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D560635" w14:textId="77777777" w:rsidR="00B2630F" w:rsidRDefault="00B2630F" w:rsidP="00666827">
            <w:pPr>
              <w:jc w:val="center"/>
              <w:rPr>
                <w:b/>
                <w:bCs/>
                <w:color w:val="000000"/>
                <w:sz w:val="22"/>
                <w:szCs w:val="22"/>
              </w:rPr>
            </w:pPr>
            <w:r>
              <w:rPr>
                <w:b/>
                <w:bCs/>
                <w:color w:val="000000"/>
                <w:sz w:val="22"/>
                <w:szCs w:val="22"/>
              </w:rPr>
              <w:t xml:space="preserve">Average </w:t>
            </w:r>
          </w:p>
        </w:tc>
        <w:tc>
          <w:tcPr>
            <w:tcW w:w="1340" w:type="dxa"/>
            <w:tcBorders>
              <w:top w:val="nil"/>
              <w:left w:val="nil"/>
              <w:bottom w:val="single" w:sz="4" w:space="0" w:color="auto"/>
              <w:right w:val="single" w:sz="4" w:space="0" w:color="auto"/>
            </w:tcBorders>
            <w:shd w:val="clear" w:color="auto" w:fill="auto"/>
            <w:noWrap/>
            <w:vAlign w:val="bottom"/>
            <w:hideMark/>
          </w:tcPr>
          <w:p w14:paraId="48391591" w14:textId="77777777" w:rsidR="00B2630F" w:rsidRDefault="00B2630F" w:rsidP="00666827">
            <w:pPr>
              <w:jc w:val="center"/>
              <w:rPr>
                <w:b/>
                <w:bCs/>
                <w:color w:val="000000"/>
                <w:sz w:val="22"/>
                <w:szCs w:val="22"/>
              </w:rPr>
            </w:pPr>
            <w:r>
              <w:rPr>
                <w:b/>
                <w:bCs/>
                <w:color w:val="000000"/>
                <w:sz w:val="22"/>
                <w:szCs w:val="22"/>
              </w:rPr>
              <w:t xml:space="preserve">$173,289 </w:t>
            </w:r>
          </w:p>
        </w:tc>
        <w:tc>
          <w:tcPr>
            <w:tcW w:w="1060" w:type="dxa"/>
            <w:tcBorders>
              <w:top w:val="nil"/>
              <w:left w:val="nil"/>
              <w:bottom w:val="single" w:sz="4" w:space="0" w:color="auto"/>
              <w:right w:val="single" w:sz="4" w:space="0" w:color="auto"/>
            </w:tcBorders>
            <w:shd w:val="clear" w:color="auto" w:fill="auto"/>
            <w:noWrap/>
            <w:vAlign w:val="bottom"/>
            <w:hideMark/>
          </w:tcPr>
          <w:p w14:paraId="50FD2E3F" w14:textId="77777777" w:rsidR="00B2630F" w:rsidRDefault="00B2630F" w:rsidP="00666827">
            <w:pPr>
              <w:jc w:val="center"/>
              <w:rPr>
                <w:b/>
                <w:bCs/>
                <w:color w:val="000000"/>
                <w:sz w:val="22"/>
                <w:szCs w:val="22"/>
              </w:rPr>
            </w:pPr>
            <w:r>
              <w:rPr>
                <w:b/>
                <w:bCs/>
                <w:color w:val="000000"/>
                <w:sz w:val="22"/>
                <w:szCs w:val="22"/>
              </w:rPr>
              <w:t xml:space="preserve">$645 </w:t>
            </w:r>
          </w:p>
        </w:tc>
        <w:tc>
          <w:tcPr>
            <w:tcW w:w="1340" w:type="dxa"/>
            <w:tcBorders>
              <w:top w:val="nil"/>
              <w:left w:val="nil"/>
              <w:bottom w:val="single" w:sz="4" w:space="0" w:color="auto"/>
              <w:right w:val="single" w:sz="4" w:space="0" w:color="auto"/>
            </w:tcBorders>
            <w:shd w:val="clear" w:color="auto" w:fill="auto"/>
            <w:noWrap/>
            <w:vAlign w:val="bottom"/>
            <w:hideMark/>
          </w:tcPr>
          <w:p w14:paraId="1BE4072C" w14:textId="77777777" w:rsidR="00B2630F" w:rsidRDefault="00B2630F" w:rsidP="00666827">
            <w:pPr>
              <w:jc w:val="center"/>
              <w:rPr>
                <w:b/>
                <w:bCs/>
                <w:color w:val="000000"/>
                <w:sz w:val="22"/>
                <w:szCs w:val="22"/>
              </w:rPr>
            </w:pPr>
            <w:r>
              <w:rPr>
                <w:b/>
                <w:bCs/>
                <w:color w:val="000000"/>
                <w:sz w:val="22"/>
                <w:szCs w:val="22"/>
              </w:rPr>
              <w:t xml:space="preserve">$2,671,659 </w:t>
            </w:r>
          </w:p>
        </w:tc>
        <w:tc>
          <w:tcPr>
            <w:tcW w:w="1260" w:type="dxa"/>
            <w:tcBorders>
              <w:top w:val="nil"/>
              <w:left w:val="nil"/>
              <w:bottom w:val="single" w:sz="4" w:space="0" w:color="auto"/>
              <w:right w:val="single" w:sz="4" w:space="0" w:color="auto"/>
            </w:tcBorders>
            <w:shd w:val="clear" w:color="auto" w:fill="auto"/>
            <w:noWrap/>
            <w:vAlign w:val="bottom"/>
            <w:hideMark/>
          </w:tcPr>
          <w:p w14:paraId="15F3E61F" w14:textId="77777777" w:rsidR="00B2630F" w:rsidRDefault="00B2630F" w:rsidP="00666827">
            <w:pPr>
              <w:jc w:val="center"/>
              <w:rPr>
                <w:b/>
                <w:bCs/>
                <w:color w:val="000000"/>
                <w:sz w:val="22"/>
                <w:szCs w:val="22"/>
              </w:rPr>
            </w:pPr>
            <w:r>
              <w:rPr>
                <w:b/>
                <w:bCs/>
                <w:color w:val="000000"/>
                <w:sz w:val="22"/>
                <w:szCs w:val="22"/>
              </w:rPr>
              <w:t xml:space="preserve">$2,844,948 </w:t>
            </w:r>
          </w:p>
        </w:tc>
        <w:tc>
          <w:tcPr>
            <w:tcW w:w="1340" w:type="dxa"/>
            <w:tcBorders>
              <w:top w:val="nil"/>
              <w:left w:val="nil"/>
              <w:bottom w:val="single" w:sz="4" w:space="0" w:color="auto"/>
              <w:right w:val="single" w:sz="4" w:space="0" w:color="auto"/>
            </w:tcBorders>
            <w:shd w:val="clear" w:color="auto" w:fill="auto"/>
            <w:noWrap/>
            <w:vAlign w:val="bottom"/>
            <w:hideMark/>
          </w:tcPr>
          <w:p w14:paraId="48D00382" w14:textId="77777777" w:rsidR="00B2630F" w:rsidRDefault="00B2630F" w:rsidP="00666827">
            <w:pPr>
              <w:jc w:val="center"/>
              <w:rPr>
                <w:b/>
                <w:bCs/>
                <w:color w:val="000000"/>
                <w:sz w:val="22"/>
                <w:szCs w:val="22"/>
              </w:rPr>
            </w:pPr>
            <w:r>
              <w:rPr>
                <w:b/>
                <w:bCs/>
                <w:color w:val="000000"/>
                <w:sz w:val="22"/>
                <w:szCs w:val="22"/>
              </w:rPr>
              <w:t xml:space="preserve">$10,601 </w:t>
            </w:r>
          </w:p>
        </w:tc>
        <w:tc>
          <w:tcPr>
            <w:tcW w:w="980" w:type="dxa"/>
            <w:tcBorders>
              <w:top w:val="nil"/>
              <w:left w:val="nil"/>
              <w:bottom w:val="single" w:sz="4" w:space="0" w:color="auto"/>
              <w:right w:val="single" w:sz="4" w:space="0" w:color="auto"/>
            </w:tcBorders>
            <w:shd w:val="clear" w:color="auto" w:fill="auto"/>
            <w:noWrap/>
            <w:vAlign w:val="bottom"/>
            <w:hideMark/>
          </w:tcPr>
          <w:p w14:paraId="6F2380AB" w14:textId="77777777" w:rsidR="00B2630F" w:rsidRDefault="00B2630F" w:rsidP="00666827">
            <w:pPr>
              <w:jc w:val="center"/>
              <w:rPr>
                <w:b/>
                <w:bCs/>
                <w:color w:val="000000"/>
                <w:sz w:val="22"/>
                <w:szCs w:val="22"/>
              </w:rPr>
            </w:pPr>
            <w:r>
              <w:rPr>
                <w:b/>
                <w:bCs/>
                <w:color w:val="000000"/>
                <w:sz w:val="22"/>
                <w:szCs w:val="22"/>
              </w:rPr>
              <w:t>6.1%</w:t>
            </w:r>
          </w:p>
        </w:tc>
      </w:tr>
    </w:tbl>
    <w:p w14:paraId="4E74CAD8" w14:textId="0A0F13F2" w:rsidR="005F0F19" w:rsidRDefault="005F0F19" w:rsidP="005F0F19">
      <w:pPr>
        <w:rPr>
          <w:rFonts w:ascii="Arial" w:hAnsi="Arial" w:cs="Arial"/>
          <w:sz w:val="20"/>
          <w:szCs w:val="20"/>
        </w:rPr>
      </w:pPr>
      <w:r w:rsidRPr="0067026A">
        <w:rPr>
          <w:rFonts w:ascii="Arial" w:hAnsi="Arial" w:cs="Arial"/>
          <w:sz w:val="20"/>
          <w:szCs w:val="20"/>
        </w:rPr>
        <w:t xml:space="preserve">Source: </w:t>
      </w:r>
      <w:r>
        <w:rPr>
          <w:rFonts w:ascii="Arial" w:hAnsi="Arial" w:cs="Arial"/>
          <w:sz w:val="20"/>
          <w:szCs w:val="20"/>
        </w:rPr>
        <w:t xml:space="preserve">NMFS </w:t>
      </w:r>
      <w:r w:rsidR="00971D18">
        <w:rPr>
          <w:rFonts w:ascii="Arial" w:hAnsi="Arial" w:cs="Arial"/>
          <w:sz w:val="20"/>
          <w:szCs w:val="20"/>
        </w:rPr>
        <w:t>SEFSC Economic Query System, October 24, 2016.</w:t>
      </w:r>
    </w:p>
    <w:p w14:paraId="3BAD2339" w14:textId="77777777" w:rsidR="005F0F19" w:rsidRDefault="005F0F19" w:rsidP="00AE6F07"/>
    <w:p w14:paraId="5E7B1322" w14:textId="5457D115" w:rsidR="005F0F19" w:rsidRPr="00EB07D6" w:rsidRDefault="00971D18" w:rsidP="005F0F19">
      <w:pPr>
        <w:ind w:firstLine="360"/>
      </w:pPr>
      <w:r>
        <w:t>Vessels with mutton snapper landings from 201</w:t>
      </w:r>
      <w:r w:rsidR="00B2630F">
        <w:t>0</w:t>
      </w:r>
      <w:r>
        <w:t xml:space="preserve"> through 201</w:t>
      </w:r>
      <w:r w:rsidR="00B2630F">
        <w:t>4</w:t>
      </w:r>
      <w:r>
        <w:t xml:space="preserve"> combined to generate average total dockside revenue of approximately $1</w:t>
      </w:r>
      <w:r w:rsidR="00B2630F">
        <w:t>0</w:t>
      </w:r>
      <w:r>
        <w:t>.</w:t>
      </w:r>
      <w:r w:rsidR="00B2630F">
        <w:t>7</w:t>
      </w:r>
      <w:r>
        <w:t xml:space="preserve"> million (</w:t>
      </w:r>
      <w:r w:rsidRPr="00164CD3">
        <w:rPr>
          <w:b/>
        </w:rPr>
        <w:t>Table 3.3.11</w:t>
      </w:r>
      <w:r>
        <w:t>).  The average vessel had annual dockside revenue of $</w:t>
      </w:r>
      <w:r w:rsidR="00B2630F">
        <w:t>50,738</w:t>
      </w:r>
      <w:r>
        <w:t xml:space="preserve">. </w:t>
      </w:r>
    </w:p>
    <w:p w14:paraId="3299EC99" w14:textId="77777777" w:rsidR="005F0F19" w:rsidRDefault="005F0F19" w:rsidP="005F0F19">
      <w:pPr>
        <w:rPr>
          <w:rFonts w:ascii="Arial" w:hAnsi="Arial" w:cs="Arial"/>
          <w:sz w:val="20"/>
          <w:szCs w:val="20"/>
        </w:rPr>
      </w:pPr>
    </w:p>
    <w:p w14:paraId="0DCA3216" w14:textId="47FCED24" w:rsidR="00971D18" w:rsidRDefault="00971D18" w:rsidP="00971D18">
      <w:pPr>
        <w:pStyle w:val="Tabletitle"/>
      </w:pPr>
      <w:bookmarkStart w:id="154" w:name="_Toc340431556"/>
      <w:r>
        <w:rPr>
          <w:b/>
        </w:rPr>
        <w:t>Table 3.3.11.</w:t>
      </w:r>
      <w:r>
        <w:t xml:space="preserve">  Total </w:t>
      </w:r>
      <w:r w:rsidRPr="0067026A">
        <w:t>dockside</w:t>
      </w:r>
      <w:r>
        <w:t xml:space="preserve"> revenue</w:t>
      </w:r>
      <w:r w:rsidRPr="0067026A">
        <w:t xml:space="preserve"> </w:t>
      </w:r>
      <w:r>
        <w:t xml:space="preserve">(2015 $) </w:t>
      </w:r>
      <w:r w:rsidRPr="0067026A">
        <w:t xml:space="preserve">from </w:t>
      </w:r>
      <w:r>
        <w:t>mutton snapper and other species landed by vessels with mutton snapper landings in South Atlantic, 2010-201</w:t>
      </w:r>
      <w:r w:rsidR="00B2630F">
        <w:t>4</w:t>
      </w:r>
      <w:r w:rsidRPr="0067026A">
        <w:t>.</w:t>
      </w:r>
      <w:bookmarkEnd w:id="154"/>
      <w:r w:rsidRPr="0067026A">
        <w:t xml:space="preserve"> </w:t>
      </w:r>
    </w:p>
    <w:tbl>
      <w:tblPr>
        <w:tblW w:w="8700" w:type="dxa"/>
        <w:tblInd w:w="93" w:type="dxa"/>
        <w:tblLook w:val="04A0" w:firstRow="1" w:lastRow="0" w:firstColumn="1" w:lastColumn="0" w:noHBand="0" w:noVBand="1"/>
      </w:tblPr>
      <w:tblGrid>
        <w:gridCol w:w="998"/>
        <w:gridCol w:w="1340"/>
        <w:gridCol w:w="1260"/>
        <w:gridCol w:w="1400"/>
        <w:gridCol w:w="1400"/>
        <w:gridCol w:w="1340"/>
        <w:gridCol w:w="980"/>
      </w:tblGrid>
      <w:tr w:rsidR="00B2630F" w14:paraId="6C6B4F48" w14:textId="77777777" w:rsidTr="00D94DF5">
        <w:trPr>
          <w:trHeight w:val="300"/>
        </w:trPr>
        <w:tc>
          <w:tcPr>
            <w:tcW w:w="98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96C9101" w14:textId="77777777" w:rsidR="00B2630F" w:rsidRDefault="00B2630F" w:rsidP="00666827">
            <w:pPr>
              <w:jc w:val="center"/>
              <w:rPr>
                <w:b/>
                <w:bCs/>
                <w:color w:val="000000"/>
                <w:sz w:val="22"/>
                <w:szCs w:val="22"/>
              </w:rPr>
            </w:pPr>
            <w:r>
              <w:rPr>
                <w:b/>
                <w:bCs/>
                <w:color w:val="000000"/>
                <w:sz w:val="22"/>
                <w:szCs w:val="22"/>
              </w:rPr>
              <w:t>Year</w:t>
            </w:r>
          </w:p>
        </w:tc>
        <w:tc>
          <w:tcPr>
            <w:tcW w:w="7720" w:type="dxa"/>
            <w:gridSpan w:val="6"/>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3503C362" w14:textId="77777777" w:rsidR="00B2630F" w:rsidRDefault="00B2630F" w:rsidP="00666827">
            <w:pPr>
              <w:jc w:val="center"/>
              <w:rPr>
                <w:b/>
                <w:bCs/>
                <w:color w:val="000000"/>
                <w:sz w:val="22"/>
                <w:szCs w:val="22"/>
              </w:rPr>
            </w:pPr>
            <w:r>
              <w:rPr>
                <w:b/>
                <w:bCs/>
                <w:color w:val="000000"/>
                <w:sz w:val="22"/>
                <w:szCs w:val="22"/>
              </w:rPr>
              <w:t>Dockside revenue (2015 $) for all vessels with mutton snapper landings</w:t>
            </w:r>
          </w:p>
        </w:tc>
      </w:tr>
      <w:tr w:rsidR="00B2630F" w14:paraId="659C36D9" w14:textId="77777777" w:rsidTr="00D94DF5">
        <w:trPr>
          <w:trHeight w:val="1140"/>
        </w:trPr>
        <w:tc>
          <w:tcPr>
            <w:tcW w:w="9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BCD5E56" w14:textId="77777777" w:rsidR="00B2630F" w:rsidRDefault="00B2630F" w:rsidP="00666827">
            <w:pPr>
              <w:rPr>
                <w:b/>
                <w:bCs/>
                <w:color w:val="000000"/>
                <w:sz w:val="22"/>
                <w:szCs w:val="22"/>
              </w:rPr>
            </w:pPr>
          </w:p>
        </w:tc>
        <w:tc>
          <w:tcPr>
            <w:tcW w:w="1340" w:type="dxa"/>
            <w:tcBorders>
              <w:top w:val="nil"/>
              <w:left w:val="nil"/>
              <w:bottom w:val="single" w:sz="4" w:space="0" w:color="auto"/>
              <w:right w:val="single" w:sz="4" w:space="0" w:color="auto"/>
            </w:tcBorders>
            <w:shd w:val="clear" w:color="auto" w:fill="D9D9D9" w:themeFill="background1" w:themeFillShade="D9"/>
            <w:vAlign w:val="center"/>
            <w:hideMark/>
          </w:tcPr>
          <w:p w14:paraId="40A8F9B6" w14:textId="77777777" w:rsidR="00B2630F" w:rsidRDefault="00B2630F" w:rsidP="00666827">
            <w:pPr>
              <w:jc w:val="center"/>
              <w:rPr>
                <w:b/>
                <w:bCs/>
                <w:color w:val="000000"/>
                <w:sz w:val="22"/>
                <w:szCs w:val="22"/>
              </w:rPr>
            </w:pPr>
            <w:r>
              <w:rPr>
                <w:b/>
                <w:bCs/>
                <w:color w:val="000000"/>
                <w:sz w:val="22"/>
                <w:szCs w:val="22"/>
              </w:rPr>
              <w:t xml:space="preserve">From mutton snapper </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14:paraId="2D808752" w14:textId="77777777" w:rsidR="00B2630F" w:rsidRDefault="00B2630F" w:rsidP="00666827">
            <w:pPr>
              <w:jc w:val="center"/>
              <w:rPr>
                <w:b/>
                <w:bCs/>
                <w:color w:val="000000"/>
                <w:sz w:val="22"/>
                <w:szCs w:val="22"/>
              </w:rPr>
            </w:pPr>
            <w:r>
              <w:rPr>
                <w:b/>
                <w:bCs/>
                <w:color w:val="000000"/>
                <w:sz w:val="22"/>
                <w:szCs w:val="22"/>
              </w:rPr>
              <w:t>From jointly caught species</w:t>
            </w:r>
          </w:p>
        </w:tc>
        <w:tc>
          <w:tcPr>
            <w:tcW w:w="1400" w:type="dxa"/>
            <w:tcBorders>
              <w:top w:val="nil"/>
              <w:left w:val="nil"/>
              <w:bottom w:val="single" w:sz="4" w:space="0" w:color="auto"/>
              <w:right w:val="single" w:sz="4" w:space="0" w:color="auto"/>
            </w:tcBorders>
            <w:shd w:val="clear" w:color="auto" w:fill="D9D9D9" w:themeFill="background1" w:themeFillShade="D9"/>
            <w:vAlign w:val="center"/>
            <w:hideMark/>
          </w:tcPr>
          <w:p w14:paraId="36D42437" w14:textId="77777777" w:rsidR="00B2630F" w:rsidRDefault="00B2630F" w:rsidP="00666827">
            <w:pPr>
              <w:jc w:val="center"/>
              <w:rPr>
                <w:b/>
                <w:bCs/>
                <w:color w:val="000000"/>
                <w:sz w:val="22"/>
                <w:szCs w:val="22"/>
              </w:rPr>
            </w:pPr>
            <w:r>
              <w:rPr>
                <w:b/>
                <w:bCs/>
                <w:color w:val="000000"/>
                <w:sz w:val="22"/>
                <w:szCs w:val="22"/>
              </w:rPr>
              <w:t xml:space="preserve">From all other species </w:t>
            </w:r>
          </w:p>
        </w:tc>
        <w:tc>
          <w:tcPr>
            <w:tcW w:w="1400" w:type="dxa"/>
            <w:tcBorders>
              <w:top w:val="nil"/>
              <w:left w:val="nil"/>
              <w:bottom w:val="single" w:sz="4" w:space="0" w:color="auto"/>
              <w:right w:val="single" w:sz="4" w:space="0" w:color="auto"/>
            </w:tcBorders>
            <w:shd w:val="clear" w:color="auto" w:fill="D9D9D9" w:themeFill="background1" w:themeFillShade="D9"/>
            <w:vAlign w:val="center"/>
            <w:hideMark/>
          </w:tcPr>
          <w:p w14:paraId="037E1A24" w14:textId="77777777" w:rsidR="00B2630F" w:rsidRDefault="00B2630F" w:rsidP="00666827">
            <w:pPr>
              <w:jc w:val="center"/>
              <w:rPr>
                <w:b/>
                <w:bCs/>
                <w:color w:val="000000"/>
                <w:sz w:val="22"/>
                <w:szCs w:val="22"/>
              </w:rPr>
            </w:pPr>
            <w:r>
              <w:rPr>
                <w:b/>
                <w:bCs/>
                <w:color w:val="000000"/>
                <w:sz w:val="22"/>
                <w:szCs w:val="22"/>
              </w:rPr>
              <w:t xml:space="preserve">From all species </w:t>
            </w:r>
          </w:p>
        </w:tc>
        <w:tc>
          <w:tcPr>
            <w:tcW w:w="1340" w:type="dxa"/>
            <w:tcBorders>
              <w:top w:val="nil"/>
              <w:left w:val="nil"/>
              <w:bottom w:val="single" w:sz="4" w:space="0" w:color="auto"/>
              <w:right w:val="single" w:sz="4" w:space="0" w:color="auto"/>
            </w:tcBorders>
            <w:shd w:val="clear" w:color="auto" w:fill="D9D9D9" w:themeFill="background1" w:themeFillShade="D9"/>
            <w:vAlign w:val="center"/>
            <w:hideMark/>
          </w:tcPr>
          <w:p w14:paraId="17BD877C" w14:textId="77777777" w:rsidR="00B2630F" w:rsidRDefault="00B2630F" w:rsidP="00666827">
            <w:pPr>
              <w:jc w:val="center"/>
              <w:rPr>
                <w:b/>
                <w:bCs/>
                <w:color w:val="000000"/>
                <w:sz w:val="22"/>
                <w:szCs w:val="22"/>
              </w:rPr>
            </w:pPr>
            <w:r>
              <w:rPr>
                <w:b/>
                <w:bCs/>
                <w:color w:val="000000"/>
                <w:sz w:val="22"/>
                <w:szCs w:val="22"/>
              </w:rPr>
              <w:t>Average  from all species per vessel</w:t>
            </w:r>
          </w:p>
        </w:tc>
        <w:tc>
          <w:tcPr>
            <w:tcW w:w="980" w:type="dxa"/>
            <w:tcBorders>
              <w:top w:val="nil"/>
              <w:left w:val="nil"/>
              <w:bottom w:val="single" w:sz="4" w:space="0" w:color="auto"/>
              <w:right w:val="single" w:sz="4" w:space="0" w:color="auto"/>
            </w:tcBorders>
            <w:shd w:val="clear" w:color="auto" w:fill="D9D9D9" w:themeFill="background1" w:themeFillShade="D9"/>
            <w:vAlign w:val="center"/>
            <w:hideMark/>
          </w:tcPr>
          <w:p w14:paraId="5D03608F" w14:textId="77777777" w:rsidR="00B2630F" w:rsidRDefault="00B2630F" w:rsidP="00666827">
            <w:pPr>
              <w:jc w:val="center"/>
              <w:rPr>
                <w:b/>
                <w:bCs/>
                <w:color w:val="000000"/>
                <w:sz w:val="22"/>
                <w:szCs w:val="22"/>
              </w:rPr>
            </w:pPr>
            <w:r>
              <w:rPr>
                <w:b/>
                <w:bCs/>
                <w:color w:val="000000"/>
                <w:sz w:val="22"/>
                <w:szCs w:val="22"/>
              </w:rPr>
              <w:t>Percent mutton snapper</w:t>
            </w:r>
          </w:p>
        </w:tc>
      </w:tr>
      <w:tr w:rsidR="00B2630F" w14:paraId="714311B7"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4F10810" w14:textId="77777777" w:rsidR="00B2630F" w:rsidRDefault="00B2630F" w:rsidP="00666827">
            <w:pPr>
              <w:jc w:val="center"/>
              <w:rPr>
                <w:color w:val="000000"/>
                <w:sz w:val="22"/>
                <w:szCs w:val="22"/>
              </w:rPr>
            </w:pPr>
            <w:r>
              <w:rPr>
                <w:color w:val="000000"/>
                <w:sz w:val="22"/>
                <w:szCs w:val="22"/>
              </w:rPr>
              <w:t>2010</w:t>
            </w:r>
          </w:p>
        </w:tc>
        <w:tc>
          <w:tcPr>
            <w:tcW w:w="1340" w:type="dxa"/>
            <w:tcBorders>
              <w:top w:val="nil"/>
              <w:left w:val="nil"/>
              <w:bottom w:val="single" w:sz="4" w:space="0" w:color="auto"/>
              <w:right w:val="single" w:sz="4" w:space="0" w:color="auto"/>
            </w:tcBorders>
            <w:shd w:val="clear" w:color="auto" w:fill="auto"/>
            <w:noWrap/>
            <w:vAlign w:val="bottom"/>
            <w:hideMark/>
          </w:tcPr>
          <w:p w14:paraId="1DCF1080" w14:textId="77777777" w:rsidR="00B2630F" w:rsidRDefault="00B2630F" w:rsidP="00666827">
            <w:pPr>
              <w:jc w:val="center"/>
              <w:rPr>
                <w:color w:val="000000"/>
                <w:sz w:val="22"/>
                <w:szCs w:val="22"/>
              </w:rPr>
            </w:pPr>
            <w:r>
              <w:rPr>
                <w:color w:val="000000"/>
                <w:sz w:val="22"/>
                <w:szCs w:val="22"/>
              </w:rPr>
              <w:t>$148,468</w:t>
            </w:r>
          </w:p>
        </w:tc>
        <w:tc>
          <w:tcPr>
            <w:tcW w:w="1260" w:type="dxa"/>
            <w:tcBorders>
              <w:top w:val="nil"/>
              <w:left w:val="nil"/>
              <w:bottom w:val="single" w:sz="4" w:space="0" w:color="auto"/>
              <w:right w:val="single" w:sz="4" w:space="0" w:color="auto"/>
            </w:tcBorders>
            <w:shd w:val="clear" w:color="auto" w:fill="auto"/>
            <w:noWrap/>
            <w:vAlign w:val="bottom"/>
            <w:hideMark/>
          </w:tcPr>
          <w:p w14:paraId="2BB8CB4E" w14:textId="77777777" w:rsidR="00B2630F" w:rsidRDefault="00B2630F" w:rsidP="00666827">
            <w:pPr>
              <w:jc w:val="center"/>
              <w:rPr>
                <w:color w:val="000000"/>
                <w:sz w:val="22"/>
                <w:szCs w:val="22"/>
              </w:rPr>
            </w:pPr>
            <w:r>
              <w:rPr>
                <w:color w:val="000000"/>
                <w:sz w:val="22"/>
                <w:szCs w:val="22"/>
              </w:rPr>
              <w:t>$2,601,777</w:t>
            </w:r>
          </w:p>
        </w:tc>
        <w:tc>
          <w:tcPr>
            <w:tcW w:w="1400" w:type="dxa"/>
            <w:tcBorders>
              <w:top w:val="nil"/>
              <w:left w:val="nil"/>
              <w:bottom w:val="single" w:sz="4" w:space="0" w:color="auto"/>
              <w:right w:val="single" w:sz="4" w:space="0" w:color="auto"/>
            </w:tcBorders>
            <w:shd w:val="clear" w:color="auto" w:fill="auto"/>
            <w:noWrap/>
            <w:vAlign w:val="bottom"/>
            <w:hideMark/>
          </w:tcPr>
          <w:p w14:paraId="6B5C29C7" w14:textId="77777777" w:rsidR="00B2630F" w:rsidRDefault="00B2630F" w:rsidP="00666827">
            <w:pPr>
              <w:jc w:val="center"/>
              <w:rPr>
                <w:color w:val="000000"/>
                <w:sz w:val="22"/>
                <w:szCs w:val="22"/>
              </w:rPr>
            </w:pPr>
            <w:r>
              <w:rPr>
                <w:color w:val="000000"/>
                <w:sz w:val="22"/>
                <w:szCs w:val="22"/>
              </w:rPr>
              <w:t>$10,922,222</w:t>
            </w:r>
          </w:p>
        </w:tc>
        <w:tc>
          <w:tcPr>
            <w:tcW w:w="1400" w:type="dxa"/>
            <w:tcBorders>
              <w:top w:val="nil"/>
              <w:left w:val="nil"/>
              <w:bottom w:val="single" w:sz="4" w:space="0" w:color="auto"/>
              <w:right w:val="single" w:sz="4" w:space="0" w:color="auto"/>
            </w:tcBorders>
            <w:shd w:val="clear" w:color="auto" w:fill="auto"/>
            <w:noWrap/>
            <w:vAlign w:val="bottom"/>
            <w:hideMark/>
          </w:tcPr>
          <w:p w14:paraId="49BBAB35" w14:textId="77777777" w:rsidR="00B2630F" w:rsidRDefault="00B2630F" w:rsidP="00666827">
            <w:pPr>
              <w:jc w:val="center"/>
              <w:rPr>
                <w:color w:val="000000"/>
                <w:sz w:val="22"/>
                <w:szCs w:val="22"/>
              </w:rPr>
            </w:pPr>
            <w:r>
              <w:rPr>
                <w:color w:val="000000"/>
                <w:sz w:val="22"/>
                <w:szCs w:val="22"/>
              </w:rPr>
              <w:t>$13,523,999</w:t>
            </w:r>
          </w:p>
        </w:tc>
        <w:tc>
          <w:tcPr>
            <w:tcW w:w="1340" w:type="dxa"/>
            <w:tcBorders>
              <w:top w:val="nil"/>
              <w:left w:val="nil"/>
              <w:bottom w:val="single" w:sz="4" w:space="0" w:color="auto"/>
              <w:right w:val="single" w:sz="4" w:space="0" w:color="auto"/>
            </w:tcBorders>
            <w:shd w:val="clear" w:color="auto" w:fill="auto"/>
            <w:noWrap/>
            <w:vAlign w:val="bottom"/>
            <w:hideMark/>
          </w:tcPr>
          <w:p w14:paraId="3FA3EA18" w14:textId="77777777" w:rsidR="00B2630F" w:rsidRDefault="00B2630F" w:rsidP="00666827">
            <w:pPr>
              <w:jc w:val="center"/>
              <w:rPr>
                <w:color w:val="000000"/>
                <w:sz w:val="22"/>
                <w:szCs w:val="22"/>
              </w:rPr>
            </w:pPr>
            <w:r>
              <w:rPr>
                <w:color w:val="000000"/>
                <w:sz w:val="22"/>
                <w:szCs w:val="22"/>
              </w:rPr>
              <w:t>$43,208</w:t>
            </w:r>
          </w:p>
        </w:tc>
        <w:tc>
          <w:tcPr>
            <w:tcW w:w="980" w:type="dxa"/>
            <w:tcBorders>
              <w:top w:val="nil"/>
              <w:left w:val="nil"/>
              <w:bottom w:val="single" w:sz="4" w:space="0" w:color="auto"/>
              <w:right w:val="single" w:sz="4" w:space="0" w:color="auto"/>
            </w:tcBorders>
            <w:shd w:val="clear" w:color="auto" w:fill="auto"/>
            <w:noWrap/>
            <w:vAlign w:val="bottom"/>
            <w:hideMark/>
          </w:tcPr>
          <w:p w14:paraId="0E586C65" w14:textId="77777777" w:rsidR="00B2630F" w:rsidRDefault="00B2630F" w:rsidP="00666827">
            <w:pPr>
              <w:jc w:val="center"/>
              <w:rPr>
                <w:color w:val="000000"/>
                <w:sz w:val="22"/>
                <w:szCs w:val="22"/>
              </w:rPr>
            </w:pPr>
            <w:r>
              <w:rPr>
                <w:color w:val="000000"/>
                <w:sz w:val="22"/>
                <w:szCs w:val="22"/>
              </w:rPr>
              <w:t>1.10%</w:t>
            </w:r>
          </w:p>
        </w:tc>
      </w:tr>
      <w:tr w:rsidR="00B2630F" w14:paraId="345316AE"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50B8E12" w14:textId="77777777" w:rsidR="00B2630F" w:rsidRDefault="00B2630F" w:rsidP="00666827">
            <w:pPr>
              <w:jc w:val="center"/>
              <w:rPr>
                <w:color w:val="000000"/>
                <w:sz w:val="22"/>
                <w:szCs w:val="22"/>
              </w:rPr>
            </w:pPr>
            <w:r>
              <w:rPr>
                <w:bCs/>
                <w:color w:val="000000"/>
                <w:sz w:val="22"/>
                <w:szCs w:val="22"/>
              </w:rPr>
              <w:t>2011</w:t>
            </w:r>
          </w:p>
        </w:tc>
        <w:tc>
          <w:tcPr>
            <w:tcW w:w="1340" w:type="dxa"/>
            <w:tcBorders>
              <w:top w:val="nil"/>
              <w:left w:val="nil"/>
              <w:bottom w:val="single" w:sz="4" w:space="0" w:color="auto"/>
              <w:right w:val="single" w:sz="4" w:space="0" w:color="auto"/>
            </w:tcBorders>
            <w:shd w:val="clear" w:color="auto" w:fill="auto"/>
            <w:noWrap/>
            <w:vAlign w:val="bottom"/>
            <w:hideMark/>
          </w:tcPr>
          <w:p w14:paraId="1756144B" w14:textId="77777777" w:rsidR="00B2630F" w:rsidRDefault="00B2630F" w:rsidP="00666827">
            <w:pPr>
              <w:jc w:val="center"/>
              <w:rPr>
                <w:color w:val="000000"/>
                <w:sz w:val="22"/>
                <w:szCs w:val="22"/>
              </w:rPr>
            </w:pPr>
            <w:r>
              <w:rPr>
                <w:color w:val="000000"/>
                <w:sz w:val="22"/>
                <w:szCs w:val="22"/>
              </w:rPr>
              <w:t>$164,452</w:t>
            </w:r>
          </w:p>
        </w:tc>
        <w:tc>
          <w:tcPr>
            <w:tcW w:w="1260" w:type="dxa"/>
            <w:tcBorders>
              <w:top w:val="nil"/>
              <w:left w:val="nil"/>
              <w:bottom w:val="single" w:sz="4" w:space="0" w:color="auto"/>
              <w:right w:val="single" w:sz="4" w:space="0" w:color="auto"/>
            </w:tcBorders>
            <w:shd w:val="clear" w:color="auto" w:fill="auto"/>
            <w:noWrap/>
            <w:vAlign w:val="bottom"/>
            <w:hideMark/>
          </w:tcPr>
          <w:p w14:paraId="5C554D39" w14:textId="77777777" w:rsidR="00B2630F" w:rsidRDefault="00B2630F" w:rsidP="00666827">
            <w:pPr>
              <w:jc w:val="center"/>
              <w:rPr>
                <w:color w:val="000000"/>
                <w:sz w:val="22"/>
                <w:szCs w:val="22"/>
              </w:rPr>
            </w:pPr>
            <w:r>
              <w:rPr>
                <w:color w:val="000000"/>
                <w:sz w:val="22"/>
                <w:szCs w:val="22"/>
              </w:rPr>
              <w:t>$2,845,659</w:t>
            </w:r>
          </w:p>
        </w:tc>
        <w:tc>
          <w:tcPr>
            <w:tcW w:w="1400" w:type="dxa"/>
            <w:tcBorders>
              <w:top w:val="nil"/>
              <w:left w:val="nil"/>
              <w:bottom w:val="single" w:sz="4" w:space="0" w:color="auto"/>
              <w:right w:val="single" w:sz="4" w:space="0" w:color="auto"/>
            </w:tcBorders>
            <w:shd w:val="clear" w:color="auto" w:fill="auto"/>
            <w:noWrap/>
            <w:vAlign w:val="bottom"/>
            <w:hideMark/>
          </w:tcPr>
          <w:p w14:paraId="4F806497" w14:textId="77777777" w:rsidR="00B2630F" w:rsidRDefault="00B2630F" w:rsidP="00666827">
            <w:pPr>
              <w:jc w:val="center"/>
              <w:rPr>
                <w:color w:val="000000"/>
                <w:sz w:val="22"/>
                <w:szCs w:val="22"/>
              </w:rPr>
            </w:pPr>
            <w:r>
              <w:rPr>
                <w:color w:val="000000"/>
                <w:sz w:val="22"/>
                <w:szCs w:val="22"/>
              </w:rPr>
              <w:t>$11,197,201</w:t>
            </w:r>
          </w:p>
        </w:tc>
        <w:tc>
          <w:tcPr>
            <w:tcW w:w="1400" w:type="dxa"/>
            <w:tcBorders>
              <w:top w:val="nil"/>
              <w:left w:val="nil"/>
              <w:bottom w:val="single" w:sz="4" w:space="0" w:color="auto"/>
              <w:right w:val="single" w:sz="4" w:space="0" w:color="auto"/>
            </w:tcBorders>
            <w:shd w:val="clear" w:color="auto" w:fill="auto"/>
            <w:noWrap/>
            <w:vAlign w:val="bottom"/>
            <w:hideMark/>
          </w:tcPr>
          <w:p w14:paraId="0B9FC961" w14:textId="77777777" w:rsidR="00B2630F" w:rsidRDefault="00B2630F" w:rsidP="00666827">
            <w:pPr>
              <w:jc w:val="center"/>
              <w:rPr>
                <w:color w:val="000000"/>
                <w:sz w:val="22"/>
                <w:szCs w:val="22"/>
              </w:rPr>
            </w:pPr>
            <w:r>
              <w:rPr>
                <w:color w:val="000000"/>
                <w:sz w:val="22"/>
                <w:szCs w:val="22"/>
              </w:rPr>
              <w:t>$14,042,861</w:t>
            </w:r>
          </w:p>
        </w:tc>
        <w:tc>
          <w:tcPr>
            <w:tcW w:w="1340" w:type="dxa"/>
            <w:tcBorders>
              <w:top w:val="nil"/>
              <w:left w:val="nil"/>
              <w:bottom w:val="single" w:sz="4" w:space="0" w:color="auto"/>
              <w:right w:val="single" w:sz="4" w:space="0" w:color="auto"/>
            </w:tcBorders>
            <w:shd w:val="clear" w:color="auto" w:fill="auto"/>
            <w:noWrap/>
            <w:vAlign w:val="bottom"/>
            <w:hideMark/>
          </w:tcPr>
          <w:p w14:paraId="0BFD3D86" w14:textId="77777777" w:rsidR="00B2630F" w:rsidRDefault="00B2630F" w:rsidP="00666827">
            <w:pPr>
              <w:jc w:val="center"/>
              <w:rPr>
                <w:color w:val="000000"/>
                <w:sz w:val="22"/>
                <w:szCs w:val="22"/>
              </w:rPr>
            </w:pPr>
            <w:r>
              <w:rPr>
                <w:color w:val="000000"/>
                <w:sz w:val="22"/>
                <w:szCs w:val="22"/>
              </w:rPr>
              <w:t>$50,514</w:t>
            </w:r>
          </w:p>
        </w:tc>
        <w:tc>
          <w:tcPr>
            <w:tcW w:w="980" w:type="dxa"/>
            <w:tcBorders>
              <w:top w:val="nil"/>
              <w:left w:val="nil"/>
              <w:bottom w:val="single" w:sz="4" w:space="0" w:color="auto"/>
              <w:right w:val="single" w:sz="4" w:space="0" w:color="auto"/>
            </w:tcBorders>
            <w:shd w:val="clear" w:color="auto" w:fill="auto"/>
            <w:noWrap/>
            <w:vAlign w:val="bottom"/>
            <w:hideMark/>
          </w:tcPr>
          <w:p w14:paraId="0D2DE266" w14:textId="77777777" w:rsidR="00B2630F" w:rsidRDefault="00B2630F" w:rsidP="00666827">
            <w:pPr>
              <w:jc w:val="center"/>
              <w:rPr>
                <w:color w:val="000000"/>
                <w:sz w:val="22"/>
                <w:szCs w:val="22"/>
              </w:rPr>
            </w:pPr>
            <w:r>
              <w:rPr>
                <w:color w:val="000000"/>
                <w:sz w:val="22"/>
                <w:szCs w:val="22"/>
              </w:rPr>
              <w:t>1.17%</w:t>
            </w:r>
          </w:p>
        </w:tc>
      </w:tr>
      <w:tr w:rsidR="00B2630F" w14:paraId="37B6BE75"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299F0D1" w14:textId="77777777" w:rsidR="00B2630F" w:rsidRDefault="00B2630F" w:rsidP="00666827">
            <w:pPr>
              <w:jc w:val="center"/>
              <w:rPr>
                <w:color w:val="000000"/>
                <w:sz w:val="22"/>
                <w:szCs w:val="22"/>
              </w:rPr>
            </w:pPr>
            <w:r>
              <w:rPr>
                <w:bCs/>
                <w:color w:val="000000"/>
                <w:sz w:val="22"/>
                <w:szCs w:val="22"/>
              </w:rPr>
              <w:t>2012</w:t>
            </w:r>
          </w:p>
        </w:tc>
        <w:tc>
          <w:tcPr>
            <w:tcW w:w="1340" w:type="dxa"/>
            <w:tcBorders>
              <w:top w:val="nil"/>
              <w:left w:val="nil"/>
              <w:bottom w:val="single" w:sz="4" w:space="0" w:color="auto"/>
              <w:right w:val="single" w:sz="4" w:space="0" w:color="auto"/>
            </w:tcBorders>
            <w:shd w:val="clear" w:color="auto" w:fill="auto"/>
            <w:noWrap/>
            <w:vAlign w:val="bottom"/>
            <w:hideMark/>
          </w:tcPr>
          <w:p w14:paraId="16B87970" w14:textId="77777777" w:rsidR="00B2630F" w:rsidRDefault="00B2630F" w:rsidP="00666827">
            <w:pPr>
              <w:jc w:val="center"/>
              <w:rPr>
                <w:color w:val="000000"/>
                <w:sz w:val="22"/>
                <w:szCs w:val="22"/>
              </w:rPr>
            </w:pPr>
            <w:r>
              <w:rPr>
                <w:color w:val="000000"/>
                <w:sz w:val="22"/>
                <w:szCs w:val="22"/>
              </w:rPr>
              <w:t>$184,550</w:t>
            </w:r>
          </w:p>
        </w:tc>
        <w:tc>
          <w:tcPr>
            <w:tcW w:w="1260" w:type="dxa"/>
            <w:tcBorders>
              <w:top w:val="nil"/>
              <w:left w:val="nil"/>
              <w:bottom w:val="single" w:sz="4" w:space="0" w:color="auto"/>
              <w:right w:val="single" w:sz="4" w:space="0" w:color="auto"/>
            </w:tcBorders>
            <w:shd w:val="clear" w:color="auto" w:fill="auto"/>
            <w:noWrap/>
            <w:vAlign w:val="bottom"/>
            <w:hideMark/>
          </w:tcPr>
          <w:p w14:paraId="3E178CBD" w14:textId="77777777" w:rsidR="00B2630F" w:rsidRDefault="00B2630F" w:rsidP="00666827">
            <w:pPr>
              <w:jc w:val="center"/>
              <w:rPr>
                <w:color w:val="000000"/>
                <w:sz w:val="22"/>
                <w:szCs w:val="22"/>
              </w:rPr>
            </w:pPr>
            <w:r>
              <w:rPr>
                <w:color w:val="000000"/>
                <w:sz w:val="22"/>
                <w:szCs w:val="22"/>
              </w:rPr>
              <w:t>$2,793,278</w:t>
            </w:r>
          </w:p>
        </w:tc>
        <w:tc>
          <w:tcPr>
            <w:tcW w:w="1400" w:type="dxa"/>
            <w:tcBorders>
              <w:top w:val="nil"/>
              <w:left w:val="nil"/>
              <w:bottom w:val="single" w:sz="4" w:space="0" w:color="auto"/>
              <w:right w:val="single" w:sz="4" w:space="0" w:color="auto"/>
            </w:tcBorders>
            <w:shd w:val="clear" w:color="auto" w:fill="auto"/>
            <w:noWrap/>
            <w:vAlign w:val="bottom"/>
            <w:hideMark/>
          </w:tcPr>
          <w:p w14:paraId="287EFA57" w14:textId="77777777" w:rsidR="00B2630F" w:rsidRDefault="00B2630F" w:rsidP="00666827">
            <w:pPr>
              <w:jc w:val="center"/>
              <w:rPr>
                <w:color w:val="000000"/>
                <w:sz w:val="22"/>
                <w:szCs w:val="22"/>
              </w:rPr>
            </w:pPr>
            <w:r>
              <w:rPr>
                <w:color w:val="000000"/>
                <w:sz w:val="22"/>
                <w:szCs w:val="22"/>
              </w:rPr>
              <w:t>$10,085,178</w:t>
            </w:r>
          </w:p>
        </w:tc>
        <w:tc>
          <w:tcPr>
            <w:tcW w:w="1400" w:type="dxa"/>
            <w:tcBorders>
              <w:top w:val="nil"/>
              <w:left w:val="nil"/>
              <w:bottom w:val="single" w:sz="4" w:space="0" w:color="auto"/>
              <w:right w:val="single" w:sz="4" w:space="0" w:color="auto"/>
            </w:tcBorders>
            <w:shd w:val="clear" w:color="auto" w:fill="auto"/>
            <w:noWrap/>
            <w:vAlign w:val="bottom"/>
            <w:hideMark/>
          </w:tcPr>
          <w:p w14:paraId="2A56A09E" w14:textId="77777777" w:rsidR="00B2630F" w:rsidRDefault="00B2630F" w:rsidP="00666827">
            <w:pPr>
              <w:jc w:val="center"/>
              <w:rPr>
                <w:color w:val="000000"/>
                <w:sz w:val="22"/>
                <w:szCs w:val="22"/>
              </w:rPr>
            </w:pPr>
            <w:r>
              <w:rPr>
                <w:color w:val="000000"/>
                <w:sz w:val="22"/>
                <w:szCs w:val="22"/>
              </w:rPr>
              <w:t>$12,878,456</w:t>
            </w:r>
          </w:p>
        </w:tc>
        <w:tc>
          <w:tcPr>
            <w:tcW w:w="1340" w:type="dxa"/>
            <w:tcBorders>
              <w:top w:val="nil"/>
              <w:left w:val="nil"/>
              <w:bottom w:val="single" w:sz="4" w:space="0" w:color="auto"/>
              <w:right w:val="single" w:sz="4" w:space="0" w:color="auto"/>
            </w:tcBorders>
            <w:shd w:val="clear" w:color="auto" w:fill="auto"/>
            <w:noWrap/>
            <w:vAlign w:val="bottom"/>
            <w:hideMark/>
          </w:tcPr>
          <w:p w14:paraId="585C8C0A" w14:textId="77777777" w:rsidR="00B2630F" w:rsidRDefault="00B2630F" w:rsidP="00666827">
            <w:pPr>
              <w:jc w:val="center"/>
              <w:rPr>
                <w:color w:val="000000"/>
                <w:sz w:val="22"/>
                <w:szCs w:val="22"/>
              </w:rPr>
            </w:pPr>
            <w:r>
              <w:rPr>
                <w:color w:val="000000"/>
                <w:sz w:val="22"/>
                <w:szCs w:val="22"/>
              </w:rPr>
              <w:t>$49,916</w:t>
            </w:r>
          </w:p>
        </w:tc>
        <w:tc>
          <w:tcPr>
            <w:tcW w:w="980" w:type="dxa"/>
            <w:tcBorders>
              <w:top w:val="nil"/>
              <w:left w:val="nil"/>
              <w:bottom w:val="single" w:sz="4" w:space="0" w:color="auto"/>
              <w:right w:val="single" w:sz="4" w:space="0" w:color="auto"/>
            </w:tcBorders>
            <w:shd w:val="clear" w:color="auto" w:fill="auto"/>
            <w:noWrap/>
            <w:vAlign w:val="bottom"/>
            <w:hideMark/>
          </w:tcPr>
          <w:p w14:paraId="71752FC6" w14:textId="77777777" w:rsidR="00B2630F" w:rsidRDefault="00B2630F" w:rsidP="00666827">
            <w:pPr>
              <w:jc w:val="center"/>
              <w:rPr>
                <w:color w:val="000000"/>
                <w:sz w:val="22"/>
                <w:szCs w:val="22"/>
              </w:rPr>
            </w:pPr>
            <w:r>
              <w:rPr>
                <w:color w:val="000000"/>
                <w:sz w:val="22"/>
                <w:szCs w:val="22"/>
              </w:rPr>
              <w:t>1.43%</w:t>
            </w:r>
          </w:p>
        </w:tc>
      </w:tr>
      <w:tr w:rsidR="00B2630F" w14:paraId="05B7744A"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8B56E56" w14:textId="77777777" w:rsidR="00B2630F" w:rsidRDefault="00B2630F" w:rsidP="00666827">
            <w:pPr>
              <w:jc w:val="center"/>
              <w:rPr>
                <w:color w:val="000000"/>
                <w:sz w:val="22"/>
                <w:szCs w:val="22"/>
              </w:rPr>
            </w:pPr>
            <w:r>
              <w:rPr>
                <w:bCs/>
                <w:color w:val="000000"/>
                <w:sz w:val="22"/>
                <w:szCs w:val="22"/>
              </w:rPr>
              <w:t>2013</w:t>
            </w:r>
          </w:p>
        </w:tc>
        <w:tc>
          <w:tcPr>
            <w:tcW w:w="1340" w:type="dxa"/>
            <w:tcBorders>
              <w:top w:val="nil"/>
              <w:left w:val="nil"/>
              <w:bottom w:val="single" w:sz="4" w:space="0" w:color="auto"/>
              <w:right w:val="single" w:sz="4" w:space="0" w:color="auto"/>
            </w:tcBorders>
            <w:shd w:val="clear" w:color="auto" w:fill="auto"/>
            <w:noWrap/>
            <w:vAlign w:val="bottom"/>
            <w:hideMark/>
          </w:tcPr>
          <w:p w14:paraId="6356BF4B" w14:textId="77777777" w:rsidR="00B2630F" w:rsidRDefault="00B2630F" w:rsidP="00666827">
            <w:pPr>
              <w:jc w:val="center"/>
              <w:rPr>
                <w:color w:val="000000"/>
                <w:sz w:val="22"/>
                <w:szCs w:val="22"/>
              </w:rPr>
            </w:pPr>
            <w:r>
              <w:rPr>
                <w:color w:val="000000"/>
                <w:sz w:val="22"/>
                <w:szCs w:val="22"/>
              </w:rPr>
              <w:t>$180,587</w:t>
            </w:r>
          </w:p>
        </w:tc>
        <w:tc>
          <w:tcPr>
            <w:tcW w:w="1260" w:type="dxa"/>
            <w:tcBorders>
              <w:top w:val="nil"/>
              <w:left w:val="nil"/>
              <w:bottom w:val="single" w:sz="4" w:space="0" w:color="auto"/>
              <w:right w:val="single" w:sz="4" w:space="0" w:color="auto"/>
            </w:tcBorders>
            <w:shd w:val="clear" w:color="auto" w:fill="auto"/>
            <w:noWrap/>
            <w:vAlign w:val="bottom"/>
            <w:hideMark/>
          </w:tcPr>
          <w:p w14:paraId="11F58960" w14:textId="77777777" w:rsidR="00B2630F" w:rsidRDefault="00B2630F" w:rsidP="00666827">
            <w:pPr>
              <w:jc w:val="center"/>
              <w:rPr>
                <w:color w:val="000000"/>
                <w:sz w:val="22"/>
                <w:szCs w:val="22"/>
              </w:rPr>
            </w:pPr>
            <w:r>
              <w:rPr>
                <w:color w:val="000000"/>
                <w:sz w:val="22"/>
                <w:szCs w:val="22"/>
              </w:rPr>
              <w:t>$3,294,150</w:t>
            </w:r>
          </w:p>
        </w:tc>
        <w:tc>
          <w:tcPr>
            <w:tcW w:w="1400" w:type="dxa"/>
            <w:tcBorders>
              <w:top w:val="nil"/>
              <w:left w:val="nil"/>
              <w:bottom w:val="single" w:sz="4" w:space="0" w:color="auto"/>
              <w:right w:val="single" w:sz="4" w:space="0" w:color="auto"/>
            </w:tcBorders>
            <w:shd w:val="clear" w:color="auto" w:fill="auto"/>
            <w:noWrap/>
            <w:vAlign w:val="bottom"/>
            <w:hideMark/>
          </w:tcPr>
          <w:p w14:paraId="13A3D549" w14:textId="77777777" w:rsidR="00B2630F" w:rsidRDefault="00B2630F" w:rsidP="00666827">
            <w:pPr>
              <w:jc w:val="center"/>
              <w:rPr>
                <w:color w:val="000000"/>
                <w:sz w:val="22"/>
                <w:szCs w:val="22"/>
              </w:rPr>
            </w:pPr>
            <w:r>
              <w:rPr>
                <w:color w:val="000000"/>
                <w:sz w:val="22"/>
                <w:szCs w:val="22"/>
              </w:rPr>
              <w:t>$10,224,112</w:t>
            </w:r>
          </w:p>
        </w:tc>
        <w:tc>
          <w:tcPr>
            <w:tcW w:w="1400" w:type="dxa"/>
            <w:tcBorders>
              <w:top w:val="nil"/>
              <w:left w:val="nil"/>
              <w:bottom w:val="single" w:sz="4" w:space="0" w:color="auto"/>
              <w:right w:val="single" w:sz="4" w:space="0" w:color="auto"/>
            </w:tcBorders>
            <w:shd w:val="clear" w:color="auto" w:fill="auto"/>
            <w:noWrap/>
            <w:vAlign w:val="bottom"/>
            <w:hideMark/>
          </w:tcPr>
          <w:p w14:paraId="0F3A07D9" w14:textId="77777777" w:rsidR="00B2630F" w:rsidRDefault="00B2630F" w:rsidP="00666827">
            <w:pPr>
              <w:jc w:val="center"/>
              <w:rPr>
                <w:color w:val="000000"/>
                <w:sz w:val="22"/>
                <w:szCs w:val="22"/>
              </w:rPr>
            </w:pPr>
            <w:r>
              <w:rPr>
                <w:color w:val="000000"/>
                <w:sz w:val="22"/>
                <w:szCs w:val="22"/>
              </w:rPr>
              <w:t>$13,518,262</w:t>
            </w:r>
          </w:p>
        </w:tc>
        <w:tc>
          <w:tcPr>
            <w:tcW w:w="1340" w:type="dxa"/>
            <w:tcBorders>
              <w:top w:val="nil"/>
              <w:left w:val="nil"/>
              <w:bottom w:val="single" w:sz="4" w:space="0" w:color="auto"/>
              <w:right w:val="single" w:sz="4" w:space="0" w:color="auto"/>
            </w:tcBorders>
            <w:shd w:val="clear" w:color="auto" w:fill="auto"/>
            <w:noWrap/>
            <w:vAlign w:val="bottom"/>
            <w:hideMark/>
          </w:tcPr>
          <w:p w14:paraId="404BB765" w14:textId="77777777" w:rsidR="00B2630F" w:rsidRDefault="00B2630F" w:rsidP="00666827">
            <w:pPr>
              <w:jc w:val="center"/>
              <w:rPr>
                <w:color w:val="000000"/>
                <w:sz w:val="22"/>
                <w:szCs w:val="22"/>
              </w:rPr>
            </w:pPr>
            <w:r>
              <w:rPr>
                <w:color w:val="000000"/>
                <w:sz w:val="22"/>
                <w:szCs w:val="22"/>
              </w:rPr>
              <w:t>$53,222</w:t>
            </w:r>
          </w:p>
        </w:tc>
        <w:tc>
          <w:tcPr>
            <w:tcW w:w="980" w:type="dxa"/>
            <w:tcBorders>
              <w:top w:val="nil"/>
              <w:left w:val="nil"/>
              <w:bottom w:val="single" w:sz="4" w:space="0" w:color="auto"/>
              <w:right w:val="single" w:sz="4" w:space="0" w:color="auto"/>
            </w:tcBorders>
            <w:shd w:val="clear" w:color="auto" w:fill="auto"/>
            <w:noWrap/>
            <w:vAlign w:val="bottom"/>
            <w:hideMark/>
          </w:tcPr>
          <w:p w14:paraId="33C773EF" w14:textId="77777777" w:rsidR="00B2630F" w:rsidRDefault="00B2630F" w:rsidP="00666827">
            <w:pPr>
              <w:jc w:val="center"/>
              <w:rPr>
                <w:color w:val="000000"/>
                <w:sz w:val="22"/>
                <w:szCs w:val="22"/>
              </w:rPr>
            </w:pPr>
            <w:r>
              <w:rPr>
                <w:color w:val="000000"/>
                <w:sz w:val="22"/>
                <w:szCs w:val="22"/>
              </w:rPr>
              <w:t>1.34%</w:t>
            </w:r>
          </w:p>
        </w:tc>
      </w:tr>
      <w:tr w:rsidR="00B2630F" w14:paraId="204BC66A"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9F4F3E7" w14:textId="77777777" w:rsidR="00B2630F" w:rsidRDefault="00B2630F" w:rsidP="00666827">
            <w:pPr>
              <w:jc w:val="center"/>
              <w:rPr>
                <w:color w:val="000000"/>
                <w:sz w:val="22"/>
                <w:szCs w:val="22"/>
              </w:rPr>
            </w:pPr>
            <w:r>
              <w:rPr>
                <w:bCs/>
                <w:color w:val="000000"/>
                <w:sz w:val="22"/>
                <w:szCs w:val="22"/>
              </w:rPr>
              <w:t>2014</w:t>
            </w:r>
          </w:p>
        </w:tc>
        <w:tc>
          <w:tcPr>
            <w:tcW w:w="1340" w:type="dxa"/>
            <w:tcBorders>
              <w:top w:val="nil"/>
              <w:left w:val="nil"/>
              <w:bottom w:val="single" w:sz="4" w:space="0" w:color="auto"/>
              <w:right w:val="single" w:sz="4" w:space="0" w:color="auto"/>
            </w:tcBorders>
            <w:shd w:val="clear" w:color="auto" w:fill="auto"/>
            <w:noWrap/>
            <w:vAlign w:val="bottom"/>
            <w:hideMark/>
          </w:tcPr>
          <w:p w14:paraId="753DC785" w14:textId="77777777" w:rsidR="00B2630F" w:rsidRDefault="00B2630F" w:rsidP="00666827">
            <w:pPr>
              <w:jc w:val="center"/>
              <w:rPr>
                <w:color w:val="000000"/>
                <w:sz w:val="22"/>
                <w:szCs w:val="22"/>
              </w:rPr>
            </w:pPr>
            <w:r>
              <w:rPr>
                <w:color w:val="000000"/>
                <w:sz w:val="22"/>
                <w:szCs w:val="22"/>
              </w:rPr>
              <w:t>$188,388</w:t>
            </w:r>
          </w:p>
        </w:tc>
        <w:tc>
          <w:tcPr>
            <w:tcW w:w="1260" w:type="dxa"/>
            <w:tcBorders>
              <w:top w:val="nil"/>
              <w:left w:val="nil"/>
              <w:bottom w:val="single" w:sz="4" w:space="0" w:color="auto"/>
              <w:right w:val="single" w:sz="4" w:space="0" w:color="auto"/>
            </w:tcBorders>
            <w:shd w:val="clear" w:color="auto" w:fill="auto"/>
            <w:noWrap/>
            <w:vAlign w:val="bottom"/>
            <w:hideMark/>
          </w:tcPr>
          <w:p w14:paraId="5E1C3B04" w14:textId="77777777" w:rsidR="00B2630F" w:rsidRDefault="00B2630F" w:rsidP="00666827">
            <w:pPr>
              <w:jc w:val="center"/>
              <w:rPr>
                <w:color w:val="000000"/>
                <w:sz w:val="22"/>
                <w:szCs w:val="22"/>
              </w:rPr>
            </w:pPr>
            <w:r>
              <w:rPr>
                <w:color w:val="000000"/>
                <w:sz w:val="22"/>
                <w:szCs w:val="22"/>
              </w:rPr>
              <w:t>$3,319,651</w:t>
            </w:r>
          </w:p>
        </w:tc>
        <w:tc>
          <w:tcPr>
            <w:tcW w:w="1400" w:type="dxa"/>
            <w:tcBorders>
              <w:top w:val="nil"/>
              <w:left w:val="nil"/>
              <w:bottom w:val="single" w:sz="4" w:space="0" w:color="auto"/>
              <w:right w:val="single" w:sz="4" w:space="0" w:color="auto"/>
            </w:tcBorders>
            <w:shd w:val="clear" w:color="auto" w:fill="auto"/>
            <w:noWrap/>
            <w:vAlign w:val="bottom"/>
            <w:hideMark/>
          </w:tcPr>
          <w:p w14:paraId="7C10F279" w14:textId="77777777" w:rsidR="00B2630F" w:rsidRDefault="00B2630F" w:rsidP="00666827">
            <w:pPr>
              <w:jc w:val="center"/>
              <w:rPr>
                <w:color w:val="000000"/>
                <w:sz w:val="22"/>
                <w:szCs w:val="22"/>
              </w:rPr>
            </w:pPr>
            <w:r>
              <w:rPr>
                <w:color w:val="000000"/>
                <w:sz w:val="22"/>
                <w:szCs w:val="22"/>
              </w:rPr>
              <w:t>$11,286,392</w:t>
            </w:r>
          </w:p>
        </w:tc>
        <w:tc>
          <w:tcPr>
            <w:tcW w:w="1400" w:type="dxa"/>
            <w:tcBorders>
              <w:top w:val="nil"/>
              <w:left w:val="nil"/>
              <w:bottom w:val="single" w:sz="4" w:space="0" w:color="auto"/>
              <w:right w:val="single" w:sz="4" w:space="0" w:color="auto"/>
            </w:tcBorders>
            <w:shd w:val="clear" w:color="auto" w:fill="auto"/>
            <w:noWrap/>
            <w:vAlign w:val="bottom"/>
            <w:hideMark/>
          </w:tcPr>
          <w:p w14:paraId="31330CFC" w14:textId="77777777" w:rsidR="00B2630F" w:rsidRDefault="00B2630F" w:rsidP="00666827">
            <w:pPr>
              <w:jc w:val="center"/>
              <w:rPr>
                <w:color w:val="000000"/>
                <w:sz w:val="22"/>
                <w:szCs w:val="22"/>
              </w:rPr>
            </w:pPr>
            <w:r>
              <w:rPr>
                <w:color w:val="000000"/>
                <w:sz w:val="22"/>
                <w:szCs w:val="22"/>
              </w:rPr>
              <w:t>$14,606,043</w:t>
            </w:r>
          </w:p>
        </w:tc>
        <w:tc>
          <w:tcPr>
            <w:tcW w:w="1340" w:type="dxa"/>
            <w:tcBorders>
              <w:top w:val="nil"/>
              <w:left w:val="nil"/>
              <w:bottom w:val="single" w:sz="4" w:space="0" w:color="auto"/>
              <w:right w:val="single" w:sz="4" w:space="0" w:color="auto"/>
            </w:tcBorders>
            <w:shd w:val="clear" w:color="auto" w:fill="auto"/>
            <w:noWrap/>
            <w:vAlign w:val="bottom"/>
            <w:hideMark/>
          </w:tcPr>
          <w:p w14:paraId="0E85F14C" w14:textId="77777777" w:rsidR="00B2630F" w:rsidRDefault="00B2630F" w:rsidP="00666827">
            <w:pPr>
              <w:jc w:val="center"/>
              <w:rPr>
                <w:color w:val="000000"/>
                <w:sz w:val="22"/>
                <w:szCs w:val="22"/>
              </w:rPr>
            </w:pPr>
            <w:r>
              <w:rPr>
                <w:color w:val="000000"/>
                <w:sz w:val="22"/>
                <w:szCs w:val="22"/>
              </w:rPr>
              <w:t>$56,833</w:t>
            </w:r>
          </w:p>
        </w:tc>
        <w:tc>
          <w:tcPr>
            <w:tcW w:w="980" w:type="dxa"/>
            <w:tcBorders>
              <w:top w:val="nil"/>
              <w:left w:val="nil"/>
              <w:bottom w:val="single" w:sz="4" w:space="0" w:color="auto"/>
              <w:right w:val="single" w:sz="4" w:space="0" w:color="auto"/>
            </w:tcBorders>
            <w:shd w:val="clear" w:color="auto" w:fill="auto"/>
            <w:noWrap/>
            <w:vAlign w:val="bottom"/>
            <w:hideMark/>
          </w:tcPr>
          <w:p w14:paraId="4386AA9B" w14:textId="77777777" w:rsidR="00B2630F" w:rsidRDefault="00B2630F" w:rsidP="00666827">
            <w:pPr>
              <w:jc w:val="center"/>
              <w:rPr>
                <w:color w:val="000000"/>
                <w:sz w:val="22"/>
                <w:szCs w:val="22"/>
              </w:rPr>
            </w:pPr>
            <w:r>
              <w:rPr>
                <w:color w:val="000000"/>
                <w:sz w:val="22"/>
                <w:szCs w:val="22"/>
              </w:rPr>
              <w:t>1.29%</w:t>
            </w:r>
          </w:p>
        </w:tc>
      </w:tr>
      <w:tr w:rsidR="00B2630F" w14:paraId="4B6E00C7"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6079CA3" w14:textId="77777777" w:rsidR="00B2630F" w:rsidRDefault="00B2630F" w:rsidP="00666827">
            <w:pPr>
              <w:jc w:val="center"/>
              <w:rPr>
                <w:b/>
                <w:bCs/>
                <w:color w:val="000000"/>
                <w:sz w:val="22"/>
                <w:szCs w:val="22"/>
              </w:rPr>
            </w:pPr>
            <w:r>
              <w:rPr>
                <w:b/>
                <w:bCs/>
                <w:color w:val="000000"/>
                <w:sz w:val="22"/>
                <w:szCs w:val="22"/>
              </w:rPr>
              <w:t xml:space="preserve">Average </w:t>
            </w:r>
          </w:p>
        </w:tc>
        <w:tc>
          <w:tcPr>
            <w:tcW w:w="1340" w:type="dxa"/>
            <w:tcBorders>
              <w:top w:val="nil"/>
              <w:left w:val="nil"/>
              <w:bottom w:val="single" w:sz="4" w:space="0" w:color="auto"/>
              <w:right w:val="single" w:sz="4" w:space="0" w:color="auto"/>
            </w:tcBorders>
            <w:shd w:val="clear" w:color="auto" w:fill="auto"/>
            <w:noWrap/>
            <w:vAlign w:val="bottom"/>
            <w:hideMark/>
          </w:tcPr>
          <w:p w14:paraId="3D10E1AC" w14:textId="77777777" w:rsidR="00B2630F" w:rsidRDefault="00B2630F" w:rsidP="00666827">
            <w:pPr>
              <w:jc w:val="center"/>
              <w:rPr>
                <w:b/>
                <w:bCs/>
                <w:color w:val="000000"/>
                <w:sz w:val="22"/>
                <w:szCs w:val="22"/>
              </w:rPr>
            </w:pPr>
            <w:r>
              <w:rPr>
                <w:b/>
                <w:bCs/>
                <w:color w:val="000000"/>
                <w:sz w:val="22"/>
                <w:szCs w:val="22"/>
              </w:rPr>
              <w:t xml:space="preserve">$173,289 </w:t>
            </w:r>
          </w:p>
        </w:tc>
        <w:tc>
          <w:tcPr>
            <w:tcW w:w="1260" w:type="dxa"/>
            <w:tcBorders>
              <w:top w:val="nil"/>
              <w:left w:val="nil"/>
              <w:bottom w:val="single" w:sz="4" w:space="0" w:color="auto"/>
              <w:right w:val="single" w:sz="4" w:space="0" w:color="auto"/>
            </w:tcBorders>
            <w:shd w:val="clear" w:color="auto" w:fill="auto"/>
            <w:noWrap/>
            <w:vAlign w:val="bottom"/>
            <w:hideMark/>
          </w:tcPr>
          <w:p w14:paraId="4BAE4FC3" w14:textId="77777777" w:rsidR="00B2630F" w:rsidRDefault="00B2630F" w:rsidP="00666827">
            <w:pPr>
              <w:jc w:val="center"/>
              <w:rPr>
                <w:b/>
                <w:bCs/>
                <w:color w:val="000000"/>
                <w:sz w:val="22"/>
                <w:szCs w:val="22"/>
              </w:rPr>
            </w:pPr>
            <w:r>
              <w:rPr>
                <w:b/>
                <w:bCs/>
                <w:color w:val="000000"/>
                <w:sz w:val="22"/>
                <w:szCs w:val="22"/>
              </w:rPr>
              <w:t xml:space="preserve">$2,970,903 </w:t>
            </w:r>
          </w:p>
        </w:tc>
        <w:tc>
          <w:tcPr>
            <w:tcW w:w="1400" w:type="dxa"/>
            <w:tcBorders>
              <w:top w:val="nil"/>
              <w:left w:val="nil"/>
              <w:bottom w:val="single" w:sz="4" w:space="0" w:color="auto"/>
              <w:right w:val="single" w:sz="4" w:space="0" w:color="auto"/>
            </w:tcBorders>
            <w:shd w:val="clear" w:color="auto" w:fill="auto"/>
            <w:noWrap/>
            <w:vAlign w:val="bottom"/>
            <w:hideMark/>
          </w:tcPr>
          <w:p w14:paraId="7936C23B" w14:textId="77777777" w:rsidR="00B2630F" w:rsidRDefault="00B2630F" w:rsidP="00666827">
            <w:pPr>
              <w:jc w:val="center"/>
              <w:rPr>
                <w:b/>
                <w:bCs/>
                <w:color w:val="000000"/>
                <w:sz w:val="22"/>
                <w:szCs w:val="22"/>
              </w:rPr>
            </w:pPr>
            <w:r>
              <w:rPr>
                <w:b/>
                <w:bCs/>
                <w:color w:val="000000"/>
                <w:sz w:val="22"/>
                <w:szCs w:val="22"/>
              </w:rPr>
              <w:t xml:space="preserve">$10,743,021 </w:t>
            </w:r>
          </w:p>
        </w:tc>
        <w:tc>
          <w:tcPr>
            <w:tcW w:w="1400" w:type="dxa"/>
            <w:tcBorders>
              <w:top w:val="nil"/>
              <w:left w:val="nil"/>
              <w:bottom w:val="single" w:sz="4" w:space="0" w:color="auto"/>
              <w:right w:val="single" w:sz="4" w:space="0" w:color="auto"/>
            </w:tcBorders>
            <w:shd w:val="clear" w:color="auto" w:fill="auto"/>
            <w:noWrap/>
            <w:vAlign w:val="bottom"/>
            <w:hideMark/>
          </w:tcPr>
          <w:p w14:paraId="44C63BD5" w14:textId="77777777" w:rsidR="00B2630F" w:rsidRDefault="00B2630F" w:rsidP="00666827">
            <w:pPr>
              <w:jc w:val="center"/>
              <w:rPr>
                <w:b/>
                <w:bCs/>
                <w:color w:val="000000"/>
                <w:sz w:val="22"/>
                <w:szCs w:val="22"/>
              </w:rPr>
            </w:pPr>
            <w:r>
              <w:rPr>
                <w:b/>
                <w:bCs/>
                <w:color w:val="000000"/>
                <w:sz w:val="22"/>
                <w:szCs w:val="22"/>
              </w:rPr>
              <w:t xml:space="preserve">$13,713,924 </w:t>
            </w:r>
          </w:p>
        </w:tc>
        <w:tc>
          <w:tcPr>
            <w:tcW w:w="1340" w:type="dxa"/>
            <w:tcBorders>
              <w:top w:val="nil"/>
              <w:left w:val="nil"/>
              <w:bottom w:val="single" w:sz="4" w:space="0" w:color="auto"/>
              <w:right w:val="single" w:sz="4" w:space="0" w:color="auto"/>
            </w:tcBorders>
            <w:shd w:val="clear" w:color="auto" w:fill="auto"/>
            <w:noWrap/>
            <w:vAlign w:val="bottom"/>
            <w:hideMark/>
          </w:tcPr>
          <w:p w14:paraId="03F23186" w14:textId="77777777" w:rsidR="00B2630F" w:rsidRDefault="00B2630F" w:rsidP="00666827">
            <w:pPr>
              <w:jc w:val="center"/>
              <w:rPr>
                <w:b/>
                <w:bCs/>
                <w:color w:val="000000"/>
                <w:sz w:val="22"/>
                <w:szCs w:val="22"/>
              </w:rPr>
            </w:pPr>
            <w:r>
              <w:rPr>
                <w:b/>
                <w:bCs/>
                <w:color w:val="000000"/>
                <w:sz w:val="22"/>
                <w:szCs w:val="22"/>
              </w:rPr>
              <w:t xml:space="preserve">$50,738 </w:t>
            </w:r>
          </w:p>
        </w:tc>
        <w:tc>
          <w:tcPr>
            <w:tcW w:w="980" w:type="dxa"/>
            <w:tcBorders>
              <w:top w:val="nil"/>
              <w:left w:val="nil"/>
              <w:bottom w:val="single" w:sz="4" w:space="0" w:color="auto"/>
              <w:right w:val="single" w:sz="4" w:space="0" w:color="auto"/>
            </w:tcBorders>
            <w:shd w:val="clear" w:color="auto" w:fill="auto"/>
            <w:noWrap/>
            <w:vAlign w:val="bottom"/>
            <w:hideMark/>
          </w:tcPr>
          <w:p w14:paraId="7D629EAB" w14:textId="77777777" w:rsidR="00B2630F" w:rsidRDefault="00B2630F" w:rsidP="00666827">
            <w:pPr>
              <w:jc w:val="center"/>
              <w:rPr>
                <w:b/>
                <w:bCs/>
                <w:color w:val="000000"/>
                <w:sz w:val="22"/>
                <w:szCs w:val="22"/>
              </w:rPr>
            </w:pPr>
            <w:r>
              <w:rPr>
                <w:b/>
                <w:bCs/>
                <w:color w:val="000000"/>
                <w:sz w:val="22"/>
                <w:szCs w:val="22"/>
              </w:rPr>
              <w:t>1.3%</w:t>
            </w:r>
          </w:p>
        </w:tc>
      </w:tr>
    </w:tbl>
    <w:p w14:paraId="651179C5" w14:textId="77777777" w:rsidR="00971D18" w:rsidRDefault="00971D18" w:rsidP="00971D18">
      <w:pPr>
        <w:pStyle w:val="Tabletitle"/>
      </w:pPr>
    </w:p>
    <w:p w14:paraId="56167CFA" w14:textId="77777777" w:rsidR="005F0F19" w:rsidRDefault="005F0F19" w:rsidP="005F0F19">
      <w:pPr>
        <w:rPr>
          <w:rFonts w:ascii="Arial" w:hAnsi="Arial" w:cs="Arial"/>
          <w:sz w:val="20"/>
          <w:szCs w:val="20"/>
        </w:rPr>
      </w:pPr>
    </w:p>
    <w:p w14:paraId="37C56307" w14:textId="77777777" w:rsidR="005F0F19" w:rsidRDefault="005F0F19" w:rsidP="005F0F19">
      <w:pPr>
        <w:rPr>
          <w:rFonts w:ascii="Arial" w:hAnsi="Arial" w:cs="Arial"/>
          <w:sz w:val="20"/>
          <w:szCs w:val="20"/>
        </w:rPr>
      </w:pPr>
    </w:p>
    <w:p w14:paraId="2A74E613" w14:textId="77777777" w:rsidR="005F0F19" w:rsidRDefault="005F0F19" w:rsidP="005F0F19">
      <w:pPr>
        <w:rPr>
          <w:rFonts w:ascii="Arial" w:hAnsi="Arial" w:cs="Arial"/>
          <w:sz w:val="20"/>
          <w:szCs w:val="20"/>
        </w:rPr>
      </w:pPr>
    </w:p>
    <w:p w14:paraId="61AB3B45" w14:textId="77777777" w:rsidR="005F0F19" w:rsidRDefault="005F0F19" w:rsidP="005F0F19">
      <w:pPr>
        <w:rPr>
          <w:rFonts w:ascii="Arial" w:hAnsi="Arial" w:cs="Arial"/>
          <w:sz w:val="20"/>
          <w:szCs w:val="20"/>
        </w:rPr>
      </w:pPr>
    </w:p>
    <w:p w14:paraId="6A224B2C" w14:textId="0B4F267A" w:rsidR="005F0F19" w:rsidRPr="00FE4382" w:rsidRDefault="00502EF8" w:rsidP="00502EF8">
      <w:pPr>
        <w:rPr>
          <w:rFonts w:ascii="Arial" w:hAnsi="Arial"/>
          <w:b/>
          <w:bCs/>
          <w:sz w:val="20"/>
        </w:rPr>
      </w:pPr>
      <w:r>
        <w:rPr>
          <w:b/>
        </w:rPr>
        <w:br w:type="page"/>
      </w:r>
    </w:p>
    <w:p w14:paraId="40AAC102" w14:textId="5C9E4F16" w:rsidR="005F0F19" w:rsidRDefault="00FE4382" w:rsidP="005F0F19">
      <w:pPr>
        <w:ind w:firstLine="360"/>
      </w:pPr>
      <w:r>
        <w:lastRenderedPageBreak/>
        <w:t>The following estimates of the economic impacts of commercial landings of mutton snapper are derived from using the model developed for and applied in NMFS (2016).  The annual average landings of 5</w:t>
      </w:r>
      <w:r w:rsidR="00B2630F">
        <w:t>6</w:t>
      </w:r>
      <w:r>
        <w:t>,</w:t>
      </w:r>
      <w:r w:rsidR="00B2630F">
        <w:t>705</w:t>
      </w:r>
      <w:r>
        <w:t xml:space="preserve"> lbs gw with dockside value of $17</w:t>
      </w:r>
      <w:r w:rsidR="00B2630F">
        <w:t>3</w:t>
      </w:r>
      <w:r>
        <w:t>,2</w:t>
      </w:r>
      <w:r w:rsidR="00B2630F">
        <w:t>89</w:t>
      </w:r>
      <w:r>
        <w:t xml:space="preserve"> (2015 $) generates annually 2</w:t>
      </w:r>
      <w:r w:rsidR="00B2630F">
        <w:t>3</w:t>
      </w:r>
      <w:r>
        <w:t xml:space="preserve"> jobs, approximately $6</w:t>
      </w:r>
      <w:r w:rsidR="00B2630F">
        <w:t>31</w:t>
      </w:r>
      <w:r>
        <w:t>,000 in income impacts, $</w:t>
      </w:r>
      <w:r w:rsidR="00B2630F">
        <w:t>892</w:t>
      </w:r>
      <w:r>
        <w:t>,000 in value added impacts, and $1.7</w:t>
      </w:r>
      <w:r w:rsidR="00B2630F">
        <w:t>18</w:t>
      </w:r>
      <w:r>
        <w:t xml:space="preserve"> million in sales impacts (</w:t>
      </w:r>
      <w:r w:rsidRPr="003E62BA">
        <w:rPr>
          <w:b/>
        </w:rPr>
        <w:t>Table 3.3.12</w:t>
      </w:r>
      <w:r>
        <w:t xml:space="preserve">).  </w:t>
      </w:r>
    </w:p>
    <w:p w14:paraId="71BB4FDA" w14:textId="77777777" w:rsidR="005F0F19" w:rsidRDefault="005F0F19" w:rsidP="005F0F19">
      <w:pPr>
        <w:ind w:firstLine="360"/>
      </w:pPr>
    </w:p>
    <w:p w14:paraId="39F34E24" w14:textId="50693BF3" w:rsidR="005F0F19" w:rsidRDefault="005F0F19" w:rsidP="005F0F19">
      <w:pPr>
        <w:pStyle w:val="Tabletitle"/>
      </w:pPr>
      <w:bookmarkStart w:id="155" w:name="_Toc340431557"/>
      <w:r>
        <w:rPr>
          <w:b/>
        </w:rPr>
        <w:t>Table 3.3.12.</w:t>
      </w:r>
      <w:r>
        <w:t xml:space="preserve">  Estimates of average annual economic impacts of average commercial mutton s</w:t>
      </w:r>
      <w:r w:rsidR="00FE4382">
        <w:t>napper landings, 2011</w:t>
      </w:r>
      <w:r w:rsidR="00273CCF">
        <w:t>-20</w:t>
      </w:r>
      <w:r>
        <w:t>15</w:t>
      </w:r>
      <w:r w:rsidRPr="0067026A">
        <w:t>.</w:t>
      </w:r>
      <w:bookmarkEnd w:id="155"/>
      <w:r w:rsidRPr="0067026A">
        <w:t xml:space="preserve"> </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5F0F19" w14:paraId="1734A20D" w14:textId="77777777" w:rsidTr="00502EF8">
        <w:tc>
          <w:tcPr>
            <w:tcW w:w="1596" w:type="dxa"/>
            <w:shd w:val="clear" w:color="auto" w:fill="D9D9D9" w:themeFill="background1" w:themeFillShade="D9"/>
            <w:vAlign w:val="center"/>
          </w:tcPr>
          <w:p w14:paraId="46097CF1" w14:textId="77777777" w:rsidR="005F0F19" w:rsidRPr="00F61D71" w:rsidRDefault="005F0F19" w:rsidP="00502EF8">
            <w:pPr>
              <w:jc w:val="center"/>
              <w:rPr>
                <w:b/>
                <w:sz w:val="22"/>
                <w:szCs w:val="22"/>
              </w:rPr>
            </w:pPr>
            <w:r w:rsidRPr="00F61D71">
              <w:rPr>
                <w:b/>
                <w:sz w:val="22"/>
                <w:szCs w:val="22"/>
              </w:rPr>
              <w:t>Years to determine average</w:t>
            </w:r>
          </w:p>
        </w:tc>
        <w:tc>
          <w:tcPr>
            <w:tcW w:w="1596" w:type="dxa"/>
            <w:shd w:val="clear" w:color="auto" w:fill="D9D9D9" w:themeFill="background1" w:themeFillShade="D9"/>
            <w:vAlign w:val="center"/>
          </w:tcPr>
          <w:p w14:paraId="750AF66D" w14:textId="77777777" w:rsidR="005F0F19" w:rsidRPr="00F61D71" w:rsidRDefault="005F0F19" w:rsidP="00502EF8">
            <w:pPr>
              <w:jc w:val="center"/>
              <w:rPr>
                <w:b/>
                <w:sz w:val="22"/>
                <w:szCs w:val="22"/>
              </w:rPr>
            </w:pPr>
            <w:r w:rsidRPr="00F61D71">
              <w:rPr>
                <w:b/>
                <w:sz w:val="22"/>
                <w:szCs w:val="22"/>
              </w:rPr>
              <w:t>Dockside revenue</w:t>
            </w:r>
          </w:p>
        </w:tc>
        <w:tc>
          <w:tcPr>
            <w:tcW w:w="1596" w:type="dxa"/>
            <w:shd w:val="clear" w:color="auto" w:fill="D9D9D9" w:themeFill="background1" w:themeFillShade="D9"/>
            <w:vAlign w:val="center"/>
          </w:tcPr>
          <w:p w14:paraId="409C9B60" w14:textId="77777777" w:rsidR="005F0F19" w:rsidRPr="00F61D71" w:rsidRDefault="005F0F19" w:rsidP="00502EF8">
            <w:pPr>
              <w:jc w:val="center"/>
              <w:rPr>
                <w:b/>
                <w:sz w:val="22"/>
                <w:szCs w:val="22"/>
              </w:rPr>
            </w:pPr>
            <w:r w:rsidRPr="00F61D71">
              <w:rPr>
                <w:b/>
                <w:sz w:val="22"/>
                <w:szCs w:val="22"/>
              </w:rPr>
              <w:t>Number of jobs</w:t>
            </w:r>
          </w:p>
        </w:tc>
        <w:tc>
          <w:tcPr>
            <w:tcW w:w="1596" w:type="dxa"/>
            <w:shd w:val="clear" w:color="auto" w:fill="D9D9D9" w:themeFill="background1" w:themeFillShade="D9"/>
            <w:vAlign w:val="center"/>
          </w:tcPr>
          <w:p w14:paraId="53017B61" w14:textId="77777777" w:rsidR="005F0F19" w:rsidRPr="00F61D71" w:rsidRDefault="005F0F19" w:rsidP="00502EF8">
            <w:pPr>
              <w:jc w:val="center"/>
              <w:rPr>
                <w:b/>
                <w:sz w:val="22"/>
                <w:szCs w:val="22"/>
              </w:rPr>
            </w:pPr>
            <w:r w:rsidRPr="00F61D71">
              <w:rPr>
                <w:b/>
                <w:sz w:val="22"/>
                <w:szCs w:val="22"/>
              </w:rPr>
              <w:t>Income impacts</w:t>
            </w:r>
          </w:p>
        </w:tc>
        <w:tc>
          <w:tcPr>
            <w:tcW w:w="1596" w:type="dxa"/>
            <w:shd w:val="clear" w:color="auto" w:fill="D9D9D9" w:themeFill="background1" w:themeFillShade="D9"/>
            <w:vAlign w:val="center"/>
          </w:tcPr>
          <w:p w14:paraId="7AE71958" w14:textId="77777777" w:rsidR="005F0F19" w:rsidRPr="00F61D71" w:rsidRDefault="005F0F19" w:rsidP="00502EF8">
            <w:pPr>
              <w:jc w:val="center"/>
              <w:rPr>
                <w:b/>
                <w:sz w:val="22"/>
                <w:szCs w:val="22"/>
              </w:rPr>
            </w:pPr>
            <w:r w:rsidRPr="00F61D71">
              <w:rPr>
                <w:b/>
                <w:sz w:val="22"/>
                <w:szCs w:val="22"/>
              </w:rPr>
              <w:t>Value added impacts</w:t>
            </w:r>
          </w:p>
        </w:tc>
        <w:tc>
          <w:tcPr>
            <w:tcW w:w="1596" w:type="dxa"/>
            <w:shd w:val="clear" w:color="auto" w:fill="D9D9D9" w:themeFill="background1" w:themeFillShade="D9"/>
            <w:vAlign w:val="center"/>
          </w:tcPr>
          <w:p w14:paraId="0EC42E65" w14:textId="77777777" w:rsidR="005F0F19" w:rsidRPr="00F61D71" w:rsidRDefault="005F0F19" w:rsidP="00502EF8">
            <w:pPr>
              <w:jc w:val="center"/>
              <w:rPr>
                <w:b/>
                <w:sz w:val="22"/>
                <w:szCs w:val="22"/>
              </w:rPr>
            </w:pPr>
            <w:r w:rsidRPr="00F61D71">
              <w:rPr>
                <w:b/>
                <w:sz w:val="22"/>
                <w:szCs w:val="22"/>
              </w:rPr>
              <w:t>Sales impacts</w:t>
            </w:r>
          </w:p>
        </w:tc>
      </w:tr>
      <w:tr w:rsidR="005F0F19" w14:paraId="0EE22F7C" w14:textId="77777777" w:rsidTr="00502EF8">
        <w:tc>
          <w:tcPr>
            <w:tcW w:w="1596" w:type="dxa"/>
            <w:shd w:val="clear" w:color="auto" w:fill="FFFFFF" w:themeFill="background1"/>
          </w:tcPr>
          <w:p w14:paraId="59397987" w14:textId="5EE23827" w:rsidR="005F0F19" w:rsidRPr="00F61D71" w:rsidRDefault="00FE4382" w:rsidP="00502EF8">
            <w:pPr>
              <w:jc w:val="center"/>
              <w:rPr>
                <w:b/>
                <w:sz w:val="22"/>
                <w:szCs w:val="22"/>
              </w:rPr>
            </w:pPr>
            <w:r>
              <w:rPr>
                <w:b/>
                <w:sz w:val="22"/>
                <w:szCs w:val="22"/>
              </w:rPr>
              <w:t>201</w:t>
            </w:r>
            <w:r w:rsidR="00B2630F">
              <w:rPr>
                <w:b/>
                <w:sz w:val="22"/>
                <w:szCs w:val="22"/>
              </w:rPr>
              <w:t>0</w:t>
            </w:r>
            <w:r>
              <w:rPr>
                <w:b/>
                <w:sz w:val="22"/>
                <w:szCs w:val="22"/>
              </w:rPr>
              <w:t>-201</w:t>
            </w:r>
            <w:r w:rsidR="00B2630F">
              <w:rPr>
                <w:b/>
                <w:sz w:val="22"/>
                <w:szCs w:val="22"/>
              </w:rPr>
              <w:t>4</w:t>
            </w:r>
          </w:p>
        </w:tc>
        <w:tc>
          <w:tcPr>
            <w:tcW w:w="1596" w:type="dxa"/>
          </w:tcPr>
          <w:p w14:paraId="0CF821B6" w14:textId="057B5AE6" w:rsidR="005F0F19" w:rsidRPr="00F61D71" w:rsidRDefault="00FE4382" w:rsidP="00502EF8">
            <w:pPr>
              <w:jc w:val="center"/>
              <w:rPr>
                <w:sz w:val="22"/>
                <w:szCs w:val="22"/>
              </w:rPr>
            </w:pPr>
            <w:r>
              <w:rPr>
                <w:sz w:val="22"/>
                <w:szCs w:val="22"/>
              </w:rPr>
              <w:t>$17</w:t>
            </w:r>
            <w:r w:rsidR="00B2630F">
              <w:rPr>
                <w:sz w:val="22"/>
                <w:szCs w:val="22"/>
              </w:rPr>
              <w:t>3</w:t>
            </w:r>
            <w:r>
              <w:rPr>
                <w:sz w:val="22"/>
                <w:szCs w:val="22"/>
              </w:rPr>
              <w:t>,2</w:t>
            </w:r>
            <w:r w:rsidR="00B2630F">
              <w:rPr>
                <w:sz w:val="22"/>
                <w:szCs w:val="22"/>
              </w:rPr>
              <w:t>89</w:t>
            </w:r>
          </w:p>
        </w:tc>
        <w:tc>
          <w:tcPr>
            <w:tcW w:w="1596" w:type="dxa"/>
          </w:tcPr>
          <w:p w14:paraId="26320BA6" w14:textId="685AD6BC" w:rsidR="005F0F19" w:rsidRPr="00F61D71" w:rsidRDefault="005F0F19" w:rsidP="00502EF8">
            <w:pPr>
              <w:jc w:val="center"/>
              <w:rPr>
                <w:sz w:val="22"/>
                <w:szCs w:val="22"/>
              </w:rPr>
            </w:pPr>
            <w:r w:rsidRPr="00F61D71">
              <w:rPr>
                <w:sz w:val="22"/>
                <w:szCs w:val="22"/>
              </w:rPr>
              <w:t>2</w:t>
            </w:r>
            <w:r w:rsidR="00B2630F">
              <w:rPr>
                <w:sz w:val="22"/>
                <w:szCs w:val="22"/>
              </w:rPr>
              <w:t>3</w:t>
            </w:r>
          </w:p>
        </w:tc>
        <w:tc>
          <w:tcPr>
            <w:tcW w:w="1596" w:type="dxa"/>
          </w:tcPr>
          <w:p w14:paraId="68F5B28C" w14:textId="7FECD870" w:rsidR="005F0F19" w:rsidRPr="00F61D71" w:rsidRDefault="00FE4382" w:rsidP="00502EF8">
            <w:pPr>
              <w:jc w:val="center"/>
              <w:rPr>
                <w:sz w:val="22"/>
                <w:szCs w:val="22"/>
              </w:rPr>
            </w:pPr>
            <w:r>
              <w:rPr>
                <w:sz w:val="22"/>
                <w:szCs w:val="22"/>
              </w:rPr>
              <w:t>$6</w:t>
            </w:r>
            <w:r w:rsidR="00B2630F">
              <w:rPr>
                <w:sz w:val="22"/>
                <w:szCs w:val="22"/>
              </w:rPr>
              <w:t>31</w:t>
            </w:r>
            <w:r w:rsidR="005F0F19" w:rsidRPr="00F61D71">
              <w:rPr>
                <w:sz w:val="22"/>
                <w:szCs w:val="22"/>
              </w:rPr>
              <w:t>,000</w:t>
            </w:r>
          </w:p>
        </w:tc>
        <w:tc>
          <w:tcPr>
            <w:tcW w:w="1596" w:type="dxa"/>
          </w:tcPr>
          <w:p w14:paraId="34CF9D7F" w14:textId="3C384157" w:rsidR="005F0F19" w:rsidRPr="00F61D71" w:rsidRDefault="00FE4382" w:rsidP="00502EF8">
            <w:pPr>
              <w:jc w:val="center"/>
              <w:rPr>
                <w:sz w:val="22"/>
                <w:szCs w:val="22"/>
              </w:rPr>
            </w:pPr>
            <w:r>
              <w:rPr>
                <w:sz w:val="22"/>
                <w:szCs w:val="22"/>
              </w:rPr>
              <w:t>$</w:t>
            </w:r>
            <w:r w:rsidR="00B2630F">
              <w:rPr>
                <w:sz w:val="22"/>
                <w:szCs w:val="22"/>
              </w:rPr>
              <w:t>892</w:t>
            </w:r>
            <w:r w:rsidR="005F0F19">
              <w:rPr>
                <w:sz w:val="22"/>
                <w:szCs w:val="22"/>
              </w:rPr>
              <w:t>,000</w:t>
            </w:r>
          </w:p>
        </w:tc>
        <w:tc>
          <w:tcPr>
            <w:tcW w:w="1596" w:type="dxa"/>
          </w:tcPr>
          <w:p w14:paraId="1BD9D58C" w14:textId="552F7BCC" w:rsidR="005F0F19" w:rsidRPr="00F61D71" w:rsidRDefault="00FE4382" w:rsidP="00502EF8">
            <w:pPr>
              <w:jc w:val="center"/>
              <w:rPr>
                <w:sz w:val="22"/>
                <w:szCs w:val="22"/>
              </w:rPr>
            </w:pPr>
            <w:r>
              <w:rPr>
                <w:sz w:val="22"/>
                <w:szCs w:val="22"/>
              </w:rPr>
              <w:t>$1,7</w:t>
            </w:r>
            <w:r w:rsidR="00B2630F">
              <w:rPr>
                <w:sz w:val="22"/>
                <w:szCs w:val="22"/>
              </w:rPr>
              <w:t>1</w:t>
            </w:r>
            <w:r>
              <w:rPr>
                <w:sz w:val="22"/>
                <w:szCs w:val="22"/>
              </w:rPr>
              <w:t>8</w:t>
            </w:r>
            <w:r w:rsidR="005F0F19">
              <w:rPr>
                <w:sz w:val="22"/>
                <w:szCs w:val="22"/>
              </w:rPr>
              <w:t>,000</w:t>
            </w:r>
          </w:p>
        </w:tc>
      </w:tr>
    </w:tbl>
    <w:p w14:paraId="156ED9D3" w14:textId="77777777" w:rsidR="005F0F19" w:rsidRPr="00EC5BA8" w:rsidRDefault="005F0F19" w:rsidP="005F0F19">
      <w:pPr>
        <w:rPr>
          <w:rFonts w:ascii="Arial" w:hAnsi="Arial" w:cs="Arial"/>
          <w:sz w:val="20"/>
          <w:szCs w:val="20"/>
        </w:rPr>
      </w:pPr>
      <w:r w:rsidRPr="00EC5BA8">
        <w:rPr>
          <w:rFonts w:ascii="Arial" w:hAnsi="Arial" w:cs="Arial"/>
          <w:sz w:val="20"/>
          <w:szCs w:val="20"/>
        </w:rPr>
        <w:t>Source: Estimates of economic impacts calculated by NMFS SERO using model developed for NMFS (2016).</w:t>
      </w:r>
    </w:p>
    <w:p w14:paraId="21D3D4CC" w14:textId="77777777" w:rsidR="005F0F19" w:rsidRDefault="005F0F19" w:rsidP="00273CCF"/>
    <w:p w14:paraId="07D46FCD" w14:textId="23F4EB2A" w:rsidR="005F0F19" w:rsidRDefault="00FE4382" w:rsidP="00273CCF">
      <w:pPr>
        <w:ind w:firstLine="360"/>
      </w:pPr>
      <w:r>
        <w:t>From 2011 through 2015, approximately 98% of the 1,5</w:t>
      </w:r>
      <w:r w:rsidR="00B2630F">
        <w:t>03</w:t>
      </w:r>
      <w:r>
        <w:t xml:space="preserve"> average annual trips that landed mutton snapper landed no more than 225 lbs gw (</w:t>
      </w:r>
      <w:r>
        <w:rPr>
          <w:b/>
        </w:rPr>
        <w:t>Table 3.3.13</w:t>
      </w:r>
      <w:r>
        <w:t xml:space="preserve">).  </w:t>
      </w:r>
      <w:r w:rsidR="00B2630F">
        <w:t>Approximately 91% of trips landed no more than 100 lbs gw of the species</w:t>
      </w:r>
      <w:r>
        <w:t>.</w:t>
      </w:r>
      <w:r w:rsidR="005F0F19">
        <w:t xml:space="preserve"> </w:t>
      </w:r>
    </w:p>
    <w:p w14:paraId="7BD1C96F" w14:textId="77777777" w:rsidR="005F0F19" w:rsidRDefault="005F0F19" w:rsidP="005F0F19">
      <w:pPr>
        <w:ind w:firstLine="360"/>
      </w:pPr>
    </w:p>
    <w:p w14:paraId="4D51FDFC" w14:textId="77777777" w:rsidR="00B2630F" w:rsidRDefault="00B2630F" w:rsidP="00D94DF5">
      <w:pPr>
        <w:pStyle w:val="Tabletitle"/>
      </w:pPr>
      <w:bookmarkStart w:id="156" w:name="_Toc340431558"/>
      <w:r w:rsidRPr="007812CA">
        <w:rPr>
          <w:b/>
        </w:rPr>
        <w:t>Table 3.3.13</w:t>
      </w:r>
      <w:r>
        <w:t>.  Number and percentage of trips by pounds landed of mutton snapper, 2010-2014.</w:t>
      </w:r>
      <w:bookmarkEnd w:id="156"/>
    </w:p>
    <w:tbl>
      <w:tblPr>
        <w:tblW w:w="9821" w:type="dxa"/>
        <w:tblInd w:w="93" w:type="dxa"/>
        <w:tblLook w:val="04A0" w:firstRow="1" w:lastRow="0" w:firstColumn="1" w:lastColumn="0" w:noHBand="0" w:noVBand="1"/>
      </w:tblPr>
      <w:tblGrid>
        <w:gridCol w:w="998"/>
        <w:gridCol w:w="1301"/>
        <w:gridCol w:w="1675"/>
        <w:gridCol w:w="1519"/>
        <w:gridCol w:w="906"/>
        <w:gridCol w:w="1046"/>
        <w:gridCol w:w="1348"/>
        <w:gridCol w:w="1046"/>
      </w:tblGrid>
      <w:tr w:rsidR="00B2630F" w14:paraId="6D3DA9D6" w14:textId="77777777" w:rsidTr="00D94DF5">
        <w:trPr>
          <w:trHeight w:val="300"/>
        </w:trPr>
        <w:tc>
          <w:tcPr>
            <w:tcW w:w="98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D898EA0" w14:textId="77777777" w:rsidR="00B2630F" w:rsidRDefault="00B2630F" w:rsidP="00666827">
            <w:pPr>
              <w:jc w:val="center"/>
              <w:rPr>
                <w:b/>
                <w:bCs/>
                <w:color w:val="000000"/>
                <w:sz w:val="22"/>
                <w:szCs w:val="22"/>
              </w:rPr>
            </w:pPr>
            <w:r>
              <w:rPr>
                <w:b/>
                <w:bCs/>
                <w:color w:val="000000"/>
                <w:sz w:val="22"/>
                <w:szCs w:val="22"/>
              </w:rPr>
              <w:t>Year</w:t>
            </w:r>
          </w:p>
        </w:tc>
        <w:tc>
          <w:tcPr>
            <w:tcW w:w="5401" w:type="dxa"/>
            <w:gridSpan w:val="4"/>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0131876A" w14:textId="77777777" w:rsidR="00B2630F" w:rsidRDefault="00B2630F" w:rsidP="00666827">
            <w:pPr>
              <w:jc w:val="center"/>
              <w:rPr>
                <w:b/>
                <w:bCs/>
                <w:color w:val="000000"/>
                <w:sz w:val="22"/>
                <w:szCs w:val="22"/>
              </w:rPr>
            </w:pPr>
            <w:r>
              <w:rPr>
                <w:b/>
                <w:bCs/>
                <w:color w:val="000000"/>
                <w:sz w:val="22"/>
                <w:szCs w:val="22"/>
              </w:rPr>
              <w:t>Number of trips by lbs gw of mutton snapper</w:t>
            </w:r>
          </w:p>
        </w:tc>
        <w:tc>
          <w:tcPr>
            <w:tcW w:w="3440" w:type="dxa"/>
            <w:gridSpan w:val="3"/>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6424A793" w14:textId="77777777" w:rsidR="00B2630F" w:rsidRDefault="00B2630F" w:rsidP="00666827">
            <w:pPr>
              <w:jc w:val="center"/>
              <w:rPr>
                <w:b/>
                <w:bCs/>
                <w:color w:val="000000"/>
                <w:sz w:val="22"/>
                <w:szCs w:val="22"/>
              </w:rPr>
            </w:pPr>
            <w:r>
              <w:rPr>
                <w:b/>
                <w:bCs/>
                <w:color w:val="000000"/>
                <w:sz w:val="22"/>
                <w:szCs w:val="22"/>
              </w:rPr>
              <w:t>Percent of total trips by lbs gw</w:t>
            </w:r>
          </w:p>
        </w:tc>
      </w:tr>
      <w:tr w:rsidR="00B2630F" w14:paraId="08788FCF" w14:textId="77777777" w:rsidTr="00D94DF5">
        <w:trPr>
          <w:trHeight w:val="300"/>
        </w:trPr>
        <w:tc>
          <w:tcPr>
            <w:tcW w:w="9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1A97093" w14:textId="77777777" w:rsidR="00B2630F" w:rsidRDefault="00B2630F" w:rsidP="00666827">
            <w:pPr>
              <w:rPr>
                <w:b/>
                <w:bCs/>
                <w:color w:val="000000"/>
                <w:sz w:val="22"/>
                <w:szCs w:val="22"/>
              </w:rPr>
            </w:pPr>
          </w:p>
        </w:tc>
        <w:tc>
          <w:tcPr>
            <w:tcW w:w="1301" w:type="dxa"/>
            <w:tcBorders>
              <w:top w:val="nil"/>
              <w:left w:val="nil"/>
              <w:bottom w:val="single" w:sz="4" w:space="0" w:color="auto"/>
              <w:right w:val="single" w:sz="4" w:space="0" w:color="auto"/>
            </w:tcBorders>
            <w:shd w:val="clear" w:color="auto" w:fill="D9D9D9" w:themeFill="background1" w:themeFillShade="D9"/>
            <w:noWrap/>
            <w:vAlign w:val="bottom"/>
            <w:hideMark/>
          </w:tcPr>
          <w:p w14:paraId="0C509EBB" w14:textId="77777777" w:rsidR="00B2630F" w:rsidRDefault="00B2630F" w:rsidP="00666827">
            <w:pPr>
              <w:jc w:val="center"/>
              <w:rPr>
                <w:b/>
                <w:bCs/>
                <w:color w:val="000000"/>
                <w:sz w:val="22"/>
                <w:szCs w:val="22"/>
              </w:rPr>
            </w:pPr>
            <w:r>
              <w:rPr>
                <w:b/>
                <w:bCs/>
                <w:color w:val="000000"/>
                <w:sz w:val="22"/>
                <w:szCs w:val="22"/>
              </w:rPr>
              <w:t>1 to 100</w:t>
            </w:r>
          </w:p>
        </w:tc>
        <w:tc>
          <w:tcPr>
            <w:tcW w:w="1675" w:type="dxa"/>
            <w:tcBorders>
              <w:top w:val="nil"/>
              <w:left w:val="nil"/>
              <w:bottom w:val="single" w:sz="4" w:space="0" w:color="auto"/>
              <w:right w:val="single" w:sz="4" w:space="0" w:color="auto"/>
            </w:tcBorders>
            <w:shd w:val="clear" w:color="auto" w:fill="D9D9D9" w:themeFill="background1" w:themeFillShade="D9"/>
            <w:noWrap/>
            <w:vAlign w:val="bottom"/>
            <w:hideMark/>
          </w:tcPr>
          <w:p w14:paraId="0BE631FF" w14:textId="77777777" w:rsidR="00B2630F" w:rsidRDefault="00B2630F" w:rsidP="00666827">
            <w:pPr>
              <w:jc w:val="center"/>
              <w:rPr>
                <w:b/>
                <w:bCs/>
                <w:color w:val="000000"/>
                <w:sz w:val="22"/>
                <w:szCs w:val="22"/>
              </w:rPr>
            </w:pPr>
            <w:r>
              <w:rPr>
                <w:b/>
                <w:bCs/>
                <w:color w:val="000000"/>
                <w:sz w:val="22"/>
                <w:szCs w:val="22"/>
              </w:rPr>
              <w:t>101 to 225</w:t>
            </w:r>
          </w:p>
        </w:tc>
        <w:tc>
          <w:tcPr>
            <w:tcW w:w="1519" w:type="dxa"/>
            <w:tcBorders>
              <w:top w:val="nil"/>
              <w:left w:val="nil"/>
              <w:bottom w:val="single" w:sz="4" w:space="0" w:color="auto"/>
              <w:right w:val="single" w:sz="4" w:space="0" w:color="auto"/>
            </w:tcBorders>
            <w:shd w:val="clear" w:color="auto" w:fill="D9D9D9" w:themeFill="background1" w:themeFillShade="D9"/>
            <w:noWrap/>
            <w:vAlign w:val="bottom"/>
            <w:hideMark/>
          </w:tcPr>
          <w:p w14:paraId="1918B0BF" w14:textId="77777777" w:rsidR="00B2630F" w:rsidRDefault="00B2630F" w:rsidP="00666827">
            <w:pPr>
              <w:jc w:val="center"/>
              <w:rPr>
                <w:b/>
                <w:bCs/>
                <w:color w:val="000000"/>
                <w:sz w:val="22"/>
                <w:szCs w:val="22"/>
              </w:rPr>
            </w:pPr>
            <w:r>
              <w:rPr>
                <w:b/>
                <w:bCs/>
                <w:color w:val="000000"/>
                <w:sz w:val="22"/>
                <w:szCs w:val="22"/>
              </w:rPr>
              <w:t>Over 225</w:t>
            </w:r>
          </w:p>
        </w:tc>
        <w:tc>
          <w:tcPr>
            <w:tcW w:w="906" w:type="dxa"/>
            <w:tcBorders>
              <w:top w:val="nil"/>
              <w:left w:val="nil"/>
              <w:bottom w:val="single" w:sz="4" w:space="0" w:color="auto"/>
              <w:right w:val="single" w:sz="4" w:space="0" w:color="auto"/>
            </w:tcBorders>
            <w:shd w:val="clear" w:color="auto" w:fill="D9D9D9" w:themeFill="background1" w:themeFillShade="D9"/>
            <w:noWrap/>
            <w:vAlign w:val="bottom"/>
            <w:hideMark/>
          </w:tcPr>
          <w:p w14:paraId="63415033" w14:textId="77777777" w:rsidR="00B2630F" w:rsidRDefault="00B2630F" w:rsidP="00666827">
            <w:pPr>
              <w:jc w:val="center"/>
              <w:rPr>
                <w:b/>
                <w:bCs/>
                <w:color w:val="000000"/>
                <w:sz w:val="22"/>
                <w:szCs w:val="22"/>
              </w:rPr>
            </w:pPr>
            <w:r>
              <w:rPr>
                <w:b/>
                <w:bCs/>
                <w:color w:val="000000"/>
                <w:sz w:val="22"/>
                <w:szCs w:val="22"/>
              </w:rPr>
              <w:t>Total</w:t>
            </w:r>
          </w:p>
        </w:tc>
        <w:tc>
          <w:tcPr>
            <w:tcW w:w="1046" w:type="dxa"/>
            <w:tcBorders>
              <w:top w:val="nil"/>
              <w:left w:val="nil"/>
              <w:bottom w:val="single" w:sz="4" w:space="0" w:color="auto"/>
              <w:right w:val="single" w:sz="4" w:space="0" w:color="auto"/>
            </w:tcBorders>
            <w:shd w:val="clear" w:color="auto" w:fill="D9D9D9" w:themeFill="background1" w:themeFillShade="D9"/>
            <w:noWrap/>
            <w:vAlign w:val="bottom"/>
            <w:hideMark/>
          </w:tcPr>
          <w:p w14:paraId="5BAE92F0" w14:textId="77777777" w:rsidR="00B2630F" w:rsidRDefault="00B2630F" w:rsidP="00666827">
            <w:pPr>
              <w:jc w:val="center"/>
              <w:rPr>
                <w:b/>
                <w:bCs/>
                <w:color w:val="000000"/>
                <w:sz w:val="22"/>
                <w:szCs w:val="22"/>
              </w:rPr>
            </w:pPr>
            <w:r>
              <w:rPr>
                <w:b/>
                <w:bCs/>
                <w:color w:val="000000"/>
                <w:sz w:val="22"/>
                <w:szCs w:val="22"/>
              </w:rPr>
              <w:t>1 to 100</w:t>
            </w:r>
          </w:p>
        </w:tc>
        <w:tc>
          <w:tcPr>
            <w:tcW w:w="1348" w:type="dxa"/>
            <w:tcBorders>
              <w:top w:val="nil"/>
              <w:left w:val="nil"/>
              <w:bottom w:val="single" w:sz="4" w:space="0" w:color="auto"/>
              <w:right w:val="single" w:sz="4" w:space="0" w:color="auto"/>
            </w:tcBorders>
            <w:shd w:val="clear" w:color="auto" w:fill="D9D9D9" w:themeFill="background1" w:themeFillShade="D9"/>
            <w:noWrap/>
            <w:vAlign w:val="bottom"/>
            <w:hideMark/>
          </w:tcPr>
          <w:p w14:paraId="5347D5EE" w14:textId="77777777" w:rsidR="00B2630F" w:rsidRDefault="00B2630F" w:rsidP="00666827">
            <w:pPr>
              <w:jc w:val="center"/>
              <w:rPr>
                <w:b/>
                <w:bCs/>
                <w:color w:val="000000"/>
                <w:sz w:val="22"/>
                <w:szCs w:val="22"/>
              </w:rPr>
            </w:pPr>
            <w:r>
              <w:rPr>
                <w:b/>
                <w:bCs/>
                <w:color w:val="000000"/>
                <w:sz w:val="22"/>
                <w:szCs w:val="22"/>
              </w:rPr>
              <w:t>101 to 225</w:t>
            </w:r>
          </w:p>
        </w:tc>
        <w:tc>
          <w:tcPr>
            <w:tcW w:w="1046" w:type="dxa"/>
            <w:tcBorders>
              <w:top w:val="nil"/>
              <w:left w:val="nil"/>
              <w:bottom w:val="single" w:sz="4" w:space="0" w:color="auto"/>
              <w:right w:val="single" w:sz="4" w:space="0" w:color="auto"/>
            </w:tcBorders>
            <w:shd w:val="clear" w:color="auto" w:fill="D9D9D9" w:themeFill="background1" w:themeFillShade="D9"/>
            <w:noWrap/>
            <w:vAlign w:val="bottom"/>
            <w:hideMark/>
          </w:tcPr>
          <w:p w14:paraId="05E6F603" w14:textId="77777777" w:rsidR="00B2630F" w:rsidRDefault="00B2630F" w:rsidP="00666827">
            <w:pPr>
              <w:jc w:val="center"/>
              <w:rPr>
                <w:b/>
                <w:bCs/>
                <w:color w:val="000000"/>
                <w:sz w:val="22"/>
                <w:szCs w:val="22"/>
              </w:rPr>
            </w:pPr>
            <w:r>
              <w:rPr>
                <w:b/>
                <w:bCs/>
                <w:color w:val="000000"/>
                <w:sz w:val="22"/>
                <w:szCs w:val="22"/>
              </w:rPr>
              <w:t>1 to 225</w:t>
            </w:r>
          </w:p>
        </w:tc>
      </w:tr>
      <w:tr w:rsidR="00B2630F" w14:paraId="4A77B687"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431ACF4" w14:textId="77777777" w:rsidR="00B2630F" w:rsidRDefault="00B2630F" w:rsidP="00666827">
            <w:pPr>
              <w:jc w:val="center"/>
              <w:rPr>
                <w:color w:val="000000"/>
                <w:sz w:val="22"/>
                <w:szCs w:val="22"/>
              </w:rPr>
            </w:pPr>
            <w:r>
              <w:rPr>
                <w:bCs/>
                <w:color w:val="000000"/>
                <w:sz w:val="22"/>
                <w:szCs w:val="22"/>
              </w:rPr>
              <w:t>2010</w:t>
            </w:r>
          </w:p>
        </w:tc>
        <w:tc>
          <w:tcPr>
            <w:tcW w:w="1301" w:type="dxa"/>
            <w:tcBorders>
              <w:top w:val="nil"/>
              <w:left w:val="nil"/>
              <w:bottom w:val="single" w:sz="4" w:space="0" w:color="auto"/>
              <w:right w:val="single" w:sz="4" w:space="0" w:color="auto"/>
            </w:tcBorders>
            <w:shd w:val="clear" w:color="auto" w:fill="auto"/>
            <w:noWrap/>
            <w:vAlign w:val="bottom"/>
            <w:hideMark/>
          </w:tcPr>
          <w:p w14:paraId="50C4BB52" w14:textId="77777777" w:rsidR="00B2630F" w:rsidRDefault="00B2630F" w:rsidP="00666827">
            <w:pPr>
              <w:jc w:val="center"/>
              <w:rPr>
                <w:color w:val="000000"/>
                <w:sz w:val="22"/>
                <w:szCs w:val="22"/>
              </w:rPr>
            </w:pPr>
            <w:r>
              <w:rPr>
                <w:color w:val="000000"/>
                <w:sz w:val="22"/>
                <w:szCs w:val="22"/>
              </w:rPr>
              <w:t>1,384</w:t>
            </w:r>
          </w:p>
        </w:tc>
        <w:tc>
          <w:tcPr>
            <w:tcW w:w="1675" w:type="dxa"/>
            <w:tcBorders>
              <w:top w:val="nil"/>
              <w:left w:val="nil"/>
              <w:bottom w:val="single" w:sz="4" w:space="0" w:color="auto"/>
              <w:right w:val="single" w:sz="4" w:space="0" w:color="auto"/>
            </w:tcBorders>
            <w:shd w:val="clear" w:color="auto" w:fill="auto"/>
            <w:noWrap/>
            <w:vAlign w:val="bottom"/>
            <w:hideMark/>
          </w:tcPr>
          <w:p w14:paraId="265318D9" w14:textId="77777777" w:rsidR="00B2630F" w:rsidRDefault="00B2630F" w:rsidP="00666827">
            <w:pPr>
              <w:jc w:val="center"/>
              <w:rPr>
                <w:color w:val="000000"/>
                <w:sz w:val="22"/>
                <w:szCs w:val="22"/>
              </w:rPr>
            </w:pPr>
            <w:r>
              <w:rPr>
                <w:color w:val="000000"/>
                <w:sz w:val="22"/>
                <w:szCs w:val="22"/>
              </w:rPr>
              <w:t>88</w:t>
            </w:r>
          </w:p>
        </w:tc>
        <w:tc>
          <w:tcPr>
            <w:tcW w:w="1519" w:type="dxa"/>
            <w:tcBorders>
              <w:top w:val="nil"/>
              <w:left w:val="nil"/>
              <w:bottom w:val="single" w:sz="4" w:space="0" w:color="auto"/>
              <w:right w:val="single" w:sz="4" w:space="0" w:color="auto"/>
            </w:tcBorders>
            <w:shd w:val="clear" w:color="auto" w:fill="auto"/>
            <w:noWrap/>
            <w:vAlign w:val="bottom"/>
            <w:hideMark/>
          </w:tcPr>
          <w:p w14:paraId="5CED116D" w14:textId="77777777" w:rsidR="00B2630F" w:rsidRDefault="00B2630F" w:rsidP="00666827">
            <w:pPr>
              <w:jc w:val="center"/>
              <w:rPr>
                <w:color w:val="000000"/>
                <w:sz w:val="22"/>
                <w:szCs w:val="22"/>
              </w:rPr>
            </w:pPr>
            <w:r>
              <w:rPr>
                <w:color w:val="000000"/>
                <w:sz w:val="22"/>
                <w:szCs w:val="22"/>
              </w:rPr>
              <w:t>23</w:t>
            </w:r>
          </w:p>
        </w:tc>
        <w:tc>
          <w:tcPr>
            <w:tcW w:w="906" w:type="dxa"/>
            <w:tcBorders>
              <w:top w:val="nil"/>
              <w:left w:val="nil"/>
              <w:bottom w:val="single" w:sz="4" w:space="0" w:color="auto"/>
              <w:right w:val="single" w:sz="4" w:space="0" w:color="auto"/>
            </w:tcBorders>
            <w:shd w:val="clear" w:color="auto" w:fill="auto"/>
            <w:noWrap/>
            <w:vAlign w:val="bottom"/>
            <w:hideMark/>
          </w:tcPr>
          <w:p w14:paraId="0DC25F36" w14:textId="77777777" w:rsidR="00B2630F" w:rsidRDefault="00B2630F" w:rsidP="00666827">
            <w:pPr>
              <w:jc w:val="center"/>
              <w:rPr>
                <w:color w:val="000000"/>
                <w:sz w:val="22"/>
                <w:szCs w:val="22"/>
              </w:rPr>
            </w:pPr>
            <w:r>
              <w:rPr>
                <w:color w:val="000000"/>
                <w:sz w:val="22"/>
                <w:szCs w:val="22"/>
              </w:rPr>
              <w:t>1,495</w:t>
            </w:r>
          </w:p>
        </w:tc>
        <w:tc>
          <w:tcPr>
            <w:tcW w:w="1046" w:type="dxa"/>
            <w:tcBorders>
              <w:top w:val="nil"/>
              <w:left w:val="nil"/>
              <w:bottom w:val="single" w:sz="4" w:space="0" w:color="auto"/>
              <w:right w:val="single" w:sz="4" w:space="0" w:color="auto"/>
            </w:tcBorders>
            <w:shd w:val="clear" w:color="auto" w:fill="auto"/>
            <w:noWrap/>
            <w:vAlign w:val="bottom"/>
            <w:hideMark/>
          </w:tcPr>
          <w:p w14:paraId="74CB6192" w14:textId="77777777" w:rsidR="00B2630F" w:rsidRDefault="00B2630F" w:rsidP="00666827">
            <w:pPr>
              <w:jc w:val="center"/>
              <w:rPr>
                <w:color w:val="000000"/>
                <w:sz w:val="22"/>
                <w:szCs w:val="22"/>
              </w:rPr>
            </w:pPr>
            <w:r>
              <w:rPr>
                <w:color w:val="000000"/>
                <w:sz w:val="22"/>
                <w:szCs w:val="22"/>
              </w:rPr>
              <w:t>92.6%</w:t>
            </w:r>
          </w:p>
        </w:tc>
        <w:tc>
          <w:tcPr>
            <w:tcW w:w="1348" w:type="dxa"/>
            <w:tcBorders>
              <w:top w:val="nil"/>
              <w:left w:val="nil"/>
              <w:bottom w:val="single" w:sz="4" w:space="0" w:color="auto"/>
              <w:right w:val="single" w:sz="4" w:space="0" w:color="auto"/>
            </w:tcBorders>
            <w:shd w:val="clear" w:color="auto" w:fill="auto"/>
            <w:noWrap/>
            <w:vAlign w:val="bottom"/>
            <w:hideMark/>
          </w:tcPr>
          <w:p w14:paraId="396B1EC4" w14:textId="77777777" w:rsidR="00B2630F" w:rsidRDefault="00B2630F" w:rsidP="00666827">
            <w:pPr>
              <w:jc w:val="center"/>
              <w:rPr>
                <w:color w:val="000000"/>
                <w:sz w:val="22"/>
                <w:szCs w:val="22"/>
              </w:rPr>
            </w:pPr>
            <w:r>
              <w:rPr>
                <w:color w:val="000000"/>
                <w:sz w:val="22"/>
                <w:szCs w:val="22"/>
              </w:rPr>
              <w:t>5.9%</w:t>
            </w:r>
          </w:p>
        </w:tc>
        <w:tc>
          <w:tcPr>
            <w:tcW w:w="1046" w:type="dxa"/>
            <w:tcBorders>
              <w:top w:val="nil"/>
              <w:left w:val="nil"/>
              <w:bottom w:val="single" w:sz="4" w:space="0" w:color="auto"/>
              <w:right w:val="single" w:sz="4" w:space="0" w:color="auto"/>
            </w:tcBorders>
            <w:shd w:val="clear" w:color="auto" w:fill="auto"/>
            <w:noWrap/>
            <w:vAlign w:val="bottom"/>
            <w:hideMark/>
          </w:tcPr>
          <w:p w14:paraId="5D882170" w14:textId="77777777" w:rsidR="00B2630F" w:rsidRDefault="00B2630F" w:rsidP="00666827">
            <w:pPr>
              <w:jc w:val="center"/>
              <w:rPr>
                <w:color w:val="000000"/>
                <w:sz w:val="22"/>
                <w:szCs w:val="22"/>
              </w:rPr>
            </w:pPr>
            <w:r>
              <w:rPr>
                <w:color w:val="000000"/>
                <w:sz w:val="22"/>
                <w:szCs w:val="22"/>
              </w:rPr>
              <w:t>98.5%</w:t>
            </w:r>
          </w:p>
        </w:tc>
      </w:tr>
      <w:tr w:rsidR="00B2630F" w14:paraId="20E2978C"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DA24802" w14:textId="77777777" w:rsidR="00B2630F" w:rsidRDefault="00B2630F" w:rsidP="00666827">
            <w:pPr>
              <w:jc w:val="center"/>
              <w:rPr>
                <w:color w:val="000000"/>
                <w:sz w:val="22"/>
                <w:szCs w:val="22"/>
              </w:rPr>
            </w:pPr>
            <w:r>
              <w:rPr>
                <w:bCs/>
                <w:color w:val="000000"/>
                <w:sz w:val="22"/>
                <w:szCs w:val="22"/>
              </w:rPr>
              <w:t>2011</w:t>
            </w:r>
          </w:p>
        </w:tc>
        <w:tc>
          <w:tcPr>
            <w:tcW w:w="1301" w:type="dxa"/>
            <w:tcBorders>
              <w:top w:val="nil"/>
              <w:left w:val="nil"/>
              <w:bottom w:val="single" w:sz="4" w:space="0" w:color="auto"/>
              <w:right w:val="single" w:sz="4" w:space="0" w:color="auto"/>
            </w:tcBorders>
            <w:shd w:val="clear" w:color="auto" w:fill="auto"/>
            <w:noWrap/>
            <w:vAlign w:val="bottom"/>
            <w:hideMark/>
          </w:tcPr>
          <w:p w14:paraId="05B1754F" w14:textId="77777777" w:rsidR="00B2630F" w:rsidRDefault="00B2630F" w:rsidP="00666827">
            <w:pPr>
              <w:jc w:val="center"/>
              <w:rPr>
                <w:color w:val="000000"/>
                <w:sz w:val="22"/>
                <w:szCs w:val="22"/>
              </w:rPr>
            </w:pPr>
            <w:r>
              <w:rPr>
                <w:color w:val="000000"/>
                <w:sz w:val="22"/>
                <w:szCs w:val="22"/>
              </w:rPr>
              <w:t>1,356</w:t>
            </w:r>
          </w:p>
        </w:tc>
        <w:tc>
          <w:tcPr>
            <w:tcW w:w="1675" w:type="dxa"/>
            <w:tcBorders>
              <w:top w:val="nil"/>
              <w:left w:val="nil"/>
              <w:bottom w:val="single" w:sz="4" w:space="0" w:color="auto"/>
              <w:right w:val="single" w:sz="4" w:space="0" w:color="auto"/>
            </w:tcBorders>
            <w:shd w:val="clear" w:color="auto" w:fill="auto"/>
            <w:noWrap/>
            <w:vAlign w:val="bottom"/>
            <w:hideMark/>
          </w:tcPr>
          <w:p w14:paraId="03EDFF7D" w14:textId="77777777" w:rsidR="00B2630F" w:rsidRDefault="00B2630F" w:rsidP="00666827">
            <w:pPr>
              <w:jc w:val="center"/>
              <w:rPr>
                <w:color w:val="000000"/>
                <w:sz w:val="22"/>
                <w:szCs w:val="22"/>
              </w:rPr>
            </w:pPr>
            <w:r>
              <w:rPr>
                <w:color w:val="000000"/>
                <w:sz w:val="22"/>
                <w:szCs w:val="22"/>
              </w:rPr>
              <w:t>92</w:t>
            </w:r>
          </w:p>
        </w:tc>
        <w:tc>
          <w:tcPr>
            <w:tcW w:w="1519" w:type="dxa"/>
            <w:tcBorders>
              <w:top w:val="nil"/>
              <w:left w:val="nil"/>
              <w:bottom w:val="single" w:sz="4" w:space="0" w:color="auto"/>
              <w:right w:val="single" w:sz="4" w:space="0" w:color="auto"/>
            </w:tcBorders>
            <w:shd w:val="clear" w:color="auto" w:fill="auto"/>
            <w:noWrap/>
            <w:vAlign w:val="bottom"/>
            <w:hideMark/>
          </w:tcPr>
          <w:p w14:paraId="5C6F2331" w14:textId="77777777" w:rsidR="00B2630F" w:rsidRDefault="00B2630F" w:rsidP="00666827">
            <w:pPr>
              <w:jc w:val="center"/>
              <w:rPr>
                <w:color w:val="000000"/>
                <w:sz w:val="22"/>
                <w:szCs w:val="22"/>
              </w:rPr>
            </w:pPr>
            <w:r>
              <w:rPr>
                <w:color w:val="000000"/>
                <w:sz w:val="22"/>
                <w:szCs w:val="22"/>
              </w:rPr>
              <w:t>20</w:t>
            </w:r>
          </w:p>
        </w:tc>
        <w:tc>
          <w:tcPr>
            <w:tcW w:w="906" w:type="dxa"/>
            <w:tcBorders>
              <w:top w:val="nil"/>
              <w:left w:val="nil"/>
              <w:bottom w:val="single" w:sz="4" w:space="0" w:color="auto"/>
              <w:right w:val="single" w:sz="4" w:space="0" w:color="auto"/>
            </w:tcBorders>
            <w:shd w:val="clear" w:color="auto" w:fill="auto"/>
            <w:noWrap/>
            <w:vAlign w:val="bottom"/>
            <w:hideMark/>
          </w:tcPr>
          <w:p w14:paraId="2EA60544" w14:textId="77777777" w:rsidR="00B2630F" w:rsidRDefault="00B2630F" w:rsidP="00666827">
            <w:pPr>
              <w:jc w:val="center"/>
              <w:rPr>
                <w:color w:val="000000"/>
                <w:sz w:val="22"/>
                <w:szCs w:val="22"/>
              </w:rPr>
            </w:pPr>
            <w:r>
              <w:rPr>
                <w:color w:val="000000"/>
                <w:sz w:val="22"/>
                <w:szCs w:val="22"/>
              </w:rPr>
              <w:t>1,468</w:t>
            </w:r>
          </w:p>
        </w:tc>
        <w:tc>
          <w:tcPr>
            <w:tcW w:w="1046" w:type="dxa"/>
            <w:tcBorders>
              <w:top w:val="nil"/>
              <w:left w:val="nil"/>
              <w:bottom w:val="single" w:sz="4" w:space="0" w:color="auto"/>
              <w:right w:val="single" w:sz="4" w:space="0" w:color="auto"/>
            </w:tcBorders>
            <w:shd w:val="clear" w:color="auto" w:fill="auto"/>
            <w:noWrap/>
            <w:vAlign w:val="bottom"/>
            <w:hideMark/>
          </w:tcPr>
          <w:p w14:paraId="3224BBD9" w14:textId="77777777" w:rsidR="00B2630F" w:rsidRDefault="00B2630F" w:rsidP="00666827">
            <w:pPr>
              <w:jc w:val="center"/>
              <w:rPr>
                <w:color w:val="000000"/>
                <w:sz w:val="22"/>
                <w:szCs w:val="22"/>
              </w:rPr>
            </w:pPr>
            <w:r>
              <w:rPr>
                <w:color w:val="000000"/>
                <w:sz w:val="22"/>
                <w:szCs w:val="22"/>
              </w:rPr>
              <w:t>92.4%</w:t>
            </w:r>
          </w:p>
        </w:tc>
        <w:tc>
          <w:tcPr>
            <w:tcW w:w="1348" w:type="dxa"/>
            <w:tcBorders>
              <w:top w:val="nil"/>
              <w:left w:val="nil"/>
              <w:bottom w:val="single" w:sz="4" w:space="0" w:color="auto"/>
              <w:right w:val="single" w:sz="4" w:space="0" w:color="auto"/>
            </w:tcBorders>
            <w:shd w:val="clear" w:color="auto" w:fill="auto"/>
            <w:noWrap/>
            <w:vAlign w:val="bottom"/>
            <w:hideMark/>
          </w:tcPr>
          <w:p w14:paraId="46474BDF" w14:textId="77777777" w:rsidR="00B2630F" w:rsidRDefault="00B2630F" w:rsidP="00666827">
            <w:pPr>
              <w:jc w:val="center"/>
              <w:rPr>
                <w:color w:val="000000"/>
                <w:sz w:val="22"/>
                <w:szCs w:val="22"/>
              </w:rPr>
            </w:pPr>
            <w:r>
              <w:rPr>
                <w:color w:val="000000"/>
                <w:sz w:val="22"/>
                <w:szCs w:val="22"/>
              </w:rPr>
              <w:t>6.3%</w:t>
            </w:r>
          </w:p>
        </w:tc>
        <w:tc>
          <w:tcPr>
            <w:tcW w:w="1046" w:type="dxa"/>
            <w:tcBorders>
              <w:top w:val="nil"/>
              <w:left w:val="nil"/>
              <w:bottom w:val="single" w:sz="4" w:space="0" w:color="auto"/>
              <w:right w:val="single" w:sz="4" w:space="0" w:color="auto"/>
            </w:tcBorders>
            <w:shd w:val="clear" w:color="auto" w:fill="auto"/>
            <w:noWrap/>
            <w:vAlign w:val="bottom"/>
            <w:hideMark/>
          </w:tcPr>
          <w:p w14:paraId="38369443" w14:textId="77777777" w:rsidR="00B2630F" w:rsidRDefault="00B2630F" w:rsidP="00666827">
            <w:pPr>
              <w:jc w:val="center"/>
              <w:rPr>
                <w:color w:val="000000"/>
                <w:sz w:val="22"/>
                <w:szCs w:val="22"/>
              </w:rPr>
            </w:pPr>
            <w:r>
              <w:rPr>
                <w:color w:val="000000"/>
                <w:sz w:val="22"/>
                <w:szCs w:val="22"/>
              </w:rPr>
              <w:t>98.6%</w:t>
            </w:r>
          </w:p>
        </w:tc>
      </w:tr>
      <w:tr w:rsidR="00B2630F" w14:paraId="592548F7"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FDC9B18" w14:textId="77777777" w:rsidR="00B2630F" w:rsidRDefault="00B2630F" w:rsidP="00666827">
            <w:pPr>
              <w:jc w:val="center"/>
              <w:rPr>
                <w:color w:val="000000"/>
                <w:sz w:val="22"/>
                <w:szCs w:val="22"/>
              </w:rPr>
            </w:pPr>
            <w:r>
              <w:rPr>
                <w:bCs/>
                <w:color w:val="000000"/>
                <w:sz w:val="22"/>
                <w:szCs w:val="22"/>
              </w:rPr>
              <w:t>2012</w:t>
            </w:r>
          </w:p>
        </w:tc>
        <w:tc>
          <w:tcPr>
            <w:tcW w:w="1301" w:type="dxa"/>
            <w:tcBorders>
              <w:top w:val="nil"/>
              <w:left w:val="nil"/>
              <w:bottom w:val="single" w:sz="4" w:space="0" w:color="auto"/>
              <w:right w:val="single" w:sz="4" w:space="0" w:color="auto"/>
            </w:tcBorders>
            <w:shd w:val="clear" w:color="auto" w:fill="auto"/>
            <w:noWrap/>
            <w:vAlign w:val="bottom"/>
            <w:hideMark/>
          </w:tcPr>
          <w:p w14:paraId="3D36BB44" w14:textId="77777777" w:rsidR="00B2630F" w:rsidRDefault="00B2630F" w:rsidP="00666827">
            <w:pPr>
              <w:jc w:val="center"/>
              <w:rPr>
                <w:color w:val="000000"/>
                <w:sz w:val="22"/>
                <w:szCs w:val="22"/>
              </w:rPr>
            </w:pPr>
            <w:r>
              <w:rPr>
                <w:color w:val="000000"/>
                <w:sz w:val="22"/>
                <w:szCs w:val="22"/>
              </w:rPr>
              <w:t>1,250</w:t>
            </w:r>
          </w:p>
        </w:tc>
        <w:tc>
          <w:tcPr>
            <w:tcW w:w="1675" w:type="dxa"/>
            <w:tcBorders>
              <w:top w:val="nil"/>
              <w:left w:val="nil"/>
              <w:bottom w:val="single" w:sz="4" w:space="0" w:color="auto"/>
              <w:right w:val="single" w:sz="4" w:space="0" w:color="auto"/>
            </w:tcBorders>
            <w:shd w:val="clear" w:color="auto" w:fill="auto"/>
            <w:noWrap/>
            <w:vAlign w:val="bottom"/>
            <w:hideMark/>
          </w:tcPr>
          <w:p w14:paraId="77BAE77B" w14:textId="77777777" w:rsidR="00B2630F" w:rsidRDefault="00B2630F" w:rsidP="00666827">
            <w:pPr>
              <w:jc w:val="center"/>
              <w:rPr>
                <w:color w:val="000000"/>
                <w:sz w:val="22"/>
                <w:szCs w:val="22"/>
              </w:rPr>
            </w:pPr>
            <w:r>
              <w:rPr>
                <w:color w:val="000000"/>
                <w:sz w:val="22"/>
                <w:szCs w:val="22"/>
              </w:rPr>
              <w:t>113</w:t>
            </w:r>
          </w:p>
        </w:tc>
        <w:tc>
          <w:tcPr>
            <w:tcW w:w="1519" w:type="dxa"/>
            <w:tcBorders>
              <w:top w:val="nil"/>
              <w:left w:val="nil"/>
              <w:bottom w:val="single" w:sz="4" w:space="0" w:color="auto"/>
              <w:right w:val="single" w:sz="4" w:space="0" w:color="auto"/>
            </w:tcBorders>
            <w:shd w:val="clear" w:color="auto" w:fill="auto"/>
            <w:noWrap/>
            <w:vAlign w:val="bottom"/>
            <w:hideMark/>
          </w:tcPr>
          <w:p w14:paraId="584F5A56" w14:textId="77777777" w:rsidR="00B2630F" w:rsidRDefault="00B2630F" w:rsidP="00666827">
            <w:pPr>
              <w:jc w:val="center"/>
              <w:rPr>
                <w:color w:val="000000"/>
                <w:sz w:val="22"/>
                <w:szCs w:val="22"/>
              </w:rPr>
            </w:pPr>
            <w:r>
              <w:rPr>
                <w:color w:val="000000"/>
                <w:sz w:val="22"/>
                <w:szCs w:val="22"/>
              </w:rPr>
              <w:t>47</w:t>
            </w:r>
          </w:p>
        </w:tc>
        <w:tc>
          <w:tcPr>
            <w:tcW w:w="906" w:type="dxa"/>
            <w:tcBorders>
              <w:top w:val="nil"/>
              <w:left w:val="nil"/>
              <w:bottom w:val="single" w:sz="4" w:space="0" w:color="auto"/>
              <w:right w:val="single" w:sz="4" w:space="0" w:color="auto"/>
            </w:tcBorders>
            <w:shd w:val="clear" w:color="auto" w:fill="auto"/>
            <w:noWrap/>
            <w:vAlign w:val="bottom"/>
            <w:hideMark/>
          </w:tcPr>
          <w:p w14:paraId="77496A6F" w14:textId="77777777" w:rsidR="00B2630F" w:rsidRDefault="00B2630F" w:rsidP="00666827">
            <w:pPr>
              <w:jc w:val="center"/>
              <w:rPr>
                <w:color w:val="000000"/>
                <w:sz w:val="22"/>
                <w:szCs w:val="22"/>
              </w:rPr>
            </w:pPr>
            <w:r>
              <w:rPr>
                <w:color w:val="000000"/>
                <w:sz w:val="22"/>
                <w:szCs w:val="22"/>
              </w:rPr>
              <w:t>1,410</w:t>
            </w:r>
          </w:p>
        </w:tc>
        <w:tc>
          <w:tcPr>
            <w:tcW w:w="1046" w:type="dxa"/>
            <w:tcBorders>
              <w:top w:val="nil"/>
              <w:left w:val="nil"/>
              <w:bottom w:val="single" w:sz="4" w:space="0" w:color="auto"/>
              <w:right w:val="single" w:sz="4" w:space="0" w:color="auto"/>
            </w:tcBorders>
            <w:shd w:val="clear" w:color="auto" w:fill="auto"/>
            <w:noWrap/>
            <w:vAlign w:val="bottom"/>
            <w:hideMark/>
          </w:tcPr>
          <w:p w14:paraId="56851251" w14:textId="77777777" w:rsidR="00B2630F" w:rsidRDefault="00B2630F" w:rsidP="00666827">
            <w:pPr>
              <w:jc w:val="center"/>
              <w:rPr>
                <w:color w:val="000000"/>
                <w:sz w:val="22"/>
                <w:szCs w:val="22"/>
              </w:rPr>
            </w:pPr>
            <w:r>
              <w:rPr>
                <w:color w:val="000000"/>
                <w:sz w:val="22"/>
                <w:szCs w:val="22"/>
              </w:rPr>
              <w:t>88.7%</w:t>
            </w:r>
          </w:p>
        </w:tc>
        <w:tc>
          <w:tcPr>
            <w:tcW w:w="1348" w:type="dxa"/>
            <w:tcBorders>
              <w:top w:val="nil"/>
              <w:left w:val="nil"/>
              <w:bottom w:val="single" w:sz="4" w:space="0" w:color="auto"/>
              <w:right w:val="single" w:sz="4" w:space="0" w:color="auto"/>
            </w:tcBorders>
            <w:shd w:val="clear" w:color="auto" w:fill="auto"/>
            <w:noWrap/>
            <w:vAlign w:val="bottom"/>
            <w:hideMark/>
          </w:tcPr>
          <w:p w14:paraId="4A1CA024" w14:textId="77777777" w:rsidR="00B2630F" w:rsidRDefault="00B2630F" w:rsidP="00666827">
            <w:pPr>
              <w:jc w:val="center"/>
              <w:rPr>
                <w:color w:val="000000"/>
                <w:sz w:val="22"/>
                <w:szCs w:val="22"/>
              </w:rPr>
            </w:pPr>
            <w:r>
              <w:rPr>
                <w:color w:val="000000"/>
                <w:sz w:val="22"/>
                <w:szCs w:val="22"/>
              </w:rPr>
              <w:t>8.0%</w:t>
            </w:r>
          </w:p>
        </w:tc>
        <w:tc>
          <w:tcPr>
            <w:tcW w:w="1046" w:type="dxa"/>
            <w:tcBorders>
              <w:top w:val="nil"/>
              <w:left w:val="nil"/>
              <w:bottom w:val="single" w:sz="4" w:space="0" w:color="auto"/>
              <w:right w:val="single" w:sz="4" w:space="0" w:color="auto"/>
            </w:tcBorders>
            <w:shd w:val="clear" w:color="auto" w:fill="auto"/>
            <w:noWrap/>
            <w:vAlign w:val="bottom"/>
            <w:hideMark/>
          </w:tcPr>
          <w:p w14:paraId="47386270" w14:textId="77777777" w:rsidR="00B2630F" w:rsidRDefault="00B2630F" w:rsidP="00666827">
            <w:pPr>
              <w:jc w:val="center"/>
              <w:rPr>
                <w:color w:val="000000"/>
                <w:sz w:val="22"/>
                <w:szCs w:val="22"/>
              </w:rPr>
            </w:pPr>
            <w:r>
              <w:rPr>
                <w:color w:val="000000"/>
                <w:sz w:val="22"/>
                <w:szCs w:val="22"/>
              </w:rPr>
              <w:t>96.7%</w:t>
            </w:r>
          </w:p>
        </w:tc>
      </w:tr>
      <w:tr w:rsidR="00B2630F" w14:paraId="1FD66141"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66D0340" w14:textId="77777777" w:rsidR="00B2630F" w:rsidRDefault="00B2630F" w:rsidP="00666827">
            <w:pPr>
              <w:jc w:val="center"/>
              <w:rPr>
                <w:color w:val="000000"/>
                <w:sz w:val="22"/>
                <w:szCs w:val="22"/>
              </w:rPr>
            </w:pPr>
            <w:r>
              <w:rPr>
                <w:bCs/>
                <w:color w:val="000000"/>
                <w:sz w:val="22"/>
                <w:szCs w:val="22"/>
              </w:rPr>
              <w:t>2013</w:t>
            </w:r>
          </w:p>
        </w:tc>
        <w:tc>
          <w:tcPr>
            <w:tcW w:w="1301" w:type="dxa"/>
            <w:tcBorders>
              <w:top w:val="nil"/>
              <w:left w:val="nil"/>
              <w:bottom w:val="single" w:sz="4" w:space="0" w:color="auto"/>
              <w:right w:val="single" w:sz="4" w:space="0" w:color="auto"/>
            </w:tcBorders>
            <w:shd w:val="clear" w:color="auto" w:fill="auto"/>
            <w:noWrap/>
            <w:vAlign w:val="bottom"/>
            <w:hideMark/>
          </w:tcPr>
          <w:p w14:paraId="1F2267B9" w14:textId="77777777" w:rsidR="00B2630F" w:rsidRDefault="00B2630F" w:rsidP="00666827">
            <w:pPr>
              <w:jc w:val="center"/>
              <w:rPr>
                <w:color w:val="000000"/>
                <w:sz w:val="22"/>
                <w:szCs w:val="22"/>
              </w:rPr>
            </w:pPr>
            <w:r>
              <w:rPr>
                <w:color w:val="000000"/>
                <w:sz w:val="22"/>
                <w:szCs w:val="22"/>
              </w:rPr>
              <w:t>1,256</w:t>
            </w:r>
          </w:p>
        </w:tc>
        <w:tc>
          <w:tcPr>
            <w:tcW w:w="1675" w:type="dxa"/>
            <w:tcBorders>
              <w:top w:val="nil"/>
              <w:left w:val="nil"/>
              <w:bottom w:val="single" w:sz="4" w:space="0" w:color="auto"/>
              <w:right w:val="single" w:sz="4" w:space="0" w:color="auto"/>
            </w:tcBorders>
            <w:shd w:val="clear" w:color="auto" w:fill="auto"/>
            <w:noWrap/>
            <w:vAlign w:val="bottom"/>
            <w:hideMark/>
          </w:tcPr>
          <w:p w14:paraId="05F1E3E6" w14:textId="77777777" w:rsidR="00B2630F" w:rsidRDefault="00B2630F" w:rsidP="00666827">
            <w:pPr>
              <w:jc w:val="center"/>
              <w:rPr>
                <w:color w:val="000000"/>
                <w:sz w:val="22"/>
                <w:szCs w:val="22"/>
              </w:rPr>
            </w:pPr>
            <w:r>
              <w:rPr>
                <w:color w:val="000000"/>
                <w:sz w:val="22"/>
                <w:szCs w:val="22"/>
              </w:rPr>
              <w:t>130</w:t>
            </w:r>
          </w:p>
        </w:tc>
        <w:tc>
          <w:tcPr>
            <w:tcW w:w="1519" w:type="dxa"/>
            <w:tcBorders>
              <w:top w:val="nil"/>
              <w:left w:val="nil"/>
              <w:bottom w:val="single" w:sz="4" w:space="0" w:color="auto"/>
              <w:right w:val="single" w:sz="4" w:space="0" w:color="auto"/>
            </w:tcBorders>
            <w:shd w:val="clear" w:color="auto" w:fill="auto"/>
            <w:noWrap/>
            <w:vAlign w:val="bottom"/>
            <w:hideMark/>
          </w:tcPr>
          <w:p w14:paraId="2BC0B12B" w14:textId="77777777" w:rsidR="00B2630F" w:rsidRDefault="00B2630F" w:rsidP="00666827">
            <w:pPr>
              <w:jc w:val="center"/>
              <w:rPr>
                <w:color w:val="000000"/>
                <w:sz w:val="22"/>
                <w:szCs w:val="22"/>
              </w:rPr>
            </w:pPr>
            <w:r>
              <w:rPr>
                <w:color w:val="000000"/>
                <w:sz w:val="22"/>
                <w:szCs w:val="22"/>
              </w:rPr>
              <w:t>29</w:t>
            </w:r>
          </w:p>
        </w:tc>
        <w:tc>
          <w:tcPr>
            <w:tcW w:w="906" w:type="dxa"/>
            <w:tcBorders>
              <w:top w:val="nil"/>
              <w:left w:val="nil"/>
              <w:bottom w:val="single" w:sz="4" w:space="0" w:color="auto"/>
              <w:right w:val="single" w:sz="4" w:space="0" w:color="auto"/>
            </w:tcBorders>
            <w:shd w:val="clear" w:color="auto" w:fill="auto"/>
            <w:noWrap/>
            <w:vAlign w:val="bottom"/>
            <w:hideMark/>
          </w:tcPr>
          <w:p w14:paraId="1A598475" w14:textId="77777777" w:rsidR="00B2630F" w:rsidRDefault="00B2630F" w:rsidP="00666827">
            <w:pPr>
              <w:jc w:val="center"/>
              <w:rPr>
                <w:color w:val="000000"/>
                <w:sz w:val="22"/>
                <w:szCs w:val="22"/>
              </w:rPr>
            </w:pPr>
            <w:r>
              <w:rPr>
                <w:color w:val="000000"/>
                <w:sz w:val="22"/>
                <w:szCs w:val="22"/>
              </w:rPr>
              <w:t>1,415</w:t>
            </w:r>
          </w:p>
        </w:tc>
        <w:tc>
          <w:tcPr>
            <w:tcW w:w="1046" w:type="dxa"/>
            <w:tcBorders>
              <w:top w:val="nil"/>
              <w:left w:val="nil"/>
              <w:bottom w:val="single" w:sz="4" w:space="0" w:color="auto"/>
              <w:right w:val="single" w:sz="4" w:space="0" w:color="auto"/>
            </w:tcBorders>
            <w:shd w:val="clear" w:color="auto" w:fill="auto"/>
            <w:noWrap/>
            <w:vAlign w:val="bottom"/>
            <w:hideMark/>
          </w:tcPr>
          <w:p w14:paraId="773B3B11" w14:textId="77777777" w:rsidR="00B2630F" w:rsidRDefault="00B2630F" w:rsidP="00666827">
            <w:pPr>
              <w:jc w:val="center"/>
              <w:rPr>
                <w:color w:val="000000"/>
                <w:sz w:val="22"/>
                <w:szCs w:val="22"/>
              </w:rPr>
            </w:pPr>
            <w:r>
              <w:rPr>
                <w:color w:val="000000"/>
                <w:sz w:val="22"/>
                <w:szCs w:val="22"/>
              </w:rPr>
              <w:t>88.8%</w:t>
            </w:r>
          </w:p>
        </w:tc>
        <w:tc>
          <w:tcPr>
            <w:tcW w:w="1348" w:type="dxa"/>
            <w:tcBorders>
              <w:top w:val="nil"/>
              <w:left w:val="nil"/>
              <w:bottom w:val="single" w:sz="4" w:space="0" w:color="auto"/>
              <w:right w:val="single" w:sz="4" w:space="0" w:color="auto"/>
            </w:tcBorders>
            <w:shd w:val="clear" w:color="auto" w:fill="auto"/>
            <w:noWrap/>
            <w:vAlign w:val="bottom"/>
            <w:hideMark/>
          </w:tcPr>
          <w:p w14:paraId="3655EEB7" w14:textId="77777777" w:rsidR="00B2630F" w:rsidRDefault="00B2630F" w:rsidP="00666827">
            <w:pPr>
              <w:jc w:val="center"/>
              <w:rPr>
                <w:color w:val="000000"/>
                <w:sz w:val="22"/>
                <w:szCs w:val="22"/>
              </w:rPr>
            </w:pPr>
            <w:r>
              <w:rPr>
                <w:color w:val="000000"/>
                <w:sz w:val="22"/>
                <w:szCs w:val="22"/>
              </w:rPr>
              <w:t>9.2%</w:t>
            </w:r>
          </w:p>
        </w:tc>
        <w:tc>
          <w:tcPr>
            <w:tcW w:w="1046" w:type="dxa"/>
            <w:tcBorders>
              <w:top w:val="nil"/>
              <w:left w:val="nil"/>
              <w:bottom w:val="single" w:sz="4" w:space="0" w:color="auto"/>
              <w:right w:val="single" w:sz="4" w:space="0" w:color="auto"/>
            </w:tcBorders>
            <w:shd w:val="clear" w:color="auto" w:fill="auto"/>
            <w:noWrap/>
            <w:vAlign w:val="bottom"/>
            <w:hideMark/>
          </w:tcPr>
          <w:p w14:paraId="19B3BFEB" w14:textId="77777777" w:rsidR="00B2630F" w:rsidRDefault="00B2630F" w:rsidP="00666827">
            <w:pPr>
              <w:jc w:val="center"/>
              <w:rPr>
                <w:color w:val="000000"/>
                <w:sz w:val="22"/>
                <w:szCs w:val="22"/>
              </w:rPr>
            </w:pPr>
            <w:r>
              <w:rPr>
                <w:color w:val="000000"/>
                <w:sz w:val="22"/>
                <w:szCs w:val="22"/>
              </w:rPr>
              <w:t>98.0%</w:t>
            </w:r>
          </w:p>
        </w:tc>
      </w:tr>
      <w:tr w:rsidR="00B2630F" w14:paraId="021ABB91"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E5DCE01" w14:textId="77777777" w:rsidR="00B2630F" w:rsidRDefault="00B2630F" w:rsidP="00666827">
            <w:pPr>
              <w:jc w:val="center"/>
              <w:rPr>
                <w:color w:val="000000"/>
                <w:sz w:val="22"/>
                <w:szCs w:val="22"/>
              </w:rPr>
            </w:pPr>
            <w:r>
              <w:rPr>
                <w:bCs/>
                <w:color w:val="000000"/>
                <w:sz w:val="22"/>
                <w:szCs w:val="22"/>
              </w:rPr>
              <w:t>2014</w:t>
            </w:r>
          </w:p>
        </w:tc>
        <w:tc>
          <w:tcPr>
            <w:tcW w:w="1301" w:type="dxa"/>
            <w:tcBorders>
              <w:top w:val="nil"/>
              <w:left w:val="nil"/>
              <w:bottom w:val="single" w:sz="4" w:space="0" w:color="auto"/>
              <w:right w:val="single" w:sz="4" w:space="0" w:color="auto"/>
            </w:tcBorders>
            <w:shd w:val="clear" w:color="auto" w:fill="auto"/>
            <w:noWrap/>
            <w:vAlign w:val="bottom"/>
            <w:hideMark/>
          </w:tcPr>
          <w:p w14:paraId="6FB502EF" w14:textId="77777777" w:rsidR="00B2630F" w:rsidRDefault="00B2630F" w:rsidP="00666827">
            <w:pPr>
              <w:jc w:val="center"/>
              <w:rPr>
                <w:color w:val="000000"/>
                <w:sz w:val="22"/>
                <w:szCs w:val="22"/>
              </w:rPr>
            </w:pPr>
            <w:r>
              <w:rPr>
                <w:color w:val="000000"/>
                <w:sz w:val="22"/>
                <w:szCs w:val="22"/>
              </w:rPr>
              <w:t>1,583</w:t>
            </w:r>
          </w:p>
        </w:tc>
        <w:tc>
          <w:tcPr>
            <w:tcW w:w="1675" w:type="dxa"/>
            <w:tcBorders>
              <w:top w:val="nil"/>
              <w:left w:val="nil"/>
              <w:bottom w:val="single" w:sz="4" w:space="0" w:color="auto"/>
              <w:right w:val="single" w:sz="4" w:space="0" w:color="auto"/>
            </w:tcBorders>
            <w:shd w:val="clear" w:color="auto" w:fill="auto"/>
            <w:noWrap/>
            <w:vAlign w:val="bottom"/>
            <w:hideMark/>
          </w:tcPr>
          <w:p w14:paraId="0E3E6D5C" w14:textId="77777777" w:rsidR="00B2630F" w:rsidRDefault="00B2630F" w:rsidP="00666827">
            <w:pPr>
              <w:jc w:val="center"/>
              <w:rPr>
                <w:color w:val="000000"/>
                <w:sz w:val="22"/>
                <w:szCs w:val="22"/>
              </w:rPr>
            </w:pPr>
            <w:r>
              <w:rPr>
                <w:color w:val="000000"/>
                <w:sz w:val="22"/>
                <w:szCs w:val="22"/>
              </w:rPr>
              <w:t>124</w:t>
            </w:r>
          </w:p>
        </w:tc>
        <w:tc>
          <w:tcPr>
            <w:tcW w:w="1519" w:type="dxa"/>
            <w:tcBorders>
              <w:top w:val="nil"/>
              <w:left w:val="nil"/>
              <w:bottom w:val="single" w:sz="4" w:space="0" w:color="auto"/>
              <w:right w:val="single" w:sz="4" w:space="0" w:color="auto"/>
            </w:tcBorders>
            <w:shd w:val="clear" w:color="auto" w:fill="auto"/>
            <w:noWrap/>
            <w:vAlign w:val="bottom"/>
            <w:hideMark/>
          </w:tcPr>
          <w:p w14:paraId="0BF61082" w14:textId="77777777" w:rsidR="00B2630F" w:rsidRDefault="00B2630F" w:rsidP="00666827">
            <w:pPr>
              <w:jc w:val="center"/>
              <w:rPr>
                <w:color w:val="000000"/>
                <w:sz w:val="22"/>
                <w:szCs w:val="22"/>
              </w:rPr>
            </w:pPr>
            <w:r>
              <w:rPr>
                <w:color w:val="000000"/>
                <w:sz w:val="22"/>
                <w:szCs w:val="22"/>
              </w:rPr>
              <w:t>22</w:t>
            </w:r>
          </w:p>
        </w:tc>
        <w:tc>
          <w:tcPr>
            <w:tcW w:w="906" w:type="dxa"/>
            <w:tcBorders>
              <w:top w:val="nil"/>
              <w:left w:val="nil"/>
              <w:bottom w:val="single" w:sz="4" w:space="0" w:color="auto"/>
              <w:right w:val="single" w:sz="4" w:space="0" w:color="auto"/>
            </w:tcBorders>
            <w:shd w:val="clear" w:color="auto" w:fill="auto"/>
            <w:noWrap/>
            <w:vAlign w:val="bottom"/>
            <w:hideMark/>
          </w:tcPr>
          <w:p w14:paraId="79E3F389" w14:textId="77777777" w:rsidR="00B2630F" w:rsidRDefault="00B2630F" w:rsidP="00666827">
            <w:pPr>
              <w:jc w:val="center"/>
              <w:rPr>
                <w:color w:val="000000"/>
                <w:sz w:val="22"/>
                <w:szCs w:val="22"/>
              </w:rPr>
            </w:pPr>
            <w:r>
              <w:rPr>
                <w:color w:val="000000"/>
                <w:sz w:val="22"/>
                <w:szCs w:val="22"/>
              </w:rPr>
              <w:t>1,729</w:t>
            </w:r>
          </w:p>
        </w:tc>
        <w:tc>
          <w:tcPr>
            <w:tcW w:w="1046" w:type="dxa"/>
            <w:tcBorders>
              <w:top w:val="nil"/>
              <w:left w:val="nil"/>
              <w:bottom w:val="single" w:sz="4" w:space="0" w:color="auto"/>
              <w:right w:val="single" w:sz="4" w:space="0" w:color="auto"/>
            </w:tcBorders>
            <w:shd w:val="clear" w:color="auto" w:fill="auto"/>
            <w:noWrap/>
            <w:vAlign w:val="bottom"/>
            <w:hideMark/>
          </w:tcPr>
          <w:p w14:paraId="3902C455" w14:textId="77777777" w:rsidR="00B2630F" w:rsidRDefault="00B2630F" w:rsidP="00666827">
            <w:pPr>
              <w:jc w:val="center"/>
              <w:rPr>
                <w:color w:val="000000"/>
                <w:sz w:val="22"/>
                <w:szCs w:val="22"/>
              </w:rPr>
            </w:pPr>
            <w:r>
              <w:rPr>
                <w:color w:val="000000"/>
                <w:sz w:val="22"/>
                <w:szCs w:val="22"/>
              </w:rPr>
              <w:t>91.6%</w:t>
            </w:r>
          </w:p>
        </w:tc>
        <w:tc>
          <w:tcPr>
            <w:tcW w:w="1348" w:type="dxa"/>
            <w:tcBorders>
              <w:top w:val="nil"/>
              <w:left w:val="nil"/>
              <w:bottom w:val="single" w:sz="4" w:space="0" w:color="auto"/>
              <w:right w:val="single" w:sz="4" w:space="0" w:color="auto"/>
            </w:tcBorders>
            <w:shd w:val="clear" w:color="auto" w:fill="auto"/>
            <w:noWrap/>
            <w:vAlign w:val="bottom"/>
            <w:hideMark/>
          </w:tcPr>
          <w:p w14:paraId="3A32CA92" w14:textId="77777777" w:rsidR="00B2630F" w:rsidRDefault="00B2630F" w:rsidP="00666827">
            <w:pPr>
              <w:jc w:val="center"/>
              <w:rPr>
                <w:color w:val="000000"/>
                <w:sz w:val="22"/>
                <w:szCs w:val="22"/>
              </w:rPr>
            </w:pPr>
            <w:r>
              <w:rPr>
                <w:color w:val="000000"/>
                <w:sz w:val="22"/>
                <w:szCs w:val="22"/>
              </w:rPr>
              <w:t>7.2%</w:t>
            </w:r>
          </w:p>
        </w:tc>
        <w:tc>
          <w:tcPr>
            <w:tcW w:w="1046" w:type="dxa"/>
            <w:tcBorders>
              <w:top w:val="nil"/>
              <w:left w:val="nil"/>
              <w:bottom w:val="single" w:sz="4" w:space="0" w:color="auto"/>
              <w:right w:val="single" w:sz="4" w:space="0" w:color="auto"/>
            </w:tcBorders>
            <w:shd w:val="clear" w:color="auto" w:fill="auto"/>
            <w:noWrap/>
            <w:vAlign w:val="bottom"/>
            <w:hideMark/>
          </w:tcPr>
          <w:p w14:paraId="499206C6" w14:textId="77777777" w:rsidR="00B2630F" w:rsidRDefault="00B2630F" w:rsidP="00666827">
            <w:pPr>
              <w:jc w:val="center"/>
              <w:rPr>
                <w:color w:val="000000"/>
                <w:sz w:val="22"/>
                <w:szCs w:val="22"/>
              </w:rPr>
            </w:pPr>
            <w:r>
              <w:rPr>
                <w:color w:val="000000"/>
                <w:sz w:val="22"/>
                <w:szCs w:val="22"/>
              </w:rPr>
              <w:t>98.7%</w:t>
            </w:r>
          </w:p>
        </w:tc>
      </w:tr>
      <w:tr w:rsidR="00B2630F" w14:paraId="7450AF00"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69A50CA" w14:textId="77777777" w:rsidR="00B2630F" w:rsidRDefault="00B2630F" w:rsidP="00666827">
            <w:pPr>
              <w:jc w:val="center"/>
              <w:rPr>
                <w:b/>
                <w:bCs/>
                <w:color w:val="000000"/>
                <w:sz w:val="22"/>
                <w:szCs w:val="22"/>
              </w:rPr>
            </w:pPr>
            <w:r>
              <w:rPr>
                <w:b/>
                <w:bCs/>
                <w:color w:val="000000"/>
                <w:sz w:val="22"/>
                <w:szCs w:val="22"/>
              </w:rPr>
              <w:t>Average</w:t>
            </w:r>
          </w:p>
        </w:tc>
        <w:tc>
          <w:tcPr>
            <w:tcW w:w="1301" w:type="dxa"/>
            <w:tcBorders>
              <w:top w:val="nil"/>
              <w:left w:val="nil"/>
              <w:bottom w:val="single" w:sz="4" w:space="0" w:color="auto"/>
              <w:right w:val="single" w:sz="4" w:space="0" w:color="auto"/>
            </w:tcBorders>
            <w:shd w:val="clear" w:color="auto" w:fill="auto"/>
            <w:noWrap/>
            <w:vAlign w:val="bottom"/>
            <w:hideMark/>
          </w:tcPr>
          <w:p w14:paraId="791A282E" w14:textId="77777777" w:rsidR="00B2630F" w:rsidRDefault="00B2630F" w:rsidP="00666827">
            <w:pPr>
              <w:jc w:val="center"/>
              <w:rPr>
                <w:b/>
                <w:bCs/>
                <w:color w:val="000000"/>
                <w:sz w:val="22"/>
                <w:szCs w:val="22"/>
              </w:rPr>
            </w:pPr>
            <w:r>
              <w:rPr>
                <w:b/>
                <w:bCs/>
                <w:color w:val="000000"/>
                <w:sz w:val="22"/>
                <w:szCs w:val="22"/>
              </w:rPr>
              <w:t>1,366</w:t>
            </w:r>
          </w:p>
        </w:tc>
        <w:tc>
          <w:tcPr>
            <w:tcW w:w="1675" w:type="dxa"/>
            <w:tcBorders>
              <w:top w:val="nil"/>
              <w:left w:val="nil"/>
              <w:bottom w:val="single" w:sz="4" w:space="0" w:color="auto"/>
              <w:right w:val="single" w:sz="4" w:space="0" w:color="auto"/>
            </w:tcBorders>
            <w:shd w:val="clear" w:color="auto" w:fill="auto"/>
            <w:noWrap/>
            <w:vAlign w:val="bottom"/>
            <w:hideMark/>
          </w:tcPr>
          <w:p w14:paraId="7B845289" w14:textId="77777777" w:rsidR="00B2630F" w:rsidRDefault="00B2630F" w:rsidP="00666827">
            <w:pPr>
              <w:jc w:val="center"/>
              <w:rPr>
                <w:b/>
                <w:bCs/>
                <w:color w:val="000000"/>
                <w:sz w:val="22"/>
                <w:szCs w:val="22"/>
              </w:rPr>
            </w:pPr>
            <w:r>
              <w:rPr>
                <w:b/>
                <w:bCs/>
                <w:color w:val="000000"/>
                <w:sz w:val="22"/>
                <w:szCs w:val="22"/>
              </w:rPr>
              <w:t>109</w:t>
            </w:r>
          </w:p>
        </w:tc>
        <w:tc>
          <w:tcPr>
            <w:tcW w:w="1519" w:type="dxa"/>
            <w:tcBorders>
              <w:top w:val="nil"/>
              <w:left w:val="nil"/>
              <w:bottom w:val="single" w:sz="4" w:space="0" w:color="auto"/>
              <w:right w:val="single" w:sz="4" w:space="0" w:color="auto"/>
            </w:tcBorders>
            <w:shd w:val="clear" w:color="auto" w:fill="auto"/>
            <w:noWrap/>
            <w:vAlign w:val="bottom"/>
            <w:hideMark/>
          </w:tcPr>
          <w:p w14:paraId="1E5F4C48" w14:textId="77777777" w:rsidR="00B2630F" w:rsidRDefault="00B2630F" w:rsidP="00666827">
            <w:pPr>
              <w:jc w:val="center"/>
              <w:rPr>
                <w:b/>
                <w:bCs/>
                <w:color w:val="000000"/>
                <w:sz w:val="22"/>
                <w:szCs w:val="22"/>
              </w:rPr>
            </w:pPr>
            <w:r>
              <w:rPr>
                <w:b/>
                <w:bCs/>
                <w:color w:val="000000"/>
                <w:sz w:val="22"/>
                <w:szCs w:val="22"/>
              </w:rPr>
              <w:t>28</w:t>
            </w:r>
          </w:p>
        </w:tc>
        <w:tc>
          <w:tcPr>
            <w:tcW w:w="906" w:type="dxa"/>
            <w:tcBorders>
              <w:top w:val="nil"/>
              <w:left w:val="nil"/>
              <w:bottom w:val="single" w:sz="4" w:space="0" w:color="auto"/>
              <w:right w:val="single" w:sz="4" w:space="0" w:color="auto"/>
            </w:tcBorders>
            <w:shd w:val="clear" w:color="auto" w:fill="auto"/>
            <w:noWrap/>
            <w:vAlign w:val="bottom"/>
            <w:hideMark/>
          </w:tcPr>
          <w:p w14:paraId="48FE1908" w14:textId="77777777" w:rsidR="00B2630F" w:rsidRDefault="00B2630F" w:rsidP="00666827">
            <w:pPr>
              <w:jc w:val="center"/>
              <w:rPr>
                <w:b/>
                <w:bCs/>
                <w:color w:val="000000"/>
                <w:sz w:val="22"/>
                <w:szCs w:val="22"/>
              </w:rPr>
            </w:pPr>
            <w:r>
              <w:rPr>
                <w:b/>
                <w:bCs/>
                <w:color w:val="000000"/>
                <w:sz w:val="22"/>
                <w:szCs w:val="22"/>
              </w:rPr>
              <w:t>1,503</w:t>
            </w:r>
          </w:p>
        </w:tc>
        <w:tc>
          <w:tcPr>
            <w:tcW w:w="1046" w:type="dxa"/>
            <w:tcBorders>
              <w:top w:val="nil"/>
              <w:left w:val="nil"/>
              <w:bottom w:val="single" w:sz="4" w:space="0" w:color="auto"/>
              <w:right w:val="single" w:sz="4" w:space="0" w:color="auto"/>
            </w:tcBorders>
            <w:shd w:val="clear" w:color="auto" w:fill="auto"/>
            <w:noWrap/>
            <w:vAlign w:val="bottom"/>
            <w:hideMark/>
          </w:tcPr>
          <w:p w14:paraId="57132E8F" w14:textId="77777777" w:rsidR="00B2630F" w:rsidRDefault="00B2630F" w:rsidP="00666827">
            <w:pPr>
              <w:jc w:val="center"/>
              <w:rPr>
                <w:b/>
                <w:bCs/>
                <w:color w:val="000000"/>
                <w:sz w:val="22"/>
                <w:szCs w:val="22"/>
              </w:rPr>
            </w:pPr>
            <w:r>
              <w:rPr>
                <w:b/>
                <w:bCs/>
                <w:color w:val="000000"/>
                <w:sz w:val="22"/>
                <w:szCs w:val="22"/>
              </w:rPr>
              <w:t>90.8%</w:t>
            </w:r>
          </w:p>
        </w:tc>
        <w:tc>
          <w:tcPr>
            <w:tcW w:w="1348" w:type="dxa"/>
            <w:tcBorders>
              <w:top w:val="nil"/>
              <w:left w:val="nil"/>
              <w:bottom w:val="single" w:sz="4" w:space="0" w:color="auto"/>
              <w:right w:val="single" w:sz="4" w:space="0" w:color="auto"/>
            </w:tcBorders>
            <w:shd w:val="clear" w:color="auto" w:fill="auto"/>
            <w:noWrap/>
            <w:vAlign w:val="bottom"/>
            <w:hideMark/>
          </w:tcPr>
          <w:p w14:paraId="15EDF7F2" w14:textId="77777777" w:rsidR="00B2630F" w:rsidRDefault="00B2630F" w:rsidP="00666827">
            <w:pPr>
              <w:jc w:val="center"/>
              <w:rPr>
                <w:b/>
                <w:bCs/>
                <w:color w:val="000000"/>
                <w:sz w:val="22"/>
                <w:szCs w:val="22"/>
              </w:rPr>
            </w:pPr>
            <w:r>
              <w:rPr>
                <w:b/>
                <w:bCs/>
                <w:color w:val="000000"/>
                <w:sz w:val="22"/>
                <w:szCs w:val="22"/>
              </w:rPr>
              <w:t>7.3%</w:t>
            </w:r>
          </w:p>
        </w:tc>
        <w:tc>
          <w:tcPr>
            <w:tcW w:w="1046" w:type="dxa"/>
            <w:tcBorders>
              <w:top w:val="nil"/>
              <w:left w:val="nil"/>
              <w:bottom w:val="single" w:sz="4" w:space="0" w:color="auto"/>
              <w:right w:val="single" w:sz="4" w:space="0" w:color="auto"/>
            </w:tcBorders>
            <w:shd w:val="clear" w:color="auto" w:fill="auto"/>
            <w:noWrap/>
            <w:vAlign w:val="bottom"/>
            <w:hideMark/>
          </w:tcPr>
          <w:p w14:paraId="654DCA24" w14:textId="77777777" w:rsidR="00B2630F" w:rsidRDefault="00B2630F" w:rsidP="00666827">
            <w:pPr>
              <w:jc w:val="center"/>
              <w:rPr>
                <w:b/>
                <w:bCs/>
                <w:color w:val="000000"/>
                <w:sz w:val="22"/>
                <w:szCs w:val="22"/>
              </w:rPr>
            </w:pPr>
            <w:r>
              <w:rPr>
                <w:b/>
                <w:bCs/>
                <w:color w:val="000000"/>
                <w:sz w:val="22"/>
                <w:szCs w:val="22"/>
              </w:rPr>
              <w:t>98.1%</w:t>
            </w:r>
          </w:p>
        </w:tc>
      </w:tr>
    </w:tbl>
    <w:p w14:paraId="565690BB" w14:textId="77777777" w:rsidR="00B2630F" w:rsidRPr="007812CA" w:rsidRDefault="00B2630F" w:rsidP="00B2630F">
      <w:pPr>
        <w:rPr>
          <w:rFonts w:ascii="Arial" w:hAnsi="Arial" w:cs="Arial"/>
          <w:sz w:val="20"/>
          <w:szCs w:val="20"/>
        </w:rPr>
      </w:pPr>
      <w:r w:rsidRPr="007812CA">
        <w:rPr>
          <w:rFonts w:ascii="Arial" w:hAnsi="Arial" w:cs="Arial"/>
          <w:sz w:val="20"/>
          <w:szCs w:val="20"/>
        </w:rPr>
        <w:t>Source:  SEFSC Online Economic Query System, October 16, 2016.</w:t>
      </w:r>
    </w:p>
    <w:p w14:paraId="2172A50E" w14:textId="07BE36DE" w:rsidR="005F0F19" w:rsidRDefault="005F0F19" w:rsidP="005F0F19"/>
    <w:p w14:paraId="2490841F" w14:textId="07BAD002" w:rsidR="005F0F19" w:rsidRDefault="005F0F19" w:rsidP="005F0F19">
      <w:r>
        <w:t xml:space="preserve"> </w:t>
      </w:r>
    </w:p>
    <w:p w14:paraId="6BFDC071" w14:textId="1B748829" w:rsidR="005F0F19" w:rsidRDefault="00FE4382" w:rsidP="00273CCF">
      <w:pPr>
        <w:ind w:firstLine="360"/>
      </w:pPr>
      <w:r>
        <w:t>From 201</w:t>
      </w:r>
      <w:r w:rsidR="00B2630F">
        <w:t>0</w:t>
      </w:r>
      <w:r>
        <w:t xml:space="preserve"> through 201</w:t>
      </w:r>
      <w:r w:rsidR="00B2630F">
        <w:t>4</w:t>
      </w:r>
      <w:r>
        <w:t>, vessels that landed mutton snapper had an average crew of approximately two persons (including captain), and the average trip took approximately two days.  An average of 38 lbs gw of mutton snapper were landed per trip and 18 lbs gw per person (</w:t>
      </w:r>
      <w:r w:rsidRPr="00D63C32">
        <w:rPr>
          <w:b/>
        </w:rPr>
        <w:t>Table 3.3.1</w:t>
      </w:r>
      <w:r>
        <w:rPr>
          <w:b/>
        </w:rPr>
        <w:t>4</w:t>
      </w:r>
      <w:r>
        <w:t xml:space="preserve">). </w:t>
      </w:r>
      <w:r w:rsidR="005F0F19">
        <w:t xml:space="preserve"> </w:t>
      </w:r>
    </w:p>
    <w:p w14:paraId="00CCAC43" w14:textId="77777777" w:rsidR="005F0F19" w:rsidRDefault="005F0F19" w:rsidP="005F0F19"/>
    <w:p w14:paraId="31F960C3" w14:textId="609843D1" w:rsidR="00FE4382" w:rsidRDefault="00FE4382" w:rsidP="00FE4382">
      <w:pPr>
        <w:pStyle w:val="Tabletitle"/>
      </w:pPr>
      <w:bookmarkStart w:id="157" w:name="_Toc338320504"/>
      <w:bookmarkStart w:id="158" w:name="_Toc340431559"/>
      <w:r>
        <w:rPr>
          <w:b/>
        </w:rPr>
        <w:t>Table 3.3.14.</w:t>
      </w:r>
      <w:r>
        <w:t xml:space="preserve">   Average number of crew and pounds (gw) per person per trip, 2010-201</w:t>
      </w:r>
      <w:r w:rsidR="00B2630F">
        <w:t>4</w:t>
      </w:r>
      <w:r w:rsidRPr="0067026A">
        <w:t>.</w:t>
      </w:r>
      <w:bookmarkEnd w:id="157"/>
      <w:bookmarkEnd w:id="158"/>
      <w:r w:rsidRPr="0067026A">
        <w:t xml:space="preserve"> </w:t>
      </w:r>
    </w:p>
    <w:tbl>
      <w:tblPr>
        <w:tblW w:w="9141" w:type="dxa"/>
        <w:tblInd w:w="93" w:type="dxa"/>
        <w:tblLook w:val="04A0" w:firstRow="1" w:lastRow="0" w:firstColumn="1" w:lastColumn="0" w:noHBand="0" w:noVBand="1"/>
      </w:tblPr>
      <w:tblGrid>
        <w:gridCol w:w="998"/>
        <w:gridCol w:w="1340"/>
        <w:gridCol w:w="1260"/>
        <w:gridCol w:w="959"/>
        <w:gridCol w:w="1250"/>
        <w:gridCol w:w="2479"/>
        <w:gridCol w:w="873"/>
      </w:tblGrid>
      <w:tr w:rsidR="00B2630F" w14:paraId="0FA2C4AD" w14:textId="77777777" w:rsidTr="00D94DF5">
        <w:trPr>
          <w:trHeight w:val="300"/>
        </w:trPr>
        <w:tc>
          <w:tcPr>
            <w:tcW w:w="9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7523D2" w14:textId="77777777" w:rsidR="00B2630F" w:rsidRDefault="00B2630F" w:rsidP="00666827">
            <w:pPr>
              <w:jc w:val="center"/>
              <w:rPr>
                <w:b/>
                <w:bCs/>
                <w:color w:val="000000"/>
                <w:sz w:val="22"/>
                <w:szCs w:val="22"/>
              </w:rPr>
            </w:pPr>
            <w:r>
              <w:rPr>
                <w:b/>
                <w:bCs/>
                <w:color w:val="000000"/>
                <w:sz w:val="22"/>
                <w:szCs w:val="22"/>
              </w:rPr>
              <w:t>Year</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EC047B" w14:textId="77777777" w:rsidR="00B2630F" w:rsidRDefault="00B2630F" w:rsidP="00666827">
            <w:pPr>
              <w:jc w:val="center"/>
              <w:rPr>
                <w:b/>
                <w:bCs/>
                <w:color w:val="000000"/>
                <w:sz w:val="22"/>
                <w:szCs w:val="22"/>
              </w:rPr>
            </w:pPr>
            <w:r>
              <w:rPr>
                <w:b/>
                <w:bCs/>
                <w:color w:val="000000"/>
                <w:sz w:val="22"/>
                <w:szCs w:val="22"/>
              </w:rPr>
              <w:t>Lbs gw</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74D0AE" w14:textId="77777777" w:rsidR="00B2630F" w:rsidRDefault="00B2630F" w:rsidP="00666827">
            <w:pPr>
              <w:jc w:val="center"/>
              <w:rPr>
                <w:b/>
                <w:bCs/>
                <w:color w:val="000000"/>
                <w:sz w:val="22"/>
                <w:szCs w:val="22"/>
              </w:rPr>
            </w:pPr>
            <w:r>
              <w:rPr>
                <w:b/>
                <w:bCs/>
                <w:color w:val="000000"/>
                <w:sz w:val="22"/>
                <w:szCs w:val="22"/>
              </w:rPr>
              <w:t>Trips</w:t>
            </w:r>
          </w:p>
        </w:tc>
        <w:tc>
          <w:tcPr>
            <w:tcW w:w="5561"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9766F90" w14:textId="77777777" w:rsidR="00B2630F" w:rsidRDefault="00B2630F" w:rsidP="00666827">
            <w:pPr>
              <w:jc w:val="center"/>
              <w:rPr>
                <w:b/>
                <w:bCs/>
                <w:color w:val="000000"/>
                <w:sz w:val="22"/>
                <w:szCs w:val="22"/>
              </w:rPr>
            </w:pPr>
            <w:r>
              <w:rPr>
                <w:b/>
                <w:bCs/>
                <w:color w:val="000000"/>
                <w:sz w:val="22"/>
                <w:szCs w:val="22"/>
              </w:rPr>
              <w:t>Average number per trip</w:t>
            </w:r>
          </w:p>
        </w:tc>
      </w:tr>
      <w:tr w:rsidR="00B2630F" w14:paraId="63DB60E5" w14:textId="77777777" w:rsidTr="00D94DF5">
        <w:trPr>
          <w:trHeight w:val="300"/>
        </w:trPr>
        <w:tc>
          <w:tcPr>
            <w:tcW w:w="9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5FE0C2" w14:textId="77777777" w:rsidR="00B2630F" w:rsidRDefault="00B2630F" w:rsidP="00666827">
            <w:pPr>
              <w:rPr>
                <w:b/>
                <w:bCs/>
                <w:color w:val="000000"/>
                <w:sz w:val="22"/>
                <w:szCs w:val="22"/>
              </w:rPr>
            </w:pPr>
          </w:p>
        </w:tc>
        <w:tc>
          <w:tcPr>
            <w:tcW w:w="134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3E705B" w14:textId="77777777" w:rsidR="00B2630F" w:rsidRDefault="00B2630F" w:rsidP="00666827">
            <w:pPr>
              <w:rPr>
                <w:b/>
                <w:bCs/>
                <w:color w:val="000000"/>
                <w:sz w:val="22"/>
                <w:szCs w:val="22"/>
              </w:rPr>
            </w:pPr>
          </w:p>
        </w:tc>
        <w:tc>
          <w:tcPr>
            <w:tcW w:w="12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6932E4" w14:textId="77777777" w:rsidR="00B2630F" w:rsidRDefault="00B2630F" w:rsidP="00666827">
            <w:pPr>
              <w:rPr>
                <w:b/>
                <w:bCs/>
                <w:color w:val="000000"/>
                <w:sz w:val="22"/>
                <w:szCs w:val="22"/>
              </w:rPr>
            </w:pPr>
          </w:p>
        </w:tc>
        <w:tc>
          <w:tcPr>
            <w:tcW w:w="959" w:type="dxa"/>
            <w:tcBorders>
              <w:top w:val="nil"/>
              <w:left w:val="nil"/>
              <w:bottom w:val="single" w:sz="4" w:space="0" w:color="auto"/>
              <w:right w:val="single" w:sz="4" w:space="0" w:color="auto"/>
            </w:tcBorders>
            <w:shd w:val="clear" w:color="auto" w:fill="D9D9D9" w:themeFill="background1" w:themeFillShade="D9"/>
            <w:noWrap/>
            <w:vAlign w:val="bottom"/>
            <w:hideMark/>
          </w:tcPr>
          <w:p w14:paraId="77D23AE1" w14:textId="77777777" w:rsidR="00B2630F" w:rsidRDefault="00B2630F" w:rsidP="00666827">
            <w:pPr>
              <w:jc w:val="center"/>
              <w:rPr>
                <w:b/>
                <w:bCs/>
                <w:color w:val="000000"/>
                <w:sz w:val="22"/>
                <w:szCs w:val="22"/>
              </w:rPr>
            </w:pPr>
            <w:r>
              <w:rPr>
                <w:b/>
                <w:bCs/>
                <w:color w:val="000000"/>
                <w:sz w:val="22"/>
                <w:szCs w:val="22"/>
              </w:rPr>
              <w:t>Crew</w:t>
            </w:r>
          </w:p>
        </w:tc>
        <w:tc>
          <w:tcPr>
            <w:tcW w:w="1250" w:type="dxa"/>
            <w:tcBorders>
              <w:top w:val="nil"/>
              <w:left w:val="nil"/>
              <w:bottom w:val="single" w:sz="4" w:space="0" w:color="auto"/>
              <w:right w:val="single" w:sz="4" w:space="0" w:color="auto"/>
            </w:tcBorders>
            <w:shd w:val="clear" w:color="auto" w:fill="D9D9D9" w:themeFill="background1" w:themeFillShade="D9"/>
            <w:noWrap/>
            <w:vAlign w:val="bottom"/>
            <w:hideMark/>
          </w:tcPr>
          <w:p w14:paraId="5729B2DD" w14:textId="77777777" w:rsidR="00B2630F" w:rsidRDefault="00B2630F" w:rsidP="00666827">
            <w:pPr>
              <w:jc w:val="center"/>
              <w:rPr>
                <w:b/>
                <w:bCs/>
                <w:color w:val="000000"/>
                <w:sz w:val="22"/>
                <w:szCs w:val="22"/>
              </w:rPr>
            </w:pPr>
            <w:r>
              <w:rPr>
                <w:b/>
                <w:bCs/>
                <w:color w:val="000000"/>
                <w:sz w:val="22"/>
                <w:szCs w:val="22"/>
              </w:rPr>
              <w:t>Lbs gw</w:t>
            </w:r>
          </w:p>
        </w:tc>
        <w:tc>
          <w:tcPr>
            <w:tcW w:w="2479" w:type="dxa"/>
            <w:tcBorders>
              <w:top w:val="nil"/>
              <w:left w:val="nil"/>
              <w:bottom w:val="single" w:sz="4" w:space="0" w:color="auto"/>
              <w:right w:val="single" w:sz="4" w:space="0" w:color="auto"/>
            </w:tcBorders>
            <w:shd w:val="clear" w:color="auto" w:fill="D9D9D9" w:themeFill="background1" w:themeFillShade="D9"/>
            <w:noWrap/>
            <w:vAlign w:val="bottom"/>
            <w:hideMark/>
          </w:tcPr>
          <w:p w14:paraId="75BF9C21" w14:textId="77777777" w:rsidR="00B2630F" w:rsidRDefault="00B2630F" w:rsidP="00666827">
            <w:pPr>
              <w:jc w:val="center"/>
              <w:rPr>
                <w:b/>
                <w:bCs/>
                <w:color w:val="000000"/>
                <w:sz w:val="22"/>
                <w:szCs w:val="22"/>
              </w:rPr>
            </w:pPr>
            <w:r>
              <w:rPr>
                <w:b/>
                <w:bCs/>
                <w:color w:val="000000"/>
                <w:sz w:val="22"/>
                <w:szCs w:val="22"/>
              </w:rPr>
              <w:t>Lbs gw/person</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52D581A4" w14:textId="77777777" w:rsidR="00B2630F" w:rsidRDefault="00B2630F" w:rsidP="00666827">
            <w:pPr>
              <w:jc w:val="center"/>
              <w:rPr>
                <w:b/>
                <w:bCs/>
                <w:color w:val="000000"/>
                <w:sz w:val="22"/>
                <w:szCs w:val="22"/>
              </w:rPr>
            </w:pPr>
            <w:r>
              <w:rPr>
                <w:b/>
                <w:bCs/>
                <w:color w:val="000000"/>
                <w:sz w:val="22"/>
                <w:szCs w:val="22"/>
              </w:rPr>
              <w:t>Days</w:t>
            </w:r>
          </w:p>
        </w:tc>
      </w:tr>
      <w:tr w:rsidR="00B2630F" w14:paraId="71D63F57"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22115BE" w14:textId="77777777" w:rsidR="00B2630F" w:rsidRDefault="00B2630F" w:rsidP="00666827">
            <w:pPr>
              <w:jc w:val="center"/>
              <w:rPr>
                <w:color w:val="000000"/>
                <w:sz w:val="22"/>
                <w:szCs w:val="22"/>
              </w:rPr>
            </w:pPr>
            <w:r>
              <w:rPr>
                <w:bCs/>
                <w:color w:val="000000"/>
                <w:sz w:val="22"/>
                <w:szCs w:val="22"/>
              </w:rPr>
              <w:t>2010</w:t>
            </w:r>
          </w:p>
        </w:tc>
        <w:tc>
          <w:tcPr>
            <w:tcW w:w="1340" w:type="dxa"/>
            <w:tcBorders>
              <w:top w:val="nil"/>
              <w:left w:val="nil"/>
              <w:bottom w:val="single" w:sz="4" w:space="0" w:color="auto"/>
              <w:right w:val="single" w:sz="4" w:space="0" w:color="auto"/>
            </w:tcBorders>
            <w:shd w:val="clear" w:color="auto" w:fill="auto"/>
            <w:noWrap/>
            <w:vAlign w:val="bottom"/>
            <w:hideMark/>
          </w:tcPr>
          <w:p w14:paraId="7A4C1115" w14:textId="77777777" w:rsidR="00B2630F" w:rsidRDefault="00B2630F" w:rsidP="00666827">
            <w:pPr>
              <w:jc w:val="center"/>
              <w:rPr>
                <w:color w:val="000000"/>
                <w:sz w:val="22"/>
                <w:szCs w:val="22"/>
              </w:rPr>
            </w:pPr>
            <w:r>
              <w:rPr>
                <w:color w:val="000000"/>
                <w:sz w:val="22"/>
                <w:szCs w:val="22"/>
              </w:rPr>
              <w:t>51,749</w:t>
            </w:r>
          </w:p>
        </w:tc>
        <w:tc>
          <w:tcPr>
            <w:tcW w:w="1260" w:type="dxa"/>
            <w:tcBorders>
              <w:top w:val="nil"/>
              <w:left w:val="nil"/>
              <w:bottom w:val="single" w:sz="4" w:space="0" w:color="auto"/>
              <w:right w:val="single" w:sz="4" w:space="0" w:color="auto"/>
            </w:tcBorders>
            <w:shd w:val="clear" w:color="auto" w:fill="auto"/>
            <w:noWrap/>
            <w:vAlign w:val="bottom"/>
            <w:hideMark/>
          </w:tcPr>
          <w:p w14:paraId="53384498" w14:textId="77777777" w:rsidR="00B2630F" w:rsidRDefault="00B2630F" w:rsidP="00666827">
            <w:pPr>
              <w:jc w:val="center"/>
              <w:rPr>
                <w:color w:val="000000"/>
                <w:sz w:val="22"/>
                <w:szCs w:val="22"/>
              </w:rPr>
            </w:pPr>
            <w:r>
              <w:rPr>
                <w:color w:val="000000"/>
                <w:sz w:val="22"/>
                <w:szCs w:val="22"/>
              </w:rPr>
              <w:t>1,495</w:t>
            </w:r>
          </w:p>
        </w:tc>
        <w:tc>
          <w:tcPr>
            <w:tcW w:w="959" w:type="dxa"/>
            <w:tcBorders>
              <w:top w:val="nil"/>
              <w:left w:val="nil"/>
              <w:bottom w:val="single" w:sz="4" w:space="0" w:color="auto"/>
              <w:right w:val="single" w:sz="4" w:space="0" w:color="auto"/>
            </w:tcBorders>
            <w:shd w:val="clear" w:color="auto" w:fill="auto"/>
            <w:noWrap/>
            <w:vAlign w:val="bottom"/>
            <w:hideMark/>
          </w:tcPr>
          <w:p w14:paraId="30AC5FB3" w14:textId="77777777" w:rsidR="00B2630F" w:rsidRDefault="00B2630F" w:rsidP="00666827">
            <w:pPr>
              <w:jc w:val="center"/>
              <w:rPr>
                <w:color w:val="000000"/>
                <w:sz w:val="22"/>
                <w:szCs w:val="22"/>
              </w:rPr>
            </w:pPr>
            <w:r>
              <w:rPr>
                <w:color w:val="000000"/>
                <w:sz w:val="22"/>
                <w:szCs w:val="22"/>
              </w:rPr>
              <w:t>2.0</w:t>
            </w:r>
          </w:p>
        </w:tc>
        <w:tc>
          <w:tcPr>
            <w:tcW w:w="1250" w:type="dxa"/>
            <w:tcBorders>
              <w:top w:val="nil"/>
              <w:left w:val="nil"/>
              <w:bottom w:val="single" w:sz="4" w:space="0" w:color="auto"/>
              <w:right w:val="single" w:sz="4" w:space="0" w:color="auto"/>
            </w:tcBorders>
            <w:shd w:val="clear" w:color="auto" w:fill="auto"/>
            <w:noWrap/>
            <w:vAlign w:val="bottom"/>
            <w:hideMark/>
          </w:tcPr>
          <w:p w14:paraId="5FE01FC1" w14:textId="77777777" w:rsidR="00B2630F" w:rsidRDefault="00B2630F" w:rsidP="00666827">
            <w:pPr>
              <w:jc w:val="center"/>
              <w:rPr>
                <w:color w:val="000000"/>
                <w:sz w:val="22"/>
                <w:szCs w:val="22"/>
              </w:rPr>
            </w:pPr>
            <w:r>
              <w:rPr>
                <w:color w:val="000000"/>
                <w:sz w:val="22"/>
                <w:szCs w:val="22"/>
              </w:rPr>
              <w:t>34.6</w:t>
            </w:r>
          </w:p>
        </w:tc>
        <w:tc>
          <w:tcPr>
            <w:tcW w:w="2479" w:type="dxa"/>
            <w:tcBorders>
              <w:top w:val="nil"/>
              <w:left w:val="nil"/>
              <w:bottom w:val="single" w:sz="4" w:space="0" w:color="auto"/>
              <w:right w:val="single" w:sz="4" w:space="0" w:color="auto"/>
            </w:tcBorders>
            <w:shd w:val="clear" w:color="auto" w:fill="auto"/>
            <w:noWrap/>
            <w:vAlign w:val="bottom"/>
            <w:hideMark/>
          </w:tcPr>
          <w:p w14:paraId="342F2520" w14:textId="77777777" w:rsidR="00B2630F" w:rsidRDefault="00B2630F" w:rsidP="00666827">
            <w:pPr>
              <w:jc w:val="center"/>
              <w:rPr>
                <w:color w:val="000000"/>
                <w:sz w:val="22"/>
                <w:szCs w:val="22"/>
              </w:rPr>
            </w:pPr>
            <w:r>
              <w:rPr>
                <w:color w:val="000000"/>
                <w:sz w:val="22"/>
                <w:szCs w:val="22"/>
              </w:rPr>
              <w:t>17.3</w:t>
            </w:r>
          </w:p>
        </w:tc>
        <w:tc>
          <w:tcPr>
            <w:tcW w:w="873" w:type="dxa"/>
            <w:tcBorders>
              <w:top w:val="nil"/>
              <w:left w:val="nil"/>
              <w:bottom w:val="single" w:sz="4" w:space="0" w:color="auto"/>
              <w:right w:val="single" w:sz="4" w:space="0" w:color="auto"/>
            </w:tcBorders>
            <w:shd w:val="clear" w:color="auto" w:fill="auto"/>
            <w:noWrap/>
            <w:vAlign w:val="bottom"/>
            <w:hideMark/>
          </w:tcPr>
          <w:p w14:paraId="0FB019B0" w14:textId="77777777" w:rsidR="00B2630F" w:rsidRDefault="00B2630F" w:rsidP="00666827">
            <w:pPr>
              <w:jc w:val="center"/>
              <w:rPr>
                <w:color w:val="000000"/>
                <w:sz w:val="22"/>
                <w:szCs w:val="22"/>
              </w:rPr>
            </w:pPr>
            <w:r>
              <w:rPr>
                <w:color w:val="000000"/>
                <w:sz w:val="22"/>
                <w:szCs w:val="22"/>
              </w:rPr>
              <w:t>2.0</w:t>
            </w:r>
          </w:p>
        </w:tc>
      </w:tr>
      <w:tr w:rsidR="00B2630F" w14:paraId="39BB2D18"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348D49B" w14:textId="77777777" w:rsidR="00B2630F" w:rsidRDefault="00B2630F" w:rsidP="00666827">
            <w:pPr>
              <w:jc w:val="center"/>
              <w:rPr>
                <w:color w:val="000000"/>
                <w:sz w:val="22"/>
                <w:szCs w:val="22"/>
              </w:rPr>
            </w:pPr>
            <w:r>
              <w:rPr>
                <w:bCs/>
                <w:color w:val="000000"/>
                <w:sz w:val="22"/>
                <w:szCs w:val="22"/>
              </w:rPr>
              <w:t>2011</w:t>
            </w:r>
          </w:p>
        </w:tc>
        <w:tc>
          <w:tcPr>
            <w:tcW w:w="1340" w:type="dxa"/>
            <w:tcBorders>
              <w:top w:val="nil"/>
              <w:left w:val="nil"/>
              <w:bottom w:val="single" w:sz="4" w:space="0" w:color="auto"/>
              <w:right w:val="single" w:sz="4" w:space="0" w:color="auto"/>
            </w:tcBorders>
            <w:shd w:val="clear" w:color="auto" w:fill="auto"/>
            <w:noWrap/>
            <w:vAlign w:val="bottom"/>
            <w:hideMark/>
          </w:tcPr>
          <w:p w14:paraId="5C111CA4" w14:textId="77777777" w:rsidR="00B2630F" w:rsidRDefault="00B2630F" w:rsidP="00666827">
            <w:pPr>
              <w:jc w:val="center"/>
              <w:rPr>
                <w:color w:val="000000"/>
                <w:sz w:val="22"/>
                <w:szCs w:val="22"/>
              </w:rPr>
            </w:pPr>
            <w:r>
              <w:rPr>
                <w:color w:val="000000"/>
                <w:sz w:val="22"/>
                <w:szCs w:val="22"/>
              </w:rPr>
              <w:t>52,679</w:t>
            </w:r>
          </w:p>
        </w:tc>
        <w:tc>
          <w:tcPr>
            <w:tcW w:w="1260" w:type="dxa"/>
            <w:tcBorders>
              <w:top w:val="nil"/>
              <w:left w:val="nil"/>
              <w:bottom w:val="single" w:sz="4" w:space="0" w:color="auto"/>
              <w:right w:val="single" w:sz="4" w:space="0" w:color="auto"/>
            </w:tcBorders>
            <w:shd w:val="clear" w:color="auto" w:fill="auto"/>
            <w:noWrap/>
            <w:vAlign w:val="bottom"/>
            <w:hideMark/>
          </w:tcPr>
          <w:p w14:paraId="1784B3B8" w14:textId="77777777" w:rsidR="00B2630F" w:rsidRDefault="00B2630F" w:rsidP="00666827">
            <w:pPr>
              <w:jc w:val="center"/>
              <w:rPr>
                <w:color w:val="000000"/>
                <w:sz w:val="22"/>
                <w:szCs w:val="22"/>
              </w:rPr>
            </w:pPr>
            <w:r>
              <w:rPr>
                <w:color w:val="000000"/>
                <w:sz w:val="22"/>
                <w:szCs w:val="22"/>
              </w:rPr>
              <w:t>1,468</w:t>
            </w:r>
          </w:p>
        </w:tc>
        <w:tc>
          <w:tcPr>
            <w:tcW w:w="959" w:type="dxa"/>
            <w:tcBorders>
              <w:top w:val="nil"/>
              <w:left w:val="nil"/>
              <w:bottom w:val="single" w:sz="4" w:space="0" w:color="auto"/>
              <w:right w:val="single" w:sz="4" w:space="0" w:color="auto"/>
            </w:tcBorders>
            <w:shd w:val="clear" w:color="auto" w:fill="auto"/>
            <w:noWrap/>
            <w:vAlign w:val="bottom"/>
            <w:hideMark/>
          </w:tcPr>
          <w:p w14:paraId="58EF6226" w14:textId="77777777" w:rsidR="00B2630F" w:rsidRDefault="00B2630F" w:rsidP="00666827">
            <w:pPr>
              <w:jc w:val="center"/>
              <w:rPr>
                <w:color w:val="000000"/>
                <w:sz w:val="22"/>
                <w:szCs w:val="22"/>
              </w:rPr>
            </w:pPr>
            <w:r>
              <w:rPr>
                <w:color w:val="000000"/>
                <w:sz w:val="22"/>
                <w:szCs w:val="22"/>
              </w:rPr>
              <w:t>2.0</w:t>
            </w:r>
          </w:p>
        </w:tc>
        <w:tc>
          <w:tcPr>
            <w:tcW w:w="1250" w:type="dxa"/>
            <w:tcBorders>
              <w:top w:val="nil"/>
              <w:left w:val="nil"/>
              <w:bottom w:val="single" w:sz="4" w:space="0" w:color="auto"/>
              <w:right w:val="single" w:sz="4" w:space="0" w:color="auto"/>
            </w:tcBorders>
            <w:shd w:val="clear" w:color="auto" w:fill="auto"/>
            <w:noWrap/>
            <w:vAlign w:val="bottom"/>
            <w:hideMark/>
          </w:tcPr>
          <w:p w14:paraId="72953081" w14:textId="77777777" w:rsidR="00B2630F" w:rsidRDefault="00B2630F" w:rsidP="00666827">
            <w:pPr>
              <w:jc w:val="center"/>
              <w:rPr>
                <w:color w:val="000000"/>
                <w:sz w:val="22"/>
                <w:szCs w:val="22"/>
              </w:rPr>
            </w:pPr>
            <w:r>
              <w:rPr>
                <w:color w:val="000000"/>
                <w:sz w:val="22"/>
                <w:szCs w:val="22"/>
              </w:rPr>
              <w:t>35.9</w:t>
            </w:r>
          </w:p>
        </w:tc>
        <w:tc>
          <w:tcPr>
            <w:tcW w:w="2479" w:type="dxa"/>
            <w:tcBorders>
              <w:top w:val="nil"/>
              <w:left w:val="nil"/>
              <w:bottom w:val="single" w:sz="4" w:space="0" w:color="auto"/>
              <w:right w:val="single" w:sz="4" w:space="0" w:color="auto"/>
            </w:tcBorders>
            <w:shd w:val="clear" w:color="auto" w:fill="auto"/>
            <w:noWrap/>
            <w:vAlign w:val="bottom"/>
            <w:hideMark/>
          </w:tcPr>
          <w:p w14:paraId="6072C9DC" w14:textId="77777777" w:rsidR="00B2630F" w:rsidRDefault="00B2630F" w:rsidP="00666827">
            <w:pPr>
              <w:jc w:val="center"/>
              <w:rPr>
                <w:color w:val="000000"/>
                <w:sz w:val="22"/>
                <w:szCs w:val="22"/>
              </w:rPr>
            </w:pPr>
            <w:r>
              <w:rPr>
                <w:color w:val="000000"/>
                <w:sz w:val="22"/>
                <w:szCs w:val="22"/>
              </w:rPr>
              <w:t>17.9</w:t>
            </w:r>
          </w:p>
        </w:tc>
        <w:tc>
          <w:tcPr>
            <w:tcW w:w="873" w:type="dxa"/>
            <w:tcBorders>
              <w:top w:val="nil"/>
              <w:left w:val="nil"/>
              <w:bottom w:val="single" w:sz="4" w:space="0" w:color="auto"/>
              <w:right w:val="single" w:sz="4" w:space="0" w:color="auto"/>
            </w:tcBorders>
            <w:shd w:val="clear" w:color="auto" w:fill="auto"/>
            <w:noWrap/>
            <w:vAlign w:val="bottom"/>
            <w:hideMark/>
          </w:tcPr>
          <w:p w14:paraId="2EB6E6A6" w14:textId="77777777" w:rsidR="00B2630F" w:rsidRDefault="00B2630F" w:rsidP="00666827">
            <w:pPr>
              <w:jc w:val="center"/>
              <w:rPr>
                <w:color w:val="000000"/>
                <w:sz w:val="22"/>
                <w:szCs w:val="22"/>
              </w:rPr>
            </w:pPr>
            <w:r>
              <w:rPr>
                <w:color w:val="000000"/>
                <w:sz w:val="22"/>
                <w:szCs w:val="22"/>
              </w:rPr>
              <w:t>2.0</w:t>
            </w:r>
          </w:p>
        </w:tc>
      </w:tr>
      <w:tr w:rsidR="00B2630F" w14:paraId="7D30260B"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CBDD3CC" w14:textId="77777777" w:rsidR="00B2630F" w:rsidRDefault="00B2630F" w:rsidP="00666827">
            <w:pPr>
              <w:jc w:val="center"/>
              <w:rPr>
                <w:color w:val="000000"/>
                <w:sz w:val="22"/>
                <w:szCs w:val="22"/>
              </w:rPr>
            </w:pPr>
            <w:r>
              <w:rPr>
                <w:bCs/>
                <w:color w:val="000000"/>
                <w:sz w:val="22"/>
                <w:szCs w:val="22"/>
              </w:rPr>
              <w:t>2012</w:t>
            </w:r>
          </w:p>
        </w:tc>
        <w:tc>
          <w:tcPr>
            <w:tcW w:w="1340" w:type="dxa"/>
            <w:tcBorders>
              <w:top w:val="nil"/>
              <w:left w:val="nil"/>
              <w:bottom w:val="single" w:sz="4" w:space="0" w:color="auto"/>
              <w:right w:val="single" w:sz="4" w:space="0" w:color="auto"/>
            </w:tcBorders>
            <w:shd w:val="clear" w:color="auto" w:fill="auto"/>
            <w:noWrap/>
            <w:vAlign w:val="bottom"/>
            <w:hideMark/>
          </w:tcPr>
          <w:p w14:paraId="79733064" w14:textId="77777777" w:rsidR="00B2630F" w:rsidRDefault="00B2630F" w:rsidP="00666827">
            <w:pPr>
              <w:jc w:val="center"/>
              <w:rPr>
                <w:color w:val="000000"/>
                <w:sz w:val="22"/>
                <w:szCs w:val="22"/>
              </w:rPr>
            </w:pPr>
            <w:r>
              <w:rPr>
                <w:color w:val="000000"/>
                <w:sz w:val="22"/>
                <w:szCs w:val="22"/>
              </w:rPr>
              <w:t>61,943</w:t>
            </w:r>
          </w:p>
        </w:tc>
        <w:tc>
          <w:tcPr>
            <w:tcW w:w="1260" w:type="dxa"/>
            <w:tcBorders>
              <w:top w:val="nil"/>
              <w:left w:val="nil"/>
              <w:bottom w:val="single" w:sz="4" w:space="0" w:color="auto"/>
              <w:right w:val="single" w:sz="4" w:space="0" w:color="auto"/>
            </w:tcBorders>
            <w:shd w:val="clear" w:color="auto" w:fill="auto"/>
            <w:noWrap/>
            <w:vAlign w:val="bottom"/>
            <w:hideMark/>
          </w:tcPr>
          <w:p w14:paraId="53147320" w14:textId="77777777" w:rsidR="00B2630F" w:rsidRDefault="00B2630F" w:rsidP="00666827">
            <w:pPr>
              <w:jc w:val="center"/>
              <w:rPr>
                <w:color w:val="000000"/>
                <w:sz w:val="22"/>
                <w:szCs w:val="22"/>
              </w:rPr>
            </w:pPr>
            <w:r>
              <w:rPr>
                <w:color w:val="000000"/>
                <w:sz w:val="22"/>
                <w:szCs w:val="22"/>
              </w:rPr>
              <w:t>1,410</w:t>
            </w:r>
          </w:p>
        </w:tc>
        <w:tc>
          <w:tcPr>
            <w:tcW w:w="959" w:type="dxa"/>
            <w:tcBorders>
              <w:top w:val="nil"/>
              <w:left w:val="nil"/>
              <w:bottom w:val="single" w:sz="4" w:space="0" w:color="auto"/>
              <w:right w:val="single" w:sz="4" w:space="0" w:color="auto"/>
            </w:tcBorders>
            <w:shd w:val="clear" w:color="auto" w:fill="auto"/>
            <w:noWrap/>
            <w:vAlign w:val="bottom"/>
            <w:hideMark/>
          </w:tcPr>
          <w:p w14:paraId="529163C6" w14:textId="77777777" w:rsidR="00B2630F" w:rsidRDefault="00B2630F" w:rsidP="00666827">
            <w:pPr>
              <w:jc w:val="center"/>
              <w:rPr>
                <w:color w:val="000000"/>
                <w:sz w:val="22"/>
                <w:szCs w:val="22"/>
              </w:rPr>
            </w:pPr>
            <w:r>
              <w:rPr>
                <w:color w:val="000000"/>
                <w:sz w:val="22"/>
                <w:szCs w:val="22"/>
              </w:rPr>
              <w:t>2.1</w:t>
            </w:r>
          </w:p>
        </w:tc>
        <w:tc>
          <w:tcPr>
            <w:tcW w:w="1250" w:type="dxa"/>
            <w:tcBorders>
              <w:top w:val="nil"/>
              <w:left w:val="nil"/>
              <w:bottom w:val="single" w:sz="4" w:space="0" w:color="auto"/>
              <w:right w:val="single" w:sz="4" w:space="0" w:color="auto"/>
            </w:tcBorders>
            <w:shd w:val="clear" w:color="auto" w:fill="auto"/>
            <w:noWrap/>
            <w:vAlign w:val="bottom"/>
            <w:hideMark/>
          </w:tcPr>
          <w:p w14:paraId="2EAD71E8" w14:textId="77777777" w:rsidR="00B2630F" w:rsidRDefault="00B2630F" w:rsidP="00666827">
            <w:pPr>
              <w:jc w:val="center"/>
              <w:rPr>
                <w:color w:val="000000"/>
                <w:sz w:val="22"/>
                <w:szCs w:val="22"/>
              </w:rPr>
            </w:pPr>
            <w:r>
              <w:rPr>
                <w:color w:val="000000"/>
                <w:sz w:val="22"/>
                <w:szCs w:val="22"/>
              </w:rPr>
              <w:t>43.9</w:t>
            </w:r>
          </w:p>
        </w:tc>
        <w:tc>
          <w:tcPr>
            <w:tcW w:w="2479" w:type="dxa"/>
            <w:tcBorders>
              <w:top w:val="nil"/>
              <w:left w:val="nil"/>
              <w:bottom w:val="single" w:sz="4" w:space="0" w:color="auto"/>
              <w:right w:val="single" w:sz="4" w:space="0" w:color="auto"/>
            </w:tcBorders>
            <w:shd w:val="clear" w:color="auto" w:fill="auto"/>
            <w:noWrap/>
            <w:vAlign w:val="bottom"/>
            <w:hideMark/>
          </w:tcPr>
          <w:p w14:paraId="4EF795FD" w14:textId="77777777" w:rsidR="00B2630F" w:rsidRDefault="00B2630F" w:rsidP="00666827">
            <w:pPr>
              <w:jc w:val="center"/>
              <w:rPr>
                <w:color w:val="000000"/>
                <w:sz w:val="22"/>
                <w:szCs w:val="22"/>
              </w:rPr>
            </w:pPr>
            <w:r>
              <w:rPr>
                <w:color w:val="000000"/>
                <w:sz w:val="22"/>
                <w:szCs w:val="22"/>
              </w:rPr>
              <w:t>20.9</w:t>
            </w:r>
          </w:p>
        </w:tc>
        <w:tc>
          <w:tcPr>
            <w:tcW w:w="873" w:type="dxa"/>
            <w:tcBorders>
              <w:top w:val="nil"/>
              <w:left w:val="nil"/>
              <w:bottom w:val="single" w:sz="4" w:space="0" w:color="auto"/>
              <w:right w:val="single" w:sz="4" w:space="0" w:color="auto"/>
            </w:tcBorders>
            <w:shd w:val="clear" w:color="auto" w:fill="auto"/>
            <w:noWrap/>
            <w:vAlign w:val="bottom"/>
            <w:hideMark/>
          </w:tcPr>
          <w:p w14:paraId="0B41FA68" w14:textId="77777777" w:rsidR="00B2630F" w:rsidRDefault="00B2630F" w:rsidP="00666827">
            <w:pPr>
              <w:jc w:val="center"/>
              <w:rPr>
                <w:color w:val="000000"/>
                <w:sz w:val="22"/>
                <w:szCs w:val="22"/>
              </w:rPr>
            </w:pPr>
            <w:r>
              <w:rPr>
                <w:color w:val="000000"/>
                <w:sz w:val="22"/>
                <w:szCs w:val="22"/>
              </w:rPr>
              <w:t>1.9</w:t>
            </w:r>
          </w:p>
        </w:tc>
      </w:tr>
      <w:tr w:rsidR="00B2630F" w14:paraId="62A85C20"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B307207" w14:textId="77777777" w:rsidR="00B2630F" w:rsidRDefault="00B2630F" w:rsidP="00666827">
            <w:pPr>
              <w:jc w:val="center"/>
              <w:rPr>
                <w:color w:val="000000"/>
                <w:sz w:val="22"/>
                <w:szCs w:val="22"/>
              </w:rPr>
            </w:pPr>
            <w:r>
              <w:rPr>
                <w:bCs/>
                <w:color w:val="000000"/>
                <w:sz w:val="22"/>
                <w:szCs w:val="22"/>
              </w:rPr>
              <w:t>2013</w:t>
            </w:r>
          </w:p>
        </w:tc>
        <w:tc>
          <w:tcPr>
            <w:tcW w:w="1340" w:type="dxa"/>
            <w:tcBorders>
              <w:top w:val="nil"/>
              <w:left w:val="nil"/>
              <w:bottom w:val="single" w:sz="4" w:space="0" w:color="auto"/>
              <w:right w:val="single" w:sz="4" w:space="0" w:color="auto"/>
            </w:tcBorders>
            <w:shd w:val="clear" w:color="auto" w:fill="auto"/>
            <w:noWrap/>
            <w:vAlign w:val="bottom"/>
            <w:hideMark/>
          </w:tcPr>
          <w:p w14:paraId="4C933E19" w14:textId="77777777" w:rsidR="00B2630F" w:rsidRDefault="00B2630F" w:rsidP="00666827">
            <w:pPr>
              <w:jc w:val="center"/>
              <w:rPr>
                <w:color w:val="000000"/>
                <w:sz w:val="22"/>
                <w:szCs w:val="22"/>
              </w:rPr>
            </w:pPr>
            <w:r>
              <w:rPr>
                <w:color w:val="000000"/>
                <w:sz w:val="22"/>
                <w:szCs w:val="22"/>
              </w:rPr>
              <w:t>57,471</w:t>
            </w:r>
          </w:p>
        </w:tc>
        <w:tc>
          <w:tcPr>
            <w:tcW w:w="1260" w:type="dxa"/>
            <w:tcBorders>
              <w:top w:val="nil"/>
              <w:left w:val="nil"/>
              <w:bottom w:val="single" w:sz="4" w:space="0" w:color="auto"/>
              <w:right w:val="single" w:sz="4" w:space="0" w:color="auto"/>
            </w:tcBorders>
            <w:shd w:val="clear" w:color="auto" w:fill="auto"/>
            <w:noWrap/>
            <w:vAlign w:val="bottom"/>
            <w:hideMark/>
          </w:tcPr>
          <w:p w14:paraId="47C230D4" w14:textId="77777777" w:rsidR="00B2630F" w:rsidRDefault="00B2630F" w:rsidP="00666827">
            <w:pPr>
              <w:jc w:val="center"/>
              <w:rPr>
                <w:color w:val="000000"/>
                <w:sz w:val="22"/>
                <w:szCs w:val="22"/>
              </w:rPr>
            </w:pPr>
            <w:r>
              <w:rPr>
                <w:color w:val="000000"/>
                <w:sz w:val="22"/>
                <w:szCs w:val="22"/>
              </w:rPr>
              <w:t>1,415</w:t>
            </w:r>
          </w:p>
        </w:tc>
        <w:tc>
          <w:tcPr>
            <w:tcW w:w="959" w:type="dxa"/>
            <w:tcBorders>
              <w:top w:val="nil"/>
              <w:left w:val="nil"/>
              <w:bottom w:val="single" w:sz="4" w:space="0" w:color="auto"/>
              <w:right w:val="single" w:sz="4" w:space="0" w:color="auto"/>
            </w:tcBorders>
            <w:shd w:val="clear" w:color="auto" w:fill="auto"/>
            <w:noWrap/>
            <w:vAlign w:val="bottom"/>
            <w:hideMark/>
          </w:tcPr>
          <w:p w14:paraId="7FD8167E" w14:textId="77777777" w:rsidR="00B2630F" w:rsidRDefault="00B2630F" w:rsidP="00666827">
            <w:pPr>
              <w:jc w:val="center"/>
              <w:rPr>
                <w:color w:val="000000"/>
                <w:sz w:val="22"/>
                <w:szCs w:val="22"/>
              </w:rPr>
            </w:pPr>
            <w:r>
              <w:rPr>
                <w:color w:val="000000"/>
                <w:sz w:val="22"/>
                <w:szCs w:val="22"/>
              </w:rPr>
              <w:t>2.2</w:t>
            </w:r>
          </w:p>
        </w:tc>
        <w:tc>
          <w:tcPr>
            <w:tcW w:w="1250" w:type="dxa"/>
            <w:tcBorders>
              <w:top w:val="nil"/>
              <w:left w:val="nil"/>
              <w:bottom w:val="single" w:sz="4" w:space="0" w:color="auto"/>
              <w:right w:val="single" w:sz="4" w:space="0" w:color="auto"/>
            </w:tcBorders>
            <w:shd w:val="clear" w:color="auto" w:fill="auto"/>
            <w:noWrap/>
            <w:vAlign w:val="bottom"/>
            <w:hideMark/>
          </w:tcPr>
          <w:p w14:paraId="1FE3EC0B" w14:textId="77777777" w:rsidR="00B2630F" w:rsidRDefault="00B2630F" w:rsidP="00666827">
            <w:pPr>
              <w:jc w:val="center"/>
              <w:rPr>
                <w:color w:val="000000"/>
                <w:sz w:val="22"/>
                <w:szCs w:val="22"/>
              </w:rPr>
            </w:pPr>
            <w:r>
              <w:rPr>
                <w:color w:val="000000"/>
                <w:sz w:val="22"/>
                <w:szCs w:val="22"/>
              </w:rPr>
              <w:t>40.6</w:t>
            </w:r>
          </w:p>
        </w:tc>
        <w:tc>
          <w:tcPr>
            <w:tcW w:w="2479" w:type="dxa"/>
            <w:tcBorders>
              <w:top w:val="nil"/>
              <w:left w:val="nil"/>
              <w:bottom w:val="single" w:sz="4" w:space="0" w:color="auto"/>
              <w:right w:val="single" w:sz="4" w:space="0" w:color="auto"/>
            </w:tcBorders>
            <w:shd w:val="clear" w:color="auto" w:fill="auto"/>
            <w:noWrap/>
            <w:vAlign w:val="bottom"/>
            <w:hideMark/>
          </w:tcPr>
          <w:p w14:paraId="05E316AD" w14:textId="77777777" w:rsidR="00B2630F" w:rsidRDefault="00B2630F" w:rsidP="00666827">
            <w:pPr>
              <w:jc w:val="center"/>
              <w:rPr>
                <w:color w:val="000000"/>
                <w:sz w:val="22"/>
                <w:szCs w:val="22"/>
              </w:rPr>
            </w:pPr>
            <w:r>
              <w:rPr>
                <w:color w:val="000000"/>
                <w:sz w:val="22"/>
                <w:szCs w:val="22"/>
              </w:rPr>
              <w:t>18.5</w:t>
            </w:r>
          </w:p>
        </w:tc>
        <w:tc>
          <w:tcPr>
            <w:tcW w:w="873" w:type="dxa"/>
            <w:tcBorders>
              <w:top w:val="nil"/>
              <w:left w:val="nil"/>
              <w:bottom w:val="single" w:sz="4" w:space="0" w:color="auto"/>
              <w:right w:val="single" w:sz="4" w:space="0" w:color="auto"/>
            </w:tcBorders>
            <w:shd w:val="clear" w:color="auto" w:fill="auto"/>
            <w:noWrap/>
            <w:vAlign w:val="bottom"/>
            <w:hideMark/>
          </w:tcPr>
          <w:p w14:paraId="73E9928F" w14:textId="77777777" w:rsidR="00B2630F" w:rsidRDefault="00B2630F" w:rsidP="00666827">
            <w:pPr>
              <w:jc w:val="center"/>
              <w:rPr>
                <w:color w:val="000000"/>
                <w:sz w:val="22"/>
                <w:szCs w:val="22"/>
              </w:rPr>
            </w:pPr>
            <w:r>
              <w:rPr>
                <w:color w:val="000000"/>
                <w:sz w:val="22"/>
                <w:szCs w:val="22"/>
              </w:rPr>
              <w:t>2.2</w:t>
            </w:r>
          </w:p>
        </w:tc>
      </w:tr>
      <w:tr w:rsidR="00B2630F" w14:paraId="57E708DB"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FE33248" w14:textId="77777777" w:rsidR="00B2630F" w:rsidRDefault="00B2630F" w:rsidP="00666827">
            <w:pPr>
              <w:jc w:val="center"/>
              <w:rPr>
                <w:color w:val="000000"/>
                <w:sz w:val="22"/>
                <w:szCs w:val="22"/>
              </w:rPr>
            </w:pPr>
            <w:r>
              <w:rPr>
                <w:bCs/>
                <w:color w:val="000000"/>
                <w:sz w:val="22"/>
                <w:szCs w:val="22"/>
              </w:rPr>
              <w:t>2014</w:t>
            </w:r>
          </w:p>
        </w:tc>
        <w:tc>
          <w:tcPr>
            <w:tcW w:w="1340" w:type="dxa"/>
            <w:tcBorders>
              <w:top w:val="nil"/>
              <w:left w:val="nil"/>
              <w:bottom w:val="single" w:sz="4" w:space="0" w:color="auto"/>
              <w:right w:val="single" w:sz="4" w:space="0" w:color="auto"/>
            </w:tcBorders>
            <w:shd w:val="clear" w:color="auto" w:fill="auto"/>
            <w:noWrap/>
            <w:vAlign w:val="bottom"/>
            <w:hideMark/>
          </w:tcPr>
          <w:p w14:paraId="7A0CDB41" w14:textId="77777777" w:rsidR="00B2630F" w:rsidRDefault="00B2630F" w:rsidP="00666827">
            <w:pPr>
              <w:jc w:val="center"/>
              <w:rPr>
                <w:color w:val="000000"/>
                <w:sz w:val="22"/>
                <w:szCs w:val="22"/>
              </w:rPr>
            </w:pPr>
            <w:r>
              <w:rPr>
                <w:color w:val="000000"/>
                <w:sz w:val="22"/>
                <w:szCs w:val="22"/>
              </w:rPr>
              <w:t>59,683</w:t>
            </w:r>
          </w:p>
        </w:tc>
        <w:tc>
          <w:tcPr>
            <w:tcW w:w="1260" w:type="dxa"/>
            <w:tcBorders>
              <w:top w:val="nil"/>
              <w:left w:val="nil"/>
              <w:bottom w:val="single" w:sz="4" w:space="0" w:color="auto"/>
              <w:right w:val="single" w:sz="4" w:space="0" w:color="auto"/>
            </w:tcBorders>
            <w:shd w:val="clear" w:color="auto" w:fill="auto"/>
            <w:noWrap/>
            <w:vAlign w:val="bottom"/>
            <w:hideMark/>
          </w:tcPr>
          <w:p w14:paraId="5A444A6B" w14:textId="77777777" w:rsidR="00B2630F" w:rsidRDefault="00B2630F" w:rsidP="00666827">
            <w:pPr>
              <w:jc w:val="center"/>
              <w:rPr>
                <w:color w:val="000000"/>
                <w:sz w:val="22"/>
                <w:szCs w:val="22"/>
              </w:rPr>
            </w:pPr>
            <w:r>
              <w:rPr>
                <w:color w:val="000000"/>
                <w:sz w:val="22"/>
                <w:szCs w:val="22"/>
              </w:rPr>
              <w:t>1,729</w:t>
            </w:r>
          </w:p>
        </w:tc>
        <w:tc>
          <w:tcPr>
            <w:tcW w:w="959" w:type="dxa"/>
            <w:tcBorders>
              <w:top w:val="nil"/>
              <w:left w:val="nil"/>
              <w:bottom w:val="single" w:sz="4" w:space="0" w:color="auto"/>
              <w:right w:val="single" w:sz="4" w:space="0" w:color="auto"/>
            </w:tcBorders>
            <w:shd w:val="clear" w:color="auto" w:fill="auto"/>
            <w:noWrap/>
            <w:vAlign w:val="bottom"/>
            <w:hideMark/>
          </w:tcPr>
          <w:p w14:paraId="08E7C3D1" w14:textId="77777777" w:rsidR="00B2630F" w:rsidRDefault="00B2630F" w:rsidP="00666827">
            <w:pPr>
              <w:jc w:val="center"/>
              <w:rPr>
                <w:color w:val="000000"/>
                <w:sz w:val="22"/>
                <w:szCs w:val="22"/>
              </w:rPr>
            </w:pPr>
            <w:r>
              <w:rPr>
                <w:color w:val="000000"/>
                <w:sz w:val="22"/>
                <w:szCs w:val="22"/>
              </w:rPr>
              <w:t>2.1</w:t>
            </w:r>
          </w:p>
        </w:tc>
        <w:tc>
          <w:tcPr>
            <w:tcW w:w="1250" w:type="dxa"/>
            <w:tcBorders>
              <w:top w:val="nil"/>
              <w:left w:val="nil"/>
              <w:bottom w:val="single" w:sz="4" w:space="0" w:color="auto"/>
              <w:right w:val="single" w:sz="4" w:space="0" w:color="auto"/>
            </w:tcBorders>
            <w:shd w:val="clear" w:color="auto" w:fill="auto"/>
            <w:noWrap/>
            <w:vAlign w:val="bottom"/>
            <w:hideMark/>
          </w:tcPr>
          <w:p w14:paraId="3E4FCD57" w14:textId="77777777" w:rsidR="00B2630F" w:rsidRDefault="00B2630F" w:rsidP="00666827">
            <w:pPr>
              <w:jc w:val="center"/>
              <w:rPr>
                <w:color w:val="000000"/>
                <w:sz w:val="22"/>
                <w:szCs w:val="22"/>
              </w:rPr>
            </w:pPr>
            <w:r>
              <w:rPr>
                <w:color w:val="000000"/>
                <w:sz w:val="22"/>
                <w:szCs w:val="22"/>
              </w:rPr>
              <w:t>34.5</w:t>
            </w:r>
          </w:p>
        </w:tc>
        <w:tc>
          <w:tcPr>
            <w:tcW w:w="2479" w:type="dxa"/>
            <w:tcBorders>
              <w:top w:val="nil"/>
              <w:left w:val="nil"/>
              <w:bottom w:val="single" w:sz="4" w:space="0" w:color="auto"/>
              <w:right w:val="single" w:sz="4" w:space="0" w:color="auto"/>
            </w:tcBorders>
            <w:shd w:val="clear" w:color="auto" w:fill="auto"/>
            <w:noWrap/>
            <w:vAlign w:val="bottom"/>
            <w:hideMark/>
          </w:tcPr>
          <w:p w14:paraId="16856716" w14:textId="77777777" w:rsidR="00B2630F" w:rsidRDefault="00B2630F" w:rsidP="00666827">
            <w:pPr>
              <w:jc w:val="center"/>
              <w:rPr>
                <w:color w:val="000000"/>
                <w:sz w:val="22"/>
                <w:szCs w:val="22"/>
              </w:rPr>
            </w:pPr>
            <w:r>
              <w:rPr>
                <w:color w:val="000000"/>
                <w:sz w:val="22"/>
                <w:szCs w:val="22"/>
              </w:rPr>
              <w:t>16.4</w:t>
            </w:r>
          </w:p>
        </w:tc>
        <w:tc>
          <w:tcPr>
            <w:tcW w:w="873" w:type="dxa"/>
            <w:tcBorders>
              <w:top w:val="nil"/>
              <w:left w:val="nil"/>
              <w:bottom w:val="single" w:sz="4" w:space="0" w:color="auto"/>
              <w:right w:val="single" w:sz="4" w:space="0" w:color="auto"/>
            </w:tcBorders>
            <w:shd w:val="clear" w:color="auto" w:fill="auto"/>
            <w:noWrap/>
            <w:vAlign w:val="bottom"/>
            <w:hideMark/>
          </w:tcPr>
          <w:p w14:paraId="16D080B9" w14:textId="77777777" w:rsidR="00B2630F" w:rsidRDefault="00B2630F" w:rsidP="00666827">
            <w:pPr>
              <w:jc w:val="center"/>
              <w:rPr>
                <w:color w:val="000000"/>
                <w:sz w:val="22"/>
                <w:szCs w:val="22"/>
              </w:rPr>
            </w:pPr>
            <w:r>
              <w:rPr>
                <w:color w:val="000000"/>
                <w:sz w:val="22"/>
                <w:szCs w:val="22"/>
              </w:rPr>
              <w:t>1.8</w:t>
            </w:r>
          </w:p>
        </w:tc>
      </w:tr>
      <w:tr w:rsidR="00B2630F" w14:paraId="5044AA56" w14:textId="77777777" w:rsidTr="0066682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54B969E" w14:textId="77777777" w:rsidR="00B2630F" w:rsidRDefault="00B2630F" w:rsidP="00666827">
            <w:pPr>
              <w:jc w:val="center"/>
              <w:rPr>
                <w:b/>
                <w:bCs/>
                <w:color w:val="000000"/>
                <w:sz w:val="22"/>
                <w:szCs w:val="22"/>
              </w:rPr>
            </w:pPr>
            <w:r>
              <w:rPr>
                <w:b/>
                <w:bCs/>
                <w:color w:val="000000"/>
                <w:sz w:val="22"/>
                <w:szCs w:val="22"/>
              </w:rPr>
              <w:t xml:space="preserve">Average </w:t>
            </w:r>
          </w:p>
        </w:tc>
        <w:tc>
          <w:tcPr>
            <w:tcW w:w="1340" w:type="dxa"/>
            <w:tcBorders>
              <w:top w:val="nil"/>
              <w:left w:val="nil"/>
              <w:bottom w:val="single" w:sz="4" w:space="0" w:color="auto"/>
              <w:right w:val="single" w:sz="4" w:space="0" w:color="auto"/>
            </w:tcBorders>
            <w:shd w:val="clear" w:color="auto" w:fill="auto"/>
            <w:noWrap/>
            <w:vAlign w:val="bottom"/>
            <w:hideMark/>
          </w:tcPr>
          <w:p w14:paraId="4FDE1C2A" w14:textId="77777777" w:rsidR="00B2630F" w:rsidRDefault="00B2630F" w:rsidP="00666827">
            <w:pPr>
              <w:jc w:val="center"/>
              <w:rPr>
                <w:b/>
                <w:bCs/>
                <w:color w:val="000000"/>
                <w:sz w:val="22"/>
                <w:szCs w:val="22"/>
              </w:rPr>
            </w:pPr>
            <w:r>
              <w:rPr>
                <w:b/>
                <w:bCs/>
                <w:color w:val="000000"/>
                <w:sz w:val="22"/>
                <w:szCs w:val="22"/>
              </w:rPr>
              <w:t>56,705</w:t>
            </w:r>
          </w:p>
        </w:tc>
        <w:tc>
          <w:tcPr>
            <w:tcW w:w="1260" w:type="dxa"/>
            <w:tcBorders>
              <w:top w:val="nil"/>
              <w:left w:val="nil"/>
              <w:bottom w:val="single" w:sz="4" w:space="0" w:color="auto"/>
              <w:right w:val="single" w:sz="4" w:space="0" w:color="auto"/>
            </w:tcBorders>
            <w:shd w:val="clear" w:color="auto" w:fill="auto"/>
            <w:noWrap/>
            <w:vAlign w:val="bottom"/>
            <w:hideMark/>
          </w:tcPr>
          <w:p w14:paraId="16EB5F43" w14:textId="77777777" w:rsidR="00B2630F" w:rsidRDefault="00B2630F" w:rsidP="00666827">
            <w:pPr>
              <w:jc w:val="center"/>
              <w:rPr>
                <w:b/>
                <w:bCs/>
                <w:color w:val="000000"/>
                <w:sz w:val="22"/>
                <w:szCs w:val="22"/>
              </w:rPr>
            </w:pPr>
            <w:r>
              <w:rPr>
                <w:b/>
                <w:bCs/>
                <w:color w:val="000000"/>
                <w:sz w:val="22"/>
                <w:szCs w:val="22"/>
              </w:rPr>
              <w:t>1,503</w:t>
            </w:r>
          </w:p>
        </w:tc>
        <w:tc>
          <w:tcPr>
            <w:tcW w:w="959" w:type="dxa"/>
            <w:tcBorders>
              <w:top w:val="nil"/>
              <w:left w:val="nil"/>
              <w:bottom w:val="single" w:sz="4" w:space="0" w:color="auto"/>
              <w:right w:val="single" w:sz="4" w:space="0" w:color="auto"/>
            </w:tcBorders>
            <w:shd w:val="clear" w:color="auto" w:fill="auto"/>
            <w:noWrap/>
            <w:vAlign w:val="bottom"/>
            <w:hideMark/>
          </w:tcPr>
          <w:p w14:paraId="5EB2454F" w14:textId="77777777" w:rsidR="00B2630F" w:rsidRDefault="00B2630F" w:rsidP="00666827">
            <w:pPr>
              <w:jc w:val="center"/>
              <w:rPr>
                <w:b/>
                <w:bCs/>
                <w:color w:val="000000"/>
                <w:sz w:val="22"/>
                <w:szCs w:val="22"/>
              </w:rPr>
            </w:pPr>
            <w:r>
              <w:rPr>
                <w:b/>
                <w:bCs/>
                <w:color w:val="000000"/>
                <w:sz w:val="22"/>
                <w:szCs w:val="22"/>
              </w:rPr>
              <w:t>2.1</w:t>
            </w:r>
          </w:p>
        </w:tc>
        <w:tc>
          <w:tcPr>
            <w:tcW w:w="1250" w:type="dxa"/>
            <w:tcBorders>
              <w:top w:val="nil"/>
              <w:left w:val="nil"/>
              <w:bottom w:val="single" w:sz="4" w:space="0" w:color="auto"/>
              <w:right w:val="single" w:sz="4" w:space="0" w:color="auto"/>
            </w:tcBorders>
            <w:shd w:val="clear" w:color="auto" w:fill="auto"/>
            <w:noWrap/>
            <w:vAlign w:val="bottom"/>
            <w:hideMark/>
          </w:tcPr>
          <w:p w14:paraId="7819DBD6" w14:textId="77777777" w:rsidR="00B2630F" w:rsidRDefault="00B2630F" w:rsidP="00666827">
            <w:pPr>
              <w:jc w:val="center"/>
              <w:rPr>
                <w:b/>
                <w:bCs/>
                <w:color w:val="000000"/>
                <w:sz w:val="22"/>
                <w:szCs w:val="22"/>
              </w:rPr>
            </w:pPr>
            <w:r>
              <w:rPr>
                <w:b/>
                <w:bCs/>
                <w:color w:val="000000"/>
                <w:sz w:val="22"/>
                <w:szCs w:val="22"/>
              </w:rPr>
              <w:t>37.9</w:t>
            </w:r>
          </w:p>
        </w:tc>
        <w:tc>
          <w:tcPr>
            <w:tcW w:w="2479" w:type="dxa"/>
            <w:tcBorders>
              <w:top w:val="nil"/>
              <w:left w:val="nil"/>
              <w:bottom w:val="single" w:sz="4" w:space="0" w:color="auto"/>
              <w:right w:val="single" w:sz="4" w:space="0" w:color="auto"/>
            </w:tcBorders>
            <w:shd w:val="clear" w:color="auto" w:fill="auto"/>
            <w:noWrap/>
            <w:vAlign w:val="bottom"/>
            <w:hideMark/>
          </w:tcPr>
          <w:p w14:paraId="13138F6A" w14:textId="77777777" w:rsidR="00B2630F" w:rsidRDefault="00B2630F" w:rsidP="00666827">
            <w:pPr>
              <w:jc w:val="center"/>
              <w:rPr>
                <w:b/>
                <w:bCs/>
                <w:color w:val="000000"/>
                <w:sz w:val="22"/>
                <w:szCs w:val="22"/>
              </w:rPr>
            </w:pPr>
            <w:r>
              <w:rPr>
                <w:b/>
                <w:bCs/>
                <w:color w:val="000000"/>
                <w:sz w:val="22"/>
                <w:szCs w:val="22"/>
              </w:rPr>
              <w:t>18.2</w:t>
            </w:r>
          </w:p>
        </w:tc>
        <w:tc>
          <w:tcPr>
            <w:tcW w:w="873" w:type="dxa"/>
            <w:tcBorders>
              <w:top w:val="nil"/>
              <w:left w:val="nil"/>
              <w:bottom w:val="single" w:sz="4" w:space="0" w:color="auto"/>
              <w:right w:val="single" w:sz="4" w:space="0" w:color="auto"/>
            </w:tcBorders>
            <w:shd w:val="clear" w:color="auto" w:fill="auto"/>
            <w:noWrap/>
            <w:vAlign w:val="bottom"/>
            <w:hideMark/>
          </w:tcPr>
          <w:p w14:paraId="707193EC" w14:textId="77777777" w:rsidR="00B2630F" w:rsidRDefault="00B2630F" w:rsidP="00666827">
            <w:pPr>
              <w:jc w:val="center"/>
              <w:rPr>
                <w:b/>
                <w:bCs/>
                <w:color w:val="000000"/>
                <w:sz w:val="22"/>
                <w:szCs w:val="22"/>
              </w:rPr>
            </w:pPr>
            <w:r>
              <w:rPr>
                <w:b/>
                <w:bCs/>
                <w:color w:val="000000"/>
                <w:sz w:val="22"/>
                <w:szCs w:val="22"/>
              </w:rPr>
              <w:t>2.0</w:t>
            </w:r>
          </w:p>
        </w:tc>
      </w:tr>
    </w:tbl>
    <w:p w14:paraId="2046775F" w14:textId="77777777" w:rsidR="00FE4382" w:rsidRDefault="00FE4382" w:rsidP="00FE4382">
      <w:pPr>
        <w:rPr>
          <w:rFonts w:ascii="Arial" w:hAnsi="Arial" w:cs="Arial"/>
          <w:sz w:val="20"/>
          <w:szCs w:val="20"/>
        </w:rPr>
      </w:pPr>
      <w:r w:rsidRPr="0067026A">
        <w:rPr>
          <w:rFonts w:ascii="Arial" w:hAnsi="Arial" w:cs="Arial"/>
          <w:sz w:val="20"/>
          <w:szCs w:val="20"/>
        </w:rPr>
        <w:t>Source: SEFSC Economic Query System</w:t>
      </w:r>
      <w:r>
        <w:rPr>
          <w:rFonts w:ascii="Arial" w:hAnsi="Arial" w:cs="Arial"/>
          <w:sz w:val="20"/>
          <w:szCs w:val="20"/>
        </w:rPr>
        <w:t>, October 21, 2016</w:t>
      </w:r>
      <w:r w:rsidRPr="0067026A">
        <w:rPr>
          <w:rFonts w:ascii="Arial" w:hAnsi="Arial" w:cs="Arial"/>
          <w:sz w:val="20"/>
          <w:szCs w:val="20"/>
        </w:rPr>
        <w:t>.</w:t>
      </w:r>
    </w:p>
    <w:p w14:paraId="3ACD0A56" w14:textId="5915BCD0" w:rsidR="005F0F19" w:rsidRDefault="005F0F19" w:rsidP="005F0F19"/>
    <w:p w14:paraId="45F084A6" w14:textId="77777777" w:rsidR="005F0F19" w:rsidRDefault="005F0F19" w:rsidP="00273CCF"/>
    <w:p w14:paraId="06476ECB" w14:textId="79F77135" w:rsidR="005F0F19" w:rsidRDefault="00FE4382" w:rsidP="00FE4382">
      <w:pPr>
        <w:ind w:firstLine="360"/>
      </w:pPr>
      <w:r>
        <w:t>The average weight of a commercially landed mutton snapper was estimated to be</w:t>
      </w:r>
      <w:r w:rsidRPr="003B446F">
        <w:t xml:space="preserve"> 7.68 lbs ww </w:t>
      </w:r>
      <w:r>
        <w:t xml:space="preserve">(6.92 lbs gw) </w:t>
      </w:r>
      <w:r w:rsidRPr="003B446F">
        <w:t xml:space="preserve">in the most recent stock assessment (SEDAR 15A update 2015).  </w:t>
      </w:r>
      <w:r>
        <w:t xml:space="preserve">That indicates the average vessel landed approximately 6 mutton snapper and approximately 3 mutton snapper per person per trip.  </w:t>
      </w:r>
    </w:p>
    <w:p w14:paraId="0BAC54E6" w14:textId="77777777" w:rsidR="005F0F19" w:rsidRDefault="005F0F19" w:rsidP="005F0F19">
      <w:pPr>
        <w:pStyle w:val="Figuretitle"/>
        <w:ind w:firstLine="360"/>
      </w:pPr>
    </w:p>
    <w:p w14:paraId="5B95FD9C" w14:textId="5C2521EA" w:rsidR="00941184" w:rsidRDefault="00181628" w:rsidP="00DB18EC">
      <w:pPr>
        <w:pStyle w:val="Heading3"/>
        <w:rPr>
          <w:sz w:val="28"/>
          <w:szCs w:val="28"/>
        </w:rPr>
      </w:pPr>
      <w:bookmarkStart w:id="159" w:name="_Toc339811723"/>
      <w:r>
        <w:rPr>
          <w:sz w:val="28"/>
          <w:szCs w:val="28"/>
        </w:rPr>
        <w:t>3.3.1.2</w:t>
      </w:r>
      <w:r w:rsidR="00941184" w:rsidRPr="00C06287">
        <w:rPr>
          <w:sz w:val="28"/>
          <w:szCs w:val="28"/>
        </w:rPr>
        <w:tab/>
        <w:t>Economic Description of the Recreational Sector</w:t>
      </w:r>
      <w:bookmarkEnd w:id="159"/>
    </w:p>
    <w:p w14:paraId="1792E48E" w14:textId="77777777" w:rsidR="00DB18EC" w:rsidRPr="00DB18EC" w:rsidRDefault="00DB18EC" w:rsidP="00DB18EC"/>
    <w:p w14:paraId="523D70B8" w14:textId="4B67E74A" w:rsidR="00F470E9" w:rsidRDefault="00F470E9" w:rsidP="00F470E9">
      <w:pPr>
        <w:ind w:firstLine="360"/>
      </w:pPr>
      <w:r>
        <w:t>In 2014</w:t>
      </w:r>
      <w:r w:rsidRPr="00E679B6">
        <w:t>, there were approx</w:t>
      </w:r>
      <w:r>
        <w:t xml:space="preserve">imately 11 million recreational </w:t>
      </w:r>
      <w:r w:rsidRPr="00E679B6">
        <w:t>saltwater angl</w:t>
      </w:r>
      <w:r>
        <w:t xml:space="preserve">ers across the U.S. who took 68 </w:t>
      </w:r>
      <w:r w:rsidRPr="00E679B6">
        <w:t xml:space="preserve">million saltwater fishing </w:t>
      </w:r>
      <w:r>
        <w:t xml:space="preserve">trips around the country.  These </w:t>
      </w:r>
      <w:r w:rsidRPr="00E679B6">
        <w:t>anglers spent $4.9 billion o</w:t>
      </w:r>
      <w:r>
        <w:t xml:space="preserve">n fishing trips and $28 billion </w:t>
      </w:r>
      <w:r w:rsidRPr="00E679B6">
        <w:t>on durable fishing-</w:t>
      </w:r>
      <w:r>
        <w:t>related equipment</w:t>
      </w:r>
      <w:r w:rsidR="00E65D9E">
        <w:t xml:space="preserve">, </w:t>
      </w:r>
      <w:r w:rsidR="00E65D9E" w:rsidRPr="0067026A">
        <w:t>support</w:t>
      </w:r>
      <w:r w:rsidR="00E65D9E">
        <w:t>ing</w:t>
      </w:r>
      <w:r w:rsidR="00E65D9E" w:rsidRPr="0067026A">
        <w:t xml:space="preserve"> approximately </w:t>
      </w:r>
      <w:r w:rsidR="00E65D9E">
        <w:t>370,000</w:t>
      </w:r>
      <w:r w:rsidR="00E65D9E" w:rsidRPr="0067026A">
        <w:t xml:space="preserve"> full- and part-time jo</w:t>
      </w:r>
      <w:r w:rsidR="00E65D9E">
        <w:t>bs and generating $52.4 billion in sales, $17.9 billion in income</w:t>
      </w:r>
      <w:r w:rsidR="00E65D9E" w:rsidRPr="0067026A">
        <w:t xml:space="preserve">, and </w:t>
      </w:r>
      <w:r w:rsidR="00E65D9E">
        <w:t>$29</w:t>
      </w:r>
      <w:r w:rsidR="00E65D9E" w:rsidRPr="0067026A">
        <w:t xml:space="preserve"> billion in val</w:t>
      </w:r>
      <w:r w:rsidR="00E65D9E">
        <w:t xml:space="preserve">ue added impacts nationwide (NMFS </w:t>
      </w:r>
      <w:r w:rsidR="00C214EE">
        <w:t>2015</w:t>
      </w:r>
      <w:r w:rsidR="00E65D9E" w:rsidRPr="0067026A">
        <w:t xml:space="preserve">). </w:t>
      </w:r>
      <w:r>
        <w:t xml:space="preserve"> The top two of the ten </w:t>
      </w:r>
      <w:r w:rsidRPr="0067026A">
        <w:t>key species and species groups</w:t>
      </w:r>
      <w:r>
        <w:t xml:space="preserve"> are Atlantic croaker and spot (approximately 33.8 million caught) and seatrouts (approximately 24.5 million caught)).  None of th</w:t>
      </w:r>
      <w:r w:rsidRPr="0067026A">
        <w:t>e</w:t>
      </w:r>
      <w:r>
        <w:t xml:space="preserve"> national</w:t>
      </w:r>
      <w:r w:rsidRPr="0067026A">
        <w:t xml:space="preserve"> key species or species groups are within the South Atlantic snapper grouper fishery.  </w:t>
      </w:r>
      <w:r>
        <w:t>The ten key species and species groups in the South Atlantic Region include one species from the snapper grouper fishery:  black sea bass (</w:t>
      </w:r>
      <w:r w:rsidR="00C214EE">
        <w:t>NMFS 2015</w:t>
      </w:r>
      <w:r>
        <w:t xml:space="preserve">).  </w:t>
      </w:r>
    </w:p>
    <w:p w14:paraId="3FC86662" w14:textId="77777777" w:rsidR="00941184" w:rsidRPr="00E679B6" w:rsidRDefault="00941184" w:rsidP="00941184">
      <w:pPr>
        <w:ind w:firstLine="360"/>
      </w:pPr>
    </w:p>
    <w:p w14:paraId="060C8E74" w14:textId="2318795D" w:rsidR="00941184" w:rsidRDefault="00941184" w:rsidP="00941184">
      <w:pPr>
        <w:ind w:firstLine="360"/>
      </w:pPr>
      <w:r>
        <w:t>Approximately 2.</w:t>
      </w:r>
      <w:r w:rsidR="00F470E9">
        <w:t xml:space="preserve">7 </w:t>
      </w:r>
      <w:r>
        <w:t xml:space="preserve">million saltwater anglers made approximately </w:t>
      </w:r>
      <w:r w:rsidR="00F470E9">
        <w:t>17.6</w:t>
      </w:r>
      <w:r>
        <w:t xml:space="preserve"> million saltwater trips in the South Atlantic in </w:t>
      </w:r>
      <w:r w:rsidR="00F470E9">
        <w:t xml:space="preserve">2014 </w:t>
      </w:r>
      <w:r>
        <w:t>(</w:t>
      </w:r>
      <w:r>
        <w:rPr>
          <w:b/>
        </w:rPr>
        <w:t>Table 3.3.15</w:t>
      </w:r>
      <w:r>
        <w:t xml:space="preserve">).  Approximately 51% of the trips were by anglers from shore, 2% by anglers on for-hire fishing vessels, and 47% by those on private/rental vessels.  Over half of these trips (approximately 9 million) were out of East Florida.  </w:t>
      </w:r>
    </w:p>
    <w:p w14:paraId="2AC1AB3E" w14:textId="77777777" w:rsidR="00941184" w:rsidRDefault="00941184" w:rsidP="00941184">
      <w:pPr>
        <w:ind w:firstLine="360"/>
      </w:pPr>
    </w:p>
    <w:p w14:paraId="10E2E512" w14:textId="43EA81FE" w:rsidR="00DB18EC" w:rsidRDefault="00941184" w:rsidP="00941184">
      <w:pPr>
        <w:ind w:firstLine="360"/>
      </w:pPr>
      <w:r>
        <w:t>The approximately 9</w:t>
      </w:r>
      <w:r w:rsidR="00F470E9">
        <w:t>.6</w:t>
      </w:r>
      <w:r>
        <w:t xml:space="preserve"> million trips out of East Florida were made by approximately 1.8 million anglers and generated 36,557 jobs, approximately $4.0 million in sales, $1.6 million in income, and $2.5 million in value added (</w:t>
      </w:r>
      <w:r>
        <w:rPr>
          <w:b/>
        </w:rPr>
        <w:t>Table 3.3.16</w:t>
      </w:r>
      <w:r>
        <w:t xml:space="preserve">).  The number of anglers, trips and the economic impacts of those trips for the other states in the region are included in </w:t>
      </w:r>
      <w:r w:rsidR="00DD19AC" w:rsidRPr="000949F2">
        <w:rPr>
          <w:b/>
        </w:rPr>
        <w:t>T</w:t>
      </w:r>
      <w:r w:rsidRPr="000949F2">
        <w:rPr>
          <w:b/>
        </w:rPr>
        <w:t>able</w:t>
      </w:r>
      <w:r w:rsidR="00DD19AC" w:rsidRPr="000949F2">
        <w:rPr>
          <w:b/>
        </w:rPr>
        <w:t xml:space="preserve"> 3.3.1</w:t>
      </w:r>
      <w:r w:rsidR="00DD19AC" w:rsidRPr="00DD19AC">
        <w:rPr>
          <w:b/>
        </w:rPr>
        <w:t>6</w:t>
      </w:r>
      <w:r>
        <w:t>.</w:t>
      </w:r>
    </w:p>
    <w:p w14:paraId="6B7AABFE" w14:textId="77777777" w:rsidR="00DB18EC" w:rsidRDefault="00DB18EC" w:rsidP="00941184">
      <w:pPr>
        <w:ind w:firstLine="360"/>
      </w:pPr>
    </w:p>
    <w:p w14:paraId="46925917" w14:textId="52A3E46B" w:rsidR="00EC75B5" w:rsidRDefault="00941184" w:rsidP="00EC75B5">
      <w:pPr>
        <w:pStyle w:val="Tabletitle"/>
      </w:pPr>
      <w:bookmarkStart w:id="160" w:name="_Toc340431560"/>
      <w:r>
        <w:rPr>
          <w:b/>
        </w:rPr>
        <w:t>Table 3.3.15.</w:t>
      </w:r>
      <w:r>
        <w:t xml:space="preserve">  </w:t>
      </w:r>
      <w:r w:rsidRPr="001072F5">
        <w:t xml:space="preserve">Angler trips in </w:t>
      </w:r>
      <w:r w:rsidR="00C06287">
        <w:t xml:space="preserve">the </w:t>
      </w:r>
      <w:r w:rsidRPr="001072F5">
        <w:t xml:space="preserve">South Atlantic </w:t>
      </w:r>
      <w:r w:rsidR="00C06287">
        <w:t xml:space="preserve">region </w:t>
      </w:r>
      <w:r w:rsidRPr="001072F5">
        <w:t xml:space="preserve">by area, </w:t>
      </w:r>
      <w:r w:rsidR="00EC75B5" w:rsidRPr="001072F5">
        <w:t>201</w:t>
      </w:r>
      <w:r w:rsidR="00EC75B5">
        <w:t>4</w:t>
      </w:r>
      <w:r w:rsidRPr="001072F5">
        <w:t>.</w:t>
      </w:r>
      <w:bookmarkEnd w:id="160"/>
      <w:r w:rsidRPr="001072F5">
        <w:t xml:space="preserve">  </w:t>
      </w:r>
    </w:p>
    <w:tbl>
      <w:tblPr>
        <w:tblW w:w="93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176"/>
        <w:gridCol w:w="1025"/>
        <w:gridCol w:w="1176"/>
        <w:gridCol w:w="1296"/>
        <w:gridCol w:w="1003"/>
        <w:gridCol w:w="1003"/>
        <w:gridCol w:w="1119"/>
      </w:tblGrid>
      <w:tr w:rsidR="00EC75B5" w:rsidRPr="0086658D" w14:paraId="29A62D97" w14:textId="77777777" w:rsidTr="00EC75B5">
        <w:trPr>
          <w:trHeight w:val="855"/>
        </w:trPr>
        <w:tc>
          <w:tcPr>
            <w:tcW w:w="1523" w:type="dxa"/>
            <w:shd w:val="clear" w:color="000000" w:fill="D9D9D9" w:themeFill="background1" w:themeFillShade="D9"/>
            <w:vAlign w:val="center"/>
            <w:hideMark/>
          </w:tcPr>
          <w:p w14:paraId="77709C52" w14:textId="77777777" w:rsidR="00EC75B5" w:rsidRPr="0086658D" w:rsidRDefault="00EC75B5" w:rsidP="00EC75B5">
            <w:pPr>
              <w:jc w:val="center"/>
              <w:rPr>
                <w:b/>
                <w:bCs/>
                <w:color w:val="000000"/>
                <w:sz w:val="22"/>
                <w:szCs w:val="22"/>
              </w:rPr>
            </w:pPr>
            <w:r>
              <w:rPr>
                <w:b/>
                <w:bCs/>
                <w:color w:val="000000"/>
                <w:sz w:val="22"/>
                <w:szCs w:val="22"/>
              </w:rPr>
              <w:t>State</w:t>
            </w:r>
          </w:p>
        </w:tc>
        <w:tc>
          <w:tcPr>
            <w:tcW w:w="1176" w:type="dxa"/>
            <w:shd w:val="clear" w:color="000000" w:fill="D9D9D9" w:themeFill="background1" w:themeFillShade="D9"/>
            <w:vAlign w:val="center"/>
            <w:hideMark/>
          </w:tcPr>
          <w:p w14:paraId="3629F53E" w14:textId="77777777" w:rsidR="00EC75B5" w:rsidRPr="0086658D" w:rsidRDefault="00EC75B5" w:rsidP="00EC75B5">
            <w:pPr>
              <w:jc w:val="center"/>
              <w:rPr>
                <w:b/>
                <w:bCs/>
                <w:color w:val="000000"/>
                <w:sz w:val="22"/>
                <w:szCs w:val="22"/>
              </w:rPr>
            </w:pPr>
            <w:r w:rsidRPr="0086658D">
              <w:rPr>
                <w:b/>
                <w:bCs/>
                <w:color w:val="000000"/>
                <w:sz w:val="22"/>
                <w:szCs w:val="22"/>
              </w:rPr>
              <w:t>Shore</w:t>
            </w:r>
          </w:p>
        </w:tc>
        <w:tc>
          <w:tcPr>
            <w:tcW w:w="1025" w:type="dxa"/>
            <w:shd w:val="clear" w:color="000000" w:fill="D9D9D9" w:themeFill="background1" w:themeFillShade="D9"/>
            <w:vAlign w:val="center"/>
            <w:hideMark/>
          </w:tcPr>
          <w:p w14:paraId="02B22451" w14:textId="77777777" w:rsidR="00EC75B5" w:rsidRPr="0086658D" w:rsidRDefault="00EC75B5" w:rsidP="00EC75B5">
            <w:pPr>
              <w:jc w:val="center"/>
              <w:rPr>
                <w:b/>
                <w:bCs/>
                <w:color w:val="000000"/>
                <w:sz w:val="22"/>
                <w:szCs w:val="22"/>
              </w:rPr>
            </w:pPr>
            <w:r w:rsidRPr="0086658D">
              <w:rPr>
                <w:b/>
                <w:bCs/>
                <w:color w:val="000000"/>
                <w:sz w:val="22"/>
                <w:szCs w:val="22"/>
              </w:rPr>
              <w:t>For-hire vessel</w:t>
            </w:r>
          </w:p>
        </w:tc>
        <w:tc>
          <w:tcPr>
            <w:tcW w:w="1176" w:type="dxa"/>
            <w:shd w:val="clear" w:color="000000" w:fill="D9D9D9" w:themeFill="background1" w:themeFillShade="D9"/>
            <w:vAlign w:val="center"/>
            <w:hideMark/>
          </w:tcPr>
          <w:p w14:paraId="0727F445" w14:textId="77777777" w:rsidR="00EC75B5" w:rsidRPr="0086658D" w:rsidRDefault="00EC75B5" w:rsidP="00EC75B5">
            <w:pPr>
              <w:jc w:val="center"/>
              <w:rPr>
                <w:b/>
                <w:bCs/>
                <w:color w:val="000000"/>
                <w:sz w:val="22"/>
                <w:szCs w:val="22"/>
              </w:rPr>
            </w:pPr>
            <w:r w:rsidRPr="0086658D">
              <w:rPr>
                <w:b/>
                <w:bCs/>
                <w:color w:val="000000"/>
                <w:sz w:val="22"/>
                <w:szCs w:val="22"/>
              </w:rPr>
              <w:t>Private/ rental vessel</w:t>
            </w:r>
          </w:p>
        </w:tc>
        <w:tc>
          <w:tcPr>
            <w:tcW w:w="1296" w:type="dxa"/>
            <w:shd w:val="clear" w:color="000000" w:fill="D9D9D9" w:themeFill="background1" w:themeFillShade="D9"/>
            <w:noWrap/>
            <w:vAlign w:val="center"/>
            <w:hideMark/>
          </w:tcPr>
          <w:p w14:paraId="22D2C16E" w14:textId="77777777" w:rsidR="00EC75B5" w:rsidRPr="0086658D" w:rsidRDefault="00EC75B5" w:rsidP="00EC75B5">
            <w:pPr>
              <w:jc w:val="center"/>
              <w:rPr>
                <w:b/>
                <w:bCs/>
                <w:color w:val="000000"/>
                <w:sz w:val="22"/>
                <w:szCs w:val="22"/>
              </w:rPr>
            </w:pPr>
            <w:r w:rsidRPr="0086658D">
              <w:rPr>
                <w:b/>
                <w:bCs/>
                <w:color w:val="000000"/>
                <w:sz w:val="22"/>
                <w:szCs w:val="22"/>
              </w:rPr>
              <w:t>Total</w:t>
            </w:r>
          </w:p>
        </w:tc>
        <w:tc>
          <w:tcPr>
            <w:tcW w:w="1003" w:type="dxa"/>
            <w:shd w:val="clear" w:color="000000" w:fill="D9D9D9" w:themeFill="background1" w:themeFillShade="D9"/>
            <w:vAlign w:val="center"/>
            <w:hideMark/>
          </w:tcPr>
          <w:p w14:paraId="0A535293" w14:textId="77777777" w:rsidR="00EC75B5" w:rsidRPr="0086658D" w:rsidRDefault="00EC75B5" w:rsidP="00EC75B5">
            <w:pPr>
              <w:jc w:val="center"/>
              <w:rPr>
                <w:b/>
                <w:bCs/>
                <w:color w:val="000000"/>
                <w:sz w:val="22"/>
                <w:szCs w:val="22"/>
              </w:rPr>
            </w:pPr>
            <w:r w:rsidRPr="0086658D">
              <w:rPr>
                <w:b/>
                <w:bCs/>
                <w:color w:val="000000"/>
                <w:sz w:val="22"/>
                <w:szCs w:val="22"/>
              </w:rPr>
              <w:t>Percent by shore</w:t>
            </w:r>
          </w:p>
        </w:tc>
        <w:tc>
          <w:tcPr>
            <w:tcW w:w="1003" w:type="dxa"/>
            <w:shd w:val="clear" w:color="000000" w:fill="D9D9D9" w:themeFill="background1" w:themeFillShade="D9"/>
            <w:vAlign w:val="center"/>
            <w:hideMark/>
          </w:tcPr>
          <w:p w14:paraId="39938FC8" w14:textId="77777777" w:rsidR="00EC75B5" w:rsidRPr="0086658D" w:rsidRDefault="00EC75B5" w:rsidP="00EC75B5">
            <w:pPr>
              <w:jc w:val="center"/>
              <w:rPr>
                <w:b/>
                <w:bCs/>
                <w:color w:val="000000"/>
                <w:sz w:val="22"/>
                <w:szCs w:val="22"/>
              </w:rPr>
            </w:pPr>
            <w:r w:rsidRPr="0086658D">
              <w:rPr>
                <w:b/>
                <w:bCs/>
                <w:color w:val="000000"/>
                <w:sz w:val="22"/>
                <w:szCs w:val="22"/>
              </w:rPr>
              <w:t>Percent by for-hire</w:t>
            </w:r>
          </w:p>
        </w:tc>
        <w:tc>
          <w:tcPr>
            <w:tcW w:w="1119" w:type="dxa"/>
            <w:shd w:val="clear" w:color="000000" w:fill="D9D9D9" w:themeFill="background1" w:themeFillShade="D9"/>
            <w:vAlign w:val="center"/>
            <w:hideMark/>
          </w:tcPr>
          <w:p w14:paraId="6CFFBA97" w14:textId="77777777" w:rsidR="00EC75B5" w:rsidRPr="0086658D" w:rsidRDefault="00EC75B5" w:rsidP="00EC75B5">
            <w:pPr>
              <w:jc w:val="center"/>
              <w:rPr>
                <w:b/>
                <w:bCs/>
                <w:color w:val="000000"/>
                <w:sz w:val="22"/>
                <w:szCs w:val="22"/>
              </w:rPr>
            </w:pPr>
            <w:r w:rsidRPr="0086658D">
              <w:rPr>
                <w:b/>
                <w:bCs/>
                <w:color w:val="000000"/>
                <w:sz w:val="22"/>
                <w:szCs w:val="22"/>
              </w:rPr>
              <w:t>Percent by private</w:t>
            </w:r>
          </w:p>
        </w:tc>
      </w:tr>
      <w:tr w:rsidR="00EC75B5" w:rsidRPr="0086658D" w14:paraId="00D3F819" w14:textId="77777777" w:rsidTr="00EC75B5">
        <w:trPr>
          <w:trHeight w:val="300"/>
        </w:trPr>
        <w:tc>
          <w:tcPr>
            <w:tcW w:w="1523" w:type="dxa"/>
            <w:shd w:val="clear" w:color="000000" w:fill="D9D9D9" w:themeFill="background1" w:themeFillShade="D9"/>
            <w:noWrap/>
            <w:vAlign w:val="bottom"/>
            <w:hideMark/>
          </w:tcPr>
          <w:p w14:paraId="672FC1B6" w14:textId="77777777" w:rsidR="00EC75B5" w:rsidRPr="00DD19AC" w:rsidRDefault="00EC75B5" w:rsidP="00EC75B5">
            <w:pPr>
              <w:rPr>
                <w:bCs/>
                <w:color w:val="000000"/>
                <w:sz w:val="22"/>
                <w:szCs w:val="22"/>
              </w:rPr>
            </w:pPr>
            <w:r w:rsidRPr="00DD19AC">
              <w:rPr>
                <w:bCs/>
                <w:color w:val="000000"/>
                <w:sz w:val="22"/>
                <w:szCs w:val="22"/>
              </w:rPr>
              <w:t>East FL</w:t>
            </w:r>
          </w:p>
        </w:tc>
        <w:tc>
          <w:tcPr>
            <w:tcW w:w="1176" w:type="dxa"/>
            <w:shd w:val="clear" w:color="auto" w:fill="auto"/>
            <w:noWrap/>
            <w:vAlign w:val="bottom"/>
            <w:hideMark/>
          </w:tcPr>
          <w:p w14:paraId="2E274460" w14:textId="77777777" w:rsidR="00EC75B5" w:rsidRPr="0086658D" w:rsidRDefault="00EC75B5" w:rsidP="00EC75B5">
            <w:pPr>
              <w:jc w:val="center"/>
              <w:rPr>
                <w:color w:val="000000"/>
                <w:sz w:val="22"/>
                <w:szCs w:val="22"/>
              </w:rPr>
            </w:pPr>
            <w:r w:rsidRPr="0086658D">
              <w:rPr>
                <w:color w:val="000000"/>
                <w:sz w:val="22"/>
                <w:szCs w:val="22"/>
              </w:rPr>
              <w:t>4,</w:t>
            </w:r>
            <w:r>
              <w:rPr>
                <w:color w:val="000000"/>
                <w:sz w:val="22"/>
                <w:szCs w:val="22"/>
              </w:rPr>
              <w:t>500</w:t>
            </w:r>
            <w:r w:rsidRPr="0086658D">
              <w:rPr>
                <w:color w:val="000000"/>
                <w:sz w:val="22"/>
                <w:szCs w:val="22"/>
              </w:rPr>
              <w:t>,</w:t>
            </w:r>
            <w:r>
              <w:rPr>
                <w:color w:val="000000"/>
                <w:sz w:val="22"/>
                <w:szCs w:val="22"/>
              </w:rPr>
              <w:t>29</w:t>
            </w:r>
            <w:r w:rsidRPr="0086658D">
              <w:rPr>
                <w:color w:val="000000"/>
                <w:sz w:val="22"/>
                <w:szCs w:val="22"/>
              </w:rPr>
              <w:t>3</w:t>
            </w:r>
          </w:p>
        </w:tc>
        <w:tc>
          <w:tcPr>
            <w:tcW w:w="1025" w:type="dxa"/>
            <w:shd w:val="clear" w:color="auto" w:fill="auto"/>
            <w:noWrap/>
            <w:vAlign w:val="bottom"/>
            <w:hideMark/>
          </w:tcPr>
          <w:p w14:paraId="3376E7E0" w14:textId="77777777" w:rsidR="00EC75B5" w:rsidRPr="0086658D" w:rsidRDefault="00EC75B5" w:rsidP="00EC75B5">
            <w:pPr>
              <w:jc w:val="center"/>
              <w:rPr>
                <w:color w:val="000000"/>
                <w:sz w:val="22"/>
                <w:szCs w:val="22"/>
              </w:rPr>
            </w:pPr>
            <w:r w:rsidRPr="0086658D">
              <w:rPr>
                <w:color w:val="000000"/>
                <w:sz w:val="22"/>
                <w:szCs w:val="22"/>
              </w:rPr>
              <w:t>1</w:t>
            </w:r>
            <w:r>
              <w:rPr>
                <w:color w:val="000000"/>
                <w:sz w:val="22"/>
                <w:szCs w:val="22"/>
              </w:rPr>
              <w:t>92</w:t>
            </w:r>
            <w:r w:rsidRPr="0086658D">
              <w:rPr>
                <w:color w:val="000000"/>
                <w:sz w:val="22"/>
                <w:szCs w:val="22"/>
              </w:rPr>
              <w:t>,5</w:t>
            </w:r>
            <w:r>
              <w:rPr>
                <w:color w:val="000000"/>
                <w:sz w:val="22"/>
                <w:szCs w:val="22"/>
              </w:rPr>
              <w:t>04</w:t>
            </w:r>
          </w:p>
        </w:tc>
        <w:tc>
          <w:tcPr>
            <w:tcW w:w="1176" w:type="dxa"/>
            <w:shd w:val="clear" w:color="auto" w:fill="auto"/>
            <w:noWrap/>
            <w:vAlign w:val="bottom"/>
            <w:hideMark/>
          </w:tcPr>
          <w:p w14:paraId="73AA3D69" w14:textId="77777777" w:rsidR="00EC75B5" w:rsidRPr="0086658D" w:rsidRDefault="00EC75B5" w:rsidP="00EC75B5">
            <w:pPr>
              <w:jc w:val="center"/>
              <w:rPr>
                <w:color w:val="000000"/>
                <w:sz w:val="22"/>
                <w:szCs w:val="22"/>
              </w:rPr>
            </w:pPr>
            <w:r w:rsidRPr="0086658D">
              <w:rPr>
                <w:color w:val="000000"/>
                <w:sz w:val="22"/>
                <w:szCs w:val="22"/>
              </w:rPr>
              <w:t>4,</w:t>
            </w:r>
            <w:r>
              <w:rPr>
                <w:color w:val="000000"/>
                <w:sz w:val="22"/>
                <w:szCs w:val="22"/>
              </w:rPr>
              <w:t>9</w:t>
            </w:r>
            <w:r w:rsidRPr="0086658D">
              <w:rPr>
                <w:color w:val="000000"/>
                <w:sz w:val="22"/>
                <w:szCs w:val="22"/>
              </w:rPr>
              <w:t>5</w:t>
            </w:r>
            <w:r>
              <w:rPr>
                <w:color w:val="000000"/>
                <w:sz w:val="22"/>
                <w:szCs w:val="22"/>
              </w:rPr>
              <w:t>0,</w:t>
            </w:r>
            <w:r w:rsidRPr="0086658D">
              <w:rPr>
                <w:color w:val="000000"/>
                <w:sz w:val="22"/>
                <w:szCs w:val="22"/>
              </w:rPr>
              <w:t>7</w:t>
            </w:r>
            <w:r>
              <w:rPr>
                <w:color w:val="000000"/>
                <w:sz w:val="22"/>
                <w:szCs w:val="22"/>
              </w:rPr>
              <w:t>6</w:t>
            </w:r>
            <w:r w:rsidRPr="0086658D">
              <w:rPr>
                <w:color w:val="000000"/>
                <w:sz w:val="22"/>
                <w:szCs w:val="22"/>
              </w:rPr>
              <w:t>5</w:t>
            </w:r>
          </w:p>
        </w:tc>
        <w:tc>
          <w:tcPr>
            <w:tcW w:w="1296" w:type="dxa"/>
            <w:shd w:val="clear" w:color="auto" w:fill="auto"/>
            <w:noWrap/>
            <w:vAlign w:val="bottom"/>
            <w:hideMark/>
          </w:tcPr>
          <w:p w14:paraId="6502D875" w14:textId="77777777" w:rsidR="00EC75B5" w:rsidRPr="0086658D" w:rsidRDefault="00EC75B5" w:rsidP="00EC75B5">
            <w:pPr>
              <w:jc w:val="center"/>
              <w:rPr>
                <w:color w:val="000000"/>
                <w:sz w:val="22"/>
                <w:szCs w:val="22"/>
              </w:rPr>
            </w:pPr>
            <w:r>
              <w:rPr>
                <w:color w:val="000000"/>
                <w:sz w:val="22"/>
                <w:szCs w:val="22"/>
              </w:rPr>
              <w:t>9</w:t>
            </w:r>
            <w:r w:rsidRPr="0086658D">
              <w:rPr>
                <w:color w:val="000000"/>
                <w:sz w:val="22"/>
                <w:szCs w:val="22"/>
              </w:rPr>
              <w:t>,</w:t>
            </w:r>
            <w:r>
              <w:rPr>
                <w:color w:val="000000"/>
                <w:sz w:val="22"/>
                <w:szCs w:val="22"/>
              </w:rPr>
              <w:t>643</w:t>
            </w:r>
            <w:r w:rsidRPr="0086658D">
              <w:rPr>
                <w:color w:val="000000"/>
                <w:sz w:val="22"/>
                <w:szCs w:val="22"/>
              </w:rPr>
              <w:t>,</w:t>
            </w:r>
            <w:r>
              <w:rPr>
                <w:color w:val="000000"/>
                <w:sz w:val="22"/>
                <w:szCs w:val="22"/>
              </w:rPr>
              <w:t>562</w:t>
            </w:r>
          </w:p>
        </w:tc>
        <w:tc>
          <w:tcPr>
            <w:tcW w:w="1003" w:type="dxa"/>
            <w:shd w:val="clear" w:color="auto" w:fill="auto"/>
            <w:noWrap/>
            <w:vAlign w:val="bottom"/>
            <w:hideMark/>
          </w:tcPr>
          <w:p w14:paraId="3936EF53" w14:textId="77777777" w:rsidR="00EC75B5" w:rsidRPr="0086658D" w:rsidRDefault="00EC75B5" w:rsidP="00EC75B5">
            <w:pPr>
              <w:jc w:val="center"/>
              <w:rPr>
                <w:color w:val="000000"/>
                <w:sz w:val="22"/>
                <w:szCs w:val="22"/>
              </w:rPr>
            </w:pPr>
            <w:r w:rsidRPr="0086658D">
              <w:rPr>
                <w:color w:val="000000"/>
                <w:sz w:val="22"/>
                <w:szCs w:val="22"/>
              </w:rPr>
              <w:t>46.</w:t>
            </w:r>
            <w:r>
              <w:rPr>
                <w:color w:val="000000"/>
                <w:sz w:val="22"/>
                <w:szCs w:val="22"/>
              </w:rPr>
              <w:t>7</w:t>
            </w:r>
            <w:r w:rsidRPr="0086658D">
              <w:rPr>
                <w:color w:val="000000"/>
                <w:sz w:val="22"/>
                <w:szCs w:val="22"/>
              </w:rPr>
              <w:t>%</w:t>
            </w:r>
          </w:p>
        </w:tc>
        <w:tc>
          <w:tcPr>
            <w:tcW w:w="1003" w:type="dxa"/>
            <w:shd w:val="clear" w:color="auto" w:fill="auto"/>
            <w:noWrap/>
            <w:vAlign w:val="bottom"/>
            <w:hideMark/>
          </w:tcPr>
          <w:p w14:paraId="0B880F6F" w14:textId="77777777" w:rsidR="00EC75B5" w:rsidRPr="0086658D" w:rsidRDefault="00EC75B5" w:rsidP="00EC75B5">
            <w:pPr>
              <w:jc w:val="center"/>
              <w:rPr>
                <w:color w:val="000000"/>
                <w:sz w:val="22"/>
                <w:szCs w:val="22"/>
              </w:rPr>
            </w:pPr>
            <w:r>
              <w:rPr>
                <w:color w:val="000000"/>
                <w:sz w:val="22"/>
                <w:szCs w:val="22"/>
              </w:rPr>
              <w:t>2</w:t>
            </w:r>
            <w:r w:rsidRPr="0086658D">
              <w:rPr>
                <w:color w:val="000000"/>
                <w:sz w:val="22"/>
                <w:szCs w:val="22"/>
              </w:rPr>
              <w:t>.</w:t>
            </w:r>
            <w:r>
              <w:rPr>
                <w:color w:val="000000"/>
                <w:sz w:val="22"/>
                <w:szCs w:val="22"/>
              </w:rPr>
              <w:t>0</w:t>
            </w:r>
            <w:r w:rsidRPr="0086658D">
              <w:rPr>
                <w:color w:val="000000"/>
                <w:sz w:val="22"/>
                <w:szCs w:val="22"/>
              </w:rPr>
              <w:t>%</w:t>
            </w:r>
          </w:p>
        </w:tc>
        <w:tc>
          <w:tcPr>
            <w:tcW w:w="1119" w:type="dxa"/>
            <w:shd w:val="clear" w:color="auto" w:fill="auto"/>
            <w:noWrap/>
            <w:vAlign w:val="bottom"/>
            <w:hideMark/>
          </w:tcPr>
          <w:p w14:paraId="7DC4C55A" w14:textId="77777777" w:rsidR="00EC75B5" w:rsidRPr="0086658D" w:rsidRDefault="00EC75B5" w:rsidP="00EC75B5">
            <w:pPr>
              <w:jc w:val="center"/>
              <w:rPr>
                <w:color w:val="000000"/>
                <w:sz w:val="22"/>
                <w:szCs w:val="22"/>
              </w:rPr>
            </w:pPr>
            <w:r w:rsidRPr="0086658D">
              <w:rPr>
                <w:color w:val="000000"/>
                <w:sz w:val="22"/>
                <w:szCs w:val="22"/>
              </w:rPr>
              <w:t>51.</w:t>
            </w:r>
            <w:r>
              <w:rPr>
                <w:color w:val="000000"/>
                <w:sz w:val="22"/>
                <w:szCs w:val="22"/>
              </w:rPr>
              <w:t>3</w:t>
            </w:r>
            <w:r w:rsidRPr="0086658D">
              <w:rPr>
                <w:color w:val="000000"/>
                <w:sz w:val="22"/>
                <w:szCs w:val="22"/>
              </w:rPr>
              <w:t>%</w:t>
            </w:r>
          </w:p>
        </w:tc>
      </w:tr>
      <w:tr w:rsidR="00EC75B5" w:rsidRPr="0086658D" w14:paraId="7A5D4584" w14:textId="77777777" w:rsidTr="00EC75B5">
        <w:trPr>
          <w:trHeight w:val="300"/>
        </w:trPr>
        <w:tc>
          <w:tcPr>
            <w:tcW w:w="1523" w:type="dxa"/>
            <w:shd w:val="clear" w:color="000000" w:fill="D9D9D9" w:themeFill="background1" w:themeFillShade="D9"/>
            <w:noWrap/>
            <w:vAlign w:val="bottom"/>
            <w:hideMark/>
          </w:tcPr>
          <w:p w14:paraId="5EE187DC" w14:textId="77777777" w:rsidR="00EC75B5" w:rsidRPr="00DD19AC" w:rsidRDefault="00EC75B5" w:rsidP="00EC75B5">
            <w:pPr>
              <w:rPr>
                <w:bCs/>
                <w:color w:val="000000"/>
                <w:sz w:val="22"/>
                <w:szCs w:val="22"/>
              </w:rPr>
            </w:pPr>
            <w:r w:rsidRPr="00DD19AC">
              <w:rPr>
                <w:bCs/>
                <w:color w:val="000000"/>
                <w:sz w:val="22"/>
                <w:szCs w:val="22"/>
              </w:rPr>
              <w:t>GA</w:t>
            </w:r>
          </w:p>
        </w:tc>
        <w:tc>
          <w:tcPr>
            <w:tcW w:w="1176" w:type="dxa"/>
            <w:shd w:val="clear" w:color="auto" w:fill="auto"/>
            <w:noWrap/>
            <w:vAlign w:val="bottom"/>
            <w:hideMark/>
          </w:tcPr>
          <w:p w14:paraId="0D25E648" w14:textId="77777777" w:rsidR="00EC75B5" w:rsidRPr="0086658D" w:rsidRDefault="00EC75B5" w:rsidP="00EC75B5">
            <w:pPr>
              <w:jc w:val="center"/>
              <w:rPr>
                <w:color w:val="000000"/>
                <w:sz w:val="22"/>
                <w:szCs w:val="22"/>
              </w:rPr>
            </w:pPr>
            <w:r>
              <w:rPr>
                <w:color w:val="000000"/>
                <w:sz w:val="22"/>
                <w:szCs w:val="22"/>
              </w:rPr>
              <w:t>455</w:t>
            </w:r>
            <w:r w:rsidRPr="0086658D">
              <w:rPr>
                <w:color w:val="000000"/>
                <w:sz w:val="22"/>
                <w:szCs w:val="22"/>
              </w:rPr>
              <w:t>,</w:t>
            </w:r>
            <w:r>
              <w:rPr>
                <w:color w:val="000000"/>
                <w:sz w:val="22"/>
                <w:szCs w:val="22"/>
              </w:rPr>
              <w:t>9</w:t>
            </w:r>
            <w:r w:rsidRPr="0086658D">
              <w:rPr>
                <w:color w:val="000000"/>
                <w:sz w:val="22"/>
                <w:szCs w:val="22"/>
              </w:rPr>
              <w:t>62</w:t>
            </w:r>
          </w:p>
        </w:tc>
        <w:tc>
          <w:tcPr>
            <w:tcW w:w="1025" w:type="dxa"/>
            <w:shd w:val="clear" w:color="auto" w:fill="auto"/>
            <w:noWrap/>
            <w:vAlign w:val="bottom"/>
            <w:hideMark/>
          </w:tcPr>
          <w:p w14:paraId="0200118E" w14:textId="77777777" w:rsidR="00EC75B5" w:rsidRPr="0086658D" w:rsidRDefault="00EC75B5" w:rsidP="00EC75B5">
            <w:pPr>
              <w:jc w:val="center"/>
              <w:rPr>
                <w:color w:val="000000"/>
                <w:sz w:val="22"/>
                <w:szCs w:val="22"/>
              </w:rPr>
            </w:pPr>
            <w:r>
              <w:rPr>
                <w:color w:val="000000"/>
                <w:sz w:val="22"/>
                <w:szCs w:val="22"/>
              </w:rPr>
              <w:t>30</w:t>
            </w:r>
            <w:r w:rsidRPr="0086658D">
              <w:rPr>
                <w:color w:val="000000"/>
                <w:sz w:val="22"/>
                <w:szCs w:val="22"/>
              </w:rPr>
              <w:t>,</w:t>
            </w:r>
            <w:r>
              <w:rPr>
                <w:color w:val="000000"/>
                <w:sz w:val="22"/>
                <w:szCs w:val="22"/>
              </w:rPr>
              <w:t>773</w:t>
            </w:r>
          </w:p>
        </w:tc>
        <w:tc>
          <w:tcPr>
            <w:tcW w:w="1176" w:type="dxa"/>
            <w:shd w:val="clear" w:color="auto" w:fill="auto"/>
            <w:noWrap/>
            <w:vAlign w:val="bottom"/>
            <w:hideMark/>
          </w:tcPr>
          <w:p w14:paraId="57AE2D4E" w14:textId="77777777" w:rsidR="00EC75B5" w:rsidRPr="0086658D" w:rsidRDefault="00EC75B5" w:rsidP="00EC75B5">
            <w:pPr>
              <w:jc w:val="center"/>
              <w:rPr>
                <w:color w:val="000000"/>
                <w:sz w:val="22"/>
                <w:szCs w:val="22"/>
              </w:rPr>
            </w:pPr>
            <w:r w:rsidRPr="0086658D">
              <w:rPr>
                <w:color w:val="000000"/>
                <w:sz w:val="22"/>
                <w:szCs w:val="22"/>
              </w:rPr>
              <w:t>3</w:t>
            </w:r>
            <w:r>
              <w:rPr>
                <w:color w:val="000000"/>
                <w:sz w:val="22"/>
                <w:szCs w:val="22"/>
              </w:rPr>
              <w:t>39,</w:t>
            </w:r>
            <w:r w:rsidRPr="0086658D">
              <w:rPr>
                <w:color w:val="000000"/>
                <w:sz w:val="22"/>
                <w:szCs w:val="22"/>
              </w:rPr>
              <w:t>8</w:t>
            </w:r>
            <w:r>
              <w:rPr>
                <w:color w:val="000000"/>
                <w:sz w:val="22"/>
                <w:szCs w:val="22"/>
              </w:rPr>
              <w:t>42</w:t>
            </w:r>
          </w:p>
        </w:tc>
        <w:tc>
          <w:tcPr>
            <w:tcW w:w="1296" w:type="dxa"/>
            <w:shd w:val="clear" w:color="auto" w:fill="auto"/>
            <w:noWrap/>
            <w:vAlign w:val="bottom"/>
            <w:hideMark/>
          </w:tcPr>
          <w:p w14:paraId="500CF66F" w14:textId="77777777" w:rsidR="00EC75B5" w:rsidRPr="0086658D" w:rsidRDefault="00EC75B5" w:rsidP="00EC75B5">
            <w:pPr>
              <w:jc w:val="center"/>
              <w:rPr>
                <w:color w:val="000000"/>
                <w:sz w:val="22"/>
                <w:szCs w:val="22"/>
              </w:rPr>
            </w:pPr>
            <w:r>
              <w:rPr>
                <w:color w:val="000000"/>
                <w:sz w:val="22"/>
                <w:szCs w:val="22"/>
              </w:rPr>
              <w:t>82</w:t>
            </w:r>
            <w:r w:rsidRPr="0086658D">
              <w:rPr>
                <w:color w:val="000000"/>
                <w:sz w:val="22"/>
                <w:szCs w:val="22"/>
              </w:rPr>
              <w:t>6,</w:t>
            </w:r>
            <w:r>
              <w:rPr>
                <w:color w:val="000000"/>
                <w:sz w:val="22"/>
                <w:szCs w:val="22"/>
              </w:rPr>
              <w:t>577</w:t>
            </w:r>
          </w:p>
        </w:tc>
        <w:tc>
          <w:tcPr>
            <w:tcW w:w="1003" w:type="dxa"/>
            <w:shd w:val="clear" w:color="auto" w:fill="auto"/>
            <w:noWrap/>
            <w:vAlign w:val="bottom"/>
            <w:hideMark/>
          </w:tcPr>
          <w:p w14:paraId="1C56DCCA" w14:textId="77777777" w:rsidR="00EC75B5" w:rsidRPr="0086658D" w:rsidRDefault="00EC75B5" w:rsidP="00EC75B5">
            <w:pPr>
              <w:jc w:val="center"/>
              <w:rPr>
                <w:color w:val="000000"/>
                <w:sz w:val="22"/>
                <w:szCs w:val="22"/>
              </w:rPr>
            </w:pPr>
            <w:r>
              <w:rPr>
                <w:color w:val="000000"/>
                <w:sz w:val="22"/>
                <w:szCs w:val="22"/>
              </w:rPr>
              <w:t>55</w:t>
            </w:r>
            <w:r w:rsidRPr="0086658D">
              <w:rPr>
                <w:color w:val="000000"/>
                <w:sz w:val="22"/>
                <w:szCs w:val="22"/>
              </w:rPr>
              <w:t>.</w:t>
            </w:r>
            <w:r>
              <w:rPr>
                <w:color w:val="000000"/>
                <w:sz w:val="22"/>
                <w:szCs w:val="22"/>
              </w:rPr>
              <w:t>2</w:t>
            </w:r>
            <w:r w:rsidRPr="0086658D">
              <w:rPr>
                <w:color w:val="000000"/>
                <w:sz w:val="22"/>
                <w:szCs w:val="22"/>
              </w:rPr>
              <w:t>%</w:t>
            </w:r>
          </w:p>
        </w:tc>
        <w:tc>
          <w:tcPr>
            <w:tcW w:w="1003" w:type="dxa"/>
            <w:shd w:val="clear" w:color="auto" w:fill="auto"/>
            <w:noWrap/>
            <w:vAlign w:val="bottom"/>
            <w:hideMark/>
          </w:tcPr>
          <w:p w14:paraId="4B60EA67" w14:textId="77777777" w:rsidR="00EC75B5" w:rsidRPr="0086658D" w:rsidRDefault="00EC75B5" w:rsidP="00EC75B5">
            <w:pPr>
              <w:jc w:val="center"/>
              <w:rPr>
                <w:color w:val="000000"/>
                <w:sz w:val="22"/>
                <w:szCs w:val="22"/>
              </w:rPr>
            </w:pPr>
            <w:r w:rsidRPr="0086658D">
              <w:rPr>
                <w:color w:val="000000"/>
                <w:sz w:val="22"/>
                <w:szCs w:val="22"/>
              </w:rPr>
              <w:t>3.</w:t>
            </w:r>
            <w:r>
              <w:rPr>
                <w:color w:val="000000"/>
                <w:sz w:val="22"/>
                <w:szCs w:val="22"/>
              </w:rPr>
              <w:t>7</w:t>
            </w:r>
            <w:r w:rsidRPr="0086658D">
              <w:rPr>
                <w:color w:val="000000"/>
                <w:sz w:val="22"/>
                <w:szCs w:val="22"/>
              </w:rPr>
              <w:t>%</w:t>
            </w:r>
          </w:p>
        </w:tc>
        <w:tc>
          <w:tcPr>
            <w:tcW w:w="1119" w:type="dxa"/>
            <w:shd w:val="clear" w:color="auto" w:fill="auto"/>
            <w:noWrap/>
            <w:vAlign w:val="bottom"/>
            <w:hideMark/>
          </w:tcPr>
          <w:p w14:paraId="600D5406" w14:textId="77777777" w:rsidR="00EC75B5" w:rsidRPr="0086658D" w:rsidRDefault="00EC75B5" w:rsidP="00EC75B5">
            <w:pPr>
              <w:jc w:val="center"/>
              <w:rPr>
                <w:color w:val="000000"/>
                <w:sz w:val="22"/>
                <w:szCs w:val="22"/>
              </w:rPr>
            </w:pPr>
            <w:r>
              <w:rPr>
                <w:color w:val="000000"/>
                <w:sz w:val="22"/>
                <w:szCs w:val="22"/>
              </w:rPr>
              <w:t>41</w:t>
            </w:r>
            <w:r w:rsidRPr="0086658D">
              <w:rPr>
                <w:color w:val="000000"/>
                <w:sz w:val="22"/>
                <w:szCs w:val="22"/>
              </w:rPr>
              <w:t>.</w:t>
            </w:r>
            <w:r>
              <w:rPr>
                <w:color w:val="000000"/>
                <w:sz w:val="22"/>
                <w:szCs w:val="22"/>
              </w:rPr>
              <w:t>1</w:t>
            </w:r>
            <w:r w:rsidRPr="0086658D">
              <w:rPr>
                <w:color w:val="000000"/>
                <w:sz w:val="22"/>
                <w:szCs w:val="22"/>
              </w:rPr>
              <w:t>%</w:t>
            </w:r>
          </w:p>
        </w:tc>
      </w:tr>
      <w:tr w:rsidR="00EC75B5" w:rsidRPr="0086658D" w14:paraId="3E4DD679" w14:textId="77777777" w:rsidTr="00EC75B5">
        <w:trPr>
          <w:trHeight w:val="300"/>
        </w:trPr>
        <w:tc>
          <w:tcPr>
            <w:tcW w:w="1523" w:type="dxa"/>
            <w:shd w:val="clear" w:color="000000" w:fill="D9D9D9" w:themeFill="background1" w:themeFillShade="D9"/>
            <w:noWrap/>
            <w:vAlign w:val="bottom"/>
            <w:hideMark/>
          </w:tcPr>
          <w:p w14:paraId="6740C2E6" w14:textId="77777777" w:rsidR="00EC75B5" w:rsidRPr="00DD19AC" w:rsidRDefault="00EC75B5" w:rsidP="00EC75B5">
            <w:pPr>
              <w:rPr>
                <w:bCs/>
                <w:color w:val="000000"/>
                <w:sz w:val="22"/>
                <w:szCs w:val="22"/>
              </w:rPr>
            </w:pPr>
            <w:r w:rsidRPr="00DD19AC">
              <w:rPr>
                <w:bCs/>
                <w:color w:val="000000"/>
                <w:sz w:val="22"/>
                <w:szCs w:val="22"/>
              </w:rPr>
              <w:t>NC</w:t>
            </w:r>
          </w:p>
        </w:tc>
        <w:tc>
          <w:tcPr>
            <w:tcW w:w="1176" w:type="dxa"/>
            <w:shd w:val="clear" w:color="auto" w:fill="auto"/>
            <w:noWrap/>
            <w:vAlign w:val="bottom"/>
            <w:hideMark/>
          </w:tcPr>
          <w:p w14:paraId="3A81EBC3" w14:textId="77777777" w:rsidR="00EC75B5" w:rsidRPr="0086658D" w:rsidRDefault="00EC75B5" w:rsidP="00EC75B5">
            <w:pPr>
              <w:jc w:val="center"/>
              <w:rPr>
                <w:color w:val="000000"/>
                <w:sz w:val="22"/>
                <w:szCs w:val="22"/>
              </w:rPr>
            </w:pPr>
            <w:r>
              <w:rPr>
                <w:color w:val="000000"/>
                <w:sz w:val="22"/>
                <w:szCs w:val="22"/>
              </w:rPr>
              <w:t>3</w:t>
            </w:r>
            <w:r w:rsidRPr="0086658D">
              <w:rPr>
                <w:color w:val="000000"/>
                <w:sz w:val="22"/>
                <w:szCs w:val="22"/>
              </w:rPr>
              <w:t>,</w:t>
            </w:r>
            <w:r>
              <w:rPr>
                <w:color w:val="000000"/>
                <w:sz w:val="22"/>
                <w:szCs w:val="22"/>
              </w:rPr>
              <w:t>1</w:t>
            </w:r>
            <w:r w:rsidRPr="0086658D">
              <w:rPr>
                <w:color w:val="000000"/>
                <w:sz w:val="22"/>
                <w:szCs w:val="22"/>
              </w:rPr>
              <w:t>5</w:t>
            </w:r>
            <w:r>
              <w:rPr>
                <w:color w:val="000000"/>
                <w:sz w:val="22"/>
                <w:szCs w:val="22"/>
              </w:rPr>
              <w:t>0</w:t>
            </w:r>
            <w:r w:rsidRPr="0086658D">
              <w:rPr>
                <w:color w:val="000000"/>
                <w:sz w:val="22"/>
                <w:szCs w:val="22"/>
              </w:rPr>
              <w:t>,</w:t>
            </w:r>
            <w:r>
              <w:rPr>
                <w:color w:val="000000"/>
                <w:sz w:val="22"/>
                <w:szCs w:val="22"/>
              </w:rPr>
              <w:t>1</w:t>
            </w:r>
            <w:r w:rsidRPr="0086658D">
              <w:rPr>
                <w:color w:val="000000"/>
                <w:sz w:val="22"/>
                <w:szCs w:val="22"/>
              </w:rPr>
              <w:t>2</w:t>
            </w:r>
            <w:r>
              <w:rPr>
                <w:color w:val="000000"/>
                <w:sz w:val="22"/>
                <w:szCs w:val="22"/>
              </w:rPr>
              <w:t>3</w:t>
            </w:r>
          </w:p>
        </w:tc>
        <w:tc>
          <w:tcPr>
            <w:tcW w:w="1025" w:type="dxa"/>
            <w:shd w:val="clear" w:color="auto" w:fill="auto"/>
            <w:noWrap/>
            <w:vAlign w:val="bottom"/>
            <w:hideMark/>
          </w:tcPr>
          <w:p w14:paraId="253E7B7F" w14:textId="77777777" w:rsidR="00EC75B5" w:rsidRPr="0086658D" w:rsidRDefault="00EC75B5" w:rsidP="00EC75B5">
            <w:pPr>
              <w:jc w:val="center"/>
              <w:rPr>
                <w:color w:val="000000"/>
                <w:sz w:val="22"/>
                <w:szCs w:val="22"/>
              </w:rPr>
            </w:pPr>
            <w:r>
              <w:rPr>
                <w:color w:val="000000"/>
                <w:sz w:val="22"/>
                <w:szCs w:val="22"/>
              </w:rPr>
              <w:t>96</w:t>
            </w:r>
            <w:r w:rsidRPr="0086658D">
              <w:rPr>
                <w:color w:val="000000"/>
                <w:sz w:val="22"/>
                <w:szCs w:val="22"/>
              </w:rPr>
              <w:t>,6</w:t>
            </w:r>
            <w:r>
              <w:rPr>
                <w:color w:val="000000"/>
                <w:sz w:val="22"/>
                <w:szCs w:val="22"/>
              </w:rPr>
              <w:t>20</w:t>
            </w:r>
          </w:p>
        </w:tc>
        <w:tc>
          <w:tcPr>
            <w:tcW w:w="1176" w:type="dxa"/>
            <w:shd w:val="clear" w:color="auto" w:fill="auto"/>
            <w:noWrap/>
            <w:vAlign w:val="bottom"/>
            <w:hideMark/>
          </w:tcPr>
          <w:p w14:paraId="691480F0" w14:textId="77777777" w:rsidR="00EC75B5" w:rsidRPr="0086658D" w:rsidRDefault="00EC75B5" w:rsidP="00EC75B5">
            <w:pPr>
              <w:jc w:val="center"/>
              <w:rPr>
                <w:color w:val="000000"/>
                <w:sz w:val="22"/>
                <w:szCs w:val="22"/>
              </w:rPr>
            </w:pPr>
            <w:r>
              <w:rPr>
                <w:color w:val="000000"/>
                <w:sz w:val="22"/>
                <w:szCs w:val="22"/>
              </w:rPr>
              <w:t>1</w:t>
            </w:r>
            <w:r w:rsidRPr="0086658D">
              <w:rPr>
                <w:color w:val="000000"/>
                <w:sz w:val="22"/>
                <w:szCs w:val="22"/>
              </w:rPr>
              <w:t>,</w:t>
            </w:r>
            <w:r>
              <w:rPr>
                <w:color w:val="000000"/>
                <w:sz w:val="22"/>
                <w:szCs w:val="22"/>
              </w:rPr>
              <w:t>7</w:t>
            </w:r>
            <w:r w:rsidRPr="0086658D">
              <w:rPr>
                <w:color w:val="000000"/>
                <w:sz w:val="22"/>
                <w:szCs w:val="22"/>
              </w:rPr>
              <w:t>0</w:t>
            </w:r>
            <w:r>
              <w:rPr>
                <w:color w:val="000000"/>
                <w:sz w:val="22"/>
                <w:szCs w:val="22"/>
              </w:rPr>
              <w:t>7</w:t>
            </w:r>
            <w:r w:rsidRPr="0086658D">
              <w:rPr>
                <w:color w:val="000000"/>
                <w:sz w:val="22"/>
                <w:szCs w:val="22"/>
              </w:rPr>
              <w:t>,</w:t>
            </w:r>
            <w:r>
              <w:rPr>
                <w:color w:val="000000"/>
                <w:sz w:val="22"/>
                <w:szCs w:val="22"/>
              </w:rPr>
              <w:t>330</w:t>
            </w:r>
          </w:p>
        </w:tc>
        <w:tc>
          <w:tcPr>
            <w:tcW w:w="1296" w:type="dxa"/>
            <w:shd w:val="clear" w:color="auto" w:fill="auto"/>
            <w:noWrap/>
            <w:vAlign w:val="bottom"/>
            <w:hideMark/>
          </w:tcPr>
          <w:p w14:paraId="52A3742B" w14:textId="77777777" w:rsidR="00EC75B5" w:rsidRPr="0086658D" w:rsidRDefault="00EC75B5" w:rsidP="00EC75B5">
            <w:pPr>
              <w:jc w:val="center"/>
              <w:rPr>
                <w:color w:val="000000"/>
                <w:sz w:val="22"/>
                <w:szCs w:val="22"/>
              </w:rPr>
            </w:pPr>
            <w:r w:rsidRPr="0086658D">
              <w:rPr>
                <w:color w:val="000000"/>
                <w:sz w:val="22"/>
                <w:szCs w:val="22"/>
              </w:rPr>
              <w:t>4,9</w:t>
            </w:r>
            <w:r>
              <w:rPr>
                <w:color w:val="000000"/>
                <w:sz w:val="22"/>
                <w:szCs w:val="22"/>
              </w:rPr>
              <w:t>54</w:t>
            </w:r>
            <w:r w:rsidRPr="0086658D">
              <w:rPr>
                <w:color w:val="000000"/>
                <w:sz w:val="22"/>
                <w:szCs w:val="22"/>
              </w:rPr>
              <w:t>,</w:t>
            </w:r>
            <w:r>
              <w:rPr>
                <w:color w:val="000000"/>
                <w:sz w:val="22"/>
                <w:szCs w:val="22"/>
              </w:rPr>
              <w:t>0</w:t>
            </w:r>
            <w:r w:rsidRPr="0086658D">
              <w:rPr>
                <w:color w:val="000000"/>
                <w:sz w:val="22"/>
                <w:szCs w:val="22"/>
              </w:rPr>
              <w:t>73</w:t>
            </w:r>
          </w:p>
        </w:tc>
        <w:tc>
          <w:tcPr>
            <w:tcW w:w="1003" w:type="dxa"/>
            <w:shd w:val="clear" w:color="auto" w:fill="auto"/>
            <w:noWrap/>
            <w:vAlign w:val="bottom"/>
            <w:hideMark/>
          </w:tcPr>
          <w:p w14:paraId="63AC6E8F" w14:textId="77777777" w:rsidR="00EC75B5" w:rsidRPr="0086658D" w:rsidRDefault="00EC75B5" w:rsidP="00EC75B5">
            <w:pPr>
              <w:jc w:val="center"/>
              <w:rPr>
                <w:color w:val="000000"/>
                <w:sz w:val="22"/>
                <w:szCs w:val="22"/>
              </w:rPr>
            </w:pPr>
            <w:r>
              <w:rPr>
                <w:color w:val="000000"/>
                <w:sz w:val="22"/>
                <w:szCs w:val="22"/>
              </w:rPr>
              <w:t>63</w:t>
            </w:r>
            <w:r w:rsidRPr="0086658D">
              <w:rPr>
                <w:color w:val="000000"/>
                <w:sz w:val="22"/>
                <w:szCs w:val="22"/>
              </w:rPr>
              <w:t>.</w:t>
            </w:r>
            <w:r>
              <w:rPr>
                <w:color w:val="000000"/>
                <w:sz w:val="22"/>
                <w:szCs w:val="22"/>
              </w:rPr>
              <w:t>6</w:t>
            </w:r>
            <w:r w:rsidRPr="0086658D">
              <w:rPr>
                <w:color w:val="000000"/>
                <w:sz w:val="22"/>
                <w:szCs w:val="22"/>
              </w:rPr>
              <w:t>%</w:t>
            </w:r>
          </w:p>
        </w:tc>
        <w:tc>
          <w:tcPr>
            <w:tcW w:w="1003" w:type="dxa"/>
            <w:shd w:val="clear" w:color="auto" w:fill="auto"/>
            <w:noWrap/>
            <w:vAlign w:val="bottom"/>
            <w:hideMark/>
          </w:tcPr>
          <w:p w14:paraId="691A5517" w14:textId="77777777" w:rsidR="00EC75B5" w:rsidRPr="0086658D" w:rsidRDefault="00EC75B5" w:rsidP="00EC75B5">
            <w:pPr>
              <w:jc w:val="center"/>
              <w:rPr>
                <w:color w:val="000000"/>
                <w:sz w:val="22"/>
                <w:szCs w:val="22"/>
              </w:rPr>
            </w:pPr>
            <w:r w:rsidRPr="0086658D">
              <w:rPr>
                <w:color w:val="000000"/>
                <w:sz w:val="22"/>
                <w:szCs w:val="22"/>
              </w:rPr>
              <w:t>2.</w:t>
            </w:r>
            <w:r>
              <w:rPr>
                <w:color w:val="000000"/>
                <w:sz w:val="22"/>
                <w:szCs w:val="22"/>
              </w:rPr>
              <w:t>0</w:t>
            </w:r>
            <w:r w:rsidRPr="0086658D">
              <w:rPr>
                <w:color w:val="000000"/>
                <w:sz w:val="22"/>
                <w:szCs w:val="22"/>
              </w:rPr>
              <w:t>%</w:t>
            </w:r>
          </w:p>
        </w:tc>
        <w:tc>
          <w:tcPr>
            <w:tcW w:w="1119" w:type="dxa"/>
            <w:shd w:val="clear" w:color="auto" w:fill="auto"/>
            <w:noWrap/>
            <w:vAlign w:val="bottom"/>
            <w:hideMark/>
          </w:tcPr>
          <w:p w14:paraId="323F37D6" w14:textId="77777777" w:rsidR="00EC75B5" w:rsidRPr="0086658D" w:rsidRDefault="00EC75B5" w:rsidP="00EC75B5">
            <w:pPr>
              <w:jc w:val="center"/>
              <w:rPr>
                <w:color w:val="000000"/>
                <w:sz w:val="22"/>
                <w:szCs w:val="22"/>
              </w:rPr>
            </w:pPr>
            <w:r>
              <w:rPr>
                <w:color w:val="000000"/>
                <w:sz w:val="22"/>
                <w:szCs w:val="22"/>
              </w:rPr>
              <w:t>3</w:t>
            </w:r>
            <w:r w:rsidRPr="0086658D">
              <w:rPr>
                <w:color w:val="000000"/>
                <w:sz w:val="22"/>
                <w:szCs w:val="22"/>
              </w:rPr>
              <w:t>4.</w:t>
            </w:r>
            <w:r>
              <w:rPr>
                <w:color w:val="000000"/>
                <w:sz w:val="22"/>
                <w:szCs w:val="22"/>
              </w:rPr>
              <w:t>5</w:t>
            </w:r>
            <w:r w:rsidRPr="0086658D">
              <w:rPr>
                <w:color w:val="000000"/>
                <w:sz w:val="22"/>
                <w:szCs w:val="22"/>
              </w:rPr>
              <w:t>%</w:t>
            </w:r>
          </w:p>
        </w:tc>
      </w:tr>
      <w:tr w:rsidR="00EC75B5" w:rsidRPr="0086658D" w14:paraId="4456756E" w14:textId="77777777" w:rsidTr="00EC75B5">
        <w:trPr>
          <w:trHeight w:val="300"/>
        </w:trPr>
        <w:tc>
          <w:tcPr>
            <w:tcW w:w="1523" w:type="dxa"/>
            <w:shd w:val="clear" w:color="000000" w:fill="D9D9D9" w:themeFill="background1" w:themeFillShade="D9"/>
            <w:noWrap/>
            <w:vAlign w:val="bottom"/>
            <w:hideMark/>
          </w:tcPr>
          <w:p w14:paraId="4B29AF9B" w14:textId="77777777" w:rsidR="00EC75B5" w:rsidRPr="00DD19AC" w:rsidRDefault="00EC75B5" w:rsidP="00EC75B5">
            <w:pPr>
              <w:rPr>
                <w:bCs/>
                <w:color w:val="000000"/>
                <w:sz w:val="22"/>
                <w:szCs w:val="22"/>
              </w:rPr>
            </w:pPr>
            <w:r w:rsidRPr="00DD19AC">
              <w:rPr>
                <w:bCs/>
                <w:color w:val="000000"/>
                <w:sz w:val="22"/>
                <w:szCs w:val="22"/>
              </w:rPr>
              <w:t>SC</w:t>
            </w:r>
          </w:p>
        </w:tc>
        <w:tc>
          <w:tcPr>
            <w:tcW w:w="1176" w:type="dxa"/>
            <w:shd w:val="clear" w:color="auto" w:fill="auto"/>
            <w:noWrap/>
            <w:vAlign w:val="bottom"/>
            <w:hideMark/>
          </w:tcPr>
          <w:p w14:paraId="1942AA5F" w14:textId="77777777" w:rsidR="00EC75B5" w:rsidRPr="0086658D" w:rsidRDefault="00EC75B5" w:rsidP="00EC75B5">
            <w:pPr>
              <w:jc w:val="center"/>
              <w:rPr>
                <w:color w:val="000000"/>
                <w:sz w:val="22"/>
                <w:szCs w:val="22"/>
              </w:rPr>
            </w:pPr>
            <w:r w:rsidRPr="0086658D">
              <w:rPr>
                <w:color w:val="000000"/>
                <w:sz w:val="22"/>
                <w:szCs w:val="22"/>
              </w:rPr>
              <w:t>1,</w:t>
            </w:r>
            <w:r>
              <w:rPr>
                <w:color w:val="000000"/>
                <w:sz w:val="22"/>
                <w:szCs w:val="22"/>
              </w:rPr>
              <w:t>2</w:t>
            </w:r>
            <w:r w:rsidRPr="0086658D">
              <w:rPr>
                <w:color w:val="000000"/>
                <w:sz w:val="22"/>
                <w:szCs w:val="22"/>
              </w:rPr>
              <w:t>8</w:t>
            </w:r>
            <w:r>
              <w:rPr>
                <w:color w:val="000000"/>
                <w:sz w:val="22"/>
                <w:szCs w:val="22"/>
              </w:rPr>
              <w:t>8</w:t>
            </w:r>
            <w:r w:rsidRPr="0086658D">
              <w:rPr>
                <w:color w:val="000000"/>
                <w:sz w:val="22"/>
                <w:szCs w:val="22"/>
              </w:rPr>
              <w:t>,</w:t>
            </w:r>
            <w:r>
              <w:rPr>
                <w:color w:val="000000"/>
                <w:sz w:val="22"/>
                <w:szCs w:val="22"/>
              </w:rPr>
              <w:t>538</w:t>
            </w:r>
          </w:p>
        </w:tc>
        <w:tc>
          <w:tcPr>
            <w:tcW w:w="1025" w:type="dxa"/>
            <w:shd w:val="clear" w:color="auto" w:fill="auto"/>
            <w:noWrap/>
            <w:vAlign w:val="bottom"/>
            <w:hideMark/>
          </w:tcPr>
          <w:p w14:paraId="2D8EC8EB" w14:textId="77777777" w:rsidR="00EC75B5" w:rsidRPr="0086658D" w:rsidRDefault="00EC75B5" w:rsidP="00EC75B5">
            <w:pPr>
              <w:jc w:val="center"/>
              <w:rPr>
                <w:color w:val="000000"/>
                <w:sz w:val="22"/>
                <w:szCs w:val="22"/>
              </w:rPr>
            </w:pPr>
            <w:r>
              <w:rPr>
                <w:color w:val="000000"/>
                <w:sz w:val="22"/>
                <w:szCs w:val="22"/>
              </w:rPr>
              <w:t>9</w:t>
            </w:r>
            <w:r w:rsidRPr="0086658D">
              <w:rPr>
                <w:color w:val="000000"/>
                <w:sz w:val="22"/>
                <w:szCs w:val="22"/>
              </w:rPr>
              <w:t>4,</w:t>
            </w:r>
            <w:r>
              <w:rPr>
                <w:color w:val="000000"/>
                <w:sz w:val="22"/>
                <w:szCs w:val="22"/>
              </w:rPr>
              <w:t>37</w:t>
            </w:r>
            <w:r w:rsidRPr="0086658D">
              <w:rPr>
                <w:color w:val="000000"/>
                <w:sz w:val="22"/>
                <w:szCs w:val="22"/>
              </w:rPr>
              <w:t>4</w:t>
            </w:r>
          </w:p>
        </w:tc>
        <w:tc>
          <w:tcPr>
            <w:tcW w:w="1176" w:type="dxa"/>
            <w:shd w:val="clear" w:color="auto" w:fill="auto"/>
            <w:noWrap/>
            <w:vAlign w:val="bottom"/>
            <w:hideMark/>
          </w:tcPr>
          <w:p w14:paraId="59BEA102" w14:textId="77777777" w:rsidR="00EC75B5" w:rsidRPr="0086658D" w:rsidRDefault="00EC75B5" w:rsidP="00EC75B5">
            <w:pPr>
              <w:jc w:val="center"/>
              <w:rPr>
                <w:color w:val="000000"/>
                <w:sz w:val="22"/>
                <w:szCs w:val="22"/>
              </w:rPr>
            </w:pPr>
            <w:r>
              <w:rPr>
                <w:color w:val="000000"/>
                <w:sz w:val="22"/>
                <w:szCs w:val="22"/>
              </w:rPr>
              <w:t>83</w:t>
            </w:r>
            <w:r w:rsidRPr="0086658D">
              <w:rPr>
                <w:color w:val="000000"/>
                <w:sz w:val="22"/>
                <w:szCs w:val="22"/>
              </w:rPr>
              <w:t>8,</w:t>
            </w:r>
            <w:r>
              <w:rPr>
                <w:color w:val="000000"/>
                <w:sz w:val="22"/>
                <w:szCs w:val="22"/>
              </w:rPr>
              <w:t>3</w:t>
            </w:r>
            <w:r w:rsidRPr="0086658D">
              <w:rPr>
                <w:color w:val="000000"/>
                <w:sz w:val="22"/>
                <w:szCs w:val="22"/>
              </w:rPr>
              <w:t>7</w:t>
            </w:r>
            <w:r>
              <w:rPr>
                <w:color w:val="000000"/>
                <w:sz w:val="22"/>
                <w:szCs w:val="22"/>
              </w:rPr>
              <w:t>6</w:t>
            </w:r>
          </w:p>
        </w:tc>
        <w:tc>
          <w:tcPr>
            <w:tcW w:w="1296" w:type="dxa"/>
            <w:shd w:val="clear" w:color="auto" w:fill="auto"/>
            <w:noWrap/>
            <w:vAlign w:val="bottom"/>
            <w:hideMark/>
          </w:tcPr>
          <w:p w14:paraId="0133A811" w14:textId="77777777" w:rsidR="00EC75B5" w:rsidRPr="0086658D" w:rsidRDefault="00EC75B5" w:rsidP="00EC75B5">
            <w:pPr>
              <w:jc w:val="center"/>
              <w:rPr>
                <w:color w:val="000000"/>
                <w:sz w:val="22"/>
                <w:szCs w:val="22"/>
              </w:rPr>
            </w:pPr>
            <w:r>
              <w:rPr>
                <w:color w:val="000000"/>
                <w:sz w:val="22"/>
                <w:szCs w:val="22"/>
              </w:rPr>
              <w:t>2</w:t>
            </w:r>
            <w:r w:rsidRPr="0086658D">
              <w:rPr>
                <w:color w:val="000000"/>
                <w:sz w:val="22"/>
                <w:szCs w:val="22"/>
              </w:rPr>
              <w:t>,</w:t>
            </w:r>
            <w:r>
              <w:rPr>
                <w:color w:val="000000"/>
                <w:sz w:val="22"/>
                <w:szCs w:val="22"/>
              </w:rPr>
              <w:t>221</w:t>
            </w:r>
            <w:r w:rsidRPr="0086658D">
              <w:rPr>
                <w:color w:val="000000"/>
                <w:sz w:val="22"/>
                <w:szCs w:val="22"/>
              </w:rPr>
              <w:t>,</w:t>
            </w:r>
            <w:r>
              <w:rPr>
                <w:color w:val="000000"/>
                <w:sz w:val="22"/>
                <w:szCs w:val="22"/>
              </w:rPr>
              <w:t>288</w:t>
            </w:r>
          </w:p>
        </w:tc>
        <w:tc>
          <w:tcPr>
            <w:tcW w:w="1003" w:type="dxa"/>
            <w:shd w:val="clear" w:color="auto" w:fill="auto"/>
            <w:noWrap/>
            <w:vAlign w:val="bottom"/>
            <w:hideMark/>
          </w:tcPr>
          <w:p w14:paraId="35C33B97" w14:textId="77777777" w:rsidR="00EC75B5" w:rsidRPr="0086658D" w:rsidRDefault="00EC75B5" w:rsidP="00EC75B5">
            <w:pPr>
              <w:jc w:val="center"/>
              <w:rPr>
                <w:color w:val="000000"/>
                <w:sz w:val="22"/>
                <w:szCs w:val="22"/>
              </w:rPr>
            </w:pPr>
            <w:r w:rsidRPr="0086658D">
              <w:rPr>
                <w:color w:val="000000"/>
                <w:sz w:val="22"/>
                <w:szCs w:val="22"/>
              </w:rPr>
              <w:t>5</w:t>
            </w:r>
            <w:r>
              <w:rPr>
                <w:color w:val="000000"/>
                <w:sz w:val="22"/>
                <w:szCs w:val="22"/>
              </w:rPr>
              <w:t>8</w:t>
            </w:r>
            <w:r w:rsidRPr="0086658D">
              <w:rPr>
                <w:color w:val="000000"/>
                <w:sz w:val="22"/>
                <w:szCs w:val="22"/>
              </w:rPr>
              <w:t>.</w:t>
            </w:r>
            <w:r>
              <w:rPr>
                <w:color w:val="000000"/>
                <w:sz w:val="22"/>
                <w:szCs w:val="22"/>
              </w:rPr>
              <w:t>0</w:t>
            </w:r>
            <w:r w:rsidRPr="0086658D">
              <w:rPr>
                <w:color w:val="000000"/>
                <w:sz w:val="22"/>
                <w:szCs w:val="22"/>
              </w:rPr>
              <w:t>%</w:t>
            </w:r>
          </w:p>
        </w:tc>
        <w:tc>
          <w:tcPr>
            <w:tcW w:w="1003" w:type="dxa"/>
            <w:shd w:val="clear" w:color="auto" w:fill="auto"/>
            <w:noWrap/>
            <w:vAlign w:val="bottom"/>
            <w:hideMark/>
          </w:tcPr>
          <w:p w14:paraId="1DD1D82A" w14:textId="77777777" w:rsidR="00EC75B5" w:rsidRPr="0086658D" w:rsidRDefault="00EC75B5" w:rsidP="00EC75B5">
            <w:pPr>
              <w:jc w:val="center"/>
              <w:rPr>
                <w:color w:val="000000"/>
                <w:sz w:val="22"/>
                <w:szCs w:val="22"/>
              </w:rPr>
            </w:pPr>
            <w:r>
              <w:rPr>
                <w:color w:val="000000"/>
                <w:sz w:val="22"/>
                <w:szCs w:val="22"/>
              </w:rPr>
              <w:t>4.</w:t>
            </w:r>
            <w:r w:rsidRPr="0086658D">
              <w:rPr>
                <w:color w:val="000000"/>
                <w:sz w:val="22"/>
                <w:szCs w:val="22"/>
              </w:rPr>
              <w:t>2%</w:t>
            </w:r>
          </w:p>
        </w:tc>
        <w:tc>
          <w:tcPr>
            <w:tcW w:w="1119" w:type="dxa"/>
            <w:shd w:val="clear" w:color="auto" w:fill="auto"/>
            <w:noWrap/>
            <w:vAlign w:val="bottom"/>
            <w:hideMark/>
          </w:tcPr>
          <w:p w14:paraId="165E8D11" w14:textId="77777777" w:rsidR="00EC75B5" w:rsidRPr="0086658D" w:rsidRDefault="00EC75B5" w:rsidP="00EC75B5">
            <w:pPr>
              <w:jc w:val="center"/>
              <w:rPr>
                <w:color w:val="000000"/>
                <w:sz w:val="22"/>
                <w:szCs w:val="22"/>
              </w:rPr>
            </w:pPr>
            <w:r w:rsidRPr="0086658D">
              <w:rPr>
                <w:color w:val="000000"/>
                <w:sz w:val="22"/>
                <w:szCs w:val="22"/>
              </w:rPr>
              <w:t>37.</w:t>
            </w:r>
            <w:r>
              <w:rPr>
                <w:color w:val="000000"/>
                <w:sz w:val="22"/>
                <w:szCs w:val="22"/>
              </w:rPr>
              <w:t>7</w:t>
            </w:r>
            <w:r w:rsidRPr="0086658D">
              <w:rPr>
                <w:color w:val="000000"/>
                <w:sz w:val="22"/>
                <w:szCs w:val="22"/>
              </w:rPr>
              <w:t>%</w:t>
            </w:r>
          </w:p>
        </w:tc>
      </w:tr>
      <w:tr w:rsidR="00EC75B5" w:rsidRPr="0086658D" w14:paraId="397C0DC7" w14:textId="77777777" w:rsidTr="00EC75B5">
        <w:trPr>
          <w:trHeight w:val="300"/>
        </w:trPr>
        <w:tc>
          <w:tcPr>
            <w:tcW w:w="1523" w:type="dxa"/>
            <w:shd w:val="clear" w:color="000000" w:fill="D9D9D9" w:themeFill="background1" w:themeFillShade="D9"/>
            <w:noWrap/>
            <w:vAlign w:val="bottom"/>
            <w:hideMark/>
          </w:tcPr>
          <w:p w14:paraId="43E3D5E7" w14:textId="77777777" w:rsidR="00EC75B5" w:rsidRPr="00DD19AC" w:rsidRDefault="00EC75B5" w:rsidP="00EC75B5">
            <w:pPr>
              <w:rPr>
                <w:bCs/>
                <w:color w:val="000000"/>
                <w:sz w:val="22"/>
                <w:szCs w:val="22"/>
              </w:rPr>
            </w:pPr>
            <w:r w:rsidRPr="00DD19AC">
              <w:rPr>
                <w:bCs/>
                <w:color w:val="000000"/>
                <w:sz w:val="22"/>
                <w:szCs w:val="22"/>
              </w:rPr>
              <w:t>Total</w:t>
            </w:r>
          </w:p>
        </w:tc>
        <w:tc>
          <w:tcPr>
            <w:tcW w:w="1176" w:type="dxa"/>
            <w:shd w:val="clear" w:color="auto" w:fill="auto"/>
            <w:noWrap/>
            <w:vAlign w:val="bottom"/>
            <w:hideMark/>
          </w:tcPr>
          <w:p w14:paraId="1691C9B3" w14:textId="77777777" w:rsidR="00EC75B5" w:rsidRPr="0086658D" w:rsidRDefault="00EC75B5" w:rsidP="00EC75B5">
            <w:pPr>
              <w:jc w:val="center"/>
              <w:rPr>
                <w:color w:val="000000"/>
                <w:sz w:val="22"/>
                <w:szCs w:val="22"/>
              </w:rPr>
            </w:pPr>
            <w:r>
              <w:rPr>
                <w:color w:val="000000"/>
                <w:sz w:val="22"/>
                <w:szCs w:val="22"/>
              </w:rPr>
              <w:t>9</w:t>
            </w:r>
            <w:r w:rsidRPr="0086658D">
              <w:rPr>
                <w:color w:val="000000"/>
                <w:sz w:val="22"/>
                <w:szCs w:val="22"/>
              </w:rPr>
              <w:t>,</w:t>
            </w:r>
            <w:r>
              <w:rPr>
                <w:color w:val="000000"/>
                <w:sz w:val="22"/>
                <w:szCs w:val="22"/>
              </w:rPr>
              <w:t>39</w:t>
            </w:r>
            <w:r w:rsidRPr="0086658D">
              <w:rPr>
                <w:color w:val="000000"/>
                <w:sz w:val="22"/>
                <w:szCs w:val="22"/>
              </w:rPr>
              <w:t>4,</w:t>
            </w:r>
            <w:r>
              <w:rPr>
                <w:color w:val="000000"/>
                <w:sz w:val="22"/>
                <w:szCs w:val="22"/>
              </w:rPr>
              <w:t>9</w:t>
            </w:r>
            <w:r w:rsidRPr="0086658D">
              <w:rPr>
                <w:color w:val="000000"/>
                <w:sz w:val="22"/>
                <w:szCs w:val="22"/>
              </w:rPr>
              <w:t>1</w:t>
            </w:r>
            <w:r>
              <w:rPr>
                <w:color w:val="000000"/>
                <w:sz w:val="22"/>
                <w:szCs w:val="22"/>
              </w:rPr>
              <w:t>6</w:t>
            </w:r>
          </w:p>
        </w:tc>
        <w:tc>
          <w:tcPr>
            <w:tcW w:w="1025" w:type="dxa"/>
            <w:shd w:val="clear" w:color="auto" w:fill="auto"/>
            <w:noWrap/>
            <w:vAlign w:val="bottom"/>
            <w:hideMark/>
          </w:tcPr>
          <w:p w14:paraId="71F39624" w14:textId="77777777" w:rsidR="00EC75B5" w:rsidRPr="0086658D" w:rsidRDefault="00EC75B5" w:rsidP="00EC75B5">
            <w:pPr>
              <w:jc w:val="center"/>
              <w:rPr>
                <w:color w:val="000000"/>
                <w:sz w:val="22"/>
                <w:szCs w:val="22"/>
              </w:rPr>
            </w:pPr>
            <w:r w:rsidRPr="0086658D">
              <w:rPr>
                <w:color w:val="000000"/>
                <w:sz w:val="22"/>
                <w:szCs w:val="22"/>
              </w:rPr>
              <w:t>4</w:t>
            </w:r>
            <w:r>
              <w:rPr>
                <w:color w:val="000000"/>
                <w:sz w:val="22"/>
                <w:szCs w:val="22"/>
              </w:rPr>
              <w:t>1</w:t>
            </w:r>
            <w:r w:rsidRPr="0086658D">
              <w:rPr>
                <w:color w:val="000000"/>
                <w:sz w:val="22"/>
                <w:szCs w:val="22"/>
              </w:rPr>
              <w:t>4</w:t>
            </w:r>
            <w:r>
              <w:rPr>
                <w:color w:val="000000"/>
                <w:sz w:val="22"/>
                <w:szCs w:val="22"/>
              </w:rPr>
              <w:t>,</w:t>
            </w:r>
            <w:r w:rsidRPr="0086658D">
              <w:rPr>
                <w:color w:val="000000"/>
                <w:sz w:val="22"/>
                <w:szCs w:val="22"/>
              </w:rPr>
              <w:t>2</w:t>
            </w:r>
            <w:r>
              <w:rPr>
                <w:color w:val="000000"/>
                <w:sz w:val="22"/>
                <w:szCs w:val="22"/>
              </w:rPr>
              <w:t>71</w:t>
            </w:r>
          </w:p>
        </w:tc>
        <w:tc>
          <w:tcPr>
            <w:tcW w:w="1176" w:type="dxa"/>
            <w:shd w:val="clear" w:color="auto" w:fill="auto"/>
            <w:noWrap/>
            <w:vAlign w:val="bottom"/>
            <w:hideMark/>
          </w:tcPr>
          <w:p w14:paraId="28D3D32C" w14:textId="77777777" w:rsidR="00EC75B5" w:rsidRPr="0086658D" w:rsidRDefault="00EC75B5" w:rsidP="00EC75B5">
            <w:pPr>
              <w:jc w:val="center"/>
              <w:rPr>
                <w:color w:val="000000"/>
                <w:sz w:val="22"/>
                <w:szCs w:val="22"/>
              </w:rPr>
            </w:pPr>
            <w:r w:rsidRPr="0086658D">
              <w:rPr>
                <w:color w:val="000000"/>
                <w:sz w:val="22"/>
                <w:szCs w:val="22"/>
              </w:rPr>
              <w:t>7,8</w:t>
            </w:r>
            <w:r>
              <w:rPr>
                <w:color w:val="000000"/>
                <w:sz w:val="22"/>
                <w:szCs w:val="22"/>
              </w:rPr>
              <w:t>36</w:t>
            </w:r>
            <w:r w:rsidRPr="0086658D">
              <w:rPr>
                <w:color w:val="000000"/>
                <w:sz w:val="22"/>
                <w:szCs w:val="22"/>
              </w:rPr>
              <w:t>,</w:t>
            </w:r>
            <w:r>
              <w:rPr>
                <w:color w:val="000000"/>
                <w:sz w:val="22"/>
                <w:szCs w:val="22"/>
              </w:rPr>
              <w:t>313</w:t>
            </w:r>
          </w:p>
        </w:tc>
        <w:tc>
          <w:tcPr>
            <w:tcW w:w="1296" w:type="dxa"/>
            <w:shd w:val="clear" w:color="auto" w:fill="auto"/>
            <w:noWrap/>
            <w:vAlign w:val="bottom"/>
            <w:hideMark/>
          </w:tcPr>
          <w:p w14:paraId="61590EA2" w14:textId="77777777" w:rsidR="00EC75B5" w:rsidRPr="0086658D" w:rsidRDefault="00EC75B5" w:rsidP="00EC75B5">
            <w:pPr>
              <w:jc w:val="center"/>
              <w:rPr>
                <w:color w:val="000000"/>
                <w:sz w:val="22"/>
                <w:szCs w:val="22"/>
              </w:rPr>
            </w:pPr>
            <w:r w:rsidRPr="0086658D">
              <w:rPr>
                <w:color w:val="000000"/>
                <w:sz w:val="22"/>
                <w:szCs w:val="22"/>
              </w:rPr>
              <w:t>1</w:t>
            </w:r>
            <w:r>
              <w:rPr>
                <w:color w:val="000000"/>
                <w:sz w:val="22"/>
                <w:szCs w:val="22"/>
              </w:rPr>
              <w:t>7</w:t>
            </w:r>
            <w:r w:rsidRPr="0086658D">
              <w:rPr>
                <w:color w:val="000000"/>
                <w:sz w:val="22"/>
                <w:szCs w:val="22"/>
              </w:rPr>
              <w:t>,6</w:t>
            </w:r>
            <w:r>
              <w:rPr>
                <w:color w:val="000000"/>
                <w:sz w:val="22"/>
                <w:szCs w:val="22"/>
              </w:rPr>
              <w:t>45</w:t>
            </w:r>
            <w:r w:rsidRPr="0086658D">
              <w:rPr>
                <w:color w:val="000000"/>
                <w:sz w:val="22"/>
                <w:szCs w:val="22"/>
              </w:rPr>
              <w:t>,5</w:t>
            </w:r>
            <w:r>
              <w:rPr>
                <w:color w:val="000000"/>
                <w:sz w:val="22"/>
                <w:szCs w:val="22"/>
              </w:rPr>
              <w:t>00</w:t>
            </w:r>
          </w:p>
        </w:tc>
        <w:tc>
          <w:tcPr>
            <w:tcW w:w="1003" w:type="dxa"/>
            <w:shd w:val="clear" w:color="auto" w:fill="auto"/>
            <w:noWrap/>
            <w:vAlign w:val="bottom"/>
            <w:hideMark/>
          </w:tcPr>
          <w:p w14:paraId="309339EA" w14:textId="77777777" w:rsidR="00EC75B5" w:rsidRPr="0086658D" w:rsidRDefault="00EC75B5" w:rsidP="00EC75B5">
            <w:pPr>
              <w:jc w:val="center"/>
              <w:rPr>
                <w:color w:val="000000"/>
                <w:sz w:val="22"/>
                <w:szCs w:val="22"/>
              </w:rPr>
            </w:pPr>
            <w:r w:rsidRPr="0086658D">
              <w:rPr>
                <w:color w:val="000000"/>
                <w:sz w:val="22"/>
                <w:szCs w:val="22"/>
              </w:rPr>
              <w:t>5</w:t>
            </w:r>
            <w:r>
              <w:rPr>
                <w:color w:val="000000"/>
                <w:sz w:val="22"/>
                <w:szCs w:val="22"/>
              </w:rPr>
              <w:t>3</w:t>
            </w:r>
            <w:r w:rsidRPr="0086658D">
              <w:rPr>
                <w:color w:val="000000"/>
                <w:sz w:val="22"/>
                <w:szCs w:val="22"/>
              </w:rPr>
              <w:t>.</w:t>
            </w:r>
            <w:r>
              <w:rPr>
                <w:color w:val="000000"/>
                <w:sz w:val="22"/>
                <w:szCs w:val="22"/>
              </w:rPr>
              <w:t>2</w:t>
            </w:r>
            <w:r w:rsidRPr="0086658D">
              <w:rPr>
                <w:color w:val="000000"/>
                <w:sz w:val="22"/>
                <w:szCs w:val="22"/>
              </w:rPr>
              <w:t>%</w:t>
            </w:r>
          </w:p>
        </w:tc>
        <w:tc>
          <w:tcPr>
            <w:tcW w:w="1003" w:type="dxa"/>
            <w:shd w:val="clear" w:color="auto" w:fill="auto"/>
            <w:noWrap/>
            <w:vAlign w:val="bottom"/>
            <w:hideMark/>
          </w:tcPr>
          <w:p w14:paraId="1B21906A" w14:textId="77777777" w:rsidR="00EC75B5" w:rsidRPr="0086658D" w:rsidRDefault="00EC75B5" w:rsidP="00EC75B5">
            <w:pPr>
              <w:jc w:val="center"/>
              <w:rPr>
                <w:color w:val="000000"/>
                <w:sz w:val="22"/>
                <w:szCs w:val="22"/>
              </w:rPr>
            </w:pPr>
            <w:r w:rsidRPr="0086658D">
              <w:rPr>
                <w:color w:val="000000"/>
                <w:sz w:val="22"/>
                <w:szCs w:val="22"/>
              </w:rPr>
              <w:t>2.</w:t>
            </w:r>
            <w:r>
              <w:rPr>
                <w:color w:val="000000"/>
                <w:sz w:val="22"/>
                <w:szCs w:val="22"/>
              </w:rPr>
              <w:t>4</w:t>
            </w:r>
            <w:r w:rsidRPr="0086658D">
              <w:rPr>
                <w:color w:val="000000"/>
                <w:sz w:val="22"/>
                <w:szCs w:val="22"/>
              </w:rPr>
              <w:t>%</w:t>
            </w:r>
          </w:p>
        </w:tc>
        <w:tc>
          <w:tcPr>
            <w:tcW w:w="1119" w:type="dxa"/>
            <w:shd w:val="clear" w:color="auto" w:fill="auto"/>
            <w:noWrap/>
            <w:vAlign w:val="bottom"/>
            <w:hideMark/>
          </w:tcPr>
          <w:p w14:paraId="71ADF424" w14:textId="77777777" w:rsidR="00EC75B5" w:rsidRPr="0086658D" w:rsidRDefault="00EC75B5" w:rsidP="00EC75B5">
            <w:pPr>
              <w:jc w:val="center"/>
              <w:rPr>
                <w:color w:val="000000"/>
                <w:sz w:val="22"/>
                <w:szCs w:val="22"/>
              </w:rPr>
            </w:pPr>
            <w:r w:rsidRPr="0086658D">
              <w:rPr>
                <w:color w:val="000000"/>
                <w:sz w:val="22"/>
                <w:szCs w:val="22"/>
              </w:rPr>
              <w:t>4</w:t>
            </w:r>
            <w:r>
              <w:rPr>
                <w:color w:val="000000"/>
                <w:sz w:val="22"/>
                <w:szCs w:val="22"/>
              </w:rPr>
              <w:t>4</w:t>
            </w:r>
            <w:r w:rsidRPr="0086658D">
              <w:rPr>
                <w:color w:val="000000"/>
                <w:sz w:val="22"/>
                <w:szCs w:val="22"/>
              </w:rPr>
              <w:t>.4%</w:t>
            </w:r>
          </w:p>
        </w:tc>
      </w:tr>
    </w:tbl>
    <w:p w14:paraId="67295924" w14:textId="77777777" w:rsidR="00EC75B5" w:rsidRDefault="00EC75B5" w:rsidP="00EC75B5">
      <w:pPr>
        <w:rPr>
          <w:rFonts w:ascii="Arial" w:hAnsi="Arial" w:cs="Arial"/>
          <w:sz w:val="20"/>
          <w:szCs w:val="20"/>
        </w:rPr>
      </w:pPr>
      <w:r w:rsidRPr="001072F5">
        <w:rPr>
          <w:rFonts w:ascii="Arial" w:hAnsi="Arial" w:cs="Arial"/>
          <w:sz w:val="20"/>
          <w:szCs w:val="20"/>
        </w:rPr>
        <w:t xml:space="preserve">Source: </w:t>
      </w:r>
      <w:r w:rsidRPr="001072F5">
        <w:rPr>
          <w:rFonts w:ascii="Arial" w:hAnsi="Arial" w:cs="Arial"/>
          <w:color w:val="000000"/>
          <w:sz w:val="20"/>
          <w:szCs w:val="20"/>
        </w:rPr>
        <w:t xml:space="preserve">Personal communication from the National Marine Fisheries Service, Fisheries Statistics Division </w:t>
      </w:r>
      <w:r>
        <w:rPr>
          <w:rFonts w:ascii="Arial" w:hAnsi="Arial" w:cs="Arial"/>
          <w:color w:val="000000"/>
          <w:sz w:val="20"/>
          <w:szCs w:val="20"/>
        </w:rPr>
        <w:t xml:space="preserve">July </w:t>
      </w:r>
      <w:r w:rsidRPr="001072F5">
        <w:rPr>
          <w:rFonts w:ascii="Arial" w:hAnsi="Arial" w:cs="Arial"/>
          <w:color w:val="000000"/>
          <w:sz w:val="20"/>
          <w:szCs w:val="20"/>
        </w:rPr>
        <w:t xml:space="preserve"> 2</w:t>
      </w:r>
      <w:r>
        <w:rPr>
          <w:rFonts w:ascii="Arial" w:hAnsi="Arial" w:cs="Arial"/>
          <w:color w:val="000000"/>
          <w:sz w:val="20"/>
          <w:szCs w:val="20"/>
        </w:rPr>
        <w:t>7</w:t>
      </w:r>
      <w:r w:rsidRPr="001072F5">
        <w:rPr>
          <w:rFonts w:ascii="Arial" w:hAnsi="Arial" w:cs="Arial"/>
          <w:color w:val="000000"/>
          <w:sz w:val="20"/>
          <w:szCs w:val="20"/>
        </w:rPr>
        <w:t>, 2016</w:t>
      </w:r>
      <w:r>
        <w:rPr>
          <w:rFonts w:ascii="Arial" w:hAnsi="Arial" w:cs="Arial"/>
          <w:sz w:val="20"/>
          <w:szCs w:val="20"/>
        </w:rPr>
        <w:t>.</w:t>
      </w:r>
    </w:p>
    <w:p w14:paraId="175AE011" w14:textId="77777777" w:rsidR="00EC75B5" w:rsidRDefault="00EC75B5" w:rsidP="00EC75B5">
      <w:pPr>
        <w:ind w:firstLine="360"/>
      </w:pPr>
    </w:p>
    <w:p w14:paraId="2A130A2D" w14:textId="77777777" w:rsidR="00DB18EC" w:rsidRDefault="00DB18EC">
      <w:pPr>
        <w:rPr>
          <w:rFonts w:ascii="Arial" w:hAnsi="Arial"/>
          <w:b/>
          <w:bCs/>
          <w:sz w:val="20"/>
        </w:rPr>
      </w:pPr>
      <w:r>
        <w:rPr>
          <w:b/>
        </w:rPr>
        <w:br w:type="page"/>
      </w:r>
    </w:p>
    <w:p w14:paraId="1452A4D3" w14:textId="54570977" w:rsidR="00EC75B5" w:rsidRPr="00952EDA" w:rsidRDefault="00EC75B5" w:rsidP="00EC75B5">
      <w:pPr>
        <w:pStyle w:val="Tabletitle"/>
      </w:pPr>
      <w:bookmarkStart w:id="161" w:name="_Toc340431561"/>
      <w:r>
        <w:rPr>
          <w:b/>
        </w:rPr>
        <w:lastRenderedPageBreak/>
        <w:t>Table 3.3.16</w:t>
      </w:r>
      <w:r w:rsidRPr="00952EDA">
        <w:rPr>
          <w:b/>
        </w:rPr>
        <w:t>.</w:t>
      </w:r>
      <w:r w:rsidRPr="00952EDA">
        <w:t xml:space="preserve">  Anglers, angler trips, and economic impacts of trips in the South Atlantic.</w:t>
      </w:r>
      <w:bookmarkEnd w:id="161"/>
      <w:r w:rsidRPr="00952EDA">
        <w:t xml:space="preserve">  </w:t>
      </w:r>
    </w:p>
    <w:tbl>
      <w:tblPr>
        <w:tblW w:w="9219" w:type="dxa"/>
        <w:tblInd w:w="93" w:type="dxa"/>
        <w:tblLook w:val="04A0" w:firstRow="1" w:lastRow="0" w:firstColumn="1" w:lastColumn="0" w:noHBand="0" w:noVBand="1"/>
      </w:tblPr>
      <w:tblGrid>
        <w:gridCol w:w="1725"/>
        <w:gridCol w:w="1176"/>
        <w:gridCol w:w="1296"/>
        <w:gridCol w:w="900"/>
        <w:gridCol w:w="1296"/>
        <w:gridCol w:w="1296"/>
        <w:gridCol w:w="1530"/>
      </w:tblGrid>
      <w:tr w:rsidR="00EC75B5" w:rsidRPr="0086658D" w14:paraId="492A6F27" w14:textId="77777777" w:rsidTr="00EC75B5">
        <w:trPr>
          <w:trHeight w:val="300"/>
        </w:trPr>
        <w:tc>
          <w:tcPr>
            <w:tcW w:w="172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89F26B" w14:textId="77777777" w:rsidR="00EC75B5" w:rsidRPr="0086658D" w:rsidRDefault="00EC75B5" w:rsidP="00EC75B5">
            <w:pPr>
              <w:jc w:val="center"/>
              <w:rPr>
                <w:b/>
                <w:bCs/>
                <w:color w:val="000000"/>
                <w:sz w:val="22"/>
                <w:szCs w:val="22"/>
              </w:rPr>
            </w:pPr>
            <w:r w:rsidRPr="0086658D">
              <w:rPr>
                <w:b/>
                <w:bCs/>
                <w:color w:val="000000"/>
                <w:sz w:val="22"/>
                <w:szCs w:val="22"/>
              </w:rPr>
              <w:t>State</w:t>
            </w:r>
          </w:p>
        </w:tc>
        <w:tc>
          <w:tcPr>
            <w:tcW w:w="1176"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6425BC73" w14:textId="77777777" w:rsidR="00EC75B5" w:rsidRPr="0086658D" w:rsidRDefault="00EC75B5" w:rsidP="00EC75B5">
            <w:pPr>
              <w:jc w:val="center"/>
              <w:rPr>
                <w:b/>
                <w:bCs/>
                <w:color w:val="000000"/>
                <w:sz w:val="22"/>
                <w:szCs w:val="22"/>
              </w:rPr>
            </w:pPr>
            <w:r w:rsidRPr="0086658D">
              <w:rPr>
                <w:b/>
                <w:bCs/>
                <w:color w:val="000000"/>
                <w:sz w:val="22"/>
                <w:szCs w:val="22"/>
              </w:rPr>
              <w:t>Anglers</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6BB6FDB" w14:textId="77777777" w:rsidR="00EC75B5" w:rsidRPr="0086658D" w:rsidRDefault="00EC75B5" w:rsidP="00EC75B5">
            <w:pPr>
              <w:jc w:val="center"/>
              <w:rPr>
                <w:b/>
                <w:bCs/>
                <w:color w:val="000000"/>
                <w:sz w:val="22"/>
                <w:szCs w:val="22"/>
              </w:rPr>
            </w:pPr>
            <w:r w:rsidRPr="0086658D">
              <w:rPr>
                <w:b/>
                <w:bCs/>
                <w:color w:val="000000"/>
                <w:sz w:val="22"/>
                <w:szCs w:val="22"/>
              </w:rPr>
              <w:t>Trips</w:t>
            </w:r>
          </w:p>
        </w:tc>
        <w:tc>
          <w:tcPr>
            <w:tcW w:w="5022" w:type="dxa"/>
            <w:gridSpan w:val="4"/>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2FBEE380" w14:textId="77777777" w:rsidR="00EC75B5" w:rsidRPr="0086658D" w:rsidRDefault="00EC75B5" w:rsidP="00EC75B5">
            <w:pPr>
              <w:jc w:val="center"/>
              <w:rPr>
                <w:b/>
                <w:bCs/>
                <w:color w:val="000000"/>
                <w:sz w:val="22"/>
                <w:szCs w:val="22"/>
              </w:rPr>
            </w:pPr>
            <w:r w:rsidRPr="0086658D">
              <w:rPr>
                <w:b/>
                <w:bCs/>
                <w:color w:val="000000"/>
                <w:sz w:val="22"/>
                <w:szCs w:val="22"/>
              </w:rPr>
              <w:t>Thousands</w:t>
            </w:r>
          </w:p>
        </w:tc>
      </w:tr>
      <w:tr w:rsidR="00EC75B5" w:rsidRPr="0086658D" w14:paraId="5579A0CA" w14:textId="77777777" w:rsidTr="00EC75B5">
        <w:trPr>
          <w:trHeight w:val="300"/>
        </w:trPr>
        <w:tc>
          <w:tcPr>
            <w:tcW w:w="172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F71A35" w14:textId="77777777" w:rsidR="00EC75B5" w:rsidRPr="0086658D" w:rsidRDefault="00EC75B5" w:rsidP="00EC75B5">
            <w:pPr>
              <w:rPr>
                <w:b/>
                <w:bCs/>
                <w:color w:val="000000"/>
                <w:sz w:val="22"/>
                <w:szCs w:val="22"/>
              </w:rPr>
            </w:pPr>
          </w:p>
        </w:tc>
        <w:tc>
          <w:tcPr>
            <w:tcW w:w="117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1B56ACC" w14:textId="77777777" w:rsidR="00EC75B5" w:rsidRPr="0086658D" w:rsidRDefault="00EC75B5" w:rsidP="00EC75B5">
            <w:pPr>
              <w:rPr>
                <w:b/>
                <w:bCs/>
                <w:color w:val="000000"/>
                <w:sz w:val="22"/>
                <w:szCs w:val="22"/>
              </w:rPr>
            </w:pPr>
          </w:p>
        </w:tc>
        <w:tc>
          <w:tcPr>
            <w:tcW w:w="129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CF0494" w14:textId="77777777" w:rsidR="00EC75B5" w:rsidRPr="0086658D" w:rsidRDefault="00EC75B5" w:rsidP="00EC75B5">
            <w:pPr>
              <w:rPr>
                <w:b/>
                <w:bCs/>
                <w:color w:val="000000"/>
                <w:sz w:val="22"/>
                <w:szCs w:val="22"/>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bottom"/>
            <w:hideMark/>
          </w:tcPr>
          <w:p w14:paraId="1BEF6DE5" w14:textId="77777777" w:rsidR="00EC75B5" w:rsidRPr="0086658D" w:rsidRDefault="00EC75B5" w:rsidP="00EC75B5">
            <w:pPr>
              <w:jc w:val="center"/>
              <w:rPr>
                <w:b/>
                <w:bCs/>
                <w:color w:val="000000"/>
                <w:sz w:val="22"/>
                <w:szCs w:val="22"/>
              </w:rPr>
            </w:pPr>
            <w:r w:rsidRPr="0086658D">
              <w:rPr>
                <w:b/>
                <w:bCs/>
                <w:color w:val="000000"/>
                <w:sz w:val="22"/>
                <w:szCs w:val="22"/>
              </w:rPr>
              <w:t>Jobs</w:t>
            </w:r>
          </w:p>
        </w:tc>
        <w:tc>
          <w:tcPr>
            <w:tcW w:w="1296" w:type="dxa"/>
            <w:tcBorders>
              <w:top w:val="nil"/>
              <w:left w:val="nil"/>
              <w:bottom w:val="single" w:sz="4" w:space="0" w:color="auto"/>
              <w:right w:val="single" w:sz="4" w:space="0" w:color="auto"/>
            </w:tcBorders>
            <w:shd w:val="clear" w:color="auto" w:fill="D9D9D9" w:themeFill="background1" w:themeFillShade="D9"/>
            <w:noWrap/>
            <w:vAlign w:val="bottom"/>
            <w:hideMark/>
          </w:tcPr>
          <w:p w14:paraId="4B57B2A6" w14:textId="77777777" w:rsidR="00EC75B5" w:rsidRPr="0086658D" w:rsidRDefault="00EC75B5" w:rsidP="00EC75B5">
            <w:pPr>
              <w:jc w:val="center"/>
              <w:rPr>
                <w:b/>
                <w:bCs/>
                <w:color w:val="000000"/>
                <w:sz w:val="22"/>
                <w:szCs w:val="22"/>
              </w:rPr>
            </w:pPr>
            <w:r w:rsidRPr="0086658D">
              <w:rPr>
                <w:b/>
                <w:bCs/>
                <w:color w:val="000000"/>
                <w:sz w:val="22"/>
                <w:szCs w:val="22"/>
              </w:rPr>
              <w:t>Sales</w:t>
            </w:r>
          </w:p>
        </w:tc>
        <w:tc>
          <w:tcPr>
            <w:tcW w:w="1296" w:type="dxa"/>
            <w:tcBorders>
              <w:top w:val="nil"/>
              <w:left w:val="nil"/>
              <w:bottom w:val="single" w:sz="4" w:space="0" w:color="auto"/>
              <w:right w:val="single" w:sz="4" w:space="0" w:color="auto"/>
            </w:tcBorders>
            <w:shd w:val="clear" w:color="auto" w:fill="D9D9D9" w:themeFill="background1" w:themeFillShade="D9"/>
            <w:noWrap/>
            <w:vAlign w:val="bottom"/>
            <w:hideMark/>
          </w:tcPr>
          <w:p w14:paraId="7E6D5694" w14:textId="77777777" w:rsidR="00EC75B5" w:rsidRPr="0086658D" w:rsidRDefault="00EC75B5" w:rsidP="00EC75B5">
            <w:pPr>
              <w:jc w:val="center"/>
              <w:rPr>
                <w:b/>
                <w:bCs/>
                <w:color w:val="000000"/>
                <w:sz w:val="22"/>
                <w:szCs w:val="22"/>
              </w:rPr>
            </w:pPr>
            <w:r w:rsidRPr="0086658D">
              <w:rPr>
                <w:b/>
                <w:bCs/>
                <w:color w:val="000000"/>
                <w:sz w:val="22"/>
                <w:szCs w:val="22"/>
              </w:rPr>
              <w:t>Income</w:t>
            </w:r>
          </w:p>
        </w:tc>
        <w:tc>
          <w:tcPr>
            <w:tcW w:w="1530" w:type="dxa"/>
            <w:tcBorders>
              <w:top w:val="nil"/>
              <w:left w:val="nil"/>
              <w:bottom w:val="single" w:sz="4" w:space="0" w:color="auto"/>
              <w:right w:val="single" w:sz="4" w:space="0" w:color="auto"/>
            </w:tcBorders>
            <w:shd w:val="clear" w:color="auto" w:fill="D9D9D9" w:themeFill="background1" w:themeFillShade="D9"/>
            <w:noWrap/>
            <w:vAlign w:val="bottom"/>
            <w:hideMark/>
          </w:tcPr>
          <w:p w14:paraId="439F6885" w14:textId="77777777" w:rsidR="00EC75B5" w:rsidRPr="0086658D" w:rsidRDefault="00EC75B5" w:rsidP="00EC75B5">
            <w:pPr>
              <w:jc w:val="center"/>
              <w:rPr>
                <w:b/>
                <w:bCs/>
                <w:color w:val="000000"/>
                <w:sz w:val="22"/>
                <w:szCs w:val="22"/>
              </w:rPr>
            </w:pPr>
            <w:r w:rsidRPr="0086658D">
              <w:rPr>
                <w:b/>
                <w:bCs/>
                <w:color w:val="000000"/>
                <w:sz w:val="22"/>
                <w:szCs w:val="22"/>
              </w:rPr>
              <w:t>Value added</w:t>
            </w:r>
          </w:p>
        </w:tc>
      </w:tr>
      <w:tr w:rsidR="00EC75B5" w:rsidRPr="0086658D" w14:paraId="579774B3" w14:textId="77777777" w:rsidTr="00EC75B5">
        <w:trPr>
          <w:trHeight w:val="30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361A437E" w14:textId="77777777" w:rsidR="00EC75B5" w:rsidRPr="00DD19AC" w:rsidRDefault="00EC75B5" w:rsidP="00EC75B5">
            <w:pPr>
              <w:rPr>
                <w:bCs/>
                <w:color w:val="000000"/>
                <w:sz w:val="22"/>
                <w:szCs w:val="22"/>
              </w:rPr>
            </w:pPr>
            <w:r w:rsidRPr="00DD19AC">
              <w:rPr>
                <w:bCs/>
                <w:color w:val="000000"/>
                <w:sz w:val="22"/>
                <w:szCs w:val="22"/>
              </w:rPr>
              <w:t>East FL</w:t>
            </w:r>
          </w:p>
        </w:tc>
        <w:tc>
          <w:tcPr>
            <w:tcW w:w="1176" w:type="dxa"/>
            <w:tcBorders>
              <w:top w:val="nil"/>
              <w:left w:val="nil"/>
              <w:bottom w:val="single" w:sz="4" w:space="0" w:color="auto"/>
              <w:right w:val="single" w:sz="4" w:space="0" w:color="auto"/>
            </w:tcBorders>
            <w:shd w:val="clear" w:color="auto" w:fill="auto"/>
            <w:noWrap/>
            <w:vAlign w:val="bottom"/>
            <w:hideMark/>
          </w:tcPr>
          <w:p w14:paraId="289C1802" w14:textId="77777777" w:rsidR="00EC75B5" w:rsidRPr="0086658D" w:rsidRDefault="00EC75B5" w:rsidP="00EC75B5">
            <w:pPr>
              <w:jc w:val="right"/>
              <w:rPr>
                <w:color w:val="000000"/>
                <w:sz w:val="22"/>
                <w:szCs w:val="22"/>
              </w:rPr>
            </w:pPr>
            <w:r>
              <w:rPr>
                <w:color w:val="000000"/>
                <w:sz w:val="22"/>
                <w:szCs w:val="22"/>
              </w:rPr>
              <w:t>2,</w:t>
            </w:r>
            <w:r w:rsidRPr="0086658D">
              <w:rPr>
                <w:color w:val="000000"/>
                <w:sz w:val="22"/>
                <w:szCs w:val="22"/>
              </w:rPr>
              <w:t>1</w:t>
            </w:r>
            <w:r>
              <w:rPr>
                <w:color w:val="000000"/>
                <w:sz w:val="22"/>
                <w:szCs w:val="22"/>
              </w:rPr>
              <w:t>41</w:t>
            </w:r>
            <w:r w:rsidRPr="0086658D">
              <w:rPr>
                <w:color w:val="000000"/>
                <w:sz w:val="22"/>
                <w:szCs w:val="22"/>
              </w:rPr>
              <w:t>,</w:t>
            </w:r>
            <w:r>
              <w:rPr>
                <w:color w:val="000000"/>
                <w:sz w:val="22"/>
                <w:szCs w:val="22"/>
              </w:rPr>
              <w:t>096</w:t>
            </w:r>
          </w:p>
        </w:tc>
        <w:tc>
          <w:tcPr>
            <w:tcW w:w="1296" w:type="dxa"/>
            <w:tcBorders>
              <w:top w:val="nil"/>
              <w:left w:val="nil"/>
              <w:bottom w:val="single" w:sz="4" w:space="0" w:color="auto"/>
              <w:right w:val="single" w:sz="4" w:space="0" w:color="auto"/>
            </w:tcBorders>
            <w:shd w:val="clear" w:color="auto" w:fill="auto"/>
            <w:noWrap/>
            <w:vAlign w:val="bottom"/>
            <w:hideMark/>
          </w:tcPr>
          <w:p w14:paraId="0751D966" w14:textId="77777777" w:rsidR="00EC75B5" w:rsidRPr="0086658D" w:rsidRDefault="00EC75B5" w:rsidP="00EC75B5">
            <w:pPr>
              <w:jc w:val="right"/>
              <w:rPr>
                <w:color w:val="000000"/>
                <w:sz w:val="22"/>
                <w:szCs w:val="22"/>
              </w:rPr>
            </w:pPr>
            <w:r>
              <w:rPr>
                <w:color w:val="000000"/>
                <w:sz w:val="22"/>
                <w:szCs w:val="22"/>
              </w:rPr>
              <w:t>9</w:t>
            </w:r>
            <w:r w:rsidRPr="0086658D">
              <w:rPr>
                <w:color w:val="000000"/>
                <w:sz w:val="22"/>
                <w:szCs w:val="22"/>
              </w:rPr>
              <w:t>,</w:t>
            </w:r>
            <w:r>
              <w:rPr>
                <w:color w:val="000000"/>
                <w:sz w:val="22"/>
                <w:szCs w:val="22"/>
              </w:rPr>
              <w:t>643</w:t>
            </w:r>
            <w:r w:rsidRPr="0086658D">
              <w:rPr>
                <w:color w:val="000000"/>
                <w:sz w:val="22"/>
                <w:szCs w:val="22"/>
              </w:rPr>
              <w:t>,</w:t>
            </w:r>
            <w:r>
              <w:rPr>
                <w:color w:val="000000"/>
                <w:sz w:val="22"/>
                <w:szCs w:val="22"/>
              </w:rPr>
              <w:t>562</w:t>
            </w:r>
          </w:p>
        </w:tc>
        <w:tc>
          <w:tcPr>
            <w:tcW w:w="900" w:type="dxa"/>
            <w:tcBorders>
              <w:top w:val="nil"/>
              <w:left w:val="nil"/>
              <w:bottom w:val="single" w:sz="4" w:space="0" w:color="auto"/>
              <w:right w:val="single" w:sz="4" w:space="0" w:color="auto"/>
            </w:tcBorders>
            <w:shd w:val="clear" w:color="auto" w:fill="auto"/>
            <w:noWrap/>
            <w:vAlign w:val="bottom"/>
            <w:hideMark/>
          </w:tcPr>
          <w:p w14:paraId="6A0DDB45" w14:textId="77777777" w:rsidR="00EC75B5" w:rsidRPr="0086658D" w:rsidRDefault="00EC75B5" w:rsidP="00EC75B5">
            <w:pPr>
              <w:jc w:val="right"/>
              <w:rPr>
                <w:color w:val="000000"/>
                <w:sz w:val="22"/>
                <w:szCs w:val="22"/>
              </w:rPr>
            </w:pPr>
            <w:r>
              <w:rPr>
                <w:color w:val="000000"/>
                <w:sz w:val="22"/>
                <w:szCs w:val="22"/>
              </w:rPr>
              <w:t>44</w:t>
            </w:r>
            <w:r w:rsidRPr="0086658D">
              <w:rPr>
                <w:color w:val="000000"/>
                <w:sz w:val="22"/>
                <w:szCs w:val="22"/>
              </w:rPr>
              <w:t>,7</w:t>
            </w:r>
            <w:r>
              <w:rPr>
                <w:color w:val="000000"/>
                <w:sz w:val="22"/>
                <w:szCs w:val="22"/>
              </w:rPr>
              <w:t>89</w:t>
            </w:r>
          </w:p>
        </w:tc>
        <w:tc>
          <w:tcPr>
            <w:tcW w:w="1296" w:type="dxa"/>
            <w:tcBorders>
              <w:top w:val="nil"/>
              <w:left w:val="nil"/>
              <w:bottom w:val="single" w:sz="4" w:space="0" w:color="auto"/>
              <w:right w:val="single" w:sz="4" w:space="0" w:color="auto"/>
            </w:tcBorders>
            <w:shd w:val="clear" w:color="auto" w:fill="auto"/>
            <w:noWrap/>
            <w:vAlign w:val="bottom"/>
            <w:hideMark/>
          </w:tcPr>
          <w:p w14:paraId="30A1CF44" w14:textId="77777777" w:rsidR="00EC75B5" w:rsidRPr="0086658D" w:rsidRDefault="00EC75B5" w:rsidP="00EC75B5">
            <w:pPr>
              <w:jc w:val="right"/>
              <w:rPr>
                <w:color w:val="000000"/>
                <w:sz w:val="22"/>
                <w:szCs w:val="22"/>
              </w:rPr>
            </w:pPr>
            <w:r w:rsidRPr="0086658D">
              <w:rPr>
                <w:color w:val="000000"/>
                <w:sz w:val="22"/>
                <w:szCs w:val="22"/>
              </w:rPr>
              <w:t>$</w:t>
            </w:r>
            <w:r>
              <w:rPr>
                <w:color w:val="000000"/>
                <w:sz w:val="22"/>
                <w:szCs w:val="22"/>
              </w:rPr>
              <w:t>4</w:t>
            </w:r>
            <w:r w:rsidRPr="0086658D">
              <w:rPr>
                <w:color w:val="000000"/>
                <w:sz w:val="22"/>
                <w:szCs w:val="22"/>
              </w:rPr>
              <w:t>,</w:t>
            </w:r>
            <w:r>
              <w:rPr>
                <w:color w:val="000000"/>
                <w:sz w:val="22"/>
                <w:szCs w:val="22"/>
              </w:rPr>
              <w:t>78</w:t>
            </w:r>
            <w:r w:rsidRPr="0086658D">
              <w:rPr>
                <w:color w:val="000000"/>
                <w:sz w:val="22"/>
                <w:szCs w:val="22"/>
              </w:rPr>
              <w:t>2,</w:t>
            </w:r>
            <w:r>
              <w:rPr>
                <w:color w:val="000000"/>
                <w:sz w:val="22"/>
                <w:szCs w:val="22"/>
              </w:rPr>
              <w:t>488</w:t>
            </w:r>
          </w:p>
        </w:tc>
        <w:tc>
          <w:tcPr>
            <w:tcW w:w="1296" w:type="dxa"/>
            <w:tcBorders>
              <w:top w:val="nil"/>
              <w:left w:val="nil"/>
              <w:bottom w:val="single" w:sz="4" w:space="0" w:color="auto"/>
              <w:right w:val="single" w:sz="4" w:space="0" w:color="auto"/>
            </w:tcBorders>
            <w:shd w:val="clear" w:color="auto" w:fill="auto"/>
            <w:noWrap/>
            <w:vAlign w:val="bottom"/>
            <w:hideMark/>
          </w:tcPr>
          <w:p w14:paraId="4A993E71" w14:textId="77777777" w:rsidR="00EC75B5" w:rsidRPr="0086658D" w:rsidRDefault="00EC75B5" w:rsidP="00EC75B5">
            <w:pPr>
              <w:jc w:val="right"/>
              <w:rPr>
                <w:color w:val="000000"/>
                <w:sz w:val="22"/>
                <w:szCs w:val="22"/>
              </w:rPr>
            </w:pPr>
            <w:r w:rsidRPr="0086658D">
              <w:rPr>
                <w:color w:val="000000"/>
                <w:sz w:val="22"/>
                <w:szCs w:val="22"/>
              </w:rPr>
              <w:t>$</w:t>
            </w:r>
            <w:r>
              <w:rPr>
                <w:color w:val="000000"/>
                <w:sz w:val="22"/>
                <w:szCs w:val="22"/>
              </w:rPr>
              <w:t>2</w:t>
            </w:r>
            <w:r w:rsidRPr="0086658D">
              <w:rPr>
                <w:color w:val="000000"/>
                <w:sz w:val="22"/>
                <w:szCs w:val="22"/>
              </w:rPr>
              <w:t>,</w:t>
            </w:r>
            <w:r>
              <w:rPr>
                <w:color w:val="000000"/>
                <w:sz w:val="22"/>
                <w:szCs w:val="22"/>
              </w:rPr>
              <w:t>022</w:t>
            </w:r>
            <w:r w:rsidRPr="0086658D">
              <w:rPr>
                <w:color w:val="000000"/>
                <w:sz w:val="22"/>
                <w:szCs w:val="22"/>
              </w:rPr>
              <w:t>,</w:t>
            </w:r>
            <w:r>
              <w:rPr>
                <w:color w:val="000000"/>
                <w:sz w:val="22"/>
                <w:szCs w:val="22"/>
              </w:rPr>
              <w:t>2</w:t>
            </w:r>
            <w:r w:rsidRPr="0086658D">
              <w:rPr>
                <w:color w:val="000000"/>
                <w:sz w:val="22"/>
                <w:szCs w:val="22"/>
              </w:rPr>
              <w:t>7</w:t>
            </w:r>
            <w:r>
              <w:rPr>
                <w:color w:val="000000"/>
                <w:sz w:val="22"/>
                <w:szCs w:val="22"/>
              </w:rPr>
              <w:t>9</w:t>
            </w:r>
          </w:p>
        </w:tc>
        <w:tc>
          <w:tcPr>
            <w:tcW w:w="1530" w:type="dxa"/>
            <w:tcBorders>
              <w:top w:val="nil"/>
              <w:left w:val="nil"/>
              <w:bottom w:val="single" w:sz="4" w:space="0" w:color="auto"/>
              <w:right w:val="single" w:sz="4" w:space="0" w:color="auto"/>
            </w:tcBorders>
            <w:shd w:val="clear" w:color="auto" w:fill="auto"/>
            <w:noWrap/>
            <w:vAlign w:val="bottom"/>
            <w:hideMark/>
          </w:tcPr>
          <w:p w14:paraId="73FD4D9D" w14:textId="77777777" w:rsidR="00EC75B5" w:rsidRPr="0086658D" w:rsidRDefault="00EC75B5" w:rsidP="00EC75B5">
            <w:pPr>
              <w:jc w:val="right"/>
              <w:rPr>
                <w:color w:val="000000"/>
                <w:sz w:val="22"/>
                <w:szCs w:val="22"/>
              </w:rPr>
            </w:pPr>
            <w:r w:rsidRPr="0086658D">
              <w:rPr>
                <w:color w:val="000000"/>
                <w:sz w:val="22"/>
                <w:szCs w:val="22"/>
              </w:rPr>
              <w:t>$</w:t>
            </w:r>
            <w:r>
              <w:rPr>
                <w:color w:val="000000"/>
                <w:sz w:val="22"/>
                <w:szCs w:val="22"/>
              </w:rPr>
              <w:t>3</w:t>
            </w:r>
            <w:r w:rsidRPr="0086658D">
              <w:rPr>
                <w:color w:val="000000"/>
                <w:sz w:val="22"/>
                <w:szCs w:val="22"/>
              </w:rPr>
              <w:t>,</w:t>
            </w:r>
            <w:r>
              <w:rPr>
                <w:color w:val="000000"/>
                <w:sz w:val="22"/>
                <w:szCs w:val="22"/>
              </w:rPr>
              <w:t>122</w:t>
            </w:r>
            <w:r w:rsidRPr="0086658D">
              <w:rPr>
                <w:color w:val="000000"/>
                <w:sz w:val="22"/>
                <w:szCs w:val="22"/>
              </w:rPr>
              <w:t>,</w:t>
            </w:r>
            <w:r>
              <w:rPr>
                <w:color w:val="000000"/>
                <w:sz w:val="22"/>
                <w:szCs w:val="22"/>
              </w:rPr>
              <w:t>28</w:t>
            </w:r>
            <w:r w:rsidRPr="0086658D">
              <w:rPr>
                <w:color w:val="000000"/>
                <w:sz w:val="22"/>
                <w:szCs w:val="22"/>
              </w:rPr>
              <w:t>9</w:t>
            </w:r>
          </w:p>
        </w:tc>
      </w:tr>
      <w:tr w:rsidR="00EC75B5" w:rsidRPr="0086658D" w14:paraId="5715FDFF" w14:textId="77777777" w:rsidTr="00EC75B5">
        <w:trPr>
          <w:trHeight w:val="30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6864C9D2" w14:textId="77777777" w:rsidR="00EC75B5" w:rsidRPr="00DD19AC" w:rsidRDefault="00EC75B5" w:rsidP="00EC75B5">
            <w:pPr>
              <w:rPr>
                <w:bCs/>
                <w:color w:val="000000"/>
                <w:sz w:val="22"/>
                <w:szCs w:val="22"/>
              </w:rPr>
            </w:pPr>
            <w:r w:rsidRPr="00DD19AC">
              <w:rPr>
                <w:bCs/>
                <w:color w:val="000000"/>
                <w:sz w:val="22"/>
                <w:szCs w:val="22"/>
              </w:rPr>
              <w:t>GA</w:t>
            </w:r>
          </w:p>
        </w:tc>
        <w:tc>
          <w:tcPr>
            <w:tcW w:w="1176" w:type="dxa"/>
            <w:tcBorders>
              <w:top w:val="nil"/>
              <w:left w:val="nil"/>
              <w:bottom w:val="single" w:sz="4" w:space="0" w:color="auto"/>
              <w:right w:val="single" w:sz="4" w:space="0" w:color="auto"/>
            </w:tcBorders>
            <w:shd w:val="clear" w:color="auto" w:fill="auto"/>
            <w:noWrap/>
            <w:vAlign w:val="bottom"/>
            <w:hideMark/>
          </w:tcPr>
          <w:p w14:paraId="7D9F7279" w14:textId="77777777" w:rsidR="00EC75B5" w:rsidRPr="0086658D" w:rsidRDefault="00EC75B5" w:rsidP="00EC75B5">
            <w:pPr>
              <w:jc w:val="right"/>
              <w:rPr>
                <w:color w:val="000000"/>
                <w:sz w:val="22"/>
                <w:szCs w:val="22"/>
              </w:rPr>
            </w:pPr>
            <w:r>
              <w:rPr>
                <w:color w:val="000000"/>
                <w:sz w:val="22"/>
                <w:szCs w:val="22"/>
              </w:rPr>
              <w:t>309</w:t>
            </w:r>
            <w:r w:rsidRPr="0086658D">
              <w:rPr>
                <w:color w:val="000000"/>
                <w:sz w:val="22"/>
                <w:szCs w:val="22"/>
              </w:rPr>
              <w:t>,8</w:t>
            </w:r>
            <w:r>
              <w:rPr>
                <w:color w:val="000000"/>
                <w:sz w:val="22"/>
                <w:szCs w:val="22"/>
              </w:rPr>
              <w:t>84</w:t>
            </w:r>
          </w:p>
        </w:tc>
        <w:tc>
          <w:tcPr>
            <w:tcW w:w="1296" w:type="dxa"/>
            <w:tcBorders>
              <w:top w:val="nil"/>
              <w:left w:val="nil"/>
              <w:bottom w:val="single" w:sz="4" w:space="0" w:color="auto"/>
              <w:right w:val="single" w:sz="4" w:space="0" w:color="auto"/>
            </w:tcBorders>
            <w:shd w:val="clear" w:color="auto" w:fill="auto"/>
            <w:noWrap/>
            <w:vAlign w:val="bottom"/>
            <w:hideMark/>
          </w:tcPr>
          <w:p w14:paraId="68F78F74" w14:textId="77777777" w:rsidR="00EC75B5" w:rsidRPr="0086658D" w:rsidRDefault="00EC75B5" w:rsidP="00EC75B5">
            <w:pPr>
              <w:jc w:val="right"/>
              <w:rPr>
                <w:color w:val="000000"/>
                <w:sz w:val="22"/>
                <w:szCs w:val="22"/>
              </w:rPr>
            </w:pPr>
            <w:r>
              <w:rPr>
                <w:color w:val="000000"/>
                <w:sz w:val="22"/>
                <w:szCs w:val="22"/>
              </w:rPr>
              <w:t>826</w:t>
            </w:r>
            <w:r w:rsidRPr="0086658D">
              <w:rPr>
                <w:color w:val="000000"/>
                <w:sz w:val="22"/>
                <w:szCs w:val="22"/>
              </w:rPr>
              <w:t>,</w:t>
            </w:r>
            <w:r>
              <w:rPr>
                <w:color w:val="000000"/>
                <w:sz w:val="22"/>
                <w:szCs w:val="22"/>
              </w:rPr>
              <w:t>577</w:t>
            </w:r>
          </w:p>
        </w:tc>
        <w:tc>
          <w:tcPr>
            <w:tcW w:w="900" w:type="dxa"/>
            <w:tcBorders>
              <w:top w:val="nil"/>
              <w:left w:val="nil"/>
              <w:bottom w:val="single" w:sz="4" w:space="0" w:color="auto"/>
              <w:right w:val="single" w:sz="4" w:space="0" w:color="auto"/>
            </w:tcBorders>
            <w:shd w:val="clear" w:color="auto" w:fill="auto"/>
            <w:noWrap/>
            <w:vAlign w:val="bottom"/>
            <w:hideMark/>
          </w:tcPr>
          <w:p w14:paraId="7C474CF3" w14:textId="77777777" w:rsidR="00EC75B5" w:rsidRPr="0086658D" w:rsidRDefault="00EC75B5" w:rsidP="00EC75B5">
            <w:pPr>
              <w:jc w:val="right"/>
              <w:rPr>
                <w:color w:val="000000"/>
                <w:sz w:val="22"/>
                <w:szCs w:val="22"/>
              </w:rPr>
            </w:pPr>
            <w:r w:rsidRPr="0086658D">
              <w:rPr>
                <w:color w:val="000000"/>
                <w:sz w:val="22"/>
                <w:szCs w:val="22"/>
              </w:rPr>
              <w:t>2,1</w:t>
            </w:r>
            <w:r>
              <w:rPr>
                <w:color w:val="000000"/>
                <w:sz w:val="22"/>
                <w:szCs w:val="22"/>
              </w:rPr>
              <w:t>45</w:t>
            </w:r>
          </w:p>
        </w:tc>
        <w:tc>
          <w:tcPr>
            <w:tcW w:w="1296" w:type="dxa"/>
            <w:tcBorders>
              <w:top w:val="nil"/>
              <w:left w:val="nil"/>
              <w:bottom w:val="single" w:sz="4" w:space="0" w:color="auto"/>
              <w:right w:val="single" w:sz="4" w:space="0" w:color="auto"/>
            </w:tcBorders>
            <w:shd w:val="clear" w:color="auto" w:fill="auto"/>
            <w:noWrap/>
            <w:vAlign w:val="bottom"/>
            <w:hideMark/>
          </w:tcPr>
          <w:p w14:paraId="565FF120" w14:textId="77777777" w:rsidR="00EC75B5" w:rsidRPr="0086658D" w:rsidRDefault="00EC75B5" w:rsidP="00EC75B5">
            <w:pPr>
              <w:jc w:val="right"/>
              <w:rPr>
                <w:color w:val="000000"/>
                <w:sz w:val="22"/>
                <w:szCs w:val="22"/>
              </w:rPr>
            </w:pPr>
            <w:r w:rsidRPr="0086658D">
              <w:rPr>
                <w:color w:val="000000"/>
                <w:sz w:val="22"/>
                <w:szCs w:val="22"/>
              </w:rPr>
              <w:t>$1</w:t>
            </w:r>
            <w:r>
              <w:rPr>
                <w:color w:val="000000"/>
                <w:sz w:val="22"/>
                <w:szCs w:val="22"/>
              </w:rPr>
              <w:t>89</w:t>
            </w:r>
            <w:r w:rsidRPr="0086658D">
              <w:rPr>
                <w:color w:val="000000"/>
                <w:sz w:val="22"/>
                <w:szCs w:val="22"/>
              </w:rPr>
              <w:t>,</w:t>
            </w:r>
            <w:r>
              <w:rPr>
                <w:color w:val="000000"/>
                <w:sz w:val="22"/>
                <w:szCs w:val="22"/>
              </w:rPr>
              <w:t>7</w:t>
            </w:r>
            <w:r w:rsidRPr="0086658D">
              <w:rPr>
                <w:color w:val="000000"/>
                <w:sz w:val="22"/>
                <w:szCs w:val="22"/>
              </w:rPr>
              <w:t>3</w:t>
            </w:r>
            <w:r>
              <w:rPr>
                <w:color w:val="000000"/>
                <w:sz w:val="22"/>
                <w:szCs w:val="22"/>
              </w:rPr>
              <w:t>7</w:t>
            </w:r>
          </w:p>
        </w:tc>
        <w:tc>
          <w:tcPr>
            <w:tcW w:w="1296" w:type="dxa"/>
            <w:tcBorders>
              <w:top w:val="nil"/>
              <w:left w:val="nil"/>
              <w:bottom w:val="single" w:sz="4" w:space="0" w:color="auto"/>
              <w:right w:val="single" w:sz="4" w:space="0" w:color="auto"/>
            </w:tcBorders>
            <w:shd w:val="clear" w:color="auto" w:fill="auto"/>
            <w:noWrap/>
            <w:vAlign w:val="bottom"/>
            <w:hideMark/>
          </w:tcPr>
          <w:p w14:paraId="39B2335D" w14:textId="77777777" w:rsidR="00EC75B5" w:rsidRPr="0086658D" w:rsidRDefault="00EC75B5" w:rsidP="00EC75B5">
            <w:pPr>
              <w:jc w:val="right"/>
              <w:rPr>
                <w:color w:val="000000"/>
                <w:sz w:val="22"/>
                <w:szCs w:val="22"/>
              </w:rPr>
            </w:pPr>
            <w:r w:rsidRPr="0086658D">
              <w:rPr>
                <w:color w:val="000000"/>
                <w:sz w:val="22"/>
                <w:szCs w:val="22"/>
              </w:rPr>
              <w:t>$88,</w:t>
            </w:r>
            <w:r>
              <w:rPr>
                <w:color w:val="000000"/>
                <w:sz w:val="22"/>
                <w:szCs w:val="22"/>
              </w:rPr>
              <w:t>010</w:t>
            </w:r>
          </w:p>
        </w:tc>
        <w:tc>
          <w:tcPr>
            <w:tcW w:w="1530" w:type="dxa"/>
            <w:tcBorders>
              <w:top w:val="nil"/>
              <w:left w:val="nil"/>
              <w:bottom w:val="single" w:sz="4" w:space="0" w:color="auto"/>
              <w:right w:val="single" w:sz="4" w:space="0" w:color="auto"/>
            </w:tcBorders>
            <w:shd w:val="clear" w:color="auto" w:fill="auto"/>
            <w:noWrap/>
            <w:vAlign w:val="bottom"/>
            <w:hideMark/>
          </w:tcPr>
          <w:p w14:paraId="04694F5B" w14:textId="77777777" w:rsidR="00EC75B5" w:rsidRPr="0086658D" w:rsidRDefault="00EC75B5" w:rsidP="00EC75B5">
            <w:pPr>
              <w:jc w:val="right"/>
              <w:rPr>
                <w:color w:val="000000"/>
                <w:sz w:val="22"/>
                <w:szCs w:val="22"/>
              </w:rPr>
            </w:pPr>
            <w:r w:rsidRPr="0086658D">
              <w:rPr>
                <w:color w:val="000000"/>
                <w:sz w:val="22"/>
                <w:szCs w:val="22"/>
              </w:rPr>
              <w:t>$13</w:t>
            </w:r>
            <w:r>
              <w:rPr>
                <w:color w:val="000000"/>
                <w:sz w:val="22"/>
                <w:szCs w:val="22"/>
              </w:rPr>
              <w:t>5</w:t>
            </w:r>
            <w:r w:rsidRPr="0086658D">
              <w:rPr>
                <w:color w:val="000000"/>
                <w:sz w:val="22"/>
                <w:szCs w:val="22"/>
              </w:rPr>
              <w:t>,</w:t>
            </w:r>
            <w:r>
              <w:rPr>
                <w:color w:val="000000"/>
                <w:sz w:val="22"/>
                <w:szCs w:val="22"/>
              </w:rPr>
              <w:t>5</w:t>
            </w:r>
            <w:r w:rsidRPr="0086658D">
              <w:rPr>
                <w:color w:val="000000"/>
                <w:sz w:val="22"/>
                <w:szCs w:val="22"/>
              </w:rPr>
              <w:t>6</w:t>
            </w:r>
            <w:r>
              <w:rPr>
                <w:color w:val="000000"/>
                <w:sz w:val="22"/>
                <w:szCs w:val="22"/>
              </w:rPr>
              <w:t>2</w:t>
            </w:r>
          </w:p>
        </w:tc>
      </w:tr>
      <w:tr w:rsidR="00EC75B5" w:rsidRPr="0086658D" w14:paraId="04343C60" w14:textId="77777777" w:rsidTr="00EC75B5">
        <w:trPr>
          <w:trHeight w:val="30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01BDF25D" w14:textId="77777777" w:rsidR="00EC75B5" w:rsidRPr="00DD19AC" w:rsidRDefault="00EC75B5" w:rsidP="00EC75B5">
            <w:pPr>
              <w:rPr>
                <w:bCs/>
                <w:color w:val="000000"/>
                <w:sz w:val="22"/>
                <w:szCs w:val="22"/>
              </w:rPr>
            </w:pPr>
            <w:r w:rsidRPr="00DD19AC">
              <w:rPr>
                <w:bCs/>
                <w:color w:val="000000"/>
                <w:sz w:val="22"/>
                <w:szCs w:val="22"/>
              </w:rPr>
              <w:t>NC</w:t>
            </w:r>
          </w:p>
        </w:tc>
        <w:tc>
          <w:tcPr>
            <w:tcW w:w="1176" w:type="dxa"/>
            <w:tcBorders>
              <w:top w:val="nil"/>
              <w:left w:val="nil"/>
              <w:bottom w:val="single" w:sz="4" w:space="0" w:color="auto"/>
              <w:right w:val="single" w:sz="4" w:space="0" w:color="auto"/>
            </w:tcBorders>
            <w:shd w:val="clear" w:color="auto" w:fill="auto"/>
            <w:noWrap/>
            <w:vAlign w:val="bottom"/>
            <w:hideMark/>
          </w:tcPr>
          <w:p w14:paraId="6F077B47" w14:textId="77777777" w:rsidR="00EC75B5" w:rsidRPr="0086658D" w:rsidRDefault="00EC75B5" w:rsidP="00EC75B5">
            <w:pPr>
              <w:jc w:val="right"/>
              <w:rPr>
                <w:color w:val="000000"/>
                <w:sz w:val="22"/>
                <w:szCs w:val="22"/>
              </w:rPr>
            </w:pPr>
            <w:r w:rsidRPr="0086658D">
              <w:rPr>
                <w:color w:val="000000"/>
                <w:sz w:val="22"/>
                <w:szCs w:val="22"/>
              </w:rPr>
              <w:t>1,</w:t>
            </w:r>
            <w:r>
              <w:rPr>
                <w:color w:val="000000"/>
                <w:sz w:val="22"/>
                <w:szCs w:val="22"/>
              </w:rPr>
              <w:t>655,5</w:t>
            </w:r>
            <w:r w:rsidRPr="0086658D">
              <w:rPr>
                <w:color w:val="000000"/>
                <w:sz w:val="22"/>
                <w:szCs w:val="22"/>
              </w:rPr>
              <w:t>44</w:t>
            </w:r>
          </w:p>
        </w:tc>
        <w:tc>
          <w:tcPr>
            <w:tcW w:w="1296" w:type="dxa"/>
            <w:tcBorders>
              <w:top w:val="nil"/>
              <w:left w:val="nil"/>
              <w:bottom w:val="single" w:sz="4" w:space="0" w:color="auto"/>
              <w:right w:val="single" w:sz="4" w:space="0" w:color="auto"/>
            </w:tcBorders>
            <w:shd w:val="clear" w:color="auto" w:fill="auto"/>
            <w:noWrap/>
            <w:vAlign w:val="bottom"/>
            <w:hideMark/>
          </w:tcPr>
          <w:p w14:paraId="0D11340E" w14:textId="77777777" w:rsidR="00EC75B5" w:rsidRPr="0086658D" w:rsidRDefault="00EC75B5" w:rsidP="00EC75B5">
            <w:pPr>
              <w:jc w:val="right"/>
              <w:rPr>
                <w:color w:val="000000"/>
                <w:sz w:val="22"/>
                <w:szCs w:val="22"/>
              </w:rPr>
            </w:pPr>
            <w:r w:rsidRPr="0086658D">
              <w:rPr>
                <w:color w:val="000000"/>
                <w:sz w:val="22"/>
                <w:szCs w:val="22"/>
              </w:rPr>
              <w:t>4,9</w:t>
            </w:r>
            <w:r>
              <w:rPr>
                <w:color w:val="000000"/>
                <w:sz w:val="22"/>
                <w:szCs w:val="22"/>
              </w:rPr>
              <w:t>54</w:t>
            </w:r>
            <w:r w:rsidRPr="0086658D">
              <w:rPr>
                <w:color w:val="000000"/>
                <w:sz w:val="22"/>
                <w:szCs w:val="22"/>
              </w:rPr>
              <w:t>,</w:t>
            </w:r>
            <w:r>
              <w:rPr>
                <w:color w:val="000000"/>
                <w:sz w:val="22"/>
                <w:szCs w:val="22"/>
              </w:rPr>
              <w:t>0</w:t>
            </w:r>
            <w:r w:rsidRPr="0086658D">
              <w:rPr>
                <w:color w:val="000000"/>
                <w:sz w:val="22"/>
                <w:szCs w:val="22"/>
              </w:rPr>
              <w:t>73</w:t>
            </w:r>
          </w:p>
        </w:tc>
        <w:tc>
          <w:tcPr>
            <w:tcW w:w="900" w:type="dxa"/>
            <w:tcBorders>
              <w:top w:val="nil"/>
              <w:left w:val="nil"/>
              <w:bottom w:val="single" w:sz="4" w:space="0" w:color="auto"/>
              <w:right w:val="single" w:sz="4" w:space="0" w:color="auto"/>
            </w:tcBorders>
            <w:shd w:val="clear" w:color="auto" w:fill="auto"/>
            <w:noWrap/>
            <w:vAlign w:val="bottom"/>
            <w:hideMark/>
          </w:tcPr>
          <w:p w14:paraId="6806BECC" w14:textId="77777777" w:rsidR="00EC75B5" w:rsidRPr="0086658D" w:rsidRDefault="00EC75B5" w:rsidP="00EC75B5">
            <w:pPr>
              <w:jc w:val="right"/>
              <w:rPr>
                <w:color w:val="000000"/>
                <w:sz w:val="22"/>
                <w:szCs w:val="22"/>
              </w:rPr>
            </w:pPr>
            <w:r w:rsidRPr="0086658D">
              <w:rPr>
                <w:color w:val="000000"/>
                <w:sz w:val="22"/>
                <w:szCs w:val="22"/>
              </w:rPr>
              <w:t>16,</w:t>
            </w:r>
            <w:r>
              <w:rPr>
                <w:color w:val="000000"/>
                <w:sz w:val="22"/>
                <w:szCs w:val="22"/>
              </w:rPr>
              <w:t>0</w:t>
            </w:r>
            <w:r w:rsidRPr="0086658D">
              <w:rPr>
                <w:color w:val="000000"/>
                <w:sz w:val="22"/>
                <w:szCs w:val="22"/>
              </w:rPr>
              <w:t>0</w:t>
            </w:r>
            <w:r>
              <w:rPr>
                <w:color w:val="000000"/>
                <w:sz w:val="22"/>
                <w:szCs w:val="22"/>
              </w:rPr>
              <w:t>7</w:t>
            </w:r>
          </w:p>
        </w:tc>
        <w:tc>
          <w:tcPr>
            <w:tcW w:w="1296" w:type="dxa"/>
            <w:tcBorders>
              <w:top w:val="nil"/>
              <w:left w:val="nil"/>
              <w:bottom w:val="single" w:sz="4" w:space="0" w:color="auto"/>
              <w:right w:val="single" w:sz="4" w:space="0" w:color="auto"/>
            </w:tcBorders>
            <w:shd w:val="clear" w:color="auto" w:fill="auto"/>
            <w:noWrap/>
            <w:vAlign w:val="bottom"/>
            <w:hideMark/>
          </w:tcPr>
          <w:p w14:paraId="65D27D69" w14:textId="77777777" w:rsidR="00EC75B5" w:rsidRPr="0086658D" w:rsidRDefault="00EC75B5" w:rsidP="00EC75B5">
            <w:pPr>
              <w:jc w:val="right"/>
              <w:rPr>
                <w:color w:val="000000"/>
                <w:sz w:val="22"/>
                <w:szCs w:val="22"/>
              </w:rPr>
            </w:pPr>
            <w:r w:rsidRPr="0086658D">
              <w:rPr>
                <w:color w:val="000000"/>
                <w:sz w:val="22"/>
                <w:szCs w:val="22"/>
              </w:rPr>
              <w:t>$1,</w:t>
            </w:r>
            <w:r>
              <w:rPr>
                <w:color w:val="000000"/>
                <w:sz w:val="22"/>
                <w:szCs w:val="22"/>
              </w:rPr>
              <w:t>529</w:t>
            </w:r>
            <w:r w:rsidRPr="0086658D">
              <w:rPr>
                <w:color w:val="000000"/>
                <w:sz w:val="22"/>
                <w:szCs w:val="22"/>
              </w:rPr>
              <w:t>,</w:t>
            </w:r>
            <w:r>
              <w:rPr>
                <w:color w:val="000000"/>
                <w:sz w:val="22"/>
                <w:szCs w:val="22"/>
              </w:rPr>
              <w:t>37</w:t>
            </w:r>
            <w:r w:rsidRPr="0086658D">
              <w:rPr>
                <w:color w:val="000000"/>
                <w:sz w:val="22"/>
                <w:szCs w:val="22"/>
              </w:rPr>
              <w:t>8</w:t>
            </w:r>
          </w:p>
        </w:tc>
        <w:tc>
          <w:tcPr>
            <w:tcW w:w="1296" w:type="dxa"/>
            <w:tcBorders>
              <w:top w:val="nil"/>
              <w:left w:val="nil"/>
              <w:bottom w:val="single" w:sz="4" w:space="0" w:color="auto"/>
              <w:right w:val="single" w:sz="4" w:space="0" w:color="auto"/>
            </w:tcBorders>
            <w:shd w:val="clear" w:color="auto" w:fill="auto"/>
            <w:noWrap/>
            <w:vAlign w:val="bottom"/>
            <w:hideMark/>
          </w:tcPr>
          <w:p w14:paraId="57221529" w14:textId="77777777" w:rsidR="00EC75B5" w:rsidRPr="0086658D" w:rsidRDefault="00EC75B5" w:rsidP="00EC75B5">
            <w:pPr>
              <w:jc w:val="right"/>
              <w:rPr>
                <w:color w:val="000000"/>
                <w:sz w:val="22"/>
                <w:szCs w:val="22"/>
              </w:rPr>
            </w:pPr>
            <w:r w:rsidRPr="0086658D">
              <w:rPr>
                <w:color w:val="000000"/>
                <w:sz w:val="22"/>
                <w:szCs w:val="22"/>
              </w:rPr>
              <w:t>$63</w:t>
            </w:r>
            <w:r>
              <w:rPr>
                <w:color w:val="000000"/>
                <w:sz w:val="22"/>
                <w:szCs w:val="22"/>
              </w:rPr>
              <w:t>6</w:t>
            </w:r>
            <w:r w:rsidRPr="0086658D">
              <w:rPr>
                <w:color w:val="000000"/>
                <w:sz w:val="22"/>
                <w:szCs w:val="22"/>
              </w:rPr>
              <w:t>,</w:t>
            </w:r>
            <w:r>
              <w:rPr>
                <w:color w:val="000000"/>
                <w:sz w:val="22"/>
                <w:szCs w:val="22"/>
              </w:rPr>
              <w:t>03</w:t>
            </w:r>
            <w:r w:rsidRPr="0086658D">
              <w:rPr>
                <w:color w:val="000000"/>
                <w:sz w:val="22"/>
                <w:szCs w:val="22"/>
              </w:rPr>
              <w:t>4</w:t>
            </w:r>
          </w:p>
        </w:tc>
        <w:tc>
          <w:tcPr>
            <w:tcW w:w="1530" w:type="dxa"/>
            <w:tcBorders>
              <w:top w:val="nil"/>
              <w:left w:val="nil"/>
              <w:bottom w:val="single" w:sz="4" w:space="0" w:color="auto"/>
              <w:right w:val="single" w:sz="4" w:space="0" w:color="auto"/>
            </w:tcBorders>
            <w:shd w:val="clear" w:color="auto" w:fill="auto"/>
            <w:noWrap/>
            <w:vAlign w:val="bottom"/>
            <w:hideMark/>
          </w:tcPr>
          <w:p w14:paraId="5192B4F0" w14:textId="77777777" w:rsidR="00EC75B5" w:rsidRPr="0086658D" w:rsidRDefault="00EC75B5" w:rsidP="00EC75B5">
            <w:pPr>
              <w:jc w:val="right"/>
              <w:rPr>
                <w:color w:val="000000"/>
                <w:sz w:val="22"/>
                <w:szCs w:val="22"/>
              </w:rPr>
            </w:pPr>
            <w:r w:rsidRPr="0086658D">
              <w:rPr>
                <w:color w:val="000000"/>
                <w:sz w:val="22"/>
                <w:szCs w:val="22"/>
              </w:rPr>
              <w:t>$989,</w:t>
            </w:r>
            <w:r>
              <w:rPr>
                <w:color w:val="000000"/>
                <w:sz w:val="22"/>
                <w:szCs w:val="22"/>
              </w:rPr>
              <w:t>79</w:t>
            </w:r>
            <w:r w:rsidRPr="0086658D">
              <w:rPr>
                <w:color w:val="000000"/>
                <w:sz w:val="22"/>
                <w:szCs w:val="22"/>
              </w:rPr>
              <w:t>3</w:t>
            </w:r>
          </w:p>
        </w:tc>
      </w:tr>
      <w:tr w:rsidR="00EC75B5" w:rsidRPr="0086658D" w14:paraId="23B2474A" w14:textId="77777777" w:rsidTr="00EC75B5">
        <w:trPr>
          <w:trHeight w:val="30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62FCD28A" w14:textId="77777777" w:rsidR="00EC75B5" w:rsidRPr="00DD19AC" w:rsidRDefault="00EC75B5" w:rsidP="00EC75B5">
            <w:pPr>
              <w:rPr>
                <w:bCs/>
                <w:color w:val="000000"/>
                <w:sz w:val="22"/>
                <w:szCs w:val="22"/>
              </w:rPr>
            </w:pPr>
            <w:r w:rsidRPr="00DD19AC">
              <w:rPr>
                <w:bCs/>
                <w:color w:val="000000"/>
                <w:sz w:val="22"/>
                <w:szCs w:val="22"/>
              </w:rPr>
              <w:t>SC</w:t>
            </w:r>
          </w:p>
        </w:tc>
        <w:tc>
          <w:tcPr>
            <w:tcW w:w="1176" w:type="dxa"/>
            <w:tcBorders>
              <w:top w:val="nil"/>
              <w:left w:val="nil"/>
              <w:bottom w:val="single" w:sz="4" w:space="0" w:color="auto"/>
              <w:right w:val="single" w:sz="4" w:space="0" w:color="auto"/>
            </w:tcBorders>
            <w:shd w:val="clear" w:color="auto" w:fill="auto"/>
            <w:noWrap/>
            <w:vAlign w:val="bottom"/>
            <w:hideMark/>
          </w:tcPr>
          <w:p w14:paraId="1825E3A8" w14:textId="77777777" w:rsidR="00EC75B5" w:rsidRPr="0086658D" w:rsidRDefault="00EC75B5" w:rsidP="00EC75B5">
            <w:pPr>
              <w:jc w:val="right"/>
              <w:rPr>
                <w:color w:val="000000"/>
                <w:sz w:val="22"/>
                <w:szCs w:val="22"/>
              </w:rPr>
            </w:pPr>
            <w:r w:rsidRPr="0086658D">
              <w:rPr>
                <w:color w:val="000000"/>
                <w:sz w:val="22"/>
                <w:szCs w:val="22"/>
              </w:rPr>
              <w:t>8</w:t>
            </w:r>
            <w:r>
              <w:rPr>
                <w:color w:val="000000"/>
                <w:sz w:val="22"/>
                <w:szCs w:val="22"/>
              </w:rPr>
              <w:t>63</w:t>
            </w:r>
            <w:r w:rsidRPr="0086658D">
              <w:rPr>
                <w:color w:val="000000"/>
                <w:sz w:val="22"/>
                <w:szCs w:val="22"/>
              </w:rPr>
              <w:t>,</w:t>
            </w:r>
            <w:r>
              <w:rPr>
                <w:color w:val="000000"/>
                <w:sz w:val="22"/>
                <w:szCs w:val="22"/>
              </w:rPr>
              <w:t>940</w:t>
            </w:r>
          </w:p>
        </w:tc>
        <w:tc>
          <w:tcPr>
            <w:tcW w:w="1296" w:type="dxa"/>
            <w:tcBorders>
              <w:top w:val="nil"/>
              <w:left w:val="nil"/>
              <w:bottom w:val="single" w:sz="4" w:space="0" w:color="auto"/>
              <w:right w:val="single" w:sz="4" w:space="0" w:color="auto"/>
            </w:tcBorders>
            <w:shd w:val="clear" w:color="auto" w:fill="auto"/>
            <w:noWrap/>
            <w:vAlign w:val="bottom"/>
            <w:hideMark/>
          </w:tcPr>
          <w:p w14:paraId="009B709D" w14:textId="77777777" w:rsidR="00EC75B5" w:rsidRPr="0086658D" w:rsidRDefault="00EC75B5" w:rsidP="00EC75B5">
            <w:pPr>
              <w:jc w:val="right"/>
              <w:rPr>
                <w:color w:val="000000"/>
                <w:sz w:val="22"/>
                <w:szCs w:val="22"/>
              </w:rPr>
            </w:pPr>
            <w:r>
              <w:rPr>
                <w:color w:val="000000"/>
                <w:sz w:val="22"/>
                <w:szCs w:val="22"/>
              </w:rPr>
              <w:t>2</w:t>
            </w:r>
            <w:r w:rsidRPr="0086658D">
              <w:rPr>
                <w:color w:val="000000"/>
                <w:sz w:val="22"/>
                <w:szCs w:val="22"/>
              </w:rPr>
              <w:t>,</w:t>
            </w:r>
            <w:r>
              <w:rPr>
                <w:color w:val="000000"/>
                <w:sz w:val="22"/>
                <w:szCs w:val="22"/>
              </w:rPr>
              <w:t>221</w:t>
            </w:r>
            <w:r w:rsidRPr="0086658D">
              <w:rPr>
                <w:color w:val="000000"/>
                <w:sz w:val="22"/>
                <w:szCs w:val="22"/>
              </w:rPr>
              <w:t>,2</w:t>
            </w:r>
            <w:r>
              <w:rPr>
                <w:color w:val="000000"/>
                <w:sz w:val="22"/>
                <w:szCs w:val="22"/>
              </w:rPr>
              <w:t>88</w:t>
            </w:r>
          </w:p>
        </w:tc>
        <w:tc>
          <w:tcPr>
            <w:tcW w:w="900" w:type="dxa"/>
            <w:tcBorders>
              <w:top w:val="nil"/>
              <w:left w:val="nil"/>
              <w:bottom w:val="single" w:sz="4" w:space="0" w:color="auto"/>
              <w:right w:val="single" w:sz="4" w:space="0" w:color="auto"/>
            </w:tcBorders>
            <w:shd w:val="clear" w:color="auto" w:fill="auto"/>
            <w:noWrap/>
            <w:vAlign w:val="bottom"/>
            <w:hideMark/>
          </w:tcPr>
          <w:p w14:paraId="663BDC92" w14:textId="77777777" w:rsidR="00EC75B5" w:rsidRPr="0086658D" w:rsidRDefault="00EC75B5" w:rsidP="00EC75B5">
            <w:pPr>
              <w:jc w:val="right"/>
              <w:rPr>
                <w:color w:val="000000"/>
                <w:sz w:val="22"/>
                <w:szCs w:val="22"/>
              </w:rPr>
            </w:pPr>
            <w:r>
              <w:rPr>
                <w:color w:val="000000"/>
                <w:sz w:val="22"/>
                <w:szCs w:val="22"/>
              </w:rPr>
              <w:t>6</w:t>
            </w:r>
            <w:r w:rsidRPr="0086658D">
              <w:rPr>
                <w:color w:val="000000"/>
                <w:sz w:val="22"/>
                <w:szCs w:val="22"/>
              </w:rPr>
              <w:t>,2</w:t>
            </w:r>
            <w:r>
              <w:rPr>
                <w:color w:val="000000"/>
                <w:sz w:val="22"/>
                <w:szCs w:val="22"/>
              </w:rPr>
              <w:t>24</w:t>
            </w:r>
          </w:p>
        </w:tc>
        <w:tc>
          <w:tcPr>
            <w:tcW w:w="1296" w:type="dxa"/>
            <w:tcBorders>
              <w:top w:val="nil"/>
              <w:left w:val="nil"/>
              <w:bottom w:val="single" w:sz="4" w:space="0" w:color="auto"/>
              <w:right w:val="single" w:sz="4" w:space="0" w:color="auto"/>
            </w:tcBorders>
            <w:shd w:val="clear" w:color="auto" w:fill="auto"/>
            <w:noWrap/>
            <w:vAlign w:val="bottom"/>
            <w:hideMark/>
          </w:tcPr>
          <w:p w14:paraId="2189CD52" w14:textId="77777777" w:rsidR="00EC75B5" w:rsidRPr="0086658D" w:rsidRDefault="00EC75B5" w:rsidP="00EC75B5">
            <w:pPr>
              <w:jc w:val="right"/>
              <w:rPr>
                <w:color w:val="000000"/>
                <w:sz w:val="22"/>
                <w:szCs w:val="22"/>
              </w:rPr>
            </w:pPr>
            <w:r w:rsidRPr="0086658D">
              <w:rPr>
                <w:color w:val="000000"/>
                <w:sz w:val="22"/>
                <w:szCs w:val="22"/>
              </w:rPr>
              <w:t>$</w:t>
            </w:r>
            <w:r>
              <w:rPr>
                <w:color w:val="000000"/>
                <w:sz w:val="22"/>
                <w:szCs w:val="22"/>
              </w:rPr>
              <w:t>5</w:t>
            </w:r>
            <w:r w:rsidRPr="0086658D">
              <w:rPr>
                <w:color w:val="000000"/>
                <w:sz w:val="22"/>
                <w:szCs w:val="22"/>
              </w:rPr>
              <w:t>4</w:t>
            </w:r>
            <w:r>
              <w:rPr>
                <w:color w:val="000000"/>
                <w:sz w:val="22"/>
                <w:szCs w:val="22"/>
              </w:rPr>
              <w:t>5</w:t>
            </w:r>
            <w:r w:rsidRPr="0086658D">
              <w:rPr>
                <w:color w:val="000000"/>
                <w:sz w:val="22"/>
                <w:szCs w:val="22"/>
              </w:rPr>
              <w:t>,3</w:t>
            </w:r>
            <w:r>
              <w:rPr>
                <w:color w:val="000000"/>
                <w:sz w:val="22"/>
                <w:szCs w:val="22"/>
              </w:rPr>
              <w:t>75</w:t>
            </w:r>
          </w:p>
        </w:tc>
        <w:tc>
          <w:tcPr>
            <w:tcW w:w="1296" w:type="dxa"/>
            <w:tcBorders>
              <w:top w:val="nil"/>
              <w:left w:val="nil"/>
              <w:bottom w:val="single" w:sz="4" w:space="0" w:color="auto"/>
              <w:right w:val="single" w:sz="4" w:space="0" w:color="auto"/>
            </w:tcBorders>
            <w:shd w:val="clear" w:color="auto" w:fill="auto"/>
            <w:noWrap/>
            <w:vAlign w:val="bottom"/>
            <w:hideMark/>
          </w:tcPr>
          <w:p w14:paraId="3E968088" w14:textId="77777777" w:rsidR="00EC75B5" w:rsidRPr="0086658D" w:rsidRDefault="00EC75B5" w:rsidP="00EC75B5">
            <w:pPr>
              <w:jc w:val="right"/>
              <w:rPr>
                <w:color w:val="000000"/>
                <w:sz w:val="22"/>
                <w:szCs w:val="22"/>
              </w:rPr>
            </w:pPr>
            <w:r w:rsidRPr="0086658D">
              <w:rPr>
                <w:color w:val="000000"/>
                <w:sz w:val="22"/>
                <w:szCs w:val="22"/>
              </w:rPr>
              <w:t>$</w:t>
            </w:r>
            <w:r>
              <w:rPr>
                <w:color w:val="000000"/>
                <w:sz w:val="22"/>
                <w:szCs w:val="22"/>
              </w:rPr>
              <w:t>2</w:t>
            </w:r>
            <w:r w:rsidRPr="0086658D">
              <w:rPr>
                <w:color w:val="000000"/>
                <w:sz w:val="22"/>
                <w:szCs w:val="22"/>
              </w:rPr>
              <w:t>1</w:t>
            </w:r>
            <w:r>
              <w:rPr>
                <w:color w:val="000000"/>
                <w:sz w:val="22"/>
                <w:szCs w:val="22"/>
              </w:rPr>
              <w:t>9</w:t>
            </w:r>
            <w:r w:rsidRPr="0086658D">
              <w:rPr>
                <w:color w:val="000000"/>
                <w:sz w:val="22"/>
                <w:szCs w:val="22"/>
              </w:rPr>
              <w:t>,</w:t>
            </w:r>
            <w:r>
              <w:rPr>
                <w:color w:val="000000"/>
                <w:sz w:val="22"/>
                <w:szCs w:val="22"/>
              </w:rPr>
              <w:t>815</w:t>
            </w:r>
          </w:p>
        </w:tc>
        <w:tc>
          <w:tcPr>
            <w:tcW w:w="1530" w:type="dxa"/>
            <w:tcBorders>
              <w:top w:val="nil"/>
              <w:left w:val="nil"/>
              <w:bottom w:val="single" w:sz="4" w:space="0" w:color="auto"/>
              <w:right w:val="single" w:sz="4" w:space="0" w:color="auto"/>
            </w:tcBorders>
            <w:shd w:val="clear" w:color="auto" w:fill="auto"/>
            <w:noWrap/>
            <w:vAlign w:val="bottom"/>
            <w:hideMark/>
          </w:tcPr>
          <w:p w14:paraId="2ECDAEA9" w14:textId="77777777" w:rsidR="00EC75B5" w:rsidRPr="0086658D" w:rsidRDefault="00EC75B5" w:rsidP="00EC75B5">
            <w:pPr>
              <w:jc w:val="right"/>
              <w:rPr>
                <w:color w:val="000000"/>
                <w:sz w:val="22"/>
                <w:szCs w:val="22"/>
              </w:rPr>
            </w:pPr>
            <w:r w:rsidRPr="0086658D">
              <w:rPr>
                <w:color w:val="000000"/>
                <w:sz w:val="22"/>
                <w:szCs w:val="22"/>
              </w:rPr>
              <w:t>$3</w:t>
            </w:r>
            <w:r>
              <w:rPr>
                <w:color w:val="000000"/>
                <w:sz w:val="22"/>
                <w:szCs w:val="22"/>
              </w:rPr>
              <w:t>44</w:t>
            </w:r>
            <w:r w:rsidRPr="0086658D">
              <w:rPr>
                <w:color w:val="000000"/>
                <w:sz w:val="22"/>
                <w:szCs w:val="22"/>
              </w:rPr>
              <w:t>,</w:t>
            </w:r>
            <w:r>
              <w:rPr>
                <w:color w:val="000000"/>
                <w:sz w:val="22"/>
                <w:szCs w:val="22"/>
              </w:rPr>
              <w:t>3</w:t>
            </w:r>
            <w:r w:rsidRPr="0086658D">
              <w:rPr>
                <w:color w:val="000000"/>
                <w:sz w:val="22"/>
                <w:szCs w:val="22"/>
              </w:rPr>
              <w:t>0</w:t>
            </w:r>
            <w:r>
              <w:rPr>
                <w:color w:val="000000"/>
                <w:sz w:val="22"/>
                <w:szCs w:val="22"/>
              </w:rPr>
              <w:t>7</w:t>
            </w:r>
          </w:p>
        </w:tc>
      </w:tr>
      <w:tr w:rsidR="00EC75B5" w:rsidRPr="0086658D" w14:paraId="1C2A6774" w14:textId="77777777" w:rsidTr="00EC75B5">
        <w:trPr>
          <w:trHeight w:val="30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096596B6" w14:textId="77777777" w:rsidR="00EC75B5" w:rsidRPr="00DD19AC" w:rsidRDefault="00EC75B5" w:rsidP="00EC75B5">
            <w:pPr>
              <w:rPr>
                <w:bCs/>
                <w:color w:val="000000"/>
                <w:sz w:val="22"/>
                <w:szCs w:val="22"/>
              </w:rPr>
            </w:pPr>
            <w:r w:rsidRPr="00DD19AC">
              <w:rPr>
                <w:bCs/>
                <w:color w:val="000000"/>
                <w:sz w:val="22"/>
                <w:szCs w:val="22"/>
              </w:rPr>
              <w:t>Total</w:t>
            </w:r>
          </w:p>
        </w:tc>
        <w:tc>
          <w:tcPr>
            <w:tcW w:w="1176" w:type="dxa"/>
            <w:tcBorders>
              <w:top w:val="nil"/>
              <w:left w:val="nil"/>
              <w:bottom w:val="single" w:sz="4" w:space="0" w:color="auto"/>
              <w:right w:val="single" w:sz="4" w:space="0" w:color="auto"/>
            </w:tcBorders>
            <w:shd w:val="clear" w:color="auto" w:fill="auto"/>
            <w:noWrap/>
            <w:vAlign w:val="bottom"/>
            <w:hideMark/>
          </w:tcPr>
          <w:p w14:paraId="195379C5" w14:textId="77777777" w:rsidR="00EC75B5" w:rsidRPr="0086658D" w:rsidRDefault="00EC75B5" w:rsidP="00EC75B5">
            <w:pPr>
              <w:jc w:val="right"/>
              <w:rPr>
                <w:color w:val="000000"/>
                <w:sz w:val="22"/>
                <w:szCs w:val="22"/>
              </w:rPr>
            </w:pPr>
            <w:r w:rsidRPr="0086658D">
              <w:rPr>
                <w:color w:val="000000"/>
                <w:sz w:val="22"/>
                <w:szCs w:val="22"/>
              </w:rPr>
              <w:t>4,</w:t>
            </w:r>
            <w:r>
              <w:rPr>
                <w:color w:val="000000"/>
                <w:sz w:val="22"/>
                <w:szCs w:val="22"/>
              </w:rPr>
              <w:t>97</w:t>
            </w:r>
            <w:r w:rsidRPr="0086658D">
              <w:rPr>
                <w:color w:val="000000"/>
                <w:sz w:val="22"/>
                <w:szCs w:val="22"/>
              </w:rPr>
              <w:t>0</w:t>
            </w:r>
            <w:r>
              <w:rPr>
                <w:color w:val="000000"/>
                <w:sz w:val="22"/>
                <w:szCs w:val="22"/>
              </w:rPr>
              <w:t>,</w:t>
            </w:r>
            <w:r w:rsidRPr="0086658D">
              <w:rPr>
                <w:color w:val="000000"/>
                <w:sz w:val="22"/>
                <w:szCs w:val="22"/>
              </w:rPr>
              <w:t>4</w:t>
            </w:r>
            <w:r>
              <w:rPr>
                <w:color w:val="000000"/>
                <w:sz w:val="22"/>
                <w:szCs w:val="22"/>
              </w:rPr>
              <w:t>64</w:t>
            </w:r>
          </w:p>
        </w:tc>
        <w:tc>
          <w:tcPr>
            <w:tcW w:w="1296" w:type="dxa"/>
            <w:tcBorders>
              <w:top w:val="nil"/>
              <w:left w:val="nil"/>
              <w:bottom w:val="single" w:sz="4" w:space="0" w:color="auto"/>
              <w:right w:val="single" w:sz="4" w:space="0" w:color="auto"/>
            </w:tcBorders>
            <w:shd w:val="clear" w:color="auto" w:fill="auto"/>
            <w:noWrap/>
            <w:vAlign w:val="bottom"/>
            <w:hideMark/>
          </w:tcPr>
          <w:p w14:paraId="32733024" w14:textId="77777777" w:rsidR="00EC75B5" w:rsidRPr="0086658D" w:rsidRDefault="00EC75B5" w:rsidP="00EC75B5">
            <w:pPr>
              <w:jc w:val="right"/>
              <w:rPr>
                <w:color w:val="000000"/>
                <w:sz w:val="22"/>
                <w:szCs w:val="22"/>
              </w:rPr>
            </w:pPr>
            <w:r w:rsidRPr="0086658D">
              <w:rPr>
                <w:color w:val="000000"/>
                <w:sz w:val="22"/>
                <w:szCs w:val="22"/>
              </w:rPr>
              <w:t>1</w:t>
            </w:r>
            <w:r>
              <w:rPr>
                <w:color w:val="000000"/>
                <w:sz w:val="22"/>
                <w:szCs w:val="22"/>
              </w:rPr>
              <w:t>7</w:t>
            </w:r>
            <w:r w:rsidRPr="0086658D">
              <w:rPr>
                <w:color w:val="000000"/>
                <w:sz w:val="22"/>
                <w:szCs w:val="22"/>
              </w:rPr>
              <w:t>,6</w:t>
            </w:r>
            <w:r>
              <w:rPr>
                <w:color w:val="000000"/>
                <w:sz w:val="22"/>
                <w:szCs w:val="22"/>
              </w:rPr>
              <w:t>45</w:t>
            </w:r>
            <w:r w:rsidRPr="0086658D">
              <w:rPr>
                <w:color w:val="000000"/>
                <w:sz w:val="22"/>
                <w:szCs w:val="22"/>
              </w:rPr>
              <w:t>,5</w:t>
            </w:r>
            <w:r>
              <w:rPr>
                <w:color w:val="000000"/>
                <w:sz w:val="22"/>
                <w:szCs w:val="22"/>
              </w:rPr>
              <w:t>00</w:t>
            </w:r>
          </w:p>
        </w:tc>
        <w:tc>
          <w:tcPr>
            <w:tcW w:w="5022" w:type="dxa"/>
            <w:gridSpan w:val="4"/>
            <w:tcBorders>
              <w:top w:val="single" w:sz="4" w:space="0" w:color="auto"/>
              <w:left w:val="nil"/>
              <w:bottom w:val="single" w:sz="4" w:space="0" w:color="auto"/>
              <w:right w:val="single" w:sz="4" w:space="0" w:color="000000"/>
            </w:tcBorders>
            <w:shd w:val="clear" w:color="auto" w:fill="auto"/>
            <w:vAlign w:val="bottom"/>
            <w:hideMark/>
          </w:tcPr>
          <w:p w14:paraId="080AAA0D" w14:textId="77777777" w:rsidR="00EC75B5" w:rsidRPr="0086658D" w:rsidRDefault="00EC75B5" w:rsidP="00EC75B5">
            <w:pPr>
              <w:jc w:val="center"/>
              <w:rPr>
                <w:color w:val="000000"/>
                <w:sz w:val="22"/>
                <w:szCs w:val="22"/>
              </w:rPr>
            </w:pPr>
            <w:r w:rsidRPr="0086658D">
              <w:rPr>
                <w:color w:val="000000"/>
                <w:sz w:val="22"/>
                <w:szCs w:val="22"/>
              </w:rPr>
              <w:t> </w:t>
            </w:r>
          </w:p>
        </w:tc>
      </w:tr>
    </w:tbl>
    <w:p w14:paraId="19A80DDF" w14:textId="20383B12" w:rsidR="00EC75B5" w:rsidRPr="00DB18EC" w:rsidRDefault="00EC75B5" w:rsidP="00DB18EC">
      <w:pPr>
        <w:rPr>
          <w:rFonts w:ascii="Arial" w:hAnsi="Arial" w:cs="Arial"/>
          <w:sz w:val="20"/>
          <w:szCs w:val="20"/>
        </w:rPr>
      </w:pPr>
      <w:r w:rsidRPr="00952EDA">
        <w:rPr>
          <w:rFonts w:ascii="Arial" w:hAnsi="Arial" w:cs="Arial"/>
          <w:sz w:val="20"/>
          <w:szCs w:val="20"/>
        </w:rPr>
        <w:t xml:space="preserve">Sources:  For anglers and trips, </w:t>
      </w:r>
      <w:r w:rsidRPr="00952EDA">
        <w:rPr>
          <w:rFonts w:ascii="Arial" w:hAnsi="Arial" w:cs="Arial"/>
          <w:color w:val="000000"/>
          <w:sz w:val="20"/>
          <w:szCs w:val="20"/>
        </w:rPr>
        <w:t xml:space="preserve">Personal communication from the National Marine Fisheries Service, Fisheries Statistics Division </w:t>
      </w:r>
      <w:r>
        <w:rPr>
          <w:rFonts w:ascii="Arial" w:hAnsi="Arial" w:cs="Arial"/>
          <w:color w:val="000000"/>
          <w:sz w:val="20"/>
          <w:szCs w:val="20"/>
        </w:rPr>
        <w:t>July</w:t>
      </w:r>
      <w:r w:rsidRPr="00952EDA">
        <w:rPr>
          <w:rFonts w:ascii="Arial" w:hAnsi="Arial" w:cs="Arial"/>
          <w:color w:val="000000"/>
          <w:sz w:val="20"/>
          <w:szCs w:val="20"/>
        </w:rPr>
        <w:t xml:space="preserve"> 2</w:t>
      </w:r>
      <w:r>
        <w:rPr>
          <w:rFonts w:ascii="Arial" w:hAnsi="Arial" w:cs="Arial"/>
          <w:color w:val="000000"/>
          <w:sz w:val="20"/>
          <w:szCs w:val="20"/>
        </w:rPr>
        <w:t>7</w:t>
      </w:r>
      <w:r w:rsidRPr="00952EDA">
        <w:rPr>
          <w:rFonts w:ascii="Arial" w:hAnsi="Arial" w:cs="Arial"/>
          <w:color w:val="000000"/>
          <w:sz w:val="20"/>
          <w:szCs w:val="20"/>
        </w:rPr>
        <w:t xml:space="preserve">, 2016 and for impacts, </w:t>
      </w:r>
      <w:r w:rsidRPr="00952EDA">
        <w:rPr>
          <w:rFonts w:ascii="Arial" w:hAnsi="Arial" w:cs="Arial"/>
          <w:sz w:val="20"/>
          <w:szCs w:val="20"/>
        </w:rPr>
        <w:t>FEUS 201</w:t>
      </w:r>
      <w:r>
        <w:rPr>
          <w:rFonts w:ascii="Arial" w:hAnsi="Arial" w:cs="Arial"/>
          <w:sz w:val="20"/>
          <w:szCs w:val="20"/>
        </w:rPr>
        <w:t>4</w:t>
      </w:r>
      <w:r w:rsidRPr="00952EDA">
        <w:rPr>
          <w:rFonts w:ascii="Arial" w:hAnsi="Arial" w:cs="Arial"/>
          <w:sz w:val="20"/>
          <w:szCs w:val="20"/>
        </w:rPr>
        <w:t>.</w:t>
      </w:r>
    </w:p>
    <w:p w14:paraId="6062C68E" w14:textId="77777777" w:rsidR="00941184" w:rsidRDefault="00941184" w:rsidP="00941184">
      <w:pPr>
        <w:rPr>
          <w:rFonts w:ascii="Arial" w:hAnsi="Arial" w:cs="Arial"/>
          <w:b/>
          <w:sz w:val="20"/>
          <w:szCs w:val="20"/>
        </w:rPr>
      </w:pPr>
    </w:p>
    <w:p w14:paraId="1689C17F" w14:textId="77777777" w:rsidR="00DB18EC" w:rsidRDefault="00DB18EC" w:rsidP="00DB18EC">
      <w:pPr>
        <w:ind w:firstLine="360"/>
      </w:pPr>
      <w:r>
        <w:t xml:space="preserve">Anglers in the South Atlantic region caught approximately 100 million fish in </w:t>
      </w:r>
      <w:r w:rsidRPr="009F4E49">
        <w:t>201</w:t>
      </w:r>
      <w:r>
        <w:t>4</w:t>
      </w:r>
      <w:r w:rsidRPr="009F4E49">
        <w:t xml:space="preserve"> (</w:t>
      </w:r>
      <w:r w:rsidRPr="009F4E49">
        <w:rPr>
          <w:color w:val="000000"/>
        </w:rPr>
        <w:t xml:space="preserve">Personal communication from the National Marine Fisheries Service, Fisheries Statistics Division </w:t>
      </w:r>
      <w:r>
        <w:rPr>
          <w:color w:val="000000"/>
        </w:rPr>
        <w:t>July</w:t>
      </w:r>
      <w:r w:rsidRPr="009F4E49">
        <w:rPr>
          <w:color w:val="000000"/>
        </w:rPr>
        <w:t xml:space="preserve"> 2</w:t>
      </w:r>
      <w:r>
        <w:rPr>
          <w:color w:val="000000"/>
        </w:rPr>
        <w:t>7</w:t>
      </w:r>
      <w:r w:rsidRPr="009F4E49">
        <w:rPr>
          <w:color w:val="000000"/>
        </w:rPr>
        <w:t>, 2016</w:t>
      </w:r>
      <w:r>
        <w:t>).  Approximately 35 million of these fish were harvested and 65 million released (</w:t>
      </w:r>
      <w:r>
        <w:rPr>
          <w:b/>
        </w:rPr>
        <w:t>Table 3.3.17</w:t>
      </w:r>
      <w:r>
        <w:t>).  Drums, herrings, mullets, jacks, and porgies are among the top five species groups by numbers of fish harvested in 2014.  Porgies and jacks are among the species groups in the snapper grouper fishery.</w:t>
      </w:r>
    </w:p>
    <w:p w14:paraId="68C6DDD6" w14:textId="377A2210" w:rsidR="00AE6F07" w:rsidRDefault="00AE6F07">
      <w:pPr>
        <w:rPr>
          <w:rFonts w:ascii="Arial" w:hAnsi="Arial"/>
          <w:b/>
          <w:bCs/>
          <w:sz w:val="20"/>
        </w:rPr>
      </w:pPr>
    </w:p>
    <w:p w14:paraId="48681B1D" w14:textId="01FD2D7E" w:rsidR="00941184" w:rsidRDefault="00941184" w:rsidP="001A2F6D">
      <w:pPr>
        <w:pStyle w:val="Tabletitle"/>
      </w:pPr>
      <w:bookmarkStart w:id="162" w:name="_Toc340431562"/>
      <w:r>
        <w:rPr>
          <w:b/>
        </w:rPr>
        <w:t>Table 3.3.17</w:t>
      </w:r>
      <w:r w:rsidRPr="00952EDA">
        <w:t xml:space="preserve">.  Species groups caught by anglers in </w:t>
      </w:r>
      <w:r w:rsidR="001A2F6D">
        <w:t xml:space="preserve">the </w:t>
      </w:r>
      <w:r w:rsidRPr="00952EDA">
        <w:t>South Atlantic</w:t>
      </w:r>
      <w:r w:rsidR="000949F2">
        <w:t xml:space="preserve"> R</w:t>
      </w:r>
      <w:r w:rsidR="001A2F6D">
        <w:t>egion</w:t>
      </w:r>
      <w:r w:rsidRPr="00952EDA">
        <w:t>, 2013.</w:t>
      </w:r>
      <w:bookmarkEnd w:id="162"/>
      <w:r w:rsidRPr="00952EDA">
        <w:t xml:space="preserve"> </w:t>
      </w:r>
    </w:p>
    <w:p w14:paraId="10500408" w14:textId="0A967A71" w:rsidR="008B6B0D" w:rsidRPr="008B6B0D" w:rsidRDefault="008B6B0D" w:rsidP="008B6B0D">
      <w:pPr>
        <w:rPr>
          <w:rFonts w:ascii="Arial" w:hAnsi="Arial" w:cs="Arial"/>
          <w:color w:val="000000"/>
          <w:sz w:val="20"/>
          <w:szCs w:val="20"/>
        </w:rPr>
      </w:pPr>
      <w:r w:rsidRPr="008B6B0D">
        <w:rPr>
          <w:rFonts w:ascii="Arial" w:hAnsi="Arial" w:cs="Arial"/>
          <w:sz w:val="20"/>
          <w:szCs w:val="20"/>
        </w:rPr>
        <w:t>NOTE: Species groups denoted in italics contain species that belong to the snapper grouper fishery management unit.</w:t>
      </w:r>
    </w:p>
    <w:tbl>
      <w:tblPr>
        <w:tblW w:w="9196" w:type="dxa"/>
        <w:tblInd w:w="93" w:type="dxa"/>
        <w:tblLook w:val="04A0" w:firstRow="1" w:lastRow="0" w:firstColumn="1" w:lastColumn="0" w:noHBand="0" w:noVBand="1"/>
      </w:tblPr>
      <w:tblGrid>
        <w:gridCol w:w="2116"/>
        <w:gridCol w:w="1116"/>
        <w:gridCol w:w="1116"/>
        <w:gridCol w:w="1216"/>
        <w:gridCol w:w="1120"/>
        <w:gridCol w:w="972"/>
        <w:gridCol w:w="1540"/>
      </w:tblGrid>
      <w:tr w:rsidR="00941184" w:rsidRPr="000A026B" w14:paraId="2ACB31FD" w14:textId="77777777" w:rsidTr="00DB18EC">
        <w:trPr>
          <w:trHeight w:val="300"/>
        </w:trPr>
        <w:tc>
          <w:tcPr>
            <w:tcW w:w="21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CE50618" w14:textId="77777777" w:rsidR="00941184" w:rsidRPr="000A026B" w:rsidRDefault="00941184" w:rsidP="00941184">
            <w:pPr>
              <w:jc w:val="center"/>
              <w:rPr>
                <w:b/>
                <w:bCs/>
                <w:color w:val="000000"/>
                <w:sz w:val="20"/>
                <w:szCs w:val="20"/>
              </w:rPr>
            </w:pPr>
            <w:r w:rsidRPr="000A026B">
              <w:rPr>
                <w:b/>
                <w:bCs/>
                <w:color w:val="000000"/>
                <w:sz w:val="20"/>
                <w:szCs w:val="20"/>
              </w:rPr>
              <w:t>Species Group</w:t>
            </w:r>
          </w:p>
        </w:tc>
        <w:tc>
          <w:tcPr>
            <w:tcW w:w="344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927A966" w14:textId="77777777" w:rsidR="00941184" w:rsidRPr="000A026B" w:rsidRDefault="00941184" w:rsidP="00941184">
            <w:pPr>
              <w:jc w:val="center"/>
              <w:rPr>
                <w:b/>
                <w:bCs/>
                <w:color w:val="000000"/>
                <w:sz w:val="20"/>
                <w:szCs w:val="20"/>
              </w:rPr>
            </w:pPr>
            <w:r w:rsidRPr="000A026B">
              <w:rPr>
                <w:b/>
                <w:bCs/>
                <w:color w:val="000000"/>
                <w:sz w:val="20"/>
                <w:szCs w:val="20"/>
              </w:rPr>
              <w:t>Number of Fish</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9A905C" w14:textId="77777777" w:rsidR="00941184" w:rsidRPr="000A026B" w:rsidRDefault="00941184" w:rsidP="00941184">
            <w:pPr>
              <w:jc w:val="center"/>
              <w:rPr>
                <w:b/>
                <w:bCs/>
                <w:color w:val="000000"/>
                <w:sz w:val="20"/>
                <w:szCs w:val="20"/>
              </w:rPr>
            </w:pPr>
            <w:r w:rsidRPr="000A026B">
              <w:rPr>
                <w:b/>
                <w:bCs/>
                <w:color w:val="000000"/>
                <w:sz w:val="20"/>
                <w:szCs w:val="20"/>
              </w:rPr>
              <w:t>Rank Harvested</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A0FF41" w14:textId="77777777" w:rsidR="00941184" w:rsidRPr="000A026B" w:rsidRDefault="00941184" w:rsidP="00941184">
            <w:pPr>
              <w:jc w:val="center"/>
              <w:rPr>
                <w:b/>
                <w:bCs/>
                <w:color w:val="000000"/>
                <w:sz w:val="20"/>
                <w:szCs w:val="20"/>
              </w:rPr>
            </w:pPr>
            <w:r w:rsidRPr="000A026B">
              <w:rPr>
                <w:b/>
                <w:bCs/>
                <w:color w:val="000000"/>
                <w:sz w:val="20"/>
                <w:szCs w:val="20"/>
              </w:rPr>
              <w:t>Rank Released</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86D0E53" w14:textId="77777777" w:rsidR="00941184" w:rsidRPr="000A026B" w:rsidRDefault="00941184" w:rsidP="00941184">
            <w:pPr>
              <w:jc w:val="center"/>
              <w:rPr>
                <w:b/>
                <w:bCs/>
                <w:color w:val="000000"/>
                <w:sz w:val="20"/>
                <w:szCs w:val="20"/>
              </w:rPr>
            </w:pPr>
            <w:r w:rsidRPr="000A026B">
              <w:rPr>
                <w:b/>
                <w:bCs/>
                <w:color w:val="000000"/>
                <w:sz w:val="20"/>
                <w:szCs w:val="20"/>
              </w:rPr>
              <w:t>In snapper-grouper fishery</w:t>
            </w:r>
          </w:p>
        </w:tc>
      </w:tr>
      <w:tr w:rsidR="00941184" w:rsidRPr="000A026B" w14:paraId="09889C74" w14:textId="77777777" w:rsidTr="00DB18EC">
        <w:trPr>
          <w:trHeight w:val="300"/>
        </w:trPr>
        <w:tc>
          <w:tcPr>
            <w:tcW w:w="21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497FDA" w14:textId="77777777" w:rsidR="00941184" w:rsidRPr="000A026B" w:rsidRDefault="00941184" w:rsidP="00941184">
            <w:pPr>
              <w:rPr>
                <w:b/>
                <w:bCs/>
                <w:color w:val="000000"/>
                <w:sz w:val="20"/>
                <w:szCs w:val="20"/>
              </w:rPr>
            </w:pPr>
          </w:p>
        </w:tc>
        <w:tc>
          <w:tcPr>
            <w:tcW w:w="1116" w:type="dxa"/>
            <w:tcBorders>
              <w:top w:val="nil"/>
              <w:left w:val="nil"/>
              <w:bottom w:val="single" w:sz="4" w:space="0" w:color="auto"/>
              <w:right w:val="single" w:sz="4" w:space="0" w:color="auto"/>
            </w:tcBorders>
            <w:shd w:val="clear" w:color="auto" w:fill="D9D9D9" w:themeFill="background1" w:themeFillShade="D9"/>
            <w:noWrap/>
            <w:vAlign w:val="center"/>
            <w:hideMark/>
          </w:tcPr>
          <w:p w14:paraId="2EBAB496" w14:textId="77777777" w:rsidR="00941184" w:rsidRPr="000A026B" w:rsidRDefault="00941184" w:rsidP="00941184">
            <w:pPr>
              <w:jc w:val="center"/>
              <w:rPr>
                <w:b/>
                <w:bCs/>
                <w:color w:val="000000"/>
                <w:sz w:val="20"/>
                <w:szCs w:val="20"/>
              </w:rPr>
            </w:pPr>
            <w:r w:rsidRPr="000A026B">
              <w:rPr>
                <w:b/>
                <w:bCs/>
                <w:color w:val="000000"/>
                <w:sz w:val="20"/>
                <w:szCs w:val="20"/>
              </w:rPr>
              <w:t>Harvested</w:t>
            </w:r>
          </w:p>
        </w:tc>
        <w:tc>
          <w:tcPr>
            <w:tcW w:w="1116" w:type="dxa"/>
            <w:tcBorders>
              <w:top w:val="nil"/>
              <w:left w:val="nil"/>
              <w:bottom w:val="single" w:sz="4" w:space="0" w:color="auto"/>
              <w:right w:val="single" w:sz="4" w:space="0" w:color="auto"/>
            </w:tcBorders>
            <w:shd w:val="clear" w:color="auto" w:fill="D9D9D9" w:themeFill="background1" w:themeFillShade="D9"/>
            <w:noWrap/>
            <w:vAlign w:val="center"/>
            <w:hideMark/>
          </w:tcPr>
          <w:p w14:paraId="4BAEAD51" w14:textId="77777777" w:rsidR="00941184" w:rsidRPr="000A026B" w:rsidRDefault="00941184" w:rsidP="00941184">
            <w:pPr>
              <w:jc w:val="center"/>
              <w:rPr>
                <w:b/>
                <w:bCs/>
                <w:color w:val="000000"/>
                <w:sz w:val="20"/>
                <w:szCs w:val="20"/>
              </w:rPr>
            </w:pPr>
            <w:r w:rsidRPr="000A026B">
              <w:rPr>
                <w:b/>
                <w:bCs/>
                <w:color w:val="000000"/>
                <w:sz w:val="20"/>
                <w:szCs w:val="20"/>
              </w:rPr>
              <w:t>Released</w:t>
            </w:r>
          </w:p>
        </w:tc>
        <w:tc>
          <w:tcPr>
            <w:tcW w:w="1216" w:type="dxa"/>
            <w:tcBorders>
              <w:top w:val="nil"/>
              <w:left w:val="nil"/>
              <w:bottom w:val="single" w:sz="4" w:space="0" w:color="auto"/>
              <w:right w:val="single" w:sz="4" w:space="0" w:color="auto"/>
            </w:tcBorders>
            <w:shd w:val="clear" w:color="auto" w:fill="D9D9D9" w:themeFill="background1" w:themeFillShade="D9"/>
            <w:noWrap/>
            <w:vAlign w:val="center"/>
            <w:hideMark/>
          </w:tcPr>
          <w:p w14:paraId="073BD991" w14:textId="77777777" w:rsidR="00941184" w:rsidRPr="000A026B" w:rsidRDefault="00941184" w:rsidP="00941184">
            <w:pPr>
              <w:jc w:val="center"/>
              <w:rPr>
                <w:b/>
                <w:bCs/>
                <w:color w:val="000000"/>
                <w:sz w:val="20"/>
                <w:szCs w:val="20"/>
              </w:rPr>
            </w:pPr>
            <w:r w:rsidRPr="000A026B">
              <w:rPr>
                <w:b/>
                <w:bCs/>
                <w:color w:val="000000"/>
                <w:sz w:val="20"/>
                <w:szCs w:val="20"/>
              </w:rPr>
              <w:t>Total</w:t>
            </w:r>
          </w:p>
        </w:tc>
        <w:tc>
          <w:tcPr>
            <w:tcW w:w="112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163AB0" w14:textId="77777777" w:rsidR="00941184" w:rsidRPr="000A026B" w:rsidRDefault="00941184" w:rsidP="00941184">
            <w:pPr>
              <w:rPr>
                <w:b/>
                <w:bCs/>
                <w:color w:val="000000"/>
                <w:sz w:val="20"/>
                <w:szCs w:val="20"/>
              </w:rPr>
            </w:pPr>
          </w:p>
        </w:tc>
        <w:tc>
          <w:tcPr>
            <w:tcW w:w="97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D62F74" w14:textId="77777777" w:rsidR="00941184" w:rsidRPr="000A026B" w:rsidRDefault="00941184" w:rsidP="00941184">
            <w:pPr>
              <w:rPr>
                <w:b/>
                <w:bCs/>
                <w:color w:val="000000"/>
                <w:sz w:val="20"/>
                <w:szCs w:val="20"/>
              </w:rPr>
            </w:pPr>
          </w:p>
        </w:tc>
        <w:tc>
          <w:tcPr>
            <w:tcW w:w="154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4E753DA" w14:textId="77777777" w:rsidR="00941184" w:rsidRPr="000A026B" w:rsidRDefault="00941184" w:rsidP="00941184">
            <w:pPr>
              <w:rPr>
                <w:b/>
                <w:bCs/>
                <w:color w:val="000000"/>
                <w:sz w:val="20"/>
                <w:szCs w:val="20"/>
              </w:rPr>
            </w:pPr>
          </w:p>
        </w:tc>
      </w:tr>
      <w:tr w:rsidR="00EC75B5" w:rsidRPr="000A026B" w14:paraId="189AEB54"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tcPr>
          <w:p w14:paraId="5250E4CA" w14:textId="5D751241" w:rsidR="00EC75B5" w:rsidRPr="001A2F6D" w:rsidRDefault="00EC75B5" w:rsidP="00941184">
            <w:pPr>
              <w:rPr>
                <w:bCs/>
                <w:color w:val="000000"/>
                <w:sz w:val="20"/>
                <w:szCs w:val="20"/>
              </w:rPr>
            </w:pPr>
            <w:r>
              <w:rPr>
                <w:bCs/>
                <w:color w:val="000000"/>
                <w:sz w:val="20"/>
                <w:szCs w:val="20"/>
              </w:rPr>
              <w:t>Barracudas</w:t>
            </w:r>
          </w:p>
        </w:tc>
        <w:tc>
          <w:tcPr>
            <w:tcW w:w="1116" w:type="dxa"/>
            <w:tcBorders>
              <w:top w:val="nil"/>
              <w:left w:val="nil"/>
              <w:bottom w:val="single" w:sz="4" w:space="0" w:color="auto"/>
              <w:right w:val="single" w:sz="4" w:space="0" w:color="auto"/>
            </w:tcBorders>
            <w:shd w:val="clear" w:color="auto" w:fill="auto"/>
            <w:noWrap/>
            <w:vAlign w:val="center"/>
          </w:tcPr>
          <w:p w14:paraId="046606EF" w14:textId="6F4A233F" w:rsidR="00EC75B5" w:rsidRPr="000A026B" w:rsidRDefault="00EC75B5" w:rsidP="00941184">
            <w:pPr>
              <w:jc w:val="right"/>
              <w:rPr>
                <w:color w:val="000000"/>
                <w:sz w:val="20"/>
                <w:szCs w:val="20"/>
              </w:rPr>
            </w:pPr>
            <w:r>
              <w:rPr>
                <w:color w:val="000000"/>
                <w:sz w:val="20"/>
                <w:szCs w:val="20"/>
              </w:rPr>
              <w:t>111,796</w:t>
            </w:r>
          </w:p>
        </w:tc>
        <w:tc>
          <w:tcPr>
            <w:tcW w:w="1116" w:type="dxa"/>
            <w:tcBorders>
              <w:top w:val="nil"/>
              <w:left w:val="nil"/>
              <w:bottom w:val="single" w:sz="4" w:space="0" w:color="auto"/>
              <w:right w:val="single" w:sz="4" w:space="0" w:color="auto"/>
            </w:tcBorders>
            <w:shd w:val="clear" w:color="auto" w:fill="auto"/>
            <w:noWrap/>
            <w:vAlign w:val="center"/>
          </w:tcPr>
          <w:p w14:paraId="5924A15D" w14:textId="0A372DB6" w:rsidR="00EC75B5" w:rsidRPr="000A026B" w:rsidRDefault="00EC75B5" w:rsidP="00941184">
            <w:pPr>
              <w:jc w:val="right"/>
              <w:rPr>
                <w:color w:val="000000"/>
                <w:sz w:val="20"/>
                <w:szCs w:val="20"/>
              </w:rPr>
            </w:pPr>
            <w:r>
              <w:rPr>
                <w:color w:val="000000"/>
                <w:sz w:val="20"/>
                <w:szCs w:val="20"/>
              </w:rPr>
              <w:t>118,032</w:t>
            </w:r>
          </w:p>
        </w:tc>
        <w:tc>
          <w:tcPr>
            <w:tcW w:w="1216" w:type="dxa"/>
            <w:tcBorders>
              <w:top w:val="nil"/>
              <w:left w:val="nil"/>
              <w:bottom w:val="single" w:sz="4" w:space="0" w:color="auto"/>
              <w:right w:val="single" w:sz="4" w:space="0" w:color="auto"/>
            </w:tcBorders>
            <w:shd w:val="clear" w:color="auto" w:fill="auto"/>
            <w:noWrap/>
            <w:vAlign w:val="center"/>
          </w:tcPr>
          <w:p w14:paraId="6D4F62DF" w14:textId="01E1627B" w:rsidR="00EC75B5" w:rsidRPr="000A026B" w:rsidRDefault="00EC75B5" w:rsidP="00941184">
            <w:pPr>
              <w:jc w:val="right"/>
              <w:rPr>
                <w:color w:val="000000"/>
                <w:sz w:val="20"/>
                <w:szCs w:val="20"/>
              </w:rPr>
            </w:pPr>
            <w:r>
              <w:rPr>
                <w:color w:val="000000"/>
                <w:sz w:val="20"/>
                <w:szCs w:val="20"/>
              </w:rPr>
              <w:t>229,828</w:t>
            </w:r>
          </w:p>
        </w:tc>
        <w:tc>
          <w:tcPr>
            <w:tcW w:w="1120" w:type="dxa"/>
            <w:tcBorders>
              <w:top w:val="nil"/>
              <w:left w:val="nil"/>
              <w:bottom w:val="single" w:sz="4" w:space="0" w:color="auto"/>
              <w:right w:val="single" w:sz="4" w:space="0" w:color="auto"/>
            </w:tcBorders>
            <w:shd w:val="clear" w:color="auto" w:fill="auto"/>
            <w:noWrap/>
            <w:vAlign w:val="center"/>
          </w:tcPr>
          <w:p w14:paraId="1990E90B" w14:textId="3E8BC779" w:rsidR="00EC75B5" w:rsidRPr="000A026B" w:rsidRDefault="00EC75B5" w:rsidP="00941184">
            <w:pPr>
              <w:jc w:val="center"/>
              <w:rPr>
                <w:color w:val="000000"/>
                <w:sz w:val="20"/>
                <w:szCs w:val="20"/>
              </w:rPr>
            </w:pPr>
            <w:r>
              <w:rPr>
                <w:color w:val="000000"/>
                <w:sz w:val="20"/>
                <w:szCs w:val="20"/>
              </w:rPr>
              <w:t>15</w:t>
            </w:r>
          </w:p>
        </w:tc>
        <w:tc>
          <w:tcPr>
            <w:tcW w:w="972" w:type="dxa"/>
            <w:tcBorders>
              <w:top w:val="nil"/>
              <w:left w:val="nil"/>
              <w:bottom w:val="single" w:sz="4" w:space="0" w:color="auto"/>
              <w:right w:val="single" w:sz="4" w:space="0" w:color="auto"/>
            </w:tcBorders>
            <w:shd w:val="clear" w:color="auto" w:fill="auto"/>
            <w:noWrap/>
            <w:vAlign w:val="center"/>
          </w:tcPr>
          <w:p w14:paraId="6749115A" w14:textId="13704F0B" w:rsidR="00EC75B5" w:rsidRPr="000A026B" w:rsidRDefault="00EC75B5" w:rsidP="00941184">
            <w:pPr>
              <w:jc w:val="center"/>
              <w:rPr>
                <w:color w:val="000000"/>
                <w:sz w:val="20"/>
                <w:szCs w:val="20"/>
              </w:rPr>
            </w:pPr>
            <w:r>
              <w:rPr>
                <w:color w:val="000000"/>
                <w:sz w:val="20"/>
                <w:szCs w:val="20"/>
              </w:rPr>
              <w:t>19</w:t>
            </w:r>
          </w:p>
        </w:tc>
        <w:tc>
          <w:tcPr>
            <w:tcW w:w="1540" w:type="dxa"/>
            <w:tcBorders>
              <w:top w:val="nil"/>
              <w:left w:val="nil"/>
              <w:bottom w:val="single" w:sz="4" w:space="0" w:color="auto"/>
              <w:right w:val="single" w:sz="4" w:space="0" w:color="auto"/>
            </w:tcBorders>
            <w:shd w:val="clear" w:color="auto" w:fill="auto"/>
            <w:noWrap/>
            <w:vAlign w:val="bottom"/>
          </w:tcPr>
          <w:p w14:paraId="792B9909" w14:textId="56951A8F" w:rsidR="00EC75B5" w:rsidRPr="000A026B" w:rsidRDefault="00EC75B5" w:rsidP="00941184">
            <w:pPr>
              <w:jc w:val="center"/>
              <w:rPr>
                <w:color w:val="000000"/>
                <w:sz w:val="20"/>
                <w:szCs w:val="20"/>
              </w:rPr>
            </w:pPr>
            <w:r>
              <w:rPr>
                <w:color w:val="000000"/>
                <w:sz w:val="20"/>
                <w:szCs w:val="20"/>
              </w:rPr>
              <w:t>No</w:t>
            </w:r>
          </w:p>
        </w:tc>
      </w:tr>
      <w:tr w:rsidR="00EC75B5" w:rsidRPr="000A026B" w14:paraId="58CFB801"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58E6C1D7" w14:textId="5D6599AC" w:rsidR="00EC75B5" w:rsidRPr="001A2F6D" w:rsidRDefault="00EC75B5" w:rsidP="00941184">
            <w:pPr>
              <w:rPr>
                <w:bCs/>
                <w:color w:val="000000"/>
                <w:sz w:val="20"/>
                <w:szCs w:val="20"/>
              </w:rPr>
            </w:pPr>
            <w:r w:rsidRPr="001A2F6D">
              <w:rPr>
                <w:bCs/>
                <w:color w:val="000000"/>
                <w:sz w:val="20"/>
                <w:szCs w:val="20"/>
              </w:rPr>
              <w:t>Bluefish</w:t>
            </w:r>
          </w:p>
        </w:tc>
        <w:tc>
          <w:tcPr>
            <w:tcW w:w="1116" w:type="dxa"/>
            <w:tcBorders>
              <w:top w:val="nil"/>
              <w:left w:val="nil"/>
              <w:bottom w:val="single" w:sz="4" w:space="0" w:color="auto"/>
              <w:right w:val="single" w:sz="4" w:space="0" w:color="auto"/>
            </w:tcBorders>
            <w:shd w:val="clear" w:color="auto" w:fill="auto"/>
            <w:noWrap/>
            <w:vAlign w:val="center"/>
            <w:hideMark/>
          </w:tcPr>
          <w:p w14:paraId="27A73BAF" w14:textId="1DC54FED" w:rsidR="00EC75B5" w:rsidRPr="000A026B" w:rsidRDefault="00EC75B5" w:rsidP="00941184">
            <w:pPr>
              <w:jc w:val="right"/>
              <w:rPr>
                <w:color w:val="000000"/>
                <w:sz w:val="20"/>
                <w:szCs w:val="20"/>
              </w:rPr>
            </w:pPr>
            <w:r w:rsidRPr="000A026B">
              <w:rPr>
                <w:color w:val="000000"/>
                <w:sz w:val="20"/>
                <w:szCs w:val="20"/>
              </w:rPr>
              <w:t>1,8</w:t>
            </w:r>
            <w:r>
              <w:rPr>
                <w:color w:val="000000"/>
                <w:sz w:val="20"/>
                <w:szCs w:val="20"/>
              </w:rPr>
              <w:t>02</w:t>
            </w:r>
            <w:r w:rsidRPr="000A026B">
              <w:rPr>
                <w:color w:val="000000"/>
                <w:sz w:val="20"/>
                <w:szCs w:val="20"/>
              </w:rPr>
              <w:t>,</w:t>
            </w:r>
            <w:r>
              <w:rPr>
                <w:color w:val="000000"/>
                <w:sz w:val="20"/>
                <w:szCs w:val="20"/>
              </w:rPr>
              <w:t>30</w:t>
            </w:r>
            <w:r w:rsidRPr="000A026B">
              <w:rPr>
                <w:color w:val="000000"/>
                <w:sz w:val="20"/>
                <w:szCs w:val="20"/>
              </w:rPr>
              <w:t>6</w:t>
            </w:r>
          </w:p>
        </w:tc>
        <w:tc>
          <w:tcPr>
            <w:tcW w:w="1116" w:type="dxa"/>
            <w:tcBorders>
              <w:top w:val="nil"/>
              <w:left w:val="nil"/>
              <w:bottom w:val="single" w:sz="4" w:space="0" w:color="auto"/>
              <w:right w:val="single" w:sz="4" w:space="0" w:color="auto"/>
            </w:tcBorders>
            <w:shd w:val="clear" w:color="auto" w:fill="auto"/>
            <w:noWrap/>
            <w:vAlign w:val="center"/>
            <w:hideMark/>
          </w:tcPr>
          <w:p w14:paraId="55A97599" w14:textId="35980BEB" w:rsidR="00EC75B5" w:rsidRPr="000A026B" w:rsidRDefault="00EC75B5" w:rsidP="00941184">
            <w:pPr>
              <w:jc w:val="right"/>
              <w:rPr>
                <w:color w:val="000000"/>
                <w:sz w:val="20"/>
                <w:szCs w:val="20"/>
              </w:rPr>
            </w:pPr>
            <w:r w:rsidRPr="000A026B">
              <w:rPr>
                <w:color w:val="000000"/>
                <w:sz w:val="20"/>
                <w:szCs w:val="20"/>
              </w:rPr>
              <w:t>3,</w:t>
            </w:r>
            <w:r>
              <w:rPr>
                <w:color w:val="000000"/>
                <w:sz w:val="20"/>
                <w:szCs w:val="20"/>
              </w:rPr>
              <w:t>412</w:t>
            </w:r>
            <w:r w:rsidRPr="000A026B">
              <w:rPr>
                <w:color w:val="000000"/>
                <w:sz w:val="20"/>
                <w:szCs w:val="20"/>
              </w:rPr>
              <w:t>,3</w:t>
            </w:r>
            <w:r>
              <w:rPr>
                <w:color w:val="000000"/>
                <w:sz w:val="20"/>
                <w:szCs w:val="20"/>
              </w:rPr>
              <w:t>54</w:t>
            </w:r>
          </w:p>
        </w:tc>
        <w:tc>
          <w:tcPr>
            <w:tcW w:w="1216" w:type="dxa"/>
            <w:tcBorders>
              <w:top w:val="nil"/>
              <w:left w:val="nil"/>
              <w:bottom w:val="single" w:sz="4" w:space="0" w:color="auto"/>
              <w:right w:val="single" w:sz="4" w:space="0" w:color="auto"/>
            </w:tcBorders>
            <w:shd w:val="clear" w:color="auto" w:fill="auto"/>
            <w:noWrap/>
            <w:vAlign w:val="center"/>
            <w:hideMark/>
          </w:tcPr>
          <w:p w14:paraId="6111644B" w14:textId="250E0187" w:rsidR="00EC75B5" w:rsidRPr="000A026B" w:rsidRDefault="00EC75B5" w:rsidP="00941184">
            <w:pPr>
              <w:jc w:val="right"/>
              <w:rPr>
                <w:color w:val="000000"/>
                <w:sz w:val="20"/>
                <w:szCs w:val="20"/>
              </w:rPr>
            </w:pPr>
            <w:r w:rsidRPr="000A026B">
              <w:rPr>
                <w:color w:val="000000"/>
                <w:sz w:val="20"/>
                <w:szCs w:val="20"/>
              </w:rPr>
              <w:t>5,</w:t>
            </w:r>
            <w:r>
              <w:rPr>
                <w:color w:val="000000"/>
                <w:sz w:val="20"/>
                <w:szCs w:val="20"/>
              </w:rPr>
              <w:t>21</w:t>
            </w:r>
            <w:r w:rsidRPr="000A026B">
              <w:rPr>
                <w:color w:val="000000"/>
                <w:sz w:val="20"/>
                <w:szCs w:val="20"/>
              </w:rPr>
              <w:t>4,</w:t>
            </w:r>
            <w:r>
              <w:rPr>
                <w:color w:val="000000"/>
                <w:sz w:val="20"/>
                <w:szCs w:val="20"/>
              </w:rPr>
              <w:t>660</w:t>
            </w:r>
          </w:p>
        </w:tc>
        <w:tc>
          <w:tcPr>
            <w:tcW w:w="1120" w:type="dxa"/>
            <w:tcBorders>
              <w:top w:val="nil"/>
              <w:left w:val="nil"/>
              <w:bottom w:val="single" w:sz="4" w:space="0" w:color="auto"/>
              <w:right w:val="single" w:sz="4" w:space="0" w:color="auto"/>
            </w:tcBorders>
            <w:shd w:val="clear" w:color="auto" w:fill="auto"/>
            <w:noWrap/>
            <w:vAlign w:val="center"/>
            <w:hideMark/>
          </w:tcPr>
          <w:p w14:paraId="734178CB" w14:textId="255D52A4" w:rsidR="00EC75B5" w:rsidRPr="000A026B" w:rsidRDefault="00EC75B5" w:rsidP="00941184">
            <w:pPr>
              <w:jc w:val="center"/>
              <w:rPr>
                <w:color w:val="000000"/>
                <w:sz w:val="20"/>
                <w:szCs w:val="20"/>
              </w:rPr>
            </w:pPr>
            <w:r>
              <w:rPr>
                <w:color w:val="000000"/>
                <w:sz w:val="20"/>
                <w:szCs w:val="20"/>
              </w:rPr>
              <w:t>6</w:t>
            </w:r>
          </w:p>
        </w:tc>
        <w:tc>
          <w:tcPr>
            <w:tcW w:w="972" w:type="dxa"/>
            <w:tcBorders>
              <w:top w:val="nil"/>
              <w:left w:val="nil"/>
              <w:bottom w:val="single" w:sz="4" w:space="0" w:color="auto"/>
              <w:right w:val="single" w:sz="4" w:space="0" w:color="auto"/>
            </w:tcBorders>
            <w:shd w:val="clear" w:color="auto" w:fill="auto"/>
            <w:noWrap/>
            <w:vAlign w:val="center"/>
            <w:hideMark/>
          </w:tcPr>
          <w:p w14:paraId="31C40500" w14:textId="083812B5" w:rsidR="00EC75B5" w:rsidRPr="000A026B" w:rsidRDefault="00EC75B5" w:rsidP="00941184">
            <w:pPr>
              <w:jc w:val="center"/>
              <w:rPr>
                <w:color w:val="000000"/>
                <w:sz w:val="20"/>
                <w:szCs w:val="20"/>
              </w:rPr>
            </w:pPr>
            <w:r>
              <w:rPr>
                <w:color w:val="000000"/>
                <w:sz w:val="20"/>
                <w:szCs w:val="20"/>
              </w:rPr>
              <w:t>6</w:t>
            </w:r>
          </w:p>
        </w:tc>
        <w:tc>
          <w:tcPr>
            <w:tcW w:w="1540" w:type="dxa"/>
            <w:tcBorders>
              <w:top w:val="nil"/>
              <w:left w:val="nil"/>
              <w:bottom w:val="single" w:sz="4" w:space="0" w:color="auto"/>
              <w:right w:val="single" w:sz="4" w:space="0" w:color="auto"/>
            </w:tcBorders>
            <w:shd w:val="clear" w:color="auto" w:fill="auto"/>
            <w:noWrap/>
            <w:vAlign w:val="bottom"/>
            <w:hideMark/>
          </w:tcPr>
          <w:p w14:paraId="48009137" w14:textId="6A3254E9" w:rsidR="00EC75B5" w:rsidRPr="000A026B" w:rsidRDefault="00EC75B5" w:rsidP="00941184">
            <w:pPr>
              <w:jc w:val="center"/>
              <w:rPr>
                <w:color w:val="000000"/>
                <w:sz w:val="20"/>
                <w:szCs w:val="20"/>
              </w:rPr>
            </w:pPr>
            <w:r w:rsidRPr="000A026B">
              <w:rPr>
                <w:color w:val="000000"/>
                <w:sz w:val="20"/>
                <w:szCs w:val="20"/>
              </w:rPr>
              <w:t>No</w:t>
            </w:r>
          </w:p>
        </w:tc>
      </w:tr>
      <w:tr w:rsidR="00EC75B5" w:rsidRPr="000A026B" w14:paraId="1A01A6F6"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33D2F414" w14:textId="27F06076" w:rsidR="00EC75B5" w:rsidRPr="001A2F6D" w:rsidRDefault="00EC75B5" w:rsidP="00941184">
            <w:pPr>
              <w:rPr>
                <w:bCs/>
                <w:color w:val="000000"/>
                <w:sz w:val="20"/>
                <w:szCs w:val="20"/>
              </w:rPr>
            </w:pPr>
            <w:r w:rsidRPr="001A2F6D">
              <w:rPr>
                <w:bCs/>
                <w:color w:val="000000"/>
                <w:sz w:val="20"/>
                <w:szCs w:val="20"/>
              </w:rPr>
              <w:t>Cartilaginous Fish</w:t>
            </w:r>
          </w:p>
        </w:tc>
        <w:tc>
          <w:tcPr>
            <w:tcW w:w="1116" w:type="dxa"/>
            <w:tcBorders>
              <w:top w:val="nil"/>
              <w:left w:val="nil"/>
              <w:bottom w:val="single" w:sz="4" w:space="0" w:color="auto"/>
              <w:right w:val="single" w:sz="4" w:space="0" w:color="auto"/>
            </w:tcBorders>
            <w:shd w:val="clear" w:color="auto" w:fill="auto"/>
            <w:noWrap/>
            <w:vAlign w:val="center"/>
            <w:hideMark/>
          </w:tcPr>
          <w:p w14:paraId="3EEA6474" w14:textId="4BB16556" w:rsidR="00EC75B5" w:rsidRPr="000A026B" w:rsidRDefault="00EC75B5" w:rsidP="00941184">
            <w:pPr>
              <w:jc w:val="right"/>
              <w:rPr>
                <w:color w:val="000000"/>
                <w:sz w:val="20"/>
                <w:szCs w:val="20"/>
              </w:rPr>
            </w:pPr>
            <w:r>
              <w:rPr>
                <w:color w:val="000000"/>
                <w:sz w:val="20"/>
                <w:szCs w:val="20"/>
              </w:rPr>
              <w:t>101</w:t>
            </w:r>
            <w:r w:rsidRPr="000A026B">
              <w:rPr>
                <w:color w:val="000000"/>
                <w:sz w:val="20"/>
                <w:szCs w:val="20"/>
              </w:rPr>
              <w:t>,</w:t>
            </w:r>
            <w:r>
              <w:rPr>
                <w:color w:val="000000"/>
                <w:sz w:val="20"/>
                <w:szCs w:val="20"/>
              </w:rPr>
              <w:t>144</w:t>
            </w:r>
          </w:p>
        </w:tc>
        <w:tc>
          <w:tcPr>
            <w:tcW w:w="1116" w:type="dxa"/>
            <w:tcBorders>
              <w:top w:val="nil"/>
              <w:left w:val="nil"/>
              <w:bottom w:val="single" w:sz="4" w:space="0" w:color="auto"/>
              <w:right w:val="single" w:sz="4" w:space="0" w:color="auto"/>
            </w:tcBorders>
            <w:shd w:val="clear" w:color="auto" w:fill="auto"/>
            <w:noWrap/>
            <w:vAlign w:val="center"/>
            <w:hideMark/>
          </w:tcPr>
          <w:p w14:paraId="411C9107" w14:textId="6F895F3E" w:rsidR="00EC75B5" w:rsidRPr="000A026B" w:rsidRDefault="00EC75B5" w:rsidP="00941184">
            <w:pPr>
              <w:jc w:val="right"/>
              <w:rPr>
                <w:color w:val="000000"/>
                <w:sz w:val="20"/>
                <w:szCs w:val="20"/>
              </w:rPr>
            </w:pPr>
            <w:r>
              <w:rPr>
                <w:color w:val="000000"/>
                <w:sz w:val="20"/>
                <w:szCs w:val="20"/>
              </w:rPr>
              <w:t>4</w:t>
            </w:r>
            <w:r w:rsidRPr="000A026B">
              <w:rPr>
                <w:color w:val="000000"/>
                <w:sz w:val="20"/>
                <w:szCs w:val="20"/>
              </w:rPr>
              <w:t>,0</w:t>
            </w:r>
            <w:r>
              <w:rPr>
                <w:color w:val="000000"/>
                <w:sz w:val="20"/>
                <w:szCs w:val="20"/>
              </w:rPr>
              <w:t>38</w:t>
            </w:r>
            <w:r w:rsidRPr="000A026B">
              <w:rPr>
                <w:color w:val="000000"/>
                <w:sz w:val="20"/>
                <w:szCs w:val="20"/>
              </w:rPr>
              <w:t>,</w:t>
            </w:r>
            <w:r>
              <w:rPr>
                <w:color w:val="000000"/>
                <w:sz w:val="20"/>
                <w:szCs w:val="20"/>
              </w:rPr>
              <w:t>608</w:t>
            </w:r>
          </w:p>
        </w:tc>
        <w:tc>
          <w:tcPr>
            <w:tcW w:w="1216" w:type="dxa"/>
            <w:tcBorders>
              <w:top w:val="nil"/>
              <w:left w:val="nil"/>
              <w:bottom w:val="single" w:sz="4" w:space="0" w:color="auto"/>
              <w:right w:val="single" w:sz="4" w:space="0" w:color="auto"/>
            </w:tcBorders>
            <w:shd w:val="clear" w:color="auto" w:fill="auto"/>
            <w:noWrap/>
            <w:vAlign w:val="center"/>
            <w:hideMark/>
          </w:tcPr>
          <w:p w14:paraId="7FF4A00B" w14:textId="0417C6E9" w:rsidR="00EC75B5" w:rsidRPr="000A026B" w:rsidRDefault="00EC75B5" w:rsidP="00941184">
            <w:pPr>
              <w:jc w:val="right"/>
              <w:rPr>
                <w:color w:val="000000"/>
                <w:sz w:val="20"/>
                <w:szCs w:val="20"/>
              </w:rPr>
            </w:pPr>
            <w:r>
              <w:rPr>
                <w:color w:val="000000"/>
                <w:sz w:val="20"/>
                <w:szCs w:val="20"/>
              </w:rPr>
              <w:t>4</w:t>
            </w:r>
            <w:r w:rsidRPr="000A026B">
              <w:rPr>
                <w:color w:val="000000"/>
                <w:sz w:val="20"/>
                <w:szCs w:val="20"/>
              </w:rPr>
              <w:t>,</w:t>
            </w:r>
            <w:r>
              <w:rPr>
                <w:color w:val="000000"/>
                <w:sz w:val="20"/>
                <w:szCs w:val="20"/>
              </w:rPr>
              <w:t>39</w:t>
            </w:r>
            <w:r w:rsidRPr="000A026B">
              <w:rPr>
                <w:color w:val="000000"/>
                <w:sz w:val="20"/>
                <w:szCs w:val="20"/>
              </w:rPr>
              <w:t>,</w:t>
            </w:r>
            <w:r>
              <w:rPr>
                <w:color w:val="000000"/>
                <w:sz w:val="20"/>
                <w:szCs w:val="20"/>
              </w:rPr>
              <w:t>752</w:t>
            </w:r>
          </w:p>
        </w:tc>
        <w:tc>
          <w:tcPr>
            <w:tcW w:w="1120" w:type="dxa"/>
            <w:tcBorders>
              <w:top w:val="nil"/>
              <w:left w:val="nil"/>
              <w:bottom w:val="single" w:sz="4" w:space="0" w:color="auto"/>
              <w:right w:val="single" w:sz="4" w:space="0" w:color="auto"/>
            </w:tcBorders>
            <w:shd w:val="clear" w:color="auto" w:fill="auto"/>
            <w:noWrap/>
            <w:vAlign w:val="center"/>
            <w:hideMark/>
          </w:tcPr>
          <w:p w14:paraId="66ACB26A" w14:textId="1F369603" w:rsidR="00EC75B5" w:rsidRPr="000A026B" w:rsidRDefault="00EC75B5" w:rsidP="00941184">
            <w:pPr>
              <w:jc w:val="center"/>
              <w:rPr>
                <w:color w:val="000000"/>
                <w:sz w:val="20"/>
                <w:szCs w:val="20"/>
              </w:rPr>
            </w:pPr>
            <w:r w:rsidRPr="000A026B">
              <w:rPr>
                <w:color w:val="000000"/>
                <w:sz w:val="20"/>
                <w:szCs w:val="20"/>
              </w:rPr>
              <w:t>1</w:t>
            </w:r>
            <w:r>
              <w:rPr>
                <w:color w:val="000000"/>
                <w:sz w:val="20"/>
                <w:szCs w:val="20"/>
              </w:rPr>
              <w:t>6</w:t>
            </w:r>
          </w:p>
        </w:tc>
        <w:tc>
          <w:tcPr>
            <w:tcW w:w="972" w:type="dxa"/>
            <w:tcBorders>
              <w:top w:val="nil"/>
              <w:left w:val="nil"/>
              <w:bottom w:val="single" w:sz="4" w:space="0" w:color="auto"/>
              <w:right w:val="single" w:sz="4" w:space="0" w:color="auto"/>
            </w:tcBorders>
            <w:shd w:val="clear" w:color="auto" w:fill="auto"/>
            <w:noWrap/>
            <w:vAlign w:val="center"/>
            <w:hideMark/>
          </w:tcPr>
          <w:p w14:paraId="0A45866B" w14:textId="0C25C1DE" w:rsidR="00EC75B5" w:rsidRPr="000A026B" w:rsidRDefault="00EC75B5" w:rsidP="00941184">
            <w:pPr>
              <w:jc w:val="center"/>
              <w:rPr>
                <w:color w:val="000000"/>
                <w:sz w:val="20"/>
                <w:szCs w:val="20"/>
              </w:rPr>
            </w:pPr>
            <w:r>
              <w:rPr>
                <w:color w:val="000000"/>
                <w:sz w:val="20"/>
                <w:szCs w:val="20"/>
              </w:rPr>
              <w:t>5</w:t>
            </w:r>
          </w:p>
        </w:tc>
        <w:tc>
          <w:tcPr>
            <w:tcW w:w="1540" w:type="dxa"/>
            <w:tcBorders>
              <w:top w:val="nil"/>
              <w:left w:val="nil"/>
              <w:bottom w:val="single" w:sz="4" w:space="0" w:color="auto"/>
              <w:right w:val="single" w:sz="4" w:space="0" w:color="auto"/>
            </w:tcBorders>
            <w:shd w:val="clear" w:color="auto" w:fill="auto"/>
            <w:noWrap/>
            <w:vAlign w:val="bottom"/>
            <w:hideMark/>
          </w:tcPr>
          <w:p w14:paraId="28427EA7" w14:textId="1F8B0DC9" w:rsidR="00EC75B5" w:rsidRPr="000A026B" w:rsidRDefault="00EC75B5" w:rsidP="00941184">
            <w:pPr>
              <w:jc w:val="center"/>
              <w:rPr>
                <w:color w:val="000000"/>
                <w:sz w:val="20"/>
                <w:szCs w:val="20"/>
              </w:rPr>
            </w:pPr>
            <w:r w:rsidRPr="000A026B">
              <w:rPr>
                <w:color w:val="000000"/>
                <w:sz w:val="20"/>
                <w:szCs w:val="20"/>
              </w:rPr>
              <w:t>No</w:t>
            </w:r>
          </w:p>
        </w:tc>
      </w:tr>
      <w:tr w:rsidR="00EC75B5" w:rsidRPr="000A026B" w14:paraId="60F18EF8"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4C6EDA1F" w14:textId="349C8AF9" w:rsidR="00EC75B5" w:rsidRPr="001A2F6D" w:rsidRDefault="00EC75B5" w:rsidP="00941184">
            <w:pPr>
              <w:rPr>
                <w:bCs/>
                <w:color w:val="000000"/>
                <w:sz w:val="20"/>
                <w:szCs w:val="20"/>
              </w:rPr>
            </w:pPr>
            <w:r w:rsidRPr="001A2F6D">
              <w:rPr>
                <w:bCs/>
                <w:color w:val="000000"/>
                <w:sz w:val="20"/>
                <w:szCs w:val="20"/>
              </w:rPr>
              <w:t>Catfishes</w:t>
            </w:r>
          </w:p>
        </w:tc>
        <w:tc>
          <w:tcPr>
            <w:tcW w:w="1116" w:type="dxa"/>
            <w:tcBorders>
              <w:top w:val="nil"/>
              <w:left w:val="nil"/>
              <w:bottom w:val="single" w:sz="4" w:space="0" w:color="auto"/>
              <w:right w:val="single" w:sz="4" w:space="0" w:color="auto"/>
            </w:tcBorders>
            <w:shd w:val="clear" w:color="auto" w:fill="auto"/>
            <w:noWrap/>
            <w:vAlign w:val="center"/>
            <w:hideMark/>
          </w:tcPr>
          <w:p w14:paraId="53B2BE4A" w14:textId="748C39B6" w:rsidR="00EC75B5" w:rsidRPr="000A026B" w:rsidRDefault="00EC75B5" w:rsidP="00941184">
            <w:pPr>
              <w:jc w:val="right"/>
              <w:rPr>
                <w:color w:val="000000"/>
                <w:sz w:val="20"/>
                <w:szCs w:val="20"/>
              </w:rPr>
            </w:pPr>
            <w:r>
              <w:rPr>
                <w:color w:val="000000"/>
                <w:sz w:val="20"/>
                <w:szCs w:val="20"/>
              </w:rPr>
              <w:t>9</w:t>
            </w:r>
            <w:r w:rsidRPr="000A026B">
              <w:rPr>
                <w:color w:val="000000"/>
                <w:sz w:val="20"/>
                <w:szCs w:val="20"/>
              </w:rPr>
              <w:t>8,66</w:t>
            </w:r>
            <w:r>
              <w:rPr>
                <w:color w:val="000000"/>
                <w:sz w:val="20"/>
                <w:szCs w:val="20"/>
              </w:rPr>
              <w:t>2</w:t>
            </w:r>
          </w:p>
        </w:tc>
        <w:tc>
          <w:tcPr>
            <w:tcW w:w="1116" w:type="dxa"/>
            <w:tcBorders>
              <w:top w:val="nil"/>
              <w:left w:val="nil"/>
              <w:bottom w:val="single" w:sz="4" w:space="0" w:color="auto"/>
              <w:right w:val="single" w:sz="4" w:space="0" w:color="auto"/>
            </w:tcBorders>
            <w:shd w:val="clear" w:color="auto" w:fill="auto"/>
            <w:noWrap/>
            <w:vAlign w:val="center"/>
            <w:hideMark/>
          </w:tcPr>
          <w:p w14:paraId="0B3AED5C" w14:textId="428EF15B" w:rsidR="00EC75B5" w:rsidRPr="000A026B" w:rsidRDefault="00EC75B5" w:rsidP="00941184">
            <w:pPr>
              <w:jc w:val="right"/>
              <w:rPr>
                <w:color w:val="000000"/>
                <w:sz w:val="20"/>
                <w:szCs w:val="20"/>
              </w:rPr>
            </w:pPr>
            <w:r w:rsidRPr="000A026B">
              <w:rPr>
                <w:color w:val="000000"/>
                <w:sz w:val="20"/>
                <w:szCs w:val="20"/>
              </w:rPr>
              <w:t>2,</w:t>
            </w:r>
            <w:r>
              <w:rPr>
                <w:color w:val="000000"/>
                <w:sz w:val="20"/>
                <w:szCs w:val="20"/>
              </w:rPr>
              <w:t>52</w:t>
            </w:r>
            <w:r w:rsidRPr="000A026B">
              <w:rPr>
                <w:color w:val="000000"/>
                <w:sz w:val="20"/>
                <w:szCs w:val="20"/>
              </w:rPr>
              <w:t>0,</w:t>
            </w:r>
            <w:r>
              <w:rPr>
                <w:color w:val="000000"/>
                <w:sz w:val="20"/>
                <w:szCs w:val="20"/>
              </w:rPr>
              <w:t>97</w:t>
            </w:r>
            <w:r w:rsidRPr="000A026B">
              <w:rPr>
                <w:color w:val="000000"/>
                <w:sz w:val="20"/>
                <w:szCs w:val="20"/>
              </w:rPr>
              <w:t>9</w:t>
            </w:r>
          </w:p>
        </w:tc>
        <w:tc>
          <w:tcPr>
            <w:tcW w:w="1216" w:type="dxa"/>
            <w:tcBorders>
              <w:top w:val="nil"/>
              <w:left w:val="nil"/>
              <w:bottom w:val="single" w:sz="4" w:space="0" w:color="auto"/>
              <w:right w:val="single" w:sz="4" w:space="0" w:color="auto"/>
            </w:tcBorders>
            <w:shd w:val="clear" w:color="auto" w:fill="auto"/>
            <w:noWrap/>
            <w:vAlign w:val="center"/>
            <w:hideMark/>
          </w:tcPr>
          <w:p w14:paraId="6EB0990B" w14:textId="00CDFBD1" w:rsidR="00EC75B5" w:rsidRPr="000A026B" w:rsidRDefault="00EC75B5" w:rsidP="00941184">
            <w:pPr>
              <w:jc w:val="right"/>
              <w:rPr>
                <w:color w:val="000000"/>
                <w:sz w:val="20"/>
                <w:szCs w:val="20"/>
              </w:rPr>
            </w:pPr>
            <w:r w:rsidRPr="000A026B">
              <w:rPr>
                <w:color w:val="000000"/>
                <w:sz w:val="20"/>
                <w:szCs w:val="20"/>
              </w:rPr>
              <w:t>2,6</w:t>
            </w:r>
            <w:r>
              <w:rPr>
                <w:color w:val="000000"/>
                <w:sz w:val="20"/>
                <w:szCs w:val="20"/>
              </w:rPr>
              <w:t>1</w:t>
            </w:r>
            <w:r w:rsidRPr="000A026B">
              <w:rPr>
                <w:color w:val="000000"/>
                <w:sz w:val="20"/>
                <w:szCs w:val="20"/>
              </w:rPr>
              <w:t>9,</w:t>
            </w:r>
            <w:r>
              <w:rPr>
                <w:color w:val="000000"/>
                <w:sz w:val="20"/>
                <w:szCs w:val="20"/>
              </w:rPr>
              <w:t>641</w:t>
            </w:r>
          </w:p>
        </w:tc>
        <w:tc>
          <w:tcPr>
            <w:tcW w:w="1120" w:type="dxa"/>
            <w:tcBorders>
              <w:top w:val="nil"/>
              <w:left w:val="nil"/>
              <w:bottom w:val="single" w:sz="4" w:space="0" w:color="auto"/>
              <w:right w:val="single" w:sz="4" w:space="0" w:color="auto"/>
            </w:tcBorders>
            <w:shd w:val="clear" w:color="auto" w:fill="auto"/>
            <w:noWrap/>
            <w:vAlign w:val="center"/>
            <w:hideMark/>
          </w:tcPr>
          <w:p w14:paraId="07EC24CC" w14:textId="79422689" w:rsidR="00EC75B5" w:rsidRPr="000A026B" w:rsidRDefault="00EC75B5" w:rsidP="00941184">
            <w:pPr>
              <w:jc w:val="center"/>
              <w:rPr>
                <w:color w:val="000000"/>
                <w:sz w:val="20"/>
                <w:szCs w:val="20"/>
              </w:rPr>
            </w:pPr>
            <w:r w:rsidRPr="000A026B">
              <w:rPr>
                <w:color w:val="000000"/>
                <w:sz w:val="20"/>
                <w:szCs w:val="20"/>
              </w:rPr>
              <w:t>1</w:t>
            </w:r>
            <w:r>
              <w:rPr>
                <w:color w:val="000000"/>
                <w:sz w:val="20"/>
                <w:szCs w:val="20"/>
              </w:rPr>
              <w:t>7</w:t>
            </w:r>
          </w:p>
        </w:tc>
        <w:tc>
          <w:tcPr>
            <w:tcW w:w="972" w:type="dxa"/>
            <w:tcBorders>
              <w:top w:val="nil"/>
              <w:left w:val="nil"/>
              <w:bottom w:val="single" w:sz="4" w:space="0" w:color="auto"/>
              <w:right w:val="single" w:sz="4" w:space="0" w:color="auto"/>
            </w:tcBorders>
            <w:shd w:val="clear" w:color="auto" w:fill="auto"/>
            <w:noWrap/>
            <w:vAlign w:val="center"/>
            <w:hideMark/>
          </w:tcPr>
          <w:p w14:paraId="094C6BDF" w14:textId="79CD5D03" w:rsidR="00EC75B5" w:rsidRPr="000A026B" w:rsidRDefault="00EC75B5" w:rsidP="00941184">
            <w:pPr>
              <w:jc w:val="center"/>
              <w:rPr>
                <w:color w:val="000000"/>
                <w:sz w:val="20"/>
                <w:szCs w:val="20"/>
              </w:rPr>
            </w:pPr>
            <w:r w:rsidRPr="000A026B">
              <w:rPr>
                <w:color w:val="000000"/>
                <w:sz w:val="20"/>
                <w:szCs w:val="20"/>
              </w:rPr>
              <w:t>9</w:t>
            </w:r>
          </w:p>
        </w:tc>
        <w:tc>
          <w:tcPr>
            <w:tcW w:w="1540" w:type="dxa"/>
            <w:tcBorders>
              <w:top w:val="nil"/>
              <w:left w:val="nil"/>
              <w:bottom w:val="single" w:sz="4" w:space="0" w:color="auto"/>
              <w:right w:val="single" w:sz="4" w:space="0" w:color="auto"/>
            </w:tcBorders>
            <w:shd w:val="clear" w:color="auto" w:fill="auto"/>
            <w:noWrap/>
            <w:vAlign w:val="bottom"/>
            <w:hideMark/>
          </w:tcPr>
          <w:p w14:paraId="53D3019C" w14:textId="56764296" w:rsidR="00EC75B5" w:rsidRPr="000A026B" w:rsidRDefault="00EC75B5" w:rsidP="00941184">
            <w:pPr>
              <w:jc w:val="center"/>
              <w:rPr>
                <w:color w:val="000000"/>
                <w:sz w:val="20"/>
                <w:szCs w:val="20"/>
              </w:rPr>
            </w:pPr>
            <w:r w:rsidRPr="000A026B">
              <w:rPr>
                <w:color w:val="000000"/>
                <w:sz w:val="20"/>
                <w:szCs w:val="20"/>
              </w:rPr>
              <w:t>No</w:t>
            </w:r>
          </w:p>
        </w:tc>
      </w:tr>
      <w:tr w:rsidR="00EC75B5" w:rsidRPr="000A026B" w14:paraId="6DFE40DB"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2E069D02" w14:textId="11E55022" w:rsidR="00EC75B5" w:rsidRPr="001A2F6D" w:rsidRDefault="00EC75B5" w:rsidP="00941184">
            <w:pPr>
              <w:rPr>
                <w:bCs/>
                <w:color w:val="000000"/>
                <w:sz w:val="20"/>
                <w:szCs w:val="20"/>
              </w:rPr>
            </w:pPr>
            <w:r w:rsidRPr="001A2F6D">
              <w:rPr>
                <w:bCs/>
                <w:color w:val="000000"/>
                <w:sz w:val="20"/>
                <w:szCs w:val="20"/>
              </w:rPr>
              <w:t>Cods and Hakes</w:t>
            </w:r>
          </w:p>
        </w:tc>
        <w:tc>
          <w:tcPr>
            <w:tcW w:w="1116" w:type="dxa"/>
            <w:tcBorders>
              <w:top w:val="nil"/>
              <w:left w:val="nil"/>
              <w:bottom w:val="single" w:sz="4" w:space="0" w:color="auto"/>
              <w:right w:val="single" w:sz="4" w:space="0" w:color="auto"/>
            </w:tcBorders>
            <w:shd w:val="clear" w:color="auto" w:fill="auto"/>
            <w:noWrap/>
            <w:vAlign w:val="center"/>
            <w:hideMark/>
          </w:tcPr>
          <w:p w14:paraId="4EC21231" w14:textId="253FE173" w:rsidR="00EC75B5" w:rsidRPr="000A026B" w:rsidRDefault="00EC75B5" w:rsidP="00941184">
            <w:pPr>
              <w:jc w:val="right"/>
              <w:rPr>
                <w:color w:val="000000"/>
                <w:sz w:val="20"/>
                <w:szCs w:val="20"/>
              </w:rPr>
            </w:pPr>
            <w:r>
              <w:rPr>
                <w:color w:val="000000"/>
                <w:sz w:val="20"/>
                <w:szCs w:val="20"/>
              </w:rPr>
              <w:t>43</w:t>
            </w:r>
          </w:p>
        </w:tc>
        <w:tc>
          <w:tcPr>
            <w:tcW w:w="1116" w:type="dxa"/>
            <w:tcBorders>
              <w:top w:val="nil"/>
              <w:left w:val="nil"/>
              <w:bottom w:val="single" w:sz="4" w:space="0" w:color="auto"/>
              <w:right w:val="single" w:sz="4" w:space="0" w:color="auto"/>
            </w:tcBorders>
            <w:shd w:val="clear" w:color="auto" w:fill="auto"/>
            <w:noWrap/>
            <w:vAlign w:val="center"/>
            <w:hideMark/>
          </w:tcPr>
          <w:p w14:paraId="0640D20C" w14:textId="1EB8BBFE" w:rsidR="00EC75B5" w:rsidRPr="000A026B" w:rsidRDefault="00EC75B5" w:rsidP="00941184">
            <w:pPr>
              <w:jc w:val="right"/>
              <w:rPr>
                <w:color w:val="000000"/>
                <w:sz w:val="20"/>
                <w:szCs w:val="20"/>
              </w:rPr>
            </w:pPr>
            <w:r>
              <w:rPr>
                <w:color w:val="000000"/>
                <w:sz w:val="20"/>
                <w:szCs w:val="20"/>
              </w:rPr>
              <w:t>1</w:t>
            </w:r>
            <w:r w:rsidRPr="000A026B">
              <w:rPr>
                <w:color w:val="000000"/>
                <w:sz w:val="20"/>
                <w:szCs w:val="20"/>
              </w:rPr>
              <w:t>2,</w:t>
            </w:r>
            <w:r>
              <w:rPr>
                <w:color w:val="000000"/>
                <w:sz w:val="20"/>
                <w:szCs w:val="20"/>
              </w:rPr>
              <w:t>84</w:t>
            </w:r>
            <w:r w:rsidRPr="000A026B">
              <w:rPr>
                <w:color w:val="000000"/>
                <w:sz w:val="20"/>
                <w:szCs w:val="20"/>
              </w:rPr>
              <w:t>4</w:t>
            </w:r>
          </w:p>
        </w:tc>
        <w:tc>
          <w:tcPr>
            <w:tcW w:w="1216" w:type="dxa"/>
            <w:tcBorders>
              <w:top w:val="nil"/>
              <w:left w:val="nil"/>
              <w:bottom w:val="single" w:sz="4" w:space="0" w:color="auto"/>
              <w:right w:val="single" w:sz="4" w:space="0" w:color="auto"/>
            </w:tcBorders>
            <w:shd w:val="clear" w:color="auto" w:fill="auto"/>
            <w:noWrap/>
            <w:vAlign w:val="center"/>
            <w:hideMark/>
          </w:tcPr>
          <w:p w14:paraId="7FC6CD94" w14:textId="3010B021" w:rsidR="00EC75B5" w:rsidRPr="000A026B" w:rsidRDefault="00EC75B5" w:rsidP="00941184">
            <w:pPr>
              <w:jc w:val="right"/>
              <w:rPr>
                <w:color w:val="000000"/>
                <w:sz w:val="20"/>
                <w:szCs w:val="20"/>
              </w:rPr>
            </w:pPr>
            <w:r>
              <w:rPr>
                <w:color w:val="000000"/>
                <w:sz w:val="20"/>
                <w:szCs w:val="20"/>
              </w:rPr>
              <w:t>1</w:t>
            </w:r>
            <w:r w:rsidRPr="000A026B">
              <w:rPr>
                <w:color w:val="000000"/>
                <w:sz w:val="20"/>
                <w:szCs w:val="20"/>
              </w:rPr>
              <w:t>2,</w:t>
            </w:r>
            <w:r>
              <w:rPr>
                <w:color w:val="000000"/>
                <w:sz w:val="20"/>
                <w:szCs w:val="20"/>
              </w:rPr>
              <w:t>887</w:t>
            </w:r>
          </w:p>
        </w:tc>
        <w:tc>
          <w:tcPr>
            <w:tcW w:w="1120" w:type="dxa"/>
            <w:tcBorders>
              <w:top w:val="nil"/>
              <w:left w:val="nil"/>
              <w:bottom w:val="single" w:sz="4" w:space="0" w:color="auto"/>
              <w:right w:val="single" w:sz="4" w:space="0" w:color="auto"/>
            </w:tcBorders>
            <w:shd w:val="clear" w:color="auto" w:fill="auto"/>
            <w:noWrap/>
            <w:vAlign w:val="center"/>
            <w:hideMark/>
          </w:tcPr>
          <w:p w14:paraId="08C9A1F4" w14:textId="0B41A5F4" w:rsidR="00EC75B5" w:rsidRPr="000A026B" w:rsidRDefault="00EC75B5" w:rsidP="00941184">
            <w:pPr>
              <w:jc w:val="center"/>
              <w:rPr>
                <w:color w:val="000000"/>
                <w:sz w:val="20"/>
                <w:szCs w:val="20"/>
              </w:rPr>
            </w:pPr>
            <w:r w:rsidRPr="000A026B">
              <w:rPr>
                <w:color w:val="000000"/>
                <w:sz w:val="20"/>
                <w:szCs w:val="20"/>
              </w:rPr>
              <w:t>2</w:t>
            </w:r>
            <w:r>
              <w:rPr>
                <w:color w:val="000000"/>
                <w:sz w:val="20"/>
                <w:szCs w:val="20"/>
              </w:rPr>
              <w:t>3</w:t>
            </w:r>
          </w:p>
        </w:tc>
        <w:tc>
          <w:tcPr>
            <w:tcW w:w="972" w:type="dxa"/>
            <w:tcBorders>
              <w:top w:val="nil"/>
              <w:left w:val="nil"/>
              <w:bottom w:val="single" w:sz="4" w:space="0" w:color="auto"/>
              <w:right w:val="single" w:sz="4" w:space="0" w:color="auto"/>
            </w:tcBorders>
            <w:shd w:val="clear" w:color="auto" w:fill="auto"/>
            <w:noWrap/>
            <w:vAlign w:val="center"/>
            <w:hideMark/>
          </w:tcPr>
          <w:p w14:paraId="3A56B26E" w14:textId="70882B73" w:rsidR="00EC75B5" w:rsidRPr="000A026B" w:rsidRDefault="00EC75B5" w:rsidP="00941184">
            <w:pPr>
              <w:jc w:val="center"/>
              <w:rPr>
                <w:color w:val="000000"/>
                <w:sz w:val="20"/>
                <w:szCs w:val="20"/>
              </w:rPr>
            </w:pPr>
            <w:r w:rsidRPr="000A026B">
              <w:rPr>
                <w:color w:val="000000"/>
                <w:sz w:val="20"/>
                <w:szCs w:val="20"/>
              </w:rPr>
              <w:t>2</w:t>
            </w:r>
            <w:r>
              <w:rPr>
                <w:color w:val="000000"/>
                <w:sz w:val="20"/>
                <w:szCs w:val="20"/>
              </w:rPr>
              <w:t>4</w:t>
            </w:r>
          </w:p>
        </w:tc>
        <w:tc>
          <w:tcPr>
            <w:tcW w:w="1540" w:type="dxa"/>
            <w:tcBorders>
              <w:top w:val="nil"/>
              <w:left w:val="nil"/>
              <w:bottom w:val="single" w:sz="4" w:space="0" w:color="auto"/>
              <w:right w:val="single" w:sz="4" w:space="0" w:color="auto"/>
            </w:tcBorders>
            <w:shd w:val="clear" w:color="auto" w:fill="auto"/>
            <w:noWrap/>
            <w:vAlign w:val="bottom"/>
            <w:hideMark/>
          </w:tcPr>
          <w:p w14:paraId="2B0806EB" w14:textId="32F7C241" w:rsidR="00EC75B5" w:rsidRPr="000A026B" w:rsidRDefault="00EC75B5" w:rsidP="00941184">
            <w:pPr>
              <w:jc w:val="center"/>
              <w:rPr>
                <w:color w:val="000000"/>
                <w:sz w:val="20"/>
                <w:szCs w:val="20"/>
              </w:rPr>
            </w:pPr>
            <w:r w:rsidRPr="000A026B">
              <w:rPr>
                <w:color w:val="000000"/>
                <w:sz w:val="20"/>
                <w:szCs w:val="20"/>
              </w:rPr>
              <w:t>No</w:t>
            </w:r>
          </w:p>
        </w:tc>
      </w:tr>
      <w:tr w:rsidR="00EC75B5" w:rsidRPr="000A026B" w14:paraId="3C07D516"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4E0B0971" w14:textId="65E40B9B" w:rsidR="00EC75B5" w:rsidRPr="001A2F6D" w:rsidRDefault="00EC75B5" w:rsidP="00941184">
            <w:pPr>
              <w:rPr>
                <w:bCs/>
                <w:color w:val="000000"/>
                <w:sz w:val="20"/>
                <w:szCs w:val="20"/>
              </w:rPr>
            </w:pPr>
            <w:r w:rsidRPr="001A2F6D">
              <w:rPr>
                <w:bCs/>
                <w:color w:val="000000"/>
                <w:sz w:val="20"/>
                <w:szCs w:val="20"/>
              </w:rPr>
              <w:t>Dolphins</w:t>
            </w:r>
          </w:p>
        </w:tc>
        <w:tc>
          <w:tcPr>
            <w:tcW w:w="1116" w:type="dxa"/>
            <w:tcBorders>
              <w:top w:val="nil"/>
              <w:left w:val="nil"/>
              <w:bottom w:val="single" w:sz="4" w:space="0" w:color="auto"/>
              <w:right w:val="single" w:sz="4" w:space="0" w:color="auto"/>
            </w:tcBorders>
            <w:shd w:val="clear" w:color="auto" w:fill="auto"/>
            <w:noWrap/>
            <w:vAlign w:val="center"/>
            <w:hideMark/>
          </w:tcPr>
          <w:p w14:paraId="187625DF" w14:textId="789E2AE6" w:rsidR="00EC75B5" w:rsidRPr="000A026B" w:rsidRDefault="00EC75B5" w:rsidP="00941184">
            <w:pPr>
              <w:jc w:val="right"/>
              <w:rPr>
                <w:color w:val="000000"/>
                <w:sz w:val="20"/>
                <w:szCs w:val="20"/>
              </w:rPr>
            </w:pPr>
            <w:r w:rsidRPr="000A026B">
              <w:rPr>
                <w:color w:val="000000"/>
                <w:sz w:val="20"/>
                <w:szCs w:val="20"/>
              </w:rPr>
              <w:t>5</w:t>
            </w:r>
            <w:r>
              <w:rPr>
                <w:color w:val="000000"/>
                <w:sz w:val="20"/>
                <w:szCs w:val="20"/>
              </w:rPr>
              <w:t>74</w:t>
            </w:r>
            <w:r w:rsidRPr="000A026B">
              <w:rPr>
                <w:color w:val="000000"/>
                <w:sz w:val="20"/>
                <w:szCs w:val="20"/>
              </w:rPr>
              <w:t>,</w:t>
            </w:r>
            <w:r>
              <w:rPr>
                <w:color w:val="000000"/>
                <w:sz w:val="20"/>
                <w:szCs w:val="20"/>
              </w:rPr>
              <w:t>701</w:t>
            </w:r>
          </w:p>
        </w:tc>
        <w:tc>
          <w:tcPr>
            <w:tcW w:w="1116" w:type="dxa"/>
            <w:tcBorders>
              <w:top w:val="nil"/>
              <w:left w:val="nil"/>
              <w:bottom w:val="single" w:sz="4" w:space="0" w:color="auto"/>
              <w:right w:val="single" w:sz="4" w:space="0" w:color="auto"/>
            </w:tcBorders>
            <w:shd w:val="clear" w:color="auto" w:fill="auto"/>
            <w:noWrap/>
            <w:vAlign w:val="center"/>
            <w:hideMark/>
          </w:tcPr>
          <w:p w14:paraId="07978C1F" w14:textId="66E0A17A" w:rsidR="00EC75B5" w:rsidRPr="000A026B" w:rsidRDefault="00EC75B5" w:rsidP="00941184">
            <w:pPr>
              <w:jc w:val="right"/>
              <w:rPr>
                <w:color w:val="000000"/>
                <w:sz w:val="20"/>
                <w:szCs w:val="20"/>
              </w:rPr>
            </w:pPr>
            <w:r>
              <w:rPr>
                <w:color w:val="000000"/>
                <w:sz w:val="20"/>
                <w:szCs w:val="20"/>
              </w:rPr>
              <w:t>243</w:t>
            </w:r>
            <w:r w:rsidRPr="000A026B">
              <w:rPr>
                <w:color w:val="000000"/>
                <w:sz w:val="20"/>
                <w:szCs w:val="20"/>
              </w:rPr>
              <w:t>,</w:t>
            </w:r>
            <w:r>
              <w:rPr>
                <w:color w:val="000000"/>
                <w:sz w:val="20"/>
                <w:szCs w:val="20"/>
              </w:rPr>
              <w:t>67</w:t>
            </w:r>
            <w:r w:rsidRPr="000A026B">
              <w:rPr>
                <w:color w:val="000000"/>
                <w:sz w:val="20"/>
                <w:szCs w:val="20"/>
              </w:rPr>
              <w:t>6</w:t>
            </w:r>
          </w:p>
        </w:tc>
        <w:tc>
          <w:tcPr>
            <w:tcW w:w="1216" w:type="dxa"/>
            <w:tcBorders>
              <w:top w:val="nil"/>
              <w:left w:val="nil"/>
              <w:bottom w:val="single" w:sz="4" w:space="0" w:color="auto"/>
              <w:right w:val="single" w:sz="4" w:space="0" w:color="auto"/>
            </w:tcBorders>
            <w:shd w:val="clear" w:color="auto" w:fill="auto"/>
            <w:noWrap/>
            <w:vAlign w:val="center"/>
            <w:hideMark/>
          </w:tcPr>
          <w:p w14:paraId="5BE725E6" w14:textId="529FC320" w:rsidR="00EC75B5" w:rsidRPr="000A026B" w:rsidRDefault="00EC75B5" w:rsidP="00941184">
            <w:pPr>
              <w:jc w:val="right"/>
              <w:rPr>
                <w:color w:val="000000"/>
                <w:sz w:val="20"/>
                <w:szCs w:val="20"/>
              </w:rPr>
            </w:pPr>
            <w:r>
              <w:rPr>
                <w:color w:val="000000"/>
                <w:sz w:val="20"/>
                <w:szCs w:val="20"/>
              </w:rPr>
              <w:t>81</w:t>
            </w:r>
            <w:r w:rsidRPr="000A026B">
              <w:rPr>
                <w:color w:val="000000"/>
                <w:sz w:val="20"/>
                <w:szCs w:val="20"/>
              </w:rPr>
              <w:t>8,3</w:t>
            </w:r>
            <w:r>
              <w:rPr>
                <w:color w:val="000000"/>
                <w:sz w:val="20"/>
                <w:szCs w:val="20"/>
              </w:rPr>
              <w:t>77</w:t>
            </w:r>
          </w:p>
        </w:tc>
        <w:tc>
          <w:tcPr>
            <w:tcW w:w="1120" w:type="dxa"/>
            <w:tcBorders>
              <w:top w:val="nil"/>
              <w:left w:val="nil"/>
              <w:bottom w:val="single" w:sz="4" w:space="0" w:color="auto"/>
              <w:right w:val="single" w:sz="4" w:space="0" w:color="auto"/>
            </w:tcBorders>
            <w:shd w:val="clear" w:color="auto" w:fill="auto"/>
            <w:noWrap/>
            <w:vAlign w:val="center"/>
            <w:hideMark/>
          </w:tcPr>
          <w:p w14:paraId="4DA5E1F0" w14:textId="560D7B7D" w:rsidR="00EC75B5" w:rsidRPr="000A026B" w:rsidRDefault="00EC75B5" w:rsidP="00941184">
            <w:pPr>
              <w:jc w:val="center"/>
              <w:rPr>
                <w:color w:val="000000"/>
                <w:sz w:val="20"/>
                <w:szCs w:val="20"/>
              </w:rPr>
            </w:pPr>
            <w:r w:rsidRPr="000A026B">
              <w:rPr>
                <w:color w:val="000000"/>
                <w:sz w:val="20"/>
                <w:szCs w:val="20"/>
              </w:rPr>
              <w:t>12</w:t>
            </w:r>
          </w:p>
        </w:tc>
        <w:tc>
          <w:tcPr>
            <w:tcW w:w="972" w:type="dxa"/>
            <w:tcBorders>
              <w:top w:val="nil"/>
              <w:left w:val="nil"/>
              <w:bottom w:val="single" w:sz="4" w:space="0" w:color="auto"/>
              <w:right w:val="single" w:sz="4" w:space="0" w:color="auto"/>
            </w:tcBorders>
            <w:shd w:val="clear" w:color="auto" w:fill="auto"/>
            <w:noWrap/>
            <w:vAlign w:val="center"/>
            <w:hideMark/>
          </w:tcPr>
          <w:p w14:paraId="6FD997EA" w14:textId="5E475495" w:rsidR="00EC75B5" w:rsidRPr="000A026B" w:rsidRDefault="00EC75B5" w:rsidP="00941184">
            <w:pPr>
              <w:jc w:val="center"/>
              <w:rPr>
                <w:color w:val="000000"/>
                <w:sz w:val="20"/>
                <w:szCs w:val="20"/>
              </w:rPr>
            </w:pPr>
            <w:r w:rsidRPr="000A026B">
              <w:rPr>
                <w:color w:val="000000"/>
                <w:sz w:val="20"/>
                <w:szCs w:val="20"/>
              </w:rPr>
              <w:t>17</w:t>
            </w:r>
          </w:p>
        </w:tc>
        <w:tc>
          <w:tcPr>
            <w:tcW w:w="1540" w:type="dxa"/>
            <w:tcBorders>
              <w:top w:val="nil"/>
              <w:left w:val="nil"/>
              <w:bottom w:val="single" w:sz="4" w:space="0" w:color="auto"/>
              <w:right w:val="single" w:sz="4" w:space="0" w:color="auto"/>
            </w:tcBorders>
            <w:shd w:val="clear" w:color="auto" w:fill="auto"/>
            <w:noWrap/>
            <w:vAlign w:val="bottom"/>
            <w:hideMark/>
          </w:tcPr>
          <w:p w14:paraId="09A5E326" w14:textId="7184C0BA" w:rsidR="00EC75B5" w:rsidRPr="000A026B" w:rsidRDefault="00EC75B5" w:rsidP="00941184">
            <w:pPr>
              <w:jc w:val="center"/>
              <w:rPr>
                <w:color w:val="000000"/>
                <w:sz w:val="20"/>
                <w:szCs w:val="20"/>
              </w:rPr>
            </w:pPr>
            <w:r w:rsidRPr="000A026B">
              <w:rPr>
                <w:color w:val="000000"/>
                <w:sz w:val="20"/>
                <w:szCs w:val="20"/>
              </w:rPr>
              <w:t>No</w:t>
            </w:r>
          </w:p>
        </w:tc>
      </w:tr>
      <w:tr w:rsidR="00EC75B5" w:rsidRPr="000A026B" w14:paraId="7B0AE11C"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1386943F" w14:textId="0CE28F4B" w:rsidR="00EC75B5" w:rsidRPr="001A2F6D" w:rsidRDefault="00EC75B5" w:rsidP="00941184">
            <w:pPr>
              <w:rPr>
                <w:bCs/>
                <w:color w:val="000000"/>
                <w:sz w:val="20"/>
                <w:szCs w:val="20"/>
              </w:rPr>
            </w:pPr>
            <w:r w:rsidRPr="001A2F6D">
              <w:rPr>
                <w:bCs/>
                <w:color w:val="000000"/>
                <w:sz w:val="20"/>
                <w:szCs w:val="20"/>
              </w:rPr>
              <w:t>Drums</w:t>
            </w:r>
          </w:p>
        </w:tc>
        <w:tc>
          <w:tcPr>
            <w:tcW w:w="1116" w:type="dxa"/>
            <w:tcBorders>
              <w:top w:val="nil"/>
              <w:left w:val="nil"/>
              <w:bottom w:val="single" w:sz="4" w:space="0" w:color="auto"/>
              <w:right w:val="single" w:sz="4" w:space="0" w:color="auto"/>
            </w:tcBorders>
            <w:shd w:val="clear" w:color="auto" w:fill="auto"/>
            <w:noWrap/>
            <w:vAlign w:val="center"/>
            <w:hideMark/>
          </w:tcPr>
          <w:p w14:paraId="2CF1F3E7" w14:textId="6A9FDD20" w:rsidR="00EC75B5" w:rsidRPr="000A026B" w:rsidRDefault="00EC75B5" w:rsidP="00941184">
            <w:pPr>
              <w:jc w:val="right"/>
              <w:rPr>
                <w:color w:val="000000"/>
                <w:sz w:val="20"/>
                <w:szCs w:val="20"/>
              </w:rPr>
            </w:pPr>
            <w:r w:rsidRPr="000A026B">
              <w:rPr>
                <w:color w:val="000000"/>
                <w:sz w:val="20"/>
                <w:szCs w:val="20"/>
              </w:rPr>
              <w:t>1</w:t>
            </w:r>
            <w:r>
              <w:rPr>
                <w:color w:val="000000"/>
                <w:sz w:val="20"/>
                <w:szCs w:val="20"/>
              </w:rPr>
              <w:t>2</w:t>
            </w:r>
            <w:r w:rsidRPr="000A026B">
              <w:rPr>
                <w:color w:val="000000"/>
                <w:sz w:val="20"/>
                <w:szCs w:val="20"/>
              </w:rPr>
              <w:t>,</w:t>
            </w:r>
            <w:r>
              <w:rPr>
                <w:color w:val="000000"/>
                <w:sz w:val="20"/>
                <w:szCs w:val="20"/>
              </w:rPr>
              <w:t>212</w:t>
            </w:r>
            <w:r w:rsidRPr="000A026B">
              <w:rPr>
                <w:color w:val="000000"/>
                <w:sz w:val="20"/>
                <w:szCs w:val="20"/>
              </w:rPr>
              <w:t>,</w:t>
            </w:r>
            <w:r>
              <w:rPr>
                <w:color w:val="000000"/>
                <w:sz w:val="20"/>
                <w:szCs w:val="20"/>
              </w:rPr>
              <w:t>77</w:t>
            </w:r>
            <w:r w:rsidRPr="000A026B">
              <w:rPr>
                <w:color w:val="000000"/>
                <w:sz w:val="20"/>
                <w:szCs w:val="20"/>
              </w:rPr>
              <w:t>3</w:t>
            </w:r>
          </w:p>
        </w:tc>
        <w:tc>
          <w:tcPr>
            <w:tcW w:w="1116" w:type="dxa"/>
            <w:tcBorders>
              <w:top w:val="nil"/>
              <w:left w:val="nil"/>
              <w:bottom w:val="single" w:sz="4" w:space="0" w:color="auto"/>
              <w:right w:val="single" w:sz="4" w:space="0" w:color="auto"/>
            </w:tcBorders>
            <w:shd w:val="clear" w:color="auto" w:fill="auto"/>
            <w:noWrap/>
            <w:vAlign w:val="center"/>
            <w:hideMark/>
          </w:tcPr>
          <w:p w14:paraId="5926B58A" w14:textId="11F30D43" w:rsidR="00EC75B5" w:rsidRPr="000A026B" w:rsidRDefault="00EC75B5" w:rsidP="00941184">
            <w:pPr>
              <w:jc w:val="right"/>
              <w:rPr>
                <w:color w:val="000000"/>
                <w:sz w:val="20"/>
                <w:szCs w:val="20"/>
              </w:rPr>
            </w:pPr>
            <w:r w:rsidRPr="000A026B">
              <w:rPr>
                <w:color w:val="000000"/>
                <w:sz w:val="20"/>
                <w:szCs w:val="20"/>
              </w:rPr>
              <w:t>19,2</w:t>
            </w:r>
            <w:r>
              <w:rPr>
                <w:color w:val="000000"/>
                <w:sz w:val="20"/>
                <w:szCs w:val="20"/>
              </w:rPr>
              <w:t>70</w:t>
            </w:r>
            <w:r w:rsidRPr="000A026B">
              <w:rPr>
                <w:color w:val="000000"/>
                <w:sz w:val="20"/>
                <w:szCs w:val="20"/>
              </w:rPr>
              <w:t>,</w:t>
            </w:r>
            <w:r>
              <w:rPr>
                <w:color w:val="000000"/>
                <w:sz w:val="20"/>
                <w:szCs w:val="20"/>
              </w:rPr>
              <w:t>522</w:t>
            </w:r>
          </w:p>
        </w:tc>
        <w:tc>
          <w:tcPr>
            <w:tcW w:w="1216" w:type="dxa"/>
            <w:tcBorders>
              <w:top w:val="nil"/>
              <w:left w:val="nil"/>
              <w:bottom w:val="single" w:sz="4" w:space="0" w:color="auto"/>
              <w:right w:val="single" w:sz="4" w:space="0" w:color="auto"/>
            </w:tcBorders>
            <w:shd w:val="clear" w:color="auto" w:fill="auto"/>
            <w:noWrap/>
            <w:vAlign w:val="center"/>
            <w:hideMark/>
          </w:tcPr>
          <w:p w14:paraId="3D0F5A0E" w14:textId="345087C0" w:rsidR="00EC75B5" w:rsidRPr="000A026B" w:rsidRDefault="00EC75B5" w:rsidP="00941184">
            <w:pPr>
              <w:jc w:val="right"/>
              <w:rPr>
                <w:color w:val="000000"/>
                <w:sz w:val="20"/>
                <w:szCs w:val="20"/>
              </w:rPr>
            </w:pPr>
            <w:r w:rsidRPr="000A026B">
              <w:rPr>
                <w:color w:val="000000"/>
                <w:sz w:val="20"/>
                <w:szCs w:val="20"/>
              </w:rPr>
              <w:t>3</w:t>
            </w:r>
            <w:r>
              <w:rPr>
                <w:color w:val="000000"/>
                <w:sz w:val="20"/>
                <w:szCs w:val="20"/>
              </w:rPr>
              <w:t>1</w:t>
            </w:r>
            <w:r w:rsidRPr="000A026B">
              <w:rPr>
                <w:color w:val="000000"/>
                <w:sz w:val="20"/>
                <w:szCs w:val="20"/>
              </w:rPr>
              <w:t>,4</w:t>
            </w:r>
            <w:r>
              <w:rPr>
                <w:color w:val="000000"/>
                <w:sz w:val="20"/>
                <w:szCs w:val="20"/>
              </w:rPr>
              <w:t>83</w:t>
            </w:r>
            <w:r w:rsidRPr="000A026B">
              <w:rPr>
                <w:color w:val="000000"/>
                <w:sz w:val="20"/>
                <w:szCs w:val="20"/>
              </w:rPr>
              <w:t>,</w:t>
            </w:r>
            <w:r>
              <w:rPr>
                <w:color w:val="000000"/>
                <w:sz w:val="20"/>
                <w:szCs w:val="20"/>
              </w:rPr>
              <w:t>295</w:t>
            </w:r>
          </w:p>
        </w:tc>
        <w:tc>
          <w:tcPr>
            <w:tcW w:w="1120" w:type="dxa"/>
            <w:tcBorders>
              <w:top w:val="nil"/>
              <w:left w:val="nil"/>
              <w:bottom w:val="single" w:sz="4" w:space="0" w:color="auto"/>
              <w:right w:val="single" w:sz="4" w:space="0" w:color="auto"/>
            </w:tcBorders>
            <w:shd w:val="clear" w:color="auto" w:fill="auto"/>
            <w:noWrap/>
            <w:vAlign w:val="center"/>
            <w:hideMark/>
          </w:tcPr>
          <w:p w14:paraId="10FEACA5" w14:textId="1074A460" w:rsidR="00EC75B5" w:rsidRPr="000A026B" w:rsidRDefault="00EC75B5" w:rsidP="00941184">
            <w:pPr>
              <w:jc w:val="center"/>
              <w:rPr>
                <w:color w:val="000000"/>
                <w:sz w:val="20"/>
                <w:szCs w:val="20"/>
              </w:rPr>
            </w:pPr>
            <w:r w:rsidRPr="000A026B">
              <w:rPr>
                <w:color w:val="000000"/>
                <w:sz w:val="20"/>
                <w:szCs w:val="20"/>
              </w:rPr>
              <w:t>1</w:t>
            </w:r>
          </w:p>
        </w:tc>
        <w:tc>
          <w:tcPr>
            <w:tcW w:w="972" w:type="dxa"/>
            <w:tcBorders>
              <w:top w:val="nil"/>
              <w:left w:val="nil"/>
              <w:bottom w:val="single" w:sz="4" w:space="0" w:color="auto"/>
              <w:right w:val="single" w:sz="4" w:space="0" w:color="auto"/>
            </w:tcBorders>
            <w:shd w:val="clear" w:color="auto" w:fill="auto"/>
            <w:noWrap/>
            <w:vAlign w:val="center"/>
            <w:hideMark/>
          </w:tcPr>
          <w:p w14:paraId="1531FC74" w14:textId="65D29F42" w:rsidR="00EC75B5" w:rsidRPr="000A026B" w:rsidRDefault="00EC75B5" w:rsidP="00941184">
            <w:pPr>
              <w:jc w:val="center"/>
              <w:rPr>
                <w:color w:val="000000"/>
                <w:sz w:val="20"/>
                <w:szCs w:val="20"/>
              </w:rPr>
            </w:pPr>
            <w:r w:rsidRPr="000A026B">
              <w:rPr>
                <w:color w:val="000000"/>
                <w:sz w:val="20"/>
                <w:szCs w:val="20"/>
              </w:rPr>
              <w:t>1</w:t>
            </w:r>
          </w:p>
        </w:tc>
        <w:tc>
          <w:tcPr>
            <w:tcW w:w="1540" w:type="dxa"/>
            <w:tcBorders>
              <w:top w:val="nil"/>
              <w:left w:val="nil"/>
              <w:bottom w:val="single" w:sz="4" w:space="0" w:color="auto"/>
              <w:right w:val="single" w:sz="4" w:space="0" w:color="auto"/>
            </w:tcBorders>
            <w:shd w:val="clear" w:color="auto" w:fill="auto"/>
            <w:noWrap/>
            <w:vAlign w:val="bottom"/>
            <w:hideMark/>
          </w:tcPr>
          <w:p w14:paraId="39AE9EB2" w14:textId="5C34A382" w:rsidR="00EC75B5" w:rsidRPr="000A026B" w:rsidRDefault="00EC75B5" w:rsidP="00941184">
            <w:pPr>
              <w:jc w:val="center"/>
              <w:rPr>
                <w:color w:val="000000"/>
                <w:sz w:val="20"/>
                <w:szCs w:val="20"/>
              </w:rPr>
            </w:pPr>
            <w:r w:rsidRPr="000A026B">
              <w:rPr>
                <w:color w:val="000000"/>
                <w:sz w:val="20"/>
                <w:szCs w:val="20"/>
              </w:rPr>
              <w:t>No</w:t>
            </w:r>
          </w:p>
        </w:tc>
      </w:tr>
      <w:tr w:rsidR="00EC75B5" w:rsidRPr="000A026B" w14:paraId="1F529A86"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6B6AF631" w14:textId="6A7187B8" w:rsidR="00EC75B5" w:rsidRPr="001A2F6D" w:rsidRDefault="00EC75B5" w:rsidP="00941184">
            <w:pPr>
              <w:rPr>
                <w:bCs/>
                <w:color w:val="000000"/>
                <w:sz w:val="20"/>
                <w:szCs w:val="20"/>
              </w:rPr>
            </w:pPr>
            <w:r w:rsidRPr="001A2F6D">
              <w:rPr>
                <w:bCs/>
                <w:color w:val="000000"/>
                <w:sz w:val="20"/>
                <w:szCs w:val="20"/>
              </w:rPr>
              <w:t>Eels</w:t>
            </w:r>
          </w:p>
        </w:tc>
        <w:tc>
          <w:tcPr>
            <w:tcW w:w="1116" w:type="dxa"/>
            <w:tcBorders>
              <w:top w:val="nil"/>
              <w:left w:val="nil"/>
              <w:bottom w:val="single" w:sz="4" w:space="0" w:color="auto"/>
              <w:right w:val="single" w:sz="4" w:space="0" w:color="auto"/>
            </w:tcBorders>
            <w:shd w:val="clear" w:color="auto" w:fill="auto"/>
            <w:noWrap/>
            <w:vAlign w:val="center"/>
            <w:hideMark/>
          </w:tcPr>
          <w:p w14:paraId="01739BEF" w14:textId="2070815A" w:rsidR="00EC75B5" w:rsidRPr="000A026B" w:rsidRDefault="00EC75B5" w:rsidP="00941184">
            <w:pPr>
              <w:jc w:val="right"/>
              <w:rPr>
                <w:color w:val="000000"/>
                <w:sz w:val="20"/>
                <w:szCs w:val="20"/>
              </w:rPr>
            </w:pPr>
            <w:r>
              <w:rPr>
                <w:color w:val="000000"/>
                <w:sz w:val="20"/>
                <w:szCs w:val="20"/>
              </w:rPr>
              <w:t>3</w:t>
            </w:r>
            <w:r w:rsidRPr="000A026B">
              <w:rPr>
                <w:color w:val="000000"/>
                <w:sz w:val="20"/>
                <w:szCs w:val="20"/>
              </w:rPr>
              <w:t>,</w:t>
            </w:r>
            <w:r>
              <w:rPr>
                <w:color w:val="000000"/>
                <w:sz w:val="20"/>
                <w:szCs w:val="20"/>
              </w:rPr>
              <w:t>09</w:t>
            </w:r>
            <w:r w:rsidRPr="000A026B">
              <w:rPr>
                <w:color w:val="000000"/>
                <w:sz w:val="20"/>
                <w:szCs w:val="20"/>
              </w:rPr>
              <w:t>7</w:t>
            </w:r>
          </w:p>
        </w:tc>
        <w:tc>
          <w:tcPr>
            <w:tcW w:w="1116" w:type="dxa"/>
            <w:tcBorders>
              <w:top w:val="nil"/>
              <w:left w:val="nil"/>
              <w:bottom w:val="single" w:sz="4" w:space="0" w:color="auto"/>
              <w:right w:val="single" w:sz="4" w:space="0" w:color="auto"/>
            </w:tcBorders>
            <w:shd w:val="clear" w:color="auto" w:fill="auto"/>
            <w:noWrap/>
            <w:vAlign w:val="center"/>
            <w:hideMark/>
          </w:tcPr>
          <w:p w14:paraId="4B31C31D" w14:textId="171F1591" w:rsidR="00EC75B5" w:rsidRPr="000A026B" w:rsidRDefault="00EC75B5" w:rsidP="00941184">
            <w:pPr>
              <w:jc w:val="right"/>
              <w:rPr>
                <w:color w:val="000000"/>
                <w:sz w:val="20"/>
                <w:szCs w:val="20"/>
              </w:rPr>
            </w:pPr>
            <w:r>
              <w:rPr>
                <w:color w:val="000000"/>
                <w:sz w:val="20"/>
                <w:szCs w:val="20"/>
              </w:rPr>
              <w:t>25</w:t>
            </w:r>
            <w:r w:rsidRPr="000A026B">
              <w:rPr>
                <w:color w:val="000000"/>
                <w:sz w:val="20"/>
                <w:szCs w:val="20"/>
              </w:rPr>
              <w:t>,</w:t>
            </w:r>
            <w:r>
              <w:rPr>
                <w:color w:val="000000"/>
                <w:sz w:val="20"/>
                <w:szCs w:val="20"/>
              </w:rPr>
              <w:t>6</w:t>
            </w:r>
            <w:r w:rsidRPr="000A026B">
              <w:rPr>
                <w:color w:val="000000"/>
                <w:sz w:val="20"/>
                <w:szCs w:val="20"/>
              </w:rPr>
              <w:t>9</w:t>
            </w:r>
            <w:r>
              <w:rPr>
                <w:color w:val="000000"/>
                <w:sz w:val="20"/>
                <w:szCs w:val="20"/>
              </w:rPr>
              <w:t>0</w:t>
            </w:r>
          </w:p>
        </w:tc>
        <w:tc>
          <w:tcPr>
            <w:tcW w:w="1216" w:type="dxa"/>
            <w:tcBorders>
              <w:top w:val="nil"/>
              <w:left w:val="nil"/>
              <w:bottom w:val="single" w:sz="4" w:space="0" w:color="auto"/>
              <w:right w:val="single" w:sz="4" w:space="0" w:color="auto"/>
            </w:tcBorders>
            <w:shd w:val="clear" w:color="auto" w:fill="auto"/>
            <w:noWrap/>
            <w:vAlign w:val="center"/>
            <w:hideMark/>
          </w:tcPr>
          <w:p w14:paraId="4F171E94" w14:textId="1E8B142D" w:rsidR="00EC75B5" w:rsidRPr="000A026B" w:rsidRDefault="00EC75B5" w:rsidP="00941184">
            <w:pPr>
              <w:jc w:val="right"/>
              <w:rPr>
                <w:color w:val="000000"/>
                <w:sz w:val="20"/>
                <w:szCs w:val="20"/>
              </w:rPr>
            </w:pPr>
            <w:r>
              <w:rPr>
                <w:color w:val="000000"/>
                <w:sz w:val="20"/>
                <w:szCs w:val="20"/>
              </w:rPr>
              <w:t>28</w:t>
            </w:r>
            <w:r w:rsidRPr="000A026B">
              <w:rPr>
                <w:color w:val="000000"/>
                <w:sz w:val="20"/>
                <w:szCs w:val="20"/>
              </w:rPr>
              <w:t>,78</w:t>
            </w:r>
            <w:r>
              <w:rPr>
                <w:color w:val="000000"/>
                <w:sz w:val="20"/>
                <w:szCs w:val="20"/>
              </w:rPr>
              <w:t>7</w:t>
            </w:r>
          </w:p>
        </w:tc>
        <w:tc>
          <w:tcPr>
            <w:tcW w:w="1120" w:type="dxa"/>
            <w:tcBorders>
              <w:top w:val="nil"/>
              <w:left w:val="nil"/>
              <w:bottom w:val="single" w:sz="4" w:space="0" w:color="auto"/>
              <w:right w:val="single" w:sz="4" w:space="0" w:color="auto"/>
            </w:tcBorders>
            <w:shd w:val="clear" w:color="auto" w:fill="auto"/>
            <w:noWrap/>
            <w:vAlign w:val="center"/>
            <w:hideMark/>
          </w:tcPr>
          <w:p w14:paraId="44FD0069" w14:textId="5891B42C" w:rsidR="00EC75B5" w:rsidRPr="000A026B" w:rsidRDefault="00EC75B5" w:rsidP="00941184">
            <w:pPr>
              <w:jc w:val="center"/>
              <w:rPr>
                <w:color w:val="000000"/>
                <w:sz w:val="20"/>
                <w:szCs w:val="20"/>
              </w:rPr>
            </w:pPr>
            <w:r w:rsidRPr="000A026B">
              <w:rPr>
                <w:color w:val="000000"/>
                <w:sz w:val="20"/>
                <w:szCs w:val="20"/>
              </w:rPr>
              <w:t>22</w:t>
            </w:r>
          </w:p>
        </w:tc>
        <w:tc>
          <w:tcPr>
            <w:tcW w:w="972" w:type="dxa"/>
            <w:tcBorders>
              <w:top w:val="nil"/>
              <w:left w:val="nil"/>
              <w:bottom w:val="single" w:sz="4" w:space="0" w:color="auto"/>
              <w:right w:val="single" w:sz="4" w:space="0" w:color="auto"/>
            </w:tcBorders>
            <w:shd w:val="clear" w:color="auto" w:fill="auto"/>
            <w:noWrap/>
            <w:vAlign w:val="center"/>
            <w:hideMark/>
          </w:tcPr>
          <w:p w14:paraId="3905A485" w14:textId="68B9F42B" w:rsidR="00EC75B5" w:rsidRPr="000A026B" w:rsidRDefault="00EC75B5" w:rsidP="00941184">
            <w:pPr>
              <w:jc w:val="center"/>
              <w:rPr>
                <w:color w:val="000000"/>
                <w:sz w:val="20"/>
                <w:szCs w:val="20"/>
              </w:rPr>
            </w:pPr>
            <w:r w:rsidRPr="000A026B">
              <w:rPr>
                <w:color w:val="000000"/>
                <w:sz w:val="20"/>
                <w:szCs w:val="20"/>
              </w:rPr>
              <w:t>2</w:t>
            </w:r>
            <w:r>
              <w:rPr>
                <w:color w:val="000000"/>
                <w:sz w:val="20"/>
                <w:szCs w:val="20"/>
              </w:rPr>
              <w:t>3</w:t>
            </w:r>
          </w:p>
        </w:tc>
        <w:tc>
          <w:tcPr>
            <w:tcW w:w="1540" w:type="dxa"/>
            <w:tcBorders>
              <w:top w:val="nil"/>
              <w:left w:val="nil"/>
              <w:bottom w:val="single" w:sz="4" w:space="0" w:color="auto"/>
              <w:right w:val="single" w:sz="4" w:space="0" w:color="auto"/>
            </w:tcBorders>
            <w:shd w:val="clear" w:color="auto" w:fill="auto"/>
            <w:noWrap/>
            <w:vAlign w:val="bottom"/>
            <w:hideMark/>
          </w:tcPr>
          <w:p w14:paraId="28855D22" w14:textId="40D8FCF3" w:rsidR="00EC75B5" w:rsidRPr="000A026B" w:rsidRDefault="00EC75B5" w:rsidP="00941184">
            <w:pPr>
              <w:jc w:val="center"/>
              <w:rPr>
                <w:color w:val="000000"/>
                <w:sz w:val="20"/>
                <w:szCs w:val="20"/>
              </w:rPr>
            </w:pPr>
            <w:r w:rsidRPr="000A026B">
              <w:rPr>
                <w:color w:val="000000"/>
                <w:sz w:val="20"/>
                <w:szCs w:val="20"/>
              </w:rPr>
              <w:t>No</w:t>
            </w:r>
          </w:p>
        </w:tc>
      </w:tr>
      <w:tr w:rsidR="00EC75B5" w:rsidRPr="000A026B" w14:paraId="73D85641"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3EFED0DC" w14:textId="5F6CBC42" w:rsidR="00EC75B5" w:rsidRPr="001A2F6D" w:rsidRDefault="00EC75B5" w:rsidP="00941184">
            <w:pPr>
              <w:rPr>
                <w:bCs/>
                <w:color w:val="000000"/>
                <w:sz w:val="20"/>
                <w:szCs w:val="20"/>
              </w:rPr>
            </w:pPr>
            <w:r w:rsidRPr="001A2F6D">
              <w:rPr>
                <w:bCs/>
                <w:color w:val="000000"/>
                <w:sz w:val="20"/>
                <w:szCs w:val="20"/>
              </w:rPr>
              <w:t>Flounders</w:t>
            </w:r>
          </w:p>
        </w:tc>
        <w:tc>
          <w:tcPr>
            <w:tcW w:w="1116" w:type="dxa"/>
            <w:tcBorders>
              <w:top w:val="nil"/>
              <w:left w:val="nil"/>
              <w:bottom w:val="single" w:sz="4" w:space="0" w:color="auto"/>
              <w:right w:val="single" w:sz="4" w:space="0" w:color="auto"/>
            </w:tcBorders>
            <w:shd w:val="clear" w:color="auto" w:fill="auto"/>
            <w:noWrap/>
            <w:vAlign w:val="center"/>
            <w:hideMark/>
          </w:tcPr>
          <w:p w14:paraId="509F5B04" w14:textId="697F22D7" w:rsidR="00EC75B5" w:rsidRPr="000A026B" w:rsidRDefault="00EC75B5" w:rsidP="00941184">
            <w:pPr>
              <w:jc w:val="right"/>
              <w:rPr>
                <w:color w:val="000000"/>
                <w:sz w:val="20"/>
                <w:szCs w:val="20"/>
              </w:rPr>
            </w:pPr>
            <w:r w:rsidRPr="000A026B">
              <w:rPr>
                <w:color w:val="000000"/>
                <w:sz w:val="20"/>
                <w:szCs w:val="20"/>
              </w:rPr>
              <w:t>5</w:t>
            </w:r>
            <w:r>
              <w:rPr>
                <w:color w:val="000000"/>
                <w:sz w:val="20"/>
                <w:szCs w:val="20"/>
              </w:rPr>
              <w:t>8</w:t>
            </w:r>
            <w:r w:rsidRPr="000A026B">
              <w:rPr>
                <w:color w:val="000000"/>
                <w:sz w:val="20"/>
                <w:szCs w:val="20"/>
              </w:rPr>
              <w:t>4,</w:t>
            </w:r>
            <w:r>
              <w:rPr>
                <w:color w:val="000000"/>
                <w:sz w:val="20"/>
                <w:szCs w:val="20"/>
              </w:rPr>
              <w:t>816</w:t>
            </w:r>
          </w:p>
        </w:tc>
        <w:tc>
          <w:tcPr>
            <w:tcW w:w="1116" w:type="dxa"/>
            <w:tcBorders>
              <w:top w:val="nil"/>
              <w:left w:val="nil"/>
              <w:bottom w:val="single" w:sz="4" w:space="0" w:color="auto"/>
              <w:right w:val="single" w:sz="4" w:space="0" w:color="auto"/>
            </w:tcBorders>
            <w:shd w:val="clear" w:color="auto" w:fill="auto"/>
            <w:noWrap/>
            <w:vAlign w:val="center"/>
            <w:hideMark/>
          </w:tcPr>
          <w:p w14:paraId="0C739328" w14:textId="4D687D67" w:rsidR="00EC75B5" w:rsidRPr="000A026B" w:rsidRDefault="00EC75B5" w:rsidP="00941184">
            <w:pPr>
              <w:jc w:val="right"/>
              <w:rPr>
                <w:color w:val="000000"/>
                <w:sz w:val="20"/>
                <w:szCs w:val="20"/>
              </w:rPr>
            </w:pPr>
            <w:r w:rsidRPr="000A026B">
              <w:rPr>
                <w:color w:val="000000"/>
                <w:sz w:val="20"/>
                <w:szCs w:val="20"/>
              </w:rPr>
              <w:t>1,</w:t>
            </w:r>
            <w:r>
              <w:rPr>
                <w:color w:val="000000"/>
                <w:sz w:val="20"/>
                <w:szCs w:val="20"/>
              </w:rPr>
              <w:t>65</w:t>
            </w:r>
            <w:r w:rsidRPr="000A026B">
              <w:rPr>
                <w:color w:val="000000"/>
                <w:sz w:val="20"/>
                <w:szCs w:val="20"/>
              </w:rPr>
              <w:t>4,</w:t>
            </w:r>
            <w:r>
              <w:rPr>
                <w:color w:val="000000"/>
                <w:sz w:val="20"/>
                <w:szCs w:val="20"/>
              </w:rPr>
              <w:t>715</w:t>
            </w:r>
          </w:p>
        </w:tc>
        <w:tc>
          <w:tcPr>
            <w:tcW w:w="1216" w:type="dxa"/>
            <w:tcBorders>
              <w:top w:val="nil"/>
              <w:left w:val="nil"/>
              <w:bottom w:val="single" w:sz="4" w:space="0" w:color="auto"/>
              <w:right w:val="single" w:sz="4" w:space="0" w:color="auto"/>
            </w:tcBorders>
            <w:shd w:val="clear" w:color="auto" w:fill="auto"/>
            <w:noWrap/>
            <w:vAlign w:val="center"/>
            <w:hideMark/>
          </w:tcPr>
          <w:p w14:paraId="48E10BD2" w14:textId="56275868" w:rsidR="00EC75B5" w:rsidRPr="000A026B" w:rsidRDefault="00EC75B5" w:rsidP="00941184">
            <w:pPr>
              <w:jc w:val="right"/>
              <w:rPr>
                <w:color w:val="000000"/>
                <w:sz w:val="20"/>
                <w:szCs w:val="20"/>
              </w:rPr>
            </w:pPr>
            <w:r w:rsidRPr="000A026B">
              <w:rPr>
                <w:color w:val="000000"/>
                <w:sz w:val="20"/>
                <w:szCs w:val="20"/>
              </w:rPr>
              <w:t>2,</w:t>
            </w:r>
            <w:r>
              <w:rPr>
                <w:color w:val="000000"/>
                <w:sz w:val="20"/>
                <w:szCs w:val="20"/>
              </w:rPr>
              <w:t>239</w:t>
            </w:r>
            <w:r w:rsidRPr="000A026B">
              <w:rPr>
                <w:color w:val="000000"/>
                <w:sz w:val="20"/>
                <w:szCs w:val="20"/>
              </w:rPr>
              <w:t>,</w:t>
            </w:r>
            <w:r>
              <w:rPr>
                <w:color w:val="000000"/>
                <w:sz w:val="20"/>
                <w:szCs w:val="20"/>
              </w:rPr>
              <w:t>531</w:t>
            </w:r>
          </w:p>
        </w:tc>
        <w:tc>
          <w:tcPr>
            <w:tcW w:w="1120" w:type="dxa"/>
            <w:tcBorders>
              <w:top w:val="nil"/>
              <w:left w:val="nil"/>
              <w:bottom w:val="single" w:sz="4" w:space="0" w:color="auto"/>
              <w:right w:val="single" w:sz="4" w:space="0" w:color="auto"/>
            </w:tcBorders>
            <w:shd w:val="clear" w:color="auto" w:fill="auto"/>
            <w:noWrap/>
            <w:vAlign w:val="center"/>
            <w:hideMark/>
          </w:tcPr>
          <w:p w14:paraId="7C8F4A28" w14:textId="3E776692" w:rsidR="00EC75B5" w:rsidRPr="000A026B" w:rsidRDefault="00EC75B5" w:rsidP="00941184">
            <w:pPr>
              <w:jc w:val="center"/>
              <w:rPr>
                <w:color w:val="000000"/>
                <w:sz w:val="20"/>
                <w:szCs w:val="20"/>
              </w:rPr>
            </w:pPr>
            <w:r w:rsidRPr="000A026B">
              <w:rPr>
                <w:color w:val="000000"/>
                <w:sz w:val="20"/>
                <w:szCs w:val="20"/>
              </w:rPr>
              <w:t>11</w:t>
            </w:r>
          </w:p>
        </w:tc>
        <w:tc>
          <w:tcPr>
            <w:tcW w:w="972" w:type="dxa"/>
            <w:tcBorders>
              <w:top w:val="nil"/>
              <w:left w:val="nil"/>
              <w:bottom w:val="single" w:sz="4" w:space="0" w:color="auto"/>
              <w:right w:val="single" w:sz="4" w:space="0" w:color="auto"/>
            </w:tcBorders>
            <w:shd w:val="clear" w:color="auto" w:fill="auto"/>
            <w:noWrap/>
            <w:vAlign w:val="center"/>
            <w:hideMark/>
          </w:tcPr>
          <w:p w14:paraId="201CDCB1" w14:textId="05A6D23F" w:rsidR="00EC75B5" w:rsidRPr="000A026B" w:rsidRDefault="00EC75B5" w:rsidP="00941184">
            <w:pPr>
              <w:jc w:val="center"/>
              <w:rPr>
                <w:color w:val="000000"/>
                <w:sz w:val="20"/>
                <w:szCs w:val="20"/>
              </w:rPr>
            </w:pPr>
            <w:r w:rsidRPr="000A026B">
              <w:rPr>
                <w:color w:val="000000"/>
                <w:sz w:val="20"/>
                <w:szCs w:val="20"/>
              </w:rPr>
              <w:t>1</w:t>
            </w:r>
            <w:r>
              <w:rPr>
                <w:color w:val="000000"/>
                <w:sz w:val="20"/>
                <w:szCs w:val="20"/>
              </w:rPr>
              <w:t>3</w:t>
            </w:r>
          </w:p>
        </w:tc>
        <w:tc>
          <w:tcPr>
            <w:tcW w:w="1540" w:type="dxa"/>
            <w:tcBorders>
              <w:top w:val="nil"/>
              <w:left w:val="nil"/>
              <w:bottom w:val="single" w:sz="4" w:space="0" w:color="auto"/>
              <w:right w:val="single" w:sz="4" w:space="0" w:color="auto"/>
            </w:tcBorders>
            <w:shd w:val="clear" w:color="auto" w:fill="auto"/>
            <w:noWrap/>
            <w:vAlign w:val="bottom"/>
            <w:hideMark/>
          </w:tcPr>
          <w:p w14:paraId="0E4B2508" w14:textId="6BDC813E" w:rsidR="00EC75B5" w:rsidRPr="000A026B" w:rsidRDefault="00EC75B5" w:rsidP="00941184">
            <w:pPr>
              <w:jc w:val="center"/>
              <w:rPr>
                <w:color w:val="000000"/>
                <w:sz w:val="20"/>
                <w:szCs w:val="20"/>
              </w:rPr>
            </w:pPr>
            <w:r w:rsidRPr="000A026B">
              <w:rPr>
                <w:color w:val="000000"/>
                <w:sz w:val="20"/>
                <w:szCs w:val="20"/>
              </w:rPr>
              <w:t>No</w:t>
            </w:r>
          </w:p>
        </w:tc>
      </w:tr>
      <w:tr w:rsidR="00EC75B5" w:rsidRPr="000A026B" w14:paraId="1F89B23F"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4D71FE36" w14:textId="055716DF" w:rsidR="00EC75B5" w:rsidRPr="001A2F6D" w:rsidRDefault="00EC75B5" w:rsidP="00941184">
            <w:pPr>
              <w:rPr>
                <w:bCs/>
                <w:i/>
                <w:iCs/>
                <w:color w:val="000000"/>
                <w:sz w:val="20"/>
                <w:szCs w:val="20"/>
              </w:rPr>
            </w:pPr>
            <w:r w:rsidRPr="001A2F6D">
              <w:rPr>
                <w:bCs/>
                <w:i/>
                <w:iCs/>
                <w:color w:val="000000"/>
                <w:sz w:val="20"/>
                <w:szCs w:val="20"/>
              </w:rPr>
              <w:t>Grunts</w:t>
            </w:r>
          </w:p>
        </w:tc>
        <w:tc>
          <w:tcPr>
            <w:tcW w:w="1116" w:type="dxa"/>
            <w:tcBorders>
              <w:top w:val="nil"/>
              <w:left w:val="nil"/>
              <w:bottom w:val="single" w:sz="4" w:space="0" w:color="auto"/>
              <w:right w:val="single" w:sz="4" w:space="0" w:color="auto"/>
            </w:tcBorders>
            <w:shd w:val="clear" w:color="auto" w:fill="auto"/>
            <w:noWrap/>
            <w:vAlign w:val="center"/>
            <w:hideMark/>
          </w:tcPr>
          <w:p w14:paraId="29324E89" w14:textId="7915197D" w:rsidR="00EC75B5" w:rsidRPr="000A026B" w:rsidRDefault="00EC75B5" w:rsidP="00941184">
            <w:pPr>
              <w:jc w:val="right"/>
              <w:rPr>
                <w:i/>
                <w:iCs/>
                <w:color w:val="000000"/>
                <w:sz w:val="20"/>
                <w:szCs w:val="20"/>
              </w:rPr>
            </w:pPr>
            <w:r w:rsidRPr="000A026B">
              <w:rPr>
                <w:i/>
                <w:iCs/>
                <w:color w:val="000000"/>
                <w:sz w:val="20"/>
                <w:szCs w:val="20"/>
              </w:rPr>
              <w:t>1,0</w:t>
            </w:r>
            <w:r>
              <w:rPr>
                <w:i/>
                <w:iCs/>
                <w:color w:val="000000"/>
                <w:sz w:val="20"/>
                <w:szCs w:val="20"/>
              </w:rPr>
              <w:t>29</w:t>
            </w:r>
            <w:r w:rsidRPr="000A026B">
              <w:rPr>
                <w:i/>
                <w:iCs/>
                <w:color w:val="000000"/>
                <w:sz w:val="20"/>
                <w:szCs w:val="20"/>
              </w:rPr>
              <w:t>,</w:t>
            </w:r>
            <w:r>
              <w:rPr>
                <w:i/>
                <w:iCs/>
                <w:color w:val="000000"/>
                <w:sz w:val="20"/>
                <w:szCs w:val="20"/>
              </w:rPr>
              <w:t>766</w:t>
            </w:r>
          </w:p>
        </w:tc>
        <w:tc>
          <w:tcPr>
            <w:tcW w:w="1116" w:type="dxa"/>
            <w:tcBorders>
              <w:top w:val="nil"/>
              <w:left w:val="nil"/>
              <w:bottom w:val="single" w:sz="4" w:space="0" w:color="auto"/>
              <w:right w:val="single" w:sz="4" w:space="0" w:color="auto"/>
            </w:tcBorders>
            <w:shd w:val="clear" w:color="auto" w:fill="auto"/>
            <w:noWrap/>
            <w:vAlign w:val="center"/>
            <w:hideMark/>
          </w:tcPr>
          <w:p w14:paraId="09FBAD59" w14:textId="397FBE41" w:rsidR="00EC75B5" w:rsidRPr="000A026B" w:rsidRDefault="00EC75B5" w:rsidP="00941184">
            <w:pPr>
              <w:jc w:val="right"/>
              <w:rPr>
                <w:i/>
                <w:iCs/>
                <w:color w:val="000000"/>
                <w:sz w:val="20"/>
                <w:szCs w:val="20"/>
              </w:rPr>
            </w:pPr>
            <w:r w:rsidRPr="000A026B">
              <w:rPr>
                <w:i/>
                <w:iCs/>
                <w:color w:val="000000"/>
                <w:sz w:val="20"/>
                <w:szCs w:val="20"/>
              </w:rPr>
              <w:t>1,</w:t>
            </w:r>
            <w:r>
              <w:rPr>
                <w:i/>
                <w:iCs/>
                <w:color w:val="000000"/>
                <w:sz w:val="20"/>
                <w:szCs w:val="20"/>
              </w:rPr>
              <w:t>99</w:t>
            </w:r>
            <w:r w:rsidRPr="000A026B">
              <w:rPr>
                <w:i/>
                <w:iCs/>
                <w:color w:val="000000"/>
                <w:sz w:val="20"/>
                <w:szCs w:val="20"/>
              </w:rPr>
              <w:t>0,4</w:t>
            </w:r>
            <w:r>
              <w:rPr>
                <w:i/>
                <w:iCs/>
                <w:color w:val="000000"/>
                <w:sz w:val="20"/>
                <w:szCs w:val="20"/>
              </w:rPr>
              <w:t>68</w:t>
            </w:r>
          </w:p>
        </w:tc>
        <w:tc>
          <w:tcPr>
            <w:tcW w:w="1216" w:type="dxa"/>
            <w:tcBorders>
              <w:top w:val="nil"/>
              <w:left w:val="nil"/>
              <w:bottom w:val="single" w:sz="4" w:space="0" w:color="auto"/>
              <w:right w:val="single" w:sz="4" w:space="0" w:color="auto"/>
            </w:tcBorders>
            <w:shd w:val="clear" w:color="auto" w:fill="auto"/>
            <w:noWrap/>
            <w:vAlign w:val="center"/>
            <w:hideMark/>
          </w:tcPr>
          <w:p w14:paraId="1735DF10" w14:textId="74B2A88A" w:rsidR="00EC75B5" w:rsidRPr="000A026B" w:rsidRDefault="00EC75B5" w:rsidP="00941184">
            <w:pPr>
              <w:jc w:val="right"/>
              <w:rPr>
                <w:i/>
                <w:iCs/>
                <w:color w:val="000000"/>
                <w:sz w:val="20"/>
                <w:szCs w:val="20"/>
              </w:rPr>
            </w:pPr>
            <w:r>
              <w:rPr>
                <w:i/>
                <w:iCs/>
                <w:color w:val="000000"/>
                <w:sz w:val="20"/>
                <w:szCs w:val="20"/>
              </w:rPr>
              <w:t>3</w:t>
            </w:r>
            <w:r w:rsidRPr="000A026B">
              <w:rPr>
                <w:i/>
                <w:iCs/>
                <w:color w:val="000000"/>
                <w:sz w:val="20"/>
                <w:szCs w:val="20"/>
              </w:rPr>
              <w:t>,</w:t>
            </w:r>
            <w:r>
              <w:rPr>
                <w:i/>
                <w:iCs/>
                <w:color w:val="000000"/>
                <w:sz w:val="20"/>
                <w:szCs w:val="20"/>
              </w:rPr>
              <w:t>020</w:t>
            </w:r>
            <w:r w:rsidRPr="000A026B">
              <w:rPr>
                <w:i/>
                <w:iCs/>
                <w:color w:val="000000"/>
                <w:sz w:val="20"/>
                <w:szCs w:val="20"/>
              </w:rPr>
              <w:t>,</w:t>
            </w:r>
            <w:r>
              <w:rPr>
                <w:i/>
                <w:iCs/>
                <w:color w:val="000000"/>
                <w:sz w:val="20"/>
                <w:szCs w:val="20"/>
              </w:rPr>
              <w:t>23</w:t>
            </w:r>
            <w:r w:rsidRPr="000A026B">
              <w:rPr>
                <w:i/>
                <w:iCs/>
                <w:color w:val="000000"/>
                <w:sz w:val="20"/>
                <w:szCs w:val="20"/>
              </w:rPr>
              <w:t>4</w:t>
            </w:r>
          </w:p>
        </w:tc>
        <w:tc>
          <w:tcPr>
            <w:tcW w:w="1120" w:type="dxa"/>
            <w:tcBorders>
              <w:top w:val="nil"/>
              <w:left w:val="nil"/>
              <w:bottom w:val="single" w:sz="4" w:space="0" w:color="auto"/>
              <w:right w:val="single" w:sz="4" w:space="0" w:color="auto"/>
            </w:tcBorders>
            <w:shd w:val="clear" w:color="auto" w:fill="auto"/>
            <w:noWrap/>
            <w:vAlign w:val="center"/>
            <w:hideMark/>
          </w:tcPr>
          <w:p w14:paraId="08BB3757" w14:textId="04F8A9AD" w:rsidR="00EC75B5" w:rsidRPr="000A026B" w:rsidRDefault="00EC75B5" w:rsidP="00941184">
            <w:pPr>
              <w:jc w:val="center"/>
              <w:rPr>
                <w:i/>
                <w:iCs/>
                <w:color w:val="000000"/>
                <w:sz w:val="20"/>
                <w:szCs w:val="20"/>
              </w:rPr>
            </w:pPr>
            <w:r>
              <w:rPr>
                <w:i/>
                <w:iCs/>
                <w:color w:val="000000"/>
                <w:sz w:val="20"/>
                <w:szCs w:val="20"/>
              </w:rPr>
              <w:t>10</w:t>
            </w:r>
          </w:p>
        </w:tc>
        <w:tc>
          <w:tcPr>
            <w:tcW w:w="972" w:type="dxa"/>
            <w:tcBorders>
              <w:top w:val="nil"/>
              <w:left w:val="nil"/>
              <w:bottom w:val="single" w:sz="4" w:space="0" w:color="auto"/>
              <w:right w:val="single" w:sz="4" w:space="0" w:color="auto"/>
            </w:tcBorders>
            <w:shd w:val="clear" w:color="auto" w:fill="auto"/>
            <w:noWrap/>
            <w:vAlign w:val="center"/>
            <w:hideMark/>
          </w:tcPr>
          <w:p w14:paraId="1146C5DF" w14:textId="529208EB" w:rsidR="00EC75B5" w:rsidRPr="000A026B" w:rsidRDefault="00EC75B5" w:rsidP="00941184">
            <w:pPr>
              <w:jc w:val="center"/>
              <w:rPr>
                <w:i/>
                <w:iCs/>
                <w:color w:val="000000"/>
                <w:sz w:val="20"/>
                <w:szCs w:val="20"/>
              </w:rPr>
            </w:pPr>
            <w:r w:rsidRPr="000A026B">
              <w:rPr>
                <w:i/>
                <w:iCs/>
                <w:color w:val="000000"/>
                <w:sz w:val="20"/>
                <w:szCs w:val="20"/>
              </w:rPr>
              <w:t>11</w:t>
            </w:r>
          </w:p>
        </w:tc>
        <w:tc>
          <w:tcPr>
            <w:tcW w:w="1540" w:type="dxa"/>
            <w:tcBorders>
              <w:top w:val="nil"/>
              <w:left w:val="nil"/>
              <w:bottom w:val="single" w:sz="4" w:space="0" w:color="auto"/>
              <w:right w:val="single" w:sz="4" w:space="0" w:color="auto"/>
            </w:tcBorders>
            <w:shd w:val="clear" w:color="auto" w:fill="auto"/>
            <w:noWrap/>
            <w:vAlign w:val="bottom"/>
            <w:hideMark/>
          </w:tcPr>
          <w:p w14:paraId="6321B781" w14:textId="476D0C9E" w:rsidR="00EC75B5" w:rsidRPr="000A026B" w:rsidRDefault="00EC75B5" w:rsidP="00941184">
            <w:pPr>
              <w:jc w:val="center"/>
              <w:rPr>
                <w:i/>
                <w:iCs/>
                <w:color w:val="000000"/>
                <w:sz w:val="20"/>
                <w:szCs w:val="20"/>
              </w:rPr>
            </w:pPr>
            <w:r w:rsidRPr="000A026B">
              <w:rPr>
                <w:i/>
                <w:iCs/>
                <w:color w:val="000000"/>
                <w:sz w:val="20"/>
                <w:szCs w:val="20"/>
              </w:rPr>
              <w:t>Yes</w:t>
            </w:r>
          </w:p>
        </w:tc>
      </w:tr>
      <w:tr w:rsidR="00EC75B5" w:rsidRPr="000A026B" w14:paraId="0C852248"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0087E153" w14:textId="3D89DCCB" w:rsidR="00EC75B5" w:rsidRPr="001A2F6D" w:rsidRDefault="00EC75B5" w:rsidP="00941184">
            <w:pPr>
              <w:rPr>
                <w:bCs/>
                <w:color w:val="000000"/>
                <w:sz w:val="20"/>
                <w:szCs w:val="20"/>
              </w:rPr>
            </w:pPr>
            <w:r w:rsidRPr="001A2F6D">
              <w:rPr>
                <w:bCs/>
                <w:color w:val="000000"/>
                <w:sz w:val="20"/>
                <w:szCs w:val="20"/>
              </w:rPr>
              <w:t>Herrings</w:t>
            </w:r>
          </w:p>
        </w:tc>
        <w:tc>
          <w:tcPr>
            <w:tcW w:w="1116" w:type="dxa"/>
            <w:tcBorders>
              <w:top w:val="nil"/>
              <w:left w:val="nil"/>
              <w:bottom w:val="single" w:sz="4" w:space="0" w:color="auto"/>
              <w:right w:val="single" w:sz="4" w:space="0" w:color="auto"/>
            </w:tcBorders>
            <w:shd w:val="clear" w:color="auto" w:fill="auto"/>
            <w:noWrap/>
            <w:vAlign w:val="center"/>
            <w:hideMark/>
          </w:tcPr>
          <w:p w14:paraId="77DBD6BC" w14:textId="6CE837F4" w:rsidR="00EC75B5" w:rsidRPr="000A026B" w:rsidRDefault="00EC75B5" w:rsidP="00941184">
            <w:pPr>
              <w:jc w:val="right"/>
              <w:rPr>
                <w:color w:val="000000"/>
                <w:sz w:val="20"/>
                <w:szCs w:val="20"/>
              </w:rPr>
            </w:pPr>
            <w:r>
              <w:rPr>
                <w:color w:val="000000"/>
                <w:sz w:val="20"/>
                <w:szCs w:val="20"/>
              </w:rPr>
              <w:t>5</w:t>
            </w:r>
            <w:r w:rsidRPr="000A026B">
              <w:rPr>
                <w:color w:val="000000"/>
                <w:sz w:val="20"/>
                <w:szCs w:val="20"/>
              </w:rPr>
              <w:t>,</w:t>
            </w:r>
            <w:r>
              <w:rPr>
                <w:color w:val="000000"/>
                <w:sz w:val="20"/>
                <w:szCs w:val="20"/>
              </w:rPr>
              <w:t>1</w:t>
            </w:r>
            <w:r w:rsidRPr="000A026B">
              <w:rPr>
                <w:color w:val="000000"/>
                <w:sz w:val="20"/>
                <w:szCs w:val="20"/>
              </w:rPr>
              <w:t>3</w:t>
            </w:r>
            <w:r>
              <w:rPr>
                <w:color w:val="000000"/>
                <w:sz w:val="20"/>
                <w:szCs w:val="20"/>
              </w:rPr>
              <w:t>6</w:t>
            </w:r>
            <w:r w:rsidRPr="000A026B">
              <w:rPr>
                <w:color w:val="000000"/>
                <w:sz w:val="20"/>
                <w:szCs w:val="20"/>
              </w:rPr>
              <w:t>,</w:t>
            </w:r>
            <w:r>
              <w:rPr>
                <w:color w:val="000000"/>
                <w:sz w:val="20"/>
                <w:szCs w:val="20"/>
              </w:rPr>
              <w:t>521</w:t>
            </w:r>
          </w:p>
        </w:tc>
        <w:tc>
          <w:tcPr>
            <w:tcW w:w="1116" w:type="dxa"/>
            <w:tcBorders>
              <w:top w:val="nil"/>
              <w:left w:val="nil"/>
              <w:bottom w:val="single" w:sz="4" w:space="0" w:color="auto"/>
              <w:right w:val="single" w:sz="4" w:space="0" w:color="auto"/>
            </w:tcBorders>
            <w:shd w:val="clear" w:color="auto" w:fill="auto"/>
            <w:noWrap/>
            <w:vAlign w:val="center"/>
            <w:hideMark/>
          </w:tcPr>
          <w:p w14:paraId="47C9E33B" w14:textId="23B76E2C" w:rsidR="00EC75B5" w:rsidRPr="000A026B" w:rsidRDefault="00EC75B5" w:rsidP="00941184">
            <w:pPr>
              <w:jc w:val="right"/>
              <w:rPr>
                <w:color w:val="000000"/>
                <w:sz w:val="20"/>
                <w:szCs w:val="20"/>
              </w:rPr>
            </w:pPr>
            <w:r>
              <w:rPr>
                <w:color w:val="000000"/>
                <w:sz w:val="20"/>
                <w:szCs w:val="20"/>
              </w:rPr>
              <w:t>2</w:t>
            </w:r>
            <w:r w:rsidRPr="000A026B">
              <w:rPr>
                <w:color w:val="000000"/>
                <w:sz w:val="20"/>
                <w:szCs w:val="20"/>
              </w:rPr>
              <w:t>,2</w:t>
            </w:r>
            <w:r>
              <w:rPr>
                <w:color w:val="000000"/>
                <w:sz w:val="20"/>
                <w:szCs w:val="20"/>
              </w:rPr>
              <w:t>80</w:t>
            </w:r>
            <w:r w:rsidRPr="000A026B">
              <w:rPr>
                <w:color w:val="000000"/>
                <w:sz w:val="20"/>
                <w:szCs w:val="20"/>
              </w:rPr>
              <w:t>,</w:t>
            </w:r>
            <w:r>
              <w:rPr>
                <w:color w:val="000000"/>
                <w:sz w:val="20"/>
                <w:szCs w:val="20"/>
              </w:rPr>
              <w:t>8</w:t>
            </w:r>
            <w:r w:rsidRPr="000A026B">
              <w:rPr>
                <w:color w:val="000000"/>
                <w:sz w:val="20"/>
                <w:szCs w:val="20"/>
              </w:rPr>
              <w:t>3</w:t>
            </w:r>
            <w:r>
              <w:rPr>
                <w:color w:val="000000"/>
                <w:sz w:val="20"/>
                <w:szCs w:val="20"/>
              </w:rPr>
              <w:t>7</w:t>
            </w:r>
          </w:p>
        </w:tc>
        <w:tc>
          <w:tcPr>
            <w:tcW w:w="1216" w:type="dxa"/>
            <w:tcBorders>
              <w:top w:val="nil"/>
              <w:left w:val="nil"/>
              <w:bottom w:val="single" w:sz="4" w:space="0" w:color="auto"/>
              <w:right w:val="single" w:sz="4" w:space="0" w:color="auto"/>
            </w:tcBorders>
            <w:shd w:val="clear" w:color="auto" w:fill="auto"/>
            <w:noWrap/>
            <w:vAlign w:val="center"/>
            <w:hideMark/>
          </w:tcPr>
          <w:p w14:paraId="271F3A42" w14:textId="4F0A626E" w:rsidR="00EC75B5" w:rsidRPr="000A026B" w:rsidRDefault="00EC75B5" w:rsidP="00941184">
            <w:pPr>
              <w:jc w:val="right"/>
              <w:rPr>
                <w:color w:val="000000"/>
                <w:sz w:val="20"/>
                <w:szCs w:val="20"/>
              </w:rPr>
            </w:pPr>
            <w:r>
              <w:rPr>
                <w:color w:val="000000"/>
                <w:sz w:val="20"/>
                <w:szCs w:val="20"/>
              </w:rPr>
              <w:t>7</w:t>
            </w:r>
            <w:r w:rsidRPr="000A026B">
              <w:rPr>
                <w:color w:val="000000"/>
                <w:sz w:val="20"/>
                <w:szCs w:val="20"/>
              </w:rPr>
              <w:t>,</w:t>
            </w:r>
            <w:r>
              <w:rPr>
                <w:color w:val="000000"/>
                <w:sz w:val="20"/>
                <w:szCs w:val="20"/>
              </w:rPr>
              <w:t>41</w:t>
            </w:r>
            <w:r w:rsidRPr="000A026B">
              <w:rPr>
                <w:color w:val="000000"/>
                <w:sz w:val="20"/>
                <w:szCs w:val="20"/>
              </w:rPr>
              <w:t>7,</w:t>
            </w:r>
            <w:r>
              <w:rPr>
                <w:color w:val="000000"/>
                <w:sz w:val="20"/>
                <w:szCs w:val="20"/>
              </w:rPr>
              <w:t>35</w:t>
            </w:r>
            <w:r w:rsidRPr="000A026B">
              <w:rPr>
                <w:color w:val="000000"/>
                <w:sz w:val="20"/>
                <w:szCs w:val="20"/>
              </w:rPr>
              <w:t>8</w:t>
            </w:r>
          </w:p>
        </w:tc>
        <w:tc>
          <w:tcPr>
            <w:tcW w:w="1120" w:type="dxa"/>
            <w:tcBorders>
              <w:top w:val="nil"/>
              <w:left w:val="nil"/>
              <w:bottom w:val="single" w:sz="4" w:space="0" w:color="auto"/>
              <w:right w:val="single" w:sz="4" w:space="0" w:color="auto"/>
            </w:tcBorders>
            <w:shd w:val="clear" w:color="auto" w:fill="auto"/>
            <w:noWrap/>
            <w:vAlign w:val="center"/>
            <w:hideMark/>
          </w:tcPr>
          <w:p w14:paraId="740AB80F" w14:textId="5C6EE4A2" w:rsidR="00EC75B5" w:rsidRPr="000A026B" w:rsidRDefault="00EC75B5" w:rsidP="00941184">
            <w:pPr>
              <w:jc w:val="center"/>
              <w:rPr>
                <w:color w:val="000000"/>
                <w:sz w:val="20"/>
                <w:szCs w:val="20"/>
              </w:rPr>
            </w:pPr>
            <w:r>
              <w:rPr>
                <w:color w:val="000000"/>
                <w:sz w:val="20"/>
                <w:szCs w:val="20"/>
              </w:rPr>
              <w:t>2</w:t>
            </w:r>
          </w:p>
        </w:tc>
        <w:tc>
          <w:tcPr>
            <w:tcW w:w="972" w:type="dxa"/>
            <w:tcBorders>
              <w:top w:val="nil"/>
              <w:left w:val="nil"/>
              <w:bottom w:val="single" w:sz="4" w:space="0" w:color="auto"/>
              <w:right w:val="single" w:sz="4" w:space="0" w:color="auto"/>
            </w:tcBorders>
            <w:shd w:val="clear" w:color="auto" w:fill="auto"/>
            <w:noWrap/>
            <w:vAlign w:val="center"/>
            <w:hideMark/>
          </w:tcPr>
          <w:p w14:paraId="5A441F98" w14:textId="2546106A" w:rsidR="00EC75B5" w:rsidRPr="000A026B" w:rsidRDefault="00EC75B5" w:rsidP="00941184">
            <w:pPr>
              <w:jc w:val="center"/>
              <w:rPr>
                <w:color w:val="000000"/>
                <w:sz w:val="20"/>
                <w:szCs w:val="20"/>
              </w:rPr>
            </w:pPr>
            <w:r w:rsidRPr="000A026B">
              <w:rPr>
                <w:color w:val="000000"/>
                <w:sz w:val="20"/>
                <w:szCs w:val="20"/>
              </w:rPr>
              <w:t>1</w:t>
            </w:r>
            <w:r>
              <w:rPr>
                <w:color w:val="000000"/>
                <w:sz w:val="20"/>
                <w:szCs w:val="20"/>
              </w:rPr>
              <w:t>0</w:t>
            </w:r>
          </w:p>
        </w:tc>
        <w:tc>
          <w:tcPr>
            <w:tcW w:w="1540" w:type="dxa"/>
            <w:tcBorders>
              <w:top w:val="nil"/>
              <w:left w:val="nil"/>
              <w:bottom w:val="single" w:sz="4" w:space="0" w:color="auto"/>
              <w:right w:val="single" w:sz="4" w:space="0" w:color="auto"/>
            </w:tcBorders>
            <w:shd w:val="clear" w:color="auto" w:fill="auto"/>
            <w:noWrap/>
            <w:vAlign w:val="bottom"/>
            <w:hideMark/>
          </w:tcPr>
          <w:p w14:paraId="027CE5B6" w14:textId="0BF08C20" w:rsidR="00EC75B5" w:rsidRPr="000A026B" w:rsidRDefault="00EC75B5" w:rsidP="00941184">
            <w:pPr>
              <w:jc w:val="center"/>
              <w:rPr>
                <w:color w:val="000000"/>
                <w:sz w:val="20"/>
                <w:szCs w:val="20"/>
              </w:rPr>
            </w:pPr>
            <w:r w:rsidRPr="000A026B">
              <w:rPr>
                <w:color w:val="000000"/>
                <w:sz w:val="20"/>
                <w:szCs w:val="20"/>
              </w:rPr>
              <w:t>No</w:t>
            </w:r>
          </w:p>
        </w:tc>
      </w:tr>
      <w:tr w:rsidR="00EC75B5" w:rsidRPr="000A026B" w14:paraId="22F0F8F9"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6A80C93F" w14:textId="263C6465" w:rsidR="00EC75B5" w:rsidRPr="001A2F6D" w:rsidRDefault="00EC75B5" w:rsidP="00941184">
            <w:pPr>
              <w:rPr>
                <w:bCs/>
                <w:i/>
                <w:iCs/>
                <w:color w:val="000000"/>
                <w:sz w:val="20"/>
                <w:szCs w:val="20"/>
              </w:rPr>
            </w:pPr>
            <w:r w:rsidRPr="001A2F6D">
              <w:rPr>
                <w:bCs/>
                <w:i/>
                <w:iCs/>
                <w:color w:val="000000"/>
                <w:sz w:val="20"/>
                <w:szCs w:val="20"/>
              </w:rPr>
              <w:t>Jacks</w:t>
            </w:r>
          </w:p>
        </w:tc>
        <w:tc>
          <w:tcPr>
            <w:tcW w:w="1116" w:type="dxa"/>
            <w:tcBorders>
              <w:top w:val="nil"/>
              <w:left w:val="nil"/>
              <w:bottom w:val="single" w:sz="4" w:space="0" w:color="auto"/>
              <w:right w:val="single" w:sz="4" w:space="0" w:color="auto"/>
            </w:tcBorders>
            <w:shd w:val="clear" w:color="auto" w:fill="auto"/>
            <w:noWrap/>
            <w:vAlign w:val="center"/>
            <w:hideMark/>
          </w:tcPr>
          <w:p w14:paraId="69B56358" w14:textId="75E43614" w:rsidR="00EC75B5" w:rsidRPr="000A026B" w:rsidRDefault="00EC75B5" w:rsidP="00941184">
            <w:pPr>
              <w:jc w:val="right"/>
              <w:rPr>
                <w:i/>
                <w:iCs/>
                <w:color w:val="000000"/>
                <w:sz w:val="20"/>
                <w:szCs w:val="20"/>
              </w:rPr>
            </w:pPr>
            <w:r w:rsidRPr="000A026B">
              <w:rPr>
                <w:i/>
                <w:iCs/>
                <w:color w:val="000000"/>
                <w:sz w:val="20"/>
                <w:szCs w:val="20"/>
              </w:rPr>
              <w:t>2,</w:t>
            </w:r>
            <w:r>
              <w:rPr>
                <w:i/>
                <w:iCs/>
                <w:color w:val="000000"/>
                <w:sz w:val="20"/>
                <w:szCs w:val="20"/>
              </w:rPr>
              <w:t>341</w:t>
            </w:r>
            <w:r w:rsidRPr="000A026B">
              <w:rPr>
                <w:i/>
                <w:iCs/>
                <w:color w:val="000000"/>
                <w:sz w:val="20"/>
                <w:szCs w:val="20"/>
              </w:rPr>
              <w:t>,</w:t>
            </w:r>
            <w:r>
              <w:rPr>
                <w:i/>
                <w:iCs/>
                <w:color w:val="000000"/>
                <w:sz w:val="20"/>
                <w:szCs w:val="20"/>
              </w:rPr>
              <w:t>1</w:t>
            </w:r>
            <w:r w:rsidRPr="000A026B">
              <w:rPr>
                <w:i/>
                <w:iCs/>
                <w:color w:val="000000"/>
                <w:sz w:val="20"/>
                <w:szCs w:val="20"/>
              </w:rPr>
              <w:t>8</w:t>
            </w:r>
            <w:r>
              <w:rPr>
                <w:i/>
                <w:iCs/>
                <w:color w:val="000000"/>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14:paraId="6EB12658" w14:textId="4EFB90BB" w:rsidR="00EC75B5" w:rsidRPr="000A026B" w:rsidRDefault="00EC75B5" w:rsidP="00941184">
            <w:pPr>
              <w:jc w:val="right"/>
              <w:rPr>
                <w:i/>
                <w:iCs/>
                <w:color w:val="000000"/>
                <w:sz w:val="20"/>
                <w:szCs w:val="20"/>
              </w:rPr>
            </w:pPr>
            <w:r w:rsidRPr="000A026B">
              <w:rPr>
                <w:i/>
                <w:iCs/>
                <w:color w:val="000000"/>
                <w:sz w:val="20"/>
                <w:szCs w:val="20"/>
              </w:rPr>
              <w:t>4,</w:t>
            </w:r>
            <w:r>
              <w:rPr>
                <w:i/>
                <w:iCs/>
                <w:color w:val="000000"/>
                <w:sz w:val="20"/>
                <w:szCs w:val="20"/>
              </w:rPr>
              <w:t>52</w:t>
            </w:r>
            <w:r w:rsidRPr="000A026B">
              <w:rPr>
                <w:i/>
                <w:iCs/>
                <w:color w:val="000000"/>
                <w:sz w:val="20"/>
                <w:szCs w:val="20"/>
              </w:rPr>
              <w:t>2,</w:t>
            </w:r>
            <w:r>
              <w:rPr>
                <w:i/>
                <w:iCs/>
                <w:color w:val="000000"/>
                <w:sz w:val="20"/>
                <w:szCs w:val="20"/>
              </w:rPr>
              <w:t>740</w:t>
            </w:r>
          </w:p>
        </w:tc>
        <w:tc>
          <w:tcPr>
            <w:tcW w:w="1216" w:type="dxa"/>
            <w:tcBorders>
              <w:top w:val="nil"/>
              <w:left w:val="nil"/>
              <w:bottom w:val="single" w:sz="4" w:space="0" w:color="auto"/>
              <w:right w:val="single" w:sz="4" w:space="0" w:color="auto"/>
            </w:tcBorders>
            <w:shd w:val="clear" w:color="auto" w:fill="auto"/>
            <w:noWrap/>
            <w:vAlign w:val="center"/>
            <w:hideMark/>
          </w:tcPr>
          <w:p w14:paraId="1D18F615" w14:textId="23EC2C54" w:rsidR="00EC75B5" w:rsidRPr="000A026B" w:rsidRDefault="00EC75B5" w:rsidP="00941184">
            <w:pPr>
              <w:jc w:val="right"/>
              <w:rPr>
                <w:i/>
                <w:iCs/>
                <w:color w:val="000000"/>
                <w:sz w:val="20"/>
                <w:szCs w:val="20"/>
              </w:rPr>
            </w:pPr>
            <w:r>
              <w:rPr>
                <w:i/>
                <w:iCs/>
                <w:color w:val="000000"/>
                <w:sz w:val="20"/>
                <w:szCs w:val="20"/>
              </w:rPr>
              <w:t>6</w:t>
            </w:r>
            <w:r w:rsidRPr="000A026B">
              <w:rPr>
                <w:i/>
                <w:iCs/>
                <w:color w:val="000000"/>
                <w:sz w:val="20"/>
                <w:szCs w:val="20"/>
              </w:rPr>
              <w:t>,8</w:t>
            </w:r>
            <w:r>
              <w:rPr>
                <w:i/>
                <w:iCs/>
                <w:color w:val="000000"/>
                <w:sz w:val="20"/>
                <w:szCs w:val="20"/>
              </w:rPr>
              <w:t>63</w:t>
            </w:r>
            <w:r w:rsidRPr="000A026B">
              <w:rPr>
                <w:i/>
                <w:iCs/>
                <w:color w:val="000000"/>
                <w:sz w:val="20"/>
                <w:szCs w:val="20"/>
              </w:rPr>
              <w:t>,9</w:t>
            </w:r>
            <w:r>
              <w:rPr>
                <w:i/>
                <w:iCs/>
                <w:color w:val="000000"/>
                <w:sz w:val="20"/>
                <w:szCs w:val="20"/>
              </w:rPr>
              <w:t>20</w:t>
            </w:r>
          </w:p>
        </w:tc>
        <w:tc>
          <w:tcPr>
            <w:tcW w:w="1120" w:type="dxa"/>
            <w:tcBorders>
              <w:top w:val="nil"/>
              <w:left w:val="nil"/>
              <w:bottom w:val="single" w:sz="4" w:space="0" w:color="auto"/>
              <w:right w:val="single" w:sz="4" w:space="0" w:color="auto"/>
            </w:tcBorders>
            <w:shd w:val="clear" w:color="auto" w:fill="auto"/>
            <w:noWrap/>
            <w:vAlign w:val="center"/>
            <w:hideMark/>
          </w:tcPr>
          <w:p w14:paraId="61A53DB2" w14:textId="366D568D" w:rsidR="00EC75B5" w:rsidRPr="000A026B" w:rsidRDefault="00EC75B5" w:rsidP="00941184">
            <w:pPr>
              <w:jc w:val="center"/>
              <w:rPr>
                <w:i/>
                <w:iCs/>
                <w:color w:val="000000"/>
                <w:sz w:val="20"/>
                <w:szCs w:val="20"/>
              </w:rPr>
            </w:pPr>
            <w:r w:rsidRPr="000A026B">
              <w:rPr>
                <w:i/>
                <w:iCs/>
                <w:color w:val="000000"/>
                <w:sz w:val="20"/>
                <w:szCs w:val="20"/>
              </w:rPr>
              <w:t>4</w:t>
            </w:r>
          </w:p>
        </w:tc>
        <w:tc>
          <w:tcPr>
            <w:tcW w:w="972" w:type="dxa"/>
            <w:tcBorders>
              <w:top w:val="nil"/>
              <w:left w:val="nil"/>
              <w:bottom w:val="single" w:sz="4" w:space="0" w:color="auto"/>
              <w:right w:val="single" w:sz="4" w:space="0" w:color="auto"/>
            </w:tcBorders>
            <w:shd w:val="clear" w:color="auto" w:fill="auto"/>
            <w:noWrap/>
            <w:vAlign w:val="center"/>
            <w:hideMark/>
          </w:tcPr>
          <w:p w14:paraId="1B3CCD1A" w14:textId="1B9E365E" w:rsidR="00EC75B5" w:rsidRPr="000A026B" w:rsidRDefault="00EC75B5" w:rsidP="00941184">
            <w:pPr>
              <w:jc w:val="center"/>
              <w:rPr>
                <w:i/>
                <w:iCs/>
                <w:color w:val="000000"/>
                <w:sz w:val="20"/>
                <w:szCs w:val="20"/>
              </w:rPr>
            </w:pPr>
            <w:r w:rsidRPr="000A026B">
              <w:rPr>
                <w:i/>
                <w:iCs/>
                <w:color w:val="000000"/>
                <w:sz w:val="20"/>
                <w:szCs w:val="20"/>
              </w:rPr>
              <w:t>4</w:t>
            </w:r>
          </w:p>
        </w:tc>
        <w:tc>
          <w:tcPr>
            <w:tcW w:w="1540" w:type="dxa"/>
            <w:tcBorders>
              <w:top w:val="nil"/>
              <w:left w:val="nil"/>
              <w:bottom w:val="single" w:sz="4" w:space="0" w:color="auto"/>
              <w:right w:val="single" w:sz="4" w:space="0" w:color="auto"/>
            </w:tcBorders>
            <w:shd w:val="clear" w:color="auto" w:fill="auto"/>
            <w:noWrap/>
            <w:vAlign w:val="bottom"/>
            <w:hideMark/>
          </w:tcPr>
          <w:p w14:paraId="06952675" w14:textId="1F987124" w:rsidR="00EC75B5" w:rsidRPr="000A026B" w:rsidRDefault="00EC75B5" w:rsidP="00941184">
            <w:pPr>
              <w:jc w:val="center"/>
              <w:rPr>
                <w:i/>
                <w:iCs/>
                <w:color w:val="000000"/>
                <w:sz w:val="20"/>
                <w:szCs w:val="20"/>
              </w:rPr>
            </w:pPr>
            <w:r w:rsidRPr="000A026B">
              <w:rPr>
                <w:i/>
                <w:iCs/>
                <w:color w:val="000000"/>
                <w:sz w:val="20"/>
                <w:szCs w:val="20"/>
              </w:rPr>
              <w:t>Yes</w:t>
            </w:r>
          </w:p>
        </w:tc>
      </w:tr>
      <w:tr w:rsidR="00EC75B5" w:rsidRPr="000A026B" w14:paraId="0AF10F40"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118C3137" w14:textId="36394660" w:rsidR="00EC75B5" w:rsidRPr="001A2F6D" w:rsidRDefault="00EC75B5" w:rsidP="00941184">
            <w:pPr>
              <w:rPr>
                <w:bCs/>
                <w:color w:val="000000"/>
                <w:sz w:val="20"/>
                <w:szCs w:val="20"/>
              </w:rPr>
            </w:pPr>
            <w:r w:rsidRPr="001A2F6D">
              <w:rPr>
                <w:bCs/>
                <w:color w:val="000000"/>
                <w:sz w:val="20"/>
                <w:szCs w:val="20"/>
              </w:rPr>
              <w:t>Mullets</w:t>
            </w:r>
          </w:p>
        </w:tc>
        <w:tc>
          <w:tcPr>
            <w:tcW w:w="1116" w:type="dxa"/>
            <w:tcBorders>
              <w:top w:val="nil"/>
              <w:left w:val="nil"/>
              <w:bottom w:val="single" w:sz="4" w:space="0" w:color="auto"/>
              <w:right w:val="single" w:sz="4" w:space="0" w:color="auto"/>
            </w:tcBorders>
            <w:shd w:val="clear" w:color="auto" w:fill="auto"/>
            <w:noWrap/>
            <w:vAlign w:val="center"/>
            <w:hideMark/>
          </w:tcPr>
          <w:p w14:paraId="4A48CCC4" w14:textId="4E4D919D" w:rsidR="00EC75B5" w:rsidRPr="000A026B" w:rsidRDefault="00EC75B5" w:rsidP="00941184">
            <w:pPr>
              <w:jc w:val="right"/>
              <w:rPr>
                <w:color w:val="000000"/>
                <w:sz w:val="20"/>
                <w:szCs w:val="20"/>
              </w:rPr>
            </w:pPr>
            <w:r>
              <w:rPr>
                <w:color w:val="000000"/>
                <w:sz w:val="20"/>
                <w:szCs w:val="20"/>
              </w:rPr>
              <w:t>4</w:t>
            </w:r>
            <w:r w:rsidRPr="000A026B">
              <w:rPr>
                <w:color w:val="000000"/>
                <w:sz w:val="20"/>
                <w:szCs w:val="20"/>
              </w:rPr>
              <w:t>,39</w:t>
            </w:r>
            <w:r>
              <w:rPr>
                <w:color w:val="000000"/>
                <w:sz w:val="20"/>
                <w:szCs w:val="20"/>
              </w:rPr>
              <w:t>0</w:t>
            </w:r>
            <w:r w:rsidRPr="000A026B">
              <w:rPr>
                <w:color w:val="000000"/>
                <w:sz w:val="20"/>
                <w:szCs w:val="20"/>
              </w:rPr>
              <w:t>,</w:t>
            </w:r>
            <w:r>
              <w:rPr>
                <w:color w:val="000000"/>
                <w:sz w:val="20"/>
                <w:szCs w:val="20"/>
              </w:rPr>
              <w:t>73</w:t>
            </w:r>
            <w:r w:rsidRPr="000A026B">
              <w:rPr>
                <w:color w:val="000000"/>
                <w:sz w:val="20"/>
                <w:szCs w:val="20"/>
              </w:rPr>
              <w:t>4</w:t>
            </w:r>
          </w:p>
        </w:tc>
        <w:tc>
          <w:tcPr>
            <w:tcW w:w="1116" w:type="dxa"/>
            <w:tcBorders>
              <w:top w:val="nil"/>
              <w:left w:val="nil"/>
              <w:bottom w:val="single" w:sz="4" w:space="0" w:color="auto"/>
              <w:right w:val="single" w:sz="4" w:space="0" w:color="auto"/>
            </w:tcBorders>
            <w:shd w:val="clear" w:color="auto" w:fill="auto"/>
            <w:noWrap/>
            <w:vAlign w:val="center"/>
            <w:hideMark/>
          </w:tcPr>
          <w:p w14:paraId="65E46779" w14:textId="10D80B7B" w:rsidR="00EC75B5" w:rsidRPr="000A026B" w:rsidRDefault="00EC75B5" w:rsidP="00941184">
            <w:pPr>
              <w:jc w:val="right"/>
              <w:rPr>
                <w:color w:val="000000"/>
                <w:sz w:val="20"/>
                <w:szCs w:val="20"/>
              </w:rPr>
            </w:pPr>
            <w:r w:rsidRPr="000A026B">
              <w:rPr>
                <w:color w:val="000000"/>
                <w:sz w:val="20"/>
                <w:szCs w:val="20"/>
              </w:rPr>
              <w:t>1,9</w:t>
            </w:r>
            <w:r>
              <w:rPr>
                <w:color w:val="000000"/>
                <w:sz w:val="20"/>
                <w:szCs w:val="20"/>
              </w:rPr>
              <w:t>24</w:t>
            </w:r>
            <w:r w:rsidRPr="000A026B">
              <w:rPr>
                <w:color w:val="000000"/>
                <w:sz w:val="20"/>
                <w:szCs w:val="20"/>
              </w:rPr>
              <w:t>,</w:t>
            </w:r>
            <w:r>
              <w:rPr>
                <w:color w:val="000000"/>
                <w:sz w:val="20"/>
                <w:szCs w:val="20"/>
              </w:rPr>
              <w:t>485</w:t>
            </w:r>
          </w:p>
        </w:tc>
        <w:tc>
          <w:tcPr>
            <w:tcW w:w="1216" w:type="dxa"/>
            <w:tcBorders>
              <w:top w:val="nil"/>
              <w:left w:val="nil"/>
              <w:bottom w:val="single" w:sz="4" w:space="0" w:color="auto"/>
              <w:right w:val="single" w:sz="4" w:space="0" w:color="auto"/>
            </w:tcBorders>
            <w:shd w:val="clear" w:color="auto" w:fill="auto"/>
            <w:noWrap/>
            <w:vAlign w:val="center"/>
            <w:hideMark/>
          </w:tcPr>
          <w:p w14:paraId="066278DC" w14:textId="4B3D202F" w:rsidR="00EC75B5" w:rsidRPr="000A026B" w:rsidRDefault="00EC75B5" w:rsidP="00941184">
            <w:pPr>
              <w:jc w:val="right"/>
              <w:rPr>
                <w:color w:val="000000"/>
                <w:sz w:val="20"/>
                <w:szCs w:val="20"/>
              </w:rPr>
            </w:pPr>
            <w:r>
              <w:rPr>
                <w:color w:val="000000"/>
                <w:sz w:val="20"/>
                <w:szCs w:val="20"/>
              </w:rPr>
              <w:t>6</w:t>
            </w:r>
            <w:r w:rsidRPr="000A026B">
              <w:rPr>
                <w:color w:val="000000"/>
                <w:sz w:val="20"/>
                <w:szCs w:val="20"/>
              </w:rPr>
              <w:t>,3</w:t>
            </w:r>
            <w:r>
              <w:rPr>
                <w:color w:val="000000"/>
                <w:sz w:val="20"/>
                <w:szCs w:val="20"/>
              </w:rPr>
              <w:t>15</w:t>
            </w:r>
            <w:r w:rsidRPr="000A026B">
              <w:rPr>
                <w:color w:val="000000"/>
                <w:sz w:val="20"/>
                <w:szCs w:val="20"/>
              </w:rPr>
              <w:t>,</w:t>
            </w:r>
            <w:r>
              <w:rPr>
                <w:color w:val="000000"/>
                <w:sz w:val="20"/>
                <w:szCs w:val="20"/>
              </w:rPr>
              <w:t>219</w:t>
            </w:r>
          </w:p>
        </w:tc>
        <w:tc>
          <w:tcPr>
            <w:tcW w:w="1120" w:type="dxa"/>
            <w:tcBorders>
              <w:top w:val="nil"/>
              <w:left w:val="nil"/>
              <w:bottom w:val="single" w:sz="4" w:space="0" w:color="auto"/>
              <w:right w:val="single" w:sz="4" w:space="0" w:color="auto"/>
            </w:tcBorders>
            <w:shd w:val="clear" w:color="auto" w:fill="auto"/>
            <w:noWrap/>
            <w:vAlign w:val="center"/>
            <w:hideMark/>
          </w:tcPr>
          <w:p w14:paraId="0AC3329E" w14:textId="03089540" w:rsidR="00EC75B5" w:rsidRPr="000A026B" w:rsidRDefault="00EC75B5" w:rsidP="00941184">
            <w:pPr>
              <w:jc w:val="center"/>
              <w:rPr>
                <w:color w:val="000000"/>
                <w:sz w:val="20"/>
                <w:szCs w:val="20"/>
              </w:rPr>
            </w:pPr>
            <w:r>
              <w:rPr>
                <w:color w:val="000000"/>
                <w:sz w:val="20"/>
                <w:szCs w:val="20"/>
              </w:rPr>
              <w:t>3</w:t>
            </w:r>
          </w:p>
        </w:tc>
        <w:tc>
          <w:tcPr>
            <w:tcW w:w="972" w:type="dxa"/>
            <w:tcBorders>
              <w:top w:val="nil"/>
              <w:left w:val="nil"/>
              <w:bottom w:val="single" w:sz="4" w:space="0" w:color="auto"/>
              <w:right w:val="single" w:sz="4" w:space="0" w:color="auto"/>
            </w:tcBorders>
            <w:shd w:val="clear" w:color="auto" w:fill="auto"/>
            <w:noWrap/>
            <w:vAlign w:val="center"/>
            <w:hideMark/>
          </w:tcPr>
          <w:p w14:paraId="7D798EB1" w14:textId="7B527A7C" w:rsidR="00EC75B5" w:rsidRPr="000A026B" w:rsidRDefault="00EC75B5" w:rsidP="00941184">
            <w:pPr>
              <w:jc w:val="center"/>
              <w:rPr>
                <w:color w:val="000000"/>
                <w:sz w:val="20"/>
                <w:szCs w:val="20"/>
              </w:rPr>
            </w:pPr>
            <w:r w:rsidRPr="000A026B">
              <w:rPr>
                <w:color w:val="000000"/>
                <w:sz w:val="20"/>
                <w:szCs w:val="20"/>
              </w:rPr>
              <w:t>1</w:t>
            </w:r>
            <w:r>
              <w:rPr>
                <w:color w:val="000000"/>
                <w:sz w:val="20"/>
                <w:szCs w:val="20"/>
              </w:rPr>
              <w:t>2</w:t>
            </w:r>
          </w:p>
        </w:tc>
        <w:tc>
          <w:tcPr>
            <w:tcW w:w="1540" w:type="dxa"/>
            <w:tcBorders>
              <w:top w:val="nil"/>
              <w:left w:val="nil"/>
              <w:bottom w:val="single" w:sz="4" w:space="0" w:color="auto"/>
              <w:right w:val="single" w:sz="4" w:space="0" w:color="auto"/>
            </w:tcBorders>
            <w:shd w:val="clear" w:color="auto" w:fill="auto"/>
            <w:noWrap/>
            <w:vAlign w:val="bottom"/>
            <w:hideMark/>
          </w:tcPr>
          <w:p w14:paraId="3B641E74" w14:textId="2631D6C5" w:rsidR="00EC75B5" w:rsidRPr="000A026B" w:rsidRDefault="00EC75B5" w:rsidP="00941184">
            <w:pPr>
              <w:jc w:val="center"/>
              <w:rPr>
                <w:color w:val="000000"/>
                <w:sz w:val="20"/>
                <w:szCs w:val="20"/>
              </w:rPr>
            </w:pPr>
            <w:r w:rsidRPr="000A026B">
              <w:rPr>
                <w:color w:val="000000"/>
                <w:sz w:val="20"/>
                <w:szCs w:val="20"/>
              </w:rPr>
              <w:t>No</w:t>
            </w:r>
          </w:p>
        </w:tc>
      </w:tr>
      <w:tr w:rsidR="00EC75B5" w:rsidRPr="000A026B" w14:paraId="3233D207"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5CE2CC2F" w14:textId="61090760" w:rsidR="00EC75B5" w:rsidRPr="001A2F6D" w:rsidRDefault="00EC75B5" w:rsidP="00941184">
            <w:pPr>
              <w:rPr>
                <w:bCs/>
                <w:i/>
                <w:iCs/>
                <w:color w:val="000000"/>
                <w:sz w:val="20"/>
                <w:szCs w:val="20"/>
              </w:rPr>
            </w:pPr>
            <w:r w:rsidRPr="001A2F6D">
              <w:rPr>
                <w:bCs/>
                <w:i/>
                <w:iCs/>
                <w:color w:val="000000"/>
                <w:sz w:val="20"/>
                <w:szCs w:val="20"/>
              </w:rPr>
              <w:t>Porgies</w:t>
            </w:r>
          </w:p>
        </w:tc>
        <w:tc>
          <w:tcPr>
            <w:tcW w:w="1116" w:type="dxa"/>
            <w:tcBorders>
              <w:top w:val="nil"/>
              <w:left w:val="nil"/>
              <w:bottom w:val="single" w:sz="4" w:space="0" w:color="auto"/>
              <w:right w:val="single" w:sz="4" w:space="0" w:color="auto"/>
            </w:tcBorders>
            <w:shd w:val="clear" w:color="auto" w:fill="auto"/>
            <w:noWrap/>
            <w:vAlign w:val="center"/>
            <w:hideMark/>
          </w:tcPr>
          <w:p w14:paraId="03C02149" w14:textId="326CD67A" w:rsidR="00EC75B5" w:rsidRPr="000A026B" w:rsidRDefault="00EC75B5" w:rsidP="00941184">
            <w:pPr>
              <w:jc w:val="right"/>
              <w:rPr>
                <w:i/>
                <w:iCs/>
                <w:color w:val="000000"/>
                <w:sz w:val="20"/>
                <w:szCs w:val="20"/>
              </w:rPr>
            </w:pPr>
            <w:r w:rsidRPr="000A026B">
              <w:rPr>
                <w:i/>
                <w:iCs/>
                <w:color w:val="000000"/>
                <w:sz w:val="20"/>
                <w:szCs w:val="20"/>
              </w:rPr>
              <w:t>1,</w:t>
            </w:r>
            <w:r>
              <w:rPr>
                <w:i/>
                <w:iCs/>
                <w:color w:val="000000"/>
                <w:sz w:val="20"/>
                <w:szCs w:val="20"/>
              </w:rPr>
              <w:t>86</w:t>
            </w:r>
            <w:r w:rsidRPr="000A026B">
              <w:rPr>
                <w:i/>
                <w:iCs/>
                <w:color w:val="000000"/>
                <w:sz w:val="20"/>
                <w:szCs w:val="20"/>
              </w:rPr>
              <w:t>6,</w:t>
            </w:r>
            <w:r>
              <w:rPr>
                <w:i/>
                <w:iCs/>
                <w:color w:val="000000"/>
                <w:sz w:val="20"/>
                <w:szCs w:val="20"/>
              </w:rPr>
              <w:t>688</w:t>
            </w:r>
          </w:p>
        </w:tc>
        <w:tc>
          <w:tcPr>
            <w:tcW w:w="1116" w:type="dxa"/>
            <w:tcBorders>
              <w:top w:val="nil"/>
              <w:left w:val="nil"/>
              <w:bottom w:val="single" w:sz="4" w:space="0" w:color="auto"/>
              <w:right w:val="single" w:sz="4" w:space="0" w:color="auto"/>
            </w:tcBorders>
            <w:shd w:val="clear" w:color="auto" w:fill="auto"/>
            <w:noWrap/>
            <w:vAlign w:val="center"/>
            <w:hideMark/>
          </w:tcPr>
          <w:p w14:paraId="7CC9AACF" w14:textId="146CCFAE" w:rsidR="00EC75B5" w:rsidRPr="000A026B" w:rsidRDefault="00EC75B5" w:rsidP="00941184">
            <w:pPr>
              <w:jc w:val="right"/>
              <w:rPr>
                <w:i/>
                <w:iCs/>
                <w:color w:val="000000"/>
                <w:sz w:val="20"/>
                <w:szCs w:val="20"/>
              </w:rPr>
            </w:pPr>
            <w:r>
              <w:rPr>
                <w:i/>
                <w:iCs/>
                <w:color w:val="000000"/>
                <w:sz w:val="20"/>
                <w:szCs w:val="20"/>
              </w:rPr>
              <w:t>8</w:t>
            </w:r>
            <w:r w:rsidRPr="000A026B">
              <w:rPr>
                <w:i/>
                <w:iCs/>
                <w:color w:val="000000"/>
                <w:sz w:val="20"/>
                <w:szCs w:val="20"/>
              </w:rPr>
              <w:t>,</w:t>
            </w:r>
            <w:r>
              <w:rPr>
                <w:i/>
                <w:iCs/>
                <w:color w:val="000000"/>
                <w:sz w:val="20"/>
                <w:szCs w:val="20"/>
              </w:rPr>
              <w:t>32</w:t>
            </w:r>
            <w:r w:rsidRPr="000A026B">
              <w:rPr>
                <w:i/>
                <w:iCs/>
                <w:color w:val="000000"/>
                <w:sz w:val="20"/>
                <w:szCs w:val="20"/>
              </w:rPr>
              <w:t>4,</w:t>
            </w:r>
            <w:r>
              <w:rPr>
                <w:i/>
                <w:iCs/>
                <w:color w:val="000000"/>
                <w:sz w:val="20"/>
                <w:szCs w:val="20"/>
              </w:rPr>
              <w:t>149</w:t>
            </w:r>
          </w:p>
        </w:tc>
        <w:tc>
          <w:tcPr>
            <w:tcW w:w="1216" w:type="dxa"/>
            <w:tcBorders>
              <w:top w:val="nil"/>
              <w:left w:val="nil"/>
              <w:bottom w:val="single" w:sz="4" w:space="0" w:color="auto"/>
              <w:right w:val="single" w:sz="4" w:space="0" w:color="auto"/>
            </w:tcBorders>
            <w:shd w:val="clear" w:color="auto" w:fill="auto"/>
            <w:noWrap/>
            <w:vAlign w:val="center"/>
            <w:hideMark/>
          </w:tcPr>
          <w:p w14:paraId="5FAAB75E" w14:textId="2D67F305" w:rsidR="00EC75B5" w:rsidRPr="000A026B" w:rsidRDefault="00EC75B5" w:rsidP="00941184">
            <w:pPr>
              <w:jc w:val="right"/>
              <w:rPr>
                <w:i/>
                <w:iCs/>
                <w:color w:val="000000"/>
                <w:sz w:val="20"/>
                <w:szCs w:val="20"/>
              </w:rPr>
            </w:pPr>
            <w:r>
              <w:rPr>
                <w:i/>
                <w:iCs/>
                <w:color w:val="000000"/>
                <w:sz w:val="20"/>
                <w:szCs w:val="20"/>
              </w:rPr>
              <w:t>10</w:t>
            </w:r>
            <w:r w:rsidRPr="000A026B">
              <w:rPr>
                <w:i/>
                <w:iCs/>
                <w:color w:val="000000"/>
                <w:sz w:val="20"/>
                <w:szCs w:val="20"/>
              </w:rPr>
              <w:t>,</w:t>
            </w:r>
            <w:r>
              <w:rPr>
                <w:i/>
                <w:iCs/>
                <w:color w:val="000000"/>
                <w:sz w:val="20"/>
                <w:szCs w:val="20"/>
              </w:rPr>
              <w:t>190</w:t>
            </w:r>
            <w:r w:rsidRPr="000A026B">
              <w:rPr>
                <w:i/>
                <w:iCs/>
                <w:color w:val="000000"/>
                <w:sz w:val="20"/>
                <w:szCs w:val="20"/>
              </w:rPr>
              <w:t>,8</w:t>
            </w:r>
            <w:r>
              <w:rPr>
                <w:i/>
                <w:iCs/>
                <w:color w:val="000000"/>
                <w:sz w:val="20"/>
                <w:szCs w:val="20"/>
              </w:rPr>
              <w:t>37</w:t>
            </w:r>
          </w:p>
        </w:tc>
        <w:tc>
          <w:tcPr>
            <w:tcW w:w="1120" w:type="dxa"/>
            <w:tcBorders>
              <w:top w:val="nil"/>
              <w:left w:val="nil"/>
              <w:bottom w:val="single" w:sz="4" w:space="0" w:color="auto"/>
              <w:right w:val="single" w:sz="4" w:space="0" w:color="auto"/>
            </w:tcBorders>
            <w:shd w:val="clear" w:color="auto" w:fill="auto"/>
            <w:noWrap/>
            <w:vAlign w:val="center"/>
            <w:hideMark/>
          </w:tcPr>
          <w:p w14:paraId="334967D7" w14:textId="07E2D220" w:rsidR="00EC75B5" w:rsidRPr="000A026B" w:rsidRDefault="00EC75B5" w:rsidP="00941184">
            <w:pPr>
              <w:jc w:val="center"/>
              <w:rPr>
                <w:i/>
                <w:iCs/>
                <w:color w:val="000000"/>
                <w:sz w:val="20"/>
                <w:szCs w:val="20"/>
              </w:rPr>
            </w:pPr>
            <w:r>
              <w:rPr>
                <w:i/>
                <w:iCs/>
                <w:color w:val="000000"/>
                <w:sz w:val="20"/>
                <w:szCs w:val="20"/>
              </w:rPr>
              <w:t>5</w:t>
            </w:r>
          </w:p>
        </w:tc>
        <w:tc>
          <w:tcPr>
            <w:tcW w:w="972" w:type="dxa"/>
            <w:tcBorders>
              <w:top w:val="nil"/>
              <w:left w:val="nil"/>
              <w:bottom w:val="single" w:sz="4" w:space="0" w:color="auto"/>
              <w:right w:val="single" w:sz="4" w:space="0" w:color="auto"/>
            </w:tcBorders>
            <w:shd w:val="clear" w:color="auto" w:fill="auto"/>
            <w:noWrap/>
            <w:vAlign w:val="center"/>
            <w:hideMark/>
          </w:tcPr>
          <w:p w14:paraId="22218304" w14:textId="23A3B7CB" w:rsidR="00EC75B5" w:rsidRPr="000A026B" w:rsidRDefault="00EC75B5" w:rsidP="00941184">
            <w:pPr>
              <w:jc w:val="center"/>
              <w:rPr>
                <w:i/>
                <w:iCs/>
                <w:color w:val="000000"/>
                <w:sz w:val="20"/>
                <w:szCs w:val="20"/>
              </w:rPr>
            </w:pPr>
            <w:r w:rsidRPr="000A026B">
              <w:rPr>
                <w:i/>
                <w:iCs/>
                <w:color w:val="000000"/>
                <w:sz w:val="20"/>
                <w:szCs w:val="20"/>
              </w:rPr>
              <w:t>2</w:t>
            </w:r>
          </w:p>
        </w:tc>
        <w:tc>
          <w:tcPr>
            <w:tcW w:w="1540" w:type="dxa"/>
            <w:tcBorders>
              <w:top w:val="nil"/>
              <w:left w:val="nil"/>
              <w:bottom w:val="single" w:sz="4" w:space="0" w:color="auto"/>
              <w:right w:val="single" w:sz="4" w:space="0" w:color="auto"/>
            </w:tcBorders>
            <w:shd w:val="clear" w:color="auto" w:fill="auto"/>
            <w:noWrap/>
            <w:vAlign w:val="bottom"/>
            <w:hideMark/>
          </w:tcPr>
          <w:p w14:paraId="7AABF71B" w14:textId="5ACEB9FD" w:rsidR="00EC75B5" w:rsidRPr="000A026B" w:rsidRDefault="00EC75B5" w:rsidP="00941184">
            <w:pPr>
              <w:jc w:val="center"/>
              <w:rPr>
                <w:i/>
                <w:iCs/>
                <w:color w:val="000000"/>
                <w:sz w:val="20"/>
                <w:szCs w:val="20"/>
              </w:rPr>
            </w:pPr>
            <w:r w:rsidRPr="000A026B">
              <w:rPr>
                <w:i/>
                <w:iCs/>
                <w:color w:val="000000"/>
                <w:sz w:val="20"/>
                <w:szCs w:val="20"/>
              </w:rPr>
              <w:t>Yes</w:t>
            </w:r>
          </w:p>
        </w:tc>
      </w:tr>
      <w:tr w:rsidR="00EC75B5" w:rsidRPr="000A026B" w14:paraId="3F4E2D54"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090D1CE8" w14:textId="47C2178B" w:rsidR="00EC75B5" w:rsidRPr="001A2F6D" w:rsidRDefault="00EC75B5" w:rsidP="00941184">
            <w:pPr>
              <w:rPr>
                <w:bCs/>
                <w:color w:val="000000"/>
                <w:sz w:val="20"/>
                <w:szCs w:val="20"/>
              </w:rPr>
            </w:pPr>
            <w:r w:rsidRPr="001A2F6D">
              <w:rPr>
                <w:bCs/>
                <w:color w:val="000000"/>
                <w:sz w:val="20"/>
                <w:szCs w:val="20"/>
              </w:rPr>
              <w:t>Puffers</w:t>
            </w:r>
          </w:p>
        </w:tc>
        <w:tc>
          <w:tcPr>
            <w:tcW w:w="1116" w:type="dxa"/>
            <w:tcBorders>
              <w:top w:val="nil"/>
              <w:left w:val="nil"/>
              <w:bottom w:val="single" w:sz="4" w:space="0" w:color="auto"/>
              <w:right w:val="single" w:sz="4" w:space="0" w:color="auto"/>
            </w:tcBorders>
            <w:shd w:val="clear" w:color="auto" w:fill="auto"/>
            <w:noWrap/>
            <w:vAlign w:val="center"/>
            <w:hideMark/>
          </w:tcPr>
          <w:p w14:paraId="571A92E6" w14:textId="7C0E1A44" w:rsidR="00EC75B5" w:rsidRPr="000A026B" w:rsidRDefault="00EC75B5" w:rsidP="00941184">
            <w:pPr>
              <w:jc w:val="right"/>
              <w:rPr>
                <w:color w:val="000000"/>
                <w:sz w:val="20"/>
                <w:szCs w:val="20"/>
              </w:rPr>
            </w:pPr>
            <w:r>
              <w:rPr>
                <w:color w:val="000000"/>
                <w:sz w:val="20"/>
                <w:szCs w:val="20"/>
              </w:rPr>
              <w:t>9</w:t>
            </w:r>
            <w:r w:rsidRPr="000A026B">
              <w:rPr>
                <w:color w:val="000000"/>
                <w:sz w:val="20"/>
                <w:szCs w:val="20"/>
              </w:rPr>
              <w:t>2,</w:t>
            </w:r>
            <w:r>
              <w:rPr>
                <w:color w:val="000000"/>
                <w:sz w:val="20"/>
                <w:szCs w:val="20"/>
              </w:rPr>
              <w:t>41</w:t>
            </w:r>
            <w:r w:rsidRPr="000A026B">
              <w:rPr>
                <w:color w:val="000000"/>
                <w:sz w:val="20"/>
                <w:szCs w:val="20"/>
              </w:rPr>
              <w:t>1</w:t>
            </w:r>
          </w:p>
        </w:tc>
        <w:tc>
          <w:tcPr>
            <w:tcW w:w="1116" w:type="dxa"/>
            <w:tcBorders>
              <w:top w:val="nil"/>
              <w:left w:val="nil"/>
              <w:bottom w:val="single" w:sz="4" w:space="0" w:color="auto"/>
              <w:right w:val="single" w:sz="4" w:space="0" w:color="auto"/>
            </w:tcBorders>
            <w:shd w:val="clear" w:color="auto" w:fill="auto"/>
            <w:noWrap/>
            <w:vAlign w:val="center"/>
            <w:hideMark/>
          </w:tcPr>
          <w:p w14:paraId="3182583F" w14:textId="44129CB0" w:rsidR="00EC75B5" w:rsidRPr="000A026B" w:rsidRDefault="00EC75B5" w:rsidP="00941184">
            <w:pPr>
              <w:jc w:val="right"/>
              <w:rPr>
                <w:color w:val="000000"/>
                <w:sz w:val="20"/>
                <w:szCs w:val="20"/>
              </w:rPr>
            </w:pPr>
            <w:r>
              <w:rPr>
                <w:color w:val="000000"/>
                <w:sz w:val="20"/>
                <w:szCs w:val="20"/>
              </w:rPr>
              <w:t>711</w:t>
            </w:r>
            <w:r w:rsidRPr="000A026B">
              <w:rPr>
                <w:color w:val="000000"/>
                <w:sz w:val="20"/>
                <w:szCs w:val="20"/>
              </w:rPr>
              <w:t>,</w:t>
            </w:r>
            <w:r>
              <w:rPr>
                <w:color w:val="000000"/>
                <w:sz w:val="20"/>
                <w:szCs w:val="20"/>
              </w:rPr>
              <w:t>83</w:t>
            </w:r>
            <w:r w:rsidRPr="000A026B">
              <w:rPr>
                <w:color w:val="000000"/>
                <w:sz w:val="20"/>
                <w:szCs w:val="20"/>
              </w:rPr>
              <w:t>3</w:t>
            </w:r>
          </w:p>
        </w:tc>
        <w:tc>
          <w:tcPr>
            <w:tcW w:w="1216" w:type="dxa"/>
            <w:tcBorders>
              <w:top w:val="nil"/>
              <w:left w:val="nil"/>
              <w:bottom w:val="single" w:sz="4" w:space="0" w:color="auto"/>
              <w:right w:val="single" w:sz="4" w:space="0" w:color="auto"/>
            </w:tcBorders>
            <w:shd w:val="clear" w:color="auto" w:fill="auto"/>
            <w:noWrap/>
            <w:vAlign w:val="center"/>
            <w:hideMark/>
          </w:tcPr>
          <w:p w14:paraId="708048CB" w14:textId="5CFF681B" w:rsidR="00EC75B5" w:rsidRPr="000A026B" w:rsidRDefault="00EC75B5" w:rsidP="00941184">
            <w:pPr>
              <w:jc w:val="right"/>
              <w:rPr>
                <w:color w:val="000000"/>
                <w:sz w:val="20"/>
                <w:szCs w:val="20"/>
              </w:rPr>
            </w:pPr>
            <w:r w:rsidRPr="000A026B">
              <w:rPr>
                <w:color w:val="000000"/>
                <w:sz w:val="20"/>
                <w:szCs w:val="20"/>
              </w:rPr>
              <w:t>8</w:t>
            </w:r>
            <w:r>
              <w:rPr>
                <w:color w:val="000000"/>
                <w:sz w:val="20"/>
                <w:szCs w:val="20"/>
              </w:rPr>
              <w:t>0</w:t>
            </w:r>
            <w:r w:rsidRPr="000A026B">
              <w:rPr>
                <w:color w:val="000000"/>
                <w:sz w:val="20"/>
                <w:szCs w:val="20"/>
              </w:rPr>
              <w:t>4,</w:t>
            </w:r>
            <w:r>
              <w:rPr>
                <w:color w:val="000000"/>
                <w:sz w:val="20"/>
                <w:szCs w:val="20"/>
              </w:rPr>
              <w:t>244</w:t>
            </w:r>
          </w:p>
        </w:tc>
        <w:tc>
          <w:tcPr>
            <w:tcW w:w="1120" w:type="dxa"/>
            <w:tcBorders>
              <w:top w:val="nil"/>
              <w:left w:val="nil"/>
              <w:bottom w:val="single" w:sz="4" w:space="0" w:color="auto"/>
              <w:right w:val="single" w:sz="4" w:space="0" w:color="auto"/>
            </w:tcBorders>
            <w:shd w:val="clear" w:color="auto" w:fill="auto"/>
            <w:noWrap/>
            <w:vAlign w:val="center"/>
            <w:hideMark/>
          </w:tcPr>
          <w:p w14:paraId="047580C5" w14:textId="4D49A94D" w:rsidR="00EC75B5" w:rsidRPr="000A026B" w:rsidRDefault="00EC75B5" w:rsidP="00941184">
            <w:pPr>
              <w:jc w:val="center"/>
              <w:rPr>
                <w:color w:val="000000"/>
                <w:sz w:val="20"/>
                <w:szCs w:val="20"/>
              </w:rPr>
            </w:pPr>
            <w:r w:rsidRPr="000A026B">
              <w:rPr>
                <w:color w:val="000000"/>
                <w:sz w:val="20"/>
                <w:szCs w:val="20"/>
              </w:rPr>
              <w:t>1</w:t>
            </w:r>
            <w:r>
              <w:rPr>
                <w:color w:val="000000"/>
                <w:sz w:val="20"/>
                <w:szCs w:val="20"/>
              </w:rPr>
              <w:t>8</w:t>
            </w:r>
          </w:p>
        </w:tc>
        <w:tc>
          <w:tcPr>
            <w:tcW w:w="972" w:type="dxa"/>
            <w:tcBorders>
              <w:top w:val="nil"/>
              <w:left w:val="nil"/>
              <w:bottom w:val="single" w:sz="4" w:space="0" w:color="auto"/>
              <w:right w:val="single" w:sz="4" w:space="0" w:color="auto"/>
            </w:tcBorders>
            <w:shd w:val="clear" w:color="auto" w:fill="auto"/>
            <w:noWrap/>
            <w:vAlign w:val="center"/>
            <w:hideMark/>
          </w:tcPr>
          <w:p w14:paraId="2AD9C422" w14:textId="1DF0D27B" w:rsidR="00EC75B5" w:rsidRPr="000A026B" w:rsidRDefault="00EC75B5" w:rsidP="00941184">
            <w:pPr>
              <w:jc w:val="center"/>
              <w:rPr>
                <w:color w:val="000000"/>
                <w:sz w:val="20"/>
                <w:szCs w:val="20"/>
              </w:rPr>
            </w:pPr>
            <w:r w:rsidRPr="000A026B">
              <w:rPr>
                <w:color w:val="000000"/>
                <w:sz w:val="20"/>
                <w:szCs w:val="20"/>
              </w:rPr>
              <w:t>15</w:t>
            </w:r>
          </w:p>
        </w:tc>
        <w:tc>
          <w:tcPr>
            <w:tcW w:w="1540" w:type="dxa"/>
            <w:tcBorders>
              <w:top w:val="nil"/>
              <w:left w:val="nil"/>
              <w:bottom w:val="single" w:sz="4" w:space="0" w:color="auto"/>
              <w:right w:val="single" w:sz="4" w:space="0" w:color="auto"/>
            </w:tcBorders>
            <w:shd w:val="clear" w:color="auto" w:fill="auto"/>
            <w:noWrap/>
            <w:vAlign w:val="bottom"/>
            <w:hideMark/>
          </w:tcPr>
          <w:p w14:paraId="7F461986" w14:textId="3AC7748D" w:rsidR="00EC75B5" w:rsidRPr="000A026B" w:rsidRDefault="00EC75B5" w:rsidP="00941184">
            <w:pPr>
              <w:jc w:val="center"/>
              <w:rPr>
                <w:color w:val="000000"/>
                <w:sz w:val="20"/>
                <w:szCs w:val="20"/>
              </w:rPr>
            </w:pPr>
            <w:r w:rsidRPr="000A026B">
              <w:rPr>
                <w:color w:val="000000"/>
                <w:sz w:val="20"/>
                <w:szCs w:val="20"/>
              </w:rPr>
              <w:t>No</w:t>
            </w:r>
          </w:p>
        </w:tc>
      </w:tr>
      <w:tr w:rsidR="00EC75B5" w:rsidRPr="000A026B" w14:paraId="4ADCC32E"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352DCEE6" w14:textId="10CF2416" w:rsidR="00EC75B5" w:rsidRPr="001A2F6D" w:rsidRDefault="00EC75B5" w:rsidP="00941184">
            <w:pPr>
              <w:rPr>
                <w:bCs/>
                <w:i/>
                <w:iCs/>
                <w:color w:val="000000"/>
                <w:sz w:val="20"/>
                <w:szCs w:val="20"/>
              </w:rPr>
            </w:pPr>
            <w:r w:rsidRPr="001A2F6D">
              <w:rPr>
                <w:bCs/>
                <w:i/>
                <w:iCs/>
                <w:color w:val="000000"/>
                <w:sz w:val="20"/>
                <w:szCs w:val="20"/>
              </w:rPr>
              <w:t>Sea Basses</w:t>
            </w:r>
          </w:p>
        </w:tc>
        <w:tc>
          <w:tcPr>
            <w:tcW w:w="1116" w:type="dxa"/>
            <w:tcBorders>
              <w:top w:val="nil"/>
              <w:left w:val="nil"/>
              <w:bottom w:val="single" w:sz="4" w:space="0" w:color="auto"/>
              <w:right w:val="single" w:sz="4" w:space="0" w:color="auto"/>
            </w:tcBorders>
            <w:shd w:val="clear" w:color="auto" w:fill="auto"/>
            <w:noWrap/>
            <w:vAlign w:val="center"/>
            <w:hideMark/>
          </w:tcPr>
          <w:p w14:paraId="39673029" w14:textId="75A811D1" w:rsidR="00EC75B5" w:rsidRPr="000A026B" w:rsidRDefault="00EC75B5" w:rsidP="00941184">
            <w:pPr>
              <w:jc w:val="right"/>
              <w:rPr>
                <w:i/>
                <w:iCs/>
                <w:color w:val="000000"/>
                <w:sz w:val="20"/>
                <w:szCs w:val="20"/>
              </w:rPr>
            </w:pPr>
            <w:r w:rsidRPr="000A026B">
              <w:rPr>
                <w:i/>
                <w:iCs/>
                <w:color w:val="000000"/>
                <w:sz w:val="20"/>
                <w:szCs w:val="20"/>
              </w:rPr>
              <w:t>3</w:t>
            </w:r>
            <w:r>
              <w:rPr>
                <w:i/>
                <w:iCs/>
                <w:color w:val="000000"/>
                <w:sz w:val="20"/>
                <w:szCs w:val="20"/>
              </w:rPr>
              <w:t>97</w:t>
            </w:r>
            <w:r w:rsidRPr="000A026B">
              <w:rPr>
                <w:i/>
                <w:iCs/>
                <w:color w:val="000000"/>
                <w:sz w:val="20"/>
                <w:szCs w:val="20"/>
              </w:rPr>
              <w:t>,</w:t>
            </w:r>
            <w:r>
              <w:rPr>
                <w:i/>
                <w:iCs/>
                <w:color w:val="000000"/>
                <w:sz w:val="20"/>
                <w:szCs w:val="20"/>
              </w:rPr>
              <w:t>412</w:t>
            </w:r>
          </w:p>
        </w:tc>
        <w:tc>
          <w:tcPr>
            <w:tcW w:w="1116" w:type="dxa"/>
            <w:tcBorders>
              <w:top w:val="nil"/>
              <w:left w:val="nil"/>
              <w:bottom w:val="single" w:sz="4" w:space="0" w:color="auto"/>
              <w:right w:val="single" w:sz="4" w:space="0" w:color="auto"/>
            </w:tcBorders>
            <w:shd w:val="clear" w:color="auto" w:fill="auto"/>
            <w:noWrap/>
            <w:vAlign w:val="center"/>
            <w:hideMark/>
          </w:tcPr>
          <w:p w14:paraId="46AF703B" w14:textId="4BC0771C" w:rsidR="00EC75B5" w:rsidRPr="000A026B" w:rsidRDefault="00EC75B5" w:rsidP="00941184">
            <w:pPr>
              <w:jc w:val="right"/>
              <w:rPr>
                <w:i/>
                <w:iCs/>
                <w:color w:val="000000"/>
                <w:sz w:val="20"/>
                <w:szCs w:val="20"/>
              </w:rPr>
            </w:pPr>
            <w:r>
              <w:rPr>
                <w:i/>
                <w:iCs/>
                <w:color w:val="000000"/>
                <w:sz w:val="20"/>
                <w:szCs w:val="20"/>
              </w:rPr>
              <w:t>5</w:t>
            </w:r>
            <w:r w:rsidRPr="000A026B">
              <w:rPr>
                <w:i/>
                <w:iCs/>
                <w:color w:val="000000"/>
                <w:sz w:val="20"/>
                <w:szCs w:val="20"/>
              </w:rPr>
              <w:t>,</w:t>
            </w:r>
            <w:r>
              <w:rPr>
                <w:i/>
                <w:iCs/>
                <w:color w:val="000000"/>
                <w:sz w:val="20"/>
                <w:szCs w:val="20"/>
              </w:rPr>
              <w:t>240</w:t>
            </w:r>
            <w:r w:rsidRPr="000A026B">
              <w:rPr>
                <w:i/>
                <w:iCs/>
                <w:color w:val="000000"/>
                <w:sz w:val="20"/>
                <w:szCs w:val="20"/>
              </w:rPr>
              <w:t>,</w:t>
            </w:r>
            <w:r>
              <w:rPr>
                <w:i/>
                <w:iCs/>
                <w:color w:val="000000"/>
                <w:sz w:val="20"/>
                <w:szCs w:val="20"/>
              </w:rPr>
              <w:t>03</w:t>
            </w:r>
            <w:r w:rsidRPr="000A026B">
              <w:rPr>
                <w:i/>
                <w:iCs/>
                <w:color w:val="000000"/>
                <w:sz w:val="20"/>
                <w:szCs w:val="20"/>
              </w:rPr>
              <w:t>3</w:t>
            </w:r>
          </w:p>
        </w:tc>
        <w:tc>
          <w:tcPr>
            <w:tcW w:w="1216" w:type="dxa"/>
            <w:tcBorders>
              <w:top w:val="nil"/>
              <w:left w:val="nil"/>
              <w:bottom w:val="single" w:sz="4" w:space="0" w:color="auto"/>
              <w:right w:val="single" w:sz="4" w:space="0" w:color="auto"/>
            </w:tcBorders>
            <w:shd w:val="clear" w:color="auto" w:fill="auto"/>
            <w:noWrap/>
            <w:vAlign w:val="center"/>
            <w:hideMark/>
          </w:tcPr>
          <w:p w14:paraId="53717162" w14:textId="31A65480" w:rsidR="00EC75B5" w:rsidRPr="000A026B" w:rsidRDefault="00EC75B5" w:rsidP="00941184">
            <w:pPr>
              <w:jc w:val="right"/>
              <w:rPr>
                <w:i/>
                <w:iCs/>
                <w:color w:val="000000"/>
                <w:sz w:val="20"/>
                <w:szCs w:val="20"/>
              </w:rPr>
            </w:pPr>
            <w:r>
              <w:rPr>
                <w:i/>
                <w:iCs/>
                <w:color w:val="000000"/>
                <w:sz w:val="20"/>
                <w:szCs w:val="20"/>
              </w:rPr>
              <w:t>5</w:t>
            </w:r>
            <w:r w:rsidRPr="000A026B">
              <w:rPr>
                <w:i/>
                <w:iCs/>
                <w:color w:val="000000"/>
                <w:sz w:val="20"/>
                <w:szCs w:val="20"/>
              </w:rPr>
              <w:t>,6</w:t>
            </w:r>
            <w:r>
              <w:rPr>
                <w:i/>
                <w:iCs/>
                <w:color w:val="000000"/>
                <w:sz w:val="20"/>
                <w:szCs w:val="20"/>
              </w:rPr>
              <w:t>37</w:t>
            </w:r>
            <w:r w:rsidRPr="000A026B">
              <w:rPr>
                <w:i/>
                <w:iCs/>
                <w:color w:val="000000"/>
                <w:sz w:val="20"/>
                <w:szCs w:val="20"/>
              </w:rPr>
              <w:t>,4</w:t>
            </w:r>
            <w:r>
              <w:rPr>
                <w:i/>
                <w:iCs/>
                <w:color w:val="000000"/>
                <w:sz w:val="20"/>
                <w:szCs w:val="20"/>
              </w:rPr>
              <w:t>45</w:t>
            </w:r>
          </w:p>
        </w:tc>
        <w:tc>
          <w:tcPr>
            <w:tcW w:w="1120" w:type="dxa"/>
            <w:tcBorders>
              <w:top w:val="nil"/>
              <w:left w:val="nil"/>
              <w:bottom w:val="single" w:sz="4" w:space="0" w:color="auto"/>
              <w:right w:val="single" w:sz="4" w:space="0" w:color="auto"/>
            </w:tcBorders>
            <w:shd w:val="clear" w:color="auto" w:fill="auto"/>
            <w:noWrap/>
            <w:vAlign w:val="center"/>
            <w:hideMark/>
          </w:tcPr>
          <w:p w14:paraId="4217904C" w14:textId="5504787B" w:rsidR="00EC75B5" w:rsidRPr="000A026B" w:rsidRDefault="00EC75B5" w:rsidP="00941184">
            <w:pPr>
              <w:jc w:val="center"/>
              <w:rPr>
                <w:i/>
                <w:iCs/>
                <w:color w:val="000000"/>
                <w:sz w:val="20"/>
                <w:szCs w:val="20"/>
              </w:rPr>
            </w:pPr>
            <w:r w:rsidRPr="000A026B">
              <w:rPr>
                <w:i/>
                <w:iCs/>
                <w:color w:val="000000"/>
                <w:sz w:val="20"/>
                <w:szCs w:val="20"/>
              </w:rPr>
              <w:t>13</w:t>
            </w:r>
          </w:p>
        </w:tc>
        <w:tc>
          <w:tcPr>
            <w:tcW w:w="972" w:type="dxa"/>
            <w:tcBorders>
              <w:top w:val="nil"/>
              <w:left w:val="nil"/>
              <w:bottom w:val="single" w:sz="4" w:space="0" w:color="auto"/>
              <w:right w:val="single" w:sz="4" w:space="0" w:color="auto"/>
            </w:tcBorders>
            <w:shd w:val="clear" w:color="auto" w:fill="auto"/>
            <w:noWrap/>
            <w:vAlign w:val="center"/>
            <w:hideMark/>
          </w:tcPr>
          <w:p w14:paraId="1D078954" w14:textId="278EF98D" w:rsidR="00EC75B5" w:rsidRPr="000A026B" w:rsidRDefault="00EC75B5" w:rsidP="00941184">
            <w:pPr>
              <w:jc w:val="center"/>
              <w:rPr>
                <w:i/>
                <w:iCs/>
                <w:color w:val="000000"/>
                <w:sz w:val="20"/>
                <w:szCs w:val="20"/>
              </w:rPr>
            </w:pPr>
            <w:r>
              <w:rPr>
                <w:i/>
                <w:iCs/>
                <w:color w:val="000000"/>
                <w:sz w:val="20"/>
                <w:szCs w:val="20"/>
              </w:rPr>
              <w:t>3</w:t>
            </w:r>
          </w:p>
        </w:tc>
        <w:tc>
          <w:tcPr>
            <w:tcW w:w="1540" w:type="dxa"/>
            <w:tcBorders>
              <w:top w:val="nil"/>
              <w:left w:val="nil"/>
              <w:bottom w:val="single" w:sz="4" w:space="0" w:color="auto"/>
              <w:right w:val="single" w:sz="4" w:space="0" w:color="auto"/>
            </w:tcBorders>
            <w:shd w:val="clear" w:color="auto" w:fill="auto"/>
            <w:noWrap/>
            <w:vAlign w:val="bottom"/>
            <w:hideMark/>
          </w:tcPr>
          <w:p w14:paraId="452C2D90" w14:textId="33085B28" w:rsidR="00EC75B5" w:rsidRPr="000A026B" w:rsidRDefault="00EC75B5" w:rsidP="00941184">
            <w:pPr>
              <w:jc w:val="center"/>
              <w:rPr>
                <w:i/>
                <w:iCs/>
                <w:color w:val="000000"/>
                <w:sz w:val="20"/>
                <w:szCs w:val="20"/>
              </w:rPr>
            </w:pPr>
            <w:r w:rsidRPr="000A026B">
              <w:rPr>
                <w:i/>
                <w:iCs/>
                <w:color w:val="000000"/>
                <w:sz w:val="20"/>
                <w:szCs w:val="20"/>
              </w:rPr>
              <w:t>Yes</w:t>
            </w:r>
          </w:p>
        </w:tc>
      </w:tr>
      <w:tr w:rsidR="00EC75B5" w:rsidRPr="000A026B" w14:paraId="354058BE"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12389BB2" w14:textId="629DEB91" w:rsidR="00EC75B5" w:rsidRPr="001A2F6D" w:rsidRDefault="00EC75B5" w:rsidP="00941184">
            <w:pPr>
              <w:rPr>
                <w:bCs/>
                <w:color w:val="000000"/>
                <w:sz w:val="20"/>
                <w:szCs w:val="20"/>
              </w:rPr>
            </w:pPr>
            <w:r w:rsidRPr="001A2F6D">
              <w:rPr>
                <w:bCs/>
                <w:color w:val="000000"/>
                <w:sz w:val="20"/>
                <w:szCs w:val="20"/>
              </w:rPr>
              <w:t>Searobins</w:t>
            </w:r>
          </w:p>
        </w:tc>
        <w:tc>
          <w:tcPr>
            <w:tcW w:w="1116" w:type="dxa"/>
            <w:tcBorders>
              <w:top w:val="nil"/>
              <w:left w:val="nil"/>
              <w:bottom w:val="single" w:sz="4" w:space="0" w:color="auto"/>
              <w:right w:val="single" w:sz="4" w:space="0" w:color="auto"/>
            </w:tcBorders>
            <w:shd w:val="clear" w:color="auto" w:fill="auto"/>
            <w:noWrap/>
            <w:vAlign w:val="center"/>
            <w:hideMark/>
          </w:tcPr>
          <w:p w14:paraId="20B9C94B" w14:textId="5F62F1F1" w:rsidR="00EC75B5" w:rsidRPr="000A026B" w:rsidRDefault="00EC75B5" w:rsidP="00941184">
            <w:pPr>
              <w:jc w:val="right"/>
              <w:rPr>
                <w:color w:val="000000"/>
                <w:sz w:val="20"/>
                <w:szCs w:val="20"/>
              </w:rPr>
            </w:pPr>
            <w:r w:rsidRPr="000A026B">
              <w:rPr>
                <w:color w:val="000000"/>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14:paraId="126BFC9E" w14:textId="71E88357" w:rsidR="00EC75B5" w:rsidRPr="000A026B" w:rsidRDefault="00EC75B5" w:rsidP="00941184">
            <w:pPr>
              <w:jc w:val="right"/>
              <w:rPr>
                <w:color w:val="000000"/>
                <w:sz w:val="20"/>
                <w:szCs w:val="20"/>
              </w:rPr>
            </w:pPr>
            <w:r>
              <w:rPr>
                <w:color w:val="000000"/>
                <w:sz w:val="20"/>
                <w:szCs w:val="20"/>
              </w:rPr>
              <w:t>95</w:t>
            </w:r>
            <w:r w:rsidRPr="000A026B">
              <w:rPr>
                <w:color w:val="000000"/>
                <w:sz w:val="20"/>
                <w:szCs w:val="20"/>
              </w:rPr>
              <w:t>,</w:t>
            </w:r>
            <w:r>
              <w:rPr>
                <w:color w:val="000000"/>
                <w:sz w:val="20"/>
                <w:szCs w:val="20"/>
              </w:rPr>
              <w:t>7</w:t>
            </w:r>
            <w:r w:rsidRPr="000A026B">
              <w:rPr>
                <w:color w:val="000000"/>
                <w:sz w:val="20"/>
                <w:szCs w:val="20"/>
              </w:rPr>
              <w:t>4</w:t>
            </w:r>
            <w:r>
              <w:rPr>
                <w:color w:val="000000"/>
                <w:sz w:val="20"/>
                <w:szCs w:val="20"/>
              </w:rPr>
              <w:t>7</w:t>
            </w:r>
          </w:p>
        </w:tc>
        <w:tc>
          <w:tcPr>
            <w:tcW w:w="1216" w:type="dxa"/>
            <w:tcBorders>
              <w:top w:val="nil"/>
              <w:left w:val="nil"/>
              <w:bottom w:val="single" w:sz="4" w:space="0" w:color="auto"/>
              <w:right w:val="single" w:sz="4" w:space="0" w:color="auto"/>
            </w:tcBorders>
            <w:shd w:val="clear" w:color="auto" w:fill="auto"/>
            <w:noWrap/>
            <w:vAlign w:val="center"/>
            <w:hideMark/>
          </w:tcPr>
          <w:p w14:paraId="53C6FFFB" w14:textId="000383D1" w:rsidR="00EC75B5" w:rsidRPr="000A026B" w:rsidRDefault="00EC75B5" w:rsidP="00941184">
            <w:pPr>
              <w:jc w:val="right"/>
              <w:rPr>
                <w:color w:val="000000"/>
                <w:sz w:val="20"/>
                <w:szCs w:val="20"/>
              </w:rPr>
            </w:pPr>
            <w:r>
              <w:rPr>
                <w:color w:val="000000"/>
                <w:sz w:val="20"/>
                <w:szCs w:val="20"/>
              </w:rPr>
              <w:t>9</w:t>
            </w:r>
            <w:r w:rsidRPr="000A026B">
              <w:rPr>
                <w:color w:val="000000"/>
                <w:sz w:val="20"/>
                <w:szCs w:val="20"/>
              </w:rPr>
              <w:t>5</w:t>
            </w:r>
            <w:r>
              <w:rPr>
                <w:color w:val="000000"/>
                <w:sz w:val="20"/>
                <w:szCs w:val="20"/>
              </w:rPr>
              <w:t>,7</w:t>
            </w:r>
            <w:r w:rsidRPr="000A026B">
              <w:rPr>
                <w:color w:val="000000"/>
                <w:sz w:val="20"/>
                <w:szCs w:val="20"/>
              </w:rPr>
              <w:t>4</w:t>
            </w:r>
            <w:r>
              <w:rPr>
                <w:color w:val="000000"/>
                <w:sz w:val="20"/>
                <w:szCs w:val="20"/>
              </w:rPr>
              <w:t>7</w:t>
            </w:r>
          </w:p>
        </w:tc>
        <w:tc>
          <w:tcPr>
            <w:tcW w:w="1120" w:type="dxa"/>
            <w:tcBorders>
              <w:top w:val="nil"/>
              <w:left w:val="nil"/>
              <w:bottom w:val="single" w:sz="4" w:space="0" w:color="auto"/>
              <w:right w:val="single" w:sz="4" w:space="0" w:color="auto"/>
            </w:tcBorders>
            <w:shd w:val="clear" w:color="auto" w:fill="auto"/>
            <w:noWrap/>
            <w:vAlign w:val="center"/>
            <w:hideMark/>
          </w:tcPr>
          <w:p w14:paraId="14571E12" w14:textId="21E488EC" w:rsidR="00EC75B5" w:rsidRPr="000A026B" w:rsidRDefault="00EC75B5" w:rsidP="00941184">
            <w:pPr>
              <w:jc w:val="center"/>
              <w:rPr>
                <w:color w:val="000000"/>
                <w:sz w:val="20"/>
                <w:szCs w:val="20"/>
              </w:rPr>
            </w:pPr>
            <w:r w:rsidRPr="000A026B">
              <w:rPr>
                <w:color w:val="000000"/>
                <w:sz w:val="20"/>
                <w:szCs w:val="20"/>
              </w:rPr>
              <w:t>2</w:t>
            </w:r>
            <w:r>
              <w:rPr>
                <w:color w:val="000000"/>
                <w:sz w:val="20"/>
                <w:szCs w:val="20"/>
              </w:rPr>
              <w:t>4</w:t>
            </w:r>
          </w:p>
        </w:tc>
        <w:tc>
          <w:tcPr>
            <w:tcW w:w="972" w:type="dxa"/>
            <w:tcBorders>
              <w:top w:val="nil"/>
              <w:left w:val="nil"/>
              <w:bottom w:val="single" w:sz="4" w:space="0" w:color="auto"/>
              <w:right w:val="single" w:sz="4" w:space="0" w:color="auto"/>
            </w:tcBorders>
            <w:shd w:val="clear" w:color="auto" w:fill="auto"/>
            <w:noWrap/>
            <w:vAlign w:val="center"/>
            <w:hideMark/>
          </w:tcPr>
          <w:p w14:paraId="6D2962DE" w14:textId="57658EB7" w:rsidR="00EC75B5" w:rsidRPr="000A026B" w:rsidRDefault="00EC75B5" w:rsidP="00941184">
            <w:pPr>
              <w:jc w:val="center"/>
              <w:rPr>
                <w:color w:val="000000"/>
                <w:sz w:val="20"/>
                <w:szCs w:val="20"/>
              </w:rPr>
            </w:pPr>
            <w:r>
              <w:rPr>
                <w:color w:val="000000"/>
                <w:sz w:val="20"/>
                <w:szCs w:val="20"/>
              </w:rPr>
              <w:t>21</w:t>
            </w:r>
          </w:p>
        </w:tc>
        <w:tc>
          <w:tcPr>
            <w:tcW w:w="1540" w:type="dxa"/>
            <w:tcBorders>
              <w:top w:val="nil"/>
              <w:left w:val="nil"/>
              <w:bottom w:val="single" w:sz="4" w:space="0" w:color="auto"/>
              <w:right w:val="single" w:sz="4" w:space="0" w:color="auto"/>
            </w:tcBorders>
            <w:shd w:val="clear" w:color="auto" w:fill="auto"/>
            <w:noWrap/>
            <w:vAlign w:val="bottom"/>
            <w:hideMark/>
          </w:tcPr>
          <w:p w14:paraId="67C2BFAE" w14:textId="6E20E6FF" w:rsidR="00EC75B5" w:rsidRPr="000A026B" w:rsidRDefault="00EC75B5" w:rsidP="00941184">
            <w:pPr>
              <w:jc w:val="center"/>
              <w:rPr>
                <w:color w:val="000000"/>
                <w:sz w:val="20"/>
                <w:szCs w:val="20"/>
              </w:rPr>
            </w:pPr>
            <w:r w:rsidRPr="000A026B">
              <w:rPr>
                <w:color w:val="000000"/>
                <w:sz w:val="20"/>
                <w:szCs w:val="20"/>
              </w:rPr>
              <w:t>No</w:t>
            </w:r>
          </w:p>
        </w:tc>
      </w:tr>
      <w:tr w:rsidR="00EC75B5" w:rsidRPr="000A026B" w14:paraId="62F3236B"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00994566" w14:textId="7F4AA4FE" w:rsidR="00EC75B5" w:rsidRPr="001A2F6D" w:rsidRDefault="00EC75B5" w:rsidP="00941184">
            <w:pPr>
              <w:rPr>
                <w:bCs/>
                <w:i/>
                <w:iCs/>
                <w:color w:val="000000"/>
                <w:sz w:val="20"/>
                <w:szCs w:val="20"/>
              </w:rPr>
            </w:pPr>
            <w:r w:rsidRPr="001A2F6D">
              <w:rPr>
                <w:bCs/>
                <w:i/>
                <w:iCs/>
                <w:color w:val="000000"/>
                <w:sz w:val="20"/>
                <w:szCs w:val="20"/>
              </w:rPr>
              <w:t>Snappers</w:t>
            </w:r>
          </w:p>
        </w:tc>
        <w:tc>
          <w:tcPr>
            <w:tcW w:w="1116" w:type="dxa"/>
            <w:tcBorders>
              <w:top w:val="nil"/>
              <w:left w:val="nil"/>
              <w:bottom w:val="single" w:sz="4" w:space="0" w:color="auto"/>
              <w:right w:val="single" w:sz="4" w:space="0" w:color="auto"/>
            </w:tcBorders>
            <w:shd w:val="clear" w:color="auto" w:fill="auto"/>
            <w:noWrap/>
            <w:vAlign w:val="center"/>
            <w:hideMark/>
          </w:tcPr>
          <w:p w14:paraId="1307FB67" w14:textId="6DA894E3" w:rsidR="00EC75B5" w:rsidRPr="000A026B" w:rsidRDefault="00EC75B5" w:rsidP="00941184">
            <w:pPr>
              <w:jc w:val="right"/>
              <w:rPr>
                <w:i/>
                <w:iCs/>
                <w:color w:val="000000"/>
                <w:sz w:val="20"/>
                <w:szCs w:val="20"/>
              </w:rPr>
            </w:pPr>
            <w:r w:rsidRPr="000A026B">
              <w:rPr>
                <w:i/>
                <w:iCs/>
                <w:color w:val="000000"/>
                <w:sz w:val="20"/>
                <w:szCs w:val="20"/>
              </w:rPr>
              <w:t>1,</w:t>
            </w:r>
            <w:r>
              <w:rPr>
                <w:i/>
                <w:iCs/>
                <w:color w:val="000000"/>
                <w:sz w:val="20"/>
                <w:szCs w:val="20"/>
              </w:rPr>
              <w:t>48</w:t>
            </w:r>
            <w:r w:rsidRPr="000A026B">
              <w:rPr>
                <w:i/>
                <w:iCs/>
                <w:color w:val="000000"/>
                <w:sz w:val="20"/>
                <w:szCs w:val="20"/>
              </w:rPr>
              <w:t>3,</w:t>
            </w:r>
            <w:r>
              <w:rPr>
                <w:i/>
                <w:iCs/>
                <w:color w:val="000000"/>
                <w:sz w:val="20"/>
                <w:szCs w:val="20"/>
              </w:rPr>
              <w:t>017</w:t>
            </w:r>
          </w:p>
        </w:tc>
        <w:tc>
          <w:tcPr>
            <w:tcW w:w="1116" w:type="dxa"/>
            <w:tcBorders>
              <w:top w:val="nil"/>
              <w:left w:val="nil"/>
              <w:bottom w:val="single" w:sz="4" w:space="0" w:color="auto"/>
              <w:right w:val="single" w:sz="4" w:space="0" w:color="auto"/>
            </w:tcBorders>
            <w:shd w:val="clear" w:color="auto" w:fill="auto"/>
            <w:noWrap/>
            <w:vAlign w:val="center"/>
            <w:hideMark/>
          </w:tcPr>
          <w:p w14:paraId="34444B61" w14:textId="7764C8F7" w:rsidR="00EC75B5" w:rsidRPr="000A026B" w:rsidRDefault="00EC75B5" w:rsidP="00941184">
            <w:pPr>
              <w:jc w:val="right"/>
              <w:rPr>
                <w:i/>
                <w:iCs/>
                <w:color w:val="000000"/>
                <w:sz w:val="20"/>
                <w:szCs w:val="20"/>
              </w:rPr>
            </w:pPr>
            <w:r>
              <w:rPr>
                <w:i/>
                <w:iCs/>
                <w:color w:val="000000"/>
                <w:sz w:val="20"/>
                <w:szCs w:val="20"/>
              </w:rPr>
              <w:t>3</w:t>
            </w:r>
            <w:r w:rsidRPr="000A026B">
              <w:rPr>
                <w:i/>
                <w:iCs/>
                <w:color w:val="000000"/>
                <w:sz w:val="20"/>
                <w:szCs w:val="20"/>
              </w:rPr>
              <w:t>,4</w:t>
            </w:r>
            <w:r>
              <w:rPr>
                <w:i/>
                <w:iCs/>
                <w:color w:val="000000"/>
                <w:sz w:val="20"/>
                <w:szCs w:val="20"/>
              </w:rPr>
              <w:t>03</w:t>
            </w:r>
            <w:r w:rsidRPr="000A026B">
              <w:rPr>
                <w:i/>
                <w:iCs/>
                <w:color w:val="000000"/>
                <w:sz w:val="20"/>
                <w:szCs w:val="20"/>
              </w:rPr>
              <w:t>,</w:t>
            </w:r>
            <w:r>
              <w:rPr>
                <w:i/>
                <w:iCs/>
                <w:color w:val="000000"/>
                <w:sz w:val="20"/>
                <w:szCs w:val="20"/>
              </w:rPr>
              <w:t>6</w:t>
            </w:r>
            <w:r w:rsidRPr="000A026B">
              <w:rPr>
                <w:i/>
                <w:iCs/>
                <w:color w:val="000000"/>
                <w:sz w:val="20"/>
                <w:szCs w:val="20"/>
              </w:rPr>
              <w:t>8</w:t>
            </w:r>
            <w:r>
              <w:rPr>
                <w:i/>
                <w:iCs/>
                <w:color w:val="000000"/>
                <w:sz w:val="20"/>
                <w:szCs w:val="20"/>
              </w:rPr>
              <w:t>5</w:t>
            </w:r>
          </w:p>
        </w:tc>
        <w:tc>
          <w:tcPr>
            <w:tcW w:w="1216" w:type="dxa"/>
            <w:tcBorders>
              <w:top w:val="nil"/>
              <w:left w:val="nil"/>
              <w:bottom w:val="single" w:sz="4" w:space="0" w:color="auto"/>
              <w:right w:val="single" w:sz="4" w:space="0" w:color="auto"/>
            </w:tcBorders>
            <w:shd w:val="clear" w:color="auto" w:fill="auto"/>
            <w:noWrap/>
            <w:vAlign w:val="center"/>
            <w:hideMark/>
          </w:tcPr>
          <w:p w14:paraId="3B0C869E" w14:textId="707E9959" w:rsidR="00EC75B5" w:rsidRPr="000A026B" w:rsidRDefault="00EC75B5" w:rsidP="00941184">
            <w:pPr>
              <w:jc w:val="right"/>
              <w:rPr>
                <w:i/>
                <w:iCs/>
                <w:color w:val="000000"/>
                <w:sz w:val="20"/>
                <w:szCs w:val="20"/>
              </w:rPr>
            </w:pPr>
            <w:r w:rsidRPr="000A026B">
              <w:rPr>
                <w:i/>
                <w:iCs/>
                <w:color w:val="000000"/>
                <w:sz w:val="20"/>
                <w:szCs w:val="20"/>
              </w:rPr>
              <w:t>4,</w:t>
            </w:r>
            <w:r>
              <w:rPr>
                <w:i/>
                <w:iCs/>
                <w:color w:val="000000"/>
                <w:sz w:val="20"/>
                <w:szCs w:val="20"/>
              </w:rPr>
              <w:t>886</w:t>
            </w:r>
            <w:r w:rsidRPr="000A026B">
              <w:rPr>
                <w:i/>
                <w:iCs/>
                <w:color w:val="000000"/>
                <w:sz w:val="20"/>
                <w:szCs w:val="20"/>
              </w:rPr>
              <w:t>,</w:t>
            </w:r>
            <w:r>
              <w:rPr>
                <w:i/>
                <w:iCs/>
                <w:color w:val="000000"/>
                <w:sz w:val="20"/>
                <w:szCs w:val="20"/>
              </w:rPr>
              <w:t>7</w:t>
            </w:r>
            <w:r w:rsidRPr="000A026B">
              <w:rPr>
                <w:i/>
                <w:iCs/>
                <w:color w:val="000000"/>
                <w:sz w:val="20"/>
                <w:szCs w:val="20"/>
              </w:rPr>
              <w:t>0</w:t>
            </w:r>
            <w:r>
              <w:rPr>
                <w:i/>
                <w:iCs/>
                <w:color w:val="000000"/>
                <w:sz w:val="20"/>
                <w:szCs w:val="20"/>
              </w:rPr>
              <w:t>2</w:t>
            </w:r>
          </w:p>
        </w:tc>
        <w:tc>
          <w:tcPr>
            <w:tcW w:w="1120" w:type="dxa"/>
            <w:tcBorders>
              <w:top w:val="nil"/>
              <w:left w:val="nil"/>
              <w:bottom w:val="single" w:sz="4" w:space="0" w:color="auto"/>
              <w:right w:val="single" w:sz="4" w:space="0" w:color="auto"/>
            </w:tcBorders>
            <w:shd w:val="clear" w:color="auto" w:fill="auto"/>
            <w:noWrap/>
            <w:vAlign w:val="center"/>
            <w:hideMark/>
          </w:tcPr>
          <w:p w14:paraId="6A952A55" w14:textId="43CDE1A5" w:rsidR="00EC75B5" w:rsidRPr="000A026B" w:rsidRDefault="00EC75B5" w:rsidP="00941184">
            <w:pPr>
              <w:jc w:val="center"/>
              <w:rPr>
                <w:i/>
                <w:iCs/>
                <w:color w:val="000000"/>
                <w:sz w:val="20"/>
                <w:szCs w:val="20"/>
              </w:rPr>
            </w:pPr>
            <w:r>
              <w:rPr>
                <w:i/>
                <w:iCs/>
                <w:color w:val="000000"/>
                <w:sz w:val="20"/>
                <w:szCs w:val="20"/>
              </w:rPr>
              <w:t>8</w:t>
            </w:r>
          </w:p>
        </w:tc>
        <w:tc>
          <w:tcPr>
            <w:tcW w:w="972" w:type="dxa"/>
            <w:tcBorders>
              <w:top w:val="nil"/>
              <w:left w:val="nil"/>
              <w:bottom w:val="single" w:sz="4" w:space="0" w:color="auto"/>
              <w:right w:val="single" w:sz="4" w:space="0" w:color="auto"/>
            </w:tcBorders>
            <w:shd w:val="clear" w:color="auto" w:fill="auto"/>
            <w:noWrap/>
            <w:vAlign w:val="center"/>
            <w:hideMark/>
          </w:tcPr>
          <w:p w14:paraId="7785F99C" w14:textId="4C564996" w:rsidR="00EC75B5" w:rsidRPr="000A026B" w:rsidRDefault="00EC75B5" w:rsidP="00941184">
            <w:pPr>
              <w:jc w:val="center"/>
              <w:rPr>
                <w:i/>
                <w:iCs/>
                <w:color w:val="000000"/>
                <w:sz w:val="20"/>
                <w:szCs w:val="20"/>
              </w:rPr>
            </w:pPr>
            <w:r>
              <w:rPr>
                <w:i/>
                <w:iCs/>
                <w:color w:val="000000"/>
                <w:sz w:val="20"/>
                <w:szCs w:val="20"/>
              </w:rPr>
              <w:t>7</w:t>
            </w:r>
          </w:p>
        </w:tc>
        <w:tc>
          <w:tcPr>
            <w:tcW w:w="1540" w:type="dxa"/>
            <w:tcBorders>
              <w:top w:val="nil"/>
              <w:left w:val="nil"/>
              <w:bottom w:val="single" w:sz="4" w:space="0" w:color="auto"/>
              <w:right w:val="single" w:sz="4" w:space="0" w:color="auto"/>
            </w:tcBorders>
            <w:shd w:val="clear" w:color="auto" w:fill="auto"/>
            <w:noWrap/>
            <w:vAlign w:val="bottom"/>
            <w:hideMark/>
          </w:tcPr>
          <w:p w14:paraId="69C5C3BD" w14:textId="2551E6BF" w:rsidR="00EC75B5" w:rsidRPr="000A026B" w:rsidRDefault="00EC75B5" w:rsidP="00941184">
            <w:pPr>
              <w:jc w:val="center"/>
              <w:rPr>
                <w:i/>
                <w:iCs/>
                <w:color w:val="000000"/>
                <w:sz w:val="20"/>
                <w:szCs w:val="20"/>
              </w:rPr>
            </w:pPr>
            <w:r w:rsidRPr="000A026B">
              <w:rPr>
                <w:i/>
                <w:iCs/>
                <w:color w:val="000000"/>
                <w:sz w:val="20"/>
                <w:szCs w:val="20"/>
              </w:rPr>
              <w:t>Yes</w:t>
            </w:r>
          </w:p>
        </w:tc>
      </w:tr>
      <w:tr w:rsidR="00EC75B5" w:rsidRPr="000A026B" w14:paraId="7936AE00"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24A2A015" w14:textId="520DEC67" w:rsidR="00EC75B5" w:rsidRPr="001A2F6D" w:rsidRDefault="00EC75B5" w:rsidP="00941184">
            <w:pPr>
              <w:rPr>
                <w:bCs/>
                <w:color w:val="000000"/>
                <w:sz w:val="20"/>
                <w:szCs w:val="20"/>
              </w:rPr>
            </w:pPr>
            <w:r w:rsidRPr="001A2F6D">
              <w:rPr>
                <w:bCs/>
                <w:color w:val="000000"/>
                <w:sz w:val="20"/>
                <w:szCs w:val="20"/>
              </w:rPr>
              <w:t>Temperate Basses</w:t>
            </w:r>
          </w:p>
        </w:tc>
        <w:tc>
          <w:tcPr>
            <w:tcW w:w="1116" w:type="dxa"/>
            <w:tcBorders>
              <w:top w:val="nil"/>
              <w:left w:val="nil"/>
              <w:bottom w:val="single" w:sz="4" w:space="0" w:color="auto"/>
              <w:right w:val="single" w:sz="4" w:space="0" w:color="auto"/>
            </w:tcBorders>
            <w:shd w:val="clear" w:color="auto" w:fill="auto"/>
            <w:noWrap/>
            <w:vAlign w:val="center"/>
            <w:hideMark/>
          </w:tcPr>
          <w:p w14:paraId="0DE401CD" w14:textId="7B32FC0A" w:rsidR="00EC75B5" w:rsidRPr="000A026B" w:rsidRDefault="00EC75B5" w:rsidP="00941184">
            <w:pPr>
              <w:jc w:val="right"/>
              <w:rPr>
                <w:color w:val="000000"/>
                <w:sz w:val="20"/>
                <w:szCs w:val="20"/>
              </w:rPr>
            </w:pPr>
            <w:r>
              <w:rPr>
                <w:color w:val="000000"/>
                <w:sz w:val="20"/>
                <w:szCs w:val="20"/>
              </w:rPr>
              <w:t>11</w:t>
            </w:r>
            <w:r w:rsidRPr="000A026B">
              <w:rPr>
                <w:color w:val="000000"/>
                <w:sz w:val="20"/>
                <w:szCs w:val="20"/>
              </w:rPr>
              <w:t>,0</w:t>
            </w:r>
            <w:r>
              <w:rPr>
                <w:color w:val="000000"/>
                <w:sz w:val="20"/>
                <w:szCs w:val="20"/>
              </w:rPr>
              <w:t>73</w:t>
            </w:r>
          </w:p>
        </w:tc>
        <w:tc>
          <w:tcPr>
            <w:tcW w:w="1116" w:type="dxa"/>
            <w:tcBorders>
              <w:top w:val="nil"/>
              <w:left w:val="nil"/>
              <w:bottom w:val="single" w:sz="4" w:space="0" w:color="auto"/>
              <w:right w:val="single" w:sz="4" w:space="0" w:color="auto"/>
            </w:tcBorders>
            <w:shd w:val="clear" w:color="auto" w:fill="auto"/>
            <w:noWrap/>
            <w:vAlign w:val="center"/>
            <w:hideMark/>
          </w:tcPr>
          <w:p w14:paraId="7F25C37A" w14:textId="6DFBF68E" w:rsidR="00EC75B5" w:rsidRPr="000A026B" w:rsidRDefault="00EC75B5" w:rsidP="00941184">
            <w:pPr>
              <w:jc w:val="right"/>
              <w:rPr>
                <w:color w:val="000000"/>
                <w:sz w:val="20"/>
                <w:szCs w:val="20"/>
              </w:rPr>
            </w:pPr>
            <w:r w:rsidRPr="000A026B">
              <w:rPr>
                <w:color w:val="000000"/>
                <w:sz w:val="20"/>
                <w:szCs w:val="20"/>
              </w:rPr>
              <w:t>1</w:t>
            </w:r>
            <w:r>
              <w:rPr>
                <w:color w:val="000000"/>
                <w:sz w:val="20"/>
                <w:szCs w:val="20"/>
              </w:rPr>
              <w:t>07</w:t>
            </w:r>
            <w:r w:rsidRPr="000A026B">
              <w:rPr>
                <w:color w:val="000000"/>
                <w:sz w:val="20"/>
                <w:szCs w:val="20"/>
              </w:rPr>
              <w:t>,8</w:t>
            </w:r>
            <w:r>
              <w:rPr>
                <w:color w:val="000000"/>
                <w:sz w:val="20"/>
                <w:szCs w:val="20"/>
              </w:rPr>
              <w:t>05</w:t>
            </w:r>
          </w:p>
        </w:tc>
        <w:tc>
          <w:tcPr>
            <w:tcW w:w="1216" w:type="dxa"/>
            <w:tcBorders>
              <w:top w:val="nil"/>
              <w:left w:val="nil"/>
              <w:bottom w:val="single" w:sz="4" w:space="0" w:color="auto"/>
              <w:right w:val="single" w:sz="4" w:space="0" w:color="auto"/>
            </w:tcBorders>
            <w:shd w:val="clear" w:color="auto" w:fill="auto"/>
            <w:noWrap/>
            <w:vAlign w:val="center"/>
            <w:hideMark/>
          </w:tcPr>
          <w:p w14:paraId="66C90D63" w14:textId="762E8737" w:rsidR="00EC75B5" w:rsidRPr="000A026B" w:rsidRDefault="00EC75B5" w:rsidP="00941184">
            <w:pPr>
              <w:jc w:val="right"/>
              <w:rPr>
                <w:color w:val="000000"/>
                <w:sz w:val="20"/>
                <w:szCs w:val="20"/>
              </w:rPr>
            </w:pPr>
            <w:r w:rsidRPr="000A026B">
              <w:rPr>
                <w:color w:val="000000"/>
                <w:sz w:val="20"/>
                <w:szCs w:val="20"/>
              </w:rPr>
              <w:t>11</w:t>
            </w:r>
            <w:r>
              <w:rPr>
                <w:color w:val="000000"/>
                <w:sz w:val="20"/>
                <w:szCs w:val="20"/>
              </w:rPr>
              <w:t>8</w:t>
            </w:r>
            <w:r w:rsidRPr="000A026B">
              <w:rPr>
                <w:color w:val="000000"/>
                <w:sz w:val="20"/>
                <w:szCs w:val="20"/>
              </w:rPr>
              <w:t>,</w:t>
            </w:r>
            <w:r>
              <w:rPr>
                <w:color w:val="000000"/>
                <w:sz w:val="20"/>
                <w:szCs w:val="20"/>
              </w:rPr>
              <w:t>878</w:t>
            </w:r>
          </w:p>
        </w:tc>
        <w:tc>
          <w:tcPr>
            <w:tcW w:w="1120" w:type="dxa"/>
            <w:tcBorders>
              <w:top w:val="nil"/>
              <w:left w:val="nil"/>
              <w:bottom w:val="single" w:sz="4" w:space="0" w:color="auto"/>
              <w:right w:val="single" w:sz="4" w:space="0" w:color="auto"/>
            </w:tcBorders>
            <w:shd w:val="clear" w:color="auto" w:fill="auto"/>
            <w:noWrap/>
            <w:vAlign w:val="center"/>
            <w:hideMark/>
          </w:tcPr>
          <w:p w14:paraId="4A1388B9" w14:textId="72063CE4" w:rsidR="00EC75B5" w:rsidRPr="000A026B" w:rsidRDefault="00EC75B5" w:rsidP="00941184">
            <w:pPr>
              <w:jc w:val="center"/>
              <w:rPr>
                <w:color w:val="000000"/>
                <w:sz w:val="20"/>
                <w:szCs w:val="20"/>
              </w:rPr>
            </w:pPr>
            <w:r w:rsidRPr="000A026B">
              <w:rPr>
                <w:color w:val="000000"/>
                <w:sz w:val="20"/>
                <w:szCs w:val="20"/>
              </w:rPr>
              <w:t>2</w:t>
            </w:r>
            <w:r>
              <w:rPr>
                <w:color w:val="000000"/>
                <w:sz w:val="20"/>
                <w:szCs w:val="20"/>
              </w:rPr>
              <w:t>1</w:t>
            </w:r>
          </w:p>
        </w:tc>
        <w:tc>
          <w:tcPr>
            <w:tcW w:w="972" w:type="dxa"/>
            <w:tcBorders>
              <w:top w:val="nil"/>
              <w:left w:val="nil"/>
              <w:bottom w:val="single" w:sz="4" w:space="0" w:color="auto"/>
              <w:right w:val="single" w:sz="4" w:space="0" w:color="auto"/>
            </w:tcBorders>
            <w:shd w:val="clear" w:color="auto" w:fill="auto"/>
            <w:noWrap/>
            <w:vAlign w:val="center"/>
            <w:hideMark/>
          </w:tcPr>
          <w:p w14:paraId="6A71016A" w14:textId="745AF707" w:rsidR="00EC75B5" w:rsidRPr="000A026B" w:rsidRDefault="00EC75B5" w:rsidP="00941184">
            <w:pPr>
              <w:jc w:val="center"/>
              <w:rPr>
                <w:color w:val="000000"/>
                <w:sz w:val="20"/>
                <w:szCs w:val="20"/>
              </w:rPr>
            </w:pPr>
            <w:r w:rsidRPr="000A026B">
              <w:rPr>
                <w:color w:val="000000"/>
                <w:sz w:val="20"/>
                <w:szCs w:val="20"/>
              </w:rPr>
              <w:t>20</w:t>
            </w:r>
          </w:p>
        </w:tc>
        <w:tc>
          <w:tcPr>
            <w:tcW w:w="1540" w:type="dxa"/>
            <w:tcBorders>
              <w:top w:val="nil"/>
              <w:left w:val="nil"/>
              <w:bottom w:val="single" w:sz="4" w:space="0" w:color="auto"/>
              <w:right w:val="single" w:sz="4" w:space="0" w:color="auto"/>
            </w:tcBorders>
            <w:shd w:val="clear" w:color="auto" w:fill="auto"/>
            <w:noWrap/>
            <w:vAlign w:val="bottom"/>
            <w:hideMark/>
          </w:tcPr>
          <w:p w14:paraId="0C50220B" w14:textId="60C3BFA7" w:rsidR="00EC75B5" w:rsidRPr="000A026B" w:rsidRDefault="00EC75B5" w:rsidP="00941184">
            <w:pPr>
              <w:jc w:val="center"/>
              <w:rPr>
                <w:color w:val="000000"/>
                <w:sz w:val="20"/>
                <w:szCs w:val="20"/>
              </w:rPr>
            </w:pPr>
            <w:r w:rsidRPr="000A026B">
              <w:rPr>
                <w:color w:val="000000"/>
                <w:sz w:val="20"/>
                <w:szCs w:val="20"/>
              </w:rPr>
              <w:t>No</w:t>
            </w:r>
          </w:p>
        </w:tc>
      </w:tr>
      <w:tr w:rsidR="00EC75B5" w:rsidRPr="000A026B" w14:paraId="6587F46F"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tcPr>
          <w:p w14:paraId="41BE2412" w14:textId="509C4A1A" w:rsidR="00EC75B5" w:rsidRPr="001A2F6D" w:rsidRDefault="00EC75B5" w:rsidP="00941184">
            <w:pPr>
              <w:rPr>
                <w:bCs/>
                <w:i/>
                <w:iCs/>
                <w:color w:val="000000"/>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14:paraId="367A99EF" w14:textId="16D39885" w:rsidR="00EC75B5" w:rsidRPr="000A026B" w:rsidRDefault="00EC75B5" w:rsidP="00941184">
            <w:pPr>
              <w:jc w:val="right"/>
              <w:rPr>
                <w:i/>
                <w:iCs/>
                <w:color w:val="000000"/>
                <w:sz w:val="20"/>
                <w:szCs w:val="20"/>
              </w:rPr>
            </w:pPr>
          </w:p>
        </w:tc>
        <w:tc>
          <w:tcPr>
            <w:tcW w:w="1116" w:type="dxa"/>
            <w:tcBorders>
              <w:top w:val="nil"/>
              <w:left w:val="nil"/>
              <w:bottom w:val="single" w:sz="4" w:space="0" w:color="auto"/>
              <w:right w:val="single" w:sz="4" w:space="0" w:color="auto"/>
            </w:tcBorders>
            <w:shd w:val="clear" w:color="auto" w:fill="auto"/>
            <w:noWrap/>
            <w:vAlign w:val="center"/>
          </w:tcPr>
          <w:p w14:paraId="18704609" w14:textId="4E8EEE52" w:rsidR="00EC75B5" w:rsidRPr="000A026B" w:rsidRDefault="00EC75B5" w:rsidP="00941184">
            <w:pPr>
              <w:jc w:val="right"/>
              <w:rPr>
                <w:i/>
                <w:iCs/>
                <w:color w:val="000000"/>
                <w:sz w:val="20"/>
                <w:szCs w:val="20"/>
              </w:rPr>
            </w:pPr>
          </w:p>
        </w:tc>
        <w:tc>
          <w:tcPr>
            <w:tcW w:w="1216" w:type="dxa"/>
            <w:tcBorders>
              <w:top w:val="nil"/>
              <w:left w:val="nil"/>
              <w:bottom w:val="single" w:sz="4" w:space="0" w:color="auto"/>
              <w:right w:val="single" w:sz="4" w:space="0" w:color="auto"/>
            </w:tcBorders>
            <w:shd w:val="clear" w:color="auto" w:fill="auto"/>
            <w:noWrap/>
            <w:vAlign w:val="center"/>
          </w:tcPr>
          <w:p w14:paraId="263B8370" w14:textId="5C59AEFB" w:rsidR="00EC75B5" w:rsidRPr="000A026B" w:rsidRDefault="00EC75B5" w:rsidP="00941184">
            <w:pPr>
              <w:jc w:val="right"/>
              <w:rPr>
                <w:i/>
                <w:iCs/>
                <w:color w:val="000000"/>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14:paraId="542E340E" w14:textId="779AC24D" w:rsidR="00EC75B5" w:rsidRPr="000A026B" w:rsidRDefault="00EC75B5" w:rsidP="00941184">
            <w:pPr>
              <w:jc w:val="center"/>
              <w:rPr>
                <w:i/>
                <w:iCs/>
                <w:color w:val="000000"/>
                <w:sz w:val="20"/>
                <w:szCs w:val="20"/>
              </w:rPr>
            </w:pPr>
          </w:p>
        </w:tc>
        <w:tc>
          <w:tcPr>
            <w:tcW w:w="972" w:type="dxa"/>
            <w:tcBorders>
              <w:top w:val="nil"/>
              <w:left w:val="nil"/>
              <w:bottom w:val="single" w:sz="4" w:space="0" w:color="auto"/>
              <w:right w:val="single" w:sz="4" w:space="0" w:color="auto"/>
            </w:tcBorders>
            <w:shd w:val="clear" w:color="auto" w:fill="auto"/>
            <w:noWrap/>
            <w:vAlign w:val="center"/>
          </w:tcPr>
          <w:p w14:paraId="0B8FEB29" w14:textId="071CEC20" w:rsidR="00EC75B5" w:rsidRPr="000A026B" w:rsidRDefault="00EC75B5" w:rsidP="00941184">
            <w:pPr>
              <w:jc w:val="center"/>
              <w:rPr>
                <w:i/>
                <w:iCs/>
                <w:color w:val="000000"/>
                <w:sz w:val="20"/>
                <w:szCs w:val="20"/>
              </w:rPr>
            </w:pPr>
          </w:p>
        </w:tc>
        <w:tc>
          <w:tcPr>
            <w:tcW w:w="1540" w:type="dxa"/>
            <w:tcBorders>
              <w:top w:val="nil"/>
              <w:left w:val="nil"/>
              <w:bottom w:val="single" w:sz="4" w:space="0" w:color="auto"/>
              <w:right w:val="single" w:sz="4" w:space="0" w:color="auto"/>
            </w:tcBorders>
            <w:shd w:val="clear" w:color="auto" w:fill="auto"/>
            <w:noWrap/>
            <w:vAlign w:val="bottom"/>
          </w:tcPr>
          <w:p w14:paraId="2B3D30DA" w14:textId="7B9B4DAE" w:rsidR="00EC75B5" w:rsidRPr="000A026B" w:rsidRDefault="00EC75B5" w:rsidP="00941184">
            <w:pPr>
              <w:jc w:val="center"/>
              <w:rPr>
                <w:i/>
                <w:iCs/>
                <w:color w:val="000000"/>
                <w:sz w:val="20"/>
                <w:szCs w:val="20"/>
              </w:rPr>
            </w:pPr>
          </w:p>
        </w:tc>
      </w:tr>
      <w:tr w:rsidR="00EC75B5" w:rsidRPr="000A026B" w14:paraId="053D14EB"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2BB92CFA" w14:textId="1000060C" w:rsidR="00EC75B5" w:rsidRPr="001A2F6D" w:rsidRDefault="00EC75B5" w:rsidP="00941184">
            <w:pPr>
              <w:rPr>
                <w:bCs/>
                <w:color w:val="000000"/>
                <w:sz w:val="20"/>
                <w:szCs w:val="20"/>
              </w:rPr>
            </w:pPr>
            <w:r w:rsidRPr="001A2F6D">
              <w:rPr>
                <w:bCs/>
                <w:color w:val="000000"/>
                <w:sz w:val="20"/>
                <w:szCs w:val="20"/>
              </w:rPr>
              <w:t>Toadfishes</w:t>
            </w:r>
          </w:p>
        </w:tc>
        <w:tc>
          <w:tcPr>
            <w:tcW w:w="1116" w:type="dxa"/>
            <w:tcBorders>
              <w:top w:val="nil"/>
              <w:left w:val="nil"/>
              <w:bottom w:val="single" w:sz="4" w:space="0" w:color="auto"/>
              <w:right w:val="single" w:sz="4" w:space="0" w:color="auto"/>
            </w:tcBorders>
            <w:shd w:val="clear" w:color="auto" w:fill="auto"/>
            <w:noWrap/>
            <w:vAlign w:val="center"/>
            <w:hideMark/>
          </w:tcPr>
          <w:p w14:paraId="79FF46D0" w14:textId="6BF4BB52" w:rsidR="00EC75B5" w:rsidRPr="000A026B" w:rsidRDefault="00EC75B5" w:rsidP="00941184">
            <w:pPr>
              <w:jc w:val="right"/>
              <w:rPr>
                <w:color w:val="000000"/>
                <w:sz w:val="20"/>
                <w:szCs w:val="20"/>
              </w:rPr>
            </w:pPr>
            <w:r w:rsidRPr="000A026B">
              <w:rPr>
                <w:color w:val="000000"/>
                <w:sz w:val="20"/>
                <w:szCs w:val="20"/>
              </w:rPr>
              <w:t>1</w:t>
            </w:r>
            <w:r>
              <w:rPr>
                <w:color w:val="000000"/>
                <w:sz w:val="20"/>
                <w:szCs w:val="20"/>
              </w:rPr>
              <w:t>1</w:t>
            </w:r>
            <w:r w:rsidRPr="000A026B">
              <w:rPr>
                <w:color w:val="000000"/>
                <w:sz w:val="20"/>
                <w:szCs w:val="20"/>
              </w:rPr>
              <w:t>,</w:t>
            </w:r>
            <w:r>
              <w:rPr>
                <w:color w:val="000000"/>
                <w:sz w:val="20"/>
                <w:szCs w:val="20"/>
              </w:rPr>
              <w:t>4</w:t>
            </w:r>
            <w:r w:rsidRPr="000A026B">
              <w:rPr>
                <w:color w:val="000000"/>
                <w:sz w:val="20"/>
                <w:szCs w:val="20"/>
              </w:rPr>
              <w:t>3</w:t>
            </w:r>
            <w:r>
              <w:rPr>
                <w:color w:val="000000"/>
                <w:sz w:val="20"/>
                <w:szCs w:val="20"/>
              </w:rPr>
              <w:t>4</w:t>
            </w:r>
          </w:p>
        </w:tc>
        <w:tc>
          <w:tcPr>
            <w:tcW w:w="1116" w:type="dxa"/>
            <w:tcBorders>
              <w:top w:val="nil"/>
              <w:left w:val="nil"/>
              <w:bottom w:val="single" w:sz="4" w:space="0" w:color="auto"/>
              <w:right w:val="single" w:sz="4" w:space="0" w:color="auto"/>
            </w:tcBorders>
            <w:shd w:val="clear" w:color="auto" w:fill="auto"/>
            <w:noWrap/>
            <w:vAlign w:val="center"/>
            <w:hideMark/>
          </w:tcPr>
          <w:p w14:paraId="514C8B27" w14:textId="26C32523" w:rsidR="00EC75B5" w:rsidRPr="000A026B" w:rsidRDefault="00EC75B5" w:rsidP="00941184">
            <w:pPr>
              <w:jc w:val="right"/>
              <w:rPr>
                <w:color w:val="000000"/>
                <w:sz w:val="20"/>
                <w:szCs w:val="20"/>
              </w:rPr>
            </w:pPr>
            <w:r w:rsidRPr="000A026B">
              <w:rPr>
                <w:color w:val="000000"/>
                <w:sz w:val="20"/>
                <w:szCs w:val="20"/>
              </w:rPr>
              <w:t>4</w:t>
            </w:r>
            <w:r>
              <w:rPr>
                <w:color w:val="000000"/>
                <w:sz w:val="20"/>
                <w:szCs w:val="20"/>
              </w:rPr>
              <w:t>86</w:t>
            </w:r>
            <w:r w:rsidRPr="000A026B">
              <w:rPr>
                <w:color w:val="000000"/>
                <w:sz w:val="20"/>
                <w:szCs w:val="20"/>
              </w:rPr>
              <w:t>,</w:t>
            </w:r>
            <w:r>
              <w:rPr>
                <w:color w:val="000000"/>
                <w:sz w:val="20"/>
                <w:szCs w:val="20"/>
              </w:rPr>
              <w:t>591</w:t>
            </w:r>
          </w:p>
        </w:tc>
        <w:tc>
          <w:tcPr>
            <w:tcW w:w="1216" w:type="dxa"/>
            <w:tcBorders>
              <w:top w:val="nil"/>
              <w:left w:val="nil"/>
              <w:bottom w:val="single" w:sz="4" w:space="0" w:color="auto"/>
              <w:right w:val="single" w:sz="4" w:space="0" w:color="auto"/>
            </w:tcBorders>
            <w:shd w:val="clear" w:color="auto" w:fill="auto"/>
            <w:noWrap/>
            <w:vAlign w:val="center"/>
            <w:hideMark/>
          </w:tcPr>
          <w:p w14:paraId="00833F19" w14:textId="27747C5E" w:rsidR="00EC75B5" w:rsidRPr="000A026B" w:rsidRDefault="00EC75B5" w:rsidP="00941184">
            <w:pPr>
              <w:jc w:val="right"/>
              <w:rPr>
                <w:color w:val="000000"/>
                <w:sz w:val="20"/>
                <w:szCs w:val="20"/>
              </w:rPr>
            </w:pPr>
            <w:r w:rsidRPr="000A026B">
              <w:rPr>
                <w:color w:val="000000"/>
                <w:sz w:val="20"/>
                <w:szCs w:val="20"/>
              </w:rPr>
              <w:t>4</w:t>
            </w:r>
            <w:r>
              <w:rPr>
                <w:color w:val="000000"/>
                <w:sz w:val="20"/>
                <w:szCs w:val="20"/>
              </w:rPr>
              <w:t>98</w:t>
            </w:r>
            <w:r w:rsidRPr="000A026B">
              <w:rPr>
                <w:color w:val="000000"/>
                <w:sz w:val="20"/>
                <w:szCs w:val="20"/>
              </w:rPr>
              <w:t>,0</w:t>
            </w:r>
            <w:r>
              <w:rPr>
                <w:color w:val="000000"/>
                <w:sz w:val="20"/>
                <w:szCs w:val="20"/>
              </w:rPr>
              <w:t>25</w:t>
            </w:r>
          </w:p>
        </w:tc>
        <w:tc>
          <w:tcPr>
            <w:tcW w:w="1120" w:type="dxa"/>
            <w:tcBorders>
              <w:top w:val="nil"/>
              <w:left w:val="nil"/>
              <w:bottom w:val="single" w:sz="4" w:space="0" w:color="auto"/>
              <w:right w:val="single" w:sz="4" w:space="0" w:color="auto"/>
            </w:tcBorders>
            <w:shd w:val="clear" w:color="auto" w:fill="auto"/>
            <w:noWrap/>
            <w:vAlign w:val="center"/>
            <w:hideMark/>
          </w:tcPr>
          <w:p w14:paraId="46185316" w14:textId="3AD3F505" w:rsidR="00EC75B5" w:rsidRPr="000A026B" w:rsidRDefault="00EC75B5" w:rsidP="00941184">
            <w:pPr>
              <w:jc w:val="center"/>
              <w:rPr>
                <w:color w:val="000000"/>
                <w:sz w:val="20"/>
                <w:szCs w:val="20"/>
              </w:rPr>
            </w:pPr>
            <w:r>
              <w:rPr>
                <w:color w:val="000000"/>
                <w:sz w:val="20"/>
                <w:szCs w:val="20"/>
              </w:rPr>
              <w:t>20</w:t>
            </w:r>
          </w:p>
        </w:tc>
        <w:tc>
          <w:tcPr>
            <w:tcW w:w="972" w:type="dxa"/>
            <w:tcBorders>
              <w:top w:val="nil"/>
              <w:left w:val="nil"/>
              <w:bottom w:val="single" w:sz="4" w:space="0" w:color="auto"/>
              <w:right w:val="single" w:sz="4" w:space="0" w:color="auto"/>
            </w:tcBorders>
            <w:shd w:val="clear" w:color="auto" w:fill="auto"/>
            <w:noWrap/>
            <w:vAlign w:val="center"/>
            <w:hideMark/>
          </w:tcPr>
          <w:p w14:paraId="2E3844E4" w14:textId="706B969B" w:rsidR="00EC75B5" w:rsidRPr="000A026B" w:rsidRDefault="00EC75B5" w:rsidP="00941184">
            <w:pPr>
              <w:jc w:val="center"/>
              <w:rPr>
                <w:color w:val="000000"/>
                <w:sz w:val="20"/>
                <w:szCs w:val="20"/>
              </w:rPr>
            </w:pPr>
            <w:r w:rsidRPr="000A026B">
              <w:rPr>
                <w:color w:val="000000"/>
                <w:sz w:val="20"/>
                <w:szCs w:val="20"/>
              </w:rPr>
              <w:t>16</w:t>
            </w:r>
          </w:p>
        </w:tc>
        <w:tc>
          <w:tcPr>
            <w:tcW w:w="1540" w:type="dxa"/>
            <w:tcBorders>
              <w:top w:val="nil"/>
              <w:left w:val="nil"/>
              <w:bottom w:val="single" w:sz="4" w:space="0" w:color="auto"/>
              <w:right w:val="single" w:sz="4" w:space="0" w:color="auto"/>
            </w:tcBorders>
            <w:shd w:val="clear" w:color="auto" w:fill="auto"/>
            <w:noWrap/>
            <w:vAlign w:val="bottom"/>
            <w:hideMark/>
          </w:tcPr>
          <w:p w14:paraId="3FB7B239" w14:textId="6A7DB7AF" w:rsidR="00EC75B5" w:rsidRPr="000A026B" w:rsidRDefault="00EC75B5" w:rsidP="00941184">
            <w:pPr>
              <w:jc w:val="center"/>
              <w:rPr>
                <w:color w:val="000000"/>
                <w:sz w:val="20"/>
                <w:szCs w:val="20"/>
              </w:rPr>
            </w:pPr>
            <w:r w:rsidRPr="000A026B">
              <w:rPr>
                <w:color w:val="000000"/>
                <w:sz w:val="20"/>
                <w:szCs w:val="20"/>
              </w:rPr>
              <w:t>No</w:t>
            </w:r>
          </w:p>
        </w:tc>
      </w:tr>
      <w:tr w:rsidR="00DB18EC" w:rsidRPr="000A026B" w14:paraId="53194ECC" w14:textId="77777777" w:rsidTr="00DB18EC">
        <w:trPr>
          <w:trHeight w:val="300"/>
        </w:trPr>
        <w:tc>
          <w:tcPr>
            <w:tcW w:w="21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CE518D" w14:textId="77777777" w:rsidR="00DB18EC" w:rsidRPr="000A026B" w:rsidRDefault="00DB18EC" w:rsidP="00611C4C">
            <w:pPr>
              <w:jc w:val="center"/>
              <w:rPr>
                <w:b/>
                <w:bCs/>
                <w:color w:val="000000"/>
                <w:sz w:val="20"/>
                <w:szCs w:val="20"/>
              </w:rPr>
            </w:pPr>
            <w:r w:rsidRPr="000A026B">
              <w:rPr>
                <w:b/>
                <w:bCs/>
                <w:color w:val="000000"/>
                <w:sz w:val="20"/>
                <w:szCs w:val="20"/>
              </w:rPr>
              <w:lastRenderedPageBreak/>
              <w:t>Species Group</w:t>
            </w:r>
          </w:p>
        </w:tc>
        <w:tc>
          <w:tcPr>
            <w:tcW w:w="344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71B740D" w14:textId="77777777" w:rsidR="00DB18EC" w:rsidRPr="000A026B" w:rsidRDefault="00DB18EC" w:rsidP="00611C4C">
            <w:pPr>
              <w:jc w:val="center"/>
              <w:rPr>
                <w:b/>
                <w:bCs/>
                <w:color w:val="000000"/>
                <w:sz w:val="20"/>
                <w:szCs w:val="20"/>
              </w:rPr>
            </w:pPr>
            <w:r w:rsidRPr="000A026B">
              <w:rPr>
                <w:b/>
                <w:bCs/>
                <w:color w:val="000000"/>
                <w:sz w:val="20"/>
                <w:szCs w:val="20"/>
              </w:rPr>
              <w:t>Number of Fish</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3FEACB" w14:textId="77777777" w:rsidR="00DB18EC" w:rsidRPr="000A026B" w:rsidRDefault="00DB18EC" w:rsidP="00611C4C">
            <w:pPr>
              <w:jc w:val="center"/>
              <w:rPr>
                <w:b/>
                <w:bCs/>
                <w:color w:val="000000"/>
                <w:sz w:val="20"/>
                <w:szCs w:val="20"/>
              </w:rPr>
            </w:pPr>
            <w:r w:rsidRPr="000A026B">
              <w:rPr>
                <w:b/>
                <w:bCs/>
                <w:color w:val="000000"/>
                <w:sz w:val="20"/>
                <w:szCs w:val="20"/>
              </w:rPr>
              <w:t>Rank Harvested</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1F3FF2" w14:textId="77777777" w:rsidR="00DB18EC" w:rsidRPr="000A026B" w:rsidRDefault="00DB18EC" w:rsidP="00611C4C">
            <w:pPr>
              <w:jc w:val="center"/>
              <w:rPr>
                <w:b/>
                <w:bCs/>
                <w:color w:val="000000"/>
                <w:sz w:val="20"/>
                <w:szCs w:val="20"/>
              </w:rPr>
            </w:pPr>
            <w:r w:rsidRPr="000A026B">
              <w:rPr>
                <w:b/>
                <w:bCs/>
                <w:color w:val="000000"/>
                <w:sz w:val="20"/>
                <w:szCs w:val="20"/>
              </w:rPr>
              <w:t>Rank Released</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7E4E45A" w14:textId="77777777" w:rsidR="00DB18EC" w:rsidRPr="000A026B" w:rsidRDefault="00DB18EC" w:rsidP="00611C4C">
            <w:pPr>
              <w:jc w:val="center"/>
              <w:rPr>
                <w:b/>
                <w:bCs/>
                <w:color w:val="000000"/>
                <w:sz w:val="20"/>
                <w:szCs w:val="20"/>
              </w:rPr>
            </w:pPr>
            <w:r w:rsidRPr="000A026B">
              <w:rPr>
                <w:b/>
                <w:bCs/>
                <w:color w:val="000000"/>
                <w:sz w:val="20"/>
                <w:szCs w:val="20"/>
              </w:rPr>
              <w:t>In snapper-grouper fishery</w:t>
            </w:r>
          </w:p>
        </w:tc>
      </w:tr>
      <w:tr w:rsidR="00DB18EC" w:rsidRPr="000A026B" w14:paraId="5D0592BB" w14:textId="77777777" w:rsidTr="00DB18EC">
        <w:trPr>
          <w:trHeight w:val="300"/>
        </w:trPr>
        <w:tc>
          <w:tcPr>
            <w:tcW w:w="21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F0DCDA" w14:textId="77777777" w:rsidR="00DB18EC" w:rsidRPr="000A026B" w:rsidRDefault="00DB18EC" w:rsidP="00611C4C">
            <w:pPr>
              <w:rPr>
                <w:b/>
                <w:bCs/>
                <w:color w:val="000000"/>
                <w:sz w:val="20"/>
                <w:szCs w:val="20"/>
              </w:rPr>
            </w:pPr>
          </w:p>
        </w:tc>
        <w:tc>
          <w:tcPr>
            <w:tcW w:w="1116" w:type="dxa"/>
            <w:tcBorders>
              <w:top w:val="nil"/>
              <w:left w:val="nil"/>
              <w:bottom w:val="single" w:sz="4" w:space="0" w:color="auto"/>
              <w:right w:val="single" w:sz="4" w:space="0" w:color="auto"/>
            </w:tcBorders>
            <w:shd w:val="clear" w:color="auto" w:fill="D9D9D9" w:themeFill="background1" w:themeFillShade="D9"/>
            <w:noWrap/>
            <w:vAlign w:val="center"/>
            <w:hideMark/>
          </w:tcPr>
          <w:p w14:paraId="0F554A86" w14:textId="77777777" w:rsidR="00DB18EC" w:rsidRPr="000A026B" w:rsidRDefault="00DB18EC" w:rsidP="00611C4C">
            <w:pPr>
              <w:jc w:val="center"/>
              <w:rPr>
                <w:b/>
                <w:bCs/>
                <w:color w:val="000000"/>
                <w:sz w:val="20"/>
                <w:szCs w:val="20"/>
              </w:rPr>
            </w:pPr>
            <w:r w:rsidRPr="000A026B">
              <w:rPr>
                <w:b/>
                <w:bCs/>
                <w:color w:val="000000"/>
                <w:sz w:val="20"/>
                <w:szCs w:val="20"/>
              </w:rPr>
              <w:t>Harvested</w:t>
            </w:r>
          </w:p>
        </w:tc>
        <w:tc>
          <w:tcPr>
            <w:tcW w:w="1116" w:type="dxa"/>
            <w:tcBorders>
              <w:top w:val="nil"/>
              <w:left w:val="nil"/>
              <w:bottom w:val="single" w:sz="4" w:space="0" w:color="auto"/>
              <w:right w:val="single" w:sz="4" w:space="0" w:color="auto"/>
            </w:tcBorders>
            <w:shd w:val="clear" w:color="auto" w:fill="D9D9D9" w:themeFill="background1" w:themeFillShade="D9"/>
            <w:noWrap/>
            <w:vAlign w:val="center"/>
            <w:hideMark/>
          </w:tcPr>
          <w:p w14:paraId="5618BA6A" w14:textId="77777777" w:rsidR="00DB18EC" w:rsidRPr="000A026B" w:rsidRDefault="00DB18EC" w:rsidP="00611C4C">
            <w:pPr>
              <w:jc w:val="center"/>
              <w:rPr>
                <w:b/>
                <w:bCs/>
                <w:color w:val="000000"/>
                <w:sz w:val="20"/>
                <w:szCs w:val="20"/>
              </w:rPr>
            </w:pPr>
            <w:r w:rsidRPr="000A026B">
              <w:rPr>
                <w:b/>
                <w:bCs/>
                <w:color w:val="000000"/>
                <w:sz w:val="20"/>
                <w:szCs w:val="20"/>
              </w:rPr>
              <w:t>Released</w:t>
            </w:r>
          </w:p>
        </w:tc>
        <w:tc>
          <w:tcPr>
            <w:tcW w:w="1216" w:type="dxa"/>
            <w:tcBorders>
              <w:top w:val="nil"/>
              <w:left w:val="nil"/>
              <w:bottom w:val="single" w:sz="4" w:space="0" w:color="auto"/>
              <w:right w:val="single" w:sz="4" w:space="0" w:color="auto"/>
            </w:tcBorders>
            <w:shd w:val="clear" w:color="auto" w:fill="D9D9D9" w:themeFill="background1" w:themeFillShade="D9"/>
            <w:noWrap/>
            <w:vAlign w:val="center"/>
            <w:hideMark/>
          </w:tcPr>
          <w:p w14:paraId="0DB45625" w14:textId="77777777" w:rsidR="00DB18EC" w:rsidRPr="000A026B" w:rsidRDefault="00DB18EC" w:rsidP="00611C4C">
            <w:pPr>
              <w:jc w:val="center"/>
              <w:rPr>
                <w:b/>
                <w:bCs/>
                <w:color w:val="000000"/>
                <w:sz w:val="20"/>
                <w:szCs w:val="20"/>
              </w:rPr>
            </w:pPr>
            <w:r w:rsidRPr="000A026B">
              <w:rPr>
                <w:b/>
                <w:bCs/>
                <w:color w:val="000000"/>
                <w:sz w:val="20"/>
                <w:szCs w:val="20"/>
              </w:rPr>
              <w:t>Total</w:t>
            </w:r>
          </w:p>
        </w:tc>
        <w:tc>
          <w:tcPr>
            <w:tcW w:w="112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59708D" w14:textId="77777777" w:rsidR="00DB18EC" w:rsidRPr="000A026B" w:rsidRDefault="00DB18EC" w:rsidP="00611C4C">
            <w:pPr>
              <w:rPr>
                <w:b/>
                <w:bCs/>
                <w:color w:val="000000"/>
                <w:sz w:val="20"/>
                <w:szCs w:val="20"/>
              </w:rPr>
            </w:pPr>
          </w:p>
        </w:tc>
        <w:tc>
          <w:tcPr>
            <w:tcW w:w="97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3FCA62" w14:textId="77777777" w:rsidR="00DB18EC" w:rsidRPr="000A026B" w:rsidRDefault="00DB18EC" w:rsidP="00611C4C">
            <w:pPr>
              <w:rPr>
                <w:b/>
                <w:bCs/>
                <w:color w:val="000000"/>
                <w:sz w:val="20"/>
                <w:szCs w:val="20"/>
              </w:rPr>
            </w:pPr>
          </w:p>
        </w:tc>
        <w:tc>
          <w:tcPr>
            <w:tcW w:w="154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E43E06E" w14:textId="77777777" w:rsidR="00DB18EC" w:rsidRPr="000A026B" w:rsidRDefault="00DB18EC" w:rsidP="00611C4C">
            <w:pPr>
              <w:rPr>
                <w:b/>
                <w:bCs/>
                <w:color w:val="000000"/>
                <w:sz w:val="20"/>
                <w:szCs w:val="20"/>
              </w:rPr>
            </w:pPr>
          </w:p>
        </w:tc>
      </w:tr>
      <w:tr w:rsidR="00EC75B5" w:rsidRPr="000A026B" w14:paraId="518D1B74"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tcPr>
          <w:p w14:paraId="5F73DA3E" w14:textId="388DB427" w:rsidR="00EC75B5" w:rsidRPr="001A2F6D" w:rsidRDefault="00EC75B5" w:rsidP="00941184">
            <w:pPr>
              <w:rPr>
                <w:bCs/>
                <w:color w:val="000000"/>
                <w:sz w:val="20"/>
                <w:szCs w:val="20"/>
              </w:rPr>
            </w:pPr>
            <w:r w:rsidRPr="001A2F6D">
              <w:rPr>
                <w:bCs/>
                <w:i/>
                <w:iCs/>
                <w:color w:val="000000"/>
                <w:sz w:val="20"/>
                <w:szCs w:val="20"/>
              </w:rPr>
              <w:t>T</w:t>
            </w:r>
            <w:r>
              <w:rPr>
                <w:bCs/>
                <w:i/>
                <w:iCs/>
                <w:color w:val="000000"/>
                <w:sz w:val="20"/>
                <w:szCs w:val="20"/>
              </w:rPr>
              <w:t>r</w:t>
            </w:r>
            <w:r w:rsidRPr="001A2F6D">
              <w:rPr>
                <w:bCs/>
                <w:i/>
                <w:iCs/>
                <w:color w:val="000000"/>
                <w:sz w:val="20"/>
                <w:szCs w:val="20"/>
              </w:rPr>
              <w:t>iggerfishes/Filefishes</w:t>
            </w:r>
          </w:p>
        </w:tc>
        <w:tc>
          <w:tcPr>
            <w:tcW w:w="1116" w:type="dxa"/>
            <w:tcBorders>
              <w:top w:val="nil"/>
              <w:left w:val="nil"/>
              <w:bottom w:val="single" w:sz="4" w:space="0" w:color="auto"/>
              <w:right w:val="single" w:sz="4" w:space="0" w:color="auto"/>
            </w:tcBorders>
            <w:shd w:val="clear" w:color="auto" w:fill="auto"/>
            <w:noWrap/>
            <w:vAlign w:val="center"/>
          </w:tcPr>
          <w:p w14:paraId="7A8854C9" w14:textId="0539C122" w:rsidR="00EC75B5" w:rsidRPr="000A026B" w:rsidRDefault="00EC75B5" w:rsidP="00941184">
            <w:pPr>
              <w:jc w:val="right"/>
              <w:rPr>
                <w:color w:val="000000"/>
                <w:sz w:val="20"/>
                <w:szCs w:val="20"/>
              </w:rPr>
            </w:pPr>
            <w:r w:rsidRPr="000A026B">
              <w:rPr>
                <w:i/>
                <w:iCs/>
                <w:color w:val="000000"/>
                <w:sz w:val="20"/>
                <w:szCs w:val="20"/>
              </w:rPr>
              <w:t>1</w:t>
            </w:r>
            <w:r>
              <w:rPr>
                <w:i/>
                <w:iCs/>
                <w:color w:val="000000"/>
                <w:sz w:val="20"/>
                <w:szCs w:val="20"/>
              </w:rPr>
              <w:t>84</w:t>
            </w:r>
            <w:r w:rsidRPr="000A026B">
              <w:rPr>
                <w:i/>
                <w:iCs/>
                <w:color w:val="000000"/>
                <w:sz w:val="20"/>
                <w:szCs w:val="20"/>
              </w:rPr>
              <w:t>,</w:t>
            </w:r>
            <w:r>
              <w:rPr>
                <w:i/>
                <w:iCs/>
                <w:color w:val="000000"/>
                <w:sz w:val="20"/>
                <w:szCs w:val="20"/>
              </w:rPr>
              <w:t>06</w:t>
            </w:r>
            <w:r w:rsidRPr="000A026B">
              <w:rPr>
                <w:i/>
                <w:iCs/>
                <w:color w:val="000000"/>
                <w:sz w:val="20"/>
                <w:szCs w:val="20"/>
              </w:rPr>
              <w:t>5</w:t>
            </w:r>
          </w:p>
        </w:tc>
        <w:tc>
          <w:tcPr>
            <w:tcW w:w="1116" w:type="dxa"/>
            <w:tcBorders>
              <w:top w:val="nil"/>
              <w:left w:val="nil"/>
              <w:bottom w:val="single" w:sz="4" w:space="0" w:color="auto"/>
              <w:right w:val="single" w:sz="4" w:space="0" w:color="auto"/>
            </w:tcBorders>
            <w:shd w:val="clear" w:color="auto" w:fill="auto"/>
            <w:noWrap/>
            <w:vAlign w:val="center"/>
          </w:tcPr>
          <w:p w14:paraId="5B29A22C" w14:textId="4EB5400E" w:rsidR="00EC75B5" w:rsidRPr="000A026B" w:rsidRDefault="00EC75B5" w:rsidP="00941184">
            <w:pPr>
              <w:jc w:val="right"/>
              <w:rPr>
                <w:color w:val="000000"/>
                <w:sz w:val="20"/>
                <w:szCs w:val="20"/>
              </w:rPr>
            </w:pPr>
            <w:r w:rsidRPr="000A026B">
              <w:rPr>
                <w:i/>
                <w:iCs/>
                <w:color w:val="000000"/>
                <w:sz w:val="20"/>
                <w:szCs w:val="20"/>
              </w:rPr>
              <w:t>1</w:t>
            </w:r>
            <w:r>
              <w:rPr>
                <w:i/>
                <w:iCs/>
                <w:color w:val="000000"/>
                <w:sz w:val="20"/>
                <w:szCs w:val="20"/>
              </w:rPr>
              <w:t>52</w:t>
            </w:r>
            <w:r w:rsidRPr="000A026B">
              <w:rPr>
                <w:i/>
                <w:iCs/>
                <w:color w:val="000000"/>
                <w:sz w:val="20"/>
                <w:szCs w:val="20"/>
              </w:rPr>
              <w:t>,</w:t>
            </w:r>
            <w:r>
              <w:rPr>
                <w:i/>
                <w:iCs/>
                <w:color w:val="000000"/>
                <w:sz w:val="20"/>
                <w:szCs w:val="20"/>
              </w:rPr>
              <w:t>3</w:t>
            </w:r>
            <w:r w:rsidRPr="000A026B">
              <w:rPr>
                <w:i/>
                <w:iCs/>
                <w:color w:val="000000"/>
                <w:sz w:val="20"/>
                <w:szCs w:val="20"/>
              </w:rPr>
              <w:t>4</w:t>
            </w:r>
            <w:r>
              <w:rPr>
                <w:i/>
                <w:iCs/>
                <w:color w:val="000000"/>
                <w:sz w:val="20"/>
                <w:szCs w:val="20"/>
              </w:rPr>
              <w:t>1</w:t>
            </w:r>
          </w:p>
        </w:tc>
        <w:tc>
          <w:tcPr>
            <w:tcW w:w="1216" w:type="dxa"/>
            <w:tcBorders>
              <w:top w:val="nil"/>
              <w:left w:val="nil"/>
              <w:bottom w:val="single" w:sz="4" w:space="0" w:color="auto"/>
              <w:right w:val="single" w:sz="4" w:space="0" w:color="auto"/>
            </w:tcBorders>
            <w:shd w:val="clear" w:color="auto" w:fill="auto"/>
            <w:noWrap/>
            <w:vAlign w:val="center"/>
          </w:tcPr>
          <w:p w14:paraId="673F5543" w14:textId="0264936E" w:rsidR="00EC75B5" w:rsidRPr="000A026B" w:rsidRDefault="00EC75B5" w:rsidP="00941184">
            <w:pPr>
              <w:jc w:val="right"/>
              <w:rPr>
                <w:color w:val="000000"/>
                <w:sz w:val="20"/>
                <w:szCs w:val="20"/>
              </w:rPr>
            </w:pPr>
            <w:r w:rsidRPr="000A026B">
              <w:rPr>
                <w:i/>
                <w:iCs/>
                <w:color w:val="000000"/>
                <w:sz w:val="20"/>
                <w:szCs w:val="20"/>
              </w:rPr>
              <w:t>3</w:t>
            </w:r>
            <w:r>
              <w:rPr>
                <w:i/>
                <w:iCs/>
                <w:color w:val="000000"/>
                <w:sz w:val="20"/>
                <w:szCs w:val="20"/>
              </w:rPr>
              <w:t>3</w:t>
            </w:r>
            <w:r w:rsidRPr="000A026B">
              <w:rPr>
                <w:i/>
                <w:iCs/>
                <w:color w:val="000000"/>
                <w:sz w:val="20"/>
                <w:szCs w:val="20"/>
              </w:rPr>
              <w:t>6,</w:t>
            </w:r>
            <w:r>
              <w:rPr>
                <w:i/>
                <w:iCs/>
                <w:color w:val="000000"/>
                <w:sz w:val="20"/>
                <w:szCs w:val="20"/>
              </w:rPr>
              <w:t>406</w:t>
            </w:r>
          </w:p>
        </w:tc>
        <w:tc>
          <w:tcPr>
            <w:tcW w:w="1120" w:type="dxa"/>
            <w:tcBorders>
              <w:top w:val="nil"/>
              <w:left w:val="nil"/>
              <w:bottom w:val="single" w:sz="4" w:space="0" w:color="auto"/>
              <w:right w:val="single" w:sz="4" w:space="0" w:color="auto"/>
            </w:tcBorders>
            <w:shd w:val="clear" w:color="auto" w:fill="auto"/>
            <w:noWrap/>
            <w:vAlign w:val="center"/>
          </w:tcPr>
          <w:p w14:paraId="03B6DF08" w14:textId="1A01C36A" w:rsidR="00EC75B5" w:rsidRPr="000A026B" w:rsidRDefault="00EC75B5" w:rsidP="00941184">
            <w:pPr>
              <w:jc w:val="center"/>
              <w:rPr>
                <w:color w:val="000000"/>
                <w:sz w:val="20"/>
                <w:szCs w:val="20"/>
              </w:rPr>
            </w:pPr>
            <w:r>
              <w:rPr>
                <w:i/>
                <w:iCs/>
                <w:color w:val="000000"/>
                <w:sz w:val="20"/>
                <w:szCs w:val="20"/>
              </w:rPr>
              <w:t>14</w:t>
            </w:r>
          </w:p>
        </w:tc>
        <w:tc>
          <w:tcPr>
            <w:tcW w:w="972" w:type="dxa"/>
            <w:tcBorders>
              <w:top w:val="nil"/>
              <w:left w:val="nil"/>
              <w:bottom w:val="single" w:sz="4" w:space="0" w:color="auto"/>
              <w:right w:val="single" w:sz="4" w:space="0" w:color="auto"/>
            </w:tcBorders>
            <w:shd w:val="clear" w:color="auto" w:fill="auto"/>
            <w:noWrap/>
            <w:vAlign w:val="center"/>
          </w:tcPr>
          <w:p w14:paraId="1996FAC5" w14:textId="691CE4EE" w:rsidR="00EC75B5" w:rsidRPr="000A026B" w:rsidRDefault="00EC75B5" w:rsidP="00941184">
            <w:pPr>
              <w:jc w:val="center"/>
              <w:rPr>
                <w:color w:val="000000"/>
                <w:sz w:val="20"/>
                <w:szCs w:val="20"/>
              </w:rPr>
            </w:pPr>
            <w:r w:rsidRPr="000A026B">
              <w:rPr>
                <w:i/>
                <w:iCs/>
                <w:color w:val="000000"/>
                <w:sz w:val="20"/>
                <w:szCs w:val="20"/>
              </w:rPr>
              <w:t>18</w:t>
            </w:r>
          </w:p>
        </w:tc>
        <w:tc>
          <w:tcPr>
            <w:tcW w:w="1540" w:type="dxa"/>
            <w:tcBorders>
              <w:top w:val="nil"/>
              <w:left w:val="nil"/>
              <w:bottom w:val="single" w:sz="4" w:space="0" w:color="auto"/>
              <w:right w:val="single" w:sz="4" w:space="0" w:color="auto"/>
            </w:tcBorders>
            <w:shd w:val="clear" w:color="auto" w:fill="auto"/>
            <w:noWrap/>
            <w:vAlign w:val="bottom"/>
          </w:tcPr>
          <w:p w14:paraId="501F0845" w14:textId="2BD3FFC9" w:rsidR="00EC75B5" w:rsidRPr="000A026B" w:rsidRDefault="00EC75B5" w:rsidP="00941184">
            <w:pPr>
              <w:jc w:val="center"/>
              <w:rPr>
                <w:color w:val="000000"/>
                <w:sz w:val="20"/>
                <w:szCs w:val="20"/>
              </w:rPr>
            </w:pPr>
            <w:r w:rsidRPr="000A026B">
              <w:rPr>
                <w:i/>
                <w:iCs/>
                <w:color w:val="000000"/>
                <w:sz w:val="20"/>
                <w:szCs w:val="20"/>
              </w:rPr>
              <w:t>Yes</w:t>
            </w:r>
          </w:p>
        </w:tc>
      </w:tr>
      <w:tr w:rsidR="00EC75B5" w:rsidRPr="000A026B" w14:paraId="573B5749"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1358378B" w14:textId="73FCACAE" w:rsidR="00EC75B5" w:rsidRPr="001A2F6D" w:rsidRDefault="00EC75B5" w:rsidP="00941184">
            <w:pPr>
              <w:rPr>
                <w:bCs/>
                <w:color w:val="000000"/>
                <w:sz w:val="20"/>
                <w:szCs w:val="20"/>
              </w:rPr>
            </w:pPr>
            <w:r w:rsidRPr="001A2F6D">
              <w:rPr>
                <w:bCs/>
                <w:color w:val="000000"/>
                <w:sz w:val="20"/>
                <w:szCs w:val="20"/>
              </w:rPr>
              <w:t>Tunas and Mackerel</w:t>
            </w:r>
          </w:p>
        </w:tc>
        <w:tc>
          <w:tcPr>
            <w:tcW w:w="1116" w:type="dxa"/>
            <w:tcBorders>
              <w:top w:val="nil"/>
              <w:left w:val="nil"/>
              <w:bottom w:val="single" w:sz="4" w:space="0" w:color="auto"/>
              <w:right w:val="single" w:sz="4" w:space="0" w:color="auto"/>
            </w:tcBorders>
            <w:shd w:val="clear" w:color="auto" w:fill="auto"/>
            <w:noWrap/>
            <w:vAlign w:val="center"/>
            <w:hideMark/>
          </w:tcPr>
          <w:p w14:paraId="3A577D81" w14:textId="3F7995EF" w:rsidR="00EC75B5" w:rsidRPr="000A026B" w:rsidRDefault="00EC75B5" w:rsidP="00941184">
            <w:pPr>
              <w:jc w:val="right"/>
              <w:rPr>
                <w:color w:val="000000"/>
                <w:sz w:val="20"/>
                <w:szCs w:val="20"/>
              </w:rPr>
            </w:pPr>
            <w:r w:rsidRPr="000A026B">
              <w:rPr>
                <w:color w:val="000000"/>
                <w:sz w:val="20"/>
                <w:szCs w:val="20"/>
              </w:rPr>
              <w:t>1,</w:t>
            </w:r>
            <w:r>
              <w:rPr>
                <w:color w:val="000000"/>
                <w:sz w:val="20"/>
                <w:szCs w:val="20"/>
              </w:rPr>
              <w:t>284</w:t>
            </w:r>
            <w:r w:rsidRPr="000A026B">
              <w:rPr>
                <w:color w:val="000000"/>
                <w:sz w:val="20"/>
                <w:szCs w:val="20"/>
              </w:rPr>
              <w:t>,</w:t>
            </w:r>
            <w:r>
              <w:rPr>
                <w:color w:val="000000"/>
                <w:sz w:val="20"/>
                <w:szCs w:val="20"/>
              </w:rPr>
              <w:t>981</w:t>
            </w:r>
          </w:p>
        </w:tc>
        <w:tc>
          <w:tcPr>
            <w:tcW w:w="1116" w:type="dxa"/>
            <w:tcBorders>
              <w:top w:val="nil"/>
              <w:left w:val="nil"/>
              <w:bottom w:val="single" w:sz="4" w:space="0" w:color="auto"/>
              <w:right w:val="single" w:sz="4" w:space="0" w:color="auto"/>
            </w:tcBorders>
            <w:shd w:val="clear" w:color="auto" w:fill="auto"/>
            <w:noWrap/>
            <w:vAlign w:val="center"/>
            <w:hideMark/>
          </w:tcPr>
          <w:p w14:paraId="49768592" w14:textId="3679BC14" w:rsidR="00EC75B5" w:rsidRPr="000A026B" w:rsidRDefault="00EC75B5" w:rsidP="00941184">
            <w:pPr>
              <w:jc w:val="right"/>
              <w:rPr>
                <w:color w:val="000000"/>
                <w:sz w:val="20"/>
                <w:szCs w:val="20"/>
              </w:rPr>
            </w:pPr>
            <w:r w:rsidRPr="000A026B">
              <w:rPr>
                <w:color w:val="000000"/>
                <w:sz w:val="20"/>
                <w:szCs w:val="20"/>
              </w:rPr>
              <w:t>9</w:t>
            </w:r>
            <w:r>
              <w:rPr>
                <w:color w:val="000000"/>
                <w:sz w:val="20"/>
                <w:szCs w:val="20"/>
              </w:rPr>
              <w:t>61</w:t>
            </w:r>
            <w:r w:rsidRPr="000A026B">
              <w:rPr>
                <w:color w:val="000000"/>
                <w:sz w:val="20"/>
                <w:szCs w:val="20"/>
              </w:rPr>
              <w:t>,4</w:t>
            </w:r>
            <w:r>
              <w:rPr>
                <w:color w:val="000000"/>
                <w:sz w:val="20"/>
                <w:szCs w:val="20"/>
              </w:rPr>
              <w:t>2</w:t>
            </w:r>
            <w:r w:rsidRPr="000A026B">
              <w:rPr>
                <w:color w:val="000000"/>
                <w:sz w:val="20"/>
                <w:szCs w:val="20"/>
              </w:rPr>
              <w:t>2</w:t>
            </w:r>
          </w:p>
        </w:tc>
        <w:tc>
          <w:tcPr>
            <w:tcW w:w="1216" w:type="dxa"/>
            <w:tcBorders>
              <w:top w:val="nil"/>
              <w:left w:val="nil"/>
              <w:bottom w:val="single" w:sz="4" w:space="0" w:color="auto"/>
              <w:right w:val="single" w:sz="4" w:space="0" w:color="auto"/>
            </w:tcBorders>
            <w:shd w:val="clear" w:color="auto" w:fill="auto"/>
            <w:noWrap/>
            <w:vAlign w:val="center"/>
            <w:hideMark/>
          </w:tcPr>
          <w:p w14:paraId="62EF055C" w14:textId="77312554" w:rsidR="00EC75B5" w:rsidRPr="000A026B" w:rsidRDefault="00EC75B5" w:rsidP="00941184">
            <w:pPr>
              <w:jc w:val="right"/>
              <w:rPr>
                <w:color w:val="000000"/>
                <w:sz w:val="20"/>
                <w:szCs w:val="20"/>
              </w:rPr>
            </w:pPr>
            <w:r w:rsidRPr="000A026B">
              <w:rPr>
                <w:color w:val="000000"/>
                <w:sz w:val="20"/>
                <w:szCs w:val="20"/>
              </w:rPr>
              <w:t>2,</w:t>
            </w:r>
            <w:r>
              <w:rPr>
                <w:color w:val="000000"/>
                <w:sz w:val="20"/>
                <w:szCs w:val="20"/>
              </w:rPr>
              <w:t>246</w:t>
            </w:r>
            <w:r w:rsidRPr="000A026B">
              <w:rPr>
                <w:color w:val="000000"/>
                <w:sz w:val="20"/>
                <w:szCs w:val="20"/>
              </w:rPr>
              <w:t>,</w:t>
            </w:r>
            <w:r>
              <w:rPr>
                <w:color w:val="000000"/>
                <w:sz w:val="20"/>
                <w:szCs w:val="20"/>
              </w:rPr>
              <w:t>403</w:t>
            </w:r>
          </w:p>
        </w:tc>
        <w:tc>
          <w:tcPr>
            <w:tcW w:w="1120" w:type="dxa"/>
            <w:tcBorders>
              <w:top w:val="nil"/>
              <w:left w:val="nil"/>
              <w:bottom w:val="single" w:sz="4" w:space="0" w:color="auto"/>
              <w:right w:val="single" w:sz="4" w:space="0" w:color="auto"/>
            </w:tcBorders>
            <w:shd w:val="clear" w:color="auto" w:fill="auto"/>
            <w:noWrap/>
            <w:vAlign w:val="center"/>
            <w:hideMark/>
          </w:tcPr>
          <w:p w14:paraId="06AD73AA" w14:textId="3371EE18" w:rsidR="00EC75B5" w:rsidRPr="000A026B" w:rsidRDefault="00EC75B5" w:rsidP="00941184">
            <w:pPr>
              <w:jc w:val="center"/>
              <w:rPr>
                <w:color w:val="000000"/>
                <w:sz w:val="20"/>
                <w:szCs w:val="20"/>
              </w:rPr>
            </w:pPr>
            <w:r>
              <w:rPr>
                <w:color w:val="000000"/>
                <w:sz w:val="20"/>
                <w:szCs w:val="20"/>
              </w:rPr>
              <w:t>9</w:t>
            </w:r>
          </w:p>
        </w:tc>
        <w:tc>
          <w:tcPr>
            <w:tcW w:w="972" w:type="dxa"/>
            <w:tcBorders>
              <w:top w:val="nil"/>
              <w:left w:val="nil"/>
              <w:bottom w:val="single" w:sz="4" w:space="0" w:color="auto"/>
              <w:right w:val="single" w:sz="4" w:space="0" w:color="auto"/>
            </w:tcBorders>
            <w:shd w:val="clear" w:color="auto" w:fill="auto"/>
            <w:noWrap/>
            <w:vAlign w:val="center"/>
            <w:hideMark/>
          </w:tcPr>
          <w:p w14:paraId="473B010C" w14:textId="34C7DBD2" w:rsidR="00EC75B5" w:rsidRPr="000A026B" w:rsidRDefault="00EC75B5" w:rsidP="00941184">
            <w:pPr>
              <w:jc w:val="center"/>
              <w:rPr>
                <w:color w:val="000000"/>
                <w:sz w:val="20"/>
                <w:szCs w:val="20"/>
              </w:rPr>
            </w:pPr>
            <w:r w:rsidRPr="000A026B">
              <w:rPr>
                <w:color w:val="000000"/>
                <w:sz w:val="20"/>
                <w:szCs w:val="20"/>
              </w:rPr>
              <w:t>14</w:t>
            </w:r>
          </w:p>
        </w:tc>
        <w:tc>
          <w:tcPr>
            <w:tcW w:w="1540" w:type="dxa"/>
            <w:tcBorders>
              <w:top w:val="nil"/>
              <w:left w:val="nil"/>
              <w:bottom w:val="single" w:sz="4" w:space="0" w:color="auto"/>
              <w:right w:val="single" w:sz="4" w:space="0" w:color="auto"/>
            </w:tcBorders>
            <w:shd w:val="clear" w:color="auto" w:fill="auto"/>
            <w:noWrap/>
            <w:vAlign w:val="bottom"/>
            <w:hideMark/>
          </w:tcPr>
          <w:p w14:paraId="3DA3FD5B" w14:textId="7248DD9B" w:rsidR="00EC75B5" w:rsidRPr="000A026B" w:rsidRDefault="00EC75B5" w:rsidP="00941184">
            <w:pPr>
              <w:jc w:val="center"/>
              <w:rPr>
                <w:color w:val="000000"/>
                <w:sz w:val="20"/>
                <w:szCs w:val="20"/>
              </w:rPr>
            </w:pPr>
            <w:r w:rsidRPr="000A026B">
              <w:rPr>
                <w:color w:val="000000"/>
                <w:sz w:val="20"/>
                <w:szCs w:val="20"/>
              </w:rPr>
              <w:t>No</w:t>
            </w:r>
          </w:p>
        </w:tc>
      </w:tr>
      <w:tr w:rsidR="00EC75B5" w:rsidRPr="001A2F6D" w14:paraId="0ED9498A"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1A907373" w14:textId="706A66BC" w:rsidR="00EC75B5" w:rsidRPr="001A2F6D" w:rsidRDefault="00EC75B5" w:rsidP="00941184">
            <w:pPr>
              <w:rPr>
                <w:bCs/>
                <w:i/>
                <w:iCs/>
                <w:color w:val="000000"/>
                <w:sz w:val="20"/>
                <w:szCs w:val="20"/>
              </w:rPr>
            </w:pPr>
            <w:r w:rsidRPr="001A2F6D">
              <w:rPr>
                <w:bCs/>
                <w:i/>
                <w:iCs/>
                <w:color w:val="000000"/>
                <w:sz w:val="20"/>
                <w:szCs w:val="20"/>
              </w:rPr>
              <w:t>Wrasses</w:t>
            </w:r>
          </w:p>
        </w:tc>
        <w:tc>
          <w:tcPr>
            <w:tcW w:w="1116" w:type="dxa"/>
            <w:tcBorders>
              <w:top w:val="nil"/>
              <w:left w:val="nil"/>
              <w:bottom w:val="single" w:sz="4" w:space="0" w:color="auto"/>
              <w:right w:val="single" w:sz="4" w:space="0" w:color="auto"/>
            </w:tcBorders>
            <w:shd w:val="clear" w:color="auto" w:fill="auto"/>
            <w:noWrap/>
            <w:vAlign w:val="center"/>
            <w:hideMark/>
          </w:tcPr>
          <w:p w14:paraId="32A9B3C8" w14:textId="3CF43C00" w:rsidR="00EC75B5" w:rsidRPr="001A2F6D" w:rsidRDefault="00EC75B5" w:rsidP="00941184">
            <w:pPr>
              <w:jc w:val="right"/>
              <w:rPr>
                <w:i/>
                <w:iCs/>
                <w:color w:val="000000"/>
                <w:sz w:val="20"/>
                <w:szCs w:val="20"/>
              </w:rPr>
            </w:pPr>
            <w:r>
              <w:rPr>
                <w:i/>
                <w:iCs/>
                <w:color w:val="000000"/>
                <w:sz w:val="20"/>
                <w:szCs w:val="20"/>
              </w:rPr>
              <w:t>69</w:t>
            </w:r>
            <w:r w:rsidRPr="001A2F6D">
              <w:rPr>
                <w:i/>
                <w:iCs/>
                <w:color w:val="000000"/>
                <w:sz w:val="20"/>
                <w:szCs w:val="20"/>
              </w:rPr>
              <w:t>,</w:t>
            </w:r>
            <w:r>
              <w:rPr>
                <w:i/>
                <w:iCs/>
                <w:color w:val="000000"/>
                <w:sz w:val="20"/>
                <w:szCs w:val="20"/>
              </w:rPr>
              <w:t>249</w:t>
            </w:r>
          </w:p>
        </w:tc>
        <w:tc>
          <w:tcPr>
            <w:tcW w:w="1116" w:type="dxa"/>
            <w:tcBorders>
              <w:top w:val="nil"/>
              <w:left w:val="nil"/>
              <w:bottom w:val="single" w:sz="4" w:space="0" w:color="auto"/>
              <w:right w:val="single" w:sz="4" w:space="0" w:color="auto"/>
            </w:tcBorders>
            <w:shd w:val="clear" w:color="auto" w:fill="auto"/>
            <w:noWrap/>
            <w:vAlign w:val="center"/>
            <w:hideMark/>
          </w:tcPr>
          <w:p w14:paraId="3362D18E" w14:textId="00AE8FAA" w:rsidR="00EC75B5" w:rsidRPr="001A2F6D" w:rsidRDefault="00EC75B5" w:rsidP="00941184">
            <w:pPr>
              <w:jc w:val="right"/>
              <w:rPr>
                <w:i/>
                <w:iCs/>
                <w:color w:val="000000"/>
                <w:sz w:val="20"/>
                <w:szCs w:val="20"/>
              </w:rPr>
            </w:pPr>
            <w:r>
              <w:rPr>
                <w:i/>
                <w:iCs/>
                <w:color w:val="000000"/>
                <w:sz w:val="20"/>
                <w:szCs w:val="20"/>
              </w:rPr>
              <w:t>26</w:t>
            </w:r>
            <w:r w:rsidRPr="001A2F6D">
              <w:rPr>
                <w:i/>
                <w:iCs/>
                <w:color w:val="000000"/>
                <w:sz w:val="20"/>
                <w:szCs w:val="20"/>
              </w:rPr>
              <w:t>,</w:t>
            </w:r>
            <w:r>
              <w:rPr>
                <w:i/>
                <w:iCs/>
                <w:color w:val="000000"/>
                <w:sz w:val="20"/>
                <w:szCs w:val="20"/>
              </w:rPr>
              <w:t>02</w:t>
            </w:r>
            <w:r w:rsidRPr="001A2F6D">
              <w:rPr>
                <w:i/>
                <w:iCs/>
                <w:color w:val="000000"/>
                <w:sz w:val="20"/>
                <w:szCs w:val="20"/>
              </w:rPr>
              <w:t>8</w:t>
            </w:r>
          </w:p>
        </w:tc>
        <w:tc>
          <w:tcPr>
            <w:tcW w:w="1216" w:type="dxa"/>
            <w:tcBorders>
              <w:top w:val="nil"/>
              <w:left w:val="nil"/>
              <w:bottom w:val="single" w:sz="4" w:space="0" w:color="auto"/>
              <w:right w:val="single" w:sz="4" w:space="0" w:color="auto"/>
            </w:tcBorders>
            <w:shd w:val="clear" w:color="auto" w:fill="auto"/>
            <w:noWrap/>
            <w:vAlign w:val="center"/>
            <w:hideMark/>
          </w:tcPr>
          <w:p w14:paraId="710DFC84" w14:textId="43CA210F" w:rsidR="00EC75B5" w:rsidRPr="001A2F6D" w:rsidRDefault="00EC75B5" w:rsidP="00941184">
            <w:pPr>
              <w:jc w:val="right"/>
              <w:rPr>
                <w:i/>
                <w:iCs/>
                <w:color w:val="000000"/>
                <w:sz w:val="20"/>
                <w:szCs w:val="20"/>
              </w:rPr>
            </w:pPr>
            <w:r>
              <w:rPr>
                <w:i/>
                <w:iCs/>
                <w:color w:val="000000"/>
                <w:sz w:val="20"/>
                <w:szCs w:val="20"/>
              </w:rPr>
              <w:t>9</w:t>
            </w:r>
            <w:r w:rsidRPr="001A2F6D">
              <w:rPr>
                <w:i/>
                <w:iCs/>
                <w:color w:val="000000"/>
                <w:sz w:val="20"/>
                <w:szCs w:val="20"/>
              </w:rPr>
              <w:t>5,</w:t>
            </w:r>
            <w:r>
              <w:rPr>
                <w:i/>
                <w:iCs/>
                <w:color w:val="000000"/>
                <w:sz w:val="20"/>
                <w:szCs w:val="20"/>
              </w:rPr>
              <w:t>2</w:t>
            </w:r>
            <w:r w:rsidRPr="001A2F6D">
              <w:rPr>
                <w:i/>
                <w:iCs/>
                <w:color w:val="000000"/>
                <w:sz w:val="20"/>
                <w:szCs w:val="20"/>
              </w:rPr>
              <w:t>77</w:t>
            </w:r>
          </w:p>
        </w:tc>
        <w:tc>
          <w:tcPr>
            <w:tcW w:w="1120" w:type="dxa"/>
            <w:tcBorders>
              <w:top w:val="nil"/>
              <w:left w:val="nil"/>
              <w:bottom w:val="single" w:sz="4" w:space="0" w:color="auto"/>
              <w:right w:val="single" w:sz="4" w:space="0" w:color="auto"/>
            </w:tcBorders>
            <w:shd w:val="clear" w:color="auto" w:fill="auto"/>
            <w:noWrap/>
            <w:vAlign w:val="center"/>
            <w:hideMark/>
          </w:tcPr>
          <w:p w14:paraId="409D3C2E" w14:textId="3C630E0C" w:rsidR="00EC75B5" w:rsidRPr="001A2F6D" w:rsidRDefault="00EC75B5" w:rsidP="00941184">
            <w:pPr>
              <w:jc w:val="center"/>
              <w:rPr>
                <w:i/>
                <w:iCs/>
                <w:color w:val="000000"/>
                <w:sz w:val="20"/>
                <w:szCs w:val="20"/>
              </w:rPr>
            </w:pPr>
            <w:r w:rsidRPr="001A2F6D">
              <w:rPr>
                <w:i/>
                <w:iCs/>
                <w:color w:val="000000"/>
                <w:sz w:val="20"/>
                <w:szCs w:val="20"/>
              </w:rPr>
              <w:t>19</w:t>
            </w:r>
          </w:p>
        </w:tc>
        <w:tc>
          <w:tcPr>
            <w:tcW w:w="972" w:type="dxa"/>
            <w:tcBorders>
              <w:top w:val="nil"/>
              <w:left w:val="nil"/>
              <w:bottom w:val="single" w:sz="4" w:space="0" w:color="auto"/>
              <w:right w:val="single" w:sz="4" w:space="0" w:color="auto"/>
            </w:tcBorders>
            <w:shd w:val="clear" w:color="auto" w:fill="auto"/>
            <w:noWrap/>
            <w:vAlign w:val="center"/>
            <w:hideMark/>
          </w:tcPr>
          <w:p w14:paraId="6B1A7DA9" w14:textId="3F1EC03F" w:rsidR="00EC75B5" w:rsidRPr="001A2F6D" w:rsidRDefault="00EC75B5" w:rsidP="00941184">
            <w:pPr>
              <w:jc w:val="center"/>
              <w:rPr>
                <w:i/>
                <w:iCs/>
                <w:color w:val="000000"/>
                <w:sz w:val="20"/>
                <w:szCs w:val="20"/>
              </w:rPr>
            </w:pPr>
            <w:r w:rsidRPr="001A2F6D">
              <w:rPr>
                <w:i/>
                <w:iCs/>
                <w:color w:val="000000"/>
                <w:sz w:val="20"/>
                <w:szCs w:val="20"/>
              </w:rPr>
              <w:t>2</w:t>
            </w:r>
            <w:r>
              <w:rPr>
                <w:i/>
                <w:iCs/>
                <w:color w:val="000000"/>
                <w:sz w:val="20"/>
                <w:szCs w:val="20"/>
              </w:rPr>
              <w:t>2</w:t>
            </w:r>
          </w:p>
        </w:tc>
        <w:tc>
          <w:tcPr>
            <w:tcW w:w="1540" w:type="dxa"/>
            <w:tcBorders>
              <w:top w:val="nil"/>
              <w:left w:val="nil"/>
              <w:bottom w:val="single" w:sz="4" w:space="0" w:color="auto"/>
              <w:right w:val="single" w:sz="4" w:space="0" w:color="auto"/>
            </w:tcBorders>
            <w:shd w:val="clear" w:color="auto" w:fill="auto"/>
            <w:noWrap/>
            <w:vAlign w:val="bottom"/>
            <w:hideMark/>
          </w:tcPr>
          <w:p w14:paraId="7253AB23" w14:textId="19C1FB38" w:rsidR="00EC75B5" w:rsidRPr="001A2F6D" w:rsidRDefault="00EC75B5" w:rsidP="00941184">
            <w:pPr>
              <w:jc w:val="center"/>
              <w:rPr>
                <w:i/>
                <w:iCs/>
                <w:color w:val="000000"/>
                <w:sz w:val="20"/>
                <w:szCs w:val="20"/>
              </w:rPr>
            </w:pPr>
            <w:r w:rsidRPr="001A2F6D">
              <w:rPr>
                <w:i/>
                <w:iCs/>
                <w:color w:val="000000"/>
                <w:sz w:val="20"/>
                <w:szCs w:val="20"/>
              </w:rPr>
              <w:t>Yes</w:t>
            </w:r>
          </w:p>
        </w:tc>
      </w:tr>
      <w:tr w:rsidR="00EC75B5" w:rsidRPr="000A026B" w14:paraId="36AC7880"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40E6F54B" w14:textId="41CF4E03" w:rsidR="00EC75B5" w:rsidRPr="001A2F6D" w:rsidRDefault="00EC75B5" w:rsidP="00941184">
            <w:pPr>
              <w:rPr>
                <w:bCs/>
                <w:color w:val="000000"/>
                <w:sz w:val="20"/>
                <w:szCs w:val="20"/>
              </w:rPr>
            </w:pPr>
            <w:r w:rsidRPr="001A2F6D">
              <w:rPr>
                <w:bCs/>
                <w:color w:val="000000"/>
                <w:sz w:val="20"/>
                <w:szCs w:val="20"/>
              </w:rPr>
              <w:t>Other Fishes</w:t>
            </w:r>
          </w:p>
        </w:tc>
        <w:tc>
          <w:tcPr>
            <w:tcW w:w="1116" w:type="dxa"/>
            <w:tcBorders>
              <w:top w:val="nil"/>
              <w:left w:val="nil"/>
              <w:bottom w:val="single" w:sz="4" w:space="0" w:color="auto"/>
              <w:right w:val="single" w:sz="4" w:space="0" w:color="auto"/>
            </w:tcBorders>
            <w:shd w:val="clear" w:color="auto" w:fill="auto"/>
            <w:noWrap/>
            <w:vAlign w:val="center"/>
            <w:hideMark/>
          </w:tcPr>
          <w:p w14:paraId="775D26FE" w14:textId="48F0AB8C" w:rsidR="00EC75B5" w:rsidRPr="000A026B" w:rsidRDefault="00EC75B5" w:rsidP="00941184">
            <w:pPr>
              <w:jc w:val="right"/>
              <w:rPr>
                <w:color w:val="000000"/>
                <w:sz w:val="20"/>
                <w:szCs w:val="20"/>
              </w:rPr>
            </w:pPr>
            <w:r w:rsidRPr="000A026B">
              <w:rPr>
                <w:color w:val="000000"/>
                <w:sz w:val="20"/>
                <w:szCs w:val="20"/>
              </w:rPr>
              <w:t>1,5</w:t>
            </w:r>
            <w:r>
              <w:rPr>
                <w:color w:val="000000"/>
                <w:sz w:val="20"/>
                <w:szCs w:val="20"/>
              </w:rPr>
              <w:t>66</w:t>
            </w:r>
            <w:r w:rsidRPr="000A026B">
              <w:rPr>
                <w:color w:val="000000"/>
                <w:sz w:val="20"/>
                <w:szCs w:val="20"/>
              </w:rPr>
              <w:t>,</w:t>
            </w:r>
            <w:r>
              <w:rPr>
                <w:color w:val="000000"/>
                <w:sz w:val="20"/>
                <w:szCs w:val="20"/>
              </w:rPr>
              <w:t>06</w:t>
            </w:r>
            <w:r w:rsidRPr="000A026B">
              <w:rPr>
                <w:color w:val="000000"/>
                <w:sz w:val="20"/>
                <w:szCs w:val="20"/>
              </w:rPr>
              <w:t>1</w:t>
            </w:r>
          </w:p>
        </w:tc>
        <w:tc>
          <w:tcPr>
            <w:tcW w:w="1116" w:type="dxa"/>
            <w:tcBorders>
              <w:top w:val="nil"/>
              <w:left w:val="nil"/>
              <w:bottom w:val="single" w:sz="4" w:space="0" w:color="auto"/>
              <w:right w:val="single" w:sz="4" w:space="0" w:color="auto"/>
            </w:tcBorders>
            <w:shd w:val="clear" w:color="auto" w:fill="auto"/>
            <w:noWrap/>
            <w:vAlign w:val="center"/>
            <w:hideMark/>
          </w:tcPr>
          <w:p w14:paraId="4BADDBEE" w14:textId="53F1E742" w:rsidR="00EC75B5" w:rsidRPr="000A026B" w:rsidRDefault="00EC75B5" w:rsidP="00941184">
            <w:pPr>
              <w:jc w:val="right"/>
              <w:rPr>
                <w:color w:val="000000"/>
                <w:sz w:val="20"/>
                <w:szCs w:val="20"/>
              </w:rPr>
            </w:pPr>
            <w:r w:rsidRPr="000A026B">
              <w:rPr>
                <w:color w:val="000000"/>
                <w:sz w:val="20"/>
                <w:szCs w:val="20"/>
              </w:rPr>
              <w:t>3,</w:t>
            </w:r>
            <w:r>
              <w:rPr>
                <w:color w:val="000000"/>
                <w:sz w:val="20"/>
                <w:szCs w:val="20"/>
              </w:rPr>
              <w:t>244</w:t>
            </w:r>
            <w:r w:rsidRPr="000A026B">
              <w:rPr>
                <w:color w:val="000000"/>
                <w:sz w:val="20"/>
                <w:szCs w:val="20"/>
              </w:rPr>
              <w:t>,</w:t>
            </w:r>
            <w:r>
              <w:rPr>
                <w:color w:val="000000"/>
                <w:sz w:val="20"/>
                <w:szCs w:val="20"/>
              </w:rPr>
              <w:t>014</w:t>
            </w:r>
          </w:p>
        </w:tc>
        <w:tc>
          <w:tcPr>
            <w:tcW w:w="1216" w:type="dxa"/>
            <w:tcBorders>
              <w:top w:val="nil"/>
              <w:left w:val="nil"/>
              <w:bottom w:val="single" w:sz="4" w:space="0" w:color="auto"/>
              <w:right w:val="single" w:sz="4" w:space="0" w:color="auto"/>
            </w:tcBorders>
            <w:shd w:val="clear" w:color="auto" w:fill="auto"/>
            <w:noWrap/>
            <w:vAlign w:val="center"/>
            <w:hideMark/>
          </w:tcPr>
          <w:p w14:paraId="67DB0476" w14:textId="0241C12C" w:rsidR="00EC75B5" w:rsidRPr="000A026B" w:rsidRDefault="00EC75B5" w:rsidP="00941184">
            <w:pPr>
              <w:jc w:val="right"/>
              <w:rPr>
                <w:color w:val="000000"/>
                <w:sz w:val="20"/>
                <w:szCs w:val="20"/>
              </w:rPr>
            </w:pPr>
            <w:r w:rsidRPr="000A026B">
              <w:rPr>
                <w:color w:val="000000"/>
                <w:sz w:val="20"/>
                <w:szCs w:val="20"/>
              </w:rPr>
              <w:t>4,</w:t>
            </w:r>
            <w:r>
              <w:rPr>
                <w:color w:val="000000"/>
                <w:sz w:val="20"/>
                <w:szCs w:val="20"/>
              </w:rPr>
              <w:t>8</w:t>
            </w:r>
            <w:r w:rsidRPr="000A026B">
              <w:rPr>
                <w:color w:val="000000"/>
                <w:sz w:val="20"/>
                <w:szCs w:val="20"/>
              </w:rPr>
              <w:t>1</w:t>
            </w:r>
            <w:r>
              <w:rPr>
                <w:color w:val="000000"/>
                <w:sz w:val="20"/>
                <w:szCs w:val="20"/>
              </w:rPr>
              <w:t>0</w:t>
            </w:r>
            <w:r w:rsidRPr="000A026B">
              <w:rPr>
                <w:color w:val="000000"/>
                <w:sz w:val="20"/>
                <w:szCs w:val="20"/>
              </w:rPr>
              <w:t>,</w:t>
            </w:r>
            <w:r>
              <w:rPr>
                <w:color w:val="000000"/>
                <w:sz w:val="20"/>
                <w:szCs w:val="20"/>
              </w:rPr>
              <w:t>075</w:t>
            </w:r>
          </w:p>
        </w:tc>
        <w:tc>
          <w:tcPr>
            <w:tcW w:w="1120" w:type="dxa"/>
            <w:tcBorders>
              <w:top w:val="nil"/>
              <w:left w:val="nil"/>
              <w:bottom w:val="single" w:sz="4" w:space="0" w:color="auto"/>
              <w:right w:val="single" w:sz="4" w:space="0" w:color="auto"/>
            </w:tcBorders>
            <w:shd w:val="clear" w:color="auto" w:fill="auto"/>
            <w:noWrap/>
            <w:vAlign w:val="center"/>
            <w:hideMark/>
          </w:tcPr>
          <w:p w14:paraId="58471C40" w14:textId="2F9C6191" w:rsidR="00EC75B5" w:rsidRPr="000A026B" w:rsidRDefault="00EC75B5" w:rsidP="00941184">
            <w:pPr>
              <w:jc w:val="center"/>
              <w:rPr>
                <w:color w:val="000000"/>
                <w:sz w:val="20"/>
                <w:szCs w:val="20"/>
              </w:rPr>
            </w:pPr>
            <w:r>
              <w:rPr>
                <w:color w:val="000000"/>
                <w:sz w:val="20"/>
                <w:szCs w:val="20"/>
              </w:rPr>
              <w:t>7</w:t>
            </w:r>
          </w:p>
        </w:tc>
        <w:tc>
          <w:tcPr>
            <w:tcW w:w="972" w:type="dxa"/>
            <w:tcBorders>
              <w:top w:val="nil"/>
              <w:left w:val="nil"/>
              <w:bottom w:val="single" w:sz="4" w:space="0" w:color="auto"/>
              <w:right w:val="single" w:sz="4" w:space="0" w:color="auto"/>
            </w:tcBorders>
            <w:shd w:val="clear" w:color="auto" w:fill="auto"/>
            <w:noWrap/>
            <w:vAlign w:val="center"/>
            <w:hideMark/>
          </w:tcPr>
          <w:p w14:paraId="3B13A6FB" w14:textId="1D57D471" w:rsidR="00EC75B5" w:rsidRPr="000A026B" w:rsidRDefault="00EC75B5" w:rsidP="00941184">
            <w:pPr>
              <w:jc w:val="center"/>
              <w:rPr>
                <w:color w:val="000000"/>
                <w:sz w:val="20"/>
                <w:szCs w:val="20"/>
              </w:rPr>
            </w:pPr>
            <w:r>
              <w:rPr>
                <w:color w:val="000000"/>
                <w:sz w:val="20"/>
                <w:szCs w:val="20"/>
              </w:rPr>
              <w:t>8</w:t>
            </w:r>
          </w:p>
        </w:tc>
        <w:tc>
          <w:tcPr>
            <w:tcW w:w="1540" w:type="dxa"/>
            <w:tcBorders>
              <w:top w:val="nil"/>
              <w:left w:val="nil"/>
              <w:bottom w:val="single" w:sz="4" w:space="0" w:color="auto"/>
              <w:right w:val="single" w:sz="4" w:space="0" w:color="auto"/>
            </w:tcBorders>
            <w:shd w:val="clear" w:color="auto" w:fill="auto"/>
            <w:noWrap/>
            <w:vAlign w:val="bottom"/>
            <w:hideMark/>
          </w:tcPr>
          <w:p w14:paraId="7BF9BBF4" w14:textId="4D7DB895" w:rsidR="00EC75B5" w:rsidRPr="000A026B" w:rsidRDefault="00EC75B5" w:rsidP="00941184">
            <w:pPr>
              <w:jc w:val="center"/>
              <w:rPr>
                <w:color w:val="000000"/>
                <w:sz w:val="20"/>
                <w:szCs w:val="20"/>
              </w:rPr>
            </w:pPr>
            <w:r w:rsidRPr="000A026B">
              <w:rPr>
                <w:color w:val="000000"/>
                <w:sz w:val="20"/>
                <w:szCs w:val="20"/>
              </w:rPr>
              <w:t>No</w:t>
            </w:r>
          </w:p>
        </w:tc>
      </w:tr>
      <w:tr w:rsidR="00EC75B5" w:rsidRPr="000A026B" w14:paraId="66990F06" w14:textId="77777777" w:rsidTr="00DB18EC">
        <w:trPr>
          <w:trHeight w:val="300"/>
        </w:trPr>
        <w:tc>
          <w:tcPr>
            <w:tcW w:w="2116" w:type="dxa"/>
            <w:tcBorders>
              <w:top w:val="nil"/>
              <w:left w:val="single" w:sz="4" w:space="0" w:color="auto"/>
              <w:bottom w:val="single" w:sz="4" w:space="0" w:color="auto"/>
              <w:right w:val="single" w:sz="4" w:space="0" w:color="auto"/>
            </w:tcBorders>
            <w:shd w:val="clear" w:color="000000" w:fill="auto"/>
            <w:noWrap/>
            <w:vAlign w:val="center"/>
            <w:hideMark/>
          </w:tcPr>
          <w:p w14:paraId="11979FE5" w14:textId="6B1F1B8C" w:rsidR="00EC75B5" w:rsidRPr="001A2F6D" w:rsidRDefault="00EC75B5" w:rsidP="00941184">
            <w:pPr>
              <w:rPr>
                <w:bCs/>
                <w:color w:val="000000"/>
                <w:sz w:val="20"/>
                <w:szCs w:val="20"/>
              </w:rPr>
            </w:pPr>
            <w:r w:rsidRPr="001A2F6D">
              <w:rPr>
                <w:bCs/>
                <w:color w:val="000000"/>
                <w:sz w:val="20"/>
                <w:szCs w:val="20"/>
              </w:rPr>
              <w:t>Total</w:t>
            </w:r>
          </w:p>
        </w:tc>
        <w:tc>
          <w:tcPr>
            <w:tcW w:w="1116" w:type="dxa"/>
            <w:tcBorders>
              <w:top w:val="nil"/>
              <w:left w:val="nil"/>
              <w:bottom w:val="single" w:sz="4" w:space="0" w:color="auto"/>
              <w:right w:val="single" w:sz="4" w:space="0" w:color="auto"/>
            </w:tcBorders>
            <w:shd w:val="clear" w:color="auto" w:fill="auto"/>
            <w:noWrap/>
            <w:vAlign w:val="center"/>
            <w:hideMark/>
          </w:tcPr>
          <w:p w14:paraId="00DDBC0F" w14:textId="2370A786" w:rsidR="00EC75B5" w:rsidRPr="000A026B" w:rsidRDefault="00EC75B5" w:rsidP="00941184">
            <w:pPr>
              <w:jc w:val="right"/>
              <w:rPr>
                <w:color w:val="000000"/>
                <w:sz w:val="20"/>
                <w:szCs w:val="20"/>
              </w:rPr>
            </w:pPr>
            <w:r w:rsidRPr="000A026B">
              <w:rPr>
                <w:color w:val="000000"/>
                <w:sz w:val="20"/>
                <w:szCs w:val="20"/>
              </w:rPr>
              <w:t>3</w:t>
            </w:r>
            <w:r>
              <w:rPr>
                <w:color w:val="000000"/>
                <w:sz w:val="20"/>
                <w:szCs w:val="20"/>
              </w:rPr>
              <w:t>5</w:t>
            </w:r>
            <w:r w:rsidRPr="000A026B">
              <w:rPr>
                <w:color w:val="000000"/>
                <w:sz w:val="20"/>
                <w:szCs w:val="20"/>
              </w:rPr>
              <w:t>,</w:t>
            </w:r>
            <w:r>
              <w:rPr>
                <w:color w:val="000000"/>
                <w:sz w:val="20"/>
                <w:szCs w:val="20"/>
              </w:rPr>
              <w:t>3</w:t>
            </w:r>
            <w:r w:rsidRPr="000A026B">
              <w:rPr>
                <w:color w:val="000000"/>
                <w:sz w:val="20"/>
                <w:szCs w:val="20"/>
              </w:rPr>
              <w:t>5</w:t>
            </w:r>
            <w:r>
              <w:rPr>
                <w:color w:val="000000"/>
                <w:sz w:val="20"/>
                <w:szCs w:val="20"/>
              </w:rPr>
              <w:t>3</w:t>
            </w:r>
            <w:r w:rsidRPr="000A026B">
              <w:rPr>
                <w:color w:val="000000"/>
                <w:sz w:val="20"/>
                <w:szCs w:val="20"/>
              </w:rPr>
              <w:t>,</w:t>
            </w:r>
            <w:r>
              <w:rPr>
                <w:color w:val="000000"/>
                <w:sz w:val="20"/>
                <w:szCs w:val="20"/>
              </w:rPr>
              <w:t>930</w:t>
            </w:r>
          </w:p>
        </w:tc>
        <w:tc>
          <w:tcPr>
            <w:tcW w:w="1116" w:type="dxa"/>
            <w:tcBorders>
              <w:top w:val="nil"/>
              <w:left w:val="nil"/>
              <w:bottom w:val="single" w:sz="4" w:space="0" w:color="auto"/>
              <w:right w:val="single" w:sz="4" w:space="0" w:color="auto"/>
            </w:tcBorders>
            <w:shd w:val="clear" w:color="auto" w:fill="auto"/>
            <w:noWrap/>
            <w:vAlign w:val="center"/>
            <w:hideMark/>
          </w:tcPr>
          <w:p w14:paraId="558430D6" w14:textId="33D77541" w:rsidR="00EC75B5" w:rsidRPr="000A026B" w:rsidRDefault="00EC75B5" w:rsidP="00941184">
            <w:pPr>
              <w:jc w:val="right"/>
              <w:rPr>
                <w:color w:val="000000"/>
                <w:sz w:val="20"/>
                <w:szCs w:val="20"/>
              </w:rPr>
            </w:pPr>
            <w:r>
              <w:rPr>
                <w:color w:val="000000"/>
                <w:sz w:val="20"/>
                <w:szCs w:val="20"/>
              </w:rPr>
              <w:t>64</w:t>
            </w:r>
            <w:r w:rsidRPr="000A026B">
              <w:rPr>
                <w:color w:val="000000"/>
                <w:sz w:val="20"/>
                <w:szCs w:val="20"/>
              </w:rPr>
              <w:t>,</w:t>
            </w:r>
            <w:r>
              <w:rPr>
                <w:color w:val="000000"/>
                <w:sz w:val="20"/>
                <w:szCs w:val="20"/>
              </w:rPr>
              <w:t>76</w:t>
            </w:r>
            <w:r w:rsidRPr="000A026B">
              <w:rPr>
                <w:color w:val="000000"/>
                <w:sz w:val="20"/>
                <w:szCs w:val="20"/>
              </w:rPr>
              <w:t>9,5</w:t>
            </w:r>
            <w:r>
              <w:rPr>
                <w:color w:val="000000"/>
                <w:sz w:val="20"/>
                <w:szCs w:val="20"/>
              </w:rPr>
              <w:t>98</w:t>
            </w:r>
          </w:p>
        </w:tc>
        <w:tc>
          <w:tcPr>
            <w:tcW w:w="1216" w:type="dxa"/>
            <w:tcBorders>
              <w:top w:val="nil"/>
              <w:left w:val="nil"/>
              <w:bottom w:val="single" w:sz="4" w:space="0" w:color="auto"/>
              <w:right w:val="single" w:sz="4" w:space="0" w:color="auto"/>
            </w:tcBorders>
            <w:shd w:val="clear" w:color="auto" w:fill="auto"/>
            <w:noWrap/>
            <w:vAlign w:val="center"/>
            <w:hideMark/>
          </w:tcPr>
          <w:p w14:paraId="4B527415" w14:textId="6BBA1394" w:rsidR="00EC75B5" w:rsidRPr="000A026B" w:rsidRDefault="00EC75B5" w:rsidP="00941184">
            <w:pPr>
              <w:jc w:val="right"/>
              <w:rPr>
                <w:color w:val="000000"/>
                <w:sz w:val="20"/>
                <w:szCs w:val="20"/>
              </w:rPr>
            </w:pPr>
            <w:r>
              <w:rPr>
                <w:color w:val="000000"/>
                <w:sz w:val="20"/>
                <w:szCs w:val="20"/>
              </w:rPr>
              <w:t>100</w:t>
            </w:r>
            <w:r w:rsidRPr="000A026B">
              <w:rPr>
                <w:color w:val="000000"/>
                <w:sz w:val="20"/>
                <w:szCs w:val="20"/>
              </w:rPr>
              <w:t>,1</w:t>
            </w:r>
            <w:r>
              <w:rPr>
                <w:color w:val="000000"/>
                <w:sz w:val="20"/>
                <w:szCs w:val="20"/>
              </w:rPr>
              <w:t>2</w:t>
            </w:r>
            <w:r w:rsidRPr="000A026B">
              <w:rPr>
                <w:color w:val="000000"/>
                <w:sz w:val="20"/>
                <w:szCs w:val="20"/>
              </w:rPr>
              <w:t>3,</w:t>
            </w:r>
            <w:r>
              <w:rPr>
                <w:color w:val="000000"/>
                <w:sz w:val="20"/>
                <w:szCs w:val="20"/>
              </w:rPr>
              <w:t>5</w:t>
            </w:r>
            <w:r w:rsidRPr="000A026B">
              <w:rPr>
                <w:color w:val="000000"/>
                <w:sz w:val="20"/>
                <w:szCs w:val="20"/>
              </w:rPr>
              <w:t>2</w:t>
            </w:r>
            <w:r>
              <w:rPr>
                <w:color w:val="000000"/>
                <w:sz w:val="20"/>
                <w:szCs w:val="20"/>
              </w:rPr>
              <w:t>8</w:t>
            </w:r>
          </w:p>
        </w:tc>
        <w:tc>
          <w:tcPr>
            <w:tcW w:w="1120" w:type="dxa"/>
            <w:tcBorders>
              <w:top w:val="nil"/>
              <w:left w:val="nil"/>
              <w:bottom w:val="single" w:sz="4" w:space="0" w:color="auto"/>
              <w:right w:val="single" w:sz="4" w:space="0" w:color="auto"/>
            </w:tcBorders>
            <w:shd w:val="clear" w:color="auto" w:fill="auto"/>
            <w:noWrap/>
            <w:vAlign w:val="center"/>
            <w:hideMark/>
          </w:tcPr>
          <w:p w14:paraId="353C35FA" w14:textId="5C8E1438" w:rsidR="00EC75B5" w:rsidRPr="000A026B" w:rsidRDefault="00EC75B5" w:rsidP="00941184">
            <w:pPr>
              <w:jc w:val="center"/>
              <w:rPr>
                <w:color w:val="000000"/>
                <w:sz w:val="20"/>
                <w:szCs w:val="20"/>
              </w:rPr>
            </w:pPr>
            <w:r w:rsidRPr="000A026B">
              <w:rPr>
                <w:color w:val="000000"/>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61EF8452" w14:textId="51AA8122" w:rsidR="00EC75B5" w:rsidRPr="000A026B" w:rsidRDefault="00EC75B5" w:rsidP="00941184">
            <w:pPr>
              <w:jc w:val="center"/>
              <w:rPr>
                <w:color w:val="000000"/>
                <w:sz w:val="20"/>
                <w:szCs w:val="20"/>
              </w:rPr>
            </w:pPr>
            <w:r w:rsidRPr="000A026B">
              <w:rPr>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3CB42916" w14:textId="1528D88F" w:rsidR="00EC75B5" w:rsidRPr="000A026B" w:rsidRDefault="00EC75B5" w:rsidP="00941184">
            <w:pPr>
              <w:jc w:val="center"/>
              <w:rPr>
                <w:color w:val="000000"/>
                <w:sz w:val="20"/>
                <w:szCs w:val="20"/>
              </w:rPr>
            </w:pPr>
            <w:r w:rsidRPr="000A026B">
              <w:rPr>
                <w:color w:val="000000"/>
                <w:sz w:val="20"/>
                <w:szCs w:val="20"/>
              </w:rPr>
              <w:t> </w:t>
            </w:r>
          </w:p>
        </w:tc>
      </w:tr>
    </w:tbl>
    <w:p w14:paraId="18E257D0" w14:textId="4F7DB8E7" w:rsidR="00941184" w:rsidRPr="00C06287" w:rsidRDefault="0086658D" w:rsidP="00C06287">
      <w:pPr>
        <w:rPr>
          <w:rFonts w:ascii="Arial" w:hAnsi="Arial" w:cs="Arial"/>
          <w:sz w:val="20"/>
          <w:szCs w:val="20"/>
        </w:rPr>
      </w:pPr>
      <w:r w:rsidRPr="00C06287">
        <w:rPr>
          <w:rFonts w:ascii="Arial" w:hAnsi="Arial" w:cs="Arial"/>
          <w:sz w:val="20"/>
          <w:szCs w:val="20"/>
        </w:rPr>
        <w:t xml:space="preserve">Source: Personal communication from the National Marine Fisheries Service, Fisheries Statistics Division, </w:t>
      </w:r>
      <w:r w:rsidR="00EC75B5">
        <w:rPr>
          <w:rFonts w:ascii="Arial" w:hAnsi="Arial" w:cs="Arial"/>
          <w:sz w:val="20"/>
          <w:szCs w:val="20"/>
        </w:rPr>
        <w:t xml:space="preserve">July </w:t>
      </w:r>
      <w:r w:rsidR="00EC75B5" w:rsidRPr="00C06287">
        <w:rPr>
          <w:rFonts w:ascii="Arial" w:hAnsi="Arial" w:cs="Arial"/>
          <w:sz w:val="20"/>
          <w:szCs w:val="20"/>
        </w:rPr>
        <w:t xml:space="preserve"> 2</w:t>
      </w:r>
      <w:r w:rsidR="00EC75B5">
        <w:rPr>
          <w:rFonts w:ascii="Arial" w:hAnsi="Arial" w:cs="Arial"/>
          <w:sz w:val="20"/>
          <w:szCs w:val="20"/>
        </w:rPr>
        <w:t>6</w:t>
      </w:r>
      <w:r w:rsidRPr="00C06287">
        <w:rPr>
          <w:rFonts w:ascii="Arial" w:hAnsi="Arial" w:cs="Arial"/>
          <w:sz w:val="20"/>
          <w:szCs w:val="20"/>
        </w:rPr>
        <w:t>, 2016.</w:t>
      </w:r>
    </w:p>
    <w:p w14:paraId="09E1651E" w14:textId="77777777" w:rsidR="00941184" w:rsidRDefault="00941184" w:rsidP="00941184">
      <w:pPr>
        <w:rPr>
          <w:rFonts w:ascii="Arial" w:hAnsi="Arial" w:cs="Arial"/>
          <w:b/>
          <w:sz w:val="20"/>
          <w:szCs w:val="20"/>
        </w:rPr>
      </w:pPr>
    </w:p>
    <w:p w14:paraId="26F0F642" w14:textId="55670A10" w:rsidR="00941184" w:rsidRDefault="00941184" w:rsidP="00941184">
      <w:pPr>
        <w:ind w:firstLine="360"/>
      </w:pPr>
      <w:r>
        <w:t xml:space="preserve">Private or rented recreational fishing vessels are not required to have a federal permit to harvest snapper grouper species from the EEZ.  Anglers aboard these vessels, however, must either be federally registered or licensed in states that have a system to provide complete information on the states’ saltwater anglers to the national registry.  </w:t>
      </w:r>
    </w:p>
    <w:p w14:paraId="05240AF6" w14:textId="77777777" w:rsidR="00941184" w:rsidRDefault="00941184" w:rsidP="00941184">
      <w:pPr>
        <w:ind w:firstLine="360"/>
      </w:pPr>
    </w:p>
    <w:p w14:paraId="52C52FB2" w14:textId="6CF9F248" w:rsidR="00941184" w:rsidRDefault="00941184" w:rsidP="00941184">
      <w:pPr>
        <w:ind w:firstLine="360"/>
      </w:pPr>
      <w:r>
        <w:t>A</w:t>
      </w:r>
      <w:r w:rsidRPr="0067026A">
        <w:t>ny</w:t>
      </w:r>
      <w:r>
        <w:t xml:space="preserve"> for-hire fishing vessel that takes anglers into the South Atlantic EEZ where anglers harvest snapper grouper species </w:t>
      </w:r>
      <w:r w:rsidRPr="0067026A">
        <w:t xml:space="preserve">must have a </w:t>
      </w:r>
      <w:r>
        <w:t>charter/headboat permit that is specifically assigned to that vessel.  As of March 24, 2016, there were 1,440 vessels with the permit.  Approximately 60% (869) of these permitted for-hire fishing vessels had mailing recipients in Florida (</w:t>
      </w:r>
      <w:r>
        <w:rPr>
          <w:b/>
        </w:rPr>
        <w:t>Table 3.3.18</w:t>
      </w:r>
      <w:r>
        <w:t>).</w:t>
      </w:r>
    </w:p>
    <w:p w14:paraId="78CD910E" w14:textId="77777777" w:rsidR="00941184" w:rsidRDefault="00941184" w:rsidP="00C06287"/>
    <w:p w14:paraId="0142D162" w14:textId="69217026" w:rsidR="00941184" w:rsidRPr="0067026A" w:rsidRDefault="00941184" w:rsidP="00C06287">
      <w:pPr>
        <w:pStyle w:val="Tabletitle"/>
      </w:pPr>
      <w:bookmarkStart w:id="163" w:name="_Toc340431563"/>
      <w:r>
        <w:rPr>
          <w:b/>
        </w:rPr>
        <w:t>Table 3.3.18.</w:t>
      </w:r>
      <w:r>
        <w:t xml:space="preserve">  Number and percentages of vessels with South Atlantic charter/headboat snapper grouper permit by state of mailing recipient as of March 24, 2014.</w:t>
      </w:r>
      <w:bookmarkEnd w:id="163"/>
      <w:r>
        <w:t xml:space="preserve">  </w:t>
      </w:r>
    </w:p>
    <w:tbl>
      <w:tblPr>
        <w:tblW w:w="6960" w:type="dxa"/>
        <w:tblInd w:w="93" w:type="dxa"/>
        <w:tblLook w:val="04A0" w:firstRow="1" w:lastRow="0" w:firstColumn="1" w:lastColumn="0" w:noHBand="0" w:noVBand="1"/>
      </w:tblPr>
      <w:tblGrid>
        <w:gridCol w:w="960"/>
        <w:gridCol w:w="3020"/>
        <w:gridCol w:w="2980"/>
      </w:tblGrid>
      <w:tr w:rsidR="00941184" w:rsidRPr="00C06287" w14:paraId="3DE37603" w14:textId="77777777" w:rsidTr="00C06287">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14:paraId="7B67437C" w14:textId="77777777" w:rsidR="00941184" w:rsidRPr="00C06287" w:rsidRDefault="00941184" w:rsidP="00941184">
            <w:pPr>
              <w:rPr>
                <w:b/>
                <w:bCs/>
                <w:color w:val="000000"/>
                <w:sz w:val="22"/>
                <w:szCs w:val="22"/>
              </w:rPr>
            </w:pPr>
            <w:r w:rsidRPr="00C06287">
              <w:rPr>
                <w:b/>
                <w:bCs/>
                <w:color w:val="000000"/>
                <w:sz w:val="22"/>
                <w:szCs w:val="22"/>
              </w:rPr>
              <w:t>State</w:t>
            </w:r>
          </w:p>
        </w:tc>
        <w:tc>
          <w:tcPr>
            <w:tcW w:w="3020"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4394F6AA" w14:textId="77777777" w:rsidR="00941184" w:rsidRPr="00C06287" w:rsidRDefault="00941184" w:rsidP="00941184">
            <w:pPr>
              <w:rPr>
                <w:b/>
                <w:bCs/>
                <w:color w:val="000000"/>
                <w:sz w:val="22"/>
                <w:szCs w:val="22"/>
              </w:rPr>
            </w:pPr>
            <w:r w:rsidRPr="00C06287">
              <w:rPr>
                <w:b/>
                <w:bCs/>
                <w:color w:val="000000"/>
                <w:sz w:val="22"/>
                <w:szCs w:val="22"/>
              </w:rPr>
              <w:t>Number of permitted vessels</w:t>
            </w:r>
          </w:p>
        </w:tc>
        <w:tc>
          <w:tcPr>
            <w:tcW w:w="2980"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44C7BE7C" w14:textId="77777777" w:rsidR="00941184" w:rsidRPr="00C06287" w:rsidRDefault="00941184" w:rsidP="00941184">
            <w:pPr>
              <w:rPr>
                <w:b/>
                <w:bCs/>
                <w:color w:val="000000"/>
                <w:sz w:val="22"/>
                <w:szCs w:val="22"/>
              </w:rPr>
            </w:pPr>
            <w:r w:rsidRPr="00C06287">
              <w:rPr>
                <w:b/>
                <w:bCs/>
                <w:color w:val="000000"/>
                <w:sz w:val="22"/>
                <w:szCs w:val="22"/>
              </w:rPr>
              <w:t>Percent of permitted vessels</w:t>
            </w:r>
          </w:p>
        </w:tc>
      </w:tr>
      <w:tr w:rsidR="00941184" w:rsidRPr="00C06287" w14:paraId="645AAFA1" w14:textId="77777777" w:rsidTr="00C06287">
        <w:trPr>
          <w:trHeight w:val="300"/>
        </w:trPr>
        <w:tc>
          <w:tcPr>
            <w:tcW w:w="960" w:type="dxa"/>
            <w:tcBorders>
              <w:top w:val="nil"/>
              <w:left w:val="single" w:sz="4" w:space="0" w:color="auto"/>
              <w:bottom w:val="single" w:sz="4" w:space="0" w:color="auto"/>
              <w:right w:val="single" w:sz="4" w:space="0" w:color="auto"/>
            </w:tcBorders>
            <w:shd w:val="clear" w:color="000000" w:fill="auto"/>
            <w:vAlign w:val="center"/>
            <w:hideMark/>
          </w:tcPr>
          <w:p w14:paraId="5A331832" w14:textId="77777777" w:rsidR="00941184" w:rsidRPr="00C06287" w:rsidRDefault="00941184" w:rsidP="00941184">
            <w:pPr>
              <w:rPr>
                <w:bCs/>
                <w:color w:val="000000"/>
                <w:sz w:val="22"/>
                <w:szCs w:val="22"/>
              </w:rPr>
            </w:pPr>
            <w:r w:rsidRPr="00C06287">
              <w:rPr>
                <w:bCs/>
                <w:color w:val="000000"/>
                <w:sz w:val="22"/>
                <w:szCs w:val="22"/>
              </w:rPr>
              <w:t>FL</w:t>
            </w:r>
          </w:p>
        </w:tc>
        <w:tc>
          <w:tcPr>
            <w:tcW w:w="3020" w:type="dxa"/>
            <w:tcBorders>
              <w:top w:val="nil"/>
              <w:left w:val="nil"/>
              <w:bottom w:val="single" w:sz="4" w:space="0" w:color="auto"/>
              <w:right w:val="single" w:sz="4" w:space="0" w:color="auto"/>
            </w:tcBorders>
            <w:shd w:val="clear" w:color="auto" w:fill="auto"/>
            <w:noWrap/>
            <w:vAlign w:val="bottom"/>
            <w:hideMark/>
          </w:tcPr>
          <w:p w14:paraId="75341E76" w14:textId="77777777" w:rsidR="00941184" w:rsidRPr="00C06287" w:rsidRDefault="00941184" w:rsidP="00941184">
            <w:pPr>
              <w:jc w:val="center"/>
              <w:rPr>
                <w:color w:val="000000"/>
                <w:sz w:val="22"/>
                <w:szCs w:val="22"/>
              </w:rPr>
            </w:pPr>
            <w:r w:rsidRPr="00C06287">
              <w:rPr>
                <w:color w:val="000000"/>
                <w:sz w:val="22"/>
                <w:szCs w:val="22"/>
              </w:rPr>
              <w:t>869</w:t>
            </w:r>
          </w:p>
        </w:tc>
        <w:tc>
          <w:tcPr>
            <w:tcW w:w="2980" w:type="dxa"/>
            <w:tcBorders>
              <w:top w:val="nil"/>
              <w:left w:val="nil"/>
              <w:bottom w:val="single" w:sz="4" w:space="0" w:color="auto"/>
              <w:right w:val="single" w:sz="4" w:space="0" w:color="auto"/>
            </w:tcBorders>
            <w:shd w:val="clear" w:color="auto" w:fill="auto"/>
            <w:noWrap/>
            <w:vAlign w:val="bottom"/>
            <w:hideMark/>
          </w:tcPr>
          <w:p w14:paraId="6B818F13" w14:textId="77777777" w:rsidR="00941184" w:rsidRPr="00C06287" w:rsidRDefault="00941184" w:rsidP="00941184">
            <w:pPr>
              <w:jc w:val="center"/>
              <w:rPr>
                <w:color w:val="000000"/>
                <w:sz w:val="22"/>
                <w:szCs w:val="22"/>
              </w:rPr>
            </w:pPr>
            <w:r w:rsidRPr="00C06287">
              <w:rPr>
                <w:color w:val="000000"/>
                <w:sz w:val="22"/>
                <w:szCs w:val="22"/>
              </w:rPr>
              <w:t>60.3%</w:t>
            </w:r>
          </w:p>
        </w:tc>
      </w:tr>
      <w:tr w:rsidR="00941184" w:rsidRPr="00C06287" w14:paraId="5C006DB9" w14:textId="77777777" w:rsidTr="00C06287">
        <w:trPr>
          <w:trHeight w:val="300"/>
        </w:trPr>
        <w:tc>
          <w:tcPr>
            <w:tcW w:w="960" w:type="dxa"/>
            <w:tcBorders>
              <w:top w:val="nil"/>
              <w:left w:val="single" w:sz="4" w:space="0" w:color="auto"/>
              <w:bottom w:val="single" w:sz="4" w:space="0" w:color="auto"/>
              <w:right w:val="single" w:sz="4" w:space="0" w:color="auto"/>
            </w:tcBorders>
            <w:shd w:val="clear" w:color="000000" w:fill="auto"/>
            <w:vAlign w:val="center"/>
            <w:hideMark/>
          </w:tcPr>
          <w:p w14:paraId="0610AAB4" w14:textId="77777777" w:rsidR="00941184" w:rsidRPr="00C06287" w:rsidRDefault="00941184" w:rsidP="00941184">
            <w:pPr>
              <w:rPr>
                <w:bCs/>
                <w:color w:val="000000"/>
                <w:sz w:val="22"/>
                <w:szCs w:val="22"/>
              </w:rPr>
            </w:pPr>
            <w:r w:rsidRPr="00C06287">
              <w:rPr>
                <w:bCs/>
                <w:color w:val="000000"/>
                <w:sz w:val="22"/>
                <w:szCs w:val="22"/>
              </w:rPr>
              <w:t>GA</w:t>
            </w:r>
          </w:p>
        </w:tc>
        <w:tc>
          <w:tcPr>
            <w:tcW w:w="3020" w:type="dxa"/>
            <w:tcBorders>
              <w:top w:val="nil"/>
              <w:left w:val="nil"/>
              <w:bottom w:val="single" w:sz="4" w:space="0" w:color="auto"/>
              <w:right w:val="single" w:sz="4" w:space="0" w:color="auto"/>
            </w:tcBorders>
            <w:shd w:val="clear" w:color="auto" w:fill="auto"/>
            <w:noWrap/>
            <w:vAlign w:val="bottom"/>
            <w:hideMark/>
          </w:tcPr>
          <w:p w14:paraId="48716E7E" w14:textId="77777777" w:rsidR="00941184" w:rsidRPr="00C06287" w:rsidRDefault="00941184" w:rsidP="00941184">
            <w:pPr>
              <w:jc w:val="center"/>
              <w:rPr>
                <w:color w:val="000000"/>
                <w:sz w:val="22"/>
                <w:szCs w:val="22"/>
              </w:rPr>
            </w:pPr>
            <w:r w:rsidRPr="00C06287">
              <w:rPr>
                <w:color w:val="000000"/>
                <w:sz w:val="22"/>
                <w:szCs w:val="22"/>
              </w:rPr>
              <w:t>36</w:t>
            </w:r>
          </w:p>
        </w:tc>
        <w:tc>
          <w:tcPr>
            <w:tcW w:w="2980" w:type="dxa"/>
            <w:tcBorders>
              <w:top w:val="nil"/>
              <w:left w:val="nil"/>
              <w:bottom w:val="single" w:sz="4" w:space="0" w:color="auto"/>
              <w:right w:val="single" w:sz="4" w:space="0" w:color="auto"/>
            </w:tcBorders>
            <w:shd w:val="clear" w:color="auto" w:fill="auto"/>
            <w:noWrap/>
            <w:vAlign w:val="bottom"/>
            <w:hideMark/>
          </w:tcPr>
          <w:p w14:paraId="42A8ACF8" w14:textId="77777777" w:rsidR="00941184" w:rsidRPr="00C06287" w:rsidRDefault="00941184" w:rsidP="00941184">
            <w:pPr>
              <w:jc w:val="center"/>
              <w:rPr>
                <w:color w:val="000000"/>
                <w:sz w:val="22"/>
                <w:szCs w:val="22"/>
              </w:rPr>
            </w:pPr>
            <w:r w:rsidRPr="00C06287">
              <w:rPr>
                <w:color w:val="000000"/>
                <w:sz w:val="22"/>
                <w:szCs w:val="22"/>
              </w:rPr>
              <w:t>2.5%</w:t>
            </w:r>
          </w:p>
        </w:tc>
      </w:tr>
      <w:tr w:rsidR="00941184" w:rsidRPr="00C06287" w14:paraId="02E97B28" w14:textId="77777777" w:rsidTr="00C06287">
        <w:trPr>
          <w:trHeight w:val="300"/>
        </w:trPr>
        <w:tc>
          <w:tcPr>
            <w:tcW w:w="960" w:type="dxa"/>
            <w:tcBorders>
              <w:top w:val="nil"/>
              <w:left w:val="single" w:sz="4" w:space="0" w:color="auto"/>
              <w:bottom w:val="single" w:sz="4" w:space="0" w:color="auto"/>
              <w:right w:val="single" w:sz="4" w:space="0" w:color="auto"/>
            </w:tcBorders>
            <w:shd w:val="clear" w:color="000000" w:fill="auto"/>
            <w:vAlign w:val="center"/>
            <w:hideMark/>
          </w:tcPr>
          <w:p w14:paraId="177E44ED" w14:textId="77777777" w:rsidR="00941184" w:rsidRPr="00C06287" w:rsidRDefault="00941184" w:rsidP="00941184">
            <w:pPr>
              <w:rPr>
                <w:bCs/>
                <w:color w:val="000000"/>
                <w:sz w:val="22"/>
                <w:szCs w:val="22"/>
              </w:rPr>
            </w:pPr>
            <w:r w:rsidRPr="00C06287">
              <w:rPr>
                <w:bCs/>
                <w:color w:val="000000"/>
                <w:sz w:val="22"/>
                <w:szCs w:val="22"/>
              </w:rPr>
              <w:t>NC</w:t>
            </w:r>
          </w:p>
        </w:tc>
        <w:tc>
          <w:tcPr>
            <w:tcW w:w="3020" w:type="dxa"/>
            <w:tcBorders>
              <w:top w:val="nil"/>
              <w:left w:val="nil"/>
              <w:bottom w:val="single" w:sz="4" w:space="0" w:color="auto"/>
              <w:right w:val="single" w:sz="4" w:space="0" w:color="auto"/>
            </w:tcBorders>
            <w:shd w:val="clear" w:color="auto" w:fill="auto"/>
            <w:noWrap/>
            <w:vAlign w:val="bottom"/>
            <w:hideMark/>
          </w:tcPr>
          <w:p w14:paraId="6226EF18" w14:textId="77777777" w:rsidR="00941184" w:rsidRPr="00C06287" w:rsidRDefault="00941184" w:rsidP="00941184">
            <w:pPr>
              <w:jc w:val="center"/>
              <w:rPr>
                <w:color w:val="000000"/>
                <w:sz w:val="22"/>
                <w:szCs w:val="22"/>
              </w:rPr>
            </w:pPr>
            <w:r w:rsidRPr="00C06287">
              <w:rPr>
                <w:color w:val="000000"/>
                <w:sz w:val="22"/>
                <w:szCs w:val="22"/>
              </w:rPr>
              <w:t>249</w:t>
            </w:r>
          </w:p>
        </w:tc>
        <w:tc>
          <w:tcPr>
            <w:tcW w:w="2980" w:type="dxa"/>
            <w:tcBorders>
              <w:top w:val="nil"/>
              <w:left w:val="nil"/>
              <w:bottom w:val="single" w:sz="4" w:space="0" w:color="auto"/>
              <w:right w:val="single" w:sz="4" w:space="0" w:color="auto"/>
            </w:tcBorders>
            <w:shd w:val="clear" w:color="auto" w:fill="auto"/>
            <w:noWrap/>
            <w:vAlign w:val="bottom"/>
            <w:hideMark/>
          </w:tcPr>
          <w:p w14:paraId="0AAF5200" w14:textId="77777777" w:rsidR="00941184" w:rsidRPr="00C06287" w:rsidRDefault="00941184" w:rsidP="00941184">
            <w:pPr>
              <w:jc w:val="center"/>
              <w:rPr>
                <w:color w:val="000000"/>
                <w:sz w:val="22"/>
                <w:szCs w:val="22"/>
              </w:rPr>
            </w:pPr>
            <w:r w:rsidRPr="00C06287">
              <w:rPr>
                <w:color w:val="000000"/>
                <w:sz w:val="22"/>
                <w:szCs w:val="22"/>
              </w:rPr>
              <w:t>17.3%</w:t>
            </w:r>
          </w:p>
        </w:tc>
      </w:tr>
      <w:tr w:rsidR="00941184" w:rsidRPr="00C06287" w14:paraId="04A83929" w14:textId="77777777" w:rsidTr="00C06287">
        <w:trPr>
          <w:trHeight w:val="300"/>
        </w:trPr>
        <w:tc>
          <w:tcPr>
            <w:tcW w:w="960" w:type="dxa"/>
            <w:tcBorders>
              <w:top w:val="nil"/>
              <w:left w:val="single" w:sz="4" w:space="0" w:color="auto"/>
              <w:bottom w:val="single" w:sz="4" w:space="0" w:color="auto"/>
              <w:right w:val="single" w:sz="4" w:space="0" w:color="auto"/>
            </w:tcBorders>
            <w:shd w:val="clear" w:color="000000" w:fill="auto"/>
            <w:vAlign w:val="center"/>
            <w:hideMark/>
          </w:tcPr>
          <w:p w14:paraId="52266700" w14:textId="77777777" w:rsidR="00941184" w:rsidRPr="00C06287" w:rsidRDefault="00941184" w:rsidP="00941184">
            <w:pPr>
              <w:rPr>
                <w:bCs/>
                <w:color w:val="000000"/>
                <w:sz w:val="22"/>
                <w:szCs w:val="22"/>
              </w:rPr>
            </w:pPr>
            <w:r w:rsidRPr="00C06287">
              <w:rPr>
                <w:bCs/>
                <w:color w:val="000000"/>
                <w:sz w:val="22"/>
                <w:szCs w:val="22"/>
              </w:rPr>
              <w:t>SC</w:t>
            </w:r>
          </w:p>
        </w:tc>
        <w:tc>
          <w:tcPr>
            <w:tcW w:w="3020" w:type="dxa"/>
            <w:tcBorders>
              <w:top w:val="nil"/>
              <w:left w:val="nil"/>
              <w:bottom w:val="single" w:sz="4" w:space="0" w:color="auto"/>
              <w:right w:val="single" w:sz="4" w:space="0" w:color="auto"/>
            </w:tcBorders>
            <w:shd w:val="clear" w:color="auto" w:fill="auto"/>
            <w:noWrap/>
            <w:vAlign w:val="bottom"/>
            <w:hideMark/>
          </w:tcPr>
          <w:p w14:paraId="264A510E" w14:textId="77777777" w:rsidR="00941184" w:rsidRPr="00C06287" w:rsidRDefault="00941184" w:rsidP="00941184">
            <w:pPr>
              <w:jc w:val="center"/>
              <w:rPr>
                <w:color w:val="000000"/>
                <w:sz w:val="22"/>
                <w:szCs w:val="22"/>
              </w:rPr>
            </w:pPr>
            <w:r w:rsidRPr="00C06287">
              <w:rPr>
                <w:color w:val="000000"/>
                <w:sz w:val="22"/>
                <w:szCs w:val="22"/>
              </w:rPr>
              <w:t>139</w:t>
            </w:r>
          </w:p>
        </w:tc>
        <w:tc>
          <w:tcPr>
            <w:tcW w:w="2980" w:type="dxa"/>
            <w:tcBorders>
              <w:top w:val="nil"/>
              <w:left w:val="nil"/>
              <w:bottom w:val="single" w:sz="4" w:space="0" w:color="auto"/>
              <w:right w:val="single" w:sz="4" w:space="0" w:color="auto"/>
            </w:tcBorders>
            <w:shd w:val="clear" w:color="auto" w:fill="auto"/>
            <w:noWrap/>
            <w:vAlign w:val="bottom"/>
            <w:hideMark/>
          </w:tcPr>
          <w:p w14:paraId="0C145FB4" w14:textId="77777777" w:rsidR="00941184" w:rsidRPr="00C06287" w:rsidRDefault="00941184" w:rsidP="00941184">
            <w:pPr>
              <w:jc w:val="center"/>
              <w:rPr>
                <w:color w:val="000000"/>
                <w:sz w:val="22"/>
                <w:szCs w:val="22"/>
              </w:rPr>
            </w:pPr>
            <w:r w:rsidRPr="00C06287">
              <w:rPr>
                <w:color w:val="000000"/>
                <w:sz w:val="22"/>
                <w:szCs w:val="22"/>
              </w:rPr>
              <w:t>9.7%</w:t>
            </w:r>
          </w:p>
        </w:tc>
      </w:tr>
      <w:tr w:rsidR="00941184" w:rsidRPr="00C06287" w14:paraId="098E06B3" w14:textId="77777777" w:rsidTr="00C06287">
        <w:trPr>
          <w:trHeight w:val="300"/>
        </w:trPr>
        <w:tc>
          <w:tcPr>
            <w:tcW w:w="960" w:type="dxa"/>
            <w:tcBorders>
              <w:top w:val="nil"/>
              <w:left w:val="single" w:sz="4" w:space="0" w:color="auto"/>
              <w:bottom w:val="single" w:sz="4" w:space="0" w:color="auto"/>
              <w:right w:val="single" w:sz="4" w:space="0" w:color="auto"/>
            </w:tcBorders>
            <w:shd w:val="clear" w:color="000000" w:fill="auto"/>
            <w:vAlign w:val="center"/>
            <w:hideMark/>
          </w:tcPr>
          <w:p w14:paraId="44A59949" w14:textId="77777777" w:rsidR="00941184" w:rsidRPr="00C06287" w:rsidRDefault="00941184" w:rsidP="00941184">
            <w:pPr>
              <w:rPr>
                <w:bCs/>
                <w:color w:val="000000"/>
                <w:sz w:val="22"/>
                <w:szCs w:val="22"/>
              </w:rPr>
            </w:pPr>
            <w:r w:rsidRPr="00C06287">
              <w:rPr>
                <w:bCs/>
                <w:color w:val="000000"/>
                <w:sz w:val="22"/>
                <w:szCs w:val="22"/>
              </w:rPr>
              <w:t>Other</w:t>
            </w:r>
          </w:p>
        </w:tc>
        <w:tc>
          <w:tcPr>
            <w:tcW w:w="3020" w:type="dxa"/>
            <w:tcBorders>
              <w:top w:val="nil"/>
              <w:left w:val="nil"/>
              <w:bottom w:val="single" w:sz="4" w:space="0" w:color="auto"/>
              <w:right w:val="single" w:sz="4" w:space="0" w:color="auto"/>
            </w:tcBorders>
            <w:shd w:val="clear" w:color="auto" w:fill="auto"/>
            <w:noWrap/>
            <w:vAlign w:val="bottom"/>
            <w:hideMark/>
          </w:tcPr>
          <w:p w14:paraId="1FF6529F" w14:textId="77777777" w:rsidR="00941184" w:rsidRPr="00C06287" w:rsidRDefault="00941184" w:rsidP="00941184">
            <w:pPr>
              <w:jc w:val="center"/>
              <w:rPr>
                <w:color w:val="000000"/>
                <w:sz w:val="22"/>
                <w:szCs w:val="22"/>
              </w:rPr>
            </w:pPr>
            <w:r w:rsidRPr="00C06287">
              <w:rPr>
                <w:color w:val="000000"/>
                <w:sz w:val="22"/>
                <w:szCs w:val="22"/>
              </w:rPr>
              <w:t>147</w:t>
            </w:r>
          </w:p>
        </w:tc>
        <w:tc>
          <w:tcPr>
            <w:tcW w:w="2980" w:type="dxa"/>
            <w:tcBorders>
              <w:top w:val="nil"/>
              <w:left w:val="nil"/>
              <w:bottom w:val="single" w:sz="4" w:space="0" w:color="auto"/>
              <w:right w:val="single" w:sz="4" w:space="0" w:color="auto"/>
            </w:tcBorders>
            <w:shd w:val="clear" w:color="auto" w:fill="auto"/>
            <w:noWrap/>
            <w:vAlign w:val="bottom"/>
            <w:hideMark/>
          </w:tcPr>
          <w:p w14:paraId="47CC7414" w14:textId="77777777" w:rsidR="00941184" w:rsidRPr="00C06287" w:rsidRDefault="00941184" w:rsidP="00941184">
            <w:pPr>
              <w:jc w:val="center"/>
              <w:rPr>
                <w:color w:val="000000"/>
                <w:sz w:val="22"/>
                <w:szCs w:val="22"/>
              </w:rPr>
            </w:pPr>
            <w:r w:rsidRPr="00C06287">
              <w:rPr>
                <w:color w:val="000000"/>
                <w:sz w:val="22"/>
                <w:szCs w:val="22"/>
              </w:rPr>
              <w:t>10.2%</w:t>
            </w:r>
          </w:p>
        </w:tc>
      </w:tr>
      <w:tr w:rsidR="00941184" w:rsidRPr="00C06287" w14:paraId="17617DFA" w14:textId="77777777" w:rsidTr="00C06287">
        <w:trPr>
          <w:trHeight w:val="300"/>
        </w:trPr>
        <w:tc>
          <w:tcPr>
            <w:tcW w:w="960" w:type="dxa"/>
            <w:tcBorders>
              <w:top w:val="nil"/>
              <w:left w:val="single" w:sz="4" w:space="0" w:color="auto"/>
              <w:bottom w:val="single" w:sz="4" w:space="0" w:color="auto"/>
              <w:right w:val="single" w:sz="4" w:space="0" w:color="auto"/>
            </w:tcBorders>
            <w:shd w:val="clear" w:color="000000" w:fill="auto"/>
            <w:vAlign w:val="center"/>
            <w:hideMark/>
          </w:tcPr>
          <w:p w14:paraId="28A3B5EE" w14:textId="77777777" w:rsidR="00941184" w:rsidRPr="00C06287" w:rsidRDefault="00941184" w:rsidP="00941184">
            <w:pPr>
              <w:rPr>
                <w:bCs/>
                <w:color w:val="000000"/>
                <w:sz w:val="22"/>
                <w:szCs w:val="22"/>
              </w:rPr>
            </w:pPr>
            <w:r w:rsidRPr="00C06287">
              <w:rPr>
                <w:bCs/>
                <w:color w:val="000000"/>
                <w:sz w:val="22"/>
                <w:szCs w:val="22"/>
              </w:rPr>
              <w:t>Total</w:t>
            </w:r>
          </w:p>
        </w:tc>
        <w:tc>
          <w:tcPr>
            <w:tcW w:w="3020" w:type="dxa"/>
            <w:tcBorders>
              <w:top w:val="nil"/>
              <w:left w:val="nil"/>
              <w:bottom w:val="single" w:sz="4" w:space="0" w:color="auto"/>
              <w:right w:val="single" w:sz="4" w:space="0" w:color="auto"/>
            </w:tcBorders>
            <w:shd w:val="clear" w:color="auto" w:fill="auto"/>
            <w:noWrap/>
            <w:vAlign w:val="bottom"/>
            <w:hideMark/>
          </w:tcPr>
          <w:p w14:paraId="2B872814" w14:textId="77777777" w:rsidR="00941184" w:rsidRPr="00C06287" w:rsidRDefault="00941184" w:rsidP="00941184">
            <w:pPr>
              <w:jc w:val="center"/>
              <w:rPr>
                <w:color w:val="000000"/>
                <w:sz w:val="22"/>
                <w:szCs w:val="22"/>
              </w:rPr>
            </w:pPr>
            <w:r w:rsidRPr="00C06287">
              <w:rPr>
                <w:color w:val="000000"/>
                <w:sz w:val="22"/>
                <w:szCs w:val="22"/>
              </w:rPr>
              <w:t>1,440</w:t>
            </w:r>
          </w:p>
        </w:tc>
        <w:tc>
          <w:tcPr>
            <w:tcW w:w="2980" w:type="dxa"/>
            <w:tcBorders>
              <w:top w:val="nil"/>
              <w:left w:val="nil"/>
              <w:bottom w:val="single" w:sz="4" w:space="0" w:color="auto"/>
              <w:right w:val="single" w:sz="4" w:space="0" w:color="auto"/>
            </w:tcBorders>
            <w:shd w:val="clear" w:color="auto" w:fill="auto"/>
            <w:noWrap/>
            <w:vAlign w:val="bottom"/>
            <w:hideMark/>
          </w:tcPr>
          <w:p w14:paraId="7B195F14" w14:textId="77777777" w:rsidR="00941184" w:rsidRPr="00C06287" w:rsidRDefault="00941184" w:rsidP="00941184">
            <w:pPr>
              <w:jc w:val="center"/>
              <w:rPr>
                <w:color w:val="000000"/>
                <w:sz w:val="22"/>
                <w:szCs w:val="22"/>
              </w:rPr>
            </w:pPr>
            <w:r w:rsidRPr="00C06287">
              <w:rPr>
                <w:color w:val="000000"/>
                <w:sz w:val="22"/>
                <w:szCs w:val="22"/>
              </w:rPr>
              <w:t>100.0%</w:t>
            </w:r>
          </w:p>
        </w:tc>
      </w:tr>
    </w:tbl>
    <w:p w14:paraId="122A8F1A" w14:textId="42D84E3A" w:rsidR="00941184" w:rsidRDefault="00C06287" w:rsidP="00941184">
      <w:pPr>
        <w:rPr>
          <w:color w:val="000000"/>
        </w:rPr>
      </w:pPr>
      <w:r>
        <w:rPr>
          <w:rFonts w:ascii="Arial" w:hAnsi="Arial" w:cs="Arial"/>
          <w:sz w:val="20"/>
          <w:szCs w:val="20"/>
        </w:rPr>
        <w:t>Source</w:t>
      </w:r>
      <w:r w:rsidRPr="001072F5">
        <w:rPr>
          <w:rFonts w:ascii="Arial" w:hAnsi="Arial" w:cs="Arial"/>
          <w:sz w:val="20"/>
          <w:szCs w:val="20"/>
        </w:rPr>
        <w:t>:</w:t>
      </w:r>
      <w:r>
        <w:rPr>
          <w:rFonts w:ascii="Arial" w:hAnsi="Arial" w:cs="Arial"/>
          <w:sz w:val="20"/>
          <w:szCs w:val="20"/>
        </w:rPr>
        <w:t xml:space="preserve"> PIMS.</w:t>
      </w:r>
    </w:p>
    <w:p w14:paraId="4A4E25AB" w14:textId="77777777" w:rsidR="00941184" w:rsidRDefault="00941184" w:rsidP="00941184">
      <w:pPr>
        <w:rPr>
          <w:color w:val="000000"/>
        </w:rPr>
      </w:pPr>
    </w:p>
    <w:p w14:paraId="3307F0BB" w14:textId="519885D7" w:rsidR="00941184" w:rsidRDefault="00C06287" w:rsidP="00941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pPr>
      <w:r>
        <w:t>The a</w:t>
      </w:r>
      <w:r w:rsidR="00941184" w:rsidRPr="0067026A">
        <w:t xml:space="preserve">ctions </w:t>
      </w:r>
      <w:r>
        <w:t>proposed in this</w:t>
      </w:r>
      <w:r w:rsidR="00941184" w:rsidRPr="0067026A">
        <w:t xml:space="preserve"> regulatory amendment concern fishing for</w:t>
      </w:r>
      <w:r w:rsidR="00941184">
        <w:t xml:space="preserve"> mutton snapper only</w:t>
      </w:r>
      <w:r w:rsidR="00941184" w:rsidRPr="0067026A">
        <w:t>.  Consequently, the remainder of this section</w:t>
      </w:r>
      <w:r w:rsidR="00941184">
        <w:t xml:space="preserve"> </w:t>
      </w:r>
      <w:r w:rsidR="00941184" w:rsidRPr="0067026A">
        <w:t>f</w:t>
      </w:r>
      <w:r w:rsidR="00941184">
        <w:t>ocuses exclusively on recreational</w:t>
      </w:r>
      <w:r w:rsidR="00941184" w:rsidRPr="0067026A">
        <w:t xml:space="preserve"> fishing for</w:t>
      </w:r>
      <w:r w:rsidR="00941184">
        <w:t xml:space="preserve"> mutton snapper in the </w:t>
      </w:r>
      <w:r w:rsidR="00593618">
        <w:t xml:space="preserve">South Atlantic </w:t>
      </w:r>
      <w:r w:rsidR="00D02147">
        <w:t>R</w:t>
      </w:r>
      <w:r w:rsidR="00941184">
        <w:t>egion</w:t>
      </w:r>
      <w:r w:rsidR="00941184" w:rsidRPr="0067026A">
        <w:t xml:space="preserve">.  </w:t>
      </w:r>
    </w:p>
    <w:p w14:paraId="52AB0715" w14:textId="77777777" w:rsidR="00941184" w:rsidRDefault="00941184" w:rsidP="00941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63B7F9B" w14:textId="7924FCC2" w:rsidR="00941184" w:rsidRPr="0067026A" w:rsidRDefault="00941184" w:rsidP="00941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color w:val="000000"/>
        </w:rPr>
      </w:pPr>
      <w:r>
        <w:t xml:space="preserve">      Additional information on recreational</w:t>
      </w:r>
      <w:r w:rsidRPr="0067026A">
        <w:t xml:space="preserve"> landings and fishing for the snapper grouper fishery as a whole or the other </w:t>
      </w:r>
      <w:r>
        <w:t xml:space="preserve">species or complexes </w:t>
      </w:r>
      <w:r w:rsidRPr="0067026A">
        <w:t>within it can be found in previous amendments</w:t>
      </w:r>
      <w:r>
        <w:t xml:space="preserve">, such as </w:t>
      </w:r>
      <w:r w:rsidRPr="0067026A">
        <w:t xml:space="preserve">Amendment 13C (SAFMC 2006), Amendment 15A (SAFMC 2008a), Amendment 15B (SAFMC 2008b), Amendment 16 (SAFMC 2009a), Regulatory Amendment 9 (SAFMC 2011a), and </w:t>
      </w:r>
      <w:r w:rsidR="00D02147">
        <w:t>Comprehensive ACL Amendment (SAFMC 2011a</w:t>
      </w:r>
      <w:r>
        <w:t>), and is</w:t>
      </w:r>
      <w:r w:rsidRPr="0067026A">
        <w:t xml:space="preserve"> incorporated herein by reference.  </w:t>
      </w:r>
    </w:p>
    <w:p w14:paraId="68D98894" w14:textId="30395B3F" w:rsidR="00C06287" w:rsidRDefault="00C06287">
      <w:pPr>
        <w:rPr>
          <w:rFonts w:ascii="Arial" w:hAnsi="Arial" w:cs="Arial"/>
          <w:b/>
          <w:sz w:val="28"/>
          <w:szCs w:val="28"/>
        </w:rPr>
      </w:pPr>
    </w:p>
    <w:p w14:paraId="18397D60" w14:textId="77777777" w:rsidR="00DB18EC" w:rsidRDefault="00DB18EC">
      <w:pPr>
        <w:rPr>
          <w:rFonts w:ascii="Arial" w:hAnsi="Arial" w:cs="Arial"/>
          <w:b/>
          <w:sz w:val="28"/>
          <w:szCs w:val="28"/>
        </w:rPr>
      </w:pPr>
      <w:r>
        <w:rPr>
          <w:rFonts w:ascii="Arial" w:hAnsi="Arial" w:cs="Arial"/>
          <w:b/>
          <w:sz w:val="28"/>
          <w:szCs w:val="28"/>
        </w:rPr>
        <w:br w:type="page"/>
      </w:r>
    </w:p>
    <w:p w14:paraId="6174E2F2" w14:textId="09C651B7" w:rsidR="00941184" w:rsidRPr="00C06287" w:rsidRDefault="00941184" w:rsidP="00C06287">
      <w:pPr>
        <w:rPr>
          <w:rFonts w:ascii="Arial" w:hAnsi="Arial" w:cs="Arial"/>
          <w:b/>
          <w:bCs/>
          <w:sz w:val="28"/>
          <w:szCs w:val="28"/>
        </w:rPr>
      </w:pPr>
      <w:r w:rsidRPr="00C06287">
        <w:rPr>
          <w:rFonts w:ascii="Arial" w:hAnsi="Arial" w:cs="Arial"/>
          <w:b/>
          <w:sz w:val="28"/>
          <w:szCs w:val="28"/>
        </w:rPr>
        <w:lastRenderedPageBreak/>
        <w:t>Mutton Snapper</w:t>
      </w:r>
    </w:p>
    <w:p w14:paraId="5C33428B" w14:textId="77777777" w:rsidR="00941184" w:rsidRDefault="00941184" w:rsidP="00941184">
      <w:pPr>
        <w:ind w:firstLine="360"/>
      </w:pPr>
    </w:p>
    <w:p w14:paraId="358CA62A" w14:textId="252B55E7" w:rsidR="00941184" w:rsidRDefault="00941184" w:rsidP="00941184">
      <w:pPr>
        <w:ind w:firstLine="360"/>
      </w:pPr>
      <w:r>
        <w:t xml:space="preserve">The recreational fishing year (season) for mutton snapper and most species </w:t>
      </w:r>
      <w:r w:rsidR="00E65D9E">
        <w:t xml:space="preserve">or </w:t>
      </w:r>
      <w:r>
        <w:t>species groups within the snapper grouper fishery runs from January 1 to December 31 every year.  If recreational landings reach or are projected to reach or exceed the recreational ACL, the season is closed</w:t>
      </w:r>
      <w:r w:rsidR="00593618">
        <w:t xml:space="preserve"> (unless NMFS determines that a closure is unnecessary)</w:t>
      </w:r>
      <w:r>
        <w:t>.  Prior to 2012, there was no ACL and since 2012, the recreational ACL for mutton snapper has been at 768,857 lb</w:t>
      </w:r>
      <w:r w:rsidR="00C06287">
        <w:t>s</w:t>
      </w:r>
      <w:r>
        <w:t xml:space="preserve"> ww.  No season to date has closed early.  From 2012 through 2014, no more than 85.9% of the ACL was landed (</w:t>
      </w:r>
      <w:r>
        <w:rPr>
          <w:b/>
        </w:rPr>
        <w:t>Table 3.3.19</w:t>
      </w:r>
      <w:r>
        <w:t>).  The annual average from 2010 through 2014 is approximately 63% of the recreational ACL.  Preliminary data for 2015 indicate approximately 85% of the recreational ACL was landed by anglers from January through October.</w:t>
      </w:r>
    </w:p>
    <w:p w14:paraId="6FCF60A9" w14:textId="77777777" w:rsidR="00941184" w:rsidRDefault="00941184" w:rsidP="00941184">
      <w:pPr>
        <w:ind w:firstLine="360"/>
      </w:pPr>
    </w:p>
    <w:p w14:paraId="01BC3792" w14:textId="402E03A2" w:rsidR="00941184" w:rsidRDefault="00941184" w:rsidP="00631DE9">
      <w:pPr>
        <w:pStyle w:val="Tabletitle"/>
      </w:pPr>
      <w:bookmarkStart w:id="164" w:name="_Toc340431564"/>
      <w:r>
        <w:rPr>
          <w:b/>
        </w:rPr>
        <w:t>Table 3.3.19</w:t>
      </w:r>
      <w:r w:rsidRPr="00E041AC">
        <w:rPr>
          <w:b/>
        </w:rPr>
        <w:t>.</w:t>
      </w:r>
      <w:r>
        <w:t xml:space="preserve">  Recreational</w:t>
      </w:r>
      <w:r w:rsidRPr="00E13EAB">
        <w:t xml:space="preserve"> land</w:t>
      </w:r>
      <w:r>
        <w:t xml:space="preserve">ings </w:t>
      </w:r>
      <w:r w:rsidR="00C06287">
        <w:t xml:space="preserve">(lbs ww) </w:t>
      </w:r>
      <w:r>
        <w:t xml:space="preserve">and ACL for </w:t>
      </w:r>
      <w:r w:rsidR="00C06287">
        <w:t>mutton snapper, 2010-</w:t>
      </w:r>
      <w:r>
        <w:t>2014.</w:t>
      </w:r>
      <w:bookmarkEnd w:id="164"/>
      <w:r>
        <w:t xml:space="preserve">  </w:t>
      </w:r>
    </w:p>
    <w:tbl>
      <w:tblPr>
        <w:tblW w:w="61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097"/>
        <w:gridCol w:w="1531"/>
        <w:gridCol w:w="1461"/>
      </w:tblGrid>
      <w:tr w:rsidR="00941184" w:rsidRPr="00C06287" w14:paraId="25FF1F36" w14:textId="77777777" w:rsidTr="00C06287">
        <w:trPr>
          <w:trHeight w:val="300"/>
        </w:trPr>
        <w:tc>
          <w:tcPr>
            <w:tcW w:w="2080" w:type="dxa"/>
            <w:shd w:val="clear" w:color="auto" w:fill="D9D9D9" w:themeFill="background1" w:themeFillShade="D9"/>
            <w:vAlign w:val="center"/>
            <w:hideMark/>
          </w:tcPr>
          <w:p w14:paraId="3E1C0C76" w14:textId="13C6D275" w:rsidR="00941184" w:rsidRPr="00C06287" w:rsidRDefault="00C06287" w:rsidP="00C06287">
            <w:pPr>
              <w:jc w:val="center"/>
              <w:rPr>
                <w:b/>
                <w:bCs/>
                <w:color w:val="000000"/>
                <w:sz w:val="22"/>
                <w:szCs w:val="22"/>
              </w:rPr>
            </w:pPr>
            <w:r>
              <w:rPr>
                <w:b/>
                <w:bCs/>
                <w:color w:val="000000"/>
                <w:sz w:val="22"/>
                <w:szCs w:val="22"/>
              </w:rPr>
              <w:t>Year</w:t>
            </w:r>
          </w:p>
        </w:tc>
        <w:tc>
          <w:tcPr>
            <w:tcW w:w="1097" w:type="dxa"/>
            <w:shd w:val="clear" w:color="auto" w:fill="D9D9D9" w:themeFill="background1" w:themeFillShade="D9"/>
            <w:noWrap/>
            <w:vAlign w:val="center"/>
            <w:hideMark/>
          </w:tcPr>
          <w:p w14:paraId="5516EC20" w14:textId="77777777" w:rsidR="00941184" w:rsidRPr="00C06287" w:rsidRDefault="00941184" w:rsidP="00941184">
            <w:pPr>
              <w:jc w:val="center"/>
              <w:rPr>
                <w:b/>
                <w:bCs/>
                <w:color w:val="000000"/>
                <w:sz w:val="22"/>
                <w:szCs w:val="22"/>
              </w:rPr>
            </w:pPr>
            <w:r w:rsidRPr="00C06287">
              <w:rPr>
                <w:b/>
                <w:bCs/>
                <w:color w:val="000000"/>
                <w:sz w:val="22"/>
                <w:szCs w:val="22"/>
              </w:rPr>
              <w:t>Landings</w:t>
            </w:r>
          </w:p>
        </w:tc>
        <w:tc>
          <w:tcPr>
            <w:tcW w:w="1531" w:type="dxa"/>
            <w:shd w:val="clear" w:color="auto" w:fill="D9D9D9" w:themeFill="background1" w:themeFillShade="D9"/>
            <w:noWrap/>
            <w:vAlign w:val="center"/>
            <w:hideMark/>
          </w:tcPr>
          <w:p w14:paraId="6B6D589F" w14:textId="77777777" w:rsidR="00941184" w:rsidRPr="00C06287" w:rsidRDefault="00941184" w:rsidP="00941184">
            <w:pPr>
              <w:jc w:val="center"/>
              <w:rPr>
                <w:b/>
                <w:bCs/>
                <w:color w:val="000000"/>
                <w:sz w:val="22"/>
                <w:szCs w:val="22"/>
              </w:rPr>
            </w:pPr>
            <w:r w:rsidRPr="00C06287">
              <w:rPr>
                <w:b/>
                <w:bCs/>
                <w:color w:val="000000"/>
                <w:sz w:val="22"/>
                <w:szCs w:val="22"/>
              </w:rPr>
              <w:t>Baseline ACL</w:t>
            </w:r>
          </w:p>
        </w:tc>
        <w:tc>
          <w:tcPr>
            <w:tcW w:w="1461" w:type="dxa"/>
            <w:shd w:val="clear" w:color="auto" w:fill="D9D9D9" w:themeFill="background1" w:themeFillShade="D9"/>
            <w:noWrap/>
            <w:vAlign w:val="center"/>
            <w:hideMark/>
          </w:tcPr>
          <w:p w14:paraId="5CEDB329" w14:textId="77777777" w:rsidR="00941184" w:rsidRPr="00C06287" w:rsidRDefault="00941184" w:rsidP="00941184">
            <w:pPr>
              <w:jc w:val="center"/>
              <w:rPr>
                <w:b/>
                <w:bCs/>
                <w:color w:val="000000"/>
                <w:sz w:val="22"/>
                <w:szCs w:val="22"/>
              </w:rPr>
            </w:pPr>
            <w:r w:rsidRPr="00C06287">
              <w:rPr>
                <w:b/>
                <w:bCs/>
                <w:color w:val="000000"/>
                <w:sz w:val="22"/>
                <w:szCs w:val="22"/>
              </w:rPr>
              <w:t>Percent ACL</w:t>
            </w:r>
          </w:p>
        </w:tc>
      </w:tr>
      <w:tr w:rsidR="00941184" w:rsidRPr="00C06287" w14:paraId="1C43303E" w14:textId="77777777" w:rsidTr="00C06287">
        <w:trPr>
          <w:trHeight w:val="300"/>
        </w:trPr>
        <w:tc>
          <w:tcPr>
            <w:tcW w:w="2080" w:type="dxa"/>
            <w:shd w:val="clear" w:color="000000" w:fill="auto"/>
            <w:noWrap/>
            <w:vAlign w:val="bottom"/>
            <w:hideMark/>
          </w:tcPr>
          <w:p w14:paraId="475D22FF" w14:textId="77777777" w:rsidR="00941184" w:rsidRPr="00C06287" w:rsidRDefault="00941184" w:rsidP="00941184">
            <w:pPr>
              <w:jc w:val="center"/>
              <w:rPr>
                <w:bCs/>
                <w:color w:val="000000"/>
                <w:sz w:val="22"/>
                <w:szCs w:val="22"/>
              </w:rPr>
            </w:pPr>
            <w:r w:rsidRPr="00C06287">
              <w:rPr>
                <w:bCs/>
                <w:color w:val="000000"/>
                <w:sz w:val="22"/>
                <w:szCs w:val="22"/>
              </w:rPr>
              <w:t>2010</w:t>
            </w:r>
          </w:p>
        </w:tc>
        <w:tc>
          <w:tcPr>
            <w:tcW w:w="1097" w:type="dxa"/>
            <w:shd w:val="clear" w:color="auto" w:fill="auto"/>
            <w:noWrap/>
            <w:vAlign w:val="center"/>
            <w:hideMark/>
          </w:tcPr>
          <w:p w14:paraId="5B147C4F" w14:textId="77777777" w:rsidR="00941184" w:rsidRPr="00C06287" w:rsidRDefault="00941184" w:rsidP="00941184">
            <w:pPr>
              <w:jc w:val="center"/>
              <w:rPr>
                <w:color w:val="000000"/>
                <w:sz w:val="22"/>
                <w:szCs w:val="22"/>
              </w:rPr>
            </w:pPr>
            <w:r w:rsidRPr="00C06287">
              <w:rPr>
                <w:color w:val="000000"/>
                <w:sz w:val="22"/>
                <w:szCs w:val="22"/>
              </w:rPr>
              <w:t>477,647</w:t>
            </w:r>
          </w:p>
        </w:tc>
        <w:tc>
          <w:tcPr>
            <w:tcW w:w="1531" w:type="dxa"/>
            <w:shd w:val="clear" w:color="auto" w:fill="auto"/>
            <w:noWrap/>
            <w:vAlign w:val="bottom"/>
          </w:tcPr>
          <w:p w14:paraId="3BF1BD37" w14:textId="77777777" w:rsidR="00941184" w:rsidRPr="00C06287" w:rsidRDefault="00941184" w:rsidP="00941184">
            <w:pPr>
              <w:jc w:val="center"/>
              <w:rPr>
                <w:color w:val="000000"/>
                <w:sz w:val="22"/>
                <w:szCs w:val="22"/>
              </w:rPr>
            </w:pPr>
          </w:p>
        </w:tc>
        <w:tc>
          <w:tcPr>
            <w:tcW w:w="1461" w:type="dxa"/>
            <w:shd w:val="clear" w:color="auto" w:fill="auto"/>
            <w:noWrap/>
            <w:vAlign w:val="bottom"/>
          </w:tcPr>
          <w:p w14:paraId="43F4AAA4" w14:textId="77777777" w:rsidR="00941184" w:rsidRPr="00C06287" w:rsidRDefault="00941184" w:rsidP="00941184">
            <w:pPr>
              <w:jc w:val="center"/>
              <w:rPr>
                <w:color w:val="000000"/>
                <w:sz w:val="22"/>
                <w:szCs w:val="22"/>
              </w:rPr>
            </w:pPr>
          </w:p>
        </w:tc>
      </w:tr>
      <w:tr w:rsidR="00941184" w:rsidRPr="00C06287" w14:paraId="60804F08" w14:textId="77777777" w:rsidTr="00C06287">
        <w:trPr>
          <w:trHeight w:val="300"/>
        </w:trPr>
        <w:tc>
          <w:tcPr>
            <w:tcW w:w="2080" w:type="dxa"/>
            <w:shd w:val="clear" w:color="000000" w:fill="auto"/>
            <w:noWrap/>
            <w:vAlign w:val="bottom"/>
            <w:hideMark/>
          </w:tcPr>
          <w:p w14:paraId="589E8C1F" w14:textId="77777777" w:rsidR="00941184" w:rsidRPr="00C06287" w:rsidRDefault="00941184" w:rsidP="00941184">
            <w:pPr>
              <w:jc w:val="center"/>
              <w:rPr>
                <w:bCs/>
                <w:color w:val="000000"/>
                <w:sz w:val="22"/>
                <w:szCs w:val="22"/>
              </w:rPr>
            </w:pPr>
            <w:r w:rsidRPr="00C06287">
              <w:rPr>
                <w:bCs/>
                <w:color w:val="000000"/>
                <w:sz w:val="22"/>
                <w:szCs w:val="22"/>
              </w:rPr>
              <w:t>2011</w:t>
            </w:r>
          </w:p>
        </w:tc>
        <w:tc>
          <w:tcPr>
            <w:tcW w:w="1097" w:type="dxa"/>
            <w:shd w:val="clear" w:color="auto" w:fill="auto"/>
            <w:noWrap/>
            <w:vAlign w:val="center"/>
            <w:hideMark/>
          </w:tcPr>
          <w:p w14:paraId="557253AF" w14:textId="77777777" w:rsidR="00941184" w:rsidRPr="00C06287" w:rsidRDefault="00941184" w:rsidP="00941184">
            <w:pPr>
              <w:jc w:val="center"/>
              <w:rPr>
                <w:color w:val="000000"/>
                <w:sz w:val="22"/>
                <w:szCs w:val="22"/>
              </w:rPr>
            </w:pPr>
            <w:r w:rsidRPr="00C06287">
              <w:rPr>
                <w:color w:val="000000"/>
                <w:sz w:val="22"/>
                <w:szCs w:val="22"/>
              </w:rPr>
              <w:t>251,446</w:t>
            </w:r>
          </w:p>
        </w:tc>
        <w:tc>
          <w:tcPr>
            <w:tcW w:w="1531" w:type="dxa"/>
            <w:shd w:val="clear" w:color="auto" w:fill="auto"/>
            <w:noWrap/>
            <w:vAlign w:val="bottom"/>
          </w:tcPr>
          <w:p w14:paraId="1E0132EC" w14:textId="77777777" w:rsidR="00941184" w:rsidRPr="00C06287" w:rsidRDefault="00941184" w:rsidP="00941184">
            <w:pPr>
              <w:jc w:val="center"/>
              <w:rPr>
                <w:color w:val="000000"/>
                <w:sz w:val="22"/>
                <w:szCs w:val="22"/>
              </w:rPr>
            </w:pPr>
          </w:p>
        </w:tc>
        <w:tc>
          <w:tcPr>
            <w:tcW w:w="1461" w:type="dxa"/>
            <w:shd w:val="clear" w:color="auto" w:fill="auto"/>
            <w:noWrap/>
            <w:vAlign w:val="bottom"/>
          </w:tcPr>
          <w:p w14:paraId="2F0B531D" w14:textId="77777777" w:rsidR="00941184" w:rsidRPr="00C06287" w:rsidRDefault="00941184" w:rsidP="00941184">
            <w:pPr>
              <w:jc w:val="center"/>
              <w:rPr>
                <w:color w:val="000000"/>
                <w:sz w:val="22"/>
                <w:szCs w:val="22"/>
              </w:rPr>
            </w:pPr>
          </w:p>
        </w:tc>
      </w:tr>
      <w:tr w:rsidR="00941184" w:rsidRPr="00C06287" w14:paraId="0DF6E189" w14:textId="77777777" w:rsidTr="00C06287">
        <w:trPr>
          <w:trHeight w:val="300"/>
        </w:trPr>
        <w:tc>
          <w:tcPr>
            <w:tcW w:w="2080" w:type="dxa"/>
            <w:shd w:val="clear" w:color="000000" w:fill="auto"/>
            <w:noWrap/>
            <w:vAlign w:val="center"/>
            <w:hideMark/>
          </w:tcPr>
          <w:p w14:paraId="3564DB65" w14:textId="77777777" w:rsidR="00941184" w:rsidRPr="00C06287" w:rsidRDefault="00941184" w:rsidP="00941184">
            <w:pPr>
              <w:jc w:val="center"/>
              <w:rPr>
                <w:bCs/>
                <w:color w:val="000000"/>
                <w:sz w:val="22"/>
                <w:szCs w:val="22"/>
              </w:rPr>
            </w:pPr>
            <w:r w:rsidRPr="00C06287">
              <w:rPr>
                <w:bCs/>
                <w:color w:val="000000"/>
                <w:sz w:val="22"/>
                <w:szCs w:val="22"/>
              </w:rPr>
              <w:t>2012</w:t>
            </w:r>
          </w:p>
        </w:tc>
        <w:tc>
          <w:tcPr>
            <w:tcW w:w="1097" w:type="dxa"/>
            <w:shd w:val="clear" w:color="auto" w:fill="auto"/>
            <w:noWrap/>
            <w:vAlign w:val="center"/>
            <w:hideMark/>
          </w:tcPr>
          <w:p w14:paraId="79418456" w14:textId="77777777" w:rsidR="00941184" w:rsidRPr="00C06287" w:rsidRDefault="00941184" w:rsidP="00941184">
            <w:pPr>
              <w:jc w:val="center"/>
              <w:rPr>
                <w:color w:val="000000"/>
                <w:sz w:val="22"/>
                <w:szCs w:val="22"/>
              </w:rPr>
            </w:pPr>
            <w:r w:rsidRPr="00C06287">
              <w:rPr>
                <w:color w:val="000000"/>
                <w:sz w:val="22"/>
                <w:szCs w:val="22"/>
              </w:rPr>
              <w:t>505,583</w:t>
            </w:r>
          </w:p>
        </w:tc>
        <w:tc>
          <w:tcPr>
            <w:tcW w:w="1531" w:type="dxa"/>
            <w:shd w:val="clear" w:color="auto" w:fill="auto"/>
            <w:noWrap/>
            <w:vAlign w:val="bottom"/>
            <w:hideMark/>
          </w:tcPr>
          <w:p w14:paraId="617EBE7E" w14:textId="77777777" w:rsidR="00941184" w:rsidRPr="00C06287" w:rsidRDefault="00941184" w:rsidP="00941184">
            <w:pPr>
              <w:jc w:val="center"/>
              <w:rPr>
                <w:color w:val="000000"/>
                <w:sz w:val="22"/>
                <w:szCs w:val="22"/>
              </w:rPr>
            </w:pPr>
            <w:r w:rsidRPr="00C06287">
              <w:rPr>
                <w:color w:val="000000"/>
                <w:sz w:val="22"/>
                <w:szCs w:val="22"/>
              </w:rPr>
              <w:t>768,857</w:t>
            </w:r>
          </w:p>
        </w:tc>
        <w:tc>
          <w:tcPr>
            <w:tcW w:w="1461" w:type="dxa"/>
            <w:shd w:val="clear" w:color="auto" w:fill="auto"/>
            <w:noWrap/>
            <w:vAlign w:val="bottom"/>
            <w:hideMark/>
          </w:tcPr>
          <w:p w14:paraId="565ECD4D" w14:textId="77777777" w:rsidR="00941184" w:rsidRPr="00C06287" w:rsidRDefault="00941184" w:rsidP="00941184">
            <w:pPr>
              <w:jc w:val="center"/>
              <w:rPr>
                <w:color w:val="000000"/>
                <w:sz w:val="22"/>
                <w:szCs w:val="22"/>
              </w:rPr>
            </w:pPr>
            <w:r w:rsidRPr="00C06287">
              <w:rPr>
                <w:color w:val="000000"/>
                <w:sz w:val="22"/>
                <w:szCs w:val="22"/>
              </w:rPr>
              <w:t>65.8%</w:t>
            </w:r>
          </w:p>
        </w:tc>
      </w:tr>
      <w:tr w:rsidR="00941184" w:rsidRPr="00C06287" w14:paraId="4B99A70D" w14:textId="77777777" w:rsidTr="00C06287">
        <w:trPr>
          <w:trHeight w:val="300"/>
        </w:trPr>
        <w:tc>
          <w:tcPr>
            <w:tcW w:w="2080" w:type="dxa"/>
            <w:shd w:val="clear" w:color="000000" w:fill="auto"/>
            <w:noWrap/>
            <w:vAlign w:val="center"/>
            <w:hideMark/>
          </w:tcPr>
          <w:p w14:paraId="53370116" w14:textId="77777777" w:rsidR="00941184" w:rsidRPr="00C06287" w:rsidRDefault="00941184" w:rsidP="00941184">
            <w:pPr>
              <w:jc w:val="center"/>
              <w:rPr>
                <w:bCs/>
                <w:color w:val="000000"/>
                <w:sz w:val="22"/>
                <w:szCs w:val="22"/>
              </w:rPr>
            </w:pPr>
            <w:r w:rsidRPr="00C06287">
              <w:rPr>
                <w:bCs/>
                <w:color w:val="000000"/>
                <w:sz w:val="22"/>
                <w:szCs w:val="22"/>
              </w:rPr>
              <w:t>2013</w:t>
            </w:r>
          </w:p>
        </w:tc>
        <w:tc>
          <w:tcPr>
            <w:tcW w:w="1097" w:type="dxa"/>
            <w:shd w:val="clear" w:color="auto" w:fill="auto"/>
            <w:noWrap/>
            <w:vAlign w:val="center"/>
            <w:hideMark/>
          </w:tcPr>
          <w:p w14:paraId="00318B4D" w14:textId="77777777" w:rsidR="00941184" w:rsidRPr="00C06287" w:rsidRDefault="00941184" w:rsidP="00941184">
            <w:pPr>
              <w:jc w:val="center"/>
              <w:rPr>
                <w:color w:val="000000"/>
                <w:sz w:val="22"/>
                <w:szCs w:val="22"/>
              </w:rPr>
            </w:pPr>
            <w:r w:rsidRPr="00C06287">
              <w:rPr>
                <w:color w:val="000000"/>
                <w:sz w:val="22"/>
                <w:szCs w:val="22"/>
              </w:rPr>
              <w:t>660,449</w:t>
            </w:r>
          </w:p>
        </w:tc>
        <w:tc>
          <w:tcPr>
            <w:tcW w:w="1531" w:type="dxa"/>
            <w:shd w:val="clear" w:color="auto" w:fill="auto"/>
            <w:noWrap/>
            <w:vAlign w:val="bottom"/>
            <w:hideMark/>
          </w:tcPr>
          <w:p w14:paraId="07B9C871" w14:textId="77777777" w:rsidR="00941184" w:rsidRPr="00C06287" w:rsidRDefault="00941184" w:rsidP="00941184">
            <w:pPr>
              <w:jc w:val="center"/>
              <w:rPr>
                <w:color w:val="000000"/>
                <w:sz w:val="22"/>
                <w:szCs w:val="22"/>
              </w:rPr>
            </w:pPr>
            <w:r w:rsidRPr="00C06287">
              <w:rPr>
                <w:color w:val="000000"/>
                <w:sz w:val="22"/>
                <w:szCs w:val="22"/>
              </w:rPr>
              <w:t>768,857</w:t>
            </w:r>
          </w:p>
        </w:tc>
        <w:tc>
          <w:tcPr>
            <w:tcW w:w="1461" w:type="dxa"/>
            <w:shd w:val="clear" w:color="auto" w:fill="auto"/>
            <w:noWrap/>
            <w:vAlign w:val="bottom"/>
            <w:hideMark/>
          </w:tcPr>
          <w:p w14:paraId="7D4B44C1" w14:textId="77777777" w:rsidR="00941184" w:rsidRPr="00C06287" w:rsidRDefault="00941184" w:rsidP="00941184">
            <w:pPr>
              <w:jc w:val="center"/>
              <w:rPr>
                <w:color w:val="000000"/>
                <w:sz w:val="22"/>
                <w:szCs w:val="22"/>
              </w:rPr>
            </w:pPr>
            <w:r w:rsidRPr="00C06287">
              <w:rPr>
                <w:color w:val="000000"/>
                <w:sz w:val="22"/>
                <w:szCs w:val="22"/>
              </w:rPr>
              <w:t>85.9%</w:t>
            </w:r>
          </w:p>
        </w:tc>
      </w:tr>
      <w:tr w:rsidR="00941184" w:rsidRPr="00C06287" w14:paraId="636A1FD0" w14:textId="77777777" w:rsidTr="00C06287">
        <w:trPr>
          <w:trHeight w:val="300"/>
        </w:trPr>
        <w:tc>
          <w:tcPr>
            <w:tcW w:w="2080" w:type="dxa"/>
            <w:shd w:val="clear" w:color="000000" w:fill="auto"/>
            <w:noWrap/>
            <w:vAlign w:val="center"/>
            <w:hideMark/>
          </w:tcPr>
          <w:p w14:paraId="60AA6D85" w14:textId="77777777" w:rsidR="00941184" w:rsidRPr="00C06287" w:rsidRDefault="00941184" w:rsidP="00941184">
            <w:pPr>
              <w:jc w:val="center"/>
              <w:rPr>
                <w:bCs/>
                <w:color w:val="000000"/>
                <w:sz w:val="22"/>
                <w:szCs w:val="22"/>
              </w:rPr>
            </w:pPr>
            <w:r w:rsidRPr="00C06287">
              <w:rPr>
                <w:bCs/>
                <w:color w:val="000000"/>
                <w:sz w:val="22"/>
                <w:szCs w:val="22"/>
              </w:rPr>
              <w:t>2014</w:t>
            </w:r>
          </w:p>
        </w:tc>
        <w:tc>
          <w:tcPr>
            <w:tcW w:w="1097" w:type="dxa"/>
            <w:shd w:val="clear" w:color="auto" w:fill="auto"/>
            <w:noWrap/>
            <w:vAlign w:val="center"/>
            <w:hideMark/>
          </w:tcPr>
          <w:p w14:paraId="05387251" w14:textId="77777777" w:rsidR="00941184" w:rsidRPr="00C06287" w:rsidRDefault="00941184" w:rsidP="00941184">
            <w:pPr>
              <w:jc w:val="center"/>
              <w:rPr>
                <w:color w:val="000000"/>
                <w:sz w:val="22"/>
                <w:szCs w:val="22"/>
              </w:rPr>
            </w:pPr>
            <w:r w:rsidRPr="00C06287">
              <w:rPr>
                <w:color w:val="000000"/>
                <w:sz w:val="22"/>
                <w:szCs w:val="22"/>
              </w:rPr>
              <w:t>538,122</w:t>
            </w:r>
          </w:p>
        </w:tc>
        <w:tc>
          <w:tcPr>
            <w:tcW w:w="1531" w:type="dxa"/>
            <w:shd w:val="clear" w:color="auto" w:fill="auto"/>
            <w:noWrap/>
            <w:vAlign w:val="bottom"/>
            <w:hideMark/>
          </w:tcPr>
          <w:p w14:paraId="61864F96" w14:textId="77777777" w:rsidR="00941184" w:rsidRPr="00C06287" w:rsidRDefault="00941184" w:rsidP="00941184">
            <w:pPr>
              <w:jc w:val="center"/>
              <w:rPr>
                <w:color w:val="000000"/>
                <w:sz w:val="22"/>
                <w:szCs w:val="22"/>
              </w:rPr>
            </w:pPr>
            <w:r w:rsidRPr="00C06287">
              <w:rPr>
                <w:color w:val="000000"/>
                <w:sz w:val="22"/>
                <w:szCs w:val="22"/>
              </w:rPr>
              <w:t>768,857</w:t>
            </w:r>
          </w:p>
        </w:tc>
        <w:tc>
          <w:tcPr>
            <w:tcW w:w="1461" w:type="dxa"/>
            <w:shd w:val="clear" w:color="auto" w:fill="auto"/>
            <w:noWrap/>
            <w:vAlign w:val="bottom"/>
            <w:hideMark/>
          </w:tcPr>
          <w:p w14:paraId="78A8163D" w14:textId="77777777" w:rsidR="00941184" w:rsidRPr="00C06287" w:rsidRDefault="00941184" w:rsidP="00941184">
            <w:pPr>
              <w:jc w:val="center"/>
              <w:rPr>
                <w:color w:val="000000"/>
                <w:sz w:val="22"/>
                <w:szCs w:val="22"/>
              </w:rPr>
            </w:pPr>
            <w:r w:rsidRPr="00C06287">
              <w:rPr>
                <w:color w:val="000000"/>
                <w:sz w:val="22"/>
                <w:szCs w:val="22"/>
              </w:rPr>
              <w:t>70.0%</w:t>
            </w:r>
          </w:p>
        </w:tc>
      </w:tr>
      <w:tr w:rsidR="00941184" w:rsidRPr="00C06287" w14:paraId="391C05A7" w14:textId="77777777" w:rsidTr="00C06287">
        <w:trPr>
          <w:trHeight w:val="300"/>
        </w:trPr>
        <w:tc>
          <w:tcPr>
            <w:tcW w:w="2080" w:type="dxa"/>
            <w:shd w:val="clear" w:color="000000" w:fill="auto"/>
            <w:noWrap/>
            <w:vAlign w:val="center"/>
            <w:hideMark/>
          </w:tcPr>
          <w:p w14:paraId="79535FED" w14:textId="77777777" w:rsidR="00941184" w:rsidRPr="00C06287" w:rsidRDefault="00941184" w:rsidP="00941184">
            <w:pPr>
              <w:jc w:val="center"/>
              <w:rPr>
                <w:bCs/>
                <w:color w:val="000000"/>
                <w:sz w:val="22"/>
                <w:szCs w:val="22"/>
              </w:rPr>
            </w:pPr>
            <w:r w:rsidRPr="00C06287">
              <w:rPr>
                <w:bCs/>
                <w:color w:val="000000"/>
                <w:sz w:val="22"/>
                <w:szCs w:val="22"/>
              </w:rPr>
              <w:t>Average</w:t>
            </w:r>
          </w:p>
        </w:tc>
        <w:tc>
          <w:tcPr>
            <w:tcW w:w="1097" w:type="dxa"/>
            <w:shd w:val="clear" w:color="auto" w:fill="auto"/>
            <w:noWrap/>
            <w:vAlign w:val="center"/>
            <w:hideMark/>
          </w:tcPr>
          <w:p w14:paraId="0E94007C" w14:textId="77777777" w:rsidR="00941184" w:rsidRPr="00C06287" w:rsidRDefault="00941184" w:rsidP="00941184">
            <w:pPr>
              <w:jc w:val="center"/>
              <w:rPr>
                <w:color w:val="000000"/>
                <w:sz w:val="22"/>
                <w:szCs w:val="22"/>
              </w:rPr>
            </w:pPr>
            <w:r w:rsidRPr="00C06287">
              <w:rPr>
                <w:color w:val="000000"/>
                <w:sz w:val="22"/>
                <w:szCs w:val="22"/>
              </w:rPr>
              <w:t>486,649</w:t>
            </w:r>
          </w:p>
        </w:tc>
        <w:tc>
          <w:tcPr>
            <w:tcW w:w="1531" w:type="dxa"/>
            <w:shd w:val="clear" w:color="auto" w:fill="auto"/>
            <w:noWrap/>
            <w:vAlign w:val="center"/>
            <w:hideMark/>
          </w:tcPr>
          <w:p w14:paraId="5EE35269" w14:textId="77777777" w:rsidR="00941184" w:rsidRPr="00C06287" w:rsidRDefault="00941184" w:rsidP="00941184">
            <w:pPr>
              <w:jc w:val="center"/>
              <w:rPr>
                <w:color w:val="000000"/>
                <w:sz w:val="22"/>
                <w:szCs w:val="22"/>
              </w:rPr>
            </w:pPr>
            <w:r w:rsidRPr="00C06287">
              <w:rPr>
                <w:color w:val="000000"/>
                <w:sz w:val="22"/>
                <w:szCs w:val="22"/>
              </w:rPr>
              <w:t>768,857</w:t>
            </w:r>
          </w:p>
        </w:tc>
        <w:tc>
          <w:tcPr>
            <w:tcW w:w="1461" w:type="dxa"/>
            <w:shd w:val="clear" w:color="auto" w:fill="auto"/>
            <w:noWrap/>
            <w:vAlign w:val="center"/>
            <w:hideMark/>
          </w:tcPr>
          <w:p w14:paraId="51DD7D48" w14:textId="77777777" w:rsidR="00941184" w:rsidRPr="00C06287" w:rsidRDefault="00941184" w:rsidP="00941184">
            <w:pPr>
              <w:jc w:val="center"/>
              <w:rPr>
                <w:color w:val="000000"/>
                <w:sz w:val="22"/>
                <w:szCs w:val="22"/>
              </w:rPr>
            </w:pPr>
            <w:r w:rsidRPr="00C06287">
              <w:rPr>
                <w:color w:val="000000"/>
                <w:sz w:val="22"/>
                <w:szCs w:val="22"/>
              </w:rPr>
              <w:t>63.3%</w:t>
            </w:r>
          </w:p>
        </w:tc>
      </w:tr>
    </w:tbl>
    <w:p w14:paraId="0311B0FD" w14:textId="404E37FE" w:rsidR="00941184" w:rsidRDefault="00C06287" w:rsidP="00941184">
      <w:pPr>
        <w:rPr>
          <w:rFonts w:ascii="Arial" w:hAnsi="Arial" w:cs="Arial"/>
          <w:sz w:val="20"/>
          <w:szCs w:val="20"/>
        </w:rPr>
      </w:pPr>
      <w:r>
        <w:rPr>
          <w:rFonts w:ascii="Arial" w:hAnsi="Arial" w:cs="Arial"/>
          <w:sz w:val="20"/>
          <w:szCs w:val="20"/>
        </w:rPr>
        <w:t>Source: NMFS SERO ACL.</w:t>
      </w:r>
    </w:p>
    <w:p w14:paraId="44D700B6" w14:textId="77777777" w:rsidR="00941184" w:rsidRDefault="00941184" w:rsidP="00C06287"/>
    <w:p w14:paraId="03A09C8B" w14:textId="77777777" w:rsidR="00C06287" w:rsidRDefault="00941184" w:rsidP="00631DE9">
      <w:pPr>
        <w:ind w:firstLine="360"/>
      </w:pPr>
      <w:r>
        <w:t>Like the commercial sector, the largest percentage o</w:t>
      </w:r>
      <w:r w:rsidR="00C06287">
        <w:t>f recreational landings in the r</w:t>
      </w:r>
      <w:r>
        <w:t>egion tends to be in May and June, which is when spawning tends to peak (</w:t>
      </w:r>
      <w:r>
        <w:rPr>
          <w:b/>
        </w:rPr>
        <w:t>Figure 3.3.6</w:t>
      </w:r>
      <w:r>
        <w:t>).  From 2012 through 2014, May and June landings (lb</w:t>
      </w:r>
      <w:r w:rsidR="00C06287">
        <w:t>s</w:t>
      </w:r>
      <w:r>
        <w:t xml:space="preserve"> ww) represented, on average, approximately 31% of the year’s recreational landings. </w:t>
      </w:r>
    </w:p>
    <w:p w14:paraId="427F744F" w14:textId="77777777" w:rsidR="00C06287" w:rsidRDefault="00C06287" w:rsidP="00941184">
      <w:pPr>
        <w:pStyle w:val="Figuretitle"/>
        <w:ind w:firstLine="360"/>
      </w:pPr>
    </w:p>
    <w:p w14:paraId="171D7CA0" w14:textId="77777777" w:rsidR="00C06287" w:rsidRDefault="00C06287" w:rsidP="00C06287">
      <w:pPr>
        <w:pStyle w:val="Figuretitle"/>
      </w:pPr>
      <w:r w:rsidRPr="00C06287">
        <w:rPr>
          <w:noProof/>
        </w:rPr>
        <w:drawing>
          <wp:inline distT="0" distB="0" distL="0" distR="0" wp14:anchorId="1990DF7A" wp14:editId="25A2389B">
            <wp:extent cx="5943600" cy="1912183"/>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912183"/>
                    </a:xfrm>
                    <a:prstGeom prst="rect">
                      <a:avLst/>
                    </a:prstGeom>
                    <a:noFill/>
                    <a:ln>
                      <a:noFill/>
                    </a:ln>
                  </pic:spPr>
                </pic:pic>
              </a:graphicData>
            </a:graphic>
          </wp:inline>
        </w:drawing>
      </w:r>
    </w:p>
    <w:p w14:paraId="600E0B5B" w14:textId="31AD5A63" w:rsidR="00C06287" w:rsidRPr="00C06287" w:rsidRDefault="00C06287" w:rsidP="00C06287">
      <w:pPr>
        <w:pStyle w:val="Figuretitle"/>
        <w:rPr>
          <w:rFonts w:ascii="Arial" w:hAnsi="Arial" w:cs="Arial"/>
          <w:sz w:val="20"/>
          <w:szCs w:val="20"/>
        </w:rPr>
      </w:pPr>
      <w:bookmarkStart w:id="165" w:name="_Toc340431599"/>
      <w:r w:rsidRPr="00C06287">
        <w:rPr>
          <w:rFonts w:ascii="Arial" w:hAnsi="Arial" w:cs="Arial"/>
          <w:b/>
          <w:sz w:val="20"/>
          <w:szCs w:val="20"/>
        </w:rPr>
        <w:t>Figure 3.3.6.</w:t>
      </w:r>
      <w:r w:rsidRPr="00C06287">
        <w:rPr>
          <w:rFonts w:ascii="Arial" w:hAnsi="Arial" w:cs="Arial"/>
          <w:sz w:val="20"/>
          <w:szCs w:val="20"/>
        </w:rPr>
        <w:t xml:space="preserve">  Recreational landings (lb</w:t>
      </w:r>
      <w:r w:rsidR="005823E8">
        <w:rPr>
          <w:rFonts w:ascii="Arial" w:hAnsi="Arial" w:cs="Arial"/>
          <w:sz w:val="20"/>
          <w:szCs w:val="20"/>
        </w:rPr>
        <w:t>s</w:t>
      </w:r>
      <w:r w:rsidRPr="00C06287">
        <w:rPr>
          <w:rFonts w:ascii="Arial" w:hAnsi="Arial" w:cs="Arial"/>
          <w:sz w:val="20"/>
          <w:szCs w:val="20"/>
        </w:rPr>
        <w:t xml:space="preserve"> gw) of mutton snapper in South Atlantic Region by wave, </w:t>
      </w:r>
      <w:r>
        <w:rPr>
          <w:rFonts w:ascii="Arial" w:hAnsi="Arial" w:cs="Arial"/>
          <w:sz w:val="20"/>
          <w:szCs w:val="20"/>
        </w:rPr>
        <w:t>2012-</w:t>
      </w:r>
      <w:r w:rsidRPr="00C06287">
        <w:rPr>
          <w:rFonts w:ascii="Arial" w:hAnsi="Arial" w:cs="Arial"/>
          <w:sz w:val="20"/>
          <w:szCs w:val="20"/>
        </w:rPr>
        <w:t>2015.</w:t>
      </w:r>
      <w:bookmarkEnd w:id="165"/>
      <w:r w:rsidRPr="00C06287">
        <w:rPr>
          <w:rFonts w:ascii="Arial" w:hAnsi="Arial" w:cs="Arial"/>
          <w:sz w:val="20"/>
          <w:szCs w:val="20"/>
        </w:rPr>
        <w:t xml:space="preserve">  </w:t>
      </w:r>
    </w:p>
    <w:p w14:paraId="4309668F" w14:textId="683A6171" w:rsidR="00C06287" w:rsidRDefault="00C06287" w:rsidP="00C06287">
      <w:pPr>
        <w:rPr>
          <w:rFonts w:ascii="Arial" w:hAnsi="Arial" w:cs="Arial"/>
          <w:sz w:val="20"/>
          <w:szCs w:val="20"/>
        </w:rPr>
      </w:pPr>
      <w:r w:rsidRPr="0067026A">
        <w:rPr>
          <w:rFonts w:ascii="Arial" w:hAnsi="Arial" w:cs="Arial"/>
          <w:sz w:val="20"/>
          <w:szCs w:val="20"/>
        </w:rPr>
        <w:t xml:space="preserve">Source: </w:t>
      </w:r>
      <w:r>
        <w:rPr>
          <w:rFonts w:ascii="Arial" w:hAnsi="Arial" w:cs="Arial"/>
          <w:sz w:val="20"/>
          <w:szCs w:val="20"/>
        </w:rPr>
        <w:t>NMFS SERO Historical South Atlantic Recreational Landings (</w:t>
      </w:r>
      <w:hyperlink r:id="rId53" w:history="1">
        <w:r w:rsidRPr="00CF775F">
          <w:rPr>
            <w:rStyle w:val="Hyperlink"/>
            <w:rFonts w:ascii="Arial" w:hAnsi="Arial" w:cs="Arial"/>
            <w:sz w:val="20"/>
            <w:szCs w:val="20"/>
          </w:rPr>
          <w:t>http://sero.nmfs.noaa.gov/sustainable_fisheries/acl_monitoring/recreational_sa/historical/index.html</w:t>
        </w:r>
      </w:hyperlink>
      <w:r>
        <w:rPr>
          <w:rFonts w:ascii="Arial" w:hAnsi="Arial" w:cs="Arial"/>
          <w:sz w:val="20"/>
          <w:szCs w:val="20"/>
        </w:rPr>
        <w:t>)</w:t>
      </w:r>
    </w:p>
    <w:p w14:paraId="5A0A8145" w14:textId="3190B191" w:rsidR="00C06287" w:rsidRPr="0067026A" w:rsidRDefault="00C06287" w:rsidP="00C06287">
      <w:pPr>
        <w:rPr>
          <w:rFonts w:ascii="Arial" w:hAnsi="Arial" w:cs="Arial"/>
          <w:sz w:val="20"/>
          <w:szCs w:val="20"/>
        </w:rPr>
      </w:pPr>
    </w:p>
    <w:p w14:paraId="5E008CA2" w14:textId="1D6FAD17" w:rsidR="00C06287" w:rsidRPr="00BD74DF" w:rsidRDefault="00D02147" w:rsidP="00593618">
      <w:pPr>
        <w:pStyle w:val="Default"/>
        <w:ind w:firstLine="360"/>
        <w:rPr>
          <w:rFonts w:eastAsiaTheme="minorHAnsi"/>
        </w:rPr>
      </w:pPr>
      <w:r>
        <w:t>From 2010 through 2014</w:t>
      </w:r>
      <w:r w:rsidR="00AB2619">
        <w:t>,</w:t>
      </w:r>
      <w:r>
        <w:t xml:space="preserve"> almost all of the mutton snapper caught by anglers in the South Atlantic Region were caught in East Florida, and all of those harvested were by</w:t>
      </w:r>
      <w:r w:rsidR="00AE6F07">
        <w:t xml:space="preserve"> anglers out of East Florida; n</w:t>
      </w:r>
      <w:r>
        <w:t>one were caught by anglers on trips out of the Carolinas (</w:t>
      </w:r>
      <w:r>
        <w:rPr>
          <w:b/>
        </w:rPr>
        <w:t>Table 3.3.20</w:t>
      </w:r>
      <w:r>
        <w:t xml:space="preserve">).  All of the 52 mutton snapper caught and released by anglers out of Georgia were by anglers fishing in </w:t>
      </w:r>
      <w:r w:rsidR="00C06287">
        <w:t xml:space="preserve">state </w:t>
      </w:r>
      <w:r w:rsidR="00C06287">
        <w:lastRenderedPageBreak/>
        <w:t xml:space="preserve">waters aboard for-hire fishing vessels.  Because most to all of mutton snapper are caught by anglers during Florida trips, the following description of recreational catch and harvest will focus on the East Florida catch. </w:t>
      </w:r>
      <w:r w:rsidR="00593618">
        <w:t xml:space="preserve"> </w:t>
      </w:r>
      <w:r w:rsidR="00C06287">
        <w:t xml:space="preserve">Here harvested numbers of mutton snapper refers to the combination of those </w:t>
      </w:r>
      <w:r w:rsidR="00C06287" w:rsidRPr="00BD74DF">
        <w:rPr>
          <w:sz w:val="23"/>
          <w:szCs w:val="23"/>
        </w:rPr>
        <w:t>landed wh</w:t>
      </w:r>
      <w:r w:rsidR="00C06287">
        <w:rPr>
          <w:sz w:val="23"/>
          <w:szCs w:val="23"/>
        </w:rPr>
        <w:t>ole (</w:t>
      </w:r>
      <w:r w:rsidR="00C06287" w:rsidRPr="00BD74DF">
        <w:rPr>
          <w:sz w:val="23"/>
          <w:szCs w:val="23"/>
        </w:rPr>
        <w:t>and available for identification and e</w:t>
      </w:r>
      <w:r w:rsidR="00C06287">
        <w:rPr>
          <w:sz w:val="23"/>
          <w:szCs w:val="23"/>
        </w:rPr>
        <w:t xml:space="preserve">numeration by the interviewers) and those caught </w:t>
      </w:r>
      <w:r w:rsidR="00C06287" w:rsidRPr="00BD74DF">
        <w:rPr>
          <w:sz w:val="23"/>
          <w:szCs w:val="23"/>
        </w:rPr>
        <w:t xml:space="preserve">and filleted, released dead, given away, or disposed of in some way other than being landed or released alive. </w:t>
      </w:r>
    </w:p>
    <w:p w14:paraId="2741808A" w14:textId="77777777" w:rsidR="00C06287" w:rsidRDefault="00C06287" w:rsidP="007B7A16"/>
    <w:p w14:paraId="16ECF6E4" w14:textId="622D9BA9" w:rsidR="00C06287" w:rsidRDefault="00C06287" w:rsidP="007B7A16">
      <w:pPr>
        <w:pStyle w:val="Tabletitle"/>
      </w:pPr>
      <w:bookmarkStart w:id="166" w:name="_Toc340431565"/>
      <w:r>
        <w:rPr>
          <w:b/>
        </w:rPr>
        <w:t>Table 3.3.20</w:t>
      </w:r>
      <w:r w:rsidRPr="00091BD5">
        <w:rPr>
          <w:b/>
        </w:rPr>
        <w:t>.</w:t>
      </w:r>
      <w:r w:rsidRPr="00091BD5">
        <w:t xml:space="preserve">  </w:t>
      </w:r>
      <w:r>
        <w:t>Estimates of r</w:t>
      </w:r>
      <w:r w:rsidRPr="00091BD5">
        <w:t>ecreational</w:t>
      </w:r>
      <w:r>
        <w:t xml:space="preserve"> catch of mutton snapper </w:t>
      </w:r>
      <w:r w:rsidR="007B7A16">
        <w:t xml:space="preserve">(numbers of fish) </w:t>
      </w:r>
      <w:r>
        <w:t xml:space="preserve">in </w:t>
      </w:r>
      <w:r w:rsidR="00593618">
        <w:t>the South Atlantic r</w:t>
      </w:r>
      <w:r w:rsidRPr="00091BD5">
        <w:t>egion</w:t>
      </w:r>
      <w:r w:rsidR="00593618">
        <w:t xml:space="preserve"> by state, 2010-</w:t>
      </w:r>
      <w:r>
        <w:t>2014.</w:t>
      </w:r>
      <w:bookmarkEnd w:id="166"/>
      <w:r>
        <w:t xml:space="preserve">  </w:t>
      </w:r>
    </w:p>
    <w:tbl>
      <w:tblPr>
        <w:tblW w:w="8565" w:type="dxa"/>
        <w:tblInd w:w="93" w:type="dxa"/>
        <w:tblLook w:val="04A0" w:firstRow="1" w:lastRow="0" w:firstColumn="1" w:lastColumn="0" w:noHBand="0" w:noVBand="1"/>
      </w:tblPr>
      <w:tblGrid>
        <w:gridCol w:w="915"/>
        <w:gridCol w:w="1070"/>
        <w:gridCol w:w="1270"/>
        <w:gridCol w:w="1800"/>
        <w:gridCol w:w="1620"/>
        <w:gridCol w:w="1890"/>
      </w:tblGrid>
      <w:tr w:rsidR="007B7A16" w:rsidRPr="007B7A16" w14:paraId="22A17914" w14:textId="77777777" w:rsidTr="007B7A16">
        <w:trPr>
          <w:trHeight w:val="432"/>
        </w:trPr>
        <w:tc>
          <w:tcPr>
            <w:tcW w:w="9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56943B" w14:textId="45CE0A31" w:rsidR="007B7A16" w:rsidRPr="007B7A16" w:rsidRDefault="007B7A16" w:rsidP="00C06287">
            <w:pPr>
              <w:rPr>
                <w:b/>
                <w:bCs/>
                <w:color w:val="000000"/>
                <w:sz w:val="22"/>
                <w:szCs w:val="22"/>
              </w:rPr>
            </w:pPr>
            <w:r>
              <w:rPr>
                <w:b/>
                <w:bCs/>
                <w:color w:val="000000"/>
                <w:sz w:val="22"/>
                <w:szCs w:val="22"/>
              </w:rPr>
              <w:t>Year</w:t>
            </w:r>
          </w:p>
        </w:tc>
        <w:tc>
          <w:tcPr>
            <w:tcW w:w="1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54FC58" w14:textId="0C69DC09" w:rsidR="007B7A16" w:rsidRPr="007B7A16" w:rsidRDefault="007B7A16" w:rsidP="00C06287">
            <w:pPr>
              <w:rPr>
                <w:b/>
                <w:bCs/>
                <w:color w:val="000000"/>
                <w:sz w:val="22"/>
                <w:szCs w:val="22"/>
              </w:rPr>
            </w:pPr>
            <w:r>
              <w:rPr>
                <w:b/>
                <w:bCs/>
                <w:color w:val="000000"/>
                <w:sz w:val="22"/>
                <w:szCs w:val="22"/>
              </w:rPr>
              <w:t>State</w:t>
            </w:r>
          </w:p>
        </w:tc>
        <w:tc>
          <w:tcPr>
            <w:tcW w:w="12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61A95D" w14:textId="77777777" w:rsidR="007B7A16" w:rsidRPr="007B7A16" w:rsidRDefault="007B7A16" w:rsidP="00C06287">
            <w:pPr>
              <w:jc w:val="center"/>
              <w:rPr>
                <w:b/>
                <w:bCs/>
                <w:color w:val="000000"/>
                <w:sz w:val="22"/>
                <w:szCs w:val="22"/>
              </w:rPr>
            </w:pPr>
            <w:r w:rsidRPr="007B7A16">
              <w:rPr>
                <w:b/>
                <w:bCs/>
                <w:color w:val="000000"/>
                <w:sz w:val="22"/>
                <w:szCs w:val="22"/>
              </w:rPr>
              <w:t>Harvested</w:t>
            </w:r>
          </w:p>
        </w:tc>
        <w:tc>
          <w:tcPr>
            <w:tcW w:w="18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1AB361F" w14:textId="77777777" w:rsidR="007B7A16" w:rsidRPr="007B7A16" w:rsidRDefault="007B7A16" w:rsidP="00C06287">
            <w:pPr>
              <w:jc w:val="center"/>
              <w:rPr>
                <w:b/>
                <w:bCs/>
                <w:color w:val="000000"/>
                <w:sz w:val="22"/>
                <w:szCs w:val="22"/>
              </w:rPr>
            </w:pPr>
            <w:r w:rsidRPr="007B7A16">
              <w:rPr>
                <w:b/>
                <w:bCs/>
                <w:color w:val="000000"/>
                <w:sz w:val="22"/>
                <w:szCs w:val="22"/>
              </w:rPr>
              <w:t>Released alive</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047F4DD" w14:textId="77777777" w:rsidR="007B7A16" w:rsidRPr="007B7A16" w:rsidRDefault="007B7A16" w:rsidP="00C06287">
            <w:pPr>
              <w:jc w:val="center"/>
              <w:rPr>
                <w:b/>
                <w:bCs/>
                <w:color w:val="000000"/>
                <w:sz w:val="22"/>
                <w:szCs w:val="22"/>
              </w:rPr>
            </w:pPr>
            <w:r w:rsidRPr="007B7A16">
              <w:rPr>
                <w:b/>
                <w:bCs/>
                <w:color w:val="000000"/>
                <w:sz w:val="22"/>
                <w:szCs w:val="22"/>
              </w:rPr>
              <w:t>Total caught</w:t>
            </w:r>
          </w:p>
        </w:tc>
        <w:tc>
          <w:tcPr>
            <w:tcW w:w="18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389A591" w14:textId="77777777" w:rsidR="007B7A16" w:rsidRPr="007B7A16" w:rsidRDefault="007B7A16" w:rsidP="00C06287">
            <w:pPr>
              <w:jc w:val="center"/>
              <w:rPr>
                <w:b/>
                <w:bCs/>
                <w:color w:val="000000"/>
                <w:sz w:val="22"/>
                <w:szCs w:val="22"/>
              </w:rPr>
            </w:pPr>
            <w:r w:rsidRPr="007B7A16">
              <w:rPr>
                <w:b/>
                <w:bCs/>
                <w:color w:val="000000"/>
                <w:sz w:val="22"/>
                <w:szCs w:val="22"/>
              </w:rPr>
              <w:t>Percent harvested</w:t>
            </w:r>
          </w:p>
        </w:tc>
      </w:tr>
      <w:tr w:rsidR="00C06287" w:rsidRPr="007B7A16" w14:paraId="49D25C67" w14:textId="77777777" w:rsidTr="007B7A16">
        <w:trPr>
          <w:trHeight w:val="300"/>
        </w:trPr>
        <w:tc>
          <w:tcPr>
            <w:tcW w:w="915" w:type="dxa"/>
            <w:tcBorders>
              <w:top w:val="nil"/>
              <w:left w:val="single" w:sz="4" w:space="0" w:color="auto"/>
              <w:bottom w:val="single" w:sz="4" w:space="0" w:color="auto"/>
              <w:right w:val="single" w:sz="4" w:space="0" w:color="auto"/>
            </w:tcBorders>
            <w:shd w:val="clear" w:color="auto" w:fill="auto"/>
            <w:vAlign w:val="bottom"/>
            <w:hideMark/>
          </w:tcPr>
          <w:p w14:paraId="27AEC018" w14:textId="77777777" w:rsidR="00C06287" w:rsidRPr="007B7A16" w:rsidRDefault="00C06287" w:rsidP="00C06287">
            <w:pPr>
              <w:jc w:val="center"/>
              <w:rPr>
                <w:bCs/>
                <w:color w:val="000000"/>
                <w:sz w:val="22"/>
                <w:szCs w:val="22"/>
              </w:rPr>
            </w:pPr>
            <w:r w:rsidRPr="007B7A16">
              <w:rPr>
                <w:bCs/>
                <w:color w:val="000000"/>
                <w:sz w:val="22"/>
                <w:szCs w:val="22"/>
              </w:rPr>
              <w:t>2010</w:t>
            </w:r>
          </w:p>
        </w:tc>
        <w:tc>
          <w:tcPr>
            <w:tcW w:w="1070" w:type="dxa"/>
            <w:tcBorders>
              <w:top w:val="nil"/>
              <w:left w:val="nil"/>
              <w:bottom w:val="single" w:sz="4" w:space="0" w:color="auto"/>
              <w:right w:val="single" w:sz="4" w:space="0" w:color="auto"/>
            </w:tcBorders>
            <w:shd w:val="clear" w:color="000000" w:fill="FFFFFF"/>
            <w:vAlign w:val="bottom"/>
            <w:hideMark/>
          </w:tcPr>
          <w:p w14:paraId="760C2BA9" w14:textId="77777777" w:rsidR="00C06287" w:rsidRPr="007B7A16" w:rsidRDefault="00C06287" w:rsidP="00C06287">
            <w:pPr>
              <w:jc w:val="center"/>
              <w:rPr>
                <w:bCs/>
                <w:color w:val="000000"/>
                <w:sz w:val="22"/>
                <w:szCs w:val="22"/>
              </w:rPr>
            </w:pPr>
            <w:r w:rsidRPr="007B7A16">
              <w:rPr>
                <w:bCs/>
                <w:color w:val="000000"/>
                <w:sz w:val="22"/>
                <w:szCs w:val="22"/>
              </w:rPr>
              <w:t>East FL</w:t>
            </w:r>
          </w:p>
        </w:tc>
        <w:tc>
          <w:tcPr>
            <w:tcW w:w="1270" w:type="dxa"/>
            <w:tcBorders>
              <w:top w:val="nil"/>
              <w:left w:val="nil"/>
              <w:bottom w:val="single" w:sz="4" w:space="0" w:color="auto"/>
              <w:right w:val="single" w:sz="4" w:space="0" w:color="auto"/>
            </w:tcBorders>
            <w:shd w:val="clear" w:color="000000" w:fill="FFFFFF"/>
            <w:vAlign w:val="bottom"/>
            <w:hideMark/>
          </w:tcPr>
          <w:p w14:paraId="4BF3F585" w14:textId="77777777" w:rsidR="00C06287" w:rsidRPr="007B7A16" w:rsidRDefault="00C06287" w:rsidP="00C06287">
            <w:pPr>
              <w:jc w:val="center"/>
              <w:rPr>
                <w:color w:val="000000"/>
                <w:sz w:val="22"/>
                <w:szCs w:val="22"/>
              </w:rPr>
            </w:pPr>
            <w:r w:rsidRPr="007B7A16">
              <w:rPr>
                <w:color w:val="000000"/>
                <w:sz w:val="22"/>
                <w:szCs w:val="22"/>
              </w:rPr>
              <w:t>97,886</w:t>
            </w:r>
          </w:p>
        </w:tc>
        <w:tc>
          <w:tcPr>
            <w:tcW w:w="1800" w:type="dxa"/>
            <w:tcBorders>
              <w:top w:val="nil"/>
              <w:left w:val="nil"/>
              <w:bottom w:val="single" w:sz="4" w:space="0" w:color="auto"/>
              <w:right w:val="single" w:sz="4" w:space="0" w:color="auto"/>
            </w:tcBorders>
            <w:shd w:val="clear" w:color="000000" w:fill="FFFFFF"/>
            <w:vAlign w:val="bottom"/>
            <w:hideMark/>
          </w:tcPr>
          <w:p w14:paraId="691EC45C" w14:textId="77777777" w:rsidR="00C06287" w:rsidRPr="007B7A16" w:rsidRDefault="00C06287" w:rsidP="00C06287">
            <w:pPr>
              <w:jc w:val="center"/>
              <w:rPr>
                <w:color w:val="000000"/>
                <w:sz w:val="22"/>
                <w:szCs w:val="22"/>
              </w:rPr>
            </w:pPr>
            <w:r w:rsidRPr="007B7A16">
              <w:rPr>
                <w:color w:val="000000"/>
                <w:sz w:val="22"/>
                <w:szCs w:val="22"/>
              </w:rPr>
              <w:t>51,193</w:t>
            </w:r>
          </w:p>
        </w:tc>
        <w:tc>
          <w:tcPr>
            <w:tcW w:w="1620" w:type="dxa"/>
            <w:tcBorders>
              <w:top w:val="nil"/>
              <w:left w:val="nil"/>
              <w:bottom w:val="single" w:sz="4" w:space="0" w:color="auto"/>
              <w:right w:val="single" w:sz="4" w:space="0" w:color="auto"/>
            </w:tcBorders>
            <w:shd w:val="clear" w:color="auto" w:fill="auto"/>
            <w:noWrap/>
            <w:vAlign w:val="bottom"/>
            <w:hideMark/>
          </w:tcPr>
          <w:p w14:paraId="5C5FDD7B" w14:textId="77777777" w:rsidR="00C06287" w:rsidRPr="007B7A16" w:rsidRDefault="00C06287" w:rsidP="00C06287">
            <w:pPr>
              <w:jc w:val="center"/>
              <w:rPr>
                <w:color w:val="000000"/>
                <w:sz w:val="22"/>
                <w:szCs w:val="22"/>
              </w:rPr>
            </w:pPr>
            <w:r w:rsidRPr="007B7A16">
              <w:rPr>
                <w:color w:val="000000"/>
                <w:sz w:val="22"/>
                <w:szCs w:val="22"/>
              </w:rPr>
              <w:t>149,079</w:t>
            </w:r>
          </w:p>
        </w:tc>
        <w:tc>
          <w:tcPr>
            <w:tcW w:w="1890" w:type="dxa"/>
            <w:tcBorders>
              <w:top w:val="nil"/>
              <w:left w:val="nil"/>
              <w:bottom w:val="single" w:sz="4" w:space="0" w:color="auto"/>
              <w:right w:val="single" w:sz="4" w:space="0" w:color="auto"/>
            </w:tcBorders>
            <w:shd w:val="clear" w:color="000000" w:fill="FFFFFF"/>
            <w:vAlign w:val="bottom"/>
            <w:hideMark/>
          </w:tcPr>
          <w:p w14:paraId="64C08C47" w14:textId="77777777" w:rsidR="00C06287" w:rsidRPr="007B7A16" w:rsidRDefault="00C06287" w:rsidP="00C06287">
            <w:pPr>
              <w:jc w:val="center"/>
              <w:rPr>
                <w:color w:val="000000"/>
                <w:sz w:val="22"/>
                <w:szCs w:val="22"/>
              </w:rPr>
            </w:pPr>
            <w:r w:rsidRPr="007B7A16">
              <w:rPr>
                <w:color w:val="000000"/>
                <w:sz w:val="22"/>
                <w:szCs w:val="22"/>
              </w:rPr>
              <w:t>65.7%</w:t>
            </w:r>
          </w:p>
        </w:tc>
      </w:tr>
      <w:tr w:rsidR="00C06287" w:rsidRPr="007B7A16" w14:paraId="6E1E83D9" w14:textId="77777777" w:rsidTr="007B7A16">
        <w:trPr>
          <w:trHeight w:val="300"/>
        </w:trPr>
        <w:tc>
          <w:tcPr>
            <w:tcW w:w="915" w:type="dxa"/>
            <w:tcBorders>
              <w:top w:val="nil"/>
              <w:left w:val="single" w:sz="4" w:space="0" w:color="auto"/>
              <w:bottom w:val="single" w:sz="4" w:space="0" w:color="auto"/>
              <w:right w:val="single" w:sz="4" w:space="0" w:color="auto"/>
            </w:tcBorders>
            <w:shd w:val="clear" w:color="auto" w:fill="auto"/>
            <w:vAlign w:val="bottom"/>
            <w:hideMark/>
          </w:tcPr>
          <w:p w14:paraId="262FC8BE" w14:textId="77777777" w:rsidR="00C06287" w:rsidRPr="007B7A16" w:rsidRDefault="00C06287" w:rsidP="00C06287">
            <w:pPr>
              <w:jc w:val="center"/>
              <w:rPr>
                <w:bCs/>
                <w:color w:val="000000"/>
                <w:sz w:val="22"/>
                <w:szCs w:val="22"/>
              </w:rPr>
            </w:pPr>
            <w:r w:rsidRPr="007B7A16">
              <w:rPr>
                <w:bCs/>
                <w:color w:val="000000"/>
                <w:sz w:val="22"/>
                <w:szCs w:val="22"/>
              </w:rPr>
              <w:t>2011</w:t>
            </w:r>
          </w:p>
        </w:tc>
        <w:tc>
          <w:tcPr>
            <w:tcW w:w="1070" w:type="dxa"/>
            <w:tcBorders>
              <w:top w:val="nil"/>
              <w:left w:val="nil"/>
              <w:bottom w:val="single" w:sz="4" w:space="0" w:color="auto"/>
              <w:right w:val="single" w:sz="4" w:space="0" w:color="auto"/>
            </w:tcBorders>
            <w:shd w:val="clear" w:color="000000" w:fill="FFFFFF"/>
            <w:vAlign w:val="bottom"/>
            <w:hideMark/>
          </w:tcPr>
          <w:p w14:paraId="1234D507" w14:textId="77777777" w:rsidR="00C06287" w:rsidRPr="007B7A16" w:rsidRDefault="00C06287" w:rsidP="00C06287">
            <w:pPr>
              <w:jc w:val="center"/>
              <w:rPr>
                <w:bCs/>
                <w:color w:val="000000"/>
                <w:sz w:val="22"/>
                <w:szCs w:val="22"/>
              </w:rPr>
            </w:pPr>
            <w:r w:rsidRPr="007B7A16">
              <w:rPr>
                <w:bCs/>
                <w:color w:val="000000"/>
                <w:sz w:val="22"/>
                <w:szCs w:val="22"/>
              </w:rPr>
              <w:t>East FL</w:t>
            </w:r>
          </w:p>
        </w:tc>
        <w:tc>
          <w:tcPr>
            <w:tcW w:w="1270" w:type="dxa"/>
            <w:tcBorders>
              <w:top w:val="nil"/>
              <w:left w:val="nil"/>
              <w:bottom w:val="single" w:sz="4" w:space="0" w:color="auto"/>
              <w:right w:val="single" w:sz="4" w:space="0" w:color="auto"/>
            </w:tcBorders>
            <w:shd w:val="clear" w:color="000000" w:fill="FFFFFF"/>
            <w:vAlign w:val="bottom"/>
            <w:hideMark/>
          </w:tcPr>
          <w:p w14:paraId="0FDD2345" w14:textId="77777777" w:rsidR="00C06287" w:rsidRPr="007B7A16" w:rsidRDefault="00C06287" w:rsidP="00C06287">
            <w:pPr>
              <w:jc w:val="center"/>
              <w:rPr>
                <w:color w:val="000000"/>
                <w:sz w:val="22"/>
                <w:szCs w:val="22"/>
              </w:rPr>
            </w:pPr>
            <w:r w:rsidRPr="007B7A16">
              <w:rPr>
                <w:color w:val="000000"/>
                <w:sz w:val="22"/>
                <w:szCs w:val="22"/>
              </w:rPr>
              <w:t>38,557</w:t>
            </w:r>
          </w:p>
        </w:tc>
        <w:tc>
          <w:tcPr>
            <w:tcW w:w="1800" w:type="dxa"/>
            <w:tcBorders>
              <w:top w:val="nil"/>
              <w:left w:val="nil"/>
              <w:bottom w:val="single" w:sz="4" w:space="0" w:color="auto"/>
              <w:right w:val="single" w:sz="4" w:space="0" w:color="auto"/>
            </w:tcBorders>
            <w:shd w:val="clear" w:color="000000" w:fill="FFFFFF"/>
            <w:vAlign w:val="bottom"/>
            <w:hideMark/>
          </w:tcPr>
          <w:p w14:paraId="319ECA9C" w14:textId="77777777" w:rsidR="00C06287" w:rsidRPr="007B7A16" w:rsidRDefault="00C06287" w:rsidP="00C06287">
            <w:pPr>
              <w:jc w:val="center"/>
              <w:rPr>
                <w:color w:val="000000"/>
                <w:sz w:val="22"/>
                <w:szCs w:val="22"/>
              </w:rPr>
            </w:pPr>
            <w:r w:rsidRPr="007B7A16">
              <w:rPr>
                <w:color w:val="000000"/>
                <w:sz w:val="22"/>
                <w:szCs w:val="22"/>
              </w:rPr>
              <w:t>15,817</w:t>
            </w:r>
          </w:p>
        </w:tc>
        <w:tc>
          <w:tcPr>
            <w:tcW w:w="1620" w:type="dxa"/>
            <w:tcBorders>
              <w:top w:val="nil"/>
              <w:left w:val="nil"/>
              <w:bottom w:val="single" w:sz="4" w:space="0" w:color="auto"/>
              <w:right w:val="single" w:sz="4" w:space="0" w:color="auto"/>
            </w:tcBorders>
            <w:shd w:val="clear" w:color="auto" w:fill="auto"/>
            <w:noWrap/>
            <w:vAlign w:val="bottom"/>
            <w:hideMark/>
          </w:tcPr>
          <w:p w14:paraId="33CF9385" w14:textId="77777777" w:rsidR="00C06287" w:rsidRPr="007B7A16" w:rsidRDefault="00C06287" w:rsidP="00C06287">
            <w:pPr>
              <w:jc w:val="center"/>
              <w:rPr>
                <w:color w:val="000000"/>
                <w:sz w:val="22"/>
                <w:szCs w:val="22"/>
              </w:rPr>
            </w:pPr>
            <w:r w:rsidRPr="007B7A16">
              <w:rPr>
                <w:color w:val="000000"/>
                <w:sz w:val="22"/>
                <w:szCs w:val="22"/>
              </w:rPr>
              <w:t>54,374</w:t>
            </w:r>
          </w:p>
        </w:tc>
        <w:tc>
          <w:tcPr>
            <w:tcW w:w="1890" w:type="dxa"/>
            <w:tcBorders>
              <w:top w:val="nil"/>
              <w:left w:val="nil"/>
              <w:bottom w:val="single" w:sz="4" w:space="0" w:color="auto"/>
              <w:right w:val="single" w:sz="4" w:space="0" w:color="auto"/>
            </w:tcBorders>
            <w:shd w:val="clear" w:color="000000" w:fill="FFFFFF"/>
            <w:vAlign w:val="bottom"/>
            <w:hideMark/>
          </w:tcPr>
          <w:p w14:paraId="3D5B2EC8" w14:textId="77777777" w:rsidR="00C06287" w:rsidRPr="007B7A16" w:rsidRDefault="00C06287" w:rsidP="00C06287">
            <w:pPr>
              <w:jc w:val="center"/>
              <w:rPr>
                <w:color w:val="000000"/>
                <w:sz w:val="22"/>
                <w:szCs w:val="22"/>
              </w:rPr>
            </w:pPr>
            <w:r w:rsidRPr="007B7A16">
              <w:rPr>
                <w:color w:val="000000"/>
                <w:sz w:val="22"/>
                <w:szCs w:val="22"/>
              </w:rPr>
              <w:t>70.9%</w:t>
            </w:r>
          </w:p>
        </w:tc>
      </w:tr>
      <w:tr w:rsidR="00C06287" w:rsidRPr="007B7A16" w14:paraId="2C2699C3" w14:textId="77777777" w:rsidTr="007B7A16">
        <w:trPr>
          <w:trHeight w:val="300"/>
        </w:trPr>
        <w:tc>
          <w:tcPr>
            <w:tcW w:w="915" w:type="dxa"/>
            <w:vMerge w:val="restart"/>
            <w:tcBorders>
              <w:top w:val="nil"/>
              <w:left w:val="single" w:sz="4" w:space="0" w:color="auto"/>
              <w:bottom w:val="single" w:sz="4" w:space="0" w:color="000000"/>
              <w:right w:val="single" w:sz="4" w:space="0" w:color="auto"/>
            </w:tcBorders>
            <w:shd w:val="clear" w:color="auto" w:fill="auto"/>
            <w:vAlign w:val="center"/>
            <w:hideMark/>
          </w:tcPr>
          <w:p w14:paraId="23B509D4" w14:textId="77777777" w:rsidR="00C06287" w:rsidRPr="007B7A16" w:rsidRDefault="00C06287" w:rsidP="00C06287">
            <w:pPr>
              <w:jc w:val="center"/>
              <w:rPr>
                <w:bCs/>
                <w:color w:val="000000"/>
                <w:sz w:val="22"/>
                <w:szCs w:val="22"/>
              </w:rPr>
            </w:pPr>
            <w:r w:rsidRPr="007B7A16">
              <w:rPr>
                <w:bCs/>
                <w:color w:val="000000"/>
                <w:sz w:val="22"/>
                <w:szCs w:val="22"/>
              </w:rPr>
              <w:t>2012</w:t>
            </w:r>
          </w:p>
        </w:tc>
        <w:tc>
          <w:tcPr>
            <w:tcW w:w="1070" w:type="dxa"/>
            <w:tcBorders>
              <w:top w:val="nil"/>
              <w:left w:val="nil"/>
              <w:bottom w:val="single" w:sz="4" w:space="0" w:color="auto"/>
              <w:right w:val="single" w:sz="4" w:space="0" w:color="auto"/>
            </w:tcBorders>
            <w:shd w:val="clear" w:color="000000" w:fill="FFFFFF"/>
            <w:vAlign w:val="bottom"/>
            <w:hideMark/>
          </w:tcPr>
          <w:p w14:paraId="7346D65D" w14:textId="77777777" w:rsidR="00C06287" w:rsidRPr="007B7A16" w:rsidRDefault="00C06287" w:rsidP="00C06287">
            <w:pPr>
              <w:jc w:val="center"/>
              <w:rPr>
                <w:bCs/>
                <w:color w:val="000000"/>
                <w:sz w:val="22"/>
                <w:szCs w:val="22"/>
              </w:rPr>
            </w:pPr>
            <w:r w:rsidRPr="007B7A16">
              <w:rPr>
                <w:bCs/>
                <w:color w:val="000000"/>
                <w:sz w:val="22"/>
                <w:szCs w:val="22"/>
              </w:rPr>
              <w:t>East FL</w:t>
            </w:r>
          </w:p>
        </w:tc>
        <w:tc>
          <w:tcPr>
            <w:tcW w:w="1270" w:type="dxa"/>
            <w:tcBorders>
              <w:top w:val="nil"/>
              <w:left w:val="nil"/>
              <w:bottom w:val="single" w:sz="4" w:space="0" w:color="auto"/>
              <w:right w:val="single" w:sz="4" w:space="0" w:color="auto"/>
            </w:tcBorders>
            <w:shd w:val="clear" w:color="000000" w:fill="FFFFFF"/>
            <w:vAlign w:val="bottom"/>
            <w:hideMark/>
          </w:tcPr>
          <w:p w14:paraId="7F9AB181" w14:textId="77777777" w:rsidR="00C06287" w:rsidRPr="007B7A16" w:rsidRDefault="00C06287" w:rsidP="00C06287">
            <w:pPr>
              <w:jc w:val="center"/>
              <w:rPr>
                <w:color w:val="000000"/>
                <w:sz w:val="22"/>
                <w:szCs w:val="22"/>
              </w:rPr>
            </w:pPr>
            <w:r w:rsidRPr="007B7A16">
              <w:rPr>
                <w:color w:val="000000"/>
                <w:sz w:val="22"/>
                <w:szCs w:val="22"/>
              </w:rPr>
              <w:t>43,133</w:t>
            </w:r>
          </w:p>
        </w:tc>
        <w:tc>
          <w:tcPr>
            <w:tcW w:w="1800" w:type="dxa"/>
            <w:tcBorders>
              <w:top w:val="nil"/>
              <w:left w:val="nil"/>
              <w:bottom w:val="single" w:sz="4" w:space="0" w:color="auto"/>
              <w:right w:val="single" w:sz="4" w:space="0" w:color="auto"/>
            </w:tcBorders>
            <w:shd w:val="clear" w:color="000000" w:fill="FFFFFF"/>
            <w:vAlign w:val="bottom"/>
            <w:hideMark/>
          </w:tcPr>
          <w:p w14:paraId="6C98AEA7" w14:textId="77777777" w:rsidR="00C06287" w:rsidRPr="007B7A16" w:rsidRDefault="00C06287" w:rsidP="00C06287">
            <w:pPr>
              <w:jc w:val="center"/>
              <w:rPr>
                <w:color w:val="000000"/>
                <w:sz w:val="22"/>
                <w:szCs w:val="22"/>
              </w:rPr>
            </w:pPr>
            <w:r w:rsidRPr="007B7A16">
              <w:rPr>
                <w:color w:val="000000"/>
                <w:sz w:val="22"/>
                <w:szCs w:val="22"/>
              </w:rPr>
              <w:t>94,228</w:t>
            </w:r>
          </w:p>
        </w:tc>
        <w:tc>
          <w:tcPr>
            <w:tcW w:w="1620" w:type="dxa"/>
            <w:tcBorders>
              <w:top w:val="nil"/>
              <w:left w:val="nil"/>
              <w:bottom w:val="single" w:sz="4" w:space="0" w:color="auto"/>
              <w:right w:val="single" w:sz="4" w:space="0" w:color="auto"/>
            </w:tcBorders>
            <w:shd w:val="clear" w:color="auto" w:fill="auto"/>
            <w:noWrap/>
            <w:vAlign w:val="bottom"/>
            <w:hideMark/>
          </w:tcPr>
          <w:p w14:paraId="38712232" w14:textId="77777777" w:rsidR="00C06287" w:rsidRPr="007B7A16" w:rsidRDefault="00C06287" w:rsidP="00C06287">
            <w:pPr>
              <w:jc w:val="center"/>
              <w:rPr>
                <w:color w:val="000000"/>
                <w:sz w:val="22"/>
                <w:szCs w:val="22"/>
              </w:rPr>
            </w:pPr>
            <w:r w:rsidRPr="007B7A16">
              <w:rPr>
                <w:color w:val="000000"/>
                <w:sz w:val="22"/>
                <w:szCs w:val="22"/>
              </w:rPr>
              <w:t>137,361</w:t>
            </w:r>
          </w:p>
        </w:tc>
        <w:tc>
          <w:tcPr>
            <w:tcW w:w="1890" w:type="dxa"/>
            <w:tcBorders>
              <w:top w:val="nil"/>
              <w:left w:val="nil"/>
              <w:bottom w:val="single" w:sz="4" w:space="0" w:color="auto"/>
              <w:right w:val="single" w:sz="4" w:space="0" w:color="auto"/>
            </w:tcBorders>
            <w:shd w:val="clear" w:color="000000" w:fill="FFFFFF"/>
            <w:vAlign w:val="bottom"/>
            <w:hideMark/>
          </w:tcPr>
          <w:p w14:paraId="6739B6CC" w14:textId="77777777" w:rsidR="00C06287" w:rsidRPr="007B7A16" w:rsidRDefault="00C06287" w:rsidP="00C06287">
            <w:pPr>
              <w:jc w:val="center"/>
              <w:rPr>
                <w:color w:val="000000"/>
                <w:sz w:val="22"/>
                <w:szCs w:val="22"/>
              </w:rPr>
            </w:pPr>
            <w:r w:rsidRPr="007B7A16">
              <w:rPr>
                <w:color w:val="000000"/>
                <w:sz w:val="22"/>
                <w:szCs w:val="22"/>
              </w:rPr>
              <w:t>31.4%</w:t>
            </w:r>
          </w:p>
        </w:tc>
      </w:tr>
      <w:tr w:rsidR="00C06287" w:rsidRPr="007B7A16" w14:paraId="5E87FE8C" w14:textId="77777777" w:rsidTr="007B7A16">
        <w:trPr>
          <w:trHeight w:val="300"/>
        </w:trPr>
        <w:tc>
          <w:tcPr>
            <w:tcW w:w="915" w:type="dxa"/>
            <w:vMerge/>
            <w:tcBorders>
              <w:top w:val="nil"/>
              <w:left w:val="single" w:sz="4" w:space="0" w:color="auto"/>
              <w:bottom w:val="single" w:sz="4" w:space="0" w:color="000000"/>
              <w:right w:val="single" w:sz="4" w:space="0" w:color="auto"/>
            </w:tcBorders>
            <w:shd w:val="clear" w:color="auto" w:fill="auto"/>
            <w:vAlign w:val="bottom"/>
            <w:hideMark/>
          </w:tcPr>
          <w:p w14:paraId="5FE585A9" w14:textId="77777777" w:rsidR="00C06287" w:rsidRPr="007B7A16" w:rsidRDefault="00C06287" w:rsidP="00C06287">
            <w:pPr>
              <w:jc w:val="center"/>
              <w:rPr>
                <w:bCs/>
                <w:color w:val="000000"/>
                <w:sz w:val="22"/>
                <w:szCs w:val="22"/>
              </w:rPr>
            </w:pPr>
          </w:p>
        </w:tc>
        <w:tc>
          <w:tcPr>
            <w:tcW w:w="1070" w:type="dxa"/>
            <w:tcBorders>
              <w:top w:val="nil"/>
              <w:left w:val="nil"/>
              <w:bottom w:val="single" w:sz="4" w:space="0" w:color="auto"/>
              <w:right w:val="single" w:sz="4" w:space="0" w:color="auto"/>
            </w:tcBorders>
            <w:shd w:val="clear" w:color="000000" w:fill="FFFFFF"/>
            <w:vAlign w:val="bottom"/>
            <w:hideMark/>
          </w:tcPr>
          <w:p w14:paraId="03458A9A" w14:textId="77777777" w:rsidR="00C06287" w:rsidRPr="007B7A16" w:rsidRDefault="00C06287" w:rsidP="00C06287">
            <w:pPr>
              <w:jc w:val="center"/>
              <w:rPr>
                <w:bCs/>
                <w:color w:val="000000"/>
                <w:sz w:val="22"/>
                <w:szCs w:val="22"/>
              </w:rPr>
            </w:pPr>
            <w:r w:rsidRPr="007B7A16">
              <w:rPr>
                <w:bCs/>
                <w:color w:val="000000"/>
                <w:sz w:val="22"/>
                <w:szCs w:val="22"/>
              </w:rPr>
              <w:t>GA</w:t>
            </w:r>
          </w:p>
        </w:tc>
        <w:tc>
          <w:tcPr>
            <w:tcW w:w="1270" w:type="dxa"/>
            <w:tcBorders>
              <w:top w:val="nil"/>
              <w:left w:val="nil"/>
              <w:bottom w:val="single" w:sz="4" w:space="0" w:color="auto"/>
              <w:right w:val="single" w:sz="4" w:space="0" w:color="auto"/>
            </w:tcBorders>
            <w:shd w:val="clear" w:color="000000" w:fill="FFFFFF"/>
            <w:vAlign w:val="bottom"/>
            <w:hideMark/>
          </w:tcPr>
          <w:p w14:paraId="1DE2E022" w14:textId="77777777" w:rsidR="00C06287" w:rsidRPr="007B7A16" w:rsidRDefault="00C06287" w:rsidP="00C06287">
            <w:pPr>
              <w:jc w:val="center"/>
              <w:rPr>
                <w:color w:val="000000"/>
                <w:sz w:val="22"/>
                <w:szCs w:val="22"/>
              </w:rPr>
            </w:pPr>
            <w:r w:rsidRPr="007B7A16">
              <w:rPr>
                <w:color w:val="000000"/>
                <w:sz w:val="22"/>
                <w:szCs w:val="22"/>
              </w:rPr>
              <w:t>0</w:t>
            </w:r>
          </w:p>
        </w:tc>
        <w:tc>
          <w:tcPr>
            <w:tcW w:w="1800" w:type="dxa"/>
            <w:tcBorders>
              <w:top w:val="nil"/>
              <w:left w:val="nil"/>
              <w:bottom w:val="single" w:sz="4" w:space="0" w:color="auto"/>
              <w:right w:val="single" w:sz="4" w:space="0" w:color="auto"/>
            </w:tcBorders>
            <w:shd w:val="clear" w:color="000000" w:fill="FFFFFF"/>
            <w:vAlign w:val="bottom"/>
            <w:hideMark/>
          </w:tcPr>
          <w:p w14:paraId="23BD35F2" w14:textId="77777777" w:rsidR="00C06287" w:rsidRPr="007B7A16" w:rsidRDefault="00C06287" w:rsidP="00C06287">
            <w:pPr>
              <w:jc w:val="center"/>
              <w:rPr>
                <w:color w:val="000000"/>
                <w:sz w:val="22"/>
                <w:szCs w:val="22"/>
              </w:rPr>
            </w:pPr>
            <w:r w:rsidRPr="007B7A16">
              <w:rPr>
                <w:color w:val="000000"/>
                <w:sz w:val="22"/>
                <w:szCs w:val="22"/>
              </w:rPr>
              <w:t>52</w:t>
            </w:r>
          </w:p>
        </w:tc>
        <w:tc>
          <w:tcPr>
            <w:tcW w:w="1620" w:type="dxa"/>
            <w:tcBorders>
              <w:top w:val="nil"/>
              <w:left w:val="nil"/>
              <w:bottom w:val="single" w:sz="4" w:space="0" w:color="auto"/>
              <w:right w:val="single" w:sz="4" w:space="0" w:color="auto"/>
            </w:tcBorders>
            <w:shd w:val="clear" w:color="auto" w:fill="auto"/>
            <w:noWrap/>
            <w:vAlign w:val="bottom"/>
            <w:hideMark/>
          </w:tcPr>
          <w:p w14:paraId="2CCB5B3C" w14:textId="77777777" w:rsidR="00C06287" w:rsidRPr="007B7A16" w:rsidRDefault="00C06287" w:rsidP="00C06287">
            <w:pPr>
              <w:jc w:val="center"/>
              <w:rPr>
                <w:color w:val="000000"/>
                <w:sz w:val="22"/>
                <w:szCs w:val="22"/>
              </w:rPr>
            </w:pPr>
            <w:r w:rsidRPr="007B7A16">
              <w:rPr>
                <w:color w:val="000000"/>
                <w:sz w:val="22"/>
                <w:szCs w:val="22"/>
              </w:rPr>
              <w:t>52</w:t>
            </w:r>
          </w:p>
        </w:tc>
        <w:tc>
          <w:tcPr>
            <w:tcW w:w="1890" w:type="dxa"/>
            <w:tcBorders>
              <w:top w:val="nil"/>
              <w:left w:val="nil"/>
              <w:bottom w:val="single" w:sz="4" w:space="0" w:color="auto"/>
              <w:right w:val="single" w:sz="4" w:space="0" w:color="auto"/>
            </w:tcBorders>
            <w:shd w:val="clear" w:color="000000" w:fill="FFFFFF"/>
            <w:vAlign w:val="bottom"/>
            <w:hideMark/>
          </w:tcPr>
          <w:p w14:paraId="1077C9DE" w14:textId="77777777" w:rsidR="00C06287" w:rsidRPr="007B7A16" w:rsidRDefault="00C06287" w:rsidP="00C06287">
            <w:pPr>
              <w:jc w:val="center"/>
              <w:rPr>
                <w:color w:val="000000"/>
                <w:sz w:val="22"/>
                <w:szCs w:val="22"/>
              </w:rPr>
            </w:pPr>
            <w:r w:rsidRPr="007B7A16">
              <w:rPr>
                <w:color w:val="000000"/>
                <w:sz w:val="22"/>
                <w:szCs w:val="22"/>
              </w:rPr>
              <w:t>0.0%</w:t>
            </w:r>
          </w:p>
        </w:tc>
      </w:tr>
      <w:tr w:rsidR="00C06287" w:rsidRPr="007B7A16" w14:paraId="545EA692" w14:textId="77777777" w:rsidTr="007B7A16">
        <w:trPr>
          <w:trHeight w:val="300"/>
        </w:trPr>
        <w:tc>
          <w:tcPr>
            <w:tcW w:w="915" w:type="dxa"/>
            <w:tcBorders>
              <w:top w:val="nil"/>
              <w:left w:val="single" w:sz="4" w:space="0" w:color="auto"/>
              <w:bottom w:val="single" w:sz="4" w:space="0" w:color="auto"/>
              <w:right w:val="single" w:sz="4" w:space="0" w:color="auto"/>
            </w:tcBorders>
            <w:shd w:val="clear" w:color="auto" w:fill="auto"/>
            <w:vAlign w:val="bottom"/>
            <w:hideMark/>
          </w:tcPr>
          <w:p w14:paraId="223D23D7" w14:textId="77777777" w:rsidR="00C06287" w:rsidRPr="007B7A16" w:rsidRDefault="00C06287" w:rsidP="00C06287">
            <w:pPr>
              <w:jc w:val="center"/>
              <w:rPr>
                <w:bCs/>
                <w:color w:val="000000"/>
                <w:sz w:val="22"/>
                <w:szCs w:val="22"/>
              </w:rPr>
            </w:pPr>
            <w:r w:rsidRPr="007B7A16">
              <w:rPr>
                <w:bCs/>
                <w:color w:val="000000"/>
                <w:sz w:val="22"/>
                <w:szCs w:val="22"/>
              </w:rPr>
              <w:t>2013</w:t>
            </w:r>
          </w:p>
        </w:tc>
        <w:tc>
          <w:tcPr>
            <w:tcW w:w="1070" w:type="dxa"/>
            <w:tcBorders>
              <w:top w:val="nil"/>
              <w:left w:val="nil"/>
              <w:bottom w:val="single" w:sz="4" w:space="0" w:color="auto"/>
              <w:right w:val="single" w:sz="4" w:space="0" w:color="auto"/>
            </w:tcBorders>
            <w:shd w:val="clear" w:color="000000" w:fill="FFFFFF"/>
            <w:vAlign w:val="bottom"/>
            <w:hideMark/>
          </w:tcPr>
          <w:p w14:paraId="1E94C6EC" w14:textId="77777777" w:rsidR="00C06287" w:rsidRPr="007B7A16" w:rsidRDefault="00C06287" w:rsidP="00C06287">
            <w:pPr>
              <w:jc w:val="center"/>
              <w:rPr>
                <w:bCs/>
                <w:color w:val="000000"/>
                <w:sz w:val="22"/>
                <w:szCs w:val="22"/>
              </w:rPr>
            </w:pPr>
            <w:r w:rsidRPr="007B7A16">
              <w:rPr>
                <w:bCs/>
                <w:color w:val="000000"/>
                <w:sz w:val="22"/>
                <w:szCs w:val="22"/>
              </w:rPr>
              <w:t>East FL</w:t>
            </w:r>
          </w:p>
        </w:tc>
        <w:tc>
          <w:tcPr>
            <w:tcW w:w="1270" w:type="dxa"/>
            <w:tcBorders>
              <w:top w:val="nil"/>
              <w:left w:val="nil"/>
              <w:bottom w:val="single" w:sz="4" w:space="0" w:color="auto"/>
              <w:right w:val="single" w:sz="4" w:space="0" w:color="auto"/>
            </w:tcBorders>
            <w:shd w:val="clear" w:color="000000" w:fill="FFFFFF"/>
            <w:vAlign w:val="bottom"/>
            <w:hideMark/>
          </w:tcPr>
          <w:p w14:paraId="4CA02114" w14:textId="77777777" w:rsidR="00C06287" w:rsidRPr="007B7A16" w:rsidRDefault="00C06287" w:rsidP="00C06287">
            <w:pPr>
              <w:jc w:val="center"/>
              <w:rPr>
                <w:color w:val="000000"/>
                <w:sz w:val="22"/>
                <w:szCs w:val="22"/>
              </w:rPr>
            </w:pPr>
            <w:r w:rsidRPr="007B7A16">
              <w:rPr>
                <w:color w:val="000000"/>
                <w:sz w:val="22"/>
                <w:szCs w:val="22"/>
              </w:rPr>
              <w:t>64,317</w:t>
            </w:r>
          </w:p>
        </w:tc>
        <w:tc>
          <w:tcPr>
            <w:tcW w:w="1800" w:type="dxa"/>
            <w:tcBorders>
              <w:top w:val="nil"/>
              <w:left w:val="nil"/>
              <w:bottom w:val="single" w:sz="4" w:space="0" w:color="auto"/>
              <w:right w:val="single" w:sz="4" w:space="0" w:color="auto"/>
            </w:tcBorders>
            <w:shd w:val="clear" w:color="000000" w:fill="FFFFFF"/>
            <w:vAlign w:val="bottom"/>
            <w:hideMark/>
          </w:tcPr>
          <w:p w14:paraId="3621D1D6" w14:textId="77777777" w:rsidR="00C06287" w:rsidRPr="007B7A16" w:rsidRDefault="00C06287" w:rsidP="00C06287">
            <w:pPr>
              <w:jc w:val="center"/>
              <w:rPr>
                <w:color w:val="000000"/>
                <w:sz w:val="22"/>
                <w:szCs w:val="22"/>
              </w:rPr>
            </w:pPr>
            <w:r w:rsidRPr="007B7A16">
              <w:rPr>
                <w:color w:val="000000"/>
                <w:sz w:val="22"/>
                <w:szCs w:val="22"/>
              </w:rPr>
              <w:t>120,825</w:t>
            </w:r>
          </w:p>
        </w:tc>
        <w:tc>
          <w:tcPr>
            <w:tcW w:w="1620" w:type="dxa"/>
            <w:tcBorders>
              <w:top w:val="nil"/>
              <w:left w:val="nil"/>
              <w:bottom w:val="single" w:sz="4" w:space="0" w:color="auto"/>
              <w:right w:val="single" w:sz="4" w:space="0" w:color="auto"/>
            </w:tcBorders>
            <w:shd w:val="clear" w:color="auto" w:fill="auto"/>
            <w:noWrap/>
            <w:vAlign w:val="bottom"/>
            <w:hideMark/>
          </w:tcPr>
          <w:p w14:paraId="4A7BC2DA" w14:textId="77777777" w:rsidR="00C06287" w:rsidRPr="007B7A16" w:rsidRDefault="00C06287" w:rsidP="00C06287">
            <w:pPr>
              <w:jc w:val="center"/>
              <w:rPr>
                <w:color w:val="000000"/>
                <w:sz w:val="22"/>
                <w:szCs w:val="22"/>
              </w:rPr>
            </w:pPr>
            <w:r w:rsidRPr="007B7A16">
              <w:rPr>
                <w:color w:val="000000"/>
                <w:sz w:val="22"/>
                <w:szCs w:val="22"/>
              </w:rPr>
              <w:t>185,142</w:t>
            </w:r>
          </w:p>
        </w:tc>
        <w:tc>
          <w:tcPr>
            <w:tcW w:w="1890" w:type="dxa"/>
            <w:tcBorders>
              <w:top w:val="nil"/>
              <w:left w:val="nil"/>
              <w:bottom w:val="single" w:sz="4" w:space="0" w:color="auto"/>
              <w:right w:val="single" w:sz="4" w:space="0" w:color="auto"/>
            </w:tcBorders>
            <w:shd w:val="clear" w:color="000000" w:fill="FFFFFF"/>
            <w:vAlign w:val="bottom"/>
            <w:hideMark/>
          </w:tcPr>
          <w:p w14:paraId="08EF034F" w14:textId="77777777" w:rsidR="00C06287" w:rsidRPr="007B7A16" w:rsidRDefault="00C06287" w:rsidP="00C06287">
            <w:pPr>
              <w:jc w:val="center"/>
              <w:rPr>
                <w:color w:val="000000"/>
                <w:sz w:val="22"/>
                <w:szCs w:val="22"/>
              </w:rPr>
            </w:pPr>
            <w:r w:rsidRPr="007B7A16">
              <w:rPr>
                <w:color w:val="000000"/>
                <w:sz w:val="22"/>
                <w:szCs w:val="22"/>
              </w:rPr>
              <w:t>34.7%</w:t>
            </w:r>
          </w:p>
        </w:tc>
      </w:tr>
      <w:tr w:rsidR="00C06287" w:rsidRPr="007B7A16" w14:paraId="6158EB8F" w14:textId="77777777" w:rsidTr="007B7A16">
        <w:trPr>
          <w:trHeight w:val="300"/>
        </w:trPr>
        <w:tc>
          <w:tcPr>
            <w:tcW w:w="915" w:type="dxa"/>
            <w:tcBorders>
              <w:top w:val="nil"/>
              <w:left w:val="single" w:sz="4" w:space="0" w:color="auto"/>
              <w:bottom w:val="single" w:sz="4" w:space="0" w:color="auto"/>
              <w:right w:val="single" w:sz="4" w:space="0" w:color="auto"/>
            </w:tcBorders>
            <w:shd w:val="clear" w:color="auto" w:fill="auto"/>
            <w:vAlign w:val="bottom"/>
            <w:hideMark/>
          </w:tcPr>
          <w:p w14:paraId="4E2903B5" w14:textId="77777777" w:rsidR="00C06287" w:rsidRPr="007B7A16" w:rsidRDefault="00C06287" w:rsidP="00C06287">
            <w:pPr>
              <w:jc w:val="center"/>
              <w:rPr>
                <w:bCs/>
                <w:color w:val="000000"/>
                <w:sz w:val="22"/>
                <w:szCs w:val="22"/>
              </w:rPr>
            </w:pPr>
            <w:r w:rsidRPr="007B7A16">
              <w:rPr>
                <w:bCs/>
                <w:color w:val="000000"/>
                <w:sz w:val="22"/>
                <w:szCs w:val="22"/>
              </w:rPr>
              <w:t>2014</w:t>
            </w:r>
          </w:p>
        </w:tc>
        <w:tc>
          <w:tcPr>
            <w:tcW w:w="1070" w:type="dxa"/>
            <w:tcBorders>
              <w:top w:val="nil"/>
              <w:left w:val="nil"/>
              <w:bottom w:val="single" w:sz="4" w:space="0" w:color="auto"/>
              <w:right w:val="single" w:sz="4" w:space="0" w:color="auto"/>
            </w:tcBorders>
            <w:shd w:val="clear" w:color="000000" w:fill="FFFFFF"/>
            <w:vAlign w:val="bottom"/>
            <w:hideMark/>
          </w:tcPr>
          <w:p w14:paraId="16801A56" w14:textId="77777777" w:rsidR="00C06287" w:rsidRPr="007B7A16" w:rsidRDefault="00C06287" w:rsidP="00C06287">
            <w:pPr>
              <w:jc w:val="center"/>
              <w:rPr>
                <w:bCs/>
                <w:color w:val="000000"/>
                <w:sz w:val="22"/>
                <w:szCs w:val="22"/>
              </w:rPr>
            </w:pPr>
            <w:r w:rsidRPr="007B7A16">
              <w:rPr>
                <w:bCs/>
                <w:color w:val="000000"/>
                <w:sz w:val="22"/>
                <w:szCs w:val="22"/>
              </w:rPr>
              <w:t>East FL</w:t>
            </w:r>
          </w:p>
        </w:tc>
        <w:tc>
          <w:tcPr>
            <w:tcW w:w="1270" w:type="dxa"/>
            <w:tcBorders>
              <w:top w:val="nil"/>
              <w:left w:val="nil"/>
              <w:bottom w:val="single" w:sz="4" w:space="0" w:color="auto"/>
              <w:right w:val="single" w:sz="4" w:space="0" w:color="auto"/>
            </w:tcBorders>
            <w:shd w:val="clear" w:color="000000" w:fill="FFFFFF"/>
            <w:vAlign w:val="bottom"/>
            <w:hideMark/>
          </w:tcPr>
          <w:p w14:paraId="4B7F1814" w14:textId="77777777" w:rsidR="00C06287" w:rsidRPr="007B7A16" w:rsidRDefault="00C06287" w:rsidP="00C06287">
            <w:pPr>
              <w:jc w:val="center"/>
              <w:rPr>
                <w:color w:val="000000"/>
                <w:sz w:val="22"/>
                <w:szCs w:val="22"/>
              </w:rPr>
            </w:pPr>
            <w:r w:rsidRPr="007B7A16">
              <w:rPr>
                <w:color w:val="000000"/>
                <w:sz w:val="22"/>
                <w:szCs w:val="22"/>
              </w:rPr>
              <w:t>90,882</w:t>
            </w:r>
          </w:p>
        </w:tc>
        <w:tc>
          <w:tcPr>
            <w:tcW w:w="1800" w:type="dxa"/>
            <w:tcBorders>
              <w:top w:val="nil"/>
              <w:left w:val="nil"/>
              <w:bottom w:val="single" w:sz="4" w:space="0" w:color="auto"/>
              <w:right w:val="single" w:sz="4" w:space="0" w:color="auto"/>
            </w:tcBorders>
            <w:shd w:val="clear" w:color="000000" w:fill="FFFFFF"/>
            <w:vAlign w:val="bottom"/>
            <w:hideMark/>
          </w:tcPr>
          <w:p w14:paraId="65CB9200" w14:textId="77777777" w:rsidR="00C06287" w:rsidRPr="007B7A16" w:rsidRDefault="00C06287" w:rsidP="00C06287">
            <w:pPr>
              <w:jc w:val="center"/>
              <w:rPr>
                <w:color w:val="000000"/>
                <w:sz w:val="22"/>
                <w:szCs w:val="22"/>
              </w:rPr>
            </w:pPr>
            <w:r w:rsidRPr="007B7A16">
              <w:rPr>
                <w:color w:val="000000"/>
                <w:sz w:val="22"/>
                <w:szCs w:val="22"/>
              </w:rPr>
              <w:t>189,399</w:t>
            </w:r>
          </w:p>
        </w:tc>
        <w:tc>
          <w:tcPr>
            <w:tcW w:w="1620" w:type="dxa"/>
            <w:tcBorders>
              <w:top w:val="nil"/>
              <w:left w:val="nil"/>
              <w:bottom w:val="single" w:sz="4" w:space="0" w:color="auto"/>
              <w:right w:val="single" w:sz="4" w:space="0" w:color="auto"/>
            </w:tcBorders>
            <w:shd w:val="clear" w:color="auto" w:fill="auto"/>
            <w:noWrap/>
            <w:vAlign w:val="bottom"/>
            <w:hideMark/>
          </w:tcPr>
          <w:p w14:paraId="4DAD08EE" w14:textId="77777777" w:rsidR="00C06287" w:rsidRPr="007B7A16" w:rsidRDefault="00C06287" w:rsidP="00C06287">
            <w:pPr>
              <w:jc w:val="center"/>
              <w:rPr>
                <w:color w:val="000000"/>
                <w:sz w:val="22"/>
                <w:szCs w:val="22"/>
              </w:rPr>
            </w:pPr>
            <w:r w:rsidRPr="007B7A16">
              <w:rPr>
                <w:color w:val="000000"/>
                <w:sz w:val="22"/>
                <w:szCs w:val="22"/>
              </w:rPr>
              <w:t>280,281</w:t>
            </w:r>
          </w:p>
        </w:tc>
        <w:tc>
          <w:tcPr>
            <w:tcW w:w="1890" w:type="dxa"/>
            <w:tcBorders>
              <w:top w:val="nil"/>
              <w:left w:val="nil"/>
              <w:bottom w:val="single" w:sz="4" w:space="0" w:color="auto"/>
              <w:right w:val="single" w:sz="4" w:space="0" w:color="auto"/>
            </w:tcBorders>
            <w:shd w:val="clear" w:color="000000" w:fill="FFFFFF"/>
            <w:vAlign w:val="bottom"/>
            <w:hideMark/>
          </w:tcPr>
          <w:p w14:paraId="023C60C4" w14:textId="77777777" w:rsidR="00C06287" w:rsidRPr="007B7A16" w:rsidRDefault="00C06287" w:rsidP="00C06287">
            <w:pPr>
              <w:jc w:val="center"/>
              <w:rPr>
                <w:color w:val="000000"/>
                <w:sz w:val="22"/>
                <w:szCs w:val="22"/>
              </w:rPr>
            </w:pPr>
            <w:r w:rsidRPr="007B7A16">
              <w:rPr>
                <w:color w:val="000000"/>
                <w:sz w:val="22"/>
                <w:szCs w:val="22"/>
              </w:rPr>
              <w:t>32.4%</w:t>
            </w:r>
          </w:p>
        </w:tc>
      </w:tr>
    </w:tbl>
    <w:p w14:paraId="2B51BB2C" w14:textId="0B448050" w:rsidR="00C06287" w:rsidRDefault="007B7A16" w:rsidP="007B7A16">
      <w:r>
        <w:rPr>
          <w:rFonts w:ascii="Arial" w:hAnsi="Arial" w:cs="Arial"/>
          <w:sz w:val="20"/>
          <w:szCs w:val="20"/>
        </w:rPr>
        <w:t xml:space="preserve">Source: </w:t>
      </w:r>
      <w:r w:rsidRPr="00091BD5">
        <w:rPr>
          <w:rFonts w:ascii="Arial" w:hAnsi="Arial" w:cs="Arial"/>
          <w:sz w:val="20"/>
          <w:szCs w:val="20"/>
        </w:rPr>
        <w:t xml:space="preserve"> Personal communication from the National Marine Fisheries Service, Fisheries Statistics Division March 28, 2016</w:t>
      </w:r>
      <w:r>
        <w:rPr>
          <w:rFonts w:ascii="Arial" w:hAnsi="Arial" w:cs="Arial"/>
          <w:sz w:val="20"/>
          <w:szCs w:val="20"/>
        </w:rPr>
        <w:t>.</w:t>
      </w:r>
    </w:p>
    <w:p w14:paraId="798658E1" w14:textId="77777777" w:rsidR="00C06287" w:rsidRDefault="00C06287" w:rsidP="00C06287">
      <w:pPr>
        <w:ind w:firstLine="360"/>
      </w:pPr>
    </w:p>
    <w:p w14:paraId="320C9E09" w14:textId="667E4396" w:rsidR="00C06287" w:rsidRDefault="00D02147" w:rsidP="00D02147">
      <w:pPr>
        <w:ind w:firstLine="360"/>
      </w:pPr>
      <w:r>
        <w:t>The most popular mode to catch mutton snapper is private/rental vessels.  From 2010 through 2014, anglers on private/rental vessels caught an estimated 76% of mutton snapper caught annually in East Florida.  Anglers on shore accounted for approximately 15% of the catch (</w:t>
      </w:r>
      <w:r>
        <w:rPr>
          <w:b/>
        </w:rPr>
        <w:t>Table 3.3.21</w:t>
      </w:r>
      <w:r>
        <w:t>).  The majority (86%) of mutton snapper caught by anglers on shore were released alive (</w:t>
      </w:r>
      <w:r>
        <w:rPr>
          <w:b/>
        </w:rPr>
        <w:t>Table 3.3.22</w:t>
      </w:r>
      <w:r>
        <w:t>).  A mutton snapper caught by an angler onboard a for-hire vessel is more likely to harvest the fish than anglers fishing onboard a private/rental vessel or on shore.</w:t>
      </w:r>
    </w:p>
    <w:p w14:paraId="05C1C23B" w14:textId="77777777" w:rsidR="00C06287" w:rsidRDefault="00C06287" w:rsidP="00555324"/>
    <w:p w14:paraId="12EE694B" w14:textId="77777777" w:rsidR="00DB18EC" w:rsidRDefault="00DB18EC">
      <w:pPr>
        <w:rPr>
          <w:rFonts w:ascii="Arial" w:hAnsi="Arial"/>
          <w:b/>
          <w:bCs/>
          <w:sz w:val="20"/>
        </w:rPr>
      </w:pPr>
      <w:r>
        <w:rPr>
          <w:b/>
        </w:rPr>
        <w:br w:type="page"/>
      </w:r>
    </w:p>
    <w:p w14:paraId="754512D8" w14:textId="75066F72" w:rsidR="00C06287" w:rsidRDefault="00C06287" w:rsidP="00555324">
      <w:pPr>
        <w:pStyle w:val="Tabletitle"/>
      </w:pPr>
      <w:bookmarkStart w:id="167" w:name="_Toc340431566"/>
      <w:r>
        <w:rPr>
          <w:b/>
        </w:rPr>
        <w:lastRenderedPageBreak/>
        <w:t>Table 3.3.21</w:t>
      </w:r>
      <w:r w:rsidRPr="00091BD5">
        <w:rPr>
          <w:b/>
        </w:rPr>
        <w:t>.</w:t>
      </w:r>
      <w:r w:rsidRPr="00091BD5">
        <w:t xml:space="preserve">  </w:t>
      </w:r>
      <w:r>
        <w:t>Estimates of r</w:t>
      </w:r>
      <w:r w:rsidRPr="00091BD5">
        <w:t>ecreational</w:t>
      </w:r>
      <w:r>
        <w:t xml:space="preserve"> catch</w:t>
      </w:r>
      <w:r w:rsidR="00555324">
        <w:t xml:space="preserve"> (numbers of fish) </w:t>
      </w:r>
      <w:r>
        <w:t xml:space="preserve">of mutton snapper </w:t>
      </w:r>
      <w:r w:rsidR="00555324">
        <w:t>in East Florida by mode, 2010-</w:t>
      </w:r>
      <w:r>
        <w:t>2014.</w:t>
      </w:r>
      <w:bookmarkEnd w:id="167"/>
      <w:r>
        <w:t xml:space="preserve">  </w:t>
      </w:r>
    </w:p>
    <w:tbl>
      <w:tblPr>
        <w:tblW w:w="7870" w:type="dxa"/>
        <w:tblInd w:w="93" w:type="dxa"/>
        <w:tblLook w:val="04A0" w:firstRow="1" w:lastRow="0" w:firstColumn="1" w:lastColumn="0" w:noHBand="0" w:noVBand="1"/>
      </w:tblPr>
      <w:tblGrid>
        <w:gridCol w:w="1069"/>
        <w:gridCol w:w="1589"/>
        <w:gridCol w:w="1270"/>
        <w:gridCol w:w="1123"/>
        <w:gridCol w:w="1479"/>
        <w:gridCol w:w="1340"/>
      </w:tblGrid>
      <w:tr w:rsidR="00C06287" w:rsidRPr="00555324" w14:paraId="25CDA334" w14:textId="77777777" w:rsidTr="00555324">
        <w:trPr>
          <w:trHeight w:val="300"/>
        </w:trPr>
        <w:tc>
          <w:tcPr>
            <w:tcW w:w="10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F0D842" w14:textId="77777777" w:rsidR="00C06287" w:rsidRPr="00555324" w:rsidRDefault="00C06287" w:rsidP="00C06287">
            <w:pPr>
              <w:jc w:val="center"/>
              <w:rPr>
                <w:b/>
                <w:bCs/>
                <w:color w:val="000000"/>
                <w:sz w:val="22"/>
                <w:szCs w:val="22"/>
              </w:rPr>
            </w:pPr>
            <w:r w:rsidRPr="00555324">
              <w:rPr>
                <w:b/>
                <w:bCs/>
                <w:color w:val="000000"/>
                <w:sz w:val="22"/>
                <w:szCs w:val="22"/>
              </w:rPr>
              <w:t>Year</w:t>
            </w:r>
          </w:p>
        </w:tc>
        <w:tc>
          <w:tcPr>
            <w:tcW w:w="158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3A55C7B" w14:textId="77777777" w:rsidR="00C06287" w:rsidRPr="00555324" w:rsidRDefault="00C06287" w:rsidP="00C06287">
            <w:pPr>
              <w:jc w:val="center"/>
              <w:rPr>
                <w:b/>
                <w:bCs/>
                <w:color w:val="000000"/>
                <w:sz w:val="22"/>
                <w:szCs w:val="22"/>
              </w:rPr>
            </w:pPr>
            <w:r w:rsidRPr="00555324">
              <w:rPr>
                <w:b/>
                <w:bCs/>
                <w:color w:val="000000"/>
                <w:sz w:val="22"/>
                <w:szCs w:val="22"/>
              </w:rPr>
              <w:t>Mode</w:t>
            </w:r>
          </w:p>
        </w:tc>
        <w:tc>
          <w:tcPr>
            <w:tcW w:w="3872"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9D9A1F0" w14:textId="77777777" w:rsidR="00C06287" w:rsidRPr="00555324" w:rsidRDefault="00C06287" w:rsidP="00C06287">
            <w:pPr>
              <w:jc w:val="center"/>
              <w:rPr>
                <w:b/>
                <w:bCs/>
                <w:color w:val="000000"/>
                <w:sz w:val="22"/>
                <w:szCs w:val="22"/>
              </w:rPr>
            </w:pPr>
            <w:r w:rsidRPr="00555324">
              <w:rPr>
                <w:b/>
                <w:bCs/>
                <w:color w:val="000000"/>
                <w:sz w:val="22"/>
                <w:szCs w:val="22"/>
              </w:rPr>
              <w:t>Number of fish</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D266A6C" w14:textId="77777777" w:rsidR="00C06287" w:rsidRPr="00555324" w:rsidRDefault="00C06287" w:rsidP="00C06287">
            <w:pPr>
              <w:jc w:val="center"/>
              <w:rPr>
                <w:b/>
                <w:bCs/>
                <w:color w:val="000000"/>
                <w:sz w:val="22"/>
                <w:szCs w:val="22"/>
              </w:rPr>
            </w:pPr>
            <w:r w:rsidRPr="00555324">
              <w:rPr>
                <w:b/>
                <w:bCs/>
                <w:color w:val="000000"/>
                <w:sz w:val="22"/>
                <w:szCs w:val="22"/>
              </w:rPr>
              <w:t>Percent caught</w:t>
            </w:r>
          </w:p>
        </w:tc>
      </w:tr>
      <w:tr w:rsidR="00C06287" w:rsidRPr="00555324" w14:paraId="5FEEF434" w14:textId="77777777" w:rsidTr="00555324">
        <w:trPr>
          <w:trHeight w:val="300"/>
        </w:trPr>
        <w:tc>
          <w:tcPr>
            <w:tcW w:w="10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FABFEE" w14:textId="77777777" w:rsidR="00C06287" w:rsidRPr="00555324" w:rsidRDefault="00C06287" w:rsidP="00C06287">
            <w:pPr>
              <w:rPr>
                <w:b/>
                <w:bCs/>
                <w:color w:val="000000"/>
                <w:sz w:val="22"/>
                <w:szCs w:val="22"/>
              </w:rPr>
            </w:pPr>
          </w:p>
        </w:tc>
        <w:tc>
          <w:tcPr>
            <w:tcW w:w="158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A1F697" w14:textId="77777777" w:rsidR="00C06287" w:rsidRPr="00555324" w:rsidRDefault="00C06287" w:rsidP="00C06287">
            <w:pPr>
              <w:rPr>
                <w:b/>
                <w:bCs/>
                <w:color w:val="000000"/>
                <w:sz w:val="22"/>
                <w:szCs w:val="22"/>
              </w:rPr>
            </w:pPr>
          </w:p>
        </w:tc>
        <w:tc>
          <w:tcPr>
            <w:tcW w:w="1270" w:type="dxa"/>
            <w:tcBorders>
              <w:top w:val="nil"/>
              <w:left w:val="nil"/>
              <w:bottom w:val="single" w:sz="4" w:space="0" w:color="auto"/>
              <w:right w:val="single" w:sz="4" w:space="0" w:color="auto"/>
            </w:tcBorders>
            <w:shd w:val="clear" w:color="auto" w:fill="D9D9D9" w:themeFill="background1" w:themeFillShade="D9"/>
            <w:noWrap/>
            <w:vAlign w:val="bottom"/>
            <w:hideMark/>
          </w:tcPr>
          <w:p w14:paraId="527DAC43" w14:textId="77777777" w:rsidR="00C06287" w:rsidRPr="00555324" w:rsidRDefault="00C06287" w:rsidP="00C06287">
            <w:pPr>
              <w:rPr>
                <w:b/>
                <w:bCs/>
                <w:color w:val="000000"/>
                <w:sz w:val="22"/>
                <w:szCs w:val="22"/>
              </w:rPr>
            </w:pPr>
            <w:r w:rsidRPr="00555324">
              <w:rPr>
                <w:b/>
                <w:bCs/>
                <w:color w:val="000000"/>
                <w:sz w:val="22"/>
                <w:szCs w:val="22"/>
              </w:rPr>
              <w:t xml:space="preserve">Harvested </w:t>
            </w:r>
          </w:p>
        </w:tc>
        <w:tc>
          <w:tcPr>
            <w:tcW w:w="1123" w:type="dxa"/>
            <w:tcBorders>
              <w:top w:val="nil"/>
              <w:left w:val="nil"/>
              <w:bottom w:val="single" w:sz="4" w:space="0" w:color="auto"/>
              <w:right w:val="single" w:sz="4" w:space="0" w:color="auto"/>
            </w:tcBorders>
            <w:shd w:val="clear" w:color="auto" w:fill="D9D9D9" w:themeFill="background1" w:themeFillShade="D9"/>
            <w:noWrap/>
            <w:vAlign w:val="bottom"/>
            <w:hideMark/>
          </w:tcPr>
          <w:p w14:paraId="3A466307" w14:textId="77777777" w:rsidR="00C06287" w:rsidRPr="00555324" w:rsidRDefault="00C06287" w:rsidP="00C06287">
            <w:pPr>
              <w:rPr>
                <w:b/>
                <w:bCs/>
                <w:color w:val="000000"/>
                <w:sz w:val="22"/>
                <w:szCs w:val="22"/>
              </w:rPr>
            </w:pPr>
            <w:r w:rsidRPr="00555324">
              <w:rPr>
                <w:b/>
                <w:bCs/>
                <w:color w:val="000000"/>
                <w:sz w:val="22"/>
                <w:szCs w:val="22"/>
              </w:rPr>
              <w:t>Released</w:t>
            </w:r>
          </w:p>
        </w:tc>
        <w:tc>
          <w:tcPr>
            <w:tcW w:w="1479" w:type="dxa"/>
            <w:tcBorders>
              <w:top w:val="nil"/>
              <w:left w:val="nil"/>
              <w:bottom w:val="single" w:sz="4" w:space="0" w:color="auto"/>
              <w:right w:val="nil"/>
            </w:tcBorders>
            <w:shd w:val="clear" w:color="auto" w:fill="D9D9D9" w:themeFill="background1" w:themeFillShade="D9"/>
            <w:noWrap/>
            <w:vAlign w:val="bottom"/>
            <w:hideMark/>
          </w:tcPr>
          <w:p w14:paraId="3951D178" w14:textId="77777777" w:rsidR="00C06287" w:rsidRPr="00555324" w:rsidRDefault="00C06287" w:rsidP="00C06287">
            <w:pPr>
              <w:rPr>
                <w:b/>
                <w:bCs/>
                <w:color w:val="000000"/>
                <w:sz w:val="22"/>
                <w:szCs w:val="22"/>
              </w:rPr>
            </w:pPr>
            <w:r w:rsidRPr="00555324">
              <w:rPr>
                <w:b/>
                <w:bCs/>
                <w:color w:val="000000"/>
                <w:sz w:val="22"/>
                <w:szCs w:val="22"/>
              </w:rPr>
              <w:t>Total caught</w:t>
            </w:r>
          </w:p>
        </w:tc>
        <w:tc>
          <w:tcPr>
            <w:tcW w:w="134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2DDBED7" w14:textId="77777777" w:rsidR="00C06287" w:rsidRPr="00555324" w:rsidRDefault="00C06287" w:rsidP="00C06287">
            <w:pPr>
              <w:rPr>
                <w:b/>
                <w:bCs/>
                <w:color w:val="000000"/>
                <w:sz w:val="22"/>
                <w:szCs w:val="22"/>
              </w:rPr>
            </w:pPr>
          </w:p>
        </w:tc>
      </w:tr>
      <w:tr w:rsidR="00C06287" w:rsidRPr="00555324" w14:paraId="3C4B5197" w14:textId="77777777" w:rsidTr="00555324">
        <w:trPr>
          <w:trHeight w:val="300"/>
        </w:trPr>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1B4E46" w14:textId="77777777" w:rsidR="00C06287" w:rsidRPr="00555324" w:rsidRDefault="00C06287" w:rsidP="00C06287">
            <w:pPr>
              <w:jc w:val="center"/>
              <w:rPr>
                <w:bCs/>
                <w:color w:val="000000"/>
                <w:sz w:val="22"/>
                <w:szCs w:val="22"/>
              </w:rPr>
            </w:pPr>
            <w:r w:rsidRPr="00555324">
              <w:rPr>
                <w:bCs/>
                <w:color w:val="000000"/>
                <w:sz w:val="22"/>
                <w:szCs w:val="22"/>
              </w:rPr>
              <w:t>2010</w:t>
            </w:r>
          </w:p>
        </w:tc>
        <w:tc>
          <w:tcPr>
            <w:tcW w:w="1589" w:type="dxa"/>
            <w:tcBorders>
              <w:top w:val="nil"/>
              <w:left w:val="nil"/>
              <w:bottom w:val="single" w:sz="4" w:space="0" w:color="auto"/>
              <w:right w:val="single" w:sz="4" w:space="0" w:color="auto"/>
            </w:tcBorders>
            <w:shd w:val="clear" w:color="auto" w:fill="auto"/>
            <w:noWrap/>
            <w:vAlign w:val="bottom"/>
            <w:hideMark/>
          </w:tcPr>
          <w:p w14:paraId="4B96B609" w14:textId="77777777" w:rsidR="00C06287" w:rsidRPr="00555324" w:rsidRDefault="00C06287" w:rsidP="00C06287">
            <w:pPr>
              <w:rPr>
                <w:color w:val="000000"/>
                <w:sz w:val="22"/>
                <w:szCs w:val="22"/>
              </w:rPr>
            </w:pPr>
            <w:r w:rsidRPr="00555324">
              <w:rPr>
                <w:color w:val="000000"/>
                <w:sz w:val="22"/>
                <w:szCs w:val="22"/>
              </w:rPr>
              <w:t>Shore</w:t>
            </w:r>
          </w:p>
        </w:tc>
        <w:tc>
          <w:tcPr>
            <w:tcW w:w="1270" w:type="dxa"/>
            <w:tcBorders>
              <w:top w:val="nil"/>
              <w:left w:val="nil"/>
              <w:bottom w:val="single" w:sz="4" w:space="0" w:color="auto"/>
              <w:right w:val="single" w:sz="4" w:space="0" w:color="auto"/>
            </w:tcBorders>
            <w:shd w:val="clear" w:color="auto" w:fill="auto"/>
            <w:noWrap/>
            <w:vAlign w:val="bottom"/>
            <w:hideMark/>
          </w:tcPr>
          <w:p w14:paraId="6FD2529B" w14:textId="77777777" w:rsidR="00C06287" w:rsidRPr="00555324" w:rsidRDefault="00C06287" w:rsidP="00C06287">
            <w:pPr>
              <w:jc w:val="center"/>
              <w:rPr>
                <w:color w:val="000000"/>
                <w:sz w:val="22"/>
                <w:szCs w:val="22"/>
              </w:rPr>
            </w:pPr>
            <w:r w:rsidRPr="00555324">
              <w:rPr>
                <w:color w:val="000000"/>
                <w:sz w:val="22"/>
                <w:szCs w:val="22"/>
              </w:rPr>
              <w:t>8,754</w:t>
            </w:r>
          </w:p>
        </w:tc>
        <w:tc>
          <w:tcPr>
            <w:tcW w:w="1123" w:type="dxa"/>
            <w:tcBorders>
              <w:top w:val="nil"/>
              <w:left w:val="nil"/>
              <w:bottom w:val="single" w:sz="4" w:space="0" w:color="auto"/>
              <w:right w:val="single" w:sz="4" w:space="0" w:color="auto"/>
            </w:tcBorders>
            <w:shd w:val="clear" w:color="auto" w:fill="auto"/>
            <w:noWrap/>
            <w:vAlign w:val="bottom"/>
            <w:hideMark/>
          </w:tcPr>
          <w:p w14:paraId="72B7EE41" w14:textId="77777777" w:rsidR="00C06287" w:rsidRPr="00555324" w:rsidRDefault="00C06287" w:rsidP="00C06287">
            <w:pPr>
              <w:jc w:val="center"/>
              <w:rPr>
                <w:color w:val="000000"/>
                <w:sz w:val="22"/>
                <w:szCs w:val="22"/>
              </w:rPr>
            </w:pPr>
            <w:r w:rsidRPr="00555324">
              <w:rPr>
                <w:color w:val="000000"/>
                <w:sz w:val="22"/>
                <w:szCs w:val="22"/>
              </w:rPr>
              <w:t>6,607</w:t>
            </w:r>
          </w:p>
        </w:tc>
        <w:tc>
          <w:tcPr>
            <w:tcW w:w="1479" w:type="dxa"/>
            <w:tcBorders>
              <w:top w:val="nil"/>
              <w:left w:val="nil"/>
              <w:bottom w:val="single" w:sz="4" w:space="0" w:color="auto"/>
              <w:right w:val="single" w:sz="4" w:space="0" w:color="auto"/>
            </w:tcBorders>
            <w:shd w:val="clear" w:color="auto" w:fill="auto"/>
            <w:noWrap/>
            <w:vAlign w:val="bottom"/>
            <w:hideMark/>
          </w:tcPr>
          <w:p w14:paraId="153C2DD3" w14:textId="77777777" w:rsidR="00C06287" w:rsidRPr="00555324" w:rsidRDefault="00C06287" w:rsidP="00C06287">
            <w:pPr>
              <w:jc w:val="center"/>
              <w:rPr>
                <w:color w:val="000000"/>
                <w:sz w:val="22"/>
                <w:szCs w:val="22"/>
              </w:rPr>
            </w:pPr>
            <w:r w:rsidRPr="00555324">
              <w:rPr>
                <w:color w:val="000000"/>
                <w:sz w:val="22"/>
                <w:szCs w:val="22"/>
              </w:rPr>
              <w:t>15,361</w:t>
            </w:r>
          </w:p>
        </w:tc>
        <w:tc>
          <w:tcPr>
            <w:tcW w:w="1340" w:type="dxa"/>
            <w:tcBorders>
              <w:top w:val="nil"/>
              <w:left w:val="nil"/>
              <w:bottom w:val="single" w:sz="4" w:space="0" w:color="auto"/>
              <w:right w:val="single" w:sz="4" w:space="0" w:color="auto"/>
            </w:tcBorders>
            <w:shd w:val="clear" w:color="auto" w:fill="auto"/>
            <w:noWrap/>
            <w:vAlign w:val="bottom"/>
            <w:hideMark/>
          </w:tcPr>
          <w:p w14:paraId="40B6B505" w14:textId="77777777" w:rsidR="00C06287" w:rsidRPr="00555324" w:rsidRDefault="00C06287" w:rsidP="00C06287">
            <w:pPr>
              <w:jc w:val="center"/>
              <w:rPr>
                <w:color w:val="000000"/>
                <w:sz w:val="22"/>
                <w:szCs w:val="22"/>
              </w:rPr>
            </w:pPr>
            <w:r w:rsidRPr="00555324">
              <w:rPr>
                <w:color w:val="000000"/>
                <w:sz w:val="22"/>
                <w:szCs w:val="22"/>
              </w:rPr>
              <w:t>10.3%</w:t>
            </w:r>
          </w:p>
        </w:tc>
      </w:tr>
      <w:tr w:rsidR="00C06287" w:rsidRPr="00555324" w14:paraId="2B3F6D25" w14:textId="77777777" w:rsidTr="00555324">
        <w:trPr>
          <w:trHeight w:val="300"/>
        </w:trPr>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3085E05A" w14:textId="77777777" w:rsidR="00C06287" w:rsidRPr="00555324" w:rsidRDefault="00C06287" w:rsidP="00C06287">
            <w:pPr>
              <w:rPr>
                <w:bCs/>
                <w:color w:val="000000"/>
                <w:sz w:val="22"/>
                <w:szCs w:val="22"/>
              </w:rPr>
            </w:pPr>
          </w:p>
        </w:tc>
        <w:tc>
          <w:tcPr>
            <w:tcW w:w="1589" w:type="dxa"/>
            <w:tcBorders>
              <w:top w:val="nil"/>
              <w:left w:val="nil"/>
              <w:bottom w:val="single" w:sz="4" w:space="0" w:color="auto"/>
              <w:right w:val="single" w:sz="4" w:space="0" w:color="auto"/>
            </w:tcBorders>
            <w:shd w:val="clear" w:color="auto" w:fill="auto"/>
            <w:noWrap/>
            <w:vAlign w:val="bottom"/>
            <w:hideMark/>
          </w:tcPr>
          <w:p w14:paraId="1AFCB603" w14:textId="77777777" w:rsidR="00C06287" w:rsidRPr="00555324" w:rsidRDefault="00C06287" w:rsidP="00C06287">
            <w:pPr>
              <w:rPr>
                <w:color w:val="000000"/>
                <w:sz w:val="22"/>
                <w:szCs w:val="22"/>
              </w:rPr>
            </w:pPr>
            <w:r w:rsidRPr="00555324">
              <w:rPr>
                <w:color w:val="000000"/>
                <w:sz w:val="22"/>
                <w:szCs w:val="22"/>
              </w:rPr>
              <w:t>For-Hire</w:t>
            </w:r>
          </w:p>
        </w:tc>
        <w:tc>
          <w:tcPr>
            <w:tcW w:w="1270" w:type="dxa"/>
            <w:tcBorders>
              <w:top w:val="nil"/>
              <w:left w:val="nil"/>
              <w:bottom w:val="single" w:sz="4" w:space="0" w:color="auto"/>
              <w:right w:val="single" w:sz="4" w:space="0" w:color="auto"/>
            </w:tcBorders>
            <w:shd w:val="clear" w:color="auto" w:fill="auto"/>
            <w:noWrap/>
            <w:vAlign w:val="bottom"/>
            <w:hideMark/>
          </w:tcPr>
          <w:p w14:paraId="6BDF5858" w14:textId="77777777" w:rsidR="00C06287" w:rsidRPr="00555324" w:rsidRDefault="00C06287" w:rsidP="00C06287">
            <w:pPr>
              <w:jc w:val="center"/>
              <w:rPr>
                <w:color w:val="000000"/>
                <w:sz w:val="22"/>
                <w:szCs w:val="22"/>
              </w:rPr>
            </w:pPr>
            <w:r w:rsidRPr="00555324">
              <w:rPr>
                <w:color w:val="000000"/>
                <w:sz w:val="22"/>
                <w:szCs w:val="22"/>
              </w:rPr>
              <w:t>12,584</w:t>
            </w:r>
          </w:p>
        </w:tc>
        <w:tc>
          <w:tcPr>
            <w:tcW w:w="1123" w:type="dxa"/>
            <w:tcBorders>
              <w:top w:val="nil"/>
              <w:left w:val="nil"/>
              <w:bottom w:val="single" w:sz="4" w:space="0" w:color="auto"/>
              <w:right w:val="single" w:sz="4" w:space="0" w:color="auto"/>
            </w:tcBorders>
            <w:shd w:val="clear" w:color="auto" w:fill="auto"/>
            <w:noWrap/>
            <w:vAlign w:val="bottom"/>
            <w:hideMark/>
          </w:tcPr>
          <w:p w14:paraId="724D1E34" w14:textId="77777777" w:rsidR="00C06287" w:rsidRPr="00555324" w:rsidRDefault="00C06287" w:rsidP="00C06287">
            <w:pPr>
              <w:jc w:val="center"/>
              <w:rPr>
                <w:color w:val="000000"/>
                <w:sz w:val="22"/>
                <w:szCs w:val="22"/>
              </w:rPr>
            </w:pPr>
            <w:r w:rsidRPr="00555324">
              <w:rPr>
                <w:color w:val="000000"/>
                <w:sz w:val="22"/>
                <w:szCs w:val="22"/>
              </w:rPr>
              <w:t>6,394</w:t>
            </w:r>
          </w:p>
        </w:tc>
        <w:tc>
          <w:tcPr>
            <w:tcW w:w="1479" w:type="dxa"/>
            <w:tcBorders>
              <w:top w:val="nil"/>
              <w:left w:val="nil"/>
              <w:bottom w:val="single" w:sz="4" w:space="0" w:color="auto"/>
              <w:right w:val="single" w:sz="4" w:space="0" w:color="auto"/>
            </w:tcBorders>
            <w:shd w:val="clear" w:color="auto" w:fill="auto"/>
            <w:noWrap/>
            <w:vAlign w:val="bottom"/>
            <w:hideMark/>
          </w:tcPr>
          <w:p w14:paraId="138CA302" w14:textId="77777777" w:rsidR="00C06287" w:rsidRPr="00555324" w:rsidRDefault="00C06287" w:rsidP="00C06287">
            <w:pPr>
              <w:jc w:val="center"/>
              <w:rPr>
                <w:color w:val="000000"/>
                <w:sz w:val="22"/>
                <w:szCs w:val="22"/>
              </w:rPr>
            </w:pPr>
            <w:r w:rsidRPr="00555324">
              <w:rPr>
                <w:color w:val="000000"/>
                <w:sz w:val="22"/>
                <w:szCs w:val="22"/>
              </w:rPr>
              <w:t>18,978</w:t>
            </w:r>
          </w:p>
        </w:tc>
        <w:tc>
          <w:tcPr>
            <w:tcW w:w="1340" w:type="dxa"/>
            <w:tcBorders>
              <w:top w:val="nil"/>
              <w:left w:val="nil"/>
              <w:bottom w:val="single" w:sz="4" w:space="0" w:color="auto"/>
              <w:right w:val="single" w:sz="4" w:space="0" w:color="auto"/>
            </w:tcBorders>
            <w:shd w:val="clear" w:color="auto" w:fill="auto"/>
            <w:noWrap/>
            <w:vAlign w:val="bottom"/>
            <w:hideMark/>
          </w:tcPr>
          <w:p w14:paraId="15564FC8" w14:textId="77777777" w:rsidR="00C06287" w:rsidRPr="00555324" w:rsidRDefault="00C06287" w:rsidP="00C06287">
            <w:pPr>
              <w:jc w:val="center"/>
              <w:rPr>
                <w:color w:val="000000"/>
                <w:sz w:val="22"/>
                <w:szCs w:val="22"/>
              </w:rPr>
            </w:pPr>
            <w:r w:rsidRPr="00555324">
              <w:rPr>
                <w:color w:val="000000"/>
                <w:sz w:val="22"/>
                <w:szCs w:val="22"/>
              </w:rPr>
              <w:t>12.7%</w:t>
            </w:r>
          </w:p>
        </w:tc>
      </w:tr>
      <w:tr w:rsidR="00C06287" w:rsidRPr="00555324" w14:paraId="4BF4A9AF" w14:textId="77777777" w:rsidTr="00555324">
        <w:trPr>
          <w:trHeight w:val="300"/>
        </w:trPr>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3B4AF4D7" w14:textId="77777777" w:rsidR="00C06287" w:rsidRPr="00555324" w:rsidRDefault="00C06287" w:rsidP="00C06287">
            <w:pPr>
              <w:rPr>
                <w:bCs/>
                <w:color w:val="000000"/>
                <w:sz w:val="22"/>
                <w:szCs w:val="22"/>
              </w:rPr>
            </w:pPr>
          </w:p>
        </w:tc>
        <w:tc>
          <w:tcPr>
            <w:tcW w:w="1589" w:type="dxa"/>
            <w:tcBorders>
              <w:top w:val="nil"/>
              <w:left w:val="nil"/>
              <w:bottom w:val="single" w:sz="4" w:space="0" w:color="auto"/>
              <w:right w:val="single" w:sz="4" w:space="0" w:color="auto"/>
            </w:tcBorders>
            <w:shd w:val="clear" w:color="auto" w:fill="auto"/>
            <w:noWrap/>
            <w:vAlign w:val="bottom"/>
            <w:hideMark/>
          </w:tcPr>
          <w:p w14:paraId="459FB220" w14:textId="77777777" w:rsidR="00C06287" w:rsidRPr="00555324" w:rsidRDefault="00C06287" w:rsidP="00C06287">
            <w:pPr>
              <w:rPr>
                <w:color w:val="000000"/>
                <w:sz w:val="22"/>
                <w:szCs w:val="22"/>
              </w:rPr>
            </w:pPr>
            <w:r w:rsidRPr="00555324">
              <w:rPr>
                <w:color w:val="000000"/>
                <w:sz w:val="22"/>
                <w:szCs w:val="22"/>
              </w:rPr>
              <w:t>Private/Rental</w:t>
            </w:r>
          </w:p>
        </w:tc>
        <w:tc>
          <w:tcPr>
            <w:tcW w:w="1270" w:type="dxa"/>
            <w:tcBorders>
              <w:top w:val="nil"/>
              <w:left w:val="nil"/>
              <w:bottom w:val="single" w:sz="4" w:space="0" w:color="auto"/>
              <w:right w:val="single" w:sz="4" w:space="0" w:color="auto"/>
            </w:tcBorders>
            <w:shd w:val="clear" w:color="auto" w:fill="auto"/>
            <w:noWrap/>
            <w:vAlign w:val="bottom"/>
            <w:hideMark/>
          </w:tcPr>
          <w:p w14:paraId="1A813D2F" w14:textId="77777777" w:rsidR="00C06287" w:rsidRPr="00555324" w:rsidRDefault="00C06287" w:rsidP="00C06287">
            <w:pPr>
              <w:jc w:val="center"/>
              <w:rPr>
                <w:color w:val="000000"/>
                <w:sz w:val="22"/>
                <w:szCs w:val="22"/>
              </w:rPr>
            </w:pPr>
            <w:r w:rsidRPr="00555324">
              <w:rPr>
                <w:color w:val="000000"/>
                <w:sz w:val="22"/>
                <w:szCs w:val="22"/>
              </w:rPr>
              <w:t>76,549</w:t>
            </w:r>
          </w:p>
        </w:tc>
        <w:tc>
          <w:tcPr>
            <w:tcW w:w="1123" w:type="dxa"/>
            <w:tcBorders>
              <w:top w:val="nil"/>
              <w:left w:val="nil"/>
              <w:bottom w:val="single" w:sz="4" w:space="0" w:color="auto"/>
              <w:right w:val="single" w:sz="4" w:space="0" w:color="auto"/>
            </w:tcBorders>
            <w:shd w:val="clear" w:color="auto" w:fill="auto"/>
            <w:noWrap/>
            <w:vAlign w:val="bottom"/>
            <w:hideMark/>
          </w:tcPr>
          <w:p w14:paraId="6B14F975" w14:textId="77777777" w:rsidR="00C06287" w:rsidRPr="00555324" w:rsidRDefault="00C06287" w:rsidP="00C06287">
            <w:pPr>
              <w:jc w:val="center"/>
              <w:rPr>
                <w:color w:val="000000"/>
                <w:sz w:val="22"/>
                <w:szCs w:val="22"/>
              </w:rPr>
            </w:pPr>
            <w:r w:rsidRPr="00555324">
              <w:rPr>
                <w:color w:val="000000"/>
                <w:sz w:val="22"/>
                <w:szCs w:val="22"/>
              </w:rPr>
              <w:t>38,191</w:t>
            </w:r>
          </w:p>
        </w:tc>
        <w:tc>
          <w:tcPr>
            <w:tcW w:w="1479" w:type="dxa"/>
            <w:tcBorders>
              <w:top w:val="nil"/>
              <w:left w:val="nil"/>
              <w:bottom w:val="single" w:sz="4" w:space="0" w:color="auto"/>
              <w:right w:val="single" w:sz="4" w:space="0" w:color="auto"/>
            </w:tcBorders>
            <w:shd w:val="clear" w:color="auto" w:fill="auto"/>
            <w:noWrap/>
            <w:vAlign w:val="bottom"/>
            <w:hideMark/>
          </w:tcPr>
          <w:p w14:paraId="1EB2DEFD" w14:textId="77777777" w:rsidR="00C06287" w:rsidRPr="00555324" w:rsidRDefault="00C06287" w:rsidP="00C06287">
            <w:pPr>
              <w:jc w:val="center"/>
              <w:rPr>
                <w:color w:val="000000"/>
                <w:sz w:val="22"/>
                <w:szCs w:val="22"/>
              </w:rPr>
            </w:pPr>
            <w:r w:rsidRPr="00555324">
              <w:rPr>
                <w:color w:val="000000"/>
                <w:sz w:val="22"/>
                <w:szCs w:val="22"/>
              </w:rPr>
              <w:t>114,740</w:t>
            </w:r>
          </w:p>
        </w:tc>
        <w:tc>
          <w:tcPr>
            <w:tcW w:w="1340" w:type="dxa"/>
            <w:tcBorders>
              <w:top w:val="nil"/>
              <w:left w:val="nil"/>
              <w:bottom w:val="single" w:sz="4" w:space="0" w:color="auto"/>
              <w:right w:val="single" w:sz="4" w:space="0" w:color="auto"/>
            </w:tcBorders>
            <w:shd w:val="clear" w:color="auto" w:fill="auto"/>
            <w:noWrap/>
            <w:vAlign w:val="bottom"/>
            <w:hideMark/>
          </w:tcPr>
          <w:p w14:paraId="4F214F86" w14:textId="77777777" w:rsidR="00C06287" w:rsidRPr="00555324" w:rsidRDefault="00C06287" w:rsidP="00C06287">
            <w:pPr>
              <w:jc w:val="center"/>
              <w:rPr>
                <w:color w:val="000000"/>
                <w:sz w:val="22"/>
                <w:szCs w:val="22"/>
              </w:rPr>
            </w:pPr>
            <w:r w:rsidRPr="00555324">
              <w:rPr>
                <w:color w:val="000000"/>
                <w:sz w:val="22"/>
                <w:szCs w:val="22"/>
              </w:rPr>
              <w:t>77.0%</w:t>
            </w:r>
          </w:p>
        </w:tc>
      </w:tr>
      <w:tr w:rsidR="00C06287" w:rsidRPr="00555324" w14:paraId="180618F0" w14:textId="77777777" w:rsidTr="00555324">
        <w:trPr>
          <w:trHeight w:val="315"/>
        </w:trPr>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041E8EE5" w14:textId="77777777" w:rsidR="00C06287" w:rsidRPr="00555324" w:rsidRDefault="00C06287" w:rsidP="00C06287">
            <w:pPr>
              <w:rPr>
                <w:bCs/>
                <w:color w:val="000000"/>
                <w:sz w:val="22"/>
                <w:szCs w:val="22"/>
              </w:rPr>
            </w:pPr>
          </w:p>
        </w:tc>
        <w:tc>
          <w:tcPr>
            <w:tcW w:w="1589" w:type="dxa"/>
            <w:tcBorders>
              <w:top w:val="nil"/>
              <w:left w:val="nil"/>
              <w:bottom w:val="nil"/>
              <w:right w:val="single" w:sz="4" w:space="0" w:color="auto"/>
            </w:tcBorders>
            <w:shd w:val="clear" w:color="auto" w:fill="auto"/>
            <w:noWrap/>
            <w:vAlign w:val="bottom"/>
            <w:hideMark/>
          </w:tcPr>
          <w:p w14:paraId="235CA562" w14:textId="77777777" w:rsidR="00C06287" w:rsidRPr="00555324" w:rsidRDefault="00C06287" w:rsidP="00C06287">
            <w:pPr>
              <w:rPr>
                <w:color w:val="000000"/>
                <w:sz w:val="22"/>
                <w:szCs w:val="22"/>
              </w:rPr>
            </w:pPr>
            <w:r w:rsidRPr="00555324">
              <w:rPr>
                <w:color w:val="000000"/>
                <w:sz w:val="22"/>
                <w:szCs w:val="22"/>
              </w:rPr>
              <w:t>All</w:t>
            </w:r>
          </w:p>
        </w:tc>
        <w:tc>
          <w:tcPr>
            <w:tcW w:w="1270" w:type="dxa"/>
            <w:tcBorders>
              <w:top w:val="nil"/>
              <w:left w:val="nil"/>
              <w:bottom w:val="nil"/>
              <w:right w:val="single" w:sz="4" w:space="0" w:color="auto"/>
            </w:tcBorders>
            <w:shd w:val="clear" w:color="auto" w:fill="auto"/>
            <w:noWrap/>
            <w:vAlign w:val="bottom"/>
            <w:hideMark/>
          </w:tcPr>
          <w:p w14:paraId="3441714D" w14:textId="77777777" w:rsidR="00C06287" w:rsidRPr="00555324" w:rsidRDefault="00C06287" w:rsidP="00C06287">
            <w:pPr>
              <w:jc w:val="center"/>
              <w:rPr>
                <w:color w:val="000000"/>
                <w:sz w:val="22"/>
                <w:szCs w:val="22"/>
              </w:rPr>
            </w:pPr>
            <w:r w:rsidRPr="00555324">
              <w:rPr>
                <w:color w:val="000000"/>
                <w:sz w:val="22"/>
                <w:szCs w:val="22"/>
              </w:rPr>
              <w:t>97,887</w:t>
            </w:r>
          </w:p>
        </w:tc>
        <w:tc>
          <w:tcPr>
            <w:tcW w:w="1123" w:type="dxa"/>
            <w:tcBorders>
              <w:top w:val="nil"/>
              <w:left w:val="nil"/>
              <w:bottom w:val="nil"/>
              <w:right w:val="single" w:sz="4" w:space="0" w:color="auto"/>
            </w:tcBorders>
            <w:shd w:val="clear" w:color="auto" w:fill="auto"/>
            <w:noWrap/>
            <w:vAlign w:val="bottom"/>
            <w:hideMark/>
          </w:tcPr>
          <w:p w14:paraId="4DA46280" w14:textId="77777777" w:rsidR="00C06287" w:rsidRPr="00555324" w:rsidRDefault="00C06287" w:rsidP="00C06287">
            <w:pPr>
              <w:jc w:val="center"/>
              <w:rPr>
                <w:color w:val="000000"/>
                <w:sz w:val="22"/>
                <w:szCs w:val="22"/>
              </w:rPr>
            </w:pPr>
            <w:r w:rsidRPr="00555324">
              <w:rPr>
                <w:color w:val="000000"/>
                <w:sz w:val="22"/>
                <w:szCs w:val="22"/>
              </w:rPr>
              <w:t>51,192</w:t>
            </w:r>
          </w:p>
        </w:tc>
        <w:tc>
          <w:tcPr>
            <w:tcW w:w="1479" w:type="dxa"/>
            <w:tcBorders>
              <w:top w:val="nil"/>
              <w:left w:val="nil"/>
              <w:bottom w:val="nil"/>
              <w:right w:val="single" w:sz="4" w:space="0" w:color="auto"/>
            </w:tcBorders>
            <w:shd w:val="clear" w:color="auto" w:fill="auto"/>
            <w:noWrap/>
            <w:vAlign w:val="bottom"/>
            <w:hideMark/>
          </w:tcPr>
          <w:p w14:paraId="3663A5F0" w14:textId="77777777" w:rsidR="00C06287" w:rsidRPr="00555324" w:rsidRDefault="00C06287" w:rsidP="00C06287">
            <w:pPr>
              <w:jc w:val="center"/>
              <w:rPr>
                <w:color w:val="000000"/>
                <w:sz w:val="22"/>
                <w:szCs w:val="22"/>
              </w:rPr>
            </w:pPr>
            <w:r w:rsidRPr="00555324">
              <w:rPr>
                <w:color w:val="000000"/>
                <w:sz w:val="22"/>
                <w:szCs w:val="22"/>
              </w:rPr>
              <w:t>149,079</w:t>
            </w:r>
          </w:p>
        </w:tc>
        <w:tc>
          <w:tcPr>
            <w:tcW w:w="1340" w:type="dxa"/>
            <w:tcBorders>
              <w:top w:val="nil"/>
              <w:left w:val="nil"/>
              <w:bottom w:val="nil"/>
              <w:right w:val="single" w:sz="4" w:space="0" w:color="auto"/>
            </w:tcBorders>
            <w:shd w:val="clear" w:color="auto" w:fill="auto"/>
            <w:noWrap/>
            <w:vAlign w:val="bottom"/>
            <w:hideMark/>
          </w:tcPr>
          <w:p w14:paraId="27E1AF12" w14:textId="77777777" w:rsidR="00C06287" w:rsidRPr="00555324" w:rsidRDefault="00C06287" w:rsidP="00C06287">
            <w:pPr>
              <w:jc w:val="center"/>
              <w:rPr>
                <w:color w:val="000000"/>
                <w:sz w:val="22"/>
                <w:szCs w:val="22"/>
              </w:rPr>
            </w:pPr>
            <w:r w:rsidRPr="00555324">
              <w:rPr>
                <w:color w:val="000000"/>
                <w:sz w:val="22"/>
                <w:szCs w:val="22"/>
              </w:rPr>
              <w:t>100.0%</w:t>
            </w:r>
          </w:p>
        </w:tc>
      </w:tr>
      <w:tr w:rsidR="00C06287" w:rsidRPr="00555324" w14:paraId="3EF43862" w14:textId="77777777" w:rsidTr="00555324">
        <w:trPr>
          <w:trHeight w:val="300"/>
        </w:trPr>
        <w:tc>
          <w:tcPr>
            <w:tcW w:w="1069" w:type="dxa"/>
            <w:vMerge w:val="restart"/>
            <w:tcBorders>
              <w:top w:val="dotDash" w:sz="8" w:space="0" w:color="auto"/>
              <w:left w:val="single" w:sz="4" w:space="0" w:color="auto"/>
              <w:bottom w:val="dotDash" w:sz="8" w:space="0" w:color="000000"/>
              <w:right w:val="single" w:sz="4" w:space="0" w:color="auto"/>
            </w:tcBorders>
            <w:shd w:val="clear" w:color="auto" w:fill="auto"/>
            <w:noWrap/>
            <w:vAlign w:val="center"/>
            <w:hideMark/>
          </w:tcPr>
          <w:p w14:paraId="3CF76908" w14:textId="77777777" w:rsidR="00C06287" w:rsidRPr="00555324" w:rsidRDefault="00C06287" w:rsidP="00C06287">
            <w:pPr>
              <w:jc w:val="center"/>
              <w:rPr>
                <w:bCs/>
                <w:color w:val="000000"/>
                <w:sz w:val="22"/>
                <w:szCs w:val="22"/>
              </w:rPr>
            </w:pPr>
            <w:r w:rsidRPr="00555324">
              <w:rPr>
                <w:bCs/>
                <w:color w:val="000000"/>
                <w:sz w:val="22"/>
                <w:szCs w:val="22"/>
              </w:rPr>
              <w:t>2011</w:t>
            </w:r>
          </w:p>
        </w:tc>
        <w:tc>
          <w:tcPr>
            <w:tcW w:w="1589" w:type="dxa"/>
            <w:tcBorders>
              <w:top w:val="dotDash" w:sz="8" w:space="0" w:color="auto"/>
              <w:left w:val="nil"/>
              <w:bottom w:val="single" w:sz="4" w:space="0" w:color="auto"/>
              <w:right w:val="single" w:sz="4" w:space="0" w:color="auto"/>
            </w:tcBorders>
            <w:shd w:val="clear" w:color="auto" w:fill="auto"/>
            <w:noWrap/>
            <w:vAlign w:val="bottom"/>
            <w:hideMark/>
          </w:tcPr>
          <w:p w14:paraId="7A853A6F" w14:textId="77777777" w:rsidR="00C06287" w:rsidRPr="00555324" w:rsidRDefault="00C06287" w:rsidP="00C06287">
            <w:pPr>
              <w:rPr>
                <w:color w:val="000000"/>
                <w:sz w:val="22"/>
                <w:szCs w:val="22"/>
              </w:rPr>
            </w:pPr>
            <w:r w:rsidRPr="00555324">
              <w:rPr>
                <w:color w:val="000000"/>
                <w:sz w:val="22"/>
                <w:szCs w:val="22"/>
              </w:rPr>
              <w:t>Shore</w:t>
            </w:r>
          </w:p>
        </w:tc>
        <w:tc>
          <w:tcPr>
            <w:tcW w:w="1270" w:type="dxa"/>
            <w:tcBorders>
              <w:top w:val="dotDash" w:sz="8" w:space="0" w:color="auto"/>
              <w:left w:val="nil"/>
              <w:bottom w:val="single" w:sz="4" w:space="0" w:color="auto"/>
              <w:right w:val="single" w:sz="4" w:space="0" w:color="auto"/>
            </w:tcBorders>
            <w:shd w:val="clear" w:color="auto" w:fill="auto"/>
            <w:noWrap/>
            <w:vAlign w:val="bottom"/>
            <w:hideMark/>
          </w:tcPr>
          <w:p w14:paraId="641FAF0E" w14:textId="77777777" w:rsidR="00C06287" w:rsidRPr="00555324" w:rsidRDefault="00C06287" w:rsidP="00C06287">
            <w:pPr>
              <w:jc w:val="center"/>
              <w:rPr>
                <w:color w:val="000000"/>
                <w:sz w:val="22"/>
                <w:szCs w:val="22"/>
              </w:rPr>
            </w:pPr>
            <w:r w:rsidRPr="00555324">
              <w:rPr>
                <w:color w:val="000000"/>
                <w:sz w:val="22"/>
                <w:szCs w:val="22"/>
              </w:rPr>
              <w:t>3,728</w:t>
            </w:r>
          </w:p>
        </w:tc>
        <w:tc>
          <w:tcPr>
            <w:tcW w:w="1123" w:type="dxa"/>
            <w:tcBorders>
              <w:top w:val="dotDash" w:sz="8" w:space="0" w:color="auto"/>
              <w:left w:val="nil"/>
              <w:bottom w:val="single" w:sz="4" w:space="0" w:color="auto"/>
              <w:right w:val="single" w:sz="4" w:space="0" w:color="auto"/>
            </w:tcBorders>
            <w:shd w:val="clear" w:color="auto" w:fill="auto"/>
            <w:noWrap/>
            <w:vAlign w:val="bottom"/>
            <w:hideMark/>
          </w:tcPr>
          <w:p w14:paraId="2E8B9A4F" w14:textId="77777777" w:rsidR="00C06287" w:rsidRPr="00555324" w:rsidRDefault="00C06287" w:rsidP="00C06287">
            <w:pPr>
              <w:jc w:val="center"/>
              <w:rPr>
                <w:color w:val="000000"/>
                <w:sz w:val="22"/>
                <w:szCs w:val="22"/>
              </w:rPr>
            </w:pPr>
            <w:r w:rsidRPr="00555324">
              <w:rPr>
                <w:color w:val="000000"/>
                <w:sz w:val="22"/>
                <w:szCs w:val="22"/>
              </w:rPr>
              <w:t>964</w:t>
            </w:r>
          </w:p>
        </w:tc>
        <w:tc>
          <w:tcPr>
            <w:tcW w:w="1479" w:type="dxa"/>
            <w:tcBorders>
              <w:top w:val="dotDash" w:sz="8" w:space="0" w:color="auto"/>
              <w:left w:val="nil"/>
              <w:bottom w:val="single" w:sz="4" w:space="0" w:color="auto"/>
              <w:right w:val="single" w:sz="4" w:space="0" w:color="auto"/>
            </w:tcBorders>
            <w:shd w:val="clear" w:color="auto" w:fill="auto"/>
            <w:noWrap/>
            <w:vAlign w:val="bottom"/>
            <w:hideMark/>
          </w:tcPr>
          <w:p w14:paraId="3CAB8398" w14:textId="77777777" w:rsidR="00C06287" w:rsidRPr="00555324" w:rsidRDefault="00C06287" w:rsidP="00C06287">
            <w:pPr>
              <w:jc w:val="center"/>
              <w:rPr>
                <w:color w:val="000000"/>
                <w:sz w:val="22"/>
                <w:szCs w:val="22"/>
              </w:rPr>
            </w:pPr>
            <w:r w:rsidRPr="00555324">
              <w:rPr>
                <w:color w:val="000000"/>
                <w:sz w:val="22"/>
                <w:szCs w:val="22"/>
              </w:rPr>
              <w:t>4,692</w:t>
            </w:r>
          </w:p>
        </w:tc>
        <w:tc>
          <w:tcPr>
            <w:tcW w:w="1340" w:type="dxa"/>
            <w:tcBorders>
              <w:top w:val="dotDash" w:sz="8" w:space="0" w:color="auto"/>
              <w:left w:val="nil"/>
              <w:bottom w:val="single" w:sz="4" w:space="0" w:color="auto"/>
              <w:right w:val="single" w:sz="4" w:space="0" w:color="auto"/>
            </w:tcBorders>
            <w:shd w:val="clear" w:color="auto" w:fill="auto"/>
            <w:noWrap/>
            <w:vAlign w:val="bottom"/>
            <w:hideMark/>
          </w:tcPr>
          <w:p w14:paraId="1AE42F38" w14:textId="77777777" w:rsidR="00C06287" w:rsidRPr="00555324" w:rsidRDefault="00C06287" w:rsidP="00C06287">
            <w:pPr>
              <w:jc w:val="center"/>
              <w:rPr>
                <w:color w:val="000000"/>
                <w:sz w:val="22"/>
                <w:szCs w:val="22"/>
              </w:rPr>
            </w:pPr>
            <w:r w:rsidRPr="00555324">
              <w:rPr>
                <w:color w:val="000000"/>
                <w:sz w:val="22"/>
                <w:szCs w:val="22"/>
              </w:rPr>
              <w:t>8.6%</w:t>
            </w:r>
          </w:p>
        </w:tc>
      </w:tr>
      <w:tr w:rsidR="00C06287" w:rsidRPr="00555324" w14:paraId="7A43C1B6" w14:textId="77777777" w:rsidTr="00555324">
        <w:trPr>
          <w:trHeight w:val="300"/>
        </w:trPr>
        <w:tc>
          <w:tcPr>
            <w:tcW w:w="1069" w:type="dxa"/>
            <w:vMerge/>
            <w:tcBorders>
              <w:top w:val="dotDash" w:sz="8" w:space="0" w:color="auto"/>
              <w:left w:val="single" w:sz="4" w:space="0" w:color="auto"/>
              <w:bottom w:val="dotDash" w:sz="8" w:space="0" w:color="000000"/>
              <w:right w:val="single" w:sz="4" w:space="0" w:color="auto"/>
            </w:tcBorders>
            <w:shd w:val="clear" w:color="auto" w:fill="auto"/>
            <w:vAlign w:val="center"/>
            <w:hideMark/>
          </w:tcPr>
          <w:p w14:paraId="3A23D48E" w14:textId="77777777" w:rsidR="00C06287" w:rsidRPr="00555324" w:rsidRDefault="00C06287" w:rsidP="00C06287">
            <w:pPr>
              <w:rPr>
                <w:bCs/>
                <w:color w:val="000000"/>
                <w:sz w:val="22"/>
                <w:szCs w:val="22"/>
              </w:rPr>
            </w:pPr>
          </w:p>
        </w:tc>
        <w:tc>
          <w:tcPr>
            <w:tcW w:w="1589" w:type="dxa"/>
            <w:tcBorders>
              <w:top w:val="nil"/>
              <w:left w:val="nil"/>
              <w:bottom w:val="single" w:sz="4" w:space="0" w:color="auto"/>
              <w:right w:val="single" w:sz="4" w:space="0" w:color="auto"/>
            </w:tcBorders>
            <w:shd w:val="clear" w:color="auto" w:fill="auto"/>
            <w:noWrap/>
            <w:vAlign w:val="bottom"/>
            <w:hideMark/>
          </w:tcPr>
          <w:p w14:paraId="0B9E13F8" w14:textId="77777777" w:rsidR="00C06287" w:rsidRPr="00555324" w:rsidRDefault="00C06287" w:rsidP="00C06287">
            <w:pPr>
              <w:rPr>
                <w:color w:val="000000"/>
                <w:sz w:val="22"/>
                <w:szCs w:val="22"/>
              </w:rPr>
            </w:pPr>
            <w:r w:rsidRPr="00555324">
              <w:rPr>
                <w:color w:val="000000"/>
                <w:sz w:val="22"/>
                <w:szCs w:val="22"/>
              </w:rPr>
              <w:t>For-Hire</w:t>
            </w:r>
          </w:p>
        </w:tc>
        <w:tc>
          <w:tcPr>
            <w:tcW w:w="1270" w:type="dxa"/>
            <w:tcBorders>
              <w:top w:val="nil"/>
              <w:left w:val="nil"/>
              <w:bottom w:val="single" w:sz="4" w:space="0" w:color="auto"/>
              <w:right w:val="single" w:sz="4" w:space="0" w:color="auto"/>
            </w:tcBorders>
            <w:shd w:val="clear" w:color="auto" w:fill="auto"/>
            <w:noWrap/>
            <w:vAlign w:val="bottom"/>
            <w:hideMark/>
          </w:tcPr>
          <w:p w14:paraId="4A70D667" w14:textId="77777777" w:rsidR="00C06287" w:rsidRPr="00555324" w:rsidRDefault="00C06287" w:rsidP="00C06287">
            <w:pPr>
              <w:jc w:val="center"/>
              <w:rPr>
                <w:color w:val="000000"/>
                <w:sz w:val="22"/>
                <w:szCs w:val="22"/>
              </w:rPr>
            </w:pPr>
            <w:r w:rsidRPr="00555324">
              <w:rPr>
                <w:color w:val="000000"/>
                <w:sz w:val="22"/>
                <w:szCs w:val="22"/>
              </w:rPr>
              <w:t>10,639</w:t>
            </w:r>
          </w:p>
        </w:tc>
        <w:tc>
          <w:tcPr>
            <w:tcW w:w="1123" w:type="dxa"/>
            <w:tcBorders>
              <w:top w:val="nil"/>
              <w:left w:val="nil"/>
              <w:bottom w:val="single" w:sz="4" w:space="0" w:color="auto"/>
              <w:right w:val="single" w:sz="4" w:space="0" w:color="auto"/>
            </w:tcBorders>
            <w:shd w:val="clear" w:color="auto" w:fill="auto"/>
            <w:noWrap/>
            <w:vAlign w:val="bottom"/>
            <w:hideMark/>
          </w:tcPr>
          <w:p w14:paraId="65DE07EE" w14:textId="77777777" w:rsidR="00C06287" w:rsidRPr="00555324" w:rsidRDefault="00C06287" w:rsidP="00C06287">
            <w:pPr>
              <w:jc w:val="center"/>
              <w:rPr>
                <w:color w:val="000000"/>
                <w:sz w:val="22"/>
                <w:szCs w:val="22"/>
              </w:rPr>
            </w:pPr>
            <w:r w:rsidRPr="00555324">
              <w:rPr>
                <w:color w:val="000000"/>
                <w:sz w:val="22"/>
                <w:szCs w:val="22"/>
              </w:rPr>
              <w:t>1,558</w:t>
            </w:r>
          </w:p>
        </w:tc>
        <w:tc>
          <w:tcPr>
            <w:tcW w:w="1479" w:type="dxa"/>
            <w:tcBorders>
              <w:top w:val="nil"/>
              <w:left w:val="nil"/>
              <w:bottom w:val="single" w:sz="4" w:space="0" w:color="auto"/>
              <w:right w:val="single" w:sz="4" w:space="0" w:color="auto"/>
            </w:tcBorders>
            <w:shd w:val="clear" w:color="auto" w:fill="auto"/>
            <w:noWrap/>
            <w:vAlign w:val="bottom"/>
            <w:hideMark/>
          </w:tcPr>
          <w:p w14:paraId="11E31F7D" w14:textId="77777777" w:rsidR="00C06287" w:rsidRPr="00555324" w:rsidRDefault="00C06287" w:rsidP="00C06287">
            <w:pPr>
              <w:jc w:val="center"/>
              <w:rPr>
                <w:color w:val="000000"/>
                <w:sz w:val="22"/>
                <w:szCs w:val="22"/>
              </w:rPr>
            </w:pPr>
            <w:r w:rsidRPr="00555324">
              <w:rPr>
                <w:color w:val="000000"/>
                <w:sz w:val="22"/>
                <w:szCs w:val="22"/>
              </w:rPr>
              <w:t>12,197</w:t>
            </w:r>
          </w:p>
        </w:tc>
        <w:tc>
          <w:tcPr>
            <w:tcW w:w="1340" w:type="dxa"/>
            <w:tcBorders>
              <w:top w:val="nil"/>
              <w:left w:val="nil"/>
              <w:bottom w:val="single" w:sz="4" w:space="0" w:color="auto"/>
              <w:right w:val="single" w:sz="4" w:space="0" w:color="auto"/>
            </w:tcBorders>
            <w:shd w:val="clear" w:color="auto" w:fill="auto"/>
            <w:noWrap/>
            <w:vAlign w:val="bottom"/>
            <w:hideMark/>
          </w:tcPr>
          <w:p w14:paraId="513BB2B6" w14:textId="77777777" w:rsidR="00C06287" w:rsidRPr="00555324" w:rsidRDefault="00C06287" w:rsidP="00C06287">
            <w:pPr>
              <w:jc w:val="center"/>
              <w:rPr>
                <w:color w:val="000000"/>
                <w:sz w:val="22"/>
                <w:szCs w:val="22"/>
              </w:rPr>
            </w:pPr>
            <w:r w:rsidRPr="00555324">
              <w:rPr>
                <w:color w:val="000000"/>
                <w:sz w:val="22"/>
                <w:szCs w:val="22"/>
              </w:rPr>
              <w:t>22.4%</w:t>
            </w:r>
          </w:p>
        </w:tc>
      </w:tr>
      <w:tr w:rsidR="00C06287" w:rsidRPr="00555324" w14:paraId="4A2EAC5E" w14:textId="77777777" w:rsidTr="00555324">
        <w:trPr>
          <w:trHeight w:val="300"/>
        </w:trPr>
        <w:tc>
          <w:tcPr>
            <w:tcW w:w="1069" w:type="dxa"/>
            <w:vMerge/>
            <w:tcBorders>
              <w:top w:val="dotDash" w:sz="8" w:space="0" w:color="auto"/>
              <w:left w:val="single" w:sz="4" w:space="0" w:color="auto"/>
              <w:bottom w:val="dotDash" w:sz="8" w:space="0" w:color="000000"/>
              <w:right w:val="single" w:sz="4" w:space="0" w:color="auto"/>
            </w:tcBorders>
            <w:shd w:val="clear" w:color="auto" w:fill="auto"/>
            <w:vAlign w:val="center"/>
            <w:hideMark/>
          </w:tcPr>
          <w:p w14:paraId="146B5BE8" w14:textId="77777777" w:rsidR="00C06287" w:rsidRPr="00555324" w:rsidRDefault="00C06287" w:rsidP="00C06287">
            <w:pPr>
              <w:rPr>
                <w:bCs/>
                <w:color w:val="000000"/>
                <w:sz w:val="22"/>
                <w:szCs w:val="22"/>
              </w:rPr>
            </w:pPr>
          </w:p>
        </w:tc>
        <w:tc>
          <w:tcPr>
            <w:tcW w:w="1589" w:type="dxa"/>
            <w:tcBorders>
              <w:top w:val="nil"/>
              <w:left w:val="nil"/>
              <w:bottom w:val="single" w:sz="4" w:space="0" w:color="auto"/>
              <w:right w:val="single" w:sz="4" w:space="0" w:color="auto"/>
            </w:tcBorders>
            <w:shd w:val="clear" w:color="auto" w:fill="auto"/>
            <w:noWrap/>
            <w:vAlign w:val="bottom"/>
            <w:hideMark/>
          </w:tcPr>
          <w:p w14:paraId="75B17F43" w14:textId="77777777" w:rsidR="00C06287" w:rsidRPr="00555324" w:rsidRDefault="00C06287" w:rsidP="00C06287">
            <w:pPr>
              <w:rPr>
                <w:color w:val="000000"/>
                <w:sz w:val="22"/>
                <w:szCs w:val="22"/>
              </w:rPr>
            </w:pPr>
            <w:r w:rsidRPr="00555324">
              <w:rPr>
                <w:color w:val="000000"/>
                <w:sz w:val="22"/>
                <w:szCs w:val="22"/>
              </w:rPr>
              <w:t>Private/Rental</w:t>
            </w:r>
          </w:p>
        </w:tc>
        <w:tc>
          <w:tcPr>
            <w:tcW w:w="1270" w:type="dxa"/>
            <w:tcBorders>
              <w:top w:val="nil"/>
              <w:left w:val="nil"/>
              <w:bottom w:val="single" w:sz="4" w:space="0" w:color="auto"/>
              <w:right w:val="single" w:sz="4" w:space="0" w:color="auto"/>
            </w:tcBorders>
            <w:shd w:val="clear" w:color="auto" w:fill="auto"/>
            <w:noWrap/>
            <w:vAlign w:val="bottom"/>
            <w:hideMark/>
          </w:tcPr>
          <w:p w14:paraId="356C1F15" w14:textId="77777777" w:rsidR="00C06287" w:rsidRPr="00555324" w:rsidRDefault="00C06287" w:rsidP="00C06287">
            <w:pPr>
              <w:jc w:val="center"/>
              <w:rPr>
                <w:color w:val="000000"/>
                <w:sz w:val="22"/>
                <w:szCs w:val="22"/>
              </w:rPr>
            </w:pPr>
            <w:r w:rsidRPr="00555324">
              <w:rPr>
                <w:color w:val="000000"/>
                <w:sz w:val="22"/>
                <w:szCs w:val="22"/>
              </w:rPr>
              <w:t>24,189</w:t>
            </w:r>
          </w:p>
        </w:tc>
        <w:tc>
          <w:tcPr>
            <w:tcW w:w="1123" w:type="dxa"/>
            <w:tcBorders>
              <w:top w:val="nil"/>
              <w:left w:val="nil"/>
              <w:bottom w:val="single" w:sz="4" w:space="0" w:color="auto"/>
              <w:right w:val="single" w:sz="4" w:space="0" w:color="auto"/>
            </w:tcBorders>
            <w:shd w:val="clear" w:color="auto" w:fill="auto"/>
            <w:noWrap/>
            <w:vAlign w:val="bottom"/>
            <w:hideMark/>
          </w:tcPr>
          <w:p w14:paraId="0FF13848" w14:textId="77777777" w:rsidR="00C06287" w:rsidRPr="00555324" w:rsidRDefault="00C06287" w:rsidP="00C06287">
            <w:pPr>
              <w:jc w:val="center"/>
              <w:rPr>
                <w:color w:val="000000"/>
                <w:sz w:val="22"/>
                <w:szCs w:val="22"/>
              </w:rPr>
            </w:pPr>
            <w:r w:rsidRPr="00555324">
              <w:rPr>
                <w:color w:val="000000"/>
                <w:sz w:val="22"/>
                <w:szCs w:val="22"/>
              </w:rPr>
              <w:t>13,295</w:t>
            </w:r>
          </w:p>
        </w:tc>
        <w:tc>
          <w:tcPr>
            <w:tcW w:w="1479" w:type="dxa"/>
            <w:tcBorders>
              <w:top w:val="nil"/>
              <w:left w:val="nil"/>
              <w:bottom w:val="single" w:sz="4" w:space="0" w:color="auto"/>
              <w:right w:val="single" w:sz="4" w:space="0" w:color="auto"/>
            </w:tcBorders>
            <w:shd w:val="clear" w:color="auto" w:fill="auto"/>
            <w:noWrap/>
            <w:vAlign w:val="bottom"/>
            <w:hideMark/>
          </w:tcPr>
          <w:p w14:paraId="3408D8DB" w14:textId="77777777" w:rsidR="00C06287" w:rsidRPr="00555324" w:rsidRDefault="00C06287" w:rsidP="00C06287">
            <w:pPr>
              <w:jc w:val="center"/>
              <w:rPr>
                <w:color w:val="000000"/>
                <w:sz w:val="22"/>
                <w:szCs w:val="22"/>
              </w:rPr>
            </w:pPr>
            <w:r w:rsidRPr="00555324">
              <w:rPr>
                <w:color w:val="000000"/>
                <w:sz w:val="22"/>
                <w:szCs w:val="22"/>
              </w:rPr>
              <w:t>37,484</w:t>
            </w:r>
          </w:p>
        </w:tc>
        <w:tc>
          <w:tcPr>
            <w:tcW w:w="1340" w:type="dxa"/>
            <w:tcBorders>
              <w:top w:val="nil"/>
              <w:left w:val="nil"/>
              <w:bottom w:val="single" w:sz="4" w:space="0" w:color="auto"/>
              <w:right w:val="single" w:sz="4" w:space="0" w:color="auto"/>
            </w:tcBorders>
            <w:shd w:val="clear" w:color="auto" w:fill="auto"/>
            <w:noWrap/>
            <w:vAlign w:val="bottom"/>
            <w:hideMark/>
          </w:tcPr>
          <w:p w14:paraId="527413F6" w14:textId="77777777" w:rsidR="00C06287" w:rsidRPr="00555324" w:rsidRDefault="00C06287" w:rsidP="00C06287">
            <w:pPr>
              <w:jc w:val="center"/>
              <w:rPr>
                <w:color w:val="000000"/>
                <w:sz w:val="22"/>
                <w:szCs w:val="22"/>
              </w:rPr>
            </w:pPr>
            <w:r w:rsidRPr="00555324">
              <w:rPr>
                <w:color w:val="000000"/>
                <w:sz w:val="22"/>
                <w:szCs w:val="22"/>
              </w:rPr>
              <w:t>68.9%</w:t>
            </w:r>
          </w:p>
        </w:tc>
      </w:tr>
      <w:tr w:rsidR="00C06287" w:rsidRPr="00555324" w14:paraId="65362C29" w14:textId="77777777" w:rsidTr="00555324">
        <w:trPr>
          <w:trHeight w:val="315"/>
        </w:trPr>
        <w:tc>
          <w:tcPr>
            <w:tcW w:w="1069" w:type="dxa"/>
            <w:vMerge/>
            <w:tcBorders>
              <w:top w:val="dotDash" w:sz="8" w:space="0" w:color="auto"/>
              <w:left w:val="single" w:sz="4" w:space="0" w:color="auto"/>
              <w:bottom w:val="dotDash" w:sz="8" w:space="0" w:color="000000"/>
              <w:right w:val="single" w:sz="4" w:space="0" w:color="auto"/>
            </w:tcBorders>
            <w:shd w:val="clear" w:color="auto" w:fill="auto"/>
            <w:vAlign w:val="center"/>
            <w:hideMark/>
          </w:tcPr>
          <w:p w14:paraId="7B97707B" w14:textId="77777777" w:rsidR="00C06287" w:rsidRPr="00555324" w:rsidRDefault="00C06287" w:rsidP="00C06287">
            <w:pPr>
              <w:rPr>
                <w:bCs/>
                <w:color w:val="000000"/>
                <w:sz w:val="22"/>
                <w:szCs w:val="22"/>
              </w:rPr>
            </w:pPr>
          </w:p>
        </w:tc>
        <w:tc>
          <w:tcPr>
            <w:tcW w:w="1589" w:type="dxa"/>
            <w:tcBorders>
              <w:top w:val="nil"/>
              <w:left w:val="nil"/>
              <w:bottom w:val="dotDash" w:sz="8" w:space="0" w:color="auto"/>
              <w:right w:val="single" w:sz="4" w:space="0" w:color="auto"/>
            </w:tcBorders>
            <w:shd w:val="clear" w:color="auto" w:fill="auto"/>
            <w:noWrap/>
            <w:vAlign w:val="bottom"/>
            <w:hideMark/>
          </w:tcPr>
          <w:p w14:paraId="7BC312D2" w14:textId="77777777" w:rsidR="00C06287" w:rsidRPr="00555324" w:rsidRDefault="00C06287" w:rsidP="00C06287">
            <w:pPr>
              <w:rPr>
                <w:color w:val="000000"/>
                <w:sz w:val="22"/>
                <w:szCs w:val="22"/>
              </w:rPr>
            </w:pPr>
            <w:r w:rsidRPr="00555324">
              <w:rPr>
                <w:color w:val="000000"/>
                <w:sz w:val="22"/>
                <w:szCs w:val="22"/>
              </w:rPr>
              <w:t>All</w:t>
            </w:r>
          </w:p>
        </w:tc>
        <w:tc>
          <w:tcPr>
            <w:tcW w:w="1270" w:type="dxa"/>
            <w:tcBorders>
              <w:top w:val="nil"/>
              <w:left w:val="nil"/>
              <w:bottom w:val="dotDash" w:sz="8" w:space="0" w:color="auto"/>
              <w:right w:val="single" w:sz="4" w:space="0" w:color="auto"/>
            </w:tcBorders>
            <w:shd w:val="clear" w:color="auto" w:fill="auto"/>
            <w:noWrap/>
            <w:vAlign w:val="bottom"/>
            <w:hideMark/>
          </w:tcPr>
          <w:p w14:paraId="05B5F11D" w14:textId="77777777" w:rsidR="00C06287" w:rsidRPr="00555324" w:rsidRDefault="00C06287" w:rsidP="00C06287">
            <w:pPr>
              <w:jc w:val="center"/>
              <w:rPr>
                <w:color w:val="000000"/>
                <w:sz w:val="22"/>
                <w:szCs w:val="22"/>
              </w:rPr>
            </w:pPr>
            <w:r w:rsidRPr="00555324">
              <w:rPr>
                <w:color w:val="000000"/>
                <w:sz w:val="22"/>
                <w:szCs w:val="22"/>
              </w:rPr>
              <w:t>38,556</w:t>
            </w:r>
          </w:p>
        </w:tc>
        <w:tc>
          <w:tcPr>
            <w:tcW w:w="1123" w:type="dxa"/>
            <w:tcBorders>
              <w:top w:val="nil"/>
              <w:left w:val="nil"/>
              <w:bottom w:val="dotDash" w:sz="8" w:space="0" w:color="auto"/>
              <w:right w:val="single" w:sz="4" w:space="0" w:color="auto"/>
            </w:tcBorders>
            <w:shd w:val="clear" w:color="auto" w:fill="auto"/>
            <w:noWrap/>
            <w:vAlign w:val="bottom"/>
            <w:hideMark/>
          </w:tcPr>
          <w:p w14:paraId="2FEF8B86" w14:textId="77777777" w:rsidR="00C06287" w:rsidRPr="00555324" w:rsidRDefault="00C06287" w:rsidP="00C06287">
            <w:pPr>
              <w:jc w:val="center"/>
              <w:rPr>
                <w:color w:val="000000"/>
                <w:sz w:val="22"/>
                <w:szCs w:val="22"/>
              </w:rPr>
            </w:pPr>
            <w:r w:rsidRPr="00555324">
              <w:rPr>
                <w:color w:val="000000"/>
                <w:sz w:val="22"/>
                <w:szCs w:val="22"/>
              </w:rPr>
              <w:t>15,817</w:t>
            </w:r>
          </w:p>
        </w:tc>
        <w:tc>
          <w:tcPr>
            <w:tcW w:w="1479" w:type="dxa"/>
            <w:tcBorders>
              <w:top w:val="nil"/>
              <w:left w:val="nil"/>
              <w:bottom w:val="dotDash" w:sz="8" w:space="0" w:color="auto"/>
              <w:right w:val="single" w:sz="4" w:space="0" w:color="auto"/>
            </w:tcBorders>
            <w:shd w:val="clear" w:color="auto" w:fill="auto"/>
            <w:noWrap/>
            <w:vAlign w:val="bottom"/>
            <w:hideMark/>
          </w:tcPr>
          <w:p w14:paraId="13C8710B" w14:textId="77777777" w:rsidR="00C06287" w:rsidRPr="00555324" w:rsidRDefault="00C06287" w:rsidP="00C06287">
            <w:pPr>
              <w:jc w:val="center"/>
              <w:rPr>
                <w:color w:val="000000"/>
                <w:sz w:val="22"/>
                <w:szCs w:val="22"/>
              </w:rPr>
            </w:pPr>
            <w:r w:rsidRPr="00555324">
              <w:rPr>
                <w:color w:val="000000"/>
                <w:sz w:val="22"/>
                <w:szCs w:val="22"/>
              </w:rPr>
              <w:t>54,373</w:t>
            </w:r>
          </w:p>
        </w:tc>
        <w:tc>
          <w:tcPr>
            <w:tcW w:w="1340" w:type="dxa"/>
            <w:tcBorders>
              <w:top w:val="nil"/>
              <w:left w:val="nil"/>
              <w:bottom w:val="dotDash" w:sz="8" w:space="0" w:color="auto"/>
              <w:right w:val="single" w:sz="4" w:space="0" w:color="auto"/>
            </w:tcBorders>
            <w:shd w:val="clear" w:color="auto" w:fill="auto"/>
            <w:noWrap/>
            <w:vAlign w:val="bottom"/>
            <w:hideMark/>
          </w:tcPr>
          <w:p w14:paraId="0BA572EA" w14:textId="77777777" w:rsidR="00C06287" w:rsidRPr="00555324" w:rsidRDefault="00C06287" w:rsidP="00C06287">
            <w:pPr>
              <w:jc w:val="center"/>
              <w:rPr>
                <w:color w:val="000000"/>
                <w:sz w:val="22"/>
                <w:szCs w:val="22"/>
              </w:rPr>
            </w:pPr>
            <w:r w:rsidRPr="00555324">
              <w:rPr>
                <w:color w:val="000000"/>
                <w:sz w:val="22"/>
                <w:szCs w:val="22"/>
              </w:rPr>
              <w:t>100.0%</w:t>
            </w:r>
          </w:p>
        </w:tc>
      </w:tr>
      <w:tr w:rsidR="00C06287" w:rsidRPr="00555324" w14:paraId="62D730D5" w14:textId="77777777" w:rsidTr="00555324">
        <w:trPr>
          <w:trHeight w:val="300"/>
        </w:trPr>
        <w:tc>
          <w:tcPr>
            <w:tcW w:w="1069" w:type="dxa"/>
            <w:vMerge w:val="restart"/>
            <w:tcBorders>
              <w:top w:val="nil"/>
              <w:left w:val="single" w:sz="4" w:space="0" w:color="auto"/>
              <w:bottom w:val="dotDash" w:sz="8" w:space="0" w:color="000000"/>
              <w:right w:val="single" w:sz="4" w:space="0" w:color="auto"/>
            </w:tcBorders>
            <w:shd w:val="clear" w:color="auto" w:fill="auto"/>
            <w:noWrap/>
            <w:vAlign w:val="center"/>
            <w:hideMark/>
          </w:tcPr>
          <w:p w14:paraId="6A4900BA" w14:textId="77777777" w:rsidR="00C06287" w:rsidRPr="00555324" w:rsidRDefault="00C06287" w:rsidP="00C06287">
            <w:pPr>
              <w:jc w:val="center"/>
              <w:rPr>
                <w:bCs/>
                <w:color w:val="000000"/>
                <w:sz w:val="22"/>
                <w:szCs w:val="22"/>
              </w:rPr>
            </w:pPr>
            <w:r w:rsidRPr="00555324">
              <w:rPr>
                <w:bCs/>
                <w:color w:val="000000"/>
                <w:sz w:val="22"/>
                <w:szCs w:val="22"/>
              </w:rPr>
              <w:t>2012</w:t>
            </w:r>
          </w:p>
        </w:tc>
        <w:tc>
          <w:tcPr>
            <w:tcW w:w="1589" w:type="dxa"/>
            <w:tcBorders>
              <w:top w:val="nil"/>
              <w:left w:val="nil"/>
              <w:bottom w:val="single" w:sz="4" w:space="0" w:color="auto"/>
              <w:right w:val="single" w:sz="4" w:space="0" w:color="auto"/>
            </w:tcBorders>
            <w:shd w:val="clear" w:color="auto" w:fill="auto"/>
            <w:noWrap/>
            <w:vAlign w:val="bottom"/>
            <w:hideMark/>
          </w:tcPr>
          <w:p w14:paraId="0DADC5A0" w14:textId="77777777" w:rsidR="00C06287" w:rsidRPr="00555324" w:rsidRDefault="00C06287" w:rsidP="00C06287">
            <w:pPr>
              <w:rPr>
                <w:color w:val="000000"/>
                <w:sz w:val="22"/>
                <w:szCs w:val="22"/>
              </w:rPr>
            </w:pPr>
            <w:r w:rsidRPr="00555324">
              <w:rPr>
                <w:color w:val="000000"/>
                <w:sz w:val="22"/>
                <w:szCs w:val="22"/>
              </w:rPr>
              <w:t>Shore</w:t>
            </w:r>
          </w:p>
        </w:tc>
        <w:tc>
          <w:tcPr>
            <w:tcW w:w="1270" w:type="dxa"/>
            <w:tcBorders>
              <w:top w:val="nil"/>
              <w:left w:val="nil"/>
              <w:bottom w:val="single" w:sz="4" w:space="0" w:color="auto"/>
              <w:right w:val="single" w:sz="4" w:space="0" w:color="auto"/>
            </w:tcBorders>
            <w:shd w:val="clear" w:color="auto" w:fill="auto"/>
            <w:noWrap/>
            <w:vAlign w:val="bottom"/>
            <w:hideMark/>
          </w:tcPr>
          <w:p w14:paraId="5E834DBC" w14:textId="77777777" w:rsidR="00C06287" w:rsidRPr="00555324" w:rsidRDefault="00C06287" w:rsidP="00C06287">
            <w:pPr>
              <w:jc w:val="center"/>
              <w:rPr>
                <w:color w:val="000000"/>
                <w:sz w:val="22"/>
                <w:szCs w:val="22"/>
              </w:rPr>
            </w:pPr>
            <w:r w:rsidRPr="00555324">
              <w:rPr>
                <w:color w:val="000000"/>
                <w:sz w:val="22"/>
                <w:szCs w:val="22"/>
              </w:rPr>
              <w:t>763</w:t>
            </w:r>
          </w:p>
        </w:tc>
        <w:tc>
          <w:tcPr>
            <w:tcW w:w="1123" w:type="dxa"/>
            <w:tcBorders>
              <w:top w:val="nil"/>
              <w:left w:val="nil"/>
              <w:bottom w:val="single" w:sz="4" w:space="0" w:color="auto"/>
              <w:right w:val="single" w:sz="4" w:space="0" w:color="auto"/>
            </w:tcBorders>
            <w:shd w:val="clear" w:color="auto" w:fill="auto"/>
            <w:noWrap/>
            <w:vAlign w:val="bottom"/>
            <w:hideMark/>
          </w:tcPr>
          <w:p w14:paraId="6E4A117E" w14:textId="77777777" w:rsidR="00C06287" w:rsidRPr="00555324" w:rsidRDefault="00C06287" w:rsidP="00C06287">
            <w:pPr>
              <w:jc w:val="center"/>
              <w:rPr>
                <w:color w:val="000000"/>
                <w:sz w:val="22"/>
                <w:szCs w:val="22"/>
              </w:rPr>
            </w:pPr>
            <w:r w:rsidRPr="00555324">
              <w:rPr>
                <w:color w:val="000000"/>
                <w:sz w:val="22"/>
                <w:szCs w:val="22"/>
              </w:rPr>
              <w:t>63,383</w:t>
            </w:r>
          </w:p>
        </w:tc>
        <w:tc>
          <w:tcPr>
            <w:tcW w:w="1479" w:type="dxa"/>
            <w:tcBorders>
              <w:top w:val="nil"/>
              <w:left w:val="nil"/>
              <w:bottom w:val="single" w:sz="4" w:space="0" w:color="auto"/>
              <w:right w:val="single" w:sz="4" w:space="0" w:color="auto"/>
            </w:tcBorders>
            <w:shd w:val="clear" w:color="auto" w:fill="auto"/>
            <w:noWrap/>
            <w:vAlign w:val="bottom"/>
            <w:hideMark/>
          </w:tcPr>
          <w:p w14:paraId="2A8DF3B4" w14:textId="77777777" w:rsidR="00C06287" w:rsidRPr="00555324" w:rsidRDefault="00C06287" w:rsidP="00C06287">
            <w:pPr>
              <w:jc w:val="center"/>
              <w:rPr>
                <w:color w:val="000000"/>
                <w:sz w:val="22"/>
                <w:szCs w:val="22"/>
              </w:rPr>
            </w:pPr>
            <w:r w:rsidRPr="00555324">
              <w:rPr>
                <w:color w:val="000000"/>
                <w:sz w:val="22"/>
                <w:szCs w:val="22"/>
              </w:rPr>
              <w:t>64,146</w:t>
            </w:r>
          </w:p>
        </w:tc>
        <w:tc>
          <w:tcPr>
            <w:tcW w:w="1340" w:type="dxa"/>
            <w:tcBorders>
              <w:top w:val="nil"/>
              <w:left w:val="nil"/>
              <w:bottom w:val="single" w:sz="4" w:space="0" w:color="auto"/>
              <w:right w:val="single" w:sz="4" w:space="0" w:color="auto"/>
            </w:tcBorders>
            <w:shd w:val="clear" w:color="auto" w:fill="auto"/>
            <w:noWrap/>
            <w:vAlign w:val="bottom"/>
            <w:hideMark/>
          </w:tcPr>
          <w:p w14:paraId="22CB0DA5" w14:textId="77777777" w:rsidR="00C06287" w:rsidRPr="00555324" w:rsidRDefault="00C06287" w:rsidP="00C06287">
            <w:pPr>
              <w:jc w:val="center"/>
              <w:rPr>
                <w:color w:val="000000"/>
                <w:sz w:val="22"/>
                <w:szCs w:val="22"/>
              </w:rPr>
            </w:pPr>
            <w:r w:rsidRPr="00555324">
              <w:rPr>
                <w:color w:val="000000"/>
                <w:sz w:val="22"/>
                <w:szCs w:val="22"/>
              </w:rPr>
              <w:t>46.7%</w:t>
            </w:r>
          </w:p>
        </w:tc>
      </w:tr>
      <w:tr w:rsidR="00C06287" w:rsidRPr="00555324" w14:paraId="74743D7E" w14:textId="77777777" w:rsidTr="00555324">
        <w:trPr>
          <w:trHeight w:val="300"/>
        </w:trPr>
        <w:tc>
          <w:tcPr>
            <w:tcW w:w="1069" w:type="dxa"/>
            <w:vMerge/>
            <w:tcBorders>
              <w:top w:val="nil"/>
              <w:left w:val="single" w:sz="4" w:space="0" w:color="auto"/>
              <w:bottom w:val="dotDash" w:sz="8" w:space="0" w:color="000000"/>
              <w:right w:val="single" w:sz="4" w:space="0" w:color="auto"/>
            </w:tcBorders>
            <w:shd w:val="clear" w:color="auto" w:fill="auto"/>
            <w:vAlign w:val="center"/>
            <w:hideMark/>
          </w:tcPr>
          <w:p w14:paraId="74793690" w14:textId="77777777" w:rsidR="00C06287" w:rsidRPr="00555324" w:rsidRDefault="00C06287" w:rsidP="00C06287">
            <w:pPr>
              <w:rPr>
                <w:bCs/>
                <w:color w:val="000000"/>
                <w:sz w:val="22"/>
                <w:szCs w:val="22"/>
              </w:rPr>
            </w:pPr>
          </w:p>
        </w:tc>
        <w:tc>
          <w:tcPr>
            <w:tcW w:w="1589" w:type="dxa"/>
            <w:tcBorders>
              <w:top w:val="nil"/>
              <w:left w:val="nil"/>
              <w:bottom w:val="single" w:sz="4" w:space="0" w:color="auto"/>
              <w:right w:val="single" w:sz="4" w:space="0" w:color="auto"/>
            </w:tcBorders>
            <w:shd w:val="clear" w:color="auto" w:fill="auto"/>
            <w:noWrap/>
            <w:vAlign w:val="bottom"/>
            <w:hideMark/>
          </w:tcPr>
          <w:p w14:paraId="692F34AF" w14:textId="77777777" w:rsidR="00C06287" w:rsidRPr="00555324" w:rsidRDefault="00C06287" w:rsidP="00C06287">
            <w:pPr>
              <w:rPr>
                <w:color w:val="000000"/>
                <w:sz w:val="22"/>
                <w:szCs w:val="22"/>
              </w:rPr>
            </w:pPr>
            <w:r w:rsidRPr="00555324">
              <w:rPr>
                <w:color w:val="000000"/>
                <w:sz w:val="22"/>
                <w:szCs w:val="22"/>
              </w:rPr>
              <w:t>For-Hire</w:t>
            </w:r>
          </w:p>
        </w:tc>
        <w:tc>
          <w:tcPr>
            <w:tcW w:w="1270" w:type="dxa"/>
            <w:tcBorders>
              <w:top w:val="nil"/>
              <w:left w:val="nil"/>
              <w:bottom w:val="single" w:sz="4" w:space="0" w:color="auto"/>
              <w:right w:val="single" w:sz="4" w:space="0" w:color="auto"/>
            </w:tcBorders>
            <w:shd w:val="clear" w:color="auto" w:fill="auto"/>
            <w:noWrap/>
            <w:vAlign w:val="bottom"/>
            <w:hideMark/>
          </w:tcPr>
          <w:p w14:paraId="53051FE0" w14:textId="77777777" w:rsidR="00C06287" w:rsidRPr="00555324" w:rsidRDefault="00C06287" w:rsidP="00C06287">
            <w:pPr>
              <w:jc w:val="center"/>
              <w:rPr>
                <w:color w:val="000000"/>
                <w:sz w:val="22"/>
                <w:szCs w:val="22"/>
              </w:rPr>
            </w:pPr>
            <w:r w:rsidRPr="00555324">
              <w:rPr>
                <w:color w:val="000000"/>
                <w:sz w:val="22"/>
                <w:szCs w:val="22"/>
              </w:rPr>
              <w:t>7,616</w:t>
            </w:r>
          </w:p>
        </w:tc>
        <w:tc>
          <w:tcPr>
            <w:tcW w:w="1123" w:type="dxa"/>
            <w:tcBorders>
              <w:top w:val="nil"/>
              <w:left w:val="nil"/>
              <w:bottom w:val="nil"/>
              <w:right w:val="nil"/>
            </w:tcBorders>
            <w:shd w:val="clear" w:color="auto" w:fill="auto"/>
            <w:noWrap/>
            <w:vAlign w:val="bottom"/>
            <w:hideMark/>
          </w:tcPr>
          <w:p w14:paraId="06A4A959" w14:textId="77777777" w:rsidR="00C06287" w:rsidRPr="00555324" w:rsidRDefault="00C06287" w:rsidP="00C06287">
            <w:pPr>
              <w:jc w:val="center"/>
              <w:rPr>
                <w:color w:val="000000"/>
                <w:sz w:val="22"/>
                <w:szCs w:val="22"/>
              </w:rPr>
            </w:pPr>
            <w:r w:rsidRPr="00555324">
              <w:rPr>
                <w:color w:val="000000"/>
                <w:sz w:val="22"/>
                <w:szCs w:val="22"/>
              </w:rPr>
              <w:t>1,217</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14:paraId="76016E0E" w14:textId="77777777" w:rsidR="00C06287" w:rsidRPr="00555324" w:rsidRDefault="00C06287" w:rsidP="00C06287">
            <w:pPr>
              <w:jc w:val="center"/>
              <w:rPr>
                <w:color w:val="000000"/>
                <w:sz w:val="22"/>
                <w:szCs w:val="22"/>
              </w:rPr>
            </w:pPr>
            <w:r w:rsidRPr="00555324">
              <w:rPr>
                <w:color w:val="000000"/>
                <w:sz w:val="22"/>
                <w:szCs w:val="22"/>
              </w:rPr>
              <w:t>8,833</w:t>
            </w:r>
          </w:p>
        </w:tc>
        <w:tc>
          <w:tcPr>
            <w:tcW w:w="1340" w:type="dxa"/>
            <w:tcBorders>
              <w:top w:val="nil"/>
              <w:left w:val="nil"/>
              <w:bottom w:val="single" w:sz="4" w:space="0" w:color="auto"/>
              <w:right w:val="single" w:sz="4" w:space="0" w:color="auto"/>
            </w:tcBorders>
            <w:shd w:val="clear" w:color="auto" w:fill="auto"/>
            <w:noWrap/>
            <w:vAlign w:val="bottom"/>
            <w:hideMark/>
          </w:tcPr>
          <w:p w14:paraId="2FE80E2A" w14:textId="77777777" w:rsidR="00C06287" w:rsidRPr="00555324" w:rsidRDefault="00C06287" w:rsidP="00C06287">
            <w:pPr>
              <w:jc w:val="center"/>
              <w:rPr>
                <w:color w:val="000000"/>
                <w:sz w:val="22"/>
                <w:szCs w:val="22"/>
              </w:rPr>
            </w:pPr>
            <w:r w:rsidRPr="00555324">
              <w:rPr>
                <w:color w:val="000000"/>
                <w:sz w:val="22"/>
                <w:szCs w:val="22"/>
              </w:rPr>
              <w:t>6.4%</w:t>
            </w:r>
          </w:p>
        </w:tc>
      </w:tr>
      <w:tr w:rsidR="00C06287" w:rsidRPr="00555324" w14:paraId="4C9640F5" w14:textId="77777777" w:rsidTr="00555324">
        <w:trPr>
          <w:trHeight w:val="300"/>
        </w:trPr>
        <w:tc>
          <w:tcPr>
            <w:tcW w:w="1069" w:type="dxa"/>
            <w:vMerge/>
            <w:tcBorders>
              <w:top w:val="nil"/>
              <w:left w:val="single" w:sz="4" w:space="0" w:color="auto"/>
              <w:bottom w:val="dotDash" w:sz="8" w:space="0" w:color="000000"/>
              <w:right w:val="single" w:sz="4" w:space="0" w:color="auto"/>
            </w:tcBorders>
            <w:shd w:val="clear" w:color="auto" w:fill="auto"/>
            <w:vAlign w:val="center"/>
            <w:hideMark/>
          </w:tcPr>
          <w:p w14:paraId="2A67FB9E" w14:textId="77777777" w:rsidR="00C06287" w:rsidRPr="00555324" w:rsidRDefault="00C06287" w:rsidP="00C06287">
            <w:pPr>
              <w:rPr>
                <w:bCs/>
                <w:color w:val="000000"/>
                <w:sz w:val="22"/>
                <w:szCs w:val="22"/>
              </w:rPr>
            </w:pPr>
          </w:p>
        </w:tc>
        <w:tc>
          <w:tcPr>
            <w:tcW w:w="1589" w:type="dxa"/>
            <w:tcBorders>
              <w:top w:val="nil"/>
              <w:left w:val="nil"/>
              <w:bottom w:val="single" w:sz="4" w:space="0" w:color="auto"/>
              <w:right w:val="single" w:sz="4" w:space="0" w:color="auto"/>
            </w:tcBorders>
            <w:shd w:val="clear" w:color="auto" w:fill="auto"/>
            <w:noWrap/>
            <w:vAlign w:val="bottom"/>
            <w:hideMark/>
          </w:tcPr>
          <w:p w14:paraId="722CA527" w14:textId="77777777" w:rsidR="00C06287" w:rsidRPr="00555324" w:rsidRDefault="00C06287" w:rsidP="00C06287">
            <w:pPr>
              <w:rPr>
                <w:color w:val="000000"/>
                <w:sz w:val="22"/>
                <w:szCs w:val="22"/>
              </w:rPr>
            </w:pPr>
            <w:r w:rsidRPr="00555324">
              <w:rPr>
                <w:color w:val="000000"/>
                <w:sz w:val="22"/>
                <w:szCs w:val="22"/>
              </w:rPr>
              <w:t>Private/Rental</w:t>
            </w:r>
          </w:p>
        </w:tc>
        <w:tc>
          <w:tcPr>
            <w:tcW w:w="1270" w:type="dxa"/>
            <w:tcBorders>
              <w:top w:val="nil"/>
              <w:left w:val="nil"/>
              <w:bottom w:val="single" w:sz="4" w:space="0" w:color="auto"/>
              <w:right w:val="single" w:sz="4" w:space="0" w:color="auto"/>
            </w:tcBorders>
            <w:shd w:val="clear" w:color="auto" w:fill="auto"/>
            <w:noWrap/>
            <w:vAlign w:val="bottom"/>
            <w:hideMark/>
          </w:tcPr>
          <w:p w14:paraId="35C8B152" w14:textId="77777777" w:rsidR="00C06287" w:rsidRPr="00555324" w:rsidRDefault="00C06287" w:rsidP="00C06287">
            <w:pPr>
              <w:jc w:val="center"/>
              <w:rPr>
                <w:color w:val="000000"/>
                <w:sz w:val="22"/>
                <w:szCs w:val="22"/>
              </w:rPr>
            </w:pPr>
            <w:r w:rsidRPr="00555324">
              <w:rPr>
                <w:color w:val="000000"/>
                <w:sz w:val="22"/>
                <w:szCs w:val="22"/>
              </w:rPr>
              <w:t>34,753</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F475CD8" w14:textId="77777777" w:rsidR="00C06287" w:rsidRPr="00555324" w:rsidRDefault="00C06287" w:rsidP="00C06287">
            <w:pPr>
              <w:jc w:val="center"/>
              <w:rPr>
                <w:color w:val="000000"/>
                <w:sz w:val="22"/>
                <w:szCs w:val="22"/>
              </w:rPr>
            </w:pPr>
            <w:r w:rsidRPr="00555324">
              <w:rPr>
                <w:color w:val="000000"/>
                <w:sz w:val="22"/>
                <w:szCs w:val="22"/>
              </w:rPr>
              <w:t>29,628</w:t>
            </w:r>
          </w:p>
        </w:tc>
        <w:tc>
          <w:tcPr>
            <w:tcW w:w="1479" w:type="dxa"/>
            <w:tcBorders>
              <w:top w:val="nil"/>
              <w:left w:val="nil"/>
              <w:bottom w:val="single" w:sz="4" w:space="0" w:color="auto"/>
              <w:right w:val="single" w:sz="4" w:space="0" w:color="auto"/>
            </w:tcBorders>
            <w:shd w:val="clear" w:color="auto" w:fill="auto"/>
            <w:noWrap/>
            <w:vAlign w:val="bottom"/>
            <w:hideMark/>
          </w:tcPr>
          <w:p w14:paraId="1FC1C44E" w14:textId="77777777" w:rsidR="00C06287" w:rsidRPr="00555324" w:rsidRDefault="00C06287" w:rsidP="00C06287">
            <w:pPr>
              <w:jc w:val="center"/>
              <w:rPr>
                <w:color w:val="000000"/>
                <w:sz w:val="22"/>
                <w:szCs w:val="22"/>
              </w:rPr>
            </w:pPr>
            <w:r w:rsidRPr="00555324">
              <w:rPr>
                <w:color w:val="000000"/>
                <w:sz w:val="22"/>
                <w:szCs w:val="22"/>
              </w:rPr>
              <w:t>64,381</w:t>
            </w:r>
          </w:p>
        </w:tc>
        <w:tc>
          <w:tcPr>
            <w:tcW w:w="1340" w:type="dxa"/>
            <w:tcBorders>
              <w:top w:val="nil"/>
              <w:left w:val="nil"/>
              <w:bottom w:val="single" w:sz="4" w:space="0" w:color="auto"/>
              <w:right w:val="single" w:sz="4" w:space="0" w:color="auto"/>
            </w:tcBorders>
            <w:shd w:val="clear" w:color="auto" w:fill="auto"/>
            <w:noWrap/>
            <w:vAlign w:val="bottom"/>
            <w:hideMark/>
          </w:tcPr>
          <w:p w14:paraId="6794A54C" w14:textId="77777777" w:rsidR="00C06287" w:rsidRPr="00555324" w:rsidRDefault="00C06287" w:rsidP="00C06287">
            <w:pPr>
              <w:jc w:val="center"/>
              <w:rPr>
                <w:color w:val="000000"/>
                <w:sz w:val="22"/>
                <w:szCs w:val="22"/>
              </w:rPr>
            </w:pPr>
            <w:r w:rsidRPr="00555324">
              <w:rPr>
                <w:color w:val="000000"/>
                <w:sz w:val="22"/>
                <w:szCs w:val="22"/>
              </w:rPr>
              <w:t>46.9%</w:t>
            </w:r>
          </w:p>
        </w:tc>
      </w:tr>
      <w:tr w:rsidR="00C06287" w:rsidRPr="00555324" w14:paraId="0B3751D9" w14:textId="77777777" w:rsidTr="00555324">
        <w:trPr>
          <w:trHeight w:val="315"/>
        </w:trPr>
        <w:tc>
          <w:tcPr>
            <w:tcW w:w="1069" w:type="dxa"/>
            <w:vMerge/>
            <w:tcBorders>
              <w:top w:val="nil"/>
              <w:left w:val="single" w:sz="4" w:space="0" w:color="auto"/>
              <w:bottom w:val="dotDash" w:sz="8" w:space="0" w:color="000000"/>
              <w:right w:val="single" w:sz="4" w:space="0" w:color="auto"/>
            </w:tcBorders>
            <w:shd w:val="clear" w:color="auto" w:fill="auto"/>
            <w:vAlign w:val="center"/>
            <w:hideMark/>
          </w:tcPr>
          <w:p w14:paraId="3B46C382" w14:textId="77777777" w:rsidR="00C06287" w:rsidRPr="00555324" w:rsidRDefault="00C06287" w:rsidP="00C06287">
            <w:pPr>
              <w:rPr>
                <w:bCs/>
                <w:color w:val="000000"/>
                <w:sz w:val="22"/>
                <w:szCs w:val="22"/>
              </w:rPr>
            </w:pPr>
          </w:p>
        </w:tc>
        <w:tc>
          <w:tcPr>
            <w:tcW w:w="1589" w:type="dxa"/>
            <w:tcBorders>
              <w:top w:val="nil"/>
              <w:left w:val="nil"/>
              <w:bottom w:val="dotDash" w:sz="8" w:space="0" w:color="auto"/>
              <w:right w:val="single" w:sz="4" w:space="0" w:color="auto"/>
            </w:tcBorders>
            <w:shd w:val="clear" w:color="auto" w:fill="auto"/>
            <w:noWrap/>
            <w:vAlign w:val="bottom"/>
            <w:hideMark/>
          </w:tcPr>
          <w:p w14:paraId="24C7172A" w14:textId="77777777" w:rsidR="00C06287" w:rsidRPr="00555324" w:rsidRDefault="00C06287" w:rsidP="00C06287">
            <w:pPr>
              <w:rPr>
                <w:color w:val="000000"/>
                <w:sz w:val="22"/>
                <w:szCs w:val="22"/>
              </w:rPr>
            </w:pPr>
            <w:r w:rsidRPr="00555324">
              <w:rPr>
                <w:color w:val="000000"/>
                <w:sz w:val="22"/>
                <w:szCs w:val="22"/>
              </w:rPr>
              <w:t>All</w:t>
            </w:r>
          </w:p>
        </w:tc>
        <w:tc>
          <w:tcPr>
            <w:tcW w:w="1270" w:type="dxa"/>
            <w:tcBorders>
              <w:top w:val="nil"/>
              <w:left w:val="nil"/>
              <w:bottom w:val="dotDash" w:sz="8" w:space="0" w:color="auto"/>
              <w:right w:val="single" w:sz="4" w:space="0" w:color="auto"/>
            </w:tcBorders>
            <w:shd w:val="clear" w:color="auto" w:fill="auto"/>
            <w:noWrap/>
            <w:vAlign w:val="bottom"/>
            <w:hideMark/>
          </w:tcPr>
          <w:p w14:paraId="04D05DEF" w14:textId="77777777" w:rsidR="00C06287" w:rsidRPr="00555324" w:rsidRDefault="00C06287" w:rsidP="00C06287">
            <w:pPr>
              <w:jc w:val="center"/>
              <w:rPr>
                <w:color w:val="000000"/>
                <w:sz w:val="22"/>
                <w:szCs w:val="22"/>
              </w:rPr>
            </w:pPr>
            <w:r w:rsidRPr="00555324">
              <w:rPr>
                <w:color w:val="000000"/>
                <w:sz w:val="22"/>
                <w:szCs w:val="22"/>
              </w:rPr>
              <w:t>43,132</w:t>
            </w:r>
          </w:p>
        </w:tc>
        <w:tc>
          <w:tcPr>
            <w:tcW w:w="1123" w:type="dxa"/>
            <w:tcBorders>
              <w:top w:val="nil"/>
              <w:left w:val="nil"/>
              <w:bottom w:val="dotDash" w:sz="8" w:space="0" w:color="auto"/>
              <w:right w:val="single" w:sz="4" w:space="0" w:color="auto"/>
            </w:tcBorders>
            <w:shd w:val="clear" w:color="auto" w:fill="auto"/>
            <w:noWrap/>
            <w:vAlign w:val="bottom"/>
            <w:hideMark/>
          </w:tcPr>
          <w:p w14:paraId="48B04BBA" w14:textId="77777777" w:rsidR="00C06287" w:rsidRPr="00555324" w:rsidRDefault="00C06287" w:rsidP="00C06287">
            <w:pPr>
              <w:jc w:val="center"/>
              <w:rPr>
                <w:color w:val="000000"/>
                <w:sz w:val="22"/>
                <w:szCs w:val="22"/>
              </w:rPr>
            </w:pPr>
            <w:r w:rsidRPr="00555324">
              <w:rPr>
                <w:color w:val="000000"/>
                <w:sz w:val="22"/>
                <w:szCs w:val="22"/>
              </w:rPr>
              <w:t>94,228</w:t>
            </w:r>
          </w:p>
        </w:tc>
        <w:tc>
          <w:tcPr>
            <w:tcW w:w="1479" w:type="dxa"/>
            <w:tcBorders>
              <w:top w:val="nil"/>
              <w:left w:val="nil"/>
              <w:bottom w:val="dotDash" w:sz="8" w:space="0" w:color="auto"/>
              <w:right w:val="single" w:sz="4" w:space="0" w:color="auto"/>
            </w:tcBorders>
            <w:shd w:val="clear" w:color="auto" w:fill="auto"/>
            <w:noWrap/>
            <w:vAlign w:val="bottom"/>
            <w:hideMark/>
          </w:tcPr>
          <w:p w14:paraId="2E55F75D" w14:textId="77777777" w:rsidR="00C06287" w:rsidRPr="00555324" w:rsidRDefault="00C06287" w:rsidP="00C06287">
            <w:pPr>
              <w:jc w:val="center"/>
              <w:rPr>
                <w:color w:val="000000"/>
                <w:sz w:val="22"/>
                <w:szCs w:val="22"/>
              </w:rPr>
            </w:pPr>
            <w:r w:rsidRPr="00555324">
              <w:rPr>
                <w:color w:val="000000"/>
                <w:sz w:val="22"/>
                <w:szCs w:val="22"/>
              </w:rPr>
              <w:t>137,360</w:t>
            </w:r>
          </w:p>
        </w:tc>
        <w:tc>
          <w:tcPr>
            <w:tcW w:w="1340" w:type="dxa"/>
            <w:tcBorders>
              <w:top w:val="nil"/>
              <w:left w:val="nil"/>
              <w:bottom w:val="dotDash" w:sz="8" w:space="0" w:color="auto"/>
              <w:right w:val="single" w:sz="4" w:space="0" w:color="auto"/>
            </w:tcBorders>
            <w:shd w:val="clear" w:color="auto" w:fill="auto"/>
            <w:noWrap/>
            <w:vAlign w:val="bottom"/>
            <w:hideMark/>
          </w:tcPr>
          <w:p w14:paraId="32FF67A1" w14:textId="77777777" w:rsidR="00C06287" w:rsidRPr="00555324" w:rsidRDefault="00C06287" w:rsidP="00C06287">
            <w:pPr>
              <w:jc w:val="center"/>
              <w:rPr>
                <w:color w:val="000000"/>
                <w:sz w:val="22"/>
                <w:szCs w:val="22"/>
              </w:rPr>
            </w:pPr>
            <w:r w:rsidRPr="00555324">
              <w:rPr>
                <w:color w:val="000000"/>
                <w:sz w:val="22"/>
                <w:szCs w:val="22"/>
              </w:rPr>
              <w:t>100.0%</w:t>
            </w:r>
          </w:p>
        </w:tc>
      </w:tr>
      <w:tr w:rsidR="00C06287" w:rsidRPr="00555324" w14:paraId="2E1B332F" w14:textId="77777777" w:rsidTr="00555324">
        <w:trPr>
          <w:trHeight w:val="300"/>
        </w:trPr>
        <w:tc>
          <w:tcPr>
            <w:tcW w:w="1069" w:type="dxa"/>
            <w:vMerge w:val="restart"/>
            <w:tcBorders>
              <w:top w:val="nil"/>
              <w:left w:val="single" w:sz="4" w:space="0" w:color="auto"/>
              <w:bottom w:val="dotDash" w:sz="8" w:space="0" w:color="000000"/>
              <w:right w:val="single" w:sz="4" w:space="0" w:color="auto"/>
            </w:tcBorders>
            <w:shd w:val="clear" w:color="auto" w:fill="auto"/>
            <w:noWrap/>
            <w:vAlign w:val="center"/>
            <w:hideMark/>
          </w:tcPr>
          <w:p w14:paraId="644BBACF" w14:textId="77777777" w:rsidR="00C06287" w:rsidRPr="00555324" w:rsidRDefault="00C06287" w:rsidP="00C06287">
            <w:pPr>
              <w:jc w:val="center"/>
              <w:rPr>
                <w:bCs/>
                <w:color w:val="000000"/>
                <w:sz w:val="22"/>
                <w:szCs w:val="22"/>
              </w:rPr>
            </w:pPr>
            <w:r w:rsidRPr="00555324">
              <w:rPr>
                <w:bCs/>
                <w:color w:val="000000"/>
                <w:sz w:val="22"/>
                <w:szCs w:val="22"/>
              </w:rPr>
              <w:t>2013</w:t>
            </w:r>
          </w:p>
        </w:tc>
        <w:tc>
          <w:tcPr>
            <w:tcW w:w="1589" w:type="dxa"/>
            <w:tcBorders>
              <w:top w:val="nil"/>
              <w:left w:val="nil"/>
              <w:bottom w:val="single" w:sz="4" w:space="0" w:color="auto"/>
              <w:right w:val="single" w:sz="4" w:space="0" w:color="auto"/>
            </w:tcBorders>
            <w:shd w:val="clear" w:color="auto" w:fill="auto"/>
            <w:noWrap/>
            <w:vAlign w:val="bottom"/>
            <w:hideMark/>
          </w:tcPr>
          <w:p w14:paraId="484A9441" w14:textId="77777777" w:rsidR="00C06287" w:rsidRPr="00555324" w:rsidRDefault="00C06287" w:rsidP="00C06287">
            <w:pPr>
              <w:rPr>
                <w:color w:val="000000"/>
                <w:sz w:val="22"/>
                <w:szCs w:val="22"/>
              </w:rPr>
            </w:pPr>
            <w:r w:rsidRPr="00555324">
              <w:rPr>
                <w:color w:val="000000"/>
                <w:sz w:val="22"/>
                <w:szCs w:val="22"/>
              </w:rPr>
              <w:t>Shore</w:t>
            </w:r>
          </w:p>
        </w:tc>
        <w:tc>
          <w:tcPr>
            <w:tcW w:w="1270" w:type="dxa"/>
            <w:tcBorders>
              <w:top w:val="nil"/>
              <w:left w:val="nil"/>
              <w:bottom w:val="single" w:sz="4" w:space="0" w:color="auto"/>
              <w:right w:val="single" w:sz="4" w:space="0" w:color="auto"/>
            </w:tcBorders>
            <w:shd w:val="clear" w:color="auto" w:fill="auto"/>
            <w:noWrap/>
            <w:vAlign w:val="bottom"/>
            <w:hideMark/>
          </w:tcPr>
          <w:p w14:paraId="70266185" w14:textId="77777777" w:rsidR="00C06287" w:rsidRPr="00555324" w:rsidRDefault="00C06287" w:rsidP="00C06287">
            <w:pPr>
              <w:jc w:val="center"/>
              <w:rPr>
                <w:color w:val="000000"/>
                <w:sz w:val="22"/>
                <w:szCs w:val="22"/>
              </w:rPr>
            </w:pPr>
            <w:r w:rsidRPr="00555324">
              <w:rPr>
                <w:color w:val="000000"/>
                <w:sz w:val="22"/>
                <w:szCs w:val="22"/>
              </w:rPr>
              <w:t>3,564</w:t>
            </w:r>
          </w:p>
        </w:tc>
        <w:tc>
          <w:tcPr>
            <w:tcW w:w="1123" w:type="dxa"/>
            <w:tcBorders>
              <w:top w:val="nil"/>
              <w:left w:val="nil"/>
              <w:bottom w:val="single" w:sz="4" w:space="0" w:color="auto"/>
              <w:right w:val="single" w:sz="4" w:space="0" w:color="auto"/>
            </w:tcBorders>
            <w:shd w:val="clear" w:color="auto" w:fill="auto"/>
            <w:noWrap/>
            <w:vAlign w:val="bottom"/>
            <w:hideMark/>
          </w:tcPr>
          <w:p w14:paraId="0B781857" w14:textId="77777777" w:rsidR="00C06287" w:rsidRPr="00555324" w:rsidRDefault="00C06287" w:rsidP="00C06287">
            <w:pPr>
              <w:jc w:val="center"/>
              <w:rPr>
                <w:color w:val="000000"/>
                <w:sz w:val="22"/>
                <w:szCs w:val="22"/>
              </w:rPr>
            </w:pPr>
            <w:r w:rsidRPr="00555324">
              <w:rPr>
                <w:color w:val="000000"/>
                <w:sz w:val="22"/>
                <w:szCs w:val="22"/>
              </w:rPr>
              <w:t>20,002</w:t>
            </w:r>
          </w:p>
        </w:tc>
        <w:tc>
          <w:tcPr>
            <w:tcW w:w="1479" w:type="dxa"/>
            <w:tcBorders>
              <w:top w:val="nil"/>
              <w:left w:val="nil"/>
              <w:bottom w:val="single" w:sz="4" w:space="0" w:color="auto"/>
              <w:right w:val="single" w:sz="4" w:space="0" w:color="auto"/>
            </w:tcBorders>
            <w:shd w:val="clear" w:color="auto" w:fill="auto"/>
            <w:noWrap/>
            <w:vAlign w:val="bottom"/>
            <w:hideMark/>
          </w:tcPr>
          <w:p w14:paraId="194A802C" w14:textId="77777777" w:rsidR="00C06287" w:rsidRPr="00555324" w:rsidRDefault="00C06287" w:rsidP="00C06287">
            <w:pPr>
              <w:jc w:val="center"/>
              <w:rPr>
                <w:color w:val="000000"/>
                <w:sz w:val="22"/>
                <w:szCs w:val="22"/>
              </w:rPr>
            </w:pPr>
            <w:r w:rsidRPr="00555324">
              <w:rPr>
                <w:color w:val="000000"/>
                <w:sz w:val="22"/>
                <w:szCs w:val="22"/>
              </w:rPr>
              <w:t>23,566</w:t>
            </w:r>
          </w:p>
        </w:tc>
        <w:tc>
          <w:tcPr>
            <w:tcW w:w="1340" w:type="dxa"/>
            <w:tcBorders>
              <w:top w:val="nil"/>
              <w:left w:val="nil"/>
              <w:bottom w:val="single" w:sz="4" w:space="0" w:color="auto"/>
              <w:right w:val="single" w:sz="4" w:space="0" w:color="auto"/>
            </w:tcBorders>
            <w:shd w:val="clear" w:color="auto" w:fill="auto"/>
            <w:noWrap/>
            <w:vAlign w:val="bottom"/>
            <w:hideMark/>
          </w:tcPr>
          <w:p w14:paraId="5A23E529" w14:textId="77777777" w:rsidR="00C06287" w:rsidRPr="00555324" w:rsidRDefault="00C06287" w:rsidP="00C06287">
            <w:pPr>
              <w:jc w:val="center"/>
              <w:rPr>
                <w:color w:val="000000"/>
                <w:sz w:val="22"/>
                <w:szCs w:val="22"/>
              </w:rPr>
            </w:pPr>
            <w:r w:rsidRPr="00555324">
              <w:rPr>
                <w:color w:val="000000"/>
                <w:sz w:val="22"/>
                <w:szCs w:val="22"/>
              </w:rPr>
              <w:t>12.7%</w:t>
            </w:r>
          </w:p>
        </w:tc>
      </w:tr>
      <w:tr w:rsidR="00C06287" w:rsidRPr="00555324" w14:paraId="7CB72E49" w14:textId="77777777" w:rsidTr="00555324">
        <w:trPr>
          <w:trHeight w:val="300"/>
        </w:trPr>
        <w:tc>
          <w:tcPr>
            <w:tcW w:w="1069" w:type="dxa"/>
            <w:vMerge/>
            <w:tcBorders>
              <w:top w:val="nil"/>
              <w:left w:val="single" w:sz="4" w:space="0" w:color="auto"/>
              <w:bottom w:val="dotDash" w:sz="8" w:space="0" w:color="000000"/>
              <w:right w:val="single" w:sz="4" w:space="0" w:color="auto"/>
            </w:tcBorders>
            <w:shd w:val="clear" w:color="auto" w:fill="auto"/>
            <w:vAlign w:val="center"/>
            <w:hideMark/>
          </w:tcPr>
          <w:p w14:paraId="64874B05" w14:textId="77777777" w:rsidR="00C06287" w:rsidRPr="00555324" w:rsidRDefault="00C06287" w:rsidP="00C06287">
            <w:pPr>
              <w:rPr>
                <w:bCs/>
                <w:color w:val="000000"/>
                <w:sz w:val="22"/>
                <w:szCs w:val="22"/>
              </w:rPr>
            </w:pPr>
          </w:p>
        </w:tc>
        <w:tc>
          <w:tcPr>
            <w:tcW w:w="1589" w:type="dxa"/>
            <w:tcBorders>
              <w:top w:val="nil"/>
              <w:left w:val="nil"/>
              <w:bottom w:val="single" w:sz="4" w:space="0" w:color="auto"/>
              <w:right w:val="single" w:sz="4" w:space="0" w:color="auto"/>
            </w:tcBorders>
            <w:shd w:val="clear" w:color="auto" w:fill="auto"/>
            <w:noWrap/>
            <w:vAlign w:val="bottom"/>
            <w:hideMark/>
          </w:tcPr>
          <w:p w14:paraId="3555DA74" w14:textId="77777777" w:rsidR="00C06287" w:rsidRPr="00555324" w:rsidRDefault="00C06287" w:rsidP="00C06287">
            <w:pPr>
              <w:rPr>
                <w:color w:val="000000"/>
                <w:sz w:val="22"/>
                <w:szCs w:val="22"/>
              </w:rPr>
            </w:pPr>
            <w:r w:rsidRPr="00555324">
              <w:rPr>
                <w:color w:val="000000"/>
                <w:sz w:val="22"/>
                <w:szCs w:val="22"/>
              </w:rPr>
              <w:t>For-Hire</w:t>
            </w:r>
          </w:p>
        </w:tc>
        <w:tc>
          <w:tcPr>
            <w:tcW w:w="1270" w:type="dxa"/>
            <w:tcBorders>
              <w:top w:val="nil"/>
              <w:left w:val="nil"/>
              <w:bottom w:val="single" w:sz="4" w:space="0" w:color="auto"/>
              <w:right w:val="single" w:sz="4" w:space="0" w:color="auto"/>
            </w:tcBorders>
            <w:shd w:val="clear" w:color="auto" w:fill="auto"/>
            <w:noWrap/>
            <w:vAlign w:val="bottom"/>
            <w:hideMark/>
          </w:tcPr>
          <w:p w14:paraId="39AA739A" w14:textId="77777777" w:rsidR="00C06287" w:rsidRPr="00555324" w:rsidRDefault="00C06287" w:rsidP="00C06287">
            <w:pPr>
              <w:jc w:val="center"/>
              <w:rPr>
                <w:color w:val="000000"/>
                <w:sz w:val="22"/>
                <w:szCs w:val="22"/>
              </w:rPr>
            </w:pPr>
            <w:r w:rsidRPr="00555324">
              <w:rPr>
                <w:color w:val="000000"/>
                <w:sz w:val="22"/>
                <w:szCs w:val="22"/>
              </w:rPr>
              <w:t>8,081</w:t>
            </w:r>
          </w:p>
        </w:tc>
        <w:tc>
          <w:tcPr>
            <w:tcW w:w="1123" w:type="dxa"/>
            <w:tcBorders>
              <w:top w:val="nil"/>
              <w:left w:val="nil"/>
              <w:bottom w:val="single" w:sz="4" w:space="0" w:color="auto"/>
              <w:right w:val="single" w:sz="4" w:space="0" w:color="auto"/>
            </w:tcBorders>
            <w:shd w:val="clear" w:color="auto" w:fill="auto"/>
            <w:noWrap/>
            <w:vAlign w:val="bottom"/>
            <w:hideMark/>
          </w:tcPr>
          <w:p w14:paraId="5B219E28" w14:textId="77777777" w:rsidR="00C06287" w:rsidRPr="00555324" w:rsidRDefault="00C06287" w:rsidP="00C06287">
            <w:pPr>
              <w:jc w:val="center"/>
              <w:rPr>
                <w:color w:val="000000"/>
                <w:sz w:val="22"/>
                <w:szCs w:val="22"/>
              </w:rPr>
            </w:pPr>
            <w:r w:rsidRPr="00555324">
              <w:rPr>
                <w:color w:val="000000"/>
                <w:sz w:val="22"/>
                <w:szCs w:val="22"/>
              </w:rPr>
              <w:t>7,547</w:t>
            </w:r>
          </w:p>
        </w:tc>
        <w:tc>
          <w:tcPr>
            <w:tcW w:w="1479" w:type="dxa"/>
            <w:tcBorders>
              <w:top w:val="nil"/>
              <w:left w:val="nil"/>
              <w:bottom w:val="single" w:sz="4" w:space="0" w:color="auto"/>
              <w:right w:val="single" w:sz="4" w:space="0" w:color="auto"/>
            </w:tcBorders>
            <w:shd w:val="clear" w:color="auto" w:fill="auto"/>
            <w:noWrap/>
            <w:vAlign w:val="bottom"/>
            <w:hideMark/>
          </w:tcPr>
          <w:p w14:paraId="33BD3BC0" w14:textId="77777777" w:rsidR="00C06287" w:rsidRPr="00555324" w:rsidRDefault="00C06287" w:rsidP="00C06287">
            <w:pPr>
              <w:jc w:val="center"/>
              <w:rPr>
                <w:color w:val="000000"/>
                <w:sz w:val="22"/>
                <w:szCs w:val="22"/>
              </w:rPr>
            </w:pPr>
            <w:r w:rsidRPr="00555324">
              <w:rPr>
                <w:color w:val="000000"/>
                <w:sz w:val="22"/>
                <w:szCs w:val="22"/>
              </w:rPr>
              <w:t>15,628</w:t>
            </w:r>
          </w:p>
        </w:tc>
        <w:tc>
          <w:tcPr>
            <w:tcW w:w="1340" w:type="dxa"/>
            <w:tcBorders>
              <w:top w:val="nil"/>
              <w:left w:val="nil"/>
              <w:bottom w:val="single" w:sz="4" w:space="0" w:color="auto"/>
              <w:right w:val="single" w:sz="4" w:space="0" w:color="auto"/>
            </w:tcBorders>
            <w:shd w:val="clear" w:color="auto" w:fill="auto"/>
            <w:noWrap/>
            <w:vAlign w:val="bottom"/>
            <w:hideMark/>
          </w:tcPr>
          <w:p w14:paraId="7DA9F8B5" w14:textId="77777777" w:rsidR="00C06287" w:rsidRPr="00555324" w:rsidRDefault="00C06287" w:rsidP="00C06287">
            <w:pPr>
              <w:jc w:val="center"/>
              <w:rPr>
                <w:color w:val="000000"/>
                <w:sz w:val="22"/>
                <w:szCs w:val="22"/>
              </w:rPr>
            </w:pPr>
            <w:r w:rsidRPr="00555324">
              <w:rPr>
                <w:color w:val="000000"/>
                <w:sz w:val="22"/>
                <w:szCs w:val="22"/>
              </w:rPr>
              <w:t>8.4%</w:t>
            </w:r>
          </w:p>
        </w:tc>
      </w:tr>
      <w:tr w:rsidR="00C06287" w:rsidRPr="00555324" w14:paraId="48FEA00B" w14:textId="77777777" w:rsidTr="00555324">
        <w:trPr>
          <w:trHeight w:val="300"/>
        </w:trPr>
        <w:tc>
          <w:tcPr>
            <w:tcW w:w="1069" w:type="dxa"/>
            <w:vMerge/>
            <w:tcBorders>
              <w:top w:val="nil"/>
              <w:left w:val="single" w:sz="4" w:space="0" w:color="auto"/>
              <w:bottom w:val="dotDash" w:sz="8" w:space="0" w:color="000000"/>
              <w:right w:val="single" w:sz="4" w:space="0" w:color="auto"/>
            </w:tcBorders>
            <w:shd w:val="clear" w:color="auto" w:fill="auto"/>
            <w:vAlign w:val="center"/>
            <w:hideMark/>
          </w:tcPr>
          <w:p w14:paraId="1A77B483" w14:textId="77777777" w:rsidR="00C06287" w:rsidRPr="00555324" w:rsidRDefault="00C06287" w:rsidP="00C06287">
            <w:pPr>
              <w:rPr>
                <w:bCs/>
                <w:color w:val="000000"/>
                <w:sz w:val="22"/>
                <w:szCs w:val="22"/>
              </w:rPr>
            </w:pPr>
          </w:p>
        </w:tc>
        <w:tc>
          <w:tcPr>
            <w:tcW w:w="1589" w:type="dxa"/>
            <w:tcBorders>
              <w:top w:val="nil"/>
              <w:left w:val="nil"/>
              <w:bottom w:val="single" w:sz="4" w:space="0" w:color="auto"/>
              <w:right w:val="single" w:sz="4" w:space="0" w:color="auto"/>
            </w:tcBorders>
            <w:shd w:val="clear" w:color="auto" w:fill="auto"/>
            <w:noWrap/>
            <w:vAlign w:val="bottom"/>
            <w:hideMark/>
          </w:tcPr>
          <w:p w14:paraId="7D54C128" w14:textId="77777777" w:rsidR="00C06287" w:rsidRPr="00555324" w:rsidRDefault="00C06287" w:rsidP="00C06287">
            <w:pPr>
              <w:rPr>
                <w:color w:val="000000"/>
                <w:sz w:val="22"/>
                <w:szCs w:val="22"/>
              </w:rPr>
            </w:pPr>
            <w:r w:rsidRPr="00555324">
              <w:rPr>
                <w:color w:val="000000"/>
                <w:sz w:val="22"/>
                <w:szCs w:val="22"/>
              </w:rPr>
              <w:t>Private/Rental</w:t>
            </w:r>
          </w:p>
        </w:tc>
        <w:tc>
          <w:tcPr>
            <w:tcW w:w="1270" w:type="dxa"/>
            <w:tcBorders>
              <w:top w:val="nil"/>
              <w:left w:val="nil"/>
              <w:bottom w:val="single" w:sz="4" w:space="0" w:color="auto"/>
              <w:right w:val="single" w:sz="4" w:space="0" w:color="auto"/>
            </w:tcBorders>
            <w:shd w:val="clear" w:color="auto" w:fill="auto"/>
            <w:noWrap/>
            <w:vAlign w:val="bottom"/>
            <w:hideMark/>
          </w:tcPr>
          <w:p w14:paraId="378304E2" w14:textId="77777777" w:rsidR="00C06287" w:rsidRPr="00555324" w:rsidRDefault="00C06287" w:rsidP="00C06287">
            <w:pPr>
              <w:jc w:val="center"/>
              <w:rPr>
                <w:color w:val="000000"/>
                <w:sz w:val="22"/>
                <w:szCs w:val="22"/>
              </w:rPr>
            </w:pPr>
            <w:r w:rsidRPr="00555324">
              <w:rPr>
                <w:color w:val="000000"/>
                <w:sz w:val="22"/>
                <w:szCs w:val="22"/>
              </w:rPr>
              <w:t>52,672</w:t>
            </w:r>
          </w:p>
        </w:tc>
        <w:tc>
          <w:tcPr>
            <w:tcW w:w="1123" w:type="dxa"/>
            <w:tcBorders>
              <w:top w:val="nil"/>
              <w:left w:val="nil"/>
              <w:bottom w:val="single" w:sz="4" w:space="0" w:color="auto"/>
              <w:right w:val="single" w:sz="4" w:space="0" w:color="auto"/>
            </w:tcBorders>
            <w:shd w:val="clear" w:color="auto" w:fill="auto"/>
            <w:noWrap/>
            <w:vAlign w:val="bottom"/>
            <w:hideMark/>
          </w:tcPr>
          <w:p w14:paraId="385F1490" w14:textId="77777777" w:rsidR="00C06287" w:rsidRPr="00555324" w:rsidRDefault="00C06287" w:rsidP="00C06287">
            <w:pPr>
              <w:jc w:val="center"/>
              <w:rPr>
                <w:color w:val="000000"/>
                <w:sz w:val="22"/>
                <w:szCs w:val="22"/>
              </w:rPr>
            </w:pPr>
            <w:r w:rsidRPr="00555324">
              <w:rPr>
                <w:color w:val="000000"/>
                <w:sz w:val="22"/>
                <w:szCs w:val="22"/>
              </w:rPr>
              <w:t>93,276</w:t>
            </w:r>
          </w:p>
        </w:tc>
        <w:tc>
          <w:tcPr>
            <w:tcW w:w="1479" w:type="dxa"/>
            <w:tcBorders>
              <w:top w:val="nil"/>
              <w:left w:val="nil"/>
              <w:bottom w:val="single" w:sz="4" w:space="0" w:color="auto"/>
              <w:right w:val="single" w:sz="4" w:space="0" w:color="auto"/>
            </w:tcBorders>
            <w:shd w:val="clear" w:color="auto" w:fill="auto"/>
            <w:noWrap/>
            <w:vAlign w:val="bottom"/>
            <w:hideMark/>
          </w:tcPr>
          <w:p w14:paraId="32A4B693" w14:textId="77777777" w:rsidR="00C06287" w:rsidRPr="00555324" w:rsidRDefault="00C06287" w:rsidP="00C06287">
            <w:pPr>
              <w:jc w:val="center"/>
              <w:rPr>
                <w:color w:val="000000"/>
                <w:sz w:val="22"/>
                <w:szCs w:val="22"/>
              </w:rPr>
            </w:pPr>
            <w:r w:rsidRPr="00555324">
              <w:rPr>
                <w:color w:val="000000"/>
                <w:sz w:val="22"/>
                <w:szCs w:val="22"/>
              </w:rPr>
              <w:t>145,948</w:t>
            </w:r>
          </w:p>
        </w:tc>
        <w:tc>
          <w:tcPr>
            <w:tcW w:w="1340" w:type="dxa"/>
            <w:tcBorders>
              <w:top w:val="nil"/>
              <w:left w:val="nil"/>
              <w:bottom w:val="single" w:sz="4" w:space="0" w:color="auto"/>
              <w:right w:val="single" w:sz="4" w:space="0" w:color="auto"/>
            </w:tcBorders>
            <w:shd w:val="clear" w:color="auto" w:fill="auto"/>
            <w:noWrap/>
            <w:vAlign w:val="bottom"/>
            <w:hideMark/>
          </w:tcPr>
          <w:p w14:paraId="73FCEC35" w14:textId="77777777" w:rsidR="00C06287" w:rsidRPr="00555324" w:rsidRDefault="00C06287" w:rsidP="00C06287">
            <w:pPr>
              <w:jc w:val="center"/>
              <w:rPr>
                <w:color w:val="000000"/>
                <w:sz w:val="22"/>
                <w:szCs w:val="22"/>
              </w:rPr>
            </w:pPr>
            <w:r w:rsidRPr="00555324">
              <w:rPr>
                <w:color w:val="000000"/>
                <w:sz w:val="22"/>
                <w:szCs w:val="22"/>
              </w:rPr>
              <w:t>78.8%</w:t>
            </w:r>
          </w:p>
        </w:tc>
      </w:tr>
      <w:tr w:rsidR="00C06287" w:rsidRPr="00555324" w14:paraId="772A2860" w14:textId="77777777" w:rsidTr="00555324">
        <w:trPr>
          <w:trHeight w:val="315"/>
        </w:trPr>
        <w:tc>
          <w:tcPr>
            <w:tcW w:w="1069" w:type="dxa"/>
            <w:vMerge/>
            <w:tcBorders>
              <w:top w:val="nil"/>
              <w:left w:val="single" w:sz="4" w:space="0" w:color="auto"/>
              <w:bottom w:val="dotDash" w:sz="8" w:space="0" w:color="000000"/>
              <w:right w:val="single" w:sz="4" w:space="0" w:color="auto"/>
            </w:tcBorders>
            <w:shd w:val="clear" w:color="auto" w:fill="auto"/>
            <w:vAlign w:val="center"/>
            <w:hideMark/>
          </w:tcPr>
          <w:p w14:paraId="6B4EAA53" w14:textId="77777777" w:rsidR="00C06287" w:rsidRPr="00555324" w:rsidRDefault="00C06287" w:rsidP="00C06287">
            <w:pPr>
              <w:rPr>
                <w:bCs/>
                <w:color w:val="000000"/>
                <w:sz w:val="22"/>
                <w:szCs w:val="22"/>
              </w:rPr>
            </w:pPr>
          </w:p>
        </w:tc>
        <w:tc>
          <w:tcPr>
            <w:tcW w:w="1589" w:type="dxa"/>
            <w:tcBorders>
              <w:top w:val="nil"/>
              <w:left w:val="nil"/>
              <w:bottom w:val="dotDash" w:sz="8" w:space="0" w:color="auto"/>
              <w:right w:val="single" w:sz="4" w:space="0" w:color="auto"/>
            </w:tcBorders>
            <w:shd w:val="clear" w:color="auto" w:fill="auto"/>
            <w:noWrap/>
            <w:vAlign w:val="bottom"/>
            <w:hideMark/>
          </w:tcPr>
          <w:p w14:paraId="43E9144F" w14:textId="77777777" w:rsidR="00C06287" w:rsidRPr="00555324" w:rsidRDefault="00C06287" w:rsidP="00C06287">
            <w:pPr>
              <w:rPr>
                <w:color w:val="000000"/>
                <w:sz w:val="22"/>
                <w:szCs w:val="22"/>
              </w:rPr>
            </w:pPr>
            <w:r w:rsidRPr="00555324">
              <w:rPr>
                <w:color w:val="000000"/>
                <w:sz w:val="22"/>
                <w:szCs w:val="22"/>
              </w:rPr>
              <w:t>All</w:t>
            </w:r>
          </w:p>
        </w:tc>
        <w:tc>
          <w:tcPr>
            <w:tcW w:w="1270" w:type="dxa"/>
            <w:tcBorders>
              <w:top w:val="nil"/>
              <w:left w:val="nil"/>
              <w:bottom w:val="dotDash" w:sz="8" w:space="0" w:color="auto"/>
              <w:right w:val="single" w:sz="4" w:space="0" w:color="auto"/>
            </w:tcBorders>
            <w:shd w:val="clear" w:color="auto" w:fill="auto"/>
            <w:noWrap/>
            <w:vAlign w:val="bottom"/>
            <w:hideMark/>
          </w:tcPr>
          <w:p w14:paraId="5FBCF2BD" w14:textId="77777777" w:rsidR="00C06287" w:rsidRPr="00555324" w:rsidRDefault="00C06287" w:rsidP="00C06287">
            <w:pPr>
              <w:jc w:val="center"/>
              <w:rPr>
                <w:color w:val="000000"/>
                <w:sz w:val="22"/>
                <w:szCs w:val="22"/>
              </w:rPr>
            </w:pPr>
            <w:r w:rsidRPr="00555324">
              <w:rPr>
                <w:color w:val="000000"/>
                <w:sz w:val="22"/>
                <w:szCs w:val="22"/>
              </w:rPr>
              <w:t>64,317</w:t>
            </w:r>
          </w:p>
        </w:tc>
        <w:tc>
          <w:tcPr>
            <w:tcW w:w="1123" w:type="dxa"/>
            <w:tcBorders>
              <w:top w:val="nil"/>
              <w:left w:val="nil"/>
              <w:bottom w:val="dotDash" w:sz="8" w:space="0" w:color="auto"/>
              <w:right w:val="single" w:sz="4" w:space="0" w:color="auto"/>
            </w:tcBorders>
            <w:shd w:val="clear" w:color="auto" w:fill="auto"/>
            <w:noWrap/>
            <w:vAlign w:val="bottom"/>
            <w:hideMark/>
          </w:tcPr>
          <w:p w14:paraId="6EB926E8" w14:textId="77777777" w:rsidR="00C06287" w:rsidRPr="00555324" w:rsidRDefault="00C06287" w:rsidP="00C06287">
            <w:pPr>
              <w:jc w:val="center"/>
              <w:rPr>
                <w:color w:val="000000"/>
                <w:sz w:val="22"/>
                <w:szCs w:val="22"/>
              </w:rPr>
            </w:pPr>
            <w:r w:rsidRPr="00555324">
              <w:rPr>
                <w:color w:val="000000"/>
                <w:sz w:val="22"/>
                <w:szCs w:val="22"/>
              </w:rPr>
              <w:t>120,825</w:t>
            </w:r>
          </w:p>
        </w:tc>
        <w:tc>
          <w:tcPr>
            <w:tcW w:w="1479" w:type="dxa"/>
            <w:tcBorders>
              <w:top w:val="nil"/>
              <w:left w:val="nil"/>
              <w:bottom w:val="dotDash" w:sz="8" w:space="0" w:color="auto"/>
              <w:right w:val="single" w:sz="4" w:space="0" w:color="auto"/>
            </w:tcBorders>
            <w:shd w:val="clear" w:color="auto" w:fill="auto"/>
            <w:noWrap/>
            <w:vAlign w:val="bottom"/>
            <w:hideMark/>
          </w:tcPr>
          <w:p w14:paraId="501681D9" w14:textId="77777777" w:rsidR="00C06287" w:rsidRPr="00555324" w:rsidRDefault="00C06287" w:rsidP="00C06287">
            <w:pPr>
              <w:jc w:val="center"/>
              <w:rPr>
                <w:color w:val="000000"/>
                <w:sz w:val="22"/>
                <w:szCs w:val="22"/>
              </w:rPr>
            </w:pPr>
            <w:r w:rsidRPr="00555324">
              <w:rPr>
                <w:color w:val="000000"/>
                <w:sz w:val="22"/>
                <w:szCs w:val="22"/>
              </w:rPr>
              <w:t>185,142</w:t>
            </w:r>
          </w:p>
        </w:tc>
        <w:tc>
          <w:tcPr>
            <w:tcW w:w="1340" w:type="dxa"/>
            <w:tcBorders>
              <w:top w:val="nil"/>
              <w:left w:val="nil"/>
              <w:bottom w:val="dotDash" w:sz="8" w:space="0" w:color="auto"/>
              <w:right w:val="single" w:sz="4" w:space="0" w:color="auto"/>
            </w:tcBorders>
            <w:shd w:val="clear" w:color="auto" w:fill="auto"/>
            <w:noWrap/>
            <w:vAlign w:val="bottom"/>
            <w:hideMark/>
          </w:tcPr>
          <w:p w14:paraId="0A804D82" w14:textId="77777777" w:rsidR="00C06287" w:rsidRPr="00555324" w:rsidRDefault="00C06287" w:rsidP="00C06287">
            <w:pPr>
              <w:jc w:val="center"/>
              <w:rPr>
                <w:color w:val="000000"/>
                <w:sz w:val="22"/>
                <w:szCs w:val="22"/>
              </w:rPr>
            </w:pPr>
            <w:r w:rsidRPr="00555324">
              <w:rPr>
                <w:color w:val="000000"/>
                <w:sz w:val="22"/>
                <w:szCs w:val="22"/>
              </w:rPr>
              <w:t>100.0%</w:t>
            </w:r>
          </w:p>
        </w:tc>
      </w:tr>
      <w:tr w:rsidR="00C06287" w:rsidRPr="00555324" w14:paraId="3C995263" w14:textId="77777777" w:rsidTr="00555324">
        <w:trPr>
          <w:trHeight w:val="300"/>
        </w:trPr>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5BD4E6" w14:textId="77777777" w:rsidR="00C06287" w:rsidRPr="00555324" w:rsidRDefault="00C06287" w:rsidP="00C06287">
            <w:pPr>
              <w:jc w:val="center"/>
              <w:rPr>
                <w:bCs/>
                <w:color w:val="000000"/>
                <w:sz w:val="22"/>
                <w:szCs w:val="22"/>
              </w:rPr>
            </w:pPr>
            <w:r w:rsidRPr="00555324">
              <w:rPr>
                <w:bCs/>
                <w:color w:val="000000"/>
                <w:sz w:val="22"/>
                <w:szCs w:val="22"/>
              </w:rPr>
              <w:t>2014</w:t>
            </w:r>
          </w:p>
        </w:tc>
        <w:tc>
          <w:tcPr>
            <w:tcW w:w="1589" w:type="dxa"/>
            <w:tcBorders>
              <w:top w:val="nil"/>
              <w:left w:val="nil"/>
              <w:bottom w:val="single" w:sz="4" w:space="0" w:color="auto"/>
              <w:right w:val="single" w:sz="4" w:space="0" w:color="auto"/>
            </w:tcBorders>
            <w:shd w:val="clear" w:color="auto" w:fill="auto"/>
            <w:noWrap/>
            <w:vAlign w:val="bottom"/>
            <w:hideMark/>
          </w:tcPr>
          <w:p w14:paraId="0903564C" w14:textId="77777777" w:rsidR="00C06287" w:rsidRPr="00555324" w:rsidRDefault="00C06287" w:rsidP="00C06287">
            <w:pPr>
              <w:rPr>
                <w:color w:val="000000"/>
                <w:sz w:val="22"/>
                <w:szCs w:val="22"/>
              </w:rPr>
            </w:pPr>
            <w:r w:rsidRPr="00555324">
              <w:rPr>
                <w:color w:val="000000"/>
                <w:sz w:val="22"/>
                <w:szCs w:val="22"/>
              </w:rPr>
              <w:t>Shore</w:t>
            </w:r>
          </w:p>
        </w:tc>
        <w:tc>
          <w:tcPr>
            <w:tcW w:w="1270" w:type="dxa"/>
            <w:tcBorders>
              <w:top w:val="nil"/>
              <w:left w:val="nil"/>
              <w:bottom w:val="single" w:sz="4" w:space="0" w:color="auto"/>
              <w:right w:val="single" w:sz="4" w:space="0" w:color="auto"/>
            </w:tcBorders>
            <w:shd w:val="clear" w:color="auto" w:fill="auto"/>
            <w:noWrap/>
            <w:vAlign w:val="bottom"/>
            <w:hideMark/>
          </w:tcPr>
          <w:p w14:paraId="601253CF" w14:textId="77777777" w:rsidR="00C06287" w:rsidRPr="00555324" w:rsidRDefault="00C06287" w:rsidP="00C06287">
            <w:pPr>
              <w:jc w:val="center"/>
              <w:rPr>
                <w:color w:val="000000"/>
                <w:sz w:val="22"/>
                <w:szCs w:val="22"/>
              </w:rPr>
            </w:pPr>
            <w:r w:rsidRPr="00555324">
              <w:rPr>
                <w:color w:val="000000"/>
                <w:sz w:val="22"/>
                <w:szCs w:val="22"/>
              </w:rPr>
              <w:t>781</w:t>
            </w:r>
          </w:p>
        </w:tc>
        <w:tc>
          <w:tcPr>
            <w:tcW w:w="1123" w:type="dxa"/>
            <w:tcBorders>
              <w:top w:val="nil"/>
              <w:left w:val="nil"/>
              <w:bottom w:val="single" w:sz="4" w:space="0" w:color="auto"/>
              <w:right w:val="single" w:sz="4" w:space="0" w:color="auto"/>
            </w:tcBorders>
            <w:shd w:val="clear" w:color="auto" w:fill="auto"/>
            <w:noWrap/>
            <w:vAlign w:val="bottom"/>
            <w:hideMark/>
          </w:tcPr>
          <w:p w14:paraId="3A2620DD" w14:textId="77777777" w:rsidR="00C06287" w:rsidRPr="00555324" w:rsidRDefault="00C06287" w:rsidP="00C06287">
            <w:pPr>
              <w:jc w:val="center"/>
              <w:rPr>
                <w:color w:val="000000"/>
                <w:sz w:val="22"/>
                <w:szCs w:val="22"/>
              </w:rPr>
            </w:pPr>
            <w:r w:rsidRPr="00555324">
              <w:rPr>
                <w:color w:val="000000"/>
                <w:sz w:val="22"/>
                <w:szCs w:val="22"/>
              </w:rPr>
              <w:t>14,281</w:t>
            </w:r>
          </w:p>
        </w:tc>
        <w:tc>
          <w:tcPr>
            <w:tcW w:w="1479" w:type="dxa"/>
            <w:tcBorders>
              <w:top w:val="nil"/>
              <w:left w:val="nil"/>
              <w:bottom w:val="single" w:sz="4" w:space="0" w:color="auto"/>
              <w:right w:val="single" w:sz="4" w:space="0" w:color="auto"/>
            </w:tcBorders>
            <w:shd w:val="clear" w:color="auto" w:fill="auto"/>
            <w:noWrap/>
            <w:vAlign w:val="bottom"/>
            <w:hideMark/>
          </w:tcPr>
          <w:p w14:paraId="63C79101" w14:textId="77777777" w:rsidR="00C06287" w:rsidRPr="00555324" w:rsidRDefault="00C06287" w:rsidP="00C06287">
            <w:pPr>
              <w:jc w:val="center"/>
              <w:rPr>
                <w:color w:val="000000"/>
                <w:sz w:val="22"/>
                <w:szCs w:val="22"/>
              </w:rPr>
            </w:pPr>
            <w:r w:rsidRPr="00555324">
              <w:rPr>
                <w:color w:val="000000"/>
                <w:sz w:val="22"/>
                <w:szCs w:val="22"/>
              </w:rPr>
              <w:t>15,062</w:t>
            </w:r>
          </w:p>
        </w:tc>
        <w:tc>
          <w:tcPr>
            <w:tcW w:w="1340" w:type="dxa"/>
            <w:tcBorders>
              <w:top w:val="nil"/>
              <w:left w:val="nil"/>
              <w:bottom w:val="single" w:sz="4" w:space="0" w:color="auto"/>
              <w:right w:val="single" w:sz="4" w:space="0" w:color="auto"/>
            </w:tcBorders>
            <w:shd w:val="clear" w:color="auto" w:fill="auto"/>
            <w:noWrap/>
            <w:vAlign w:val="bottom"/>
            <w:hideMark/>
          </w:tcPr>
          <w:p w14:paraId="7A12C194" w14:textId="77777777" w:rsidR="00C06287" w:rsidRPr="00555324" w:rsidRDefault="00C06287" w:rsidP="00C06287">
            <w:pPr>
              <w:jc w:val="center"/>
              <w:rPr>
                <w:color w:val="000000"/>
                <w:sz w:val="22"/>
                <w:szCs w:val="22"/>
              </w:rPr>
            </w:pPr>
            <w:r w:rsidRPr="00555324">
              <w:rPr>
                <w:color w:val="000000"/>
                <w:sz w:val="22"/>
                <w:szCs w:val="22"/>
              </w:rPr>
              <w:t>5.4%</w:t>
            </w:r>
          </w:p>
        </w:tc>
      </w:tr>
      <w:tr w:rsidR="00C06287" w:rsidRPr="00555324" w14:paraId="1055F7A0" w14:textId="77777777" w:rsidTr="00555324">
        <w:trPr>
          <w:trHeight w:val="300"/>
        </w:trPr>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60FA711C" w14:textId="77777777" w:rsidR="00C06287" w:rsidRPr="00555324" w:rsidRDefault="00C06287" w:rsidP="00C06287">
            <w:pPr>
              <w:rPr>
                <w:bCs/>
                <w:color w:val="000000"/>
                <w:sz w:val="22"/>
                <w:szCs w:val="22"/>
              </w:rPr>
            </w:pPr>
          </w:p>
        </w:tc>
        <w:tc>
          <w:tcPr>
            <w:tcW w:w="1589" w:type="dxa"/>
            <w:tcBorders>
              <w:top w:val="nil"/>
              <w:left w:val="nil"/>
              <w:bottom w:val="single" w:sz="4" w:space="0" w:color="auto"/>
              <w:right w:val="single" w:sz="4" w:space="0" w:color="auto"/>
            </w:tcBorders>
            <w:shd w:val="clear" w:color="auto" w:fill="auto"/>
            <w:noWrap/>
            <w:vAlign w:val="bottom"/>
            <w:hideMark/>
          </w:tcPr>
          <w:p w14:paraId="02D23483" w14:textId="77777777" w:rsidR="00C06287" w:rsidRPr="00555324" w:rsidRDefault="00C06287" w:rsidP="00C06287">
            <w:pPr>
              <w:rPr>
                <w:color w:val="000000"/>
                <w:sz w:val="22"/>
                <w:szCs w:val="22"/>
              </w:rPr>
            </w:pPr>
            <w:r w:rsidRPr="00555324">
              <w:rPr>
                <w:color w:val="000000"/>
                <w:sz w:val="22"/>
                <w:szCs w:val="22"/>
              </w:rPr>
              <w:t>For-Hire</w:t>
            </w:r>
          </w:p>
        </w:tc>
        <w:tc>
          <w:tcPr>
            <w:tcW w:w="1270" w:type="dxa"/>
            <w:tcBorders>
              <w:top w:val="nil"/>
              <w:left w:val="nil"/>
              <w:bottom w:val="single" w:sz="4" w:space="0" w:color="auto"/>
              <w:right w:val="single" w:sz="4" w:space="0" w:color="auto"/>
            </w:tcBorders>
            <w:shd w:val="clear" w:color="auto" w:fill="auto"/>
            <w:noWrap/>
            <w:vAlign w:val="bottom"/>
            <w:hideMark/>
          </w:tcPr>
          <w:p w14:paraId="55354A4C" w14:textId="77777777" w:rsidR="00C06287" w:rsidRPr="00555324" w:rsidRDefault="00C06287" w:rsidP="00C06287">
            <w:pPr>
              <w:jc w:val="center"/>
              <w:rPr>
                <w:color w:val="000000"/>
                <w:sz w:val="22"/>
                <w:szCs w:val="22"/>
              </w:rPr>
            </w:pPr>
            <w:r w:rsidRPr="00555324">
              <w:rPr>
                <w:color w:val="000000"/>
                <w:sz w:val="22"/>
                <w:szCs w:val="22"/>
              </w:rPr>
              <w:t>9,364</w:t>
            </w:r>
          </w:p>
        </w:tc>
        <w:tc>
          <w:tcPr>
            <w:tcW w:w="1123" w:type="dxa"/>
            <w:tcBorders>
              <w:top w:val="nil"/>
              <w:left w:val="nil"/>
              <w:bottom w:val="single" w:sz="4" w:space="0" w:color="auto"/>
              <w:right w:val="single" w:sz="4" w:space="0" w:color="auto"/>
            </w:tcBorders>
            <w:shd w:val="clear" w:color="auto" w:fill="auto"/>
            <w:noWrap/>
            <w:vAlign w:val="bottom"/>
            <w:hideMark/>
          </w:tcPr>
          <w:p w14:paraId="7870351A" w14:textId="77777777" w:rsidR="00C06287" w:rsidRPr="00555324" w:rsidRDefault="00C06287" w:rsidP="00C06287">
            <w:pPr>
              <w:jc w:val="center"/>
              <w:rPr>
                <w:color w:val="000000"/>
                <w:sz w:val="22"/>
                <w:szCs w:val="22"/>
              </w:rPr>
            </w:pPr>
            <w:r w:rsidRPr="00555324">
              <w:rPr>
                <w:color w:val="000000"/>
                <w:sz w:val="22"/>
                <w:szCs w:val="22"/>
              </w:rPr>
              <w:t>7,160</w:t>
            </w:r>
          </w:p>
        </w:tc>
        <w:tc>
          <w:tcPr>
            <w:tcW w:w="1479" w:type="dxa"/>
            <w:tcBorders>
              <w:top w:val="nil"/>
              <w:left w:val="nil"/>
              <w:bottom w:val="single" w:sz="4" w:space="0" w:color="auto"/>
              <w:right w:val="single" w:sz="4" w:space="0" w:color="auto"/>
            </w:tcBorders>
            <w:shd w:val="clear" w:color="auto" w:fill="auto"/>
            <w:noWrap/>
            <w:vAlign w:val="bottom"/>
            <w:hideMark/>
          </w:tcPr>
          <w:p w14:paraId="03B22215" w14:textId="77777777" w:rsidR="00C06287" w:rsidRPr="00555324" w:rsidRDefault="00C06287" w:rsidP="00C06287">
            <w:pPr>
              <w:jc w:val="center"/>
              <w:rPr>
                <w:color w:val="000000"/>
                <w:sz w:val="22"/>
                <w:szCs w:val="22"/>
              </w:rPr>
            </w:pPr>
            <w:r w:rsidRPr="00555324">
              <w:rPr>
                <w:color w:val="000000"/>
                <w:sz w:val="22"/>
                <w:szCs w:val="22"/>
              </w:rPr>
              <w:t>16,524</w:t>
            </w:r>
          </w:p>
        </w:tc>
        <w:tc>
          <w:tcPr>
            <w:tcW w:w="1340" w:type="dxa"/>
            <w:tcBorders>
              <w:top w:val="nil"/>
              <w:left w:val="nil"/>
              <w:bottom w:val="single" w:sz="4" w:space="0" w:color="auto"/>
              <w:right w:val="single" w:sz="4" w:space="0" w:color="auto"/>
            </w:tcBorders>
            <w:shd w:val="clear" w:color="auto" w:fill="auto"/>
            <w:noWrap/>
            <w:vAlign w:val="bottom"/>
            <w:hideMark/>
          </w:tcPr>
          <w:p w14:paraId="63D22803" w14:textId="77777777" w:rsidR="00C06287" w:rsidRPr="00555324" w:rsidRDefault="00C06287" w:rsidP="00C06287">
            <w:pPr>
              <w:jc w:val="center"/>
              <w:rPr>
                <w:color w:val="000000"/>
                <w:sz w:val="22"/>
                <w:szCs w:val="22"/>
              </w:rPr>
            </w:pPr>
            <w:r w:rsidRPr="00555324">
              <w:rPr>
                <w:color w:val="000000"/>
                <w:sz w:val="22"/>
                <w:szCs w:val="22"/>
              </w:rPr>
              <w:t>5.9%</w:t>
            </w:r>
          </w:p>
        </w:tc>
      </w:tr>
      <w:tr w:rsidR="00C06287" w:rsidRPr="00555324" w14:paraId="07562688" w14:textId="77777777" w:rsidTr="00555324">
        <w:trPr>
          <w:trHeight w:val="300"/>
        </w:trPr>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4D096441" w14:textId="77777777" w:rsidR="00C06287" w:rsidRPr="00555324" w:rsidRDefault="00C06287" w:rsidP="00C06287">
            <w:pPr>
              <w:rPr>
                <w:bCs/>
                <w:color w:val="000000"/>
                <w:sz w:val="22"/>
                <w:szCs w:val="22"/>
              </w:rPr>
            </w:pPr>
          </w:p>
        </w:tc>
        <w:tc>
          <w:tcPr>
            <w:tcW w:w="1589" w:type="dxa"/>
            <w:tcBorders>
              <w:top w:val="nil"/>
              <w:left w:val="nil"/>
              <w:bottom w:val="single" w:sz="4" w:space="0" w:color="auto"/>
              <w:right w:val="single" w:sz="4" w:space="0" w:color="auto"/>
            </w:tcBorders>
            <w:shd w:val="clear" w:color="auto" w:fill="auto"/>
            <w:noWrap/>
            <w:vAlign w:val="bottom"/>
            <w:hideMark/>
          </w:tcPr>
          <w:p w14:paraId="7C57F51D" w14:textId="77777777" w:rsidR="00C06287" w:rsidRPr="00555324" w:rsidRDefault="00C06287" w:rsidP="00C06287">
            <w:pPr>
              <w:rPr>
                <w:color w:val="000000"/>
                <w:sz w:val="22"/>
                <w:szCs w:val="22"/>
              </w:rPr>
            </w:pPr>
            <w:r w:rsidRPr="00555324">
              <w:rPr>
                <w:color w:val="000000"/>
                <w:sz w:val="22"/>
                <w:szCs w:val="22"/>
              </w:rPr>
              <w:t>Private/Rental</w:t>
            </w:r>
          </w:p>
        </w:tc>
        <w:tc>
          <w:tcPr>
            <w:tcW w:w="1270" w:type="dxa"/>
            <w:tcBorders>
              <w:top w:val="nil"/>
              <w:left w:val="nil"/>
              <w:bottom w:val="single" w:sz="4" w:space="0" w:color="auto"/>
              <w:right w:val="single" w:sz="4" w:space="0" w:color="auto"/>
            </w:tcBorders>
            <w:shd w:val="clear" w:color="auto" w:fill="auto"/>
            <w:noWrap/>
            <w:vAlign w:val="bottom"/>
            <w:hideMark/>
          </w:tcPr>
          <w:p w14:paraId="55636221" w14:textId="77777777" w:rsidR="00C06287" w:rsidRPr="00555324" w:rsidRDefault="00C06287" w:rsidP="00C06287">
            <w:pPr>
              <w:jc w:val="center"/>
              <w:rPr>
                <w:color w:val="000000"/>
                <w:sz w:val="22"/>
                <w:szCs w:val="22"/>
              </w:rPr>
            </w:pPr>
            <w:r w:rsidRPr="00555324">
              <w:rPr>
                <w:color w:val="000000"/>
                <w:sz w:val="22"/>
                <w:szCs w:val="22"/>
              </w:rPr>
              <w:t>80,736</w:t>
            </w:r>
          </w:p>
        </w:tc>
        <w:tc>
          <w:tcPr>
            <w:tcW w:w="1123" w:type="dxa"/>
            <w:tcBorders>
              <w:top w:val="nil"/>
              <w:left w:val="nil"/>
              <w:bottom w:val="single" w:sz="4" w:space="0" w:color="auto"/>
              <w:right w:val="single" w:sz="4" w:space="0" w:color="auto"/>
            </w:tcBorders>
            <w:shd w:val="clear" w:color="auto" w:fill="auto"/>
            <w:noWrap/>
            <w:vAlign w:val="bottom"/>
            <w:hideMark/>
          </w:tcPr>
          <w:p w14:paraId="60B86AEC" w14:textId="77777777" w:rsidR="00C06287" w:rsidRPr="00555324" w:rsidRDefault="00C06287" w:rsidP="00C06287">
            <w:pPr>
              <w:jc w:val="center"/>
              <w:rPr>
                <w:color w:val="000000"/>
                <w:sz w:val="22"/>
                <w:szCs w:val="22"/>
              </w:rPr>
            </w:pPr>
            <w:r w:rsidRPr="00555324">
              <w:rPr>
                <w:color w:val="000000"/>
                <w:sz w:val="22"/>
                <w:szCs w:val="22"/>
              </w:rPr>
              <w:t>167,958</w:t>
            </w:r>
          </w:p>
        </w:tc>
        <w:tc>
          <w:tcPr>
            <w:tcW w:w="1479" w:type="dxa"/>
            <w:tcBorders>
              <w:top w:val="nil"/>
              <w:left w:val="nil"/>
              <w:bottom w:val="single" w:sz="4" w:space="0" w:color="auto"/>
              <w:right w:val="single" w:sz="4" w:space="0" w:color="auto"/>
            </w:tcBorders>
            <w:shd w:val="clear" w:color="auto" w:fill="auto"/>
            <w:noWrap/>
            <w:vAlign w:val="bottom"/>
            <w:hideMark/>
          </w:tcPr>
          <w:p w14:paraId="1DEABEE5" w14:textId="77777777" w:rsidR="00C06287" w:rsidRPr="00555324" w:rsidRDefault="00C06287" w:rsidP="00C06287">
            <w:pPr>
              <w:jc w:val="center"/>
              <w:rPr>
                <w:color w:val="000000"/>
                <w:sz w:val="22"/>
                <w:szCs w:val="22"/>
              </w:rPr>
            </w:pPr>
            <w:r w:rsidRPr="00555324">
              <w:rPr>
                <w:color w:val="000000"/>
                <w:sz w:val="22"/>
                <w:szCs w:val="22"/>
              </w:rPr>
              <w:t>248,694</w:t>
            </w:r>
          </w:p>
        </w:tc>
        <w:tc>
          <w:tcPr>
            <w:tcW w:w="1340" w:type="dxa"/>
            <w:tcBorders>
              <w:top w:val="nil"/>
              <w:left w:val="nil"/>
              <w:bottom w:val="single" w:sz="4" w:space="0" w:color="auto"/>
              <w:right w:val="single" w:sz="4" w:space="0" w:color="auto"/>
            </w:tcBorders>
            <w:shd w:val="clear" w:color="auto" w:fill="auto"/>
            <w:noWrap/>
            <w:vAlign w:val="bottom"/>
            <w:hideMark/>
          </w:tcPr>
          <w:p w14:paraId="51AA24E4" w14:textId="77777777" w:rsidR="00C06287" w:rsidRPr="00555324" w:rsidRDefault="00C06287" w:rsidP="00C06287">
            <w:pPr>
              <w:jc w:val="center"/>
              <w:rPr>
                <w:color w:val="000000"/>
                <w:sz w:val="22"/>
                <w:szCs w:val="22"/>
              </w:rPr>
            </w:pPr>
            <w:r w:rsidRPr="00555324">
              <w:rPr>
                <w:color w:val="000000"/>
                <w:sz w:val="22"/>
                <w:szCs w:val="22"/>
              </w:rPr>
              <w:t>88.7%</w:t>
            </w:r>
          </w:p>
        </w:tc>
      </w:tr>
      <w:tr w:rsidR="00C06287" w:rsidRPr="00555324" w14:paraId="7C73CF13" w14:textId="77777777" w:rsidTr="00555324">
        <w:trPr>
          <w:trHeight w:val="315"/>
        </w:trPr>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0F10F1DF" w14:textId="77777777" w:rsidR="00C06287" w:rsidRPr="00555324" w:rsidRDefault="00C06287" w:rsidP="00C06287">
            <w:pPr>
              <w:rPr>
                <w:bCs/>
                <w:color w:val="000000"/>
                <w:sz w:val="22"/>
                <w:szCs w:val="22"/>
              </w:rPr>
            </w:pPr>
          </w:p>
        </w:tc>
        <w:tc>
          <w:tcPr>
            <w:tcW w:w="1589" w:type="dxa"/>
            <w:tcBorders>
              <w:top w:val="nil"/>
              <w:left w:val="nil"/>
              <w:bottom w:val="dotDash" w:sz="8" w:space="0" w:color="auto"/>
              <w:right w:val="single" w:sz="4" w:space="0" w:color="auto"/>
            </w:tcBorders>
            <w:shd w:val="clear" w:color="auto" w:fill="auto"/>
            <w:noWrap/>
            <w:vAlign w:val="bottom"/>
            <w:hideMark/>
          </w:tcPr>
          <w:p w14:paraId="181BAFE9" w14:textId="77777777" w:rsidR="00C06287" w:rsidRPr="00555324" w:rsidRDefault="00C06287" w:rsidP="00C06287">
            <w:pPr>
              <w:rPr>
                <w:color w:val="000000"/>
                <w:sz w:val="22"/>
                <w:szCs w:val="22"/>
              </w:rPr>
            </w:pPr>
            <w:r w:rsidRPr="00555324">
              <w:rPr>
                <w:color w:val="000000"/>
                <w:sz w:val="22"/>
                <w:szCs w:val="22"/>
              </w:rPr>
              <w:t>All</w:t>
            </w:r>
          </w:p>
        </w:tc>
        <w:tc>
          <w:tcPr>
            <w:tcW w:w="1270" w:type="dxa"/>
            <w:tcBorders>
              <w:top w:val="nil"/>
              <w:left w:val="nil"/>
              <w:bottom w:val="dotDash" w:sz="8" w:space="0" w:color="auto"/>
              <w:right w:val="single" w:sz="4" w:space="0" w:color="auto"/>
            </w:tcBorders>
            <w:shd w:val="clear" w:color="auto" w:fill="auto"/>
            <w:noWrap/>
            <w:vAlign w:val="bottom"/>
            <w:hideMark/>
          </w:tcPr>
          <w:p w14:paraId="79384473" w14:textId="77777777" w:rsidR="00C06287" w:rsidRPr="00555324" w:rsidRDefault="00C06287" w:rsidP="00C06287">
            <w:pPr>
              <w:jc w:val="center"/>
              <w:rPr>
                <w:color w:val="000000"/>
                <w:sz w:val="22"/>
                <w:szCs w:val="22"/>
              </w:rPr>
            </w:pPr>
            <w:r w:rsidRPr="00555324">
              <w:rPr>
                <w:color w:val="000000"/>
                <w:sz w:val="22"/>
                <w:szCs w:val="22"/>
              </w:rPr>
              <w:t>90,881</w:t>
            </w:r>
          </w:p>
        </w:tc>
        <w:tc>
          <w:tcPr>
            <w:tcW w:w="1123" w:type="dxa"/>
            <w:tcBorders>
              <w:top w:val="nil"/>
              <w:left w:val="nil"/>
              <w:bottom w:val="dotDash" w:sz="8" w:space="0" w:color="auto"/>
              <w:right w:val="single" w:sz="4" w:space="0" w:color="auto"/>
            </w:tcBorders>
            <w:shd w:val="clear" w:color="auto" w:fill="auto"/>
            <w:noWrap/>
            <w:vAlign w:val="bottom"/>
            <w:hideMark/>
          </w:tcPr>
          <w:p w14:paraId="7EA6E290" w14:textId="77777777" w:rsidR="00C06287" w:rsidRPr="00555324" w:rsidRDefault="00C06287" w:rsidP="00C06287">
            <w:pPr>
              <w:jc w:val="center"/>
              <w:rPr>
                <w:color w:val="000000"/>
                <w:sz w:val="22"/>
                <w:szCs w:val="22"/>
              </w:rPr>
            </w:pPr>
            <w:r w:rsidRPr="00555324">
              <w:rPr>
                <w:color w:val="000000"/>
                <w:sz w:val="22"/>
                <w:szCs w:val="22"/>
              </w:rPr>
              <w:t>189,399</w:t>
            </w:r>
          </w:p>
        </w:tc>
        <w:tc>
          <w:tcPr>
            <w:tcW w:w="1479" w:type="dxa"/>
            <w:tcBorders>
              <w:top w:val="nil"/>
              <w:left w:val="nil"/>
              <w:bottom w:val="dotDash" w:sz="8" w:space="0" w:color="auto"/>
              <w:right w:val="single" w:sz="4" w:space="0" w:color="auto"/>
            </w:tcBorders>
            <w:shd w:val="clear" w:color="auto" w:fill="auto"/>
            <w:noWrap/>
            <w:vAlign w:val="bottom"/>
            <w:hideMark/>
          </w:tcPr>
          <w:p w14:paraId="634EB901" w14:textId="77777777" w:rsidR="00C06287" w:rsidRPr="00555324" w:rsidRDefault="00C06287" w:rsidP="00C06287">
            <w:pPr>
              <w:jc w:val="center"/>
              <w:rPr>
                <w:color w:val="000000"/>
                <w:sz w:val="22"/>
                <w:szCs w:val="22"/>
              </w:rPr>
            </w:pPr>
            <w:r w:rsidRPr="00555324">
              <w:rPr>
                <w:color w:val="000000"/>
                <w:sz w:val="22"/>
                <w:szCs w:val="22"/>
              </w:rPr>
              <w:t>280,280</w:t>
            </w:r>
          </w:p>
        </w:tc>
        <w:tc>
          <w:tcPr>
            <w:tcW w:w="1340" w:type="dxa"/>
            <w:tcBorders>
              <w:top w:val="nil"/>
              <w:left w:val="nil"/>
              <w:bottom w:val="dotDash" w:sz="8" w:space="0" w:color="auto"/>
              <w:right w:val="single" w:sz="4" w:space="0" w:color="auto"/>
            </w:tcBorders>
            <w:shd w:val="clear" w:color="auto" w:fill="auto"/>
            <w:noWrap/>
            <w:vAlign w:val="bottom"/>
            <w:hideMark/>
          </w:tcPr>
          <w:p w14:paraId="5E1C3D98" w14:textId="77777777" w:rsidR="00C06287" w:rsidRPr="00555324" w:rsidRDefault="00C06287" w:rsidP="00C06287">
            <w:pPr>
              <w:jc w:val="center"/>
              <w:rPr>
                <w:color w:val="000000"/>
                <w:sz w:val="22"/>
                <w:szCs w:val="22"/>
              </w:rPr>
            </w:pPr>
            <w:r w:rsidRPr="00555324">
              <w:rPr>
                <w:color w:val="000000"/>
                <w:sz w:val="22"/>
                <w:szCs w:val="22"/>
              </w:rPr>
              <w:t>100.0%</w:t>
            </w:r>
          </w:p>
        </w:tc>
      </w:tr>
      <w:tr w:rsidR="00C06287" w:rsidRPr="00555324" w14:paraId="1E9B64D8" w14:textId="77777777" w:rsidTr="00555324">
        <w:trPr>
          <w:trHeight w:val="300"/>
        </w:trPr>
        <w:tc>
          <w:tcPr>
            <w:tcW w:w="10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DC0A76" w14:textId="77777777" w:rsidR="00C06287" w:rsidRPr="00555324" w:rsidRDefault="00C06287" w:rsidP="00C06287">
            <w:pPr>
              <w:jc w:val="center"/>
              <w:rPr>
                <w:bCs/>
                <w:color w:val="000000"/>
                <w:sz w:val="22"/>
                <w:szCs w:val="22"/>
              </w:rPr>
            </w:pPr>
            <w:r w:rsidRPr="00555324">
              <w:rPr>
                <w:bCs/>
                <w:color w:val="000000"/>
                <w:sz w:val="22"/>
                <w:szCs w:val="22"/>
              </w:rPr>
              <w:t>Average</w:t>
            </w:r>
          </w:p>
        </w:tc>
        <w:tc>
          <w:tcPr>
            <w:tcW w:w="1589" w:type="dxa"/>
            <w:tcBorders>
              <w:top w:val="nil"/>
              <w:left w:val="nil"/>
              <w:bottom w:val="single" w:sz="4" w:space="0" w:color="auto"/>
              <w:right w:val="single" w:sz="4" w:space="0" w:color="auto"/>
            </w:tcBorders>
            <w:shd w:val="clear" w:color="auto" w:fill="auto"/>
            <w:noWrap/>
            <w:vAlign w:val="bottom"/>
            <w:hideMark/>
          </w:tcPr>
          <w:p w14:paraId="7189FC66" w14:textId="77777777" w:rsidR="00C06287" w:rsidRPr="00555324" w:rsidRDefault="00C06287" w:rsidP="00C06287">
            <w:pPr>
              <w:rPr>
                <w:color w:val="000000"/>
                <w:sz w:val="22"/>
                <w:szCs w:val="22"/>
              </w:rPr>
            </w:pPr>
            <w:r w:rsidRPr="00555324">
              <w:rPr>
                <w:color w:val="000000"/>
                <w:sz w:val="22"/>
                <w:szCs w:val="22"/>
              </w:rPr>
              <w:t>Shore</w:t>
            </w:r>
          </w:p>
        </w:tc>
        <w:tc>
          <w:tcPr>
            <w:tcW w:w="1270" w:type="dxa"/>
            <w:tcBorders>
              <w:top w:val="nil"/>
              <w:left w:val="nil"/>
              <w:bottom w:val="single" w:sz="4" w:space="0" w:color="auto"/>
              <w:right w:val="single" w:sz="4" w:space="0" w:color="auto"/>
            </w:tcBorders>
            <w:shd w:val="clear" w:color="auto" w:fill="auto"/>
            <w:noWrap/>
            <w:vAlign w:val="bottom"/>
            <w:hideMark/>
          </w:tcPr>
          <w:p w14:paraId="55A4C35A" w14:textId="77777777" w:rsidR="00C06287" w:rsidRPr="00555324" w:rsidRDefault="00C06287" w:rsidP="00C06287">
            <w:pPr>
              <w:jc w:val="center"/>
              <w:rPr>
                <w:color w:val="000000"/>
                <w:sz w:val="22"/>
                <w:szCs w:val="22"/>
              </w:rPr>
            </w:pPr>
            <w:r w:rsidRPr="00555324">
              <w:rPr>
                <w:color w:val="000000"/>
                <w:sz w:val="22"/>
                <w:szCs w:val="22"/>
              </w:rPr>
              <w:t>3,518</w:t>
            </w:r>
          </w:p>
        </w:tc>
        <w:tc>
          <w:tcPr>
            <w:tcW w:w="1123" w:type="dxa"/>
            <w:tcBorders>
              <w:top w:val="nil"/>
              <w:left w:val="nil"/>
              <w:bottom w:val="single" w:sz="4" w:space="0" w:color="auto"/>
              <w:right w:val="single" w:sz="4" w:space="0" w:color="auto"/>
            </w:tcBorders>
            <w:shd w:val="clear" w:color="auto" w:fill="auto"/>
            <w:noWrap/>
            <w:vAlign w:val="bottom"/>
            <w:hideMark/>
          </w:tcPr>
          <w:p w14:paraId="2CE72CA3" w14:textId="77777777" w:rsidR="00C06287" w:rsidRPr="00555324" w:rsidRDefault="00C06287" w:rsidP="00C06287">
            <w:pPr>
              <w:jc w:val="center"/>
              <w:rPr>
                <w:color w:val="000000"/>
                <w:sz w:val="22"/>
                <w:szCs w:val="22"/>
              </w:rPr>
            </w:pPr>
            <w:r w:rsidRPr="00555324">
              <w:rPr>
                <w:color w:val="000000"/>
                <w:sz w:val="22"/>
                <w:szCs w:val="22"/>
              </w:rPr>
              <w:t>21,047</w:t>
            </w:r>
          </w:p>
        </w:tc>
        <w:tc>
          <w:tcPr>
            <w:tcW w:w="1479" w:type="dxa"/>
            <w:tcBorders>
              <w:top w:val="nil"/>
              <w:left w:val="nil"/>
              <w:bottom w:val="single" w:sz="4" w:space="0" w:color="auto"/>
              <w:right w:val="single" w:sz="4" w:space="0" w:color="auto"/>
            </w:tcBorders>
            <w:shd w:val="clear" w:color="auto" w:fill="auto"/>
            <w:noWrap/>
            <w:vAlign w:val="bottom"/>
            <w:hideMark/>
          </w:tcPr>
          <w:p w14:paraId="3BA833FE" w14:textId="77777777" w:rsidR="00C06287" w:rsidRPr="00555324" w:rsidRDefault="00C06287" w:rsidP="00C06287">
            <w:pPr>
              <w:jc w:val="center"/>
              <w:rPr>
                <w:color w:val="000000"/>
                <w:sz w:val="22"/>
                <w:szCs w:val="22"/>
              </w:rPr>
            </w:pPr>
            <w:r w:rsidRPr="00555324">
              <w:rPr>
                <w:color w:val="000000"/>
                <w:sz w:val="22"/>
                <w:szCs w:val="22"/>
              </w:rPr>
              <w:t>24,565</w:t>
            </w:r>
          </w:p>
        </w:tc>
        <w:tc>
          <w:tcPr>
            <w:tcW w:w="1340" w:type="dxa"/>
            <w:tcBorders>
              <w:top w:val="nil"/>
              <w:left w:val="nil"/>
              <w:bottom w:val="single" w:sz="4" w:space="0" w:color="auto"/>
              <w:right w:val="single" w:sz="4" w:space="0" w:color="auto"/>
            </w:tcBorders>
            <w:shd w:val="clear" w:color="auto" w:fill="auto"/>
            <w:noWrap/>
            <w:vAlign w:val="bottom"/>
            <w:hideMark/>
          </w:tcPr>
          <w:p w14:paraId="3EDF7BC1" w14:textId="77777777" w:rsidR="00C06287" w:rsidRPr="00555324" w:rsidRDefault="00C06287" w:rsidP="00C06287">
            <w:pPr>
              <w:jc w:val="center"/>
              <w:rPr>
                <w:color w:val="000000"/>
                <w:sz w:val="22"/>
                <w:szCs w:val="22"/>
              </w:rPr>
            </w:pPr>
            <w:r w:rsidRPr="00555324">
              <w:rPr>
                <w:color w:val="000000"/>
                <w:sz w:val="22"/>
                <w:szCs w:val="22"/>
              </w:rPr>
              <w:t>15.2%</w:t>
            </w:r>
          </w:p>
        </w:tc>
      </w:tr>
      <w:tr w:rsidR="00C06287" w:rsidRPr="00555324" w14:paraId="599DD6F4" w14:textId="77777777" w:rsidTr="00555324">
        <w:trPr>
          <w:trHeight w:val="300"/>
        </w:trPr>
        <w:tc>
          <w:tcPr>
            <w:tcW w:w="1069" w:type="dxa"/>
            <w:vMerge/>
            <w:tcBorders>
              <w:top w:val="nil"/>
              <w:left w:val="single" w:sz="4" w:space="0" w:color="auto"/>
              <w:bottom w:val="single" w:sz="4" w:space="0" w:color="000000"/>
              <w:right w:val="single" w:sz="4" w:space="0" w:color="auto"/>
            </w:tcBorders>
            <w:shd w:val="clear" w:color="auto" w:fill="auto"/>
            <w:vAlign w:val="center"/>
            <w:hideMark/>
          </w:tcPr>
          <w:p w14:paraId="4A78821E" w14:textId="77777777" w:rsidR="00C06287" w:rsidRPr="00555324" w:rsidRDefault="00C06287" w:rsidP="00C06287">
            <w:pPr>
              <w:rPr>
                <w:b/>
                <w:bCs/>
                <w:color w:val="000000"/>
                <w:sz w:val="22"/>
                <w:szCs w:val="22"/>
              </w:rPr>
            </w:pPr>
          </w:p>
        </w:tc>
        <w:tc>
          <w:tcPr>
            <w:tcW w:w="1589" w:type="dxa"/>
            <w:tcBorders>
              <w:top w:val="nil"/>
              <w:left w:val="nil"/>
              <w:bottom w:val="single" w:sz="4" w:space="0" w:color="auto"/>
              <w:right w:val="single" w:sz="4" w:space="0" w:color="auto"/>
            </w:tcBorders>
            <w:shd w:val="clear" w:color="auto" w:fill="auto"/>
            <w:noWrap/>
            <w:vAlign w:val="bottom"/>
            <w:hideMark/>
          </w:tcPr>
          <w:p w14:paraId="0C2495F6" w14:textId="77777777" w:rsidR="00C06287" w:rsidRPr="00555324" w:rsidRDefault="00C06287" w:rsidP="00C06287">
            <w:pPr>
              <w:rPr>
                <w:color w:val="000000"/>
                <w:sz w:val="22"/>
                <w:szCs w:val="22"/>
              </w:rPr>
            </w:pPr>
            <w:r w:rsidRPr="00555324">
              <w:rPr>
                <w:color w:val="000000"/>
                <w:sz w:val="22"/>
                <w:szCs w:val="22"/>
              </w:rPr>
              <w:t>For-Hire</w:t>
            </w:r>
          </w:p>
        </w:tc>
        <w:tc>
          <w:tcPr>
            <w:tcW w:w="1270" w:type="dxa"/>
            <w:tcBorders>
              <w:top w:val="nil"/>
              <w:left w:val="nil"/>
              <w:bottom w:val="single" w:sz="4" w:space="0" w:color="auto"/>
              <w:right w:val="single" w:sz="4" w:space="0" w:color="auto"/>
            </w:tcBorders>
            <w:shd w:val="clear" w:color="auto" w:fill="auto"/>
            <w:noWrap/>
            <w:vAlign w:val="bottom"/>
            <w:hideMark/>
          </w:tcPr>
          <w:p w14:paraId="7299C8C5" w14:textId="77777777" w:rsidR="00C06287" w:rsidRPr="00555324" w:rsidRDefault="00C06287" w:rsidP="00C06287">
            <w:pPr>
              <w:jc w:val="center"/>
              <w:rPr>
                <w:color w:val="000000"/>
                <w:sz w:val="22"/>
                <w:szCs w:val="22"/>
              </w:rPr>
            </w:pPr>
            <w:r w:rsidRPr="00555324">
              <w:rPr>
                <w:color w:val="000000"/>
                <w:sz w:val="22"/>
                <w:szCs w:val="22"/>
              </w:rPr>
              <w:t>9,657</w:t>
            </w:r>
          </w:p>
        </w:tc>
        <w:tc>
          <w:tcPr>
            <w:tcW w:w="1123" w:type="dxa"/>
            <w:tcBorders>
              <w:top w:val="nil"/>
              <w:left w:val="nil"/>
              <w:bottom w:val="single" w:sz="4" w:space="0" w:color="auto"/>
              <w:right w:val="single" w:sz="4" w:space="0" w:color="auto"/>
            </w:tcBorders>
            <w:shd w:val="clear" w:color="auto" w:fill="auto"/>
            <w:noWrap/>
            <w:vAlign w:val="bottom"/>
            <w:hideMark/>
          </w:tcPr>
          <w:p w14:paraId="10B81592" w14:textId="77777777" w:rsidR="00C06287" w:rsidRPr="00555324" w:rsidRDefault="00C06287" w:rsidP="00C06287">
            <w:pPr>
              <w:jc w:val="center"/>
              <w:rPr>
                <w:color w:val="000000"/>
                <w:sz w:val="22"/>
                <w:szCs w:val="22"/>
              </w:rPr>
            </w:pPr>
            <w:r w:rsidRPr="00555324">
              <w:rPr>
                <w:color w:val="000000"/>
                <w:sz w:val="22"/>
                <w:szCs w:val="22"/>
              </w:rPr>
              <w:t>4,775</w:t>
            </w:r>
          </w:p>
        </w:tc>
        <w:tc>
          <w:tcPr>
            <w:tcW w:w="1479" w:type="dxa"/>
            <w:tcBorders>
              <w:top w:val="nil"/>
              <w:left w:val="nil"/>
              <w:bottom w:val="single" w:sz="4" w:space="0" w:color="auto"/>
              <w:right w:val="single" w:sz="4" w:space="0" w:color="auto"/>
            </w:tcBorders>
            <w:shd w:val="clear" w:color="auto" w:fill="auto"/>
            <w:noWrap/>
            <w:vAlign w:val="bottom"/>
            <w:hideMark/>
          </w:tcPr>
          <w:p w14:paraId="01203A04" w14:textId="77777777" w:rsidR="00C06287" w:rsidRPr="00555324" w:rsidRDefault="00C06287" w:rsidP="00C06287">
            <w:pPr>
              <w:jc w:val="center"/>
              <w:rPr>
                <w:color w:val="000000"/>
                <w:sz w:val="22"/>
                <w:szCs w:val="22"/>
              </w:rPr>
            </w:pPr>
            <w:r w:rsidRPr="00555324">
              <w:rPr>
                <w:color w:val="000000"/>
                <w:sz w:val="22"/>
                <w:szCs w:val="22"/>
              </w:rPr>
              <w:t>14,432</w:t>
            </w:r>
          </w:p>
        </w:tc>
        <w:tc>
          <w:tcPr>
            <w:tcW w:w="1340" w:type="dxa"/>
            <w:tcBorders>
              <w:top w:val="nil"/>
              <w:left w:val="nil"/>
              <w:bottom w:val="single" w:sz="4" w:space="0" w:color="auto"/>
              <w:right w:val="single" w:sz="4" w:space="0" w:color="auto"/>
            </w:tcBorders>
            <w:shd w:val="clear" w:color="auto" w:fill="auto"/>
            <w:noWrap/>
            <w:vAlign w:val="bottom"/>
            <w:hideMark/>
          </w:tcPr>
          <w:p w14:paraId="4C5E52DD" w14:textId="77777777" w:rsidR="00C06287" w:rsidRPr="00555324" w:rsidRDefault="00C06287" w:rsidP="00C06287">
            <w:pPr>
              <w:jc w:val="center"/>
              <w:rPr>
                <w:color w:val="000000"/>
                <w:sz w:val="22"/>
                <w:szCs w:val="22"/>
              </w:rPr>
            </w:pPr>
            <w:r w:rsidRPr="00555324">
              <w:rPr>
                <w:color w:val="000000"/>
                <w:sz w:val="22"/>
                <w:szCs w:val="22"/>
              </w:rPr>
              <w:t>9.0%</w:t>
            </w:r>
          </w:p>
        </w:tc>
      </w:tr>
      <w:tr w:rsidR="00C06287" w:rsidRPr="00555324" w14:paraId="25359A4A" w14:textId="77777777" w:rsidTr="00555324">
        <w:trPr>
          <w:trHeight w:val="300"/>
        </w:trPr>
        <w:tc>
          <w:tcPr>
            <w:tcW w:w="1069" w:type="dxa"/>
            <w:vMerge/>
            <w:tcBorders>
              <w:top w:val="nil"/>
              <w:left w:val="single" w:sz="4" w:space="0" w:color="auto"/>
              <w:bottom w:val="single" w:sz="4" w:space="0" w:color="000000"/>
              <w:right w:val="single" w:sz="4" w:space="0" w:color="auto"/>
            </w:tcBorders>
            <w:shd w:val="clear" w:color="auto" w:fill="auto"/>
            <w:vAlign w:val="center"/>
            <w:hideMark/>
          </w:tcPr>
          <w:p w14:paraId="174C3ED0" w14:textId="77777777" w:rsidR="00C06287" w:rsidRPr="00555324" w:rsidRDefault="00C06287" w:rsidP="00C06287">
            <w:pPr>
              <w:rPr>
                <w:b/>
                <w:bCs/>
                <w:color w:val="000000"/>
                <w:sz w:val="22"/>
                <w:szCs w:val="22"/>
              </w:rPr>
            </w:pPr>
          </w:p>
        </w:tc>
        <w:tc>
          <w:tcPr>
            <w:tcW w:w="1589" w:type="dxa"/>
            <w:tcBorders>
              <w:top w:val="nil"/>
              <w:left w:val="nil"/>
              <w:bottom w:val="single" w:sz="4" w:space="0" w:color="auto"/>
              <w:right w:val="single" w:sz="4" w:space="0" w:color="auto"/>
            </w:tcBorders>
            <w:shd w:val="clear" w:color="auto" w:fill="auto"/>
            <w:noWrap/>
            <w:vAlign w:val="bottom"/>
            <w:hideMark/>
          </w:tcPr>
          <w:p w14:paraId="631261D1" w14:textId="77777777" w:rsidR="00C06287" w:rsidRPr="00555324" w:rsidRDefault="00C06287" w:rsidP="00C06287">
            <w:pPr>
              <w:rPr>
                <w:color w:val="000000"/>
                <w:sz w:val="22"/>
                <w:szCs w:val="22"/>
              </w:rPr>
            </w:pPr>
            <w:r w:rsidRPr="00555324">
              <w:rPr>
                <w:color w:val="000000"/>
                <w:sz w:val="22"/>
                <w:szCs w:val="22"/>
              </w:rPr>
              <w:t>Private/Rental</w:t>
            </w:r>
          </w:p>
        </w:tc>
        <w:tc>
          <w:tcPr>
            <w:tcW w:w="1270" w:type="dxa"/>
            <w:tcBorders>
              <w:top w:val="nil"/>
              <w:left w:val="nil"/>
              <w:bottom w:val="single" w:sz="4" w:space="0" w:color="auto"/>
              <w:right w:val="single" w:sz="4" w:space="0" w:color="auto"/>
            </w:tcBorders>
            <w:shd w:val="clear" w:color="auto" w:fill="auto"/>
            <w:noWrap/>
            <w:vAlign w:val="bottom"/>
            <w:hideMark/>
          </w:tcPr>
          <w:p w14:paraId="533F67DD" w14:textId="77777777" w:rsidR="00C06287" w:rsidRPr="00555324" w:rsidRDefault="00C06287" w:rsidP="00C06287">
            <w:pPr>
              <w:jc w:val="center"/>
              <w:rPr>
                <w:color w:val="000000"/>
                <w:sz w:val="22"/>
                <w:szCs w:val="22"/>
              </w:rPr>
            </w:pPr>
            <w:r w:rsidRPr="00555324">
              <w:rPr>
                <w:color w:val="000000"/>
                <w:sz w:val="22"/>
                <w:szCs w:val="22"/>
              </w:rPr>
              <w:t>53,780</w:t>
            </w:r>
          </w:p>
        </w:tc>
        <w:tc>
          <w:tcPr>
            <w:tcW w:w="1123" w:type="dxa"/>
            <w:tcBorders>
              <w:top w:val="nil"/>
              <w:left w:val="nil"/>
              <w:bottom w:val="single" w:sz="4" w:space="0" w:color="auto"/>
              <w:right w:val="single" w:sz="4" w:space="0" w:color="auto"/>
            </w:tcBorders>
            <w:shd w:val="clear" w:color="auto" w:fill="auto"/>
            <w:noWrap/>
            <w:vAlign w:val="bottom"/>
            <w:hideMark/>
          </w:tcPr>
          <w:p w14:paraId="42807A6D" w14:textId="77777777" w:rsidR="00C06287" w:rsidRPr="00555324" w:rsidRDefault="00C06287" w:rsidP="00C06287">
            <w:pPr>
              <w:jc w:val="center"/>
              <w:rPr>
                <w:color w:val="000000"/>
                <w:sz w:val="22"/>
                <w:szCs w:val="22"/>
              </w:rPr>
            </w:pPr>
            <w:r w:rsidRPr="00555324">
              <w:rPr>
                <w:color w:val="000000"/>
                <w:sz w:val="22"/>
                <w:szCs w:val="22"/>
              </w:rPr>
              <w:t>68,470</w:t>
            </w:r>
          </w:p>
        </w:tc>
        <w:tc>
          <w:tcPr>
            <w:tcW w:w="1479" w:type="dxa"/>
            <w:tcBorders>
              <w:top w:val="nil"/>
              <w:left w:val="nil"/>
              <w:bottom w:val="single" w:sz="4" w:space="0" w:color="auto"/>
              <w:right w:val="single" w:sz="4" w:space="0" w:color="auto"/>
            </w:tcBorders>
            <w:shd w:val="clear" w:color="auto" w:fill="auto"/>
            <w:noWrap/>
            <w:vAlign w:val="bottom"/>
            <w:hideMark/>
          </w:tcPr>
          <w:p w14:paraId="55E58C13" w14:textId="77777777" w:rsidR="00C06287" w:rsidRPr="00555324" w:rsidRDefault="00C06287" w:rsidP="00C06287">
            <w:pPr>
              <w:jc w:val="center"/>
              <w:rPr>
                <w:color w:val="000000"/>
                <w:sz w:val="22"/>
                <w:szCs w:val="22"/>
              </w:rPr>
            </w:pPr>
            <w:r w:rsidRPr="00555324">
              <w:rPr>
                <w:color w:val="000000"/>
                <w:sz w:val="22"/>
                <w:szCs w:val="22"/>
              </w:rPr>
              <w:t>122,249</w:t>
            </w:r>
          </w:p>
        </w:tc>
        <w:tc>
          <w:tcPr>
            <w:tcW w:w="1340" w:type="dxa"/>
            <w:tcBorders>
              <w:top w:val="nil"/>
              <w:left w:val="nil"/>
              <w:bottom w:val="single" w:sz="4" w:space="0" w:color="auto"/>
              <w:right w:val="single" w:sz="4" w:space="0" w:color="auto"/>
            </w:tcBorders>
            <w:shd w:val="clear" w:color="auto" w:fill="auto"/>
            <w:noWrap/>
            <w:vAlign w:val="bottom"/>
            <w:hideMark/>
          </w:tcPr>
          <w:p w14:paraId="623BA4FE" w14:textId="77777777" w:rsidR="00C06287" w:rsidRPr="00555324" w:rsidRDefault="00C06287" w:rsidP="00C06287">
            <w:pPr>
              <w:jc w:val="center"/>
              <w:rPr>
                <w:color w:val="000000"/>
                <w:sz w:val="22"/>
                <w:szCs w:val="22"/>
              </w:rPr>
            </w:pPr>
            <w:r w:rsidRPr="00555324">
              <w:rPr>
                <w:color w:val="000000"/>
                <w:sz w:val="22"/>
                <w:szCs w:val="22"/>
              </w:rPr>
              <w:t>75.8%</w:t>
            </w:r>
          </w:p>
        </w:tc>
      </w:tr>
      <w:tr w:rsidR="00C06287" w:rsidRPr="00555324" w14:paraId="5D7C4015" w14:textId="77777777" w:rsidTr="00555324">
        <w:trPr>
          <w:trHeight w:val="300"/>
        </w:trPr>
        <w:tc>
          <w:tcPr>
            <w:tcW w:w="1069" w:type="dxa"/>
            <w:vMerge/>
            <w:tcBorders>
              <w:top w:val="nil"/>
              <w:left w:val="single" w:sz="4" w:space="0" w:color="auto"/>
              <w:bottom w:val="single" w:sz="4" w:space="0" w:color="000000"/>
              <w:right w:val="single" w:sz="4" w:space="0" w:color="auto"/>
            </w:tcBorders>
            <w:shd w:val="clear" w:color="auto" w:fill="auto"/>
            <w:vAlign w:val="center"/>
            <w:hideMark/>
          </w:tcPr>
          <w:p w14:paraId="146CBF95" w14:textId="77777777" w:rsidR="00C06287" w:rsidRPr="00555324" w:rsidRDefault="00C06287" w:rsidP="00C06287">
            <w:pPr>
              <w:rPr>
                <w:b/>
                <w:bCs/>
                <w:color w:val="000000"/>
                <w:sz w:val="22"/>
                <w:szCs w:val="22"/>
              </w:rPr>
            </w:pPr>
          </w:p>
        </w:tc>
        <w:tc>
          <w:tcPr>
            <w:tcW w:w="1589" w:type="dxa"/>
            <w:tcBorders>
              <w:top w:val="nil"/>
              <w:left w:val="nil"/>
              <w:bottom w:val="single" w:sz="4" w:space="0" w:color="auto"/>
              <w:right w:val="single" w:sz="4" w:space="0" w:color="auto"/>
            </w:tcBorders>
            <w:shd w:val="clear" w:color="auto" w:fill="auto"/>
            <w:noWrap/>
            <w:vAlign w:val="bottom"/>
            <w:hideMark/>
          </w:tcPr>
          <w:p w14:paraId="2AFE8189" w14:textId="77777777" w:rsidR="00C06287" w:rsidRPr="00555324" w:rsidRDefault="00C06287" w:rsidP="00C06287">
            <w:pPr>
              <w:rPr>
                <w:color w:val="000000"/>
                <w:sz w:val="22"/>
                <w:szCs w:val="22"/>
              </w:rPr>
            </w:pPr>
            <w:r w:rsidRPr="00555324">
              <w:rPr>
                <w:color w:val="000000"/>
                <w:sz w:val="22"/>
                <w:szCs w:val="22"/>
              </w:rPr>
              <w:t>All</w:t>
            </w:r>
          </w:p>
        </w:tc>
        <w:tc>
          <w:tcPr>
            <w:tcW w:w="1270" w:type="dxa"/>
            <w:tcBorders>
              <w:top w:val="nil"/>
              <w:left w:val="nil"/>
              <w:bottom w:val="single" w:sz="4" w:space="0" w:color="auto"/>
              <w:right w:val="single" w:sz="4" w:space="0" w:color="auto"/>
            </w:tcBorders>
            <w:shd w:val="clear" w:color="auto" w:fill="auto"/>
            <w:noWrap/>
            <w:vAlign w:val="bottom"/>
            <w:hideMark/>
          </w:tcPr>
          <w:p w14:paraId="00BC2669" w14:textId="77777777" w:rsidR="00C06287" w:rsidRPr="00555324" w:rsidRDefault="00C06287" w:rsidP="00C06287">
            <w:pPr>
              <w:jc w:val="center"/>
              <w:rPr>
                <w:color w:val="000000"/>
                <w:sz w:val="22"/>
                <w:szCs w:val="22"/>
              </w:rPr>
            </w:pPr>
            <w:r w:rsidRPr="00555324">
              <w:rPr>
                <w:color w:val="000000"/>
                <w:sz w:val="22"/>
                <w:szCs w:val="22"/>
              </w:rPr>
              <w:t>66,955</w:t>
            </w:r>
          </w:p>
        </w:tc>
        <w:tc>
          <w:tcPr>
            <w:tcW w:w="1123" w:type="dxa"/>
            <w:tcBorders>
              <w:top w:val="nil"/>
              <w:left w:val="nil"/>
              <w:bottom w:val="single" w:sz="4" w:space="0" w:color="auto"/>
              <w:right w:val="single" w:sz="4" w:space="0" w:color="auto"/>
            </w:tcBorders>
            <w:shd w:val="clear" w:color="auto" w:fill="auto"/>
            <w:noWrap/>
            <w:vAlign w:val="bottom"/>
            <w:hideMark/>
          </w:tcPr>
          <w:p w14:paraId="4D1A421E" w14:textId="77777777" w:rsidR="00C06287" w:rsidRPr="00555324" w:rsidRDefault="00C06287" w:rsidP="00C06287">
            <w:pPr>
              <w:jc w:val="center"/>
              <w:rPr>
                <w:color w:val="000000"/>
                <w:sz w:val="22"/>
                <w:szCs w:val="22"/>
              </w:rPr>
            </w:pPr>
            <w:r w:rsidRPr="00555324">
              <w:rPr>
                <w:color w:val="000000"/>
                <w:sz w:val="22"/>
                <w:szCs w:val="22"/>
              </w:rPr>
              <w:t>94,292</w:t>
            </w:r>
          </w:p>
        </w:tc>
        <w:tc>
          <w:tcPr>
            <w:tcW w:w="1479" w:type="dxa"/>
            <w:tcBorders>
              <w:top w:val="nil"/>
              <w:left w:val="nil"/>
              <w:bottom w:val="single" w:sz="4" w:space="0" w:color="auto"/>
              <w:right w:val="single" w:sz="4" w:space="0" w:color="auto"/>
            </w:tcBorders>
            <w:shd w:val="clear" w:color="auto" w:fill="auto"/>
            <w:noWrap/>
            <w:vAlign w:val="bottom"/>
            <w:hideMark/>
          </w:tcPr>
          <w:p w14:paraId="036746AE" w14:textId="77777777" w:rsidR="00C06287" w:rsidRPr="00555324" w:rsidRDefault="00C06287" w:rsidP="00C06287">
            <w:pPr>
              <w:jc w:val="center"/>
              <w:rPr>
                <w:color w:val="000000"/>
                <w:sz w:val="22"/>
                <w:szCs w:val="22"/>
              </w:rPr>
            </w:pPr>
            <w:r w:rsidRPr="00555324">
              <w:rPr>
                <w:color w:val="000000"/>
                <w:sz w:val="22"/>
                <w:szCs w:val="22"/>
              </w:rPr>
              <w:t>161,247</w:t>
            </w:r>
          </w:p>
        </w:tc>
        <w:tc>
          <w:tcPr>
            <w:tcW w:w="1340" w:type="dxa"/>
            <w:tcBorders>
              <w:top w:val="nil"/>
              <w:left w:val="nil"/>
              <w:bottom w:val="single" w:sz="4" w:space="0" w:color="auto"/>
              <w:right w:val="single" w:sz="4" w:space="0" w:color="auto"/>
            </w:tcBorders>
            <w:shd w:val="clear" w:color="auto" w:fill="auto"/>
            <w:noWrap/>
            <w:vAlign w:val="bottom"/>
            <w:hideMark/>
          </w:tcPr>
          <w:p w14:paraId="2C0F2E9E" w14:textId="77777777" w:rsidR="00C06287" w:rsidRPr="00555324" w:rsidRDefault="00C06287" w:rsidP="00C06287">
            <w:pPr>
              <w:jc w:val="center"/>
              <w:rPr>
                <w:color w:val="000000"/>
                <w:sz w:val="22"/>
                <w:szCs w:val="22"/>
              </w:rPr>
            </w:pPr>
            <w:r w:rsidRPr="00555324">
              <w:rPr>
                <w:color w:val="000000"/>
                <w:sz w:val="22"/>
                <w:szCs w:val="22"/>
              </w:rPr>
              <w:t>100.0%</w:t>
            </w:r>
          </w:p>
        </w:tc>
      </w:tr>
    </w:tbl>
    <w:p w14:paraId="02B359EC" w14:textId="73C9CD3E" w:rsidR="00C06287" w:rsidRDefault="00555324" w:rsidP="00555324">
      <w:r>
        <w:rPr>
          <w:rFonts w:ascii="Arial" w:hAnsi="Arial" w:cs="Arial"/>
          <w:sz w:val="20"/>
          <w:szCs w:val="20"/>
        </w:rPr>
        <w:t xml:space="preserve">Source: </w:t>
      </w:r>
      <w:r w:rsidRPr="00091BD5">
        <w:rPr>
          <w:rFonts w:ascii="Arial" w:hAnsi="Arial" w:cs="Arial"/>
          <w:sz w:val="20"/>
          <w:szCs w:val="20"/>
        </w:rPr>
        <w:t xml:space="preserve"> Personal communication from the National Marine Fisheries Service, Fisheries Statistics Division March 28, 2016</w:t>
      </w:r>
      <w:r>
        <w:rPr>
          <w:rFonts w:ascii="Arial" w:hAnsi="Arial" w:cs="Arial"/>
          <w:sz w:val="20"/>
          <w:szCs w:val="20"/>
        </w:rPr>
        <w:t>.</w:t>
      </w:r>
    </w:p>
    <w:p w14:paraId="358D629D" w14:textId="77777777" w:rsidR="00C06287" w:rsidRDefault="00C06287" w:rsidP="00C06287">
      <w:pPr>
        <w:ind w:firstLine="360"/>
      </w:pPr>
    </w:p>
    <w:p w14:paraId="1D04513B" w14:textId="77777777" w:rsidR="00493106" w:rsidRDefault="00493106">
      <w:pPr>
        <w:rPr>
          <w:rFonts w:ascii="Arial" w:hAnsi="Arial"/>
          <w:b/>
          <w:bCs/>
          <w:sz w:val="20"/>
        </w:rPr>
      </w:pPr>
      <w:r>
        <w:rPr>
          <w:b/>
        </w:rPr>
        <w:br w:type="page"/>
      </w:r>
    </w:p>
    <w:p w14:paraId="0C0CFD81" w14:textId="0A8B4C8C" w:rsidR="00C06287" w:rsidRDefault="00C06287" w:rsidP="00555324">
      <w:pPr>
        <w:pStyle w:val="Tabletitle"/>
      </w:pPr>
      <w:bookmarkStart w:id="168" w:name="_Toc340431567"/>
      <w:r>
        <w:rPr>
          <w:b/>
        </w:rPr>
        <w:lastRenderedPageBreak/>
        <w:t>Table 3.3.22</w:t>
      </w:r>
      <w:r w:rsidRPr="00091BD5">
        <w:rPr>
          <w:b/>
        </w:rPr>
        <w:t>.</w:t>
      </w:r>
      <w:r>
        <w:t xml:space="preserve">  Estimates of average annual </w:t>
      </w:r>
      <w:r w:rsidR="00555324">
        <w:t>catch (numbers of fish)</w:t>
      </w:r>
      <w:r>
        <w:t xml:space="preserve"> of mutton snapper </w:t>
      </w:r>
      <w:r w:rsidR="00555324">
        <w:t xml:space="preserve">and percent </w:t>
      </w:r>
      <w:r>
        <w:t xml:space="preserve">harvested by anglers </w:t>
      </w:r>
      <w:r w:rsidR="00555324">
        <w:t>in East Florida by mode, 2010-</w:t>
      </w:r>
      <w:r>
        <w:t>2014.</w:t>
      </w:r>
      <w:bookmarkEnd w:id="168"/>
      <w:r>
        <w:t xml:space="preserve">  </w:t>
      </w:r>
    </w:p>
    <w:tbl>
      <w:tblPr>
        <w:tblW w:w="8043" w:type="dxa"/>
        <w:tblInd w:w="93" w:type="dxa"/>
        <w:tblLook w:val="04A0" w:firstRow="1" w:lastRow="0" w:firstColumn="1" w:lastColumn="0" w:noHBand="0" w:noVBand="1"/>
      </w:tblPr>
      <w:tblGrid>
        <w:gridCol w:w="1709"/>
        <w:gridCol w:w="1270"/>
        <w:gridCol w:w="1123"/>
        <w:gridCol w:w="1961"/>
        <w:gridCol w:w="1980"/>
      </w:tblGrid>
      <w:tr w:rsidR="00C06287" w:rsidRPr="00555324" w14:paraId="585EDFBC" w14:textId="77777777" w:rsidTr="00555324">
        <w:trPr>
          <w:trHeight w:val="300"/>
        </w:trPr>
        <w:tc>
          <w:tcPr>
            <w:tcW w:w="1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65E785" w14:textId="77777777" w:rsidR="00C06287" w:rsidRPr="00555324" w:rsidRDefault="00C06287" w:rsidP="00C06287">
            <w:pPr>
              <w:jc w:val="center"/>
              <w:rPr>
                <w:b/>
                <w:bCs/>
                <w:color w:val="000000"/>
                <w:sz w:val="22"/>
                <w:szCs w:val="22"/>
              </w:rPr>
            </w:pPr>
            <w:r w:rsidRPr="00555324">
              <w:rPr>
                <w:b/>
                <w:bCs/>
                <w:color w:val="000000"/>
                <w:sz w:val="22"/>
                <w:szCs w:val="22"/>
              </w:rPr>
              <w:t>Mode</w:t>
            </w:r>
          </w:p>
        </w:tc>
        <w:tc>
          <w:tcPr>
            <w:tcW w:w="435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56FD939" w14:textId="77777777" w:rsidR="00C06287" w:rsidRPr="00555324" w:rsidRDefault="00C06287" w:rsidP="00C06287">
            <w:pPr>
              <w:jc w:val="center"/>
              <w:rPr>
                <w:b/>
                <w:bCs/>
                <w:color w:val="000000"/>
                <w:sz w:val="22"/>
                <w:szCs w:val="22"/>
              </w:rPr>
            </w:pPr>
            <w:r w:rsidRPr="00555324">
              <w:rPr>
                <w:b/>
                <w:bCs/>
                <w:color w:val="000000"/>
                <w:sz w:val="22"/>
                <w:szCs w:val="22"/>
              </w:rPr>
              <w:t>Average annual number of fish</w:t>
            </w:r>
          </w:p>
        </w:tc>
        <w:tc>
          <w:tcPr>
            <w:tcW w:w="198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EED1582" w14:textId="77777777" w:rsidR="00C06287" w:rsidRPr="00555324" w:rsidRDefault="00C06287" w:rsidP="00C06287">
            <w:pPr>
              <w:jc w:val="center"/>
              <w:rPr>
                <w:b/>
                <w:bCs/>
                <w:color w:val="000000"/>
                <w:sz w:val="22"/>
                <w:szCs w:val="22"/>
              </w:rPr>
            </w:pPr>
            <w:r w:rsidRPr="00555324">
              <w:rPr>
                <w:b/>
                <w:bCs/>
                <w:color w:val="000000"/>
                <w:sz w:val="22"/>
                <w:szCs w:val="22"/>
              </w:rPr>
              <w:t>Percent harvested</w:t>
            </w:r>
          </w:p>
        </w:tc>
      </w:tr>
      <w:tr w:rsidR="00C06287" w:rsidRPr="00555324" w14:paraId="11B431E1" w14:textId="77777777" w:rsidTr="00555324">
        <w:trPr>
          <w:trHeight w:val="300"/>
        </w:trPr>
        <w:tc>
          <w:tcPr>
            <w:tcW w:w="170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BA2263" w14:textId="77777777" w:rsidR="00C06287" w:rsidRPr="00555324" w:rsidRDefault="00C06287" w:rsidP="00C06287">
            <w:pPr>
              <w:rPr>
                <w:b/>
                <w:bCs/>
                <w:color w:val="000000"/>
                <w:sz w:val="22"/>
                <w:szCs w:val="22"/>
              </w:rPr>
            </w:pPr>
          </w:p>
        </w:tc>
        <w:tc>
          <w:tcPr>
            <w:tcW w:w="1270" w:type="dxa"/>
            <w:tcBorders>
              <w:top w:val="nil"/>
              <w:left w:val="nil"/>
              <w:bottom w:val="single" w:sz="4" w:space="0" w:color="auto"/>
              <w:right w:val="single" w:sz="4" w:space="0" w:color="auto"/>
            </w:tcBorders>
            <w:shd w:val="clear" w:color="auto" w:fill="D9D9D9" w:themeFill="background1" w:themeFillShade="D9"/>
            <w:noWrap/>
            <w:vAlign w:val="bottom"/>
            <w:hideMark/>
          </w:tcPr>
          <w:p w14:paraId="61C609CD" w14:textId="77777777" w:rsidR="00C06287" w:rsidRPr="00555324" w:rsidRDefault="00C06287" w:rsidP="00C06287">
            <w:pPr>
              <w:jc w:val="center"/>
              <w:rPr>
                <w:b/>
                <w:bCs/>
                <w:color w:val="000000"/>
                <w:sz w:val="22"/>
                <w:szCs w:val="22"/>
              </w:rPr>
            </w:pPr>
            <w:r w:rsidRPr="00555324">
              <w:rPr>
                <w:b/>
                <w:bCs/>
                <w:color w:val="000000"/>
                <w:sz w:val="22"/>
                <w:szCs w:val="22"/>
              </w:rPr>
              <w:t>Harvested</w:t>
            </w:r>
          </w:p>
        </w:tc>
        <w:tc>
          <w:tcPr>
            <w:tcW w:w="1123" w:type="dxa"/>
            <w:tcBorders>
              <w:top w:val="nil"/>
              <w:left w:val="nil"/>
              <w:bottom w:val="single" w:sz="4" w:space="0" w:color="auto"/>
              <w:right w:val="single" w:sz="4" w:space="0" w:color="auto"/>
            </w:tcBorders>
            <w:shd w:val="clear" w:color="auto" w:fill="D9D9D9" w:themeFill="background1" w:themeFillShade="D9"/>
            <w:noWrap/>
            <w:vAlign w:val="bottom"/>
            <w:hideMark/>
          </w:tcPr>
          <w:p w14:paraId="0572F583" w14:textId="77777777" w:rsidR="00C06287" w:rsidRPr="00555324" w:rsidRDefault="00C06287" w:rsidP="00C06287">
            <w:pPr>
              <w:jc w:val="center"/>
              <w:rPr>
                <w:b/>
                <w:bCs/>
                <w:color w:val="000000"/>
                <w:sz w:val="22"/>
                <w:szCs w:val="22"/>
              </w:rPr>
            </w:pPr>
            <w:r w:rsidRPr="00555324">
              <w:rPr>
                <w:b/>
                <w:bCs/>
                <w:color w:val="000000"/>
                <w:sz w:val="22"/>
                <w:szCs w:val="22"/>
              </w:rPr>
              <w:t>Released</w:t>
            </w:r>
          </w:p>
        </w:tc>
        <w:tc>
          <w:tcPr>
            <w:tcW w:w="1961" w:type="dxa"/>
            <w:tcBorders>
              <w:top w:val="nil"/>
              <w:left w:val="nil"/>
              <w:bottom w:val="single" w:sz="4" w:space="0" w:color="auto"/>
              <w:right w:val="single" w:sz="4" w:space="0" w:color="auto"/>
            </w:tcBorders>
            <w:shd w:val="clear" w:color="auto" w:fill="D9D9D9" w:themeFill="background1" w:themeFillShade="D9"/>
            <w:noWrap/>
            <w:vAlign w:val="bottom"/>
            <w:hideMark/>
          </w:tcPr>
          <w:p w14:paraId="2641559E" w14:textId="77777777" w:rsidR="00C06287" w:rsidRPr="00555324" w:rsidRDefault="00C06287" w:rsidP="00C06287">
            <w:pPr>
              <w:jc w:val="center"/>
              <w:rPr>
                <w:b/>
                <w:bCs/>
                <w:color w:val="000000"/>
                <w:sz w:val="22"/>
                <w:szCs w:val="22"/>
              </w:rPr>
            </w:pPr>
            <w:r w:rsidRPr="00555324">
              <w:rPr>
                <w:b/>
                <w:bCs/>
                <w:color w:val="000000"/>
                <w:sz w:val="22"/>
                <w:szCs w:val="22"/>
              </w:rPr>
              <w:t>Total caught</w:t>
            </w:r>
          </w:p>
        </w:tc>
        <w:tc>
          <w:tcPr>
            <w:tcW w:w="19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37E5CA0" w14:textId="77777777" w:rsidR="00C06287" w:rsidRPr="00555324" w:rsidRDefault="00C06287" w:rsidP="00C06287">
            <w:pPr>
              <w:rPr>
                <w:b/>
                <w:bCs/>
                <w:color w:val="000000"/>
                <w:sz w:val="22"/>
                <w:szCs w:val="22"/>
              </w:rPr>
            </w:pPr>
          </w:p>
        </w:tc>
      </w:tr>
      <w:tr w:rsidR="00C06287" w:rsidRPr="00555324" w14:paraId="067BDA55" w14:textId="77777777" w:rsidTr="00555324">
        <w:trPr>
          <w:trHeight w:val="300"/>
        </w:trPr>
        <w:tc>
          <w:tcPr>
            <w:tcW w:w="1709" w:type="dxa"/>
            <w:tcBorders>
              <w:top w:val="nil"/>
              <w:left w:val="single" w:sz="4" w:space="0" w:color="auto"/>
              <w:bottom w:val="single" w:sz="4" w:space="0" w:color="auto"/>
              <w:right w:val="single" w:sz="4" w:space="0" w:color="auto"/>
            </w:tcBorders>
            <w:shd w:val="clear" w:color="000000" w:fill="auto"/>
            <w:noWrap/>
            <w:vAlign w:val="bottom"/>
            <w:hideMark/>
          </w:tcPr>
          <w:p w14:paraId="48EA50B7" w14:textId="77777777" w:rsidR="00C06287" w:rsidRPr="00555324" w:rsidRDefault="00C06287" w:rsidP="00C06287">
            <w:pPr>
              <w:rPr>
                <w:bCs/>
                <w:color w:val="000000"/>
                <w:sz w:val="22"/>
                <w:szCs w:val="22"/>
              </w:rPr>
            </w:pPr>
            <w:r w:rsidRPr="00555324">
              <w:rPr>
                <w:bCs/>
                <w:color w:val="000000"/>
                <w:sz w:val="22"/>
                <w:szCs w:val="22"/>
              </w:rPr>
              <w:t>Shore</w:t>
            </w:r>
          </w:p>
        </w:tc>
        <w:tc>
          <w:tcPr>
            <w:tcW w:w="1270" w:type="dxa"/>
            <w:tcBorders>
              <w:top w:val="nil"/>
              <w:left w:val="nil"/>
              <w:bottom w:val="single" w:sz="4" w:space="0" w:color="auto"/>
              <w:right w:val="single" w:sz="4" w:space="0" w:color="auto"/>
            </w:tcBorders>
            <w:shd w:val="clear" w:color="auto" w:fill="auto"/>
            <w:noWrap/>
            <w:vAlign w:val="bottom"/>
            <w:hideMark/>
          </w:tcPr>
          <w:p w14:paraId="60275D5C" w14:textId="77777777" w:rsidR="00C06287" w:rsidRPr="00555324" w:rsidRDefault="00C06287" w:rsidP="00C06287">
            <w:pPr>
              <w:jc w:val="center"/>
              <w:rPr>
                <w:color w:val="000000"/>
                <w:sz w:val="22"/>
                <w:szCs w:val="22"/>
              </w:rPr>
            </w:pPr>
            <w:r w:rsidRPr="00555324">
              <w:rPr>
                <w:color w:val="000000"/>
                <w:sz w:val="22"/>
                <w:szCs w:val="22"/>
              </w:rPr>
              <w:t>3,518</w:t>
            </w:r>
          </w:p>
        </w:tc>
        <w:tc>
          <w:tcPr>
            <w:tcW w:w="1123" w:type="dxa"/>
            <w:tcBorders>
              <w:top w:val="nil"/>
              <w:left w:val="nil"/>
              <w:bottom w:val="single" w:sz="4" w:space="0" w:color="auto"/>
              <w:right w:val="single" w:sz="4" w:space="0" w:color="auto"/>
            </w:tcBorders>
            <w:shd w:val="clear" w:color="auto" w:fill="auto"/>
            <w:noWrap/>
            <w:vAlign w:val="bottom"/>
            <w:hideMark/>
          </w:tcPr>
          <w:p w14:paraId="61358D4D" w14:textId="77777777" w:rsidR="00C06287" w:rsidRPr="00555324" w:rsidRDefault="00C06287" w:rsidP="00C06287">
            <w:pPr>
              <w:jc w:val="center"/>
              <w:rPr>
                <w:color w:val="000000"/>
                <w:sz w:val="22"/>
                <w:szCs w:val="22"/>
              </w:rPr>
            </w:pPr>
            <w:r w:rsidRPr="00555324">
              <w:rPr>
                <w:color w:val="000000"/>
                <w:sz w:val="22"/>
                <w:szCs w:val="22"/>
              </w:rPr>
              <w:t>21,047</w:t>
            </w:r>
          </w:p>
        </w:tc>
        <w:tc>
          <w:tcPr>
            <w:tcW w:w="1961" w:type="dxa"/>
            <w:tcBorders>
              <w:top w:val="nil"/>
              <w:left w:val="nil"/>
              <w:bottom w:val="single" w:sz="4" w:space="0" w:color="auto"/>
              <w:right w:val="single" w:sz="4" w:space="0" w:color="auto"/>
            </w:tcBorders>
            <w:shd w:val="clear" w:color="auto" w:fill="auto"/>
            <w:noWrap/>
            <w:vAlign w:val="bottom"/>
            <w:hideMark/>
          </w:tcPr>
          <w:p w14:paraId="5E7ABEFA" w14:textId="77777777" w:rsidR="00C06287" w:rsidRPr="00555324" w:rsidRDefault="00C06287" w:rsidP="00C06287">
            <w:pPr>
              <w:jc w:val="center"/>
              <w:rPr>
                <w:color w:val="000000"/>
                <w:sz w:val="22"/>
                <w:szCs w:val="22"/>
              </w:rPr>
            </w:pPr>
            <w:r w:rsidRPr="00555324">
              <w:rPr>
                <w:color w:val="000000"/>
                <w:sz w:val="22"/>
                <w:szCs w:val="22"/>
              </w:rPr>
              <w:t>24,565</w:t>
            </w:r>
          </w:p>
        </w:tc>
        <w:tc>
          <w:tcPr>
            <w:tcW w:w="1980" w:type="dxa"/>
            <w:tcBorders>
              <w:top w:val="nil"/>
              <w:left w:val="nil"/>
              <w:bottom w:val="single" w:sz="4" w:space="0" w:color="auto"/>
              <w:right w:val="single" w:sz="4" w:space="0" w:color="auto"/>
            </w:tcBorders>
            <w:shd w:val="clear" w:color="auto" w:fill="auto"/>
            <w:noWrap/>
            <w:vAlign w:val="bottom"/>
            <w:hideMark/>
          </w:tcPr>
          <w:p w14:paraId="25FD6E43" w14:textId="77777777" w:rsidR="00C06287" w:rsidRPr="00555324" w:rsidRDefault="00C06287" w:rsidP="00C06287">
            <w:pPr>
              <w:jc w:val="center"/>
              <w:rPr>
                <w:color w:val="000000"/>
                <w:sz w:val="22"/>
                <w:szCs w:val="22"/>
              </w:rPr>
            </w:pPr>
            <w:r w:rsidRPr="00555324">
              <w:rPr>
                <w:color w:val="000000"/>
                <w:sz w:val="22"/>
                <w:szCs w:val="22"/>
              </w:rPr>
              <w:t>14.3%</w:t>
            </w:r>
          </w:p>
        </w:tc>
      </w:tr>
      <w:tr w:rsidR="00C06287" w:rsidRPr="00555324" w14:paraId="6740370B" w14:textId="77777777" w:rsidTr="00555324">
        <w:trPr>
          <w:trHeight w:val="315"/>
        </w:trPr>
        <w:tc>
          <w:tcPr>
            <w:tcW w:w="1709" w:type="dxa"/>
            <w:tcBorders>
              <w:top w:val="nil"/>
              <w:left w:val="single" w:sz="4" w:space="0" w:color="auto"/>
              <w:bottom w:val="single" w:sz="4" w:space="0" w:color="auto"/>
              <w:right w:val="single" w:sz="4" w:space="0" w:color="auto"/>
            </w:tcBorders>
            <w:shd w:val="clear" w:color="000000" w:fill="auto"/>
            <w:noWrap/>
            <w:vAlign w:val="bottom"/>
            <w:hideMark/>
          </w:tcPr>
          <w:p w14:paraId="5873A81F" w14:textId="77777777" w:rsidR="00C06287" w:rsidRPr="00555324" w:rsidRDefault="00C06287" w:rsidP="00C06287">
            <w:pPr>
              <w:rPr>
                <w:bCs/>
                <w:color w:val="000000"/>
                <w:sz w:val="22"/>
                <w:szCs w:val="22"/>
              </w:rPr>
            </w:pPr>
            <w:r w:rsidRPr="00555324">
              <w:rPr>
                <w:bCs/>
                <w:color w:val="000000"/>
                <w:sz w:val="22"/>
                <w:szCs w:val="22"/>
              </w:rPr>
              <w:t>For-Hire</w:t>
            </w:r>
          </w:p>
        </w:tc>
        <w:tc>
          <w:tcPr>
            <w:tcW w:w="1270" w:type="dxa"/>
            <w:tcBorders>
              <w:top w:val="nil"/>
              <w:left w:val="nil"/>
              <w:bottom w:val="single" w:sz="4" w:space="0" w:color="auto"/>
              <w:right w:val="single" w:sz="4" w:space="0" w:color="auto"/>
            </w:tcBorders>
            <w:shd w:val="clear" w:color="auto" w:fill="auto"/>
            <w:noWrap/>
            <w:vAlign w:val="bottom"/>
            <w:hideMark/>
          </w:tcPr>
          <w:p w14:paraId="6805A4C5" w14:textId="77777777" w:rsidR="00C06287" w:rsidRPr="00555324" w:rsidRDefault="00C06287" w:rsidP="00C06287">
            <w:pPr>
              <w:jc w:val="center"/>
              <w:rPr>
                <w:color w:val="000000"/>
                <w:sz w:val="22"/>
                <w:szCs w:val="22"/>
              </w:rPr>
            </w:pPr>
            <w:r w:rsidRPr="00555324">
              <w:rPr>
                <w:color w:val="000000"/>
                <w:sz w:val="22"/>
                <w:szCs w:val="22"/>
              </w:rPr>
              <w:t>9,657</w:t>
            </w:r>
          </w:p>
        </w:tc>
        <w:tc>
          <w:tcPr>
            <w:tcW w:w="1123" w:type="dxa"/>
            <w:tcBorders>
              <w:top w:val="nil"/>
              <w:left w:val="nil"/>
              <w:bottom w:val="single" w:sz="4" w:space="0" w:color="auto"/>
              <w:right w:val="single" w:sz="4" w:space="0" w:color="auto"/>
            </w:tcBorders>
            <w:shd w:val="clear" w:color="auto" w:fill="auto"/>
            <w:noWrap/>
            <w:vAlign w:val="bottom"/>
            <w:hideMark/>
          </w:tcPr>
          <w:p w14:paraId="3B8F0EE8" w14:textId="77777777" w:rsidR="00C06287" w:rsidRPr="00555324" w:rsidRDefault="00C06287" w:rsidP="00C06287">
            <w:pPr>
              <w:jc w:val="center"/>
              <w:rPr>
                <w:color w:val="000000"/>
                <w:sz w:val="22"/>
                <w:szCs w:val="22"/>
              </w:rPr>
            </w:pPr>
            <w:r w:rsidRPr="00555324">
              <w:rPr>
                <w:color w:val="000000"/>
                <w:sz w:val="22"/>
                <w:szCs w:val="22"/>
              </w:rPr>
              <w:t>4,775</w:t>
            </w:r>
          </w:p>
        </w:tc>
        <w:tc>
          <w:tcPr>
            <w:tcW w:w="1961" w:type="dxa"/>
            <w:tcBorders>
              <w:top w:val="nil"/>
              <w:left w:val="nil"/>
              <w:bottom w:val="single" w:sz="4" w:space="0" w:color="auto"/>
              <w:right w:val="single" w:sz="4" w:space="0" w:color="auto"/>
            </w:tcBorders>
            <w:shd w:val="clear" w:color="auto" w:fill="auto"/>
            <w:noWrap/>
            <w:vAlign w:val="bottom"/>
            <w:hideMark/>
          </w:tcPr>
          <w:p w14:paraId="7A3B9EFD" w14:textId="77777777" w:rsidR="00C06287" w:rsidRPr="00555324" w:rsidRDefault="00C06287" w:rsidP="00C06287">
            <w:pPr>
              <w:jc w:val="center"/>
              <w:rPr>
                <w:color w:val="000000"/>
                <w:sz w:val="22"/>
                <w:szCs w:val="22"/>
              </w:rPr>
            </w:pPr>
            <w:r w:rsidRPr="00555324">
              <w:rPr>
                <w:color w:val="000000"/>
                <w:sz w:val="22"/>
                <w:szCs w:val="22"/>
              </w:rPr>
              <w:t>14,432</w:t>
            </w:r>
          </w:p>
        </w:tc>
        <w:tc>
          <w:tcPr>
            <w:tcW w:w="1980" w:type="dxa"/>
            <w:tcBorders>
              <w:top w:val="nil"/>
              <w:left w:val="nil"/>
              <w:bottom w:val="single" w:sz="4" w:space="0" w:color="auto"/>
              <w:right w:val="single" w:sz="4" w:space="0" w:color="auto"/>
            </w:tcBorders>
            <w:shd w:val="clear" w:color="auto" w:fill="auto"/>
            <w:noWrap/>
            <w:vAlign w:val="bottom"/>
            <w:hideMark/>
          </w:tcPr>
          <w:p w14:paraId="5C4F3F67" w14:textId="77777777" w:rsidR="00C06287" w:rsidRPr="00555324" w:rsidRDefault="00C06287" w:rsidP="00C06287">
            <w:pPr>
              <w:jc w:val="center"/>
              <w:rPr>
                <w:color w:val="000000"/>
                <w:sz w:val="22"/>
                <w:szCs w:val="22"/>
              </w:rPr>
            </w:pPr>
            <w:r w:rsidRPr="00555324">
              <w:rPr>
                <w:color w:val="000000"/>
                <w:sz w:val="22"/>
                <w:szCs w:val="22"/>
              </w:rPr>
              <w:t>66.9%</w:t>
            </w:r>
          </w:p>
        </w:tc>
      </w:tr>
      <w:tr w:rsidR="00C06287" w:rsidRPr="00555324" w14:paraId="370310EF" w14:textId="77777777" w:rsidTr="00555324">
        <w:trPr>
          <w:trHeight w:val="300"/>
        </w:trPr>
        <w:tc>
          <w:tcPr>
            <w:tcW w:w="1709" w:type="dxa"/>
            <w:tcBorders>
              <w:top w:val="nil"/>
              <w:left w:val="single" w:sz="4" w:space="0" w:color="auto"/>
              <w:bottom w:val="single" w:sz="4" w:space="0" w:color="auto"/>
              <w:right w:val="single" w:sz="4" w:space="0" w:color="auto"/>
            </w:tcBorders>
            <w:shd w:val="clear" w:color="000000" w:fill="auto"/>
            <w:noWrap/>
            <w:vAlign w:val="bottom"/>
            <w:hideMark/>
          </w:tcPr>
          <w:p w14:paraId="258C9F07" w14:textId="77777777" w:rsidR="00C06287" w:rsidRPr="00555324" w:rsidRDefault="00C06287" w:rsidP="00C06287">
            <w:pPr>
              <w:rPr>
                <w:bCs/>
                <w:color w:val="000000"/>
                <w:sz w:val="22"/>
                <w:szCs w:val="22"/>
              </w:rPr>
            </w:pPr>
            <w:r w:rsidRPr="00555324">
              <w:rPr>
                <w:bCs/>
                <w:color w:val="000000"/>
                <w:sz w:val="22"/>
                <w:szCs w:val="22"/>
              </w:rPr>
              <w:t>Private/Rental</w:t>
            </w:r>
          </w:p>
        </w:tc>
        <w:tc>
          <w:tcPr>
            <w:tcW w:w="1270" w:type="dxa"/>
            <w:tcBorders>
              <w:top w:val="nil"/>
              <w:left w:val="nil"/>
              <w:bottom w:val="single" w:sz="4" w:space="0" w:color="auto"/>
              <w:right w:val="single" w:sz="4" w:space="0" w:color="auto"/>
            </w:tcBorders>
            <w:shd w:val="clear" w:color="auto" w:fill="auto"/>
            <w:noWrap/>
            <w:vAlign w:val="bottom"/>
            <w:hideMark/>
          </w:tcPr>
          <w:p w14:paraId="1EBD96F4" w14:textId="77777777" w:rsidR="00C06287" w:rsidRPr="00555324" w:rsidRDefault="00C06287" w:rsidP="00C06287">
            <w:pPr>
              <w:jc w:val="center"/>
              <w:rPr>
                <w:color w:val="000000"/>
                <w:sz w:val="22"/>
                <w:szCs w:val="22"/>
              </w:rPr>
            </w:pPr>
            <w:r w:rsidRPr="00555324">
              <w:rPr>
                <w:color w:val="000000"/>
                <w:sz w:val="22"/>
                <w:szCs w:val="22"/>
              </w:rPr>
              <w:t>53,780</w:t>
            </w:r>
          </w:p>
        </w:tc>
        <w:tc>
          <w:tcPr>
            <w:tcW w:w="1123" w:type="dxa"/>
            <w:tcBorders>
              <w:top w:val="nil"/>
              <w:left w:val="nil"/>
              <w:bottom w:val="single" w:sz="4" w:space="0" w:color="auto"/>
              <w:right w:val="single" w:sz="4" w:space="0" w:color="auto"/>
            </w:tcBorders>
            <w:shd w:val="clear" w:color="auto" w:fill="auto"/>
            <w:noWrap/>
            <w:vAlign w:val="bottom"/>
            <w:hideMark/>
          </w:tcPr>
          <w:p w14:paraId="6A54C616" w14:textId="77777777" w:rsidR="00C06287" w:rsidRPr="00555324" w:rsidRDefault="00C06287" w:rsidP="00C06287">
            <w:pPr>
              <w:jc w:val="center"/>
              <w:rPr>
                <w:color w:val="000000"/>
                <w:sz w:val="22"/>
                <w:szCs w:val="22"/>
              </w:rPr>
            </w:pPr>
            <w:r w:rsidRPr="00555324">
              <w:rPr>
                <w:color w:val="000000"/>
                <w:sz w:val="22"/>
                <w:szCs w:val="22"/>
              </w:rPr>
              <w:t>68,470</w:t>
            </w:r>
          </w:p>
        </w:tc>
        <w:tc>
          <w:tcPr>
            <w:tcW w:w="1961" w:type="dxa"/>
            <w:tcBorders>
              <w:top w:val="nil"/>
              <w:left w:val="nil"/>
              <w:bottom w:val="single" w:sz="4" w:space="0" w:color="auto"/>
              <w:right w:val="single" w:sz="4" w:space="0" w:color="auto"/>
            </w:tcBorders>
            <w:shd w:val="clear" w:color="auto" w:fill="auto"/>
            <w:noWrap/>
            <w:vAlign w:val="bottom"/>
            <w:hideMark/>
          </w:tcPr>
          <w:p w14:paraId="514023B7" w14:textId="77777777" w:rsidR="00C06287" w:rsidRPr="00555324" w:rsidRDefault="00C06287" w:rsidP="00C06287">
            <w:pPr>
              <w:jc w:val="center"/>
              <w:rPr>
                <w:color w:val="000000"/>
                <w:sz w:val="22"/>
                <w:szCs w:val="22"/>
              </w:rPr>
            </w:pPr>
            <w:r w:rsidRPr="00555324">
              <w:rPr>
                <w:color w:val="000000"/>
                <w:sz w:val="22"/>
                <w:szCs w:val="22"/>
              </w:rPr>
              <w:t>122,249</w:t>
            </w:r>
          </w:p>
        </w:tc>
        <w:tc>
          <w:tcPr>
            <w:tcW w:w="1980" w:type="dxa"/>
            <w:tcBorders>
              <w:top w:val="nil"/>
              <w:left w:val="nil"/>
              <w:bottom w:val="single" w:sz="4" w:space="0" w:color="auto"/>
              <w:right w:val="single" w:sz="4" w:space="0" w:color="auto"/>
            </w:tcBorders>
            <w:shd w:val="clear" w:color="auto" w:fill="auto"/>
            <w:noWrap/>
            <w:vAlign w:val="bottom"/>
            <w:hideMark/>
          </w:tcPr>
          <w:p w14:paraId="24A708A3" w14:textId="77777777" w:rsidR="00C06287" w:rsidRPr="00555324" w:rsidRDefault="00C06287" w:rsidP="00C06287">
            <w:pPr>
              <w:jc w:val="center"/>
              <w:rPr>
                <w:color w:val="000000"/>
                <w:sz w:val="22"/>
                <w:szCs w:val="22"/>
              </w:rPr>
            </w:pPr>
            <w:r w:rsidRPr="00555324">
              <w:rPr>
                <w:color w:val="000000"/>
                <w:sz w:val="22"/>
                <w:szCs w:val="22"/>
              </w:rPr>
              <w:t>44.0%</w:t>
            </w:r>
          </w:p>
        </w:tc>
      </w:tr>
    </w:tbl>
    <w:p w14:paraId="0BAD71C0" w14:textId="05B83882" w:rsidR="00C06287" w:rsidRDefault="00555324" w:rsidP="00555324">
      <w:r>
        <w:rPr>
          <w:rFonts w:ascii="Arial" w:hAnsi="Arial" w:cs="Arial"/>
          <w:sz w:val="20"/>
          <w:szCs w:val="20"/>
        </w:rPr>
        <w:t xml:space="preserve">Source: </w:t>
      </w:r>
      <w:r w:rsidRPr="00091BD5">
        <w:rPr>
          <w:rFonts w:ascii="Arial" w:hAnsi="Arial" w:cs="Arial"/>
          <w:sz w:val="20"/>
          <w:szCs w:val="20"/>
        </w:rPr>
        <w:t xml:space="preserve"> Personal communication from the National Marine Fisheries Service, Fisheries Statistics Division March 28, 2016</w:t>
      </w:r>
      <w:r>
        <w:rPr>
          <w:rFonts w:ascii="Arial" w:hAnsi="Arial" w:cs="Arial"/>
          <w:sz w:val="20"/>
          <w:szCs w:val="20"/>
        </w:rPr>
        <w:t>.</w:t>
      </w:r>
    </w:p>
    <w:p w14:paraId="17F18CD2" w14:textId="77777777" w:rsidR="00C06287" w:rsidRDefault="00C06287" w:rsidP="00C06287">
      <w:pPr>
        <w:ind w:firstLine="360"/>
      </w:pPr>
    </w:p>
    <w:p w14:paraId="220A28CB" w14:textId="49AD0B04" w:rsidR="00C06287" w:rsidRDefault="00D02147" w:rsidP="00C06287">
      <w:pPr>
        <w:ind w:firstLine="360"/>
      </w:pPr>
      <w:r>
        <w:t>The minimum size limit for mutton snapper in federal and Florida waters is 16 inches total length (TL).  Because juvenile mutton snapper live in inshore areas, and adults are found in or near offshore reef and rock rubble habitats, it is expected that the largest percentage of released mutton snapper is attributed to anglers on shore.</w:t>
      </w:r>
    </w:p>
    <w:p w14:paraId="45B347DA" w14:textId="77777777" w:rsidR="00D02147" w:rsidRDefault="00D02147" w:rsidP="00C06287">
      <w:pPr>
        <w:ind w:firstLine="360"/>
      </w:pPr>
    </w:p>
    <w:p w14:paraId="7ACBBC93" w14:textId="735C4EC6" w:rsidR="00C06287" w:rsidRDefault="00D02147" w:rsidP="00C06287">
      <w:pPr>
        <w:ind w:firstLine="360"/>
      </w:pPr>
      <w:r>
        <w:t>Most mutton snapper that are caught and harvested by East Florida anglers are fished from state waters (</w:t>
      </w:r>
      <w:r>
        <w:rPr>
          <w:b/>
        </w:rPr>
        <w:t>Tables 3.3.23</w:t>
      </w:r>
      <w:r>
        <w:t>).  Approximately 14% of the mutton snapper that are caught are from federal waters, and approximately 22% of those harvested are from federal waters.  Mutton snapper caught in federal waters off East Florida are more likely to be harvested.  It is estimated that approximately 70% of those caught in the EEZ are harvested compared to approximately 44% of those caught in state waters (</w:t>
      </w:r>
      <w:r w:rsidRPr="00C63930">
        <w:rPr>
          <w:b/>
        </w:rPr>
        <w:t>Table 3.3.23</w:t>
      </w:r>
      <w:r w:rsidRPr="004623CD">
        <w:t>).</w:t>
      </w:r>
      <w:r>
        <w:t xml:space="preserve">  Preliminary data for 2015 suggest approximately 13% of the mutton snapper caught were fished for in federal waters and approximately 24% of the mutton snapper harvested were from federal waters.  </w:t>
      </w:r>
      <w:r w:rsidR="00C06287">
        <w:t xml:space="preserve">  </w:t>
      </w:r>
    </w:p>
    <w:p w14:paraId="750E4285" w14:textId="77777777" w:rsidR="00C06287" w:rsidRDefault="00C06287" w:rsidP="00C06287">
      <w:pPr>
        <w:ind w:firstLine="360"/>
      </w:pPr>
    </w:p>
    <w:p w14:paraId="02BF3174" w14:textId="3172E212" w:rsidR="00C06287" w:rsidRPr="00AE6F07" w:rsidRDefault="00C06287" w:rsidP="00AE6F07">
      <w:pPr>
        <w:pStyle w:val="Tabletitle"/>
        <w:rPr>
          <w:b/>
          <w:szCs w:val="20"/>
        </w:rPr>
      </w:pPr>
      <w:bookmarkStart w:id="169" w:name="_Toc340431568"/>
      <w:r w:rsidRPr="00AE6F07">
        <w:rPr>
          <w:b/>
        </w:rPr>
        <w:t>Table 3.3.23.</w:t>
      </w:r>
      <w:r w:rsidRPr="00AE6F07">
        <w:t xml:space="preserve">  Estimates of number of mutton snapper caught and harvested by East Florida anglers by waters</w:t>
      </w:r>
      <w:r w:rsidR="004623CD" w:rsidRPr="00AE6F07">
        <w:t xml:space="preserve"> fished, 2010-</w:t>
      </w:r>
      <w:r w:rsidRPr="00AE6F07">
        <w:t>2014.</w:t>
      </w:r>
      <w:bookmarkEnd w:id="169"/>
      <w:r w:rsidRPr="00AE6F07">
        <w:t xml:space="preserve">  </w:t>
      </w:r>
    </w:p>
    <w:tbl>
      <w:tblPr>
        <w:tblW w:w="9483" w:type="dxa"/>
        <w:tblInd w:w="93" w:type="dxa"/>
        <w:tblLook w:val="04A0" w:firstRow="1" w:lastRow="0" w:firstColumn="1" w:lastColumn="0" w:noHBand="0" w:noVBand="1"/>
      </w:tblPr>
      <w:tblGrid>
        <w:gridCol w:w="1056"/>
        <w:gridCol w:w="985"/>
        <w:gridCol w:w="1254"/>
        <w:gridCol w:w="1984"/>
        <w:gridCol w:w="966"/>
        <w:gridCol w:w="1254"/>
        <w:gridCol w:w="1984"/>
      </w:tblGrid>
      <w:tr w:rsidR="00C06287" w:rsidRPr="004623CD" w14:paraId="7E38D767" w14:textId="77777777" w:rsidTr="004623CD">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D8D128" w14:textId="77777777" w:rsidR="00C06287" w:rsidRPr="004623CD" w:rsidRDefault="00C06287" w:rsidP="00C06287">
            <w:pPr>
              <w:jc w:val="center"/>
              <w:rPr>
                <w:b/>
                <w:bCs/>
                <w:color w:val="000000"/>
                <w:sz w:val="22"/>
                <w:szCs w:val="22"/>
              </w:rPr>
            </w:pPr>
            <w:r w:rsidRPr="004623CD">
              <w:rPr>
                <w:b/>
                <w:bCs/>
                <w:color w:val="000000"/>
                <w:sz w:val="22"/>
                <w:szCs w:val="22"/>
              </w:rPr>
              <w:t>Year</w:t>
            </w:r>
          </w:p>
        </w:tc>
        <w:tc>
          <w:tcPr>
            <w:tcW w:w="8427" w:type="dxa"/>
            <w:gridSpan w:val="6"/>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7DCD735" w14:textId="77777777" w:rsidR="00C06287" w:rsidRPr="004623CD" w:rsidRDefault="00C06287" w:rsidP="00C06287">
            <w:pPr>
              <w:jc w:val="center"/>
              <w:rPr>
                <w:b/>
                <w:bCs/>
                <w:color w:val="000000"/>
                <w:sz w:val="22"/>
                <w:szCs w:val="22"/>
              </w:rPr>
            </w:pPr>
            <w:r w:rsidRPr="004623CD">
              <w:rPr>
                <w:b/>
                <w:bCs/>
                <w:color w:val="000000"/>
                <w:sz w:val="22"/>
                <w:szCs w:val="22"/>
              </w:rPr>
              <w:t>Number of fish</w:t>
            </w:r>
          </w:p>
        </w:tc>
      </w:tr>
      <w:tr w:rsidR="00C06287" w:rsidRPr="004623CD" w14:paraId="69C3BFBF" w14:textId="77777777" w:rsidTr="004623CD">
        <w:trPr>
          <w:trHeight w:val="300"/>
        </w:trPr>
        <w:tc>
          <w:tcPr>
            <w:tcW w:w="105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AC91BD" w14:textId="77777777" w:rsidR="00C06287" w:rsidRPr="004623CD" w:rsidRDefault="00C06287" w:rsidP="00C06287">
            <w:pPr>
              <w:rPr>
                <w:b/>
                <w:bCs/>
                <w:color w:val="000000"/>
                <w:sz w:val="22"/>
                <w:szCs w:val="22"/>
              </w:rPr>
            </w:pPr>
          </w:p>
        </w:tc>
        <w:tc>
          <w:tcPr>
            <w:tcW w:w="4223"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85FDB4D" w14:textId="1EF83210" w:rsidR="00C06287" w:rsidRPr="004623CD" w:rsidRDefault="00C06287" w:rsidP="00C06287">
            <w:pPr>
              <w:jc w:val="center"/>
              <w:rPr>
                <w:b/>
                <w:bCs/>
                <w:color w:val="000000"/>
                <w:sz w:val="22"/>
                <w:szCs w:val="22"/>
              </w:rPr>
            </w:pPr>
            <w:r w:rsidRPr="004623CD">
              <w:rPr>
                <w:b/>
                <w:bCs/>
                <w:color w:val="000000"/>
                <w:sz w:val="22"/>
                <w:szCs w:val="22"/>
              </w:rPr>
              <w:t xml:space="preserve">East FL </w:t>
            </w:r>
            <w:r w:rsidR="003E1DF5">
              <w:rPr>
                <w:b/>
                <w:bCs/>
                <w:color w:val="000000"/>
                <w:sz w:val="22"/>
                <w:szCs w:val="22"/>
              </w:rPr>
              <w:t xml:space="preserve">(state) </w:t>
            </w:r>
            <w:r w:rsidRPr="004623CD">
              <w:rPr>
                <w:b/>
                <w:bCs/>
                <w:color w:val="000000"/>
                <w:sz w:val="22"/>
                <w:szCs w:val="22"/>
              </w:rPr>
              <w:t>waters</w:t>
            </w:r>
          </w:p>
        </w:tc>
        <w:tc>
          <w:tcPr>
            <w:tcW w:w="420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06CD212" w14:textId="77777777" w:rsidR="00C06287" w:rsidRPr="004623CD" w:rsidRDefault="00C06287" w:rsidP="00C06287">
            <w:pPr>
              <w:jc w:val="center"/>
              <w:rPr>
                <w:b/>
                <w:bCs/>
                <w:color w:val="000000"/>
                <w:sz w:val="22"/>
                <w:szCs w:val="22"/>
              </w:rPr>
            </w:pPr>
            <w:r w:rsidRPr="004623CD">
              <w:rPr>
                <w:b/>
                <w:bCs/>
                <w:color w:val="000000"/>
                <w:sz w:val="22"/>
                <w:szCs w:val="22"/>
              </w:rPr>
              <w:t>Federal waters off East FL</w:t>
            </w:r>
          </w:p>
        </w:tc>
      </w:tr>
      <w:tr w:rsidR="00C06287" w:rsidRPr="004623CD" w14:paraId="35E879E1" w14:textId="77777777" w:rsidTr="004623CD">
        <w:trPr>
          <w:trHeight w:val="300"/>
        </w:trPr>
        <w:tc>
          <w:tcPr>
            <w:tcW w:w="105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9FFFF8" w14:textId="77777777" w:rsidR="00C06287" w:rsidRPr="004623CD" w:rsidRDefault="00C06287" w:rsidP="00C06287">
            <w:pPr>
              <w:rPr>
                <w:b/>
                <w:bCs/>
                <w:color w:val="000000"/>
                <w:sz w:val="22"/>
                <w:szCs w:val="22"/>
              </w:rPr>
            </w:pPr>
          </w:p>
        </w:tc>
        <w:tc>
          <w:tcPr>
            <w:tcW w:w="985" w:type="dxa"/>
            <w:tcBorders>
              <w:top w:val="nil"/>
              <w:left w:val="nil"/>
              <w:bottom w:val="single" w:sz="4" w:space="0" w:color="auto"/>
              <w:right w:val="single" w:sz="4" w:space="0" w:color="auto"/>
            </w:tcBorders>
            <w:shd w:val="clear" w:color="auto" w:fill="D9D9D9" w:themeFill="background1" w:themeFillShade="D9"/>
            <w:noWrap/>
            <w:vAlign w:val="bottom"/>
            <w:hideMark/>
          </w:tcPr>
          <w:p w14:paraId="362B9C85" w14:textId="77777777" w:rsidR="00C06287" w:rsidRPr="004623CD" w:rsidRDefault="00C06287" w:rsidP="00C06287">
            <w:pPr>
              <w:jc w:val="center"/>
              <w:rPr>
                <w:b/>
                <w:bCs/>
                <w:color w:val="000000"/>
                <w:sz w:val="22"/>
                <w:szCs w:val="22"/>
              </w:rPr>
            </w:pPr>
            <w:r w:rsidRPr="004623CD">
              <w:rPr>
                <w:b/>
                <w:bCs/>
                <w:color w:val="000000"/>
                <w:sz w:val="22"/>
                <w:szCs w:val="22"/>
              </w:rPr>
              <w:t>Caught</w:t>
            </w:r>
          </w:p>
        </w:tc>
        <w:tc>
          <w:tcPr>
            <w:tcW w:w="1254" w:type="dxa"/>
            <w:tcBorders>
              <w:top w:val="nil"/>
              <w:left w:val="nil"/>
              <w:bottom w:val="single" w:sz="4" w:space="0" w:color="auto"/>
              <w:right w:val="single" w:sz="4" w:space="0" w:color="auto"/>
            </w:tcBorders>
            <w:shd w:val="clear" w:color="auto" w:fill="D9D9D9" w:themeFill="background1" w:themeFillShade="D9"/>
            <w:noWrap/>
            <w:vAlign w:val="bottom"/>
            <w:hideMark/>
          </w:tcPr>
          <w:p w14:paraId="42206279" w14:textId="77777777" w:rsidR="00C06287" w:rsidRPr="004623CD" w:rsidRDefault="00C06287" w:rsidP="00C06287">
            <w:pPr>
              <w:jc w:val="center"/>
              <w:rPr>
                <w:b/>
                <w:bCs/>
                <w:color w:val="000000"/>
                <w:sz w:val="22"/>
                <w:szCs w:val="22"/>
              </w:rPr>
            </w:pPr>
            <w:r w:rsidRPr="004623CD">
              <w:rPr>
                <w:b/>
                <w:bCs/>
                <w:color w:val="000000"/>
                <w:sz w:val="22"/>
                <w:szCs w:val="22"/>
              </w:rPr>
              <w:t>Harvested</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14:paraId="6F6E92B9" w14:textId="77777777" w:rsidR="00C06287" w:rsidRPr="004623CD" w:rsidRDefault="00C06287" w:rsidP="00C06287">
            <w:pPr>
              <w:jc w:val="center"/>
              <w:rPr>
                <w:b/>
                <w:bCs/>
                <w:color w:val="000000"/>
                <w:sz w:val="22"/>
                <w:szCs w:val="22"/>
              </w:rPr>
            </w:pPr>
            <w:r w:rsidRPr="004623CD">
              <w:rPr>
                <w:b/>
                <w:bCs/>
                <w:color w:val="000000"/>
                <w:sz w:val="22"/>
                <w:szCs w:val="22"/>
              </w:rPr>
              <w:t>Percent harvested</w:t>
            </w:r>
          </w:p>
        </w:tc>
        <w:tc>
          <w:tcPr>
            <w:tcW w:w="966" w:type="dxa"/>
            <w:tcBorders>
              <w:top w:val="nil"/>
              <w:left w:val="nil"/>
              <w:bottom w:val="single" w:sz="4" w:space="0" w:color="auto"/>
              <w:right w:val="single" w:sz="4" w:space="0" w:color="auto"/>
            </w:tcBorders>
            <w:shd w:val="clear" w:color="auto" w:fill="D9D9D9" w:themeFill="background1" w:themeFillShade="D9"/>
            <w:noWrap/>
            <w:vAlign w:val="bottom"/>
            <w:hideMark/>
          </w:tcPr>
          <w:p w14:paraId="7FFFAA14" w14:textId="77777777" w:rsidR="00C06287" w:rsidRPr="004623CD" w:rsidRDefault="00C06287" w:rsidP="00C06287">
            <w:pPr>
              <w:jc w:val="center"/>
              <w:rPr>
                <w:b/>
                <w:bCs/>
                <w:color w:val="000000"/>
                <w:sz w:val="22"/>
                <w:szCs w:val="22"/>
              </w:rPr>
            </w:pPr>
            <w:r w:rsidRPr="004623CD">
              <w:rPr>
                <w:b/>
                <w:bCs/>
                <w:color w:val="000000"/>
                <w:sz w:val="22"/>
                <w:szCs w:val="22"/>
              </w:rPr>
              <w:t>Caught</w:t>
            </w:r>
          </w:p>
        </w:tc>
        <w:tc>
          <w:tcPr>
            <w:tcW w:w="1254" w:type="dxa"/>
            <w:tcBorders>
              <w:top w:val="nil"/>
              <w:left w:val="nil"/>
              <w:bottom w:val="single" w:sz="4" w:space="0" w:color="auto"/>
              <w:right w:val="single" w:sz="4" w:space="0" w:color="auto"/>
            </w:tcBorders>
            <w:shd w:val="clear" w:color="auto" w:fill="D9D9D9" w:themeFill="background1" w:themeFillShade="D9"/>
            <w:noWrap/>
            <w:vAlign w:val="bottom"/>
            <w:hideMark/>
          </w:tcPr>
          <w:p w14:paraId="0E2CD09B" w14:textId="77777777" w:rsidR="00C06287" w:rsidRPr="004623CD" w:rsidRDefault="00C06287" w:rsidP="00C06287">
            <w:pPr>
              <w:jc w:val="center"/>
              <w:rPr>
                <w:b/>
                <w:bCs/>
                <w:color w:val="000000"/>
                <w:sz w:val="22"/>
                <w:szCs w:val="22"/>
              </w:rPr>
            </w:pPr>
            <w:r w:rsidRPr="004623CD">
              <w:rPr>
                <w:b/>
                <w:bCs/>
                <w:color w:val="000000"/>
                <w:sz w:val="22"/>
                <w:szCs w:val="22"/>
              </w:rPr>
              <w:t>Harvested</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14:paraId="684B9037" w14:textId="77777777" w:rsidR="00C06287" w:rsidRPr="004623CD" w:rsidRDefault="00C06287" w:rsidP="00C06287">
            <w:pPr>
              <w:jc w:val="center"/>
              <w:rPr>
                <w:b/>
                <w:bCs/>
                <w:color w:val="000000"/>
                <w:sz w:val="22"/>
                <w:szCs w:val="22"/>
              </w:rPr>
            </w:pPr>
            <w:r w:rsidRPr="004623CD">
              <w:rPr>
                <w:b/>
                <w:bCs/>
                <w:color w:val="000000"/>
                <w:sz w:val="22"/>
                <w:szCs w:val="22"/>
              </w:rPr>
              <w:t>Percent harvested</w:t>
            </w:r>
          </w:p>
        </w:tc>
      </w:tr>
      <w:tr w:rsidR="00C06287" w:rsidRPr="004623CD" w14:paraId="508CDE88" w14:textId="77777777" w:rsidTr="004623CD">
        <w:trPr>
          <w:trHeight w:val="300"/>
        </w:trPr>
        <w:tc>
          <w:tcPr>
            <w:tcW w:w="1056" w:type="dxa"/>
            <w:tcBorders>
              <w:top w:val="nil"/>
              <w:left w:val="single" w:sz="4" w:space="0" w:color="auto"/>
              <w:bottom w:val="single" w:sz="4" w:space="0" w:color="auto"/>
              <w:right w:val="single" w:sz="4" w:space="0" w:color="auto"/>
            </w:tcBorders>
            <w:shd w:val="clear" w:color="000000" w:fill="auto"/>
            <w:noWrap/>
            <w:vAlign w:val="bottom"/>
            <w:hideMark/>
          </w:tcPr>
          <w:p w14:paraId="329875CB" w14:textId="77777777" w:rsidR="00C06287" w:rsidRPr="004623CD" w:rsidRDefault="00C06287" w:rsidP="00C06287">
            <w:pPr>
              <w:jc w:val="center"/>
              <w:rPr>
                <w:bCs/>
                <w:color w:val="000000"/>
                <w:sz w:val="22"/>
                <w:szCs w:val="22"/>
              </w:rPr>
            </w:pPr>
            <w:r w:rsidRPr="004623CD">
              <w:rPr>
                <w:bCs/>
                <w:color w:val="000000"/>
                <w:sz w:val="22"/>
                <w:szCs w:val="22"/>
              </w:rPr>
              <w:t>2010</w:t>
            </w:r>
          </w:p>
        </w:tc>
        <w:tc>
          <w:tcPr>
            <w:tcW w:w="985" w:type="dxa"/>
            <w:tcBorders>
              <w:top w:val="nil"/>
              <w:left w:val="nil"/>
              <w:bottom w:val="single" w:sz="4" w:space="0" w:color="auto"/>
              <w:right w:val="single" w:sz="4" w:space="0" w:color="auto"/>
            </w:tcBorders>
            <w:shd w:val="clear" w:color="auto" w:fill="auto"/>
            <w:noWrap/>
            <w:vAlign w:val="bottom"/>
            <w:hideMark/>
          </w:tcPr>
          <w:p w14:paraId="1DEBCA69" w14:textId="77777777" w:rsidR="00C06287" w:rsidRPr="004623CD" w:rsidRDefault="00C06287" w:rsidP="00C06287">
            <w:pPr>
              <w:jc w:val="center"/>
              <w:rPr>
                <w:color w:val="000000"/>
                <w:sz w:val="22"/>
                <w:szCs w:val="22"/>
              </w:rPr>
            </w:pPr>
            <w:r w:rsidRPr="004623CD">
              <w:rPr>
                <w:color w:val="000000"/>
                <w:sz w:val="22"/>
                <w:szCs w:val="22"/>
              </w:rPr>
              <w:t>117,041</w:t>
            </w:r>
          </w:p>
        </w:tc>
        <w:tc>
          <w:tcPr>
            <w:tcW w:w="1254" w:type="dxa"/>
            <w:tcBorders>
              <w:top w:val="nil"/>
              <w:left w:val="nil"/>
              <w:bottom w:val="single" w:sz="4" w:space="0" w:color="auto"/>
              <w:right w:val="single" w:sz="4" w:space="0" w:color="auto"/>
            </w:tcBorders>
            <w:shd w:val="clear" w:color="auto" w:fill="auto"/>
            <w:noWrap/>
            <w:vAlign w:val="bottom"/>
            <w:hideMark/>
          </w:tcPr>
          <w:p w14:paraId="79C0D391" w14:textId="77777777" w:rsidR="00C06287" w:rsidRPr="004623CD" w:rsidRDefault="00C06287" w:rsidP="00C06287">
            <w:pPr>
              <w:jc w:val="center"/>
              <w:rPr>
                <w:color w:val="000000"/>
                <w:sz w:val="22"/>
                <w:szCs w:val="22"/>
              </w:rPr>
            </w:pPr>
            <w:r w:rsidRPr="004623CD">
              <w:rPr>
                <w:color w:val="000000"/>
                <w:sz w:val="22"/>
                <w:szCs w:val="22"/>
              </w:rPr>
              <w:t>77,527</w:t>
            </w:r>
          </w:p>
        </w:tc>
        <w:tc>
          <w:tcPr>
            <w:tcW w:w="1984" w:type="dxa"/>
            <w:tcBorders>
              <w:top w:val="nil"/>
              <w:left w:val="nil"/>
              <w:bottom w:val="single" w:sz="4" w:space="0" w:color="auto"/>
              <w:right w:val="single" w:sz="4" w:space="0" w:color="auto"/>
            </w:tcBorders>
            <w:shd w:val="clear" w:color="auto" w:fill="auto"/>
            <w:noWrap/>
            <w:vAlign w:val="bottom"/>
            <w:hideMark/>
          </w:tcPr>
          <w:p w14:paraId="75814F11" w14:textId="77777777" w:rsidR="00C06287" w:rsidRPr="004623CD" w:rsidRDefault="00C06287" w:rsidP="00C06287">
            <w:pPr>
              <w:jc w:val="center"/>
              <w:rPr>
                <w:color w:val="000000"/>
                <w:sz w:val="22"/>
                <w:szCs w:val="22"/>
              </w:rPr>
            </w:pPr>
            <w:r w:rsidRPr="004623CD">
              <w:rPr>
                <w:color w:val="000000"/>
                <w:sz w:val="22"/>
                <w:szCs w:val="22"/>
              </w:rPr>
              <w:t>66.2%</w:t>
            </w:r>
          </w:p>
        </w:tc>
        <w:tc>
          <w:tcPr>
            <w:tcW w:w="966" w:type="dxa"/>
            <w:tcBorders>
              <w:top w:val="nil"/>
              <w:left w:val="nil"/>
              <w:bottom w:val="single" w:sz="4" w:space="0" w:color="auto"/>
              <w:right w:val="single" w:sz="4" w:space="0" w:color="auto"/>
            </w:tcBorders>
            <w:shd w:val="clear" w:color="auto" w:fill="auto"/>
            <w:noWrap/>
            <w:vAlign w:val="bottom"/>
            <w:hideMark/>
          </w:tcPr>
          <w:p w14:paraId="7CC346DE" w14:textId="77777777" w:rsidR="00C06287" w:rsidRPr="004623CD" w:rsidRDefault="00C06287" w:rsidP="00C06287">
            <w:pPr>
              <w:jc w:val="center"/>
              <w:rPr>
                <w:color w:val="000000"/>
                <w:sz w:val="22"/>
                <w:szCs w:val="22"/>
              </w:rPr>
            </w:pPr>
            <w:r w:rsidRPr="004623CD">
              <w:rPr>
                <w:color w:val="000000"/>
                <w:sz w:val="22"/>
                <w:szCs w:val="22"/>
              </w:rPr>
              <w:t>32,038</w:t>
            </w:r>
          </w:p>
        </w:tc>
        <w:tc>
          <w:tcPr>
            <w:tcW w:w="1254" w:type="dxa"/>
            <w:tcBorders>
              <w:top w:val="nil"/>
              <w:left w:val="nil"/>
              <w:bottom w:val="single" w:sz="4" w:space="0" w:color="auto"/>
              <w:right w:val="single" w:sz="4" w:space="0" w:color="auto"/>
            </w:tcBorders>
            <w:shd w:val="clear" w:color="auto" w:fill="auto"/>
            <w:noWrap/>
            <w:vAlign w:val="bottom"/>
            <w:hideMark/>
          </w:tcPr>
          <w:p w14:paraId="6A82B10D" w14:textId="77777777" w:rsidR="00C06287" w:rsidRPr="004623CD" w:rsidRDefault="00C06287" w:rsidP="00C06287">
            <w:pPr>
              <w:jc w:val="center"/>
              <w:rPr>
                <w:color w:val="000000"/>
                <w:sz w:val="22"/>
                <w:szCs w:val="22"/>
              </w:rPr>
            </w:pPr>
            <w:r w:rsidRPr="004623CD">
              <w:rPr>
                <w:color w:val="000000"/>
                <w:sz w:val="22"/>
                <w:szCs w:val="22"/>
              </w:rPr>
              <w:t>20,360</w:t>
            </w:r>
          </w:p>
        </w:tc>
        <w:tc>
          <w:tcPr>
            <w:tcW w:w="1984" w:type="dxa"/>
            <w:tcBorders>
              <w:top w:val="nil"/>
              <w:left w:val="nil"/>
              <w:bottom w:val="single" w:sz="4" w:space="0" w:color="auto"/>
              <w:right w:val="single" w:sz="4" w:space="0" w:color="auto"/>
            </w:tcBorders>
            <w:shd w:val="clear" w:color="auto" w:fill="auto"/>
            <w:noWrap/>
            <w:vAlign w:val="bottom"/>
            <w:hideMark/>
          </w:tcPr>
          <w:p w14:paraId="32CF2A0C" w14:textId="77777777" w:rsidR="00C06287" w:rsidRPr="004623CD" w:rsidRDefault="00C06287" w:rsidP="00C06287">
            <w:pPr>
              <w:jc w:val="center"/>
              <w:rPr>
                <w:color w:val="000000"/>
                <w:sz w:val="22"/>
                <w:szCs w:val="22"/>
              </w:rPr>
            </w:pPr>
            <w:r w:rsidRPr="004623CD">
              <w:rPr>
                <w:color w:val="000000"/>
                <w:sz w:val="22"/>
                <w:szCs w:val="22"/>
              </w:rPr>
              <w:t>63.5%</w:t>
            </w:r>
          </w:p>
        </w:tc>
      </w:tr>
      <w:tr w:rsidR="00C06287" w:rsidRPr="004623CD" w14:paraId="1A7F0895" w14:textId="77777777" w:rsidTr="004623CD">
        <w:trPr>
          <w:trHeight w:val="300"/>
        </w:trPr>
        <w:tc>
          <w:tcPr>
            <w:tcW w:w="1056" w:type="dxa"/>
            <w:tcBorders>
              <w:top w:val="nil"/>
              <w:left w:val="single" w:sz="4" w:space="0" w:color="auto"/>
              <w:bottom w:val="single" w:sz="4" w:space="0" w:color="auto"/>
              <w:right w:val="single" w:sz="4" w:space="0" w:color="auto"/>
            </w:tcBorders>
            <w:shd w:val="clear" w:color="000000" w:fill="auto"/>
            <w:noWrap/>
            <w:vAlign w:val="bottom"/>
            <w:hideMark/>
          </w:tcPr>
          <w:p w14:paraId="4741EEE2" w14:textId="77777777" w:rsidR="00C06287" w:rsidRPr="004623CD" w:rsidRDefault="00C06287" w:rsidP="00C06287">
            <w:pPr>
              <w:jc w:val="center"/>
              <w:rPr>
                <w:bCs/>
                <w:color w:val="000000"/>
                <w:sz w:val="22"/>
                <w:szCs w:val="22"/>
              </w:rPr>
            </w:pPr>
            <w:r w:rsidRPr="004623CD">
              <w:rPr>
                <w:bCs/>
                <w:color w:val="000000"/>
                <w:sz w:val="22"/>
                <w:szCs w:val="22"/>
              </w:rPr>
              <w:t>2011</w:t>
            </w:r>
          </w:p>
        </w:tc>
        <w:tc>
          <w:tcPr>
            <w:tcW w:w="985" w:type="dxa"/>
            <w:tcBorders>
              <w:top w:val="nil"/>
              <w:left w:val="nil"/>
              <w:bottom w:val="single" w:sz="4" w:space="0" w:color="auto"/>
              <w:right w:val="single" w:sz="4" w:space="0" w:color="auto"/>
            </w:tcBorders>
            <w:shd w:val="clear" w:color="auto" w:fill="auto"/>
            <w:noWrap/>
            <w:vAlign w:val="bottom"/>
            <w:hideMark/>
          </w:tcPr>
          <w:p w14:paraId="47762805" w14:textId="77777777" w:rsidR="00C06287" w:rsidRPr="004623CD" w:rsidRDefault="00C06287" w:rsidP="00C06287">
            <w:pPr>
              <w:jc w:val="center"/>
              <w:rPr>
                <w:color w:val="000000"/>
                <w:sz w:val="22"/>
                <w:szCs w:val="22"/>
              </w:rPr>
            </w:pPr>
            <w:r w:rsidRPr="004623CD">
              <w:rPr>
                <w:color w:val="000000"/>
                <w:sz w:val="22"/>
                <w:szCs w:val="22"/>
              </w:rPr>
              <w:t>46,109</w:t>
            </w:r>
          </w:p>
        </w:tc>
        <w:tc>
          <w:tcPr>
            <w:tcW w:w="1254" w:type="dxa"/>
            <w:tcBorders>
              <w:top w:val="nil"/>
              <w:left w:val="nil"/>
              <w:bottom w:val="single" w:sz="4" w:space="0" w:color="auto"/>
              <w:right w:val="single" w:sz="4" w:space="0" w:color="auto"/>
            </w:tcBorders>
            <w:shd w:val="clear" w:color="auto" w:fill="auto"/>
            <w:noWrap/>
            <w:vAlign w:val="bottom"/>
            <w:hideMark/>
          </w:tcPr>
          <w:p w14:paraId="1AEA3271" w14:textId="77777777" w:rsidR="00C06287" w:rsidRPr="004623CD" w:rsidRDefault="00C06287" w:rsidP="00C06287">
            <w:pPr>
              <w:jc w:val="center"/>
              <w:rPr>
                <w:color w:val="000000"/>
                <w:sz w:val="22"/>
                <w:szCs w:val="22"/>
              </w:rPr>
            </w:pPr>
            <w:r w:rsidRPr="004623CD">
              <w:rPr>
                <w:color w:val="000000"/>
                <w:sz w:val="22"/>
                <w:szCs w:val="22"/>
              </w:rPr>
              <w:t>32,550</w:t>
            </w:r>
          </w:p>
        </w:tc>
        <w:tc>
          <w:tcPr>
            <w:tcW w:w="1984" w:type="dxa"/>
            <w:tcBorders>
              <w:top w:val="nil"/>
              <w:left w:val="nil"/>
              <w:bottom w:val="single" w:sz="4" w:space="0" w:color="auto"/>
              <w:right w:val="single" w:sz="4" w:space="0" w:color="auto"/>
            </w:tcBorders>
            <w:shd w:val="clear" w:color="auto" w:fill="auto"/>
            <w:noWrap/>
            <w:vAlign w:val="bottom"/>
            <w:hideMark/>
          </w:tcPr>
          <w:p w14:paraId="259DDEBC" w14:textId="77777777" w:rsidR="00C06287" w:rsidRPr="004623CD" w:rsidRDefault="00C06287" w:rsidP="00C06287">
            <w:pPr>
              <w:jc w:val="center"/>
              <w:rPr>
                <w:color w:val="000000"/>
                <w:sz w:val="22"/>
                <w:szCs w:val="22"/>
              </w:rPr>
            </w:pPr>
            <w:r w:rsidRPr="004623CD">
              <w:rPr>
                <w:color w:val="000000"/>
                <w:sz w:val="22"/>
                <w:szCs w:val="22"/>
              </w:rPr>
              <w:t>70.6%</w:t>
            </w:r>
          </w:p>
        </w:tc>
        <w:tc>
          <w:tcPr>
            <w:tcW w:w="966" w:type="dxa"/>
            <w:tcBorders>
              <w:top w:val="nil"/>
              <w:left w:val="nil"/>
              <w:bottom w:val="single" w:sz="4" w:space="0" w:color="auto"/>
              <w:right w:val="single" w:sz="4" w:space="0" w:color="auto"/>
            </w:tcBorders>
            <w:shd w:val="clear" w:color="auto" w:fill="auto"/>
            <w:noWrap/>
            <w:vAlign w:val="bottom"/>
            <w:hideMark/>
          </w:tcPr>
          <w:p w14:paraId="3476A94A" w14:textId="77777777" w:rsidR="00C06287" w:rsidRPr="004623CD" w:rsidRDefault="00C06287" w:rsidP="00C06287">
            <w:pPr>
              <w:jc w:val="center"/>
              <w:rPr>
                <w:color w:val="000000"/>
                <w:sz w:val="22"/>
                <w:szCs w:val="22"/>
              </w:rPr>
            </w:pPr>
            <w:r w:rsidRPr="004623CD">
              <w:rPr>
                <w:color w:val="000000"/>
                <w:sz w:val="22"/>
                <w:szCs w:val="22"/>
              </w:rPr>
              <w:t>8,264</w:t>
            </w:r>
          </w:p>
        </w:tc>
        <w:tc>
          <w:tcPr>
            <w:tcW w:w="1254" w:type="dxa"/>
            <w:tcBorders>
              <w:top w:val="nil"/>
              <w:left w:val="nil"/>
              <w:bottom w:val="single" w:sz="4" w:space="0" w:color="auto"/>
              <w:right w:val="single" w:sz="4" w:space="0" w:color="auto"/>
            </w:tcBorders>
            <w:shd w:val="clear" w:color="auto" w:fill="auto"/>
            <w:noWrap/>
            <w:vAlign w:val="bottom"/>
            <w:hideMark/>
          </w:tcPr>
          <w:p w14:paraId="4749514D" w14:textId="77777777" w:rsidR="00C06287" w:rsidRPr="004623CD" w:rsidRDefault="00C06287" w:rsidP="00C06287">
            <w:pPr>
              <w:jc w:val="center"/>
              <w:rPr>
                <w:color w:val="000000"/>
                <w:sz w:val="22"/>
                <w:szCs w:val="22"/>
              </w:rPr>
            </w:pPr>
            <w:r w:rsidRPr="004623CD">
              <w:rPr>
                <w:color w:val="000000"/>
                <w:sz w:val="22"/>
                <w:szCs w:val="22"/>
              </w:rPr>
              <w:t>6,006</w:t>
            </w:r>
          </w:p>
        </w:tc>
        <w:tc>
          <w:tcPr>
            <w:tcW w:w="1984" w:type="dxa"/>
            <w:tcBorders>
              <w:top w:val="nil"/>
              <w:left w:val="nil"/>
              <w:bottom w:val="single" w:sz="4" w:space="0" w:color="auto"/>
              <w:right w:val="single" w:sz="4" w:space="0" w:color="auto"/>
            </w:tcBorders>
            <w:shd w:val="clear" w:color="auto" w:fill="auto"/>
            <w:noWrap/>
            <w:vAlign w:val="bottom"/>
            <w:hideMark/>
          </w:tcPr>
          <w:p w14:paraId="62C0D382" w14:textId="77777777" w:rsidR="00C06287" w:rsidRPr="004623CD" w:rsidRDefault="00C06287" w:rsidP="00C06287">
            <w:pPr>
              <w:jc w:val="center"/>
              <w:rPr>
                <w:color w:val="000000"/>
                <w:sz w:val="22"/>
                <w:szCs w:val="22"/>
              </w:rPr>
            </w:pPr>
            <w:r w:rsidRPr="004623CD">
              <w:rPr>
                <w:color w:val="000000"/>
                <w:sz w:val="22"/>
                <w:szCs w:val="22"/>
              </w:rPr>
              <w:t>72.7%</w:t>
            </w:r>
          </w:p>
        </w:tc>
      </w:tr>
      <w:tr w:rsidR="00C06287" w:rsidRPr="004623CD" w14:paraId="52188B5A" w14:textId="77777777" w:rsidTr="004623CD">
        <w:trPr>
          <w:trHeight w:val="300"/>
        </w:trPr>
        <w:tc>
          <w:tcPr>
            <w:tcW w:w="1056" w:type="dxa"/>
            <w:tcBorders>
              <w:top w:val="nil"/>
              <w:left w:val="single" w:sz="4" w:space="0" w:color="auto"/>
              <w:bottom w:val="single" w:sz="4" w:space="0" w:color="auto"/>
              <w:right w:val="single" w:sz="4" w:space="0" w:color="auto"/>
            </w:tcBorders>
            <w:shd w:val="clear" w:color="000000" w:fill="auto"/>
            <w:noWrap/>
            <w:vAlign w:val="bottom"/>
            <w:hideMark/>
          </w:tcPr>
          <w:p w14:paraId="1678F441" w14:textId="77777777" w:rsidR="00C06287" w:rsidRPr="004623CD" w:rsidRDefault="00C06287" w:rsidP="00C06287">
            <w:pPr>
              <w:jc w:val="center"/>
              <w:rPr>
                <w:bCs/>
                <w:color w:val="000000"/>
                <w:sz w:val="22"/>
                <w:szCs w:val="22"/>
              </w:rPr>
            </w:pPr>
            <w:r w:rsidRPr="004623CD">
              <w:rPr>
                <w:bCs/>
                <w:color w:val="000000"/>
                <w:sz w:val="22"/>
                <w:szCs w:val="22"/>
              </w:rPr>
              <w:t>2012</w:t>
            </w:r>
          </w:p>
        </w:tc>
        <w:tc>
          <w:tcPr>
            <w:tcW w:w="985" w:type="dxa"/>
            <w:tcBorders>
              <w:top w:val="nil"/>
              <w:left w:val="nil"/>
              <w:bottom w:val="single" w:sz="4" w:space="0" w:color="auto"/>
              <w:right w:val="single" w:sz="4" w:space="0" w:color="auto"/>
            </w:tcBorders>
            <w:shd w:val="clear" w:color="auto" w:fill="auto"/>
            <w:noWrap/>
            <w:vAlign w:val="bottom"/>
            <w:hideMark/>
          </w:tcPr>
          <w:p w14:paraId="393F16F7" w14:textId="77777777" w:rsidR="00C06287" w:rsidRPr="004623CD" w:rsidRDefault="00C06287" w:rsidP="00C06287">
            <w:pPr>
              <w:jc w:val="center"/>
              <w:rPr>
                <w:color w:val="000000"/>
                <w:sz w:val="22"/>
                <w:szCs w:val="22"/>
              </w:rPr>
            </w:pPr>
            <w:r w:rsidRPr="004623CD">
              <w:rPr>
                <w:color w:val="000000"/>
                <w:sz w:val="22"/>
                <w:szCs w:val="22"/>
              </w:rPr>
              <w:t>123,596</w:t>
            </w:r>
          </w:p>
        </w:tc>
        <w:tc>
          <w:tcPr>
            <w:tcW w:w="1254" w:type="dxa"/>
            <w:tcBorders>
              <w:top w:val="nil"/>
              <w:left w:val="nil"/>
              <w:bottom w:val="single" w:sz="4" w:space="0" w:color="auto"/>
              <w:right w:val="single" w:sz="4" w:space="0" w:color="auto"/>
            </w:tcBorders>
            <w:shd w:val="clear" w:color="auto" w:fill="auto"/>
            <w:noWrap/>
            <w:vAlign w:val="bottom"/>
            <w:hideMark/>
          </w:tcPr>
          <w:p w14:paraId="4460C1CB" w14:textId="77777777" w:rsidR="00C06287" w:rsidRPr="004623CD" w:rsidRDefault="00C06287" w:rsidP="00C06287">
            <w:pPr>
              <w:jc w:val="center"/>
              <w:rPr>
                <w:color w:val="000000"/>
                <w:sz w:val="22"/>
                <w:szCs w:val="22"/>
              </w:rPr>
            </w:pPr>
            <w:r w:rsidRPr="004623CD">
              <w:rPr>
                <w:color w:val="000000"/>
                <w:sz w:val="22"/>
                <w:szCs w:val="22"/>
              </w:rPr>
              <w:t>31,204</w:t>
            </w:r>
          </w:p>
        </w:tc>
        <w:tc>
          <w:tcPr>
            <w:tcW w:w="1984" w:type="dxa"/>
            <w:tcBorders>
              <w:top w:val="nil"/>
              <w:left w:val="nil"/>
              <w:bottom w:val="single" w:sz="4" w:space="0" w:color="auto"/>
              <w:right w:val="single" w:sz="4" w:space="0" w:color="auto"/>
            </w:tcBorders>
            <w:shd w:val="clear" w:color="auto" w:fill="auto"/>
            <w:noWrap/>
            <w:vAlign w:val="bottom"/>
            <w:hideMark/>
          </w:tcPr>
          <w:p w14:paraId="4EF76E33" w14:textId="77777777" w:rsidR="00C06287" w:rsidRPr="004623CD" w:rsidRDefault="00C06287" w:rsidP="00C06287">
            <w:pPr>
              <w:jc w:val="center"/>
              <w:rPr>
                <w:color w:val="000000"/>
                <w:sz w:val="22"/>
                <w:szCs w:val="22"/>
              </w:rPr>
            </w:pPr>
            <w:r w:rsidRPr="004623CD">
              <w:rPr>
                <w:color w:val="000000"/>
                <w:sz w:val="22"/>
                <w:szCs w:val="22"/>
              </w:rPr>
              <w:t>25.2%</w:t>
            </w:r>
          </w:p>
        </w:tc>
        <w:tc>
          <w:tcPr>
            <w:tcW w:w="966" w:type="dxa"/>
            <w:tcBorders>
              <w:top w:val="nil"/>
              <w:left w:val="nil"/>
              <w:bottom w:val="single" w:sz="4" w:space="0" w:color="auto"/>
              <w:right w:val="single" w:sz="4" w:space="0" w:color="auto"/>
            </w:tcBorders>
            <w:shd w:val="clear" w:color="auto" w:fill="auto"/>
            <w:noWrap/>
            <w:vAlign w:val="bottom"/>
            <w:hideMark/>
          </w:tcPr>
          <w:p w14:paraId="054B721F" w14:textId="77777777" w:rsidR="00C06287" w:rsidRPr="004623CD" w:rsidRDefault="00C06287" w:rsidP="00C06287">
            <w:pPr>
              <w:jc w:val="center"/>
              <w:rPr>
                <w:color w:val="000000"/>
                <w:sz w:val="22"/>
                <w:szCs w:val="22"/>
              </w:rPr>
            </w:pPr>
            <w:r w:rsidRPr="004623CD">
              <w:rPr>
                <w:color w:val="000000"/>
                <w:sz w:val="22"/>
                <w:szCs w:val="22"/>
              </w:rPr>
              <w:t>13,764</w:t>
            </w:r>
          </w:p>
        </w:tc>
        <w:tc>
          <w:tcPr>
            <w:tcW w:w="1254" w:type="dxa"/>
            <w:tcBorders>
              <w:top w:val="nil"/>
              <w:left w:val="nil"/>
              <w:bottom w:val="single" w:sz="4" w:space="0" w:color="auto"/>
              <w:right w:val="single" w:sz="4" w:space="0" w:color="auto"/>
            </w:tcBorders>
            <w:shd w:val="clear" w:color="auto" w:fill="auto"/>
            <w:noWrap/>
            <w:vAlign w:val="bottom"/>
            <w:hideMark/>
          </w:tcPr>
          <w:p w14:paraId="3A65CFB3" w14:textId="77777777" w:rsidR="00C06287" w:rsidRPr="004623CD" w:rsidRDefault="00C06287" w:rsidP="00C06287">
            <w:pPr>
              <w:jc w:val="center"/>
              <w:rPr>
                <w:color w:val="000000"/>
                <w:sz w:val="22"/>
                <w:szCs w:val="22"/>
              </w:rPr>
            </w:pPr>
            <w:r w:rsidRPr="004623CD">
              <w:rPr>
                <w:color w:val="000000"/>
                <w:sz w:val="22"/>
                <w:szCs w:val="22"/>
              </w:rPr>
              <w:t>11,929</w:t>
            </w:r>
          </w:p>
        </w:tc>
        <w:tc>
          <w:tcPr>
            <w:tcW w:w="1984" w:type="dxa"/>
            <w:tcBorders>
              <w:top w:val="nil"/>
              <w:left w:val="nil"/>
              <w:bottom w:val="single" w:sz="4" w:space="0" w:color="auto"/>
              <w:right w:val="single" w:sz="4" w:space="0" w:color="auto"/>
            </w:tcBorders>
            <w:shd w:val="clear" w:color="auto" w:fill="auto"/>
            <w:noWrap/>
            <w:vAlign w:val="bottom"/>
            <w:hideMark/>
          </w:tcPr>
          <w:p w14:paraId="6EDDE7F5" w14:textId="77777777" w:rsidR="00C06287" w:rsidRPr="004623CD" w:rsidRDefault="00C06287" w:rsidP="00C06287">
            <w:pPr>
              <w:jc w:val="center"/>
              <w:rPr>
                <w:color w:val="000000"/>
                <w:sz w:val="22"/>
                <w:szCs w:val="22"/>
              </w:rPr>
            </w:pPr>
            <w:r w:rsidRPr="004623CD">
              <w:rPr>
                <w:color w:val="000000"/>
                <w:sz w:val="22"/>
                <w:szCs w:val="22"/>
              </w:rPr>
              <w:t>86.7%</w:t>
            </w:r>
          </w:p>
        </w:tc>
      </w:tr>
      <w:tr w:rsidR="00C06287" w:rsidRPr="004623CD" w14:paraId="3749D102" w14:textId="77777777" w:rsidTr="004623CD">
        <w:trPr>
          <w:trHeight w:val="300"/>
        </w:trPr>
        <w:tc>
          <w:tcPr>
            <w:tcW w:w="1056" w:type="dxa"/>
            <w:tcBorders>
              <w:top w:val="nil"/>
              <w:left w:val="single" w:sz="4" w:space="0" w:color="auto"/>
              <w:bottom w:val="single" w:sz="4" w:space="0" w:color="auto"/>
              <w:right w:val="single" w:sz="4" w:space="0" w:color="auto"/>
            </w:tcBorders>
            <w:shd w:val="clear" w:color="000000" w:fill="auto"/>
            <w:noWrap/>
            <w:vAlign w:val="bottom"/>
            <w:hideMark/>
          </w:tcPr>
          <w:p w14:paraId="12A6E486" w14:textId="77777777" w:rsidR="00C06287" w:rsidRPr="004623CD" w:rsidRDefault="00C06287" w:rsidP="00C06287">
            <w:pPr>
              <w:jc w:val="center"/>
              <w:rPr>
                <w:bCs/>
                <w:color w:val="000000"/>
                <w:sz w:val="22"/>
                <w:szCs w:val="22"/>
              </w:rPr>
            </w:pPr>
            <w:r w:rsidRPr="004623CD">
              <w:rPr>
                <w:bCs/>
                <w:color w:val="000000"/>
                <w:sz w:val="22"/>
                <w:szCs w:val="22"/>
              </w:rPr>
              <w:t>2013</w:t>
            </w:r>
          </w:p>
        </w:tc>
        <w:tc>
          <w:tcPr>
            <w:tcW w:w="985" w:type="dxa"/>
            <w:tcBorders>
              <w:top w:val="nil"/>
              <w:left w:val="nil"/>
              <w:bottom w:val="single" w:sz="4" w:space="0" w:color="auto"/>
              <w:right w:val="single" w:sz="4" w:space="0" w:color="auto"/>
            </w:tcBorders>
            <w:shd w:val="clear" w:color="auto" w:fill="auto"/>
            <w:noWrap/>
            <w:vAlign w:val="bottom"/>
            <w:hideMark/>
          </w:tcPr>
          <w:p w14:paraId="2799A094" w14:textId="77777777" w:rsidR="00C06287" w:rsidRPr="004623CD" w:rsidRDefault="00C06287" w:rsidP="00C06287">
            <w:pPr>
              <w:jc w:val="center"/>
              <w:rPr>
                <w:color w:val="000000"/>
                <w:sz w:val="22"/>
                <w:szCs w:val="22"/>
              </w:rPr>
            </w:pPr>
            <w:r w:rsidRPr="004623CD">
              <w:rPr>
                <w:color w:val="000000"/>
                <w:sz w:val="22"/>
                <w:szCs w:val="22"/>
              </w:rPr>
              <w:t>164,880</w:t>
            </w:r>
          </w:p>
        </w:tc>
        <w:tc>
          <w:tcPr>
            <w:tcW w:w="1254" w:type="dxa"/>
            <w:tcBorders>
              <w:top w:val="nil"/>
              <w:left w:val="nil"/>
              <w:bottom w:val="single" w:sz="4" w:space="0" w:color="auto"/>
              <w:right w:val="single" w:sz="4" w:space="0" w:color="auto"/>
            </w:tcBorders>
            <w:shd w:val="clear" w:color="auto" w:fill="auto"/>
            <w:noWrap/>
            <w:vAlign w:val="bottom"/>
            <w:hideMark/>
          </w:tcPr>
          <w:p w14:paraId="4BB21493" w14:textId="77777777" w:rsidR="00C06287" w:rsidRPr="004623CD" w:rsidRDefault="00C06287" w:rsidP="00C06287">
            <w:pPr>
              <w:jc w:val="center"/>
              <w:rPr>
                <w:color w:val="000000"/>
                <w:sz w:val="22"/>
                <w:szCs w:val="22"/>
              </w:rPr>
            </w:pPr>
            <w:r w:rsidRPr="004623CD">
              <w:rPr>
                <w:color w:val="000000"/>
                <w:sz w:val="22"/>
                <w:szCs w:val="22"/>
              </w:rPr>
              <w:t>48,687</w:t>
            </w:r>
          </w:p>
        </w:tc>
        <w:tc>
          <w:tcPr>
            <w:tcW w:w="1984" w:type="dxa"/>
            <w:tcBorders>
              <w:top w:val="nil"/>
              <w:left w:val="nil"/>
              <w:bottom w:val="single" w:sz="4" w:space="0" w:color="auto"/>
              <w:right w:val="single" w:sz="4" w:space="0" w:color="auto"/>
            </w:tcBorders>
            <w:shd w:val="clear" w:color="auto" w:fill="auto"/>
            <w:noWrap/>
            <w:vAlign w:val="bottom"/>
            <w:hideMark/>
          </w:tcPr>
          <w:p w14:paraId="09CC17D5" w14:textId="77777777" w:rsidR="00C06287" w:rsidRPr="004623CD" w:rsidRDefault="00C06287" w:rsidP="00C06287">
            <w:pPr>
              <w:jc w:val="center"/>
              <w:rPr>
                <w:color w:val="000000"/>
                <w:sz w:val="22"/>
                <w:szCs w:val="22"/>
              </w:rPr>
            </w:pPr>
            <w:r w:rsidRPr="004623CD">
              <w:rPr>
                <w:color w:val="000000"/>
                <w:sz w:val="22"/>
                <w:szCs w:val="22"/>
              </w:rPr>
              <w:t>29.5%</w:t>
            </w:r>
          </w:p>
        </w:tc>
        <w:tc>
          <w:tcPr>
            <w:tcW w:w="966" w:type="dxa"/>
            <w:tcBorders>
              <w:top w:val="nil"/>
              <w:left w:val="nil"/>
              <w:bottom w:val="single" w:sz="4" w:space="0" w:color="auto"/>
              <w:right w:val="single" w:sz="4" w:space="0" w:color="auto"/>
            </w:tcBorders>
            <w:shd w:val="clear" w:color="auto" w:fill="auto"/>
            <w:noWrap/>
            <w:vAlign w:val="bottom"/>
            <w:hideMark/>
          </w:tcPr>
          <w:p w14:paraId="75BB0457" w14:textId="77777777" w:rsidR="00C06287" w:rsidRPr="004623CD" w:rsidRDefault="00C06287" w:rsidP="00C06287">
            <w:pPr>
              <w:jc w:val="center"/>
              <w:rPr>
                <w:color w:val="000000"/>
                <w:sz w:val="22"/>
                <w:szCs w:val="22"/>
              </w:rPr>
            </w:pPr>
            <w:r w:rsidRPr="004623CD">
              <w:rPr>
                <w:color w:val="000000"/>
                <w:sz w:val="22"/>
                <w:szCs w:val="22"/>
              </w:rPr>
              <w:t>20,262</w:t>
            </w:r>
          </w:p>
        </w:tc>
        <w:tc>
          <w:tcPr>
            <w:tcW w:w="1254" w:type="dxa"/>
            <w:tcBorders>
              <w:top w:val="nil"/>
              <w:left w:val="nil"/>
              <w:bottom w:val="single" w:sz="4" w:space="0" w:color="auto"/>
              <w:right w:val="single" w:sz="4" w:space="0" w:color="auto"/>
            </w:tcBorders>
            <w:shd w:val="clear" w:color="auto" w:fill="auto"/>
            <w:noWrap/>
            <w:vAlign w:val="bottom"/>
            <w:hideMark/>
          </w:tcPr>
          <w:p w14:paraId="22A28620" w14:textId="77777777" w:rsidR="00C06287" w:rsidRPr="004623CD" w:rsidRDefault="00C06287" w:rsidP="00C06287">
            <w:pPr>
              <w:jc w:val="center"/>
              <w:rPr>
                <w:color w:val="000000"/>
                <w:sz w:val="22"/>
                <w:szCs w:val="22"/>
              </w:rPr>
            </w:pPr>
            <w:r w:rsidRPr="004623CD">
              <w:rPr>
                <w:color w:val="000000"/>
                <w:sz w:val="22"/>
                <w:szCs w:val="22"/>
              </w:rPr>
              <w:t>15,630</w:t>
            </w:r>
          </w:p>
        </w:tc>
        <w:tc>
          <w:tcPr>
            <w:tcW w:w="1984" w:type="dxa"/>
            <w:tcBorders>
              <w:top w:val="nil"/>
              <w:left w:val="nil"/>
              <w:bottom w:val="single" w:sz="4" w:space="0" w:color="auto"/>
              <w:right w:val="single" w:sz="4" w:space="0" w:color="auto"/>
            </w:tcBorders>
            <w:shd w:val="clear" w:color="auto" w:fill="auto"/>
            <w:noWrap/>
            <w:vAlign w:val="bottom"/>
            <w:hideMark/>
          </w:tcPr>
          <w:p w14:paraId="500051AA" w14:textId="77777777" w:rsidR="00C06287" w:rsidRPr="004623CD" w:rsidRDefault="00C06287" w:rsidP="00C06287">
            <w:pPr>
              <w:jc w:val="center"/>
              <w:rPr>
                <w:color w:val="000000"/>
                <w:sz w:val="22"/>
                <w:szCs w:val="22"/>
              </w:rPr>
            </w:pPr>
            <w:r w:rsidRPr="004623CD">
              <w:rPr>
                <w:color w:val="000000"/>
                <w:sz w:val="22"/>
                <w:szCs w:val="22"/>
              </w:rPr>
              <w:t>77.1%</w:t>
            </w:r>
          </w:p>
        </w:tc>
      </w:tr>
      <w:tr w:rsidR="00C06287" w:rsidRPr="004623CD" w14:paraId="4197925F" w14:textId="77777777" w:rsidTr="004623CD">
        <w:trPr>
          <w:trHeight w:val="300"/>
        </w:trPr>
        <w:tc>
          <w:tcPr>
            <w:tcW w:w="1056" w:type="dxa"/>
            <w:tcBorders>
              <w:top w:val="nil"/>
              <w:left w:val="single" w:sz="4" w:space="0" w:color="auto"/>
              <w:bottom w:val="single" w:sz="4" w:space="0" w:color="auto"/>
              <w:right w:val="single" w:sz="4" w:space="0" w:color="auto"/>
            </w:tcBorders>
            <w:shd w:val="clear" w:color="000000" w:fill="auto"/>
            <w:noWrap/>
            <w:vAlign w:val="bottom"/>
            <w:hideMark/>
          </w:tcPr>
          <w:p w14:paraId="25E402EF" w14:textId="77777777" w:rsidR="00C06287" w:rsidRPr="004623CD" w:rsidRDefault="00C06287" w:rsidP="00C06287">
            <w:pPr>
              <w:jc w:val="center"/>
              <w:rPr>
                <w:bCs/>
                <w:color w:val="000000"/>
                <w:sz w:val="22"/>
                <w:szCs w:val="22"/>
              </w:rPr>
            </w:pPr>
            <w:r w:rsidRPr="004623CD">
              <w:rPr>
                <w:bCs/>
                <w:color w:val="000000"/>
                <w:sz w:val="22"/>
                <w:szCs w:val="22"/>
              </w:rPr>
              <w:t>2014</w:t>
            </w:r>
          </w:p>
        </w:tc>
        <w:tc>
          <w:tcPr>
            <w:tcW w:w="985" w:type="dxa"/>
            <w:tcBorders>
              <w:top w:val="nil"/>
              <w:left w:val="nil"/>
              <w:bottom w:val="single" w:sz="4" w:space="0" w:color="auto"/>
              <w:right w:val="single" w:sz="4" w:space="0" w:color="auto"/>
            </w:tcBorders>
            <w:shd w:val="clear" w:color="auto" w:fill="auto"/>
            <w:noWrap/>
            <w:vAlign w:val="bottom"/>
            <w:hideMark/>
          </w:tcPr>
          <w:p w14:paraId="3751500F" w14:textId="77777777" w:rsidR="00C06287" w:rsidRPr="004623CD" w:rsidRDefault="00C06287" w:rsidP="00C06287">
            <w:pPr>
              <w:jc w:val="center"/>
              <w:rPr>
                <w:color w:val="000000"/>
                <w:sz w:val="22"/>
                <w:szCs w:val="22"/>
              </w:rPr>
            </w:pPr>
            <w:r w:rsidRPr="004623CD">
              <w:rPr>
                <w:color w:val="000000"/>
                <w:sz w:val="22"/>
                <w:szCs w:val="22"/>
              </w:rPr>
              <w:t>240,780</w:t>
            </w:r>
          </w:p>
        </w:tc>
        <w:tc>
          <w:tcPr>
            <w:tcW w:w="1254" w:type="dxa"/>
            <w:tcBorders>
              <w:top w:val="nil"/>
              <w:left w:val="nil"/>
              <w:bottom w:val="single" w:sz="4" w:space="0" w:color="auto"/>
              <w:right w:val="single" w:sz="4" w:space="0" w:color="auto"/>
            </w:tcBorders>
            <w:shd w:val="clear" w:color="auto" w:fill="auto"/>
            <w:noWrap/>
            <w:vAlign w:val="bottom"/>
            <w:hideMark/>
          </w:tcPr>
          <w:p w14:paraId="457922FF" w14:textId="77777777" w:rsidR="00C06287" w:rsidRPr="004623CD" w:rsidRDefault="00C06287" w:rsidP="00C06287">
            <w:pPr>
              <w:jc w:val="center"/>
              <w:rPr>
                <w:color w:val="000000"/>
                <w:sz w:val="22"/>
                <w:szCs w:val="22"/>
              </w:rPr>
            </w:pPr>
            <w:r w:rsidRPr="004623CD">
              <w:rPr>
                <w:color w:val="000000"/>
                <w:sz w:val="22"/>
                <w:szCs w:val="22"/>
              </w:rPr>
              <w:t>71,038</w:t>
            </w:r>
          </w:p>
        </w:tc>
        <w:tc>
          <w:tcPr>
            <w:tcW w:w="1984" w:type="dxa"/>
            <w:tcBorders>
              <w:top w:val="nil"/>
              <w:left w:val="nil"/>
              <w:bottom w:val="single" w:sz="4" w:space="0" w:color="auto"/>
              <w:right w:val="single" w:sz="4" w:space="0" w:color="auto"/>
            </w:tcBorders>
            <w:shd w:val="clear" w:color="auto" w:fill="auto"/>
            <w:noWrap/>
            <w:vAlign w:val="bottom"/>
            <w:hideMark/>
          </w:tcPr>
          <w:p w14:paraId="5340586B" w14:textId="77777777" w:rsidR="00C06287" w:rsidRPr="004623CD" w:rsidRDefault="00C06287" w:rsidP="00C06287">
            <w:pPr>
              <w:jc w:val="center"/>
              <w:rPr>
                <w:color w:val="000000"/>
                <w:sz w:val="22"/>
                <w:szCs w:val="22"/>
              </w:rPr>
            </w:pPr>
            <w:r w:rsidRPr="004623CD">
              <w:rPr>
                <w:color w:val="000000"/>
                <w:sz w:val="22"/>
                <w:szCs w:val="22"/>
              </w:rPr>
              <w:t>29.5%</w:t>
            </w:r>
          </w:p>
        </w:tc>
        <w:tc>
          <w:tcPr>
            <w:tcW w:w="966" w:type="dxa"/>
            <w:tcBorders>
              <w:top w:val="nil"/>
              <w:left w:val="nil"/>
              <w:bottom w:val="single" w:sz="4" w:space="0" w:color="auto"/>
              <w:right w:val="single" w:sz="4" w:space="0" w:color="auto"/>
            </w:tcBorders>
            <w:shd w:val="clear" w:color="auto" w:fill="auto"/>
            <w:noWrap/>
            <w:vAlign w:val="bottom"/>
            <w:hideMark/>
          </w:tcPr>
          <w:p w14:paraId="668CDB28" w14:textId="77777777" w:rsidR="00C06287" w:rsidRPr="004623CD" w:rsidRDefault="00C06287" w:rsidP="00C06287">
            <w:pPr>
              <w:jc w:val="center"/>
              <w:rPr>
                <w:color w:val="000000"/>
                <w:sz w:val="22"/>
                <w:szCs w:val="22"/>
              </w:rPr>
            </w:pPr>
            <w:r w:rsidRPr="004623CD">
              <w:rPr>
                <w:color w:val="000000"/>
                <w:sz w:val="22"/>
                <w:szCs w:val="22"/>
              </w:rPr>
              <w:t>39,501</w:t>
            </w:r>
          </w:p>
        </w:tc>
        <w:tc>
          <w:tcPr>
            <w:tcW w:w="1254" w:type="dxa"/>
            <w:tcBorders>
              <w:top w:val="nil"/>
              <w:left w:val="nil"/>
              <w:bottom w:val="single" w:sz="4" w:space="0" w:color="auto"/>
              <w:right w:val="single" w:sz="4" w:space="0" w:color="auto"/>
            </w:tcBorders>
            <w:shd w:val="clear" w:color="auto" w:fill="auto"/>
            <w:noWrap/>
            <w:vAlign w:val="bottom"/>
            <w:hideMark/>
          </w:tcPr>
          <w:p w14:paraId="44C08903" w14:textId="77777777" w:rsidR="00C06287" w:rsidRPr="004623CD" w:rsidRDefault="00C06287" w:rsidP="00C06287">
            <w:pPr>
              <w:jc w:val="center"/>
              <w:rPr>
                <w:color w:val="000000"/>
                <w:sz w:val="22"/>
                <w:szCs w:val="22"/>
              </w:rPr>
            </w:pPr>
            <w:r w:rsidRPr="004623CD">
              <w:rPr>
                <w:color w:val="000000"/>
                <w:sz w:val="22"/>
                <w:szCs w:val="22"/>
              </w:rPr>
              <w:t>19,844</w:t>
            </w:r>
          </w:p>
        </w:tc>
        <w:tc>
          <w:tcPr>
            <w:tcW w:w="1984" w:type="dxa"/>
            <w:tcBorders>
              <w:top w:val="nil"/>
              <w:left w:val="nil"/>
              <w:bottom w:val="single" w:sz="4" w:space="0" w:color="auto"/>
              <w:right w:val="single" w:sz="4" w:space="0" w:color="auto"/>
            </w:tcBorders>
            <w:shd w:val="clear" w:color="auto" w:fill="auto"/>
            <w:noWrap/>
            <w:vAlign w:val="bottom"/>
            <w:hideMark/>
          </w:tcPr>
          <w:p w14:paraId="29551F1E" w14:textId="77777777" w:rsidR="00C06287" w:rsidRPr="004623CD" w:rsidRDefault="00C06287" w:rsidP="00C06287">
            <w:pPr>
              <w:jc w:val="center"/>
              <w:rPr>
                <w:color w:val="000000"/>
                <w:sz w:val="22"/>
                <w:szCs w:val="22"/>
              </w:rPr>
            </w:pPr>
            <w:r w:rsidRPr="004623CD">
              <w:rPr>
                <w:color w:val="000000"/>
                <w:sz w:val="22"/>
                <w:szCs w:val="22"/>
              </w:rPr>
              <w:t>50.2%</w:t>
            </w:r>
          </w:p>
        </w:tc>
      </w:tr>
      <w:tr w:rsidR="00C06287" w:rsidRPr="004623CD" w14:paraId="2A6A6374" w14:textId="77777777" w:rsidTr="004623CD">
        <w:trPr>
          <w:trHeight w:val="300"/>
        </w:trPr>
        <w:tc>
          <w:tcPr>
            <w:tcW w:w="1056" w:type="dxa"/>
            <w:tcBorders>
              <w:top w:val="nil"/>
              <w:left w:val="single" w:sz="4" w:space="0" w:color="auto"/>
              <w:bottom w:val="single" w:sz="4" w:space="0" w:color="auto"/>
              <w:right w:val="single" w:sz="4" w:space="0" w:color="auto"/>
            </w:tcBorders>
            <w:shd w:val="clear" w:color="000000" w:fill="auto"/>
            <w:noWrap/>
            <w:vAlign w:val="bottom"/>
            <w:hideMark/>
          </w:tcPr>
          <w:p w14:paraId="6ED7237F" w14:textId="77777777" w:rsidR="00C06287" w:rsidRPr="00493106" w:rsidRDefault="00C06287" w:rsidP="00C06287">
            <w:pPr>
              <w:jc w:val="center"/>
              <w:rPr>
                <w:b/>
                <w:bCs/>
                <w:color w:val="000000"/>
                <w:sz w:val="22"/>
                <w:szCs w:val="22"/>
              </w:rPr>
            </w:pPr>
            <w:r w:rsidRPr="00493106">
              <w:rPr>
                <w:b/>
                <w:bCs/>
                <w:color w:val="000000"/>
                <w:sz w:val="22"/>
                <w:szCs w:val="22"/>
              </w:rPr>
              <w:t>Average</w:t>
            </w:r>
          </w:p>
        </w:tc>
        <w:tc>
          <w:tcPr>
            <w:tcW w:w="985" w:type="dxa"/>
            <w:tcBorders>
              <w:top w:val="nil"/>
              <w:left w:val="nil"/>
              <w:bottom w:val="single" w:sz="4" w:space="0" w:color="auto"/>
              <w:right w:val="single" w:sz="4" w:space="0" w:color="auto"/>
            </w:tcBorders>
            <w:shd w:val="clear" w:color="auto" w:fill="auto"/>
            <w:noWrap/>
            <w:vAlign w:val="bottom"/>
            <w:hideMark/>
          </w:tcPr>
          <w:p w14:paraId="4E79A8EF" w14:textId="77777777" w:rsidR="00C06287" w:rsidRPr="00493106" w:rsidRDefault="00C06287" w:rsidP="00C06287">
            <w:pPr>
              <w:jc w:val="center"/>
              <w:rPr>
                <w:b/>
                <w:color w:val="000000"/>
                <w:sz w:val="22"/>
                <w:szCs w:val="22"/>
              </w:rPr>
            </w:pPr>
            <w:r w:rsidRPr="00493106">
              <w:rPr>
                <w:b/>
                <w:color w:val="000000"/>
                <w:sz w:val="22"/>
                <w:szCs w:val="22"/>
              </w:rPr>
              <w:t>138,481</w:t>
            </w:r>
          </w:p>
        </w:tc>
        <w:tc>
          <w:tcPr>
            <w:tcW w:w="1254" w:type="dxa"/>
            <w:tcBorders>
              <w:top w:val="nil"/>
              <w:left w:val="nil"/>
              <w:bottom w:val="single" w:sz="4" w:space="0" w:color="auto"/>
              <w:right w:val="single" w:sz="4" w:space="0" w:color="auto"/>
            </w:tcBorders>
            <w:shd w:val="clear" w:color="auto" w:fill="auto"/>
            <w:noWrap/>
            <w:vAlign w:val="bottom"/>
            <w:hideMark/>
          </w:tcPr>
          <w:p w14:paraId="2C52C4F3" w14:textId="77777777" w:rsidR="00C06287" w:rsidRPr="00493106" w:rsidRDefault="00C06287" w:rsidP="00C06287">
            <w:pPr>
              <w:jc w:val="center"/>
              <w:rPr>
                <w:b/>
                <w:color w:val="000000"/>
                <w:sz w:val="22"/>
                <w:szCs w:val="22"/>
              </w:rPr>
            </w:pPr>
            <w:r w:rsidRPr="00493106">
              <w:rPr>
                <w:b/>
                <w:color w:val="000000"/>
                <w:sz w:val="22"/>
                <w:szCs w:val="22"/>
              </w:rPr>
              <w:t>52,201</w:t>
            </w:r>
          </w:p>
        </w:tc>
        <w:tc>
          <w:tcPr>
            <w:tcW w:w="1984" w:type="dxa"/>
            <w:tcBorders>
              <w:top w:val="nil"/>
              <w:left w:val="nil"/>
              <w:bottom w:val="single" w:sz="4" w:space="0" w:color="auto"/>
              <w:right w:val="single" w:sz="4" w:space="0" w:color="auto"/>
            </w:tcBorders>
            <w:shd w:val="clear" w:color="auto" w:fill="auto"/>
            <w:noWrap/>
            <w:vAlign w:val="bottom"/>
            <w:hideMark/>
          </w:tcPr>
          <w:p w14:paraId="7E5A55DF" w14:textId="77777777" w:rsidR="00C06287" w:rsidRPr="00493106" w:rsidRDefault="00C06287" w:rsidP="00C06287">
            <w:pPr>
              <w:jc w:val="center"/>
              <w:rPr>
                <w:b/>
                <w:color w:val="000000"/>
                <w:sz w:val="22"/>
                <w:szCs w:val="22"/>
              </w:rPr>
            </w:pPr>
            <w:r w:rsidRPr="00493106">
              <w:rPr>
                <w:b/>
                <w:color w:val="000000"/>
                <w:sz w:val="22"/>
                <w:szCs w:val="22"/>
              </w:rPr>
              <w:t>44.2%</w:t>
            </w:r>
          </w:p>
        </w:tc>
        <w:tc>
          <w:tcPr>
            <w:tcW w:w="966" w:type="dxa"/>
            <w:tcBorders>
              <w:top w:val="nil"/>
              <w:left w:val="nil"/>
              <w:bottom w:val="single" w:sz="4" w:space="0" w:color="auto"/>
              <w:right w:val="single" w:sz="4" w:space="0" w:color="auto"/>
            </w:tcBorders>
            <w:shd w:val="clear" w:color="auto" w:fill="auto"/>
            <w:noWrap/>
            <w:vAlign w:val="bottom"/>
            <w:hideMark/>
          </w:tcPr>
          <w:p w14:paraId="6A9D43AC" w14:textId="77777777" w:rsidR="00C06287" w:rsidRPr="00493106" w:rsidRDefault="00C06287" w:rsidP="00C06287">
            <w:pPr>
              <w:jc w:val="center"/>
              <w:rPr>
                <w:b/>
                <w:color w:val="000000"/>
                <w:sz w:val="22"/>
                <w:szCs w:val="22"/>
              </w:rPr>
            </w:pPr>
            <w:r w:rsidRPr="00493106">
              <w:rPr>
                <w:b/>
                <w:color w:val="000000"/>
                <w:sz w:val="22"/>
                <w:szCs w:val="22"/>
              </w:rPr>
              <w:t>22,766</w:t>
            </w:r>
          </w:p>
        </w:tc>
        <w:tc>
          <w:tcPr>
            <w:tcW w:w="1254" w:type="dxa"/>
            <w:tcBorders>
              <w:top w:val="nil"/>
              <w:left w:val="nil"/>
              <w:bottom w:val="single" w:sz="4" w:space="0" w:color="auto"/>
              <w:right w:val="single" w:sz="4" w:space="0" w:color="auto"/>
            </w:tcBorders>
            <w:shd w:val="clear" w:color="auto" w:fill="auto"/>
            <w:noWrap/>
            <w:vAlign w:val="bottom"/>
            <w:hideMark/>
          </w:tcPr>
          <w:p w14:paraId="2E39FA79" w14:textId="77777777" w:rsidR="00C06287" w:rsidRPr="00493106" w:rsidRDefault="00C06287" w:rsidP="00C06287">
            <w:pPr>
              <w:jc w:val="center"/>
              <w:rPr>
                <w:b/>
                <w:color w:val="000000"/>
                <w:sz w:val="22"/>
                <w:szCs w:val="22"/>
              </w:rPr>
            </w:pPr>
            <w:r w:rsidRPr="00493106">
              <w:rPr>
                <w:b/>
                <w:color w:val="000000"/>
                <w:sz w:val="22"/>
                <w:szCs w:val="22"/>
              </w:rPr>
              <w:t>14,754</w:t>
            </w:r>
          </w:p>
        </w:tc>
        <w:tc>
          <w:tcPr>
            <w:tcW w:w="1984" w:type="dxa"/>
            <w:tcBorders>
              <w:top w:val="nil"/>
              <w:left w:val="nil"/>
              <w:bottom w:val="single" w:sz="4" w:space="0" w:color="auto"/>
              <w:right w:val="single" w:sz="4" w:space="0" w:color="auto"/>
            </w:tcBorders>
            <w:shd w:val="clear" w:color="auto" w:fill="auto"/>
            <w:noWrap/>
            <w:vAlign w:val="bottom"/>
            <w:hideMark/>
          </w:tcPr>
          <w:p w14:paraId="014AB766" w14:textId="77777777" w:rsidR="00C06287" w:rsidRPr="00493106" w:rsidRDefault="00C06287" w:rsidP="00C06287">
            <w:pPr>
              <w:jc w:val="center"/>
              <w:rPr>
                <w:b/>
                <w:color w:val="000000"/>
                <w:sz w:val="22"/>
                <w:szCs w:val="22"/>
              </w:rPr>
            </w:pPr>
            <w:r w:rsidRPr="00493106">
              <w:rPr>
                <w:b/>
                <w:color w:val="000000"/>
                <w:sz w:val="22"/>
                <w:szCs w:val="22"/>
              </w:rPr>
              <w:t>70.1%</w:t>
            </w:r>
          </w:p>
        </w:tc>
      </w:tr>
    </w:tbl>
    <w:p w14:paraId="4E7610BD" w14:textId="3B86C6E3" w:rsidR="00C06287" w:rsidRDefault="004623CD" w:rsidP="00C06287">
      <w:pPr>
        <w:rPr>
          <w:rFonts w:ascii="Arial" w:hAnsi="Arial" w:cs="Arial"/>
          <w:sz w:val="20"/>
          <w:szCs w:val="20"/>
        </w:rPr>
      </w:pPr>
      <w:r>
        <w:rPr>
          <w:rFonts w:ascii="Arial" w:hAnsi="Arial" w:cs="Arial"/>
          <w:sz w:val="20"/>
          <w:szCs w:val="20"/>
        </w:rPr>
        <w:t xml:space="preserve">Source: </w:t>
      </w:r>
      <w:r w:rsidRPr="00091BD5">
        <w:rPr>
          <w:rFonts w:ascii="Arial" w:hAnsi="Arial" w:cs="Arial"/>
          <w:sz w:val="20"/>
          <w:szCs w:val="20"/>
        </w:rPr>
        <w:t xml:space="preserve"> Personal communication from the National Marine Fisheries Service, Fisheries Statistics Division March 28, 2016</w:t>
      </w:r>
      <w:r>
        <w:rPr>
          <w:rFonts w:ascii="Arial" w:hAnsi="Arial" w:cs="Arial"/>
          <w:sz w:val="20"/>
          <w:szCs w:val="20"/>
        </w:rPr>
        <w:t>.</w:t>
      </w:r>
    </w:p>
    <w:p w14:paraId="4A91171A" w14:textId="77777777" w:rsidR="00C06287" w:rsidRPr="00BD74DF" w:rsidRDefault="00C06287" w:rsidP="00C06287">
      <w:pPr>
        <w:autoSpaceDE w:val="0"/>
        <w:autoSpaceDN w:val="0"/>
        <w:adjustRightInd w:val="0"/>
        <w:rPr>
          <w:color w:val="000000"/>
        </w:rPr>
      </w:pPr>
    </w:p>
    <w:p w14:paraId="3B3013FE" w14:textId="77777777" w:rsidR="00C06287" w:rsidRPr="00493106" w:rsidRDefault="00C06287" w:rsidP="00C06287">
      <w:pPr>
        <w:pStyle w:val="Default"/>
        <w:ind w:firstLine="360"/>
      </w:pPr>
      <w:r w:rsidRPr="00493106">
        <w:t>From 2010 through 2014, an average of 22,341 annual angler trips targeted mutton snapper (</w:t>
      </w:r>
      <w:r w:rsidRPr="00493106">
        <w:rPr>
          <w:b/>
        </w:rPr>
        <w:t>Table 3.3.24</w:t>
      </w:r>
      <w:r w:rsidRPr="00493106">
        <w:t>).  All of these angler trips were in East Florida.  Mutton snapper was the primary target of approximately 82% of those annual trips, and approximately 36% of the trips were in federal waters (</w:t>
      </w:r>
      <w:r w:rsidRPr="00493106">
        <w:rPr>
          <w:b/>
        </w:rPr>
        <w:t>Table 3.3.25</w:t>
      </w:r>
      <w:r w:rsidRPr="00493106">
        <w:t xml:space="preserve">).  Private/rented vessels accounted for an annual average of approximately 89% of the targeted trips (both FL and federal waters) and approximately 97% of the targeted trips in federal waters.  For-hire vessels accounted for an annual average of approximately 2% of all trips that targeted mutton snapper (in all waters) and approximately 3% </w:t>
      </w:r>
      <w:r w:rsidRPr="00493106">
        <w:lastRenderedPageBreak/>
        <w:t xml:space="preserve">of the trips that targeted the species in federal waters.  During these trips, mutton snapper are not necessarily caught.  More trips that do not target the species catch the species. </w:t>
      </w:r>
    </w:p>
    <w:p w14:paraId="63AFD013" w14:textId="0E8C7657" w:rsidR="00AE6F07" w:rsidRDefault="00AE6F07">
      <w:pPr>
        <w:rPr>
          <w:rFonts w:ascii="Arial" w:hAnsi="Arial"/>
          <w:b/>
          <w:bCs/>
          <w:sz w:val="20"/>
        </w:rPr>
      </w:pPr>
    </w:p>
    <w:p w14:paraId="13C775FF" w14:textId="6C923799" w:rsidR="00C06287" w:rsidRDefault="00C06287" w:rsidP="004623CD">
      <w:pPr>
        <w:pStyle w:val="Tabletitle"/>
      </w:pPr>
      <w:bookmarkStart w:id="170" w:name="_Toc340431569"/>
      <w:r>
        <w:rPr>
          <w:b/>
        </w:rPr>
        <w:t>Table 3.3.24</w:t>
      </w:r>
      <w:r w:rsidRPr="00091BD5">
        <w:rPr>
          <w:b/>
        </w:rPr>
        <w:t>.</w:t>
      </w:r>
      <w:r>
        <w:t xml:space="preserve">  Estimates of number and percentage of angler trips that targeted m</w:t>
      </w:r>
      <w:r w:rsidR="004623CD">
        <w:t>utton snapper in the South Atlantic region</w:t>
      </w:r>
      <w:r w:rsidR="003E1DF5">
        <w:t xml:space="preserve"> (off East Florida)</w:t>
      </w:r>
      <w:r w:rsidR="004623CD">
        <w:t>, 2010-</w:t>
      </w:r>
      <w:r>
        <w:t>2014.</w:t>
      </w:r>
      <w:bookmarkEnd w:id="170"/>
      <w:r>
        <w:t xml:space="preserve">  </w:t>
      </w:r>
    </w:p>
    <w:tbl>
      <w:tblPr>
        <w:tblW w:w="9358" w:type="dxa"/>
        <w:tblInd w:w="93" w:type="dxa"/>
        <w:tblLook w:val="04A0" w:firstRow="1" w:lastRow="0" w:firstColumn="1" w:lastColumn="0" w:noHBand="0" w:noVBand="1"/>
      </w:tblPr>
      <w:tblGrid>
        <w:gridCol w:w="1565"/>
        <w:gridCol w:w="1140"/>
        <w:gridCol w:w="1409"/>
        <w:gridCol w:w="1694"/>
        <w:gridCol w:w="1083"/>
        <w:gridCol w:w="2467"/>
      </w:tblGrid>
      <w:tr w:rsidR="00C06287" w:rsidRPr="004623CD" w14:paraId="415A1EDB" w14:textId="77777777" w:rsidTr="004623CD">
        <w:trPr>
          <w:trHeight w:val="300"/>
        </w:trPr>
        <w:tc>
          <w:tcPr>
            <w:tcW w:w="156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6606784C" w14:textId="77777777" w:rsidR="00C06287" w:rsidRPr="004623CD" w:rsidRDefault="00C06287" w:rsidP="00C06287">
            <w:pPr>
              <w:jc w:val="center"/>
              <w:rPr>
                <w:b/>
                <w:bCs/>
                <w:color w:val="000000"/>
                <w:sz w:val="22"/>
                <w:szCs w:val="22"/>
              </w:rPr>
            </w:pPr>
            <w:r w:rsidRPr="004623CD">
              <w:rPr>
                <w:b/>
                <w:bCs/>
                <w:color w:val="000000"/>
                <w:sz w:val="22"/>
                <w:szCs w:val="22"/>
              </w:rPr>
              <w:t>Year</w:t>
            </w:r>
          </w:p>
        </w:tc>
        <w:tc>
          <w:tcPr>
            <w:tcW w:w="4243"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141F273" w14:textId="77777777" w:rsidR="00C06287" w:rsidRPr="004623CD" w:rsidRDefault="00C06287" w:rsidP="00C06287">
            <w:pPr>
              <w:jc w:val="center"/>
              <w:rPr>
                <w:b/>
                <w:bCs/>
                <w:color w:val="000000"/>
                <w:sz w:val="22"/>
                <w:szCs w:val="22"/>
              </w:rPr>
            </w:pPr>
            <w:r w:rsidRPr="004623CD">
              <w:rPr>
                <w:b/>
                <w:bCs/>
                <w:color w:val="000000"/>
                <w:sz w:val="22"/>
                <w:szCs w:val="22"/>
              </w:rPr>
              <w:t>Number of targeted trips</w:t>
            </w:r>
          </w:p>
        </w:tc>
        <w:tc>
          <w:tcPr>
            <w:tcW w:w="35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9FEDC66" w14:textId="77777777" w:rsidR="00C06287" w:rsidRPr="004623CD" w:rsidRDefault="00C06287" w:rsidP="00C06287">
            <w:pPr>
              <w:jc w:val="center"/>
              <w:rPr>
                <w:b/>
                <w:bCs/>
                <w:color w:val="000000"/>
                <w:sz w:val="22"/>
                <w:szCs w:val="22"/>
              </w:rPr>
            </w:pPr>
            <w:r w:rsidRPr="004623CD">
              <w:rPr>
                <w:b/>
                <w:bCs/>
                <w:color w:val="000000"/>
                <w:sz w:val="22"/>
                <w:szCs w:val="22"/>
              </w:rPr>
              <w:t>Percentage</w:t>
            </w:r>
          </w:p>
        </w:tc>
      </w:tr>
      <w:tr w:rsidR="00C06287" w:rsidRPr="004623CD" w14:paraId="17C35904" w14:textId="77777777" w:rsidTr="004623CD">
        <w:trPr>
          <w:trHeight w:val="300"/>
        </w:trPr>
        <w:tc>
          <w:tcPr>
            <w:tcW w:w="1565"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95E7D51" w14:textId="77777777" w:rsidR="00C06287" w:rsidRPr="004623CD" w:rsidRDefault="00C06287" w:rsidP="00C06287">
            <w:pPr>
              <w:rPr>
                <w:b/>
                <w:bCs/>
                <w:color w:val="000000"/>
                <w:sz w:val="22"/>
                <w:szCs w:val="22"/>
              </w:rPr>
            </w:pPr>
          </w:p>
        </w:tc>
        <w:tc>
          <w:tcPr>
            <w:tcW w:w="11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8FA6A62" w14:textId="77777777" w:rsidR="00C06287" w:rsidRPr="004623CD" w:rsidRDefault="00C06287" w:rsidP="00C06287">
            <w:pPr>
              <w:jc w:val="center"/>
              <w:rPr>
                <w:b/>
                <w:bCs/>
                <w:color w:val="000000"/>
                <w:sz w:val="22"/>
                <w:szCs w:val="22"/>
              </w:rPr>
            </w:pPr>
            <w:r w:rsidRPr="004623CD">
              <w:rPr>
                <w:b/>
                <w:bCs/>
                <w:color w:val="000000"/>
                <w:sz w:val="22"/>
                <w:szCs w:val="22"/>
              </w:rPr>
              <w:t>Primary</w:t>
            </w:r>
          </w:p>
        </w:tc>
        <w:tc>
          <w:tcPr>
            <w:tcW w:w="1409" w:type="dxa"/>
            <w:tcBorders>
              <w:top w:val="nil"/>
              <w:left w:val="nil"/>
              <w:bottom w:val="single" w:sz="4" w:space="0" w:color="auto"/>
              <w:right w:val="single" w:sz="4" w:space="0" w:color="auto"/>
            </w:tcBorders>
            <w:shd w:val="clear" w:color="auto" w:fill="D9D9D9" w:themeFill="background1" w:themeFillShade="D9"/>
            <w:noWrap/>
            <w:vAlign w:val="bottom"/>
            <w:hideMark/>
          </w:tcPr>
          <w:p w14:paraId="39D02943" w14:textId="77777777" w:rsidR="00C06287" w:rsidRPr="004623CD" w:rsidRDefault="00C06287" w:rsidP="00C06287">
            <w:pPr>
              <w:jc w:val="center"/>
              <w:rPr>
                <w:b/>
                <w:bCs/>
                <w:color w:val="000000"/>
                <w:sz w:val="22"/>
                <w:szCs w:val="22"/>
              </w:rPr>
            </w:pPr>
            <w:r w:rsidRPr="004623CD">
              <w:rPr>
                <w:b/>
                <w:bCs/>
                <w:color w:val="000000"/>
                <w:sz w:val="22"/>
                <w:szCs w:val="22"/>
              </w:rPr>
              <w:t>Secondary</w:t>
            </w:r>
          </w:p>
        </w:tc>
        <w:tc>
          <w:tcPr>
            <w:tcW w:w="1694" w:type="dxa"/>
            <w:tcBorders>
              <w:top w:val="nil"/>
              <w:left w:val="nil"/>
              <w:bottom w:val="single" w:sz="4" w:space="0" w:color="auto"/>
              <w:right w:val="single" w:sz="4" w:space="0" w:color="auto"/>
            </w:tcBorders>
            <w:shd w:val="clear" w:color="auto" w:fill="D9D9D9" w:themeFill="background1" w:themeFillShade="D9"/>
            <w:noWrap/>
            <w:vAlign w:val="bottom"/>
            <w:hideMark/>
          </w:tcPr>
          <w:p w14:paraId="01CBCC54" w14:textId="77777777" w:rsidR="00C06287" w:rsidRPr="004623CD" w:rsidRDefault="00C06287" w:rsidP="00C06287">
            <w:pPr>
              <w:jc w:val="center"/>
              <w:rPr>
                <w:b/>
                <w:bCs/>
                <w:color w:val="000000"/>
                <w:sz w:val="22"/>
                <w:szCs w:val="22"/>
              </w:rPr>
            </w:pPr>
            <w:r w:rsidRPr="004623CD">
              <w:rPr>
                <w:b/>
                <w:bCs/>
                <w:color w:val="000000"/>
                <w:sz w:val="22"/>
                <w:szCs w:val="22"/>
              </w:rPr>
              <w:t>Total</w:t>
            </w:r>
          </w:p>
        </w:tc>
        <w:tc>
          <w:tcPr>
            <w:tcW w:w="1083" w:type="dxa"/>
            <w:tcBorders>
              <w:top w:val="nil"/>
              <w:left w:val="nil"/>
              <w:bottom w:val="single" w:sz="4" w:space="0" w:color="auto"/>
              <w:right w:val="single" w:sz="4" w:space="0" w:color="auto"/>
            </w:tcBorders>
            <w:shd w:val="clear" w:color="auto" w:fill="D9D9D9" w:themeFill="background1" w:themeFillShade="D9"/>
            <w:noWrap/>
            <w:vAlign w:val="bottom"/>
            <w:hideMark/>
          </w:tcPr>
          <w:p w14:paraId="026A75F5" w14:textId="77777777" w:rsidR="00C06287" w:rsidRPr="004623CD" w:rsidRDefault="00C06287" w:rsidP="00C06287">
            <w:pPr>
              <w:jc w:val="center"/>
              <w:rPr>
                <w:b/>
                <w:bCs/>
                <w:color w:val="000000"/>
                <w:sz w:val="22"/>
                <w:szCs w:val="22"/>
              </w:rPr>
            </w:pPr>
            <w:r w:rsidRPr="004623CD">
              <w:rPr>
                <w:b/>
                <w:bCs/>
                <w:color w:val="000000"/>
                <w:sz w:val="22"/>
                <w:szCs w:val="22"/>
              </w:rPr>
              <w:t>Primary</w:t>
            </w:r>
          </w:p>
        </w:tc>
        <w:tc>
          <w:tcPr>
            <w:tcW w:w="2467" w:type="dxa"/>
            <w:tcBorders>
              <w:top w:val="nil"/>
              <w:left w:val="nil"/>
              <w:bottom w:val="single" w:sz="4" w:space="0" w:color="auto"/>
              <w:right w:val="single" w:sz="4" w:space="0" w:color="auto"/>
            </w:tcBorders>
            <w:shd w:val="clear" w:color="auto" w:fill="D9D9D9" w:themeFill="background1" w:themeFillShade="D9"/>
            <w:noWrap/>
            <w:vAlign w:val="bottom"/>
            <w:hideMark/>
          </w:tcPr>
          <w:p w14:paraId="493BD767" w14:textId="77777777" w:rsidR="00C06287" w:rsidRPr="004623CD" w:rsidRDefault="00C06287" w:rsidP="00C06287">
            <w:pPr>
              <w:jc w:val="center"/>
              <w:rPr>
                <w:b/>
                <w:bCs/>
                <w:color w:val="000000"/>
                <w:sz w:val="22"/>
                <w:szCs w:val="22"/>
              </w:rPr>
            </w:pPr>
            <w:r w:rsidRPr="004623CD">
              <w:rPr>
                <w:b/>
                <w:bCs/>
                <w:color w:val="000000"/>
                <w:sz w:val="22"/>
                <w:szCs w:val="22"/>
              </w:rPr>
              <w:t>Secondary</w:t>
            </w:r>
          </w:p>
        </w:tc>
      </w:tr>
      <w:tr w:rsidR="00C06287" w:rsidRPr="004623CD" w14:paraId="1CF39398" w14:textId="77777777" w:rsidTr="004623CD">
        <w:trPr>
          <w:trHeight w:val="300"/>
        </w:trPr>
        <w:tc>
          <w:tcPr>
            <w:tcW w:w="1565" w:type="dxa"/>
            <w:tcBorders>
              <w:top w:val="nil"/>
              <w:left w:val="single" w:sz="4" w:space="0" w:color="auto"/>
              <w:bottom w:val="single" w:sz="4" w:space="0" w:color="auto"/>
              <w:right w:val="single" w:sz="4" w:space="0" w:color="auto"/>
            </w:tcBorders>
            <w:shd w:val="clear" w:color="000000" w:fill="auto"/>
            <w:noWrap/>
            <w:vAlign w:val="bottom"/>
            <w:hideMark/>
          </w:tcPr>
          <w:p w14:paraId="3C3AAF0B" w14:textId="77777777" w:rsidR="00C06287" w:rsidRPr="004623CD" w:rsidRDefault="00C06287" w:rsidP="00C06287">
            <w:pPr>
              <w:jc w:val="center"/>
              <w:rPr>
                <w:bCs/>
                <w:color w:val="000000"/>
                <w:sz w:val="22"/>
                <w:szCs w:val="22"/>
              </w:rPr>
            </w:pPr>
            <w:r w:rsidRPr="004623CD">
              <w:rPr>
                <w:bCs/>
                <w:color w:val="000000"/>
                <w:sz w:val="22"/>
                <w:szCs w:val="22"/>
              </w:rPr>
              <w:t>2010</w:t>
            </w:r>
          </w:p>
        </w:tc>
        <w:tc>
          <w:tcPr>
            <w:tcW w:w="1140" w:type="dxa"/>
            <w:tcBorders>
              <w:top w:val="nil"/>
              <w:left w:val="nil"/>
              <w:bottom w:val="single" w:sz="4" w:space="0" w:color="auto"/>
              <w:right w:val="single" w:sz="4" w:space="0" w:color="auto"/>
            </w:tcBorders>
            <w:shd w:val="clear" w:color="auto" w:fill="auto"/>
            <w:noWrap/>
            <w:vAlign w:val="bottom"/>
            <w:hideMark/>
          </w:tcPr>
          <w:p w14:paraId="325A0280" w14:textId="77777777" w:rsidR="00C06287" w:rsidRPr="004623CD" w:rsidRDefault="00C06287" w:rsidP="00C06287">
            <w:pPr>
              <w:jc w:val="center"/>
              <w:rPr>
                <w:color w:val="000000"/>
                <w:sz w:val="22"/>
                <w:szCs w:val="22"/>
              </w:rPr>
            </w:pPr>
            <w:r w:rsidRPr="004623CD">
              <w:rPr>
                <w:color w:val="000000"/>
                <w:sz w:val="22"/>
                <w:szCs w:val="22"/>
              </w:rPr>
              <w:t>18,487</w:t>
            </w:r>
          </w:p>
        </w:tc>
        <w:tc>
          <w:tcPr>
            <w:tcW w:w="1409" w:type="dxa"/>
            <w:tcBorders>
              <w:top w:val="nil"/>
              <w:left w:val="nil"/>
              <w:bottom w:val="single" w:sz="4" w:space="0" w:color="auto"/>
              <w:right w:val="single" w:sz="4" w:space="0" w:color="auto"/>
            </w:tcBorders>
            <w:shd w:val="clear" w:color="auto" w:fill="auto"/>
            <w:noWrap/>
            <w:vAlign w:val="bottom"/>
            <w:hideMark/>
          </w:tcPr>
          <w:p w14:paraId="421EC99B" w14:textId="77777777" w:rsidR="00C06287" w:rsidRPr="004623CD" w:rsidRDefault="00C06287" w:rsidP="00C06287">
            <w:pPr>
              <w:jc w:val="center"/>
              <w:rPr>
                <w:color w:val="000000"/>
                <w:sz w:val="22"/>
                <w:szCs w:val="22"/>
              </w:rPr>
            </w:pPr>
            <w:r w:rsidRPr="004623CD">
              <w:rPr>
                <w:color w:val="000000"/>
                <w:sz w:val="22"/>
                <w:szCs w:val="22"/>
              </w:rPr>
              <w:t>2,835</w:t>
            </w:r>
          </w:p>
        </w:tc>
        <w:tc>
          <w:tcPr>
            <w:tcW w:w="1694" w:type="dxa"/>
            <w:tcBorders>
              <w:top w:val="nil"/>
              <w:left w:val="nil"/>
              <w:bottom w:val="single" w:sz="4" w:space="0" w:color="auto"/>
              <w:right w:val="single" w:sz="4" w:space="0" w:color="auto"/>
            </w:tcBorders>
            <w:shd w:val="clear" w:color="auto" w:fill="auto"/>
            <w:noWrap/>
            <w:vAlign w:val="bottom"/>
            <w:hideMark/>
          </w:tcPr>
          <w:p w14:paraId="322928BC" w14:textId="77777777" w:rsidR="00C06287" w:rsidRPr="004623CD" w:rsidRDefault="00C06287" w:rsidP="00C06287">
            <w:pPr>
              <w:jc w:val="center"/>
              <w:rPr>
                <w:color w:val="000000"/>
                <w:sz w:val="22"/>
                <w:szCs w:val="22"/>
              </w:rPr>
            </w:pPr>
            <w:r w:rsidRPr="004623CD">
              <w:rPr>
                <w:color w:val="000000"/>
                <w:sz w:val="22"/>
                <w:szCs w:val="22"/>
              </w:rPr>
              <w:t>21,322</w:t>
            </w:r>
          </w:p>
        </w:tc>
        <w:tc>
          <w:tcPr>
            <w:tcW w:w="1083" w:type="dxa"/>
            <w:tcBorders>
              <w:top w:val="nil"/>
              <w:left w:val="nil"/>
              <w:bottom w:val="single" w:sz="4" w:space="0" w:color="auto"/>
              <w:right w:val="single" w:sz="4" w:space="0" w:color="auto"/>
            </w:tcBorders>
            <w:shd w:val="clear" w:color="auto" w:fill="auto"/>
            <w:noWrap/>
            <w:vAlign w:val="bottom"/>
            <w:hideMark/>
          </w:tcPr>
          <w:p w14:paraId="700C7D93" w14:textId="77777777" w:rsidR="00C06287" w:rsidRPr="004623CD" w:rsidRDefault="00C06287" w:rsidP="00C06287">
            <w:pPr>
              <w:jc w:val="center"/>
              <w:rPr>
                <w:color w:val="000000"/>
                <w:sz w:val="22"/>
                <w:szCs w:val="22"/>
              </w:rPr>
            </w:pPr>
            <w:r w:rsidRPr="004623CD">
              <w:rPr>
                <w:color w:val="000000"/>
                <w:sz w:val="22"/>
                <w:szCs w:val="22"/>
              </w:rPr>
              <w:t>86.7%</w:t>
            </w:r>
          </w:p>
        </w:tc>
        <w:tc>
          <w:tcPr>
            <w:tcW w:w="2467" w:type="dxa"/>
            <w:tcBorders>
              <w:top w:val="nil"/>
              <w:left w:val="nil"/>
              <w:bottom w:val="single" w:sz="4" w:space="0" w:color="auto"/>
              <w:right w:val="single" w:sz="4" w:space="0" w:color="auto"/>
            </w:tcBorders>
            <w:shd w:val="clear" w:color="auto" w:fill="auto"/>
            <w:noWrap/>
            <w:vAlign w:val="bottom"/>
            <w:hideMark/>
          </w:tcPr>
          <w:p w14:paraId="2A3A62F8" w14:textId="77777777" w:rsidR="00C06287" w:rsidRPr="004623CD" w:rsidRDefault="00C06287" w:rsidP="00C06287">
            <w:pPr>
              <w:jc w:val="center"/>
              <w:rPr>
                <w:color w:val="000000"/>
                <w:sz w:val="22"/>
                <w:szCs w:val="22"/>
              </w:rPr>
            </w:pPr>
            <w:r w:rsidRPr="004623CD">
              <w:rPr>
                <w:color w:val="000000"/>
                <w:sz w:val="22"/>
                <w:szCs w:val="22"/>
              </w:rPr>
              <w:t>13.3%</w:t>
            </w:r>
          </w:p>
        </w:tc>
      </w:tr>
      <w:tr w:rsidR="00C06287" w:rsidRPr="004623CD" w14:paraId="364E4C08" w14:textId="77777777" w:rsidTr="004623CD">
        <w:trPr>
          <w:trHeight w:val="300"/>
        </w:trPr>
        <w:tc>
          <w:tcPr>
            <w:tcW w:w="1565" w:type="dxa"/>
            <w:tcBorders>
              <w:top w:val="nil"/>
              <w:left w:val="single" w:sz="4" w:space="0" w:color="auto"/>
              <w:bottom w:val="single" w:sz="4" w:space="0" w:color="auto"/>
              <w:right w:val="single" w:sz="4" w:space="0" w:color="auto"/>
            </w:tcBorders>
            <w:shd w:val="clear" w:color="000000" w:fill="auto"/>
            <w:noWrap/>
            <w:vAlign w:val="bottom"/>
            <w:hideMark/>
          </w:tcPr>
          <w:p w14:paraId="4771FD58" w14:textId="77777777" w:rsidR="00C06287" w:rsidRPr="004623CD" w:rsidRDefault="00C06287" w:rsidP="00C06287">
            <w:pPr>
              <w:jc w:val="center"/>
              <w:rPr>
                <w:bCs/>
                <w:color w:val="000000"/>
                <w:sz w:val="22"/>
                <w:szCs w:val="22"/>
              </w:rPr>
            </w:pPr>
            <w:r w:rsidRPr="004623CD">
              <w:rPr>
                <w:bCs/>
                <w:color w:val="000000"/>
                <w:sz w:val="22"/>
                <w:szCs w:val="22"/>
              </w:rPr>
              <w:t>2011</w:t>
            </w:r>
          </w:p>
        </w:tc>
        <w:tc>
          <w:tcPr>
            <w:tcW w:w="1140" w:type="dxa"/>
            <w:tcBorders>
              <w:top w:val="nil"/>
              <w:left w:val="nil"/>
              <w:bottom w:val="single" w:sz="4" w:space="0" w:color="auto"/>
              <w:right w:val="single" w:sz="4" w:space="0" w:color="auto"/>
            </w:tcBorders>
            <w:shd w:val="clear" w:color="auto" w:fill="auto"/>
            <w:noWrap/>
            <w:vAlign w:val="bottom"/>
            <w:hideMark/>
          </w:tcPr>
          <w:p w14:paraId="7B10EB9D" w14:textId="77777777" w:rsidR="00C06287" w:rsidRPr="004623CD" w:rsidRDefault="00C06287" w:rsidP="00C06287">
            <w:pPr>
              <w:jc w:val="center"/>
              <w:rPr>
                <w:color w:val="000000"/>
                <w:sz w:val="22"/>
                <w:szCs w:val="22"/>
              </w:rPr>
            </w:pPr>
            <w:r w:rsidRPr="004623CD">
              <w:rPr>
                <w:color w:val="000000"/>
                <w:sz w:val="22"/>
                <w:szCs w:val="22"/>
              </w:rPr>
              <w:t>22,508</w:t>
            </w:r>
          </w:p>
        </w:tc>
        <w:tc>
          <w:tcPr>
            <w:tcW w:w="1409" w:type="dxa"/>
            <w:tcBorders>
              <w:top w:val="nil"/>
              <w:left w:val="nil"/>
              <w:bottom w:val="single" w:sz="4" w:space="0" w:color="auto"/>
              <w:right w:val="single" w:sz="4" w:space="0" w:color="auto"/>
            </w:tcBorders>
            <w:shd w:val="clear" w:color="auto" w:fill="auto"/>
            <w:noWrap/>
            <w:vAlign w:val="bottom"/>
            <w:hideMark/>
          </w:tcPr>
          <w:p w14:paraId="532BCD49" w14:textId="77777777" w:rsidR="00C06287" w:rsidRPr="004623CD" w:rsidRDefault="00C06287" w:rsidP="00C06287">
            <w:pPr>
              <w:jc w:val="center"/>
              <w:rPr>
                <w:color w:val="000000"/>
                <w:sz w:val="22"/>
                <w:szCs w:val="22"/>
              </w:rPr>
            </w:pPr>
            <w:r w:rsidRPr="004623CD">
              <w:rPr>
                <w:color w:val="000000"/>
                <w:sz w:val="22"/>
                <w:szCs w:val="22"/>
              </w:rPr>
              <w:t>3,568</w:t>
            </w:r>
          </w:p>
        </w:tc>
        <w:tc>
          <w:tcPr>
            <w:tcW w:w="1694" w:type="dxa"/>
            <w:tcBorders>
              <w:top w:val="nil"/>
              <w:left w:val="nil"/>
              <w:bottom w:val="single" w:sz="4" w:space="0" w:color="auto"/>
              <w:right w:val="single" w:sz="4" w:space="0" w:color="auto"/>
            </w:tcBorders>
            <w:shd w:val="clear" w:color="auto" w:fill="auto"/>
            <w:noWrap/>
            <w:vAlign w:val="bottom"/>
            <w:hideMark/>
          </w:tcPr>
          <w:p w14:paraId="526F4F0C" w14:textId="77777777" w:rsidR="00C06287" w:rsidRPr="004623CD" w:rsidRDefault="00C06287" w:rsidP="00C06287">
            <w:pPr>
              <w:jc w:val="center"/>
              <w:rPr>
                <w:color w:val="000000"/>
                <w:sz w:val="22"/>
                <w:szCs w:val="22"/>
              </w:rPr>
            </w:pPr>
            <w:r w:rsidRPr="004623CD">
              <w:rPr>
                <w:color w:val="000000"/>
                <w:sz w:val="22"/>
                <w:szCs w:val="22"/>
              </w:rPr>
              <w:t>26,076</w:t>
            </w:r>
          </w:p>
        </w:tc>
        <w:tc>
          <w:tcPr>
            <w:tcW w:w="1083" w:type="dxa"/>
            <w:tcBorders>
              <w:top w:val="nil"/>
              <w:left w:val="nil"/>
              <w:bottom w:val="single" w:sz="4" w:space="0" w:color="auto"/>
              <w:right w:val="single" w:sz="4" w:space="0" w:color="auto"/>
            </w:tcBorders>
            <w:shd w:val="clear" w:color="auto" w:fill="auto"/>
            <w:noWrap/>
            <w:vAlign w:val="bottom"/>
            <w:hideMark/>
          </w:tcPr>
          <w:p w14:paraId="13385DEC" w14:textId="77777777" w:rsidR="00C06287" w:rsidRPr="004623CD" w:rsidRDefault="00C06287" w:rsidP="00C06287">
            <w:pPr>
              <w:jc w:val="center"/>
              <w:rPr>
                <w:color w:val="000000"/>
                <w:sz w:val="22"/>
                <w:szCs w:val="22"/>
              </w:rPr>
            </w:pPr>
            <w:r w:rsidRPr="004623CD">
              <w:rPr>
                <w:color w:val="000000"/>
                <w:sz w:val="22"/>
                <w:szCs w:val="22"/>
              </w:rPr>
              <w:t>86.3%</w:t>
            </w:r>
          </w:p>
        </w:tc>
        <w:tc>
          <w:tcPr>
            <w:tcW w:w="2467" w:type="dxa"/>
            <w:tcBorders>
              <w:top w:val="nil"/>
              <w:left w:val="nil"/>
              <w:bottom w:val="single" w:sz="4" w:space="0" w:color="auto"/>
              <w:right w:val="single" w:sz="4" w:space="0" w:color="auto"/>
            </w:tcBorders>
            <w:shd w:val="clear" w:color="auto" w:fill="auto"/>
            <w:noWrap/>
            <w:vAlign w:val="bottom"/>
            <w:hideMark/>
          </w:tcPr>
          <w:p w14:paraId="7477E30C" w14:textId="77777777" w:rsidR="00C06287" w:rsidRPr="004623CD" w:rsidRDefault="00C06287" w:rsidP="00C06287">
            <w:pPr>
              <w:jc w:val="center"/>
              <w:rPr>
                <w:color w:val="000000"/>
                <w:sz w:val="22"/>
                <w:szCs w:val="22"/>
              </w:rPr>
            </w:pPr>
            <w:r w:rsidRPr="004623CD">
              <w:rPr>
                <w:color w:val="000000"/>
                <w:sz w:val="22"/>
                <w:szCs w:val="22"/>
              </w:rPr>
              <w:t>13.7%</w:t>
            </w:r>
          </w:p>
        </w:tc>
      </w:tr>
      <w:tr w:rsidR="00C06287" w:rsidRPr="004623CD" w14:paraId="58EEFF32" w14:textId="77777777" w:rsidTr="004623CD">
        <w:trPr>
          <w:trHeight w:val="300"/>
        </w:trPr>
        <w:tc>
          <w:tcPr>
            <w:tcW w:w="1565" w:type="dxa"/>
            <w:tcBorders>
              <w:top w:val="nil"/>
              <w:left w:val="single" w:sz="4" w:space="0" w:color="auto"/>
              <w:bottom w:val="single" w:sz="4" w:space="0" w:color="auto"/>
              <w:right w:val="single" w:sz="4" w:space="0" w:color="auto"/>
            </w:tcBorders>
            <w:shd w:val="clear" w:color="000000" w:fill="auto"/>
            <w:noWrap/>
            <w:vAlign w:val="bottom"/>
            <w:hideMark/>
          </w:tcPr>
          <w:p w14:paraId="74C78E5E" w14:textId="77777777" w:rsidR="00C06287" w:rsidRPr="004623CD" w:rsidRDefault="00C06287" w:rsidP="00C06287">
            <w:pPr>
              <w:jc w:val="center"/>
              <w:rPr>
                <w:bCs/>
                <w:color w:val="000000"/>
                <w:sz w:val="22"/>
                <w:szCs w:val="22"/>
              </w:rPr>
            </w:pPr>
            <w:r w:rsidRPr="004623CD">
              <w:rPr>
                <w:bCs/>
                <w:color w:val="000000"/>
                <w:sz w:val="22"/>
                <w:szCs w:val="22"/>
              </w:rPr>
              <w:t>2012</w:t>
            </w:r>
          </w:p>
        </w:tc>
        <w:tc>
          <w:tcPr>
            <w:tcW w:w="1140" w:type="dxa"/>
            <w:tcBorders>
              <w:top w:val="nil"/>
              <w:left w:val="nil"/>
              <w:bottom w:val="single" w:sz="4" w:space="0" w:color="auto"/>
              <w:right w:val="single" w:sz="4" w:space="0" w:color="auto"/>
            </w:tcBorders>
            <w:shd w:val="clear" w:color="auto" w:fill="auto"/>
            <w:noWrap/>
            <w:vAlign w:val="bottom"/>
            <w:hideMark/>
          </w:tcPr>
          <w:p w14:paraId="26ADA695" w14:textId="77777777" w:rsidR="00C06287" w:rsidRPr="004623CD" w:rsidRDefault="00C06287" w:rsidP="00C06287">
            <w:pPr>
              <w:jc w:val="center"/>
              <w:rPr>
                <w:color w:val="000000"/>
                <w:sz w:val="22"/>
                <w:szCs w:val="22"/>
              </w:rPr>
            </w:pPr>
            <w:r w:rsidRPr="004623CD">
              <w:rPr>
                <w:color w:val="000000"/>
                <w:sz w:val="22"/>
                <w:szCs w:val="22"/>
              </w:rPr>
              <w:t>14,210</w:t>
            </w:r>
          </w:p>
        </w:tc>
        <w:tc>
          <w:tcPr>
            <w:tcW w:w="1409" w:type="dxa"/>
            <w:tcBorders>
              <w:top w:val="nil"/>
              <w:left w:val="nil"/>
              <w:bottom w:val="single" w:sz="4" w:space="0" w:color="auto"/>
              <w:right w:val="single" w:sz="4" w:space="0" w:color="auto"/>
            </w:tcBorders>
            <w:shd w:val="clear" w:color="auto" w:fill="auto"/>
            <w:noWrap/>
            <w:vAlign w:val="bottom"/>
            <w:hideMark/>
          </w:tcPr>
          <w:p w14:paraId="6EDC7479" w14:textId="77777777" w:rsidR="00C06287" w:rsidRPr="004623CD" w:rsidRDefault="00C06287" w:rsidP="00C06287">
            <w:pPr>
              <w:jc w:val="center"/>
              <w:rPr>
                <w:color w:val="000000"/>
                <w:sz w:val="22"/>
                <w:szCs w:val="22"/>
              </w:rPr>
            </w:pPr>
            <w:r w:rsidRPr="004623CD">
              <w:rPr>
                <w:color w:val="000000"/>
                <w:sz w:val="22"/>
                <w:szCs w:val="22"/>
              </w:rPr>
              <w:t>1,839</w:t>
            </w:r>
          </w:p>
        </w:tc>
        <w:tc>
          <w:tcPr>
            <w:tcW w:w="1694" w:type="dxa"/>
            <w:tcBorders>
              <w:top w:val="nil"/>
              <w:left w:val="nil"/>
              <w:bottom w:val="single" w:sz="4" w:space="0" w:color="auto"/>
              <w:right w:val="single" w:sz="4" w:space="0" w:color="auto"/>
            </w:tcBorders>
            <w:shd w:val="clear" w:color="auto" w:fill="auto"/>
            <w:noWrap/>
            <w:vAlign w:val="bottom"/>
            <w:hideMark/>
          </w:tcPr>
          <w:p w14:paraId="1A6D37B3" w14:textId="77777777" w:rsidR="00C06287" w:rsidRPr="004623CD" w:rsidRDefault="00C06287" w:rsidP="00C06287">
            <w:pPr>
              <w:jc w:val="center"/>
              <w:rPr>
                <w:color w:val="000000"/>
                <w:sz w:val="22"/>
                <w:szCs w:val="22"/>
              </w:rPr>
            </w:pPr>
            <w:r w:rsidRPr="004623CD">
              <w:rPr>
                <w:color w:val="000000"/>
                <w:sz w:val="22"/>
                <w:szCs w:val="22"/>
              </w:rPr>
              <w:t>16,049</w:t>
            </w:r>
          </w:p>
        </w:tc>
        <w:tc>
          <w:tcPr>
            <w:tcW w:w="1083" w:type="dxa"/>
            <w:tcBorders>
              <w:top w:val="nil"/>
              <w:left w:val="nil"/>
              <w:bottom w:val="single" w:sz="4" w:space="0" w:color="auto"/>
              <w:right w:val="single" w:sz="4" w:space="0" w:color="auto"/>
            </w:tcBorders>
            <w:shd w:val="clear" w:color="auto" w:fill="auto"/>
            <w:noWrap/>
            <w:vAlign w:val="bottom"/>
            <w:hideMark/>
          </w:tcPr>
          <w:p w14:paraId="6AFE9DAC" w14:textId="77777777" w:rsidR="00C06287" w:rsidRPr="004623CD" w:rsidRDefault="00C06287" w:rsidP="00C06287">
            <w:pPr>
              <w:jc w:val="center"/>
              <w:rPr>
                <w:color w:val="000000"/>
                <w:sz w:val="22"/>
                <w:szCs w:val="22"/>
              </w:rPr>
            </w:pPr>
            <w:r w:rsidRPr="004623CD">
              <w:rPr>
                <w:color w:val="000000"/>
                <w:sz w:val="22"/>
                <w:szCs w:val="22"/>
              </w:rPr>
              <w:t>88.5%</w:t>
            </w:r>
          </w:p>
        </w:tc>
        <w:tc>
          <w:tcPr>
            <w:tcW w:w="2467" w:type="dxa"/>
            <w:tcBorders>
              <w:top w:val="nil"/>
              <w:left w:val="nil"/>
              <w:bottom w:val="single" w:sz="4" w:space="0" w:color="auto"/>
              <w:right w:val="single" w:sz="4" w:space="0" w:color="auto"/>
            </w:tcBorders>
            <w:shd w:val="clear" w:color="auto" w:fill="auto"/>
            <w:noWrap/>
            <w:vAlign w:val="bottom"/>
            <w:hideMark/>
          </w:tcPr>
          <w:p w14:paraId="44F3D2E9" w14:textId="77777777" w:rsidR="00C06287" w:rsidRPr="004623CD" w:rsidRDefault="00C06287" w:rsidP="00C06287">
            <w:pPr>
              <w:jc w:val="center"/>
              <w:rPr>
                <w:color w:val="000000"/>
                <w:sz w:val="22"/>
                <w:szCs w:val="22"/>
              </w:rPr>
            </w:pPr>
            <w:r w:rsidRPr="004623CD">
              <w:rPr>
                <w:color w:val="000000"/>
                <w:sz w:val="22"/>
                <w:szCs w:val="22"/>
              </w:rPr>
              <w:t>11.5%</w:t>
            </w:r>
          </w:p>
        </w:tc>
      </w:tr>
      <w:tr w:rsidR="00C06287" w:rsidRPr="004623CD" w14:paraId="7928F250" w14:textId="77777777" w:rsidTr="004623CD">
        <w:trPr>
          <w:trHeight w:val="300"/>
        </w:trPr>
        <w:tc>
          <w:tcPr>
            <w:tcW w:w="1565" w:type="dxa"/>
            <w:tcBorders>
              <w:top w:val="nil"/>
              <w:left w:val="single" w:sz="4" w:space="0" w:color="auto"/>
              <w:bottom w:val="single" w:sz="4" w:space="0" w:color="auto"/>
              <w:right w:val="single" w:sz="4" w:space="0" w:color="auto"/>
            </w:tcBorders>
            <w:shd w:val="clear" w:color="000000" w:fill="auto"/>
            <w:noWrap/>
            <w:vAlign w:val="bottom"/>
            <w:hideMark/>
          </w:tcPr>
          <w:p w14:paraId="63C11719" w14:textId="77777777" w:rsidR="00C06287" w:rsidRPr="004623CD" w:rsidRDefault="00C06287" w:rsidP="00C06287">
            <w:pPr>
              <w:jc w:val="center"/>
              <w:rPr>
                <w:bCs/>
                <w:color w:val="000000"/>
                <w:sz w:val="22"/>
                <w:szCs w:val="22"/>
              </w:rPr>
            </w:pPr>
            <w:r w:rsidRPr="004623CD">
              <w:rPr>
                <w:bCs/>
                <w:color w:val="000000"/>
                <w:sz w:val="22"/>
                <w:szCs w:val="22"/>
              </w:rPr>
              <w:t>2013</w:t>
            </w:r>
          </w:p>
        </w:tc>
        <w:tc>
          <w:tcPr>
            <w:tcW w:w="1140" w:type="dxa"/>
            <w:tcBorders>
              <w:top w:val="nil"/>
              <w:left w:val="nil"/>
              <w:bottom w:val="single" w:sz="4" w:space="0" w:color="auto"/>
              <w:right w:val="single" w:sz="4" w:space="0" w:color="auto"/>
            </w:tcBorders>
            <w:shd w:val="clear" w:color="auto" w:fill="auto"/>
            <w:noWrap/>
            <w:vAlign w:val="bottom"/>
            <w:hideMark/>
          </w:tcPr>
          <w:p w14:paraId="01A0168B" w14:textId="77777777" w:rsidR="00C06287" w:rsidRPr="004623CD" w:rsidRDefault="00C06287" w:rsidP="00C06287">
            <w:pPr>
              <w:jc w:val="center"/>
              <w:rPr>
                <w:color w:val="000000"/>
                <w:sz w:val="22"/>
                <w:szCs w:val="22"/>
              </w:rPr>
            </w:pPr>
            <w:r w:rsidRPr="004623CD">
              <w:rPr>
                <w:color w:val="000000"/>
                <w:sz w:val="22"/>
                <w:szCs w:val="22"/>
              </w:rPr>
              <w:t>20,096</w:t>
            </w:r>
          </w:p>
        </w:tc>
        <w:tc>
          <w:tcPr>
            <w:tcW w:w="1409" w:type="dxa"/>
            <w:tcBorders>
              <w:top w:val="nil"/>
              <w:left w:val="nil"/>
              <w:bottom w:val="single" w:sz="4" w:space="0" w:color="auto"/>
              <w:right w:val="single" w:sz="4" w:space="0" w:color="auto"/>
            </w:tcBorders>
            <w:shd w:val="clear" w:color="auto" w:fill="auto"/>
            <w:noWrap/>
            <w:vAlign w:val="bottom"/>
            <w:hideMark/>
          </w:tcPr>
          <w:p w14:paraId="758D7AA8" w14:textId="77777777" w:rsidR="00C06287" w:rsidRPr="004623CD" w:rsidRDefault="00C06287" w:rsidP="00C06287">
            <w:pPr>
              <w:jc w:val="center"/>
              <w:rPr>
                <w:color w:val="000000"/>
                <w:sz w:val="22"/>
                <w:szCs w:val="22"/>
              </w:rPr>
            </w:pPr>
            <w:r w:rsidRPr="004623CD">
              <w:rPr>
                <w:color w:val="000000"/>
                <w:sz w:val="22"/>
                <w:szCs w:val="22"/>
              </w:rPr>
              <w:t>7,970</w:t>
            </w:r>
          </w:p>
        </w:tc>
        <w:tc>
          <w:tcPr>
            <w:tcW w:w="1694" w:type="dxa"/>
            <w:tcBorders>
              <w:top w:val="nil"/>
              <w:left w:val="nil"/>
              <w:bottom w:val="single" w:sz="4" w:space="0" w:color="auto"/>
              <w:right w:val="single" w:sz="4" w:space="0" w:color="auto"/>
            </w:tcBorders>
            <w:shd w:val="clear" w:color="auto" w:fill="auto"/>
            <w:noWrap/>
            <w:vAlign w:val="bottom"/>
            <w:hideMark/>
          </w:tcPr>
          <w:p w14:paraId="4FA766A8" w14:textId="77777777" w:rsidR="00C06287" w:rsidRPr="004623CD" w:rsidRDefault="00C06287" w:rsidP="00C06287">
            <w:pPr>
              <w:jc w:val="center"/>
              <w:rPr>
                <w:color w:val="000000"/>
                <w:sz w:val="22"/>
                <w:szCs w:val="22"/>
              </w:rPr>
            </w:pPr>
            <w:r w:rsidRPr="004623CD">
              <w:rPr>
                <w:color w:val="000000"/>
                <w:sz w:val="22"/>
                <w:szCs w:val="22"/>
              </w:rPr>
              <w:t>28,066</w:t>
            </w:r>
          </w:p>
        </w:tc>
        <w:tc>
          <w:tcPr>
            <w:tcW w:w="1083" w:type="dxa"/>
            <w:tcBorders>
              <w:top w:val="nil"/>
              <w:left w:val="nil"/>
              <w:bottom w:val="single" w:sz="4" w:space="0" w:color="auto"/>
              <w:right w:val="single" w:sz="4" w:space="0" w:color="auto"/>
            </w:tcBorders>
            <w:shd w:val="clear" w:color="auto" w:fill="auto"/>
            <w:noWrap/>
            <w:vAlign w:val="bottom"/>
            <w:hideMark/>
          </w:tcPr>
          <w:p w14:paraId="641A2880" w14:textId="77777777" w:rsidR="00C06287" w:rsidRPr="004623CD" w:rsidRDefault="00C06287" w:rsidP="00C06287">
            <w:pPr>
              <w:jc w:val="center"/>
              <w:rPr>
                <w:color w:val="000000"/>
                <w:sz w:val="22"/>
                <w:szCs w:val="22"/>
              </w:rPr>
            </w:pPr>
            <w:r w:rsidRPr="004623CD">
              <w:rPr>
                <w:color w:val="000000"/>
                <w:sz w:val="22"/>
                <w:szCs w:val="22"/>
              </w:rPr>
              <w:t>71.6%</w:t>
            </w:r>
          </w:p>
        </w:tc>
        <w:tc>
          <w:tcPr>
            <w:tcW w:w="2467" w:type="dxa"/>
            <w:tcBorders>
              <w:top w:val="nil"/>
              <w:left w:val="nil"/>
              <w:bottom w:val="single" w:sz="4" w:space="0" w:color="auto"/>
              <w:right w:val="single" w:sz="4" w:space="0" w:color="auto"/>
            </w:tcBorders>
            <w:shd w:val="clear" w:color="auto" w:fill="auto"/>
            <w:noWrap/>
            <w:vAlign w:val="bottom"/>
            <w:hideMark/>
          </w:tcPr>
          <w:p w14:paraId="5A909ECD" w14:textId="77777777" w:rsidR="00C06287" w:rsidRPr="004623CD" w:rsidRDefault="00C06287" w:rsidP="00C06287">
            <w:pPr>
              <w:jc w:val="center"/>
              <w:rPr>
                <w:color w:val="000000"/>
                <w:sz w:val="22"/>
                <w:szCs w:val="22"/>
              </w:rPr>
            </w:pPr>
            <w:r w:rsidRPr="004623CD">
              <w:rPr>
                <w:color w:val="000000"/>
                <w:sz w:val="22"/>
                <w:szCs w:val="22"/>
              </w:rPr>
              <w:t>28.4%</w:t>
            </w:r>
          </w:p>
        </w:tc>
      </w:tr>
      <w:tr w:rsidR="00C06287" w:rsidRPr="004623CD" w14:paraId="02D3CEF1" w14:textId="77777777" w:rsidTr="004623CD">
        <w:trPr>
          <w:trHeight w:val="300"/>
        </w:trPr>
        <w:tc>
          <w:tcPr>
            <w:tcW w:w="1565" w:type="dxa"/>
            <w:tcBorders>
              <w:top w:val="nil"/>
              <w:left w:val="single" w:sz="4" w:space="0" w:color="auto"/>
              <w:bottom w:val="single" w:sz="4" w:space="0" w:color="auto"/>
              <w:right w:val="single" w:sz="4" w:space="0" w:color="auto"/>
            </w:tcBorders>
            <w:shd w:val="clear" w:color="000000" w:fill="auto"/>
            <w:noWrap/>
            <w:vAlign w:val="bottom"/>
            <w:hideMark/>
          </w:tcPr>
          <w:p w14:paraId="32E4F115" w14:textId="77777777" w:rsidR="00C06287" w:rsidRPr="004623CD" w:rsidRDefault="00C06287" w:rsidP="00C06287">
            <w:pPr>
              <w:jc w:val="center"/>
              <w:rPr>
                <w:bCs/>
                <w:color w:val="000000"/>
                <w:sz w:val="22"/>
                <w:szCs w:val="22"/>
              </w:rPr>
            </w:pPr>
            <w:r w:rsidRPr="004623CD">
              <w:rPr>
                <w:bCs/>
                <w:color w:val="000000"/>
                <w:sz w:val="22"/>
                <w:szCs w:val="22"/>
              </w:rPr>
              <w:t>2014</w:t>
            </w:r>
          </w:p>
        </w:tc>
        <w:tc>
          <w:tcPr>
            <w:tcW w:w="1140" w:type="dxa"/>
            <w:tcBorders>
              <w:top w:val="nil"/>
              <w:left w:val="nil"/>
              <w:bottom w:val="single" w:sz="4" w:space="0" w:color="auto"/>
              <w:right w:val="single" w:sz="4" w:space="0" w:color="auto"/>
            </w:tcBorders>
            <w:shd w:val="clear" w:color="auto" w:fill="auto"/>
            <w:noWrap/>
            <w:vAlign w:val="bottom"/>
            <w:hideMark/>
          </w:tcPr>
          <w:p w14:paraId="14017C96" w14:textId="77777777" w:rsidR="00C06287" w:rsidRPr="004623CD" w:rsidRDefault="00C06287" w:rsidP="00C06287">
            <w:pPr>
              <w:jc w:val="center"/>
              <w:rPr>
                <w:color w:val="000000"/>
                <w:sz w:val="22"/>
                <w:szCs w:val="22"/>
              </w:rPr>
            </w:pPr>
            <w:r w:rsidRPr="004623CD">
              <w:rPr>
                <w:color w:val="000000"/>
                <w:sz w:val="22"/>
                <w:szCs w:val="22"/>
              </w:rPr>
              <w:t>15,305</w:t>
            </w:r>
          </w:p>
        </w:tc>
        <w:tc>
          <w:tcPr>
            <w:tcW w:w="1409" w:type="dxa"/>
            <w:tcBorders>
              <w:top w:val="nil"/>
              <w:left w:val="nil"/>
              <w:bottom w:val="single" w:sz="4" w:space="0" w:color="auto"/>
              <w:right w:val="single" w:sz="4" w:space="0" w:color="auto"/>
            </w:tcBorders>
            <w:shd w:val="clear" w:color="auto" w:fill="auto"/>
            <w:noWrap/>
            <w:vAlign w:val="bottom"/>
            <w:hideMark/>
          </w:tcPr>
          <w:p w14:paraId="181544AF" w14:textId="77777777" w:rsidR="00C06287" w:rsidRPr="004623CD" w:rsidRDefault="00C06287" w:rsidP="00C06287">
            <w:pPr>
              <w:jc w:val="center"/>
              <w:rPr>
                <w:color w:val="000000"/>
                <w:sz w:val="22"/>
                <w:szCs w:val="22"/>
              </w:rPr>
            </w:pPr>
            <w:r w:rsidRPr="004623CD">
              <w:rPr>
                <w:color w:val="000000"/>
                <w:sz w:val="22"/>
                <w:szCs w:val="22"/>
              </w:rPr>
              <w:t>4,887</w:t>
            </w:r>
          </w:p>
        </w:tc>
        <w:tc>
          <w:tcPr>
            <w:tcW w:w="1694" w:type="dxa"/>
            <w:tcBorders>
              <w:top w:val="nil"/>
              <w:left w:val="nil"/>
              <w:bottom w:val="single" w:sz="4" w:space="0" w:color="auto"/>
              <w:right w:val="single" w:sz="4" w:space="0" w:color="auto"/>
            </w:tcBorders>
            <w:shd w:val="clear" w:color="auto" w:fill="auto"/>
            <w:noWrap/>
            <w:vAlign w:val="bottom"/>
            <w:hideMark/>
          </w:tcPr>
          <w:p w14:paraId="02F8BE47" w14:textId="77777777" w:rsidR="00C06287" w:rsidRPr="004623CD" w:rsidRDefault="00C06287" w:rsidP="00C06287">
            <w:pPr>
              <w:jc w:val="center"/>
              <w:rPr>
                <w:color w:val="000000"/>
                <w:sz w:val="22"/>
                <w:szCs w:val="22"/>
              </w:rPr>
            </w:pPr>
            <w:r w:rsidRPr="004623CD">
              <w:rPr>
                <w:color w:val="000000"/>
                <w:sz w:val="22"/>
                <w:szCs w:val="22"/>
              </w:rPr>
              <w:t>20,192</w:t>
            </w:r>
          </w:p>
        </w:tc>
        <w:tc>
          <w:tcPr>
            <w:tcW w:w="1083" w:type="dxa"/>
            <w:tcBorders>
              <w:top w:val="nil"/>
              <w:left w:val="nil"/>
              <w:bottom w:val="single" w:sz="4" w:space="0" w:color="auto"/>
              <w:right w:val="single" w:sz="4" w:space="0" w:color="auto"/>
            </w:tcBorders>
            <w:shd w:val="clear" w:color="auto" w:fill="auto"/>
            <w:noWrap/>
            <w:vAlign w:val="bottom"/>
            <w:hideMark/>
          </w:tcPr>
          <w:p w14:paraId="1BA84EF6" w14:textId="77777777" w:rsidR="00C06287" w:rsidRPr="004623CD" w:rsidRDefault="00C06287" w:rsidP="00C06287">
            <w:pPr>
              <w:jc w:val="center"/>
              <w:rPr>
                <w:color w:val="000000"/>
                <w:sz w:val="22"/>
                <w:szCs w:val="22"/>
              </w:rPr>
            </w:pPr>
            <w:r w:rsidRPr="004623CD">
              <w:rPr>
                <w:color w:val="000000"/>
                <w:sz w:val="22"/>
                <w:szCs w:val="22"/>
              </w:rPr>
              <w:t>75.8%</w:t>
            </w:r>
          </w:p>
        </w:tc>
        <w:tc>
          <w:tcPr>
            <w:tcW w:w="2467" w:type="dxa"/>
            <w:tcBorders>
              <w:top w:val="nil"/>
              <w:left w:val="nil"/>
              <w:bottom w:val="single" w:sz="4" w:space="0" w:color="auto"/>
              <w:right w:val="single" w:sz="4" w:space="0" w:color="auto"/>
            </w:tcBorders>
            <w:shd w:val="clear" w:color="auto" w:fill="auto"/>
            <w:noWrap/>
            <w:vAlign w:val="bottom"/>
            <w:hideMark/>
          </w:tcPr>
          <w:p w14:paraId="22E9EA72" w14:textId="77777777" w:rsidR="00C06287" w:rsidRPr="004623CD" w:rsidRDefault="00C06287" w:rsidP="00C06287">
            <w:pPr>
              <w:jc w:val="center"/>
              <w:rPr>
                <w:color w:val="000000"/>
                <w:sz w:val="22"/>
                <w:szCs w:val="22"/>
              </w:rPr>
            </w:pPr>
            <w:r w:rsidRPr="004623CD">
              <w:rPr>
                <w:color w:val="000000"/>
                <w:sz w:val="22"/>
                <w:szCs w:val="22"/>
              </w:rPr>
              <w:t>24.2%</w:t>
            </w:r>
          </w:p>
        </w:tc>
      </w:tr>
      <w:tr w:rsidR="00C06287" w:rsidRPr="004623CD" w14:paraId="5BD45490" w14:textId="77777777" w:rsidTr="004623CD">
        <w:trPr>
          <w:trHeight w:val="300"/>
        </w:trPr>
        <w:tc>
          <w:tcPr>
            <w:tcW w:w="1565" w:type="dxa"/>
            <w:tcBorders>
              <w:top w:val="nil"/>
              <w:left w:val="single" w:sz="4" w:space="0" w:color="auto"/>
              <w:bottom w:val="single" w:sz="4" w:space="0" w:color="auto"/>
              <w:right w:val="single" w:sz="4" w:space="0" w:color="auto"/>
            </w:tcBorders>
            <w:shd w:val="clear" w:color="000000" w:fill="auto"/>
            <w:noWrap/>
            <w:vAlign w:val="bottom"/>
            <w:hideMark/>
          </w:tcPr>
          <w:p w14:paraId="12B69785" w14:textId="77777777" w:rsidR="00C06287" w:rsidRPr="00493106" w:rsidRDefault="00C06287" w:rsidP="00C06287">
            <w:pPr>
              <w:jc w:val="center"/>
              <w:rPr>
                <w:b/>
                <w:bCs/>
                <w:color w:val="000000"/>
                <w:sz w:val="22"/>
                <w:szCs w:val="22"/>
              </w:rPr>
            </w:pPr>
            <w:r w:rsidRPr="00493106">
              <w:rPr>
                <w:b/>
                <w:bCs/>
                <w:color w:val="000000"/>
                <w:sz w:val="22"/>
                <w:szCs w:val="22"/>
              </w:rPr>
              <w:t>Average</w:t>
            </w:r>
          </w:p>
        </w:tc>
        <w:tc>
          <w:tcPr>
            <w:tcW w:w="1140" w:type="dxa"/>
            <w:tcBorders>
              <w:top w:val="nil"/>
              <w:left w:val="nil"/>
              <w:bottom w:val="single" w:sz="4" w:space="0" w:color="auto"/>
              <w:right w:val="single" w:sz="4" w:space="0" w:color="auto"/>
            </w:tcBorders>
            <w:shd w:val="clear" w:color="auto" w:fill="auto"/>
            <w:noWrap/>
            <w:vAlign w:val="bottom"/>
            <w:hideMark/>
          </w:tcPr>
          <w:p w14:paraId="01DF83FE" w14:textId="77777777" w:rsidR="00C06287" w:rsidRPr="00493106" w:rsidRDefault="00C06287" w:rsidP="00C06287">
            <w:pPr>
              <w:jc w:val="center"/>
              <w:rPr>
                <w:b/>
                <w:color w:val="000000"/>
                <w:sz w:val="22"/>
                <w:szCs w:val="22"/>
              </w:rPr>
            </w:pPr>
            <w:r w:rsidRPr="00493106">
              <w:rPr>
                <w:b/>
                <w:color w:val="000000"/>
                <w:sz w:val="22"/>
                <w:szCs w:val="22"/>
              </w:rPr>
              <w:t>18,121</w:t>
            </w:r>
          </w:p>
        </w:tc>
        <w:tc>
          <w:tcPr>
            <w:tcW w:w="1409" w:type="dxa"/>
            <w:tcBorders>
              <w:top w:val="nil"/>
              <w:left w:val="nil"/>
              <w:bottom w:val="single" w:sz="4" w:space="0" w:color="auto"/>
              <w:right w:val="single" w:sz="4" w:space="0" w:color="auto"/>
            </w:tcBorders>
            <w:shd w:val="clear" w:color="auto" w:fill="auto"/>
            <w:noWrap/>
            <w:vAlign w:val="bottom"/>
            <w:hideMark/>
          </w:tcPr>
          <w:p w14:paraId="76D75401" w14:textId="77777777" w:rsidR="00C06287" w:rsidRPr="00493106" w:rsidRDefault="00C06287" w:rsidP="00C06287">
            <w:pPr>
              <w:jc w:val="center"/>
              <w:rPr>
                <w:b/>
                <w:color w:val="000000"/>
                <w:sz w:val="22"/>
                <w:szCs w:val="22"/>
              </w:rPr>
            </w:pPr>
            <w:r w:rsidRPr="00493106">
              <w:rPr>
                <w:b/>
                <w:color w:val="000000"/>
                <w:sz w:val="22"/>
                <w:szCs w:val="22"/>
              </w:rPr>
              <w:t>4,220</w:t>
            </w:r>
          </w:p>
        </w:tc>
        <w:tc>
          <w:tcPr>
            <w:tcW w:w="1694" w:type="dxa"/>
            <w:tcBorders>
              <w:top w:val="nil"/>
              <w:left w:val="nil"/>
              <w:bottom w:val="single" w:sz="4" w:space="0" w:color="auto"/>
              <w:right w:val="single" w:sz="4" w:space="0" w:color="auto"/>
            </w:tcBorders>
            <w:shd w:val="clear" w:color="auto" w:fill="auto"/>
            <w:noWrap/>
            <w:vAlign w:val="bottom"/>
            <w:hideMark/>
          </w:tcPr>
          <w:p w14:paraId="3DBE9510" w14:textId="77777777" w:rsidR="00C06287" w:rsidRPr="00493106" w:rsidRDefault="00C06287" w:rsidP="00C06287">
            <w:pPr>
              <w:jc w:val="center"/>
              <w:rPr>
                <w:b/>
                <w:color w:val="000000"/>
                <w:sz w:val="22"/>
                <w:szCs w:val="22"/>
              </w:rPr>
            </w:pPr>
            <w:r w:rsidRPr="00493106">
              <w:rPr>
                <w:b/>
                <w:color w:val="000000"/>
                <w:sz w:val="22"/>
                <w:szCs w:val="22"/>
              </w:rPr>
              <w:t>22,341</w:t>
            </w:r>
          </w:p>
        </w:tc>
        <w:tc>
          <w:tcPr>
            <w:tcW w:w="1083" w:type="dxa"/>
            <w:tcBorders>
              <w:top w:val="nil"/>
              <w:left w:val="nil"/>
              <w:bottom w:val="single" w:sz="4" w:space="0" w:color="auto"/>
              <w:right w:val="single" w:sz="4" w:space="0" w:color="auto"/>
            </w:tcBorders>
            <w:shd w:val="clear" w:color="auto" w:fill="auto"/>
            <w:noWrap/>
            <w:vAlign w:val="bottom"/>
            <w:hideMark/>
          </w:tcPr>
          <w:p w14:paraId="53696A8B" w14:textId="77777777" w:rsidR="00C06287" w:rsidRPr="00493106" w:rsidRDefault="00C06287" w:rsidP="00C06287">
            <w:pPr>
              <w:jc w:val="center"/>
              <w:rPr>
                <w:b/>
                <w:color w:val="000000"/>
                <w:sz w:val="22"/>
                <w:szCs w:val="22"/>
              </w:rPr>
            </w:pPr>
            <w:r w:rsidRPr="00493106">
              <w:rPr>
                <w:b/>
                <w:color w:val="000000"/>
                <w:sz w:val="22"/>
                <w:szCs w:val="22"/>
              </w:rPr>
              <w:t>81.8%</w:t>
            </w:r>
          </w:p>
        </w:tc>
        <w:tc>
          <w:tcPr>
            <w:tcW w:w="2467" w:type="dxa"/>
            <w:tcBorders>
              <w:top w:val="nil"/>
              <w:left w:val="nil"/>
              <w:bottom w:val="single" w:sz="4" w:space="0" w:color="auto"/>
              <w:right w:val="single" w:sz="4" w:space="0" w:color="auto"/>
            </w:tcBorders>
            <w:shd w:val="clear" w:color="auto" w:fill="auto"/>
            <w:noWrap/>
            <w:vAlign w:val="bottom"/>
            <w:hideMark/>
          </w:tcPr>
          <w:p w14:paraId="0E292746" w14:textId="77777777" w:rsidR="00C06287" w:rsidRPr="00493106" w:rsidRDefault="00C06287" w:rsidP="00C06287">
            <w:pPr>
              <w:jc w:val="center"/>
              <w:rPr>
                <w:b/>
                <w:color w:val="000000"/>
                <w:sz w:val="22"/>
                <w:szCs w:val="22"/>
              </w:rPr>
            </w:pPr>
            <w:r w:rsidRPr="00493106">
              <w:rPr>
                <w:b/>
                <w:color w:val="000000"/>
                <w:sz w:val="22"/>
                <w:szCs w:val="22"/>
              </w:rPr>
              <w:t>18.2%</w:t>
            </w:r>
          </w:p>
        </w:tc>
      </w:tr>
    </w:tbl>
    <w:p w14:paraId="7BBCF1A0" w14:textId="1C25F783" w:rsidR="00C06287" w:rsidRDefault="004623CD" w:rsidP="00C06287">
      <w:pPr>
        <w:pStyle w:val="Default"/>
        <w:rPr>
          <w:sz w:val="23"/>
          <w:szCs w:val="23"/>
        </w:rPr>
      </w:pPr>
      <w:r>
        <w:rPr>
          <w:rFonts w:ascii="Arial" w:hAnsi="Arial" w:cs="Arial"/>
          <w:sz w:val="20"/>
          <w:szCs w:val="20"/>
        </w:rPr>
        <w:t xml:space="preserve">Source: </w:t>
      </w:r>
      <w:r w:rsidRPr="00091BD5">
        <w:rPr>
          <w:rFonts w:ascii="Arial" w:hAnsi="Arial" w:cs="Arial"/>
          <w:sz w:val="20"/>
          <w:szCs w:val="20"/>
        </w:rPr>
        <w:t xml:space="preserve"> Personal communication from the National Marine Fisheries Service, Fisher</w:t>
      </w:r>
      <w:r>
        <w:rPr>
          <w:rFonts w:ascii="Arial" w:hAnsi="Arial" w:cs="Arial"/>
          <w:sz w:val="20"/>
          <w:szCs w:val="20"/>
        </w:rPr>
        <w:t>ies Statistics Division March 31</w:t>
      </w:r>
      <w:r w:rsidRPr="00091BD5">
        <w:rPr>
          <w:rFonts w:ascii="Arial" w:hAnsi="Arial" w:cs="Arial"/>
          <w:sz w:val="20"/>
          <w:szCs w:val="20"/>
        </w:rPr>
        <w:t>, 2016</w:t>
      </w:r>
      <w:r>
        <w:rPr>
          <w:rFonts w:ascii="Arial" w:hAnsi="Arial" w:cs="Arial"/>
          <w:sz w:val="20"/>
          <w:szCs w:val="20"/>
        </w:rPr>
        <w:t>.</w:t>
      </w:r>
    </w:p>
    <w:p w14:paraId="1A8E74BF" w14:textId="77777777" w:rsidR="00C06287" w:rsidRDefault="00C06287" w:rsidP="00C06287">
      <w:pPr>
        <w:pStyle w:val="Default"/>
        <w:rPr>
          <w:sz w:val="23"/>
          <w:szCs w:val="23"/>
        </w:rPr>
      </w:pPr>
    </w:p>
    <w:p w14:paraId="66219355" w14:textId="6146E074" w:rsidR="00C06287" w:rsidRPr="00AE6F07" w:rsidRDefault="00C06287" w:rsidP="00AE6F07">
      <w:pPr>
        <w:pStyle w:val="Tabletitle"/>
        <w:rPr>
          <w:rFonts w:cs="Arial"/>
          <w:b/>
          <w:szCs w:val="20"/>
        </w:rPr>
      </w:pPr>
      <w:bookmarkStart w:id="171" w:name="_Toc340431570"/>
      <w:r>
        <w:rPr>
          <w:b/>
        </w:rPr>
        <w:t>Table 3.3.25</w:t>
      </w:r>
      <w:r w:rsidRPr="00091BD5">
        <w:rPr>
          <w:b/>
        </w:rPr>
        <w:t>.</w:t>
      </w:r>
      <w:r>
        <w:t xml:space="preserve">  Estimates of number and percentage of angler trips that targeted mu</w:t>
      </w:r>
      <w:r w:rsidR="004623CD">
        <w:t>tton snapper in the South Atlantic r</w:t>
      </w:r>
      <w:r>
        <w:t>egion by</w:t>
      </w:r>
      <w:r w:rsidR="004623CD">
        <w:t xml:space="preserve"> mode and waters fished, 2010-</w:t>
      </w:r>
      <w:r>
        <w:t>2014.</w:t>
      </w:r>
      <w:bookmarkEnd w:id="171"/>
      <w:r>
        <w:t xml:space="preserve">  </w:t>
      </w:r>
    </w:p>
    <w:tbl>
      <w:tblPr>
        <w:tblW w:w="9283" w:type="dxa"/>
        <w:tblInd w:w="93" w:type="dxa"/>
        <w:tblLook w:val="04A0" w:firstRow="1" w:lastRow="0" w:firstColumn="1" w:lastColumn="0" w:noHBand="0" w:noVBand="1"/>
      </w:tblPr>
      <w:tblGrid>
        <w:gridCol w:w="960"/>
        <w:gridCol w:w="716"/>
        <w:gridCol w:w="1219"/>
        <w:gridCol w:w="1461"/>
        <w:gridCol w:w="810"/>
        <w:gridCol w:w="990"/>
        <w:gridCol w:w="1461"/>
        <w:gridCol w:w="766"/>
        <w:gridCol w:w="900"/>
      </w:tblGrid>
      <w:tr w:rsidR="00C06287" w:rsidRPr="00553C3A" w14:paraId="331F42F8" w14:textId="77777777" w:rsidTr="004623CD">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311E1CD0" w14:textId="77777777" w:rsidR="00C06287" w:rsidRPr="00553C3A" w:rsidRDefault="00C06287" w:rsidP="00C06287">
            <w:pPr>
              <w:jc w:val="center"/>
              <w:rPr>
                <w:b/>
                <w:bCs/>
                <w:color w:val="000000"/>
                <w:sz w:val="20"/>
                <w:szCs w:val="20"/>
              </w:rPr>
            </w:pPr>
            <w:r w:rsidRPr="00553C3A">
              <w:rPr>
                <w:b/>
                <w:bCs/>
                <w:color w:val="000000"/>
                <w:sz w:val="20"/>
                <w:szCs w:val="20"/>
              </w:rPr>
              <w:t>Year</w:t>
            </w:r>
          </w:p>
        </w:tc>
        <w:tc>
          <w:tcPr>
            <w:tcW w:w="8323" w:type="dxa"/>
            <w:gridSpan w:val="8"/>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B4437D8" w14:textId="77777777" w:rsidR="00C06287" w:rsidRPr="00553C3A" w:rsidRDefault="00C06287" w:rsidP="00C06287">
            <w:pPr>
              <w:jc w:val="center"/>
              <w:rPr>
                <w:b/>
                <w:bCs/>
                <w:color w:val="000000"/>
                <w:sz w:val="20"/>
                <w:szCs w:val="20"/>
              </w:rPr>
            </w:pPr>
            <w:r>
              <w:rPr>
                <w:b/>
                <w:bCs/>
                <w:color w:val="000000"/>
                <w:sz w:val="20"/>
                <w:szCs w:val="20"/>
              </w:rPr>
              <w:t>N</w:t>
            </w:r>
            <w:r w:rsidRPr="00553C3A">
              <w:rPr>
                <w:b/>
                <w:bCs/>
                <w:color w:val="000000"/>
                <w:sz w:val="20"/>
                <w:szCs w:val="20"/>
              </w:rPr>
              <w:t xml:space="preserve">umber of </w:t>
            </w:r>
            <w:r>
              <w:rPr>
                <w:b/>
                <w:bCs/>
                <w:color w:val="000000"/>
                <w:sz w:val="20"/>
                <w:szCs w:val="20"/>
              </w:rPr>
              <w:t xml:space="preserve">angler </w:t>
            </w:r>
            <w:r w:rsidRPr="00553C3A">
              <w:rPr>
                <w:b/>
                <w:bCs/>
                <w:color w:val="000000"/>
                <w:sz w:val="20"/>
                <w:szCs w:val="20"/>
              </w:rPr>
              <w:t>trips</w:t>
            </w:r>
            <w:r>
              <w:rPr>
                <w:b/>
                <w:bCs/>
                <w:color w:val="000000"/>
                <w:sz w:val="20"/>
                <w:szCs w:val="20"/>
              </w:rPr>
              <w:t xml:space="preserve"> that targeted mutton snapper</w:t>
            </w:r>
          </w:p>
        </w:tc>
      </w:tr>
      <w:tr w:rsidR="00C06287" w:rsidRPr="00553C3A" w14:paraId="1B8B1B3F" w14:textId="77777777" w:rsidTr="004623CD">
        <w:trPr>
          <w:trHeight w:val="300"/>
        </w:trPr>
        <w:tc>
          <w:tcPr>
            <w:tcW w:w="96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158F457" w14:textId="77777777" w:rsidR="00C06287" w:rsidRPr="00553C3A" w:rsidRDefault="00C06287" w:rsidP="00C06287">
            <w:pPr>
              <w:rPr>
                <w:b/>
                <w:bCs/>
                <w:color w:val="000000"/>
                <w:sz w:val="20"/>
                <w:szCs w:val="20"/>
              </w:rPr>
            </w:pPr>
          </w:p>
        </w:tc>
        <w:tc>
          <w:tcPr>
            <w:tcW w:w="339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CA29C0C" w14:textId="77777777" w:rsidR="00C06287" w:rsidRPr="00553C3A" w:rsidRDefault="00C06287" w:rsidP="00C06287">
            <w:pPr>
              <w:jc w:val="center"/>
              <w:rPr>
                <w:b/>
                <w:bCs/>
                <w:color w:val="000000"/>
                <w:sz w:val="20"/>
                <w:szCs w:val="20"/>
              </w:rPr>
            </w:pPr>
            <w:r w:rsidRPr="00553C3A">
              <w:rPr>
                <w:b/>
                <w:bCs/>
                <w:color w:val="000000"/>
                <w:sz w:val="20"/>
                <w:szCs w:val="20"/>
              </w:rPr>
              <w:t>East FL waters</w:t>
            </w:r>
          </w:p>
        </w:tc>
        <w:tc>
          <w:tcPr>
            <w:tcW w:w="326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5496E85" w14:textId="75F59EC6" w:rsidR="00C06287" w:rsidRPr="00553C3A" w:rsidRDefault="00C06287" w:rsidP="00C06287">
            <w:pPr>
              <w:jc w:val="center"/>
              <w:rPr>
                <w:b/>
                <w:bCs/>
                <w:color w:val="000000"/>
                <w:sz w:val="20"/>
                <w:szCs w:val="20"/>
              </w:rPr>
            </w:pPr>
            <w:r w:rsidRPr="00553C3A">
              <w:rPr>
                <w:b/>
                <w:bCs/>
                <w:color w:val="000000"/>
                <w:sz w:val="20"/>
                <w:szCs w:val="20"/>
              </w:rPr>
              <w:t>EEZ</w:t>
            </w:r>
            <w:r w:rsidR="00D544ED">
              <w:rPr>
                <w:b/>
                <w:bCs/>
                <w:color w:val="000000"/>
                <w:sz w:val="20"/>
                <w:szCs w:val="20"/>
              </w:rPr>
              <w:t xml:space="preserve"> off FL</w:t>
            </w:r>
          </w:p>
        </w:tc>
        <w:tc>
          <w:tcPr>
            <w:tcW w:w="766"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D21CF50" w14:textId="77777777" w:rsidR="00C06287" w:rsidRPr="00553C3A" w:rsidRDefault="00C06287" w:rsidP="00C06287">
            <w:pPr>
              <w:jc w:val="center"/>
              <w:rPr>
                <w:b/>
                <w:bCs/>
                <w:color w:val="000000"/>
                <w:sz w:val="20"/>
                <w:szCs w:val="20"/>
              </w:rPr>
            </w:pPr>
            <w:r w:rsidRPr="00553C3A">
              <w:rPr>
                <w:b/>
                <w:bCs/>
                <w:color w:val="000000"/>
                <w:sz w:val="20"/>
                <w:szCs w:val="20"/>
              </w:rPr>
              <w:t>Total</w:t>
            </w:r>
          </w:p>
        </w:tc>
        <w:tc>
          <w:tcPr>
            <w:tcW w:w="900"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51B1897" w14:textId="77777777" w:rsidR="00C06287" w:rsidRPr="00553C3A" w:rsidRDefault="00C06287" w:rsidP="00C06287">
            <w:pPr>
              <w:jc w:val="center"/>
              <w:rPr>
                <w:b/>
                <w:bCs/>
                <w:color w:val="000000"/>
                <w:sz w:val="20"/>
                <w:szCs w:val="20"/>
              </w:rPr>
            </w:pPr>
            <w:r w:rsidRPr="00553C3A">
              <w:rPr>
                <w:b/>
                <w:bCs/>
                <w:color w:val="000000"/>
                <w:sz w:val="20"/>
                <w:szCs w:val="20"/>
              </w:rPr>
              <w:t>Percent EEZ</w:t>
            </w:r>
          </w:p>
        </w:tc>
      </w:tr>
      <w:tr w:rsidR="00C06287" w:rsidRPr="00553C3A" w14:paraId="33C238EC" w14:textId="77777777" w:rsidTr="004623CD">
        <w:trPr>
          <w:trHeight w:val="300"/>
        </w:trPr>
        <w:tc>
          <w:tcPr>
            <w:tcW w:w="96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2A0F0D1" w14:textId="77777777" w:rsidR="00C06287" w:rsidRPr="00553C3A" w:rsidRDefault="00C06287" w:rsidP="00C06287">
            <w:pPr>
              <w:rPr>
                <w:b/>
                <w:bCs/>
                <w:color w:val="000000"/>
                <w:sz w:val="20"/>
                <w:szCs w:val="20"/>
              </w:rPr>
            </w:pPr>
          </w:p>
        </w:tc>
        <w:tc>
          <w:tcPr>
            <w:tcW w:w="716" w:type="dxa"/>
            <w:tcBorders>
              <w:top w:val="nil"/>
              <w:left w:val="nil"/>
              <w:bottom w:val="single" w:sz="4" w:space="0" w:color="auto"/>
              <w:right w:val="single" w:sz="4" w:space="0" w:color="auto"/>
            </w:tcBorders>
            <w:shd w:val="clear" w:color="auto" w:fill="D9D9D9" w:themeFill="background1" w:themeFillShade="D9"/>
            <w:noWrap/>
            <w:vAlign w:val="bottom"/>
            <w:hideMark/>
          </w:tcPr>
          <w:p w14:paraId="33434CDB" w14:textId="77777777" w:rsidR="00C06287" w:rsidRPr="00553C3A" w:rsidRDefault="00C06287" w:rsidP="00C06287">
            <w:pPr>
              <w:rPr>
                <w:b/>
                <w:bCs/>
                <w:color w:val="000000"/>
                <w:sz w:val="20"/>
                <w:szCs w:val="20"/>
              </w:rPr>
            </w:pPr>
            <w:r w:rsidRPr="00553C3A">
              <w:rPr>
                <w:b/>
                <w:bCs/>
                <w:color w:val="000000"/>
                <w:sz w:val="20"/>
                <w:szCs w:val="20"/>
              </w:rPr>
              <w:t>Shore</w:t>
            </w:r>
          </w:p>
        </w:tc>
        <w:tc>
          <w:tcPr>
            <w:tcW w:w="1219" w:type="dxa"/>
            <w:tcBorders>
              <w:top w:val="nil"/>
              <w:left w:val="nil"/>
              <w:bottom w:val="single" w:sz="4" w:space="0" w:color="auto"/>
              <w:right w:val="single" w:sz="4" w:space="0" w:color="auto"/>
            </w:tcBorders>
            <w:shd w:val="clear" w:color="auto" w:fill="D9D9D9" w:themeFill="background1" w:themeFillShade="D9"/>
            <w:noWrap/>
            <w:vAlign w:val="bottom"/>
            <w:hideMark/>
          </w:tcPr>
          <w:p w14:paraId="37E8399D" w14:textId="77777777" w:rsidR="00C06287" w:rsidRPr="00553C3A" w:rsidRDefault="00C06287" w:rsidP="00C06287">
            <w:pPr>
              <w:rPr>
                <w:b/>
                <w:bCs/>
                <w:color w:val="000000"/>
                <w:sz w:val="20"/>
                <w:szCs w:val="20"/>
              </w:rPr>
            </w:pPr>
            <w:r w:rsidRPr="00553C3A">
              <w:rPr>
                <w:b/>
                <w:bCs/>
                <w:color w:val="000000"/>
                <w:sz w:val="20"/>
                <w:szCs w:val="20"/>
              </w:rPr>
              <w:t>For-Hire</w:t>
            </w:r>
          </w:p>
        </w:tc>
        <w:tc>
          <w:tcPr>
            <w:tcW w:w="1461" w:type="dxa"/>
            <w:tcBorders>
              <w:top w:val="nil"/>
              <w:left w:val="nil"/>
              <w:bottom w:val="single" w:sz="4" w:space="0" w:color="auto"/>
              <w:right w:val="single" w:sz="4" w:space="0" w:color="auto"/>
            </w:tcBorders>
            <w:shd w:val="clear" w:color="auto" w:fill="D9D9D9" w:themeFill="background1" w:themeFillShade="D9"/>
            <w:noWrap/>
            <w:vAlign w:val="bottom"/>
            <w:hideMark/>
          </w:tcPr>
          <w:p w14:paraId="62F6FD85" w14:textId="77777777" w:rsidR="00C06287" w:rsidRPr="00553C3A" w:rsidRDefault="00C06287" w:rsidP="00C06287">
            <w:pPr>
              <w:rPr>
                <w:b/>
                <w:bCs/>
                <w:color w:val="000000"/>
                <w:sz w:val="20"/>
                <w:szCs w:val="20"/>
              </w:rPr>
            </w:pPr>
            <w:r w:rsidRPr="00553C3A">
              <w:rPr>
                <w:b/>
                <w:bCs/>
                <w:color w:val="000000"/>
                <w:sz w:val="20"/>
                <w:szCs w:val="20"/>
              </w:rPr>
              <w:t>Private/Rental</w:t>
            </w:r>
          </w:p>
        </w:tc>
        <w:tc>
          <w:tcPr>
            <w:tcW w:w="810" w:type="dxa"/>
            <w:tcBorders>
              <w:top w:val="nil"/>
              <w:left w:val="nil"/>
              <w:bottom w:val="single" w:sz="4" w:space="0" w:color="auto"/>
              <w:right w:val="single" w:sz="4" w:space="0" w:color="auto"/>
            </w:tcBorders>
            <w:shd w:val="clear" w:color="auto" w:fill="D9D9D9" w:themeFill="background1" w:themeFillShade="D9"/>
            <w:noWrap/>
            <w:vAlign w:val="bottom"/>
            <w:hideMark/>
          </w:tcPr>
          <w:p w14:paraId="3868CE14" w14:textId="77777777" w:rsidR="00C06287" w:rsidRPr="00553C3A" w:rsidRDefault="00C06287" w:rsidP="00C06287">
            <w:pPr>
              <w:jc w:val="center"/>
              <w:rPr>
                <w:b/>
                <w:bCs/>
                <w:color w:val="000000"/>
                <w:sz w:val="20"/>
                <w:szCs w:val="20"/>
              </w:rPr>
            </w:pPr>
            <w:r w:rsidRPr="00553C3A">
              <w:rPr>
                <w:b/>
                <w:bCs/>
                <w:color w:val="000000"/>
                <w:sz w:val="20"/>
                <w:szCs w:val="20"/>
              </w:rPr>
              <w:t>Shore</w:t>
            </w:r>
          </w:p>
        </w:tc>
        <w:tc>
          <w:tcPr>
            <w:tcW w:w="990" w:type="dxa"/>
            <w:tcBorders>
              <w:top w:val="nil"/>
              <w:left w:val="nil"/>
              <w:bottom w:val="single" w:sz="4" w:space="0" w:color="auto"/>
              <w:right w:val="single" w:sz="4" w:space="0" w:color="auto"/>
            </w:tcBorders>
            <w:shd w:val="clear" w:color="auto" w:fill="D9D9D9" w:themeFill="background1" w:themeFillShade="D9"/>
            <w:noWrap/>
            <w:vAlign w:val="bottom"/>
            <w:hideMark/>
          </w:tcPr>
          <w:p w14:paraId="27B6AB49" w14:textId="77777777" w:rsidR="00C06287" w:rsidRPr="00553C3A" w:rsidRDefault="00C06287" w:rsidP="00C06287">
            <w:pPr>
              <w:rPr>
                <w:b/>
                <w:bCs/>
                <w:color w:val="000000"/>
                <w:sz w:val="20"/>
                <w:szCs w:val="20"/>
              </w:rPr>
            </w:pPr>
            <w:r w:rsidRPr="00553C3A">
              <w:rPr>
                <w:b/>
                <w:bCs/>
                <w:color w:val="000000"/>
                <w:sz w:val="20"/>
                <w:szCs w:val="20"/>
              </w:rPr>
              <w:t>For-Hire</w:t>
            </w:r>
          </w:p>
        </w:tc>
        <w:tc>
          <w:tcPr>
            <w:tcW w:w="1461" w:type="dxa"/>
            <w:tcBorders>
              <w:top w:val="nil"/>
              <w:left w:val="nil"/>
              <w:bottom w:val="single" w:sz="4" w:space="0" w:color="auto"/>
              <w:right w:val="single" w:sz="4" w:space="0" w:color="auto"/>
            </w:tcBorders>
            <w:shd w:val="clear" w:color="auto" w:fill="D9D9D9" w:themeFill="background1" w:themeFillShade="D9"/>
            <w:noWrap/>
            <w:vAlign w:val="bottom"/>
            <w:hideMark/>
          </w:tcPr>
          <w:p w14:paraId="25D5D714" w14:textId="77777777" w:rsidR="00C06287" w:rsidRPr="00553C3A" w:rsidRDefault="00C06287" w:rsidP="00C06287">
            <w:pPr>
              <w:rPr>
                <w:b/>
                <w:bCs/>
                <w:color w:val="000000"/>
                <w:sz w:val="20"/>
                <w:szCs w:val="20"/>
              </w:rPr>
            </w:pPr>
            <w:r w:rsidRPr="00553C3A">
              <w:rPr>
                <w:b/>
                <w:bCs/>
                <w:color w:val="000000"/>
                <w:sz w:val="20"/>
                <w:szCs w:val="20"/>
              </w:rPr>
              <w:t>Private/Rental</w:t>
            </w:r>
          </w:p>
        </w:tc>
        <w:tc>
          <w:tcPr>
            <w:tcW w:w="76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A8DFA7" w14:textId="77777777" w:rsidR="00C06287" w:rsidRPr="00553C3A" w:rsidRDefault="00C06287" w:rsidP="00C06287">
            <w:pPr>
              <w:rPr>
                <w:b/>
                <w:bCs/>
                <w:color w:val="000000"/>
                <w:sz w:val="20"/>
                <w:szCs w:val="20"/>
              </w:rPr>
            </w:pPr>
          </w:p>
        </w:tc>
        <w:tc>
          <w:tcPr>
            <w:tcW w:w="90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498C4C9" w14:textId="77777777" w:rsidR="00C06287" w:rsidRPr="00553C3A" w:rsidRDefault="00C06287" w:rsidP="00C06287">
            <w:pPr>
              <w:rPr>
                <w:b/>
                <w:bCs/>
                <w:color w:val="000000"/>
                <w:sz w:val="20"/>
                <w:szCs w:val="20"/>
              </w:rPr>
            </w:pPr>
          </w:p>
        </w:tc>
      </w:tr>
      <w:tr w:rsidR="00C06287" w:rsidRPr="00553C3A" w14:paraId="4D6912FF" w14:textId="77777777" w:rsidTr="004623CD">
        <w:trPr>
          <w:trHeight w:val="300"/>
        </w:trPr>
        <w:tc>
          <w:tcPr>
            <w:tcW w:w="960" w:type="dxa"/>
            <w:tcBorders>
              <w:top w:val="nil"/>
              <w:left w:val="single" w:sz="4" w:space="0" w:color="auto"/>
              <w:bottom w:val="single" w:sz="4" w:space="0" w:color="auto"/>
              <w:right w:val="single" w:sz="4" w:space="0" w:color="auto"/>
            </w:tcBorders>
            <w:shd w:val="clear" w:color="000000" w:fill="auto"/>
            <w:noWrap/>
            <w:vAlign w:val="bottom"/>
            <w:hideMark/>
          </w:tcPr>
          <w:p w14:paraId="3D0E90C6" w14:textId="77777777" w:rsidR="00C06287" w:rsidRPr="004623CD" w:rsidRDefault="00C06287" w:rsidP="00C06287">
            <w:pPr>
              <w:jc w:val="center"/>
              <w:rPr>
                <w:bCs/>
                <w:color w:val="000000"/>
                <w:sz w:val="20"/>
                <w:szCs w:val="20"/>
              </w:rPr>
            </w:pPr>
            <w:r w:rsidRPr="004623CD">
              <w:rPr>
                <w:bCs/>
                <w:color w:val="000000"/>
                <w:sz w:val="20"/>
                <w:szCs w:val="20"/>
              </w:rPr>
              <w:t>2010</w:t>
            </w:r>
          </w:p>
        </w:tc>
        <w:tc>
          <w:tcPr>
            <w:tcW w:w="716" w:type="dxa"/>
            <w:tcBorders>
              <w:top w:val="nil"/>
              <w:left w:val="nil"/>
              <w:bottom w:val="single" w:sz="4" w:space="0" w:color="auto"/>
              <w:right w:val="single" w:sz="4" w:space="0" w:color="auto"/>
            </w:tcBorders>
            <w:shd w:val="clear" w:color="auto" w:fill="auto"/>
            <w:noWrap/>
            <w:vAlign w:val="bottom"/>
            <w:hideMark/>
          </w:tcPr>
          <w:p w14:paraId="72D4CA01" w14:textId="77777777" w:rsidR="00C06287" w:rsidRPr="00553C3A" w:rsidRDefault="00C06287" w:rsidP="00C06287">
            <w:pPr>
              <w:jc w:val="center"/>
              <w:rPr>
                <w:color w:val="000000"/>
                <w:sz w:val="20"/>
                <w:szCs w:val="20"/>
              </w:rPr>
            </w:pPr>
            <w:r w:rsidRPr="00553C3A">
              <w:rPr>
                <w:color w:val="000000"/>
                <w:sz w:val="20"/>
                <w:szCs w:val="20"/>
              </w:rPr>
              <w:t>1,553</w:t>
            </w:r>
          </w:p>
        </w:tc>
        <w:tc>
          <w:tcPr>
            <w:tcW w:w="1219" w:type="dxa"/>
            <w:tcBorders>
              <w:top w:val="nil"/>
              <w:left w:val="nil"/>
              <w:bottom w:val="single" w:sz="4" w:space="0" w:color="auto"/>
              <w:right w:val="single" w:sz="4" w:space="0" w:color="auto"/>
            </w:tcBorders>
            <w:shd w:val="clear" w:color="auto" w:fill="auto"/>
            <w:noWrap/>
            <w:vAlign w:val="bottom"/>
            <w:hideMark/>
          </w:tcPr>
          <w:p w14:paraId="68566C8A" w14:textId="77777777" w:rsidR="00C06287" w:rsidRPr="00553C3A" w:rsidRDefault="00C06287" w:rsidP="00C06287">
            <w:pPr>
              <w:jc w:val="center"/>
              <w:rPr>
                <w:color w:val="000000"/>
                <w:sz w:val="20"/>
                <w:szCs w:val="20"/>
              </w:rPr>
            </w:pPr>
            <w:r w:rsidRPr="00553C3A">
              <w:rPr>
                <w:color w:val="000000"/>
                <w:sz w:val="20"/>
                <w:szCs w:val="20"/>
              </w:rPr>
              <w:t>0</w:t>
            </w:r>
          </w:p>
        </w:tc>
        <w:tc>
          <w:tcPr>
            <w:tcW w:w="1461" w:type="dxa"/>
            <w:tcBorders>
              <w:top w:val="nil"/>
              <w:left w:val="nil"/>
              <w:bottom w:val="single" w:sz="4" w:space="0" w:color="auto"/>
              <w:right w:val="single" w:sz="4" w:space="0" w:color="auto"/>
            </w:tcBorders>
            <w:shd w:val="clear" w:color="auto" w:fill="auto"/>
            <w:noWrap/>
            <w:vAlign w:val="bottom"/>
            <w:hideMark/>
          </w:tcPr>
          <w:p w14:paraId="568EE4CA" w14:textId="77777777" w:rsidR="00C06287" w:rsidRPr="00553C3A" w:rsidRDefault="00C06287" w:rsidP="00C06287">
            <w:pPr>
              <w:jc w:val="center"/>
              <w:rPr>
                <w:color w:val="000000"/>
                <w:sz w:val="20"/>
                <w:szCs w:val="20"/>
              </w:rPr>
            </w:pPr>
            <w:r w:rsidRPr="00553C3A">
              <w:rPr>
                <w:color w:val="000000"/>
                <w:sz w:val="20"/>
                <w:szCs w:val="20"/>
              </w:rPr>
              <w:t>12,405</w:t>
            </w:r>
          </w:p>
        </w:tc>
        <w:tc>
          <w:tcPr>
            <w:tcW w:w="810" w:type="dxa"/>
            <w:tcBorders>
              <w:top w:val="nil"/>
              <w:left w:val="nil"/>
              <w:bottom w:val="single" w:sz="4" w:space="0" w:color="auto"/>
              <w:right w:val="single" w:sz="4" w:space="0" w:color="auto"/>
            </w:tcBorders>
            <w:shd w:val="clear" w:color="auto" w:fill="auto"/>
            <w:noWrap/>
            <w:vAlign w:val="bottom"/>
            <w:hideMark/>
          </w:tcPr>
          <w:p w14:paraId="42EC007C" w14:textId="77777777" w:rsidR="00C06287" w:rsidRPr="00553C3A" w:rsidRDefault="00C06287" w:rsidP="00C06287">
            <w:pPr>
              <w:jc w:val="center"/>
              <w:rPr>
                <w:color w:val="000000"/>
                <w:sz w:val="20"/>
                <w:szCs w:val="20"/>
              </w:rPr>
            </w:pPr>
            <w:r w:rsidRPr="00553C3A">
              <w:rPr>
                <w:color w:val="000000"/>
                <w:sz w:val="20"/>
                <w:szCs w:val="20"/>
              </w:rPr>
              <w:t>0</w:t>
            </w:r>
          </w:p>
        </w:tc>
        <w:tc>
          <w:tcPr>
            <w:tcW w:w="990" w:type="dxa"/>
            <w:tcBorders>
              <w:top w:val="nil"/>
              <w:left w:val="nil"/>
              <w:bottom w:val="single" w:sz="4" w:space="0" w:color="auto"/>
              <w:right w:val="single" w:sz="4" w:space="0" w:color="auto"/>
            </w:tcBorders>
            <w:shd w:val="clear" w:color="auto" w:fill="auto"/>
            <w:noWrap/>
            <w:vAlign w:val="bottom"/>
            <w:hideMark/>
          </w:tcPr>
          <w:p w14:paraId="72DB6C7C" w14:textId="77777777" w:rsidR="00C06287" w:rsidRPr="00553C3A" w:rsidRDefault="00C06287" w:rsidP="00C06287">
            <w:pPr>
              <w:jc w:val="center"/>
              <w:rPr>
                <w:color w:val="000000"/>
                <w:sz w:val="20"/>
                <w:szCs w:val="20"/>
              </w:rPr>
            </w:pPr>
            <w:r w:rsidRPr="00553C3A">
              <w:rPr>
                <w:color w:val="000000"/>
                <w:sz w:val="20"/>
                <w:szCs w:val="20"/>
              </w:rPr>
              <w:t>786</w:t>
            </w:r>
          </w:p>
        </w:tc>
        <w:tc>
          <w:tcPr>
            <w:tcW w:w="1461" w:type="dxa"/>
            <w:tcBorders>
              <w:top w:val="nil"/>
              <w:left w:val="nil"/>
              <w:bottom w:val="single" w:sz="4" w:space="0" w:color="auto"/>
              <w:right w:val="single" w:sz="4" w:space="0" w:color="auto"/>
            </w:tcBorders>
            <w:shd w:val="clear" w:color="auto" w:fill="auto"/>
            <w:noWrap/>
            <w:vAlign w:val="bottom"/>
            <w:hideMark/>
          </w:tcPr>
          <w:p w14:paraId="66DDD046" w14:textId="77777777" w:rsidR="00C06287" w:rsidRPr="00553C3A" w:rsidRDefault="00C06287" w:rsidP="00C06287">
            <w:pPr>
              <w:jc w:val="center"/>
              <w:rPr>
                <w:color w:val="000000"/>
                <w:sz w:val="20"/>
                <w:szCs w:val="20"/>
              </w:rPr>
            </w:pPr>
            <w:r w:rsidRPr="00553C3A">
              <w:rPr>
                <w:color w:val="000000"/>
                <w:sz w:val="20"/>
                <w:szCs w:val="20"/>
              </w:rPr>
              <w:t>6,578</w:t>
            </w:r>
          </w:p>
        </w:tc>
        <w:tc>
          <w:tcPr>
            <w:tcW w:w="766" w:type="dxa"/>
            <w:tcBorders>
              <w:top w:val="nil"/>
              <w:left w:val="nil"/>
              <w:bottom w:val="single" w:sz="4" w:space="0" w:color="auto"/>
              <w:right w:val="single" w:sz="4" w:space="0" w:color="auto"/>
            </w:tcBorders>
            <w:shd w:val="clear" w:color="auto" w:fill="auto"/>
            <w:noWrap/>
            <w:vAlign w:val="bottom"/>
            <w:hideMark/>
          </w:tcPr>
          <w:p w14:paraId="668BF7C0" w14:textId="77777777" w:rsidR="00C06287" w:rsidRPr="00553C3A" w:rsidRDefault="00C06287" w:rsidP="00C06287">
            <w:pPr>
              <w:jc w:val="center"/>
              <w:rPr>
                <w:color w:val="000000"/>
                <w:sz w:val="20"/>
                <w:szCs w:val="20"/>
              </w:rPr>
            </w:pPr>
            <w:r w:rsidRPr="00553C3A">
              <w:rPr>
                <w:color w:val="000000"/>
                <w:sz w:val="20"/>
                <w:szCs w:val="20"/>
              </w:rPr>
              <w:t>21,322</w:t>
            </w:r>
          </w:p>
        </w:tc>
        <w:tc>
          <w:tcPr>
            <w:tcW w:w="900" w:type="dxa"/>
            <w:tcBorders>
              <w:top w:val="nil"/>
              <w:left w:val="nil"/>
              <w:bottom w:val="single" w:sz="4" w:space="0" w:color="auto"/>
              <w:right w:val="single" w:sz="4" w:space="0" w:color="auto"/>
            </w:tcBorders>
            <w:shd w:val="clear" w:color="auto" w:fill="auto"/>
            <w:noWrap/>
            <w:vAlign w:val="bottom"/>
            <w:hideMark/>
          </w:tcPr>
          <w:p w14:paraId="22AC774A" w14:textId="77777777" w:rsidR="00C06287" w:rsidRPr="00553C3A" w:rsidRDefault="00C06287" w:rsidP="00C06287">
            <w:pPr>
              <w:jc w:val="center"/>
              <w:rPr>
                <w:color w:val="000000"/>
                <w:sz w:val="20"/>
                <w:szCs w:val="20"/>
              </w:rPr>
            </w:pPr>
            <w:r w:rsidRPr="00553C3A">
              <w:rPr>
                <w:color w:val="000000"/>
                <w:sz w:val="20"/>
                <w:szCs w:val="20"/>
              </w:rPr>
              <w:t>34.5%</w:t>
            </w:r>
          </w:p>
        </w:tc>
      </w:tr>
      <w:tr w:rsidR="00C06287" w:rsidRPr="00553C3A" w14:paraId="66545B98" w14:textId="77777777" w:rsidTr="004623CD">
        <w:trPr>
          <w:trHeight w:val="300"/>
        </w:trPr>
        <w:tc>
          <w:tcPr>
            <w:tcW w:w="960" w:type="dxa"/>
            <w:tcBorders>
              <w:top w:val="nil"/>
              <w:left w:val="single" w:sz="4" w:space="0" w:color="auto"/>
              <w:bottom w:val="single" w:sz="4" w:space="0" w:color="auto"/>
              <w:right w:val="single" w:sz="4" w:space="0" w:color="auto"/>
            </w:tcBorders>
            <w:shd w:val="clear" w:color="000000" w:fill="auto"/>
            <w:noWrap/>
            <w:vAlign w:val="bottom"/>
            <w:hideMark/>
          </w:tcPr>
          <w:p w14:paraId="530A948E" w14:textId="77777777" w:rsidR="00C06287" w:rsidRPr="004623CD" w:rsidRDefault="00C06287" w:rsidP="00C06287">
            <w:pPr>
              <w:jc w:val="center"/>
              <w:rPr>
                <w:bCs/>
                <w:color w:val="000000"/>
                <w:sz w:val="20"/>
                <w:szCs w:val="20"/>
              </w:rPr>
            </w:pPr>
            <w:r w:rsidRPr="004623CD">
              <w:rPr>
                <w:bCs/>
                <w:color w:val="000000"/>
                <w:sz w:val="20"/>
                <w:szCs w:val="20"/>
              </w:rPr>
              <w:t>2011</w:t>
            </w:r>
          </w:p>
        </w:tc>
        <w:tc>
          <w:tcPr>
            <w:tcW w:w="716" w:type="dxa"/>
            <w:tcBorders>
              <w:top w:val="nil"/>
              <w:left w:val="nil"/>
              <w:bottom w:val="single" w:sz="4" w:space="0" w:color="auto"/>
              <w:right w:val="single" w:sz="4" w:space="0" w:color="auto"/>
            </w:tcBorders>
            <w:shd w:val="clear" w:color="auto" w:fill="auto"/>
            <w:noWrap/>
            <w:vAlign w:val="bottom"/>
            <w:hideMark/>
          </w:tcPr>
          <w:p w14:paraId="57F1F635" w14:textId="77777777" w:rsidR="00C06287" w:rsidRPr="00553C3A" w:rsidRDefault="00C06287" w:rsidP="00C06287">
            <w:pPr>
              <w:jc w:val="center"/>
              <w:rPr>
                <w:color w:val="000000"/>
                <w:sz w:val="20"/>
                <w:szCs w:val="20"/>
              </w:rPr>
            </w:pPr>
            <w:r w:rsidRPr="00553C3A">
              <w:rPr>
                <w:color w:val="000000"/>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14:paraId="787F3B4C" w14:textId="77777777" w:rsidR="00C06287" w:rsidRPr="00553C3A" w:rsidRDefault="00C06287" w:rsidP="00C06287">
            <w:pPr>
              <w:jc w:val="center"/>
              <w:rPr>
                <w:color w:val="000000"/>
                <w:sz w:val="20"/>
                <w:szCs w:val="20"/>
              </w:rPr>
            </w:pPr>
            <w:r w:rsidRPr="00553C3A">
              <w:rPr>
                <w:color w:val="000000"/>
                <w:sz w:val="20"/>
                <w:szCs w:val="20"/>
              </w:rPr>
              <w:t>0</w:t>
            </w:r>
          </w:p>
        </w:tc>
        <w:tc>
          <w:tcPr>
            <w:tcW w:w="1461" w:type="dxa"/>
            <w:tcBorders>
              <w:top w:val="nil"/>
              <w:left w:val="nil"/>
              <w:bottom w:val="single" w:sz="4" w:space="0" w:color="auto"/>
              <w:right w:val="single" w:sz="4" w:space="0" w:color="auto"/>
            </w:tcBorders>
            <w:shd w:val="clear" w:color="auto" w:fill="auto"/>
            <w:noWrap/>
            <w:vAlign w:val="bottom"/>
            <w:hideMark/>
          </w:tcPr>
          <w:p w14:paraId="4412CFF7" w14:textId="77777777" w:rsidR="00C06287" w:rsidRPr="00553C3A" w:rsidRDefault="00C06287" w:rsidP="00C06287">
            <w:pPr>
              <w:jc w:val="center"/>
              <w:rPr>
                <w:color w:val="000000"/>
                <w:sz w:val="20"/>
                <w:szCs w:val="20"/>
              </w:rPr>
            </w:pPr>
            <w:r w:rsidRPr="00553C3A">
              <w:rPr>
                <w:color w:val="000000"/>
                <w:sz w:val="20"/>
                <w:szCs w:val="20"/>
              </w:rPr>
              <w:t>22,381</w:t>
            </w:r>
          </w:p>
        </w:tc>
        <w:tc>
          <w:tcPr>
            <w:tcW w:w="810" w:type="dxa"/>
            <w:tcBorders>
              <w:top w:val="nil"/>
              <w:left w:val="nil"/>
              <w:bottom w:val="single" w:sz="4" w:space="0" w:color="auto"/>
              <w:right w:val="single" w:sz="4" w:space="0" w:color="auto"/>
            </w:tcBorders>
            <w:shd w:val="clear" w:color="auto" w:fill="auto"/>
            <w:noWrap/>
            <w:vAlign w:val="bottom"/>
            <w:hideMark/>
          </w:tcPr>
          <w:p w14:paraId="20C10C3A" w14:textId="77777777" w:rsidR="00C06287" w:rsidRPr="00553C3A" w:rsidRDefault="00C06287" w:rsidP="00C06287">
            <w:pPr>
              <w:jc w:val="center"/>
              <w:rPr>
                <w:color w:val="000000"/>
                <w:sz w:val="20"/>
                <w:szCs w:val="20"/>
              </w:rPr>
            </w:pPr>
            <w:r w:rsidRPr="00553C3A">
              <w:rPr>
                <w:color w:val="000000"/>
                <w:sz w:val="20"/>
                <w:szCs w:val="20"/>
              </w:rPr>
              <w:t>0</w:t>
            </w:r>
          </w:p>
        </w:tc>
        <w:tc>
          <w:tcPr>
            <w:tcW w:w="990" w:type="dxa"/>
            <w:tcBorders>
              <w:top w:val="nil"/>
              <w:left w:val="nil"/>
              <w:bottom w:val="single" w:sz="4" w:space="0" w:color="auto"/>
              <w:right w:val="single" w:sz="4" w:space="0" w:color="auto"/>
            </w:tcBorders>
            <w:shd w:val="clear" w:color="auto" w:fill="auto"/>
            <w:noWrap/>
            <w:vAlign w:val="bottom"/>
            <w:hideMark/>
          </w:tcPr>
          <w:p w14:paraId="28FECA37" w14:textId="77777777" w:rsidR="00C06287" w:rsidRPr="00553C3A" w:rsidRDefault="00C06287" w:rsidP="00C06287">
            <w:pPr>
              <w:jc w:val="center"/>
              <w:rPr>
                <w:color w:val="000000"/>
                <w:sz w:val="20"/>
                <w:szCs w:val="20"/>
              </w:rPr>
            </w:pPr>
            <w:r w:rsidRPr="00553C3A">
              <w:rPr>
                <w:color w:val="000000"/>
                <w:sz w:val="20"/>
                <w:szCs w:val="20"/>
              </w:rPr>
              <w:t>0</w:t>
            </w:r>
          </w:p>
        </w:tc>
        <w:tc>
          <w:tcPr>
            <w:tcW w:w="1461" w:type="dxa"/>
            <w:tcBorders>
              <w:top w:val="nil"/>
              <w:left w:val="nil"/>
              <w:bottom w:val="single" w:sz="4" w:space="0" w:color="auto"/>
              <w:right w:val="single" w:sz="4" w:space="0" w:color="auto"/>
            </w:tcBorders>
            <w:shd w:val="clear" w:color="auto" w:fill="auto"/>
            <w:noWrap/>
            <w:vAlign w:val="bottom"/>
            <w:hideMark/>
          </w:tcPr>
          <w:p w14:paraId="51A05BD9" w14:textId="77777777" w:rsidR="00C06287" w:rsidRPr="00553C3A" w:rsidRDefault="00C06287" w:rsidP="00C06287">
            <w:pPr>
              <w:jc w:val="center"/>
              <w:rPr>
                <w:color w:val="000000"/>
                <w:sz w:val="20"/>
                <w:szCs w:val="20"/>
              </w:rPr>
            </w:pPr>
            <w:r w:rsidRPr="00553C3A">
              <w:rPr>
                <w:color w:val="000000"/>
                <w:sz w:val="20"/>
                <w:szCs w:val="20"/>
              </w:rPr>
              <w:t>3,694</w:t>
            </w:r>
          </w:p>
        </w:tc>
        <w:tc>
          <w:tcPr>
            <w:tcW w:w="766" w:type="dxa"/>
            <w:tcBorders>
              <w:top w:val="nil"/>
              <w:left w:val="nil"/>
              <w:bottom w:val="single" w:sz="4" w:space="0" w:color="auto"/>
              <w:right w:val="single" w:sz="4" w:space="0" w:color="auto"/>
            </w:tcBorders>
            <w:shd w:val="clear" w:color="auto" w:fill="auto"/>
            <w:noWrap/>
            <w:vAlign w:val="bottom"/>
            <w:hideMark/>
          </w:tcPr>
          <w:p w14:paraId="0FF072B2" w14:textId="77777777" w:rsidR="00C06287" w:rsidRPr="00553C3A" w:rsidRDefault="00C06287" w:rsidP="00C06287">
            <w:pPr>
              <w:jc w:val="center"/>
              <w:rPr>
                <w:color w:val="000000"/>
                <w:sz w:val="20"/>
                <w:szCs w:val="20"/>
              </w:rPr>
            </w:pPr>
            <w:r w:rsidRPr="00553C3A">
              <w:rPr>
                <w:color w:val="000000"/>
                <w:sz w:val="20"/>
                <w:szCs w:val="20"/>
              </w:rPr>
              <w:t>26,075</w:t>
            </w:r>
          </w:p>
        </w:tc>
        <w:tc>
          <w:tcPr>
            <w:tcW w:w="900" w:type="dxa"/>
            <w:tcBorders>
              <w:top w:val="nil"/>
              <w:left w:val="nil"/>
              <w:bottom w:val="single" w:sz="4" w:space="0" w:color="auto"/>
              <w:right w:val="single" w:sz="4" w:space="0" w:color="auto"/>
            </w:tcBorders>
            <w:shd w:val="clear" w:color="auto" w:fill="auto"/>
            <w:noWrap/>
            <w:vAlign w:val="bottom"/>
            <w:hideMark/>
          </w:tcPr>
          <w:p w14:paraId="166CC87F" w14:textId="77777777" w:rsidR="00C06287" w:rsidRPr="00553C3A" w:rsidRDefault="00C06287" w:rsidP="00C06287">
            <w:pPr>
              <w:jc w:val="center"/>
              <w:rPr>
                <w:color w:val="000000"/>
                <w:sz w:val="20"/>
                <w:szCs w:val="20"/>
              </w:rPr>
            </w:pPr>
            <w:r w:rsidRPr="00553C3A">
              <w:rPr>
                <w:color w:val="000000"/>
                <w:sz w:val="20"/>
                <w:szCs w:val="20"/>
              </w:rPr>
              <w:t>14.2%</w:t>
            </w:r>
          </w:p>
        </w:tc>
      </w:tr>
      <w:tr w:rsidR="00C06287" w:rsidRPr="00553C3A" w14:paraId="6D8FF9A5" w14:textId="77777777" w:rsidTr="004623CD">
        <w:trPr>
          <w:trHeight w:val="300"/>
        </w:trPr>
        <w:tc>
          <w:tcPr>
            <w:tcW w:w="960" w:type="dxa"/>
            <w:tcBorders>
              <w:top w:val="nil"/>
              <w:left w:val="single" w:sz="4" w:space="0" w:color="auto"/>
              <w:bottom w:val="single" w:sz="4" w:space="0" w:color="auto"/>
              <w:right w:val="single" w:sz="4" w:space="0" w:color="auto"/>
            </w:tcBorders>
            <w:shd w:val="clear" w:color="000000" w:fill="auto"/>
            <w:noWrap/>
            <w:vAlign w:val="bottom"/>
            <w:hideMark/>
          </w:tcPr>
          <w:p w14:paraId="4D4ABD8B" w14:textId="77777777" w:rsidR="00C06287" w:rsidRPr="004623CD" w:rsidRDefault="00C06287" w:rsidP="00C06287">
            <w:pPr>
              <w:jc w:val="center"/>
              <w:rPr>
                <w:bCs/>
                <w:color w:val="000000"/>
                <w:sz w:val="20"/>
                <w:szCs w:val="20"/>
              </w:rPr>
            </w:pPr>
            <w:r w:rsidRPr="004623CD">
              <w:rPr>
                <w:bCs/>
                <w:color w:val="000000"/>
                <w:sz w:val="20"/>
                <w:szCs w:val="20"/>
              </w:rPr>
              <w:t>2012</w:t>
            </w:r>
          </w:p>
        </w:tc>
        <w:tc>
          <w:tcPr>
            <w:tcW w:w="716" w:type="dxa"/>
            <w:tcBorders>
              <w:top w:val="nil"/>
              <w:left w:val="nil"/>
              <w:bottom w:val="single" w:sz="4" w:space="0" w:color="auto"/>
              <w:right w:val="single" w:sz="4" w:space="0" w:color="auto"/>
            </w:tcBorders>
            <w:shd w:val="clear" w:color="auto" w:fill="auto"/>
            <w:noWrap/>
            <w:vAlign w:val="bottom"/>
            <w:hideMark/>
          </w:tcPr>
          <w:p w14:paraId="475669D8" w14:textId="77777777" w:rsidR="00C06287" w:rsidRPr="00553C3A" w:rsidRDefault="00C06287" w:rsidP="00C06287">
            <w:pPr>
              <w:jc w:val="center"/>
              <w:rPr>
                <w:color w:val="000000"/>
                <w:sz w:val="20"/>
                <w:szCs w:val="20"/>
              </w:rPr>
            </w:pPr>
            <w:r w:rsidRPr="00553C3A">
              <w:rPr>
                <w:color w:val="000000"/>
                <w:sz w:val="20"/>
                <w:szCs w:val="20"/>
              </w:rPr>
              <w:t>1,993</w:t>
            </w:r>
          </w:p>
        </w:tc>
        <w:tc>
          <w:tcPr>
            <w:tcW w:w="1219" w:type="dxa"/>
            <w:tcBorders>
              <w:top w:val="nil"/>
              <w:left w:val="nil"/>
              <w:bottom w:val="single" w:sz="4" w:space="0" w:color="auto"/>
              <w:right w:val="single" w:sz="4" w:space="0" w:color="auto"/>
            </w:tcBorders>
            <w:shd w:val="clear" w:color="auto" w:fill="auto"/>
            <w:noWrap/>
            <w:vAlign w:val="bottom"/>
            <w:hideMark/>
          </w:tcPr>
          <w:p w14:paraId="59274FF8" w14:textId="77777777" w:rsidR="00C06287" w:rsidRPr="00553C3A" w:rsidRDefault="00C06287" w:rsidP="00C06287">
            <w:pPr>
              <w:jc w:val="center"/>
              <w:rPr>
                <w:color w:val="000000"/>
                <w:sz w:val="20"/>
                <w:szCs w:val="20"/>
              </w:rPr>
            </w:pPr>
            <w:r w:rsidRPr="00553C3A">
              <w:rPr>
                <w:color w:val="000000"/>
                <w:sz w:val="20"/>
                <w:szCs w:val="20"/>
              </w:rPr>
              <w:t>453</w:t>
            </w:r>
          </w:p>
        </w:tc>
        <w:tc>
          <w:tcPr>
            <w:tcW w:w="1461" w:type="dxa"/>
            <w:tcBorders>
              <w:top w:val="nil"/>
              <w:left w:val="nil"/>
              <w:bottom w:val="single" w:sz="4" w:space="0" w:color="auto"/>
              <w:right w:val="single" w:sz="4" w:space="0" w:color="auto"/>
            </w:tcBorders>
            <w:shd w:val="clear" w:color="auto" w:fill="auto"/>
            <w:noWrap/>
            <w:vAlign w:val="bottom"/>
            <w:hideMark/>
          </w:tcPr>
          <w:p w14:paraId="5433C864" w14:textId="77777777" w:rsidR="00C06287" w:rsidRPr="00553C3A" w:rsidRDefault="00C06287" w:rsidP="00C06287">
            <w:pPr>
              <w:jc w:val="center"/>
              <w:rPr>
                <w:color w:val="000000"/>
                <w:sz w:val="20"/>
                <w:szCs w:val="20"/>
              </w:rPr>
            </w:pPr>
            <w:r w:rsidRPr="00553C3A">
              <w:rPr>
                <w:color w:val="000000"/>
                <w:sz w:val="20"/>
                <w:szCs w:val="20"/>
              </w:rPr>
              <w:t>7,552</w:t>
            </w:r>
          </w:p>
        </w:tc>
        <w:tc>
          <w:tcPr>
            <w:tcW w:w="810" w:type="dxa"/>
            <w:tcBorders>
              <w:top w:val="nil"/>
              <w:left w:val="nil"/>
              <w:bottom w:val="single" w:sz="4" w:space="0" w:color="auto"/>
              <w:right w:val="single" w:sz="4" w:space="0" w:color="auto"/>
            </w:tcBorders>
            <w:shd w:val="clear" w:color="auto" w:fill="auto"/>
            <w:noWrap/>
            <w:vAlign w:val="bottom"/>
            <w:hideMark/>
          </w:tcPr>
          <w:p w14:paraId="619B825D" w14:textId="77777777" w:rsidR="00C06287" w:rsidRPr="00553C3A" w:rsidRDefault="00C06287" w:rsidP="00C06287">
            <w:pPr>
              <w:jc w:val="center"/>
              <w:rPr>
                <w:color w:val="000000"/>
                <w:sz w:val="20"/>
                <w:szCs w:val="20"/>
              </w:rPr>
            </w:pPr>
            <w:r w:rsidRPr="00553C3A">
              <w:rPr>
                <w:color w:val="000000"/>
                <w:sz w:val="20"/>
                <w:szCs w:val="20"/>
              </w:rPr>
              <w:t>0</w:t>
            </w:r>
          </w:p>
        </w:tc>
        <w:tc>
          <w:tcPr>
            <w:tcW w:w="990" w:type="dxa"/>
            <w:tcBorders>
              <w:top w:val="nil"/>
              <w:left w:val="nil"/>
              <w:bottom w:val="single" w:sz="4" w:space="0" w:color="auto"/>
              <w:right w:val="single" w:sz="4" w:space="0" w:color="auto"/>
            </w:tcBorders>
            <w:shd w:val="clear" w:color="auto" w:fill="auto"/>
            <w:noWrap/>
            <w:vAlign w:val="bottom"/>
            <w:hideMark/>
          </w:tcPr>
          <w:p w14:paraId="25E5020D" w14:textId="77777777" w:rsidR="00C06287" w:rsidRPr="00553C3A" w:rsidRDefault="00C06287" w:rsidP="00C06287">
            <w:pPr>
              <w:jc w:val="center"/>
              <w:rPr>
                <w:color w:val="000000"/>
                <w:sz w:val="20"/>
                <w:szCs w:val="20"/>
              </w:rPr>
            </w:pPr>
            <w:r w:rsidRPr="00553C3A">
              <w:rPr>
                <w:color w:val="000000"/>
                <w:sz w:val="20"/>
                <w:szCs w:val="20"/>
              </w:rPr>
              <w:t>60</w:t>
            </w:r>
          </w:p>
        </w:tc>
        <w:tc>
          <w:tcPr>
            <w:tcW w:w="1461" w:type="dxa"/>
            <w:tcBorders>
              <w:top w:val="nil"/>
              <w:left w:val="nil"/>
              <w:bottom w:val="single" w:sz="4" w:space="0" w:color="auto"/>
              <w:right w:val="single" w:sz="4" w:space="0" w:color="auto"/>
            </w:tcBorders>
            <w:shd w:val="clear" w:color="auto" w:fill="auto"/>
            <w:noWrap/>
            <w:vAlign w:val="bottom"/>
            <w:hideMark/>
          </w:tcPr>
          <w:p w14:paraId="5D8C8583" w14:textId="77777777" w:rsidR="00C06287" w:rsidRPr="00553C3A" w:rsidRDefault="00C06287" w:rsidP="00C06287">
            <w:pPr>
              <w:jc w:val="center"/>
              <w:rPr>
                <w:color w:val="000000"/>
                <w:sz w:val="20"/>
                <w:szCs w:val="20"/>
              </w:rPr>
            </w:pPr>
            <w:r w:rsidRPr="00553C3A">
              <w:rPr>
                <w:color w:val="000000"/>
                <w:sz w:val="20"/>
                <w:szCs w:val="20"/>
              </w:rPr>
              <w:t>5,991</w:t>
            </w:r>
          </w:p>
        </w:tc>
        <w:tc>
          <w:tcPr>
            <w:tcW w:w="766" w:type="dxa"/>
            <w:tcBorders>
              <w:top w:val="nil"/>
              <w:left w:val="nil"/>
              <w:bottom w:val="single" w:sz="4" w:space="0" w:color="auto"/>
              <w:right w:val="single" w:sz="4" w:space="0" w:color="auto"/>
            </w:tcBorders>
            <w:shd w:val="clear" w:color="auto" w:fill="auto"/>
            <w:noWrap/>
            <w:vAlign w:val="bottom"/>
            <w:hideMark/>
          </w:tcPr>
          <w:p w14:paraId="72EAD5CB" w14:textId="77777777" w:rsidR="00C06287" w:rsidRPr="00553C3A" w:rsidRDefault="00C06287" w:rsidP="00C06287">
            <w:pPr>
              <w:jc w:val="center"/>
              <w:rPr>
                <w:color w:val="000000"/>
                <w:sz w:val="20"/>
                <w:szCs w:val="20"/>
              </w:rPr>
            </w:pPr>
            <w:r w:rsidRPr="00553C3A">
              <w:rPr>
                <w:color w:val="000000"/>
                <w:sz w:val="20"/>
                <w:szCs w:val="20"/>
              </w:rPr>
              <w:t>16,049</w:t>
            </w:r>
          </w:p>
        </w:tc>
        <w:tc>
          <w:tcPr>
            <w:tcW w:w="900" w:type="dxa"/>
            <w:tcBorders>
              <w:top w:val="nil"/>
              <w:left w:val="nil"/>
              <w:bottom w:val="single" w:sz="4" w:space="0" w:color="auto"/>
              <w:right w:val="single" w:sz="4" w:space="0" w:color="auto"/>
            </w:tcBorders>
            <w:shd w:val="clear" w:color="auto" w:fill="auto"/>
            <w:noWrap/>
            <w:vAlign w:val="bottom"/>
            <w:hideMark/>
          </w:tcPr>
          <w:p w14:paraId="3618B978" w14:textId="77777777" w:rsidR="00C06287" w:rsidRPr="00553C3A" w:rsidRDefault="00C06287" w:rsidP="00C06287">
            <w:pPr>
              <w:jc w:val="center"/>
              <w:rPr>
                <w:color w:val="000000"/>
                <w:sz w:val="20"/>
                <w:szCs w:val="20"/>
              </w:rPr>
            </w:pPr>
            <w:r w:rsidRPr="00553C3A">
              <w:rPr>
                <w:color w:val="000000"/>
                <w:sz w:val="20"/>
                <w:szCs w:val="20"/>
              </w:rPr>
              <w:t>37.7%</w:t>
            </w:r>
          </w:p>
        </w:tc>
      </w:tr>
      <w:tr w:rsidR="00C06287" w:rsidRPr="00553C3A" w14:paraId="3DB91C7E" w14:textId="77777777" w:rsidTr="004623CD">
        <w:trPr>
          <w:trHeight w:val="300"/>
        </w:trPr>
        <w:tc>
          <w:tcPr>
            <w:tcW w:w="960" w:type="dxa"/>
            <w:tcBorders>
              <w:top w:val="nil"/>
              <w:left w:val="single" w:sz="4" w:space="0" w:color="auto"/>
              <w:bottom w:val="single" w:sz="4" w:space="0" w:color="auto"/>
              <w:right w:val="single" w:sz="4" w:space="0" w:color="auto"/>
            </w:tcBorders>
            <w:shd w:val="clear" w:color="000000" w:fill="auto"/>
            <w:noWrap/>
            <w:vAlign w:val="bottom"/>
            <w:hideMark/>
          </w:tcPr>
          <w:p w14:paraId="476932F7" w14:textId="77777777" w:rsidR="00C06287" w:rsidRPr="004623CD" w:rsidRDefault="00C06287" w:rsidP="00C06287">
            <w:pPr>
              <w:jc w:val="center"/>
              <w:rPr>
                <w:bCs/>
                <w:color w:val="000000"/>
                <w:sz w:val="20"/>
                <w:szCs w:val="20"/>
              </w:rPr>
            </w:pPr>
            <w:r w:rsidRPr="004623CD">
              <w:rPr>
                <w:bCs/>
                <w:color w:val="000000"/>
                <w:sz w:val="20"/>
                <w:szCs w:val="20"/>
              </w:rPr>
              <w:t>2013</w:t>
            </w:r>
          </w:p>
        </w:tc>
        <w:tc>
          <w:tcPr>
            <w:tcW w:w="716" w:type="dxa"/>
            <w:tcBorders>
              <w:top w:val="nil"/>
              <w:left w:val="nil"/>
              <w:bottom w:val="single" w:sz="4" w:space="0" w:color="auto"/>
              <w:right w:val="single" w:sz="4" w:space="0" w:color="auto"/>
            </w:tcBorders>
            <w:shd w:val="clear" w:color="auto" w:fill="auto"/>
            <w:noWrap/>
            <w:vAlign w:val="bottom"/>
            <w:hideMark/>
          </w:tcPr>
          <w:p w14:paraId="29D509AB" w14:textId="77777777" w:rsidR="00C06287" w:rsidRPr="00553C3A" w:rsidRDefault="00C06287" w:rsidP="00C06287">
            <w:pPr>
              <w:jc w:val="center"/>
              <w:rPr>
                <w:color w:val="000000"/>
                <w:sz w:val="20"/>
                <w:szCs w:val="20"/>
              </w:rPr>
            </w:pPr>
            <w:r w:rsidRPr="00553C3A">
              <w:rPr>
                <w:color w:val="000000"/>
                <w:sz w:val="20"/>
                <w:szCs w:val="20"/>
              </w:rPr>
              <w:t>6,055</w:t>
            </w:r>
          </w:p>
        </w:tc>
        <w:tc>
          <w:tcPr>
            <w:tcW w:w="1219" w:type="dxa"/>
            <w:tcBorders>
              <w:top w:val="nil"/>
              <w:left w:val="nil"/>
              <w:bottom w:val="single" w:sz="4" w:space="0" w:color="auto"/>
              <w:right w:val="single" w:sz="4" w:space="0" w:color="auto"/>
            </w:tcBorders>
            <w:shd w:val="clear" w:color="auto" w:fill="auto"/>
            <w:noWrap/>
            <w:vAlign w:val="bottom"/>
            <w:hideMark/>
          </w:tcPr>
          <w:p w14:paraId="6CE0BA16" w14:textId="77777777" w:rsidR="00C06287" w:rsidRPr="00553C3A" w:rsidRDefault="00C06287" w:rsidP="00C06287">
            <w:pPr>
              <w:jc w:val="center"/>
              <w:rPr>
                <w:color w:val="000000"/>
                <w:sz w:val="20"/>
                <w:szCs w:val="20"/>
              </w:rPr>
            </w:pPr>
            <w:r w:rsidRPr="00553C3A">
              <w:rPr>
                <w:color w:val="000000"/>
                <w:sz w:val="20"/>
                <w:szCs w:val="20"/>
              </w:rPr>
              <w:t>39</w:t>
            </w:r>
          </w:p>
        </w:tc>
        <w:tc>
          <w:tcPr>
            <w:tcW w:w="1461" w:type="dxa"/>
            <w:tcBorders>
              <w:top w:val="nil"/>
              <w:left w:val="nil"/>
              <w:bottom w:val="single" w:sz="4" w:space="0" w:color="auto"/>
              <w:right w:val="single" w:sz="4" w:space="0" w:color="auto"/>
            </w:tcBorders>
            <w:shd w:val="clear" w:color="auto" w:fill="auto"/>
            <w:noWrap/>
            <w:vAlign w:val="bottom"/>
            <w:hideMark/>
          </w:tcPr>
          <w:p w14:paraId="044FDD73" w14:textId="77777777" w:rsidR="00C06287" w:rsidRPr="00553C3A" w:rsidRDefault="00C06287" w:rsidP="00C06287">
            <w:pPr>
              <w:jc w:val="center"/>
              <w:rPr>
                <w:color w:val="000000"/>
                <w:sz w:val="20"/>
                <w:szCs w:val="20"/>
              </w:rPr>
            </w:pPr>
            <w:r w:rsidRPr="00553C3A">
              <w:rPr>
                <w:color w:val="000000"/>
                <w:sz w:val="20"/>
                <w:szCs w:val="20"/>
              </w:rPr>
              <w:t>11,596</w:t>
            </w:r>
          </w:p>
        </w:tc>
        <w:tc>
          <w:tcPr>
            <w:tcW w:w="810" w:type="dxa"/>
            <w:tcBorders>
              <w:top w:val="nil"/>
              <w:left w:val="nil"/>
              <w:bottom w:val="single" w:sz="4" w:space="0" w:color="auto"/>
              <w:right w:val="single" w:sz="4" w:space="0" w:color="auto"/>
            </w:tcBorders>
            <w:shd w:val="clear" w:color="auto" w:fill="auto"/>
            <w:noWrap/>
            <w:vAlign w:val="bottom"/>
            <w:hideMark/>
          </w:tcPr>
          <w:p w14:paraId="06EF3735" w14:textId="77777777" w:rsidR="00C06287" w:rsidRPr="00553C3A" w:rsidRDefault="00C06287" w:rsidP="00C06287">
            <w:pPr>
              <w:jc w:val="center"/>
              <w:rPr>
                <w:color w:val="000000"/>
                <w:sz w:val="20"/>
                <w:szCs w:val="20"/>
              </w:rPr>
            </w:pPr>
            <w:r w:rsidRPr="00553C3A">
              <w:rPr>
                <w:color w:val="000000"/>
                <w:sz w:val="20"/>
                <w:szCs w:val="20"/>
              </w:rPr>
              <w:t>0</w:t>
            </w:r>
          </w:p>
        </w:tc>
        <w:tc>
          <w:tcPr>
            <w:tcW w:w="990" w:type="dxa"/>
            <w:tcBorders>
              <w:top w:val="nil"/>
              <w:left w:val="nil"/>
              <w:bottom w:val="single" w:sz="4" w:space="0" w:color="auto"/>
              <w:right w:val="single" w:sz="4" w:space="0" w:color="auto"/>
            </w:tcBorders>
            <w:shd w:val="clear" w:color="auto" w:fill="auto"/>
            <w:noWrap/>
            <w:vAlign w:val="bottom"/>
            <w:hideMark/>
          </w:tcPr>
          <w:p w14:paraId="2225A919" w14:textId="77777777" w:rsidR="00C06287" w:rsidRPr="00553C3A" w:rsidRDefault="00C06287" w:rsidP="00C06287">
            <w:pPr>
              <w:jc w:val="center"/>
              <w:rPr>
                <w:color w:val="000000"/>
                <w:sz w:val="20"/>
                <w:szCs w:val="20"/>
              </w:rPr>
            </w:pPr>
            <w:r w:rsidRPr="00553C3A">
              <w:rPr>
                <w:color w:val="000000"/>
                <w:sz w:val="20"/>
                <w:szCs w:val="20"/>
              </w:rPr>
              <w:t>0</w:t>
            </w:r>
          </w:p>
        </w:tc>
        <w:tc>
          <w:tcPr>
            <w:tcW w:w="1461" w:type="dxa"/>
            <w:tcBorders>
              <w:top w:val="nil"/>
              <w:left w:val="nil"/>
              <w:bottom w:val="single" w:sz="4" w:space="0" w:color="auto"/>
              <w:right w:val="single" w:sz="4" w:space="0" w:color="auto"/>
            </w:tcBorders>
            <w:shd w:val="clear" w:color="auto" w:fill="auto"/>
            <w:noWrap/>
            <w:vAlign w:val="bottom"/>
            <w:hideMark/>
          </w:tcPr>
          <w:p w14:paraId="19D4EA71" w14:textId="77777777" w:rsidR="00C06287" w:rsidRPr="00553C3A" w:rsidRDefault="00C06287" w:rsidP="00C06287">
            <w:pPr>
              <w:jc w:val="center"/>
              <w:rPr>
                <w:color w:val="000000"/>
                <w:sz w:val="20"/>
                <w:szCs w:val="20"/>
              </w:rPr>
            </w:pPr>
            <w:r w:rsidRPr="00553C3A">
              <w:rPr>
                <w:color w:val="000000"/>
                <w:sz w:val="20"/>
                <w:szCs w:val="20"/>
              </w:rPr>
              <w:t>10,376</w:t>
            </w:r>
          </w:p>
        </w:tc>
        <w:tc>
          <w:tcPr>
            <w:tcW w:w="766" w:type="dxa"/>
            <w:tcBorders>
              <w:top w:val="nil"/>
              <w:left w:val="nil"/>
              <w:bottom w:val="single" w:sz="4" w:space="0" w:color="auto"/>
              <w:right w:val="single" w:sz="4" w:space="0" w:color="auto"/>
            </w:tcBorders>
            <w:shd w:val="clear" w:color="auto" w:fill="auto"/>
            <w:noWrap/>
            <w:vAlign w:val="bottom"/>
            <w:hideMark/>
          </w:tcPr>
          <w:p w14:paraId="1832BA09" w14:textId="77777777" w:rsidR="00C06287" w:rsidRPr="00553C3A" w:rsidRDefault="00C06287" w:rsidP="00C06287">
            <w:pPr>
              <w:jc w:val="center"/>
              <w:rPr>
                <w:color w:val="000000"/>
                <w:sz w:val="20"/>
                <w:szCs w:val="20"/>
              </w:rPr>
            </w:pPr>
            <w:r w:rsidRPr="00553C3A">
              <w:rPr>
                <w:color w:val="000000"/>
                <w:sz w:val="20"/>
                <w:szCs w:val="20"/>
              </w:rPr>
              <w:t>28,066</w:t>
            </w:r>
          </w:p>
        </w:tc>
        <w:tc>
          <w:tcPr>
            <w:tcW w:w="900" w:type="dxa"/>
            <w:tcBorders>
              <w:top w:val="nil"/>
              <w:left w:val="nil"/>
              <w:bottom w:val="single" w:sz="4" w:space="0" w:color="auto"/>
              <w:right w:val="single" w:sz="4" w:space="0" w:color="auto"/>
            </w:tcBorders>
            <w:shd w:val="clear" w:color="auto" w:fill="auto"/>
            <w:noWrap/>
            <w:vAlign w:val="bottom"/>
            <w:hideMark/>
          </w:tcPr>
          <w:p w14:paraId="6D179B99" w14:textId="77777777" w:rsidR="00C06287" w:rsidRPr="00553C3A" w:rsidRDefault="00C06287" w:rsidP="00C06287">
            <w:pPr>
              <w:jc w:val="center"/>
              <w:rPr>
                <w:color w:val="000000"/>
                <w:sz w:val="20"/>
                <w:szCs w:val="20"/>
              </w:rPr>
            </w:pPr>
            <w:r w:rsidRPr="00553C3A">
              <w:rPr>
                <w:color w:val="000000"/>
                <w:sz w:val="20"/>
                <w:szCs w:val="20"/>
              </w:rPr>
              <w:t>37.0%</w:t>
            </w:r>
          </w:p>
        </w:tc>
      </w:tr>
      <w:tr w:rsidR="00C06287" w:rsidRPr="00553C3A" w14:paraId="5A088A28" w14:textId="77777777" w:rsidTr="004623CD">
        <w:trPr>
          <w:trHeight w:val="300"/>
        </w:trPr>
        <w:tc>
          <w:tcPr>
            <w:tcW w:w="960" w:type="dxa"/>
            <w:tcBorders>
              <w:top w:val="nil"/>
              <w:left w:val="single" w:sz="4" w:space="0" w:color="auto"/>
              <w:bottom w:val="single" w:sz="4" w:space="0" w:color="auto"/>
              <w:right w:val="single" w:sz="4" w:space="0" w:color="auto"/>
            </w:tcBorders>
            <w:shd w:val="clear" w:color="000000" w:fill="auto"/>
            <w:noWrap/>
            <w:vAlign w:val="bottom"/>
            <w:hideMark/>
          </w:tcPr>
          <w:p w14:paraId="0186D46F" w14:textId="77777777" w:rsidR="00C06287" w:rsidRPr="004623CD" w:rsidRDefault="00C06287" w:rsidP="00C06287">
            <w:pPr>
              <w:jc w:val="center"/>
              <w:rPr>
                <w:bCs/>
                <w:color w:val="000000"/>
                <w:sz w:val="20"/>
                <w:szCs w:val="20"/>
              </w:rPr>
            </w:pPr>
            <w:r w:rsidRPr="004623CD">
              <w:rPr>
                <w:bCs/>
                <w:color w:val="000000"/>
                <w:sz w:val="20"/>
                <w:szCs w:val="20"/>
              </w:rPr>
              <w:t>2014</w:t>
            </w:r>
          </w:p>
        </w:tc>
        <w:tc>
          <w:tcPr>
            <w:tcW w:w="716" w:type="dxa"/>
            <w:tcBorders>
              <w:top w:val="nil"/>
              <w:left w:val="nil"/>
              <w:bottom w:val="single" w:sz="4" w:space="0" w:color="auto"/>
              <w:right w:val="single" w:sz="4" w:space="0" w:color="auto"/>
            </w:tcBorders>
            <w:shd w:val="clear" w:color="auto" w:fill="auto"/>
            <w:noWrap/>
            <w:vAlign w:val="bottom"/>
            <w:hideMark/>
          </w:tcPr>
          <w:p w14:paraId="2C9064D1" w14:textId="77777777" w:rsidR="00C06287" w:rsidRPr="00553C3A" w:rsidRDefault="00C06287" w:rsidP="00C06287">
            <w:pPr>
              <w:jc w:val="center"/>
              <w:rPr>
                <w:color w:val="000000"/>
                <w:sz w:val="20"/>
                <w:szCs w:val="20"/>
              </w:rPr>
            </w:pPr>
            <w:r w:rsidRPr="00553C3A">
              <w:rPr>
                <w:color w:val="000000"/>
                <w:sz w:val="20"/>
                <w:szCs w:val="20"/>
              </w:rPr>
              <w:t>913</w:t>
            </w:r>
          </w:p>
        </w:tc>
        <w:tc>
          <w:tcPr>
            <w:tcW w:w="1219" w:type="dxa"/>
            <w:tcBorders>
              <w:top w:val="nil"/>
              <w:left w:val="nil"/>
              <w:bottom w:val="single" w:sz="4" w:space="0" w:color="auto"/>
              <w:right w:val="single" w:sz="4" w:space="0" w:color="auto"/>
            </w:tcBorders>
            <w:shd w:val="clear" w:color="auto" w:fill="auto"/>
            <w:noWrap/>
            <w:vAlign w:val="bottom"/>
            <w:hideMark/>
          </w:tcPr>
          <w:p w14:paraId="3A786C23" w14:textId="77777777" w:rsidR="00C06287" w:rsidRPr="00553C3A" w:rsidRDefault="00C06287" w:rsidP="00C06287">
            <w:pPr>
              <w:jc w:val="center"/>
              <w:rPr>
                <w:color w:val="000000"/>
                <w:sz w:val="20"/>
                <w:szCs w:val="20"/>
              </w:rPr>
            </w:pPr>
            <w:r w:rsidRPr="00553C3A">
              <w:rPr>
                <w:color w:val="000000"/>
                <w:sz w:val="20"/>
                <w:szCs w:val="20"/>
              </w:rPr>
              <w:t>271</w:t>
            </w:r>
          </w:p>
        </w:tc>
        <w:tc>
          <w:tcPr>
            <w:tcW w:w="1461" w:type="dxa"/>
            <w:tcBorders>
              <w:top w:val="nil"/>
              <w:left w:val="nil"/>
              <w:bottom w:val="single" w:sz="4" w:space="0" w:color="auto"/>
              <w:right w:val="single" w:sz="4" w:space="0" w:color="auto"/>
            </w:tcBorders>
            <w:shd w:val="clear" w:color="auto" w:fill="auto"/>
            <w:noWrap/>
            <w:vAlign w:val="bottom"/>
            <w:hideMark/>
          </w:tcPr>
          <w:p w14:paraId="38D94143" w14:textId="77777777" w:rsidR="00C06287" w:rsidRPr="00553C3A" w:rsidRDefault="00C06287" w:rsidP="00C06287">
            <w:pPr>
              <w:jc w:val="center"/>
              <w:rPr>
                <w:color w:val="000000"/>
                <w:sz w:val="20"/>
                <w:szCs w:val="20"/>
              </w:rPr>
            </w:pPr>
            <w:r w:rsidRPr="00553C3A">
              <w:rPr>
                <w:color w:val="000000"/>
                <w:sz w:val="20"/>
                <w:szCs w:val="20"/>
              </w:rPr>
              <w:t>7,741</w:t>
            </w:r>
          </w:p>
        </w:tc>
        <w:tc>
          <w:tcPr>
            <w:tcW w:w="810" w:type="dxa"/>
            <w:tcBorders>
              <w:top w:val="nil"/>
              <w:left w:val="nil"/>
              <w:bottom w:val="single" w:sz="4" w:space="0" w:color="auto"/>
              <w:right w:val="single" w:sz="4" w:space="0" w:color="auto"/>
            </w:tcBorders>
            <w:shd w:val="clear" w:color="auto" w:fill="auto"/>
            <w:noWrap/>
            <w:vAlign w:val="bottom"/>
            <w:hideMark/>
          </w:tcPr>
          <w:p w14:paraId="01A96E87" w14:textId="77777777" w:rsidR="00C06287" w:rsidRPr="00553C3A" w:rsidRDefault="00C06287" w:rsidP="00C06287">
            <w:pPr>
              <w:jc w:val="center"/>
              <w:rPr>
                <w:color w:val="000000"/>
                <w:sz w:val="20"/>
                <w:szCs w:val="20"/>
              </w:rPr>
            </w:pPr>
            <w:r w:rsidRPr="00553C3A">
              <w:rPr>
                <w:color w:val="000000"/>
                <w:sz w:val="20"/>
                <w:szCs w:val="20"/>
              </w:rPr>
              <w:t>0</w:t>
            </w:r>
          </w:p>
        </w:tc>
        <w:tc>
          <w:tcPr>
            <w:tcW w:w="990" w:type="dxa"/>
            <w:tcBorders>
              <w:top w:val="nil"/>
              <w:left w:val="nil"/>
              <w:bottom w:val="single" w:sz="4" w:space="0" w:color="auto"/>
              <w:right w:val="single" w:sz="4" w:space="0" w:color="auto"/>
            </w:tcBorders>
            <w:shd w:val="clear" w:color="auto" w:fill="auto"/>
            <w:noWrap/>
            <w:vAlign w:val="bottom"/>
            <w:hideMark/>
          </w:tcPr>
          <w:p w14:paraId="5C01D395" w14:textId="77777777" w:rsidR="00C06287" w:rsidRPr="00553C3A" w:rsidRDefault="00C06287" w:rsidP="00C06287">
            <w:pPr>
              <w:jc w:val="center"/>
              <w:rPr>
                <w:color w:val="000000"/>
                <w:sz w:val="20"/>
                <w:szCs w:val="20"/>
              </w:rPr>
            </w:pPr>
            <w:r w:rsidRPr="00553C3A">
              <w:rPr>
                <w:color w:val="000000"/>
                <w:sz w:val="20"/>
                <w:szCs w:val="20"/>
              </w:rPr>
              <w:t>255</w:t>
            </w:r>
          </w:p>
        </w:tc>
        <w:tc>
          <w:tcPr>
            <w:tcW w:w="1461" w:type="dxa"/>
            <w:tcBorders>
              <w:top w:val="nil"/>
              <w:left w:val="nil"/>
              <w:bottom w:val="single" w:sz="4" w:space="0" w:color="auto"/>
              <w:right w:val="single" w:sz="4" w:space="0" w:color="auto"/>
            </w:tcBorders>
            <w:shd w:val="clear" w:color="auto" w:fill="auto"/>
            <w:noWrap/>
            <w:vAlign w:val="bottom"/>
            <w:hideMark/>
          </w:tcPr>
          <w:p w14:paraId="4D1EF137" w14:textId="77777777" w:rsidR="00C06287" w:rsidRPr="00553C3A" w:rsidRDefault="00C06287" w:rsidP="00C06287">
            <w:pPr>
              <w:jc w:val="center"/>
              <w:rPr>
                <w:color w:val="000000"/>
                <w:sz w:val="20"/>
                <w:szCs w:val="20"/>
              </w:rPr>
            </w:pPr>
            <w:r w:rsidRPr="00553C3A">
              <w:rPr>
                <w:color w:val="000000"/>
                <w:sz w:val="20"/>
                <w:szCs w:val="20"/>
              </w:rPr>
              <w:t>11,014</w:t>
            </w:r>
          </w:p>
        </w:tc>
        <w:tc>
          <w:tcPr>
            <w:tcW w:w="766" w:type="dxa"/>
            <w:tcBorders>
              <w:top w:val="nil"/>
              <w:left w:val="nil"/>
              <w:bottom w:val="single" w:sz="4" w:space="0" w:color="auto"/>
              <w:right w:val="single" w:sz="4" w:space="0" w:color="auto"/>
            </w:tcBorders>
            <w:shd w:val="clear" w:color="auto" w:fill="auto"/>
            <w:noWrap/>
            <w:vAlign w:val="bottom"/>
            <w:hideMark/>
          </w:tcPr>
          <w:p w14:paraId="3718BA7A" w14:textId="77777777" w:rsidR="00C06287" w:rsidRPr="00553C3A" w:rsidRDefault="00C06287" w:rsidP="00C06287">
            <w:pPr>
              <w:jc w:val="center"/>
              <w:rPr>
                <w:color w:val="000000"/>
                <w:sz w:val="20"/>
                <w:szCs w:val="20"/>
              </w:rPr>
            </w:pPr>
            <w:r w:rsidRPr="00553C3A">
              <w:rPr>
                <w:color w:val="000000"/>
                <w:sz w:val="20"/>
                <w:szCs w:val="20"/>
              </w:rPr>
              <w:t>20,194</w:t>
            </w:r>
          </w:p>
        </w:tc>
        <w:tc>
          <w:tcPr>
            <w:tcW w:w="900" w:type="dxa"/>
            <w:tcBorders>
              <w:top w:val="nil"/>
              <w:left w:val="nil"/>
              <w:bottom w:val="single" w:sz="4" w:space="0" w:color="auto"/>
              <w:right w:val="single" w:sz="4" w:space="0" w:color="auto"/>
            </w:tcBorders>
            <w:shd w:val="clear" w:color="auto" w:fill="auto"/>
            <w:noWrap/>
            <w:vAlign w:val="bottom"/>
            <w:hideMark/>
          </w:tcPr>
          <w:p w14:paraId="4AB69896" w14:textId="77777777" w:rsidR="00C06287" w:rsidRPr="00553C3A" w:rsidRDefault="00C06287" w:rsidP="00C06287">
            <w:pPr>
              <w:jc w:val="center"/>
              <w:rPr>
                <w:color w:val="000000"/>
                <w:sz w:val="20"/>
                <w:szCs w:val="20"/>
              </w:rPr>
            </w:pPr>
            <w:r w:rsidRPr="00553C3A">
              <w:rPr>
                <w:color w:val="000000"/>
                <w:sz w:val="20"/>
                <w:szCs w:val="20"/>
              </w:rPr>
              <w:t>55.8%</w:t>
            </w:r>
          </w:p>
        </w:tc>
      </w:tr>
      <w:tr w:rsidR="00C06287" w:rsidRPr="00553C3A" w14:paraId="12A14AE5" w14:textId="77777777" w:rsidTr="004623CD">
        <w:trPr>
          <w:trHeight w:val="300"/>
        </w:trPr>
        <w:tc>
          <w:tcPr>
            <w:tcW w:w="960" w:type="dxa"/>
            <w:tcBorders>
              <w:top w:val="nil"/>
              <w:left w:val="single" w:sz="4" w:space="0" w:color="auto"/>
              <w:bottom w:val="single" w:sz="4" w:space="0" w:color="auto"/>
              <w:right w:val="single" w:sz="4" w:space="0" w:color="auto"/>
            </w:tcBorders>
            <w:shd w:val="clear" w:color="000000" w:fill="auto"/>
            <w:noWrap/>
            <w:vAlign w:val="bottom"/>
            <w:hideMark/>
          </w:tcPr>
          <w:p w14:paraId="14A90E4E" w14:textId="77777777" w:rsidR="00C06287" w:rsidRPr="00493106" w:rsidRDefault="00C06287" w:rsidP="00C06287">
            <w:pPr>
              <w:jc w:val="center"/>
              <w:rPr>
                <w:b/>
                <w:bCs/>
                <w:color w:val="000000"/>
                <w:sz w:val="20"/>
                <w:szCs w:val="20"/>
              </w:rPr>
            </w:pPr>
            <w:r w:rsidRPr="00493106">
              <w:rPr>
                <w:b/>
                <w:bCs/>
                <w:color w:val="000000"/>
                <w:sz w:val="20"/>
                <w:szCs w:val="20"/>
              </w:rPr>
              <w:t>Average</w:t>
            </w:r>
          </w:p>
        </w:tc>
        <w:tc>
          <w:tcPr>
            <w:tcW w:w="716" w:type="dxa"/>
            <w:tcBorders>
              <w:top w:val="nil"/>
              <w:left w:val="nil"/>
              <w:bottom w:val="single" w:sz="4" w:space="0" w:color="auto"/>
              <w:right w:val="single" w:sz="4" w:space="0" w:color="auto"/>
            </w:tcBorders>
            <w:shd w:val="clear" w:color="auto" w:fill="auto"/>
            <w:noWrap/>
            <w:vAlign w:val="bottom"/>
            <w:hideMark/>
          </w:tcPr>
          <w:p w14:paraId="34967DC9" w14:textId="77777777" w:rsidR="00C06287" w:rsidRPr="00493106" w:rsidRDefault="00C06287" w:rsidP="00C06287">
            <w:pPr>
              <w:jc w:val="center"/>
              <w:rPr>
                <w:b/>
                <w:color w:val="000000"/>
                <w:sz w:val="20"/>
                <w:szCs w:val="20"/>
              </w:rPr>
            </w:pPr>
            <w:r w:rsidRPr="00493106">
              <w:rPr>
                <w:b/>
                <w:color w:val="000000"/>
                <w:sz w:val="20"/>
                <w:szCs w:val="20"/>
              </w:rPr>
              <w:t>2,103</w:t>
            </w:r>
          </w:p>
        </w:tc>
        <w:tc>
          <w:tcPr>
            <w:tcW w:w="1219" w:type="dxa"/>
            <w:tcBorders>
              <w:top w:val="nil"/>
              <w:left w:val="nil"/>
              <w:bottom w:val="single" w:sz="4" w:space="0" w:color="auto"/>
              <w:right w:val="single" w:sz="4" w:space="0" w:color="auto"/>
            </w:tcBorders>
            <w:shd w:val="clear" w:color="auto" w:fill="auto"/>
            <w:noWrap/>
            <w:vAlign w:val="bottom"/>
            <w:hideMark/>
          </w:tcPr>
          <w:p w14:paraId="0C644B62" w14:textId="77777777" w:rsidR="00C06287" w:rsidRPr="00493106" w:rsidRDefault="00C06287" w:rsidP="00C06287">
            <w:pPr>
              <w:jc w:val="center"/>
              <w:rPr>
                <w:b/>
                <w:color w:val="000000"/>
                <w:sz w:val="20"/>
                <w:szCs w:val="20"/>
              </w:rPr>
            </w:pPr>
            <w:r w:rsidRPr="00493106">
              <w:rPr>
                <w:b/>
                <w:color w:val="000000"/>
                <w:sz w:val="20"/>
                <w:szCs w:val="20"/>
              </w:rPr>
              <w:t>153</w:t>
            </w:r>
          </w:p>
        </w:tc>
        <w:tc>
          <w:tcPr>
            <w:tcW w:w="1461" w:type="dxa"/>
            <w:tcBorders>
              <w:top w:val="nil"/>
              <w:left w:val="nil"/>
              <w:bottom w:val="single" w:sz="4" w:space="0" w:color="auto"/>
              <w:right w:val="single" w:sz="4" w:space="0" w:color="auto"/>
            </w:tcBorders>
            <w:shd w:val="clear" w:color="auto" w:fill="auto"/>
            <w:noWrap/>
            <w:vAlign w:val="bottom"/>
            <w:hideMark/>
          </w:tcPr>
          <w:p w14:paraId="7EACAD63" w14:textId="77777777" w:rsidR="00C06287" w:rsidRPr="00493106" w:rsidRDefault="00C06287" w:rsidP="00C06287">
            <w:pPr>
              <w:jc w:val="center"/>
              <w:rPr>
                <w:b/>
                <w:color w:val="000000"/>
                <w:sz w:val="20"/>
                <w:szCs w:val="20"/>
              </w:rPr>
            </w:pPr>
            <w:r w:rsidRPr="00493106">
              <w:rPr>
                <w:b/>
                <w:color w:val="000000"/>
                <w:sz w:val="20"/>
                <w:szCs w:val="20"/>
              </w:rPr>
              <w:t>12,335</w:t>
            </w:r>
          </w:p>
        </w:tc>
        <w:tc>
          <w:tcPr>
            <w:tcW w:w="810" w:type="dxa"/>
            <w:tcBorders>
              <w:top w:val="nil"/>
              <w:left w:val="nil"/>
              <w:bottom w:val="single" w:sz="4" w:space="0" w:color="auto"/>
              <w:right w:val="single" w:sz="4" w:space="0" w:color="auto"/>
            </w:tcBorders>
            <w:shd w:val="clear" w:color="auto" w:fill="auto"/>
            <w:noWrap/>
            <w:vAlign w:val="bottom"/>
            <w:hideMark/>
          </w:tcPr>
          <w:p w14:paraId="4184B769" w14:textId="77777777" w:rsidR="00C06287" w:rsidRPr="00493106" w:rsidRDefault="00C06287" w:rsidP="00C06287">
            <w:pPr>
              <w:jc w:val="center"/>
              <w:rPr>
                <w:b/>
                <w:color w:val="000000"/>
                <w:sz w:val="20"/>
                <w:szCs w:val="20"/>
              </w:rPr>
            </w:pPr>
            <w:r w:rsidRPr="00493106">
              <w:rPr>
                <w:b/>
                <w:color w:val="000000"/>
                <w:sz w:val="20"/>
                <w:szCs w:val="20"/>
              </w:rPr>
              <w:t>0</w:t>
            </w:r>
          </w:p>
        </w:tc>
        <w:tc>
          <w:tcPr>
            <w:tcW w:w="990" w:type="dxa"/>
            <w:tcBorders>
              <w:top w:val="nil"/>
              <w:left w:val="nil"/>
              <w:bottom w:val="single" w:sz="4" w:space="0" w:color="auto"/>
              <w:right w:val="single" w:sz="4" w:space="0" w:color="auto"/>
            </w:tcBorders>
            <w:shd w:val="clear" w:color="auto" w:fill="auto"/>
            <w:noWrap/>
            <w:vAlign w:val="bottom"/>
            <w:hideMark/>
          </w:tcPr>
          <w:p w14:paraId="1B7D0825" w14:textId="77777777" w:rsidR="00C06287" w:rsidRPr="00493106" w:rsidRDefault="00C06287" w:rsidP="00C06287">
            <w:pPr>
              <w:jc w:val="center"/>
              <w:rPr>
                <w:b/>
                <w:color w:val="000000"/>
                <w:sz w:val="20"/>
                <w:szCs w:val="20"/>
              </w:rPr>
            </w:pPr>
            <w:r w:rsidRPr="00493106">
              <w:rPr>
                <w:b/>
                <w:color w:val="000000"/>
                <w:sz w:val="20"/>
                <w:szCs w:val="20"/>
              </w:rPr>
              <w:t>220</w:t>
            </w:r>
          </w:p>
        </w:tc>
        <w:tc>
          <w:tcPr>
            <w:tcW w:w="1461" w:type="dxa"/>
            <w:tcBorders>
              <w:top w:val="nil"/>
              <w:left w:val="nil"/>
              <w:bottom w:val="single" w:sz="4" w:space="0" w:color="auto"/>
              <w:right w:val="single" w:sz="4" w:space="0" w:color="auto"/>
            </w:tcBorders>
            <w:shd w:val="clear" w:color="auto" w:fill="auto"/>
            <w:noWrap/>
            <w:vAlign w:val="bottom"/>
            <w:hideMark/>
          </w:tcPr>
          <w:p w14:paraId="26AE347B" w14:textId="77777777" w:rsidR="00C06287" w:rsidRPr="00493106" w:rsidRDefault="00C06287" w:rsidP="00C06287">
            <w:pPr>
              <w:jc w:val="center"/>
              <w:rPr>
                <w:b/>
                <w:color w:val="000000"/>
                <w:sz w:val="20"/>
                <w:szCs w:val="20"/>
              </w:rPr>
            </w:pPr>
            <w:r w:rsidRPr="00493106">
              <w:rPr>
                <w:b/>
                <w:color w:val="000000"/>
                <w:sz w:val="20"/>
                <w:szCs w:val="20"/>
              </w:rPr>
              <w:t>7,531</w:t>
            </w:r>
          </w:p>
        </w:tc>
        <w:tc>
          <w:tcPr>
            <w:tcW w:w="766" w:type="dxa"/>
            <w:tcBorders>
              <w:top w:val="nil"/>
              <w:left w:val="nil"/>
              <w:bottom w:val="single" w:sz="4" w:space="0" w:color="auto"/>
              <w:right w:val="single" w:sz="4" w:space="0" w:color="auto"/>
            </w:tcBorders>
            <w:shd w:val="clear" w:color="auto" w:fill="auto"/>
            <w:noWrap/>
            <w:vAlign w:val="bottom"/>
            <w:hideMark/>
          </w:tcPr>
          <w:p w14:paraId="04201FA4" w14:textId="77777777" w:rsidR="00C06287" w:rsidRPr="00493106" w:rsidRDefault="00C06287" w:rsidP="00C06287">
            <w:pPr>
              <w:jc w:val="center"/>
              <w:rPr>
                <w:b/>
                <w:color w:val="000000"/>
                <w:sz w:val="20"/>
                <w:szCs w:val="20"/>
              </w:rPr>
            </w:pPr>
            <w:r w:rsidRPr="00493106">
              <w:rPr>
                <w:b/>
                <w:color w:val="000000"/>
                <w:sz w:val="20"/>
                <w:szCs w:val="20"/>
              </w:rPr>
              <w:t>22,341</w:t>
            </w:r>
          </w:p>
        </w:tc>
        <w:tc>
          <w:tcPr>
            <w:tcW w:w="900" w:type="dxa"/>
            <w:tcBorders>
              <w:top w:val="nil"/>
              <w:left w:val="nil"/>
              <w:bottom w:val="single" w:sz="4" w:space="0" w:color="auto"/>
              <w:right w:val="single" w:sz="4" w:space="0" w:color="auto"/>
            </w:tcBorders>
            <w:shd w:val="clear" w:color="auto" w:fill="auto"/>
            <w:noWrap/>
            <w:vAlign w:val="bottom"/>
            <w:hideMark/>
          </w:tcPr>
          <w:p w14:paraId="5F6A7898" w14:textId="77777777" w:rsidR="00C06287" w:rsidRPr="00493106" w:rsidRDefault="00C06287" w:rsidP="00C06287">
            <w:pPr>
              <w:jc w:val="center"/>
              <w:rPr>
                <w:b/>
                <w:color w:val="000000"/>
                <w:sz w:val="20"/>
                <w:szCs w:val="20"/>
              </w:rPr>
            </w:pPr>
            <w:r w:rsidRPr="00493106">
              <w:rPr>
                <w:b/>
                <w:color w:val="000000"/>
                <w:sz w:val="20"/>
                <w:szCs w:val="20"/>
              </w:rPr>
              <w:t>35.8%</w:t>
            </w:r>
          </w:p>
        </w:tc>
      </w:tr>
    </w:tbl>
    <w:p w14:paraId="50C2E757" w14:textId="5805486C" w:rsidR="00C06287" w:rsidRDefault="004623CD" w:rsidP="00C06287">
      <w:pPr>
        <w:pStyle w:val="Default"/>
        <w:rPr>
          <w:sz w:val="23"/>
          <w:szCs w:val="23"/>
        </w:rPr>
      </w:pPr>
      <w:r>
        <w:rPr>
          <w:rFonts w:ascii="Arial" w:hAnsi="Arial" w:cs="Arial"/>
          <w:sz w:val="20"/>
          <w:szCs w:val="20"/>
        </w:rPr>
        <w:t xml:space="preserve">Source: </w:t>
      </w:r>
      <w:r w:rsidRPr="00091BD5">
        <w:rPr>
          <w:rFonts w:ascii="Arial" w:hAnsi="Arial" w:cs="Arial"/>
          <w:sz w:val="20"/>
          <w:szCs w:val="20"/>
        </w:rPr>
        <w:t xml:space="preserve"> Personal communication from the National Marine Fisheries Service, Fisher</w:t>
      </w:r>
      <w:r>
        <w:rPr>
          <w:rFonts w:ascii="Arial" w:hAnsi="Arial" w:cs="Arial"/>
          <w:sz w:val="20"/>
          <w:szCs w:val="20"/>
        </w:rPr>
        <w:t>ies Statistics Division April 1</w:t>
      </w:r>
      <w:r w:rsidRPr="00091BD5">
        <w:rPr>
          <w:rFonts w:ascii="Arial" w:hAnsi="Arial" w:cs="Arial"/>
          <w:sz w:val="20"/>
          <w:szCs w:val="20"/>
        </w:rPr>
        <w:t>, 2016</w:t>
      </w:r>
      <w:r>
        <w:rPr>
          <w:rFonts w:ascii="Arial" w:hAnsi="Arial" w:cs="Arial"/>
          <w:sz w:val="20"/>
          <w:szCs w:val="20"/>
        </w:rPr>
        <w:t>.</w:t>
      </w:r>
    </w:p>
    <w:p w14:paraId="6031DEA1" w14:textId="77777777" w:rsidR="00C06287" w:rsidRDefault="00C06287" w:rsidP="00C06287">
      <w:pPr>
        <w:pStyle w:val="Default"/>
        <w:ind w:firstLine="360"/>
        <w:rPr>
          <w:sz w:val="23"/>
          <w:szCs w:val="23"/>
        </w:rPr>
      </w:pPr>
    </w:p>
    <w:p w14:paraId="044C491E" w14:textId="34C7E308" w:rsidR="00D544ED" w:rsidRPr="001C1474" w:rsidRDefault="00D544ED" w:rsidP="00D544ED">
      <w:pPr>
        <w:pStyle w:val="Default"/>
        <w:ind w:firstLine="360"/>
      </w:pPr>
      <w:r w:rsidRPr="001C1474">
        <w:t xml:space="preserve">The </w:t>
      </w:r>
      <w:r>
        <w:t>average annual 19,866</w:t>
      </w:r>
      <w:r w:rsidRPr="001C1474">
        <w:t xml:space="preserve"> target trips </w:t>
      </w:r>
      <w:r w:rsidR="00E65D9E">
        <w:t xml:space="preserve">for mutton snapper </w:t>
      </w:r>
      <w:r w:rsidRPr="001C1474">
        <w:t>by private/rental vessel</w:t>
      </w:r>
      <w:r>
        <w:t>s</w:t>
      </w:r>
      <w:r w:rsidRPr="001C1474">
        <w:t xml:space="preserve"> </w:t>
      </w:r>
      <w:r>
        <w:t>(12,335 plus 7,531)</w:t>
      </w:r>
      <w:r w:rsidRPr="001C1474">
        <w:t xml:space="preserve"> are estimated to generate 1</w:t>
      </w:r>
      <w:r>
        <w:t>0</w:t>
      </w:r>
      <w:r w:rsidRPr="001C1474">
        <w:t xml:space="preserve"> jobs and </w:t>
      </w:r>
      <w:r w:rsidR="00E65D9E">
        <w:t xml:space="preserve">approximately </w:t>
      </w:r>
      <w:r w:rsidRPr="001C1474">
        <w:t>$</w:t>
      </w:r>
      <w:r>
        <w:t>410</w:t>
      </w:r>
      <w:r w:rsidR="00BA6D9E">
        <w:t xml:space="preserve">,000 </w:t>
      </w:r>
      <w:r w:rsidRPr="001C1474">
        <w:t xml:space="preserve">in </w:t>
      </w:r>
      <w:r w:rsidR="00BA6D9E">
        <w:t>sales</w:t>
      </w:r>
      <w:r w:rsidRPr="001C1474">
        <w:t xml:space="preserve"> impacts </w:t>
      </w:r>
      <w:r>
        <w:t xml:space="preserve">in Florida </w:t>
      </w:r>
      <w:r w:rsidRPr="001C1474">
        <w:t>(</w:t>
      </w:r>
      <w:r w:rsidRPr="001C1474">
        <w:rPr>
          <w:b/>
        </w:rPr>
        <w:t>Table 3.3.26</w:t>
      </w:r>
      <w:r w:rsidRPr="001C1474">
        <w:t xml:space="preserve">).   The combined </w:t>
      </w:r>
      <w:r>
        <w:t xml:space="preserve">average of </w:t>
      </w:r>
      <w:r w:rsidRPr="001C1474">
        <w:t>2</w:t>
      </w:r>
      <w:r>
        <w:t>2</w:t>
      </w:r>
      <w:r w:rsidRPr="001C1474">
        <w:t>,</w:t>
      </w:r>
      <w:r>
        <w:t>341</w:t>
      </w:r>
      <w:r w:rsidRPr="001C1474">
        <w:t xml:space="preserve"> trips in East Florida generate</w:t>
      </w:r>
      <w:r w:rsidR="00BA6D9E">
        <w:t>d approximately</w:t>
      </w:r>
      <w:r w:rsidRPr="001C1474">
        <w:t xml:space="preserve"> 13 jobs, $5</w:t>
      </w:r>
      <w:r>
        <w:t>52</w:t>
      </w:r>
      <w:r w:rsidR="00BA6D9E">
        <w:t xml:space="preserve">,000 </w:t>
      </w:r>
      <w:r w:rsidRPr="001C1474">
        <w:t xml:space="preserve">in </w:t>
      </w:r>
      <w:r w:rsidR="00BA6D9E">
        <w:t>sales</w:t>
      </w:r>
      <w:r w:rsidRPr="001C1474">
        <w:t xml:space="preserve"> impacts, $8</w:t>
      </w:r>
      <w:r w:rsidR="00BA6D9E">
        <w:t>91,000 in value-added impacts and $1.</w:t>
      </w:r>
      <w:r w:rsidRPr="001C1474">
        <w:t>4</w:t>
      </w:r>
      <w:r w:rsidR="00BA6D9E">
        <w:t xml:space="preserve">4 million </w:t>
      </w:r>
      <w:r w:rsidRPr="001C1474">
        <w:t xml:space="preserve">in sales impacts. </w:t>
      </w:r>
    </w:p>
    <w:p w14:paraId="7D9DB593" w14:textId="77777777" w:rsidR="00D544ED" w:rsidRDefault="00D544ED" w:rsidP="00D544ED">
      <w:pPr>
        <w:pStyle w:val="Default"/>
        <w:ind w:firstLine="360"/>
        <w:rPr>
          <w:sz w:val="23"/>
          <w:szCs w:val="23"/>
        </w:rPr>
      </w:pPr>
    </w:p>
    <w:p w14:paraId="5043A221" w14:textId="77777777" w:rsidR="00493106" w:rsidRDefault="00493106">
      <w:pPr>
        <w:rPr>
          <w:rFonts w:ascii="Arial" w:hAnsi="Arial"/>
          <w:b/>
          <w:bCs/>
          <w:sz w:val="20"/>
        </w:rPr>
      </w:pPr>
      <w:r>
        <w:rPr>
          <w:b/>
        </w:rPr>
        <w:br w:type="page"/>
      </w:r>
    </w:p>
    <w:p w14:paraId="264BB2A7" w14:textId="59DB61CC" w:rsidR="00D544ED" w:rsidRDefault="00D544ED" w:rsidP="00D544ED">
      <w:pPr>
        <w:pStyle w:val="Tabletitle"/>
        <w:rPr>
          <w:sz w:val="23"/>
          <w:szCs w:val="23"/>
        </w:rPr>
      </w:pPr>
      <w:bookmarkStart w:id="172" w:name="_Toc340431571"/>
      <w:r>
        <w:rPr>
          <w:b/>
        </w:rPr>
        <w:lastRenderedPageBreak/>
        <w:t>Table 3.3.26</w:t>
      </w:r>
      <w:r w:rsidRPr="00091BD5">
        <w:rPr>
          <w:b/>
        </w:rPr>
        <w:t>.</w:t>
      </w:r>
      <w:r>
        <w:t xml:space="preserve">  Economic impacts of angler trips that targeted mutton snapper  (2015 $).</w:t>
      </w:r>
      <w:bookmarkEnd w:id="172"/>
      <w:r>
        <w:t xml:space="preserve">  </w:t>
      </w:r>
    </w:p>
    <w:tbl>
      <w:tblPr>
        <w:tblW w:w="6840" w:type="dxa"/>
        <w:tblInd w:w="93" w:type="dxa"/>
        <w:tblLook w:val="04A0" w:firstRow="1" w:lastRow="0" w:firstColumn="1" w:lastColumn="0" w:noHBand="0" w:noVBand="1"/>
      </w:tblPr>
      <w:tblGrid>
        <w:gridCol w:w="1600"/>
        <w:gridCol w:w="1206"/>
        <w:gridCol w:w="960"/>
        <w:gridCol w:w="915"/>
        <w:gridCol w:w="1607"/>
        <w:gridCol w:w="821"/>
      </w:tblGrid>
      <w:tr w:rsidR="00D544ED" w:rsidRPr="004623CD" w14:paraId="5D679BA6" w14:textId="77777777" w:rsidTr="00E65D9E">
        <w:trPr>
          <w:trHeight w:val="300"/>
        </w:trPr>
        <w:tc>
          <w:tcPr>
            <w:tcW w:w="16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41117A06" w14:textId="77777777" w:rsidR="00D544ED" w:rsidRPr="004623CD" w:rsidRDefault="00D544ED" w:rsidP="00E65D9E">
            <w:pPr>
              <w:jc w:val="center"/>
              <w:rPr>
                <w:b/>
                <w:bCs/>
                <w:color w:val="000000"/>
                <w:sz w:val="22"/>
                <w:szCs w:val="22"/>
              </w:rPr>
            </w:pPr>
            <w:r w:rsidRPr="004623CD">
              <w:rPr>
                <w:b/>
                <w:bCs/>
                <w:color w:val="000000"/>
                <w:sz w:val="22"/>
                <w:szCs w:val="22"/>
              </w:rPr>
              <w:t>Mode</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6830B59" w14:textId="77777777" w:rsidR="00D544ED" w:rsidRPr="004623CD" w:rsidRDefault="00D544ED" w:rsidP="00E65D9E">
            <w:pPr>
              <w:jc w:val="center"/>
              <w:rPr>
                <w:b/>
                <w:bCs/>
                <w:color w:val="000000"/>
                <w:sz w:val="22"/>
                <w:szCs w:val="22"/>
              </w:rPr>
            </w:pPr>
            <w:r>
              <w:rPr>
                <w:b/>
                <w:bCs/>
                <w:color w:val="000000"/>
                <w:sz w:val="22"/>
                <w:szCs w:val="22"/>
              </w:rPr>
              <w:t xml:space="preserve">Average Annual </w:t>
            </w:r>
            <w:r w:rsidRPr="004623CD">
              <w:rPr>
                <w:b/>
                <w:bCs/>
                <w:color w:val="000000"/>
                <w:sz w:val="22"/>
                <w:szCs w:val="22"/>
              </w:rPr>
              <w:t>Target Trips</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C5746FF" w14:textId="77777777" w:rsidR="00D544ED" w:rsidRPr="004623CD" w:rsidRDefault="00D544ED" w:rsidP="00E65D9E">
            <w:pPr>
              <w:jc w:val="center"/>
              <w:rPr>
                <w:b/>
                <w:bCs/>
                <w:color w:val="000000"/>
                <w:sz w:val="22"/>
                <w:szCs w:val="22"/>
              </w:rPr>
            </w:pPr>
            <w:r w:rsidRPr="004623CD">
              <w:rPr>
                <w:b/>
                <w:bCs/>
                <w:color w:val="000000"/>
                <w:sz w:val="22"/>
                <w:szCs w:val="22"/>
              </w:rPr>
              <w:t>Jobs</w:t>
            </w:r>
          </w:p>
        </w:tc>
        <w:tc>
          <w:tcPr>
            <w:tcW w:w="332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B4B9388" w14:textId="77777777" w:rsidR="00D544ED" w:rsidRPr="004623CD" w:rsidRDefault="00D544ED" w:rsidP="00E65D9E">
            <w:pPr>
              <w:jc w:val="center"/>
              <w:rPr>
                <w:b/>
                <w:bCs/>
                <w:color w:val="000000"/>
                <w:sz w:val="22"/>
                <w:szCs w:val="22"/>
              </w:rPr>
            </w:pPr>
            <w:r w:rsidRPr="004623CD">
              <w:rPr>
                <w:b/>
                <w:bCs/>
                <w:color w:val="000000"/>
                <w:sz w:val="22"/>
                <w:szCs w:val="22"/>
              </w:rPr>
              <w:t>Impacts in thousands</w:t>
            </w:r>
          </w:p>
        </w:tc>
      </w:tr>
      <w:tr w:rsidR="00D544ED" w:rsidRPr="004623CD" w14:paraId="6E3F53B5" w14:textId="77777777" w:rsidTr="00E65D9E">
        <w:trPr>
          <w:trHeight w:val="300"/>
        </w:trPr>
        <w:tc>
          <w:tcPr>
            <w:tcW w:w="160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ACB27F0" w14:textId="77777777" w:rsidR="00D544ED" w:rsidRPr="004623CD" w:rsidRDefault="00D544ED" w:rsidP="00E65D9E">
            <w:pPr>
              <w:rPr>
                <w:b/>
                <w:bCs/>
                <w:color w:val="000000"/>
                <w:sz w:val="22"/>
                <w:szCs w:val="22"/>
              </w:rPr>
            </w:pPr>
          </w:p>
        </w:tc>
        <w:tc>
          <w:tcPr>
            <w:tcW w:w="9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C80CF7" w14:textId="77777777" w:rsidR="00D544ED" w:rsidRPr="004623CD" w:rsidRDefault="00D544ED" w:rsidP="00E65D9E">
            <w:pPr>
              <w:rPr>
                <w:b/>
                <w:bCs/>
                <w:color w:val="000000"/>
                <w:sz w:val="22"/>
                <w:szCs w:val="22"/>
              </w:rPr>
            </w:pPr>
          </w:p>
        </w:tc>
        <w:tc>
          <w:tcPr>
            <w:tcW w:w="9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A60D10" w14:textId="77777777" w:rsidR="00D544ED" w:rsidRPr="004623CD" w:rsidRDefault="00D544ED" w:rsidP="00E65D9E">
            <w:pPr>
              <w:rPr>
                <w:b/>
                <w:bCs/>
                <w:color w:val="000000"/>
                <w:sz w:val="22"/>
                <w:szCs w:val="22"/>
              </w:rPr>
            </w:pPr>
          </w:p>
        </w:tc>
        <w:tc>
          <w:tcPr>
            <w:tcW w:w="915" w:type="dxa"/>
            <w:tcBorders>
              <w:top w:val="nil"/>
              <w:left w:val="nil"/>
              <w:bottom w:val="single" w:sz="4" w:space="0" w:color="auto"/>
              <w:right w:val="single" w:sz="4" w:space="0" w:color="auto"/>
            </w:tcBorders>
            <w:shd w:val="clear" w:color="auto" w:fill="D9D9D9" w:themeFill="background1" w:themeFillShade="D9"/>
            <w:noWrap/>
            <w:vAlign w:val="bottom"/>
            <w:hideMark/>
          </w:tcPr>
          <w:p w14:paraId="1C4FF488" w14:textId="77777777" w:rsidR="00D544ED" w:rsidRPr="004623CD" w:rsidRDefault="00D544ED" w:rsidP="00E65D9E">
            <w:pPr>
              <w:jc w:val="center"/>
              <w:rPr>
                <w:b/>
                <w:bCs/>
                <w:color w:val="000000"/>
                <w:sz w:val="22"/>
                <w:szCs w:val="22"/>
              </w:rPr>
            </w:pPr>
            <w:r w:rsidRPr="004623CD">
              <w:rPr>
                <w:b/>
                <w:bCs/>
                <w:color w:val="000000"/>
                <w:sz w:val="22"/>
                <w:szCs w:val="22"/>
              </w:rPr>
              <w:t>Income</w:t>
            </w:r>
          </w:p>
        </w:tc>
        <w:tc>
          <w:tcPr>
            <w:tcW w:w="1607" w:type="dxa"/>
            <w:tcBorders>
              <w:top w:val="nil"/>
              <w:left w:val="nil"/>
              <w:bottom w:val="single" w:sz="4" w:space="0" w:color="auto"/>
              <w:right w:val="single" w:sz="4" w:space="0" w:color="auto"/>
            </w:tcBorders>
            <w:shd w:val="clear" w:color="auto" w:fill="D9D9D9" w:themeFill="background1" w:themeFillShade="D9"/>
            <w:noWrap/>
            <w:vAlign w:val="bottom"/>
            <w:hideMark/>
          </w:tcPr>
          <w:p w14:paraId="4264D774" w14:textId="77777777" w:rsidR="00D544ED" w:rsidRPr="004623CD" w:rsidRDefault="00D544ED" w:rsidP="00E65D9E">
            <w:pPr>
              <w:rPr>
                <w:b/>
                <w:bCs/>
                <w:color w:val="000000"/>
                <w:sz w:val="22"/>
                <w:szCs w:val="22"/>
              </w:rPr>
            </w:pPr>
            <w:r w:rsidRPr="004623CD">
              <w:rPr>
                <w:b/>
                <w:bCs/>
                <w:color w:val="000000"/>
                <w:sz w:val="22"/>
                <w:szCs w:val="22"/>
              </w:rPr>
              <w:t>Value-Added</w:t>
            </w:r>
          </w:p>
        </w:tc>
        <w:tc>
          <w:tcPr>
            <w:tcW w:w="799" w:type="dxa"/>
            <w:tcBorders>
              <w:top w:val="nil"/>
              <w:left w:val="nil"/>
              <w:bottom w:val="single" w:sz="4" w:space="0" w:color="auto"/>
              <w:right w:val="single" w:sz="4" w:space="0" w:color="auto"/>
            </w:tcBorders>
            <w:shd w:val="clear" w:color="auto" w:fill="D9D9D9" w:themeFill="background1" w:themeFillShade="D9"/>
            <w:noWrap/>
            <w:vAlign w:val="bottom"/>
            <w:hideMark/>
          </w:tcPr>
          <w:p w14:paraId="31AA5302" w14:textId="77777777" w:rsidR="00D544ED" w:rsidRPr="004623CD" w:rsidRDefault="00D544ED" w:rsidP="00E65D9E">
            <w:pPr>
              <w:jc w:val="center"/>
              <w:rPr>
                <w:b/>
                <w:bCs/>
                <w:color w:val="000000"/>
                <w:sz w:val="22"/>
                <w:szCs w:val="22"/>
              </w:rPr>
            </w:pPr>
            <w:r w:rsidRPr="004623CD">
              <w:rPr>
                <w:b/>
                <w:bCs/>
                <w:color w:val="000000"/>
                <w:sz w:val="22"/>
                <w:szCs w:val="22"/>
              </w:rPr>
              <w:t>Sales</w:t>
            </w:r>
          </w:p>
        </w:tc>
      </w:tr>
      <w:tr w:rsidR="00D544ED" w:rsidRPr="004623CD" w14:paraId="7A96ACFE" w14:textId="77777777" w:rsidTr="00E65D9E">
        <w:trPr>
          <w:trHeight w:val="300"/>
        </w:trPr>
        <w:tc>
          <w:tcPr>
            <w:tcW w:w="1600" w:type="dxa"/>
            <w:tcBorders>
              <w:top w:val="nil"/>
              <w:left w:val="single" w:sz="4" w:space="0" w:color="auto"/>
              <w:bottom w:val="single" w:sz="4" w:space="0" w:color="auto"/>
              <w:right w:val="single" w:sz="4" w:space="0" w:color="auto"/>
            </w:tcBorders>
            <w:shd w:val="clear" w:color="000000" w:fill="auto"/>
            <w:noWrap/>
            <w:vAlign w:val="bottom"/>
            <w:hideMark/>
          </w:tcPr>
          <w:p w14:paraId="0E7B3ABF" w14:textId="77777777" w:rsidR="00D544ED" w:rsidRPr="004623CD" w:rsidRDefault="00D544ED" w:rsidP="00E65D9E">
            <w:pPr>
              <w:rPr>
                <w:bCs/>
                <w:color w:val="000000"/>
                <w:sz w:val="22"/>
                <w:szCs w:val="22"/>
              </w:rPr>
            </w:pPr>
            <w:r w:rsidRPr="004623CD">
              <w:rPr>
                <w:bCs/>
                <w:color w:val="000000"/>
                <w:sz w:val="22"/>
                <w:szCs w:val="22"/>
              </w:rPr>
              <w:t>Private/Rented</w:t>
            </w:r>
          </w:p>
        </w:tc>
        <w:tc>
          <w:tcPr>
            <w:tcW w:w="959" w:type="dxa"/>
            <w:tcBorders>
              <w:top w:val="nil"/>
              <w:left w:val="nil"/>
              <w:bottom w:val="single" w:sz="4" w:space="0" w:color="auto"/>
              <w:right w:val="single" w:sz="4" w:space="0" w:color="auto"/>
            </w:tcBorders>
            <w:shd w:val="clear" w:color="auto" w:fill="auto"/>
            <w:noWrap/>
            <w:vAlign w:val="bottom"/>
            <w:hideMark/>
          </w:tcPr>
          <w:p w14:paraId="28896BC2" w14:textId="77777777" w:rsidR="00D544ED" w:rsidRPr="004623CD" w:rsidRDefault="00D544ED" w:rsidP="00E65D9E">
            <w:pPr>
              <w:jc w:val="center"/>
              <w:rPr>
                <w:color w:val="000000"/>
                <w:sz w:val="22"/>
                <w:szCs w:val="22"/>
              </w:rPr>
            </w:pPr>
            <w:r>
              <w:rPr>
                <w:color w:val="000000"/>
                <w:sz w:val="22"/>
                <w:szCs w:val="22"/>
              </w:rPr>
              <w:t>19,866</w:t>
            </w:r>
            <w:r w:rsidRPr="004623CD">
              <w:rPr>
                <w:color w:val="000000"/>
                <w:sz w:val="22"/>
                <w:szCs w:val="22"/>
              </w:rPr>
              <w:t>,7</w:t>
            </w:r>
            <w:r>
              <w:rPr>
                <w:color w:val="000000"/>
                <w:sz w:val="22"/>
                <w:szCs w:val="22"/>
              </w:rPr>
              <w:t>55</w:t>
            </w:r>
          </w:p>
        </w:tc>
        <w:tc>
          <w:tcPr>
            <w:tcW w:w="960" w:type="dxa"/>
            <w:tcBorders>
              <w:top w:val="nil"/>
              <w:left w:val="nil"/>
              <w:bottom w:val="single" w:sz="4" w:space="0" w:color="auto"/>
              <w:right w:val="single" w:sz="4" w:space="0" w:color="auto"/>
            </w:tcBorders>
            <w:shd w:val="clear" w:color="auto" w:fill="auto"/>
            <w:noWrap/>
            <w:vAlign w:val="bottom"/>
            <w:hideMark/>
          </w:tcPr>
          <w:p w14:paraId="3AF7B80F" w14:textId="77777777" w:rsidR="00D544ED" w:rsidRPr="004623CD" w:rsidRDefault="00D544ED" w:rsidP="00E65D9E">
            <w:pPr>
              <w:jc w:val="center"/>
              <w:rPr>
                <w:color w:val="000000"/>
                <w:sz w:val="22"/>
                <w:szCs w:val="22"/>
              </w:rPr>
            </w:pPr>
            <w:r w:rsidRPr="004623CD">
              <w:rPr>
                <w:color w:val="000000"/>
                <w:sz w:val="22"/>
                <w:szCs w:val="22"/>
              </w:rPr>
              <w:t>1</w:t>
            </w:r>
            <w:r>
              <w:rPr>
                <w:color w:val="000000"/>
                <w:sz w:val="22"/>
                <w:szCs w:val="22"/>
              </w:rPr>
              <w:t>0</w:t>
            </w:r>
          </w:p>
        </w:tc>
        <w:tc>
          <w:tcPr>
            <w:tcW w:w="915" w:type="dxa"/>
            <w:tcBorders>
              <w:top w:val="nil"/>
              <w:left w:val="nil"/>
              <w:bottom w:val="single" w:sz="4" w:space="0" w:color="auto"/>
              <w:right w:val="single" w:sz="4" w:space="0" w:color="auto"/>
            </w:tcBorders>
            <w:shd w:val="clear" w:color="auto" w:fill="auto"/>
            <w:noWrap/>
            <w:vAlign w:val="bottom"/>
            <w:hideMark/>
          </w:tcPr>
          <w:p w14:paraId="4C5CF555" w14:textId="77777777" w:rsidR="00D544ED" w:rsidRPr="004623CD" w:rsidRDefault="00D544ED" w:rsidP="00E65D9E">
            <w:pPr>
              <w:jc w:val="center"/>
              <w:rPr>
                <w:color w:val="000000"/>
                <w:sz w:val="22"/>
                <w:szCs w:val="22"/>
              </w:rPr>
            </w:pPr>
            <w:r w:rsidRPr="004623CD">
              <w:rPr>
                <w:color w:val="000000"/>
                <w:sz w:val="22"/>
                <w:szCs w:val="22"/>
              </w:rPr>
              <w:t>$4</w:t>
            </w:r>
            <w:r>
              <w:rPr>
                <w:color w:val="000000"/>
                <w:sz w:val="22"/>
                <w:szCs w:val="22"/>
              </w:rPr>
              <w:t>10</w:t>
            </w:r>
          </w:p>
        </w:tc>
        <w:tc>
          <w:tcPr>
            <w:tcW w:w="1607" w:type="dxa"/>
            <w:tcBorders>
              <w:top w:val="nil"/>
              <w:left w:val="nil"/>
              <w:bottom w:val="single" w:sz="4" w:space="0" w:color="auto"/>
              <w:right w:val="single" w:sz="4" w:space="0" w:color="auto"/>
            </w:tcBorders>
            <w:shd w:val="clear" w:color="auto" w:fill="auto"/>
            <w:noWrap/>
            <w:vAlign w:val="bottom"/>
            <w:hideMark/>
          </w:tcPr>
          <w:p w14:paraId="253CAE93" w14:textId="77777777" w:rsidR="00D544ED" w:rsidRPr="004623CD" w:rsidRDefault="00D544ED" w:rsidP="00E65D9E">
            <w:pPr>
              <w:jc w:val="center"/>
              <w:rPr>
                <w:color w:val="000000"/>
                <w:sz w:val="22"/>
                <w:szCs w:val="22"/>
              </w:rPr>
            </w:pPr>
            <w:r w:rsidRPr="004623CD">
              <w:rPr>
                <w:color w:val="000000"/>
                <w:sz w:val="22"/>
                <w:szCs w:val="22"/>
              </w:rPr>
              <w:t>$</w:t>
            </w:r>
            <w:r>
              <w:rPr>
                <w:color w:val="000000"/>
                <w:sz w:val="22"/>
                <w:szCs w:val="22"/>
              </w:rPr>
              <w:t>67</w:t>
            </w:r>
            <w:r w:rsidRPr="004623CD">
              <w:rPr>
                <w:color w:val="000000"/>
                <w:sz w:val="22"/>
                <w:szCs w:val="22"/>
              </w:rPr>
              <w:t>7</w:t>
            </w:r>
          </w:p>
        </w:tc>
        <w:tc>
          <w:tcPr>
            <w:tcW w:w="799" w:type="dxa"/>
            <w:tcBorders>
              <w:top w:val="nil"/>
              <w:left w:val="nil"/>
              <w:bottom w:val="single" w:sz="4" w:space="0" w:color="auto"/>
              <w:right w:val="single" w:sz="4" w:space="0" w:color="auto"/>
            </w:tcBorders>
            <w:shd w:val="clear" w:color="auto" w:fill="auto"/>
            <w:noWrap/>
            <w:vAlign w:val="bottom"/>
            <w:hideMark/>
          </w:tcPr>
          <w:p w14:paraId="2401F813" w14:textId="77777777" w:rsidR="00D544ED" w:rsidRPr="004623CD" w:rsidRDefault="00D544ED" w:rsidP="00E65D9E">
            <w:pPr>
              <w:jc w:val="center"/>
              <w:rPr>
                <w:color w:val="000000"/>
                <w:sz w:val="22"/>
                <w:szCs w:val="22"/>
              </w:rPr>
            </w:pPr>
            <w:r w:rsidRPr="004623CD">
              <w:rPr>
                <w:color w:val="000000"/>
                <w:sz w:val="22"/>
                <w:szCs w:val="22"/>
              </w:rPr>
              <w:t>$1,</w:t>
            </w:r>
            <w:r>
              <w:rPr>
                <w:color w:val="000000"/>
                <w:sz w:val="22"/>
                <w:szCs w:val="22"/>
              </w:rPr>
              <w:t>0</w:t>
            </w:r>
            <w:r w:rsidRPr="004623CD">
              <w:rPr>
                <w:color w:val="000000"/>
                <w:sz w:val="22"/>
                <w:szCs w:val="22"/>
              </w:rPr>
              <w:t>9</w:t>
            </w:r>
            <w:r>
              <w:rPr>
                <w:color w:val="000000"/>
                <w:sz w:val="22"/>
                <w:szCs w:val="22"/>
              </w:rPr>
              <w:t>2</w:t>
            </w:r>
          </w:p>
        </w:tc>
      </w:tr>
      <w:tr w:rsidR="00D544ED" w:rsidRPr="004623CD" w14:paraId="17927874" w14:textId="77777777" w:rsidTr="00E65D9E">
        <w:trPr>
          <w:trHeight w:val="300"/>
        </w:trPr>
        <w:tc>
          <w:tcPr>
            <w:tcW w:w="1600" w:type="dxa"/>
            <w:tcBorders>
              <w:top w:val="nil"/>
              <w:left w:val="single" w:sz="4" w:space="0" w:color="auto"/>
              <w:bottom w:val="single" w:sz="4" w:space="0" w:color="auto"/>
              <w:right w:val="single" w:sz="4" w:space="0" w:color="auto"/>
            </w:tcBorders>
            <w:shd w:val="clear" w:color="000000" w:fill="auto"/>
            <w:noWrap/>
            <w:vAlign w:val="bottom"/>
            <w:hideMark/>
          </w:tcPr>
          <w:p w14:paraId="0177800B" w14:textId="77777777" w:rsidR="00D544ED" w:rsidRPr="004623CD" w:rsidRDefault="00D544ED" w:rsidP="00E65D9E">
            <w:pPr>
              <w:rPr>
                <w:bCs/>
                <w:color w:val="000000"/>
                <w:sz w:val="22"/>
                <w:szCs w:val="22"/>
              </w:rPr>
            </w:pPr>
            <w:r w:rsidRPr="004623CD">
              <w:rPr>
                <w:bCs/>
                <w:color w:val="000000"/>
                <w:sz w:val="22"/>
                <w:szCs w:val="22"/>
              </w:rPr>
              <w:t>For-Hire</w:t>
            </w:r>
          </w:p>
        </w:tc>
        <w:tc>
          <w:tcPr>
            <w:tcW w:w="959" w:type="dxa"/>
            <w:tcBorders>
              <w:top w:val="nil"/>
              <w:left w:val="nil"/>
              <w:bottom w:val="single" w:sz="4" w:space="0" w:color="auto"/>
              <w:right w:val="single" w:sz="4" w:space="0" w:color="auto"/>
            </w:tcBorders>
            <w:shd w:val="clear" w:color="auto" w:fill="auto"/>
            <w:noWrap/>
            <w:vAlign w:val="bottom"/>
            <w:hideMark/>
          </w:tcPr>
          <w:p w14:paraId="6077CB89" w14:textId="77777777" w:rsidR="00D544ED" w:rsidRPr="004623CD" w:rsidRDefault="00D544ED" w:rsidP="00E65D9E">
            <w:pPr>
              <w:jc w:val="center"/>
              <w:rPr>
                <w:color w:val="000000"/>
                <w:sz w:val="22"/>
                <w:szCs w:val="22"/>
              </w:rPr>
            </w:pPr>
            <w:r w:rsidRPr="004623CD">
              <w:rPr>
                <w:color w:val="000000"/>
                <w:sz w:val="22"/>
                <w:szCs w:val="22"/>
              </w:rPr>
              <w:t>3</w:t>
            </w:r>
            <w:r>
              <w:rPr>
                <w:color w:val="000000"/>
                <w:sz w:val="22"/>
                <w:szCs w:val="22"/>
              </w:rPr>
              <w:t>73</w:t>
            </w:r>
          </w:p>
        </w:tc>
        <w:tc>
          <w:tcPr>
            <w:tcW w:w="960" w:type="dxa"/>
            <w:tcBorders>
              <w:top w:val="nil"/>
              <w:left w:val="nil"/>
              <w:bottom w:val="single" w:sz="4" w:space="0" w:color="auto"/>
              <w:right w:val="single" w:sz="4" w:space="0" w:color="auto"/>
            </w:tcBorders>
            <w:shd w:val="clear" w:color="auto" w:fill="auto"/>
            <w:noWrap/>
            <w:vAlign w:val="bottom"/>
            <w:hideMark/>
          </w:tcPr>
          <w:p w14:paraId="6EC820AF" w14:textId="77777777" w:rsidR="00D544ED" w:rsidRPr="004623CD" w:rsidRDefault="00D544ED" w:rsidP="00E65D9E">
            <w:pPr>
              <w:jc w:val="center"/>
              <w:rPr>
                <w:color w:val="000000"/>
                <w:sz w:val="22"/>
                <w:szCs w:val="22"/>
              </w:rPr>
            </w:pPr>
            <w:r>
              <w:rPr>
                <w:color w:val="000000"/>
                <w:sz w:val="22"/>
                <w:szCs w:val="22"/>
              </w:rPr>
              <w:t>2</w:t>
            </w:r>
          </w:p>
        </w:tc>
        <w:tc>
          <w:tcPr>
            <w:tcW w:w="915" w:type="dxa"/>
            <w:tcBorders>
              <w:top w:val="nil"/>
              <w:left w:val="nil"/>
              <w:bottom w:val="single" w:sz="4" w:space="0" w:color="auto"/>
              <w:right w:val="single" w:sz="4" w:space="0" w:color="auto"/>
            </w:tcBorders>
            <w:shd w:val="clear" w:color="auto" w:fill="auto"/>
            <w:noWrap/>
            <w:vAlign w:val="bottom"/>
            <w:hideMark/>
          </w:tcPr>
          <w:p w14:paraId="0E9ABDAF" w14:textId="77777777" w:rsidR="00D544ED" w:rsidRPr="004623CD" w:rsidRDefault="00D544ED" w:rsidP="00E65D9E">
            <w:pPr>
              <w:jc w:val="center"/>
              <w:rPr>
                <w:color w:val="000000"/>
                <w:sz w:val="22"/>
                <w:szCs w:val="22"/>
              </w:rPr>
            </w:pPr>
            <w:r w:rsidRPr="004623CD">
              <w:rPr>
                <w:color w:val="000000"/>
                <w:sz w:val="22"/>
                <w:szCs w:val="22"/>
              </w:rPr>
              <w:t>$1</w:t>
            </w:r>
            <w:r>
              <w:rPr>
                <w:color w:val="000000"/>
                <w:sz w:val="22"/>
                <w:szCs w:val="22"/>
              </w:rPr>
              <w:t>14</w:t>
            </w:r>
          </w:p>
        </w:tc>
        <w:tc>
          <w:tcPr>
            <w:tcW w:w="1607" w:type="dxa"/>
            <w:tcBorders>
              <w:top w:val="nil"/>
              <w:left w:val="nil"/>
              <w:bottom w:val="single" w:sz="4" w:space="0" w:color="auto"/>
              <w:right w:val="single" w:sz="4" w:space="0" w:color="auto"/>
            </w:tcBorders>
            <w:shd w:val="clear" w:color="auto" w:fill="auto"/>
            <w:noWrap/>
            <w:vAlign w:val="bottom"/>
            <w:hideMark/>
          </w:tcPr>
          <w:p w14:paraId="616B8976" w14:textId="77777777" w:rsidR="00D544ED" w:rsidRPr="004623CD" w:rsidRDefault="00D544ED" w:rsidP="00E65D9E">
            <w:pPr>
              <w:jc w:val="center"/>
              <w:rPr>
                <w:color w:val="000000"/>
                <w:sz w:val="22"/>
                <w:szCs w:val="22"/>
              </w:rPr>
            </w:pPr>
            <w:r w:rsidRPr="004623CD">
              <w:rPr>
                <w:color w:val="000000"/>
                <w:sz w:val="22"/>
                <w:szCs w:val="22"/>
              </w:rPr>
              <w:t>$1</w:t>
            </w:r>
            <w:r>
              <w:rPr>
                <w:color w:val="000000"/>
                <w:sz w:val="22"/>
                <w:szCs w:val="22"/>
              </w:rPr>
              <w:t>6</w:t>
            </w:r>
            <w:r w:rsidRPr="004623CD">
              <w:rPr>
                <w:color w:val="000000"/>
                <w:sz w:val="22"/>
                <w:szCs w:val="22"/>
              </w:rPr>
              <w:t>7</w:t>
            </w:r>
          </w:p>
        </w:tc>
        <w:tc>
          <w:tcPr>
            <w:tcW w:w="799" w:type="dxa"/>
            <w:tcBorders>
              <w:top w:val="nil"/>
              <w:left w:val="nil"/>
              <w:bottom w:val="single" w:sz="4" w:space="0" w:color="auto"/>
              <w:right w:val="single" w:sz="4" w:space="0" w:color="auto"/>
            </w:tcBorders>
            <w:shd w:val="clear" w:color="auto" w:fill="auto"/>
            <w:noWrap/>
            <w:vAlign w:val="bottom"/>
            <w:hideMark/>
          </w:tcPr>
          <w:p w14:paraId="7585581E" w14:textId="77777777" w:rsidR="00D544ED" w:rsidRPr="004623CD" w:rsidRDefault="00D544ED" w:rsidP="00E65D9E">
            <w:pPr>
              <w:jc w:val="center"/>
              <w:rPr>
                <w:color w:val="000000"/>
                <w:sz w:val="22"/>
                <w:szCs w:val="22"/>
              </w:rPr>
            </w:pPr>
            <w:r w:rsidRPr="004623CD">
              <w:rPr>
                <w:color w:val="000000"/>
                <w:sz w:val="22"/>
                <w:szCs w:val="22"/>
              </w:rPr>
              <w:t>$2</w:t>
            </w:r>
            <w:r>
              <w:rPr>
                <w:color w:val="000000"/>
                <w:sz w:val="22"/>
                <w:szCs w:val="22"/>
              </w:rPr>
              <w:t>74</w:t>
            </w:r>
          </w:p>
        </w:tc>
      </w:tr>
      <w:tr w:rsidR="00D544ED" w:rsidRPr="004623CD" w14:paraId="74E3E14E" w14:textId="77777777" w:rsidTr="00E65D9E">
        <w:trPr>
          <w:trHeight w:val="300"/>
        </w:trPr>
        <w:tc>
          <w:tcPr>
            <w:tcW w:w="1600" w:type="dxa"/>
            <w:tcBorders>
              <w:top w:val="nil"/>
              <w:left w:val="single" w:sz="4" w:space="0" w:color="auto"/>
              <w:bottom w:val="single" w:sz="4" w:space="0" w:color="auto"/>
              <w:right w:val="single" w:sz="4" w:space="0" w:color="auto"/>
            </w:tcBorders>
            <w:shd w:val="clear" w:color="000000" w:fill="auto"/>
            <w:noWrap/>
            <w:vAlign w:val="bottom"/>
            <w:hideMark/>
          </w:tcPr>
          <w:p w14:paraId="6923AFDD" w14:textId="77777777" w:rsidR="00D544ED" w:rsidRPr="004623CD" w:rsidRDefault="00D544ED" w:rsidP="00E65D9E">
            <w:pPr>
              <w:rPr>
                <w:bCs/>
                <w:color w:val="000000"/>
                <w:sz w:val="22"/>
                <w:szCs w:val="22"/>
              </w:rPr>
            </w:pPr>
            <w:r w:rsidRPr="004623CD">
              <w:rPr>
                <w:bCs/>
                <w:color w:val="000000"/>
                <w:sz w:val="22"/>
                <w:szCs w:val="22"/>
              </w:rPr>
              <w:t>Shore</w:t>
            </w:r>
          </w:p>
        </w:tc>
        <w:tc>
          <w:tcPr>
            <w:tcW w:w="959" w:type="dxa"/>
            <w:tcBorders>
              <w:top w:val="nil"/>
              <w:left w:val="nil"/>
              <w:bottom w:val="single" w:sz="4" w:space="0" w:color="auto"/>
              <w:right w:val="single" w:sz="4" w:space="0" w:color="auto"/>
            </w:tcBorders>
            <w:shd w:val="clear" w:color="auto" w:fill="auto"/>
            <w:noWrap/>
            <w:vAlign w:val="bottom"/>
            <w:hideMark/>
          </w:tcPr>
          <w:p w14:paraId="191E9431" w14:textId="77777777" w:rsidR="00D544ED" w:rsidRPr="004623CD" w:rsidRDefault="00D544ED" w:rsidP="00E65D9E">
            <w:pPr>
              <w:jc w:val="center"/>
              <w:rPr>
                <w:color w:val="000000"/>
                <w:sz w:val="22"/>
                <w:szCs w:val="22"/>
              </w:rPr>
            </w:pPr>
            <w:r>
              <w:rPr>
                <w:color w:val="000000"/>
                <w:sz w:val="22"/>
                <w:szCs w:val="22"/>
              </w:rPr>
              <w:t>2</w:t>
            </w:r>
            <w:r w:rsidRPr="004623CD">
              <w:rPr>
                <w:color w:val="000000"/>
                <w:sz w:val="22"/>
                <w:szCs w:val="22"/>
              </w:rPr>
              <w:t>,</w:t>
            </w:r>
            <w:r>
              <w:rPr>
                <w:color w:val="000000"/>
                <w:sz w:val="22"/>
                <w:szCs w:val="22"/>
              </w:rPr>
              <w:t>103</w:t>
            </w:r>
          </w:p>
        </w:tc>
        <w:tc>
          <w:tcPr>
            <w:tcW w:w="960" w:type="dxa"/>
            <w:tcBorders>
              <w:top w:val="nil"/>
              <w:left w:val="nil"/>
              <w:bottom w:val="single" w:sz="4" w:space="0" w:color="auto"/>
              <w:right w:val="single" w:sz="4" w:space="0" w:color="auto"/>
            </w:tcBorders>
            <w:shd w:val="clear" w:color="auto" w:fill="auto"/>
            <w:noWrap/>
            <w:vAlign w:val="bottom"/>
            <w:hideMark/>
          </w:tcPr>
          <w:p w14:paraId="4527ECA6" w14:textId="77777777" w:rsidR="00D544ED" w:rsidRPr="004623CD" w:rsidRDefault="00D544ED" w:rsidP="00E65D9E">
            <w:pPr>
              <w:jc w:val="center"/>
              <w:rPr>
                <w:color w:val="000000"/>
                <w:sz w:val="22"/>
                <w:szCs w:val="22"/>
              </w:rPr>
            </w:pPr>
            <w:r>
              <w:rPr>
                <w:color w:val="000000"/>
                <w:sz w:val="22"/>
                <w:szCs w:val="22"/>
              </w:rPr>
              <w:t>1</w:t>
            </w:r>
          </w:p>
        </w:tc>
        <w:tc>
          <w:tcPr>
            <w:tcW w:w="915" w:type="dxa"/>
            <w:tcBorders>
              <w:top w:val="nil"/>
              <w:left w:val="nil"/>
              <w:bottom w:val="single" w:sz="4" w:space="0" w:color="auto"/>
              <w:right w:val="single" w:sz="4" w:space="0" w:color="auto"/>
            </w:tcBorders>
            <w:shd w:val="clear" w:color="auto" w:fill="auto"/>
            <w:noWrap/>
            <w:vAlign w:val="bottom"/>
            <w:hideMark/>
          </w:tcPr>
          <w:p w14:paraId="27AE75C5" w14:textId="77777777" w:rsidR="00D544ED" w:rsidRPr="004623CD" w:rsidRDefault="00D544ED" w:rsidP="00E65D9E">
            <w:pPr>
              <w:jc w:val="center"/>
              <w:rPr>
                <w:color w:val="000000"/>
                <w:sz w:val="22"/>
                <w:szCs w:val="22"/>
              </w:rPr>
            </w:pPr>
            <w:r w:rsidRPr="004623CD">
              <w:rPr>
                <w:color w:val="000000"/>
                <w:sz w:val="22"/>
                <w:szCs w:val="22"/>
              </w:rPr>
              <w:t>$</w:t>
            </w:r>
            <w:r>
              <w:rPr>
                <w:color w:val="000000"/>
                <w:sz w:val="22"/>
                <w:szCs w:val="22"/>
              </w:rPr>
              <w:t>28</w:t>
            </w:r>
          </w:p>
        </w:tc>
        <w:tc>
          <w:tcPr>
            <w:tcW w:w="1607" w:type="dxa"/>
            <w:tcBorders>
              <w:top w:val="nil"/>
              <w:left w:val="nil"/>
              <w:bottom w:val="single" w:sz="4" w:space="0" w:color="auto"/>
              <w:right w:val="single" w:sz="4" w:space="0" w:color="auto"/>
            </w:tcBorders>
            <w:shd w:val="clear" w:color="auto" w:fill="auto"/>
            <w:noWrap/>
            <w:vAlign w:val="bottom"/>
            <w:hideMark/>
          </w:tcPr>
          <w:p w14:paraId="6AE8DBC2" w14:textId="77777777" w:rsidR="00D544ED" w:rsidRPr="004623CD" w:rsidRDefault="00D544ED" w:rsidP="00E65D9E">
            <w:pPr>
              <w:jc w:val="center"/>
              <w:rPr>
                <w:color w:val="000000"/>
                <w:sz w:val="22"/>
                <w:szCs w:val="22"/>
              </w:rPr>
            </w:pPr>
            <w:r w:rsidRPr="004623CD">
              <w:rPr>
                <w:color w:val="000000"/>
                <w:sz w:val="22"/>
                <w:szCs w:val="22"/>
              </w:rPr>
              <w:t>$</w:t>
            </w:r>
            <w:r>
              <w:rPr>
                <w:color w:val="000000"/>
                <w:sz w:val="22"/>
                <w:szCs w:val="22"/>
              </w:rPr>
              <w:t>47</w:t>
            </w:r>
          </w:p>
        </w:tc>
        <w:tc>
          <w:tcPr>
            <w:tcW w:w="799" w:type="dxa"/>
            <w:tcBorders>
              <w:top w:val="nil"/>
              <w:left w:val="nil"/>
              <w:bottom w:val="single" w:sz="4" w:space="0" w:color="auto"/>
              <w:right w:val="single" w:sz="4" w:space="0" w:color="auto"/>
            </w:tcBorders>
            <w:shd w:val="clear" w:color="auto" w:fill="auto"/>
            <w:noWrap/>
            <w:vAlign w:val="bottom"/>
            <w:hideMark/>
          </w:tcPr>
          <w:p w14:paraId="02438F7A" w14:textId="77777777" w:rsidR="00D544ED" w:rsidRPr="004623CD" w:rsidRDefault="00D544ED" w:rsidP="00E65D9E">
            <w:pPr>
              <w:jc w:val="center"/>
              <w:rPr>
                <w:color w:val="000000"/>
                <w:sz w:val="22"/>
                <w:szCs w:val="22"/>
              </w:rPr>
            </w:pPr>
            <w:r w:rsidRPr="004623CD">
              <w:rPr>
                <w:color w:val="000000"/>
                <w:sz w:val="22"/>
                <w:szCs w:val="22"/>
              </w:rPr>
              <w:t>$</w:t>
            </w:r>
            <w:r>
              <w:rPr>
                <w:color w:val="000000"/>
                <w:sz w:val="22"/>
                <w:szCs w:val="22"/>
              </w:rPr>
              <w:t>75</w:t>
            </w:r>
          </w:p>
        </w:tc>
      </w:tr>
      <w:tr w:rsidR="00D544ED" w:rsidRPr="004623CD" w14:paraId="156BEA71" w14:textId="77777777" w:rsidTr="00E65D9E">
        <w:trPr>
          <w:trHeight w:val="300"/>
        </w:trPr>
        <w:tc>
          <w:tcPr>
            <w:tcW w:w="1600" w:type="dxa"/>
            <w:tcBorders>
              <w:top w:val="nil"/>
              <w:left w:val="single" w:sz="4" w:space="0" w:color="auto"/>
              <w:bottom w:val="single" w:sz="4" w:space="0" w:color="auto"/>
              <w:right w:val="single" w:sz="4" w:space="0" w:color="auto"/>
            </w:tcBorders>
            <w:shd w:val="clear" w:color="000000" w:fill="auto"/>
            <w:noWrap/>
            <w:vAlign w:val="bottom"/>
            <w:hideMark/>
          </w:tcPr>
          <w:p w14:paraId="6547710F" w14:textId="77777777" w:rsidR="00D544ED" w:rsidRPr="004623CD" w:rsidRDefault="00D544ED" w:rsidP="00E65D9E">
            <w:pPr>
              <w:rPr>
                <w:bCs/>
                <w:color w:val="000000"/>
                <w:sz w:val="22"/>
                <w:szCs w:val="22"/>
              </w:rPr>
            </w:pPr>
            <w:r w:rsidRPr="004623CD">
              <w:rPr>
                <w:bCs/>
                <w:color w:val="000000"/>
                <w:sz w:val="22"/>
                <w:szCs w:val="22"/>
              </w:rPr>
              <w:t>Total</w:t>
            </w:r>
          </w:p>
        </w:tc>
        <w:tc>
          <w:tcPr>
            <w:tcW w:w="959" w:type="dxa"/>
            <w:tcBorders>
              <w:top w:val="nil"/>
              <w:left w:val="nil"/>
              <w:bottom w:val="single" w:sz="4" w:space="0" w:color="auto"/>
              <w:right w:val="single" w:sz="4" w:space="0" w:color="auto"/>
            </w:tcBorders>
            <w:shd w:val="clear" w:color="auto" w:fill="auto"/>
            <w:noWrap/>
            <w:vAlign w:val="bottom"/>
            <w:hideMark/>
          </w:tcPr>
          <w:p w14:paraId="00C949CF" w14:textId="77777777" w:rsidR="00D544ED" w:rsidRPr="004623CD" w:rsidRDefault="00D544ED" w:rsidP="00E65D9E">
            <w:pPr>
              <w:jc w:val="center"/>
              <w:rPr>
                <w:color w:val="000000"/>
                <w:sz w:val="22"/>
                <w:szCs w:val="22"/>
              </w:rPr>
            </w:pPr>
            <w:r w:rsidRPr="004623CD">
              <w:rPr>
                <w:color w:val="000000"/>
                <w:sz w:val="22"/>
                <w:szCs w:val="22"/>
              </w:rPr>
              <w:t>2</w:t>
            </w:r>
            <w:r>
              <w:rPr>
                <w:color w:val="000000"/>
                <w:sz w:val="22"/>
                <w:szCs w:val="22"/>
              </w:rPr>
              <w:t>2</w:t>
            </w:r>
            <w:r w:rsidRPr="004623CD">
              <w:rPr>
                <w:color w:val="000000"/>
                <w:sz w:val="22"/>
                <w:szCs w:val="22"/>
              </w:rPr>
              <w:t>,</w:t>
            </w:r>
            <w:r>
              <w:rPr>
                <w:color w:val="000000"/>
                <w:sz w:val="22"/>
                <w:szCs w:val="22"/>
              </w:rPr>
              <w:t>341</w:t>
            </w:r>
          </w:p>
        </w:tc>
        <w:tc>
          <w:tcPr>
            <w:tcW w:w="960" w:type="dxa"/>
            <w:tcBorders>
              <w:top w:val="nil"/>
              <w:left w:val="nil"/>
              <w:bottom w:val="single" w:sz="4" w:space="0" w:color="auto"/>
              <w:right w:val="single" w:sz="4" w:space="0" w:color="auto"/>
            </w:tcBorders>
            <w:shd w:val="clear" w:color="auto" w:fill="auto"/>
            <w:noWrap/>
            <w:vAlign w:val="bottom"/>
            <w:hideMark/>
          </w:tcPr>
          <w:p w14:paraId="45213941" w14:textId="77777777" w:rsidR="00D544ED" w:rsidRPr="004623CD" w:rsidRDefault="00D544ED" w:rsidP="00E65D9E">
            <w:pPr>
              <w:jc w:val="center"/>
              <w:rPr>
                <w:color w:val="000000"/>
                <w:sz w:val="22"/>
                <w:szCs w:val="22"/>
              </w:rPr>
            </w:pPr>
            <w:r w:rsidRPr="004623CD">
              <w:rPr>
                <w:color w:val="000000"/>
                <w:sz w:val="22"/>
                <w:szCs w:val="22"/>
              </w:rPr>
              <w:t>13</w:t>
            </w:r>
          </w:p>
        </w:tc>
        <w:tc>
          <w:tcPr>
            <w:tcW w:w="915" w:type="dxa"/>
            <w:tcBorders>
              <w:top w:val="nil"/>
              <w:left w:val="nil"/>
              <w:bottom w:val="single" w:sz="4" w:space="0" w:color="auto"/>
              <w:right w:val="single" w:sz="4" w:space="0" w:color="auto"/>
            </w:tcBorders>
            <w:shd w:val="clear" w:color="auto" w:fill="auto"/>
            <w:noWrap/>
            <w:vAlign w:val="bottom"/>
            <w:hideMark/>
          </w:tcPr>
          <w:p w14:paraId="269E4F27" w14:textId="77777777" w:rsidR="00D544ED" w:rsidRPr="004623CD" w:rsidRDefault="00D544ED" w:rsidP="00E65D9E">
            <w:pPr>
              <w:jc w:val="center"/>
              <w:rPr>
                <w:color w:val="000000"/>
                <w:sz w:val="22"/>
                <w:szCs w:val="22"/>
              </w:rPr>
            </w:pPr>
            <w:r w:rsidRPr="004623CD">
              <w:rPr>
                <w:color w:val="000000"/>
                <w:sz w:val="22"/>
                <w:szCs w:val="22"/>
              </w:rPr>
              <w:t>$5</w:t>
            </w:r>
            <w:r>
              <w:rPr>
                <w:color w:val="000000"/>
                <w:sz w:val="22"/>
                <w:szCs w:val="22"/>
              </w:rPr>
              <w:t>52</w:t>
            </w:r>
          </w:p>
        </w:tc>
        <w:tc>
          <w:tcPr>
            <w:tcW w:w="1607" w:type="dxa"/>
            <w:tcBorders>
              <w:top w:val="nil"/>
              <w:left w:val="nil"/>
              <w:bottom w:val="single" w:sz="4" w:space="0" w:color="auto"/>
              <w:right w:val="single" w:sz="4" w:space="0" w:color="auto"/>
            </w:tcBorders>
            <w:shd w:val="clear" w:color="auto" w:fill="auto"/>
            <w:noWrap/>
            <w:vAlign w:val="bottom"/>
            <w:hideMark/>
          </w:tcPr>
          <w:p w14:paraId="224F569F" w14:textId="77777777" w:rsidR="00D544ED" w:rsidRPr="004623CD" w:rsidRDefault="00D544ED" w:rsidP="00E65D9E">
            <w:pPr>
              <w:jc w:val="center"/>
              <w:rPr>
                <w:color w:val="000000"/>
                <w:sz w:val="22"/>
                <w:szCs w:val="22"/>
              </w:rPr>
            </w:pPr>
            <w:r w:rsidRPr="004623CD">
              <w:rPr>
                <w:color w:val="000000"/>
                <w:sz w:val="22"/>
                <w:szCs w:val="22"/>
              </w:rPr>
              <w:t>$891</w:t>
            </w:r>
          </w:p>
        </w:tc>
        <w:tc>
          <w:tcPr>
            <w:tcW w:w="799" w:type="dxa"/>
            <w:tcBorders>
              <w:top w:val="nil"/>
              <w:left w:val="nil"/>
              <w:bottom w:val="single" w:sz="4" w:space="0" w:color="auto"/>
              <w:right w:val="single" w:sz="4" w:space="0" w:color="auto"/>
            </w:tcBorders>
            <w:shd w:val="clear" w:color="auto" w:fill="auto"/>
            <w:noWrap/>
            <w:vAlign w:val="bottom"/>
            <w:hideMark/>
          </w:tcPr>
          <w:p w14:paraId="58BAE83A" w14:textId="77777777" w:rsidR="00D544ED" w:rsidRPr="004623CD" w:rsidRDefault="00D544ED" w:rsidP="00E65D9E">
            <w:pPr>
              <w:jc w:val="center"/>
              <w:rPr>
                <w:color w:val="000000"/>
                <w:sz w:val="22"/>
                <w:szCs w:val="22"/>
              </w:rPr>
            </w:pPr>
            <w:r w:rsidRPr="004623CD">
              <w:rPr>
                <w:color w:val="000000"/>
                <w:sz w:val="22"/>
                <w:szCs w:val="22"/>
              </w:rPr>
              <w:t>$1,4</w:t>
            </w:r>
            <w:r>
              <w:rPr>
                <w:color w:val="000000"/>
                <w:sz w:val="22"/>
                <w:szCs w:val="22"/>
              </w:rPr>
              <w:t>41</w:t>
            </w:r>
          </w:p>
        </w:tc>
      </w:tr>
    </w:tbl>
    <w:p w14:paraId="680D9DB5" w14:textId="4D4E8F46" w:rsidR="00D544ED" w:rsidRPr="004623CD" w:rsidRDefault="00D544ED" w:rsidP="00D544ED">
      <w:pPr>
        <w:pStyle w:val="Default"/>
        <w:rPr>
          <w:rFonts w:ascii="Arial" w:hAnsi="Arial" w:cs="Arial"/>
          <w:sz w:val="20"/>
          <w:szCs w:val="20"/>
        </w:rPr>
      </w:pPr>
      <w:r w:rsidRPr="00493106">
        <w:rPr>
          <w:rFonts w:ascii="Arial" w:hAnsi="Arial" w:cs="Arial"/>
          <w:sz w:val="20"/>
          <w:szCs w:val="20"/>
        </w:rPr>
        <w:t xml:space="preserve">Source: </w:t>
      </w:r>
      <w:r w:rsidRPr="00EC5BA8">
        <w:rPr>
          <w:rFonts w:ascii="Arial" w:hAnsi="Arial" w:cs="Arial"/>
          <w:sz w:val="20"/>
          <w:szCs w:val="20"/>
        </w:rPr>
        <w:t>Estimates of economic impacts calculated by NMFS SERO using model developed for NMFS (2016).</w:t>
      </w:r>
    </w:p>
    <w:p w14:paraId="4B3C0E4E" w14:textId="77777777" w:rsidR="00C06287" w:rsidRPr="00493106" w:rsidRDefault="00C06287" w:rsidP="00C06287">
      <w:pPr>
        <w:pStyle w:val="Default"/>
        <w:ind w:firstLine="360"/>
      </w:pPr>
    </w:p>
    <w:p w14:paraId="59FDA9C4" w14:textId="57A9861B" w:rsidR="00C06287" w:rsidRPr="00493106" w:rsidRDefault="004623CD" w:rsidP="00C06287">
      <w:pPr>
        <w:pStyle w:val="Default"/>
        <w:ind w:firstLine="360"/>
      </w:pPr>
      <w:r w:rsidRPr="00493106">
        <w:t>From 2010 through 2014</w:t>
      </w:r>
      <w:r w:rsidR="00C06287" w:rsidRPr="00493106">
        <w:t xml:space="preserve">, anglers made an annual average of 116,284 trips in East Florida that caught mutton snapper (harvested </w:t>
      </w:r>
      <w:r w:rsidR="00BA6D9E" w:rsidRPr="00493106">
        <w:t xml:space="preserve">or </w:t>
      </w:r>
      <w:r w:rsidR="00C06287" w:rsidRPr="00493106">
        <w:t>released) (</w:t>
      </w:r>
      <w:r w:rsidR="00C06287" w:rsidRPr="00493106">
        <w:rPr>
          <w:b/>
        </w:rPr>
        <w:t>Table 3.3.27</w:t>
      </w:r>
      <w:r w:rsidR="00C06287" w:rsidRPr="00493106">
        <w:t>).  Approximately 16% of these trips occurred in federal waters.  The average annual 22,341 trips that targeted the species represent approximately 19% of the 116,284 average annual trips that caught mutton snapper.  Approximately 74% of the trips that caught the species were by anglers on private/rental vessels.</w:t>
      </w:r>
    </w:p>
    <w:p w14:paraId="73669F77" w14:textId="77777777" w:rsidR="00C06287" w:rsidRDefault="00C06287" w:rsidP="00C06287">
      <w:pPr>
        <w:ind w:firstLine="360"/>
      </w:pPr>
    </w:p>
    <w:p w14:paraId="43007B36" w14:textId="289301E1" w:rsidR="00C06287" w:rsidRPr="00AE6F07" w:rsidRDefault="00C06287" w:rsidP="00AE6F07">
      <w:pPr>
        <w:pStyle w:val="Tabletitle"/>
        <w:rPr>
          <w:rFonts w:cs="Arial"/>
          <w:b/>
          <w:szCs w:val="20"/>
        </w:rPr>
      </w:pPr>
      <w:bookmarkStart w:id="173" w:name="_Toc340431572"/>
      <w:r>
        <w:rPr>
          <w:b/>
        </w:rPr>
        <w:t>Table 3.3.27</w:t>
      </w:r>
      <w:r w:rsidRPr="00091BD5">
        <w:rPr>
          <w:b/>
        </w:rPr>
        <w:t>.</w:t>
      </w:r>
      <w:r>
        <w:t xml:space="preserve">  Estimates of number of East Florida angler trips that caught mutton snapper by</w:t>
      </w:r>
      <w:r w:rsidR="004623CD">
        <w:t xml:space="preserve"> mode and waters fished, 2010-</w:t>
      </w:r>
      <w:r>
        <w:t>2014.</w:t>
      </w:r>
      <w:bookmarkEnd w:id="173"/>
      <w:r>
        <w:t xml:space="preserve">  </w:t>
      </w:r>
    </w:p>
    <w:tbl>
      <w:tblPr>
        <w:tblW w:w="9291" w:type="dxa"/>
        <w:tblInd w:w="93" w:type="dxa"/>
        <w:tblLook w:val="04A0" w:firstRow="1" w:lastRow="0" w:firstColumn="1" w:lastColumn="0" w:noHBand="0" w:noVBand="1"/>
      </w:tblPr>
      <w:tblGrid>
        <w:gridCol w:w="927"/>
        <w:gridCol w:w="798"/>
        <w:gridCol w:w="1073"/>
        <w:gridCol w:w="1461"/>
        <w:gridCol w:w="716"/>
        <w:gridCol w:w="1080"/>
        <w:gridCol w:w="1461"/>
        <w:gridCol w:w="866"/>
        <w:gridCol w:w="909"/>
      </w:tblGrid>
      <w:tr w:rsidR="00C06287" w:rsidRPr="00451691" w14:paraId="5BC82894" w14:textId="77777777" w:rsidTr="004623CD">
        <w:trPr>
          <w:trHeight w:val="300"/>
        </w:trPr>
        <w:tc>
          <w:tcPr>
            <w:tcW w:w="927"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04839E83" w14:textId="77777777" w:rsidR="00C06287" w:rsidRPr="00451691" w:rsidRDefault="00C06287" w:rsidP="00C06287">
            <w:pPr>
              <w:jc w:val="center"/>
              <w:rPr>
                <w:b/>
                <w:bCs/>
                <w:color w:val="000000"/>
                <w:sz w:val="20"/>
                <w:szCs w:val="20"/>
              </w:rPr>
            </w:pPr>
            <w:r w:rsidRPr="00451691">
              <w:rPr>
                <w:b/>
                <w:bCs/>
                <w:color w:val="000000"/>
                <w:sz w:val="20"/>
                <w:szCs w:val="20"/>
              </w:rPr>
              <w:t>Year</w:t>
            </w:r>
          </w:p>
        </w:tc>
        <w:tc>
          <w:tcPr>
            <w:tcW w:w="8364" w:type="dxa"/>
            <w:gridSpan w:val="8"/>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864BD8A" w14:textId="77777777" w:rsidR="00C06287" w:rsidRPr="00451691" w:rsidRDefault="00C06287" w:rsidP="00C06287">
            <w:pPr>
              <w:jc w:val="center"/>
              <w:rPr>
                <w:b/>
                <w:bCs/>
                <w:color w:val="000000"/>
                <w:sz w:val="20"/>
                <w:szCs w:val="20"/>
              </w:rPr>
            </w:pPr>
            <w:r>
              <w:rPr>
                <w:b/>
                <w:bCs/>
                <w:color w:val="000000"/>
                <w:sz w:val="20"/>
                <w:szCs w:val="20"/>
              </w:rPr>
              <w:t>N</w:t>
            </w:r>
            <w:r w:rsidRPr="00451691">
              <w:rPr>
                <w:b/>
                <w:bCs/>
                <w:color w:val="000000"/>
                <w:sz w:val="20"/>
                <w:szCs w:val="20"/>
              </w:rPr>
              <w:t>umber of angler trips that caught mutton snapper</w:t>
            </w:r>
          </w:p>
        </w:tc>
      </w:tr>
      <w:tr w:rsidR="00C06287" w:rsidRPr="00451691" w14:paraId="4E730F43" w14:textId="77777777" w:rsidTr="004623CD">
        <w:trPr>
          <w:trHeight w:val="300"/>
        </w:trPr>
        <w:tc>
          <w:tcPr>
            <w:tcW w:w="927"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8C9A09D" w14:textId="77777777" w:rsidR="00C06287" w:rsidRPr="00451691" w:rsidRDefault="00C06287" w:rsidP="00C06287">
            <w:pPr>
              <w:rPr>
                <w:b/>
                <w:bCs/>
                <w:color w:val="000000"/>
                <w:sz w:val="20"/>
                <w:szCs w:val="20"/>
              </w:rPr>
            </w:pPr>
          </w:p>
        </w:tc>
        <w:tc>
          <w:tcPr>
            <w:tcW w:w="3332"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A23819F" w14:textId="77777777" w:rsidR="00C06287" w:rsidRPr="00451691" w:rsidRDefault="00C06287" w:rsidP="00C06287">
            <w:pPr>
              <w:jc w:val="center"/>
              <w:rPr>
                <w:b/>
                <w:bCs/>
                <w:color w:val="000000"/>
                <w:sz w:val="20"/>
                <w:szCs w:val="20"/>
              </w:rPr>
            </w:pPr>
            <w:r w:rsidRPr="00451691">
              <w:rPr>
                <w:b/>
                <w:bCs/>
                <w:color w:val="000000"/>
                <w:sz w:val="20"/>
                <w:szCs w:val="20"/>
              </w:rPr>
              <w:t>East FL waters</w:t>
            </w:r>
          </w:p>
        </w:tc>
        <w:tc>
          <w:tcPr>
            <w:tcW w:w="3257"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F30A1C2" w14:textId="77777777" w:rsidR="00C06287" w:rsidRPr="00451691" w:rsidRDefault="00C06287" w:rsidP="00C06287">
            <w:pPr>
              <w:jc w:val="center"/>
              <w:rPr>
                <w:b/>
                <w:bCs/>
                <w:color w:val="000000"/>
                <w:sz w:val="20"/>
                <w:szCs w:val="20"/>
              </w:rPr>
            </w:pPr>
            <w:r w:rsidRPr="00451691">
              <w:rPr>
                <w:b/>
                <w:bCs/>
                <w:color w:val="000000"/>
                <w:sz w:val="20"/>
                <w:szCs w:val="20"/>
              </w:rPr>
              <w:t>EEZ</w:t>
            </w:r>
          </w:p>
        </w:tc>
        <w:tc>
          <w:tcPr>
            <w:tcW w:w="866"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7BA3FA8" w14:textId="77777777" w:rsidR="00C06287" w:rsidRPr="00451691" w:rsidRDefault="00C06287" w:rsidP="00C06287">
            <w:pPr>
              <w:jc w:val="center"/>
              <w:rPr>
                <w:b/>
                <w:bCs/>
                <w:color w:val="000000"/>
                <w:sz w:val="20"/>
                <w:szCs w:val="20"/>
              </w:rPr>
            </w:pPr>
            <w:r w:rsidRPr="00451691">
              <w:rPr>
                <w:b/>
                <w:bCs/>
                <w:color w:val="000000"/>
                <w:sz w:val="20"/>
                <w:szCs w:val="20"/>
              </w:rPr>
              <w:t>Total</w:t>
            </w:r>
          </w:p>
        </w:tc>
        <w:tc>
          <w:tcPr>
            <w:tcW w:w="909"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bottom"/>
            <w:hideMark/>
          </w:tcPr>
          <w:p w14:paraId="2F28E201" w14:textId="77777777" w:rsidR="00C06287" w:rsidRPr="00451691" w:rsidRDefault="00C06287" w:rsidP="00C06287">
            <w:pPr>
              <w:jc w:val="center"/>
              <w:rPr>
                <w:b/>
                <w:bCs/>
                <w:color w:val="000000"/>
                <w:sz w:val="20"/>
                <w:szCs w:val="20"/>
              </w:rPr>
            </w:pPr>
            <w:r w:rsidRPr="00451691">
              <w:rPr>
                <w:b/>
                <w:bCs/>
                <w:color w:val="000000"/>
                <w:sz w:val="20"/>
                <w:szCs w:val="20"/>
              </w:rPr>
              <w:t>Percent EEZ</w:t>
            </w:r>
          </w:p>
        </w:tc>
      </w:tr>
      <w:tr w:rsidR="00C06287" w:rsidRPr="00451691" w14:paraId="7A56BD8A" w14:textId="77777777" w:rsidTr="004623CD">
        <w:trPr>
          <w:trHeight w:val="300"/>
        </w:trPr>
        <w:tc>
          <w:tcPr>
            <w:tcW w:w="927"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F1D6172" w14:textId="77777777" w:rsidR="00C06287" w:rsidRPr="00451691" w:rsidRDefault="00C06287" w:rsidP="00C06287">
            <w:pPr>
              <w:rPr>
                <w:b/>
                <w:bCs/>
                <w:color w:val="000000"/>
                <w:sz w:val="20"/>
                <w:szCs w:val="20"/>
              </w:rPr>
            </w:pPr>
          </w:p>
        </w:tc>
        <w:tc>
          <w:tcPr>
            <w:tcW w:w="798" w:type="dxa"/>
            <w:tcBorders>
              <w:top w:val="nil"/>
              <w:left w:val="nil"/>
              <w:bottom w:val="single" w:sz="4" w:space="0" w:color="auto"/>
              <w:right w:val="single" w:sz="4" w:space="0" w:color="auto"/>
            </w:tcBorders>
            <w:shd w:val="clear" w:color="auto" w:fill="D9D9D9" w:themeFill="background1" w:themeFillShade="D9"/>
            <w:noWrap/>
            <w:vAlign w:val="bottom"/>
            <w:hideMark/>
          </w:tcPr>
          <w:p w14:paraId="15301FAB" w14:textId="77777777" w:rsidR="00C06287" w:rsidRPr="00451691" w:rsidRDefault="00C06287" w:rsidP="00C06287">
            <w:pPr>
              <w:rPr>
                <w:b/>
                <w:bCs/>
                <w:color w:val="000000"/>
                <w:sz w:val="20"/>
                <w:szCs w:val="20"/>
              </w:rPr>
            </w:pPr>
            <w:r w:rsidRPr="00451691">
              <w:rPr>
                <w:b/>
                <w:bCs/>
                <w:color w:val="000000"/>
                <w:sz w:val="20"/>
                <w:szCs w:val="20"/>
              </w:rPr>
              <w:t>Shore</w:t>
            </w:r>
          </w:p>
        </w:tc>
        <w:tc>
          <w:tcPr>
            <w:tcW w:w="1073" w:type="dxa"/>
            <w:tcBorders>
              <w:top w:val="nil"/>
              <w:left w:val="nil"/>
              <w:bottom w:val="single" w:sz="4" w:space="0" w:color="auto"/>
              <w:right w:val="single" w:sz="4" w:space="0" w:color="auto"/>
            </w:tcBorders>
            <w:shd w:val="clear" w:color="auto" w:fill="D9D9D9" w:themeFill="background1" w:themeFillShade="D9"/>
            <w:noWrap/>
            <w:vAlign w:val="bottom"/>
            <w:hideMark/>
          </w:tcPr>
          <w:p w14:paraId="723BA102" w14:textId="77777777" w:rsidR="00C06287" w:rsidRPr="00451691" w:rsidRDefault="00C06287" w:rsidP="00C06287">
            <w:pPr>
              <w:rPr>
                <w:b/>
                <w:bCs/>
                <w:color w:val="000000"/>
                <w:sz w:val="20"/>
                <w:szCs w:val="20"/>
              </w:rPr>
            </w:pPr>
            <w:r w:rsidRPr="00451691">
              <w:rPr>
                <w:b/>
                <w:bCs/>
                <w:color w:val="000000"/>
                <w:sz w:val="20"/>
                <w:szCs w:val="20"/>
              </w:rPr>
              <w:t>For-Hire</w:t>
            </w:r>
          </w:p>
        </w:tc>
        <w:tc>
          <w:tcPr>
            <w:tcW w:w="1461" w:type="dxa"/>
            <w:tcBorders>
              <w:top w:val="nil"/>
              <w:left w:val="nil"/>
              <w:bottom w:val="single" w:sz="4" w:space="0" w:color="auto"/>
              <w:right w:val="single" w:sz="4" w:space="0" w:color="auto"/>
            </w:tcBorders>
            <w:shd w:val="clear" w:color="auto" w:fill="D9D9D9" w:themeFill="background1" w:themeFillShade="D9"/>
            <w:noWrap/>
            <w:vAlign w:val="bottom"/>
            <w:hideMark/>
          </w:tcPr>
          <w:p w14:paraId="749CCB46" w14:textId="77777777" w:rsidR="00C06287" w:rsidRPr="00451691" w:rsidRDefault="00C06287" w:rsidP="00C06287">
            <w:pPr>
              <w:rPr>
                <w:b/>
                <w:bCs/>
                <w:color w:val="000000"/>
                <w:sz w:val="20"/>
                <w:szCs w:val="20"/>
              </w:rPr>
            </w:pPr>
            <w:r w:rsidRPr="00451691">
              <w:rPr>
                <w:b/>
                <w:bCs/>
                <w:color w:val="000000"/>
                <w:sz w:val="20"/>
                <w:szCs w:val="20"/>
              </w:rPr>
              <w:t>Private/Rental</w:t>
            </w:r>
          </w:p>
        </w:tc>
        <w:tc>
          <w:tcPr>
            <w:tcW w:w="716" w:type="dxa"/>
            <w:tcBorders>
              <w:top w:val="nil"/>
              <w:left w:val="nil"/>
              <w:bottom w:val="single" w:sz="4" w:space="0" w:color="auto"/>
              <w:right w:val="single" w:sz="4" w:space="0" w:color="auto"/>
            </w:tcBorders>
            <w:shd w:val="clear" w:color="auto" w:fill="D9D9D9" w:themeFill="background1" w:themeFillShade="D9"/>
            <w:noWrap/>
            <w:vAlign w:val="bottom"/>
            <w:hideMark/>
          </w:tcPr>
          <w:p w14:paraId="3E2F3EE1" w14:textId="77777777" w:rsidR="00C06287" w:rsidRPr="00451691" w:rsidRDefault="00C06287" w:rsidP="00C06287">
            <w:pPr>
              <w:jc w:val="center"/>
              <w:rPr>
                <w:b/>
                <w:bCs/>
                <w:color w:val="000000"/>
                <w:sz w:val="20"/>
                <w:szCs w:val="20"/>
              </w:rPr>
            </w:pPr>
            <w:r w:rsidRPr="00451691">
              <w:rPr>
                <w:b/>
                <w:bCs/>
                <w:color w:val="000000"/>
                <w:sz w:val="20"/>
                <w:szCs w:val="20"/>
              </w:rPr>
              <w:t>Shore</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hideMark/>
          </w:tcPr>
          <w:p w14:paraId="358C20B8" w14:textId="77777777" w:rsidR="00C06287" w:rsidRPr="00451691" w:rsidRDefault="00C06287" w:rsidP="00C06287">
            <w:pPr>
              <w:rPr>
                <w:b/>
                <w:bCs/>
                <w:color w:val="000000"/>
                <w:sz w:val="20"/>
                <w:szCs w:val="20"/>
              </w:rPr>
            </w:pPr>
            <w:r w:rsidRPr="00451691">
              <w:rPr>
                <w:b/>
                <w:bCs/>
                <w:color w:val="000000"/>
                <w:sz w:val="20"/>
                <w:szCs w:val="20"/>
              </w:rPr>
              <w:t>For-Hire</w:t>
            </w:r>
          </w:p>
        </w:tc>
        <w:tc>
          <w:tcPr>
            <w:tcW w:w="1461" w:type="dxa"/>
            <w:tcBorders>
              <w:top w:val="nil"/>
              <w:left w:val="nil"/>
              <w:bottom w:val="single" w:sz="4" w:space="0" w:color="auto"/>
              <w:right w:val="single" w:sz="4" w:space="0" w:color="auto"/>
            </w:tcBorders>
            <w:shd w:val="clear" w:color="auto" w:fill="D9D9D9" w:themeFill="background1" w:themeFillShade="D9"/>
            <w:noWrap/>
            <w:vAlign w:val="bottom"/>
            <w:hideMark/>
          </w:tcPr>
          <w:p w14:paraId="5BD00AA9" w14:textId="77777777" w:rsidR="00C06287" w:rsidRPr="00451691" w:rsidRDefault="00C06287" w:rsidP="00C06287">
            <w:pPr>
              <w:rPr>
                <w:b/>
                <w:bCs/>
                <w:color w:val="000000"/>
                <w:sz w:val="20"/>
                <w:szCs w:val="20"/>
              </w:rPr>
            </w:pPr>
            <w:r w:rsidRPr="00451691">
              <w:rPr>
                <w:b/>
                <w:bCs/>
                <w:color w:val="000000"/>
                <w:sz w:val="20"/>
                <w:szCs w:val="20"/>
              </w:rPr>
              <w:t>Private/Rental</w:t>
            </w:r>
          </w:p>
        </w:tc>
        <w:tc>
          <w:tcPr>
            <w:tcW w:w="86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35CABD" w14:textId="77777777" w:rsidR="00C06287" w:rsidRPr="00451691" w:rsidRDefault="00C06287" w:rsidP="00C06287">
            <w:pPr>
              <w:rPr>
                <w:b/>
                <w:bCs/>
                <w:color w:val="000000"/>
                <w:sz w:val="20"/>
                <w:szCs w:val="20"/>
              </w:rPr>
            </w:pPr>
          </w:p>
        </w:tc>
        <w:tc>
          <w:tcPr>
            <w:tcW w:w="90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5AF8A3A" w14:textId="77777777" w:rsidR="00C06287" w:rsidRPr="00451691" w:rsidRDefault="00C06287" w:rsidP="00C06287">
            <w:pPr>
              <w:rPr>
                <w:b/>
                <w:bCs/>
                <w:color w:val="000000"/>
                <w:sz w:val="20"/>
                <w:szCs w:val="20"/>
              </w:rPr>
            </w:pPr>
          </w:p>
        </w:tc>
      </w:tr>
      <w:tr w:rsidR="00C06287" w:rsidRPr="00451691" w14:paraId="53403DB0" w14:textId="77777777" w:rsidTr="004623CD">
        <w:trPr>
          <w:trHeight w:val="300"/>
        </w:trPr>
        <w:tc>
          <w:tcPr>
            <w:tcW w:w="927" w:type="dxa"/>
            <w:tcBorders>
              <w:top w:val="nil"/>
              <w:left w:val="single" w:sz="4" w:space="0" w:color="auto"/>
              <w:bottom w:val="single" w:sz="4" w:space="0" w:color="auto"/>
              <w:right w:val="single" w:sz="4" w:space="0" w:color="auto"/>
            </w:tcBorders>
            <w:shd w:val="clear" w:color="000000" w:fill="auto"/>
            <w:noWrap/>
            <w:vAlign w:val="bottom"/>
            <w:hideMark/>
          </w:tcPr>
          <w:p w14:paraId="6CB25B9B" w14:textId="77777777" w:rsidR="00C06287" w:rsidRPr="004623CD" w:rsidRDefault="00C06287" w:rsidP="00C06287">
            <w:pPr>
              <w:jc w:val="center"/>
              <w:rPr>
                <w:bCs/>
                <w:color w:val="000000"/>
                <w:sz w:val="20"/>
                <w:szCs w:val="20"/>
              </w:rPr>
            </w:pPr>
            <w:r w:rsidRPr="004623CD">
              <w:rPr>
                <w:bCs/>
                <w:color w:val="000000"/>
                <w:sz w:val="20"/>
                <w:szCs w:val="20"/>
              </w:rPr>
              <w:t>2010</w:t>
            </w:r>
          </w:p>
        </w:tc>
        <w:tc>
          <w:tcPr>
            <w:tcW w:w="798" w:type="dxa"/>
            <w:tcBorders>
              <w:top w:val="nil"/>
              <w:left w:val="nil"/>
              <w:bottom w:val="single" w:sz="4" w:space="0" w:color="auto"/>
              <w:right w:val="single" w:sz="4" w:space="0" w:color="auto"/>
            </w:tcBorders>
            <w:shd w:val="clear" w:color="auto" w:fill="auto"/>
            <w:noWrap/>
            <w:vAlign w:val="bottom"/>
            <w:hideMark/>
          </w:tcPr>
          <w:p w14:paraId="1171288C" w14:textId="77777777" w:rsidR="00C06287" w:rsidRPr="00451691" w:rsidRDefault="00C06287" w:rsidP="00C06287">
            <w:pPr>
              <w:jc w:val="center"/>
              <w:rPr>
                <w:color w:val="000000"/>
                <w:sz w:val="20"/>
                <w:szCs w:val="20"/>
              </w:rPr>
            </w:pPr>
            <w:r w:rsidRPr="00451691">
              <w:rPr>
                <w:color w:val="000000"/>
                <w:sz w:val="20"/>
                <w:szCs w:val="20"/>
              </w:rPr>
              <w:t>13,589</w:t>
            </w:r>
          </w:p>
        </w:tc>
        <w:tc>
          <w:tcPr>
            <w:tcW w:w="1073" w:type="dxa"/>
            <w:tcBorders>
              <w:top w:val="nil"/>
              <w:left w:val="nil"/>
              <w:bottom w:val="single" w:sz="4" w:space="0" w:color="auto"/>
              <w:right w:val="single" w:sz="4" w:space="0" w:color="auto"/>
            </w:tcBorders>
            <w:shd w:val="clear" w:color="auto" w:fill="auto"/>
            <w:noWrap/>
            <w:vAlign w:val="bottom"/>
            <w:hideMark/>
          </w:tcPr>
          <w:p w14:paraId="3D2D313E" w14:textId="77777777" w:rsidR="00C06287" w:rsidRPr="00451691" w:rsidRDefault="00C06287" w:rsidP="00C06287">
            <w:pPr>
              <w:jc w:val="center"/>
              <w:rPr>
                <w:color w:val="000000"/>
                <w:sz w:val="20"/>
                <w:szCs w:val="20"/>
              </w:rPr>
            </w:pPr>
            <w:r w:rsidRPr="00451691">
              <w:rPr>
                <w:color w:val="000000"/>
                <w:sz w:val="20"/>
                <w:szCs w:val="20"/>
              </w:rPr>
              <w:t>12,244</w:t>
            </w:r>
          </w:p>
        </w:tc>
        <w:tc>
          <w:tcPr>
            <w:tcW w:w="1461" w:type="dxa"/>
            <w:tcBorders>
              <w:top w:val="nil"/>
              <w:left w:val="nil"/>
              <w:bottom w:val="single" w:sz="4" w:space="0" w:color="auto"/>
              <w:right w:val="single" w:sz="4" w:space="0" w:color="auto"/>
            </w:tcBorders>
            <w:shd w:val="clear" w:color="auto" w:fill="auto"/>
            <w:noWrap/>
            <w:vAlign w:val="bottom"/>
            <w:hideMark/>
          </w:tcPr>
          <w:p w14:paraId="09C6DBB6" w14:textId="77777777" w:rsidR="00C06287" w:rsidRPr="00451691" w:rsidRDefault="00C06287" w:rsidP="00C06287">
            <w:pPr>
              <w:jc w:val="center"/>
              <w:rPr>
                <w:color w:val="000000"/>
                <w:sz w:val="20"/>
                <w:szCs w:val="20"/>
              </w:rPr>
            </w:pPr>
            <w:r w:rsidRPr="00451691">
              <w:rPr>
                <w:color w:val="000000"/>
                <w:sz w:val="20"/>
                <w:szCs w:val="20"/>
              </w:rPr>
              <w:t>94,820</w:t>
            </w:r>
          </w:p>
        </w:tc>
        <w:tc>
          <w:tcPr>
            <w:tcW w:w="716" w:type="dxa"/>
            <w:tcBorders>
              <w:top w:val="nil"/>
              <w:left w:val="nil"/>
              <w:bottom w:val="single" w:sz="4" w:space="0" w:color="auto"/>
              <w:right w:val="single" w:sz="4" w:space="0" w:color="auto"/>
            </w:tcBorders>
            <w:shd w:val="clear" w:color="auto" w:fill="auto"/>
            <w:noWrap/>
            <w:vAlign w:val="bottom"/>
            <w:hideMark/>
          </w:tcPr>
          <w:p w14:paraId="2CE793D5" w14:textId="77777777" w:rsidR="00C06287" w:rsidRPr="00451691" w:rsidRDefault="00C06287" w:rsidP="00C06287">
            <w:pPr>
              <w:jc w:val="center"/>
              <w:rPr>
                <w:color w:val="000000"/>
                <w:sz w:val="20"/>
                <w:szCs w:val="20"/>
              </w:rPr>
            </w:pPr>
            <w:r w:rsidRPr="00451691">
              <w:rPr>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hideMark/>
          </w:tcPr>
          <w:p w14:paraId="4B1F2D7E" w14:textId="77777777" w:rsidR="00C06287" w:rsidRPr="00451691" w:rsidRDefault="00C06287" w:rsidP="00C06287">
            <w:pPr>
              <w:jc w:val="center"/>
              <w:rPr>
                <w:color w:val="000000"/>
                <w:sz w:val="20"/>
                <w:szCs w:val="20"/>
              </w:rPr>
            </w:pPr>
            <w:r w:rsidRPr="00451691">
              <w:rPr>
                <w:color w:val="000000"/>
                <w:sz w:val="20"/>
                <w:szCs w:val="20"/>
              </w:rPr>
              <w:t>7,901</w:t>
            </w:r>
          </w:p>
        </w:tc>
        <w:tc>
          <w:tcPr>
            <w:tcW w:w="1461" w:type="dxa"/>
            <w:tcBorders>
              <w:top w:val="nil"/>
              <w:left w:val="nil"/>
              <w:bottom w:val="single" w:sz="4" w:space="0" w:color="auto"/>
              <w:right w:val="single" w:sz="4" w:space="0" w:color="auto"/>
            </w:tcBorders>
            <w:shd w:val="clear" w:color="auto" w:fill="auto"/>
            <w:noWrap/>
            <w:vAlign w:val="bottom"/>
            <w:hideMark/>
          </w:tcPr>
          <w:p w14:paraId="06210FD2" w14:textId="77777777" w:rsidR="00C06287" w:rsidRPr="00451691" w:rsidRDefault="00C06287" w:rsidP="00C06287">
            <w:pPr>
              <w:jc w:val="center"/>
              <w:rPr>
                <w:color w:val="000000"/>
                <w:sz w:val="20"/>
                <w:szCs w:val="20"/>
              </w:rPr>
            </w:pPr>
            <w:r w:rsidRPr="00451691">
              <w:rPr>
                <w:color w:val="000000"/>
                <w:sz w:val="20"/>
                <w:szCs w:val="20"/>
              </w:rPr>
              <w:t>14,384</w:t>
            </w:r>
          </w:p>
        </w:tc>
        <w:tc>
          <w:tcPr>
            <w:tcW w:w="866" w:type="dxa"/>
            <w:tcBorders>
              <w:top w:val="nil"/>
              <w:left w:val="nil"/>
              <w:bottom w:val="single" w:sz="4" w:space="0" w:color="auto"/>
              <w:right w:val="single" w:sz="4" w:space="0" w:color="auto"/>
            </w:tcBorders>
            <w:shd w:val="clear" w:color="auto" w:fill="auto"/>
            <w:noWrap/>
            <w:vAlign w:val="bottom"/>
            <w:hideMark/>
          </w:tcPr>
          <w:p w14:paraId="3D68A4FC" w14:textId="77777777" w:rsidR="00C06287" w:rsidRPr="00451691" w:rsidRDefault="00C06287" w:rsidP="00C06287">
            <w:pPr>
              <w:jc w:val="center"/>
              <w:rPr>
                <w:color w:val="000000"/>
                <w:sz w:val="20"/>
                <w:szCs w:val="20"/>
              </w:rPr>
            </w:pPr>
            <w:r w:rsidRPr="00451691">
              <w:rPr>
                <w:color w:val="000000"/>
                <w:sz w:val="20"/>
                <w:szCs w:val="20"/>
              </w:rPr>
              <w:t>142,938</w:t>
            </w:r>
          </w:p>
        </w:tc>
        <w:tc>
          <w:tcPr>
            <w:tcW w:w="909" w:type="dxa"/>
            <w:tcBorders>
              <w:top w:val="nil"/>
              <w:left w:val="nil"/>
              <w:bottom w:val="single" w:sz="4" w:space="0" w:color="auto"/>
              <w:right w:val="single" w:sz="4" w:space="0" w:color="auto"/>
            </w:tcBorders>
            <w:shd w:val="clear" w:color="auto" w:fill="auto"/>
            <w:noWrap/>
            <w:vAlign w:val="bottom"/>
            <w:hideMark/>
          </w:tcPr>
          <w:p w14:paraId="728E2C23" w14:textId="77777777" w:rsidR="00C06287" w:rsidRPr="00451691" w:rsidRDefault="00C06287" w:rsidP="00C06287">
            <w:pPr>
              <w:jc w:val="center"/>
              <w:rPr>
                <w:color w:val="000000"/>
                <w:sz w:val="20"/>
                <w:szCs w:val="20"/>
              </w:rPr>
            </w:pPr>
            <w:r w:rsidRPr="00451691">
              <w:rPr>
                <w:color w:val="000000"/>
                <w:sz w:val="20"/>
                <w:szCs w:val="20"/>
              </w:rPr>
              <w:t>15.6%</w:t>
            </w:r>
          </w:p>
        </w:tc>
      </w:tr>
      <w:tr w:rsidR="00C06287" w:rsidRPr="00451691" w14:paraId="1CDC6387" w14:textId="77777777" w:rsidTr="004623CD">
        <w:trPr>
          <w:trHeight w:val="300"/>
        </w:trPr>
        <w:tc>
          <w:tcPr>
            <w:tcW w:w="927" w:type="dxa"/>
            <w:tcBorders>
              <w:top w:val="nil"/>
              <w:left w:val="single" w:sz="4" w:space="0" w:color="auto"/>
              <w:bottom w:val="single" w:sz="4" w:space="0" w:color="auto"/>
              <w:right w:val="single" w:sz="4" w:space="0" w:color="auto"/>
            </w:tcBorders>
            <w:shd w:val="clear" w:color="000000" w:fill="auto"/>
            <w:noWrap/>
            <w:vAlign w:val="bottom"/>
            <w:hideMark/>
          </w:tcPr>
          <w:p w14:paraId="628B7642" w14:textId="77777777" w:rsidR="00C06287" w:rsidRPr="004623CD" w:rsidRDefault="00C06287" w:rsidP="00C06287">
            <w:pPr>
              <w:jc w:val="center"/>
              <w:rPr>
                <w:bCs/>
                <w:color w:val="000000"/>
                <w:sz w:val="20"/>
                <w:szCs w:val="20"/>
              </w:rPr>
            </w:pPr>
            <w:r w:rsidRPr="004623CD">
              <w:rPr>
                <w:bCs/>
                <w:color w:val="000000"/>
                <w:sz w:val="20"/>
                <w:szCs w:val="20"/>
              </w:rPr>
              <w:t>2011</w:t>
            </w:r>
          </w:p>
        </w:tc>
        <w:tc>
          <w:tcPr>
            <w:tcW w:w="798" w:type="dxa"/>
            <w:tcBorders>
              <w:top w:val="nil"/>
              <w:left w:val="nil"/>
              <w:bottom w:val="single" w:sz="4" w:space="0" w:color="auto"/>
              <w:right w:val="single" w:sz="4" w:space="0" w:color="auto"/>
            </w:tcBorders>
            <w:shd w:val="clear" w:color="auto" w:fill="auto"/>
            <w:noWrap/>
            <w:vAlign w:val="bottom"/>
            <w:hideMark/>
          </w:tcPr>
          <w:p w14:paraId="1B449C58" w14:textId="77777777" w:rsidR="00C06287" w:rsidRPr="00451691" w:rsidRDefault="00C06287" w:rsidP="00C06287">
            <w:pPr>
              <w:jc w:val="center"/>
              <w:rPr>
                <w:color w:val="000000"/>
                <w:sz w:val="20"/>
                <w:szCs w:val="20"/>
              </w:rPr>
            </w:pPr>
            <w:r w:rsidRPr="00451691">
              <w:rPr>
                <w:color w:val="000000"/>
                <w:sz w:val="20"/>
                <w:szCs w:val="20"/>
              </w:rPr>
              <w:t>4,502</w:t>
            </w:r>
          </w:p>
        </w:tc>
        <w:tc>
          <w:tcPr>
            <w:tcW w:w="1073" w:type="dxa"/>
            <w:tcBorders>
              <w:top w:val="nil"/>
              <w:left w:val="nil"/>
              <w:bottom w:val="single" w:sz="4" w:space="0" w:color="auto"/>
              <w:right w:val="single" w:sz="4" w:space="0" w:color="auto"/>
            </w:tcBorders>
            <w:shd w:val="clear" w:color="auto" w:fill="auto"/>
            <w:noWrap/>
            <w:vAlign w:val="bottom"/>
            <w:hideMark/>
          </w:tcPr>
          <w:p w14:paraId="322E91B2" w14:textId="77777777" w:rsidR="00C06287" w:rsidRPr="00451691" w:rsidRDefault="00C06287" w:rsidP="00C06287">
            <w:pPr>
              <w:jc w:val="center"/>
              <w:rPr>
                <w:color w:val="000000"/>
                <w:sz w:val="20"/>
                <w:szCs w:val="20"/>
              </w:rPr>
            </w:pPr>
            <w:r w:rsidRPr="00451691">
              <w:rPr>
                <w:color w:val="000000"/>
                <w:sz w:val="20"/>
                <w:szCs w:val="20"/>
              </w:rPr>
              <w:t>9,857</w:t>
            </w:r>
          </w:p>
        </w:tc>
        <w:tc>
          <w:tcPr>
            <w:tcW w:w="1461" w:type="dxa"/>
            <w:tcBorders>
              <w:top w:val="nil"/>
              <w:left w:val="nil"/>
              <w:bottom w:val="single" w:sz="4" w:space="0" w:color="auto"/>
              <w:right w:val="single" w:sz="4" w:space="0" w:color="auto"/>
            </w:tcBorders>
            <w:shd w:val="clear" w:color="auto" w:fill="auto"/>
            <w:noWrap/>
            <w:vAlign w:val="bottom"/>
            <w:hideMark/>
          </w:tcPr>
          <w:p w14:paraId="3F981635" w14:textId="77777777" w:rsidR="00C06287" w:rsidRPr="00451691" w:rsidRDefault="00C06287" w:rsidP="00C06287">
            <w:pPr>
              <w:jc w:val="center"/>
              <w:rPr>
                <w:color w:val="000000"/>
                <w:sz w:val="20"/>
                <w:szCs w:val="20"/>
              </w:rPr>
            </w:pPr>
            <w:r w:rsidRPr="00451691">
              <w:rPr>
                <w:color w:val="000000"/>
                <w:sz w:val="20"/>
                <w:szCs w:val="20"/>
              </w:rPr>
              <w:t>33,005</w:t>
            </w:r>
          </w:p>
        </w:tc>
        <w:tc>
          <w:tcPr>
            <w:tcW w:w="716" w:type="dxa"/>
            <w:tcBorders>
              <w:top w:val="nil"/>
              <w:left w:val="nil"/>
              <w:bottom w:val="single" w:sz="4" w:space="0" w:color="auto"/>
              <w:right w:val="single" w:sz="4" w:space="0" w:color="auto"/>
            </w:tcBorders>
            <w:shd w:val="clear" w:color="auto" w:fill="auto"/>
            <w:noWrap/>
            <w:vAlign w:val="bottom"/>
            <w:hideMark/>
          </w:tcPr>
          <w:p w14:paraId="4898C01A" w14:textId="77777777" w:rsidR="00C06287" w:rsidRPr="00451691" w:rsidRDefault="00C06287" w:rsidP="00C06287">
            <w:pPr>
              <w:jc w:val="center"/>
              <w:rPr>
                <w:color w:val="000000"/>
                <w:sz w:val="20"/>
                <w:szCs w:val="20"/>
              </w:rPr>
            </w:pPr>
            <w:r w:rsidRPr="00451691">
              <w:rPr>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hideMark/>
          </w:tcPr>
          <w:p w14:paraId="270E7EE9" w14:textId="77777777" w:rsidR="00C06287" w:rsidRPr="00451691" w:rsidRDefault="00C06287" w:rsidP="00C06287">
            <w:pPr>
              <w:jc w:val="center"/>
              <w:rPr>
                <w:color w:val="000000"/>
                <w:sz w:val="20"/>
                <w:szCs w:val="20"/>
              </w:rPr>
            </w:pPr>
            <w:r w:rsidRPr="00451691">
              <w:rPr>
                <w:color w:val="000000"/>
                <w:sz w:val="20"/>
                <w:szCs w:val="20"/>
              </w:rPr>
              <w:t>1,983</w:t>
            </w:r>
          </w:p>
        </w:tc>
        <w:tc>
          <w:tcPr>
            <w:tcW w:w="1461" w:type="dxa"/>
            <w:tcBorders>
              <w:top w:val="nil"/>
              <w:left w:val="nil"/>
              <w:bottom w:val="single" w:sz="4" w:space="0" w:color="auto"/>
              <w:right w:val="single" w:sz="4" w:space="0" w:color="auto"/>
            </w:tcBorders>
            <w:shd w:val="clear" w:color="auto" w:fill="auto"/>
            <w:noWrap/>
            <w:vAlign w:val="bottom"/>
            <w:hideMark/>
          </w:tcPr>
          <w:p w14:paraId="722785D6" w14:textId="77777777" w:rsidR="00C06287" w:rsidRPr="00451691" w:rsidRDefault="00C06287" w:rsidP="00C06287">
            <w:pPr>
              <w:jc w:val="center"/>
              <w:rPr>
                <w:color w:val="000000"/>
                <w:sz w:val="20"/>
                <w:szCs w:val="20"/>
              </w:rPr>
            </w:pPr>
            <w:r w:rsidRPr="00451691">
              <w:rPr>
                <w:color w:val="000000"/>
                <w:sz w:val="20"/>
                <w:szCs w:val="20"/>
              </w:rPr>
              <w:t>4,585</w:t>
            </w:r>
          </w:p>
        </w:tc>
        <w:tc>
          <w:tcPr>
            <w:tcW w:w="866" w:type="dxa"/>
            <w:tcBorders>
              <w:top w:val="nil"/>
              <w:left w:val="nil"/>
              <w:bottom w:val="single" w:sz="4" w:space="0" w:color="auto"/>
              <w:right w:val="single" w:sz="4" w:space="0" w:color="auto"/>
            </w:tcBorders>
            <w:shd w:val="clear" w:color="auto" w:fill="auto"/>
            <w:noWrap/>
            <w:vAlign w:val="bottom"/>
            <w:hideMark/>
          </w:tcPr>
          <w:p w14:paraId="714650BC" w14:textId="77777777" w:rsidR="00C06287" w:rsidRPr="00451691" w:rsidRDefault="00C06287" w:rsidP="00C06287">
            <w:pPr>
              <w:jc w:val="center"/>
              <w:rPr>
                <w:color w:val="000000"/>
                <w:sz w:val="20"/>
                <w:szCs w:val="20"/>
              </w:rPr>
            </w:pPr>
            <w:r w:rsidRPr="00451691">
              <w:rPr>
                <w:color w:val="000000"/>
                <w:sz w:val="20"/>
                <w:szCs w:val="20"/>
              </w:rPr>
              <w:t>53,932</w:t>
            </w:r>
          </w:p>
        </w:tc>
        <w:tc>
          <w:tcPr>
            <w:tcW w:w="909" w:type="dxa"/>
            <w:tcBorders>
              <w:top w:val="nil"/>
              <w:left w:val="nil"/>
              <w:bottom w:val="single" w:sz="4" w:space="0" w:color="auto"/>
              <w:right w:val="single" w:sz="4" w:space="0" w:color="auto"/>
            </w:tcBorders>
            <w:shd w:val="clear" w:color="auto" w:fill="auto"/>
            <w:noWrap/>
            <w:vAlign w:val="bottom"/>
            <w:hideMark/>
          </w:tcPr>
          <w:p w14:paraId="31942F03" w14:textId="77777777" w:rsidR="00C06287" w:rsidRPr="00451691" w:rsidRDefault="00C06287" w:rsidP="00C06287">
            <w:pPr>
              <w:jc w:val="center"/>
              <w:rPr>
                <w:color w:val="000000"/>
                <w:sz w:val="20"/>
                <w:szCs w:val="20"/>
              </w:rPr>
            </w:pPr>
            <w:r w:rsidRPr="00451691">
              <w:rPr>
                <w:color w:val="000000"/>
                <w:sz w:val="20"/>
                <w:szCs w:val="20"/>
              </w:rPr>
              <w:t>12.2%</w:t>
            </w:r>
          </w:p>
        </w:tc>
      </w:tr>
      <w:tr w:rsidR="00C06287" w:rsidRPr="00451691" w14:paraId="53063DBF" w14:textId="77777777" w:rsidTr="004623CD">
        <w:trPr>
          <w:trHeight w:val="300"/>
        </w:trPr>
        <w:tc>
          <w:tcPr>
            <w:tcW w:w="927" w:type="dxa"/>
            <w:tcBorders>
              <w:top w:val="nil"/>
              <w:left w:val="single" w:sz="4" w:space="0" w:color="auto"/>
              <w:bottom w:val="single" w:sz="4" w:space="0" w:color="auto"/>
              <w:right w:val="single" w:sz="4" w:space="0" w:color="auto"/>
            </w:tcBorders>
            <w:shd w:val="clear" w:color="000000" w:fill="auto"/>
            <w:noWrap/>
            <w:vAlign w:val="bottom"/>
            <w:hideMark/>
          </w:tcPr>
          <w:p w14:paraId="4DE2F8ED" w14:textId="77777777" w:rsidR="00C06287" w:rsidRPr="004623CD" w:rsidRDefault="00C06287" w:rsidP="00C06287">
            <w:pPr>
              <w:jc w:val="center"/>
              <w:rPr>
                <w:bCs/>
                <w:color w:val="000000"/>
                <w:sz w:val="20"/>
                <w:szCs w:val="20"/>
              </w:rPr>
            </w:pPr>
            <w:r w:rsidRPr="004623CD">
              <w:rPr>
                <w:bCs/>
                <w:color w:val="000000"/>
                <w:sz w:val="20"/>
                <w:szCs w:val="20"/>
              </w:rPr>
              <w:t>2012</w:t>
            </w:r>
          </w:p>
        </w:tc>
        <w:tc>
          <w:tcPr>
            <w:tcW w:w="798" w:type="dxa"/>
            <w:tcBorders>
              <w:top w:val="nil"/>
              <w:left w:val="nil"/>
              <w:bottom w:val="single" w:sz="4" w:space="0" w:color="auto"/>
              <w:right w:val="single" w:sz="4" w:space="0" w:color="auto"/>
            </w:tcBorders>
            <w:shd w:val="clear" w:color="auto" w:fill="auto"/>
            <w:noWrap/>
            <w:vAlign w:val="bottom"/>
            <w:hideMark/>
          </w:tcPr>
          <w:p w14:paraId="17746F7F" w14:textId="77777777" w:rsidR="00C06287" w:rsidRPr="00451691" w:rsidRDefault="00C06287" w:rsidP="00C06287">
            <w:pPr>
              <w:jc w:val="center"/>
              <w:rPr>
                <w:color w:val="000000"/>
                <w:sz w:val="20"/>
                <w:szCs w:val="20"/>
              </w:rPr>
            </w:pPr>
            <w:r w:rsidRPr="00451691">
              <w:rPr>
                <w:color w:val="000000"/>
                <w:sz w:val="20"/>
                <w:szCs w:val="20"/>
              </w:rPr>
              <w:t>30,395</w:t>
            </w:r>
          </w:p>
        </w:tc>
        <w:tc>
          <w:tcPr>
            <w:tcW w:w="1073" w:type="dxa"/>
            <w:tcBorders>
              <w:top w:val="nil"/>
              <w:left w:val="nil"/>
              <w:bottom w:val="single" w:sz="4" w:space="0" w:color="auto"/>
              <w:right w:val="single" w:sz="4" w:space="0" w:color="auto"/>
            </w:tcBorders>
            <w:shd w:val="clear" w:color="auto" w:fill="auto"/>
            <w:noWrap/>
            <w:vAlign w:val="bottom"/>
            <w:hideMark/>
          </w:tcPr>
          <w:p w14:paraId="68E614FB" w14:textId="77777777" w:rsidR="00C06287" w:rsidRPr="00451691" w:rsidRDefault="00C06287" w:rsidP="00C06287">
            <w:pPr>
              <w:jc w:val="center"/>
              <w:rPr>
                <w:color w:val="000000"/>
                <w:sz w:val="20"/>
                <w:szCs w:val="20"/>
              </w:rPr>
            </w:pPr>
            <w:r w:rsidRPr="00451691">
              <w:rPr>
                <w:color w:val="000000"/>
                <w:sz w:val="20"/>
                <w:szCs w:val="20"/>
              </w:rPr>
              <w:t>4,540</w:t>
            </w:r>
          </w:p>
        </w:tc>
        <w:tc>
          <w:tcPr>
            <w:tcW w:w="1461" w:type="dxa"/>
            <w:tcBorders>
              <w:top w:val="nil"/>
              <w:left w:val="nil"/>
              <w:bottom w:val="single" w:sz="4" w:space="0" w:color="auto"/>
              <w:right w:val="single" w:sz="4" w:space="0" w:color="auto"/>
            </w:tcBorders>
            <w:shd w:val="clear" w:color="auto" w:fill="auto"/>
            <w:noWrap/>
            <w:vAlign w:val="bottom"/>
            <w:hideMark/>
          </w:tcPr>
          <w:p w14:paraId="5DBFC3B6" w14:textId="77777777" w:rsidR="00C06287" w:rsidRPr="00451691" w:rsidRDefault="00C06287" w:rsidP="00C06287">
            <w:pPr>
              <w:jc w:val="center"/>
              <w:rPr>
                <w:color w:val="000000"/>
                <w:sz w:val="20"/>
                <w:szCs w:val="20"/>
              </w:rPr>
            </w:pPr>
            <w:r w:rsidRPr="00451691">
              <w:rPr>
                <w:color w:val="000000"/>
                <w:sz w:val="20"/>
                <w:szCs w:val="20"/>
              </w:rPr>
              <w:t>52,289</w:t>
            </w:r>
          </w:p>
        </w:tc>
        <w:tc>
          <w:tcPr>
            <w:tcW w:w="716" w:type="dxa"/>
            <w:tcBorders>
              <w:top w:val="nil"/>
              <w:left w:val="nil"/>
              <w:bottom w:val="single" w:sz="4" w:space="0" w:color="auto"/>
              <w:right w:val="single" w:sz="4" w:space="0" w:color="auto"/>
            </w:tcBorders>
            <w:shd w:val="clear" w:color="auto" w:fill="auto"/>
            <w:noWrap/>
            <w:vAlign w:val="bottom"/>
            <w:hideMark/>
          </w:tcPr>
          <w:p w14:paraId="20C417DA" w14:textId="77777777" w:rsidR="00C06287" w:rsidRPr="00451691" w:rsidRDefault="00C06287" w:rsidP="00C06287">
            <w:pPr>
              <w:jc w:val="center"/>
              <w:rPr>
                <w:color w:val="000000"/>
                <w:sz w:val="20"/>
                <w:szCs w:val="20"/>
              </w:rPr>
            </w:pPr>
            <w:r w:rsidRPr="00451691">
              <w:rPr>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hideMark/>
          </w:tcPr>
          <w:p w14:paraId="1DD3CDE7" w14:textId="77777777" w:rsidR="00C06287" w:rsidRPr="00451691" w:rsidRDefault="00C06287" w:rsidP="00C06287">
            <w:pPr>
              <w:jc w:val="center"/>
              <w:rPr>
                <w:color w:val="000000"/>
                <w:sz w:val="20"/>
                <w:szCs w:val="20"/>
              </w:rPr>
            </w:pPr>
            <w:r w:rsidRPr="00451691">
              <w:rPr>
                <w:color w:val="000000"/>
                <w:sz w:val="20"/>
                <w:szCs w:val="20"/>
              </w:rPr>
              <w:t>2,494</w:t>
            </w:r>
          </w:p>
        </w:tc>
        <w:tc>
          <w:tcPr>
            <w:tcW w:w="1461" w:type="dxa"/>
            <w:tcBorders>
              <w:top w:val="nil"/>
              <w:left w:val="nil"/>
              <w:bottom w:val="single" w:sz="4" w:space="0" w:color="auto"/>
              <w:right w:val="single" w:sz="4" w:space="0" w:color="auto"/>
            </w:tcBorders>
            <w:shd w:val="clear" w:color="auto" w:fill="auto"/>
            <w:noWrap/>
            <w:vAlign w:val="bottom"/>
            <w:hideMark/>
          </w:tcPr>
          <w:p w14:paraId="618EEA3D" w14:textId="77777777" w:rsidR="00C06287" w:rsidRPr="00451691" w:rsidRDefault="00C06287" w:rsidP="00C06287">
            <w:pPr>
              <w:jc w:val="center"/>
              <w:rPr>
                <w:color w:val="000000"/>
                <w:sz w:val="20"/>
                <w:szCs w:val="20"/>
              </w:rPr>
            </w:pPr>
            <w:r w:rsidRPr="00451691">
              <w:rPr>
                <w:color w:val="000000"/>
                <w:sz w:val="20"/>
                <w:szCs w:val="20"/>
              </w:rPr>
              <w:t>12,661</w:t>
            </w:r>
          </w:p>
        </w:tc>
        <w:tc>
          <w:tcPr>
            <w:tcW w:w="866" w:type="dxa"/>
            <w:tcBorders>
              <w:top w:val="nil"/>
              <w:left w:val="nil"/>
              <w:bottom w:val="single" w:sz="4" w:space="0" w:color="auto"/>
              <w:right w:val="single" w:sz="4" w:space="0" w:color="auto"/>
            </w:tcBorders>
            <w:shd w:val="clear" w:color="auto" w:fill="auto"/>
            <w:noWrap/>
            <w:vAlign w:val="bottom"/>
            <w:hideMark/>
          </w:tcPr>
          <w:p w14:paraId="42BCFF66" w14:textId="77777777" w:rsidR="00C06287" w:rsidRPr="00451691" w:rsidRDefault="00C06287" w:rsidP="00C06287">
            <w:pPr>
              <w:jc w:val="center"/>
              <w:rPr>
                <w:color w:val="000000"/>
                <w:sz w:val="20"/>
                <w:szCs w:val="20"/>
              </w:rPr>
            </w:pPr>
            <w:r w:rsidRPr="00451691">
              <w:rPr>
                <w:color w:val="000000"/>
                <w:sz w:val="20"/>
                <w:szCs w:val="20"/>
              </w:rPr>
              <w:t>102,379</w:t>
            </w:r>
          </w:p>
        </w:tc>
        <w:tc>
          <w:tcPr>
            <w:tcW w:w="909" w:type="dxa"/>
            <w:tcBorders>
              <w:top w:val="nil"/>
              <w:left w:val="nil"/>
              <w:bottom w:val="single" w:sz="4" w:space="0" w:color="auto"/>
              <w:right w:val="single" w:sz="4" w:space="0" w:color="auto"/>
            </w:tcBorders>
            <w:shd w:val="clear" w:color="auto" w:fill="auto"/>
            <w:noWrap/>
            <w:vAlign w:val="bottom"/>
            <w:hideMark/>
          </w:tcPr>
          <w:p w14:paraId="679ED2B4" w14:textId="77777777" w:rsidR="00C06287" w:rsidRPr="00451691" w:rsidRDefault="00C06287" w:rsidP="00C06287">
            <w:pPr>
              <w:jc w:val="center"/>
              <w:rPr>
                <w:color w:val="000000"/>
                <w:sz w:val="20"/>
                <w:szCs w:val="20"/>
              </w:rPr>
            </w:pPr>
            <w:r w:rsidRPr="00451691">
              <w:rPr>
                <w:color w:val="000000"/>
                <w:sz w:val="20"/>
                <w:szCs w:val="20"/>
              </w:rPr>
              <w:t>14.8%</w:t>
            </w:r>
          </w:p>
        </w:tc>
      </w:tr>
      <w:tr w:rsidR="00C06287" w:rsidRPr="00451691" w14:paraId="2B22AE29" w14:textId="77777777" w:rsidTr="004623CD">
        <w:trPr>
          <w:trHeight w:val="300"/>
        </w:trPr>
        <w:tc>
          <w:tcPr>
            <w:tcW w:w="927" w:type="dxa"/>
            <w:tcBorders>
              <w:top w:val="nil"/>
              <w:left w:val="single" w:sz="4" w:space="0" w:color="auto"/>
              <w:bottom w:val="single" w:sz="4" w:space="0" w:color="auto"/>
              <w:right w:val="single" w:sz="4" w:space="0" w:color="auto"/>
            </w:tcBorders>
            <w:shd w:val="clear" w:color="000000" w:fill="auto"/>
            <w:noWrap/>
            <w:vAlign w:val="bottom"/>
            <w:hideMark/>
          </w:tcPr>
          <w:p w14:paraId="317BB9FB" w14:textId="77777777" w:rsidR="00C06287" w:rsidRPr="004623CD" w:rsidRDefault="00C06287" w:rsidP="00C06287">
            <w:pPr>
              <w:jc w:val="center"/>
              <w:rPr>
                <w:bCs/>
                <w:color w:val="000000"/>
                <w:sz w:val="20"/>
                <w:szCs w:val="20"/>
              </w:rPr>
            </w:pPr>
            <w:r w:rsidRPr="004623CD">
              <w:rPr>
                <w:bCs/>
                <w:color w:val="000000"/>
                <w:sz w:val="20"/>
                <w:szCs w:val="20"/>
              </w:rPr>
              <w:t>2013</w:t>
            </w:r>
          </w:p>
        </w:tc>
        <w:tc>
          <w:tcPr>
            <w:tcW w:w="798" w:type="dxa"/>
            <w:tcBorders>
              <w:top w:val="nil"/>
              <w:left w:val="nil"/>
              <w:bottom w:val="single" w:sz="4" w:space="0" w:color="auto"/>
              <w:right w:val="single" w:sz="4" w:space="0" w:color="auto"/>
            </w:tcBorders>
            <w:shd w:val="clear" w:color="auto" w:fill="auto"/>
            <w:noWrap/>
            <w:vAlign w:val="bottom"/>
            <w:hideMark/>
          </w:tcPr>
          <w:p w14:paraId="729A93BE" w14:textId="77777777" w:rsidR="00C06287" w:rsidRPr="00451691" w:rsidRDefault="00C06287" w:rsidP="00C06287">
            <w:pPr>
              <w:jc w:val="center"/>
              <w:rPr>
                <w:color w:val="000000"/>
                <w:sz w:val="20"/>
                <w:szCs w:val="20"/>
              </w:rPr>
            </w:pPr>
            <w:r w:rsidRPr="00451691">
              <w:rPr>
                <w:color w:val="000000"/>
                <w:sz w:val="20"/>
                <w:szCs w:val="20"/>
              </w:rPr>
              <w:t>8,372</w:t>
            </w:r>
          </w:p>
        </w:tc>
        <w:tc>
          <w:tcPr>
            <w:tcW w:w="1073" w:type="dxa"/>
            <w:tcBorders>
              <w:top w:val="nil"/>
              <w:left w:val="nil"/>
              <w:bottom w:val="single" w:sz="4" w:space="0" w:color="auto"/>
              <w:right w:val="single" w:sz="4" w:space="0" w:color="auto"/>
            </w:tcBorders>
            <w:shd w:val="clear" w:color="auto" w:fill="auto"/>
            <w:noWrap/>
            <w:vAlign w:val="bottom"/>
            <w:hideMark/>
          </w:tcPr>
          <w:p w14:paraId="2F22DDC1" w14:textId="77777777" w:rsidR="00C06287" w:rsidRPr="00451691" w:rsidRDefault="00C06287" w:rsidP="00C06287">
            <w:pPr>
              <w:jc w:val="center"/>
              <w:rPr>
                <w:color w:val="000000"/>
                <w:sz w:val="20"/>
                <w:szCs w:val="20"/>
              </w:rPr>
            </w:pPr>
            <w:r w:rsidRPr="00451691">
              <w:rPr>
                <w:color w:val="000000"/>
                <w:sz w:val="20"/>
                <w:szCs w:val="20"/>
              </w:rPr>
              <w:t>16,698</w:t>
            </w:r>
          </w:p>
        </w:tc>
        <w:tc>
          <w:tcPr>
            <w:tcW w:w="1461" w:type="dxa"/>
            <w:tcBorders>
              <w:top w:val="nil"/>
              <w:left w:val="nil"/>
              <w:bottom w:val="single" w:sz="4" w:space="0" w:color="auto"/>
              <w:right w:val="single" w:sz="4" w:space="0" w:color="auto"/>
            </w:tcBorders>
            <w:shd w:val="clear" w:color="auto" w:fill="auto"/>
            <w:noWrap/>
            <w:vAlign w:val="bottom"/>
            <w:hideMark/>
          </w:tcPr>
          <w:p w14:paraId="67A20728" w14:textId="77777777" w:rsidR="00C06287" w:rsidRPr="00451691" w:rsidRDefault="00C06287" w:rsidP="00C06287">
            <w:pPr>
              <w:jc w:val="center"/>
              <w:rPr>
                <w:color w:val="000000"/>
                <w:sz w:val="20"/>
                <w:szCs w:val="20"/>
              </w:rPr>
            </w:pPr>
            <w:r w:rsidRPr="00451691">
              <w:rPr>
                <w:color w:val="000000"/>
                <w:sz w:val="20"/>
                <w:szCs w:val="20"/>
              </w:rPr>
              <w:t>88,084</w:t>
            </w:r>
          </w:p>
        </w:tc>
        <w:tc>
          <w:tcPr>
            <w:tcW w:w="716" w:type="dxa"/>
            <w:tcBorders>
              <w:top w:val="nil"/>
              <w:left w:val="nil"/>
              <w:bottom w:val="single" w:sz="4" w:space="0" w:color="auto"/>
              <w:right w:val="single" w:sz="4" w:space="0" w:color="auto"/>
            </w:tcBorders>
            <w:shd w:val="clear" w:color="auto" w:fill="auto"/>
            <w:noWrap/>
            <w:vAlign w:val="bottom"/>
            <w:hideMark/>
          </w:tcPr>
          <w:p w14:paraId="4DF985C3" w14:textId="77777777" w:rsidR="00C06287" w:rsidRPr="00451691" w:rsidRDefault="00C06287" w:rsidP="00C06287">
            <w:pPr>
              <w:jc w:val="center"/>
              <w:rPr>
                <w:color w:val="000000"/>
                <w:sz w:val="20"/>
                <w:szCs w:val="20"/>
              </w:rPr>
            </w:pPr>
            <w:r w:rsidRPr="00451691">
              <w:rPr>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hideMark/>
          </w:tcPr>
          <w:p w14:paraId="788D69D2" w14:textId="77777777" w:rsidR="00C06287" w:rsidRPr="00451691" w:rsidRDefault="00C06287" w:rsidP="00C06287">
            <w:pPr>
              <w:jc w:val="center"/>
              <w:rPr>
                <w:color w:val="000000"/>
                <w:sz w:val="20"/>
                <w:szCs w:val="20"/>
              </w:rPr>
            </w:pPr>
            <w:r w:rsidRPr="00451691">
              <w:rPr>
                <w:color w:val="000000"/>
                <w:sz w:val="20"/>
                <w:szCs w:val="20"/>
              </w:rPr>
              <w:t>2,372</w:t>
            </w:r>
          </w:p>
        </w:tc>
        <w:tc>
          <w:tcPr>
            <w:tcW w:w="1461" w:type="dxa"/>
            <w:tcBorders>
              <w:top w:val="nil"/>
              <w:left w:val="nil"/>
              <w:bottom w:val="single" w:sz="4" w:space="0" w:color="auto"/>
              <w:right w:val="single" w:sz="4" w:space="0" w:color="auto"/>
            </w:tcBorders>
            <w:shd w:val="clear" w:color="auto" w:fill="auto"/>
            <w:noWrap/>
            <w:vAlign w:val="bottom"/>
            <w:hideMark/>
          </w:tcPr>
          <w:p w14:paraId="64219147" w14:textId="77777777" w:rsidR="00C06287" w:rsidRPr="00451691" w:rsidRDefault="00C06287" w:rsidP="00C06287">
            <w:pPr>
              <w:jc w:val="center"/>
              <w:rPr>
                <w:color w:val="000000"/>
                <w:sz w:val="20"/>
                <w:szCs w:val="20"/>
              </w:rPr>
            </w:pPr>
            <w:r w:rsidRPr="00451691">
              <w:rPr>
                <w:color w:val="000000"/>
                <w:sz w:val="20"/>
                <w:szCs w:val="20"/>
              </w:rPr>
              <w:t>19,823</w:t>
            </w:r>
          </w:p>
        </w:tc>
        <w:tc>
          <w:tcPr>
            <w:tcW w:w="866" w:type="dxa"/>
            <w:tcBorders>
              <w:top w:val="nil"/>
              <w:left w:val="nil"/>
              <w:bottom w:val="single" w:sz="4" w:space="0" w:color="auto"/>
              <w:right w:val="single" w:sz="4" w:space="0" w:color="auto"/>
            </w:tcBorders>
            <w:shd w:val="clear" w:color="auto" w:fill="auto"/>
            <w:noWrap/>
            <w:vAlign w:val="bottom"/>
            <w:hideMark/>
          </w:tcPr>
          <w:p w14:paraId="76CF3186" w14:textId="77777777" w:rsidR="00C06287" w:rsidRPr="00451691" w:rsidRDefault="00C06287" w:rsidP="00C06287">
            <w:pPr>
              <w:jc w:val="center"/>
              <w:rPr>
                <w:color w:val="000000"/>
                <w:sz w:val="20"/>
                <w:szCs w:val="20"/>
              </w:rPr>
            </w:pPr>
            <w:r w:rsidRPr="00451691">
              <w:rPr>
                <w:color w:val="000000"/>
                <w:sz w:val="20"/>
                <w:szCs w:val="20"/>
              </w:rPr>
              <w:t>135,349</w:t>
            </w:r>
          </w:p>
        </w:tc>
        <w:tc>
          <w:tcPr>
            <w:tcW w:w="909" w:type="dxa"/>
            <w:tcBorders>
              <w:top w:val="nil"/>
              <w:left w:val="nil"/>
              <w:bottom w:val="single" w:sz="4" w:space="0" w:color="auto"/>
              <w:right w:val="single" w:sz="4" w:space="0" w:color="auto"/>
            </w:tcBorders>
            <w:shd w:val="clear" w:color="auto" w:fill="auto"/>
            <w:noWrap/>
            <w:vAlign w:val="bottom"/>
            <w:hideMark/>
          </w:tcPr>
          <w:p w14:paraId="05ABCEA1" w14:textId="77777777" w:rsidR="00C06287" w:rsidRPr="00451691" w:rsidRDefault="00C06287" w:rsidP="00C06287">
            <w:pPr>
              <w:jc w:val="center"/>
              <w:rPr>
                <w:color w:val="000000"/>
                <w:sz w:val="20"/>
                <w:szCs w:val="20"/>
              </w:rPr>
            </w:pPr>
            <w:r w:rsidRPr="00451691">
              <w:rPr>
                <w:color w:val="000000"/>
                <w:sz w:val="20"/>
                <w:szCs w:val="20"/>
              </w:rPr>
              <w:t>16.4%</w:t>
            </w:r>
          </w:p>
        </w:tc>
      </w:tr>
      <w:tr w:rsidR="00C06287" w:rsidRPr="00451691" w14:paraId="4F239B7D" w14:textId="77777777" w:rsidTr="004623CD">
        <w:trPr>
          <w:trHeight w:val="300"/>
        </w:trPr>
        <w:tc>
          <w:tcPr>
            <w:tcW w:w="927" w:type="dxa"/>
            <w:tcBorders>
              <w:top w:val="nil"/>
              <w:left w:val="single" w:sz="4" w:space="0" w:color="auto"/>
              <w:bottom w:val="single" w:sz="4" w:space="0" w:color="auto"/>
              <w:right w:val="single" w:sz="4" w:space="0" w:color="auto"/>
            </w:tcBorders>
            <w:shd w:val="clear" w:color="000000" w:fill="auto"/>
            <w:noWrap/>
            <w:vAlign w:val="bottom"/>
            <w:hideMark/>
          </w:tcPr>
          <w:p w14:paraId="6C803328" w14:textId="77777777" w:rsidR="00C06287" w:rsidRPr="004623CD" w:rsidRDefault="00C06287" w:rsidP="00C06287">
            <w:pPr>
              <w:jc w:val="center"/>
              <w:rPr>
                <w:bCs/>
                <w:color w:val="000000"/>
                <w:sz w:val="20"/>
                <w:szCs w:val="20"/>
              </w:rPr>
            </w:pPr>
            <w:r w:rsidRPr="004623CD">
              <w:rPr>
                <w:bCs/>
                <w:color w:val="000000"/>
                <w:sz w:val="20"/>
                <w:szCs w:val="20"/>
              </w:rPr>
              <w:t>2014</w:t>
            </w:r>
          </w:p>
        </w:tc>
        <w:tc>
          <w:tcPr>
            <w:tcW w:w="798" w:type="dxa"/>
            <w:tcBorders>
              <w:top w:val="nil"/>
              <w:left w:val="nil"/>
              <w:bottom w:val="single" w:sz="4" w:space="0" w:color="auto"/>
              <w:right w:val="single" w:sz="4" w:space="0" w:color="auto"/>
            </w:tcBorders>
            <w:shd w:val="clear" w:color="auto" w:fill="auto"/>
            <w:noWrap/>
            <w:vAlign w:val="bottom"/>
            <w:hideMark/>
          </w:tcPr>
          <w:p w14:paraId="0D3784B0" w14:textId="77777777" w:rsidR="00C06287" w:rsidRPr="00451691" w:rsidRDefault="00C06287" w:rsidP="00C06287">
            <w:pPr>
              <w:jc w:val="center"/>
              <w:rPr>
                <w:color w:val="000000"/>
                <w:sz w:val="20"/>
                <w:szCs w:val="20"/>
              </w:rPr>
            </w:pPr>
            <w:r w:rsidRPr="00451691">
              <w:rPr>
                <w:color w:val="000000"/>
                <w:sz w:val="20"/>
                <w:szCs w:val="20"/>
              </w:rPr>
              <w:t>10,720</w:t>
            </w:r>
          </w:p>
        </w:tc>
        <w:tc>
          <w:tcPr>
            <w:tcW w:w="1073" w:type="dxa"/>
            <w:tcBorders>
              <w:top w:val="nil"/>
              <w:left w:val="nil"/>
              <w:bottom w:val="single" w:sz="4" w:space="0" w:color="auto"/>
              <w:right w:val="single" w:sz="4" w:space="0" w:color="auto"/>
            </w:tcBorders>
            <w:shd w:val="clear" w:color="auto" w:fill="auto"/>
            <w:noWrap/>
            <w:vAlign w:val="bottom"/>
            <w:hideMark/>
          </w:tcPr>
          <w:p w14:paraId="25EA10DB" w14:textId="77777777" w:rsidR="00C06287" w:rsidRPr="00451691" w:rsidRDefault="00C06287" w:rsidP="00C06287">
            <w:pPr>
              <w:jc w:val="center"/>
              <w:rPr>
                <w:color w:val="000000"/>
                <w:sz w:val="20"/>
                <w:szCs w:val="20"/>
              </w:rPr>
            </w:pPr>
            <w:r w:rsidRPr="00451691">
              <w:rPr>
                <w:color w:val="000000"/>
                <w:sz w:val="20"/>
                <w:szCs w:val="20"/>
              </w:rPr>
              <w:t>11,643</w:t>
            </w:r>
          </w:p>
        </w:tc>
        <w:tc>
          <w:tcPr>
            <w:tcW w:w="1461" w:type="dxa"/>
            <w:tcBorders>
              <w:top w:val="nil"/>
              <w:left w:val="nil"/>
              <w:bottom w:val="single" w:sz="4" w:space="0" w:color="auto"/>
              <w:right w:val="single" w:sz="4" w:space="0" w:color="auto"/>
            </w:tcBorders>
            <w:shd w:val="clear" w:color="auto" w:fill="auto"/>
            <w:noWrap/>
            <w:vAlign w:val="bottom"/>
            <w:hideMark/>
          </w:tcPr>
          <w:p w14:paraId="1F956EE3" w14:textId="77777777" w:rsidR="00C06287" w:rsidRPr="00451691" w:rsidRDefault="00C06287" w:rsidP="00C06287">
            <w:pPr>
              <w:jc w:val="center"/>
              <w:rPr>
                <w:color w:val="000000"/>
                <w:sz w:val="20"/>
                <w:szCs w:val="20"/>
              </w:rPr>
            </w:pPr>
            <w:r w:rsidRPr="00451691">
              <w:rPr>
                <w:color w:val="000000"/>
                <w:sz w:val="20"/>
                <w:szCs w:val="20"/>
              </w:rPr>
              <w:t>95,386</w:t>
            </w:r>
          </w:p>
        </w:tc>
        <w:tc>
          <w:tcPr>
            <w:tcW w:w="716" w:type="dxa"/>
            <w:tcBorders>
              <w:top w:val="nil"/>
              <w:left w:val="nil"/>
              <w:bottom w:val="single" w:sz="4" w:space="0" w:color="auto"/>
              <w:right w:val="single" w:sz="4" w:space="0" w:color="auto"/>
            </w:tcBorders>
            <w:shd w:val="clear" w:color="auto" w:fill="auto"/>
            <w:noWrap/>
            <w:vAlign w:val="bottom"/>
            <w:hideMark/>
          </w:tcPr>
          <w:p w14:paraId="42CBBF53" w14:textId="77777777" w:rsidR="00C06287" w:rsidRPr="00451691" w:rsidRDefault="00C06287" w:rsidP="00C06287">
            <w:pPr>
              <w:jc w:val="center"/>
              <w:rPr>
                <w:color w:val="000000"/>
                <w:sz w:val="20"/>
                <w:szCs w:val="20"/>
              </w:rPr>
            </w:pPr>
            <w:r w:rsidRPr="00451691">
              <w:rPr>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hideMark/>
          </w:tcPr>
          <w:p w14:paraId="1D77AA39" w14:textId="77777777" w:rsidR="00C06287" w:rsidRPr="00451691" w:rsidRDefault="00C06287" w:rsidP="00C06287">
            <w:pPr>
              <w:jc w:val="center"/>
              <w:rPr>
                <w:color w:val="000000"/>
                <w:sz w:val="20"/>
                <w:szCs w:val="20"/>
              </w:rPr>
            </w:pPr>
            <w:r w:rsidRPr="00451691">
              <w:rPr>
                <w:color w:val="000000"/>
                <w:sz w:val="20"/>
                <w:szCs w:val="20"/>
              </w:rPr>
              <w:t>6,640</w:t>
            </w:r>
          </w:p>
        </w:tc>
        <w:tc>
          <w:tcPr>
            <w:tcW w:w="1461" w:type="dxa"/>
            <w:tcBorders>
              <w:top w:val="nil"/>
              <w:left w:val="nil"/>
              <w:bottom w:val="single" w:sz="4" w:space="0" w:color="auto"/>
              <w:right w:val="single" w:sz="4" w:space="0" w:color="auto"/>
            </w:tcBorders>
            <w:shd w:val="clear" w:color="auto" w:fill="auto"/>
            <w:noWrap/>
            <w:vAlign w:val="bottom"/>
            <w:hideMark/>
          </w:tcPr>
          <w:p w14:paraId="12CA02BC" w14:textId="77777777" w:rsidR="00C06287" w:rsidRPr="00451691" w:rsidRDefault="00C06287" w:rsidP="00C06287">
            <w:pPr>
              <w:jc w:val="center"/>
              <w:rPr>
                <w:color w:val="000000"/>
                <w:sz w:val="20"/>
                <w:szCs w:val="20"/>
              </w:rPr>
            </w:pPr>
            <w:r w:rsidRPr="00451691">
              <w:rPr>
                <w:color w:val="000000"/>
                <w:sz w:val="20"/>
                <w:szCs w:val="20"/>
              </w:rPr>
              <w:t>22,434</w:t>
            </w:r>
          </w:p>
        </w:tc>
        <w:tc>
          <w:tcPr>
            <w:tcW w:w="866" w:type="dxa"/>
            <w:tcBorders>
              <w:top w:val="nil"/>
              <w:left w:val="nil"/>
              <w:bottom w:val="single" w:sz="4" w:space="0" w:color="auto"/>
              <w:right w:val="single" w:sz="4" w:space="0" w:color="auto"/>
            </w:tcBorders>
            <w:shd w:val="clear" w:color="auto" w:fill="auto"/>
            <w:noWrap/>
            <w:vAlign w:val="bottom"/>
            <w:hideMark/>
          </w:tcPr>
          <w:p w14:paraId="6AD79859" w14:textId="77777777" w:rsidR="00C06287" w:rsidRPr="00451691" w:rsidRDefault="00C06287" w:rsidP="00C06287">
            <w:pPr>
              <w:jc w:val="center"/>
              <w:rPr>
                <w:color w:val="000000"/>
                <w:sz w:val="20"/>
                <w:szCs w:val="20"/>
              </w:rPr>
            </w:pPr>
            <w:r w:rsidRPr="00451691">
              <w:rPr>
                <w:color w:val="000000"/>
                <w:sz w:val="20"/>
                <w:szCs w:val="20"/>
              </w:rPr>
              <w:t>146,823</w:t>
            </w:r>
          </w:p>
        </w:tc>
        <w:tc>
          <w:tcPr>
            <w:tcW w:w="909" w:type="dxa"/>
            <w:tcBorders>
              <w:top w:val="nil"/>
              <w:left w:val="nil"/>
              <w:bottom w:val="single" w:sz="4" w:space="0" w:color="auto"/>
              <w:right w:val="single" w:sz="4" w:space="0" w:color="auto"/>
            </w:tcBorders>
            <w:shd w:val="clear" w:color="auto" w:fill="auto"/>
            <w:noWrap/>
            <w:vAlign w:val="bottom"/>
            <w:hideMark/>
          </w:tcPr>
          <w:p w14:paraId="6BFC750E" w14:textId="77777777" w:rsidR="00C06287" w:rsidRPr="00451691" w:rsidRDefault="00C06287" w:rsidP="00C06287">
            <w:pPr>
              <w:jc w:val="center"/>
              <w:rPr>
                <w:color w:val="000000"/>
                <w:sz w:val="20"/>
                <w:szCs w:val="20"/>
              </w:rPr>
            </w:pPr>
            <w:r w:rsidRPr="00451691">
              <w:rPr>
                <w:color w:val="000000"/>
                <w:sz w:val="20"/>
                <w:szCs w:val="20"/>
              </w:rPr>
              <w:t>19.8%</w:t>
            </w:r>
          </w:p>
        </w:tc>
      </w:tr>
      <w:tr w:rsidR="00C06287" w:rsidRPr="00451691" w14:paraId="2B9517EE" w14:textId="77777777" w:rsidTr="004623CD">
        <w:trPr>
          <w:trHeight w:val="300"/>
        </w:trPr>
        <w:tc>
          <w:tcPr>
            <w:tcW w:w="927" w:type="dxa"/>
            <w:tcBorders>
              <w:top w:val="nil"/>
              <w:left w:val="single" w:sz="4" w:space="0" w:color="auto"/>
              <w:bottom w:val="single" w:sz="4" w:space="0" w:color="auto"/>
              <w:right w:val="single" w:sz="4" w:space="0" w:color="auto"/>
            </w:tcBorders>
            <w:shd w:val="clear" w:color="000000" w:fill="auto"/>
            <w:noWrap/>
            <w:vAlign w:val="bottom"/>
            <w:hideMark/>
          </w:tcPr>
          <w:p w14:paraId="2410D890" w14:textId="77777777" w:rsidR="00C06287" w:rsidRPr="004623CD" w:rsidRDefault="00C06287" w:rsidP="00C06287">
            <w:pPr>
              <w:jc w:val="center"/>
              <w:rPr>
                <w:bCs/>
                <w:color w:val="000000"/>
                <w:sz w:val="20"/>
                <w:szCs w:val="20"/>
              </w:rPr>
            </w:pPr>
            <w:r w:rsidRPr="004623CD">
              <w:rPr>
                <w:bCs/>
                <w:color w:val="000000"/>
                <w:sz w:val="20"/>
                <w:szCs w:val="20"/>
              </w:rPr>
              <w:t>Average</w:t>
            </w:r>
          </w:p>
        </w:tc>
        <w:tc>
          <w:tcPr>
            <w:tcW w:w="798" w:type="dxa"/>
            <w:tcBorders>
              <w:top w:val="nil"/>
              <w:left w:val="nil"/>
              <w:bottom w:val="single" w:sz="4" w:space="0" w:color="auto"/>
              <w:right w:val="single" w:sz="4" w:space="0" w:color="auto"/>
            </w:tcBorders>
            <w:shd w:val="clear" w:color="auto" w:fill="auto"/>
            <w:noWrap/>
            <w:vAlign w:val="bottom"/>
            <w:hideMark/>
          </w:tcPr>
          <w:p w14:paraId="3550D119" w14:textId="77777777" w:rsidR="00C06287" w:rsidRPr="00451691" w:rsidRDefault="00C06287" w:rsidP="00C06287">
            <w:pPr>
              <w:jc w:val="center"/>
              <w:rPr>
                <w:color w:val="000000"/>
                <w:sz w:val="20"/>
                <w:szCs w:val="20"/>
              </w:rPr>
            </w:pPr>
            <w:r w:rsidRPr="00451691">
              <w:rPr>
                <w:color w:val="000000"/>
                <w:sz w:val="20"/>
                <w:szCs w:val="20"/>
              </w:rPr>
              <w:t>13,516</w:t>
            </w:r>
          </w:p>
        </w:tc>
        <w:tc>
          <w:tcPr>
            <w:tcW w:w="1073" w:type="dxa"/>
            <w:tcBorders>
              <w:top w:val="nil"/>
              <w:left w:val="nil"/>
              <w:bottom w:val="single" w:sz="4" w:space="0" w:color="auto"/>
              <w:right w:val="single" w:sz="4" w:space="0" w:color="auto"/>
            </w:tcBorders>
            <w:shd w:val="clear" w:color="auto" w:fill="auto"/>
            <w:noWrap/>
            <w:vAlign w:val="bottom"/>
            <w:hideMark/>
          </w:tcPr>
          <w:p w14:paraId="78727C2D" w14:textId="77777777" w:rsidR="00C06287" w:rsidRPr="00451691" w:rsidRDefault="00C06287" w:rsidP="00C06287">
            <w:pPr>
              <w:jc w:val="center"/>
              <w:rPr>
                <w:color w:val="000000"/>
                <w:sz w:val="20"/>
                <w:szCs w:val="20"/>
              </w:rPr>
            </w:pPr>
            <w:r w:rsidRPr="00451691">
              <w:rPr>
                <w:color w:val="000000"/>
                <w:sz w:val="20"/>
                <w:szCs w:val="20"/>
              </w:rPr>
              <w:t>10,996</w:t>
            </w:r>
          </w:p>
        </w:tc>
        <w:tc>
          <w:tcPr>
            <w:tcW w:w="1461" w:type="dxa"/>
            <w:tcBorders>
              <w:top w:val="nil"/>
              <w:left w:val="nil"/>
              <w:bottom w:val="single" w:sz="4" w:space="0" w:color="auto"/>
              <w:right w:val="single" w:sz="4" w:space="0" w:color="auto"/>
            </w:tcBorders>
            <w:shd w:val="clear" w:color="auto" w:fill="auto"/>
            <w:noWrap/>
            <w:vAlign w:val="bottom"/>
            <w:hideMark/>
          </w:tcPr>
          <w:p w14:paraId="5B12D138" w14:textId="77777777" w:rsidR="00C06287" w:rsidRPr="00451691" w:rsidRDefault="00C06287" w:rsidP="00C06287">
            <w:pPr>
              <w:jc w:val="center"/>
              <w:rPr>
                <w:color w:val="000000"/>
                <w:sz w:val="20"/>
                <w:szCs w:val="20"/>
              </w:rPr>
            </w:pPr>
            <w:r w:rsidRPr="00451691">
              <w:rPr>
                <w:color w:val="000000"/>
                <w:sz w:val="20"/>
                <w:szCs w:val="20"/>
              </w:rPr>
              <w:t>72,717</w:t>
            </w:r>
          </w:p>
        </w:tc>
        <w:tc>
          <w:tcPr>
            <w:tcW w:w="716" w:type="dxa"/>
            <w:tcBorders>
              <w:top w:val="nil"/>
              <w:left w:val="nil"/>
              <w:bottom w:val="single" w:sz="4" w:space="0" w:color="auto"/>
              <w:right w:val="single" w:sz="4" w:space="0" w:color="auto"/>
            </w:tcBorders>
            <w:shd w:val="clear" w:color="auto" w:fill="auto"/>
            <w:noWrap/>
            <w:vAlign w:val="bottom"/>
            <w:hideMark/>
          </w:tcPr>
          <w:p w14:paraId="7BF12962" w14:textId="77777777" w:rsidR="00C06287" w:rsidRPr="00451691" w:rsidRDefault="00C06287" w:rsidP="00C06287">
            <w:pPr>
              <w:jc w:val="center"/>
              <w:rPr>
                <w:color w:val="000000"/>
                <w:sz w:val="20"/>
                <w:szCs w:val="20"/>
              </w:rPr>
            </w:pPr>
            <w:r w:rsidRPr="00451691">
              <w:rPr>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hideMark/>
          </w:tcPr>
          <w:p w14:paraId="6DCD7ED9" w14:textId="77777777" w:rsidR="00C06287" w:rsidRPr="00451691" w:rsidRDefault="00C06287" w:rsidP="00C06287">
            <w:pPr>
              <w:jc w:val="center"/>
              <w:rPr>
                <w:color w:val="000000"/>
                <w:sz w:val="20"/>
                <w:szCs w:val="20"/>
              </w:rPr>
            </w:pPr>
            <w:r w:rsidRPr="00451691">
              <w:rPr>
                <w:color w:val="000000"/>
                <w:sz w:val="20"/>
                <w:szCs w:val="20"/>
              </w:rPr>
              <w:t>4,278</w:t>
            </w:r>
          </w:p>
        </w:tc>
        <w:tc>
          <w:tcPr>
            <w:tcW w:w="1461" w:type="dxa"/>
            <w:tcBorders>
              <w:top w:val="nil"/>
              <w:left w:val="nil"/>
              <w:bottom w:val="single" w:sz="4" w:space="0" w:color="auto"/>
              <w:right w:val="single" w:sz="4" w:space="0" w:color="auto"/>
            </w:tcBorders>
            <w:shd w:val="clear" w:color="auto" w:fill="auto"/>
            <w:noWrap/>
            <w:vAlign w:val="bottom"/>
            <w:hideMark/>
          </w:tcPr>
          <w:p w14:paraId="7F883A8C" w14:textId="77777777" w:rsidR="00C06287" w:rsidRPr="00451691" w:rsidRDefault="00C06287" w:rsidP="00C06287">
            <w:pPr>
              <w:jc w:val="center"/>
              <w:rPr>
                <w:color w:val="000000"/>
                <w:sz w:val="20"/>
                <w:szCs w:val="20"/>
              </w:rPr>
            </w:pPr>
            <w:r w:rsidRPr="00451691">
              <w:rPr>
                <w:color w:val="000000"/>
                <w:sz w:val="20"/>
                <w:szCs w:val="20"/>
              </w:rPr>
              <w:t>14,777</w:t>
            </w:r>
          </w:p>
        </w:tc>
        <w:tc>
          <w:tcPr>
            <w:tcW w:w="866" w:type="dxa"/>
            <w:tcBorders>
              <w:top w:val="nil"/>
              <w:left w:val="nil"/>
              <w:bottom w:val="single" w:sz="4" w:space="0" w:color="auto"/>
              <w:right w:val="single" w:sz="4" w:space="0" w:color="auto"/>
            </w:tcBorders>
            <w:shd w:val="clear" w:color="auto" w:fill="auto"/>
            <w:noWrap/>
            <w:vAlign w:val="bottom"/>
            <w:hideMark/>
          </w:tcPr>
          <w:p w14:paraId="283B0678" w14:textId="77777777" w:rsidR="00C06287" w:rsidRPr="00451691" w:rsidRDefault="00C06287" w:rsidP="00C06287">
            <w:pPr>
              <w:jc w:val="center"/>
              <w:rPr>
                <w:color w:val="000000"/>
                <w:sz w:val="20"/>
                <w:szCs w:val="20"/>
              </w:rPr>
            </w:pPr>
            <w:r w:rsidRPr="00451691">
              <w:rPr>
                <w:color w:val="000000"/>
                <w:sz w:val="20"/>
                <w:szCs w:val="20"/>
              </w:rPr>
              <w:t>116,284</w:t>
            </w:r>
          </w:p>
        </w:tc>
        <w:tc>
          <w:tcPr>
            <w:tcW w:w="909" w:type="dxa"/>
            <w:tcBorders>
              <w:top w:val="nil"/>
              <w:left w:val="nil"/>
              <w:bottom w:val="single" w:sz="4" w:space="0" w:color="auto"/>
              <w:right w:val="single" w:sz="4" w:space="0" w:color="auto"/>
            </w:tcBorders>
            <w:shd w:val="clear" w:color="auto" w:fill="auto"/>
            <w:noWrap/>
            <w:vAlign w:val="bottom"/>
            <w:hideMark/>
          </w:tcPr>
          <w:p w14:paraId="7B73FBF0" w14:textId="77777777" w:rsidR="00C06287" w:rsidRPr="00451691" w:rsidRDefault="00C06287" w:rsidP="00C06287">
            <w:pPr>
              <w:jc w:val="center"/>
              <w:rPr>
                <w:color w:val="000000"/>
                <w:sz w:val="20"/>
                <w:szCs w:val="20"/>
              </w:rPr>
            </w:pPr>
            <w:r w:rsidRPr="00451691">
              <w:rPr>
                <w:color w:val="000000"/>
                <w:sz w:val="20"/>
                <w:szCs w:val="20"/>
              </w:rPr>
              <w:t>15.8%</w:t>
            </w:r>
          </w:p>
        </w:tc>
      </w:tr>
    </w:tbl>
    <w:p w14:paraId="11C3D51D" w14:textId="4A8AFDF0" w:rsidR="00C06287" w:rsidRDefault="004623CD" w:rsidP="00C06287">
      <w:pPr>
        <w:rPr>
          <w:rFonts w:ascii="Arial" w:hAnsi="Arial" w:cs="Arial"/>
          <w:sz w:val="20"/>
          <w:szCs w:val="20"/>
        </w:rPr>
      </w:pPr>
      <w:r>
        <w:rPr>
          <w:rFonts w:ascii="Arial" w:hAnsi="Arial" w:cs="Arial"/>
          <w:sz w:val="20"/>
          <w:szCs w:val="20"/>
        </w:rPr>
        <w:t xml:space="preserve">Source: </w:t>
      </w:r>
      <w:r w:rsidRPr="00091BD5">
        <w:rPr>
          <w:rFonts w:ascii="Arial" w:hAnsi="Arial" w:cs="Arial"/>
          <w:sz w:val="20"/>
          <w:szCs w:val="20"/>
        </w:rPr>
        <w:t xml:space="preserve"> Personal communication from the National Marine Fisheries Service, Fisher</w:t>
      </w:r>
      <w:r>
        <w:rPr>
          <w:rFonts w:ascii="Arial" w:hAnsi="Arial" w:cs="Arial"/>
          <w:sz w:val="20"/>
          <w:szCs w:val="20"/>
        </w:rPr>
        <w:t>ies Statistics Division April 4</w:t>
      </w:r>
      <w:r w:rsidRPr="00091BD5">
        <w:rPr>
          <w:rFonts w:ascii="Arial" w:hAnsi="Arial" w:cs="Arial"/>
          <w:sz w:val="20"/>
          <w:szCs w:val="20"/>
        </w:rPr>
        <w:t>, 2016</w:t>
      </w:r>
      <w:r>
        <w:rPr>
          <w:rFonts w:ascii="Arial" w:hAnsi="Arial" w:cs="Arial"/>
          <w:sz w:val="20"/>
          <w:szCs w:val="20"/>
        </w:rPr>
        <w:t>.</w:t>
      </w:r>
    </w:p>
    <w:p w14:paraId="20D3703C" w14:textId="77777777" w:rsidR="00C06287" w:rsidRDefault="00C06287" w:rsidP="00C06287">
      <w:pPr>
        <w:ind w:firstLine="360"/>
      </w:pPr>
    </w:p>
    <w:p w14:paraId="6A857833" w14:textId="77777777" w:rsidR="00C06287" w:rsidRPr="00D544ED" w:rsidRDefault="00C06287" w:rsidP="00C06287">
      <w:pPr>
        <w:ind w:firstLine="360"/>
      </w:pPr>
      <w:r w:rsidRPr="00D544ED">
        <w:t>From 2010 through 2014, an annual average of 77,413 angler trips harvested mutton snapper (</w:t>
      </w:r>
      <w:r w:rsidRPr="00D544ED">
        <w:rPr>
          <w:b/>
        </w:rPr>
        <w:t>Table 3.3.28</w:t>
      </w:r>
      <w:r w:rsidRPr="00D544ED">
        <w:t xml:space="preserve">).  Those 77,413 trips represent approximately 67% of the estimated average annual 116,284 trips that caught mutton snapper.  Approximately 20% of the trips that harvested mutton snapper were in federal waters.  It is estimated that for-hire fishing vessels accounted for approximately 19% of angler trips that harvested mutton snapper in all waters and 29% of the 15,665 average annual trips that harvested mutton snapper from the EEZ during that time.    </w:t>
      </w:r>
    </w:p>
    <w:p w14:paraId="1D612488" w14:textId="77777777" w:rsidR="00C06287" w:rsidRPr="00493106" w:rsidRDefault="00C06287" w:rsidP="00C06287">
      <w:pPr>
        <w:rPr>
          <w:rFonts w:ascii="Arial" w:hAnsi="Arial" w:cs="Arial"/>
        </w:rPr>
      </w:pPr>
    </w:p>
    <w:p w14:paraId="32C32D61" w14:textId="77777777" w:rsidR="00C06287" w:rsidRDefault="00C06287" w:rsidP="00C06287">
      <w:pPr>
        <w:rPr>
          <w:rFonts w:ascii="Arial" w:hAnsi="Arial" w:cs="Arial"/>
          <w:sz w:val="20"/>
          <w:szCs w:val="20"/>
        </w:rPr>
      </w:pPr>
    </w:p>
    <w:p w14:paraId="67F4F69D" w14:textId="77777777" w:rsidR="00493106" w:rsidRDefault="00493106">
      <w:pPr>
        <w:rPr>
          <w:rFonts w:ascii="Arial" w:hAnsi="Arial"/>
          <w:b/>
          <w:bCs/>
          <w:sz w:val="20"/>
        </w:rPr>
      </w:pPr>
      <w:r>
        <w:rPr>
          <w:b/>
        </w:rPr>
        <w:br w:type="page"/>
      </w:r>
    </w:p>
    <w:p w14:paraId="04B0B005" w14:textId="4DAFAFB8" w:rsidR="00C06287" w:rsidRDefault="00C06287" w:rsidP="004623CD">
      <w:pPr>
        <w:pStyle w:val="Tabletitle"/>
      </w:pPr>
      <w:bookmarkStart w:id="174" w:name="_Toc340431573"/>
      <w:r>
        <w:rPr>
          <w:b/>
        </w:rPr>
        <w:lastRenderedPageBreak/>
        <w:t>Table 3.3.28</w:t>
      </w:r>
      <w:r w:rsidRPr="00091BD5">
        <w:rPr>
          <w:b/>
        </w:rPr>
        <w:t>.</w:t>
      </w:r>
      <w:r>
        <w:t xml:space="preserve">  Estimates of number of East Florida angler trips that caught and harvested mutton snapper by</w:t>
      </w:r>
      <w:r w:rsidR="004623CD">
        <w:t xml:space="preserve"> mode and waters fished, 2010-</w:t>
      </w:r>
      <w:r>
        <w:t>2014.</w:t>
      </w:r>
      <w:bookmarkEnd w:id="174"/>
      <w:r>
        <w:t xml:space="preserve">  </w:t>
      </w:r>
    </w:p>
    <w:tbl>
      <w:tblPr>
        <w:tblW w:w="9448" w:type="dxa"/>
        <w:tblInd w:w="93" w:type="dxa"/>
        <w:tblLook w:val="04A0" w:firstRow="1" w:lastRow="0" w:firstColumn="1" w:lastColumn="0" w:noHBand="0" w:noVBand="1"/>
      </w:tblPr>
      <w:tblGrid>
        <w:gridCol w:w="960"/>
        <w:gridCol w:w="716"/>
        <w:gridCol w:w="993"/>
        <w:gridCol w:w="1589"/>
        <w:gridCol w:w="716"/>
        <w:gridCol w:w="993"/>
        <w:gridCol w:w="1589"/>
        <w:gridCol w:w="866"/>
        <w:gridCol w:w="1026"/>
      </w:tblGrid>
      <w:tr w:rsidR="00C06287" w:rsidRPr="0010786D" w14:paraId="620E1758" w14:textId="77777777" w:rsidTr="004623CD">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095D51C3" w14:textId="77777777" w:rsidR="00C06287" w:rsidRPr="0010786D" w:rsidRDefault="00C06287" w:rsidP="00C06287">
            <w:pPr>
              <w:jc w:val="center"/>
              <w:rPr>
                <w:b/>
                <w:bCs/>
                <w:color w:val="000000"/>
                <w:sz w:val="20"/>
                <w:szCs w:val="20"/>
              </w:rPr>
            </w:pPr>
            <w:r w:rsidRPr="0010786D">
              <w:rPr>
                <w:b/>
                <w:bCs/>
                <w:color w:val="000000"/>
                <w:sz w:val="20"/>
                <w:szCs w:val="20"/>
              </w:rPr>
              <w:t>Year</w:t>
            </w:r>
          </w:p>
        </w:tc>
        <w:tc>
          <w:tcPr>
            <w:tcW w:w="8488" w:type="dxa"/>
            <w:gridSpan w:val="8"/>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C16642E" w14:textId="77777777" w:rsidR="00C06287" w:rsidRPr="0010786D" w:rsidRDefault="00C06287" w:rsidP="00C06287">
            <w:pPr>
              <w:jc w:val="center"/>
              <w:rPr>
                <w:b/>
                <w:bCs/>
                <w:color w:val="000000"/>
                <w:sz w:val="20"/>
                <w:szCs w:val="20"/>
              </w:rPr>
            </w:pPr>
            <w:r>
              <w:rPr>
                <w:b/>
                <w:bCs/>
                <w:color w:val="000000"/>
                <w:sz w:val="20"/>
                <w:szCs w:val="20"/>
              </w:rPr>
              <w:t>N</w:t>
            </w:r>
            <w:r w:rsidRPr="0010786D">
              <w:rPr>
                <w:b/>
                <w:bCs/>
                <w:color w:val="000000"/>
                <w:sz w:val="20"/>
                <w:szCs w:val="20"/>
              </w:rPr>
              <w:t>umber of angler trips that harvested mutton snapper</w:t>
            </w:r>
          </w:p>
        </w:tc>
      </w:tr>
      <w:tr w:rsidR="00C06287" w:rsidRPr="0010786D" w14:paraId="72B951C5" w14:textId="77777777" w:rsidTr="004623CD">
        <w:trPr>
          <w:trHeight w:val="300"/>
        </w:trPr>
        <w:tc>
          <w:tcPr>
            <w:tcW w:w="96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1A2749E" w14:textId="77777777" w:rsidR="00C06287" w:rsidRPr="0010786D" w:rsidRDefault="00C06287" w:rsidP="00C06287">
            <w:pPr>
              <w:rPr>
                <w:b/>
                <w:bCs/>
                <w:color w:val="000000"/>
                <w:sz w:val="20"/>
                <w:szCs w:val="20"/>
              </w:rPr>
            </w:pPr>
          </w:p>
        </w:tc>
        <w:tc>
          <w:tcPr>
            <w:tcW w:w="329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060AF95" w14:textId="77777777" w:rsidR="00C06287" w:rsidRPr="0010786D" w:rsidRDefault="00C06287" w:rsidP="00C06287">
            <w:pPr>
              <w:jc w:val="center"/>
              <w:rPr>
                <w:b/>
                <w:bCs/>
                <w:color w:val="000000"/>
                <w:sz w:val="20"/>
                <w:szCs w:val="20"/>
              </w:rPr>
            </w:pPr>
            <w:r w:rsidRPr="0010786D">
              <w:rPr>
                <w:b/>
                <w:bCs/>
                <w:color w:val="000000"/>
                <w:sz w:val="20"/>
                <w:szCs w:val="20"/>
              </w:rPr>
              <w:t>East FL waters</w:t>
            </w:r>
          </w:p>
        </w:tc>
        <w:tc>
          <w:tcPr>
            <w:tcW w:w="329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83CCD54" w14:textId="069E42A9" w:rsidR="00C06287" w:rsidRPr="0010786D" w:rsidRDefault="00C06287" w:rsidP="00C06287">
            <w:pPr>
              <w:jc w:val="center"/>
              <w:rPr>
                <w:b/>
                <w:bCs/>
                <w:color w:val="000000"/>
                <w:sz w:val="20"/>
                <w:szCs w:val="20"/>
              </w:rPr>
            </w:pPr>
            <w:r w:rsidRPr="0010786D">
              <w:rPr>
                <w:b/>
                <w:bCs/>
                <w:color w:val="000000"/>
                <w:sz w:val="20"/>
                <w:szCs w:val="20"/>
              </w:rPr>
              <w:t>EEZ</w:t>
            </w:r>
            <w:r w:rsidR="00D544ED">
              <w:rPr>
                <w:b/>
                <w:bCs/>
                <w:color w:val="000000"/>
                <w:sz w:val="20"/>
                <w:szCs w:val="20"/>
              </w:rPr>
              <w:t xml:space="preserve"> off FL</w:t>
            </w:r>
          </w:p>
        </w:tc>
        <w:tc>
          <w:tcPr>
            <w:tcW w:w="866"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F9E066D" w14:textId="77777777" w:rsidR="00C06287" w:rsidRPr="0010786D" w:rsidRDefault="00C06287" w:rsidP="00C06287">
            <w:pPr>
              <w:jc w:val="center"/>
              <w:rPr>
                <w:b/>
                <w:bCs/>
                <w:color w:val="000000"/>
                <w:sz w:val="20"/>
                <w:szCs w:val="20"/>
              </w:rPr>
            </w:pPr>
            <w:r w:rsidRPr="0010786D">
              <w:rPr>
                <w:b/>
                <w:bCs/>
                <w:color w:val="000000"/>
                <w:sz w:val="20"/>
                <w:szCs w:val="20"/>
              </w:rPr>
              <w:t>Total</w:t>
            </w:r>
          </w:p>
        </w:tc>
        <w:tc>
          <w:tcPr>
            <w:tcW w:w="1026"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bottom"/>
            <w:hideMark/>
          </w:tcPr>
          <w:p w14:paraId="7C6967A0" w14:textId="77777777" w:rsidR="00C06287" w:rsidRPr="0010786D" w:rsidRDefault="00C06287" w:rsidP="00C06287">
            <w:pPr>
              <w:jc w:val="center"/>
              <w:rPr>
                <w:b/>
                <w:bCs/>
                <w:color w:val="000000"/>
                <w:sz w:val="20"/>
                <w:szCs w:val="20"/>
              </w:rPr>
            </w:pPr>
            <w:r w:rsidRPr="0010786D">
              <w:rPr>
                <w:b/>
                <w:bCs/>
                <w:color w:val="000000"/>
                <w:sz w:val="20"/>
                <w:szCs w:val="20"/>
              </w:rPr>
              <w:t>Percent EEZ</w:t>
            </w:r>
          </w:p>
        </w:tc>
      </w:tr>
      <w:tr w:rsidR="00C06287" w:rsidRPr="0010786D" w14:paraId="04775670" w14:textId="77777777" w:rsidTr="004623CD">
        <w:trPr>
          <w:trHeight w:val="300"/>
        </w:trPr>
        <w:tc>
          <w:tcPr>
            <w:tcW w:w="96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A82DB17" w14:textId="77777777" w:rsidR="00C06287" w:rsidRPr="0010786D" w:rsidRDefault="00C06287" w:rsidP="00C06287">
            <w:pPr>
              <w:rPr>
                <w:b/>
                <w:bCs/>
                <w:color w:val="000000"/>
                <w:sz w:val="20"/>
                <w:szCs w:val="20"/>
              </w:rPr>
            </w:pPr>
          </w:p>
        </w:tc>
        <w:tc>
          <w:tcPr>
            <w:tcW w:w="716" w:type="dxa"/>
            <w:tcBorders>
              <w:top w:val="nil"/>
              <w:left w:val="nil"/>
              <w:bottom w:val="single" w:sz="4" w:space="0" w:color="auto"/>
              <w:right w:val="single" w:sz="4" w:space="0" w:color="auto"/>
            </w:tcBorders>
            <w:shd w:val="clear" w:color="auto" w:fill="D9D9D9" w:themeFill="background1" w:themeFillShade="D9"/>
            <w:noWrap/>
            <w:vAlign w:val="bottom"/>
            <w:hideMark/>
          </w:tcPr>
          <w:p w14:paraId="191BEA2F" w14:textId="77777777" w:rsidR="00C06287" w:rsidRPr="0010786D" w:rsidRDefault="00C06287" w:rsidP="00C06287">
            <w:pPr>
              <w:jc w:val="center"/>
              <w:rPr>
                <w:b/>
                <w:bCs/>
                <w:color w:val="000000"/>
                <w:sz w:val="20"/>
                <w:szCs w:val="20"/>
              </w:rPr>
            </w:pPr>
            <w:r w:rsidRPr="0010786D">
              <w:rPr>
                <w:b/>
                <w:bCs/>
                <w:color w:val="000000"/>
                <w:sz w:val="20"/>
                <w:szCs w:val="20"/>
              </w:rPr>
              <w:t>Shore</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14:paraId="5EF3C4F8" w14:textId="77777777" w:rsidR="00C06287" w:rsidRPr="0010786D" w:rsidRDefault="00C06287" w:rsidP="00C06287">
            <w:pPr>
              <w:jc w:val="center"/>
              <w:rPr>
                <w:b/>
                <w:bCs/>
                <w:color w:val="000000"/>
                <w:sz w:val="20"/>
                <w:szCs w:val="20"/>
              </w:rPr>
            </w:pPr>
            <w:r w:rsidRPr="0010786D">
              <w:rPr>
                <w:b/>
                <w:bCs/>
                <w:color w:val="000000"/>
                <w:sz w:val="20"/>
                <w:szCs w:val="20"/>
              </w:rPr>
              <w:t>For-Hire</w:t>
            </w:r>
          </w:p>
        </w:tc>
        <w:tc>
          <w:tcPr>
            <w:tcW w:w="1589" w:type="dxa"/>
            <w:tcBorders>
              <w:top w:val="nil"/>
              <w:left w:val="nil"/>
              <w:bottom w:val="single" w:sz="4" w:space="0" w:color="auto"/>
              <w:right w:val="single" w:sz="4" w:space="0" w:color="auto"/>
            </w:tcBorders>
            <w:shd w:val="clear" w:color="auto" w:fill="D9D9D9" w:themeFill="background1" w:themeFillShade="D9"/>
            <w:noWrap/>
            <w:vAlign w:val="bottom"/>
            <w:hideMark/>
          </w:tcPr>
          <w:p w14:paraId="48D84B44" w14:textId="77777777" w:rsidR="00C06287" w:rsidRPr="0010786D" w:rsidRDefault="00C06287" w:rsidP="00C06287">
            <w:pPr>
              <w:jc w:val="center"/>
              <w:rPr>
                <w:b/>
                <w:bCs/>
                <w:color w:val="000000"/>
                <w:sz w:val="20"/>
                <w:szCs w:val="20"/>
              </w:rPr>
            </w:pPr>
            <w:r w:rsidRPr="0010786D">
              <w:rPr>
                <w:b/>
                <w:bCs/>
                <w:color w:val="000000"/>
                <w:sz w:val="20"/>
                <w:szCs w:val="20"/>
              </w:rPr>
              <w:t>Private/Rental</w:t>
            </w:r>
          </w:p>
        </w:tc>
        <w:tc>
          <w:tcPr>
            <w:tcW w:w="716" w:type="dxa"/>
            <w:tcBorders>
              <w:top w:val="nil"/>
              <w:left w:val="nil"/>
              <w:bottom w:val="single" w:sz="4" w:space="0" w:color="auto"/>
              <w:right w:val="single" w:sz="4" w:space="0" w:color="auto"/>
            </w:tcBorders>
            <w:shd w:val="clear" w:color="auto" w:fill="D9D9D9" w:themeFill="background1" w:themeFillShade="D9"/>
            <w:noWrap/>
            <w:vAlign w:val="bottom"/>
            <w:hideMark/>
          </w:tcPr>
          <w:p w14:paraId="2CCC3C22" w14:textId="77777777" w:rsidR="00C06287" w:rsidRPr="0010786D" w:rsidRDefault="00C06287" w:rsidP="00C06287">
            <w:pPr>
              <w:jc w:val="center"/>
              <w:rPr>
                <w:b/>
                <w:bCs/>
                <w:color w:val="000000"/>
                <w:sz w:val="20"/>
                <w:szCs w:val="20"/>
              </w:rPr>
            </w:pPr>
            <w:r w:rsidRPr="0010786D">
              <w:rPr>
                <w:b/>
                <w:bCs/>
                <w:color w:val="000000"/>
                <w:sz w:val="20"/>
                <w:szCs w:val="20"/>
              </w:rPr>
              <w:t>Shore</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14:paraId="322BA252" w14:textId="77777777" w:rsidR="00C06287" w:rsidRPr="0010786D" w:rsidRDefault="00C06287" w:rsidP="00C06287">
            <w:pPr>
              <w:jc w:val="center"/>
              <w:rPr>
                <w:b/>
                <w:bCs/>
                <w:color w:val="000000"/>
                <w:sz w:val="20"/>
                <w:szCs w:val="20"/>
              </w:rPr>
            </w:pPr>
            <w:r w:rsidRPr="0010786D">
              <w:rPr>
                <w:b/>
                <w:bCs/>
                <w:color w:val="000000"/>
                <w:sz w:val="20"/>
                <w:szCs w:val="20"/>
              </w:rPr>
              <w:t>For-Hire</w:t>
            </w:r>
          </w:p>
        </w:tc>
        <w:tc>
          <w:tcPr>
            <w:tcW w:w="1589" w:type="dxa"/>
            <w:tcBorders>
              <w:top w:val="nil"/>
              <w:left w:val="nil"/>
              <w:bottom w:val="single" w:sz="4" w:space="0" w:color="auto"/>
              <w:right w:val="single" w:sz="4" w:space="0" w:color="auto"/>
            </w:tcBorders>
            <w:shd w:val="clear" w:color="auto" w:fill="D9D9D9" w:themeFill="background1" w:themeFillShade="D9"/>
            <w:noWrap/>
            <w:vAlign w:val="bottom"/>
            <w:hideMark/>
          </w:tcPr>
          <w:p w14:paraId="4EFEDF95" w14:textId="77777777" w:rsidR="00C06287" w:rsidRPr="0010786D" w:rsidRDefault="00C06287" w:rsidP="00C06287">
            <w:pPr>
              <w:jc w:val="center"/>
              <w:rPr>
                <w:b/>
                <w:bCs/>
                <w:color w:val="000000"/>
                <w:sz w:val="20"/>
                <w:szCs w:val="20"/>
              </w:rPr>
            </w:pPr>
            <w:r w:rsidRPr="0010786D">
              <w:rPr>
                <w:b/>
                <w:bCs/>
                <w:color w:val="000000"/>
                <w:sz w:val="20"/>
                <w:szCs w:val="20"/>
              </w:rPr>
              <w:t>Private/Rental</w:t>
            </w:r>
          </w:p>
        </w:tc>
        <w:tc>
          <w:tcPr>
            <w:tcW w:w="86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D42F06" w14:textId="77777777" w:rsidR="00C06287" w:rsidRPr="0010786D" w:rsidRDefault="00C06287" w:rsidP="00C06287">
            <w:pPr>
              <w:rPr>
                <w:b/>
                <w:bCs/>
                <w:color w:val="000000"/>
                <w:sz w:val="20"/>
                <w:szCs w:val="20"/>
              </w:rPr>
            </w:pPr>
          </w:p>
        </w:tc>
        <w:tc>
          <w:tcPr>
            <w:tcW w:w="1026"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11CAF21" w14:textId="77777777" w:rsidR="00C06287" w:rsidRPr="0010786D" w:rsidRDefault="00C06287" w:rsidP="00C06287">
            <w:pPr>
              <w:rPr>
                <w:b/>
                <w:bCs/>
                <w:color w:val="000000"/>
                <w:sz w:val="20"/>
                <w:szCs w:val="20"/>
              </w:rPr>
            </w:pPr>
          </w:p>
        </w:tc>
      </w:tr>
      <w:tr w:rsidR="00C06287" w:rsidRPr="0010786D" w14:paraId="6D5B91EA" w14:textId="77777777" w:rsidTr="004623CD">
        <w:trPr>
          <w:trHeight w:val="300"/>
        </w:trPr>
        <w:tc>
          <w:tcPr>
            <w:tcW w:w="960" w:type="dxa"/>
            <w:tcBorders>
              <w:top w:val="nil"/>
              <w:left w:val="single" w:sz="4" w:space="0" w:color="auto"/>
              <w:bottom w:val="single" w:sz="4" w:space="0" w:color="auto"/>
              <w:right w:val="single" w:sz="4" w:space="0" w:color="auto"/>
            </w:tcBorders>
            <w:shd w:val="clear" w:color="000000" w:fill="auto"/>
            <w:noWrap/>
            <w:vAlign w:val="bottom"/>
            <w:hideMark/>
          </w:tcPr>
          <w:p w14:paraId="713BCB2B" w14:textId="77777777" w:rsidR="00C06287" w:rsidRPr="004623CD" w:rsidRDefault="00C06287" w:rsidP="00C06287">
            <w:pPr>
              <w:jc w:val="center"/>
              <w:rPr>
                <w:bCs/>
                <w:color w:val="000000"/>
                <w:sz w:val="20"/>
                <w:szCs w:val="20"/>
              </w:rPr>
            </w:pPr>
            <w:r w:rsidRPr="004623CD">
              <w:rPr>
                <w:bCs/>
                <w:color w:val="000000"/>
                <w:sz w:val="20"/>
                <w:szCs w:val="20"/>
              </w:rPr>
              <w:t>2010</w:t>
            </w:r>
          </w:p>
        </w:tc>
        <w:tc>
          <w:tcPr>
            <w:tcW w:w="716" w:type="dxa"/>
            <w:tcBorders>
              <w:top w:val="nil"/>
              <w:left w:val="nil"/>
              <w:bottom w:val="single" w:sz="4" w:space="0" w:color="auto"/>
              <w:right w:val="single" w:sz="4" w:space="0" w:color="auto"/>
            </w:tcBorders>
            <w:shd w:val="clear" w:color="auto" w:fill="auto"/>
            <w:noWrap/>
            <w:vAlign w:val="bottom"/>
            <w:hideMark/>
          </w:tcPr>
          <w:p w14:paraId="1DEE3193" w14:textId="77777777" w:rsidR="00C06287" w:rsidRPr="0010786D" w:rsidRDefault="00C06287" w:rsidP="00C06287">
            <w:pPr>
              <w:jc w:val="center"/>
              <w:rPr>
                <w:color w:val="000000"/>
                <w:sz w:val="20"/>
                <w:szCs w:val="20"/>
              </w:rPr>
            </w:pPr>
            <w:r w:rsidRPr="0010786D">
              <w:rPr>
                <w:color w:val="000000"/>
                <w:sz w:val="20"/>
                <w:szCs w:val="20"/>
              </w:rPr>
              <w:t>8,749</w:t>
            </w:r>
          </w:p>
        </w:tc>
        <w:tc>
          <w:tcPr>
            <w:tcW w:w="993" w:type="dxa"/>
            <w:tcBorders>
              <w:top w:val="nil"/>
              <w:left w:val="nil"/>
              <w:bottom w:val="single" w:sz="4" w:space="0" w:color="auto"/>
              <w:right w:val="single" w:sz="4" w:space="0" w:color="auto"/>
            </w:tcBorders>
            <w:shd w:val="clear" w:color="auto" w:fill="auto"/>
            <w:noWrap/>
            <w:vAlign w:val="bottom"/>
            <w:hideMark/>
          </w:tcPr>
          <w:p w14:paraId="55F09F1B" w14:textId="77777777" w:rsidR="00C06287" w:rsidRPr="0010786D" w:rsidRDefault="00C06287" w:rsidP="00C06287">
            <w:pPr>
              <w:jc w:val="center"/>
              <w:rPr>
                <w:color w:val="000000"/>
                <w:sz w:val="20"/>
                <w:szCs w:val="20"/>
              </w:rPr>
            </w:pPr>
            <w:r w:rsidRPr="0010786D">
              <w:rPr>
                <w:color w:val="000000"/>
                <w:sz w:val="20"/>
                <w:szCs w:val="20"/>
              </w:rPr>
              <w:t>12,014</w:t>
            </w:r>
          </w:p>
        </w:tc>
        <w:tc>
          <w:tcPr>
            <w:tcW w:w="1589" w:type="dxa"/>
            <w:tcBorders>
              <w:top w:val="nil"/>
              <w:left w:val="nil"/>
              <w:bottom w:val="single" w:sz="4" w:space="0" w:color="auto"/>
              <w:right w:val="single" w:sz="4" w:space="0" w:color="auto"/>
            </w:tcBorders>
            <w:shd w:val="clear" w:color="auto" w:fill="auto"/>
            <w:noWrap/>
            <w:vAlign w:val="bottom"/>
            <w:hideMark/>
          </w:tcPr>
          <w:p w14:paraId="0B14AC53" w14:textId="77777777" w:rsidR="00C06287" w:rsidRPr="0010786D" w:rsidRDefault="00C06287" w:rsidP="00C06287">
            <w:pPr>
              <w:jc w:val="center"/>
              <w:rPr>
                <w:color w:val="000000"/>
                <w:sz w:val="20"/>
                <w:szCs w:val="20"/>
              </w:rPr>
            </w:pPr>
            <w:r w:rsidRPr="0010786D">
              <w:rPr>
                <w:color w:val="000000"/>
                <w:sz w:val="20"/>
                <w:szCs w:val="20"/>
              </w:rPr>
              <w:t>71,907</w:t>
            </w:r>
          </w:p>
        </w:tc>
        <w:tc>
          <w:tcPr>
            <w:tcW w:w="716" w:type="dxa"/>
            <w:tcBorders>
              <w:top w:val="nil"/>
              <w:left w:val="nil"/>
              <w:bottom w:val="single" w:sz="4" w:space="0" w:color="auto"/>
              <w:right w:val="single" w:sz="4" w:space="0" w:color="auto"/>
            </w:tcBorders>
            <w:shd w:val="clear" w:color="auto" w:fill="auto"/>
            <w:noWrap/>
            <w:vAlign w:val="bottom"/>
            <w:hideMark/>
          </w:tcPr>
          <w:p w14:paraId="332393A4" w14:textId="77777777" w:rsidR="00C06287" w:rsidRPr="0010786D" w:rsidRDefault="00C06287" w:rsidP="00C06287">
            <w:pPr>
              <w:jc w:val="center"/>
              <w:rPr>
                <w:color w:val="000000"/>
                <w:sz w:val="20"/>
                <w:szCs w:val="20"/>
              </w:rPr>
            </w:pPr>
            <w:r w:rsidRPr="0010786D">
              <w:rPr>
                <w:color w:val="000000"/>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14:paraId="76E3C9D9" w14:textId="77777777" w:rsidR="00C06287" w:rsidRPr="0010786D" w:rsidRDefault="00C06287" w:rsidP="00C06287">
            <w:pPr>
              <w:jc w:val="center"/>
              <w:rPr>
                <w:color w:val="000000"/>
                <w:sz w:val="20"/>
                <w:szCs w:val="20"/>
              </w:rPr>
            </w:pPr>
            <w:r w:rsidRPr="0010786D">
              <w:rPr>
                <w:color w:val="000000"/>
                <w:sz w:val="20"/>
                <w:szCs w:val="20"/>
              </w:rPr>
              <w:t>7,901</w:t>
            </w:r>
          </w:p>
        </w:tc>
        <w:tc>
          <w:tcPr>
            <w:tcW w:w="1589" w:type="dxa"/>
            <w:tcBorders>
              <w:top w:val="nil"/>
              <w:left w:val="nil"/>
              <w:bottom w:val="single" w:sz="4" w:space="0" w:color="auto"/>
              <w:right w:val="single" w:sz="4" w:space="0" w:color="auto"/>
            </w:tcBorders>
            <w:shd w:val="clear" w:color="auto" w:fill="auto"/>
            <w:noWrap/>
            <w:vAlign w:val="bottom"/>
            <w:hideMark/>
          </w:tcPr>
          <w:p w14:paraId="1BC390C8" w14:textId="77777777" w:rsidR="00C06287" w:rsidRPr="0010786D" w:rsidRDefault="00C06287" w:rsidP="00C06287">
            <w:pPr>
              <w:jc w:val="center"/>
              <w:rPr>
                <w:color w:val="000000"/>
                <w:sz w:val="20"/>
                <w:szCs w:val="20"/>
              </w:rPr>
            </w:pPr>
            <w:r w:rsidRPr="0010786D">
              <w:rPr>
                <w:color w:val="000000"/>
                <w:sz w:val="20"/>
                <w:szCs w:val="20"/>
              </w:rPr>
              <w:t>12,144</w:t>
            </w:r>
          </w:p>
        </w:tc>
        <w:tc>
          <w:tcPr>
            <w:tcW w:w="866" w:type="dxa"/>
            <w:tcBorders>
              <w:top w:val="nil"/>
              <w:left w:val="nil"/>
              <w:bottom w:val="single" w:sz="4" w:space="0" w:color="auto"/>
              <w:right w:val="single" w:sz="4" w:space="0" w:color="auto"/>
            </w:tcBorders>
            <w:shd w:val="clear" w:color="auto" w:fill="auto"/>
            <w:noWrap/>
            <w:vAlign w:val="bottom"/>
            <w:hideMark/>
          </w:tcPr>
          <w:p w14:paraId="38960161" w14:textId="77777777" w:rsidR="00C06287" w:rsidRPr="0010786D" w:rsidRDefault="00C06287" w:rsidP="00C06287">
            <w:pPr>
              <w:jc w:val="center"/>
              <w:rPr>
                <w:color w:val="000000"/>
                <w:sz w:val="20"/>
                <w:szCs w:val="20"/>
              </w:rPr>
            </w:pPr>
            <w:r w:rsidRPr="0010786D">
              <w:rPr>
                <w:color w:val="000000"/>
                <w:sz w:val="20"/>
                <w:szCs w:val="20"/>
              </w:rPr>
              <w:t>112,715</w:t>
            </w:r>
          </w:p>
        </w:tc>
        <w:tc>
          <w:tcPr>
            <w:tcW w:w="1026" w:type="dxa"/>
            <w:tcBorders>
              <w:top w:val="nil"/>
              <w:left w:val="nil"/>
              <w:bottom w:val="single" w:sz="4" w:space="0" w:color="auto"/>
              <w:right w:val="single" w:sz="4" w:space="0" w:color="auto"/>
            </w:tcBorders>
            <w:shd w:val="clear" w:color="auto" w:fill="auto"/>
            <w:noWrap/>
            <w:vAlign w:val="bottom"/>
            <w:hideMark/>
          </w:tcPr>
          <w:p w14:paraId="6DBFACF8" w14:textId="77777777" w:rsidR="00C06287" w:rsidRPr="0010786D" w:rsidRDefault="00C06287" w:rsidP="00C06287">
            <w:pPr>
              <w:jc w:val="center"/>
              <w:rPr>
                <w:color w:val="000000"/>
                <w:sz w:val="20"/>
                <w:szCs w:val="20"/>
              </w:rPr>
            </w:pPr>
            <w:r w:rsidRPr="0010786D">
              <w:rPr>
                <w:color w:val="000000"/>
                <w:sz w:val="20"/>
                <w:szCs w:val="20"/>
              </w:rPr>
              <w:t>17.8%</w:t>
            </w:r>
          </w:p>
        </w:tc>
      </w:tr>
      <w:tr w:rsidR="00C06287" w:rsidRPr="0010786D" w14:paraId="27F43147" w14:textId="77777777" w:rsidTr="004623CD">
        <w:trPr>
          <w:trHeight w:val="300"/>
        </w:trPr>
        <w:tc>
          <w:tcPr>
            <w:tcW w:w="960" w:type="dxa"/>
            <w:tcBorders>
              <w:top w:val="nil"/>
              <w:left w:val="single" w:sz="4" w:space="0" w:color="auto"/>
              <w:bottom w:val="single" w:sz="4" w:space="0" w:color="auto"/>
              <w:right w:val="single" w:sz="4" w:space="0" w:color="auto"/>
            </w:tcBorders>
            <w:shd w:val="clear" w:color="000000" w:fill="auto"/>
            <w:noWrap/>
            <w:vAlign w:val="bottom"/>
            <w:hideMark/>
          </w:tcPr>
          <w:p w14:paraId="6CF9A688" w14:textId="77777777" w:rsidR="00C06287" w:rsidRPr="004623CD" w:rsidRDefault="00C06287" w:rsidP="00C06287">
            <w:pPr>
              <w:jc w:val="center"/>
              <w:rPr>
                <w:bCs/>
                <w:color w:val="000000"/>
                <w:sz w:val="20"/>
                <w:szCs w:val="20"/>
              </w:rPr>
            </w:pPr>
            <w:r w:rsidRPr="004623CD">
              <w:rPr>
                <w:bCs/>
                <w:color w:val="000000"/>
                <w:sz w:val="20"/>
                <w:szCs w:val="20"/>
              </w:rPr>
              <w:t>2011</w:t>
            </w:r>
          </w:p>
        </w:tc>
        <w:tc>
          <w:tcPr>
            <w:tcW w:w="716" w:type="dxa"/>
            <w:tcBorders>
              <w:top w:val="nil"/>
              <w:left w:val="nil"/>
              <w:bottom w:val="single" w:sz="4" w:space="0" w:color="auto"/>
              <w:right w:val="single" w:sz="4" w:space="0" w:color="auto"/>
            </w:tcBorders>
            <w:shd w:val="clear" w:color="auto" w:fill="auto"/>
            <w:noWrap/>
            <w:vAlign w:val="bottom"/>
            <w:hideMark/>
          </w:tcPr>
          <w:p w14:paraId="4076983B" w14:textId="77777777" w:rsidR="00C06287" w:rsidRPr="0010786D" w:rsidRDefault="00C06287" w:rsidP="00C06287">
            <w:pPr>
              <w:jc w:val="center"/>
              <w:rPr>
                <w:color w:val="000000"/>
                <w:sz w:val="20"/>
                <w:szCs w:val="20"/>
              </w:rPr>
            </w:pPr>
            <w:r w:rsidRPr="0010786D">
              <w:rPr>
                <w:color w:val="000000"/>
                <w:sz w:val="20"/>
                <w:szCs w:val="20"/>
              </w:rPr>
              <w:t>3,538</w:t>
            </w:r>
          </w:p>
        </w:tc>
        <w:tc>
          <w:tcPr>
            <w:tcW w:w="993" w:type="dxa"/>
            <w:tcBorders>
              <w:top w:val="nil"/>
              <w:left w:val="nil"/>
              <w:bottom w:val="single" w:sz="4" w:space="0" w:color="auto"/>
              <w:right w:val="single" w:sz="4" w:space="0" w:color="auto"/>
            </w:tcBorders>
            <w:shd w:val="clear" w:color="auto" w:fill="auto"/>
            <w:noWrap/>
            <w:vAlign w:val="bottom"/>
            <w:hideMark/>
          </w:tcPr>
          <w:p w14:paraId="20BAEDC5" w14:textId="77777777" w:rsidR="00C06287" w:rsidRPr="0010786D" w:rsidRDefault="00C06287" w:rsidP="00C06287">
            <w:pPr>
              <w:jc w:val="center"/>
              <w:rPr>
                <w:color w:val="000000"/>
                <w:sz w:val="20"/>
                <w:szCs w:val="20"/>
              </w:rPr>
            </w:pPr>
            <w:r w:rsidRPr="0010786D">
              <w:rPr>
                <w:color w:val="000000"/>
                <w:sz w:val="20"/>
                <w:szCs w:val="20"/>
              </w:rPr>
              <w:t>9,857</w:t>
            </w:r>
          </w:p>
        </w:tc>
        <w:tc>
          <w:tcPr>
            <w:tcW w:w="1589" w:type="dxa"/>
            <w:tcBorders>
              <w:top w:val="nil"/>
              <w:left w:val="nil"/>
              <w:bottom w:val="single" w:sz="4" w:space="0" w:color="auto"/>
              <w:right w:val="single" w:sz="4" w:space="0" w:color="auto"/>
            </w:tcBorders>
            <w:shd w:val="clear" w:color="auto" w:fill="auto"/>
            <w:noWrap/>
            <w:vAlign w:val="bottom"/>
            <w:hideMark/>
          </w:tcPr>
          <w:p w14:paraId="3E406C58" w14:textId="77777777" w:rsidR="00C06287" w:rsidRPr="0010786D" w:rsidRDefault="00C06287" w:rsidP="00C06287">
            <w:pPr>
              <w:jc w:val="center"/>
              <w:rPr>
                <w:color w:val="000000"/>
                <w:sz w:val="20"/>
                <w:szCs w:val="20"/>
              </w:rPr>
            </w:pPr>
            <w:r w:rsidRPr="0010786D">
              <w:rPr>
                <w:color w:val="000000"/>
                <w:sz w:val="20"/>
                <w:szCs w:val="20"/>
              </w:rPr>
              <w:t>24,325</w:t>
            </w:r>
          </w:p>
        </w:tc>
        <w:tc>
          <w:tcPr>
            <w:tcW w:w="716" w:type="dxa"/>
            <w:tcBorders>
              <w:top w:val="nil"/>
              <w:left w:val="nil"/>
              <w:bottom w:val="single" w:sz="4" w:space="0" w:color="auto"/>
              <w:right w:val="single" w:sz="4" w:space="0" w:color="auto"/>
            </w:tcBorders>
            <w:shd w:val="clear" w:color="auto" w:fill="auto"/>
            <w:noWrap/>
            <w:vAlign w:val="bottom"/>
            <w:hideMark/>
          </w:tcPr>
          <w:p w14:paraId="48893446" w14:textId="77777777" w:rsidR="00C06287" w:rsidRPr="0010786D" w:rsidRDefault="00C06287" w:rsidP="00C06287">
            <w:pPr>
              <w:jc w:val="center"/>
              <w:rPr>
                <w:color w:val="000000"/>
                <w:sz w:val="20"/>
                <w:szCs w:val="20"/>
              </w:rPr>
            </w:pPr>
            <w:r w:rsidRPr="0010786D">
              <w:rPr>
                <w:color w:val="000000"/>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14:paraId="52A74622" w14:textId="77777777" w:rsidR="00C06287" w:rsidRPr="0010786D" w:rsidRDefault="00C06287" w:rsidP="00C06287">
            <w:pPr>
              <w:jc w:val="center"/>
              <w:rPr>
                <w:color w:val="000000"/>
                <w:sz w:val="20"/>
                <w:szCs w:val="20"/>
              </w:rPr>
            </w:pPr>
            <w:r w:rsidRPr="0010786D">
              <w:rPr>
                <w:color w:val="000000"/>
                <w:sz w:val="20"/>
                <w:szCs w:val="20"/>
              </w:rPr>
              <w:t>1,983</w:t>
            </w:r>
          </w:p>
        </w:tc>
        <w:tc>
          <w:tcPr>
            <w:tcW w:w="1589" w:type="dxa"/>
            <w:tcBorders>
              <w:top w:val="nil"/>
              <w:left w:val="nil"/>
              <w:bottom w:val="single" w:sz="4" w:space="0" w:color="auto"/>
              <w:right w:val="single" w:sz="4" w:space="0" w:color="auto"/>
            </w:tcBorders>
            <w:shd w:val="clear" w:color="auto" w:fill="auto"/>
            <w:noWrap/>
            <w:vAlign w:val="bottom"/>
            <w:hideMark/>
          </w:tcPr>
          <w:p w14:paraId="763A64FC" w14:textId="77777777" w:rsidR="00C06287" w:rsidRPr="0010786D" w:rsidRDefault="00C06287" w:rsidP="00C06287">
            <w:pPr>
              <w:jc w:val="center"/>
              <w:rPr>
                <w:color w:val="000000"/>
                <w:sz w:val="20"/>
                <w:szCs w:val="20"/>
              </w:rPr>
            </w:pPr>
            <w:r w:rsidRPr="0010786D">
              <w:rPr>
                <w:color w:val="000000"/>
                <w:sz w:val="20"/>
                <w:szCs w:val="20"/>
              </w:rPr>
              <w:t>2,858</w:t>
            </w:r>
          </w:p>
        </w:tc>
        <w:tc>
          <w:tcPr>
            <w:tcW w:w="866" w:type="dxa"/>
            <w:tcBorders>
              <w:top w:val="nil"/>
              <w:left w:val="nil"/>
              <w:bottom w:val="single" w:sz="4" w:space="0" w:color="auto"/>
              <w:right w:val="single" w:sz="4" w:space="0" w:color="auto"/>
            </w:tcBorders>
            <w:shd w:val="clear" w:color="auto" w:fill="auto"/>
            <w:noWrap/>
            <w:vAlign w:val="bottom"/>
            <w:hideMark/>
          </w:tcPr>
          <w:p w14:paraId="39410132" w14:textId="77777777" w:rsidR="00C06287" w:rsidRPr="0010786D" w:rsidRDefault="00C06287" w:rsidP="00C06287">
            <w:pPr>
              <w:jc w:val="center"/>
              <w:rPr>
                <w:color w:val="000000"/>
                <w:sz w:val="20"/>
                <w:szCs w:val="20"/>
              </w:rPr>
            </w:pPr>
            <w:r w:rsidRPr="0010786D">
              <w:rPr>
                <w:color w:val="000000"/>
                <w:sz w:val="20"/>
                <w:szCs w:val="20"/>
              </w:rPr>
              <w:t>42,561</w:t>
            </w:r>
          </w:p>
        </w:tc>
        <w:tc>
          <w:tcPr>
            <w:tcW w:w="1026" w:type="dxa"/>
            <w:tcBorders>
              <w:top w:val="nil"/>
              <w:left w:val="nil"/>
              <w:bottom w:val="single" w:sz="4" w:space="0" w:color="auto"/>
              <w:right w:val="single" w:sz="4" w:space="0" w:color="auto"/>
            </w:tcBorders>
            <w:shd w:val="clear" w:color="auto" w:fill="auto"/>
            <w:noWrap/>
            <w:vAlign w:val="bottom"/>
            <w:hideMark/>
          </w:tcPr>
          <w:p w14:paraId="0DD7B981" w14:textId="77777777" w:rsidR="00C06287" w:rsidRPr="0010786D" w:rsidRDefault="00C06287" w:rsidP="00C06287">
            <w:pPr>
              <w:jc w:val="center"/>
              <w:rPr>
                <w:color w:val="000000"/>
                <w:sz w:val="20"/>
                <w:szCs w:val="20"/>
              </w:rPr>
            </w:pPr>
            <w:r w:rsidRPr="0010786D">
              <w:rPr>
                <w:color w:val="000000"/>
                <w:sz w:val="20"/>
                <w:szCs w:val="20"/>
              </w:rPr>
              <w:t>11.4%</w:t>
            </w:r>
          </w:p>
        </w:tc>
      </w:tr>
      <w:tr w:rsidR="00C06287" w:rsidRPr="0010786D" w14:paraId="22CC34C0" w14:textId="77777777" w:rsidTr="004623CD">
        <w:trPr>
          <w:trHeight w:val="300"/>
        </w:trPr>
        <w:tc>
          <w:tcPr>
            <w:tcW w:w="960" w:type="dxa"/>
            <w:tcBorders>
              <w:top w:val="nil"/>
              <w:left w:val="single" w:sz="4" w:space="0" w:color="auto"/>
              <w:bottom w:val="single" w:sz="4" w:space="0" w:color="auto"/>
              <w:right w:val="single" w:sz="4" w:space="0" w:color="auto"/>
            </w:tcBorders>
            <w:shd w:val="clear" w:color="000000" w:fill="auto"/>
            <w:noWrap/>
            <w:vAlign w:val="bottom"/>
            <w:hideMark/>
          </w:tcPr>
          <w:p w14:paraId="5E133919" w14:textId="77777777" w:rsidR="00C06287" w:rsidRPr="004623CD" w:rsidRDefault="00C06287" w:rsidP="00C06287">
            <w:pPr>
              <w:jc w:val="center"/>
              <w:rPr>
                <w:bCs/>
                <w:color w:val="000000"/>
                <w:sz w:val="20"/>
                <w:szCs w:val="20"/>
              </w:rPr>
            </w:pPr>
            <w:r w:rsidRPr="004623CD">
              <w:rPr>
                <w:bCs/>
                <w:color w:val="000000"/>
                <w:sz w:val="20"/>
                <w:szCs w:val="20"/>
              </w:rPr>
              <w:t>2012</w:t>
            </w:r>
          </w:p>
        </w:tc>
        <w:tc>
          <w:tcPr>
            <w:tcW w:w="716" w:type="dxa"/>
            <w:tcBorders>
              <w:top w:val="nil"/>
              <w:left w:val="nil"/>
              <w:bottom w:val="single" w:sz="4" w:space="0" w:color="auto"/>
              <w:right w:val="single" w:sz="4" w:space="0" w:color="auto"/>
            </w:tcBorders>
            <w:shd w:val="clear" w:color="auto" w:fill="auto"/>
            <w:noWrap/>
            <w:vAlign w:val="bottom"/>
            <w:hideMark/>
          </w:tcPr>
          <w:p w14:paraId="228258CA" w14:textId="77777777" w:rsidR="00C06287" w:rsidRPr="0010786D" w:rsidRDefault="00C06287" w:rsidP="00C06287">
            <w:pPr>
              <w:jc w:val="center"/>
              <w:rPr>
                <w:color w:val="000000"/>
                <w:sz w:val="20"/>
                <w:szCs w:val="20"/>
              </w:rPr>
            </w:pPr>
            <w:r w:rsidRPr="0010786D">
              <w:rPr>
                <w:color w:val="000000"/>
                <w:sz w:val="20"/>
                <w:szCs w:val="20"/>
              </w:rPr>
              <w:t>763</w:t>
            </w:r>
          </w:p>
        </w:tc>
        <w:tc>
          <w:tcPr>
            <w:tcW w:w="993" w:type="dxa"/>
            <w:tcBorders>
              <w:top w:val="nil"/>
              <w:left w:val="nil"/>
              <w:bottom w:val="single" w:sz="4" w:space="0" w:color="auto"/>
              <w:right w:val="single" w:sz="4" w:space="0" w:color="auto"/>
            </w:tcBorders>
            <w:shd w:val="clear" w:color="auto" w:fill="auto"/>
            <w:noWrap/>
            <w:vAlign w:val="bottom"/>
            <w:hideMark/>
          </w:tcPr>
          <w:p w14:paraId="7D94F5A7" w14:textId="77777777" w:rsidR="00C06287" w:rsidRPr="0010786D" w:rsidRDefault="00C06287" w:rsidP="00C06287">
            <w:pPr>
              <w:jc w:val="center"/>
              <w:rPr>
                <w:color w:val="000000"/>
                <w:sz w:val="20"/>
                <w:szCs w:val="20"/>
              </w:rPr>
            </w:pPr>
            <w:r w:rsidRPr="0010786D">
              <w:rPr>
                <w:color w:val="000000"/>
                <w:sz w:val="20"/>
                <w:szCs w:val="20"/>
              </w:rPr>
              <w:t>4,040</w:t>
            </w:r>
          </w:p>
        </w:tc>
        <w:tc>
          <w:tcPr>
            <w:tcW w:w="1589" w:type="dxa"/>
            <w:tcBorders>
              <w:top w:val="nil"/>
              <w:left w:val="nil"/>
              <w:bottom w:val="single" w:sz="4" w:space="0" w:color="auto"/>
              <w:right w:val="single" w:sz="4" w:space="0" w:color="auto"/>
            </w:tcBorders>
            <w:shd w:val="clear" w:color="auto" w:fill="auto"/>
            <w:noWrap/>
            <w:vAlign w:val="bottom"/>
            <w:hideMark/>
          </w:tcPr>
          <w:p w14:paraId="56A0F151" w14:textId="77777777" w:rsidR="00C06287" w:rsidRPr="0010786D" w:rsidRDefault="00C06287" w:rsidP="00C06287">
            <w:pPr>
              <w:jc w:val="center"/>
              <w:rPr>
                <w:color w:val="000000"/>
                <w:sz w:val="20"/>
                <w:szCs w:val="20"/>
              </w:rPr>
            </w:pPr>
            <w:r w:rsidRPr="0010786D">
              <w:rPr>
                <w:color w:val="000000"/>
                <w:sz w:val="20"/>
                <w:szCs w:val="20"/>
              </w:rPr>
              <w:t>36,055</w:t>
            </w:r>
          </w:p>
        </w:tc>
        <w:tc>
          <w:tcPr>
            <w:tcW w:w="716" w:type="dxa"/>
            <w:tcBorders>
              <w:top w:val="nil"/>
              <w:left w:val="nil"/>
              <w:bottom w:val="single" w:sz="4" w:space="0" w:color="auto"/>
              <w:right w:val="single" w:sz="4" w:space="0" w:color="auto"/>
            </w:tcBorders>
            <w:shd w:val="clear" w:color="auto" w:fill="auto"/>
            <w:noWrap/>
            <w:vAlign w:val="bottom"/>
            <w:hideMark/>
          </w:tcPr>
          <w:p w14:paraId="77568EC2" w14:textId="77777777" w:rsidR="00C06287" w:rsidRPr="0010786D" w:rsidRDefault="00C06287" w:rsidP="00C06287">
            <w:pPr>
              <w:jc w:val="center"/>
              <w:rPr>
                <w:color w:val="000000"/>
                <w:sz w:val="20"/>
                <w:szCs w:val="20"/>
              </w:rPr>
            </w:pPr>
            <w:r w:rsidRPr="0010786D">
              <w:rPr>
                <w:color w:val="000000"/>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14:paraId="4EAF9C9D" w14:textId="77777777" w:rsidR="00C06287" w:rsidRPr="0010786D" w:rsidRDefault="00C06287" w:rsidP="00C06287">
            <w:pPr>
              <w:jc w:val="center"/>
              <w:rPr>
                <w:color w:val="000000"/>
                <w:sz w:val="20"/>
                <w:szCs w:val="20"/>
              </w:rPr>
            </w:pPr>
            <w:r w:rsidRPr="0010786D">
              <w:rPr>
                <w:color w:val="000000"/>
                <w:sz w:val="20"/>
                <w:szCs w:val="20"/>
              </w:rPr>
              <w:t>2,494</w:t>
            </w:r>
          </w:p>
        </w:tc>
        <w:tc>
          <w:tcPr>
            <w:tcW w:w="1589" w:type="dxa"/>
            <w:tcBorders>
              <w:top w:val="nil"/>
              <w:left w:val="nil"/>
              <w:bottom w:val="single" w:sz="4" w:space="0" w:color="auto"/>
              <w:right w:val="single" w:sz="4" w:space="0" w:color="auto"/>
            </w:tcBorders>
            <w:shd w:val="clear" w:color="auto" w:fill="auto"/>
            <w:noWrap/>
            <w:vAlign w:val="bottom"/>
            <w:hideMark/>
          </w:tcPr>
          <w:p w14:paraId="421821DB" w14:textId="77777777" w:rsidR="00C06287" w:rsidRPr="0010786D" w:rsidRDefault="00C06287" w:rsidP="00C06287">
            <w:pPr>
              <w:jc w:val="center"/>
              <w:rPr>
                <w:color w:val="000000"/>
                <w:sz w:val="20"/>
                <w:szCs w:val="20"/>
              </w:rPr>
            </w:pPr>
            <w:r w:rsidRPr="0010786D">
              <w:rPr>
                <w:color w:val="000000"/>
                <w:sz w:val="20"/>
                <w:szCs w:val="20"/>
              </w:rPr>
              <w:t>11,148</w:t>
            </w:r>
          </w:p>
        </w:tc>
        <w:tc>
          <w:tcPr>
            <w:tcW w:w="866" w:type="dxa"/>
            <w:tcBorders>
              <w:top w:val="nil"/>
              <w:left w:val="nil"/>
              <w:bottom w:val="single" w:sz="4" w:space="0" w:color="auto"/>
              <w:right w:val="single" w:sz="4" w:space="0" w:color="auto"/>
            </w:tcBorders>
            <w:shd w:val="clear" w:color="auto" w:fill="auto"/>
            <w:noWrap/>
            <w:vAlign w:val="bottom"/>
            <w:hideMark/>
          </w:tcPr>
          <w:p w14:paraId="32D79AD6" w14:textId="77777777" w:rsidR="00C06287" w:rsidRPr="0010786D" w:rsidRDefault="00C06287" w:rsidP="00C06287">
            <w:pPr>
              <w:jc w:val="center"/>
              <w:rPr>
                <w:color w:val="000000"/>
                <w:sz w:val="20"/>
                <w:szCs w:val="20"/>
              </w:rPr>
            </w:pPr>
            <w:r w:rsidRPr="0010786D">
              <w:rPr>
                <w:color w:val="000000"/>
                <w:sz w:val="20"/>
                <w:szCs w:val="20"/>
              </w:rPr>
              <w:t>54,500</w:t>
            </w:r>
          </w:p>
        </w:tc>
        <w:tc>
          <w:tcPr>
            <w:tcW w:w="1026" w:type="dxa"/>
            <w:tcBorders>
              <w:top w:val="nil"/>
              <w:left w:val="nil"/>
              <w:bottom w:val="single" w:sz="4" w:space="0" w:color="auto"/>
              <w:right w:val="single" w:sz="4" w:space="0" w:color="auto"/>
            </w:tcBorders>
            <w:shd w:val="clear" w:color="auto" w:fill="auto"/>
            <w:noWrap/>
            <w:vAlign w:val="bottom"/>
            <w:hideMark/>
          </w:tcPr>
          <w:p w14:paraId="145BDA23" w14:textId="77777777" w:rsidR="00C06287" w:rsidRPr="0010786D" w:rsidRDefault="00C06287" w:rsidP="00C06287">
            <w:pPr>
              <w:jc w:val="center"/>
              <w:rPr>
                <w:color w:val="000000"/>
                <w:sz w:val="20"/>
                <w:szCs w:val="20"/>
              </w:rPr>
            </w:pPr>
            <w:r w:rsidRPr="0010786D">
              <w:rPr>
                <w:color w:val="000000"/>
                <w:sz w:val="20"/>
                <w:szCs w:val="20"/>
              </w:rPr>
              <w:t>25.0%</w:t>
            </w:r>
          </w:p>
        </w:tc>
      </w:tr>
      <w:tr w:rsidR="00C06287" w:rsidRPr="0010786D" w14:paraId="44247C4B" w14:textId="77777777" w:rsidTr="004623CD">
        <w:trPr>
          <w:trHeight w:val="300"/>
        </w:trPr>
        <w:tc>
          <w:tcPr>
            <w:tcW w:w="960" w:type="dxa"/>
            <w:tcBorders>
              <w:top w:val="nil"/>
              <w:left w:val="single" w:sz="4" w:space="0" w:color="auto"/>
              <w:bottom w:val="single" w:sz="4" w:space="0" w:color="auto"/>
              <w:right w:val="single" w:sz="4" w:space="0" w:color="auto"/>
            </w:tcBorders>
            <w:shd w:val="clear" w:color="000000" w:fill="auto"/>
            <w:noWrap/>
            <w:vAlign w:val="bottom"/>
            <w:hideMark/>
          </w:tcPr>
          <w:p w14:paraId="0F1080E5" w14:textId="77777777" w:rsidR="00C06287" w:rsidRPr="004623CD" w:rsidRDefault="00C06287" w:rsidP="00C06287">
            <w:pPr>
              <w:jc w:val="center"/>
              <w:rPr>
                <w:bCs/>
                <w:color w:val="000000"/>
                <w:sz w:val="20"/>
                <w:szCs w:val="20"/>
              </w:rPr>
            </w:pPr>
            <w:r w:rsidRPr="004623CD">
              <w:rPr>
                <w:bCs/>
                <w:color w:val="000000"/>
                <w:sz w:val="20"/>
                <w:szCs w:val="20"/>
              </w:rPr>
              <w:t>2013</w:t>
            </w:r>
          </w:p>
        </w:tc>
        <w:tc>
          <w:tcPr>
            <w:tcW w:w="716" w:type="dxa"/>
            <w:tcBorders>
              <w:top w:val="nil"/>
              <w:left w:val="nil"/>
              <w:bottom w:val="single" w:sz="4" w:space="0" w:color="auto"/>
              <w:right w:val="single" w:sz="4" w:space="0" w:color="auto"/>
            </w:tcBorders>
            <w:shd w:val="clear" w:color="auto" w:fill="auto"/>
            <w:noWrap/>
            <w:vAlign w:val="bottom"/>
            <w:hideMark/>
          </w:tcPr>
          <w:p w14:paraId="072D8E30" w14:textId="77777777" w:rsidR="00C06287" w:rsidRPr="0010786D" w:rsidRDefault="00C06287" w:rsidP="00C06287">
            <w:pPr>
              <w:jc w:val="center"/>
              <w:rPr>
                <w:color w:val="000000"/>
                <w:sz w:val="20"/>
                <w:szCs w:val="20"/>
              </w:rPr>
            </w:pPr>
            <w:r w:rsidRPr="0010786D">
              <w:rPr>
                <w:color w:val="000000"/>
                <w:sz w:val="20"/>
                <w:szCs w:val="20"/>
              </w:rPr>
              <w:t>3,564</w:t>
            </w:r>
          </w:p>
        </w:tc>
        <w:tc>
          <w:tcPr>
            <w:tcW w:w="993" w:type="dxa"/>
            <w:tcBorders>
              <w:top w:val="nil"/>
              <w:left w:val="nil"/>
              <w:bottom w:val="single" w:sz="4" w:space="0" w:color="auto"/>
              <w:right w:val="single" w:sz="4" w:space="0" w:color="auto"/>
            </w:tcBorders>
            <w:shd w:val="clear" w:color="auto" w:fill="auto"/>
            <w:noWrap/>
            <w:vAlign w:val="bottom"/>
            <w:hideMark/>
          </w:tcPr>
          <w:p w14:paraId="79B4755E" w14:textId="77777777" w:rsidR="00C06287" w:rsidRPr="0010786D" w:rsidRDefault="00C06287" w:rsidP="00C06287">
            <w:pPr>
              <w:jc w:val="center"/>
              <w:rPr>
                <w:color w:val="000000"/>
                <w:sz w:val="20"/>
                <w:szCs w:val="20"/>
              </w:rPr>
            </w:pPr>
            <w:r w:rsidRPr="0010786D">
              <w:rPr>
                <w:color w:val="000000"/>
                <w:sz w:val="20"/>
                <w:szCs w:val="20"/>
              </w:rPr>
              <w:t>15,447</w:t>
            </w:r>
          </w:p>
        </w:tc>
        <w:tc>
          <w:tcPr>
            <w:tcW w:w="1589" w:type="dxa"/>
            <w:tcBorders>
              <w:top w:val="nil"/>
              <w:left w:val="nil"/>
              <w:bottom w:val="single" w:sz="4" w:space="0" w:color="auto"/>
              <w:right w:val="single" w:sz="4" w:space="0" w:color="auto"/>
            </w:tcBorders>
            <w:shd w:val="clear" w:color="auto" w:fill="auto"/>
            <w:noWrap/>
            <w:vAlign w:val="bottom"/>
            <w:hideMark/>
          </w:tcPr>
          <w:p w14:paraId="1B077E41" w14:textId="77777777" w:rsidR="00C06287" w:rsidRPr="0010786D" w:rsidRDefault="00C06287" w:rsidP="00C06287">
            <w:pPr>
              <w:jc w:val="center"/>
              <w:rPr>
                <w:color w:val="000000"/>
                <w:sz w:val="20"/>
                <w:szCs w:val="20"/>
              </w:rPr>
            </w:pPr>
            <w:r w:rsidRPr="0010786D">
              <w:rPr>
                <w:color w:val="000000"/>
                <w:sz w:val="20"/>
                <w:szCs w:val="20"/>
              </w:rPr>
              <w:t>53,535</w:t>
            </w:r>
          </w:p>
        </w:tc>
        <w:tc>
          <w:tcPr>
            <w:tcW w:w="716" w:type="dxa"/>
            <w:tcBorders>
              <w:top w:val="nil"/>
              <w:left w:val="nil"/>
              <w:bottom w:val="single" w:sz="4" w:space="0" w:color="auto"/>
              <w:right w:val="single" w:sz="4" w:space="0" w:color="auto"/>
            </w:tcBorders>
            <w:shd w:val="clear" w:color="auto" w:fill="auto"/>
            <w:noWrap/>
            <w:vAlign w:val="bottom"/>
            <w:hideMark/>
          </w:tcPr>
          <w:p w14:paraId="098334B2" w14:textId="77777777" w:rsidR="00C06287" w:rsidRPr="0010786D" w:rsidRDefault="00C06287" w:rsidP="00C06287">
            <w:pPr>
              <w:jc w:val="center"/>
              <w:rPr>
                <w:color w:val="000000"/>
                <w:sz w:val="20"/>
                <w:szCs w:val="20"/>
              </w:rPr>
            </w:pPr>
            <w:r w:rsidRPr="0010786D">
              <w:rPr>
                <w:color w:val="000000"/>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14:paraId="0989432B" w14:textId="77777777" w:rsidR="00C06287" w:rsidRPr="0010786D" w:rsidRDefault="00C06287" w:rsidP="00C06287">
            <w:pPr>
              <w:jc w:val="center"/>
              <w:rPr>
                <w:color w:val="000000"/>
                <w:sz w:val="20"/>
                <w:szCs w:val="20"/>
              </w:rPr>
            </w:pPr>
            <w:r w:rsidRPr="0010786D">
              <w:rPr>
                <w:color w:val="000000"/>
                <w:sz w:val="20"/>
                <w:szCs w:val="20"/>
              </w:rPr>
              <w:t>2,372</w:t>
            </w:r>
          </w:p>
        </w:tc>
        <w:tc>
          <w:tcPr>
            <w:tcW w:w="1589" w:type="dxa"/>
            <w:tcBorders>
              <w:top w:val="nil"/>
              <w:left w:val="nil"/>
              <w:bottom w:val="single" w:sz="4" w:space="0" w:color="auto"/>
              <w:right w:val="single" w:sz="4" w:space="0" w:color="auto"/>
            </w:tcBorders>
            <w:shd w:val="clear" w:color="auto" w:fill="auto"/>
            <w:noWrap/>
            <w:vAlign w:val="bottom"/>
            <w:hideMark/>
          </w:tcPr>
          <w:p w14:paraId="71E28C6E" w14:textId="77777777" w:rsidR="00C06287" w:rsidRPr="0010786D" w:rsidRDefault="00C06287" w:rsidP="00C06287">
            <w:pPr>
              <w:jc w:val="center"/>
              <w:rPr>
                <w:color w:val="000000"/>
                <w:sz w:val="20"/>
                <w:szCs w:val="20"/>
              </w:rPr>
            </w:pPr>
            <w:r w:rsidRPr="0010786D">
              <w:rPr>
                <w:color w:val="000000"/>
                <w:sz w:val="20"/>
                <w:szCs w:val="20"/>
              </w:rPr>
              <w:t>16,274</w:t>
            </w:r>
          </w:p>
        </w:tc>
        <w:tc>
          <w:tcPr>
            <w:tcW w:w="866" w:type="dxa"/>
            <w:tcBorders>
              <w:top w:val="nil"/>
              <w:left w:val="nil"/>
              <w:bottom w:val="single" w:sz="4" w:space="0" w:color="auto"/>
              <w:right w:val="single" w:sz="4" w:space="0" w:color="auto"/>
            </w:tcBorders>
            <w:shd w:val="clear" w:color="auto" w:fill="auto"/>
            <w:noWrap/>
            <w:vAlign w:val="bottom"/>
            <w:hideMark/>
          </w:tcPr>
          <w:p w14:paraId="1B324090" w14:textId="77777777" w:rsidR="00C06287" w:rsidRPr="0010786D" w:rsidRDefault="00C06287" w:rsidP="00C06287">
            <w:pPr>
              <w:jc w:val="center"/>
              <w:rPr>
                <w:color w:val="000000"/>
                <w:sz w:val="20"/>
                <w:szCs w:val="20"/>
              </w:rPr>
            </w:pPr>
            <w:r w:rsidRPr="0010786D">
              <w:rPr>
                <w:color w:val="000000"/>
                <w:sz w:val="20"/>
                <w:szCs w:val="20"/>
              </w:rPr>
              <w:t>91,192</w:t>
            </w:r>
          </w:p>
        </w:tc>
        <w:tc>
          <w:tcPr>
            <w:tcW w:w="1026" w:type="dxa"/>
            <w:tcBorders>
              <w:top w:val="nil"/>
              <w:left w:val="nil"/>
              <w:bottom w:val="single" w:sz="4" w:space="0" w:color="auto"/>
              <w:right w:val="single" w:sz="4" w:space="0" w:color="auto"/>
            </w:tcBorders>
            <w:shd w:val="clear" w:color="auto" w:fill="auto"/>
            <w:noWrap/>
            <w:vAlign w:val="bottom"/>
            <w:hideMark/>
          </w:tcPr>
          <w:p w14:paraId="71E39DAA" w14:textId="77777777" w:rsidR="00C06287" w:rsidRPr="0010786D" w:rsidRDefault="00C06287" w:rsidP="00C06287">
            <w:pPr>
              <w:jc w:val="center"/>
              <w:rPr>
                <w:color w:val="000000"/>
                <w:sz w:val="20"/>
                <w:szCs w:val="20"/>
              </w:rPr>
            </w:pPr>
            <w:r w:rsidRPr="0010786D">
              <w:rPr>
                <w:color w:val="000000"/>
                <w:sz w:val="20"/>
                <w:szCs w:val="20"/>
              </w:rPr>
              <w:t>20.4%</w:t>
            </w:r>
          </w:p>
        </w:tc>
      </w:tr>
      <w:tr w:rsidR="00C06287" w:rsidRPr="0010786D" w14:paraId="35F1CB2A" w14:textId="77777777" w:rsidTr="004623CD">
        <w:trPr>
          <w:trHeight w:val="300"/>
        </w:trPr>
        <w:tc>
          <w:tcPr>
            <w:tcW w:w="960" w:type="dxa"/>
            <w:tcBorders>
              <w:top w:val="nil"/>
              <w:left w:val="single" w:sz="4" w:space="0" w:color="auto"/>
              <w:bottom w:val="single" w:sz="4" w:space="0" w:color="auto"/>
              <w:right w:val="single" w:sz="4" w:space="0" w:color="auto"/>
            </w:tcBorders>
            <w:shd w:val="clear" w:color="000000" w:fill="auto"/>
            <w:noWrap/>
            <w:vAlign w:val="bottom"/>
            <w:hideMark/>
          </w:tcPr>
          <w:p w14:paraId="46C114B3" w14:textId="77777777" w:rsidR="00C06287" w:rsidRPr="004623CD" w:rsidRDefault="00C06287" w:rsidP="00C06287">
            <w:pPr>
              <w:jc w:val="center"/>
              <w:rPr>
                <w:bCs/>
                <w:color w:val="000000"/>
                <w:sz w:val="20"/>
                <w:szCs w:val="20"/>
              </w:rPr>
            </w:pPr>
            <w:r w:rsidRPr="004623CD">
              <w:rPr>
                <w:bCs/>
                <w:color w:val="000000"/>
                <w:sz w:val="20"/>
                <w:szCs w:val="20"/>
              </w:rPr>
              <w:t>2014</w:t>
            </w:r>
          </w:p>
        </w:tc>
        <w:tc>
          <w:tcPr>
            <w:tcW w:w="716" w:type="dxa"/>
            <w:tcBorders>
              <w:top w:val="nil"/>
              <w:left w:val="nil"/>
              <w:bottom w:val="single" w:sz="4" w:space="0" w:color="auto"/>
              <w:right w:val="single" w:sz="4" w:space="0" w:color="auto"/>
            </w:tcBorders>
            <w:shd w:val="clear" w:color="auto" w:fill="auto"/>
            <w:noWrap/>
            <w:vAlign w:val="bottom"/>
            <w:hideMark/>
          </w:tcPr>
          <w:p w14:paraId="7843ED7E" w14:textId="77777777" w:rsidR="00C06287" w:rsidRPr="0010786D" w:rsidRDefault="00C06287" w:rsidP="00C06287">
            <w:pPr>
              <w:jc w:val="center"/>
              <w:rPr>
                <w:color w:val="000000"/>
                <w:sz w:val="20"/>
                <w:szCs w:val="20"/>
              </w:rPr>
            </w:pPr>
            <w:r w:rsidRPr="0010786D">
              <w:rPr>
                <w:color w:val="000000"/>
                <w:sz w:val="20"/>
                <w:szCs w:val="20"/>
              </w:rPr>
              <w:t>688</w:t>
            </w:r>
          </w:p>
        </w:tc>
        <w:tc>
          <w:tcPr>
            <w:tcW w:w="993" w:type="dxa"/>
            <w:tcBorders>
              <w:top w:val="nil"/>
              <w:left w:val="nil"/>
              <w:bottom w:val="single" w:sz="4" w:space="0" w:color="auto"/>
              <w:right w:val="single" w:sz="4" w:space="0" w:color="auto"/>
            </w:tcBorders>
            <w:shd w:val="clear" w:color="auto" w:fill="auto"/>
            <w:noWrap/>
            <w:vAlign w:val="bottom"/>
            <w:hideMark/>
          </w:tcPr>
          <w:p w14:paraId="60FAEC23" w14:textId="77777777" w:rsidR="00C06287" w:rsidRPr="0010786D" w:rsidRDefault="00C06287" w:rsidP="00C06287">
            <w:pPr>
              <w:jc w:val="center"/>
              <w:rPr>
                <w:color w:val="000000"/>
                <w:sz w:val="20"/>
                <w:szCs w:val="20"/>
              </w:rPr>
            </w:pPr>
            <w:r w:rsidRPr="0010786D">
              <w:rPr>
                <w:color w:val="000000"/>
                <w:sz w:val="20"/>
                <w:szCs w:val="20"/>
              </w:rPr>
              <w:t>10,388</w:t>
            </w:r>
          </w:p>
        </w:tc>
        <w:tc>
          <w:tcPr>
            <w:tcW w:w="1589" w:type="dxa"/>
            <w:tcBorders>
              <w:top w:val="nil"/>
              <w:left w:val="nil"/>
              <w:bottom w:val="single" w:sz="4" w:space="0" w:color="auto"/>
              <w:right w:val="single" w:sz="4" w:space="0" w:color="auto"/>
            </w:tcBorders>
            <w:shd w:val="clear" w:color="auto" w:fill="auto"/>
            <w:noWrap/>
            <w:vAlign w:val="bottom"/>
            <w:hideMark/>
          </w:tcPr>
          <w:p w14:paraId="1541F42D" w14:textId="77777777" w:rsidR="00C06287" w:rsidRPr="0010786D" w:rsidRDefault="00C06287" w:rsidP="00C06287">
            <w:pPr>
              <w:jc w:val="center"/>
              <w:rPr>
                <w:color w:val="000000"/>
                <w:sz w:val="20"/>
                <w:szCs w:val="20"/>
              </w:rPr>
            </w:pPr>
            <w:r w:rsidRPr="0010786D">
              <w:rPr>
                <w:color w:val="000000"/>
                <w:sz w:val="20"/>
                <w:szCs w:val="20"/>
              </w:rPr>
              <w:t>53,872</w:t>
            </w:r>
          </w:p>
        </w:tc>
        <w:tc>
          <w:tcPr>
            <w:tcW w:w="716" w:type="dxa"/>
            <w:tcBorders>
              <w:top w:val="nil"/>
              <w:left w:val="nil"/>
              <w:bottom w:val="single" w:sz="4" w:space="0" w:color="auto"/>
              <w:right w:val="single" w:sz="4" w:space="0" w:color="auto"/>
            </w:tcBorders>
            <w:shd w:val="clear" w:color="auto" w:fill="auto"/>
            <w:noWrap/>
            <w:vAlign w:val="bottom"/>
            <w:hideMark/>
          </w:tcPr>
          <w:p w14:paraId="1E4126AF" w14:textId="77777777" w:rsidR="00C06287" w:rsidRPr="0010786D" w:rsidRDefault="00C06287" w:rsidP="00C06287">
            <w:pPr>
              <w:jc w:val="center"/>
              <w:rPr>
                <w:color w:val="000000"/>
                <w:sz w:val="20"/>
                <w:szCs w:val="20"/>
              </w:rPr>
            </w:pPr>
            <w:r w:rsidRPr="0010786D">
              <w:rPr>
                <w:color w:val="000000"/>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14:paraId="4475D43A" w14:textId="77777777" w:rsidR="00C06287" w:rsidRPr="0010786D" w:rsidRDefault="00C06287" w:rsidP="00C06287">
            <w:pPr>
              <w:jc w:val="center"/>
              <w:rPr>
                <w:color w:val="000000"/>
                <w:sz w:val="20"/>
                <w:szCs w:val="20"/>
              </w:rPr>
            </w:pPr>
            <w:r w:rsidRPr="0010786D">
              <w:rPr>
                <w:color w:val="000000"/>
                <w:sz w:val="20"/>
                <w:szCs w:val="20"/>
              </w:rPr>
              <w:t>6,564</w:t>
            </w:r>
          </w:p>
        </w:tc>
        <w:tc>
          <w:tcPr>
            <w:tcW w:w="1589" w:type="dxa"/>
            <w:tcBorders>
              <w:top w:val="nil"/>
              <w:left w:val="nil"/>
              <w:bottom w:val="single" w:sz="4" w:space="0" w:color="auto"/>
              <w:right w:val="single" w:sz="4" w:space="0" w:color="auto"/>
            </w:tcBorders>
            <w:shd w:val="clear" w:color="auto" w:fill="auto"/>
            <w:noWrap/>
            <w:vAlign w:val="bottom"/>
            <w:hideMark/>
          </w:tcPr>
          <w:p w14:paraId="775B87F0" w14:textId="77777777" w:rsidR="00C06287" w:rsidRPr="0010786D" w:rsidRDefault="00C06287" w:rsidP="00C06287">
            <w:pPr>
              <w:jc w:val="center"/>
              <w:rPr>
                <w:color w:val="000000"/>
                <w:sz w:val="20"/>
                <w:szCs w:val="20"/>
              </w:rPr>
            </w:pPr>
            <w:r w:rsidRPr="0010786D">
              <w:rPr>
                <w:color w:val="000000"/>
                <w:sz w:val="20"/>
                <w:szCs w:val="20"/>
              </w:rPr>
              <w:t>14,587</w:t>
            </w:r>
          </w:p>
        </w:tc>
        <w:tc>
          <w:tcPr>
            <w:tcW w:w="866" w:type="dxa"/>
            <w:tcBorders>
              <w:top w:val="nil"/>
              <w:left w:val="nil"/>
              <w:bottom w:val="single" w:sz="4" w:space="0" w:color="auto"/>
              <w:right w:val="single" w:sz="4" w:space="0" w:color="auto"/>
            </w:tcBorders>
            <w:shd w:val="clear" w:color="auto" w:fill="auto"/>
            <w:noWrap/>
            <w:vAlign w:val="bottom"/>
            <w:hideMark/>
          </w:tcPr>
          <w:p w14:paraId="0D7AFE59" w14:textId="77777777" w:rsidR="00C06287" w:rsidRPr="0010786D" w:rsidRDefault="00C06287" w:rsidP="00C06287">
            <w:pPr>
              <w:jc w:val="center"/>
              <w:rPr>
                <w:color w:val="000000"/>
                <w:sz w:val="20"/>
                <w:szCs w:val="20"/>
              </w:rPr>
            </w:pPr>
            <w:r w:rsidRPr="0010786D">
              <w:rPr>
                <w:color w:val="000000"/>
                <w:sz w:val="20"/>
                <w:szCs w:val="20"/>
              </w:rPr>
              <w:t>86,099</w:t>
            </w:r>
          </w:p>
        </w:tc>
        <w:tc>
          <w:tcPr>
            <w:tcW w:w="1026" w:type="dxa"/>
            <w:tcBorders>
              <w:top w:val="nil"/>
              <w:left w:val="nil"/>
              <w:bottom w:val="single" w:sz="4" w:space="0" w:color="auto"/>
              <w:right w:val="single" w:sz="4" w:space="0" w:color="auto"/>
            </w:tcBorders>
            <w:shd w:val="clear" w:color="auto" w:fill="auto"/>
            <w:noWrap/>
            <w:vAlign w:val="bottom"/>
            <w:hideMark/>
          </w:tcPr>
          <w:p w14:paraId="427C4F0F" w14:textId="77777777" w:rsidR="00C06287" w:rsidRPr="0010786D" w:rsidRDefault="00C06287" w:rsidP="00C06287">
            <w:pPr>
              <w:jc w:val="center"/>
              <w:rPr>
                <w:color w:val="000000"/>
                <w:sz w:val="20"/>
                <w:szCs w:val="20"/>
              </w:rPr>
            </w:pPr>
            <w:r w:rsidRPr="0010786D">
              <w:rPr>
                <w:color w:val="000000"/>
                <w:sz w:val="20"/>
                <w:szCs w:val="20"/>
              </w:rPr>
              <w:t>24.6%</w:t>
            </w:r>
          </w:p>
        </w:tc>
      </w:tr>
      <w:tr w:rsidR="00C06287" w:rsidRPr="0010786D" w14:paraId="67A81C2B" w14:textId="77777777" w:rsidTr="004623CD">
        <w:trPr>
          <w:trHeight w:val="300"/>
        </w:trPr>
        <w:tc>
          <w:tcPr>
            <w:tcW w:w="960" w:type="dxa"/>
            <w:tcBorders>
              <w:top w:val="nil"/>
              <w:left w:val="single" w:sz="4" w:space="0" w:color="auto"/>
              <w:bottom w:val="single" w:sz="4" w:space="0" w:color="auto"/>
              <w:right w:val="single" w:sz="4" w:space="0" w:color="auto"/>
            </w:tcBorders>
            <w:shd w:val="clear" w:color="000000" w:fill="auto"/>
            <w:noWrap/>
            <w:vAlign w:val="bottom"/>
            <w:hideMark/>
          </w:tcPr>
          <w:p w14:paraId="180BE67F" w14:textId="77777777" w:rsidR="00C06287" w:rsidRPr="004623CD" w:rsidRDefault="00C06287" w:rsidP="00C06287">
            <w:pPr>
              <w:jc w:val="center"/>
              <w:rPr>
                <w:bCs/>
                <w:color w:val="000000"/>
                <w:sz w:val="20"/>
                <w:szCs w:val="20"/>
              </w:rPr>
            </w:pPr>
            <w:r w:rsidRPr="004623CD">
              <w:rPr>
                <w:bCs/>
                <w:color w:val="000000"/>
                <w:sz w:val="20"/>
                <w:szCs w:val="20"/>
              </w:rPr>
              <w:t>Average</w:t>
            </w:r>
          </w:p>
        </w:tc>
        <w:tc>
          <w:tcPr>
            <w:tcW w:w="716" w:type="dxa"/>
            <w:tcBorders>
              <w:top w:val="nil"/>
              <w:left w:val="nil"/>
              <w:bottom w:val="single" w:sz="4" w:space="0" w:color="auto"/>
              <w:right w:val="single" w:sz="4" w:space="0" w:color="auto"/>
            </w:tcBorders>
            <w:shd w:val="clear" w:color="auto" w:fill="auto"/>
            <w:noWrap/>
            <w:vAlign w:val="bottom"/>
            <w:hideMark/>
          </w:tcPr>
          <w:p w14:paraId="1B96609E" w14:textId="77777777" w:rsidR="00C06287" w:rsidRPr="0010786D" w:rsidRDefault="00C06287" w:rsidP="00C06287">
            <w:pPr>
              <w:jc w:val="center"/>
              <w:rPr>
                <w:color w:val="000000"/>
                <w:sz w:val="20"/>
                <w:szCs w:val="20"/>
              </w:rPr>
            </w:pPr>
            <w:r w:rsidRPr="0010786D">
              <w:rPr>
                <w:color w:val="000000"/>
                <w:sz w:val="20"/>
                <w:szCs w:val="20"/>
              </w:rPr>
              <w:t>3,460</w:t>
            </w:r>
          </w:p>
        </w:tc>
        <w:tc>
          <w:tcPr>
            <w:tcW w:w="993" w:type="dxa"/>
            <w:tcBorders>
              <w:top w:val="nil"/>
              <w:left w:val="nil"/>
              <w:bottom w:val="single" w:sz="4" w:space="0" w:color="auto"/>
              <w:right w:val="single" w:sz="4" w:space="0" w:color="auto"/>
            </w:tcBorders>
            <w:shd w:val="clear" w:color="auto" w:fill="auto"/>
            <w:noWrap/>
            <w:vAlign w:val="bottom"/>
            <w:hideMark/>
          </w:tcPr>
          <w:p w14:paraId="73055600" w14:textId="77777777" w:rsidR="00C06287" w:rsidRPr="0010786D" w:rsidRDefault="00C06287" w:rsidP="00C06287">
            <w:pPr>
              <w:jc w:val="center"/>
              <w:rPr>
                <w:color w:val="000000"/>
                <w:sz w:val="20"/>
                <w:szCs w:val="20"/>
              </w:rPr>
            </w:pPr>
            <w:r w:rsidRPr="0010786D">
              <w:rPr>
                <w:color w:val="000000"/>
                <w:sz w:val="20"/>
                <w:szCs w:val="20"/>
              </w:rPr>
              <w:t>10,349</w:t>
            </w:r>
          </w:p>
        </w:tc>
        <w:tc>
          <w:tcPr>
            <w:tcW w:w="1589" w:type="dxa"/>
            <w:tcBorders>
              <w:top w:val="nil"/>
              <w:left w:val="nil"/>
              <w:bottom w:val="single" w:sz="4" w:space="0" w:color="auto"/>
              <w:right w:val="single" w:sz="4" w:space="0" w:color="auto"/>
            </w:tcBorders>
            <w:shd w:val="clear" w:color="auto" w:fill="auto"/>
            <w:noWrap/>
            <w:vAlign w:val="bottom"/>
            <w:hideMark/>
          </w:tcPr>
          <w:p w14:paraId="2EC13E94" w14:textId="77777777" w:rsidR="00C06287" w:rsidRPr="0010786D" w:rsidRDefault="00C06287" w:rsidP="00C06287">
            <w:pPr>
              <w:jc w:val="center"/>
              <w:rPr>
                <w:color w:val="000000"/>
                <w:sz w:val="20"/>
                <w:szCs w:val="20"/>
              </w:rPr>
            </w:pPr>
            <w:r w:rsidRPr="0010786D">
              <w:rPr>
                <w:color w:val="000000"/>
                <w:sz w:val="20"/>
                <w:szCs w:val="20"/>
              </w:rPr>
              <w:t>47,939</w:t>
            </w:r>
          </w:p>
        </w:tc>
        <w:tc>
          <w:tcPr>
            <w:tcW w:w="716" w:type="dxa"/>
            <w:tcBorders>
              <w:top w:val="nil"/>
              <w:left w:val="nil"/>
              <w:bottom w:val="single" w:sz="4" w:space="0" w:color="auto"/>
              <w:right w:val="single" w:sz="4" w:space="0" w:color="auto"/>
            </w:tcBorders>
            <w:shd w:val="clear" w:color="auto" w:fill="auto"/>
            <w:noWrap/>
            <w:vAlign w:val="bottom"/>
            <w:hideMark/>
          </w:tcPr>
          <w:p w14:paraId="468A81EA" w14:textId="77777777" w:rsidR="00C06287" w:rsidRPr="0010786D" w:rsidRDefault="00C06287" w:rsidP="00C06287">
            <w:pPr>
              <w:jc w:val="center"/>
              <w:rPr>
                <w:color w:val="000000"/>
                <w:sz w:val="20"/>
                <w:szCs w:val="20"/>
              </w:rPr>
            </w:pPr>
            <w:r w:rsidRPr="0010786D">
              <w:rPr>
                <w:color w:val="000000"/>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14:paraId="4AA6D928" w14:textId="77777777" w:rsidR="00C06287" w:rsidRPr="0010786D" w:rsidRDefault="00C06287" w:rsidP="00C06287">
            <w:pPr>
              <w:jc w:val="center"/>
              <w:rPr>
                <w:color w:val="000000"/>
                <w:sz w:val="20"/>
                <w:szCs w:val="20"/>
              </w:rPr>
            </w:pPr>
            <w:r w:rsidRPr="0010786D">
              <w:rPr>
                <w:color w:val="000000"/>
                <w:sz w:val="20"/>
                <w:szCs w:val="20"/>
              </w:rPr>
              <w:t>4,263</w:t>
            </w:r>
          </w:p>
        </w:tc>
        <w:tc>
          <w:tcPr>
            <w:tcW w:w="1589" w:type="dxa"/>
            <w:tcBorders>
              <w:top w:val="nil"/>
              <w:left w:val="nil"/>
              <w:bottom w:val="single" w:sz="4" w:space="0" w:color="auto"/>
              <w:right w:val="single" w:sz="4" w:space="0" w:color="auto"/>
            </w:tcBorders>
            <w:shd w:val="clear" w:color="auto" w:fill="auto"/>
            <w:noWrap/>
            <w:vAlign w:val="bottom"/>
            <w:hideMark/>
          </w:tcPr>
          <w:p w14:paraId="7DE5A3A0" w14:textId="77777777" w:rsidR="00C06287" w:rsidRPr="0010786D" w:rsidRDefault="00C06287" w:rsidP="00C06287">
            <w:pPr>
              <w:jc w:val="center"/>
              <w:rPr>
                <w:color w:val="000000"/>
                <w:sz w:val="20"/>
                <w:szCs w:val="20"/>
              </w:rPr>
            </w:pPr>
            <w:r w:rsidRPr="0010786D">
              <w:rPr>
                <w:color w:val="000000"/>
                <w:sz w:val="20"/>
                <w:szCs w:val="20"/>
              </w:rPr>
              <w:t>11,402</w:t>
            </w:r>
          </w:p>
        </w:tc>
        <w:tc>
          <w:tcPr>
            <w:tcW w:w="866" w:type="dxa"/>
            <w:tcBorders>
              <w:top w:val="nil"/>
              <w:left w:val="nil"/>
              <w:bottom w:val="single" w:sz="4" w:space="0" w:color="auto"/>
              <w:right w:val="single" w:sz="4" w:space="0" w:color="auto"/>
            </w:tcBorders>
            <w:shd w:val="clear" w:color="auto" w:fill="auto"/>
            <w:noWrap/>
            <w:vAlign w:val="bottom"/>
            <w:hideMark/>
          </w:tcPr>
          <w:p w14:paraId="6DC337FE" w14:textId="77777777" w:rsidR="00C06287" w:rsidRPr="0010786D" w:rsidRDefault="00C06287" w:rsidP="00C06287">
            <w:pPr>
              <w:jc w:val="center"/>
              <w:rPr>
                <w:color w:val="000000"/>
                <w:sz w:val="20"/>
                <w:szCs w:val="20"/>
              </w:rPr>
            </w:pPr>
            <w:r w:rsidRPr="0010786D">
              <w:rPr>
                <w:color w:val="000000"/>
                <w:sz w:val="20"/>
                <w:szCs w:val="20"/>
              </w:rPr>
              <w:t>77,413</w:t>
            </w:r>
          </w:p>
        </w:tc>
        <w:tc>
          <w:tcPr>
            <w:tcW w:w="1026" w:type="dxa"/>
            <w:tcBorders>
              <w:top w:val="nil"/>
              <w:left w:val="nil"/>
              <w:bottom w:val="single" w:sz="4" w:space="0" w:color="auto"/>
              <w:right w:val="single" w:sz="4" w:space="0" w:color="auto"/>
            </w:tcBorders>
            <w:shd w:val="clear" w:color="auto" w:fill="auto"/>
            <w:noWrap/>
            <w:vAlign w:val="bottom"/>
            <w:hideMark/>
          </w:tcPr>
          <w:p w14:paraId="754809AD" w14:textId="77777777" w:rsidR="00C06287" w:rsidRPr="0010786D" w:rsidRDefault="00C06287" w:rsidP="00C06287">
            <w:pPr>
              <w:jc w:val="center"/>
              <w:rPr>
                <w:color w:val="000000"/>
                <w:sz w:val="20"/>
                <w:szCs w:val="20"/>
              </w:rPr>
            </w:pPr>
            <w:r w:rsidRPr="0010786D">
              <w:rPr>
                <w:color w:val="000000"/>
                <w:sz w:val="20"/>
                <w:szCs w:val="20"/>
              </w:rPr>
              <w:t>19.8%</w:t>
            </w:r>
          </w:p>
        </w:tc>
      </w:tr>
    </w:tbl>
    <w:p w14:paraId="374D943C" w14:textId="5D69C91E" w:rsidR="00C06287" w:rsidRDefault="004623CD" w:rsidP="00C06287">
      <w:pPr>
        <w:rPr>
          <w:rFonts w:ascii="Arial" w:hAnsi="Arial" w:cs="Arial"/>
          <w:sz w:val="20"/>
          <w:szCs w:val="20"/>
        </w:rPr>
      </w:pPr>
      <w:r>
        <w:rPr>
          <w:rFonts w:ascii="Arial" w:hAnsi="Arial" w:cs="Arial"/>
          <w:sz w:val="20"/>
          <w:szCs w:val="20"/>
        </w:rPr>
        <w:t xml:space="preserve">Source: </w:t>
      </w:r>
      <w:r w:rsidRPr="00091BD5">
        <w:rPr>
          <w:rFonts w:ascii="Arial" w:hAnsi="Arial" w:cs="Arial"/>
          <w:sz w:val="20"/>
          <w:szCs w:val="20"/>
        </w:rPr>
        <w:t xml:space="preserve"> Personal communication from the National Marine Fisheries Service, Fisher</w:t>
      </w:r>
      <w:r>
        <w:rPr>
          <w:rFonts w:ascii="Arial" w:hAnsi="Arial" w:cs="Arial"/>
          <w:sz w:val="20"/>
          <w:szCs w:val="20"/>
        </w:rPr>
        <w:t>ies Statistics Division April 4</w:t>
      </w:r>
      <w:r w:rsidRPr="00091BD5">
        <w:rPr>
          <w:rFonts w:ascii="Arial" w:hAnsi="Arial" w:cs="Arial"/>
          <w:sz w:val="20"/>
          <w:szCs w:val="20"/>
        </w:rPr>
        <w:t>, 2016</w:t>
      </w:r>
      <w:r>
        <w:rPr>
          <w:rFonts w:ascii="Arial" w:hAnsi="Arial" w:cs="Arial"/>
          <w:sz w:val="20"/>
          <w:szCs w:val="20"/>
        </w:rPr>
        <w:t>.</w:t>
      </w:r>
    </w:p>
    <w:p w14:paraId="4B824C89" w14:textId="77777777" w:rsidR="00C06287" w:rsidRDefault="00C06287" w:rsidP="00C06287">
      <w:pPr>
        <w:rPr>
          <w:rFonts w:ascii="Arial" w:hAnsi="Arial" w:cs="Arial"/>
          <w:sz w:val="20"/>
          <w:szCs w:val="20"/>
        </w:rPr>
      </w:pPr>
    </w:p>
    <w:p w14:paraId="60BF0EC4" w14:textId="500F2CEE" w:rsidR="00C06287" w:rsidRDefault="00C06287" w:rsidP="00D544ED">
      <w:r>
        <w:t>From 2010 through 2014, an annual average of 48,156 angler trips caught and released mutton snapper (</w:t>
      </w:r>
      <w:r>
        <w:rPr>
          <w:b/>
        </w:rPr>
        <w:t>Table 3.3.29</w:t>
      </w:r>
      <w:r>
        <w:t xml:space="preserve">).  Those estimated 48,156 trips represent approximately 41% of the average annual trips that caught mutton snapper.  Approximately 11% of the trips occurred in federal waters.  For-hire vessels accounted for an average of approximately 7% of the catch-and-release trips in all waters and approximately 11% of the catch-and-release trips in the EEZ during that time.    </w:t>
      </w:r>
    </w:p>
    <w:p w14:paraId="3BA5DDE5" w14:textId="77777777" w:rsidR="00493106" w:rsidRDefault="00493106" w:rsidP="00D544ED"/>
    <w:p w14:paraId="3F5F39AD" w14:textId="77777777" w:rsidR="00D544ED" w:rsidRDefault="00D544ED" w:rsidP="00493106">
      <w:pPr>
        <w:pStyle w:val="Tabletitle"/>
      </w:pPr>
      <w:bookmarkStart w:id="175" w:name="_Toc340431574"/>
      <w:r>
        <w:rPr>
          <w:b/>
        </w:rPr>
        <w:t>Table 3.3.29</w:t>
      </w:r>
      <w:r w:rsidRPr="00091BD5">
        <w:rPr>
          <w:b/>
        </w:rPr>
        <w:t>.</w:t>
      </w:r>
      <w:r>
        <w:t xml:space="preserve">  Estimates of number of East Florida angler trips that caught and released mutton snapper by mode and waters fished, 2010-2014.</w:t>
      </w:r>
      <w:bookmarkEnd w:id="175"/>
      <w:r>
        <w:t xml:space="preserve">  </w:t>
      </w:r>
    </w:p>
    <w:tbl>
      <w:tblPr>
        <w:tblW w:w="9320" w:type="dxa"/>
        <w:tblInd w:w="93" w:type="dxa"/>
        <w:tblLook w:val="04A0" w:firstRow="1" w:lastRow="0" w:firstColumn="1" w:lastColumn="0" w:noHBand="0" w:noVBand="1"/>
      </w:tblPr>
      <w:tblGrid>
        <w:gridCol w:w="960"/>
        <w:gridCol w:w="766"/>
        <w:gridCol w:w="1001"/>
        <w:gridCol w:w="1601"/>
        <w:gridCol w:w="716"/>
        <w:gridCol w:w="1001"/>
        <w:gridCol w:w="1601"/>
        <w:gridCol w:w="766"/>
        <w:gridCol w:w="1034"/>
      </w:tblGrid>
      <w:tr w:rsidR="00D544ED" w14:paraId="314FFE27" w14:textId="77777777" w:rsidTr="00493106">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43347624" w14:textId="77777777" w:rsidR="00D544ED" w:rsidRDefault="00D544ED" w:rsidP="00E65D9E">
            <w:pPr>
              <w:jc w:val="center"/>
              <w:rPr>
                <w:b/>
                <w:bCs/>
                <w:color w:val="000000"/>
                <w:sz w:val="20"/>
                <w:szCs w:val="20"/>
              </w:rPr>
            </w:pPr>
            <w:r>
              <w:rPr>
                <w:b/>
                <w:bCs/>
                <w:color w:val="000000"/>
                <w:sz w:val="20"/>
                <w:szCs w:val="20"/>
              </w:rPr>
              <w:t>Year</w:t>
            </w:r>
          </w:p>
        </w:tc>
        <w:tc>
          <w:tcPr>
            <w:tcW w:w="8360" w:type="dxa"/>
            <w:gridSpan w:val="8"/>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EA52A2E" w14:textId="77777777" w:rsidR="00D544ED" w:rsidRDefault="00D544ED" w:rsidP="00E65D9E">
            <w:pPr>
              <w:jc w:val="center"/>
              <w:rPr>
                <w:b/>
                <w:bCs/>
                <w:color w:val="000000"/>
                <w:sz w:val="20"/>
                <w:szCs w:val="20"/>
              </w:rPr>
            </w:pPr>
            <w:r>
              <w:rPr>
                <w:b/>
                <w:bCs/>
                <w:color w:val="000000"/>
                <w:sz w:val="20"/>
                <w:szCs w:val="20"/>
              </w:rPr>
              <w:t>Number of angler trips that caught and released mutton snapper</w:t>
            </w:r>
          </w:p>
        </w:tc>
      </w:tr>
      <w:tr w:rsidR="00D544ED" w14:paraId="3FC180F2" w14:textId="77777777" w:rsidTr="00493106">
        <w:trPr>
          <w:trHeight w:val="300"/>
        </w:trPr>
        <w:tc>
          <w:tcPr>
            <w:tcW w:w="96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4D5F708" w14:textId="77777777" w:rsidR="00D544ED" w:rsidRDefault="00D544ED" w:rsidP="00E65D9E">
            <w:pPr>
              <w:rPr>
                <w:b/>
                <w:bCs/>
                <w:color w:val="000000"/>
                <w:sz w:val="20"/>
                <w:szCs w:val="20"/>
              </w:rPr>
            </w:pPr>
          </w:p>
        </w:tc>
        <w:tc>
          <w:tcPr>
            <w:tcW w:w="333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F72D813" w14:textId="77777777" w:rsidR="00D544ED" w:rsidRDefault="00D544ED" w:rsidP="00E65D9E">
            <w:pPr>
              <w:jc w:val="center"/>
              <w:rPr>
                <w:b/>
                <w:bCs/>
                <w:color w:val="000000"/>
                <w:sz w:val="20"/>
                <w:szCs w:val="20"/>
              </w:rPr>
            </w:pPr>
            <w:r>
              <w:rPr>
                <w:b/>
                <w:bCs/>
                <w:color w:val="000000"/>
                <w:sz w:val="20"/>
                <w:szCs w:val="20"/>
              </w:rPr>
              <w:t>East FL waters</w:t>
            </w:r>
          </w:p>
        </w:tc>
        <w:tc>
          <w:tcPr>
            <w:tcW w:w="326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3D85FDD" w14:textId="77777777" w:rsidR="00D544ED" w:rsidRDefault="00D544ED" w:rsidP="00E65D9E">
            <w:pPr>
              <w:jc w:val="center"/>
              <w:rPr>
                <w:b/>
                <w:bCs/>
                <w:color w:val="000000"/>
                <w:sz w:val="20"/>
                <w:szCs w:val="20"/>
              </w:rPr>
            </w:pPr>
            <w:r>
              <w:rPr>
                <w:b/>
                <w:bCs/>
                <w:color w:val="000000"/>
                <w:sz w:val="20"/>
                <w:szCs w:val="20"/>
              </w:rPr>
              <w:t>EEZ</w:t>
            </w:r>
          </w:p>
        </w:tc>
        <w:tc>
          <w:tcPr>
            <w:tcW w:w="728"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EE29101" w14:textId="77777777" w:rsidR="00D544ED" w:rsidRDefault="00D544ED" w:rsidP="00E65D9E">
            <w:pPr>
              <w:jc w:val="center"/>
              <w:rPr>
                <w:b/>
                <w:bCs/>
                <w:color w:val="000000"/>
                <w:sz w:val="20"/>
                <w:szCs w:val="20"/>
              </w:rPr>
            </w:pPr>
            <w:r>
              <w:rPr>
                <w:b/>
                <w:bCs/>
                <w:color w:val="000000"/>
                <w:sz w:val="20"/>
                <w:szCs w:val="20"/>
              </w:rPr>
              <w:t>Total</w:t>
            </w:r>
          </w:p>
        </w:tc>
        <w:tc>
          <w:tcPr>
            <w:tcW w:w="1034"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bottom"/>
            <w:hideMark/>
          </w:tcPr>
          <w:p w14:paraId="64E1A69B" w14:textId="77777777" w:rsidR="00D544ED" w:rsidRDefault="00D544ED" w:rsidP="00E65D9E">
            <w:pPr>
              <w:jc w:val="center"/>
              <w:rPr>
                <w:b/>
                <w:bCs/>
                <w:color w:val="000000"/>
                <w:sz w:val="20"/>
                <w:szCs w:val="20"/>
              </w:rPr>
            </w:pPr>
            <w:r>
              <w:rPr>
                <w:b/>
                <w:bCs/>
                <w:color w:val="000000"/>
                <w:sz w:val="20"/>
                <w:szCs w:val="20"/>
              </w:rPr>
              <w:t>Percent EEZ</w:t>
            </w:r>
          </w:p>
        </w:tc>
      </w:tr>
      <w:tr w:rsidR="00D544ED" w14:paraId="732443AF" w14:textId="77777777" w:rsidTr="00493106">
        <w:trPr>
          <w:trHeight w:val="300"/>
        </w:trPr>
        <w:tc>
          <w:tcPr>
            <w:tcW w:w="96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D7C8852" w14:textId="77777777" w:rsidR="00D544ED" w:rsidRDefault="00D544ED" w:rsidP="00E65D9E">
            <w:pPr>
              <w:rPr>
                <w:b/>
                <w:bCs/>
                <w:color w:val="000000"/>
                <w:sz w:val="20"/>
                <w:szCs w:val="20"/>
              </w:rPr>
            </w:pPr>
          </w:p>
        </w:tc>
        <w:tc>
          <w:tcPr>
            <w:tcW w:w="728" w:type="dxa"/>
            <w:tcBorders>
              <w:top w:val="nil"/>
              <w:left w:val="nil"/>
              <w:bottom w:val="single" w:sz="4" w:space="0" w:color="auto"/>
              <w:right w:val="single" w:sz="4" w:space="0" w:color="auto"/>
            </w:tcBorders>
            <w:shd w:val="clear" w:color="auto" w:fill="D9D9D9" w:themeFill="background1" w:themeFillShade="D9"/>
            <w:noWrap/>
            <w:vAlign w:val="bottom"/>
            <w:hideMark/>
          </w:tcPr>
          <w:p w14:paraId="2D86ABC6" w14:textId="77777777" w:rsidR="00D544ED" w:rsidRDefault="00D544ED" w:rsidP="00E65D9E">
            <w:pPr>
              <w:jc w:val="center"/>
              <w:rPr>
                <w:b/>
                <w:bCs/>
                <w:color w:val="000000"/>
                <w:sz w:val="20"/>
                <w:szCs w:val="20"/>
              </w:rPr>
            </w:pPr>
            <w:r>
              <w:rPr>
                <w:b/>
                <w:bCs/>
                <w:color w:val="000000"/>
                <w:sz w:val="20"/>
                <w:szCs w:val="20"/>
              </w:rPr>
              <w:t>Shore</w:t>
            </w:r>
          </w:p>
        </w:tc>
        <w:tc>
          <w:tcPr>
            <w:tcW w:w="1001" w:type="dxa"/>
            <w:tcBorders>
              <w:top w:val="nil"/>
              <w:left w:val="nil"/>
              <w:bottom w:val="single" w:sz="4" w:space="0" w:color="auto"/>
              <w:right w:val="single" w:sz="4" w:space="0" w:color="auto"/>
            </w:tcBorders>
            <w:shd w:val="clear" w:color="auto" w:fill="D9D9D9" w:themeFill="background1" w:themeFillShade="D9"/>
            <w:noWrap/>
            <w:vAlign w:val="bottom"/>
            <w:hideMark/>
          </w:tcPr>
          <w:p w14:paraId="227899AE" w14:textId="77777777" w:rsidR="00D544ED" w:rsidRDefault="00D544ED" w:rsidP="00E65D9E">
            <w:pPr>
              <w:jc w:val="center"/>
              <w:rPr>
                <w:b/>
                <w:bCs/>
                <w:color w:val="000000"/>
                <w:sz w:val="20"/>
                <w:szCs w:val="20"/>
              </w:rPr>
            </w:pPr>
            <w:r>
              <w:rPr>
                <w:b/>
                <w:bCs/>
                <w:color w:val="000000"/>
                <w:sz w:val="20"/>
                <w:szCs w:val="20"/>
              </w:rPr>
              <w:t>For-Hire</w:t>
            </w:r>
          </w:p>
        </w:tc>
        <w:tc>
          <w:tcPr>
            <w:tcW w:w="1601" w:type="dxa"/>
            <w:tcBorders>
              <w:top w:val="nil"/>
              <w:left w:val="nil"/>
              <w:bottom w:val="single" w:sz="4" w:space="0" w:color="auto"/>
              <w:right w:val="single" w:sz="4" w:space="0" w:color="auto"/>
            </w:tcBorders>
            <w:shd w:val="clear" w:color="auto" w:fill="D9D9D9" w:themeFill="background1" w:themeFillShade="D9"/>
            <w:noWrap/>
            <w:vAlign w:val="bottom"/>
            <w:hideMark/>
          </w:tcPr>
          <w:p w14:paraId="07AC7E62" w14:textId="77777777" w:rsidR="00D544ED" w:rsidRDefault="00D544ED" w:rsidP="00E65D9E">
            <w:pPr>
              <w:jc w:val="center"/>
              <w:rPr>
                <w:b/>
                <w:bCs/>
                <w:color w:val="000000"/>
                <w:sz w:val="20"/>
                <w:szCs w:val="20"/>
              </w:rPr>
            </w:pPr>
            <w:r>
              <w:rPr>
                <w:b/>
                <w:bCs/>
                <w:color w:val="000000"/>
                <w:sz w:val="20"/>
                <w:szCs w:val="20"/>
              </w:rPr>
              <w:t>Private/Rental</w:t>
            </w:r>
          </w:p>
        </w:tc>
        <w:tc>
          <w:tcPr>
            <w:tcW w:w="666" w:type="dxa"/>
            <w:tcBorders>
              <w:top w:val="nil"/>
              <w:left w:val="nil"/>
              <w:bottom w:val="single" w:sz="4" w:space="0" w:color="auto"/>
              <w:right w:val="single" w:sz="4" w:space="0" w:color="auto"/>
            </w:tcBorders>
            <w:shd w:val="clear" w:color="auto" w:fill="D9D9D9" w:themeFill="background1" w:themeFillShade="D9"/>
            <w:noWrap/>
            <w:vAlign w:val="bottom"/>
            <w:hideMark/>
          </w:tcPr>
          <w:p w14:paraId="7F7924BA" w14:textId="77777777" w:rsidR="00D544ED" w:rsidRDefault="00D544ED" w:rsidP="00E65D9E">
            <w:pPr>
              <w:jc w:val="center"/>
              <w:rPr>
                <w:b/>
                <w:bCs/>
                <w:color w:val="000000"/>
                <w:sz w:val="20"/>
                <w:szCs w:val="20"/>
              </w:rPr>
            </w:pPr>
            <w:r>
              <w:rPr>
                <w:b/>
                <w:bCs/>
                <w:color w:val="000000"/>
                <w:sz w:val="20"/>
                <w:szCs w:val="20"/>
              </w:rPr>
              <w:t>Shore</w:t>
            </w:r>
          </w:p>
        </w:tc>
        <w:tc>
          <w:tcPr>
            <w:tcW w:w="1001" w:type="dxa"/>
            <w:tcBorders>
              <w:top w:val="nil"/>
              <w:left w:val="nil"/>
              <w:bottom w:val="single" w:sz="4" w:space="0" w:color="auto"/>
              <w:right w:val="single" w:sz="4" w:space="0" w:color="auto"/>
            </w:tcBorders>
            <w:shd w:val="clear" w:color="auto" w:fill="D9D9D9" w:themeFill="background1" w:themeFillShade="D9"/>
            <w:noWrap/>
            <w:vAlign w:val="bottom"/>
            <w:hideMark/>
          </w:tcPr>
          <w:p w14:paraId="6582FD70" w14:textId="77777777" w:rsidR="00D544ED" w:rsidRDefault="00D544ED" w:rsidP="00E65D9E">
            <w:pPr>
              <w:jc w:val="center"/>
              <w:rPr>
                <w:b/>
                <w:bCs/>
                <w:color w:val="000000"/>
                <w:sz w:val="20"/>
                <w:szCs w:val="20"/>
              </w:rPr>
            </w:pPr>
            <w:r>
              <w:rPr>
                <w:b/>
                <w:bCs/>
                <w:color w:val="000000"/>
                <w:sz w:val="20"/>
                <w:szCs w:val="20"/>
              </w:rPr>
              <w:t>For-Hire</w:t>
            </w:r>
          </w:p>
        </w:tc>
        <w:tc>
          <w:tcPr>
            <w:tcW w:w="1601" w:type="dxa"/>
            <w:tcBorders>
              <w:top w:val="nil"/>
              <w:left w:val="nil"/>
              <w:bottom w:val="single" w:sz="4" w:space="0" w:color="auto"/>
              <w:right w:val="single" w:sz="4" w:space="0" w:color="auto"/>
            </w:tcBorders>
            <w:shd w:val="clear" w:color="auto" w:fill="D9D9D9" w:themeFill="background1" w:themeFillShade="D9"/>
            <w:noWrap/>
            <w:vAlign w:val="bottom"/>
            <w:hideMark/>
          </w:tcPr>
          <w:p w14:paraId="6D4193EB" w14:textId="77777777" w:rsidR="00D544ED" w:rsidRDefault="00D544ED" w:rsidP="00E65D9E">
            <w:pPr>
              <w:jc w:val="center"/>
              <w:rPr>
                <w:b/>
                <w:bCs/>
                <w:color w:val="000000"/>
                <w:sz w:val="20"/>
                <w:szCs w:val="20"/>
              </w:rPr>
            </w:pPr>
            <w:r>
              <w:rPr>
                <w:b/>
                <w:bCs/>
                <w:color w:val="000000"/>
                <w:sz w:val="20"/>
                <w:szCs w:val="20"/>
              </w:rPr>
              <w:t>Private/Rental</w:t>
            </w:r>
          </w:p>
        </w:tc>
        <w:tc>
          <w:tcPr>
            <w:tcW w:w="728"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D47D3C" w14:textId="77777777" w:rsidR="00D544ED" w:rsidRDefault="00D544ED" w:rsidP="00E65D9E">
            <w:pPr>
              <w:rPr>
                <w:b/>
                <w:bCs/>
                <w:color w:val="000000"/>
                <w:sz w:val="20"/>
                <w:szCs w:val="20"/>
              </w:rPr>
            </w:pPr>
          </w:p>
        </w:tc>
        <w:tc>
          <w:tcPr>
            <w:tcW w:w="103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7DD518C5" w14:textId="77777777" w:rsidR="00D544ED" w:rsidRDefault="00D544ED" w:rsidP="00E65D9E">
            <w:pPr>
              <w:rPr>
                <w:b/>
                <w:bCs/>
                <w:color w:val="000000"/>
                <w:sz w:val="20"/>
                <w:szCs w:val="20"/>
              </w:rPr>
            </w:pPr>
          </w:p>
        </w:tc>
      </w:tr>
      <w:tr w:rsidR="00D544ED" w14:paraId="3B2FF97E" w14:textId="77777777" w:rsidTr="00493106">
        <w:trPr>
          <w:trHeight w:val="300"/>
        </w:trPr>
        <w:tc>
          <w:tcPr>
            <w:tcW w:w="9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145962C" w14:textId="77777777" w:rsidR="00D544ED" w:rsidRDefault="00D544ED" w:rsidP="00E65D9E">
            <w:pPr>
              <w:jc w:val="center"/>
              <w:rPr>
                <w:b/>
                <w:bCs/>
                <w:color w:val="000000"/>
                <w:sz w:val="20"/>
                <w:szCs w:val="20"/>
              </w:rPr>
            </w:pPr>
            <w:r>
              <w:rPr>
                <w:b/>
                <w:bCs/>
                <w:color w:val="000000"/>
                <w:sz w:val="20"/>
                <w:szCs w:val="20"/>
              </w:rPr>
              <w:t>2010</w:t>
            </w:r>
          </w:p>
        </w:tc>
        <w:tc>
          <w:tcPr>
            <w:tcW w:w="728" w:type="dxa"/>
            <w:tcBorders>
              <w:top w:val="nil"/>
              <w:left w:val="nil"/>
              <w:bottom w:val="single" w:sz="4" w:space="0" w:color="auto"/>
              <w:right w:val="single" w:sz="4" w:space="0" w:color="auto"/>
            </w:tcBorders>
            <w:shd w:val="clear" w:color="auto" w:fill="auto"/>
            <w:noWrap/>
            <w:vAlign w:val="bottom"/>
            <w:hideMark/>
          </w:tcPr>
          <w:p w14:paraId="759EEABA" w14:textId="77777777" w:rsidR="00D544ED" w:rsidRDefault="00D544ED" w:rsidP="00E65D9E">
            <w:pPr>
              <w:jc w:val="center"/>
              <w:rPr>
                <w:color w:val="000000"/>
                <w:sz w:val="20"/>
                <w:szCs w:val="20"/>
              </w:rPr>
            </w:pPr>
            <w:r>
              <w:rPr>
                <w:color w:val="000000"/>
                <w:sz w:val="20"/>
                <w:szCs w:val="20"/>
              </w:rPr>
              <w:t>4,841</w:t>
            </w:r>
          </w:p>
        </w:tc>
        <w:tc>
          <w:tcPr>
            <w:tcW w:w="1001" w:type="dxa"/>
            <w:tcBorders>
              <w:top w:val="nil"/>
              <w:left w:val="nil"/>
              <w:bottom w:val="single" w:sz="4" w:space="0" w:color="auto"/>
              <w:right w:val="single" w:sz="4" w:space="0" w:color="auto"/>
            </w:tcBorders>
            <w:shd w:val="clear" w:color="auto" w:fill="auto"/>
            <w:noWrap/>
            <w:vAlign w:val="bottom"/>
            <w:hideMark/>
          </w:tcPr>
          <w:p w14:paraId="6C9FCC1E" w14:textId="77777777" w:rsidR="00D544ED" w:rsidRDefault="00D544ED" w:rsidP="00E65D9E">
            <w:pPr>
              <w:jc w:val="center"/>
              <w:rPr>
                <w:color w:val="000000"/>
                <w:sz w:val="20"/>
                <w:szCs w:val="20"/>
              </w:rPr>
            </w:pPr>
            <w:r>
              <w:rPr>
                <w:color w:val="000000"/>
                <w:sz w:val="20"/>
                <w:szCs w:val="20"/>
              </w:rPr>
              <w:t>3,216</w:t>
            </w:r>
          </w:p>
        </w:tc>
        <w:tc>
          <w:tcPr>
            <w:tcW w:w="1601" w:type="dxa"/>
            <w:tcBorders>
              <w:top w:val="nil"/>
              <w:left w:val="nil"/>
              <w:bottom w:val="single" w:sz="4" w:space="0" w:color="auto"/>
              <w:right w:val="single" w:sz="4" w:space="0" w:color="auto"/>
            </w:tcBorders>
            <w:shd w:val="clear" w:color="auto" w:fill="auto"/>
            <w:noWrap/>
            <w:vAlign w:val="bottom"/>
            <w:hideMark/>
          </w:tcPr>
          <w:p w14:paraId="49668020" w14:textId="77777777" w:rsidR="00D544ED" w:rsidRDefault="00D544ED" w:rsidP="00E65D9E">
            <w:pPr>
              <w:jc w:val="center"/>
              <w:rPr>
                <w:color w:val="000000"/>
                <w:sz w:val="20"/>
                <w:szCs w:val="20"/>
              </w:rPr>
            </w:pPr>
            <w:r>
              <w:rPr>
                <w:color w:val="000000"/>
                <w:sz w:val="20"/>
                <w:szCs w:val="20"/>
              </w:rPr>
              <w:t>24,774</w:t>
            </w:r>
          </w:p>
        </w:tc>
        <w:tc>
          <w:tcPr>
            <w:tcW w:w="666" w:type="dxa"/>
            <w:tcBorders>
              <w:top w:val="nil"/>
              <w:left w:val="nil"/>
              <w:bottom w:val="single" w:sz="4" w:space="0" w:color="auto"/>
              <w:right w:val="single" w:sz="4" w:space="0" w:color="auto"/>
            </w:tcBorders>
            <w:shd w:val="clear" w:color="auto" w:fill="auto"/>
            <w:noWrap/>
            <w:vAlign w:val="bottom"/>
            <w:hideMark/>
          </w:tcPr>
          <w:p w14:paraId="7C4E34BF" w14:textId="77777777" w:rsidR="00D544ED" w:rsidRDefault="00D544ED" w:rsidP="00E65D9E">
            <w:pPr>
              <w:jc w:val="center"/>
              <w:rPr>
                <w:color w:val="000000"/>
                <w:sz w:val="20"/>
                <w:szCs w:val="20"/>
              </w:rPr>
            </w:pPr>
            <w:r>
              <w:rPr>
                <w:color w:val="000000"/>
                <w:sz w:val="20"/>
                <w:szCs w:val="20"/>
              </w:rPr>
              <w:t>0</w:t>
            </w:r>
          </w:p>
        </w:tc>
        <w:tc>
          <w:tcPr>
            <w:tcW w:w="1001" w:type="dxa"/>
            <w:tcBorders>
              <w:top w:val="nil"/>
              <w:left w:val="nil"/>
              <w:bottom w:val="single" w:sz="4" w:space="0" w:color="auto"/>
              <w:right w:val="single" w:sz="4" w:space="0" w:color="auto"/>
            </w:tcBorders>
            <w:shd w:val="clear" w:color="auto" w:fill="auto"/>
            <w:noWrap/>
            <w:vAlign w:val="bottom"/>
            <w:hideMark/>
          </w:tcPr>
          <w:p w14:paraId="5F4A7D85" w14:textId="77777777" w:rsidR="00D544ED" w:rsidRDefault="00D544ED" w:rsidP="00E65D9E">
            <w:pPr>
              <w:jc w:val="center"/>
              <w:rPr>
                <w:color w:val="000000"/>
                <w:sz w:val="20"/>
                <w:szCs w:val="20"/>
              </w:rPr>
            </w:pPr>
            <w:r>
              <w:rPr>
                <w:color w:val="000000"/>
                <w:sz w:val="20"/>
                <w:szCs w:val="20"/>
              </w:rPr>
              <w:t>1,548</w:t>
            </w:r>
          </w:p>
        </w:tc>
        <w:tc>
          <w:tcPr>
            <w:tcW w:w="1601" w:type="dxa"/>
            <w:tcBorders>
              <w:top w:val="nil"/>
              <w:left w:val="nil"/>
              <w:bottom w:val="single" w:sz="4" w:space="0" w:color="auto"/>
              <w:right w:val="single" w:sz="4" w:space="0" w:color="auto"/>
            </w:tcBorders>
            <w:shd w:val="clear" w:color="auto" w:fill="auto"/>
            <w:noWrap/>
            <w:vAlign w:val="bottom"/>
            <w:hideMark/>
          </w:tcPr>
          <w:p w14:paraId="47BE3427" w14:textId="77777777" w:rsidR="00D544ED" w:rsidRDefault="00D544ED" w:rsidP="00E65D9E">
            <w:pPr>
              <w:jc w:val="center"/>
              <w:rPr>
                <w:color w:val="000000"/>
                <w:sz w:val="20"/>
                <w:szCs w:val="20"/>
              </w:rPr>
            </w:pPr>
            <w:r>
              <w:rPr>
                <w:color w:val="000000"/>
                <w:sz w:val="20"/>
                <w:szCs w:val="20"/>
              </w:rPr>
              <w:t>4,535</w:t>
            </w:r>
          </w:p>
        </w:tc>
        <w:tc>
          <w:tcPr>
            <w:tcW w:w="728" w:type="dxa"/>
            <w:tcBorders>
              <w:top w:val="nil"/>
              <w:left w:val="nil"/>
              <w:bottom w:val="single" w:sz="4" w:space="0" w:color="auto"/>
              <w:right w:val="single" w:sz="4" w:space="0" w:color="auto"/>
            </w:tcBorders>
            <w:shd w:val="clear" w:color="auto" w:fill="auto"/>
            <w:noWrap/>
            <w:vAlign w:val="bottom"/>
            <w:hideMark/>
          </w:tcPr>
          <w:p w14:paraId="66E39807" w14:textId="77777777" w:rsidR="00D544ED" w:rsidRDefault="00D544ED" w:rsidP="00E65D9E">
            <w:pPr>
              <w:jc w:val="center"/>
              <w:rPr>
                <w:color w:val="000000"/>
                <w:sz w:val="20"/>
                <w:szCs w:val="20"/>
              </w:rPr>
            </w:pPr>
            <w:r>
              <w:rPr>
                <w:color w:val="000000"/>
                <w:sz w:val="20"/>
                <w:szCs w:val="20"/>
              </w:rPr>
              <w:t>38,914</w:t>
            </w:r>
          </w:p>
        </w:tc>
        <w:tc>
          <w:tcPr>
            <w:tcW w:w="1034" w:type="dxa"/>
            <w:tcBorders>
              <w:top w:val="nil"/>
              <w:left w:val="nil"/>
              <w:bottom w:val="single" w:sz="4" w:space="0" w:color="auto"/>
              <w:right w:val="single" w:sz="4" w:space="0" w:color="auto"/>
            </w:tcBorders>
            <w:shd w:val="clear" w:color="auto" w:fill="auto"/>
            <w:noWrap/>
            <w:vAlign w:val="bottom"/>
            <w:hideMark/>
          </w:tcPr>
          <w:p w14:paraId="444C38E8" w14:textId="77777777" w:rsidR="00D544ED" w:rsidRDefault="00D544ED" w:rsidP="00E65D9E">
            <w:pPr>
              <w:jc w:val="center"/>
              <w:rPr>
                <w:color w:val="000000"/>
                <w:sz w:val="20"/>
                <w:szCs w:val="20"/>
              </w:rPr>
            </w:pPr>
            <w:r>
              <w:rPr>
                <w:color w:val="000000"/>
                <w:sz w:val="20"/>
                <w:szCs w:val="20"/>
              </w:rPr>
              <w:t>15.6%</w:t>
            </w:r>
          </w:p>
        </w:tc>
      </w:tr>
      <w:tr w:rsidR="00D544ED" w14:paraId="595D4FD4" w14:textId="77777777" w:rsidTr="00493106">
        <w:trPr>
          <w:trHeight w:val="300"/>
        </w:trPr>
        <w:tc>
          <w:tcPr>
            <w:tcW w:w="9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A832F1D" w14:textId="77777777" w:rsidR="00D544ED" w:rsidRDefault="00D544ED" w:rsidP="00E65D9E">
            <w:pPr>
              <w:jc w:val="center"/>
              <w:rPr>
                <w:b/>
                <w:bCs/>
                <w:color w:val="000000"/>
                <w:sz w:val="20"/>
                <w:szCs w:val="20"/>
              </w:rPr>
            </w:pPr>
            <w:r>
              <w:rPr>
                <w:b/>
                <w:bCs/>
                <w:color w:val="000000"/>
                <w:sz w:val="20"/>
                <w:szCs w:val="20"/>
              </w:rPr>
              <w:t>2011</w:t>
            </w:r>
          </w:p>
        </w:tc>
        <w:tc>
          <w:tcPr>
            <w:tcW w:w="728" w:type="dxa"/>
            <w:tcBorders>
              <w:top w:val="nil"/>
              <w:left w:val="nil"/>
              <w:bottom w:val="single" w:sz="4" w:space="0" w:color="auto"/>
              <w:right w:val="single" w:sz="4" w:space="0" w:color="auto"/>
            </w:tcBorders>
            <w:shd w:val="clear" w:color="auto" w:fill="auto"/>
            <w:noWrap/>
            <w:vAlign w:val="bottom"/>
            <w:hideMark/>
          </w:tcPr>
          <w:p w14:paraId="55B34B4B" w14:textId="77777777" w:rsidR="00D544ED" w:rsidRDefault="00D544ED" w:rsidP="00E65D9E">
            <w:pPr>
              <w:jc w:val="center"/>
              <w:rPr>
                <w:color w:val="000000"/>
                <w:sz w:val="20"/>
                <w:szCs w:val="20"/>
              </w:rPr>
            </w:pPr>
            <w:r>
              <w:rPr>
                <w:color w:val="000000"/>
                <w:sz w:val="20"/>
                <w:szCs w:val="20"/>
              </w:rPr>
              <w:t>964</w:t>
            </w:r>
          </w:p>
        </w:tc>
        <w:tc>
          <w:tcPr>
            <w:tcW w:w="1001" w:type="dxa"/>
            <w:tcBorders>
              <w:top w:val="nil"/>
              <w:left w:val="nil"/>
              <w:bottom w:val="single" w:sz="4" w:space="0" w:color="auto"/>
              <w:right w:val="single" w:sz="4" w:space="0" w:color="auto"/>
            </w:tcBorders>
            <w:shd w:val="clear" w:color="auto" w:fill="auto"/>
            <w:noWrap/>
            <w:vAlign w:val="bottom"/>
            <w:hideMark/>
          </w:tcPr>
          <w:p w14:paraId="5A5C5B54" w14:textId="77777777" w:rsidR="00D544ED" w:rsidRDefault="00D544ED" w:rsidP="00E65D9E">
            <w:pPr>
              <w:jc w:val="center"/>
              <w:rPr>
                <w:color w:val="000000"/>
                <w:sz w:val="20"/>
                <w:szCs w:val="20"/>
              </w:rPr>
            </w:pPr>
            <w:r>
              <w:rPr>
                <w:color w:val="000000"/>
                <w:sz w:val="20"/>
                <w:szCs w:val="20"/>
              </w:rPr>
              <w:t>896</w:t>
            </w:r>
          </w:p>
        </w:tc>
        <w:tc>
          <w:tcPr>
            <w:tcW w:w="1601" w:type="dxa"/>
            <w:tcBorders>
              <w:top w:val="nil"/>
              <w:left w:val="nil"/>
              <w:bottom w:val="single" w:sz="4" w:space="0" w:color="auto"/>
              <w:right w:val="single" w:sz="4" w:space="0" w:color="auto"/>
            </w:tcBorders>
            <w:shd w:val="clear" w:color="auto" w:fill="auto"/>
            <w:noWrap/>
            <w:vAlign w:val="bottom"/>
            <w:hideMark/>
          </w:tcPr>
          <w:p w14:paraId="2428929D" w14:textId="77777777" w:rsidR="00D544ED" w:rsidRDefault="00D544ED" w:rsidP="00E65D9E">
            <w:pPr>
              <w:jc w:val="center"/>
              <w:rPr>
                <w:color w:val="000000"/>
                <w:sz w:val="20"/>
                <w:szCs w:val="20"/>
              </w:rPr>
            </w:pPr>
            <w:r>
              <w:rPr>
                <w:color w:val="000000"/>
                <w:sz w:val="20"/>
                <w:szCs w:val="20"/>
              </w:rPr>
              <w:t>9,653</w:t>
            </w:r>
          </w:p>
        </w:tc>
        <w:tc>
          <w:tcPr>
            <w:tcW w:w="666" w:type="dxa"/>
            <w:tcBorders>
              <w:top w:val="nil"/>
              <w:left w:val="nil"/>
              <w:bottom w:val="single" w:sz="4" w:space="0" w:color="auto"/>
              <w:right w:val="single" w:sz="4" w:space="0" w:color="auto"/>
            </w:tcBorders>
            <w:shd w:val="clear" w:color="auto" w:fill="auto"/>
            <w:noWrap/>
            <w:vAlign w:val="bottom"/>
            <w:hideMark/>
          </w:tcPr>
          <w:p w14:paraId="438D567E" w14:textId="77777777" w:rsidR="00D544ED" w:rsidRDefault="00D544ED" w:rsidP="00E65D9E">
            <w:pPr>
              <w:jc w:val="center"/>
              <w:rPr>
                <w:color w:val="000000"/>
                <w:sz w:val="20"/>
                <w:szCs w:val="20"/>
              </w:rPr>
            </w:pPr>
            <w:r>
              <w:rPr>
                <w:color w:val="000000"/>
                <w:sz w:val="20"/>
                <w:szCs w:val="20"/>
              </w:rPr>
              <w:t>0</w:t>
            </w:r>
          </w:p>
        </w:tc>
        <w:tc>
          <w:tcPr>
            <w:tcW w:w="1001" w:type="dxa"/>
            <w:tcBorders>
              <w:top w:val="nil"/>
              <w:left w:val="nil"/>
              <w:bottom w:val="single" w:sz="4" w:space="0" w:color="auto"/>
              <w:right w:val="single" w:sz="4" w:space="0" w:color="auto"/>
            </w:tcBorders>
            <w:shd w:val="clear" w:color="auto" w:fill="auto"/>
            <w:noWrap/>
            <w:vAlign w:val="bottom"/>
            <w:hideMark/>
          </w:tcPr>
          <w:p w14:paraId="203C083A" w14:textId="77777777" w:rsidR="00D544ED" w:rsidRDefault="00D544ED" w:rsidP="00E65D9E">
            <w:pPr>
              <w:jc w:val="center"/>
              <w:rPr>
                <w:color w:val="000000"/>
                <w:sz w:val="20"/>
                <w:szCs w:val="20"/>
              </w:rPr>
            </w:pPr>
            <w:r>
              <w:rPr>
                <w:color w:val="000000"/>
                <w:sz w:val="20"/>
                <w:szCs w:val="20"/>
              </w:rPr>
              <w:t>132</w:t>
            </w:r>
          </w:p>
        </w:tc>
        <w:tc>
          <w:tcPr>
            <w:tcW w:w="1601" w:type="dxa"/>
            <w:tcBorders>
              <w:top w:val="nil"/>
              <w:left w:val="nil"/>
              <w:bottom w:val="single" w:sz="4" w:space="0" w:color="auto"/>
              <w:right w:val="single" w:sz="4" w:space="0" w:color="auto"/>
            </w:tcBorders>
            <w:shd w:val="clear" w:color="auto" w:fill="auto"/>
            <w:noWrap/>
            <w:vAlign w:val="bottom"/>
            <w:hideMark/>
          </w:tcPr>
          <w:p w14:paraId="3A14547D" w14:textId="77777777" w:rsidR="00D544ED" w:rsidRDefault="00D544ED" w:rsidP="00E65D9E">
            <w:pPr>
              <w:jc w:val="center"/>
              <w:rPr>
                <w:color w:val="000000"/>
                <w:sz w:val="20"/>
                <w:szCs w:val="20"/>
              </w:rPr>
            </w:pPr>
            <w:r>
              <w:rPr>
                <w:color w:val="000000"/>
                <w:sz w:val="20"/>
                <w:szCs w:val="20"/>
              </w:rPr>
              <w:t>1,728</w:t>
            </w:r>
          </w:p>
        </w:tc>
        <w:tc>
          <w:tcPr>
            <w:tcW w:w="728" w:type="dxa"/>
            <w:tcBorders>
              <w:top w:val="nil"/>
              <w:left w:val="nil"/>
              <w:bottom w:val="single" w:sz="4" w:space="0" w:color="auto"/>
              <w:right w:val="single" w:sz="4" w:space="0" w:color="auto"/>
            </w:tcBorders>
            <w:shd w:val="clear" w:color="auto" w:fill="auto"/>
            <w:noWrap/>
            <w:vAlign w:val="bottom"/>
            <w:hideMark/>
          </w:tcPr>
          <w:p w14:paraId="38FA1AD3" w14:textId="77777777" w:rsidR="00D544ED" w:rsidRDefault="00D544ED" w:rsidP="00E65D9E">
            <w:pPr>
              <w:jc w:val="center"/>
              <w:rPr>
                <w:color w:val="000000"/>
                <w:sz w:val="20"/>
                <w:szCs w:val="20"/>
              </w:rPr>
            </w:pPr>
            <w:r>
              <w:rPr>
                <w:color w:val="000000"/>
                <w:sz w:val="20"/>
                <w:szCs w:val="20"/>
              </w:rPr>
              <w:t>13,373</w:t>
            </w:r>
          </w:p>
        </w:tc>
        <w:tc>
          <w:tcPr>
            <w:tcW w:w="1034" w:type="dxa"/>
            <w:tcBorders>
              <w:top w:val="nil"/>
              <w:left w:val="nil"/>
              <w:bottom w:val="single" w:sz="4" w:space="0" w:color="auto"/>
              <w:right w:val="single" w:sz="4" w:space="0" w:color="auto"/>
            </w:tcBorders>
            <w:shd w:val="clear" w:color="auto" w:fill="auto"/>
            <w:noWrap/>
            <w:vAlign w:val="bottom"/>
            <w:hideMark/>
          </w:tcPr>
          <w:p w14:paraId="6DE3DB34" w14:textId="77777777" w:rsidR="00D544ED" w:rsidRDefault="00D544ED" w:rsidP="00E65D9E">
            <w:pPr>
              <w:jc w:val="center"/>
              <w:rPr>
                <w:color w:val="000000"/>
                <w:sz w:val="20"/>
                <w:szCs w:val="20"/>
              </w:rPr>
            </w:pPr>
            <w:r>
              <w:rPr>
                <w:color w:val="000000"/>
                <w:sz w:val="20"/>
                <w:szCs w:val="20"/>
              </w:rPr>
              <w:t>13.9%</w:t>
            </w:r>
          </w:p>
        </w:tc>
      </w:tr>
      <w:tr w:rsidR="00D544ED" w14:paraId="3ADADD73" w14:textId="77777777" w:rsidTr="00493106">
        <w:trPr>
          <w:trHeight w:val="300"/>
        </w:trPr>
        <w:tc>
          <w:tcPr>
            <w:tcW w:w="9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BCC4E41" w14:textId="77777777" w:rsidR="00D544ED" w:rsidRDefault="00D544ED" w:rsidP="00E65D9E">
            <w:pPr>
              <w:jc w:val="center"/>
              <w:rPr>
                <w:b/>
                <w:bCs/>
                <w:color w:val="000000"/>
                <w:sz w:val="20"/>
                <w:szCs w:val="20"/>
              </w:rPr>
            </w:pPr>
            <w:r>
              <w:rPr>
                <w:b/>
                <w:bCs/>
                <w:color w:val="000000"/>
                <w:sz w:val="20"/>
                <w:szCs w:val="20"/>
              </w:rPr>
              <w:t>2012</w:t>
            </w:r>
          </w:p>
        </w:tc>
        <w:tc>
          <w:tcPr>
            <w:tcW w:w="728" w:type="dxa"/>
            <w:tcBorders>
              <w:top w:val="nil"/>
              <w:left w:val="nil"/>
              <w:bottom w:val="single" w:sz="4" w:space="0" w:color="auto"/>
              <w:right w:val="single" w:sz="4" w:space="0" w:color="auto"/>
            </w:tcBorders>
            <w:shd w:val="clear" w:color="auto" w:fill="auto"/>
            <w:noWrap/>
            <w:vAlign w:val="bottom"/>
            <w:hideMark/>
          </w:tcPr>
          <w:p w14:paraId="17E31671" w14:textId="77777777" w:rsidR="00D544ED" w:rsidRDefault="00D544ED" w:rsidP="00E65D9E">
            <w:pPr>
              <w:jc w:val="center"/>
              <w:rPr>
                <w:color w:val="000000"/>
                <w:sz w:val="20"/>
                <w:szCs w:val="20"/>
              </w:rPr>
            </w:pPr>
            <w:r>
              <w:rPr>
                <w:color w:val="000000"/>
                <w:sz w:val="20"/>
                <w:szCs w:val="20"/>
              </w:rPr>
              <w:t>30,395</w:t>
            </w:r>
          </w:p>
        </w:tc>
        <w:tc>
          <w:tcPr>
            <w:tcW w:w="1001" w:type="dxa"/>
            <w:tcBorders>
              <w:top w:val="nil"/>
              <w:left w:val="nil"/>
              <w:bottom w:val="single" w:sz="4" w:space="0" w:color="auto"/>
              <w:right w:val="single" w:sz="4" w:space="0" w:color="auto"/>
            </w:tcBorders>
            <w:shd w:val="clear" w:color="auto" w:fill="auto"/>
            <w:noWrap/>
            <w:vAlign w:val="bottom"/>
            <w:hideMark/>
          </w:tcPr>
          <w:p w14:paraId="7DE0A638" w14:textId="77777777" w:rsidR="00D544ED" w:rsidRDefault="00D544ED" w:rsidP="00E65D9E">
            <w:pPr>
              <w:jc w:val="center"/>
              <w:rPr>
                <w:color w:val="000000"/>
                <w:sz w:val="20"/>
                <w:szCs w:val="20"/>
              </w:rPr>
            </w:pPr>
            <w:r>
              <w:rPr>
                <w:color w:val="000000"/>
                <w:sz w:val="20"/>
                <w:szCs w:val="20"/>
              </w:rPr>
              <w:t>774</w:t>
            </w:r>
          </w:p>
        </w:tc>
        <w:tc>
          <w:tcPr>
            <w:tcW w:w="1601" w:type="dxa"/>
            <w:tcBorders>
              <w:top w:val="nil"/>
              <w:left w:val="nil"/>
              <w:bottom w:val="single" w:sz="4" w:space="0" w:color="auto"/>
              <w:right w:val="single" w:sz="4" w:space="0" w:color="auto"/>
            </w:tcBorders>
            <w:shd w:val="clear" w:color="auto" w:fill="auto"/>
            <w:noWrap/>
            <w:vAlign w:val="bottom"/>
            <w:hideMark/>
          </w:tcPr>
          <w:p w14:paraId="2E55A2E3" w14:textId="77777777" w:rsidR="00D544ED" w:rsidRDefault="00D544ED" w:rsidP="00E65D9E">
            <w:pPr>
              <w:jc w:val="center"/>
              <w:rPr>
                <w:color w:val="000000"/>
                <w:sz w:val="20"/>
                <w:szCs w:val="20"/>
              </w:rPr>
            </w:pPr>
            <w:r>
              <w:rPr>
                <w:color w:val="000000"/>
                <w:sz w:val="20"/>
                <w:szCs w:val="20"/>
              </w:rPr>
              <w:t>20,105</w:t>
            </w:r>
          </w:p>
        </w:tc>
        <w:tc>
          <w:tcPr>
            <w:tcW w:w="666" w:type="dxa"/>
            <w:tcBorders>
              <w:top w:val="nil"/>
              <w:left w:val="nil"/>
              <w:bottom w:val="single" w:sz="4" w:space="0" w:color="auto"/>
              <w:right w:val="single" w:sz="4" w:space="0" w:color="auto"/>
            </w:tcBorders>
            <w:shd w:val="clear" w:color="auto" w:fill="auto"/>
            <w:noWrap/>
            <w:vAlign w:val="bottom"/>
            <w:hideMark/>
          </w:tcPr>
          <w:p w14:paraId="2656B1B6" w14:textId="77777777" w:rsidR="00D544ED" w:rsidRDefault="00D544ED" w:rsidP="00E65D9E">
            <w:pPr>
              <w:jc w:val="center"/>
              <w:rPr>
                <w:color w:val="000000"/>
                <w:sz w:val="20"/>
                <w:szCs w:val="20"/>
              </w:rPr>
            </w:pPr>
            <w:r>
              <w:rPr>
                <w:color w:val="000000"/>
                <w:sz w:val="20"/>
                <w:szCs w:val="20"/>
              </w:rPr>
              <w:t>0</w:t>
            </w:r>
          </w:p>
        </w:tc>
        <w:tc>
          <w:tcPr>
            <w:tcW w:w="1001" w:type="dxa"/>
            <w:tcBorders>
              <w:top w:val="nil"/>
              <w:left w:val="nil"/>
              <w:bottom w:val="single" w:sz="4" w:space="0" w:color="auto"/>
              <w:right w:val="single" w:sz="4" w:space="0" w:color="auto"/>
            </w:tcBorders>
            <w:shd w:val="clear" w:color="auto" w:fill="auto"/>
            <w:noWrap/>
            <w:vAlign w:val="bottom"/>
            <w:hideMark/>
          </w:tcPr>
          <w:p w14:paraId="66EC6563" w14:textId="77777777" w:rsidR="00D544ED" w:rsidRDefault="00D544ED" w:rsidP="00E65D9E">
            <w:pPr>
              <w:jc w:val="center"/>
              <w:rPr>
                <w:color w:val="000000"/>
                <w:sz w:val="20"/>
                <w:szCs w:val="20"/>
              </w:rPr>
            </w:pPr>
            <w:r>
              <w:rPr>
                <w:color w:val="000000"/>
                <w:sz w:val="20"/>
                <w:szCs w:val="20"/>
              </w:rPr>
              <w:t>138</w:t>
            </w:r>
          </w:p>
        </w:tc>
        <w:tc>
          <w:tcPr>
            <w:tcW w:w="1601" w:type="dxa"/>
            <w:tcBorders>
              <w:top w:val="nil"/>
              <w:left w:val="nil"/>
              <w:bottom w:val="single" w:sz="4" w:space="0" w:color="auto"/>
              <w:right w:val="single" w:sz="4" w:space="0" w:color="auto"/>
            </w:tcBorders>
            <w:shd w:val="clear" w:color="auto" w:fill="auto"/>
            <w:noWrap/>
            <w:vAlign w:val="bottom"/>
            <w:hideMark/>
          </w:tcPr>
          <w:p w14:paraId="15FA71BE" w14:textId="77777777" w:rsidR="00D544ED" w:rsidRDefault="00D544ED" w:rsidP="00E65D9E">
            <w:pPr>
              <w:jc w:val="center"/>
              <w:rPr>
                <w:color w:val="000000"/>
                <w:sz w:val="20"/>
                <w:szCs w:val="20"/>
              </w:rPr>
            </w:pPr>
            <w:r>
              <w:rPr>
                <w:color w:val="000000"/>
                <w:sz w:val="20"/>
                <w:szCs w:val="20"/>
              </w:rPr>
              <w:t>1,697</w:t>
            </w:r>
          </w:p>
        </w:tc>
        <w:tc>
          <w:tcPr>
            <w:tcW w:w="728" w:type="dxa"/>
            <w:tcBorders>
              <w:top w:val="nil"/>
              <w:left w:val="nil"/>
              <w:bottom w:val="single" w:sz="4" w:space="0" w:color="auto"/>
              <w:right w:val="single" w:sz="4" w:space="0" w:color="auto"/>
            </w:tcBorders>
            <w:shd w:val="clear" w:color="auto" w:fill="auto"/>
            <w:noWrap/>
            <w:vAlign w:val="bottom"/>
            <w:hideMark/>
          </w:tcPr>
          <w:p w14:paraId="43EA3348" w14:textId="77777777" w:rsidR="00D544ED" w:rsidRDefault="00D544ED" w:rsidP="00E65D9E">
            <w:pPr>
              <w:jc w:val="center"/>
              <w:rPr>
                <w:color w:val="000000"/>
                <w:sz w:val="20"/>
                <w:szCs w:val="20"/>
              </w:rPr>
            </w:pPr>
            <w:r>
              <w:rPr>
                <w:color w:val="000000"/>
                <w:sz w:val="20"/>
                <w:szCs w:val="20"/>
              </w:rPr>
              <w:t>53,109</w:t>
            </w:r>
          </w:p>
        </w:tc>
        <w:tc>
          <w:tcPr>
            <w:tcW w:w="1034" w:type="dxa"/>
            <w:tcBorders>
              <w:top w:val="nil"/>
              <w:left w:val="nil"/>
              <w:bottom w:val="single" w:sz="4" w:space="0" w:color="auto"/>
              <w:right w:val="single" w:sz="4" w:space="0" w:color="auto"/>
            </w:tcBorders>
            <w:shd w:val="clear" w:color="auto" w:fill="auto"/>
            <w:noWrap/>
            <w:vAlign w:val="bottom"/>
            <w:hideMark/>
          </w:tcPr>
          <w:p w14:paraId="0ABE1FE9" w14:textId="77777777" w:rsidR="00D544ED" w:rsidRDefault="00D544ED" w:rsidP="00E65D9E">
            <w:pPr>
              <w:jc w:val="center"/>
              <w:rPr>
                <w:color w:val="000000"/>
                <w:sz w:val="20"/>
                <w:szCs w:val="20"/>
              </w:rPr>
            </w:pPr>
            <w:r>
              <w:rPr>
                <w:color w:val="000000"/>
                <w:sz w:val="20"/>
                <w:szCs w:val="20"/>
              </w:rPr>
              <w:t>3.5%</w:t>
            </w:r>
          </w:p>
        </w:tc>
      </w:tr>
      <w:tr w:rsidR="00D544ED" w14:paraId="16AE0454" w14:textId="77777777" w:rsidTr="00493106">
        <w:trPr>
          <w:trHeight w:val="300"/>
        </w:trPr>
        <w:tc>
          <w:tcPr>
            <w:tcW w:w="9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96E5A44" w14:textId="77777777" w:rsidR="00D544ED" w:rsidRDefault="00D544ED" w:rsidP="00E65D9E">
            <w:pPr>
              <w:jc w:val="center"/>
              <w:rPr>
                <w:b/>
                <w:bCs/>
                <w:color w:val="000000"/>
                <w:sz w:val="20"/>
                <w:szCs w:val="20"/>
              </w:rPr>
            </w:pPr>
            <w:r>
              <w:rPr>
                <w:b/>
                <w:bCs/>
                <w:color w:val="000000"/>
                <w:sz w:val="20"/>
                <w:szCs w:val="20"/>
              </w:rPr>
              <w:t>2013</w:t>
            </w:r>
          </w:p>
        </w:tc>
        <w:tc>
          <w:tcPr>
            <w:tcW w:w="728" w:type="dxa"/>
            <w:tcBorders>
              <w:top w:val="nil"/>
              <w:left w:val="nil"/>
              <w:bottom w:val="single" w:sz="4" w:space="0" w:color="auto"/>
              <w:right w:val="single" w:sz="4" w:space="0" w:color="auto"/>
            </w:tcBorders>
            <w:shd w:val="clear" w:color="auto" w:fill="auto"/>
            <w:noWrap/>
            <w:vAlign w:val="bottom"/>
            <w:hideMark/>
          </w:tcPr>
          <w:p w14:paraId="1989EC93" w14:textId="77777777" w:rsidR="00D544ED" w:rsidRDefault="00D544ED" w:rsidP="00E65D9E">
            <w:pPr>
              <w:jc w:val="center"/>
              <w:rPr>
                <w:color w:val="000000"/>
                <w:sz w:val="20"/>
                <w:szCs w:val="20"/>
              </w:rPr>
            </w:pPr>
            <w:r>
              <w:rPr>
                <w:color w:val="000000"/>
                <w:sz w:val="20"/>
                <w:szCs w:val="20"/>
              </w:rPr>
              <w:t>4,809</w:t>
            </w:r>
          </w:p>
        </w:tc>
        <w:tc>
          <w:tcPr>
            <w:tcW w:w="1001" w:type="dxa"/>
            <w:tcBorders>
              <w:top w:val="nil"/>
              <w:left w:val="nil"/>
              <w:bottom w:val="single" w:sz="4" w:space="0" w:color="auto"/>
              <w:right w:val="single" w:sz="4" w:space="0" w:color="auto"/>
            </w:tcBorders>
            <w:shd w:val="clear" w:color="auto" w:fill="auto"/>
            <w:noWrap/>
            <w:vAlign w:val="bottom"/>
            <w:hideMark/>
          </w:tcPr>
          <w:p w14:paraId="5B457F45" w14:textId="77777777" w:rsidR="00D544ED" w:rsidRDefault="00D544ED" w:rsidP="00E65D9E">
            <w:pPr>
              <w:jc w:val="center"/>
              <w:rPr>
                <w:color w:val="000000"/>
                <w:sz w:val="20"/>
                <w:szCs w:val="20"/>
              </w:rPr>
            </w:pPr>
            <w:r>
              <w:rPr>
                <w:color w:val="000000"/>
                <w:sz w:val="20"/>
                <w:szCs w:val="20"/>
              </w:rPr>
              <w:t>3,076</w:t>
            </w:r>
          </w:p>
        </w:tc>
        <w:tc>
          <w:tcPr>
            <w:tcW w:w="1601" w:type="dxa"/>
            <w:tcBorders>
              <w:top w:val="nil"/>
              <w:left w:val="nil"/>
              <w:bottom w:val="single" w:sz="4" w:space="0" w:color="auto"/>
              <w:right w:val="single" w:sz="4" w:space="0" w:color="auto"/>
            </w:tcBorders>
            <w:shd w:val="clear" w:color="auto" w:fill="auto"/>
            <w:noWrap/>
            <w:vAlign w:val="bottom"/>
            <w:hideMark/>
          </w:tcPr>
          <w:p w14:paraId="143058EE" w14:textId="77777777" w:rsidR="00D544ED" w:rsidRDefault="00D544ED" w:rsidP="00E65D9E">
            <w:pPr>
              <w:jc w:val="center"/>
              <w:rPr>
                <w:color w:val="000000"/>
                <w:sz w:val="20"/>
                <w:szCs w:val="20"/>
              </w:rPr>
            </w:pPr>
            <w:r>
              <w:rPr>
                <w:color w:val="000000"/>
                <w:sz w:val="20"/>
                <w:szCs w:val="20"/>
              </w:rPr>
              <w:t>40,901</w:t>
            </w:r>
          </w:p>
        </w:tc>
        <w:tc>
          <w:tcPr>
            <w:tcW w:w="666" w:type="dxa"/>
            <w:tcBorders>
              <w:top w:val="nil"/>
              <w:left w:val="nil"/>
              <w:bottom w:val="single" w:sz="4" w:space="0" w:color="auto"/>
              <w:right w:val="single" w:sz="4" w:space="0" w:color="auto"/>
            </w:tcBorders>
            <w:shd w:val="clear" w:color="auto" w:fill="auto"/>
            <w:noWrap/>
            <w:vAlign w:val="bottom"/>
            <w:hideMark/>
          </w:tcPr>
          <w:p w14:paraId="1DD0544A" w14:textId="77777777" w:rsidR="00D544ED" w:rsidRDefault="00D544ED" w:rsidP="00E65D9E">
            <w:pPr>
              <w:jc w:val="center"/>
              <w:rPr>
                <w:color w:val="000000"/>
                <w:sz w:val="20"/>
                <w:szCs w:val="20"/>
              </w:rPr>
            </w:pPr>
            <w:r>
              <w:rPr>
                <w:color w:val="000000"/>
                <w:sz w:val="20"/>
                <w:szCs w:val="20"/>
              </w:rPr>
              <w:t>0</w:t>
            </w:r>
          </w:p>
        </w:tc>
        <w:tc>
          <w:tcPr>
            <w:tcW w:w="1001" w:type="dxa"/>
            <w:tcBorders>
              <w:top w:val="nil"/>
              <w:left w:val="nil"/>
              <w:bottom w:val="single" w:sz="4" w:space="0" w:color="auto"/>
              <w:right w:val="single" w:sz="4" w:space="0" w:color="auto"/>
            </w:tcBorders>
            <w:shd w:val="clear" w:color="auto" w:fill="auto"/>
            <w:noWrap/>
            <w:vAlign w:val="bottom"/>
            <w:hideMark/>
          </w:tcPr>
          <w:p w14:paraId="5C3E6CB4" w14:textId="77777777" w:rsidR="00D544ED" w:rsidRDefault="00D544ED" w:rsidP="00E65D9E">
            <w:pPr>
              <w:jc w:val="center"/>
              <w:rPr>
                <w:color w:val="000000"/>
                <w:sz w:val="20"/>
                <w:szCs w:val="20"/>
              </w:rPr>
            </w:pPr>
            <w:r>
              <w:rPr>
                <w:color w:val="000000"/>
                <w:sz w:val="20"/>
                <w:szCs w:val="20"/>
              </w:rPr>
              <w:t>361</w:t>
            </w:r>
          </w:p>
        </w:tc>
        <w:tc>
          <w:tcPr>
            <w:tcW w:w="1601" w:type="dxa"/>
            <w:tcBorders>
              <w:top w:val="nil"/>
              <w:left w:val="nil"/>
              <w:bottom w:val="single" w:sz="4" w:space="0" w:color="auto"/>
              <w:right w:val="single" w:sz="4" w:space="0" w:color="auto"/>
            </w:tcBorders>
            <w:shd w:val="clear" w:color="auto" w:fill="auto"/>
            <w:noWrap/>
            <w:vAlign w:val="bottom"/>
            <w:hideMark/>
          </w:tcPr>
          <w:p w14:paraId="61DD1CB7" w14:textId="77777777" w:rsidR="00D544ED" w:rsidRDefault="00D544ED" w:rsidP="00E65D9E">
            <w:pPr>
              <w:jc w:val="center"/>
              <w:rPr>
                <w:color w:val="000000"/>
                <w:sz w:val="20"/>
                <w:szCs w:val="20"/>
              </w:rPr>
            </w:pPr>
            <w:r>
              <w:rPr>
                <w:color w:val="000000"/>
                <w:sz w:val="20"/>
                <w:szCs w:val="20"/>
              </w:rPr>
              <w:t>3,549</w:t>
            </w:r>
          </w:p>
        </w:tc>
        <w:tc>
          <w:tcPr>
            <w:tcW w:w="728" w:type="dxa"/>
            <w:tcBorders>
              <w:top w:val="nil"/>
              <w:left w:val="nil"/>
              <w:bottom w:val="single" w:sz="4" w:space="0" w:color="auto"/>
              <w:right w:val="single" w:sz="4" w:space="0" w:color="auto"/>
            </w:tcBorders>
            <w:shd w:val="clear" w:color="auto" w:fill="auto"/>
            <w:noWrap/>
            <w:vAlign w:val="bottom"/>
            <w:hideMark/>
          </w:tcPr>
          <w:p w14:paraId="7AA384D3" w14:textId="77777777" w:rsidR="00D544ED" w:rsidRDefault="00D544ED" w:rsidP="00E65D9E">
            <w:pPr>
              <w:jc w:val="center"/>
              <w:rPr>
                <w:color w:val="000000"/>
                <w:sz w:val="20"/>
                <w:szCs w:val="20"/>
              </w:rPr>
            </w:pPr>
            <w:r>
              <w:rPr>
                <w:color w:val="000000"/>
                <w:sz w:val="20"/>
                <w:szCs w:val="20"/>
              </w:rPr>
              <w:t>52,696</w:t>
            </w:r>
          </w:p>
        </w:tc>
        <w:tc>
          <w:tcPr>
            <w:tcW w:w="1034" w:type="dxa"/>
            <w:tcBorders>
              <w:top w:val="nil"/>
              <w:left w:val="nil"/>
              <w:bottom w:val="single" w:sz="4" w:space="0" w:color="auto"/>
              <w:right w:val="single" w:sz="4" w:space="0" w:color="auto"/>
            </w:tcBorders>
            <w:shd w:val="clear" w:color="auto" w:fill="auto"/>
            <w:noWrap/>
            <w:vAlign w:val="bottom"/>
            <w:hideMark/>
          </w:tcPr>
          <w:p w14:paraId="6E2B8584" w14:textId="77777777" w:rsidR="00D544ED" w:rsidRDefault="00D544ED" w:rsidP="00E65D9E">
            <w:pPr>
              <w:jc w:val="center"/>
              <w:rPr>
                <w:color w:val="000000"/>
                <w:sz w:val="20"/>
                <w:szCs w:val="20"/>
              </w:rPr>
            </w:pPr>
            <w:r>
              <w:rPr>
                <w:color w:val="000000"/>
                <w:sz w:val="20"/>
                <w:szCs w:val="20"/>
              </w:rPr>
              <w:t>7.4%</w:t>
            </w:r>
          </w:p>
        </w:tc>
      </w:tr>
      <w:tr w:rsidR="00D544ED" w14:paraId="0E1C27E8" w14:textId="77777777" w:rsidTr="00493106">
        <w:trPr>
          <w:trHeight w:val="300"/>
        </w:trPr>
        <w:tc>
          <w:tcPr>
            <w:tcW w:w="9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CE8C93B" w14:textId="77777777" w:rsidR="00D544ED" w:rsidRDefault="00D544ED" w:rsidP="00E65D9E">
            <w:pPr>
              <w:jc w:val="center"/>
              <w:rPr>
                <w:b/>
                <w:bCs/>
                <w:color w:val="000000"/>
                <w:sz w:val="20"/>
                <w:szCs w:val="20"/>
              </w:rPr>
            </w:pPr>
            <w:r>
              <w:rPr>
                <w:b/>
                <w:bCs/>
                <w:color w:val="000000"/>
                <w:sz w:val="20"/>
                <w:szCs w:val="20"/>
              </w:rPr>
              <w:t>2014</w:t>
            </w:r>
          </w:p>
        </w:tc>
        <w:tc>
          <w:tcPr>
            <w:tcW w:w="728" w:type="dxa"/>
            <w:tcBorders>
              <w:top w:val="nil"/>
              <w:left w:val="nil"/>
              <w:bottom w:val="single" w:sz="4" w:space="0" w:color="auto"/>
              <w:right w:val="single" w:sz="4" w:space="0" w:color="auto"/>
            </w:tcBorders>
            <w:shd w:val="clear" w:color="auto" w:fill="auto"/>
            <w:noWrap/>
            <w:vAlign w:val="bottom"/>
            <w:hideMark/>
          </w:tcPr>
          <w:p w14:paraId="797CB78B" w14:textId="77777777" w:rsidR="00D544ED" w:rsidRDefault="00D544ED" w:rsidP="00E65D9E">
            <w:pPr>
              <w:jc w:val="center"/>
              <w:rPr>
                <w:color w:val="000000"/>
                <w:sz w:val="20"/>
                <w:szCs w:val="20"/>
              </w:rPr>
            </w:pPr>
            <w:r>
              <w:rPr>
                <w:color w:val="000000"/>
                <w:sz w:val="20"/>
                <w:szCs w:val="20"/>
              </w:rPr>
              <w:t>10,032</w:t>
            </w:r>
          </w:p>
        </w:tc>
        <w:tc>
          <w:tcPr>
            <w:tcW w:w="1001" w:type="dxa"/>
            <w:tcBorders>
              <w:top w:val="nil"/>
              <w:left w:val="nil"/>
              <w:bottom w:val="single" w:sz="4" w:space="0" w:color="auto"/>
              <w:right w:val="single" w:sz="4" w:space="0" w:color="auto"/>
            </w:tcBorders>
            <w:shd w:val="clear" w:color="auto" w:fill="auto"/>
            <w:noWrap/>
            <w:vAlign w:val="bottom"/>
            <w:hideMark/>
          </w:tcPr>
          <w:p w14:paraId="409A4AE7" w14:textId="77777777" w:rsidR="00D544ED" w:rsidRDefault="00D544ED" w:rsidP="00E65D9E">
            <w:pPr>
              <w:jc w:val="center"/>
              <w:rPr>
                <w:color w:val="000000"/>
                <w:sz w:val="20"/>
                <w:szCs w:val="20"/>
              </w:rPr>
            </w:pPr>
            <w:r>
              <w:rPr>
                <w:color w:val="000000"/>
                <w:sz w:val="20"/>
                <w:szCs w:val="20"/>
              </w:rPr>
              <w:t>3,736</w:t>
            </w:r>
          </w:p>
        </w:tc>
        <w:tc>
          <w:tcPr>
            <w:tcW w:w="1601" w:type="dxa"/>
            <w:tcBorders>
              <w:top w:val="nil"/>
              <w:left w:val="nil"/>
              <w:bottom w:val="single" w:sz="4" w:space="0" w:color="auto"/>
              <w:right w:val="single" w:sz="4" w:space="0" w:color="auto"/>
            </w:tcBorders>
            <w:shd w:val="clear" w:color="auto" w:fill="auto"/>
            <w:noWrap/>
            <w:vAlign w:val="bottom"/>
            <w:hideMark/>
          </w:tcPr>
          <w:p w14:paraId="7A38600C" w14:textId="77777777" w:rsidR="00D544ED" w:rsidRDefault="00D544ED" w:rsidP="00E65D9E">
            <w:pPr>
              <w:jc w:val="center"/>
              <w:rPr>
                <w:color w:val="000000"/>
                <w:sz w:val="20"/>
                <w:szCs w:val="20"/>
              </w:rPr>
            </w:pPr>
            <w:r>
              <w:rPr>
                <w:color w:val="000000"/>
                <w:sz w:val="20"/>
                <w:szCs w:val="20"/>
              </w:rPr>
              <w:t>57,040</w:t>
            </w:r>
          </w:p>
        </w:tc>
        <w:tc>
          <w:tcPr>
            <w:tcW w:w="666" w:type="dxa"/>
            <w:tcBorders>
              <w:top w:val="nil"/>
              <w:left w:val="nil"/>
              <w:bottom w:val="single" w:sz="4" w:space="0" w:color="auto"/>
              <w:right w:val="single" w:sz="4" w:space="0" w:color="auto"/>
            </w:tcBorders>
            <w:shd w:val="clear" w:color="auto" w:fill="auto"/>
            <w:noWrap/>
            <w:vAlign w:val="bottom"/>
            <w:hideMark/>
          </w:tcPr>
          <w:p w14:paraId="5FC9AE49" w14:textId="77777777" w:rsidR="00D544ED" w:rsidRDefault="00D544ED" w:rsidP="00E65D9E">
            <w:pPr>
              <w:jc w:val="center"/>
              <w:rPr>
                <w:color w:val="000000"/>
                <w:sz w:val="20"/>
                <w:szCs w:val="20"/>
              </w:rPr>
            </w:pPr>
            <w:r>
              <w:rPr>
                <w:color w:val="000000"/>
                <w:sz w:val="20"/>
                <w:szCs w:val="20"/>
              </w:rPr>
              <w:t>0</w:t>
            </w:r>
          </w:p>
        </w:tc>
        <w:tc>
          <w:tcPr>
            <w:tcW w:w="1001" w:type="dxa"/>
            <w:tcBorders>
              <w:top w:val="nil"/>
              <w:left w:val="nil"/>
              <w:bottom w:val="single" w:sz="4" w:space="0" w:color="auto"/>
              <w:right w:val="single" w:sz="4" w:space="0" w:color="auto"/>
            </w:tcBorders>
            <w:shd w:val="clear" w:color="auto" w:fill="auto"/>
            <w:noWrap/>
            <w:vAlign w:val="bottom"/>
            <w:hideMark/>
          </w:tcPr>
          <w:p w14:paraId="572FFF29" w14:textId="77777777" w:rsidR="00D544ED" w:rsidRDefault="00D544ED" w:rsidP="00E65D9E">
            <w:pPr>
              <w:jc w:val="center"/>
              <w:rPr>
                <w:color w:val="000000"/>
                <w:sz w:val="20"/>
                <w:szCs w:val="20"/>
              </w:rPr>
            </w:pPr>
            <w:r>
              <w:rPr>
                <w:color w:val="000000"/>
                <w:sz w:val="20"/>
                <w:szCs w:val="20"/>
              </w:rPr>
              <w:t>815</w:t>
            </w:r>
          </w:p>
        </w:tc>
        <w:tc>
          <w:tcPr>
            <w:tcW w:w="1601" w:type="dxa"/>
            <w:tcBorders>
              <w:top w:val="nil"/>
              <w:left w:val="nil"/>
              <w:bottom w:val="single" w:sz="4" w:space="0" w:color="auto"/>
              <w:right w:val="single" w:sz="4" w:space="0" w:color="auto"/>
            </w:tcBorders>
            <w:shd w:val="clear" w:color="auto" w:fill="auto"/>
            <w:noWrap/>
            <w:vAlign w:val="bottom"/>
            <w:hideMark/>
          </w:tcPr>
          <w:p w14:paraId="675C9D29" w14:textId="77777777" w:rsidR="00D544ED" w:rsidRDefault="00D544ED" w:rsidP="00E65D9E">
            <w:pPr>
              <w:jc w:val="center"/>
              <w:rPr>
                <w:color w:val="000000"/>
                <w:sz w:val="20"/>
                <w:szCs w:val="20"/>
              </w:rPr>
            </w:pPr>
            <w:r>
              <w:rPr>
                <w:color w:val="000000"/>
                <w:sz w:val="20"/>
                <w:szCs w:val="20"/>
              </w:rPr>
              <w:t>11,064</w:t>
            </w:r>
          </w:p>
        </w:tc>
        <w:tc>
          <w:tcPr>
            <w:tcW w:w="728" w:type="dxa"/>
            <w:tcBorders>
              <w:top w:val="nil"/>
              <w:left w:val="nil"/>
              <w:bottom w:val="single" w:sz="4" w:space="0" w:color="auto"/>
              <w:right w:val="single" w:sz="4" w:space="0" w:color="auto"/>
            </w:tcBorders>
            <w:shd w:val="clear" w:color="auto" w:fill="auto"/>
            <w:noWrap/>
            <w:vAlign w:val="bottom"/>
            <w:hideMark/>
          </w:tcPr>
          <w:p w14:paraId="670622DB" w14:textId="77777777" w:rsidR="00D544ED" w:rsidRDefault="00D544ED" w:rsidP="00E65D9E">
            <w:pPr>
              <w:jc w:val="center"/>
              <w:rPr>
                <w:color w:val="000000"/>
                <w:sz w:val="20"/>
                <w:szCs w:val="20"/>
              </w:rPr>
            </w:pPr>
            <w:r>
              <w:rPr>
                <w:color w:val="000000"/>
                <w:sz w:val="20"/>
                <w:szCs w:val="20"/>
              </w:rPr>
              <w:t>82,687</w:t>
            </w:r>
          </w:p>
        </w:tc>
        <w:tc>
          <w:tcPr>
            <w:tcW w:w="1034" w:type="dxa"/>
            <w:tcBorders>
              <w:top w:val="nil"/>
              <w:left w:val="nil"/>
              <w:bottom w:val="single" w:sz="4" w:space="0" w:color="auto"/>
              <w:right w:val="single" w:sz="4" w:space="0" w:color="auto"/>
            </w:tcBorders>
            <w:shd w:val="clear" w:color="auto" w:fill="auto"/>
            <w:noWrap/>
            <w:vAlign w:val="bottom"/>
            <w:hideMark/>
          </w:tcPr>
          <w:p w14:paraId="71741A26" w14:textId="77777777" w:rsidR="00D544ED" w:rsidRDefault="00D544ED" w:rsidP="00E65D9E">
            <w:pPr>
              <w:jc w:val="center"/>
              <w:rPr>
                <w:color w:val="000000"/>
                <w:sz w:val="20"/>
                <w:szCs w:val="20"/>
              </w:rPr>
            </w:pPr>
            <w:r>
              <w:rPr>
                <w:color w:val="000000"/>
                <w:sz w:val="20"/>
                <w:szCs w:val="20"/>
              </w:rPr>
              <w:t>14.4%</w:t>
            </w:r>
          </w:p>
        </w:tc>
      </w:tr>
      <w:tr w:rsidR="00D544ED" w14:paraId="77974366" w14:textId="77777777" w:rsidTr="00493106">
        <w:trPr>
          <w:trHeight w:val="300"/>
        </w:trPr>
        <w:tc>
          <w:tcPr>
            <w:tcW w:w="9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933ABBF" w14:textId="77777777" w:rsidR="00D544ED" w:rsidRDefault="00D544ED" w:rsidP="00E65D9E">
            <w:pPr>
              <w:jc w:val="center"/>
              <w:rPr>
                <w:b/>
                <w:bCs/>
                <w:color w:val="000000"/>
                <w:sz w:val="20"/>
                <w:szCs w:val="20"/>
              </w:rPr>
            </w:pPr>
            <w:r>
              <w:rPr>
                <w:b/>
                <w:bCs/>
                <w:color w:val="000000"/>
                <w:sz w:val="20"/>
                <w:szCs w:val="20"/>
              </w:rPr>
              <w:t>Average</w:t>
            </w:r>
          </w:p>
        </w:tc>
        <w:tc>
          <w:tcPr>
            <w:tcW w:w="728" w:type="dxa"/>
            <w:tcBorders>
              <w:top w:val="nil"/>
              <w:left w:val="nil"/>
              <w:bottom w:val="single" w:sz="4" w:space="0" w:color="auto"/>
              <w:right w:val="single" w:sz="4" w:space="0" w:color="auto"/>
            </w:tcBorders>
            <w:shd w:val="clear" w:color="auto" w:fill="auto"/>
            <w:noWrap/>
            <w:vAlign w:val="bottom"/>
            <w:hideMark/>
          </w:tcPr>
          <w:p w14:paraId="7E50AEA0" w14:textId="77777777" w:rsidR="00D544ED" w:rsidRDefault="00D544ED" w:rsidP="00E65D9E">
            <w:pPr>
              <w:jc w:val="center"/>
              <w:rPr>
                <w:color w:val="000000"/>
                <w:sz w:val="20"/>
                <w:szCs w:val="20"/>
              </w:rPr>
            </w:pPr>
            <w:r>
              <w:rPr>
                <w:color w:val="000000"/>
                <w:sz w:val="20"/>
                <w:szCs w:val="20"/>
              </w:rPr>
              <w:t>10,208</w:t>
            </w:r>
          </w:p>
        </w:tc>
        <w:tc>
          <w:tcPr>
            <w:tcW w:w="1001" w:type="dxa"/>
            <w:tcBorders>
              <w:top w:val="nil"/>
              <w:left w:val="nil"/>
              <w:bottom w:val="single" w:sz="4" w:space="0" w:color="auto"/>
              <w:right w:val="single" w:sz="4" w:space="0" w:color="auto"/>
            </w:tcBorders>
            <w:shd w:val="clear" w:color="auto" w:fill="auto"/>
            <w:noWrap/>
            <w:vAlign w:val="bottom"/>
            <w:hideMark/>
          </w:tcPr>
          <w:p w14:paraId="78483412" w14:textId="77777777" w:rsidR="00D544ED" w:rsidRDefault="00D544ED" w:rsidP="00E65D9E">
            <w:pPr>
              <w:jc w:val="center"/>
              <w:rPr>
                <w:color w:val="000000"/>
                <w:sz w:val="20"/>
                <w:szCs w:val="20"/>
              </w:rPr>
            </w:pPr>
            <w:r>
              <w:rPr>
                <w:color w:val="000000"/>
                <w:sz w:val="20"/>
                <w:szCs w:val="20"/>
              </w:rPr>
              <w:t>2,340</w:t>
            </w:r>
          </w:p>
        </w:tc>
        <w:tc>
          <w:tcPr>
            <w:tcW w:w="1601" w:type="dxa"/>
            <w:tcBorders>
              <w:top w:val="nil"/>
              <w:left w:val="nil"/>
              <w:bottom w:val="single" w:sz="4" w:space="0" w:color="auto"/>
              <w:right w:val="single" w:sz="4" w:space="0" w:color="auto"/>
            </w:tcBorders>
            <w:shd w:val="clear" w:color="auto" w:fill="auto"/>
            <w:noWrap/>
            <w:vAlign w:val="bottom"/>
            <w:hideMark/>
          </w:tcPr>
          <w:p w14:paraId="050291CD" w14:textId="77777777" w:rsidR="00D544ED" w:rsidRDefault="00D544ED" w:rsidP="00E65D9E">
            <w:pPr>
              <w:jc w:val="center"/>
              <w:rPr>
                <w:color w:val="000000"/>
                <w:sz w:val="20"/>
                <w:szCs w:val="20"/>
              </w:rPr>
            </w:pPr>
            <w:r>
              <w:rPr>
                <w:color w:val="000000"/>
                <w:sz w:val="20"/>
                <w:szCs w:val="20"/>
              </w:rPr>
              <w:t>30,495</w:t>
            </w:r>
          </w:p>
        </w:tc>
        <w:tc>
          <w:tcPr>
            <w:tcW w:w="666" w:type="dxa"/>
            <w:tcBorders>
              <w:top w:val="nil"/>
              <w:left w:val="nil"/>
              <w:bottom w:val="single" w:sz="4" w:space="0" w:color="auto"/>
              <w:right w:val="single" w:sz="4" w:space="0" w:color="auto"/>
            </w:tcBorders>
            <w:shd w:val="clear" w:color="auto" w:fill="auto"/>
            <w:noWrap/>
            <w:vAlign w:val="bottom"/>
            <w:hideMark/>
          </w:tcPr>
          <w:p w14:paraId="4EA0114E" w14:textId="77777777" w:rsidR="00D544ED" w:rsidRDefault="00D544ED" w:rsidP="00E65D9E">
            <w:pPr>
              <w:jc w:val="center"/>
              <w:rPr>
                <w:color w:val="000000"/>
                <w:sz w:val="20"/>
                <w:szCs w:val="20"/>
              </w:rPr>
            </w:pPr>
            <w:r>
              <w:rPr>
                <w:color w:val="000000"/>
                <w:sz w:val="20"/>
                <w:szCs w:val="20"/>
              </w:rPr>
              <w:t>0</w:t>
            </w:r>
          </w:p>
        </w:tc>
        <w:tc>
          <w:tcPr>
            <w:tcW w:w="1001" w:type="dxa"/>
            <w:tcBorders>
              <w:top w:val="nil"/>
              <w:left w:val="nil"/>
              <w:bottom w:val="single" w:sz="4" w:space="0" w:color="auto"/>
              <w:right w:val="single" w:sz="4" w:space="0" w:color="auto"/>
            </w:tcBorders>
            <w:shd w:val="clear" w:color="auto" w:fill="auto"/>
            <w:noWrap/>
            <w:vAlign w:val="bottom"/>
            <w:hideMark/>
          </w:tcPr>
          <w:p w14:paraId="6DC4C123" w14:textId="77777777" w:rsidR="00D544ED" w:rsidRDefault="00D544ED" w:rsidP="00E65D9E">
            <w:pPr>
              <w:jc w:val="center"/>
              <w:rPr>
                <w:color w:val="000000"/>
                <w:sz w:val="20"/>
                <w:szCs w:val="20"/>
              </w:rPr>
            </w:pPr>
            <w:r>
              <w:rPr>
                <w:color w:val="000000"/>
                <w:sz w:val="20"/>
                <w:szCs w:val="20"/>
              </w:rPr>
              <w:t>599</w:t>
            </w:r>
          </w:p>
        </w:tc>
        <w:tc>
          <w:tcPr>
            <w:tcW w:w="1601" w:type="dxa"/>
            <w:tcBorders>
              <w:top w:val="nil"/>
              <w:left w:val="nil"/>
              <w:bottom w:val="single" w:sz="4" w:space="0" w:color="auto"/>
              <w:right w:val="single" w:sz="4" w:space="0" w:color="auto"/>
            </w:tcBorders>
            <w:shd w:val="clear" w:color="auto" w:fill="auto"/>
            <w:noWrap/>
            <w:vAlign w:val="bottom"/>
            <w:hideMark/>
          </w:tcPr>
          <w:p w14:paraId="303259D2" w14:textId="77777777" w:rsidR="00D544ED" w:rsidRDefault="00D544ED" w:rsidP="00E65D9E">
            <w:pPr>
              <w:jc w:val="center"/>
              <w:rPr>
                <w:color w:val="000000"/>
                <w:sz w:val="20"/>
                <w:szCs w:val="20"/>
              </w:rPr>
            </w:pPr>
            <w:r>
              <w:rPr>
                <w:color w:val="000000"/>
                <w:sz w:val="20"/>
                <w:szCs w:val="20"/>
              </w:rPr>
              <w:t>4,515</w:t>
            </w:r>
          </w:p>
        </w:tc>
        <w:tc>
          <w:tcPr>
            <w:tcW w:w="728" w:type="dxa"/>
            <w:tcBorders>
              <w:top w:val="nil"/>
              <w:left w:val="nil"/>
              <w:bottom w:val="single" w:sz="4" w:space="0" w:color="auto"/>
              <w:right w:val="single" w:sz="4" w:space="0" w:color="auto"/>
            </w:tcBorders>
            <w:shd w:val="clear" w:color="auto" w:fill="auto"/>
            <w:noWrap/>
            <w:vAlign w:val="bottom"/>
            <w:hideMark/>
          </w:tcPr>
          <w:p w14:paraId="16AC9BBE" w14:textId="77777777" w:rsidR="00D544ED" w:rsidRDefault="00D544ED" w:rsidP="00E65D9E">
            <w:pPr>
              <w:jc w:val="center"/>
              <w:rPr>
                <w:color w:val="000000"/>
                <w:sz w:val="20"/>
                <w:szCs w:val="20"/>
              </w:rPr>
            </w:pPr>
            <w:r>
              <w:rPr>
                <w:color w:val="000000"/>
                <w:sz w:val="20"/>
                <w:szCs w:val="20"/>
              </w:rPr>
              <w:t>48,156</w:t>
            </w:r>
          </w:p>
        </w:tc>
        <w:tc>
          <w:tcPr>
            <w:tcW w:w="1034" w:type="dxa"/>
            <w:tcBorders>
              <w:top w:val="nil"/>
              <w:left w:val="nil"/>
              <w:bottom w:val="single" w:sz="4" w:space="0" w:color="auto"/>
              <w:right w:val="single" w:sz="4" w:space="0" w:color="auto"/>
            </w:tcBorders>
            <w:shd w:val="clear" w:color="auto" w:fill="auto"/>
            <w:noWrap/>
            <w:vAlign w:val="bottom"/>
            <w:hideMark/>
          </w:tcPr>
          <w:p w14:paraId="76DF8251" w14:textId="77777777" w:rsidR="00D544ED" w:rsidRDefault="00D544ED" w:rsidP="00E65D9E">
            <w:pPr>
              <w:jc w:val="center"/>
              <w:rPr>
                <w:color w:val="000000"/>
                <w:sz w:val="20"/>
                <w:szCs w:val="20"/>
              </w:rPr>
            </w:pPr>
            <w:r>
              <w:rPr>
                <w:color w:val="000000"/>
                <w:sz w:val="20"/>
                <w:szCs w:val="20"/>
              </w:rPr>
              <w:t>11.0%</w:t>
            </w:r>
          </w:p>
        </w:tc>
      </w:tr>
    </w:tbl>
    <w:p w14:paraId="2D031294" w14:textId="77777777" w:rsidR="00C06287" w:rsidRDefault="00C06287" w:rsidP="004623CD"/>
    <w:p w14:paraId="3008A21B" w14:textId="32084309" w:rsidR="00C06287" w:rsidRPr="00D02147" w:rsidRDefault="00D02147" w:rsidP="00D02147">
      <w:pPr>
        <w:ind w:firstLine="360"/>
      </w:pPr>
      <w:r>
        <w:t>The recreational bag limit for mutton snapper is included within the aggregate bag limit for snapper grouper, which is no more than 10 fish per person per day.  Hence, an angler can land up to 10 mutton snapper if no other species within the aggregate limit are landed.  From 2010 through 2014, an annual average of 77,413 trips (</w:t>
      </w:r>
      <w:r w:rsidRPr="00B82BBF">
        <w:rPr>
          <w:b/>
        </w:rPr>
        <w:t>Table 3.3.28</w:t>
      </w:r>
      <w:r>
        <w:t>) landed an annual average of 66,955</w:t>
      </w:r>
      <w:r w:rsidR="00962AF5">
        <w:t xml:space="preserve"> </w:t>
      </w:r>
      <w:r>
        <w:t>mutton snapper with a collective weight of 201,160 pounds.  The average trip harvested one mutton snapper, and the average weight per fish was about three pounds (</w:t>
      </w:r>
      <w:r>
        <w:rPr>
          <w:b/>
        </w:rPr>
        <w:t>Table 3.3.30</w:t>
      </w:r>
      <w:r>
        <w:t xml:space="preserve">).  All of the harvest occurred in East Florida.         </w:t>
      </w:r>
    </w:p>
    <w:p w14:paraId="563FC557" w14:textId="77777777" w:rsidR="00C06287" w:rsidRDefault="00C06287" w:rsidP="00C06287">
      <w:pPr>
        <w:rPr>
          <w:rFonts w:ascii="Arial" w:hAnsi="Arial" w:cs="Arial"/>
          <w:b/>
          <w:sz w:val="20"/>
          <w:szCs w:val="20"/>
        </w:rPr>
      </w:pPr>
    </w:p>
    <w:p w14:paraId="54C10A30" w14:textId="77777777" w:rsidR="00493106" w:rsidRDefault="00493106">
      <w:pPr>
        <w:rPr>
          <w:rFonts w:ascii="Arial" w:hAnsi="Arial"/>
          <w:b/>
          <w:bCs/>
          <w:sz w:val="20"/>
        </w:rPr>
      </w:pPr>
      <w:r>
        <w:rPr>
          <w:b/>
        </w:rPr>
        <w:br w:type="page"/>
      </w:r>
    </w:p>
    <w:p w14:paraId="67828B25" w14:textId="1A87547D" w:rsidR="00C06287" w:rsidRDefault="00C06287" w:rsidP="004623CD">
      <w:pPr>
        <w:pStyle w:val="Tabletitle"/>
      </w:pPr>
      <w:bookmarkStart w:id="176" w:name="_Toc340431575"/>
      <w:r>
        <w:rPr>
          <w:b/>
        </w:rPr>
        <w:lastRenderedPageBreak/>
        <w:t>Table 3.3.30</w:t>
      </w:r>
      <w:r w:rsidRPr="00091BD5">
        <w:rPr>
          <w:b/>
        </w:rPr>
        <w:t>.</w:t>
      </w:r>
      <w:r>
        <w:t xml:space="preserve">  Estimates of </w:t>
      </w:r>
      <w:r w:rsidR="006273E7">
        <w:t xml:space="preserve">observed </w:t>
      </w:r>
      <w:r>
        <w:t xml:space="preserve">pounds and number of mutton snapper </w:t>
      </w:r>
      <w:r w:rsidR="004623CD">
        <w:t xml:space="preserve">harvested in the </w:t>
      </w:r>
      <w:r w:rsidR="00D02147">
        <w:t>South Atlantic R</w:t>
      </w:r>
      <w:r w:rsidR="004623CD">
        <w:t>egion, 2010-</w:t>
      </w:r>
      <w:r>
        <w:t>2014.</w:t>
      </w:r>
      <w:bookmarkEnd w:id="176"/>
      <w:r>
        <w:t xml:space="preserve">  </w:t>
      </w:r>
    </w:p>
    <w:tbl>
      <w:tblPr>
        <w:tblW w:w="5817" w:type="dxa"/>
        <w:tblInd w:w="93" w:type="dxa"/>
        <w:tblLook w:val="04A0" w:firstRow="1" w:lastRow="0" w:firstColumn="1" w:lastColumn="0" w:noHBand="0" w:noVBand="1"/>
      </w:tblPr>
      <w:tblGrid>
        <w:gridCol w:w="1069"/>
        <w:gridCol w:w="996"/>
        <w:gridCol w:w="1844"/>
        <w:gridCol w:w="1908"/>
      </w:tblGrid>
      <w:tr w:rsidR="00D02147" w:rsidRPr="004623CD" w14:paraId="48E28C37" w14:textId="77777777" w:rsidTr="00962AF5">
        <w:trPr>
          <w:trHeight w:val="300"/>
        </w:trPr>
        <w:tc>
          <w:tcPr>
            <w:tcW w:w="10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9EC84C" w14:textId="77777777" w:rsidR="00D02147" w:rsidRPr="004623CD" w:rsidRDefault="00D02147" w:rsidP="00962AF5">
            <w:pPr>
              <w:jc w:val="center"/>
              <w:rPr>
                <w:b/>
                <w:bCs/>
                <w:color w:val="000000"/>
                <w:sz w:val="22"/>
                <w:szCs w:val="22"/>
              </w:rPr>
            </w:pPr>
            <w:r w:rsidRPr="004623CD">
              <w:rPr>
                <w:b/>
                <w:bCs/>
                <w:color w:val="000000"/>
                <w:sz w:val="22"/>
                <w:szCs w:val="22"/>
              </w:rPr>
              <w:t>Year</w:t>
            </w:r>
          </w:p>
        </w:tc>
        <w:tc>
          <w:tcPr>
            <w:tcW w:w="474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776F004" w14:textId="77777777" w:rsidR="00D02147" w:rsidRPr="004623CD" w:rsidRDefault="00D02147" w:rsidP="00962AF5">
            <w:pPr>
              <w:jc w:val="center"/>
              <w:rPr>
                <w:b/>
                <w:bCs/>
                <w:color w:val="000000"/>
                <w:sz w:val="22"/>
                <w:szCs w:val="22"/>
              </w:rPr>
            </w:pPr>
            <w:r>
              <w:rPr>
                <w:b/>
                <w:bCs/>
                <w:color w:val="000000"/>
                <w:sz w:val="22"/>
                <w:szCs w:val="22"/>
              </w:rPr>
              <w:t>H</w:t>
            </w:r>
            <w:r w:rsidRPr="004623CD">
              <w:rPr>
                <w:b/>
                <w:bCs/>
                <w:color w:val="000000"/>
                <w:sz w:val="22"/>
                <w:szCs w:val="22"/>
              </w:rPr>
              <w:t xml:space="preserve">arvest </w:t>
            </w:r>
          </w:p>
        </w:tc>
      </w:tr>
      <w:tr w:rsidR="00D02147" w:rsidRPr="004623CD" w14:paraId="3409C1DF" w14:textId="77777777" w:rsidTr="00962AF5">
        <w:trPr>
          <w:trHeight w:val="300"/>
        </w:trPr>
        <w:tc>
          <w:tcPr>
            <w:tcW w:w="10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29EDC0" w14:textId="77777777" w:rsidR="00D02147" w:rsidRPr="004623CD" w:rsidRDefault="00D02147" w:rsidP="00962AF5">
            <w:pPr>
              <w:rPr>
                <w:b/>
                <w:bCs/>
                <w:color w:val="000000"/>
                <w:sz w:val="22"/>
                <w:szCs w:val="22"/>
              </w:rPr>
            </w:pPr>
          </w:p>
        </w:tc>
        <w:tc>
          <w:tcPr>
            <w:tcW w:w="996" w:type="dxa"/>
            <w:tcBorders>
              <w:top w:val="nil"/>
              <w:left w:val="nil"/>
              <w:bottom w:val="single" w:sz="4" w:space="0" w:color="auto"/>
              <w:right w:val="single" w:sz="4" w:space="0" w:color="auto"/>
            </w:tcBorders>
            <w:shd w:val="clear" w:color="auto" w:fill="D9D9D9" w:themeFill="background1" w:themeFillShade="D9"/>
            <w:noWrap/>
            <w:vAlign w:val="bottom"/>
            <w:hideMark/>
          </w:tcPr>
          <w:p w14:paraId="0192BB71" w14:textId="77777777" w:rsidR="00D02147" w:rsidRPr="004623CD" w:rsidRDefault="00D02147" w:rsidP="00962AF5">
            <w:pPr>
              <w:jc w:val="center"/>
              <w:rPr>
                <w:b/>
                <w:bCs/>
                <w:color w:val="000000"/>
                <w:sz w:val="22"/>
                <w:szCs w:val="22"/>
              </w:rPr>
            </w:pPr>
            <w:r w:rsidRPr="004623CD">
              <w:rPr>
                <w:b/>
                <w:bCs/>
                <w:color w:val="000000"/>
                <w:sz w:val="22"/>
                <w:szCs w:val="22"/>
              </w:rPr>
              <w:t>Pounds</w:t>
            </w:r>
          </w:p>
        </w:tc>
        <w:tc>
          <w:tcPr>
            <w:tcW w:w="1844" w:type="dxa"/>
            <w:tcBorders>
              <w:top w:val="nil"/>
              <w:left w:val="nil"/>
              <w:bottom w:val="single" w:sz="4" w:space="0" w:color="auto"/>
              <w:right w:val="single" w:sz="4" w:space="0" w:color="auto"/>
            </w:tcBorders>
            <w:shd w:val="clear" w:color="auto" w:fill="D9D9D9" w:themeFill="background1" w:themeFillShade="D9"/>
            <w:noWrap/>
            <w:vAlign w:val="bottom"/>
            <w:hideMark/>
          </w:tcPr>
          <w:p w14:paraId="752D859C" w14:textId="77777777" w:rsidR="00D02147" w:rsidRPr="004623CD" w:rsidRDefault="00D02147" w:rsidP="00962AF5">
            <w:pPr>
              <w:jc w:val="center"/>
              <w:rPr>
                <w:b/>
                <w:bCs/>
                <w:color w:val="000000"/>
                <w:sz w:val="22"/>
                <w:szCs w:val="22"/>
              </w:rPr>
            </w:pPr>
            <w:r w:rsidRPr="004623CD">
              <w:rPr>
                <w:b/>
                <w:bCs/>
                <w:color w:val="000000"/>
                <w:sz w:val="22"/>
                <w:szCs w:val="22"/>
              </w:rPr>
              <w:t>Number of fish</w:t>
            </w:r>
          </w:p>
        </w:tc>
        <w:tc>
          <w:tcPr>
            <w:tcW w:w="1908" w:type="dxa"/>
            <w:tcBorders>
              <w:top w:val="nil"/>
              <w:left w:val="nil"/>
              <w:bottom w:val="single" w:sz="4" w:space="0" w:color="auto"/>
              <w:right w:val="single" w:sz="4" w:space="0" w:color="auto"/>
            </w:tcBorders>
            <w:shd w:val="clear" w:color="auto" w:fill="D9D9D9" w:themeFill="background1" w:themeFillShade="D9"/>
            <w:noWrap/>
            <w:vAlign w:val="bottom"/>
            <w:hideMark/>
          </w:tcPr>
          <w:p w14:paraId="6E6BAE47" w14:textId="77777777" w:rsidR="00D02147" w:rsidRPr="004623CD" w:rsidRDefault="00D02147" w:rsidP="00962AF5">
            <w:pPr>
              <w:jc w:val="center"/>
              <w:rPr>
                <w:b/>
                <w:bCs/>
                <w:color w:val="000000"/>
                <w:sz w:val="22"/>
                <w:szCs w:val="22"/>
              </w:rPr>
            </w:pPr>
            <w:r w:rsidRPr="004623CD">
              <w:rPr>
                <w:b/>
                <w:bCs/>
                <w:color w:val="000000"/>
                <w:sz w:val="22"/>
                <w:szCs w:val="22"/>
              </w:rPr>
              <w:t>Pounds per fish</w:t>
            </w:r>
          </w:p>
        </w:tc>
      </w:tr>
      <w:tr w:rsidR="00D02147" w:rsidRPr="004623CD" w14:paraId="26E4B9BA" w14:textId="77777777" w:rsidTr="00962AF5">
        <w:trPr>
          <w:trHeight w:val="300"/>
        </w:trPr>
        <w:tc>
          <w:tcPr>
            <w:tcW w:w="1069" w:type="dxa"/>
            <w:tcBorders>
              <w:top w:val="nil"/>
              <w:left w:val="single" w:sz="4" w:space="0" w:color="auto"/>
              <w:bottom w:val="single" w:sz="4" w:space="0" w:color="auto"/>
              <w:right w:val="single" w:sz="4" w:space="0" w:color="auto"/>
            </w:tcBorders>
            <w:shd w:val="clear" w:color="000000" w:fill="auto"/>
            <w:noWrap/>
            <w:vAlign w:val="bottom"/>
            <w:hideMark/>
          </w:tcPr>
          <w:p w14:paraId="755F4706" w14:textId="77777777" w:rsidR="00D02147" w:rsidRPr="004623CD" w:rsidRDefault="00D02147" w:rsidP="00962AF5">
            <w:pPr>
              <w:jc w:val="center"/>
              <w:rPr>
                <w:bCs/>
                <w:color w:val="000000"/>
                <w:sz w:val="22"/>
                <w:szCs w:val="22"/>
              </w:rPr>
            </w:pPr>
            <w:r w:rsidRPr="004623CD">
              <w:rPr>
                <w:bCs/>
                <w:color w:val="000000"/>
                <w:sz w:val="22"/>
                <w:szCs w:val="22"/>
              </w:rPr>
              <w:t>2010</w:t>
            </w:r>
          </w:p>
        </w:tc>
        <w:tc>
          <w:tcPr>
            <w:tcW w:w="996" w:type="dxa"/>
            <w:tcBorders>
              <w:top w:val="nil"/>
              <w:left w:val="nil"/>
              <w:bottom w:val="single" w:sz="4" w:space="0" w:color="auto"/>
              <w:right w:val="single" w:sz="4" w:space="0" w:color="auto"/>
            </w:tcBorders>
            <w:shd w:val="clear" w:color="auto" w:fill="auto"/>
            <w:noWrap/>
            <w:vAlign w:val="bottom"/>
            <w:hideMark/>
          </w:tcPr>
          <w:p w14:paraId="6334A82A" w14:textId="77777777" w:rsidR="00D02147" w:rsidRPr="004623CD" w:rsidRDefault="00D02147" w:rsidP="00962AF5">
            <w:pPr>
              <w:jc w:val="center"/>
              <w:rPr>
                <w:color w:val="000000"/>
                <w:sz w:val="22"/>
                <w:szCs w:val="22"/>
              </w:rPr>
            </w:pPr>
            <w:r w:rsidRPr="004623CD">
              <w:rPr>
                <w:color w:val="000000"/>
                <w:sz w:val="22"/>
                <w:szCs w:val="22"/>
              </w:rPr>
              <w:t>314,059</w:t>
            </w:r>
          </w:p>
        </w:tc>
        <w:tc>
          <w:tcPr>
            <w:tcW w:w="1844" w:type="dxa"/>
            <w:tcBorders>
              <w:top w:val="nil"/>
              <w:left w:val="nil"/>
              <w:bottom w:val="single" w:sz="4" w:space="0" w:color="auto"/>
              <w:right w:val="single" w:sz="4" w:space="0" w:color="auto"/>
            </w:tcBorders>
            <w:shd w:val="clear" w:color="auto" w:fill="auto"/>
            <w:noWrap/>
            <w:vAlign w:val="bottom"/>
          </w:tcPr>
          <w:p w14:paraId="76243E2D" w14:textId="77777777" w:rsidR="00D02147" w:rsidRPr="004623CD" w:rsidRDefault="00D02147" w:rsidP="00962AF5">
            <w:pPr>
              <w:jc w:val="center"/>
              <w:rPr>
                <w:color w:val="000000"/>
                <w:sz w:val="22"/>
                <w:szCs w:val="22"/>
              </w:rPr>
            </w:pPr>
            <w:r>
              <w:rPr>
                <w:color w:val="000000"/>
                <w:sz w:val="22"/>
                <w:szCs w:val="22"/>
              </w:rPr>
              <w:t>97,887</w:t>
            </w:r>
          </w:p>
        </w:tc>
        <w:tc>
          <w:tcPr>
            <w:tcW w:w="1908" w:type="dxa"/>
            <w:tcBorders>
              <w:top w:val="nil"/>
              <w:left w:val="nil"/>
              <w:bottom w:val="single" w:sz="4" w:space="0" w:color="auto"/>
              <w:right w:val="single" w:sz="4" w:space="0" w:color="auto"/>
            </w:tcBorders>
            <w:shd w:val="clear" w:color="auto" w:fill="auto"/>
            <w:noWrap/>
            <w:vAlign w:val="bottom"/>
            <w:hideMark/>
          </w:tcPr>
          <w:p w14:paraId="67724C44" w14:textId="77777777" w:rsidR="00D02147" w:rsidRPr="004623CD" w:rsidRDefault="00D02147" w:rsidP="00962AF5">
            <w:pPr>
              <w:jc w:val="center"/>
              <w:rPr>
                <w:color w:val="000000"/>
                <w:sz w:val="22"/>
                <w:szCs w:val="22"/>
              </w:rPr>
            </w:pPr>
            <w:r>
              <w:rPr>
                <w:color w:val="000000"/>
                <w:sz w:val="22"/>
                <w:szCs w:val="22"/>
              </w:rPr>
              <w:t>3.21</w:t>
            </w:r>
          </w:p>
        </w:tc>
      </w:tr>
      <w:tr w:rsidR="00D02147" w:rsidRPr="004623CD" w14:paraId="2D151FBD" w14:textId="77777777" w:rsidTr="00962AF5">
        <w:trPr>
          <w:trHeight w:val="300"/>
        </w:trPr>
        <w:tc>
          <w:tcPr>
            <w:tcW w:w="1069" w:type="dxa"/>
            <w:tcBorders>
              <w:top w:val="nil"/>
              <w:left w:val="single" w:sz="4" w:space="0" w:color="auto"/>
              <w:bottom w:val="single" w:sz="4" w:space="0" w:color="auto"/>
              <w:right w:val="single" w:sz="4" w:space="0" w:color="auto"/>
            </w:tcBorders>
            <w:shd w:val="clear" w:color="000000" w:fill="auto"/>
            <w:noWrap/>
            <w:vAlign w:val="bottom"/>
            <w:hideMark/>
          </w:tcPr>
          <w:p w14:paraId="2FB5D310" w14:textId="77777777" w:rsidR="00D02147" w:rsidRPr="004623CD" w:rsidRDefault="00D02147" w:rsidP="00962AF5">
            <w:pPr>
              <w:jc w:val="center"/>
              <w:rPr>
                <w:bCs/>
                <w:color w:val="000000"/>
                <w:sz w:val="22"/>
                <w:szCs w:val="22"/>
              </w:rPr>
            </w:pPr>
            <w:r w:rsidRPr="004623CD">
              <w:rPr>
                <w:bCs/>
                <w:color w:val="000000"/>
                <w:sz w:val="22"/>
                <w:szCs w:val="22"/>
              </w:rPr>
              <w:t>2011</w:t>
            </w:r>
          </w:p>
        </w:tc>
        <w:tc>
          <w:tcPr>
            <w:tcW w:w="996" w:type="dxa"/>
            <w:tcBorders>
              <w:top w:val="nil"/>
              <w:left w:val="nil"/>
              <w:bottom w:val="single" w:sz="4" w:space="0" w:color="auto"/>
              <w:right w:val="single" w:sz="4" w:space="0" w:color="auto"/>
            </w:tcBorders>
            <w:shd w:val="clear" w:color="auto" w:fill="auto"/>
            <w:noWrap/>
            <w:vAlign w:val="bottom"/>
            <w:hideMark/>
          </w:tcPr>
          <w:p w14:paraId="6D6ED305" w14:textId="77777777" w:rsidR="00D02147" w:rsidRPr="004623CD" w:rsidRDefault="00D02147" w:rsidP="00962AF5">
            <w:pPr>
              <w:jc w:val="center"/>
              <w:rPr>
                <w:color w:val="000000"/>
                <w:sz w:val="22"/>
                <w:szCs w:val="22"/>
              </w:rPr>
            </w:pPr>
            <w:r w:rsidRPr="004623CD">
              <w:rPr>
                <w:color w:val="000000"/>
                <w:sz w:val="22"/>
                <w:szCs w:val="22"/>
              </w:rPr>
              <w:t>130,388</w:t>
            </w:r>
          </w:p>
        </w:tc>
        <w:tc>
          <w:tcPr>
            <w:tcW w:w="1844" w:type="dxa"/>
            <w:tcBorders>
              <w:top w:val="nil"/>
              <w:left w:val="nil"/>
              <w:bottom w:val="single" w:sz="4" w:space="0" w:color="auto"/>
              <w:right w:val="single" w:sz="4" w:space="0" w:color="auto"/>
            </w:tcBorders>
            <w:shd w:val="clear" w:color="auto" w:fill="auto"/>
            <w:noWrap/>
            <w:vAlign w:val="bottom"/>
          </w:tcPr>
          <w:p w14:paraId="4FA24839" w14:textId="77777777" w:rsidR="00D02147" w:rsidRPr="004623CD" w:rsidRDefault="00D02147" w:rsidP="00962AF5">
            <w:pPr>
              <w:jc w:val="center"/>
              <w:rPr>
                <w:color w:val="000000"/>
                <w:sz w:val="22"/>
                <w:szCs w:val="22"/>
              </w:rPr>
            </w:pPr>
            <w:r>
              <w:rPr>
                <w:color w:val="000000"/>
                <w:sz w:val="22"/>
                <w:szCs w:val="22"/>
              </w:rPr>
              <w:t>38,557</w:t>
            </w:r>
          </w:p>
        </w:tc>
        <w:tc>
          <w:tcPr>
            <w:tcW w:w="1908" w:type="dxa"/>
            <w:tcBorders>
              <w:top w:val="nil"/>
              <w:left w:val="nil"/>
              <w:bottom w:val="single" w:sz="4" w:space="0" w:color="auto"/>
              <w:right w:val="single" w:sz="4" w:space="0" w:color="auto"/>
            </w:tcBorders>
            <w:shd w:val="clear" w:color="auto" w:fill="auto"/>
            <w:noWrap/>
            <w:vAlign w:val="bottom"/>
            <w:hideMark/>
          </w:tcPr>
          <w:p w14:paraId="1FB991A5" w14:textId="77777777" w:rsidR="00D02147" w:rsidRPr="004623CD" w:rsidRDefault="00D02147" w:rsidP="00962AF5">
            <w:pPr>
              <w:jc w:val="center"/>
              <w:rPr>
                <w:color w:val="000000"/>
                <w:sz w:val="22"/>
                <w:szCs w:val="22"/>
              </w:rPr>
            </w:pPr>
            <w:r>
              <w:rPr>
                <w:color w:val="000000"/>
                <w:sz w:val="22"/>
                <w:szCs w:val="22"/>
              </w:rPr>
              <w:t>3.38</w:t>
            </w:r>
          </w:p>
        </w:tc>
      </w:tr>
      <w:tr w:rsidR="00D02147" w:rsidRPr="004623CD" w14:paraId="4D628C6C" w14:textId="77777777" w:rsidTr="00962AF5">
        <w:trPr>
          <w:trHeight w:val="300"/>
        </w:trPr>
        <w:tc>
          <w:tcPr>
            <w:tcW w:w="1069" w:type="dxa"/>
            <w:tcBorders>
              <w:top w:val="nil"/>
              <w:left w:val="single" w:sz="4" w:space="0" w:color="auto"/>
              <w:bottom w:val="single" w:sz="4" w:space="0" w:color="auto"/>
              <w:right w:val="single" w:sz="4" w:space="0" w:color="auto"/>
            </w:tcBorders>
            <w:shd w:val="clear" w:color="000000" w:fill="auto"/>
            <w:noWrap/>
            <w:vAlign w:val="bottom"/>
            <w:hideMark/>
          </w:tcPr>
          <w:p w14:paraId="1E6F635D" w14:textId="77777777" w:rsidR="00D02147" w:rsidRPr="004623CD" w:rsidRDefault="00D02147" w:rsidP="00962AF5">
            <w:pPr>
              <w:jc w:val="center"/>
              <w:rPr>
                <w:bCs/>
                <w:color w:val="000000"/>
                <w:sz w:val="22"/>
                <w:szCs w:val="22"/>
              </w:rPr>
            </w:pPr>
            <w:r w:rsidRPr="004623CD">
              <w:rPr>
                <w:bCs/>
                <w:color w:val="000000"/>
                <w:sz w:val="22"/>
                <w:szCs w:val="22"/>
              </w:rPr>
              <w:t>2012</w:t>
            </w:r>
          </w:p>
        </w:tc>
        <w:tc>
          <w:tcPr>
            <w:tcW w:w="996" w:type="dxa"/>
            <w:tcBorders>
              <w:top w:val="nil"/>
              <w:left w:val="nil"/>
              <w:bottom w:val="single" w:sz="4" w:space="0" w:color="auto"/>
              <w:right w:val="single" w:sz="4" w:space="0" w:color="auto"/>
            </w:tcBorders>
            <w:shd w:val="clear" w:color="auto" w:fill="auto"/>
            <w:noWrap/>
            <w:vAlign w:val="bottom"/>
            <w:hideMark/>
          </w:tcPr>
          <w:p w14:paraId="3243A820" w14:textId="77777777" w:rsidR="00D02147" w:rsidRPr="004623CD" w:rsidRDefault="00D02147" w:rsidP="00962AF5">
            <w:pPr>
              <w:jc w:val="center"/>
              <w:rPr>
                <w:color w:val="000000"/>
                <w:sz w:val="22"/>
                <w:szCs w:val="22"/>
              </w:rPr>
            </w:pPr>
            <w:r w:rsidRPr="004623CD">
              <w:rPr>
                <w:color w:val="000000"/>
                <w:sz w:val="22"/>
                <w:szCs w:val="22"/>
              </w:rPr>
              <w:t>159,900</w:t>
            </w:r>
          </w:p>
        </w:tc>
        <w:tc>
          <w:tcPr>
            <w:tcW w:w="1844" w:type="dxa"/>
            <w:tcBorders>
              <w:top w:val="nil"/>
              <w:left w:val="nil"/>
              <w:bottom w:val="single" w:sz="4" w:space="0" w:color="auto"/>
              <w:right w:val="single" w:sz="4" w:space="0" w:color="auto"/>
            </w:tcBorders>
            <w:shd w:val="clear" w:color="auto" w:fill="auto"/>
            <w:noWrap/>
            <w:vAlign w:val="bottom"/>
          </w:tcPr>
          <w:p w14:paraId="68959616" w14:textId="77777777" w:rsidR="00D02147" w:rsidRPr="004623CD" w:rsidRDefault="00D02147" w:rsidP="00962AF5">
            <w:pPr>
              <w:jc w:val="center"/>
              <w:rPr>
                <w:color w:val="000000"/>
                <w:sz w:val="22"/>
                <w:szCs w:val="22"/>
              </w:rPr>
            </w:pPr>
            <w:r>
              <w:rPr>
                <w:color w:val="000000"/>
                <w:sz w:val="22"/>
                <w:szCs w:val="22"/>
              </w:rPr>
              <w:t>43,133</w:t>
            </w:r>
          </w:p>
        </w:tc>
        <w:tc>
          <w:tcPr>
            <w:tcW w:w="1908" w:type="dxa"/>
            <w:tcBorders>
              <w:top w:val="nil"/>
              <w:left w:val="nil"/>
              <w:bottom w:val="single" w:sz="4" w:space="0" w:color="auto"/>
              <w:right w:val="single" w:sz="4" w:space="0" w:color="auto"/>
            </w:tcBorders>
            <w:shd w:val="clear" w:color="auto" w:fill="auto"/>
            <w:noWrap/>
            <w:vAlign w:val="bottom"/>
            <w:hideMark/>
          </w:tcPr>
          <w:p w14:paraId="4DABA840" w14:textId="77777777" w:rsidR="00D02147" w:rsidRPr="004623CD" w:rsidRDefault="00D02147" w:rsidP="00962AF5">
            <w:pPr>
              <w:jc w:val="center"/>
              <w:rPr>
                <w:color w:val="000000"/>
                <w:sz w:val="22"/>
                <w:szCs w:val="22"/>
              </w:rPr>
            </w:pPr>
            <w:r>
              <w:rPr>
                <w:color w:val="000000"/>
                <w:sz w:val="22"/>
                <w:szCs w:val="22"/>
              </w:rPr>
              <w:t>3.71</w:t>
            </w:r>
          </w:p>
        </w:tc>
      </w:tr>
      <w:tr w:rsidR="00D02147" w:rsidRPr="004623CD" w14:paraId="6E24613B" w14:textId="77777777" w:rsidTr="00962AF5">
        <w:trPr>
          <w:trHeight w:val="300"/>
        </w:trPr>
        <w:tc>
          <w:tcPr>
            <w:tcW w:w="1069" w:type="dxa"/>
            <w:tcBorders>
              <w:top w:val="nil"/>
              <w:left w:val="single" w:sz="4" w:space="0" w:color="auto"/>
              <w:bottom w:val="single" w:sz="4" w:space="0" w:color="auto"/>
              <w:right w:val="single" w:sz="4" w:space="0" w:color="auto"/>
            </w:tcBorders>
            <w:shd w:val="clear" w:color="000000" w:fill="auto"/>
            <w:noWrap/>
            <w:vAlign w:val="bottom"/>
            <w:hideMark/>
          </w:tcPr>
          <w:p w14:paraId="58B1D7A9" w14:textId="77777777" w:rsidR="00D02147" w:rsidRPr="004623CD" w:rsidRDefault="00D02147" w:rsidP="00962AF5">
            <w:pPr>
              <w:jc w:val="center"/>
              <w:rPr>
                <w:bCs/>
                <w:color w:val="000000"/>
                <w:sz w:val="22"/>
                <w:szCs w:val="22"/>
              </w:rPr>
            </w:pPr>
            <w:r w:rsidRPr="004623CD">
              <w:rPr>
                <w:bCs/>
                <w:color w:val="000000"/>
                <w:sz w:val="22"/>
                <w:szCs w:val="22"/>
              </w:rPr>
              <w:t>2013</w:t>
            </w:r>
          </w:p>
        </w:tc>
        <w:tc>
          <w:tcPr>
            <w:tcW w:w="996" w:type="dxa"/>
            <w:tcBorders>
              <w:top w:val="nil"/>
              <w:left w:val="nil"/>
              <w:bottom w:val="single" w:sz="4" w:space="0" w:color="auto"/>
              <w:right w:val="single" w:sz="4" w:space="0" w:color="auto"/>
            </w:tcBorders>
            <w:shd w:val="clear" w:color="auto" w:fill="auto"/>
            <w:noWrap/>
            <w:vAlign w:val="bottom"/>
            <w:hideMark/>
          </w:tcPr>
          <w:p w14:paraId="39AB52B9" w14:textId="77777777" w:rsidR="00D02147" w:rsidRPr="004623CD" w:rsidRDefault="00D02147" w:rsidP="00962AF5">
            <w:pPr>
              <w:jc w:val="center"/>
              <w:rPr>
                <w:color w:val="000000"/>
                <w:sz w:val="22"/>
                <w:szCs w:val="22"/>
              </w:rPr>
            </w:pPr>
            <w:r w:rsidRPr="004623CD">
              <w:rPr>
                <w:color w:val="000000"/>
                <w:sz w:val="22"/>
                <w:szCs w:val="22"/>
              </w:rPr>
              <w:t>205,214</w:t>
            </w:r>
          </w:p>
        </w:tc>
        <w:tc>
          <w:tcPr>
            <w:tcW w:w="1844" w:type="dxa"/>
            <w:tcBorders>
              <w:top w:val="nil"/>
              <w:left w:val="nil"/>
              <w:bottom w:val="single" w:sz="4" w:space="0" w:color="auto"/>
              <w:right w:val="single" w:sz="4" w:space="0" w:color="auto"/>
            </w:tcBorders>
            <w:shd w:val="clear" w:color="auto" w:fill="auto"/>
            <w:noWrap/>
            <w:vAlign w:val="bottom"/>
          </w:tcPr>
          <w:p w14:paraId="7C91655C" w14:textId="77777777" w:rsidR="00D02147" w:rsidRPr="004623CD" w:rsidRDefault="00D02147" w:rsidP="00962AF5">
            <w:pPr>
              <w:jc w:val="center"/>
              <w:rPr>
                <w:color w:val="000000"/>
                <w:sz w:val="22"/>
                <w:szCs w:val="22"/>
              </w:rPr>
            </w:pPr>
            <w:r>
              <w:rPr>
                <w:color w:val="000000"/>
                <w:sz w:val="22"/>
                <w:szCs w:val="22"/>
              </w:rPr>
              <w:t>64,317</w:t>
            </w:r>
          </w:p>
        </w:tc>
        <w:tc>
          <w:tcPr>
            <w:tcW w:w="1908" w:type="dxa"/>
            <w:tcBorders>
              <w:top w:val="nil"/>
              <w:left w:val="nil"/>
              <w:bottom w:val="single" w:sz="4" w:space="0" w:color="auto"/>
              <w:right w:val="single" w:sz="4" w:space="0" w:color="auto"/>
            </w:tcBorders>
            <w:shd w:val="clear" w:color="auto" w:fill="auto"/>
            <w:noWrap/>
            <w:vAlign w:val="bottom"/>
            <w:hideMark/>
          </w:tcPr>
          <w:p w14:paraId="70EA78AC" w14:textId="77777777" w:rsidR="00D02147" w:rsidRPr="004623CD" w:rsidRDefault="00D02147" w:rsidP="00962AF5">
            <w:pPr>
              <w:jc w:val="center"/>
              <w:rPr>
                <w:color w:val="000000"/>
                <w:sz w:val="22"/>
                <w:szCs w:val="22"/>
              </w:rPr>
            </w:pPr>
            <w:r>
              <w:rPr>
                <w:color w:val="000000"/>
                <w:sz w:val="22"/>
                <w:szCs w:val="22"/>
              </w:rPr>
              <w:t>3.19</w:t>
            </w:r>
          </w:p>
        </w:tc>
      </w:tr>
      <w:tr w:rsidR="00D02147" w:rsidRPr="004623CD" w14:paraId="3DB2E855" w14:textId="77777777" w:rsidTr="00962AF5">
        <w:trPr>
          <w:trHeight w:val="300"/>
        </w:trPr>
        <w:tc>
          <w:tcPr>
            <w:tcW w:w="1069" w:type="dxa"/>
            <w:tcBorders>
              <w:top w:val="nil"/>
              <w:left w:val="single" w:sz="4" w:space="0" w:color="auto"/>
              <w:bottom w:val="single" w:sz="4" w:space="0" w:color="auto"/>
              <w:right w:val="single" w:sz="4" w:space="0" w:color="auto"/>
            </w:tcBorders>
            <w:shd w:val="clear" w:color="000000" w:fill="auto"/>
            <w:noWrap/>
            <w:vAlign w:val="bottom"/>
            <w:hideMark/>
          </w:tcPr>
          <w:p w14:paraId="04B3134B" w14:textId="77777777" w:rsidR="00D02147" w:rsidRPr="004623CD" w:rsidRDefault="00D02147" w:rsidP="00962AF5">
            <w:pPr>
              <w:jc w:val="center"/>
              <w:rPr>
                <w:bCs/>
                <w:color w:val="000000"/>
                <w:sz w:val="22"/>
                <w:szCs w:val="22"/>
              </w:rPr>
            </w:pPr>
            <w:r w:rsidRPr="004623CD">
              <w:rPr>
                <w:bCs/>
                <w:color w:val="000000"/>
                <w:sz w:val="22"/>
                <w:szCs w:val="22"/>
              </w:rPr>
              <w:t>2014</w:t>
            </w:r>
          </w:p>
        </w:tc>
        <w:tc>
          <w:tcPr>
            <w:tcW w:w="996" w:type="dxa"/>
            <w:tcBorders>
              <w:top w:val="nil"/>
              <w:left w:val="nil"/>
              <w:bottom w:val="single" w:sz="4" w:space="0" w:color="auto"/>
              <w:right w:val="single" w:sz="4" w:space="0" w:color="auto"/>
            </w:tcBorders>
            <w:shd w:val="clear" w:color="auto" w:fill="auto"/>
            <w:noWrap/>
            <w:vAlign w:val="bottom"/>
            <w:hideMark/>
          </w:tcPr>
          <w:p w14:paraId="64F7C54A" w14:textId="77777777" w:rsidR="00D02147" w:rsidRPr="004623CD" w:rsidRDefault="00D02147" w:rsidP="00962AF5">
            <w:pPr>
              <w:jc w:val="center"/>
              <w:rPr>
                <w:color w:val="000000"/>
                <w:sz w:val="22"/>
                <w:szCs w:val="22"/>
              </w:rPr>
            </w:pPr>
            <w:r w:rsidRPr="004623CD">
              <w:rPr>
                <w:color w:val="000000"/>
                <w:sz w:val="22"/>
                <w:szCs w:val="22"/>
              </w:rPr>
              <w:t>241,237</w:t>
            </w:r>
          </w:p>
        </w:tc>
        <w:tc>
          <w:tcPr>
            <w:tcW w:w="1844" w:type="dxa"/>
            <w:tcBorders>
              <w:top w:val="nil"/>
              <w:left w:val="nil"/>
              <w:bottom w:val="single" w:sz="4" w:space="0" w:color="auto"/>
              <w:right w:val="single" w:sz="4" w:space="0" w:color="auto"/>
            </w:tcBorders>
            <w:shd w:val="clear" w:color="auto" w:fill="auto"/>
            <w:noWrap/>
            <w:vAlign w:val="bottom"/>
          </w:tcPr>
          <w:p w14:paraId="105885B2" w14:textId="77777777" w:rsidR="00D02147" w:rsidRPr="004623CD" w:rsidRDefault="00D02147" w:rsidP="00962AF5">
            <w:pPr>
              <w:jc w:val="center"/>
              <w:rPr>
                <w:color w:val="000000"/>
                <w:sz w:val="22"/>
                <w:szCs w:val="22"/>
              </w:rPr>
            </w:pPr>
            <w:r>
              <w:rPr>
                <w:color w:val="000000"/>
                <w:sz w:val="22"/>
                <w:szCs w:val="22"/>
              </w:rPr>
              <w:t>90,882</w:t>
            </w:r>
          </w:p>
        </w:tc>
        <w:tc>
          <w:tcPr>
            <w:tcW w:w="1908" w:type="dxa"/>
            <w:tcBorders>
              <w:top w:val="nil"/>
              <w:left w:val="nil"/>
              <w:bottom w:val="single" w:sz="4" w:space="0" w:color="auto"/>
              <w:right w:val="single" w:sz="4" w:space="0" w:color="auto"/>
            </w:tcBorders>
            <w:shd w:val="clear" w:color="auto" w:fill="auto"/>
            <w:noWrap/>
            <w:vAlign w:val="bottom"/>
            <w:hideMark/>
          </w:tcPr>
          <w:p w14:paraId="2F0DC107" w14:textId="77777777" w:rsidR="00D02147" w:rsidRPr="004623CD" w:rsidRDefault="00D02147" w:rsidP="00962AF5">
            <w:pPr>
              <w:jc w:val="center"/>
              <w:rPr>
                <w:color w:val="000000"/>
                <w:sz w:val="22"/>
                <w:szCs w:val="22"/>
              </w:rPr>
            </w:pPr>
            <w:r>
              <w:rPr>
                <w:color w:val="000000"/>
                <w:sz w:val="22"/>
                <w:szCs w:val="22"/>
              </w:rPr>
              <w:t>2.65</w:t>
            </w:r>
          </w:p>
        </w:tc>
      </w:tr>
      <w:tr w:rsidR="00D02147" w:rsidRPr="004623CD" w14:paraId="08F9B583" w14:textId="77777777" w:rsidTr="00962AF5">
        <w:trPr>
          <w:trHeight w:val="300"/>
        </w:trPr>
        <w:tc>
          <w:tcPr>
            <w:tcW w:w="1069" w:type="dxa"/>
            <w:tcBorders>
              <w:top w:val="nil"/>
              <w:left w:val="single" w:sz="4" w:space="0" w:color="auto"/>
              <w:bottom w:val="single" w:sz="4" w:space="0" w:color="auto"/>
              <w:right w:val="single" w:sz="4" w:space="0" w:color="auto"/>
            </w:tcBorders>
            <w:shd w:val="clear" w:color="000000" w:fill="auto"/>
            <w:noWrap/>
            <w:vAlign w:val="bottom"/>
            <w:hideMark/>
          </w:tcPr>
          <w:p w14:paraId="1387E6F7" w14:textId="77777777" w:rsidR="00D02147" w:rsidRPr="004623CD" w:rsidRDefault="00D02147" w:rsidP="00962AF5">
            <w:pPr>
              <w:jc w:val="center"/>
              <w:rPr>
                <w:bCs/>
                <w:color w:val="000000"/>
                <w:sz w:val="22"/>
                <w:szCs w:val="22"/>
              </w:rPr>
            </w:pPr>
            <w:r w:rsidRPr="004623CD">
              <w:rPr>
                <w:bCs/>
                <w:color w:val="000000"/>
                <w:sz w:val="22"/>
                <w:szCs w:val="22"/>
              </w:rPr>
              <w:t>Average</w:t>
            </w:r>
          </w:p>
        </w:tc>
        <w:tc>
          <w:tcPr>
            <w:tcW w:w="996" w:type="dxa"/>
            <w:tcBorders>
              <w:top w:val="nil"/>
              <w:left w:val="nil"/>
              <w:bottom w:val="single" w:sz="4" w:space="0" w:color="auto"/>
              <w:right w:val="single" w:sz="4" w:space="0" w:color="auto"/>
            </w:tcBorders>
            <w:shd w:val="clear" w:color="auto" w:fill="auto"/>
            <w:noWrap/>
            <w:vAlign w:val="bottom"/>
            <w:hideMark/>
          </w:tcPr>
          <w:p w14:paraId="5FB43C4A" w14:textId="77777777" w:rsidR="00D02147" w:rsidRPr="004623CD" w:rsidRDefault="00D02147" w:rsidP="00962AF5">
            <w:pPr>
              <w:jc w:val="center"/>
              <w:rPr>
                <w:color w:val="000000"/>
                <w:sz w:val="22"/>
                <w:szCs w:val="22"/>
              </w:rPr>
            </w:pPr>
            <w:r w:rsidRPr="004623CD">
              <w:rPr>
                <w:color w:val="000000"/>
                <w:sz w:val="22"/>
                <w:szCs w:val="22"/>
              </w:rPr>
              <w:t>210,160</w:t>
            </w:r>
          </w:p>
        </w:tc>
        <w:tc>
          <w:tcPr>
            <w:tcW w:w="1844" w:type="dxa"/>
            <w:tcBorders>
              <w:top w:val="nil"/>
              <w:left w:val="nil"/>
              <w:bottom w:val="single" w:sz="4" w:space="0" w:color="auto"/>
              <w:right w:val="single" w:sz="4" w:space="0" w:color="auto"/>
            </w:tcBorders>
            <w:shd w:val="clear" w:color="auto" w:fill="auto"/>
            <w:noWrap/>
            <w:vAlign w:val="bottom"/>
          </w:tcPr>
          <w:p w14:paraId="2079C351" w14:textId="77777777" w:rsidR="00D02147" w:rsidRPr="004623CD" w:rsidRDefault="00D02147" w:rsidP="00962AF5">
            <w:pPr>
              <w:jc w:val="center"/>
              <w:rPr>
                <w:color w:val="000000"/>
                <w:sz w:val="22"/>
                <w:szCs w:val="22"/>
              </w:rPr>
            </w:pPr>
            <w:r>
              <w:rPr>
                <w:color w:val="000000"/>
                <w:sz w:val="22"/>
                <w:szCs w:val="22"/>
              </w:rPr>
              <w:t>66,955</w:t>
            </w:r>
          </w:p>
        </w:tc>
        <w:tc>
          <w:tcPr>
            <w:tcW w:w="1908" w:type="dxa"/>
            <w:tcBorders>
              <w:top w:val="nil"/>
              <w:left w:val="nil"/>
              <w:bottom w:val="single" w:sz="4" w:space="0" w:color="auto"/>
              <w:right w:val="single" w:sz="4" w:space="0" w:color="auto"/>
            </w:tcBorders>
            <w:shd w:val="clear" w:color="auto" w:fill="auto"/>
            <w:noWrap/>
            <w:vAlign w:val="bottom"/>
            <w:hideMark/>
          </w:tcPr>
          <w:p w14:paraId="7A46CB7F" w14:textId="77777777" w:rsidR="00D02147" w:rsidRPr="004623CD" w:rsidRDefault="00D02147" w:rsidP="00962AF5">
            <w:pPr>
              <w:jc w:val="center"/>
              <w:rPr>
                <w:color w:val="000000"/>
                <w:sz w:val="22"/>
                <w:szCs w:val="22"/>
              </w:rPr>
            </w:pPr>
            <w:r>
              <w:rPr>
                <w:color w:val="000000"/>
                <w:sz w:val="22"/>
                <w:szCs w:val="22"/>
              </w:rPr>
              <w:t>3.23</w:t>
            </w:r>
          </w:p>
        </w:tc>
      </w:tr>
    </w:tbl>
    <w:p w14:paraId="42815D50" w14:textId="712B40A3" w:rsidR="00C06287" w:rsidRDefault="004623CD" w:rsidP="00C06287">
      <w:pPr>
        <w:rPr>
          <w:rFonts w:ascii="Arial" w:hAnsi="Arial" w:cs="Arial"/>
          <w:b/>
          <w:sz w:val="20"/>
          <w:szCs w:val="20"/>
        </w:rPr>
      </w:pPr>
      <w:r>
        <w:rPr>
          <w:rFonts w:ascii="Arial" w:hAnsi="Arial" w:cs="Arial"/>
          <w:sz w:val="20"/>
          <w:szCs w:val="20"/>
        </w:rPr>
        <w:t xml:space="preserve">Source: </w:t>
      </w:r>
      <w:r w:rsidRPr="00091BD5">
        <w:rPr>
          <w:rFonts w:ascii="Arial" w:hAnsi="Arial" w:cs="Arial"/>
          <w:sz w:val="20"/>
          <w:szCs w:val="20"/>
        </w:rPr>
        <w:t xml:space="preserve"> Personal communication from the National Marine Fisheries Service, Fisheries Statistics Division March 28, 2016</w:t>
      </w:r>
      <w:r>
        <w:rPr>
          <w:rFonts w:ascii="Arial" w:hAnsi="Arial" w:cs="Arial"/>
          <w:sz w:val="20"/>
          <w:szCs w:val="20"/>
        </w:rPr>
        <w:t>.</w:t>
      </w:r>
    </w:p>
    <w:p w14:paraId="77E59017" w14:textId="77777777" w:rsidR="00C06287" w:rsidRDefault="00C06287" w:rsidP="00C06287">
      <w:pPr>
        <w:rPr>
          <w:rFonts w:ascii="Arial" w:hAnsi="Arial" w:cs="Arial"/>
          <w:b/>
          <w:sz w:val="20"/>
          <w:szCs w:val="20"/>
        </w:rPr>
      </w:pPr>
    </w:p>
    <w:p w14:paraId="3192B914" w14:textId="77777777" w:rsidR="00D02147" w:rsidRDefault="00D02147">
      <w:pPr>
        <w:rPr>
          <w:rFonts w:ascii="Arial" w:hAnsi="Arial" w:cs="Arial"/>
          <w:b/>
          <w:bCs/>
          <w:iCs/>
          <w:sz w:val="28"/>
          <w:szCs w:val="28"/>
        </w:rPr>
      </w:pPr>
      <w:r>
        <w:rPr>
          <w:rFonts w:ascii="Arial" w:hAnsi="Arial" w:cs="Arial"/>
        </w:rPr>
        <w:br w:type="page"/>
      </w:r>
    </w:p>
    <w:p w14:paraId="41C613AE" w14:textId="77777777" w:rsidR="009B6722" w:rsidRPr="00803738" w:rsidRDefault="009B6722" w:rsidP="00803738">
      <w:pPr>
        <w:pStyle w:val="Heading2"/>
        <w:rPr>
          <w:rFonts w:ascii="Arial" w:hAnsi="Arial" w:cs="Arial"/>
        </w:rPr>
      </w:pPr>
      <w:bookmarkStart w:id="177" w:name="_Toc307750289"/>
      <w:bookmarkStart w:id="178" w:name="_Toc339811724"/>
      <w:r w:rsidRPr="00803738">
        <w:rPr>
          <w:rFonts w:ascii="Arial" w:hAnsi="Arial" w:cs="Arial"/>
        </w:rPr>
        <w:lastRenderedPageBreak/>
        <w:t>3.3.2</w:t>
      </w:r>
      <w:r w:rsidRPr="00803738">
        <w:rPr>
          <w:rFonts w:ascii="Arial" w:hAnsi="Arial" w:cs="Arial"/>
        </w:rPr>
        <w:tab/>
        <w:t>Social Environment</w:t>
      </w:r>
      <w:bookmarkEnd w:id="177"/>
      <w:bookmarkEnd w:id="178"/>
    </w:p>
    <w:p w14:paraId="17704984" w14:textId="77777777" w:rsidR="00803738" w:rsidRDefault="00803738" w:rsidP="009B6722"/>
    <w:p w14:paraId="66EDC6A3" w14:textId="476D416F" w:rsidR="009B6722" w:rsidRPr="00FE1731" w:rsidRDefault="009B6722" w:rsidP="00803738">
      <w:pPr>
        <w:ind w:firstLine="360"/>
      </w:pPr>
      <w:r w:rsidRPr="00FE1731">
        <w:t xml:space="preserve">This </w:t>
      </w:r>
      <w:r>
        <w:t>a</w:t>
      </w:r>
      <w:r w:rsidRPr="00FE1731">
        <w:t xml:space="preserve">mendment affects commercial </w:t>
      </w:r>
      <w:r>
        <w:t xml:space="preserve">and recreational </w:t>
      </w:r>
      <w:r w:rsidRPr="00FE1731">
        <w:t xml:space="preserve">management of </w:t>
      </w:r>
      <w:r>
        <w:t>mutton snapper</w:t>
      </w:r>
      <w:r w:rsidR="0071057A">
        <w:t xml:space="preserve"> in the South Atlantic</w:t>
      </w:r>
      <w:r w:rsidRPr="00FE1731">
        <w:t xml:space="preserve">. </w:t>
      </w:r>
      <w:r w:rsidR="00803738">
        <w:t xml:space="preserve"> </w:t>
      </w:r>
      <w:r w:rsidRPr="00FE1731">
        <w:t>This section provides the background for the proposed actions</w:t>
      </w:r>
      <w:r w:rsidR="00AB2619">
        <w:t>,</w:t>
      </w:r>
      <w:r w:rsidRPr="00FE1731">
        <w:t xml:space="preserve"> which will be evaluated in </w:t>
      </w:r>
      <w:r w:rsidRPr="00803738">
        <w:rPr>
          <w:b/>
        </w:rPr>
        <w:t>Chapter 4</w:t>
      </w:r>
      <w:r w:rsidRPr="00FE1731">
        <w:t xml:space="preserve">.  </w:t>
      </w:r>
      <w:r w:rsidRPr="00724ECC">
        <w:t>Commercial and recreational mutton snapper</w:t>
      </w:r>
      <w:r w:rsidR="00803738">
        <w:t xml:space="preserve"> landings are included by s</w:t>
      </w:r>
      <w:r w:rsidRPr="00724ECC">
        <w:t>tate to provide information on the geographic distribution of fishing involvement.</w:t>
      </w:r>
      <w:r w:rsidRPr="00E17A1E">
        <w:t xml:space="preserve">  D</w:t>
      </w:r>
      <w:r w:rsidRPr="00DC3195">
        <w:t xml:space="preserve">escriptions of </w:t>
      </w:r>
      <w:r w:rsidR="0071057A">
        <w:t xml:space="preserve">the top </w:t>
      </w:r>
      <w:r w:rsidRPr="00DC3195">
        <w:t>fishing communities</w:t>
      </w:r>
      <w:r>
        <w:t>,</w:t>
      </w:r>
      <w:r w:rsidRPr="00DC3195">
        <w:t xml:space="preserve"> including the top communities involved </w:t>
      </w:r>
      <w:r w:rsidRPr="008E6032">
        <w:t>in commercial mutton snapper</w:t>
      </w:r>
      <w:r>
        <w:t xml:space="preserve"> in the South Atlantic, are included</w:t>
      </w:r>
      <w:r w:rsidR="0071057A">
        <w:t xml:space="preserve"> along with the t</w:t>
      </w:r>
      <w:r>
        <w:t xml:space="preserve">op Florida recreational fishing communities based on recreational </w:t>
      </w:r>
      <w:r w:rsidRPr="00547A52">
        <w:t>engagement are included.</w:t>
      </w:r>
      <w:r w:rsidRPr="00FE1731">
        <w:t xml:space="preserve">  Community level data are presented in order to meet the requirements of National Standard 8 of the Magnuson-Stevens Act</w:t>
      </w:r>
      <w:r w:rsidR="000F6D25">
        <w:t>, which</w:t>
      </w:r>
      <w:r w:rsidRPr="00FE1731">
        <w:t xml:space="preserve"> requires the consideration of the importance of fishery resources to human communities when changes to fishing regulations are considered.  </w:t>
      </w:r>
      <w:r>
        <w:t>L</w:t>
      </w:r>
      <w:r w:rsidRPr="00FE1731">
        <w:t xml:space="preserve">astly, </w:t>
      </w:r>
      <w:r w:rsidRPr="00E61FD2">
        <w:t>social vulnerability data are presented to assess the potential for environmental justice concerns.</w:t>
      </w:r>
      <w:r>
        <w:t xml:space="preserve">  </w:t>
      </w:r>
      <w:r w:rsidRPr="009F7D1C">
        <w:t xml:space="preserve">Additional information on </w:t>
      </w:r>
      <w:r>
        <w:t xml:space="preserve">the South Atlantic </w:t>
      </w:r>
      <w:r w:rsidRPr="009F7D1C">
        <w:t xml:space="preserve">recreational and commercial </w:t>
      </w:r>
      <w:r>
        <w:t xml:space="preserve">mutton snapper fishery </w:t>
      </w:r>
      <w:r w:rsidRPr="009F7D1C">
        <w:t xml:space="preserve">is provided in </w:t>
      </w:r>
      <w:r>
        <w:t xml:space="preserve">the Economic Environment in </w:t>
      </w:r>
      <w:r w:rsidRPr="00803738">
        <w:rPr>
          <w:b/>
        </w:rPr>
        <w:t>Section 3.3.1</w:t>
      </w:r>
      <w:r w:rsidRPr="009F7D1C">
        <w:t>.</w:t>
      </w:r>
      <w:r>
        <w:t xml:space="preserve">    </w:t>
      </w:r>
      <w:r w:rsidRPr="00FE1731">
        <w:t xml:space="preserve">  </w:t>
      </w:r>
    </w:p>
    <w:p w14:paraId="179499A8" w14:textId="0D0EFC68" w:rsidR="009B6722" w:rsidRPr="00803738" w:rsidRDefault="009B6722" w:rsidP="00803738">
      <w:pPr>
        <w:keepNext/>
        <w:spacing w:before="240" w:after="60"/>
        <w:ind w:left="864" w:hanging="864"/>
        <w:outlineLvl w:val="3"/>
        <w:rPr>
          <w:b/>
          <w:bCs/>
        </w:rPr>
      </w:pPr>
      <w:bookmarkStart w:id="179" w:name="_Toc307750290"/>
      <w:r w:rsidRPr="000A2FE4">
        <w:rPr>
          <w:b/>
          <w:bCs/>
        </w:rPr>
        <w:t>Landings by State</w:t>
      </w:r>
      <w:bookmarkEnd w:id="179"/>
    </w:p>
    <w:p w14:paraId="3AD7738F" w14:textId="406E0A57" w:rsidR="009B6722" w:rsidRDefault="009B6722" w:rsidP="00803738">
      <w:pPr>
        <w:ind w:firstLine="360"/>
      </w:pPr>
      <w:r>
        <w:t xml:space="preserve">As described in </w:t>
      </w:r>
      <w:r w:rsidRPr="00803738">
        <w:rPr>
          <w:b/>
        </w:rPr>
        <w:t>Section 3.3.1</w:t>
      </w:r>
      <w:r>
        <w:t xml:space="preserve">, nearly all South Atlantic commercial and recreational mutton snapper landings come from waters adjacent to Florida and the majority of South Atlantic mutton snapper is landed by the recreational sector (over 86% on average for years 2010-2014, SERO and SEFSC ACL Files).  From 2010 to 2014, recreational landings have ranged from 251,446 </w:t>
      </w:r>
      <w:r w:rsidR="00AB2619">
        <w:t xml:space="preserve">lbs </w:t>
      </w:r>
      <w:r>
        <w:t>ww to 660,449 lbs ww (</w:t>
      </w:r>
      <w:r w:rsidRPr="009E063B">
        <w:rPr>
          <w:b/>
        </w:rPr>
        <w:t xml:space="preserve">Table </w:t>
      </w:r>
      <w:r>
        <w:rPr>
          <w:b/>
        </w:rPr>
        <w:t>3.3.19</w:t>
      </w:r>
      <w:r>
        <w:t xml:space="preserve">) and commercial landings have ranged from 66,160 </w:t>
      </w:r>
      <w:r w:rsidR="00AB2619">
        <w:t>lbs ww</w:t>
      </w:r>
      <w:r>
        <w:t xml:space="preserve"> to 91,173 </w:t>
      </w:r>
      <w:r w:rsidR="00AB2619">
        <w:t>lbs ww</w:t>
      </w:r>
      <w:r>
        <w:t xml:space="preserve"> (</w:t>
      </w:r>
      <w:r w:rsidRPr="009E063B">
        <w:rPr>
          <w:b/>
        </w:rPr>
        <w:t>Table 3.3.6</w:t>
      </w:r>
      <w:r>
        <w:t>).  Almost all recreational mutton snapper is caught in Florida waters (</w:t>
      </w:r>
      <w:r w:rsidRPr="00DC67FA">
        <w:rPr>
          <w:b/>
        </w:rPr>
        <w:t>Table 3.3.20</w:t>
      </w:r>
      <w:r>
        <w:t xml:space="preserve">).  The majority of commercial mutton snapper is landed in Florida (average of 95% of commercial landings, </w:t>
      </w:r>
      <w:r w:rsidRPr="00C14BBA">
        <w:rPr>
          <w:b/>
        </w:rPr>
        <w:t>Figure 3.3.1</w:t>
      </w:r>
      <w:r>
        <w:t xml:space="preserve">) and a small proportion is landed in South Carolina (range of 0.9% to 2.2% of commercial mutton snapper landings for years 2010-2014, NMFS SERO ACL Files) and Georgia and North Carolina (range of 2.0% to 4.6%).  Data for North Carolina are combined with Georgia to maintain confidentiality, but the majority of the landings reported for the combined category occurred in North Carolina.  </w:t>
      </w:r>
    </w:p>
    <w:p w14:paraId="1D9808CA" w14:textId="12F5DF86" w:rsidR="009B6722" w:rsidRPr="00803738" w:rsidRDefault="009B6722" w:rsidP="00803738">
      <w:pPr>
        <w:keepNext/>
        <w:spacing w:before="240" w:after="60"/>
        <w:ind w:left="864" w:hanging="864"/>
        <w:outlineLvl w:val="3"/>
        <w:rPr>
          <w:b/>
          <w:bCs/>
        </w:rPr>
      </w:pPr>
      <w:bookmarkStart w:id="180" w:name="_Toc307750291"/>
      <w:r w:rsidRPr="00D11954">
        <w:rPr>
          <w:b/>
          <w:bCs/>
        </w:rPr>
        <w:t>Fishing Communities</w:t>
      </w:r>
      <w:bookmarkEnd w:id="180"/>
    </w:p>
    <w:p w14:paraId="6C95F1F1" w14:textId="77777777" w:rsidR="009B6722" w:rsidRDefault="009B6722" w:rsidP="00803738">
      <w:pPr>
        <w:ind w:firstLine="360"/>
      </w:pPr>
      <w:r>
        <w:t xml:space="preserve">The descriptions of South Atlantic communities include information about the top communities based on a “regional quotient” (RQ) of commercial landings and value for mutton snapper.  </w:t>
      </w:r>
      <w:r w:rsidRPr="00041C3D">
        <w:t xml:space="preserve">The </w:t>
      </w:r>
      <w:r>
        <w:t xml:space="preserve">RQ </w:t>
      </w:r>
      <w:r w:rsidRPr="00041C3D">
        <w:t xml:space="preserve">is the proportion of landings and value out of the total landings and value of that species for that region, and is a relative measure.  These communities would be most likely to experience the effects of the proposed actions </w:t>
      </w:r>
      <w:r>
        <w:t>that could change the mutton</w:t>
      </w:r>
      <w:r w:rsidRPr="00041C3D">
        <w:t xml:space="preserve"> snapper fishery and impact participants</w:t>
      </w:r>
      <w:r>
        <w:t>,</w:t>
      </w:r>
      <w:r w:rsidRPr="00041C3D">
        <w:t xml:space="preserve"> associated businesses</w:t>
      </w:r>
      <w:r>
        <w:t>,</w:t>
      </w:r>
      <w:r w:rsidRPr="00041C3D">
        <w:t xml:space="preserve"> and communities within the region.  </w:t>
      </w:r>
      <w:r>
        <w:t xml:space="preserve">If a community is identified as a mutton snapper community based </w:t>
      </w:r>
      <w:r w:rsidRPr="00041C3D">
        <w:t xml:space="preserve">on the </w:t>
      </w:r>
      <w:r>
        <w:t>RQ</w:t>
      </w:r>
      <w:r w:rsidRPr="00041C3D">
        <w:t xml:space="preserve">, this does not necessarily mean that the community would experience significant impacts due to changes in the </w:t>
      </w:r>
      <w:r>
        <w:t>mutton</w:t>
      </w:r>
      <w:r w:rsidRPr="00041C3D">
        <w:t xml:space="preserve"> snapper fishery if a different species or number of species were also important to the local community and economy.</w:t>
      </w:r>
      <w:r>
        <w:t xml:space="preserve">  Additional detailed information about communities with the highest RQs, can be found for South Atlantic communities on the Southeast Regional Office’s Community Snapshots website at </w:t>
      </w:r>
      <w:hyperlink r:id="rId54" w:history="1">
        <w:r w:rsidRPr="00124169">
          <w:rPr>
            <w:rStyle w:val="Hyperlink"/>
          </w:rPr>
          <w:t>http://sero.nmfs.noaa.gov/sustainable_fisheries/social/community_snapshot/</w:t>
        </w:r>
      </w:hyperlink>
      <w:r>
        <w:t xml:space="preserve">.  </w:t>
      </w:r>
    </w:p>
    <w:p w14:paraId="4F6F8C1B" w14:textId="77777777" w:rsidR="009B6722" w:rsidRDefault="009B6722" w:rsidP="009B6722"/>
    <w:p w14:paraId="055ED4D5" w14:textId="213762B8" w:rsidR="009B6722" w:rsidRDefault="009B6722" w:rsidP="00803738">
      <w:pPr>
        <w:ind w:firstLine="360"/>
      </w:pPr>
      <w:r>
        <w:lastRenderedPageBreak/>
        <w:t xml:space="preserve">In addition to examining the RQs </w:t>
      </w:r>
      <w:r w:rsidRPr="00041C3D">
        <w:t xml:space="preserve">to understand how communities are engaged and reliant on fishing, indices were created using secondary data from permit and landings information for the commercial </w:t>
      </w:r>
      <w:r w:rsidR="00803738">
        <w:t>sector (Jepson and Colburn 2013,</w:t>
      </w:r>
      <w:r w:rsidRPr="00041C3D">
        <w:t xml:space="preserve"> Jacob et al. 2013).  Fishing engagement is primarily the absolute numbers of permits, landings, and value</w:t>
      </w:r>
      <w:r>
        <w:t xml:space="preserve"> for all species</w:t>
      </w:r>
      <w:r w:rsidRPr="00041C3D">
        <w:t>.  For commercial fishing, the analysis used the number of vessels designated commercial by homeport and owner address, value of landings, and total number of commercial permits for each community</w:t>
      </w:r>
      <w:r>
        <w:t xml:space="preserve"> for all species</w:t>
      </w:r>
      <w:r w:rsidRPr="00041C3D">
        <w:t xml:space="preserve">.  Fishing reliance includes the same variables as fishing engagement divided by population to give an indication of the per capita influence of this activity.  </w:t>
      </w:r>
    </w:p>
    <w:p w14:paraId="2217ADDF" w14:textId="77777777" w:rsidR="009B6722" w:rsidRPr="00041C3D" w:rsidRDefault="009B6722" w:rsidP="009B6722"/>
    <w:p w14:paraId="01760A39" w14:textId="77777777" w:rsidR="009B6722" w:rsidRPr="00041C3D" w:rsidRDefault="009B6722" w:rsidP="00803738">
      <w:pPr>
        <w:ind w:firstLine="360"/>
      </w:pPr>
      <w:r w:rsidRPr="00041C3D">
        <w:t>Using a principal component and single solution factor analysis</w:t>
      </w:r>
      <w:r>
        <w:t>,</w:t>
      </w:r>
      <w:r w:rsidRPr="00041C3D">
        <w:t xml:space="preserve"> each community receives a factor score for each index to compare to other communities.  </w:t>
      </w:r>
      <w:r>
        <w:t>F</w:t>
      </w:r>
      <w:r w:rsidRPr="00041C3D">
        <w:t>actor scores of both engagement and reliance were plotted</w:t>
      </w:r>
      <w:r>
        <w:t xml:space="preserve"> for</w:t>
      </w:r>
      <w:r w:rsidRPr="00041C3D">
        <w:t xml:space="preserve"> the communities with the highest </w:t>
      </w:r>
      <w:r>
        <w:t>RQs</w:t>
      </w:r>
      <w:r w:rsidRPr="00041C3D">
        <w:t xml:space="preserve">.  Two thresholds of one and </w:t>
      </w:r>
      <w:r>
        <w:t>one-half</w:t>
      </w:r>
      <w:r w:rsidRPr="00041C3D">
        <w:t xml:space="preserve"> standard deviation above the mean are plotted to help determine a threshold for significance.  The factor scores are standardized</w:t>
      </w:r>
      <w:r>
        <w:t>;</w:t>
      </w:r>
      <w:r w:rsidRPr="00041C3D">
        <w:t xml:space="preserve"> therefore</w:t>
      </w:r>
      <w:r>
        <w:t>,</w:t>
      </w:r>
      <w:r w:rsidRPr="00041C3D">
        <w:t xml:space="preserve"> a score above </w:t>
      </w:r>
      <w:r>
        <w:t xml:space="preserve">a value of </w:t>
      </w:r>
      <w:r w:rsidRPr="00041C3D">
        <w:t xml:space="preserve">1 is also above one standard deviation.  A score above </w:t>
      </w:r>
      <w:r>
        <w:t>one-half</w:t>
      </w:r>
      <w:r w:rsidRPr="00041C3D">
        <w:t xml:space="preserve"> standard deviation is considered engaged or reliant with anything above </w:t>
      </w:r>
      <w:r>
        <w:t>one</w:t>
      </w:r>
      <w:r w:rsidRPr="00041C3D">
        <w:t xml:space="preserve"> standard deviation to be very engaged or reliant.</w:t>
      </w:r>
    </w:p>
    <w:p w14:paraId="2872E7C1" w14:textId="77777777" w:rsidR="009B6722" w:rsidRPr="00041C3D" w:rsidRDefault="009B6722" w:rsidP="009B6722"/>
    <w:p w14:paraId="5B318FAF" w14:textId="77777777" w:rsidR="009B6722" w:rsidRPr="00041C3D" w:rsidRDefault="009B6722" w:rsidP="00803738">
      <w:pPr>
        <w:ind w:firstLine="360"/>
      </w:pPr>
      <w:r w:rsidRPr="00041C3D">
        <w:t>The reliance index uses factor scores that are normalized.  The factor score is similar to a z-score in that the mean is always zero</w:t>
      </w:r>
      <w:r>
        <w:t xml:space="preserve">, </w:t>
      </w:r>
      <w:r w:rsidRPr="00041C3D">
        <w:t>positive scores are above the mean</w:t>
      </w:r>
      <w:r>
        <w:t>,</w:t>
      </w:r>
      <w:r w:rsidRPr="00041C3D">
        <w:t xml:space="preserve"> and negative scores are below the mean.  Comparisons between scores are relative</w:t>
      </w:r>
      <w:r>
        <w:t>;</w:t>
      </w:r>
      <w:r w:rsidRPr="00041C3D">
        <w:t xml:space="preserve"> </w:t>
      </w:r>
      <w:r>
        <w:t>however,</w:t>
      </w:r>
      <w:r w:rsidRPr="00041C3D">
        <w:t xml:space="preserve"> like a z-s</w:t>
      </w:r>
      <w:r>
        <w:t>c</w:t>
      </w:r>
      <w:r w:rsidRPr="00041C3D">
        <w:t xml:space="preserve">ore, the factor score puts the community on a </w:t>
      </w:r>
      <w:r>
        <w:t>point</w:t>
      </w:r>
      <w:r w:rsidRPr="00041C3D">
        <w:t xml:space="preserve"> in the distribution.  Objectively</w:t>
      </w:r>
      <w:r>
        <w:t>,</w:t>
      </w:r>
      <w:r w:rsidRPr="00041C3D">
        <w:t xml:space="preserve"> </w:t>
      </w:r>
      <w:r>
        <w:t>that community will</w:t>
      </w:r>
      <w:r w:rsidRPr="00041C3D">
        <w:t xml:space="preserve"> have a score related to the percent of communities with similar attributes.  For example, a score of 2.0 means the community is two standard deviations above the mean and is among the 2.27% most vulnerable places in the study (normal distribution curve).  Reliance score comparisons between communities are relative</w:t>
      </w:r>
      <w:r>
        <w:t>; h</w:t>
      </w:r>
      <w:r w:rsidRPr="00041C3D">
        <w:t>owever, if the community scores greater than two standard deviations above the mean, this indicates that the community is dependent on fishing.  Examining the component variables on the reliance index and how they are weighted by factor score provides a measurement of commercial reliance.  The reliance index provides a way to gauge change over time in these communities and also provides a comparison of one community with another. </w:t>
      </w:r>
    </w:p>
    <w:p w14:paraId="1762173D" w14:textId="77777777" w:rsidR="009B6722" w:rsidRPr="00041C3D" w:rsidRDefault="009B6722" w:rsidP="009B6722"/>
    <w:p w14:paraId="2922351C" w14:textId="588F8A50" w:rsidR="009B6722" w:rsidRDefault="009B6722" w:rsidP="00803738">
      <w:pPr>
        <w:ind w:firstLine="360"/>
      </w:pPr>
      <w:r w:rsidRPr="00D8594B">
        <w:t xml:space="preserve">Landings for the recreational sector are not available by species at the community level; therefore, it is not possible with available information to identify communities as dependent on recreational fishing for </w:t>
      </w:r>
      <w:r>
        <w:t>mutton</w:t>
      </w:r>
      <w:r w:rsidRPr="00D8594B">
        <w:t xml:space="preserve"> snapper</w:t>
      </w:r>
      <w:r w:rsidRPr="00661B20">
        <w:t xml:space="preserve">.  However, nearly all of the recreational catch </w:t>
      </w:r>
      <w:r>
        <w:t xml:space="preserve">of mutton snapper </w:t>
      </w:r>
      <w:r w:rsidRPr="00661B20">
        <w:t>is caught in Florida (</w:t>
      </w:r>
      <w:r w:rsidRPr="00661B20">
        <w:rPr>
          <w:b/>
        </w:rPr>
        <w:t>Table 3.3.20</w:t>
      </w:r>
      <w:r w:rsidRPr="00661B20">
        <w:t>)</w:t>
      </w:r>
      <w:r w:rsidRPr="00661B20">
        <w:rPr>
          <w:b/>
        </w:rPr>
        <w:t>.</w:t>
      </w:r>
      <w:r>
        <w:rPr>
          <w:b/>
        </w:rPr>
        <w:t xml:space="preserve">  </w:t>
      </w:r>
      <w:r w:rsidRPr="00D8594B">
        <w:t xml:space="preserve">Because limited data are available concerning how recreational fishing communities are engaged and reliant on specific species, indices were created using secondary data from permit and infrastructure information for the southeast recreational fishing sector at the community </w:t>
      </w:r>
      <w:r w:rsidR="00803738">
        <w:t>level (Jepson and Colburn 2013,</w:t>
      </w:r>
      <w:r w:rsidRPr="00D8594B">
        <w:t xml:space="preserve"> Jacob et al. 2013).</w:t>
      </w:r>
      <w:r>
        <w:t xml:space="preserve">  </w:t>
      </w:r>
      <w:r w:rsidRPr="00041C3D">
        <w:t xml:space="preserve">Recreational fishing engagement is represented by the number of recreational permits and vessels designated as </w:t>
      </w:r>
      <w:r>
        <w:t>“</w:t>
      </w:r>
      <w:r w:rsidRPr="00041C3D">
        <w:t>recreational</w:t>
      </w:r>
      <w:r>
        <w:t>”</w:t>
      </w:r>
      <w:r w:rsidRPr="00041C3D">
        <w:t xml:space="preserve"> by homeport and owners address.</w:t>
      </w:r>
      <w:r>
        <w:t xml:space="preserve">  </w:t>
      </w:r>
      <w:r w:rsidRPr="00041C3D">
        <w:t>Fishing reliance includes the same variables as fishing engagement</w:t>
      </w:r>
      <w:r>
        <w:t>,</w:t>
      </w:r>
      <w:r w:rsidRPr="00041C3D">
        <w:t xml:space="preserve"> divided by population.</w:t>
      </w:r>
      <w:r>
        <w:t xml:space="preserve">  F</w:t>
      </w:r>
      <w:r w:rsidRPr="00041C3D">
        <w:rPr>
          <w:rFonts w:ascii="TimesNewRomanPSMT" w:hAnsi="TimesNewRomanPSMT" w:cs="TimesNewRomanPSMT"/>
        </w:rPr>
        <w:t>actor scores of both engagement and reliance were plotted.</w:t>
      </w:r>
      <w:r>
        <w:rPr>
          <w:rFonts w:ascii="TimesNewRomanPSMT" w:hAnsi="TimesNewRomanPSMT" w:cs="TimesNewRomanPSMT"/>
        </w:rPr>
        <w:t xml:space="preserve">  </w:t>
      </w:r>
      <w:r>
        <w:t xml:space="preserve">Florida communities in the South Atlantic were included in the analysis because the majority of recreational mutton snapper fishing occurs off the coast of Florida.  </w:t>
      </w:r>
      <w:r w:rsidRPr="004B5555">
        <w:t>Communities were analyzed in ranked order by recreational fishing engagement.  The top 15 recreational communities located in East Florida are presented.</w:t>
      </w:r>
      <w:r w:rsidRPr="00C350E6">
        <w:t xml:space="preserve"> </w:t>
      </w:r>
    </w:p>
    <w:p w14:paraId="205C449F" w14:textId="77777777" w:rsidR="009B6722" w:rsidRPr="00FE1731" w:rsidRDefault="009B6722" w:rsidP="009B6722"/>
    <w:p w14:paraId="43B17D12" w14:textId="77777777" w:rsidR="00803738" w:rsidRDefault="00803738" w:rsidP="009B6722">
      <w:pPr>
        <w:rPr>
          <w:b/>
        </w:rPr>
      </w:pPr>
    </w:p>
    <w:p w14:paraId="2896E77A" w14:textId="0B17F143" w:rsidR="009B6722" w:rsidRPr="00803738" w:rsidRDefault="009B6722" w:rsidP="009B6722">
      <w:pPr>
        <w:rPr>
          <w:b/>
        </w:rPr>
      </w:pPr>
      <w:r w:rsidRPr="00FF1F00">
        <w:rPr>
          <w:b/>
        </w:rPr>
        <w:lastRenderedPageBreak/>
        <w:t xml:space="preserve">Commercial </w:t>
      </w:r>
      <w:r>
        <w:rPr>
          <w:b/>
        </w:rPr>
        <w:t xml:space="preserve">Fishing </w:t>
      </w:r>
      <w:r w:rsidRPr="00FF1F00">
        <w:rPr>
          <w:b/>
        </w:rPr>
        <w:t xml:space="preserve">Communities </w:t>
      </w:r>
    </w:p>
    <w:p w14:paraId="403AFDF3" w14:textId="2F196656" w:rsidR="009B6722" w:rsidRDefault="009B6722" w:rsidP="00803738">
      <w:pPr>
        <w:ind w:firstLine="360"/>
      </w:pPr>
      <w:r>
        <w:t xml:space="preserve">As described in </w:t>
      </w:r>
      <w:r w:rsidRPr="00803738">
        <w:rPr>
          <w:b/>
        </w:rPr>
        <w:t>Section 3.3.1.1</w:t>
      </w:r>
      <w:r>
        <w:t xml:space="preserve">, three locations where mutton snapper are known to aggregate during spawning season are located off Monroe County, in the Florida Keys and from 2010 to 2014, the most commercial landings were landed in Monroe County (average of 65% of mutton snapper commercial landings, </w:t>
      </w:r>
      <w:r w:rsidRPr="0075790B">
        <w:rPr>
          <w:b/>
        </w:rPr>
        <w:t>Table 3.3.7</w:t>
      </w:r>
      <w:r>
        <w:t>).  The second ranked county is Duval County</w:t>
      </w:r>
      <w:r w:rsidR="00AB2619">
        <w:t>,</w:t>
      </w:r>
      <w:r>
        <w:t xml:space="preserve"> which landed an average of 13.4% of commercial landings (</w:t>
      </w:r>
      <w:r w:rsidRPr="0075790B">
        <w:rPr>
          <w:b/>
        </w:rPr>
        <w:t>Table 3.3.7</w:t>
      </w:r>
      <w:r>
        <w:t xml:space="preserve">).  Other top counties include Palm Beach (7% of commercial landings), Miami-Dade (4%), Volusia (2.4%), and Martin (2.1%, </w:t>
      </w:r>
      <w:r w:rsidRPr="0075790B">
        <w:rPr>
          <w:b/>
        </w:rPr>
        <w:t>Table 3.3.7</w:t>
      </w:r>
      <w:r w:rsidRPr="00661B20">
        <w:t xml:space="preserve">). </w:t>
      </w:r>
      <w:r>
        <w:rPr>
          <w:b/>
        </w:rPr>
        <w:t xml:space="preserve"> </w:t>
      </w:r>
      <w:r>
        <w:t xml:space="preserve">  </w:t>
      </w:r>
    </w:p>
    <w:p w14:paraId="322D29D2" w14:textId="77777777" w:rsidR="009B6722" w:rsidRDefault="009B6722" w:rsidP="009B6722"/>
    <w:p w14:paraId="09AA2F44" w14:textId="15BA0FAF" w:rsidR="009B6722" w:rsidRDefault="009B6722" w:rsidP="00803738">
      <w:pPr>
        <w:ind w:firstLine="360"/>
      </w:pPr>
      <w:r w:rsidRPr="00FD3906">
        <w:t xml:space="preserve">All </w:t>
      </w:r>
      <w:r>
        <w:t xml:space="preserve">of the top mutton snapper </w:t>
      </w:r>
      <w:r w:rsidRPr="00FD3906">
        <w:t>communities are located in Florida (</w:t>
      </w:r>
      <w:r w:rsidR="00613441">
        <w:rPr>
          <w:b/>
        </w:rPr>
        <w:t>Figure 3.3.7</w:t>
      </w:r>
      <w:r w:rsidRPr="00FD3906">
        <w:t>).  About 57% of mutton snapper is landed in the top four communities (Key West, Mayport, Miami, and Key Largo</w:t>
      </w:r>
      <w:r>
        <w:t>, Florida</w:t>
      </w:r>
      <w:r w:rsidRPr="00FD3906">
        <w:t>), representing about 56% of the South Atlantic-wide</w:t>
      </w:r>
      <w:r w:rsidR="00BA6D9E">
        <w:t xml:space="preserve"> ex-vessel</w:t>
      </w:r>
      <w:r w:rsidRPr="00FD3906">
        <w:t xml:space="preserve"> value</w:t>
      </w:r>
      <w:r w:rsidR="00BA6D9E">
        <w:t xml:space="preserve"> for the species</w:t>
      </w:r>
      <w:r w:rsidRPr="00FD3906">
        <w:t xml:space="preserve">.  The top community of Key West </w:t>
      </w:r>
      <w:r w:rsidR="00BA6D9E">
        <w:t>contributes</w:t>
      </w:r>
      <w:r w:rsidR="00BA6D9E" w:rsidRPr="00FD3906">
        <w:t xml:space="preserve"> </w:t>
      </w:r>
      <w:r w:rsidRPr="00FD3906">
        <w:t xml:space="preserve">about 17% of landings and about 16% of </w:t>
      </w:r>
      <w:r w:rsidR="00BA6D9E">
        <w:t xml:space="preserve">ex-vessel </w:t>
      </w:r>
      <w:r w:rsidRPr="00FD3906">
        <w:t>value of mutton snapper</w:t>
      </w:r>
      <w:r>
        <w:t xml:space="preserve"> in 2014</w:t>
      </w:r>
      <w:r w:rsidRPr="00FD3906">
        <w:t xml:space="preserve">.  Several Florida Keys communities (Key West, Key Largo, Islamorada, and Marathon) are included in the top communities and collectively represent about 42% of landings and 42% of </w:t>
      </w:r>
      <w:r w:rsidR="00BA6D9E">
        <w:t xml:space="preserve">ex-vessel </w:t>
      </w:r>
      <w:r w:rsidRPr="00FD3906">
        <w:t xml:space="preserve">value.  </w:t>
      </w:r>
    </w:p>
    <w:p w14:paraId="60E3EC3D" w14:textId="77777777" w:rsidR="009B6722" w:rsidRPr="00FD3906" w:rsidRDefault="009B6722" w:rsidP="009B6722">
      <w:pPr>
        <w:rPr>
          <w:i/>
        </w:rPr>
      </w:pPr>
    </w:p>
    <w:p w14:paraId="22EAC444" w14:textId="77777777" w:rsidR="009B6722" w:rsidRPr="00FE1731" w:rsidRDefault="009B6722" w:rsidP="009B6722">
      <w:pPr>
        <w:jc w:val="center"/>
        <w:rPr>
          <w:i/>
          <w:highlight w:val="lightGray"/>
        </w:rPr>
      </w:pPr>
      <w:r>
        <w:rPr>
          <w:noProof/>
        </w:rPr>
        <w:drawing>
          <wp:inline distT="0" distB="0" distL="0" distR="0" wp14:anchorId="1E51FD02" wp14:editId="4A63FCD5">
            <wp:extent cx="4924425" cy="3028950"/>
            <wp:effectExtent l="0" t="0" r="9525" b="1905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A511171" w14:textId="77777777" w:rsidR="00613441" w:rsidRPr="00613441" w:rsidRDefault="00613441" w:rsidP="00613441">
      <w:pPr>
        <w:pStyle w:val="Figuretitle"/>
        <w:rPr>
          <w:rFonts w:ascii="Arial" w:hAnsi="Arial" w:cs="Arial"/>
          <w:sz w:val="20"/>
          <w:szCs w:val="20"/>
        </w:rPr>
      </w:pPr>
      <w:bookmarkStart w:id="181" w:name="_Toc340431600"/>
      <w:r w:rsidRPr="00613441">
        <w:rPr>
          <w:rFonts w:ascii="Arial" w:hAnsi="Arial" w:cs="Arial"/>
          <w:b/>
          <w:sz w:val="20"/>
          <w:szCs w:val="20"/>
        </w:rPr>
        <w:t>Figure 3.3.7</w:t>
      </w:r>
      <w:r w:rsidR="009B6722" w:rsidRPr="00613441">
        <w:rPr>
          <w:rFonts w:ascii="Arial" w:hAnsi="Arial" w:cs="Arial"/>
          <w:b/>
          <w:sz w:val="20"/>
          <w:szCs w:val="20"/>
        </w:rPr>
        <w:t>.</w:t>
      </w:r>
      <w:r w:rsidR="009B6722" w:rsidRPr="00613441">
        <w:rPr>
          <w:rFonts w:ascii="Arial" w:hAnsi="Arial" w:cs="Arial"/>
          <w:sz w:val="20"/>
          <w:szCs w:val="20"/>
        </w:rPr>
        <w:t xml:space="preserve">  Top ten South Atlantic communities ranked by pounds and value regional of quotient (RQ) of mutton snapper.</w:t>
      </w:r>
      <w:bookmarkEnd w:id="181"/>
      <w:r w:rsidR="009B6722" w:rsidRPr="00613441">
        <w:rPr>
          <w:rFonts w:ascii="Arial" w:hAnsi="Arial" w:cs="Arial"/>
          <w:sz w:val="20"/>
          <w:szCs w:val="20"/>
        </w:rPr>
        <w:t xml:space="preserve">  </w:t>
      </w:r>
    </w:p>
    <w:p w14:paraId="237831F5" w14:textId="3316D539" w:rsidR="009B6722" w:rsidRPr="00FE1731" w:rsidRDefault="009B6722" w:rsidP="009B6722">
      <w:pPr>
        <w:rPr>
          <w:rFonts w:ascii="Arial" w:hAnsi="Arial" w:cs="Arial"/>
          <w:sz w:val="20"/>
          <w:szCs w:val="20"/>
        </w:rPr>
      </w:pPr>
      <w:r w:rsidRPr="00FE1731">
        <w:rPr>
          <w:rFonts w:ascii="Arial" w:hAnsi="Arial" w:cs="Arial"/>
          <w:sz w:val="20"/>
          <w:szCs w:val="20"/>
        </w:rPr>
        <w:t xml:space="preserve">The actual RQ values (y-axis) are omitted from the figure to maintain confidentiality. </w:t>
      </w:r>
    </w:p>
    <w:p w14:paraId="552141E5" w14:textId="77777777" w:rsidR="009B6722" w:rsidRPr="00FE1731" w:rsidRDefault="009B6722" w:rsidP="009B6722">
      <w:pPr>
        <w:rPr>
          <w:rFonts w:ascii="Arial" w:hAnsi="Arial" w:cs="Arial"/>
          <w:sz w:val="20"/>
          <w:szCs w:val="20"/>
        </w:rPr>
      </w:pPr>
      <w:r>
        <w:rPr>
          <w:rFonts w:ascii="Arial" w:hAnsi="Arial" w:cs="Arial"/>
          <w:sz w:val="20"/>
          <w:szCs w:val="20"/>
        </w:rPr>
        <w:t>Source: SERO, Community ALS 2014</w:t>
      </w:r>
      <w:r w:rsidRPr="00FE1731">
        <w:rPr>
          <w:rFonts w:ascii="Arial" w:hAnsi="Arial" w:cs="Arial"/>
          <w:sz w:val="20"/>
          <w:szCs w:val="20"/>
        </w:rPr>
        <w:t xml:space="preserve">.  </w:t>
      </w:r>
    </w:p>
    <w:p w14:paraId="77E9C960" w14:textId="77777777" w:rsidR="009B6722" w:rsidRPr="00FE1731" w:rsidRDefault="009B6722" w:rsidP="009B6722">
      <w:pPr>
        <w:rPr>
          <w:i/>
          <w:highlight w:val="lightGray"/>
        </w:rPr>
      </w:pPr>
    </w:p>
    <w:p w14:paraId="5EDF6A40" w14:textId="5D3DFB0D" w:rsidR="009B6722" w:rsidRPr="00FE1731" w:rsidRDefault="009B6722" w:rsidP="008E030B">
      <w:pPr>
        <w:ind w:firstLine="360"/>
      </w:pPr>
      <w:r>
        <w:t xml:space="preserve">The commercial engagement and reliance indices of the top commercial mutton snapper communities are included in </w:t>
      </w:r>
      <w:r w:rsidRPr="002E6B5E">
        <w:rPr>
          <w:b/>
        </w:rPr>
        <w:t>F</w:t>
      </w:r>
      <w:r w:rsidR="00613441">
        <w:rPr>
          <w:b/>
        </w:rPr>
        <w:t>igure 3.3.8</w:t>
      </w:r>
      <w:r w:rsidRPr="008E030B">
        <w:t>.</w:t>
      </w:r>
      <w:r>
        <w:rPr>
          <w:b/>
        </w:rPr>
        <w:t xml:space="preserve">  </w:t>
      </w:r>
      <w:r>
        <w:t xml:space="preserve">The details of how these indices are generated are explained at the beginning of the Fishing Communities section.  Two thresholds of one and one-half standard deviation above the mean were plotted to help determine a threshold for significance.  </w:t>
      </w:r>
      <w:r w:rsidRPr="004B5555">
        <w:t>The primary communities that demonstrate high levels of commercial fishing engagement include Key West, Miami, Key Largo, Islamorada, St. Augustine, and Marathon, Florida.  Communities with substantial commercial reliance include Key West and Marathon, Florida.</w:t>
      </w:r>
      <w:r w:rsidRPr="00FE1731">
        <w:t xml:space="preserve">   </w:t>
      </w:r>
    </w:p>
    <w:p w14:paraId="3BFBF530" w14:textId="77777777" w:rsidR="009B6722" w:rsidRPr="00FE1731" w:rsidRDefault="009B6722" w:rsidP="009B6722"/>
    <w:p w14:paraId="4BFA0768" w14:textId="77777777" w:rsidR="009B6722" w:rsidRPr="00FE1731" w:rsidRDefault="009B6722" w:rsidP="009B6722">
      <w:pPr>
        <w:jc w:val="center"/>
        <w:rPr>
          <w:i/>
          <w:highlight w:val="lightGray"/>
        </w:rPr>
      </w:pPr>
      <w:r>
        <w:rPr>
          <w:noProof/>
        </w:rPr>
        <w:drawing>
          <wp:inline distT="0" distB="0" distL="0" distR="0" wp14:anchorId="78E75FAD" wp14:editId="5F4E6A0E">
            <wp:extent cx="5943600" cy="3529330"/>
            <wp:effectExtent l="0" t="0" r="19050" b="1397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1FAF9DF" w14:textId="61951486" w:rsidR="009B6722" w:rsidRPr="004B5555" w:rsidRDefault="00613441" w:rsidP="009B6722">
      <w:pPr>
        <w:pStyle w:val="Figuretitle"/>
        <w:rPr>
          <w:rFonts w:ascii="Arial" w:hAnsi="Arial" w:cs="Arial"/>
          <w:i/>
          <w:sz w:val="20"/>
          <w:szCs w:val="20"/>
          <w:highlight w:val="lightGray"/>
        </w:rPr>
      </w:pPr>
      <w:bookmarkStart w:id="182" w:name="_Toc307750327"/>
      <w:bookmarkStart w:id="183" w:name="_Toc340431601"/>
      <w:r>
        <w:rPr>
          <w:rFonts w:ascii="Arial" w:hAnsi="Arial" w:cs="Arial"/>
          <w:b/>
          <w:sz w:val="20"/>
          <w:szCs w:val="20"/>
        </w:rPr>
        <w:t>Figure 3.3.8</w:t>
      </w:r>
      <w:r w:rsidR="009B6722" w:rsidRPr="004B5555">
        <w:rPr>
          <w:rFonts w:ascii="Arial" w:hAnsi="Arial" w:cs="Arial"/>
          <w:b/>
          <w:sz w:val="20"/>
          <w:szCs w:val="20"/>
        </w:rPr>
        <w:t>.</w:t>
      </w:r>
      <w:r w:rsidR="009B6722" w:rsidRPr="004B5555">
        <w:rPr>
          <w:rFonts w:ascii="Arial" w:hAnsi="Arial" w:cs="Arial"/>
          <w:sz w:val="20"/>
          <w:szCs w:val="20"/>
        </w:rPr>
        <w:t xml:space="preserve">  Commercial engagement and reliance for South Atlantic mutton snapper fishing communities.</w:t>
      </w:r>
      <w:bookmarkEnd w:id="182"/>
      <w:bookmarkEnd w:id="183"/>
    </w:p>
    <w:p w14:paraId="2450B8BB" w14:textId="77777777" w:rsidR="009B6722" w:rsidRPr="00FE1731" w:rsidRDefault="009B6722" w:rsidP="009B6722">
      <w:pPr>
        <w:rPr>
          <w:rFonts w:ascii="Arial" w:hAnsi="Arial" w:cs="Arial"/>
          <w:sz w:val="20"/>
          <w:szCs w:val="20"/>
        </w:rPr>
      </w:pPr>
      <w:r w:rsidRPr="00FE1731">
        <w:rPr>
          <w:rFonts w:ascii="Arial" w:hAnsi="Arial" w:cs="Arial"/>
          <w:sz w:val="20"/>
          <w:szCs w:val="20"/>
        </w:rPr>
        <w:t>Source: SERO</w:t>
      </w:r>
      <w:r>
        <w:rPr>
          <w:rFonts w:ascii="Arial" w:hAnsi="Arial" w:cs="Arial"/>
          <w:sz w:val="20"/>
          <w:szCs w:val="20"/>
        </w:rPr>
        <w:t>,</w:t>
      </w:r>
      <w:r w:rsidRPr="00FE1731">
        <w:rPr>
          <w:rFonts w:ascii="Arial" w:hAnsi="Arial" w:cs="Arial"/>
          <w:sz w:val="20"/>
          <w:szCs w:val="20"/>
        </w:rPr>
        <w:t xml:space="preserve"> Social Indicator</w:t>
      </w:r>
      <w:r>
        <w:rPr>
          <w:rFonts w:ascii="Arial" w:hAnsi="Arial" w:cs="Arial"/>
          <w:sz w:val="20"/>
          <w:szCs w:val="20"/>
        </w:rPr>
        <w:t>s</w:t>
      </w:r>
      <w:r w:rsidRPr="00FE1731">
        <w:rPr>
          <w:rFonts w:ascii="Arial" w:hAnsi="Arial" w:cs="Arial"/>
          <w:sz w:val="20"/>
          <w:szCs w:val="20"/>
        </w:rPr>
        <w:t xml:space="preserve"> Database </w:t>
      </w:r>
      <w:r>
        <w:rPr>
          <w:rFonts w:ascii="Arial" w:hAnsi="Arial" w:cs="Arial"/>
          <w:sz w:val="20"/>
          <w:szCs w:val="20"/>
        </w:rPr>
        <w:t>(</w:t>
      </w:r>
      <w:r w:rsidRPr="00FE1731">
        <w:rPr>
          <w:rFonts w:ascii="Arial" w:hAnsi="Arial" w:cs="Arial"/>
          <w:sz w:val="20"/>
          <w:szCs w:val="20"/>
        </w:rPr>
        <w:t>2012</w:t>
      </w:r>
      <w:r>
        <w:rPr>
          <w:rFonts w:ascii="Arial" w:hAnsi="Arial" w:cs="Arial"/>
          <w:sz w:val="20"/>
          <w:szCs w:val="20"/>
        </w:rPr>
        <w:t>)</w:t>
      </w:r>
      <w:r w:rsidRPr="00FE1731">
        <w:rPr>
          <w:rFonts w:ascii="Arial" w:hAnsi="Arial" w:cs="Arial"/>
          <w:sz w:val="20"/>
          <w:szCs w:val="20"/>
        </w:rPr>
        <w:t xml:space="preserve">. </w:t>
      </w:r>
    </w:p>
    <w:p w14:paraId="47CB93CF" w14:textId="77777777" w:rsidR="009B6722" w:rsidRPr="00FE1731" w:rsidRDefault="009B6722" w:rsidP="009B6722">
      <w:pPr>
        <w:rPr>
          <w:i/>
          <w:highlight w:val="lightGray"/>
        </w:rPr>
      </w:pPr>
    </w:p>
    <w:p w14:paraId="522879D1" w14:textId="5AE69357" w:rsidR="009B6722" w:rsidRPr="008E030B" w:rsidRDefault="009B6722" w:rsidP="009B6722">
      <w:pPr>
        <w:rPr>
          <w:b/>
        </w:rPr>
      </w:pPr>
      <w:r w:rsidRPr="001138A5">
        <w:rPr>
          <w:b/>
        </w:rPr>
        <w:t xml:space="preserve">Recreational </w:t>
      </w:r>
      <w:r>
        <w:rPr>
          <w:b/>
        </w:rPr>
        <w:t xml:space="preserve">Fishing </w:t>
      </w:r>
      <w:r w:rsidRPr="001138A5">
        <w:rPr>
          <w:b/>
        </w:rPr>
        <w:t>Communities</w:t>
      </w:r>
    </w:p>
    <w:p w14:paraId="75D62123" w14:textId="3C6A32FC" w:rsidR="009B6722" w:rsidRPr="00985101" w:rsidRDefault="009B6722" w:rsidP="008E030B">
      <w:pPr>
        <w:ind w:firstLine="360"/>
      </w:pPr>
      <w:r w:rsidRPr="002E6B5E">
        <w:rPr>
          <w:b/>
        </w:rPr>
        <w:t>Figure 3.3.</w:t>
      </w:r>
      <w:r w:rsidR="00613441">
        <w:rPr>
          <w:b/>
        </w:rPr>
        <w:t>9</w:t>
      </w:r>
      <w:r w:rsidRPr="002E6B5E">
        <w:t xml:space="preserve"> identifies the Florida communities that a</w:t>
      </w:r>
      <w:r>
        <w:t>re the most engaged and reliant</w:t>
      </w:r>
      <w:r w:rsidRPr="002E6B5E">
        <w:t xml:space="preserve"> on recreational fishing.</w:t>
      </w:r>
      <w:r>
        <w:t xml:space="preserve">  Two thresholds of one and one-half standard deviation above the mean were plotted to help determine a threshold for significance.  Communities are presented in ranked order by fishing engagement and all 15 included communities demonstrate high levels of recreational engagement.  Five communities (Key West, Marathon, Islamorada, Ponce Inlet, and Big Pine Key) demonstrate high levels of recreational reliance.  </w:t>
      </w:r>
    </w:p>
    <w:p w14:paraId="32C2303B" w14:textId="77777777" w:rsidR="009B6722" w:rsidRPr="002E6B5E" w:rsidRDefault="009B6722" w:rsidP="009B6722">
      <w:r w:rsidRPr="002E6B5E">
        <w:t xml:space="preserve">  </w:t>
      </w:r>
    </w:p>
    <w:p w14:paraId="5EC10C4B" w14:textId="77777777" w:rsidR="009B6722" w:rsidRDefault="009B6722" w:rsidP="009B6722">
      <w:pPr>
        <w:rPr>
          <w:highlight w:val="lightGray"/>
        </w:rPr>
      </w:pPr>
    </w:p>
    <w:p w14:paraId="2F017050" w14:textId="77777777" w:rsidR="009B6722" w:rsidRPr="00384D05" w:rsidRDefault="009B6722" w:rsidP="009B6722">
      <w:pPr>
        <w:jc w:val="center"/>
        <w:rPr>
          <w:i/>
          <w:highlight w:val="lightGray"/>
        </w:rPr>
      </w:pPr>
      <w:r>
        <w:rPr>
          <w:noProof/>
        </w:rPr>
        <w:lastRenderedPageBreak/>
        <w:drawing>
          <wp:inline distT="0" distB="0" distL="0" distR="0" wp14:anchorId="5E477ED0" wp14:editId="77D8E8B2">
            <wp:extent cx="5943600" cy="3686810"/>
            <wp:effectExtent l="0" t="0" r="19050" b="2794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53E8972" w14:textId="48BA2442" w:rsidR="009B6722" w:rsidRPr="00FC58B1" w:rsidRDefault="009B6722" w:rsidP="009B6722">
      <w:pPr>
        <w:pStyle w:val="Figuretitle"/>
        <w:rPr>
          <w:rFonts w:ascii="Arial" w:hAnsi="Arial" w:cs="Arial"/>
          <w:sz w:val="20"/>
          <w:szCs w:val="20"/>
        </w:rPr>
      </w:pPr>
      <w:bookmarkStart w:id="184" w:name="_Toc340431602"/>
      <w:bookmarkStart w:id="185" w:name="_Toc307750328"/>
      <w:r w:rsidRPr="00FC58B1">
        <w:rPr>
          <w:rFonts w:ascii="Arial" w:hAnsi="Arial" w:cs="Arial"/>
          <w:b/>
          <w:sz w:val="20"/>
          <w:szCs w:val="20"/>
        </w:rPr>
        <w:t>Figure 3.3.</w:t>
      </w:r>
      <w:r w:rsidR="00613441">
        <w:rPr>
          <w:rFonts w:ascii="Arial" w:hAnsi="Arial" w:cs="Arial"/>
          <w:b/>
          <w:sz w:val="20"/>
          <w:szCs w:val="20"/>
        </w:rPr>
        <w:t>9</w:t>
      </w:r>
      <w:r w:rsidRPr="00FC58B1">
        <w:rPr>
          <w:rFonts w:ascii="Arial" w:hAnsi="Arial" w:cs="Arial"/>
          <w:sz w:val="20"/>
          <w:szCs w:val="20"/>
        </w:rPr>
        <w:t>.  Top 15 Florida recreational fishing communities’ engagement and reliance.</w:t>
      </w:r>
      <w:bookmarkEnd w:id="184"/>
      <w:r w:rsidRPr="00FC58B1">
        <w:rPr>
          <w:rFonts w:ascii="Arial" w:hAnsi="Arial" w:cs="Arial"/>
          <w:sz w:val="20"/>
          <w:szCs w:val="20"/>
        </w:rPr>
        <w:t xml:space="preserve">  </w:t>
      </w:r>
      <w:bookmarkEnd w:id="185"/>
    </w:p>
    <w:p w14:paraId="2B2BD932" w14:textId="77777777" w:rsidR="009B6722" w:rsidRPr="00CC3648" w:rsidRDefault="009B6722" w:rsidP="009B6722">
      <w:pPr>
        <w:rPr>
          <w:rFonts w:ascii="Arial" w:hAnsi="Arial" w:cs="Arial"/>
          <w:sz w:val="20"/>
          <w:szCs w:val="20"/>
        </w:rPr>
      </w:pPr>
      <w:r w:rsidRPr="00CC3648">
        <w:rPr>
          <w:rFonts w:ascii="Arial" w:hAnsi="Arial" w:cs="Arial"/>
          <w:sz w:val="20"/>
          <w:szCs w:val="20"/>
        </w:rPr>
        <w:t xml:space="preserve">Source: SERO, Social </w:t>
      </w:r>
      <w:r>
        <w:rPr>
          <w:rFonts w:ascii="Arial" w:hAnsi="Arial" w:cs="Arial"/>
          <w:sz w:val="20"/>
          <w:szCs w:val="20"/>
        </w:rPr>
        <w:t>I</w:t>
      </w:r>
      <w:r w:rsidRPr="00CC3648">
        <w:rPr>
          <w:rFonts w:ascii="Arial" w:hAnsi="Arial" w:cs="Arial"/>
          <w:sz w:val="20"/>
          <w:szCs w:val="20"/>
        </w:rPr>
        <w:t xml:space="preserve">ndicators </w:t>
      </w:r>
      <w:r>
        <w:rPr>
          <w:rFonts w:ascii="Arial" w:hAnsi="Arial" w:cs="Arial"/>
          <w:sz w:val="20"/>
          <w:szCs w:val="20"/>
        </w:rPr>
        <w:t>D</w:t>
      </w:r>
      <w:r w:rsidRPr="00CC3648">
        <w:rPr>
          <w:rFonts w:ascii="Arial" w:hAnsi="Arial" w:cs="Arial"/>
          <w:sz w:val="20"/>
          <w:szCs w:val="20"/>
        </w:rPr>
        <w:t xml:space="preserve">atabase (2012).    </w:t>
      </w:r>
    </w:p>
    <w:p w14:paraId="4C381387" w14:textId="77777777" w:rsidR="009B6722" w:rsidRPr="00CC3648" w:rsidRDefault="009B6722" w:rsidP="009B6722"/>
    <w:p w14:paraId="39A2F18A" w14:textId="77777777" w:rsidR="004624F1" w:rsidRPr="00803738" w:rsidRDefault="004624F1" w:rsidP="00803738">
      <w:pPr>
        <w:pStyle w:val="Heading2"/>
        <w:rPr>
          <w:rFonts w:ascii="Arial" w:hAnsi="Arial" w:cs="Arial"/>
        </w:rPr>
      </w:pPr>
      <w:bookmarkStart w:id="186" w:name="_Toc305404041"/>
      <w:bookmarkStart w:id="187" w:name="_Toc307750292"/>
      <w:bookmarkStart w:id="188" w:name="_Toc339811725"/>
      <w:r w:rsidRPr="00803738">
        <w:rPr>
          <w:rFonts w:ascii="Arial" w:hAnsi="Arial" w:cs="Arial"/>
        </w:rPr>
        <w:t>3.3.3</w:t>
      </w:r>
      <w:r w:rsidRPr="00803738">
        <w:rPr>
          <w:rFonts w:ascii="Arial" w:hAnsi="Arial" w:cs="Arial"/>
        </w:rPr>
        <w:tab/>
        <w:t>Environmental Justice Considerations</w:t>
      </w:r>
      <w:bookmarkEnd w:id="186"/>
      <w:bookmarkEnd w:id="187"/>
      <w:bookmarkEnd w:id="188"/>
    </w:p>
    <w:p w14:paraId="3B1911AD" w14:textId="77777777" w:rsidR="004624F1" w:rsidRPr="00FE1731" w:rsidRDefault="004624F1" w:rsidP="004624F1">
      <w:pPr>
        <w:rPr>
          <w:sz w:val="28"/>
          <w:szCs w:val="28"/>
          <w:highlight w:val="lightGray"/>
        </w:rPr>
      </w:pPr>
    </w:p>
    <w:p w14:paraId="4BC7EBD2" w14:textId="77777777" w:rsidR="004624F1" w:rsidRPr="00D544ED" w:rsidRDefault="004624F1" w:rsidP="008E030B">
      <w:pPr>
        <w:ind w:firstLine="360"/>
      </w:pPr>
      <w:r w:rsidRPr="00D544ED">
        <w:t>Executive Order 12898 requires federal agencies conduct their programs, policies, and activities in a manner to ensure individuals or populations are not excluded from participation in, or denied the benefits of, or subjected to discrimination because of their race, color, or national origin.  In addition, and specifically with respect to subsistence consumption of fish and wildlife, federal agencies are required to collect, maintain, and analyze information on the consumption patterns of populations who principally rely on fish and/or wildlife for subsistence.  The main focus of Executive Order 12898 is to consider “the disproportionately high and adverse human health or environmental effects of its programs, policies, and activities on minority populations and low-income populations in the United States and its territories…”  This executive order is generally referred to as environmental justice (EJ).</w:t>
      </w:r>
    </w:p>
    <w:p w14:paraId="4FAEA630" w14:textId="77777777" w:rsidR="004624F1" w:rsidRPr="00D544ED" w:rsidRDefault="004624F1" w:rsidP="004624F1"/>
    <w:p w14:paraId="7A2A638A" w14:textId="77777777" w:rsidR="004624F1" w:rsidRPr="00493106" w:rsidRDefault="004624F1" w:rsidP="008E030B">
      <w:pPr>
        <w:autoSpaceDE w:val="0"/>
        <w:autoSpaceDN w:val="0"/>
        <w:adjustRightInd w:val="0"/>
        <w:ind w:firstLine="360"/>
      </w:pPr>
      <w:r w:rsidRPr="00D544ED">
        <w:t xml:space="preserve">Commercial and recreational fishermen and associated industries could be impacted by the proposed actions.  However, information on the race and income status for groups at the different participation levels (individual fishermen and crew) is not available.  Although information is available concerning communities overall status with regard to minorities and poverty (e.g., census data), such information is not available specific to fishermen and those involved in the industries and activities, themselves.  To help assess whether any environmental justice concerns arise from the actions in this amendment, a suite of indices were created to examine the social vulnerability of coastal communities.  The three indices are poverty, population composition, and </w:t>
      </w:r>
      <w:r w:rsidRPr="00493106">
        <w:lastRenderedPageBreak/>
        <w:t xml:space="preserve">personal disruptions.  The variables included in each of these indices have been identified through the literature as being important components that contribute to a community’s vulnerability.  Indicators such as increased poverty rates for different groups, more single female-headed households and households with children under the age of five, disruptions such as higher separation rates, higher crime rates, and unemployment all are signs of populations experiencing vulnerabilities.  Again, for those communities that exceed the threshold it would be expected that they would exhibit vulnerabilities to sudden changes or social disruption that might accrue from regulatory change. </w:t>
      </w:r>
    </w:p>
    <w:p w14:paraId="473998BF" w14:textId="77777777" w:rsidR="004624F1" w:rsidRPr="00493106" w:rsidRDefault="004624F1" w:rsidP="004624F1">
      <w:pPr>
        <w:autoSpaceDE w:val="0"/>
        <w:autoSpaceDN w:val="0"/>
        <w:adjustRightInd w:val="0"/>
      </w:pPr>
    </w:p>
    <w:p w14:paraId="07A5BBB8" w14:textId="69028937" w:rsidR="004624F1" w:rsidRPr="00493106" w:rsidRDefault="004624F1" w:rsidP="008E030B">
      <w:pPr>
        <w:autoSpaceDE w:val="0"/>
        <w:autoSpaceDN w:val="0"/>
        <w:adjustRightInd w:val="0"/>
        <w:ind w:firstLine="360"/>
      </w:pPr>
      <w:r w:rsidRPr="00493106">
        <w:rPr>
          <w:b/>
        </w:rPr>
        <w:t>Figure 3.3.</w:t>
      </w:r>
      <w:r w:rsidR="00613441" w:rsidRPr="00493106">
        <w:rPr>
          <w:b/>
        </w:rPr>
        <w:t>10</w:t>
      </w:r>
      <w:r w:rsidRPr="00493106">
        <w:t xml:space="preserve"> provides the social vulnerability of the top commercial and recreational communities.  Several South Atlantic communities exceed the threshold of 0.5 standard deviation for at least one of the social vulnerability indices: Fernandina Beach, Fort Lauderdale, Fort Pierce, Jacksonville, and Miami, Florida.  The communities of Fort Lauderdale, Fort Pierce, and Miami, Florida exceed the threshold for all three social vulnerability indices.  These communities have substantial vulnerabilities and may be susceptible to further effects from any regulatory changes depending upon the direction and extent of that change.    </w:t>
      </w:r>
    </w:p>
    <w:p w14:paraId="7C1F3DA2" w14:textId="77777777" w:rsidR="004624F1" w:rsidRPr="00FE1731" w:rsidRDefault="004624F1" w:rsidP="004624F1">
      <w:pPr>
        <w:autoSpaceDE w:val="0"/>
        <w:autoSpaceDN w:val="0"/>
        <w:adjustRightInd w:val="0"/>
        <w:rPr>
          <w:rFonts w:ascii="TimesNewRomanPSMT" w:hAnsi="TimesNewRomanPSMT" w:cs="TimesNewRomanPSMT"/>
        </w:rPr>
      </w:pPr>
    </w:p>
    <w:p w14:paraId="558C6E1B" w14:textId="77777777" w:rsidR="004624F1" w:rsidRPr="00FE1731" w:rsidRDefault="004624F1" w:rsidP="004624F1">
      <w:pPr>
        <w:autoSpaceDE w:val="0"/>
        <w:autoSpaceDN w:val="0"/>
        <w:adjustRightInd w:val="0"/>
        <w:jc w:val="center"/>
        <w:rPr>
          <w:rFonts w:ascii="TimesNewRomanPSMT" w:hAnsi="TimesNewRomanPSMT" w:cs="TimesNewRomanPSMT"/>
        </w:rPr>
      </w:pPr>
      <w:r>
        <w:rPr>
          <w:noProof/>
        </w:rPr>
        <w:drawing>
          <wp:inline distT="0" distB="0" distL="0" distR="0" wp14:anchorId="3D347F8E" wp14:editId="220E4387">
            <wp:extent cx="5943600" cy="3375660"/>
            <wp:effectExtent l="0" t="0" r="19050" b="1524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768DE33" w14:textId="1EF1987A" w:rsidR="004624F1" w:rsidRPr="00EC68F1" w:rsidRDefault="00613441" w:rsidP="004624F1">
      <w:pPr>
        <w:pStyle w:val="Figuretitle"/>
        <w:rPr>
          <w:rFonts w:ascii="Arial" w:hAnsi="Arial" w:cs="Arial"/>
          <w:sz w:val="20"/>
          <w:szCs w:val="20"/>
        </w:rPr>
      </w:pPr>
      <w:bookmarkStart w:id="189" w:name="_Toc307750330"/>
      <w:bookmarkStart w:id="190" w:name="_Toc340431603"/>
      <w:r>
        <w:rPr>
          <w:rFonts w:ascii="Arial" w:hAnsi="Arial" w:cs="Arial"/>
          <w:b/>
          <w:sz w:val="20"/>
          <w:szCs w:val="20"/>
        </w:rPr>
        <w:t>Figure 3.3.10</w:t>
      </w:r>
      <w:r w:rsidR="004624F1" w:rsidRPr="00EC68F1">
        <w:rPr>
          <w:rFonts w:ascii="Arial" w:hAnsi="Arial" w:cs="Arial"/>
          <w:b/>
          <w:sz w:val="20"/>
          <w:szCs w:val="20"/>
        </w:rPr>
        <w:t>.</w:t>
      </w:r>
      <w:r w:rsidR="004624F1" w:rsidRPr="00EC68F1">
        <w:rPr>
          <w:rFonts w:ascii="Arial" w:hAnsi="Arial" w:cs="Arial"/>
          <w:sz w:val="20"/>
          <w:szCs w:val="20"/>
        </w:rPr>
        <w:t xml:space="preserve">  Social vulnerability indices for top commercial and recreational communities.</w:t>
      </w:r>
      <w:bookmarkEnd w:id="189"/>
      <w:bookmarkEnd w:id="190"/>
    </w:p>
    <w:p w14:paraId="5D20FC94" w14:textId="77777777" w:rsidR="004624F1" w:rsidRPr="00FE1731" w:rsidRDefault="004624F1" w:rsidP="004624F1">
      <w:pPr>
        <w:autoSpaceDE w:val="0"/>
        <w:autoSpaceDN w:val="0"/>
        <w:adjustRightInd w:val="0"/>
        <w:rPr>
          <w:rFonts w:ascii="Arial" w:hAnsi="Arial" w:cs="Arial"/>
          <w:sz w:val="20"/>
          <w:szCs w:val="20"/>
        </w:rPr>
      </w:pPr>
      <w:r w:rsidRPr="00FE1731">
        <w:rPr>
          <w:rFonts w:ascii="Arial" w:hAnsi="Arial" w:cs="Arial"/>
          <w:sz w:val="20"/>
          <w:szCs w:val="20"/>
        </w:rPr>
        <w:t>Source: SERO, Social Indicator</w:t>
      </w:r>
      <w:r>
        <w:rPr>
          <w:rFonts w:ascii="Arial" w:hAnsi="Arial" w:cs="Arial"/>
          <w:sz w:val="20"/>
          <w:szCs w:val="20"/>
        </w:rPr>
        <w:t>s</w:t>
      </w:r>
      <w:r w:rsidRPr="00FE1731">
        <w:rPr>
          <w:rFonts w:ascii="Arial" w:hAnsi="Arial" w:cs="Arial"/>
          <w:sz w:val="20"/>
          <w:szCs w:val="20"/>
        </w:rPr>
        <w:t xml:space="preserve"> Database </w:t>
      </w:r>
      <w:r>
        <w:rPr>
          <w:rFonts w:ascii="Arial" w:hAnsi="Arial" w:cs="Arial"/>
          <w:sz w:val="20"/>
          <w:szCs w:val="20"/>
        </w:rPr>
        <w:t>(</w:t>
      </w:r>
      <w:r w:rsidRPr="00FE1731">
        <w:rPr>
          <w:rFonts w:ascii="Arial" w:hAnsi="Arial" w:cs="Arial"/>
          <w:sz w:val="20"/>
          <w:szCs w:val="20"/>
        </w:rPr>
        <w:t>2012</w:t>
      </w:r>
      <w:r>
        <w:rPr>
          <w:rFonts w:ascii="Arial" w:hAnsi="Arial" w:cs="Arial"/>
          <w:sz w:val="20"/>
          <w:szCs w:val="20"/>
        </w:rPr>
        <w:t>)</w:t>
      </w:r>
      <w:r w:rsidRPr="00FE1731">
        <w:rPr>
          <w:rFonts w:ascii="Arial" w:hAnsi="Arial" w:cs="Arial"/>
          <w:sz w:val="20"/>
          <w:szCs w:val="20"/>
        </w:rPr>
        <w:t xml:space="preserve">.  </w:t>
      </w:r>
    </w:p>
    <w:p w14:paraId="5586A07E" w14:textId="77777777" w:rsidR="004624F1" w:rsidRPr="00493106" w:rsidRDefault="004624F1" w:rsidP="004624F1">
      <w:pPr>
        <w:autoSpaceDE w:val="0"/>
        <w:autoSpaceDN w:val="0"/>
        <w:adjustRightInd w:val="0"/>
      </w:pPr>
    </w:p>
    <w:p w14:paraId="28C7DCBD" w14:textId="5AAF6498" w:rsidR="004624F1" w:rsidRPr="00493106" w:rsidRDefault="004624F1" w:rsidP="008E030B">
      <w:pPr>
        <w:autoSpaceDE w:val="0"/>
        <w:autoSpaceDN w:val="0"/>
        <w:adjustRightInd w:val="0"/>
        <w:ind w:firstLine="360"/>
      </w:pPr>
      <w:r w:rsidRPr="00493106">
        <w:t xml:space="preserve">People in these communities may be affected by fishing regulations in two ways: participation and employment. </w:t>
      </w:r>
      <w:r w:rsidR="008E030B" w:rsidRPr="00493106">
        <w:t xml:space="preserve"> </w:t>
      </w:r>
      <w:r w:rsidRPr="00493106">
        <w:t>Although these communities may have the greatest potential for EJ concerns, no data are available on the race and income status for those involved in the local fishing industry (employment), or for their dependence on mutton snapper specifically (participation).  Although no EJ issues have been identified, the absence of potential EJ concerns cannot be assumed.</w:t>
      </w:r>
    </w:p>
    <w:p w14:paraId="4EA41DDB" w14:textId="5BF14C65" w:rsidR="00884FD2" w:rsidRPr="00D544ED" w:rsidRDefault="00884FD2" w:rsidP="004624F1">
      <w:bookmarkStart w:id="191" w:name="_Toc313629072"/>
    </w:p>
    <w:p w14:paraId="2784239A" w14:textId="77777777" w:rsidR="00B60DB9" w:rsidRPr="001C1569" w:rsidRDefault="00C62A30" w:rsidP="00D71AB1">
      <w:pPr>
        <w:pStyle w:val="Heading2"/>
        <w:rPr>
          <w:rFonts w:ascii="Arial" w:hAnsi="Arial" w:cs="Arial"/>
        </w:rPr>
      </w:pPr>
      <w:bookmarkStart w:id="192" w:name="_Toc339811726"/>
      <w:bookmarkEnd w:id="191"/>
      <w:r w:rsidRPr="001C1569">
        <w:rPr>
          <w:rStyle w:val="Heading4Char1"/>
          <w:rFonts w:ascii="Arial" w:hAnsi="Arial" w:cs="Arial"/>
        </w:rPr>
        <w:lastRenderedPageBreak/>
        <w:t>3.4</w:t>
      </w:r>
      <w:r w:rsidR="008D0B8B" w:rsidRPr="001C1569">
        <w:rPr>
          <w:rStyle w:val="Heading4Char1"/>
          <w:rFonts w:ascii="Arial" w:hAnsi="Arial" w:cs="Arial"/>
        </w:rPr>
        <w:tab/>
        <w:t>Administrative Environment</w:t>
      </w:r>
      <w:bookmarkEnd w:id="133"/>
      <w:bookmarkEnd w:id="134"/>
      <w:bookmarkEnd w:id="135"/>
      <w:bookmarkEnd w:id="192"/>
      <w:r w:rsidR="008D0B8B" w:rsidRPr="001C1569">
        <w:rPr>
          <w:rStyle w:val="Heading4Char1"/>
          <w:rFonts w:ascii="Arial" w:hAnsi="Arial" w:cs="Arial"/>
        </w:rPr>
        <w:t xml:space="preserve"> </w:t>
      </w:r>
    </w:p>
    <w:p w14:paraId="13568F95" w14:textId="77777777" w:rsidR="008D0B8B" w:rsidRPr="001D3631" w:rsidRDefault="00C62A30" w:rsidP="00D71AB1">
      <w:pPr>
        <w:pStyle w:val="Heading3"/>
        <w:rPr>
          <w:rStyle w:val="Heading3Char"/>
          <w:b/>
          <w:sz w:val="28"/>
          <w:szCs w:val="28"/>
        </w:rPr>
      </w:pPr>
      <w:bookmarkStart w:id="193" w:name="_Toc276634284"/>
      <w:bookmarkStart w:id="194" w:name="_Toc304879992"/>
      <w:bookmarkStart w:id="195" w:name="_Toc361410403"/>
      <w:bookmarkStart w:id="196" w:name="_Toc339811727"/>
      <w:r w:rsidRPr="001D3631">
        <w:rPr>
          <w:rStyle w:val="Heading3Char"/>
          <w:b/>
          <w:sz w:val="28"/>
          <w:szCs w:val="28"/>
        </w:rPr>
        <w:t>3.4.</w:t>
      </w:r>
      <w:r w:rsidR="00C20674" w:rsidRPr="001D3631">
        <w:rPr>
          <w:rStyle w:val="Heading3Char"/>
          <w:b/>
          <w:sz w:val="28"/>
          <w:szCs w:val="28"/>
        </w:rPr>
        <w:t>1</w:t>
      </w:r>
      <w:r w:rsidR="004C39BA" w:rsidRPr="001D3631">
        <w:rPr>
          <w:rStyle w:val="Heading3Char"/>
          <w:b/>
          <w:sz w:val="28"/>
          <w:szCs w:val="28"/>
        </w:rPr>
        <w:tab/>
      </w:r>
      <w:r w:rsidR="008D0B8B" w:rsidRPr="001D3631">
        <w:rPr>
          <w:rStyle w:val="Heading3Char"/>
          <w:b/>
          <w:sz w:val="28"/>
          <w:szCs w:val="28"/>
        </w:rPr>
        <w:t>The Fishery Management Process and Applicable Laws</w:t>
      </w:r>
      <w:bookmarkEnd w:id="193"/>
      <w:bookmarkEnd w:id="194"/>
      <w:bookmarkEnd w:id="195"/>
      <w:bookmarkEnd w:id="196"/>
    </w:p>
    <w:p w14:paraId="7ACF094A" w14:textId="77777777" w:rsidR="00B60DB9" w:rsidRPr="001C1569" w:rsidRDefault="00C62A30" w:rsidP="00D71AB1">
      <w:pPr>
        <w:pStyle w:val="Heading4"/>
        <w:rPr>
          <w:rFonts w:ascii="Arial" w:hAnsi="Arial" w:cs="Arial"/>
        </w:rPr>
      </w:pPr>
      <w:bookmarkStart w:id="197" w:name="_Toc313629074"/>
      <w:bookmarkStart w:id="198" w:name="_Toc330996903"/>
      <w:bookmarkStart w:id="199" w:name="_Toc361410404"/>
      <w:r w:rsidRPr="001C1569">
        <w:rPr>
          <w:rFonts w:ascii="Arial" w:hAnsi="Arial" w:cs="Arial"/>
        </w:rPr>
        <w:t>3.4</w:t>
      </w:r>
      <w:r w:rsidR="00C20674" w:rsidRPr="001C1569">
        <w:rPr>
          <w:rFonts w:ascii="Arial" w:hAnsi="Arial" w:cs="Arial"/>
        </w:rPr>
        <w:t>.1.1</w:t>
      </w:r>
      <w:r w:rsidR="004C39BA" w:rsidRPr="001C1569">
        <w:rPr>
          <w:rFonts w:ascii="Arial" w:hAnsi="Arial" w:cs="Arial"/>
        </w:rPr>
        <w:tab/>
      </w:r>
      <w:r w:rsidR="00D6582B">
        <w:rPr>
          <w:rFonts w:ascii="Arial" w:hAnsi="Arial" w:cs="Arial"/>
        </w:rPr>
        <w:t xml:space="preserve"> </w:t>
      </w:r>
      <w:r w:rsidR="00B60DB9" w:rsidRPr="001C1569">
        <w:rPr>
          <w:rFonts w:ascii="Arial" w:hAnsi="Arial" w:cs="Arial"/>
        </w:rPr>
        <w:t>Federal Fishery Management</w:t>
      </w:r>
      <w:bookmarkEnd w:id="197"/>
      <w:bookmarkEnd w:id="198"/>
      <w:bookmarkEnd w:id="199"/>
    </w:p>
    <w:p w14:paraId="73A444A1" w14:textId="77777777" w:rsidR="00B60DB9" w:rsidRPr="00532ABB" w:rsidRDefault="00B60DB9" w:rsidP="00E86A99">
      <w:pPr>
        <w:ind w:firstLine="360"/>
      </w:pPr>
      <w:r w:rsidRPr="00532ABB">
        <w:t xml:space="preserve">Federal fishery management is conducted under the authority of the Magnuson-Stevens </w:t>
      </w:r>
      <w:r w:rsidR="005E3C3E">
        <w:t xml:space="preserve">Fishery Conservation and Management </w:t>
      </w:r>
      <w:r w:rsidRPr="00532ABB">
        <w:t>Act (Magnuson-Stevens Act</w:t>
      </w:r>
      <w:r w:rsidR="005E3C3E">
        <w:t>)</w:t>
      </w:r>
      <w:r w:rsidRPr="00532ABB">
        <w:t xml:space="preserve"> (16 U.S.C. 1801 et seq.), originally enacted in 1976 as the Fishery Conservation and Management Act.  The Magnuson-Stevens Act claims sovereign rights and exclusive fishery management authority over most fishery resources within the EEZ, an area extending 200 nm from the seaward boundary of each of the coastal states, and authority over U.S. anadromous species and continental shelf resources that occur beyond the U.S. EEZ.</w:t>
      </w:r>
    </w:p>
    <w:p w14:paraId="7FE9D24A" w14:textId="77777777" w:rsidR="00B60DB9" w:rsidRPr="00532ABB" w:rsidRDefault="00B60DB9" w:rsidP="00E86A99">
      <w:pPr>
        <w:ind w:firstLine="360"/>
      </w:pPr>
    </w:p>
    <w:p w14:paraId="48356030" w14:textId="77777777" w:rsidR="00B60DB9" w:rsidRPr="00532ABB" w:rsidRDefault="00B60DB9" w:rsidP="00E86A99">
      <w:pPr>
        <w:ind w:firstLine="360"/>
      </w:pPr>
      <w:r w:rsidRPr="00532ABB">
        <w:t xml:space="preserve">Responsibility for federal fishery management decision-making is divided between the U.S. Secretary of Commerce (Secretary) and eight regional fishery management councils that represent the expertise and interests of constituent states.  Regional councils are responsible for preparing, monitoring, and revising management plans for fisheries needing management within their jurisdiction.  The Secretary is responsible for collecting and providing the data necessary for the councils to prepare fishery management plans and for promulgating regulations to implement proposed plans and amendments after ensuring that management measures are consistent with the Magnuson-Stevens Act and with other applicable laws.  In most cases, the Secretary has delegated this authority to </w:t>
      </w:r>
      <w:r w:rsidR="003E16AC" w:rsidRPr="00532ABB">
        <w:t>NMFS</w:t>
      </w:r>
      <w:r w:rsidRPr="00532ABB">
        <w:t>.</w:t>
      </w:r>
    </w:p>
    <w:p w14:paraId="42B7DC4B" w14:textId="77777777" w:rsidR="00B60DB9" w:rsidRPr="00532ABB" w:rsidRDefault="00B60DB9" w:rsidP="00E86A99">
      <w:pPr>
        <w:ind w:firstLine="360"/>
      </w:pPr>
    </w:p>
    <w:p w14:paraId="228AEE55" w14:textId="7A073AA9" w:rsidR="00B60DB9" w:rsidRPr="00532ABB" w:rsidRDefault="00B60DB9" w:rsidP="00E86A99">
      <w:pPr>
        <w:ind w:firstLine="360"/>
      </w:pPr>
      <w:r w:rsidRPr="00532ABB">
        <w:t xml:space="preserve">The South Atlantic Council is responsible for conservation and management of fishery resources in federal waters of the U.S. South Atlantic.  These waters extend from 3 to 200 mi offshore from the seaward boundary of North Carolina, South Carolina, Georgia, and east Florida to Key West.  The South Atlantic Council has thirteen voting members:  one from </w:t>
      </w:r>
      <w:r w:rsidR="003E16AC" w:rsidRPr="00532ABB">
        <w:t>NMFS</w:t>
      </w:r>
      <w:r w:rsidRPr="00532ABB">
        <w:t xml:space="preserve">; one each from the state fishery agencies of North Carolina, South Carolina, Georgia, and Florida; and eight public members appointed by the Secretary.  On the South Atlantic Council, there are two public members from each of the four South Atlantic States.  Non-voting members include representatives of the U.S. Fish and Wildlife Service, U.S. Coast Guard, State Department, and Atlantic States Marine Fisheries Commission (ASMFC).  The South Atlantic Council has adopted procedures whereby the non-voting members serving on the South Atlantic Council Committees have full voting rights at the Committee level but not at the full South Atlantic Council level. </w:t>
      </w:r>
      <w:r w:rsidR="00ED0140">
        <w:t xml:space="preserve"> </w:t>
      </w:r>
      <w:r w:rsidR="0013567B">
        <w:t>The South Atlantic Council also established two voting seats for the Mid-Atlantic Council on the South Atlantic Mackerel Committee.</w:t>
      </w:r>
      <w:r w:rsidRPr="00532ABB">
        <w:t xml:space="preserve"> </w:t>
      </w:r>
      <w:r w:rsidR="00B16888">
        <w:t xml:space="preserve"> </w:t>
      </w:r>
      <w:r w:rsidRPr="00532ABB">
        <w:t xml:space="preserve">South Atlantic Council members serve three-year terms and are recommended by state governors and appointed by the Secretary from lists of nominees submitted by state governors.  Appointed members may serve a maximum of three consecutive terms. </w:t>
      </w:r>
    </w:p>
    <w:p w14:paraId="46E5F87D" w14:textId="77777777" w:rsidR="00B60DB9" w:rsidRPr="00532ABB" w:rsidRDefault="00B60DB9" w:rsidP="00E86A99">
      <w:pPr>
        <w:ind w:firstLine="360"/>
      </w:pPr>
    </w:p>
    <w:p w14:paraId="7F7AA36E" w14:textId="77777777" w:rsidR="00B60DB9" w:rsidRPr="00532ABB" w:rsidRDefault="00B60DB9" w:rsidP="00E86A99">
      <w:pPr>
        <w:ind w:firstLine="360"/>
      </w:pPr>
      <w:r w:rsidRPr="00532ABB">
        <w:t>Public interests also are involved in the fishery management process through participation on Advisory Panels and through council meetings, which, with few exceptions for discussing personnel</w:t>
      </w:r>
      <w:r w:rsidR="0013567B">
        <w:t xml:space="preserve"> and legal</w:t>
      </w:r>
      <w:r w:rsidRPr="00532ABB">
        <w:t xml:space="preserve"> matters, are open to the public.  The </w:t>
      </w:r>
      <w:r w:rsidR="0013567B">
        <w:t xml:space="preserve">South Atlantic Council uses its Scientific and Statistical </w:t>
      </w:r>
      <w:r w:rsidR="003238A1">
        <w:t>Committee</w:t>
      </w:r>
      <w:r w:rsidRPr="00532ABB">
        <w:t xml:space="preserve"> </w:t>
      </w:r>
      <w:r w:rsidR="0013567B">
        <w:t>(</w:t>
      </w:r>
      <w:r w:rsidRPr="00532ABB">
        <w:t>SSC</w:t>
      </w:r>
      <w:r w:rsidR="0013567B">
        <w:t>)</w:t>
      </w:r>
      <w:r w:rsidRPr="00532ABB">
        <w:t xml:space="preserve"> to review the data and science being used in assessments and fishery management plans/amendments.  In addition, the regulatory process is in </w:t>
      </w:r>
      <w:r w:rsidRPr="00532ABB">
        <w:lastRenderedPageBreak/>
        <w:t>accordance with the Administrative Procedure Act, in the form of “notice and comment” rulemaking.</w:t>
      </w:r>
    </w:p>
    <w:p w14:paraId="1EDCB2DE" w14:textId="77777777" w:rsidR="00B60DB9" w:rsidRPr="001C1569" w:rsidRDefault="00C62A30" w:rsidP="00D71AB1">
      <w:pPr>
        <w:pStyle w:val="Heading4"/>
        <w:rPr>
          <w:rFonts w:ascii="Arial" w:hAnsi="Arial" w:cs="Arial"/>
        </w:rPr>
      </w:pPr>
      <w:bookmarkStart w:id="200" w:name="_Toc313629075"/>
      <w:bookmarkStart w:id="201" w:name="_Toc330996904"/>
      <w:bookmarkStart w:id="202" w:name="_Toc361410405"/>
      <w:r w:rsidRPr="001C1569">
        <w:rPr>
          <w:rFonts w:ascii="Arial" w:hAnsi="Arial" w:cs="Arial"/>
        </w:rPr>
        <w:t>3.4</w:t>
      </w:r>
      <w:r w:rsidR="00C20674" w:rsidRPr="001C1569">
        <w:rPr>
          <w:rFonts w:ascii="Arial" w:hAnsi="Arial" w:cs="Arial"/>
        </w:rPr>
        <w:t xml:space="preserve">.1.2  </w:t>
      </w:r>
      <w:r w:rsidR="00B60DB9" w:rsidRPr="001C1569">
        <w:rPr>
          <w:rFonts w:ascii="Arial" w:hAnsi="Arial" w:cs="Arial"/>
        </w:rPr>
        <w:t>State Fishery Management</w:t>
      </w:r>
      <w:bookmarkEnd w:id="200"/>
      <w:bookmarkEnd w:id="201"/>
      <w:bookmarkEnd w:id="202"/>
    </w:p>
    <w:p w14:paraId="13C6A486" w14:textId="77777777" w:rsidR="00B60DB9" w:rsidRPr="00532ABB" w:rsidRDefault="00B60DB9" w:rsidP="00E86A99">
      <w:pPr>
        <w:ind w:firstLine="360"/>
      </w:pPr>
      <w:bookmarkStart w:id="203" w:name="_Toc179262405"/>
      <w:r w:rsidRPr="00532ABB">
        <w:t xml:space="preserve">The state governments of North Carolina, South Carolina, Georgia, and Florida have the authority to manage fisheries that occur in waters extending three nautical miles from their respective shorelines.  North Carolina’s marine fisheries are managed by the Marine Fisheries Division of the North Carolina Department of Environment and Natural Resources.  The Marine Resources Division of the South Carolina Department of Natural Resources regulates South Carolina’s marine fisheries.  Georgia’s marine fisheries are managed by the Coastal Resources Division of the Department of Natural Resources.  The Marine Fisheries Division of the Florida Fish and Wildlife Conservation Commission is responsible for managing Florida’s marine fisheries.  Each state fishery management agency has a designated seat on the South Atlantic Council.  The purpose of state representation at the South Atlantic Council level is to ensure state participation in federal fishery management decision-making and to promote the development of compatible regulations in state and federal waters. </w:t>
      </w:r>
    </w:p>
    <w:p w14:paraId="46A27329" w14:textId="77777777" w:rsidR="00B60DB9" w:rsidRPr="00532ABB" w:rsidRDefault="00B60DB9" w:rsidP="00E86A99">
      <w:pPr>
        <w:ind w:firstLine="360"/>
      </w:pPr>
    </w:p>
    <w:p w14:paraId="6128B480" w14:textId="77777777" w:rsidR="00B60DB9" w:rsidRPr="00532ABB" w:rsidRDefault="00B60DB9" w:rsidP="00E86A99">
      <w:pPr>
        <w:ind w:firstLine="360"/>
      </w:pPr>
      <w:r w:rsidRPr="00532ABB">
        <w:t>The South Atlantic States are also involved through the</w:t>
      </w:r>
      <w:r w:rsidR="0013567B">
        <w:t xml:space="preserve"> Atlantic States Marine Fisheries Commission</w:t>
      </w:r>
      <w:r w:rsidRPr="00532ABB">
        <w:t xml:space="preserve"> </w:t>
      </w:r>
      <w:r w:rsidR="0013567B">
        <w:t>(</w:t>
      </w:r>
      <w:r w:rsidRPr="00532ABB">
        <w:t>ASMFC</w:t>
      </w:r>
      <w:r w:rsidR="0013567B">
        <w:t>)</w:t>
      </w:r>
      <w:r w:rsidRPr="00532ABB">
        <w:t xml:space="preserve"> in management of marine fisheries.  This commission was created to coordinate state regulations and develop management plans for interstate fisheries.  It has significant authority, through the Atlantic Striped Bass Conservation Act and the Atlantic Coastal Fisheries Cooperative Management Act, to compel adoption of consistent state regulations to conserve coastal species.  The ASFMC is also represented at the South Atlantic Council level, but does not have voting authority at the South Atlantic Council level.</w:t>
      </w:r>
    </w:p>
    <w:p w14:paraId="71A16CB6" w14:textId="77777777" w:rsidR="00B60DB9" w:rsidRPr="00532ABB" w:rsidRDefault="00B60DB9" w:rsidP="00E86A99">
      <w:pPr>
        <w:ind w:firstLine="360"/>
      </w:pPr>
    </w:p>
    <w:p w14:paraId="58D476A1" w14:textId="77777777" w:rsidR="008B6A9F" w:rsidRPr="00532ABB" w:rsidRDefault="003E16AC" w:rsidP="00E86A99">
      <w:pPr>
        <w:ind w:firstLine="360"/>
      </w:pPr>
      <w:r w:rsidRPr="00532ABB">
        <w:t>NMFS’s</w:t>
      </w:r>
      <w:r w:rsidR="00B60DB9" w:rsidRPr="00532ABB">
        <w:t xml:space="preserve"> State-Federal Fisheries Division is responsible for building cooperative partnerships to strengthen marine fisheries management and conservation at the state, inter-regional, and national levels.  This division implements and oversees the distribution of grants for two national (Inter-jurisdictional Fisheries Act and Anadromous Fish Conservation Act) and two regional (Atlantic Coastal Fisheries Cooperative Management Act and Atlantic Striped Bass Conservation Act) programs.  Additionally, it works with the ASMFC to develop and implement cooperative State</w:t>
      </w:r>
      <w:r w:rsidR="005B5A20">
        <w:t>-Federal fisheries regulations.</w:t>
      </w:r>
    </w:p>
    <w:p w14:paraId="69D7E9B5" w14:textId="77777777" w:rsidR="00B60DB9" w:rsidRPr="001C1569" w:rsidRDefault="00C62A30" w:rsidP="00D71AB1">
      <w:pPr>
        <w:pStyle w:val="Heading4"/>
        <w:rPr>
          <w:rFonts w:ascii="Arial" w:hAnsi="Arial" w:cs="Arial"/>
          <w:szCs w:val="24"/>
        </w:rPr>
      </w:pPr>
      <w:bookmarkStart w:id="204" w:name="_Toc313629076"/>
      <w:bookmarkStart w:id="205" w:name="_Toc330996905"/>
      <w:bookmarkStart w:id="206" w:name="_Toc361410406"/>
      <w:bookmarkEnd w:id="203"/>
      <w:r w:rsidRPr="001C1569">
        <w:rPr>
          <w:rFonts w:ascii="Arial" w:hAnsi="Arial" w:cs="Arial"/>
        </w:rPr>
        <w:t>3.4</w:t>
      </w:r>
      <w:r w:rsidR="00C20674" w:rsidRPr="001C1569">
        <w:rPr>
          <w:rFonts w:ascii="Arial" w:hAnsi="Arial" w:cs="Arial"/>
        </w:rPr>
        <w:t xml:space="preserve">.1.3  </w:t>
      </w:r>
      <w:r w:rsidR="00B60DB9" w:rsidRPr="001C1569">
        <w:rPr>
          <w:rFonts w:ascii="Arial" w:hAnsi="Arial" w:cs="Arial"/>
        </w:rPr>
        <w:t>Enforcement</w:t>
      </w:r>
      <w:bookmarkEnd w:id="204"/>
      <w:bookmarkEnd w:id="205"/>
      <w:bookmarkEnd w:id="206"/>
    </w:p>
    <w:p w14:paraId="1B2DC230" w14:textId="77777777" w:rsidR="00B60DB9" w:rsidRPr="00532ABB" w:rsidRDefault="00B60DB9" w:rsidP="00E86A99">
      <w:pPr>
        <w:ind w:firstLine="360"/>
      </w:pPr>
      <w:r w:rsidRPr="00532ABB">
        <w:t xml:space="preserve">Both the </w:t>
      </w:r>
      <w:r w:rsidR="003E16AC" w:rsidRPr="00532ABB">
        <w:t>NMFS</w:t>
      </w:r>
      <w:r w:rsidRPr="00532ABB">
        <w:t xml:space="preserve"> Office for Law Enforcement (NOAA/OLE) and the United States Coast Guard (USCG) have the authority and the responsibility to enforce South Atlantic Council regulations.  NOAA/OLE agents, who specialize in living marine resource violations, provide fisheries expertise and investigative support for the overall fisheries mission.  The USCG is a multi</w:t>
      </w:r>
      <w:r w:rsidR="005E3C3E">
        <w:t>-</w:t>
      </w:r>
      <w:r w:rsidRPr="00532ABB">
        <w:t xml:space="preserve"> mission agency, which provides at sea patrol services for the fisheries mission.</w:t>
      </w:r>
    </w:p>
    <w:p w14:paraId="457F6176" w14:textId="77777777" w:rsidR="00B60DB9" w:rsidRPr="00532ABB" w:rsidRDefault="00B60DB9" w:rsidP="00E86A99">
      <w:pPr>
        <w:ind w:firstLine="360"/>
      </w:pPr>
    </w:p>
    <w:p w14:paraId="42CAC448" w14:textId="77777777" w:rsidR="00B60DB9" w:rsidRPr="00532ABB" w:rsidRDefault="00B60DB9" w:rsidP="00E86A99">
      <w:pPr>
        <w:ind w:firstLine="360"/>
      </w:pPr>
      <w:r w:rsidRPr="00532ABB">
        <w:t xml:space="preserve">Neither NOAA/OLE nor the USCG can provide a continuous law enforcement presence in all areas due to the limited resources of NOAA/OLE and the priority tasking of the USCG.  To supplement at sea and dockside inspections of fishing vessels, NOAA entered into Cooperative Enforcement Agreements with all but one of the states in the Southeast Region (North Carolina), which granted authority to state officers to enforce the laws for which NOAA/OLE has jurisdiction.  In recent years, the level of involvement by the states has increased through Joint </w:t>
      </w:r>
      <w:r w:rsidRPr="00532ABB">
        <w:lastRenderedPageBreak/>
        <w:t xml:space="preserve">Enforcement Agreements, whereby states conduct patrols that focus on federal priorities and, in some circumstances, prosecute resultant violators through the state when a state violation has occurred.   </w:t>
      </w:r>
    </w:p>
    <w:p w14:paraId="77D8E4E1" w14:textId="77777777" w:rsidR="00B60DB9" w:rsidRPr="00532ABB" w:rsidRDefault="00B60DB9" w:rsidP="00E86A99">
      <w:pPr>
        <w:ind w:firstLine="360"/>
      </w:pPr>
    </w:p>
    <w:p w14:paraId="56D18D10" w14:textId="77777777" w:rsidR="00B60DB9" w:rsidRPr="00460983" w:rsidRDefault="0013567B" w:rsidP="00E86A99">
      <w:pPr>
        <w:ind w:firstLine="360"/>
        <w:rPr>
          <w:bCs/>
        </w:rPr>
      </w:pPr>
      <w:r>
        <w:t xml:space="preserve">The NOAA Office of General Counsel Penalty Policy and Penalty Schedule is available online at </w:t>
      </w:r>
      <w:hyperlink r:id="rId59" w:history="1">
        <w:r w:rsidRPr="0013567B">
          <w:rPr>
            <w:rStyle w:val="Hyperlink"/>
          </w:rPr>
          <w:t>http://www.gc.noaa.gov/enforce-office3.html</w:t>
        </w:r>
      </w:hyperlink>
      <w:r>
        <w:t>.</w:t>
      </w:r>
    </w:p>
    <w:p w14:paraId="401D8C6F" w14:textId="77777777" w:rsidR="005426E8" w:rsidRPr="00532ABB" w:rsidRDefault="005426E8" w:rsidP="00D71AB1"/>
    <w:p w14:paraId="48A14E33" w14:textId="77777777" w:rsidR="00FC58CD" w:rsidRPr="00532ABB" w:rsidRDefault="00FC58CD" w:rsidP="00D71AB1">
      <w:pPr>
        <w:pStyle w:val="Heading1"/>
        <w:rPr>
          <w:rStyle w:val="Heading3Char"/>
          <w:rFonts w:ascii="Times New Roman" w:hAnsi="Times New Roman" w:cs="Times New Roman"/>
          <w:b/>
          <w:bCs/>
          <w:color w:val="8DB3E2"/>
          <w:sz w:val="36"/>
          <w:szCs w:val="36"/>
        </w:rPr>
        <w:sectPr w:rsidR="00FC58CD" w:rsidRPr="00532ABB" w:rsidSect="0038545E">
          <w:footerReference w:type="default" r:id="rId60"/>
          <w:pgSz w:w="12240" w:h="15840" w:code="1"/>
          <w:pgMar w:top="1080" w:right="1440" w:bottom="1170" w:left="1440" w:header="720" w:footer="720" w:gutter="0"/>
          <w:cols w:space="720"/>
          <w:docGrid w:linePitch="360"/>
        </w:sectPr>
      </w:pPr>
      <w:bookmarkStart w:id="207" w:name="_Toc304879996"/>
      <w:bookmarkEnd w:id="102"/>
      <w:bookmarkEnd w:id="103"/>
    </w:p>
    <w:p w14:paraId="6F41C621" w14:textId="77777777" w:rsidR="008D0B8B" w:rsidRPr="00532ABB" w:rsidRDefault="008D0B8B" w:rsidP="00D71AB1">
      <w:pPr>
        <w:pStyle w:val="Heading1"/>
        <w:rPr>
          <w:rStyle w:val="Heading3Char"/>
          <w:rFonts w:ascii="Times New Roman" w:hAnsi="Times New Roman" w:cs="Times New Roman"/>
          <w:b/>
          <w:bCs/>
          <w:color w:val="548DD4"/>
          <w:sz w:val="56"/>
          <w:szCs w:val="56"/>
        </w:rPr>
      </w:pPr>
      <w:bookmarkStart w:id="208" w:name="_Toc361410407"/>
      <w:bookmarkStart w:id="209" w:name="_Toc339811728"/>
      <w:r w:rsidRPr="00532ABB">
        <w:rPr>
          <w:rStyle w:val="Heading3Char"/>
          <w:rFonts w:ascii="Times New Roman" w:hAnsi="Times New Roman" w:cs="Times New Roman"/>
          <w:b/>
          <w:bCs/>
          <w:color w:val="8DB3E2"/>
          <w:sz w:val="36"/>
          <w:szCs w:val="36"/>
        </w:rPr>
        <w:lastRenderedPageBreak/>
        <w:t>Chapter 4.</w:t>
      </w:r>
      <w:r w:rsidRPr="00532ABB">
        <w:rPr>
          <w:rStyle w:val="Heading3Char"/>
          <w:rFonts w:ascii="Times New Roman" w:hAnsi="Times New Roman" w:cs="Times New Roman"/>
          <w:b/>
          <w:bCs/>
          <w:sz w:val="40"/>
          <w:szCs w:val="40"/>
        </w:rPr>
        <w:t xml:space="preserve">  </w:t>
      </w:r>
      <w:r w:rsidRPr="00532ABB">
        <w:rPr>
          <w:rStyle w:val="Heading3Char"/>
          <w:rFonts w:ascii="Times New Roman" w:hAnsi="Times New Roman" w:cs="Times New Roman"/>
          <w:b/>
          <w:bCs/>
          <w:color w:val="548DD4"/>
          <w:sz w:val="56"/>
          <w:szCs w:val="56"/>
        </w:rPr>
        <w:t xml:space="preserve">Environmental </w:t>
      </w:r>
      <w:bookmarkEnd w:id="207"/>
      <w:r w:rsidR="00FC58CD" w:rsidRPr="00532ABB">
        <w:rPr>
          <w:rStyle w:val="Heading3Char"/>
          <w:rFonts w:ascii="Times New Roman" w:hAnsi="Times New Roman" w:cs="Times New Roman"/>
          <w:b/>
          <w:bCs/>
          <w:color w:val="548DD4"/>
          <w:sz w:val="56"/>
          <w:szCs w:val="56"/>
        </w:rPr>
        <w:t>Effects</w:t>
      </w:r>
      <w:r w:rsidR="000E6BF3" w:rsidRPr="00532ABB">
        <w:rPr>
          <w:rStyle w:val="Heading3Char"/>
          <w:rFonts w:ascii="Times New Roman" w:hAnsi="Times New Roman" w:cs="Times New Roman"/>
          <w:b/>
          <w:bCs/>
          <w:color w:val="548DD4"/>
          <w:sz w:val="56"/>
          <w:szCs w:val="56"/>
        </w:rPr>
        <w:t xml:space="preserve"> and Comparison of Alternatives</w:t>
      </w:r>
      <w:bookmarkEnd w:id="208"/>
      <w:bookmarkEnd w:id="209"/>
    </w:p>
    <w:p w14:paraId="495AC464" w14:textId="77777777" w:rsidR="003B77CB" w:rsidRPr="002E4F9D" w:rsidRDefault="003B77CB" w:rsidP="00D71AB1">
      <w:pPr>
        <w:rPr>
          <w:rFonts w:ascii="Arial" w:eastAsiaTheme="minorHAnsi" w:hAnsi="Arial" w:cs="Arial"/>
          <w:b/>
          <w:color w:val="1F497D" w:themeColor="text2"/>
          <w:sz w:val="28"/>
          <w:szCs w:val="28"/>
        </w:rPr>
      </w:pPr>
      <w:bookmarkStart w:id="210" w:name="_Toc361410408"/>
      <w:bookmarkStart w:id="211" w:name="OLE_LINK5"/>
      <w:bookmarkStart w:id="212" w:name="OLE_LINK7"/>
      <w:bookmarkStart w:id="213" w:name="_Toc304880012"/>
    </w:p>
    <w:p w14:paraId="1048DA77" w14:textId="78321A3D" w:rsidR="00CE07F1" w:rsidRPr="00CB12BB" w:rsidRDefault="00CE07F1" w:rsidP="00CE07F1">
      <w:pPr>
        <w:pStyle w:val="Heading2"/>
        <w:rPr>
          <w:rFonts w:ascii="Arial" w:hAnsi="Arial" w:cs="Arial"/>
        </w:rPr>
      </w:pPr>
      <w:bookmarkStart w:id="214" w:name="_Toc339811729"/>
      <w:bookmarkEnd w:id="210"/>
      <w:r>
        <w:rPr>
          <w:rFonts w:ascii="Arial" w:hAnsi="Arial" w:cs="Arial"/>
          <w:color w:val="000000"/>
        </w:rPr>
        <w:t>4.1</w:t>
      </w:r>
      <w:r>
        <w:rPr>
          <w:rFonts w:ascii="Arial" w:hAnsi="Arial" w:cs="Arial"/>
          <w:color w:val="000000"/>
        </w:rPr>
        <w:tab/>
      </w:r>
      <w:r w:rsidRPr="00CB12BB">
        <w:rPr>
          <w:rFonts w:ascii="Arial" w:hAnsi="Arial" w:cs="Arial"/>
          <w:color w:val="000000"/>
        </w:rPr>
        <w:t xml:space="preserve">Action 1.  </w:t>
      </w:r>
      <w:r w:rsidRPr="008565BE">
        <w:rPr>
          <w:rFonts w:ascii="Arial" w:hAnsi="Arial" w:cs="Arial"/>
        </w:rPr>
        <w:t>Specify maximum sustainable yield (MSY) for mutton snapper in the South Atlantic</w:t>
      </w:r>
      <w:r w:rsidR="00774344" w:rsidRPr="008565BE">
        <w:rPr>
          <w:rFonts w:ascii="Arial" w:hAnsi="Arial" w:cs="Arial"/>
        </w:rPr>
        <w:t xml:space="preserve"> R</w:t>
      </w:r>
      <w:r w:rsidRPr="008565BE">
        <w:rPr>
          <w:rFonts w:ascii="Arial" w:hAnsi="Arial" w:cs="Arial"/>
        </w:rPr>
        <w:t>egion</w:t>
      </w:r>
      <w:bookmarkEnd w:id="214"/>
    </w:p>
    <w:p w14:paraId="6F364AE8" w14:textId="352584E8" w:rsidR="007909BF" w:rsidRPr="00532ABB" w:rsidRDefault="00774344" w:rsidP="00D71AB1">
      <w:pPr>
        <w:rPr>
          <w:b/>
        </w:rPr>
      </w:pPr>
      <w:r w:rsidRPr="000E374B">
        <w:rPr>
          <w:rFonts w:ascii="Arial" w:hAnsi="Arial" w:cs="Arial"/>
          <w:noProof/>
          <w:color w:val="365F91" w:themeColor="accent1" w:themeShade="BF"/>
        </w:rPr>
        <mc:AlternateContent>
          <mc:Choice Requires="wps">
            <w:drawing>
              <wp:anchor distT="0" distB="0" distL="114300" distR="114300" simplePos="0" relativeHeight="251660800" behindDoc="0" locked="0" layoutInCell="1" allowOverlap="1" wp14:anchorId="75D7EE02" wp14:editId="7B687DBD">
                <wp:simplePos x="0" y="0"/>
                <wp:positionH relativeFrom="margin">
                  <wp:posOffset>2974975</wp:posOffset>
                </wp:positionH>
                <wp:positionV relativeFrom="margin">
                  <wp:posOffset>2075180</wp:posOffset>
                </wp:positionV>
                <wp:extent cx="2998470" cy="2340610"/>
                <wp:effectExtent l="25400" t="101600" r="125730" b="4699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2340610"/>
                        </a:xfrm>
                        <a:prstGeom prst="rect">
                          <a:avLst/>
                        </a:prstGeom>
                        <a:solidFill>
                          <a:srgbClr val="FFFFFF"/>
                        </a:solidFill>
                        <a:ln w="9525">
                          <a:solidFill>
                            <a:schemeClr val="tx2">
                              <a:lumMod val="60000"/>
                              <a:lumOff val="40000"/>
                            </a:schemeClr>
                          </a:solidFill>
                          <a:miter lim="800000"/>
                          <a:headEnd/>
                          <a:tailEnd/>
                        </a:ln>
                        <a:effectLst>
                          <a:outerShdw blurRad="50800" dist="38100" dir="18900000" algn="bl" rotWithShape="0">
                            <a:prstClr val="black">
                              <a:alpha val="40000"/>
                            </a:prstClr>
                          </a:outerShdw>
                        </a:effectLst>
                      </wps:spPr>
                      <wps:txbx>
                        <w:txbxContent>
                          <w:p w14:paraId="6C14E747" w14:textId="7EB7D03D" w:rsidR="009108B8" w:rsidRPr="00006826" w:rsidRDefault="009108B8" w:rsidP="003B77CB">
                            <w:pPr>
                              <w:jc w:val="center"/>
                              <w:rPr>
                                <w:rFonts w:ascii="Arial" w:hAnsi="Arial" w:cs="Arial"/>
                                <w:b/>
                                <w:i/>
                                <w:iCs/>
                                <w:color w:val="365F91" w:themeColor="accent1" w:themeShade="BF"/>
                              </w:rPr>
                            </w:pPr>
                            <w:r w:rsidRPr="00006826">
                              <w:rPr>
                                <w:rFonts w:ascii="Arial" w:hAnsi="Arial" w:cs="Arial"/>
                                <w:b/>
                                <w:i/>
                                <w:iCs/>
                                <w:color w:val="365F91" w:themeColor="accent1" w:themeShade="BF"/>
                              </w:rPr>
                              <w:t>Alternatives</w:t>
                            </w:r>
                            <w:r>
                              <w:rPr>
                                <w:rFonts w:ascii="Arial" w:hAnsi="Arial" w:cs="Arial"/>
                                <w:b/>
                                <w:i/>
                                <w:iCs/>
                                <w:color w:val="365F91" w:themeColor="accent1" w:themeShade="BF"/>
                              </w:rPr>
                              <w:t>*</w:t>
                            </w:r>
                          </w:p>
                          <w:p w14:paraId="78F981CE" w14:textId="77777777" w:rsidR="009108B8" w:rsidRPr="003D77AB" w:rsidRDefault="009108B8" w:rsidP="003B77CB">
                            <w:pPr>
                              <w:rPr>
                                <w:rFonts w:ascii="Arial" w:hAnsi="Arial" w:cs="Arial"/>
                                <w:b/>
                                <w:color w:val="365F91" w:themeColor="accent1" w:themeShade="BF"/>
                              </w:rPr>
                            </w:pPr>
                          </w:p>
                          <w:p w14:paraId="16F5B526" w14:textId="164189A5" w:rsidR="009108B8" w:rsidRPr="00E03046" w:rsidRDefault="009108B8" w:rsidP="00066222">
                            <w:pPr>
                              <w:rPr>
                                <w:rFonts w:ascii="Arial" w:eastAsiaTheme="minorHAnsi" w:hAnsi="Arial" w:cs="Arial"/>
                                <w:color w:val="1F497D" w:themeColor="text2"/>
                                <w:sz w:val="20"/>
                                <w:szCs w:val="20"/>
                              </w:rPr>
                            </w:pPr>
                            <w:r w:rsidRPr="00E03046">
                              <w:rPr>
                                <w:rFonts w:ascii="Arial" w:eastAsiaTheme="minorHAnsi" w:hAnsi="Arial" w:cs="Arial"/>
                                <w:color w:val="1F497D" w:themeColor="text2"/>
                                <w:sz w:val="20"/>
                                <w:szCs w:val="20"/>
                              </w:rPr>
                              <w:t>1.  No Action.</w:t>
                            </w:r>
                            <w:r>
                              <w:rPr>
                                <w:rFonts w:ascii="Arial" w:eastAsiaTheme="minorHAnsi" w:hAnsi="Arial" w:cs="Arial"/>
                                <w:color w:val="1F497D" w:themeColor="text2"/>
                                <w:sz w:val="20"/>
                                <w:szCs w:val="20"/>
                              </w:rPr>
                              <w:t xml:space="preserve"> </w:t>
                            </w:r>
                            <w:r w:rsidRPr="00E03046">
                              <w:rPr>
                                <w:rFonts w:ascii="Arial" w:eastAsiaTheme="minorHAnsi" w:hAnsi="Arial" w:cs="Arial"/>
                                <w:color w:val="1F497D" w:themeColor="text2"/>
                                <w:sz w:val="20"/>
                                <w:szCs w:val="20"/>
                              </w:rPr>
                              <w:t xml:space="preserve"> </w:t>
                            </w:r>
                            <w:r>
                              <w:rPr>
                                <w:rFonts w:ascii="Arial" w:eastAsiaTheme="minorHAnsi" w:hAnsi="Arial" w:cs="Arial"/>
                                <w:color w:val="1F497D" w:themeColor="text2"/>
                                <w:sz w:val="20"/>
                                <w:szCs w:val="20"/>
                              </w:rPr>
                              <w:t>MSY</w:t>
                            </w:r>
                            <w:r w:rsidRPr="00E03046">
                              <w:rPr>
                                <w:rFonts w:ascii="Arial" w:eastAsiaTheme="minorHAnsi" w:hAnsi="Arial" w:cs="Arial"/>
                                <w:color w:val="1F497D" w:themeColor="text2"/>
                                <w:sz w:val="20"/>
                                <w:szCs w:val="20"/>
                              </w:rPr>
                              <w:t xml:space="preserve"> for mutton snapper in the South Atlantic equals the yield produced by F</w:t>
                            </w:r>
                            <w:r w:rsidRPr="00E03046">
                              <w:rPr>
                                <w:rFonts w:ascii="Arial" w:eastAsiaTheme="minorHAnsi" w:hAnsi="Arial" w:cs="Arial"/>
                                <w:color w:val="1F497D" w:themeColor="text2"/>
                                <w:sz w:val="20"/>
                                <w:szCs w:val="20"/>
                                <w:vertAlign w:val="subscript"/>
                              </w:rPr>
                              <w:t>MSY</w:t>
                            </w:r>
                            <w:r w:rsidRPr="00E03046">
                              <w:rPr>
                                <w:rFonts w:ascii="Arial" w:eastAsiaTheme="minorHAnsi" w:hAnsi="Arial" w:cs="Arial"/>
                                <w:color w:val="1F497D" w:themeColor="text2"/>
                                <w:sz w:val="20"/>
                                <w:szCs w:val="20"/>
                              </w:rPr>
                              <w:t>.  F</w:t>
                            </w:r>
                            <w:r w:rsidRPr="00E03046">
                              <w:rPr>
                                <w:rFonts w:ascii="Arial" w:eastAsiaTheme="minorHAnsi" w:hAnsi="Arial" w:cs="Arial"/>
                                <w:color w:val="1F497D" w:themeColor="text2"/>
                                <w:sz w:val="20"/>
                                <w:szCs w:val="20"/>
                                <w:vertAlign w:val="subscript"/>
                              </w:rPr>
                              <w:t>30%SPR</w:t>
                            </w:r>
                            <w:r w:rsidRPr="00E03046">
                              <w:rPr>
                                <w:rFonts w:ascii="Arial" w:eastAsiaTheme="minorHAnsi" w:hAnsi="Arial" w:cs="Arial"/>
                                <w:color w:val="1F497D" w:themeColor="text2"/>
                                <w:sz w:val="20"/>
                                <w:szCs w:val="20"/>
                              </w:rPr>
                              <w:t xml:space="preserve"> is used as the F</w:t>
                            </w:r>
                            <w:r w:rsidRPr="00E03046">
                              <w:rPr>
                                <w:rFonts w:ascii="Arial" w:eastAsiaTheme="minorHAnsi" w:hAnsi="Arial" w:cs="Arial"/>
                                <w:color w:val="1F497D" w:themeColor="text2"/>
                                <w:sz w:val="20"/>
                                <w:szCs w:val="20"/>
                                <w:vertAlign w:val="subscript"/>
                              </w:rPr>
                              <w:t>MSY</w:t>
                            </w:r>
                            <w:r w:rsidRPr="00E03046">
                              <w:rPr>
                                <w:rFonts w:ascii="Arial" w:eastAsiaTheme="minorHAnsi" w:hAnsi="Arial" w:cs="Arial"/>
                                <w:color w:val="1F497D" w:themeColor="text2"/>
                                <w:sz w:val="20"/>
                                <w:szCs w:val="20"/>
                              </w:rPr>
                              <w:t xml:space="preserve"> proxy. </w:t>
                            </w:r>
                            <w:r>
                              <w:rPr>
                                <w:rFonts w:ascii="Arial" w:eastAsiaTheme="minorHAnsi" w:hAnsi="Arial" w:cs="Arial"/>
                                <w:color w:val="1F497D" w:themeColor="text2"/>
                                <w:sz w:val="20"/>
                                <w:szCs w:val="20"/>
                              </w:rPr>
                              <w:t xml:space="preserve"> </w:t>
                            </w:r>
                            <w:r w:rsidRPr="00E03046">
                              <w:rPr>
                                <w:rFonts w:ascii="Arial" w:eastAsiaTheme="minorHAnsi" w:hAnsi="Arial" w:cs="Arial"/>
                                <w:color w:val="1F497D" w:themeColor="text2"/>
                                <w:sz w:val="20"/>
                                <w:szCs w:val="20"/>
                              </w:rPr>
                              <w:t>The value is not specified.</w:t>
                            </w:r>
                          </w:p>
                          <w:p w14:paraId="6B332946" w14:textId="77777777" w:rsidR="009108B8" w:rsidRPr="00E03046" w:rsidRDefault="009108B8" w:rsidP="00066222">
                            <w:pPr>
                              <w:rPr>
                                <w:rFonts w:ascii="Arial" w:eastAsiaTheme="minorHAnsi" w:hAnsi="Arial" w:cs="Arial"/>
                                <w:color w:val="1F497D" w:themeColor="text2"/>
                                <w:sz w:val="20"/>
                                <w:szCs w:val="20"/>
                              </w:rPr>
                            </w:pPr>
                          </w:p>
                          <w:p w14:paraId="6BCAB474" w14:textId="4E344738" w:rsidR="009108B8" w:rsidRDefault="009108B8" w:rsidP="00FD2542">
                            <w:pPr>
                              <w:rPr>
                                <w:rFonts w:ascii="Arial" w:eastAsiaTheme="minorHAnsi" w:hAnsi="Arial" w:cs="Arial"/>
                                <w:b/>
                                <w:color w:val="1F497D" w:themeColor="text2"/>
                                <w:sz w:val="20"/>
                                <w:szCs w:val="20"/>
                              </w:rPr>
                            </w:pPr>
                            <w:r w:rsidRPr="00E03046">
                              <w:rPr>
                                <w:rFonts w:ascii="Arial" w:eastAsiaTheme="minorHAnsi" w:hAnsi="Arial" w:cs="Arial"/>
                                <w:b/>
                                <w:color w:val="1F497D" w:themeColor="text2"/>
                                <w:sz w:val="20"/>
                                <w:szCs w:val="20"/>
                              </w:rPr>
                              <w:t xml:space="preserve">2. </w:t>
                            </w:r>
                            <w:r>
                              <w:rPr>
                                <w:rFonts w:ascii="Arial" w:eastAsiaTheme="minorHAnsi" w:hAnsi="Arial" w:cs="Arial"/>
                                <w:b/>
                                <w:color w:val="1F497D" w:themeColor="text2"/>
                                <w:sz w:val="20"/>
                                <w:szCs w:val="20"/>
                              </w:rPr>
                              <w:t>MSY</w:t>
                            </w:r>
                            <w:r w:rsidRPr="00E03046">
                              <w:rPr>
                                <w:rFonts w:ascii="Arial" w:eastAsiaTheme="minorHAnsi" w:hAnsi="Arial" w:cs="Arial"/>
                                <w:b/>
                                <w:color w:val="1F497D" w:themeColor="text2"/>
                                <w:sz w:val="20"/>
                                <w:szCs w:val="20"/>
                              </w:rPr>
                              <w:t xml:space="preserve"> equals the yield produced by F</w:t>
                            </w:r>
                            <w:r w:rsidRPr="00E03046">
                              <w:rPr>
                                <w:rFonts w:ascii="Arial" w:eastAsiaTheme="minorHAnsi" w:hAnsi="Arial" w:cs="Arial"/>
                                <w:b/>
                                <w:color w:val="1F497D" w:themeColor="text2"/>
                                <w:sz w:val="20"/>
                                <w:szCs w:val="20"/>
                                <w:vertAlign w:val="subscript"/>
                              </w:rPr>
                              <w:t>MSY</w:t>
                            </w:r>
                            <w:r w:rsidRPr="00E03046">
                              <w:rPr>
                                <w:rFonts w:ascii="Arial" w:eastAsiaTheme="minorHAnsi" w:hAnsi="Arial" w:cs="Arial"/>
                                <w:b/>
                                <w:color w:val="1F497D" w:themeColor="text2"/>
                                <w:sz w:val="20"/>
                                <w:szCs w:val="20"/>
                              </w:rPr>
                              <w:t xml:space="preserve"> or the F</w:t>
                            </w:r>
                            <w:r w:rsidRPr="00E03046">
                              <w:rPr>
                                <w:rFonts w:ascii="Arial" w:eastAsiaTheme="minorHAnsi" w:hAnsi="Arial" w:cs="Arial"/>
                                <w:b/>
                                <w:color w:val="1F497D" w:themeColor="text2"/>
                                <w:sz w:val="20"/>
                                <w:szCs w:val="20"/>
                                <w:vertAlign w:val="subscript"/>
                              </w:rPr>
                              <w:t>MSY</w:t>
                            </w:r>
                            <w:r w:rsidRPr="00E03046">
                              <w:rPr>
                                <w:rFonts w:ascii="Arial" w:eastAsiaTheme="minorHAnsi" w:hAnsi="Arial" w:cs="Arial"/>
                                <w:b/>
                                <w:color w:val="1F497D" w:themeColor="text2"/>
                                <w:sz w:val="20"/>
                                <w:szCs w:val="20"/>
                              </w:rPr>
                              <w:t xml:space="preserve"> proxy.  MSY and F</w:t>
                            </w:r>
                            <w:r w:rsidRPr="00E03046">
                              <w:rPr>
                                <w:rFonts w:ascii="Arial" w:eastAsiaTheme="minorHAnsi" w:hAnsi="Arial" w:cs="Arial"/>
                                <w:b/>
                                <w:color w:val="1F497D" w:themeColor="text2"/>
                                <w:sz w:val="20"/>
                                <w:szCs w:val="20"/>
                                <w:vertAlign w:val="subscript"/>
                              </w:rPr>
                              <w:t xml:space="preserve">MSY </w:t>
                            </w:r>
                            <w:r w:rsidRPr="00E03046">
                              <w:rPr>
                                <w:rFonts w:ascii="Arial" w:eastAsiaTheme="minorHAnsi" w:hAnsi="Arial" w:cs="Arial"/>
                                <w:b/>
                                <w:color w:val="1F497D" w:themeColor="text2"/>
                                <w:sz w:val="20"/>
                                <w:szCs w:val="20"/>
                              </w:rPr>
                              <w:t>are recommended by the most recent SEDAR/SSC.</w:t>
                            </w:r>
                          </w:p>
                          <w:p w14:paraId="6CBCBDA7" w14:textId="77777777" w:rsidR="009108B8" w:rsidRDefault="009108B8" w:rsidP="00FD2542">
                            <w:pPr>
                              <w:rPr>
                                <w:rFonts w:ascii="Arial" w:eastAsiaTheme="minorHAnsi" w:hAnsi="Arial" w:cs="Arial"/>
                                <w:b/>
                                <w:color w:val="1F497D" w:themeColor="text2"/>
                                <w:sz w:val="20"/>
                                <w:szCs w:val="20"/>
                              </w:rPr>
                            </w:pPr>
                          </w:p>
                          <w:p w14:paraId="1FC4957F" w14:textId="620188E9" w:rsidR="009108B8" w:rsidRPr="00E03046" w:rsidRDefault="009108B8" w:rsidP="00FD2542">
                            <w:pPr>
                              <w:rPr>
                                <w:rFonts w:ascii="Arial" w:hAnsi="Arial" w:cs="Arial"/>
                                <w:color w:val="1F497D" w:themeColor="text2"/>
                                <w:sz w:val="20"/>
                                <w:szCs w:val="20"/>
                              </w:rPr>
                            </w:pPr>
                            <w:r>
                              <w:rPr>
                                <w:rFonts w:ascii="Arial" w:eastAsiaTheme="minorHAnsi" w:hAnsi="Arial" w:cs="Arial"/>
                                <w:color w:val="1F497D" w:themeColor="text2"/>
                                <w:sz w:val="20"/>
                                <w:szCs w:val="20"/>
                              </w:rPr>
                              <w:t xml:space="preserve">* Preferred indicated in bold.  </w:t>
                            </w:r>
                            <w:r w:rsidRPr="00E03046">
                              <w:rPr>
                                <w:rFonts w:ascii="Arial" w:eastAsiaTheme="minorHAnsi" w:hAnsi="Arial" w:cs="Arial"/>
                                <w:color w:val="1F497D" w:themeColor="text2"/>
                                <w:sz w:val="20"/>
                                <w:szCs w:val="20"/>
                              </w:rPr>
                              <w:t>Refer to Chapter 2 for detailed language of alternatives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style="position:absolute;margin-left:234.25pt;margin-top:163.4pt;width:236.1pt;height:184.3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" strokecolor="#548dd4 [1951]">
                <v:shadow on="t" opacity="26214f" mv:blur="50800f" origin="-.5,.5" offset="26941emu,-26941emu"/>
                <v:textbox>
                  <w:txbxContent>
                    <w:p w14:paraId="6C14E747" w14:textId="7EB7D03D" w:rsidR="009108B8" w:rsidRPr="00006826" w:rsidRDefault="009108B8" w:rsidP="003B77CB">
                      <w:pPr>
                        <w:jc w:val="center"/>
                        <w:rPr>
                          <w:rFonts w:ascii="Arial" w:hAnsi="Arial" w:cs="Arial"/>
                          <w:b/>
                          <w:i/>
                          <w:iCs/>
                          <w:color w:val="365F91" w:themeColor="accent1" w:themeShade="BF"/>
                        </w:rPr>
                      </w:pPr>
                      <w:r w:rsidRPr="00006826">
                        <w:rPr>
                          <w:rFonts w:ascii="Arial" w:hAnsi="Arial" w:cs="Arial"/>
                          <w:b/>
                          <w:i/>
                          <w:iCs/>
                          <w:color w:val="365F91" w:themeColor="accent1" w:themeShade="BF"/>
                        </w:rPr>
                        <w:t>Alternatives</w:t>
                      </w:r>
                      <w:r>
                        <w:rPr>
                          <w:rFonts w:ascii="Arial" w:hAnsi="Arial" w:cs="Arial"/>
                          <w:b/>
                          <w:i/>
                          <w:iCs/>
                          <w:color w:val="365F91" w:themeColor="accent1" w:themeShade="BF"/>
                        </w:rPr>
                        <w:t>*</w:t>
                      </w:r>
                    </w:p>
                    <w:p w14:paraId="78F981CE" w14:textId="77777777" w:rsidR="009108B8" w:rsidRPr="003D77AB" w:rsidRDefault="009108B8" w:rsidP="003B77CB">
                      <w:pPr>
                        <w:rPr>
                          <w:rFonts w:ascii="Arial" w:hAnsi="Arial" w:cs="Arial"/>
                          <w:b/>
                          <w:color w:val="365F91" w:themeColor="accent1" w:themeShade="BF"/>
                        </w:rPr>
                      </w:pPr>
                    </w:p>
                    <w:p w14:paraId="16F5B526" w14:textId="164189A5" w:rsidR="009108B8" w:rsidRPr="00E03046" w:rsidRDefault="009108B8" w:rsidP="00066222">
                      <w:pPr>
                        <w:rPr>
                          <w:rFonts w:ascii="Arial" w:eastAsiaTheme="minorHAnsi" w:hAnsi="Arial" w:cs="Arial"/>
                          <w:color w:val="1F497D" w:themeColor="text2"/>
                          <w:sz w:val="20"/>
                          <w:szCs w:val="20"/>
                        </w:rPr>
                      </w:pPr>
                      <w:r w:rsidRPr="00E03046">
                        <w:rPr>
                          <w:rFonts w:ascii="Arial" w:eastAsiaTheme="minorHAnsi" w:hAnsi="Arial" w:cs="Arial"/>
                          <w:color w:val="1F497D" w:themeColor="text2"/>
                          <w:sz w:val="20"/>
                          <w:szCs w:val="20"/>
                        </w:rPr>
                        <w:t>1.  No Action.</w:t>
                      </w:r>
                      <w:r>
                        <w:rPr>
                          <w:rFonts w:ascii="Arial" w:eastAsiaTheme="minorHAnsi" w:hAnsi="Arial" w:cs="Arial"/>
                          <w:color w:val="1F497D" w:themeColor="text2"/>
                          <w:sz w:val="20"/>
                          <w:szCs w:val="20"/>
                        </w:rPr>
                        <w:t xml:space="preserve"> </w:t>
                      </w:r>
                      <w:r w:rsidRPr="00E03046">
                        <w:rPr>
                          <w:rFonts w:ascii="Arial" w:eastAsiaTheme="minorHAnsi" w:hAnsi="Arial" w:cs="Arial"/>
                          <w:color w:val="1F497D" w:themeColor="text2"/>
                          <w:sz w:val="20"/>
                          <w:szCs w:val="20"/>
                        </w:rPr>
                        <w:t xml:space="preserve"> </w:t>
                      </w:r>
                      <w:r>
                        <w:rPr>
                          <w:rFonts w:ascii="Arial" w:eastAsiaTheme="minorHAnsi" w:hAnsi="Arial" w:cs="Arial"/>
                          <w:color w:val="1F497D" w:themeColor="text2"/>
                          <w:sz w:val="20"/>
                          <w:szCs w:val="20"/>
                        </w:rPr>
                        <w:t>MSY</w:t>
                      </w:r>
                      <w:r w:rsidRPr="00E03046">
                        <w:rPr>
                          <w:rFonts w:ascii="Arial" w:eastAsiaTheme="minorHAnsi" w:hAnsi="Arial" w:cs="Arial"/>
                          <w:color w:val="1F497D" w:themeColor="text2"/>
                          <w:sz w:val="20"/>
                          <w:szCs w:val="20"/>
                        </w:rPr>
                        <w:t xml:space="preserve"> for mutton snapper in the South Atlantic equals the yield produced by F</w:t>
                      </w:r>
                      <w:r w:rsidRPr="00E03046">
                        <w:rPr>
                          <w:rFonts w:ascii="Arial" w:eastAsiaTheme="minorHAnsi" w:hAnsi="Arial" w:cs="Arial"/>
                          <w:color w:val="1F497D" w:themeColor="text2"/>
                          <w:sz w:val="20"/>
                          <w:szCs w:val="20"/>
                          <w:vertAlign w:val="subscript"/>
                        </w:rPr>
                        <w:t>MSY</w:t>
                      </w:r>
                      <w:r w:rsidRPr="00E03046">
                        <w:rPr>
                          <w:rFonts w:ascii="Arial" w:eastAsiaTheme="minorHAnsi" w:hAnsi="Arial" w:cs="Arial"/>
                          <w:color w:val="1F497D" w:themeColor="text2"/>
                          <w:sz w:val="20"/>
                          <w:szCs w:val="20"/>
                        </w:rPr>
                        <w:t>.  F</w:t>
                      </w:r>
                      <w:r w:rsidRPr="00E03046">
                        <w:rPr>
                          <w:rFonts w:ascii="Arial" w:eastAsiaTheme="minorHAnsi" w:hAnsi="Arial" w:cs="Arial"/>
                          <w:color w:val="1F497D" w:themeColor="text2"/>
                          <w:sz w:val="20"/>
                          <w:szCs w:val="20"/>
                          <w:vertAlign w:val="subscript"/>
                        </w:rPr>
                        <w:t>30%SPR</w:t>
                      </w:r>
                      <w:r w:rsidRPr="00E03046">
                        <w:rPr>
                          <w:rFonts w:ascii="Arial" w:eastAsiaTheme="minorHAnsi" w:hAnsi="Arial" w:cs="Arial"/>
                          <w:color w:val="1F497D" w:themeColor="text2"/>
                          <w:sz w:val="20"/>
                          <w:szCs w:val="20"/>
                        </w:rPr>
                        <w:t xml:space="preserve"> is used as the F</w:t>
                      </w:r>
                      <w:r w:rsidRPr="00E03046">
                        <w:rPr>
                          <w:rFonts w:ascii="Arial" w:eastAsiaTheme="minorHAnsi" w:hAnsi="Arial" w:cs="Arial"/>
                          <w:color w:val="1F497D" w:themeColor="text2"/>
                          <w:sz w:val="20"/>
                          <w:szCs w:val="20"/>
                          <w:vertAlign w:val="subscript"/>
                        </w:rPr>
                        <w:t>MSY</w:t>
                      </w:r>
                      <w:r w:rsidRPr="00E03046">
                        <w:rPr>
                          <w:rFonts w:ascii="Arial" w:eastAsiaTheme="minorHAnsi" w:hAnsi="Arial" w:cs="Arial"/>
                          <w:color w:val="1F497D" w:themeColor="text2"/>
                          <w:sz w:val="20"/>
                          <w:szCs w:val="20"/>
                        </w:rPr>
                        <w:t xml:space="preserve"> proxy. </w:t>
                      </w:r>
                      <w:r>
                        <w:rPr>
                          <w:rFonts w:ascii="Arial" w:eastAsiaTheme="minorHAnsi" w:hAnsi="Arial" w:cs="Arial"/>
                          <w:color w:val="1F497D" w:themeColor="text2"/>
                          <w:sz w:val="20"/>
                          <w:szCs w:val="20"/>
                        </w:rPr>
                        <w:t xml:space="preserve"> </w:t>
                      </w:r>
                      <w:r w:rsidRPr="00E03046">
                        <w:rPr>
                          <w:rFonts w:ascii="Arial" w:eastAsiaTheme="minorHAnsi" w:hAnsi="Arial" w:cs="Arial"/>
                          <w:color w:val="1F497D" w:themeColor="text2"/>
                          <w:sz w:val="20"/>
                          <w:szCs w:val="20"/>
                        </w:rPr>
                        <w:t>The value is not specified.</w:t>
                      </w:r>
                    </w:p>
                    <w:p w14:paraId="6B332946" w14:textId="77777777" w:rsidR="009108B8" w:rsidRPr="00E03046" w:rsidRDefault="009108B8" w:rsidP="00066222">
                      <w:pPr>
                        <w:rPr>
                          <w:rFonts w:ascii="Arial" w:eastAsiaTheme="minorHAnsi" w:hAnsi="Arial" w:cs="Arial"/>
                          <w:color w:val="1F497D" w:themeColor="text2"/>
                          <w:sz w:val="20"/>
                          <w:szCs w:val="20"/>
                        </w:rPr>
                      </w:pPr>
                    </w:p>
                    <w:p w14:paraId="6BCAB474" w14:textId="4E344738" w:rsidR="009108B8" w:rsidRDefault="009108B8" w:rsidP="00FD2542">
                      <w:pPr>
                        <w:rPr>
                          <w:rFonts w:ascii="Arial" w:eastAsiaTheme="minorHAnsi" w:hAnsi="Arial" w:cs="Arial"/>
                          <w:b/>
                          <w:color w:val="1F497D" w:themeColor="text2"/>
                          <w:sz w:val="20"/>
                          <w:szCs w:val="20"/>
                        </w:rPr>
                      </w:pPr>
                      <w:r w:rsidRPr="00E03046">
                        <w:rPr>
                          <w:rFonts w:ascii="Arial" w:eastAsiaTheme="minorHAnsi" w:hAnsi="Arial" w:cs="Arial"/>
                          <w:b/>
                          <w:color w:val="1F497D" w:themeColor="text2"/>
                          <w:sz w:val="20"/>
                          <w:szCs w:val="20"/>
                        </w:rPr>
                        <w:t xml:space="preserve">2. </w:t>
                      </w:r>
                      <w:r>
                        <w:rPr>
                          <w:rFonts w:ascii="Arial" w:eastAsiaTheme="minorHAnsi" w:hAnsi="Arial" w:cs="Arial"/>
                          <w:b/>
                          <w:color w:val="1F497D" w:themeColor="text2"/>
                          <w:sz w:val="20"/>
                          <w:szCs w:val="20"/>
                        </w:rPr>
                        <w:t>MSY</w:t>
                      </w:r>
                      <w:r w:rsidRPr="00E03046">
                        <w:rPr>
                          <w:rFonts w:ascii="Arial" w:eastAsiaTheme="minorHAnsi" w:hAnsi="Arial" w:cs="Arial"/>
                          <w:b/>
                          <w:color w:val="1F497D" w:themeColor="text2"/>
                          <w:sz w:val="20"/>
                          <w:szCs w:val="20"/>
                        </w:rPr>
                        <w:t xml:space="preserve"> equals the yield produced by F</w:t>
                      </w:r>
                      <w:r w:rsidRPr="00E03046">
                        <w:rPr>
                          <w:rFonts w:ascii="Arial" w:eastAsiaTheme="minorHAnsi" w:hAnsi="Arial" w:cs="Arial"/>
                          <w:b/>
                          <w:color w:val="1F497D" w:themeColor="text2"/>
                          <w:sz w:val="20"/>
                          <w:szCs w:val="20"/>
                          <w:vertAlign w:val="subscript"/>
                        </w:rPr>
                        <w:t>MSY</w:t>
                      </w:r>
                      <w:r w:rsidRPr="00E03046">
                        <w:rPr>
                          <w:rFonts w:ascii="Arial" w:eastAsiaTheme="minorHAnsi" w:hAnsi="Arial" w:cs="Arial"/>
                          <w:b/>
                          <w:color w:val="1F497D" w:themeColor="text2"/>
                          <w:sz w:val="20"/>
                          <w:szCs w:val="20"/>
                        </w:rPr>
                        <w:t xml:space="preserve"> or the F</w:t>
                      </w:r>
                      <w:r w:rsidRPr="00E03046">
                        <w:rPr>
                          <w:rFonts w:ascii="Arial" w:eastAsiaTheme="minorHAnsi" w:hAnsi="Arial" w:cs="Arial"/>
                          <w:b/>
                          <w:color w:val="1F497D" w:themeColor="text2"/>
                          <w:sz w:val="20"/>
                          <w:szCs w:val="20"/>
                          <w:vertAlign w:val="subscript"/>
                        </w:rPr>
                        <w:t>MSY</w:t>
                      </w:r>
                      <w:r w:rsidRPr="00E03046">
                        <w:rPr>
                          <w:rFonts w:ascii="Arial" w:eastAsiaTheme="minorHAnsi" w:hAnsi="Arial" w:cs="Arial"/>
                          <w:b/>
                          <w:color w:val="1F497D" w:themeColor="text2"/>
                          <w:sz w:val="20"/>
                          <w:szCs w:val="20"/>
                        </w:rPr>
                        <w:t xml:space="preserve"> proxy.  MSY and F</w:t>
                      </w:r>
                      <w:r w:rsidRPr="00E03046">
                        <w:rPr>
                          <w:rFonts w:ascii="Arial" w:eastAsiaTheme="minorHAnsi" w:hAnsi="Arial" w:cs="Arial"/>
                          <w:b/>
                          <w:color w:val="1F497D" w:themeColor="text2"/>
                          <w:sz w:val="20"/>
                          <w:szCs w:val="20"/>
                          <w:vertAlign w:val="subscript"/>
                        </w:rPr>
                        <w:t xml:space="preserve">MSY </w:t>
                      </w:r>
                      <w:r w:rsidRPr="00E03046">
                        <w:rPr>
                          <w:rFonts w:ascii="Arial" w:eastAsiaTheme="minorHAnsi" w:hAnsi="Arial" w:cs="Arial"/>
                          <w:b/>
                          <w:color w:val="1F497D" w:themeColor="text2"/>
                          <w:sz w:val="20"/>
                          <w:szCs w:val="20"/>
                        </w:rPr>
                        <w:t>are recommended by the most recent SEDAR/SSC.</w:t>
                      </w:r>
                    </w:p>
                    <w:p w14:paraId="6CBCBDA7" w14:textId="77777777" w:rsidR="009108B8" w:rsidRDefault="009108B8" w:rsidP="00FD2542">
                      <w:pPr>
                        <w:rPr>
                          <w:rFonts w:ascii="Arial" w:eastAsiaTheme="minorHAnsi" w:hAnsi="Arial" w:cs="Arial"/>
                          <w:b/>
                          <w:color w:val="1F497D" w:themeColor="text2"/>
                          <w:sz w:val="20"/>
                          <w:szCs w:val="20"/>
                        </w:rPr>
                      </w:pPr>
                    </w:p>
                    <w:p w14:paraId="1FC4957F" w14:textId="620188E9" w:rsidR="009108B8" w:rsidRPr="00E03046" w:rsidRDefault="009108B8" w:rsidP="00FD2542">
                      <w:pPr>
                        <w:rPr>
                          <w:rFonts w:ascii="Arial" w:hAnsi="Arial" w:cs="Arial"/>
                          <w:color w:val="1F497D" w:themeColor="text2"/>
                          <w:sz w:val="20"/>
                          <w:szCs w:val="20"/>
                        </w:rPr>
                      </w:pPr>
                      <w:r>
                        <w:rPr>
                          <w:rFonts w:ascii="Arial" w:eastAsiaTheme="minorHAnsi" w:hAnsi="Arial" w:cs="Arial"/>
                          <w:color w:val="1F497D" w:themeColor="text2"/>
                          <w:sz w:val="20"/>
                          <w:szCs w:val="20"/>
                        </w:rPr>
                        <w:t xml:space="preserve">* Preferred indicated in bold.  </w:t>
                      </w:r>
                      <w:r w:rsidRPr="00E03046">
                        <w:rPr>
                          <w:rFonts w:ascii="Arial" w:eastAsiaTheme="minorHAnsi" w:hAnsi="Arial" w:cs="Arial"/>
                          <w:color w:val="1F497D" w:themeColor="text2"/>
                          <w:sz w:val="20"/>
                          <w:szCs w:val="20"/>
                        </w:rPr>
                        <w:t>Refer to Chapter 2 for detailed language of alternatives</w:t>
                      </w:r>
                    </w:p>
                  </w:txbxContent>
                </v:textbox>
                <w10:wrap type="square" anchorx="margin" anchory="margin"/>
              </v:shape>
            </w:pict>
          </mc:Fallback>
        </mc:AlternateContent>
      </w:r>
    </w:p>
    <w:p w14:paraId="10E4A956" w14:textId="77777777" w:rsidR="005B5A20" w:rsidRDefault="00F120D4" w:rsidP="00D71AB1">
      <w:pPr>
        <w:pStyle w:val="Heading3"/>
        <w:rPr>
          <w:szCs w:val="24"/>
          <w:highlight w:val="yellow"/>
        </w:rPr>
      </w:pPr>
      <w:bookmarkStart w:id="215" w:name="_Toc361410409"/>
      <w:bookmarkStart w:id="216" w:name="_Toc339811730"/>
      <w:r w:rsidRPr="007143C6">
        <w:rPr>
          <w:szCs w:val="24"/>
        </w:rPr>
        <w:t>4.1</w:t>
      </w:r>
      <w:r w:rsidR="00532ABB" w:rsidRPr="007143C6">
        <w:rPr>
          <w:szCs w:val="24"/>
        </w:rPr>
        <w:t>.1</w:t>
      </w:r>
      <w:r w:rsidR="00532ABB" w:rsidRPr="007143C6">
        <w:rPr>
          <w:szCs w:val="24"/>
        </w:rPr>
        <w:tab/>
        <w:t>Biological Effects</w:t>
      </w:r>
      <w:bookmarkEnd w:id="215"/>
      <w:bookmarkEnd w:id="216"/>
      <w:r w:rsidR="00532ABB" w:rsidRPr="005B5A20">
        <w:rPr>
          <w:szCs w:val="24"/>
          <w:highlight w:val="yellow"/>
        </w:rPr>
        <w:t xml:space="preserve"> </w:t>
      </w:r>
    </w:p>
    <w:p w14:paraId="75740747" w14:textId="0CB28415" w:rsidR="001B1019" w:rsidRDefault="002C2A86" w:rsidP="00006826">
      <w:pPr>
        <w:ind w:firstLine="360"/>
      </w:pPr>
      <w:r>
        <w:t xml:space="preserve">The maximum sustainable yield (MSY) is a reference point used by managers to assess fishery performance over the long term.  Defining </w:t>
      </w:r>
      <w:r w:rsidRPr="003D48A6">
        <w:t xml:space="preserve">MSY for </w:t>
      </w:r>
      <w:r w:rsidR="00C11712">
        <w:t xml:space="preserve">mutton snapper </w:t>
      </w:r>
      <w:r>
        <w:t xml:space="preserve">under </w:t>
      </w:r>
      <w:r w:rsidRPr="00524458">
        <w:rPr>
          <w:b/>
        </w:rPr>
        <w:t>Preferred Alternative 2</w:t>
      </w:r>
      <w:r>
        <w:t xml:space="preserve"> would</w:t>
      </w:r>
      <w:r w:rsidRPr="003D48A6">
        <w:t xml:space="preserve"> not alter the current harvest or use of the </w:t>
      </w:r>
      <w:r w:rsidR="001B1019">
        <w:t xml:space="preserve">mutton snapper </w:t>
      </w:r>
      <w:r w:rsidRPr="003D48A6">
        <w:t xml:space="preserve">resource.  Specification of </w:t>
      </w:r>
      <w:r>
        <w:t>MSY</w:t>
      </w:r>
      <w:r w:rsidRPr="003D48A6">
        <w:t xml:space="preserve"> merely establishes a benchmark </w:t>
      </w:r>
      <w:r>
        <w:t>for</w:t>
      </w:r>
      <w:r w:rsidRPr="003D48A6">
        <w:t xml:space="preserve"> resource evaluation </w:t>
      </w:r>
      <w:r>
        <w:t xml:space="preserve">on </w:t>
      </w:r>
      <w:r w:rsidRPr="003D48A6">
        <w:t>which additional management actions would be based</w:t>
      </w:r>
      <w:r>
        <w:t xml:space="preserve">, if </w:t>
      </w:r>
      <w:r w:rsidRPr="003D48A6">
        <w:t xml:space="preserve">necessary.  </w:t>
      </w:r>
      <w:r w:rsidRPr="00C309B9">
        <w:t xml:space="preserve">MSY in </w:t>
      </w:r>
      <w:r w:rsidRPr="00C309B9">
        <w:rPr>
          <w:b/>
          <w:bCs/>
        </w:rPr>
        <w:t>Alternative 1</w:t>
      </w:r>
      <w:r w:rsidRPr="00C309B9">
        <w:t xml:space="preserve"> </w:t>
      </w:r>
      <w:r w:rsidRPr="00C309B9">
        <w:rPr>
          <w:b/>
        </w:rPr>
        <w:t>(No Action)</w:t>
      </w:r>
      <w:r w:rsidRPr="00C309B9">
        <w:t xml:space="preserve"> is defined as the yield produced by F</w:t>
      </w:r>
      <w:r w:rsidRPr="00C309B9">
        <w:rPr>
          <w:vertAlign w:val="subscript"/>
        </w:rPr>
        <w:t xml:space="preserve">MSY </w:t>
      </w:r>
      <w:r w:rsidRPr="00C309B9">
        <w:t>where</w:t>
      </w:r>
      <w:r w:rsidRPr="00C309B9">
        <w:rPr>
          <w:vertAlign w:val="subscript"/>
        </w:rPr>
        <w:t xml:space="preserve"> </w:t>
      </w:r>
      <w:r w:rsidRPr="00C309B9">
        <w:t>F</w:t>
      </w:r>
      <w:r w:rsidRPr="00C309B9">
        <w:rPr>
          <w:vertAlign w:val="subscript"/>
        </w:rPr>
        <w:t>30%SPR</w:t>
      </w:r>
      <w:r w:rsidRPr="00C309B9">
        <w:t xml:space="preserve"> is used as </w:t>
      </w:r>
      <w:r>
        <w:t xml:space="preserve">a </w:t>
      </w:r>
      <w:r w:rsidR="001B1019">
        <w:t xml:space="preserve">substitute, or </w:t>
      </w:r>
      <w:r>
        <w:t>proxy</w:t>
      </w:r>
      <w:r w:rsidR="001B1019">
        <w:t>,</w:t>
      </w:r>
      <w:r>
        <w:t xml:space="preserve"> for </w:t>
      </w:r>
      <w:r w:rsidRPr="00C309B9">
        <w:t>F</w:t>
      </w:r>
      <w:r w:rsidRPr="00C309B9">
        <w:rPr>
          <w:vertAlign w:val="subscript"/>
        </w:rPr>
        <w:t>MSY</w:t>
      </w:r>
      <w:r w:rsidRPr="00C309B9">
        <w:t xml:space="preserve"> and represents the overfishing level defined in Amendment 11</w:t>
      </w:r>
      <w:r w:rsidR="007878B2">
        <w:t xml:space="preserve"> </w:t>
      </w:r>
      <w:r>
        <w:t>to the Snapper Grouper FMP (</w:t>
      </w:r>
      <w:r w:rsidRPr="00C309B9">
        <w:t>SAFMC 1998</w:t>
      </w:r>
      <w:r w:rsidR="001B1019">
        <w:t>b) for the</w:t>
      </w:r>
      <w:r>
        <w:t xml:space="preserve"> </w:t>
      </w:r>
      <w:r w:rsidR="001B1019">
        <w:t>mutton snapper stock in the South Atlantic and Gulf of Mexico</w:t>
      </w:r>
      <w:r>
        <w:t xml:space="preserve">. </w:t>
      </w:r>
    </w:p>
    <w:p w14:paraId="3E1DF08E" w14:textId="7F482686" w:rsidR="001B1019" w:rsidRDefault="001B1019" w:rsidP="00006826">
      <w:pPr>
        <w:ind w:firstLine="360"/>
      </w:pPr>
      <w:r>
        <w:t xml:space="preserve">  </w:t>
      </w:r>
    </w:p>
    <w:p w14:paraId="2F40EFE1" w14:textId="537227A3" w:rsidR="00D6582B" w:rsidRDefault="001B1019" w:rsidP="00006826">
      <w:pPr>
        <w:ind w:firstLine="360"/>
      </w:pPr>
      <w:r>
        <w:t xml:space="preserve">Under </w:t>
      </w:r>
      <w:r w:rsidRPr="00C309B9">
        <w:rPr>
          <w:b/>
        </w:rPr>
        <w:t>Alternative 1 (No Action)</w:t>
      </w:r>
      <w:r w:rsidRPr="00C309B9">
        <w:t xml:space="preserve">, a </w:t>
      </w:r>
      <w:r>
        <w:t>yield (</w:t>
      </w:r>
      <w:r w:rsidRPr="00C309B9">
        <w:t>poundage</w:t>
      </w:r>
      <w:r>
        <w:t>)</w:t>
      </w:r>
      <w:r w:rsidRPr="00C309B9">
        <w:t xml:space="preserve"> for MSY is not specified since one was not specified in Amendment 11</w:t>
      </w:r>
      <w:r w:rsidR="00941BCC">
        <w:t xml:space="preserve"> ( SAFMC 1998)</w:t>
      </w:r>
      <w:r w:rsidRPr="00C309B9">
        <w:t xml:space="preserve">.  </w:t>
      </w:r>
      <w:r w:rsidRPr="00C309B9">
        <w:rPr>
          <w:b/>
          <w:bCs/>
        </w:rPr>
        <w:t xml:space="preserve">Alternative 2 (Preferred) </w:t>
      </w:r>
      <w:r w:rsidRPr="00C309B9">
        <w:t xml:space="preserve">would </w:t>
      </w:r>
      <w:r>
        <w:t>allow for</w:t>
      </w:r>
      <w:r w:rsidRPr="00E86BF7">
        <w:t xml:space="preserve"> periodic adjustments of F</w:t>
      </w:r>
      <w:r w:rsidRPr="00E86BF7">
        <w:rPr>
          <w:vertAlign w:val="subscript"/>
        </w:rPr>
        <w:t>MSY</w:t>
      </w:r>
      <w:r w:rsidRPr="00E86BF7">
        <w:t xml:space="preserve"> and MSY values based on </w:t>
      </w:r>
      <w:r>
        <w:t xml:space="preserve">estimates from </w:t>
      </w:r>
      <w:r w:rsidRPr="00E86BF7">
        <w:t xml:space="preserve">new assessments without the need for a plan amendment.  </w:t>
      </w:r>
    </w:p>
    <w:p w14:paraId="253206F4" w14:textId="77777777" w:rsidR="001B1019" w:rsidRDefault="001B1019" w:rsidP="00006826">
      <w:pPr>
        <w:ind w:firstLine="360"/>
      </w:pPr>
    </w:p>
    <w:p w14:paraId="6CF10A75" w14:textId="74EF6884" w:rsidR="001B1019" w:rsidRDefault="001B1019" w:rsidP="001B1019">
      <w:pPr>
        <w:ind w:firstLine="360"/>
      </w:pPr>
      <w:r>
        <w:t xml:space="preserve">As neither alternative under this action would have </w:t>
      </w:r>
      <w:r w:rsidRPr="003D48A6">
        <w:t>direct effe</w:t>
      </w:r>
      <w:r>
        <w:t xml:space="preserve">cts on resource harvest or use, biological effects would be neutral.  However, </w:t>
      </w:r>
      <w:r w:rsidRPr="003D48A6">
        <w:rPr>
          <w:b/>
          <w:bCs/>
        </w:rPr>
        <w:t>Alternative 2 (Preferred)</w:t>
      </w:r>
      <w:r w:rsidRPr="003D48A6">
        <w:t xml:space="preserve">, which is recommended in the most recent SEDAR and by the </w:t>
      </w:r>
      <w:r w:rsidR="00AB2619">
        <w:t>South Atlantic Fishery Management Council’s (South Atlantic Council) Scientific and Statistical Committee (</w:t>
      </w:r>
      <w:r w:rsidRPr="003D48A6">
        <w:t>SSC</w:t>
      </w:r>
      <w:r w:rsidR="00AB2619">
        <w:t>)</w:t>
      </w:r>
      <w:r w:rsidRPr="003D48A6">
        <w:t>, has a better scientific basis</w:t>
      </w:r>
      <w:r>
        <w:t xml:space="preserve"> and thus </w:t>
      </w:r>
      <w:r w:rsidRPr="003D48A6">
        <w:t xml:space="preserve">provides a more solid ground for management actions that have economic </w:t>
      </w:r>
      <w:r>
        <w:t xml:space="preserve">and social </w:t>
      </w:r>
      <w:r w:rsidRPr="003D48A6">
        <w:t>implications.</w:t>
      </w:r>
      <w:r>
        <w:t xml:space="preserve">  Bycatch and discards would not increase or decrease as a result of this action.  For more information, see </w:t>
      </w:r>
      <w:r w:rsidRPr="004E52FD">
        <w:rPr>
          <w:b/>
        </w:rPr>
        <w:t>Appendix D</w:t>
      </w:r>
      <w:r>
        <w:t xml:space="preserve"> (</w:t>
      </w:r>
      <w:r w:rsidRPr="004E52FD">
        <w:t>BPA)</w:t>
      </w:r>
      <w:r>
        <w:t>.</w:t>
      </w:r>
    </w:p>
    <w:p w14:paraId="762B2BC1" w14:textId="77777777" w:rsidR="001B1019" w:rsidRDefault="001B1019" w:rsidP="001B1019"/>
    <w:p w14:paraId="713A71B0" w14:textId="7970AD5E" w:rsidR="001B1019" w:rsidRPr="00FA28B6" w:rsidRDefault="001B1019" w:rsidP="001B1019">
      <w:pPr>
        <w:ind w:firstLine="360"/>
      </w:pPr>
      <w:r w:rsidRPr="004156D7">
        <w:t>Th</w:t>
      </w:r>
      <w:r w:rsidR="0008265C">
        <w:t xml:space="preserve">e alternatives and sub-alternatives under this </w:t>
      </w:r>
      <w:r w:rsidRPr="004156D7">
        <w:t>action would not significantly modify the way in which the snapper grouper fishery is prosecuted in terms o</w:t>
      </w:r>
      <w:r>
        <w:t>f gear types used</w:t>
      </w:r>
      <w:r w:rsidRPr="004156D7">
        <w:t xml:space="preserve">.  Therefore, </w:t>
      </w:r>
      <w:r w:rsidRPr="004156D7">
        <w:lastRenderedPageBreak/>
        <w:t xml:space="preserve">there are no </w:t>
      </w:r>
      <w:r w:rsidR="00495370">
        <w:t xml:space="preserve">additional </w:t>
      </w:r>
      <w:r w:rsidRPr="004156D7">
        <w:t xml:space="preserve">impacts on </w:t>
      </w:r>
      <w:r w:rsidR="00F460AC">
        <w:t>Endangered Species Act (</w:t>
      </w:r>
      <w:r w:rsidRPr="004156D7">
        <w:t>ESA</w:t>
      </w:r>
      <w:r w:rsidR="00F460AC">
        <w:t>)</w:t>
      </w:r>
      <w:r w:rsidRPr="004156D7">
        <w:t xml:space="preserve">-listed species or designated critical habitats anticipated as a result of this action (see </w:t>
      </w:r>
      <w:r w:rsidRPr="004156D7">
        <w:rPr>
          <w:b/>
        </w:rPr>
        <w:t>Section 3.2.4</w:t>
      </w:r>
      <w:r w:rsidRPr="004156D7">
        <w:t xml:space="preserve"> for a detailed description of ESA-listed species and critical habitat in the action area).  Furthermore, no </w:t>
      </w:r>
      <w:r w:rsidR="00495370">
        <w:t xml:space="preserve">additional </w:t>
      </w:r>
      <w:r w:rsidRPr="004156D7">
        <w:t xml:space="preserve">impacts on </w:t>
      </w:r>
      <w:r w:rsidR="00F460AC">
        <w:t>essential fish habitat (</w:t>
      </w:r>
      <w:r w:rsidRPr="004156D7">
        <w:t>EFH</w:t>
      </w:r>
      <w:r w:rsidR="00F460AC">
        <w:t>)</w:t>
      </w:r>
      <w:r w:rsidRPr="004156D7">
        <w:t xml:space="preserve"> or EFH-</w:t>
      </w:r>
      <w:r w:rsidR="00F460AC">
        <w:t>habitat of particula</w:t>
      </w:r>
      <w:r w:rsidR="00897AFB">
        <w:t>r</w:t>
      </w:r>
      <w:r w:rsidR="00F460AC">
        <w:t xml:space="preserve"> concern (</w:t>
      </w:r>
      <w:r>
        <w:t>HAPC</w:t>
      </w:r>
      <w:r w:rsidR="00F460AC">
        <w:t>)</w:t>
      </w:r>
      <w:r w:rsidRPr="004156D7">
        <w:t xml:space="preserve"> are expected to result from any of the alternatives considered for this action (see </w:t>
      </w:r>
      <w:r w:rsidRPr="004156D7">
        <w:rPr>
          <w:b/>
        </w:rPr>
        <w:t>Section 3.1</w:t>
      </w:r>
      <w:r w:rsidRPr="004156D7">
        <w:t xml:space="preserve"> for a detailed description of EFH in the South Atlantic </w:t>
      </w:r>
      <w:r>
        <w:t>r</w:t>
      </w:r>
      <w:r w:rsidRPr="004156D7">
        <w:t>egion).</w:t>
      </w:r>
    </w:p>
    <w:p w14:paraId="230E85B4" w14:textId="632569C5" w:rsidR="001341EC" w:rsidRPr="009C07D8" w:rsidRDefault="001341EC" w:rsidP="00774344">
      <w:pPr>
        <w:rPr>
          <w:color w:val="222222"/>
          <w:shd w:val="clear" w:color="auto" w:fill="FFFFFF"/>
        </w:rPr>
      </w:pPr>
    </w:p>
    <w:p w14:paraId="7EE80810" w14:textId="77777777" w:rsidR="009B36EA" w:rsidRPr="000E65E5" w:rsidRDefault="00F120D4" w:rsidP="00D71AB1">
      <w:pPr>
        <w:pStyle w:val="Heading3"/>
        <w:rPr>
          <w:szCs w:val="24"/>
        </w:rPr>
      </w:pPr>
      <w:bookmarkStart w:id="217" w:name="_Toc361410410"/>
      <w:bookmarkStart w:id="218" w:name="_Toc339811731"/>
      <w:r w:rsidRPr="00C971B4">
        <w:rPr>
          <w:szCs w:val="24"/>
        </w:rPr>
        <w:t>4.1</w:t>
      </w:r>
      <w:r w:rsidR="00532ABB" w:rsidRPr="00C971B4">
        <w:rPr>
          <w:szCs w:val="24"/>
        </w:rPr>
        <w:t>.2</w:t>
      </w:r>
      <w:r w:rsidR="00532ABB" w:rsidRPr="00C971B4">
        <w:rPr>
          <w:szCs w:val="24"/>
        </w:rPr>
        <w:tab/>
        <w:t>Economic Effects</w:t>
      </w:r>
      <w:bookmarkEnd w:id="217"/>
      <w:bookmarkEnd w:id="218"/>
    </w:p>
    <w:p w14:paraId="7043B0AF" w14:textId="7C84198C" w:rsidR="000E438C" w:rsidRPr="00686DAC" w:rsidRDefault="000E438C" w:rsidP="000E438C">
      <w:pPr>
        <w:pStyle w:val="Default"/>
        <w:ind w:firstLine="360"/>
      </w:pPr>
      <w:bookmarkStart w:id="219" w:name="_Toc361410411"/>
      <w:r w:rsidRPr="00686DAC">
        <w:t xml:space="preserve">Defining the MSY for </w:t>
      </w:r>
      <w:r>
        <w:t>mutton snapper</w:t>
      </w:r>
      <w:r w:rsidRPr="00686DAC">
        <w:t xml:space="preserve"> does not alter the current harvest or use of the resource. </w:t>
      </w:r>
      <w:r>
        <w:t xml:space="preserve"> </w:t>
      </w:r>
      <w:r w:rsidRPr="00686DAC">
        <w:t xml:space="preserve">Specification of this measure merely establishes a benchmark for fishery and resource evaluation from which additional management actions for the species would be based, should comparison of the </w:t>
      </w:r>
      <w:r w:rsidR="00F460AC">
        <w:t>species</w:t>
      </w:r>
      <w:r w:rsidR="00F460AC" w:rsidRPr="00686DAC">
        <w:t xml:space="preserve"> </w:t>
      </w:r>
      <w:r w:rsidRPr="00686DAC">
        <w:t xml:space="preserve">and resource with the benchmark indicate that management adjustments are necessary. </w:t>
      </w:r>
      <w:r>
        <w:t xml:space="preserve"> </w:t>
      </w:r>
      <w:r w:rsidRPr="00686DAC">
        <w:t xml:space="preserve">The impacts of these management adjustments </w:t>
      </w:r>
      <w:r>
        <w:t>would</w:t>
      </w:r>
      <w:r w:rsidRPr="00686DAC">
        <w:t xml:space="preserve"> be evaluated at the time they are proposed.</w:t>
      </w:r>
      <w:r>
        <w:t xml:space="preserve"> </w:t>
      </w:r>
      <w:r w:rsidRPr="00686DAC">
        <w:t xml:space="preserve"> As a benchmark, MSY would not limit how, when, where, or with what frequency participants in the </w:t>
      </w:r>
      <w:r w:rsidR="00F460AC">
        <w:t xml:space="preserve">snapper grouper </w:t>
      </w:r>
      <w:r w:rsidRPr="00686DAC">
        <w:t xml:space="preserve">fishery engage in harvesting </w:t>
      </w:r>
      <w:r>
        <w:t>mutton snapper</w:t>
      </w:r>
      <w:r w:rsidRPr="00686DAC">
        <w:t xml:space="preserve">. </w:t>
      </w:r>
      <w:r>
        <w:t xml:space="preserve"> </w:t>
      </w:r>
      <w:r w:rsidRPr="00686DAC">
        <w:t xml:space="preserve">This includes participants who directly utilize the resource (principally commercial vessels, for-hire operations, and recreational anglers), as well as participants associated with peripheral and support industries. </w:t>
      </w:r>
    </w:p>
    <w:p w14:paraId="6FDE1BD7" w14:textId="77777777" w:rsidR="000E438C" w:rsidRPr="00686DAC" w:rsidRDefault="000E438C" w:rsidP="000E438C">
      <w:pPr>
        <w:pStyle w:val="Default"/>
        <w:ind w:firstLine="720"/>
      </w:pPr>
    </w:p>
    <w:p w14:paraId="620238CF" w14:textId="77777777" w:rsidR="00D544ED" w:rsidRPr="00686DAC" w:rsidRDefault="00D544ED" w:rsidP="00D544ED">
      <w:pPr>
        <w:pStyle w:val="Default"/>
        <w:ind w:firstLine="360"/>
      </w:pPr>
      <w:r w:rsidRPr="00686DAC">
        <w:t xml:space="preserve">Since there would be no direct effects on resource harvest or use, </w:t>
      </w:r>
      <w:r w:rsidRPr="001C1474">
        <w:rPr>
          <w:b/>
        </w:rPr>
        <w:t>Alternative 1</w:t>
      </w:r>
      <w:r>
        <w:t xml:space="preserve"> and </w:t>
      </w:r>
      <w:r w:rsidRPr="001C1474">
        <w:rPr>
          <w:b/>
        </w:rPr>
        <w:t xml:space="preserve">Preferred Alternative 2 </w:t>
      </w:r>
      <w:r w:rsidRPr="00686DAC">
        <w:t xml:space="preserve">would </w:t>
      </w:r>
      <w:r>
        <w:t>have</w:t>
      </w:r>
      <w:r w:rsidRPr="00686DAC">
        <w:t xml:space="preserve"> no direct </w:t>
      </w:r>
      <w:r>
        <w:t xml:space="preserve">economic </w:t>
      </w:r>
      <w:r w:rsidRPr="00686DAC">
        <w:t>effects on fishery participants, associated industries or communities.</w:t>
      </w:r>
      <w:r>
        <w:t xml:space="preserve"> </w:t>
      </w:r>
      <w:r w:rsidRPr="00686DAC">
        <w:t xml:space="preserve"> </w:t>
      </w:r>
      <w:r>
        <w:t>Any indirect economic effects are dependent on subsequent regulatory action.</w:t>
      </w:r>
      <w:r w:rsidRPr="00686DAC">
        <w:t xml:space="preserve"> </w:t>
      </w:r>
    </w:p>
    <w:p w14:paraId="0A4A50D1" w14:textId="77777777" w:rsidR="00D544ED" w:rsidRPr="00686DAC" w:rsidRDefault="00D544ED" w:rsidP="00D544ED">
      <w:pPr>
        <w:pStyle w:val="Default"/>
        <w:ind w:firstLine="720"/>
      </w:pPr>
    </w:p>
    <w:p w14:paraId="24864E44" w14:textId="77777777" w:rsidR="00C4648C" w:rsidRDefault="00F120D4" w:rsidP="00D71AB1">
      <w:pPr>
        <w:pStyle w:val="Heading3"/>
        <w:rPr>
          <w:szCs w:val="24"/>
        </w:rPr>
      </w:pPr>
      <w:bookmarkStart w:id="220" w:name="_Toc339811732"/>
      <w:r w:rsidRPr="00C971B4">
        <w:rPr>
          <w:szCs w:val="24"/>
        </w:rPr>
        <w:t>4.1</w:t>
      </w:r>
      <w:r w:rsidR="009B36EA" w:rsidRPr="00C971B4">
        <w:rPr>
          <w:szCs w:val="24"/>
        </w:rPr>
        <w:t>.3</w:t>
      </w:r>
      <w:r w:rsidR="00532ABB" w:rsidRPr="00C971B4">
        <w:rPr>
          <w:szCs w:val="24"/>
        </w:rPr>
        <w:tab/>
        <w:t>Social Effects</w:t>
      </w:r>
      <w:bookmarkEnd w:id="219"/>
      <w:bookmarkEnd w:id="220"/>
      <w:r w:rsidR="00532ABB" w:rsidRPr="00C971B4">
        <w:rPr>
          <w:szCs w:val="24"/>
        </w:rPr>
        <w:t xml:space="preserve"> </w:t>
      </w:r>
    </w:p>
    <w:p w14:paraId="4F88E7E5" w14:textId="7D93AF6C" w:rsidR="007912CD" w:rsidRDefault="007912CD" w:rsidP="007912CD">
      <w:pPr>
        <w:ind w:firstLine="360"/>
      </w:pPr>
      <w:r>
        <w:t>Social effects of management specifications such as MSY for a stock would be associated with both the biological and economic effects of the MSY value.  A MSY level that reflects the best available information (</w:t>
      </w:r>
      <w:r w:rsidRPr="004A7A26">
        <w:rPr>
          <w:b/>
        </w:rPr>
        <w:t xml:space="preserve">Preferred </w:t>
      </w:r>
      <w:r>
        <w:rPr>
          <w:b/>
        </w:rPr>
        <w:t>Alternative 2</w:t>
      </w:r>
      <w:r>
        <w:t>) is expected to contribute to achieving management goals and minimizing</w:t>
      </w:r>
      <w:r w:rsidR="00ED4F0E">
        <w:t xml:space="preserve"> risk of overfishing for mutton</w:t>
      </w:r>
      <w:r>
        <w:t xml:space="preserve"> snapper, resulting in greater expected long-term benefits to the commercial fleet and recreational fishermen who target mutton snapper than under </w:t>
      </w:r>
      <w:r>
        <w:rPr>
          <w:b/>
        </w:rPr>
        <w:t>Alternative 1 (No Action)</w:t>
      </w:r>
      <w:r>
        <w:t>.</w:t>
      </w:r>
    </w:p>
    <w:p w14:paraId="4F754FAF" w14:textId="0893FF42" w:rsidR="00D62EDE" w:rsidRDefault="00D62EDE" w:rsidP="008565BE">
      <w:pPr>
        <w:rPr>
          <w:lang w:bidi="en-US"/>
        </w:rPr>
      </w:pPr>
    </w:p>
    <w:p w14:paraId="627EC344" w14:textId="77777777" w:rsidR="00532ABB" w:rsidRPr="000E65E5" w:rsidRDefault="00F120D4" w:rsidP="00D71AB1">
      <w:pPr>
        <w:pStyle w:val="Heading3"/>
        <w:rPr>
          <w:szCs w:val="24"/>
        </w:rPr>
      </w:pPr>
      <w:bookmarkStart w:id="221" w:name="_Toc361410412"/>
      <w:bookmarkStart w:id="222" w:name="_Toc339811733"/>
      <w:r w:rsidRPr="003C635A">
        <w:rPr>
          <w:szCs w:val="24"/>
        </w:rPr>
        <w:t>4.1</w:t>
      </w:r>
      <w:r w:rsidR="00532ABB" w:rsidRPr="003C635A">
        <w:rPr>
          <w:szCs w:val="24"/>
        </w:rPr>
        <w:t>.4</w:t>
      </w:r>
      <w:r w:rsidR="00532ABB" w:rsidRPr="003C635A">
        <w:rPr>
          <w:szCs w:val="24"/>
        </w:rPr>
        <w:tab/>
        <w:t>Administrative Effects</w:t>
      </w:r>
      <w:bookmarkEnd w:id="221"/>
      <w:bookmarkEnd w:id="222"/>
      <w:r w:rsidR="00532ABB" w:rsidRPr="003C635A">
        <w:rPr>
          <w:szCs w:val="24"/>
        </w:rPr>
        <w:t xml:space="preserve"> </w:t>
      </w:r>
    </w:p>
    <w:p w14:paraId="4FFCB569" w14:textId="4F533069" w:rsidR="00831BEA" w:rsidRPr="00B709D6" w:rsidRDefault="00B709D6" w:rsidP="00613048">
      <w:pPr>
        <w:ind w:firstLine="360"/>
      </w:pPr>
      <w:r w:rsidRPr="00B709D6">
        <w:t xml:space="preserve">The potential administrative effects of these alternatives differ in terms of the implied restrictions required to constrain </w:t>
      </w:r>
      <w:r>
        <w:t xml:space="preserve">the mutton snapper stock to recommended </w:t>
      </w:r>
      <w:r w:rsidRPr="00B709D6">
        <w:t xml:space="preserve">benchmarks.  Defining a MSY proxy establishes a harvest goal for the </w:t>
      </w:r>
      <w:r>
        <w:t>mutton snapper</w:t>
      </w:r>
      <w:r w:rsidRPr="00B709D6">
        <w:t xml:space="preserve"> portion of the snapper grouper fishery, for which management measures would be implemented.  Those management measures would directly impact the administrative environment according to the level of conservativeness associated with the chosen MSY and </w:t>
      </w:r>
      <w:r w:rsidRPr="00787753">
        <w:t xml:space="preserve">subsequent restrictions placed on the fishery to constrain harvest levels.  </w:t>
      </w:r>
      <w:r w:rsidRPr="00B709D6">
        <w:rPr>
          <w:b/>
        </w:rPr>
        <w:t>Alternative</w:t>
      </w:r>
      <w:r w:rsidRPr="00B709D6">
        <w:t xml:space="preserve"> </w:t>
      </w:r>
      <w:r w:rsidRPr="00B709D6">
        <w:rPr>
          <w:b/>
        </w:rPr>
        <w:t>2 (Preferred</w:t>
      </w:r>
      <w:r w:rsidRPr="00B709D6">
        <w:t xml:space="preserve">) differs from </w:t>
      </w:r>
      <w:r w:rsidRPr="00B709D6">
        <w:rPr>
          <w:b/>
        </w:rPr>
        <w:t xml:space="preserve">Alternative 1 (No Action) </w:t>
      </w:r>
      <w:r w:rsidRPr="00B709D6">
        <w:t>in that it would allow for periodic adjustments of F</w:t>
      </w:r>
      <w:r w:rsidRPr="00B709D6">
        <w:rPr>
          <w:vertAlign w:val="subscript"/>
        </w:rPr>
        <w:t>MSY</w:t>
      </w:r>
      <w:r w:rsidRPr="00B709D6">
        <w:t xml:space="preserve"> and MSY values based on </w:t>
      </w:r>
      <w:r w:rsidRPr="00B709D6">
        <w:lastRenderedPageBreak/>
        <w:t xml:space="preserve">estimates from new assessments without the need for a plan amendment.  As such, </w:t>
      </w:r>
      <w:r w:rsidRPr="00B709D6">
        <w:rPr>
          <w:b/>
        </w:rPr>
        <w:t xml:space="preserve">Alternative 2 (Preferred) </w:t>
      </w:r>
      <w:r w:rsidRPr="00B709D6">
        <w:t xml:space="preserve">would reduce the administrative burden from current levels.  No significant changes in administrative effects are expected from </w:t>
      </w:r>
      <w:r w:rsidRPr="00B709D6">
        <w:rPr>
          <w:b/>
        </w:rPr>
        <w:t>Alternative 2 (Preferred)</w:t>
      </w:r>
      <w:r w:rsidRPr="00B709D6">
        <w:t xml:space="preserve"> compared to </w:t>
      </w:r>
      <w:r w:rsidRPr="00B709D6">
        <w:rPr>
          <w:b/>
        </w:rPr>
        <w:t>Alternative 1 (No Action)</w:t>
      </w:r>
      <w:r w:rsidRPr="00B709D6">
        <w:t>.</w:t>
      </w:r>
      <w:r w:rsidR="00301A55" w:rsidRPr="00B709D6">
        <w:t xml:space="preserve">  </w:t>
      </w:r>
    </w:p>
    <w:p w14:paraId="2BEF189E" w14:textId="43F392A1" w:rsidR="00301A55" w:rsidRDefault="00301A55" w:rsidP="00301A55"/>
    <w:p w14:paraId="3415E79D" w14:textId="77777777" w:rsidR="00532ABB" w:rsidRDefault="00532ABB" w:rsidP="00D71AB1">
      <w:r>
        <w:br w:type="page"/>
      </w:r>
    </w:p>
    <w:p w14:paraId="332CBF2C" w14:textId="6420A81A" w:rsidR="000F7FC0" w:rsidRDefault="00CE07F1" w:rsidP="000F7FC0">
      <w:pPr>
        <w:pStyle w:val="Heading2"/>
        <w:rPr>
          <w:rFonts w:ascii="Arial" w:eastAsiaTheme="minorHAnsi" w:hAnsi="Arial" w:cs="Arial"/>
        </w:rPr>
      </w:pPr>
      <w:bookmarkStart w:id="223" w:name="_Toc339811734"/>
      <w:r>
        <w:rPr>
          <w:rFonts w:ascii="Arial" w:eastAsiaTheme="minorHAnsi" w:hAnsi="Arial" w:cs="Arial"/>
        </w:rPr>
        <w:lastRenderedPageBreak/>
        <w:t>4.2</w:t>
      </w:r>
      <w:r>
        <w:rPr>
          <w:rFonts w:ascii="Arial" w:eastAsiaTheme="minorHAnsi" w:hAnsi="Arial" w:cs="Arial"/>
        </w:rPr>
        <w:tab/>
      </w:r>
      <w:r w:rsidR="007239B6" w:rsidRPr="000E374B">
        <w:rPr>
          <w:rFonts w:ascii="Arial" w:eastAsiaTheme="minorHAnsi" w:hAnsi="Arial" w:cs="Arial"/>
        </w:rPr>
        <w:t xml:space="preserve">Action 2.  </w:t>
      </w:r>
      <w:bookmarkStart w:id="224" w:name="_Toc361410414"/>
      <w:r>
        <w:rPr>
          <w:rFonts w:ascii="Arial" w:hAnsi="Arial" w:cs="Arial"/>
        </w:rPr>
        <w:t xml:space="preserve">Specify </w:t>
      </w:r>
      <w:r w:rsidRPr="008565BE">
        <w:rPr>
          <w:rFonts w:ascii="Arial" w:hAnsi="Arial" w:cs="Arial"/>
        </w:rPr>
        <w:t xml:space="preserve">minimum stock size threshold (MSST) for mutton snapper </w:t>
      </w:r>
      <w:r w:rsidR="00774344" w:rsidRPr="008565BE">
        <w:rPr>
          <w:rFonts w:ascii="Arial" w:hAnsi="Arial" w:cs="Arial"/>
        </w:rPr>
        <w:t>in the South Atlantic R</w:t>
      </w:r>
      <w:r w:rsidRPr="008565BE">
        <w:rPr>
          <w:rFonts w:ascii="Arial" w:hAnsi="Arial" w:cs="Arial"/>
        </w:rPr>
        <w:t>egion</w:t>
      </w:r>
      <w:bookmarkEnd w:id="223"/>
    </w:p>
    <w:p w14:paraId="6246A05A" w14:textId="77777777" w:rsidR="00985F97" w:rsidRPr="00985F97" w:rsidRDefault="00985F97" w:rsidP="00985F97">
      <w:pPr>
        <w:rPr>
          <w:rFonts w:eastAsiaTheme="minorHAnsi"/>
        </w:rPr>
      </w:pPr>
    </w:p>
    <w:p w14:paraId="48AF549F" w14:textId="368498B5" w:rsidR="00136AE9" w:rsidRPr="00136AE9" w:rsidRDefault="00FD2542" w:rsidP="003B69A5">
      <w:pPr>
        <w:pStyle w:val="Heading3"/>
      </w:pPr>
      <w:bookmarkStart w:id="225" w:name="_Toc339811735"/>
      <w:r w:rsidRPr="000E374B">
        <w:rPr>
          <w:noProof/>
          <w:color w:val="365F91" w:themeColor="accent1" w:themeShade="BF"/>
        </w:rPr>
        <mc:AlternateContent>
          <mc:Choice Requires="wps">
            <w:drawing>
              <wp:anchor distT="0" distB="0" distL="114300" distR="114300" simplePos="0" relativeHeight="251662848" behindDoc="0" locked="0" layoutInCell="1" allowOverlap="1" wp14:anchorId="34498EFD" wp14:editId="15AE1389">
                <wp:simplePos x="0" y="0"/>
                <wp:positionH relativeFrom="margin">
                  <wp:posOffset>3190240</wp:posOffset>
                </wp:positionH>
                <wp:positionV relativeFrom="margin">
                  <wp:posOffset>718185</wp:posOffset>
                </wp:positionV>
                <wp:extent cx="2731770" cy="2232660"/>
                <wp:effectExtent l="25400" t="101600" r="138430" b="533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2232660"/>
                        </a:xfrm>
                        <a:prstGeom prst="rect">
                          <a:avLst/>
                        </a:prstGeom>
                        <a:solidFill>
                          <a:srgbClr val="FFFFFF"/>
                        </a:solidFill>
                        <a:ln w="9525">
                          <a:solidFill>
                            <a:schemeClr val="tx2">
                              <a:lumMod val="60000"/>
                              <a:lumOff val="40000"/>
                            </a:schemeClr>
                          </a:solidFill>
                          <a:miter lim="800000"/>
                          <a:headEnd/>
                          <a:tailEnd/>
                        </a:ln>
                        <a:effectLst>
                          <a:outerShdw blurRad="50800" dist="38100" dir="18900000" algn="bl" rotWithShape="0">
                            <a:prstClr val="black">
                              <a:alpha val="40000"/>
                            </a:prstClr>
                          </a:outerShdw>
                        </a:effectLst>
                      </wps:spPr>
                      <wps:txbx>
                        <w:txbxContent>
                          <w:p w14:paraId="092E9896" w14:textId="1DD2C274" w:rsidR="009108B8" w:rsidRPr="00E03046" w:rsidRDefault="009108B8" w:rsidP="003B77CB">
                            <w:pPr>
                              <w:jc w:val="center"/>
                              <w:rPr>
                                <w:rFonts w:ascii="Arial" w:hAnsi="Arial" w:cs="Arial"/>
                                <w:b/>
                                <w:i/>
                                <w:iCs/>
                                <w:color w:val="365F91" w:themeColor="accent1" w:themeShade="BF"/>
                              </w:rPr>
                            </w:pPr>
                            <w:r w:rsidRPr="00E03046">
                              <w:rPr>
                                <w:rFonts w:ascii="Arial" w:hAnsi="Arial" w:cs="Arial"/>
                                <w:b/>
                                <w:i/>
                                <w:iCs/>
                                <w:color w:val="365F91" w:themeColor="accent1" w:themeShade="BF"/>
                              </w:rPr>
                              <w:t>Alternatives</w:t>
                            </w:r>
                            <w:r>
                              <w:rPr>
                                <w:rFonts w:ascii="Arial" w:hAnsi="Arial" w:cs="Arial"/>
                                <w:b/>
                                <w:i/>
                                <w:iCs/>
                                <w:color w:val="365F91" w:themeColor="accent1" w:themeShade="BF"/>
                              </w:rPr>
                              <w:t>*</w:t>
                            </w:r>
                          </w:p>
                          <w:p w14:paraId="5BA06A63" w14:textId="77777777" w:rsidR="009108B8" w:rsidRDefault="009108B8" w:rsidP="003B77CB">
                            <w:pPr>
                              <w:jc w:val="center"/>
                              <w:rPr>
                                <w:rFonts w:ascii="Arial" w:hAnsi="Arial" w:cs="Arial"/>
                                <w:b/>
                                <w:i/>
                                <w:iCs/>
                                <w:color w:val="365F91" w:themeColor="accent1" w:themeShade="BF"/>
                                <w:sz w:val="28"/>
                                <w:szCs w:val="28"/>
                              </w:rPr>
                            </w:pPr>
                          </w:p>
                          <w:p w14:paraId="341E4523" w14:textId="096907C4" w:rsidR="009108B8" w:rsidRPr="00E03046" w:rsidRDefault="009108B8" w:rsidP="007239B6">
                            <w:pPr>
                              <w:pStyle w:val="Normal1"/>
                              <w:spacing w:line="240" w:lineRule="auto"/>
                              <w:contextualSpacing/>
                              <w:rPr>
                                <w:color w:val="1F497D" w:themeColor="text2"/>
                                <w:sz w:val="20"/>
                                <w:szCs w:val="20"/>
                              </w:rPr>
                            </w:pPr>
                            <w:r w:rsidRPr="00E03046">
                              <w:rPr>
                                <w:color w:val="1F497D" w:themeColor="text2"/>
                                <w:sz w:val="20"/>
                                <w:szCs w:val="20"/>
                              </w:rPr>
                              <w:t>1 (No Action).</w:t>
                            </w:r>
                            <w:r>
                              <w:rPr>
                                <w:color w:val="1F497D" w:themeColor="text2"/>
                                <w:sz w:val="20"/>
                                <w:szCs w:val="20"/>
                              </w:rPr>
                              <w:t xml:space="preserve"> </w:t>
                            </w:r>
                            <w:r w:rsidRPr="00E03046">
                              <w:rPr>
                                <w:color w:val="1F497D" w:themeColor="text2"/>
                                <w:sz w:val="20"/>
                                <w:szCs w:val="20"/>
                              </w:rPr>
                              <w:t xml:space="preserve"> </w:t>
                            </w:r>
                            <w:r>
                              <w:rPr>
                                <w:color w:val="1F497D" w:themeColor="text2"/>
                                <w:sz w:val="20"/>
                                <w:szCs w:val="20"/>
                              </w:rPr>
                              <w:t>MSST</w:t>
                            </w:r>
                            <w:r w:rsidRPr="00E03046">
                              <w:rPr>
                                <w:color w:val="1F497D" w:themeColor="text2"/>
                                <w:sz w:val="20"/>
                                <w:szCs w:val="20"/>
                              </w:rPr>
                              <w:t xml:space="preserve"> for mutton snapper is MSST = SSB</w:t>
                            </w:r>
                            <w:r w:rsidRPr="00E03046">
                              <w:rPr>
                                <w:color w:val="1F497D" w:themeColor="text2"/>
                                <w:sz w:val="20"/>
                                <w:szCs w:val="20"/>
                                <w:vertAlign w:val="subscript"/>
                              </w:rPr>
                              <w:t>MSY</w:t>
                            </w:r>
                            <w:r w:rsidRPr="00E03046">
                              <w:rPr>
                                <w:color w:val="1F497D" w:themeColor="text2"/>
                                <w:sz w:val="20"/>
                                <w:szCs w:val="20"/>
                              </w:rPr>
                              <w:t xml:space="preserve"> ((1-M) or 0.5, whichever is greater).  The value is not specified.</w:t>
                            </w:r>
                          </w:p>
                          <w:p w14:paraId="084F1C25" w14:textId="77777777" w:rsidR="009108B8" w:rsidRPr="00E03046" w:rsidRDefault="009108B8" w:rsidP="007239B6">
                            <w:pPr>
                              <w:contextualSpacing/>
                              <w:rPr>
                                <w:rFonts w:ascii="Arial" w:eastAsia="Courier New" w:hAnsi="Arial" w:cs="Arial"/>
                                <w:color w:val="1F497D" w:themeColor="text2"/>
                                <w:sz w:val="20"/>
                                <w:szCs w:val="20"/>
                              </w:rPr>
                            </w:pPr>
                          </w:p>
                          <w:p w14:paraId="5DF77568" w14:textId="5E70F785" w:rsidR="009108B8" w:rsidRPr="00E03046" w:rsidRDefault="009108B8" w:rsidP="007239B6">
                            <w:pPr>
                              <w:contextualSpacing/>
                              <w:rPr>
                                <w:rFonts w:ascii="Arial" w:eastAsia="Courier New" w:hAnsi="Arial" w:cs="Arial"/>
                                <w:color w:val="1F497D" w:themeColor="text2"/>
                                <w:sz w:val="20"/>
                                <w:szCs w:val="20"/>
                              </w:rPr>
                            </w:pPr>
                            <w:r w:rsidRPr="00E03046">
                              <w:rPr>
                                <w:rFonts w:ascii="Arial" w:hAnsi="Arial" w:cs="Arial"/>
                                <w:color w:val="1F497D" w:themeColor="text2"/>
                                <w:sz w:val="20"/>
                                <w:szCs w:val="20"/>
                              </w:rPr>
                              <w:t xml:space="preserve">2. </w:t>
                            </w:r>
                            <w:r>
                              <w:rPr>
                                <w:rFonts w:ascii="Arial" w:hAnsi="Arial" w:cs="Arial"/>
                                <w:color w:val="1F497D" w:themeColor="text2"/>
                                <w:sz w:val="20"/>
                                <w:szCs w:val="20"/>
                              </w:rPr>
                              <w:t>MSST</w:t>
                            </w:r>
                            <w:r w:rsidRPr="00E03046">
                              <w:rPr>
                                <w:rFonts w:ascii="Arial" w:hAnsi="Arial" w:cs="Arial"/>
                                <w:color w:val="1F497D" w:themeColor="text2"/>
                                <w:sz w:val="20"/>
                                <w:szCs w:val="20"/>
                              </w:rPr>
                              <w:t xml:space="preserve"> = 50% of SSB</w:t>
                            </w:r>
                            <w:r w:rsidRPr="00E03046">
                              <w:rPr>
                                <w:rFonts w:ascii="Arial" w:hAnsi="Arial" w:cs="Arial"/>
                                <w:color w:val="1F497D" w:themeColor="text2"/>
                                <w:sz w:val="20"/>
                                <w:szCs w:val="20"/>
                                <w:vertAlign w:val="subscript"/>
                              </w:rPr>
                              <w:t>MSY</w:t>
                            </w:r>
                          </w:p>
                          <w:p w14:paraId="795FF8EF" w14:textId="77777777" w:rsidR="009108B8" w:rsidRPr="00E03046" w:rsidRDefault="009108B8" w:rsidP="007239B6">
                            <w:pPr>
                              <w:contextualSpacing/>
                              <w:rPr>
                                <w:rFonts w:ascii="Arial" w:hAnsi="Arial" w:cs="Arial"/>
                                <w:b/>
                                <w:color w:val="1F497D" w:themeColor="text2"/>
                                <w:sz w:val="20"/>
                                <w:szCs w:val="20"/>
                              </w:rPr>
                            </w:pPr>
                          </w:p>
                          <w:p w14:paraId="71DDE713" w14:textId="27B36427" w:rsidR="009108B8" w:rsidRPr="00E03046" w:rsidRDefault="009108B8" w:rsidP="007239B6">
                            <w:pPr>
                              <w:contextualSpacing/>
                              <w:rPr>
                                <w:rFonts w:ascii="Arial" w:eastAsia="Courier New" w:hAnsi="Arial" w:cs="Arial"/>
                                <w:b/>
                                <w:color w:val="1F497D" w:themeColor="text2"/>
                                <w:sz w:val="20"/>
                                <w:szCs w:val="20"/>
                              </w:rPr>
                            </w:pPr>
                            <w:r w:rsidRPr="00E03046">
                              <w:rPr>
                                <w:rFonts w:ascii="Arial" w:hAnsi="Arial" w:cs="Arial"/>
                                <w:b/>
                                <w:color w:val="1F497D" w:themeColor="text2"/>
                                <w:sz w:val="20"/>
                                <w:szCs w:val="20"/>
                              </w:rPr>
                              <w:t xml:space="preserve">3. </w:t>
                            </w:r>
                            <w:r>
                              <w:rPr>
                                <w:rFonts w:ascii="Arial" w:hAnsi="Arial" w:cs="Arial"/>
                                <w:b/>
                                <w:color w:val="1F497D" w:themeColor="text2"/>
                                <w:sz w:val="20"/>
                                <w:szCs w:val="20"/>
                              </w:rPr>
                              <w:t>MSST</w:t>
                            </w:r>
                            <w:r w:rsidRPr="00E03046">
                              <w:rPr>
                                <w:rFonts w:ascii="Arial" w:hAnsi="Arial" w:cs="Arial"/>
                                <w:b/>
                                <w:color w:val="1F497D" w:themeColor="text2"/>
                                <w:sz w:val="20"/>
                                <w:szCs w:val="20"/>
                              </w:rPr>
                              <w:t xml:space="preserve"> = 75% of SSB</w:t>
                            </w:r>
                            <w:r w:rsidRPr="00E03046">
                              <w:rPr>
                                <w:rFonts w:ascii="Arial" w:hAnsi="Arial" w:cs="Arial"/>
                                <w:b/>
                                <w:color w:val="1F497D" w:themeColor="text2"/>
                                <w:sz w:val="20"/>
                                <w:szCs w:val="20"/>
                                <w:vertAlign w:val="subscript"/>
                              </w:rPr>
                              <w:t>MSY</w:t>
                            </w:r>
                          </w:p>
                          <w:p w14:paraId="68F6C6A6" w14:textId="77777777" w:rsidR="009108B8" w:rsidRPr="00E03046" w:rsidRDefault="009108B8" w:rsidP="007239B6">
                            <w:pPr>
                              <w:contextualSpacing/>
                              <w:rPr>
                                <w:rFonts w:ascii="Arial" w:eastAsia="Courier New" w:hAnsi="Arial" w:cs="Arial"/>
                                <w:b/>
                                <w:color w:val="1F497D" w:themeColor="text2"/>
                                <w:sz w:val="20"/>
                                <w:szCs w:val="20"/>
                              </w:rPr>
                            </w:pPr>
                          </w:p>
                          <w:p w14:paraId="159BD4C1" w14:textId="4A2956A1" w:rsidR="009108B8" w:rsidRPr="00E03046" w:rsidRDefault="009108B8">
                            <w:pPr>
                              <w:rPr>
                                <w:rFonts w:ascii="Arial" w:hAnsi="Arial" w:cs="Arial"/>
                                <w:color w:val="1F497D" w:themeColor="text2"/>
                                <w:sz w:val="20"/>
                                <w:szCs w:val="20"/>
                              </w:rPr>
                            </w:pPr>
                            <w:r w:rsidRPr="00E03046">
                              <w:rPr>
                                <w:rFonts w:ascii="Arial" w:hAnsi="Arial" w:cs="Arial"/>
                                <w:color w:val="1F497D" w:themeColor="text2"/>
                                <w:sz w:val="20"/>
                                <w:szCs w:val="20"/>
                              </w:rPr>
                              <w:t>*</w:t>
                            </w:r>
                            <w:r w:rsidRPr="002B189D">
                              <w:rPr>
                                <w:rFonts w:ascii="Arial" w:eastAsiaTheme="minorHAnsi" w:hAnsi="Arial" w:cs="Arial"/>
                                <w:color w:val="1F497D" w:themeColor="text2"/>
                                <w:sz w:val="20"/>
                                <w:szCs w:val="20"/>
                              </w:rPr>
                              <w:t xml:space="preserve"> </w:t>
                            </w:r>
                            <w:r>
                              <w:rPr>
                                <w:rFonts w:ascii="Arial" w:eastAsiaTheme="minorHAnsi" w:hAnsi="Arial" w:cs="Arial"/>
                                <w:color w:val="1F497D" w:themeColor="text2"/>
                                <w:sz w:val="20"/>
                                <w:szCs w:val="20"/>
                              </w:rPr>
                              <w:t xml:space="preserve">Preferred indicated in bold.  </w:t>
                            </w:r>
                            <w:r w:rsidRPr="00E03046">
                              <w:rPr>
                                <w:rFonts w:ascii="Arial" w:hAnsi="Arial" w:cs="Arial"/>
                                <w:color w:val="1F497D" w:themeColor="text2"/>
                                <w:sz w:val="20"/>
                                <w:szCs w:val="20"/>
                              </w:rPr>
                              <w:t>Refer to Chapter 2 for detailed language of alternatives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51.2pt;margin-top:56.55pt;width:215.1pt;height:175.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" strokecolor="#548dd4 [1951]">
                <v:shadow on="t" opacity="26214f" mv:blur="50800f" origin="-.5,.5" offset="26941emu,-26941emu"/>
                <v:textbox>
                  <w:txbxContent>
                    <w:p w14:paraId="092E9896" w14:textId="1DD2C274" w:rsidR="009108B8" w:rsidRPr="00E03046" w:rsidRDefault="009108B8" w:rsidP="003B77CB">
                      <w:pPr>
                        <w:jc w:val="center"/>
                        <w:rPr>
                          <w:rFonts w:ascii="Arial" w:hAnsi="Arial" w:cs="Arial"/>
                          <w:b/>
                          <w:i/>
                          <w:iCs/>
                          <w:color w:val="365F91" w:themeColor="accent1" w:themeShade="BF"/>
                        </w:rPr>
                      </w:pPr>
                      <w:r w:rsidRPr="00E03046">
                        <w:rPr>
                          <w:rFonts w:ascii="Arial" w:hAnsi="Arial" w:cs="Arial"/>
                          <w:b/>
                          <w:i/>
                          <w:iCs/>
                          <w:color w:val="365F91" w:themeColor="accent1" w:themeShade="BF"/>
                        </w:rPr>
                        <w:t>Alternatives</w:t>
                      </w:r>
                      <w:r>
                        <w:rPr>
                          <w:rFonts w:ascii="Arial" w:hAnsi="Arial" w:cs="Arial"/>
                          <w:b/>
                          <w:i/>
                          <w:iCs/>
                          <w:color w:val="365F91" w:themeColor="accent1" w:themeShade="BF"/>
                        </w:rPr>
                        <w:t>*</w:t>
                      </w:r>
                    </w:p>
                    <w:p w14:paraId="5BA06A63" w14:textId="77777777" w:rsidR="009108B8" w:rsidRDefault="009108B8" w:rsidP="003B77CB">
                      <w:pPr>
                        <w:jc w:val="center"/>
                        <w:rPr>
                          <w:rFonts w:ascii="Arial" w:hAnsi="Arial" w:cs="Arial"/>
                          <w:b/>
                          <w:i/>
                          <w:iCs/>
                          <w:color w:val="365F91" w:themeColor="accent1" w:themeShade="BF"/>
                          <w:sz w:val="28"/>
                          <w:szCs w:val="28"/>
                        </w:rPr>
                      </w:pPr>
                    </w:p>
                    <w:p w14:paraId="341E4523" w14:textId="096907C4" w:rsidR="009108B8" w:rsidRPr="00E03046" w:rsidRDefault="009108B8" w:rsidP="007239B6">
                      <w:pPr>
                        <w:pStyle w:val="Normal1"/>
                        <w:spacing w:line="240" w:lineRule="auto"/>
                        <w:contextualSpacing/>
                        <w:rPr>
                          <w:color w:val="1F497D" w:themeColor="text2"/>
                          <w:sz w:val="20"/>
                          <w:szCs w:val="20"/>
                        </w:rPr>
                      </w:pPr>
                      <w:r w:rsidRPr="00E03046">
                        <w:rPr>
                          <w:color w:val="1F497D" w:themeColor="text2"/>
                          <w:sz w:val="20"/>
                          <w:szCs w:val="20"/>
                        </w:rPr>
                        <w:t>1 (No Action).</w:t>
                      </w:r>
                      <w:r>
                        <w:rPr>
                          <w:color w:val="1F497D" w:themeColor="text2"/>
                          <w:sz w:val="20"/>
                          <w:szCs w:val="20"/>
                        </w:rPr>
                        <w:t xml:space="preserve"> </w:t>
                      </w:r>
                      <w:r w:rsidRPr="00E03046">
                        <w:rPr>
                          <w:color w:val="1F497D" w:themeColor="text2"/>
                          <w:sz w:val="20"/>
                          <w:szCs w:val="20"/>
                        </w:rPr>
                        <w:t xml:space="preserve"> </w:t>
                      </w:r>
                      <w:r>
                        <w:rPr>
                          <w:color w:val="1F497D" w:themeColor="text2"/>
                          <w:sz w:val="20"/>
                          <w:szCs w:val="20"/>
                        </w:rPr>
                        <w:t>MSST</w:t>
                      </w:r>
                      <w:r w:rsidRPr="00E03046">
                        <w:rPr>
                          <w:color w:val="1F497D" w:themeColor="text2"/>
                          <w:sz w:val="20"/>
                          <w:szCs w:val="20"/>
                        </w:rPr>
                        <w:t xml:space="preserve"> for mutton snapper is MSST = SSB</w:t>
                      </w:r>
                      <w:r w:rsidRPr="00E03046">
                        <w:rPr>
                          <w:color w:val="1F497D" w:themeColor="text2"/>
                          <w:sz w:val="20"/>
                          <w:szCs w:val="20"/>
                          <w:vertAlign w:val="subscript"/>
                        </w:rPr>
                        <w:t>MSY</w:t>
                      </w:r>
                      <w:r w:rsidRPr="00E03046">
                        <w:rPr>
                          <w:color w:val="1F497D" w:themeColor="text2"/>
                          <w:sz w:val="20"/>
                          <w:szCs w:val="20"/>
                        </w:rPr>
                        <w:t xml:space="preserve"> ((1-M) or 0.5, whichever is greater).  The value is not specified.</w:t>
                      </w:r>
                    </w:p>
                    <w:p w14:paraId="084F1C25" w14:textId="77777777" w:rsidR="009108B8" w:rsidRPr="00E03046" w:rsidRDefault="009108B8" w:rsidP="007239B6">
                      <w:pPr>
                        <w:contextualSpacing/>
                        <w:rPr>
                          <w:rFonts w:ascii="Arial" w:eastAsia="Courier New" w:hAnsi="Arial" w:cs="Arial"/>
                          <w:color w:val="1F497D" w:themeColor="text2"/>
                          <w:sz w:val="20"/>
                          <w:szCs w:val="20"/>
                        </w:rPr>
                      </w:pPr>
                    </w:p>
                    <w:p w14:paraId="5DF77568" w14:textId="5E70F785" w:rsidR="009108B8" w:rsidRPr="00E03046" w:rsidRDefault="009108B8" w:rsidP="007239B6">
                      <w:pPr>
                        <w:contextualSpacing/>
                        <w:rPr>
                          <w:rFonts w:ascii="Arial" w:eastAsia="Courier New" w:hAnsi="Arial" w:cs="Arial"/>
                          <w:color w:val="1F497D" w:themeColor="text2"/>
                          <w:sz w:val="20"/>
                          <w:szCs w:val="20"/>
                        </w:rPr>
                      </w:pPr>
                      <w:r w:rsidRPr="00E03046">
                        <w:rPr>
                          <w:rFonts w:ascii="Arial" w:hAnsi="Arial" w:cs="Arial"/>
                          <w:color w:val="1F497D" w:themeColor="text2"/>
                          <w:sz w:val="20"/>
                          <w:szCs w:val="20"/>
                        </w:rPr>
                        <w:t xml:space="preserve">2. </w:t>
                      </w:r>
                      <w:r>
                        <w:rPr>
                          <w:rFonts w:ascii="Arial" w:hAnsi="Arial" w:cs="Arial"/>
                          <w:color w:val="1F497D" w:themeColor="text2"/>
                          <w:sz w:val="20"/>
                          <w:szCs w:val="20"/>
                        </w:rPr>
                        <w:t>MSST</w:t>
                      </w:r>
                      <w:r w:rsidRPr="00E03046">
                        <w:rPr>
                          <w:rFonts w:ascii="Arial" w:hAnsi="Arial" w:cs="Arial"/>
                          <w:color w:val="1F497D" w:themeColor="text2"/>
                          <w:sz w:val="20"/>
                          <w:szCs w:val="20"/>
                        </w:rPr>
                        <w:t xml:space="preserve"> = 50% of SSB</w:t>
                      </w:r>
                      <w:r w:rsidRPr="00E03046">
                        <w:rPr>
                          <w:rFonts w:ascii="Arial" w:hAnsi="Arial" w:cs="Arial"/>
                          <w:color w:val="1F497D" w:themeColor="text2"/>
                          <w:sz w:val="20"/>
                          <w:szCs w:val="20"/>
                          <w:vertAlign w:val="subscript"/>
                        </w:rPr>
                        <w:t>MSY</w:t>
                      </w:r>
                    </w:p>
                    <w:p w14:paraId="795FF8EF" w14:textId="77777777" w:rsidR="009108B8" w:rsidRPr="00E03046" w:rsidRDefault="009108B8" w:rsidP="007239B6">
                      <w:pPr>
                        <w:contextualSpacing/>
                        <w:rPr>
                          <w:rFonts w:ascii="Arial" w:hAnsi="Arial" w:cs="Arial"/>
                          <w:b/>
                          <w:color w:val="1F497D" w:themeColor="text2"/>
                          <w:sz w:val="20"/>
                          <w:szCs w:val="20"/>
                        </w:rPr>
                      </w:pPr>
                    </w:p>
                    <w:p w14:paraId="71DDE713" w14:textId="27B36427" w:rsidR="009108B8" w:rsidRPr="00E03046" w:rsidRDefault="009108B8" w:rsidP="007239B6">
                      <w:pPr>
                        <w:contextualSpacing/>
                        <w:rPr>
                          <w:rFonts w:ascii="Arial" w:eastAsia="Courier New" w:hAnsi="Arial" w:cs="Arial"/>
                          <w:b/>
                          <w:color w:val="1F497D" w:themeColor="text2"/>
                          <w:sz w:val="20"/>
                          <w:szCs w:val="20"/>
                        </w:rPr>
                      </w:pPr>
                      <w:r w:rsidRPr="00E03046">
                        <w:rPr>
                          <w:rFonts w:ascii="Arial" w:hAnsi="Arial" w:cs="Arial"/>
                          <w:b/>
                          <w:color w:val="1F497D" w:themeColor="text2"/>
                          <w:sz w:val="20"/>
                          <w:szCs w:val="20"/>
                        </w:rPr>
                        <w:t xml:space="preserve">3. </w:t>
                      </w:r>
                      <w:r>
                        <w:rPr>
                          <w:rFonts w:ascii="Arial" w:hAnsi="Arial" w:cs="Arial"/>
                          <w:b/>
                          <w:color w:val="1F497D" w:themeColor="text2"/>
                          <w:sz w:val="20"/>
                          <w:szCs w:val="20"/>
                        </w:rPr>
                        <w:t>MSST</w:t>
                      </w:r>
                      <w:r w:rsidRPr="00E03046">
                        <w:rPr>
                          <w:rFonts w:ascii="Arial" w:hAnsi="Arial" w:cs="Arial"/>
                          <w:b/>
                          <w:color w:val="1F497D" w:themeColor="text2"/>
                          <w:sz w:val="20"/>
                          <w:szCs w:val="20"/>
                        </w:rPr>
                        <w:t xml:space="preserve"> = 75% of SSB</w:t>
                      </w:r>
                      <w:r w:rsidRPr="00E03046">
                        <w:rPr>
                          <w:rFonts w:ascii="Arial" w:hAnsi="Arial" w:cs="Arial"/>
                          <w:b/>
                          <w:color w:val="1F497D" w:themeColor="text2"/>
                          <w:sz w:val="20"/>
                          <w:szCs w:val="20"/>
                          <w:vertAlign w:val="subscript"/>
                        </w:rPr>
                        <w:t>MSY</w:t>
                      </w:r>
                    </w:p>
                    <w:p w14:paraId="68F6C6A6" w14:textId="77777777" w:rsidR="009108B8" w:rsidRPr="00E03046" w:rsidRDefault="009108B8" w:rsidP="007239B6">
                      <w:pPr>
                        <w:contextualSpacing/>
                        <w:rPr>
                          <w:rFonts w:ascii="Arial" w:eastAsia="Courier New" w:hAnsi="Arial" w:cs="Arial"/>
                          <w:b/>
                          <w:color w:val="1F497D" w:themeColor="text2"/>
                          <w:sz w:val="20"/>
                          <w:szCs w:val="20"/>
                        </w:rPr>
                      </w:pPr>
                    </w:p>
                    <w:p w14:paraId="159BD4C1" w14:textId="4A2956A1" w:rsidR="009108B8" w:rsidRPr="00E03046" w:rsidRDefault="009108B8">
                      <w:pPr>
                        <w:rPr>
                          <w:rFonts w:ascii="Arial" w:hAnsi="Arial" w:cs="Arial"/>
                          <w:color w:val="1F497D" w:themeColor="text2"/>
                          <w:sz w:val="20"/>
                          <w:szCs w:val="20"/>
                        </w:rPr>
                      </w:pPr>
                      <w:r w:rsidRPr="00E03046">
                        <w:rPr>
                          <w:rFonts w:ascii="Arial" w:hAnsi="Arial" w:cs="Arial"/>
                          <w:color w:val="1F497D" w:themeColor="text2"/>
                          <w:sz w:val="20"/>
                          <w:szCs w:val="20"/>
                        </w:rPr>
                        <w:t>*</w:t>
                      </w:r>
                      <w:r w:rsidRPr="002B189D">
                        <w:rPr>
                          <w:rFonts w:ascii="Arial" w:eastAsiaTheme="minorHAnsi" w:hAnsi="Arial" w:cs="Arial"/>
                          <w:color w:val="1F497D" w:themeColor="text2"/>
                          <w:sz w:val="20"/>
                          <w:szCs w:val="20"/>
                        </w:rPr>
                        <w:t xml:space="preserve"> </w:t>
                      </w:r>
                      <w:r>
                        <w:rPr>
                          <w:rFonts w:ascii="Arial" w:eastAsiaTheme="minorHAnsi" w:hAnsi="Arial" w:cs="Arial"/>
                          <w:color w:val="1F497D" w:themeColor="text2"/>
                          <w:sz w:val="20"/>
                          <w:szCs w:val="20"/>
                        </w:rPr>
                        <w:t xml:space="preserve">Preferred indicated in bold.  </w:t>
                      </w:r>
                      <w:r w:rsidRPr="00E03046">
                        <w:rPr>
                          <w:rFonts w:ascii="Arial" w:hAnsi="Arial" w:cs="Arial"/>
                          <w:color w:val="1F497D" w:themeColor="text2"/>
                          <w:sz w:val="20"/>
                          <w:szCs w:val="20"/>
                        </w:rPr>
                        <w:t>Refer to Chapter 2 for detailed language of alternatives</w:t>
                      </w:r>
                    </w:p>
                  </w:txbxContent>
                </v:textbox>
                <w10:wrap type="square" anchorx="margin" anchory="margin"/>
              </v:shape>
            </w:pict>
          </mc:Fallback>
        </mc:AlternateContent>
      </w:r>
      <w:r w:rsidR="00D1476F">
        <w:t>4.2.1</w:t>
      </w:r>
      <w:r w:rsidR="00D1476F">
        <w:tab/>
      </w:r>
      <w:r w:rsidR="00532ABB" w:rsidRPr="005B5A20">
        <w:t>Biological Effects</w:t>
      </w:r>
      <w:bookmarkEnd w:id="224"/>
      <w:bookmarkEnd w:id="225"/>
      <w:r w:rsidR="00532ABB" w:rsidRPr="005B5A20">
        <w:t xml:space="preserve"> </w:t>
      </w:r>
    </w:p>
    <w:p w14:paraId="15CB1A2B" w14:textId="5C8B740B" w:rsidR="00E03046" w:rsidRDefault="00E03046" w:rsidP="00E03046">
      <w:pPr>
        <w:ind w:firstLine="360"/>
      </w:pPr>
      <w:r>
        <w:t xml:space="preserve">The minimum stock size threshold (MSST) corresponds to the level of biomass below which a stock is considered overfished.  If it is determined that a stock’s biomass is below the MSST, the Magnuson-Stevens Fishery Conservation and Management Act (Magnuson-Stevens Act) requires a rebuilding plan, which could result in harvest reductions.  </w:t>
      </w:r>
    </w:p>
    <w:p w14:paraId="2BB7A808" w14:textId="77777777" w:rsidR="00E03046" w:rsidRDefault="00E03046" w:rsidP="00E03046">
      <w:pPr>
        <w:ind w:firstLine="360"/>
      </w:pPr>
    </w:p>
    <w:p w14:paraId="501EB939" w14:textId="2E2BD311" w:rsidR="00574089" w:rsidRDefault="00574089" w:rsidP="00574089">
      <w:pPr>
        <w:ind w:firstLine="360"/>
        <w:contextualSpacing/>
      </w:pPr>
      <w:r>
        <w:t xml:space="preserve">SEDAR 15A Update (2015) estimated natural mortality for mutton snapper at 0.17. </w:t>
      </w:r>
      <w:r w:rsidR="00AE5EFD">
        <w:t xml:space="preserve"> </w:t>
      </w:r>
      <w:r>
        <w:t>For species with such low natural mortality, such as mutton snapper, the biomass threshold for determining if the stock is overfished (MSST) under the current definition (</w:t>
      </w:r>
      <w:r w:rsidRPr="00524458">
        <w:rPr>
          <w:b/>
        </w:rPr>
        <w:t>Alternatives 1</w:t>
      </w:r>
      <w:r>
        <w:rPr>
          <w:b/>
        </w:rPr>
        <w:t xml:space="preserve"> (No Action)</w:t>
      </w:r>
      <w:r w:rsidRPr="00A07ED9">
        <w:rPr>
          <w:b/>
        </w:rPr>
        <w:t xml:space="preserve"> </w:t>
      </w:r>
      <w:r>
        <w:t>and</w:t>
      </w:r>
      <w:r w:rsidRPr="00524458">
        <w:rPr>
          <w:b/>
        </w:rPr>
        <w:t xml:space="preserve"> 2</w:t>
      </w:r>
      <w:r>
        <w:t>) is very close to the biomass level when the stock is not considered overfished (SSB</w:t>
      </w:r>
      <w:r w:rsidRPr="00C34728">
        <w:rPr>
          <w:vertAlign w:val="subscript"/>
        </w:rPr>
        <w:t>MSY</w:t>
      </w:r>
      <w:r>
        <w:t>)</w:t>
      </w:r>
      <w:r w:rsidRPr="00C34728">
        <w:t>.</w:t>
      </w:r>
      <w:r>
        <w:t xml:space="preserve">  Since </w:t>
      </w:r>
      <w:r w:rsidRPr="00C34728">
        <w:rPr>
          <w:b/>
        </w:rPr>
        <w:t xml:space="preserve">Alternative </w:t>
      </w:r>
      <w:r>
        <w:rPr>
          <w:b/>
        </w:rPr>
        <w:t xml:space="preserve">1 </w:t>
      </w:r>
      <w:r w:rsidRPr="00C34728">
        <w:rPr>
          <w:b/>
        </w:rPr>
        <w:t>(No Action)</w:t>
      </w:r>
      <w:r>
        <w:t xml:space="preserve"> </w:t>
      </w:r>
      <w:r w:rsidRPr="00E36E72">
        <w:t>nearly eliminat</w:t>
      </w:r>
      <w:r>
        <w:t xml:space="preserve">es </w:t>
      </w:r>
      <w:r w:rsidRPr="00E36E72">
        <w:t xml:space="preserve">the buffer between MSST and </w:t>
      </w:r>
      <w:r>
        <w:t>SS</w:t>
      </w:r>
      <w:r w:rsidRPr="00E36E72">
        <w:t>B</w:t>
      </w:r>
      <w:r w:rsidRPr="00C34728">
        <w:rPr>
          <w:vertAlign w:val="subscript"/>
        </w:rPr>
        <w:t>MSY</w:t>
      </w:r>
      <w:r w:rsidRPr="00E36E72">
        <w:t xml:space="preserve"> </w:t>
      </w:r>
      <w:r>
        <w:t xml:space="preserve">for stocks with low natural mortality rates, </w:t>
      </w:r>
      <w:r w:rsidRPr="00E36E72">
        <w:t xml:space="preserve">a stock would never be permitted to fall below </w:t>
      </w:r>
      <w:r>
        <w:t>SS</w:t>
      </w:r>
      <w:r w:rsidRPr="00E36E72">
        <w:t>B</w:t>
      </w:r>
      <w:r w:rsidRPr="00C34728">
        <w:rPr>
          <w:vertAlign w:val="subscript"/>
        </w:rPr>
        <w:t>MSY</w:t>
      </w:r>
      <w:r w:rsidRPr="00E36E72">
        <w:t xml:space="preserve"> without triggering an “overfished” determination and mandatory development </w:t>
      </w:r>
      <w:r>
        <w:t xml:space="preserve">of </w:t>
      </w:r>
      <w:r w:rsidRPr="00E36E72">
        <w:t>a rebuilding plan.</w:t>
      </w:r>
      <w:r>
        <w:t xml:space="preserve">  The most biologically conservative alternative is </w:t>
      </w:r>
      <w:r w:rsidRPr="00671EDE">
        <w:rPr>
          <w:b/>
        </w:rPr>
        <w:t>Alternative 1 (No Action)</w:t>
      </w:r>
      <w:r>
        <w:t xml:space="preserve">; however, under this alternative, development of a rebuilding plan may be required when it is not biologically necessary.  The biological benefits of </w:t>
      </w:r>
      <w:r w:rsidRPr="00671EDE">
        <w:rPr>
          <w:b/>
        </w:rPr>
        <w:t>Alternative 1 (No Action)</w:t>
      </w:r>
      <w:r>
        <w:t xml:space="preserve"> would take the form of increased harvest restrictions that would be implemented with the intent to rebuild the stock according to the current MSST threshold criterion.  </w:t>
      </w:r>
      <w:r w:rsidRPr="00F464E3">
        <w:rPr>
          <w:b/>
        </w:rPr>
        <w:t xml:space="preserve">Alternative </w:t>
      </w:r>
      <w:r>
        <w:rPr>
          <w:b/>
        </w:rPr>
        <w:t>2</w:t>
      </w:r>
      <w:r>
        <w:t xml:space="preserve"> would be the least biologically beneficial since it would allow biomass to decrease by 50% before triggering the rebuilding plan requirement.  </w:t>
      </w:r>
      <w:r w:rsidRPr="00006D5E">
        <w:rPr>
          <w:b/>
        </w:rPr>
        <w:t xml:space="preserve">Preferred </w:t>
      </w:r>
      <w:r w:rsidRPr="00671EDE">
        <w:rPr>
          <w:b/>
        </w:rPr>
        <w:t xml:space="preserve">Alternative </w:t>
      </w:r>
      <w:r>
        <w:rPr>
          <w:b/>
        </w:rPr>
        <w:t>3</w:t>
      </w:r>
      <w:r>
        <w:t xml:space="preserve"> would still require the development of a rebuilding plan if mutton snapper was deemed overfished, but would reduce the risk of requiring a rebuilding plan when decreased biomass was due to natural variations in recruitment. </w:t>
      </w:r>
    </w:p>
    <w:p w14:paraId="45B4A682" w14:textId="77777777" w:rsidR="00574089" w:rsidRDefault="00574089" w:rsidP="00574089">
      <w:pPr>
        <w:ind w:firstLine="360"/>
        <w:contextualSpacing/>
      </w:pPr>
    </w:p>
    <w:p w14:paraId="3E64AB29" w14:textId="3DD16877" w:rsidR="00574089" w:rsidRDefault="00574089" w:rsidP="00574089">
      <w:pPr>
        <w:ind w:firstLine="360"/>
        <w:contextualSpacing/>
      </w:pPr>
      <w:r w:rsidRPr="008C66A1">
        <w:t xml:space="preserve">Additionally, if the same management measures are used to rebuild a stock under </w:t>
      </w:r>
      <w:r>
        <w:t>all the alternatives considered</w:t>
      </w:r>
      <w:r w:rsidRPr="008C66A1">
        <w:t xml:space="preserve">, the stock would be expected to rebuild fastest under </w:t>
      </w:r>
      <w:r w:rsidRPr="00524458">
        <w:rPr>
          <w:b/>
        </w:rPr>
        <w:t>Alternative 1 (No Action)</w:t>
      </w:r>
      <w:r w:rsidRPr="008C66A1">
        <w:t xml:space="preserve"> because the overfished threshold (MSST) would be closest to the rebuilt threshold SSB</w:t>
      </w:r>
      <w:r w:rsidRPr="00524458">
        <w:rPr>
          <w:vertAlign w:val="subscript"/>
        </w:rPr>
        <w:t>MSY</w:t>
      </w:r>
      <w:r w:rsidRPr="008C66A1">
        <w:t xml:space="preserve">.  Therefore, </w:t>
      </w:r>
      <w:r w:rsidRPr="00524458">
        <w:rPr>
          <w:b/>
        </w:rPr>
        <w:t>Alternative 1 (No Action)</w:t>
      </w:r>
      <w:r w:rsidRPr="008C66A1">
        <w:t xml:space="preserve"> could be considered to have the greatest biological benefit among alternatives considered in this action.  The tradeoff associated with the assurance provided by this conservative definition of MSST is that natural variation in recruitment could cause stock biomass to frequently alternate between an overfished and rebuilt condition (biomass at SSB</w:t>
      </w:r>
      <w:r w:rsidRPr="00524458">
        <w:rPr>
          <w:vertAlign w:val="subscript"/>
        </w:rPr>
        <w:t>MSY</w:t>
      </w:r>
      <w:r w:rsidRPr="008C66A1">
        <w:t>), even if the fishing mortality rate applied to the stock was within the limits specified by the maximum fishing mortality threshold (MFMT).  If realized, this situation</w:t>
      </w:r>
      <w:r>
        <w:t xml:space="preserve"> </w:t>
      </w:r>
      <w:r w:rsidRPr="008C66A1">
        <w:t xml:space="preserve">could result in administrative and socio-economic burdens related to developing and implementing multiple rebuilding plans that may not be biologically necessary.  However, </w:t>
      </w:r>
      <w:r w:rsidRPr="008C66A1">
        <w:lastRenderedPageBreak/>
        <w:t>simulations on a wide variety of species by Restrepo et al. (1998) indicated that stocks at biomass levels approximating 75%SSB</w:t>
      </w:r>
      <w:r w:rsidRPr="00524458">
        <w:rPr>
          <w:vertAlign w:val="subscript"/>
        </w:rPr>
        <w:t>MSY</w:t>
      </w:r>
      <w:r w:rsidRPr="008C66A1">
        <w:t xml:space="preserve"> can rebuild to SSB</w:t>
      </w:r>
      <w:r w:rsidRPr="00524458">
        <w:rPr>
          <w:vertAlign w:val="subscript"/>
        </w:rPr>
        <w:t>MSY</w:t>
      </w:r>
      <w:r w:rsidRPr="008C66A1">
        <w:t xml:space="preserve"> fairly quickly with little constraint on fishing mortality.  Therefore, it is not biologically necessary to have extremely small buffers between overfished and rebuilt thresholds.</w:t>
      </w:r>
    </w:p>
    <w:p w14:paraId="370706E2" w14:textId="77777777" w:rsidR="00574089" w:rsidRDefault="00574089" w:rsidP="00574089">
      <w:pPr>
        <w:ind w:firstLine="360"/>
      </w:pPr>
    </w:p>
    <w:p w14:paraId="239FCE6A" w14:textId="3939A23C" w:rsidR="00574089" w:rsidRDefault="00574089" w:rsidP="00574089">
      <w:pPr>
        <w:ind w:firstLine="360"/>
      </w:pPr>
      <w:r>
        <w:rPr>
          <w:b/>
        </w:rPr>
        <w:t xml:space="preserve">Preferred </w:t>
      </w:r>
      <w:r w:rsidRPr="001E6210">
        <w:rPr>
          <w:b/>
        </w:rPr>
        <w:t xml:space="preserve">Alternative </w:t>
      </w:r>
      <w:r>
        <w:rPr>
          <w:b/>
        </w:rPr>
        <w:t>3</w:t>
      </w:r>
      <w:r>
        <w:t>, which would set MSST equal to 75%SSB</w:t>
      </w:r>
      <w:r w:rsidRPr="00C34728">
        <w:rPr>
          <w:vertAlign w:val="subscript"/>
        </w:rPr>
        <w:t>MSY</w:t>
      </w:r>
      <w:r>
        <w:t>, is consistent with how the South Atlantic Council has approached defining MSST for other snapper grouper stocks with low natural mortality estimates.  The South Atlantic Council changed the MSST definition to 75%SSB</w:t>
      </w:r>
      <w:r w:rsidRPr="001E6210">
        <w:rPr>
          <w:vertAlign w:val="subscript"/>
        </w:rPr>
        <w:t>MSY</w:t>
      </w:r>
      <w:r>
        <w:t xml:space="preserve"> for snowy grouper (SAFMC 2008a), golden tilefish (SAFMC 2008b), red grouper (SAFMC 2011d) and, more recently, other snapper grouper species (red snapper, blueline tilefish, gag, black grouper, yellowtail snapper, vermilion snapper, red porgy, and greater amberjack) (SAFMC 2014).  These species have low estimates of natural mortality, and the overfished threshold from the status quo MSST definition is very close to the biomass threshold when stocks are not considered overfished.  The biological benefits of </w:t>
      </w:r>
      <w:r w:rsidRPr="00006D5E">
        <w:rPr>
          <w:b/>
        </w:rPr>
        <w:t xml:space="preserve">Preferred </w:t>
      </w:r>
      <w:r w:rsidRPr="001E6210">
        <w:rPr>
          <w:b/>
        </w:rPr>
        <w:t xml:space="preserve">Alternative </w:t>
      </w:r>
      <w:r>
        <w:rPr>
          <w:b/>
        </w:rPr>
        <w:t>3</w:t>
      </w:r>
      <w:r>
        <w:t>, which would trigger a rebuilding plan when biomass is at 75% of SSB</w:t>
      </w:r>
      <w:r w:rsidRPr="00C34728">
        <w:rPr>
          <w:vertAlign w:val="subscript"/>
        </w:rPr>
        <w:t>MSY</w:t>
      </w:r>
      <w:r>
        <w:t xml:space="preserve">, would be expected to be greater than </w:t>
      </w:r>
      <w:r w:rsidRPr="00C34728">
        <w:rPr>
          <w:b/>
        </w:rPr>
        <w:t xml:space="preserve">Alternative </w:t>
      </w:r>
      <w:r>
        <w:rPr>
          <w:b/>
        </w:rPr>
        <w:t>2</w:t>
      </w:r>
      <w:r>
        <w:rPr>
          <w:b/>
          <w:vertAlign w:val="subscript"/>
        </w:rPr>
        <w:t xml:space="preserve">, </w:t>
      </w:r>
      <w:r>
        <w:t>which would have a lower biomass threshold for an overfished determination (50%SSB</w:t>
      </w:r>
      <w:r w:rsidRPr="00C34728">
        <w:rPr>
          <w:vertAlign w:val="subscript"/>
        </w:rPr>
        <w:t>MSY</w:t>
      </w:r>
      <w:r>
        <w:t>).  At their October 2013 meeting, the South Atlantic Council’s SSC acknowledged that the 75%SSB</w:t>
      </w:r>
      <w:r w:rsidRPr="007118AB">
        <w:rPr>
          <w:vertAlign w:val="subscript"/>
        </w:rPr>
        <w:t>MSY</w:t>
      </w:r>
      <w:r>
        <w:t xml:space="preserve"> approach is an acceptable choice for MSST, and they voiced no concern regarding the adoption of this management reference point for South Atlantic Council managed species.  Bycatch and discards would not increase or decrease as a result of this action.  For more information, see </w:t>
      </w:r>
      <w:r w:rsidRPr="004E52FD">
        <w:rPr>
          <w:b/>
        </w:rPr>
        <w:t>Appendix D</w:t>
      </w:r>
      <w:r>
        <w:t xml:space="preserve"> (</w:t>
      </w:r>
      <w:r w:rsidRPr="004E52FD">
        <w:t>BPA)</w:t>
      </w:r>
      <w:r>
        <w:t>.</w:t>
      </w:r>
    </w:p>
    <w:p w14:paraId="44BE88D5" w14:textId="77777777" w:rsidR="00574089" w:rsidRDefault="00574089" w:rsidP="00574089">
      <w:pPr>
        <w:ind w:firstLine="360"/>
      </w:pPr>
    </w:p>
    <w:p w14:paraId="5C94226D" w14:textId="28B53596" w:rsidR="00574089" w:rsidRPr="00FA28B6" w:rsidRDefault="00574089" w:rsidP="00574089">
      <w:pPr>
        <w:ind w:firstLine="360"/>
      </w:pPr>
      <w:r w:rsidRPr="004156D7">
        <w:t>Th</w:t>
      </w:r>
      <w:r w:rsidR="0008265C">
        <w:t>e alternatives and sub-alternatives under</w:t>
      </w:r>
      <w:r w:rsidRPr="004156D7">
        <w:t xml:space="preserve"> </w:t>
      </w:r>
      <w:r w:rsidR="0008265C">
        <w:t xml:space="preserve">this </w:t>
      </w:r>
      <w:r w:rsidRPr="004156D7">
        <w:t>action would not significantly modify the way in which the snapper grouper fishery is prosecuted in terms o</w:t>
      </w:r>
      <w:r>
        <w:t>f gear types</w:t>
      </w:r>
      <w:r w:rsidRPr="004156D7">
        <w:t xml:space="preserve">.  Therefore, there are no </w:t>
      </w:r>
      <w:r w:rsidR="00495370">
        <w:t xml:space="preserve">additional </w:t>
      </w:r>
      <w:r w:rsidRPr="004156D7">
        <w:t xml:space="preserve">impacts on ESA-listed species or designated critical habitats anticipated as a result of this action (see </w:t>
      </w:r>
      <w:r w:rsidRPr="004156D7">
        <w:rPr>
          <w:b/>
        </w:rPr>
        <w:t>Section 3.2.4</w:t>
      </w:r>
      <w:r w:rsidRPr="004156D7">
        <w:t xml:space="preserve"> for a detailed description of ESA-listed species and critical habitat in the action area).  Furthermore, no </w:t>
      </w:r>
      <w:r w:rsidR="00495370">
        <w:t xml:space="preserve">additional </w:t>
      </w:r>
      <w:r w:rsidRPr="004156D7">
        <w:t>impacts on EFH or EFH-</w:t>
      </w:r>
      <w:r>
        <w:t>HAPC</w:t>
      </w:r>
      <w:r w:rsidRPr="004156D7">
        <w:t xml:space="preserve"> are expected to result from any of the alternatives considered for this action (see </w:t>
      </w:r>
      <w:r w:rsidRPr="004156D7">
        <w:rPr>
          <w:b/>
        </w:rPr>
        <w:t>Section 3.1</w:t>
      </w:r>
      <w:r w:rsidRPr="004156D7">
        <w:t xml:space="preserve"> for a detailed description of EFH in the South Atlantic Region).</w:t>
      </w:r>
    </w:p>
    <w:p w14:paraId="1FA93199" w14:textId="77777777" w:rsidR="00831BEA" w:rsidRDefault="00831BEA" w:rsidP="00F5584A"/>
    <w:p w14:paraId="16C69F47" w14:textId="77777777" w:rsidR="005B5A20" w:rsidRPr="00F36594" w:rsidRDefault="00F120D4" w:rsidP="00D71AB1">
      <w:pPr>
        <w:pStyle w:val="Heading3"/>
        <w:rPr>
          <w:szCs w:val="24"/>
        </w:rPr>
      </w:pPr>
      <w:bookmarkStart w:id="226" w:name="_Toc361410415"/>
      <w:bookmarkStart w:id="227" w:name="_Toc339811736"/>
      <w:r w:rsidRPr="005B5A20">
        <w:rPr>
          <w:szCs w:val="24"/>
        </w:rPr>
        <w:t>4.2</w:t>
      </w:r>
      <w:r w:rsidR="00532ABB" w:rsidRPr="005B5A20">
        <w:rPr>
          <w:szCs w:val="24"/>
        </w:rPr>
        <w:t>.2</w:t>
      </w:r>
      <w:r w:rsidR="00532ABB" w:rsidRPr="005B5A20">
        <w:rPr>
          <w:szCs w:val="24"/>
        </w:rPr>
        <w:tab/>
        <w:t>Economic Effects</w:t>
      </w:r>
      <w:bookmarkEnd w:id="226"/>
      <w:bookmarkEnd w:id="227"/>
    </w:p>
    <w:p w14:paraId="69795B28" w14:textId="50C852D2" w:rsidR="00D544ED" w:rsidRPr="00686DAC" w:rsidRDefault="00D544ED" w:rsidP="00D544ED">
      <w:pPr>
        <w:pStyle w:val="Default"/>
        <w:ind w:firstLine="360"/>
      </w:pPr>
      <w:bookmarkStart w:id="228" w:name="_Toc361410416"/>
      <w:r w:rsidRPr="00686DAC">
        <w:t xml:space="preserve">Like MSY, MSST does not alter the current harvest or use of the resource, and thus </w:t>
      </w:r>
      <w:r w:rsidR="00D94DF5">
        <w:rPr>
          <w:b/>
        </w:rPr>
        <w:t>Alternative</w:t>
      </w:r>
      <w:r w:rsidRPr="001C1474">
        <w:rPr>
          <w:b/>
        </w:rPr>
        <w:t xml:space="preserve"> 1</w:t>
      </w:r>
      <w:r>
        <w:t xml:space="preserve"> </w:t>
      </w:r>
      <w:r w:rsidR="00D94DF5" w:rsidRPr="00D94DF5">
        <w:rPr>
          <w:b/>
        </w:rPr>
        <w:t>(No Action)</w:t>
      </w:r>
      <w:r w:rsidR="00D94DF5">
        <w:t xml:space="preserve">, </w:t>
      </w:r>
      <w:r w:rsidR="00D94DF5" w:rsidRPr="00D94DF5">
        <w:rPr>
          <w:b/>
        </w:rPr>
        <w:t>Alternative</w:t>
      </w:r>
      <w:r w:rsidR="00D94DF5">
        <w:t xml:space="preserve"> </w:t>
      </w:r>
      <w:r w:rsidRPr="001C1474">
        <w:rPr>
          <w:b/>
        </w:rPr>
        <w:t>2</w:t>
      </w:r>
      <w:r w:rsidR="00D94DF5">
        <w:t>,</w:t>
      </w:r>
      <w:r>
        <w:t xml:space="preserve"> and </w:t>
      </w:r>
      <w:r w:rsidRPr="001C1474">
        <w:rPr>
          <w:b/>
        </w:rPr>
        <w:t>Preferred Alternative 3</w:t>
      </w:r>
      <w:r>
        <w:t xml:space="preserve"> </w:t>
      </w:r>
      <w:r w:rsidRPr="00686DAC">
        <w:t>would have no direct economic effects on fishery participants and associated industries or communities.</w:t>
      </w:r>
      <w:r>
        <w:t xml:space="preserve"> </w:t>
      </w:r>
      <w:r w:rsidRPr="00686DAC">
        <w:t xml:space="preserve"> </w:t>
      </w:r>
    </w:p>
    <w:p w14:paraId="6C65A431" w14:textId="77777777" w:rsidR="000E438C" w:rsidRPr="00686DAC" w:rsidRDefault="000E438C" w:rsidP="000E438C">
      <w:pPr>
        <w:pStyle w:val="Default"/>
        <w:ind w:firstLine="720"/>
      </w:pPr>
    </w:p>
    <w:p w14:paraId="1258E50A" w14:textId="77777777" w:rsidR="000E438C" w:rsidRDefault="000E438C" w:rsidP="000E438C">
      <w:pPr>
        <w:pStyle w:val="Default"/>
        <w:ind w:firstLine="360"/>
      </w:pPr>
      <w:r w:rsidRPr="00686DAC">
        <w:t>In general, a high MSST level is susceptible to triggering rebuilding actions that could limit harvest or fishing opportunities, thereby affecting the economic status of fishery participants</w:t>
      </w:r>
      <w:r>
        <w:t>, particularly in the short-term</w:t>
      </w:r>
      <w:r w:rsidRPr="00686DAC">
        <w:t xml:space="preserve">. </w:t>
      </w:r>
      <w:r>
        <w:t xml:space="preserve"> </w:t>
      </w:r>
      <w:r w:rsidRPr="00686DAC">
        <w:t xml:space="preserve">A low MSST level would be associated with lower probability of enacting rebuilding actions that would alter the economic environment. </w:t>
      </w:r>
      <w:r>
        <w:t xml:space="preserve"> </w:t>
      </w:r>
      <w:r w:rsidRPr="00686DAC">
        <w:t xml:space="preserve">To the extent that rebuilding actions necessitated by a chosen MSST would tend to have economic effects, it is possible to provide some general implications of the MSST alternatives. </w:t>
      </w:r>
    </w:p>
    <w:p w14:paraId="77576036" w14:textId="77777777" w:rsidR="000E438C" w:rsidRPr="00686DAC" w:rsidRDefault="000E438C" w:rsidP="000E438C"/>
    <w:p w14:paraId="379585F7" w14:textId="6754F57D" w:rsidR="000E438C" w:rsidRDefault="000E438C" w:rsidP="000E438C">
      <w:pPr>
        <w:ind w:firstLine="360"/>
      </w:pPr>
      <w:r w:rsidRPr="00686DAC">
        <w:lastRenderedPageBreak/>
        <w:t xml:space="preserve">With rebuilding taking place over a number of years, management actions and their economic consequences could change over time depending on a variety of factors, including the status of the stock and fishing conditions. </w:t>
      </w:r>
      <w:r>
        <w:t xml:space="preserve"> </w:t>
      </w:r>
      <w:r w:rsidRPr="00686DAC">
        <w:rPr>
          <w:b/>
          <w:bCs/>
        </w:rPr>
        <w:t xml:space="preserve">Alternative </w:t>
      </w:r>
      <w:r>
        <w:rPr>
          <w:b/>
          <w:bCs/>
        </w:rPr>
        <w:t>2</w:t>
      </w:r>
      <w:r w:rsidRPr="00686DAC">
        <w:rPr>
          <w:b/>
          <w:bCs/>
        </w:rPr>
        <w:t xml:space="preserve"> </w:t>
      </w:r>
      <w:r w:rsidRPr="00686DAC">
        <w:t>would app</w:t>
      </w:r>
      <w:r>
        <w:t>ear to be best from an economic</w:t>
      </w:r>
      <w:r w:rsidRPr="00686DAC">
        <w:t xml:space="preserve"> standpoint</w:t>
      </w:r>
      <w:r>
        <w:t xml:space="preserve"> in the short-term</w:t>
      </w:r>
      <w:r w:rsidRPr="00686DAC">
        <w:t xml:space="preserve">, because it is </w:t>
      </w:r>
      <w:r>
        <w:t>less likely</w:t>
      </w:r>
      <w:r w:rsidRPr="00686DAC">
        <w:t xml:space="preserve"> to trigger restrictive rebuilding actions. </w:t>
      </w:r>
      <w:r>
        <w:t xml:space="preserve"> </w:t>
      </w:r>
      <w:r w:rsidRPr="00686DAC">
        <w:t xml:space="preserve">One possible downside of this alternative is that once the stock is considered overfished, the required rebuilding actions could be </w:t>
      </w:r>
      <w:r>
        <w:t>more</w:t>
      </w:r>
      <w:r w:rsidRPr="00686DAC">
        <w:t xml:space="preserve"> restrictive and potentially remain for </w:t>
      </w:r>
      <w:r>
        <w:t>a longer</w:t>
      </w:r>
      <w:r w:rsidRPr="00686DAC">
        <w:t xml:space="preserve"> time</w:t>
      </w:r>
      <w:r>
        <w:t>, thereby increasing the severity of negative economic consequences for fishery participants</w:t>
      </w:r>
      <w:r w:rsidRPr="00686DAC">
        <w:t xml:space="preserve">. </w:t>
      </w:r>
      <w:r w:rsidR="00B2341E">
        <w:t xml:space="preserve"> </w:t>
      </w:r>
      <w:r>
        <w:t>Additionally, allowing a stock to reach lower levels of abundance can have negative implications on both sectors through increased search or harvest costs and may impact effort.</w:t>
      </w:r>
      <w:r w:rsidRPr="00686DAC">
        <w:t xml:space="preserve"> </w:t>
      </w:r>
      <w:r>
        <w:t xml:space="preserve"> </w:t>
      </w:r>
      <w:r>
        <w:rPr>
          <w:b/>
          <w:bCs/>
        </w:rPr>
        <w:t>Alternative</w:t>
      </w:r>
      <w:r w:rsidRPr="00686DAC">
        <w:rPr>
          <w:b/>
          <w:bCs/>
        </w:rPr>
        <w:t xml:space="preserve"> 1</w:t>
      </w:r>
      <w:r>
        <w:rPr>
          <w:b/>
          <w:bCs/>
        </w:rPr>
        <w:t xml:space="preserve"> (No Action)</w:t>
      </w:r>
      <w:r w:rsidRPr="00686DAC">
        <w:rPr>
          <w:b/>
          <w:bCs/>
        </w:rPr>
        <w:t xml:space="preserve"> </w:t>
      </w:r>
      <w:r w:rsidRPr="00686DAC">
        <w:t>lie</w:t>
      </w:r>
      <w:r>
        <w:t>s</w:t>
      </w:r>
      <w:r w:rsidRPr="00686DAC">
        <w:t xml:space="preserve"> on </w:t>
      </w:r>
      <w:r>
        <w:t>the high</w:t>
      </w:r>
      <w:r w:rsidRPr="00686DAC">
        <w:t xml:space="preserve"> end of the continuum for potential negative economic effects because </w:t>
      </w:r>
      <w:r>
        <w:t>it</w:t>
      </w:r>
      <w:r w:rsidRPr="00686DAC">
        <w:t xml:space="preserve"> ha</w:t>
      </w:r>
      <w:r>
        <w:t xml:space="preserve">s </w:t>
      </w:r>
      <w:r w:rsidRPr="00686DAC">
        <w:t xml:space="preserve">the highest probability of triggering restrictive rebuilding actions.  A likely mitigating factor with </w:t>
      </w:r>
      <w:r>
        <w:rPr>
          <w:b/>
          <w:bCs/>
        </w:rPr>
        <w:t>Alternative</w:t>
      </w:r>
      <w:r w:rsidRPr="00686DAC">
        <w:rPr>
          <w:b/>
          <w:bCs/>
        </w:rPr>
        <w:t xml:space="preserve"> 1 (No Action) </w:t>
      </w:r>
      <w:r w:rsidRPr="00686DAC">
        <w:t xml:space="preserve">is the possibility that the required management actions would have adverse economic effects </w:t>
      </w:r>
      <w:r>
        <w:t>that</w:t>
      </w:r>
      <w:r w:rsidRPr="00686DAC">
        <w:t xml:space="preserve"> would not last </w:t>
      </w:r>
      <w:r>
        <w:t xml:space="preserve">as </w:t>
      </w:r>
      <w:r w:rsidRPr="00686DAC">
        <w:t>long</w:t>
      </w:r>
      <w:r>
        <w:t xml:space="preserve"> or not be as severe</w:t>
      </w:r>
      <w:r w:rsidRPr="00686DAC">
        <w:t xml:space="preserve">. </w:t>
      </w:r>
      <w:r>
        <w:t xml:space="preserve"> However,</w:t>
      </w:r>
      <w:r w:rsidRPr="00686DAC">
        <w:t xml:space="preserve"> a frequently varying regulatory regime would tend to de-stabilize business planning and fishing decisions</w:t>
      </w:r>
      <w:r w:rsidR="00B2341E">
        <w:t>,</w:t>
      </w:r>
      <w:r w:rsidRPr="00686DAC">
        <w:t xml:space="preserve"> which could have potentially worse</w:t>
      </w:r>
      <w:r>
        <w:t>n</w:t>
      </w:r>
      <w:r w:rsidRPr="00686DAC">
        <w:t xml:space="preserve"> economic consequences. </w:t>
      </w:r>
      <w:r>
        <w:t xml:space="preserve"> </w:t>
      </w:r>
      <w:r w:rsidRPr="00686DAC">
        <w:t>T</w:t>
      </w:r>
      <w:r>
        <w:t xml:space="preserve">he economic implications of </w:t>
      </w:r>
      <w:r w:rsidRPr="00686DAC">
        <w:rPr>
          <w:b/>
        </w:rPr>
        <w:t xml:space="preserve">Preferred Alternative </w:t>
      </w:r>
      <w:r>
        <w:rPr>
          <w:b/>
        </w:rPr>
        <w:t>3</w:t>
      </w:r>
      <w:r w:rsidRPr="00686DAC">
        <w:t xml:space="preserve"> </w:t>
      </w:r>
      <w:r>
        <w:t xml:space="preserve">and its sub-alternatives </w:t>
      </w:r>
      <w:r w:rsidRPr="00686DAC">
        <w:t xml:space="preserve">may be characterized as falling between </w:t>
      </w:r>
      <w:r>
        <w:rPr>
          <w:b/>
          <w:bCs/>
        </w:rPr>
        <w:t>Alternative</w:t>
      </w:r>
      <w:r w:rsidRPr="00686DAC">
        <w:rPr>
          <w:b/>
          <w:bCs/>
        </w:rPr>
        <w:t xml:space="preserve"> 1 (No Action) </w:t>
      </w:r>
      <w:r w:rsidRPr="00686DAC">
        <w:t xml:space="preserve">and </w:t>
      </w:r>
      <w:r w:rsidRPr="00686DAC">
        <w:rPr>
          <w:b/>
        </w:rPr>
        <w:t xml:space="preserve">Alternative </w:t>
      </w:r>
      <w:r>
        <w:rPr>
          <w:b/>
          <w:bCs/>
        </w:rPr>
        <w:t>2</w:t>
      </w:r>
      <w:r w:rsidRPr="00686DAC">
        <w:t>.</w:t>
      </w:r>
    </w:p>
    <w:p w14:paraId="0F127C4D" w14:textId="77777777" w:rsidR="000D7AB4" w:rsidRDefault="000D7AB4" w:rsidP="000E438C">
      <w:pPr>
        <w:ind w:firstLine="360"/>
      </w:pPr>
    </w:p>
    <w:p w14:paraId="109511F3" w14:textId="662D182D" w:rsidR="005B5A20" w:rsidRPr="00F36594" w:rsidDel="00666827" w:rsidRDefault="00F120D4" w:rsidP="000E438C">
      <w:pPr>
        <w:pStyle w:val="Heading3"/>
        <w:rPr>
          <w:szCs w:val="24"/>
        </w:rPr>
      </w:pPr>
      <w:bookmarkStart w:id="229" w:name="_Toc339811737"/>
      <w:r w:rsidRPr="005B5A20" w:rsidDel="00666827">
        <w:rPr>
          <w:szCs w:val="24"/>
        </w:rPr>
        <w:t>4.2</w:t>
      </w:r>
      <w:r w:rsidR="00532ABB" w:rsidRPr="005B5A20" w:rsidDel="00666827">
        <w:rPr>
          <w:szCs w:val="24"/>
        </w:rPr>
        <w:t>.3</w:t>
      </w:r>
      <w:r w:rsidR="00532ABB" w:rsidRPr="005B5A20" w:rsidDel="00666827">
        <w:rPr>
          <w:szCs w:val="24"/>
        </w:rPr>
        <w:tab/>
        <w:t>Social Effects</w:t>
      </w:r>
      <w:bookmarkEnd w:id="228"/>
      <w:bookmarkEnd w:id="229"/>
    </w:p>
    <w:p w14:paraId="5C1EE59C" w14:textId="15D83C23" w:rsidR="007912CD" w:rsidDel="00666827" w:rsidRDefault="007912CD" w:rsidP="007912CD">
      <w:pPr>
        <w:ind w:firstLine="360"/>
      </w:pPr>
      <w:r w:rsidDel="00666827">
        <w:t>Social effects of revised biological paramete</w:t>
      </w:r>
      <w:r w:rsidR="00326473" w:rsidDel="00666827">
        <w:t>rs such as MSST for a stock would</w:t>
      </w:r>
      <w:r w:rsidDel="00666827">
        <w:t xml:space="preserve"> be associated with both the biological and economic effects of the modified MSST value. </w:t>
      </w:r>
      <w:r w:rsidR="000042F2" w:rsidDel="00666827">
        <w:t xml:space="preserve"> </w:t>
      </w:r>
      <w:r w:rsidDel="00666827">
        <w:t xml:space="preserve">The estimated SSB as compared to MSST serves as a </w:t>
      </w:r>
      <w:r w:rsidR="00B2341E" w:rsidDel="00666827">
        <w:t xml:space="preserve">reference point </w:t>
      </w:r>
      <w:r w:rsidDel="00666827">
        <w:t xml:space="preserve">for designating a stock as overfished. </w:t>
      </w:r>
      <w:r w:rsidR="000042F2" w:rsidDel="00666827">
        <w:t xml:space="preserve"> </w:t>
      </w:r>
      <w:r w:rsidDel="00666827">
        <w:t xml:space="preserve">If the </w:t>
      </w:r>
      <w:r w:rsidR="00B2341E" w:rsidDel="00666827">
        <w:t xml:space="preserve">reference point </w:t>
      </w:r>
      <w:r w:rsidDel="00666827">
        <w:t xml:space="preserve">is not accurately representing the stock status, the outcomes of the ‘overfished’ designation when a stock is not overfished can have negative long and short-term social effects associated with restricted or no access to the fish. </w:t>
      </w:r>
      <w:r w:rsidR="000042F2" w:rsidDel="00666827">
        <w:t xml:space="preserve"> </w:t>
      </w:r>
      <w:r w:rsidDel="00666827">
        <w:t xml:space="preserve">Conversely, if an inaccurate proxy results in a stock designated as not overfished when it </w:t>
      </w:r>
      <w:r w:rsidRPr="00B45A85" w:rsidDel="00666827">
        <w:rPr>
          <w:i/>
        </w:rPr>
        <w:t>is</w:t>
      </w:r>
      <w:r w:rsidDel="00666827">
        <w:t xml:space="preserve"> overfished, the fishing fleets, associated businesses and communities could be negatively impacted in the long term due to decline in the stock and negative broader biological impacts of overfishing.  Lastly, an inaccurate proxy that causes a stock to fluctuate between overfished and not overfished would likely have negative effects on fishermen by requiring changes in regulations on harvest too often.  This could negatively affect stability and planning for fishing businesses, in addition to fishing opportunities for recreational anglers, due to inconsistent access to the resource.  Although for some fishermen, any access to a stock would be beneficial, the positive effects of consistency in regulations (even if access is restricted) and stability the fishery would also be expected from a more fixed designation as overfished or not overfished.  </w:t>
      </w:r>
    </w:p>
    <w:p w14:paraId="6B44F5E2" w14:textId="2387C16A" w:rsidR="007912CD" w:rsidDel="00666827" w:rsidRDefault="007912CD" w:rsidP="007912CD">
      <w:pPr>
        <w:ind w:firstLine="360"/>
      </w:pPr>
    </w:p>
    <w:p w14:paraId="41DE3E9D" w14:textId="389702BD" w:rsidR="00821F02" w:rsidDel="00666827" w:rsidRDefault="007912CD" w:rsidP="000042F2">
      <w:pPr>
        <w:ind w:firstLine="360"/>
      </w:pPr>
      <w:r w:rsidDel="00666827">
        <w:t xml:space="preserve">Under all alternatives, fishermen could be affected by future restricted access to mutton snapper due to an overfished designation, which could have negative effects on associated fishing businesses and communities. </w:t>
      </w:r>
      <w:r w:rsidR="000042F2" w:rsidDel="00666827">
        <w:t xml:space="preserve"> </w:t>
      </w:r>
      <w:r w:rsidDel="00666827">
        <w:t xml:space="preserve">Although </w:t>
      </w:r>
      <w:r w:rsidDel="00666827">
        <w:rPr>
          <w:b/>
        </w:rPr>
        <w:t>Preferred Alternative 3</w:t>
      </w:r>
      <w:r w:rsidDel="00666827">
        <w:t xml:space="preserve"> is the more restrictive approach to set the MSST than under </w:t>
      </w:r>
      <w:r w:rsidDel="00666827">
        <w:rPr>
          <w:b/>
        </w:rPr>
        <w:t xml:space="preserve">Alternatives 1 </w:t>
      </w:r>
      <w:r w:rsidR="000042F2" w:rsidDel="00666827">
        <w:rPr>
          <w:b/>
        </w:rPr>
        <w:t xml:space="preserve">(No Action) </w:t>
      </w:r>
      <w:r w:rsidRPr="0099579B" w:rsidDel="00666827">
        <w:t>and</w:t>
      </w:r>
      <w:r w:rsidDel="00666827">
        <w:rPr>
          <w:b/>
        </w:rPr>
        <w:t xml:space="preserve"> 2</w:t>
      </w:r>
      <w:r w:rsidDel="00666827">
        <w:t>, it would also be the most</w:t>
      </w:r>
      <w:r w:rsidR="00326473" w:rsidDel="00666827">
        <w:t xml:space="preserve"> likely to trigger a</w:t>
      </w:r>
      <w:r w:rsidR="00BA6D9E" w:rsidDel="00666827">
        <w:t>n</w:t>
      </w:r>
      <w:r w:rsidR="00326473" w:rsidDel="00666827">
        <w:t xml:space="preserve"> overfished</w:t>
      </w:r>
      <w:r w:rsidDel="00666827">
        <w:t xml:space="preserve"> status, which may avoid more severe biological impacts to the stock.</w:t>
      </w:r>
    </w:p>
    <w:p w14:paraId="0614F4BD" w14:textId="77777777" w:rsidR="005B5A20" w:rsidRPr="00821F02" w:rsidRDefault="00F120D4" w:rsidP="00D71AB1">
      <w:pPr>
        <w:pStyle w:val="Heading3"/>
        <w:rPr>
          <w:szCs w:val="24"/>
        </w:rPr>
      </w:pPr>
      <w:bookmarkStart w:id="230" w:name="_Toc361410417"/>
      <w:bookmarkStart w:id="231" w:name="_Toc339811738"/>
      <w:r w:rsidRPr="005B5A20">
        <w:rPr>
          <w:szCs w:val="24"/>
        </w:rPr>
        <w:lastRenderedPageBreak/>
        <w:t>4.2</w:t>
      </w:r>
      <w:r w:rsidR="00532ABB" w:rsidRPr="005B5A20">
        <w:rPr>
          <w:szCs w:val="24"/>
        </w:rPr>
        <w:t>.4</w:t>
      </w:r>
      <w:r w:rsidR="00532ABB" w:rsidRPr="005B5A20">
        <w:rPr>
          <w:szCs w:val="24"/>
        </w:rPr>
        <w:tab/>
        <w:t>Administrative Effects</w:t>
      </w:r>
      <w:bookmarkEnd w:id="230"/>
      <w:bookmarkEnd w:id="231"/>
      <w:r w:rsidR="00532ABB" w:rsidRPr="005B5A20">
        <w:rPr>
          <w:szCs w:val="24"/>
        </w:rPr>
        <w:t xml:space="preserve"> </w:t>
      </w:r>
    </w:p>
    <w:p w14:paraId="106F49CB" w14:textId="7A1CBB04" w:rsidR="00301A55" w:rsidRPr="00B709D6" w:rsidRDefault="00301A55" w:rsidP="00301A55">
      <w:pPr>
        <w:rPr>
          <w:b/>
        </w:rPr>
      </w:pPr>
      <w:r>
        <w:rPr>
          <w:b/>
        </w:rPr>
        <w:t xml:space="preserve">     </w:t>
      </w:r>
      <w:r w:rsidR="00B709D6" w:rsidRPr="00B709D6">
        <w:t>The MSST is the level of biomass below which a species would be considered overfished and is thus tied to implementation of management measures.  Those management measures would directly impact the administrative environment according to the level of conservativeness associated with the chosen MSST and subsequent restrictions placed on the species to constrain harvest levels.  The larger the buffer between MSST and SSB</w:t>
      </w:r>
      <w:r w:rsidR="00B709D6" w:rsidRPr="00B709D6">
        <w:rPr>
          <w:vertAlign w:val="subscript"/>
        </w:rPr>
        <w:t>MSY</w:t>
      </w:r>
      <w:r w:rsidR="00B709D6" w:rsidRPr="00B709D6">
        <w:t xml:space="preserve">, the lower the probability that mutton snapper would be considered overfished and require a rebuilding plan.  Therefore, administrative effects would be lowest for </w:t>
      </w:r>
      <w:r w:rsidR="00B709D6" w:rsidRPr="00B709D6">
        <w:rPr>
          <w:b/>
        </w:rPr>
        <w:t>Alternative 3 (Preferred)</w:t>
      </w:r>
      <w:r w:rsidR="00B709D6" w:rsidRPr="00B709D6">
        <w:t xml:space="preserve">, followed by </w:t>
      </w:r>
      <w:r w:rsidR="00B709D6" w:rsidRPr="00B709D6">
        <w:rPr>
          <w:b/>
        </w:rPr>
        <w:t>Alternative 2</w:t>
      </w:r>
      <w:r w:rsidR="00B709D6" w:rsidRPr="00B709D6">
        <w:t xml:space="preserve"> and </w:t>
      </w:r>
      <w:r w:rsidR="00B709D6" w:rsidRPr="00B709D6">
        <w:rPr>
          <w:b/>
        </w:rPr>
        <w:t>Alternative 1 (No Action)</w:t>
      </w:r>
      <w:r w:rsidR="00B709D6" w:rsidRPr="00B709D6">
        <w:t>.</w:t>
      </w:r>
    </w:p>
    <w:p w14:paraId="186EA38D" w14:textId="77777777" w:rsidR="00301A55" w:rsidRDefault="00301A55" w:rsidP="00301A55"/>
    <w:p w14:paraId="6CFDB91E" w14:textId="02651274" w:rsidR="00FD2542" w:rsidRDefault="00FD2542">
      <w:r>
        <w:br w:type="page"/>
      </w:r>
    </w:p>
    <w:p w14:paraId="5CB3B885" w14:textId="6B1DB17C" w:rsidR="00532ABB" w:rsidRPr="00613048" w:rsidRDefault="00CE07F1" w:rsidP="00613048">
      <w:pPr>
        <w:pStyle w:val="Heading2"/>
        <w:rPr>
          <w:rFonts w:ascii="Arial" w:hAnsi="Arial" w:cs="Arial"/>
        </w:rPr>
      </w:pPr>
      <w:bookmarkStart w:id="232" w:name="_Toc339811739"/>
      <w:r>
        <w:rPr>
          <w:rFonts w:ascii="Arial" w:hAnsi="Arial" w:cs="Arial"/>
        </w:rPr>
        <w:lastRenderedPageBreak/>
        <w:t>4.3</w:t>
      </w:r>
      <w:r>
        <w:rPr>
          <w:rFonts w:ascii="Arial" w:hAnsi="Arial" w:cs="Arial"/>
        </w:rPr>
        <w:tab/>
      </w:r>
      <w:r w:rsidR="00FD2542" w:rsidRPr="00FD2542">
        <w:rPr>
          <w:rFonts w:ascii="Arial" w:hAnsi="Arial" w:cs="Arial"/>
        </w:rPr>
        <w:t xml:space="preserve">Action 3.  </w:t>
      </w:r>
      <w:r w:rsidRPr="008565BE">
        <w:rPr>
          <w:rFonts w:ascii="Arial" w:hAnsi="Arial" w:cs="Arial"/>
        </w:rPr>
        <w:t xml:space="preserve">Revise annual catch limits (ACLs) and optimum yield (OY) for mutton snapper </w:t>
      </w:r>
      <w:r w:rsidR="00774344" w:rsidRPr="008565BE">
        <w:rPr>
          <w:rFonts w:ascii="Arial" w:hAnsi="Arial" w:cs="Arial"/>
        </w:rPr>
        <w:t>in the South Atlantic R</w:t>
      </w:r>
      <w:r w:rsidRPr="008565BE">
        <w:rPr>
          <w:rFonts w:ascii="Arial" w:hAnsi="Arial" w:cs="Arial"/>
        </w:rPr>
        <w:t>egion</w:t>
      </w:r>
      <w:bookmarkEnd w:id="232"/>
    </w:p>
    <w:p w14:paraId="5A2805DE" w14:textId="6B48D2FA" w:rsidR="00FD2542" w:rsidRDefault="002B189D" w:rsidP="00613048">
      <w:r w:rsidRPr="000E374B">
        <w:rPr>
          <w:noProof/>
        </w:rPr>
        <mc:AlternateContent>
          <mc:Choice Requires="wps">
            <w:drawing>
              <wp:anchor distT="0" distB="0" distL="114300" distR="114300" simplePos="0" relativeHeight="251673088" behindDoc="0" locked="0" layoutInCell="1" allowOverlap="1" wp14:anchorId="0CA7EE93" wp14:editId="5AA43083">
                <wp:simplePos x="0" y="0"/>
                <wp:positionH relativeFrom="margin">
                  <wp:posOffset>2940050</wp:posOffset>
                </wp:positionH>
                <wp:positionV relativeFrom="margin">
                  <wp:posOffset>688340</wp:posOffset>
                </wp:positionV>
                <wp:extent cx="2998470" cy="3426460"/>
                <wp:effectExtent l="25400" t="101600" r="125730" b="533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3426460"/>
                        </a:xfrm>
                        <a:prstGeom prst="rect">
                          <a:avLst/>
                        </a:prstGeom>
                        <a:solidFill>
                          <a:srgbClr val="FFFFFF"/>
                        </a:solidFill>
                        <a:ln w="9525">
                          <a:solidFill>
                            <a:schemeClr val="tx2">
                              <a:lumMod val="60000"/>
                              <a:lumOff val="40000"/>
                            </a:schemeClr>
                          </a:solidFill>
                          <a:miter lim="800000"/>
                          <a:headEnd/>
                          <a:tailEnd/>
                        </a:ln>
                        <a:effectLst>
                          <a:outerShdw blurRad="50800" dist="38100" dir="18900000" algn="bl" rotWithShape="0">
                            <a:prstClr val="black">
                              <a:alpha val="40000"/>
                            </a:prstClr>
                          </a:outerShdw>
                        </a:effectLst>
                      </wps:spPr>
                      <wps:txbx>
                        <w:txbxContent>
                          <w:p w14:paraId="3523536A" w14:textId="67E5FCCF" w:rsidR="009108B8" w:rsidRPr="002B189D" w:rsidRDefault="009108B8" w:rsidP="00FD2542">
                            <w:pPr>
                              <w:jc w:val="center"/>
                              <w:rPr>
                                <w:rFonts w:ascii="Arial" w:hAnsi="Arial" w:cs="Arial"/>
                                <w:b/>
                                <w:i/>
                                <w:iCs/>
                                <w:color w:val="365F91" w:themeColor="accent1" w:themeShade="BF"/>
                              </w:rPr>
                            </w:pPr>
                            <w:r w:rsidRPr="002B189D">
                              <w:rPr>
                                <w:rFonts w:ascii="Arial" w:hAnsi="Arial" w:cs="Arial"/>
                                <w:b/>
                                <w:i/>
                                <w:iCs/>
                                <w:color w:val="365F91" w:themeColor="accent1" w:themeShade="BF"/>
                              </w:rPr>
                              <w:t>Alternatives*</w:t>
                            </w:r>
                          </w:p>
                          <w:p w14:paraId="2743E080" w14:textId="77777777" w:rsidR="009108B8" w:rsidRPr="00136AE9" w:rsidRDefault="009108B8" w:rsidP="00FD2542">
                            <w:pPr>
                              <w:jc w:val="center"/>
                              <w:rPr>
                                <w:rFonts w:ascii="Arial" w:hAnsi="Arial" w:cs="Arial"/>
                                <w:b/>
                                <w:i/>
                                <w:iCs/>
                                <w:color w:val="365F91" w:themeColor="accent1" w:themeShade="BF"/>
                                <w:sz w:val="20"/>
                                <w:szCs w:val="20"/>
                              </w:rPr>
                            </w:pPr>
                          </w:p>
                          <w:p w14:paraId="720863EA" w14:textId="51D669E7" w:rsidR="009108B8" w:rsidRPr="00136AE9" w:rsidRDefault="009108B8" w:rsidP="00FD2542">
                            <w:pPr>
                              <w:pStyle w:val="Normal1"/>
                              <w:spacing w:line="240" w:lineRule="auto"/>
                              <w:contextualSpacing/>
                              <w:rPr>
                                <w:color w:val="1F497D" w:themeColor="text2"/>
                                <w:sz w:val="20"/>
                                <w:szCs w:val="20"/>
                              </w:rPr>
                            </w:pPr>
                            <w:r w:rsidRPr="00136AE9">
                              <w:rPr>
                                <w:color w:val="1F497D" w:themeColor="text2"/>
                                <w:sz w:val="20"/>
                                <w:szCs w:val="20"/>
                              </w:rPr>
                              <w:t xml:space="preserve">1 (No Action).  </w:t>
                            </w:r>
                            <w:r w:rsidRPr="002B189D">
                              <w:rPr>
                                <w:color w:val="1F497D" w:themeColor="text2"/>
                                <w:sz w:val="20"/>
                                <w:szCs w:val="20"/>
                              </w:rPr>
                              <w:t xml:space="preserve">The current </w:t>
                            </w:r>
                            <w:r>
                              <w:rPr>
                                <w:color w:val="1F497D" w:themeColor="text2"/>
                                <w:sz w:val="20"/>
                                <w:szCs w:val="20"/>
                              </w:rPr>
                              <w:t xml:space="preserve">ABC </w:t>
                            </w:r>
                            <w:r w:rsidRPr="002B189D">
                              <w:rPr>
                                <w:color w:val="1F497D" w:themeColor="text2"/>
                                <w:sz w:val="20"/>
                                <w:szCs w:val="20"/>
                              </w:rPr>
                              <w:t xml:space="preserve">for mutton snapper is 926,600 lbs ww based on a jurisdictional allocation for the South Atlantic of 82% of the </w:t>
                            </w:r>
                            <w:r>
                              <w:rPr>
                                <w:color w:val="1F497D" w:themeColor="text2"/>
                                <w:sz w:val="20"/>
                                <w:szCs w:val="20"/>
                              </w:rPr>
                              <w:t>ABC</w:t>
                            </w:r>
                            <w:r w:rsidRPr="002B189D">
                              <w:rPr>
                                <w:color w:val="1F497D" w:themeColor="text2"/>
                                <w:sz w:val="20"/>
                                <w:szCs w:val="20"/>
                              </w:rPr>
                              <w:t xml:space="preserve"> and is set equal to </w:t>
                            </w:r>
                            <w:r>
                              <w:rPr>
                                <w:color w:val="1F497D" w:themeColor="text2"/>
                                <w:sz w:val="20"/>
                                <w:szCs w:val="20"/>
                              </w:rPr>
                              <w:t>OY</w:t>
                            </w:r>
                            <w:r w:rsidRPr="002B189D">
                              <w:rPr>
                                <w:color w:val="1F497D" w:themeColor="text2"/>
                                <w:sz w:val="20"/>
                                <w:szCs w:val="20"/>
                              </w:rPr>
                              <w:t xml:space="preserve"> and the total </w:t>
                            </w:r>
                            <w:r>
                              <w:rPr>
                                <w:color w:val="1F497D" w:themeColor="text2"/>
                                <w:sz w:val="20"/>
                                <w:szCs w:val="20"/>
                              </w:rPr>
                              <w:t>ACL</w:t>
                            </w:r>
                            <w:r w:rsidRPr="002B189D">
                              <w:rPr>
                                <w:color w:val="1F497D" w:themeColor="text2"/>
                                <w:sz w:val="20"/>
                                <w:szCs w:val="20"/>
                              </w:rPr>
                              <w:t xml:space="preserve">. The commercial </w:t>
                            </w:r>
                            <w:r>
                              <w:rPr>
                                <w:color w:val="1F497D" w:themeColor="text2"/>
                                <w:sz w:val="20"/>
                                <w:szCs w:val="20"/>
                              </w:rPr>
                              <w:t>ACL</w:t>
                            </w:r>
                            <w:r w:rsidRPr="002B189D">
                              <w:rPr>
                                <w:color w:val="1F497D" w:themeColor="text2"/>
                                <w:sz w:val="20"/>
                                <w:szCs w:val="20"/>
                              </w:rPr>
                              <w:t xml:space="preserve"> is 157,743 lbs ww (17.02%) and the recreational </w:t>
                            </w:r>
                            <w:r>
                              <w:rPr>
                                <w:color w:val="1F497D" w:themeColor="text2"/>
                                <w:sz w:val="20"/>
                                <w:szCs w:val="20"/>
                              </w:rPr>
                              <w:t>ACL</w:t>
                            </w:r>
                            <w:r w:rsidRPr="002B189D">
                              <w:rPr>
                                <w:color w:val="1F497D" w:themeColor="text2"/>
                                <w:sz w:val="20"/>
                                <w:szCs w:val="20"/>
                              </w:rPr>
                              <w:t xml:space="preserve"> is 768,857 lbs ww (82.98%).</w:t>
                            </w:r>
                          </w:p>
                          <w:p w14:paraId="46EE0AE8" w14:textId="77777777" w:rsidR="009108B8" w:rsidRPr="00136AE9" w:rsidRDefault="009108B8" w:rsidP="00FD2542">
                            <w:pPr>
                              <w:contextualSpacing/>
                              <w:rPr>
                                <w:rFonts w:ascii="Arial" w:eastAsia="Courier New" w:hAnsi="Arial" w:cs="Arial"/>
                                <w:color w:val="1F497D" w:themeColor="text2"/>
                                <w:sz w:val="20"/>
                                <w:szCs w:val="20"/>
                              </w:rPr>
                            </w:pPr>
                          </w:p>
                          <w:p w14:paraId="35254CB6" w14:textId="1F77904D" w:rsidR="009108B8" w:rsidRPr="00136AE9" w:rsidRDefault="009108B8" w:rsidP="00FD2542">
                            <w:pPr>
                              <w:contextualSpacing/>
                              <w:rPr>
                                <w:rFonts w:ascii="Arial" w:eastAsia="Courier New" w:hAnsi="Arial" w:cs="Arial"/>
                                <w:b/>
                                <w:color w:val="1F497D" w:themeColor="text2"/>
                                <w:sz w:val="20"/>
                                <w:szCs w:val="20"/>
                              </w:rPr>
                            </w:pPr>
                            <w:r w:rsidRPr="00136AE9">
                              <w:rPr>
                                <w:rFonts w:ascii="Arial" w:hAnsi="Arial" w:cs="Arial"/>
                                <w:b/>
                                <w:color w:val="1F497D" w:themeColor="text2"/>
                                <w:sz w:val="20"/>
                                <w:szCs w:val="20"/>
                              </w:rPr>
                              <w:t xml:space="preserve">2. </w:t>
                            </w:r>
                            <w:r w:rsidRPr="002B189D">
                              <w:rPr>
                                <w:rFonts w:ascii="Arial" w:hAnsi="Arial" w:cs="Arial"/>
                                <w:b/>
                                <w:color w:val="1F497D" w:themeColor="text2"/>
                                <w:sz w:val="20"/>
                                <w:szCs w:val="20"/>
                              </w:rPr>
                              <w:t xml:space="preserve">Specify </w:t>
                            </w:r>
                            <w:r>
                              <w:rPr>
                                <w:rFonts w:ascii="Arial" w:hAnsi="Arial" w:cs="Arial"/>
                                <w:b/>
                                <w:color w:val="1F497D" w:themeColor="text2"/>
                                <w:sz w:val="20"/>
                                <w:szCs w:val="20"/>
                              </w:rPr>
                              <w:t>ACLs</w:t>
                            </w:r>
                            <w:r w:rsidRPr="002B189D">
                              <w:rPr>
                                <w:rFonts w:ascii="Arial" w:hAnsi="Arial" w:cs="Arial"/>
                                <w:b/>
                                <w:color w:val="1F497D" w:themeColor="text2"/>
                                <w:sz w:val="20"/>
                                <w:szCs w:val="20"/>
                              </w:rPr>
                              <w:t xml:space="preserve"> and </w:t>
                            </w:r>
                            <w:r>
                              <w:rPr>
                                <w:rFonts w:ascii="Arial" w:hAnsi="Arial" w:cs="Arial"/>
                                <w:b/>
                                <w:color w:val="1F497D" w:themeColor="text2"/>
                                <w:sz w:val="20"/>
                                <w:szCs w:val="20"/>
                              </w:rPr>
                              <w:t>OY</w:t>
                            </w:r>
                            <w:r w:rsidRPr="002B189D">
                              <w:rPr>
                                <w:rFonts w:ascii="Arial" w:hAnsi="Arial" w:cs="Arial"/>
                                <w:b/>
                                <w:color w:val="1F497D" w:themeColor="text2"/>
                                <w:sz w:val="20"/>
                                <w:szCs w:val="20"/>
                              </w:rPr>
                              <w:t xml:space="preserve"> for the South Atlantic using the existing sector allocations (17.02% commercial and 82.98% recreational) and specify the recreational </w:t>
                            </w:r>
                            <w:r>
                              <w:rPr>
                                <w:rFonts w:ascii="Arial" w:hAnsi="Arial" w:cs="Arial"/>
                                <w:b/>
                                <w:color w:val="1F497D" w:themeColor="text2"/>
                                <w:sz w:val="20"/>
                                <w:szCs w:val="20"/>
                              </w:rPr>
                              <w:t>ACL</w:t>
                            </w:r>
                            <w:r w:rsidRPr="002B189D">
                              <w:rPr>
                                <w:rFonts w:ascii="Arial" w:hAnsi="Arial" w:cs="Arial"/>
                                <w:b/>
                                <w:color w:val="1F497D" w:themeColor="text2"/>
                                <w:sz w:val="20"/>
                                <w:szCs w:val="20"/>
                              </w:rPr>
                              <w:t xml:space="preserve"> in numbers of fish.  The </w:t>
                            </w:r>
                            <w:r>
                              <w:rPr>
                                <w:rFonts w:ascii="Arial" w:hAnsi="Arial" w:cs="Arial"/>
                                <w:b/>
                                <w:color w:val="1F497D" w:themeColor="text2"/>
                                <w:sz w:val="20"/>
                                <w:szCs w:val="20"/>
                              </w:rPr>
                              <w:t xml:space="preserve">ACLs </w:t>
                            </w:r>
                            <w:r w:rsidRPr="002B189D">
                              <w:rPr>
                                <w:rFonts w:ascii="Arial" w:hAnsi="Arial" w:cs="Arial"/>
                                <w:b/>
                                <w:color w:val="1F497D" w:themeColor="text2"/>
                                <w:sz w:val="20"/>
                                <w:szCs w:val="20"/>
                              </w:rPr>
                              <w:t>specified for 2020 would remain in place until modified.</w:t>
                            </w:r>
                          </w:p>
                          <w:p w14:paraId="48EA97EE" w14:textId="77777777" w:rsidR="009108B8" w:rsidRPr="00136AE9" w:rsidRDefault="009108B8" w:rsidP="00D27A53">
                            <w:pPr>
                              <w:ind w:left="540"/>
                              <w:contextualSpacing/>
                              <w:rPr>
                                <w:rFonts w:ascii="Arial" w:hAnsi="Arial" w:cs="Arial"/>
                                <w:b/>
                                <w:color w:val="1F497D" w:themeColor="text2"/>
                                <w:sz w:val="20"/>
                                <w:szCs w:val="20"/>
                              </w:rPr>
                            </w:pPr>
                            <w:r w:rsidRPr="00136AE9">
                              <w:rPr>
                                <w:rFonts w:ascii="Arial" w:hAnsi="Arial" w:cs="Arial"/>
                                <w:b/>
                                <w:color w:val="1F497D" w:themeColor="text2"/>
                                <w:sz w:val="20"/>
                                <w:szCs w:val="20"/>
                              </w:rPr>
                              <w:t xml:space="preserve">Sub-alternative 2a.  ACL = OY = ABC.  </w:t>
                            </w:r>
                          </w:p>
                          <w:p w14:paraId="6AD36B36" w14:textId="77777777" w:rsidR="009108B8" w:rsidRPr="00136AE9" w:rsidRDefault="009108B8" w:rsidP="00D27A53">
                            <w:pPr>
                              <w:ind w:left="540"/>
                              <w:contextualSpacing/>
                              <w:rPr>
                                <w:rFonts w:ascii="Arial" w:hAnsi="Arial" w:cs="Arial"/>
                                <w:color w:val="1F497D" w:themeColor="text2"/>
                                <w:sz w:val="20"/>
                                <w:szCs w:val="20"/>
                              </w:rPr>
                            </w:pPr>
                            <w:r w:rsidRPr="00136AE9">
                              <w:rPr>
                                <w:rFonts w:ascii="Arial" w:hAnsi="Arial" w:cs="Arial"/>
                                <w:color w:val="1F497D" w:themeColor="text2"/>
                                <w:sz w:val="20"/>
                                <w:szCs w:val="20"/>
                              </w:rPr>
                              <w:t xml:space="preserve">Sub-alternative 2b.  ACL = OY = 95% ABC.  </w:t>
                            </w:r>
                          </w:p>
                          <w:p w14:paraId="72FCA134" w14:textId="4BC4EA15" w:rsidR="009108B8" w:rsidRPr="00136AE9" w:rsidRDefault="009108B8" w:rsidP="00D27A53">
                            <w:pPr>
                              <w:ind w:left="540"/>
                              <w:contextualSpacing/>
                              <w:rPr>
                                <w:rFonts w:ascii="Arial" w:hAnsi="Arial" w:cs="Arial"/>
                                <w:color w:val="1F497D" w:themeColor="text2"/>
                                <w:sz w:val="20"/>
                                <w:szCs w:val="20"/>
                              </w:rPr>
                            </w:pPr>
                            <w:r w:rsidRPr="00136AE9">
                              <w:rPr>
                                <w:rFonts w:ascii="Arial" w:hAnsi="Arial" w:cs="Arial"/>
                                <w:color w:val="1F497D" w:themeColor="text2"/>
                                <w:sz w:val="20"/>
                                <w:szCs w:val="20"/>
                              </w:rPr>
                              <w:t>Sub-alternative 2c.  ACL = OY = 90% ABC.</w:t>
                            </w:r>
                          </w:p>
                          <w:p w14:paraId="71A15658" w14:textId="77777777" w:rsidR="009108B8" w:rsidRPr="00136AE9" w:rsidRDefault="009108B8" w:rsidP="00FD2542">
                            <w:pPr>
                              <w:contextualSpacing/>
                              <w:rPr>
                                <w:rFonts w:ascii="Arial" w:eastAsia="Courier New" w:hAnsi="Arial" w:cs="Arial"/>
                                <w:b/>
                                <w:color w:val="1F497D" w:themeColor="text2"/>
                                <w:sz w:val="20"/>
                                <w:szCs w:val="20"/>
                              </w:rPr>
                            </w:pPr>
                          </w:p>
                          <w:p w14:paraId="6FEE42A9" w14:textId="77777777" w:rsidR="009108B8" w:rsidRPr="00E03046" w:rsidRDefault="009108B8" w:rsidP="002B189D">
                            <w:pPr>
                              <w:rPr>
                                <w:rFonts w:ascii="Arial" w:hAnsi="Arial" w:cs="Arial"/>
                                <w:color w:val="1F497D" w:themeColor="text2"/>
                                <w:sz w:val="20"/>
                                <w:szCs w:val="20"/>
                              </w:rPr>
                            </w:pPr>
                            <w:r w:rsidRPr="00E03046">
                              <w:rPr>
                                <w:rFonts w:ascii="Arial" w:hAnsi="Arial" w:cs="Arial"/>
                                <w:color w:val="1F497D" w:themeColor="text2"/>
                                <w:sz w:val="20"/>
                                <w:szCs w:val="20"/>
                              </w:rPr>
                              <w:t>*</w:t>
                            </w:r>
                            <w:r w:rsidRPr="002B189D">
                              <w:rPr>
                                <w:rFonts w:ascii="Arial" w:eastAsiaTheme="minorHAnsi" w:hAnsi="Arial" w:cs="Arial"/>
                                <w:color w:val="1F497D" w:themeColor="text2"/>
                                <w:sz w:val="20"/>
                                <w:szCs w:val="20"/>
                              </w:rPr>
                              <w:t xml:space="preserve"> </w:t>
                            </w:r>
                            <w:r>
                              <w:rPr>
                                <w:rFonts w:ascii="Arial" w:eastAsiaTheme="minorHAnsi" w:hAnsi="Arial" w:cs="Arial"/>
                                <w:color w:val="1F497D" w:themeColor="text2"/>
                                <w:sz w:val="20"/>
                                <w:szCs w:val="20"/>
                              </w:rPr>
                              <w:t xml:space="preserve">Preferred indicated in bold.  </w:t>
                            </w:r>
                            <w:r w:rsidRPr="00E03046">
                              <w:rPr>
                                <w:rFonts w:ascii="Arial" w:hAnsi="Arial" w:cs="Arial"/>
                                <w:color w:val="1F497D" w:themeColor="text2"/>
                                <w:sz w:val="20"/>
                                <w:szCs w:val="20"/>
                              </w:rPr>
                              <w:t>Refer to Chapter 2 for detailed language of alternatives</w:t>
                            </w:r>
                          </w:p>
                          <w:p w14:paraId="557A56DE" w14:textId="77777777" w:rsidR="009108B8" w:rsidRPr="00136AE9" w:rsidRDefault="009108B8" w:rsidP="00FD2542">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31.5pt;margin-top:54.2pt;width:236.1pt;height:269.8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" strokecolor="#548dd4 [1951]">
                <v:shadow on="t" opacity="26214f" mv:blur="50800f" origin="-.5,.5" offset="26941emu,-26941emu"/>
                <v:textbox>
                  <w:txbxContent>
                    <w:p w14:paraId="3523536A" w14:textId="67E5FCCF" w:rsidR="009108B8" w:rsidRPr="002B189D" w:rsidRDefault="009108B8" w:rsidP="00FD2542">
                      <w:pPr>
                        <w:jc w:val="center"/>
                        <w:rPr>
                          <w:rFonts w:ascii="Arial" w:hAnsi="Arial" w:cs="Arial"/>
                          <w:b/>
                          <w:i/>
                          <w:iCs/>
                          <w:color w:val="365F91" w:themeColor="accent1" w:themeShade="BF"/>
                        </w:rPr>
                      </w:pPr>
                      <w:r w:rsidRPr="002B189D">
                        <w:rPr>
                          <w:rFonts w:ascii="Arial" w:hAnsi="Arial" w:cs="Arial"/>
                          <w:b/>
                          <w:i/>
                          <w:iCs/>
                          <w:color w:val="365F91" w:themeColor="accent1" w:themeShade="BF"/>
                        </w:rPr>
                        <w:t>Alternatives*</w:t>
                      </w:r>
                    </w:p>
                    <w:p w14:paraId="2743E080" w14:textId="77777777" w:rsidR="009108B8" w:rsidRPr="00136AE9" w:rsidRDefault="009108B8" w:rsidP="00FD2542">
                      <w:pPr>
                        <w:jc w:val="center"/>
                        <w:rPr>
                          <w:rFonts w:ascii="Arial" w:hAnsi="Arial" w:cs="Arial"/>
                          <w:b/>
                          <w:i/>
                          <w:iCs/>
                          <w:color w:val="365F91" w:themeColor="accent1" w:themeShade="BF"/>
                          <w:sz w:val="20"/>
                          <w:szCs w:val="20"/>
                        </w:rPr>
                      </w:pPr>
                    </w:p>
                    <w:p w14:paraId="720863EA" w14:textId="51D669E7" w:rsidR="009108B8" w:rsidRPr="00136AE9" w:rsidRDefault="009108B8" w:rsidP="00FD2542">
                      <w:pPr>
                        <w:pStyle w:val="Normal1"/>
                        <w:spacing w:line="240" w:lineRule="auto"/>
                        <w:contextualSpacing/>
                        <w:rPr>
                          <w:color w:val="1F497D" w:themeColor="text2"/>
                          <w:sz w:val="20"/>
                          <w:szCs w:val="20"/>
                        </w:rPr>
                      </w:pPr>
                      <w:r w:rsidRPr="00136AE9">
                        <w:rPr>
                          <w:color w:val="1F497D" w:themeColor="text2"/>
                          <w:sz w:val="20"/>
                          <w:szCs w:val="20"/>
                        </w:rPr>
                        <w:t xml:space="preserve">1 (No Action).  </w:t>
                      </w:r>
                      <w:r w:rsidRPr="002B189D">
                        <w:rPr>
                          <w:color w:val="1F497D" w:themeColor="text2"/>
                          <w:sz w:val="20"/>
                          <w:szCs w:val="20"/>
                        </w:rPr>
                        <w:t xml:space="preserve">The current </w:t>
                      </w:r>
                      <w:r>
                        <w:rPr>
                          <w:color w:val="1F497D" w:themeColor="text2"/>
                          <w:sz w:val="20"/>
                          <w:szCs w:val="20"/>
                        </w:rPr>
                        <w:t xml:space="preserve">ABC </w:t>
                      </w:r>
                      <w:r w:rsidRPr="002B189D">
                        <w:rPr>
                          <w:color w:val="1F497D" w:themeColor="text2"/>
                          <w:sz w:val="20"/>
                          <w:szCs w:val="20"/>
                        </w:rPr>
                        <w:t xml:space="preserve">for mutton snapper is 926,600 lbs ww based on a jurisdictional allocation for the South Atlantic of 82% of the </w:t>
                      </w:r>
                      <w:r>
                        <w:rPr>
                          <w:color w:val="1F497D" w:themeColor="text2"/>
                          <w:sz w:val="20"/>
                          <w:szCs w:val="20"/>
                        </w:rPr>
                        <w:t>ABC</w:t>
                      </w:r>
                      <w:r w:rsidRPr="002B189D">
                        <w:rPr>
                          <w:color w:val="1F497D" w:themeColor="text2"/>
                          <w:sz w:val="20"/>
                          <w:szCs w:val="20"/>
                        </w:rPr>
                        <w:t xml:space="preserve"> and is set equal to </w:t>
                      </w:r>
                      <w:r>
                        <w:rPr>
                          <w:color w:val="1F497D" w:themeColor="text2"/>
                          <w:sz w:val="20"/>
                          <w:szCs w:val="20"/>
                        </w:rPr>
                        <w:t>OY</w:t>
                      </w:r>
                      <w:r w:rsidRPr="002B189D">
                        <w:rPr>
                          <w:color w:val="1F497D" w:themeColor="text2"/>
                          <w:sz w:val="20"/>
                          <w:szCs w:val="20"/>
                        </w:rPr>
                        <w:t xml:space="preserve"> and the total </w:t>
                      </w:r>
                      <w:r>
                        <w:rPr>
                          <w:color w:val="1F497D" w:themeColor="text2"/>
                          <w:sz w:val="20"/>
                          <w:szCs w:val="20"/>
                        </w:rPr>
                        <w:t>ACL</w:t>
                      </w:r>
                      <w:r w:rsidRPr="002B189D">
                        <w:rPr>
                          <w:color w:val="1F497D" w:themeColor="text2"/>
                          <w:sz w:val="20"/>
                          <w:szCs w:val="20"/>
                        </w:rPr>
                        <w:t xml:space="preserve">. The commercial </w:t>
                      </w:r>
                      <w:r>
                        <w:rPr>
                          <w:color w:val="1F497D" w:themeColor="text2"/>
                          <w:sz w:val="20"/>
                          <w:szCs w:val="20"/>
                        </w:rPr>
                        <w:t>ACL</w:t>
                      </w:r>
                      <w:r w:rsidRPr="002B189D">
                        <w:rPr>
                          <w:color w:val="1F497D" w:themeColor="text2"/>
                          <w:sz w:val="20"/>
                          <w:szCs w:val="20"/>
                        </w:rPr>
                        <w:t xml:space="preserve"> is 157,743 lbs ww (17.02%) and the recreational </w:t>
                      </w:r>
                      <w:r>
                        <w:rPr>
                          <w:color w:val="1F497D" w:themeColor="text2"/>
                          <w:sz w:val="20"/>
                          <w:szCs w:val="20"/>
                        </w:rPr>
                        <w:t>ACL</w:t>
                      </w:r>
                      <w:r w:rsidRPr="002B189D">
                        <w:rPr>
                          <w:color w:val="1F497D" w:themeColor="text2"/>
                          <w:sz w:val="20"/>
                          <w:szCs w:val="20"/>
                        </w:rPr>
                        <w:t xml:space="preserve"> is 768,857 lbs ww (82.98%).</w:t>
                      </w:r>
                    </w:p>
                    <w:p w14:paraId="46EE0AE8" w14:textId="77777777" w:rsidR="009108B8" w:rsidRPr="00136AE9" w:rsidRDefault="009108B8" w:rsidP="00FD2542">
                      <w:pPr>
                        <w:contextualSpacing/>
                        <w:rPr>
                          <w:rFonts w:ascii="Arial" w:eastAsia="Courier New" w:hAnsi="Arial" w:cs="Arial"/>
                          <w:color w:val="1F497D" w:themeColor="text2"/>
                          <w:sz w:val="20"/>
                          <w:szCs w:val="20"/>
                        </w:rPr>
                      </w:pPr>
                    </w:p>
                    <w:p w14:paraId="35254CB6" w14:textId="1F77904D" w:rsidR="009108B8" w:rsidRPr="00136AE9" w:rsidRDefault="009108B8" w:rsidP="00FD2542">
                      <w:pPr>
                        <w:contextualSpacing/>
                        <w:rPr>
                          <w:rFonts w:ascii="Arial" w:eastAsia="Courier New" w:hAnsi="Arial" w:cs="Arial"/>
                          <w:b/>
                          <w:color w:val="1F497D" w:themeColor="text2"/>
                          <w:sz w:val="20"/>
                          <w:szCs w:val="20"/>
                        </w:rPr>
                      </w:pPr>
                      <w:r w:rsidRPr="00136AE9">
                        <w:rPr>
                          <w:rFonts w:ascii="Arial" w:hAnsi="Arial" w:cs="Arial"/>
                          <w:b/>
                          <w:color w:val="1F497D" w:themeColor="text2"/>
                          <w:sz w:val="20"/>
                          <w:szCs w:val="20"/>
                        </w:rPr>
                        <w:t xml:space="preserve">2. </w:t>
                      </w:r>
                      <w:r w:rsidRPr="002B189D">
                        <w:rPr>
                          <w:rFonts w:ascii="Arial" w:hAnsi="Arial" w:cs="Arial"/>
                          <w:b/>
                          <w:color w:val="1F497D" w:themeColor="text2"/>
                          <w:sz w:val="20"/>
                          <w:szCs w:val="20"/>
                        </w:rPr>
                        <w:t xml:space="preserve">Specify </w:t>
                      </w:r>
                      <w:r>
                        <w:rPr>
                          <w:rFonts w:ascii="Arial" w:hAnsi="Arial" w:cs="Arial"/>
                          <w:b/>
                          <w:color w:val="1F497D" w:themeColor="text2"/>
                          <w:sz w:val="20"/>
                          <w:szCs w:val="20"/>
                        </w:rPr>
                        <w:t>ACLs</w:t>
                      </w:r>
                      <w:r w:rsidRPr="002B189D">
                        <w:rPr>
                          <w:rFonts w:ascii="Arial" w:hAnsi="Arial" w:cs="Arial"/>
                          <w:b/>
                          <w:color w:val="1F497D" w:themeColor="text2"/>
                          <w:sz w:val="20"/>
                          <w:szCs w:val="20"/>
                        </w:rPr>
                        <w:t xml:space="preserve"> and </w:t>
                      </w:r>
                      <w:r>
                        <w:rPr>
                          <w:rFonts w:ascii="Arial" w:hAnsi="Arial" w:cs="Arial"/>
                          <w:b/>
                          <w:color w:val="1F497D" w:themeColor="text2"/>
                          <w:sz w:val="20"/>
                          <w:szCs w:val="20"/>
                        </w:rPr>
                        <w:t>OY</w:t>
                      </w:r>
                      <w:r w:rsidRPr="002B189D">
                        <w:rPr>
                          <w:rFonts w:ascii="Arial" w:hAnsi="Arial" w:cs="Arial"/>
                          <w:b/>
                          <w:color w:val="1F497D" w:themeColor="text2"/>
                          <w:sz w:val="20"/>
                          <w:szCs w:val="20"/>
                        </w:rPr>
                        <w:t xml:space="preserve"> for the South Atlantic using the existing sector allocations (17.02% commercial and 82.98% recreational) and specify the recreational </w:t>
                      </w:r>
                      <w:r>
                        <w:rPr>
                          <w:rFonts w:ascii="Arial" w:hAnsi="Arial" w:cs="Arial"/>
                          <w:b/>
                          <w:color w:val="1F497D" w:themeColor="text2"/>
                          <w:sz w:val="20"/>
                          <w:szCs w:val="20"/>
                        </w:rPr>
                        <w:t>ACL</w:t>
                      </w:r>
                      <w:r w:rsidRPr="002B189D">
                        <w:rPr>
                          <w:rFonts w:ascii="Arial" w:hAnsi="Arial" w:cs="Arial"/>
                          <w:b/>
                          <w:color w:val="1F497D" w:themeColor="text2"/>
                          <w:sz w:val="20"/>
                          <w:szCs w:val="20"/>
                        </w:rPr>
                        <w:t xml:space="preserve"> in numbers of fish.  The </w:t>
                      </w:r>
                      <w:r>
                        <w:rPr>
                          <w:rFonts w:ascii="Arial" w:hAnsi="Arial" w:cs="Arial"/>
                          <w:b/>
                          <w:color w:val="1F497D" w:themeColor="text2"/>
                          <w:sz w:val="20"/>
                          <w:szCs w:val="20"/>
                        </w:rPr>
                        <w:t xml:space="preserve">ACLs </w:t>
                      </w:r>
                      <w:r w:rsidRPr="002B189D">
                        <w:rPr>
                          <w:rFonts w:ascii="Arial" w:hAnsi="Arial" w:cs="Arial"/>
                          <w:b/>
                          <w:color w:val="1F497D" w:themeColor="text2"/>
                          <w:sz w:val="20"/>
                          <w:szCs w:val="20"/>
                        </w:rPr>
                        <w:t>specified for 2020 would remain in place until modified.</w:t>
                      </w:r>
                    </w:p>
                    <w:p w14:paraId="48EA97EE" w14:textId="77777777" w:rsidR="009108B8" w:rsidRPr="00136AE9" w:rsidRDefault="009108B8" w:rsidP="00D27A53">
                      <w:pPr>
                        <w:ind w:left="540"/>
                        <w:contextualSpacing/>
                        <w:rPr>
                          <w:rFonts w:ascii="Arial" w:hAnsi="Arial" w:cs="Arial"/>
                          <w:b/>
                          <w:color w:val="1F497D" w:themeColor="text2"/>
                          <w:sz w:val="20"/>
                          <w:szCs w:val="20"/>
                        </w:rPr>
                      </w:pPr>
                      <w:r w:rsidRPr="00136AE9">
                        <w:rPr>
                          <w:rFonts w:ascii="Arial" w:hAnsi="Arial" w:cs="Arial"/>
                          <w:b/>
                          <w:color w:val="1F497D" w:themeColor="text2"/>
                          <w:sz w:val="20"/>
                          <w:szCs w:val="20"/>
                        </w:rPr>
                        <w:t xml:space="preserve">Sub-alternative 2a.  ACL = OY = ABC.  </w:t>
                      </w:r>
                    </w:p>
                    <w:p w14:paraId="6AD36B36" w14:textId="77777777" w:rsidR="009108B8" w:rsidRPr="00136AE9" w:rsidRDefault="009108B8" w:rsidP="00D27A53">
                      <w:pPr>
                        <w:ind w:left="540"/>
                        <w:contextualSpacing/>
                        <w:rPr>
                          <w:rFonts w:ascii="Arial" w:hAnsi="Arial" w:cs="Arial"/>
                          <w:color w:val="1F497D" w:themeColor="text2"/>
                          <w:sz w:val="20"/>
                          <w:szCs w:val="20"/>
                        </w:rPr>
                      </w:pPr>
                      <w:r w:rsidRPr="00136AE9">
                        <w:rPr>
                          <w:rFonts w:ascii="Arial" w:hAnsi="Arial" w:cs="Arial"/>
                          <w:color w:val="1F497D" w:themeColor="text2"/>
                          <w:sz w:val="20"/>
                          <w:szCs w:val="20"/>
                        </w:rPr>
                        <w:t xml:space="preserve">Sub-alternative 2b.  ACL = OY = 95% ABC.  </w:t>
                      </w:r>
                    </w:p>
                    <w:p w14:paraId="72FCA134" w14:textId="4BC4EA15" w:rsidR="009108B8" w:rsidRPr="00136AE9" w:rsidRDefault="009108B8" w:rsidP="00D27A53">
                      <w:pPr>
                        <w:ind w:left="540"/>
                        <w:contextualSpacing/>
                        <w:rPr>
                          <w:rFonts w:ascii="Arial" w:hAnsi="Arial" w:cs="Arial"/>
                          <w:color w:val="1F497D" w:themeColor="text2"/>
                          <w:sz w:val="20"/>
                          <w:szCs w:val="20"/>
                        </w:rPr>
                      </w:pPr>
                      <w:r w:rsidRPr="00136AE9">
                        <w:rPr>
                          <w:rFonts w:ascii="Arial" w:hAnsi="Arial" w:cs="Arial"/>
                          <w:color w:val="1F497D" w:themeColor="text2"/>
                          <w:sz w:val="20"/>
                          <w:szCs w:val="20"/>
                        </w:rPr>
                        <w:t>Sub-alternative 2c.  ACL = OY = 90% ABC.</w:t>
                      </w:r>
                    </w:p>
                    <w:p w14:paraId="71A15658" w14:textId="77777777" w:rsidR="009108B8" w:rsidRPr="00136AE9" w:rsidRDefault="009108B8" w:rsidP="00FD2542">
                      <w:pPr>
                        <w:contextualSpacing/>
                        <w:rPr>
                          <w:rFonts w:ascii="Arial" w:eastAsia="Courier New" w:hAnsi="Arial" w:cs="Arial"/>
                          <w:b/>
                          <w:color w:val="1F497D" w:themeColor="text2"/>
                          <w:sz w:val="20"/>
                          <w:szCs w:val="20"/>
                        </w:rPr>
                      </w:pPr>
                    </w:p>
                    <w:p w14:paraId="6FEE42A9" w14:textId="77777777" w:rsidR="009108B8" w:rsidRPr="00E03046" w:rsidRDefault="009108B8" w:rsidP="002B189D">
                      <w:pPr>
                        <w:rPr>
                          <w:rFonts w:ascii="Arial" w:hAnsi="Arial" w:cs="Arial"/>
                          <w:color w:val="1F497D" w:themeColor="text2"/>
                          <w:sz w:val="20"/>
                          <w:szCs w:val="20"/>
                        </w:rPr>
                      </w:pPr>
                      <w:r w:rsidRPr="00E03046">
                        <w:rPr>
                          <w:rFonts w:ascii="Arial" w:hAnsi="Arial" w:cs="Arial"/>
                          <w:color w:val="1F497D" w:themeColor="text2"/>
                          <w:sz w:val="20"/>
                          <w:szCs w:val="20"/>
                        </w:rPr>
                        <w:t>*</w:t>
                      </w:r>
                      <w:r w:rsidRPr="002B189D">
                        <w:rPr>
                          <w:rFonts w:ascii="Arial" w:eastAsiaTheme="minorHAnsi" w:hAnsi="Arial" w:cs="Arial"/>
                          <w:color w:val="1F497D" w:themeColor="text2"/>
                          <w:sz w:val="20"/>
                          <w:szCs w:val="20"/>
                        </w:rPr>
                        <w:t xml:space="preserve"> </w:t>
                      </w:r>
                      <w:r>
                        <w:rPr>
                          <w:rFonts w:ascii="Arial" w:eastAsiaTheme="minorHAnsi" w:hAnsi="Arial" w:cs="Arial"/>
                          <w:color w:val="1F497D" w:themeColor="text2"/>
                          <w:sz w:val="20"/>
                          <w:szCs w:val="20"/>
                        </w:rPr>
                        <w:t xml:space="preserve">Preferred indicated in bold.  </w:t>
                      </w:r>
                      <w:r w:rsidRPr="00E03046">
                        <w:rPr>
                          <w:rFonts w:ascii="Arial" w:hAnsi="Arial" w:cs="Arial"/>
                          <w:color w:val="1F497D" w:themeColor="text2"/>
                          <w:sz w:val="20"/>
                          <w:szCs w:val="20"/>
                        </w:rPr>
                        <w:t>Refer to Chapter 2 for detailed language of alternatives</w:t>
                      </w:r>
                    </w:p>
                    <w:p w14:paraId="557A56DE" w14:textId="77777777" w:rsidR="009108B8" w:rsidRPr="00136AE9" w:rsidRDefault="009108B8" w:rsidP="00FD2542">
                      <w:pPr>
                        <w:rPr>
                          <w:sz w:val="20"/>
                          <w:szCs w:val="20"/>
                        </w:rPr>
                      </w:pPr>
                    </w:p>
                  </w:txbxContent>
                </v:textbox>
                <w10:wrap type="square" anchorx="margin" anchory="margin"/>
              </v:shape>
            </w:pict>
          </mc:Fallback>
        </mc:AlternateContent>
      </w:r>
    </w:p>
    <w:p w14:paraId="6D94E56C" w14:textId="6F103C12" w:rsidR="00FD2542" w:rsidRDefault="00FD2542" w:rsidP="00FD2542">
      <w:pPr>
        <w:pStyle w:val="Heading3"/>
      </w:pPr>
      <w:bookmarkStart w:id="233" w:name="_Toc339811740"/>
      <w:r>
        <w:t>4.3.1</w:t>
      </w:r>
      <w:r>
        <w:tab/>
      </w:r>
      <w:r w:rsidRPr="005B5A20">
        <w:t>Biological</w:t>
      </w:r>
      <w:r w:rsidR="00897AFB">
        <w:t xml:space="preserve"> E</w:t>
      </w:r>
      <w:r w:rsidRPr="005B5A20">
        <w:t xml:space="preserve">ffects </w:t>
      </w:r>
      <w:bookmarkEnd w:id="233"/>
    </w:p>
    <w:p w14:paraId="0E9DD5F7" w14:textId="024DAC99" w:rsidR="00ED46DB" w:rsidRDefault="00ED46DB" w:rsidP="00ED46DB">
      <w:pPr>
        <w:ind w:firstLine="360"/>
      </w:pPr>
      <w:r>
        <w:t xml:space="preserve">Average commercial landings </w:t>
      </w:r>
      <w:r w:rsidR="005A07B4">
        <w:t xml:space="preserve">of mutton snapper in the South Atlantic </w:t>
      </w:r>
      <w:r w:rsidR="00CC7A81">
        <w:t>from 2010 to 2014 were</w:t>
      </w:r>
      <w:r>
        <w:t xml:space="preserve"> 76,881 lbs ww (</w:t>
      </w:r>
      <w:r w:rsidRPr="0054118B">
        <w:rPr>
          <w:b/>
        </w:rPr>
        <w:t xml:space="preserve">Table </w:t>
      </w:r>
      <w:r>
        <w:rPr>
          <w:b/>
        </w:rPr>
        <w:t>4.3.</w:t>
      </w:r>
      <w:r w:rsidR="005A07B4">
        <w:rPr>
          <w:b/>
        </w:rPr>
        <w:t>1</w:t>
      </w:r>
      <w:r w:rsidR="00CC7A81">
        <w:t xml:space="preserve">).  This is </w:t>
      </w:r>
      <w:r>
        <w:t>below the range of proposed commercial ACLs</w:t>
      </w:r>
      <w:r w:rsidR="00CC7A81">
        <w:t xml:space="preserve"> under </w:t>
      </w:r>
      <w:r w:rsidR="005A07B4" w:rsidRPr="00006826">
        <w:rPr>
          <w:b/>
        </w:rPr>
        <w:t>Sub-alternative</w:t>
      </w:r>
      <w:r w:rsidR="00CC7A81">
        <w:rPr>
          <w:b/>
        </w:rPr>
        <w:t>s</w:t>
      </w:r>
      <w:r w:rsidR="005A07B4" w:rsidRPr="00006826">
        <w:rPr>
          <w:b/>
        </w:rPr>
        <w:t xml:space="preserve"> 2</w:t>
      </w:r>
      <w:r w:rsidR="005A07B4">
        <w:rPr>
          <w:b/>
        </w:rPr>
        <w:t>a</w:t>
      </w:r>
      <w:r w:rsidR="00CC7A81">
        <w:rPr>
          <w:b/>
        </w:rPr>
        <w:t xml:space="preserve"> (Preferred)</w:t>
      </w:r>
      <w:r w:rsidR="00F5584A">
        <w:t xml:space="preserve">, </w:t>
      </w:r>
      <w:r w:rsidR="00F5584A" w:rsidRPr="00F5584A">
        <w:rPr>
          <w:b/>
        </w:rPr>
        <w:t>2b</w:t>
      </w:r>
      <w:r w:rsidR="00F5584A">
        <w:t xml:space="preserve">, and </w:t>
      </w:r>
      <w:r w:rsidR="005A07B4" w:rsidRPr="00F5584A">
        <w:rPr>
          <w:b/>
        </w:rPr>
        <w:t>2c</w:t>
      </w:r>
      <w:r w:rsidR="00CC7A81">
        <w:t xml:space="preserve">, which </w:t>
      </w:r>
      <w:r w:rsidR="005A07B4">
        <w:t xml:space="preserve">range from </w:t>
      </w:r>
      <w:r w:rsidR="00F5584A" w:rsidRPr="00F5584A">
        <w:t>111,354</w:t>
      </w:r>
      <w:r w:rsidR="005A07B4">
        <w:t xml:space="preserve"> lbs ww to </w:t>
      </w:r>
      <w:r w:rsidR="00CC7A81">
        <w:t>90,014</w:t>
      </w:r>
      <w:r w:rsidR="005A07B4">
        <w:t xml:space="preserve"> lbs ww</w:t>
      </w:r>
      <w:r w:rsidR="00CC7A81">
        <w:t>, respectively</w:t>
      </w:r>
      <w:r w:rsidR="005A07B4">
        <w:t xml:space="preserve"> </w:t>
      </w:r>
      <w:r w:rsidR="005A07B4" w:rsidRPr="002149EF">
        <w:t>(</w:t>
      </w:r>
      <w:r w:rsidR="005A07B4" w:rsidRPr="002149EF">
        <w:rPr>
          <w:b/>
        </w:rPr>
        <w:t xml:space="preserve">Table </w:t>
      </w:r>
      <w:r w:rsidR="005A07B4">
        <w:rPr>
          <w:b/>
        </w:rPr>
        <w:t>4.3.2</w:t>
      </w:r>
      <w:r w:rsidR="005A07B4" w:rsidRPr="002149EF">
        <w:t>)</w:t>
      </w:r>
      <w:r w:rsidR="005A07B4">
        <w:t xml:space="preserve">.  </w:t>
      </w:r>
      <w:r>
        <w:t xml:space="preserve">If commercial catch rates </w:t>
      </w:r>
      <w:r w:rsidR="005A07B4">
        <w:t xml:space="preserve">in </w:t>
      </w:r>
      <w:r w:rsidR="00CC7A81">
        <w:t xml:space="preserve">2017 </w:t>
      </w:r>
      <w:r>
        <w:t>are similar to those in 2010-2014, it is not expected that the commercial ACL would be landed under any of the proposed alternatives.</w:t>
      </w:r>
    </w:p>
    <w:p w14:paraId="529F5950" w14:textId="77777777" w:rsidR="003B69A5" w:rsidRDefault="003B69A5" w:rsidP="00136AE9">
      <w:pPr>
        <w:pStyle w:val="Tabletitle"/>
        <w:rPr>
          <w:b/>
        </w:rPr>
      </w:pPr>
    </w:p>
    <w:p w14:paraId="463231BF" w14:textId="77777777" w:rsidR="003B69A5" w:rsidRDefault="003B69A5" w:rsidP="00136AE9">
      <w:pPr>
        <w:pStyle w:val="Tabletitle"/>
        <w:rPr>
          <w:b/>
        </w:rPr>
      </w:pPr>
    </w:p>
    <w:p w14:paraId="2DD94186" w14:textId="77777777" w:rsidR="00136AE9" w:rsidRPr="006278EB" w:rsidRDefault="00136AE9" w:rsidP="00136AE9">
      <w:pPr>
        <w:pStyle w:val="Tabletitle"/>
      </w:pPr>
      <w:bookmarkStart w:id="234" w:name="_Toc340431576"/>
      <w:r>
        <w:rPr>
          <w:b/>
        </w:rPr>
        <w:t>Table 4.3.1</w:t>
      </w:r>
      <w:r w:rsidRPr="00497AFE">
        <w:rPr>
          <w:b/>
        </w:rPr>
        <w:t>.</w:t>
      </w:r>
      <w:r w:rsidRPr="006278EB">
        <w:t xml:space="preserve">  Commercial and recreational landings of mutton snapper, by sector, for the South Atlantic region, 2010-2014.</w:t>
      </w:r>
      <w:bookmarkEnd w:id="234"/>
    </w:p>
    <w:tbl>
      <w:tblPr>
        <w:tblW w:w="56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1082"/>
        <w:gridCol w:w="1082"/>
        <w:gridCol w:w="1609"/>
        <w:gridCol w:w="1082"/>
      </w:tblGrid>
      <w:tr w:rsidR="00136AE9" w:rsidRPr="006278EB" w14:paraId="566CC6A7" w14:textId="77777777" w:rsidTr="00136AE9">
        <w:trPr>
          <w:trHeight w:val="280"/>
        </w:trPr>
        <w:tc>
          <w:tcPr>
            <w:tcW w:w="754" w:type="dxa"/>
            <w:vMerge w:val="restart"/>
            <w:shd w:val="clear" w:color="auto" w:fill="D9D9D9" w:themeFill="background1" w:themeFillShade="D9"/>
            <w:noWrap/>
            <w:vAlign w:val="center"/>
            <w:hideMark/>
          </w:tcPr>
          <w:p w14:paraId="02B3732C" w14:textId="77777777" w:rsidR="00136AE9" w:rsidRPr="006278EB" w:rsidRDefault="00136AE9" w:rsidP="00136AE9">
            <w:pPr>
              <w:jc w:val="center"/>
              <w:rPr>
                <w:b/>
                <w:bCs/>
                <w:color w:val="000000"/>
                <w:sz w:val="22"/>
              </w:rPr>
            </w:pPr>
            <w:r w:rsidRPr="006278EB">
              <w:rPr>
                <w:b/>
                <w:bCs/>
                <w:color w:val="000000"/>
                <w:sz w:val="22"/>
              </w:rPr>
              <w:t>Year</w:t>
            </w:r>
          </w:p>
        </w:tc>
        <w:tc>
          <w:tcPr>
            <w:tcW w:w="2164" w:type="dxa"/>
            <w:gridSpan w:val="2"/>
            <w:shd w:val="clear" w:color="auto" w:fill="D9D9D9" w:themeFill="background1" w:themeFillShade="D9"/>
            <w:noWrap/>
            <w:vAlign w:val="bottom"/>
            <w:hideMark/>
          </w:tcPr>
          <w:p w14:paraId="39560905" w14:textId="77777777" w:rsidR="00136AE9" w:rsidRPr="006278EB" w:rsidRDefault="00136AE9" w:rsidP="00136AE9">
            <w:pPr>
              <w:jc w:val="center"/>
              <w:rPr>
                <w:b/>
                <w:bCs/>
                <w:color w:val="000000"/>
                <w:sz w:val="22"/>
              </w:rPr>
            </w:pPr>
            <w:r w:rsidRPr="006278EB">
              <w:rPr>
                <w:b/>
                <w:bCs/>
                <w:color w:val="000000"/>
                <w:sz w:val="22"/>
              </w:rPr>
              <w:t>Recreational</w:t>
            </w:r>
          </w:p>
        </w:tc>
        <w:tc>
          <w:tcPr>
            <w:tcW w:w="1609" w:type="dxa"/>
            <w:shd w:val="clear" w:color="auto" w:fill="D9D9D9" w:themeFill="background1" w:themeFillShade="D9"/>
            <w:noWrap/>
            <w:vAlign w:val="bottom"/>
            <w:hideMark/>
          </w:tcPr>
          <w:p w14:paraId="34A4DAD6" w14:textId="77777777" w:rsidR="00136AE9" w:rsidRPr="006278EB" w:rsidRDefault="00136AE9" w:rsidP="00136AE9">
            <w:pPr>
              <w:jc w:val="center"/>
              <w:rPr>
                <w:b/>
                <w:bCs/>
                <w:color w:val="000000"/>
                <w:sz w:val="22"/>
              </w:rPr>
            </w:pPr>
            <w:r w:rsidRPr="006278EB">
              <w:rPr>
                <w:b/>
                <w:bCs/>
                <w:color w:val="000000"/>
                <w:sz w:val="22"/>
              </w:rPr>
              <w:t>Commercial</w:t>
            </w:r>
          </w:p>
        </w:tc>
        <w:tc>
          <w:tcPr>
            <w:tcW w:w="1082" w:type="dxa"/>
            <w:shd w:val="clear" w:color="auto" w:fill="D9D9D9" w:themeFill="background1" w:themeFillShade="D9"/>
            <w:noWrap/>
            <w:vAlign w:val="bottom"/>
            <w:hideMark/>
          </w:tcPr>
          <w:p w14:paraId="336C224E" w14:textId="77777777" w:rsidR="00136AE9" w:rsidRPr="006278EB" w:rsidRDefault="00136AE9" w:rsidP="00136AE9">
            <w:pPr>
              <w:jc w:val="center"/>
              <w:rPr>
                <w:b/>
                <w:bCs/>
                <w:color w:val="000000"/>
                <w:sz w:val="22"/>
              </w:rPr>
            </w:pPr>
            <w:r w:rsidRPr="006278EB">
              <w:rPr>
                <w:b/>
                <w:bCs/>
                <w:color w:val="000000"/>
                <w:sz w:val="22"/>
              </w:rPr>
              <w:t>Total</w:t>
            </w:r>
          </w:p>
        </w:tc>
      </w:tr>
      <w:tr w:rsidR="00136AE9" w:rsidRPr="006278EB" w14:paraId="6BD7F790" w14:textId="77777777" w:rsidTr="00136AE9">
        <w:trPr>
          <w:trHeight w:val="280"/>
        </w:trPr>
        <w:tc>
          <w:tcPr>
            <w:tcW w:w="754" w:type="dxa"/>
            <w:vMerge/>
            <w:vAlign w:val="center"/>
            <w:hideMark/>
          </w:tcPr>
          <w:p w14:paraId="260DD6FA" w14:textId="77777777" w:rsidR="00136AE9" w:rsidRPr="006278EB" w:rsidRDefault="00136AE9" w:rsidP="00136AE9">
            <w:pPr>
              <w:rPr>
                <w:b/>
                <w:bCs/>
                <w:color w:val="000000"/>
                <w:sz w:val="22"/>
              </w:rPr>
            </w:pPr>
          </w:p>
        </w:tc>
        <w:tc>
          <w:tcPr>
            <w:tcW w:w="1082" w:type="dxa"/>
            <w:shd w:val="clear" w:color="auto" w:fill="D9D9D9" w:themeFill="background1" w:themeFillShade="D9"/>
            <w:noWrap/>
            <w:vAlign w:val="bottom"/>
            <w:hideMark/>
          </w:tcPr>
          <w:p w14:paraId="7BFCF448" w14:textId="77777777" w:rsidR="00136AE9" w:rsidRPr="006278EB" w:rsidRDefault="00136AE9" w:rsidP="00136AE9">
            <w:pPr>
              <w:jc w:val="center"/>
              <w:rPr>
                <w:b/>
                <w:bCs/>
                <w:color w:val="000000"/>
                <w:sz w:val="22"/>
              </w:rPr>
            </w:pPr>
            <w:r w:rsidRPr="006278EB">
              <w:rPr>
                <w:b/>
                <w:bCs/>
                <w:color w:val="000000"/>
                <w:sz w:val="22"/>
              </w:rPr>
              <w:t>number</w:t>
            </w:r>
          </w:p>
        </w:tc>
        <w:tc>
          <w:tcPr>
            <w:tcW w:w="1082" w:type="dxa"/>
            <w:shd w:val="clear" w:color="auto" w:fill="D9D9D9" w:themeFill="background1" w:themeFillShade="D9"/>
            <w:noWrap/>
            <w:vAlign w:val="bottom"/>
            <w:hideMark/>
          </w:tcPr>
          <w:p w14:paraId="32346897" w14:textId="77777777" w:rsidR="00136AE9" w:rsidRPr="006278EB" w:rsidRDefault="00136AE9" w:rsidP="00136AE9">
            <w:pPr>
              <w:jc w:val="center"/>
              <w:rPr>
                <w:b/>
                <w:bCs/>
                <w:color w:val="000000"/>
                <w:sz w:val="22"/>
              </w:rPr>
            </w:pPr>
            <w:r w:rsidRPr="006278EB">
              <w:rPr>
                <w:b/>
                <w:bCs/>
                <w:color w:val="000000"/>
                <w:sz w:val="22"/>
              </w:rPr>
              <w:t>lbs ww</w:t>
            </w:r>
          </w:p>
        </w:tc>
        <w:tc>
          <w:tcPr>
            <w:tcW w:w="1609" w:type="dxa"/>
            <w:shd w:val="clear" w:color="auto" w:fill="D9D9D9" w:themeFill="background1" w:themeFillShade="D9"/>
            <w:noWrap/>
            <w:vAlign w:val="bottom"/>
            <w:hideMark/>
          </w:tcPr>
          <w:p w14:paraId="1F9D3B34" w14:textId="77777777" w:rsidR="00136AE9" w:rsidRPr="006278EB" w:rsidRDefault="00136AE9" w:rsidP="00136AE9">
            <w:pPr>
              <w:jc w:val="center"/>
              <w:rPr>
                <w:b/>
                <w:bCs/>
                <w:color w:val="000000"/>
                <w:sz w:val="22"/>
              </w:rPr>
            </w:pPr>
            <w:r w:rsidRPr="006278EB">
              <w:rPr>
                <w:b/>
                <w:bCs/>
                <w:color w:val="000000"/>
                <w:sz w:val="22"/>
              </w:rPr>
              <w:t>lbs ww</w:t>
            </w:r>
          </w:p>
        </w:tc>
        <w:tc>
          <w:tcPr>
            <w:tcW w:w="1082" w:type="dxa"/>
            <w:shd w:val="clear" w:color="auto" w:fill="D9D9D9" w:themeFill="background1" w:themeFillShade="D9"/>
            <w:noWrap/>
            <w:vAlign w:val="bottom"/>
            <w:hideMark/>
          </w:tcPr>
          <w:p w14:paraId="6DF50544" w14:textId="77777777" w:rsidR="00136AE9" w:rsidRPr="006278EB" w:rsidRDefault="00136AE9" w:rsidP="00136AE9">
            <w:pPr>
              <w:jc w:val="center"/>
              <w:rPr>
                <w:b/>
                <w:bCs/>
                <w:color w:val="000000"/>
                <w:sz w:val="22"/>
              </w:rPr>
            </w:pPr>
            <w:r w:rsidRPr="006278EB">
              <w:rPr>
                <w:b/>
                <w:bCs/>
                <w:color w:val="000000"/>
                <w:sz w:val="22"/>
              </w:rPr>
              <w:t>lbs ww</w:t>
            </w:r>
          </w:p>
        </w:tc>
      </w:tr>
      <w:tr w:rsidR="00136AE9" w:rsidRPr="006278EB" w14:paraId="08D73CDE" w14:textId="77777777" w:rsidTr="00136AE9">
        <w:trPr>
          <w:trHeight w:val="280"/>
        </w:trPr>
        <w:tc>
          <w:tcPr>
            <w:tcW w:w="754" w:type="dxa"/>
            <w:shd w:val="clear" w:color="auto" w:fill="auto"/>
            <w:noWrap/>
            <w:vAlign w:val="bottom"/>
            <w:hideMark/>
          </w:tcPr>
          <w:p w14:paraId="574144E0" w14:textId="77777777" w:rsidR="00136AE9" w:rsidRPr="006278EB" w:rsidRDefault="00136AE9" w:rsidP="00136AE9">
            <w:pPr>
              <w:jc w:val="center"/>
              <w:rPr>
                <w:color w:val="000000"/>
                <w:sz w:val="22"/>
              </w:rPr>
            </w:pPr>
            <w:r w:rsidRPr="006278EB">
              <w:rPr>
                <w:color w:val="000000"/>
                <w:sz w:val="22"/>
              </w:rPr>
              <w:t>2010</w:t>
            </w:r>
          </w:p>
        </w:tc>
        <w:tc>
          <w:tcPr>
            <w:tcW w:w="1082" w:type="dxa"/>
            <w:shd w:val="clear" w:color="auto" w:fill="auto"/>
            <w:noWrap/>
            <w:vAlign w:val="bottom"/>
            <w:hideMark/>
          </w:tcPr>
          <w:p w14:paraId="7DFC1F10" w14:textId="77777777" w:rsidR="00136AE9" w:rsidRPr="006278EB" w:rsidRDefault="00136AE9" w:rsidP="00136AE9">
            <w:pPr>
              <w:jc w:val="center"/>
              <w:rPr>
                <w:color w:val="000000"/>
                <w:sz w:val="22"/>
              </w:rPr>
            </w:pPr>
            <w:r w:rsidRPr="006278EB">
              <w:rPr>
                <w:color w:val="000000"/>
                <w:sz w:val="22"/>
              </w:rPr>
              <w:t>130,249</w:t>
            </w:r>
          </w:p>
        </w:tc>
        <w:tc>
          <w:tcPr>
            <w:tcW w:w="1082" w:type="dxa"/>
            <w:shd w:val="clear" w:color="auto" w:fill="auto"/>
            <w:noWrap/>
            <w:vAlign w:val="bottom"/>
            <w:hideMark/>
          </w:tcPr>
          <w:p w14:paraId="4C4092E9" w14:textId="77777777" w:rsidR="00136AE9" w:rsidRPr="006278EB" w:rsidRDefault="00136AE9" w:rsidP="00136AE9">
            <w:pPr>
              <w:jc w:val="center"/>
              <w:rPr>
                <w:color w:val="000000"/>
                <w:sz w:val="22"/>
              </w:rPr>
            </w:pPr>
            <w:r w:rsidRPr="006278EB">
              <w:rPr>
                <w:color w:val="000000"/>
                <w:sz w:val="22"/>
              </w:rPr>
              <w:t>477,647</w:t>
            </w:r>
          </w:p>
        </w:tc>
        <w:tc>
          <w:tcPr>
            <w:tcW w:w="1609" w:type="dxa"/>
            <w:shd w:val="clear" w:color="auto" w:fill="auto"/>
            <w:noWrap/>
            <w:vAlign w:val="bottom"/>
            <w:hideMark/>
          </w:tcPr>
          <w:p w14:paraId="6450D646" w14:textId="77777777" w:rsidR="00136AE9" w:rsidRPr="006278EB" w:rsidRDefault="00136AE9" w:rsidP="00136AE9">
            <w:pPr>
              <w:jc w:val="center"/>
              <w:rPr>
                <w:color w:val="000000"/>
                <w:sz w:val="22"/>
              </w:rPr>
            </w:pPr>
            <w:r w:rsidRPr="006278EB">
              <w:rPr>
                <w:color w:val="000000"/>
                <w:sz w:val="22"/>
              </w:rPr>
              <w:t>74,833</w:t>
            </w:r>
          </w:p>
        </w:tc>
        <w:tc>
          <w:tcPr>
            <w:tcW w:w="1082" w:type="dxa"/>
            <w:shd w:val="clear" w:color="auto" w:fill="auto"/>
            <w:noWrap/>
            <w:vAlign w:val="bottom"/>
            <w:hideMark/>
          </w:tcPr>
          <w:p w14:paraId="0C392F46" w14:textId="77777777" w:rsidR="00136AE9" w:rsidRPr="006278EB" w:rsidRDefault="00136AE9" w:rsidP="00136AE9">
            <w:pPr>
              <w:jc w:val="center"/>
              <w:rPr>
                <w:color w:val="000000"/>
                <w:sz w:val="22"/>
              </w:rPr>
            </w:pPr>
            <w:r w:rsidRPr="006278EB">
              <w:rPr>
                <w:color w:val="000000"/>
                <w:sz w:val="22"/>
              </w:rPr>
              <w:t>552,480</w:t>
            </w:r>
          </w:p>
        </w:tc>
      </w:tr>
      <w:tr w:rsidR="00136AE9" w:rsidRPr="006278EB" w14:paraId="65EE9B61" w14:textId="77777777" w:rsidTr="00136AE9">
        <w:trPr>
          <w:trHeight w:val="280"/>
        </w:trPr>
        <w:tc>
          <w:tcPr>
            <w:tcW w:w="754" w:type="dxa"/>
            <w:shd w:val="clear" w:color="auto" w:fill="auto"/>
            <w:noWrap/>
            <w:vAlign w:val="bottom"/>
            <w:hideMark/>
          </w:tcPr>
          <w:p w14:paraId="4446B91C" w14:textId="77777777" w:rsidR="00136AE9" w:rsidRPr="006278EB" w:rsidRDefault="00136AE9" w:rsidP="00136AE9">
            <w:pPr>
              <w:jc w:val="center"/>
              <w:rPr>
                <w:color w:val="000000"/>
                <w:sz w:val="22"/>
              </w:rPr>
            </w:pPr>
            <w:r w:rsidRPr="006278EB">
              <w:rPr>
                <w:color w:val="000000"/>
                <w:sz w:val="22"/>
              </w:rPr>
              <w:t>2011</w:t>
            </w:r>
          </w:p>
        </w:tc>
        <w:tc>
          <w:tcPr>
            <w:tcW w:w="1082" w:type="dxa"/>
            <w:shd w:val="clear" w:color="auto" w:fill="auto"/>
            <w:noWrap/>
            <w:vAlign w:val="bottom"/>
            <w:hideMark/>
          </w:tcPr>
          <w:p w14:paraId="6838444E" w14:textId="77777777" w:rsidR="00136AE9" w:rsidRPr="006278EB" w:rsidRDefault="00136AE9" w:rsidP="00136AE9">
            <w:pPr>
              <w:jc w:val="center"/>
              <w:rPr>
                <w:color w:val="000000"/>
                <w:sz w:val="22"/>
              </w:rPr>
            </w:pPr>
            <w:r w:rsidRPr="006278EB">
              <w:rPr>
                <w:color w:val="000000"/>
                <w:sz w:val="22"/>
              </w:rPr>
              <w:t>60,151</w:t>
            </w:r>
          </w:p>
        </w:tc>
        <w:tc>
          <w:tcPr>
            <w:tcW w:w="1082" w:type="dxa"/>
            <w:shd w:val="clear" w:color="auto" w:fill="auto"/>
            <w:noWrap/>
            <w:vAlign w:val="bottom"/>
            <w:hideMark/>
          </w:tcPr>
          <w:p w14:paraId="51A15C12" w14:textId="77777777" w:rsidR="00136AE9" w:rsidRPr="006278EB" w:rsidRDefault="00136AE9" w:rsidP="00136AE9">
            <w:pPr>
              <w:jc w:val="center"/>
              <w:rPr>
                <w:color w:val="000000"/>
                <w:sz w:val="22"/>
              </w:rPr>
            </w:pPr>
            <w:r w:rsidRPr="006278EB">
              <w:rPr>
                <w:color w:val="000000"/>
                <w:sz w:val="22"/>
              </w:rPr>
              <w:t>251,446</w:t>
            </w:r>
          </w:p>
        </w:tc>
        <w:tc>
          <w:tcPr>
            <w:tcW w:w="1609" w:type="dxa"/>
            <w:shd w:val="clear" w:color="auto" w:fill="auto"/>
            <w:noWrap/>
            <w:vAlign w:val="bottom"/>
            <w:hideMark/>
          </w:tcPr>
          <w:p w14:paraId="3656026B" w14:textId="77777777" w:rsidR="00136AE9" w:rsidRPr="006278EB" w:rsidRDefault="00136AE9" w:rsidP="00136AE9">
            <w:pPr>
              <w:jc w:val="center"/>
              <w:rPr>
                <w:color w:val="000000"/>
                <w:sz w:val="22"/>
              </w:rPr>
            </w:pPr>
            <w:r w:rsidRPr="006278EB">
              <w:rPr>
                <w:color w:val="000000"/>
                <w:sz w:val="22"/>
              </w:rPr>
              <w:t>66,160</w:t>
            </w:r>
          </w:p>
        </w:tc>
        <w:tc>
          <w:tcPr>
            <w:tcW w:w="1082" w:type="dxa"/>
            <w:shd w:val="clear" w:color="auto" w:fill="auto"/>
            <w:noWrap/>
            <w:vAlign w:val="bottom"/>
            <w:hideMark/>
          </w:tcPr>
          <w:p w14:paraId="1CA7A195" w14:textId="77777777" w:rsidR="00136AE9" w:rsidRPr="006278EB" w:rsidRDefault="00136AE9" w:rsidP="00136AE9">
            <w:pPr>
              <w:jc w:val="center"/>
              <w:rPr>
                <w:color w:val="000000"/>
                <w:sz w:val="22"/>
              </w:rPr>
            </w:pPr>
            <w:r w:rsidRPr="006278EB">
              <w:rPr>
                <w:color w:val="000000"/>
                <w:sz w:val="22"/>
              </w:rPr>
              <w:t>317,606</w:t>
            </w:r>
          </w:p>
        </w:tc>
      </w:tr>
      <w:tr w:rsidR="00136AE9" w:rsidRPr="006278EB" w14:paraId="7D071A55" w14:textId="77777777" w:rsidTr="00136AE9">
        <w:trPr>
          <w:trHeight w:val="280"/>
        </w:trPr>
        <w:tc>
          <w:tcPr>
            <w:tcW w:w="754" w:type="dxa"/>
            <w:shd w:val="clear" w:color="auto" w:fill="auto"/>
            <w:noWrap/>
            <w:vAlign w:val="bottom"/>
            <w:hideMark/>
          </w:tcPr>
          <w:p w14:paraId="0DCBD8AB" w14:textId="77777777" w:rsidR="00136AE9" w:rsidRPr="006278EB" w:rsidRDefault="00136AE9" w:rsidP="00136AE9">
            <w:pPr>
              <w:jc w:val="center"/>
              <w:rPr>
                <w:color w:val="000000"/>
                <w:sz w:val="22"/>
              </w:rPr>
            </w:pPr>
            <w:r w:rsidRPr="006278EB">
              <w:rPr>
                <w:color w:val="000000"/>
                <w:sz w:val="22"/>
              </w:rPr>
              <w:t>2012</w:t>
            </w:r>
          </w:p>
        </w:tc>
        <w:tc>
          <w:tcPr>
            <w:tcW w:w="1082" w:type="dxa"/>
            <w:shd w:val="clear" w:color="auto" w:fill="auto"/>
            <w:noWrap/>
            <w:vAlign w:val="bottom"/>
            <w:hideMark/>
          </w:tcPr>
          <w:p w14:paraId="6043D855" w14:textId="77777777" w:rsidR="00136AE9" w:rsidRPr="006278EB" w:rsidRDefault="00136AE9" w:rsidP="00136AE9">
            <w:pPr>
              <w:jc w:val="center"/>
              <w:rPr>
                <w:color w:val="000000"/>
                <w:sz w:val="22"/>
              </w:rPr>
            </w:pPr>
            <w:r w:rsidRPr="006278EB">
              <w:rPr>
                <w:color w:val="000000"/>
                <w:sz w:val="22"/>
              </w:rPr>
              <w:t>86,108</w:t>
            </w:r>
          </w:p>
        </w:tc>
        <w:tc>
          <w:tcPr>
            <w:tcW w:w="1082" w:type="dxa"/>
            <w:shd w:val="clear" w:color="auto" w:fill="auto"/>
            <w:noWrap/>
            <w:vAlign w:val="bottom"/>
            <w:hideMark/>
          </w:tcPr>
          <w:p w14:paraId="25CF2845" w14:textId="77777777" w:rsidR="00136AE9" w:rsidRPr="006278EB" w:rsidRDefault="00136AE9" w:rsidP="00136AE9">
            <w:pPr>
              <w:jc w:val="center"/>
              <w:rPr>
                <w:color w:val="000000"/>
                <w:sz w:val="22"/>
              </w:rPr>
            </w:pPr>
            <w:r w:rsidRPr="006278EB">
              <w:rPr>
                <w:color w:val="000000"/>
                <w:sz w:val="22"/>
              </w:rPr>
              <w:t>505,583</w:t>
            </w:r>
          </w:p>
        </w:tc>
        <w:tc>
          <w:tcPr>
            <w:tcW w:w="1609" w:type="dxa"/>
            <w:shd w:val="clear" w:color="auto" w:fill="auto"/>
            <w:noWrap/>
            <w:vAlign w:val="bottom"/>
            <w:hideMark/>
          </w:tcPr>
          <w:p w14:paraId="1748AE6B" w14:textId="77777777" w:rsidR="00136AE9" w:rsidRPr="006278EB" w:rsidRDefault="00136AE9" w:rsidP="00136AE9">
            <w:pPr>
              <w:jc w:val="center"/>
              <w:rPr>
                <w:color w:val="000000"/>
                <w:sz w:val="22"/>
              </w:rPr>
            </w:pPr>
            <w:r w:rsidRPr="006278EB">
              <w:rPr>
                <w:color w:val="000000"/>
                <w:sz w:val="22"/>
              </w:rPr>
              <w:t>77,231</w:t>
            </w:r>
          </w:p>
        </w:tc>
        <w:tc>
          <w:tcPr>
            <w:tcW w:w="1082" w:type="dxa"/>
            <w:shd w:val="clear" w:color="auto" w:fill="auto"/>
            <w:noWrap/>
            <w:vAlign w:val="bottom"/>
            <w:hideMark/>
          </w:tcPr>
          <w:p w14:paraId="5A58000F" w14:textId="77777777" w:rsidR="00136AE9" w:rsidRPr="006278EB" w:rsidRDefault="00136AE9" w:rsidP="00136AE9">
            <w:pPr>
              <w:jc w:val="center"/>
              <w:rPr>
                <w:color w:val="000000"/>
                <w:sz w:val="22"/>
              </w:rPr>
            </w:pPr>
            <w:r w:rsidRPr="006278EB">
              <w:rPr>
                <w:color w:val="000000"/>
                <w:sz w:val="22"/>
              </w:rPr>
              <w:t>582,814</w:t>
            </w:r>
          </w:p>
        </w:tc>
      </w:tr>
      <w:tr w:rsidR="00136AE9" w:rsidRPr="006278EB" w14:paraId="7CA522A2" w14:textId="77777777" w:rsidTr="00136AE9">
        <w:trPr>
          <w:trHeight w:val="280"/>
        </w:trPr>
        <w:tc>
          <w:tcPr>
            <w:tcW w:w="754" w:type="dxa"/>
            <w:shd w:val="clear" w:color="auto" w:fill="auto"/>
            <w:noWrap/>
            <w:vAlign w:val="bottom"/>
            <w:hideMark/>
          </w:tcPr>
          <w:p w14:paraId="148A3BBF" w14:textId="77777777" w:rsidR="00136AE9" w:rsidRPr="006278EB" w:rsidRDefault="00136AE9" w:rsidP="00136AE9">
            <w:pPr>
              <w:jc w:val="center"/>
              <w:rPr>
                <w:color w:val="000000"/>
                <w:sz w:val="22"/>
              </w:rPr>
            </w:pPr>
            <w:r w:rsidRPr="006278EB">
              <w:rPr>
                <w:color w:val="000000"/>
                <w:sz w:val="22"/>
              </w:rPr>
              <w:t>2013</w:t>
            </w:r>
          </w:p>
        </w:tc>
        <w:tc>
          <w:tcPr>
            <w:tcW w:w="1082" w:type="dxa"/>
            <w:shd w:val="clear" w:color="auto" w:fill="auto"/>
            <w:noWrap/>
            <w:vAlign w:val="bottom"/>
            <w:hideMark/>
          </w:tcPr>
          <w:p w14:paraId="1622D473" w14:textId="77777777" w:rsidR="00136AE9" w:rsidRPr="006278EB" w:rsidRDefault="00136AE9" w:rsidP="00136AE9">
            <w:pPr>
              <w:jc w:val="center"/>
              <w:rPr>
                <w:color w:val="000000"/>
                <w:sz w:val="22"/>
              </w:rPr>
            </w:pPr>
            <w:r w:rsidRPr="006278EB">
              <w:rPr>
                <w:color w:val="000000"/>
                <w:sz w:val="22"/>
              </w:rPr>
              <w:t>126,241</w:t>
            </w:r>
          </w:p>
        </w:tc>
        <w:tc>
          <w:tcPr>
            <w:tcW w:w="1082" w:type="dxa"/>
            <w:shd w:val="clear" w:color="auto" w:fill="auto"/>
            <w:noWrap/>
            <w:vAlign w:val="bottom"/>
            <w:hideMark/>
          </w:tcPr>
          <w:p w14:paraId="513CECE2" w14:textId="77777777" w:rsidR="00136AE9" w:rsidRPr="006278EB" w:rsidRDefault="00136AE9" w:rsidP="00136AE9">
            <w:pPr>
              <w:jc w:val="center"/>
              <w:rPr>
                <w:color w:val="000000"/>
                <w:sz w:val="22"/>
              </w:rPr>
            </w:pPr>
            <w:r w:rsidRPr="006278EB">
              <w:rPr>
                <w:color w:val="000000"/>
                <w:sz w:val="22"/>
              </w:rPr>
              <w:t>660,449</w:t>
            </w:r>
          </w:p>
        </w:tc>
        <w:tc>
          <w:tcPr>
            <w:tcW w:w="1609" w:type="dxa"/>
            <w:shd w:val="clear" w:color="auto" w:fill="auto"/>
            <w:noWrap/>
            <w:vAlign w:val="bottom"/>
            <w:hideMark/>
          </w:tcPr>
          <w:p w14:paraId="29588148" w14:textId="77777777" w:rsidR="00136AE9" w:rsidRPr="006278EB" w:rsidRDefault="00136AE9" w:rsidP="00136AE9">
            <w:pPr>
              <w:jc w:val="center"/>
              <w:rPr>
                <w:color w:val="000000"/>
                <w:sz w:val="22"/>
              </w:rPr>
            </w:pPr>
            <w:r w:rsidRPr="006278EB">
              <w:rPr>
                <w:color w:val="000000"/>
                <w:sz w:val="22"/>
              </w:rPr>
              <w:t>75,010</w:t>
            </w:r>
          </w:p>
        </w:tc>
        <w:tc>
          <w:tcPr>
            <w:tcW w:w="1082" w:type="dxa"/>
            <w:shd w:val="clear" w:color="auto" w:fill="auto"/>
            <w:noWrap/>
            <w:vAlign w:val="bottom"/>
            <w:hideMark/>
          </w:tcPr>
          <w:p w14:paraId="43645F34" w14:textId="77777777" w:rsidR="00136AE9" w:rsidRPr="006278EB" w:rsidRDefault="00136AE9" w:rsidP="00136AE9">
            <w:pPr>
              <w:jc w:val="center"/>
              <w:rPr>
                <w:color w:val="000000"/>
                <w:sz w:val="22"/>
              </w:rPr>
            </w:pPr>
            <w:r w:rsidRPr="006278EB">
              <w:rPr>
                <w:color w:val="000000"/>
                <w:sz w:val="22"/>
              </w:rPr>
              <w:t>735,459</w:t>
            </w:r>
          </w:p>
        </w:tc>
      </w:tr>
      <w:tr w:rsidR="00136AE9" w:rsidRPr="006278EB" w14:paraId="0C245D9E" w14:textId="77777777" w:rsidTr="00136AE9">
        <w:trPr>
          <w:trHeight w:val="280"/>
        </w:trPr>
        <w:tc>
          <w:tcPr>
            <w:tcW w:w="754" w:type="dxa"/>
            <w:shd w:val="clear" w:color="auto" w:fill="auto"/>
            <w:noWrap/>
            <w:vAlign w:val="bottom"/>
            <w:hideMark/>
          </w:tcPr>
          <w:p w14:paraId="662E8B66" w14:textId="77777777" w:rsidR="00136AE9" w:rsidRPr="006278EB" w:rsidRDefault="00136AE9" w:rsidP="00136AE9">
            <w:pPr>
              <w:jc w:val="center"/>
              <w:rPr>
                <w:color w:val="000000"/>
                <w:sz w:val="22"/>
              </w:rPr>
            </w:pPr>
            <w:r w:rsidRPr="006278EB">
              <w:rPr>
                <w:color w:val="000000"/>
                <w:sz w:val="22"/>
              </w:rPr>
              <w:t>2014</w:t>
            </w:r>
          </w:p>
        </w:tc>
        <w:tc>
          <w:tcPr>
            <w:tcW w:w="1082" w:type="dxa"/>
            <w:shd w:val="clear" w:color="auto" w:fill="auto"/>
            <w:noWrap/>
            <w:vAlign w:val="bottom"/>
            <w:hideMark/>
          </w:tcPr>
          <w:p w14:paraId="22A6AD49" w14:textId="77777777" w:rsidR="00136AE9" w:rsidRPr="006278EB" w:rsidRDefault="00136AE9" w:rsidP="00136AE9">
            <w:pPr>
              <w:jc w:val="center"/>
              <w:rPr>
                <w:color w:val="000000"/>
                <w:sz w:val="22"/>
              </w:rPr>
            </w:pPr>
            <w:r w:rsidRPr="006278EB">
              <w:rPr>
                <w:color w:val="000000"/>
                <w:sz w:val="22"/>
              </w:rPr>
              <w:t>157,501</w:t>
            </w:r>
          </w:p>
        </w:tc>
        <w:tc>
          <w:tcPr>
            <w:tcW w:w="1082" w:type="dxa"/>
            <w:shd w:val="clear" w:color="auto" w:fill="auto"/>
            <w:noWrap/>
            <w:vAlign w:val="bottom"/>
            <w:hideMark/>
          </w:tcPr>
          <w:p w14:paraId="6F528C34" w14:textId="77777777" w:rsidR="00136AE9" w:rsidRPr="006278EB" w:rsidRDefault="00136AE9" w:rsidP="00136AE9">
            <w:pPr>
              <w:jc w:val="center"/>
              <w:rPr>
                <w:color w:val="000000"/>
                <w:sz w:val="22"/>
              </w:rPr>
            </w:pPr>
            <w:r w:rsidRPr="006278EB">
              <w:rPr>
                <w:color w:val="000000"/>
                <w:sz w:val="22"/>
              </w:rPr>
              <w:t>538,122</w:t>
            </w:r>
          </w:p>
        </w:tc>
        <w:tc>
          <w:tcPr>
            <w:tcW w:w="1609" w:type="dxa"/>
            <w:shd w:val="clear" w:color="auto" w:fill="auto"/>
            <w:noWrap/>
            <w:vAlign w:val="bottom"/>
            <w:hideMark/>
          </w:tcPr>
          <w:p w14:paraId="4CD99A0E" w14:textId="77777777" w:rsidR="00136AE9" w:rsidRPr="006278EB" w:rsidRDefault="00136AE9" w:rsidP="00136AE9">
            <w:pPr>
              <w:jc w:val="center"/>
              <w:rPr>
                <w:color w:val="000000"/>
                <w:sz w:val="22"/>
              </w:rPr>
            </w:pPr>
            <w:r w:rsidRPr="006278EB">
              <w:rPr>
                <w:color w:val="000000"/>
                <w:sz w:val="22"/>
              </w:rPr>
              <w:t>91,173</w:t>
            </w:r>
          </w:p>
        </w:tc>
        <w:tc>
          <w:tcPr>
            <w:tcW w:w="1082" w:type="dxa"/>
            <w:shd w:val="clear" w:color="auto" w:fill="auto"/>
            <w:noWrap/>
            <w:vAlign w:val="bottom"/>
            <w:hideMark/>
          </w:tcPr>
          <w:p w14:paraId="52F7EBF8" w14:textId="77777777" w:rsidR="00136AE9" w:rsidRPr="006278EB" w:rsidRDefault="00136AE9" w:rsidP="00136AE9">
            <w:pPr>
              <w:jc w:val="center"/>
              <w:rPr>
                <w:color w:val="000000"/>
                <w:sz w:val="22"/>
              </w:rPr>
            </w:pPr>
            <w:r w:rsidRPr="006278EB">
              <w:rPr>
                <w:color w:val="000000"/>
                <w:sz w:val="22"/>
              </w:rPr>
              <w:t>629,295</w:t>
            </w:r>
          </w:p>
        </w:tc>
      </w:tr>
      <w:tr w:rsidR="00136AE9" w:rsidRPr="00CA3503" w14:paraId="232C969F" w14:textId="77777777" w:rsidTr="00136AE9">
        <w:trPr>
          <w:trHeight w:val="280"/>
        </w:trPr>
        <w:tc>
          <w:tcPr>
            <w:tcW w:w="754" w:type="dxa"/>
            <w:shd w:val="clear" w:color="auto" w:fill="auto"/>
            <w:noWrap/>
            <w:vAlign w:val="bottom"/>
          </w:tcPr>
          <w:p w14:paraId="6A2825AD" w14:textId="77777777" w:rsidR="00136AE9" w:rsidRPr="00CA3503" w:rsidRDefault="00136AE9" w:rsidP="00136AE9">
            <w:pPr>
              <w:jc w:val="center"/>
              <w:rPr>
                <w:b/>
                <w:color w:val="000000"/>
                <w:sz w:val="22"/>
              </w:rPr>
            </w:pPr>
            <w:r w:rsidRPr="00CA3503">
              <w:rPr>
                <w:b/>
                <w:color w:val="000000"/>
                <w:sz w:val="22"/>
              </w:rPr>
              <w:t>Mean</w:t>
            </w:r>
          </w:p>
        </w:tc>
        <w:tc>
          <w:tcPr>
            <w:tcW w:w="1082" w:type="dxa"/>
            <w:shd w:val="clear" w:color="auto" w:fill="auto"/>
            <w:noWrap/>
            <w:vAlign w:val="bottom"/>
          </w:tcPr>
          <w:p w14:paraId="213A4F4B" w14:textId="77777777" w:rsidR="00136AE9" w:rsidRPr="00CA3503" w:rsidRDefault="00136AE9" w:rsidP="00136AE9">
            <w:pPr>
              <w:jc w:val="center"/>
              <w:rPr>
                <w:b/>
                <w:color w:val="000000"/>
                <w:sz w:val="22"/>
              </w:rPr>
            </w:pPr>
            <w:r w:rsidRPr="00CA3503">
              <w:rPr>
                <w:b/>
                <w:color w:val="000000"/>
                <w:sz w:val="22"/>
              </w:rPr>
              <w:t>112,050</w:t>
            </w:r>
          </w:p>
        </w:tc>
        <w:tc>
          <w:tcPr>
            <w:tcW w:w="1082" w:type="dxa"/>
            <w:shd w:val="clear" w:color="auto" w:fill="auto"/>
            <w:noWrap/>
            <w:vAlign w:val="bottom"/>
          </w:tcPr>
          <w:p w14:paraId="5500A3DF" w14:textId="77777777" w:rsidR="00136AE9" w:rsidRPr="00CA3503" w:rsidRDefault="00136AE9" w:rsidP="00136AE9">
            <w:pPr>
              <w:jc w:val="center"/>
              <w:rPr>
                <w:b/>
                <w:color w:val="000000"/>
                <w:sz w:val="22"/>
              </w:rPr>
            </w:pPr>
            <w:r w:rsidRPr="00CA3503">
              <w:rPr>
                <w:b/>
                <w:color w:val="000000"/>
                <w:sz w:val="22"/>
              </w:rPr>
              <w:t>486,650</w:t>
            </w:r>
          </w:p>
        </w:tc>
        <w:tc>
          <w:tcPr>
            <w:tcW w:w="1609" w:type="dxa"/>
            <w:shd w:val="clear" w:color="auto" w:fill="auto"/>
            <w:noWrap/>
            <w:vAlign w:val="bottom"/>
          </w:tcPr>
          <w:p w14:paraId="149B81A0" w14:textId="77777777" w:rsidR="00136AE9" w:rsidRPr="00CA3503" w:rsidRDefault="00136AE9" w:rsidP="00136AE9">
            <w:pPr>
              <w:jc w:val="center"/>
              <w:rPr>
                <w:b/>
                <w:color w:val="000000"/>
                <w:sz w:val="22"/>
              </w:rPr>
            </w:pPr>
            <w:r w:rsidRPr="00CA3503">
              <w:rPr>
                <w:b/>
                <w:color w:val="000000"/>
                <w:sz w:val="22"/>
              </w:rPr>
              <w:t>76,881</w:t>
            </w:r>
          </w:p>
        </w:tc>
        <w:tc>
          <w:tcPr>
            <w:tcW w:w="1082" w:type="dxa"/>
            <w:shd w:val="clear" w:color="auto" w:fill="auto"/>
            <w:noWrap/>
            <w:vAlign w:val="bottom"/>
          </w:tcPr>
          <w:p w14:paraId="2CC881E9" w14:textId="77777777" w:rsidR="00136AE9" w:rsidRPr="00CA3503" w:rsidRDefault="00136AE9" w:rsidP="00136AE9">
            <w:pPr>
              <w:jc w:val="center"/>
              <w:rPr>
                <w:b/>
                <w:color w:val="000000"/>
                <w:sz w:val="22"/>
              </w:rPr>
            </w:pPr>
            <w:r w:rsidRPr="00CA3503">
              <w:rPr>
                <w:b/>
                <w:color w:val="000000"/>
                <w:sz w:val="22"/>
              </w:rPr>
              <w:t>563,531</w:t>
            </w:r>
          </w:p>
        </w:tc>
      </w:tr>
    </w:tbl>
    <w:p w14:paraId="009B167A" w14:textId="77777777" w:rsidR="00136AE9" w:rsidRDefault="00136AE9" w:rsidP="00136AE9">
      <w:pPr>
        <w:pStyle w:val="Tabletitle"/>
        <w:rPr>
          <w:b/>
        </w:rPr>
      </w:pPr>
    </w:p>
    <w:p w14:paraId="082BD01D" w14:textId="77777777" w:rsidR="003B69A5" w:rsidRDefault="003B69A5" w:rsidP="003B69A5">
      <w:pPr>
        <w:ind w:firstLine="360"/>
      </w:pPr>
      <w:r>
        <w:t xml:space="preserve">Proposed recreational ACLs (in numbers of fish) for 2017 range from 116,127 fish under </w:t>
      </w:r>
      <w:r w:rsidRPr="00006826">
        <w:rPr>
          <w:b/>
        </w:rPr>
        <w:t>Preferred Sub-alternative 2a</w:t>
      </w:r>
      <w:r>
        <w:t xml:space="preserve">, 110,321 fish under </w:t>
      </w:r>
      <w:r w:rsidRPr="004F731E">
        <w:rPr>
          <w:b/>
        </w:rPr>
        <w:t>Sub-alternative 2b</w:t>
      </w:r>
      <w:r>
        <w:t xml:space="preserve">, to 104,514 fish under </w:t>
      </w:r>
      <w:r w:rsidRPr="00006826">
        <w:rPr>
          <w:b/>
        </w:rPr>
        <w:t>Sub-alternative 2c</w:t>
      </w:r>
      <w:r>
        <w:t xml:space="preserve"> (</w:t>
      </w:r>
      <w:r w:rsidRPr="00006826">
        <w:rPr>
          <w:b/>
        </w:rPr>
        <w:t>Table 4.3.2</w:t>
      </w:r>
      <w:r>
        <w:t>).  The average of mutton snapper recreational landings from 2010-2014 is 112,050 fish (</w:t>
      </w:r>
      <w:r w:rsidRPr="00497AFE">
        <w:rPr>
          <w:b/>
        </w:rPr>
        <w:t xml:space="preserve">Table </w:t>
      </w:r>
      <w:r>
        <w:rPr>
          <w:b/>
        </w:rPr>
        <w:t>4.3.1</w:t>
      </w:r>
      <w:r>
        <w:t>).  Hence, it is possible that the recreational ACL would be harvested once implemented if harvest rates are comparable to those in 2010-2014.  The South Atlantic Council is considering changes to the recreational bag limit (</w:t>
      </w:r>
      <w:r w:rsidRPr="00006826">
        <w:rPr>
          <w:b/>
        </w:rPr>
        <w:t xml:space="preserve">Action </w:t>
      </w:r>
      <w:r>
        <w:rPr>
          <w:b/>
        </w:rPr>
        <w:t>7</w:t>
      </w:r>
      <w:r>
        <w:t>) partly to spread out the harvest and prevent a recreational closure.</w:t>
      </w:r>
    </w:p>
    <w:p w14:paraId="13DB932C" w14:textId="77777777" w:rsidR="003B69A5" w:rsidRDefault="003B69A5" w:rsidP="003B69A5">
      <w:pPr>
        <w:pStyle w:val="Tabletitle"/>
        <w:rPr>
          <w:b/>
        </w:rPr>
      </w:pPr>
    </w:p>
    <w:p w14:paraId="00A5A7BD" w14:textId="6D2EC746" w:rsidR="003B69A5" w:rsidRDefault="003B69A5" w:rsidP="00007A84">
      <w:pPr>
        <w:ind w:firstLine="360"/>
      </w:pPr>
      <w:r>
        <w:rPr>
          <w:b/>
          <w:bCs/>
        </w:rPr>
        <w:t xml:space="preserve">Sub-alternatives 2b </w:t>
      </w:r>
      <w:r w:rsidRPr="00524458">
        <w:rPr>
          <w:bCs/>
        </w:rPr>
        <w:t>and</w:t>
      </w:r>
      <w:r>
        <w:rPr>
          <w:b/>
          <w:bCs/>
        </w:rPr>
        <w:t xml:space="preserve"> 2c</w:t>
      </w:r>
      <w:r w:rsidRPr="00B0349A">
        <w:rPr>
          <w:b/>
          <w:bCs/>
        </w:rPr>
        <w:t xml:space="preserve"> </w:t>
      </w:r>
      <w:r w:rsidRPr="00B0349A">
        <w:t xml:space="preserve">would have a greater </w:t>
      </w:r>
      <w:r w:rsidR="00234105">
        <w:t xml:space="preserve">long-term </w:t>
      </w:r>
      <w:r w:rsidRPr="00B0349A">
        <w:t xml:space="preserve">positive biological effect than </w:t>
      </w:r>
      <w:r w:rsidRPr="00581C7F">
        <w:rPr>
          <w:b/>
        </w:rPr>
        <w:t xml:space="preserve">Preferred </w:t>
      </w:r>
      <w:r>
        <w:rPr>
          <w:b/>
          <w:bCs/>
        </w:rPr>
        <w:t>Sub-a</w:t>
      </w:r>
      <w:r w:rsidRPr="00B0349A">
        <w:rPr>
          <w:b/>
          <w:bCs/>
        </w:rPr>
        <w:t>lternative 2</w:t>
      </w:r>
      <w:r>
        <w:rPr>
          <w:b/>
          <w:bCs/>
        </w:rPr>
        <w:t>a</w:t>
      </w:r>
      <w:r w:rsidRPr="00B0349A">
        <w:rPr>
          <w:b/>
          <w:bCs/>
        </w:rPr>
        <w:t xml:space="preserve"> </w:t>
      </w:r>
      <w:r w:rsidRPr="00B0349A">
        <w:t xml:space="preserve">because they would create a buffer between the ACL/OY and ABC, with </w:t>
      </w:r>
      <w:r>
        <w:rPr>
          <w:b/>
          <w:bCs/>
        </w:rPr>
        <w:t>Sub-alternative 2c</w:t>
      </w:r>
      <w:r w:rsidRPr="00B0349A">
        <w:rPr>
          <w:b/>
          <w:bCs/>
        </w:rPr>
        <w:t xml:space="preserve"> </w:t>
      </w:r>
      <w:r w:rsidRPr="00B0349A">
        <w:t>settin</w:t>
      </w:r>
      <w:r>
        <w:t>g the most conservative ACL at 9</w:t>
      </w:r>
      <w:r w:rsidRPr="00B0349A">
        <w:t>0% of the ABC (</w:t>
      </w:r>
      <w:r w:rsidRPr="00725403">
        <w:rPr>
          <w:b/>
        </w:rPr>
        <w:t xml:space="preserve">Table </w:t>
      </w:r>
      <w:r>
        <w:rPr>
          <w:b/>
        </w:rPr>
        <w:t>4.3.2</w:t>
      </w:r>
      <w:r w:rsidRPr="00B0349A">
        <w:t>)</w:t>
      </w:r>
      <w:r w:rsidR="00234105">
        <w:t xml:space="preserve">.  </w:t>
      </w:r>
      <w:r w:rsidR="00234105" w:rsidRPr="00B0349A">
        <w:t>Creating a buffer between the ACL/OY and ABC</w:t>
      </w:r>
      <w:r w:rsidR="00234105">
        <w:t xml:space="preserve">, as proposed under </w:t>
      </w:r>
      <w:r w:rsidR="00234105" w:rsidRPr="006212B7">
        <w:rPr>
          <w:b/>
        </w:rPr>
        <w:t>Sub-</w:t>
      </w:r>
      <w:r w:rsidR="00234105" w:rsidRPr="00234105">
        <w:rPr>
          <w:b/>
        </w:rPr>
        <w:t>alternatives</w:t>
      </w:r>
      <w:r w:rsidR="00234105" w:rsidRPr="006212B7">
        <w:rPr>
          <w:b/>
        </w:rPr>
        <w:t xml:space="preserve"> </w:t>
      </w:r>
      <w:r w:rsidR="00234105" w:rsidRPr="006212B7">
        <w:rPr>
          <w:b/>
        </w:rPr>
        <w:lastRenderedPageBreak/>
        <w:t xml:space="preserve">2b </w:t>
      </w:r>
      <w:r w:rsidR="00234105">
        <w:t xml:space="preserve">and </w:t>
      </w:r>
      <w:r w:rsidR="00234105" w:rsidRPr="006212B7">
        <w:rPr>
          <w:b/>
        </w:rPr>
        <w:t>2c</w:t>
      </w:r>
      <w:r w:rsidR="00234105">
        <w:t xml:space="preserve">, </w:t>
      </w:r>
      <w:r w:rsidR="00234105" w:rsidRPr="00B0349A">
        <w:t>would provide greater assurance that overfishing</w:t>
      </w:r>
      <w:r w:rsidR="00234105">
        <w:fldChar w:fldCharType="begin"/>
      </w:r>
      <w:r w:rsidR="00234105">
        <w:instrText xml:space="preserve"> XE "</w:instrText>
      </w:r>
      <w:r w:rsidR="00234105" w:rsidRPr="00095BD6">
        <w:rPr>
          <w:i/>
        </w:rPr>
        <w:instrText>overfishing</w:instrText>
      </w:r>
      <w:r w:rsidR="00234105">
        <w:instrText xml:space="preserve">" </w:instrText>
      </w:r>
      <w:r w:rsidR="00234105">
        <w:fldChar w:fldCharType="end"/>
      </w:r>
      <w:r w:rsidR="00234105" w:rsidRPr="00B0349A">
        <w:t xml:space="preserve"> is prevented, and the long-term average biomass is near or above SSB</w:t>
      </w:r>
      <w:r w:rsidR="00234105" w:rsidRPr="00B0349A">
        <w:rPr>
          <w:vertAlign w:val="subscript"/>
        </w:rPr>
        <w:t>MSY</w:t>
      </w:r>
      <w:r w:rsidR="00234105" w:rsidRPr="00B0349A">
        <w:t xml:space="preserve">.  </w:t>
      </w:r>
      <w:r w:rsidR="005D1AFA" w:rsidRPr="00007A84">
        <w:rPr>
          <w:b/>
        </w:rPr>
        <w:t>Preferred Sub-alternative 2a</w:t>
      </w:r>
      <w:r w:rsidR="005D1AFA">
        <w:t xml:space="preserve"> would set</w:t>
      </w:r>
      <w:r w:rsidR="00792AC4" w:rsidRPr="004A059D">
        <w:t xml:space="preserve"> the ACL equal to the ABC</w:t>
      </w:r>
      <w:r w:rsidR="00792AC4">
        <w:t xml:space="preserve"> (</w:t>
      </w:r>
      <w:r w:rsidR="005D1AFA">
        <w:t>and OY</w:t>
      </w:r>
      <w:r w:rsidR="00792AC4">
        <w:t>)</w:t>
      </w:r>
      <w:r w:rsidR="005D1AFA">
        <w:t xml:space="preserve"> leaving</w:t>
      </w:r>
      <w:r w:rsidR="00792AC4" w:rsidRPr="004A059D">
        <w:t xml:space="preserve"> no buffer between the two harvest parameters, which may increase risk that harvest could exceed the ABC. </w:t>
      </w:r>
      <w:r w:rsidR="00792AC4">
        <w:t xml:space="preserve"> </w:t>
      </w:r>
      <w:r w:rsidR="005D1AFA">
        <w:t xml:space="preserve">As such, </w:t>
      </w:r>
      <w:r w:rsidR="005D1AFA" w:rsidRPr="00007A84">
        <w:rPr>
          <w:b/>
        </w:rPr>
        <w:t>Preferred Sub-alternative 2a</w:t>
      </w:r>
      <w:r w:rsidR="005D1AFA">
        <w:t xml:space="preserve"> is the least biologically beneficial of the sub-alternatives considered under this action.  </w:t>
      </w:r>
      <w:r w:rsidR="00234105" w:rsidRPr="00B0349A">
        <w:t>Howe</w:t>
      </w:r>
      <w:r w:rsidR="00234105">
        <w:t xml:space="preserve">ver, the South Atlantic Council’s </w:t>
      </w:r>
      <w:r w:rsidR="00234105" w:rsidRPr="00B0349A">
        <w:t xml:space="preserve">ABC </w:t>
      </w:r>
      <w:r w:rsidR="00234105">
        <w:t>c</w:t>
      </w:r>
      <w:r w:rsidR="00234105" w:rsidRPr="00B0349A">
        <w:t xml:space="preserve">ontrol </w:t>
      </w:r>
      <w:r w:rsidR="00234105">
        <w:t>r</w:t>
      </w:r>
      <w:r w:rsidR="00234105" w:rsidRPr="00B0349A">
        <w:t xml:space="preserve">ule takes into account scientific uncertainty.  The </w:t>
      </w:r>
      <w:r w:rsidR="00234105">
        <w:t>Magnuson-Stevens Act National Standard</w:t>
      </w:r>
      <w:r w:rsidR="00234105" w:rsidRPr="00B0349A">
        <w:t xml:space="preserve"> 1</w:t>
      </w:r>
      <w:r w:rsidR="00234105">
        <w:t xml:space="preserve"> (NS 1)</w:t>
      </w:r>
      <w:r w:rsidR="00234105" w:rsidRPr="00B0349A">
        <w:t xml:space="preserve"> guidelines indicate </w:t>
      </w:r>
      <w:r w:rsidR="00234105">
        <w:t xml:space="preserve">an </w:t>
      </w:r>
      <w:r w:rsidR="00234105" w:rsidRPr="00B0349A">
        <w:t xml:space="preserve">ACL may typically be set very close to the ABC.  Setting a buffer between the ACL and ABC would be appropriate in situations where there is uncertainty in whether or not management measures are constraining fishing mortality to target levels. </w:t>
      </w:r>
      <w:r w:rsidR="00234105">
        <w:t xml:space="preserve"> </w:t>
      </w:r>
      <w:r w:rsidR="00234105" w:rsidRPr="00B0349A">
        <w:t>A</w:t>
      </w:r>
      <w:r w:rsidR="00234105">
        <w:t>n annual catch target (ACT), which is</w:t>
      </w:r>
      <w:r w:rsidR="00234105" w:rsidRPr="00B0349A">
        <w:t xml:space="preserve"> not required</w:t>
      </w:r>
      <w:r w:rsidR="00234105">
        <w:t>, can also be set below the ACL</w:t>
      </w:r>
      <w:r w:rsidR="00234105" w:rsidRPr="00B0349A">
        <w:t xml:space="preserve"> to account for management uncertainty and provide greater assurance overfishing does not occur</w:t>
      </w:r>
      <w:r w:rsidR="005D1AFA">
        <w:t xml:space="preserve"> (see </w:t>
      </w:r>
      <w:r w:rsidR="005D1AFA" w:rsidRPr="00007A84">
        <w:rPr>
          <w:b/>
        </w:rPr>
        <w:t>Section 1.5</w:t>
      </w:r>
      <w:r w:rsidR="005D1AFA">
        <w:t>)</w:t>
      </w:r>
      <w:r w:rsidR="00234105" w:rsidRPr="00B0349A">
        <w:t>.</w:t>
      </w:r>
      <w:r w:rsidR="00234105">
        <w:t xml:space="preserve">  </w:t>
      </w:r>
      <w:r w:rsidRPr="00B97507">
        <w:rPr>
          <w:b/>
        </w:rPr>
        <w:t>Alternative 1 (No Action</w:t>
      </w:r>
      <w:r w:rsidR="00234105">
        <w:rPr>
          <w:b/>
        </w:rPr>
        <w:t xml:space="preserve">) </w:t>
      </w:r>
      <w:r w:rsidR="00234105" w:rsidRPr="00007A84">
        <w:t>no longer</w:t>
      </w:r>
      <w:r>
        <w:t xml:space="preserve"> represent</w:t>
      </w:r>
      <w:r w:rsidR="00234105">
        <w:t>s</w:t>
      </w:r>
      <w:r>
        <w:t xml:space="preserve"> the best scientific information available</w:t>
      </w:r>
      <w:r w:rsidR="00234105">
        <w:t xml:space="preserve"> since it would ignore the recent update to the mutton snapper stock assessment (SEDAR 15A Update 2015) </w:t>
      </w:r>
      <w:r w:rsidR="005D1AFA">
        <w:t>and,</w:t>
      </w:r>
      <w:r w:rsidR="00234105">
        <w:t xml:space="preserve"> therefore, </w:t>
      </w:r>
      <w:r w:rsidR="005D1AFA">
        <w:t xml:space="preserve">is </w:t>
      </w:r>
      <w:r w:rsidR="00234105">
        <w:t>not a reasonable alternative</w:t>
      </w:r>
      <w:r w:rsidRPr="00B0349A">
        <w:t xml:space="preserve">. </w:t>
      </w:r>
    </w:p>
    <w:p w14:paraId="3D061BE7" w14:textId="1BE19E13" w:rsidR="00136AE9" w:rsidRDefault="00136AE9" w:rsidP="003B69A5">
      <w:pPr>
        <w:rPr>
          <w:rFonts w:ascii="Arial" w:hAnsi="Arial"/>
          <w:b/>
          <w:bCs/>
          <w:sz w:val="20"/>
        </w:rPr>
      </w:pPr>
    </w:p>
    <w:p w14:paraId="58B9E916" w14:textId="1D36090E" w:rsidR="00136AE9" w:rsidRPr="00042F0D" w:rsidRDefault="00136AE9" w:rsidP="00136AE9">
      <w:pPr>
        <w:pStyle w:val="Tabletitle"/>
        <w:rPr>
          <w:b/>
        </w:rPr>
      </w:pPr>
      <w:bookmarkStart w:id="235" w:name="_Toc340431577"/>
      <w:r w:rsidRPr="00910E89">
        <w:rPr>
          <w:b/>
        </w:rPr>
        <w:t xml:space="preserve">Table </w:t>
      </w:r>
      <w:r>
        <w:rPr>
          <w:b/>
        </w:rPr>
        <w:t>4.3.2</w:t>
      </w:r>
      <w:r w:rsidRPr="00910E89">
        <w:rPr>
          <w:b/>
        </w:rPr>
        <w:t>.</w:t>
      </w:r>
      <w:r w:rsidRPr="00910E89">
        <w:t xml:space="preserve">  Proposed acceptable biological catch values and annual catch limits for mutton snapper in the South Atlantic based on </w:t>
      </w:r>
      <w:r w:rsidRPr="008565BE">
        <w:rPr>
          <w:b/>
        </w:rPr>
        <w:t>Sub-</w:t>
      </w:r>
      <w:r>
        <w:rPr>
          <w:b/>
        </w:rPr>
        <w:t>alternatives 2a (Preferred)-2c</w:t>
      </w:r>
      <w:r w:rsidRPr="00910E89">
        <w:t>.</w:t>
      </w:r>
      <w:bookmarkEnd w:id="235"/>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1483"/>
        <w:gridCol w:w="1330"/>
        <w:gridCol w:w="1372"/>
        <w:gridCol w:w="1569"/>
        <w:gridCol w:w="1657"/>
        <w:gridCol w:w="1484"/>
      </w:tblGrid>
      <w:tr w:rsidR="00136AE9" w:rsidRPr="00317A9E" w14:paraId="192317E5" w14:textId="77777777" w:rsidTr="0066632F">
        <w:tc>
          <w:tcPr>
            <w:tcW w:w="9576" w:type="dxa"/>
            <w:gridSpan w:val="7"/>
            <w:shd w:val="clear" w:color="auto" w:fill="D9D9D9" w:themeFill="background1" w:themeFillShade="D9"/>
            <w:tcMar>
              <w:top w:w="144" w:type="nil"/>
              <w:right w:w="144" w:type="nil"/>
            </w:tcMar>
            <w:vAlign w:val="bottom"/>
          </w:tcPr>
          <w:p w14:paraId="6F2FD59F" w14:textId="77777777" w:rsidR="00136AE9" w:rsidRPr="00667CDC" w:rsidRDefault="00136AE9" w:rsidP="00136AE9">
            <w:pPr>
              <w:widowControl w:val="0"/>
              <w:autoSpaceDE w:val="0"/>
              <w:autoSpaceDN w:val="0"/>
              <w:adjustRightInd w:val="0"/>
              <w:jc w:val="center"/>
              <w:rPr>
                <w:sz w:val="22"/>
                <w:szCs w:val="22"/>
              </w:rPr>
            </w:pPr>
            <w:r>
              <w:rPr>
                <w:b/>
                <w:bCs/>
                <w:sz w:val="22"/>
                <w:szCs w:val="22"/>
              </w:rPr>
              <w:t xml:space="preserve">Preferred Sub-alt 2a - </w:t>
            </w:r>
            <w:r w:rsidRPr="00667CDC">
              <w:rPr>
                <w:b/>
                <w:bCs/>
                <w:sz w:val="22"/>
                <w:szCs w:val="22"/>
              </w:rPr>
              <w:t xml:space="preserve">ACL = </w:t>
            </w:r>
            <w:r>
              <w:rPr>
                <w:b/>
                <w:bCs/>
                <w:sz w:val="22"/>
                <w:szCs w:val="22"/>
              </w:rPr>
              <w:t xml:space="preserve">OY = </w:t>
            </w:r>
            <w:r w:rsidRPr="00667CDC">
              <w:rPr>
                <w:b/>
                <w:bCs/>
                <w:sz w:val="22"/>
                <w:szCs w:val="22"/>
              </w:rPr>
              <w:t>ABC</w:t>
            </w:r>
          </w:p>
        </w:tc>
      </w:tr>
      <w:tr w:rsidR="00136AE9" w:rsidRPr="00317A9E" w14:paraId="3A670559" w14:textId="77777777" w:rsidTr="0066632F">
        <w:tc>
          <w:tcPr>
            <w:tcW w:w="681" w:type="dxa"/>
            <w:shd w:val="clear" w:color="auto" w:fill="D9D9D9" w:themeFill="background1" w:themeFillShade="D9"/>
            <w:tcMar>
              <w:top w:w="144" w:type="nil"/>
              <w:right w:w="144" w:type="nil"/>
            </w:tcMar>
            <w:vAlign w:val="center"/>
          </w:tcPr>
          <w:p w14:paraId="72586BA7" w14:textId="77777777" w:rsidR="00136AE9" w:rsidRPr="00667CDC" w:rsidRDefault="00136AE9" w:rsidP="00136AE9">
            <w:pPr>
              <w:widowControl w:val="0"/>
              <w:autoSpaceDE w:val="0"/>
              <w:autoSpaceDN w:val="0"/>
              <w:adjustRightInd w:val="0"/>
              <w:jc w:val="center"/>
              <w:rPr>
                <w:sz w:val="22"/>
                <w:szCs w:val="22"/>
              </w:rPr>
            </w:pPr>
            <w:r w:rsidRPr="00667CDC">
              <w:rPr>
                <w:b/>
                <w:bCs/>
                <w:sz w:val="22"/>
                <w:szCs w:val="22"/>
              </w:rPr>
              <w:t>Year</w:t>
            </w:r>
          </w:p>
        </w:tc>
        <w:tc>
          <w:tcPr>
            <w:tcW w:w="1483" w:type="dxa"/>
            <w:shd w:val="clear" w:color="auto" w:fill="D9D9D9" w:themeFill="background1" w:themeFillShade="D9"/>
            <w:tcMar>
              <w:top w:w="144" w:type="nil"/>
              <w:right w:w="144" w:type="nil"/>
            </w:tcMar>
            <w:vAlign w:val="center"/>
          </w:tcPr>
          <w:p w14:paraId="4526E01A" w14:textId="77777777" w:rsidR="00136AE9" w:rsidRPr="00667CDC" w:rsidRDefault="00136AE9" w:rsidP="00136AE9">
            <w:pPr>
              <w:widowControl w:val="0"/>
              <w:autoSpaceDE w:val="0"/>
              <w:autoSpaceDN w:val="0"/>
              <w:adjustRightInd w:val="0"/>
              <w:jc w:val="center"/>
              <w:rPr>
                <w:sz w:val="22"/>
                <w:szCs w:val="22"/>
              </w:rPr>
            </w:pPr>
            <w:r w:rsidRPr="00667CDC">
              <w:rPr>
                <w:b/>
                <w:bCs/>
                <w:sz w:val="22"/>
                <w:szCs w:val="22"/>
              </w:rPr>
              <w:t>Total ABC</w:t>
            </w:r>
            <w:r>
              <w:rPr>
                <w:b/>
                <w:bCs/>
                <w:sz w:val="22"/>
                <w:szCs w:val="22"/>
              </w:rPr>
              <w:t xml:space="preserve"> (SA + Gulf)</w:t>
            </w:r>
            <w:r w:rsidRPr="00667CDC">
              <w:rPr>
                <w:b/>
                <w:bCs/>
                <w:sz w:val="22"/>
                <w:szCs w:val="22"/>
              </w:rPr>
              <w:t xml:space="preserve"> num</w:t>
            </w:r>
          </w:p>
        </w:tc>
        <w:tc>
          <w:tcPr>
            <w:tcW w:w="1330" w:type="dxa"/>
            <w:shd w:val="clear" w:color="auto" w:fill="D9D9D9" w:themeFill="background1" w:themeFillShade="D9"/>
            <w:tcMar>
              <w:top w:w="144" w:type="nil"/>
              <w:right w:w="144" w:type="nil"/>
            </w:tcMar>
            <w:vAlign w:val="center"/>
          </w:tcPr>
          <w:p w14:paraId="7F7017CA" w14:textId="77777777" w:rsidR="00136AE9" w:rsidRPr="00667CDC" w:rsidRDefault="00136AE9" w:rsidP="00136AE9">
            <w:pPr>
              <w:widowControl w:val="0"/>
              <w:autoSpaceDE w:val="0"/>
              <w:autoSpaceDN w:val="0"/>
              <w:adjustRightInd w:val="0"/>
              <w:jc w:val="center"/>
              <w:rPr>
                <w:sz w:val="22"/>
                <w:szCs w:val="22"/>
              </w:rPr>
            </w:pPr>
            <w:r w:rsidRPr="00667CDC">
              <w:rPr>
                <w:b/>
                <w:bCs/>
                <w:sz w:val="22"/>
                <w:szCs w:val="22"/>
              </w:rPr>
              <w:t>SA ABC num</w:t>
            </w:r>
          </w:p>
        </w:tc>
        <w:tc>
          <w:tcPr>
            <w:tcW w:w="1372" w:type="dxa"/>
            <w:shd w:val="clear" w:color="auto" w:fill="D9D9D9" w:themeFill="background1" w:themeFillShade="D9"/>
            <w:tcMar>
              <w:top w:w="144" w:type="nil"/>
              <w:right w:w="144" w:type="nil"/>
            </w:tcMar>
            <w:vAlign w:val="center"/>
          </w:tcPr>
          <w:p w14:paraId="0A4D9221" w14:textId="77777777" w:rsidR="00136AE9" w:rsidRPr="00667CDC" w:rsidRDefault="00136AE9" w:rsidP="00136AE9">
            <w:pPr>
              <w:widowControl w:val="0"/>
              <w:autoSpaceDE w:val="0"/>
              <w:autoSpaceDN w:val="0"/>
              <w:adjustRightInd w:val="0"/>
              <w:jc w:val="center"/>
              <w:rPr>
                <w:sz w:val="22"/>
                <w:szCs w:val="22"/>
              </w:rPr>
            </w:pPr>
            <w:r w:rsidRPr="00667CDC">
              <w:rPr>
                <w:b/>
                <w:bCs/>
                <w:sz w:val="22"/>
                <w:szCs w:val="22"/>
              </w:rPr>
              <w:t>Yield ABC lbs</w:t>
            </w:r>
          </w:p>
        </w:tc>
        <w:tc>
          <w:tcPr>
            <w:tcW w:w="1569" w:type="dxa"/>
            <w:shd w:val="clear" w:color="auto" w:fill="D9D9D9" w:themeFill="background1" w:themeFillShade="D9"/>
            <w:tcMar>
              <w:top w:w="144" w:type="nil"/>
              <w:right w:w="144" w:type="nil"/>
            </w:tcMar>
            <w:vAlign w:val="center"/>
          </w:tcPr>
          <w:p w14:paraId="5CEBA546" w14:textId="77777777" w:rsidR="00136AE9" w:rsidRPr="00667CDC" w:rsidRDefault="00136AE9" w:rsidP="00136AE9">
            <w:pPr>
              <w:widowControl w:val="0"/>
              <w:autoSpaceDE w:val="0"/>
              <w:autoSpaceDN w:val="0"/>
              <w:adjustRightInd w:val="0"/>
              <w:jc w:val="center"/>
              <w:rPr>
                <w:sz w:val="22"/>
                <w:szCs w:val="22"/>
              </w:rPr>
            </w:pPr>
            <w:r w:rsidRPr="00667CDC">
              <w:rPr>
                <w:b/>
                <w:bCs/>
                <w:sz w:val="22"/>
                <w:szCs w:val="22"/>
              </w:rPr>
              <w:t>Comm ACL (lbs)</w:t>
            </w:r>
          </w:p>
        </w:tc>
        <w:tc>
          <w:tcPr>
            <w:tcW w:w="1657" w:type="dxa"/>
            <w:shd w:val="clear" w:color="auto" w:fill="D9D9D9" w:themeFill="background1" w:themeFillShade="D9"/>
            <w:tcMar>
              <w:top w:w="144" w:type="nil"/>
              <w:right w:w="144" w:type="nil"/>
            </w:tcMar>
            <w:vAlign w:val="center"/>
          </w:tcPr>
          <w:p w14:paraId="57304B7D" w14:textId="77777777" w:rsidR="00136AE9" w:rsidRPr="00667CDC" w:rsidRDefault="00136AE9" w:rsidP="00136AE9">
            <w:pPr>
              <w:widowControl w:val="0"/>
              <w:autoSpaceDE w:val="0"/>
              <w:autoSpaceDN w:val="0"/>
              <w:adjustRightInd w:val="0"/>
              <w:jc w:val="center"/>
              <w:rPr>
                <w:sz w:val="22"/>
                <w:szCs w:val="22"/>
              </w:rPr>
            </w:pPr>
            <w:r w:rsidRPr="00667CDC">
              <w:rPr>
                <w:b/>
                <w:bCs/>
                <w:sz w:val="22"/>
                <w:szCs w:val="22"/>
              </w:rPr>
              <w:t>Comm ACL (num)</w:t>
            </w:r>
          </w:p>
        </w:tc>
        <w:tc>
          <w:tcPr>
            <w:tcW w:w="1484" w:type="dxa"/>
            <w:shd w:val="clear" w:color="auto" w:fill="D9D9D9" w:themeFill="background1" w:themeFillShade="D9"/>
            <w:tcMar>
              <w:top w:w="144" w:type="nil"/>
              <w:right w:w="144" w:type="nil"/>
            </w:tcMar>
            <w:vAlign w:val="center"/>
          </w:tcPr>
          <w:p w14:paraId="72CCEB2D" w14:textId="77777777" w:rsidR="00136AE9" w:rsidRPr="00667CDC" w:rsidRDefault="00136AE9" w:rsidP="00136AE9">
            <w:pPr>
              <w:widowControl w:val="0"/>
              <w:autoSpaceDE w:val="0"/>
              <w:autoSpaceDN w:val="0"/>
              <w:adjustRightInd w:val="0"/>
              <w:jc w:val="center"/>
              <w:rPr>
                <w:sz w:val="22"/>
                <w:szCs w:val="22"/>
              </w:rPr>
            </w:pPr>
            <w:r w:rsidRPr="00667CDC">
              <w:rPr>
                <w:b/>
                <w:bCs/>
                <w:sz w:val="22"/>
                <w:szCs w:val="22"/>
              </w:rPr>
              <w:t>Rec ACL (num)</w:t>
            </w:r>
          </w:p>
        </w:tc>
      </w:tr>
      <w:tr w:rsidR="00136AE9" w:rsidRPr="00317A9E" w14:paraId="4C4338C5" w14:textId="77777777" w:rsidTr="0066632F">
        <w:tc>
          <w:tcPr>
            <w:tcW w:w="681" w:type="dxa"/>
            <w:tcMar>
              <w:top w:w="144" w:type="nil"/>
              <w:right w:w="144" w:type="nil"/>
            </w:tcMar>
            <w:vAlign w:val="bottom"/>
          </w:tcPr>
          <w:p w14:paraId="1D4505AB"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2017</w:t>
            </w:r>
          </w:p>
        </w:tc>
        <w:tc>
          <w:tcPr>
            <w:tcW w:w="1483" w:type="dxa"/>
            <w:tcMar>
              <w:top w:w="144" w:type="nil"/>
              <w:right w:w="144" w:type="nil"/>
            </w:tcMar>
            <w:vAlign w:val="bottom"/>
          </w:tcPr>
          <w:p w14:paraId="7BF73EE5"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157,500</w:t>
            </w:r>
          </w:p>
        </w:tc>
        <w:tc>
          <w:tcPr>
            <w:tcW w:w="1330" w:type="dxa"/>
            <w:tcMar>
              <w:top w:w="144" w:type="nil"/>
              <w:right w:w="144" w:type="nil"/>
            </w:tcMar>
            <w:vAlign w:val="bottom"/>
          </w:tcPr>
          <w:p w14:paraId="5734C5DC"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129,150</w:t>
            </w:r>
          </w:p>
        </w:tc>
        <w:tc>
          <w:tcPr>
            <w:tcW w:w="1372" w:type="dxa"/>
            <w:tcMar>
              <w:top w:w="144" w:type="nil"/>
              <w:right w:w="144" w:type="nil"/>
            </w:tcMar>
            <w:vAlign w:val="bottom"/>
          </w:tcPr>
          <w:p w14:paraId="1E976DB4"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587,633</w:t>
            </w:r>
          </w:p>
        </w:tc>
        <w:tc>
          <w:tcPr>
            <w:tcW w:w="1569" w:type="dxa"/>
            <w:tcMar>
              <w:top w:w="144" w:type="nil"/>
              <w:right w:w="144" w:type="nil"/>
            </w:tcMar>
            <w:vAlign w:val="bottom"/>
          </w:tcPr>
          <w:p w14:paraId="325851A2"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100,015</w:t>
            </w:r>
          </w:p>
        </w:tc>
        <w:tc>
          <w:tcPr>
            <w:tcW w:w="1657" w:type="dxa"/>
            <w:tcMar>
              <w:top w:w="144" w:type="nil"/>
              <w:right w:w="144" w:type="nil"/>
            </w:tcMar>
            <w:vAlign w:val="bottom"/>
          </w:tcPr>
          <w:p w14:paraId="01407305"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13,023</w:t>
            </w:r>
          </w:p>
        </w:tc>
        <w:tc>
          <w:tcPr>
            <w:tcW w:w="1484" w:type="dxa"/>
            <w:tcMar>
              <w:top w:w="144" w:type="nil"/>
              <w:right w:w="144" w:type="nil"/>
            </w:tcMar>
            <w:vAlign w:val="bottom"/>
          </w:tcPr>
          <w:p w14:paraId="20893F04"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116,127</w:t>
            </w:r>
          </w:p>
        </w:tc>
      </w:tr>
      <w:tr w:rsidR="00136AE9" w:rsidRPr="00317A9E" w14:paraId="4FA874DE" w14:textId="77777777" w:rsidTr="0066632F">
        <w:tc>
          <w:tcPr>
            <w:tcW w:w="681" w:type="dxa"/>
            <w:tcMar>
              <w:top w:w="144" w:type="nil"/>
              <w:right w:w="144" w:type="nil"/>
            </w:tcMar>
            <w:vAlign w:val="bottom"/>
          </w:tcPr>
          <w:p w14:paraId="49E5CB60"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2018</w:t>
            </w:r>
          </w:p>
        </w:tc>
        <w:tc>
          <w:tcPr>
            <w:tcW w:w="1483" w:type="dxa"/>
            <w:tcMar>
              <w:top w:w="144" w:type="nil"/>
              <w:right w:w="144" w:type="nil"/>
            </w:tcMar>
            <w:vAlign w:val="bottom"/>
          </w:tcPr>
          <w:p w14:paraId="0FB7EFF4"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164,500</w:t>
            </w:r>
          </w:p>
        </w:tc>
        <w:tc>
          <w:tcPr>
            <w:tcW w:w="1330" w:type="dxa"/>
            <w:tcMar>
              <w:top w:w="144" w:type="nil"/>
              <w:right w:w="144" w:type="nil"/>
            </w:tcMar>
            <w:vAlign w:val="bottom"/>
          </w:tcPr>
          <w:p w14:paraId="1E7D2175"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134,890</w:t>
            </w:r>
          </w:p>
        </w:tc>
        <w:tc>
          <w:tcPr>
            <w:tcW w:w="1372" w:type="dxa"/>
            <w:tcMar>
              <w:top w:w="144" w:type="nil"/>
              <w:right w:w="144" w:type="nil"/>
            </w:tcMar>
            <w:vAlign w:val="bottom"/>
          </w:tcPr>
          <w:p w14:paraId="417959B9"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612,401</w:t>
            </w:r>
          </w:p>
        </w:tc>
        <w:tc>
          <w:tcPr>
            <w:tcW w:w="1569" w:type="dxa"/>
            <w:tcMar>
              <w:top w:w="144" w:type="nil"/>
              <w:right w:w="144" w:type="nil"/>
            </w:tcMar>
            <w:vAlign w:val="bottom"/>
          </w:tcPr>
          <w:p w14:paraId="6773EE57"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104,231</w:t>
            </w:r>
          </w:p>
        </w:tc>
        <w:tc>
          <w:tcPr>
            <w:tcW w:w="1657" w:type="dxa"/>
            <w:tcMar>
              <w:top w:w="144" w:type="nil"/>
              <w:right w:w="144" w:type="nil"/>
            </w:tcMar>
            <w:vAlign w:val="bottom"/>
          </w:tcPr>
          <w:p w14:paraId="658B5B2A"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13,572</w:t>
            </w:r>
          </w:p>
        </w:tc>
        <w:tc>
          <w:tcPr>
            <w:tcW w:w="1484" w:type="dxa"/>
            <w:tcMar>
              <w:top w:w="144" w:type="nil"/>
              <w:right w:w="144" w:type="nil"/>
            </w:tcMar>
            <w:vAlign w:val="bottom"/>
          </w:tcPr>
          <w:p w14:paraId="2E35591D"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121,318</w:t>
            </w:r>
          </w:p>
        </w:tc>
      </w:tr>
      <w:tr w:rsidR="00136AE9" w:rsidRPr="00317A9E" w14:paraId="67FF2FCF" w14:textId="77777777" w:rsidTr="0066632F">
        <w:tc>
          <w:tcPr>
            <w:tcW w:w="681" w:type="dxa"/>
            <w:tcMar>
              <w:top w:w="144" w:type="nil"/>
              <w:right w:w="144" w:type="nil"/>
            </w:tcMar>
            <w:vAlign w:val="bottom"/>
          </w:tcPr>
          <w:p w14:paraId="0C983F7E"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2019</w:t>
            </w:r>
          </w:p>
        </w:tc>
        <w:tc>
          <w:tcPr>
            <w:tcW w:w="1483" w:type="dxa"/>
            <w:tcMar>
              <w:top w:w="144" w:type="nil"/>
              <w:right w:w="144" w:type="nil"/>
            </w:tcMar>
            <w:vAlign w:val="bottom"/>
          </w:tcPr>
          <w:p w14:paraId="47C88C41"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169,300</w:t>
            </w:r>
          </w:p>
        </w:tc>
        <w:tc>
          <w:tcPr>
            <w:tcW w:w="1330" w:type="dxa"/>
            <w:tcMar>
              <w:top w:w="144" w:type="nil"/>
              <w:right w:w="144" w:type="nil"/>
            </w:tcMar>
            <w:vAlign w:val="bottom"/>
          </w:tcPr>
          <w:p w14:paraId="73B97E64"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138,826</w:t>
            </w:r>
          </w:p>
        </w:tc>
        <w:tc>
          <w:tcPr>
            <w:tcW w:w="1372" w:type="dxa"/>
            <w:tcMar>
              <w:top w:w="144" w:type="nil"/>
              <w:right w:w="144" w:type="nil"/>
            </w:tcMar>
            <w:vAlign w:val="bottom"/>
          </w:tcPr>
          <w:p w14:paraId="2E32A7EF"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634,435</w:t>
            </w:r>
          </w:p>
        </w:tc>
        <w:tc>
          <w:tcPr>
            <w:tcW w:w="1569" w:type="dxa"/>
            <w:tcMar>
              <w:top w:w="144" w:type="nil"/>
              <w:right w:w="144" w:type="nil"/>
            </w:tcMar>
            <w:vAlign w:val="bottom"/>
          </w:tcPr>
          <w:p w14:paraId="68613AFD"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107,981</w:t>
            </w:r>
          </w:p>
        </w:tc>
        <w:tc>
          <w:tcPr>
            <w:tcW w:w="1657" w:type="dxa"/>
            <w:tcMar>
              <w:top w:w="144" w:type="nil"/>
              <w:right w:w="144" w:type="nil"/>
            </w:tcMar>
            <w:vAlign w:val="bottom"/>
          </w:tcPr>
          <w:p w14:paraId="7520DA77"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14,060</w:t>
            </w:r>
          </w:p>
        </w:tc>
        <w:tc>
          <w:tcPr>
            <w:tcW w:w="1484" w:type="dxa"/>
            <w:tcMar>
              <w:top w:w="144" w:type="nil"/>
              <w:right w:w="144" w:type="nil"/>
            </w:tcMar>
            <w:vAlign w:val="bottom"/>
          </w:tcPr>
          <w:p w14:paraId="086A1047"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124,766</w:t>
            </w:r>
          </w:p>
        </w:tc>
      </w:tr>
      <w:tr w:rsidR="00136AE9" w:rsidRPr="00317A9E" w14:paraId="7A02E3A4" w14:textId="77777777" w:rsidTr="0066632F">
        <w:tc>
          <w:tcPr>
            <w:tcW w:w="681" w:type="dxa"/>
            <w:tcMar>
              <w:top w:w="144" w:type="nil"/>
              <w:right w:w="144" w:type="nil"/>
            </w:tcMar>
            <w:vAlign w:val="bottom"/>
          </w:tcPr>
          <w:p w14:paraId="43DA04FF"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2020</w:t>
            </w:r>
          </w:p>
        </w:tc>
        <w:tc>
          <w:tcPr>
            <w:tcW w:w="1483" w:type="dxa"/>
            <w:tcMar>
              <w:top w:w="144" w:type="nil"/>
              <w:right w:w="144" w:type="nil"/>
            </w:tcMar>
            <w:vAlign w:val="bottom"/>
          </w:tcPr>
          <w:p w14:paraId="1DFE7A96"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172,700</w:t>
            </w:r>
          </w:p>
        </w:tc>
        <w:tc>
          <w:tcPr>
            <w:tcW w:w="1330" w:type="dxa"/>
            <w:tcMar>
              <w:top w:w="144" w:type="nil"/>
              <w:right w:w="144" w:type="nil"/>
            </w:tcMar>
            <w:vAlign w:val="bottom"/>
          </w:tcPr>
          <w:p w14:paraId="46B19F10"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141,614</w:t>
            </w:r>
          </w:p>
        </w:tc>
        <w:tc>
          <w:tcPr>
            <w:tcW w:w="1372" w:type="dxa"/>
            <w:tcMar>
              <w:top w:w="144" w:type="nil"/>
              <w:right w:w="144" w:type="nil"/>
            </w:tcMar>
            <w:vAlign w:val="bottom"/>
          </w:tcPr>
          <w:p w14:paraId="27300919"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654,257</w:t>
            </w:r>
          </w:p>
        </w:tc>
        <w:tc>
          <w:tcPr>
            <w:tcW w:w="1569" w:type="dxa"/>
            <w:tcMar>
              <w:top w:w="144" w:type="nil"/>
              <w:right w:w="144" w:type="nil"/>
            </w:tcMar>
            <w:vAlign w:val="bottom"/>
          </w:tcPr>
          <w:p w14:paraId="78D9C737"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111,354</w:t>
            </w:r>
          </w:p>
        </w:tc>
        <w:tc>
          <w:tcPr>
            <w:tcW w:w="1657" w:type="dxa"/>
            <w:tcMar>
              <w:top w:w="144" w:type="nil"/>
              <w:right w:w="144" w:type="nil"/>
            </w:tcMar>
            <w:vAlign w:val="bottom"/>
          </w:tcPr>
          <w:p w14:paraId="55BC7F97"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14,499</w:t>
            </w:r>
          </w:p>
        </w:tc>
        <w:tc>
          <w:tcPr>
            <w:tcW w:w="1484" w:type="dxa"/>
            <w:tcMar>
              <w:top w:w="144" w:type="nil"/>
              <w:right w:w="144" w:type="nil"/>
            </w:tcMar>
            <w:vAlign w:val="bottom"/>
          </w:tcPr>
          <w:p w14:paraId="3B77B260"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127,115</w:t>
            </w:r>
          </w:p>
        </w:tc>
      </w:tr>
    </w:tbl>
    <w:p w14:paraId="5BE3F174" w14:textId="77777777" w:rsidR="00136AE9" w:rsidRPr="00D41F81" w:rsidRDefault="00136AE9" w:rsidP="00136AE9">
      <w:pPr>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1483"/>
        <w:gridCol w:w="1330"/>
        <w:gridCol w:w="1372"/>
        <w:gridCol w:w="1569"/>
        <w:gridCol w:w="1657"/>
        <w:gridCol w:w="1484"/>
      </w:tblGrid>
      <w:tr w:rsidR="00136AE9" w:rsidRPr="00317A9E" w14:paraId="3219BCBC" w14:textId="77777777" w:rsidTr="0066632F">
        <w:tc>
          <w:tcPr>
            <w:tcW w:w="9576" w:type="dxa"/>
            <w:gridSpan w:val="7"/>
            <w:shd w:val="clear" w:color="auto" w:fill="D9D9D9" w:themeFill="background1" w:themeFillShade="D9"/>
            <w:tcMar>
              <w:top w:w="144" w:type="nil"/>
              <w:right w:w="144" w:type="nil"/>
            </w:tcMar>
            <w:vAlign w:val="bottom"/>
          </w:tcPr>
          <w:p w14:paraId="52B2D81D" w14:textId="77777777" w:rsidR="00136AE9" w:rsidRPr="00667CDC" w:rsidRDefault="00136AE9" w:rsidP="00136AE9">
            <w:pPr>
              <w:widowControl w:val="0"/>
              <w:autoSpaceDE w:val="0"/>
              <w:autoSpaceDN w:val="0"/>
              <w:adjustRightInd w:val="0"/>
              <w:jc w:val="center"/>
              <w:rPr>
                <w:sz w:val="22"/>
                <w:szCs w:val="22"/>
              </w:rPr>
            </w:pPr>
            <w:r>
              <w:rPr>
                <w:b/>
                <w:bCs/>
                <w:sz w:val="22"/>
                <w:szCs w:val="22"/>
              </w:rPr>
              <w:t xml:space="preserve">Sub-alt 2b - </w:t>
            </w:r>
            <w:r w:rsidRPr="00667CDC">
              <w:rPr>
                <w:b/>
                <w:bCs/>
                <w:sz w:val="22"/>
                <w:szCs w:val="22"/>
              </w:rPr>
              <w:t xml:space="preserve">ACL = </w:t>
            </w:r>
            <w:r>
              <w:rPr>
                <w:b/>
                <w:bCs/>
                <w:sz w:val="22"/>
                <w:szCs w:val="22"/>
              </w:rPr>
              <w:t xml:space="preserve">OY = </w:t>
            </w:r>
            <w:r w:rsidRPr="00667CDC">
              <w:rPr>
                <w:b/>
                <w:bCs/>
                <w:sz w:val="22"/>
                <w:szCs w:val="22"/>
              </w:rPr>
              <w:t>95% ABC</w:t>
            </w:r>
          </w:p>
        </w:tc>
      </w:tr>
      <w:tr w:rsidR="00136AE9" w:rsidRPr="00317A9E" w14:paraId="2D4A3607" w14:textId="77777777" w:rsidTr="0066632F">
        <w:tc>
          <w:tcPr>
            <w:tcW w:w="681" w:type="dxa"/>
            <w:shd w:val="clear" w:color="auto" w:fill="D9D9D9" w:themeFill="background1" w:themeFillShade="D9"/>
            <w:tcMar>
              <w:top w:w="144" w:type="nil"/>
              <w:right w:w="144" w:type="nil"/>
            </w:tcMar>
            <w:vAlign w:val="center"/>
          </w:tcPr>
          <w:p w14:paraId="206A36DD" w14:textId="77777777" w:rsidR="00136AE9" w:rsidRPr="00667CDC" w:rsidRDefault="00136AE9" w:rsidP="00136AE9">
            <w:pPr>
              <w:widowControl w:val="0"/>
              <w:autoSpaceDE w:val="0"/>
              <w:autoSpaceDN w:val="0"/>
              <w:adjustRightInd w:val="0"/>
              <w:jc w:val="center"/>
              <w:rPr>
                <w:sz w:val="22"/>
                <w:szCs w:val="22"/>
              </w:rPr>
            </w:pPr>
            <w:r w:rsidRPr="00667CDC">
              <w:rPr>
                <w:b/>
                <w:bCs/>
                <w:sz w:val="22"/>
                <w:szCs w:val="22"/>
              </w:rPr>
              <w:t>Year</w:t>
            </w:r>
          </w:p>
        </w:tc>
        <w:tc>
          <w:tcPr>
            <w:tcW w:w="1483" w:type="dxa"/>
            <w:shd w:val="clear" w:color="auto" w:fill="D9D9D9" w:themeFill="background1" w:themeFillShade="D9"/>
            <w:tcMar>
              <w:top w:w="144" w:type="nil"/>
              <w:right w:w="144" w:type="nil"/>
            </w:tcMar>
            <w:vAlign w:val="center"/>
          </w:tcPr>
          <w:p w14:paraId="25C78977" w14:textId="77777777" w:rsidR="00136AE9" w:rsidRDefault="00136AE9" w:rsidP="00136AE9">
            <w:pPr>
              <w:widowControl w:val="0"/>
              <w:autoSpaceDE w:val="0"/>
              <w:autoSpaceDN w:val="0"/>
              <w:adjustRightInd w:val="0"/>
              <w:jc w:val="center"/>
              <w:rPr>
                <w:b/>
                <w:bCs/>
                <w:sz w:val="22"/>
                <w:szCs w:val="22"/>
              </w:rPr>
            </w:pPr>
            <w:r w:rsidRPr="00667CDC">
              <w:rPr>
                <w:b/>
                <w:bCs/>
                <w:sz w:val="22"/>
                <w:szCs w:val="22"/>
              </w:rPr>
              <w:t>Total ABC</w:t>
            </w:r>
          </w:p>
          <w:p w14:paraId="72F15126" w14:textId="77777777" w:rsidR="00136AE9" w:rsidRPr="00667CDC" w:rsidRDefault="00136AE9" w:rsidP="00136AE9">
            <w:pPr>
              <w:widowControl w:val="0"/>
              <w:autoSpaceDE w:val="0"/>
              <w:autoSpaceDN w:val="0"/>
              <w:adjustRightInd w:val="0"/>
              <w:jc w:val="center"/>
              <w:rPr>
                <w:sz w:val="22"/>
                <w:szCs w:val="22"/>
              </w:rPr>
            </w:pPr>
            <w:r>
              <w:rPr>
                <w:b/>
                <w:bCs/>
                <w:sz w:val="22"/>
                <w:szCs w:val="22"/>
              </w:rPr>
              <w:t>(SA + Gulf)</w:t>
            </w:r>
            <w:r w:rsidRPr="00667CDC">
              <w:rPr>
                <w:b/>
                <w:bCs/>
                <w:sz w:val="22"/>
                <w:szCs w:val="22"/>
              </w:rPr>
              <w:t xml:space="preserve">  num</w:t>
            </w:r>
          </w:p>
        </w:tc>
        <w:tc>
          <w:tcPr>
            <w:tcW w:w="1330" w:type="dxa"/>
            <w:shd w:val="clear" w:color="auto" w:fill="D9D9D9" w:themeFill="background1" w:themeFillShade="D9"/>
            <w:tcMar>
              <w:top w:w="144" w:type="nil"/>
              <w:right w:w="144" w:type="nil"/>
            </w:tcMar>
            <w:vAlign w:val="center"/>
          </w:tcPr>
          <w:p w14:paraId="2EC3247A" w14:textId="77777777" w:rsidR="00136AE9" w:rsidRPr="00667CDC" w:rsidRDefault="00136AE9" w:rsidP="00136AE9">
            <w:pPr>
              <w:widowControl w:val="0"/>
              <w:autoSpaceDE w:val="0"/>
              <w:autoSpaceDN w:val="0"/>
              <w:adjustRightInd w:val="0"/>
              <w:jc w:val="center"/>
              <w:rPr>
                <w:sz w:val="22"/>
                <w:szCs w:val="22"/>
              </w:rPr>
            </w:pPr>
            <w:r w:rsidRPr="00667CDC">
              <w:rPr>
                <w:b/>
                <w:bCs/>
                <w:sz w:val="22"/>
                <w:szCs w:val="22"/>
              </w:rPr>
              <w:t>SA ABC num</w:t>
            </w:r>
          </w:p>
        </w:tc>
        <w:tc>
          <w:tcPr>
            <w:tcW w:w="1372" w:type="dxa"/>
            <w:shd w:val="clear" w:color="auto" w:fill="D9D9D9" w:themeFill="background1" w:themeFillShade="D9"/>
            <w:tcMar>
              <w:top w:w="144" w:type="nil"/>
              <w:right w:w="144" w:type="nil"/>
            </w:tcMar>
            <w:vAlign w:val="center"/>
          </w:tcPr>
          <w:p w14:paraId="0F5B37F6" w14:textId="77777777" w:rsidR="00136AE9" w:rsidRPr="00667CDC" w:rsidRDefault="00136AE9" w:rsidP="00136AE9">
            <w:pPr>
              <w:widowControl w:val="0"/>
              <w:autoSpaceDE w:val="0"/>
              <w:autoSpaceDN w:val="0"/>
              <w:adjustRightInd w:val="0"/>
              <w:jc w:val="center"/>
              <w:rPr>
                <w:sz w:val="22"/>
                <w:szCs w:val="22"/>
              </w:rPr>
            </w:pPr>
            <w:r w:rsidRPr="00667CDC">
              <w:rPr>
                <w:b/>
                <w:bCs/>
                <w:sz w:val="22"/>
                <w:szCs w:val="22"/>
              </w:rPr>
              <w:t>Yield ABC lbs</w:t>
            </w:r>
          </w:p>
        </w:tc>
        <w:tc>
          <w:tcPr>
            <w:tcW w:w="1569" w:type="dxa"/>
            <w:shd w:val="clear" w:color="auto" w:fill="D9D9D9" w:themeFill="background1" w:themeFillShade="D9"/>
            <w:tcMar>
              <w:top w:w="144" w:type="nil"/>
              <w:right w:w="144" w:type="nil"/>
            </w:tcMar>
            <w:vAlign w:val="center"/>
          </w:tcPr>
          <w:p w14:paraId="397E9177" w14:textId="77777777" w:rsidR="00136AE9" w:rsidRPr="00667CDC" w:rsidRDefault="00136AE9" w:rsidP="00136AE9">
            <w:pPr>
              <w:widowControl w:val="0"/>
              <w:autoSpaceDE w:val="0"/>
              <w:autoSpaceDN w:val="0"/>
              <w:adjustRightInd w:val="0"/>
              <w:jc w:val="center"/>
              <w:rPr>
                <w:sz w:val="22"/>
                <w:szCs w:val="22"/>
              </w:rPr>
            </w:pPr>
            <w:r w:rsidRPr="00667CDC">
              <w:rPr>
                <w:b/>
                <w:bCs/>
                <w:sz w:val="22"/>
                <w:szCs w:val="22"/>
              </w:rPr>
              <w:t>Comm ACL (lbs)</w:t>
            </w:r>
          </w:p>
        </w:tc>
        <w:tc>
          <w:tcPr>
            <w:tcW w:w="1657" w:type="dxa"/>
            <w:shd w:val="clear" w:color="auto" w:fill="D9D9D9" w:themeFill="background1" w:themeFillShade="D9"/>
            <w:tcMar>
              <w:top w:w="144" w:type="nil"/>
              <w:right w:w="144" w:type="nil"/>
            </w:tcMar>
            <w:vAlign w:val="center"/>
          </w:tcPr>
          <w:p w14:paraId="479F4571" w14:textId="77777777" w:rsidR="00136AE9" w:rsidRPr="00667CDC" w:rsidRDefault="00136AE9" w:rsidP="00136AE9">
            <w:pPr>
              <w:widowControl w:val="0"/>
              <w:autoSpaceDE w:val="0"/>
              <w:autoSpaceDN w:val="0"/>
              <w:adjustRightInd w:val="0"/>
              <w:jc w:val="center"/>
              <w:rPr>
                <w:sz w:val="22"/>
                <w:szCs w:val="22"/>
              </w:rPr>
            </w:pPr>
            <w:r w:rsidRPr="00667CDC">
              <w:rPr>
                <w:b/>
                <w:bCs/>
                <w:sz w:val="22"/>
                <w:szCs w:val="22"/>
              </w:rPr>
              <w:t>Comm ACL (num)</w:t>
            </w:r>
          </w:p>
        </w:tc>
        <w:tc>
          <w:tcPr>
            <w:tcW w:w="1484" w:type="dxa"/>
            <w:shd w:val="clear" w:color="auto" w:fill="D9D9D9" w:themeFill="background1" w:themeFillShade="D9"/>
            <w:tcMar>
              <w:top w:w="144" w:type="nil"/>
              <w:right w:w="144" w:type="nil"/>
            </w:tcMar>
            <w:vAlign w:val="center"/>
          </w:tcPr>
          <w:p w14:paraId="4437D744" w14:textId="77777777" w:rsidR="00136AE9" w:rsidRPr="00667CDC" w:rsidRDefault="00136AE9" w:rsidP="00136AE9">
            <w:pPr>
              <w:widowControl w:val="0"/>
              <w:autoSpaceDE w:val="0"/>
              <w:autoSpaceDN w:val="0"/>
              <w:adjustRightInd w:val="0"/>
              <w:jc w:val="center"/>
              <w:rPr>
                <w:sz w:val="22"/>
                <w:szCs w:val="22"/>
              </w:rPr>
            </w:pPr>
            <w:r w:rsidRPr="00667CDC">
              <w:rPr>
                <w:b/>
                <w:bCs/>
                <w:sz w:val="22"/>
                <w:szCs w:val="22"/>
              </w:rPr>
              <w:t>Rec ACL (num)</w:t>
            </w:r>
          </w:p>
        </w:tc>
      </w:tr>
      <w:tr w:rsidR="00136AE9" w:rsidRPr="00317A9E" w14:paraId="4ECE7491" w14:textId="77777777" w:rsidTr="0066632F">
        <w:tc>
          <w:tcPr>
            <w:tcW w:w="681" w:type="dxa"/>
            <w:tcMar>
              <w:top w:w="144" w:type="nil"/>
              <w:right w:w="144" w:type="nil"/>
            </w:tcMar>
            <w:vAlign w:val="bottom"/>
          </w:tcPr>
          <w:p w14:paraId="13077AB8"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2017</w:t>
            </w:r>
          </w:p>
        </w:tc>
        <w:tc>
          <w:tcPr>
            <w:tcW w:w="1483" w:type="dxa"/>
            <w:tcMar>
              <w:top w:w="144" w:type="nil"/>
              <w:right w:w="144" w:type="nil"/>
            </w:tcMar>
            <w:vAlign w:val="bottom"/>
          </w:tcPr>
          <w:p w14:paraId="20FBA5F5"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157,500</w:t>
            </w:r>
          </w:p>
        </w:tc>
        <w:tc>
          <w:tcPr>
            <w:tcW w:w="1330" w:type="dxa"/>
            <w:tcMar>
              <w:top w:w="144" w:type="nil"/>
              <w:right w:w="144" w:type="nil"/>
            </w:tcMar>
            <w:vAlign w:val="bottom"/>
          </w:tcPr>
          <w:p w14:paraId="711A7BEC"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122,693</w:t>
            </w:r>
          </w:p>
        </w:tc>
        <w:tc>
          <w:tcPr>
            <w:tcW w:w="1372" w:type="dxa"/>
            <w:tcMar>
              <w:top w:w="144" w:type="nil"/>
              <w:right w:w="144" w:type="nil"/>
            </w:tcMar>
            <w:vAlign w:val="bottom"/>
          </w:tcPr>
          <w:p w14:paraId="2010F75C"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558,251</w:t>
            </w:r>
          </w:p>
        </w:tc>
        <w:tc>
          <w:tcPr>
            <w:tcW w:w="1569" w:type="dxa"/>
            <w:tcMar>
              <w:top w:w="144" w:type="nil"/>
              <w:right w:w="144" w:type="nil"/>
            </w:tcMar>
            <w:vAlign w:val="bottom"/>
          </w:tcPr>
          <w:p w14:paraId="45EE4A2E"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95,014</w:t>
            </w:r>
          </w:p>
        </w:tc>
        <w:tc>
          <w:tcPr>
            <w:tcW w:w="1657" w:type="dxa"/>
            <w:tcMar>
              <w:top w:w="144" w:type="nil"/>
              <w:right w:w="144" w:type="nil"/>
            </w:tcMar>
            <w:vAlign w:val="bottom"/>
          </w:tcPr>
          <w:p w14:paraId="61A0A4AB"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12,372</w:t>
            </w:r>
          </w:p>
        </w:tc>
        <w:tc>
          <w:tcPr>
            <w:tcW w:w="1484" w:type="dxa"/>
            <w:tcMar>
              <w:top w:w="144" w:type="nil"/>
              <w:right w:w="144" w:type="nil"/>
            </w:tcMar>
            <w:vAlign w:val="bottom"/>
          </w:tcPr>
          <w:p w14:paraId="6ADA2BC7"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110,321</w:t>
            </w:r>
          </w:p>
        </w:tc>
      </w:tr>
      <w:tr w:rsidR="00136AE9" w:rsidRPr="00317A9E" w14:paraId="714BF25F" w14:textId="77777777" w:rsidTr="0066632F">
        <w:tc>
          <w:tcPr>
            <w:tcW w:w="681" w:type="dxa"/>
            <w:tcMar>
              <w:top w:w="144" w:type="nil"/>
              <w:right w:w="144" w:type="nil"/>
            </w:tcMar>
            <w:vAlign w:val="bottom"/>
          </w:tcPr>
          <w:p w14:paraId="615AC181"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2018</w:t>
            </w:r>
          </w:p>
        </w:tc>
        <w:tc>
          <w:tcPr>
            <w:tcW w:w="1483" w:type="dxa"/>
            <w:tcMar>
              <w:top w:w="144" w:type="nil"/>
              <w:right w:w="144" w:type="nil"/>
            </w:tcMar>
            <w:vAlign w:val="bottom"/>
          </w:tcPr>
          <w:p w14:paraId="71BE621A"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164,500</w:t>
            </w:r>
          </w:p>
        </w:tc>
        <w:tc>
          <w:tcPr>
            <w:tcW w:w="1330" w:type="dxa"/>
            <w:tcMar>
              <w:top w:w="144" w:type="nil"/>
              <w:right w:w="144" w:type="nil"/>
            </w:tcMar>
            <w:vAlign w:val="bottom"/>
          </w:tcPr>
          <w:p w14:paraId="2FC68365"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128,146</w:t>
            </w:r>
          </w:p>
        </w:tc>
        <w:tc>
          <w:tcPr>
            <w:tcW w:w="1372" w:type="dxa"/>
            <w:tcMar>
              <w:top w:w="144" w:type="nil"/>
              <w:right w:w="144" w:type="nil"/>
            </w:tcMar>
            <w:vAlign w:val="bottom"/>
          </w:tcPr>
          <w:p w14:paraId="6DAB8E95"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581,781</w:t>
            </w:r>
          </w:p>
        </w:tc>
        <w:tc>
          <w:tcPr>
            <w:tcW w:w="1569" w:type="dxa"/>
            <w:tcMar>
              <w:top w:w="144" w:type="nil"/>
              <w:right w:w="144" w:type="nil"/>
            </w:tcMar>
            <w:vAlign w:val="bottom"/>
          </w:tcPr>
          <w:p w14:paraId="6989E29D"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99,019</w:t>
            </w:r>
          </w:p>
        </w:tc>
        <w:tc>
          <w:tcPr>
            <w:tcW w:w="1657" w:type="dxa"/>
            <w:tcMar>
              <w:top w:w="144" w:type="nil"/>
              <w:right w:w="144" w:type="nil"/>
            </w:tcMar>
            <w:vAlign w:val="bottom"/>
          </w:tcPr>
          <w:p w14:paraId="69C77DDE"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12,893</w:t>
            </w:r>
          </w:p>
        </w:tc>
        <w:tc>
          <w:tcPr>
            <w:tcW w:w="1484" w:type="dxa"/>
            <w:tcMar>
              <w:top w:w="144" w:type="nil"/>
              <w:right w:w="144" w:type="nil"/>
            </w:tcMar>
            <w:vAlign w:val="bottom"/>
          </w:tcPr>
          <w:p w14:paraId="2534AFE0"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115,252</w:t>
            </w:r>
          </w:p>
        </w:tc>
      </w:tr>
      <w:tr w:rsidR="00136AE9" w:rsidRPr="00317A9E" w14:paraId="51698929" w14:textId="77777777" w:rsidTr="0066632F">
        <w:tc>
          <w:tcPr>
            <w:tcW w:w="681" w:type="dxa"/>
            <w:tcMar>
              <w:top w:w="144" w:type="nil"/>
              <w:right w:w="144" w:type="nil"/>
            </w:tcMar>
            <w:vAlign w:val="bottom"/>
          </w:tcPr>
          <w:p w14:paraId="099E2A17"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2019</w:t>
            </w:r>
          </w:p>
        </w:tc>
        <w:tc>
          <w:tcPr>
            <w:tcW w:w="1483" w:type="dxa"/>
            <w:tcMar>
              <w:top w:w="144" w:type="nil"/>
              <w:right w:w="144" w:type="nil"/>
            </w:tcMar>
            <w:vAlign w:val="bottom"/>
          </w:tcPr>
          <w:p w14:paraId="13C16656"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169,300</w:t>
            </w:r>
          </w:p>
        </w:tc>
        <w:tc>
          <w:tcPr>
            <w:tcW w:w="1330" w:type="dxa"/>
            <w:tcMar>
              <w:top w:w="144" w:type="nil"/>
              <w:right w:w="144" w:type="nil"/>
            </w:tcMar>
            <w:vAlign w:val="bottom"/>
          </w:tcPr>
          <w:p w14:paraId="7D7FAAA2"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131,885</w:t>
            </w:r>
          </w:p>
        </w:tc>
        <w:tc>
          <w:tcPr>
            <w:tcW w:w="1372" w:type="dxa"/>
            <w:tcMar>
              <w:top w:w="144" w:type="nil"/>
              <w:right w:w="144" w:type="nil"/>
            </w:tcMar>
            <w:vAlign w:val="bottom"/>
          </w:tcPr>
          <w:p w14:paraId="25C20E4D"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602,713</w:t>
            </w:r>
          </w:p>
        </w:tc>
        <w:tc>
          <w:tcPr>
            <w:tcW w:w="1569" w:type="dxa"/>
            <w:tcMar>
              <w:top w:w="144" w:type="nil"/>
              <w:right w:w="144" w:type="nil"/>
            </w:tcMar>
            <w:vAlign w:val="bottom"/>
          </w:tcPr>
          <w:p w14:paraId="20AB66C8"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102,582</w:t>
            </w:r>
          </w:p>
        </w:tc>
        <w:tc>
          <w:tcPr>
            <w:tcW w:w="1657" w:type="dxa"/>
            <w:tcMar>
              <w:top w:w="144" w:type="nil"/>
              <w:right w:w="144" w:type="nil"/>
            </w:tcMar>
            <w:vAlign w:val="bottom"/>
          </w:tcPr>
          <w:p w14:paraId="6A92D315"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13,357</w:t>
            </w:r>
          </w:p>
        </w:tc>
        <w:tc>
          <w:tcPr>
            <w:tcW w:w="1484" w:type="dxa"/>
            <w:tcMar>
              <w:top w:w="144" w:type="nil"/>
              <w:right w:w="144" w:type="nil"/>
            </w:tcMar>
            <w:vAlign w:val="bottom"/>
          </w:tcPr>
          <w:p w14:paraId="1DB8B0F6"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118,528</w:t>
            </w:r>
          </w:p>
        </w:tc>
      </w:tr>
      <w:tr w:rsidR="00136AE9" w:rsidRPr="00317A9E" w14:paraId="297AAFD4" w14:textId="77777777" w:rsidTr="0066632F">
        <w:tc>
          <w:tcPr>
            <w:tcW w:w="681" w:type="dxa"/>
            <w:tcMar>
              <w:top w:w="144" w:type="nil"/>
              <w:right w:w="144" w:type="nil"/>
            </w:tcMar>
            <w:vAlign w:val="bottom"/>
          </w:tcPr>
          <w:p w14:paraId="58BFC1C9"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2020</w:t>
            </w:r>
          </w:p>
        </w:tc>
        <w:tc>
          <w:tcPr>
            <w:tcW w:w="1483" w:type="dxa"/>
            <w:tcMar>
              <w:top w:w="144" w:type="nil"/>
              <w:right w:w="144" w:type="nil"/>
            </w:tcMar>
            <w:vAlign w:val="bottom"/>
          </w:tcPr>
          <w:p w14:paraId="4F7A1855"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172,700</w:t>
            </w:r>
          </w:p>
        </w:tc>
        <w:tc>
          <w:tcPr>
            <w:tcW w:w="1330" w:type="dxa"/>
            <w:tcMar>
              <w:top w:w="144" w:type="nil"/>
              <w:right w:w="144" w:type="nil"/>
            </w:tcMar>
            <w:vAlign w:val="bottom"/>
          </w:tcPr>
          <w:p w14:paraId="1A044654"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134,533</w:t>
            </w:r>
          </w:p>
        </w:tc>
        <w:tc>
          <w:tcPr>
            <w:tcW w:w="1372" w:type="dxa"/>
            <w:tcMar>
              <w:top w:w="144" w:type="nil"/>
              <w:right w:w="144" w:type="nil"/>
            </w:tcMar>
            <w:vAlign w:val="bottom"/>
          </w:tcPr>
          <w:p w14:paraId="310AC900"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621,544</w:t>
            </w:r>
          </w:p>
        </w:tc>
        <w:tc>
          <w:tcPr>
            <w:tcW w:w="1569" w:type="dxa"/>
            <w:tcMar>
              <w:top w:w="144" w:type="nil"/>
              <w:right w:w="144" w:type="nil"/>
            </w:tcMar>
            <w:vAlign w:val="bottom"/>
          </w:tcPr>
          <w:p w14:paraId="05CDDF98"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105,787</w:t>
            </w:r>
          </w:p>
        </w:tc>
        <w:tc>
          <w:tcPr>
            <w:tcW w:w="1657" w:type="dxa"/>
            <w:tcMar>
              <w:top w:w="144" w:type="nil"/>
              <w:right w:w="144" w:type="nil"/>
            </w:tcMar>
            <w:vAlign w:val="bottom"/>
          </w:tcPr>
          <w:p w14:paraId="46076E7C"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13,774</w:t>
            </w:r>
          </w:p>
        </w:tc>
        <w:tc>
          <w:tcPr>
            <w:tcW w:w="1484" w:type="dxa"/>
            <w:tcMar>
              <w:top w:w="144" w:type="nil"/>
              <w:right w:w="144" w:type="nil"/>
            </w:tcMar>
            <w:vAlign w:val="bottom"/>
          </w:tcPr>
          <w:p w14:paraId="26266197"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120,759</w:t>
            </w:r>
          </w:p>
        </w:tc>
      </w:tr>
    </w:tbl>
    <w:p w14:paraId="62B826EA" w14:textId="77777777" w:rsidR="00136AE9" w:rsidRPr="00D41F81" w:rsidRDefault="00136AE9" w:rsidP="00136AE9">
      <w:pPr>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1483"/>
        <w:gridCol w:w="1330"/>
        <w:gridCol w:w="1372"/>
        <w:gridCol w:w="1569"/>
        <w:gridCol w:w="1657"/>
        <w:gridCol w:w="1484"/>
      </w:tblGrid>
      <w:tr w:rsidR="00136AE9" w:rsidRPr="00317A9E" w14:paraId="6A7EFCC9" w14:textId="77777777" w:rsidTr="0066632F">
        <w:tc>
          <w:tcPr>
            <w:tcW w:w="9576" w:type="dxa"/>
            <w:gridSpan w:val="7"/>
            <w:shd w:val="clear" w:color="auto" w:fill="D9D9D9" w:themeFill="background1" w:themeFillShade="D9"/>
            <w:tcMar>
              <w:top w:w="144" w:type="nil"/>
              <w:right w:w="144" w:type="nil"/>
            </w:tcMar>
            <w:vAlign w:val="bottom"/>
          </w:tcPr>
          <w:p w14:paraId="4DB9C31D" w14:textId="77777777" w:rsidR="00136AE9" w:rsidRPr="00667CDC" w:rsidRDefault="00136AE9" w:rsidP="00136AE9">
            <w:pPr>
              <w:widowControl w:val="0"/>
              <w:autoSpaceDE w:val="0"/>
              <w:autoSpaceDN w:val="0"/>
              <w:adjustRightInd w:val="0"/>
              <w:jc w:val="center"/>
              <w:rPr>
                <w:sz w:val="22"/>
                <w:szCs w:val="22"/>
              </w:rPr>
            </w:pPr>
            <w:r>
              <w:rPr>
                <w:b/>
                <w:bCs/>
                <w:sz w:val="22"/>
                <w:szCs w:val="22"/>
              </w:rPr>
              <w:t xml:space="preserve">Sub-alt 2c - </w:t>
            </w:r>
            <w:r w:rsidRPr="00667CDC">
              <w:rPr>
                <w:b/>
                <w:bCs/>
                <w:sz w:val="22"/>
                <w:szCs w:val="22"/>
              </w:rPr>
              <w:t xml:space="preserve">ACL = </w:t>
            </w:r>
            <w:r>
              <w:rPr>
                <w:b/>
                <w:bCs/>
                <w:sz w:val="22"/>
                <w:szCs w:val="22"/>
              </w:rPr>
              <w:t xml:space="preserve">OY = </w:t>
            </w:r>
            <w:r w:rsidRPr="00667CDC">
              <w:rPr>
                <w:b/>
                <w:bCs/>
                <w:sz w:val="22"/>
                <w:szCs w:val="22"/>
              </w:rPr>
              <w:t>90% ABC</w:t>
            </w:r>
          </w:p>
        </w:tc>
      </w:tr>
      <w:tr w:rsidR="00136AE9" w:rsidRPr="00317A9E" w14:paraId="50DF2292" w14:textId="77777777" w:rsidTr="0066632F">
        <w:tc>
          <w:tcPr>
            <w:tcW w:w="681" w:type="dxa"/>
            <w:shd w:val="clear" w:color="auto" w:fill="D9D9D9" w:themeFill="background1" w:themeFillShade="D9"/>
            <w:tcMar>
              <w:top w:w="144" w:type="nil"/>
              <w:right w:w="144" w:type="nil"/>
            </w:tcMar>
            <w:vAlign w:val="center"/>
          </w:tcPr>
          <w:p w14:paraId="24B48F47" w14:textId="77777777" w:rsidR="00136AE9" w:rsidRPr="00667CDC" w:rsidRDefault="00136AE9" w:rsidP="00136AE9">
            <w:pPr>
              <w:widowControl w:val="0"/>
              <w:autoSpaceDE w:val="0"/>
              <w:autoSpaceDN w:val="0"/>
              <w:adjustRightInd w:val="0"/>
              <w:jc w:val="center"/>
              <w:rPr>
                <w:sz w:val="22"/>
                <w:szCs w:val="22"/>
              </w:rPr>
            </w:pPr>
            <w:r w:rsidRPr="00667CDC">
              <w:rPr>
                <w:b/>
                <w:bCs/>
                <w:sz w:val="22"/>
                <w:szCs w:val="22"/>
              </w:rPr>
              <w:t>Year</w:t>
            </w:r>
          </w:p>
        </w:tc>
        <w:tc>
          <w:tcPr>
            <w:tcW w:w="1483" w:type="dxa"/>
            <w:shd w:val="clear" w:color="auto" w:fill="D9D9D9" w:themeFill="background1" w:themeFillShade="D9"/>
            <w:tcMar>
              <w:top w:w="144" w:type="nil"/>
              <w:right w:w="144" w:type="nil"/>
            </w:tcMar>
            <w:vAlign w:val="center"/>
          </w:tcPr>
          <w:p w14:paraId="3DE94B9E" w14:textId="77777777" w:rsidR="00136AE9" w:rsidRDefault="00136AE9" w:rsidP="00136AE9">
            <w:pPr>
              <w:widowControl w:val="0"/>
              <w:autoSpaceDE w:val="0"/>
              <w:autoSpaceDN w:val="0"/>
              <w:adjustRightInd w:val="0"/>
              <w:jc w:val="center"/>
              <w:rPr>
                <w:b/>
                <w:bCs/>
                <w:sz w:val="22"/>
                <w:szCs w:val="22"/>
              </w:rPr>
            </w:pPr>
            <w:r w:rsidRPr="00667CDC">
              <w:rPr>
                <w:b/>
                <w:bCs/>
                <w:sz w:val="22"/>
                <w:szCs w:val="22"/>
              </w:rPr>
              <w:t>Total ABC</w:t>
            </w:r>
          </w:p>
          <w:p w14:paraId="3A06C869" w14:textId="77777777" w:rsidR="00136AE9" w:rsidRPr="00667CDC" w:rsidRDefault="00136AE9" w:rsidP="00136AE9">
            <w:pPr>
              <w:widowControl w:val="0"/>
              <w:autoSpaceDE w:val="0"/>
              <w:autoSpaceDN w:val="0"/>
              <w:adjustRightInd w:val="0"/>
              <w:jc w:val="center"/>
              <w:rPr>
                <w:sz w:val="22"/>
                <w:szCs w:val="22"/>
              </w:rPr>
            </w:pPr>
            <w:r>
              <w:rPr>
                <w:b/>
                <w:bCs/>
                <w:sz w:val="22"/>
                <w:szCs w:val="22"/>
              </w:rPr>
              <w:t>(SA + Gulf)</w:t>
            </w:r>
            <w:r w:rsidRPr="00667CDC">
              <w:rPr>
                <w:b/>
                <w:bCs/>
                <w:sz w:val="22"/>
                <w:szCs w:val="22"/>
              </w:rPr>
              <w:t xml:space="preserve">  num</w:t>
            </w:r>
          </w:p>
        </w:tc>
        <w:tc>
          <w:tcPr>
            <w:tcW w:w="1330" w:type="dxa"/>
            <w:shd w:val="clear" w:color="auto" w:fill="D9D9D9" w:themeFill="background1" w:themeFillShade="D9"/>
            <w:tcMar>
              <w:top w:w="144" w:type="nil"/>
              <w:right w:w="144" w:type="nil"/>
            </w:tcMar>
            <w:vAlign w:val="center"/>
          </w:tcPr>
          <w:p w14:paraId="31434015" w14:textId="77777777" w:rsidR="00136AE9" w:rsidRPr="00667CDC" w:rsidRDefault="00136AE9" w:rsidP="00136AE9">
            <w:pPr>
              <w:widowControl w:val="0"/>
              <w:autoSpaceDE w:val="0"/>
              <w:autoSpaceDN w:val="0"/>
              <w:adjustRightInd w:val="0"/>
              <w:jc w:val="center"/>
              <w:rPr>
                <w:sz w:val="22"/>
                <w:szCs w:val="22"/>
              </w:rPr>
            </w:pPr>
            <w:r w:rsidRPr="00667CDC">
              <w:rPr>
                <w:b/>
                <w:bCs/>
                <w:sz w:val="22"/>
                <w:szCs w:val="22"/>
              </w:rPr>
              <w:t>SA ABC num</w:t>
            </w:r>
          </w:p>
        </w:tc>
        <w:tc>
          <w:tcPr>
            <w:tcW w:w="1372" w:type="dxa"/>
            <w:shd w:val="clear" w:color="auto" w:fill="D9D9D9" w:themeFill="background1" w:themeFillShade="D9"/>
            <w:tcMar>
              <w:top w:w="144" w:type="nil"/>
              <w:right w:w="144" w:type="nil"/>
            </w:tcMar>
            <w:vAlign w:val="center"/>
          </w:tcPr>
          <w:p w14:paraId="7BFE3A98" w14:textId="77777777" w:rsidR="00136AE9" w:rsidRPr="00667CDC" w:rsidRDefault="00136AE9" w:rsidP="00136AE9">
            <w:pPr>
              <w:widowControl w:val="0"/>
              <w:autoSpaceDE w:val="0"/>
              <w:autoSpaceDN w:val="0"/>
              <w:adjustRightInd w:val="0"/>
              <w:jc w:val="center"/>
              <w:rPr>
                <w:sz w:val="22"/>
                <w:szCs w:val="22"/>
              </w:rPr>
            </w:pPr>
            <w:r w:rsidRPr="00667CDC">
              <w:rPr>
                <w:b/>
                <w:bCs/>
                <w:sz w:val="22"/>
                <w:szCs w:val="22"/>
              </w:rPr>
              <w:t>Yield ABC lbs</w:t>
            </w:r>
          </w:p>
        </w:tc>
        <w:tc>
          <w:tcPr>
            <w:tcW w:w="1569" w:type="dxa"/>
            <w:shd w:val="clear" w:color="auto" w:fill="D9D9D9" w:themeFill="background1" w:themeFillShade="D9"/>
            <w:tcMar>
              <w:top w:w="144" w:type="nil"/>
              <w:right w:w="144" w:type="nil"/>
            </w:tcMar>
            <w:vAlign w:val="center"/>
          </w:tcPr>
          <w:p w14:paraId="631AD8AC" w14:textId="77777777" w:rsidR="00136AE9" w:rsidRPr="00667CDC" w:rsidRDefault="00136AE9" w:rsidP="00136AE9">
            <w:pPr>
              <w:widowControl w:val="0"/>
              <w:autoSpaceDE w:val="0"/>
              <w:autoSpaceDN w:val="0"/>
              <w:adjustRightInd w:val="0"/>
              <w:jc w:val="center"/>
              <w:rPr>
                <w:sz w:val="22"/>
                <w:szCs w:val="22"/>
              </w:rPr>
            </w:pPr>
            <w:r w:rsidRPr="00667CDC">
              <w:rPr>
                <w:b/>
                <w:bCs/>
                <w:sz w:val="22"/>
                <w:szCs w:val="22"/>
              </w:rPr>
              <w:t>Comm ACL (lbs)</w:t>
            </w:r>
          </w:p>
        </w:tc>
        <w:tc>
          <w:tcPr>
            <w:tcW w:w="1657" w:type="dxa"/>
            <w:shd w:val="clear" w:color="auto" w:fill="D9D9D9" w:themeFill="background1" w:themeFillShade="D9"/>
            <w:tcMar>
              <w:top w:w="144" w:type="nil"/>
              <w:right w:w="144" w:type="nil"/>
            </w:tcMar>
            <w:vAlign w:val="center"/>
          </w:tcPr>
          <w:p w14:paraId="17F71747" w14:textId="77777777" w:rsidR="00136AE9" w:rsidRPr="00667CDC" w:rsidRDefault="00136AE9" w:rsidP="00136AE9">
            <w:pPr>
              <w:widowControl w:val="0"/>
              <w:autoSpaceDE w:val="0"/>
              <w:autoSpaceDN w:val="0"/>
              <w:adjustRightInd w:val="0"/>
              <w:jc w:val="center"/>
              <w:rPr>
                <w:sz w:val="22"/>
                <w:szCs w:val="22"/>
              </w:rPr>
            </w:pPr>
            <w:r w:rsidRPr="00667CDC">
              <w:rPr>
                <w:b/>
                <w:bCs/>
                <w:sz w:val="22"/>
                <w:szCs w:val="22"/>
              </w:rPr>
              <w:t>Comm ACL (num)</w:t>
            </w:r>
          </w:p>
        </w:tc>
        <w:tc>
          <w:tcPr>
            <w:tcW w:w="1484" w:type="dxa"/>
            <w:shd w:val="clear" w:color="auto" w:fill="D9D9D9" w:themeFill="background1" w:themeFillShade="D9"/>
            <w:tcMar>
              <w:top w:w="144" w:type="nil"/>
              <w:right w:w="144" w:type="nil"/>
            </w:tcMar>
            <w:vAlign w:val="center"/>
          </w:tcPr>
          <w:p w14:paraId="7D44BBA2" w14:textId="77777777" w:rsidR="00136AE9" w:rsidRPr="00667CDC" w:rsidRDefault="00136AE9" w:rsidP="00136AE9">
            <w:pPr>
              <w:widowControl w:val="0"/>
              <w:autoSpaceDE w:val="0"/>
              <w:autoSpaceDN w:val="0"/>
              <w:adjustRightInd w:val="0"/>
              <w:jc w:val="center"/>
              <w:rPr>
                <w:sz w:val="22"/>
                <w:szCs w:val="22"/>
              </w:rPr>
            </w:pPr>
            <w:r w:rsidRPr="00667CDC">
              <w:rPr>
                <w:b/>
                <w:bCs/>
                <w:sz w:val="22"/>
                <w:szCs w:val="22"/>
              </w:rPr>
              <w:t>Rec ACL (num)</w:t>
            </w:r>
          </w:p>
        </w:tc>
      </w:tr>
      <w:tr w:rsidR="00136AE9" w:rsidRPr="00317A9E" w14:paraId="29A19C89" w14:textId="77777777" w:rsidTr="0066632F">
        <w:tc>
          <w:tcPr>
            <w:tcW w:w="681" w:type="dxa"/>
            <w:tcMar>
              <w:top w:w="144" w:type="nil"/>
              <w:right w:w="144" w:type="nil"/>
            </w:tcMar>
            <w:vAlign w:val="bottom"/>
          </w:tcPr>
          <w:p w14:paraId="1B3E2A76"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2017</w:t>
            </w:r>
          </w:p>
        </w:tc>
        <w:tc>
          <w:tcPr>
            <w:tcW w:w="1483" w:type="dxa"/>
            <w:tcMar>
              <w:top w:w="144" w:type="nil"/>
              <w:right w:w="144" w:type="nil"/>
            </w:tcMar>
            <w:vAlign w:val="bottom"/>
          </w:tcPr>
          <w:p w14:paraId="3AEFA82A"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157,500</w:t>
            </w:r>
          </w:p>
        </w:tc>
        <w:tc>
          <w:tcPr>
            <w:tcW w:w="1330" w:type="dxa"/>
            <w:tcMar>
              <w:top w:w="144" w:type="nil"/>
              <w:right w:w="144" w:type="nil"/>
            </w:tcMar>
            <w:vAlign w:val="bottom"/>
          </w:tcPr>
          <w:p w14:paraId="17132F0C"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116,235</w:t>
            </w:r>
          </w:p>
        </w:tc>
        <w:tc>
          <w:tcPr>
            <w:tcW w:w="1372" w:type="dxa"/>
            <w:tcMar>
              <w:top w:w="144" w:type="nil"/>
              <w:right w:w="144" w:type="nil"/>
            </w:tcMar>
            <w:vAlign w:val="bottom"/>
          </w:tcPr>
          <w:p w14:paraId="5600A664"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528,869</w:t>
            </w:r>
          </w:p>
        </w:tc>
        <w:tc>
          <w:tcPr>
            <w:tcW w:w="1569" w:type="dxa"/>
            <w:tcMar>
              <w:top w:w="144" w:type="nil"/>
              <w:right w:w="144" w:type="nil"/>
            </w:tcMar>
            <w:vAlign w:val="bottom"/>
          </w:tcPr>
          <w:p w14:paraId="71FC2BA8"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90,014</w:t>
            </w:r>
          </w:p>
        </w:tc>
        <w:tc>
          <w:tcPr>
            <w:tcW w:w="1657" w:type="dxa"/>
            <w:tcMar>
              <w:top w:w="144" w:type="nil"/>
              <w:right w:w="144" w:type="nil"/>
            </w:tcMar>
            <w:vAlign w:val="bottom"/>
          </w:tcPr>
          <w:p w14:paraId="7223CA5C"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11,721</w:t>
            </w:r>
          </w:p>
        </w:tc>
        <w:tc>
          <w:tcPr>
            <w:tcW w:w="1484" w:type="dxa"/>
            <w:tcMar>
              <w:top w:w="144" w:type="nil"/>
              <w:right w:w="144" w:type="nil"/>
            </w:tcMar>
            <w:vAlign w:val="bottom"/>
          </w:tcPr>
          <w:p w14:paraId="62170EDA"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104,514</w:t>
            </w:r>
          </w:p>
        </w:tc>
      </w:tr>
      <w:tr w:rsidR="00136AE9" w:rsidRPr="00317A9E" w14:paraId="5BDFD10A" w14:textId="77777777" w:rsidTr="0066632F">
        <w:tc>
          <w:tcPr>
            <w:tcW w:w="681" w:type="dxa"/>
            <w:tcMar>
              <w:top w:w="144" w:type="nil"/>
              <w:right w:w="144" w:type="nil"/>
            </w:tcMar>
            <w:vAlign w:val="bottom"/>
          </w:tcPr>
          <w:p w14:paraId="37FEF75B"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2018</w:t>
            </w:r>
          </w:p>
        </w:tc>
        <w:tc>
          <w:tcPr>
            <w:tcW w:w="1483" w:type="dxa"/>
            <w:tcMar>
              <w:top w:w="144" w:type="nil"/>
              <w:right w:w="144" w:type="nil"/>
            </w:tcMar>
            <w:vAlign w:val="bottom"/>
          </w:tcPr>
          <w:p w14:paraId="4B6431C1"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164,500</w:t>
            </w:r>
          </w:p>
        </w:tc>
        <w:tc>
          <w:tcPr>
            <w:tcW w:w="1330" w:type="dxa"/>
            <w:tcMar>
              <w:top w:w="144" w:type="nil"/>
              <w:right w:w="144" w:type="nil"/>
            </w:tcMar>
            <w:vAlign w:val="bottom"/>
          </w:tcPr>
          <w:p w14:paraId="5DD58ED4"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121,401</w:t>
            </w:r>
          </w:p>
        </w:tc>
        <w:tc>
          <w:tcPr>
            <w:tcW w:w="1372" w:type="dxa"/>
            <w:tcMar>
              <w:top w:w="144" w:type="nil"/>
              <w:right w:w="144" w:type="nil"/>
            </w:tcMar>
            <w:vAlign w:val="bottom"/>
          </w:tcPr>
          <w:p w14:paraId="64D5536C"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551,161</w:t>
            </w:r>
          </w:p>
        </w:tc>
        <w:tc>
          <w:tcPr>
            <w:tcW w:w="1569" w:type="dxa"/>
            <w:tcMar>
              <w:top w:w="144" w:type="nil"/>
              <w:right w:w="144" w:type="nil"/>
            </w:tcMar>
            <w:vAlign w:val="bottom"/>
          </w:tcPr>
          <w:p w14:paraId="66EE5277"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93,808</w:t>
            </w:r>
          </w:p>
        </w:tc>
        <w:tc>
          <w:tcPr>
            <w:tcW w:w="1657" w:type="dxa"/>
            <w:tcMar>
              <w:top w:w="144" w:type="nil"/>
              <w:right w:w="144" w:type="nil"/>
            </w:tcMar>
            <w:vAlign w:val="bottom"/>
          </w:tcPr>
          <w:p w14:paraId="5FDE7F36"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12,215</w:t>
            </w:r>
          </w:p>
        </w:tc>
        <w:tc>
          <w:tcPr>
            <w:tcW w:w="1484" w:type="dxa"/>
            <w:tcMar>
              <w:top w:w="144" w:type="nil"/>
              <w:right w:w="144" w:type="nil"/>
            </w:tcMar>
            <w:vAlign w:val="bottom"/>
          </w:tcPr>
          <w:p w14:paraId="75C32E9A"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109,186</w:t>
            </w:r>
          </w:p>
        </w:tc>
      </w:tr>
      <w:tr w:rsidR="00136AE9" w:rsidRPr="00317A9E" w14:paraId="6447A289" w14:textId="77777777" w:rsidTr="0066632F">
        <w:tc>
          <w:tcPr>
            <w:tcW w:w="681" w:type="dxa"/>
            <w:tcMar>
              <w:top w:w="144" w:type="nil"/>
              <w:right w:w="144" w:type="nil"/>
            </w:tcMar>
            <w:vAlign w:val="bottom"/>
          </w:tcPr>
          <w:p w14:paraId="346359A8"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2019</w:t>
            </w:r>
          </w:p>
        </w:tc>
        <w:tc>
          <w:tcPr>
            <w:tcW w:w="1483" w:type="dxa"/>
            <w:tcMar>
              <w:top w:w="144" w:type="nil"/>
              <w:right w:w="144" w:type="nil"/>
            </w:tcMar>
            <w:vAlign w:val="bottom"/>
          </w:tcPr>
          <w:p w14:paraId="62734085"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169,300</w:t>
            </w:r>
          </w:p>
        </w:tc>
        <w:tc>
          <w:tcPr>
            <w:tcW w:w="1330" w:type="dxa"/>
            <w:tcMar>
              <w:top w:w="144" w:type="nil"/>
              <w:right w:w="144" w:type="nil"/>
            </w:tcMar>
            <w:vAlign w:val="bottom"/>
          </w:tcPr>
          <w:p w14:paraId="7A7F1AE2"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124,943</w:t>
            </w:r>
          </w:p>
        </w:tc>
        <w:tc>
          <w:tcPr>
            <w:tcW w:w="1372" w:type="dxa"/>
            <w:tcMar>
              <w:top w:w="144" w:type="nil"/>
              <w:right w:w="144" w:type="nil"/>
            </w:tcMar>
            <w:vAlign w:val="bottom"/>
          </w:tcPr>
          <w:p w14:paraId="793757DE"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570,991</w:t>
            </w:r>
          </w:p>
        </w:tc>
        <w:tc>
          <w:tcPr>
            <w:tcW w:w="1569" w:type="dxa"/>
            <w:tcMar>
              <w:top w:w="144" w:type="nil"/>
              <w:right w:w="144" w:type="nil"/>
            </w:tcMar>
            <w:vAlign w:val="bottom"/>
          </w:tcPr>
          <w:p w14:paraId="5B32E4F2"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97,183</w:t>
            </w:r>
          </w:p>
        </w:tc>
        <w:tc>
          <w:tcPr>
            <w:tcW w:w="1657" w:type="dxa"/>
            <w:tcMar>
              <w:top w:w="144" w:type="nil"/>
              <w:right w:w="144" w:type="nil"/>
            </w:tcMar>
            <w:vAlign w:val="bottom"/>
          </w:tcPr>
          <w:p w14:paraId="4A85F726"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12,654</w:t>
            </w:r>
          </w:p>
        </w:tc>
        <w:tc>
          <w:tcPr>
            <w:tcW w:w="1484" w:type="dxa"/>
            <w:tcMar>
              <w:top w:w="144" w:type="nil"/>
              <w:right w:w="144" w:type="nil"/>
            </w:tcMar>
            <w:vAlign w:val="bottom"/>
          </w:tcPr>
          <w:p w14:paraId="1067417A"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112,289</w:t>
            </w:r>
          </w:p>
        </w:tc>
      </w:tr>
      <w:tr w:rsidR="00136AE9" w:rsidRPr="00317A9E" w14:paraId="1A16AE71" w14:textId="77777777" w:rsidTr="0066632F">
        <w:tc>
          <w:tcPr>
            <w:tcW w:w="681" w:type="dxa"/>
            <w:tcMar>
              <w:top w:w="144" w:type="nil"/>
              <w:right w:w="144" w:type="nil"/>
            </w:tcMar>
            <w:vAlign w:val="bottom"/>
          </w:tcPr>
          <w:p w14:paraId="2B334AF8"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2020</w:t>
            </w:r>
          </w:p>
        </w:tc>
        <w:tc>
          <w:tcPr>
            <w:tcW w:w="1483" w:type="dxa"/>
            <w:tcMar>
              <w:top w:w="144" w:type="nil"/>
              <w:right w:w="144" w:type="nil"/>
            </w:tcMar>
            <w:vAlign w:val="bottom"/>
          </w:tcPr>
          <w:p w14:paraId="69CFE6D4"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172,700</w:t>
            </w:r>
          </w:p>
        </w:tc>
        <w:tc>
          <w:tcPr>
            <w:tcW w:w="1330" w:type="dxa"/>
            <w:tcMar>
              <w:top w:w="144" w:type="nil"/>
              <w:right w:w="144" w:type="nil"/>
            </w:tcMar>
            <w:vAlign w:val="bottom"/>
          </w:tcPr>
          <w:p w14:paraId="67D751F1"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127,453</w:t>
            </w:r>
          </w:p>
        </w:tc>
        <w:tc>
          <w:tcPr>
            <w:tcW w:w="1372" w:type="dxa"/>
            <w:tcMar>
              <w:top w:w="144" w:type="nil"/>
              <w:right w:w="144" w:type="nil"/>
            </w:tcMar>
            <w:vAlign w:val="bottom"/>
          </w:tcPr>
          <w:p w14:paraId="4A6F7F37"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588,831</w:t>
            </w:r>
          </w:p>
        </w:tc>
        <w:tc>
          <w:tcPr>
            <w:tcW w:w="1569" w:type="dxa"/>
            <w:tcMar>
              <w:top w:w="144" w:type="nil"/>
              <w:right w:w="144" w:type="nil"/>
            </w:tcMar>
            <w:vAlign w:val="bottom"/>
          </w:tcPr>
          <w:p w14:paraId="327033B4"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100,219</w:t>
            </w:r>
          </w:p>
        </w:tc>
        <w:tc>
          <w:tcPr>
            <w:tcW w:w="1657" w:type="dxa"/>
            <w:tcMar>
              <w:top w:w="144" w:type="nil"/>
              <w:right w:w="144" w:type="nil"/>
            </w:tcMar>
            <w:vAlign w:val="bottom"/>
          </w:tcPr>
          <w:p w14:paraId="157C4840"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13,049</w:t>
            </w:r>
          </w:p>
        </w:tc>
        <w:tc>
          <w:tcPr>
            <w:tcW w:w="1484" w:type="dxa"/>
            <w:tcMar>
              <w:top w:w="144" w:type="nil"/>
              <w:right w:w="144" w:type="nil"/>
            </w:tcMar>
            <w:vAlign w:val="bottom"/>
          </w:tcPr>
          <w:p w14:paraId="5BEC7A24" w14:textId="77777777" w:rsidR="00136AE9" w:rsidRPr="00667CDC" w:rsidRDefault="00136AE9" w:rsidP="00136AE9">
            <w:pPr>
              <w:widowControl w:val="0"/>
              <w:autoSpaceDE w:val="0"/>
              <w:autoSpaceDN w:val="0"/>
              <w:adjustRightInd w:val="0"/>
              <w:jc w:val="center"/>
              <w:rPr>
                <w:sz w:val="22"/>
                <w:szCs w:val="22"/>
              </w:rPr>
            </w:pPr>
            <w:r w:rsidRPr="00667CDC">
              <w:rPr>
                <w:sz w:val="22"/>
                <w:szCs w:val="22"/>
              </w:rPr>
              <w:t>114,403</w:t>
            </w:r>
          </w:p>
        </w:tc>
      </w:tr>
    </w:tbl>
    <w:p w14:paraId="37E1B373" w14:textId="77777777" w:rsidR="00042F0D" w:rsidRDefault="00042F0D" w:rsidP="00ED46DB"/>
    <w:p w14:paraId="544E844C" w14:textId="60AAF161" w:rsidR="005D1AFA" w:rsidRDefault="005D1AFA" w:rsidP="00007A84">
      <w:pPr>
        <w:ind w:firstLine="360"/>
      </w:pPr>
      <w:r>
        <w:rPr>
          <w:b/>
        </w:rPr>
        <w:lastRenderedPageBreak/>
        <w:t>Preferred Sub-a</w:t>
      </w:r>
      <w:r w:rsidRPr="006951D1">
        <w:rPr>
          <w:b/>
        </w:rPr>
        <w:t>lternative</w:t>
      </w:r>
      <w:r>
        <w:rPr>
          <w:b/>
        </w:rPr>
        <w:t xml:space="preserve"> 2a</w:t>
      </w:r>
      <w:r>
        <w:t xml:space="preserve">, </w:t>
      </w:r>
      <w:r>
        <w:rPr>
          <w:b/>
        </w:rPr>
        <w:t>Sub-alternative 2b</w:t>
      </w:r>
      <w:r>
        <w:t xml:space="preserve">, and </w:t>
      </w:r>
      <w:r>
        <w:rPr>
          <w:b/>
        </w:rPr>
        <w:t>Sub-alternative 2c</w:t>
      </w:r>
      <w:r w:rsidRPr="00DC5169">
        <w:t xml:space="preserve"> would set OY equal to the ACL.</w:t>
      </w:r>
      <w:r>
        <w:t xml:space="preserve">  </w:t>
      </w:r>
      <w:r w:rsidRPr="004A059D">
        <w:t xml:space="preserve">The South Atlantic Council and their </w:t>
      </w:r>
      <w:r>
        <w:t>SSC</w:t>
      </w:r>
      <w:r w:rsidRPr="004A059D">
        <w:t xml:space="preserve"> have established an ABC control rule that takes into consideration scientific and management uncertainty to ensure catches are maintained below </w:t>
      </w:r>
      <w:r>
        <w:t>OFL</w:t>
      </w:r>
      <w:r w:rsidRPr="004A059D">
        <w:t xml:space="preserve">. The South Atlantic Council considered alternatives in the Comprehensive ACL Amendment </w:t>
      </w:r>
      <w:r w:rsidR="0066632F">
        <w:t>(SAFMC 2011c</w:t>
      </w:r>
      <w:r>
        <w:t xml:space="preserve">) </w:t>
      </w:r>
      <w:r w:rsidRPr="004A059D">
        <w:t xml:space="preserve">and Amendment 24 </w:t>
      </w:r>
      <w:r>
        <w:t xml:space="preserve">to the </w:t>
      </w:r>
      <w:r w:rsidR="0066632F">
        <w:t>Snapper Grouper FMP (SAFMC 2011d</w:t>
      </w:r>
      <w:r>
        <w:t xml:space="preserve">) </w:t>
      </w:r>
      <w:r w:rsidRPr="004A059D">
        <w:t>that</w:t>
      </w:r>
      <w:r>
        <w:t xml:space="preserve"> </w:t>
      </w:r>
      <w:r w:rsidRPr="004A059D">
        <w:t>would set the ACL below the ABC but selected ACL=</w:t>
      </w:r>
      <w:r>
        <w:t>OY=</w:t>
      </w:r>
      <w:r w:rsidRPr="004A059D">
        <w:t>ABC as their preferred alternative</w:t>
      </w:r>
      <w:r>
        <w:t xml:space="preserve">.  More recently, the South Atlantic Council has frequently set ACLs for snapper grouper species at the same level as the ABC.  However, accountability measures (AMs) and ACLs are in place to ensure overfishing of mutton snapper does not occur. </w:t>
      </w:r>
      <w:r w:rsidR="009D1CDC" w:rsidRPr="004A059D">
        <w:t xml:space="preserve">Therefore, there is a low risk of exceeding the </w:t>
      </w:r>
      <w:r w:rsidR="009D1CDC">
        <w:t xml:space="preserve">commercial and recreational </w:t>
      </w:r>
      <w:r w:rsidR="009D1CDC" w:rsidRPr="004A059D">
        <w:t>ACL</w:t>
      </w:r>
      <w:r w:rsidR="009D1CDC">
        <w:t>s</w:t>
      </w:r>
      <w:r w:rsidR="009D1CDC" w:rsidRPr="004A059D">
        <w:t xml:space="preserve"> and </w:t>
      </w:r>
      <w:r w:rsidR="009D1CDC" w:rsidRPr="00654081">
        <w:rPr>
          <w:b/>
        </w:rPr>
        <w:t xml:space="preserve">Preferred </w:t>
      </w:r>
      <w:r w:rsidR="009D1CDC" w:rsidRPr="006951D1">
        <w:rPr>
          <w:b/>
        </w:rPr>
        <w:t>Alternative 2</w:t>
      </w:r>
      <w:r w:rsidR="009D1CDC" w:rsidRPr="004A059D">
        <w:t xml:space="preserve"> </w:t>
      </w:r>
      <w:r w:rsidR="009D1CDC">
        <w:t xml:space="preserve">and its sub-alternatives </w:t>
      </w:r>
      <w:r w:rsidR="009D1CDC" w:rsidRPr="004A059D">
        <w:t xml:space="preserve">can be used as part of a successful harvest management system for </w:t>
      </w:r>
      <w:r w:rsidR="009D1CDC">
        <w:t>mutton snapper</w:t>
      </w:r>
      <w:r w:rsidR="009D1CDC" w:rsidRPr="004A059D">
        <w:t xml:space="preserve"> with little risk of overfishing.</w:t>
      </w:r>
      <w:r w:rsidR="009D1CDC">
        <w:t xml:space="preserve">  </w:t>
      </w:r>
    </w:p>
    <w:p w14:paraId="63362E13" w14:textId="77777777" w:rsidR="005D1AFA" w:rsidRDefault="005D1AFA" w:rsidP="005D1AFA">
      <w:pPr>
        <w:pStyle w:val="Default"/>
        <w:widowControl w:val="0"/>
        <w:ind w:firstLine="360"/>
        <w:contextualSpacing/>
      </w:pPr>
    </w:p>
    <w:p w14:paraId="58261CB3" w14:textId="2DBD6DB9" w:rsidR="00ED46DB" w:rsidRDefault="00042F0D" w:rsidP="00042F0D">
      <w:pPr>
        <w:ind w:firstLine="360"/>
      </w:pPr>
      <w:r>
        <w:t xml:space="preserve">The South Atlantic Council prefers specifying the recreational ACL in numbers of fish and the commercial ACL in pounds.  The rationale is that recreational landings are already tracked in numbers of fish while commercial landings are tracked in pounds.  </w:t>
      </w:r>
      <w:r w:rsidRPr="00525ABF">
        <w:t>Issues develop</w:t>
      </w:r>
      <w:r w:rsidR="0008265C">
        <w:t>,</w:t>
      </w:r>
      <w:r w:rsidRPr="00525ABF">
        <w:t xml:space="preserve"> however, when different size limits are considered for management and the commercial and recreationa</w:t>
      </w:r>
      <w:r w:rsidR="00ED4F0E">
        <w:t>l ACLs are in different units.  I</w:t>
      </w:r>
      <w:r w:rsidRPr="00525ABF">
        <w:t>f the minimum size limit is increased</w:t>
      </w:r>
      <w:r w:rsidR="00ED4F0E">
        <w:t xml:space="preserve">, </w:t>
      </w:r>
      <w:r w:rsidRPr="00525ABF">
        <w:t>the average size</w:t>
      </w:r>
      <w:r>
        <w:t>,</w:t>
      </w:r>
      <w:r w:rsidR="00ED4F0E">
        <w:t xml:space="preserve"> and therefore</w:t>
      </w:r>
      <w:r w:rsidRPr="00525ABF">
        <w:t xml:space="preserve"> weight</w:t>
      </w:r>
      <w:r>
        <w:t>,</w:t>
      </w:r>
      <w:r w:rsidRPr="00525ABF">
        <w:t xml:space="preserve"> </w:t>
      </w:r>
      <w:r w:rsidR="00ED4F0E">
        <w:t>of fish harvested would</w:t>
      </w:r>
      <w:r w:rsidRPr="00525ABF">
        <w:t xml:space="preserve"> also increase.  If the method for converting between an ACL in pounds and an ACL in numbers does not address the change in average weight, the expected increase in the average weight of landed fish could lead to the poundage associated with the ACL specified in numbers exceeding the ACL expressed in pounds. </w:t>
      </w:r>
      <w:r>
        <w:t xml:space="preserve"> </w:t>
      </w:r>
      <w:r w:rsidRPr="00525ABF">
        <w:t xml:space="preserve">This could also result in a perceived shift in allocations when they are compared in the original units across sectors, and if the change in weight landed is great enough, the ABC and </w:t>
      </w:r>
      <w:r w:rsidR="00B2341E">
        <w:t>overfishing limit (</w:t>
      </w:r>
      <w:r w:rsidRPr="00525ABF">
        <w:t>OFL</w:t>
      </w:r>
      <w:r w:rsidR="00B2341E">
        <w:t>)</w:t>
      </w:r>
      <w:r w:rsidRPr="00525ABF">
        <w:t xml:space="preserve"> in pounds could be exceeded.</w:t>
      </w:r>
      <w:r>
        <w:t xml:space="preserve"> </w:t>
      </w:r>
      <w:r w:rsidRPr="000927CB">
        <w:t xml:space="preserve"> </w:t>
      </w:r>
      <w:r>
        <w:t xml:space="preserve">To avoid these issues, the method described in </w:t>
      </w:r>
      <w:r w:rsidRPr="00042F0D">
        <w:rPr>
          <w:b/>
        </w:rPr>
        <w:t>Appendix J</w:t>
      </w:r>
      <w:r>
        <w:t xml:space="preserve"> was used to specify the ABC </w:t>
      </w:r>
      <w:r w:rsidR="003B69A5">
        <w:t xml:space="preserve">(and OY) </w:t>
      </w:r>
      <w:r>
        <w:t xml:space="preserve">and </w:t>
      </w:r>
      <w:r w:rsidR="003B69A5">
        <w:t xml:space="preserve">recreational </w:t>
      </w:r>
      <w:r>
        <w:t xml:space="preserve">ACL for mutton snapper in numbers of fish.  This method is designed to keep the numbers of fish harvested constant while allowing the yield to vary based on the possible change in selectivity due to changes in the minimum size limit.  Specifying the ABC </w:t>
      </w:r>
      <w:r w:rsidR="003B69A5">
        <w:t xml:space="preserve">(and OY) </w:t>
      </w:r>
      <w:r>
        <w:t xml:space="preserve">and </w:t>
      </w:r>
      <w:r w:rsidR="003B69A5">
        <w:t xml:space="preserve">recreational </w:t>
      </w:r>
      <w:r>
        <w:t>ACL in numbers results in a lower risk of exceeding the recreational ACL due to an increase in the minimum size limit.</w:t>
      </w:r>
    </w:p>
    <w:p w14:paraId="68AE1DAA" w14:textId="77777777" w:rsidR="00042F0D" w:rsidRDefault="00042F0D" w:rsidP="00042F0D">
      <w:pPr>
        <w:ind w:firstLine="360"/>
      </w:pPr>
    </w:p>
    <w:p w14:paraId="31521FD3" w14:textId="2E047AE7" w:rsidR="000845E1" w:rsidRDefault="00FA0F8F" w:rsidP="007878B2">
      <w:pPr>
        <w:autoSpaceDE w:val="0"/>
        <w:autoSpaceDN w:val="0"/>
        <w:adjustRightInd w:val="0"/>
        <w:ind w:firstLine="360"/>
      </w:pPr>
      <w:r>
        <w:rPr>
          <w:rFonts w:eastAsia="Calibri"/>
        </w:rPr>
        <w:t xml:space="preserve">When compared to </w:t>
      </w:r>
      <w:r w:rsidRPr="007878B2">
        <w:rPr>
          <w:rFonts w:eastAsia="Calibri"/>
          <w:b/>
        </w:rPr>
        <w:t>Alternative 1 (No Action)</w:t>
      </w:r>
      <w:r>
        <w:rPr>
          <w:rFonts w:eastAsia="Calibri"/>
        </w:rPr>
        <w:t xml:space="preserve">, lowering the </w:t>
      </w:r>
      <w:r w:rsidR="00900C5E" w:rsidRPr="009C5ECD">
        <w:rPr>
          <w:rFonts w:eastAsia="Calibri"/>
        </w:rPr>
        <w:t xml:space="preserve">ACL </w:t>
      </w:r>
      <w:r w:rsidR="00261E6D">
        <w:rPr>
          <w:rFonts w:eastAsia="Calibri"/>
        </w:rPr>
        <w:t xml:space="preserve">under </w:t>
      </w:r>
      <w:r>
        <w:rPr>
          <w:rFonts w:eastAsia="Calibri"/>
        </w:rPr>
        <w:t xml:space="preserve">the each of the sub-alternatives for </w:t>
      </w:r>
      <w:r w:rsidR="007878B2" w:rsidRPr="007878B2">
        <w:rPr>
          <w:rFonts w:eastAsia="Calibri"/>
          <w:b/>
        </w:rPr>
        <w:t xml:space="preserve">Preferred </w:t>
      </w:r>
      <w:r w:rsidR="00261E6D" w:rsidRPr="007878B2">
        <w:rPr>
          <w:rFonts w:eastAsia="Calibri"/>
          <w:b/>
        </w:rPr>
        <w:t>Alternative 2</w:t>
      </w:r>
      <w:r w:rsidR="00261E6D">
        <w:rPr>
          <w:rFonts w:eastAsia="Calibri"/>
        </w:rPr>
        <w:t xml:space="preserve"> </w:t>
      </w:r>
      <w:r w:rsidR="00900C5E" w:rsidRPr="009C5ECD">
        <w:rPr>
          <w:rFonts w:eastAsia="Calibri"/>
        </w:rPr>
        <w:t>could result in more discards; however, other actions are considered in this amendment that could help prevent th</w:t>
      </w:r>
      <w:r w:rsidR="00900C5E">
        <w:rPr>
          <w:rFonts w:eastAsia="Calibri"/>
        </w:rPr>
        <w:t>e</w:t>
      </w:r>
      <w:r w:rsidR="00900C5E" w:rsidRPr="009C5ECD">
        <w:rPr>
          <w:rFonts w:eastAsia="Calibri"/>
        </w:rPr>
        <w:t xml:space="preserve"> ACL from being exceeded (</w:t>
      </w:r>
      <w:r w:rsidR="00900C5E" w:rsidRPr="007878B2">
        <w:rPr>
          <w:rFonts w:eastAsia="Calibri"/>
          <w:b/>
        </w:rPr>
        <w:t>Actions 4</w:t>
      </w:r>
      <w:r w:rsidR="00900C5E" w:rsidRPr="009C5ECD">
        <w:rPr>
          <w:rFonts w:eastAsia="Calibri"/>
        </w:rPr>
        <w:t xml:space="preserve"> through </w:t>
      </w:r>
      <w:r w:rsidR="00900C5E" w:rsidRPr="007878B2">
        <w:rPr>
          <w:rFonts w:eastAsia="Calibri"/>
          <w:b/>
        </w:rPr>
        <w:t>9</w:t>
      </w:r>
      <w:r w:rsidR="00900C5E" w:rsidRPr="009C5ECD">
        <w:rPr>
          <w:rFonts w:eastAsia="Calibri"/>
        </w:rPr>
        <w:t>).</w:t>
      </w:r>
      <w:r w:rsidR="00900C5E">
        <w:rPr>
          <w:rFonts w:eastAsia="Calibri"/>
        </w:rPr>
        <w:t xml:space="preserve">  </w:t>
      </w:r>
      <w:r w:rsidR="00900C5E">
        <w:t>Additionally t</w:t>
      </w:r>
      <w:r w:rsidR="00900C5E" w:rsidRPr="009C5ECD">
        <w:t xml:space="preserve">he new Commercial Landings Monitoring System and actions in the Joint Generic Dealer and Generic For-Hire Reporting amendments are expected to provide more timely and accurate data reporting and would thus reduce the incidence of quota overages.  </w:t>
      </w:r>
      <w:r w:rsidR="000845E1">
        <w:t xml:space="preserve">See </w:t>
      </w:r>
      <w:r w:rsidR="000845E1" w:rsidRPr="0094427C">
        <w:rPr>
          <w:b/>
        </w:rPr>
        <w:t>Appendix D</w:t>
      </w:r>
      <w:r w:rsidR="000845E1" w:rsidRPr="00D467A6">
        <w:t xml:space="preserve"> </w:t>
      </w:r>
      <w:r w:rsidR="000845E1">
        <w:t>(</w:t>
      </w:r>
      <w:r w:rsidR="000845E1" w:rsidRPr="00D467A6">
        <w:t>BPA</w:t>
      </w:r>
      <w:r w:rsidR="000845E1">
        <w:t>) for information on bycatch and discards.</w:t>
      </w:r>
    </w:p>
    <w:p w14:paraId="369BAFE1" w14:textId="77777777" w:rsidR="000845E1" w:rsidRDefault="000845E1" w:rsidP="000845E1">
      <w:pPr>
        <w:ind w:firstLine="360"/>
      </w:pPr>
    </w:p>
    <w:p w14:paraId="135A8E30" w14:textId="1E9809D8" w:rsidR="00ED46DB" w:rsidRDefault="000845E1" w:rsidP="00006826">
      <w:pPr>
        <w:ind w:firstLine="360"/>
      </w:pPr>
      <w:r w:rsidRPr="004156D7">
        <w:t>Th</w:t>
      </w:r>
      <w:r w:rsidR="0008265C">
        <w:t xml:space="preserve">e alternatives and sub-alternatives under this </w:t>
      </w:r>
      <w:r w:rsidRPr="004156D7">
        <w:t>action would not significantly modify the way in which the snapper grouper fishery is prosecuted in terms o</w:t>
      </w:r>
      <w:r>
        <w:t>f gear types used</w:t>
      </w:r>
      <w:r w:rsidRPr="004156D7">
        <w:t xml:space="preserve">.  Therefore, there are no </w:t>
      </w:r>
      <w:r w:rsidR="00495370">
        <w:t xml:space="preserve">additional </w:t>
      </w:r>
      <w:r w:rsidRPr="004156D7">
        <w:t xml:space="preserve">impacts on ESA-listed species or designated critical habitats anticipated as a result of this action (see </w:t>
      </w:r>
      <w:r w:rsidRPr="004156D7">
        <w:rPr>
          <w:b/>
        </w:rPr>
        <w:t>Section 3.2.4</w:t>
      </w:r>
      <w:r w:rsidRPr="004156D7">
        <w:t xml:space="preserve"> for a detailed description of ESA-listed species and critical habitat in the action area).  Furthermore, no </w:t>
      </w:r>
      <w:r w:rsidR="00495370">
        <w:t xml:space="preserve">additional </w:t>
      </w:r>
      <w:r w:rsidRPr="004156D7">
        <w:t>impacts on EFH or EFH-</w:t>
      </w:r>
      <w:r>
        <w:t>HAPC</w:t>
      </w:r>
      <w:r w:rsidRPr="004156D7">
        <w:t xml:space="preserve"> </w:t>
      </w:r>
      <w:r w:rsidRPr="004156D7">
        <w:lastRenderedPageBreak/>
        <w:t xml:space="preserve">are expected to result from any of the alternatives considered for this action (see </w:t>
      </w:r>
      <w:r w:rsidRPr="004156D7">
        <w:rPr>
          <w:b/>
        </w:rPr>
        <w:t>Section 3.1</w:t>
      </w:r>
      <w:r w:rsidRPr="004156D7">
        <w:t xml:space="preserve"> for a detailed description of EFH in the South Atlantic Region).</w:t>
      </w:r>
    </w:p>
    <w:p w14:paraId="276B686F" w14:textId="7CEBC51C" w:rsidR="00613048" w:rsidRDefault="00613048">
      <w:pPr>
        <w:rPr>
          <w:rFonts w:ascii="Arial" w:hAnsi="Arial" w:cs="Arial"/>
          <w:b/>
          <w:bCs/>
        </w:rPr>
      </w:pPr>
    </w:p>
    <w:p w14:paraId="506FD01D" w14:textId="15484997" w:rsidR="00194E4B" w:rsidRPr="009108B8" w:rsidRDefault="00194E4B" w:rsidP="009108B8">
      <w:pPr>
        <w:pStyle w:val="Heading3"/>
        <w:rPr>
          <w:szCs w:val="24"/>
        </w:rPr>
      </w:pPr>
      <w:bookmarkStart w:id="236" w:name="_Toc339811741"/>
      <w:r>
        <w:rPr>
          <w:szCs w:val="24"/>
        </w:rPr>
        <w:t>4.3</w:t>
      </w:r>
      <w:r w:rsidRPr="005B5A20">
        <w:rPr>
          <w:szCs w:val="24"/>
        </w:rPr>
        <w:t>.2</w:t>
      </w:r>
      <w:r w:rsidRPr="005B5A20">
        <w:rPr>
          <w:szCs w:val="24"/>
        </w:rPr>
        <w:tab/>
        <w:t>Economic Effects</w:t>
      </w:r>
      <w:bookmarkEnd w:id="236"/>
    </w:p>
    <w:p w14:paraId="6C8FC5F8" w14:textId="2B076B36" w:rsidR="00194E4B" w:rsidRDefault="00194E4B" w:rsidP="00194E4B">
      <w:pPr>
        <w:ind w:firstLine="360"/>
      </w:pPr>
      <w:r>
        <w:t xml:space="preserve">In general, ACLs that allow for more fish to be landed can result in increased positive economic effects if harvest increases.  The ACL does not directly impact a fishery unless harvest increases or the ACL is exceeded, thereby triggering AMs such as closures or other restrictive measure.  As such, ACLs that do not increase harvest and set above the observed landings of a fishery do not have realized economic effects.  </w:t>
      </w:r>
      <w:r w:rsidR="009108B8">
        <w:t>For the commercial sector, e</w:t>
      </w:r>
      <w:r>
        <w:t xml:space="preserve">ven though ACLs under all of the sub-alternatives of </w:t>
      </w:r>
      <w:r w:rsidRPr="0000613D">
        <w:rPr>
          <w:b/>
        </w:rPr>
        <w:t xml:space="preserve">Preferred </w:t>
      </w:r>
      <w:r>
        <w:rPr>
          <w:b/>
        </w:rPr>
        <w:t>Alternative 2</w:t>
      </w:r>
      <w:r>
        <w:t xml:space="preserve"> are lower than the ACL for </w:t>
      </w:r>
      <w:r>
        <w:rPr>
          <w:b/>
        </w:rPr>
        <w:t>Alternative 1 (No Action)</w:t>
      </w:r>
      <w:r>
        <w:t xml:space="preserve">, it is unlikely that the commercial sector would close due to reaching its </w:t>
      </w:r>
      <w:r w:rsidR="009108B8">
        <w:t xml:space="preserve">mutton snapper </w:t>
      </w:r>
      <w:r>
        <w:t>ACL, assuming future commercial landings reflect average landings from 2010-2014 (</w:t>
      </w:r>
      <w:r w:rsidRPr="00E42544">
        <w:rPr>
          <w:b/>
        </w:rPr>
        <w:t>Tables 4.3.1</w:t>
      </w:r>
      <w:r>
        <w:t xml:space="preserve"> and </w:t>
      </w:r>
      <w:r w:rsidRPr="00E42544">
        <w:rPr>
          <w:b/>
        </w:rPr>
        <w:t>4.3.2</w:t>
      </w:r>
      <w:r>
        <w:t xml:space="preserve">).  Therefore, there are no expected differences for the commercial sector in terms of realized economic effects among the actions and sub-alternatives.  </w:t>
      </w:r>
      <w:r w:rsidR="009108B8">
        <w:t>Over the long term, a</w:t>
      </w:r>
      <w:r>
        <w:t xml:space="preserve">ll of the sub-alternatives would allow for some expansion of the commercial sector and increased economic benefits for the sector, with </w:t>
      </w:r>
      <w:r w:rsidRPr="0000613D">
        <w:rPr>
          <w:b/>
        </w:rPr>
        <w:t xml:space="preserve">Preferred </w:t>
      </w:r>
      <w:r>
        <w:rPr>
          <w:b/>
        </w:rPr>
        <w:t xml:space="preserve">Sub-alternative 2a </w:t>
      </w:r>
      <w:r>
        <w:t xml:space="preserve">offering the greatest potential increase; however, it is not expected based on previous commercial landings.  </w:t>
      </w:r>
    </w:p>
    <w:p w14:paraId="62AAA856" w14:textId="77777777" w:rsidR="00194E4B" w:rsidRDefault="00194E4B" w:rsidP="00194E4B">
      <w:pPr>
        <w:ind w:firstLine="360"/>
      </w:pPr>
    </w:p>
    <w:p w14:paraId="4808E526" w14:textId="33958536" w:rsidR="00194E4B" w:rsidRDefault="00194E4B" w:rsidP="00194E4B">
      <w:pPr>
        <w:ind w:firstLine="360"/>
      </w:pPr>
      <w:r>
        <w:t xml:space="preserve">The recreational sector experiences more variability in mutton snapper landings from year to year than the commercial sector. </w:t>
      </w:r>
      <w:r w:rsidR="00A82CA4">
        <w:t xml:space="preserve"> </w:t>
      </w:r>
      <w:r>
        <w:t>Using average recreational landings from 2010-2014 and associated consumer surplus estimates (CS) as a baseline (</w:t>
      </w:r>
      <w:r w:rsidRPr="00C63E21">
        <w:rPr>
          <w:b/>
        </w:rPr>
        <w:t>Table 4.3.3</w:t>
      </w:r>
      <w:r>
        <w:t xml:space="preserve">), the estimated short-term (2017) changes in CS resulting from the ACLs specified in </w:t>
      </w:r>
      <w:r w:rsidRPr="00612C67">
        <w:rPr>
          <w:b/>
        </w:rPr>
        <w:t>Action</w:t>
      </w:r>
      <w:r w:rsidRPr="00C63E21">
        <w:rPr>
          <w:b/>
        </w:rPr>
        <w:t xml:space="preserve"> 1</w:t>
      </w:r>
      <w:r>
        <w:t xml:space="preserve"> </w:t>
      </w:r>
      <w:r w:rsidRPr="00C63E21">
        <w:rPr>
          <w:b/>
        </w:rPr>
        <w:t xml:space="preserve">(No Action) </w:t>
      </w:r>
      <w:r>
        <w:t xml:space="preserve">and </w:t>
      </w:r>
      <w:r w:rsidRPr="00C63E21">
        <w:rPr>
          <w:b/>
        </w:rPr>
        <w:t>Action 2</w:t>
      </w:r>
      <w:r>
        <w:rPr>
          <w:b/>
        </w:rPr>
        <w:t xml:space="preserve"> </w:t>
      </w:r>
      <w:r>
        <w:t xml:space="preserve">are presented in </w:t>
      </w:r>
      <w:r w:rsidRPr="00C63E21">
        <w:rPr>
          <w:b/>
        </w:rPr>
        <w:t>Table 4.3.</w:t>
      </w:r>
      <w:r>
        <w:rPr>
          <w:b/>
        </w:rPr>
        <w:t>4</w:t>
      </w:r>
      <w:r>
        <w:t xml:space="preserve">.  These estimates are calculated using two proxy values of CS for recreationally caught mutton snapper.  </w:t>
      </w:r>
      <w:r w:rsidRPr="000216D1">
        <w:t xml:space="preserve">Haab et al. (2012) estimated the CS (willingness to pay (WTP) for one additional fish caught and kept) for snappers and groupers in the southeastern U.S. using four separate econometric modeling techniques.  It is assumed that snapper is a better proxy for </w:t>
      </w:r>
      <w:r>
        <w:t>mutton snapper</w:t>
      </w:r>
      <w:r w:rsidRPr="000216D1">
        <w:t xml:space="preserve"> than grouper; however, any CS estimates derived for </w:t>
      </w:r>
      <w:r>
        <w:t>mutton snapper</w:t>
      </w:r>
      <w:r w:rsidRPr="000216D1">
        <w:t xml:space="preserve"> using </w:t>
      </w:r>
      <w:r>
        <w:t>“</w:t>
      </w:r>
      <w:r w:rsidRPr="000216D1">
        <w:t>snapper</w:t>
      </w:r>
      <w:r>
        <w:t>”</w:t>
      </w:r>
      <w:r w:rsidRPr="000216D1">
        <w:t xml:space="preserve"> as a proxy should be viewed as ballpark estimates only.  The finite mixture model, which takes into account variation in the preferences of fishermen, had the best prediction rates of the four models.  </w:t>
      </w:r>
      <w:r w:rsidR="007878B2" w:rsidRPr="00A3550A">
        <w:t xml:space="preserve">The WTP for an additional snapper (excluding red snapper) estimated by this model was $12.38 (2015 dollars) with a 95% confidence interval (CI) of $8.26 to $17.89. </w:t>
      </w:r>
      <w:r w:rsidR="007878B2">
        <w:t xml:space="preserve"> </w:t>
      </w:r>
      <w:r w:rsidR="007878B2" w:rsidRPr="00A3550A">
        <w:t>The WTP for an additional snapper from the mixed-logit model was higher at $30.29 (2015 dollars) with a 95% CI of $20.64 to $39.92</w:t>
      </w:r>
      <w:r w:rsidR="007878B2">
        <w:t xml:space="preserve">.  Due to the variation in proxy values, both are shown to provide an upper and lower estimates of CS and the changes in CS.  </w:t>
      </w:r>
    </w:p>
    <w:p w14:paraId="184BD0F4" w14:textId="7BF5B12A" w:rsidR="007878B2" w:rsidRDefault="007878B2">
      <w:r>
        <w:br w:type="page"/>
      </w:r>
    </w:p>
    <w:p w14:paraId="1B9A8AFA" w14:textId="77777777" w:rsidR="00194E4B" w:rsidRDefault="00194E4B" w:rsidP="00194E4B">
      <w:pPr>
        <w:ind w:firstLine="360"/>
      </w:pPr>
    </w:p>
    <w:p w14:paraId="2F9BD491" w14:textId="3E26EAE0" w:rsidR="00194E4B" w:rsidRDefault="00194E4B" w:rsidP="006E56A5">
      <w:pPr>
        <w:pStyle w:val="Tabletitle"/>
      </w:pPr>
      <w:bookmarkStart w:id="237" w:name="_Toc340431578"/>
      <w:r w:rsidRPr="00C63E21">
        <w:rPr>
          <w:b/>
        </w:rPr>
        <w:t>Table 4.3.3</w:t>
      </w:r>
      <w:r>
        <w:rPr>
          <w:b/>
        </w:rPr>
        <w:t>.</w:t>
      </w:r>
      <w:r>
        <w:t xml:space="preserve">  E</w:t>
      </w:r>
      <w:r w:rsidRPr="00CE276A">
        <w:t>stimate</w:t>
      </w:r>
      <w:r>
        <w:t>d</w:t>
      </w:r>
      <w:r w:rsidRPr="00CE276A">
        <w:t xml:space="preserve"> consu</w:t>
      </w:r>
      <w:r w:rsidR="007878B2">
        <w:t>mer surplus (2015</w:t>
      </w:r>
      <w:r w:rsidRPr="00CE276A">
        <w:t xml:space="preserve"> $) for </w:t>
      </w:r>
      <w:r>
        <w:t>recreational mutton snapper</w:t>
      </w:r>
      <w:r w:rsidRPr="00CE276A">
        <w:t xml:space="preserve"> landings</w:t>
      </w:r>
      <w:r>
        <w:t>, 2010-2014.</w:t>
      </w:r>
      <w:bookmarkEnd w:id="237"/>
    </w:p>
    <w:tbl>
      <w:tblPr>
        <w:tblW w:w="6482" w:type="dxa"/>
        <w:tblInd w:w="118" w:type="dxa"/>
        <w:tblLook w:val="04A0" w:firstRow="1" w:lastRow="0" w:firstColumn="1" w:lastColumn="0" w:noHBand="0" w:noVBand="1"/>
      </w:tblPr>
      <w:tblGrid>
        <w:gridCol w:w="962"/>
        <w:gridCol w:w="1920"/>
        <w:gridCol w:w="1728"/>
        <w:gridCol w:w="1872"/>
      </w:tblGrid>
      <w:tr w:rsidR="007878B2" w:rsidRPr="00A937C3" w14:paraId="02A13A06" w14:textId="77777777" w:rsidTr="007878B2">
        <w:trPr>
          <w:trHeight w:val="1140"/>
        </w:trPr>
        <w:tc>
          <w:tcPr>
            <w:tcW w:w="96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F8C2EBE" w14:textId="77777777" w:rsidR="007878B2" w:rsidRPr="00A937C3" w:rsidRDefault="007878B2" w:rsidP="007878B2">
            <w:pPr>
              <w:jc w:val="center"/>
              <w:rPr>
                <w:b/>
                <w:bCs/>
                <w:color w:val="000000"/>
                <w:sz w:val="22"/>
                <w:szCs w:val="22"/>
              </w:rPr>
            </w:pPr>
            <w:r w:rsidRPr="00A937C3">
              <w:rPr>
                <w:b/>
                <w:bCs/>
                <w:color w:val="000000"/>
                <w:sz w:val="22"/>
                <w:szCs w:val="22"/>
              </w:rPr>
              <w:t>Year</w:t>
            </w:r>
          </w:p>
        </w:tc>
        <w:tc>
          <w:tcPr>
            <w:tcW w:w="1920" w:type="dxa"/>
            <w:tcBorders>
              <w:top w:val="single" w:sz="8" w:space="0" w:color="auto"/>
              <w:left w:val="nil"/>
              <w:bottom w:val="single" w:sz="8" w:space="0" w:color="auto"/>
              <w:right w:val="single" w:sz="8" w:space="0" w:color="auto"/>
            </w:tcBorders>
            <w:shd w:val="clear" w:color="000000" w:fill="D9D9D9"/>
            <w:noWrap/>
            <w:vAlign w:val="bottom"/>
            <w:hideMark/>
          </w:tcPr>
          <w:p w14:paraId="4FEA00C5" w14:textId="77777777" w:rsidR="007878B2" w:rsidRPr="00A937C3" w:rsidRDefault="007878B2" w:rsidP="007878B2">
            <w:pPr>
              <w:jc w:val="center"/>
              <w:rPr>
                <w:b/>
                <w:bCs/>
                <w:color w:val="000000"/>
                <w:sz w:val="22"/>
                <w:szCs w:val="22"/>
              </w:rPr>
            </w:pPr>
            <w:r>
              <w:rPr>
                <w:b/>
                <w:bCs/>
                <w:color w:val="000000"/>
                <w:sz w:val="22"/>
                <w:szCs w:val="22"/>
              </w:rPr>
              <w:t>Recreational Landings (</w:t>
            </w:r>
            <w:r w:rsidRPr="00A937C3">
              <w:rPr>
                <w:b/>
                <w:bCs/>
                <w:color w:val="000000"/>
                <w:sz w:val="22"/>
                <w:szCs w:val="22"/>
              </w:rPr>
              <w:t>number</w:t>
            </w:r>
            <w:r>
              <w:rPr>
                <w:b/>
                <w:bCs/>
                <w:color w:val="000000"/>
                <w:sz w:val="22"/>
                <w:szCs w:val="22"/>
              </w:rPr>
              <w:t>s)</w:t>
            </w:r>
          </w:p>
        </w:tc>
        <w:tc>
          <w:tcPr>
            <w:tcW w:w="1728" w:type="dxa"/>
            <w:tcBorders>
              <w:top w:val="single" w:sz="8" w:space="0" w:color="auto"/>
              <w:left w:val="nil"/>
              <w:bottom w:val="single" w:sz="8" w:space="0" w:color="auto"/>
              <w:right w:val="single" w:sz="8" w:space="0" w:color="auto"/>
            </w:tcBorders>
            <w:shd w:val="clear" w:color="000000" w:fill="D9D9D9"/>
            <w:vAlign w:val="bottom"/>
            <w:hideMark/>
          </w:tcPr>
          <w:p w14:paraId="5F2C65EC" w14:textId="77777777" w:rsidR="007878B2" w:rsidRPr="00A937C3" w:rsidRDefault="007878B2" w:rsidP="007878B2">
            <w:pPr>
              <w:jc w:val="center"/>
              <w:rPr>
                <w:b/>
                <w:bCs/>
                <w:color w:val="000000"/>
                <w:sz w:val="22"/>
                <w:szCs w:val="22"/>
              </w:rPr>
            </w:pPr>
            <w:r w:rsidRPr="00A937C3">
              <w:rPr>
                <w:b/>
                <w:bCs/>
                <w:color w:val="000000"/>
                <w:sz w:val="22"/>
                <w:szCs w:val="22"/>
              </w:rPr>
              <w:t>Rec CS- Snapper (Finite Mixture Model)</w:t>
            </w:r>
          </w:p>
        </w:tc>
        <w:tc>
          <w:tcPr>
            <w:tcW w:w="1872" w:type="dxa"/>
            <w:tcBorders>
              <w:top w:val="single" w:sz="8" w:space="0" w:color="auto"/>
              <w:left w:val="nil"/>
              <w:bottom w:val="single" w:sz="8" w:space="0" w:color="auto"/>
              <w:right w:val="single" w:sz="8" w:space="0" w:color="auto"/>
            </w:tcBorders>
            <w:shd w:val="clear" w:color="000000" w:fill="D9D9D9"/>
            <w:vAlign w:val="bottom"/>
            <w:hideMark/>
          </w:tcPr>
          <w:p w14:paraId="454EFF34" w14:textId="77777777" w:rsidR="007878B2" w:rsidRPr="00A937C3" w:rsidRDefault="007878B2" w:rsidP="007878B2">
            <w:pPr>
              <w:jc w:val="center"/>
              <w:rPr>
                <w:b/>
                <w:bCs/>
                <w:color w:val="000000"/>
                <w:sz w:val="22"/>
                <w:szCs w:val="22"/>
              </w:rPr>
            </w:pPr>
            <w:r w:rsidRPr="00A937C3">
              <w:rPr>
                <w:b/>
                <w:bCs/>
                <w:color w:val="000000"/>
                <w:sz w:val="22"/>
                <w:szCs w:val="22"/>
              </w:rPr>
              <w:t>Rec CS- Snapper (Mixed Logit Model)</w:t>
            </w:r>
          </w:p>
        </w:tc>
      </w:tr>
      <w:tr w:rsidR="007878B2" w:rsidRPr="00A937C3" w14:paraId="65104392" w14:textId="77777777" w:rsidTr="007878B2">
        <w:trPr>
          <w:trHeight w:val="304"/>
        </w:trPr>
        <w:tc>
          <w:tcPr>
            <w:tcW w:w="962" w:type="dxa"/>
            <w:tcBorders>
              <w:top w:val="nil"/>
              <w:left w:val="single" w:sz="8" w:space="0" w:color="auto"/>
              <w:bottom w:val="single" w:sz="8" w:space="0" w:color="auto"/>
              <w:right w:val="single" w:sz="8" w:space="0" w:color="auto"/>
            </w:tcBorders>
            <w:shd w:val="clear" w:color="auto" w:fill="auto"/>
            <w:noWrap/>
            <w:vAlign w:val="center"/>
            <w:hideMark/>
          </w:tcPr>
          <w:p w14:paraId="7E3B9A45" w14:textId="77777777" w:rsidR="007878B2" w:rsidRPr="00A937C3" w:rsidRDefault="007878B2" w:rsidP="007878B2">
            <w:pPr>
              <w:jc w:val="center"/>
              <w:rPr>
                <w:color w:val="000000"/>
                <w:sz w:val="22"/>
                <w:szCs w:val="22"/>
              </w:rPr>
            </w:pPr>
            <w:r w:rsidRPr="00A937C3">
              <w:rPr>
                <w:color w:val="000000"/>
                <w:sz w:val="22"/>
                <w:szCs w:val="22"/>
              </w:rPr>
              <w:t>2010</w:t>
            </w:r>
          </w:p>
        </w:tc>
        <w:tc>
          <w:tcPr>
            <w:tcW w:w="1920" w:type="dxa"/>
            <w:tcBorders>
              <w:top w:val="nil"/>
              <w:left w:val="nil"/>
              <w:bottom w:val="single" w:sz="8" w:space="0" w:color="auto"/>
              <w:right w:val="single" w:sz="8" w:space="0" w:color="auto"/>
            </w:tcBorders>
            <w:shd w:val="clear" w:color="auto" w:fill="auto"/>
            <w:noWrap/>
            <w:vAlign w:val="bottom"/>
            <w:hideMark/>
          </w:tcPr>
          <w:p w14:paraId="4F9A3BB5" w14:textId="77777777" w:rsidR="007878B2" w:rsidRPr="00A937C3" w:rsidRDefault="007878B2" w:rsidP="007878B2">
            <w:pPr>
              <w:jc w:val="center"/>
              <w:rPr>
                <w:color w:val="000000"/>
                <w:sz w:val="22"/>
                <w:szCs w:val="22"/>
              </w:rPr>
            </w:pPr>
            <w:r w:rsidRPr="00A937C3">
              <w:rPr>
                <w:color w:val="000000"/>
                <w:sz w:val="22"/>
                <w:szCs w:val="22"/>
              </w:rPr>
              <w:t>130,249</w:t>
            </w:r>
          </w:p>
        </w:tc>
        <w:tc>
          <w:tcPr>
            <w:tcW w:w="1728" w:type="dxa"/>
            <w:tcBorders>
              <w:top w:val="nil"/>
              <w:left w:val="nil"/>
              <w:bottom w:val="single" w:sz="8" w:space="0" w:color="auto"/>
              <w:right w:val="single" w:sz="8" w:space="0" w:color="auto"/>
            </w:tcBorders>
            <w:shd w:val="clear" w:color="auto" w:fill="auto"/>
            <w:noWrap/>
            <w:vAlign w:val="bottom"/>
            <w:hideMark/>
          </w:tcPr>
          <w:p w14:paraId="6AF17C39" w14:textId="77777777" w:rsidR="007878B2" w:rsidRPr="00CD269B" w:rsidRDefault="007878B2" w:rsidP="007878B2">
            <w:pPr>
              <w:jc w:val="center"/>
              <w:rPr>
                <w:color w:val="000000"/>
                <w:sz w:val="22"/>
                <w:szCs w:val="22"/>
              </w:rPr>
            </w:pPr>
            <w:r w:rsidRPr="000D7172">
              <w:rPr>
                <w:color w:val="000000"/>
                <w:sz w:val="22"/>
                <w:szCs w:val="22"/>
              </w:rPr>
              <w:t xml:space="preserve"> $1,612,483 </w:t>
            </w:r>
          </w:p>
        </w:tc>
        <w:tc>
          <w:tcPr>
            <w:tcW w:w="1872" w:type="dxa"/>
            <w:tcBorders>
              <w:top w:val="nil"/>
              <w:left w:val="nil"/>
              <w:bottom w:val="single" w:sz="8" w:space="0" w:color="auto"/>
              <w:right w:val="single" w:sz="8" w:space="0" w:color="auto"/>
            </w:tcBorders>
            <w:shd w:val="clear" w:color="auto" w:fill="auto"/>
            <w:noWrap/>
            <w:vAlign w:val="bottom"/>
            <w:hideMark/>
          </w:tcPr>
          <w:p w14:paraId="4D377F02" w14:textId="77777777" w:rsidR="007878B2" w:rsidRPr="00CD269B" w:rsidRDefault="007878B2" w:rsidP="007878B2">
            <w:pPr>
              <w:jc w:val="center"/>
              <w:rPr>
                <w:color w:val="000000"/>
                <w:sz w:val="22"/>
                <w:szCs w:val="22"/>
              </w:rPr>
            </w:pPr>
            <w:r w:rsidRPr="000D7172">
              <w:rPr>
                <w:color w:val="000000"/>
                <w:sz w:val="22"/>
                <w:szCs w:val="22"/>
              </w:rPr>
              <w:t xml:space="preserve"> $3,945,242 </w:t>
            </w:r>
          </w:p>
        </w:tc>
      </w:tr>
      <w:tr w:rsidR="007878B2" w:rsidRPr="00A937C3" w14:paraId="150FA3CE" w14:textId="77777777" w:rsidTr="007878B2">
        <w:trPr>
          <w:trHeight w:val="286"/>
        </w:trPr>
        <w:tc>
          <w:tcPr>
            <w:tcW w:w="962" w:type="dxa"/>
            <w:tcBorders>
              <w:top w:val="nil"/>
              <w:left w:val="single" w:sz="8" w:space="0" w:color="auto"/>
              <w:bottom w:val="single" w:sz="8" w:space="0" w:color="auto"/>
              <w:right w:val="single" w:sz="8" w:space="0" w:color="auto"/>
            </w:tcBorders>
            <w:shd w:val="clear" w:color="auto" w:fill="auto"/>
            <w:noWrap/>
            <w:vAlign w:val="center"/>
            <w:hideMark/>
          </w:tcPr>
          <w:p w14:paraId="3BFD1BB2" w14:textId="77777777" w:rsidR="007878B2" w:rsidRPr="00A937C3" w:rsidRDefault="007878B2" w:rsidP="007878B2">
            <w:pPr>
              <w:jc w:val="center"/>
              <w:rPr>
                <w:color w:val="000000"/>
                <w:sz w:val="22"/>
                <w:szCs w:val="22"/>
              </w:rPr>
            </w:pPr>
            <w:r w:rsidRPr="00A937C3">
              <w:rPr>
                <w:color w:val="000000"/>
                <w:sz w:val="22"/>
                <w:szCs w:val="22"/>
              </w:rPr>
              <w:t>2011</w:t>
            </w:r>
          </w:p>
        </w:tc>
        <w:tc>
          <w:tcPr>
            <w:tcW w:w="1920" w:type="dxa"/>
            <w:tcBorders>
              <w:top w:val="nil"/>
              <w:left w:val="nil"/>
              <w:bottom w:val="single" w:sz="8" w:space="0" w:color="auto"/>
              <w:right w:val="single" w:sz="8" w:space="0" w:color="auto"/>
            </w:tcBorders>
            <w:shd w:val="clear" w:color="auto" w:fill="auto"/>
            <w:noWrap/>
            <w:vAlign w:val="bottom"/>
            <w:hideMark/>
          </w:tcPr>
          <w:p w14:paraId="781C4577" w14:textId="77777777" w:rsidR="007878B2" w:rsidRPr="00A937C3" w:rsidRDefault="007878B2" w:rsidP="007878B2">
            <w:pPr>
              <w:jc w:val="center"/>
              <w:rPr>
                <w:color w:val="000000"/>
                <w:sz w:val="22"/>
                <w:szCs w:val="22"/>
              </w:rPr>
            </w:pPr>
            <w:r w:rsidRPr="00A937C3">
              <w:rPr>
                <w:color w:val="000000"/>
                <w:sz w:val="22"/>
                <w:szCs w:val="22"/>
              </w:rPr>
              <w:t>60,151</w:t>
            </w:r>
          </w:p>
        </w:tc>
        <w:tc>
          <w:tcPr>
            <w:tcW w:w="1728" w:type="dxa"/>
            <w:tcBorders>
              <w:top w:val="nil"/>
              <w:left w:val="nil"/>
              <w:bottom w:val="single" w:sz="8" w:space="0" w:color="auto"/>
              <w:right w:val="single" w:sz="8" w:space="0" w:color="auto"/>
            </w:tcBorders>
            <w:shd w:val="clear" w:color="auto" w:fill="auto"/>
            <w:noWrap/>
            <w:vAlign w:val="bottom"/>
            <w:hideMark/>
          </w:tcPr>
          <w:p w14:paraId="6FA1E335" w14:textId="77777777" w:rsidR="007878B2" w:rsidRPr="00CD269B" w:rsidRDefault="007878B2" w:rsidP="007878B2">
            <w:pPr>
              <w:jc w:val="center"/>
              <w:rPr>
                <w:color w:val="000000"/>
                <w:sz w:val="22"/>
                <w:szCs w:val="22"/>
              </w:rPr>
            </w:pPr>
            <w:r w:rsidRPr="000D7172">
              <w:rPr>
                <w:color w:val="000000"/>
                <w:sz w:val="22"/>
                <w:szCs w:val="22"/>
              </w:rPr>
              <w:t xml:space="preserve"> $744,669 </w:t>
            </w:r>
          </w:p>
        </w:tc>
        <w:tc>
          <w:tcPr>
            <w:tcW w:w="1872" w:type="dxa"/>
            <w:tcBorders>
              <w:top w:val="nil"/>
              <w:left w:val="nil"/>
              <w:bottom w:val="single" w:sz="8" w:space="0" w:color="auto"/>
              <w:right w:val="single" w:sz="8" w:space="0" w:color="auto"/>
            </w:tcBorders>
            <w:shd w:val="clear" w:color="auto" w:fill="auto"/>
            <w:noWrap/>
            <w:vAlign w:val="bottom"/>
            <w:hideMark/>
          </w:tcPr>
          <w:p w14:paraId="3096678F" w14:textId="77777777" w:rsidR="007878B2" w:rsidRPr="00CD269B" w:rsidRDefault="007878B2" w:rsidP="007878B2">
            <w:pPr>
              <w:jc w:val="center"/>
              <w:rPr>
                <w:color w:val="000000"/>
                <w:sz w:val="22"/>
                <w:szCs w:val="22"/>
              </w:rPr>
            </w:pPr>
            <w:r w:rsidRPr="000D7172">
              <w:rPr>
                <w:color w:val="000000"/>
                <w:sz w:val="22"/>
                <w:szCs w:val="22"/>
              </w:rPr>
              <w:t xml:space="preserve"> $1,821,974 </w:t>
            </w:r>
          </w:p>
        </w:tc>
      </w:tr>
      <w:tr w:rsidR="007878B2" w:rsidRPr="00A937C3" w14:paraId="23988CBA" w14:textId="77777777" w:rsidTr="007878B2">
        <w:trPr>
          <w:trHeight w:val="295"/>
        </w:trPr>
        <w:tc>
          <w:tcPr>
            <w:tcW w:w="962" w:type="dxa"/>
            <w:tcBorders>
              <w:top w:val="nil"/>
              <w:left w:val="single" w:sz="8" w:space="0" w:color="auto"/>
              <w:bottom w:val="single" w:sz="8" w:space="0" w:color="auto"/>
              <w:right w:val="single" w:sz="8" w:space="0" w:color="auto"/>
            </w:tcBorders>
            <w:shd w:val="clear" w:color="auto" w:fill="auto"/>
            <w:noWrap/>
            <w:vAlign w:val="center"/>
            <w:hideMark/>
          </w:tcPr>
          <w:p w14:paraId="140BDAEC" w14:textId="77777777" w:rsidR="007878B2" w:rsidRPr="00A937C3" w:rsidRDefault="007878B2" w:rsidP="007878B2">
            <w:pPr>
              <w:jc w:val="center"/>
              <w:rPr>
                <w:color w:val="000000"/>
                <w:sz w:val="22"/>
                <w:szCs w:val="22"/>
              </w:rPr>
            </w:pPr>
            <w:r w:rsidRPr="00A937C3">
              <w:rPr>
                <w:color w:val="000000"/>
                <w:sz w:val="22"/>
                <w:szCs w:val="22"/>
              </w:rPr>
              <w:t>2012</w:t>
            </w:r>
          </w:p>
        </w:tc>
        <w:tc>
          <w:tcPr>
            <w:tcW w:w="1920" w:type="dxa"/>
            <w:tcBorders>
              <w:top w:val="nil"/>
              <w:left w:val="nil"/>
              <w:bottom w:val="single" w:sz="8" w:space="0" w:color="auto"/>
              <w:right w:val="single" w:sz="8" w:space="0" w:color="auto"/>
            </w:tcBorders>
            <w:shd w:val="clear" w:color="auto" w:fill="auto"/>
            <w:noWrap/>
            <w:vAlign w:val="bottom"/>
            <w:hideMark/>
          </w:tcPr>
          <w:p w14:paraId="25DA5558" w14:textId="77777777" w:rsidR="007878B2" w:rsidRPr="00A937C3" w:rsidRDefault="007878B2" w:rsidP="007878B2">
            <w:pPr>
              <w:jc w:val="center"/>
              <w:rPr>
                <w:color w:val="000000"/>
                <w:sz w:val="22"/>
                <w:szCs w:val="22"/>
              </w:rPr>
            </w:pPr>
            <w:r w:rsidRPr="00A937C3">
              <w:rPr>
                <w:color w:val="000000"/>
                <w:sz w:val="22"/>
                <w:szCs w:val="22"/>
              </w:rPr>
              <w:t>86,108</w:t>
            </w:r>
          </w:p>
        </w:tc>
        <w:tc>
          <w:tcPr>
            <w:tcW w:w="1728" w:type="dxa"/>
            <w:tcBorders>
              <w:top w:val="nil"/>
              <w:left w:val="nil"/>
              <w:bottom w:val="single" w:sz="8" w:space="0" w:color="auto"/>
              <w:right w:val="single" w:sz="8" w:space="0" w:color="auto"/>
            </w:tcBorders>
            <w:shd w:val="clear" w:color="auto" w:fill="auto"/>
            <w:noWrap/>
            <w:vAlign w:val="bottom"/>
            <w:hideMark/>
          </w:tcPr>
          <w:p w14:paraId="4408E0FE" w14:textId="77777777" w:rsidR="007878B2" w:rsidRPr="00CD269B" w:rsidRDefault="007878B2" w:rsidP="007878B2">
            <w:pPr>
              <w:jc w:val="center"/>
              <w:rPr>
                <w:color w:val="000000"/>
                <w:sz w:val="22"/>
                <w:szCs w:val="22"/>
              </w:rPr>
            </w:pPr>
            <w:r w:rsidRPr="000D7172">
              <w:rPr>
                <w:color w:val="000000"/>
                <w:sz w:val="22"/>
                <w:szCs w:val="22"/>
              </w:rPr>
              <w:t xml:space="preserve"> $1,066,017 </w:t>
            </w:r>
          </w:p>
        </w:tc>
        <w:tc>
          <w:tcPr>
            <w:tcW w:w="1872" w:type="dxa"/>
            <w:tcBorders>
              <w:top w:val="nil"/>
              <w:left w:val="nil"/>
              <w:bottom w:val="single" w:sz="8" w:space="0" w:color="auto"/>
              <w:right w:val="single" w:sz="8" w:space="0" w:color="auto"/>
            </w:tcBorders>
            <w:shd w:val="clear" w:color="auto" w:fill="auto"/>
            <w:noWrap/>
            <w:vAlign w:val="bottom"/>
            <w:hideMark/>
          </w:tcPr>
          <w:p w14:paraId="23AC49D1" w14:textId="77777777" w:rsidR="007878B2" w:rsidRPr="00CD269B" w:rsidRDefault="007878B2" w:rsidP="007878B2">
            <w:pPr>
              <w:jc w:val="center"/>
              <w:rPr>
                <w:color w:val="000000"/>
                <w:sz w:val="22"/>
                <w:szCs w:val="22"/>
              </w:rPr>
            </w:pPr>
            <w:r w:rsidRPr="000D7172">
              <w:rPr>
                <w:color w:val="000000"/>
                <w:sz w:val="22"/>
                <w:szCs w:val="22"/>
              </w:rPr>
              <w:t xml:space="preserve"> $2,608,211 </w:t>
            </w:r>
          </w:p>
        </w:tc>
      </w:tr>
      <w:tr w:rsidR="007878B2" w:rsidRPr="00A937C3" w14:paraId="549BD476" w14:textId="77777777" w:rsidTr="007878B2">
        <w:trPr>
          <w:trHeight w:val="304"/>
        </w:trPr>
        <w:tc>
          <w:tcPr>
            <w:tcW w:w="962" w:type="dxa"/>
            <w:tcBorders>
              <w:top w:val="nil"/>
              <w:left w:val="single" w:sz="8" w:space="0" w:color="auto"/>
              <w:bottom w:val="single" w:sz="8" w:space="0" w:color="auto"/>
              <w:right w:val="single" w:sz="8" w:space="0" w:color="auto"/>
            </w:tcBorders>
            <w:shd w:val="clear" w:color="auto" w:fill="auto"/>
            <w:noWrap/>
            <w:vAlign w:val="center"/>
            <w:hideMark/>
          </w:tcPr>
          <w:p w14:paraId="2E5B7F15" w14:textId="77777777" w:rsidR="007878B2" w:rsidRPr="00A937C3" w:rsidRDefault="007878B2" w:rsidP="007878B2">
            <w:pPr>
              <w:jc w:val="center"/>
              <w:rPr>
                <w:color w:val="000000"/>
                <w:sz w:val="22"/>
                <w:szCs w:val="22"/>
              </w:rPr>
            </w:pPr>
            <w:r w:rsidRPr="00A937C3">
              <w:rPr>
                <w:color w:val="000000"/>
                <w:sz w:val="22"/>
                <w:szCs w:val="22"/>
              </w:rPr>
              <w:t>2013</w:t>
            </w:r>
          </w:p>
        </w:tc>
        <w:tc>
          <w:tcPr>
            <w:tcW w:w="1920" w:type="dxa"/>
            <w:tcBorders>
              <w:top w:val="nil"/>
              <w:left w:val="nil"/>
              <w:bottom w:val="single" w:sz="8" w:space="0" w:color="auto"/>
              <w:right w:val="single" w:sz="8" w:space="0" w:color="auto"/>
            </w:tcBorders>
            <w:shd w:val="clear" w:color="auto" w:fill="auto"/>
            <w:noWrap/>
            <w:vAlign w:val="bottom"/>
            <w:hideMark/>
          </w:tcPr>
          <w:p w14:paraId="0727155C" w14:textId="77777777" w:rsidR="007878B2" w:rsidRPr="00A937C3" w:rsidRDefault="007878B2" w:rsidP="007878B2">
            <w:pPr>
              <w:jc w:val="center"/>
              <w:rPr>
                <w:color w:val="000000"/>
                <w:sz w:val="22"/>
                <w:szCs w:val="22"/>
              </w:rPr>
            </w:pPr>
            <w:r w:rsidRPr="00A937C3">
              <w:rPr>
                <w:color w:val="000000"/>
                <w:sz w:val="22"/>
                <w:szCs w:val="22"/>
              </w:rPr>
              <w:t>126,241</w:t>
            </w:r>
          </w:p>
        </w:tc>
        <w:tc>
          <w:tcPr>
            <w:tcW w:w="1728" w:type="dxa"/>
            <w:tcBorders>
              <w:top w:val="nil"/>
              <w:left w:val="nil"/>
              <w:bottom w:val="single" w:sz="8" w:space="0" w:color="auto"/>
              <w:right w:val="single" w:sz="8" w:space="0" w:color="auto"/>
            </w:tcBorders>
            <w:shd w:val="clear" w:color="auto" w:fill="auto"/>
            <w:noWrap/>
            <w:vAlign w:val="bottom"/>
            <w:hideMark/>
          </w:tcPr>
          <w:p w14:paraId="016B1DE7" w14:textId="77777777" w:rsidR="007878B2" w:rsidRPr="00CD269B" w:rsidRDefault="007878B2" w:rsidP="007878B2">
            <w:pPr>
              <w:jc w:val="center"/>
              <w:rPr>
                <w:color w:val="000000"/>
                <w:sz w:val="22"/>
                <w:szCs w:val="22"/>
              </w:rPr>
            </w:pPr>
            <w:r w:rsidRPr="000D7172">
              <w:rPr>
                <w:color w:val="000000"/>
                <w:sz w:val="22"/>
                <w:szCs w:val="22"/>
              </w:rPr>
              <w:t xml:space="preserve"> $1,562,864 </w:t>
            </w:r>
          </w:p>
        </w:tc>
        <w:tc>
          <w:tcPr>
            <w:tcW w:w="1872" w:type="dxa"/>
            <w:tcBorders>
              <w:top w:val="nil"/>
              <w:left w:val="nil"/>
              <w:bottom w:val="single" w:sz="8" w:space="0" w:color="auto"/>
              <w:right w:val="single" w:sz="8" w:space="0" w:color="auto"/>
            </w:tcBorders>
            <w:shd w:val="clear" w:color="auto" w:fill="auto"/>
            <w:noWrap/>
            <w:vAlign w:val="bottom"/>
            <w:hideMark/>
          </w:tcPr>
          <w:p w14:paraId="0566D23B" w14:textId="77777777" w:rsidR="007878B2" w:rsidRPr="00CD269B" w:rsidRDefault="007878B2" w:rsidP="007878B2">
            <w:pPr>
              <w:jc w:val="center"/>
              <w:rPr>
                <w:color w:val="000000"/>
                <w:sz w:val="22"/>
                <w:szCs w:val="22"/>
              </w:rPr>
            </w:pPr>
            <w:r w:rsidRPr="000D7172">
              <w:rPr>
                <w:color w:val="000000"/>
                <w:sz w:val="22"/>
                <w:szCs w:val="22"/>
              </w:rPr>
              <w:t xml:space="preserve"> $3,823,840 </w:t>
            </w:r>
          </w:p>
        </w:tc>
      </w:tr>
      <w:tr w:rsidR="007878B2" w:rsidRPr="00A937C3" w14:paraId="0F48F3E9" w14:textId="77777777" w:rsidTr="007878B2">
        <w:trPr>
          <w:trHeight w:val="295"/>
        </w:trPr>
        <w:tc>
          <w:tcPr>
            <w:tcW w:w="962" w:type="dxa"/>
            <w:tcBorders>
              <w:top w:val="nil"/>
              <w:left w:val="single" w:sz="8" w:space="0" w:color="auto"/>
              <w:bottom w:val="single" w:sz="8" w:space="0" w:color="auto"/>
              <w:right w:val="single" w:sz="8" w:space="0" w:color="auto"/>
            </w:tcBorders>
            <w:shd w:val="clear" w:color="auto" w:fill="auto"/>
            <w:noWrap/>
            <w:vAlign w:val="center"/>
            <w:hideMark/>
          </w:tcPr>
          <w:p w14:paraId="79328C96" w14:textId="77777777" w:rsidR="007878B2" w:rsidRPr="00A937C3" w:rsidRDefault="007878B2" w:rsidP="007878B2">
            <w:pPr>
              <w:jc w:val="center"/>
              <w:rPr>
                <w:color w:val="000000"/>
                <w:sz w:val="22"/>
                <w:szCs w:val="22"/>
              </w:rPr>
            </w:pPr>
            <w:r w:rsidRPr="00A937C3">
              <w:rPr>
                <w:color w:val="000000"/>
                <w:sz w:val="22"/>
                <w:szCs w:val="22"/>
              </w:rPr>
              <w:t>2014</w:t>
            </w:r>
          </w:p>
        </w:tc>
        <w:tc>
          <w:tcPr>
            <w:tcW w:w="1920" w:type="dxa"/>
            <w:tcBorders>
              <w:top w:val="nil"/>
              <w:left w:val="nil"/>
              <w:bottom w:val="single" w:sz="8" w:space="0" w:color="auto"/>
              <w:right w:val="single" w:sz="8" w:space="0" w:color="auto"/>
            </w:tcBorders>
            <w:shd w:val="clear" w:color="auto" w:fill="auto"/>
            <w:noWrap/>
            <w:vAlign w:val="bottom"/>
            <w:hideMark/>
          </w:tcPr>
          <w:p w14:paraId="23484FA7" w14:textId="77777777" w:rsidR="007878B2" w:rsidRPr="00A937C3" w:rsidRDefault="007878B2" w:rsidP="007878B2">
            <w:pPr>
              <w:jc w:val="center"/>
              <w:rPr>
                <w:color w:val="000000"/>
                <w:sz w:val="22"/>
                <w:szCs w:val="22"/>
              </w:rPr>
            </w:pPr>
            <w:r w:rsidRPr="00A937C3">
              <w:rPr>
                <w:color w:val="000000"/>
                <w:sz w:val="22"/>
                <w:szCs w:val="22"/>
              </w:rPr>
              <w:t>157,501</w:t>
            </w:r>
          </w:p>
        </w:tc>
        <w:tc>
          <w:tcPr>
            <w:tcW w:w="1728" w:type="dxa"/>
            <w:tcBorders>
              <w:top w:val="nil"/>
              <w:left w:val="nil"/>
              <w:bottom w:val="single" w:sz="8" w:space="0" w:color="auto"/>
              <w:right w:val="single" w:sz="8" w:space="0" w:color="auto"/>
            </w:tcBorders>
            <w:shd w:val="clear" w:color="auto" w:fill="auto"/>
            <w:noWrap/>
            <w:vAlign w:val="bottom"/>
            <w:hideMark/>
          </w:tcPr>
          <w:p w14:paraId="28248892" w14:textId="77777777" w:rsidR="007878B2" w:rsidRPr="00CD269B" w:rsidRDefault="007878B2" w:rsidP="007878B2">
            <w:pPr>
              <w:jc w:val="center"/>
              <w:rPr>
                <w:color w:val="000000"/>
                <w:sz w:val="22"/>
                <w:szCs w:val="22"/>
              </w:rPr>
            </w:pPr>
            <w:r w:rsidRPr="000D7172">
              <w:rPr>
                <w:color w:val="000000"/>
                <w:sz w:val="22"/>
                <w:szCs w:val="22"/>
              </w:rPr>
              <w:t xml:space="preserve"> $1,949,862 </w:t>
            </w:r>
          </w:p>
        </w:tc>
        <w:tc>
          <w:tcPr>
            <w:tcW w:w="1872" w:type="dxa"/>
            <w:tcBorders>
              <w:top w:val="nil"/>
              <w:left w:val="nil"/>
              <w:bottom w:val="single" w:sz="8" w:space="0" w:color="auto"/>
              <w:right w:val="single" w:sz="8" w:space="0" w:color="auto"/>
            </w:tcBorders>
            <w:shd w:val="clear" w:color="auto" w:fill="auto"/>
            <w:noWrap/>
            <w:vAlign w:val="bottom"/>
            <w:hideMark/>
          </w:tcPr>
          <w:p w14:paraId="1C9806C8" w14:textId="77777777" w:rsidR="007878B2" w:rsidRPr="00CD269B" w:rsidRDefault="007878B2" w:rsidP="007878B2">
            <w:pPr>
              <w:jc w:val="center"/>
              <w:rPr>
                <w:color w:val="000000"/>
                <w:sz w:val="22"/>
                <w:szCs w:val="22"/>
              </w:rPr>
            </w:pPr>
            <w:r w:rsidRPr="000D7172">
              <w:rPr>
                <w:color w:val="000000"/>
                <w:sz w:val="22"/>
                <w:szCs w:val="22"/>
              </w:rPr>
              <w:t xml:space="preserve"> $4,770,705 </w:t>
            </w:r>
          </w:p>
        </w:tc>
      </w:tr>
      <w:tr w:rsidR="007878B2" w:rsidRPr="00A937C3" w14:paraId="20CB3031" w14:textId="77777777" w:rsidTr="007878B2">
        <w:trPr>
          <w:trHeight w:val="295"/>
        </w:trPr>
        <w:tc>
          <w:tcPr>
            <w:tcW w:w="962" w:type="dxa"/>
            <w:tcBorders>
              <w:top w:val="nil"/>
              <w:left w:val="single" w:sz="8" w:space="0" w:color="auto"/>
              <w:bottom w:val="single" w:sz="8" w:space="0" w:color="auto"/>
              <w:right w:val="single" w:sz="8" w:space="0" w:color="auto"/>
            </w:tcBorders>
            <w:shd w:val="clear" w:color="auto" w:fill="auto"/>
            <w:noWrap/>
            <w:vAlign w:val="center"/>
            <w:hideMark/>
          </w:tcPr>
          <w:p w14:paraId="7CC1EF88" w14:textId="77777777" w:rsidR="007878B2" w:rsidRPr="00C63E21" w:rsidRDefault="007878B2" w:rsidP="007878B2">
            <w:pPr>
              <w:jc w:val="center"/>
              <w:rPr>
                <w:bCs/>
                <w:color w:val="000000"/>
                <w:sz w:val="22"/>
                <w:szCs w:val="22"/>
              </w:rPr>
            </w:pPr>
            <w:r w:rsidRPr="00C63E21">
              <w:rPr>
                <w:bCs/>
                <w:color w:val="000000"/>
                <w:sz w:val="22"/>
                <w:szCs w:val="22"/>
              </w:rPr>
              <w:t>Average</w:t>
            </w:r>
          </w:p>
        </w:tc>
        <w:tc>
          <w:tcPr>
            <w:tcW w:w="1920" w:type="dxa"/>
            <w:tcBorders>
              <w:top w:val="nil"/>
              <w:left w:val="nil"/>
              <w:bottom w:val="single" w:sz="8" w:space="0" w:color="auto"/>
              <w:right w:val="single" w:sz="8" w:space="0" w:color="auto"/>
            </w:tcBorders>
            <w:shd w:val="clear" w:color="auto" w:fill="auto"/>
            <w:noWrap/>
            <w:vAlign w:val="bottom"/>
            <w:hideMark/>
          </w:tcPr>
          <w:p w14:paraId="370F35F5" w14:textId="77777777" w:rsidR="007878B2" w:rsidRPr="00C63E21" w:rsidRDefault="007878B2" w:rsidP="007878B2">
            <w:pPr>
              <w:jc w:val="center"/>
              <w:rPr>
                <w:bCs/>
                <w:color w:val="000000"/>
                <w:sz w:val="22"/>
                <w:szCs w:val="22"/>
              </w:rPr>
            </w:pPr>
            <w:r w:rsidRPr="00C63E21">
              <w:rPr>
                <w:bCs/>
                <w:color w:val="000000"/>
                <w:sz w:val="22"/>
                <w:szCs w:val="22"/>
              </w:rPr>
              <w:t>112,050</w:t>
            </w:r>
          </w:p>
        </w:tc>
        <w:tc>
          <w:tcPr>
            <w:tcW w:w="1728" w:type="dxa"/>
            <w:tcBorders>
              <w:top w:val="nil"/>
              <w:left w:val="nil"/>
              <w:bottom w:val="single" w:sz="8" w:space="0" w:color="auto"/>
              <w:right w:val="single" w:sz="8" w:space="0" w:color="auto"/>
            </w:tcBorders>
            <w:shd w:val="clear" w:color="auto" w:fill="auto"/>
            <w:noWrap/>
            <w:vAlign w:val="bottom"/>
            <w:hideMark/>
          </w:tcPr>
          <w:p w14:paraId="5D95D417" w14:textId="77777777" w:rsidR="007878B2" w:rsidRPr="00CD269B" w:rsidRDefault="007878B2" w:rsidP="007878B2">
            <w:pPr>
              <w:jc w:val="center"/>
              <w:rPr>
                <w:color w:val="000000"/>
                <w:sz w:val="22"/>
                <w:szCs w:val="22"/>
              </w:rPr>
            </w:pPr>
            <w:r w:rsidRPr="000D7172">
              <w:rPr>
                <w:color w:val="000000"/>
                <w:sz w:val="22"/>
                <w:szCs w:val="22"/>
              </w:rPr>
              <w:t xml:space="preserve"> $1,387,179 </w:t>
            </w:r>
          </w:p>
        </w:tc>
        <w:tc>
          <w:tcPr>
            <w:tcW w:w="1872" w:type="dxa"/>
            <w:tcBorders>
              <w:top w:val="nil"/>
              <w:left w:val="nil"/>
              <w:bottom w:val="single" w:sz="8" w:space="0" w:color="auto"/>
              <w:right w:val="single" w:sz="8" w:space="0" w:color="auto"/>
            </w:tcBorders>
            <w:shd w:val="clear" w:color="auto" w:fill="auto"/>
            <w:noWrap/>
            <w:vAlign w:val="bottom"/>
            <w:hideMark/>
          </w:tcPr>
          <w:p w14:paraId="57F65942" w14:textId="77777777" w:rsidR="007878B2" w:rsidRPr="00CD269B" w:rsidRDefault="007878B2" w:rsidP="007878B2">
            <w:pPr>
              <w:jc w:val="center"/>
              <w:rPr>
                <w:color w:val="000000"/>
                <w:sz w:val="22"/>
                <w:szCs w:val="22"/>
              </w:rPr>
            </w:pPr>
            <w:r w:rsidRPr="000D7172">
              <w:rPr>
                <w:color w:val="000000"/>
                <w:sz w:val="22"/>
                <w:szCs w:val="22"/>
              </w:rPr>
              <w:t xml:space="preserve"> $3,393,995 </w:t>
            </w:r>
          </w:p>
        </w:tc>
      </w:tr>
    </w:tbl>
    <w:p w14:paraId="3EC9BD40" w14:textId="77777777" w:rsidR="00194E4B" w:rsidRDefault="00194E4B" w:rsidP="00194E4B"/>
    <w:p w14:paraId="5C6E112C" w14:textId="285F8E75" w:rsidR="00194E4B" w:rsidRPr="00101F59" w:rsidRDefault="00194E4B" w:rsidP="00194E4B">
      <w:pPr>
        <w:pStyle w:val="Tabletitle"/>
        <w:rPr>
          <w:rFonts w:cs="Arial"/>
          <w:szCs w:val="20"/>
        </w:rPr>
      </w:pPr>
      <w:bookmarkStart w:id="238" w:name="_Toc340431579"/>
      <w:r w:rsidRPr="000E438C">
        <w:rPr>
          <w:rFonts w:cs="Arial"/>
          <w:b/>
          <w:szCs w:val="20"/>
        </w:rPr>
        <w:t>Table 4.3.</w:t>
      </w:r>
      <w:r>
        <w:rPr>
          <w:rFonts w:cs="Arial"/>
          <w:b/>
          <w:szCs w:val="20"/>
        </w:rPr>
        <w:t>4</w:t>
      </w:r>
      <w:r w:rsidRPr="000E438C">
        <w:rPr>
          <w:rFonts w:cs="Arial"/>
          <w:szCs w:val="20"/>
        </w:rPr>
        <w:t xml:space="preserve">.  </w:t>
      </w:r>
      <w:r>
        <w:rPr>
          <w:rFonts w:cs="Arial"/>
          <w:szCs w:val="20"/>
        </w:rPr>
        <w:t>Estimated change in r</w:t>
      </w:r>
      <w:r w:rsidRPr="000E438C">
        <w:rPr>
          <w:rFonts w:cs="Arial"/>
          <w:szCs w:val="20"/>
        </w:rPr>
        <w:t xml:space="preserve">ecreational </w:t>
      </w:r>
      <w:r>
        <w:rPr>
          <w:rFonts w:cs="Arial"/>
          <w:szCs w:val="20"/>
        </w:rPr>
        <w:t xml:space="preserve">landings and associated change in consumer surplus (CS) </w:t>
      </w:r>
      <w:r w:rsidRPr="000E438C">
        <w:rPr>
          <w:rFonts w:cs="Arial"/>
          <w:szCs w:val="20"/>
        </w:rPr>
        <w:t>(in 20</w:t>
      </w:r>
      <w:r w:rsidR="007878B2">
        <w:rPr>
          <w:rFonts w:cs="Arial"/>
          <w:szCs w:val="20"/>
        </w:rPr>
        <w:t>15</w:t>
      </w:r>
      <w:r w:rsidRPr="000E438C">
        <w:rPr>
          <w:rFonts w:cs="Arial"/>
          <w:szCs w:val="20"/>
        </w:rPr>
        <w:t xml:space="preserve"> $)</w:t>
      </w:r>
      <w:r>
        <w:rPr>
          <w:rFonts w:cs="Arial"/>
          <w:szCs w:val="20"/>
        </w:rPr>
        <w:t xml:space="preserve"> </w:t>
      </w:r>
      <w:r w:rsidR="002D10D7">
        <w:rPr>
          <w:rFonts w:cs="Arial"/>
          <w:szCs w:val="20"/>
        </w:rPr>
        <w:t xml:space="preserve">under </w:t>
      </w:r>
      <w:r w:rsidR="002D10D7" w:rsidRPr="002D10D7">
        <w:rPr>
          <w:rFonts w:cs="Arial"/>
          <w:b/>
          <w:szCs w:val="20"/>
        </w:rPr>
        <w:t>Preferred Alternative 2</w:t>
      </w:r>
      <w:r w:rsidR="002D10D7">
        <w:rPr>
          <w:rFonts w:cs="Arial"/>
          <w:szCs w:val="20"/>
        </w:rPr>
        <w:t xml:space="preserve"> </w:t>
      </w:r>
      <w:r>
        <w:rPr>
          <w:rFonts w:cs="Arial"/>
          <w:szCs w:val="20"/>
        </w:rPr>
        <w:t>based on average recreational landings of mutton snapper from 2010-2014.</w:t>
      </w:r>
      <w:bookmarkEnd w:id="238"/>
      <w:r>
        <w:rPr>
          <w:rFonts w:cs="Arial"/>
          <w:szCs w:val="20"/>
        </w:rPr>
        <w:t xml:space="preserve">  </w:t>
      </w:r>
    </w:p>
    <w:tbl>
      <w:tblPr>
        <w:tblW w:w="9936" w:type="dxa"/>
        <w:tblInd w:w="108" w:type="dxa"/>
        <w:tblLook w:val="04A0" w:firstRow="1" w:lastRow="0" w:firstColumn="1" w:lastColumn="0" w:noHBand="0" w:noVBand="1"/>
      </w:tblPr>
      <w:tblGrid>
        <w:gridCol w:w="2592"/>
        <w:gridCol w:w="2592"/>
        <w:gridCol w:w="2448"/>
        <w:gridCol w:w="2304"/>
      </w:tblGrid>
      <w:tr w:rsidR="00194E4B" w:rsidRPr="00730239" w14:paraId="358BE66F" w14:textId="77777777" w:rsidTr="00A503F0">
        <w:trPr>
          <w:trHeight w:val="557"/>
        </w:trPr>
        <w:tc>
          <w:tcPr>
            <w:tcW w:w="2592"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595A56C" w14:textId="77777777" w:rsidR="00194E4B" w:rsidRPr="00C63E21" w:rsidRDefault="00194E4B" w:rsidP="00A503F0">
            <w:pPr>
              <w:rPr>
                <w:color w:val="000000"/>
                <w:sz w:val="22"/>
                <w:szCs w:val="22"/>
              </w:rPr>
            </w:pPr>
            <w:r w:rsidRPr="00C63E21">
              <w:rPr>
                <w:color w:val="000000"/>
                <w:sz w:val="22"/>
                <w:szCs w:val="22"/>
              </w:rPr>
              <w:t> </w:t>
            </w:r>
          </w:p>
        </w:tc>
        <w:tc>
          <w:tcPr>
            <w:tcW w:w="2592" w:type="dxa"/>
            <w:tcBorders>
              <w:top w:val="single" w:sz="4" w:space="0" w:color="auto"/>
              <w:left w:val="nil"/>
              <w:bottom w:val="single" w:sz="4" w:space="0" w:color="auto"/>
              <w:right w:val="single" w:sz="4" w:space="0" w:color="auto"/>
            </w:tcBorders>
            <w:shd w:val="clear" w:color="000000" w:fill="D0CECE"/>
            <w:vAlign w:val="bottom"/>
            <w:hideMark/>
          </w:tcPr>
          <w:p w14:paraId="58F7CAF1" w14:textId="77777777" w:rsidR="00194E4B" w:rsidRPr="00C63E21" w:rsidRDefault="00194E4B" w:rsidP="00A503F0">
            <w:pPr>
              <w:jc w:val="center"/>
              <w:rPr>
                <w:b/>
                <w:bCs/>
                <w:color w:val="000000"/>
                <w:sz w:val="22"/>
                <w:szCs w:val="22"/>
              </w:rPr>
            </w:pPr>
            <w:r w:rsidRPr="00D520E5">
              <w:rPr>
                <w:b/>
                <w:bCs/>
                <w:color w:val="000000"/>
                <w:sz w:val="22"/>
                <w:szCs w:val="22"/>
              </w:rPr>
              <w:t>Estimated Reduction in Landings (number of fish)</w:t>
            </w:r>
          </w:p>
        </w:tc>
        <w:tc>
          <w:tcPr>
            <w:tcW w:w="2448" w:type="dxa"/>
            <w:tcBorders>
              <w:top w:val="single" w:sz="4" w:space="0" w:color="auto"/>
              <w:left w:val="nil"/>
              <w:bottom w:val="single" w:sz="4" w:space="0" w:color="auto"/>
              <w:right w:val="single" w:sz="4" w:space="0" w:color="auto"/>
            </w:tcBorders>
            <w:shd w:val="clear" w:color="000000" w:fill="D9D9D9"/>
            <w:vAlign w:val="bottom"/>
            <w:hideMark/>
          </w:tcPr>
          <w:p w14:paraId="35316DEC" w14:textId="27BA4315" w:rsidR="00194E4B" w:rsidRPr="00730239" w:rsidRDefault="00194E4B" w:rsidP="00A503F0">
            <w:pPr>
              <w:jc w:val="center"/>
              <w:rPr>
                <w:b/>
                <w:bCs/>
                <w:color w:val="000000"/>
                <w:sz w:val="22"/>
                <w:szCs w:val="22"/>
              </w:rPr>
            </w:pPr>
            <w:r w:rsidRPr="00D520E5">
              <w:rPr>
                <w:b/>
                <w:bCs/>
                <w:color w:val="000000"/>
                <w:sz w:val="22"/>
                <w:szCs w:val="22"/>
              </w:rPr>
              <w:t>Decrease in Consumer Surpl</w:t>
            </w:r>
            <w:r w:rsidR="002D10D7">
              <w:rPr>
                <w:b/>
                <w:bCs/>
                <w:color w:val="000000"/>
                <w:sz w:val="22"/>
                <w:szCs w:val="22"/>
              </w:rPr>
              <w:t>us(Finite Mixture Model:  $12.38</w:t>
            </w:r>
            <w:r w:rsidRPr="00D520E5">
              <w:rPr>
                <w:b/>
                <w:bCs/>
                <w:color w:val="000000"/>
                <w:sz w:val="22"/>
                <w:szCs w:val="22"/>
              </w:rPr>
              <w:t xml:space="preserve"> per fish)</w:t>
            </w:r>
          </w:p>
        </w:tc>
        <w:tc>
          <w:tcPr>
            <w:tcW w:w="2304" w:type="dxa"/>
            <w:tcBorders>
              <w:top w:val="single" w:sz="4" w:space="0" w:color="auto"/>
              <w:left w:val="nil"/>
              <w:bottom w:val="single" w:sz="4" w:space="0" w:color="auto"/>
              <w:right w:val="single" w:sz="4" w:space="0" w:color="auto"/>
            </w:tcBorders>
            <w:shd w:val="clear" w:color="000000" w:fill="D9D9D9"/>
            <w:vAlign w:val="bottom"/>
            <w:hideMark/>
          </w:tcPr>
          <w:p w14:paraId="4452BF91" w14:textId="0086D664" w:rsidR="00194E4B" w:rsidRPr="00730239" w:rsidRDefault="00194E4B" w:rsidP="00A503F0">
            <w:pPr>
              <w:jc w:val="center"/>
              <w:rPr>
                <w:b/>
                <w:bCs/>
                <w:color w:val="000000"/>
                <w:sz w:val="22"/>
                <w:szCs w:val="22"/>
              </w:rPr>
            </w:pPr>
            <w:r w:rsidRPr="00D520E5">
              <w:rPr>
                <w:b/>
                <w:bCs/>
                <w:color w:val="000000"/>
                <w:sz w:val="22"/>
                <w:szCs w:val="22"/>
              </w:rPr>
              <w:t>Decrease in Consumer Su</w:t>
            </w:r>
            <w:r w:rsidR="002D10D7">
              <w:rPr>
                <w:b/>
                <w:bCs/>
                <w:color w:val="000000"/>
                <w:sz w:val="22"/>
                <w:szCs w:val="22"/>
              </w:rPr>
              <w:t>rplus (Mixed Logit Model: $30.29</w:t>
            </w:r>
            <w:r w:rsidRPr="00D520E5">
              <w:rPr>
                <w:b/>
                <w:bCs/>
                <w:color w:val="000000"/>
                <w:sz w:val="22"/>
                <w:szCs w:val="22"/>
              </w:rPr>
              <w:t xml:space="preserve"> per fish)</w:t>
            </w:r>
          </w:p>
        </w:tc>
      </w:tr>
      <w:tr w:rsidR="00194E4B" w:rsidRPr="00730239" w14:paraId="7E59739C" w14:textId="77777777" w:rsidTr="00A503F0">
        <w:trPr>
          <w:trHeight w:val="320"/>
        </w:trPr>
        <w:tc>
          <w:tcPr>
            <w:tcW w:w="2592" w:type="dxa"/>
            <w:tcBorders>
              <w:top w:val="nil"/>
              <w:left w:val="single" w:sz="4" w:space="0" w:color="auto"/>
              <w:bottom w:val="single" w:sz="4" w:space="0" w:color="auto"/>
              <w:right w:val="single" w:sz="4" w:space="0" w:color="auto"/>
            </w:tcBorders>
            <w:shd w:val="clear" w:color="auto" w:fill="auto"/>
            <w:noWrap/>
            <w:vAlign w:val="center"/>
            <w:hideMark/>
          </w:tcPr>
          <w:p w14:paraId="5313F21C" w14:textId="77777777" w:rsidR="00194E4B" w:rsidRPr="00730239" w:rsidRDefault="00194E4B" w:rsidP="00A503F0">
            <w:pPr>
              <w:rPr>
                <w:color w:val="000000"/>
                <w:sz w:val="22"/>
                <w:szCs w:val="22"/>
              </w:rPr>
            </w:pPr>
            <w:r w:rsidRPr="00730239">
              <w:rPr>
                <w:color w:val="000000"/>
                <w:sz w:val="22"/>
                <w:szCs w:val="22"/>
              </w:rPr>
              <w:t xml:space="preserve">Alternative 1 (No Action) </w:t>
            </w:r>
          </w:p>
        </w:tc>
        <w:tc>
          <w:tcPr>
            <w:tcW w:w="2592" w:type="dxa"/>
            <w:tcBorders>
              <w:top w:val="nil"/>
              <w:left w:val="nil"/>
              <w:bottom w:val="single" w:sz="4" w:space="0" w:color="auto"/>
              <w:right w:val="single" w:sz="4" w:space="0" w:color="auto"/>
            </w:tcBorders>
            <w:shd w:val="clear" w:color="auto" w:fill="auto"/>
            <w:noWrap/>
            <w:vAlign w:val="bottom"/>
            <w:hideMark/>
          </w:tcPr>
          <w:p w14:paraId="3F3C0872" w14:textId="77777777" w:rsidR="00194E4B" w:rsidRPr="00C63E21" w:rsidRDefault="00194E4B" w:rsidP="00A503F0">
            <w:pPr>
              <w:jc w:val="center"/>
              <w:rPr>
                <w:color w:val="000000"/>
                <w:sz w:val="22"/>
                <w:szCs w:val="22"/>
              </w:rPr>
            </w:pPr>
            <w:r w:rsidRPr="00C63E21">
              <w:rPr>
                <w:color w:val="000000"/>
                <w:sz w:val="22"/>
                <w:szCs w:val="22"/>
              </w:rPr>
              <w:t>0</w:t>
            </w:r>
          </w:p>
        </w:tc>
        <w:tc>
          <w:tcPr>
            <w:tcW w:w="2448" w:type="dxa"/>
            <w:tcBorders>
              <w:top w:val="nil"/>
              <w:left w:val="nil"/>
              <w:bottom w:val="single" w:sz="4" w:space="0" w:color="auto"/>
              <w:right w:val="single" w:sz="4" w:space="0" w:color="auto"/>
            </w:tcBorders>
            <w:shd w:val="clear" w:color="auto" w:fill="auto"/>
            <w:noWrap/>
            <w:vAlign w:val="bottom"/>
            <w:hideMark/>
          </w:tcPr>
          <w:p w14:paraId="7D1CC2F2" w14:textId="77777777" w:rsidR="00194E4B" w:rsidRPr="00C63E21" w:rsidRDefault="00194E4B" w:rsidP="00A503F0">
            <w:pPr>
              <w:jc w:val="center"/>
              <w:rPr>
                <w:color w:val="000000"/>
                <w:sz w:val="22"/>
                <w:szCs w:val="22"/>
              </w:rPr>
            </w:pPr>
            <w:r w:rsidRPr="00C63E21">
              <w:rPr>
                <w:color w:val="000000"/>
                <w:sz w:val="22"/>
                <w:szCs w:val="22"/>
              </w:rPr>
              <w:t>$0</w:t>
            </w:r>
          </w:p>
        </w:tc>
        <w:tc>
          <w:tcPr>
            <w:tcW w:w="2304" w:type="dxa"/>
            <w:tcBorders>
              <w:top w:val="nil"/>
              <w:left w:val="nil"/>
              <w:bottom w:val="single" w:sz="4" w:space="0" w:color="auto"/>
              <w:right w:val="single" w:sz="4" w:space="0" w:color="auto"/>
            </w:tcBorders>
            <w:shd w:val="clear" w:color="auto" w:fill="auto"/>
            <w:noWrap/>
            <w:vAlign w:val="bottom"/>
            <w:hideMark/>
          </w:tcPr>
          <w:p w14:paraId="536FAD55" w14:textId="77777777" w:rsidR="00194E4B" w:rsidRPr="00C63E21" w:rsidRDefault="00194E4B" w:rsidP="00A503F0">
            <w:pPr>
              <w:jc w:val="center"/>
              <w:rPr>
                <w:color w:val="000000"/>
                <w:sz w:val="22"/>
                <w:szCs w:val="22"/>
              </w:rPr>
            </w:pPr>
            <w:r w:rsidRPr="00C63E21">
              <w:rPr>
                <w:color w:val="000000"/>
                <w:sz w:val="22"/>
                <w:szCs w:val="22"/>
              </w:rPr>
              <w:t>$0</w:t>
            </w:r>
          </w:p>
        </w:tc>
      </w:tr>
      <w:tr w:rsidR="00194E4B" w:rsidRPr="00730239" w14:paraId="66A1B9E3" w14:textId="77777777" w:rsidTr="00A503F0">
        <w:trPr>
          <w:trHeight w:val="305"/>
        </w:trPr>
        <w:tc>
          <w:tcPr>
            <w:tcW w:w="2592" w:type="dxa"/>
            <w:tcBorders>
              <w:top w:val="nil"/>
              <w:left w:val="single" w:sz="4" w:space="0" w:color="auto"/>
              <w:bottom w:val="single" w:sz="4" w:space="0" w:color="auto"/>
              <w:right w:val="single" w:sz="4" w:space="0" w:color="auto"/>
            </w:tcBorders>
            <w:shd w:val="clear" w:color="auto" w:fill="auto"/>
            <w:noWrap/>
            <w:vAlign w:val="center"/>
            <w:hideMark/>
          </w:tcPr>
          <w:p w14:paraId="48B530CA" w14:textId="77777777" w:rsidR="00194E4B" w:rsidRPr="00730239" w:rsidRDefault="00194E4B" w:rsidP="00A503F0">
            <w:pPr>
              <w:rPr>
                <w:b/>
                <w:bCs/>
                <w:color w:val="000000"/>
                <w:sz w:val="22"/>
                <w:szCs w:val="22"/>
              </w:rPr>
            </w:pPr>
            <w:r w:rsidRPr="00730239">
              <w:rPr>
                <w:b/>
                <w:bCs/>
                <w:color w:val="000000"/>
                <w:sz w:val="22"/>
                <w:szCs w:val="22"/>
              </w:rPr>
              <w:t>Sub-alternative 2a</w:t>
            </w:r>
          </w:p>
        </w:tc>
        <w:tc>
          <w:tcPr>
            <w:tcW w:w="2592" w:type="dxa"/>
            <w:tcBorders>
              <w:top w:val="nil"/>
              <w:left w:val="nil"/>
              <w:bottom w:val="single" w:sz="4" w:space="0" w:color="auto"/>
              <w:right w:val="single" w:sz="4" w:space="0" w:color="auto"/>
            </w:tcBorders>
            <w:shd w:val="clear" w:color="auto" w:fill="auto"/>
            <w:noWrap/>
            <w:vAlign w:val="bottom"/>
            <w:hideMark/>
          </w:tcPr>
          <w:p w14:paraId="6A1D9ECE" w14:textId="77777777" w:rsidR="00194E4B" w:rsidRPr="00C63E21" w:rsidRDefault="00194E4B" w:rsidP="00A503F0">
            <w:pPr>
              <w:jc w:val="center"/>
              <w:rPr>
                <w:b/>
                <w:color w:val="000000"/>
                <w:sz w:val="22"/>
                <w:szCs w:val="22"/>
              </w:rPr>
            </w:pPr>
            <w:r w:rsidRPr="00C63E21">
              <w:rPr>
                <w:b/>
                <w:color w:val="000000"/>
                <w:sz w:val="22"/>
                <w:szCs w:val="22"/>
              </w:rPr>
              <w:t>0</w:t>
            </w:r>
          </w:p>
        </w:tc>
        <w:tc>
          <w:tcPr>
            <w:tcW w:w="2448" w:type="dxa"/>
            <w:tcBorders>
              <w:top w:val="nil"/>
              <w:left w:val="nil"/>
              <w:bottom w:val="single" w:sz="4" w:space="0" w:color="auto"/>
              <w:right w:val="single" w:sz="4" w:space="0" w:color="auto"/>
            </w:tcBorders>
            <w:shd w:val="clear" w:color="auto" w:fill="auto"/>
            <w:noWrap/>
            <w:vAlign w:val="bottom"/>
            <w:hideMark/>
          </w:tcPr>
          <w:p w14:paraId="0D62347C" w14:textId="77777777" w:rsidR="00194E4B" w:rsidRPr="00C63E21" w:rsidRDefault="00194E4B" w:rsidP="00A503F0">
            <w:pPr>
              <w:jc w:val="center"/>
              <w:rPr>
                <w:b/>
                <w:color w:val="000000"/>
                <w:sz w:val="22"/>
                <w:szCs w:val="22"/>
              </w:rPr>
            </w:pPr>
            <w:r w:rsidRPr="00C63E21">
              <w:rPr>
                <w:b/>
                <w:color w:val="000000"/>
                <w:sz w:val="22"/>
                <w:szCs w:val="22"/>
              </w:rPr>
              <w:t>$0</w:t>
            </w:r>
          </w:p>
        </w:tc>
        <w:tc>
          <w:tcPr>
            <w:tcW w:w="2304" w:type="dxa"/>
            <w:tcBorders>
              <w:top w:val="nil"/>
              <w:left w:val="nil"/>
              <w:bottom w:val="single" w:sz="4" w:space="0" w:color="auto"/>
              <w:right w:val="single" w:sz="4" w:space="0" w:color="auto"/>
            </w:tcBorders>
            <w:shd w:val="clear" w:color="auto" w:fill="auto"/>
            <w:noWrap/>
            <w:vAlign w:val="bottom"/>
            <w:hideMark/>
          </w:tcPr>
          <w:p w14:paraId="0B841EE4" w14:textId="77777777" w:rsidR="00194E4B" w:rsidRPr="00C63E21" w:rsidRDefault="00194E4B" w:rsidP="00A503F0">
            <w:pPr>
              <w:jc w:val="center"/>
              <w:rPr>
                <w:b/>
                <w:color w:val="000000"/>
                <w:sz w:val="22"/>
                <w:szCs w:val="22"/>
              </w:rPr>
            </w:pPr>
            <w:r w:rsidRPr="00C63E21">
              <w:rPr>
                <w:b/>
                <w:color w:val="000000"/>
                <w:sz w:val="22"/>
                <w:szCs w:val="22"/>
              </w:rPr>
              <w:t>$0</w:t>
            </w:r>
          </w:p>
        </w:tc>
      </w:tr>
      <w:tr w:rsidR="00194E4B" w:rsidRPr="00730239" w14:paraId="18C88518" w14:textId="77777777" w:rsidTr="00A503F0">
        <w:trPr>
          <w:trHeight w:val="320"/>
        </w:trPr>
        <w:tc>
          <w:tcPr>
            <w:tcW w:w="2592" w:type="dxa"/>
            <w:tcBorders>
              <w:top w:val="nil"/>
              <w:left w:val="single" w:sz="4" w:space="0" w:color="auto"/>
              <w:bottom w:val="single" w:sz="4" w:space="0" w:color="auto"/>
              <w:right w:val="single" w:sz="4" w:space="0" w:color="auto"/>
            </w:tcBorders>
            <w:shd w:val="clear" w:color="auto" w:fill="auto"/>
            <w:noWrap/>
            <w:vAlign w:val="center"/>
            <w:hideMark/>
          </w:tcPr>
          <w:p w14:paraId="656527FB" w14:textId="77777777" w:rsidR="00194E4B" w:rsidRPr="00730239" w:rsidRDefault="00194E4B" w:rsidP="00A503F0">
            <w:pPr>
              <w:rPr>
                <w:color w:val="000000"/>
                <w:sz w:val="22"/>
                <w:szCs w:val="22"/>
              </w:rPr>
            </w:pPr>
            <w:r w:rsidRPr="00730239">
              <w:rPr>
                <w:bCs/>
                <w:color w:val="000000"/>
                <w:sz w:val="22"/>
                <w:szCs w:val="22"/>
              </w:rPr>
              <w:t>Sub-alternative 2b</w:t>
            </w:r>
          </w:p>
        </w:tc>
        <w:tc>
          <w:tcPr>
            <w:tcW w:w="2592" w:type="dxa"/>
            <w:tcBorders>
              <w:top w:val="nil"/>
              <w:left w:val="nil"/>
              <w:bottom w:val="single" w:sz="4" w:space="0" w:color="auto"/>
              <w:right w:val="single" w:sz="4" w:space="0" w:color="auto"/>
            </w:tcBorders>
            <w:shd w:val="clear" w:color="auto" w:fill="auto"/>
            <w:noWrap/>
            <w:vAlign w:val="bottom"/>
            <w:hideMark/>
          </w:tcPr>
          <w:p w14:paraId="74BBC550" w14:textId="77777777" w:rsidR="00194E4B" w:rsidRPr="00C63E21" w:rsidRDefault="00194E4B" w:rsidP="00A503F0">
            <w:pPr>
              <w:jc w:val="center"/>
              <w:rPr>
                <w:color w:val="000000"/>
                <w:sz w:val="22"/>
                <w:szCs w:val="22"/>
              </w:rPr>
            </w:pPr>
            <w:r w:rsidRPr="00C63E21">
              <w:rPr>
                <w:color w:val="000000"/>
                <w:sz w:val="22"/>
                <w:szCs w:val="22"/>
              </w:rPr>
              <w:t>1,729</w:t>
            </w:r>
          </w:p>
        </w:tc>
        <w:tc>
          <w:tcPr>
            <w:tcW w:w="2448" w:type="dxa"/>
            <w:tcBorders>
              <w:top w:val="nil"/>
              <w:left w:val="nil"/>
              <w:bottom w:val="single" w:sz="4" w:space="0" w:color="auto"/>
              <w:right w:val="single" w:sz="4" w:space="0" w:color="auto"/>
            </w:tcBorders>
            <w:shd w:val="clear" w:color="auto" w:fill="auto"/>
            <w:noWrap/>
            <w:vAlign w:val="bottom"/>
            <w:hideMark/>
          </w:tcPr>
          <w:p w14:paraId="628D74F0" w14:textId="315DBA82" w:rsidR="00194E4B" w:rsidRPr="00C63E21" w:rsidRDefault="002D10D7" w:rsidP="00A503F0">
            <w:pPr>
              <w:jc w:val="center"/>
              <w:rPr>
                <w:color w:val="000000"/>
                <w:sz w:val="22"/>
                <w:szCs w:val="22"/>
              </w:rPr>
            </w:pPr>
            <w:r>
              <w:rPr>
                <w:color w:val="000000"/>
                <w:sz w:val="22"/>
                <w:szCs w:val="22"/>
              </w:rPr>
              <w:t>$21,405</w:t>
            </w:r>
          </w:p>
        </w:tc>
        <w:tc>
          <w:tcPr>
            <w:tcW w:w="2304" w:type="dxa"/>
            <w:tcBorders>
              <w:top w:val="nil"/>
              <w:left w:val="nil"/>
              <w:bottom w:val="single" w:sz="4" w:space="0" w:color="auto"/>
              <w:right w:val="single" w:sz="4" w:space="0" w:color="auto"/>
            </w:tcBorders>
            <w:shd w:val="clear" w:color="auto" w:fill="auto"/>
            <w:noWrap/>
            <w:vAlign w:val="bottom"/>
            <w:hideMark/>
          </w:tcPr>
          <w:p w14:paraId="67CC0429" w14:textId="7C55745B" w:rsidR="00194E4B" w:rsidRPr="00C63E21" w:rsidRDefault="002D10D7" w:rsidP="00A503F0">
            <w:pPr>
              <w:jc w:val="center"/>
              <w:rPr>
                <w:color w:val="000000"/>
                <w:sz w:val="22"/>
                <w:szCs w:val="22"/>
              </w:rPr>
            </w:pPr>
            <w:r>
              <w:rPr>
                <w:color w:val="000000"/>
                <w:sz w:val="22"/>
                <w:szCs w:val="22"/>
              </w:rPr>
              <w:t>$52,371</w:t>
            </w:r>
          </w:p>
        </w:tc>
      </w:tr>
      <w:tr w:rsidR="00194E4B" w:rsidRPr="00730239" w14:paraId="04D64522" w14:textId="77777777" w:rsidTr="00A503F0">
        <w:trPr>
          <w:trHeight w:val="320"/>
        </w:trPr>
        <w:tc>
          <w:tcPr>
            <w:tcW w:w="2592" w:type="dxa"/>
            <w:tcBorders>
              <w:top w:val="nil"/>
              <w:left w:val="single" w:sz="4" w:space="0" w:color="auto"/>
              <w:bottom w:val="single" w:sz="4" w:space="0" w:color="auto"/>
              <w:right w:val="single" w:sz="4" w:space="0" w:color="auto"/>
            </w:tcBorders>
            <w:shd w:val="clear" w:color="auto" w:fill="auto"/>
            <w:noWrap/>
            <w:vAlign w:val="center"/>
            <w:hideMark/>
          </w:tcPr>
          <w:p w14:paraId="5FA6A848" w14:textId="77777777" w:rsidR="00194E4B" w:rsidRPr="00730239" w:rsidRDefault="00194E4B" w:rsidP="00A503F0">
            <w:pPr>
              <w:rPr>
                <w:color w:val="000000"/>
                <w:sz w:val="22"/>
                <w:szCs w:val="22"/>
              </w:rPr>
            </w:pPr>
            <w:r w:rsidRPr="00730239">
              <w:rPr>
                <w:color w:val="000000"/>
                <w:sz w:val="22"/>
                <w:szCs w:val="22"/>
              </w:rPr>
              <w:t>Sub-alternative 2c</w:t>
            </w:r>
          </w:p>
        </w:tc>
        <w:tc>
          <w:tcPr>
            <w:tcW w:w="2592" w:type="dxa"/>
            <w:tcBorders>
              <w:top w:val="nil"/>
              <w:left w:val="nil"/>
              <w:bottom w:val="single" w:sz="4" w:space="0" w:color="auto"/>
              <w:right w:val="single" w:sz="4" w:space="0" w:color="auto"/>
            </w:tcBorders>
            <w:shd w:val="clear" w:color="auto" w:fill="auto"/>
            <w:noWrap/>
            <w:vAlign w:val="bottom"/>
            <w:hideMark/>
          </w:tcPr>
          <w:p w14:paraId="1792C5B3" w14:textId="77777777" w:rsidR="00194E4B" w:rsidRPr="00C63E21" w:rsidRDefault="00194E4B" w:rsidP="00A503F0">
            <w:pPr>
              <w:jc w:val="center"/>
              <w:rPr>
                <w:color w:val="000000"/>
                <w:sz w:val="22"/>
                <w:szCs w:val="22"/>
              </w:rPr>
            </w:pPr>
            <w:r w:rsidRPr="00C63E21">
              <w:rPr>
                <w:color w:val="000000"/>
                <w:sz w:val="22"/>
                <w:szCs w:val="22"/>
              </w:rPr>
              <w:t>7,536</w:t>
            </w:r>
          </w:p>
        </w:tc>
        <w:tc>
          <w:tcPr>
            <w:tcW w:w="2448" w:type="dxa"/>
            <w:tcBorders>
              <w:top w:val="nil"/>
              <w:left w:val="nil"/>
              <w:bottom w:val="single" w:sz="4" w:space="0" w:color="auto"/>
              <w:right w:val="single" w:sz="4" w:space="0" w:color="auto"/>
            </w:tcBorders>
            <w:shd w:val="clear" w:color="auto" w:fill="auto"/>
            <w:noWrap/>
            <w:vAlign w:val="bottom"/>
            <w:hideMark/>
          </w:tcPr>
          <w:p w14:paraId="74B71AF2" w14:textId="271D04D5" w:rsidR="00194E4B" w:rsidRPr="00C63E21" w:rsidRDefault="002D10D7" w:rsidP="00A503F0">
            <w:pPr>
              <w:jc w:val="center"/>
              <w:rPr>
                <w:color w:val="000000"/>
                <w:sz w:val="22"/>
                <w:szCs w:val="22"/>
              </w:rPr>
            </w:pPr>
            <w:r>
              <w:rPr>
                <w:color w:val="000000"/>
                <w:sz w:val="22"/>
                <w:szCs w:val="22"/>
              </w:rPr>
              <w:t>$93,296</w:t>
            </w:r>
          </w:p>
        </w:tc>
        <w:tc>
          <w:tcPr>
            <w:tcW w:w="2304" w:type="dxa"/>
            <w:tcBorders>
              <w:top w:val="nil"/>
              <w:left w:val="nil"/>
              <w:bottom w:val="single" w:sz="4" w:space="0" w:color="auto"/>
              <w:right w:val="single" w:sz="4" w:space="0" w:color="auto"/>
            </w:tcBorders>
            <w:shd w:val="clear" w:color="auto" w:fill="auto"/>
            <w:noWrap/>
            <w:vAlign w:val="bottom"/>
            <w:hideMark/>
          </w:tcPr>
          <w:p w14:paraId="2F91BB96" w14:textId="5419AD1F" w:rsidR="00194E4B" w:rsidRPr="00C63E21" w:rsidRDefault="002D10D7" w:rsidP="00A503F0">
            <w:pPr>
              <w:jc w:val="center"/>
              <w:rPr>
                <w:color w:val="000000"/>
                <w:sz w:val="22"/>
                <w:szCs w:val="22"/>
              </w:rPr>
            </w:pPr>
            <w:r>
              <w:rPr>
                <w:color w:val="000000"/>
                <w:sz w:val="22"/>
                <w:szCs w:val="22"/>
              </w:rPr>
              <w:t>$228,265</w:t>
            </w:r>
          </w:p>
        </w:tc>
      </w:tr>
    </w:tbl>
    <w:p w14:paraId="2B26E273" w14:textId="77777777" w:rsidR="00194E4B" w:rsidRDefault="00194E4B" w:rsidP="00194E4B">
      <w:pPr>
        <w:ind w:firstLine="360"/>
      </w:pPr>
    </w:p>
    <w:p w14:paraId="7E3ABAEF" w14:textId="77777777" w:rsidR="002D10D7" w:rsidRDefault="002D10D7" w:rsidP="002D10D7">
      <w:pPr>
        <w:ind w:firstLine="360"/>
      </w:pPr>
      <w:r>
        <w:t xml:space="preserve">Since the ACLs specified for 2017 in </w:t>
      </w:r>
      <w:r w:rsidRPr="002B2473">
        <w:rPr>
          <w:b/>
        </w:rPr>
        <w:t>Alternative 1 (No Action)</w:t>
      </w:r>
      <w:r>
        <w:t xml:space="preserve"> and </w:t>
      </w:r>
      <w:r w:rsidRPr="002B2473">
        <w:rPr>
          <w:b/>
        </w:rPr>
        <w:t>Preferred Sub-alternative 2a</w:t>
      </w:r>
      <w:r>
        <w:rPr>
          <w:b/>
        </w:rPr>
        <w:t xml:space="preserve"> </w:t>
      </w:r>
      <w:r>
        <w:t>(</w:t>
      </w:r>
      <w:r w:rsidRPr="00C63E21">
        <w:rPr>
          <w:b/>
        </w:rPr>
        <w:t>Table 4.3.2</w:t>
      </w:r>
      <w:r>
        <w:t>) are higher than the average recreational landings over the 2010-2014 time series (</w:t>
      </w:r>
      <w:r w:rsidRPr="00C63E21">
        <w:rPr>
          <w:b/>
        </w:rPr>
        <w:t>Table 4.3.1</w:t>
      </w:r>
      <w:r>
        <w:t xml:space="preserve">), there are no anticipated economic effects that will be realized by the recreational sector.  </w:t>
      </w:r>
      <w:r>
        <w:rPr>
          <w:b/>
        </w:rPr>
        <w:t xml:space="preserve">Sub-alternative 2c </w:t>
      </w:r>
      <w:r>
        <w:t xml:space="preserve">has the largest anticipated negative economic effect, as it has the lowest recreational ACL and is estimated to decrease CS by $93,296 to $228,265 (2015 dollars) compared to the baseline.  </w:t>
      </w:r>
      <w:r>
        <w:rPr>
          <w:b/>
        </w:rPr>
        <w:t xml:space="preserve">Sub-alternative 2b </w:t>
      </w:r>
      <w:r>
        <w:t xml:space="preserve">has less potential for negative economic effects compared to </w:t>
      </w:r>
      <w:r>
        <w:rPr>
          <w:b/>
        </w:rPr>
        <w:t>Sub-alternative 2c</w:t>
      </w:r>
      <w:r>
        <w:t>, but is still estimated to decrease CS by $21,405 to $52,371 (2015 dollars) (</w:t>
      </w:r>
      <w:r w:rsidRPr="002B2473">
        <w:rPr>
          <w:b/>
        </w:rPr>
        <w:t>Table 4.3.</w:t>
      </w:r>
      <w:r>
        <w:rPr>
          <w:b/>
        </w:rPr>
        <w:t>4</w:t>
      </w:r>
      <w:r>
        <w:t xml:space="preserve">).  For all sub-alternatives of </w:t>
      </w:r>
      <w:r w:rsidRPr="00C63E21">
        <w:rPr>
          <w:b/>
        </w:rPr>
        <w:t>Alternative 2</w:t>
      </w:r>
      <w:r>
        <w:t xml:space="preserve">, the ACL is projected to increase in years following 2017, therefore the loss of CS is expected to be smaller in these years and the economic effects may even be neutral or turn to a net gain in CS, depending on the observed landings of mutton snapper and the sub-alternative that is chosen.    </w:t>
      </w:r>
    </w:p>
    <w:p w14:paraId="1D2D7921" w14:textId="7D542D14" w:rsidR="00194E4B" w:rsidRPr="00D95584" w:rsidRDefault="00194E4B" w:rsidP="00194E4B">
      <w:pPr>
        <w:ind w:firstLine="360"/>
      </w:pPr>
      <w:r>
        <w:t xml:space="preserve">   </w:t>
      </w:r>
    </w:p>
    <w:p w14:paraId="0C10F159" w14:textId="525D05D0" w:rsidR="00FD2542" w:rsidRPr="00F36594" w:rsidRDefault="00FD2542" w:rsidP="00FD2542">
      <w:pPr>
        <w:pStyle w:val="Heading3"/>
        <w:rPr>
          <w:szCs w:val="24"/>
        </w:rPr>
      </w:pPr>
      <w:bookmarkStart w:id="239" w:name="_Toc339811742"/>
      <w:r>
        <w:rPr>
          <w:szCs w:val="24"/>
        </w:rPr>
        <w:t>4.3</w:t>
      </w:r>
      <w:r w:rsidRPr="005B5A20">
        <w:rPr>
          <w:szCs w:val="24"/>
        </w:rPr>
        <w:t>.3</w:t>
      </w:r>
      <w:r w:rsidRPr="005B5A20">
        <w:rPr>
          <w:szCs w:val="24"/>
        </w:rPr>
        <w:tab/>
        <w:t>Social Effects</w:t>
      </w:r>
      <w:bookmarkEnd w:id="239"/>
    </w:p>
    <w:p w14:paraId="53CE56D8" w14:textId="37E6EBC8" w:rsidR="007912CD" w:rsidRDefault="007912CD" w:rsidP="007912CD">
      <w:pPr>
        <w:ind w:firstLine="360"/>
        <w:rPr>
          <w:rFonts w:eastAsia="Calibri"/>
        </w:rPr>
      </w:pPr>
      <w:r>
        <w:rPr>
          <w:rFonts w:eastAsia="Calibri"/>
        </w:rPr>
        <w:t>The ACL for any stock does not directly affect resource users</w:t>
      </w:r>
      <w:r w:rsidRPr="00F7316F">
        <w:rPr>
          <w:rFonts w:eastAsia="Calibri"/>
        </w:rPr>
        <w:t xml:space="preserve"> unless the ACL is met or exceeded, in which case AMs that restrict or close harvest could negatively impact the commercial fleet, for-hire fleet, and private anglers. </w:t>
      </w:r>
      <w:r>
        <w:rPr>
          <w:rFonts w:eastAsia="Calibri"/>
        </w:rPr>
        <w:t xml:space="preserve"> </w:t>
      </w:r>
      <w:r w:rsidRPr="00F7316F">
        <w:rPr>
          <w:rFonts w:eastAsia="Calibri"/>
        </w:rPr>
        <w:t xml:space="preserve">AMs can have significant direct and indirect social effects because, when triggered, can restrict harvest in the current season or subsequent </w:t>
      </w:r>
      <w:r w:rsidRPr="00F7316F">
        <w:rPr>
          <w:rFonts w:eastAsia="Calibri"/>
        </w:rPr>
        <w:lastRenderedPageBreak/>
        <w:t xml:space="preserve">seasons. </w:t>
      </w:r>
      <w:r>
        <w:rPr>
          <w:rFonts w:eastAsia="Calibri"/>
        </w:rPr>
        <w:t xml:space="preserve"> </w:t>
      </w:r>
      <w:r w:rsidRPr="00F7316F">
        <w:rPr>
          <w:rFonts w:eastAsia="Calibri"/>
        </w:rPr>
        <w:t xml:space="preserve">While the negative effects are usually short-term, they may at times induce other indirect effects through changes in fishing behavior or business operations that could have long-term social effects, such as increased pressure on another species, or fishermen having to stop fishing all together due to regulatory closures.  </w:t>
      </w:r>
      <w:r>
        <w:rPr>
          <w:rFonts w:eastAsia="Calibri"/>
        </w:rPr>
        <w:t>However, restrictions on harvest contribute to sustainable management goals, and are expected to be beneficial to fishermen and communities in the long</w:t>
      </w:r>
      <w:r w:rsidR="00A67FA2">
        <w:rPr>
          <w:rFonts w:eastAsia="Calibri"/>
        </w:rPr>
        <w:t>-</w:t>
      </w:r>
      <w:r>
        <w:rPr>
          <w:rFonts w:eastAsia="Calibri"/>
        </w:rPr>
        <w:t xml:space="preserve">term. </w:t>
      </w:r>
    </w:p>
    <w:p w14:paraId="2DE68572" w14:textId="77777777" w:rsidR="007912CD" w:rsidRDefault="007912CD" w:rsidP="007912CD">
      <w:pPr>
        <w:rPr>
          <w:b/>
        </w:rPr>
      </w:pPr>
    </w:p>
    <w:p w14:paraId="7F9A2C3E" w14:textId="30F01E77" w:rsidR="007912CD" w:rsidRPr="00AA1D53" w:rsidRDefault="007912CD" w:rsidP="000042F2">
      <w:pPr>
        <w:ind w:firstLine="360"/>
      </w:pPr>
      <w:r w:rsidRPr="00E3400A">
        <w:rPr>
          <w:b/>
        </w:rPr>
        <w:t>Section 3.3.2</w:t>
      </w:r>
      <w:r w:rsidRPr="00E3400A">
        <w:t xml:space="preserve"> describes communities that could be affected by changes to mutton snapper management, particularly in the Florida Keys. </w:t>
      </w:r>
      <w:r w:rsidR="000042F2">
        <w:t xml:space="preserve"> </w:t>
      </w:r>
      <w:r w:rsidRPr="00E3400A">
        <w:t xml:space="preserve">Mutton snapper is an important species for the recreational sector in south Florida. </w:t>
      </w:r>
      <w:r w:rsidR="000042F2">
        <w:t xml:space="preserve"> </w:t>
      </w:r>
      <w:r w:rsidRPr="00E3400A">
        <w:t xml:space="preserve">Changes </w:t>
      </w:r>
      <w:r w:rsidR="00A67FA2">
        <w:t>in</w:t>
      </w:r>
      <w:r w:rsidR="00A67FA2" w:rsidRPr="00E3400A">
        <w:t xml:space="preserve"> </w:t>
      </w:r>
      <w:r w:rsidRPr="00E3400A">
        <w:t>access to mutton snapper could also affect fish houses and restaurants that depend on a steady supply of the fish.</w:t>
      </w:r>
    </w:p>
    <w:p w14:paraId="58A051D0" w14:textId="77777777" w:rsidR="007912CD" w:rsidRDefault="007912CD" w:rsidP="007912CD">
      <w:pPr>
        <w:rPr>
          <w:rFonts w:eastAsia="Calibri"/>
        </w:rPr>
      </w:pPr>
    </w:p>
    <w:p w14:paraId="5A779536" w14:textId="4DF4DC64" w:rsidR="00FD2542" w:rsidRDefault="005A66F0" w:rsidP="00FD2542">
      <w:pPr>
        <w:ind w:firstLine="360"/>
      </w:pPr>
      <w:r>
        <w:rPr>
          <w:rFonts w:eastAsia="Calibri"/>
        </w:rPr>
        <w:t xml:space="preserve">Under </w:t>
      </w:r>
      <w:r w:rsidRPr="00AA1D53">
        <w:rPr>
          <w:rFonts w:eastAsia="Calibri"/>
          <w:b/>
        </w:rPr>
        <w:t xml:space="preserve">Preferred </w:t>
      </w:r>
      <w:r>
        <w:rPr>
          <w:rFonts w:eastAsia="Calibri"/>
          <w:b/>
        </w:rPr>
        <w:t>Alternative 2</w:t>
      </w:r>
      <w:r>
        <w:rPr>
          <w:rFonts w:eastAsia="Calibri"/>
        </w:rPr>
        <w:t>, the ACL for mutton snapper would be based on the most recent stock assessm</w:t>
      </w:r>
      <w:r w:rsidR="0065666D">
        <w:rPr>
          <w:rFonts w:eastAsia="Calibri"/>
        </w:rPr>
        <w:t xml:space="preserve">ent.  </w:t>
      </w:r>
      <w:r>
        <w:rPr>
          <w:rFonts w:eastAsia="Calibri"/>
        </w:rPr>
        <w:t xml:space="preserve">Additionally, the proposed ACLs are higher than recent recreational and commercial landings, and would not be expected to have negative effects on fishermen by restricting access if an AM was triggered. </w:t>
      </w:r>
      <w:r w:rsidR="0065666D">
        <w:rPr>
          <w:rFonts w:eastAsia="Calibri"/>
        </w:rPr>
        <w:t xml:space="preserve"> </w:t>
      </w:r>
      <w:r>
        <w:rPr>
          <w:rFonts w:eastAsia="Calibri"/>
        </w:rPr>
        <w:t xml:space="preserve">However, growth in the mutton snapper fishery in the future is possible and could be due to switching target species if other fisheries close or other factors that increase effort. </w:t>
      </w:r>
      <w:r w:rsidR="0065666D">
        <w:rPr>
          <w:rFonts w:eastAsia="Calibri"/>
        </w:rPr>
        <w:t xml:space="preserve"> </w:t>
      </w:r>
      <w:r>
        <w:rPr>
          <w:rFonts w:eastAsia="Calibri"/>
        </w:rPr>
        <w:t xml:space="preserve">If there is a growth in effort and catch for mutton snapper, this could result in early closures, paybacks, or other management measures that could restrict access to the mutton snapper resource.  </w:t>
      </w:r>
      <w:r>
        <w:rPr>
          <w:rFonts w:eastAsia="Calibri"/>
          <w:b/>
        </w:rPr>
        <w:t>Sub-alternative 2c</w:t>
      </w:r>
      <w:r>
        <w:rPr>
          <w:rFonts w:eastAsia="Calibri"/>
        </w:rPr>
        <w:t xml:space="preserve"> could result in the lowest ACLs, followed by </w:t>
      </w:r>
      <w:r>
        <w:rPr>
          <w:rFonts w:eastAsia="Calibri"/>
          <w:b/>
        </w:rPr>
        <w:t>Sub-alternative 2b</w:t>
      </w:r>
      <w:r w:rsidRPr="00455F05">
        <w:rPr>
          <w:rFonts w:eastAsia="Calibri"/>
        </w:rPr>
        <w:t xml:space="preserve"> and</w:t>
      </w:r>
      <w:r>
        <w:rPr>
          <w:rFonts w:eastAsia="Calibri"/>
          <w:b/>
        </w:rPr>
        <w:t xml:space="preserve"> Preferred Sub-alternative 2a</w:t>
      </w:r>
      <w:r>
        <w:rPr>
          <w:rFonts w:eastAsia="Calibri"/>
        </w:rPr>
        <w:t xml:space="preserve">. </w:t>
      </w:r>
      <w:r w:rsidR="0065666D">
        <w:rPr>
          <w:rFonts w:eastAsia="Calibri"/>
        </w:rPr>
        <w:t xml:space="preserve"> </w:t>
      </w:r>
      <w:r>
        <w:rPr>
          <w:rFonts w:eastAsia="Calibri"/>
        </w:rPr>
        <w:t xml:space="preserve">However, under current conditions, the effects on fishermen of </w:t>
      </w:r>
      <w:r w:rsidR="0065666D">
        <w:rPr>
          <w:rFonts w:eastAsia="Calibri"/>
        </w:rPr>
        <w:t>all sub-alternatives are</w:t>
      </w:r>
      <w:r>
        <w:rPr>
          <w:rFonts w:eastAsia="Calibri"/>
        </w:rPr>
        <w:t xml:space="preserve"> expected to be the same.</w:t>
      </w:r>
      <w:r w:rsidR="00FD2542">
        <w:t xml:space="preserve">  </w:t>
      </w:r>
    </w:p>
    <w:p w14:paraId="14E0EB6D" w14:textId="77777777" w:rsidR="005A66F0" w:rsidRDefault="005A66F0" w:rsidP="00FD2542">
      <w:pPr>
        <w:ind w:firstLine="360"/>
      </w:pPr>
    </w:p>
    <w:p w14:paraId="64D6879C" w14:textId="35673FE1" w:rsidR="005A66F0" w:rsidRDefault="005A66F0" w:rsidP="00FD2542">
      <w:pPr>
        <w:ind w:firstLine="360"/>
        <w:rPr>
          <w:rFonts w:eastAsia="Calibri"/>
        </w:rPr>
      </w:pPr>
      <w:r>
        <w:rPr>
          <w:rFonts w:eastAsia="Calibri"/>
          <w:b/>
        </w:rPr>
        <w:t>Alternative 1 (No Action)</w:t>
      </w:r>
      <w:r>
        <w:rPr>
          <w:rFonts w:eastAsia="Calibri"/>
        </w:rPr>
        <w:t xml:space="preserve">, although it is not based on the most recent stock assessment, would allow the most access to the mutton snapper because of the larger ACL, and be the most beneficial to commercial and recreational fishermen who target mutton snapper if there is growth in the fishery in the future. </w:t>
      </w:r>
      <w:r w:rsidR="0065666D">
        <w:rPr>
          <w:rFonts w:eastAsia="Calibri"/>
        </w:rPr>
        <w:t xml:space="preserve"> </w:t>
      </w:r>
      <w:r>
        <w:rPr>
          <w:rFonts w:eastAsia="Calibri"/>
        </w:rPr>
        <w:t xml:space="preserve">However, under current conditions, the ACL under </w:t>
      </w:r>
      <w:r>
        <w:rPr>
          <w:rFonts w:eastAsia="Calibri"/>
          <w:b/>
        </w:rPr>
        <w:t xml:space="preserve">Alternative 1 (No Action) </w:t>
      </w:r>
      <w:r>
        <w:rPr>
          <w:rFonts w:eastAsia="Calibri"/>
        </w:rPr>
        <w:t xml:space="preserve">would have the same effects on fishermen as </w:t>
      </w:r>
      <w:r>
        <w:rPr>
          <w:rFonts w:eastAsia="Calibri"/>
          <w:b/>
        </w:rPr>
        <w:t>Preferred Alternative 2</w:t>
      </w:r>
      <w:r>
        <w:rPr>
          <w:rFonts w:eastAsia="Calibri"/>
        </w:rPr>
        <w:t xml:space="preserve">. Additionally, if the ACL is not updated based on the most recent information from the stock assessment and this results in negative biological effects on the stock under </w:t>
      </w:r>
      <w:r>
        <w:rPr>
          <w:rFonts w:eastAsia="Calibri"/>
          <w:b/>
        </w:rPr>
        <w:t>Alternative 1 (No Action)</w:t>
      </w:r>
      <w:r>
        <w:rPr>
          <w:rFonts w:eastAsia="Calibri"/>
        </w:rPr>
        <w:t>, this could affect fishermen and associated communities and businesses in the future.</w:t>
      </w:r>
    </w:p>
    <w:p w14:paraId="550A79D2" w14:textId="77777777" w:rsidR="0065666D" w:rsidRDefault="0065666D" w:rsidP="00FD2542">
      <w:pPr>
        <w:ind w:firstLine="360"/>
      </w:pPr>
    </w:p>
    <w:p w14:paraId="38A42839" w14:textId="1C96976D" w:rsidR="00FD2542" w:rsidRPr="00821F02" w:rsidRDefault="00FD2542" w:rsidP="00FD2542">
      <w:pPr>
        <w:pStyle w:val="Heading3"/>
        <w:rPr>
          <w:szCs w:val="24"/>
        </w:rPr>
      </w:pPr>
      <w:bookmarkStart w:id="240" w:name="_Toc339811743"/>
      <w:r>
        <w:rPr>
          <w:szCs w:val="24"/>
        </w:rPr>
        <w:t>4.3</w:t>
      </w:r>
      <w:r w:rsidRPr="005B5A20">
        <w:rPr>
          <w:szCs w:val="24"/>
        </w:rPr>
        <w:t>.4</w:t>
      </w:r>
      <w:r w:rsidRPr="005B5A20">
        <w:rPr>
          <w:szCs w:val="24"/>
        </w:rPr>
        <w:tab/>
        <w:t>Administrative Effects</w:t>
      </w:r>
      <w:bookmarkEnd w:id="240"/>
      <w:r w:rsidRPr="005B5A20">
        <w:rPr>
          <w:szCs w:val="24"/>
        </w:rPr>
        <w:t xml:space="preserve"> </w:t>
      </w:r>
    </w:p>
    <w:p w14:paraId="73B4EFDC" w14:textId="0AE759D5" w:rsidR="00FD2542" w:rsidRDefault="00787753" w:rsidP="00787753">
      <w:pPr>
        <w:autoSpaceDE w:val="0"/>
        <w:autoSpaceDN w:val="0"/>
        <w:adjustRightInd w:val="0"/>
        <w:ind w:firstLine="360"/>
      </w:pPr>
      <w:r>
        <w:t xml:space="preserve">Modifying the ACLs and OY for mutton snapper would not have direct impacts on the administrative environment. </w:t>
      </w:r>
      <w:r w:rsidR="00C275AA">
        <w:t xml:space="preserve"> </w:t>
      </w:r>
      <w:r>
        <w:t>Annual catch limits are already in place for mutton snapper and therefore, n</w:t>
      </w:r>
      <w:r w:rsidRPr="003F0DE9">
        <w:t xml:space="preserve">egative administrative impacts of this action are likely to be minimal. </w:t>
      </w:r>
      <w:r w:rsidR="003F0DE9" w:rsidRPr="003F0DE9">
        <w:t xml:space="preserve"> </w:t>
      </w:r>
      <w:r w:rsidR="003F0DE9" w:rsidRPr="003F0DE9">
        <w:rPr>
          <w:b/>
        </w:rPr>
        <w:t>Alternative 1 (No Action)</w:t>
      </w:r>
      <w:r w:rsidR="003F0DE9" w:rsidRPr="003F0DE9">
        <w:t xml:space="preserve">, </w:t>
      </w:r>
      <w:r w:rsidR="003F0DE9" w:rsidRPr="003F0DE9">
        <w:rPr>
          <w:b/>
        </w:rPr>
        <w:t>Sub-alternatives 2a (Preferred)</w:t>
      </w:r>
      <w:r w:rsidR="003F0DE9" w:rsidRPr="003F0DE9">
        <w:t xml:space="preserve">, </w:t>
      </w:r>
      <w:r w:rsidR="003F0DE9" w:rsidRPr="003F0DE9">
        <w:rPr>
          <w:b/>
        </w:rPr>
        <w:t>2b</w:t>
      </w:r>
      <w:r w:rsidR="003F0DE9" w:rsidRPr="003F0DE9">
        <w:t xml:space="preserve">, and </w:t>
      </w:r>
      <w:r w:rsidR="003F0DE9" w:rsidRPr="003F0DE9">
        <w:rPr>
          <w:b/>
        </w:rPr>
        <w:t>2c</w:t>
      </w:r>
      <w:r w:rsidR="003F0DE9" w:rsidRPr="003F0DE9">
        <w:t xml:space="preserve"> would not result in significant administrative cost or time burdens other than notifying fishery participants of the change in the sector ACLs and continued monitoring of the sector ACLs.  The burden on law enforcement would not change under either alternative since commercial quota closures and bag limits implemented are currently enforced.</w:t>
      </w:r>
    </w:p>
    <w:p w14:paraId="101ED6BF" w14:textId="77777777" w:rsidR="00FD2542" w:rsidRDefault="00FD2542" w:rsidP="00D71AB1"/>
    <w:p w14:paraId="29D1EDAD" w14:textId="77777777" w:rsidR="00FD2542" w:rsidRDefault="00FD2542" w:rsidP="00D71AB1"/>
    <w:p w14:paraId="59734DEB" w14:textId="185F5235" w:rsidR="00FD2542" w:rsidRDefault="0028446D" w:rsidP="00FD2542">
      <w:pPr>
        <w:pStyle w:val="Heading2"/>
      </w:pPr>
      <w:bookmarkStart w:id="241" w:name="_Toc339811744"/>
      <w:r>
        <w:rPr>
          <w:rStyle w:val="StyleHeading3CharTimesNewRoman12pt"/>
          <w:rFonts w:ascii="Arial" w:hAnsi="Arial"/>
          <w:b/>
          <w:sz w:val="28"/>
          <w:szCs w:val="28"/>
        </w:rPr>
        <w:lastRenderedPageBreak/>
        <w:t>4.4</w:t>
      </w:r>
      <w:r>
        <w:rPr>
          <w:rStyle w:val="StyleHeading3CharTimesNewRoman12pt"/>
          <w:rFonts w:ascii="Arial" w:hAnsi="Arial"/>
          <w:b/>
          <w:sz w:val="28"/>
          <w:szCs w:val="28"/>
        </w:rPr>
        <w:tab/>
      </w:r>
      <w:r w:rsidR="00FD2542" w:rsidRPr="00CD09B7">
        <w:rPr>
          <w:rStyle w:val="StyleHeading3CharTimesNewRoman12pt"/>
          <w:rFonts w:ascii="Arial" w:hAnsi="Arial"/>
          <w:b/>
          <w:sz w:val="28"/>
          <w:szCs w:val="28"/>
        </w:rPr>
        <w:t xml:space="preserve">Action 4.  </w:t>
      </w:r>
      <w:r>
        <w:rPr>
          <w:rStyle w:val="StyleHeading3CharTimesNewRoman12pt"/>
          <w:rFonts w:ascii="Arial" w:hAnsi="Arial"/>
          <w:b/>
          <w:sz w:val="28"/>
          <w:szCs w:val="28"/>
        </w:rPr>
        <w:t xml:space="preserve">Revise </w:t>
      </w:r>
      <w:r w:rsidRPr="008565BE">
        <w:rPr>
          <w:rStyle w:val="StyleHeading3CharTimesNewRoman12pt"/>
          <w:rFonts w:ascii="Arial" w:hAnsi="Arial"/>
          <w:b/>
          <w:sz w:val="28"/>
          <w:szCs w:val="28"/>
        </w:rPr>
        <w:t>recreational annual catch target (ACT) for mutton</w:t>
      </w:r>
      <w:r w:rsidR="00774344" w:rsidRPr="008565BE">
        <w:rPr>
          <w:rStyle w:val="StyleHeading3CharTimesNewRoman12pt"/>
          <w:rFonts w:ascii="Arial" w:hAnsi="Arial"/>
          <w:b/>
          <w:sz w:val="28"/>
          <w:szCs w:val="28"/>
        </w:rPr>
        <w:t xml:space="preserve"> snapper in the South Atlantic R</w:t>
      </w:r>
      <w:r w:rsidRPr="008565BE">
        <w:rPr>
          <w:rStyle w:val="StyleHeading3CharTimesNewRoman12pt"/>
          <w:rFonts w:ascii="Arial" w:hAnsi="Arial"/>
          <w:b/>
          <w:sz w:val="28"/>
          <w:szCs w:val="28"/>
        </w:rPr>
        <w:t>egion</w:t>
      </w:r>
      <w:bookmarkEnd w:id="241"/>
    </w:p>
    <w:p w14:paraId="43EF80C5" w14:textId="2806A234" w:rsidR="00FD2542" w:rsidRDefault="00FD2542" w:rsidP="00D71AB1"/>
    <w:p w14:paraId="16B466E1" w14:textId="21897B83" w:rsidR="00FD2542" w:rsidRDefault="00613048" w:rsidP="00FD2542">
      <w:pPr>
        <w:pStyle w:val="Heading3"/>
      </w:pPr>
      <w:bookmarkStart w:id="242" w:name="_Toc339811745"/>
      <w:r w:rsidRPr="000E374B">
        <w:rPr>
          <w:noProof/>
          <w:color w:val="365F91" w:themeColor="accent1" w:themeShade="BF"/>
        </w:rPr>
        <mc:AlternateContent>
          <mc:Choice Requires="wps">
            <w:drawing>
              <wp:anchor distT="0" distB="0" distL="114300" distR="114300" simplePos="0" relativeHeight="251675136" behindDoc="0" locked="0" layoutInCell="1" allowOverlap="1" wp14:anchorId="7696BFC5" wp14:editId="3254032B">
                <wp:simplePos x="0" y="0"/>
                <wp:positionH relativeFrom="margin">
                  <wp:posOffset>2930525</wp:posOffset>
                </wp:positionH>
                <wp:positionV relativeFrom="margin">
                  <wp:posOffset>824230</wp:posOffset>
                </wp:positionV>
                <wp:extent cx="2998470" cy="3775075"/>
                <wp:effectExtent l="25400" t="101600" r="125730" b="603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3775075"/>
                        </a:xfrm>
                        <a:prstGeom prst="rect">
                          <a:avLst/>
                        </a:prstGeom>
                        <a:solidFill>
                          <a:srgbClr val="FFFFFF"/>
                        </a:solidFill>
                        <a:ln w="9525">
                          <a:solidFill>
                            <a:schemeClr val="tx2">
                              <a:lumMod val="60000"/>
                              <a:lumOff val="40000"/>
                            </a:schemeClr>
                          </a:solidFill>
                          <a:miter lim="800000"/>
                          <a:headEnd/>
                          <a:tailEnd/>
                        </a:ln>
                        <a:effectLst>
                          <a:outerShdw blurRad="50800" dist="38100" dir="18900000" algn="bl" rotWithShape="0">
                            <a:prstClr val="black">
                              <a:alpha val="40000"/>
                            </a:prstClr>
                          </a:outerShdw>
                        </a:effectLst>
                      </wps:spPr>
                      <wps:txbx>
                        <w:txbxContent>
                          <w:p w14:paraId="2D75EA80" w14:textId="26D0DA1A" w:rsidR="009108B8" w:rsidRPr="002B189D" w:rsidRDefault="009108B8" w:rsidP="00FD2542">
                            <w:pPr>
                              <w:jc w:val="center"/>
                              <w:rPr>
                                <w:rFonts w:ascii="Arial" w:hAnsi="Arial" w:cs="Arial"/>
                                <w:b/>
                                <w:i/>
                                <w:iCs/>
                                <w:color w:val="365F91" w:themeColor="accent1" w:themeShade="BF"/>
                              </w:rPr>
                            </w:pPr>
                            <w:r w:rsidRPr="002B189D">
                              <w:rPr>
                                <w:rFonts w:ascii="Arial" w:hAnsi="Arial" w:cs="Arial"/>
                                <w:b/>
                                <w:i/>
                                <w:iCs/>
                                <w:color w:val="365F91" w:themeColor="accent1" w:themeShade="BF"/>
                              </w:rPr>
                              <w:t>Alternatives</w:t>
                            </w:r>
                            <w:r>
                              <w:rPr>
                                <w:rFonts w:ascii="Arial" w:hAnsi="Arial" w:cs="Arial"/>
                                <w:b/>
                                <w:i/>
                                <w:iCs/>
                                <w:color w:val="365F91" w:themeColor="accent1" w:themeShade="BF"/>
                              </w:rPr>
                              <w:t>*</w:t>
                            </w:r>
                          </w:p>
                          <w:p w14:paraId="1FB20087" w14:textId="77777777" w:rsidR="009108B8" w:rsidRPr="00873B9E" w:rsidRDefault="009108B8" w:rsidP="00FD2542">
                            <w:pPr>
                              <w:jc w:val="center"/>
                              <w:rPr>
                                <w:rFonts w:ascii="Arial" w:hAnsi="Arial" w:cs="Arial"/>
                                <w:b/>
                                <w:i/>
                                <w:iCs/>
                                <w:color w:val="365F91" w:themeColor="accent1" w:themeShade="BF"/>
                                <w:sz w:val="20"/>
                                <w:szCs w:val="20"/>
                              </w:rPr>
                            </w:pPr>
                          </w:p>
                          <w:p w14:paraId="0ACAEE39" w14:textId="2A595A19" w:rsidR="009108B8" w:rsidRPr="00873B9E" w:rsidRDefault="009108B8" w:rsidP="00FD2542">
                            <w:pPr>
                              <w:pStyle w:val="Normal1"/>
                              <w:spacing w:line="240" w:lineRule="auto"/>
                              <w:contextualSpacing/>
                              <w:rPr>
                                <w:color w:val="1F497D" w:themeColor="text2"/>
                                <w:sz w:val="20"/>
                                <w:szCs w:val="20"/>
                              </w:rPr>
                            </w:pPr>
                            <w:r w:rsidRPr="00873B9E">
                              <w:rPr>
                                <w:color w:val="1F497D" w:themeColor="text2"/>
                                <w:sz w:val="20"/>
                                <w:szCs w:val="20"/>
                              </w:rPr>
                              <w:t xml:space="preserve">1 (No Action). </w:t>
                            </w:r>
                            <w:r>
                              <w:rPr>
                                <w:color w:val="1F497D" w:themeColor="text2"/>
                                <w:sz w:val="20"/>
                                <w:szCs w:val="20"/>
                              </w:rPr>
                              <w:t xml:space="preserve"> </w:t>
                            </w:r>
                            <w:r w:rsidRPr="00873B9E">
                              <w:rPr>
                                <w:color w:val="1F497D" w:themeColor="text2"/>
                                <w:sz w:val="20"/>
                                <w:szCs w:val="20"/>
                              </w:rPr>
                              <w:t xml:space="preserve">The current ACT is 668,906 lbs ww and applies to mutton snapper throughout the South Atlantic Council’s jurisdiction. </w:t>
                            </w:r>
                            <w:r>
                              <w:rPr>
                                <w:color w:val="1F497D" w:themeColor="text2"/>
                                <w:sz w:val="20"/>
                                <w:szCs w:val="20"/>
                              </w:rPr>
                              <w:t xml:space="preserve"> </w:t>
                            </w:r>
                            <w:r w:rsidRPr="00873B9E">
                              <w:rPr>
                                <w:color w:val="1F497D" w:themeColor="text2"/>
                                <w:sz w:val="20"/>
                                <w:szCs w:val="20"/>
                              </w:rPr>
                              <w:t>The ACT = recreational ACL*(1-PSE) or ACL*0.5, whichever is greater, and where Percent Standard Error (PSE) = 13% = average PSE 2005-2009 (for South Atlantic only).</w:t>
                            </w:r>
                          </w:p>
                          <w:p w14:paraId="2621B682" w14:textId="77777777" w:rsidR="009108B8" w:rsidRPr="00873B9E" w:rsidRDefault="009108B8" w:rsidP="00FD2542">
                            <w:pPr>
                              <w:contextualSpacing/>
                              <w:rPr>
                                <w:rFonts w:ascii="Arial" w:eastAsia="Courier New" w:hAnsi="Arial" w:cs="Arial"/>
                                <w:color w:val="1F497D" w:themeColor="text2"/>
                                <w:sz w:val="20"/>
                                <w:szCs w:val="20"/>
                              </w:rPr>
                            </w:pPr>
                          </w:p>
                          <w:p w14:paraId="5CE98B63" w14:textId="75B152F0" w:rsidR="009108B8" w:rsidRPr="00873B9E" w:rsidRDefault="009108B8" w:rsidP="00FD2542">
                            <w:pPr>
                              <w:contextualSpacing/>
                              <w:rPr>
                                <w:rFonts w:ascii="Arial" w:eastAsia="Courier New" w:hAnsi="Arial" w:cs="Arial"/>
                                <w:b/>
                                <w:color w:val="1F497D" w:themeColor="text2"/>
                                <w:sz w:val="20"/>
                                <w:szCs w:val="20"/>
                              </w:rPr>
                            </w:pPr>
                            <w:r w:rsidRPr="00873B9E">
                              <w:rPr>
                                <w:rFonts w:ascii="Arial" w:hAnsi="Arial" w:cs="Arial"/>
                                <w:b/>
                                <w:color w:val="1F497D" w:themeColor="text2"/>
                                <w:sz w:val="20"/>
                                <w:szCs w:val="20"/>
                              </w:rPr>
                              <w:t xml:space="preserve">2. Revise the </w:t>
                            </w:r>
                            <w:r>
                              <w:rPr>
                                <w:rFonts w:ascii="Arial" w:hAnsi="Arial" w:cs="Arial"/>
                                <w:b/>
                                <w:color w:val="1F497D" w:themeColor="text2"/>
                                <w:sz w:val="20"/>
                                <w:szCs w:val="20"/>
                              </w:rPr>
                              <w:t>ACT</w:t>
                            </w:r>
                            <w:r w:rsidRPr="00873B9E">
                              <w:rPr>
                                <w:rFonts w:ascii="Arial" w:hAnsi="Arial" w:cs="Arial"/>
                                <w:b/>
                                <w:color w:val="1F497D" w:themeColor="text2"/>
                                <w:sz w:val="20"/>
                                <w:szCs w:val="20"/>
                              </w:rPr>
                              <w:t xml:space="preserve"> for mutton snapper for the recreational sector and specify in numbers of fish. </w:t>
                            </w:r>
                            <w:r>
                              <w:rPr>
                                <w:rFonts w:ascii="Arial" w:hAnsi="Arial" w:cs="Arial"/>
                                <w:b/>
                                <w:color w:val="1F497D" w:themeColor="text2"/>
                                <w:sz w:val="20"/>
                                <w:szCs w:val="20"/>
                              </w:rPr>
                              <w:t xml:space="preserve"> </w:t>
                            </w:r>
                            <w:r w:rsidRPr="00873B9E">
                              <w:rPr>
                                <w:rFonts w:ascii="Arial" w:hAnsi="Arial" w:cs="Arial"/>
                                <w:b/>
                                <w:color w:val="1F497D" w:themeColor="text2"/>
                                <w:sz w:val="20"/>
                                <w:szCs w:val="20"/>
                              </w:rPr>
                              <w:t>The ACT for 2020 would remain in place until modified.</w:t>
                            </w:r>
                          </w:p>
                          <w:p w14:paraId="10B0B7FE" w14:textId="77777777" w:rsidR="009108B8" w:rsidRPr="00873B9E" w:rsidRDefault="009108B8" w:rsidP="006B7D45">
                            <w:pPr>
                              <w:ind w:left="540"/>
                              <w:contextualSpacing/>
                              <w:rPr>
                                <w:rFonts w:ascii="Arial" w:eastAsia="Courier New" w:hAnsi="Arial" w:cs="Arial"/>
                                <w:color w:val="1F497D" w:themeColor="text2"/>
                                <w:sz w:val="20"/>
                                <w:szCs w:val="20"/>
                              </w:rPr>
                            </w:pPr>
                            <w:r w:rsidRPr="00873B9E">
                              <w:rPr>
                                <w:rFonts w:ascii="Arial" w:eastAsia="Courier New" w:hAnsi="Arial" w:cs="Arial"/>
                                <w:color w:val="1F497D" w:themeColor="text2"/>
                                <w:sz w:val="20"/>
                                <w:szCs w:val="20"/>
                              </w:rPr>
                              <w:t>Sub-alternative 2a.  ACT = recreational ACL*(1-PSE) or ACL*0.5, whichever is greater.</w:t>
                            </w:r>
                          </w:p>
                          <w:p w14:paraId="668F5048" w14:textId="42E2D99C" w:rsidR="009108B8" w:rsidRPr="00873B9E" w:rsidRDefault="009108B8" w:rsidP="006B7D45">
                            <w:pPr>
                              <w:ind w:left="540"/>
                              <w:contextualSpacing/>
                              <w:rPr>
                                <w:rFonts w:ascii="Arial" w:eastAsia="Courier New" w:hAnsi="Arial" w:cs="Arial"/>
                                <w:b/>
                                <w:color w:val="1F497D" w:themeColor="text2"/>
                                <w:sz w:val="20"/>
                                <w:szCs w:val="20"/>
                              </w:rPr>
                            </w:pPr>
                            <w:r w:rsidRPr="00873B9E">
                              <w:rPr>
                                <w:rFonts w:ascii="Arial" w:eastAsia="Courier New" w:hAnsi="Arial" w:cs="Arial"/>
                                <w:b/>
                                <w:color w:val="1F497D" w:themeColor="text2"/>
                                <w:sz w:val="20"/>
                                <w:szCs w:val="20"/>
                              </w:rPr>
                              <w:t>Sub-alternative 2b.</w:t>
                            </w:r>
                            <w:r>
                              <w:rPr>
                                <w:rFonts w:ascii="Arial" w:eastAsia="Courier New" w:hAnsi="Arial" w:cs="Arial"/>
                                <w:b/>
                                <w:color w:val="1F497D" w:themeColor="text2"/>
                                <w:sz w:val="20"/>
                                <w:szCs w:val="20"/>
                              </w:rPr>
                              <w:t xml:space="preserve"> </w:t>
                            </w:r>
                            <w:r w:rsidRPr="00873B9E">
                              <w:rPr>
                                <w:rFonts w:ascii="Arial" w:eastAsia="Courier New" w:hAnsi="Arial" w:cs="Arial"/>
                                <w:b/>
                                <w:color w:val="1F497D" w:themeColor="text2"/>
                                <w:sz w:val="20"/>
                                <w:szCs w:val="20"/>
                              </w:rPr>
                              <w:t xml:space="preserve"> ACT =85% recreational ACL.</w:t>
                            </w:r>
                          </w:p>
                          <w:p w14:paraId="2307BF29" w14:textId="13C31103" w:rsidR="009108B8" w:rsidRPr="00873B9E" w:rsidRDefault="009108B8" w:rsidP="006B7D45">
                            <w:pPr>
                              <w:ind w:left="540"/>
                              <w:contextualSpacing/>
                              <w:rPr>
                                <w:rFonts w:ascii="Arial" w:eastAsia="Courier New" w:hAnsi="Arial" w:cs="Arial"/>
                                <w:color w:val="1F497D" w:themeColor="text2"/>
                                <w:sz w:val="20"/>
                                <w:szCs w:val="20"/>
                              </w:rPr>
                            </w:pPr>
                            <w:r w:rsidRPr="00873B9E">
                              <w:rPr>
                                <w:rFonts w:ascii="Arial" w:eastAsia="Courier New" w:hAnsi="Arial" w:cs="Arial"/>
                                <w:color w:val="1F497D" w:themeColor="text2"/>
                                <w:sz w:val="20"/>
                                <w:szCs w:val="20"/>
                              </w:rPr>
                              <w:t xml:space="preserve">Sub-alternative 2c. </w:t>
                            </w:r>
                            <w:r>
                              <w:rPr>
                                <w:rFonts w:ascii="Arial" w:eastAsia="Courier New" w:hAnsi="Arial" w:cs="Arial"/>
                                <w:color w:val="1F497D" w:themeColor="text2"/>
                                <w:sz w:val="20"/>
                                <w:szCs w:val="20"/>
                              </w:rPr>
                              <w:t xml:space="preserve"> </w:t>
                            </w:r>
                            <w:r w:rsidRPr="00873B9E">
                              <w:rPr>
                                <w:rFonts w:ascii="Arial" w:eastAsia="Courier New" w:hAnsi="Arial" w:cs="Arial"/>
                                <w:color w:val="1F497D" w:themeColor="text2"/>
                                <w:sz w:val="20"/>
                                <w:szCs w:val="20"/>
                              </w:rPr>
                              <w:t>ACT = 75% recreational ACL.</w:t>
                            </w:r>
                          </w:p>
                          <w:p w14:paraId="24316683" w14:textId="77777777" w:rsidR="009108B8" w:rsidRPr="000E374B" w:rsidRDefault="009108B8" w:rsidP="006B7D45">
                            <w:pPr>
                              <w:ind w:left="540"/>
                              <w:contextualSpacing/>
                              <w:rPr>
                                <w:rFonts w:ascii="Arial" w:eastAsia="Courier New" w:hAnsi="Arial" w:cs="Arial"/>
                                <w:b/>
                                <w:color w:val="1F497D" w:themeColor="text2"/>
                                <w:sz w:val="22"/>
                                <w:szCs w:val="22"/>
                              </w:rPr>
                            </w:pPr>
                          </w:p>
                          <w:p w14:paraId="4D6C9847" w14:textId="77777777" w:rsidR="009108B8" w:rsidRPr="00E03046" w:rsidRDefault="009108B8" w:rsidP="002B189D">
                            <w:pPr>
                              <w:rPr>
                                <w:rFonts w:ascii="Arial" w:hAnsi="Arial" w:cs="Arial"/>
                                <w:color w:val="1F497D" w:themeColor="text2"/>
                                <w:sz w:val="20"/>
                                <w:szCs w:val="20"/>
                              </w:rPr>
                            </w:pPr>
                            <w:r w:rsidRPr="00E03046">
                              <w:rPr>
                                <w:rFonts w:ascii="Arial" w:hAnsi="Arial" w:cs="Arial"/>
                                <w:color w:val="1F497D" w:themeColor="text2"/>
                                <w:sz w:val="20"/>
                                <w:szCs w:val="20"/>
                              </w:rPr>
                              <w:t>*</w:t>
                            </w:r>
                            <w:r w:rsidRPr="002B189D">
                              <w:rPr>
                                <w:rFonts w:ascii="Arial" w:eastAsiaTheme="minorHAnsi" w:hAnsi="Arial" w:cs="Arial"/>
                                <w:color w:val="1F497D" w:themeColor="text2"/>
                                <w:sz w:val="20"/>
                                <w:szCs w:val="20"/>
                              </w:rPr>
                              <w:t xml:space="preserve"> </w:t>
                            </w:r>
                            <w:r>
                              <w:rPr>
                                <w:rFonts w:ascii="Arial" w:eastAsiaTheme="minorHAnsi" w:hAnsi="Arial" w:cs="Arial"/>
                                <w:color w:val="1F497D" w:themeColor="text2"/>
                                <w:sz w:val="20"/>
                                <w:szCs w:val="20"/>
                              </w:rPr>
                              <w:t xml:space="preserve">Preferred indicated in bold.  </w:t>
                            </w:r>
                            <w:r w:rsidRPr="00E03046">
                              <w:rPr>
                                <w:rFonts w:ascii="Arial" w:hAnsi="Arial" w:cs="Arial"/>
                                <w:color w:val="1F497D" w:themeColor="text2"/>
                                <w:sz w:val="20"/>
                                <w:szCs w:val="20"/>
                              </w:rPr>
                              <w:t>Refer to Chapter 2 for detailed language of alternatives</w:t>
                            </w:r>
                          </w:p>
                          <w:p w14:paraId="1636629E" w14:textId="77777777" w:rsidR="009108B8" w:rsidRDefault="009108B8" w:rsidP="00FD25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30.75pt;margin-top:64.9pt;width:236.1pt;height:297.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" strokecolor="#548dd4 [1951]">
                <v:shadow on="t" opacity="26214f" mv:blur="50800f" origin="-.5,.5" offset="26941emu,-26941emu"/>
                <v:textbox>
                  <w:txbxContent>
                    <w:p w14:paraId="2D75EA80" w14:textId="26D0DA1A" w:rsidR="009108B8" w:rsidRPr="002B189D" w:rsidRDefault="009108B8" w:rsidP="00FD2542">
                      <w:pPr>
                        <w:jc w:val="center"/>
                        <w:rPr>
                          <w:rFonts w:ascii="Arial" w:hAnsi="Arial" w:cs="Arial"/>
                          <w:b/>
                          <w:i/>
                          <w:iCs/>
                          <w:color w:val="365F91" w:themeColor="accent1" w:themeShade="BF"/>
                        </w:rPr>
                      </w:pPr>
                      <w:r w:rsidRPr="002B189D">
                        <w:rPr>
                          <w:rFonts w:ascii="Arial" w:hAnsi="Arial" w:cs="Arial"/>
                          <w:b/>
                          <w:i/>
                          <w:iCs/>
                          <w:color w:val="365F91" w:themeColor="accent1" w:themeShade="BF"/>
                        </w:rPr>
                        <w:t>Alternatives</w:t>
                      </w:r>
                      <w:r>
                        <w:rPr>
                          <w:rFonts w:ascii="Arial" w:hAnsi="Arial" w:cs="Arial"/>
                          <w:b/>
                          <w:i/>
                          <w:iCs/>
                          <w:color w:val="365F91" w:themeColor="accent1" w:themeShade="BF"/>
                        </w:rPr>
                        <w:t>*</w:t>
                      </w:r>
                    </w:p>
                    <w:p w14:paraId="1FB20087" w14:textId="77777777" w:rsidR="009108B8" w:rsidRPr="00873B9E" w:rsidRDefault="009108B8" w:rsidP="00FD2542">
                      <w:pPr>
                        <w:jc w:val="center"/>
                        <w:rPr>
                          <w:rFonts w:ascii="Arial" w:hAnsi="Arial" w:cs="Arial"/>
                          <w:b/>
                          <w:i/>
                          <w:iCs/>
                          <w:color w:val="365F91" w:themeColor="accent1" w:themeShade="BF"/>
                          <w:sz w:val="20"/>
                          <w:szCs w:val="20"/>
                        </w:rPr>
                      </w:pPr>
                    </w:p>
                    <w:p w14:paraId="0ACAEE39" w14:textId="2A595A19" w:rsidR="009108B8" w:rsidRPr="00873B9E" w:rsidRDefault="009108B8" w:rsidP="00FD2542">
                      <w:pPr>
                        <w:pStyle w:val="Normal1"/>
                        <w:spacing w:line="240" w:lineRule="auto"/>
                        <w:contextualSpacing/>
                        <w:rPr>
                          <w:color w:val="1F497D" w:themeColor="text2"/>
                          <w:sz w:val="20"/>
                          <w:szCs w:val="20"/>
                        </w:rPr>
                      </w:pPr>
                      <w:r w:rsidRPr="00873B9E">
                        <w:rPr>
                          <w:color w:val="1F497D" w:themeColor="text2"/>
                          <w:sz w:val="20"/>
                          <w:szCs w:val="20"/>
                        </w:rPr>
                        <w:t xml:space="preserve">1 (No Action). </w:t>
                      </w:r>
                      <w:r>
                        <w:rPr>
                          <w:color w:val="1F497D" w:themeColor="text2"/>
                          <w:sz w:val="20"/>
                          <w:szCs w:val="20"/>
                        </w:rPr>
                        <w:t xml:space="preserve"> </w:t>
                      </w:r>
                      <w:r w:rsidRPr="00873B9E">
                        <w:rPr>
                          <w:color w:val="1F497D" w:themeColor="text2"/>
                          <w:sz w:val="20"/>
                          <w:szCs w:val="20"/>
                        </w:rPr>
                        <w:t xml:space="preserve">The current ACT is 668,906 lbs ww and applies to mutton snapper throughout the South Atlantic Council’s jurisdiction. </w:t>
                      </w:r>
                      <w:r>
                        <w:rPr>
                          <w:color w:val="1F497D" w:themeColor="text2"/>
                          <w:sz w:val="20"/>
                          <w:szCs w:val="20"/>
                        </w:rPr>
                        <w:t xml:space="preserve"> </w:t>
                      </w:r>
                      <w:r w:rsidRPr="00873B9E">
                        <w:rPr>
                          <w:color w:val="1F497D" w:themeColor="text2"/>
                          <w:sz w:val="20"/>
                          <w:szCs w:val="20"/>
                        </w:rPr>
                        <w:t>The ACT = recreational ACL*(1-PSE) or ACL*0.5, whichever is greater, and where Percent Standard Error (PSE) = 13% = average PSE 2005-2009 (for South Atlantic only).</w:t>
                      </w:r>
                    </w:p>
                    <w:p w14:paraId="2621B682" w14:textId="77777777" w:rsidR="009108B8" w:rsidRPr="00873B9E" w:rsidRDefault="009108B8" w:rsidP="00FD2542">
                      <w:pPr>
                        <w:contextualSpacing/>
                        <w:rPr>
                          <w:rFonts w:ascii="Arial" w:eastAsia="Courier New" w:hAnsi="Arial" w:cs="Arial"/>
                          <w:color w:val="1F497D" w:themeColor="text2"/>
                          <w:sz w:val="20"/>
                          <w:szCs w:val="20"/>
                        </w:rPr>
                      </w:pPr>
                    </w:p>
                    <w:p w14:paraId="5CE98B63" w14:textId="75B152F0" w:rsidR="009108B8" w:rsidRPr="00873B9E" w:rsidRDefault="009108B8" w:rsidP="00FD2542">
                      <w:pPr>
                        <w:contextualSpacing/>
                        <w:rPr>
                          <w:rFonts w:ascii="Arial" w:eastAsia="Courier New" w:hAnsi="Arial" w:cs="Arial"/>
                          <w:b/>
                          <w:color w:val="1F497D" w:themeColor="text2"/>
                          <w:sz w:val="20"/>
                          <w:szCs w:val="20"/>
                        </w:rPr>
                      </w:pPr>
                      <w:r w:rsidRPr="00873B9E">
                        <w:rPr>
                          <w:rFonts w:ascii="Arial" w:hAnsi="Arial" w:cs="Arial"/>
                          <w:b/>
                          <w:color w:val="1F497D" w:themeColor="text2"/>
                          <w:sz w:val="20"/>
                          <w:szCs w:val="20"/>
                        </w:rPr>
                        <w:t xml:space="preserve">2. Revise the </w:t>
                      </w:r>
                      <w:r>
                        <w:rPr>
                          <w:rFonts w:ascii="Arial" w:hAnsi="Arial" w:cs="Arial"/>
                          <w:b/>
                          <w:color w:val="1F497D" w:themeColor="text2"/>
                          <w:sz w:val="20"/>
                          <w:szCs w:val="20"/>
                        </w:rPr>
                        <w:t>ACT</w:t>
                      </w:r>
                      <w:r w:rsidRPr="00873B9E">
                        <w:rPr>
                          <w:rFonts w:ascii="Arial" w:hAnsi="Arial" w:cs="Arial"/>
                          <w:b/>
                          <w:color w:val="1F497D" w:themeColor="text2"/>
                          <w:sz w:val="20"/>
                          <w:szCs w:val="20"/>
                        </w:rPr>
                        <w:t xml:space="preserve"> for mutton snapper for the recreational sector and specify in numbers of fish. </w:t>
                      </w:r>
                      <w:r>
                        <w:rPr>
                          <w:rFonts w:ascii="Arial" w:hAnsi="Arial" w:cs="Arial"/>
                          <w:b/>
                          <w:color w:val="1F497D" w:themeColor="text2"/>
                          <w:sz w:val="20"/>
                          <w:szCs w:val="20"/>
                        </w:rPr>
                        <w:t xml:space="preserve"> </w:t>
                      </w:r>
                      <w:r w:rsidRPr="00873B9E">
                        <w:rPr>
                          <w:rFonts w:ascii="Arial" w:hAnsi="Arial" w:cs="Arial"/>
                          <w:b/>
                          <w:color w:val="1F497D" w:themeColor="text2"/>
                          <w:sz w:val="20"/>
                          <w:szCs w:val="20"/>
                        </w:rPr>
                        <w:t>The ACT for 2020 would remain in place until modified.</w:t>
                      </w:r>
                    </w:p>
                    <w:p w14:paraId="10B0B7FE" w14:textId="77777777" w:rsidR="009108B8" w:rsidRPr="00873B9E" w:rsidRDefault="009108B8" w:rsidP="006B7D45">
                      <w:pPr>
                        <w:ind w:left="540"/>
                        <w:contextualSpacing/>
                        <w:rPr>
                          <w:rFonts w:ascii="Arial" w:eastAsia="Courier New" w:hAnsi="Arial" w:cs="Arial"/>
                          <w:color w:val="1F497D" w:themeColor="text2"/>
                          <w:sz w:val="20"/>
                          <w:szCs w:val="20"/>
                        </w:rPr>
                      </w:pPr>
                      <w:r w:rsidRPr="00873B9E">
                        <w:rPr>
                          <w:rFonts w:ascii="Arial" w:eastAsia="Courier New" w:hAnsi="Arial" w:cs="Arial"/>
                          <w:color w:val="1F497D" w:themeColor="text2"/>
                          <w:sz w:val="20"/>
                          <w:szCs w:val="20"/>
                        </w:rPr>
                        <w:t>Sub-alternative 2a.  ACT = recreational ACL*(1-PSE) or ACL*0.5, whichever is greater.</w:t>
                      </w:r>
                    </w:p>
                    <w:p w14:paraId="668F5048" w14:textId="42E2D99C" w:rsidR="009108B8" w:rsidRPr="00873B9E" w:rsidRDefault="009108B8" w:rsidP="006B7D45">
                      <w:pPr>
                        <w:ind w:left="540"/>
                        <w:contextualSpacing/>
                        <w:rPr>
                          <w:rFonts w:ascii="Arial" w:eastAsia="Courier New" w:hAnsi="Arial" w:cs="Arial"/>
                          <w:b/>
                          <w:color w:val="1F497D" w:themeColor="text2"/>
                          <w:sz w:val="20"/>
                          <w:szCs w:val="20"/>
                        </w:rPr>
                      </w:pPr>
                      <w:r w:rsidRPr="00873B9E">
                        <w:rPr>
                          <w:rFonts w:ascii="Arial" w:eastAsia="Courier New" w:hAnsi="Arial" w:cs="Arial"/>
                          <w:b/>
                          <w:color w:val="1F497D" w:themeColor="text2"/>
                          <w:sz w:val="20"/>
                          <w:szCs w:val="20"/>
                        </w:rPr>
                        <w:t>Sub-alternative 2b.</w:t>
                      </w:r>
                      <w:r>
                        <w:rPr>
                          <w:rFonts w:ascii="Arial" w:eastAsia="Courier New" w:hAnsi="Arial" w:cs="Arial"/>
                          <w:b/>
                          <w:color w:val="1F497D" w:themeColor="text2"/>
                          <w:sz w:val="20"/>
                          <w:szCs w:val="20"/>
                        </w:rPr>
                        <w:t xml:space="preserve"> </w:t>
                      </w:r>
                      <w:r w:rsidRPr="00873B9E">
                        <w:rPr>
                          <w:rFonts w:ascii="Arial" w:eastAsia="Courier New" w:hAnsi="Arial" w:cs="Arial"/>
                          <w:b/>
                          <w:color w:val="1F497D" w:themeColor="text2"/>
                          <w:sz w:val="20"/>
                          <w:szCs w:val="20"/>
                        </w:rPr>
                        <w:t xml:space="preserve"> ACT =85% recreational ACL.</w:t>
                      </w:r>
                    </w:p>
                    <w:p w14:paraId="2307BF29" w14:textId="13C31103" w:rsidR="009108B8" w:rsidRPr="00873B9E" w:rsidRDefault="009108B8" w:rsidP="006B7D45">
                      <w:pPr>
                        <w:ind w:left="540"/>
                        <w:contextualSpacing/>
                        <w:rPr>
                          <w:rFonts w:ascii="Arial" w:eastAsia="Courier New" w:hAnsi="Arial" w:cs="Arial"/>
                          <w:color w:val="1F497D" w:themeColor="text2"/>
                          <w:sz w:val="20"/>
                          <w:szCs w:val="20"/>
                        </w:rPr>
                      </w:pPr>
                      <w:r w:rsidRPr="00873B9E">
                        <w:rPr>
                          <w:rFonts w:ascii="Arial" w:eastAsia="Courier New" w:hAnsi="Arial" w:cs="Arial"/>
                          <w:color w:val="1F497D" w:themeColor="text2"/>
                          <w:sz w:val="20"/>
                          <w:szCs w:val="20"/>
                        </w:rPr>
                        <w:t xml:space="preserve">Sub-alternative 2c. </w:t>
                      </w:r>
                      <w:r>
                        <w:rPr>
                          <w:rFonts w:ascii="Arial" w:eastAsia="Courier New" w:hAnsi="Arial" w:cs="Arial"/>
                          <w:color w:val="1F497D" w:themeColor="text2"/>
                          <w:sz w:val="20"/>
                          <w:szCs w:val="20"/>
                        </w:rPr>
                        <w:t xml:space="preserve"> </w:t>
                      </w:r>
                      <w:r w:rsidRPr="00873B9E">
                        <w:rPr>
                          <w:rFonts w:ascii="Arial" w:eastAsia="Courier New" w:hAnsi="Arial" w:cs="Arial"/>
                          <w:color w:val="1F497D" w:themeColor="text2"/>
                          <w:sz w:val="20"/>
                          <w:szCs w:val="20"/>
                        </w:rPr>
                        <w:t>ACT = 75% recreational ACL.</w:t>
                      </w:r>
                    </w:p>
                    <w:p w14:paraId="24316683" w14:textId="77777777" w:rsidR="009108B8" w:rsidRPr="000E374B" w:rsidRDefault="009108B8" w:rsidP="006B7D45">
                      <w:pPr>
                        <w:ind w:left="540"/>
                        <w:contextualSpacing/>
                        <w:rPr>
                          <w:rFonts w:ascii="Arial" w:eastAsia="Courier New" w:hAnsi="Arial" w:cs="Arial"/>
                          <w:b/>
                          <w:color w:val="1F497D" w:themeColor="text2"/>
                          <w:sz w:val="22"/>
                          <w:szCs w:val="22"/>
                        </w:rPr>
                      </w:pPr>
                    </w:p>
                    <w:p w14:paraId="4D6C9847" w14:textId="77777777" w:rsidR="009108B8" w:rsidRPr="00E03046" w:rsidRDefault="009108B8" w:rsidP="002B189D">
                      <w:pPr>
                        <w:rPr>
                          <w:rFonts w:ascii="Arial" w:hAnsi="Arial" w:cs="Arial"/>
                          <w:color w:val="1F497D" w:themeColor="text2"/>
                          <w:sz w:val="20"/>
                          <w:szCs w:val="20"/>
                        </w:rPr>
                      </w:pPr>
                      <w:r w:rsidRPr="00E03046">
                        <w:rPr>
                          <w:rFonts w:ascii="Arial" w:hAnsi="Arial" w:cs="Arial"/>
                          <w:color w:val="1F497D" w:themeColor="text2"/>
                          <w:sz w:val="20"/>
                          <w:szCs w:val="20"/>
                        </w:rPr>
                        <w:t>*</w:t>
                      </w:r>
                      <w:r w:rsidRPr="002B189D">
                        <w:rPr>
                          <w:rFonts w:ascii="Arial" w:eastAsiaTheme="minorHAnsi" w:hAnsi="Arial" w:cs="Arial"/>
                          <w:color w:val="1F497D" w:themeColor="text2"/>
                          <w:sz w:val="20"/>
                          <w:szCs w:val="20"/>
                        </w:rPr>
                        <w:t xml:space="preserve"> </w:t>
                      </w:r>
                      <w:r>
                        <w:rPr>
                          <w:rFonts w:ascii="Arial" w:eastAsiaTheme="minorHAnsi" w:hAnsi="Arial" w:cs="Arial"/>
                          <w:color w:val="1F497D" w:themeColor="text2"/>
                          <w:sz w:val="20"/>
                          <w:szCs w:val="20"/>
                        </w:rPr>
                        <w:t xml:space="preserve">Preferred indicated in bold.  </w:t>
                      </w:r>
                      <w:r w:rsidRPr="00E03046">
                        <w:rPr>
                          <w:rFonts w:ascii="Arial" w:hAnsi="Arial" w:cs="Arial"/>
                          <w:color w:val="1F497D" w:themeColor="text2"/>
                          <w:sz w:val="20"/>
                          <w:szCs w:val="20"/>
                        </w:rPr>
                        <w:t>Refer to Chapter 2 for detailed language of alternatives</w:t>
                      </w:r>
                    </w:p>
                    <w:p w14:paraId="1636629E" w14:textId="77777777" w:rsidR="009108B8" w:rsidRDefault="009108B8" w:rsidP="00FD2542"/>
                  </w:txbxContent>
                </v:textbox>
                <w10:wrap type="square" anchorx="margin" anchory="margin"/>
              </v:shape>
            </w:pict>
          </mc:Fallback>
        </mc:AlternateContent>
      </w:r>
      <w:r w:rsidR="00FD2542">
        <w:t>4.4.1</w:t>
      </w:r>
      <w:r w:rsidR="00FD2542">
        <w:tab/>
      </w:r>
      <w:r w:rsidR="00FD2542" w:rsidRPr="005B5A20">
        <w:t>Biological Effects</w:t>
      </w:r>
      <w:bookmarkEnd w:id="242"/>
      <w:r w:rsidR="00FD2542" w:rsidRPr="005B5A20">
        <w:t xml:space="preserve"> </w:t>
      </w:r>
    </w:p>
    <w:p w14:paraId="75FFA9E3" w14:textId="115B1A04" w:rsidR="00A33201" w:rsidRDefault="00A33201" w:rsidP="00A33201">
      <w:pPr>
        <w:ind w:firstLine="360"/>
      </w:pPr>
      <w:r>
        <w:t xml:space="preserve">As explained in </w:t>
      </w:r>
      <w:r>
        <w:rPr>
          <w:b/>
        </w:rPr>
        <w:t>Section</w:t>
      </w:r>
      <w:r w:rsidR="0021174F">
        <w:rPr>
          <w:b/>
        </w:rPr>
        <w:t xml:space="preserve">s 1.5 </w:t>
      </w:r>
      <w:r w:rsidR="0021174F" w:rsidRPr="00007A84">
        <w:t>and</w:t>
      </w:r>
      <w:r w:rsidR="0021174F">
        <w:rPr>
          <w:b/>
        </w:rPr>
        <w:t xml:space="preserve"> </w:t>
      </w:r>
      <w:r>
        <w:rPr>
          <w:b/>
        </w:rPr>
        <w:t>2.4</w:t>
      </w:r>
      <w:r w:rsidRPr="0021174F">
        <w:t>,</w:t>
      </w:r>
      <w:r w:rsidRPr="00FE5ECC">
        <w:t xml:space="preserve"> </w:t>
      </w:r>
      <w:r w:rsidR="00CD683A">
        <w:t>annual catch target</w:t>
      </w:r>
      <w:r>
        <w:t xml:space="preserve">s </w:t>
      </w:r>
      <w:r w:rsidR="00CD683A">
        <w:t xml:space="preserve">(ACTs) </w:t>
      </w:r>
      <w:r>
        <w:t xml:space="preserve">can be used to prevent </w:t>
      </w:r>
      <w:r w:rsidR="00CD683A">
        <w:t>ACLs</w:t>
      </w:r>
      <w:r>
        <w:t xml:space="preserve"> from being</w:t>
      </w:r>
      <w:r w:rsidRPr="00FE5ECC">
        <w:t xml:space="preserve"> exceeded. </w:t>
      </w:r>
      <w:r w:rsidR="0021174F">
        <w:t xml:space="preserve"> </w:t>
      </w:r>
      <w:r>
        <w:t>In managing the snapper grouper fishery</w:t>
      </w:r>
      <w:r w:rsidR="0021174F">
        <w:t>,</w:t>
      </w:r>
      <w:r w:rsidR="00E4546F">
        <w:t xml:space="preserve"> </w:t>
      </w:r>
      <w:r>
        <w:t>however, the South Atlantic Council has chosen not to use ACTs to trigger AMs because it is anticipated that improvements in reporting will significantly reduce management uncertainty.</w:t>
      </w:r>
      <w:r w:rsidR="00C616C2">
        <w:t xml:space="preserve">  </w:t>
      </w:r>
      <w:r w:rsidR="00C616C2" w:rsidRPr="00FE5ECC">
        <w:t>Since the ACT is typically set lower and would be reached sooner than the ACL, using an ACT rather than the ACL as a trigger for AMs in the recreational sector may prevent an ACL overage.  This more conservative approach, would likely help to ensure that recreational data uncertainties do not cause or contribute to excessive ACL overages for vulnerable species.  Using recreational ACTs rather than the ACLs to trigger recreational AMs may not eliminate ACL overages completely; however, using such a strategy for the recreational sector may reduce the need to comp</w:t>
      </w:r>
      <w:r w:rsidR="00C616C2">
        <w:t xml:space="preserve">ensate for very large overages.  </w:t>
      </w:r>
    </w:p>
    <w:p w14:paraId="46264A41" w14:textId="77777777" w:rsidR="00C2458A" w:rsidRDefault="00C2458A" w:rsidP="00A33201">
      <w:pPr>
        <w:ind w:firstLine="360"/>
      </w:pPr>
    </w:p>
    <w:p w14:paraId="0197170A" w14:textId="0F52495C" w:rsidR="00C2458A" w:rsidRDefault="00C2458A" w:rsidP="00C2458A">
      <w:pPr>
        <w:ind w:firstLine="360"/>
      </w:pPr>
      <w:r w:rsidRPr="00BE56AA">
        <w:rPr>
          <w:b/>
        </w:rPr>
        <w:t xml:space="preserve">Table </w:t>
      </w:r>
      <w:r>
        <w:rPr>
          <w:b/>
        </w:rPr>
        <w:t>4.4.1</w:t>
      </w:r>
      <w:r>
        <w:t xml:space="preserve"> shows recreational ACTs </w:t>
      </w:r>
      <w:r w:rsidR="00C616C2">
        <w:t xml:space="preserve">(in numbers of fish) </w:t>
      </w:r>
      <w:r>
        <w:t xml:space="preserve">for mutton snapper under each of the proposed ACL alternatives from </w:t>
      </w:r>
      <w:r w:rsidRPr="00ED4F0E">
        <w:rPr>
          <w:b/>
        </w:rPr>
        <w:t>Action 3</w:t>
      </w:r>
      <w:r>
        <w:t>.</w:t>
      </w:r>
    </w:p>
    <w:p w14:paraId="1C5B7DED" w14:textId="77777777" w:rsidR="00C2458A" w:rsidRDefault="00C2458A" w:rsidP="00C2458A"/>
    <w:p w14:paraId="4D57C9BC" w14:textId="77777777" w:rsidR="00C616C2" w:rsidRDefault="00C616C2">
      <w:pPr>
        <w:rPr>
          <w:rFonts w:ascii="Arial" w:hAnsi="Arial"/>
          <w:b/>
          <w:bCs/>
          <w:sz w:val="20"/>
        </w:rPr>
      </w:pPr>
      <w:r>
        <w:rPr>
          <w:b/>
        </w:rPr>
        <w:br w:type="page"/>
      </w:r>
    </w:p>
    <w:p w14:paraId="7CFAB5C7" w14:textId="26776483" w:rsidR="00C2458A" w:rsidRPr="00903F45" w:rsidRDefault="00C2458A" w:rsidP="00C2458A">
      <w:pPr>
        <w:pStyle w:val="Tabletitle"/>
        <w:rPr>
          <w:rFonts w:cs="Arial"/>
          <w:b/>
          <w:szCs w:val="20"/>
        </w:rPr>
      </w:pPr>
      <w:bookmarkStart w:id="243" w:name="_Toc340431580"/>
      <w:r>
        <w:rPr>
          <w:b/>
        </w:rPr>
        <w:lastRenderedPageBreak/>
        <w:t>Table 4.4.1</w:t>
      </w:r>
      <w:r w:rsidRPr="00BE56AA">
        <w:rPr>
          <w:b/>
        </w:rPr>
        <w:t>.</w:t>
      </w:r>
      <w:r w:rsidRPr="00BE56AA">
        <w:t xml:space="preserve">  Proposed recreational annual catch targets (ACTs) in numbers of fish for each of the proposed annual catch limit alternatives under </w:t>
      </w:r>
      <w:r w:rsidRPr="00ED4F0E">
        <w:rPr>
          <w:b/>
        </w:rPr>
        <w:t>Action 3</w:t>
      </w:r>
      <w:r w:rsidRPr="00BE56AA">
        <w:t>.</w:t>
      </w:r>
      <w:bookmarkEnd w:id="2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980"/>
        <w:gridCol w:w="2127"/>
        <w:gridCol w:w="1915"/>
        <w:gridCol w:w="1916"/>
      </w:tblGrid>
      <w:tr w:rsidR="00C2458A" w:rsidRPr="00873B9E" w14:paraId="1566729D" w14:textId="77777777" w:rsidTr="00C2458A">
        <w:trPr>
          <w:trHeight w:val="251"/>
          <w:tblHeader/>
          <w:jc w:val="center"/>
        </w:trPr>
        <w:tc>
          <w:tcPr>
            <w:tcW w:w="9576" w:type="dxa"/>
            <w:gridSpan w:val="5"/>
            <w:shd w:val="clear" w:color="000000" w:fill="D9D9D9"/>
            <w:noWrap/>
            <w:vAlign w:val="center"/>
          </w:tcPr>
          <w:p w14:paraId="391C7FFA" w14:textId="77777777" w:rsidR="00C2458A" w:rsidRPr="00873B9E" w:rsidRDefault="00C2458A" w:rsidP="00C2458A">
            <w:pPr>
              <w:jc w:val="center"/>
              <w:rPr>
                <w:b/>
                <w:bCs/>
                <w:color w:val="000000"/>
                <w:sz w:val="22"/>
                <w:szCs w:val="22"/>
              </w:rPr>
            </w:pPr>
            <w:r w:rsidRPr="00873B9E">
              <w:rPr>
                <w:b/>
                <w:bCs/>
                <w:color w:val="000000"/>
                <w:sz w:val="22"/>
                <w:szCs w:val="22"/>
              </w:rPr>
              <w:t>Preferred Sub-alternative 2a (Action 3)</w:t>
            </w:r>
            <w:r>
              <w:rPr>
                <w:b/>
                <w:bCs/>
                <w:color w:val="000000"/>
                <w:sz w:val="22"/>
                <w:szCs w:val="22"/>
              </w:rPr>
              <w:t xml:space="preserve">: </w:t>
            </w:r>
            <w:r w:rsidRPr="00873B9E">
              <w:rPr>
                <w:b/>
                <w:bCs/>
                <w:color w:val="000000"/>
                <w:sz w:val="22"/>
                <w:szCs w:val="22"/>
              </w:rPr>
              <w:t>ACL = OY = ABC</w:t>
            </w:r>
          </w:p>
        </w:tc>
      </w:tr>
      <w:tr w:rsidR="00C2458A" w:rsidRPr="00873B9E" w14:paraId="08782197" w14:textId="77777777" w:rsidTr="00C2458A">
        <w:trPr>
          <w:trHeight w:val="278"/>
          <w:tblHeader/>
          <w:jc w:val="center"/>
        </w:trPr>
        <w:tc>
          <w:tcPr>
            <w:tcW w:w="1638" w:type="dxa"/>
            <w:shd w:val="clear" w:color="000000" w:fill="D9D9D9"/>
            <w:noWrap/>
            <w:vAlign w:val="center"/>
            <w:hideMark/>
          </w:tcPr>
          <w:p w14:paraId="1647ADE1" w14:textId="77777777" w:rsidR="00C2458A" w:rsidRPr="00873B9E" w:rsidRDefault="00C2458A" w:rsidP="00C2458A">
            <w:pPr>
              <w:jc w:val="center"/>
              <w:rPr>
                <w:b/>
                <w:bCs/>
                <w:color w:val="000000"/>
                <w:sz w:val="22"/>
                <w:szCs w:val="22"/>
              </w:rPr>
            </w:pPr>
            <w:r w:rsidRPr="00873B9E">
              <w:rPr>
                <w:b/>
                <w:bCs/>
                <w:color w:val="000000"/>
                <w:sz w:val="22"/>
                <w:szCs w:val="22"/>
              </w:rPr>
              <w:t>Year</w:t>
            </w:r>
          </w:p>
        </w:tc>
        <w:tc>
          <w:tcPr>
            <w:tcW w:w="1980" w:type="dxa"/>
            <w:shd w:val="clear" w:color="000000" w:fill="D9D9D9"/>
            <w:noWrap/>
            <w:vAlign w:val="center"/>
            <w:hideMark/>
          </w:tcPr>
          <w:p w14:paraId="56E65718" w14:textId="77777777" w:rsidR="00C2458A" w:rsidRPr="00873B9E" w:rsidRDefault="00C2458A" w:rsidP="00C2458A">
            <w:pPr>
              <w:jc w:val="center"/>
              <w:rPr>
                <w:b/>
                <w:bCs/>
                <w:color w:val="000000"/>
                <w:sz w:val="22"/>
                <w:szCs w:val="22"/>
              </w:rPr>
            </w:pPr>
            <w:r w:rsidRPr="00873B9E">
              <w:rPr>
                <w:b/>
                <w:bCs/>
                <w:color w:val="000000"/>
                <w:sz w:val="22"/>
                <w:szCs w:val="22"/>
              </w:rPr>
              <w:t>Rec ACL (num)</w:t>
            </w:r>
          </w:p>
        </w:tc>
        <w:tc>
          <w:tcPr>
            <w:tcW w:w="2127" w:type="dxa"/>
            <w:shd w:val="clear" w:color="000000" w:fill="D9D9D9"/>
            <w:noWrap/>
            <w:vAlign w:val="center"/>
            <w:hideMark/>
          </w:tcPr>
          <w:p w14:paraId="5DA82310" w14:textId="77777777" w:rsidR="00C2458A" w:rsidRPr="00873B9E" w:rsidRDefault="00C2458A" w:rsidP="00C2458A">
            <w:pPr>
              <w:jc w:val="center"/>
              <w:rPr>
                <w:b/>
                <w:bCs/>
                <w:color w:val="000000"/>
                <w:sz w:val="22"/>
                <w:szCs w:val="22"/>
              </w:rPr>
            </w:pPr>
            <w:r w:rsidRPr="00873B9E">
              <w:rPr>
                <w:b/>
                <w:bCs/>
                <w:color w:val="000000"/>
                <w:sz w:val="22"/>
                <w:szCs w:val="22"/>
              </w:rPr>
              <w:t>Sub-alt 2a</w:t>
            </w:r>
          </w:p>
        </w:tc>
        <w:tc>
          <w:tcPr>
            <w:tcW w:w="1915" w:type="dxa"/>
            <w:shd w:val="clear" w:color="000000" w:fill="D9D9D9"/>
            <w:noWrap/>
            <w:vAlign w:val="center"/>
            <w:hideMark/>
          </w:tcPr>
          <w:p w14:paraId="1655F382" w14:textId="77777777" w:rsidR="00C2458A" w:rsidRPr="00873B9E" w:rsidRDefault="00C2458A" w:rsidP="00C2458A">
            <w:pPr>
              <w:jc w:val="center"/>
              <w:rPr>
                <w:b/>
                <w:bCs/>
                <w:color w:val="000000"/>
                <w:sz w:val="22"/>
                <w:szCs w:val="22"/>
              </w:rPr>
            </w:pPr>
            <w:r w:rsidRPr="00873B9E">
              <w:rPr>
                <w:b/>
                <w:bCs/>
                <w:color w:val="000000"/>
                <w:sz w:val="22"/>
                <w:szCs w:val="22"/>
              </w:rPr>
              <w:t>Pref Sub-alt 2b</w:t>
            </w:r>
          </w:p>
        </w:tc>
        <w:tc>
          <w:tcPr>
            <w:tcW w:w="1916" w:type="dxa"/>
            <w:shd w:val="clear" w:color="000000" w:fill="D9D9D9"/>
            <w:noWrap/>
            <w:vAlign w:val="center"/>
            <w:hideMark/>
          </w:tcPr>
          <w:p w14:paraId="7A6B7BC5" w14:textId="77777777" w:rsidR="00C2458A" w:rsidRPr="00873B9E" w:rsidRDefault="00C2458A" w:rsidP="00C2458A">
            <w:pPr>
              <w:jc w:val="center"/>
              <w:rPr>
                <w:b/>
                <w:bCs/>
                <w:color w:val="000000"/>
                <w:sz w:val="22"/>
                <w:szCs w:val="22"/>
              </w:rPr>
            </w:pPr>
            <w:r w:rsidRPr="00873B9E">
              <w:rPr>
                <w:b/>
                <w:bCs/>
                <w:color w:val="000000"/>
                <w:sz w:val="22"/>
                <w:szCs w:val="22"/>
              </w:rPr>
              <w:t>Sub-alt 2c</w:t>
            </w:r>
          </w:p>
        </w:tc>
      </w:tr>
      <w:tr w:rsidR="00C2458A" w:rsidRPr="00873B9E" w14:paraId="446F5AD9" w14:textId="77777777" w:rsidTr="00C2458A">
        <w:trPr>
          <w:trHeight w:val="323"/>
          <w:jc w:val="center"/>
        </w:trPr>
        <w:tc>
          <w:tcPr>
            <w:tcW w:w="1638" w:type="dxa"/>
            <w:shd w:val="clear" w:color="auto" w:fill="auto"/>
            <w:vAlign w:val="center"/>
            <w:hideMark/>
          </w:tcPr>
          <w:p w14:paraId="03AD5C6D" w14:textId="77777777" w:rsidR="00C2458A" w:rsidRPr="00873B9E" w:rsidRDefault="00C2458A" w:rsidP="00C2458A">
            <w:pPr>
              <w:jc w:val="center"/>
              <w:rPr>
                <w:color w:val="000000"/>
                <w:sz w:val="22"/>
                <w:szCs w:val="22"/>
              </w:rPr>
            </w:pPr>
            <w:r w:rsidRPr="00873B9E">
              <w:rPr>
                <w:sz w:val="22"/>
                <w:szCs w:val="22"/>
              </w:rPr>
              <w:t>2017</w:t>
            </w:r>
          </w:p>
        </w:tc>
        <w:tc>
          <w:tcPr>
            <w:tcW w:w="1980" w:type="dxa"/>
            <w:shd w:val="clear" w:color="auto" w:fill="auto"/>
            <w:noWrap/>
            <w:vAlign w:val="center"/>
            <w:hideMark/>
          </w:tcPr>
          <w:p w14:paraId="2CBF6869" w14:textId="77777777" w:rsidR="00C2458A" w:rsidRPr="00873B9E" w:rsidRDefault="00C2458A" w:rsidP="00C2458A">
            <w:pPr>
              <w:jc w:val="center"/>
              <w:rPr>
                <w:color w:val="000000"/>
                <w:sz w:val="22"/>
                <w:szCs w:val="22"/>
              </w:rPr>
            </w:pPr>
            <w:r w:rsidRPr="00873B9E">
              <w:rPr>
                <w:sz w:val="22"/>
                <w:szCs w:val="22"/>
              </w:rPr>
              <w:t>116,127</w:t>
            </w:r>
          </w:p>
        </w:tc>
        <w:tc>
          <w:tcPr>
            <w:tcW w:w="2127" w:type="dxa"/>
            <w:shd w:val="clear" w:color="auto" w:fill="auto"/>
            <w:noWrap/>
            <w:vAlign w:val="center"/>
            <w:hideMark/>
          </w:tcPr>
          <w:p w14:paraId="4615616E" w14:textId="77777777" w:rsidR="00C2458A" w:rsidRPr="00873B9E" w:rsidRDefault="00C2458A" w:rsidP="00C2458A">
            <w:pPr>
              <w:jc w:val="center"/>
              <w:rPr>
                <w:color w:val="000000"/>
                <w:sz w:val="22"/>
                <w:szCs w:val="22"/>
              </w:rPr>
            </w:pPr>
            <w:r w:rsidRPr="00873B9E">
              <w:rPr>
                <w:sz w:val="22"/>
                <w:szCs w:val="22"/>
              </w:rPr>
              <w:t>97,663</w:t>
            </w:r>
          </w:p>
        </w:tc>
        <w:tc>
          <w:tcPr>
            <w:tcW w:w="1915" w:type="dxa"/>
            <w:shd w:val="clear" w:color="auto" w:fill="auto"/>
            <w:noWrap/>
            <w:vAlign w:val="center"/>
            <w:hideMark/>
          </w:tcPr>
          <w:p w14:paraId="3D479845" w14:textId="77777777" w:rsidR="00C2458A" w:rsidRPr="008565BE" w:rsidRDefault="00C2458A" w:rsidP="00C2458A">
            <w:pPr>
              <w:jc w:val="center"/>
              <w:rPr>
                <w:b/>
                <w:color w:val="000000"/>
                <w:sz w:val="22"/>
                <w:szCs w:val="22"/>
              </w:rPr>
            </w:pPr>
            <w:r w:rsidRPr="008565BE">
              <w:rPr>
                <w:b/>
                <w:sz w:val="22"/>
                <w:szCs w:val="22"/>
              </w:rPr>
              <w:t>98,708</w:t>
            </w:r>
          </w:p>
        </w:tc>
        <w:tc>
          <w:tcPr>
            <w:tcW w:w="1916" w:type="dxa"/>
            <w:shd w:val="clear" w:color="auto" w:fill="auto"/>
            <w:noWrap/>
            <w:vAlign w:val="center"/>
            <w:hideMark/>
          </w:tcPr>
          <w:p w14:paraId="7EA96AB3" w14:textId="77777777" w:rsidR="00C2458A" w:rsidRPr="00873B9E" w:rsidRDefault="00C2458A" w:rsidP="00C2458A">
            <w:pPr>
              <w:jc w:val="center"/>
              <w:rPr>
                <w:color w:val="000000"/>
                <w:sz w:val="22"/>
                <w:szCs w:val="22"/>
              </w:rPr>
            </w:pPr>
            <w:r w:rsidRPr="00873B9E">
              <w:rPr>
                <w:sz w:val="22"/>
                <w:szCs w:val="22"/>
              </w:rPr>
              <w:t>87,095</w:t>
            </w:r>
          </w:p>
        </w:tc>
      </w:tr>
      <w:tr w:rsidR="00C2458A" w:rsidRPr="00873B9E" w14:paraId="42187C8D" w14:textId="77777777" w:rsidTr="00C2458A">
        <w:trPr>
          <w:trHeight w:val="170"/>
          <w:jc w:val="center"/>
        </w:trPr>
        <w:tc>
          <w:tcPr>
            <w:tcW w:w="1638" w:type="dxa"/>
            <w:shd w:val="clear" w:color="auto" w:fill="auto"/>
            <w:vAlign w:val="center"/>
            <w:hideMark/>
          </w:tcPr>
          <w:p w14:paraId="7EFD208D" w14:textId="77777777" w:rsidR="00C2458A" w:rsidRPr="00873B9E" w:rsidRDefault="00C2458A" w:rsidP="00C2458A">
            <w:pPr>
              <w:jc w:val="center"/>
              <w:rPr>
                <w:color w:val="000000"/>
                <w:sz w:val="22"/>
                <w:szCs w:val="22"/>
              </w:rPr>
            </w:pPr>
            <w:r w:rsidRPr="00873B9E">
              <w:rPr>
                <w:sz w:val="22"/>
                <w:szCs w:val="22"/>
              </w:rPr>
              <w:t>2018</w:t>
            </w:r>
          </w:p>
        </w:tc>
        <w:tc>
          <w:tcPr>
            <w:tcW w:w="1980" w:type="dxa"/>
            <w:shd w:val="clear" w:color="auto" w:fill="auto"/>
            <w:noWrap/>
            <w:vAlign w:val="center"/>
            <w:hideMark/>
          </w:tcPr>
          <w:p w14:paraId="4FD6CCBD" w14:textId="77777777" w:rsidR="00C2458A" w:rsidRPr="00873B9E" w:rsidRDefault="00C2458A" w:rsidP="00C2458A">
            <w:pPr>
              <w:jc w:val="center"/>
              <w:rPr>
                <w:color w:val="000000"/>
                <w:sz w:val="22"/>
                <w:szCs w:val="22"/>
              </w:rPr>
            </w:pPr>
            <w:r w:rsidRPr="00873B9E">
              <w:rPr>
                <w:sz w:val="22"/>
                <w:szCs w:val="22"/>
              </w:rPr>
              <w:t>121,318</w:t>
            </w:r>
          </w:p>
        </w:tc>
        <w:tc>
          <w:tcPr>
            <w:tcW w:w="2127" w:type="dxa"/>
            <w:shd w:val="clear" w:color="auto" w:fill="auto"/>
            <w:noWrap/>
            <w:vAlign w:val="center"/>
            <w:hideMark/>
          </w:tcPr>
          <w:p w14:paraId="7E7950E3" w14:textId="77777777" w:rsidR="00C2458A" w:rsidRPr="00903F45" w:rsidRDefault="00C2458A" w:rsidP="00C2458A">
            <w:pPr>
              <w:jc w:val="center"/>
              <w:rPr>
                <w:color w:val="000000"/>
                <w:sz w:val="22"/>
                <w:szCs w:val="22"/>
              </w:rPr>
            </w:pPr>
            <w:r w:rsidRPr="00903F45">
              <w:rPr>
                <w:sz w:val="22"/>
                <w:szCs w:val="22"/>
              </w:rPr>
              <w:t>102,029</w:t>
            </w:r>
          </w:p>
        </w:tc>
        <w:tc>
          <w:tcPr>
            <w:tcW w:w="1915" w:type="dxa"/>
            <w:shd w:val="clear" w:color="auto" w:fill="auto"/>
            <w:noWrap/>
            <w:vAlign w:val="center"/>
            <w:hideMark/>
          </w:tcPr>
          <w:p w14:paraId="0F2119B1" w14:textId="77777777" w:rsidR="00C2458A" w:rsidRPr="008565BE" w:rsidRDefault="00C2458A" w:rsidP="00C2458A">
            <w:pPr>
              <w:jc w:val="center"/>
              <w:rPr>
                <w:b/>
                <w:color w:val="000000"/>
                <w:sz w:val="22"/>
                <w:szCs w:val="22"/>
              </w:rPr>
            </w:pPr>
            <w:r w:rsidRPr="008565BE">
              <w:rPr>
                <w:b/>
                <w:sz w:val="22"/>
                <w:szCs w:val="22"/>
              </w:rPr>
              <w:t>103,121</w:t>
            </w:r>
          </w:p>
        </w:tc>
        <w:tc>
          <w:tcPr>
            <w:tcW w:w="1916" w:type="dxa"/>
            <w:shd w:val="clear" w:color="auto" w:fill="auto"/>
            <w:noWrap/>
            <w:vAlign w:val="center"/>
            <w:hideMark/>
          </w:tcPr>
          <w:p w14:paraId="03E34D48" w14:textId="77777777" w:rsidR="00C2458A" w:rsidRPr="00903F45" w:rsidRDefault="00C2458A" w:rsidP="00C2458A">
            <w:pPr>
              <w:jc w:val="center"/>
              <w:rPr>
                <w:color w:val="000000"/>
                <w:sz w:val="22"/>
                <w:szCs w:val="22"/>
              </w:rPr>
            </w:pPr>
            <w:r w:rsidRPr="00903F45">
              <w:rPr>
                <w:sz w:val="22"/>
                <w:szCs w:val="22"/>
              </w:rPr>
              <w:t>90,989</w:t>
            </w:r>
          </w:p>
        </w:tc>
      </w:tr>
      <w:tr w:rsidR="00C2458A" w:rsidRPr="00873B9E" w14:paraId="2471F429" w14:textId="77777777" w:rsidTr="00C2458A">
        <w:trPr>
          <w:trHeight w:val="53"/>
          <w:jc w:val="center"/>
        </w:trPr>
        <w:tc>
          <w:tcPr>
            <w:tcW w:w="1638" w:type="dxa"/>
            <w:shd w:val="clear" w:color="auto" w:fill="auto"/>
            <w:vAlign w:val="center"/>
            <w:hideMark/>
          </w:tcPr>
          <w:p w14:paraId="406F0C4F" w14:textId="77777777" w:rsidR="00C2458A" w:rsidRPr="00873B9E" w:rsidRDefault="00C2458A" w:rsidP="00C2458A">
            <w:pPr>
              <w:jc w:val="center"/>
              <w:rPr>
                <w:color w:val="000000"/>
                <w:sz w:val="22"/>
                <w:szCs w:val="22"/>
              </w:rPr>
            </w:pPr>
            <w:r w:rsidRPr="00873B9E">
              <w:rPr>
                <w:sz w:val="22"/>
                <w:szCs w:val="22"/>
              </w:rPr>
              <w:t>2019</w:t>
            </w:r>
          </w:p>
        </w:tc>
        <w:tc>
          <w:tcPr>
            <w:tcW w:w="1980" w:type="dxa"/>
            <w:shd w:val="clear" w:color="auto" w:fill="auto"/>
            <w:noWrap/>
            <w:vAlign w:val="center"/>
            <w:hideMark/>
          </w:tcPr>
          <w:p w14:paraId="7F37F96E" w14:textId="77777777" w:rsidR="00C2458A" w:rsidRPr="00873B9E" w:rsidRDefault="00C2458A" w:rsidP="00C2458A">
            <w:pPr>
              <w:jc w:val="center"/>
              <w:rPr>
                <w:color w:val="000000"/>
                <w:sz w:val="22"/>
                <w:szCs w:val="22"/>
              </w:rPr>
            </w:pPr>
            <w:r w:rsidRPr="00873B9E">
              <w:rPr>
                <w:sz w:val="22"/>
                <w:szCs w:val="22"/>
              </w:rPr>
              <w:t>124,766</w:t>
            </w:r>
          </w:p>
        </w:tc>
        <w:tc>
          <w:tcPr>
            <w:tcW w:w="2127" w:type="dxa"/>
            <w:shd w:val="clear" w:color="auto" w:fill="auto"/>
            <w:noWrap/>
            <w:vAlign w:val="center"/>
            <w:hideMark/>
          </w:tcPr>
          <w:p w14:paraId="2168DCC9" w14:textId="77777777" w:rsidR="00C2458A" w:rsidRPr="00903F45" w:rsidRDefault="00C2458A" w:rsidP="00C2458A">
            <w:pPr>
              <w:jc w:val="center"/>
              <w:rPr>
                <w:color w:val="000000"/>
                <w:sz w:val="22"/>
                <w:szCs w:val="22"/>
              </w:rPr>
            </w:pPr>
            <w:r w:rsidRPr="00903F45">
              <w:rPr>
                <w:sz w:val="22"/>
                <w:szCs w:val="22"/>
              </w:rPr>
              <w:t>104,928</w:t>
            </w:r>
          </w:p>
        </w:tc>
        <w:tc>
          <w:tcPr>
            <w:tcW w:w="1915" w:type="dxa"/>
            <w:shd w:val="clear" w:color="auto" w:fill="auto"/>
            <w:noWrap/>
            <w:vAlign w:val="center"/>
            <w:hideMark/>
          </w:tcPr>
          <w:p w14:paraId="4EEACD2E" w14:textId="77777777" w:rsidR="00C2458A" w:rsidRPr="008565BE" w:rsidRDefault="00C2458A" w:rsidP="00C2458A">
            <w:pPr>
              <w:jc w:val="center"/>
              <w:rPr>
                <w:b/>
                <w:color w:val="000000"/>
                <w:sz w:val="22"/>
                <w:szCs w:val="22"/>
              </w:rPr>
            </w:pPr>
            <w:r w:rsidRPr="008565BE">
              <w:rPr>
                <w:b/>
                <w:sz w:val="22"/>
                <w:szCs w:val="22"/>
              </w:rPr>
              <w:t>106,051</w:t>
            </w:r>
          </w:p>
        </w:tc>
        <w:tc>
          <w:tcPr>
            <w:tcW w:w="1916" w:type="dxa"/>
            <w:shd w:val="clear" w:color="auto" w:fill="auto"/>
            <w:noWrap/>
            <w:vAlign w:val="center"/>
            <w:hideMark/>
          </w:tcPr>
          <w:p w14:paraId="20CE4677" w14:textId="77777777" w:rsidR="00C2458A" w:rsidRPr="00903F45" w:rsidRDefault="00C2458A" w:rsidP="00C2458A">
            <w:pPr>
              <w:jc w:val="center"/>
              <w:rPr>
                <w:color w:val="000000"/>
                <w:sz w:val="22"/>
                <w:szCs w:val="22"/>
              </w:rPr>
            </w:pPr>
            <w:r w:rsidRPr="00903F45">
              <w:rPr>
                <w:sz w:val="22"/>
                <w:szCs w:val="22"/>
              </w:rPr>
              <w:t>93,574</w:t>
            </w:r>
          </w:p>
        </w:tc>
      </w:tr>
      <w:tr w:rsidR="00C2458A" w:rsidRPr="00873B9E" w14:paraId="62B18A8A" w14:textId="77777777" w:rsidTr="00C2458A">
        <w:trPr>
          <w:trHeight w:val="53"/>
          <w:jc w:val="center"/>
        </w:trPr>
        <w:tc>
          <w:tcPr>
            <w:tcW w:w="1638" w:type="dxa"/>
            <w:shd w:val="clear" w:color="auto" w:fill="auto"/>
            <w:vAlign w:val="center"/>
            <w:hideMark/>
          </w:tcPr>
          <w:p w14:paraId="42B093D3" w14:textId="77777777" w:rsidR="00C2458A" w:rsidRPr="00873B9E" w:rsidRDefault="00C2458A" w:rsidP="00C2458A">
            <w:pPr>
              <w:jc w:val="center"/>
              <w:rPr>
                <w:color w:val="000000"/>
                <w:sz w:val="22"/>
                <w:szCs w:val="22"/>
              </w:rPr>
            </w:pPr>
            <w:r w:rsidRPr="00873B9E">
              <w:rPr>
                <w:sz w:val="22"/>
                <w:szCs w:val="22"/>
              </w:rPr>
              <w:t>2020 onwards</w:t>
            </w:r>
          </w:p>
        </w:tc>
        <w:tc>
          <w:tcPr>
            <w:tcW w:w="1980" w:type="dxa"/>
            <w:shd w:val="clear" w:color="auto" w:fill="auto"/>
            <w:noWrap/>
            <w:vAlign w:val="center"/>
            <w:hideMark/>
          </w:tcPr>
          <w:p w14:paraId="0B23D1B5" w14:textId="77777777" w:rsidR="00C2458A" w:rsidRPr="00873B9E" w:rsidRDefault="00C2458A" w:rsidP="00C2458A">
            <w:pPr>
              <w:jc w:val="center"/>
              <w:rPr>
                <w:color w:val="000000"/>
                <w:sz w:val="22"/>
                <w:szCs w:val="22"/>
              </w:rPr>
            </w:pPr>
            <w:r w:rsidRPr="00873B9E">
              <w:rPr>
                <w:sz w:val="22"/>
                <w:szCs w:val="22"/>
              </w:rPr>
              <w:t>127,115</w:t>
            </w:r>
          </w:p>
        </w:tc>
        <w:tc>
          <w:tcPr>
            <w:tcW w:w="2127" w:type="dxa"/>
            <w:shd w:val="clear" w:color="auto" w:fill="auto"/>
            <w:noWrap/>
            <w:vAlign w:val="center"/>
            <w:hideMark/>
          </w:tcPr>
          <w:p w14:paraId="7830CE3D" w14:textId="77777777" w:rsidR="00C2458A" w:rsidRPr="00903F45" w:rsidRDefault="00C2458A" w:rsidP="00C2458A">
            <w:pPr>
              <w:jc w:val="center"/>
              <w:rPr>
                <w:color w:val="000000"/>
                <w:sz w:val="22"/>
                <w:szCs w:val="22"/>
              </w:rPr>
            </w:pPr>
            <w:r w:rsidRPr="00903F45">
              <w:rPr>
                <w:sz w:val="22"/>
                <w:szCs w:val="22"/>
              </w:rPr>
              <w:t>106,903</w:t>
            </w:r>
          </w:p>
        </w:tc>
        <w:tc>
          <w:tcPr>
            <w:tcW w:w="1915" w:type="dxa"/>
            <w:shd w:val="clear" w:color="auto" w:fill="auto"/>
            <w:noWrap/>
            <w:vAlign w:val="center"/>
            <w:hideMark/>
          </w:tcPr>
          <w:p w14:paraId="0364F0ED" w14:textId="77777777" w:rsidR="00C2458A" w:rsidRPr="008565BE" w:rsidRDefault="00C2458A" w:rsidP="00C2458A">
            <w:pPr>
              <w:jc w:val="center"/>
              <w:rPr>
                <w:b/>
                <w:color w:val="000000"/>
                <w:sz w:val="22"/>
                <w:szCs w:val="22"/>
              </w:rPr>
            </w:pPr>
            <w:r w:rsidRPr="008565BE">
              <w:rPr>
                <w:b/>
                <w:sz w:val="22"/>
                <w:szCs w:val="22"/>
              </w:rPr>
              <w:t>108,048</w:t>
            </w:r>
          </w:p>
        </w:tc>
        <w:tc>
          <w:tcPr>
            <w:tcW w:w="1916" w:type="dxa"/>
            <w:shd w:val="clear" w:color="auto" w:fill="auto"/>
            <w:noWrap/>
            <w:vAlign w:val="center"/>
            <w:hideMark/>
          </w:tcPr>
          <w:p w14:paraId="527B63D4" w14:textId="77777777" w:rsidR="00C2458A" w:rsidRPr="00903F45" w:rsidRDefault="00C2458A" w:rsidP="00C2458A">
            <w:pPr>
              <w:jc w:val="center"/>
              <w:rPr>
                <w:color w:val="000000"/>
                <w:sz w:val="22"/>
                <w:szCs w:val="22"/>
              </w:rPr>
            </w:pPr>
            <w:r w:rsidRPr="00903F45">
              <w:rPr>
                <w:sz w:val="22"/>
                <w:szCs w:val="22"/>
              </w:rPr>
              <w:t>95,336</w:t>
            </w:r>
          </w:p>
        </w:tc>
      </w:tr>
      <w:tr w:rsidR="00C2458A" w:rsidRPr="00873B9E" w14:paraId="78C26F54" w14:textId="77777777" w:rsidTr="00C2458A">
        <w:trPr>
          <w:trHeight w:val="53"/>
          <w:jc w:val="center"/>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1CB7C2" w14:textId="77777777" w:rsidR="00C2458A" w:rsidRPr="001F05C1" w:rsidRDefault="00C2458A" w:rsidP="00C2458A">
            <w:pPr>
              <w:jc w:val="center"/>
              <w:rPr>
                <w:b/>
                <w:sz w:val="22"/>
                <w:szCs w:val="22"/>
              </w:rPr>
            </w:pPr>
            <w:r w:rsidRPr="001F05C1">
              <w:rPr>
                <w:b/>
                <w:sz w:val="22"/>
                <w:szCs w:val="22"/>
              </w:rPr>
              <w:t>Sub-alternative 2b (Action 3)</w:t>
            </w:r>
            <w:r>
              <w:rPr>
                <w:b/>
                <w:sz w:val="22"/>
                <w:szCs w:val="22"/>
              </w:rPr>
              <w:t xml:space="preserve">: </w:t>
            </w:r>
            <w:r w:rsidRPr="001F05C1">
              <w:rPr>
                <w:b/>
                <w:sz w:val="22"/>
                <w:szCs w:val="22"/>
              </w:rPr>
              <w:t>ACL = OY = 95%ABC</w:t>
            </w:r>
          </w:p>
        </w:tc>
      </w:tr>
      <w:tr w:rsidR="00C2458A" w:rsidRPr="00873B9E" w14:paraId="1C23170E" w14:textId="77777777" w:rsidTr="00C2458A">
        <w:trPr>
          <w:trHeight w:val="53"/>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5635F242" w14:textId="77777777" w:rsidR="00C2458A" w:rsidRPr="00873B9E" w:rsidRDefault="00C2458A" w:rsidP="00C2458A">
            <w:pPr>
              <w:jc w:val="center"/>
              <w:rPr>
                <w:sz w:val="22"/>
                <w:szCs w:val="22"/>
              </w:rPr>
            </w:pPr>
            <w:r w:rsidRPr="00873B9E">
              <w:rPr>
                <w:sz w:val="22"/>
                <w:szCs w:val="22"/>
              </w:rPr>
              <w:t>2017</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BBAD8" w14:textId="77777777" w:rsidR="00C2458A" w:rsidRPr="00873B9E" w:rsidRDefault="00C2458A" w:rsidP="00C2458A">
            <w:pPr>
              <w:jc w:val="center"/>
              <w:rPr>
                <w:sz w:val="22"/>
                <w:szCs w:val="22"/>
              </w:rPr>
            </w:pPr>
            <w:r w:rsidRPr="00873B9E">
              <w:rPr>
                <w:sz w:val="22"/>
                <w:szCs w:val="22"/>
              </w:rPr>
              <w:t>110,321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BEDBF" w14:textId="77777777" w:rsidR="00C2458A" w:rsidRPr="00873B9E" w:rsidRDefault="00C2458A" w:rsidP="00C2458A">
            <w:pPr>
              <w:jc w:val="center"/>
              <w:rPr>
                <w:sz w:val="22"/>
                <w:szCs w:val="22"/>
              </w:rPr>
            </w:pPr>
            <w:r w:rsidRPr="00873B9E">
              <w:rPr>
                <w:sz w:val="22"/>
                <w:szCs w:val="22"/>
              </w:rPr>
              <w:t>92,780</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CAD33" w14:textId="77777777" w:rsidR="00C2458A" w:rsidRPr="00903F45" w:rsidRDefault="00C2458A" w:rsidP="00C2458A">
            <w:pPr>
              <w:jc w:val="center"/>
              <w:rPr>
                <w:sz w:val="22"/>
                <w:szCs w:val="22"/>
              </w:rPr>
            </w:pPr>
            <w:r w:rsidRPr="00903F45">
              <w:rPr>
                <w:sz w:val="22"/>
                <w:szCs w:val="22"/>
              </w:rPr>
              <w:t>93,773</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D5E2E" w14:textId="77777777" w:rsidR="00C2458A" w:rsidRPr="00903F45" w:rsidRDefault="00C2458A" w:rsidP="00C2458A">
            <w:pPr>
              <w:jc w:val="center"/>
              <w:rPr>
                <w:sz w:val="22"/>
                <w:szCs w:val="22"/>
              </w:rPr>
            </w:pPr>
            <w:r w:rsidRPr="00903F45">
              <w:rPr>
                <w:sz w:val="22"/>
                <w:szCs w:val="22"/>
              </w:rPr>
              <w:t>82,741</w:t>
            </w:r>
          </w:p>
        </w:tc>
      </w:tr>
      <w:tr w:rsidR="00C2458A" w:rsidRPr="00873B9E" w14:paraId="33371507" w14:textId="77777777" w:rsidTr="00C2458A">
        <w:trPr>
          <w:trHeight w:val="53"/>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09382FCF" w14:textId="77777777" w:rsidR="00C2458A" w:rsidRPr="00873B9E" w:rsidRDefault="00C2458A" w:rsidP="00C2458A">
            <w:pPr>
              <w:jc w:val="center"/>
              <w:rPr>
                <w:sz w:val="22"/>
                <w:szCs w:val="22"/>
              </w:rPr>
            </w:pPr>
            <w:r w:rsidRPr="00873B9E">
              <w:rPr>
                <w:sz w:val="22"/>
                <w:szCs w:val="22"/>
              </w:rPr>
              <w:t>2018</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EC2C2" w14:textId="77777777" w:rsidR="00C2458A" w:rsidRPr="00873B9E" w:rsidRDefault="00C2458A" w:rsidP="00C2458A">
            <w:pPr>
              <w:jc w:val="center"/>
              <w:rPr>
                <w:sz w:val="22"/>
                <w:szCs w:val="22"/>
              </w:rPr>
            </w:pPr>
            <w:r w:rsidRPr="00873B9E">
              <w:rPr>
                <w:sz w:val="22"/>
                <w:szCs w:val="22"/>
              </w:rPr>
              <w:t>115,252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26CE9" w14:textId="77777777" w:rsidR="00C2458A" w:rsidRPr="00873B9E" w:rsidRDefault="00C2458A" w:rsidP="00C2458A">
            <w:pPr>
              <w:jc w:val="center"/>
              <w:rPr>
                <w:sz w:val="22"/>
                <w:szCs w:val="22"/>
              </w:rPr>
            </w:pPr>
            <w:r w:rsidRPr="00873B9E">
              <w:rPr>
                <w:sz w:val="22"/>
                <w:szCs w:val="22"/>
              </w:rPr>
              <w:t>96,927</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8F7B8" w14:textId="77777777" w:rsidR="00C2458A" w:rsidRPr="00903F45" w:rsidRDefault="00C2458A" w:rsidP="00C2458A">
            <w:pPr>
              <w:jc w:val="center"/>
              <w:rPr>
                <w:sz w:val="22"/>
                <w:szCs w:val="22"/>
              </w:rPr>
            </w:pPr>
            <w:r w:rsidRPr="00903F45">
              <w:rPr>
                <w:sz w:val="22"/>
                <w:szCs w:val="22"/>
              </w:rPr>
              <w:t>97,965</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415D9" w14:textId="77777777" w:rsidR="00C2458A" w:rsidRPr="00903F45" w:rsidRDefault="00C2458A" w:rsidP="00C2458A">
            <w:pPr>
              <w:jc w:val="center"/>
              <w:rPr>
                <w:sz w:val="22"/>
                <w:szCs w:val="22"/>
              </w:rPr>
            </w:pPr>
            <w:r w:rsidRPr="00903F45">
              <w:rPr>
                <w:sz w:val="22"/>
                <w:szCs w:val="22"/>
              </w:rPr>
              <w:t>86,439</w:t>
            </w:r>
          </w:p>
        </w:tc>
      </w:tr>
      <w:tr w:rsidR="00C2458A" w:rsidRPr="00873B9E" w14:paraId="4663AC10" w14:textId="77777777" w:rsidTr="00C2458A">
        <w:trPr>
          <w:trHeight w:val="53"/>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632E764C" w14:textId="77777777" w:rsidR="00C2458A" w:rsidRPr="00873B9E" w:rsidRDefault="00C2458A" w:rsidP="00C2458A">
            <w:pPr>
              <w:jc w:val="center"/>
              <w:rPr>
                <w:sz w:val="22"/>
                <w:szCs w:val="22"/>
              </w:rPr>
            </w:pPr>
            <w:r w:rsidRPr="00873B9E">
              <w:rPr>
                <w:sz w:val="22"/>
                <w:szCs w:val="22"/>
              </w:rPr>
              <w:t>2019</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D29C3" w14:textId="77777777" w:rsidR="00C2458A" w:rsidRPr="00873B9E" w:rsidRDefault="00C2458A" w:rsidP="00C2458A">
            <w:pPr>
              <w:jc w:val="center"/>
              <w:rPr>
                <w:sz w:val="22"/>
                <w:szCs w:val="22"/>
              </w:rPr>
            </w:pPr>
            <w:r w:rsidRPr="00873B9E">
              <w:rPr>
                <w:sz w:val="22"/>
                <w:szCs w:val="22"/>
              </w:rPr>
              <w:t>118,528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7E3BF" w14:textId="77777777" w:rsidR="00C2458A" w:rsidRPr="00873B9E" w:rsidRDefault="00C2458A" w:rsidP="00C2458A">
            <w:pPr>
              <w:jc w:val="center"/>
              <w:rPr>
                <w:sz w:val="22"/>
                <w:szCs w:val="22"/>
              </w:rPr>
            </w:pPr>
            <w:r w:rsidRPr="00873B9E">
              <w:rPr>
                <w:sz w:val="22"/>
                <w:szCs w:val="22"/>
              </w:rPr>
              <w:t>99,682</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90248" w14:textId="77777777" w:rsidR="00C2458A" w:rsidRPr="00903F45" w:rsidRDefault="00C2458A" w:rsidP="00C2458A">
            <w:pPr>
              <w:jc w:val="center"/>
              <w:rPr>
                <w:sz w:val="22"/>
                <w:szCs w:val="22"/>
              </w:rPr>
            </w:pPr>
            <w:r w:rsidRPr="00903F45">
              <w:rPr>
                <w:sz w:val="22"/>
                <w:szCs w:val="22"/>
              </w:rPr>
              <w:t>100,749</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97393" w14:textId="77777777" w:rsidR="00C2458A" w:rsidRPr="00903F45" w:rsidRDefault="00C2458A" w:rsidP="00C2458A">
            <w:pPr>
              <w:jc w:val="center"/>
              <w:rPr>
                <w:sz w:val="22"/>
                <w:szCs w:val="22"/>
              </w:rPr>
            </w:pPr>
            <w:r w:rsidRPr="00903F45">
              <w:rPr>
                <w:sz w:val="22"/>
                <w:szCs w:val="22"/>
              </w:rPr>
              <w:t>88,896</w:t>
            </w:r>
          </w:p>
        </w:tc>
      </w:tr>
      <w:tr w:rsidR="00C2458A" w:rsidRPr="00873B9E" w14:paraId="59991E40" w14:textId="77777777" w:rsidTr="00C2458A">
        <w:trPr>
          <w:trHeight w:val="53"/>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78CCBD99" w14:textId="77777777" w:rsidR="00C2458A" w:rsidRPr="00873B9E" w:rsidRDefault="00C2458A" w:rsidP="00C2458A">
            <w:pPr>
              <w:jc w:val="center"/>
              <w:rPr>
                <w:sz w:val="22"/>
                <w:szCs w:val="22"/>
              </w:rPr>
            </w:pPr>
            <w:r w:rsidRPr="00873B9E">
              <w:rPr>
                <w:sz w:val="22"/>
                <w:szCs w:val="22"/>
              </w:rPr>
              <w:t>2020 onwards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283FA" w14:textId="77777777" w:rsidR="00C2458A" w:rsidRPr="00873B9E" w:rsidRDefault="00C2458A" w:rsidP="00C2458A">
            <w:pPr>
              <w:jc w:val="center"/>
              <w:rPr>
                <w:sz w:val="22"/>
                <w:szCs w:val="22"/>
              </w:rPr>
            </w:pPr>
            <w:r w:rsidRPr="00873B9E">
              <w:rPr>
                <w:sz w:val="22"/>
                <w:szCs w:val="22"/>
              </w:rPr>
              <w:t>120,759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DEF27" w14:textId="77777777" w:rsidR="00C2458A" w:rsidRPr="00903F45" w:rsidRDefault="00C2458A" w:rsidP="00C2458A">
            <w:pPr>
              <w:jc w:val="center"/>
              <w:rPr>
                <w:sz w:val="22"/>
                <w:szCs w:val="22"/>
              </w:rPr>
            </w:pPr>
            <w:r w:rsidRPr="00903F45">
              <w:rPr>
                <w:sz w:val="22"/>
                <w:szCs w:val="22"/>
              </w:rPr>
              <w:t>101,558</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C8321" w14:textId="77777777" w:rsidR="00C2458A" w:rsidRPr="00903F45" w:rsidRDefault="00C2458A" w:rsidP="00C2458A">
            <w:pPr>
              <w:jc w:val="center"/>
              <w:rPr>
                <w:sz w:val="22"/>
                <w:szCs w:val="22"/>
              </w:rPr>
            </w:pPr>
            <w:r w:rsidRPr="00903F45">
              <w:rPr>
                <w:sz w:val="22"/>
                <w:szCs w:val="22"/>
              </w:rPr>
              <w:t>102,645</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F92A2" w14:textId="77777777" w:rsidR="00C2458A" w:rsidRPr="00903F45" w:rsidRDefault="00C2458A" w:rsidP="00C2458A">
            <w:pPr>
              <w:jc w:val="center"/>
              <w:rPr>
                <w:sz w:val="22"/>
                <w:szCs w:val="22"/>
              </w:rPr>
            </w:pPr>
            <w:r w:rsidRPr="00903F45">
              <w:rPr>
                <w:sz w:val="22"/>
                <w:szCs w:val="22"/>
              </w:rPr>
              <w:t>90,569</w:t>
            </w:r>
          </w:p>
        </w:tc>
      </w:tr>
      <w:tr w:rsidR="00C2458A" w:rsidRPr="00873B9E" w14:paraId="11021500" w14:textId="77777777" w:rsidTr="00C2458A">
        <w:trPr>
          <w:trHeight w:val="53"/>
          <w:jc w:val="center"/>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2A6F70" w14:textId="77777777" w:rsidR="00C2458A" w:rsidRPr="00873B9E" w:rsidRDefault="00C2458A" w:rsidP="00C2458A">
            <w:pPr>
              <w:jc w:val="center"/>
              <w:rPr>
                <w:b/>
                <w:sz w:val="22"/>
                <w:szCs w:val="22"/>
              </w:rPr>
            </w:pPr>
            <w:r w:rsidRPr="00873B9E">
              <w:rPr>
                <w:b/>
                <w:sz w:val="22"/>
                <w:szCs w:val="22"/>
              </w:rPr>
              <w:t>Sub-alternative 2c (Action 3)</w:t>
            </w:r>
            <w:r>
              <w:rPr>
                <w:b/>
                <w:sz w:val="22"/>
                <w:szCs w:val="22"/>
              </w:rPr>
              <w:t xml:space="preserve">: </w:t>
            </w:r>
            <w:r w:rsidRPr="00873B9E">
              <w:rPr>
                <w:b/>
                <w:sz w:val="22"/>
                <w:szCs w:val="22"/>
              </w:rPr>
              <w:t>ACL = OY = 90%ABC</w:t>
            </w:r>
          </w:p>
        </w:tc>
      </w:tr>
      <w:tr w:rsidR="00C2458A" w:rsidRPr="00873B9E" w14:paraId="7DAFF34C" w14:textId="77777777" w:rsidTr="00C2458A">
        <w:trPr>
          <w:trHeight w:val="53"/>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17EC5767" w14:textId="77777777" w:rsidR="00C2458A" w:rsidRPr="00873B9E" w:rsidRDefault="00C2458A" w:rsidP="00C2458A">
            <w:pPr>
              <w:jc w:val="center"/>
              <w:rPr>
                <w:sz w:val="22"/>
                <w:szCs w:val="22"/>
              </w:rPr>
            </w:pPr>
            <w:r w:rsidRPr="00873B9E">
              <w:rPr>
                <w:sz w:val="22"/>
                <w:szCs w:val="22"/>
              </w:rPr>
              <w:t>2017</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1B8F2" w14:textId="77777777" w:rsidR="00C2458A" w:rsidRPr="00873B9E" w:rsidRDefault="00C2458A" w:rsidP="00C2458A">
            <w:pPr>
              <w:jc w:val="center"/>
              <w:rPr>
                <w:sz w:val="22"/>
                <w:szCs w:val="22"/>
              </w:rPr>
            </w:pPr>
            <w:r w:rsidRPr="00873B9E">
              <w:rPr>
                <w:sz w:val="22"/>
                <w:szCs w:val="22"/>
              </w:rPr>
              <w:t>104,514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11466" w14:textId="77777777" w:rsidR="00C2458A" w:rsidRPr="00903F45" w:rsidRDefault="00C2458A" w:rsidP="00C2458A">
            <w:pPr>
              <w:jc w:val="center"/>
              <w:rPr>
                <w:sz w:val="22"/>
                <w:szCs w:val="22"/>
              </w:rPr>
            </w:pPr>
            <w:r w:rsidRPr="00903F45">
              <w:rPr>
                <w:sz w:val="22"/>
                <w:szCs w:val="22"/>
              </w:rPr>
              <w:t>87,897</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869E4" w14:textId="77777777" w:rsidR="00C2458A" w:rsidRPr="00903F45" w:rsidRDefault="00C2458A" w:rsidP="00C2458A">
            <w:pPr>
              <w:jc w:val="center"/>
              <w:rPr>
                <w:sz w:val="22"/>
                <w:szCs w:val="22"/>
              </w:rPr>
            </w:pPr>
            <w:r w:rsidRPr="00903F45">
              <w:rPr>
                <w:sz w:val="22"/>
                <w:szCs w:val="22"/>
              </w:rPr>
              <w:t>88,837</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32BB0" w14:textId="77777777" w:rsidR="00C2458A" w:rsidRPr="00903F45" w:rsidRDefault="00C2458A" w:rsidP="00C2458A">
            <w:pPr>
              <w:jc w:val="center"/>
              <w:rPr>
                <w:sz w:val="22"/>
                <w:szCs w:val="22"/>
              </w:rPr>
            </w:pPr>
            <w:r w:rsidRPr="00903F45">
              <w:rPr>
                <w:sz w:val="22"/>
                <w:szCs w:val="22"/>
              </w:rPr>
              <w:t>78,386</w:t>
            </w:r>
          </w:p>
        </w:tc>
      </w:tr>
      <w:tr w:rsidR="00C2458A" w:rsidRPr="00873B9E" w14:paraId="073CB4A3" w14:textId="77777777" w:rsidTr="00C2458A">
        <w:trPr>
          <w:trHeight w:val="53"/>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6215AE42" w14:textId="77777777" w:rsidR="00C2458A" w:rsidRPr="00873B9E" w:rsidRDefault="00C2458A" w:rsidP="00C2458A">
            <w:pPr>
              <w:jc w:val="center"/>
              <w:rPr>
                <w:sz w:val="22"/>
                <w:szCs w:val="22"/>
              </w:rPr>
            </w:pPr>
            <w:r w:rsidRPr="00873B9E">
              <w:rPr>
                <w:sz w:val="22"/>
                <w:szCs w:val="22"/>
              </w:rPr>
              <w:t>2018</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AF95B" w14:textId="77777777" w:rsidR="00C2458A" w:rsidRPr="00873B9E" w:rsidRDefault="00C2458A" w:rsidP="00C2458A">
            <w:pPr>
              <w:jc w:val="center"/>
              <w:rPr>
                <w:sz w:val="22"/>
                <w:szCs w:val="22"/>
              </w:rPr>
            </w:pPr>
            <w:r w:rsidRPr="00873B9E">
              <w:rPr>
                <w:sz w:val="22"/>
                <w:szCs w:val="22"/>
              </w:rPr>
              <w:t>109,186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D2107" w14:textId="77777777" w:rsidR="00C2458A" w:rsidRPr="00903F45" w:rsidRDefault="00C2458A" w:rsidP="00C2458A">
            <w:pPr>
              <w:jc w:val="center"/>
              <w:rPr>
                <w:sz w:val="22"/>
                <w:szCs w:val="22"/>
              </w:rPr>
            </w:pPr>
            <w:r w:rsidRPr="00903F45">
              <w:rPr>
                <w:sz w:val="22"/>
                <w:szCs w:val="22"/>
              </w:rPr>
              <w:t>91,826</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8E4E2" w14:textId="77777777" w:rsidR="00C2458A" w:rsidRPr="00903F45" w:rsidRDefault="00C2458A" w:rsidP="00C2458A">
            <w:pPr>
              <w:jc w:val="center"/>
              <w:rPr>
                <w:sz w:val="22"/>
                <w:szCs w:val="22"/>
              </w:rPr>
            </w:pPr>
            <w:r w:rsidRPr="00903F45">
              <w:rPr>
                <w:sz w:val="22"/>
                <w:szCs w:val="22"/>
              </w:rPr>
              <w:t>92,809</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175AF" w14:textId="77777777" w:rsidR="00C2458A" w:rsidRPr="00903F45" w:rsidRDefault="00C2458A" w:rsidP="00C2458A">
            <w:pPr>
              <w:jc w:val="center"/>
              <w:rPr>
                <w:sz w:val="22"/>
                <w:szCs w:val="22"/>
              </w:rPr>
            </w:pPr>
            <w:r w:rsidRPr="00903F45">
              <w:rPr>
                <w:sz w:val="22"/>
                <w:szCs w:val="22"/>
              </w:rPr>
              <w:t>81,890</w:t>
            </w:r>
          </w:p>
        </w:tc>
      </w:tr>
      <w:tr w:rsidR="00C2458A" w:rsidRPr="00873B9E" w14:paraId="69406903" w14:textId="77777777" w:rsidTr="00C2458A">
        <w:trPr>
          <w:trHeight w:val="53"/>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3EEA8092" w14:textId="77777777" w:rsidR="00C2458A" w:rsidRPr="00873B9E" w:rsidRDefault="00C2458A" w:rsidP="00C2458A">
            <w:pPr>
              <w:jc w:val="center"/>
              <w:rPr>
                <w:sz w:val="22"/>
                <w:szCs w:val="22"/>
              </w:rPr>
            </w:pPr>
            <w:r w:rsidRPr="00873B9E">
              <w:rPr>
                <w:sz w:val="22"/>
                <w:szCs w:val="22"/>
              </w:rPr>
              <w:t>2019</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33316" w14:textId="77777777" w:rsidR="00C2458A" w:rsidRPr="00873B9E" w:rsidRDefault="00C2458A" w:rsidP="00C2458A">
            <w:pPr>
              <w:jc w:val="center"/>
              <w:rPr>
                <w:sz w:val="22"/>
                <w:szCs w:val="22"/>
              </w:rPr>
            </w:pPr>
            <w:r w:rsidRPr="00873B9E">
              <w:rPr>
                <w:sz w:val="22"/>
                <w:szCs w:val="22"/>
              </w:rPr>
              <w:t>112,289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BA8DD" w14:textId="77777777" w:rsidR="00C2458A" w:rsidRPr="00903F45" w:rsidRDefault="00C2458A" w:rsidP="00C2458A">
            <w:pPr>
              <w:jc w:val="center"/>
              <w:rPr>
                <w:sz w:val="22"/>
                <w:szCs w:val="22"/>
              </w:rPr>
            </w:pPr>
            <w:r w:rsidRPr="00903F45">
              <w:rPr>
                <w:sz w:val="22"/>
                <w:szCs w:val="22"/>
              </w:rPr>
              <w:t>94,435</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9DFE8" w14:textId="77777777" w:rsidR="00C2458A" w:rsidRPr="00903F45" w:rsidRDefault="00C2458A" w:rsidP="00C2458A">
            <w:pPr>
              <w:jc w:val="center"/>
              <w:rPr>
                <w:sz w:val="22"/>
                <w:szCs w:val="22"/>
              </w:rPr>
            </w:pPr>
            <w:r w:rsidRPr="00903F45">
              <w:rPr>
                <w:sz w:val="22"/>
                <w:szCs w:val="22"/>
              </w:rPr>
              <w:t>95,446</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F94E7" w14:textId="77777777" w:rsidR="00C2458A" w:rsidRPr="00903F45" w:rsidRDefault="00C2458A" w:rsidP="00C2458A">
            <w:pPr>
              <w:jc w:val="center"/>
              <w:rPr>
                <w:sz w:val="22"/>
                <w:szCs w:val="22"/>
              </w:rPr>
            </w:pPr>
            <w:r w:rsidRPr="00903F45">
              <w:rPr>
                <w:sz w:val="22"/>
                <w:szCs w:val="22"/>
              </w:rPr>
              <w:t>84,217</w:t>
            </w:r>
          </w:p>
        </w:tc>
      </w:tr>
      <w:tr w:rsidR="00C2458A" w:rsidRPr="00873B9E" w14:paraId="63128847" w14:textId="77777777" w:rsidTr="00C2458A">
        <w:trPr>
          <w:trHeight w:val="53"/>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6709851C" w14:textId="77777777" w:rsidR="00C2458A" w:rsidRPr="00873B9E" w:rsidRDefault="00C2458A" w:rsidP="00C2458A">
            <w:pPr>
              <w:jc w:val="center"/>
              <w:rPr>
                <w:sz w:val="22"/>
                <w:szCs w:val="22"/>
              </w:rPr>
            </w:pPr>
            <w:r w:rsidRPr="00873B9E">
              <w:rPr>
                <w:sz w:val="22"/>
                <w:szCs w:val="22"/>
              </w:rPr>
              <w:t>2020 onwards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46806" w14:textId="77777777" w:rsidR="00C2458A" w:rsidRPr="00873B9E" w:rsidRDefault="00C2458A" w:rsidP="00C2458A">
            <w:pPr>
              <w:jc w:val="center"/>
              <w:rPr>
                <w:sz w:val="22"/>
                <w:szCs w:val="22"/>
              </w:rPr>
            </w:pPr>
            <w:r w:rsidRPr="00873B9E">
              <w:rPr>
                <w:sz w:val="22"/>
                <w:szCs w:val="22"/>
              </w:rPr>
              <w:t>114,403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79AC1" w14:textId="77777777" w:rsidR="00C2458A" w:rsidRPr="00903F45" w:rsidRDefault="00C2458A" w:rsidP="00C2458A">
            <w:pPr>
              <w:jc w:val="center"/>
              <w:rPr>
                <w:sz w:val="22"/>
                <w:szCs w:val="22"/>
              </w:rPr>
            </w:pPr>
            <w:r w:rsidRPr="00903F45">
              <w:rPr>
                <w:sz w:val="22"/>
                <w:szCs w:val="22"/>
              </w:rPr>
              <w:t>96,213</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8993C" w14:textId="77777777" w:rsidR="00C2458A" w:rsidRPr="00903F45" w:rsidRDefault="00C2458A" w:rsidP="00C2458A">
            <w:pPr>
              <w:jc w:val="center"/>
              <w:rPr>
                <w:sz w:val="22"/>
                <w:szCs w:val="22"/>
              </w:rPr>
            </w:pPr>
            <w:r w:rsidRPr="00903F45">
              <w:rPr>
                <w:sz w:val="22"/>
                <w:szCs w:val="22"/>
              </w:rPr>
              <w:t>97,243</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B5256" w14:textId="77777777" w:rsidR="00C2458A" w:rsidRPr="00903F45" w:rsidRDefault="00C2458A" w:rsidP="00C2458A">
            <w:pPr>
              <w:jc w:val="center"/>
              <w:rPr>
                <w:sz w:val="22"/>
                <w:szCs w:val="22"/>
              </w:rPr>
            </w:pPr>
            <w:r w:rsidRPr="00903F45">
              <w:rPr>
                <w:sz w:val="22"/>
                <w:szCs w:val="22"/>
              </w:rPr>
              <w:t>85,802</w:t>
            </w:r>
          </w:p>
        </w:tc>
      </w:tr>
    </w:tbl>
    <w:p w14:paraId="7117507B" w14:textId="77777777" w:rsidR="00C616C2" w:rsidRDefault="00C616C2" w:rsidP="00006826">
      <w:pPr>
        <w:ind w:firstLine="360"/>
      </w:pPr>
    </w:p>
    <w:p w14:paraId="71E37BD5" w14:textId="7C502D30" w:rsidR="00A33201" w:rsidRDefault="00C616C2" w:rsidP="00CD683A">
      <w:pPr>
        <w:ind w:firstLine="360"/>
      </w:pPr>
      <w:r>
        <w:t>The current recreational ACT (</w:t>
      </w:r>
      <w:r w:rsidRPr="00006826">
        <w:rPr>
          <w:b/>
        </w:rPr>
        <w:t>Alternative 1 (No Action)</w:t>
      </w:r>
      <w:r>
        <w:t>) for mutton snapper in the South Atlantic Council’s area of jurisdiction is 668,906 lbs ww.  Since the South Atlantic Council proposes to specify the recreational ACL for mutton snapper in numbers of fish (</w:t>
      </w:r>
      <w:r w:rsidRPr="00006826">
        <w:rPr>
          <w:b/>
        </w:rPr>
        <w:t>Action 3</w:t>
      </w:r>
      <w:r>
        <w:t xml:space="preserve">), </w:t>
      </w:r>
      <w:r w:rsidRPr="00C616C2">
        <w:rPr>
          <w:b/>
        </w:rPr>
        <w:t>Alternative</w:t>
      </w:r>
      <w:r w:rsidRPr="00006826">
        <w:rPr>
          <w:b/>
        </w:rPr>
        <w:t xml:space="preserve"> 1 (No Action)</w:t>
      </w:r>
      <w:r>
        <w:t xml:space="preserve"> is not a viable alternative as there would be no consistency in the units.</w:t>
      </w:r>
      <w:r w:rsidR="00CD683A">
        <w:t xml:space="preserve">  </w:t>
      </w:r>
      <w:r w:rsidR="0021174F">
        <w:t xml:space="preserve">In addition, retaining the current ACT would ignore the results of the recent update to the mutton snapper stock assessment (SEDAR 15A Update 2015).  </w:t>
      </w:r>
      <w:r w:rsidR="00A33201">
        <w:t xml:space="preserve">Because the South Atlantic Council has not employed ACTs in its management strategy for the snapper grouper fishery, the biological effects of </w:t>
      </w:r>
      <w:r w:rsidR="00A33201" w:rsidRPr="00352929">
        <w:rPr>
          <w:b/>
        </w:rPr>
        <w:t xml:space="preserve">Preferred </w:t>
      </w:r>
      <w:r w:rsidR="00CD683A">
        <w:rPr>
          <w:b/>
        </w:rPr>
        <w:t xml:space="preserve">Alternative 2 </w:t>
      </w:r>
      <w:r w:rsidR="00CD683A" w:rsidRPr="00006826">
        <w:t>and its sub-</w:t>
      </w:r>
      <w:r w:rsidR="00CD683A" w:rsidRPr="00CD683A">
        <w:t>alternatives</w:t>
      </w:r>
      <w:r w:rsidR="00CD683A">
        <w:rPr>
          <w:b/>
        </w:rPr>
        <w:t xml:space="preserve"> </w:t>
      </w:r>
      <w:r w:rsidR="00A33201">
        <w:t xml:space="preserve">would be neutral.  </w:t>
      </w:r>
      <w:r w:rsidR="00CD683A">
        <w:t xml:space="preserve">Of the sub-alternatives under </w:t>
      </w:r>
      <w:r w:rsidR="00CD683A" w:rsidRPr="00006826">
        <w:rPr>
          <w:b/>
        </w:rPr>
        <w:t>Preferred Alternative 2</w:t>
      </w:r>
      <w:r w:rsidR="00CD683A">
        <w:t xml:space="preserve">, </w:t>
      </w:r>
      <w:r w:rsidR="00CD683A" w:rsidRPr="00006826">
        <w:rPr>
          <w:b/>
        </w:rPr>
        <w:t>Preferred Sub-alternative 2b</w:t>
      </w:r>
      <w:r w:rsidR="00CD683A">
        <w:t xml:space="preserve"> </w:t>
      </w:r>
      <w:r w:rsidR="00B45D9A">
        <w:t>proposes the</w:t>
      </w:r>
      <w:r w:rsidR="00CD683A">
        <w:t xml:space="preserve"> highest values.  That is, if </w:t>
      </w:r>
      <w:r w:rsidR="00E4546F">
        <w:t>AM</w:t>
      </w:r>
      <w:r w:rsidR="00CD683A">
        <w:t xml:space="preserve">s were tied to the recreational ACT, they would be triggered less frequently than under </w:t>
      </w:r>
      <w:r w:rsidR="00CD683A" w:rsidRPr="00006826">
        <w:rPr>
          <w:b/>
        </w:rPr>
        <w:t>Sub-alternative 2a</w:t>
      </w:r>
      <w:r w:rsidR="00CD683A">
        <w:t xml:space="preserve"> or </w:t>
      </w:r>
      <w:r w:rsidR="00CD683A" w:rsidRPr="00006826">
        <w:rPr>
          <w:b/>
        </w:rPr>
        <w:t>2c</w:t>
      </w:r>
      <w:r w:rsidR="00CD683A">
        <w:t>.  However, as stated previously, recreational ACTs are currently not an active part of the management strategy for snapper grouper species and accountability measures are in place to ensure that ACLs are not exceeded.</w:t>
      </w:r>
    </w:p>
    <w:p w14:paraId="69F2EE4B" w14:textId="77777777" w:rsidR="00A33201" w:rsidRDefault="00A33201" w:rsidP="00006826"/>
    <w:p w14:paraId="27AC9481" w14:textId="58C84D6C" w:rsidR="00A33201" w:rsidRDefault="00A33201" w:rsidP="00A33201">
      <w:pPr>
        <w:ind w:firstLine="360"/>
      </w:pPr>
      <w:r>
        <w:rPr>
          <w:rFonts w:eastAsia="Calibri"/>
        </w:rPr>
        <w:t>This action would not be expected to affect discards</w:t>
      </w:r>
      <w:r w:rsidR="006228D0">
        <w:rPr>
          <w:rFonts w:eastAsia="Calibri"/>
        </w:rPr>
        <w:t xml:space="preserve"> </w:t>
      </w:r>
      <w:r>
        <w:rPr>
          <w:rFonts w:eastAsia="Calibri"/>
        </w:rPr>
        <w:t xml:space="preserve">and/or bycatch, since the only consequence of reaching the ACT would be to </w:t>
      </w:r>
      <w:r w:rsidR="00CD683A">
        <w:rPr>
          <w:rFonts w:eastAsia="Calibri"/>
        </w:rPr>
        <w:t xml:space="preserve">continue to </w:t>
      </w:r>
      <w:r>
        <w:rPr>
          <w:rFonts w:eastAsia="Calibri"/>
        </w:rPr>
        <w:t xml:space="preserve">monitor the landings, which </w:t>
      </w:r>
      <w:r w:rsidR="0021174F">
        <w:rPr>
          <w:rFonts w:eastAsia="Calibri"/>
        </w:rPr>
        <w:t xml:space="preserve">the </w:t>
      </w:r>
      <w:r w:rsidR="0030581E">
        <w:rPr>
          <w:rFonts w:eastAsia="Calibri"/>
        </w:rPr>
        <w:t xml:space="preserve">Marine Recreational Information Program </w:t>
      </w:r>
      <w:r>
        <w:rPr>
          <w:rFonts w:eastAsia="Calibri"/>
        </w:rPr>
        <w:t xml:space="preserve">does </w:t>
      </w:r>
      <w:r w:rsidR="0021174F">
        <w:rPr>
          <w:rFonts w:eastAsia="Calibri"/>
        </w:rPr>
        <w:t>continually</w:t>
      </w:r>
      <w:r>
        <w:rPr>
          <w:rFonts w:eastAsia="Calibri"/>
        </w:rPr>
        <w:t xml:space="preserve">.  For more information on bycatch and discards, see </w:t>
      </w:r>
      <w:r w:rsidRPr="0094427C">
        <w:rPr>
          <w:rFonts w:eastAsia="Calibri"/>
          <w:b/>
        </w:rPr>
        <w:t>Appendix D</w:t>
      </w:r>
      <w:r>
        <w:rPr>
          <w:rFonts w:eastAsia="Calibri"/>
        </w:rPr>
        <w:t xml:space="preserve"> (BPA).</w:t>
      </w:r>
    </w:p>
    <w:p w14:paraId="22C9E9DD" w14:textId="77777777" w:rsidR="00A33201" w:rsidRDefault="00A33201" w:rsidP="00A33201">
      <w:pPr>
        <w:ind w:firstLine="360"/>
      </w:pPr>
    </w:p>
    <w:p w14:paraId="1F8846E6" w14:textId="021B2230" w:rsidR="00873B9E" w:rsidRDefault="00A33201" w:rsidP="00006826">
      <w:pPr>
        <w:ind w:firstLine="360"/>
        <w:rPr>
          <w:bCs/>
        </w:rPr>
      </w:pPr>
      <w:r w:rsidRPr="00B86000">
        <w:t>Th</w:t>
      </w:r>
      <w:r w:rsidR="00061B17">
        <w:t>e alternatives and sub-alternatives under this</w:t>
      </w:r>
      <w:r w:rsidRPr="00B86000">
        <w:t xml:space="preserve"> action would not significantly modify the way in which the snapper grouper fishery is prosecuted in terms of gear types used.  Therefore, there are no </w:t>
      </w:r>
      <w:r w:rsidR="00495370">
        <w:t xml:space="preserve">additional </w:t>
      </w:r>
      <w:r w:rsidRPr="00B86000">
        <w:t xml:space="preserve">impacts on ESA-listed species or designated critical habitats anticipated as a result of this action (see </w:t>
      </w:r>
      <w:r w:rsidRPr="00B86000">
        <w:rPr>
          <w:b/>
        </w:rPr>
        <w:t>Section 3.2.4</w:t>
      </w:r>
      <w:r w:rsidRPr="00B86000">
        <w:t xml:space="preserve"> for a detailed description of ESA-listed species and critical habitat in the action area).  Furthermore, no </w:t>
      </w:r>
      <w:r w:rsidR="00495370">
        <w:t xml:space="preserve">additional </w:t>
      </w:r>
      <w:r w:rsidRPr="00B86000">
        <w:t>impacts on EFH or EFH-</w:t>
      </w:r>
      <w:r>
        <w:t>HAPC</w:t>
      </w:r>
      <w:r w:rsidRPr="00B86000">
        <w:t xml:space="preserve"> are expected to result from any of the alternatives considered for this action (see </w:t>
      </w:r>
      <w:r w:rsidRPr="00B86000">
        <w:rPr>
          <w:b/>
        </w:rPr>
        <w:t>Section 3.1</w:t>
      </w:r>
      <w:r w:rsidRPr="00B86000">
        <w:t xml:space="preserve"> for a detailed description of EFH in the South Atlantic Region).</w:t>
      </w:r>
    </w:p>
    <w:p w14:paraId="21DB91B8" w14:textId="22BE32AB" w:rsidR="00FD2542" w:rsidRDefault="0021174F" w:rsidP="00007A84">
      <w:pPr>
        <w:pStyle w:val="Heading3"/>
      </w:pPr>
      <w:bookmarkStart w:id="244" w:name="_Toc339811746"/>
      <w:r>
        <w:lastRenderedPageBreak/>
        <w:t>4.4.2</w:t>
      </w:r>
      <w:r>
        <w:tab/>
        <w:t>Economic</w:t>
      </w:r>
      <w:r w:rsidRPr="005B5A20">
        <w:t xml:space="preserve"> Effects</w:t>
      </w:r>
      <w:bookmarkEnd w:id="244"/>
      <w:r w:rsidRPr="005B5A20">
        <w:t xml:space="preserve"> </w:t>
      </w:r>
    </w:p>
    <w:p w14:paraId="132E5489" w14:textId="77777777" w:rsidR="00613048" w:rsidRDefault="00A503F0" w:rsidP="00613048">
      <w:pPr>
        <w:ind w:firstLine="360"/>
      </w:pPr>
      <w:r>
        <w:t xml:space="preserve">The purpose of establishing ACTs is to help prevent a sector from exceeding its ACLs due to management uncertainty.  Exceeding an ACL would have direct negative economic effects on all sectors potentially due to a reduced stock size.  While not currently overfished, should mutton snapper become overfished, the sector that exceeded its ACL would have its future ACL reduced by the amount of the overage.  Without being able to predict exactly how much precaution is needed in setting the ACL, it is difficult to compare alternatives.  However, if a species were closed too early for a sector based on the ACT, there would be direct negative economic effects as well because the sector was prohibited from harvesting fish.  The ACT being established by this action only applies to the recreational sector and is not tied to the AMs; therefore, the realized economic effects of </w:t>
      </w:r>
      <w:r w:rsidRPr="00277AE9">
        <w:rPr>
          <w:b/>
        </w:rPr>
        <w:t xml:space="preserve">Action 4 </w:t>
      </w:r>
      <w:r>
        <w:t>are expected to be minimal.  There are no commercial ACTs being proposed as commercial reporting requirements allow for the commercial sector to be closed comparatively more quickly when the commercial sector ACL is met or projected to be met.</w:t>
      </w:r>
    </w:p>
    <w:p w14:paraId="57A45F26" w14:textId="77777777" w:rsidR="00613048" w:rsidRDefault="00613048" w:rsidP="00613048">
      <w:pPr>
        <w:ind w:firstLine="360"/>
      </w:pPr>
    </w:p>
    <w:p w14:paraId="5FFAACD9" w14:textId="736DD57F" w:rsidR="00A503F0" w:rsidRDefault="00A503F0" w:rsidP="00613048">
      <w:pPr>
        <w:ind w:firstLine="360"/>
      </w:pPr>
      <w:r>
        <w:t xml:space="preserve">While there currently are no AMs triggered by the ACT for mutton snapper, there is the potential for AMs to be tied to the ACT in the future, thereby creating economic effects.  </w:t>
      </w:r>
      <w:r>
        <w:rPr>
          <w:b/>
        </w:rPr>
        <w:t>Sub-alternative 2c</w:t>
      </w:r>
      <w:r>
        <w:t xml:space="preserve"> provides the largest step-down from the ACL to the ACT and would create the largest potential negative economic effect if set as trigger for the AMs, while </w:t>
      </w:r>
      <w:r w:rsidRPr="00197290">
        <w:rPr>
          <w:b/>
        </w:rPr>
        <w:t>Sub</w:t>
      </w:r>
      <w:r>
        <w:rPr>
          <w:b/>
        </w:rPr>
        <w:t>-alternative 2b</w:t>
      </w:r>
      <w:r>
        <w:t xml:space="preserve"> provides the smallest step-down from the ACL</w:t>
      </w:r>
      <w:r w:rsidRPr="0003282F">
        <w:t xml:space="preserve"> </w:t>
      </w:r>
      <w:r>
        <w:t xml:space="preserve">to the ACT, thereby leading to the smallest potential negative economic effect.  </w:t>
      </w:r>
      <w:r w:rsidRPr="00197290">
        <w:rPr>
          <w:b/>
        </w:rPr>
        <w:t xml:space="preserve">Preferred </w:t>
      </w:r>
      <w:r>
        <w:rPr>
          <w:b/>
        </w:rPr>
        <w:t>Sub-alternative 2a</w:t>
      </w:r>
      <w:r>
        <w:t xml:space="preserve"> falls in between the other two sub-alternatives.  </w:t>
      </w:r>
      <w:r w:rsidRPr="00C616C2">
        <w:rPr>
          <w:b/>
        </w:rPr>
        <w:t>Alternative</w:t>
      </w:r>
      <w:r w:rsidRPr="00006826">
        <w:rPr>
          <w:b/>
        </w:rPr>
        <w:t xml:space="preserve"> 1 (No Action)</w:t>
      </w:r>
      <w:r>
        <w:t xml:space="preserve"> is not a viable alternative but the economic effects would be most comparable to </w:t>
      </w:r>
      <w:r w:rsidRPr="00E860C8">
        <w:rPr>
          <w:b/>
        </w:rPr>
        <w:t>Sub-alternative 2a</w:t>
      </w:r>
      <w:r>
        <w:t>, as it uses similar methodology in setting the recreational ACT for mutton snapper.</w:t>
      </w:r>
    </w:p>
    <w:p w14:paraId="030556D9" w14:textId="77777777" w:rsidR="00A503F0" w:rsidRDefault="00A503F0" w:rsidP="00A503F0">
      <w:pPr>
        <w:ind w:firstLine="720"/>
      </w:pPr>
    </w:p>
    <w:p w14:paraId="37910754" w14:textId="1EB37F41" w:rsidR="00FD2542" w:rsidRPr="00F36594" w:rsidRDefault="00FD2542" w:rsidP="00FD2542">
      <w:pPr>
        <w:pStyle w:val="Heading3"/>
        <w:rPr>
          <w:szCs w:val="24"/>
        </w:rPr>
      </w:pPr>
      <w:bookmarkStart w:id="245" w:name="_Toc339811747"/>
      <w:r>
        <w:rPr>
          <w:szCs w:val="24"/>
        </w:rPr>
        <w:t>4.4</w:t>
      </w:r>
      <w:r w:rsidRPr="005B5A20">
        <w:rPr>
          <w:szCs w:val="24"/>
        </w:rPr>
        <w:t>.3</w:t>
      </w:r>
      <w:r w:rsidRPr="005B5A20">
        <w:rPr>
          <w:szCs w:val="24"/>
        </w:rPr>
        <w:tab/>
        <w:t>Social Effects</w:t>
      </w:r>
      <w:bookmarkEnd w:id="245"/>
    </w:p>
    <w:p w14:paraId="2242B523" w14:textId="1A785336" w:rsidR="007912CD" w:rsidRDefault="007912CD" w:rsidP="007912CD">
      <w:pPr>
        <w:ind w:firstLine="360"/>
      </w:pPr>
      <w:r>
        <w:t xml:space="preserve">Establishment of a recreational ACT for mutton snapper would likely have little effects on recreational fishermen targeting mutton snapper, unless the </w:t>
      </w:r>
      <w:r w:rsidR="00591039">
        <w:t xml:space="preserve">South Atlantic </w:t>
      </w:r>
      <w:r>
        <w:t>Council decides to set the ACT as a tr</w:t>
      </w:r>
      <w:r w:rsidR="000042F2">
        <w:t xml:space="preserve">igger for AMs at a later time.  </w:t>
      </w:r>
      <w:r>
        <w:t xml:space="preserve">A higher ACT could be more beneficial for fishermen, depending on the levels specified in </w:t>
      </w:r>
      <w:r w:rsidRPr="004A7A26">
        <w:rPr>
          <w:b/>
        </w:rPr>
        <w:t xml:space="preserve">Preferred </w:t>
      </w:r>
      <w:r>
        <w:rPr>
          <w:b/>
        </w:rPr>
        <w:t>Alternative 2</w:t>
      </w:r>
      <w:r>
        <w:t xml:space="preserve">, and it would be expected that </w:t>
      </w:r>
      <w:r w:rsidR="00020D8D" w:rsidRPr="00581C7F">
        <w:rPr>
          <w:b/>
        </w:rPr>
        <w:t xml:space="preserve">Preferred </w:t>
      </w:r>
      <w:r>
        <w:rPr>
          <w:b/>
        </w:rPr>
        <w:t>Sub-alternative 2</w:t>
      </w:r>
      <w:r w:rsidR="00020D8D">
        <w:rPr>
          <w:b/>
        </w:rPr>
        <w:t>b</w:t>
      </w:r>
      <w:r>
        <w:t xml:space="preserve"> would be the most beneficial, followed by </w:t>
      </w:r>
      <w:r>
        <w:rPr>
          <w:b/>
        </w:rPr>
        <w:t>Sub-alternative 2</w:t>
      </w:r>
      <w:r w:rsidR="00020D8D">
        <w:rPr>
          <w:b/>
        </w:rPr>
        <w:t>a</w:t>
      </w:r>
      <w:r>
        <w:t xml:space="preserve"> and then </w:t>
      </w:r>
      <w:r>
        <w:rPr>
          <w:b/>
        </w:rPr>
        <w:t xml:space="preserve">Sub-alternative 2c </w:t>
      </w:r>
      <w:r w:rsidRPr="00AA1D53">
        <w:t>(</w:t>
      </w:r>
      <w:r>
        <w:rPr>
          <w:b/>
        </w:rPr>
        <w:t>Table 2.4.1.</w:t>
      </w:r>
      <w:r>
        <w:t>).</w:t>
      </w:r>
      <w:r>
        <w:rPr>
          <w:b/>
        </w:rPr>
        <w:t xml:space="preserve"> </w:t>
      </w:r>
      <w:r w:rsidR="000042F2">
        <w:rPr>
          <w:b/>
        </w:rPr>
        <w:t xml:space="preserve"> </w:t>
      </w:r>
      <w:r>
        <w:t xml:space="preserve">Because the ACT is used for monitoring only, it is expected that the social effects of </w:t>
      </w:r>
      <w:r>
        <w:rPr>
          <w:b/>
        </w:rPr>
        <w:t>Alternative 1 (No Action)</w:t>
      </w:r>
      <w:r>
        <w:t xml:space="preserve"> and the sub-alternatives under </w:t>
      </w:r>
      <w:r w:rsidRPr="004A7A26">
        <w:rPr>
          <w:b/>
        </w:rPr>
        <w:t xml:space="preserve">Preferred </w:t>
      </w:r>
      <w:r>
        <w:rPr>
          <w:b/>
        </w:rPr>
        <w:t>Alternative 2</w:t>
      </w:r>
      <w:r>
        <w:t xml:space="preserve"> would be the similar. </w:t>
      </w:r>
    </w:p>
    <w:p w14:paraId="416759CC" w14:textId="742BB55C" w:rsidR="00FD2542" w:rsidRDefault="00FD2542" w:rsidP="007912CD"/>
    <w:p w14:paraId="34ECAC32" w14:textId="4B5ED73D" w:rsidR="00FD2542" w:rsidRPr="00821F02" w:rsidRDefault="002427A3" w:rsidP="00FD2542">
      <w:pPr>
        <w:pStyle w:val="Heading3"/>
        <w:rPr>
          <w:szCs w:val="24"/>
        </w:rPr>
      </w:pPr>
      <w:bookmarkStart w:id="246" w:name="_Toc339811748"/>
      <w:r>
        <w:rPr>
          <w:szCs w:val="24"/>
        </w:rPr>
        <w:t>4.4</w:t>
      </w:r>
      <w:r w:rsidR="00FD2542" w:rsidRPr="005B5A20">
        <w:rPr>
          <w:szCs w:val="24"/>
        </w:rPr>
        <w:t>.4</w:t>
      </w:r>
      <w:r w:rsidR="00FD2542" w:rsidRPr="005B5A20">
        <w:rPr>
          <w:szCs w:val="24"/>
        </w:rPr>
        <w:tab/>
        <w:t>Administrative Effects</w:t>
      </w:r>
      <w:bookmarkEnd w:id="246"/>
      <w:r w:rsidR="00FD2542" w:rsidRPr="005B5A20">
        <w:rPr>
          <w:szCs w:val="24"/>
        </w:rPr>
        <w:t xml:space="preserve"> </w:t>
      </w:r>
    </w:p>
    <w:p w14:paraId="4793112D" w14:textId="6234DD78" w:rsidR="003F0DE9" w:rsidRPr="00D16431" w:rsidRDefault="003F0DE9" w:rsidP="003F0DE9">
      <w:pPr>
        <w:ind w:firstLine="360"/>
      </w:pPr>
      <w:r w:rsidRPr="00D16431">
        <w:t xml:space="preserve">Under this action, it is important to note that recreational data collection can be more administratively burdensome due to time delays and lengthy reviews.  Specifying an ACT alone would not increase the administrative burden over the status quo, other than adding an additional layer of precautionary monitoring to the system of AMs.  In-season monitoring needed for tracking how much of the ACT has been harvested throughout a particular fishing season can potentially result in a need for additional cost and personnel resources if a monitoring </w:t>
      </w:r>
      <w:r w:rsidRPr="00D16431">
        <w:lastRenderedPageBreak/>
        <w:t xml:space="preserve">mechanism is not already in place.  However, because the ACT alternatives as they are presented here, do not trigger any corrective or preventative action, no additional in-season monitoring is required regardless of where the ACT level is set.  Therefore, there is no difference in the potential administrative impacts associated with </w:t>
      </w:r>
      <w:r w:rsidR="0065666D" w:rsidRPr="0065666D">
        <w:rPr>
          <w:b/>
        </w:rPr>
        <w:t>Sub-</w:t>
      </w:r>
      <w:r w:rsidR="0065666D">
        <w:rPr>
          <w:b/>
        </w:rPr>
        <w:t>a</w:t>
      </w:r>
      <w:r w:rsidRPr="00D16431">
        <w:rPr>
          <w:b/>
        </w:rPr>
        <w:t>lternatives 2a</w:t>
      </w:r>
      <w:r w:rsidRPr="00116107">
        <w:t>,</w:t>
      </w:r>
      <w:r w:rsidRPr="00D16431">
        <w:rPr>
          <w:b/>
        </w:rPr>
        <w:t xml:space="preserve"> 2b (Preferred)</w:t>
      </w:r>
      <w:r w:rsidRPr="00116107">
        <w:t>,</w:t>
      </w:r>
      <w:r w:rsidRPr="00D16431">
        <w:t xml:space="preserve"> and</w:t>
      </w:r>
      <w:r w:rsidRPr="00D16431">
        <w:rPr>
          <w:b/>
        </w:rPr>
        <w:t xml:space="preserve"> 2c</w:t>
      </w:r>
      <w:r w:rsidRPr="00D16431">
        <w:t xml:space="preserve"> when compared with </w:t>
      </w:r>
      <w:r w:rsidRPr="00D16431">
        <w:rPr>
          <w:b/>
        </w:rPr>
        <w:t>Alternative 1 (No Action)</w:t>
      </w:r>
      <w:r w:rsidRPr="00D16431">
        <w:t>.</w:t>
      </w:r>
    </w:p>
    <w:p w14:paraId="04F43FB7" w14:textId="77777777" w:rsidR="00FD2542" w:rsidRDefault="00FD2542" w:rsidP="00D71AB1"/>
    <w:p w14:paraId="473A788F" w14:textId="77777777" w:rsidR="00902554" w:rsidRDefault="00902554" w:rsidP="00D71AB1"/>
    <w:p w14:paraId="09AE41AD" w14:textId="77777777" w:rsidR="004B1A22" w:rsidRDefault="004B1A22" w:rsidP="00D71AB1">
      <w:pPr>
        <w:sectPr w:rsidR="004B1A22" w:rsidSect="0038545E">
          <w:footerReference w:type="default" r:id="rId61"/>
          <w:pgSz w:w="12240" w:h="15840" w:code="1"/>
          <w:pgMar w:top="1440" w:right="1440" w:bottom="1440" w:left="1440" w:header="720" w:footer="720" w:gutter="0"/>
          <w:cols w:space="720"/>
          <w:docGrid w:linePitch="360"/>
        </w:sectPr>
      </w:pPr>
    </w:p>
    <w:p w14:paraId="047DE7F2" w14:textId="77777777" w:rsidR="00B97C42" w:rsidRDefault="00B97C42" w:rsidP="00116107">
      <w:bookmarkStart w:id="247" w:name="_Toc339811749"/>
      <w:r>
        <w:lastRenderedPageBreak/>
        <w:br w:type="page"/>
      </w:r>
    </w:p>
    <w:p w14:paraId="29694B7B" w14:textId="1183B330" w:rsidR="0016692A" w:rsidRPr="00EC7112" w:rsidRDefault="0016692A" w:rsidP="0016692A">
      <w:pPr>
        <w:pStyle w:val="Heading2"/>
        <w:rPr>
          <w:rFonts w:ascii="Arial" w:hAnsi="Arial" w:cs="Arial"/>
        </w:rPr>
      </w:pPr>
      <w:r>
        <w:rPr>
          <w:rFonts w:ascii="Arial" w:hAnsi="Arial" w:cs="Arial"/>
        </w:rPr>
        <w:lastRenderedPageBreak/>
        <w:t>4.5</w:t>
      </w:r>
      <w:r>
        <w:rPr>
          <w:rFonts w:ascii="Arial" w:hAnsi="Arial" w:cs="Arial"/>
        </w:rPr>
        <w:tab/>
      </w:r>
      <w:r w:rsidRPr="00EC7112">
        <w:rPr>
          <w:rFonts w:ascii="Arial" w:hAnsi="Arial" w:cs="Arial"/>
        </w:rPr>
        <w:t xml:space="preserve">Action </w:t>
      </w:r>
      <w:r>
        <w:rPr>
          <w:rFonts w:ascii="Arial" w:hAnsi="Arial" w:cs="Arial"/>
        </w:rPr>
        <w:t>5</w:t>
      </w:r>
      <w:r w:rsidRPr="00EC7112">
        <w:rPr>
          <w:rFonts w:ascii="Arial" w:hAnsi="Arial" w:cs="Arial"/>
        </w:rPr>
        <w:t>.  Modify mutton snapper minimum si</w:t>
      </w:r>
      <w:r>
        <w:rPr>
          <w:rFonts w:ascii="Arial" w:hAnsi="Arial" w:cs="Arial"/>
        </w:rPr>
        <w:t>ze limit in the South Atlantic R</w:t>
      </w:r>
      <w:r w:rsidRPr="00EC7112">
        <w:rPr>
          <w:rFonts w:ascii="Arial" w:hAnsi="Arial" w:cs="Arial"/>
        </w:rPr>
        <w:t>egion</w:t>
      </w:r>
      <w:bookmarkEnd w:id="247"/>
    </w:p>
    <w:p w14:paraId="73742338" w14:textId="77777777" w:rsidR="00D0662D" w:rsidRDefault="00D0662D" w:rsidP="00D0662D">
      <w:pPr>
        <w:rPr>
          <w:highlight w:val="yellow"/>
        </w:rPr>
      </w:pPr>
    </w:p>
    <w:p w14:paraId="13B58CFE" w14:textId="346AE2D0" w:rsidR="0016692A" w:rsidRPr="00ED4F0E" w:rsidRDefault="0016692A" w:rsidP="00ED4F0E">
      <w:pPr>
        <w:pStyle w:val="Heading3"/>
      </w:pPr>
      <w:bookmarkStart w:id="248" w:name="_Toc339811750"/>
      <w:r w:rsidRPr="000E374B">
        <w:rPr>
          <w:noProof/>
          <w:color w:val="365F91" w:themeColor="accent1" w:themeShade="BF"/>
        </w:rPr>
        <mc:AlternateContent>
          <mc:Choice Requires="wps">
            <w:drawing>
              <wp:anchor distT="0" distB="0" distL="114300" distR="114300" simplePos="0" relativeHeight="251707904" behindDoc="0" locked="0" layoutInCell="1" allowOverlap="1" wp14:anchorId="488D6BBD" wp14:editId="746B0640">
                <wp:simplePos x="0" y="0"/>
                <wp:positionH relativeFrom="column">
                  <wp:posOffset>3420110</wp:posOffset>
                </wp:positionH>
                <wp:positionV relativeFrom="paragraph">
                  <wp:posOffset>17780</wp:posOffset>
                </wp:positionV>
                <wp:extent cx="2366010" cy="2820670"/>
                <wp:effectExtent l="25400" t="101600" r="123190" b="4953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2820670"/>
                        </a:xfrm>
                        <a:prstGeom prst="rect">
                          <a:avLst/>
                        </a:prstGeom>
                        <a:solidFill>
                          <a:srgbClr val="FFFFFF"/>
                        </a:solidFill>
                        <a:ln w="9525">
                          <a:solidFill>
                            <a:schemeClr val="tx2">
                              <a:lumMod val="60000"/>
                              <a:lumOff val="40000"/>
                            </a:schemeClr>
                          </a:solidFill>
                          <a:miter lim="800000"/>
                          <a:headEnd/>
                          <a:tailEnd/>
                        </a:ln>
                        <a:effectLst>
                          <a:outerShdw blurRad="50800" dist="38100" dir="18900000" algn="bl" rotWithShape="0">
                            <a:prstClr val="black">
                              <a:alpha val="40000"/>
                            </a:prstClr>
                          </a:outerShdw>
                        </a:effectLst>
                      </wps:spPr>
                      <wps:txbx>
                        <w:txbxContent>
                          <w:p w14:paraId="24F8EE1F" w14:textId="77777777" w:rsidR="009108B8" w:rsidRPr="009D441A" w:rsidRDefault="009108B8" w:rsidP="0016692A">
                            <w:pPr>
                              <w:jc w:val="center"/>
                              <w:rPr>
                                <w:rFonts w:ascii="Arial" w:hAnsi="Arial" w:cs="Arial"/>
                                <w:b/>
                                <w:i/>
                                <w:iCs/>
                                <w:color w:val="365F91" w:themeColor="accent1" w:themeShade="BF"/>
                              </w:rPr>
                            </w:pPr>
                            <w:r w:rsidRPr="009D441A">
                              <w:rPr>
                                <w:rFonts w:ascii="Arial" w:hAnsi="Arial" w:cs="Arial"/>
                                <w:b/>
                                <w:i/>
                                <w:iCs/>
                                <w:color w:val="365F91" w:themeColor="accent1" w:themeShade="BF"/>
                              </w:rPr>
                              <w:t>Alternatives</w:t>
                            </w:r>
                            <w:r>
                              <w:rPr>
                                <w:rFonts w:ascii="Arial" w:hAnsi="Arial" w:cs="Arial"/>
                                <w:b/>
                                <w:i/>
                                <w:iCs/>
                                <w:color w:val="365F91" w:themeColor="accent1" w:themeShade="BF"/>
                              </w:rPr>
                              <w:t>*</w:t>
                            </w:r>
                          </w:p>
                          <w:p w14:paraId="7CD3EC8E" w14:textId="77777777" w:rsidR="009108B8" w:rsidRDefault="009108B8" w:rsidP="0016692A">
                            <w:pPr>
                              <w:jc w:val="center"/>
                              <w:rPr>
                                <w:rFonts w:ascii="Arial" w:hAnsi="Arial" w:cs="Arial"/>
                                <w:b/>
                                <w:i/>
                                <w:iCs/>
                                <w:color w:val="365F91" w:themeColor="accent1" w:themeShade="BF"/>
                                <w:sz w:val="28"/>
                                <w:szCs w:val="28"/>
                              </w:rPr>
                            </w:pPr>
                          </w:p>
                          <w:p w14:paraId="692706DC" w14:textId="77777777" w:rsidR="009108B8" w:rsidRPr="00EC7112" w:rsidRDefault="009108B8" w:rsidP="0016692A">
                            <w:pPr>
                              <w:rPr>
                                <w:rFonts w:ascii="Arial" w:hAnsi="Arial" w:cs="Arial"/>
                                <w:iCs/>
                                <w:color w:val="365F91" w:themeColor="accent1" w:themeShade="BF"/>
                                <w:sz w:val="20"/>
                                <w:szCs w:val="20"/>
                              </w:rPr>
                            </w:pPr>
                            <w:r w:rsidRPr="00EC7112">
                              <w:rPr>
                                <w:rFonts w:ascii="Arial" w:hAnsi="Arial" w:cs="Arial"/>
                                <w:iCs/>
                                <w:color w:val="365F91" w:themeColor="accent1" w:themeShade="BF"/>
                                <w:sz w:val="20"/>
                                <w:szCs w:val="20"/>
                              </w:rPr>
                              <w:t xml:space="preserve">1 (No Action).  The minimum size limit </w:t>
                            </w:r>
                            <w:r>
                              <w:rPr>
                                <w:rFonts w:ascii="Arial" w:hAnsi="Arial" w:cs="Arial"/>
                                <w:iCs/>
                                <w:color w:val="365F91" w:themeColor="accent1" w:themeShade="BF"/>
                                <w:sz w:val="20"/>
                                <w:szCs w:val="20"/>
                              </w:rPr>
                              <w:t xml:space="preserve">(MSL) </w:t>
                            </w:r>
                            <w:r w:rsidRPr="00EC7112">
                              <w:rPr>
                                <w:rFonts w:ascii="Arial" w:hAnsi="Arial" w:cs="Arial"/>
                                <w:iCs/>
                                <w:color w:val="365F91" w:themeColor="accent1" w:themeShade="BF"/>
                                <w:sz w:val="20"/>
                                <w:szCs w:val="20"/>
                              </w:rPr>
                              <w:t>for mutton snapper in the South Atlantic region is 16 inches total length (TL).</w:t>
                            </w:r>
                          </w:p>
                          <w:p w14:paraId="193F08C1" w14:textId="77777777" w:rsidR="009108B8" w:rsidRPr="00EC7112" w:rsidRDefault="009108B8" w:rsidP="0016692A">
                            <w:pPr>
                              <w:rPr>
                                <w:rFonts w:ascii="Arial" w:hAnsi="Arial" w:cs="Arial"/>
                                <w:iCs/>
                                <w:color w:val="365F91" w:themeColor="accent1" w:themeShade="BF"/>
                                <w:sz w:val="20"/>
                                <w:szCs w:val="20"/>
                              </w:rPr>
                            </w:pPr>
                          </w:p>
                          <w:p w14:paraId="223F9DFF" w14:textId="77777777" w:rsidR="009108B8" w:rsidRPr="00EC7112" w:rsidRDefault="009108B8" w:rsidP="0016692A">
                            <w:pPr>
                              <w:rPr>
                                <w:rFonts w:ascii="Arial" w:hAnsi="Arial" w:cs="Arial"/>
                                <w:iCs/>
                                <w:color w:val="365F91" w:themeColor="accent1" w:themeShade="BF"/>
                                <w:sz w:val="20"/>
                                <w:szCs w:val="20"/>
                              </w:rPr>
                            </w:pPr>
                            <w:r w:rsidRPr="00EC7112">
                              <w:rPr>
                                <w:rFonts w:ascii="Arial" w:hAnsi="Arial" w:cs="Arial"/>
                                <w:iCs/>
                                <w:color w:val="365F91" w:themeColor="accent1" w:themeShade="BF"/>
                                <w:sz w:val="20"/>
                                <w:szCs w:val="20"/>
                              </w:rPr>
                              <w:t>2.  Increase to 17 inches TL.</w:t>
                            </w:r>
                          </w:p>
                          <w:p w14:paraId="7D9CF6DB" w14:textId="77777777" w:rsidR="009108B8" w:rsidRPr="00EC7112" w:rsidRDefault="009108B8" w:rsidP="0016692A">
                            <w:pPr>
                              <w:rPr>
                                <w:rFonts w:ascii="Arial" w:hAnsi="Arial" w:cs="Arial"/>
                                <w:iCs/>
                                <w:color w:val="365F91" w:themeColor="accent1" w:themeShade="BF"/>
                                <w:sz w:val="20"/>
                                <w:szCs w:val="20"/>
                              </w:rPr>
                            </w:pPr>
                          </w:p>
                          <w:p w14:paraId="09B72ABF" w14:textId="77777777" w:rsidR="009108B8" w:rsidRPr="00286AA1" w:rsidRDefault="009108B8" w:rsidP="0016692A">
                            <w:pPr>
                              <w:rPr>
                                <w:rFonts w:ascii="Arial" w:hAnsi="Arial" w:cs="Arial"/>
                                <w:b/>
                                <w:iCs/>
                                <w:color w:val="365F91" w:themeColor="accent1" w:themeShade="BF"/>
                                <w:sz w:val="20"/>
                                <w:szCs w:val="20"/>
                              </w:rPr>
                            </w:pPr>
                            <w:r w:rsidRPr="00286AA1">
                              <w:rPr>
                                <w:rFonts w:ascii="Arial" w:hAnsi="Arial" w:cs="Arial"/>
                                <w:b/>
                                <w:iCs/>
                                <w:color w:val="365F91" w:themeColor="accent1" w:themeShade="BF"/>
                                <w:sz w:val="20"/>
                                <w:szCs w:val="20"/>
                              </w:rPr>
                              <w:t>3.  Increase to 18 inches TL.</w:t>
                            </w:r>
                          </w:p>
                          <w:p w14:paraId="52EF862D" w14:textId="77777777" w:rsidR="009108B8" w:rsidRPr="00EC7112" w:rsidRDefault="009108B8" w:rsidP="0016692A">
                            <w:pPr>
                              <w:rPr>
                                <w:rFonts w:ascii="Arial" w:hAnsi="Arial" w:cs="Arial"/>
                                <w:iCs/>
                                <w:color w:val="365F91" w:themeColor="accent1" w:themeShade="BF"/>
                                <w:sz w:val="20"/>
                                <w:szCs w:val="20"/>
                              </w:rPr>
                            </w:pPr>
                          </w:p>
                          <w:p w14:paraId="49FB4D4E" w14:textId="77777777" w:rsidR="009108B8" w:rsidRDefault="009108B8" w:rsidP="0016692A">
                            <w:pPr>
                              <w:rPr>
                                <w:rFonts w:ascii="Arial" w:hAnsi="Arial" w:cs="Arial"/>
                                <w:iCs/>
                                <w:color w:val="365F91" w:themeColor="accent1" w:themeShade="BF"/>
                                <w:sz w:val="20"/>
                                <w:szCs w:val="20"/>
                              </w:rPr>
                            </w:pPr>
                            <w:r w:rsidRPr="00EC7112">
                              <w:rPr>
                                <w:rFonts w:ascii="Arial" w:hAnsi="Arial" w:cs="Arial"/>
                                <w:iCs/>
                                <w:color w:val="365F91" w:themeColor="accent1" w:themeShade="BF"/>
                                <w:sz w:val="20"/>
                                <w:szCs w:val="20"/>
                              </w:rPr>
                              <w:t>4.  Increase to 19 inches TL.</w:t>
                            </w:r>
                          </w:p>
                          <w:p w14:paraId="48D184D3" w14:textId="77777777" w:rsidR="009108B8" w:rsidRDefault="009108B8" w:rsidP="0016692A">
                            <w:pPr>
                              <w:rPr>
                                <w:rFonts w:ascii="Arial" w:hAnsi="Arial" w:cs="Arial"/>
                                <w:iCs/>
                                <w:color w:val="365F91" w:themeColor="accent1" w:themeShade="BF"/>
                                <w:sz w:val="20"/>
                                <w:szCs w:val="20"/>
                              </w:rPr>
                            </w:pPr>
                          </w:p>
                          <w:p w14:paraId="28E1642D" w14:textId="77777777" w:rsidR="009108B8" w:rsidRDefault="009108B8" w:rsidP="0016692A">
                            <w:pPr>
                              <w:rPr>
                                <w:rFonts w:ascii="Arial" w:hAnsi="Arial" w:cs="Arial"/>
                                <w:iCs/>
                                <w:color w:val="365F91" w:themeColor="accent1" w:themeShade="BF"/>
                                <w:sz w:val="20"/>
                                <w:szCs w:val="20"/>
                              </w:rPr>
                            </w:pPr>
                            <w:r w:rsidRPr="00EC7112">
                              <w:rPr>
                                <w:rFonts w:ascii="Arial" w:hAnsi="Arial" w:cs="Arial"/>
                                <w:iCs/>
                                <w:color w:val="365F91" w:themeColor="accent1" w:themeShade="BF"/>
                                <w:sz w:val="20"/>
                                <w:szCs w:val="20"/>
                              </w:rPr>
                              <w:t>5.  Increase to 20 inches TL.</w:t>
                            </w:r>
                          </w:p>
                          <w:p w14:paraId="69CCDDCC" w14:textId="77777777" w:rsidR="009108B8" w:rsidRDefault="009108B8" w:rsidP="0016692A">
                            <w:pPr>
                              <w:rPr>
                                <w:rFonts w:ascii="Arial" w:hAnsi="Arial" w:cs="Arial"/>
                                <w:iCs/>
                                <w:color w:val="365F91" w:themeColor="accent1" w:themeShade="BF"/>
                                <w:sz w:val="20"/>
                                <w:szCs w:val="20"/>
                              </w:rPr>
                            </w:pPr>
                          </w:p>
                          <w:p w14:paraId="7365D7F0" w14:textId="44602326" w:rsidR="009108B8" w:rsidRPr="00EC7112" w:rsidRDefault="009108B8" w:rsidP="0016692A">
                            <w:pPr>
                              <w:rPr>
                                <w:rFonts w:ascii="Arial" w:hAnsi="Arial" w:cs="Arial"/>
                                <w:iCs/>
                                <w:color w:val="365F91" w:themeColor="accent1" w:themeShade="BF"/>
                                <w:sz w:val="20"/>
                                <w:szCs w:val="20"/>
                              </w:rPr>
                            </w:pPr>
                            <w:r>
                              <w:rPr>
                                <w:rFonts w:ascii="Arial" w:hAnsi="Arial" w:cs="Arial"/>
                                <w:iCs/>
                                <w:color w:val="365F91" w:themeColor="accent1" w:themeShade="BF"/>
                                <w:sz w:val="20"/>
                                <w:szCs w:val="20"/>
                              </w:rPr>
                              <w:t>* Preferred indicated in bold.  Refer to Chapter 2 for detailed language of alternatives</w:t>
                            </w:r>
                          </w:p>
                          <w:p w14:paraId="251A038E" w14:textId="77777777" w:rsidR="009108B8" w:rsidRPr="00EC7112" w:rsidRDefault="009108B8" w:rsidP="0016692A">
                            <w:pPr>
                              <w:rPr>
                                <w:rFonts w:ascii="Arial" w:hAnsi="Arial" w:cs="Arial"/>
                                <w:b/>
                                <w:i/>
                                <w:iCs/>
                                <w:color w:val="365F91" w:themeColor="accent1" w:themeShade="BF"/>
                                <w:sz w:val="20"/>
                                <w:szCs w:val="20"/>
                              </w:rPr>
                            </w:pPr>
                          </w:p>
                          <w:p w14:paraId="720731AE" w14:textId="77777777" w:rsidR="009108B8" w:rsidRDefault="009108B8" w:rsidP="0016692A">
                            <w:pPr>
                              <w:jc w:val="center"/>
                              <w:rPr>
                                <w:rFonts w:ascii="Arial" w:hAnsi="Arial" w:cs="Arial"/>
                                <w:b/>
                                <w:i/>
                                <w:iCs/>
                                <w:color w:val="365F91" w:themeColor="accent1" w:themeShade="BF"/>
                                <w:sz w:val="28"/>
                                <w:szCs w:val="28"/>
                              </w:rPr>
                            </w:pPr>
                          </w:p>
                          <w:p w14:paraId="1909CAE9" w14:textId="77777777" w:rsidR="009108B8" w:rsidRPr="00F7179C" w:rsidRDefault="009108B8" w:rsidP="0016692A">
                            <w:pPr>
                              <w:ind w:left="540"/>
                              <w:contextualSpacing/>
                              <w:rPr>
                                <w:rFonts w:ascii="Arial" w:eastAsia="Courier New" w:hAnsi="Arial" w:cs="Arial"/>
                                <w:color w:val="1F497D" w:themeColor="text2"/>
                                <w:sz w:val="22"/>
                                <w:szCs w:val="22"/>
                              </w:rPr>
                            </w:pPr>
                          </w:p>
                          <w:p w14:paraId="27BA194C" w14:textId="77777777" w:rsidR="009108B8" w:rsidRDefault="009108B8" w:rsidP="0016692A"/>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269.3pt;margin-top:1.4pt;width:186.3pt;height:222.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" strokecolor="#548dd4 [1951]">
                <v:shadow on="t" opacity="26214f" mv:blur="50800f" origin="-.5,.5" offset="26941emu,-26941emu"/>
                <v:textbox>
                  <w:txbxContent>
                    <w:p w14:paraId="24F8EE1F" w14:textId="77777777" w:rsidR="009108B8" w:rsidRPr="009D441A" w:rsidRDefault="009108B8" w:rsidP="0016692A">
                      <w:pPr>
                        <w:jc w:val="center"/>
                        <w:rPr>
                          <w:rFonts w:ascii="Arial" w:hAnsi="Arial" w:cs="Arial"/>
                          <w:b/>
                          <w:i/>
                          <w:iCs/>
                          <w:color w:val="365F91" w:themeColor="accent1" w:themeShade="BF"/>
                        </w:rPr>
                      </w:pPr>
                      <w:r w:rsidRPr="009D441A">
                        <w:rPr>
                          <w:rFonts w:ascii="Arial" w:hAnsi="Arial" w:cs="Arial"/>
                          <w:b/>
                          <w:i/>
                          <w:iCs/>
                          <w:color w:val="365F91" w:themeColor="accent1" w:themeShade="BF"/>
                        </w:rPr>
                        <w:t>Alternatives</w:t>
                      </w:r>
                      <w:r>
                        <w:rPr>
                          <w:rFonts w:ascii="Arial" w:hAnsi="Arial" w:cs="Arial"/>
                          <w:b/>
                          <w:i/>
                          <w:iCs/>
                          <w:color w:val="365F91" w:themeColor="accent1" w:themeShade="BF"/>
                        </w:rPr>
                        <w:t>*</w:t>
                      </w:r>
                    </w:p>
                    <w:p w14:paraId="7CD3EC8E" w14:textId="77777777" w:rsidR="009108B8" w:rsidRDefault="009108B8" w:rsidP="0016692A">
                      <w:pPr>
                        <w:jc w:val="center"/>
                        <w:rPr>
                          <w:rFonts w:ascii="Arial" w:hAnsi="Arial" w:cs="Arial"/>
                          <w:b/>
                          <w:i/>
                          <w:iCs/>
                          <w:color w:val="365F91" w:themeColor="accent1" w:themeShade="BF"/>
                          <w:sz w:val="28"/>
                          <w:szCs w:val="28"/>
                        </w:rPr>
                      </w:pPr>
                    </w:p>
                    <w:p w14:paraId="692706DC" w14:textId="77777777" w:rsidR="009108B8" w:rsidRPr="00EC7112" w:rsidRDefault="009108B8" w:rsidP="0016692A">
                      <w:pPr>
                        <w:rPr>
                          <w:rFonts w:ascii="Arial" w:hAnsi="Arial" w:cs="Arial"/>
                          <w:iCs/>
                          <w:color w:val="365F91" w:themeColor="accent1" w:themeShade="BF"/>
                          <w:sz w:val="20"/>
                          <w:szCs w:val="20"/>
                        </w:rPr>
                      </w:pPr>
                      <w:r w:rsidRPr="00EC7112">
                        <w:rPr>
                          <w:rFonts w:ascii="Arial" w:hAnsi="Arial" w:cs="Arial"/>
                          <w:iCs/>
                          <w:color w:val="365F91" w:themeColor="accent1" w:themeShade="BF"/>
                          <w:sz w:val="20"/>
                          <w:szCs w:val="20"/>
                        </w:rPr>
                        <w:t xml:space="preserve">1 (No Action).  The minimum size limit </w:t>
                      </w:r>
                      <w:r>
                        <w:rPr>
                          <w:rFonts w:ascii="Arial" w:hAnsi="Arial" w:cs="Arial"/>
                          <w:iCs/>
                          <w:color w:val="365F91" w:themeColor="accent1" w:themeShade="BF"/>
                          <w:sz w:val="20"/>
                          <w:szCs w:val="20"/>
                        </w:rPr>
                        <w:t xml:space="preserve">(MSL) </w:t>
                      </w:r>
                      <w:r w:rsidRPr="00EC7112">
                        <w:rPr>
                          <w:rFonts w:ascii="Arial" w:hAnsi="Arial" w:cs="Arial"/>
                          <w:iCs/>
                          <w:color w:val="365F91" w:themeColor="accent1" w:themeShade="BF"/>
                          <w:sz w:val="20"/>
                          <w:szCs w:val="20"/>
                        </w:rPr>
                        <w:t>for mutton snapper in the South Atlantic region is 16 inches total length (TL).</w:t>
                      </w:r>
                    </w:p>
                    <w:p w14:paraId="193F08C1" w14:textId="77777777" w:rsidR="009108B8" w:rsidRPr="00EC7112" w:rsidRDefault="009108B8" w:rsidP="0016692A">
                      <w:pPr>
                        <w:rPr>
                          <w:rFonts w:ascii="Arial" w:hAnsi="Arial" w:cs="Arial"/>
                          <w:iCs/>
                          <w:color w:val="365F91" w:themeColor="accent1" w:themeShade="BF"/>
                          <w:sz w:val="20"/>
                          <w:szCs w:val="20"/>
                        </w:rPr>
                      </w:pPr>
                    </w:p>
                    <w:p w14:paraId="223F9DFF" w14:textId="77777777" w:rsidR="009108B8" w:rsidRPr="00EC7112" w:rsidRDefault="009108B8" w:rsidP="0016692A">
                      <w:pPr>
                        <w:rPr>
                          <w:rFonts w:ascii="Arial" w:hAnsi="Arial" w:cs="Arial"/>
                          <w:iCs/>
                          <w:color w:val="365F91" w:themeColor="accent1" w:themeShade="BF"/>
                          <w:sz w:val="20"/>
                          <w:szCs w:val="20"/>
                        </w:rPr>
                      </w:pPr>
                      <w:r w:rsidRPr="00EC7112">
                        <w:rPr>
                          <w:rFonts w:ascii="Arial" w:hAnsi="Arial" w:cs="Arial"/>
                          <w:iCs/>
                          <w:color w:val="365F91" w:themeColor="accent1" w:themeShade="BF"/>
                          <w:sz w:val="20"/>
                          <w:szCs w:val="20"/>
                        </w:rPr>
                        <w:t>2.  Increase to 17 inches TL.</w:t>
                      </w:r>
                    </w:p>
                    <w:p w14:paraId="7D9CF6DB" w14:textId="77777777" w:rsidR="009108B8" w:rsidRPr="00EC7112" w:rsidRDefault="009108B8" w:rsidP="0016692A">
                      <w:pPr>
                        <w:rPr>
                          <w:rFonts w:ascii="Arial" w:hAnsi="Arial" w:cs="Arial"/>
                          <w:iCs/>
                          <w:color w:val="365F91" w:themeColor="accent1" w:themeShade="BF"/>
                          <w:sz w:val="20"/>
                          <w:szCs w:val="20"/>
                        </w:rPr>
                      </w:pPr>
                    </w:p>
                    <w:p w14:paraId="09B72ABF" w14:textId="77777777" w:rsidR="009108B8" w:rsidRPr="00286AA1" w:rsidRDefault="009108B8" w:rsidP="0016692A">
                      <w:pPr>
                        <w:rPr>
                          <w:rFonts w:ascii="Arial" w:hAnsi="Arial" w:cs="Arial"/>
                          <w:b/>
                          <w:iCs/>
                          <w:color w:val="365F91" w:themeColor="accent1" w:themeShade="BF"/>
                          <w:sz w:val="20"/>
                          <w:szCs w:val="20"/>
                        </w:rPr>
                      </w:pPr>
                      <w:r w:rsidRPr="00286AA1">
                        <w:rPr>
                          <w:rFonts w:ascii="Arial" w:hAnsi="Arial" w:cs="Arial"/>
                          <w:b/>
                          <w:iCs/>
                          <w:color w:val="365F91" w:themeColor="accent1" w:themeShade="BF"/>
                          <w:sz w:val="20"/>
                          <w:szCs w:val="20"/>
                        </w:rPr>
                        <w:t>3.  Increase to 18 inches TL.</w:t>
                      </w:r>
                    </w:p>
                    <w:p w14:paraId="52EF862D" w14:textId="77777777" w:rsidR="009108B8" w:rsidRPr="00EC7112" w:rsidRDefault="009108B8" w:rsidP="0016692A">
                      <w:pPr>
                        <w:rPr>
                          <w:rFonts w:ascii="Arial" w:hAnsi="Arial" w:cs="Arial"/>
                          <w:iCs/>
                          <w:color w:val="365F91" w:themeColor="accent1" w:themeShade="BF"/>
                          <w:sz w:val="20"/>
                          <w:szCs w:val="20"/>
                        </w:rPr>
                      </w:pPr>
                    </w:p>
                    <w:p w14:paraId="49FB4D4E" w14:textId="77777777" w:rsidR="009108B8" w:rsidRDefault="009108B8" w:rsidP="0016692A">
                      <w:pPr>
                        <w:rPr>
                          <w:rFonts w:ascii="Arial" w:hAnsi="Arial" w:cs="Arial"/>
                          <w:iCs/>
                          <w:color w:val="365F91" w:themeColor="accent1" w:themeShade="BF"/>
                          <w:sz w:val="20"/>
                          <w:szCs w:val="20"/>
                        </w:rPr>
                      </w:pPr>
                      <w:r w:rsidRPr="00EC7112">
                        <w:rPr>
                          <w:rFonts w:ascii="Arial" w:hAnsi="Arial" w:cs="Arial"/>
                          <w:iCs/>
                          <w:color w:val="365F91" w:themeColor="accent1" w:themeShade="BF"/>
                          <w:sz w:val="20"/>
                          <w:szCs w:val="20"/>
                        </w:rPr>
                        <w:t>4.  Increase to 19 inches TL.</w:t>
                      </w:r>
                    </w:p>
                    <w:p w14:paraId="48D184D3" w14:textId="77777777" w:rsidR="009108B8" w:rsidRDefault="009108B8" w:rsidP="0016692A">
                      <w:pPr>
                        <w:rPr>
                          <w:rFonts w:ascii="Arial" w:hAnsi="Arial" w:cs="Arial"/>
                          <w:iCs/>
                          <w:color w:val="365F91" w:themeColor="accent1" w:themeShade="BF"/>
                          <w:sz w:val="20"/>
                          <w:szCs w:val="20"/>
                        </w:rPr>
                      </w:pPr>
                    </w:p>
                    <w:p w14:paraId="28E1642D" w14:textId="77777777" w:rsidR="009108B8" w:rsidRDefault="009108B8" w:rsidP="0016692A">
                      <w:pPr>
                        <w:rPr>
                          <w:rFonts w:ascii="Arial" w:hAnsi="Arial" w:cs="Arial"/>
                          <w:iCs/>
                          <w:color w:val="365F91" w:themeColor="accent1" w:themeShade="BF"/>
                          <w:sz w:val="20"/>
                          <w:szCs w:val="20"/>
                        </w:rPr>
                      </w:pPr>
                      <w:r w:rsidRPr="00EC7112">
                        <w:rPr>
                          <w:rFonts w:ascii="Arial" w:hAnsi="Arial" w:cs="Arial"/>
                          <w:iCs/>
                          <w:color w:val="365F91" w:themeColor="accent1" w:themeShade="BF"/>
                          <w:sz w:val="20"/>
                          <w:szCs w:val="20"/>
                        </w:rPr>
                        <w:t>5.  Increase to 20 inches TL.</w:t>
                      </w:r>
                    </w:p>
                    <w:p w14:paraId="69CCDDCC" w14:textId="77777777" w:rsidR="009108B8" w:rsidRDefault="009108B8" w:rsidP="0016692A">
                      <w:pPr>
                        <w:rPr>
                          <w:rFonts w:ascii="Arial" w:hAnsi="Arial" w:cs="Arial"/>
                          <w:iCs/>
                          <w:color w:val="365F91" w:themeColor="accent1" w:themeShade="BF"/>
                          <w:sz w:val="20"/>
                          <w:szCs w:val="20"/>
                        </w:rPr>
                      </w:pPr>
                    </w:p>
                    <w:p w14:paraId="7365D7F0" w14:textId="44602326" w:rsidR="009108B8" w:rsidRPr="00EC7112" w:rsidRDefault="009108B8" w:rsidP="0016692A">
                      <w:pPr>
                        <w:rPr>
                          <w:rFonts w:ascii="Arial" w:hAnsi="Arial" w:cs="Arial"/>
                          <w:iCs/>
                          <w:color w:val="365F91" w:themeColor="accent1" w:themeShade="BF"/>
                          <w:sz w:val="20"/>
                          <w:szCs w:val="20"/>
                        </w:rPr>
                      </w:pPr>
                      <w:r>
                        <w:rPr>
                          <w:rFonts w:ascii="Arial" w:hAnsi="Arial" w:cs="Arial"/>
                          <w:iCs/>
                          <w:color w:val="365F91" w:themeColor="accent1" w:themeShade="BF"/>
                          <w:sz w:val="20"/>
                          <w:szCs w:val="20"/>
                        </w:rPr>
                        <w:t>* Preferred indicated in bold.  Refer to Chapter 2 for detailed language of alternatives</w:t>
                      </w:r>
                    </w:p>
                    <w:p w14:paraId="251A038E" w14:textId="77777777" w:rsidR="009108B8" w:rsidRPr="00EC7112" w:rsidRDefault="009108B8" w:rsidP="0016692A">
                      <w:pPr>
                        <w:rPr>
                          <w:rFonts w:ascii="Arial" w:hAnsi="Arial" w:cs="Arial"/>
                          <w:b/>
                          <w:i/>
                          <w:iCs/>
                          <w:color w:val="365F91" w:themeColor="accent1" w:themeShade="BF"/>
                          <w:sz w:val="20"/>
                          <w:szCs w:val="20"/>
                        </w:rPr>
                      </w:pPr>
                    </w:p>
                    <w:p w14:paraId="720731AE" w14:textId="77777777" w:rsidR="009108B8" w:rsidRDefault="009108B8" w:rsidP="0016692A">
                      <w:pPr>
                        <w:jc w:val="center"/>
                        <w:rPr>
                          <w:rFonts w:ascii="Arial" w:hAnsi="Arial" w:cs="Arial"/>
                          <w:b/>
                          <w:i/>
                          <w:iCs/>
                          <w:color w:val="365F91" w:themeColor="accent1" w:themeShade="BF"/>
                          <w:sz w:val="28"/>
                          <w:szCs w:val="28"/>
                        </w:rPr>
                      </w:pPr>
                    </w:p>
                    <w:p w14:paraId="1909CAE9" w14:textId="77777777" w:rsidR="009108B8" w:rsidRPr="00F7179C" w:rsidRDefault="009108B8" w:rsidP="0016692A">
                      <w:pPr>
                        <w:ind w:left="540"/>
                        <w:contextualSpacing/>
                        <w:rPr>
                          <w:rFonts w:ascii="Arial" w:eastAsia="Courier New" w:hAnsi="Arial" w:cs="Arial"/>
                          <w:color w:val="1F497D" w:themeColor="text2"/>
                          <w:sz w:val="22"/>
                          <w:szCs w:val="22"/>
                        </w:rPr>
                      </w:pPr>
                    </w:p>
                    <w:p w14:paraId="27BA194C" w14:textId="77777777" w:rsidR="009108B8" w:rsidRDefault="009108B8" w:rsidP="0016692A"/>
                  </w:txbxContent>
                </v:textbox>
                <w10:wrap type="square"/>
              </v:shape>
            </w:pict>
          </mc:Fallback>
        </mc:AlternateContent>
      </w:r>
      <w:r>
        <w:t>4.5.1</w:t>
      </w:r>
      <w:r>
        <w:tab/>
      </w:r>
      <w:r w:rsidRPr="005B5A20">
        <w:t xml:space="preserve">Biological Effects </w:t>
      </w:r>
      <w:bookmarkEnd w:id="248"/>
    </w:p>
    <w:p w14:paraId="661CD3C4" w14:textId="721E65F3" w:rsidR="0051542F" w:rsidRDefault="0051542F" w:rsidP="0051542F">
      <w:pPr>
        <w:ind w:firstLine="360"/>
      </w:pPr>
      <w:r>
        <w:t xml:space="preserve">According to the report for the SEDAR 15A (2008) assessment of the mutton snapper stock 50% of females achieved sexual maturity at 353 mm </w:t>
      </w:r>
      <w:r w:rsidR="0030581E">
        <w:t>TL</w:t>
      </w:r>
      <w:r w:rsidR="00ED4F0E">
        <w:t xml:space="preserve"> (</w:t>
      </w:r>
      <w:r>
        <w:t>14 inches</w:t>
      </w:r>
      <w:r w:rsidR="0030581E">
        <w:t xml:space="preserve"> TL</w:t>
      </w:r>
      <w:r>
        <w:t xml:space="preserve">) and 2.07 years of age.  However, Claro (1981) reported a size at 50% maturity (L50) for this species at 520 mm fork length (FL; ca. 574 mm TL; 20 inches) and 5-6 years of age.  Similarly, Figuerola and Torres (2001), using histological criteria, reported a </w:t>
      </w:r>
      <w:r w:rsidR="0030581E">
        <w:t xml:space="preserve">length at 50% maturity </w:t>
      </w:r>
      <w:r>
        <w:t>of 414 mm FL (ca. 459 mm TL; 18 inches</w:t>
      </w:r>
      <w:r w:rsidR="0030581E">
        <w:t xml:space="preserve"> TL</w:t>
      </w:r>
      <w:r>
        <w:t>) for mutton snapper in Puerto Rico.  The SEDAR 15A (2008) report further states “A shift in cohort-specific maturity schedules over time is consistent with a genetic change at the population level, and a change towards smaller size at maturity is consistent with the expected life-history response to high rates of selective exploitation (Marshall and Browman 2007).  If the data of prior estimates from Caribbean populations is indicative of fishes inhabiting Florida waters in the past, then current estimates of size-at-maturity are comparatively small and may indicate growth overfishing in the Florida population.</w:t>
      </w:r>
      <w:r w:rsidR="0021174F">
        <w:t>”</w:t>
      </w:r>
    </w:p>
    <w:p w14:paraId="34FCCBAC" w14:textId="77777777" w:rsidR="00ED4F0E" w:rsidRDefault="00ED4F0E" w:rsidP="0051542F">
      <w:pPr>
        <w:ind w:firstLine="360"/>
      </w:pPr>
    </w:p>
    <w:p w14:paraId="0D4EB71D" w14:textId="2CB50B77" w:rsidR="0016692A" w:rsidRDefault="0051542F" w:rsidP="00ED4F0E">
      <w:pPr>
        <w:ind w:firstLine="360"/>
      </w:pPr>
      <w:r>
        <w:t xml:space="preserve">More recently, </w:t>
      </w:r>
      <w:r w:rsidR="0016692A">
        <w:t>Sadov</w:t>
      </w:r>
      <w:r w:rsidR="00227A22">
        <w:t>y de Mitcheson and Colin (2011) report that</w:t>
      </w:r>
      <w:r w:rsidR="0016692A">
        <w:t xml:space="preserve"> male mutton snapper reach sexual mat</w:t>
      </w:r>
      <w:r w:rsidR="00ED4F0E">
        <w:t>urity at 16 inches FL</w:t>
      </w:r>
      <w:r w:rsidR="0016692A">
        <w:t xml:space="preserve"> and females at 18 inches FL.  Therefore, </w:t>
      </w:r>
      <w:r w:rsidR="0016692A" w:rsidRPr="005743C0">
        <w:rPr>
          <w:b/>
        </w:rPr>
        <w:t>Alternative 1 (No Action)</w:t>
      </w:r>
      <w:r w:rsidR="0016692A">
        <w:t xml:space="preserve"> would not be as biologically beneficial as the alternatives considered under this action because it allows harvest of some reproductively immature individuals.  </w:t>
      </w:r>
      <w:r w:rsidR="0016692A" w:rsidRPr="005743C0">
        <w:rPr>
          <w:b/>
        </w:rPr>
        <w:t>Alternatives 2-5</w:t>
      </w:r>
      <w:r w:rsidR="0016692A">
        <w:t xml:space="preserve"> would impart biological benefits to the mutton snapper population by allowing more individuals to reach reproductive activity before being harvested.  Of these, </w:t>
      </w:r>
      <w:r w:rsidR="0016692A">
        <w:rPr>
          <w:b/>
        </w:rPr>
        <w:t xml:space="preserve">Alternatives 4 </w:t>
      </w:r>
      <w:r w:rsidR="0016692A" w:rsidRPr="001D534D">
        <w:t xml:space="preserve">and </w:t>
      </w:r>
      <w:r w:rsidR="0016692A" w:rsidRPr="005743C0">
        <w:rPr>
          <w:b/>
        </w:rPr>
        <w:t>5</w:t>
      </w:r>
      <w:r w:rsidR="0016692A">
        <w:t xml:space="preserve"> would be more biologically beneficial tha</w:t>
      </w:r>
      <w:r w:rsidR="00286AA1">
        <w:t>n</w:t>
      </w:r>
      <w:r w:rsidR="0016692A">
        <w:t xml:space="preserve"> </w:t>
      </w:r>
      <w:r w:rsidR="00286AA1" w:rsidRPr="0000613D">
        <w:rPr>
          <w:b/>
        </w:rPr>
        <w:t>Preferred</w:t>
      </w:r>
      <w:r w:rsidR="00286AA1">
        <w:t xml:space="preserve"> </w:t>
      </w:r>
      <w:r w:rsidR="0016692A" w:rsidRPr="005743C0">
        <w:rPr>
          <w:b/>
        </w:rPr>
        <w:t>Alternative 3</w:t>
      </w:r>
      <w:r w:rsidR="0016692A">
        <w:t xml:space="preserve"> or </w:t>
      </w:r>
      <w:r w:rsidR="0016692A" w:rsidRPr="005743C0">
        <w:rPr>
          <w:b/>
        </w:rPr>
        <w:t>Alternative 2</w:t>
      </w:r>
      <w:r w:rsidR="0016692A">
        <w:t xml:space="preserve"> as they would presumably encompass all the reproductively active individuals in the population.</w:t>
      </w:r>
      <w:r w:rsidR="001875EE">
        <w:t xml:space="preserve">  Hence, biological benefits would be greatest under </w:t>
      </w:r>
      <w:r w:rsidR="001875EE" w:rsidRPr="0000613D">
        <w:rPr>
          <w:b/>
        </w:rPr>
        <w:t>Alternative 5</w:t>
      </w:r>
      <w:r w:rsidR="001875EE">
        <w:t xml:space="preserve"> and decrease with each subsequent alternative in diminishing order. </w:t>
      </w:r>
    </w:p>
    <w:p w14:paraId="1859442F" w14:textId="77777777" w:rsidR="00D226B1" w:rsidRDefault="00D226B1" w:rsidP="0000613D"/>
    <w:p w14:paraId="1C2F2749" w14:textId="3C4EF4F2" w:rsidR="001875EE" w:rsidRDefault="0016692A" w:rsidP="001875EE">
      <w:pPr>
        <w:ind w:firstLine="360"/>
      </w:pPr>
      <w:r w:rsidRPr="00490937">
        <w:rPr>
          <w:b/>
        </w:rPr>
        <w:t xml:space="preserve">Table </w:t>
      </w:r>
      <w:r w:rsidR="00ED4F0E">
        <w:rPr>
          <w:b/>
        </w:rPr>
        <w:t>4.5</w:t>
      </w:r>
      <w:r>
        <w:rPr>
          <w:b/>
        </w:rPr>
        <w:t>.1</w:t>
      </w:r>
      <w:r>
        <w:t xml:space="preserve"> presents projected landings for </w:t>
      </w:r>
      <w:r w:rsidR="00BD1DD4">
        <w:t xml:space="preserve">the </w:t>
      </w:r>
      <w:r>
        <w:t>different size limit alternatives</w:t>
      </w:r>
      <w:r w:rsidR="00BD1DD4">
        <w:t xml:space="preserve"> being considered</w:t>
      </w:r>
      <w:r>
        <w:t xml:space="preserve">.  </w:t>
      </w:r>
      <w:r w:rsidR="001875EE">
        <w:t xml:space="preserve">The table also presents predicted percent reductions in landings from the status quo.  Under the South Atlantic Council’s </w:t>
      </w:r>
      <w:r w:rsidR="001875EE" w:rsidRPr="0000613D">
        <w:rPr>
          <w:b/>
        </w:rPr>
        <w:t>Preferred Alternative 3</w:t>
      </w:r>
      <w:r w:rsidR="001875EE">
        <w:t xml:space="preserve"> (18 inches TL), recreational landings of mutton snapper at the current 10-fish bag limit are expected </w:t>
      </w:r>
      <w:r w:rsidR="00E54EFE">
        <w:t xml:space="preserve">to </w:t>
      </w:r>
      <w:r w:rsidR="0030581E">
        <w:t>decrease</w:t>
      </w:r>
      <w:r w:rsidR="001875EE">
        <w:t xml:space="preserve"> by </w:t>
      </w:r>
      <w:r w:rsidR="00F879B4">
        <w:t>about 55</w:t>
      </w:r>
      <w:r w:rsidR="001875EE">
        <w:t xml:space="preserve">%.  Minimum size limits of 19 and 20 inches </w:t>
      </w:r>
      <w:r w:rsidR="00E92168">
        <w:t xml:space="preserve">TL </w:t>
      </w:r>
      <w:r w:rsidR="001875EE">
        <w:t>(</w:t>
      </w:r>
      <w:r w:rsidR="001875EE" w:rsidRPr="0000613D">
        <w:rPr>
          <w:b/>
        </w:rPr>
        <w:t>Alternatives 4</w:t>
      </w:r>
      <w:r w:rsidR="001875EE">
        <w:t xml:space="preserve"> and </w:t>
      </w:r>
      <w:r w:rsidR="001875EE" w:rsidRPr="0000613D">
        <w:rPr>
          <w:b/>
        </w:rPr>
        <w:t>5</w:t>
      </w:r>
      <w:r w:rsidR="001875EE">
        <w:t xml:space="preserve">, respectively), would each further reduce recreational landings by </w:t>
      </w:r>
      <w:r w:rsidR="00F879B4">
        <w:t>58</w:t>
      </w:r>
      <w:r w:rsidR="001875EE">
        <w:t xml:space="preserve">% and </w:t>
      </w:r>
      <w:r w:rsidR="00F879B4">
        <w:t>61</w:t>
      </w:r>
      <w:r w:rsidR="001875EE">
        <w:t>%, respectively.  Overall, all of the minimum size limits alternatives being considered result in substantial decreases in projected landings.</w:t>
      </w:r>
    </w:p>
    <w:p w14:paraId="14142B8E" w14:textId="6F01389F" w:rsidR="0016692A" w:rsidRDefault="0016692A" w:rsidP="0016692A">
      <w:pPr>
        <w:ind w:firstLine="360"/>
      </w:pPr>
    </w:p>
    <w:p w14:paraId="79DBC2D2" w14:textId="77777777" w:rsidR="00D226B1" w:rsidRDefault="00D226B1" w:rsidP="0016692A">
      <w:pPr>
        <w:ind w:firstLine="360"/>
      </w:pPr>
    </w:p>
    <w:p w14:paraId="64D7969D" w14:textId="151D0AD2" w:rsidR="0016692A" w:rsidRDefault="00ED4F0E" w:rsidP="0000613D">
      <w:pPr>
        <w:pStyle w:val="Tabletitle"/>
      </w:pPr>
      <w:bookmarkStart w:id="249" w:name="_Toc340431581"/>
      <w:r w:rsidRPr="00ED4F0E">
        <w:rPr>
          <w:b/>
        </w:rPr>
        <w:t>Table 4.5.1</w:t>
      </w:r>
      <w:r w:rsidR="00D226B1" w:rsidRPr="00ED4F0E">
        <w:rPr>
          <w:b/>
        </w:rPr>
        <w:t>.</w:t>
      </w:r>
      <w:r w:rsidR="00D226B1">
        <w:t xml:space="preserve">  Projected recreational landings of mutton snapper (numbers of fish) and closure dates </w:t>
      </w:r>
      <w:r w:rsidR="00B56618">
        <w:t xml:space="preserve">for each of the three proposed ACLs, </w:t>
      </w:r>
      <w:r w:rsidR="00D226B1">
        <w:t>under the current bag limit (10 mutton snapper within the aggregate)</w:t>
      </w:r>
      <w:r w:rsidR="00B56618">
        <w:t>, and</w:t>
      </w:r>
      <w:r w:rsidR="00D226B1">
        <w:t xml:space="preserve"> with no further restrictions during May and June.</w:t>
      </w:r>
      <w:r w:rsidR="00BD1DD4">
        <w:t xml:space="preserve">  Preferred </w:t>
      </w:r>
      <w:r w:rsidR="00B56618">
        <w:t xml:space="preserve">minimum size limit </w:t>
      </w:r>
      <w:r w:rsidR="00BD1DD4">
        <w:t>alternative in bold.</w:t>
      </w:r>
      <w:bookmarkEnd w:id="249"/>
    </w:p>
    <w:tbl>
      <w:tblPr>
        <w:tblW w:w="95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202"/>
        <w:gridCol w:w="1180"/>
        <w:gridCol w:w="1380"/>
        <w:gridCol w:w="1271"/>
        <w:gridCol w:w="1711"/>
        <w:gridCol w:w="1711"/>
      </w:tblGrid>
      <w:tr w:rsidR="00D226B1" w:rsidRPr="00BD1DD4" w14:paraId="455F9B12" w14:textId="77777777" w:rsidTr="00BD1DD4">
        <w:trPr>
          <w:trHeight w:val="280"/>
        </w:trPr>
        <w:tc>
          <w:tcPr>
            <w:tcW w:w="1060" w:type="dxa"/>
            <w:vMerge w:val="restart"/>
            <w:shd w:val="clear" w:color="auto" w:fill="D9D9D9" w:themeFill="background1" w:themeFillShade="D9"/>
            <w:vAlign w:val="center"/>
            <w:hideMark/>
          </w:tcPr>
          <w:p w14:paraId="1843D837" w14:textId="77777777" w:rsidR="00D226B1" w:rsidRPr="00BD1DD4" w:rsidRDefault="00D226B1" w:rsidP="00BD1DD4">
            <w:pPr>
              <w:jc w:val="center"/>
              <w:rPr>
                <w:b/>
                <w:bCs/>
                <w:sz w:val="22"/>
                <w:szCs w:val="22"/>
              </w:rPr>
            </w:pPr>
            <w:r w:rsidRPr="00BD1DD4">
              <w:rPr>
                <w:b/>
                <w:bCs/>
                <w:sz w:val="22"/>
                <w:szCs w:val="22"/>
              </w:rPr>
              <w:t>Size Limit</w:t>
            </w:r>
          </w:p>
        </w:tc>
        <w:tc>
          <w:tcPr>
            <w:tcW w:w="1202" w:type="dxa"/>
            <w:vMerge w:val="restart"/>
            <w:shd w:val="clear" w:color="auto" w:fill="D9D9D9" w:themeFill="background1" w:themeFillShade="D9"/>
            <w:noWrap/>
            <w:vAlign w:val="center"/>
            <w:hideMark/>
          </w:tcPr>
          <w:p w14:paraId="7DCA6B7A" w14:textId="77777777" w:rsidR="00D226B1" w:rsidRPr="001875EE" w:rsidRDefault="00D226B1" w:rsidP="00BD1DD4">
            <w:pPr>
              <w:jc w:val="center"/>
              <w:rPr>
                <w:b/>
                <w:bCs/>
                <w:sz w:val="22"/>
                <w:szCs w:val="22"/>
              </w:rPr>
            </w:pPr>
            <w:r w:rsidRPr="001875EE">
              <w:rPr>
                <w:b/>
                <w:bCs/>
                <w:sz w:val="22"/>
                <w:szCs w:val="22"/>
              </w:rPr>
              <w:t>Bag Limit</w:t>
            </w:r>
          </w:p>
        </w:tc>
        <w:tc>
          <w:tcPr>
            <w:tcW w:w="1180" w:type="dxa"/>
            <w:vMerge w:val="restart"/>
            <w:shd w:val="clear" w:color="auto" w:fill="D9D9D9" w:themeFill="background1" w:themeFillShade="D9"/>
            <w:vAlign w:val="center"/>
            <w:hideMark/>
          </w:tcPr>
          <w:p w14:paraId="598A1BAF" w14:textId="77777777" w:rsidR="00D226B1" w:rsidRPr="00E92168" w:rsidRDefault="00D226B1" w:rsidP="00BD1DD4">
            <w:pPr>
              <w:jc w:val="center"/>
              <w:rPr>
                <w:b/>
                <w:bCs/>
                <w:sz w:val="22"/>
                <w:szCs w:val="22"/>
              </w:rPr>
            </w:pPr>
            <w:r w:rsidRPr="00E92168">
              <w:rPr>
                <w:b/>
                <w:bCs/>
                <w:sz w:val="22"/>
                <w:szCs w:val="22"/>
              </w:rPr>
              <w:t>Estimated Landings</w:t>
            </w:r>
          </w:p>
        </w:tc>
        <w:tc>
          <w:tcPr>
            <w:tcW w:w="1380" w:type="dxa"/>
            <w:vMerge w:val="restart"/>
            <w:shd w:val="clear" w:color="auto" w:fill="D9D9D9" w:themeFill="background1" w:themeFillShade="D9"/>
            <w:vAlign w:val="center"/>
            <w:hideMark/>
          </w:tcPr>
          <w:p w14:paraId="2254E5DD" w14:textId="77777777" w:rsidR="00D226B1" w:rsidRPr="00693DE8" w:rsidRDefault="00D226B1" w:rsidP="00BD1DD4">
            <w:pPr>
              <w:jc w:val="center"/>
              <w:rPr>
                <w:b/>
                <w:bCs/>
                <w:sz w:val="22"/>
                <w:szCs w:val="22"/>
              </w:rPr>
            </w:pPr>
            <w:r w:rsidRPr="00693DE8">
              <w:rPr>
                <w:b/>
                <w:bCs/>
                <w:sz w:val="22"/>
                <w:szCs w:val="22"/>
              </w:rPr>
              <w:t>% Reduction</w:t>
            </w:r>
          </w:p>
        </w:tc>
        <w:tc>
          <w:tcPr>
            <w:tcW w:w="4693" w:type="dxa"/>
            <w:gridSpan w:val="3"/>
            <w:shd w:val="clear" w:color="auto" w:fill="D9D9D9" w:themeFill="background1" w:themeFillShade="D9"/>
            <w:noWrap/>
            <w:vAlign w:val="bottom"/>
            <w:hideMark/>
          </w:tcPr>
          <w:p w14:paraId="2E03083B" w14:textId="77777777" w:rsidR="00D226B1" w:rsidRPr="00496596" w:rsidRDefault="00D226B1" w:rsidP="00BD1DD4">
            <w:pPr>
              <w:jc w:val="center"/>
              <w:rPr>
                <w:b/>
                <w:bCs/>
                <w:sz w:val="22"/>
                <w:szCs w:val="22"/>
              </w:rPr>
            </w:pPr>
            <w:r w:rsidRPr="00496596">
              <w:rPr>
                <w:b/>
                <w:bCs/>
                <w:sz w:val="22"/>
                <w:szCs w:val="22"/>
              </w:rPr>
              <w:t>Projected Closure Date</w:t>
            </w:r>
          </w:p>
        </w:tc>
      </w:tr>
      <w:tr w:rsidR="00D226B1" w:rsidRPr="00D06046" w14:paraId="1392BEBF" w14:textId="77777777" w:rsidTr="00BD1DD4">
        <w:trPr>
          <w:trHeight w:val="280"/>
        </w:trPr>
        <w:tc>
          <w:tcPr>
            <w:tcW w:w="1060" w:type="dxa"/>
            <w:vMerge/>
            <w:shd w:val="clear" w:color="auto" w:fill="D9D9D9" w:themeFill="background1" w:themeFillShade="D9"/>
            <w:vAlign w:val="center"/>
            <w:hideMark/>
          </w:tcPr>
          <w:p w14:paraId="7FCCE0FE" w14:textId="77777777" w:rsidR="00D226B1" w:rsidRPr="0000613D" w:rsidRDefault="00D226B1" w:rsidP="00BD1DD4">
            <w:pPr>
              <w:rPr>
                <w:b/>
                <w:bCs/>
                <w:sz w:val="22"/>
                <w:szCs w:val="22"/>
              </w:rPr>
            </w:pPr>
          </w:p>
        </w:tc>
        <w:tc>
          <w:tcPr>
            <w:tcW w:w="1202" w:type="dxa"/>
            <w:vMerge/>
            <w:shd w:val="clear" w:color="auto" w:fill="D9D9D9" w:themeFill="background1" w:themeFillShade="D9"/>
            <w:noWrap/>
            <w:vAlign w:val="bottom"/>
            <w:hideMark/>
          </w:tcPr>
          <w:p w14:paraId="71E08035" w14:textId="77777777" w:rsidR="00D226B1" w:rsidRPr="0000613D" w:rsidRDefault="00D226B1" w:rsidP="00BD1DD4">
            <w:pPr>
              <w:jc w:val="center"/>
              <w:rPr>
                <w:b/>
                <w:bCs/>
                <w:sz w:val="22"/>
                <w:szCs w:val="22"/>
              </w:rPr>
            </w:pPr>
          </w:p>
        </w:tc>
        <w:tc>
          <w:tcPr>
            <w:tcW w:w="1180" w:type="dxa"/>
            <w:vMerge/>
            <w:shd w:val="clear" w:color="auto" w:fill="D9D9D9" w:themeFill="background1" w:themeFillShade="D9"/>
            <w:vAlign w:val="center"/>
            <w:hideMark/>
          </w:tcPr>
          <w:p w14:paraId="4CA36EE9" w14:textId="77777777" w:rsidR="00D226B1" w:rsidRPr="0000613D" w:rsidRDefault="00D226B1" w:rsidP="00BD1DD4">
            <w:pPr>
              <w:rPr>
                <w:b/>
                <w:bCs/>
                <w:sz w:val="22"/>
                <w:szCs w:val="22"/>
              </w:rPr>
            </w:pPr>
          </w:p>
        </w:tc>
        <w:tc>
          <w:tcPr>
            <w:tcW w:w="1380" w:type="dxa"/>
            <w:vMerge/>
            <w:shd w:val="clear" w:color="auto" w:fill="D9D9D9" w:themeFill="background1" w:themeFillShade="D9"/>
            <w:vAlign w:val="center"/>
            <w:hideMark/>
          </w:tcPr>
          <w:p w14:paraId="34E2ABA6" w14:textId="77777777" w:rsidR="00D226B1" w:rsidRPr="0000613D" w:rsidRDefault="00D226B1" w:rsidP="00BD1DD4">
            <w:pPr>
              <w:rPr>
                <w:b/>
                <w:bCs/>
                <w:sz w:val="22"/>
                <w:szCs w:val="22"/>
              </w:rPr>
            </w:pPr>
          </w:p>
        </w:tc>
        <w:tc>
          <w:tcPr>
            <w:tcW w:w="1271" w:type="dxa"/>
            <w:shd w:val="clear" w:color="auto" w:fill="D9D9D9" w:themeFill="background1" w:themeFillShade="D9"/>
            <w:noWrap/>
            <w:vAlign w:val="bottom"/>
            <w:hideMark/>
          </w:tcPr>
          <w:p w14:paraId="76DFD252" w14:textId="77777777" w:rsidR="00D226B1" w:rsidRPr="00BD1DD4" w:rsidRDefault="00D226B1" w:rsidP="00BD1DD4">
            <w:pPr>
              <w:jc w:val="center"/>
              <w:rPr>
                <w:b/>
                <w:bCs/>
                <w:sz w:val="22"/>
                <w:szCs w:val="22"/>
              </w:rPr>
            </w:pPr>
            <w:r w:rsidRPr="00BD1DD4">
              <w:rPr>
                <w:b/>
                <w:bCs/>
                <w:sz w:val="22"/>
                <w:szCs w:val="22"/>
              </w:rPr>
              <w:t>ACL=ABC</w:t>
            </w:r>
          </w:p>
        </w:tc>
        <w:tc>
          <w:tcPr>
            <w:tcW w:w="1711" w:type="dxa"/>
            <w:shd w:val="clear" w:color="auto" w:fill="D9D9D9" w:themeFill="background1" w:themeFillShade="D9"/>
            <w:noWrap/>
            <w:vAlign w:val="bottom"/>
            <w:hideMark/>
          </w:tcPr>
          <w:p w14:paraId="03949DE3" w14:textId="77777777" w:rsidR="00D226B1" w:rsidRPr="00BD1DD4" w:rsidRDefault="00D226B1" w:rsidP="00BD1DD4">
            <w:pPr>
              <w:jc w:val="center"/>
              <w:rPr>
                <w:b/>
                <w:bCs/>
                <w:sz w:val="22"/>
                <w:szCs w:val="22"/>
              </w:rPr>
            </w:pPr>
            <w:r w:rsidRPr="00BD1DD4">
              <w:rPr>
                <w:b/>
                <w:bCs/>
                <w:sz w:val="22"/>
                <w:szCs w:val="22"/>
              </w:rPr>
              <w:t>ACL=95%ABC</w:t>
            </w:r>
          </w:p>
        </w:tc>
        <w:tc>
          <w:tcPr>
            <w:tcW w:w="1711" w:type="dxa"/>
            <w:shd w:val="clear" w:color="auto" w:fill="D9D9D9" w:themeFill="background1" w:themeFillShade="D9"/>
            <w:noWrap/>
            <w:vAlign w:val="bottom"/>
            <w:hideMark/>
          </w:tcPr>
          <w:p w14:paraId="7779B7F2" w14:textId="77777777" w:rsidR="00D226B1" w:rsidRPr="00BD1DD4" w:rsidRDefault="00D226B1" w:rsidP="00BD1DD4">
            <w:pPr>
              <w:jc w:val="center"/>
              <w:rPr>
                <w:b/>
                <w:bCs/>
                <w:sz w:val="22"/>
                <w:szCs w:val="22"/>
              </w:rPr>
            </w:pPr>
            <w:r w:rsidRPr="00BD1DD4">
              <w:rPr>
                <w:b/>
                <w:bCs/>
                <w:sz w:val="22"/>
                <w:szCs w:val="22"/>
              </w:rPr>
              <w:t>ACL=90%ABC</w:t>
            </w:r>
          </w:p>
        </w:tc>
      </w:tr>
      <w:tr w:rsidR="00D226B1" w:rsidRPr="00D06046" w14:paraId="4F1FA8F6" w14:textId="77777777" w:rsidTr="00BD1DD4">
        <w:trPr>
          <w:trHeight w:val="280"/>
        </w:trPr>
        <w:tc>
          <w:tcPr>
            <w:tcW w:w="1060" w:type="dxa"/>
            <w:shd w:val="clear" w:color="auto" w:fill="auto"/>
            <w:noWrap/>
            <w:vAlign w:val="bottom"/>
            <w:hideMark/>
          </w:tcPr>
          <w:p w14:paraId="7FAC545D" w14:textId="77777777" w:rsidR="00D226B1" w:rsidRPr="00BD1DD4" w:rsidRDefault="00D226B1" w:rsidP="00BD1DD4">
            <w:pPr>
              <w:jc w:val="center"/>
              <w:rPr>
                <w:sz w:val="22"/>
                <w:szCs w:val="22"/>
              </w:rPr>
            </w:pPr>
            <w:r w:rsidRPr="00BD1DD4">
              <w:rPr>
                <w:sz w:val="22"/>
                <w:szCs w:val="22"/>
              </w:rPr>
              <w:t>16</w:t>
            </w:r>
          </w:p>
        </w:tc>
        <w:tc>
          <w:tcPr>
            <w:tcW w:w="1202" w:type="dxa"/>
            <w:shd w:val="clear" w:color="auto" w:fill="auto"/>
            <w:noWrap/>
            <w:vAlign w:val="bottom"/>
            <w:hideMark/>
          </w:tcPr>
          <w:p w14:paraId="112D6FB8" w14:textId="77777777" w:rsidR="00D226B1" w:rsidRPr="001875EE" w:rsidRDefault="00D226B1" w:rsidP="00BD1DD4">
            <w:pPr>
              <w:jc w:val="center"/>
              <w:rPr>
                <w:sz w:val="22"/>
                <w:szCs w:val="22"/>
              </w:rPr>
            </w:pPr>
            <w:r w:rsidRPr="001875EE">
              <w:rPr>
                <w:sz w:val="22"/>
                <w:szCs w:val="22"/>
              </w:rPr>
              <w:t>10</w:t>
            </w:r>
          </w:p>
        </w:tc>
        <w:tc>
          <w:tcPr>
            <w:tcW w:w="1180" w:type="dxa"/>
            <w:shd w:val="clear" w:color="auto" w:fill="auto"/>
            <w:noWrap/>
            <w:vAlign w:val="bottom"/>
            <w:hideMark/>
          </w:tcPr>
          <w:p w14:paraId="1723AA1B" w14:textId="1634E9B7" w:rsidR="00D226B1" w:rsidRPr="00E92168" w:rsidRDefault="008072BF" w:rsidP="00BD1DD4">
            <w:pPr>
              <w:jc w:val="center"/>
              <w:rPr>
                <w:sz w:val="22"/>
                <w:szCs w:val="22"/>
              </w:rPr>
            </w:pPr>
            <w:r>
              <w:rPr>
                <w:sz w:val="22"/>
                <w:szCs w:val="22"/>
              </w:rPr>
              <w:t>111,966</w:t>
            </w:r>
          </w:p>
        </w:tc>
        <w:tc>
          <w:tcPr>
            <w:tcW w:w="1380" w:type="dxa"/>
            <w:shd w:val="clear" w:color="auto" w:fill="auto"/>
            <w:noWrap/>
            <w:vAlign w:val="bottom"/>
            <w:hideMark/>
          </w:tcPr>
          <w:p w14:paraId="4E41937E" w14:textId="77777777" w:rsidR="00D226B1" w:rsidRPr="00693DE8" w:rsidRDefault="00D226B1" w:rsidP="00BD1DD4">
            <w:pPr>
              <w:jc w:val="center"/>
              <w:rPr>
                <w:sz w:val="22"/>
                <w:szCs w:val="22"/>
              </w:rPr>
            </w:pPr>
            <w:r w:rsidRPr="00693DE8">
              <w:rPr>
                <w:sz w:val="22"/>
                <w:szCs w:val="22"/>
              </w:rPr>
              <w:t>0.0%</w:t>
            </w:r>
          </w:p>
        </w:tc>
        <w:tc>
          <w:tcPr>
            <w:tcW w:w="1271" w:type="dxa"/>
            <w:shd w:val="clear" w:color="auto" w:fill="auto"/>
            <w:noWrap/>
            <w:vAlign w:val="bottom"/>
            <w:hideMark/>
          </w:tcPr>
          <w:p w14:paraId="44C41FC4" w14:textId="77777777" w:rsidR="00D226B1" w:rsidRPr="00496596" w:rsidRDefault="00D226B1" w:rsidP="00BD1DD4">
            <w:pPr>
              <w:jc w:val="center"/>
              <w:rPr>
                <w:sz w:val="22"/>
                <w:szCs w:val="22"/>
              </w:rPr>
            </w:pPr>
            <w:r w:rsidRPr="00496596">
              <w:rPr>
                <w:sz w:val="22"/>
                <w:szCs w:val="22"/>
              </w:rPr>
              <w:t xml:space="preserve">No </w:t>
            </w:r>
          </w:p>
        </w:tc>
        <w:tc>
          <w:tcPr>
            <w:tcW w:w="1711" w:type="dxa"/>
            <w:shd w:val="clear" w:color="auto" w:fill="auto"/>
            <w:noWrap/>
            <w:vAlign w:val="bottom"/>
            <w:hideMark/>
          </w:tcPr>
          <w:p w14:paraId="3303779F" w14:textId="77777777" w:rsidR="00D226B1" w:rsidRPr="00DF6C17" w:rsidRDefault="00D226B1" w:rsidP="00BD1DD4">
            <w:pPr>
              <w:jc w:val="center"/>
              <w:rPr>
                <w:sz w:val="22"/>
                <w:szCs w:val="22"/>
              </w:rPr>
            </w:pPr>
            <w:r w:rsidRPr="00DF6C17">
              <w:rPr>
                <w:sz w:val="22"/>
                <w:szCs w:val="22"/>
              </w:rPr>
              <w:t>27-Dec</w:t>
            </w:r>
          </w:p>
        </w:tc>
        <w:tc>
          <w:tcPr>
            <w:tcW w:w="1711" w:type="dxa"/>
            <w:shd w:val="clear" w:color="auto" w:fill="auto"/>
            <w:noWrap/>
            <w:vAlign w:val="bottom"/>
            <w:hideMark/>
          </w:tcPr>
          <w:p w14:paraId="2710EB4D" w14:textId="77777777" w:rsidR="00D226B1" w:rsidRPr="005879E9" w:rsidRDefault="00D226B1" w:rsidP="00BD1DD4">
            <w:pPr>
              <w:jc w:val="center"/>
              <w:rPr>
                <w:sz w:val="22"/>
                <w:szCs w:val="22"/>
              </w:rPr>
            </w:pPr>
            <w:r w:rsidRPr="005879E9">
              <w:rPr>
                <w:sz w:val="22"/>
                <w:szCs w:val="22"/>
              </w:rPr>
              <w:t>9-Dec</w:t>
            </w:r>
          </w:p>
        </w:tc>
      </w:tr>
      <w:tr w:rsidR="00D226B1" w:rsidRPr="00D06046" w14:paraId="128218FD" w14:textId="77777777" w:rsidTr="00BD1DD4">
        <w:trPr>
          <w:trHeight w:val="280"/>
        </w:trPr>
        <w:tc>
          <w:tcPr>
            <w:tcW w:w="1060" w:type="dxa"/>
            <w:shd w:val="clear" w:color="auto" w:fill="auto"/>
            <w:noWrap/>
            <w:vAlign w:val="bottom"/>
            <w:hideMark/>
          </w:tcPr>
          <w:p w14:paraId="0CA1C3DB" w14:textId="77777777" w:rsidR="00D226B1" w:rsidRPr="00BD1DD4" w:rsidRDefault="00D226B1" w:rsidP="00BD1DD4">
            <w:pPr>
              <w:jc w:val="center"/>
              <w:rPr>
                <w:sz w:val="22"/>
                <w:szCs w:val="22"/>
              </w:rPr>
            </w:pPr>
            <w:r w:rsidRPr="00BD1DD4">
              <w:rPr>
                <w:sz w:val="22"/>
                <w:szCs w:val="22"/>
              </w:rPr>
              <w:t>17</w:t>
            </w:r>
          </w:p>
        </w:tc>
        <w:tc>
          <w:tcPr>
            <w:tcW w:w="1202" w:type="dxa"/>
            <w:shd w:val="clear" w:color="auto" w:fill="auto"/>
            <w:noWrap/>
            <w:vAlign w:val="bottom"/>
            <w:hideMark/>
          </w:tcPr>
          <w:p w14:paraId="34E35DE9" w14:textId="77777777" w:rsidR="00D226B1" w:rsidRPr="001875EE" w:rsidRDefault="00D226B1" w:rsidP="00BD1DD4">
            <w:pPr>
              <w:jc w:val="center"/>
              <w:rPr>
                <w:sz w:val="22"/>
                <w:szCs w:val="22"/>
              </w:rPr>
            </w:pPr>
            <w:r w:rsidRPr="001875EE">
              <w:rPr>
                <w:sz w:val="22"/>
                <w:szCs w:val="22"/>
              </w:rPr>
              <w:t>10</w:t>
            </w:r>
          </w:p>
        </w:tc>
        <w:tc>
          <w:tcPr>
            <w:tcW w:w="1180" w:type="dxa"/>
            <w:shd w:val="clear" w:color="auto" w:fill="auto"/>
            <w:noWrap/>
            <w:vAlign w:val="bottom"/>
            <w:hideMark/>
          </w:tcPr>
          <w:p w14:paraId="119673B6" w14:textId="06F6D9A4" w:rsidR="00D226B1" w:rsidRPr="00E92168" w:rsidRDefault="008072BF" w:rsidP="00BD1DD4">
            <w:pPr>
              <w:jc w:val="center"/>
              <w:rPr>
                <w:sz w:val="22"/>
                <w:szCs w:val="22"/>
              </w:rPr>
            </w:pPr>
            <w:r>
              <w:rPr>
                <w:sz w:val="22"/>
                <w:szCs w:val="22"/>
              </w:rPr>
              <w:t>56,284</w:t>
            </w:r>
          </w:p>
        </w:tc>
        <w:tc>
          <w:tcPr>
            <w:tcW w:w="1380" w:type="dxa"/>
            <w:shd w:val="clear" w:color="auto" w:fill="auto"/>
            <w:noWrap/>
            <w:vAlign w:val="bottom"/>
            <w:hideMark/>
          </w:tcPr>
          <w:p w14:paraId="53E1CC35" w14:textId="470818FB" w:rsidR="00D226B1" w:rsidRPr="00693DE8" w:rsidRDefault="008072BF" w:rsidP="00BD1DD4">
            <w:pPr>
              <w:jc w:val="center"/>
              <w:rPr>
                <w:sz w:val="22"/>
                <w:szCs w:val="22"/>
              </w:rPr>
            </w:pPr>
            <w:r>
              <w:rPr>
                <w:sz w:val="22"/>
                <w:szCs w:val="22"/>
              </w:rPr>
              <w:t>49.7</w:t>
            </w:r>
            <w:r w:rsidR="00D226B1" w:rsidRPr="00693DE8">
              <w:rPr>
                <w:sz w:val="22"/>
                <w:szCs w:val="22"/>
              </w:rPr>
              <w:t>%</w:t>
            </w:r>
          </w:p>
        </w:tc>
        <w:tc>
          <w:tcPr>
            <w:tcW w:w="1271" w:type="dxa"/>
            <w:shd w:val="clear" w:color="auto" w:fill="auto"/>
            <w:noWrap/>
            <w:vAlign w:val="bottom"/>
            <w:hideMark/>
          </w:tcPr>
          <w:p w14:paraId="1863E4D9" w14:textId="77777777" w:rsidR="00D226B1" w:rsidRPr="00496596" w:rsidRDefault="00D226B1" w:rsidP="00BD1DD4">
            <w:pPr>
              <w:jc w:val="center"/>
              <w:rPr>
                <w:sz w:val="22"/>
                <w:szCs w:val="22"/>
              </w:rPr>
            </w:pPr>
            <w:r w:rsidRPr="00496596">
              <w:rPr>
                <w:sz w:val="22"/>
                <w:szCs w:val="22"/>
              </w:rPr>
              <w:t xml:space="preserve">No </w:t>
            </w:r>
          </w:p>
        </w:tc>
        <w:tc>
          <w:tcPr>
            <w:tcW w:w="1711" w:type="dxa"/>
            <w:shd w:val="clear" w:color="auto" w:fill="auto"/>
            <w:noWrap/>
            <w:vAlign w:val="bottom"/>
            <w:hideMark/>
          </w:tcPr>
          <w:p w14:paraId="4B4F1945" w14:textId="77777777" w:rsidR="00D226B1" w:rsidRPr="00DF6C17" w:rsidRDefault="00D226B1" w:rsidP="00BD1DD4">
            <w:pPr>
              <w:jc w:val="center"/>
              <w:rPr>
                <w:sz w:val="22"/>
                <w:szCs w:val="22"/>
              </w:rPr>
            </w:pPr>
            <w:r w:rsidRPr="00DF6C17">
              <w:rPr>
                <w:sz w:val="22"/>
                <w:szCs w:val="22"/>
              </w:rPr>
              <w:t xml:space="preserve">No </w:t>
            </w:r>
          </w:p>
        </w:tc>
        <w:tc>
          <w:tcPr>
            <w:tcW w:w="1711" w:type="dxa"/>
            <w:shd w:val="clear" w:color="auto" w:fill="auto"/>
            <w:noWrap/>
            <w:vAlign w:val="bottom"/>
            <w:hideMark/>
          </w:tcPr>
          <w:p w14:paraId="34894E00" w14:textId="77777777" w:rsidR="00D226B1" w:rsidRPr="005879E9" w:rsidRDefault="00D226B1" w:rsidP="00BD1DD4">
            <w:pPr>
              <w:jc w:val="center"/>
              <w:rPr>
                <w:sz w:val="22"/>
                <w:szCs w:val="22"/>
              </w:rPr>
            </w:pPr>
            <w:r w:rsidRPr="005879E9">
              <w:rPr>
                <w:sz w:val="22"/>
                <w:szCs w:val="22"/>
              </w:rPr>
              <w:t xml:space="preserve">No </w:t>
            </w:r>
          </w:p>
        </w:tc>
      </w:tr>
      <w:tr w:rsidR="00D226B1" w:rsidRPr="00BD1DD4" w14:paraId="184C619E" w14:textId="77777777" w:rsidTr="00BD1DD4">
        <w:trPr>
          <w:trHeight w:val="280"/>
        </w:trPr>
        <w:tc>
          <w:tcPr>
            <w:tcW w:w="1060" w:type="dxa"/>
            <w:shd w:val="clear" w:color="auto" w:fill="auto"/>
            <w:noWrap/>
            <w:vAlign w:val="bottom"/>
            <w:hideMark/>
          </w:tcPr>
          <w:p w14:paraId="24056439" w14:textId="47843F80" w:rsidR="00D226B1" w:rsidRPr="0000613D" w:rsidRDefault="00D226B1" w:rsidP="00BD1DD4">
            <w:pPr>
              <w:jc w:val="center"/>
              <w:rPr>
                <w:b/>
                <w:sz w:val="22"/>
                <w:szCs w:val="22"/>
              </w:rPr>
            </w:pPr>
            <w:r w:rsidRPr="0000613D">
              <w:rPr>
                <w:b/>
                <w:sz w:val="22"/>
                <w:szCs w:val="22"/>
              </w:rPr>
              <w:t>18</w:t>
            </w:r>
            <w:r w:rsidR="00BD1DD4" w:rsidRPr="00BD1DD4">
              <w:rPr>
                <w:b/>
                <w:sz w:val="22"/>
                <w:szCs w:val="22"/>
              </w:rPr>
              <w:t xml:space="preserve"> (Pref)</w:t>
            </w:r>
          </w:p>
        </w:tc>
        <w:tc>
          <w:tcPr>
            <w:tcW w:w="1202" w:type="dxa"/>
            <w:shd w:val="clear" w:color="auto" w:fill="auto"/>
            <w:noWrap/>
            <w:vAlign w:val="bottom"/>
            <w:hideMark/>
          </w:tcPr>
          <w:p w14:paraId="7DE2AF07" w14:textId="77777777" w:rsidR="00D226B1" w:rsidRPr="0000613D" w:rsidRDefault="00D226B1" w:rsidP="00BD1DD4">
            <w:pPr>
              <w:jc w:val="center"/>
              <w:rPr>
                <w:b/>
                <w:sz w:val="22"/>
                <w:szCs w:val="22"/>
              </w:rPr>
            </w:pPr>
            <w:r w:rsidRPr="0000613D">
              <w:rPr>
                <w:b/>
                <w:sz w:val="22"/>
                <w:szCs w:val="22"/>
              </w:rPr>
              <w:t>10</w:t>
            </w:r>
          </w:p>
        </w:tc>
        <w:tc>
          <w:tcPr>
            <w:tcW w:w="1180" w:type="dxa"/>
            <w:shd w:val="clear" w:color="auto" w:fill="auto"/>
            <w:noWrap/>
            <w:vAlign w:val="bottom"/>
            <w:hideMark/>
          </w:tcPr>
          <w:p w14:paraId="7C6194F4" w14:textId="4569DD36" w:rsidR="00D226B1" w:rsidRPr="0000613D" w:rsidRDefault="00125D3A" w:rsidP="00BD1DD4">
            <w:pPr>
              <w:jc w:val="center"/>
              <w:rPr>
                <w:b/>
                <w:sz w:val="22"/>
                <w:szCs w:val="22"/>
              </w:rPr>
            </w:pPr>
            <w:r>
              <w:rPr>
                <w:b/>
                <w:sz w:val="22"/>
                <w:szCs w:val="22"/>
              </w:rPr>
              <w:t>50,597</w:t>
            </w:r>
          </w:p>
        </w:tc>
        <w:tc>
          <w:tcPr>
            <w:tcW w:w="1380" w:type="dxa"/>
            <w:shd w:val="clear" w:color="auto" w:fill="auto"/>
            <w:noWrap/>
            <w:vAlign w:val="bottom"/>
            <w:hideMark/>
          </w:tcPr>
          <w:p w14:paraId="469C46C2" w14:textId="095842A1" w:rsidR="00D226B1" w:rsidRPr="0000613D" w:rsidRDefault="00125D3A" w:rsidP="00BD1DD4">
            <w:pPr>
              <w:jc w:val="center"/>
              <w:rPr>
                <w:b/>
                <w:sz w:val="22"/>
                <w:szCs w:val="22"/>
              </w:rPr>
            </w:pPr>
            <w:r>
              <w:rPr>
                <w:b/>
                <w:sz w:val="22"/>
                <w:szCs w:val="22"/>
              </w:rPr>
              <w:t>54.8</w:t>
            </w:r>
            <w:r w:rsidR="00D226B1" w:rsidRPr="0000613D">
              <w:rPr>
                <w:b/>
                <w:sz w:val="22"/>
                <w:szCs w:val="22"/>
              </w:rPr>
              <w:t>%</w:t>
            </w:r>
          </w:p>
        </w:tc>
        <w:tc>
          <w:tcPr>
            <w:tcW w:w="1271" w:type="dxa"/>
            <w:shd w:val="clear" w:color="auto" w:fill="auto"/>
            <w:noWrap/>
            <w:vAlign w:val="bottom"/>
            <w:hideMark/>
          </w:tcPr>
          <w:p w14:paraId="74534C87" w14:textId="77777777" w:rsidR="00D226B1" w:rsidRPr="0000613D" w:rsidRDefault="00D226B1" w:rsidP="00BD1DD4">
            <w:pPr>
              <w:jc w:val="center"/>
              <w:rPr>
                <w:b/>
                <w:sz w:val="22"/>
                <w:szCs w:val="22"/>
              </w:rPr>
            </w:pPr>
            <w:r w:rsidRPr="0000613D">
              <w:rPr>
                <w:b/>
                <w:sz w:val="22"/>
                <w:szCs w:val="22"/>
              </w:rPr>
              <w:t xml:space="preserve">No </w:t>
            </w:r>
          </w:p>
        </w:tc>
        <w:tc>
          <w:tcPr>
            <w:tcW w:w="1711" w:type="dxa"/>
            <w:shd w:val="clear" w:color="auto" w:fill="auto"/>
            <w:noWrap/>
            <w:vAlign w:val="bottom"/>
            <w:hideMark/>
          </w:tcPr>
          <w:p w14:paraId="3AABBEE5" w14:textId="77777777" w:rsidR="00D226B1" w:rsidRPr="0000613D" w:rsidRDefault="00D226B1" w:rsidP="00BD1DD4">
            <w:pPr>
              <w:jc w:val="center"/>
              <w:rPr>
                <w:b/>
                <w:sz w:val="22"/>
                <w:szCs w:val="22"/>
              </w:rPr>
            </w:pPr>
            <w:r w:rsidRPr="0000613D">
              <w:rPr>
                <w:b/>
                <w:sz w:val="22"/>
                <w:szCs w:val="22"/>
              </w:rPr>
              <w:t xml:space="preserve">No </w:t>
            </w:r>
          </w:p>
        </w:tc>
        <w:tc>
          <w:tcPr>
            <w:tcW w:w="1711" w:type="dxa"/>
            <w:shd w:val="clear" w:color="auto" w:fill="auto"/>
            <w:noWrap/>
            <w:vAlign w:val="bottom"/>
            <w:hideMark/>
          </w:tcPr>
          <w:p w14:paraId="69C727BD" w14:textId="77777777" w:rsidR="00D226B1" w:rsidRPr="0000613D" w:rsidRDefault="00D226B1" w:rsidP="00BD1DD4">
            <w:pPr>
              <w:jc w:val="center"/>
              <w:rPr>
                <w:b/>
                <w:sz w:val="22"/>
                <w:szCs w:val="22"/>
              </w:rPr>
            </w:pPr>
            <w:r w:rsidRPr="0000613D">
              <w:rPr>
                <w:b/>
                <w:sz w:val="22"/>
                <w:szCs w:val="22"/>
              </w:rPr>
              <w:t xml:space="preserve">No </w:t>
            </w:r>
          </w:p>
        </w:tc>
      </w:tr>
      <w:tr w:rsidR="00D226B1" w:rsidRPr="00D06046" w14:paraId="645EFAB4" w14:textId="77777777" w:rsidTr="00BD1DD4">
        <w:trPr>
          <w:trHeight w:val="280"/>
        </w:trPr>
        <w:tc>
          <w:tcPr>
            <w:tcW w:w="1060" w:type="dxa"/>
            <w:shd w:val="clear" w:color="auto" w:fill="auto"/>
            <w:noWrap/>
            <w:vAlign w:val="bottom"/>
            <w:hideMark/>
          </w:tcPr>
          <w:p w14:paraId="4549A9B6" w14:textId="77777777" w:rsidR="00D226B1" w:rsidRPr="00BD1DD4" w:rsidRDefault="00D226B1" w:rsidP="00BD1DD4">
            <w:pPr>
              <w:jc w:val="center"/>
              <w:rPr>
                <w:sz w:val="22"/>
                <w:szCs w:val="22"/>
              </w:rPr>
            </w:pPr>
            <w:r w:rsidRPr="00BD1DD4">
              <w:rPr>
                <w:sz w:val="22"/>
                <w:szCs w:val="22"/>
              </w:rPr>
              <w:t>19</w:t>
            </w:r>
          </w:p>
        </w:tc>
        <w:tc>
          <w:tcPr>
            <w:tcW w:w="1202" w:type="dxa"/>
            <w:shd w:val="clear" w:color="auto" w:fill="auto"/>
            <w:noWrap/>
            <w:vAlign w:val="bottom"/>
            <w:hideMark/>
          </w:tcPr>
          <w:p w14:paraId="3600979D" w14:textId="77777777" w:rsidR="00D226B1" w:rsidRPr="001875EE" w:rsidRDefault="00D226B1" w:rsidP="00BD1DD4">
            <w:pPr>
              <w:jc w:val="center"/>
              <w:rPr>
                <w:sz w:val="22"/>
                <w:szCs w:val="22"/>
              </w:rPr>
            </w:pPr>
            <w:r w:rsidRPr="001875EE">
              <w:rPr>
                <w:sz w:val="22"/>
                <w:szCs w:val="22"/>
              </w:rPr>
              <w:t>10</w:t>
            </w:r>
          </w:p>
        </w:tc>
        <w:tc>
          <w:tcPr>
            <w:tcW w:w="1180" w:type="dxa"/>
            <w:shd w:val="clear" w:color="auto" w:fill="auto"/>
            <w:noWrap/>
            <w:vAlign w:val="bottom"/>
            <w:hideMark/>
          </w:tcPr>
          <w:p w14:paraId="4FC53C79" w14:textId="1A00BE15" w:rsidR="00D226B1" w:rsidRPr="00E92168" w:rsidRDefault="00125D3A" w:rsidP="00BD1DD4">
            <w:pPr>
              <w:jc w:val="center"/>
              <w:rPr>
                <w:sz w:val="22"/>
                <w:szCs w:val="22"/>
              </w:rPr>
            </w:pPr>
            <w:r>
              <w:rPr>
                <w:sz w:val="22"/>
                <w:szCs w:val="22"/>
              </w:rPr>
              <w:t>46,907</w:t>
            </w:r>
          </w:p>
        </w:tc>
        <w:tc>
          <w:tcPr>
            <w:tcW w:w="1380" w:type="dxa"/>
            <w:shd w:val="clear" w:color="auto" w:fill="auto"/>
            <w:noWrap/>
            <w:vAlign w:val="bottom"/>
            <w:hideMark/>
          </w:tcPr>
          <w:p w14:paraId="5CADD103" w14:textId="78014122" w:rsidR="00D226B1" w:rsidRPr="00693DE8" w:rsidRDefault="00BF1EAC" w:rsidP="00BD1DD4">
            <w:pPr>
              <w:jc w:val="center"/>
              <w:rPr>
                <w:sz w:val="22"/>
                <w:szCs w:val="22"/>
              </w:rPr>
            </w:pPr>
            <w:r>
              <w:rPr>
                <w:sz w:val="22"/>
                <w:szCs w:val="22"/>
              </w:rPr>
              <w:t>58.1</w:t>
            </w:r>
            <w:r w:rsidR="00D226B1" w:rsidRPr="00693DE8">
              <w:rPr>
                <w:sz w:val="22"/>
                <w:szCs w:val="22"/>
              </w:rPr>
              <w:t>%</w:t>
            </w:r>
          </w:p>
        </w:tc>
        <w:tc>
          <w:tcPr>
            <w:tcW w:w="1271" w:type="dxa"/>
            <w:shd w:val="clear" w:color="auto" w:fill="auto"/>
            <w:noWrap/>
            <w:vAlign w:val="bottom"/>
            <w:hideMark/>
          </w:tcPr>
          <w:p w14:paraId="13383EE1" w14:textId="77777777" w:rsidR="00D226B1" w:rsidRPr="00496596" w:rsidRDefault="00D226B1" w:rsidP="00BD1DD4">
            <w:pPr>
              <w:jc w:val="center"/>
              <w:rPr>
                <w:sz w:val="22"/>
                <w:szCs w:val="22"/>
              </w:rPr>
            </w:pPr>
            <w:r w:rsidRPr="00496596">
              <w:rPr>
                <w:sz w:val="22"/>
                <w:szCs w:val="22"/>
              </w:rPr>
              <w:t xml:space="preserve">No </w:t>
            </w:r>
          </w:p>
        </w:tc>
        <w:tc>
          <w:tcPr>
            <w:tcW w:w="1711" w:type="dxa"/>
            <w:shd w:val="clear" w:color="auto" w:fill="auto"/>
            <w:noWrap/>
            <w:vAlign w:val="bottom"/>
            <w:hideMark/>
          </w:tcPr>
          <w:p w14:paraId="6FD0E898" w14:textId="77777777" w:rsidR="00D226B1" w:rsidRPr="00DF6C17" w:rsidRDefault="00D226B1" w:rsidP="00BD1DD4">
            <w:pPr>
              <w:jc w:val="center"/>
              <w:rPr>
                <w:sz w:val="22"/>
                <w:szCs w:val="22"/>
              </w:rPr>
            </w:pPr>
            <w:r w:rsidRPr="00DF6C17">
              <w:rPr>
                <w:sz w:val="22"/>
                <w:szCs w:val="22"/>
              </w:rPr>
              <w:t xml:space="preserve">No </w:t>
            </w:r>
          </w:p>
        </w:tc>
        <w:tc>
          <w:tcPr>
            <w:tcW w:w="1711" w:type="dxa"/>
            <w:shd w:val="clear" w:color="auto" w:fill="auto"/>
            <w:noWrap/>
            <w:vAlign w:val="bottom"/>
            <w:hideMark/>
          </w:tcPr>
          <w:p w14:paraId="3C780B86" w14:textId="77777777" w:rsidR="00D226B1" w:rsidRPr="005879E9" w:rsidRDefault="00D226B1" w:rsidP="00BD1DD4">
            <w:pPr>
              <w:jc w:val="center"/>
              <w:rPr>
                <w:sz w:val="22"/>
                <w:szCs w:val="22"/>
              </w:rPr>
            </w:pPr>
            <w:r w:rsidRPr="005879E9">
              <w:rPr>
                <w:sz w:val="22"/>
                <w:szCs w:val="22"/>
              </w:rPr>
              <w:t xml:space="preserve">No </w:t>
            </w:r>
          </w:p>
        </w:tc>
      </w:tr>
      <w:tr w:rsidR="00D226B1" w:rsidRPr="00D06046" w14:paraId="1444395C" w14:textId="77777777" w:rsidTr="00BD1DD4">
        <w:trPr>
          <w:trHeight w:val="280"/>
        </w:trPr>
        <w:tc>
          <w:tcPr>
            <w:tcW w:w="1060" w:type="dxa"/>
            <w:shd w:val="clear" w:color="auto" w:fill="auto"/>
            <w:noWrap/>
            <w:vAlign w:val="bottom"/>
            <w:hideMark/>
          </w:tcPr>
          <w:p w14:paraId="2AC4C23A" w14:textId="77777777" w:rsidR="00D226B1" w:rsidRPr="00BD1DD4" w:rsidRDefault="00D226B1" w:rsidP="00BD1DD4">
            <w:pPr>
              <w:jc w:val="center"/>
              <w:rPr>
                <w:sz w:val="22"/>
                <w:szCs w:val="22"/>
              </w:rPr>
            </w:pPr>
            <w:r w:rsidRPr="00BD1DD4">
              <w:rPr>
                <w:sz w:val="22"/>
                <w:szCs w:val="22"/>
              </w:rPr>
              <w:t>20</w:t>
            </w:r>
          </w:p>
        </w:tc>
        <w:tc>
          <w:tcPr>
            <w:tcW w:w="1202" w:type="dxa"/>
            <w:shd w:val="clear" w:color="auto" w:fill="auto"/>
            <w:noWrap/>
            <w:vAlign w:val="bottom"/>
            <w:hideMark/>
          </w:tcPr>
          <w:p w14:paraId="595C080E" w14:textId="77777777" w:rsidR="00D226B1" w:rsidRPr="001875EE" w:rsidRDefault="00D226B1" w:rsidP="00BD1DD4">
            <w:pPr>
              <w:jc w:val="center"/>
              <w:rPr>
                <w:sz w:val="22"/>
                <w:szCs w:val="22"/>
              </w:rPr>
            </w:pPr>
            <w:r w:rsidRPr="001875EE">
              <w:rPr>
                <w:sz w:val="22"/>
                <w:szCs w:val="22"/>
              </w:rPr>
              <w:t>10</w:t>
            </w:r>
          </w:p>
        </w:tc>
        <w:tc>
          <w:tcPr>
            <w:tcW w:w="1180" w:type="dxa"/>
            <w:shd w:val="clear" w:color="auto" w:fill="auto"/>
            <w:noWrap/>
            <w:vAlign w:val="bottom"/>
            <w:hideMark/>
          </w:tcPr>
          <w:p w14:paraId="3AADEAE3" w14:textId="047EEDFE" w:rsidR="00D226B1" w:rsidRPr="00E92168" w:rsidRDefault="00125D3A" w:rsidP="00BD1DD4">
            <w:pPr>
              <w:jc w:val="center"/>
              <w:rPr>
                <w:sz w:val="22"/>
                <w:szCs w:val="22"/>
              </w:rPr>
            </w:pPr>
            <w:r>
              <w:rPr>
                <w:sz w:val="22"/>
                <w:szCs w:val="22"/>
              </w:rPr>
              <w:t>44,173</w:t>
            </w:r>
          </w:p>
        </w:tc>
        <w:tc>
          <w:tcPr>
            <w:tcW w:w="1380" w:type="dxa"/>
            <w:shd w:val="clear" w:color="auto" w:fill="auto"/>
            <w:noWrap/>
            <w:vAlign w:val="bottom"/>
            <w:hideMark/>
          </w:tcPr>
          <w:p w14:paraId="3D18CC39" w14:textId="147CCE71" w:rsidR="00D226B1" w:rsidRPr="00693DE8" w:rsidRDefault="00125D3A" w:rsidP="00BD1DD4">
            <w:pPr>
              <w:jc w:val="center"/>
              <w:rPr>
                <w:sz w:val="22"/>
                <w:szCs w:val="22"/>
              </w:rPr>
            </w:pPr>
            <w:r>
              <w:rPr>
                <w:sz w:val="22"/>
                <w:szCs w:val="22"/>
              </w:rPr>
              <w:t>60.6</w:t>
            </w:r>
            <w:r w:rsidR="00D226B1" w:rsidRPr="00693DE8">
              <w:rPr>
                <w:sz w:val="22"/>
                <w:szCs w:val="22"/>
              </w:rPr>
              <w:t>%</w:t>
            </w:r>
          </w:p>
        </w:tc>
        <w:tc>
          <w:tcPr>
            <w:tcW w:w="1271" w:type="dxa"/>
            <w:shd w:val="clear" w:color="auto" w:fill="auto"/>
            <w:noWrap/>
            <w:vAlign w:val="bottom"/>
            <w:hideMark/>
          </w:tcPr>
          <w:p w14:paraId="7B5F84AA" w14:textId="77777777" w:rsidR="00D226B1" w:rsidRPr="00496596" w:rsidRDefault="00D226B1" w:rsidP="00BD1DD4">
            <w:pPr>
              <w:jc w:val="center"/>
              <w:rPr>
                <w:sz w:val="22"/>
                <w:szCs w:val="22"/>
              </w:rPr>
            </w:pPr>
            <w:r w:rsidRPr="00496596">
              <w:rPr>
                <w:sz w:val="22"/>
                <w:szCs w:val="22"/>
              </w:rPr>
              <w:t xml:space="preserve">No </w:t>
            </w:r>
          </w:p>
        </w:tc>
        <w:tc>
          <w:tcPr>
            <w:tcW w:w="1711" w:type="dxa"/>
            <w:shd w:val="clear" w:color="auto" w:fill="auto"/>
            <w:noWrap/>
            <w:vAlign w:val="bottom"/>
            <w:hideMark/>
          </w:tcPr>
          <w:p w14:paraId="1A71656C" w14:textId="77777777" w:rsidR="00D226B1" w:rsidRPr="00DF6C17" w:rsidRDefault="00D226B1" w:rsidP="00BD1DD4">
            <w:pPr>
              <w:jc w:val="center"/>
              <w:rPr>
                <w:sz w:val="22"/>
                <w:szCs w:val="22"/>
              </w:rPr>
            </w:pPr>
            <w:r w:rsidRPr="00DF6C17">
              <w:rPr>
                <w:sz w:val="22"/>
                <w:szCs w:val="22"/>
              </w:rPr>
              <w:t xml:space="preserve">No </w:t>
            </w:r>
          </w:p>
        </w:tc>
        <w:tc>
          <w:tcPr>
            <w:tcW w:w="1711" w:type="dxa"/>
            <w:shd w:val="clear" w:color="auto" w:fill="auto"/>
            <w:noWrap/>
            <w:vAlign w:val="bottom"/>
            <w:hideMark/>
          </w:tcPr>
          <w:p w14:paraId="0B4C96DC" w14:textId="77777777" w:rsidR="00D226B1" w:rsidRPr="005879E9" w:rsidRDefault="00D226B1" w:rsidP="00BD1DD4">
            <w:pPr>
              <w:jc w:val="center"/>
              <w:rPr>
                <w:sz w:val="22"/>
                <w:szCs w:val="22"/>
              </w:rPr>
            </w:pPr>
            <w:r w:rsidRPr="005879E9">
              <w:rPr>
                <w:sz w:val="22"/>
                <w:szCs w:val="22"/>
              </w:rPr>
              <w:t xml:space="preserve">No </w:t>
            </w:r>
          </w:p>
        </w:tc>
      </w:tr>
    </w:tbl>
    <w:p w14:paraId="62CD1B74" w14:textId="0A438283" w:rsidR="0016692A" w:rsidRPr="00F4601C" w:rsidRDefault="00061B17" w:rsidP="00787753">
      <w:pPr>
        <w:rPr>
          <w:rFonts w:ascii="Arial" w:hAnsi="Arial" w:cs="Arial"/>
          <w:sz w:val="20"/>
          <w:szCs w:val="20"/>
        </w:rPr>
      </w:pPr>
      <w:r w:rsidRPr="00F4601C">
        <w:rPr>
          <w:rFonts w:ascii="Arial" w:hAnsi="Arial" w:cs="Arial"/>
          <w:sz w:val="20"/>
          <w:szCs w:val="20"/>
        </w:rPr>
        <w:t xml:space="preserve">Source: </w:t>
      </w:r>
      <w:r w:rsidR="008072BF" w:rsidRPr="00F4601C">
        <w:rPr>
          <w:rFonts w:ascii="Arial" w:hAnsi="Arial" w:cs="Arial"/>
          <w:sz w:val="20"/>
          <w:szCs w:val="20"/>
        </w:rPr>
        <w:t>SAFMC</w:t>
      </w:r>
    </w:p>
    <w:p w14:paraId="47A40A9E" w14:textId="77777777" w:rsidR="00061B17" w:rsidRDefault="00061B17" w:rsidP="00787753"/>
    <w:p w14:paraId="028425FC" w14:textId="120EB22B" w:rsidR="006A524C" w:rsidRDefault="00013711" w:rsidP="006A524C">
      <w:pPr>
        <w:ind w:firstLine="360"/>
      </w:pPr>
      <w:r>
        <w:t>The size composition of mutton snapper reported through</w:t>
      </w:r>
      <w:r w:rsidR="00627A6D" w:rsidRPr="00627A6D">
        <w:t xml:space="preserve"> MRIP </w:t>
      </w:r>
      <w:r w:rsidR="00627A6D">
        <w:t>from 2010 through 2014 (</w:t>
      </w:r>
      <w:r w:rsidR="00627A6D" w:rsidRPr="00627A6D">
        <w:rPr>
          <w:b/>
        </w:rPr>
        <w:t>Figure 4.5.1</w:t>
      </w:r>
      <w:r w:rsidR="00627A6D">
        <w:t xml:space="preserve">) </w:t>
      </w:r>
      <w:r w:rsidR="00627A6D" w:rsidRPr="00627A6D">
        <w:t>shows that a large proportion of the landed fish are at or below the current 16 inch minimum size in most years and for areas north of the FL Keys</w:t>
      </w:r>
      <w:r w:rsidR="00627A6D">
        <w:t xml:space="preserve"> (</w:t>
      </w:r>
      <w:r w:rsidR="00627A6D" w:rsidRPr="00627A6D">
        <w:rPr>
          <w:b/>
        </w:rPr>
        <w:t>Figure 4.5.2</w:t>
      </w:r>
      <w:r w:rsidR="00627A6D">
        <w:t>)</w:t>
      </w:r>
      <w:r>
        <w:t xml:space="preserve">.  </w:t>
      </w:r>
      <w:r w:rsidR="0059566C">
        <w:t xml:space="preserve">Similarly, the headboat sector, on average, has </w:t>
      </w:r>
      <w:r>
        <w:t>reported</w:t>
      </w:r>
      <w:r w:rsidR="0059566C">
        <w:t xml:space="preserve"> </w:t>
      </w:r>
      <w:r>
        <w:t xml:space="preserve">catching </w:t>
      </w:r>
      <w:r w:rsidR="0059566C">
        <w:t xml:space="preserve">mutton snapper at the 16-inch minimum size limit.  </w:t>
      </w:r>
      <w:r w:rsidR="006E7C3C">
        <w:t xml:space="preserve">Therefore, </w:t>
      </w:r>
      <w:r w:rsidR="0059566C">
        <w:t>if the minimum size limit were to increase</w:t>
      </w:r>
      <w:r w:rsidR="00FA0F8F">
        <w:t xml:space="preserve"> </w:t>
      </w:r>
      <w:r w:rsidR="0065666D">
        <w:t>as proposed under</w:t>
      </w:r>
      <w:r w:rsidR="00FA0F8F">
        <w:t xml:space="preserve"> </w:t>
      </w:r>
      <w:r w:rsidR="00FA0F8F" w:rsidRPr="0065666D">
        <w:rPr>
          <w:b/>
        </w:rPr>
        <w:t>Alternatives 2</w:t>
      </w:r>
      <w:r w:rsidR="00FA0F8F">
        <w:t xml:space="preserve"> through </w:t>
      </w:r>
      <w:r w:rsidR="00FA0F8F" w:rsidRPr="0065666D">
        <w:rPr>
          <w:b/>
        </w:rPr>
        <w:t>5</w:t>
      </w:r>
      <w:r w:rsidR="0059566C">
        <w:t xml:space="preserve">, </w:t>
      </w:r>
      <w:r w:rsidR="006E7C3C">
        <w:t xml:space="preserve">regulatory discards would </w:t>
      </w:r>
      <w:r w:rsidR="0059566C">
        <w:t xml:space="preserve">be expected to </w:t>
      </w:r>
      <w:r w:rsidR="006E7C3C">
        <w:t>increase for some time as the</w:t>
      </w:r>
      <w:r w:rsidR="00044BF2">
        <w:t xml:space="preserve"> population</w:t>
      </w:r>
      <w:r w:rsidR="006E7C3C">
        <w:t xml:space="preserve"> “grows into” the new minimum size limit.</w:t>
      </w:r>
      <w:r w:rsidR="0059566C">
        <w:t xml:space="preserve">  </w:t>
      </w:r>
      <w:r>
        <w:t>However, a</w:t>
      </w:r>
      <w:r w:rsidR="00D32671">
        <w:t xml:space="preserve">ccording to the SEDAR 15A Update (2015), there have been few instances of mutton snapper being discarded dead since the recreational landings survey was initiated in 1979 (initially the Marine Recreational Statistical Survey and later Marine Recreational Information Program) and recreational fishermen have reported </w:t>
      </w:r>
      <w:r>
        <w:t>high</w:t>
      </w:r>
      <w:r w:rsidR="00D32671">
        <w:t xml:space="preserve"> release survival</w:t>
      </w:r>
      <w:r>
        <w:t xml:space="preserve"> of mutton snapper</w:t>
      </w:r>
      <w:r w:rsidR="00D32671">
        <w:t xml:space="preserve">.  The SEDAR 15A Update (2015) used a 15% discard mortality rate to estimate levels of dead discards.  Hence, biological effects from the expected increase in dead discards </w:t>
      </w:r>
      <w:r w:rsidR="00FA0F8F">
        <w:t xml:space="preserve">under </w:t>
      </w:r>
      <w:r w:rsidR="00FA0F8F" w:rsidRPr="0065666D">
        <w:rPr>
          <w:b/>
        </w:rPr>
        <w:t>Preferred Alternative 3</w:t>
      </w:r>
      <w:r w:rsidR="00FA0F8F">
        <w:t xml:space="preserve"> </w:t>
      </w:r>
      <w:r w:rsidR="00D32671">
        <w:t>are expected to be minimal and similar across the minimum size limit alternatives considered under this action.</w:t>
      </w:r>
      <w:r w:rsidR="006E7C3C">
        <w:t xml:space="preserve"> </w:t>
      </w:r>
      <w:r>
        <w:t xml:space="preserve"> </w:t>
      </w:r>
      <w:r w:rsidR="00D32671" w:rsidRPr="00D32671">
        <w:rPr>
          <w:b/>
        </w:rPr>
        <w:t>Alternative 1</w:t>
      </w:r>
      <w:r w:rsidR="00D32671">
        <w:rPr>
          <w:b/>
        </w:rPr>
        <w:t xml:space="preserve"> </w:t>
      </w:r>
      <w:r w:rsidR="00D32671" w:rsidRPr="00D32671">
        <w:rPr>
          <w:b/>
        </w:rPr>
        <w:t>(No Action)</w:t>
      </w:r>
      <w:r w:rsidR="00D32671">
        <w:t xml:space="preserve"> would not result in an increase in regulatory discards</w:t>
      </w:r>
      <w:r>
        <w:t xml:space="preserve"> and, therefore, be the most beneficial among the alternatives considered</w:t>
      </w:r>
      <w:r w:rsidR="00613048">
        <w:t xml:space="preserve"> in terms of reducing discards</w:t>
      </w:r>
      <w:r>
        <w:t xml:space="preserve">. </w:t>
      </w:r>
      <w:r w:rsidR="00D32671">
        <w:t xml:space="preserve"> </w:t>
      </w:r>
    </w:p>
    <w:p w14:paraId="5C3C58C9" w14:textId="77777777" w:rsidR="006A524C" w:rsidRDefault="006A524C" w:rsidP="006A524C">
      <w:pPr>
        <w:ind w:firstLine="360"/>
      </w:pPr>
    </w:p>
    <w:p w14:paraId="22B1DCEF" w14:textId="42240A3A" w:rsidR="006A524C" w:rsidRDefault="006A524C" w:rsidP="00EF6C02">
      <w:pPr>
        <w:ind w:firstLine="360"/>
      </w:pPr>
      <w:r w:rsidRPr="0036626E">
        <w:rPr>
          <w:noProof/>
        </w:rPr>
        <w:lastRenderedPageBreak/>
        <w:drawing>
          <wp:inline distT="0" distB="0" distL="0" distR="0" wp14:anchorId="17CC7948" wp14:editId="02EFE793">
            <wp:extent cx="5943600" cy="4927762"/>
            <wp:effectExtent l="25400" t="25400" r="2540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4927762"/>
                    </a:xfrm>
                    <a:prstGeom prst="rect">
                      <a:avLst/>
                    </a:prstGeom>
                    <a:noFill/>
                    <a:ln>
                      <a:solidFill>
                        <a:schemeClr val="tx1"/>
                      </a:solidFill>
                    </a:ln>
                  </pic:spPr>
                </pic:pic>
              </a:graphicData>
            </a:graphic>
          </wp:inline>
        </w:drawing>
      </w:r>
    </w:p>
    <w:p w14:paraId="5F2D0DC4" w14:textId="188F836C" w:rsidR="00627A6D" w:rsidRDefault="00627A6D" w:rsidP="00627A6D">
      <w:pPr>
        <w:pStyle w:val="Figuretitle"/>
        <w:rPr>
          <w:rFonts w:ascii="Arial" w:hAnsi="Arial" w:cs="Arial"/>
          <w:sz w:val="20"/>
          <w:szCs w:val="20"/>
        </w:rPr>
      </w:pPr>
      <w:bookmarkStart w:id="250" w:name="_Toc340431604"/>
      <w:r w:rsidRPr="00627A6D">
        <w:rPr>
          <w:rFonts w:ascii="Arial" w:hAnsi="Arial" w:cs="Arial"/>
          <w:b/>
          <w:sz w:val="20"/>
          <w:szCs w:val="20"/>
        </w:rPr>
        <w:t>Figure 4.5.1.</w:t>
      </w:r>
      <w:r w:rsidRPr="00627A6D">
        <w:rPr>
          <w:rFonts w:ascii="Arial" w:hAnsi="Arial" w:cs="Arial"/>
          <w:sz w:val="20"/>
          <w:szCs w:val="20"/>
        </w:rPr>
        <w:t xml:space="preserve">  Size composition (inches total length) of recreational </w:t>
      </w:r>
      <w:r>
        <w:rPr>
          <w:rFonts w:ascii="Arial" w:hAnsi="Arial" w:cs="Arial"/>
          <w:sz w:val="20"/>
          <w:szCs w:val="20"/>
        </w:rPr>
        <w:t xml:space="preserve">mutton snapper </w:t>
      </w:r>
      <w:r w:rsidRPr="00627A6D">
        <w:rPr>
          <w:rFonts w:ascii="Arial" w:hAnsi="Arial" w:cs="Arial"/>
          <w:sz w:val="20"/>
          <w:szCs w:val="20"/>
        </w:rPr>
        <w:t>landings</w:t>
      </w:r>
      <w:r w:rsidR="006D12CC">
        <w:rPr>
          <w:rFonts w:ascii="Arial" w:hAnsi="Arial" w:cs="Arial"/>
          <w:sz w:val="20"/>
          <w:szCs w:val="20"/>
        </w:rPr>
        <w:t xml:space="preserve"> in the South Atlantic</w:t>
      </w:r>
      <w:r w:rsidRPr="00627A6D">
        <w:rPr>
          <w:rFonts w:ascii="Arial" w:hAnsi="Arial" w:cs="Arial"/>
          <w:sz w:val="20"/>
          <w:szCs w:val="20"/>
        </w:rPr>
        <w:t>, 2010-2014</w:t>
      </w:r>
      <w:r w:rsidR="00013711">
        <w:rPr>
          <w:rFonts w:ascii="Arial" w:hAnsi="Arial" w:cs="Arial"/>
          <w:sz w:val="20"/>
          <w:szCs w:val="20"/>
        </w:rPr>
        <w:t xml:space="preserve"> as estimated by the Marine Recreational Information Program</w:t>
      </w:r>
      <w:r w:rsidRPr="00627A6D">
        <w:rPr>
          <w:rFonts w:ascii="Arial" w:hAnsi="Arial" w:cs="Arial"/>
          <w:sz w:val="20"/>
          <w:szCs w:val="20"/>
        </w:rPr>
        <w:t>.</w:t>
      </w:r>
      <w:bookmarkEnd w:id="250"/>
    </w:p>
    <w:p w14:paraId="4F873850" w14:textId="11883C04" w:rsidR="00627A6D" w:rsidRPr="00B627C4" w:rsidRDefault="00627A6D" w:rsidP="00B627C4">
      <w:pPr>
        <w:rPr>
          <w:rFonts w:ascii="Arial" w:hAnsi="Arial" w:cs="Arial"/>
          <w:sz w:val="20"/>
          <w:szCs w:val="20"/>
        </w:rPr>
      </w:pPr>
      <w:r w:rsidRPr="00B627C4">
        <w:rPr>
          <w:rFonts w:ascii="Arial" w:hAnsi="Arial" w:cs="Arial"/>
          <w:sz w:val="20"/>
          <w:szCs w:val="20"/>
        </w:rPr>
        <w:t>Source: Marine Recreational Information Program.</w:t>
      </w:r>
    </w:p>
    <w:p w14:paraId="5E7608D2" w14:textId="713D3A5A" w:rsidR="00627A6D" w:rsidRDefault="00627A6D" w:rsidP="00787753">
      <w:r w:rsidRPr="0036626E">
        <w:rPr>
          <w:noProof/>
        </w:rPr>
        <w:lastRenderedPageBreak/>
        <w:drawing>
          <wp:inline distT="0" distB="0" distL="0" distR="0" wp14:anchorId="54F47545" wp14:editId="710C9D4C">
            <wp:extent cx="5943600" cy="3905341"/>
            <wp:effectExtent l="25400" t="25400" r="25400" b="317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905341"/>
                    </a:xfrm>
                    <a:prstGeom prst="rect">
                      <a:avLst/>
                    </a:prstGeom>
                    <a:noFill/>
                    <a:ln>
                      <a:solidFill>
                        <a:schemeClr val="tx1"/>
                      </a:solidFill>
                    </a:ln>
                  </pic:spPr>
                </pic:pic>
              </a:graphicData>
            </a:graphic>
          </wp:inline>
        </w:drawing>
      </w:r>
    </w:p>
    <w:p w14:paraId="157C6631" w14:textId="1845A4A9" w:rsidR="00627A6D" w:rsidRPr="006D12CC" w:rsidRDefault="00627A6D" w:rsidP="006D12CC">
      <w:pPr>
        <w:pStyle w:val="Figuretitle"/>
        <w:rPr>
          <w:rFonts w:ascii="Arial" w:hAnsi="Arial" w:cs="Arial"/>
          <w:sz w:val="20"/>
          <w:szCs w:val="20"/>
        </w:rPr>
      </w:pPr>
      <w:bookmarkStart w:id="251" w:name="_Toc340431605"/>
      <w:r w:rsidRPr="006D12CC">
        <w:rPr>
          <w:rFonts w:ascii="Arial" w:hAnsi="Arial" w:cs="Arial"/>
          <w:b/>
          <w:sz w:val="20"/>
          <w:szCs w:val="20"/>
        </w:rPr>
        <w:t>Figure 4.5.2.</w:t>
      </w:r>
      <w:r w:rsidRPr="006D12CC">
        <w:rPr>
          <w:rFonts w:ascii="Arial" w:hAnsi="Arial" w:cs="Arial"/>
          <w:sz w:val="20"/>
          <w:szCs w:val="20"/>
        </w:rPr>
        <w:t xml:space="preserve">  Size composition </w:t>
      </w:r>
      <w:r w:rsidR="006D12CC">
        <w:rPr>
          <w:rFonts w:ascii="Arial" w:hAnsi="Arial" w:cs="Arial"/>
          <w:sz w:val="20"/>
          <w:szCs w:val="20"/>
        </w:rPr>
        <w:t>(inches t</w:t>
      </w:r>
      <w:r w:rsidRPr="006D12CC">
        <w:rPr>
          <w:rFonts w:ascii="Arial" w:hAnsi="Arial" w:cs="Arial"/>
          <w:sz w:val="20"/>
          <w:szCs w:val="20"/>
        </w:rPr>
        <w:t>o</w:t>
      </w:r>
      <w:r w:rsidR="006D12CC">
        <w:rPr>
          <w:rFonts w:ascii="Arial" w:hAnsi="Arial" w:cs="Arial"/>
          <w:sz w:val="20"/>
          <w:szCs w:val="20"/>
        </w:rPr>
        <w:t>tal length) o</w:t>
      </w:r>
      <w:r w:rsidRPr="006D12CC">
        <w:rPr>
          <w:rFonts w:ascii="Arial" w:hAnsi="Arial" w:cs="Arial"/>
          <w:sz w:val="20"/>
          <w:szCs w:val="20"/>
        </w:rPr>
        <w:t>f recreational mutton snapper landings by area, 2010-2014. NEFL = Northeast Florida; SEFL=southeast Florida</w:t>
      </w:r>
      <w:bookmarkEnd w:id="251"/>
      <w:r w:rsidRPr="006D12CC">
        <w:rPr>
          <w:rFonts w:ascii="Arial" w:hAnsi="Arial" w:cs="Arial"/>
          <w:sz w:val="20"/>
          <w:szCs w:val="20"/>
        </w:rPr>
        <w:t xml:space="preserve"> </w:t>
      </w:r>
    </w:p>
    <w:p w14:paraId="3BB4C3DD" w14:textId="20CAC17D" w:rsidR="00627A6D" w:rsidRPr="006D12CC" w:rsidRDefault="00627A6D" w:rsidP="006D12CC">
      <w:pPr>
        <w:rPr>
          <w:rFonts w:ascii="Arial" w:hAnsi="Arial" w:cs="Arial"/>
          <w:sz w:val="20"/>
          <w:szCs w:val="20"/>
        </w:rPr>
      </w:pPr>
      <w:r w:rsidRPr="006D12CC">
        <w:rPr>
          <w:rFonts w:ascii="Arial" w:hAnsi="Arial" w:cs="Arial"/>
          <w:sz w:val="20"/>
          <w:szCs w:val="20"/>
        </w:rPr>
        <w:t>Source: Marine Recreational Information Program</w:t>
      </w:r>
    </w:p>
    <w:p w14:paraId="60691D9F" w14:textId="77777777" w:rsidR="00627A6D" w:rsidRDefault="00627A6D" w:rsidP="002342FE">
      <w:pPr>
        <w:tabs>
          <w:tab w:val="center" w:pos="4320"/>
          <w:tab w:val="left" w:pos="8640"/>
        </w:tabs>
        <w:ind w:firstLine="360"/>
        <w:rPr>
          <w:b/>
        </w:rPr>
      </w:pPr>
    </w:p>
    <w:p w14:paraId="3BA242F7" w14:textId="0C081059" w:rsidR="00627A6D" w:rsidRDefault="0059566C" w:rsidP="002342FE">
      <w:pPr>
        <w:tabs>
          <w:tab w:val="center" w:pos="4320"/>
          <w:tab w:val="left" w:pos="8640"/>
        </w:tabs>
        <w:ind w:firstLine="360"/>
        <w:rPr>
          <w:b/>
        </w:rPr>
      </w:pPr>
      <w:r w:rsidRPr="0036626E">
        <w:rPr>
          <w:noProof/>
        </w:rPr>
        <w:lastRenderedPageBreak/>
        <w:drawing>
          <wp:inline distT="0" distB="0" distL="0" distR="0" wp14:anchorId="2C67DD08" wp14:editId="27974650">
            <wp:extent cx="5673969" cy="4696598"/>
            <wp:effectExtent l="19050" t="19050" r="22225"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80805" cy="4702256"/>
                    </a:xfrm>
                    <a:prstGeom prst="rect">
                      <a:avLst/>
                    </a:prstGeom>
                    <a:noFill/>
                    <a:ln>
                      <a:solidFill>
                        <a:schemeClr val="tx1"/>
                      </a:solidFill>
                    </a:ln>
                  </pic:spPr>
                </pic:pic>
              </a:graphicData>
            </a:graphic>
          </wp:inline>
        </w:drawing>
      </w:r>
    </w:p>
    <w:p w14:paraId="5AEFCE47" w14:textId="3968B7D7" w:rsidR="00627A6D" w:rsidRDefault="00013711" w:rsidP="00013711">
      <w:pPr>
        <w:pStyle w:val="Figuretitle"/>
        <w:rPr>
          <w:rFonts w:ascii="Arial" w:hAnsi="Arial" w:cs="Arial"/>
          <w:sz w:val="20"/>
          <w:szCs w:val="20"/>
        </w:rPr>
      </w:pPr>
      <w:bookmarkStart w:id="252" w:name="_Toc340431606"/>
      <w:r w:rsidRPr="00013711">
        <w:rPr>
          <w:rFonts w:ascii="Arial" w:hAnsi="Arial" w:cs="Arial"/>
          <w:b/>
          <w:sz w:val="20"/>
          <w:szCs w:val="20"/>
        </w:rPr>
        <w:t xml:space="preserve">Figure 4.5.3.  </w:t>
      </w:r>
      <w:r w:rsidRPr="00013711">
        <w:rPr>
          <w:rFonts w:ascii="Arial" w:hAnsi="Arial" w:cs="Arial"/>
          <w:sz w:val="20"/>
          <w:szCs w:val="20"/>
        </w:rPr>
        <w:t xml:space="preserve">Size composition (inches total length) of recreational mutton snapper landings </w:t>
      </w:r>
      <w:r>
        <w:rPr>
          <w:rFonts w:ascii="Arial" w:hAnsi="Arial" w:cs="Arial"/>
          <w:sz w:val="20"/>
          <w:szCs w:val="20"/>
        </w:rPr>
        <w:t>in the Southeast Headboat Survey</w:t>
      </w:r>
      <w:r w:rsidRPr="00013711">
        <w:rPr>
          <w:rFonts w:ascii="Arial" w:hAnsi="Arial" w:cs="Arial"/>
          <w:sz w:val="20"/>
          <w:szCs w:val="20"/>
        </w:rPr>
        <w:t>, 2010-2014.</w:t>
      </w:r>
      <w:bookmarkEnd w:id="252"/>
    </w:p>
    <w:p w14:paraId="01617D10" w14:textId="14078D02" w:rsidR="00013711" w:rsidRPr="00013711" w:rsidRDefault="00013711" w:rsidP="00013711">
      <w:pPr>
        <w:rPr>
          <w:rFonts w:ascii="Arial" w:hAnsi="Arial" w:cs="Arial"/>
          <w:b/>
          <w:sz w:val="20"/>
          <w:szCs w:val="20"/>
        </w:rPr>
      </w:pPr>
      <w:r w:rsidRPr="00013711">
        <w:rPr>
          <w:rFonts w:ascii="Arial" w:hAnsi="Arial" w:cs="Arial"/>
          <w:sz w:val="20"/>
          <w:szCs w:val="20"/>
        </w:rPr>
        <w:t>Source: Southeast Headboat Survey</w:t>
      </w:r>
    </w:p>
    <w:p w14:paraId="41E50BD5" w14:textId="77777777" w:rsidR="00013711" w:rsidRDefault="00013711" w:rsidP="002342FE">
      <w:pPr>
        <w:tabs>
          <w:tab w:val="center" w:pos="4320"/>
          <w:tab w:val="left" w:pos="8640"/>
        </w:tabs>
        <w:ind w:firstLine="360"/>
        <w:rPr>
          <w:b/>
        </w:rPr>
      </w:pPr>
    </w:p>
    <w:p w14:paraId="4AB35F93" w14:textId="4A64DE08" w:rsidR="002342FE" w:rsidRDefault="002342FE" w:rsidP="002342FE">
      <w:pPr>
        <w:tabs>
          <w:tab w:val="center" w:pos="4320"/>
          <w:tab w:val="left" w:pos="8640"/>
        </w:tabs>
        <w:ind w:firstLine="360"/>
      </w:pPr>
      <w:r>
        <w:rPr>
          <w:b/>
        </w:rPr>
        <w:t>Figure 4.5.</w:t>
      </w:r>
      <w:r w:rsidR="00013711">
        <w:rPr>
          <w:b/>
        </w:rPr>
        <w:t>4</w:t>
      </w:r>
      <w:r w:rsidRPr="000D02BD">
        <w:t xml:space="preserve"> provides the </w:t>
      </w:r>
      <w:r>
        <w:t xml:space="preserve">South Atlantic mutton snapper </w:t>
      </w:r>
      <w:r w:rsidRPr="000D02BD">
        <w:t xml:space="preserve">length distribution for the </w:t>
      </w:r>
      <w:r>
        <w:t xml:space="preserve">commercial sector in 1-inch increments from </w:t>
      </w:r>
      <w:r w:rsidR="00811BB5">
        <w:t>2013 through 2015</w:t>
      </w:r>
      <w:r w:rsidRPr="000D02BD">
        <w:t xml:space="preserve">.  </w:t>
      </w:r>
      <w:r>
        <w:t xml:space="preserve">In the commercial sector, the majority of the mutton snapper are harvested well above any of the minimum size limits being considered under </w:t>
      </w:r>
      <w:r w:rsidR="00013711" w:rsidRPr="00013711">
        <w:rPr>
          <w:b/>
        </w:rPr>
        <w:t>Alternatives 2</w:t>
      </w:r>
      <w:r w:rsidR="00013711">
        <w:t xml:space="preserve"> through </w:t>
      </w:r>
      <w:r w:rsidR="00013711" w:rsidRPr="00013711">
        <w:rPr>
          <w:b/>
        </w:rPr>
        <w:t>5</w:t>
      </w:r>
      <w:r w:rsidR="00811BB5">
        <w:t>.  In fact, 60</w:t>
      </w:r>
      <w:r>
        <w:t xml:space="preserve">% of the lengths are above the largest minimum size (20 inches TL) being considered in the amendment.  </w:t>
      </w:r>
      <w:r w:rsidRPr="000D02BD">
        <w:t xml:space="preserve"> </w:t>
      </w:r>
      <w:r w:rsidR="00013711">
        <w:t>Therefore, the level of regulatory discards in the commercial fishery as a result of any of the alternativ</w:t>
      </w:r>
      <w:r w:rsidR="00460029">
        <w:t>es considered under this action</w:t>
      </w:r>
      <w:r w:rsidR="00013711">
        <w:t xml:space="preserve"> is not expected to change. </w:t>
      </w:r>
      <w:r w:rsidR="00DE4529">
        <w:t xml:space="preserve"> </w:t>
      </w:r>
      <w:r w:rsidR="00013711">
        <w:t>Biological im</w:t>
      </w:r>
      <w:r w:rsidR="00DE4529">
        <w:t>p</w:t>
      </w:r>
      <w:r w:rsidR="00013711">
        <w:t>acts, therefore, would be neutral</w:t>
      </w:r>
      <w:r w:rsidR="00DE4529">
        <w:t xml:space="preserve"> for </w:t>
      </w:r>
      <w:r w:rsidR="00DE4529" w:rsidRPr="00DE4529">
        <w:rPr>
          <w:b/>
        </w:rPr>
        <w:t>Alternative 1 (No Action)</w:t>
      </w:r>
      <w:r w:rsidR="00DE4529">
        <w:t xml:space="preserve"> and </w:t>
      </w:r>
      <w:r w:rsidR="00DE4529" w:rsidRPr="00DE4529">
        <w:rPr>
          <w:b/>
        </w:rPr>
        <w:t>Alternatives 2-5</w:t>
      </w:r>
      <w:r w:rsidR="00DE4529">
        <w:t>.</w:t>
      </w:r>
      <w:r w:rsidR="006228D0">
        <w:t xml:space="preserve">  See </w:t>
      </w:r>
      <w:r w:rsidR="006228D0" w:rsidRPr="0094427C">
        <w:rPr>
          <w:b/>
        </w:rPr>
        <w:t>Appendix D</w:t>
      </w:r>
      <w:r w:rsidR="006228D0" w:rsidRPr="00D467A6">
        <w:t xml:space="preserve"> </w:t>
      </w:r>
      <w:r w:rsidR="006228D0">
        <w:t>(</w:t>
      </w:r>
      <w:r w:rsidR="006228D0" w:rsidRPr="00D467A6">
        <w:t>BPA</w:t>
      </w:r>
      <w:r w:rsidR="006228D0">
        <w:t>) for information on bycatch and discards.</w:t>
      </w:r>
    </w:p>
    <w:p w14:paraId="79FDD6EC" w14:textId="77777777" w:rsidR="0051425C" w:rsidRDefault="0051425C" w:rsidP="002342FE">
      <w:pPr>
        <w:tabs>
          <w:tab w:val="center" w:pos="4320"/>
          <w:tab w:val="left" w:pos="8640"/>
        </w:tabs>
        <w:ind w:firstLine="360"/>
      </w:pPr>
    </w:p>
    <w:p w14:paraId="5E66551B" w14:textId="73C2EF45" w:rsidR="002342FE" w:rsidRDefault="00811BB5" w:rsidP="002342FE">
      <w:pPr>
        <w:tabs>
          <w:tab w:val="center" w:pos="4320"/>
          <w:tab w:val="left" w:pos="8640"/>
        </w:tabs>
      </w:pPr>
      <w:r>
        <w:rPr>
          <w:noProof/>
        </w:rPr>
        <w:lastRenderedPageBreak/>
        <w:drawing>
          <wp:inline distT="0" distB="0" distL="0" distR="0" wp14:anchorId="186218BD" wp14:editId="705FC847">
            <wp:extent cx="4948136" cy="2996119"/>
            <wp:effectExtent l="0" t="0" r="5080" b="127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A2B2109" w14:textId="77777777" w:rsidR="0051425C" w:rsidRDefault="0051425C" w:rsidP="002342FE">
      <w:pPr>
        <w:pStyle w:val="Figuretitle"/>
        <w:rPr>
          <w:rFonts w:ascii="Arial" w:hAnsi="Arial" w:cs="Arial"/>
          <w:b/>
          <w:sz w:val="20"/>
          <w:szCs w:val="20"/>
        </w:rPr>
      </w:pPr>
    </w:p>
    <w:p w14:paraId="1C3F3FF9" w14:textId="762B7764" w:rsidR="00B627C4" w:rsidRDefault="002342FE" w:rsidP="002342FE">
      <w:pPr>
        <w:pStyle w:val="Figuretitle"/>
        <w:rPr>
          <w:rFonts w:ascii="Arial" w:hAnsi="Arial" w:cs="Arial"/>
          <w:sz w:val="20"/>
          <w:szCs w:val="20"/>
        </w:rPr>
      </w:pPr>
      <w:bookmarkStart w:id="253" w:name="_Toc340431607"/>
      <w:r w:rsidRPr="002342FE">
        <w:rPr>
          <w:rFonts w:ascii="Arial" w:hAnsi="Arial" w:cs="Arial"/>
          <w:b/>
          <w:sz w:val="20"/>
          <w:szCs w:val="20"/>
        </w:rPr>
        <w:t>Figure</w:t>
      </w:r>
      <w:r w:rsidR="00B627C4">
        <w:rPr>
          <w:rFonts w:ascii="Arial" w:hAnsi="Arial" w:cs="Arial"/>
          <w:b/>
          <w:sz w:val="20"/>
          <w:szCs w:val="20"/>
        </w:rPr>
        <w:t xml:space="preserve"> 4.5.4</w:t>
      </w:r>
      <w:r w:rsidRPr="002342FE">
        <w:rPr>
          <w:rFonts w:ascii="Arial" w:hAnsi="Arial" w:cs="Arial"/>
          <w:b/>
          <w:sz w:val="20"/>
          <w:szCs w:val="20"/>
        </w:rPr>
        <w:t xml:space="preserve">. </w:t>
      </w:r>
      <w:r w:rsidRPr="002342FE">
        <w:rPr>
          <w:rFonts w:ascii="Arial" w:hAnsi="Arial" w:cs="Arial"/>
          <w:sz w:val="20"/>
          <w:szCs w:val="20"/>
        </w:rPr>
        <w:t>South Atlantic mutton snapper total length distribution (inches total length)</w:t>
      </w:r>
      <w:r w:rsidR="00B627C4">
        <w:rPr>
          <w:rFonts w:ascii="Arial" w:hAnsi="Arial" w:cs="Arial"/>
          <w:sz w:val="20"/>
          <w:szCs w:val="20"/>
        </w:rPr>
        <w:t xml:space="preserve"> generated from commercial dock</w:t>
      </w:r>
      <w:r w:rsidRPr="002342FE">
        <w:rPr>
          <w:rFonts w:ascii="Arial" w:hAnsi="Arial" w:cs="Arial"/>
          <w:sz w:val="20"/>
          <w:szCs w:val="20"/>
        </w:rPr>
        <w:t>side intercepts</w:t>
      </w:r>
      <w:r w:rsidR="00811BB5">
        <w:rPr>
          <w:rFonts w:ascii="Arial" w:hAnsi="Arial" w:cs="Arial"/>
          <w:sz w:val="20"/>
          <w:szCs w:val="20"/>
        </w:rPr>
        <w:t xml:space="preserve"> (TIP data) from 2013 to 2015</w:t>
      </w:r>
      <w:r w:rsidR="00B627C4">
        <w:rPr>
          <w:rFonts w:ascii="Arial" w:hAnsi="Arial" w:cs="Arial"/>
          <w:sz w:val="20"/>
          <w:szCs w:val="20"/>
        </w:rPr>
        <w:t xml:space="preserve"> (N</w:t>
      </w:r>
      <w:r w:rsidR="00811BB5">
        <w:rPr>
          <w:rFonts w:ascii="Arial" w:hAnsi="Arial" w:cs="Arial"/>
          <w:sz w:val="20"/>
          <w:szCs w:val="20"/>
        </w:rPr>
        <w:t>=925</w:t>
      </w:r>
      <w:r w:rsidRPr="002342FE">
        <w:rPr>
          <w:rFonts w:ascii="Arial" w:hAnsi="Arial" w:cs="Arial"/>
          <w:sz w:val="20"/>
          <w:szCs w:val="20"/>
        </w:rPr>
        <w:t xml:space="preserve"> mutton snapper).</w:t>
      </w:r>
      <w:bookmarkEnd w:id="253"/>
      <w:r w:rsidRPr="002342FE">
        <w:rPr>
          <w:rFonts w:ascii="Arial" w:hAnsi="Arial" w:cs="Arial"/>
          <w:sz w:val="20"/>
          <w:szCs w:val="20"/>
        </w:rPr>
        <w:t xml:space="preserve">  </w:t>
      </w:r>
    </w:p>
    <w:p w14:paraId="16DBCA52" w14:textId="4185EB94" w:rsidR="002342FE" w:rsidRPr="00B627C4" w:rsidRDefault="002342FE" w:rsidP="00B627C4">
      <w:pPr>
        <w:rPr>
          <w:rFonts w:ascii="Arial" w:hAnsi="Arial" w:cs="Arial"/>
          <w:sz w:val="20"/>
          <w:szCs w:val="20"/>
        </w:rPr>
      </w:pPr>
      <w:r w:rsidRPr="00B627C4">
        <w:rPr>
          <w:rFonts w:ascii="Arial" w:hAnsi="Arial" w:cs="Arial"/>
          <w:sz w:val="20"/>
          <w:szCs w:val="20"/>
        </w:rPr>
        <w:t>The red line denotes the current commercial minimum size limit of 16 inches TL.</w:t>
      </w:r>
    </w:p>
    <w:p w14:paraId="039F0F25" w14:textId="0814ACC0" w:rsidR="0051425C" w:rsidRPr="00B627C4" w:rsidRDefault="0051425C" w:rsidP="00B627C4">
      <w:pPr>
        <w:rPr>
          <w:rFonts w:ascii="Arial" w:hAnsi="Arial" w:cs="Arial"/>
          <w:sz w:val="20"/>
          <w:szCs w:val="20"/>
        </w:rPr>
      </w:pPr>
      <w:r w:rsidRPr="00B627C4">
        <w:rPr>
          <w:rFonts w:ascii="Arial" w:hAnsi="Arial" w:cs="Arial"/>
          <w:sz w:val="20"/>
          <w:szCs w:val="20"/>
        </w:rPr>
        <w:t>Source: NMFS SERO</w:t>
      </w:r>
    </w:p>
    <w:p w14:paraId="08ED79A5" w14:textId="2318C4BC" w:rsidR="002342FE" w:rsidRDefault="00EF6C02" w:rsidP="002342FE">
      <w:pPr>
        <w:tabs>
          <w:tab w:val="left" w:pos="1254"/>
        </w:tabs>
        <w:rPr>
          <w:bCs/>
        </w:rPr>
      </w:pPr>
      <w:r w:rsidRPr="00EF6C02">
        <w:rPr>
          <w:bCs/>
          <w:highlight w:val="yellow"/>
        </w:rPr>
        <w:t>NOTE: To be updated with 2010-2014 landings</w:t>
      </w:r>
    </w:p>
    <w:p w14:paraId="7BA925B7" w14:textId="77777777" w:rsidR="00EF6C02" w:rsidRPr="000D02BD" w:rsidRDefault="00EF6C02" w:rsidP="002342FE">
      <w:pPr>
        <w:tabs>
          <w:tab w:val="left" w:pos="1254"/>
        </w:tabs>
        <w:rPr>
          <w:bCs/>
        </w:rPr>
      </w:pPr>
    </w:p>
    <w:p w14:paraId="2EBA1371" w14:textId="5529D890" w:rsidR="002342FE" w:rsidRDefault="002342FE" w:rsidP="00B27E54">
      <w:pPr>
        <w:ind w:firstLine="360"/>
        <w:rPr>
          <w:bCs/>
        </w:rPr>
      </w:pPr>
      <w:bookmarkStart w:id="254" w:name="OLE_LINK2"/>
      <w:r w:rsidRPr="000D02BD">
        <w:rPr>
          <w:bCs/>
          <w:color w:val="000000"/>
          <w:shd w:val="clear" w:color="auto" w:fill="FFFFFF"/>
        </w:rPr>
        <w:t>Reductions in landings in weight were calculated for minimum size limits (MSL</w:t>
      </w:r>
      <w:r w:rsidR="00013711">
        <w:rPr>
          <w:bCs/>
          <w:color w:val="000000"/>
          <w:shd w:val="clear" w:color="auto" w:fill="FFFFFF"/>
        </w:rPr>
        <w:t>) at 1-</w:t>
      </w:r>
      <w:r>
        <w:rPr>
          <w:bCs/>
          <w:color w:val="000000"/>
          <w:shd w:val="clear" w:color="auto" w:fill="FFFFFF"/>
        </w:rPr>
        <w:t>inch intervals between 16</w:t>
      </w:r>
      <w:r w:rsidRPr="000D02BD">
        <w:rPr>
          <w:bCs/>
          <w:color w:val="000000"/>
          <w:shd w:val="clear" w:color="auto" w:fill="FFFFFF"/>
        </w:rPr>
        <w:t>-20 inches</w:t>
      </w:r>
      <w:r>
        <w:rPr>
          <w:bCs/>
          <w:color w:val="000000"/>
          <w:shd w:val="clear" w:color="auto" w:fill="FFFFFF"/>
        </w:rPr>
        <w:t xml:space="preserve"> TL</w:t>
      </w:r>
      <w:r w:rsidRPr="000D02BD">
        <w:rPr>
          <w:bCs/>
          <w:color w:val="000000"/>
          <w:shd w:val="clear" w:color="auto" w:fill="FFFFFF"/>
        </w:rPr>
        <w:t xml:space="preserve"> </w:t>
      </w:r>
      <w:bookmarkEnd w:id="254"/>
      <w:r>
        <w:rPr>
          <w:bCs/>
          <w:color w:val="000000"/>
          <w:shd w:val="clear" w:color="auto" w:fill="FFFFFF"/>
        </w:rPr>
        <w:t xml:space="preserve">following methodology presented in </w:t>
      </w:r>
      <w:r w:rsidRPr="002342FE">
        <w:rPr>
          <w:b/>
          <w:bCs/>
          <w:color w:val="000000"/>
          <w:shd w:val="clear" w:color="auto" w:fill="FFFFFF"/>
        </w:rPr>
        <w:t>Appendix K</w:t>
      </w:r>
      <w:r>
        <w:rPr>
          <w:bCs/>
          <w:color w:val="000000"/>
          <w:shd w:val="clear" w:color="auto" w:fill="FFFFFF"/>
        </w:rPr>
        <w:t xml:space="preserve">.  </w:t>
      </w:r>
      <w:r w:rsidRPr="000D02BD">
        <w:rPr>
          <w:bCs/>
        </w:rPr>
        <w:t xml:space="preserve">Percent reductions associated with MSL were normalized to a 0% reduction at the </w:t>
      </w:r>
      <w:r>
        <w:rPr>
          <w:bCs/>
        </w:rPr>
        <w:t>commercial</w:t>
      </w:r>
      <w:r w:rsidRPr="000D02BD">
        <w:rPr>
          <w:bCs/>
        </w:rPr>
        <w:t xml:space="preserve"> status quo </w:t>
      </w:r>
      <w:r>
        <w:rPr>
          <w:bCs/>
        </w:rPr>
        <w:t xml:space="preserve">minimum </w:t>
      </w:r>
      <w:r w:rsidRPr="000D02BD">
        <w:rPr>
          <w:bCs/>
        </w:rPr>
        <w:t>size limit</w:t>
      </w:r>
      <w:r>
        <w:rPr>
          <w:bCs/>
        </w:rPr>
        <w:t xml:space="preserve"> of 16</w:t>
      </w:r>
      <w:r w:rsidRPr="000D02BD">
        <w:rPr>
          <w:bCs/>
        </w:rPr>
        <w:t xml:space="preserve"> inches </w:t>
      </w:r>
      <w:r>
        <w:rPr>
          <w:bCs/>
        </w:rPr>
        <w:t>total</w:t>
      </w:r>
      <w:r w:rsidRPr="000D02BD">
        <w:rPr>
          <w:bCs/>
        </w:rPr>
        <w:t xml:space="preserve"> length.  Due to concerns about low sample sizes, output was pooled for </w:t>
      </w:r>
      <w:r w:rsidR="00811BB5" w:rsidRPr="00EF6C02">
        <w:rPr>
          <w:bCs/>
          <w:highlight w:val="yellow"/>
        </w:rPr>
        <w:t>2013-2015</w:t>
      </w:r>
      <w:r w:rsidRPr="00EF6C02">
        <w:rPr>
          <w:bCs/>
          <w:highlight w:val="yellow"/>
        </w:rPr>
        <w:t xml:space="preserve"> data</w:t>
      </w:r>
      <w:r w:rsidRPr="000D02BD">
        <w:rPr>
          <w:bCs/>
        </w:rPr>
        <w:t xml:space="preserve">.  </w:t>
      </w:r>
      <w:r>
        <w:rPr>
          <w:bCs/>
        </w:rPr>
        <w:t>All of the weights used in the analysis are in pounds whole weight.  Release mortality was incorporated into the analysis, and was determined to be 15% following SEDAR 15A Update (2015).</w:t>
      </w:r>
    </w:p>
    <w:p w14:paraId="2057372C" w14:textId="77777777" w:rsidR="00B27E54" w:rsidRDefault="00B27E54" w:rsidP="00B27E54">
      <w:pPr>
        <w:ind w:firstLine="360"/>
        <w:rPr>
          <w:bCs/>
        </w:rPr>
      </w:pPr>
    </w:p>
    <w:p w14:paraId="1E85A75B" w14:textId="49EB14E3" w:rsidR="002342FE" w:rsidRDefault="002342FE" w:rsidP="002342FE">
      <w:pPr>
        <w:pStyle w:val="Tabletitle"/>
      </w:pPr>
      <w:bookmarkStart w:id="255" w:name="_Toc340431582"/>
      <w:r w:rsidRPr="002342FE">
        <w:rPr>
          <w:b/>
        </w:rPr>
        <w:t>Table 4.5.2.</w:t>
      </w:r>
      <w:r w:rsidRPr="003C3188">
        <w:t xml:space="preserve"> Estimated </w:t>
      </w:r>
      <w:r>
        <w:t xml:space="preserve">percent </w:t>
      </w:r>
      <w:r w:rsidRPr="003C3188">
        <w:t xml:space="preserve">reductions in </w:t>
      </w:r>
      <w:r>
        <w:t xml:space="preserve">mutton snapper commercial </w:t>
      </w:r>
      <w:r w:rsidRPr="003C3188">
        <w:t xml:space="preserve">landings for </w:t>
      </w:r>
      <w:r>
        <w:t xml:space="preserve">the </w:t>
      </w:r>
      <w:r w:rsidRPr="003C3188">
        <w:t>minimum size limits</w:t>
      </w:r>
      <w:r>
        <w:t xml:space="preserve"> being considered in Amendment 41.  The reduction was generated with TIP data from </w:t>
      </w:r>
      <w:r w:rsidR="00F11EA9">
        <w:t>2013-2015</w:t>
      </w:r>
      <w:r w:rsidR="00811BB5">
        <w:t>, and a sample 925</w:t>
      </w:r>
      <w:r>
        <w:t xml:space="preserve"> fish</w:t>
      </w:r>
      <w:r w:rsidRPr="003C3188">
        <w:t>.</w:t>
      </w:r>
      <w:bookmarkEnd w:id="255"/>
      <w:r w:rsidRPr="003C3188">
        <w:t xml:space="preserve">  </w:t>
      </w:r>
    </w:p>
    <w:tbl>
      <w:tblPr>
        <w:tblW w:w="3080" w:type="dxa"/>
        <w:tblInd w:w="93" w:type="dxa"/>
        <w:tblLook w:val="04A0" w:firstRow="1" w:lastRow="0" w:firstColumn="1" w:lastColumn="0" w:noHBand="0" w:noVBand="1"/>
      </w:tblPr>
      <w:tblGrid>
        <w:gridCol w:w="1820"/>
        <w:gridCol w:w="1260"/>
      </w:tblGrid>
      <w:tr w:rsidR="00811BB5" w:rsidRPr="0028435F" w14:paraId="1C377D30" w14:textId="77777777" w:rsidTr="00F11EA9">
        <w:trPr>
          <w:trHeight w:val="288"/>
        </w:trPr>
        <w:tc>
          <w:tcPr>
            <w:tcW w:w="182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F4364E0" w14:textId="77777777" w:rsidR="00811BB5" w:rsidRPr="0028435F" w:rsidRDefault="00811BB5" w:rsidP="00F11EA9">
            <w:pPr>
              <w:jc w:val="center"/>
              <w:rPr>
                <w:b/>
                <w:color w:val="000000"/>
                <w:sz w:val="22"/>
                <w:szCs w:val="22"/>
              </w:rPr>
            </w:pPr>
            <w:r w:rsidRPr="0028435F">
              <w:rPr>
                <w:b/>
                <w:color w:val="000000"/>
                <w:sz w:val="22"/>
                <w:szCs w:val="22"/>
              </w:rPr>
              <w:t>Minimum Size Limit (inches TL)</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781DE3D" w14:textId="77777777" w:rsidR="00811BB5" w:rsidRPr="0028435F" w:rsidRDefault="00811BB5" w:rsidP="00F11EA9">
            <w:pPr>
              <w:jc w:val="center"/>
              <w:rPr>
                <w:b/>
                <w:color w:val="000000"/>
                <w:sz w:val="22"/>
                <w:szCs w:val="22"/>
              </w:rPr>
            </w:pPr>
            <w:r w:rsidRPr="0028435F">
              <w:rPr>
                <w:b/>
                <w:color w:val="000000"/>
                <w:sz w:val="22"/>
                <w:szCs w:val="22"/>
              </w:rPr>
              <w:t>Percent Reduction</w:t>
            </w:r>
          </w:p>
        </w:tc>
      </w:tr>
      <w:tr w:rsidR="00811BB5" w:rsidRPr="0028435F" w14:paraId="5AF92691" w14:textId="77777777" w:rsidTr="00F11EA9">
        <w:trPr>
          <w:trHeight w:val="288"/>
        </w:trPr>
        <w:tc>
          <w:tcPr>
            <w:tcW w:w="18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7CA68AA" w14:textId="77777777" w:rsidR="00811BB5" w:rsidRPr="0028435F" w:rsidRDefault="00811BB5" w:rsidP="00F11EA9">
            <w:pPr>
              <w:rPr>
                <w:color w:val="000000"/>
                <w:sz w:val="22"/>
                <w:szCs w:val="22"/>
              </w:rPr>
            </w:pPr>
          </w:p>
        </w:tc>
        <w:tc>
          <w:tcPr>
            <w:tcW w:w="126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B1E0D83" w14:textId="77777777" w:rsidR="00811BB5" w:rsidRPr="0028435F" w:rsidRDefault="00811BB5" w:rsidP="00F11EA9">
            <w:pPr>
              <w:rPr>
                <w:color w:val="000000"/>
                <w:sz w:val="22"/>
                <w:szCs w:val="22"/>
              </w:rPr>
            </w:pPr>
          </w:p>
        </w:tc>
      </w:tr>
      <w:tr w:rsidR="00811BB5" w:rsidRPr="0028435F" w14:paraId="4A853C3D" w14:textId="77777777" w:rsidTr="00F11EA9">
        <w:trPr>
          <w:trHeight w:val="312"/>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349698F" w14:textId="77777777" w:rsidR="00811BB5" w:rsidRPr="0028435F" w:rsidRDefault="00811BB5" w:rsidP="00F11EA9">
            <w:pPr>
              <w:jc w:val="center"/>
              <w:rPr>
                <w:color w:val="000000"/>
                <w:sz w:val="22"/>
                <w:szCs w:val="22"/>
              </w:rPr>
            </w:pPr>
            <w:r w:rsidRPr="0028435F">
              <w:rPr>
                <w:color w:val="000000"/>
                <w:sz w:val="22"/>
                <w:szCs w:val="22"/>
              </w:rPr>
              <w:t>16</w:t>
            </w:r>
          </w:p>
        </w:tc>
        <w:tc>
          <w:tcPr>
            <w:tcW w:w="1260" w:type="dxa"/>
            <w:tcBorders>
              <w:top w:val="nil"/>
              <w:left w:val="nil"/>
              <w:bottom w:val="single" w:sz="4" w:space="0" w:color="auto"/>
              <w:right w:val="single" w:sz="4" w:space="0" w:color="auto"/>
            </w:tcBorders>
            <w:shd w:val="clear" w:color="auto" w:fill="auto"/>
            <w:noWrap/>
            <w:vAlign w:val="bottom"/>
            <w:hideMark/>
          </w:tcPr>
          <w:p w14:paraId="52636778" w14:textId="77777777" w:rsidR="00811BB5" w:rsidRPr="0028435F" w:rsidRDefault="00811BB5" w:rsidP="00F11EA9">
            <w:pPr>
              <w:jc w:val="center"/>
              <w:rPr>
                <w:color w:val="000000"/>
                <w:sz w:val="22"/>
                <w:szCs w:val="22"/>
              </w:rPr>
            </w:pPr>
            <w:r w:rsidRPr="0028435F">
              <w:rPr>
                <w:color w:val="000000"/>
                <w:sz w:val="22"/>
                <w:szCs w:val="22"/>
              </w:rPr>
              <w:t>0</w:t>
            </w:r>
          </w:p>
        </w:tc>
      </w:tr>
      <w:tr w:rsidR="00811BB5" w:rsidRPr="0028435F" w14:paraId="7BE9AA7C" w14:textId="77777777" w:rsidTr="00F11EA9">
        <w:trPr>
          <w:trHeight w:val="312"/>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464BB3C" w14:textId="77777777" w:rsidR="00811BB5" w:rsidRPr="0028435F" w:rsidRDefault="00811BB5" w:rsidP="00F11EA9">
            <w:pPr>
              <w:jc w:val="center"/>
              <w:rPr>
                <w:color w:val="000000"/>
                <w:sz w:val="22"/>
                <w:szCs w:val="22"/>
              </w:rPr>
            </w:pPr>
            <w:r w:rsidRPr="0028435F">
              <w:rPr>
                <w:color w:val="000000"/>
                <w:sz w:val="22"/>
                <w:szCs w:val="22"/>
              </w:rPr>
              <w:t>17</w:t>
            </w:r>
          </w:p>
        </w:tc>
        <w:tc>
          <w:tcPr>
            <w:tcW w:w="1260" w:type="dxa"/>
            <w:tcBorders>
              <w:top w:val="nil"/>
              <w:left w:val="nil"/>
              <w:bottom w:val="single" w:sz="4" w:space="0" w:color="auto"/>
              <w:right w:val="single" w:sz="4" w:space="0" w:color="auto"/>
            </w:tcBorders>
            <w:shd w:val="clear" w:color="auto" w:fill="auto"/>
            <w:noWrap/>
            <w:vAlign w:val="bottom"/>
            <w:hideMark/>
          </w:tcPr>
          <w:p w14:paraId="576FED26" w14:textId="77777777" w:rsidR="00811BB5" w:rsidRPr="0028435F" w:rsidRDefault="00811BB5" w:rsidP="00F11EA9">
            <w:pPr>
              <w:jc w:val="center"/>
              <w:rPr>
                <w:color w:val="000000"/>
                <w:sz w:val="22"/>
                <w:szCs w:val="22"/>
              </w:rPr>
            </w:pPr>
            <w:r>
              <w:rPr>
                <w:color w:val="000000"/>
                <w:sz w:val="22"/>
                <w:szCs w:val="22"/>
              </w:rPr>
              <w:t>1.9</w:t>
            </w:r>
          </w:p>
        </w:tc>
      </w:tr>
      <w:tr w:rsidR="00811BB5" w:rsidRPr="00811BB5" w14:paraId="3B9DCAA4" w14:textId="77777777" w:rsidTr="00F11EA9">
        <w:trPr>
          <w:trHeight w:val="312"/>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E3E5586" w14:textId="1D5D8FFE" w:rsidR="00811BB5" w:rsidRPr="00811BB5" w:rsidRDefault="00811BB5" w:rsidP="00F11EA9">
            <w:pPr>
              <w:jc w:val="center"/>
              <w:rPr>
                <w:b/>
                <w:color w:val="000000"/>
                <w:sz w:val="22"/>
                <w:szCs w:val="22"/>
              </w:rPr>
            </w:pPr>
            <w:r w:rsidRPr="00811BB5">
              <w:rPr>
                <w:b/>
                <w:color w:val="000000"/>
                <w:sz w:val="22"/>
                <w:szCs w:val="22"/>
              </w:rPr>
              <w:t>18 (Pref)</w:t>
            </w:r>
          </w:p>
        </w:tc>
        <w:tc>
          <w:tcPr>
            <w:tcW w:w="1260" w:type="dxa"/>
            <w:tcBorders>
              <w:top w:val="nil"/>
              <w:left w:val="nil"/>
              <w:bottom w:val="single" w:sz="4" w:space="0" w:color="auto"/>
              <w:right w:val="single" w:sz="4" w:space="0" w:color="auto"/>
            </w:tcBorders>
            <w:shd w:val="clear" w:color="auto" w:fill="auto"/>
            <w:noWrap/>
            <w:vAlign w:val="bottom"/>
            <w:hideMark/>
          </w:tcPr>
          <w:p w14:paraId="4863E6E5" w14:textId="77777777" w:rsidR="00811BB5" w:rsidRPr="00811BB5" w:rsidRDefault="00811BB5" w:rsidP="00F11EA9">
            <w:pPr>
              <w:jc w:val="center"/>
              <w:rPr>
                <w:b/>
                <w:color w:val="000000"/>
                <w:sz w:val="22"/>
                <w:szCs w:val="22"/>
              </w:rPr>
            </w:pPr>
            <w:r w:rsidRPr="00811BB5">
              <w:rPr>
                <w:b/>
                <w:color w:val="000000"/>
                <w:sz w:val="22"/>
                <w:szCs w:val="22"/>
              </w:rPr>
              <w:t>4.2</w:t>
            </w:r>
          </w:p>
        </w:tc>
      </w:tr>
      <w:tr w:rsidR="00811BB5" w:rsidRPr="0028435F" w14:paraId="2175B869" w14:textId="77777777" w:rsidTr="00F11EA9">
        <w:trPr>
          <w:trHeight w:val="312"/>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F73BB30" w14:textId="77777777" w:rsidR="00811BB5" w:rsidRPr="0028435F" w:rsidRDefault="00811BB5" w:rsidP="00F11EA9">
            <w:pPr>
              <w:jc w:val="center"/>
              <w:rPr>
                <w:color w:val="000000"/>
                <w:sz w:val="22"/>
                <w:szCs w:val="22"/>
              </w:rPr>
            </w:pPr>
            <w:r w:rsidRPr="0028435F">
              <w:rPr>
                <w:color w:val="000000"/>
                <w:sz w:val="22"/>
                <w:szCs w:val="22"/>
              </w:rPr>
              <w:t>19</w:t>
            </w:r>
          </w:p>
        </w:tc>
        <w:tc>
          <w:tcPr>
            <w:tcW w:w="1260" w:type="dxa"/>
            <w:tcBorders>
              <w:top w:val="nil"/>
              <w:left w:val="nil"/>
              <w:bottom w:val="single" w:sz="4" w:space="0" w:color="auto"/>
              <w:right w:val="single" w:sz="4" w:space="0" w:color="auto"/>
            </w:tcBorders>
            <w:shd w:val="clear" w:color="auto" w:fill="auto"/>
            <w:noWrap/>
            <w:vAlign w:val="bottom"/>
            <w:hideMark/>
          </w:tcPr>
          <w:p w14:paraId="05E0F077" w14:textId="77777777" w:rsidR="00811BB5" w:rsidRPr="0028435F" w:rsidRDefault="00811BB5" w:rsidP="00F11EA9">
            <w:pPr>
              <w:jc w:val="center"/>
              <w:rPr>
                <w:color w:val="000000"/>
                <w:sz w:val="22"/>
                <w:szCs w:val="22"/>
              </w:rPr>
            </w:pPr>
            <w:r>
              <w:rPr>
                <w:color w:val="000000"/>
                <w:sz w:val="22"/>
                <w:szCs w:val="22"/>
              </w:rPr>
              <w:t>6.7</w:t>
            </w:r>
          </w:p>
        </w:tc>
      </w:tr>
      <w:tr w:rsidR="00811BB5" w:rsidRPr="0028435F" w14:paraId="21C4FE54" w14:textId="77777777" w:rsidTr="00F11EA9">
        <w:trPr>
          <w:trHeight w:val="312"/>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C3049F2" w14:textId="77777777" w:rsidR="00811BB5" w:rsidRPr="0028435F" w:rsidRDefault="00811BB5" w:rsidP="00F11EA9">
            <w:pPr>
              <w:jc w:val="center"/>
              <w:rPr>
                <w:color w:val="000000"/>
                <w:sz w:val="22"/>
                <w:szCs w:val="22"/>
              </w:rPr>
            </w:pPr>
            <w:r w:rsidRPr="0028435F">
              <w:rPr>
                <w:color w:val="000000"/>
                <w:sz w:val="22"/>
                <w:szCs w:val="22"/>
              </w:rPr>
              <w:t>20</w:t>
            </w:r>
          </w:p>
        </w:tc>
        <w:tc>
          <w:tcPr>
            <w:tcW w:w="1260" w:type="dxa"/>
            <w:tcBorders>
              <w:top w:val="nil"/>
              <w:left w:val="nil"/>
              <w:bottom w:val="single" w:sz="4" w:space="0" w:color="auto"/>
              <w:right w:val="single" w:sz="4" w:space="0" w:color="auto"/>
            </w:tcBorders>
            <w:shd w:val="clear" w:color="auto" w:fill="auto"/>
            <w:noWrap/>
            <w:vAlign w:val="bottom"/>
            <w:hideMark/>
          </w:tcPr>
          <w:p w14:paraId="23918C6D" w14:textId="77777777" w:rsidR="00811BB5" w:rsidRPr="0028435F" w:rsidRDefault="00811BB5" w:rsidP="00F11EA9">
            <w:pPr>
              <w:jc w:val="center"/>
              <w:rPr>
                <w:color w:val="000000"/>
                <w:sz w:val="22"/>
                <w:szCs w:val="22"/>
              </w:rPr>
            </w:pPr>
            <w:r>
              <w:rPr>
                <w:color w:val="000000"/>
                <w:sz w:val="22"/>
                <w:szCs w:val="22"/>
              </w:rPr>
              <w:t>9.5</w:t>
            </w:r>
          </w:p>
        </w:tc>
      </w:tr>
    </w:tbl>
    <w:p w14:paraId="793E6160" w14:textId="11C932EF" w:rsidR="002342FE" w:rsidRPr="0051425C" w:rsidRDefault="0051425C" w:rsidP="002342FE">
      <w:pPr>
        <w:rPr>
          <w:rFonts w:ascii="Arial" w:hAnsi="Arial" w:cs="Arial"/>
          <w:bCs/>
          <w:sz w:val="20"/>
          <w:szCs w:val="20"/>
        </w:rPr>
      </w:pPr>
      <w:r w:rsidRPr="0051425C">
        <w:rPr>
          <w:rFonts w:ascii="Arial" w:hAnsi="Arial" w:cs="Arial"/>
          <w:bCs/>
          <w:sz w:val="20"/>
          <w:szCs w:val="20"/>
        </w:rPr>
        <w:t>Source: NMFS SERO</w:t>
      </w:r>
    </w:p>
    <w:p w14:paraId="1C33FEF8" w14:textId="1A5C5AEA" w:rsidR="0051425C" w:rsidRDefault="00EF6C02" w:rsidP="002342FE">
      <w:pPr>
        <w:rPr>
          <w:bCs/>
        </w:rPr>
      </w:pPr>
      <w:r w:rsidRPr="00EF6C02">
        <w:rPr>
          <w:bCs/>
          <w:highlight w:val="yellow"/>
        </w:rPr>
        <w:t>NOTE: To be updated with 2010-2014 data</w:t>
      </w:r>
    </w:p>
    <w:p w14:paraId="196057DB" w14:textId="0D660F12" w:rsidR="002342FE" w:rsidRPr="000D02BD" w:rsidRDefault="002342FE" w:rsidP="002342FE">
      <w:pPr>
        <w:ind w:firstLine="360"/>
        <w:rPr>
          <w:bCs/>
          <w:color w:val="000000"/>
          <w:shd w:val="clear" w:color="auto" w:fill="FFFFFF"/>
        </w:rPr>
      </w:pPr>
      <w:r>
        <w:lastRenderedPageBreak/>
        <w:t xml:space="preserve">The reliability of this analysis is </w:t>
      </w:r>
      <w:r w:rsidRPr="000D02BD">
        <w:t>depe</w:t>
      </w:r>
      <w:r>
        <w:t>ndent upon the accuracy of the</w:t>
      </w:r>
      <w:r w:rsidRPr="000D02BD">
        <w:t xml:space="preserve"> underlying data and input assumptions.  </w:t>
      </w:r>
      <w:r>
        <w:t>This analysis assumes that the commercial harvest of mutton sna</w:t>
      </w:r>
      <w:r w:rsidR="00811BB5">
        <w:t xml:space="preserve">pper size distribution from </w:t>
      </w:r>
      <w:r w:rsidR="00811BB5" w:rsidRPr="009108B8">
        <w:rPr>
          <w:highlight w:val="yellow"/>
        </w:rPr>
        <w:t>2013-2015</w:t>
      </w:r>
      <w:r>
        <w:t xml:space="preserve"> will reflect the size distribution of mutton snapper commercial harvest in the future.  </w:t>
      </w:r>
    </w:p>
    <w:p w14:paraId="6F23374B" w14:textId="77777777" w:rsidR="00776A16" w:rsidRDefault="00776A16" w:rsidP="00787753"/>
    <w:p w14:paraId="593B010C" w14:textId="70A12016" w:rsidR="00061B17" w:rsidRDefault="00061B17" w:rsidP="00061B17">
      <w:pPr>
        <w:ind w:firstLine="360"/>
      </w:pPr>
      <w:r w:rsidRPr="004156D7">
        <w:t>Th</w:t>
      </w:r>
      <w:r>
        <w:t xml:space="preserve">e alternatives and sub-alternatives under this </w:t>
      </w:r>
      <w:r w:rsidRPr="004156D7">
        <w:t>action would not significantly modify the way in which the snapper grouper fishery is prosecuted in terms o</w:t>
      </w:r>
      <w:r>
        <w:t>f gear types used</w:t>
      </w:r>
      <w:r w:rsidRPr="004156D7">
        <w:t xml:space="preserve">.  Therefore, there are no </w:t>
      </w:r>
      <w:r w:rsidR="00495370">
        <w:t xml:space="preserve">additional </w:t>
      </w:r>
      <w:r w:rsidRPr="004156D7">
        <w:t xml:space="preserve">impacts on ESA-listed species or designated critical habitats anticipated as a result of this action (see </w:t>
      </w:r>
      <w:r w:rsidRPr="004156D7">
        <w:rPr>
          <w:b/>
        </w:rPr>
        <w:t>Section 3.2.4</w:t>
      </w:r>
      <w:r w:rsidRPr="004156D7">
        <w:t xml:space="preserve"> for a detailed description of ESA-listed species and critical habitat in the action area).  Furthermore, no </w:t>
      </w:r>
      <w:r w:rsidR="00495370">
        <w:t xml:space="preserve">additional </w:t>
      </w:r>
      <w:r w:rsidRPr="004156D7">
        <w:t>impacts on EFH or EFH-</w:t>
      </w:r>
      <w:r>
        <w:t>HAPC</w:t>
      </w:r>
      <w:r w:rsidRPr="004156D7">
        <w:t xml:space="preserve"> are expected to result from any of the alternatives considered for this action (see </w:t>
      </w:r>
      <w:r w:rsidRPr="004156D7">
        <w:rPr>
          <w:b/>
        </w:rPr>
        <w:t>Section 3.1</w:t>
      </w:r>
      <w:r w:rsidRPr="004156D7">
        <w:t xml:space="preserve"> for a detailed description of EFH in the South Atlantic Region).</w:t>
      </w:r>
    </w:p>
    <w:p w14:paraId="10AD08E5" w14:textId="77777777" w:rsidR="00061B17" w:rsidRDefault="00061B17" w:rsidP="00787753"/>
    <w:p w14:paraId="2363BBBB" w14:textId="17E329CE" w:rsidR="00776A16" w:rsidRDefault="00776A16" w:rsidP="00007A84">
      <w:pPr>
        <w:pStyle w:val="Heading3"/>
      </w:pPr>
      <w:bookmarkStart w:id="256" w:name="_Toc339811751"/>
      <w:r>
        <w:t>4.5.2</w:t>
      </w:r>
      <w:r>
        <w:tab/>
        <w:t>Economic Effects</w:t>
      </w:r>
      <w:bookmarkEnd w:id="256"/>
    </w:p>
    <w:p w14:paraId="14026A26" w14:textId="77777777" w:rsidR="00A503F0" w:rsidRDefault="00A503F0" w:rsidP="00A503F0">
      <w:pPr>
        <w:ind w:firstLine="360"/>
      </w:pPr>
      <w:r w:rsidRPr="000B6B96">
        <w:t xml:space="preserve">Size limits that result in more spawning and/or higher fecundity would result </w:t>
      </w:r>
      <w:r>
        <w:t>i</w:t>
      </w:r>
      <w:r w:rsidRPr="000B6B96">
        <w:t xml:space="preserve">n more </w:t>
      </w:r>
      <w:r>
        <w:t>long-term</w:t>
      </w:r>
      <w:r w:rsidRPr="000B6B96">
        <w:t xml:space="preserve"> positive economic effects presumably through the availability of increased numbers of fish in the future.  However, there could be some direct, short-term, negative economic effects as fewer fish would be available to harvest until the current population grows into the new minimum size and/or the biomass of harvestable fish increases.  </w:t>
      </w:r>
      <w:r>
        <w:t>In the commercial sector, size limits can increase the number of discarded fish and trip costs if a vessel</w:t>
      </w:r>
      <w:r w:rsidRPr="00EF41DB">
        <w:t xml:space="preserve"> </w:t>
      </w:r>
      <w:r>
        <w:t xml:space="preserve">takes longer or more trips to mitigate the reduced landings per trip. This could negatively affect the profitability of a fishing trip and/or the overall annual profitability of a commercial fishing business.  In the recreational sector, the initial decrease in fish available for harvest could negatively affect consumer surplus for a fishery.  Net operating revenue for charter and head boat trips may be negatively affected as well if overall fishing effort decrease or trips become more costly due to higher search costs.  </w:t>
      </w:r>
      <w:r w:rsidRPr="000B6B96">
        <w:t xml:space="preserve">The greater the increase in </w:t>
      </w:r>
      <w:r>
        <w:t xml:space="preserve">the minimum </w:t>
      </w:r>
      <w:r w:rsidRPr="000B6B96">
        <w:t xml:space="preserve">size limit from </w:t>
      </w:r>
      <w:r w:rsidRPr="000B6B96">
        <w:rPr>
          <w:b/>
        </w:rPr>
        <w:t>Alternative 1 (No Action)</w:t>
      </w:r>
      <w:r w:rsidRPr="000B6B96">
        <w:t xml:space="preserve">, the </w:t>
      </w:r>
      <w:r>
        <w:t xml:space="preserve">greater the </w:t>
      </w:r>
      <w:r w:rsidRPr="000B6B96">
        <w:t xml:space="preserve">probability for short-term </w:t>
      </w:r>
      <w:r>
        <w:t xml:space="preserve">negative economic effects.  However, an increase in the minimum size limit above </w:t>
      </w:r>
      <w:r w:rsidRPr="000B6B96">
        <w:rPr>
          <w:b/>
        </w:rPr>
        <w:t>Alternative 1 (No Action)</w:t>
      </w:r>
      <w:r>
        <w:rPr>
          <w:b/>
        </w:rPr>
        <w:t xml:space="preserve"> </w:t>
      </w:r>
      <w:r w:rsidRPr="000B6B96">
        <w:t xml:space="preserve">could also </w:t>
      </w:r>
      <w:r>
        <w:t>result in greater long-term</w:t>
      </w:r>
      <w:r w:rsidRPr="000B6B96">
        <w:t xml:space="preserve"> positive economic effects as long as increased size limits </w:t>
      </w:r>
      <w:r>
        <w:t>translate</w:t>
      </w:r>
      <w:r w:rsidRPr="000B6B96">
        <w:t xml:space="preserve"> in</w:t>
      </w:r>
      <w:r>
        <w:t>to</w:t>
      </w:r>
      <w:r w:rsidRPr="000B6B96">
        <w:t xml:space="preserve"> a larger spawning </w:t>
      </w:r>
      <w:r>
        <w:t xml:space="preserve">stock </w:t>
      </w:r>
      <w:r w:rsidRPr="000B6B96">
        <w:t>biomass and overall biomass increasing above the minimum limit.</w:t>
      </w:r>
    </w:p>
    <w:p w14:paraId="3BAEE841" w14:textId="77777777" w:rsidR="00A503F0" w:rsidRDefault="00A503F0" w:rsidP="00A503F0">
      <w:pPr>
        <w:rPr>
          <w:b/>
        </w:rPr>
      </w:pPr>
    </w:p>
    <w:p w14:paraId="4010E526" w14:textId="6FA4111D" w:rsidR="00A503F0" w:rsidRDefault="0065666D" w:rsidP="00A503F0">
      <w:pPr>
        <w:ind w:firstLine="360"/>
      </w:pPr>
      <w:r w:rsidRPr="000216D1">
        <w:t xml:space="preserve">Haab et al. (2012) estimated the CS (willingness to pay (WTP) for one additional fish caught and kept) for snappers and groupers in the southeastern U.S. using four separate econometric modeling techniques.  It is assumed that snapper is a better proxy for </w:t>
      </w:r>
      <w:r>
        <w:t>mutton snapper</w:t>
      </w:r>
      <w:r w:rsidRPr="000216D1">
        <w:t xml:space="preserve"> than grouper; however, any CS estimates derived for </w:t>
      </w:r>
      <w:r>
        <w:t>mutton snapper</w:t>
      </w:r>
      <w:r w:rsidRPr="000216D1">
        <w:t xml:space="preserve"> using </w:t>
      </w:r>
      <w:r>
        <w:t>“</w:t>
      </w:r>
      <w:r w:rsidRPr="000216D1">
        <w:t>snapper</w:t>
      </w:r>
      <w:r>
        <w:t>”</w:t>
      </w:r>
      <w:r w:rsidRPr="000216D1">
        <w:t xml:space="preserve"> as a proxy should be viewed as ballpark estimates only.  The finite mixture model, which takes into account variation in the preferences of fishermen, had the best prediction rates of the four models.  </w:t>
      </w:r>
      <w:r w:rsidRPr="00A3550A">
        <w:t xml:space="preserve">The WTP for an additional snapper (excluding red snapper) estimated by this model was $12.38 (2015 dollars) with a 95% confidence interval (CI) of $8.26 to $17.89. </w:t>
      </w:r>
      <w:r>
        <w:t xml:space="preserve"> </w:t>
      </w:r>
      <w:r w:rsidRPr="00A3550A">
        <w:t>The WTP for an additional snapper from the mixed-logit model was higher at $30.29 (2015 dollars) with a 95% CI of $20.64 to $39.92</w:t>
      </w:r>
      <w:r>
        <w:t xml:space="preserve">.  </w:t>
      </w:r>
      <w:r w:rsidR="00A503F0">
        <w:t xml:space="preserve">Due to the variation in proxy values, both are shown to provide an upper and lower estimate of CS.  </w:t>
      </w:r>
      <w:r w:rsidR="006E56A5">
        <w:rPr>
          <w:b/>
        </w:rPr>
        <w:t>Table 4.5.3</w:t>
      </w:r>
      <w:r w:rsidR="00A503F0">
        <w:rPr>
          <w:b/>
        </w:rPr>
        <w:t xml:space="preserve"> </w:t>
      </w:r>
      <w:r w:rsidR="00A503F0">
        <w:t xml:space="preserve">shows the expected number of fish landed for the recreational sector under each </w:t>
      </w:r>
      <w:r w:rsidR="00A503F0" w:rsidRPr="00EE1ABF">
        <w:t>alternative</w:t>
      </w:r>
      <w:r w:rsidR="00A503F0">
        <w:t xml:space="preserve"> along with the decrease in CS using </w:t>
      </w:r>
      <w:r w:rsidR="00A503F0">
        <w:rPr>
          <w:b/>
        </w:rPr>
        <w:t xml:space="preserve">Alternative 1 (No </w:t>
      </w:r>
      <w:r w:rsidR="00A503F0">
        <w:rPr>
          <w:b/>
        </w:rPr>
        <w:lastRenderedPageBreak/>
        <w:t xml:space="preserve">Action) </w:t>
      </w:r>
      <w:r w:rsidR="00A503F0" w:rsidRPr="00C63E21">
        <w:t>as a baseline</w:t>
      </w:r>
      <w:r w:rsidR="00A503F0">
        <w:t xml:space="preserve">.  </w:t>
      </w:r>
      <w:r>
        <w:t xml:space="preserve">The estimate of recreational landings under </w:t>
      </w:r>
      <w:r>
        <w:rPr>
          <w:b/>
        </w:rPr>
        <w:t xml:space="preserve">Alternative 1 (No Action) </w:t>
      </w:r>
      <w:r>
        <w:t>is 111,966 fish (</w:t>
      </w:r>
      <w:r w:rsidRPr="00C63E21">
        <w:rPr>
          <w:b/>
        </w:rPr>
        <w:t>Table 4.5.1</w:t>
      </w:r>
      <w:r>
        <w:t xml:space="preserve">) that would result in a CS ranging from $1,386,139 to $3,391,450, depending on the CS proxy value used (2015 dollars) </w:t>
      </w:r>
      <w:r w:rsidRPr="0066632F">
        <w:t>(</w:t>
      </w:r>
      <w:r w:rsidRPr="0066632F">
        <w:rPr>
          <w:bCs/>
          <w:color w:val="000000"/>
        </w:rPr>
        <w:t>Finite Mixture Model:  $12.3</w:t>
      </w:r>
      <w:r>
        <w:rPr>
          <w:bCs/>
          <w:color w:val="000000"/>
        </w:rPr>
        <w:t>8</w:t>
      </w:r>
      <w:r w:rsidRPr="0066632F">
        <w:rPr>
          <w:bCs/>
          <w:color w:val="000000"/>
        </w:rPr>
        <w:t xml:space="preserve"> per fish or Mixed Logit Model: $30.2</w:t>
      </w:r>
      <w:r>
        <w:rPr>
          <w:bCs/>
          <w:color w:val="000000"/>
        </w:rPr>
        <w:t>9</w:t>
      </w:r>
      <w:r w:rsidRPr="0066632F">
        <w:rPr>
          <w:bCs/>
          <w:color w:val="000000"/>
        </w:rPr>
        <w:t xml:space="preserve"> per fish</w:t>
      </w:r>
      <w:r w:rsidRPr="0065666D">
        <w:rPr>
          <w:bCs/>
          <w:color w:val="000000"/>
        </w:rPr>
        <w:t>)</w:t>
      </w:r>
      <w:r w:rsidRPr="0066632F">
        <w:t xml:space="preserve">. </w:t>
      </w:r>
      <w:r>
        <w:t xml:space="preserve"> Depending on the alternative that is examined and the CS estimate that is used, the potential decrease in CS ranges from $0 to approximately $2.05 million (2015 dollars).  For </w:t>
      </w:r>
      <w:r>
        <w:rPr>
          <w:b/>
        </w:rPr>
        <w:t>Pref</w:t>
      </w:r>
      <w:r w:rsidRPr="00EA66C3">
        <w:rPr>
          <w:b/>
        </w:rPr>
        <w:t>er</w:t>
      </w:r>
      <w:r>
        <w:rPr>
          <w:b/>
        </w:rPr>
        <w:t>r</w:t>
      </w:r>
      <w:r w:rsidRPr="00EA66C3">
        <w:rPr>
          <w:b/>
        </w:rPr>
        <w:t>ed Alternative 3</w:t>
      </w:r>
      <w:r>
        <w:t>, the expected range of reductions in CS is approximately $760,000 to $1.86 million (2015 dollars).</w:t>
      </w:r>
    </w:p>
    <w:p w14:paraId="6333ACFB" w14:textId="77777777" w:rsidR="00A503F0" w:rsidRDefault="00A503F0" w:rsidP="00A503F0">
      <w:pPr>
        <w:ind w:firstLine="360"/>
        <w:rPr>
          <w:b/>
        </w:rPr>
      </w:pPr>
    </w:p>
    <w:p w14:paraId="508012A4" w14:textId="77777777" w:rsidR="00A503F0" w:rsidRDefault="00A503F0" w:rsidP="00A503F0">
      <w:pPr>
        <w:ind w:firstLine="360"/>
      </w:pPr>
      <w:r>
        <w:rPr>
          <w:b/>
        </w:rPr>
        <w:t xml:space="preserve">Alternative 1 (No Action) </w:t>
      </w:r>
      <w:r>
        <w:t xml:space="preserve">affords the lowest negative, direct, short-term economic effect compared to </w:t>
      </w:r>
      <w:r>
        <w:rPr>
          <w:b/>
        </w:rPr>
        <w:t xml:space="preserve">Alternatives 2 </w:t>
      </w:r>
      <w:r w:rsidRPr="001E6451">
        <w:t>through</w:t>
      </w:r>
      <w:r>
        <w:rPr>
          <w:b/>
        </w:rPr>
        <w:t xml:space="preserve"> 5</w:t>
      </w:r>
      <w:r>
        <w:t>.</w:t>
      </w:r>
      <w:r w:rsidRPr="00EE1ABF">
        <w:t xml:space="preserve"> </w:t>
      </w:r>
      <w:r>
        <w:t xml:space="preserve"> However, </w:t>
      </w:r>
      <w:r w:rsidRPr="009B3BF9">
        <w:rPr>
          <w:b/>
        </w:rPr>
        <w:t>Alternative 1 (No Action)</w:t>
      </w:r>
      <w:r>
        <w:t xml:space="preserve"> could result in a more compressed stock size and presumably lower fecundity in the future, leading to fewer fish available to harvest when compared to the other alternatives.  The economic benefit of establishing a larger minimum size limit would presumably be an increased stock size that may allow for future economic benefits associated with increased harvest and recreational opportunities. </w:t>
      </w:r>
    </w:p>
    <w:p w14:paraId="5C580846" w14:textId="77777777" w:rsidR="00A503F0" w:rsidRDefault="00A503F0" w:rsidP="00A503F0">
      <w:pPr>
        <w:ind w:firstLine="360"/>
      </w:pPr>
      <w:bookmarkStart w:id="257" w:name="_Toc325275621"/>
      <w:bookmarkStart w:id="258" w:name="_Toc328398493"/>
    </w:p>
    <w:p w14:paraId="38425872" w14:textId="30B67C1A" w:rsidR="00A503F0" w:rsidRPr="00A503F0" w:rsidRDefault="00A503F0" w:rsidP="00A503F0">
      <w:pPr>
        <w:pStyle w:val="Tabletitle"/>
        <w:rPr>
          <w:rFonts w:cs="Arial"/>
          <w:b/>
        </w:rPr>
      </w:pPr>
      <w:bookmarkStart w:id="259" w:name="_Toc340431583"/>
      <w:r w:rsidRPr="00A503F0">
        <w:rPr>
          <w:rFonts w:cs="Arial"/>
          <w:b/>
        </w:rPr>
        <w:t>Table 4.5.</w:t>
      </w:r>
      <w:r w:rsidR="006E56A5">
        <w:rPr>
          <w:rFonts w:cs="Arial"/>
          <w:b/>
        </w:rPr>
        <w:t>3</w:t>
      </w:r>
      <w:r w:rsidRPr="00A503F0">
        <w:rPr>
          <w:rFonts w:cs="Arial"/>
        </w:rPr>
        <w:t xml:space="preserve">.  Estimated </w:t>
      </w:r>
      <w:r w:rsidR="0065666D">
        <w:rPr>
          <w:rFonts w:cs="Arial"/>
        </w:rPr>
        <w:t>change in consumer surplus (2015</w:t>
      </w:r>
      <w:r w:rsidRPr="00A503F0">
        <w:rPr>
          <w:rFonts w:cs="Arial"/>
        </w:rPr>
        <w:t xml:space="preserve"> $) for </w:t>
      </w:r>
      <w:r w:rsidR="0065666D">
        <w:rPr>
          <w:rFonts w:cs="Arial"/>
        </w:rPr>
        <w:t xml:space="preserve">the recreational </w:t>
      </w:r>
      <w:r w:rsidRPr="00A503F0">
        <w:rPr>
          <w:rFonts w:cs="Arial"/>
        </w:rPr>
        <w:t xml:space="preserve">mutton snapper </w:t>
      </w:r>
      <w:r w:rsidR="0065666D">
        <w:rPr>
          <w:rFonts w:cs="Arial"/>
        </w:rPr>
        <w:t xml:space="preserve">fishery </w:t>
      </w:r>
      <w:r w:rsidRPr="00A503F0">
        <w:rPr>
          <w:rFonts w:cs="Arial"/>
        </w:rPr>
        <w:t>in the first year of implementation.</w:t>
      </w:r>
      <w:bookmarkEnd w:id="259"/>
      <w:r w:rsidRPr="00A503F0">
        <w:rPr>
          <w:rFonts w:cs="Arial"/>
        </w:rPr>
        <w:t xml:space="preserve"> </w:t>
      </w:r>
    </w:p>
    <w:bookmarkEnd w:id="257"/>
    <w:bookmarkEnd w:id="258"/>
    <w:tbl>
      <w:tblPr>
        <w:tblW w:w="10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2"/>
        <w:gridCol w:w="1008"/>
        <w:gridCol w:w="1414"/>
        <w:gridCol w:w="1440"/>
        <w:gridCol w:w="1967"/>
        <w:gridCol w:w="2070"/>
      </w:tblGrid>
      <w:tr w:rsidR="0065666D" w:rsidRPr="00D520E5" w14:paraId="13C59F30" w14:textId="77777777" w:rsidTr="0065666D">
        <w:trPr>
          <w:trHeight w:val="1349"/>
        </w:trPr>
        <w:tc>
          <w:tcPr>
            <w:tcW w:w="2582" w:type="dxa"/>
            <w:shd w:val="clear" w:color="000000" w:fill="D9D9D9"/>
            <w:noWrap/>
            <w:vAlign w:val="center"/>
            <w:hideMark/>
          </w:tcPr>
          <w:p w14:paraId="28689DE4" w14:textId="77777777" w:rsidR="0065666D" w:rsidRPr="00D520E5" w:rsidRDefault="0065666D" w:rsidP="0065666D">
            <w:pPr>
              <w:jc w:val="center"/>
              <w:rPr>
                <w:b/>
                <w:bCs/>
                <w:color w:val="000000"/>
                <w:sz w:val="22"/>
                <w:szCs w:val="22"/>
              </w:rPr>
            </w:pPr>
          </w:p>
        </w:tc>
        <w:tc>
          <w:tcPr>
            <w:tcW w:w="1008" w:type="dxa"/>
            <w:shd w:val="clear" w:color="000000" w:fill="D9D9D9"/>
            <w:noWrap/>
            <w:vAlign w:val="center"/>
            <w:hideMark/>
          </w:tcPr>
          <w:p w14:paraId="507E06A0" w14:textId="77777777" w:rsidR="0065666D" w:rsidRPr="00D520E5" w:rsidRDefault="0065666D" w:rsidP="0065666D">
            <w:pPr>
              <w:jc w:val="center"/>
              <w:rPr>
                <w:b/>
                <w:bCs/>
                <w:color w:val="000000"/>
                <w:sz w:val="22"/>
                <w:szCs w:val="22"/>
              </w:rPr>
            </w:pPr>
            <w:r w:rsidRPr="00D520E5">
              <w:rPr>
                <w:b/>
                <w:bCs/>
                <w:color w:val="000000"/>
                <w:sz w:val="22"/>
                <w:szCs w:val="22"/>
              </w:rPr>
              <w:t>Size Limit</w:t>
            </w:r>
          </w:p>
        </w:tc>
        <w:tc>
          <w:tcPr>
            <w:tcW w:w="1414" w:type="dxa"/>
            <w:shd w:val="clear" w:color="000000" w:fill="D9D9D9"/>
            <w:vAlign w:val="center"/>
            <w:hideMark/>
          </w:tcPr>
          <w:p w14:paraId="0DD0F6F4" w14:textId="77777777" w:rsidR="0065666D" w:rsidRPr="00D520E5" w:rsidRDefault="0065666D" w:rsidP="0065666D">
            <w:pPr>
              <w:jc w:val="center"/>
              <w:rPr>
                <w:b/>
                <w:bCs/>
                <w:color w:val="000000"/>
                <w:sz w:val="22"/>
                <w:szCs w:val="22"/>
              </w:rPr>
            </w:pPr>
            <w:r w:rsidRPr="00D520E5">
              <w:rPr>
                <w:b/>
                <w:bCs/>
                <w:color w:val="000000"/>
                <w:sz w:val="22"/>
                <w:szCs w:val="22"/>
              </w:rPr>
              <w:t>Estimated Recreational Landings (number of fish)</w:t>
            </w:r>
          </w:p>
        </w:tc>
        <w:tc>
          <w:tcPr>
            <w:tcW w:w="1440" w:type="dxa"/>
            <w:shd w:val="clear" w:color="000000" w:fill="D9D9D9"/>
          </w:tcPr>
          <w:p w14:paraId="249EA56A" w14:textId="77777777" w:rsidR="0065666D" w:rsidRPr="00D520E5" w:rsidRDefault="0065666D" w:rsidP="0065666D">
            <w:pPr>
              <w:jc w:val="center"/>
              <w:rPr>
                <w:b/>
                <w:bCs/>
                <w:color w:val="000000"/>
                <w:sz w:val="22"/>
                <w:szCs w:val="22"/>
              </w:rPr>
            </w:pPr>
            <w:r w:rsidRPr="00D520E5">
              <w:rPr>
                <w:b/>
                <w:bCs/>
                <w:color w:val="000000"/>
                <w:sz w:val="22"/>
                <w:szCs w:val="22"/>
              </w:rPr>
              <w:t>Estimated Reduction in Landings (number of fish)</w:t>
            </w:r>
          </w:p>
        </w:tc>
        <w:tc>
          <w:tcPr>
            <w:tcW w:w="1967" w:type="dxa"/>
            <w:shd w:val="clear" w:color="000000" w:fill="D9D9D9"/>
            <w:vAlign w:val="center"/>
            <w:hideMark/>
          </w:tcPr>
          <w:p w14:paraId="753CA4E1" w14:textId="77777777" w:rsidR="0065666D" w:rsidRPr="00D520E5" w:rsidRDefault="0065666D" w:rsidP="0065666D">
            <w:pPr>
              <w:jc w:val="center"/>
              <w:rPr>
                <w:b/>
                <w:bCs/>
                <w:color w:val="000000"/>
                <w:sz w:val="22"/>
                <w:szCs w:val="22"/>
              </w:rPr>
            </w:pPr>
            <w:r w:rsidRPr="00D520E5">
              <w:rPr>
                <w:b/>
                <w:bCs/>
                <w:color w:val="000000"/>
                <w:sz w:val="22"/>
                <w:szCs w:val="22"/>
              </w:rPr>
              <w:t>Decrease in Consumer Surplus(Finite Mixture Model:  $12.3</w:t>
            </w:r>
            <w:r>
              <w:rPr>
                <w:b/>
                <w:bCs/>
                <w:color w:val="000000"/>
                <w:sz w:val="22"/>
                <w:szCs w:val="22"/>
              </w:rPr>
              <w:t>8</w:t>
            </w:r>
            <w:r w:rsidRPr="00D520E5">
              <w:rPr>
                <w:b/>
                <w:bCs/>
                <w:color w:val="000000"/>
                <w:sz w:val="22"/>
                <w:szCs w:val="22"/>
              </w:rPr>
              <w:t xml:space="preserve"> per fish)</w:t>
            </w:r>
          </w:p>
        </w:tc>
        <w:tc>
          <w:tcPr>
            <w:tcW w:w="2070" w:type="dxa"/>
            <w:shd w:val="clear" w:color="000000" w:fill="D9D9D9"/>
            <w:vAlign w:val="center"/>
            <w:hideMark/>
          </w:tcPr>
          <w:p w14:paraId="328E2F9E" w14:textId="77777777" w:rsidR="0065666D" w:rsidRPr="00D520E5" w:rsidRDefault="0065666D" w:rsidP="0065666D">
            <w:pPr>
              <w:jc w:val="center"/>
              <w:rPr>
                <w:b/>
                <w:bCs/>
                <w:color w:val="000000"/>
                <w:sz w:val="22"/>
                <w:szCs w:val="22"/>
              </w:rPr>
            </w:pPr>
            <w:r w:rsidRPr="00D520E5">
              <w:rPr>
                <w:b/>
                <w:bCs/>
                <w:color w:val="000000"/>
                <w:sz w:val="22"/>
                <w:szCs w:val="22"/>
              </w:rPr>
              <w:t>Decrease in Consumer Surplus (Mixed Logit Model: $30.2</w:t>
            </w:r>
            <w:r>
              <w:rPr>
                <w:b/>
                <w:bCs/>
                <w:color w:val="000000"/>
                <w:sz w:val="22"/>
                <w:szCs w:val="22"/>
              </w:rPr>
              <w:t>9</w:t>
            </w:r>
            <w:r w:rsidRPr="00D520E5">
              <w:rPr>
                <w:b/>
                <w:bCs/>
                <w:color w:val="000000"/>
                <w:sz w:val="22"/>
                <w:szCs w:val="22"/>
              </w:rPr>
              <w:t xml:space="preserve"> per fish)</w:t>
            </w:r>
          </w:p>
        </w:tc>
      </w:tr>
      <w:tr w:rsidR="0065666D" w:rsidRPr="00D520E5" w14:paraId="262846A2" w14:textId="77777777" w:rsidTr="0065666D">
        <w:trPr>
          <w:trHeight w:val="296"/>
        </w:trPr>
        <w:tc>
          <w:tcPr>
            <w:tcW w:w="2582" w:type="dxa"/>
            <w:shd w:val="clear" w:color="000000" w:fill="D9D9D9"/>
            <w:noWrap/>
            <w:vAlign w:val="center"/>
            <w:hideMark/>
          </w:tcPr>
          <w:p w14:paraId="1F789F4C" w14:textId="77777777" w:rsidR="0065666D" w:rsidRPr="00D520E5" w:rsidRDefault="0065666D" w:rsidP="0065666D">
            <w:pPr>
              <w:jc w:val="right"/>
              <w:rPr>
                <w:color w:val="000000"/>
                <w:sz w:val="22"/>
                <w:szCs w:val="22"/>
              </w:rPr>
            </w:pPr>
            <w:r w:rsidRPr="00D520E5">
              <w:rPr>
                <w:color w:val="000000"/>
                <w:sz w:val="22"/>
                <w:szCs w:val="22"/>
              </w:rPr>
              <w:t>Alternative 1 (</w:t>
            </w:r>
            <w:r>
              <w:rPr>
                <w:color w:val="000000"/>
                <w:sz w:val="22"/>
                <w:szCs w:val="22"/>
              </w:rPr>
              <w:t>No Action</w:t>
            </w:r>
            <w:r w:rsidRPr="00D520E5">
              <w:rPr>
                <w:color w:val="000000"/>
                <w:sz w:val="22"/>
                <w:szCs w:val="22"/>
              </w:rPr>
              <w:t>)</w:t>
            </w:r>
          </w:p>
        </w:tc>
        <w:tc>
          <w:tcPr>
            <w:tcW w:w="1008" w:type="dxa"/>
            <w:shd w:val="clear" w:color="auto" w:fill="auto"/>
            <w:noWrap/>
            <w:vAlign w:val="center"/>
            <w:hideMark/>
          </w:tcPr>
          <w:p w14:paraId="7183FC8D" w14:textId="77777777" w:rsidR="0065666D" w:rsidRPr="00D520E5" w:rsidRDefault="0065666D" w:rsidP="0065666D">
            <w:pPr>
              <w:jc w:val="center"/>
              <w:rPr>
                <w:color w:val="000000"/>
                <w:sz w:val="22"/>
                <w:szCs w:val="22"/>
              </w:rPr>
            </w:pPr>
            <w:r w:rsidRPr="00D520E5">
              <w:rPr>
                <w:color w:val="000000"/>
                <w:sz w:val="22"/>
                <w:szCs w:val="22"/>
              </w:rPr>
              <w:t>16” TL</w:t>
            </w:r>
          </w:p>
        </w:tc>
        <w:tc>
          <w:tcPr>
            <w:tcW w:w="1414" w:type="dxa"/>
            <w:shd w:val="clear" w:color="auto" w:fill="auto"/>
            <w:noWrap/>
            <w:vAlign w:val="center"/>
            <w:hideMark/>
          </w:tcPr>
          <w:p w14:paraId="6F7C942C" w14:textId="77777777" w:rsidR="0065666D" w:rsidRPr="00D520E5" w:rsidRDefault="0065666D" w:rsidP="0065666D">
            <w:pPr>
              <w:jc w:val="center"/>
              <w:rPr>
                <w:color w:val="000000"/>
                <w:sz w:val="22"/>
                <w:szCs w:val="22"/>
              </w:rPr>
            </w:pPr>
            <w:r w:rsidRPr="00D520E5">
              <w:rPr>
                <w:color w:val="000000"/>
                <w:sz w:val="22"/>
                <w:szCs w:val="22"/>
              </w:rPr>
              <w:t>111,966</w:t>
            </w:r>
          </w:p>
        </w:tc>
        <w:tc>
          <w:tcPr>
            <w:tcW w:w="1440" w:type="dxa"/>
          </w:tcPr>
          <w:p w14:paraId="194D4C01" w14:textId="77777777" w:rsidR="0065666D" w:rsidRPr="00D520E5" w:rsidRDefault="0065666D" w:rsidP="0065666D">
            <w:pPr>
              <w:jc w:val="right"/>
              <w:rPr>
                <w:color w:val="000000"/>
                <w:sz w:val="22"/>
                <w:szCs w:val="22"/>
              </w:rPr>
            </w:pPr>
            <w:r w:rsidRPr="00D520E5">
              <w:rPr>
                <w:color w:val="000000"/>
                <w:sz w:val="22"/>
                <w:szCs w:val="22"/>
              </w:rPr>
              <w:t>0</w:t>
            </w:r>
          </w:p>
        </w:tc>
        <w:tc>
          <w:tcPr>
            <w:tcW w:w="1967" w:type="dxa"/>
            <w:shd w:val="clear" w:color="auto" w:fill="auto"/>
            <w:vAlign w:val="center"/>
            <w:hideMark/>
          </w:tcPr>
          <w:p w14:paraId="45698B1E" w14:textId="77777777" w:rsidR="0065666D" w:rsidRPr="00D520E5" w:rsidRDefault="0065666D" w:rsidP="0065666D">
            <w:pPr>
              <w:jc w:val="right"/>
              <w:rPr>
                <w:color w:val="000000"/>
                <w:sz w:val="22"/>
                <w:szCs w:val="22"/>
              </w:rPr>
            </w:pPr>
            <w:r w:rsidRPr="00D520E5">
              <w:rPr>
                <w:color w:val="000000"/>
                <w:sz w:val="22"/>
                <w:szCs w:val="22"/>
              </w:rPr>
              <w:t>$0</w:t>
            </w:r>
          </w:p>
        </w:tc>
        <w:tc>
          <w:tcPr>
            <w:tcW w:w="2070" w:type="dxa"/>
            <w:shd w:val="clear" w:color="auto" w:fill="auto"/>
            <w:vAlign w:val="center"/>
            <w:hideMark/>
          </w:tcPr>
          <w:p w14:paraId="7D0AE60C" w14:textId="77777777" w:rsidR="0065666D" w:rsidRPr="00D520E5" w:rsidRDefault="0065666D" w:rsidP="0065666D">
            <w:pPr>
              <w:jc w:val="right"/>
              <w:rPr>
                <w:color w:val="000000"/>
                <w:sz w:val="22"/>
                <w:szCs w:val="22"/>
              </w:rPr>
            </w:pPr>
            <w:r w:rsidRPr="00D520E5">
              <w:rPr>
                <w:color w:val="000000"/>
                <w:sz w:val="22"/>
                <w:szCs w:val="22"/>
              </w:rPr>
              <w:t>$0</w:t>
            </w:r>
          </w:p>
        </w:tc>
      </w:tr>
      <w:tr w:rsidR="0065666D" w:rsidRPr="00D520E5" w14:paraId="45B4EA0A" w14:textId="77777777" w:rsidTr="0065666D">
        <w:trPr>
          <w:trHeight w:val="144"/>
        </w:trPr>
        <w:tc>
          <w:tcPr>
            <w:tcW w:w="2582" w:type="dxa"/>
            <w:shd w:val="clear" w:color="000000" w:fill="D9D9D9"/>
            <w:noWrap/>
            <w:vAlign w:val="center"/>
            <w:hideMark/>
          </w:tcPr>
          <w:p w14:paraId="722A7A75" w14:textId="77777777" w:rsidR="0065666D" w:rsidRPr="00D520E5" w:rsidRDefault="0065666D" w:rsidP="0065666D">
            <w:pPr>
              <w:jc w:val="right"/>
              <w:rPr>
                <w:color w:val="000000"/>
                <w:sz w:val="22"/>
                <w:szCs w:val="22"/>
              </w:rPr>
            </w:pPr>
            <w:r w:rsidRPr="00D520E5">
              <w:rPr>
                <w:color w:val="000000"/>
                <w:sz w:val="22"/>
                <w:szCs w:val="22"/>
              </w:rPr>
              <w:t>Alternative 2</w:t>
            </w:r>
          </w:p>
        </w:tc>
        <w:tc>
          <w:tcPr>
            <w:tcW w:w="1008" w:type="dxa"/>
            <w:shd w:val="clear" w:color="auto" w:fill="auto"/>
            <w:noWrap/>
            <w:vAlign w:val="center"/>
            <w:hideMark/>
          </w:tcPr>
          <w:p w14:paraId="62A8D0E4" w14:textId="77777777" w:rsidR="0065666D" w:rsidRPr="00D520E5" w:rsidRDefault="0065666D" w:rsidP="0065666D">
            <w:pPr>
              <w:jc w:val="center"/>
              <w:rPr>
                <w:bCs/>
                <w:color w:val="000000"/>
                <w:sz w:val="22"/>
                <w:szCs w:val="22"/>
              </w:rPr>
            </w:pPr>
            <w:r w:rsidRPr="00D520E5">
              <w:rPr>
                <w:bCs/>
                <w:color w:val="000000"/>
                <w:sz w:val="22"/>
                <w:szCs w:val="22"/>
              </w:rPr>
              <w:t>17” TL</w:t>
            </w:r>
          </w:p>
        </w:tc>
        <w:tc>
          <w:tcPr>
            <w:tcW w:w="1414" w:type="dxa"/>
            <w:shd w:val="clear" w:color="auto" w:fill="auto"/>
            <w:noWrap/>
            <w:vAlign w:val="center"/>
            <w:hideMark/>
          </w:tcPr>
          <w:p w14:paraId="0162945F" w14:textId="77777777" w:rsidR="0065666D" w:rsidRPr="00D520E5" w:rsidRDefault="0065666D" w:rsidP="0065666D">
            <w:pPr>
              <w:jc w:val="center"/>
              <w:rPr>
                <w:color w:val="000000"/>
                <w:sz w:val="22"/>
                <w:szCs w:val="22"/>
              </w:rPr>
            </w:pPr>
            <w:r w:rsidRPr="00D520E5">
              <w:rPr>
                <w:color w:val="000000"/>
                <w:sz w:val="22"/>
                <w:szCs w:val="22"/>
              </w:rPr>
              <w:t>56,284</w:t>
            </w:r>
          </w:p>
        </w:tc>
        <w:tc>
          <w:tcPr>
            <w:tcW w:w="1440" w:type="dxa"/>
            <w:vAlign w:val="center"/>
          </w:tcPr>
          <w:p w14:paraId="3DE2B650" w14:textId="77777777" w:rsidR="0065666D" w:rsidRPr="00D520E5" w:rsidDel="00FE1979" w:rsidRDefault="0065666D" w:rsidP="0065666D">
            <w:pPr>
              <w:jc w:val="right"/>
              <w:rPr>
                <w:color w:val="000000"/>
                <w:sz w:val="22"/>
                <w:szCs w:val="22"/>
              </w:rPr>
            </w:pPr>
            <w:r w:rsidRPr="00D520E5">
              <w:rPr>
                <w:color w:val="000000"/>
                <w:sz w:val="22"/>
                <w:szCs w:val="22"/>
              </w:rPr>
              <w:t>55,682</w:t>
            </w:r>
          </w:p>
        </w:tc>
        <w:tc>
          <w:tcPr>
            <w:tcW w:w="1967" w:type="dxa"/>
            <w:shd w:val="clear" w:color="auto" w:fill="auto"/>
            <w:vAlign w:val="center"/>
            <w:hideMark/>
          </w:tcPr>
          <w:p w14:paraId="3D78DE93" w14:textId="77777777" w:rsidR="0065666D" w:rsidRPr="00C63E21" w:rsidRDefault="0065666D" w:rsidP="0065666D">
            <w:pPr>
              <w:jc w:val="right"/>
              <w:rPr>
                <w:color w:val="000000" w:themeColor="text1"/>
                <w:sz w:val="22"/>
                <w:szCs w:val="22"/>
              </w:rPr>
            </w:pPr>
            <w:r>
              <w:rPr>
                <w:color w:val="000000"/>
                <w:sz w:val="22"/>
                <w:szCs w:val="22"/>
              </w:rPr>
              <w:t>$689,343</w:t>
            </w:r>
          </w:p>
        </w:tc>
        <w:tc>
          <w:tcPr>
            <w:tcW w:w="2070" w:type="dxa"/>
            <w:shd w:val="clear" w:color="auto" w:fill="auto"/>
            <w:vAlign w:val="center"/>
            <w:hideMark/>
          </w:tcPr>
          <w:p w14:paraId="60FF8597" w14:textId="77777777" w:rsidR="0065666D" w:rsidRPr="00C63E21" w:rsidRDefault="0065666D" w:rsidP="0065666D">
            <w:pPr>
              <w:jc w:val="right"/>
              <w:rPr>
                <w:color w:val="000000" w:themeColor="text1"/>
                <w:sz w:val="22"/>
                <w:szCs w:val="22"/>
              </w:rPr>
            </w:pPr>
            <w:r>
              <w:rPr>
                <w:color w:val="000000"/>
                <w:sz w:val="22"/>
                <w:szCs w:val="22"/>
              </w:rPr>
              <w:t>$1,686,608</w:t>
            </w:r>
          </w:p>
        </w:tc>
      </w:tr>
      <w:tr w:rsidR="0065666D" w:rsidRPr="00D520E5" w14:paraId="7AB9B310" w14:textId="77777777" w:rsidTr="0065666D">
        <w:trPr>
          <w:trHeight w:val="144"/>
        </w:trPr>
        <w:tc>
          <w:tcPr>
            <w:tcW w:w="2582" w:type="dxa"/>
            <w:shd w:val="clear" w:color="000000" w:fill="D9D9D9"/>
            <w:noWrap/>
            <w:vAlign w:val="center"/>
            <w:hideMark/>
          </w:tcPr>
          <w:p w14:paraId="488368F5" w14:textId="77777777" w:rsidR="0065666D" w:rsidRPr="00903F6E" w:rsidRDefault="0065666D" w:rsidP="0065666D">
            <w:pPr>
              <w:jc w:val="right"/>
              <w:rPr>
                <w:b/>
                <w:color w:val="000000"/>
                <w:sz w:val="22"/>
                <w:szCs w:val="22"/>
              </w:rPr>
            </w:pPr>
            <w:r>
              <w:rPr>
                <w:b/>
                <w:color w:val="000000"/>
                <w:sz w:val="22"/>
                <w:szCs w:val="22"/>
              </w:rPr>
              <w:t xml:space="preserve"> Preferred </w:t>
            </w:r>
            <w:r w:rsidRPr="00903F6E">
              <w:rPr>
                <w:b/>
                <w:color w:val="000000"/>
                <w:sz w:val="22"/>
                <w:szCs w:val="22"/>
              </w:rPr>
              <w:t>Alternative 3</w:t>
            </w:r>
          </w:p>
        </w:tc>
        <w:tc>
          <w:tcPr>
            <w:tcW w:w="1008" w:type="dxa"/>
            <w:shd w:val="clear" w:color="auto" w:fill="auto"/>
            <w:noWrap/>
            <w:vAlign w:val="center"/>
            <w:hideMark/>
          </w:tcPr>
          <w:p w14:paraId="745E6B59" w14:textId="77777777" w:rsidR="0065666D" w:rsidRPr="002B47A0" w:rsidRDefault="0065666D" w:rsidP="0065666D">
            <w:pPr>
              <w:jc w:val="center"/>
              <w:rPr>
                <w:b/>
                <w:color w:val="000000"/>
                <w:sz w:val="22"/>
                <w:szCs w:val="22"/>
              </w:rPr>
            </w:pPr>
            <w:r w:rsidRPr="002B47A0">
              <w:rPr>
                <w:b/>
                <w:color w:val="000000"/>
                <w:sz w:val="22"/>
                <w:szCs w:val="22"/>
              </w:rPr>
              <w:t>18” TL</w:t>
            </w:r>
          </w:p>
        </w:tc>
        <w:tc>
          <w:tcPr>
            <w:tcW w:w="1414" w:type="dxa"/>
            <w:shd w:val="clear" w:color="auto" w:fill="auto"/>
            <w:noWrap/>
            <w:vAlign w:val="center"/>
            <w:hideMark/>
          </w:tcPr>
          <w:p w14:paraId="65492832" w14:textId="77777777" w:rsidR="0065666D" w:rsidRPr="00903F6E" w:rsidRDefault="0065666D" w:rsidP="0065666D">
            <w:pPr>
              <w:jc w:val="center"/>
              <w:rPr>
                <w:b/>
                <w:bCs/>
                <w:color w:val="000000"/>
                <w:sz w:val="22"/>
                <w:szCs w:val="22"/>
              </w:rPr>
            </w:pPr>
            <w:r w:rsidRPr="00C85AF9">
              <w:rPr>
                <w:b/>
                <w:bCs/>
                <w:color w:val="000000"/>
                <w:sz w:val="22"/>
                <w:szCs w:val="22"/>
              </w:rPr>
              <w:t>50,597</w:t>
            </w:r>
          </w:p>
        </w:tc>
        <w:tc>
          <w:tcPr>
            <w:tcW w:w="1440" w:type="dxa"/>
            <w:vAlign w:val="center"/>
          </w:tcPr>
          <w:p w14:paraId="4297F189" w14:textId="77777777" w:rsidR="0065666D" w:rsidRPr="00903F6E" w:rsidDel="00FE1979" w:rsidRDefault="0065666D" w:rsidP="0065666D">
            <w:pPr>
              <w:jc w:val="right"/>
              <w:rPr>
                <w:b/>
                <w:color w:val="000000"/>
                <w:sz w:val="22"/>
                <w:szCs w:val="22"/>
              </w:rPr>
            </w:pPr>
            <w:r w:rsidRPr="000D7172">
              <w:rPr>
                <w:b/>
                <w:color w:val="000000"/>
                <w:sz w:val="22"/>
                <w:szCs w:val="22"/>
              </w:rPr>
              <w:t>61,369</w:t>
            </w:r>
          </w:p>
        </w:tc>
        <w:tc>
          <w:tcPr>
            <w:tcW w:w="1967" w:type="dxa"/>
            <w:shd w:val="clear" w:color="auto" w:fill="auto"/>
            <w:vAlign w:val="center"/>
            <w:hideMark/>
          </w:tcPr>
          <w:p w14:paraId="5A19F9C6" w14:textId="77777777" w:rsidR="0065666D" w:rsidRPr="00903F6E" w:rsidRDefault="0065666D" w:rsidP="0065666D">
            <w:pPr>
              <w:jc w:val="right"/>
              <w:rPr>
                <w:b/>
                <w:color w:val="000000" w:themeColor="text1"/>
                <w:sz w:val="22"/>
                <w:szCs w:val="22"/>
              </w:rPr>
            </w:pPr>
            <w:r w:rsidRPr="000D7172">
              <w:rPr>
                <w:b/>
                <w:color w:val="000000"/>
                <w:sz w:val="22"/>
                <w:szCs w:val="22"/>
              </w:rPr>
              <w:t>$759,748</w:t>
            </w:r>
          </w:p>
        </w:tc>
        <w:tc>
          <w:tcPr>
            <w:tcW w:w="2070" w:type="dxa"/>
            <w:shd w:val="clear" w:color="auto" w:fill="auto"/>
            <w:vAlign w:val="center"/>
            <w:hideMark/>
          </w:tcPr>
          <w:p w14:paraId="318FF513" w14:textId="77777777" w:rsidR="0065666D" w:rsidRPr="00903F6E" w:rsidRDefault="0065666D" w:rsidP="0065666D">
            <w:pPr>
              <w:jc w:val="right"/>
              <w:rPr>
                <w:b/>
                <w:color w:val="000000" w:themeColor="text1"/>
                <w:sz w:val="22"/>
                <w:szCs w:val="22"/>
              </w:rPr>
            </w:pPr>
            <w:r w:rsidRPr="000D7172">
              <w:rPr>
                <w:b/>
                <w:color w:val="000000"/>
                <w:sz w:val="22"/>
                <w:szCs w:val="22"/>
              </w:rPr>
              <w:t>$1,858,867</w:t>
            </w:r>
          </w:p>
        </w:tc>
      </w:tr>
      <w:tr w:rsidR="0065666D" w:rsidRPr="00D520E5" w14:paraId="2B7CBC98" w14:textId="77777777" w:rsidTr="0065666D">
        <w:trPr>
          <w:trHeight w:val="144"/>
        </w:trPr>
        <w:tc>
          <w:tcPr>
            <w:tcW w:w="2582" w:type="dxa"/>
            <w:shd w:val="clear" w:color="000000" w:fill="D9D9D9"/>
            <w:noWrap/>
            <w:vAlign w:val="center"/>
            <w:hideMark/>
          </w:tcPr>
          <w:p w14:paraId="411772DC" w14:textId="77777777" w:rsidR="0065666D" w:rsidRPr="00D520E5" w:rsidRDefault="0065666D" w:rsidP="0065666D">
            <w:pPr>
              <w:jc w:val="right"/>
              <w:rPr>
                <w:color w:val="000000"/>
                <w:sz w:val="22"/>
                <w:szCs w:val="22"/>
              </w:rPr>
            </w:pPr>
            <w:r w:rsidRPr="00D520E5">
              <w:rPr>
                <w:color w:val="000000"/>
                <w:sz w:val="22"/>
                <w:szCs w:val="22"/>
              </w:rPr>
              <w:t>Alternative 4</w:t>
            </w:r>
          </w:p>
        </w:tc>
        <w:tc>
          <w:tcPr>
            <w:tcW w:w="1008" w:type="dxa"/>
            <w:shd w:val="clear" w:color="auto" w:fill="auto"/>
            <w:noWrap/>
            <w:vAlign w:val="center"/>
            <w:hideMark/>
          </w:tcPr>
          <w:p w14:paraId="3B9E3A1D" w14:textId="77777777" w:rsidR="0065666D" w:rsidRPr="00D520E5" w:rsidRDefault="0065666D" w:rsidP="0065666D">
            <w:pPr>
              <w:jc w:val="center"/>
              <w:rPr>
                <w:color w:val="000000"/>
                <w:sz w:val="22"/>
                <w:szCs w:val="22"/>
              </w:rPr>
            </w:pPr>
            <w:r w:rsidRPr="00D520E5">
              <w:rPr>
                <w:color w:val="000000"/>
                <w:sz w:val="22"/>
                <w:szCs w:val="22"/>
              </w:rPr>
              <w:t>19” TL</w:t>
            </w:r>
          </w:p>
        </w:tc>
        <w:tc>
          <w:tcPr>
            <w:tcW w:w="1414" w:type="dxa"/>
            <w:shd w:val="clear" w:color="auto" w:fill="auto"/>
            <w:noWrap/>
            <w:vAlign w:val="center"/>
            <w:hideMark/>
          </w:tcPr>
          <w:p w14:paraId="40283C5B" w14:textId="77777777" w:rsidR="0065666D" w:rsidRPr="00D520E5" w:rsidRDefault="0065666D" w:rsidP="0065666D">
            <w:pPr>
              <w:jc w:val="center"/>
              <w:rPr>
                <w:color w:val="000000"/>
                <w:sz w:val="22"/>
                <w:szCs w:val="22"/>
              </w:rPr>
            </w:pPr>
            <w:r>
              <w:rPr>
                <w:color w:val="000000"/>
                <w:sz w:val="22"/>
                <w:szCs w:val="22"/>
              </w:rPr>
              <w:t>46,907</w:t>
            </w:r>
          </w:p>
        </w:tc>
        <w:tc>
          <w:tcPr>
            <w:tcW w:w="1440" w:type="dxa"/>
            <w:vAlign w:val="center"/>
          </w:tcPr>
          <w:p w14:paraId="62A05662" w14:textId="77777777" w:rsidR="0065666D" w:rsidRPr="00D520E5" w:rsidDel="00FE1979" w:rsidRDefault="0065666D" w:rsidP="0065666D">
            <w:pPr>
              <w:jc w:val="right"/>
              <w:rPr>
                <w:color w:val="000000"/>
                <w:sz w:val="22"/>
                <w:szCs w:val="22"/>
              </w:rPr>
            </w:pPr>
            <w:r>
              <w:rPr>
                <w:color w:val="000000"/>
                <w:sz w:val="22"/>
                <w:szCs w:val="22"/>
              </w:rPr>
              <w:t>65,059</w:t>
            </w:r>
          </w:p>
        </w:tc>
        <w:tc>
          <w:tcPr>
            <w:tcW w:w="1967" w:type="dxa"/>
            <w:shd w:val="clear" w:color="auto" w:fill="auto"/>
            <w:vAlign w:val="center"/>
            <w:hideMark/>
          </w:tcPr>
          <w:p w14:paraId="3C1ED9F3" w14:textId="77777777" w:rsidR="0065666D" w:rsidRPr="00C63E21" w:rsidRDefault="0065666D" w:rsidP="0065666D">
            <w:pPr>
              <w:jc w:val="right"/>
              <w:rPr>
                <w:color w:val="000000" w:themeColor="text1"/>
                <w:sz w:val="22"/>
                <w:szCs w:val="22"/>
              </w:rPr>
            </w:pPr>
            <w:r>
              <w:rPr>
                <w:color w:val="000000"/>
                <w:sz w:val="22"/>
                <w:szCs w:val="22"/>
              </w:rPr>
              <w:t>$805,430</w:t>
            </w:r>
          </w:p>
        </w:tc>
        <w:tc>
          <w:tcPr>
            <w:tcW w:w="2070" w:type="dxa"/>
            <w:shd w:val="clear" w:color="auto" w:fill="auto"/>
            <w:vAlign w:val="center"/>
            <w:hideMark/>
          </w:tcPr>
          <w:p w14:paraId="069C0BC8" w14:textId="77777777" w:rsidR="0065666D" w:rsidRPr="00C63E21" w:rsidRDefault="0065666D" w:rsidP="0065666D">
            <w:pPr>
              <w:jc w:val="right"/>
              <w:rPr>
                <w:color w:val="000000" w:themeColor="text1"/>
                <w:sz w:val="22"/>
                <w:szCs w:val="22"/>
              </w:rPr>
            </w:pPr>
            <w:r>
              <w:rPr>
                <w:color w:val="000000"/>
                <w:sz w:val="22"/>
                <w:szCs w:val="22"/>
              </w:rPr>
              <w:t>$1,970,637</w:t>
            </w:r>
          </w:p>
        </w:tc>
      </w:tr>
      <w:tr w:rsidR="0065666D" w:rsidRPr="00D520E5" w14:paraId="4582A6E3" w14:textId="77777777" w:rsidTr="0065666D">
        <w:trPr>
          <w:trHeight w:val="144"/>
        </w:trPr>
        <w:tc>
          <w:tcPr>
            <w:tcW w:w="2582" w:type="dxa"/>
            <w:shd w:val="clear" w:color="000000" w:fill="D9D9D9"/>
            <w:noWrap/>
            <w:vAlign w:val="center"/>
            <w:hideMark/>
          </w:tcPr>
          <w:p w14:paraId="6B5BCAE3" w14:textId="77777777" w:rsidR="0065666D" w:rsidRPr="00D520E5" w:rsidRDefault="0065666D" w:rsidP="0065666D">
            <w:pPr>
              <w:jc w:val="right"/>
              <w:rPr>
                <w:color w:val="000000"/>
                <w:sz w:val="22"/>
                <w:szCs w:val="22"/>
              </w:rPr>
            </w:pPr>
            <w:r w:rsidRPr="00D520E5">
              <w:rPr>
                <w:color w:val="000000"/>
                <w:sz w:val="22"/>
                <w:szCs w:val="22"/>
              </w:rPr>
              <w:t>Alternative 5</w:t>
            </w:r>
          </w:p>
        </w:tc>
        <w:tc>
          <w:tcPr>
            <w:tcW w:w="1008" w:type="dxa"/>
            <w:shd w:val="clear" w:color="auto" w:fill="auto"/>
            <w:noWrap/>
            <w:vAlign w:val="center"/>
            <w:hideMark/>
          </w:tcPr>
          <w:p w14:paraId="3B836518" w14:textId="77777777" w:rsidR="0065666D" w:rsidRPr="00D520E5" w:rsidRDefault="0065666D" w:rsidP="0065666D">
            <w:pPr>
              <w:jc w:val="center"/>
              <w:rPr>
                <w:color w:val="000000"/>
                <w:sz w:val="22"/>
                <w:szCs w:val="22"/>
              </w:rPr>
            </w:pPr>
            <w:r w:rsidRPr="00D520E5">
              <w:rPr>
                <w:color w:val="000000"/>
                <w:sz w:val="22"/>
                <w:szCs w:val="22"/>
              </w:rPr>
              <w:t>20” TL</w:t>
            </w:r>
          </w:p>
        </w:tc>
        <w:tc>
          <w:tcPr>
            <w:tcW w:w="1414" w:type="dxa"/>
            <w:shd w:val="clear" w:color="auto" w:fill="auto"/>
            <w:noWrap/>
            <w:vAlign w:val="center"/>
            <w:hideMark/>
          </w:tcPr>
          <w:p w14:paraId="3ACA22A9" w14:textId="77777777" w:rsidR="0065666D" w:rsidRPr="00D520E5" w:rsidRDefault="0065666D" w:rsidP="0065666D">
            <w:pPr>
              <w:jc w:val="center"/>
              <w:rPr>
                <w:color w:val="000000"/>
                <w:sz w:val="22"/>
                <w:szCs w:val="22"/>
              </w:rPr>
            </w:pPr>
            <w:r>
              <w:rPr>
                <w:color w:val="000000"/>
                <w:sz w:val="22"/>
                <w:szCs w:val="22"/>
              </w:rPr>
              <w:t>44,173</w:t>
            </w:r>
          </w:p>
        </w:tc>
        <w:tc>
          <w:tcPr>
            <w:tcW w:w="1440" w:type="dxa"/>
            <w:vAlign w:val="center"/>
          </w:tcPr>
          <w:p w14:paraId="77A0782B" w14:textId="77777777" w:rsidR="0065666D" w:rsidRPr="00D520E5" w:rsidDel="00FE1979" w:rsidRDefault="0065666D" w:rsidP="0065666D">
            <w:pPr>
              <w:jc w:val="right"/>
              <w:rPr>
                <w:color w:val="000000"/>
                <w:sz w:val="22"/>
                <w:szCs w:val="22"/>
              </w:rPr>
            </w:pPr>
            <w:r>
              <w:rPr>
                <w:color w:val="000000"/>
                <w:sz w:val="22"/>
                <w:szCs w:val="22"/>
              </w:rPr>
              <w:t>67,793</w:t>
            </w:r>
          </w:p>
        </w:tc>
        <w:tc>
          <w:tcPr>
            <w:tcW w:w="1967" w:type="dxa"/>
            <w:shd w:val="clear" w:color="auto" w:fill="auto"/>
            <w:vAlign w:val="center"/>
            <w:hideMark/>
          </w:tcPr>
          <w:p w14:paraId="622F1476" w14:textId="77777777" w:rsidR="0065666D" w:rsidRPr="00C63E21" w:rsidRDefault="0065666D" w:rsidP="0065666D">
            <w:pPr>
              <w:jc w:val="right"/>
              <w:rPr>
                <w:color w:val="000000" w:themeColor="text1"/>
                <w:sz w:val="22"/>
                <w:szCs w:val="22"/>
              </w:rPr>
            </w:pPr>
            <w:r>
              <w:rPr>
                <w:color w:val="000000"/>
                <w:sz w:val="22"/>
                <w:szCs w:val="22"/>
              </w:rPr>
              <w:t>$839,277</w:t>
            </w:r>
          </w:p>
        </w:tc>
        <w:tc>
          <w:tcPr>
            <w:tcW w:w="2070" w:type="dxa"/>
            <w:shd w:val="clear" w:color="auto" w:fill="auto"/>
            <w:vAlign w:val="center"/>
            <w:hideMark/>
          </w:tcPr>
          <w:p w14:paraId="4330E309" w14:textId="77777777" w:rsidR="0065666D" w:rsidRPr="00C63E21" w:rsidRDefault="0065666D" w:rsidP="0065666D">
            <w:pPr>
              <w:jc w:val="right"/>
              <w:rPr>
                <w:color w:val="000000" w:themeColor="text1"/>
                <w:sz w:val="22"/>
                <w:szCs w:val="22"/>
              </w:rPr>
            </w:pPr>
            <w:r>
              <w:rPr>
                <w:color w:val="000000"/>
                <w:sz w:val="22"/>
                <w:szCs w:val="22"/>
              </w:rPr>
              <w:t>$2,053,450</w:t>
            </w:r>
          </w:p>
        </w:tc>
      </w:tr>
    </w:tbl>
    <w:p w14:paraId="0F0719A8" w14:textId="77777777" w:rsidR="00A503F0" w:rsidRDefault="00A503F0" w:rsidP="00A503F0"/>
    <w:p w14:paraId="1AA6C302" w14:textId="0B087862" w:rsidR="0065666D" w:rsidRDefault="0065666D" w:rsidP="0065666D">
      <w:pPr>
        <w:ind w:firstLine="360"/>
      </w:pPr>
      <w:r>
        <w:t xml:space="preserve">Increasing the size limit would also affect commercial mutton snapper landings.  </w:t>
      </w:r>
      <w:r w:rsidRPr="00EA66C3">
        <w:rPr>
          <w:b/>
        </w:rPr>
        <w:t>Table 4.5.</w:t>
      </w:r>
      <w:r>
        <w:rPr>
          <w:b/>
        </w:rPr>
        <w:t>4</w:t>
      </w:r>
      <w:r>
        <w:t xml:space="preserve"> shows the expected change in revenue that fishermen receive for mutton snapper based on observed landings in the commercial fishery (</w:t>
      </w:r>
      <w:r w:rsidRPr="00EA66C3">
        <w:rPr>
          <w:b/>
        </w:rPr>
        <w:t>Table 3.1.1</w:t>
      </w:r>
      <w:r>
        <w:rPr>
          <w:b/>
        </w:rPr>
        <w:t>0</w:t>
      </w:r>
      <w:r>
        <w:t xml:space="preserve">) and projected reductions found in </w:t>
      </w:r>
      <w:r w:rsidRPr="00EA66C3">
        <w:rPr>
          <w:b/>
        </w:rPr>
        <w:t>Table 4.5.2</w:t>
      </w:r>
      <w:r>
        <w:t xml:space="preserve">.  Under the alternatives, the expected range of reductions in the ex-vessel value of commercial mutton snapper landings is $0 to $16,462 (2015 dollars).  The expected decrease in ex-vessel value under </w:t>
      </w:r>
      <w:r w:rsidRPr="00EA66C3">
        <w:rPr>
          <w:b/>
        </w:rPr>
        <w:t>Preferred Alternative 3</w:t>
      </w:r>
      <w:r>
        <w:t xml:space="preserve"> is $7,278 (2015 dollars).</w:t>
      </w:r>
    </w:p>
    <w:p w14:paraId="0A93F6AD" w14:textId="77777777" w:rsidR="0065666D" w:rsidRDefault="0065666D" w:rsidP="0065666D">
      <w:pPr>
        <w:ind w:firstLine="360"/>
        <w:rPr>
          <w:b/>
        </w:rPr>
      </w:pPr>
    </w:p>
    <w:p w14:paraId="7685C4D9" w14:textId="77777777" w:rsidR="0065666D" w:rsidRDefault="0065666D">
      <w:pPr>
        <w:rPr>
          <w:rFonts w:ascii="Arial" w:hAnsi="Arial" w:cs="Arial"/>
          <w:b/>
          <w:bCs/>
          <w:sz w:val="20"/>
        </w:rPr>
      </w:pPr>
      <w:r>
        <w:rPr>
          <w:rFonts w:cs="Arial"/>
          <w:b/>
        </w:rPr>
        <w:br w:type="page"/>
      </w:r>
    </w:p>
    <w:p w14:paraId="696B013E" w14:textId="5EFEF83A" w:rsidR="0065666D" w:rsidRPr="008B5B20" w:rsidRDefault="0065666D" w:rsidP="0065666D">
      <w:pPr>
        <w:pStyle w:val="Tabletitle"/>
        <w:rPr>
          <w:rFonts w:cs="Arial"/>
          <w:b/>
        </w:rPr>
      </w:pPr>
      <w:bookmarkStart w:id="260" w:name="_Toc340431584"/>
      <w:r w:rsidRPr="00A503F0">
        <w:rPr>
          <w:rFonts w:cs="Arial"/>
          <w:b/>
        </w:rPr>
        <w:lastRenderedPageBreak/>
        <w:t>Table 4.5.</w:t>
      </w:r>
      <w:r>
        <w:rPr>
          <w:rFonts w:cs="Arial"/>
          <w:b/>
        </w:rPr>
        <w:t>4</w:t>
      </w:r>
      <w:r w:rsidRPr="00A503F0">
        <w:rPr>
          <w:rFonts w:cs="Arial"/>
        </w:rPr>
        <w:t xml:space="preserve">.  Estimated change in </w:t>
      </w:r>
      <w:r>
        <w:rPr>
          <w:rFonts w:cs="Arial"/>
        </w:rPr>
        <w:t xml:space="preserve">the ex-vessel value </w:t>
      </w:r>
      <w:r w:rsidRPr="00A503F0">
        <w:rPr>
          <w:rFonts w:cs="Arial"/>
        </w:rPr>
        <w:t>(201</w:t>
      </w:r>
      <w:r>
        <w:rPr>
          <w:rFonts w:cs="Arial"/>
        </w:rPr>
        <w:t>5</w:t>
      </w:r>
      <w:r w:rsidRPr="00A503F0">
        <w:rPr>
          <w:rFonts w:cs="Arial"/>
        </w:rPr>
        <w:t xml:space="preserve"> </w:t>
      </w:r>
      <w:r>
        <w:rPr>
          <w:rFonts w:cs="Arial"/>
        </w:rPr>
        <w:t>dollars) of commercial</w:t>
      </w:r>
      <w:r w:rsidRPr="00A503F0">
        <w:rPr>
          <w:rFonts w:cs="Arial"/>
        </w:rPr>
        <w:t xml:space="preserve"> mutton snapper</w:t>
      </w:r>
      <w:r>
        <w:rPr>
          <w:rFonts w:cs="Arial"/>
        </w:rPr>
        <w:t xml:space="preserve"> landings</w:t>
      </w:r>
      <w:r w:rsidRPr="00A503F0">
        <w:rPr>
          <w:rFonts w:cs="Arial"/>
        </w:rPr>
        <w:t xml:space="preserve"> in the first year of implementation.</w:t>
      </w:r>
      <w:bookmarkEnd w:id="260"/>
      <w:r w:rsidRPr="00A503F0">
        <w:rPr>
          <w:rFonts w:cs="Arial"/>
        </w:rPr>
        <w:t xml:space="preserve"> </w:t>
      </w:r>
    </w:p>
    <w:tbl>
      <w:tblPr>
        <w:tblW w:w="0" w:type="auto"/>
        <w:tblInd w:w="118" w:type="dxa"/>
        <w:tblLook w:val="04A0" w:firstRow="1" w:lastRow="0" w:firstColumn="1" w:lastColumn="0" w:noHBand="0" w:noVBand="1"/>
      </w:tblPr>
      <w:tblGrid>
        <w:gridCol w:w="2415"/>
        <w:gridCol w:w="1176"/>
        <w:gridCol w:w="3956"/>
      </w:tblGrid>
      <w:tr w:rsidR="0065666D" w14:paraId="7B6224D9" w14:textId="77777777" w:rsidTr="00177DA1">
        <w:trPr>
          <w:trHeight w:val="50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91BA2C8" w14:textId="77777777" w:rsidR="0065666D" w:rsidRPr="00903F6E" w:rsidRDefault="0065666D" w:rsidP="00177DA1">
            <w:pPr>
              <w:jc w:val="center"/>
              <w:rPr>
                <w:b/>
                <w:bCs/>
                <w:color w:val="000000"/>
                <w:sz w:val="22"/>
                <w:szCs w:val="22"/>
              </w:rPr>
            </w:pPr>
            <w:r w:rsidRPr="00903F6E">
              <w:rPr>
                <w:b/>
                <w:bCs/>
                <w:color w:val="000000"/>
                <w:sz w:val="22"/>
                <w:szCs w:val="22"/>
              </w:rPr>
              <w:t>Sub-alternative</w:t>
            </w:r>
          </w:p>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14:paraId="4440A4C7" w14:textId="77777777" w:rsidR="0065666D" w:rsidRPr="00903F6E" w:rsidRDefault="0065666D" w:rsidP="00177DA1">
            <w:pPr>
              <w:jc w:val="center"/>
              <w:rPr>
                <w:b/>
                <w:bCs/>
                <w:color w:val="000000"/>
                <w:sz w:val="22"/>
                <w:szCs w:val="22"/>
              </w:rPr>
            </w:pPr>
            <w:r w:rsidRPr="00903F6E">
              <w:rPr>
                <w:b/>
                <w:bCs/>
                <w:color w:val="000000"/>
                <w:sz w:val="22"/>
                <w:szCs w:val="22"/>
              </w:rPr>
              <w:t>Size Limit</w:t>
            </w:r>
          </w:p>
        </w:tc>
        <w:tc>
          <w:tcPr>
            <w:tcW w:w="0" w:type="auto"/>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14:paraId="7EFE4320" w14:textId="77777777" w:rsidR="0065666D" w:rsidRPr="000D7172" w:rsidRDefault="0065666D" w:rsidP="00177DA1">
            <w:pPr>
              <w:keepNext/>
              <w:tabs>
                <w:tab w:val="left" w:pos="0"/>
              </w:tabs>
              <w:spacing w:before="240" w:after="60"/>
              <w:jc w:val="center"/>
              <w:outlineLvl w:val="1"/>
              <w:rPr>
                <w:b/>
                <w:bCs/>
                <w:color w:val="000000"/>
                <w:sz w:val="22"/>
                <w:szCs w:val="22"/>
              </w:rPr>
            </w:pPr>
            <w:r w:rsidRPr="000D7172">
              <w:rPr>
                <w:b/>
                <w:bCs/>
                <w:color w:val="000000"/>
                <w:sz w:val="22"/>
                <w:szCs w:val="22"/>
              </w:rPr>
              <w:t>Estimated Reduction in Ex-vessel Value</w:t>
            </w:r>
          </w:p>
        </w:tc>
      </w:tr>
      <w:tr w:rsidR="0065666D" w14:paraId="23CEAAFC" w14:textId="77777777" w:rsidTr="00177DA1">
        <w:trPr>
          <w:trHeight w:val="340"/>
        </w:trPr>
        <w:tc>
          <w:tcPr>
            <w:tcW w:w="0" w:type="auto"/>
            <w:tcBorders>
              <w:top w:val="nil"/>
              <w:left w:val="single" w:sz="8" w:space="0" w:color="auto"/>
              <w:bottom w:val="single" w:sz="8" w:space="0" w:color="auto"/>
              <w:right w:val="single" w:sz="8" w:space="0" w:color="auto"/>
            </w:tcBorders>
            <w:shd w:val="clear" w:color="000000" w:fill="auto"/>
            <w:noWrap/>
            <w:vAlign w:val="center"/>
            <w:hideMark/>
          </w:tcPr>
          <w:p w14:paraId="7F2C8D58" w14:textId="77777777" w:rsidR="0065666D" w:rsidRPr="00903F6E" w:rsidRDefault="0065666D" w:rsidP="00177DA1">
            <w:pPr>
              <w:jc w:val="center"/>
              <w:rPr>
                <w:color w:val="000000"/>
                <w:sz w:val="22"/>
                <w:szCs w:val="22"/>
              </w:rPr>
            </w:pPr>
            <w:r w:rsidRPr="00903F6E">
              <w:rPr>
                <w:color w:val="000000"/>
                <w:sz w:val="22"/>
                <w:szCs w:val="22"/>
              </w:rPr>
              <w:t>Alternative 1</w:t>
            </w:r>
          </w:p>
        </w:tc>
        <w:tc>
          <w:tcPr>
            <w:tcW w:w="0" w:type="auto"/>
            <w:tcBorders>
              <w:top w:val="nil"/>
              <w:left w:val="nil"/>
              <w:bottom w:val="single" w:sz="8" w:space="0" w:color="auto"/>
              <w:right w:val="single" w:sz="8" w:space="0" w:color="auto"/>
            </w:tcBorders>
            <w:shd w:val="clear" w:color="auto" w:fill="auto"/>
            <w:noWrap/>
            <w:vAlign w:val="center"/>
            <w:hideMark/>
          </w:tcPr>
          <w:p w14:paraId="6B375430" w14:textId="6E3911BA" w:rsidR="0065666D" w:rsidRPr="00903F6E" w:rsidRDefault="00177DA1" w:rsidP="00177DA1">
            <w:pPr>
              <w:jc w:val="center"/>
              <w:rPr>
                <w:color w:val="000000"/>
                <w:sz w:val="22"/>
                <w:szCs w:val="22"/>
              </w:rPr>
            </w:pPr>
            <w:r>
              <w:rPr>
                <w:color w:val="000000"/>
                <w:sz w:val="22"/>
                <w:szCs w:val="22"/>
              </w:rPr>
              <w:t>16” T</w:t>
            </w:r>
            <w:r w:rsidR="0065666D" w:rsidRPr="00903F6E">
              <w:rPr>
                <w:color w:val="000000"/>
                <w:sz w:val="22"/>
                <w:szCs w:val="22"/>
              </w:rPr>
              <w:t>L</w:t>
            </w:r>
          </w:p>
        </w:tc>
        <w:tc>
          <w:tcPr>
            <w:tcW w:w="0" w:type="auto"/>
            <w:tcBorders>
              <w:top w:val="nil"/>
              <w:left w:val="nil"/>
              <w:bottom w:val="single" w:sz="8" w:space="0" w:color="auto"/>
              <w:right w:val="single" w:sz="8" w:space="0" w:color="auto"/>
            </w:tcBorders>
            <w:shd w:val="clear" w:color="auto" w:fill="auto"/>
            <w:noWrap/>
            <w:vAlign w:val="center"/>
            <w:hideMark/>
          </w:tcPr>
          <w:p w14:paraId="44A5B2F1" w14:textId="77777777" w:rsidR="0065666D" w:rsidRPr="000D7172" w:rsidRDefault="0065666D" w:rsidP="00177DA1">
            <w:pPr>
              <w:keepNext/>
              <w:tabs>
                <w:tab w:val="left" w:pos="0"/>
              </w:tabs>
              <w:spacing w:before="240" w:after="60"/>
              <w:jc w:val="center"/>
              <w:outlineLvl w:val="1"/>
              <w:rPr>
                <w:color w:val="000000"/>
                <w:sz w:val="22"/>
                <w:szCs w:val="22"/>
              </w:rPr>
            </w:pPr>
            <w:r w:rsidRPr="000D7172">
              <w:rPr>
                <w:color w:val="000000"/>
                <w:sz w:val="22"/>
                <w:szCs w:val="22"/>
              </w:rPr>
              <w:t>0</w:t>
            </w:r>
          </w:p>
        </w:tc>
      </w:tr>
      <w:tr w:rsidR="0065666D" w14:paraId="0DE0FC93" w14:textId="77777777" w:rsidTr="00177DA1">
        <w:trPr>
          <w:trHeight w:val="340"/>
        </w:trPr>
        <w:tc>
          <w:tcPr>
            <w:tcW w:w="0" w:type="auto"/>
            <w:tcBorders>
              <w:top w:val="nil"/>
              <w:left w:val="single" w:sz="8" w:space="0" w:color="auto"/>
              <w:bottom w:val="single" w:sz="8" w:space="0" w:color="auto"/>
              <w:right w:val="single" w:sz="8" w:space="0" w:color="auto"/>
            </w:tcBorders>
            <w:shd w:val="clear" w:color="000000" w:fill="auto"/>
            <w:noWrap/>
            <w:vAlign w:val="center"/>
            <w:hideMark/>
          </w:tcPr>
          <w:p w14:paraId="4A823A72" w14:textId="77777777" w:rsidR="0065666D" w:rsidRPr="00903F6E" w:rsidRDefault="0065666D" w:rsidP="00177DA1">
            <w:pPr>
              <w:jc w:val="center"/>
              <w:rPr>
                <w:color w:val="000000"/>
                <w:sz w:val="22"/>
                <w:szCs w:val="22"/>
              </w:rPr>
            </w:pPr>
            <w:r w:rsidRPr="00903F6E">
              <w:rPr>
                <w:color w:val="000000"/>
                <w:sz w:val="22"/>
                <w:szCs w:val="22"/>
              </w:rPr>
              <w:t>Alternative 2</w:t>
            </w:r>
          </w:p>
        </w:tc>
        <w:tc>
          <w:tcPr>
            <w:tcW w:w="0" w:type="auto"/>
            <w:tcBorders>
              <w:top w:val="nil"/>
              <w:left w:val="nil"/>
              <w:bottom w:val="single" w:sz="8" w:space="0" w:color="auto"/>
              <w:right w:val="single" w:sz="8" w:space="0" w:color="auto"/>
            </w:tcBorders>
            <w:shd w:val="clear" w:color="auto" w:fill="auto"/>
            <w:noWrap/>
            <w:vAlign w:val="center"/>
            <w:hideMark/>
          </w:tcPr>
          <w:p w14:paraId="01090A66" w14:textId="6467C5E3" w:rsidR="0065666D" w:rsidRPr="000D7172" w:rsidRDefault="00177DA1" w:rsidP="00177DA1">
            <w:pPr>
              <w:keepNext/>
              <w:tabs>
                <w:tab w:val="left" w:pos="0"/>
              </w:tabs>
              <w:spacing w:before="240" w:after="60"/>
              <w:jc w:val="center"/>
              <w:outlineLvl w:val="1"/>
              <w:rPr>
                <w:bCs/>
                <w:color w:val="000000"/>
                <w:sz w:val="22"/>
                <w:szCs w:val="22"/>
              </w:rPr>
            </w:pPr>
            <w:r>
              <w:rPr>
                <w:bCs/>
                <w:color w:val="000000"/>
                <w:sz w:val="22"/>
                <w:szCs w:val="22"/>
              </w:rPr>
              <w:t>17” T</w:t>
            </w:r>
            <w:r w:rsidR="0065666D" w:rsidRPr="000D7172">
              <w:rPr>
                <w:bCs/>
                <w:color w:val="000000"/>
                <w:sz w:val="22"/>
                <w:szCs w:val="22"/>
              </w:rPr>
              <w:t>L</w:t>
            </w:r>
          </w:p>
        </w:tc>
        <w:tc>
          <w:tcPr>
            <w:tcW w:w="0" w:type="auto"/>
            <w:tcBorders>
              <w:top w:val="nil"/>
              <w:left w:val="nil"/>
              <w:bottom w:val="single" w:sz="8" w:space="0" w:color="auto"/>
              <w:right w:val="single" w:sz="8" w:space="0" w:color="auto"/>
            </w:tcBorders>
            <w:shd w:val="clear" w:color="auto" w:fill="auto"/>
            <w:noWrap/>
            <w:vAlign w:val="center"/>
            <w:hideMark/>
          </w:tcPr>
          <w:p w14:paraId="52E09C82" w14:textId="58C436A0" w:rsidR="0065666D" w:rsidRPr="000D7172" w:rsidRDefault="0065666D" w:rsidP="00177DA1">
            <w:pPr>
              <w:keepNext/>
              <w:tabs>
                <w:tab w:val="left" w:pos="0"/>
              </w:tabs>
              <w:spacing w:before="240" w:after="60"/>
              <w:jc w:val="center"/>
              <w:outlineLvl w:val="1"/>
              <w:rPr>
                <w:color w:val="000000"/>
                <w:sz w:val="22"/>
                <w:szCs w:val="22"/>
              </w:rPr>
            </w:pPr>
            <w:r w:rsidRPr="000D7172">
              <w:rPr>
                <w:color w:val="000000"/>
                <w:sz w:val="22"/>
                <w:szCs w:val="22"/>
              </w:rPr>
              <w:t>$3,292</w:t>
            </w:r>
          </w:p>
        </w:tc>
      </w:tr>
      <w:tr w:rsidR="0065666D" w14:paraId="29FD7976" w14:textId="77777777" w:rsidTr="00177DA1">
        <w:trPr>
          <w:trHeight w:val="340"/>
        </w:trPr>
        <w:tc>
          <w:tcPr>
            <w:tcW w:w="0" w:type="auto"/>
            <w:tcBorders>
              <w:top w:val="nil"/>
              <w:left w:val="single" w:sz="8" w:space="0" w:color="auto"/>
              <w:bottom w:val="single" w:sz="8" w:space="0" w:color="auto"/>
              <w:right w:val="single" w:sz="8" w:space="0" w:color="auto"/>
            </w:tcBorders>
            <w:shd w:val="clear" w:color="000000" w:fill="auto"/>
            <w:noWrap/>
            <w:vAlign w:val="center"/>
            <w:hideMark/>
          </w:tcPr>
          <w:p w14:paraId="0B464E13" w14:textId="77777777" w:rsidR="0065666D" w:rsidRPr="005F46AC" w:rsidRDefault="0065666D" w:rsidP="00177DA1">
            <w:pPr>
              <w:jc w:val="center"/>
              <w:rPr>
                <w:b/>
                <w:color w:val="000000"/>
                <w:sz w:val="22"/>
                <w:szCs w:val="22"/>
              </w:rPr>
            </w:pPr>
            <w:r w:rsidRPr="00903F6E">
              <w:rPr>
                <w:b/>
                <w:color w:val="000000"/>
                <w:sz w:val="22"/>
                <w:szCs w:val="22"/>
              </w:rPr>
              <w:t>Preferred Alternative 3</w:t>
            </w:r>
          </w:p>
        </w:tc>
        <w:tc>
          <w:tcPr>
            <w:tcW w:w="0" w:type="auto"/>
            <w:tcBorders>
              <w:top w:val="nil"/>
              <w:left w:val="nil"/>
              <w:bottom w:val="single" w:sz="8" w:space="0" w:color="auto"/>
              <w:right w:val="single" w:sz="8" w:space="0" w:color="auto"/>
            </w:tcBorders>
            <w:shd w:val="clear" w:color="auto" w:fill="auto"/>
            <w:noWrap/>
            <w:vAlign w:val="center"/>
            <w:hideMark/>
          </w:tcPr>
          <w:p w14:paraId="232DEAFF" w14:textId="5E1A6834" w:rsidR="0065666D" w:rsidRPr="00903F6E" w:rsidRDefault="00177DA1" w:rsidP="00177DA1">
            <w:pPr>
              <w:jc w:val="center"/>
              <w:rPr>
                <w:b/>
                <w:bCs/>
                <w:color w:val="000000"/>
                <w:sz w:val="22"/>
                <w:szCs w:val="22"/>
              </w:rPr>
            </w:pPr>
            <w:r>
              <w:rPr>
                <w:b/>
                <w:bCs/>
                <w:color w:val="000000"/>
                <w:sz w:val="22"/>
                <w:szCs w:val="22"/>
              </w:rPr>
              <w:t>18” T</w:t>
            </w:r>
            <w:r w:rsidR="0065666D" w:rsidRPr="00903F6E">
              <w:rPr>
                <w:b/>
                <w:bCs/>
                <w:color w:val="000000"/>
                <w:sz w:val="22"/>
                <w:szCs w:val="22"/>
              </w:rPr>
              <w:t>L</w:t>
            </w:r>
          </w:p>
        </w:tc>
        <w:tc>
          <w:tcPr>
            <w:tcW w:w="0" w:type="auto"/>
            <w:tcBorders>
              <w:top w:val="nil"/>
              <w:left w:val="nil"/>
              <w:bottom w:val="single" w:sz="8" w:space="0" w:color="auto"/>
              <w:right w:val="single" w:sz="8" w:space="0" w:color="auto"/>
            </w:tcBorders>
            <w:shd w:val="clear" w:color="auto" w:fill="auto"/>
            <w:noWrap/>
            <w:vAlign w:val="center"/>
            <w:hideMark/>
          </w:tcPr>
          <w:p w14:paraId="339D060A" w14:textId="7A708FEF" w:rsidR="0065666D" w:rsidRPr="000D7172" w:rsidRDefault="0065666D" w:rsidP="00177DA1">
            <w:pPr>
              <w:keepNext/>
              <w:tabs>
                <w:tab w:val="left" w:pos="0"/>
              </w:tabs>
              <w:spacing w:before="240" w:after="60"/>
              <w:jc w:val="center"/>
              <w:outlineLvl w:val="1"/>
              <w:rPr>
                <w:b/>
                <w:color w:val="000000"/>
                <w:sz w:val="22"/>
                <w:szCs w:val="22"/>
              </w:rPr>
            </w:pPr>
            <w:r w:rsidRPr="000D7172">
              <w:rPr>
                <w:b/>
                <w:color w:val="000000"/>
                <w:sz w:val="22"/>
                <w:szCs w:val="22"/>
              </w:rPr>
              <w:t>$7,278</w:t>
            </w:r>
          </w:p>
        </w:tc>
      </w:tr>
      <w:tr w:rsidR="0065666D" w14:paraId="15FA053A" w14:textId="77777777" w:rsidTr="00177DA1">
        <w:trPr>
          <w:trHeight w:val="340"/>
        </w:trPr>
        <w:tc>
          <w:tcPr>
            <w:tcW w:w="0" w:type="auto"/>
            <w:tcBorders>
              <w:top w:val="nil"/>
              <w:left w:val="single" w:sz="8" w:space="0" w:color="auto"/>
              <w:bottom w:val="single" w:sz="8" w:space="0" w:color="auto"/>
              <w:right w:val="single" w:sz="8" w:space="0" w:color="auto"/>
            </w:tcBorders>
            <w:shd w:val="clear" w:color="000000" w:fill="auto"/>
            <w:noWrap/>
            <w:vAlign w:val="center"/>
            <w:hideMark/>
          </w:tcPr>
          <w:p w14:paraId="7C2976CF" w14:textId="77777777" w:rsidR="0065666D" w:rsidRPr="00903F6E" w:rsidRDefault="0065666D" w:rsidP="00177DA1">
            <w:pPr>
              <w:jc w:val="center"/>
              <w:rPr>
                <w:color w:val="000000"/>
                <w:sz w:val="22"/>
                <w:szCs w:val="22"/>
              </w:rPr>
            </w:pPr>
            <w:r w:rsidRPr="00903F6E">
              <w:rPr>
                <w:color w:val="000000"/>
                <w:sz w:val="22"/>
                <w:szCs w:val="22"/>
              </w:rPr>
              <w:t>Alternative 4</w:t>
            </w:r>
          </w:p>
        </w:tc>
        <w:tc>
          <w:tcPr>
            <w:tcW w:w="0" w:type="auto"/>
            <w:tcBorders>
              <w:top w:val="nil"/>
              <w:left w:val="nil"/>
              <w:bottom w:val="single" w:sz="8" w:space="0" w:color="auto"/>
              <w:right w:val="single" w:sz="8" w:space="0" w:color="auto"/>
            </w:tcBorders>
            <w:shd w:val="clear" w:color="auto" w:fill="auto"/>
            <w:noWrap/>
            <w:vAlign w:val="center"/>
            <w:hideMark/>
          </w:tcPr>
          <w:p w14:paraId="5DBFE652" w14:textId="7D8F3C11" w:rsidR="0065666D" w:rsidRPr="00903F6E" w:rsidRDefault="00177DA1" w:rsidP="00177DA1">
            <w:pPr>
              <w:jc w:val="center"/>
              <w:rPr>
                <w:color w:val="000000"/>
                <w:sz w:val="22"/>
                <w:szCs w:val="22"/>
              </w:rPr>
            </w:pPr>
            <w:r>
              <w:rPr>
                <w:color w:val="000000"/>
                <w:sz w:val="22"/>
                <w:szCs w:val="22"/>
              </w:rPr>
              <w:t>19” T</w:t>
            </w:r>
            <w:r w:rsidR="0065666D" w:rsidRPr="00903F6E">
              <w:rPr>
                <w:color w:val="000000"/>
                <w:sz w:val="22"/>
                <w:szCs w:val="22"/>
              </w:rPr>
              <w:t>L</w:t>
            </w:r>
          </w:p>
        </w:tc>
        <w:tc>
          <w:tcPr>
            <w:tcW w:w="0" w:type="auto"/>
            <w:tcBorders>
              <w:top w:val="nil"/>
              <w:left w:val="nil"/>
              <w:bottom w:val="single" w:sz="8" w:space="0" w:color="auto"/>
              <w:right w:val="single" w:sz="8" w:space="0" w:color="auto"/>
            </w:tcBorders>
            <w:shd w:val="clear" w:color="auto" w:fill="auto"/>
            <w:noWrap/>
            <w:vAlign w:val="center"/>
            <w:hideMark/>
          </w:tcPr>
          <w:p w14:paraId="25F3D333" w14:textId="4B4EAEAC" w:rsidR="0065666D" w:rsidRPr="000D7172" w:rsidRDefault="0065666D" w:rsidP="00177DA1">
            <w:pPr>
              <w:keepNext/>
              <w:tabs>
                <w:tab w:val="left" w:pos="0"/>
              </w:tabs>
              <w:spacing w:before="240" w:after="60"/>
              <w:jc w:val="center"/>
              <w:outlineLvl w:val="1"/>
              <w:rPr>
                <w:color w:val="000000"/>
                <w:sz w:val="22"/>
                <w:szCs w:val="22"/>
              </w:rPr>
            </w:pPr>
            <w:r w:rsidRPr="000D7172">
              <w:rPr>
                <w:color w:val="000000"/>
                <w:sz w:val="22"/>
                <w:szCs w:val="22"/>
              </w:rPr>
              <w:t>$11,610</w:t>
            </w:r>
          </w:p>
        </w:tc>
      </w:tr>
      <w:tr w:rsidR="0065666D" w14:paraId="45CCB924" w14:textId="77777777" w:rsidTr="00177DA1">
        <w:trPr>
          <w:trHeight w:val="340"/>
        </w:trPr>
        <w:tc>
          <w:tcPr>
            <w:tcW w:w="0" w:type="auto"/>
            <w:tcBorders>
              <w:top w:val="nil"/>
              <w:left w:val="single" w:sz="8" w:space="0" w:color="auto"/>
              <w:bottom w:val="single" w:sz="8" w:space="0" w:color="auto"/>
              <w:right w:val="single" w:sz="8" w:space="0" w:color="auto"/>
            </w:tcBorders>
            <w:shd w:val="clear" w:color="000000" w:fill="auto"/>
            <w:noWrap/>
            <w:vAlign w:val="center"/>
            <w:hideMark/>
          </w:tcPr>
          <w:p w14:paraId="33A7304D" w14:textId="77777777" w:rsidR="0065666D" w:rsidRPr="00903F6E" w:rsidRDefault="0065666D" w:rsidP="00177DA1">
            <w:pPr>
              <w:jc w:val="center"/>
              <w:rPr>
                <w:color w:val="000000"/>
                <w:sz w:val="22"/>
                <w:szCs w:val="22"/>
              </w:rPr>
            </w:pPr>
            <w:r w:rsidRPr="00903F6E">
              <w:rPr>
                <w:color w:val="000000"/>
                <w:sz w:val="22"/>
                <w:szCs w:val="22"/>
              </w:rPr>
              <w:t>Alternative 5</w:t>
            </w:r>
          </w:p>
        </w:tc>
        <w:tc>
          <w:tcPr>
            <w:tcW w:w="0" w:type="auto"/>
            <w:tcBorders>
              <w:top w:val="nil"/>
              <w:left w:val="nil"/>
              <w:bottom w:val="single" w:sz="8" w:space="0" w:color="auto"/>
              <w:right w:val="single" w:sz="8" w:space="0" w:color="auto"/>
            </w:tcBorders>
            <w:shd w:val="clear" w:color="auto" w:fill="auto"/>
            <w:noWrap/>
            <w:vAlign w:val="center"/>
            <w:hideMark/>
          </w:tcPr>
          <w:p w14:paraId="2FF4D696" w14:textId="540F783B" w:rsidR="0065666D" w:rsidRPr="00903F6E" w:rsidRDefault="00177DA1" w:rsidP="00177DA1">
            <w:pPr>
              <w:jc w:val="center"/>
              <w:rPr>
                <w:color w:val="000000"/>
                <w:sz w:val="22"/>
                <w:szCs w:val="22"/>
              </w:rPr>
            </w:pPr>
            <w:r>
              <w:rPr>
                <w:color w:val="000000"/>
                <w:sz w:val="22"/>
                <w:szCs w:val="22"/>
              </w:rPr>
              <w:t>20” T</w:t>
            </w:r>
            <w:r w:rsidR="0065666D" w:rsidRPr="00903F6E">
              <w:rPr>
                <w:color w:val="000000"/>
                <w:sz w:val="22"/>
                <w:szCs w:val="22"/>
              </w:rPr>
              <w:t>L</w:t>
            </w:r>
          </w:p>
        </w:tc>
        <w:tc>
          <w:tcPr>
            <w:tcW w:w="0" w:type="auto"/>
            <w:tcBorders>
              <w:top w:val="nil"/>
              <w:left w:val="nil"/>
              <w:bottom w:val="single" w:sz="8" w:space="0" w:color="auto"/>
              <w:right w:val="single" w:sz="8" w:space="0" w:color="auto"/>
            </w:tcBorders>
            <w:shd w:val="clear" w:color="auto" w:fill="auto"/>
            <w:noWrap/>
            <w:vAlign w:val="center"/>
            <w:hideMark/>
          </w:tcPr>
          <w:p w14:paraId="5ED8FF73" w14:textId="248FD739" w:rsidR="0065666D" w:rsidRPr="000D7172" w:rsidRDefault="0065666D" w:rsidP="00177DA1">
            <w:pPr>
              <w:keepNext/>
              <w:tabs>
                <w:tab w:val="left" w:pos="0"/>
              </w:tabs>
              <w:spacing w:before="240" w:after="60"/>
              <w:jc w:val="center"/>
              <w:outlineLvl w:val="1"/>
              <w:rPr>
                <w:color w:val="000000"/>
                <w:sz w:val="22"/>
                <w:szCs w:val="22"/>
              </w:rPr>
            </w:pPr>
            <w:r w:rsidRPr="000D7172">
              <w:rPr>
                <w:color w:val="000000"/>
                <w:sz w:val="22"/>
                <w:szCs w:val="22"/>
              </w:rPr>
              <w:t>$16,462</w:t>
            </w:r>
          </w:p>
        </w:tc>
      </w:tr>
    </w:tbl>
    <w:p w14:paraId="59E7762A" w14:textId="77777777" w:rsidR="0065666D" w:rsidRDefault="0065666D" w:rsidP="0065666D">
      <w:pPr>
        <w:ind w:firstLine="360"/>
        <w:rPr>
          <w:b/>
        </w:rPr>
      </w:pPr>
    </w:p>
    <w:p w14:paraId="1FAD0C2A" w14:textId="77777777" w:rsidR="0065666D" w:rsidRDefault="0065666D" w:rsidP="0065666D">
      <w:pPr>
        <w:ind w:firstLine="360"/>
        <w:rPr>
          <w:b/>
        </w:rPr>
      </w:pPr>
    </w:p>
    <w:p w14:paraId="6BD66327" w14:textId="1E9CCCDD" w:rsidR="0065666D" w:rsidRDefault="0065666D" w:rsidP="0065666D">
      <w:pPr>
        <w:ind w:firstLine="360"/>
      </w:pPr>
      <w:r>
        <w:t xml:space="preserve">When examining the estimated direct, short-term negative economic effects, </w:t>
      </w:r>
      <w:r w:rsidRPr="00EA66C3">
        <w:rPr>
          <w:b/>
        </w:rPr>
        <w:t>Alternative 1</w:t>
      </w:r>
      <w:r>
        <w:t xml:space="preserve"> </w:t>
      </w:r>
      <w:r w:rsidR="00177DA1" w:rsidRPr="00177DA1">
        <w:rPr>
          <w:b/>
        </w:rPr>
        <w:t>(No Action)</w:t>
      </w:r>
      <w:r w:rsidR="00177DA1">
        <w:t xml:space="preserve"> </w:t>
      </w:r>
      <w:r>
        <w:t xml:space="preserve">has the lowest anticipated negative economic effect followed by </w:t>
      </w:r>
      <w:r w:rsidRPr="00EA66C3">
        <w:rPr>
          <w:b/>
        </w:rPr>
        <w:t>Alterna</w:t>
      </w:r>
      <w:r>
        <w:rPr>
          <w:b/>
        </w:rPr>
        <w:t>tive 2</w:t>
      </w:r>
      <w:r w:rsidRPr="0065666D">
        <w:t>,</w:t>
      </w:r>
      <w:r>
        <w:rPr>
          <w:b/>
        </w:rPr>
        <w:t xml:space="preserve"> Alternative 3</w:t>
      </w:r>
      <w:r w:rsidRPr="0065666D">
        <w:t xml:space="preserve">, </w:t>
      </w:r>
      <w:r>
        <w:rPr>
          <w:b/>
        </w:rPr>
        <w:t>Alternat</w:t>
      </w:r>
      <w:r w:rsidRPr="00EA66C3">
        <w:rPr>
          <w:b/>
        </w:rPr>
        <w:t>i</w:t>
      </w:r>
      <w:r>
        <w:rPr>
          <w:b/>
        </w:rPr>
        <w:t>v</w:t>
      </w:r>
      <w:r w:rsidRPr="00EA66C3">
        <w:rPr>
          <w:b/>
        </w:rPr>
        <w:t>e 4</w:t>
      </w:r>
      <w:r w:rsidRPr="0065666D">
        <w:t xml:space="preserve">, </w:t>
      </w:r>
      <w:r>
        <w:t xml:space="preserve">and </w:t>
      </w:r>
      <w:r w:rsidRPr="00EA66C3">
        <w:rPr>
          <w:b/>
        </w:rPr>
        <w:t>Alternative 5</w:t>
      </w:r>
      <w:r>
        <w:t>.</w:t>
      </w:r>
      <w:r w:rsidRPr="00EE1ABF">
        <w:t xml:space="preserve"> </w:t>
      </w:r>
      <w:r>
        <w:t xml:space="preserve"> However, </w:t>
      </w:r>
      <w:r w:rsidRPr="009B3BF9">
        <w:rPr>
          <w:b/>
        </w:rPr>
        <w:t>Alternative 1 (No Action)</w:t>
      </w:r>
      <w:r>
        <w:t xml:space="preserve"> could result in a more compressed stock size and presumably lower fecundity in the future, leading to fewer fish available to harvest when compared to the other alternatives.  The economic benefit of establishing a larger minimum size limit would presumably be an increased stock size that may allow for future economic benefits associated with increased harvest and recreational opportunities.</w:t>
      </w:r>
    </w:p>
    <w:p w14:paraId="70844D77" w14:textId="77777777" w:rsidR="00177DA1" w:rsidRDefault="00177DA1" w:rsidP="0065666D">
      <w:pPr>
        <w:ind w:firstLine="360"/>
      </w:pPr>
    </w:p>
    <w:p w14:paraId="616FC44F" w14:textId="305D0AC6" w:rsidR="0016692A" w:rsidRPr="00F36594" w:rsidRDefault="0016692A" w:rsidP="0016692A">
      <w:pPr>
        <w:pStyle w:val="Heading3"/>
        <w:rPr>
          <w:szCs w:val="24"/>
        </w:rPr>
      </w:pPr>
      <w:bookmarkStart w:id="261" w:name="_Toc339811752"/>
      <w:r>
        <w:rPr>
          <w:szCs w:val="24"/>
        </w:rPr>
        <w:t>4.5</w:t>
      </w:r>
      <w:r w:rsidRPr="005B5A20">
        <w:rPr>
          <w:szCs w:val="24"/>
        </w:rPr>
        <w:t>.3</w:t>
      </w:r>
      <w:r w:rsidRPr="005B5A20">
        <w:rPr>
          <w:szCs w:val="24"/>
        </w:rPr>
        <w:tab/>
        <w:t>Social Effects</w:t>
      </w:r>
      <w:bookmarkEnd w:id="261"/>
    </w:p>
    <w:p w14:paraId="2F2EEF5D" w14:textId="42A9EF28" w:rsidR="006F5EF9" w:rsidRDefault="006F5EF9" w:rsidP="006F5EF9">
      <w:pPr>
        <w:ind w:firstLine="360"/>
      </w:pPr>
      <w:r>
        <w:t>Some social effects of minimum size limits would be associated with t</w:t>
      </w:r>
      <w:r w:rsidRPr="00EF5077">
        <w:t>he</w:t>
      </w:r>
      <w:r>
        <w:t xml:space="preserve"> positive and negative biological effects of minimum size limits on the mutton snapper (</w:t>
      </w:r>
      <w:r>
        <w:rPr>
          <w:b/>
        </w:rPr>
        <w:t>Section 4.5.1</w:t>
      </w:r>
      <w:r>
        <w:t xml:space="preserve">).  Positive effects of allowing only fish of a certain size that are caught in the South Atlantic </w:t>
      </w:r>
      <w:r w:rsidR="0030581E">
        <w:t>exclusive economic zone</w:t>
      </w:r>
      <w:r>
        <w:t xml:space="preserve"> to be landed could help maintain sustainability of harvest and the health of the mutton snapper stock, which would be beneficial to recreational and commercial fishermen in the long term.  Negative effects of potential increase in discard mortality due to higher minimum size limit </w:t>
      </w:r>
      <w:r w:rsidRPr="00A62A59">
        <w:t xml:space="preserve">could affect the stock and in turn, commercial and recreational fishing opportunities.  </w:t>
      </w:r>
    </w:p>
    <w:p w14:paraId="36A193EF" w14:textId="77777777" w:rsidR="006F5EF9" w:rsidRDefault="006F5EF9" w:rsidP="006F5EF9">
      <w:pPr>
        <w:ind w:firstLine="360"/>
      </w:pPr>
    </w:p>
    <w:p w14:paraId="6FB506CC" w14:textId="0C48A7DA" w:rsidR="006F5EF9" w:rsidRPr="00771924" w:rsidRDefault="006F5EF9" w:rsidP="006F5EF9">
      <w:pPr>
        <w:ind w:firstLine="360"/>
      </w:pPr>
      <w:r>
        <w:t>Recreational landings are expected to decrease as the minimum size limit increases (</w:t>
      </w:r>
      <w:r w:rsidRPr="00771924">
        <w:rPr>
          <w:b/>
        </w:rPr>
        <w:t>Table 4.5.1.</w:t>
      </w:r>
      <w:r>
        <w:t xml:space="preserve">), which </w:t>
      </w:r>
      <w:r w:rsidR="0030581E">
        <w:t xml:space="preserve">would </w:t>
      </w:r>
      <w:r>
        <w:t>likely result in negative short-term effects on fishermen targeting mutton snapper.</w:t>
      </w:r>
      <w:r w:rsidR="00ED4F0E">
        <w:t xml:space="preserve"> </w:t>
      </w:r>
      <w:r>
        <w:t xml:space="preserve"> If fishermen are not able to meet the bag limit because of the minimum size limit, this may reduce trip satisfaction for both private recreational trips and for-hire trips. </w:t>
      </w:r>
      <w:r w:rsidR="00ED4F0E">
        <w:t xml:space="preserve"> </w:t>
      </w:r>
      <w:r>
        <w:t>The largest minimum size limit (</w:t>
      </w:r>
      <w:r>
        <w:rPr>
          <w:b/>
        </w:rPr>
        <w:t>Alternative 5</w:t>
      </w:r>
      <w:r>
        <w:t xml:space="preserve">) would be expected to have the highest level of short-term negative effects on the recreational sector and associated businesses, followed by </w:t>
      </w:r>
      <w:r>
        <w:rPr>
          <w:b/>
        </w:rPr>
        <w:t>Alternative 4</w:t>
      </w:r>
      <w:r>
        <w:t xml:space="preserve">, </w:t>
      </w:r>
      <w:r>
        <w:rPr>
          <w:b/>
        </w:rPr>
        <w:t>Preferred Alternative 3</w:t>
      </w:r>
      <w:r>
        <w:t xml:space="preserve">, and </w:t>
      </w:r>
      <w:r>
        <w:rPr>
          <w:b/>
        </w:rPr>
        <w:t>Alternative 2</w:t>
      </w:r>
      <w:r>
        <w:t xml:space="preserve">. </w:t>
      </w:r>
      <w:r w:rsidR="00ED4F0E">
        <w:t xml:space="preserve"> </w:t>
      </w:r>
      <w:r>
        <w:t xml:space="preserve">Although </w:t>
      </w:r>
      <w:r>
        <w:rPr>
          <w:b/>
        </w:rPr>
        <w:t xml:space="preserve">Alternative 1 (No Action) </w:t>
      </w:r>
      <w:r>
        <w:t xml:space="preserve">would have </w:t>
      </w:r>
      <w:r>
        <w:lastRenderedPageBreak/>
        <w:t xml:space="preserve">less negative effect on trip satisfaction, any minimum size limit may restrict the number of fish that can be landed. </w:t>
      </w:r>
    </w:p>
    <w:p w14:paraId="0ED2AB2F" w14:textId="77777777" w:rsidR="006F5EF9" w:rsidRDefault="006F5EF9" w:rsidP="006F5EF9">
      <w:pPr>
        <w:ind w:firstLine="360"/>
      </w:pPr>
    </w:p>
    <w:p w14:paraId="42FDF348" w14:textId="77777777" w:rsidR="006F5EF9" w:rsidRDefault="006F5EF9" w:rsidP="006F5EF9">
      <w:pPr>
        <w:ind w:firstLine="360"/>
      </w:pPr>
      <w:r>
        <w:t xml:space="preserve">There are also long-term benefits of reducing the rate of harvest to extend the fishing season and to contribute to long-term biological benefits when the minimum size limit is increased, as discussed in </w:t>
      </w:r>
      <w:r w:rsidRPr="00133AE2">
        <w:rPr>
          <w:b/>
        </w:rPr>
        <w:t>Section 4.5.1</w:t>
      </w:r>
      <w:r>
        <w:t xml:space="preserve">. </w:t>
      </w:r>
    </w:p>
    <w:p w14:paraId="5399E522" w14:textId="77777777" w:rsidR="0016692A" w:rsidRDefault="0016692A" w:rsidP="0016692A"/>
    <w:p w14:paraId="51F83087" w14:textId="68F4A04C" w:rsidR="0016692A" w:rsidRDefault="0016692A" w:rsidP="0016692A">
      <w:pPr>
        <w:pStyle w:val="Heading3"/>
        <w:rPr>
          <w:szCs w:val="24"/>
        </w:rPr>
      </w:pPr>
      <w:bookmarkStart w:id="262" w:name="_Toc339811753"/>
      <w:r>
        <w:rPr>
          <w:szCs w:val="24"/>
        </w:rPr>
        <w:t>4.5</w:t>
      </w:r>
      <w:r w:rsidRPr="005B5A20">
        <w:rPr>
          <w:szCs w:val="24"/>
        </w:rPr>
        <w:t>.4</w:t>
      </w:r>
      <w:r w:rsidRPr="005B5A20">
        <w:rPr>
          <w:szCs w:val="24"/>
        </w:rPr>
        <w:tab/>
        <w:t>Administrative Effects</w:t>
      </w:r>
      <w:bookmarkEnd w:id="262"/>
      <w:r w:rsidRPr="005B5A20">
        <w:rPr>
          <w:szCs w:val="24"/>
        </w:rPr>
        <w:t xml:space="preserve"> </w:t>
      </w:r>
    </w:p>
    <w:p w14:paraId="396A8974" w14:textId="5A5C1343" w:rsidR="0016692A" w:rsidRPr="00AB40E1" w:rsidRDefault="00787753" w:rsidP="0016692A">
      <w:pPr>
        <w:ind w:firstLine="360"/>
        <w:rPr>
          <w:b/>
        </w:rPr>
      </w:pPr>
      <w:r w:rsidRPr="00787753">
        <w:t xml:space="preserve">Beneficial administrative effects would be expected from </w:t>
      </w:r>
      <w:r w:rsidRPr="00787753">
        <w:rPr>
          <w:b/>
        </w:rPr>
        <w:t>Alternative 2</w:t>
      </w:r>
      <w:r w:rsidRPr="00787753">
        <w:t xml:space="preserve">, </w:t>
      </w:r>
      <w:r w:rsidRPr="00787753">
        <w:rPr>
          <w:b/>
        </w:rPr>
        <w:t>Preferred Alternative 3</w:t>
      </w:r>
      <w:r w:rsidRPr="00787753">
        <w:t xml:space="preserve">, </w:t>
      </w:r>
      <w:r w:rsidRPr="00787753">
        <w:rPr>
          <w:b/>
        </w:rPr>
        <w:t>Alternative 4</w:t>
      </w:r>
      <w:r w:rsidRPr="00787753">
        <w:t xml:space="preserve">, and </w:t>
      </w:r>
      <w:r w:rsidRPr="00787753">
        <w:rPr>
          <w:b/>
        </w:rPr>
        <w:t>Preferred Alternative 5</w:t>
      </w:r>
      <w:r w:rsidRPr="00787753">
        <w:t xml:space="preserve"> when compared with </w:t>
      </w:r>
      <w:r w:rsidRPr="00787753">
        <w:rPr>
          <w:b/>
        </w:rPr>
        <w:t>Alternative 1 (No Action)</w:t>
      </w:r>
      <w:r w:rsidRPr="00787753">
        <w:t xml:space="preserve">. </w:t>
      </w:r>
      <w:r>
        <w:t xml:space="preserve"> </w:t>
      </w:r>
      <w:r w:rsidRPr="00787753">
        <w:t xml:space="preserve">Alternatives that specify a consistent minimum size limit in state and federal waters throughout the South Atlantic Council’s jurisdiction would help the public avoid confusion with regulations and aid law enforcement.  </w:t>
      </w:r>
      <w:r w:rsidR="0016692A" w:rsidRPr="00AB40E1">
        <w:t xml:space="preserve">Administrative impacts on the agency associated with the action alternatives would be incurred by rulemaking, outreach, education and enforcement.  Because there is a minimum size limit already in place for mutton snapper in the South Atlantic Region under </w:t>
      </w:r>
      <w:r w:rsidR="0016692A" w:rsidRPr="00AB40E1">
        <w:rPr>
          <w:b/>
        </w:rPr>
        <w:t>Alternative 1 (No Action)</w:t>
      </w:r>
      <w:r w:rsidR="0016692A" w:rsidRPr="00AB40E1">
        <w:t xml:space="preserve">, changing the minimum size limit under </w:t>
      </w:r>
      <w:r w:rsidR="0016692A" w:rsidRPr="00AB40E1">
        <w:rPr>
          <w:b/>
        </w:rPr>
        <w:t>Alternatives 2</w:t>
      </w:r>
      <w:r w:rsidR="0016692A" w:rsidRPr="00AB40E1">
        <w:t xml:space="preserve"> through </w:t>
      </w:r>
      <w:r w:rsidR="0016692A" w:rsidRPr="00AB40E1">
        <w:rPr>
          <w:b/>
        </w:rPr>
        <w:t>5</w:t>
      </w:r>
      <w:r w:rsidR="0016692A" w:rsidRPr="00AB40E1">
        <w:t xml:space="preserve"> would not be unusually burdensome.</w:t>
      </w:r>
    </w:p>
    <w:p w14:paraId="4727FBE2" w14:textId="77777777" w:rsidR="0016692A" w:rsidRDefault="0016692A" w:rsidP="0016692A">
      <w:pPr>
        <w:rPr>
          <w:b/>
        </w:rPr>
      </w:pPr>
    </w:p>
    <w:p w14:paraId="169A1099" w14:textId="77777777" w:rsidR="00992608" w:rsidRDefault="00992608" w:rsidP="00116107">
      <w:pPr>
        <w:rPr>
          <w:rStyle w:val="StyleHeading3CharTimesNewRoman12pt"/>
          <w:rFonts w:ascii="Arial" w:hAnsi="Arial"/>
          <w:b w:val="0"/>
          <w:sz w:val="28"/>
          <w:szCs w:val="28"/>
        </w:rPr>
      </w:pPr>
      <w:bookmarkStart w:id="263" w:name="_Toc339811754"/>
      <w:r>
        <w:rPr>
          <w:rStyle w:val="StyleHeading3CharTimesNewRoman12pt"/>
          <w:rFonts w:ascii="Arial" w:hAnsi="Arial"/>
          <w:b w:val="0"/>
          <w:sz w:val="28"/>
          <w:szCs w:val="28"/>
        </w:rPr>
        <w:br w:type="page"/>
      </w:r>
    </w:p>
    <w:p w14:paraId="6D75897B" w14:textId="057D9D8A" w:rsidR="004B1A22" w:rsidRDefault="00481D42" w:rsidP="004B1A22">
      <w:pPr>
        <w:pStyle w:val="Heading2"/>
      </w:pPr>
      <w:r>
        <w:rPr>
          <w:rStyle w:val="StyleHeading3CharTimesNewRoman12pt"/>
          <w:rFonts w:ascii="Arial" w:hAnsi="Arial"/>
          <w:b/>
          <w:sz w:val="28"/>
          <w:szCs w:val="28"/>
        </w:rPr>
        <w:lastRenderedPageBreak/>
        <w:t>4.</w:t>
      </w:r>
      <w:r w:rsidR="0016692A">
        <w:rPr>
          <w:rStyle w:val="StyleHeading3CharTimesNewRoman12pt"/>
          <w:rFonts w:ascii="Arial" w:hAnsi="Arial"/>
          <w:b/>
          <w:sz w:val="28"/>
          <w:szCs w:val="28"/>
        </w:rPr>
        <w:t>6</w:t>
      </w:r>
      <w:r>
        <w:rPr>
          <w:rStyle w:val="StyleHeading3CharTimesNewRoman12pt"/>
          <w:rFonts w:ascii="Arial" w:hAnsi="Arial"/>
          <w:b/>
          <w:sz w:val="28"/>
          <w:szCs w:val="28"/>
        </w:rPr>
        <w:tab/>
      </w:r>
      <w:r w:rsidR="004B1A22" w:rsidRPr="00CD09B7">
        <w:rPr>
          <w:rStyle w:val="StyleHeading3CharTimesNewRoman12pt"/>
          <w:rFonts w:ascii="Arial" w:hAnsi="Arial"/>
          <w:b/>
          <w:sz w:val="28"/>
          <w:szCs w:val="28"/>
        </w:rPr>
        <w:t xml:space="preserve">Action </w:t>
      </w:r>
      <w:r w:rsidR="0016692A">
        <w:rPr>
          <w:rStyle w:val="StyleHeading3CharTimesNewRoman12pt"/>
          <w:rFonts w:ascii="Arial" w:hAnsi="Arial"/>
          <w:b/>
          <w:sz w:val="28"/>
          <w:szCs w:val="28"/>
        </w:rPr>
        <w:t>6</w:t>
      </w:r>
      <w:r w:rsidR="004B1A22" w:rsidRPr="00CD09B7">
        <w:rPr>
          <w:rStyle w:val="StyleHeading3CharTimesNewRoman12pt"/>
          <w:rFonts w:ascii="Arial" w:hAnsi="Arial"/>
          <w:b/>
          <w:sz w:val="28"/>
          <w:szCs w:val="28"/>
        </w:rPr>
        <w:t xml:space="preserve">.  </w:t>
      </w:r>
      <w:r w:rsidRPr="00EF32D8">
        <w:rPr>
          <w:rFonts w:ascii="Arial" w:hAnsi="Arial" w:cs="Arial"/>
        </w:rPr>
        <w:t xml:space="preserve">Designate spawning </w:t>
      </w:r>
      <w:r w:rsidR="002B189D">
        <w:rPr>
          <w:rFonts w:ascii="Arial" w:hAnsi="Arial" w:cs="Arial"/>
        </w:rPr>
        <w:t>months</w:t>
      </w:r>
      <w:r w:rsidRPr="00EF32D8">
        <w:rPr>
          <w:rFonts w:ascii="Arial" w:hAnsi="Arial" w:cs="Arial"/>
        </w:rPr>
        <w:t xml:space="preserve"> during which </w:t>
      </w:r>
      <w:r w:rsidR="002B189D">
        <w:rPr>
          <w:rFonts w:ascii="Arial" w:hAnsi="Arial" w:cs="Arial"/>
        </w:rPr>
        <w:t xml:space="preserve">certain </w:t>
      </w:r>
      <w:r w:rsidRPr="00EF32D8">
        <w:rPr>
          <w:rFonts w:ascii="Arial" w:hAnsi="Arial" w:cs="Arial"/>
        </w:rPr>
        <w:t xml:space="preserve">commercial and </w:t>
      </w:r>
      <w:r w:rsidRPr="008565BE">
        <w:rPr>
          <w:rFonts w:ascii="Arial" w:hAnsi="Arial" w:cs="Arial"/>
        </w:rPr>
        <w:t xml:space="preserve">recreational management measures for mutton snapper should apply </w:t>
      </w:r>
      <w:r w:rsidR="00774344" w:rsidRPr="008565BE">
        <w:rPr>
          <w:rFonts w:ascii="Arial" w:hAnsi="Arial" w:cs="Arial"/>
        </w:rPr>
        <w:t>in the South Atlantic R</w:t>
      </w:r>
      <w:r w:rsidRPr="008565BE">
        <w:rPr>
          <w:rFonts w:ascii="Arial" w:hAnsi="Arial" w:cs="Arial"/>
        </w:rPr>
        <w:t>egion</w:t>
      </w:r>
      <w:bookmarkEnd w:id="263"/>
    </w:p>
    <w:p w14:paraId="1FDC9A93" w14:textId="3F1157A7" w:rsidR="00D0662D" w:rsidRDefault="00177DA1" w:rsidP="00D0662D">
      <w:pPr>
        <w:rPr>
          <w:highlight w:val="yellow"/>
        </w:rPr>
      </w:pPr>
      <w:r w:rsidRPr="00897AFB">
        <w:rPr>
          <w:noProof/>
          <w:color w:val="365F91" w:themeColor="accent1" w:themeShade="BF"/>
        </w:rPr>
        <mc:AlternateContent>
          <mc:Choice Requires="wps">
            <w:drawing>
              <wp:anchor distT="0" distB="0" distL="114300" distR="114300" simplePos="0" relativeHeight="251689472" behindDoc="0" locked="0" layoutInCell="1" allowOverlap="1" wp14:anchorId="4305E6B9" wp14:editId="175C7511">
                <wp:simplePos x="0" y="0"/>
                <wp:positionH relativeFrom="margin">
                  <wp:posOffset>2875915</wp:posOffset>
                </wp:positionH>
                <wp:positionV relativeFrom="margin">
                  <wp:posOffset>760095</wp:posOffset>
                </wp:positionV>
                <wp:extent cx="2998470" cy="3254375"/>
                <wp:effectExtent l="25400" t="101600" r="125730" b="476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3254375"/>
                        </a:xfrm>
                        <a:prstGeom prst="rect">
                          <a:avLst/>
                        </a:prstGeom>
                        <a:solidFill>
                          <a:srgbClr val="FFFFFF"/>
                        </a:solidFill>
                        <a:ln w="9525">
                          <a:solidFill>
                            <a:schemeClr val="tx2">
                              <a:lumMod val="60000"/>
                              <a:lumOff val="40000"/>
                            </a:schemeClr>
                          </a:solidFill>
                          <a:miter lim="800000"/>
                          <a:headEnd/>
                          <a:tailEnd/>
                        </a:ln>
                        <a:effectLst>
                          <a:outerShdw blurRad="50800" dist="38100" dir="18900000" algn="bl" rotWithShape="0">
                            <a:prstClr val="black">
                              <a:alpha val="40000"/>
                            </a:prstClr>
                          </a:outerShdw>
                        </a:effectLst>
                      </wps:spPr>
                      <wps:txbx>
                        <w:txbxContent>
                          <w:p w14:paraId="15E04B84" w14:textId="344FA267" w:rsidR="009108B8" w:rsidRPr="00FC03A7" w:rsidRDefault="009108B8" w:rsidP="004B1A22">
                            <w:pPr>
                              <w:jc w:val="center"/>
                              <w:rPr>
                                <w:rFonts w:ascii="Arial" w:hAnsi="Arial" w:cs="Arial"/>
                                <w:b/>
                                <w:i/>
                                <w:iCs/>
                                <w:color w:val="365F91" w:themeColor="accent1" w:themeShade="BF"/>
                              </w:rPr>
                            </w:pPr>
                            <w:r w:rsidRPr="00FC03A7">
                              <w:rPr>
                                <w:rFonts w:ascii="Arial" w:hAnsi="Arial" w:cs="Arial"/>
                                <w:b/>
                                <w:i/>
                                <w:iCs/>
                                <w:color w:val="365F91" w:themeColor="accent1" w:themeShade="BF"/>
                              </w:rPr>
                              <w:t>Alternatives*</w:t>
                            </w:r>
                          </w:p>
                          <w:p w14:paraId="58BDBA94" w14:textId="77777777" w:rsidR="009108B8" w:rsidRDefault="009108B8" w:rsidP="004B1A22">
                            <w:pPr>
                              <w:jc w:val="center"/>
                              <w:rPr>
                                <w:rFonts w:ascii="Arial" w:hAnsi="Arial" w:cs="Arial"/>
                                <w:b/>
                                <w:i/>
                                <w:iCs/>
                                <w:color w:val="365F91" w:themeColor="accent1" w:themeShade="BF"/>
                                <w:sz w:val="28"/>
                                <w:szCs w:val="28"/>
                              </w:rPr>
                            </w:pPr>
                          </w:p>
                          <w:p w14:paraId="01ABAAE1" w14:textId="01F5A60F" w:rsidR="009108B8" w:rsidRPr="002B189D" w:rsidRDefault="009108B8" w:rsidP="00897AFB">
                            <w:pPr>
                              <w:rPr>
                                <w:color w:val="1F497D" w:themeColor="text2"/>
                                <w:sz w:val="20"/>
                                <w:szCs w:val="20"/>
                              </w:rPr>
                            </w:pPr>
                            <w:r w:rsidRPr="002B189D">
                              <w:rPr>
                                <w:rFonts w:ascii="Arial" w:hAnsi="Arial" w:cs="Arial"/>
                                <w:color w:val="1F497D" w:themeColor="text2"/>
                                <w:sz w:val="20"/>
                                <w:szCs w:val="20"/>
                              </w:rPr>
                              <w:t>1 (No Action</w:t>
                            </w:r>
                            <w:r w:rsidRPr="000109FC">
                              <w:rPr>
                                <w:rFonts w:ascii="Arial" w:hAnsi="Arial" w:cs="Arial"/>
                                <w:color w:val="1F497D" w:themeColor="text2"/>
                                <w:sz w:val="20"/>
                                <w:szCs w:val="20"/>
                              </w:rPr>
                              <w:t xml:space="preserve">).  </w:t>
                            </w:r>
                            <w:r w:rsidRPr="000109FC">
                              <w:rPr>
                                <w:rFonts w:ascii="Arial" w:hAnsi="Arial" w:cs="Arial"/>
                                <w:color w:val="1F497D" w:themeColor="text2"/>
                                <w:sz w:val="20"/>
                                <w:szCs w:val="20"/>
                                <w:highlight w:val="yellow"/>
                              </w:rPr>
                              <w:t>Seasonal harvest limitations apply to the commercial sector during mutton snapper spawning in May and June each year. There are no comparable seasonal restrictions during May and June that apply to the recreational sector.</w:t>
                            </w:r>
                          </w:p>
                          <w:p w14:paraId="31C73322" w14:textId="77777777" w:rsidR="009108B8" w:rsidRPr="00897AFB" w:rsidRDefault="009108B8" w:rsidP="004B1A22">
                            <w:pPr>
                              <w:contextualSpacing/>
                              <w:rPr>
                                <w:rFonts w:ascii="Arial" w:eastAsia="Courier New" w:hAnsi="Arial" w:cs="Arial"/>
                                <w:color w:val="1F497D" w:themeColor="text2"/>
                                <w:sz w:val="20"/>
                                <w:szCs w:val="20"/>
                              </w:rPr>
                            </w:pPr>
                          </w:p>
                          <w:p w14:paraId="4E5C6C6C" w14:textId="39FF8227" w:rsidR="009108B8" w:rsidRPr="00897AFB" w:rsidRDefault="009108B8" w:rsidP="004B1A22">
                            <w:pPr>
                              <w:contextualSpacing/>
                              <w:rPr>
                                <w:rFonts w:ascii="Arial" w:eastAsia="Courier New" w:hAnsi="Arial" w:cs="Arial"/>
                                <w:b/>
                                <w:color w:val="1F497D" w:themeColor="text2"/>
                                <w:sz w:val="20"/>
                                <w:szCs w:val="20"/>
                              </w:rPr>
                            </w:pPr>
                            <w:r w:rsidRPr="00897AFB">
                              <w:rPr>
                                <w:rFonts w:ascii="Arial" w:hAnsi="Arial" w:cs="Arial"/>
                                <w:b/>
                                <w:color w:val="1F497D" w:themeColor="text2"/>
                                <w:sz w:val="20"/>
                                <w:szCs w:val="20"/>
                              </w:rPr>
                              <w:t>2. For regulatory purposes, designate the following as “spawning months</w:t>
                            </w:r>
                            <w:r w:rsidRPr="00177DA1">
                              <w:rPr>
                                <w:rFonts w:ascii="Arial" w:hAnsi="Arial" w:cs="Arial"/>
                                <w:b/>
                                <w:color w:val="1F497D" w:themeColor="text2"/>
                                <w:sz w:val="20"/>
                                <w:szCs w:val="20"/>
                              </w:rPr>
                              <w:t>.”</w:t>
                            </w:r>
                            <w:r w:rsidRPr="00897AFB">
                              <w:rPr>
                                <w:rFonts w:ascii="Arial" w:hAnsi="Arial" w:cs="Arial"/>
                                <w:b/>
                                <w:color w:val="1F497D" w:themeColor="text2"/>
                                <w:sz w:val="20"/>
                                <w:szCs w:val="20"/>
                              </w:rPr>
                              <w:t xml:space="preserve">  The remainder of the year would be the “regular season.”</w:t>
                            </w:r>
                          </w:p>
                          <w:p w14:paraId="4AB84DFD" w14:textId="3D787066" w:rsidR="009108B8" w:rsidRPr="00897AFB" w:rsidRDefault="009108B8" w:rsidP="004B1A22">
                            <w:pPr>
                              <w:ind w:left="540"/>
                              <w:contextualSpacing/>
                              <w:rPr>
                                <w:rFonts w:ascii="Arial" w:eastAsia="Courier New" w:hAnsi="Arial" w:cs="Arial"/>
                                <w:b/>
                                <w:color w:val="1F497D" w:themeColor="text2"/>
                                <w:sz w:val="20"/>
                                <w:szCs w:val="20"/>
                              </w:rPr>
                            </w:pPr>
                            <w:r w:rsidRPr="00897AFB">
                              <w:rPr>
                                <w:rFonts w:ascii="Arial" w:eastAsia="Courier New" w:hAnsi="Arial" w:cs="Arial"/>
                                <w:b/>
                                <w:color w:val="1F497D" w:themeColor="text2"/>
                                <w:sz w:val="20"/>
                                <w:szCs w:val="20"/>
                              </w:rPr>
                              <w:t>Sub-alternative 2a.  April-June</w:t>
                            </w:r>
                          </w:p>
                          <w:p w14:paraId="366A08C8" w14:textId="1013FFA6" w:rsidR="009108B8" w:rsidRPr="00897AFB" w:rsidRDefault="009108B8" w:rsidP="00481D42">
                            <w:pPr>
                              <w:ind w:left="540"/>
                              <w:contextualSpacing/>
                              <w:rPr>
                                <w:rFonts w:ascii="Arial" w:eastAsia="Courier New" w:hAnsi="Arial" w:cs="Arial"/>
                                <w:color w:val="1F497D" w:themeColor="text2"/>
                                <w:sz w:val="20"/>
                                <w:szCs w:val="20"/>
                              </w:rPr>
                            </w:pPr>
                            <w:r w:rsidRPr="00897AFB">
                              <w:rPr>
                                <w:rFonts w:ascii="Arial" w:eastAsia="Courier New" w:hAnsi="Arial" w:cs="Arial"/>
                                <w:color w:val="1F497D" w:themeColor="text2"/>
                                <w:sz w:val="20"/>
                                <w:szCs w:val="20"/>
                              </w:rPr>
                              <w:t>Sub-alternative 2b.  April-July</w:t>
                            </w:r>
                          </w:p>
                          <w:p w14:paraId="26B14BCA" w14:textId="6A432F10" w:rsidR="009108B8" w:rsidRDefault="009108B8" w:rsidP="004B1A22">
                            <w:pPr>
                              <w:ind w:left="540"/>
                              <w:contextualSpacing/>
                              <w:rPr>
                                <w:rFonts w:ascii="Arial" w:eastAsia="Courier New" w:hAnsi="Arial" w:cs="Arial"/>
                                <w:color w:val="1F497D" w:themeColor="text2"/>
                                <w:sz w:val="20"/>
                                <w:szCs w:val="20"/>
                              </w:rPr>
                            </w:pPr>
                            <w:r w:rsidRPr="00897AFB">
                              <w:rPr>
                                <w:rFonts w:ascii="Arial" w:eastAsia="Courier New" w:hAnsi="Arial" w:cs="Arial"/>
                                <w:color w:val="1F497D" w:themeColor="text2"/>
                                <w:sz w:val="20"/>
                                <w:szCs w:val="20"/>
                              </w:rPr>
                              <w:t>Sub-alternative 2c.  May-July</w:t>
                            </w:r>
                          </w:p>
                          <w:p w14:paraId="126620E0" w14:textId="77777777" w:rsidR="009108B8" w:rsidRPr="00897AFB" w:rsidRDefault="009108B8" w:rsidP="004B1A22">
                            <w:pPr>
                              <w:ind w:left="540"/>
                              <w:contextualSpacing/>
                              <w:rPr>
                                <w:rFonts w:ascii="Arial" w:eastAsia="Courier New" w:hAnsi="Arial" w:cs="Arial"/>
                                <w:color w:val="1F497D" w:themeColor="text2"/>
                                <w:sz w:val="20"/>
                                <w:szCs w:val="20"/>
                              </w:rPr>
                            </w:pPr>
                          </w:p>
                          <w:p w14:paraId="6028A59B" w14:textId="77777777" w:rsidR="009108B8" w:rsidRPr="00EC7112" w:rsidRDefault="009108B8" w:rsidP="00FC03A7">
                            <w:pPr>
                              <w:rPr>
                                <w:rFonts w:ascii="Arial" w:hAnsi="Arial" w:cs="Arial"/>
                                <w:iCs/>
                                <w:color w:val="365F91" w:themeColor="accent1" w:themeShade="BF"/>
                                <w:sz w:val="20"/>
                                <w:szCs w:val="20"/>
                              </w:rPr>
                            </w:pPr>
                            <w:r>
                              <w:rPr>
                                <w:rFonts w:ascii="Arial" w:hAnsi="Arial" w:cs="Arial"/>
                                <w:iCs/>
                                <w:color w:val="365F91" w:themeColor="accent1" w:themeShade="BF"/>
                                <w:sz w:val="20"/>
                                <w:szCs w:val="20"/>
                              </w:rPr>
                              <w:t>* Preferred indicated in bold.  Refer to Chapter 2 for detailed language of alternatives</w:t>
                            </w:r>
                          </w:p>
                          <w:p w14:paraId="4D33751F" w14:textId="142D4AE7" w:rsidR="009108B8" w:rsidRPr="004B1A22" w:rsidRDefault="009108B8" w:rsidP="004B1A22">
                            <w:pPr>
                              <w:ind w:left="540"/>
                              <w:contextualSpacing/>
                              <w:rPr>
                                <w:rFonts w:ascii="Arial" w:eastAsia="Courier New" w:hAnsi="Arial" w:cs="Arial"/>
                                <w:color w:val="1F497D" w:themeColor="text2"/>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26.45pt;margin-top:59.85pt;width:236.1pt;height:256.2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" strokecolor="#548dd4 [1951]">
                <v:shadow on="t" opacity="26214f" mv:blur="50800f" origin="-.5,.5" offset="26941emu,-26941emu"/>
                <v:textbox>
                  <w:txbxContent>
                    <w:p w14:paraId="15E04B84" w14:textId="344FA267" w:rsidR="009108B8" w:rsidRPr="00FC03A7" w:rsidRDefault="009108B8" w:rsidP="004B1A22">
                      <w:pPr>
                        <w:jc w:val="center"/>
                        <w:rPr>
                          <w:rFonts w:ascii="Arial" w:hAnsi="Arial" w:cs="Arial"/>
                          <w:b/>
                          <w:i/>
                          <w:iCs/>
                          <w:color w:val="365F91" w:themeColor="accent1" w:themeShade="BF"/>
                        </w:rPr>
                      </w:pPr>
                      <w:r w:rsidRPr="00FC03A7">
                        <w:rPr>
                          <w:rFonts w:ascii="Arial" w:hAnsi="Arial" w:cs="Arial"/>
                          <w:b/>
                          <w:i/>
                          <w:iCs/>
                          <w:color w:val="365F91" w:themeColor="accent1" w:themeShade="BF"/>
                        </w:rPr>
                        <w:t>Alternatives*</w:t>
                      </w:r>
                    </w:p>
                    <w:p w14:paraId="58BDBA94" w14:textId="77777777" w:rsidR="009108B8" w:rsidRDefault="009108B8" w:rsidP="004B1A22">
                      <w:pPr>
                        <w:jc w:val="center"/>
                        <w:rPr>
                          <w:rFonts w:ascii="Arial" w:hAnsi="Arial" w:cs="Arial"/>
                          <w:b/>
                          <w:i/>
                          <w:iCs/>
                          <w:color w:val="365F91" w:themeColor="accent1" w:themeShade="BF"/>
                          <w:sz w:val="28"/>
                          <w:szCs w:val="28"/>
                        </w:rPr>
                      </w:pPr>
                    </w:p>
                    <w:p w14:paraId="01ABAAE1" w14:textId="01F5A60F" w:rsidR="009108B8" w:rsidRPr="002B189D" w:rsidRDefault="009108B8" w:rsidP="00897AFB">
                      <w:pPr>
                        <w:rPr>
                          <w:color w:val="1F497D" w:themeColor="text2"/>
                          <w:sz w:val="20"/>
                          <w:szCs w:val="20"/>
                        </w:rPr>
                      </w:pPr>
                      <w:r w:rsidRPr="002B189D">
                        <w:rPr>
                          <w:rFonts w:ascii="Arial" w:hAnsi="Arial" w:cs="Arial"/>
                          <w:color w:val="1F497D" w:themeColor="text2"/>
                          <w:sz w:val="20"/>
                          <w:szCs w:val="20"/>
                        </w:rPr>
                        <w:t>1 (No Action</w:t>
                      </w:r>
                      <w:r w:rsidRPr="000109FC">
                        <w:rPr>
                          <w:rFonts w:ascii="Arial" w:hAnsi="Arial" w:cs="Arial"/>
                          <w:color w:val="1F497D" w:themeColor="text2"/>
                          <w:sz w:val="20"/>
                          <w:szCs w:val="20"/>
                        </w:rPr>
                        <w:t xml:space="preserve">).  </w:t>
                      </w:r>
                      <w:r w:rsidRPr="000109FC">
                        <w:rPr>
                          <w:rFonts w:ascii="Arial" w:hAnsi="Arial" w:cs="Arial"/>
                          <w:color w:val="1F497D" w:themeColor="text2"/>
                          <w:sz w:val="20"/>
                          <w:szCs w:val="20"/>
                          <w:highlight w:val="yellow"/>
                        </w:rPr>
                        <w:t>Seasonal harvest limitations apply to the commercial sector during mutton snapper spawning in May and June each year. There are no comparable seasonal restrictions during May and June that apply to the recreational sector.</w:t>
                      </w:r>
                    </w:p>
                    <w:p w14:paraId="31C73322" w14:textId="77777777" w:rsidR="009108B8" w:rsidRPr="00897AFB" w:rsidRDefault="009108B8" w:rsidP="004B1A22">
                      <w:pPr>
                        <w:contextualSpacing/>
                        <w:rPr>
                          <w:rFonts w:ascii="Arial" w:eastAsia="Courier New" w:hAnsi="Arial" w:cs="Arial"/>
                          <w:color w:val="1F497D" w:themeColor="text2"/>
                          <w:sz w:val="20"/>
                          <w:szCs w:val="20"/>
                        </w:rPr>
                      </w:pPr>
                    </w:p>
                    <w:p w14:paraId="4E5C6C6C" w14:textId="39FF8227" w:rsidR="009108B8" w:rsidRPr="00897AFB" w:rsidRDefault="009108B8" w:rsidP="004B1A22">
                      <w:pPr>
                        <w:contextualSpacing/>
                        <w:rPr>
                          <w:rFonts w:ascii="Arial" w:eastAsia="Courier New" w:hAnsi="Arial" w:cs="Arial"/>
                          <w:b/>
                          <w:color w:val="1F497D" w:themeColor="text2"/>
                          <w:sz w:val="20"/>
                          <w:szCs w:val="20"/>
                        </w:rPr>
                      </w:pPr>
                      <w:r w:rsidRPr="00897AFB">
                        <w:rPr>
                          <w:rFonts w:ascii="Arial" w:hAnsi="Arial" w:cs="Arial"/>
                          <w:b/>
                          <w:color w:val="1F497D" w:themeColor="text2"/>
                          <w:sz w:val="20"/>
                          <w:szCs w:val="20"/>
                        </w:rPr>
                        <w:t>2. For regulatory purposes, designate the following as “spawning months</w:t>
                      </w:r>
                      <w:r w:rsidRPr="00177DA1">
                        <w:rPr>
                          <w:rFonts w:ascii="Arial" w:hAnsi="Arial" w:cs="Arial"/>
                          <w:b/>
                          <w:color w:val="1F497D" w:themeColor="text2"/>
                          <w:sz w:val="20"/>
                          <w:szCs w:val="20"/>
                        </w:rPr>
                        <w:t>.”</w:t>
                      </w:r>
                      <w:r w:rsidRPr="00897AFB">
                        <w:rPr>
                          <w:rFonts w:ascii="Arial" w:hAnsi="Arial" w:cs="Arial"/>
                          <w:b/>
                          <w:color w:val="1F497D" w:themeColor="text2"/>
                          <w:sz w:val="20"/>
                          <w:szCs w:val="20"/>
                        </w:rPr>
                        <w:t xml:space="preserve">  The remainder of the year would be the “regular season.”</w:t>
                      </w:r>
                    </w:p>
                    <w:p w14:paraId="4AB84DFD" w14:textId="3D787066" w:rsidR="009108B8" w:rsidRPr="00897AFB" w:rsidRDefault="009108B8" w:rsidP="004B1A22">
                      <w:pPr>
                        <w:ind w:left="540"/>
                        <w:contextualSpacing/>
                        <w:rPr>
                          <w:rFonts w:ascii="Arial" w:eastAsia="Courier New" w:hAnsi="Arial" w:cs="Arial"/>
                          <w:b/>
                          <w:color w:val="1F497D" w:themeColor="text2"/>
                          <w:sz w:val="20"/>
                          <w:szCs w:val="20"/>
                        </w:rPr>
                      </w:pPr>
                      <w:r w:rsidRPr="00897AFB">
                        <w:rPr>
                          <w:rFonts w:ascii="Arial" w:eastAsia="Courier New" w:hAnsi="Arial" w:cs="Arial"/>
                          <w:b/>
                          <w:color w:val="1F497D" w:themeColor="text2"/>
                          <w:sz w:val="20"/>
                          <w:szCs w:val="20"/>
                        </w:rPr>
                        <w:t>Sub-alternative 2a.  April-June</w:t>
                      </w:r>
                    </w:p>
                    <w:p w14:paraId="366A08C8" w14:textId="1013FFA6" w:rsidR="009108B8" w:rsidRPr="00897AFB" w:rsidRDefault="009108B8" w:rsidP="00481D42">
                      <w:pPr>
                        <w:ind w:left="540"/>
                        <w:contextualSpacing/>
                        <w:rPr>
                          <w:rFonts w:ascii="Arial" w:eastAsia="Courier New" w:hAnsi="Arial" w:cs="Arial"/>
                          <w:color w:val="1F497D" w:themeColor="text2"/>
                          <w:sz w:val="20"/>
                          <w:szCs w:val="20"/>
                        </w:rPr>
                      </w:pPr>
                      <w:r w:rsidRPr="00897AFB">
                        <w:rPr>
                          <w:rFonts w:ascii="Arial" w:eastAsia="Courier New" w:hAnsi="Arial" w:cs="Arial"/>
                          <w:color w:val="1F497D" w:themeColor="text2"/>
                          <w:sz w:val="20"/>
                          <w:szCs w:val="20"/>
                        </w:rPr>
                        <w:t>Sub-alternative 2b.  April-July</w:t>
                      </w:r>
                    </w:p>
                    <w:p w14:paraId="26B14BCA" w14:textId="6A432F10" w:rsidR="009108B8" w:rsidRDefault="009108B8" w:rsidP="004B1A22">
                      <w:pPr>
                        <w:ind w:left="540"/>
                        <w:contextualSpacing/>
                        <w:rPr>
                          <w:rFonts w:ascii="Arial" w:eastAsia="Courier New" w:hAnsi="Arial" w:cs="Arial"/>
                          <w:color w:val="1F497D" w:themeColor="text2"/>
                          <w:sz w:val="20"/>
                          <w:szCs w:val="20"/>
                        </w:rPr>
                      </w:pPr>
                      <w:r w:rsidRPr="00897AFB">
                        <w:rPr>
                          <w:rFonts w:ascii="Arial" w:eastAsia="Courier New" w:hAnsi="Arial" w:cs="Arial"/>
                          <w:color w:val="1F497D" w:themeColor="text2"/>
                          <w:sz w:val="20"/>
                          <w:szCs w:val="20"/>
                        </w:rPr>
                        <w:t>Sub-alternative 2c.  May-July</w:t>
                      </w:r>
                    </w:p>
                    <w:p w14:paraId="126620E0" w14:textId="77777777" w:rsidR="009108B8" w:rsidRPr="00897AFB" w:rsidRDefault="009108B8" w:rsidP="004B1A22">
                      <w:pPr>
                        <w:ind w:left="540"/>
                        <w:contextualSpacing/>
                        <w:rPr>
                          <w:rFonts w:ascii="Arial" w:eastAsia="Courier New" w:hAnsi="Arial" w:cs="Arial"/>
                          <w:color w:val="1F497D" w:themeColor="text2"/>
                          <w:sz w:val="20"/>
                          <w:szCs w:val="20"/>
                        </w:rPr>
                      </w:pPr>
                    </w:p>
                    <w:p w14:paraId="6028A59B" w14:textId="77777777" w:rsidR="009108B8" w:rsidRPr="00EC7112" w:rsidRDefault="009108B8" w:rsidP="00FC03A7">
                      <w:pPr>
                        <w:rPr>
                          <w:rFonts w:ascii="Arial" w:hAnsi="Arial" w:cs="Arial"/>
                          <w:iCs/>
                          <w:color w:val="365F91" w:themeColor="accent1" w:themeShade="BF"/>
                          <w:sz w:val="20"/>
                          <w:szCs w:val="20"/>
                        </w:rPr>
                      </w:pPr>
                      <w:r>
                        <w:rPr>
                          <w:rFonts w:ascii="Arial" w:hAnsi="Arial" w:cs="Arial"/>
                          <w:iCs/>
                          <w:color w:val="365F91" w:themeColor="accent1" w:themeShade="BF"/>
                          <w:sz w:val="20"/>
                          <w:szCs w:val="20"/>
                        </w:rPr>
                        <w:t>* Preferred indicated in bold.  Refer to Chapter 2 for detailed language of alternatives</w:t>
                      </w:r>
                    </w:p>
                    <w:p w14:paraId="4D33751F" w14:textId="142D4AE7" w:rsidR="009108B8" w:rsidRPr="004B1A22" w:rsidRDefault="009108B8" w:rsidP="004B1A22">
                      <w:pPr>
                        <w:ind w:left="540"/>
                        <w:contextualSpacing/>
                        <w:rPr>
                          <w:rFonts w:ascii="Arial" w:eastAsia="Courier New" w:hAnsi="Arial" w:cs="Arial"/>
                          <w:color w:val="1F497D" w:themeColor="text2"/>
                          <w:sz w:val="22"/>
                          <w:szCs w:val="22"/>
                        </w:rPr>
                      </w:pPr>
                    </w:p>
                  </w:txbxContent>
                </v:textbox>
                <w10:wrap type="square" anchorx="margin" anchory="margin"/>
              </v:shape>
            </w:pict>
          </mc:Fallback>
        </mc:AlternateContent>
      </w:r>
    </w:p>
    <w:p w14:paraId="3F5B4366" w14:textId="0ED0B970" w:rsidR="004B1A22" w:rsidRDefault="004B1A22" w:rsidP="004B1A22">
      <w:pPr>
        <w:pStyle w:val="Heading3"/>
      </w:pPr>
      <w:bookmarkStart w:id="264" w:name="_Toc339811755"/>
      <w:r>
        <w:t>4.</w:t>
      </w:r>
      <w:r w:rsidR="0016692A">
        <w:t>6</w:t>
      </w:r>
      <w:r>
        <w:t>.1</w:t>
      </w:r>
      <w:r>
        <w:tab/>
      </w:r>
      <w:r w:rsidRPr="005B5A20">
        <w:t>Biological</w:t>
      </w:r>
      <w:r w:rsidR="00897AFB">
        <w:t xml:space="preserve"> E</w:t>
      </w:r>
      <w:r w:rsidRPr="005B5A20">
        <w:t>ffects</w:t>
      </w:r>
      <w:bookmarkEnd w:id="264"/>
      <w:r w:rsidRPr="005B5A20">
        <w:t xml:space="preserve"> </w:t>
      </w:r>
    </w:p>
    <w:p w14:paraId="3344C769" w14:textId="440B2FA4" w:rsidR="00152D12" w:rsidRDefault="00152D12" w:rsidP="0067221B">
      <w:pPr>
        <w:ind w:firstLine="360"/>
      </w:pPr>
      <w:r>
        <w:t xml:space="preserve">There is no “designated” spawning season for mutton snapper by the South Atlantic Council.  However, under </w:t>
      </w:r>
      <w:r w:rsidRPr="00006826">
        <w:rPr>
          <w:b/>
        </w:rPr>
        <w:t>Alternative 1 (No Action)</w:t>
      </w:r>
      <w:r w:rsidR="00613048">
        <w:t>,</w:t>
      </w:r>
      <w:r>
        <w:t xml:space="preserve"> May and June were recognized as the spawning months for mutton snapper throughout the South Atlantic Council’s area of jurisdiction for regulatory purposes in the commercial sector.  Amendment 4 to the Snapper Grouper FMP (SAFMC 1991) designated May and June as the months during which stricter commercial regulations would be implemented to prevent overharvesting of spawning aggregations.  No management measures were put in place to constrain recreational harvest during those months</w:t>
      </w:r>
      <w:r w:rsidR="0021174F">
        <w:t>,</w:t>
      </w:r>
      <w:r>
        <w:t xml:space="preserve"> however.  Specifying the months during which specific management measures are to apply would not in itself result in any biological effects.  However, alternatives that better align the timeframe of regulations with the biology of the species would indirectly result in beneficial biological effects.  </w:t>
      </w:r>
    </w:p>
    <w:p w14:paraId="314AEFFE" w14:textId="77777777" w:rsidR="00152D12" w:rsidRDefault="00152D12" w:rsidP="0067221B">
      <w:pPr>
        <w:ind w:firstLine="360"/>
      </w:pPr>
    </w:p>
    <w:p w14:paraId="5749C206" w14:textId="70A2D179" w:rsidR="0067221B" w:rsidRPr="00EF32D8" w:rsidRDefault="0067221B" w:rsidP="0067221B">
      <w:pPr>
        <w:ind w:firstLine="360"/>
      </w:pPr>
      <w:r>
        <w:t>Mutton snapper are known to form</w:t>
      </w:r>
      <w:r w:rsidRPr="00EF32D8">
        <w:t xml:space="preserve"> aggregations </w:t>
      </w:r>
      <w:r>
        <w:t xml:space="preserve">when they spawn </w:t>
      </w:r>
      <w:r w:rsidRPr="00EF32D8">
        <w:t xml:space="preserve">(Figuerola et al. 1997). </w:t>
      </w:r>
      <w:r>
        <w:t xml:space="preserve"> Burton et al. (2005 and references therein) indicate that mutton snapper spawning </w:t>
      </w:r>
      <w:r w:rsidRPr="002F639F">
        <w:t xml:space="preserve">occurs from May through July </w:t>
      </w:r>
      <w:r>
        <w:t xml:space="preserve">at Riley’s Hump </w:t>
      </w:r>
      <w:r w:rsidRPr="002F639F">
        <w:t xml:space="preserve">and peaks in June, as indicated by </w:t>
      </w:r>
      <w:r>
        <w:t>gonadosomatic indices</w:t>
      </w:r>
      <w:r w:rsidRPr="002F639F">
        <w:t xml:space="preserve"> (M. Burton, unpubl. data).</w:t>
      </w:r>
      <w:r>
        <w:t xml:space="preserve">  Fish begin to aggregate for spawning around the full moon (Burton et al 2005).  </w:t>
      </w:r>
      <w:r w:rsidRPr="00EF32D8">
        <w:t xml:space="preserve">Individuals have been observed in spawning condition in the U.S. Caribbean from February through July (Erdman 1976). </w:t>
      </w:r>
      <w:r>
        <w:t xml:space="preserve"> </w:t>
      </w:r>
      <w:r w:rsidRPr="00EF32D8">
        <w:t xml:space="preserve">Some spawning occurs during February to June off Puerto Rico, but spawning peaks during the week following the full moon in April and May. </w:t>
      </w:r>
      <w:r>
        <w:t xml:space="preserve"> </w:t>
      </w:r>
      <w:r w:rsidRPr="00EF32D8">
        <w:t>Spawning aggregations are known to occur north of St. Thomas, USVI, and south of St. Croix, USVI, in March, April, and May (Rielinger 1999).</w:t>
      </w:r>
      <w:r>
        <w:t xml:space="preserve">  </w:t>
      </w:r>
    </w:p>
    <w:p w14:paraId="43A556B7" w14:textId="77777777" w:rsidR="0067221B" w:rsidRPr="00924C0A" w:rsidRDefault="0067221B" w:rsidP="0067221B"/>
    <w:p w14:paraId="38FC91F5" w14:textId="13DA177A" w:rsidR="0067221B" w:rsidRDefault="0067221B" w:rsidP="0067221B">
      <w:pPr>
        <w:ind w:firstLine="360"/>
      </w:pPr>
      <w:r>
        <w:t>Graham et al. (2008) report evidence of a significant decline in catch-per-unit effort, mean landings and inter-annual median lengths of mutton snapper in Belize, due to overexploitation at a spawning aggregation in Gladden Spit.  The authors suggest that “a</w:t>
      </w:r>
      <w:r w:rsidRPr="002F639F">
        <w:t xml:space="preserve"> precautionary approach to spawning aggregation management is warranted that provides full protection from fishing to enhance population persistence. </w:t>
      </w:r>
      <w:r w:rsidR="00FC0F17">
        <w:t xml:space="preserve"> </w:t>
      </w:r>
      <w:r w:rsidRPr="002F639F">
        <w:t>The findings also highlight the need for substantially greater enforcement and long-term fisheries monitoring under a comprehensive regional management strategy.</w:t>
      </w:r>
      <w:r>
        <w:t>”</w:t>
      </w:r>
    </w:p>
    <w:p w14:paraId="00AC436C" w14:textId="77777777" w:rsidR="00BD6B63" w:rsidRDefault="00BD6B63" w:rsidP="0067221B">
      <w:pPr>
        <w:ind w:firstLine="360"/>
      </w:pPr>
    </w:p>
    <w:p w14:paraId="3E31627D" w14:textId="3B9654EC" w:rsidR="00BD6B63" w:rsidRPr="00471384" w:rsidRDefault="00FB4AA3" w:rsidP="0067221B">
      <w:pPr>
        <w:ind w:firstLine="360"/>
      </w:pPr>
      <w:r>
        <w:t xml:space="preserve">In general, </w:t>
      </w:r>
      <w:r w:rsidR="008565BE" w:rsidRPr="0000613D">
        <w:rPr>
          <w:b/>
        </w:rPr>
        <w:t xml:space="preserve">Preferred </w:t>
      </w:r>
      <w:r w:rsidR="00B920D9" w:rsidRPr="00006826">
        <w:rPr>
          <w:b/>
        </w:rPr>
        <w:t>Alternative</w:t>
      </w:r>
      <w:r w:rsidRPr="00006826">
        <w:rPr>
          <w:b/>
        </w:rPr>
        <w:t xml:space="preserve"> 2</w:t>
      </w:r>
      <w:r>
        <w:t xml:space="preserve"> </w:t>
      </w:r>
      <w:r w:rsidR="00B920D9">
        <w:t>(</w:t>
      </w:r>
      <w:r>
        <w:t>and its sub-alternatives</w:t>
      </w:r>
      <w:r w:rsidR="00B920D9">
        <w:t>)</w:t>
      </w:r>
      <w:r>
        <w:t xml:space="preserve"> would result in positive indirect biological effects </w:t>
      </w:r>
      <w:r w:rsidR="00613048">
        <w:t>if greater restrictions are applied to the “spawning months</w:t>
      </w:r>
      <w:r w:rsidR="00FA68EB">
        <w:t>.</w:t>
      </w:r>
      <w:r w:rsidR="00613048">
        <w:t>”</w:t>
      </w:r>
      <w:r w:rsidR="00B920D9">
        <w:t xml:space="preserve">  Of these,</w:t>
      </w:r>
      <w:r w:rsidR="00BD6B63">
        <w:t xml:space="preserve"> </w:t>
      </w:r>
      <w:r w:rsidR="00BD6B63" w:rsidRPr="00006826">
        <w:rPr>
          <w:b/>
        </w:rPr>
        <w:t>Sub-alternative 2b</w:t>
      </w:r>
      <w:r w:rsidR="00BD6B63">
        <w:t xml:space="preserve"> would indirectly provide the </w:t>
      </w:r>
      <w:r w:rsidR="00613048">
        <w:t>greatest</w:t>
      </w:r>
      <w:r w:rsidR="00BD6B63">
        <w:t xml:space="preserve"> biological benefit to mutton snapper in that it encompasses the longest amount of time </w:t>
      </w:r>
      <w:r w:rsidR="00496596">
        <w:t xml:space="preserve">(4 months) </w:t>
      </w:r>
      <w:r w:rsidR="00BD6B63">
        <w:t>and has the greatest potential of capturing the bulk of mutton snapper spawning activity</w:t>
      </w:r>
      <w:r w:rsidR="0034218B">
        <w:t xml:space="preserve"> in the South Atlantic Council’s area of jurisdiction.  </w:t>
      </w:r>
      <w:r w:rsidR="008565BE" w:rsidRPr="0000613D">
        <w:rPr>
          <w:b/>
        </w:rPr>
        <w:t xml:space="preserve">Preferred </w:t>
      </w:r>
      <w:r w:rsidR="0034218B" w:rsidRPr="00006826">
        <w:rPr>
          <w:b/>
        </w:rPr>
        <w:t>Sub-alternative 2a</w:t>
      </w:r>
      <w:r w:rsidR="0034218B">
        <w:t xml:space="preserve"> and </w:t>
      </w:r>
      <w:r w:rsidR="008565BE" w:rsidRPr="0000613D">
        <w:rPr>
          <w:b/>
        </w:rPr>
        <w:t>Sub-alternative</w:t>
      </w:r>
      <w:r w:rsidR="008565BE">
        <w:t xml:space="preserve"> </w:t>
      </w:r>
      <w:r w:rsidR="0034218B" w:rsidRPr="00006826">
        <w:rPr>
          <w:b/>
        </w:rPr>
        <w:t>2b</w:t>
      </w:r>
      <w:r w:rsidR="0034218B">
        <w:t xml:space="preserve"> </w:t>
      </w:r>
      <w:r w:rsidR="00FD4DDC">
        <w:t xml:space="preserve">could </w:t>
      </w:r>
      <w:r w:rsidR="0034218B">
        <w:t xml:space="preserve">result in </w:t>
      </w:r>
      <w:r w:rsidR="00FD4DDC">
        <w:t xml:space="preserve">the implementation of </w:t>
      </w:r>
      <w:r w:rsidR="0034218B">
        <w:t xml:space="preserve">regulations one month earlier than under </w:t>
      </w:r>
      <w:r w:rsidR="0034218B" w:rsidRPr="00006826">
        <w:rPr>
          <w:b/>
        </w:rPr>
        <w:t>Alternative 1 (No Action)</w:t>
      </w:r>
      <w:r w:rsidR="0034218B">
        <w:t xml:space="preserve"> and </w:t>
      </w:r>
      <w:r w:rsidR="0034218B" w:rsidRPr="00006826">
        <w:rPr>
          <w:b/>
        </w:rPr>
        <w:t>Sub-alternative 2c</w:t>
      </w:r>
      <w:r w:rsidR="0034218B">
        <w:t>, possibly imparting some indirect biological benefit in light of changing climate and its observed effect on species’ reproductive cycles.</w:t>
      </w:r>
      <w:r w:rsidR="00496596">
        <w:t xml:space="preserve"> </w:t>
      </w:r>
      <w:r w:rsidR="00471384">
        <w:t xml:space="preserve"> Establishing the annual timeframe during which potentially stricter management measures would apply is not expected to, in itself, affect bycatch or regulatory discards.  In that respect, therefore, all of the alternatives considered under this action, including </w:t>
      </w:r>
      <w:r w:rsidR="00471384" w:rsidRPr="00471384">
        <w:rPr>
          <w:b/>
        </w:rPr>
        <w:t>Alternative 1 (No Action)</w:t>
      </w:r>
      <w:r w:rsidR="00471384">
        <w:t>,</w:t>
      </w:r>
      <w:r w:rsidR="00471384">
        <w:rPr>
          <w:b/>
        </w:rPr>
        <w:t xml:space="preserve"> </w:t>
      </w:r>
      <w:r w:rsidR="00471384">
        <w:t>would result in neutral biological effects.</w:t>
      </w:r>
    </w:p>
    <w:p w14:paraId="22F3ECD9" w14:textId="77777777" w:rsidR="00061B17" w:rsidRPr="0034218B" w:rsidRDefault="00061B17" w:rsidP="0067221B">
      <w:pPr>
        <w:ind w:firstLine="360"/>
      </w:pPr>
    </w:p>
    <w:p w14:paraId="53F61797" w14:textId="74C11765" w:rsidR="00061B17" w:rsidRDefault="00061B17" w:rsidP="00061B17">
      <w:pPr>
        <w:ind w:firstLine="360"/>
      </w:pPr>
      <w:r w:rsidRPr="004156D7">
        <w:t>Th</w:t>
      </w:r>
      <w:r>
        <w:t xml:space="preserve">e alternatives and sub-alternatives under this </w:t>
      </w:r>
      <w:r w:rsidRPr="004156D7">
        <w:t>action would not significantly modify the way in which the snapper grouper fishery is prosecuted in terms o</w:t>
      </w:r>
      <w:r>
        <w:t>f gear types used</w:t>
      </w:r>
      <w:r w:rsidRPr="004156D7">
        <w:t xml:space="preserve">.  Therefore, there are no </w:t>
      </w:r>
      <w:r w:rsidR="00495370">
        <w:t xml:space="preserve">additional </w:t>
      </w:r>
      <w:r w:rsidRPr="004156D7">
        <w:t xml:space="preserve">impacts on ESA-listed species or designated critical habitats anticipated as a result of this action (see </w:t>
      </w:r>
      <w:r w:rsidRPr="004156D7">
        <w:rPr>
          <w:b/>
        </w:rPr>
        <w:t>Section 3.2.4</w:t>
      </w:r>
      <w:r w:rsidRPr="004156D7">
        <w:t xml:space="preserve"> for a detailed description of ESA-listed species and critical habitat in the action area).  Furthermore, no </w:t>
      </w:r>
      <w:r w:rsidR="00495370">
        <w:t xml:space="preserve">additional </w:t>
      </w:r>
      <w:r w:rsidRPr="004156D7">
        <w:t>impacts on EFH or EFH-</w:t>
      </w:r>
      <w:r>
        <w:t>HAPC</w:t>
      </w:r>
      <w:r w:rsidRPr="004156D7">
        <w:t xml:space="preserve"> are expected to result from any of the alternatives considered for this action (see </w:t>
      </w:r>
      <w:r w:rsidRPr="004156D7">
        <w:rPr>
          <w:b/>
        </w:rPr>
        <w:t>Section 3.1</w:t>
      </w:r>
      <w:r w:rsidRPr="004156D7">
        <w:t xml:space="preserve"> for a detailed description of EFH in the South Atlantic Region).</w:t>
      </w:r>
    </w:p>
    <w:p w14:paraId="2B357241" w14:textId="77777777" w:rsidR="004B1A22" w:rsidRDefault="004B1A22" w:rsidP="004B1A22">
      <w:pPr>
        <w:ind w:firstLine="360"/>
      </w:pPr>
    </w:p>
    <w:p w14:paraId="389C21D4" w14:textId="4595F40A" w:rsidR="004B1A22" w:rsidRPr="00040D40" w:rsidRDefault="004B1A22" w:rsidP="00040D40">
      <w:pPr>
        <w:pStyle w:val="Heading3"/>
        <w:rPr>
          <w:szCs w:val="24"/>
        </w:rPr>
      </w:pPr>
      <w:bookmarkStart w:id="265" w:name="_Toc339811756"/>
      <w:r>
        <w:rPr>
          <w:szCs w:val="24"/>
        </w:rPr>
        <w:t>4.</w:t>
      </w:r>
      <w:r w:rsidR="0016692A">
        <w:rPr>
          <w:szCs w:val="24"/>
        </w:rPr>
        <w:t>6</w:t>
      </w:r>
      <w:r w:rsidRPr="005B5A20">
        <w:rPr>
          <w:szCs w:val="24"/>
        </w:rPr>
        <w:t>.2</w:t>
      </w:r>
      <w:r w:rsidRPr="005B5A20">
        <w:rPr>
          <w:szCs w:val="24"/>
        </w:rPr>
        <w:tab/>
        <w:t>Economic Effects</w:t>
      </w:r>
      <w:bookmarkEnd w:id="265"/>
    </w:p>
    <w:p w14:paraId="1327D2BE" w14:textId="77777777" w:rsidR="00A503F0" w:rsidRDefault="00A503F0" w:rsidP="00A503F0">
      <w:pPr>
        <w:ind w:firstLine="360"/>
      </w:pPr>
      <w:r>
        <w:t xml:space="preserve">Currently, during May through June, the commercial sector is restricted to 10 mutton snapper per person per day or 10 per person per trip but regulations do not change for the recreational sector.  Without a change in management measures during the spawning season, there would be no expected direct economic effects to the recreational sector from </w:t>
      </w:r>
      <w:r w:rsidRPr="008664D4">
        <w:rPr>
          <w:b/>
        </w:rPr>
        <w:t>Action 6</w:t>
      </w:r>
      <w:r>
        <w:t xml:space="preserve">.  If measures are put in place, such as those being considered in </w:t>
      </w:r>
      <w:r w:rsidRPr="00D10D12">
        <w:rPr>
          <w:b/>
        </w:rPr>
        <w:t>Alternative</w:t>
      </w:r>
      <w:r>
        <w:t xml:space="preserve"> </w:t>
      </w:r>
      <w:r w:rsidRPr="00D10D12">
        <w:rPr>
          <w:b/>
        </w:rPr>
        <w:t>3</w:t>
      </w:r>
      <w:r>
        <w:t xml:space="preserve"> of </w:t>
      </w:r>
      <w:r w:rsidRPr="00D10D12">
        <w:rPr>
          <w:b/>
        </w:rPr>
        <w:t>Action 7</w:t>
      </w:r>
      <w:r>
        <w:t xml:space="preserve">, then both the recreational and commercial sector may experience short-term negative economic effects from the extension of the spawning season regulations as proposed in </w:t>
      </w:r>
      <w:r w:rsidRPr="008664D4">
        <w:rPr>
          <w:b/>
        </w:rPr>
        <w:t>Preferred Sub-alternative 2a</w:t>
      </w:r>
      <w:r>
        <w:t xml:space="preserve"> through </w:t>
      </w:r>
      <w:r w:rsidRPr="008664D4">
        <w:rPr>
          <w:b/>
        </w:rPr>
        <w:t>Sub-alternative 2c</w:t>
      </w:r>
      <w:r>
        <w:t xml:space="preserve">.  The recreational sector may see a decrease in consumer surplus on trips targeting or landing mutton snapper during the designated spawning season if measures are put in place that restrict the harvest of mutton snapper.  Net operating revenue of charter and head boats that target mutton snapper may also be negatively affected if customers take fewer trips during the designated spawning season due to increased restrictions.  Commercial fishing operations could potentially see an expansion of the current spawning season restrictions that limits the number of mutton snapper that can be landed per trip, thereby possibly decreasing the profitability of these commercial trips.   Presumably these short-term negative economic effects may be offset if the biomass of mutton snapper improves as a result of additional protection during the spawning period.  Since the length of the spawning season under </w:t>
      </w:r>
      <w:r w:rsidRPr="008664D4">
        <w:rPr>
          <w:b/>
        </w:rPr>
        <w:t>Preferred Sub-alternative 2a</w:t>
      </w:r>
      <w:r>
        <w:t xml:space="preserve"> and </w:t>
      </w:r>
      <w:r w:rsidRPr="00F6141A">
        <w:rPr>
          <w:b/>
        </w:rPr>
        <w:t>Sub-alternative 2c</w:t>
      </w:r>
      <w:r>
        <w:t xml:space="preserve"> is the same, the anticipated short-term negative economic effects are similar.  Encompassing the longest time period, </w:t>
      </w:r>
      <w:r w:rsidRPr="00F6141A">
        <w:rPr>
          <w:b/>
        </w:rPr>
        <w:t>Sub-alternative 2b</w:t>
      </w:r>
      <w:r>
        <w:t xml:space="preserve"> has the greatest potential for short-term economic effects.  All of the sub-alternatives of </w:t>
      </w:r>
      <w:r w:rsidRPr="00A503F0">
        <w:rPr>
          <w:b/>
        </w:rPr>
        <w:t>Preferred Alternative 2</w:t>
      </w:r>
      <w:r>
        <w:t xml:space="preserve"> are expected to </w:t>
      </w:r>
      <w:r>
        <w:lastRenderedPageBreak/>
        <w:t xml:space="preserve">have greater short-term negative effects than </w:t>
      </w:r>
      <w:r w:rsidRPr="00A503F0">
        <w:rPr>
          <w:b/>
        </w:rPr>
        <w:t>Alternative 1 (No Action)</w:t>
      </w:r>
      <w:r>
        <w:t>, since they will all extend the time period in which spawning season restrictions are in place.</w:t>
      </w:r>
    </w:p>
    <w:p w14:paraId="3BF4D39D" w14:textId="77777777" w:rsidR="00CD31B5" w:rsidRDefault="00CD31B5" w:rsidP="00CD31B5">
      <w:pPr>
        <w:ind w:firstLine="360"/>
      </w:pPr>
    </w:p>
    <w:p w14:paraId="4949518D" w14:textId="1469DA9F" w:rsidR="004B1A22" w:rsidRPr="00F36594" w:rsidRDefault="004B1A22" w:rsidP="004B1A22">
      <w:pPr>
        <w:pStyle w:val="Heading3"/>
        <w:rPr>
          <w:szCs w:val="24"/>
        </w:rPr>
      </w:pPr>
      <w:bookmarkStart w:id="266" w:name="_Toc339811757"/>
      <w:r>
        <w:rPr>
          <w:szCs w:val="24"/>
        </w:rPr>
        <w:t>4.</w:t>
      </w:r>
      <w:r w:rsidR="0016692A">
        <w:rPr>
          <w:szCs w:val="24"/>
        </w:rPr>
        <w:t>6</w:t>
      </w:r>
      <w:r w:rsidRPr="005B5A20">
        <w:rPr>
          <w:szCs w:val="24"/>
        </w:rPr>
        <w:t>.3</w:t>
      </w:r>
      <w:r w:rsidRPr="005B5A20">
        <w:rPr>
          <w:szCs w:val="24"/>
        </w:rPr>
        <w:tab/>
        <w:t>Social Effects</w:t>
      </w:r>
      <w:bookmarkEnd w:id="266"/>
    </w:p>
    <w:p w14:paraId="590CB3C3" w14:textId="1A7150B1" w:rsidR="006F5EF9" w:rsidRDefault="006F5EF9" w:rsidP="006F5EF9">
      <w:pPr>
        <w:ind w:firstLine="360"/>
      </w:pPr>
      <w:r>
        <w:t xml:space="preserve">The effects on commercial and recreational fishermen due to an establishment of a designated season during the year with more restrictive measures would be associated with the biological benefits of the season, and the negative social and economic effects of restricted access. </w:t>
      </w:r>
      <w:r w:rsidR="001A49BE">
        <w:t xml:space="preserve"> </w:t>
      </w:r>
      <w:r>
        <w:t xml:space="preserve">Having a specified period each year with associated management measures to reduce harvest during spawning for mutton snapper </w:t>
      </w:r>
      <w:r>
        <w:rPr>
          <w:b/>
        </w:rPr>
        <w:t>(</w:t>
      </w:r>
      <w:r w:rsidR="001A49BE">
        <w:rPr>
          <w:b/>
        </w:rPr>
        <w:t xml:space="preserve">Preferred </w:t>
      </w:r>
      <w:r>
        <w:rPr>
          <w:b/>
        </w:rPr>
        <w:t>Alternative 2</w:t>
      </w:r>
      <w:r>
        <w:t xml:space="preserve">) would be expected to be beneficial to the stock. </w:t>
      </w:r>
      <w:r w:rsidR="00152D12">
        <w:t xml:space="preserve"> </w:t>
      </w:r>
      <w:r>
        <w:t xml:space="preserve">This could improve fishing opportunities in the long term by increasing spawning activity and the number of mutton snapper, but only if management measures are in place during the designated time of year. </w:t>
      </w:r>
    </w:p>
    <w:p w14:paraId="575922F8" w14:textId="77777777" w:rsidR="006F5EF9" w:rsidRDefault="006F5EF9" w:rsidP="006F5EF9"/>
    <w:p w14:paraId="1CCA6FDB" w14:textId="2B2B6312" w:rsidR="004B1A22" w:rsidRDefault="006048D0" w:rsidP="006F5EF9">
      <w:pPr>
        <w:ind w:firstLine="360"/>
      </w:pPr>
      <w:r>
        <w:t xml:space="preserve">There is no “designated” spawning season for mutton snapper by the South Atlantic Council.  However, under </w:t>
      </w:r>
      <w:r w:rsidRPr="00006826">
        <w:rPr>
          <w:b/>
        </w:rPr>
        <w:t>Alternative 1 (No Action)</w:t>
      </w:r>
      <w:r>
        <w:t xml:space="preserve"> May and June were recognized as the spawning months for mutton snapper throughout the South Atlantic Council’s area of jurisdiction for regulatory purposes in the commercial sector but not the recreational sector.  </w:t>
      </w:r>
      <w:r w:rsidR="006F5EF9">
        <w:t xml:space="preserve">However, assuming that there are associated management measures to reduce harvest during the designated periods, the long-term benefits to the mutton snapper stock would be lower than under </w:t>
      </w:r>
      <w:r w:rsidR="001A49BE" w:rsidRPr="001A49BE">
        <w:rPr>
          <w:b/>
        </w:rPr>
        <w:t xml:space="preserve">Preferred </w:t>
      </w:r>
      <w:r w:rsidR="006F5EF9">
        <w:rPr>
          <w:b/>
        </w:rPr>
        <w:t>Alternative 2</w:t>
      </w:r>
      <w:r w:rsidR="006F5EF9">
        <w:t xml:space="preserve">. </w:t>
      </w:r>
      <w:r w:rsidR="001A49BE">
        <w:t xml:space="preserve"> </w:t>
      </w:r>
      <w:r w:rsidR="006F5EF9">
        <w:t>The effects of the designated time (</w:t>
      </w:r>
      <w:r w:rsidR="006F5EF9">
        <w:rPr>
          <w:b/>
        </w:rPr>
        <w:t>Sub-alternatives 2a</w:t>
      </w:r>
      <w:r w:rsidR="001A49BE">
        <w:rPr>
          <w:b/>
        </w:rPr>
        <w:t xml:space="preserve"> (Preferred) </w:t>
      </w:r>
      <w:r w:rsidR="006F5EF9">
        <w:rPr>
          <w:b/>
        </w:rPr>
        <w:t>-2c</w:t>
      </w:r>
      <w:r w:rsidR="006F5EF9">
        <w:t xml:space="preserve">) </w:t>
      </w:r>
      <w:r>
        <w:t xml:space="preserve">would </w:t>
      </w:r>
      <w:r w:rsidR="006F5EF9">
        <w:t xml:space="preserve">depend on how the specified season lines up with actual spawning activity and how the season lines up with times of year with higher fishing activity. </w:t>
      </w:r>
      <w:r>
        <w:t xml:space="preserve"> </w:t>
      </w:r>
      <w:r w:rsidR="006F5EF9">
        <w:t xml:space="preserve">The longer designated period in </w:t>
      </w:r>
      <w:r w:rsidR="006F5EF9">
        <w:rPr>
          <w:b/>
        </w:rPr>
        <w:t>Sub-alternative 2b</w:t>
      </w:r>
      <w:r w:rsidR="006F5EF9">
        <w:t xml:space="preserve"> would likely have more negative effects on recreational fishermen than three-month periods under </w:t>
      </w:r>
      <w:r w:rsidR="006F5EF9">
        <w:rPr>
          <w:b/>
        </w:rPr>
        <w:t xml:space="preserve">Preferred Sub-alternative 2a </w:t>
      </w:r>
      <w:r w:rsidR="006F5EF9">
        <w:t xml:space="preserve">and </w:t>
      </w:r>
      <w:r w:rsidR="006F5EF9">
        <w:rPr>
          <w:b/>
        </w:rPr>
        <w:t>Sub-alternative 2c</w:t>
      </w:r>
      <w:r w:rsidR="006F5EF9">
        <w:t>, if there are management measures in place to reduce harvest during the designated period.</w:t>
      </w:r>
    </w:p>
    <w:p w14:paraId="201F1611" w14:textId="1F177996" w:rsidR="004B1A22" w:rsidRDefault="004B1A22" w:rsidP="007912CD"/>
    <w:p w14:paraId="639E5900" w14:textId="765A4662" w:rsidR="004B1A22" w:rsidRPr="00821F02" w:rsidRDefault="004B1A22" w:rsidP="004B1A22">
      <w:pPr>
        <w:pStyle w:val="Heading3"/>
        <w:rPr>
          <w:szCs w:val="24"/>
        </w:rPr>
      </w:pPr>
      <w:bookmarkStart w:id="267" w:name="_Toc339811758"/>
      <w:r>
        <w:rPr>
          <w:szCs w:val="24"/>
        </w:rPr>
        <w:t>4.</w:t>
      </w:r>
      <w:r w:rsidR="0016692A">
        <w:rPr>
          <w:szCs w:val="24"/>
        </w:rPr>
        <w:t>6</w:t>
      </w:r>
      <w:r w:rsidRPr="005B5A20">
        <w:rPr>
          <w:szCs w:val="24"/>
        </w:rPr>
        <w:t>.4</w:t>
      </w:r>
      <w:r w:rsidRPr="005B5A20">
        <w:rPr>
          <w:szCs w:val="24"/>
        </w:rPr>
        <w:tab/>
        <w:t>Administrative Effects</w:t>
      </w:r>
      <w:bookmarkEnd w:id="267"/>
      <w:r w:rsidRPr="005B5A20">
        <w:rPr>
          <w:szCs w:val="24"/>
        </w:rPr>
        <w:t xml:space="preserve"> </w:t>
      </w:r>
    </w:p>
    <w:p w14:paraId="4D466570" w14:textId="6A633106" w:rsidR="003F0DE9" w:rsidRPr="00D16431" w:rsidRDefault="003F0DE9" w:rsidP="003F0DE9">
      <w:pPr>
        <w:ind w:firstLine="360"/>
      </w:pPr>
      <w:r w:rsidRPr="00D16431">
        <w:t xml:space="preserve">The administrative effects of </w:t>
      </w:r>
      <w:r w:rsidRPr="00D16431">
        <w:rPr>
          <w:b/>
        </w:rPr>
        <w:t>Sub-alternatives 2a</w:t>
      </w:r>
      <w:r w:rsidR="008565BE">
        <w:rPr>
          <w:b/>
        </w:rPr>
        <w:t xml:space="preserve"> (Preferred)</w:t>
      </w:r>
      <w:r w:rsidRPr="0000613D">
        <w:t>,</w:t>
      </w:r>
      <w:r w:rsidRPr="00D16431">
        <w:rPr>
          <w:b/>
        </w:rPr>
        <w:t xml:space="preserve"> 2b</w:t>
      </w:r>
      <w:r w:rsidRPr="0000613D">
        <w:t>,</w:t>
      </w:r>
      <w:r w:rsidRPr="00D16431">
        <w:rPr>
          <w:b/>
        </w:rPr>
        <w:t xml:space="preserve"> </w:t>
      </w:r>
      <w:r w:rsidRPr="00D16431">
        <w:t xml:space="preserve">and </w:t>
      </w:r>
      <w:r w:rsidRPr="00D16431">
        <w:rPr>
          <w:b/>
        </w:rPr>
        <w:t>2c</w:t>
      </w:r>
      <w:r w:rsidRPr="00D16431">
        <w:t xml:space="preserve"> would add to the administrative burden </w:t>
      </w:r>
      <w:r>
        <w:t xml:space="preserve">that </w:t>
      </w:r>
      <w:r w:rsidRPr="00D16431">
        <w:t xml:space="preserve">already </w:t>
      </w:r>
      <w:r>
        <w:t xml:space="preserve">exists </w:t>
      </w:r>
      <w:r w:rsidRPr="00D16431">
        <w:t xml:space="preserve">under </w:t>
      </w:r>
      <w:r w:rsidRPr="00D16431">
        <w:rPr>
          <w:b/>
        </w:rPr>
        <w:t>Alternative 1 (No Action)</w:t>
      </w:r>
      <w:r w:rsidRPr="00D16431">
        <w:t xml:space="preserve">.  Designating a spawning season under </w:t>
      </w:r>
      <w:r w:rsidRPr="00D16431">
        <w:rPr>
          <w:b/>
        </w:rPr>
        <w:t>Sub-alternatives 2a</w:t>
      </w:r>
      <w:r w:rsidR="008565BE">
        <w:t xml:space="preserve"> </w:t>
      </w:r>
      <w:r w:rsidR="008565BE" w:rsidRPr="0000613D">
        <w:rPr>
          <w:b/>
        </w:rPr>
        <w:t>(Preferred)</w:t>
      </w:r>
      <w:r w:rsidR="008565BE">
        <w:t>,</w:t>
      </w:r>
      <w:r w:rsidR="008565BE" w:rsidRPr="00D16431">
        <w:rPr>
          <w:b/>
        </w:rPr>
        <w:t xml:space="preserve"> </w:t>
      </w:r>
      <w:r w:rsidRPr="00D16431">
        <w:rPr>
          <w:b/>
        </w:rPr>
        <w:t>2b</w:t>
      </w:r>
      <w:r w:rsidRPr="003F0DE9">
        <w:t>,</w:t>
      </w:r>
      <w:r w:rsidRPr="00D16431">
        <w:t xml:space="preserve"> and </w:t>
      </w:r>
      <w:r w:rsidRPr="00D16431">
        <w:rPr>
          <w:b/>
        </w:rPr>
        <w:t>2</w:t>
      </w:r>
      <w:r>
        <w:rPr>
          <w:b/>
        </w:rPr>
        <w:t>c</w:t>
      </w:r>
      <w:r w:rsidRPr="003F0DE9">
        <w:t>,</w:t>
      </w:r>
      <w:r w:rsidRPr="00D16431">
        <w:t xml:space="preserve"> that would be different from the other months of a calendar year (regular season) could be confusing to the public and add to the administrative burden in the form of cost, time, and law enforcement efforts compared to </w:t>
      </w:r>
      <w:r w:rsidRPr="00D16431">
        <w:rPr>
          <w:b/>
        </w:rPr>
        <w:t>Alternative 1 (No Action)</w:t>
      </w:r>
      <w:r w:rsidRPr="00D16431">
        <w:t>.</w:t>
      </w:r>
      <w:r w:rsidR="00787753">
        <w:t xml:space="preserve">  </w:t>
      </w:r>
      <w:r w:rsidR="00787753" w:rsidRPr="00787753">
        <w:t>Additionally, the public would have to be informed and educated on the closures.</w:t>
      </w:r>
    </w:p>
    <w:p w14:paraId="40E241DF" w14:textId="6EFB3E27" w:rsidR="00666827" w:rsidRDefault="00666827" w:rsidP="00116107">
      <w:r>
        <w:br w:type="page"/>
      </w:r>
    </w:p>
    <w:p w14:paraId="5ADE20F3" w14:textId="7577E635" w:rsidR="00CC3FDF" w:rsidRPr="009D352A" w:rsidRDefault="009D352A" w:rsidP="009D352A">
      <w:pPr>
        <w:pStyle w:val="Heading2"/>
        <w:rPr>
          <w:rFonts w:ascii="Arial" w:hAnsi="Arial" w:cs="Arial"/>
        </w:rPr>
      </w:pPr>
      <w:bookmarkStart w:id="268" w:name="_Toc339811759"/>
      <w:r>
        <w:rPr>
          <w:rFonts w:ascii="Arial" w:hAnsi="Arial" w:cs="Arial"/>
        </w:rPr>
        <w:lastRenderedPageBreak/>
        <w:t>4.</w:t>
      </w:r>
      <w:r w:rsidR="0016692A">
        <w:rPr>
          <w:rFonts w:ascii="Arial" w:hAnsi="Arial" w:cs="Arial"/>
        </w:rPr>
        <w:t>7</w:t>
      </w:r>
      <w:r>
        <w:rPr>
          <w:rFonts w:ascii="Arial" w:hAnsi="Arial" w:cs="Arial"/>
        </w:rPr>
        <w:tab/>
      </w:r>
      <w:r w:rsidR="00902554" w:rsidRPr="009D352A">
        <w:rPr>
          <w:rFonts w:ascii="Arial" w:hAnsi="Arial" w:cs="Arial"/>
        </w:rPr>
        <w:t xml:space="preserve">Action </w:t>
      </w:r>
      <w:r w:rsidR="0016692A">
        <w:rPr>
          <w:rFonts w:ascii="Arial" w:hAnsi="Arial" w:cs="Arial"/>
        </w:rPr>
        <w:t>7</w:t>
      </w:r>
      <w:r w:rsidR="00902554" w:rsidRPr="009D352A">
        <w:rPr>
          <w:rFonts w:ascii="Arial" w:hAnsi="Arial" w:cs="Arial"/>
        </w:rPr>
        <w:t xml:space="preserve">.  </w:t>
      </w:r>
      <w:r w:rsidRPr="008565BE">
        <w:rPr>
          <w:rFonts w:ascii="Arial" w:hAnsi="Arial" w:cs="Arial"/>
        </w:rPr>
        <w:t xml:space="preserve">Modify mutton snapper recreational bag limit in the South Atlantic </w:t>
      </w:r>
      <w:r w:rsidR="00774344" w:rsidRPr="008565BE">
        <w:rPr>
          <w:rFonts w:ascii="Arial" w:hAnsi="Arial" w:cs="Arial"/>
        </w:rPr>
        <w:t>R</w:t>
      </w:r>
      <w:r w:rsidRPr="008565BE">
        <w:rPr>
          <w:rFonts w:ascii="Arial" w:hAnsi="Arial" w:cs="Arial"/>
        </w:rPr>
        <w:t>egion</w:t>
      </w:r>
      <w:bookmarkEnd w:id="268"/>
    </w:p>
    <w:p w14:paraId="681810D8" w14:textId="77777777" w:rsidR="00D0662D" w:rsidRDefault="00D0662D" w:rsidP="00D0662D">
      <w:pPr>
        <w:rPr>
          <w:highlight w:val="yellow"/>
        </w:rPr>
      </w:pPr>
    </w:p>
    <w:p w14:paraId="5103C705" w14:textId="40EE693E" w:rsidR="00177DA1" w:rsidRPr="00177DA1" w:rsidRDefault="00FC03A7" w:rsidP="009108B8">
      <w:pPr>
        <w:pStyle w:val="Heading3"/>
      </w:pPr>
      <w:bookmarkStart w:id="269" w:name="_Toc339811760"/>
      <w:r w:rsidRPr="000E374B">
        <w:rPr>
          <w:noProof/>
          <w:color w:val="365F91" w:themeColor="accent1" w:themeShade="BF"/>
        </w:rPr>
        <mc:AlternateContent>
          <mc:Choice Requires="wps">
            <w:drawing>
              <wp:anchor distT="0" distB="0" distL="114300" distR="114300" simplePos="0" relativeHeight="251677184" behindDoc="0" locked="0" layoutInCell="1" allowOverlap="1" wp14:anchorId="1FF151CD" wp14:editId="6951DC7A">
                <wp:simplePos x="0" y="0"/>
                <wp:positionH relativeFrom="margin">
                  <wp:posOffset>3298825</wp:posOffset>
                </wp:positionH>
                <wp:positionV relativeFrom="margin">
                  <wp:posOffset>798830</wp:posOffset>
                </wp:positionV>
                <wp:extent cx="2998470" cy="4554220"/>
                <wp:effectExtent l="25400" t="101600" r="125730" b="431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4554220"/>
                        </a:xfrm>
                        <a:prstGeom prst="rect">
                          <a:avLst/>
                        </a:prstGeom>
                        <a:solidFill>
                          <a:srgbClr val="FFFFFF"/>
                        </a:solidFill>
                        <a:ln w="9525">
                          <a:solidFill>
                            <a:schemeClr val="tx2">
                              <a:lumMod val="60000"/>
                              <a:lumOff val="40000"/>
                            </a:schemeClr>
                          </a:solidFill>
                          <a:miter lim="800000"/>
                          <a:headEnd/>
                          <a:tailEnd/>
                        </a:ln>
                        <a:effectLst>
                          <a:outerShdw blurRad="50800" dist="38100" dir="18900000" algn="bl" rotWithShape="0">
                            <a:prstClr val="black">
                              <a:alpha val="40000"/>
                            </a:prstClr>
                          </a:outerShdw>
                        </a:effectLst>
                      </wps:spPr>
                      <wps:txbx>
                        <w:txbxContent>
                          <w:p w14:paraId="04F32399" w14:textId="03D411F7" w:rsidR="009108B8" w:rsidRPr="00873B9E" w:rsidRDefault="009108B8" w:rsidP="00CC3FDF">
                            <w:pPr>
                              <w:jc w:val="center"/>
                              <w:rPr>
                                <w:rFonts w:ascii="Arial" w:hAnsi="Arial" w:cs="Arial"/>
                                <w:b/>
                                <w:i/>
                                <w:iCs/>
                                <w:color w:val="365F91" w:themeColor="accent1" w:themeShade="BF"/>
                              </w:rPr>
                            </w:pPr>
                            <w:r w:rsidRPr="00873B9E">
                              <w:rPr>
                                <w:rFonts w:ascii="Arial" w:hAnsi="Arial" w:cs="Arial"/>
                                <w:b/>
                                <w:i/>
                                <w:iCs/>
                                <w:color w:val="365F91" w:themeColor="accent1" w:themeShade="BF"/>
                              </w:rPr>
                              <w:t>Alternatives*</w:t>
                            </w:r>
                          </w:p>
                          <w:p w14:paraId="7EA9488B" w14:textId="77777777" w:rsidR="009108B8" w:rsidRDefault="009108B8" w:rsidP="00CC3FDF">
                            <w:pPr>
                              <w:jc w:val="center"/>
                              <w:rPr>
                                <w:rFonts w:ascii="Arial" w:hAnsi="Arial" w:cs="Arial"/>
                                <w:b/>
                                <w:i/>
                                <w:iCs/>
                                <w:color w:val="365F91" w:themeColor="accent1" w:themeShade="BF"/>
                                <w:sz w:val="28"/>
                                <w:szCs w:val="28"/>
                              </w:rPr>
                            </w:pPr>
                          </w:p>
                          <w:p w14:paraId="3F5103E4" w14:textId="64883308" w:rsidR="009108B8" w:rsidRPr="00C40BDA" w:rsidRDefault="009108B8" w:rsidP="00CC3FDF">
                            <w:pPr>
                              <w:pStyle w:val="Normal1"/>
                              <w:spacing w:line="240" w:lineRule="auto"/>
                              <w:contextualSpacing/>
                              <w:rPr>
                                <w:color w:val="1F497D" w:themeColor="text2"/>
                                <w:sz w:val="18"/>
                                <w:szCs w:val="18"/>
                              </w:rPr>
                            </w:pPr>
                            <w:r w:rsidRPr="00C40BDA">
                              <w:rPr>
                                <w:color w:val="1F497D" w:themeColor="text2"/>
                                <w:sz w:val="18"/>
                                <w:szCs w:val="18"/>
                              </w:rPr>
                              <w:t xml:space="preserve">1 (No Action). </w:t>
                            </w:r>
                            <w:r>
                              <w:rPr>
                                <w:color w:val="1F497D" w:themeColor="text2"/>
                                <w:sz w:val="18"/>
                                <w:szCs w:val="18"/>
                              </w:rPr>
                              <w:t xml:space="preserve"> </w:t>
                            </w:r>
                            <w:r w:rsidRPr="00FC03A7">
                              <w:rPr>
                                <w:color w:val="1F497D" w:themeColor="text2"/>
                                <w:sz w:val="18"/>
                                <w:szCs w:val="18"/>
                              </w:rPr>
                              <w:t xml:space="preserve">Mutton snapper is part of the aggregate 10 snapper bag limit in the South Atlantic that applies throughout the fishing year. </w:t>
                            </w:r>
                            <w:r w:rsidRPr="00C40BDA">
                              <w:rPr>
                                <w:color w:val="1F497D" w:themeColor="text2"/>
                                <w:sz w:val="18"/>
                                <w:szCs w:val="18"/>
                              </w:rPr>
                              <w:t xml:space="preserve"> </w:t>
                            </w:r>
                          </w:p>
                          <w:p w14:paraId="220F245C" w14:textId="77777777" w:rsidR="009108B8" w:rsidRPr="00C40BDA" w:rsidRDefault="009108B8" w:rsidP="00CC3FDF">
                            <w:pPr>
                              <w:contextualSpacing/>
                              <w:rPr>
                                <w:rFonts w:ascii="Arial" w:eastAsia="Courier New" w:hAnsi="Arial" w:cs="Arial"/>
                                <w:color w:val="1F497D" w:themeColor="text2"/>
                                <w:sz w:val="18"/>
                                <w:szCs w:val="18"/>
                              </w:rPr>
                            </w:pPr>
                          </w:p>
                          <w:p w14:paraId="39F2B1CB" w14:textId="7888A14F" w:rsidR="009108B8" w:rsidRPr="009D352A" w:rsidRDefault="009108B8" w:rsidP="00CC3FDF">
                            <w:pPr>
                              <w:contextualSpacing/>
                              <w:rPr>
                                <w:rFonts w:ascii="Arial" w:eastAsia="Courier New" w:hAnsi="Arial" w:cs="Arial"/>
                                <w:color w:val="1F497D" w:themeColor="text2"/>
                                <w:sz w:val="18"/>
                                <w:szCs w:val="18"/>
                              </w:rPr>
                            </w:pPr>
                            <w:r w:rsidRPr="00C40BDA">
                              <w:rPr>
                                <w:rFonts w:ascii="Arial" w:hAnsi="Arial" w:cs="Arial"/>
                                <w:color w:val="1F497D" w:themeColor="text2"/>
                                <w:sz w:val="18"/>
                                <w:szCs w:val="18"/>
                              </w:rPr>
                              <w:t>2.</w:t>
                            </w:r>
                            <w:r w:rsidRPr="00C40BDA">
                              <w:rPr>
                                <w:rFonts w:eastAsia="Calibri"/>
                              </w:rPr>
                              <w:t xml:space="preserve"> </w:t>
                            </w:r>
                            <w:r w:rsidRPr="00C40BDA">
                              <w:rPr>
                                <w:rFonts w:ascii="Arial" w:hAnsi="Arial" w:cs="Arial"/>
                                <w:color w:val="1F497D" w:themeColor="text2"/>
                                <w:sz w:val="18"/>
                                <w:szCs w:val="18"/>
                              </w:rPr>
                              <w:t>Reta</w:t>
                            </w:r>
                            <w:r>
                              <w:rPr>
                                <w:rFonts w:ascii="Arial" w:hAnsi="Arial" w:cs="Arial"/>
                                <w:color w:val="1F497D" w:themeColor="text2"/>
                                <w:sz w:val="18"/>
                                <w:szCs w:val="18"/>
                              </w:rPr>
                              <w:t>in mutton snapper within the 10-</w:t>
                            </w:r>
                            <w:r w:rsidRPr="00C40BDA">
                              <w:rPr>
                                <w:rFonts w:ascii="Arial" w:hAnsi="Arial" w:cs="Arial"/>
                                <w:color w:val="1F497D" w:themeColor="text2"/>
                                <w:sz w:val="18"/>
                                <w:szCs w:val="18"/>
                              </w:rPr>
                              <w:t xml:space="preserve">snapper </w:t>
                            </w:r>
                            <w:r w:rsidRPr="009D352A">
                              <w:rPr>
                                <w:rFonts w:ascii="Arial" w:hAnsi="Arial" w:cs="Arial"/>
                                <w:color w:val="1F497D" w:themeColor="text2"/>
                                <w:sz w:val="18"/>
                                <w:szCs w:val="18"/>
                              </w:rPr>
                              <w:t xml:space="preserve">aggregate bag limit, but specify a bag limit for mutton snapper during the “regular season” (i.e., non-spawning months).  </w:t>
                            </w:r>
                          </w:p>
                          <w:p w14:paraId="2563CE6A" w14:textId="52E266E0" w:rsidR="009108B8" w:rsidRPr="009D352A" w:rsidRDefault="009108B8" w:rsidP="0095517F">
                            <w:pPr>
                              <w:ind w:left="540"/>
                              <w:contextualSpacing/>
                              <w:rPr>
                                <w:rFonts w:ascii="Arial" w:hAnsi="Arial" w:cs="Arial"/>
                                <w:color w:val="1F497D" w:themeColor="text2"/>
                                <w:sz w:val="18"/>
                                <w:szCs w:val="18"/>
                              </w:rPr>
                            </w:pPr>
                            <w:r w:rsidRPr="009D352A">
                              <w:rPr>
                                <w:rFonts w:ascii="Arial" w:hAnsi="Arial" w:cs="Arial"/>
                                <w:color w:val="1F497D" w:themeColor="text2"/>
                                <w:sz w:val="18"/>
                                <w:szCs w:val="18"/>
                              </w:rPr>
                              <w:t xml:space="preserve">2a. </w:t>
                            </w:r>
                            <w:r>
                              <w:rPr>
                                <w:rFonts w:ascii="Arial" w:hAnsi="Arial" w:cs="Arial"/>
                                <w:color w:val="1F497D" w:themeColor="text2"/>
                                <w:sz w:val="18"/>
                                <w:szCs w:val="18"/>
                              </w:rPr>
                              <w:t xml:space="preserve"> </w:t>
                            </w:r>
                            <w:r w:rsidRPr="009D352A">
                              <w:rPr>
                                <w:rFonts w:ascii="Arial" w:hAnsi="Arial" w:cs="Arial"/>
                                <w:color w:val="1F497D" w:themeColor="text2"/>
                                <w:sz w:val="18"/>
                                <w:szCs w:val="18"/>
                              </w:rPr>
                              <w:t xml:space="preserve">4 fish/person/day </w:t>
                            </w:r>
                          </w:p>
                          <w:p w14:paraId="00F26D43" w14:textId="52916EE0" w:rsidR="009108B8" w:rsidRPr="009D352A" w:rsidRDefault="009108B8" w:rsidP="0095517F">
                            <w:pPr>
                              <w:ind w:left="540"/>
                              <w:contextualSpacing/>
                              <w:rPr>
                                <w:rFonts w:ascii="Arial" w:hAnsi="Arial" w:cs="Arial"/>
                                <w:color w:val="1F497D" w:themeColor="text2"/>
                                <w:sz w:val="18"/>
                                <w:szCs w:val="18"/>
                              </w:rPr>
                            </w:pPr>
                            <w:r w:rsidRPr="009D352A">
                              <w:rPr>
                                <w:rFonts w:ascii="Arial" w:hAnsi="Arial" w:cs="Arial"/>
                                <w:color w:val="1F497D" w:themeColor="text2"/>
                                <w:sz w:val="18"/>
                                <w:szCs w:val="18"/>
                              </w:rPr>
                              <w:t xml:space="preserve">2b. </w:t>
                            </w:r>
                            <w:r>
                              <w:rPr>
                                <w:rFonts w:ascii="Arial" w:hAnsi="Arial" w:cs="Arial"/>
                                <w:color w:val="1F497D" w:themeColor="text2"/>
                                <w:sz w:val="18"/>
                                <w:szCs w:val="18"/>
                              </w:rPr>
                              <w:t xml:space="preserve"> </w:t>
                            </w:r>
                            <w:r w:rsidRPr="009D352A">
                              <w:rPr>
                                <w:rFonts w:ascii="Arial" w:hAnsi="Arial" w:cs="Arial"/>
                                <w:color w:val="1F497D" w:themeColor="text2"/>
                                <w:sz w:val="18"/>
                                <w:szCs w:val="18"/>
                              </w:rPr>
                              <w:t xml:space="preserve">5 fish/person/day </w:t>
                            </w:r>
                          </w:p>
                          <w:p w14:paraId="6F565205" w14:textId="30575680" w:rsidR="009108B8" w:rsidRPr="009D352A" w:rsidRDefault="009108B8" w:rsidP="0095517F">
                            <w:pPr>
                              <w:ind w:left="540"/>
                              <w:contextualSpacing/>
                              <w:rPr>
                                <w:rFonts w:ascii="Arial" w:hAnsi="Arial" w:cs="Arial"/>
                                <w:color w:val="1F497D" w:themeColor="text2"/>
                                <w:sz w:val="18"/>
                                <w:szCs w:val="18"/>
                              </w:rPr>
                            </w:pPr>
                            <w:r w:rsidRPr="009D352A">
                              <w:rPr>
                                <w:rFonts w:ascii="Arial" w:hAnsi="Arial" w:cs="Arial"/>
                                <w:color w:val="1F497D" w:themeColor="text2"/>
                                <w:sz w:val="18"/>
                                <w:szCs w:val="18"/>
                              </w:rPr>
                              <w:t xml:space="preserve">2c. </w:t>
                            </w:r>
                            <w:r>
                              <w:rPr>
                                <w:rFonts w:ascii="Arial" w:hAnsi="Arial" w:cs="Arial"/>
                                <w:color w:val="1F497D" w:themeColor="text2"/>
                                <w:sz w:val="18"/>
                                <w:szCs w:val="18"/>
                              </w:rPr>
                              <w:t xml:space="preserve"> </w:t>
                            </w:r>
                            <w:r w:rsidRPr="009D352A">
                              <w:rPr>
                                <w:rFonts w:ascii="Arial" w:hAnsi="Arial" w:cs="Arial"/>
                                <w:color w:val="1F497D" w:themeColor="text2"/>
                                <w:sz w:val="18"/>
                                <w:szCs w:val="18"/>
                              </w:rPr>
                              <w:t xml:space="preserve">10 fish/person/day </w:t>
                            </w:r>
                          </w:p>
                          <w:p w14:paraId="2E9B8074" w14:textId="77777777" w:rsidR="009108B8" w:rsidRPr="009D352A" w:rsidRDefault="009108B8" w:rsidP="0095517F">
                            <w:pPr>
                              <w:ind w:left="540"/>
                              <w:contextualSpacing/>
                              <w:rPr>
                                <w:rFonts w:ascii="Arial" w:hAnsi="Arial" w:cs="Arial"/>
                                <w:color w:val="1F497D" w:themeColor="text2"/>
                                <w:sz w:val="18"/>
                                <w:szCs w:val="18"/>
                              </w:rPr>
                            </w:pPr>
                          </w:p>
                          <w:p w14:paraId="1E9BB577" w14:textId="02265CC7" w:rsidR="009108B8" w:rsidRPr="009D352A" w:rsidRDefault="009108B8" w:rsidP="00CC3FDF">
                            <w:pPr>
                              <w:contextualSpacing/>
                              <w:rPr>
                                <w:rFonts w:ascii="Arial" w:eastAsia="Courier New" w:hAnsi="Arial" w:cs="Arial"/>
                                <w:color w:val="1F497D" w:themeColor="text2"/>
                                <w:sz w:val="18"/>
                                <w:szCs w:val="18"/>
                              </w:rPr>
                            </w:pPr>
                            <w:r w:rsidRPr="009D352A">
                              <w:rPr>
                                <w:rFonts w:ascii="Arial" w:hAnsi="Arial" w:cs="Arial"/>
                                <w:color w:val="1F497D" w:themeColor="text2"/>
                                <w:sz w:val="18"/>
                                <w:szCs w:val="18"/>
                              </w:rPr>
                              <w:t xml:space="preserve">3. Retain mutton snapper within the </w:t>
                            </w:r>
                            <w:r>
                              <w:rPr>
                                <w:rFonts w:ascii="Arial" w:hAnsi="Arial" w:cs="Arial"/>
                                <w:color w:val="1F497D" w:themeColor="text2"/>
                                <w:sz w:val="18"/>
                                <w:szCs w:val="18"/>
                              </w:rPr>
                              <w:t>10-</w:t>
                            </w:r>
                            <w:r w:rsidRPr="009D352A">
                              <w:rPr>
                                <w:rFonts w:ascii="Arial" w:hAnsi="Arial" w:cs="Arial"/>
                                <w:color w:val="1F497D" w:themeColor="text2"/>
                                <w:sz w:val="18"/>
                                <w:szCs w:val="18"/>
                              </w:rPr>
                              <w:t>snapper aggregate bag limit, but specify bag/vessel limits for mutton snapper during the “spawning months”</w:t>
                            </w:r>
                          </w:p>
                          <w:p w14:paraId="61AFD897" w14:textId="1369FE8E" w:rsidR="009108B8" w:rsidRDefault="009108B8" w:rsidP="0095517F">
                            <w:pPr>
                              <w:ind w:left="540"/>
                              <w:contextualSpacing/>
                              <w:rPr>
                                <w:rFonts w:ascii="Arial" w:eastAsia="Courier New" w:hAnsi="Arial" w:cs="Arial"/>
                                <w:color w:val="1F497D" w:themeColor="text2"/>
                                <w:sz w:val="18"/>
                                <w:szCs w:val="18"/>
                              </w:rPr>
                            </w:pPr>
                            <w:r w:rsidRPr="009D352A">
                              <w:rPr>
                                <w:rFonts w:ascii="Arial" w:eastAsia="Courier New" w:hAnsi="Arial" w:cs="Arial"/>
                                <w:color w:val="1F497D" w:themeColor="text2"/>
                                <w:sz w:val="18"/>
                                <w:szCs w:val="18"/>
                              </w:rPr>
                              <w:t>3a.  2 fish/person/day</w:t>
                            </w:r>
                          </w:p>
                          <w:p w14:paraId="50B36029" w14:textId="645757D7" w:rsidR="009108B8" w:rsidRPr="009D352A" w:rsidRDefault="009108B8" w:rsidP="0095517F">
                            <w:pPr>
                              <w:ind w:left="540"/>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3b.  3 fish/person/day</w:t>
                            </w:r>
                          </w:p>
                          <w:p w14:paraId="1C8EEFB2" w14:textId="764F7FD5" w:rsidR="009108B8" w:rsidRPr="009D352A" w:rsidRDefault="009108B8" w:rsidP="0095517F">
                            <w:pPr>
                              <w:ind w:left="540"/>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3c</w:t>
                            </w:r>
                            <w:r w:rsidRPr="009D352A">
                              <w:rPr>
                                <w:rFonts w:ascii="Arial" w:eastAsia="Courier New" w:hAnsi="Arial" w:cs="Arial"/>
                                <w:color w:val="1F497D" w:themeColor="text2"/>
                                <w:sz w:val="18"/>
                                <w:szCs w:val="18"/>
                              </w:rPr>
                              <w:t xml:space="preserve">. </w:t>
                            </w:r>
                            <w:r>
                              <w:rPr>
                                <w:rFonts w:ascii="Arial" w:eastAsia="Courier New" w:hAnsi="Arial" w:cs="Arial"/>
                                <w:color w:val="1F497D" w:themeColor="text2"/>
                                <w:sz w:val="18"/>
                                <w:szCs w:val="18"/>
                              </w:rPr>
                              <w:t xml:space="preserve"> 1</w:t>
                            </w:r>
                            <w:r w:rsidRPr="009D352A">
                              <w:rPr>
                                <w:rFonts w:ascii="Arial" w:eastAsia="Courier New" w:hAnsi="Arial" w:cs="Arial"/>
                                <w:color w:val="1F497D" w:themeColor="text2"/>
                                <w:sz w:val="18"/>
                                <w:szCs w:val="18"/>
                              </w:rPr>
                              <w:t xml:space="preserve">0 fish/vessel/day </w:t>
                            </w:r>
                          </w:p>
                          <w:p w14:paraId="328E4366" w14:textId="68894CAD" w:rsidR="009108B8" w:rsidRDefault="009108B8" w:rsidP="0095517F">
                            <w:pPr>
                              <w:ind w:left="540"/>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3d</w:t>
                            </w:r>
                            <w:r w:rsidRPr="009D352A">
                              <w:rPr>
                                <w:rFonts w:ascii="Arial" w:eastAsia="Courier New" w:hAnsi="Arial" w:cs="Arial"/>
                                <w:color w:val="1F497D" w:themeColor="text2"/>
                                <w:sz w:val="18"/>
                                <w:szCs w:val="18"/>
                              </w:rPr>
                              <w:t xml:space="preserve">. </w:t>
                            </w:r>
                            <w:r>
                              <w:rPr>
                                <w:rFonts w:ascii="Arial" w:eastAsia="Courier New" w:hAnsi="Arial" w:cs="Arial"/>
                                <w:color w:val="1F497D" w:themeColor="text2"/>
                                <w:sz w:val="18"/>
                                <w:szCs w:val="18"/>
                              </w:rPr>
                              <w:t xml:space="preserve"> </w:t>
                            </w:r>
                            <w:r w:rsidRPr="009D352A">
                              <w:rPr>
                                <w:rFonts w:ascii="Arial" w:eastAsia="Courier New" w:hAnsi="Arial" w:cs="Arial"/>
                                <w:color w:val="1F497D" w:themeColor="text2"/>
                                <w:sz w:val="18"/>
                                <w:szCs w:val="18"/>
                              </w:rPr>
                              <w:t>12 fish/vessel/day</w:t>
                            </w:r>
                          </w:p>
                          <w:p w14:paraId="6D0D7EA5" w14:textId="41853E8E" w:rsidR="009108B8" w:rsidRPr="009D352A" w:rsidRDefault="009108B8" w:rsidP="0095517F">
                            <w:pPr>
                              <w:ind w:left="540"/>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3e.  No retention</w:t>
                            </w:r>
                          </w:p>
                          <w:p w14:paraId="568D491B" w14:textId="77777777" w:rsidR="009108B8" w:rsidRPr="009D352A" w:rsidRDefault="009108B8" w:rsidP="00CC3FDF">
                            <w:pPr>
                              <w:contextualSpacing/>
                              <w:rPr>
                                <w:rFonts w:ascii="Arial" w:eastAsia="Courier New" w:hAnsi="Arial" w:cs="Arial"/>
                                <w:color w:val="1F497D" w:themeColor="text2"/>
                                <w:sz w:val="18"/>
                                <w:szCs w:val="18"/>
                              </w:rPr>
                            </w:pPr>
                          </w:p>
                          <w:p w14:paraId="25A99356" w14:textId="2A91A2CC" w:rsidR="009108B8" w:rsidRPr="008565BE" w:rsidRDefault="009108B8" w:rsidP="00CC3FDF">
                            <w:pPr>
                              <w:contextualSpacing/>
                              <w:rPr>
                                <w:rFonts w:ascii="Arial" w:eastAsia="Courier New" w:hAnsi="Arial" w:cs="Arial"/>
                                <w:b/>
                                <w:color w:val="1F497D" w:themeColor="text2"/>
                                <w:sz w:val="18"/>
                                <w:szCs w:val="18"/>
                              </w:rPr>
                            </w:pPr>
                            <w:r w:rsidRPr="009D352A">
                              <w:rPr>
                                <w:rFonts w:ascii="Arial" w:eastAsia="Courier New" w:hAnsi="Arial" w:cs="Arial"/>
                                <w:color w:val="1F497D" w:themeColor="text2"/>
                                <w:sz w:val="18"/>
                                <w:szCs w:val="18"/>
                              </w:rPr>
                              <w:t xml:space="preserve">4. </w:t>
                            </w:r>
                            <w:r w:rsidRPr="008565BE">
                              <w:rPr>
                                <w:rFonts w:ascii="Arial" w:eastAsia="Courier New" w:hAnsi="Arial" w:cs="Arial"/>
                                <w:b/>
                                <w:color w:val="1F497D" w:themeColor="text2"/>
                                <w:sz w:val="18"/>
                                <w:szCs w:val="18"/>
                              </w:rPr>
                              <w:t>Retain mutton snapper within the 10-snapper aggregate bag limit, but specify bag limits for mutton snapper within the aggregate bag limit year round.</w:t>
                            </w:r>
                          </w:p>
                          <w:p w14:paraId="4E602E5A" w14:textId="24B11207" w:rsidR="009108B8" w:rsidRPr="0095517F" w:rsidRDefault="009108B8" w:rsidP="0095517F">
                            <w:pPr>
                              <w:ind w:left="540"/>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4a.  2 fish/person/day</w:t>
                            </w:r>
                          </w:p>
                          <w:p w14:paraId="5ADF0989" w14:textId="75A8DC43" w:rsidR="009108B8" w:rsidRPr="00FC03A7" w:rsidRDefault="009108B8" w:rsidP="0095517F">
                            <w:pPr>
                              <w:ind w:left="540"/>
                              <w:contextualSpacing/>
                              <w:rPr>
                                <w:rFonts w:ascii="Arial" w:eastAsia="Courier New" w:hAnsi="Arial" w:cs="Arial"/>
                                <w:color w:val="1F497D" w:themeColor="text2"/>
                                <w:sz w:val="18"/>
                                <w:szCs w:val="18"/>
                              </w:rPr>
                            </w:pPr>
                            <w:r w:rsidRPr="00FC03A7">
                              <w:rPr>
                                <w:rFonts w:ascii="Arial" w:eastAsia="Courier New" w:hAnsi="Arial" w:cs="Arial"/>
                                <w:color w:val="1F497D" w:themeColor="text2"/>
                                <w:sz w:val="18"/>
                                <w:szCs w:val="18"/>
                              </w:rPr>
                              <w:t>4b.  3 fish/person/day</w:t>
                            </w:r>
                          </w:p>
                          <w:p w14:paraId="053A7777" w14:textId="0EAC5C48" w:rsidR="009108B8" w:rsidRPr="00FC03A7" w:rsidRDefault="009108B8" w:rsidP="0095517F">
                            <w:pPr>
                              <w:ind w:left="540"/>
                              <w:contextualSpacing/>
                              <w:rPr>
                                <w:rFonts w:ascii="Arial" w:eastAsia="Courier New" w:hAnsi="Arial" w:cs="Arial"/>
                                <w:b/>
                                <w:color w:val="1F497D" w:themeColor="text2"/>
                                <w:sz w:val="18"/>
                                <w:szCs w:val="18"/>
                              </w:rPr>
                            </w:pPr>
                            <w:r w:rsidRPr="00FC03A7">
                              <w:rPr>
                                <w:rFonts w:ascii="Arial" w:eastAsia="Courier New" w:hAnsi="Arial" w:cs="Arial"/>
                                <w:b/>
                                <w:color w:val="1F497D" w:themeColor="text2"/>
                                <w:sz w:val="18"/>
                                <w:szCs w:val="18"/>
                              </w:rPr>
                              <w:t>4c.  5 fish/person/day</w:t>
                            </w:r>
                          </w:p>
                          <w:p w14:paraId="504BA5CC" w14:textId="77777777" w:rsidR="009108B8" w:rsidRDefault="009108B8" w:rsidP="0095517F">
                            <w:pPr>
                              <w:ind w:left="540"/>
                              <w:contextualSpacing/>
                              <w:rPr>
                                <w:rFonts w:ascii="Arial" w:eastAsia="Courier New" w:hAnsi="Arial" w:cs="Arial"/>
                                <w:color w:val="1F497D" w:themeColor="text2"/>
                                <w:sz w:val="18"/>
                                <w:szCs w:val="18"/>
                              </w:rPr>
                            </w:pPr>
                          </w:p>
                          <w:p w14:paraId="01246E56" w14:textId="04842145" w:rsidR="009108B8" w:rsidRDefault="009108B8" w:rsidP="009D352A">
                            <w:pPr>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 Preferred indicated in bold.  Refer to Chapter 2 for detailed language of alternatives</w:t>
                            </w:r>
                          </w:p>
                          <w:p w14:paraId="6DA989F1" w14:textId="77777777" w:rsidR="009108B8" w:rsidRPr="0095517F" w:rsidRDefault="009108B8" w:rsidP="0095517F">
                            <w:pPr>
                              <w:ind w:left="540"/>
                              <w:contextualSpacing/>
                              <w:rPr>
                                <w:rFonts w:ascii="Arial" w:eastAsia="Courier New" w:hAnsi="Arial" w:cs="Arial"/>
                                <w:color w:val="1F497D" w:themeColor="text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59.75pt;margin-top:62.9pt;width:236.1pt;height:358.6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" strokecolor="#548dd4 [1951]">
                <v:shadow on="t" opacity="26214f" mv:blur="50800f" origin="-.5,.5" offset="26941emu,-26941emu"/>
                <v:textbox>
                  <w:txbxContent>
                    <w:p w14:paraId="04F32399" w14:textId="03D411F7" w:rsidR="009108B8" w:rsidRPr="00873B9E" w:rsidRDefault="009108B8" w:rsidP="00CC3FDF">
                      <w:pPr>
                        <w:jc w:val="center"/>
                        <w:rPr>
                          <w:rFonts w:ascii="Arial" w:hAnsi="Arial" w:cs="Arial"/>
                          <w:b/>
                          <w:i/>
                          <w:iCs/>
                          <w:color w:val="365F91" w:themeColor="accent1" w:themeShade="BF"/>
                        </w:rPr>
                      </w:pPr>
                      <w:r w:rsidRPr="00873B9E">
                        <w:rPr>
                          <w:rFonts w:ascii="Arial" w:hAnsi="Arial" w:cs="Arial"/>
                          <w:b/>
                          <w:i/>
                          <w:iCs/>
                          <w:color w:val="365F91" w:themeColor="accent1" w:themeShade="BF"/>
                        </w:rPr>
                        <w:t>Alternatives*</w:t>
                      </w:r>
                    </w:p>
                    <w:p w14:paraId="7EA9488B" w14:textId="77777777" w:rsidR="009108B8" w:rsidRDefault="009108B8" w:rsidP="00CC3FDF">
                      <w:pPr>
                        <w:jc w:val="center"/>
                        <w:rPr>
                          <w:rFonts w:ascii="Arial" w:hAnsi="Arial" w:cs="Arial"/>
                          <w:b/>
                          <w:i/>
                          <w:iCs/>
                          <w:color w:val="365F91" w:themeColor="accent1" w:themeShade="BF"/>
                          <w:sz w:val="28"/>
                          <w:szCs w:val="28"/>
                        </w:rPr>
                      </w:pPr>
                    </w:p>
                    <w:p w14:paraId="3F5103E4" w14:textId="64883308" w:rsidR="009108B8" w:rsidRPr="00C40BDA" w:rsidRDefault="009108B8" w:rsidP="00CC3FDF">
                      <w:pPr>
                        <w:pStyle w:val="Normal1"/>
                        <w:spacing w:line="240" w:lineRule="auto"/>
                        <w:contextualSpacing/>
                        <w:rPr>
                          <w:color w:val="1F497D" w:themeColor="text2"/>
                          <w:sz w:val="18"/>
                          <w:szCs w:val="18"/>
                        </w:rPr>
                      </w:pPr>
                      <w:r w:rsidRPr="00C40BDA">
                        <w:rPr>
                          <w:color w:val="1F497D" w:themeColor="text2"/>
                          <w:sz w:val="18"/>
                          <w:szCs w:val="18"/>
                        </w:rPr>
                        <w:t xml:space="preserve">1 (No Action). </w:t>
                      </w:r>
                      <w:r>
                        <w:rPr>
                          <w:color w:val="1F497D" w:themeColor="text2"/>
                          <w:sz w:val="18"/>
                          <w:szCs w:val="18"/>
                        </w:rPr>
                        <w:t xml:space="preserve"> </w:t>
                      </w:r>
                      <w:r w:rsidRPr="00FC03A7">
                        <w:rPr>
                          <w:color w:val="1F497D" w:themeColor="text2"/>
                          <w:sz w:val="18"/>
                          <w:szCs w:val="18"/>
                        </w:rPr>
                        <w:t xml:space="preserve">Mutton snapper is part of the aggregate 10 snapper bag limit in the South Atlantic that applies throughout the fishing year. </w:t>
                      </w:r>
                      <w:r w:rsidRPr="00C40BDA">
                        <w:rPr>
                          <w:color w:val="1F497D" w:themeColor="text2"/>
                          <w:sz w:val="18"/>
                          <w:szCs w:val="18"/>
                        </w:rPr>
                        <w:t xml:space="preserve"> </w:t>
                      </w:r>
                    </w:p>
                    <w:p w14:paraId="220F245C" w14:textId="77777777" w:rsidR="009108B8" w:rsidRPr="00C40BDA" w:rsidRDefault="009108B8" w:rsidP="00CC3FDF">
                      <w:pPr>
                        <w:contextualSpacing/>
                        <w:rPr>
                          <w:rFonts w:ascii="Arial" w:eastAsia="Courier New" w:hAnsi="Arial" w:cs="Arial"/>
                          <w:color w:val="1F497D" w:themeColor="text2"/>
                          <w:sz w:val="18"/>
                          <w:szCs w:val="18"/>
                        </w:rPr>
                      </w:pPr>
                    </w:p>
                    <w:p w14:paraId="39F2B1CB" w14:textId="7888A14F" w:rsidR="009108B8" w:rsidRPr="009D352A" w:rsidRDefault="009108B8" w:rsidP="00CC3FDF">
                      <w:pPr>
                        <w:contextualSpacing/>
                        <w:rPr>
                          <w:rFonts w:ascii="Arial" w:eastAsia="Courier New" w:hAnsi="Arial" w:cs="Arial"/>
                          <w:color w:val="1F497D" w:themeColor="text2"/>
                          <w:sz w:val="18"/>
                          <w:szCs w:val="18"/>
                        </w:rPr>
                      </w:pPr>
                      <w:r w:rsidRPr="00C40BDA">
                        <w:rPr>
                          <w:rFonts w:ascii="Arial" w:hAnsi="Arial" w:cs="Arial"/>
                          <w:color w:val="1F497D" w:themeColor="text2"/>
                          <w:sz w:val="18"/>
                          <w:szCs w:val="18"/>
                        </w:rPr>
                        <w:t>2.</w:t>
                      </w:r>
                      <w:r w:rsidRPr="00C40BDA">
                        <w:rPr>
                          <w:rFonts w:eastAsia="Calibri"/>
                        </w:rPr>
                        <w:t xml:space="preserve"> </w:t>
                      </w:r>
                      <w:r w:rsidRPr="00C40BDA">
                        <w:rPr>
                          <w:rFonts w:ascii="Arial" w:hAnsi="Arial" w:cs="Arial"/>
                          <w:color w:val="1F497D" w:themeColor="text2"/>
                          <w:sz w:val="18"/>
                          <w:szCs w:val="18"/>
                        </w:rPr>
                        <w:t>Reta</w:t>
                      </w:r>
                      <w:r>
                        <w:rPr>
                          <w:rFonts w:ascii="Arial" w:hAnsi="Arial" w:cs="Arial"/>
                          <w:color w:val="1F497D" w:themeColor="text2"/>
                          <w:sz w:val="18"/>
                          <w:szCs w:val="18"/>
                        </w:rPr>
                        <w:t>in mutton snapper within the 10-</w:t>
                      </w:r>
                      <w:r w:rsidRPr="00C40BDA">
                        <w:rPr>
                          <w:rFonts w:ascii="Arial" w:hAnsi="Arial" w:cs="Arial"/>
                          <w:color w:val="1F497D" w:themeColor="text2"/>
                          <w:sz w:val="18"/>
                          <w:szCs w:val="18"/>
                        </w:rPr>
                        <w:t xml:space="preserve">snapper </w:t>
                      </w:r>
                      <w:r w:rsidRPr="009D352A">
                        <w:rPr>
                          <w:rFonts w:ascii="Arial" w:hAnsi="Arial" w:cs="Arial"/>
                          <w:color w:val="1F497D" w:themeColor="text2"/>
                          <w:sz w:val="18"/>
                          <w:szCs w:val="18"/>
                        </w:rPr>
                        <w:t xml:space="preserve">aggregate bag limit, but specify a bag limit for mutton snapper during the “regular season” (i.e., non-spawning months).  </w:t>
                      </w:r>
                    </w:p>
                    <w:p w14:paraId="2563CE6A" w14:textId="52E266E0" w:rsidR="009108B8" w:rsidRPr="009D352A" w:rsidRDefault="009108B8" w:rsidP="0095517F">
                      <w:pPr>
                        <w:ind w:left="540"/>
                        <w:contextualSpacing/>
                        <w:rPr>
                          <w:rFonts w:ascii="Arial" w:hAnsi="Arial" w:cs="Arial"/>
                          <w:color w:val="1F497D" w:themeColor="text2"/>
                          <w:sz w:val="18"/>
                          <w:szCs w:val="18"/>
                        </w:rPr>
                      </w:pPr>
                      <w:r w:rsidRPr="009D352A">
                        <w:rPr>
                          <w:rFonts w:ascii="Arial" w:hAnsi="Arial" w:cs="Arial"/>
                          <w:color w:val="1F497D" w:themeColor="text2"/>
                          <w:sz w:val="18"/>
                          <w:szCs w:val="18"/>
                        </w:rPr>
                        <w:t xml:space="preserve">2a. </w:t>
                      </w:r>
                      <w:r>
                        <w:rPr>
                          <w:rFonts w:ascii="Arial" w:hAnsi="Arial" w:cs="Arial"/>
                          <w:color w:val="1F497D" w:themeColor="text2"/>
                          <w:sz w:val="18"/>
                          <w:szCs w:val="18"/>
                        </w:rPr>
                        <w:t xml:space="preserve"> </w:t>
                      </w:r>
                      <w:r w:rsidRPr="009D352A">
                        <w:rPr>
                          <w:rFonts w:ascii="Arial" w:hAnsi="Arial" w:cs="Arial"/>
                          <w:color w:val="1F497D" w:themeColor="text2"/>
                          <w:sz w:val="18"/>
                          <w:szCs w:val="18"/>
                        </w:rPr>
                        <w:t xml:space="preserve">4 fish/person/day </w:t>
                      </w:r>
                    </w:p>
                    <w:p w14:paraId="00F26D43" w14:textId="52916EE0" w:rsidR="009108B8" w:rsidRPr="009D352A" w:rsidRDefault="009108B8" w:rsidP="0095517F">
                      <w:pPr>
                        <w:ind w:left="540"/>
                        <w:contextualSpacing/>
                        <w:rPr>
                          <w:rFonts w:ascii="Arial" w:hAnsi="Arial" w:cs="Arial"/>
                          <w:color w:val="1F497D" w:themeColor="text2"/>
                          <w:sz w:val="18"/>
                          <w:szCs w:val="18"/>
                        </w:rPr>
                      </w:pPr>
                      <w:r w:rsidRPr="009D352A">
                        <w:rPr>
                          <w:rFonts w:ascii="Arial" w:hAnsi="Arial" w:cs="Arial"/>
                          <w:color w:val="1F497D" w:themeColor="text2"/>
                          <w:sz w:val="18"/>
                          <w:szCs w:val="18"/>
                        </w:rPr>
                        <w:t xml:space="preserve">2b. </w:t>
                      </w:r>
                      <w:r>
                        <w:rPr>
                          <w:rFonts w:ascii="Arial" w:hAnsi="Arial" w:cs="Arial"/>
                          <w:color w:val="1F497D" w:themeColor="text2"/>
                          <w:sz w:val="18"/>
                          <w:szCs w:val="18"/>
                        </w:rPr>
                        <w:t xml:space="preserve"> </w:t>
                      </w:r>
                      <w:r w:rsidRPr="009D352A">
                        <w:rPr>
                          <w:rFonts w:ascii="Arial" w:hAnsi="Arial" w:cs="Arial"/>
                          <w:color w:val="1F497D" w:themeColor="text2"/>
                          <w:sz w:val="18"/>
                          <w:szCs w:val="18"/>
                        </w:rPr>
                        <w:t xml:space="preserve">5 fish/person/day </w:t>
                      </w:r>
                    </w:p>
                    <w:p w14:paraId="6F565205" w14:textId="30575680" w:rsidR="009108B8" w:rsidRPr="009D352A" w:rsidRDefault="009108B8" w:rsidP="0095517F">
                      <w:pPr>
                        <w:ind w:left="540"/>
                        <w:contextualSpacing/>
                        <w:rPr>
                          <w:rFonts w:ascii="Arial" w:hAnsi="Arial" w:cs="Arial"/>
                          <w:color w:val="1F497D" w:themeColor="text2"/>
                          <w:sz w:val="18"/>
                          <w:szCs w:val="18"/>
                        </w:rPr>
                      </w:pPr>
                      <w:r w:rsidRPr="009D352A">
                        <w:rPr>
                          <w:rFonts w:ascii="Arial" w:hAnsi="Arial" w:cs="Arial"/>
                          <w:color w:val="1F497D" w:themeColor="text2"/>
                          <w:sz w:val="18"/>
                          <w:szCs w:val="18"/>
                        </w:rPr>
                        <w:t xml:space="preserve">2c. </w:t>
                      </w:r>
                      <w:r>
                        <w:rPr>
                          <w:rFonts w:ascii="Arial" w:hAnsi="Arial" w:cs="Arial"/>
                          <w:color w:val="1F497D" w:themeColor="text2"/>
                          <w:sz w:val="18"/>
                          <w:szCs w:val="18"/>
                        </w:rPr>
                        <w:t xml:space="preserve"> </w:t>
                      </w:r>
                      <w:r w:rsidRPr="009D352A">
                        <w:rPr>
                          <w:rFonts w:ascii="Arial" w:hAnsi="Arial" w:cs="Arial"/>
                          <w:color w:val="1F497D" w:themeColor="text2"/>
                          <w:sz w:val="18"/>
                          <w:szCs w:val="18"/>
                        </w:rPr>
                        <w:t xml:space="preserve">10 fish/person/day </w:t>
                      </w:r>
                    </w:p>
                    <w:p w14:paraId="2E9B8074" w14:textId="77777777" w:rsidR="009108B8" w:rsidRPr="009D352A" w:rsidRDefault="009108B8" w:rsidP="0095517F">
                      <w:pPr>
                        <w:ind w:left="540"/>
                        <w:contextualSpacing/>
                        <w:rPr>
                          <w:rFonts w:ascii="Arial" w:hAnsi="Arial" w:cs="Arial"/>
                          <w:color w:val="1F497D" w:themeColor="text2"/>
                          <w:sz w:val="18"/>
                          <w:szCs w:val="18"/>
                        </w:rPr>
                      </w:pPr>
                    </w:p>
                    <w:p w14:paraId="1E9BB577" w14:textId="02265CC7" w:rsidR="009108B8" w:rsidRPr="009D352A" w:rsidRDefault="009108B8" w:rsidP="00CC3FDF">
                      <w:pPr>
                        <w:contextualSpacing/>
                        <w:rPr>
                          <w:rFonts w:ascii="Arial" w:eastAsia="Courier New" w:hAnsi="Arial" w:cs="Arial"/>
                          <w:color w:val="1F497D" w:themeColor="text2"/>
                          <w:sz w:val="18"/>
                          <w:szCs w:val="18"/>
                        </w:rPr>
                      </w:pPr>
                      <w:r w:rsidRPr="009D352A">
                        <w:rPr>
                          <w:rFonts w:ascii="Arial" w:hAnsi="Arial" w:cs="Arial"/>
                          <w:color w:val="1F497D" w:themeColor="text2"/>
                          <w:sz w:val="18"/>
                          <w:szCs w:val="18"/>
                        </w:rPr>
                        <w:t xml:space="preserve">3. Retain mutton snapper within the </w:t>
                      </w:r>
                      <w:r>
                        <w:rPr>
                          <w:rFonts w:ascii="Arial" w:hAnsi="Arial" w:cs="Arial"/>
                          <w:color w:val="1F497D" w:themeColor="text2"/>
                          <w:sz w:val="18"/>
                          <w:szCs w:val="18"/>
                        </w:rPr>
                        <w:t>10-</w:t>
                      </w:r>
                      <w:r w:rsidRPr="009D352A">
                        <w:rPr>
                          <w:rFonts w:ascii="Arial" w:hAnsi="Arial" w:cs="Arial"/>
                          <w:color w:val="1F497D" w:themeColor="text2"/>
                          <w:sz w:val="18"/>
                          <w:szCs w:val="18"/>
                        </w:rPr>
                        <w:t>snapper aggregate bag limit, but specify bag/vessel limits for mutton snapper during the “spawning months”</w:t>
                      </w:r>
                    </w:p>
                    <w:p w14:paraId="61AFD897" w14:textId="1369FE8E" w:rsidR="009108B8" w:rsidRDefault="009108B8" w:rsidP="0095517F">
                      <w:pPr>
                        <w:ind w:left="540"/>
                        <w:contextualSpacing/>
                        <w:rPr>
                          <w:rFonts w:ascii="Arial" w:eastAsia="Courier New" w:hAnsi="Arial" w:cs="Arial"/>
                          <w:color w:val="1F497D" w:themeColor="text2"/>
                          <w:sz w:val="18"/>
                          <w:szCs w:val="18"/>
                        </w:rPr>
                      </w:pPr>
                      <w:r w:rsidRPr="009D352A">
                        <w:rPr>
                          <w:rFonts w:ascii="Arial" w:eastAsia="Courier New" w:hAnsi="Arial" w:cs="Arial"/>
                          <w:color w:val="1F497D" w:themeColor="text2"/>
                          <w:sz w:val="18"/>
                          <w:szCs w:val="18"/>
                        </w:rPr>
                        <w:t>3a.  2 fish/person/day</w:t>
                      </w:r>
                    </w:p>
                    <w:p w14:paraId="50B36029" w14:textId="645757D7" w:rsidR="009108B8" w:rsidRPr="009D352A" w:rsidRDefault="009108B8" w:rsidP="0095517F">
                      <w:pPr>
                        <w:ind w:left="540"/>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3b.  3 fish/person/day</w:t>
                      </w:r>
                    </w:p>
                    <w:p w14:paraId="1C8EEFB2" w14:textId="764F7FD5" w:rsidR="009108B8" w:rsidRPr="009D352A" w:rsidRDefault="009108B8" w:rsidP="0095517F">
                      <w:pPr>
                        <w:ind w:left="540"/>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3c</w:t>
                      </w:r>
                      <w:r w:rsidRPr="009D352A">
                        <w:rPr>
                          <w:rFonts w:ascii="Arial" w:eastAsia="Courier New" w:hAnsi="Arial" w:cs="Arial"/>
                          <w:color w:val="1F497D" w:themeColor="text2"/>
                          <w:sz w:val="18"/>
                          <w:szCs w:val="18"/>
                        </w:rPr>
                        <w:t xml:space="preserve">. </w:t>
                      </w:r>
                      <w:r>
                        <w:rPr>
                          <w:rFonts w:ascii="Arial" w:eastAsia="Courier New" w:hAnsi="Arial" w:cs="Arial"/>
                          <w:color w:val="1F497D" w:themeColor="text2"/>
                          <w:sz w:val="18"/>
                          <w:szCs w:val="18"/>
                        </w:rPr>
                        <w:t xml:space="preserve"> 1</w:t>
                      </w:r>
                      <w:r w:rsidRPr="009D352A">
                        <w:rPr>
                          <w:rFonts w:ascii="Arial" w:eastAsia="Courier New" w:hAnsi="Arial" w:cs="Arial"/>
                          <w:color w:val="1F497D" w:themeColor="text2"/>
                          <w:sz w:val="18"/>
                          <w:szCs w:val="18"/>
                        </w:rPr>
                        <w:t xml:space="preserve">0 fish/vessel/day </w:t>
                      </w:r>
                    </w:p>
                    <w:p w14:paraId="328E4366" w14:textId="68894CAD" w:rsidR="009108B8" w:rsidRDefault="009108B8" w:rsidP="0095517F">
                      <w:pPr>
                        <w:ind w:left="540"/>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3d</w:t>
                      </w:r>
                      <w:r w:rsidRPr="009D352A">
                        <w:rPr>
                          <w:rFonts w:ascii="Arial" w:eastAsia="Courier New" w:hAnsi="Arial" w:cs="Arial"/>
                          <w:color w:val="1F497D" w:themeColor="text2"/>
                          <w:sz w:val="18"/>
                          <w:szCs w:val="18"/>
                        </w:rPr>
                        <w:t xml:space="preserve">. </w:t>
                      </w:r>
                      <w:r>
                        <w:rPr>
                          <w:rFonts w:ascii="Arial" w:eastAsia="Courier New" w:hAnsi="Arial" w:cs="Arial"/>
                          <w:color w:val="1F497D" w:themeColor="text2"/>
                          <w:sz w:val="18"/>
                          <w:szCs w:val="18"/>
                        </w:rPr>
                        <w:t xml:space="preserve"> </w:t>
                      </w:r>
                      <w:r w:rsidRPr="009D352A">
                        <w:rPr>
                          <w:rFonts w:ascii="Arial" w:eastAsia="Courier New" w:hAnsi="Arial" w:cs="Arial"/>
                          <w:color w:val="1F497D" w:themeColor="text2"/>
                          <w:sz w:val="18"/>
                          <w:szCs w:val="18"/>
                        </w:rPr>
                        <w:t>12 fish/vessel/day</w:t>
                      </w:r>
                    </w:p>
                    <w:p w14:paraId="6D0D7EA5" w14:textId="41853E8E" w:rsidR="009108B8" w:rsidRPr="009D352A" w:rsidRDefault="009108B8" w:rsidP="0095517F">
                      <w:pPr>
                        <w:ind w:left="540"/>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3e.  No retention</w:t>
                      </w:r>
                    </w:p>
                    <w:p w14:paraId="568D491B" w14:textId="77777777" w:rsidR="009108B8" w:rsidRPr="009D352A" w:rsidRDefault="009108B8" w:rsidP="00CC3FDF">
                      <w:pPr>
                        <w:contextualSpacing/>
                        <w:rPr>
                          <w:rFonts w:ascii="Arial" w:eastAsia="Courier New" w:hAnsi="Arial" w:cs="Arial"/>
                          <w:color w:val="1F497D" w:themeColor="text2"/>
                          <w:sz w:val="18"/>
                          <w:szCs w:val="18"/>
                        </w:rPr>
                      </w:pPr>
                    </w:p>
                    <w:p w14:paraId="25A99356" w14:textId="2A91A2CC" w:rsidR="009108B8" w:rsidRPr="008565BE" w:rsidRDefault="009108B8" w:rsidP="00CC3FDF">
                      <w:pPr>
                        <w:contextualSpacing/>
                        <w:rPr>
                          <w:rFonts w:ascii="Arial" w:eastAsia="Courier New" w:hAnsi="Arial" w:cs="Arial"/>
                          <w:b/>
                          <w:color w:val="1F497D" w:themeColor="text2"/>
                          <w:sz w:val="18"/>
                          <w:szCs w:val="18"/>
                        </w:rPr>
                      </w:pPr>
                      <w:r w:rsidRPr="009D352A">
                        <w:rPr>
                          <w:rFonts w:ascii="Arial" w:eastAsia="Courier New" w:hAnsi="Arial" w:cs="Arial"/>
                          <w:color w:val="1F497D" w:themeColor="text2"/>
                          <w:sz w:val="18"/>
                          <w:szCs w:val="18"/>
                        </w:rPr>
                        <w:t xml:space="preserve">4. </w:t>
                      </w:r>
                      <w:r w:rsidRPr="008565BE">
                        <w:rPr>
                          <w:rFonts w:ascii="Arial" w:eastAsia="Courier New" w:hAnsi="Arial" w:cs="Arial"/>
                          <w:b/>
                          <w:color w:val="1F497D" w:themeColor="text2"/>
                          <w:sz w:val="18"/>
                          <w:szCs w:val="18"/>
                        </w:rPr>
                        <w:t>Retain mutton snapper within the 10-snapper aggregate bag limit, but specify bag limits for mutton snapper within the aggregate bag limit year round.</w:t>
                      </w:r>
                    </w:p>
                    <w:p w14:paraId="4E602E5A" w14:textId="24B11207" w:rsidR="009108B8" w:rsidRPr="0095517F" w:rsidRDefault="009108B8" w:rsidP="0095517F">
                      <w:pPr>
                        <w:ind w:left="540"/>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4a.  2 fish/person/day</w:t>
                      </w:r>
                    </w:p>
                    <w:p w14:paraId="5ADF0989" w14:textId="75A8DC43" w:rsidR="009108B8" w:rsidRPr="00FC03A7" w:rsidRDefault="009108B8" w:rsidP="0095517F">
                      <w:pPr>
                        <w:ind w:left="540"/>
                        <w:contextualSpacing/>
                        <w:rPr>
                          <w:rFonts w:ascii="Arial" w:eastAsia="Courier New" w:hAnsi="Arial" w:cs="Arial"/>
                          <w:color w:val="1F497D" w:themeColor="text2"/>
                          <w:sz w:val="18"/>
                          <w:szCs w:val="18"/>
                        </w:rPr>
                      </w:pPr>
                      <w:r w:rsidRPr="00FC03A7">
                        <w:rPr>
                          <w:rFonts w:ascii="Arial" w:eastAsia="Courier New" w:hAnsi="Arial" w:cs="Arial"/>
                          <w:color w:val="1F497D" w:themeColor="text2"/>
                          <w:sz w:val="18"/>
                          <w:szCs w:val="18"/>
                        </w:rPr>
                        <w:t>4b.  3 fish/person/day</w:t>
                      </w:r>
                    </w:p>
                    <w:p w14:paraId="053A7777" w14:textId="0EAC5C48" w:rsidR="009108B8" w:rsidRPr="00FC03A7" w:rsidRDefault="009108B8" w:rsidP="0095517F">
                      <w:pPr>
                        <w:ind w:left="540"/>
                        <w:contextualSpacing/>
                        <w:rPr>
                          <w:rFonts w:ascii="Arial" w:eastAsia="Courier New" w:hAnsi="Arial" w:cs="Arial"/>
                          <w:b/>
                          <w:color w:val="1F497D" w:themeColor="text2"/>
                          <w:sz w:val="18"/>
                          <w:szCs w:val="18"/>
                        </w:rPr>
                      </w:pPr>
                      <w:r w:rsidRPr="00FC03A7">
                        <w:rPr>
                          <w:rFonts w:ascii="Arial" w:eastAsia="Courier New" w:hAnsi="Arial" w:cs="Arial"/>
                          <w:b/>
                          <w:color w:val="1F497D" w:themeColor="text2"/>
                          <w:sz w:val="18"/>
                          <w:szCs w:val="18"/>
                        </w:rPr>
                        <w:t>4c.  5 fish/person/day</w:t>
                      </w:r>
                    </w:p>
                    <w:p w14:paraId="504BA5CC" w14:textId="77777777" w:rsidR="009108B8" w:rsidRDefault="009108B8" w:rsidP="0095517F">
                      <w:pPr>
                        <w:ind w:left="540"/>
                        <w:contextualSpacing/>
                        <w:rPr>
                          <w:rFonts w:ascii="Arial" w:eastAsia="Courier New" w:hAnsi="Arial" w:cs="Arial"/>
                          <w:color w:val="1F497D" w:themeColor="text2"/>
                          <w:sz w:val="18"/>
                          <w:szCs w:val="18"/>
                        </w:rPr>
                      </w:pPr>
                    </w:p>
                    <w:p w14:paraId="01246E56" w14:textId="04842145" w:rsidR="009108B8" w:rsidRDefault="009108B8" w:rsidP="009D352A">
                      <w:pPr>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 Preferred indicated in bold.  Refer to Chapter 2 for detailed language of alternatives</w:t>
                      </w:r>
                    </w:p>
                    <w:p w14:paraId="6DA989F1" w14:textId="77777777" w:rsidR="009108B8" w:rsidRPr="0095517F" w:rsidRDefault="009108B8" w:rsidP="0095517F">
                      <w:pPr>
                        <w:ind w:left="540"/>
                        <w:contextualSpacing/>
                        <w:rPr>
                          <w:rFonts w:ascii="Arial" w:eastAsia="Courier New" w:hAnsi="Arial" w:cs="Arial"/>
                          <w:color w:val="1F497D" w:themeColor="text2"/>
                          <w:sz w:val="18"/>
                          <w:szCs w:val="18"/>
                        </w:rPr>
                      </w:pPr>
                    </w:p>
                  </w:txbxContent>
                </v:textbox>
                <w10:wrap type="square" anchorx="margin" anchory="margin"/>
              </v:shape>
            </w:pict>
          </mc:Fallback>
        </mc:AlternateContent>
      </w:r>
      <w:r w:rsidR="005005C0">
        <w:t xml:space="preserve"> </w:t>
      </w:r>
      <w:r w:rsidR="00CC3FDF">
        <w:t>4.</w:t>
      </w:r>
      <w:r w:rsidR="0016692A">
        <w:t>7</w:t>
      </w:r>
      <w:r w:rsidR="00495370">
        <w:t xml:space="preserve">.1  </w:t>
      </w:r>
      <w:r w:rsidR="00CC3FDF" w:rsidRPr="005B5A20">
        <w:t>Biological</w:t>
      </w:r>
      <w:r w:rsidR="0083066C">
        <w:t xml:space="preserve"> E</w:t>
      </w:r>
      <w:r w:rsidR="00CC3FDF" w:rsidRPr="005B5A20">
        <w:t>ffects</w:t>
      </w:r>
      <w:bookmarkEnd w:id="269"/>
      <w:r w:rsidR="00CC3FDF" w:rsidRPr="005B5A20">
        <w:t xml:space="preserve"> </w:t>
      </w:r>
    </w:p>
    <w:p w14:paraId="3900AF7B" w14:textId="35AE8DFE" w:rsidR="00873B9E" w:rsidRDefault="00ED4F0E" w:rsidP="00873B9E">
      <w:pPr>
        <w:ind w:firstLine="360"/>
      </w:pPr>
      <w:r>
        <w:rPr>
          <w:b/>
        </w:rPr>
        <w:t>Table 4.7</w:t>
      </w:r>
      <w:r w:rsidR="00873B9E">
        <w:rPr>
          <w:b/>
        </w:rPr>
        <w:t>.1</w:t>
      </w:r>
      <w:r w:rsidR="00873B9E">
        <w:t xml:space="preserve"> below shows landings of mutton snapper by recreational wave f</w:t>
      </w:r>
      <w:r w:rsidR="00EC0827">
        <w:t>rom</w:t>
      </w:r>
      <w:r w:rsidR="00873B9E">
        <w:t xml:space="preserve"> 201</w:t>
      </w:r>
      <w:r w:rsidR="00846D1D">
        <w:t>0</w:t>
      </w:r>
      <w:r w:rsidR="00873B9E">
        <w:t xml:space="preserve"> </w:t>
      </w:r>
      <w:r w:rsidR="00846D1D">
        <w:t>through</w:t>
      </w:r>
      <w:r w:rsidR="00873B9E">
        <w:t xml:space="preserve"> 201</w:t>
      </w:r>
      <w:r w:rsidR="00846D1D">
        <w:t>4</w:t>
      </w:r>
      <w:r w:rsidR="00873B9E">
        <w:t>.  The peak of mutton snapper recreational landings occurred during the May-June spawning season (Wave 3) in the South Atlantic during 201</w:t>
      </w:r>
      <w:r w:rsidR="00846D1D">
        <w:t>0</w:t>
      </w:r>
      <w:r w:rsidR="00873B9E">
        <w:t xml:space="preserve"> </w:t>
      </w:r>
      <w:r w:rsidR="00846D1D">
        <w:t xml:space="preserve">through </w:t>
      </w:r>
      <w:r w:rsidR="00873B9E">
        <w:t xml:space="preserve">2013.  </w:t>
      </w:r>
      <w:r w:rsidR="00846D1D">
        <w:t>In 2014</w:t>
      </w:r>
      <w:r w:rsidR="00495370">
        <w:t>,</w:t>
      </w:r>
      <w:r w:rsidR="00846D1D">
        <w:t xml:space="preserve"> however, landings were highest in Wave 6 (November/December) and Wave 1 (January/February).  </w:t>
      </w:r>
      <w:r w:rsidR="00873B9E" w:rsidRPr="00572D12">
        <w:rPr>
          <w:b/>
        </w:rPr>
        <w:t xml:space="preserve">Figure </w:t>
      </w:r>
      <w:r>
        <w:rPr>
          <w:b/>
        </w:rPr>
        <w:t>4.7</w:t>
      </w:r>
      <w:r w:rsidR="00873B9E">
        <w:rPr>
          <w:b/>
        </w:rPr>
        <w:t>.</w:t>
      </w:r>
      <w:r w:rsidR="00873B9E" w:rsidRPr="00572D12">
        <w:rPr>
          <w:b/>
        </w:rPr>
        <w:t>1</w:t>
      </w:r>
      <w:r w:rsidR="00873B9E">
        <w:t xml:space="preserve"> shows the </w:t>
      </w:r>
      <w:r w:rsidR="00873B9E" w:rsidRPr="00BF7F83">
        <w:t>distribution of mutton snapper catch</w:t>
      </w:r>
      <w:r w:rsidR="00873B9E">
        <w:t>-</w:t>
      </w:r>
      <w:r w:rsidR="00873B9E" w:rsidRPr="00BF7F83">
        <w:t>per</w:t>
      </w:r>
      <w:r w:rsidR="00873B9E">
        <w:t xml:space="preserve">-angler for the private and charter modes (based on the </w:t>
      </w:r>
      <w:r w:rsidR="00F52421">
        <w:t>MRIP</w:t>
      </w:r>
      <w:r w:rsidR="00873B9E">
        <w:t xml:space="preserve"> and headboat (based on the Southeast Headboat Survey) of mutton snapper for various time periods.  </w:t>
      </w:r>
      <w:r>
        <w:t>From</w:t>
      </w:r>
      <w:r w:rsidR="00873B9E">
        <w:t xml:space="preserve"> </w:t>
      </w:r>
      <w:r>
        <w:t>201</w:t>
      </w:r>
      <w:r w:rsidR="00691F4A">
        <w:t>0</w:t>
      </w:r>
      <w:r>
        <w:t xml:space="preserve"> through </w:t>
      </w:r>
      <w:r w:rsidR="00873B9E">
        <w:t>201</w:t>
      </w:r>
      <w:r w:rsidR="00691F4A">
        <w:t>4</w:t>
      </w:r>
      <w:r w:rsidR="00873B9E">
        <w:t>, most anglers caught</w:t>
      </w:r>
      <w:r w:rsidR="00873B9E" w:rsidRPr="00BF7F83">
        <w:t xml:space="preserve"> </w:t>
      </w:r>
      <w:r w:rsidR="00873B9E">
        <w:t>three</w:t>
      </w:r>
      <w:r w:rsidR="00873B9E" w:rsidRPr="00BF7F83">
        <w:t xml:space="preserve"> or fewer mutton snapper.</w:t>
      </w:r>
      <w:r w:rsidR="00873B9E">
        <w:t xml:space="preserve"> </w:t>
      </w:r>
    </w:p>
    <w:p w14:paraId="6A58C75D" w14:textId="77777777" w:rsidR="00873B9E" w:rsidRDefault="00873B9E" w:rsidP="00873B9E">
      <w:pPr>
        <w:contextualSpacing/>
        <w:rPr>
          <w:b/>
        </w:rPr>
      </w:pPr>
    </w:p>
    <w:p w14:paraId="4B4A0955" w14:textId="77777777" w:rsidR="00903F45" w:rsidRDefault="00903F45" w:rsidP="00873B9E">
      <w:pPr>
        <w:pStyle w:val="Tabletitle"/>
        <w:rPr>
          <w:rFonts w:eastAsia="Calibri"/>
          <w:b/>
        </w:rPr>
      </w:pPr>
      <w:bookmarkStart w:id="270" w:name="_Toc419885500"/>
    </w:p>
    <w:p w14:paraId="08A0263C" w14:textId="77777777" w:rsidR="00903F45" w:rsidRDefault="00903F45" w:rsidP="00873B9E">
      <w:pPr>
        <w:pStyle w:val="Tabletitle"/>
        <w:rPr>
          <w:rFonts w:eastAsia="Calibri"/>
          <w:b/>
        </w:rPr>
      </w:pPr>
    </w:p>
    <w:p w14:paraId="1E6525F9" w14:textId="77777777" w:rsidR="00E92168" w:rsidRDefault="00E92168" w:rsidP="007A64B6">
      <w:pPr>
        <w:pStyle w:val="Tabletitle"/>
        <w:rPr>
          <w:rFonts w:eastAsia="Calibri"/>
          <w:b/>
        </w:rPr>
      </w:pPr>
    </w:p>
    <w:p w14:paraId="296E8293" w14:textId="77777777" w:rsidR="00E92168" w:rsidRDefault="00E92168" w:rsidP="007A64B6">
      <w:pPr>
        <w:pStyle w:val="Tabletitle"/>
        <w:rPr>
          <w:rFonts w:eastAsia="Calibri"/>
          <w:b/>
        </w:rPr>
      </w:pPr>
    </w:p>
    <w:p w14:paraId="0F9405F7" w14:textId="77777777" w:rsidR="00E92168" w:rsidRDefault="00E92168" w:rsidP="007A64B6">
      <w:pPr>
        <w:pStyle w:val="Tabletitle"/>
        <w:rPr>
          <w:rFonts w:eastAsia="Calibri"/>
          <w:b/>
        </w:rPr>
      </w:pPr>
    </w:p>
    <w:p w14:paraId="3CB58FED" w14:textId="77777777" w:rsidR="00E92168" w:rsidRDefault="00E92168" w:rsidP="007A64B6">
      <w:pPr>
        <w:pStyle w:val="Tabletitle"/>
        <w:rPr>
          <w:rFonts w:eastAsia="Calibri"/>
          <w:b/>
        </w:rPr>
      </w:pPr>
    </w:p>
    <w:p w14:paraId="37F98988" w14:textId="77777777" w:rsidR="00ED4F0E" w:rsidRDefault="00ED4F0E" w:rsidP="007A64B6">
      <w:pPr>
        <w:pStyle w:val="Tabletitle"/>
        <w:rPr>
          <w:rFonts w:eastAsia="Calibri"/>
          <w:b/>
        </w:rPr>
      </w:pPr>
    </w:p>
    <w:p w14:paraId="1C5F3D9C" w14:textId="77777777" w:rsidR="00E92168" w:rsidRDefault="00E92168" w:rsidP="007A64B6">
      <w:pPr>
        <w:pStyle w:val="Tabletitle"/>
        <w:rPr>
          <w:rFonts w:eastAsia="Calibri"/>
          <w:b/>
        </w:rPr>
      </w:pPr>
    </w:p>
    <w:p w14:paraId="0CCB3A3B" w14:textId="77777777" w:rsidR="00E92168" w:rsidRDefault="00E92168" w:rsidP="007A64B6">
      <w:pPr>
        <w:pStyle w:val="Tabletitle"/>
        <w:rPr>
          <w:rFonts w:eastAsia="Calibri"/>
          <w:b/>
        </w:rPr>
      </w:pPr>
    </w:p>
    <w:p w14:paraId="34499110" w14:textId="3A6B0DB4" w:rsidR="00D319A4" w:rsidRPr="007A64B6" w:rsidDel="00D319A4" w:rsidRDefault="00873B9E" w:rsidP="007A64B6">
      <w:pPr>
        <w:pStyle w:val="Tabletitle"/>
      </w:pPr>
      <w:bookmarkStart w:id="271" w:name="_Toc340431585"/>
      <w:r w:rsidRPr="00631DE9">
        <w:rPr>
          <w:rFonts w:eastAsia="Calibri"/>
          <w:b/>
        </w:rPr>
        <w:t xml:space="preserve">Table </w:t>
      </w:r>
      <w:r w:rsidR="007F0085">
        <w:rPr>
          <w:rFonts w:eastAsia="Calibri"/>
          <w:b/>
        </w:rPr>
        <w:t>4</w:t>
      </w:r>
      <w:r w:rsidR="00ED4F0E">
        <w:rPr>
          <w:rFonts w:eastAsia="Calibri"/>
          <w:b/>
        </w:rPr>
        <w:t>.7</w:t>
      </w:r>
      <w:r>
        <w:rPr>
          <w:rFonts w:eastAsia="Calibri"/>
          <w:b/>
        </w:rPr>
        <w:t>.1</w:t>
      </w:r>
      <w:r w:rsidRPr="00631DE9">
        <w:rPr>
          <w:rFonts w:eastAsia="Calibri"/>
          <w:b/>
        </w:rPr>
        <w:t>.</w:t>
      </w:r>
      <w:r w:rsidRPr="00631DE9">
        <w:rPr>
          <w:rFonts w:eastAsia="Calibri"/>
        </w:rPr>
        <w:t xml:space="preserve">  South Atlantic recreational (private, charter, and headboat) mutton snapper landings by wave</w:t>
      </w:r>
      <w:r w:rsidR="00846D1D">
        <w:rPr>
          <w:rFonts w:eastAsia="Calibri"/>
        </w:rPr>
        <w:t>, 2010-2014</w:t>
      </w:r>
      <w:r w:rsidRPr="00631DE9">
        <w:rPr>
          <w:rFonts w:eastAsia="Calibri"/>
        </w:rPr>
        <w:t>.</w:t>
      </w:r>
      <w:bookmarkEnd w:id="270"/>
      <w:bookmarkEnd w:id="271"/>
      <w:r w:rsidRPr="004C6195">
        <w:t xml:space="preserve">  </w:t>
      </w:r>
    </w:p>
    <w:tbl>
      <w:tblPr>
        <w:tblW w:w="8480" w:type="dxa"/>
        <w:tblLook w:val="04A0" w:firstRow="1" w:lastRow="0" w:firstColumn="1" w:lastColumn="0" w:noHBand="0" w:noVBand="1"/>
      </w:tblPr>
      <w:tblGrid>
        <w:gridCol w:w="1060"/>
        <w:gridCol w:w="1060"/>
        <w:gridCol w:w="1060"/>
        <w:gridCol w:w="1060"/>
        <w:gridCol w:w="1060"/>
        <w:gridCol w:w="1060"/>
        <w:gridCol w:w="1060"/>
        <w:gridCol w:w="1060"/>
      </w:tblGrid>
      <w:tr w:rsidR="00D319A4" w:rsidRPr="00846D1D" w14:paraId="3814269C" w14:textId="77777777" w:rsidTr="00D319A4">
        <w:trPr>
          <w:trHeight w:val="300"/>
        </w:trPr>
        <w:tc>
          <w:tcPr>
            <w:tcW w:w="106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54EF532" w14:textId="77777777" w:rsidR="00D319A4" w:rsidRPr="00846D1D" w:rsidRDefault="00D319A4" w:rsidP="00D319A4">
            <w:pPr>
              <w:jc w:val="center"/>
              <w:rPr>
                <w:b/>
                <w:bCs/>
                <w:color w:val="000000"/>
                <w:sz w:val="22"/>
                <w:szCs w:val="22"/>
              </w:rPr>
            </w:pPr>
            <w:r w:rsidRPr="00846D1D">
              <w:rPr>
                <w:b/>
                <w:bCs/>
                <w:color w:val="000000"/>
                <w:sz w:val="22"/>
                <w:szCs w:val="22"/>
              </w:rPr>
              <w:t>Year</w:t>
            </w:r>
          </w:p>
        </w:tc>
        <w:tc>
          <w:tcPr>
            <w:tcW w:w="1060" w:type="dxa"/>
            <w:tcBorders>
              <w:top w:val="single" w:sz="8" w:space="0" w:color="auto"/>
              <w:left w:val="nil"/>
              <w:bottom w:val="single" w:sz="8" w:space="0" w:color="auto"/>
              <w:right w:val="single" w:sz="8" w:space="0" w:color="auto"/>
            </w:tcBorders>
            <w:shd w:val="clear" w:color="000000" w:fill="D9D9D9"/>
            <w:noWrap/>
            <w:vAlign w:val="center"/>
            <w:hideMark/>
          </w:tcPr>
          <w:p w14:paraId="41214599" w14:textId="77777777" w:rsidR="00D319A4" w:rsidRPr="00846D1D" w:rsidRDefault="00D319A4" w:rsidP="00D319A4">
            <w:pPr>
              <w:jc w:val="center"/>
              <w:rPr>
                <w:b/>
                <w:bCs/>
                <w:color w:val="000000"/>
                <w:sz w:val="22"/>
                <w:szCs w:val="22"/>
              </w:rPr>
            </w:pPr>
            <w:r w:rsidRPr="00846D1D">
              <w:rPr>
                <w:b/>
                <w:bCs/>
                <w:color w:val="000000"/>
                <w:sz w:val="22"/>
                <w:szCs w:val="22"/>
              </w:rPr>
              <w:t>1 (J/F)</w:t>
            </w:r>
          </w:p>
        </w:tc>
        <w:tc>
          <w:tcPr>
            <w:tcW w:w="1060" w:type="dxa"/>
            <w:tcBorders>
              <w:top w:val="single" w:sz="8" w:space="0" w:color="auto"/>
              <w:left w:val="nil"/>
              <w:bottom w:val="single" w:sz="8" w:space="0" w:color="auto"/>
              <w:right w:val="single" w:sz="8" w:space="0" w:color="auto"/>
            </w:tcBorders>
            <w:shd w:val="clear" w:color="000000" w:fill="D9D9D9"/>
            <w:noWrap/>
            <w:vAlign w:val="center"/>
            <w:hideMark/>
          </w:tcPr>
          <w:p w14:paraId="3477CE88" w14:textId="77777777" w:rsidR="00D319A4" w:rsidRPr="00846D1D" w:rsidRDefault="00D319A4" w:rsidP="00D319A4">
            <w:pPr>
              <w:jc w:val="center"/>
              <w:rPr>
                <w:b/>
                <w:bCs/>
                <w:color w:val="000000"/>
                <w:sz w:val="22"/>
                <w:szCs w:val="22"/>
              </w:rPr>
            </w:pPr>
            <w:r w:rsidRPr="00846D1D">
              <w:rPr>
                <w:b/>
                <w:bCs/>
                <w:color w:val="000000"/>
                <w:sz w:val="22"/>
                <w:szCs w:val="22"/>
              </w:rPr>
              <w:t>2 (M/A)</w:t>
            </w:r>
          </w:p>
        </w:tc>
        <w:tc>
          <w:tcPr>
            <w:tcW w:w="1060" w:type="dxa"/>
            <w:tcBorders>
              <w:top w:val="single" w:sz="8" w:space="0" w:color="auto"/>
              <w:left w:val="nil"/>
              <w:bottom w:val="single" w:sz="8" w:space="0" w:color="auto"/>
              <w:right w:val="single" w:sz="8" w:space="0" w:color="auto"/>
            </w:tcBorders>
            <w:shd w:val="clear" w:color="000000" w:fill="D9D9D9"/>
            <w:noWrap/>
            <w:vAlign w:val="center"/>
            <w:hideMark/>
          </w:tcPr>
          <w:p w14:paraId="733B09F9" w14:textId="77777777" w:rsidR="00D319A4" w:rsidRPr="00846D1D" w:rsidRDefault="00D319A4" w:rsidP="00D319A4">
            <w:pPr>
              <w:jc w:val="center"/>
              <w:rPr>
                <w:b/>
                <w:bCs/>
                <w:color w:val="000000"/>
                <w:sz w:val="22"/>
                <w:szCs w:val="22"/>
              </w:rPr>
            </w:pPr>
            <w:r w:rsidRPr="00846D1D">
              <w:rPr>
                <w:b/>
                <w:bCs/>
                <w:color w:val="000000"/>
                <w:sz w:val="22"/>
                <w:szCs w:val="22"/>
              </w:rPr>
              <w:t>3 (M/J)</w:t>
            </w:r>
          </w:p>
        </w:tc>
        <w:tc>
          <w:tcPr>
            <w:tcW w:w="1060" w:type="dxa"/>
            <w:tcBorders>
              <w:top w:val="single" w:sz="8" w:space="0" w:color="auto"/>
              <w:left w:val="nil"/>
              <w:bottom w:val="single" w:sz="8" w:space="0" w:color="auto"/>
              <w:right w:val="single" w:sz="8" w:space="0" w:color="auto"/>
            </w:tcBorders>
            <w:shd w:val="clear" w:color="000000" w:fill="D9D9D9"/>
            <w:noWrap/>
            <w:vAlign w:val="center"/>
            <w:hideMark/>
          </w:tcPr>
          <w:p w14:paraId="3AFA9C1B" w14:textId="77777777" w:rsidR="00D319A4" w:rsidRPr="00846D1D" w:rsidRDefault="00D319A4" w:rsidP="00D319A4">
            <w:pPr>
              <w:jc w:val="center"/>
              <w:rPr>
                <w:b/>
                <w:bCs/>
                <w:color w:val="000000"/>
                <w:sz w:val="22"/>
                <w:szCs w:val="22"/>
              </w:rPr>
            </w:pPr>
            <w:r w:rsidRPr="00846D1D">
              <w:rPr>
                <w:b/>
                <w:bCs/>
                <w:color w:val="000000"/>
                <w:sz w:val="22"/>
                <w:szCs w:val="22"/>
              </w:rPr>
              <w:t>4 (J/A)</w:t>
            </w:r>
          </w:p>
        </w:tc>
        <w:tc>
          <w:tcPr>
            <w:tcW w:w="1060" w:type="dxa"/>
            <w:tcBorders>
              <w:top w:val="single" w:sz="8" w:space="0" w:color="auto"/>
              <w:left w:val="nil"/>
              <w:bottom w:val="single" w:sz="8" w:space="0" w:color="auto"/>
              <w:right w:val="single" w:sz="8" w:space="0" w:color="auto"/>
            </w:tcBorders>
            <w:shd w:val="clear" w:color="000000" w:fill="D9D9D9"/>
            <w:noWrap/>
            <w:vAlign w:val="center"/>
            <w:hideMark/>
          </w:tcPr>
          <w:p w14:paraId="3B437B05" w14:textId="77777777" w:rsidR="00D319A4" w:rsidRPr="00846D1D" w:rsidRDefault="00D319A4" w:rsidP="00D319A4">
            <w:pPr>
              <w:jc w:val="center"/>
              <w:rPr>
                <w:b/>
                <w:bCs/>
                <w:color w:val="000000"/>
                <w:sz w:val="22"/>
                <w:szCs w:val="22"/>
              </w:rPr>
            </w:pPr>
            <w:r w:rsidRPr="00846D1D">
              <w:rPr>
                <w:b/>
                <w:bCs/>
                <w:color w:val="000000"/>
                <w:sz w:val="22"/>
                <w:szCs w:val="22"/>
              </w:rPr>
              <w:t>5 (S/O)</w:t>
            </w:r>
          </w:p>
        </w:tc>
        <w:tc>
          <w:tcPr>
            <w:tcW w:w="1060" w:type="dxa"/>
            <w:tcBorders>
              <w:top w:val="single" w:sz="8" w:space="0" w:color="auto"/>
              <w:left w:val="nil"/>
              <w:bottom w:val="single" w:sz="8" w:space="0" w:color="auto"/>
              <w:right w:val="single" w:sz="8" w:space="0" w:color="auto"/>
            </w:tcBorders>
            <w:shd w:val="clear" w:color="000000" w:fill="D9D9D9"/>
            <w:noWrap/>
            <w:vAlign w:val="center"/>
            <w:hideMark/>
          </w:tcPr>
          <w:p w14:paraId="26D34609" w14:textId="77777777" w:rsidR="00D319A4" w:rsidRPr="00846D1D" w:rsidRDefault="00D319A4" w:rsidP="00D319A4">
            <w:pPr>
              <w:jc w:val="center"/>
              <w:rPr>
                <w:b/>
                <w:bCs/>
                <w:color w:val="000000"/>
                <w:sz w:val="22"/>
                <w:szCs w:val="22"/>
              </w:rPr>
            </w:pPr>
            <w:r w:rsidRPr="00846D1D">
              <w:rPr>
                <w:b/>
                <w:bCs/>
                <w:color w:val="000000"/>
                <w:sz w:val="22"/>
                <w:szCs w:val="22"/>
              </w:rPr>
              <w:t>6 (N/D)</w:t>
            </w:r>
          </w:p>
        </w:tc>
        <w:tc>
          <w:tcPr>
            <w:tcW w:w="1060" w:type="dxa"/>
            <w:tcBorders>
              <w:top w:val="single" w:sz="8" w:space="0" w:color="auto"/>
              <w:left w:val="nil"/>
              <w:bottom w:val="single" w:sz="8" w:space="0" w:color="auto"/>
              <w:right w:val="single" w:sz="8" w:space="0" w:color="auto"/>
            </w:tcBorders>
            <w:shd w:val="clear" w:color="000000" w:fill="D9D9D9"/>
            <w:noWrap/>
            <w:vAlign w:val="center"/>
            <w:hideMark/>
          </w:tcPr>
          <w:p w14:paraId="12328B3C" w14:textId="77777777" w:rsidR="00D319A4" w:rsidRPr="00846D1D" w:rsidRDefault="00D319A4" w:rsidP="00D319A4">
            <w:pPr>
              <w:jc w:val="center"/>
              <w:rPr>
                <w:b/>
                <w:bCs/>
                <w:color w:val="000000"/>
                <w:sz w:val="22"/>
                <w:szCs w:val="22"/>
              </w:rPr>
            </w:pPr>
            <w:r w:rsidRPr="00846D1D">
              <w:rPr>
                <w:b/>
                <w:bCs/>
                <w:color w:val="000000"/>
                <w:sz w:val="22"/>
                <w:szCs w:val="22"/>
              </w:rPr>
              <w:t>Total</w:t>
            </w:r>
          </w:p>
        </w:tc>
      </w:tr>
      <w:tr w:rsidR="00D319A4" w:rsidRPr="00846D1D" w14:paraId="5BAFBDBB" w14:textId="77777777" w:rsidTr="00D319A4">
        <w:trPr>
          <w:trHeight w:val="300"/>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819EFC8" w14:textId="77777777" w:rsidR="00D319A4" w:rsidRPr="00846D1D" w:rsidRDefault="00D319A4" w:rsidP="00D319A4">
            <w:pPr>
              <w:jc w:val="center"/>
              <w:rPr>
                <w:b/>
                <w:bCs/>
                <w:color w:val="000000"/>
                <w:sz w:val="22"/>
                <w:szCs w:val="22"/>
              </w:rPr>
            </w:pPr>
            <w:r w:rsidRPr="00846D1D">
              <w:rPr>
                <w:b/>
                <w:bCs/>
                <w:color w:val="000000"/>
                <w:sz w:val="22"/>
                <w:szCs w:val="22"/>
              </w:rPr>
              <w:t>2010</w:t>
            </w:r>
          </w:p>
        </w:tc>
        <w:tc>
          <w:tcPr>
            <w:tcW w:w="1060" w:type="dxa"/>
            <w:tcBorders>
              <w:top w:val="nil"/>
              <w:left w:val="nil"/>
              <w:bottom w:val="single" w:sz="8" w:space="0" w:color="auto"/>
              <w:right w:val="single" w:sz="8" w:space="0" w:color="auto"/>
            </w:tcBorders>
            <w:shd w:val="clear" w:color="000000" w:fill="FFFFFF"/>
            <w:vAlign w:val="center"/>
            <w:hideMark/>
          </w:tcPr>
          <w:p w14:paraId="1610C5F1" w14:textId="77777777" w:rsidR="00D319A4" w:rsidRPr="00846D1D" w:rsidRDefault="00D319A4" w:rsidP="00D319A4">
            <w:pPr>
              <w:jc w:val="center"/>
              <w:rPr>
                <w:color w:val="000000"/>
                <w:sz w:val="22"/>
                <w:szCs w:val="22"/>
              </w:rPr>
            </w:pPr>
            <w:r w:rsidRPr="00846D1D">
              <w:rPr>
                <w:color w:val="000000"/>
                <w:sz w:val="22"/>
                <w:szCs w:val="22"/>
              </w:rPr>
              <w:t>21,582</w:t>
            </w:r>
          </w:p>
        </w:tc>
        <w:tc>
          <w:tcPr>
            <w:tcW w:w="1060" w:type="dxa"/>
            <w:tcBorders>
              <w:top w:val="nil"/>
              <w:left w:val="nil"/>
              <w:bottom w:val="single" w:sz="8" w:space="0" w:color="auto"/>
              <w:right w:val="single" w:sz="8" w:space="0" w:color="auto"/>
            </w:tcBorders>
            <w:shd w:val="clear" w:color="000000" w:fill="FFFFFF"/>
            <w:vAlign w:val="center"/>
            <w:hideMark/>
          </w:tcPr>
          <w:p w14:paraId="1C8672D0" w14:textId="77777777" w:rsidR="00D319A4" w:rsidRPr="00846D1D" w:rsidRDefault="00D319A4" w:rsidP="00D319A4">
            <w:pPr>
              <w:jc w:val="center"/>
              <w:rPr>
                <w:color w:val="000000"/>
                <w:sz w:val="22"/>
                <w:szCs w:val="22"/>
              </w:rPr>
            </w:pPr>
            <w:r w:rsidRPr="00846D1D">
              <w:rPr>
                <w:color w:val="000000"/>
                <w:sz w:val="22"/>
                <w:szCs w:val="22"/>
              </w:rPr>
              <w:t>9,475</w:t>
            </w:r>
          </w:p>
        </w:tc>
        <w:tc>
          <w:tcPr>
            <w:tcW w:w="1060" w:type="dxa"/>
            <w:tcBorders>
              <w:top w:val="nil"/>
              <w:left w:val="nil"/>
              <w:bottom w:val="single" w:sz="8" w:space="0" w:color="auto"/>
              <w:right w:val="single" w:sz="8" w:space="0" w:color="auto"/>
            </w:tcBorders>
            <w:shd w:val="clear" w:color="000000" w:fill="F2F2F2"/>
            <w:vAlign w:val="center"/>
            <w:hideMark/>
          </w:tcPr>
          <w:p w14:paraId="6CEF5B3E" w14:textId="77777777" w:rsidR="00D319A4" w:rsidRPr="00846D1D" w:rsidRDefault="00D319A4" w:rsidP="00D319A4">
            <w:pPr>
              <w:jc w:val="center"/>
              <w:rPr>
                <w:color w:val="000000"/>
                <w:sz w:val="22"/>
                <w:szCs w:val="22"/>
              </w:rPr>
            </w:pPr>
            <w:r w:rsidRPr="00846D1D">
              <w:rPr>
                <w:color w:val="000000"/>
                <w:sz w:val="22"/>
                <w:szCs w:val="22"/>
              </w:rPr>
              <w:t>35,224</w:t>
            </w:r>
          </w:p>
        </w:tc>
        <w:tc>
          <w:tcPr>
            <w:tcW w:w="1060" w:type="dxa"/>
            <w:tcBorders>
              <w:top w:val="nil"/>
              <w:left w:val="nil"/>
              <w:bottom w:val="single" w:sz="8" w:space="0" w:color="auto"/>
              <w:right w:val="single" w:sz="8" w:space="0" w:color="auto"/>
            </w:tcBorders>
            <w:shd w:val="clear" w:color="000000" w:fill="FFFFFF"/>
            <w:vAlign w:val="center"/>
            <w:hideMark/>
          </w:tcPr>
          <w:p w14:paraId="358C56E1" w14:textId="77777777" w:rsidR="00D319A4" w:rsidRPr="00846D1D" w:rsidRDefault="00D319A4" w:rsidP="00D319A4">
            <w:pPr>
              <w:jc w:val="center"/>
              <w:rPr>
                <w:color w:val="000000"/>
                <w:sz w:val="22"/>
                <w:szCs w:val="22"/>
              </w:rPr>
            </w:pPr>
            <w:r w:rsidRPr="00846D1D">
              <w:rPr>
                <w:color w:val="000000"/>
                <w:sz w:val="22"/>
                <w:szCs w:val="22"/>
              </w:rPr>
              <w:t>36,609</w:t>
            </w:r>
          </w:p>
        </w:tc>
        <w:tc>
          <w:tcPr>
            <w:tcW w:w="1060" w:type="dxa"/>
            <w:tcBorders>
              <w:top w:val="nil"/>
              <w:left w:val="nil"/>
              <w:bottom w:val="single" w:sz="8" w:space="0" w:color="auto"/>
              <w:right w:val="single" w:sz="8" w:space="0" w:color="auto"/>
            </w:tcBorders>
            <w:shd w:val="clear" w:color="000000" w:fill="FFFFFF"/>
            <w:vAlign w:val="center"/>
            <w:hideMark/>
          </w:tcPr>
          <w:p w14:paraId="63EDCB3B" w14:textId="77777777" w:rsidR="00D319A4" w:rsidRPr="00846D1D" w:rsidRDefault="00D319A4" w:rsidP="00D319A4">
            <w:pPr>
              <w:jc w:val="center"/>
              <w:rPr>
                <w:color w:val="000000"/>
                <w:sz w:val="22"/>
                <w:szCs w:val="22"/>
              </w:rPr>
            </w:pPr>
            <w:r w:rsidRPr="00846D1D">
              <w:rPr>
                <w:color w:val="000000"/>
                <w:sz w:val="22"/>
                <w:szCs w:val="22"/>
              </w:rPr>
              <w:t>16,583</w:t>
            </w:r>
          </w:p>
        </w:tc>
        <w:tc>
          <w:tcPr>
            <w:tcW w:w="1060" w:type="dxa"/>
            <w:tcBorders>
              <w:top w:val="nil"/>
              <w:left w:val="nil"/>
              <w:bottom w:val="single" w:sz="8" w:space="0" w:color="auto"/>
              <w:right w:val="single" w:sz="8" w:space="0" w:color="auto"/>
            </w:tcBorders>
            <w:shd w:val="clear" w:color="000000" w:fill="FFFFFF"/>
            <w:vAlign w:val="center"/>
            <w:hideMark/>
          </w:tcPr>
          <w:p w14:paraId="349A79F0" w14:textId="77777777" w:rsidR="00D319A4" w:rsidRPr="00846D1D" w:rsidRDefault="00D319A4" w:rsidP="00D319A4">
            <w:pPr>
              <w:jc w:val="center"/>
              <w:rPr>
                <w:color w:val="000000"/>
                <w:sz w:val="22"/>
                <w:szCs w:val="22"/>
              </w:rPr>
            </w:pPr>
            <w:r w:rsidRPr="00846D1D">
              <w:rPr>
                <w:color w:val="000000"/>
                <w:sz w:val="22"/>
                <w:szCs w:val="22"/>
              </w:rPr>
              <w:t>10,776</w:t>
            </w:r>
          </w:p>
        </w:tc>
        <w:tc>
          <w:tcPr>
            <w:tcW w:w="1060" w:type="dxa"/>
            <w:tcBorders>
              <w:top w:val="nil"/>
              <w:left w:val="nil"/>
              <w:bottom w:val="single" w:sz="8" w:space="0" w:color="auto"/>
              <w:right w:val="single" w:sz="8" w:space="0" w:color="auto"/>
            </w:tcBorders>
            <w:shd w:val="clear" w:color="000000" w:fill="FFFFFF"/>
            <w:vAlign w:val="center"/>
            <w:hideMark/>
          </w:tcPr>
          <w:p w14:paraId="2544CE6C" w14:textId="77777777" w:rsidR="00D319A4" w:rsidRPr="00846D1D" w:rsidRDefault="00D319A4" w:rsidP="00D319A4">
            <w:pPr>
              <w:jc w:val="center"/>
              <w:rPr>
                <w:color w:val="000000"/>
                <w:sz w:val="22"/>
                <w:szCs w:val="22"/>
              </w:rPr>
            </w:pPr>
            <w:r w:rsidRPr="00846D1D">
              <w:rPr>
                <w:color w:val="000000"/>
                <w:sz w:val="22"/>
                <w:szCs w:val="22"/>
              </w:rPr>
              <w:t>130,249</w:t>
            </w:r>
          </w:p>
        </w:tc>
      </w:tr>
      <w:tr w:rsidR="00D319A4" w:rsidRPr="00846D1D" w14:paraId="27291FB8" w14:textId="77777777" w:rsidTr="00D319A4">
        <w:trPr>
          <w:trHeight w:val="300"/>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00E8721" w14:textId="77777777" w:rsidR="00D319A4" w:rsidRPr="00846D1D" w:rsidRDefault="00D319A4" w:rsidP="00D319A4">
            <w:pPr>
              <w:jc w:val="center"/>
              <w:rPr>
                <w:b/>
                <w:bCs/>
                <w:color w:val="000000"/>
                <w:sz w:val="22"/>
                <w:szCs w:val="22"/>
              </w:rPr>
            </w:pPr>
            <w:r w:rsidRPr="00846D1D">
              <w:rPr>
                <w:b/>
                <w:bCs/>
                <w:color w:val="000000"/>
                <w:sz w:val="22"/>
                <w:szCs w:val="22"/>
              </w:rPr>
              <w:t>2011</w:t>
            </w:r>
          </w:p>
        </w:tc>
        <w:tc>
          <w:tcPr>
            <w:tcW w:w="1060" w:type="dxa"/>
            <w:tcBorders>
              <w:top w:val="nil"/>
              <w:left w:val="nil"/>
              <w:bottom w:val="single" w:sz="8" w:space="0" w:color="auto"/>
              <w:right w:val="single" w:sz="8" w:space="0" w:color="auto"/>
            </w:tcBorders>
            <w:shd w:val="clear" w:color="000000" w:fill="FFFFFF"/>
            <w:vAlign w:val="center"/>
            <w:hideMark/>
          </w:tcPr>
          <w:p w14:paraId="4862A872" w14:textId="77777777" w:rsidR="00D319A4" w:rsidRPr="00846D1D" w:rsidRDefault="00D319A4" w:rsidP="00D319A4">
            <w:pPr>
              <w:jc w:val="center"/>
              <w:rPr>
                <w:color w:val="000000"/>
                <w:sz w:val="22"/>
                <w:szCs w:val="22"/>
              </w:rPr>
            </w:pPr>
            <w:r w:rsidRPr="00846D1D">
              <w:rPr>
                <w:color w:val="000000"/>
                <w:sz w:val="22"/>
                <w:szCs w:val="22"/>
              </w:rPr>
              <w:t>12,253</w:t>
            </w:r>
          </w:p>
        </w:tc>
        <w:tc>
          <w:tcPr>
            <w:tcW w:w="1060" w:type="dxa"/>
            <w:tcBorders>
              <w:top w:val="nil"/>
              <w:left w:val="nil"/>
              <w:bottom w:val="single" w:sz="8" w:space="0" w:color="auto"/>
              <w:right w:val="single" w:sz="8" w:space="0" w:color="auto"/>
            </w:tcBorders>
            <w:shd w:val="clear" w:color="000000" w:fill="FFFFFF"/>
            <w:vAlign w:val="center"/>
            <w:hideMark/>
          </w:tcPr>
          <w:p w14:paraId="0BE504BF" w14:textId="77777777" w:rsidR="00D319A4" w:rsidRPr="00846D1D" w:rsidRDefault="00D319A4" w:rsidP="00D319A4">
            <w:pPr>
              <w:jc w:val="center"/>
              <w:rPr>
                <w:color w:val="000000"/>
                <w:sz w:val="22"/>
                <w:szCs w:val="22"/>
              </w:rPr>
            </w:pPr>
            <w:r w:rsidRPr="00846D1D">
              <w:rPr>
                <w:color w:val="000000"/>
                <w:sz w:val="22"/>
                <w:szCs w:val="22"/>
              </w:rPr>
              <w:t>9,758</w:t>
            </w:r>
          </w:p>
        </w:tc>
        <w:tc>
          <w:tcPr>
            <w:tcW w:w="1060" w:type="dxa"/>
            <w:tcBorders>
              <w:top w:val="nil"/>
              <w:left w:val="nil"/>
              <w:bottom w:val="single" w:sz="8" w:space="0" w:color="auto"/>
              <w:right w:val="single" w:sz="8" w:space="0" w:color="auto"/>
            </w:tcBorders>
            <w:shd w:val="clear" w:color="000000" w:fill="F2F2F2"/>
            <w:vAlign w:val="center"/>
            <w:hideMark/>
          </w:tcPr>
          <w:p w14:paraId="6BF3C0A4" w14:textId="77777777" w:rsidR="00D319A4" w:rsidRPr="00846D1D" w:rsidRDefault="00D319A4" w:rsidP="00D319A4">
            <w:pPr>
              <w:jc w:val="center"/>
              <w:rPr>
                <w:color w:val="000000"/>
                <w:sz w:val="22"/>
                <w:szCs w:val="22"/>
              </w:rPr>
            </w:pPr>
            <w:r w:rsidRPr="00846D1D">
              <w:rPr>
                <w:color w:val="000000"/>
                <w:sz w:val="22"/>
                <w:szCs w:val="22"/>
              </w:rPr>
              <w:t>20,427</w:t>
            </w:r>
          </w:p>
        </w:tc>
        <w:tc>
          <w:tcPr>
            <w:tcW w:w="1060" w:type="dxa"/>
            <w:tcBorders>
              <w:top w:val="nil"/>
              <w:left w:val="nil"/>
              <w:bottom w:val="single" w:sz="8" w:space="0" w:color="auto"/>
              <w:right w:val="single" w:sz="8" w:space="0" w:color="auto"/>
            </w:tcBorders>
            <w:shd w:val="clear" w:color="000000" w:fill="FFFFFF"/>
            <w:vAlign w:val="center"/>
            <w:hideMark/>
          </w:tcPr>
          <w:p w14:paraId="013248B2" w14:textId="77777777" w:rsidR="00D319A4" w:rsidRPr="00846D1D" w:rsidRDefault="00D319A4" w:rsidP="00D319A4">
            <w:pPr>
              <w:jc w:val="center"/>
              <w:rPr>
                <w:color w:val="000000"/>
                <w:sz w:val="22"/>
                <w:szCs w:val="22"/>
              </w:rPr>
            </w:pPr>
            <w:r w:rsidRPr="00846D1D">
              <w:rPr>
                <w:color w:val="000000"/>
                <w:sz w:val="22"/>
                <w:szCs w:val="22"/>
              </w:rPr>
              <w:t>4,020</w:t>
            </w:r>
          </w:p>
        </w:tc>
        <w:tc>
          <w:tcPr>
            <w:tcW w:w="1060" w:type="dxa"/>
            <w:tcBorders>
              <w:top w:val="nil"/>
              <w:left w:val="nil"/>
              <w:bottom w:val="single" w:sz="8" w:space="0" w:color="auto"/>
              <w:right w:val="single" w:sz="8" w:space="0" w:color="auto"/>
            </w:tcBorders>
            <w:shd w:val="clear" w:color="000000" w:fill="FFFFFF"/>
            <w:vAlign w:val="center"/>
            <w:hideMark/>
          </w:tcPr>
          <w:p w14:paraId="011B848C" w14:textId="77777777" w:rsidR="00D319A4" w:rsidRPr="00846D1D" w:rsidRDefault="00D319A4" w:rsidP="00D319A4">
            <w:pPr>
              <w:jc w:val="center"/>
              <w:rPr>
                <w:color w:val="000000"/>
                <w:sz w:val="22"/>
                <w:szCs w:val="22"/>
              </w:rPr>
            </w:pPr>
            <w:r w:rsidRPr="00846D1D">
              <w:rPr>
                <w:color w:val="000000"/>
                <w:sz w:val="22"/>
                <w:szCs w:val="22"/>
              </w:rPr>
              <w:t>7,113</w:t>
            </w:r>
          </w:p>
        </w:tc>
        <w:tc>
          <w:tcPr>
            <w:tcW w:w="1060" w:type="dxa"/>
            <w:tcBorders>
              <w:top w:val="nil"/>
              <w:left w:val="nil"/>
              <w:bottom w:val="single" w:sz="8" w:space="0" w:color="auto"/>
              <w:right w:val="single" w:sz="8" w:space="0" w:color="auto"/>
            </w:tcBorders>
            <w:shd w:val="clear" w:color="000000" w:fill="FFFFFF"/>
            <w:vAlign w:val="center"/>
            <w:hideMark/>
          </w:tcPr>
          <w:p w14:paraId="17B8A4F6" w14:textId="77777777" w:rsidR="00D319A4" w:rsidRPr="00846D1D" w:rsidRDefault="00D319A4" w:rsidP="00D319A4">
            <w:pPr>
              <w:jc w:val="center"/>
              <w:rPr>
                <w:color w:val="000000"/>
                <w:sz w:val="22"/>
                <w:szCs w:val="22"/>
              </w:rPr>
            </w:pPr>
            <w:r w:rsidRPr="00846D1D">
              <w:rPr>
                <w:color w:val="000000"/>
                <w:sz w:val="22"/>
                <w:szCs w:val="22"/>
              </w:rPr>
              <w:t>6,579</w:t>
            </w:r>
          </w:p>
        </w:tc>
        <w:tc>
          <w:tcPr>
            <w:tcW w:w="1060" w:type="dxa"/>
            <w:tcBorders>
              <w:top w:val="nil"/>
              <w:left w:val="nil"/>
              <w:bottom w:val="single" w:sz="8" w:space="0" w:color="auto"/>
              <w:right w:val="single" w:sz="8" w:space="0" w:color="auto"/>
            </w:tcBorders>
            <w:shd w:val="clear" w:color="000000" w:fill="FFFFFF"/>
            <w:vAlign w:val="center"/>
            <w:hideMark/>
          </w:tcPr>
          <w:p w14:paraId="219D35E4" w14:textId="77777777" w:rsidR="00D319A4" w:rsidRPr="00846D1D" w:rsidRDefault="00D319A4" w:rsidP="00D319A4">
            <w:pPr>
              <w:jc w:val="center"/>
              <w:rPr>
                <w:color w:val="000000"/>
                <w:sz w:val="22"/>
                <w:szCs w:val="22"/>
              </w:rPr>
            </w:pPr>
            <w:r w:rsidRPr="00846D1D">
              <w:rPr>
                <w:color w:val="000000"/>
                <w:sz w:val="22"/>
                <w:szCs w:val="22"/>
              </w:rPr>
              <w:t>60,151</w:t>
            </w:r>
          </w:p>
        </w:tc>
      </w:tr>
      <w:tr w:rsidR="00D319A4" w:rsidRPr="00846D1D" w14:paraId="1AFF20DC" w14:textId="77777777" w:rsidTr="00D319A4">
        <w:trPr>
          <w:trHeight w:val="300"/>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FB2944B" w14:textId="77777777" w:rsidR="00D319A4" w:rsidRPr="00846D1D" w:rsidRDefault="00D319A4" w:rsidP="00D319A4">
            <w:pPr>
              <w:jc w:val="center"/>
              <w:rPr>
                <w:b/>
                <w:bCs/>
                <w:color w:val="000000"/>
                <w:sz w:val="22"/>
                <w:szCs w:val="22"/>
              </w:rPr>
            </w:pPr>
            <w:r w:rsidRPr="00846D1D">
              <w:rPr>
                <w:b/>
                <w:bCs/>
                <w:color w:val="000000"/>
                <w:sz w:val="22"/>
                <w:szCs w:val="22"/>
              </w:rPr>
              <w:t>2012</w:t>
            </w:r>
          </w:p>
        </w:tc>
        <w:tc>
          <w:tcPr>
            <w:tcW w:w="1060" w:type="dxa"/>
            <w:tcBorders>
              <w:top w:val="nil"/>
              <w:left w:val="nil"/>
              <w:bottom w:val="single" w:sz="8" w:space="0" w:color="auto"/>
              <w:right w:val="single" w:sz="8" w:space="0" w:color="auto"/>
            </w:tcBorders>
            <w:shd w:val="clear" w:color="000000" w:fill="FFFFFF"/>
            <w:vAlign w:val="center"/>
            <w:hideMark/>
          </w:tcPr>
          <w:p w14:paraId="30EFFD84" w14:textId="77777777" w:rsidR="00D319A4" w:rsidRPr="00846D1D" w:rsidRDefault="00D319A4" w:rsidP="00D319A4">
            <w:pPr>
              <w:jc w:val="center"/>
              <w:rPr>
                <w:color w:val="000000"/>
                <w:sz w:val="22"/>
                <w:szCs w:val="22"/>
              </w:rPr>
            </w:pPr>
            <w:r w:rsidRPr="00846D1D">
              <w:rPr>
                <w:color w:val="000000"/>
                <w:sz w:val="22"/>
                <w:szCs w:val="22"/>
              </w:rPr>
              <w:t>9,695</w:t>
            </w:r>
          </w:p>
        </w:tc>
        <w:tc>
          <w:tcPr>
            <w:tcW w:w="1060" w:type="dxa"/>
            <w:tcBorders>
              <w:top w:val="nil"/>
              <w:left w:val="nil"/>
              <w:bottom w:val="single" w:sz="8" w:space="0" w:color="auto"/>
              <w:right w:val="single" w:sz="8" w:space="0" w:color="auto"/>
            </w:tcBorders>
            <w:shd w:val="clear" w:color="000000" w:fill="FFFFFF"/>
            <w:vAlign w:val="center"/>
            <w:hideMark/>
          </w:tcPr>
          <w:p w14:paraId="01DD815B" w14:textId="77777777" w:rsidR="00D319A4" w:rsidRPr="00846D1D" w:rsidRDefault="00D319A4" w:rsidP="00D319A4">
            <w:pPr>
              <w:jc w:val="center"/>
              <w:rPr>
                <w:color w:val="000000"/>
                <w:sz w:val="22"/>
                <w:szCs w:val="22"/>
              </w:rPr>
            </w:pPr>
            <w:r w:rsidRPr="00846D1D">
              <w:rPr>
                <w:color w:val="000000"/>
                <w:sz w:val="22"/>
                <w:szCs w:val="22"/>
              </w:rPr>
              <w:t>23,620</w:t>
            </w:r>
          </w:p>
        </w:tc>
        <w:tc>
          <w:tcPr>
            <w:tcW w:w="1060" w:type="dxa"/>
            <w:tcBorders>
              <w:top w:val="nil"/>
              <w:left w:val="nil"/>
              <w:bottom w:val="single" w:sz="8" w:space="0" w:color="auto"/>
              <w:right w:val="single" w:sz="8" w:space="0" w:color="auto"/>
            </w:tcBorders>
            <w:shd w:val="clear" w:color="000000" w:fill="F2F2F2"/>
            <w:vAlign w:val="center"/>
            <w:hideMark/>
          </w:tcPr>
          <w:p w14:paraId="29B82FB7" w14:textId="77777777" w:rsidR="00D319A4" w:rsidRPr="00846D1D" w:rsidRDefault="00D319A4" w:rsidP="00D319A4">
            <w:pPr>
              <w:jc w:val="center"/>
              <w:rPr>
                <w:color w:val="000000"/>
                <w:sz w:val="22"/>
                <w:szCs w:val="22"/>
              </w:rPr>
            </w:pPr>
            <w:r w:rsidRPr="00846D1D">
              <w:rPr>
                <w:color w:val="000000"/>
                <w:sz w:val="22"/>
                <w:szCs w:val="22"/>
              </w:rPr>
              <w:t>20,847</w:t>
            </w:r>
          </w:p>
        </w:tc>
        <w:tc>
          <w:tcPr>
            <w:tcW w:w="1060" w:type="dxa"/>
            <w:tcBorders>
              <w:top w:val="nil"/>
              <w:left w:val="nil"/>
              <w:bottom w:val="single" w:sz="8" w:space="0" w:color="auto"/>
              <w:right w:val="single" w:sz="8" w:space="0" w:color="auto"/>
            </w:tcBorders>
            <w:shd w:val="clear" w:color="000000" w:fill="FFFFFF"/>
            <w:vAlign w:val="center"/>
            <w:hideMark/>
          </w:tcPr>
          <w:p w14:paraId="1A0B470B" w14:textId="77777777" w:rsidR="00D319A4" w:rsidRPr="00846D1D" w:rsidRDefault="00D319A4" w:rsidP="00D319A4">
            <w:pPr>
              <w:jc w:val="center"/>
              <w:rPr>
                <w:color w:val="000000"/>
                <w:sz w:val="22"/>
                <w:szCs w:val="22"/>
              </w:rPr>
            </w:pPr>
            <w:r w:rsidRPr="00846D1D">
              <w:rPr>
                <w:color w:val="000000"/>
                <w:sz w:val="22"/>
                <w:szCs w:val="22"/>
              </w:rPr>
              <w:t>13,597</w:t>
            </w:r>
          </w:p>
        </w:tc>
        <w:tc>
          <w:tcPr>
            <w:tcW w:w="1060" w:type="dxa"/>
            <w:tcBorders>
              <w:top w:val="nil"/>
              <w:left w:val="nil"/>
              <w:bottom w:val="single" w:sz="8" w:space="0" w:color="auto"/>
              <w:right w:val="single" w:sz="8" w:space="0" w:color="auto"/>
            </w:tcBorders>
            <w:shd w:val="clear" w:color="000000" w:fill="FFFFFF"/>
            <w:vAlign w:val="center"/>
            <w:hideMark/>
          </w:tcPr>
          <w:p w14:paraId="3DB12705" w14:textId="77777777" w:rsidR="00D319A4" w:rsidRPr="00846D1D" w:rsidRDefault="00D319A4" w:rsidP="00D319A4">
            <w:pPr>
              <w:jc w:val="center"/>
              <w:rPr>
                <w:color w:val="000000"/>
                <w:sz w:val="22"/>
                <w:szCs w:val="22"/>
              </w:rPr>
            </w:pPr>
            <w:r w:rsidRPr="00846D1D">
              <w:rPr>
                <w:color w:val="000000"/>
                <w:sz w:val="22"/>
                <w:szCs w:val="22"/>
              </w:rPr>
              <w:t>4,988</w:t>
            </w:r>
          </w:p>
        </w:tc>
        <w:tc>
          <w:tcPr>
            <w:tcW w:w="1060" w:type="dxa"/>
            <w:tcBorders>
              <w:top w:val="nil"/>
              <w:left w:val="nil"/>
              <w:bottom w:val="single" w:sz="8" w:space="0" w:color="auto"/>
              <w:right w:val="single" w:sz="8" w:space="0" w:color="auto"/>
            </w:tcBorders>
            <w:shd w:val="clear" w:color="000000" w:fill="FFFFFF"/>
            <w:vAlign w:val="center"/>
            <w:hideMark/>
          </w:tcPr>
          <w:p w14:paraId="5032C33B" w14:textId="77777777" w:rsidR="00D319A4" w:rsidRPr="00846D1D" w:rsidRDefault="00D319A4" w:rsidP="00D319A4">
            <w:pPr>
              <w:jc w:val="center"/>
              <w:rPr>
                <w:color w:val="000000"/>
                <w:sz w:val="22"/>
                <w:szCs w:val="22"/>
              </w:rPr>
            </w:pPr>
            <w:r w:rsidRPr="00846D1D">
              <w:rPr>
                <w:color w:val="000000"/>
                <w:sz w:val="22"/>
                <w:szCs w:val="22"/>
              </w:rPr>
              <w:t>13,362</w:t>
            </w:r>
          </w:p>
        </w:tc>
        <w:tc>
          <w:tcPr>
            <w:tcW w:w="1060" w:type="dxa"/>
            <w:tcBorders>
              <w:top w:val="nil"/>
              <w:left w:val="nil"/>
              <w:bottom w:val="single" w:sz="8" w:space="0" w:color="auto"/>
              <w:right w:val="single" w:sz="8" w:space="0" w:color="auto"/>
            </w:tcBorders>
            <w:shd w:val="clear" w:color="000000" w:fill="FFFFFF"/>
            <w:vAlign w:val="center"/>
            <w:hideMark/>
          </w:tcPr>
          <w:p w14:paraId="46789529" w14:textId="77777777" w:rsidR="00D319A4" w:rsidRPr="00846D1D" w:rsidRDefault="00D319A4" w:rsidP="00D319A4">
            <w:pPr>
              <w:jc w:val="center"/>
              <w:rPr>
                <w:color w:val="000000"/>
                <w:sz w:val="22"/>
                <w:szCs w:val="22"/>
              </w:rPr>
            </w:pPr>
            <w:r w:rsidRPr="00846D1D">
              <w:rPr>
                <w:color w:val="000000"/>
                <w:sz w:val="22"/>
                <w:szCs w:val="22"/>
              </w:rPr>
              <w:t>86,108</w:t>
            </w:r>
          </w:p>
        </w:tc>
      </w:tr>
      <w:tr w:rsidR="00D319A4" w:rsidRPr="00846D1D" w14:paraId="777D6E9A" w14:textId="77777777" w:rsidTr="00D319A4">
        <w:trPr>
          <w:trHeight w:val="300"/>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89C5F07" w14:textId="77777777" w:rsidR="00D319A4" w:rsidRPr="00846D1D" w:rsidRDefault="00D319A4" w:rsidP="00D319A4">
            <w:pPr>
              <w:jc w:val="center"/>
              <w:rPr>
                <w:b/>
                <w:bCs/>
                <w:color w:val="000000"/>
                <w:sz w:val="22"/>
                <w:szCs w:val="22"/>
              </w:rPr>
            </w:pPr>
            <w:r w:rsidRPr="00846D1D">
              <w:rPr>
                <w:b/>
                <w:bCs/>
                <w:color w:val="000000"/>
                <w:sz w:val="22"/>
                <w:szCs w:val="22"/>
              </w:rPr>
              <w:t>2013</w:t>
            </w:r>
          </w:p>
        </w:tc>
        <w:tc>
          <w:tcPr>
            <w:tcW w:w="1060" w:type="dxa"/>
            <w:tcBorders>
              <w:top w:val="nil"/>
              <w:left w:val="nil"/>
              <w:bottom w:val="single" w:sz="8" w:space="0" w:color="auto"/>
              <w:right w:val="single" w:sz="8" w:space="0" w:color="auto"/>
            </w:tcBorders>
            <w:shd w:val="clear" w:color="000000" w:fill="FFFFFF"/>
            <w:vAlign w:val="center"/>
            <w:hideMark/>
          </w:tcPr>
          <w:p w14:paraId="31F677D8" w14:textId="77777777" w:rsidR="00D319A4" w:rsidRPr="00846D1D" w:rsidRDefault="00D319A4" w:rsidP="00D319A4">
            <w:pPr>
              <w:jc w:val="center"/>
              <w:rPr>
                <w:color w:val="000000"/>
                <w:sz w:val="22"/>
                <w:szCs w:val="22"/>
              </w:rPr>
            </w:pPr>
            <w:r w:rsidRPr="00846D1D">
              <w:rPr>
                <w:color w:val="000000"/>
                <w:sz w:val="22"/>
                <w:szCs w:val="22"/>
              </w:rPr>
              <w:t>12,009</w:t>
            </w:r>
          </w:p>
        </w:tc>
        <w:tc>
          <w:tcPr>
            <w:tcW w:w="1060" w:type="dxa"/>
            <w:tcBorders>
              <w:top w:val="nil"/>
              <w:left w:val="nil"/>
              <w:bottom w:val="single" w:sz="8" w:space="0" w:color="auto"/>
              <w:right w:val="single" w:sz="8" w:space="0" w:color="auto"/>
            </w:tcBorders>
            <w:shd w:val="clear" w:color="000000" w:fill="FFFFFF"/>
            <w:vAlign w:val="center"/>
            <w:hideMark/>
          </w:tcPr>
          <w:p w14:paraId="57606D50" w14:textId="77777777" w:rsidR="00D319A4" w:rsidRPr="00846D1D" w:rsidRDefault="00D319A4" w:rsidP="00D319A4">
            <w:pPr>
              <w:jc w:val="center"/>
              <w:rPr>
                <w:color w:val="000000"/>
                <w:sz w:val="22"/>
                <w:szCs w:val="22"/>
              </w:rPr>
            </w:pPr>
            <w:r w:rsidRPr="00846D1D">
              <w:rPr>
                <w:color w:val="000000"/>
                <w:sz w:val="22"/>
                <w:szCs w:val="22"/>
              </w:rPr>
              <w:t>8,415</w:t>
            </w:r>
          </w:p>
        </w:tc>
        <w:tc>
          <w:tcPr>
            <w:tcW w:w="1060" w:type="dxa"/>
            <w:tcBorders>
              <w:top w:val="nil"/>
              <w:left w:val="nil"/>
              <w:bottom w:val="single" w:sz="8" w:space="0" w:color="auto"/>
              <w:right w:val="single" w:sz="8" w:space="0" w:color="auto"/>
            </w:tcBorders>
            <w:shd w:val="clear" w:color="000000" w:fill="F2F2F2"/>
            <w:vAlign w:val="center"/>
            <w:hideMark/>
          </w:tcPr>
          <w:p w14:paraId="294E79B8" w14:textId="77777777" w:rsidR="00D319A4" w:rsidRPr="00846D1D" w:rsidRDefault="00D319A4" w:rsidP="00D319A4">
            <w:pPr>
              <w:jc w:val="center"/>
              <w:rPr>
                <w:color w:val="000000"/>
                <w:sz w:val="22"/>
                <w:szCs w:val="22"/>
              </w:rPr>
            </w:pPr>
            <w:r w:rsidRPr="00846D1D">
              <w:rPr>
                <w:color w:val="000000"/>
                <w:sz w:val="22"/>
                <w:szCs w:val="22"/>
              </w:rPr>
              <w:t>38,296</w:t>
            </w:r>
          </w:p>
        </w:tc>
        <w:tc>
          <w:tcPr>
            <w:tcW w:w="1060" w:type="dxa"/>
            <w:tcBorders>
              <w:top w:val="nil"/>
              <w:left w:val="nil"/>
              <w:bottom w:val="single" w:sz="8" w:space="0" w:color="auto"/>
              <w:right w:val="single" w:sz="8" w:space="0" w:color="auto"/>
            </w:tcBorders>
            <w:shd w:val="clear" w:color="000000" w:fill="FFFFFF"/>
            <w:vAlign w:val="center"/>
            <w:hideMark/>
          </w:tcPr>
          <w:p w14:paraId="42A051A6" w14:textId="77777777" w:rsidR="00D319A4" w:rsidRPr="00846D1D" w:rsidRDefault="00D319A4" w:rsidP="00D319A4">
            <w:pPr>
              <w:jc w:val="center"/>
              <w:rPr>
                <w:color w:val="000000"/>
                <w:sz w:val="22"/>
                <w:szCs w:val="22"/>
              </w:rPr>
            </w:pPr>
            <w:r w:rsidRPr="00846D1D">
              <w:rPr>
                <w:color w:val="000000"/>
                <w:sz w:val="22"/>
                <w:szCs w:val="22"/>
              </w:rPr>
              <w:t>29,946</w:t>
            </w:r>
          </w:p>
        </w:tc>
        <w:tc>
          <w:tcPr>
            <w:tcW w:w="1060" w:type="dxa"/>
            <w:tcBorders>
              <w:top w:val="nil"/>
              <w:left w:val="nil"/>
              <w:bottom w:val="single" w:sz="8" w:space="0" w:color="auto"/>
              <w:right w:val="single" w:sz="8" w:space="0" w:color="auto"/>
            </w:tcBorders>
            <w:shd w:val="clear" w:color="000000" w:fill="FFFFFF"/>
            <w:vAlign w:val="center"/>
            <w:hideMark/>
          </w:tcPr>
          <w:p w14:paraId="1B6923ED" w14:textId="77777777" w:rsidR="00D319A4" w:rsidRPr="00846D1D" w:rsidRDefault="00D319A4" w:rsidP="00D319A4">
            <w:pPr>
              <w:jc w:val="center"/>
              <w:rPr>
                <w:color w:val="000000"/>
                <w:sz w:val="22"/>
                <w:szCs w:val="22"/>
              </w:rPr>
            </w:pPr>
            <w:r w:rsidRPr="00846D1D">
              <w:rPr>
                <w:color w:val="000000"/>
                <w:sz w:val="22"/>
                <w:szCs w:val="22"/>
              </w:rPr>
              <w:t>24,702</w:t>
            </w:r>
          </w:p>
        </w:tc>
        <w:tc>
          <w:tcPr>
            <w:tcW w:w="1060" w:type="dxa"/>
            <w:tcBorders>
              <w:top w:val="nil"/>
              <w:left w:val="nil"/>
              <w:bottom w:val="single" w:sz="8" w:space="0" w:color="auto"/>
              <w:right w:val="single" w:sz="8" w:space="0" w:color="auto"/>
            </w:tcBorders>
            <w:shd w:val="clear" w:color="000000" w:fill="FFFFFF"/>
            <w:vAlign w:val="center"/>
            <w:hideMark/>
          </w:tcPr>
          <w:p w14:paraId="2B93EDAD" w14:textId="77777777" w:rsidR="00D319A4" w:rsidRPr="00846D1D" w:rsidRDefault="00D319A4" w:rsidP="00D319A4">
            <w:pPr>
              <w:jc w:val="center"/>
              <w:rPr>
                <w:color w:val="000000"/>
                <w:sz w:val="22"/>
                <w:szCs w:val="22"/>
              </w:rPr>
            </w:pPr>
            <w:r w:rsidRPr="00846D1D">
              <w:rPr>
                <w:color w:val="000000"/>
                <w:sz w:val="22"/>
                <w:szCs w:val="22"/>
              </w:rPr>
              <w:t>12,873</w:t>
            </w:r>
          </w:p>
        </w:tc>
        <w:tc>
          <w:tcPr>
            <w:tcW w:w="1060" w:type="dxa"/>
            <w:tcBorders>
              <w:top w:val="nil"/>
              <w:left w:val="nil"/>
              <w:bottom w:val="single" w:sz="8" w:space="0" w:color="auto"/>
              <w:right w:val="single" w:sz="8" w:space="0" w:color="auto"/>
            </w:tcBorders>
            <w:shd w:val="clear" w:color="000000" w:fill="FFFFFF"/>
            <w:vAlign w:val="center"/>
            <w:hideMark/>
          </w:tcPr>
          <w:p w14:paraId="6511D0A0" w14:textId="77777777" w:rsidR="00D319A4" w:rsidRPr="00846D1D" w:rsidRDefault="00D319A4" w:rsidP="00D319A4">
            <w:pPr>
              <w:jc w:val="center"/>
              <w:rPr>
                <w:color w:val="000000"/>
                <w:sz w:val="22"/>
                <w:szCs w:val="22"/>
              </w:rPr>
            </w:pPr>
            <w:r w:rsidRPr="00846D1D">
              <w:rPr>
                <w:color w:val="000000"/>
                <w:sz w:val="22"/>
                <w:szCs w:val="22"/>
              </w:rPr>
              <w:t>126,241</w:t>
            </w:r>
          </w:p>
        </w:tc>
      </w:tr>
      <w:tr w:rsidR="00D319A4" w:rsidRPr="00846D1D" w14:paraId="2B685F70" w14:textId="77777777" w:rsidTr="003D3D58">
        <w:trPr>
          <w:trHeight w:val="300"/>
        </w:trPr>
        <w:tc>
          <w:tcPr>
            <w:tcW w:w="1060" w:type="dxa"/>
            <w:tcBorders>
              <w:top w:val="nil"/>
              <w:left w:val="single" w:sz="8" w:space="0" w:color="auto"/>
              <w:bottom w:val="single" w:sz="4" w:space="0" w:color="auto"/>
              <w:right w:val="single" w:sz="8" w:space="0" w:color="auto"/>
            </w:tcBorders>
            <w:shd w:val="clear" w:color="auto" w:fill="auto"/>
            <w:noWrap/>
            <w:vAlign w:val="center"/>
            <w:hideMark/>
          </w:tcPr>
          <w:p w14:paraId="2208FA0A" w14:textId="77777777" w:rsidR="00D319A4" w:rsidRPr="00846D1D" w:rsidRDefault="00D319A4" w:rsidP="00D319A4">
            <w:pPr>
              <w:jc w:val="center"/>
              <w:rPr>
                <w:b/>
                <w:bCs/>
                <w:color w:val="000000"/>
                <w:sz w:val="22"/>
                <w:szCs w:val="22"/>
              </w:rPr>
            </w:pPr>
            <w:r w:rsidRPr="00846D1D">
              <w:rPr>
                <w:b/>
                <w:bCs/>
                <w:color w:val="000000"/>
                <w:sz w:val="22"/>
                <w:szCs w:val="22"/>
              </w:rPr>
              <w:t>2014</w:t>
            </w:r>
          </w:p>
        </w:tc>
        <w:tc>
          <w:tcPr>
            <w:tcW w:w="1060" w:type="dxa"/>
            <w:tcBorders>
              <w:top w:val="nil"/>
              <w:left w:val="nil"/>
              <w:bottom w:val="single" w:sz="4" w:space="0" w:color="auto"/>
              <w:right w:val="single" w:sz="8" w:space="0" w:color="auto"/>
            </w:tcBorders>
            <w:shd w:val="clear" w:color="000000" w:fill="FFFFFF"/>
            <w:vAlign w:val="center"/>
            <w:hideMark/>
          </w:tcPr>
          <w:p w14:paraId="4D6D2148" w14:textId="77777777" w:rsidR="00D319A4" w:rsidRPr="00846D1D" w:rsidRDefault="00D319A4" w:rsidP="00D319A4">
            <w:pPr>
              <w:jc w:val="center"/>
              <w:rPr>
                <w:color w:val="000000"/>
                <w:sz w:val="22"/>
                <w:szCs w:val="22"/>
              </w:rPr>
            </w:pPr>
            <w:r w:rsidRPr="00846D1D">
              <w:rPr>
                <w:color w:val="000000"/>
                <w:sz w:val="22"/>
                <w:szCs w:val="22"/>
              </w:rPr>
              <w:t>36,850</w:t>
            </w:r>
          </w:p>
        </w:tc>
        <w:tc>
          <w:tcPr>
            <w:tcW w:w="1060" w:type="dxa"/>
            <w:tcBorders>
              <w:top w:val="nil"/>
              <w:left w:val="nil"/>
              <w:bottom w:val="single" w:sz="4" w:space="0" w:color="auto"/>
              <w:right w:val="single" w:sz="8" w:space="0" w:color="auto"/>
            </w:tcBorders>
            <w:shd w:val="clear" w:color="000000" w:fill="FFFFFF"/>
            <w:vAlign w:val="center"/>
            <w:hideMark/>
          </w:tcPr>
          <w:p w14:paraId="6EA2A437" w14:textId="77777777" w:rsidR="00D319A4" w:rsidRPr="00846D1D" w:rsidRDefault="00D319A4" w:rsidP="00D319A4">
            <w:pPr>
              <w:jc w:val="center"/>
              <w:rPr>
                <w:color w:val="000000"/>
                <w:sz w:val="22"/>
                <w:szCs w:val="22"/>
              </w:rPr>
            </w:pPr>
            <w:r w:rsidRPr="00846D1D">
              <w:rPr>
                <w:color w:val="000000"/>
                <w:sz w:val="22"/>
                <w:szCs w:val="22"/>
              </w:rPr>
              <w:t>9,523</w:t>
            </w:r>
          </w:p>
        </w:tc>
        <w:tc>
          <w:tcPr>
            <w:tcW w:w="1060" w:type="dxa"/>
            <w:tcBorders>
              <w:top w:val="nil"/>
              <w:left w:val="nil"/>
              <w:bottom w:val="single" w:sz="4" w:space="0" w:color="auto"/>
              <w:right w:val="single" w:sz="8" w:space="0" w:color="auto"/>
            </w:tcBorders>
            <w:shd w:val="clear" w:color="000000" w:fill="F2F2F2"/>
            <w:vAlign w:val="center"/>
            <w:hideMark/>
          </w:tcPr>
          <w:p w14:paraId="7082C2BF" w14:textId="77777777" w:rsidR="00D319A4" w:rsidRPr="00846D1D" w:rsidRDefault="00D319A4" w:rsidP="00D319A4">
            <w:pPr>
              <w:jc w:val="center"/>
              <w:rPr>
                <w:color w:val="000000"/>
                <w:sz w:val="22"/>
                <w:szCs w:val="22"/>
              </w:rPr>
            </w:pPr>
            <w:r w:rsidRPr="00846D1D">
              <w:rPr>
                <w:color w:val="000000"/>
                <w:sz w:val="22"/>
                <w:szCs w:val="22"/>
              </w:rPr>
              <w:t>31,024</w:t>
            </w:r>
          </w:p>
        </w:tc>
        <w:tc>
          <w:tcPr>
            <w:tcW w:w="1060" w:type="dxa"/>
            <w:tcBorders>
              <w:top w:val="nil"/>
              <w:left w:val="nil"/>
              <w:bottom w:val="single" w:sz="4" w:space="0" w:color="auto"/>
              <w:right w:val="single" w:sz="8" w:space="0" w:color="auto"/>
            </w:tcBorders>
            <w:shd w:val="clear" w:color="000000" w:fill="FFFFFF"/>
            <w:vAlign w:val="center"/>
            <w:hideMark/>
          </w:tcPr>
          <w:p w14:paraId="63760176" w14:textId="77777777" w:rsidR="00D319A4" w:rsidRPr="00846D1D" w:rsidRDefault="00D319A4" w:rsidP="00D319A4">
            <w:pPr>
              <w:jc w:val="center"/>
              <w:rPr>
                <w:color w:val="000000"/>
                <w:sz w:val="22"/>
                <w:szCs w:val="22"/>
              </w:rPr>
            </w:pPr>
            <w:r w:rsidRPr="00846D1D">
              <w:rPr>
                <w:color w:val="000000"/>
                <w:sz w:val="22"/>
                <w:szCs w:val="22"/>
              </w:rPr>
              <w:t>25,715</w:t>
            </w:r>
          </w:p>
        </w:tc>
        <w:tc>
          <w:tcPr>
            <w:tcW w:w="1060" w:type="dxa"/>
            <w:tcBorders>
              <w:top w:val="nil"/>
              <w:left w:val="nil"/>
              <w:bottom w:val="single" w:sz="4" w:space="0" w:color="auto"/>
              <w:right w:val="single" w:sz="8" w:space="0" w:color="auto"/>
            </w:tcBorders>
            <w:shd w:val="clear" w:color="000000" w:fill="FFFFFF"/>
            <w:vAlign w:val="center"/>
            <w:hideMark/>
          </w:tcPr>
          <w:p w14:paraId="4122F13F" w14:textId="77777777" w:rsidR="00D319A4" w:rsidRPr="00846D1D" w:rsidRDefault="00D319A4" w:rsidP="00D319A4">
            <w:pPr>
              <w:jc w:val="center"/>
              <w:rPr>
                <w:color w:val="000000"/>
                <w:sz w:val="22"/>
                <w:szCs w:val="22"/>
              </w:rPr>
            </w:pPr>
            <w:r w:rsidRPr="00846D1D">
              <w:rPr>
                <w:color w:val="000000"/>
                <w:sz w:val="22"/>
                <w:szCs w:val="22"/>
              </w:rPr>
              <w:t>12,819</w:t>
            </w:r>
          </w:p>
        </w:tc>
        <w:tc>
          <w:tcPr>
            <w:tcW w:w="1060" w:type="dxa"/>
            <w:tcBorders>
              <w:top w:val="nil"/>
              <w:left w:val="nil"/>
              <w:bottom w:val="single" w:sz="4" w:space="0" w:color="auto"/>
              <w:right w:val="single" w:sz="8" w:space="0" w:color="auto"/>
            </w:tcBorders>
            <w:shd w:val="clear" w:color="000000" w:fill="FFFFFF"/>
            <w:vAlign w:val="center"/>
            <w:hideMark/>
          </w:tcPr>
          <w:p w14:paraId="748DCE82" w14:textId="77777777" w:rsidR="00D319A4" w:rsidRPr="00846D1D" w:rsidRDefault="00D319A4" w:rsidP="00D319A4">
            <w:pPr>
              <w:jc w:val="center"/>
              <w:rPr>
                <w:color w:val="000000"/>
                <w:sz w:val="22"/>
                <w:szCs w:val="22"/>
              </w:rPr>
            </w:pPr>
            <w:r w:rsidRPr="00846D1D">
              <w:rPr>
                <w:color w:val="000000"/>
                <w:sz w:val="22"/>
                <w:szCs w:val="22"/>
              </w:rPr>
              <w:t>41,570</w:t>
            </w:r>
          </w:p>
        </w:tc>
        <w:tc>
          <w:tcPr>
            <w:tcW w:w="1060" w:type="dxa"/>
            <w:tcBorders>
              <w:top w:val="nil"/>
              <w:left w:val="nil"/>
              <w:bottom w:val="single" w:sz="4" w:space="0" w:color="auto"/>
              <w:right w:val="single" w:sz="8" w:space="0" w:color="auto"/>
            </w:tcBorders>
            <w:shd w:val="clear" w:color="000000" w:fill="FFFFFF"/>
            <w:vAlign w:val="center"/>
            <w:hideMark/>
          </w:tcPr>
          <w:p w14:paraId="7F383C25" w14:textId="77777777" w:rsidR="00D319A4" w:rsidRPr="00846D1D" w:rsidRDefault="00D319A4" w:rsidP="00D319A4">
            <w:pPr>
              <w:jc w:val="center"/>
              <w:rPr>
                <w:color w:val="000000"/>
                <w:sz w:val="22"/>
                <w:szCs w:val="22"/>
              </w:rPr>
            </w:pPr>
            <w:r w:rsidRPr="00846D1D">
              <w:rPr>
                <w:color w:val="000000"/>
                <w:sz w:val="22"/>
                <w:szCs w:val="22"/>
              </w:rPr>
              <w:t>157,501</w:t>
            </w:r>
          </w:p>
        </w:tc>
      </w:tr>
      <w:tr w:rsidR="003D3D58" w:rsidRPr="003D3D58" w14:paraId="74A46070" w14:textId="77777777" w:rsidTr="003D3D58">
        <w:trPr>
          <w:trHeight w:val="3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B070D" w14:textId="55F9A7EB" w:rsidR="003D3D58" w:rsidRPr="003D3D58" w:rsidRDefault="003D3D58" w:rsidP="00D319A4">
            <w:pPr>
              <w:jc w:val="center"/>
              <w:rPr>
                <w:b/>
                <w:bCs/>
                <w:color w:val="000000"/>
                <w:sz w:val="22"/>
                <w:szCs w:val="22"/>
              </w:rPr>
            </w:pPr>
            <w:r w:rsidRPr="003D3D58">
              <w:rPr>
                <w:b/>
                <w:color w:val="000000"/>
                <w:sz w:val="22"/>
                <w:szCs w:val="22"/>
              </w:rPr>
              <w:t>Mean</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bottom"/>
          </w:tcPr>
          <w:p w14:paraId="51AA5174" w14:textId="65ABD1DD" w:rsidR="003D3D58" w:rsidRPr="003D3D58" w:rsidRDefault="003D3D58" w:rsidP="00D319A4">
            <w:pPr>
              <w:jc w:val="center"/>
              <w:rPr>
                <w:color w:val="000000"/>
                <w:sz w:val="22"/>
                <w:szCs w:val="22"/>
              </w:rPr>
            </w:pPr>
            <w:r w:rsidRPr="003D3D58">
              <w:rPr>
                <w:color w:val="000000"/>
                <w:sz w:val="22"/>
                <w:szCs w:val="22"/>
              </w:rPr>
              <w:t>18,478</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bottom"/>
          </w:tcPr>
          <w:p w14:paraId="0E03BB87" w14:textId="0B9EEFEB" w:rsidR="003D3D58" w:rsidRPr="003D3D58" w:rsidRDefault="003D3D58" w:rsidP="00D319A4">
            <w:pPr>
              <w:jc w:val="center"/>
              <w:rPr>
                <w:color w:val="000000"/>
                <w:sz w:val="22"/>
                <w:szCs w:val="22"/>
              </w:rPr>
            </w:pPr>
            <w:r w:rsidRPr="003D3D58">
              <w:rPr>
                <w:color w:val="000000"/>
                <w:sz w:val="22"/>
                <w:szCs w:val="22"/>
              </w:rPr>
              <w:t>12,158</w:t>
            </w:r>
          </w:p>
        </w:tc>
        <w:tc>
          <w:tcPr>
            <w:tcW w:w="1060" w:type="dxa"/>
            <w:tcBorders>
              <w:top w:val="single" w:sz="4" w:space="0" w:color="auto"/>
              <w:left w:val="single" w:sz="4" w:space="0" w:color="auto"/>
              <w:bottom w:val="single" w:sz="4" w:space="0" w:color="auto"/>
              <w:right w:val="single" w:sz="4" w:space="0" w:color="auto"/>
            </w:tcBorders>
            <w:shd w:val="clear" w:color="000000" w:fill="F2F2F2"/>
            <w:vAlign w:val="bottom"/>
          </w:tcPr>
          <w:p w14:paraId="403DE6E3" w14:textId="6B66BBAC" w:rsidR="003D3D58" w:rsidRPr="003D3D58" w:rsidRDefault="003D3D58" w:rsidP="00D319A4">
            <w:pPr>
              <w:jc w:val="center"/>
              <w:rPr>
                <w:color w:val="000000"/>
                <w:sz w:val="22"/>
                <w:szCs w:val="22"/>
              </w:rPr>
            </w:pPr>
            <w:r w:rsidRPr="003D3D58">
              <w:rPr>
                <w:color w:val="000000"/>
                <w:sz w:val="22"/>
                <w:szCs w:val="22"/>
              </w:rPr>
              <w:t>29,164</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bottom"/>
          </w:tcPr>
          <w:p w14:paraId="21CF58D3" w14:textId="5F3AA341" w:rsidR="003D3D58" w:rsidRPr="003D3D58" w:rsidRDefault="003D3D58" w:rsidP="00D319A4">
            <w:pPr>
              <w:jc w:val="center"/>
              <w:rPr>
                <w:color w:val="000000"/>
                <w:sz w:val="22"/>
                <w:szCs w:val="22"/>
              </w:rPr>
            </w:pPr>
            <w:r w:rsidRPr="003D3D58">
              <w:rPr>
                <w:color w:val="000000"/>
                <w:sz w:val="22"/>
                <w:szCs w:val="22"/>
              </w:rPr>
              <w:t>21,977</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bottom"/>
          </w:tcPr>
          <w:p w14:paraId="2A8F5FA2" w14:textId="6795D27F" w:rsidR="003D3D58" w:rsidRPr="003D3D58" w:rsidRDefault="003D3D58" w:rsidP="00D319A4">
            <w:pPr>
              <w:jc w:val="center"/>
              <w:rPr>
                <w:color w:val="000000"/>
                <w:sz w:val="22"/>
                <w:szCs w:val="22"/>
              </w:rPr>
            </w:pPr>
            <w:r w:rsidRPr="003D3D58">
              <w:rPr>
                <w:color w:val="000000"/>
                <w:sz w:val="22"/>
                <w:szCs w:val="22"/>
              </w:rPr>
              <w:t>13,241</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bottom"/>
          </w:tcPr>
          <w:p w14:paraId="5954A08B" w14:textId="79B942D3" w:rsidR="003D3D58" w:rsidRPr="003D3D58" w:rsidRDefault="003D3D58" w:rsidP="00D319A4">
            <w:pPr>
              <w:jc w:val="center"/>
              <w:rPr>
                <w:color w:val="000000"/>
                <w:sz w:val="22"/>
                <w:szCs w:val="22"/>
              </w:rPr>
            </w:pPr>
            <w:r w:rsidRPr="003D3D58">
              <w:rPr>
                <w:color w:val="000000"/>
                <w:sz w:val="22"/>
                <w:szCs w:val="22"/>
              </w:rPr>
              <w:t>17,032</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bottom"/>
          </w:tcPr>
          <w:p w14:paraId="1E9FD468" w14:textId="5345A00C" w:rsidR="003D3D58" w:rsidRPr="003D3D58" w:rsidRDefault="003D3D58" w:rsidP="00D319A4">
            <w:pPr>
              <w:jc w:val="center"/>
              <w:rPr>
                <w:color w:val="000000"/>
                <w:sz w:val="22"/>
                <w:szCs w:val="22"/>
              </w:rPr>
            </w:pPr>
            <w:r w:rsidRPr="003D3D58">
              <w:rPr>
                <w:color w:val="000000"/>
                <w:sz w:val="22"/>
                <w:szCs w:val="22"/>
              </w:rPr>
              <w:t>112,050</w:t>
            </w:r>
          </w:p>
        </w:tc>
      </w:tr>
    </w:tbl>
    <w:p w14:paraId="1724DEE6" w14:textId="77777777" w:rsidR="00873B9E" w:rsidRDefault="00873B9E" w:rsidP="00873B9E">
      <w:pPr>
        <w:rPr>
          <w:rFonts w:ascii="Arial" w:hAnsi="Arial" w:cs="Arial"/>
          <w:sz w:val="20"/>
          <w:szCs w:val="20"/>
        </w:rPr>
      </w:pPr>
      <w:r w:rsidRPr="004C6195">
        <w:rPr>
          <w:rFonts w:ascii="Arial" w:hAnsi="Arial" w:cs="Arial"/>
          <w:sz w:val="20"/>
          <w:szCs w:val="20"/>
        </w:rPr>
        <w:t xml:space="preserve">Source:  </w:t>
      </w:r>
      <w:hyperlink r:id="rId66" w:history="1">
        <w:r w:rsidRPr="004C6195">
          <w:rPr>
            <w:rStyle w:val="Hyperlink"/>
            <w:rFonts w:ascii="Arial" w:hAnsi="Arial" w:cs="Arial"/>
            <w:sz w:val="20"/>
            <w:szCs w:val="20"/>
          </w:rPr>
          <w:t>http://sero.nmfs.noaa.gov/sustainable_fisheries/acl_monitoring/index.html</w:t>
        </w:r>
      </w:hyperlink>
      <w:r w:rsidRPr="004C6195">
        <w:rPr>
          <w:rFonts w:ascii="Arial" w:hAnsi="Arial" w:cs="Arial"/>
          <w:sz w:val="20"/>
          <w:szCs w:val="20"/>
        </w:rPr>
        <w:t>.</w:t>
      </w:r>
    </w:p>
    <w:p w14:paraId="7C87CB7B" w14:textId="77777777" w:rsidR="00873B9E" w:rsidRDefault="00873B9E" w:rsidP="00873B9E">
      <w:pPr>
        <w:rPr>
          <w:rFonts w:ascii="Arial" w:hAnsi="Arial" w:cs="Arial"/>
          <w:sz w:val="20"/>
          <w:szCs w:val="20"/>
        </w:rPr>
      </w:pPr>
    </w:p>
    <w:p w14:paraId="00963B27" w14:textId="77777777" w:rsidR="00873B9E" w:rsidRDefault="00873B9E" w:rsidP="00873B9E">
      <w:pPr>
        <w:rPr>
          <w:rFonts w:ascii="Arial" w:hAnsi="Arial" w:cs="Arial"/>
          <w:b/>
          <w:sz w:val="20"/>
          <w:szCs w:val="20"/>
        </w:rPr>
      </w:pPr>
      <w:bookmarkStart w:id="272" w:name="_Toc419885501"/>
      <w:r>
        <w:rPr>
          <w:rFonts w:ascii="Arial" w:hAnsi="Arial" w:cs="Arial"/>
          <w:b/>
          <w:sz w:val="20"/>
          <w:szCs w:val="20"/>
        </w:rPr>
        <w:br w:type="page"/>
      </w:r>
    </w:p>
    <w:p w14:paraId="6AD1F86C" w14:textId="182F8F73" w:rsidR="00873B9E" w:rsidRDefault="00F52421" w:rsidP="00873B9E">
      <w:pPr>
        <w:rPr>
          <w:rFonts w:ascii="Arial" w:hAnsi="Arial" w:cs="Arial"/>
          <w:b/>
          <w:sz w:val="20"/>
          <w:szCs w:val="20"/>
        </w:rPr>
      </w:pPr>
      <w:r>
        <w:rPr>
          <w:noProof/>
        </w:rPr>
        <w:lastRenderedPageBreak/>
        <w:drawing>
          <wp:inline distT="0" distB="0" distL="0" distR="0" wp14:anchorId="5BF02394" wp14:editId="2691C5A6">
            <wp:extent cx="5476875" cy="2924175"/>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39EF7AE" w14:textId="77777777" w:rsidR="00F52421" w:rsidRDefault="00F52421" w:rsidP="00873B9E">
      <w:pPr>
        <w:rPr>
          <w:rFonts w:ascii="Arial" w:hAnsi="Arial" w:cs="Arial"/>
          <w:b/>
          <w:sz w:val="20"/>
          <w:szCs w:val="20"/>
        </w:rPr>
      </w:pPr>
    </w:p>
    <w:p w14:paraId="14343E7C" w14:textId="6FDF08DC" w:rsidR="00873B9E" w:rsidRDefault="00903F45" w:rsidP="00873B9E">
      <w:pPr>
        <w:rPr>
          <w:rFonts w:ascii="Arial" w:hAnsi="Arial" w:cs="Arial"/>
          <w:sz w:val="20"/>
          <w:szCs w:val="20"/>
        </w:rPr>
      </w:pPr>
      <w:r>
        <w:rPr>
          <w:rStyle w:val="FiguretitleChar1"/>
          <w:rFonts w:ascii="Arial" w:eastAsia="Calibri" w:hAnsi="Arial" w:cs="Arial"/>
          <w:b/>
          <w:sz w:val="20"/>
          <w:szCs w:val="20"/>
        </w:rPr>
        <w:t>Figure 4</w:t>
      </w:r>
      <w:r w:rsidR="00ED4F0E">
        <w:rPr>
          <w:rStyle w:val="FiguretitleChar1"/>
          <w:rFonts w:ascii="Arial" w:eastAsia="Calibri" w:hAnsi="Arial" w:cs="Arial"/>
          <w:b/>
          <w:sz w:val="20"/>
          <w:szCs w:val="20"/>
        </w:rPr>
        <w:t>.7</w:t>
      </w:r>
      <w:r w:rsidR="00873B9E">
        <w:rPr>
          <w:rStyle w:val="FiguretitleChar1"/>
          <w:rFonts w:ascii="Arial" w:eastAsia="Calibri" w:hAnsi="Arial" w:cs="Arial"/>
          <w:b/>
          <w:sz w:val="20"/>
          <w:szCs w:val="20"/>
        </w:rPr>
        <w:t>.1</w:t>
      </w:r>
      <w:r w:rsidR="00873B9E" w:rsidRPr="000A5352">
        <w:rPr>
          <w:rStyle w:val="FiguretitleChar1"/>
          <w:rFonts w:ascii="Arial" w:eastAsia="Calibri" w:hAnsi="Arial" w:cs="Arial"/>
          <w:b/>
          <w:sz w:val="20"/>
          <w:szCs w:val="20"/>
        </w:rPr>
        <w:t>.</w:t>
      </w:r>
      <w:r w:rsidR="00873B9E" w:rsidRPr="000A5352">
        <w:rPr>
          <w:rStyle w:val="FiguretitleChar1"/>
          <w:rFonts w:ascii="Arial" w:eastAsia="Calibri" w:hAnsi="Arial" w:cs="Arial"/>
          <w:sz w:val="20"/>
          <w:szCs w:val="20"/>
        </w:rPr>
        <w:t xml:space="preserve">  Distribution of South Atlantic mutton snapper landed per angler by season from the two recreational datasets </w:t>
      </w:r>
      <w:r w:rsidR="008078BF">
        <w:rPr>
          <w:rStyle w:val="FiguretitleChar1"/>
          <w:rFonts w:ascii="Arial" w:eastAsia="Calibri" w:hAnsi="Arial" w:cs="Arial"/>
          <w:sz w:val="20"/>
          <w:szCs w:val="20"/>
        </w:rPr>
        <w:t>(</w:t>
      </w:r>
      <w:r w:rsidR="00F52421">
        <w:rPr>
          <w:rStyle w:val="FiguretitleChar1"/>
          <w:rFonts w:ascii="Arial" w:eastAsia="Calibri" w:hAnsi="Arial" w:cs="Arial"/>
          <w:sz w:val="20"/>
          <w:szCs w:val="20"/>
        </w:rPr>
        <w:t>MRIP</w:t>
      </w:r>
      <w:r w:rsidR="008078BF">
        <w:rPr>
          <w:rStyle w:val="FiguretitleChar1"/>
          <w:rFonts w:ascii="Arial" w:eastAsia="Calibri" w:hAnsi="Arial" w:cs="Arial"/>
          <w:sz w:val="20"/>
          <w:szCs w:val="20"/>
        </w:rPr>
        <w:t xml:space="preserve"> and Headboat) from 201</w:t>
      </w:r>
      <w:r w:rsidR="007F38F5">
        <w:rPr>
          <w:rStyle w:val="FiguretitleChar1"/>
          <w:rFonts w:ascii="Arial" w:eastAsia="Calibri" w:hAnsi="Arial" w:cs="Arial"/>
          <w:sz w:val="20"/>
          <w:szCs w:val="20"/>
        </w:rPr>
        <w:t>0</w:t>
      </w:r>
      <w:r w:rsidR="008078BF">
        <w:rPr>
          <w:rStyle w:val="FiguretitleChar1"/>
          <w:rFonts w:ascii="Arial" w:eastAsia="Calibri" w:hAnsi="Arial" w:cs="Arial"/>
          <w:sz w:val="20"/>
          <w:szCs w:val="20"/>
        </w:rPr>
        <w:t xml:space="preserve"> through</w:t>
      </w:r>
      <w:r w:rsidR="00873B9E" w:rsidRPr="000A5352">
        <w:rPr>
          <w:rStyle w:val="FiguretitleChar1"/>
          <w:rFonts w:ascii="Arial" w:eastAsia="Calibri" w:hAnsi="Arial" w:cs="Arial"/>
          <w:sz w:val="20"/>
          <w:szCs w:val="20"/>
        </w:rPr>
        <w:t xml:space="preserve"> 201</w:t>
      </w:r>
      <w:r w:rsidR="007F38F5">
        <w:rPr>
          <w:rStyle w:val="FiguretitleChar1"/>
          <w:rFonts w:ascii="Arial" w:eastAsia="Calibri" w:hAnsi="Arial" w:cs="Arial"/>
          <w:sz w:val="20"/>
          <w:szCs w:val="20"/>
        </w:rPr>
        <w:t>4</w:t>
      </w:r>
      <w:r w:rsidR="00873B9E" w:rsidRPr="000A5352">
        <w:rPr>
          <w:rStyle w:val="FiguretitleChar1"/>
          <w:rFonts w:ascii="Arial" w:eastAsia="Calibri" w:hAnsi="Arial" w:cs="Arial"/>
          <w:sz w:val="20"/>
          <w:szCs w:val="20"/>
        </w:rPr>
        <w:t>.</w:t>
      </w:r>
      <w:r w:rsidR="00873B9E" w:rsidRPr="000A5352">
        <w:rPr>
          <w:rFonts w:ascii="Arial" w:hAnsi="Arial" w:cs="Arial"/>
          <w:sz w:val="20"/>
          <w:szCs w:val="20"/>
        </w:rPr>
        <w:t xml:space="preserve"> </w:t>
      </w:r>
    </w:p>
    <w:p w14:paraId="334DE4DA" w14:textId="77777777" w:rsidR="00873B9E" w:rsidRDefault="00873B9E" w:rsidP="00873B9E">
      <w:pPr>
        <w:rPr>
          <w:rFonts w:ascii="Arial" w:hAnsi="Arial" w:cs="Arial"/>
          <w:b/>
          <w:sz w:val="20"/>
          <w:szCs w:val="20"/>
        </w:rPr>
      </w:pPr>
    </w:p>
    <w:bookmarkEnd w:id="272"/>
    <w:p w14:paraId="78289618" w14:textId="01E43BB0" w:rsidR="00BD7E9A" w:rsidRDefault="00621526" w:rsidP="00AE5017">
      <w:pPr>
        <w:ind w:firstLine="360"/>
      </w:pPr>
      <w:r>
        <w:t xml:space="preserve">In general, constraining recreational harvest by means of bag limits results in neutral biological effects because the ACL limits overall harvest to a level that is sustainable over the long-term.  However, bag limits can be beneficial in managing harvest of species whose biology makes them particularly vulnerable to fishing mortality during part of their life cycle, such as when they are reproducing.  As such, </w:t>
      </w:r>
      <w:r w:rsidRPr="00A917AD">
        <w:rPr>
          <w:b/>
        </w:rPr>
        <w:t>Alternative 3</w:t>
      </w:r>
      <w:r>
        <w:t xml:space="preserve"> and its </w:t>
      </w:r>
      <w:r w:rsidR="00A917AD">
        <w:t>sub</w:t>
      </w:r>
      <w:r>
        <w:t>-altern</w:t>
      </w:r>
      <w:r w:rsidR="00A917AD">
        <w:t>a</w:t>
      </w:r>
      <w:r>
        <w:t xml:space="preserve">tives </w:t>
      </w:r>
      <w:r w:rsidR="00A917AD">
        <w:t xml:space="preserve">would provide greater biological benefits over </w:t>
      </w:r>
      <w:r w:rsidR="00A917AD" w:rsidRPr="00A917AD">
        <w:rPr>
          <w:b/>
        </w:rPr>
        <w:t>Alternative 1 (No Action)</w:t>
      </w:r>
      <w:r w:rsidR="00A917AD">
        <w:t xml:space="preserve">, </w:t>
      </w:r>
      <w:r w:rsidR="00A917AD" w:rsidRPr="00A917AD">
        <w:rPr>
          <w:b/>
        </w:rPr>
        <w:t>Alternative 2</w:t>
      </w:r>
      <w:r w:rsidR="00A917AD">
        <w:t xml:space="preserve">, and </w:t>
      </w:r>
      <w:r w:rsidR="008565BE" w:rsidRPr="0000613D">
        <w:rPr>
          <w:b/>
        </w:rPr>
        <w:t xml:space="preserve">Preferred </w:t>
      </w:r>
      <w:r w:rsidR="00A917AD" w:rsidRPr="00A917AD">
        <w:rPr>
          <w:b/>
        </w:rPr>
        <w:t>Alternative 4</w:t>
      </w:r>
      <w:r w:rsidR="00A917AD">
        <w:t xml:space="preserve">.  Among the </w:t>
      </w:r>
      <w:r w:rsidR="00A917AD" w:rsidRPr="00A917AD">
        <w:rPr>
          <w:b/>
        </w:rPr>
        <w:t>Alternative 3</w:t>
      </w:r>
      <w:r w:rsidR="00A917AD">
        <w:t xml:space="preserve"> sub-alternatives, </w:t>
      </w:r>
      <w:r w:rsidR="00A917AD" w:rsidRPr="00A917AD">
        <w:rPr>
          <w:b/>
        </w:rPr>
        <w:t>Sub-alternative 3e</w:t>
      </w:r>
      <w:r w:rsidR="00A917AD">
        <w:t>, no retention of mutton snapper would provide the greatest biological ben</w:t>
      </w:r>
      <w:r w:rsidR="00BD7E9A">
        <w:t xml:space="preserve">efit since fish would not be subject to fishing mortality while they are in spawning condition.  Positive biological effects would be expected from </w:t>
      </w:r>
      <w:r w:rsidR="00BD7E9A" w:rsidRPr="00BD7E9A">
        <w:rPr>
          <w:b/>
        </w:rPr>
        <w:t>Sub-alternatives 3a</w:t>
      </w:r>
      <w:r w:rsidR="00BD7E9A">
        <w:t xml:space="preserve">, </w:t>
      </w:r>
      <w:r w:rsidR="00BD7E9A" w:rsidRPr="00BD7E9A">
        <w:rPr>
          <w:b/>
        </w:rPr>
        <w:t>3b</w:t>
      </w:r>
      <w:r w:rsidR="00BD7E9A">
        <w:t xml:space="preserve">, </w:t>
      </w:r>
      <w:r w:rsidR="00BD7E9A" w:rsidRPr="00BD7E9A">
        <w:rPr>
          <w:b/>
        </w:rPr>
        <w:t>3c</w:t>
      </w:r>
      <w:r w:rsidR="00BD7E9A">
        <w:t xml:space="preserve">, and </w:t>
      </w:r>
      <w:r w:rsidR="00BD7E9A" w:rsidRPr="00BD7E9A">
        <w:rPr>
          <w:b/>
        </w:rPr>
        <w:t>3d</w:t>
      </w:r>
      <w:r w:rsidR="00BD7E9A">
        <w:t xml:space="preserve">, in that order, as these sub-alternatives would constrain recreational harvest during the spawning months.  </w:t>
      </w:r>
      <w:r w:rsidR="0037337F">
        <w:t xml:space="preserve">In terms of regulatory discards, </w:t>
      </w:r>
      <w:r w:rsidR="0037337F" w:rsidRPr="00F15484">
        <w:rPr>
          <w:b/>
        </w:rPr>
        <w:t>Sub-alternative 3e</w:t>
      </w:r>
      <w:r w:rsidR="0037337F">
        <w:t xml:space="preserve"> has the potential to result in higher levels than the other sub-alternatives</w:t>
      </w:r>
      <w:r w:rsidR="00F15484">
        <w:t xml:space="preserve"> under </w:t>
      </w:r>
      <w:r w:rsidR="00F15484" w:rsidRPr="00F15484">
        <w:rPr>
          <w:b/>
        </w:rPr>
        <w:t>Alternative 3</w:t>
      </w:r>
      <w:r w:rsidR="00F15484">
        <w:t xml:space="preserve"> as no retention would be allowed during the spawning months, a time when recreational landings have been highest (</w:t>
      </w:r>
      <w:r w:rsidR="00F15484" w:rsidRPr="00F15484">
        <w:rPr>
          <w:b/>
        </w:rPr>
        <w:t>Table 4.7.1</w:t>
      </w:r>
      <w:r w:rsidR="00F15484">
        <w:t>).</w:t>
      </w:r>
    </w:p>
    <w:p w14:paraId="793BAC4F" w14:textId="77777777" w:rsidR="00496596" w:rsidRDefault="00496596" w:rsidP="008F603D"/>
    <w:p w14:paraId="1D7CBD4A" w14:textId="2C84751D" w:rsidR="00F13B0C" w:rsidRDefault="008078BF" w:rsidP="00F13B0C">
      <w:pPr>
        <w:ind w:firstLine="360"/>
      </w:pPr>
      <w:r>
        <w:rPr>
          <w:b/>
        </w:rPr>
        <w:t>Table 4.7</w:t>
      </w:r>
      <w:r w:rsidR="005879E9" w:rsidRPr="0000613D">
        <w:rPr>
          <w:b/>
        </w:rPr>
        <w:t>.2</w:t>
      </w:r>
      <w:r w:rsidR="00496596">
        <w:t xml:space="preserve"> presents projected recreational landings under the various </w:t>
      </w:r>
      <w:r w:rsidR="00F15484">
        <w:t>“regular season” (</w:t>
      </w:r>
      <w:r w:rsidR="00F15484" w:rsidRPr="00F15484">
        <w:rPr>
          <w:b/>
        </w:rPr>
        <w:t>Alternative 2</w:t>
      </w:r>
      <w:r w:rsidR="00F15484">
        <w:t>) and “spawning months” (</w:t>
      </w:r>
      <w:r w:rsidR="00F15484" w:rsidRPr="00F15484">
        <w:rPr>
          <w:b/>
        </w:rPr>
        <w:t>Alternative 3</w:t>
      </w:r>
      <w:r w:rsidR="00F15484">
        <w:t xml:space="preserve">) </w:t>
      </w:r>
      <w:r w:rsidR="00496596">
        <w:t xml:space="preserve">bag limit </w:t>
      </w:r>
      <w:r w:rsidR="00F15484">
        <w:t>combinations</w:t>
      </w:r>
      <w:r w:rsidR="00496596">
        <w:t xml:space="preserve"> for the preferred minimum size limit (18 inches TL) and </w:t>
      </w:r>
      <w:r w:rsidR="00F15484">
        <w:t>preferred “</w:t>
      </w:r>
      <w:r w:rsidR="00496596">
        <w:t>spawni</w:t>
      </w:r>
      <w:r w:rsidR="00DF6C17">
        <w:t>n</w:t>
      </w:r>
      <w:r w:rsidR="00F15484">
        <w:t>g months”</w:t>
      </w:r>
      <w:r w:rsidR="00496596">
        <w:t xml:space="preserve"> </w:t>
      </w:r>
      <w:r w:rsidR="00F15484">
        <w:t xml:space="preserve"> of April through June (</w:t>
      </w:r>
      <w:r w:rsidR="00F15484" w:rsidRPr="00F15484">
        <w:rPr>
          <w:b/>
        </w:rPr>
        <w:t>Action 6</w:t>
      </w:r>
      <w:r w:rsidR="00F15484">
        <w:t>)</w:t>
      </w:r>
      <w:r w:rsidR="00DF6C17">
        <w:t>.</w:t>
      </w:r>
      <w:r w:rsidR="00F13B0C">
        <w:t xml:space="preserve"> </w:t>
      </w:r>
      <w:r w:rsidR="00F15484">
        <w:t xml:space="preserve">  As expected, landings would be lowest under a scenario including no retention of mutton snapper during the spawning months (</w:t>
      </w:r>
      <w:r w:rsidR="00F15484" w:rsidRPr="00E10EFD">
        <w:rPr>
          <w:b/>
        </w:rPr>
        <w:t>Sub-alternative 3e</w:t>
      </w:r>
      <w:r w:rsidR="00F15484">
        <w:t xml:space="preserve">).  Landings would be highest under </w:t>
      </w:r>
      <w:r w:rsidR="00E10EFD">
        <w:t>“per person” bag limits during and outside of th</w:t>
      </w:r>
      <w:r w:rsidR="00FA68EB">
        <w:t>e “spawning months.”</w:t>
      </w:r>
      <w:r w:rsidR="00E10EFD">
        <w:t xml:space="preserve">  Overall, however, the differences in projected landings are not very large among the </w:t>
      </w:r>
      <w:r w:rsidR="00E10EFD" w:rsidRPr="00E10EFD">
        <w:rPr>
          <w:b/>
        </w:rPr>
        <w:t>Alternative 3</w:t>
      </w:r>
      <w:r w:rsidR="00E10EFD">
        <w:t xml:space="preserve"> sub-alternatives, and extremely small among the </w:t>
      </w:r>
      <w:r w:rsidR="00E10EFD" w:rsidRPr="00E10EFD">
        <w:rPr>
          <w:b/>
        </w:rPr>
        <w:t>Alternative 2</w:t>
      </w:r>
      <w:r w:rsidR="00E10EFD">
        <w:t xml:space="preserve"> sub-alternatives.  This indicates that changes to the recreational bag limit would have very little effect in constraining recreational harvest. </w:t>
      </w:r>
    </w:p>
    <w:p w14:paraId="2C0A6862" w14:textId="339B72B1" w:rsidR="008078BF" w:rsidRDefault="008078BF">
      <w:pPr>
        <w:rPr>
          <w:rFonts w:ascii="Arial" w:hAnsi="Arial"/>
          <w:b/>
          <w:bCs/>
          <w:sz w:val="20"/>
        </w:rPr>
      </w:pPr>
    </w:p>
    <w:p w14:paraId="7FC30F4C" w14:textId="042A9DF4" w:rsidR="00DF6C17" w:rsidRDefault="008078BF" w:rsidP="0000613D">
      <w:pPr>
        <w:pStyle w:val="Tabletitle"/>
      </w:pPr>
      <w:bookmarkStart w:id="273" w:name="_Toc340431586"/>
      <w:r>
        <w:rPr>
          <w:b/>
        </w:rPr>
        <w:lastRenderedPageBreak/>
        <w:t>Table 4.7</w:t>
      </w:r>
      <w:r w:rsidR="005879E9">
        <w:rPr>
          <w:b/>
        </w:rPr>
        <w:t>.2</w:t>
      </w:r>
      <w:r w:rsidR="005879E9" w:rsidRPr="00490937">
        <w:rPr>
          <w:b/>
        </w:rPr>
        <w:t>.</w:t>
      </w:r>
      <w:r w:rsidR="006048D0">
        <w:t xml:space="preserve"> </w:t>
      </w:r>
      <w:r w:rsidR="005879E9" w:rsidRPr="00490937">
        <w:t xml:space="preserve">Projected mutton snapper recreational landings (in numbers of fish) </w:t>
      </w:r>
      <w:r w:rsidR="005879E9">
        <w:t xml:space="preserve">under various bag limits </w:t>
      </w:r>
      <w:r w:rsidR="00F13B0C">
        <w:t>at the preferred 18</w:t>
      </w:r>
      <w:r w:rsidR="005879E9" w:rsidRPr="00B86F04">
        <w:rPr>
          <w:b/>
        </w:rPr>
        <w:t>-inch minimum size limit</w:t>
      </w:r>
      <w:r w:rsidR="005879E9">
        <w:t xml:space="preserve"> and </w:t>
      </w:r>
      <w:r w:rsidR="00F13B0C">
        <w:t xml:space="preserve">an </w:t>
      </w:r>
      <w:r w:rsidR="00F13B0C" w:rsidRPr="0000613D">
        <w:rPr>
          <w:b/>
        </w:rPr>
        <w:t>April</w:t>
      </w:r>
      <w:r w:rsidR="005879E9" w:rsidRPr="00490937">
        <w:rPr>
          <w:b/>
        </w:rPr>
        <w:t>-June</w:t>
      </w:r>
      <w:r w:rsidR="005879E9" w:rsidRPr="00490937">
        <w:t xml:space="preserve"> spawning season</w:t>
      </w:r>
      <w:r w:rsidR="005879E9">
        <w:t xml:space="preserve">. </w:t>
      </w:r>
      <w:r w:rsidR="00867389">
        <w:t xml:space="preserve"> </w:t>
      </w:r>
      <w:r w:rsidR="005879E9">
        <w:t>“pp” signifies “per person” and “pv” signifies “per vessel</w:t>
      </w:r>
      <w:r w:rsidR="00FA68EB">
        <w:t>.</w:t>
      </w:r>
      <w:r w:rsidR="005879E9">
        <w:t>”</w:t>
      </w:r>
      <w:bookmarkEnd w:id="2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1177"/>
        <w:gridCol w:w="1192"/>
        <w:gridCol w:w="1289"/>
      </w:tblGrid>
      <w:tr w:rsidR="005879E9" w:rsidRPr="0057324E" w14:paraId="25CB0BFB" w14:textId="77777777" w:rsidTr="005879E9">
        <w:trPr>
          <w:trHeight w:val="280"/>
        </w:trPr>
        <w:tc>
          <w:tcPr>
            <w:tcW w:w="0" w:type="auto"/>
            <w:vMerge w:val="restart"/>
            <w:shd w:val="clear" w:color="auto" w:fill="D9D9D9" w:themeFill="background1" w:themeFillShade="D9"/>
            <w:noWrap/>
            <w:vAlign w:val="center"/>
            <w:hideMark/>
          </w:tcPr>
          <w:p w14:paraId="35985FC2" w14:textId="77777777" w:rsidR="005879E9" w:rsidRPr="0057324E" w:rsidRDefault="005879E9" w:rsidP="005879E9">
            <w:pPr>
              <w:jc w:val="center"/>
              <w:rPr>
                <w:b/>
                <w:bCs/>
                <w:color w:val="000000"/>
                <w:sz w:val="22"/>
                <w:szCs w:val="22"/>
              </w:rPr>
            </w:pPr>
            <w:r w:rsidRPr="0057324E">
              <w:rPr>
                <w:b/>
                <w:bCs/>
                <w:color w:val="000000"/>
                <w:sz w:val="22"/>
                <w:szCs w:val="22"/>
              </w:rPr>
              <w:t>Bag limit during spawning season</w:t>
            </w:r>
          </w:p>
        </w:tc>
        <w:tc>
          <w:tcPr>
            <w:tcW w:w="0" w:type="auto"/>
            <w:gridSpan w:val="3"/>
            <w:shd w:val="clear" w:color="auto" w:fill="D9D9D9" w:themeFill="background1" w:themeFillShade="D9"/>
            <w:noWrap/>
            <w:vAlign w:val="bottom"/>
            <w:hideMark/>
          </w:tcPr>
          <w:p w14:paraId="319E6D12" w14:textId="77777777" w:rsidR="005879E9" w:rsidRPr="0057324E" w:rsidRDefault="005879E9" w:rsidP="005879E9">
            <w:pPr>
              <w:jc w:val="center"/>
              <w:rPr>
                <w:b/>
                <w:bCs/>
                <w:color w:val="000000"/>
                <w:sz w:val="22"/>
                <w:szCs w:val="22"/>
              </w:rPr>
            </w:pPr>
            <w:r w:rsidRPr="0057324E">
              <w:rPr>
                <w:b/>
                <w:bCs/>
                <w:color w:val="000000"/>
                <w:sz w:val="22"/>
                <w:szCs w:val="22"/>
              </w:rPr>
              <w:t>Bag limit outside of spawning season</w:t>
            </w:r>
          </w:p>
        </w:tc>
      </w:tr>
      <w:tr w:rsidR="005879E9" w:rsidRPr="0057324E" w14:paraId="0FF1064E" w14:textId="77777777" w:rsidTr="005879E9">
        <w:trPr>
          <w:trHeight w:val="280"/>
        </w:trPr>
        <w:tc>
          <w:tcPr>
            <w:tcW w:w="0" w:type="auto"/>
            <w:vMerge/>
            <w:shd w:val="clear" w:color="auto" w:fill="D9D9D9" w:themeFill="background1" w:themeFillShade="D9"/>
            <w:vAlign w:val="center"/>
            <w:hideMark/>
          </w:tcPr>
          <w:p w14:paraId="799757C0" w14:textId="77777777" w:rsidR="005879E9" w:rsidRPr="0057324E" w:rsidRDefault="005879E9" w:rsidP="005879E9">
            <w:pPr>
              <w:rPr>
                <w:b/>
                <w:bCs/>
                <w:color w:val="000000"/>
                <w:sz w:val="22"/>
                <w:szCs w:val="22"/>
              </w:rPr>
            </w:pPr>
          </w:p>
        </w:tc>
        <w:tc>
          <w:tcPr>
            <w:tcW w:w="0" w:type="auto"/>
            <w:shd w:val="clear" w:color="auto" w:fill="D9D9D9" w:themeFill="background1" w:themeFillShade="D9"/>
            <w:noWrap/>
            <w:vAlign w:val="bottom"/>
            <w:hideMark/>
          </w:tcPr>
          <w:p w14:paraId="3E0E4A1A" w14:textId="77777777" w:rsidR="005879E9" w:rsidRPr="0057324E" w:rsidRDefault="005879E9" w:rsidP="005879E9">
            <w:pPr>
              <w:jc w:val="center"/>
              <w:rPr>
                <w:b/>
                <w:bCs/>
                <w:color w:val="000000"/>
                <w:sz w:val="22"/>
                <w:szCs w:val="22"/>
              </w:rPr>
            </w:pPr>
            <w:r w:rsidRPr="0057324E">
              <w:rPr>
                <w:b/>
                <w:bCs/>
                <w:color w:val="000000"/>
                <w:sz w:val="22"/>
                <w:szCs w:val="22"/>
              </w:rPr>
              <w:t>2a -</w:t>
            </w:r>
            <w:r>
              <w:rPr>
                <w:b/>
                <w:bCs/>
                <w:color w:val="000000"/>
                <w:sz w:val="22"/>
                <w:szCs w:val="22"/>
              </w:rPr>
              <w:t xml:space="preserve"> </w:t>
            </w:r>
            <w:r w:rsidRPr="0057324E">
              <w:rPr>
                <w:b/>
                <w:bCs/>
                <w:color w:val="000000"/>
                <w:sz w:val="22"/>
                <w:szCs w:val="22"/>
              </w:rPr>
              <w:t>4 pp</w:t>
            </w:r>
          </w:p>
        </w:tc>
        <w:tc>
          <w:tcPr>
            <w:tcW w:w="0" w:type="auto"/>
            <w:shd w:val="clear" w:color="auto" w:fill="D9D9D9" w:themeFill="background1" w:themeFillShade="D9"/>
            <w:noWrap/>
            <w:vAlign w:val="bottom"/>
            <w:hideMark/>
          </w:tcPr>
          <w:p w14:paraId="453D89E8" w14:textId="77777777" w:rsidR="005879E9" w:rsidRPr="0057324E" w:rsidRDefault="005879E9" w:rsidP="005879E9">
            <w:pPr>
              <w:jc w:val="center"/>
              <w:rPr>
                <w:b/>
                <w:bCs/>
                <w:color w:val="000000"/>
                <w:sz w:val="22"/>
                <w:szCs w:val="22"/>
              </w:rPr>
            </w:pPr>
            <w:r w:rsidRPr="0057324E">
              <w:rPr>
                <w:b/>
                <w:bCs/>
                <w:color w:val="000000"/>
                <w:sz w:val="22"/>
                <w:szCs w:val="22"/>
              </w:rPr>
              <w:t>2b -</w:t>
            </w:r>
            <w:r>
              <w:rPr>
                <w:b/>
                <w:bCs/>
                <w:color w:val="000000"/>
                <w:sz w:val="22"/>
                <w:szCs w:val="22"/>
              </w:rPr>
              <w:t xml:space="preserve"> </w:t>
            </w:r>
            <w:r w:rsidRPr="0057324E">
              <w:rPr>
                <w:b/>
                <w:bCs/>
                <w:color w:val="000000"/>
                <w:sz w:val="22"/>
                <w:szCs w:val="22"/>
              </w:rPr>
              <w:t>5 pp</w:t>
            </w:r>
          </w:p>
        </w:tc>
        <w:tc>
          <w:tcPr>
            <w:tcW w:w="0" w:type="auto"/>
            <w:shd w:val="clear" w:color="auto" w:fill="D9D9D9" w:themeFill="background1" w:themeFillShade="D9"/>
            <w:noWrap/>
            <w:vAlign w:val="bottom"/>
            <w:hideMark/>
          </w:tcPr>
          <w:p w14:paraId="64E0678A" w14:textId="77777777" w:rsidR="005879E9" w:rsidRPr="0057324E" w:rsidRDefault="005879E9" w:rsidP="005879E9">
            <w:pPr>
              <w:jc w:val="center"/>
              <w:rPr>
                <w:b/>
                <w:bCs/>
                <w:color w:val="000000"/>
                <w:sz w:val="22"/>
                <w:szCs w:val="22"/>
              </w:rPr>
            </w:pPr>
            <w:r w:rsidRPr="0057324E">
              <w:rPr>
                <w:b/>
                <w:bCs/>
                <w:color w:val="000000"/>
                <w:sz w:val="22"/>
                <w:szCs w:val="22"/>
              </w:rPr>
              <w:t>2c -</w:t>
            </w:r>
            <w:r>
              <w:rPr>
                <w:b/>
                <w:bCs/>
                <w:color w:val="000000"/>
                <w:sz w:val="22"/>
                <w:szCs w:val="22"/>
              </w:rPr>
              <w:t xml:space="preserve"> </w:t>
            </w:r>
            <w:r w:rsidRPr="0057324E">
              <w:rPr>
                <w:b/>
                <w:bCs/>
                <w:color w:val="000000"/>
                <w:sz w:val="22"/>
                <w:szCs w:val="22"/>
              </w:rPr>
              <w:t>10 pp</w:t>
            </w:r>
          </w:p>
        </w:tc>
      </w:tr>
      <w:tr w:rsidR="005879E9" w:rsidRPr="0057324E" w14:paraId="67292F62" w14:textId="77777777" w:rsidTr="005879E9">
        <w:trPr>
          <w:trHeight w:val="290"/>
        </w:trPr>
        <w:tc>
          <w:tcPr>
            <w:tcW w:w="0" w:type="auto"/>
            <w:shd w:val="clear" w:color="auto" w:fill="auto"/>
            <w:noWrap/>
            <w:vAlign w:val="center"/>
            <w:hideMark/>
          </w:tcPr>
          <w:p w14:paraId="2C8BAAC4" w14:textId="77777777" w:rsidR="005879E9" w:rsidRPr="0057324E" w:rsidRDefault="005879E9" w:rsidP="005879E9">
            <w:pPr>
              <w:jc w:val="center"/>
              <w:rPr>
                <w:b/>
                <w:bCs/>
                <w:sz w:val="22"/>
                <w:szCs w:val="22"/>
              </w:rPr>
            </w:pPr>
            <w:r w:rsidRPr="0057324E">
              <w:rPr>
                <w:b/>
                <w:bCs/>
                <w:sz w:val="22"/>
                <w:szCs w:val="22"/>
              </w:rPr>
              <w:t>3a - 2 pp</w:t>
            </w:r>
          </w:p>
        </w:tc>
        <w:tc>
          <w:tcPr>
            <w:tcW w:w="0" w:type="auto"/>
            <w:shd w:val="clear" w:color="auto" w:fill="auto"/>
            <w:noWrap/>
            <w:vAlign w:val="center"/>
          </w:tcPr>
          <w:p w14:paraId="0522DF2C" w14:textId="201C75B5" w:rsidR="005879E9" w:rsidRPr="0057324E" w:rsidRDefault="00B45301" w:rsidP="005879E9">
            <w:pPr>
              <w:jc w:val="center"/>
              <w:rPr>
                <w:sz w:val="22"/>
                <w:szCs w:val="22"/>
              </w:rPr>
            </w:pPr>
            <w:r>
              <w:rPr>
                <w:sz w:val="22"/>
                <w:szCs w:val="22"/>
              </w:rPr>
              <w:t>50,502</w:t>
            </w:r>
          </w:p>
        </w:tc>
        <w:tc>
          <w:tcPr>
            <w:tcW w:w="0" w:type="auto"/>
            <w:shd w:val="clear" w:color="auto" w:fill="auto"/>
            <w:noWrap/>
            <w:vAlign w:val="center"/>
          </w:tcPr>
          <w:p w14:paraId="25D856C7" w14:textId="69808019" w:rsidR="005879E9" w:rsidRPr="0057324E" w:rsidRDefault="00B45301" w:rsidP="005879E9">
            <w:pPr>
              <w:jc w:val="center"/>
              <w:rPr>
                <w:sz w:val="22"/>
                <w:szCs w:val="22"/>
              </w:rPr>
            </w:pPr>
            <w:r>
              <w:rPr>
                <w:sz w:val="22"/>
                <w:szCs w:val="22"/>
              </w:rPr>
              <w:t>50,502</w:t>
            </w:r>
          </w:p>
        </w:tc>
        <w:tc>
          <w:tcPr>
            <w:tcW w:w="0" w:type="auto"/>
            <w:shd w:val="clear" w:color="auto" w:fill="auto"/>
            <w:noWrap/>
            <w:vAlign w:val="center"/>
          </w:tcPr>
          <w:p w14:paraId="7785E82E" w14:textId="49E6EE7A" w:rsidR="005879E9" w:rsidRPr="0057324E" w:rsidRDefault="00BF1EAC" w:rsidP="005879E9">
            <w:pPr>
              <w:jc w:val="center"/>
              <w:rPr>
                <w:sz w:val="22"/>
                <w:szCs w:val="22"/>
              </w:rPr>
            </w:pPr>
            <w:r>
              <w:rPr>
                <w:sz w:val="22"/>
                <w:szCs w:val="22"/>
              </w:rPr>
              <w:t>50,503</w:t>
            </w:r>
          </w:p>
        </w:tc>
      </w:tr>
      <w:tr w:rsidR="005879E9" w:rsidRPr="0057324E" w14:paraId="61B1018C" w14:textId="77777777" w:rsidTr="005879E9">
        <w:trPr>
          <w:trHeight w:val="290"/>
        </w:trPr>
        <w:tc>
          <w:tcPr>
            <w:tcW w:w="0" w:type="auto"/>
            <w:shd w:val="clear" w:color="auto" w:fill="auto"/>
            <w:noWrap/>
            <w:vAlign w:val="center"/>
            <w:hideMark/>
          </w:tcPr>
          <w:p w14:paraId="320BBA6A" w14:textId="77777777" w:rsidR="005879E9" w:rsidRPr="0057324E" w:rsidRDefault="005879E9" w:rsidP="005879E9">
            <w:pPr>
              <w:jc w:val="center"/>
              <w:rPr>
                <w:b/>
                <w:bCs/>
                <w:sz w:val="22"/>
                <w:szCs w:val="22"/>
              </w:rPr>
            </w:pPr>
            <w:r w:rsidRPr="0057324E">
              <w:rPr>
                <w:b/>
                <w:bCs/>
                <w:sz w:val="22"/>
                <w:szCs w:val="22"/>
              </w:rPr>
              <w:t>3b - 3pp</w:t>
            </w:r>
          </w:p>
        </w:tc>
        <w:tc>
          <w:tcPr>
            <w:tcW w:w="0" w:type="auto"/>
            <w:shd w:val="clear" w:color="auto" w:fill="auto"/>
            <w:noWrap/>
            <w:vAlign w:val="center"/>
          </w:tcPr>
          <w:p w14:paraId="06FB38FF" w14:textId="290DDEBC" w:rsidR="005879E9" w:rsidRPr="0057324E" w:rsidRDefault="00BF1EAC" w:rsidP="005879E9">
            <w:pPr>
              <w:jc w:val="center"/>
              <w:rPr>
                <w:sz w:val="22"/>
                <w:szCs w:val="22"/>
              </w:rPr>
            </w:pPr>
            <w:r>
              <w:rPr>
                <w:sz w:val="22"/>
                <w:szCs w:val="22"/>
              </w:rPr>
              <w:t>50,561</w:t>
            </w:r>
          </w:p>
        </w:tc>
        <w:tc>
          <w:tcPr>
            <w:tcW w:w="0" w:type="auto"/>
            <w:shd w:val="clear" w:color="auto" w:fill="auto"/>
            <w:noWrap/>
            <w:vAlign w:val="center"/>
          </w:tcPr>
          <w:p w14:paraId="6EC642DC" w14:textId="1C2143A9" w:rsidR="00BF1EAC" w:rsidRPr="0057324E" w:rsidRDefault="00BF1EAC" w:rsidP="005879E9">
            <w:pPr>
              <w:jc w:val="center"/>
              <w:rPr>
                <w:sz w:val="22"/>
                <w:szCs w:val="22"/>
              </w:rPr>
            </w:pPr>
            <w:r>
              <w:rPr>
                <w:sz w:val="22"/>
                <w:szCs w:val="22"/>
              </w:rPr>
              <w:t>50,568</w:t>
            </w:r>
          </w:p>
        </w:tc>
        <w:tc>
          <w:tcPr>
            <w:tcW w:w="0" w:type="auto"/>
            <w:shd w:val="clear" w:color="auto" w:fill="auto"/>
            <w:noWrap/>
            <w:vAlign w:val="center"/>
          </w:tcPr>
          <w:p w14:paraId="46FFE2EA" w14:textId="3EECE062" w:rsidR="005879E9" w:rsidRPr="0057324E" w:rsidRDefault="00BF1EAC" w:rsidP="005879E9">
            <w:pPr>
              <w:jc w:val="center"/>
              <w:rPr>
                <w:sz w:val="22"/>
                <w:szCs w:val="22"/>
              </w:rPr>
            </w:pPr>
            <w:r>
              <w:rPr>
                <w:sz w:val="22"/>
                <w:szCs w:val="22"/>
              </w:rPr>
              <w:t>50,571</w:t>
            </w:r>
          </w:p>
        </w:tc>
      </w:tr>
      <w:tr w:rsidR="005879E9" w:rsidRPr="0057324E" w14:paraId="40B74E04" w14:textId="77777777" w:rsidTr="005879E9">
        <w:trPr>
          <w:trHeight w:val="290"/>
        </w:trPr>
        <w:tc>
          <w:tcPr>
            <w:tcW w:w="0" w:type="auto"/>
            <w:shd w:val="clear" w:color="auto" w:fill="auto"/>
            <w:noWrap/>
            <w:vAlign w:val="center"/>
            <w:hideMark/>
          </w:tcPr>
          <w:p w14:paraId="5E955031" w14:textId="0626DE0D" w:rsidR="005879E9" w:rsidRPr="0057324E" w:rsidRDefault="005879E9" w:rsidP="005879E9">
            <w:pPr>
              <w:jc w:val="center"/>
              <w:rPr>
                <w:b/>
                <w:bCs/>
                <w:sz w:val="22"/>
                <w:szCs w:val="22"/>
              </w:rPr>
            </w:pPr>
            <w:r w:rsidRPr="0057324E">
              <w:rPr>
                <w:b/>
                <w:bCs/>
                <w:sz w:val="22"/>
                <w:szCs w:val="22"/>
              </w:rPr>
              <w:t>3c - 10 pv</w:t>
            </w:r>
          </w:p>
        </w:tc>
        <w:tc>
          <w:tcPr>
            <w:tcW w:w="0" w:type="auto"/>
            <w:shd w:val="clear" w:color="auto" w:fill="auto"/>
            <w:noWrap/>
            <w:vAlign w:val="center"/>
          </w:tcPr>
          <w:p w14:paraId="21325D11" w14:textId="716C2144" w:rsidR="005879E9" w:rsidRPr="0057324E" w:rsidRDefault="00BF1EAC" w:rsidP="005879E9">
            <w:pPr>
              <w:jc w:val="center"/>
              <w:rPr>
                <w:sz w:val="22"/>
                <w:szCs w:val="22"/>
              </w:rPr>
            </w:pPr>
            <w:r>
              <w:rPr>
                <w:sz w:val="22"/>
                <w:szCs w:val="22"/>
              </w:rPr>
              <w:t>49,548</w:t>
            </w:r>
          </w:p>
        </w:tc>
        <w:tc>
          <w:tcPr>
            <w:tcW w:w="0" w:type="auto"/>
            <w:shd w:val="clear" w:color="auto" w:fill="auto"/>
            <w:noWrap/>
            <w:vAlign w:val="center"/>
          </w:tcPr>
          <w:p w14:paraId="242912EB" w14:textId="643E579E" w:rsidR="005879E9" w:rsidRPr="0057324E" w:rsidRDefault="00BF1EAC" w:rsidP="005879E9">
            <w:pPr>
              <w:jc w:val="center"/>
              <w:rPr>
                <w:sz w:val="22"/>
                <w:szCs w:val="22"/>
              </w:rPr>
            </w:pPr>
            <w:r>
              <w:rPr>
                <w:sz w:val="22"/>
                <w:szCs w:val="22"/>
              </w:rPr>
              <w:t>49,555</w:t>
            </w:r>
          </w:p>
        </w:tc>
        <w:tc>
          <w:tcPr>
            <w:tcW w:w="0" w:type="auto"/>
            <w:shd w:val="clear" w:color="auto" w:fill="auto"/>
            <w:noWrap/>
            <w:vAlign w:val="center"/>
          </w:tcPr>
          <w:p w14:paraId="56C78E9F" w14:textId="08A3638D" w:rsidR="005879E9" w:rsidRPr="0057324E" w:rsidRDefault="00BF1EAC" w:rsidP="005879E9">
            <w:pPr>
              <w:jc w:val="center"/>
              <w:rPr>
                <w:sz w:val="22"/>
                <w:szCs w:val="22"/>
              </w:rPr>
            </w:pPr>
            <w:r>
              <w:rPr>
                <w:sz w:val="22"/>
                <w:szCs w:val="22"/>
              </w:rPr>
              <w:t>49,558</w:t>
            </w:r>
          </w:p>
        </w:tc>
      </w:tr>
      <w:tr w:rsidR="005879E9" w:rsidRPr="0057324E" w14:paraId="38DCF692" w14:textId="77777777" w:rsidTr="005879E9">
        <w:trPr>
          <w:trHeight w:val="290"/>
        </w:trPr>
        <w:tc>
          <w:tcPr>
            <w:tcW w:w="0" w:type="auto"/>
            <w:shd w:val="clear" w:color="auto" w:fill="auto"/>
            <w:noWrap/>
            <w:vAlign w:val="center"/>
            <w:hideMark/>
          </w:tcPr>
          <w:p w14:paraId="5338CAA4" w14:textId="77777777" w:rsidR="005879E9" w:rsidRPr="0057324E" w:rsidRDefault="005879E9" w:rsidP="005879E9">
            <w:pPr>
              <w:jc w:val="center"/>
              <w:rPr>
                <w:b/>
                <w:bCs/>
                <w:sz w:val="22"/>
                <w:szCs w:val="22"/>
              </w:rPr>
            </w:pPr>
            <w:r w:rsidRPr="0057324E">
              <w:rPr>
                <w:b/>
                <w:bCs/>
                <w:sz w:val="22"/>
                <w:szCs w:val="22"/>
              </w:rPr>
              <w:t>3d - 12 pv</w:t>
            </w:r>
          </w:p>
        </w:tc>
        <w:tc>
          <w:tcPr>
            <w:tcW w:w="0" w:type="auto"/>
            <w:shd w:val="clear" w:color="auto" w:fill="auto"/>
            <w:noWrap/>
            <w:vAlign w:val="center"/>
          </w:tcPr>
          <w:p w14:paraId="44C2D197" w14:textId="400A520E" w:rsidR="005879E9" w:rsidRPr="0057324E" w:rsidRDefault="00BF1EAC" w:rsidP="005879E9">
            <w:pPr>
              <w:jc w:val="center"/>
              <w:rPr>
                <w:sz w:val="22"/>
                <w:szCs w:val="22"/>
              </w:rPr>
            </w:pPr>
            <w:r>
              <w:rPr>
                <w:sz w:val="22"/>
                <w:szCs w:val="22"/>
              </w:rPr>
              <w:t>49,653</w:t>
            </w:r>
          </w:p>
        </w:tc>
        <w:tc>
          <w:tcPr>
            <w:tcW w:w="0" w:type="auto"/>
            <w:shd w:val="clear" w:color="auto" w:fill="auto"/>
            <w:noWrap/>
            <w:vAlign w:val="center"/>
          </w:tcPr>
          <w:p w14:paraId="00EF69CC" w14:textId="3BB02776" w:rsidR="005879E9" w:rsidRPr="0057324E" w:rsidRDefault="00BF1EAC" w:rsidP="005879E9">
            <w:pPr>
              <w:jc w:val="center"/>
              <w:rPr>
                <w:sz w:val="22"/>
                <w:szCs w:val="22"/>
              </w:rPr>
            </w:pPr>
            <w:r>
              <w:rPr>
                <w:sz w:val="22"/>
                <w:szCs w:val="22"/>
              </w:rPr>
              <w:t>49,660</w:t>
            </w:r>
          </w:p>
        </w:tc>
        <w:tc>
          <w:tcPr>
            <w:tcW w:w="0" w:type="auto"/>
            <w:shd w:val="clear" w:color="auto" w:fill="auto"/>
            <w:noWrap/>
            <w:vAlign w:val="center"/>
          </w:tcPr>
          <w:p w14:paraId="7BBA65B6" w14:textId="7EE54B4E" w:rsidR="005879E9" w:rsidRPr="0057324E" w:rsidRDefault="00BF1EAC" w:rsidP="005879E9">
            <w:pPr>
              <w:jc w:val="center"/>
              <w:rPr>
                <w:sz w:val="22"/>
                <w:szCs w:val="22"/>
              </w:rPr>
            </w:pPr>
            <w:r>
              <w:rPr>
                <w:sz w:val="22"/>
                <w:szCs w:val="22"/>
              </w:rPr>
              <w:t>49,663</w:t>
            </w:r>
          </w:p>
        </w:tc>
      </w:tr>
      <w:tr w:rsidR="005879E9" w:rsidRPr="0057324E" w14:paraId="62AFCCEB" w14:textId="77777777" w:rsidTr="005879E9">
        <w:trPr>
          <w:trHeight w:val="290"/>
        </w:trPr>
        <w:tc>
          <w:tcPr>
            <w:tcW w:w="0" w:type="auto"/>
            <w:shd w:val="clear" w:color="auto" w:fill="auto"/>
            <w:noWrap/>
            <w:vAlign w:val="center"/>
            <w:hideMark/>
          </w:tcPr>
          <w:p w14:paraId="0FEC235F" w14:textId="77777777" w:rsidR="005879E9" w:rsidRPr="0057324E" w:rsidRDefault="005879E9" w:rsidP="005879E9">
            <w:pPr>
              <w:jc w:val="center"/>
              <w:rPr>
                <w:b/>
                <w:bCs/>
                <w:sz w:val="22"/>
                <w:szCs w:val="22"/>
              </w:rPr>
            </w:pPr>
            <w:r w:rsidRPr="0057324E">
              <w:rPr>
                <w:b/>
                <w:bCs/>
                <w:sz w:val="22"/>
                <w:szCs w:val="22"/>
              </w:rPr>
              <w:t>3e - Closed</w:t>
            </w:r>
          </w:p>
        </w:tc>
        <w:tc>
          <w:tcPr>
            <w:tcW w:w="0" w:type="auto"/>
            <w:shd w:val="clear" w:color="auto" w:fill="auto"/>
            <w:noWrap/>
            <w:vAlign w:val="center"/>
          </w:tcPr>
          <w:p w14:paraId="7115AF4D" w14:textId="7ABD689A" w:rsidR="005879E9" w:rsidRPr="0057324E" w:rsidRDefault="00BF1EAC" w:rsidP="005879E9">
            <w:pPr>
              <w:jc w:val="center"/>
              <w:rPr>
                <w:sz w:val="22"/>
                <w:szCs w:val="22"/>
              </w:rPr>
            </w:pPr>
            <w:r>
              <w:rPr>
                <w:sz w:val="22"/>
                <w:szCs w:val="22"/>
              </w:rPr>
              <w:t>47,904</w:t>
            </w:r>
          </w:p>
        </w:tc>
        <w:tc>
          <w:tcPr>
            <w:tcW w:w="0" w:type="auto"/>
            <w:shd w:val="clear" w:color="auto" w:fill="auto"/>
            <w:noWrap/>
            <w:vAlign w:val="center"/>
          </w:tcPr>
          <w:p w14:paraId="67F31B3A" w14:textId="1FE38146" w:rsidR="005879E9" w:rsidRPr="0057324E" w:rsidRDefault="00BF1EAC" w:rsidP="005879E9">
            <w:pPr>
              <w:jc w:val="center"/>
              <w:rPr>
                <w:sz w:val="22"/>
                <w:szCs w:val="22"/>
              </w:rPr>
            </w:pPr>
            <w:r>
              <w:rPr>
                <w:sz w:val="22"/>
                <w:szCs w:val="22"/>
              </w:rPr>
              <w:t>47,911</w:t>
            </w:r>
          </w:p>
        </w:tc>
        <w:tc>
          <w:tcPr>
            <w:tcW w:w="0" w:type="auto"/>
            <w:shd w:val="clear" w:color="auto" w:fill="auto"/>
            <w:noWrap/>
            <w:vAlign w:val="center"/>
          </w:tcPr>
          <w:p w14:paraId="74685C74" w14:textId="250ED2A2" w:rsidR="005879E9" w:rsidRPr="0057324E" w:rsidRDefault="00BF1EAC" w:rsidP="005879E9">
            <w:pPr>
              <w:jc w:val="center"/>
              <w:rPr>
                <w:sz w:val="22"/>
                <w:szCs w:val="22"/>
              </w:rPr>
            </w:pPr>
            <w:r>
              <w:rPr>
                <w:sz w:val="22"/>
                <w:szCs w:val="22"/>
              </w:rPr>
              <w:t>47,913</w:t>
            </w:r>
          </w:p>
        </w:tc>
      </w:tr>
    </w:tbl>
    <w:p w14:paraId="189F62A7" w14:textId="77777777" w:rsidR="005879E9" w:rsidRDefault="005879E9" w:rsidP="008F603D"/>
    <w:p w14:paraId="159D5F25" w14:textId="38FA1652" w:rsidR="00DF6C17" w:rsidRDefault="00F13B0C" w:rsidP="0000613D">
      <w:pPr>
        <w:ind w:firstLine="360"/>
      </w:pPr>
      <w:r w:rsidRPr="00FF45B8">
        <w:rPr>
          <w:b/>
        </w:rPr>
        <w:t>Preferred Alternative</w:t>
      </w:r>
      <w:r>
        <w:t xml:space="preserve"> </w:t>
      </w:r>
      <w:r w:rsidRPr="00BD7E9A">
        <w:rPr>
          <w:b/>
        </w:rPr>
        <w:t>4</w:t>
      </w:r>
      <w:r>
        <w:t xml:space="preserve"> and </w:t>
      </w:r>
      <w:r w:rsidR="00F651DC">
        <w:t>its</w:t>
      </w:r>
      <w:r>
        <w:t xml:space="preserve"> sub-alternatives </w:t>
      </w:r>
      <w:r w:rsidR="008078BF">
        <w:t>propose</w:t>
      </w:r>
      <w:r>
        <w:t xml:space="preserve"> specifying a mutton snapper bag limit </w:t>
      </w:r>
      <w:r w:rsidR="00F651DC">
        <w:t>within the 10-snapper aggregate year-round</w:t>
      </w:r>
      <w:r>
        <w:t xml:space="preserve">.  </w:t>
      </w:r>
      <w:r w:rsidR="008078BF">
        <w:rPr>
          <w:b/>
        </w:rPr>
        <w:t>Table 4.7</w:t>
      </w:r>
      <w:r w:rsidRPr="0000613D">
        <w:rPr>
          <w:b/>
        </w:rPr>
        <w:t>.3</w:t>
      </w:r>
      <w:r>
        <w:t xml:space="preserve"> shows expected recreational landings under the </w:t>
      </w:r>
      <w:r w:rsidRPr="0000613D">
        <w:rPr>
          <w:b/>
        </w:rPr>
        <w:t>Preferred Alternative 4</w:t>
      </w:r>
      <w:r>
        <w:t xml:space="preserve"> sub-alternatives for </w:t>
      </w:r>
      <w:r w:rsidR="00F651DC">
        <w:t xml:space="preserve">the various minimum size limits considered under </w:t>
      </w:r>
      <w:r w:rsidR="00F651DC" w:rsidRPr="0000613D">
        <w:rPr>
          <w:b/>
        </w:rPr>
        <w:t>Action 5</w:t>
      </w:r>
      <w:r>
        <w:t xml:space="preserve">.  As the majority of recreational </w:t>
      </w:r>
      <w:r w:rsidR="00613048">
        <w:t>anglers are catching less than three</w:t>
      </w:r>
      <w:r>
        <w:t xml:space="preserve"> mutton snapper per day (</w:t>
      </w:r>
      <w:r w:rsidR="008078BF">
        <w:rPr>
          <w:b/>
        </w:rPr>
        <w:t>Figure 4.7</w:t>
      </w:r>
      <w:r w:rsidRPr="000E60BA">
        <w:rPr>
          <w:b/>
        </w:rPr>
        <w:t>.1</w:t>
      </w:r>
      <w:r>
        <w:t xml:space="preserve">), </w:t>
      </w:r>
      <w:r w:rsidR="00F651DC" w:rsidRPr="00F651DC">
        <w:rPr>
          <w:b/>
        </w:rPr>
        <w:t>Preferred S</w:t>
      </w:r>
      <w:r w:rsidR="00F651DC" w:rsidRPr="0000613D">
        <w:rPr>
          <w:b/>
        </w:rPr>
        <w:t>ub-alternative 4c</w:t>
      </w:r>
      <w:r w:rsidR="00F651DC">
        <w:t xml:space="preserve"> </w:t>
      </w:r>
      <w:r>
        <w:t xml:space="preserve">would have little effect in constraining recreational harvest </w:t>
      </w:r>
      <w:r w:rsidR="00F651DC">
        <w:t xml:space="preserve">on its own </w:t>
      </w:r>
      <w:r>
        <w:t xml:space="preserve">and essentially be the same as </w:t>
      </w:r>
      <w:r w:rsidRPr="00BC7853">
        <w:rPr>
          <w:b/>
        </w:rPr>
        <w:t>Alternative 1 (No Action)</w:t>
      </w:r>
      <w:r>
        <w:t xml:space="preserve">. </w:t>
      </w:r>
      <w:r w:rsidR="0037337F">
        <w:t xml:space="preserve"> </w:t>
      </w:r>
      <w:r w:rsidR="005477A8">
        <w:t xml:space="preserve">Similarly, the level of discards would not be expected to change from status quo.  </w:t>
      </w:r>
      <w:r w:rsidR="00F651DC">
        <w:t xml:space="preserve">However, as evident in </w:t>
      </w:r>
      <w:r w:rsidR="008078BF">
        <w:rPr>
          <w:b/>
        </w:rPr>
        <w:t>Table 4.7</w:t>
      </w:r>
      <w:r w:rsidR="00F651DC" w:rsidRPr="0000613D">
        <w:rPr>
          <w:b/>
        </w:rPr>
        <w:t>.3</w:t>
      </w:r>
      <w:r w:rsidR="00F651DC">
        <w:t xml:space="preserve">, imposing a minimum size limit above the status quo of 16 inches </w:t>
      </w:r>
      <w:r w:rsidR="006048D0">
        <w:t xml:space="preserve">TL </w:t>
      </w:r>
      <w:r w:rsidR="00F651DC">
        <w:t xml:space="preserve">is expected to reduce recreational harvest by </w:t>
      </w:r>
      <w:r w:rsidR="005477A8">
        <w:t xml:space="preserve">about 50% (also see </w:t>
      </w:r>
      <w:r w:rsidR="005477A8" w:rsidRPr="005477A8">
        <w:rPr>
          <w:b/>
        </w:rPr>
        <w:t>Table 4.5.1</w:t>
      </w:r>
      <w:r w:rsidR="005477A8">
        <w:t>)</w:t>
      </w:r>
      <w:r w:rsidR="00F651DC">
        <w:t xml:space="preserve">.  </w:t>
      </w:r>
      <w:r w:rsidRPr="000E60BA">
        <w:rPr>
          <w:b/>
        </w:rPr>
        <w:t>Sub-alternatives 4a</w:t>
      </w:r>
      <w:r>
        <w:t xml:space="preserve"> and </w:t>
      </w:r>
      <w:r w:rsidRPr="000E60BA">
        <w:rPr>
          <w:b/>
        </w:rPr>
        <w:t>4b</w:t>
      </w:r>
      <w:r>
        <w:rPr>
          <w:b/>
        </w:rPr>
        <w:t xml:space="preserve"> </w:t>
      </w:r>
      <w:r>
        <w:t xml:space="preserve">would impart a similar level of biological benefit to the mutton snapper stock as </w:t>
      </w:r>
      <w:r w:rsidRPr="000E60BA">
        <w:rPr>
          <w:b/>
        </w:rPr>
        <w:t>Sub-alternatives 3a</w:t>
      </w:r>
      <w:r>
        <w:t xml:space="preserve"> and </w:t>
      </w:r>
      <w:r w:rsidRPr="000E60BA">
        <w:rPr>
          <w:b/>
        </w:rPr>
        <w:t>3b</w:t>
      </w:r>
      <w:r>
        <w:t xml:space="preserve"> since they would also lower the level of fishing mortality during the spawning season.</w:t>
      </w:r>
    </w:p>
    <w:p w14:paraId="1D804336" w14:textId="77777777" w:rsidR="00BD7E9A" w:rsidRDefault="00BD7E9A" w:rsidP="008F603D"/>
    <w:p w14:paraId="142E6545" w14:textId="4EF6323E" w:rsidR="00F13B0C" w:rsidRDefault="008078BF" w:rsidP="0000613D">
      <w:pPr>
        <w:pStyle w:val="Tabletitle"/>
      </w:pPr>
      <w:bookmarkStart w:id="274" w:name="_Toc340431587"/>
      <w:r>
        <w:rPr>
          <w:b/>
        </w:rPr>
        <w:t>Table 4.7</w:t>
      </w:r>
      <w:r w:rsidR="00F13B0C" w:rsidRPr="0000613D">
        <w:rPr>
          <w:b/>
        </w:rPr>
        <w:t>.3.</w:t>
      </w:r>
      <w:r w:rsidR="00F13B0C">
        <w:t xml:space="preserve">  Projected recreational landing</w:t>
      </w:r>
      <w:r w:rsidR="00B45301">
        <w:t>s</w:t>
      </w:r>
      <w:r w:rsidR="00F13B0C">
        <w:t xml:space="preserve"> of mutton snapper (numbers of fish) for sub-alternatives un</w:t>
      </w:r>
      <w:r w:rsidR="00A20D68">
        <w:t>d</w:t>
      </w:r>
      <w:r w:rsidR="00F13B0C">
        <w:t xml:space="preserve">er </w:t>
      </w:r>
      <w:r w:rsidR="00F13B0C" w:rsidRPr="0000613D">
        <w:rPr>
          <w:b/>
        </w:rPr>
        <w:t xml:space="preserve">Preferred Alternative 4 </w:t>
      </w:r>
      <w:r w:rsidR="00880195" w:rsidRPr="00581C7F">
        <w:t>(year round bag limits)</w:t>
      </w:r>
      <w:r w:rsidR="00880195">
        <w:rPr>
          <w:b/>
        </w:rPr>
        <w:t xml:space="preserve"> </w:t>
      </w:r>
      <w:r w:rsidR="00F13B0C">
        <w:t xml:space="preserve">at the various minimum size limits considered under </w:t>
      </w:r>
      <w:r w:rsidR="00F13B0C" w:rsidRPr="008078BF">
        <w:rPr>
          <w:b/>
        </w:rPr>
        <w:t>Action 5</w:t>
      </w:r>
      <w:r w:rsidR="00F13B0C">
        <w:t xml:space="preserve"> (preferred indicated in bold)</w:t>
      </w:r>
      <w:bookmarkEnd w:id="274"/>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1347"/>
        <w:gridCol w:w="821"/>
        <w:gridCol w:w="821"/>
        <w:gridCol w:w="821"/>
        <w:gridCol w:w="821"/>
      </w:tblGrid>
      <w:tr w:rsidR="00F651DC" w:rsidRPr="007C6C66" w14:paraId="776B7868" w14:textId="77777777" w:rsidTr="00B45301">
        <w:trPr>
          <w:trHeight w:val="294"/>
        </w:trPr>
        <w:tc>
          <w:tcPr>
            <w:tcW w:w="0" w:type="auto"/>
            <w:vMerge w:val="restart"/>
            <w:shd w:val="clear" w:color="auto" w:fill="D9D9D9" w:themeFill="background1" w:themeFillShade="D9"/>
            <w:noWrap/>
            <w:vAlign w:val="bottom"/>
          </w:tcPr>
          <w:p w14:paraId="183A4D5D" w14:textId="444412CD" w:rsidR="00F651DC" w:rsidRDefault="00F651DC" w:rsidP="00F13B0C">
            <w:pPr>
              <w:jc w:val="center"/>
              <w:rPr>
                <w:b/>
                <w:bCs/>
                <w:color w:val="000000"/>
                <w:sz w:val="22"/>
                <w:szCs w:val="22"/>
              </w:rPr>
            </w:pPr>
            <w:r>
              <w:rPr>
                <w:b/>
                <w:bCs/>
                <w:color w:val="000000"/>
                <w:sz w:val="22"/>
                <w:szCs w:val="22"/>
              </w:rPr>
              <w:t>Bag l</w:t>
            </w:r>
            <w:r w:rsidRPr="007C6C66">
              <w:rPr>
                <w:b/>
                <w:bCs/>
                <w:color w:val="000000"/>
                <w:sz w:val="22"/>
                <w:szCs w:val="22"/>
              </w:rPr>
              <w:t>imits</w:t>
            </w:r>
          </w:p>
        </w:tc>
        <w:tc>
          <w:tcPr>
            <w:tcW w:w="0" w:type="auto"/>
            <w:gridSpan w:val="5"/>
            <w:shd w:val="clear" w:color="auto" w:fill="D9D9D9" w:themeFill="background1" w:themeFillShade="D9"/>
            <w:noWrap/>
            <w:vAlign w:val="bottom"/>
          </w:tcPr>
          <w:p w14:paraId="32155505" w14:textId="17A89219" w:rsidR="00F651DC" w:rsidRPr="007C6C66" w:rsidRDefault="00F651DC" w:rsidP="00F13B0C">
            <w:pPr>
              <w:jc w:val="center"/>
              <w:rPr>
                <w:b/>
                <w:bCs/>
                <w:color w:val="000000"/>
                <w:sz w:val="22"/>
                <w:szCs w:val="22"/>
              </w:rPr>
            </w:pPr>
            <w:r>
              <w:rPr>
                <w:b/>
                <w:bCs/>
                <w:color w:val="000000"/>
                <w:sz w:val="22"/>
                <w:szCs w:val="22"/>
              </w:rPr>
              <w:t>Minimum size limit (inches TL)</w:t>
            </w:r>
          </w:p>
        </w:tc>
      </w:tr>
      <w:tr w:rsidR="00F651DC" w:rsidRPr="007C6C66" w14:paraId="64782935" w14:textId="77777777" w:rsidTr="00B45301">
        <w:trPr>
          <w:trHeight w:val="294"/>
        </w:trPr>
        <w:tc>
          <w:tcPr>
            <w:tcW w:w="0" w:type="auto"/>
            <w:vMerge/>
            <w:shd w:val="clear" w:color="auto" w:fill="D9D9D9" w:themeFill="background1" w:themeFillShade="D9"/>
            <w:noWrap/>
            <w:vAlign w:val="bottom"/>
            <w:hideMark/>
          </w:tcPr>
          <w:p w14:paraId="5BB82CD6" w14:textId="105266F2" w:rsidR="00F651DC" w:rsidRPr="007C6C66" w:rsidRDefault="00F651DC" w:rsidP="00F13B0C">
            <w:pPr>
              <w:jc w:val="center"/>
              <w:rPr>
                <w:b/>
                <w:bCs/>
                <w:color w:val="000000"/>
                <w:sz w:val="22"/>
                <w:szCs w:val="22"/>
              </w:rPr>
            </w:pPr>
          </w:p>
        </w:tc>
        <w:tc>
          <w:tcPr>
            <w:tcW w:w="0" w:type="auto"/>
            <w:shd w:val="clear" w:color="auto" w:fill="D9D9D9" w:themeFill="background1" w:themeFillShade="D9"/>
            <w:noWrap/>
            <w:vAlign w:val="bottom"/>
            <w:hideMark/>
          </w:tcPr>
          <w:p w14:paraId="439CFE82" w14:textId="56268BE1" w:rsidR="00F651DC" w:rsidRPr="007C6C66" w:rsidRDefault="00F651DC" w:rsidP="00F13B0C">
            <w:pPr>
              <w:jc w:val="center"/>
              <w:rPr>
                <w:b/>
                <w:bCs/>
                <w:color w:val="000000"/>
                <w:sz w:val="22"/>
                <w:szCs w:val="22"/>
              </w:rPr>
            </w:pPr>
            <w:r>
              <w:rPr>
                <w:b/>
                <w:bCs/>
                <w:color w:val="000000"/>
                <w:sz w:val="22"/>
                <w:szCs w:val="22"/>
              </w:rPr>
              <w:t xml:space="preserve">16 </w:t>
            </w:r>
            <w:r w:rsidRPr="007C6C66">
              <w:rPr>
                <w:b/>
                <w:bCs/>
                <w:color w:val="000000"/>
                <w:sz w:val="22"/>
                <w:szCs w:val="22"/>
              </w:rPr>
              <w:t>(current)</w:t>
            </w:r>
          </w:p>
        </w:tc>
        <w:tc>
          <w:tcPr>
            <w:tcW w:w="0" w:type="auto"/>
            <w:shd w:val="clear" w:color="auto" w:fill="D9D9D9" w:themeFill="background1" w:themeFillShade="D9"/>
            <w:noWrap/>
            <w:vAlign w:val="bottom"/>
            <w:hideMark/>
          </w:tcPr>
          <w:p w14:paraId="78DCA939" w14:textId="1FD1185F" w:rsidR="00F651DC" w:rsidRPr="007C6C66" w:rsidRDefault="00F651DC" w:rsidP="00F651DC">
            <w:pPr>
              <w:jc w:val="center"/>
              <w:rPr>
                <w:b/>
                <w:bCs/>
                <w:color w:val="000000"/>
                <w:sz w:val="22"/>
                <w:szCs w:val="22"/>
              </w:rPr>
            </w:pPr>
            <w:r w:rsidRPr="007C6C66">
              <w:rPr>
                <w:b/>
                <w:bCs/>
                <w:color w:val="000000"/>
                <w:sz w:val="22"/>
                <w:szCs w:val="22"/>
              </w:rPr>
              <w:t xml:space="preserve">17 </w:t>
            </w:r>
          </w:p>
        </w:tc>
        <w:tc>
          <w:tcPr>
            <w:tcW w:w="0" w:type="auto"/>
            <w:shd w:val="clear" w:color="auto" w:fill="D9D9D9" w:themeFill="background1" w:themeFillShade="D9"/>
            <w:noWrap/>
            <w:vAlign w:val="bottom"/>
            <w:hideMark/>
          </w:tcPr>
          <w:p w14:paraId="4454F468" w14:textId="33A0C1FD" w:rsidR="00F651DC" w:rsidRPr="007C6C66" w:rsidRDefault="00F651DC" w:rsidP="00F651DC">
            <w:pPr>
              <w:jc w:val="center"/>
              <w:rPr>
                <w:b/>
                <w:bCs/>
                <w:color w:val="000000"/>
                <w:sz w:val="22"/>
                <w:szCs w:val="22"/>
              </w:rPr>
            </w:pPr>
            <w:r w:rsidRPr="007C6C66">
              <w:rPr>
                <w:b/>
                <w:bCs/>
                <w:color w:val="000000"/>
                <w:sz w:val="22"/>
                <w:szCs w:val="22"/>
              </w:rPr>
              <w:t xml:space="preserve">18 </w:t>
            </w:r>
          </w:p>
        </w:tc>
        <w:tc>
          <w:tcPr>
            <w:tcW w:w="0" w:type="auto"/>
            <w:shd w:val="clear" w:color="auto" w:fill="D9D9D9" w:themeFill="background1" w:themeFillShade="D9"/>
            <w:noWrap/>
            <w:vAlign w:val="bottom"/>
            <w:hideMark/>
          </w:tcPr>
          <w:p w14:paraId="0A3107A3" w14:textId="393ED9B5" w:rsidR="00F651DC" w:rsidRPr="007C6C66" w:rsidRDefault="00F651DC" w:rsidP="00F651DC">
            <w:pPr>
              <w:jc w:val="center"/>
              <w:rPr>
                <w:b/>
                <w:bCs/>
                <w:color w:val="000000"/>
                <w:sz w:val="22"/>
                <w:szCs w:val="22"/>
              </w:rPr>
            </w:pPr>
            <w:r w:rsidRPr="007C6C66">
              <w:rPr>
                <w:b/>
                <w:bCs/>
                <w:color w:val="000000"/>
                <w:sz w:val="22"/>
                <w:szCs w:val="22"/>
              </w:rPr>
              <w:t xml:space="preserve">19 </w:t>
            </w:r>
          </w:p>
        </w:tc>
        <w:tc>
          <w:tcPr>
            <w:tcW w:w="0" w:type="auto"/>
            <w:shd w:val="clear" w:color="auto" w:fill="D9D9D9" w:themeFill="background1" w:themeFillShade="D9"/>
            <w:noWrap/>
            <w:vAlign w:val="bottom"/>
            <w:hideMark/>
          </w:tcPr>
          <w:p w14:paraId="15FEA121" w14:textId="3B32C394" w:rsidR="00F651DC" w:rsidRPr="007C6C66" w:rsidRDefault="00F651DC" w:rsidP="00F651DC">
            <w:pPr>
              <w:jc w:val="center"/>
              <w:rPr>
                <w:b/>
                <w:bCs/>
                <w:color w:val="000000"/>
                <w:sz w:val="22"/>
                <w:szCs w:val="22"/>
              </w:rPr>
            </w:pPr>
            <w:r w:rsidRPr="007C6C66">
              <w:rPr>
                <w:b/>
                <w:bCs/>
                <w:color w:val="000000"/>
                <w:sz w:val="22"/>
                <w:szCs w:val="22"/>
              </w:rPr>
              <w:t xml:space="preserve">20 </w:t>
            </w:r>
          </w:p>
        </w:tc>
      </w:tr>
      <w:tr w:rsidR="00F13B0C" w:rsidRPr="007C6C66" w14:paraId="5F11739E" w14:textId="77777777" w:rsidTr="00B45301">
        <w:trPr>
          <w:trHeight w:val="294"/>
        </w:trPr>
        <w:tc>
          <w:tcPr>
            <w:tcW w:w="0" w:type="auto"/>
            <w:shd w:val="clear" w:color="auto" w:fill="auto"/>
            <w:noWrap/>
            <w:vAlign w:val="bottom"/>
            <w:hideMark/>
          </w:tcPr>
          <w:p w14:paraId="70D1B543" w14:textId="2585E1E7" w:rsidR="00F13B0C" w:rsidRPr="007C6C66" w:rsidRDefault="00F13B0C" w:rsidP="00F13B0C">
            <w:pPr>
              <w:jc w:val="center"/>
              <w:rPr>
                <w:bCs/>
                <w:color w:val="000000"/>
                <w:sz w:val="22"/>
                <w:szCs w:val="22"/>
              </w:rPr>
            </w:pPr>
            <w:r>
              <w:rPr>
                <w:bCs/>
                <w:color w:val="000000"/>
                <w:sz w:val="22"/>
                <w:szCs w:val="22"/>
              </w:rPr>
              <w:t>4a -</w:t>
            </w:r>
            <w:r w:rsidR="00F651DC">
              <w:rPr>
                <w:bCs/>
                <w:color w:val="000000"/>
                <w:sz w:val="22"/>
                <w:szCs w:val="22"/>
              </w:rPr>
              <w:t xml:space="preserve"> </w:t>
            </w:r>
            <w:r w:rsidRPr="007C6C66">
              <w:rPr>
                <w:bCs/>
                <w:color w:val="000000"/>
                <w:sz w:val="22"/>
                <w:szCs w:val="22"/>
              </w:rPr>
              <w:t>2pp</w:t>
            </w:r>
          </w:p>
        </w:tc>
        <w:tc>
          <w:tcPr>
            <w:tcW w:w="0" w:type="auto"/>
            <w:shd w:val="clear" w:color="auto" w:fill="auto"/>
            <w:noWrap/>
            <w:vAlign w:val="bottom"/>
          </w:tcPr>
          <w:p w14:paraId="3823B178" w14:textId="6B47DA8C" w:rsidR="00F13B0C" w:rsidRPr="007C6C66" w:rsidRDefault="002F2F2F" w:rsidP="00F13B0C">
            <w:pPr>
              <w:jc w:val="center"/>
              <w:rPr>
                <w:sz w:val="22"/>
                <w:szCs w:val="22"/>
              </w:rPr>
            </w:pPr>
            <w:r>
              <w:rPr>
                <w:sz w:val="22"/>
                <w:szCs w:val="22"/>
              </w:rPr>
              <w:t>107,968</w:t>
            </w:r>
          </w:p>
        </w:tc>
        <w:tc>
          <w:tcPr>
            <w:tcW w:w="0" w:type="auto"/>
            <w:shd w:val="clear" w:color="auto" w:fill="auto"/>
            <w:noWrap/>
            <w:vAlign w:val="bottom"/>
          </w:tcPr>
          <w:p w14:paraId="4C5C123F" w14:textId="3E981E14" w:rsidR="00F13B0C" w:rsidRPr="007C6C66" w:rsidRDefault="002F2F2F" w:rsidP="00F13B0C">
            <w:pPr>
              <w:jc w:val="center"/>
              <w:rPr>
                <w:sz w:val="22"/>
                <w:szCs w:val="22"/>
              </w:rPr>
            </w:pPr>
            <w:r>
              <w:rPr>
                <w:sz w:val="22"/>
                <w:szCs w:val="22"/>
              </w:rPr>
              <w:t>54,960</w:t>
            </w:r>
          </w:p>
        </w:tc>
        <w:tc>
          <w:tcPr>
            <w:tcW w:w="0" w:type="auto"/>
            <w:shd w:val="clear" w:color="auto" w:fill="auto"/>
            <w:noWrap/>
            <w:vAlign w:val="bottom"/>
          </w:tcPr>
          <w:p w14:paraId="0334E9EF" w14:textId="1D684BFF" w:rsidR="00F13B0C" w:rsidRPr="007C6C66" w:rsidRDefault="00B45301" w:rsidP="00F13B0C">
            <w:pPr>
              <w:jc w:val="center"/>
              <w:rPr>
                <w:sz w:val="22"/>
                <w:szCs w:val="22"/>
              </w:rPr>
            </w:pPr>
            <w:r>
              <w:rPr>
                <w:sz w:val="22"/>
                <w:szCs w:val="22"/>
              </w:rPr>
              <w:t>50,399</w:t>
            </w:r>
          </w:p>
        </w:tc>
        <w:tc>
          <w:tcPr>
            <w:tcW w:w="0" w:type="auto"/>
            <w:shd w:val="clear" w:color="auto" w:fill="auto"/>
            <w:noWrap/>
            <w:vAlign w:val="bottom"/>
          </w:tcPr>
          <w:p w14:paraId="1FFF30A5" w14:textId="18B5F661" w:rsidR="00F13B0C" w:rsidRPr="007C6C66" w:rsidRDefault="00B45301" w:rsidP="00F13B0C">
            <w:pPr>
              <w:jc w:val="center"/>
              <w:rPr>
                <w:sz w:val="22"/>
                <w:szCs w:val="22"/>
              </w:rPr>
            </w:pPr>
            <w:r>
              <w:rPr>
                <w:sz w:val="22"/>
                <w:szCs w:val="22"/>
              </w:rPr>
              <w:t>46,751</w:t>
            </w:r>
          </w:p>
        </w:tc>
        <w:tc>
          <w:tcPr>
            <w:tcW w:w="0" w:type="auto"/>
            <w:shd w:val="clear" w:color="auto" w:fill="auto"/>
            <w:noWrap/>
            <w:vAlign w:val="bottom"/>
          </w:tcPr>
          <w:p w14:paraId="1BF9F3FA" w14:textId="4BF37EE3" w:rsidR="00B45301" w:rsidRPr="007C6C66" w:rsidRDefault="00B45301" w:rsidP="00F13B0C">
            <w:pPr>
              <w:jc w:val="center"/>
              <w:rPr>
                <w:sz w:val="22"/>
                <w:szCs w:val="22"/>
              </w:rPr>
            </w:pPr>
            <w:r>
              <w:rPr>
                <w:sz w:val="22"/>
                <w:szCs w:val="22"/>
              </w:rPr>
              <w:t>43,394</w:t>
            </w:r>
          </w:p>
        </w:tc>
      </w:tr>
      <w:tr w:rsidR="00F13B0C" w:rsidRPr="00F651DC" w14:paraId="713DBD20" w14:textId="77777777" w:rsidTr="00B45301">
        <w:trPr>
          <w:trHeight w:val="294"/>
        </w:trPr>
        <w:tc>
          <w:tcPr>
            <w:tcW w:w="0" w:type="auto"/>
            <w:shd w:val="clear" w:color="auto" w:fill="auto"/>
            <w:noWrap/>
            <w:vAlign w:val="bottom"/>
            <w:hideMark/>
          </w:tcPr>
          <w:p w14:paraId="3B8D5E46" w14:textId="1E7A1139" w:rsidR="00F13B0C" w:rsidRPr="009A4AA0" w:rsidRDefault="00F13B0C" w:rsidP="00F13B0C">
            <w:pPr>
              <w:jc w:val="center"/>
              <w:rPr>
                <w:bCs/>
                <w:color w:val="000000"/>
                <w:sz w:val="22"/>
                <w:szCs w:val="22"/>
              </w:rPr>
            </w:pPr>
            <w:r w:rsidRPr="009A4AA0">
              <w:rPr>
                <w:bCs/>
                <w:color w:val="000000"/>
                <w:sz w:val="22"/>
                <w:szCs w:val="22"/>
              </w:rPr>
              <w:t>4b - 3pp</w:t>
            </w:r>
          </w:p>
        </w:tc>
        <w:tc>
          <w:tcPr>
            <w:tcW w:w="0" w:type="auto"/>
            <w:shd w:val="clear" w:color="auto" w:fill="auto"/>
            <w:noWrap/>
            <w:vAlign w:val="bottom"/>
          </w:tcPr>
          <w:p w14:paraId="39667028" w14:textId="745C56E7" w:rsidR="00F13B0C" w:rsidRPr="009A4AA0" w:rsidRDefault="00F13B0C" w:rsidP="00F13B0C">
            <w:pPr>
              <w:jc w:val="center"/>
              <w:rPr>
                <w:sz w:val="22"/>
                <w:szCs w:val="22"/>
              </w:rPr>
            </w:pPr>
            <w:r w:rsidRPr="009A4AA0">
              <w:rPr>
                <w:sz w:val="22"/>
                <w:szCs w:val="22"/>
              </w:rPr>
              <w:t>110,</w:t>
            </w:r>
            <w:r w:rsidR="002F2F2F" w:rsidRPr="009A4AA0">
              <w:rPr>
                <w:sz w:val="22"/>
                <w:szCs w:val="22"/>
              </w:rPr>
              <w:t>840</w:t>
            </w:r>
          </w:p>
        </w:tc>
        <w:tc>
          <w:tcPr>
            <w:tcW w:w="0" w:type="auto"/>
            <w:shd w:val="clear" w:color="auto" w:fill="auto"/>
            <w:noWrap/>
            <w:vAlign w:val="bottom"/>
          </w:tcPr>
          <w:p w14:paraId="29E9885F" w14:textId="157ED2AF" w:rsidR="00F13B0C" w:rsidRPr="009A4AA0" w:rsidRDefault="002F2F2F" w:rsidP="00F13B0C">
            <w:pPr>
              <w:jc w:val="center"/>
              <w:rPr>
                <w:sz w:val="22"/>
                <w:szCs w:val="22"/>
              </w:rPr>
            </w:pPr>
            <w:r w:rsidRPr="009A4AA0">
              <w:rPr>
                <w:sz w:val="22"/>
                <w:szCs w:val="22"/>
              </w:rPr>
              <w:t>55,726</w:t>
            </w:r>
          </w:p>
        </w:tc>
        <w:tc>
          <w:tcPr>
            <w:tcW w:w="0" w:type="auto"/>
            <w:shd w:val="clear" w:color="auto" w:fill="auto"/>
            <w:noWrap/>
            <w:vAlign w:val="bottom"/>
          </w:tcPr>
          <w:p w14:paraId="7F21762E" w14:textId="7370D832" w:rsidR="00F13B0C" w:rsidRPr="009A4AA0" w:rsidRDefault="00B45301" w:rsidP="00F13B0C">
            <w:pPr>
              <w:jc w:val="center"/>
              <w:rPr>
                <w:sz w:val="22"/>
                <w:szCs w:val="22"/>
              </w:rPr>
            </w:pPr>
            <w:r>
              <w:rPr>
                <w:sz w:val="22"/>
                <w:szCs w:val="22"/>
              </w:rPr>
              <w:t>50,539</w:t>
            </w:r>
          </w:p>
        </w:tc>
        <w:tc>
          <w:tcPr>
            <w:tcW w:w="0" w:type="auto"/>
            <w:shd w:val="clear" w:color="auto" w:fill="auto"/>
            <w:noWrap/>
            <w:vAlign w:val="bottom"/>
          </w:tcPr>
          <w:p w14:paraId="41BFC277" w14:textId="40E43528" w:rsidR="00F13B0C" w:rsidRPr="009A4AA0" w:rsidRDefault="00B45301" w:rsidP="00F13B0C">
            <w:pPr>
              <w:jc w:val="center"/>
              <w:rPr>
                <w:sz w:val="22"/>
                <w:szCs w:val="22"/>
              </w:rPr>
            </w:pPr>
            <w:r>
              <w:rPr>
                <w:sz w:val="22"/>
                <w:szCs w:val="22"/>
              </w:rPr>
              <w:t>46,872</w:t>
            </w:r>
          </w:p>
        </w:tc>
        <w:tc>
          <w:tcPr>
            <w:tcW w:w="0" w:type="auto"/>
            <w:shd w:val="clear" w:color="auto" w:fill="auto"/>
            <w:noWrap/>
            <w:vAlign w:val="bottom"/>
          </w:tcPr>
          <w:p w14:paraId="74941D87" w14:textId="3494973B" w:rsidR="00F13B0C" w:rsidRPr="009A4AA0" w:rsidRDefault="00B45301" w:rsidP="00F13B0C">
            <w:pPr>
              <w:jc w:val="center"/>
              <w:rPr>
                <w:sz w:val="22"/>
                <w:szCs w:val="22"/>
              </w:rPr>
            </w:pPr>
            <w:r>
              <w:rPr>
                <w:sz w:val="22"/>
                <w:szCs w:val="22"/>
              </w:rPr>
              <w:t>43,756</w:t>
            </w:r>
          </w:p>
        </w:tc>
      </w:tr>
      <w:tr w:rsidR="00F13B0C" w:rsidRPr="00495370" w14:paraId="57A5CEC9" w14:textId="77777777" w:rsidTr="00B45301">
        <w:trPr>
          <w:trHeight w:val="294"/>
        </w:trPr>
        <w:tc>
          <w:tcPr>
            <w:tcW w:w="0" w:type="auto"/>
            <w:shd w:val="clear" w:color="auto" w:fill="auto"/>
            <w:noWrap/>
            <w:vAlign w:val="bottom"/>
            <w:hideMark/>
          </w:tcPr>
          <w:p w14:paraId="688D62D8" w14:textId="19B98190" w:rsidR="00F13B0C" w:rsidRPr="009A4AA0" w:rsidRDefault="00F13B0C" w:rsidP="00F13B0C">
            <w:pPr>
              <w:jc w:val="center"/>
              <w:rPr>
                <w:b/>
                <w:bCs/>
                <w:color w:val="000000"/>
                <w:sz w:val="22"/>
                <w:szCs w:val="22"/>
              </w:rPr>
            </w:pPr>
            <w:r w:rsidRPr="009A4AA0">
              <w:rPr>
                <w:b/>
                <w:bCs/>
                <w:color w:val="000000"/>
                <w:sz w:val="22"/>
                <w:szCs w:val="22"/>
              </w:rPr>
              <w:t xml:space="preserve">4c </w:t>
            </w:r>
            <w:r w:rsidR="00495370" w:rsidRPr="009A4AA0">
              <w:rPr>
                <w:b/>
                <w:bCs/>
                <w:color w:val="000000"/>
                <w:sz w:val="22"/>
                <w:szCs w:val="22"/>
              </w:rPr>
              <w:t xml:space="preserve">(Pref) </w:t>
            </w:r>
            <w:r w:rsidRPr="009A4AA0">
              <w:rPr>
                <w:b/>
                <w:bCs/>
                <w:color w:val="000000"/>
                <w:sz w:val="22"/>
                <w:szCs w:val="22"/>
              </w:rPr>
              <w:t>- 5pp</w:t>
            </w:r>
          </w:p>
        </w:tc>
        <w:tc>
          <w:tcPr>
            <w:tcW w:w="0" w:type="auto"/>
            <w:shd w:val="clear" w:color="auto" w:fill="auto"/>
            <w:noWrap/>
            <w:vAlign w:val="bottom"/>
          </w:tcPr>
          <w:p w14:paraId="1315D9CE" w14:textId="72F8CCCA" w:rsidR="00F13B0C" w:rsidRPr="009A4AA0" w:rsidRDefault="00F13B0C" w:rsidP="00F13B0C">
            <w:pPr>
              <w:jc w:val="center"/>
              <w:rPr>
                <w:b/>
                <w:sz w:val="22"/>
                <w:szCs w:val="22"/>
              </w:rPr>
            </w:pPr>
            <w:r w:rsidRPr="009A4AA0">
              <w:rPr>
                <w:b/>
                <w:sz w:val="22"/>
                <w:szCs w:val="22"/>
              </w:rPr>
              <w:t>111,</w:t>
            </w:r>
            <w:r w:rsidR="002F2F2F" w:rsidRPr="009A4AA0">
              <w:rPr>
                <w:b/>
                <w:sz w:val="22"/>
                <w:szCs w:val="22"/>
              </w:rPr>
              <w:t>796</w:t>
            </w:r>
          </w:p>
        </w:tc>
        <w:tc>
          <w:tcPr>
            <w:tcW w:w="0" w:type="auto"/>
            <w:shd w:val="clear" w:color="auto" w:fill="auto"/>
            <w:noWrap/>
            <w:vAlign w:val="bottom"/>
          </w:tcPr>
          <w:p w14:paraId="48516570" w14:textId="4DD54ABB" w:rsidR="00F13B0C" w:rsidRPr="009A4AA0" w:rsidRDefault="002F2F2F" w:rsidP="00F13B0C">
            <w:pPr>
              <w:jc w:val="center"/>
              <w:rPr>
                <w:b/>
                <w:sz w:val="22"/>
                <w:szCs w:val="22"/>
              </w:rPr>
            </w:pPr>
            <w:r w:rsidRPr="009A4AA0">
              <w:rPr>
                <w:b/>
                <w:sz w:val="22"/>
                <w:szCs w:val="22"/>
              </w:rPr>
              <w:t>56,121</w:t>
            </w:r>
          </w:p>
        </w:tc>
        <w:tc>
          <w:tcPr>
            <w:tcW w:w="0" w:type="auto"/>
            <w:shd w:val="clear" w:color="auto" w:fill="auto"/>
            <w:noWrap/>
            <w:vAlign w:val="bottom"/>
          </w:tcPr>
          <w:p w14:paraId="75AD5CF7" w14:textId="1FF3D810" w:rsidR="00F13B0C" w:rsidRPr="009A4AA0" w:rsidRDefault="00B45301" w:rsidP="00F13B0C">
            <w:pPr>
              <w:jc w:val="center"/>
              <w:rPr>
                <w:b/>
                <w:sz w:val="22"/>
                <w:szCs w:val="22"/>
              </w:rPr>
            </w:pPr>
            <w:r>
              <w:rPr>
                <w:b/>
                <w:sz w:val="22"/>
                <w:szCs w:val="22"/>
              </w:rPr>
              <w:t>50,594</w:t>
            </w:r>
          </w:p>
        </w:tc>
        <w:tc>
          <w:tcPr>
            <w:tcW w:w="0" w:type="auto"/>
            <w:shd w:val="clear" w:color="auto" w:fill="auto"/>
            <w:noWrap/>
            <w:vAlign w:val="bottom"/>
          </w:tcPr>
          <w:p w14:paraId="16D4636C" w14:textId="77555A94" w:rsidR="00F13B0C" w:rsidRPr="009A4AA0" w:rsidRDefault="00B45301" w:rsidP="00F13B0C">
            <w:pPr>
              <w:jc w:val="center"/>
              <w:rPr>
                <w:b/>
                <w:sz w:val="22"/>
                <w:szCs w:val="22"/>
              </w:rPr>
            </w:pPr>
            <w:r>
              <w:rPr>
                <w:b/>
                <w:sz w:val="22"/>
                <w:szCs w:val="22"/>
              </w:rPr>
              <w:t>46,905</w:t>
            </w:r>
          </w:p>
        </w:tc>
        <w:tc>
          <w:tcPr>
            <w:tcW w:w="0" w:type="auto"/>
            <w:shd w:val="clear" w:color="auto" w:fill="auto"/>
            <w:noWrap/>
            <w:vAlign w:val="bottom"/>
          </w:tcPr>
          <w:p w14:paraId="6CF6EB17" w14:textId="0B22BE96" w:rsidR="00F13B0C" w:rsidRPr="009A4AA0" w:rsidRDefault="00B45301" w:rsidP="00F13B0C">
            <w:pPr>
              <w:jc w:val="center"/>
              <w:rPr>
                <w:b/>
                <w:sz w:val="22"/>
                <w:szCs w:val="22"/>
              </w:rPr>
            </w:pPr>
            <w:r>
              <w:rPr>
                <w:b/>
                <w:sz w:val="22"/>
                <w:szCs w:val="22"/>
              </w:rPr>
              <w:t>44,016</w:t>
            </w:r>
          </w:p>
        </w:tc>
      </w:tr>
    </w:tbl>
    <w:p w14:paraId="6915A092" w14:textId="77777777" w:rsidR="000E60BA" w:rsidRDefault="000E60BA" w:rsidP="00BD7E9A">
      <w:pPr>
        <w:ind w:firstLine="360"/>
      </w:pPr>
    </w:p>
    <w:p w14:paraId="50D78FD9" w14:textId="0ABC58C7" w:rsidR="00061B17" w:rsidRDefault="00061B17" w:rsidP="00061B17">
      <w:pPr>
        <w:ind w:firstLine="360"/>
      </w:pPr>
      <w:r w:rsidRPr="004156D7">
        <w:t>Th</w:t>
      </w:r>
      <w:r>
        <w:t xml:space="preserve">e alternatives and sub-alternatives under this </w:t>
      </w:r>
      <w:r w:rsidRPr="004156D7">
        <w:t>action would not significantly modify the way in which the snapper grouper fishery is prosecuted in terms o</w:t>
      </w:r>
      <w:r>
        <w:t>f gear types used</w:t>
      </w:r>
      <w:r w:rsidRPr="004156D7">
        <w:t xml:space="preserve">.  Therefore, there are no </w:t>
      </w:r>
      <w:r w:rsidR="00495370">
        <w:t xml:space="preserve">additional </w:t>
      </w:r>
      <w:r w:rsidRPr="004156D7">
        <w:t xml:space="preserve">impacts on ESA-listed species or designated critical habitats anticipated as a result of this action (see </w:t>
      </w:r>
      <w:r w:rsidRPr="004156D7">
        <w:rPr>
          <w:b/>
        </w:rPr>
        <w:t>Section 3.2.4</w:t>
      </w:r>
      <w:r w:rsidRPr="004156D7">
        <w:t xml:space="preserve"> for a detailed description of ESA-listed species and critical habitat in the action area).  Furthermore, no </w:t>
      </w:r>
      <w:r w:rsidR="00495370">
        <w:t xml:space="preserve">additional </w:t>
      </w:r>
      <w:r w:rsidRPr="004156D7">
        <w:t>impacts on EFH or EFH-</w:t>
      </w:r>
      <w:r>
        <w:t>HAPC</w:t>
      </w:r>
      <w:r w:rsidRPr="004156D7">
        <w:t xml:space="preserve"> are expected to result from any of the alternatives considered for this action (see </w:t>
      </w:r>
      <w:r w:rsidRPr="004156D7">
        <w:rPr>
          <w:b/>
        </w:rPr>
        <w:t>Section 3.1</w:t>
      </w:r>
      <w:r w:rsidRPr="004156D7">
        <w:t xml:space="preserve"> for a detailed description of EFH in the South Atlantic Region).</w:t>
      </w:r>
    </w:p>
    <w:p w14:paraId="00F15249" w14:textId="77777777" w:rsidR="00495370" w:rsidRDefault="00495370" w:rsidP="00061B17">
      <w:pPr>
        <w:ind w:firstLine="360"/>
      </w:pPr>
    </w:p>
    <w:p w14:paraId="02D21761" w14:textId="479D8482" w:rsidR="00061B17" w:rsidRPr="000E60BA" w:rsidRDefault="00495370" w:rsidP="00495370">
      <w:pPr>
        <w:pStyle w:val="Heading3"/>
      </w:pPr>
      <w:bookmarkStart w:id="275" w:name="_Toc339811761"/>
      <w:r>
        <w:lastRenderedPageBreak/>
        <w:t>4.7.2  Economic Effects</w:t>
      </w:r>
      <w:bookmarkEnd w:id="275"/>
    </w:p>
    <w:p w14:paraId="5811A383" w14:textId="33DD3106" w:rsidR="00A503F0" w:rsidRPr="00C63E21" w:rsidRDefault="00A503F0" w:rsidP="00495370">
      <w:pPr>
        <w:pStyle w:val="CommentText"/>
        <w:ind w:firstLine="360"/>
      </w:pPr>
      <w:r w:rsidRPr="00C63E21">
        <w:rPr>
          <w:sz w:val="24"/>
          <w:szCs w:val="24"/>
        </w:rPr>
        <w:t xml:space="preserve">Currently, in the 10 fish snapper aggregate bag limit, up to 10 snappers landed could be mutton snapper.  Generally, angler satisfaction increases with the number of fish that can be harvested and the size of the fish.  The smaller the bag limit the greater the probability that the satisfaction from an angler trip could be affected. </w:t>
      </w:r>
      <w:r w:rsidR="00A733AD">
        <w:rPr>
          <w:sz w:val="24"/>
          <w:szCs w:val="24"/>
        </w:rPr>
        <w:t xml:space="preserve"> </w:t>
      </w:r>
      <w:r w:rsidRPr="00C63E21">
        <w:rPr>
          <w:sz w:val="24"/>
          <w:szCs w:val="24"/>
        </w:rPr>
        <w:t xml:space="preserve">As shown in </w:t>
      </w:r>
      <w:r w:rsidRPr="00C63E21">
        <w:rPr>
          <w:b/>
          <w:sz w:val="24"/>
          <w:szCs w:val="24"/>
        </w:rPr>
        <w:t>Figure 4.7.1</w:t>
      </w:r>
      <w:r w:rsidRPr="00C63E21">
        <w:rPr>
          <w:sz w:val="24"/>
          <w:szCs w:val="24"/>
        </w:rPr>
        <w:t xml:space="preserve">, anglers tend to land three or less mutton snapper on a single trip.  Therefore, setting the bag limit between 4 and 10 fish per person per day is expected to have minimal negative economic effects, while setting the bag limit at 1, 2, or 3 fish per person per day can be expected to have noticeably larger negative economic effects.  </w:t>
      </w:r>
      <w:r>
        <w:rPr>
          <w:sz w:val="24"/>
          <w:szCs w:val="24"/>
        </w:rPr>
        <w:t xml:space="preserve">During the regular season, </w:t>
      </w:r>
      <w:r w:rsidRPr="00C63E21">
        <w:rPr>
          <w:b/>
          <w:sz w:val="24"/>
          <w:szCs w:val="24"/>
        </w:rPr>
        <w:t>Sub-alternatives 2a</w:t>
      </w:r>
      <w:r>
        <w:rPr>
          <w:sz w:val="24"/>
          <w:szCs w:val="24"/>
        </w:rPr>
        <w:t xml:space="preserve"> and </w:t>
      </w:r>
      <w:r w:rsidRPr="00C63E21">
        <w:rPr>
          <w:b/>
          <w:sz w:val="24"/>
          <w:szCs w:val="24"/>
        </w:rPr>
        <w:t>2b</w:t>
      </w:r>
      <w:r>
        <w:rPr>
          <w:sz w:val="24"/>
          <w:szCs w:val="24"/>
        </w:rPr>
        <w:t xml:space="preserve"> </w:t>
      </w:r>
      <w:r w:rsidR="00A733AD">
        <w:rPr>
          <w:sz w:val="24"/>
          <w:szCs w:val="24"/>
        </w:rPr>
        <w:t>would be</w:t>
      </w:r>
      <w:r>
        <w:rPr>
          <w:sz w:val="24"/>
          <w:szCs w:val="24"/>
        </w:rPr>
        <w:t xml:space="preserve"> more restrictive than the current bag limit of up to 10 mutton snapper per person/day within the snapper aggregate bag limit, therefore some negative economic impacts may be expected.  </w:t>
      </w:r>
      <w:r w:rsidRPr="00C63E21">
        <w:rPr>
          <w:b/>
          <w:sz w:val="24"/>
          <w:szCs w:val="24"/>
        </w:rPr>
        <w:t>Sub-alternative 2c</w:t>
      </w:r>
      <w:r>
        <w:rPr>
          <w:sz w:val="24"/>
          <w:szCs w:val="24"/>
        </w:rPr>
        <w:t xml:space="preserve"> allows the harvest of up to 10 mutton snapper per person/day, which is equi</w:t>
      </w:r>
      <w:r w:rsidR="00A733AD">
        <w:rPr>
          <w:sz w:val="24"/>
          <w:szCs w:val="24"/>
        </w:rPr>
        <w:t>valent to the current bag limit;</w:t>
      </w:r>
      <w:r>
        <w:rPr>
          <w:sz w:val="24"/>
          <w:szCs w:val="24"/>
        </w:rPr>
        <w:t xml:space="preserve"> therefore</w:t>
      </w:r>
      <w:r w:rsidR="00A733AD">
        <w:rPr>
          <w:sz w:val="24"/>
          <w:szCs w:val="24"/>
        </w:rPr>
        <w:t>,</w:t>
      </w:r>
      <w:r>
        <w:rPr>
          <w:sz w:val="24"/>
          <w:szCs w:val="24"/>
        </w:rPr>
        <w:t xml:space="preserve"> no economic effects are expected from this sub-alternative. </w:t>
      </w:r>
      <w:r w:rsidRPr="00C63E21">
        <w:rPr>
          <w:sz w:val="24"/>
          <w:szCs w:val="24"/>
        </w:rPr>
        <w:t xml:space="preserve">Vessel limits in </w:t>
      </w:r>
      <w:r w:rsidRPr="00C63E21">
        <w:rPr>
          <w:b/>
          <w:sz w:val="24"/>
          <w:szCs w:val="24"/>
        </w:rPr>
        <w:t>Sub-alternative 3c</w:t>
      </w:r>
      <w:r w:rsidRPr="00C63E21">
        <w:rPr>
          <w:sz w:val="24"/>
          <w:szCs w:val="24"/>
        </w:rPr>
        <w:t xml:space="preserve"> and </w:t>
      </w:r>
      <w:r w:rsidRPr="00C63E21">
        <w:rPr>
          <w:b/>
          <w:sz w:val="24"/>
          <w:szCs w:val="24"/>
        </w:rPr>
        <w:t xml:space="preserve">Sub-alternative 3d </w:t>
      </w:r>
      <w:r w:rsidRPr="00C63E21">
        <w:rPr>
          <w:sz w:val="24"/>
          <w:szCs w:val="24"/>
        </w:rPr>
        <w:t xml:space="preserve">would affect recreational participants only on trips where the vessel limit is more restrictive than the bag limit.  </w:t>
      </w:r>
    </w:p>
    <w:p w14:paraId="37BAC5E9" w14:textId="77777777" w:rsidR="00A503F0" w:rsidRDefault="00A503F0" w:rsidP="00A503F0">
      <w:pPr>
        <w:ind w:firstLine="360"/>
      </w:pPr>
    </w:p>
    <w:p w14:paraId="13475603" w14:textId="76B9B34D" w:rsidR="00A503F0" w:rsidRDefault="00177DA1" w:rsidP="00A503F0">
      <w:pPr>
        <w:ind w:firstLine="360"/>
      </w:pPr>
      <w:r w:rsidRPr="00603AFA">
        <w:rPr>
          <w:b/>
        </w:rPr>
        <w:t>Table 4.7.4</w:t>
      </w:r>
      <w:r>
        <w:t xml:space="preserve"> shows the estimated decrease in recreational CS that may occur from projected mutton snapper landings under various bag and size limits in </w:t>
      </w:r>
      <w:r w:rsidRPr="00C63E21">
        <w:rPr>
          <w:b/>
        </w:rPr>
        <w:t>Table 4.7.3</w:t>
      </w:r>
      <w:r>
        <w:t xml:space="preserve"> in comparison to a baseline of average landings of mutton snapper for the recreational sector from 2010-2014 and the associated CS estimates for these landings.  As shown in </w:t>
      </w:r>
      <w:r w:rsidRPr="00C63E21">
        <w:rPr>
          <w:b/>
        </w:rPr>
        <w:t>Table 4.3.3</w:t>
      </w:r>
      <w:r>
        <w:t xml:space="preserve">, these baseline landings are 112,050 fish with a lower bound total CS estimate of $1,387,179 and an upper bound total CS estimate of $3,393,995 (2015 dollars).  The two estimates of marginal CS used in this analysis are $12.38 per fish for a snapper derived from the finite mixture model and $30.29 per fish for a snapper derived from the mixed-logit snapper model (2015 dollars)(See </w:t>
      </w:r>
      <w:r w:rsidRPr="0016448B">
        <w:rPr>
          <w:b/>
        </w:rPr>
        <w:t>Section 4.3.2</w:t>
      </w:r>
      <w:r w:rsidRPr="000216D1">
        <w:t>)</w:t>
      </w:r>
      <w:r>
        <w:t xml:space="preserve">.  </w:t>
      </w:r>
      <w:r w:rsidRPr="00F3152D">
        <w:t xml:space="preserve">The sub-alternatives of </w:t>
      </w:r>
      <w:r w:rsidRPr="00892946">
        <w:rPr>
          <w:b/>
        </w:rPr>
        <w:t>Preferred</w:t>
      </w:r>
      <w:r>
        <w:t xml:space="preserve"> </w:t>
      </w:r>
      <w:r w:rsidRPr="00F3152D">
        <w:rPr>
          <w:b/>
        </w:rPr>
        <w:t xml:space="preserve">Alternative </w:t>
      </w:r>
      <w:r>
        <w:rPr>
          <w:b/>
        </w:rPr>
        <w:t>4</w:t>
      </w:r>
      <w:r w:rsidRPr="00F3152D">
        <w:t xml:space="preserve"> </w:t>
      </w:r>
      <w:r>
        <w:t xml:space="preserve">for </w:t>
      </w:r>
      <w:r w:rsidRPr="00603AFA">
        <w:rPr>
          <w:b/>
        </w:rPr>
        <w:t>Action 7</w:t>
      </w:r>
      <w:r>
        <w:t xml:space="preserve"> </w:t>
      </w:r>
      <w:r w:rsidRPr="00F3152D">
        <w:t xml:space="preserve">would establish a recreational </w:t>
      </w:r>
      <w:r>
        <w:t xml:space="preserve">bag </w:t>
      </w:r>
      <w:r w:rsidRPr="00F3152D">
        <w:t xml:space="preserve">limit that would be more restrictive than the current </w:t>
      </w:r>
      <w:r>
        <w:t>10</w:t>
      </w:r>
      <w:r w:rsidRPr="00F3152D">
        <w:t xml:space="preserve"> fish per person </w:t>
      </w:r>
      <w:r>
        <w:t xml:space="preserve">per day aggregate snapper </w:t>
      </w:r>
      <w:r w:rsidRPr="00F3152D">
        <w:t>limit (</w:t>
      </w:r>
      <w:r>
        <w:rPr>
          <w:b/>
        </w:rPr>
        <w:t>Alternative 1 (</w:t>
      </w:r>
      <w:r w:rsidRPr="00F3152D">
        <w:rPr>
          <w:b/>
        </w:rPr>
        <w:t>No Action</w:t>
      </w:r>
      <w:r>
        <w:rPr>
          <w:b/>
        </w:rPr>
        <w:t>)</w:t>
      </w:r>
      <w:r w:rsidRPr="00F3152D">
        <w:t xml:space="preserve">).  </w:t>
      </w:r>
      <w:r>
        <w:t xml:space="preserve">These sub-alternatives are paired with minimum size limit options from </w:t>
      </w:r>
      <w:r w:rsidRPr="00892946">
        <w:rPr>
          <w:b/>
        </w:rPr>
        <w:t>Action 5</w:t>
      </w:r>
      <w:r>
        <w:rPr>
          <w:b/>
        </w:rPr>
        <w:t xml:space="preserve"> </w:t>
      </w:r>
      <w:r w:rsidRPr="00892946">
        <w:t>to</w:t>
      </w:r>
      <w:r>
        <w:t xml:space="preserve"> provide total CS estimates for the recreational sector (</w:t>
      </w:r>
      <w:r w:rsidRPr="00603AFA">
        <w:rPr>
          <w:b/>
        </w:rPr>
        <w:t>Table 4.7.4</w:t>
      </w:r>
      <w:r>
        <w:t xml:space="preserve">).  In general, </w:t>
      </w:r>
      <w:r w:rsidRPr="00C904FB">
        <w:rPr>
          <w:b/>
        </w:rPr>
        <w:t>Sub-</w:t>
      </w:r>
      <w:r>
        <w:rPr>
          <w:b/>
        </w:rPr>
        <w:t>A</w:t>
      </w:r>
      <w:r w:rsidRPr="00C904FB">
        <w:rPr>
          <w:b/>
        </w:rPr>
        <w:t>lternative 4c</w:t>
      </w:r>
      <w:r>
        <w:t xml:space="preserve"> has the smallest estimated short-term decrease in landings and CS followed by </w:t>
      </w:r>
      <w:r w:rsidRPr="00C904FB">
        <w:rPr>
          <w:b/>
        </w:rPr>
        <w:t>Preferred Sub-alternative 4b</w:t>
      </w:r>
      <w:r>
        <w:t xml:space="preserve">, with </w:t>
      </w:r>
      <w:r w:rsidRPr="00C904FB">
        <w:rPr>
          <w:b/>
        </w:rPr>
        <w:t>Sub-alternative 4a</w:t>
      </w:r>
      <w:r>
        <w:t xml:space="preserve"> having the largest estimated short-term </w:t>
      </w:r>
      <w:r w:rsidR="00116107">
        <w:t xml:space="preserve">decrease in landings and CS.  </w:t>
      </w:r>
      <w:r>
        <w:t xml:space="preserve">The estimated reductions in CS that are expected to occur from </w:t>
      </w:r>
      <w:r w:rsidRPr="00C904FB">
        <w:rPr>
          <w:b/>
        </w:rPr>
        <w:t>Preferred Sub-alternative 4b</w:t>
      </w:r>
      <w:r>
        <w:rPr>
          <w:b/>
        </w:rPr>
        <w:t xml:space="preserve"> </w:t>
      </w:r>
      <w:r>
        <w:t xml:space="preserve">range from </w:t>
      </w:r>
      <w:r w:rsidRPr="00177DA1">
        <w:t>$761,506 to $1,863,168</w:t>
      </w:r>
      <w:r>
        <w:t xml:space="preserve"> (2015 dollars).</w:t>
      </w:r>
      <w:r w:rsidR="00A503F0">
        <w:t xml:space="preserve">   </w:t>
      </w:r>
    </w:p>
    <w:p w14:paraId="32BB66D1" w14:textId="77777777" w:rsidR="00A503F0" w:rsidRDefault="00A503F0" w:rsidP="00A503F0">
      <w:pPr>
        <w:ind w:firstLine="360"/>
      </w:pPr>
    </w:p>
    <w:p w14:paraId="324D499B" w14:textId="77777777" w:rsidR="00177DA1" w:rsidRDefault="00177DA1">
      <w:pPr>
        <w:rPr>
          <w:rFonts w:ascii="Arial" w:hAnsi="Arial"/>
          <w:b/>
          <w:bCs/>
          <w:sz w:val="20"/>
        </w:rPr>
      </w:pPr>
      <w:r>
        <w:rPr>
          <w:b/>
        </w:rPr>
        <w:br w:type="page"/>
      </w:r>
    </w:p>
    <w:p w14:paraId="5A641C77" w14:textId="2E4BF045" w:rsidR="00A503F0" w:rsidRDefault="00A503F0" w:rsidP="00A503F0">
      <w:pPr>
        <w:pStyle w:val="Tabletitle"/>
      </w:pPr>
      <w:bookmarkStart w:id="276" w:name="_Toc340431588"/>
      <w:r w:rsidRPr="00CD31B5">
        <w:rPr>
          <w:b/>
        </w:rPr>
        <w:lastRenderedPageBreak/>
        <w:t>Table 4.7.4.</w:t>
      </w:r>
      <w:r>
        <w:t xml:space="preserve"> Estimated short-term decrease in recreational lan</w:t>
      </w:r>
      <w:r w:rsidR="00177DA1">
        <w:t>dings and consumer surplus (2015</w:t>
      </w:r>
      <w:r>
        <w:t xml:space="preserve"> dollars) for the sub-alternatives of </w:t>
      </w:r>
      <w:r w:rsidRPr="00C904FB">
        <w:rPr>
          <w:b/>
        </w:rPr>
        <w:t>Preferred Alternative 4</w:t>
      </w:r>
      <w:r>
        <w:t xml:space="preserve"> of </w:t>
      </w:r>
      <w:r w:rsidRPr="00C904FB">
        <w:rPr>
          <w:b/>
        </w:rPr>
        <w:t>Action 7</w:t>
      </w:r>
      <w:r>
        <w:t xml:space="preserve"> and minimum size limit options in </w:t>
      </w:r>
      <w:r w:rsidRPr="00C904FB">
        <w:rPr>
          <w:b/>
        </w:rPr>
        <w:t>Action 5</w:t>
      </w:r>
      <w:r>
        <w:t>.</w:t>
      </w:r>
      <w:bookmarkEnd w:id="276"/>
    </w:p>
    <w:tbl>
      <w:tblPr>
        <w:tblW w:w="9265" w:type="dxa"/>
        <w:tblInd w:w="108" w:type="dxa"/>
        <w:tblLayout w:type="fixed"/>
        <w:tblLook w:val="04A0" w:firstRow="1" w:lastRow="0" w:firstColumn="1" w:lastColumn="0" w:noHBand="0" w:noVBand="1"/>
      </w:tblPr>
      <w:tblGrid>
        <w:gridCol w:w="1710"/>
        <w:gridCol w:w="1350"/>
        <w:gridCol w:w="2970"/>
        <w:gridCol w:w="3235"/>
      </w:tblGrid>
      <w:tr w:rsidR="00177DA1" w:rsidRPr="00A503F0" w14:paraId="3F80E19F" w14:textId="77777777" w:rsidTr="00177DA1">
        <w:trPr>
          <w:trHeight w:val="320"/>
        </w:trPr>
        <w:tc>
          <w:tcPr>
            <w:tcW w:w="9265"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1E0288F" w14:textId="77777777" w:rsidR="00177DA1" w:rsidRPr="0048153F" w:rsidRDefault="00177DA1" w:rsidP="00177DA1">
            <w:pPr>
              <w:jc w:val="center"/>
              <w:rPr>
                <w:b/>
                <w:bCs/>
                <w:color w:val="000000"/>
                <w:sz w:val="22"/>
                <w:szCs w:val="22"/>
              </w:rPr>
            </w:pPr>
            <w:r w:rsidRPr="0048153F">
              <w:rPr>
                <w:b/>
                <w:bCs/>
                <w:color w:val="000000"/>
                <w:sz w:val="22"/>
                <w:szCs w:val="22"/>
              </w:rPr>
              <w:t>Sub-alt 4a- 2 fish/person/day</w:t>
            </w:r>
          </w:p>
        </w:tc>
      </w:tr>
      <w:tr w:rsidR="00177DA1" w:rsidRPr="00A503F0" w14:paraId="1B33B644" w14:textId="77777777" w:rsidTr="00177DA1">
        <w:trPr>
          <w:trHeight w:val="692"/>
        </w:trPr>
        <w:tc>
          <w:tcPr>
            <w:tcW w:w="1710" w:type="dxa"/>
            <w:tcBorders>
              <w:top w:val="nil"/>
              <w:left w:val="single" w:sz="4" w:space="0" w:color="auto"/>
              <w:bottom w:val="single" w:sz="4" w:space="0" w:color="auto"/>
              <w:right w:val="single" w:sz="4" w:space="0" w:color="auto"/>
            </w:tcBorders>
            <w:shd w:val="clear" w:color="000000" w:fill="D9D9D9"/>
            <w:noWrap/>
            <w:vAlign w:val="center"/>
            <w:hideMark/>
          </w:tcPr>
          <w:p w14:paraId="4E5C6B59" w14:textId="77777777" w:rsidR="00177DA1" w:rsidRPr="0048153F" w:rsidRDefault="00177DA1" w:rsidP="00116107">
            <w:pPr>
              <w:jc w:val="center"/>
              <w:rPr>
                <w:b/>
                <w:bCs/>
                <w:color w:val="000000"/>
                <w:sz w:val="22"/>
                <w:szCs w:val="22"/>
              </w:rPr>
            </w:pPr>
            <w:r w:rsidRPr="0048153F">
              <w:rPr>
                <w:b/>
                <w:bCs/>
                <w:color w:val="000000"/>
                <w:sz w:val="22"/>
                <w:szCs w:val="22"/>
              </w:rPr>
              <w:t>Size Limit</w:t>
            </w:r>
          </w:p>
        </w:tc>
        <w:tc>
          <w:tcPr>
            <w:tcW w:w="1350" w:type="dxa"/>
            <w:tcBorders>
              <w:top w:val="nil"/>
              <w:left w:val="nil"/>
              <w:bottom w:val="single" w:sz="4" w:space="0" w:color="auto"/>
              <w:right w:val="single" w:sz="4" w:space="0" w:color="auto"/>
            </w:tcBorders>
            <w:shd w:val="clear" w:color="000000" w:fill="D9D9D9"/>
            <w:noWrap/>
            <w:vAlign w:val="center"/>
            <w:hideMark/>
          </w:tcPr>
          <w:p w14:paraId="4A8F2653" w14:textId="77777777" w:rsidR="00177DA1" w:rsidRPr="002B47A0" w:rsidRDefault="00177DA1" w:rsidP="00177DA1">
            <w:pPr>
              <w:jc w:val="center"/>
              <w:rPr>
                <w:b/>
                <w:bCs/>
                <w:color w:val="000000"/>
                <w:sz w:val="22"/>
                <w:szCs w:val="22"/>
              </w:rPr>
            </w:pPr>
            <w:r w:rsidRPr="002B47A0">
              <w:rPr>
                <w:b/>
                <w:bCs/>
                <w:color w:val="000000"/>
                <w:sz w:val="22"/>
                <w:szCs w:val="22"/>
              </w:rPr>
              <w:t>Decrease in Landings (Numbers)</w:t>
            </w:r>
          </w:p>
        </w:tc>
        <w:tc>
          <w:tcPr>
            <w:tcW w:w="2970" w:type="dxa"/>
            <w:tcBorders>
              <w:top w:val="nil"/>
              <w:left w:val="nil"/>
              <w:bottom w:val="single" w:sz="4" w:space="0" w:color="auto"/>
              <w:right w:val="single" w:sz="4" w:space="0" w:color="auto"/>
            </w:tcBorders>
            <w:shd w:val="clear" w:color="000000" w:fill="D9D9D9"/>
            <w:vAlign w:val="center"/>
            <w:hideMark/>
          </w:tcPr>
          <w:p w14:paraId="70BE14B1" w14:textId="77777777" w:rsidR="00177DA1" w:rsidRPr="0048153F" w:rsidRDefault="00177DA1" w:rsidP="00177DA1">
            <w:pPr>
              <w:jc w:val="center"/>
              <w:rPr>
                <w:b/>
                <w:bCs/>
                <w:color w:val="000000"/>
                <w:sz w:val="22"/>
                <w:szCs w:val="22"/>
              </w:rPr>
            </w:pPr>
            <w:r w:rsidRPr="0048153F">
              <w:rPr>
                <w:b/>
                <w:bCs/>
                <w:color w:val="000000"/>
                <w:sz w:val="22"/>
                <w:szCs w:val="22"/>
              </w:rPr>
              <w:t>Decrease in Recreational CS - Snapper (Finite Mixture Model:  $12.38/fish.)</w:t>
            </w:r>
          </w:p>
        </w:tc>
        <w:tc>
          <w:tcPr>
            <w:tcW w:w="3235" w:type="dxa"/>
            <w:tcBorders>
              <w:top w:val="nil"/>
              <w:left w:val="nil"/>
              <w:bottom w:val="single" w:sz="4" w:space="0" w:color="auto"/>
              <w:right w:val="single" w:sz="4" w:space="0" w:color="auto"/>
            </w:tcBorders>
            <w:shd w:val="clear" w:color="000000" w:fill="D9D9D9"/>
            <w:vAlign w:val="center"/>
            <w:hideMark/>
          </w:tcPr>
          <w:p w14:paraId="472CC2A3" w14:textId="77777777" w:rsidR="00177DA1" w:rsidRPr="0048153F" w:rsidRDefault="00177DA1" w:rsidP="00177DA1">
            <w:pPr>
              <w:jc w:val="center"/>
              <w:rPr>
                <w:b/>
                <w:bCs/>
                <w:color w:val="000000"/>
                <w:sz w:val="22"/>
                <w:szCs w:val="22"/>
              </w:rPr>
            </w:pPr>
            <w:r w:rsidRPr="0048153F">
              <w:rPr>
                <w:b/>
                <w:bCs/>
                <w:color w:val="000000"/>
                <w:sz w:val="22"/>
                <w:szCs w:val="22"/>
              </w:rPr>
              <w:t>Decrease in Recreational CS - Snapper (Mixed Logit Model: $30.29/fish)</w:t>
            </w:r>
          </w:p>
        </w:tc>
      </w:tr>
      <w:tr w:rsidR="00177DA1" w:rsidRPr="00A503F0" w14:paraId="1A0A5471" w14:textId="77777777" w:rsidTr="00177DA1">
        <w:trPr>
          <w:trHeight w:val="32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29E41A62" w14:textId="77777777" w:rsidR="00177DA1" w:rsidRPr="0048153F" w:rsidRDefault="00177DA1" w:rsidP="00177DA1">
            <w:pPr>
              <w:jc w:val="center"/>
              <w:rPr>
                <w:color w:val="000000"/>
                <w:sz w:val="22"/>
                <w:szCs w:val="22"/>
              </w:rPr>
            </w:pPr>
            <w:r w:rsidRPr="0048153F">
              <w:rPr>
                <w:color w:val="000000"/>
                <w:sz w:val="22"/>
                <w:szCs w:val="22"/>
              </w:rPr>
              <w:t>16”</w:t>
            </w:r>
          </w:p>
        </w:tc>
        <w:tc>
          <w:tcPr>
            <w:tcW w:w="1350" w:type="dxa"/>
            <w:tcBorders>
              <w:top w:val="nil"/>
              <w:left w:val="nil"/>
              <w:bottom w:val="single" w:sz="4" w:space="0" w:color="auto"/>
              <w:right w:val="single" w:sz="4" w:space="0" w:color="auto"/>
            </w:tcBorders>
            <w:shd w:val="clear" w:color="auto" w:fill="auto"/>
            <w:noWrap/>
            <w:vAlign w:val="center"/>
            <w:hideMark/>
          </w:tcPr>
          <w:p w14:paraId="2ED4E69D" w14:textId="77777777" w:rsidR="00177DA1" w:rsidRPr="006067FD" w:rsidRDefault="00177DA1" w:rsidP="00177DA1">
            <w:pPr>
              <w:jc w:val="center"/>
              <w:rPr>
                <w:color w:val="000000"/>
                <w:sz w:val="22"/>
                <w:szCs w:val="22"/>
              </w:rPr>
            </w:pPr>
            <w:r w:rsidRPr="000D7172">
              <w:rPr>
                <w:color w:val="000000"/>
                <w:sz w:val="22"/>
                <w:szCs w:val="22"/>
              </w:rPr>
              <w:t>4,082</w:t>
            </w:r>
          </w:p>
        </w:tc>
        <w:tc>
          <w:tcPr>
            <w:tcW w:w="2970" w:type="dxa"/>
            <w:tcBorders>
              <w:top w:val="nil"/>
              <w:left w:val="nil"/>
              <w:bottom w:val="single" w:sz="4" w:space="0" w:color="auto"/>
              <w:right w:val="single" w:sz="4" w:space="0" w:color="auto"/>
            </w:tcBorders>
            <w:shd w:val="clear" w:color="auto" w:fill="auto"/>
            <w:noWrap/>
            <w:vAlign w:val="bottom"/>
            <w:hideMark/>
          </w:tcPr>
          <w:p w14:paraId="389FD3AD" w14:textId="77777777" w:rsidR="00177DA1" w:rsidRPr="006067FD" w:rsidRDefault="00177DA1" w:rsidP="00177DA1">
            <w:pPr>
              <w:jc w:val="center"/>
              <w:rPr>
                <w:color w:val="000000"/>
                <w:sz w:val="22"/>
                <w:szCs w:val="22"/>
              </w:rPr>
            </w:pPr>
            <w:r w:rsidRPr="000D7172">
              <w:rPr>
                <w:color w:val="000000"/>
                <w:sz w:val="22"/>
                <w:szCs w:val="22"/>
              </w:rPr>
              <w:t xml:space="preserve">$50,535 </w:t>
            </w:r>
          </w:p>
        </w:tc>
        <w:tc>
          <w:tcPr>
            <w:tcW w:w="3235" w:type="dxa"/>
            <w:tcBorders>
              <w:top w:val="nil"/>
              <w:left w:val="nil"/>
              <w:bottom w:val="single" w:sz="4" w:space="0" w:color="auto"/>
              <w:right w:val="single" w:sz="4" w:space="0" w:color="auto"/>
            </w:tcBorders>
            <w:shd w:val="clear" w:color="auto" w:fill="auto"/>
            <w:noWrap/>
            <w:vAlign w:val="bottom"/>
            <w:hideMark/>
          </w:tcPr>
          <w:p w14:paraId="668867FD" w14:textId="77777777" w:rsidR="00177DA1" w:rsidRPr="006067FD" w:rsidRDefault="00177DA1" w:rsidP="00177DA1">
            <w:pPr>
              <w:jc w:val="center"/>
              <w:rPr>
                <w:color w:val="000000"/>
                <w:sz w:val="22"/>
                <w:szCs w:val="22"/>
              </w:rPr>
            </w:pPr>
            <w:r w:rsidRPr="000D7172">
              <w:rPr>
                <w:color w:val="000000"/>
                <w:sz w:val="22"/>
                <w:szCs w:val="22"/>
              </w:rPr>
              <w:t xml:space="preserve">$123,644 </w:t>
            </w:r>
          </w:p>
        </w:tc>
      </w:tr>
      <w:tr w:rsidR="00177DA1" w:rsidRPr="00A503F0" w14:paraId="3A8BB2B2" w14:textId="77777777" w:rsidTr="00177DA1">
        <w:trPr>
          <w:trHeight w:val="32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19562C60" w14:textId="77777777" w:rsidR="00177DA1" w:rsidRPr="0048153F" w:rsidRDefault="00177DA1" w:rsidP="00177DA1">
            <w:pPr>
              <w:jc w:val="center"/>
              <w:rPr>
                <w:color w:val="000000"/>
                <w:sz w:val="22"/>
                <w:szCs w:val="22"/>
              </w:rPr>
            </w:pPr>
            <w:r w:rsidRPr="0048153F">
              <w:rPr>
                <w:color w:val="000000"/>
                <w:sz w:val="22"/>
                <w:szCs w:val="22"/>
              </w:rPr>
              <w:t>17”</w:t>
            </w:r>
          </w:p>
        </w:tc>
        <w:tc>
          <w:tcPr>
            <w:tcW w:w="1350" w:type="dxa"/>
            <w:tcBorders>
              <w:top w:val="nil"/>
              <w:left w:val="nil"/>
              <w:bottom w:val="single" w:sz="4" w:space="0" w:color="auto"/>
              <w:right w:val="single" w:sz="4" w:space="0" w:color="auto"/>
            </w:tcBorders>
            <w:shd w:val="clear" w:color="auto" w:fill="auto"/>
            <w:noWrap/>
            <w:vAlign w:val="center"/>
            <w:hideMark/>
          </w:tcPr>
          <w:p w14:paraId="19F110A1" w14:textId="77777777" w:rsidR="00177DA1" w:rsidRPr="006067FD" w:rsidRDefault="00177DA1" w:rsidP="00177DA1">
            <w:pPr>
              <w:jc w:val="center"/>
              <w:rPr>
                <w:color w:val="000000"/>
                <w:sz w:val="22"/>
                <w:szCs w:val="22"/>
              </w:rPr>
            </w:pPr>
            <w:r w:rsidRPr="000D7172">
              <w:rPr>
                <w:color w:val="000000"/>
                <w:sz w:val="22"/>
                <w:szCs w:val="22"/>
              </w:rPr>
              <w:t>57,090</w:t>
            </w:r>
          </w:p>
        </w:tc>
        <w:tc>
          <w:tcPr>
            <w:tcW w:w="2970" w:type="dxa"/>
            <w:tcBorders>
              <w:top w:val="nil"/>
              <w:left w:val="nil"/>
              <w:bottom w:val="single" w:sz="4" w:space="0" w:color="auto"/>
              <w:right w:val="single" w:sz="4" w:space="0" w:color="auto"/>
            </w:tcBorders>
            <w:shd w:val="clear" w:color="auto" w:fill="auto"/>
            <w:noWrap/>
            <w:vAlign w:val="bottom"/>
            <w:hideMark/>
          </w:tcPr>
          <w:p w14:paraId="5017BB57" w14:textId="77777777" w:rsidR="00177DA1" w:rsidRPr="006067FD" w:rsidRDefault="00177DA1" w:rsidP="00177DA1">
            <w:pPr>
              <w:jc w:val="center"/>
              <w:rPr>
                <w:color w:val="000000"/>
                <w:sz w:val="22"/>
                <w:szCs w:val="22"/>
              </w:rPr>
            </w:pPr>
            <w:r w:rsidRPr="000D7172">
              <w:rPr>
                <w:color w:val="000000"/>
                <w:sz w:val="22"/>
                <w:szCs w:val="22"/>
              </w:rPr>
              <w:t xml:space="preserve">$706,774 </w:t>
            </w:r>
          </w:p>
        </w:tc>
        <w:tc>
          <w:tcPr>
            <w:tcW w:w="3235" w:type="dxa"/>
            <w:tcBorders>
              <w:top w:val="nil"/>
              <w:left w:val="nil"/>
              <w:bottom w:val="single" w:sz="4" w:space="0" w:color="auto"/>
              <w:right w:val="single" w:sz="4" w:space="0" w:color="auto"/>
            </w:tcBorders>
            <w:shd w:val="clear" w:color="auto" w:fill="auto"/>
            <w:noWrap/>
            <w:vAlign w:val="bottom"/>
            <w:hideMark/>
          </w:tcPr>
          <w:p w14:paraId="397AE40E" w14:textId="77777777" w:rsidR="00177DA1" w:rsidRPr="006067FD" w:rsidRDefault="00177DA1" w:rsidP="00177DA1">
            <w:pPr>
              <w:jc w:val="center"/>
              <w:rPr>
                <w:color w:val="000000"/>
                <w:sz w:val="22"/>
                <w:szCs w:val="22"/>
              </w:rPr>
            </w:pPr>
            <w:r w:rsidRPr="000D7172">
              <w:rPr>
                <w:color w:val="000000"/>
                <w:sz w:val="22"/>
                <w:szCs w:val="22"/>
              </w:rPr>
              <w:t xml:space="preserve">$1,729,256 </w:t>
            </w:r>
          </w:p>
        </w:tc>
      </w:tr>
      <w:tr w:rsidR="00177DA1" w:rsidRPr="00A503F0" w14:paraId="3D1499AD" w14:textId="77777777" w:rsidTr="00177DA1">
        <w:trPr>
          <w:trHeight w:val="32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1C5326B1" w14:textId="77777777" w:rsidR="00177DA1" w:rsidRPr="0048153F" w:rsidRDefault="00177DA1" w:rsidP="00177DA1">
            <w:pPr>
              <w:jc w:val="center"/>
              <w:rPr>
                <w:color w:val="000000"/>
                <w:sz w:val="22"/>
                <w:szCs w:val="22"/>
              </w:rPr>
            </w:pPr>
            <w:r w:rsidRPr="0048153F">
              <w:rPr>
                <w:color w:val="000000"/>
                <w:sz w:val="22"/>
                <w:szCs w:val="22"/>
              </w:rPr>
              <w:t>18”</w:t>
            </w:r>
          </w:p>
        </w:tc>
        <w:tc>
          <w:tcPr>
            <w:tcW w:w="1350" w:type="dxa"/>
            <w:tcBorders>
              <w:top w:val="nil"/>
              <w:left w:val="nil"/>
              <w:bottom w:val="single" w:sz="4" w:space="0" w:color="auto"/>
              <w:right w:val="single" w:sz="4" w:space="0" w:color="auto"/>
            </w:tcBorders>
            <w:shd w:val="clear" w:color="auto" w:fill="auto"/>
            <w:noWrap/>
            <w:vAlign w:val="center"/>
            <w:hideMark/>
          </w:tcPr>
          <w:p w14:paraId="3D00077A" w14:textId="77777777" w:rsidR="00177DA1" w:rsidRPr="006067FD" w:rsidRDefault="00177DA1" w:rsidP="00177DA1">
            <w:pPr>
              <w:jc w:val="center"/>
              <w:rPr>
                <w:color w:val="000000"/>
                <w:sz w:val="22"/>
                <w:szCs w:val="22"/>
              </w:rPr>
            </w:pPr>
            <w:r w:rsidRPr="000D7172">
              <w:rPr>
                <w:color w:val="000000"/>
                <w:sz w:val="22"/>
                <w:szCs w:val="22"/>
              </w:rPr>
              <w:t>61,651</w:t>
            </w:r>
          </w:p>
        </w:tc>
        <w:tc>
          <w:tcPr>
            <w:tcW w:w="2970" w:type="dxa"/>
            <w:tcBorders>
              <w:top w:val="nil"/>
              <w:left w:val="nil"/>
              <w:bottom w:val="single" w:sz="4" w:space="0" w:color="auto"/>
              <w:right w:val="single" w:sz="4" w:space="0" w:color="auto"/>
            </w:tcBorders>
            <w:shd w:val="clear" w:color="auto" w:fill="auto"/>
            <w:noWrap/>
            <w:vAlign w:val="bottom"/>
            <w:hideMark/>
          </w:tcPr>
          <w:p w14:paraId="452BAF7B" w14:textId="77777777" w:rsidR="00177DA1" w:rsidRPr="006067FD" w:rsidRDefault="00177DA1" w:rsidP="00177DA1">
            <w:pPr>
              <w:jc w:val="center"/>
              <w:rPr>
                <w:color w:val="000000"/>
                <w:sz w:val="22"/>
                <w:szCs w:val="22"/>
              </w:rPr>
            </w:pPr>
            <w:r w:rsidRPr="000D7172">
              <w:rPr>
                <w:color w:val="000000"/>
                <w:sz w:val="22"/>
                <w:szCs w:val="22"/>
              </w:rPr>
              <w:t xml:space="preserve">$763,239 </w:t>
            </w:r>
          </w:p>
        </w:tc>
        <w:tc>
          <w:tcPr>
            <w:tcW w:w="3235" w:type="dxa"/>
            <w:tcBorders>
              <w:top w:val="nil"/>
              <w:left w:val="nil"/>
              <w:bottom w:val="single" w:sz="4" w:space="0" w:color="auto"/>
              <w:right w:val="single" w:sz="4" w:space="0" w:color="auto"/>
            </w:tcBorders>
            <w:shd w:val="clear" w:color="auto" w:fill="auto"/>
            <w:noWrap/>
            <w:vAlign w:val="bottom"/>
            <w:hideMark/>
          </w:tcPr>
          <w:p w14:paraId="37F7EB8F" w14:textId="77777777" w:rsidR="00177DA1" w:rsidRPr="006067FD" w:rsidRDefault="00177DA1" w:rsidP="00177DA1">
            <w:pPr>
              <w:jc w:val="center"/>
              <w:rPr>
                <w:color w:val="000000"/>
                <w:sz w:val="22"/>
                <w:szCs w:val="22"/>
              </w:rPr>
            </w:pPr>
            <w:r w:rsidRPr="000D7172">
              <w:rPr>
                <w:color w:val="000000"/>
                <w:sz w:val="22"/>
                <w:szCs w:val="22"/>
              </w:rPr>
              <w:t xml:space="preserve">$1,867,409 </w:t>
            </w:r>
          </w:p>
        </w:tc>
      </w:tr>
      <w:tr w:rsidR="00177DA1" w:rsidRPr="00A503F0" w14:paraId="3D5AF963" w14:textId="77777777" w:rsidTr="00177DA1">
        <w:trPr>
          <w:trHeight w:val="32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5A585BAF" w14:textId="77777777" w:rsidR="00177DA1" w:rsidRPr="0048153F" w:rsidRDefault="00177DA1" w:rsidP="00177DA1">
            <w:pPr>
              <w:jc w:val="center"/>
              <w:rPr>
                <w:color w:val="000000"/>
                <w:sz w:val="22"/>
                <w:szCs w:val="22"/>
              </w:rPr>
            </w:pPr>
            <w:r w:rsidRPr="0048153F">
              <w:rPr>
                <w:color w:val="000000"/>
                <w:sz w:val="22"/>
                <w:szCs w:val="22"/>
              </w:rPr>
              <w:t>19”</w:t>
            </w:r>
          </w:p>
        </w:tc>
        <w:tc>
          <w:tcPr>
            <w:tcW w:w="1350" w:type="dxa"/>
            <w:tcBorders>
              <w:top w:val="nil"/>
              <w:left w:val="nil"/>
              <w:bottom w:val="single" w:sz="4" w:space="0" w:color="auto"/>
              <w:right w:val="single" w:sz="4" w:space="0" w:color="auto"/>
            </w:tcBorders>
            <w:shd w:val="clear" w:color="auto" w:fill="auto"/>
            <w:noWrap/>
            <w:vAlign w:val="center"/>
            <w:hideMark/>
          </w:tcPr>
          <w:p w14:paraId="0AC2409D" w14:textId="77777777" w:rsidR="00177DA1" w:rsidRPr="006067FD" w:rsidRDefault="00177DA1" w:rsidP="00177DA1">
            <w:pPr>
              <w:jc w:val="center"/>
              <w:rPr>
                <w:color w:val="000000"/>
                <w:sz w:val="22"/>
                <w:szCs w:val="22"/>
              </w:rPr>
            </w:pPr>
            <w:r w:rsidRPr="000D7172">
              <w:rPr>
                <w:color w:val="000000"/>
                <w:sz w:val="22"/>
                <w:szCs w:val="22"/>
              </w:rPr>
              <w:t>65,299</w:t>
            </w:r>
          </w:p>
        </w:tc>
        <w:tc>
          <w:tcPr>
            <w:tcW w:w="2970" w:type="dxa"/>
            <w:tcBorders>
              <w:top w:val="nil"/>
              <w:left w:val="nil"/>
              <w:bottom w:val="single" w:sz="4" w:space="0" w:color="auto"/>
              <w:right w:val="single" w:sz="4" w:space="0" w:color="auto"/>
            </w:tcBorders>
            <w:shd w:val="clear" w:color="auto" w:fill="auto"/>
            <w:noWrap/>
            <w:vAlign w:val="bottom"/>
            <w:hideMark/>
          </w:tcPr>
          <w:p w14:paraId="59357A0F" w14:textId="77777777" w:rsidR="00177DA1" w:rsidRPr="006067FD" w:rsidRDefault="00177DA1" w:rsidP="00177DA1">
            <w:pPr>
              <w:jc w:val="center"/>
              <w:rPr>
                <w:color w:val="000000"/>
                <w:sz w:val="22"/>
                <w:szCs w:val="22"/>
              </w:rPr>
            </w:pPr>
            <w:r w:rsidRPr="000D7172">
              <w:rPr>
                <w:color w:val="000000"/>
                <w:sz w:val="22"/>
                <w:szCs w:val="22"/>
              </w:rPr>
              <w:t xml:space="preserve">$808,402 </w:t>
            </w:r>
          </w:p>
        </w:tc>
        <w:tc>
          <w:tcPr>
            <w:tcW w:w="3235" w:type="dxa"/>
            <w:tcBorders>
              <w:top w:val="nil"/>
              <w:left w:val="nil"/>
              <w:bottom w:val="single" w:sz="4" w:space="0" w:color="auto"/>
              <w:right w:val="single" w:sz="4" w:space="0" w:color="auto"/>
            </w:tcBorders>
            <w:shd w:val="clear" w:color="auto" w:fill="auto"/>
            <w:noWrap/>
            <w:vAlign w:val="bottom"/>
            <w:hideMark/>
          </w:tcPr>
          <w:p w14:paraId="73988609" w14:textId="77777777" w:rsidR="00177DA1" w:rsidRPr="006067FD" w:rsidRDefault="00177DA1" w:rsidP="00177DA1">
            <w:pPr>
              <w:jc w:val="center"/>
              <w:rPr>
                <w:color w:val="000000"/>
                <w:sz w:val="22"/>
                <w:szCs w:val="22"/>
              </w:rPr>
            </w:pPr>
            <w:r w:rsidRPr="000D7172">
              <w:rPr>
                <w:color w:val="000000"/>
                <w:sz w:val="22"/>
                <w:szCs w:val="22"/>
              </w:rPr>
              <w:t xml:space="preserve">$1,977,907 </w:t>
            </w:r>
          </w:p>
        </w:tc>
      </w:tr>
      <w:tr w:rsidR="00177DA1" w:rsidRPr="00A503F0" w14:paraId="2CE470FC" w14:textId="77777777" w:rsidTr="00177DA1">
        <w:trPr>
          <w:trHeight w:val="3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661E1704" w14:textId="77777777" w:rsidR="00177DA1" w:rsidRPr="0048153F" w:rsidRDefault="00177DA1" w:rsidP="00177DA1">
            <w:pPr>
              <w:jc w:val="center"/>
              <w:rPr>
                <w:color w:val="000000"/>
                <w:sz w:val="22"/>
                <w:szCs w:val="22"/>
              </w:rPr>
            </w:pPr>
            <w:r w:rsidRPr="0048153F">
              <w:rPr>
                <w:color w:val="000000"/>
                <w:sz w:val="22"/>
                <w:szCs w:val="22"/>
              </w:rPr>
              <w:t>20”</w:t>
            </w:r>
          </w:p>
        </w:tc>
        <w:tc>
          <w:tcPr>
            <w:tcW w:w="1350" w:type="dxa"/>
            <w:tcBorders>
              <w:top w:val="nil"/>
              <w:left w:val="nil"/>
              <w:bottom w:val="single" w:sz="4" w:space="0" w:color="auto"/>
              <w:right w:val="single" w:sz="4" w:space="0" w:color="auto"/>
            </w:tcBorders>
            <w:shd w:val="clear" w:color="auto" w:fill="auto"/>
            <w:noWrap/>
            <w:vAlign w:val="center"/>
            <w:hideMark/>
          </w:tcPr>
          <w:p w14:paraId="2B65DC4E" w14:textId="77777777" w:rsidR="00177DA1" w:rsidRPr="006067FD" w:rsidRDefault="00177DA1" w:rsidP="00177DA1">
            <w:pPr>
              <w:jc w:val="center"/>
              <w:rPr>
                <w:color w:val="000000"/>
                <w:sz w:val="22"/>
                <w:szCs w:val="22"/>
              </w:rPr>
            </w:pPr>
            <w:r w:rsidRPr="000D7172">
              <w:rPr>
                <w:color w:val="000000"/>
                <w:sz w:val="22"/>
                <w:szCs w:val="22"/>
              </w:rPr>
              <w:t>68,656</w:t>
            </w:r>
          </w:p>
        </w:tc>
        <w:tc>
          <w:tcPr>
            <w:tcW w:w="2970" w:type="dxa"/>
            <w:tcBorders>
              <w:top w:val="nil"/>
              <w:left w:val="nil"/>
              <w:bottom w:val="single" w:sz="4" w:space="0" w:color="auto"/>
              <w:right w:val="single" w:sz="4" w:space="0" w:color="auto"/>
            </w:tcBorders>
            <w:shd w:val="clear" w:color="auto" w:fill="auto"/>
            <w:noWrap/>
            <w:vAlign w:val="bottom"/>
            <w:hideMark/>
          </w:tcPr>
          <w:p w14:paraId="7DC16CBB" w14:textId="77777777" w:rsidR="00177DA1" w:rsidRPr="006067FD" w:rsidRDefault="00177DA1" w:rsidP="00177DA1">
            <w:pPr>
              <w:jc w:val="center"/>
              <w:rPr>
                <w:color w:val="000000"/>
                <w:sz w:val="22"/>
                <w:szCs w:val="22"/>
              </w:rPr>
            </w:pPr>
            <w:r w:rsidRPr="000D7172">
              <w:rPr>
                <w:color w:val="000000"/>
                <w:sz w:val="22"/>
                <w:szCs w:val="22"/>
              </w:rPr>
              <w:t xml:space="preserve">$849,961 </w:t>
            </w:r>
          </w:p>
        </w:tc>
        <w:tc>
          <w:tcPr>
            <w:tcW w:w="3235" w:type="dxa"/>
            <w:tcBorders>
              <w:top w:val="nil"/>
              <w:left w:val="nil"/>
              <w:bottom w:val="single" w:sz="4" w:space="0" w:color="auto"/>
              <w:right w:val="single" w:sz="4" w:space="0" w:color="auto"/>
            </w:tcBorders>
            <w:shd w:val="clear" w:color="auto" w:fill="auto"/>
            <w:noWrap/>
            <w:vAlign w:val="bottom"/>
            <w:hideMark/>
          </w:tcPr>
          <w:p w14:paraId="00753E52" w14:textId="77777777" w:rsidR="00177DA1" w:rsidRPr="006067FD" w:rsidRDefault="00177DA1" w:rsidP="00177DA1">
            <w:pPr>
              <w:jc w:val="center"/>
              <w:rPr>
                <w:color w:val="000000"/>
                <w:sz w:val="22"/>
                <w:szCs w:val="22"/>
              </w:rPr>
            </w:pPr>
            <w:r w:rsidRPr="000D7172">
              <w:rPr>
                <w:color w:val="000000"/>
                <w:sz w:val="22"/>
                <w:szCs w:val="22"/>
              </w:rPr>
              <w:t xml:space="preserve">$2,079,590 </w:t>
            </w:r>
          </w:p>
        </w:tc>
      </w:tr>
      <w:tr w:rsidR="00177DA1" w:rsidRPr="00A503F0" w14:paraId="72C7EF71" w14:textId="77777777" w:rsidTr="00177DA1">
        <w:trPr>
          <w:trHeight w:val="320"/>
        </w:trPr>
        <w:tc>
          <w:tcPr>
            <w:tcW w:w="9265"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CF38EE" w14:textId="7448B948" w:rsidR="00177DA1" w:rsidRPr="0048153F" w:rsidRDefault="001F74AF" w:rsidP="00177DA1">
            <w:pPr>
              <w:jc w:val="center"/>
              <w:rPr>
                <w:b/>
                <w:bCs/>
                <w:color w:val="000000"/>
                <w:sz w:val="22"/>
                <w:szCs w:val="22"/>
              </w:rPr>
            </w:pPr>
            <w:r>
              <w:rPr>
                <w:b/>
                <w:bCs/>
                <w:color w:val="000000"/>
                <w:sz w:val="22"/>
                <w:szCs w:val="22"/>
              </w:rPr>
              <w:t xml:space="preserve">Preferred Sub-alt 4b: </w:t>
            </w:r>
            <w:r w:rsidR="00177DA1" w:rsidRPr="0048153F">
              <w:rPr>
                <w:b/>
                <w:bCs/>
                <w:color w:val="000000"/>
                <w:sz w:val="22"/>
                <w:szCs w:val="22"/>
              </w:rPr>
              <w:t>3 fish/person/day</w:t>
            </w:r>
          </w:p>
        </w:tc>
      </w:tr>
      <w:tr w:rsidR="00177DA1" w:rsidRPr="00A503F0" w14:paraId="632AF054" w14:textId="77777777" w:rsidTr="00177DA1">
        <w:trPr>
          <w:trHeight w:val="3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7B39B6A3" w14:textId="77777777" w:rsidR="00177DA1" w:rsidRPr="0048153F" w:rsidRDefault="00177DA1" w:rsidP="00177DA1">
            <w:pPr>
              <w:jc w:val="center"/>
              <w:rPr>
                <w:color w:val="000000"/>
                <w:sz w:val="22"/>
                <w:szCs w:val="22"/>
              </w:rPr>
            </w:pPr>
            <w:r w:rsidRPr="0048153F">
              <w:rPr>
                <w:color w:val="000000"/>
                <w:sz w:val="22"/>
                <w:szCs w:val="22"/>
              </w:rPr>
              <w:t>16”</w:t>
            </w:r>
          </w:p>
        </w:tc>
        <w:tc>
          <w:tcPr>
            <w:tcW w:w="1350" w:type="dxa"/>
            <w:tcBorders>
              <w:top w:val="nil"/>
              <w:left w:val="nil"/>
              <w:bottom w:val="single" w:sz="4" w:space="0" w:color="auto"/>
              <w:right w:val="single" w:sz="4" w:space="0" w:color="auto"/>
            </w:tcBorders>
            <w:shd w:val="clear" w:color="auto" w:fill="auto"/>
            <w:noWrap/>
            <w:vAlign w:val="center"/>
            <w:hideMark/>
          </w:tcPr>
          <w:p w14:paraId="70207D54" w14:textId="77777777" w:rsidR="00177DA1" w:rsidRPr="00904D56" w:rsidRDefault="00177DA1" w:rsidP="00177DA1">
            <w:pPr>
              <w:jc w:val="center"/>
              <w:rPr>
                <w:color w:val="000000"/>
                <w:sz w:val="22"/>
                <w:szCs w:val="22"/>
              </w:rPr>
            </w:pPr>
            <w:r w:rsidRPr="000D7172">
              <w:rPr>
                <w:color w:val="000000"/>
                <w:sz w:val="22"/>
                <w:szCs w:val="22"/>
              </w:rPr>
              <w:t>1,210</w:t>
            </w:r>
          </w:p>
        </w:tc>
        <w:tc>
          <w:tcPr>
            <w:tcW w:w="2970" w:type="dxa"/>
            <w:tcBorders>
              <w:top w:val="nil"/>
              <w:left w:val="nil"/>
              <w:bottom w:val="single" w:sz="4" w:space="0" w:color="auto"/>
              <w:right w:val="single" w:sz="4" w:space="0" w:color="auto"/>
            </w:tcBorders>
            <w:shd w:val="clear" w:color="auto" w:fill="auto"/>
            <w:noWrap/>
            <w:vAlign w:val="bottom"/>
            <w:hideMark/>
          </w:tcPr>
          <w:p w14:paraId="2974F1EF" w14:textId="77777777" w:rsidR="00177DA1" w:rsidRPr="00904D56" w:rsidRDefault="00177DA1" w:rsidP="00177DA1">
            <w:pPr>
              <w:jc w:val="center"/>
              <w:rPr>
                <w:color w:val="000000"/>
                <w:sz w:val="22"/>
                <w:szCs w:val="22"/>
              </w:rPr>
            </w:pPr>
            <w:r w:rsidRPr="000D7172">
              <w:rPr>
                <w:color w:val="000000"/>
                <w:sz w:val="22"/>
                <w:szCs w:val="22"/>
              </w:rPr>
              <w:t xml:space="preserve">$14,980 </w:t>
            </w:r>
          </w:p>
        </w:tc>
        <w:tc>
          <w:tcPr>
            <w:tcW w:w="3235" w:type="dxa"/>
            <w:tcBorders>
              <w:top w:val="nil"/>
              <w:left w:val="nil"/>
              <w:bottom w:val="single" w:sz="4" w:space="0" w:color="auto"/>
              <w:right w:val="single" w:sz="4" w:space="0" w:color="auto"/>
            </w:tcBorders>
            <w:shd w:val="clear" w:color="auto" w:fill="auto"/>
            <w:noWrap/>
            <w:vAlign w:val="bottom"/>
            <w:hideMark/>
          </w:tcPr>
          <w:p w14:paraId="06721F64" w14:textId="77777777" w:rsidR="00177DA1" w:rsidRPr="00904D56" w:rsidRDefault="00177DA1" w:rsidP="00177DA1">
            <w:pPr>
              <w:jc w:val="center"/>
              <w:rPr>
                <w:color w:val="000000"/>
                <w:sz w:val="22"/>
                <w:szCs w:val="22"/>
              </w:rPr>
            </w:pPr>
            <w:r w:rsidRPr="000D7172">
              <w:rPr>
                <w:color w:val="000000"/>
                <w:sz w:val="22"/>
                <w:szCs w:val="22"/>
              </w:rPr>
              <w:t xml:space="preserve">$36,651 </w:t>
            </w:r>
          </w:p>
        </w:tc>
      </w:tr>
      <w:tr w:rsidR="00177DA1" w:rsidRPr="00A503F0" w14:paraId="38FB3204" w14:textId="77777777" w:rsidTr="00177DA1">
        <w:trPr>
          <w:trHeight w:val="35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0152BEC8" w14:textId="77777777" w:rsidR="00177DA1" w:rsidRPr="0048153F" w:rsidRDefault="00177DA1" w:rsidP="00177DA1">
            <w:pPr>
              <w:jc w:val="center"/>
              <w:rPr>
                <w:color w:val="000000"/>
                <w:sz w:val="22"/>
                <w:szCs w:val="22"/>
              </w:rPr>
            </w:pPr>
            <w:r w:rsidRPr="0048153F">
              <w:rPr>
                <w:color w:val="000000"/>
                <w:sz w:val="22"/>
                <w:szCs w:val="22"/>
              </w:rPr>
              <w:t>17”</w:t>
            </w:r>
          </w:p>
        </w:tc>
        <w:tc>
          <w:tcPr>
            <w:tcW w:w="1350" w:type="dxa"/>
            <w:tcBorders>
              <w:top w:val="nil"/>
              <w:left w:val="nil"/>
              <w:bottom w:val="single" w:sz="4" w:space="0" w:color="auto"/>
              <w:right w:val="single" w:sz="4" w:space="0" w:color="auto"/>
            </w:tcBorders>
            <w:shd w:val="clear" w:color="auto" w:fill="auto"/>
            <w:noWrap/>
            <w:vAlign w:val="center"/>
            <w:hideMark/>
          </w:tcPr>
          <w:p w14:paraId="5E6DA039" w14:textId="77777777" w:rsidR="00177DA1" w:rsidRPr="00904D56" w:rsidRDefault="00177DA1" w:rsidP="00177DA1">
            <w:pPr>
              <w:jc w:val="center"/>
              <w:rPr>
                <w:color w:val="000000"/>
                <w:sz w:val="22"/>
                <w:szCs w:val="22"/>
              </w:rPr>
            </w:pPr>
            <w:r w:rsidRPr="000D7172">
              <w:rPr>
                <w:color w:val="000000"/>
                <w:sz w:val="22"/>
                <w:szCs w:val="22"/>
              </w:rPr>
              <w:t>56,324</w:t>
            </w:r>
          </w:p>
        </w:tc>
        <w:tc>
          <w:tcPr>
            <w:tcW w:w="2970" w:type="dxa"/>
            <w:tcBorders>
              <w:top w:val="nil"/>
              <w:left w:val="nil"/>
              <w:bottom w:val="single" w:sz="4" w:space="0" w:color="auto"/>
              <w:right w:val="single" w:sz="4" w:space="0" w:color="auto"/>
            </w:tcBorders>
            <w:shd w:val="clear" w:color="auto" w:fill="auto"/>
            <w:noWrap/>
            <w:vAlign w:val="bottom"/>
            <w:hideMark/>
          </w:tcPr>
          <w:p w14:paraId="2EA892EF" w14:textId="77777777" w:rsidR="00177DA1" w:rsidRPr="00904D56" w:rsidRDefault="00177DA1" w:rsidP="00177DA1">
            <w:pPr>
              <w:jc w:val="center"/>
              <w:rPr>
                <w:color w:val="000000"/>
                <w:sz w:val="22"/>
                <w:szCs w:val="22"/>
              </w:rPr>
            </w:pPr>
            <w:r w:rsidRPr="000D7172">
              <w:rPr>
                <w:color w:val="000000"/>
                <w:sz w:val="22"/>
                <w:szCs w:val="22"/>
              </w:rPr>
              <w:t xml:space="preserve">$697,291 </w:t>
            </w:r>
          </w:p>
        </w:tc>
        <w:tc>
          <w:tcPr>
            <w:tcW w:w="3235" w:type="dxa"/>
            <w:tcBorders>
              <w:top w:val="nil"/>
              <w:left w:val="nil"/>
              <w:bottom w:val="single" w:sz="4" w:space="0" w:color="auto"/>
              <w:right w:val="single" w:sz="4" w:space="0" w:color="auto"/>
            </w:tcBorders>
            <w:shd w:val="clear" w:color="auto" w:fill="auto"/>
            <w:noWrap/>
            <w:vAlign w:val="bottom"/>
            <w:hideMark/>
          </w:tcPr>
          <w:p w14:paraId="1419B32B" w14:textId="77777777" w:rsidR="00177DA1" w:rsidRPr="00904D56" w:rsidRDefault="00177DA1" w:rsidP="00177DA1">
            <w:pPr>
              <w:jc w:val="center"/>
              <w:rPr>
                <w:color w:val="000000"/>
                <w:sz w:val="22"/>
                <w:szCs w:val="22"/>
              </w:rPr>
            </w:pPr>
            <w:r w:rsidRPr="000D7172">
              <w:rPr>
                <w:color w:val="000000"/>
                <w:sz w:val="22"/>
                <w:szCs w:val="22"/>
              </w:rPr>
              <w:t xml:space="preserve">$1,706,054 </w:t>
            </w:r>
          </w:p>
        </w:tc>
      </w:tr>
      <w:tr w:rsidR="00177DA1" w:rsidRPr="00A503F0" w14:paraId="3BD5A9A1" w14:textId="77777777" w:rsidTr="00177DA1">
        <w:trPr>
          <w:trHeight w:val="3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17BAA28A" w14:textId="77777777" w:rsidR="00177DA1" w:rsidRPr="0048153F" w:rsidRDefault="00177DA1" w:rsidP="00177DA1">
            <w:pPr>
              <w:jc w:val="center"/>
              <w:rPr>
                <w:b/>
                <w:color w:val="000000"/>
                <w:sz w:val="22"/>
                <w:szCs w:val="22"/>
              </w:rPr>
            </w:pPr>
            <w:r w:rsidRPr="0048153F">
              <w:rPr>
                <w:b/>
                <w:color w:val="000000"/>
                <w:sz w:val="22"/>
                <w:szCs w:val="22"/>
              </w:rPr>
              <w:t>18”</w:t>
            </w:r>
          </w:p>
        </w:tc>
        <w:tc>
          <w:tcPr>
            <w:tcW w:w="1350" w:type="dxa"/>
            <w:tcBorders>
              <w:top w:val="nil"/>
              <w:left w:val="nil"/>
              <w:bottom w:val="single" w:sz="4" w:space="0" w:color="auto"/>
              <w:right w:val="single" w:sz="4" w:space="0" w:color="auto"/>
            </w:tcBorders>
            <w:shd w:val="clear" w:color="auto" w:fill="auto"/>
            <w:noWrap/>
            <w:vAlign w:val="center"/>
            <w:hideMark/>
          </w:tcPr>
          <w:p w14:paraId="6DFA4EDD" w14:textId="77777777" w:rsidR="00177DA1" w:rsidRPr="00C47E87" w:rsidRDefault="00177DA1" w:rsidP="00177DA1">
            <w:pPr>
              <w:jc w:val="center"/>
              <w:rPr>
                <w:b/>
                <w:color w:val="000000"/>
                <w:sz w:val="22"/>
                <w:szCs w:val="22"/>
              </w:rPr>
            </w:pPr>
            <w:r w:rsidRPr="000D7172">
              <w:rPr>
                <w:b/>
                <w:color w:val="000000"/>
                <w:sz w:val="22"/>
                <w:szCs w:val="22"/>
              </w:rPr>
              <w:t>61,511</w:t>
            </w:r>
          </w:p>
        </w:tc>
        <w:tc>
          <w:tcPr>
            <w:tcW w:w="2970" w:type="dxa"/>
            <w:tcBorders>
              <w:top w:val="nil"/>
              <w:left w:val="nil"/>
              <w:bottom w:val="single" w:sz="4" w:space="0" w:color="auto"/>
              <w:right w:val="single" w:sz="4" w:space="0" w:color="auto"/>
            </w:tcBorders>
            <w:shd w:val="clear" w:color="auto" w:fill="auto"/>
            <w:noWrap/>
            <w:vAlign w:val="bottom"/>
            <w:hideMark/>
          </w:tcPr>
          <w:p w14:paraId="36B0601C" w14:textId="77777777" w:rsidR="00177DA1" w:rsidRPr="00C47E87" w:rsidRDefault="00177DA1" w:rsidP="00177DA1">
            <w:pPr>
              <w:jc w:val="center"/>
              <w:rPr>
                <w:b/>
                <w:color w:val="000000"/>
                <w:sz w:val="22"/>
                <w:szCs w:val="22"/>
              </w:rPr>
            </w:pPr>
            <w:r w:rsidRPr="000D7172">
              <w:rPr>
                <w:b/>
                <w:color w:val="000000"/>
                <w:sz w:val="22"/>
                <w:szCs w:val="22"/>
              </w:rPr>
              <w:t xml:space="preserve">$761,506 </w:t>
            </w:r>
          </w:p>
        </w:tc>
        <w:tc>
          <w:tcPr>
            <w:tcW w:w="3235" w:type="dxa"/>
            <w:tcBorders>
              <w:top w:val="nil"/>
              <w:left w:val="nil"/>
              <w:bottom w:val="single" w:sz="4" w:space="0" w:color="auto"/>
              <w:right w:val="single" w:sz="4" w:space="0" w:color="auto"/>
            </w:tcBorders>
            <w:shd w:val="clear" w:color="auto" w:fill="auto"/>
            <w:noWrap/>
            <w:vAlign w:val="bottom"/>
            <w:hideMark/>
          </w:tcPr>
          <w:p w14:paraId="2763D456" w14:textId="77777777" w:rsidR="00177DA1" w:rsidRPr="00C47E87" w:rsidRDefault="00177DA1" w:rsidP="00177DA1">
            <w:pPr>
              <w:jc w:val="center"/>
              <w:rPr>
                <w:b/>
                <w:color w:val="000000"/>
                <w:sz w:val="22"/>
                <w:szCs w:val="22"/>
              </w:rPr>
            </w:pPr>
            <w:r w:rsidRPr="000D7172">
              <w:rPr>
                <w:b/>
                <w:color w:val="000000"/>
                <w:sz w:val="22"/>
                <w:szCs w:val="22"/>
              </w:rPr>
              <w:t xml:space="preserve">$1,863,168 </w:t>
            </w:r>
          </w:p>
        </w:tc>
      </w:tr>
      <w:tr w:rsidR="00177DA1" w:rsidRPr="00A503F0" w14:paraId="484953BB" w14:textId="77777777" w:rsidTr="00177DA1">
        <w:trPr>
          <w:trHeight w:val="3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0ED95CC8" w14:textId="77777777" w:rsidR="00177DA1" w:rsidRPr="0048153F" w:rsidRDefault="00177DA1" w:rsidP="00177DA1">
            <w:pPr>
              <w:jc w:val="center"/>
              <w:rPr>
                <w:color w:val="000000"/>
                <w:sz w:val="22"/>
                <w:szCs w:val="22"/>
              </w:rPr>
            </w:pPr>
            <w:r w:rsidRPr="0048153F">
              <w:rPr>
                <w:color w:val="000000"/>
                <w:sz w:val="22"/>
                <w:szCs w:val="22"/>
              </w:rPr>
              <w:t>19”</w:t>
            </w:r>
          </w:p>
        </w:tc>
        <w:tc>
          <w:tcPr>
            <w:tcW w:w="1350" w:type="dxa"/>
            <w:tcBorders>
              <w:top w:val="nil"/>
              <w:left w:val="nil"/>
              <w:bottom w:val="single" w:sz="4" w:space="0" w:color="auto"/>
              <w:right w:val="single" w:sz="4" w:space="0" w:color="auto"/>
            </w:tcBorders>
            <w:shd w:val="clear" w:color="auto" w:fill="auto"/>
            <w:noWrap/>
            <w:vAlign w:val="center"/>
            <w:hideMark/>
          </w:tcPr>
          <w:p w14:paraId="43C92F96" w14:textId="77777777" w:rsidR="00177DA1" w:rsidRPr="00904D56" w:rsidRDefault="00177DA1" w:rsidP="00177DA1">
            <w:pPr>
              <w:jc w:val="center"/>
              <w:rPr>
                <w:color w:val="000000"/>
                <w:sz w:val="22"/>
                <w:szCs w:val="22"/>
              </w:rPr>
            </w:pPr>
            <w:r w:rsidRPr="000D7172">
              <w:rPr>
                <w:color w:val="000000"/>
                <w:sz w:val="22"/>
                <w:szCs w:val="22"/>
              </w:rPr>
              <w:t>65,178</w:t>
            </w:r>
          </w:p>
        </w:tc>
        <w:tc>
          <w:tcPr>
            <w:tcW w:w="2970" w:type="dxa"/>
            <w:tcBorders>
              <w:top w:val="nil"/>
              <w:left w:val="nil"/>
              <w:bottom w:val="single" w:sz="4" w:space="0" w:color="auto"/>
              <w:right w:val="single" w:sz="4" w:space="0" w:color="auto"/>
            </w:tcBorders>
            <w:shd w:val="clear" w:color="auto" w:fill="auto"/>
            <w:noWrap/>
            <w:vAlign w:val="bottom"/>
            <w:hideMark/>
          </w:tcPr>
          <w:p w14:paraId="1833598C" w14:textId="77777777" w:rsidR="00177DA1" w:rsidRPr="00904D56" w:rsidRDefault="00177DA1" w:rsidP="00177DA1">
            <w:pPr>
              <w:jc w:val="center"/>
              <w:rPr>
                <w:color w:val="000000"/>
                <w:sz w:val="22"/>
                <w:szCs w:val="22"/>
              </w:rPr>
            </w:pPr>
            <w:r w:rsidRPr="000D7172">
              <w:rPr>
                <w:color w:val="000000"/>
                <w:sz w:val="22"/>
                <w:szCs w:val="22"/>
              </w:rPr>
              <w:t xml:space="preserve">$806,904 </w:t>
            </w:r>
          </w:p>
        </w:tc>
        <w:tc>
          <w:tcPr>
            <w:tcW w:w="3235" w:type="dxa"/>
            <w:tcBorders>
              <w:top w:val="nil"/>
              <w:left w:val="nil"/>
              <w:bottom w:val="single" w:sz="4" w:space="0" w:color="auto"/>
              <w:right w:val="single" w:sz="4" w:space="0" w:color="auto"/>
            </w:tcBorders>
            <w:shd w:val="clear" w:color="auto" w:fill="auto"/>
            <w:noWrap/>
            <w:vAlign w:val="bottom"/>
            <w:hideMark/>
          </w:tcPr>
          <w:p w14:paraId="04FF115A" w14:textId="77777777" w:rsidR="00177DA1" w:rsidRPr="00904D56" w:rsidRDefault="00177DA1" w:rsidP="00177DA1">
            <w:pPr>
              <w:jc w:val="center"/>
              <w:rPr>
                <w:color w:val="000000"/>
                <w:sz w:val="22"/>
                <w:szCs w:val="22"/>
              </w:rPr>
            </w:pPr>
            <w:r w:rsidRPr="000D7172">
              <w:rPr>
                <w:color w:val="000000"/>
                <w:sz w:val="22"/>
                <w:szCs w:val="22"/>
              </w:rPr>
              <w:t xml:space="preserve">$1,974,242 </w:t>
            </w:r>
          </w:p>
        </w:tc>
      </w:tr>
      <w:tr w:rsidR="00177DA1" w:rsidRPr="00A503F0" w14:paraId="07469888" w14:textId="77777777" w:rsidTr="00177DA1">
        <w:trPr>
          <w:trHeight w:val="3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401E02F4" w14:textId="77777777" w:rsidR="00177DA1" w:rsidRPr="0048153F" w:rsidRDefault="00177DA1" w:rsidP="00177DA1">
            <w:pPr>
              <w:jc w:val="center"/>
              <w:rPr>
                <w:color w:val="000000"/>
                <w:sz w:val="22"/>
                <w:szCs w:val="22"/>
              </w:rPr>
            </w:pPr>
            <w:r w:rsidRPr="0048153F">
              <w:rPr>
                <w:color w:val="000000"/>
                <w:sz w:val="22"/>
                <w:szCs w:val="22"/>
              </w:rPr>
              <w:t>20”</w:t>
            </w:r>
          </w:p>
        </w:tc>
        <w:tc>
          <w:tcPr>
            <w:tcW w:w="1350" w:type="dxa"/>
            <w:tcBorders>
              <w:top w:val="nil"/>
              <w:left w:val="nil"/>
              <w:bottom w:val="single" w:sz="4" w:space="0" w:color="auto"/>
              <w:right w:val="single" w:sz="4" w:space="0" w:color="auto"/>
            </w:tcBorders>
            <w:shd w:val="clear" w:color="auto" w:fill="auto"/>
            <w:noWrap/>
            <w:vAlign w:val="center"/>
            <w:hideMark/>
          </w:tcPr>
          <w:p w14:paraId="5A641232" w14:textId="77777777" w:rsidR="00177DA1" w:rsidRPr="00904D56" w:rsidRDefault="00177DA1" w:rsidP="00177DA1">
            <w:pPr>
              <w:jc w:val="center"/>
              <w:rPr>
                <w:color w:val="000000"/>
                <w:sz w:val="22"/>
                <w:szCs w:val="22"/>
              </w:rPr>
            </w:pPr>
            <w:r w:rsidRPr="000D7172">
              <w:rPr>
                <w:color w:val="000000"/>
                <w:sz w:val="22"/>
                <w:szCs w:val="22"/>
              </w:rPr>
              <w:t>68,294</w:t>
            </w:r>
          </w:p>
        </w:tc>
        <w:tc>
          <w:tcPr>
            <w:tcW w:w="2970" w:type="dxa"/>
            <w:tcBorders>
              <w:top w:val="nil"/>
              <w:left w:val="nil"/>
              <w:bottom w:val="single" w:sz="4" w:space="0" w:color="auto"/>
              <w:right w:val="single" w:sz="4" w:space="0" w:color="auto"/>
            </w:tcBorders>
            <w:shd w:val="clear" w:color="auto" w:fill="auto"/>
            <w:noWrap/>
            <w:vAlign w:val="bottom"/>
            <w:hideMark/>
          </w:tcPr>
          <w:p w14:paraId="4C1AF3E9" w14:textId="77777777" w:rsidR="00177DA1" w:rsidRPr="006067FD" w:rsidRDefault="00177DA1" w:rsidP="00177DA1">
            <w:pPr>
              <w:jc w:val="center"/>
              <w:rPr>
                <w:color w:val="000000"/>
                <w:sz w:val="22"/>
                <w:szCs w:val="22"/>
              </w:rPr>
            </w:pPr>
            <w:r w:rsidRPr="000D7172">
              <w:rPr>
                <w:color w:val="000000"/>
                <w:sz w:val="22"/>
                <w:szCs w:val="22"/>
              </w:rPr>
              <w:t xml:space="preserve">$845,480 </w:t>
            </w:r>
          </w:p>
        </w:tc>
        <w:tc>
          <w:tcPr>
            <w:tcW w:w="3235" w:type="dxa"/>
            <w:tcBorders>
              <w:top w:val="nil"/>
              <w:left w:val="nil"/>
              <w:bottom w:val="single" w:sz="4" w:space="0" w:color="auto"/>
              <w:right w:val="single" w:sz="4" w:space="0" w:color="auto"/>
            </w:tcBorders>
            <w:shd w:val="clear" w:color="auto" w:fill="auto"/>
            <w:noWrap/>
            <w:vAlign w:val="bottom"/>
            <w:hideMark/>
          </w:tcPr>
          <w:p w14:paraId="410C1320" w14:textId="77777777" w:rsidR="00177DA1" w:rsidRPr="00904D56" w:rsidRDefault="00177DA1" w:rsidP="00177DA1">
            <w:pPr>
              <w:jc w:val="center"/>
              <w:rPr>
                <w:color w:val="000000"/>
                <w:sz w:val="22"/>
                <w:szCs w:val="22"/>
              </w:rPr>
            </w:pPr>
            <w:r w:rsidRPr="000D7172">
              <w:rPr>
                <w:color w:val="000000"/>
                <w:sz w:val="22"/>
                <w:szCs w:val="22"/>
              </w:rPr>
              <w:t xml:space="preserve">$2,068,625 </w:t>
            </w:r>
          </w:p>
        </w:tc>
      </w:tr>
      <w:tr w:rsidR="00177DA1" w:rsidRPr="00A503F0" w14:paraId="1BFE49B5" w14:textId="77777777" w:rsidTr="00177DA1">
        <w:trPr>
          <w:trHeight w:val="320"/>
        </w:trPr>
        <w:tc>
          <w:tcPr>
            <w:tcW w:w="9265"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A564E15" w14:textId="26F60433" w:rsidR="00177DA1" w:rsidRPr="0048153F" w:rsidRDefault="001F74AF" w:rsidP="00177DA1">
            <w:pPr>
              <w:jc w:val="center"/>
              <w:rPr>
                <w:b/>
                <w:bCs/>
                <w:color w:val="000000"/>
                <w:sz w:val="22"/>
                <w:szCs w:val="22"/>
              </w:rPr>
            </w:pPr>
            <w:r>
              <w:rPr>
                <w:b/>
                <w:bCs/>
                <w:color w:val="000000"/>
                <w:sz w:val="22"/>
                <w:szCs w:val="22"/>
              </w:rPr>
              <w:t xml:space="preserve">Sub-alt 4c: </w:t>
            </w:r>
            <w:r w:rsidR="00177DA1" w:rsidRPr="0048153F">
              <w:rPr>
                <w:b/>
                <w:bCs/>
                <w:color w:val="000000"/>
                <w:sz w:val="22"/>
                <w:szCs w:val="22"/>
              </w:rPr>
              <w:t>5 fish/person/day</w:t>
            </w:r>
          </w:p>
        </w:tc>
      </w:tr>
      <w:tr w:rsidR="00177DA1" w:rsidRPr="00A503F0" w14:paraId="376E2CCA" w14:textId="77777777" w:rsidTr="00177DA1">
        <w:trPr>
          <w:trHeight w:val="32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055E6293" w14:textId="77777777" w:rsidR="00177DA1" w:rsidRPr="0048153F" w:rsidRDefault="00177DA1" w:rsidP="00177DA1">
            <w:pPr>
              <w:jc w:val="center"/>
              <w:rPr>
                <w:color w:val="000000"/>
                <w:sz w:val="22"/>
                <w:szCs w:val="22"/>
              </w:rPr>
            </w:pPr>
            <w:r w:rsidRPr="0048153F">
              <w:rPr>
                <w:color w:val="000000"/>
                <w:sz w:val="22"/>
                <w:szCs w:val="22"/>
              </w:rPr>
              <w:t>16”</w:t>
            </w:r>
          </w:p>
        </w:tc>
        <w:tc>
          <w:tcPr>
            <w:tcW w:w="1350" w:type="dxa"/>
            <w:tcBorders>
              <w:top w:val="nil"/>
              <w:left w:val="nil"/>
              <w:bottom w:val="single" w:sz="4" w:space="0" w:color="auto"/>
              <w:right w:val="single" w:sz="4" w:space="0" w:color="auto"/>
            </w:tcBorders>
            <w:shd w:val="clear" w:color="auto" w:fill="auto"/>
            <w:noWrap/>
            <w:vAlign w:val="center"/>
            <w:hideMark/>
          </w:tcPr>
          <w:p w14:paraId="10F84F43" w14:textId="77777777" w:rsidR="00177DA1" w:rsidRPr="00904D56" w:rsidRDefault="00177DA1" w:rsidP="00177DA1">
            <w:pPr>
              <w:jc w:val="center"/>
              <w:rPr>
                <w:color w:val="000000"/>
                <w:sz w:val="22"/>
                <w:szCs w:val="22"/>
              </w:rPr>
            </w:pPr>
            <w:r w:rsidRPr="000D7172">
              <w:rPr>
                <w:color w:val="000000"/>
                <w:sz w:val="22"/>
                <w:szCs w:val="22"/>
              </w:rPr>
              <w:t>254</w:t>
            </w:r>
          </w:p>
        </w:tc>
        <w:tc>
          <w:tcPr>
            <w:tcW w:w="2970" w:type="dxa"/>
            <w:tcBorders>
              <w:top w:val="nil"/>
              <w:left w:val="nil"/>
              <w:bottom w:val="single" w:sz="4" w:space="0" w:color="auto"/>
              <w:right w:val="single" w:sz="4" w:space="0" w:color="auto"/>
            </w:tcBorders>
            <w:shd w:val="clear" w:color="auto" w:fill="auto"/>
            <w:noWrap/>
            <w:vAlign w:val="bottom"/>
            <w:hideMark/>
          </w:tcPr>
          <w:p w14:paraId="2105771D" w14:textId="77777777" w:rsidR="00177DA1" w:rsidRPr="00904D56" w:rsidRDefault="00177DA1" w:rsidP="00177DA1">
            <w:pPr>
              <w:jc w:val="center"/>
              <w:rPr>
                <w:color w:val="000000"/>
                <w:sz w:val="22"/>
                <w:szCs w:val="22"/>
              </w:rPr>
            </w:pPr>
            <w:r w:rsidRPr="000D7172">
              <w:rPr>
                <w:color w:val="000000"/>
                <w:sz w:val="22"/>
                <w:szCs w:val="22"/>
              </w:rPr>
              <w:t xml:space="preserve">$3,145 </w:t>
            </w:r>
          </w:p>
        </w:tc>
        <w:tc>
          <w:tcPr>
            <w:tcW w:w="3235" w:type="dxa"/>
            <w:tcBorders>
              <w:top w:val="nil"/>
              <w:left w:val="nil"/>
              <w:bottom w:val="single" w:sz="4" w:space="0" w:color="auto"/>
              <w:right w:val="single" w:sz="4" w:space="0" w:color="auto"/>
            </w:tcBorders>
            <w:shd w:val="clear" w:color="auto" w:fill="auto"/>
            <w:noWrap/>
            <w:vAlign w:val="bottom"/>
            <w:hideMark/>
          </w:tcPr>
          <w:p w14:paraId="69B748BB" w14:textId="77777777" w:rsidR="00177DA1" w:rsidRPr="00904D56" w:rsidRDefault="00177DA1" w:rsidP="00177DA1">
            <w:pPr>
              <w:jc w:val="center"/>
              <w:rPr>
                <w:color w:val="000000"/>
                <w:sz w:val="22"/>
                <w:szCs w:val="22"/>
              </w:rPr>
            </w:pPr>
            <w:r w:rsidRPr="000D7172">
              <w:rPr>
                <w:color w:val="000000"/>
                <w:sz w:val="22"/>
                <w:szCs w:val="22"/>
              </w:rPr>
              <w:t xml:space="preserve">$7,694 </w:t>
            </w:r>
          </w:p>
        </w:tc>
      </w:tr>
      <w:tr w:rsidR="00177DA1" w:rsidRPr="00A503F0" w14:paraId="3FD7AB2B" w14:textId="77777777" w:rsidTr="00177DA1">
        <w:trPr>
          <w:trHeight w:val="32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18B908B8" w14:textId="77777777" w:rsidR="00177DA1" w:rsidRPr="0048153F" w:rsidRDefault="00177DA1" w:rsidP="00177DA1">
            <w:pPr>
              <w:jc w:val="center"/>
              <w:rPr>
                <w:color w:val="000000"/>
                <w:sz w:val="22"/>
                <w:szCs w:val="22"/>
              </w:rPr>
            </w:pPr>
            <w:r w:rsidRPr="0048153F">
              <w:rPr>
                <w:color w:val="000000"/>
                <w:sz w:val="22"/>
                <w:szCs w:val="22"/>
              </w:rPr>
              <w:t>17”</w:t>
            </w:r>
          </w:p>
        </w:tc>
        <w:tc>
          <w:tcPr>
            <w:tcW w:w="1350" w:type="dxa"/>
            <w:tcBorders>
              <w:top w:val="nil"/>
              <w:left w:val="nil"/>
              <w:bottom w:val="single" w:sz="4" w:space="0" w:color="auto"/>
              <w:right w:val="single" w:sz="4" w:space="0" w:color="auto"/>
            </w:tcBorders>
            <w:shd w:val="clear" w:color="auto" w:fill="auto"/>
            <w:noWrap/>
            <w:vAlign w:val="center"/>
            <w:hideMark/>
          </w:tcPr>
          <w:p w14:paraId="0D902B53" w14:textId="77777777" w:rsidR="00177DA1" w:rsidRPr="00904D56" w:rsidRDefault="00177DA1" w:rsidP="00177DA1">
            <w:pPr>
              <w:jc w:val="center"/>
              <w:rPr>
                <w:color w:val="000000"/>
                <w:sz w:val="22"/>
                <w:szCs w:val="22"/>
              </w:rPr>
            </w:pPr>
            <w:r w:rsidRPr="000D7172">
              <w:rPr>
                <w:color w:val="000000"/>
                <w:sz w:val="22"/>
                <w:szCs w:val="22"/>
              </w:rPr>
              <w:t>55,929</w:t>
            </w:r>
          </w:p>
        </w:tc>
        <w:tc>
          <w:tcPr>
            <w:tcW w:w="2970" w:type="dxa"/>
            <w:tcBorders>
              <w:top w:val="nil"/>
              <w:left w:val="nil"/>
              <w:bottom w:val="single" w:sz="4" w:space="0" w:color="auto"/>
              <w:right w:val="single" w:sz="4" w:space="0" w:color="auto"/>
            </w:tcBorders>
            <w:shd w:val="clear" w:color="auto" w:fill="auto"/>
            <w:noWrap/>
            <w:vAlign w:val="bottom"/>
            <w:hideMark/>
          </w:tcPr>
          <w:p w14:paraId="6EDAD6A2" w14:textId="77777777" w:rsidR="00177DA1" w:rsidRPr="00904D56" w:rsidRDefault="00177DA1" w:rsidP="00177DA1">
            <w:pPr>
              <w:jc w:val="center"/>
              <w:rPr>
                <w:color w:val="000000"/>
                <w:sz w:val="22"/>
                <w:szCs w:val="22"/>
              </w:rPr>
            </w:pPr>
            <w:r w:rsidRPr="000D7172">
              <w:rPr>
                <w:color w:val="000000"/>
                <w:sz w:val="22"/>
                <w:szCs w:val="22"/>
              </w:rPr>
              <w:t xml:space="preserve">$692,401 </w:t>
            </w:r>
          </w:p>
        </w:tc>
        <w:tc>
          <w:tcPr>
            <w:tcW w:w="3235" w:type="dxa"/>
            <w:tcBorders>
              <w:top w:val="nil"/>
              <w:left w:val="nil"/>
              <w:bottom w:val="single" w:sz="4" w:space="0" w:color="auto"/>
              <w:right w:val="single" w:sz="4" w:space="0" w:color="auto"/>
            </w:tcBorders>
            <w:shd w:val="clear" w:color="auto" w:fill="auto"/>
            <w:noWrap/>
            <w:vAlign w:val="bottom"/>
            <w:hideMark/>
          </w:tcPr>
          <w:p w14:paraId="5C68E9A1" w14:textId="77777777" w:rsidR="00177DA1" w:rsidRPr="00904D56" w:rsidRDefault="00177DA1" w:rsidP="00177DA1">
            <w:pPr>
              <w:jc w:val="center"/>
              <w:rPr>
                <w:color w:val="000000"/>
                <w:sz w:val="22"/>
                <w:szCs w:val="22"/>
              </w:rPr>
            </w:pPr>
            <w:r w:rsidRPr="000D7172">
              <w:rPr>
                <w:color w:val="000000"/>
                <w:sz w:val="22"/>
                <w:szCs w:val="22"/>
              </w:rPr>
              <w:t xml:space="preserve">$1,694,089 </w:t>
            </w:r>
          </w:p>
        </w:tc>
      </w:tr>
      <w:tr w:rsidR="00177DA1" w:rsidRPr="00A503F0" w14:paraId="1F3170FD" w14:textId="77777777" w:rsidTr="00177DA1">
        <w:trPr>
          <w:trHeight w:val="32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4FCE56C1" w14:textId="77777777" w:rsidR="00177DA1" w:rsidRPr="0048153F" w:rsidRDefault="00177DA1" w:rsidP="00177DA1">
            <w:pPr>
              <w:jc w:val="center"/>
              <w:rPr>
                <w:color w:val="000000"/>
                <w:sz w:val="22"/>
                <w:szCs w:val="22"/>
              </w:rPr>
            </w:pPr>
            <w:r w:rsidRPr="0048153F">
              <w:rPr>
                <w:color w:val="000000"/>
                <w:sz w:val="22"/>
                <w:szCs w:val="22"/>
              </w:rPr>
              <w:t>18”</w:t>
            </w:r>
          </w:p>
        </w:tc>
        <w:tc>
          <w:tcPr>
            <w:tcW w:w="1350" w:type="dxa"/>
            <w:tcBorders>
              <w:top w:val="nil"/>
              <w:left w:val="nil"/>
              <w:bottom w:val="single" w:sz="4" w:space="0" w:color="auto"/>
              <w:right w:val="single" w:sz="4" w:space="0" w:color="auto"/>
            </w:tcBorders>
            <w:shd w:val="clear" w:color="auto" w:fill="auto"/>
            <w:noWrap/>
            <w:vAlign w:val="center"/>
            <w:hideMark/>
          </w:tcPr>
          <w:p w14:paraId="39E3048D" w14:textId="77777777" w:rsidR="00177DA1" w:rsidRPr="00904D56" w:rsidRDefault="00177DA1" w:rsidP="00177DA1">
            <w:pPr>
              <w:jc w:val="center"/>
              <w:rPr>
                <w:color w:val="000000"/>
                <w:sz w:val="22"/>
                <w:szCs w:val="22"/>
              </w:rPr>
            </w:pPr>
            <w:r w:rsidRPr="000D7172">
              <w:rPr>
                <w:color w:val="000000"/>
                <w:sz w:val="22"/>
                <w:szCs w:val="22"/>
              </w:rPr>
              <w:t>61,456</w:t>
            </w:r>
          </w:p>
        </w:tc>
        <w:tc>
          <w:tcPr>
            <w:tcW w:w="2970" w:type="dxa"/>
            <w:tcBorders>
              <w:top w:val="nil"/>
              <w:left w:val="nil"/>
              <w:bottom w:val="single" w:sz="4" w:space="0" w:color="auto"/>
              <w:right w:val="single" w:sz="4" w:space="0" w:color="auto"/>
            </w:tcBorders>
            <w:shd w:val="clear" w:color="auto" w:fill="auto"/>
            <w:noWrap/>
            <w:vAlign w:val="bottom"/>
            <w:hideMark/>
          </w:tcPr>
          <w:p w14:paraId="55327847" w14:textId="77777777" w:rsidR="00177DA1" w:rsidRPr="00904D56" w:rsidRDefault="00177DA1" w:rsidP="00177DA1">
            <w:pPr>
              <w:jc w:val="center"/>
              <w:rPr>
                <w:color w:val="000000"/>
                <w:sz w:val="22"/>
                <w:szCs w:val="22"/>
              </w:rPr>
            </w:pPr>
            <w:r w:rsidRPr="000D7172">
              <w:rPr>
                <w:color w:val="000000"/>
                <w:sz w:val="22"/>
                <w:szCs w:val="22"/>
              </w:rPr>
              <w:t xml:space="preserve">$760,825 </w:t>
            </w:r>
          </w:p>
        </w:tc>
        <w:tc>
          <w:tcPr>
            <w:tcW w:w="3235" w:type="dxa"/>
            <w:tcBorders>
              <w:top w:val="nil"/>
              <w:left w:val="nil"/>
              <w:bottom w:val="single" w:sz="4" w:space="0" w:color="auto"/>
              <w:right w:val="single" w:sz="4" w:space="0" w:color="auto"/>
            </w:tcBorders>
            <w:shd w:val="clear" w:color="auto" w:fill="auto"/>
            <w:noWrap/>
            <w:vAlign w:val="bottom"/>
            <w:hideMark/>
          </w:tcPr>
          <w:p w14:paraId="0C3D1A95" w14:textId="77777777" w:rsidR="00177DA1" w:rsidRPr="00904D56" w:rsidRDefault="00177DA1" w:rsidP="00177DA1">
            <w:pPr>
              <w:jc w:val="center"/>
              <w:rPr>
                <w:color w:val="000000"/>
                <w:sz w:val="22"/>
                <w:szCs w:val="22"/>
              </w:rPr>
            </w:pPr>
            <w:r w:rsidRPr="000D7172">
              <w:rPr>
                <w:color w:val="000000"/>
                <w:sz w:val="22"/>
                <w:szCs w:val="22"/>
              </w:rPr>
              <w:t xml:space="preserve">$1,861,502 </w:t>
            </w:r>
          </w:p>
        </w:tc>
      </w:tr>
      <w:tr w:rsidR="00177DA1" w:rsidRPr="00A503F0" w14:paraId="0FE14F43" w14:textId="77777777" w:rsidTr="00177DA1">
        <w:trPr>
          <w:trHeight w:val="32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46C86FDA" w14:textId="77777777" w:rsidR="00177DA1" w:rsidRPr="0048153F" w:rsidRDefault="00177DA1" w:rsidP="00177DA1">
            <w:pPr>
              <w:jc w:val="center"/>
              <w:rPr>
                <w:color w:val="000000"/>
                <w:sz w:val="22"/>
                <w:szCs w:val="22"/>
              </w:rPr>
            </w:pPr>
            <w:r w:rsidRPr="0048153F">
              <w:rPr>
                <w:color w:val="000000"/>
                <w:sz w:val="22"/>
                <w:szCs w:val="22"/>
              </w:rPr>
              <w:t>19”</w:t>
            </w:r>
          </w:p>
        </w:tc>
        <w:tc>
          <w:tcPr>
            <w:tcW w:w="1350" w:type="dxa"/>
            <w:tcBorders>
              <w:top w:val="nil"/>
              <w:left w:val="nil"/>
              <w:bottom w:val="single" w:sz="4" w:space="0" w:color="auto"/>
              <w:right w:val="single" w:sz="4" w:space="0" w:color="auto"/>
            </w:tcBorders>
            <w:shd w:val="clear" w:color="auto" w:fill="auto"/>
            <w:noWrap/>
            <w:vAlign w:val="center"/>
            <w:hideMark/>
          </w:tcPr>
          <w:p w14:paraId="1277E526" w14:textId="77777777" w:rsidR="00177DA1" w:rsidRPr="00904D56" w:rsidRDefault="00177DA1" w:rsidP="00177DA1">
            <w:pPr>
              <w:jc w:val="center"/>
              <w:rPr>
                <w:color w:val="000000"/>
                <w:sz w:val="22"/>
                <w:szCs w:val="22"/>
              </w:rPr>
            </w:pPr>
            <w:r w:rsidRPr="000D7172">
              <w:rPr>
                <w:color w:val="000000"/>
                <w:sz w:val="22"/>
                <w:szCs w:val="22"/>
              </w:rPr>
              <w:t>65,145</w:t>
            </w:r>
          </w:p>
        </w:tc>
        <w:tc>
          <w:tcPr>
            <w:tcW w:w="2970" w:type="dxa"/>
            <w:tcBorders>
              <w:top w:val="nil"/>
              <w:left w:val="nil"/>
              <w:bottom w:val="single" w:sz="4" w:space="0" w:color="auto"/>
              <w:right w:val="single" w:sz="4" w:space="0" w:color="auto"/>
            </w:tcBorders>
            <w:shd w:val="clear" w:color="auto" w:fill="auto"/>
            <w:noWrap/>
            <w:vAlign w:val="bottom"/>
            <w:hideMark/>
          </w:tcPr>
          <w:p w14:paraId="1C9EAC50" w14:textId="77777777" w:rsidR="00177DA1" w:rsidRPr="00904D56" w:rsidRDefault="00177DA1" w:rsidP="00177DA1">
            <w:pPr>
              <w:jc w:val="center"/>
              <w:rPr>
                <w:color w:val="000000"/>
                <w:sz w:val="22"/>
                <w:szCs w:val="22"/>
              </w:rPr>
            </w:pPr>
            <w:r w:rsidRPr="000D7172">
              <w:rPr>
                <w:color w:val="000000"/>
                <w:sz w:val="22"/>
                <w:szCs w:val="22"/>
              </w:rPr>
              <w:t xml:space="preserve">$806,495 </w:t>
            </w:r>
          </w:p>
        </w:tc>
        <w:tc>
          <w:tcPr>
            <w:tcW w:w="3235" w:type="dxa"/>
            <w:tcBorders>
              <w:top w:val="nil"/>
              <w:left w:val="nil"/>
              <w:bottom w:val="single" w:sz="4" w:space="0" w:color="auto"/>
              <w:right w:val="single" w:sz="4" w:space="0" w:color="auto"/>
            </w:tcBorders>
            <w:shd w:val="clear" w:color="auto" w:fill="auto"/>
            <w:noWrap/>
            <w:vAlign w:val="bottom"/>
            <w:hideMark/>
          </w:tcPr>
          <w:p w14:paraId="0E4533CF" w14:textId="77777777" w:rsidR="00177DA1" w:rsidRPr="00904D56" w:rsidRDefault="00177DA1" w:rsidP="00177DA1">
            <w:pPr>
              <w:jc w:val="center"/>
              <w:rPr>
                <w:color w:val="000000"/>
                <w:sz w:val="22"/>
                <w:szCs w:val="22"/>
              </w:rPr>
            </w:pPr>
            <w:r w:rsidRPr="000D7172">
              <w:rPr>
                <w:color w:val="000000"/>
                <w:sz w:val="22"/>
                <w:szCs w:val="22"/>
              </w:rPr>
              <w:t xml:space="preserve">$1,973,242 </w:t>
            </w:r>
          </w:p>
        </w:tc>
      </w:tr>
      <w:tr w:rsidR="00177DA1" w:rsidRPr="00A503F0" w14:paraId="035350B5" w14:textId="77777777" w:rsidTr="00177DA1">
        <w:trPr>
          <w:trHeight w:val="3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1AA869E" w14:textId="77777777" w:rsidR="00177DA1" w:rsidRPr="0048153F" w:rsidRDefault="00177DA1" w:rsidP="00177DA1">
            <w:pPr>
              <w:jc w:val="center"/>
              <w:rPr>
                <w:color w:val="000000"/>
                <w:sz w:val="22"/>
                <w:szCs w:val="22"/>
              </w:rPr>
            </w:pPr>
            <w:r w:rsidRPr="0048153F">
              <w:rPr>
                <w:color w:val="000000"/>
                <w:sz w:val="22"/>
                <w:szCs w:val="22"/>
              </w:rPr>
              <w:t>20”</w:t>
            </w:r>
          </w:p>
        </w:tc>
        <w:tc>
          <w:tcPr>
            <w:tcW w:w="1350" w:type="dxa"/>
            <w:tcBorders>
              <w:top w:val="nil"/>
              <w:left w:val="nil"/>
              <w:bottom w:val="single" w:sz="4" w:space="0" w:color="auto"/>
              <w:right w:val="single" w:sz="4" w:space="0" w:color="auto"/>
            </w:tcBorders>
            <w:shd w:val="clear" w:color="auto" w:fill="auto"/>
            <w:noWrap/>
            <w:vAlign w:val="center"/>
            <w:hideMark/>
          </w:tcPr>
          <w:p w14:paraId="15FB4DF7" w14:textId="77777777" w:rsidR="00177DA1" w:rsidRPr="00904D56" w:rsidRDefault="00177DA1" w:rsidP="00177DA1">
            <w:pPr>
              <w:jc w:val="center"/>
              <w:rPr>
                <w:color w:val="000000"/>
                <w:sz w:val="22"/>
                <w:szCs w:val="22"/>
              </w:rPr>
            </w:pPr>
            <w:r w:rsidRPr="000D7172">
              <w:rPr>
                <w:color w:val="000000"/>
                <w:sz w:val="22"/>
                <w:szCs w:val="22"/>
              </w:rPr>
              <w:t>68,034</w:t>
            </w:r>
          </w:p>
        </w:tc>
        <w:tc>
          <w:tcPr>
            <w:tcW w:w="2970" w:type="dxa"/>
            <w:tcBorders>
              <w:top w:val="nil"/>
              <w:left w:val="nil"/>
              <w:bottom w:val="single" w:sz="4" w:space="0" w:color="auto"/>
              <w:right w:val="single" w:sz="4" w:space="0" w:color="auto"/>
            </w:tcBorders>
            <w:shd w:val="clear" w:color="auto" w:fill="auto"/>
            <w:noWrap/>
            <w:vAlign w:val="bottom"/>
            <w:hideMark/>
          </w:tcPr>
          <w:p w14:paraId="64EACC27" w14:textId="77777777" w:rsidR="00177DA1" w:rsidRPr="00904D56" w:rsidRDefault="00177DA1" w:rsidP="00177DA1">
            <w:pPr>
              <w:jc w:val="center"/>
              <w:rPr>
                <w:color w:val="000000"/>
                <w:sz w:val="22"/>
                <w:szCs w:val="22"/>
              </w:rPr>
            </w:pPr>
            <w:r w:rsidRPr="000D7172">
              <w:rPr>
                <w:color w:val="000000"/>
                <w:sz w:val="22"/>
                <w:szCs w:val="22"/>
              </w:rPr>
              <w:t xml:space="preserve">$842,261 </w:t>
            </w:r>
          </w:p>
        </w:tc>
        <w:tc>
          <w:tcPr>
            <w:tcW w:w="3235" w:type="dxa"/>
            <w:tcBorders>
              <w:top w:val="nil"/>
              <w:left w:val="nil"/>
              <w:bottom w:val="single" w:sz="4" w:space="0" w:color="auto"/>
              <w:right w:val="single" w:sz="4" w:space="0" w:color="auto"/>
            </w:tcBorders>
            <w:shd w:val="clear" w:color="auto" w:fill="auto"/>
            <w:noWrap/>
            <w:vAlign w:val="bottom"/>
            <w:hideMark/>
          </w:tcPr>
          <w:p w14:paraId="1EA6E2B1" w14:textId="77777777" w:rsidR="00177DA1" w:rsidRPr="00904D56" w:rsidRDefault="00177DA1" w:rsidP="00177DA1">
            <w:pPr>
              <w:jc w:val="center"/>
              <w:rPr>
                <w:color w:val="000000"/>
                <w:sz w:val="22"/>
                <w:szCs w:val="22"/>
              </w:rPr>
            </w:pPr>
            <w:r w:rsidRPr="000D7172">
              <w:rPr>
                <w:color w:val="000000"/>
                <w:sz w:val="22"/>
                <w:szCs w:val="22"/>
              </w:rPr>
              <w:t xml:space="preserve">$2,060,750 </w:t>
            </w:r>
          </w:p>
        </w:tc>
      </w:tr>
    </w:tbl>
    <w:p w14:paraId="0DC20079" w14:textId="77777777" w:rsidR="00A503F0" w:rsidRDefault="00A503F0" w:rsidP="00A503F0"/>
    <w:p w14:paraId="7C2006A7" w14:textId="43BD6CC6" w:rsidR="00CC3FDF" w:rsidRPr="00F36594" w:rsidRDefault="00CC3FDF" w:rsidP="00CC3FDF">
      <w:pPr>
        <w:pStyle w:val="Heading3"/>
        <w:rPr>
          <w:szCs w:val="24"/>
        </w:rPr>
      </w:pPr>
      <w:bookmarkStart w:id="277" w:name="_Toc339811762"/>
      <w:r>
        <w:rPr>
          <w:szCs w:val="24"/>
        </w:rPr>
        <w:t>4.</w:t>
      </w:r>
      <w:r w:rsidR="0016692A">
        <w:rPr>
          <w:szCs w:val="24"/>
        </w:rPr>
        <w:t>7</w:t>
      </w:r>
      <w:r w:rsidRPr="005B5A20">
        <w:rPr>
          <w:szCs w:val="24"/>
        </w:rPr>
        <w:t>.3</w:t>
      </w:r>
      <w:r w:rsidRPr="005B5A20">
        <w:rPr>
          <w:szCs w:val="24"/>
        </w:rPr>
        <w:tab/>
        <w:t>Social Effects</w:t>
      </w:r>
      <w:bookmarkEnd w:id="277"/>
    </w:p>
    <w:p w14:paraId="1E9909EE" w14:textId="4321BF0A" w:rsidR="00AC125B" w:rsidRDefault="00AC125B" w:rsidP="00AC125B">
      <w:pPr>
        <w:ind w:firstLine="360"/>
        <w:rPr>
          <w:rFonts w:eastAsia="Calibri"/>
        </w:rPr>
      </w:pPr>
      <w:r w:rsidRPr="00510712">
        <w:rPr>
          <w:rFonts w:eastAsia="Calibri"/>
        </w:rPr>
        <w:t>In general, the social effects of modifying the</w:t>
      </w:r>
      <w:r>
        <w:rPr>
          <w:rFonts w:eastAsia="Calibri"/>
        </w:rPr>
        <w:t xml:space="preserve"> recreational</w:t>
      </w:r>
      <w:r w:rsidRPr="00510712">
        <w:rPr>
          <w:rFonts w:eastAsia="Calibri"/>
        </w:rPr>
        <w:t xml:space="preserve"> </w:t>
      </w:r>
      <w:r>
        <w:rPr>
          <w:rFonts w:eastAsia="Calibri"/>
        </w:rPr>
        <w:t>harvest limits would</w:t>
      </w:r>
      <w:r w:rsidRPr="00510712">
        <w:rPr>
          <w:rFonts w:eastAsia="Calibri"/>
        </w:rPr>
        <w:t xml:space="preserve"> be associated with the biological costs of each alternative (see </w:t>
      </w:r>
      <w:r>
        <w:rPr>
          <w:rFonts w:eastAsia="Calibri"/>
          <w:b/>
        </w:rPr>
        <w:t>Section 4.7</w:t>
      </w:r>
      <w:r w:rsidRPr="00510712">
        <w:rPr>
          <w:rFonts w:eastAsia="Calibri"/>
          <w:b/>
        </w:rPr>
        <w:t>.1</w:t>
      </w:r>
      <w:r w:rsidRPr="00510712">
        <w:rPr>
          <w:rFonts w:eastAsia="Calibri"/>
        </w:rPr>
        <w:t xml:space="preserve">), </w:t>
      </w:r>
      <w:r>
        <w:rPr>
          <w:rFonts w:eastAsia="Calibri"/>
        </w:rPr>
        <w:t xml:space="preserve">as well as the effects on current recreational fishing opportunities. </w:t>
      </w:r>
      <w:r w:rsidR="00AE5017">
        <w:rPr>
          <w:rFonts w:eastAsia="Calibri"/>
        </w:rPr>
        <w:t xml:space="preserve"> </w:t>
      </w:r>
      <w:r>
        <w:rPr>
          <w:rFonts w:eastAsia="Calibri"/>
        </w:rPr>
        <w:t xml:space="preserve">While </w:t>
      </w:r>
      <w:r w:rsidRPr="00A4377D">
        <w:rPr>
          <w:rFonts w:eastAsia="Calibri"/>
          <w:b/>
        </w:rPr>
        <w:t>Alternatives 2</w:t>
      </w:r>
      <w:r>
        <w:rPr>
          <w:rFonts w:eastAsia="Calibri"/>
        </w:rPr>
        <w:t>-</w:t>
      </w:r>
      <w:r>
        <w:rPr>
          <w:rFonts w:eastAsia="Calibri"/>
          <w:b/>
        </w:rPr>
        <w:t>4</w:t>
      </w:r>
      <w:r w:rsidR="009F56B9">
        <w:rPr>
          <w:rFonts w:eastAsia="Calibri"/>
          <w:b/>
        </w:rPr>
        <w:t xml:space="preserve"> (Preferred)</w:t>
      </w:r>
      <w:r w:rsidRPr="00A4377D">
        <w:rPr>
          <w:rFonts w:eastAsia="Calibri"/>
          <w:b/>
        </w:rPr>
        <w:t xml:space="preserve"> </w:t>
      </w:r>
      <w:r>
        <w:rPr>
          <w:rFonts w:eastAsia="Calibri"/>
        </w:rPr>
        <w:t>could restrict</w:t>
      </w:r>
      <w:r w:rsidRPr="00BA0E71">
        <w:rPr>
          <w:rFonts w:eastAsia="Calibri"/>
        </w:rPr>
        <w:t xml:space="preserve"> recreational fishing opportunities for </w:t>
      </w:r>
      <w:r>
        <w:rPr>
          <w:rFonts w:eastAsia="Calibri"/>
        </w:rPr>
        <w:t xml:space="preserve">mutton snapper, especially under the spawning season limits in </w:t>
      </w:r>
      <w:r w:rsidRPr="00A4377D">
        <w:rPr>
          <w:rFonts w:eastAsia="Calibri"/>
          <w:b/>
        </w:rPr>
        <w:t>Alternative 3</w:t>
      </w:r>
      <w:r>
        <w:rPr>
          <w:rFonts w:eastAsia="Calibri"/>
        </w:rPr>
        <w:t xml:space="preserve">, the harvest limits </w:t>
      </w:r>
      <w:r w:rsidRPr="00BA0E71">
        <w:rPr>
          <w:rFonts w:eastAsia="Calibri"/>
        </w:rPr>
        <w:t>would also be expected to contribute to</w:t>
      </w:r>
      <w:r>
        <w:rPr>
          <w:rFonts w:eastAsia="Calibri"/>
        </w:rPr>
        <w:t xml:space="preserve"> long-term benefits to the stock and for future recreational opportunities. </w:t>
      </w:r>
    </w:p>
    <w:p w14:paraId="701EA3D5" w14:textId="77777777" w:rsidR="00AC125B" w:rsidRDefault="00AC125B" w:rsidP="00AC125B">
      <w:pPr>
        <w:ind w:firstLine="360"/>
        <w:rPr>
          <w:rFonts w:eastAsia="Calibri"/>
        </w:rPr>
      </w:pPr>
    </w:p>
    <w:p w14:paraId="6280214E" w14:textId="3F3D9DA4" w:rsidR="00AC125B" w:rsidRDefault="00AC125B" w:rsidP="00AC125B">
      <w:pPr>
        <w:ind w:firstLine="360"/>
        <w:rPr>
          <w:rFonts w:eastAsia="Calibri"/>
        </w:rPr>
      </w:pPr>
      <w:r>
        <w:rPr>
          <w:rFonts w:eastAsia="Calibri"/>
        </w:rPr>
        <w:t xml:space="preserve">Different levels of recreational fishing opportunities under each alternative could affect recreational anglers and for-hire businesses targeting mutton snapper.  The social effects of bag limits and vessel limits can be associated with how many and at what times of year the recreational catch may be retained. </w:t>
      </w:r>
      <w:r w:rsidR="00AE5017">
        <w:rPr>
          <w:rFonts w:eastAsia="Calibri"/>
        </w:rPr>
        <w:t xml:space="preserve"> </w:t>
      </w:r>
      <w:r>
        <w:rPr>
          <w:rFonts w:eastAsia="Calibri"/>
        </w:rPr>
        <w:t xml:space="preserve">Additionally, any long-term negative biological effects on the stock due to recreational landings from higher recreational harvest limits, or dead discards due to lower harvest limits, would also likely result in negative effects </w:t>
      </w:r>
      <w:r w:rsidR="00A67FA2">
        <w:rPr>
          <w:rFonts w:eastAsia="Calibri"/>
        </w:rPr>
        <w:t xml:space="preserve">on </w:t>
      </w:r>
      <w:r>
        <w:rPr>
          <w:rFonts w:eastAsia="Calibri"/>
        </w:rPr>
        <w:t xml:space="preserve">recreational fishing opportunities in future years. </w:t>
      </w:r>
    </w:p>
    <w:p w14:paraId="688AA226" w14:textId="77777777" w:rsidR="00AC125B" w:rsidRDefault="00AC125B" w:rsidP="00AC125B">
      <w:pPr>
        <w:ind w:firstLine="360"/>
        <w:rPr>
          <w:rFonts w:eastAsia="Calibri"/>
        </w:rPr>
      </w:pPr>
    </w:p>
    <w:p w14:paraId="297B6C77" w14:textId="39D562DD" w:rsidR="00AC125B" w:rsidRDefault="00AC125B" w:rsidP="00AC125B">
      <w:pPr>
        <w:ind w:firstLine="360"/>
        <w:rPr>
          <w:rFonts w:eastAsia="Calibri"/>
        </w:rPr>
      </w:pPr>
      <w:r>
        <w:rPr>
          <w:rFonts w:eastAsia="Calibri"/>
        </w:rPr>
        <w:t xml:space="preserve">In general, social benefits from improved recreational fishing opportunities </w:t>
      </w:r>
      <w:r w:rsidR="00867389">
        <w:rPr>
          <w:rFonts w:eastAsia="Calibri"/>
        </w:rPr>
        <w:t xml:space="preserve">would </w:t>
      </w:r>
      <w:r>
        <w:rPr>
          <w:rFonts w:eastAsia="Calibri"/>
        </w:rPr>
        <w:t xml:space="preserve">result from harvest limits that has the largest portion of the year open to recreational harvest, with the highest number of fish per person, as long as the recreational ACL is not exceeded. </w:t>
      </w:r>
      <w:r w:rsidR="00AE5017">
        <w:rPr>
          <w:rFonts w:eastAsia="Calibri"/>
        </w:rPr>
        <w:t xml:space="preserve"> </w:t>
      </w:r>
      <w:r>
        <w:rPr>
          <w:rFonts w:eastAsia="Calibri"/>
          <w:b/>
        </w:rPr>
        <w:t>Alternative 1 (No Action)</w:t>
      </w:r>
      <w:r>
        <w:rPr>
          <w:rFonts w:eastAsia="Calibri"/>
        </w:rPr>
        <w:t xml:space="preserve"> would be the most beneficial to recreational fishermen in the short-term but could detract from measures to protect the stock during spawning activity. </w:t>
      </w:r>
      <w:r w:rsidR="00AE5017">
        <w:rPr>
          <w:rFonts w:eastAsia="Calibri"/>
        </w:rPr>
        <w:t xml:space="preserve"> </w:t>
      </w:r>
      <w:r>
        <w:rPr>
          <w:rFonts w:eastAsia="Calibri"/>
        </w:rPr>
        <w:t>The limits during the ‘regular season’ [which depends on the potential spawni</w:t>
      </w:r>
      <w:r w:rsidR="00AE5017">
        <w:rPr>
          <w:rFonts w:eastAsia="Calibri"/>
        </w:rPr>
        <w:t xml:space="preserve">ng season designated in </w:t>
      </w:r>
      <w:r w:rsidR="00AE5017" w:rsidRPr="00AE5017">
        <w:rPr>
          <w:rFonts w:eastAsia="Calibri"/>
          <w:b/>
        </w:rPr>
        <w:t>Action 6</w:t>
      </w:r>
      <w:r>
        <w:rPr>
          <w:rFonts w:eastAsia="Calibri"/>
        </w:rPr>
        <w:t xml:space="preserve">] under </w:t>
      </w:r>
      <w:r>
        <w:rPr>
          <w:rFonts w:eastAsia="Calibri"/>
          <w:b/>
        </w:rPr>
        <w:t>Alternative 2</w:t>
      </w:r>
      <w:r>
        <w:rPr>
          <w:rFonts w:eastAsia="Calibri"/>
        </w:rPr>
        <w:t xml:space="preserve"> could have negative effects on opportunities to retain mutton snapper, with minimal or no effects under </w:t>
      </w:r>
      <w:r>
        <w:rPr>
          <w:rFonts w:eastAsia="Calibri"/>
          <w:b/>
        </w:rPr>
        <w:t>Sub-alternative 2c</w:t>
      </w:r>
      <w:r>
        <w:rPr>
          <w:rFonts w:eastAsia="Calibri"/>
        </w:rPr>
        <w:t xml:space="preserve">, and fewer potential effects under </w:t>
      </w:r>
      <w:r>
        <w:rPr>
          <w:rFonts w:eastAsia="Calibri"/>
          <w:b/>
        </w:rPr>
        <w:t>Sub-alternative 2b</w:t>
      </w:r>
      <w:r>
        <w:rPr>
          <w:rFonts w:eastAsia="Calibri"/>
        </w:rPr>
        <w:t xml:space="preserve">, followed by </w:t>
      </w:r>
      <w:r>
        <w:rPr>
          <w:rFonts w:eastAsia="Calibri"/>
          <w:b/>
        </w:rPr>
        <w:t>Sub-alternative 2a</w:t>
      </w:r>
      <w:r>
        <w:rPr>
          <w:rFonts w:eastAsia="Calibri"/>
        </w:rPr>
        <w:t xml:space="preserve">. </w:t>
      </w:r>
    </w:p>
    <w:p w14:paraId="7EFCD0D7" w14:textId="77777777" w:rsidR="00AC125B" w:rsidRDefault="00AC125B" w:rsidP="00AC125B">
      <w:pPr>
        <w:ind w:firstLine="360"/>
        <w:rPr>
          <w:rFonts w:eastAsia="Calibri"/>
        </w:rPr>
      </w:pPr>
    </w:p>
    <w:p w14:paraId="43E4D07A" w14:textId="7EC9EC1A" w:rsidR="00AC125B" w:rsidRDefault="00AC125B" w:rsidP="00AC125B">
      <w:pPr>
        <w:ind w:firstLine="360"/>
        <w:rPr>
          <w:rFonts w:eastAsia="Calibri"/>
          <w:b/>
        </w:rPr>
      </w:pPr>
      <w:r>
        <w:rPr>
          <w:rFonts w:eastAsia="Calibri"/>
        </w:rPr>
        <w:t xml:space="preserve">The potential vessel limits during the potential spawning season in </w:t>
      </w:r>
      <w:r>
        <w:rPr>
          <w:rFonts w:eastAsia="Calibri"/>
          <w:b/>
        </w:rPr>
        <w:t>Alternative 3</w:t>
      </w:r>
      <w:r>
        <w:rPr>
          <w:rFonts w:eastAsia="Calibri"/>
        </w:rPr>
        <w:t xml:space="preserve"> could have negative effects on recreational fishing opportunities, specifically for headboat businesses with higher numbers of people on board, but would be expected to have long-term benefits to the stock. </w:t>
      </w:r>
      <w:r w:rsidR="00AE5017">
        <w:rPr>
          <w:rFonts w:eastAsia="Calibri"/>
        </w:rPr>
        <w:t xml:space="preserve"> </w:t>
      </w:r>
      <w:r>
        <w:rPr>
          <w:rFonts w:eastAsia="Calibri"/>
        </w:rPr>
        <w:t xml:space="preserve">The most restrictive measure (no retention) under </w:t>
      </w:r>
      <w:r>
        <w:rPr>
          <w:rFonts w:eastAsia="Calibri"/>
          <w:b/>
        </w:rPr>
        <w:t>Sub-alternative 3e</w:t>
      </w:r>
      <w:r>
        <w:rPr>
          <w:rFonts w:eastAsia="Calibri"/>
        </w:rPr>
        <w:t xml:space="preserve"> would be the most likely to have short-term negative effects on recreational fishermen and for-hire businesses, but would affect all levels of recreational participation (solo angler to headboats) at equal levels. </w:t>
      </w:r>
      <w:r w:rsidR="00AE5017">
        <w:rPr>
          <w:rFonts w:eastAsia="Calibri"/>
        </w:rPr>
        <w:t xml:space="preserve"> </w:t>
      </w:r>
      <w:r>
        <w:rPr>
          <w:rFonts w:eastAsia="Calibri"/>
        </w:rPr>
        <w:t xml:space="preserve">The lower vessel limits would have more negative effects for vessels with more people on board, so (after no retention under </w:t>
      </w:r>
      <w:r>
        <w:rPr>
          <w:rFonts w:eastAsia="Calibri"/>
          <w:b/>
        </w:rPr>
        <w:t>Sub-alternative</w:t>
      </w:r>
      <w:r w:rsidRPr="00F96AAA">
        <w:rPr>
          <w:rFonts w:eastAsia="Calibri"/>
          <w:b/>
        </w:rPr>
        <w:t xml:space="preserve"> 3e</w:t>
      </w:r>
      <w:r>
        <w:rPr>
          <w:rFonts w:eastAsia="Calibri"/>
        </w:rPr>
        <w:t xml:space="preserve">) </w:t>
      </w:r>
      <w:r>
        <w:rPr>
          <w:rFonts w:eastAsia="Calibri"/>
          <w:b/>
        </w:rPr>
        <w:t>Sub-alternative 3a</w:t>
      </w:r>
      <w:r>
        <w:rPr>
          <w:rFonts w:eastAsia="Calibri"/>
        </w:rPr>
        <w:t xml:space="preserve"> would likely have the most negative effects on recreational fishermen, followed by </w:t>
      </w:r>
      <w:r>
        <w:rPr>
          <w:rFonts w:eastAsia="Calibri"/>
          <w:b/>
        </w:rPr>
        <w:t>Sub-alternative 3a, Sub-alternative 3b</w:t>
      </w:r>
      <w:r w:rsidR="00AE5017">
        <w:rPr>
          <w:rFonts w:eastAsia="Calibri"/>
        </w:rPr>
        <w:t xml:space="preserve">, and </w:t>
      </w:r>
      <w:r>
        <w:rPr>
          <w:rFonts w:eastAsia="Calibri"/>
          <w:b/>
        </w:rPr>
        <w:t>Sub-alternative 3c.</w:t>
      </w:r>
    </w:p>
    <w:p w14:paraId="3C1EA246" w14:textId="77777777" w:rsidR="00AC125B" w:rsidRDefault="00AC125B" w:rsidP="00AC125B">
      <w:pPr>
        <w:ind w:firstLine="360"/>
        <w:rPr>
          <w:rFonts w:eastAsia="Calibri"/>
        </w:rPr>
      </w:pPr>
    </w:p>
    <w:p w14:paraId="7E443BFB" w14:textId="34515709" w:rsidR="00AC125B" w:rsidRPr="007D26F2" w:rsidRDefault="00AC125B" w:rsidP="00AC125B">
      <w:pPr>
        <w:ind w:firstLine="360"/>
        <w:rPr>
          <w:rFonts w:eastAsia="Calibri"/>
        </w:rPr>
      </w:pPr>
      <w:r>
        <w:rPr>
          <w:rFonts w:eastAsia="Calibri"/>
        </w:rPr>
        <w:t>Setting the recreational harvest limits year-round (</w:t>
      </w:r>
      <w:r w:rsidR="009F56B9" w:rsidRPr="009F56B9">
        <w:rPr>
          <w:rFonts w:eastAsia="Calibri"/>
          <w:b/>
        </w:rPr>
        <w:t xml:space="preserve">Preferred </w:t>
      </w:r>
      <w:r>
        <w:rPr>
          <w:rFonts w:eastAsia="Calibri"/>
          <w:b/>
        </w:rPr>
        <w:t>Alternative 4</w:t>
      </w:r>
      <w:r>
        <w:rPr>
          <w:rFonts w:eastAsia="Calibri"/>
        </w:rPr>
        <w:t xml:space="preserve">) would reduce complexity of management measures, which would likely improve compliance. </w:t>
      </w:r>
      <w:r w:rsidR="00AE5017">
        <w:rPr>
          <w:rFonts w:eastAsia="Calibri"/>
        </w:rPr>
        <w:t xml:space="preserve"> </w:t>
      </w:r>
      <w:r>
        <w:rPr>
          <w:rFonts w:eastAsia="Calibri"/>
        </w:rPr>
        <w:t xml:space="preserve">Negative short-term effects due to restrictions on retention of mutton snapper would increase with lower bag limits, so that the most negative effects would come from </w:t>
      </w:r>
      <w:r>
        <w:rPr>
          <w:rFonts w:eastAsia="Calibri"/>
          <w:b/>
        </w:rPr>
        <w:t>Sub-alternative</w:t>
      </w:r>
      <w:r w:rsidRPr="00AE046A">
        <w:rPr>
          <w:rFonts w:eastAsia="Calibri"/>
          <w:b/>
        </w:rPr>
        <w:t xml:space="preserve"> 4a</w:t>
      </w:r>
      <w:r>
        <w:rPr>
          <w:rFonts w:eastAsia="Calibri"/>
        </w:rPr>
        <w:t xml:space="preserve">, followed by </w:t>
      </w:r>
      <w:r w:rsidRPr="007D26F2">
        <w:rPr>
          <w:rFonts w:eastAsia="Calibri"/>
          <w:b/>
        </w:rPr>
        <w:t>Sub-</w:t>
      </w:r>
      <w:r>
        <w:rPr>
          <w:rFonts w:eastAsia="Calibri"/>
          <w:b/>
        </w:rPr>
        <w:t>alternative 4b</w:t>
      </w:r>
      <w:r w:rsidR="00AE5017">
        <w:rPr>
          <w:rFonts w:eastAsia="Calibri"/>
        </w:rPr>
        <w:t xml:space="preserve">, and </w:t>
      </w:r>
      <w:r w:rsidR="00FB639E" w:rsidRPr="00116107">
        <w:rPr>
          <w:rFonts w:eastAsia="Calibri"/>
          <w:b/>
        </w:rPr>
        <w:t>Preferred</w:t>
      </w:r>
      <w:r w:rsidR="00FB639E">
        <w:rPr>
          <w:rFonts w:eastAsia="Calibri"/>
        </w:rPr>
        <w:t xml:space="preserve"> </w:t>
      </w:r>
      <w:r>
        <w:rPr>
          <w:rFonts w:eastAsia="Calibri"/>
          <w:b/>
        </w:rPr>
        <w:t>Sub-alternative 4c</w:t>
      </w:r>
      <w:r>
        <w:rPr>
          <w:rFonts w:eastAsia="Calibri"/>
        </w:rPr>
        <w:t xml:space="preserve">. </w:t>
      </w:r>
    </w:p>
    <w:p w14:paraId="39C4A0DA" w14:textId="6E5C72A4" w:rsidR="00CC3FDF" w:rsidRDefault="00CC3FDF" w:rsidP="000042F2"/>
    <w:p w14:paraId="475B985F" w14:textId="5502CC2F" w:rsidR="00CC3FDF" w:rsidRDefault="00CC3FDF" w:rsidP="00CC3FDF">
      <w:pPr>
        <w:pStyle w:val="Heading3"/>
        <w:rPr>
          <w:szCs w:val="24"/>
        </w:rPr>
      </w:pPr>
      <w:bookmarkStart w:id="278" w:name="_Toc339811763"/>
      <w:r>
        <w:rPr>
          <w:szCs w:val="24"/>
        </w:rPr>
        <w:t>4.</w:t>
      </w:r>
      <w:r w:rsidR="0016692A">
        <w:rPr>
          <w:szCs w:val="24"/>
        </w:rPr>
        <w:t>7</w:t>
      </w:r>
      <w:r w:rsidRPr="005B5A20">
        <w:rPr>
          <w:szCs w:val="24"/>
        </w:rPr>
        <w:t>.4</w:t>
      </w:r>
      <w:r w:rsidRPr="005B5A20">
        <w:rPr>
          <w:szCs w:val="24"/>
        </w:rPr>
        <w:tab/>
        <w:t>Administrative Effects</w:t>
      </w:r>
      <w:bookmarkEnd w:id="278"/>
      <w:r w:rsidRPr="005B5A20">
        <w:rPr>
          <w:szCs w:val="24"/>
        </w:rPr>
        <w:t xml:space="preserve"> </w:t>
      </w:r>
    </w:p>
    <w:p w14:paraId="61C6B53C" w14:textId="5E3F691D" w:rsidR="003F0DE9" w:rsidRPr="00AB40E1" w:rsidRDefault="00787753" w:rsidP="003F0DE9">
      <w:pPr>
        <w:ind w:firstLine="360"/>
      </w:pPr>
      <w:r w:rsidRPr="00AB40E1">
        <w:t xml:space="preserve">Under </w:t>
      </w:r>
      <w:r w:rsidRPr="00AB40E1">
        <w:rPr>
          <w:b/>
        </w:rPr>
        <w:t>Alternative 1 (No Action)</w:t>
      </w:r>
      <w:r w:rsidRPr="00AB40E1">
        <w:t xml:space="preserve">, mutton snapper would remain part of the aggregate snapper bag limit.  </w:t>
      </w:r>
      <w:r w:rsidRPr="00AB40E1">
        <w:rPr>
          <w:b/>
        </w:rPr>
        <w:t>Alternatives 2</w:t>
      </w:r>
      <w:r w:rsidRPr="00AB40E1">
        <w:t xml:space="preserve">, </w:t>
      </w:r>
      <w:r w:rsidRPr="00AB40E1">
        <w:rPr>
          <w:b/>
        </w:rPr>
        <w:t>3</w:t>
      </w:r>
      <w:r w:rsidRPr="00AB40E1">
        <w:t xml:space="preserve">, and </w:t>
      </w:r>
      <w:r w:rsidRPr="00AB40E1">
        <w:rPr>
          <w:b/>
        </w:rPr>
        <w:t>4</w:t>
      </w:r>
      <w:r w:rsidRPr="00AB40E1">
        <w:t xml:space="preserve"> (including their sub-alternatives) would add to the administrative burden in the form of cost, time, law enforcement efforts</w:t>
      </w:r>
      <w:r>
        <w:t xml:space="preserve"> to react to the changes</w:t>
      </w:r>
      <w:r w:rsidRPr="00AB40E1">
        <w:t xml:space="preserve">, when compared with </w:t>
      </w:r>
      <w:r w:rsidRPr="00AB40E1">
        <w:rPr>
          <w:b/>
        </w:rPr>
        <w:t>Alternative 1 (No Action)</w:t>
      </w:r>
      <w:r w:rsidRPr="00AB40E1">
        <w:t xml:space="preserve">. </w:t>
      </w:r>
      <w:r w:rsidR="00031B9D">
        <w:t xml:space="preserve"> </w:t>
      </w:r>
      <w:r>
        <w:t>However, since a bag limit is already in place, the effects to the administrative environment are not expected to be significant.</w:t>
      </w:r>
      <w:r w:rsidR="00031B9D">
        <w:t xml:space="preserve"> </w:t>
      </w:r>
      <w:r>
        <w:t xml:space="preserve"> Changing the bag limit may require more outreach to notify the public and more law enforcement efforts to enforce the regulations.</w:t>
      </w:r>
      <w:r w:rsidR="00B708A0">
        <w:t xml:space="preserve"> </w:t>
      </w:r>
      <w:r w:rsidRPr="00AB40E1">
        <w:t xml:space="preserve"> </w:t>
      </w:r>
      <w:r w:rsidRPr="00AB40E1">
        <w:rPr>
          <w:b/>
        </w:rPr>
        <w:t>Alternatives 2</w:t>
      </w:r>
      <w:r w:rsidRPr="00AB40E1">
        <w:t xml:space="preserve"> and </w:t>
      </w:r>
      <w:r w:rsidRPr="00AB40E1">
        <w:rPr>
          <w:b/>
        </w:rPr>
        <w:t>3</w:t>
      </w:r>
      <w:r w:rsidRPr="00AB40E1">
        <w:t xml:space="preserve"> (including their sub-alternatives) would be the most burdensome since there would be a different bag limit during the “regular” season versus “spawning months”; followed by </w:t>
      </w:r>
      <w:r w:rsidRPr="0000613D">
        <w:rPr>
          <w:b/>
        </w:rPr>
        <w:t>Preferred</w:t>
      </w:r>
      <w:r>
        <w:t xml:space="preserve"> </w:t>
      </w:r>
      <w:r w:rsidRPr="00AB40E1">
        <w:rPr>
          <w:b/>
        </w:rPr>
        <w:t>Alternative 4</w:t>
      </w:r>
      <w:r w:rsidRPr="00AB40E1">
        <w:t xml:space="preserve"> (including the sub-alternatives) which would specify bag limits within the aggregate bag limit year round, and </w:t>
      </w:r>
      <w:r w:rsidRPr="00AB40E1">
        <w:rPr>
          <w:b/>
        </w:rPr>
        <w:t>Alternative 1 (No Action)</w:t>
      </w:r>
      <w:r w:rsidRPr="00AB40E1">
        <w:t>.</w:t>
      </w:r>
    </w:p>
    <w:p w14:paraId="5BF077A2" w14:textId="77777777" w:rsidR="00CC3FDF" w:rsidRDefault="00CC3FDF" w:rsidP="00CC3FDF"/>
    <w:p w14:paraId="332A5759" w14:textId="77777777" w:rsidR="00CC3FDF" w:rsidRDefault="00CC3FDF" w:rsidP="00CC3FDF"/>
    <w:p w14:paraId="7A65AE78" w14:textId="29E33A31" w:rsidR="00CC3FDF" w:rsidRDefault="00CC3FDF">
      <w:r>
        <w:br w:type="page"/>
      </w:r>
    </w:p>
    <w:p w14:paraId="0D3C2260" w14:textId="6943A059" w:rsidR="00CC3FDF" w:rsidRDefault="00EC7112" w:rsidP="00CC3FDF">
      <w:pPr>
        <w:pStyle w:val="Heading2"/>
        <w:rPr>
          <w:rFonts w:ascii="Arial" w:hAnsi="Arial" w:cs="Arial"/>
        </w:rPr>
      </w:pPr>
      <w:bookmarkStart w:id="279" w:name="_Toc339811764"/>
      <w:r>
        <w:rPr>
          <w:rFonts w:ascii="Arial" w:hAnsi="Arial" w:cs="Arial"/>
        </w:rPr>
        <w:lastRenderedPageBreak/>
        <w:t>4.</w:t>
      </w:r>
      <w:r w:rsidR="0016692A">
        <w:rPr>
          <w:rFonts w:ascii="Arial" w:hAnsi="Arial" w:cs="Arial"/>
        </w:rPr>
        <w:t>8</w:t>
      </w:r>
      <w:r>
        <w:rPr>
          <w:rFonts w:ascii="Arial" w:hAnsi="Arial" w:cs="Arial"/>
        </w:rPr>
        <w:tab/>
      </w:r>
      <w:r w:rsidR="00CC3FDF" w:rsidRPr="00CC3FDF">
        <w:rPr>
          <w:rFonts w:ascii="Arial" w:hAnsi="Arial" w:cs="Arial"/>
        </w:rPr>
        <w:t xml:space="preserve">Action </w:t>
      </w:r>
      <w:r w:rsidR="0016692A">
        <w:rPr>
          <w:rFonts w:ascii="Arial" w:hAnsi="Arial" w:cs="Arial"/>
        </w:rPr>
        <w:t>8</w:t>
      </w:r>
      <w:r w:rsidR="00CC3FDF" w:rsidRPr="00CC3FDF">
        <w:rPr>
          <w:rFonts w:ascii="Arial" w:hAnsi="Arial" w:cs="Arial"/>
        </w:rPr>
        <w:t xml:space="preserve">.  </w:t>
      </w:r>
      <w:r w:rsidRPr="0016692A">
        <w:rPr>
          <w:rFonts w:ascii="Arial" w:hAnsi="Arial" w:cs="Arial"/>
        </w:rPr>
        <w:t xml:space="preserve">Modify mutton snapper commercial trip limit in the South Atlantic </w:t>
      </w:r>
      <w:r w:rsidR="00774344" w:rsidRPr="0016692A">
        <w:rPr>
          <w:rFonts w:ascii="Arial" w:hAnsi="Arial" w:cs="Arial"/>
        </w:rPr>
        <w:t>R</w:t>
      </w:r>
      <w:r w:rsidRPr="0016692A">
        <w:rPr>
          <w:rFonts w:ascii="Arial" w:hAnsi="Arial" w:cs="Arial"/>
        </w:rPr>
        <w:t>egion</w:t>
      </w:r>
      <w:bookmarkEnd w:id="279"/>
    </w:p>
    <w:p w14:paraId="5DFE26F3" w14:textId="77777777" w:rsidR="00D0662D" w:rsidRDefault="00D0662D" w:rsidP="00D0662D">
      <w:pPr>
        <w:rPr>
          <w:highlight w:val="yellow"/>
        </w:rPr>
      </w:pPr>
    </w:p>
    <w:p w14:paraId="539A563E" w14:textId="11CDF26E" w:rsidR="00CC3FDF" w:rsidRDefault="00CC3FDF" w:rsidP="00CC3FDF">
      <w:pPr>
        <w:pStyle w:val="Heading3"/>
      </w:pPr>
      <w:bookmarkStart w:id="280" w:name="_Toc339811765"/>
      <w:r w:rsidRPr="000E374B">
        <w:rPr>
          <w:noProof/>
          <w:color w:val="365F91" w:themeColor="accent1" w:themeShade="BF"/>
        </w:rPr>
        <mc:AlternateContent>
          <mc:Choice Requires="wps">
            <w:drawing>
              <wp:anchor distT="0" distB="0" distL="114300" distR="114300" simplePos="0" relativeHeight="251679232" behindDoc="0" locked="0" layoutInCell="1" allowOverlap="1" wp14:anchorId="37B4C6E2" wp14:editId="14E241B3">
                <wp:simplePos x="0" y="0"/>
                <wp:positionH relativeFrom="margin">
                  <wp:posOffset>2923540</wp:posOffset>
                </wp:positionH>
                <wp:positionV relativeFrom="margin">
                  <wp:posOffset>708025</wp:posOffset>
                </wp:positionV>
                <wp:extent cx="2998470" cy="5026025"/>
                <wp:effectExtent l="25400" t="101600" r="125730" b="539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5026025"/>
                        </a:xfrm>
                        <a:prstGeom prst="rect">
                          <a:avLst/>
                        </a:prstGeom>
                        <a:solidFill>
                          <a:srgbClr val="FFFFFF"/>
                        </a:solidFill>
                        <a:ln w="9525">
                          <a:solidFill>
                            <a:schemeClr val="tx2">
                              <a:lumMod val="60000"/>
                              <a:lumOff val="40000"/>
                            </a:schemeClr>
                          </a:solidFill>
                          <a:miter lim="800000"/>
                          <a:headEnd/>
                          <a:tailEnd/>
                        </a:ln>
                        <a:effectLst>
                          <a:outerShdw blurRad="50800" dist="38100" dir="18900000" algn="bl" rotWithShape="0">
                            <a:prstClr val="black">
                              <a:alpha val="40000"/>
                            </a:prstClr>
                          </a:outerShdw>
                        </a:effectLst>
                      </wps:spPr>
                      <wps:txbx>
                        <w:txbxContent>
                          <w:p w14:paraId="6ADDF1FC" w14:textId="52768654" w:rsidR="009108B8" w:rsidRPr="00903F45" w:rsidRDefault="009108B8" w:rsidP="00CC3FDF">
                            <w:pPr>
                              <w:jc w:val="center"/>
                              <w:rPr>
                                <w:rFonts w:ascii="Arial" w:hAnsi="Arial" w:cs="Arial"/>
                                <w:b/>
                                <w:i/>
                                <w:iCs/>
                                <w:color w:val="365F91" w:themeColor="accent1" w:themeShade="BF"/>
                              </w:rPr>
                            </w:pPr>
                            <w:r w:rsidRPr="00903F45">
                              <w:rPr>
                                <w:rFonts w:ascii="Arial" w:hAnsi="Arial" w:cs="Arial"/>
                                <w:b/>
                                <w:i/>
                                <w:iCs/>
                                <w:color w:val="365F91" w:themeColor="accent1" w:themeShade="BF"/>
                              </w:rPr>
                              <w:t>Alternatives</w:t>
                            </w:r>
                            <w:r>
                              <w:rPr>
                                <w:rFonts w:ascii="Arial" w:hAnsi="Arial" w:cs="Arial"/>
                                <w:b/>
                                <w:i/>
                                <w:iCs/>
                                <w:color w:val="365F91" w:themeColor="accent1" w:themeShade="BF"/>
                              </w:rPr>
                              <w:t>*</w:t>
                            </w:r>
                          </w:p>
                          <w:p w14:paraId="5F993805" w14:textId="77777777" w:rsidR="009108B8" w:rsidRDefault="009108B8" w:rsidP="00CC3FDF">
                            <w:pPr>
                              <w:jc w:val="center"/>
                              <w:rPr>
                                <w:rFonts w:ascii="Arial" w:hAnsi="Arial" w:cs="Arial"/>
                                <w:b/>
                                <w:i/>
                                <w:iCs/>
                                <w:color w:val="365F91" w:themeColor="accent1" w:themeShade="BF"/>
                                <w:sz w:val="28"/>
                                <w:szCs w:val="28"/>
                              </w:rPr>
                            </w:pPr>
                          </w:p>
                          <w:p w14:paraId="1407122D" w14:textId="0C907C5A" w:rsidR="009108B8" w:rsidRPr="00903F45" w:rsidRDefault="009108B8" w:rsidP="00CC3FDF">
                            <w:pPr>
                              <w:pStyle w:val="Normal1"/>
                              <w:spacing w:line="240" w:lineRule="auto"/>
                              <w:contextualSpacing/>
                              <w:rPr>
                                <w:color w:val="1F497D" w:themeColor="text2"/>
                                <w:sz w:val="20"/>
                                <w:szCs w:val="20"/>
                              </w:rPr>
                            </w:pPr>
                            <w:r w:rsidRPr="00903F45">
                              <w:rPr>
                                <w:color w:val="1F497D" w:themeColor="text2"/>
                                <w:sz w:val="20"/>
                                <w:szCs w:val="20"/>
                              </w:rPr>
                              <w:t>1 (No Action).</w:t>
                            </w:r>
                            <w:r>
                              <w:rPr>
                                <w:color w:val="1F497D" w:themeColor="text2"/>
                                <w:sz w:val="20"/>
                                <w:szCs w:val="20"/>
                              </w:rPr>
                              <w:t xml:space="preserve">  </w:t>
                            </w:r>
                            <w:r w:rsidRPr="00FC03A7">
                              <w:rPr>
                                <w:color w:val="1F497D" w:themeColor="text2"/>
                                <w:sz w:val="20"/>
                                <w:szCs w:val="20"/>
                              </w:rPr>
                              <w:t xml:space="preserve">During May and June, each year, the possession of mutton snapper in or from the exclusive economic zone on board a vessel that has a commercial permit for South Atlantic snapper-grouper is limited to 10 per person per day or 10 per person per trip, whichever is more restrictive.  There is no possession or trip limit for the commercial sector in the South Atlantic from </w:t>
                            </w:r>
                            <w:r w:rsidRPr="000109FC">
                              <w:rPr>
                                <w:color w:val="1F497D" w:themeColor="text2"/>
                                <w:sz w:val="20"/>
                                <w:szCs w:val="18"/>
                                <w:highlight w:val="yellow"/>
                              </w:rPr>
                              <w:t>January through April and July through December.</w:t>
                            </w:r>
                            <w:r w:rsidRPr="000109FC">
                              <w:rPr>
                                <w:color w:val="1F497D" w:themeColor="text2"/>
                                <w:szCs w:val="20"/>
                              </w:rPr>
                              <w:t xml:space="preserve">  </w:t>
                            </w:r>
                          </w:p>
                          <w:p w14:paraId="6E511393" w14:textId="77777777" w:rsidR="009108B8" w:rsidRPr="00903F45" w:rsidRDefault="009108B8" w:rsidP="00CC3FDF">
                            <w:pPr>
                              <w:contextualSpacing/>
                              <w:rPr>
                                <w:rFonts w:ascii="Arial" w:eastAsia="Courier New" w:hAnsi="Arial" w:cs="Arial"/>
                                <w:color w:val="1F497D" w:themeColor="text2"/>
                                <w:sz w:val="20"/>
                                <w:szCs w:val="20"/>
                              </w:rPr>
                            </w:pPr>
                          </w:p>
                          <w:p w14:paraId="3768D654" w14:textId="1EF87280" w:rsidR="009108B8" w:rsidRPr="0016692A" w:rsidRDefault="009108B8" w:rsidP="00CC3FDF">
                            <w:pPr>
                              <w:contextualSpacing/>
                              <w:rPr>
                                <w:rFonts w:ascii="Arial" w:eastAsia="Courier New" w:hAnsi="Arial" w:cs="Arial"/>
                                <w:b/>
                                <w:color w:val="1F497D" w:themeColor="text2"/>
                                <w:sz w:val="20"/>
                                <w:szCs w:val="20"/>
                              </w:rPr>
                            </w:pPr>
                            <w:r w:rsidRPr="0016692A">
                              <w:rPr>
                                <w:rFonts w:ascii="Arial" w:hAnsi="Arial" w:cs="Arial"/>
                                <w:b/>
                                <w:color w:val="1F497D" w:themeColor="text2"/>
                                <w:sz w:val="20"/>
                                <w:szCs w:val="20"/>
                              </w:rPr>
                              <w:t>2. Establish a commercial trip limit for mutton snapper during the “regular season” (i.e., non-spawning months) in the South Atlantic.</w:t>
                            </w:r>
                          </w:p>
                          <w:p w14:paraId="388E027E" w14:textId="619B1422" w:rsidR="009108B8" w:rsidRPr="00FC03A7" w:rsidRDefault="009108B8" w:rsidP="00F7179C">
                            <w:pPr>
                              <w:ind w:left="540"/>
                              <w:contextualSpacing/>
                              <w:rPr>
                                <w:rFonts w:ascii="Arial" w:hAnsi="Arial" w:cs="Arial"/>
                                <w:color w:val="1F497D" w:themeColor="text2"/>
                                <w:sz w:val="20"/>
                                <w:szCs w:val="20"/>
                              </w:rPr>
                            </w:pPr>
                            <w:r w:rsidRPr="00FC03A7">
                              <w:rPr>
                                <w:rFonts w:ascii="Arial" w:hAnsi="Arial" w:cs="Arial"/>
                                <w:color w:val="1F497D" w:themeColor="text2"/>
                                <w:sz w:val="20"/>
                                <w:szCs w:val="20"/>
                              </w:rPr>
                              <w:t>2a.  300 pounds</w:t>
                            </w:r>
                          </w:p>
                          <w:p w14:paraId="3B02697A" w14:textId="15605058" w:rsidR="009108B8" w:rsidRPr="00903F45" w:rsidRDefault="009108B8" w:rsidP="00F7179C">
                            <w:pPr>
                              <w:ind w:left="540"/>
                              <w:contextualSpacing/>
                              <w:rPr>
                                <w:rFonts w:ascii="Arial" w:hAnsi="Arial" w:cs="Arial"/>
                                <w:color w:val="1F497D" w:themeColor="text2"/>
                                <w:sz w:val="20"/>
                                <w:szCs w:val="20"/>
                              </w:rPr>
                            </w:pPr>
                            <w:r w:rsidRPr="00903F45">
                              <w:rPr>
                                <w:rFonts w:ascii="Arial" w:hAnsi="Arial" w:cs="Arial"/>
                                <w:color w:val="1F497D" w:themeColor="text2"/>
                                <w:sz w:val="20"/>
                                <w:szCs w:val="20"/>
                              </w:rPr>
                              <w:t>2b.  400 pounds</w:t>
                            </w:r>
                          </w:p>
                          <w:p w14:paraId="66952EA8" w14:textId="2AF6FA57" w:rsidR="009108B8" w:rsidRPr="00FC03A7" w:rsidRDefault="009108B8" w:rsidP="00F7179C">
                            <w:pPr>
                              <w:ind w:left="540"/>
                              <w:contextualSpacing/>
                              <w:rPr>
                                <w:rFonts w:ascii="Arial" w:hAnsi="Arial" w:cs="Arial"/>
                                <w:b/>
                                <w:color w:val="1F497D" w:themeColor="text2"/>
                                <w:sz w:val="20"/>
                                <w:szCs w:val="20"/>
                              </w:rPr>
                            </w:pPr>
                            <w:r w:rsidRPr="00FC03A7">
                              <w:rPr>
                                <w:rFonts w:ascii="Arial" w:hAnsi="Arial" w:cs="Arial"/>
                                <w:b/>
                                <w:color w:val="1F497D" w:themeColor="text2"/>
                                <w:sz w:val="20"/>
                                <w:szCs w:val="20"/>
                              </w:rPr>
                              <w:t>2c.  500 pounds</w:t>
                            </w:r>
                          </w:p>
                          <w:p w14:paraId="4BF32BF5" w14:textId="77777777" w:rsidR="009108B8" w:rsidRPr="00903F45" w:rsidRDefault="009108B8" w:rsidP="00CC3FDF">
                            <w:pPr>
                              <w:contextualSpacing/>
                              <w:rPr>
                                <w:rFonts w:ascii="Arial" w:hAnsi="Arial" w:cs="Arial"/>
                                <w:color w:val="1F497D" w:themeColor="text2"/>
                                <w:sz w:val="20"/>
                                <w:szCs w:val="20"/>
                              </w:rPr>
                            </w:pPr>
                          </w:p>
                          <w:p w14:paraId="4AEA2EDE" w14:textId="420F7B8E" w:rsidR="009108B8" w:rsidRPr="0016692A" w:rsidRDefault="009108B8" w:rsidP="00CC3FDF">
                            <w:pPr>
                              <w:contextualSpacing/>
                              <w:rPr>
                                <w:rFonts w:ascii="Arial" w:eastAsia="Courier New" w:hAnsi="Arial" w:cs="Arial"/>
                                <w:b/>
                                <w:color w:val="1F497D" w:themeColor="text2"/>
                                <w:sz w:val="20"/>
                                <w:szCs w:val="20"/>
                              </w:rPr>
                            </w:pPr>
                            <w:r w:rsidRPr="0016692A">
                              <w:rPr>
                                <w:rFonts w:ascii="Arial" w:hAnsi="Arial" w:cs="Arial"/>
                                <w:b/>
                                <w:color w:val="1F497D" w:themeColor="text2"/>
                                <w:sz w:val="20"/>
                                <w:szCs w:val="20"/>
                              </w:rPr>
                              <w:t>3. Specify a commercial trip limit for mutton snapper during the “spawning months” in the South Atlantic.</w:t>
                            </w:r>
                          </w:p>
                          <w:p w14:paraId="341C1FA9" w14:textId="42FA62F9" w:rsidR="009108B8" w:rsidRPr="00903F45" w:rsidRDefault="009108B8" w:rsidP="00F7179C">
                            <w:pPr>
                              <w:ind w:left="540"/>
                              <w:contextualSpacing/>
                              <w:rPr>
                                <w:rFonts w:ascii="Arial" w:eastAsia="Courier New" w:hAnsi="Arial" w:cs="Arial"/>
                                <w:color w:val="1F497D" w:themeColor="text2"/>
                                <w:sz w:val="20"/>
                                <w:szCs w:val="20"/>
                              </w:rPr>
                            </w:pPr>
                            <w:r w:rsidRPr="00903F45">
                              <w:rPr>
                                <w:rFonts w:ascii="Arial" w:eastAsia="Courier New" w:hAnsi="Arial" w:cs="Arial"/>
                                <w:color w:val="1F497D" w:themeColor="text2"/>
                                <w:sz w:val="20"/>
                                <w:szCs w:val="20"/>
                              </w:rPr>
                              <w:t>3a.  2 fish/person/day</w:t>
                            </w:r>
                            <w:r>
                              <w:rPr>
                                <w:rFonts w:ascii="Arial" w:eastAsia="Courier New" w:hAnsi="Arial" w:cs="Arial"/>
                                <w:color w:val="1F497D" w:themeColor="text2"/>
                                <w:sz w:val="20"/>
                                <w:szCs w:val="20"/>
                              </w:rPr>
                              <w:t xml:space="preserve"> </w:t>
                            </w:r>
                            <w:r w:rsidRPr="00007A84">
                              <w:rPr>
                                <w:rFonts w:ascii="Arial" w:eastAsia="Courier New" w:hAnsi="Arial" w:cs="Arial"/>
                                <w:color w:val="1F497D" w:themeColor="text2"/>
                                <w:sz w:val="20"/>
                                <w:szCs w:val="20"/>
                                <w:highlight w:val="yellow"/>
                              </w:rPr>
                              <w:t>or trip</w:t>
                            </w:r>
                          </w:p>
                          <w:p w14:paraId="6F3ACF3E" w14:textId="1AB3C366" w:rsidR="009108B8" w:rsidRPr="00340F89" w:rsidRDefault="009108B8" w:rsidP="00F7179C">
                            <w:pPr>
                              <w:ind w:left="540"/>
                              <w:contextualSpacing/>
                              <w:rPr>
                                <w:rFonts w:ascii="Arial" w:eastAsia="Courier New" w:hAnsi="Arial" w:cs="Arial"/>
                                <w:color w:val="1F497D" w:themeColor="text2"/>
                                <w:sz w:val="20"/>
                                <w:szCs w:val="20"/>
                              </w:rPr>
                            </w:pPr>
                            <w:r w:rsidRPr="00340F89">
                              <w:rPr>
                                <w:rFonts w:ascii="Arial" w:eastAsia="Courier New" w:hAnsi="Arial" w:cs="Arial"/>
                                <w:color w:val="1F497D" w:themeColor="text2"/>
                                <w:sz w:val="20"/>
                                <w:szCs w:val="20"/>
                              </w:rPr>
                              <w:t>3b.  3 fish/person/day</w:t>
                            </w:r>
                            <w:r>
                              <w:rPr>
                                <w:rFonts w:ascii="Arial" w:eastAsia="Courier New" w:hAnsi="Arial" w:cs="Arial"/>
                                <w:color w:val="1F497D" w:themeColor="text2"/>
                                <w:sz w:val="20"/>
                                <w:szCs w:val="20"/>
                              </w:rPr>
                              <w:t xml:space="preserve"> </w:t>
                            </w:r>
                            <w:r w:rsidRPr="00007A84">
                              <w:rPr>
                                <w:rFonts w:ascii="Arial" w:eastAsia="Courier New" w:hAnsi="Arial" w:cs="Arial"/>
                                <w:color w:val="1F497D" w:themeColor="text2"/>
                                <w:sz w:val="20"/>
                                <w:szCs w:val="20"/>
                                <w:highlight w:val="yellow"/>
                              </w:rPr>
                              <w:t>or trip</w:t>
                            </w:r>
                          </w:p>
                          <w:p w14:paraId="72C7141B" w14:textId="4993DF7B" w:rsidR="009108B8" w:rsidRPr="00903F45" w:rsidRDefault="009108B8" w:rsidP="00F7179C">
                            <w:pPr>
                              <w:ind w:left="540"/>
                              <w:contextualSpacing/>
                              <w:rPr>
                                <w:rFonts w:ascii="Arial" w:eastAsia="Courier New" w:hAnsi="Arial" w:cs="Arial"/>
                                <w:color w:val="1F497D" w:themeColor="text2"/>
                                <w:sz w:val="20"/>
                                <w:szCs w:val="20"/>
                              </w:rPr>
                            </w:pPr>
                            <w:r w:rsidRPr="00903F45">
                              <w:rPr>
                                <w:rFonts w:ascii="Arial" w:eastAsia="Courier New" w:hAnsi="Arial" w:cs="Arial"/>
                                <w:color w:val="1F497D" w:themeColor="text2"/>
                                <w:sz w:val="20"/>
                                <w:szCs w:val="20"/>
                              </w:rPr>
                              <w:t>3c.  10 fish/vessel/day</w:t>
                            </w:r>
                          </w:p>
                          <w:p w14:paraId="1514E4D3" w14:textId="48F152B7" w:rsidR="009108B8" w:rsidRPr="00903F45" w:rsidRDefault="009108B8" w:rsidP="00F7179C">
                            <w:pPr>
                              <w:ind w:left="540"/>
                              <w:contextualSpacing/>
                              <w:rPr>
                                <w:rFonts w:ascii="Arial" w:eastAsia="Courier New" w:hAnsi="Arial" w:cs="Arial"/>
                                <w:color w:val="1F497D" w:themeColor="text2"/>
                                <w:sz w:val="20"/>
                                <w:szCs w:val="20"/>
                              </w:rPr>
                            </w:pPr>
                            <w:r w:rsidRPr="00903F45">
                              <w:rPr>
                                <w:rFonts w:ascii="Arial" w:eastAsia="Courier New" w:hAnsi="Arial" w:cs="Arial"/>
                                <w:color w:val="1F497D" w:themeColor="text2"/>
                                <w:sz w:val="20"/>
                                <w:szCs w:val="20"/>
                              </w:rPr>
                              <w:t>3d.  12 fish/vessel/day</w:t>
                            </w:r>
                          </w:p>
                          <w:p w14:paraId="260DDF91" w14:textId="6CFF18EF" w:rsidR="009108B8" w:rsidRDefault="009108B8" w:rsidP="00F7179C">
                            <w:pPr>
                              <w:ind w:left="540"/>
                              <w:contextualSpacing/>
                              <w:rPr>
                                <w:rFonts w:ascii="Arial" w:eastAsia="Courier New" w:hAnsi="Arial" w:cs="Arial"/>
                                <w:color w:val="1F497D" w:themeColor="text2"/>
                                <w:sz w:val="20"/>
                                <w:szCs w:val="20"/>
                              </w:rPr>
                            </w:pPr>
                            <w:r w:rsidRPr="00903F45">
                              <w:rPr>
                                <w:rFonts w:ascii="Arial" w:eastAsia="Courier New" w:hAnsi="Arial" w:cs="Arial"/>
                                <w:color w:val="1F497D" w:themeColor="text2"/>
                                <w:sz w:val="20"/>
                                <w:szCs w:val="20"/>
                              </w:rPr>
                              <w:t>3e.  No retention</w:t>
                            </w:r>
                          </w:p>
                          <w:p w14:paraId="590796DF" w14:textId="7D5BEAD4" w:rsidR="009108B8" w:rsidRPr="00340F89" w:rsidRDefault="009108B8" w:rsidP="00F7179C">
                            <w:pPr>
                              <w:ind w:left="540"/>
                              <w:contextualSpacing/>
                              <w:rPr>
                                <w:rFonts w:ascii="Arial" w:eastAsia="Courier New" w:hAnsi="Arial" w:cs="Arial"/>
                                <w:b/>
                                <w:color w:val="1F497D" w:themeColor="text2"/>
                                <w:sz w:val="20"/>
                                <w:szCs w:val="20"/>
                              </w:rPr>
                            </w:pPr>
                            <w:r w:rsidRPr="00340F89">
                              <w:rPr>
                                <w:rFonts w:ascii="Arial" w:eastAsia="Courier New" w:hAnsi="Arial" w:cs="Arial"/>
                                <w:b/>
                                <w:color w:val="1F497D" w:themeColor="text2"/>
                                <w:sz w:val="20"/>
                                <w:szCs w:val="20"/>
                              </w:rPr>
                              <w:t>3f.  5 fish/person/day</w:t>
                            </w:r>
                            <w:r>
                              <w:rPr>
                                <w:rFonts w:ascii="Arial" w:eastAsia="Courier New" w:hAnsi="Arial" w:cs="Arial"/>
                                <w:b/>
                                <w:color w:val="1F497D" w:themeColor="text2"/>
                                <w:sz w:val="20"/>
                                <w:szCs w:val="20"/>
                              </w:rPr>
                              <w:t xml:space="preserve"> </w:t>
                            </w:r>
                            <w:r w:rsidRPr="00007A84">
                              <w:rPr>
                                <w:rFonts w:ascii="Arial" w:eastAsia="Courier New" w:hAnsi="Arial" w:cs="Arial"/>
                                <w:b/>
                                <w:color w:val="1F497D" w:themeColor="text2"/>
                                <w:sz w:val="20"/>
                                <w:szCs w:val="20"/>
                                <w:highlight w:val="yellow"/>
                              </w:rPr>
                              <w:t>or trip</w:t>
                            </w:r>
                          </w:p>
                          <w:p w14:paraId="757EC705" w14:textId="77777777" w:rsidR="009108B8" w:rsidRPr="00903F45" w:rsidRDefault="009108B8" w:rsidP="00F7179C">
                            <w:pPr>
                              <w:ind w:left="540"/>
                              <w:contextualSpacing/>
                              <w:rPr>
                                <w:rFonts w:ascii="Arial" w:eastAsia="Courier New" w:hAnsi="Arial" w:cs="Arial"/>
                                <w:color w:val="1F497D" w:themeColor="text2"/>
                                <w:sz w:val="20"/>
                                <w:szCs w:val="20"/>
                              </w:rPr>
                            </w:pPr>
                          </w:p>
                          <w:p w14:paraId="5D9B34E3" w14:textId="34B4BAEC" w:rsidR="009108B8" w:rsidRPr="00903F45" w:rsidRDefault="009108B8" w:rsidP="00CC3FDF">
                            <w:pPr>
                              <w:rPr>
                                <w:rFonts w:ascii="Arial" w:hAnsi="Arial" w:cs="Arial"/>
                                <w:color w:val="1F497D" w:themeColor="text2"/>
                                <w:sz w:val="20"/>
                                <w:szCs w:val="20"/>
                              </w:rPr>
                            </w:pPr>
                            <w:r w:rsidRPr="00903F45">
                              <w:rPr>
                                <w:rFonts w:ascii="Arial" w:hAnsi="Arial" w:cs="Arial"/>
                                <w:color w:val="1F497D" w:themeColor="text2"/>
                                <w:sz w:val="20"/>
                                <w:szCs w:val="20"/>
                              </w:rPr>
                              <w:t>*</w:t>
                            </w:r>
                            <w:r>
                              <w:rPr>
                                <w:rFonts w:ascii="Arial" w:hAnsi="Arial" w:cs="Arial"/>
                                <w:color w:val="1F497D" w:themeColor="text2"/>
                                <w:sz w:val="20"/>
                                <w:szCs w:val="20"/>
                              </w:rPr>
                              <w:t xml:space="preserve"> Preferred indicated in bold. </w:t>
                            </w:r>
                            <w:r w:rsidRPr="00903F45">
                              <w:rPr>
                                <w:rFonts w:ascii="Arial" w:hAnsi="Arial" w:cs="Arial"/>
                                <w:color w:val="1F497D" w:themeColor="text2"/>
                                <w:sz w:val="20"/>
                                <w:szCs w:val="20"/>
                              </w:rPr>
                              <w:t>Refer to Chapter 2 for detailed language of alternatives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30.2pt;margin-top:55.75pt;width:236.1pt;height:395.7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" strokecolor="#548dd4 [1951]">
                <v:shadow on="t" opacity="26214f" mv:blur="50800f" origin="-.5,.5" offset="26941emu,-26941emu"/>
                <v:textbox>
                  <w:txbxContent>
                    <w:p w14:paraId="6ADDF1FC" w14:textId="52768654" w:rsidR="009108B8" w:rsidRPr="00903F45" w:rsidRDefault="009108B8" w:rsidP="00CC3FDF">
                      <w:pPr>
                        <w:jc w:val="center"/>
                        <w:rPr>
                          <w:rFonts w:ascii="Arial" w:hAnsi="Arial" w:cs="Arial"/>
                          <w:b/>
                          <w:i/>
                          <w:iCs/>
                          <w:color w:val="365F91" w:themeColor="accent1" w:themeShade="BF"/>
                        </w:rPr>
                      </w:pPr>
                      <w:r w:rsidRPr="00903F45">
                        <w:rPr>
                          <w:rFonts w:ascii="Arial" w:hAnsi="Arial" w:cs="Arial"/>
                          <w:b/>
                          <w:i/>
                          <w:iCs/>
                          <w:color w:val="365F91" w:themeColor="accent1" w:themeShade="BF"/>
                        </w:rPr>
                        <w:t>Alternatives</w:t>
                      </w:r>
                      <w:r>
                        <w:rPr>
                          <w:rFonts w:ascii="Arial" w:hAnsi="Arial" w:cs="Arial"/>
                          <w:b/>
                          <w:i/>
                          <w:iCs/>
                          <w:color w:val="365F91" w:themeColor="accent1" w:themeShade="BF"/>
                        </w:rPr>
                        <w:t>*</w:t>
                      </w:r>
                    </w:p>
                    <w:p w14:paraId="5F993805" w14:textId="77777777" w:rsidR="009108B8" w:rsidRDefault="009108B8" w:rsidP="00CC3FDF">
                      <w:pPr>
                        <w:jc w:val="center"/>
                        <w:rPr>
                          <w:rFonts w:ascii="Arial" w:hAnsi="Arial" w:cs="Arial"/>
                          <w:b/>
                          <w:i/>
                          <w:iCs/>
                          <w:color w:val="365F91" w:themeColor="accent1" w:themeShade="BF"/>
                          <w:sz w:val="28"/>
                          <w:szCs w:val="28"/>
                        </w:rPr>
                      </w:pPr>
                    </w:p>
                    <w:p w14:paraId="1407122D" w14:textId="0C907C5A" w:rsidR="009108B8" w:rsidRPr="00903F45" w:rsidRDefault="009108B8" w:rsidP="00CC3FDF">
                      <w:pPr>
                        <w:pStyle w:val="Normal1"/>
                        <w:spacing w:line="240" w:lineRule="auto"/>
                        <w:contextualSpacing/>
                        <w:rPr>
                          <w:color w:val="1F497D" w:themeColor="text2"/>
                          <w:sz w:val="20"/>
                          <w:szCs w:val="20"/>
                        </w:rPr>
                      </w:pPr>
                      <w:r w:rsidRPr="00903F45">
                        <w:rPr>
                          <w:color w:val="1F497D" w:themeColor="text2"/>
                          <w:sz w:val="20"/>
                          <w:szCs w:val="20"/>
                        </w:rPr>
                        <w:t>1 (No Action).</w:t>
                      </w:r>
                      <w:r>
                        <w:rPr>
                          <w:color w:val="1F497D" w:themeColor="text2"/>
                          <w:sz w:val="20"/>
                          <w:szCs w:val="20"/>
                        </w:rPr>
                        <w:t xml:space="preserve">  </w:t>
                      </w:r>
                      <w:r w:rsidRPr="00FC03A7">
                        <w:rPr>
                          <w:color w:val="1F497D" w:themeColor="text2"/>
                          <w:sz w:val="20"/>
                          <w:szCs w:val="20"/>
                        </w:rPr>
                        <w:t xml:space="preserve">During May and June, each year, the possession of mutton snapper in or from the exclusive economic zone on board a vessel that has a commercial permit for South Atlantic snapper-grouper is limited to 10 per person per day or 10 per person per trip, whichever is more restrictive.  There is no possession or trip limit for the commercial sector in the South Atlantic from </w:t>
                      </w:r>
                      <w:r w:rsidRPr="000109FC">
                        <w:rPr>
                          <w:color w:val="1F497D" w:themeColor="text2"/>
                          <w:sz w:val="20"/>
                          <w:szCs w:val="18"/>
                          <w:highlight w:val="yellow"/>
                        </w:rPr>
                        <w:t>January through April and July through December.</w:t>
                      </w:r>
                      <w:r w:rsidRPr="000109FC">
                        <w:rPr>
                          <w:color w:val="1F497D" w:themeColor="text2"/>
                          <w:szCs w:val="20"/>
                        </w:rPr>
                        <w:t xml:space="preserve">  </w:t>
                      </w:r>
                    </w:p>
                    <w:p w14:paraId="6E511393" w14:textId="77777777" w:rsidR="009108B8" w:rsidRPr="00903F45" w:rsidRDefault="009108B8" w:rsidP="00CC3FDF">
                      <w:pPr>
                        <w:contextualSpacing/>
                        <w:rPr>
                          <w:rFonts w:ascii="Arial" w:eastAsia="Courier New" w:hAnsi="Arial" w:cs="Arial"/>
                          <w:color w:val="1F497D" w:themeColor="text2"/>
                          <w:sz w:val="20"/>
                          <w:szCs w:val="20"/>
                        </w:rPr>
                      </w:pPr>
                    </w:p>
                    <w:p w14:paraId="3768D654" w14:textId="1EF87280" w:rsidR="009108B8" w:rsidRPr="0016692A" w:rsidRDefault="009108B8" w:rsidP="00CC3FDF">
                      <w:pPr>
                        <w:contextualSpacing/>
                        <w:rPr>
                          <w:rFonts w:ascii="Arial" w:eastAsia="Courier New" w:hAnsi="Arial" w:cs="Arial"/>
                          <w:b/>
                          <w:color w:val="1F497D" w:themeColor="text2"/>
                          <w:sz w:val="20"/>
                          <w:szCs w:val="20"/>
                        </w:rPr>
                      </w:pPr>
                      <w:r w:rsidRPr="0016692A">
                        <w:rPr>
                          <w:rFonts w:ascii="Arial" w:hAnsi="Arial" w:cs="Arial"/>
                          <w:b/>
                          <w:color w:val="1F497D" w:themeColor="text2"/>
                          <w:sz w:val="20"/>
                          <w:szCs w:val="20"/>
                        </w:rPr>
                        <w:t>2. Establish a commercial trip limit for mutton snapper during the “regular season” (i.e., non-spawning months) in the South Atlantic.</w:t>
                      </w:r>
                    </w:p>
                    <w:p w14:paraId="388E027E" w14:textId="619B1422" w:rsidR="009108B8" w:rsidRPr="00FC03A7" w:rsidRDefault="009108B8" w:rsidP="00F7179C">
                      <w:pPr>
                        <w:ind w:left="540"/>
                        <w:contextualSpacing/>
                        <w:rPr>
                          <w:rFonts w:ascii="Arial" w:hAnsi="Arial" w:cs="Arial"/>
                          <w:color w:val="1F497D" w:themeColor="text2"/>
                          <w:sz w:val="20"/>
                          <w:szCs w:val="20"/>
                        </w:rPr>
                      </w:pPr>
                      <w:r w:rsidRPr="00FC03A7">
                        <w:rPr>
                          <w:rFonts w:ascii="Arial" w:hAnsi="Arial" w:cs="Arial"/>
                          <w:color w:val="1F497D" w:themeColor="text2"/>
                          <w:sz w:val="20"/>
                          <w:szCs w:val="20"/>
                        </w:rPr>
                        <w:t>2a.  300 pounds</w:t>
                      </w:r>
                    </w:p>
                    <w:p w14:paraId="3B02697A" w14:textId="15605058" w:rsidR="009108B8" w:rsidRPr="00903F45" w:rsidRDefault="009108B8" w:rsidP="00F7179C">
                      <w:pPr>
                        <w:ind w:left="540"/>
                        <w:contextualSpacing/>
                        <w:rPr>
                          <w:rFonts w:ascii="Arial" w:hAnsi="Arial" w:cs="Arial"/>
                          <w:color w:val="1F497D" w:themeColor="text2"/>
                          <w:sz w:val="20"/>
                          <w:szCs w:val="20"/>
                        </w:rPr>
                      </w:pPr>
                      <w:r w:rsidRPr="00903F45">
                        <w:rPr>
                          <w:rFonts w:ascii="Arial" w:hAnsi="Arial" w:cs="Arial"/>
                          <w:color w:val="1F497D" w:themeColor="text2"/>
                          <w:sz w:val="20"/>
                          <w:szCs w:val="20"/>
                        </w:rPr>
                        <w:t>2b.  400 pounds</w:t>
                      </w:r>
                    </w:p>
                    <w:p w14:paraId="66952EA8" w14:textId="2AF6FA57" w:rsidR="009108B8" w:rsidRPr="00FC03A7" w:rsidRDefault="009108B8" w:rsidP="00F7179C">
                      <w:pPr>
                        <w:ind w:left="540"/>
                        <w:contextualSpacing/>
                        <w:rPr>
                          <w:rFonts w:ascii="Arial" w:hAnsi="Arial" w:cs="Arial"/>
                          <w:b/>
                          <w:color w:val="1F497D" w:themeColor="text2"/>
                          <w:sz w:val="20"/>
                          <w:szCs w:val="20"/>
                        </w:rPr>
                      </w:pPr>
                      <w:r w:rsidRPr="00FC03A7">
                        <w:rPr>
                          <w:rFonts w:ascii="Arial" w:hAnsi="Arial" w:cs="Arial"/>
                          <w:b/>
                          <w:color w:val="1F497D" w:themeColor="text2"/>
                          <w:sz w:val="20"/>
                          <w:szCs w:val="20"/>
                        </w:rPr>
                        <w:t>2c.  500 pounds</w:t>
                      </w:r>
                    </w:p>
                    <w:p w14:paraId="4BF32BF5" w14:textId="77777777" w:rsidR="009108B8" w:rsidRPr="00903F45" w:rsidRDefault="009108B8" w:rsidP="00CC3FDF">
                      <w:pPr>
                        <w:contextualSpacing/>
                        <w:rPr>
                          <w:rFonts w:ascii="Arial" w:hAnsi="Arial" w:cs="Arial"/>
                          <w:color w:val="1F497D" w:themeColor="text2"/>
                          <w:sz w:val="20"/>
                          <w:szCs w:val="20"/>
                        </w:rPr>
                      </w:pPr>
                    </w:p>
                    <w:p w14:paraId="4AEA2EDE" w14:textId="420F7B8E" w:rsidR="009108B8" w:rsidRPr="0016692A" w:rsidRDefault="009108B8" w:rsidP="00CC3FDF">
                      <w:pPr>
                        <w:contextualSpacing/>
                        <w:rPr>
                          <w:rFonts w:ascii="Arial" w:eastAsia="Courier New" w:hAnsi="Arial" w:cs="Arial"/>
                          <w:b/>
                          <w:color w:val="1F497D" w:themeColor="text2"/>
                          <w:sz w:val="20"/>
                          <w:szCs w:val="20"/>
                        </w:rPr>
                      </w:pPr>
                      <w:r w:rsidRPr="0016692A">
                        <w:rPr>
                          <w:rFonts w:ascii="Arial" w:hAnsi="Arial" w:cs="Arial"/>
                          <w:b/>
                          <w:color w:val="1F497D" w:themeColor="text2"/>
                          <w:sz w:val="20"/>
                          <w:szCs w:val="20"/>
                        </w:rPr>
                        <w:t>3. Specify a commercial trip limit for mutton snapper during the “spawning months” in the South Atlantic.</w:t>
                      </w:r>
                    </w:p>
                    <w:p w14:paraId="341C1FA9" w14:textId="42FA62F9" w:rsidR="009108B8" w:rsidRPr="00903F45" w:rsidRDefault="009108B8" w:rsidP="00F7179C">
                      <w:pPr>
                        <w:ind w:left="540"/>
                        <w:contextualSpacing/>
                        <w:rPr>
                          <w:rFonts w:ascii="Arial" w:eastAsia="Courier New" w:hAnsi="Arial" w:cs="Arial"/>
                          <w:color w:val="1F497D" w:themeColor="text2"/>
                          <w:sz w:val="20"/>
                          <w:szCs w:val="20"/>
                        </w:rPr>
                      </w:pPr>
                      <w:r w:rsidRPr="00903F45">
                        <w:rPr>
                          <w:rFonts w:ascii="Arial" w:eastAsia="Courier New" w:hAnsi="Arial" w:cs="Arial"/>
                          <w:color w:val="1F497D" w:themeColor="text2"/>
                          <w:sz w:val="20"/>
                          <w:szCs w:val="20"/>
                        </w:rPr>
                        <w:t>3a.  2 fish/person/day</w:t>
                      </w:r>
                      <w:r>
                        <w:rPr>
                          <w:rFonts w:ascii="Arial" w:eastAsia="Courier New" w:hAnsi="Arial" w:cs="Arial"/>
                          <w:color w:val="1F497D" w:themeColor="text2"/>
                          <w:sz w:val="20"/>
                          <w:szCs w:val="20"/>
                        </w:rPr>
                        <w:t xml:space="preserve"> </w:t>
                      </w:r>
                      <w:r w:rsidRPr="00007A84">
                        <w:rPr>
                          <w:rFonts w:ascii="Arial" w:eastAsia="Courier New" w:hAnsi="Arial" w:cs="Arial"/>
                          <w:color w:val="1F497D" w:themeColor="text2"/>
                          <w:sz w:val="20"/>
                          <w:szCs w:val="20"/>
                          <w:highlight w:val="yellow"/>
                        </w:rPr>
                        <w:t>or trip</w:t>
                      </w:r>
                    </w:p>
                    <w:p w14:paraId="6F3ACF3E" w14:textId="1AB3C366" w:rsidR="009108B8" w:rsidRPr="00340F89" w:rsidRDefault="009108B8" w:rsidP="00F7179C">
                      <w:pPr>
                        <w:ind w:left="540"/>
                        <w:contextualSpacing/>
                        <w:rPr>
                          <w:rFonts w:ascii="Arial" w:eastAsia="Courier New" w:hAnsi="Arial" w:cs="Arial"/>
                          <w:color w:val="1F497D" w:themeColor="text2"/>
                          <w:sz w:val="20"/>
                          <w:szCs w:val="20"/>
                        </w:rPr>
                      </w:pPr>
                      <w:r w:rsidRPr="00340F89">
                        <w:rPr>
                          <w:rFonts w:ascii="Arial" w:eastAsia="Courier New" w:hAnsi="Arial" w:cs="Arial"/>
                          <w:color w:val="1F497D" w:themeColor="text2"/>
                          <w:sz w:val="20"/>
                          <w:szCs w:val="20"/>
                        </w:rPr>
                        <w:t>3b.  3 fish/person/day</w:t>
                      </w:r>
                      <w:r>
                        <w:rPr>
                          <w:rFonts w:ascii="Arial" w:eastAsia="Courier New" w:hAnsi="Arial" w:cs="Arial"/>
                          <w:color w:val="1F497D" w:themeColor="text2"/>
                          <w:sz w:val="20"/>
                          <w:szCs w:val="20"/>
                        </w:rPr>
                        <w:t xml:space="preserve"> </w:t>
                      </w:r>
                      <w:r w:rsidRPr="00007A84">
                        <w:rPr>
                          <w:rFonts w:ascii="Arial" w:eastAsia="Courier New" w:hAnsi="Arial" w:cs="Arial"/>
                          <w:color w:val="1F497D" w:themeColor="text2"/>
                          <w:sz w:val="20"/>
                          <w:szCs w:val="20"/>
                          <w:highlight w:val="yellow"/>
                        </w:rPr>
                        <w:t>or trip</w:t>
                      </w:r>
                    </w:p>
                    <w:p w14:paraId="72C7141B" w14:textId="4993DF7B" w:rsidR="009108B8" w:rsidRPr="00903F45" w:rsidRDefault="009108B8" w:rsidP="00F7179C">
                      <w:pPr>
                        <w:ind w:left="540"/>
                        <w:contextualSpacing/>
                        <w:rPr>
                          <w:rFonts w:ascii="Arial" w:eastAsia="Courier New" w:hAnsi="Arial" w:cs="Arial"/>
                          <w:color w:val="1F497D" w:themeColor="text2"/>
                          <w:sz w:val="20"/>
                          <w:szCs w:val="20"/>
                        </w:rPr>
                      </w:pPr>
                      <w:r w:rsidRPr="00903F45">
                        <w:rPr>
                          <w:rFonts w:ascii="Arial" w:eastAsia="Courier New" w:hAnsi="Arial" w:cs="Arial"/>
                          <w:color w:val="1F497D" w:themeColor="text2"/>
                          <w:sz w:val="20"/>
                          <w:szCs w:val="20"/>
                        </w:rPr>
                        <w:t>3c.  10 fish/vessel/day</w:t>
                      </w:r>
                    </w:p>
                    <w:p w14:paraId="1514E4D3" w14:textId="48F152B7" w:rsidR="009108B8" w:rsidRPr="00903F45" w:rsidRDefault="009108B8" w:rsidP="00F7179C">
                      <w:pPr>
                        <w:ind w:left="540"/>
                        <w:contextualSpacing/>
                        <w:rPr>
                          <w:rFonts w:ascii="Arial" w:eastAsia="Courier New" w:hAnsi="Arial" w:cs="Arial"/>
                          <w:color w:val="1F497D" w:themeColor="text2"/>
                          <w:sz w:val="20"/>
                          <w:szCs w:val="20"/>
                        </w:rPr>
                      </w:pPr>
                      <w:r w:rsidRPr="00903F45">
                        <w:rPr>
                          <w:rFonts w:ascii="Arial" w:eastAsia="Courier New" w:hAnsi="Arial" w:cs="Arial"/>
                          <w:color w:val="1F497D" w:themeColor="text2"/>
                          <w:sz w:val="20"/>
                          <w:szCs w:val="20"/>
                        </w:rPr>
                        <w:t>3d.  12 fish/vessel/day</w:t>
                      </w:r>
                    </w:p>
                    <w:p w14:paraId="260DDF91" w14:textId="6CFF18EF" w:rsidR="009108B8" w:rsidRDefault="009108B8" w:rsidP="00F7179C">
                      <w:pPr>
                        <w:ind w:left="540"/>
                        <w:contextualSpacing/>
                        <w:rPr>
                          <w:rFonts w:ascii="Arial" w:eastAsia="Courier New" w:hAnsi="Arial" w:cs="Arial"/>
                          <w:color w:val="1F497D" w:themeColor="text2"/>
                          <w:sz w:val="20"/>
                          <w:szCs w:val="20"/>
                        </w:rPr>
                      </w:pPr>
                      <w:r w:rsidRPr="00903F45">
                        <w:rPr>
                          <w:rFonts w:ascii="Arial" w:eastAsia="Courier New" w:hAnsi="Arial" w:cs="Arial"/>
                          <w:color w:val="1F497D" w:themeColor="text2"/>
                          <w:sz w:val="20"/>
                          <w:szCs w:val="20"/>
                        </w:rPr>
                        <w:t>3e.  No retention</w:t>
                      </w:r>
                    </w:p>
                    <w:p w14:paraId="590796DF" w14:textId="7D5BEAD4" w:rsidR="009108B8" w:rsidRPr="00340F89" w:rsidRDefault="009108B8" w:rsidP="00F7179C">
                      <w:pPr>
                        <w:ind w:left="540"/>
                        <w:contextualSpacing/>
                        <w:rPr>
                          <w:rFonts w:ascii="Arial" w:eastAsia="Courier New" w:hAnsi="Arial" w:cs="Arial"/>
                          <w:b/>
                          <w:color w:val="1F497D" w:themeColor="text2"/>
                          <w:sz w:val="20"/>
                          <w:szCs w:val="20"/>
                        </w:rPr>
                      </w:pPr>
                      <w:r w:rsidRPr="00340F89">
                        <w:rPr>
                          <w:rFonts w:ascii="Arial" w:eastAsia="Courier New" w:hAnsi="Arial" w:cs="Arial"/>
                          <w:b/>
                          <w:color w:val="1F497D" w:themeColor="text2"/>
                          <w:sz w:val="20"/>
                          <w:szCs w:val="20"/>
                        </w:rPr>
                        <w:t>3f.  5 fish/person/day</w:t>
                      </w:r>
                      <w:r>
                        <w:rPr>
                          <w:rFonts w:ascii="Arial" w:eastAsia="Courier New" w:hAnsi="Arial" w:cs="Arial"/>
                          <w:b/>
                          <w:color w:val="1F497D" w:themeColor="text2"/>
                          <w:sz w:val="20"/>
                          <w:szCs w:val="20"/>
                        </w:rPr>
                        <w:t xml:space="preserve"> </w:t>
                      </w:r>
                      <w:r w:rsidRPr="00007A84">
                        <w:rPr>
                          <w:rFonts w:ascii="Arial" w:eastAsia="Courier New" w:hAnsi="Arial" w:cs="Arial"/>
                          <w:b/>
                          <w:color w:val="1F497D" w:themeColor="text2"/>
                          <w:sz w:val="20"/>
                          <w:szCs w:val="20"/>
                          <w:highlight w:val="yellow"/>
                        </w:rPr>
                        <w:t>or trip</w:t>
                      </w:r>
                    </w:p>
                    <w:p w14:paraId="757EC705" w14:textId="77777777" w:rsidR="009108B8" w:rsidRPr="00903F45" w:rsidRDefault="009108B8" w:rsidP="00F7179C">
                      <w:pPr>
                        <w:ind w:left="540"/>
                        <w:contextualSpacing/>
                        <w:rPr>
                          <w:rFonts w:ascii="Arial" w:eastAsia="Courier New" w:hAnsi="Arial" w:cs="Arial"/>
                          <w:color w:val="1F497D" w:themeColor="text2"/>
                          <w:sz w:val="20"/>
                          <w:szCs w:val="20"/>
                        </w:rPr>
                      </w:pPr>
                    </w:p>
                    <w:p w14:paraId="5D9B34E3" w14:textId="34B4BAEC" w:rsidR="009108B8" w:rsidRPr="00903F45" w:rsidRDefault="009108B8" w:rsidP="00CC3FDF">
                      <w:pPr>
                        <w:rPr>
                          <w:rFonts w:ascii="Arial" w:hAnsi="Arial" w:cs="Arial"/>
                          <w:color w:val="1F497D" w:themeColor="text2"/>
                          <w:sz w:val="20"/>
                          <w:szCs w:val="20"/>
                        </w:rPr>
                      </w:pPr>
                      <w:r w:rsidRPr="00903F45">
                        <w:rPr>
                          <w:rFonts w:ascii="Arial" w:hAnsi="Arial" w:cs="Arial"/>
                          <w:color w:val="1F497D" w:themeColor="text2"/>
                          <w:sz w:val="20"/>
                          <w:szCs w:val="20"/>
                        </w:rPr>
                        <w:t>*</w:t>
                      </w:r>
                      <w:r>
                        <w:rPr>
                          <w:rFonts w:ascii="Arial" w:hAnsi="Arial" w:cs="Arial"/>
                          <w:color w:val="1F497D" w:themeColor="text2"/>
                          <w:sz w:val="20"/>
                          <w:szCs w:val="20"/>
                        </w:rPr>
                        <w:t xml:space="preserve"> Preferred indicated in bold. </w:t>
                      </w:r>
                      <w:r w:rsidRPr="00903F45">
                        <w:rPr>
                          <w:rFonts w:ascii="Arial" w:hAnsi="Arial" w:cs="Arial"/>
                          <w:color w:val="1F497D" w:themeColor="text2"/>
                          <w:sz w:val="20"/>
                          <w:szCs w:val="20"/>
                        </w:rPr>
                        <w:t>Refer to Chapter 2 for detailed language of alternatives</w:t>
                      </w:r>
                    </w:p>
                  </w:txbxContent>
                </v:textbox>
                <w10:wrap type="square" anchorx="margin" anchory="margin"/>
              </v:shape>
            </w:pict>
          </mc:Fallback>
        </mc:AlternateContent>
      </w:r>
      <w:r>
        <w:t>4.</w:t>
      </w:r>
      <w:r w:rsidR="0016692A">
        <w:t>8</w:t>
      </w:r>
      <w:r>
        <w:t>.1</w:t>
      </w:r>
      <w:r>
        <w:tab/>
      </w:r>
      <w:r w:rsidRPr="005B5A20">
        <w:t>Biological Effects</w:t>
      </w:r>
      <w:bookmarkEnd w:id="280"/>
      <w:r w:rsidRPr="005B5A20">
        <w:t xml:space="preserve"> </w:t>
      </w:r>
    </w:p>
    <w:p w14:paraId="5F448508" w14:textId="176C80F5" w:rsidR="007F2890" w:rsidRDefault="007F2890" w:rsidP="007F2890">
      <w:pPr>
        <w:ind w:firstLine="360"/>
      </w:pPr>
      <w:r w:rsidRPr="0095529D">
        <w:rPr>
          <w:b/>
        </w:rPr>
        <w:t>Table</w:t>
      </w:r>
      <w:r>
        <w:t xml:space="preserve"> </w:t>
      </w:r>
      <w:r w:rsidR="00EE7412">
        <w:rPr>
          <w:b/>
        </w:rPr>
        <w:t>4.8</w:t>
      </w:r>
      <w:r>
        <w:rPr>
          <w:b/>
        </w:rPr>
        <w:t>.1</w:t>
      </w:r>
      <w:r>
        <w:t xml:space="preserve"> shows commercial landings of mutton snapper by gear type from 2004-2014 in the South Atlantic.  The predominant gear for harvesting mutton snapper in South Atlantic waters has been vertical line (</w:t>
      </w:r>
      <w:r w:rsidRPr="0095529D">
        <w:rPr>
          <w:b/>
        </w:rPr>
        <w:t>Table</w:t>
      </w:r>
      <w:r w:rsidR="00EE7412">
        <w:rPr>
          <w:b/>
        </w:rPr>
        <w:t xml:space="preserve"> 4.8</w:t>
      </w:r>
      <w:r>
        <w:rPr>
          <w:b/>
        </w:rPr>
        <w:t>.1</w:t>
      </w:r>
      <w:r>
        <w:t xml:space="preserve">).  Trap gear was phased out in the Gulf in 2007; however, trap landings of mutton snapper are still reported in the South Atlantic and are likely bycatch from the spiny lobster fishery (Matthews et al. 2005).  </w:t>
      </w:r>
      <w:bookmarkStart w:id="281" w:name="_Toc419885504"/>
    </w:p>
    <w:p w14:paraId="62B05A72" w14:textId="77777777" w:rsidR="007F2890" w:rsidRDefault="007F2890" w:rsidP="007F2890">
      <w:pPr>
        <w:ind w:firstLine="360"/>
      </w:pPr>
    </w:p>
    <w:p w14:paraId="228ABFC0" w14:textId="389BFC9D" w:rsidR="007F2890" w:rsidRDefault="007F2890" w:rsidP="007F2890">
      <w:pPr>
        <w:ind w:firstLine="360"/>
        <w:contextualSpacing/>
      </w:pPr>
      <w:r>
        <w:t>Commercial landings of mutton snappe</w:t>
      </w:r>
      <w:r w:rsidR="003F17D4">
        <w:t xml:space="preserve">r in the South Atlantic region </w:t>
      </w:r>
      <w:r>
        <w:t>are highest during the May-June peak spawning period (</w:t>
      </w:r>
      <w:r w:rsidRPr="00FC67CD">
        <w:rPr>
          <w:b/>
        </w:rPr>
        <w:t xml:space="preserve">Figure </w:t>
      </w:r>
      <w:r w:rsidR="00EE7412">
        <w:rPr>
          <w:b/>
        </w:rPr>
        <w:t>4.8</w:t>
      </w:r>
      <w:r>
        <w:rPr>
          <w:b/>
        </w:rPr>
        <w:t>.1</w:t>
      </w:r>
      <w:r>
        <w:t>) despite the current restriction on harvest.  Overall</w:t>
      </w:r>
      <w:r w:rsidR="001D01AA">
        <w:t>,</w:t>
      </w:r>
      <w:r>
        <w:t xml:space="preserve"> South Atlantic</w:t>
      </w:r>
      <w:r w:rsidR="00466925">
        <w:t xml:space="preserve"> </w:t>
      </w:r>
      <w:r>
        <w:t xml:space="preserve">landings of mutton snapper were highest in 2004, decreased through 2011, and then had an overall increase </w:t>
      </w:r>
      <w:r w:rsidR="00233081">
        <w:t xml:space="preserve">through </w:t>
      </w:r>
      <w:r>
        <w:t>2014 (</w:t>
      </w:r>
      <w:r w:rsidRPr="00E90742">
        <w:rPr>
          <w:b/>
        </w:rPr>
        <w:t xml:space="preserve">Figure </w:t>
      </w:r>
      <w:r w:rsidR="00EE7412">
        <w:rPr>
          <w:b/>
        </w:rPr>
        <w:t>4.8</w:t>
      </w:r>
      <w:r>
        <w:rPr>
          <w:b/>
        </w:rPr>
        <w:t>.2</w:t>
      </w:r>
      <w:r>
        <w:t xml:space="preserve">).  </w:t>
      </w:r>
    </w:p>
    <w:p w14:paraId="3FEAF7A6" w14:textId="77777777" w:rsidR="007F2890" w:rsidRDefault="007F2890" w:rsidP="007F2890">
      <w:pPr>
        <w:ind w:firstLine="360"/>
      </w:pPr>
    </w:p>
    <w:p w14:paraId="1EF49852" w14:textId="77777777" w:rsidR="00466925" w:rsidRDefault="00466925">
      <w:pPr>
        <w:rPr>
          <w:rFonts w:eastAsia="Calibri"/>
          <w:b/>
        </w:rPr>
      </w:pPr>
      <w:r>
        <w:rPr>
          <w:rFonts w:eastAsia="Calibri"/>
          <w:b/>
        </w:rPr>
        <w:br w:type="page"/>
      </w:r>
    </w:p>
    <w:p w14:paraId="342B7F69" w14:textId="27E9668B" w:rsidR="007F2890" w:rsidRPr="00CD076F" w:rsidRDefault="00EE7412" w:rsidP="00466925">
      <w:pPr>
        <w:pStyle w:val="Tabletitle"/>
      </w:pPr>
      <w:bookmarkStart w:id="282" w:name="_Toc340431589"/>
      <w:r>
        <w:rPr>
          <w:rFonts w:eastAsia="Calibri"/>
          <w:b/>
        </w:rPr>
        <w:lastRenderedPageBreak/>
        <w:t>Table 4.8</w:t>
      </w:r>
      <w:r w:rsidR="007F2890">
        <w:rPr>
          <w:rFonts w:eastAsia="Calibri"/>
          <w:b/>
        </w:rPr>
        <w:t>.1</w:t>
      </w:r>
      <w:r w:rsidR="007F2890" w:rsidRPr="00631DE9">
        <w:rPr>
          <w:rFonts w:eastAsia="Calibri"/>
          <w:b/>
        </w:rPr>
        <w:t>.</w:t>
      </w:r>
      <w:r w:rsidR="007F2890" w:rsidRPr="00631DE9">
        <w:rPr>
          <w:rFonts w:eastAsia="Calibri"/>
        </w:rPr>
        <w:t xml:space="preserve"> </w:t>
      </w:r>
      <w:r w:rsidR="00867389">
        <w:rPr>
          <w:rFonts w:eastAsia="Calibri"/>
        </w:rPr>
        <w:t xml:space="preserve"> </w:t>
      </w:r>
      <w:r w:rsidR="007F2890" w:rsidRPr="00631DE9">
        <w:rPr>
          <w:rFonts w:eastAsia="Calibri"/>
        </w:rPr>
        <w:t>Commercial landings of mutton snapper by gear in the South Atlantic for 2004-2013.  Landings are reported in pounds whole weight</w:t>
      </w:r>
      <w:bookmarkEnd w:id="281"/>
      <w:r w:rsidR="007F2890" w:rsidRPr="00CD076F">
        <w:t>.  Confidential landings are labeled as “NA</w:t>
      </w:r>
      <w:r w:rsidR="00FA68EB">
        <w:t>.</w:t>
      </w:r>
      <w:r w:rsidR="007F2890" w:rsidRPr="00CD076F">
        <w:t>”</w:t>
      </w:r>
      <w:bookmarkEnd w:id="282"/>
      <w:r w:rsidR="007F2890" w:rsidRPr="00CD076F">
        <w:t xml:space="preserve">  </w:t>
      </w:r>
    </w:p>
    <w:tbl>
      <w:tblPr>
        <w:tblW w:w="5783" w:type="dxa"/>
        <w:tblInd w:w="93" w:type="dxa"/>
        <w:tblLook w:val="04A0" w:firstRow="1" w:lastRow="0" w:firstColumn="1" w:lastColumn="0" w:noHBand="0" w:noVBand="1"/>
      </w:tblPr>
      <w:tblGrid>
        <w:gridCol w:w="960"/>
        <w:gridCol w:w="1163"/>
        <w:gridCol w:w="1320"/>
        <w:gridCol w:w="1380"/>
        <w:gridCol w:w="960"/>
      </w:tblGrid>
      <w:tr w:rsidR="007F2890" w:rsidRPr="00475D23" w14:paraId="49935E18" w14:textId="77777777" w:rsidTr="007F2890">
        <w:trPr>
          <w:trHeight w:val="324"/>
        </w:trPr>
        <w:tc>
          <w:tcPr>
            <w:tcW w:w="960" w:type="dxa"/>
            <w:tcBorders>
              <w:top w:val="single" w:sz="8" w:space="0" w:color="auto"/>
              <w:left w:val="single" w:sz="8" w:space="0" w:color="auto"/>
              <w:bottom w:val="single" w:sz="8" w:space="0" w:color="auto"/>
              <w:right w:val="single" w:sz="8" w:space="0" w:color="auto"/>
            </w:tcBorders>
            <w:shd w:val="clear" w:color="000000" w:fill="D9D9D9" w:themeFill="background1" w:themeFillShade="D9"/>
            <w:noWrap/>
            <w:vAlign w:val="center"/>
            <w:hideMark/>
          </w:tcPr>
          <w:p w14:paraId="03C3AC66" w14:textId="77777777" w:rsidR="007F2890" w:rsidRPr="00475D23" w:rsidRDefault="007F2890" w:rsidP="007F2890">
            <w:pPr>
              <w:jc w:val="center"/>
              <w:rPr>
                <w:b/>
                <w:bCs/>
                <w:color w:val="000000"/>
                <w:sz w:val="22"/>
              </w:rPr>
            </w:pPr>
            <w:r w:rsidRPr="00475D23">
              <w:rPr>
                <w:b/>
                <w:bCs/>
                <w:color w:val="000000"/>
                <w:sz w:val="22"/>
              </w:rPr>
              <w:t>Year</w:t>
            </w:r>
          </w:p>
        </w:tc>
        <w:tc>
          <w:tcPr>
            <w:tcW w:w="1163" w:type="dxa"/>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14:paraId="04B982F3" w14:textId="77777777" w:rsidR="007F2890" w:rsidRPr="00475D23" w:rsidRDefault="007F2890" w:rsidP="007F2890">
            <w:pPr>
              <w:jc w:val="center"/>
              <w:rPr>
                <w:b/>
                <w:bCs/>
                <w:color w:val="000000"/>
                <w:sz w:val="22"/>
              </w:rPr>
            </w:pPr>
            <w:r w:rsidRPr="00475D23">
              <w:rPr>
                <w:b/>
                <w:bCs/>
                <w:color w:val="000000"/>
                <w:sz w:val="22"/>
              </w:rPr>
              <w:t>Vertical</w:t>
            </w:r>
          </w:p>
        </w:tc>
        <w:tc>
          <w:tcPr>
            <w:tcW w:w="132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14:paraId="5BE1591A" w14:textId="77777777" w:rsidR="007F2890" w:rsidRPr="00475D23" w:rsidRDefault="007F2890" w:rsidP="007F2890">
            <w:pPr>
              <w:jc w:val="center"/>
              <w:rPr>
                <w:b/>
                <w:bCs/>
                <w:color w:val="000000"/>
                <w:sz w:val="22"/>
              </w:rPr>
            </w:pPr>
            <w:r w:rsidRPr="00475D23">
              <w:rPr>
                <w:b/>
                <w:bCs/>
                <w:color w:val="000000"/>
                <w:sz w:val="22"/>
              </w:rPr>
              <w:t>Traps</w:t>
            </w:r>
          </w:p>
        </w:tc>
        <w:tc>
          <w:tcPr>
            <w:tcW w:w="138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14:paraId="6F241674" w14:textId="77777777" w:rsidR="007F2890" w:rsidRPr="00475D23" w:rsidRDefault="007F2890" w:rsidP="007F2890">
            <w:pPr>
              <w:jc w:val="center"/>
              <w:rPr>
                <w:b/>
                <w:bCs/>
                <w:color w:val="000000"/>
                <w:sz w:val="22"/>
              </w:rPr>
            </w:pPr>
            <w:r w:rsidRPr="00475D23">
              <w:rPr>
                <w:b/>
                <w:bCs/>
                <w:color w:val="000000"/>
                <w:sz w:val="22"/>
              </w:rPr>
              <w:t>Diving</w:t>
            </w:r>
          </w:p>
        </w:tc>
        <w:tc>
          <w:tcPr>
            <w:tcW w:w="96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14:paraId="567E6271" w14:textId="77777777" w:rsidR="007F2890" w:rsidRPr="00475D23" w:rsidRDefault="007F2890" w:rsidP="007F2890">
            <w:pPr>
              <w:jc w:val="center"/>
              <w:rPr>
                <w:b/>
                <w:bCs/>
                <w:color w:val="000000"/>
                <w:sz w:val="22"/>
              </w:rPr>
            </w:pPr>
            <w:r w:rsidRPr="00475D23">
              <w:rPr>
                <w:b/>
                <w:bCs/>
                <w:color w:val="000000"/>
                <w:sz w:val="22"/>
              </w:rPr>
              <w:t xml:space="preserve">Other </w:t>
            </w:r>
          </w:p>
        </w:tc>
      </w:tr>
      <w:tr w:rsidR="007F2890" w:rsidRPr="00475D23" w14:paraId="66D4E6A0" w14:textId="77777777" w:rsidTr="007F2890">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58D9EC7" w14:textId="77777777" w:rsidR="007F2890" w:rsidRPr="00475D23" w:rsidRDefault="007F2890" w:rsidP="007F2890">
            <w:pPr>
              <w:jc w:val="center"/>
              <w:rPr>
                <w:b/>
                <w:bCs/>
                <w:color w:val="000000"/>
                <w:sz w:val="22"/>
              </w:rPr>
            </w:pPr>
            <w:r w:rsidRPr="00475D23">
              <w:rPr>
                <w:b/>
                <w:bCs/>
                <w:color w:val="000000"/>
                <w:sz w:val="22"/>
              </w:rPr>
              <w:t>2004</w:t>
            </w:r>
          </w:p>
        </w:tc>
        <w:tc>
          <w:tcPr>
            <w:tcW w:w="1163" w:type="dxa"/>
            <w:tcBorders>
              <w:top w:val="nil"/>
              <w:left w:val="nil"/>
              <w:bottom w:val="single" w:sz="8" w:space="0" w:color="auto"/>
              <w:right w:val="single" w:sz="8" w:space="0" w:color="auto"/>
            </w:tcBorders>
            <w:shd w:val="clear" w:color="auto" w:fill="auto"/>
            <w:noWrap/>
            <w:vAlign w:val="center"/>
            <w:hideMark/>
          </w:tcPr>
          <w:p w14:paraId="15110CE4" w14:textId="77777777" w:rsidR="007F2890" w:rsidRPr="00475D23" w:rsidRDefault="007F2890" w:rsidP="007F2890">
            <w:pPr>
              <w:jc w:val="center"/>
              <w:rPr>
                <w:color w:val="000000"/>
                <w:sz w:val="22"/>
              </w:rPr>
            </w:pPr>
            <w:r w:rsidRPr="00475D23">
              <w:rPr>
                <w:color w:val="000000"/>
                <w:sz w:val="22"/>
              </w:rPr>
              <w:t>98,513</w:t>
            </w:r>
          </w:p>
        </w:tc>
        <w:tc>
          <w:tcPr>
            <w:tcW w:w="1320" w:type="dxa"/>
            <w:tcBorders>
              <w:top w:val="nil"/>
              <w:left w:val="nil"/>
              <w:bottom w:val="single" w:sz="8" w:space="0" w:color="auto"/>
              <w:right w:val="single" w:sz="8" w:space="0" w:color="auto"/>
            </w:tcBorders>
            <w:shd w:val="clear" w:color="auto" w:fill="auto"/>
            <w:noWrap/>
            <w:vAlign w:val="center"/>
            <w:hideMark/>
          </w:tcPr>
          <w:p w14:paraId="4A283D13" w14:textId="77777777" w:rsidR="007F2890" w:rsidRPr="00475D23" w:rsidRDefault="007F2890" w:rsidP="007F2890">
            <w:pPr>
              <w:jc w:val="center"/>
              <w:rPr>
                <w:color w:val="000000"/>
                <w:sz w:val="22"/>
              </w:rPr>
            </w:pPr>
            <w:r w:rsidRPr="00475D23">
              <w:rPr>
                <w:color w:val="000000"/>
                <w:sz w:val="22"/>
              </w:rPr>
              <w:t>6,225</w:t>
            </w:r>
          </w:p>
        </w:tc>
        <w:tc>
          <w:tcPr>
            <w:tcW w:w="1380" w:type="dxa"/>
            <w:tcBorders>
              <w:top w:val="nil"/>
              <w:left w:val="nil"/>
              <w:bottom w:val="single" w:sz="8" w:space="0" w:color="auto"/>
              <w:right w:val="single" w:sz="8" w:space="0" w:color="auto"/>
            </w:tcBorders>
            <w:shd w:val="clear" w:color="auto" w:fill="auto"/>
            <w:noWrap/>
            <w:vAlign w:val="center"/>
            <w:hideMark/>
          </w:tcPr>
          <w:p w14:paraId="04BBEF3A" w14:textId="77777777" w:rsidR="007F2890" w:rsidRPr="00475D23" w:rsidRDefault="007F2890" w:rsidP="007F2890">
            <w:pPr>
              <w:jc w:val="center"/>
              <w:rPr>
                <w:color w:val="000000"/>
                <w:sz w:val="22"/>
              </w:rPr>
            </w:pPr>
            <w:r w:rsidRPr="00475D23">
              <w:rPr>
                <w:color w:val="000000"/>
                <w:sz w:val="22"/>
              </w:rPr>
              <w:t>3,805</w:t>
            </w:r>
          </w:p>
        </w:tc>
        <w:tc>
          <w:tcPr>
            <w:tcW w:w="960" w:type="dxa"/>
            <w:tcBorders>
              <w:top w:val="nil"/>
              <w:left w:val="nil"/>
              <w:bottom w:val="single" w:sz="8" w:space="0" w:color="auto"/>
              <w:right w:val="single" w:sz="8" w:space="0" w:color="auto"/>
            </w:tcBorders>
            <w:shd w:val="clear" w:color="auto" w:fill="auto"/>
            <w:noWrap/>
            <w:vAlign w:val="center"/>
            <w:hideMark/>
          </w:tcPr>
          <w:p w14:paraId="38D53812" w14:textId="77777777" w:rsidR="007F2890" w:rsidRPr="00475D23" w:rsidRDefault="007F2890" w:rsidP="007F2890">
            <w:pPr>
              <w:jc w:val="center"/>
              <w:rPr>
                <w:color w:val="000000"/>
                <w:sz w:val="22"/>
              </w:rPr>
            </w:pPr>
            <w:r w:rsidRPr="00475D23">
              <w:rPr>
                <w:color w:val="000000"/>
                <w:sz w:val="22"/>
              </w:rPr>
              <w:t>709</w:t>
            </w:r>
          </w:p>
        </w:tc>
      </w:tr>
      <w:tr w:rsidR="007F2890" w:rsidRPr="00475D23" w14:paraId="6B8C7E22" w14:textId="77777777" w:rsidTr="007F2890">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0A06B09" w14:textId="77777777" w:rsidR="007F2890" w:rsidRPr="00475D23" w:rsidRDefault="007F2890" w:rsidP="007F2890">
            <w:pPr>
              <w:jc w:val="center"/>
              <w:rPr>
                <w:b/>
                <w:bCs/>
                <w:color w:val="000000"/>
                <w:sz w:val="22"/>
              </w:rPr>
            </w:pPr>
            <w:r w:rsidRPr="00475D23">
              <w:rPr>
                <w:b/>
                <w:bCs/>
                <w:color w:val="000000"/>
                <w:sz w:val="22"/>
              </w:rPr>
              <w:t>2005</w:t>
            </w:r>
          </w:p>
        </w:tc>
        <w:tc>
          <w:tcPr>
            <w:tcW w:w="1163" w:type="dxa"/>
            <w:tcBorders>
              <w:top w:val="nil"/>
              <w:left w:val="nil"/>
              <w:bottom w:val="single" w:sz="8" w:space="0" w:color="auto"/>
              <w:right w:val="single" w:sz="8" w:space="0" w:color="auto"/>
            </w:tcBorders>
            <w:shd w:val="clear" w:color="auto" w:fill="auto"/>
            <w:noWrap/>
            <w:vAlign w:val="center"/>
            <w:hideMark/>
          </w:tcPr>
          <w:p w14:paraId="7536E2C0" w14:textId="77777777" w:rsidR="007F2890" w:rsidRPr="00475D23" w:rsidRDefault="007F2890" w:rsidP="007F2890">
            <w:pPr>
              <w:jc w:val="center"/>
              <w:rPr>
                <w:color w:val="000000"/>
                <w:sz w:val="22"/>
              </w:rPr>
            </w:pPr>
            <w:r w:rsidRPr="00475D23">
              <w:rPr>
                <w:color w:val="000000"/>
                <w:sz w:val="22"/>
              </w:rPr>
              <w:t>81,551</w:t>
            </w:r>
          </w:p>
        </w:tc>
        <w:tc>
          <w:tcPr>
            <w:tcW w:w="1320" w:type="dxa"/>
            <w:tcBorders>
              <w:top w:val="nil"/>
              <w:left w:val="nil"/>
              <w:bottom w:val="single" w:sz="8" w:space="0" w:color="auto"/>
              <w:right w:val="single" w:sz="8" w:space="0" w:color="auto"/>
            </w:tcBorders>
            <w:shd w:val="clear" w:color="auto" w:fill="auto"/>
            <w:noWrap/>
            <w:vAlign w:val="center"/>
            <w:hideMark/>
          </w:tcPr>
          <w:p w14:paraId="55A5DF94" w14:textId="77777777" w:rsidR="007F2890" w:rsidRPr="00475D23" w:rsidRDefault="007F2890" w:rsidP="007F2890">
            <w:pPr>
              <w:jc w:val="center"/>
              <w:rPr>
                <w:color w:val="000000"/>
                <w:sz w:val="22"/>
              </w:rPr>
            </w:pPr>
            <w:r w:rsidRPr="00475D23">
              <w:rPr>
                <w:color w:val="000000"/>
                <w:sz w:val="22"/>
              </w:rPr>
              <w:t>2,662</w:t>
            </w:r>
          </w:p>
        </w:tc>
        <w:tc>
          <w:tcPr>
            <w:tcW w:w="1380" w:type="dxa"/>
            <w:tcBorders>
              <w:top w:val="nil"/>
              <w:left w:val="nil"/>
              <w:bottom w:val="single" w:sz="8" w:space="0" w:color="auto"/>
              <w:right w:val="single" w:sz="8" w:space="0" w:color="auto"/>
            </w:tcBorders>
            <w:shd w:val="clear" w:color="auto" w:fill="auto"/>
            <w:noWrap/>
            <w:vAlign w:val="center"/>
            <w:hideMark/>
          </w:tcPr>
          <w:p w14:paraId="577F061C" w14:textId="77777777" w:rsidR="007F2890" w:rsidRPr="00475D23" w:rsidRDefault="007F2890" w:rsidP="007F2890">
            <w:pPr>
              <w:jc w:val="center"/>
              <w:rPr>
                <w:color w:val="000000"/>
                <w:sz w:val="22"/>
              </w:rPr>
            </w:pPr>
            <w:r w:rsidRPr="00475D23">
              <w:rPr>
                <w:color w:val="000000"/>
                <w:sz w:val="22"/>
              </w:rPr>
              <w:t>5,023</w:t>
            </w:r>
          </w:p>
        </w:tc>
        <w:tc>
          <w:tcPr>
            <w:tcW w:w="960" w:type="dxa"/>
            <w:tcBorders>
              <w:top w:val="nil"/>
              <w:left w:val="nil"/>
              <w:bottom w:val="single" w:sz="8" w:space="0" w:color="auto"/>
              <w:right w:val="single" w:sz="8" w:space="0" w:color="auto"/>
            </w:tcBorders>
            <w:shd w:val="clear" w:color="auto" w:fill="auto"/>
            <w:noWrap/>
            <w:vAlign w:val="center"/>
            <w:hideMark/>
          </w:tcPr>
          <w:p w14:paraId="3F1A35BE" w14:textId="77777777" w:rsidR="007F2890" w:rsidRPr="00475D23" w:rsidRDefault="007F2890" w:rsidP="007F2890">
            <w:pPr>
              <w:jc w:val="center"/>
              <w:rPr>
                <w:color w:val="000000"/>
                <w:sz w:val="22"/>
              </w:rPr>
            </w:pPr>
            <w:r w:rsidRPr="00475D23">
              <w:rPr>
                <w:color w:val="000000"/>
                <w:sz w:val="22"/>
              </w:rPr>
              <w:t>2,436</w:t>
            </w:r>
          </w:p>
        </w:tc>
      </w:tr>
      <w:tr w:rsidR="007F2890" w:rsidRPr="00475D23" w14:paraId="65005C08" w14:textId="77777777" w:rsidTr="007F2890">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7CFBC77" w14:textId="77777777" w:rsidR="007F2890" w:rsidRPr="00475D23" w:rsidRDefault="007F2890" w:rsidP="007F2890">
            <w:pPr>
              <w:jc w:val="center"/>
              <w:rPr>
                <w:b/>
                <w:bCs/>
                <w:color w:val="000000"/>
                <w:sz w:val="22"/>
              </w:rPr>
            </w:pPr>
            <w:r w:rsidRPr="00475D23">
              <w:rPr>
                <w:b/>
                <w:bCs/>
                <w:color w:val="000000"/>
                <w:sz w:val="22"/>
              </w:rPr>
              <w:t>2006</w:t>
            </w:r>
          </w:p>
        </w:tc>
        <w:tc>
          <w:tcPr>
            <w:tcW w:w="1163" w:type="dxa"/>
            <w:tcBorders>
              <w:top w:val="nil"/>
              <w:left w:val="nil"/>
              <w:bottom w:val="single" w:sz="8" w:space="0" w:color="auto"/>
              <w:right w:val="single" w:sz="8" w:space="0" w:color="auto"/>
            </w:tcBorders>
            <w:shd w:val="clear" w:color="auto" w:fill="auto"/>
            <w:noWrap/>
            <w:vAlign w:val="center"/>
            <w:hideMark/>
          </w:tcPr>
          <w:p w14:paraId="477DDA1A" w14:textId="77777777" w:rsidR="007F2890" w:rsidRPr="00475D23" w:rsidRDefault="007F2890" w:rsidP="007F2890">
            <w:pPr>
              <w:jc w:val="center"/>
              <w:rPr>
                <w:color w:val="000000"/>
                <w:sz w:val="22"/>
              </w:rPr>
            </w:pPr>
            <w:r w:rsidRPr="00475D23">
              <w:rPr>
                <w:color w:val="000000"/>
                <w:sz w:val="22"/>
              </w:rPr>
              <w:t>59,071</w:t>
            </w:r>
          </w:p>
        </w:tc>
        <w:tc>
          <w:tcPr>
            <w:tcW w:w="1320" w:type="dxa"/>
            <w:tcBorders>
              <w:top w:val="nil"/>
              <w:left w:val="nil"/>
              <w:bottom w:val="single" w:sz="8" w:space="0" w:color="auto"/>
              <w:right w:val="single" w:sz="8" w:space="0" w:color="auto"/>
            </w:tcBorders>
            <w:shd w:val="clear" w:color="auto" w:fill="auto"/>
            <w:noWrap/>
            <w:vAlign w:val="center"/>
            <w:hideMark/>
          </w:tcPr>
          <w:p w14:paraId="4224EC1D" w14:textId="77777777" w:rsidR="007F2890" w:rsidRPr="00475D23" w:rsidRDefault="007F2890" w:rsidP="007F2890">
            <w:pPr>
              <w:jc w:val="center"/>
              <w:rPr>
                <w:color w:val="000000"/>
                <w:sz w:val="22"/>
              </w:rPr>
            </w:pPr>
            <w:r w:rsidRPr="00475D23">
              <w:rPr>
                <w:color w:val="000000"/>
                <w:sz w:val="22"/>
              </w:rPr>
              <w:t>3,427</w:t>
            </w:r>
          </w:p>
        </w:tc>
        <w:tc>
          <w:tcPr>
            <w:tcW w:w="1380" w:type="dxa"/>
            <w:tcBorders>
              <w:top w:val="nil"/>
              <w:left w:val="nil"/>
              <w:bottom w:val="single" w:sz="8" w:space="0" w:color="auto"/>
              <w:right w:val="single" w:sz="8" w:space="0" w:color="auto"/>
            </w:tcBorders>
            <w:shd w:val="clear" w:color="auto" w:fill="auto"/>
            <w:noWrap/>
            <w:vAlign w:val="center"/>
            <w:hideMark/>
          </w:tcPr>
          <w:p w14:paraId="1D82F81E" w14:textId="77777777" w:rsidR="007F2890" w:rsidRPr="00475D23" w:rsidRDefault="007F2890" w:rsidP="007F2890">
            <w:pPr>
              <w:jc w:val="center"/>
              <w:rPr>
                <w:color w:val="000000"/>
                <w:sz w:val="22"/>
              </w:rPr>
            </w:pPr>
            <w:r w:rsidRPr="00475D23">
              <w:rPr>
                <w:color w:val="000000"/>
                <w:sz w:val="22"/>
              </w:rPr>
              <w:t>2,959</w:t>
            </w:r>
          </w:p>
        </w:tc>
        <w:tc>
          <w:tcPr>
            <w:tcW w:w="960" w:type="dxa"/>
            <w:tcBorders>
              <w:top w:val="nil"/>
              <w:left w:val="nil"/>
              <w:bottom w:val="single" w:sz="8" w:space="0" w:color="auto"/>
              <w:right w:val="single" w:sz="8" w:space="0" w:color="auto"/>
            </w:tcBorders>
            <w:shd w:val="clear" w:color="auto" w:fill="auto"/>
            <w:noWrap/>
            <w:vAlign w:val="center"/>
            <w:hideMark/>
          </w:tcPr>
          <w:p w14:paraId="447559BC" w14:textId="77777777" w:rsidR="007F2890" w:rsidRPr="00475D23" w:rsidRDefault="007F2890" w:rsidP="007F2890">
            <w:pPr>
              <w:jc w:val="center"/>
              <w:rPr>
                <w:color w:val="000000"/>
                <w:sz w:val="22"/>
              </w:rPr>
            </w:pPr>
            <w:r w:rsidRPr="00475D23">
              <w:rPr>
                <w:color w:val="000000"/>
                <w:sz w:val="22"/>
              </w:rPr>
              <w:t>608</w:t>
            </w:r>
          </w:p>
        </w:tc>
      </w:tr>
      <w:tr w:rsidR="007F2890" w:rsidRPr="00475D23" w14:paraId="55134063" w14:textId="77777777" w:rsidTr="007F2890">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9D79DD5" w14:textId="77777777" w:rsidR="007F2890" w:rsidRPr="00475D23" w:rsidRDefault="007F2890" w:rsidP="007F2890">
            <w:pPr>
              <w:jc w:val="center"/>
              <w:rPr>
                <w:b/>
                <w:bCs/>
                <w:color w:val="000000"/>
                <w:sz w:val="22"/>
              </w:rPr>
            </w:pPr>
            <w:r w:rsidRPr="00475D23">
              <w:rPr>
                <w:b/>
                <w:bCs/>
                <w:color w:val="000000"/>
                <w:sz w:val="22"/>
              </w:rPr>
              <w:t>2007</w:t>
            </w:r>
          </w:p>
        </w:tc>
        <w:tc>
          <w:tcPr>
            <w:tcW w:w="1163" w:type="dxa"/>
            <w:tcBorders>
              <w:top w:val="nil"/>
              <w:left w:val="nil"/>
              <w:bottom w:val="single" w:sz="8" w:space="0" w:color="auto"/>
              <w:right w:val="single" w:sz="8" w:space="0" w:color="auto"/>
            </w:tcBorders>
            <w:shd w:val="clear" w:color="auto" w:fill="auto"/>
            <w:noWrap/>
            <w:vAlign w:val="center"/>
            <w:hideMark/>
          </w:tcPr>
          <w:p w14:paraId="3FCEE90B" w14:textId="77777777" w:rsidR="007F2890" w:rsidRPr="00475D23" w:rsidRDefault="007F2890" w:rsidP="007F2890">
            <w:pPr>
              <w:jc w:val="center"/>
              <w:rPr>
                <w:color w:val="000000"/>
                <w:sz w:val="22"/>
              </w:rPr>
            </w:pPr>
            <w:r w:rsidRPr="00475D23">
              <w:rPr>
                <w:color w:val="000000"/>
                <w:sz w:val="22"/>
              </w:rPr>
              <w:t>59,955</w:t>
            </w:r>
          </w:p>
        </w:tc>
        <w:tc>
          <w:tcPr>
            <w:tcW w:w="1320" w:type="dxa"/>
            <w:tcBorders>
              <w:top w:val="nil"/>
              <w:left w:val="nil"/>
              <w:bottom w:val="single" w:sz="8" w:space="0" w:color="auto"/>
              <w:right w:val="single" w:sz="8" w:space="0" w:color="auto"/>
            </w:tcBorders>
            <w:shd w:val="clear" w:color="auto" w:fill="auto"/>
            <w:noWrap/>
            <w:vAlign w:val="center"/>
            <w:hideMark/>
          </w:tcPr>
          <w:p w14:paraId="7FCF1DB7" w14:textId="77777777" w:rsidR="007F2890" w:rsidRPr="00475D23" w:rsidRDefault="007F2890" w:rsidP="007F2890">
            <w:pPr>
              <w:jc w:val="center"/>
              <w:rPr>
                <w:color w:val="000000"/>
                <w:sz w:val="22"/>
              </w:rPr>
            </w:pPr>
            <w:r w:rsidRPr="00475D23">
              <w:rPr>
                <w:color w:val="000000"/>
                <w:sz w:val="22"/>
              </w:rPr>
              <w:t>5,918</w:t>
            </w:r>
          </w:p>
        </w:tc>
        <w:tc>
          <w:tcPr>
            <w:tcW w:w="1380" w:type="dxa"/>
            <w:tcBorders>
              <w:top w:val="nil"/>
              <w:left w:val="nil"/>
              <w:bottom w:val="single" w:sz="8" w:space="0" w:color="auto"/>
              <w:right w:val="single" w:sz="8" w:space="0" w:color="auto"/>
            </w:tcBorders>
            <w:shd w:val="clear" w:color="auto" w:fill="auto"/>
            <w:noWrap/>
            <w:vAlign w:val="center"/>
            <w:hideMark/>
          </w:tcPr>
          <w:p w14:paraId="47B3E3B3" w14:textId="77777777" w:rsidR="007F2890" w:rsidRPr="00475D23" w:rsidRDefault="007F2890" w:rsidP="007F2890">
            <w:pPr>
              <w:jc w:val="center"/>
              <w:rPr>
                <w:color w:val="000000"/>
                <w:sz w:val="22"/>
              </w:rPr>
            </w:pPr>
            <w:r w:rsidRPr="00475D23">
              <w:rPr>
                <w:color w:val="000000"/>
                <w:sz w:val="22"/>
              </w:rPr>
              <w:t>3,770</w:t>
            </w:r>
          </w:p>
        </w:tc>
        <w:tc>
          <w:tcPr>
            <w:tcW w:w="960" w:type="dxa"/>
            <w:tcBorders>
              <w:top w:val="nil"/>
              <w:left w:val="nil"/>
              <w:bottom w:val="single" w:sz="8" w:space="0" w:color="auto"/>
              <w:right w:val="single" w:sz="8" w:space="0" w:color="auto"/>
            </w:tcBorders>
            <w:shd w:val="clear" w:color="auto" w:fill="auto"/>
            <w:noWrap/>
            <w:vAlign w:val="center"/>
            <w:hideMark/>
          </w:tcPr>
          <w:p w14:paraId="5B332B5C" w14:textId="77777777" w:rsidR="007F2890" w:rsidRPr="00475D23" w:rsidRDefault="007F2890" w:rsidP="007F2890">
            <w:pPr>
              <w:jc w:val="center"/>
              <w:rPr>
                <w:color w:val="000000"/>
                <w:sz w:val="22"/>
              </w:rPr>
            </w:pPr>
            <w:r w:rsidRPr="00475D23">
              <w:rPr>
                <w:color w:val="000000"/>
                <w:sz w:val="22"/>
              </w:rPr>
              <w:t>1,343</w:t>
            </w:r>
          </w:p>
        </w:tc>
      </w:tr>
      <w:tr w:rsidR="007F2890" w:rsidRPr="00475D23" w14:paraId="6C58ECAB" w14:textId="77777777" w:rsidTr="007F2890">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E99F93E" w14:textId="77777777" w:rsidR="007F2890" w:rsidRPr="00475D23" w:rsidRDefault="007F2890" w:rsidP="007F2890">
            <w:pPr>
              <w:jc w:val="center"/>
              <w:rPr>
                <w:b/>
                <w:bCs/>
                <w:color w:val="000000"/>
                <w:sz w:val="22"/>
              </w:rPr>
            </w:pPr>
            <w:r w:rsidRPr="00475D23">
              <w:rPr>
                <w:b/>
                <w:bCs/>
                <w:color w:val="000000"/>
                <w:sz w:val="22"/>
              </w:rPr>
              <w:t>2008</w:t>
            </w:r>
          </w:p>
        </w:tc>
        <w:tc>
          <w:tcPr>
            <w:tcW w:w="1163" w:type="dxa"/>
            <w:tcBorders>
              <w:top w:val="nil"/>
              <w:left w:val="nil"/>
              <w:bottom w:val="single" w:sz="8" w:space="0" w:color="auto"/>
              <w:right w:val="single" w:sz="8" w:space="0" w:color="auto"/>
            </w:tcBorders>
            <w:shd w:val="clear" w:color="auto" w:fill="auto"/>
            <w:noWrap/>
            <w:vAlign w:val="center"/>
            <w:hideMark/>
          </w:tcPr>
          <w:p w14:paraId="53FBB336" w14:textId="77777777" w:rsidR="007F2890" w:rsidRPr="00475D23" w:rsidRDefault="007F2890" w:rsidP="007F2890">
            <w:pPr>
              <w:jc w:val="center"/>
              <w:rPr>
                <w:color w:val="000000"/>
                <w:sz w:val="22"/>
              </w:rPr>
            </w:pPr>
            <w:r w:rsidRPr="00475D23">
              <w:rPr>
                <w:color w:val="000000"/>
                <w:sz w:val="22"/>
              </w:rPr>
              <w:t>61,836</w:t>
            </w:r>
          </w:p>
        </w:tc>
        <w:tc>
          <w:tcPr>
            <w:tcW w:w="1320" w:type="dxa"/>
            <w:tcBorders>
              <w:top w:val="nil"/>
              <w:left w:val="nil"/>
              <w:bottom w:val="single" w:sz="8" w:space="0" w:color="auto"/>
              <w:right w:val="single" w:sz="8" w:space="0" w:color="auto"/>
            </w:tcBorders>
            <w:shd w:val="clear" w:color="auto" w:fill="auto"/>
            <w:noWrap/>
            <w:vAlign w:val="center"/>
            <w:hideMark/>
          </w:tcPr>
          <w:p w14:paraId="7A1709D6" w14:textId="77777777" w:rsidR="007F2890" w:rsidRPr="00475D23" w:rsidRDefault="007F2890" w:rsidP="007F2890">
            <w:pPr>
              <w:jc w:val="center"/>
              <w:rPr>
                <w:color w:val="000000"/>
                <w:sz w:val="22"/>
              </w:rPr>
            </w:pPr>
            <w:r w:rsidRPr="00475D23">
              <w:rPr>
                <w:color w:val="000000"/>
                <w:sz w:val="22"/>
              </w:rPr>
              <w:t>2,296</w:t>
            </w:r>
          </w:p>
        </w:tc>
        <w:tc>
          <w:tcPr>
            <w:tcW w:w="1380" w:type="dxa"/>
            <w:tcBorders>
              <w:top w:val="nil"/>
              <w:left w:val="nil"/>
              <w:bottom w:val="single" w:sz="8" w:space="0" w:color="auto"/>
              <w:right w:val="single" w:sz="8" w:space="0" w:color="auto"/>
            </w:tcBorders>
            <w:shd w:val="clear" w:color="auto" w:fill="auto"/>
            <w:noWrap/>
            <w:vAlign w:val="center"/>
            <w:hideMark/>
          </w:tcPr>
          <w:p w14:paraId="60E1542C" w14:textId="77777777" w:rsidR="007F2890" w:rsidRPr="00475D23" w:rsidRDefault="007F2890" w:rsidP="007F2890">
            <w:pPr>
              <w:jc w:val="center"/>
              <w:rPr>
                <w:color w:val="000000"/>
                <w:sz w:val="22"/>
              </w:rPr>
            </w:pPr>
            <w:r w:rsidRPr="00475D23">
              <w:rPr>
                <w:color w:val="000000"/>
                <w:sz w:val="22"/>
              </w:rPr>
              <w:t>3,052</w:t>
            </w:r>
          </w:p>
        </w:tc>
        <w:tc>
          <w:tcPr>
            <w:tcW w:w="960" w:type="dxa"/>
            <w:tcBorders>
              <w:top w:val="nil"/>
              <w:left w:val="nil"/>
              <w:bottom w:val="single" w:sz="8" w:space="0" w:color="auto"/>
              <w:right w:val="single" w:sz="8" w:space="0" w:color="auto"/>
            </w:tcBorders>
            <w:shd w:val="clear" w:color="auto" w:fill="auto"/>
            <w:noWrap/>
            <w:vAlign w:val="center"/>
            <w:hideMark/>
          </w:tcPr>
          <w:p w14:paraId="3F66F885" w14:textId="77777777" w:rsidR="007F2890" w:rsidRPr="00475D23" w:rsidRDefault="007F2890" w:rsidP="007F2890">
            <w:pPr>
              <w:jc w:val="center"/>
              <w:rPr>
                <w:color w:val="000000"/>
                <w:sz w:val="22"/>
              </w:rPr>
            </w:pPr>
            <w:r w:rsidRPr="00475D23">
              <w:rPr>
                <w:color w:val="000000"/>
                <w:sz w:val="22"/>
              </w:rPr>
              <w:t>829</w:t>
            </w:r>
          </w:p>
        </w:tc>
      </w:tr>
      <w:tr w:rsidR="007F2890" w:rsidRPr="00475D23" w14:paraId="1C939D78" w14:textId="77777777" w:rsidTr="007F2890">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A7C3A9B" w14:textId="77777777" w:rsidR="007F2890" w:rsidRPr="00475D23" w:rsidRDefault="007F2890" w:rsidP="007F2890">
            <w:pPr>
              <w:jc w:val="center"/>
              <w:rPr>
                <w:b/>
                <w:bCs/>
                <w:color w:val="000000"/>
                <w:sz w:val="22"/>
              </w:rPr>
            </w:pPr>
            <w:r w:rsidRPr="00475D23">
              <w:rPr>
                <w:b/>
                <w:bCs/>
                <w:color w:val="000000"/>
                <w:sz w:val="22"/>
              </w:rPr>
              <w:t>2009</w:t>
            </w:r>
          </w:p>
        </w:tc>
        <w:tc>
          <w:tcPr>
            <w:tcW w:w="1163" w:type="dxa"/>
            <w:tcBorders>
              <w:top w:val="nil"/>
              <w:left w:val="nil"/>
              <w:bottom w:val="single" w:sz="8" w:space="0" w:color="auto"/>
              <w:right w:val="single" w:sz="8" w:space="0" w:color="auto"/>
            </w:tcBorders>
            <w:shd w:val="clear" w:color="auto" w:fill="auto"/>
            <w:noWrap/>
            <w:vAlign w:val="center"/>
            <w:hideMark/>
          </w:tcPr>
          <w:p w14:paraId="7AE12818" w14:textId="77777777" w:rsidR="007F2890" w:rsidRPr="00475D23" w:rsidRDefault="007F2890" w:rsidP="007F2890">
            <w:pPr>
              <w:jc w:val="center"/>
              <w:rPr>
                <w:color w:val="000000"/>
                <w:sz w:val="22"/>
              </w:rPr>
            </w:pPr>
            <w:r w:rsidRPr="00475D23">
              <w:rPr>
                <w:color w:val="000000"/>
                <w:sz w:val="22"/>
              </w:rPr>
              <w:t>69,088</w:t>
            </w:r>
          </w:p>
        </w:tc>
        <w:tc>
          <w:tcPr>
            <w:tcW w:w="1320" w:type="dxa"/>
            <w:tcBorders>
              <w:top w:val="nil"/>
              <w:left w:val="nil"/>
              <w:bottom w:val="single" w:sz="8" w:space="0" w:color="auto"/>
              <w:right w:val="single" w:sz="8" w:space="0" w:color="auto"/>
            </w:tcBorders>
            <w:shd w:val="clear" w:color="auto" w:fill="auto"/>
            <w:noWrap/>
            <w:vAlign w:val="center"/>
            <w:hideMark/>
          </w:tcPr>
          <w:p w14:paraId="2ACC0E1E" w14:textId="77777777" w:rsidR="007F2890" w:rsidRPr="00475D23" w:rsidRDefault="007F2890" w:rsidP="007F2890">
            <w:pPr>
              <w:jc w:val="center"/>
              <w:rPr>
                <w:color w:val="000000"/>
                <w:sz w:val="22"/>
              </w:rPr>
            </w:pPr>
            <w:r w:rsidRPr="00475D23">
              <w:rPr>
                <w:color w:val="000000"/>
                <w:sz w:val="22"/>
              </w:rPr>
              <w:t>1,873</w:t>
            </w:r>
          </w:p>
        </w:tc>
        <w:tc>
          <w:tcPr>
            <w:tcW w:w="1380" w:type="dxa"/>
            <w:tcBorders>
              <w:top w:val="nil"/>
              <w:left w:val="nil"/>
              <w:bottom w:val="single" w:sz="8" w:space="0" w:color="auto"/>
              <w:right w:val="single" w:sz="8" w:space="0" w:color="auto"/>
            </w:tcBorders>
            <w:shd w:val="clear" w:color="auto" w:fill="auto"/>
            <w:noWrap/>
            <w:vAlign w:val="center"/>
            <w:hideMark/>
          </w:tcPr>
          <w:p w14:paraId="71464FDD" w14:textId="77777777" w:rsidR="007F2890" w:rsidRPr="00475D23" w:rsidRDefault="007F2890" w:rsidP="007F2890">
            <w:pPr>
              <w:jc w:val="center"/>
              <w:rPr>
                <w:color w:val="000000"/>
                <w:sz w:val="22"/>
              </w:rPr>
            </w:pPr>
            <w:r w:rsidRPr="00475D23">
              <w:rPr>
                <w:color w:val="000000"/>
                <w:sz w:val="22"/>
              </w:rPr>
              <w:t>3,429</w:t>
            </w:r>
          </w:p>
        </w:tc>
        <w:tc>
          <w:tcPr>
            <w:tcW w:w="960" w:type="dxa"/>
            <w:tcBorders>
              <w:top w:val="nil"/>
              <w:left w:val="nil"/>
              <w:bottom w:val="single" w:sz="8" w:space="0" w:color="auto"/>
              <w:right w:val="single" w:sz="8" w:space="0" w:color="auto"/>
            </w:tcBorders>
            <w:shd w:val="clear" w:color="auto" w:fill="auto"/>
            <w:noWrap/>
            <w:vAlign w:val="center"/>
            <w:hideMark/>
          </w:tcPr>
          <w:p w14:paraId="3172CF9E" w14:textId="77777777" w:rsidR="007F2890" w:rsidRPr="00475D23" w:rsidRDefault="007F2890" w:rsidP="007F2890">
            <w:pPr>
              <w:jc w:val="center"/>
              <w:rPr>
                <w:color w:val="000000"/>
                <w:sz w:val="22"/>
              </w:rPr>
            </w:pPr>
            <w:r w:rsidRPr="00475D23">
              <w:rPr>
                <w:color w:val="000000"/>
                <w:sz w:val="22"/>
              </w:rPr>
              <w:t>915</w:t>
            </w:r>
          </w:p>
        </w:tc>
      </w:tr>
      <w:tr w:rsidR="007F2890" w:rsidRPr="00475D23" w14:paraId="3C228CE4" w14:textId="77777777" w:rsidTr="007F2890">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60CB97E" w14:textId="77777777" w:rsidR="007F2890" w:rsidRPr="00475D23" w:rsidRDefault="007F2890" w:rsidP="007F2890">
            <w:pPr>
              <w:jc w:val="center"/>
              <w:rPr>
                <w:b/>
                <w:bCs/>
                <w:color w:val="000000"/>
                <w:sz w:val="22"/>
              </w:rPr>
            </w:pPr>
            <w:r w:rsidRPr="00475D23">
              <w:rPr>
                <w:b/>
                <w:bCs/>
                <w:color w:val="000000"/>
                <w:sz w:val="22"/>
              </w:rPr>
              <w:t>2010</w:t>
            </w:r>
          </w:p>
        </w:tc>
        <w:tc>
          <w:tcPr>
            <w:tcW w:w="1163" w:type="dxa"/>
            <w:tcBorders>
              <w:top w:val="nil"/>
              <w:left w:val="nil"/>
              <w:bottom w:val="single" w:sz="8" w:space="0" w:color="auto"/>
              <w:right w:val="single" w:sz="8" w:space="0" w:color="auto"/>
            </w:tcBorders>
            <w:shd w:val="clear" w:color="auto" w:fill="auto"/>
            <w:noWrap/>
            <w:vAlign w:val="center"/>
            <w:hideMark/>
          </w:tcPr>
          <w:p w14:paraId="1134F9C2" w14:textId="77777777" w:rsidR="007F2890" w:rsidRPr="00475D23" w:rsidRDefault="007F2890" w:rsidP="007F2890">
            <w:pPr>
              <w:jc w:val="center"/>
              <w:rPr>
                <w:color w:val="000000"/>
                <w:sz w:val="22"/>
              </w:rPr>
            </w:pPr>
            <w:r w:rsidRPr="00475D23">
              <w:rPr>
                <w:color w:val="000000"/>
                <w:sz w:val="22"/>
              </w:rPr>
              <w:t>66,464</w:t>
            </w:r>
          </w:p>
        </w:tc>
        <w:tc>
          <w:tcPr>
            <w:tcW w:w="1320" w:type="dxa"/>
            <w:tcBorders>
              <w:top w:val="nil"/>
              <w:left w:val="nil"/>
              <w:bottom w:val="single" w:sz="8" w:space="0" w:color="auto"/>
              <w:right w:val="single" w:sz="8" w:space="0" w:color="auto"/>
            </w:tcBorders>
            <w:shd w:val="clear" w:color="auto" w:fill="auto"/>
            <w:noWrap/>
            <w:vAlign w:val="center"/>
            <w:hideMark/>
          </w:tcPr>
          <w:p w14:paraId="385E38EE" w14:textId="77777777" w:rsidR="007F2890" w:rsidRPr="00475D23" w:rsidRDefault="007F2890" w:rsidP="007F2890">
            <w:pPr>
              <w:jc w:val="center"/>
              <w:rPr>
                <w:color w:val="000000"/>
                <w:sz w:val="22"/>
              </w:rPr>
            </w:pPr>
            <w:r w:rsidRPr="00475D23">
              <w:rPr>
                <w:color w:val="000000"/>
                <w:sz w:val="22"/>
              </w:rPr>
              <w:t>4,048</w:t>
            </w:r>
          </w:p>
        </w:tc>
        <w:tc>
          <w:tcPr>
            <w:tcW w:w="1380" w:type="dxa"/>
            <w:tcBorders>
              <w:top w:val="nil"/>
              <w:left w:val="nil"/>
              <w:bottom w:val="single" w:sz="8" w:space="0" w:color="auto"/>
              <w:right w:val="single" w:sz="8" w:space="0" w:color="auto"/>
            </w:tcBorders>
            <w:shd w:val="clear" w:color="auto" w:fill="auto"/>
            <w:noWrap/>
            <w:vAlign w:val="center"/>
            <w:hideMark/>
          </w:tcPr>
          <w:p w14:paraId="11BAD7CF" w14:textId="77777777" w:rsidR="007F2890" w:rsidRPr="00475D23" w:rsidRDefault="007F2890" w:rsidP="007F2890">
            <w:pPr>
              <w:jc w:val="center"/>
              <w:rPr>
                <w:color w:val="000000"/>
                <w:sz w:val="22"/>
              </w:rPr>
            </w:pPr>
            <w:r w:rsidRPr="00475D23">
              <w:rPr>
                <w:color w:val="000000"/>
                <w:sz w:val="22"/>
              </w:rPr>
              <w:t>2,759</w:t>
            </w:r>
          </w:p>
        </w:tc>
        <w:tc>
          <w:tcPr>
            <w:tcW w:w="960" w:type="dxa"/>
            <w:tcBorders>
              <w:top w:val="nil"/>
              <w:left w:val="nil"/>
              <w:bottom w:val="single" w:sz="8" w:space="0" w:color="auto"/>
              <w:right w:val="single" w:sz="8" w:space="0" w:color="auto"/>
            </w:tcBorders>
            <w:shd w:val="clear" w:color="auto" w:fill="auto"/>
            <w:noWrap/>
            <w:vAlign w:val="center"/>
            <w:hideMark/>
          </w:tcPr>
          <w:p w14:paraId="47F5CF67" w14:textId="77777777" w:rsidR="007F2890" w:rsidRPr="00475D23" w:rsidRDefault="007F2890" w:rsidP="007F2890">
            <w:pPr>
              <w:jc w:val="center"/>
              <w:rPr>
                <w:color w:val="000000"/>
                <w:sz w:val="22"/>
              </w:rPr>
            </w:pPr>
            <w:r w:rsidRPr="00475D23">
              <w:rPr>
                <w:color w:val="000000"/>
                <w:sz w:val="22"/>
              </w:rPr>
              <w:t>822</w:t>
            </w:r>
          </w:p>
        </w:tc>
      </w:tr>
      <w:tr w:rsidR="007F2890" w:rsidRPr="00475D23" w14:paraId="726F6CFA" w14:textId="77777777" w:rsidTr="007F2890">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483E4F1" w14:textId="77777777" w:rsidR="007F2890" w:rsidRPr="00475D23" w:rsidRDefault="007F2890" w:rsidP="007F2890">
            <w:pPr>
              <w:jc w:val="center"/>
              <w:rPr>
                <w:b/>
                <w:bCs/>
                <w:color w:val="000000"/>
                <w:sz w:val="22"/>
              </w:rPr>
            </w:pPr>
            <w:r w:rsidRPr="00475D23">
              <w:rPr>
                <w:b/>
                <w:bCs/>
                <w:color w:val="000000"/>
                <w:sz w:val="22"/>
              </w:rPr>
              <w:t>2011</w:t>
            </w:r>
          </w:p>
        </w:tc>
        <w:tc>
          <w:tcPr>
            <w:tcW w:w="1163" w:type="dxa"/>
            <w:tcBorders>
              <w:top w:val="nil"/>
              <w:left w:val="nil"/>
              <w:bottom w:val="single" w:sz="8" w:space="0" w:color="auto"/>
              <w:right w:val="single" w:sz="8" w:space="0" w:color="auto"/>
            </w:tcBorders>
            <w:shd w:val="clear" w:color="auto" w:fill="auto"/>
            <w:noWrap/>
            <w:vAlign w:val="center"/>
            <w:hideMark/>
          </w:tcPr>
          <w:p w14:paraId="22F2AA6C" w14:textId="77777777" w:rsidR="007F2890" w:rsidRPr="00475D23" w:rsidRDefault="007F2890" w:rsidP="007F2890">
            <w:pPr>
              <w:jc w:val="center"/>
              <w:rPr>
                <w:color w:val="000000"/>
                <w:sz w:val="22"/>
              </w:rPr>
            </w:pPr>
            <w:r w:rsidRPr="00475D23">
              <w:rPr>
                <w:color w:val="000000"/>
                <w:sz w:val="22"/>
              </w:rPr>
              <w:t>54,997</w:t>
            </w:r>
          </w:p>
        </w:tc>
        <w:tc>
          <w:tcPr>
            <w:tcW w:w="1320" w:type="dxa"/>
            <w:tcBorders>
              <w:top w:val="nil"/>
              <w:left w:val="nil"/>
              <w:bottom w:val="single" w:sz="8" w:space="0" w:color="auto"/>
              <w:right w:val="single" w:sz="8" w:space="0" w:color="auto"/>
            </w:tcBorders>
            <w:shd w:val="clear" w:color="auto" w:fill="auto"/>
            <w:noWrap/>
            <w:vAlign w:val="center"/>
            <w:hideMark/>
          </w:tcPr>
          <w:p w14:paraId="5280C5E7" w14:textId="77777777" w:rsidR="007F2890" w:rsidRPr="00475D23" w:rsidRDefault="007F2890" w:rsidP="007F2890">
            <w:pPr>
              <w:jc w:val="center"/>
              <w:rPr>
                <w:color w:val="000000"/>
                <w:sz w:val="22"/>
              </w:rPr>
            </w:pPr>
            <w:r w:rsidRPr="00475D23">
              <w:rPr>
                <w:color w:val="000000"/>
                <w:sz w:val="22"/>
              </w:rPr>
              <w:t>7,111</w:t>
            </w:r>
          </w:p>
        </w:tc>
        <w:tc>
          <w:tcPr>
            <w:tcW w:w="1380" w:type="dxa"/>
            <w:tcBorders>
              <w:top w:val="nil"/>
              <w:left w:val="nil"/>
              <w:bottom w:val="single" w:sz="8" w:space="0" w:color="auto"/>
              <w:right w:val="single" w:sz="8" w:space="0" w:color="auto"/>
            </w:tcBorders>
            <w:shd w:val="clear" w:color="auto" w:fill="auto"/>
            <w:noWrap/>
            <w:vAlign w:val="center"/>
            <w:hideMark/>
          </w:tcPr>
          <w:p w14:paraId="31351280" w14:textId="77777777" w:rsidR="007F2890" w:rsidRPr="00475D23" w:rsidRDefault="007F2890" w:rsidP="007F2890">
            <w:pPr>
              <w:jc w:val="center"/>
              <w:rPr>
                <w:color w:val="000000"/>
                <w:sz w:val="22"/>
              </w:rPr>
            </w:pPr>
            <w:r w:rsidRPr="00475D23">
              <w:rPr>
                <w:color w:val="000000"/>
                <w:sz w:val="22"/>
              </w:rPr>
              <w:t>3,599</w:t>
            </w:r>
          </w:p>
        </w:tc>
        <w:tc>
          <w:tcPr>
            <w:tcW w:w="960" w:type="dxa"/>
            <w:tcBorders>
              <w:top w:val="nil"/>
              <w:left w:val="nil"/>
              <w:bottom w:val="single" w:sz="8" w:space="0" w:color="auto"/>
              <w:right w:val="single" w:sz="8" w:space="0" w:color="auto"/>
            </w:tcBorders>
            <w:shd w:val="clear" w:color="auto" w:fill="auto"/>
            <w:noWrap/>
            <w:vAlign w:val="center"/>
            <w:hideMark/>
          </w:tcPr>
          <w:p w14:paraId="5C137B56" w14:textId="77777777" w:rsidR="007F2890" w:rsidRPr="00475D23" w:rsidRDefault="007F2890" w:rsidP="007F2890">
            <w:pPr>
              <w:jc w:val="center"/>
              <w:rPr>
                <w:color w:val="000000"/>
                <w:sz w:val="22"/>
              </w:rPr>
            </w:pPr>
            <w:r w:rsidRPr="00475D23">
              <w:rPr>
                <w:color w:val="000000"/>
                <w:sz w:val="22"/>
              </w:rPr>
              <w:t>372</w:t>
            </w:r>
          </w:p>
        </w:tc>
      </w:tr>
      <w:tr w:rsidR="007F2890" w:rsidRPr="00475D23" w14:paraId="15A956E4" w14:textId="77777777" w:rsidTr="00B753E8">
        <w:trPr>
          <w:trHeight w:val="324"/>
        </w:trPr>
        <w:tc>
          <w:tcPr>
            <w:tcW w:w="960" w:type="dxa"/>
            <w:tcBorders>
              <w:top w:val="nil"/>
              <w:left w:val="single" w:sz="8" w:space="0" w:color="auto"/>
              <w:bottom w:val="single" w:sz="4" w:space="0" w:color="auto"/>
              <w:right w:val="single" w:sz="8" w:space="0" w:color="auto"/>
            </w:tcBorders>
            <w:shd w:val="clear" w:color="auto" w:fill="auto"/>
            <w:vAlign w:val="center"/>
            <w:hideMark/>
          </w:tcPr>
          <w:p w14:paraId="37B4B1C0" w14:textId="77777777" w:rsidR="007F2890" w:rsidRPr="00475D23" w:rsidRDefault="007F2890" w:rsidP="007F2890">
            <w:pPr>
              <w:jc w:val="center"/>
              <w:rPr>
                <w:b/>
                <w:bCs/>
                <w:color w:val="000000"/>
                <w:sz w:val="22"/>
              </w:rPr>
            </w:pPr>
            <w:r w:rsidRPr="00475D23">
              <w:rPr>
                <w:b/>
                <w:bCs/>
                <w:color w:val="000000"/>
                <w:sz w:val="22"/>
              </w:rPr>
              <w:t>2012</w:t>
            </w:r>
          </w:p>
        </w:tc>
        <w:tc>
          <w:tcPr>
            <w:tcW w:w="1163" w:type="dxa"/>
            <w:tcBorders>
              <w:top w:val="nil"/>
              <w:left w:val="nil"/>
              <w:bottom w:val="single" w:sz="4" w:space="0" w:color="auto"/>
              <w:right w:val="single" w:sz="8" w:space="0" w:color="auto"/>
            </w:tcBorders>
            <w:shd w:val="clear" w:color="auto" w:fill="auto"/>
            <w:noWrap/>
            <w:vAlign w:val="center"/>
            <w:hideMark/>
          </w:tcPr>
          <w:p w14:paraId="2A13E134" w14:textId="77777777" w:rsidR="007F2890" w:rsidRPr="00475D23" w:rsidRDefault="007F2890" w:rsidP="007F2890">
            <w:pPr>
              <w:jc w:val="center"/>
              <w:rPr>
                <w:color w:val="000000"/>
                <w:sz w:val="22"/>
              </w:rPr>
            </w:pPr>
            <w:r w:rsidRPr="00475D23">
              <w:rPr>
                <w:color w:val="000000"/>
                <w:sz w:val="22"/>
              </w:rPr>
              <w:t>66,912</w:t>
            </w:r>
          </w:p>
        </w:tc>
        <w:tc>
          <w:tcPr>
            <w:tcW w:w="1320" w:type="dxa"/>
            <w:tcBorders>
              <w:top w:val="nil"/>
              <w:left w:val="nil"/>
              <w:bottom w:val="single" w:sz="4" w:space="0" w:color="auto"/>
              <w:right w:val="single" w:sz="8" w:space="0" w:color="auto"/>
            </w:tcBorders>
            <w:shd w:val="clear" w:color="auto" w:fill="auto"/>
            <w:noWrap/>
            <w:vAlign w:val="center"/>
            <w:hideMark/>
          </w:tcPr>
          <w:p w14:paraId="57B3422F" w14:textId="77777777" w:rsidR="007F2890" w:rsidRPr="00475D23" w:rsidRDefault="007F2890" w:rsidP="007F2890">
            <w:pPr>
              <w:jc w:val="center"/>
              <w:rPr>
                <w:color w:val="000000"/>
                <w:sz w:val="22"/>
              </w:rPr>
            </w:pPr>
            <w:r w:rsidRPr="00475D23">
              <w:rPr>
                <w:color w:val="000000"/>
                <w:sz w:val="22"/>
              </w:rPr>
              <w:t>3,875</w:t>
            </w:r>
          </w:p>
        </w:tc>
        <w:tc>
          <w:tcPr>
            <w:tcW w:w="1380" w:type="dxa"/>
            <w:tcBorders>
              <w:top w:val="nil"/>
              <w:left w:val="nil"/>
              <w:bottom w:val="single" w:sz="4" w:space="0" w:color="auto"/>
              <w:right w:val="single" w:sz="8" w:space="0" w:color="auto"/>
            </w:tcBorders>
            <w:shd w:val="clear" w:color="auto" w:fill="auto"/>
            <w:noWrap/>
            <w:vAlign w:val="center"/>
            <w:hideMark/>
          </w:tcPr>
          <w:p w14:paraId="12FEEB0E" w14:textId="77777777" w:rsidR="007F2890" w:rsidRPr="00475D23" w:rsidRDefault="007F2890" w:rsidP="007F2890">
            <w:pPr>
              <w:jc w:val="center"/>
              <w:rPr>
                <w:color w:val="000000"/>
                <w:sz w:val="22"/>
              </w:rPr>
            </w:pPr>
            <w:r w:rsidRPr="00475D23">
              <w:rPr>
                <w:color w:val="000000"/>
                <w:sz w:val="22"/>
              </w:rPr>
              <w:t>6,156</w:t>
            </w:r>
          </w:p>
        </w:tc>
        <w:tc>
          <w:tcPr>
            <w:tcW w:w="960" w:type="dxa"/>
            <w:tcBorders>
              <w:top w:val="nil"/>
              <w:left w:val="nil"/>
              <w:bottom w:val="single" w:sz="4" w:space="0" w:color="auto"/>
              <w:right w:val="single" w:sz="8" w:space="0" w:color="auto"/>
            </w:tcBorders>
            <w:shd w:val="clear" w:color="auto" w:fill="auto"/>
            <w:noWrap/>
            <w:vAlign w:val="center"/>
            <w:hideMark/>
          </w:tcPr>
          <w:p w14:paraId="588C33BA" w14:textId="77777777" w:rsidR="007F2890" w:rsidRPr="00475D23" w:rsidRDefault="007F2890" w:rsidP="007F2890">
            <w:pPr>
              <w:jc w:val="center"/>
              <w:rPr>
                <w:color w:val="000000"/>
                <w:sz w:val="22"/>
              </w:rPr>
            </w:pPr>
            <w:r w:rsidRPr="00475D23">
              <w:rPr>
                <w:color w:val="000000"/>
                <w:sz w:val="22"/>
              </w:rPr>
              <w:t>NA</w:t>
            </w:r>
          </w:p>
        </w:tc>
      </w:tr>
      <w:tr w:rsidR="007F2890" w:rsidRPr="00475D23" w14:paraId="2C8DD0D7" w14:textId="77777777" w:rsidTr="00B753E8">
        <w:trPr>
          <w:trHeight w:val="32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72705" w14:textId="77777777" w:rsidR="007F2890" w:rsidRPr="00475D23" w:rsidRDefault="007F2890" w:rsidP="007F2890">
            <w:pPr>
              <w:jc w:val="center"/>
              <w:rPr>
                <w:b/>
                <w:bCs/>
                <w:color w:val="000000"/>
                <w:sz w:val="22"/>
              </w:rPr>
            </w:pPr>
            <w:r w:rsidRPr="00475D23">
              <w:rPr>
                <w:b/>
                <w:bCs/>
                <w:color w:val="000000"/>
                <w:sz w:val="22"/>
              </w:rPr>
              <w:t>2013</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0BB84" w14:textId="77777777" w:rsidR="007F2890" w:rsidRPr="00475D23" w:rsidRDefault="007F2890" w:rsidP="007F2890">
            <w:pPr>
              <w:jc w:val="center"/>
              <w:rPr>
                <w:color w:val="000000"/>
                <w:sz w:val="22"/>
              </w:rPr>
            </w:pPr>
            <w:r w:rsidRPr="00475D23">
              <w:rPr>
                <w:color w:val="000000"/>
                <w:sz w:val="22"/>
              </w:rPr>
              <w:t>60,586</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6827B" w14:textId="77777777" w:rsidR="007F2890" w:rsidRPr="00475D23" w:rsidRDefault="007F2890" w:rsidP="007F2890">
            <w:pPr>
              <w:jc w:val="center"/>
              <w:rPr>
                <w:color w:val="000000"/>
                <w:sz w:val="22"/>
              </w:rPr>
            </w:pPr>
            <w:r w:rsidRPr="00475D23">
              <w:rPr>
                <w:color w:val="000000"/>
                <w:sz w:val="22"/>
              </w:rPr>
              <w:t>3,321</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8861E" w14:textId="77777777" w:rsidR="007F2890" w:rsidRPr="00475D23" w:rsidRDefault="007F2890" w:rsidP="007F2890">
            <w:pPr>
              <w:jc w:val="center"/>
              <w:rPr>
                <w:color w:val="000000"/>
                <w:sz w:val="22"/>
              </w:rPr>
            </w:pPr>
            <w:r w:rsidRPr="00475D23">
              <w:rPr>
                <w:color w:val="000000"/>
                <w:sz w:val="22"/>
              </w:rPr>
              <w:t>8,865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E1A24" w14:textId="77777777" w:rsidR="007F2890" w:rsidRPr="00475D23" w:rsidRDefault="007F2890" w:rsidP="007F2890">
            <w:pPr>
              <w:jc w:val="center"/>
              <w:rPr>
                <w:color w:val="000000"/>
                <w:sz w:val="22"/>
              </w:rPr>
            </w:pPr>
            <w:r w:rsidRPr="00475D23">
              <w:rPr>
                <w:color w:val="000000"/>
                <w:sz w:val="22"/>
              </w:rPr>
              <w:t>NA</w:t>
            </w:r>
          </w:p>
        </w:tc>
      </w:tr>
      <w:tr w:rsidR="007F2890" w:rsidRPr="00475D23" w14:paraId="6C6D43E6" w14:textId="77777777" w:rsidTr="00B753E8">
        <w:trPr>
          <w:trHeight w:val="32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7918206" w14:textId="77777777" w:rsidR="007F2890" w:rsidRPr="00475D23" w:rsidRDefault="007F2890" w:rsidP="007F2890">
            <w:pPr>
              <w:jc w:val="center"/>
              <w:rPr>
                <w:b/>
                <w:bCs/>
                <w:color w:val="000000"/>
                <w:sz w:val="22"/>
              </w:rPr>
            </w:pPr>
            <w:r>
              <w:rPr>
                <w:b/>
                <w:bCs/>
                <w:color w:val="000000"/>
                <w:sz w:val="22"/>
              </w:rPr>
              <w:t>2014</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609AF" w14:textId="77777777" w:rsidR="007F2890" w:rsidRPr="00475D23" w:rsidRDefault="007F2890" w:rsidP="007F2890">
            <w:pPr>
              <w:jc w:val="center"/>
              <w:rPr>
                <w:color w:val="000000"/>
                <w:sz w:val="22"/>
              </w:rPr>
            </w:pPr>
            <w:r>
              <w:rPr>
                <w:color w:val="000000"/>
                <w:sz w:val="22"/>
              </w:rPr>
              <w:t>83,811</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E2876" w14:textId="77777777" w:rsidR="007F2890" w:rsidRPr="00475D23" w:rsidRDefault="007F2890" w:rsidP="007F2890">
            <w:pPr>
              <w:jc w:val="center"/>
              <w:rPr>
                <w:color w:val="000000"/>
                <w:sz w:val="22"/>
              </w:rPr>
            </w:pPr>
            <w:r>
              <w:rPr>
                <w:color w:val="000000"/>
                <w:sz w:val="22"/>
              </w:rPr>
              <w:t>3,410</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2FEF3" w14:textId="77777777" w:rsidR="007F2890" w:rsidRPr="00475D23" w:rsidRDefault="007F2890" w:rsidP="007F2890">
            <w:pPr>
              <w:jc w:val="center"/>
              <w:rPr>
                <w:color w:val="000000"/>
                <w:sz w:val="22"/>
              </w:rPr>
            </w:pPr>
            <w:r>
              <w:rPr>
                <w:color w:val="000000"/>
                <w:sz w:val="22"/>
              </w:rPr>
              <w:t>3,701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B8014" w14:textId="77777777" w:rsidR="007F2890" w:rsidRPr="00475D23" w:rsidRDefault="007F2890" w:rsidP="007F2890">
            <w:pPr>
              <w:jc w:val="center"/>
              <w:rPr>
                <w:color w:val="000000"/>
                <w:sz w:val="22"/>
              </w:rPr>
            </w:pPr>
            <w:r>
              <w:rPr>
                <w:color w:val="000000"/>
                <w:sz w:val="22"/>
              </w:rPr>
              <w:t>251</w:t>
            </w:r>
          </w:p>
        </w:tc>
      </w:tr>
    </w:tbl>
    <w:p w14:paraId="36D2B715" w14:textId="5B2F24F2" w:rsidR="007F2890" w:rsidRPr="00CD076F" w:rsidRDefault="007F2890" w:rsidP="007F2890">
      <w:pPr>
        <w:rPr>
          <w:rFonts w:ascii="Arial" w:hAnsi="Arial" w:cs="Arial"/>
          <w:sz w:val="20"/>
          <w:szCs w:val="20"/>
        </w:rPr>
      </w:pPr>
      <w:r w:rsidRPr="00CD076F">
        <w:rPr>
          <w:rFonts w:ascii="Arial" w:hAnsi="Arial" w:cs="Arial"/>
          <w:sz w:val="20"/>
          <w:szCs w:val="20"/>
        </w:rPr>
        <w:t xml:space="preserve">Source: Commercial ACL dataset.  South Atlantic vertical line includes: hook-and-line by hand, hook-and-line power assisted (bandit) and hook-and-line troll. </w:t>
      </w:r>
      <w:r w:rsidR="00867389">
        <w:rPr>
          <w:rFonts w:ascii="Arial" w:hAnsi="Arial" w:cs="Arial"/>
          <w:sz w:val="20"/>
          <w:szCs w:val="20"/>
        </w:rPr>
        <w:t xml:space="preserve"> </w:t>
      </w:r>
      <w:r w:rsidRPr="00CD076F">
        <w:rPr>
          <w:rFonts w:ascii="Arial" w:hAnsi="Arial" w:cs="Arial"/>
          <w:sz w:val="20"/>
          <w:szCs w:val="20"/>
        </w:rPr>
        <w:t>“Other” includes landings from the following gear</w:t>
      </w:r>
      <w:r w:rsidR="00867389">
        <w:rPr>
          <w:rFonts w:ascii="Arial" w:hAnsi="Arial" w:cs="Arial"/>
          <w:sz w:val="20"/>
          <w:szCs w:val="20"/>
        </w:rPr>
        <w:t xml:space="preserve"> type</w:t>
      </w:r>
      <w:r w:rsidRPr="00CD076F">
        <w:rPr>
          <w:rFonts w:ascii="Arial" w:hAnsi="Arial" w:cs="Arial"/>
          <w:sz w:val="20"/>
          <w:szCs w:val="20"/>
        </w:rPr>
        <w:t>s: gill nets, lift nets, seine nets, and unclassified gear.</w:t>
      </w:r>
    </w:p>
    <w:p w14:paraId="4CC66317" w14:textId="77777777" w:rsidR="007F2890" w:rsidRDefault="007F2890" w:rsidP="007F2890">
      <w:pPr>
        <w:contextualSpacing/>
      </w:pPr>
    </w:p>
    <w:p w14:paraId="71D4479D" w14:textId="77777777" w:rsidR="007F2890" w:rsidRDefault="007F2890" w:rsidP="007F2890">
      <w:pPr>
        <w:pStyle w:val="Figuretitle"/>
        <w:rPr>
          <w:rFonts w:ascii="Arial" w:eastAsia="Calibri" w:hAnsi="Arial" w:cs="Arial"/>
          <w:b/>
          <w:sz w:val="20"/>
          <w:szCs w:val="20"/>
        </w:rPr>
      </w:pPr>
      <w:bookmarkStart w:id="283" w:name="_Toc419885515"/>
      <w:r>
        <w:rPr>
          <w:noProof/>
        </w:rPr>
        <w:drawing>
          <wp:inline distT="0" distB="0" distL="0" distR="0" wp14:anchorId="055C8D53" wp14:editId="4AA65D3A">
            <wp:extent cx="5943600" cy="3147060"/>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922BC90" w14:textId="3EF22BF0" w:rsidR="0083066C" w:rsidRPr="0083066C" w:rsidRDefault="007F2890" w:rsidP="0083066C">
      <w:pPr>
        <w:pStyle w:val="Figuretitle"/>
        <w:rPr>
          <w:rFonts w:ascii="Arial" w:hAnsi="Arial" w:cs="Arial"/>
          <w:sz w:val="20"/>
          <w:szCs w:val="20"/>
        </w:rPr>
      </w:pPr>
      <w:bookmarkStart w:id="284" w:name="_Toc340431608"/>
      <w:r w:rsidRPr="0083066C">
        <w:rPr>
          <w:rFonts w:ascii="Arial" w:eastAsia="Calibri" w:hAnsi="Arial" w:cs="Arial"/>
          <w:b/>
          <w:sz w:val="20"/>
          <w:szCs w:val="20"/>
        </w:rPr>
        <w:t>Figure</w:t>
      </w:r>
      <w:r w:rsidR="00EE7412" w:rsidRPr="0083066C">
        <w:rPr>
          <w:rFonts w:ascii="Arial" w:eastAsia="Calibri" w:hAnsi="Arial" w:cs="Arial"/>
          <w:b/>
          <w:sz w:val="20"/>
          <w:szCs w:val="20"/>
        </w:rPr>
        <w:t xml:space="preserve"> 4.8</w:t>
      </w:r>
      <w:r w:rsidRPr="0083066C">
        <w:rPr>
          <w:rFonts w:ascii="Arial" w:eastAsia="Calibri" w:hAnsi="Arial" w:cs="Arial"/>
          <w:b/>
          <w:sz w:val="20"/>
          <w:szCs w:val="20"/>
        </w:rPr>
        <w:t>.1.</w:t>
      </w:r>
      <w:r w:rsidRPr="0083066C">
        <w:rPr>
          <w:rFonts w:ascii="Arial" w:eastAsia="Calibri" w:hAnsi="Arial" w:cs="Arial"/>
          <w:sz w:val="20"/>
          <w:szCs w:val="20"/>
        </w:rPr>
        <w:t xml:space="preserve">  Average annual South Atlantic comm</w:t>
      </w:r>
      <w:r w:rsidR="00F11EA9">
        <w:rPr>
          <w:rFonts w:ascii="Arial" w:eastAsia="Calibri" w:hAnsi="Arial" w:cs="Arial"/>
          <w:sz w:val="20"/>
          <w:szCs w:val="20"/>
        </w:rPr>
        <w:t xml:space="preserve">ercial mutton snapper landings </w:t>
      </w:r>
      <w:r w:rsidRPr="0083066C">
        <w:rPr>
          <w:rFonts w:ascii="Arial" w:eastAsia="Calibri" w:hAnsi="Arial" w:cs="Arial"/>
          <w:sz w:val="20"/>
          <w:szCs w:val="20"/>
        </w:rPr>
        <w:t>by month from 2010-2014 and 95% confidence intervals.</w:t>
      </w:r>
      <w:bookmarkEnd w:id="284"/>
      <w:r w:rsidRPr="0083066C">
        <w:rPr>
          <w:rFonts w:ascii="Arial" w:eastAsia="Calibri" w:hAnsi="Arial" w:cs="Arial"/>
          <w:sz w:val="20"/>
          <w:szCs w:val="20"/>
        </w:rPr>
        <w:t xml:space="preserve"> </w:t>
      </w:r>
      <w:bookmarkEnd w:id="283"/>
      <w:r w:rsidRPr="0083066C">
        <w:rPr>
          <w:rFonts w:ascii="Arial" w:hAnsi="Arial" w:cs="Arial"/>
          <w:sz w:val="20"/>
          <w:szCs w:val="20"/>
        </w:rPr>
        <w:t xml:space="preserve"> </w:t>
      </w:r>
    </w:p>
    <w:p w14:paraId="77CC3F34" w14:textId="14A89A63" w:rsidR="007F2890" w:rsidRDefault="007F2890" w:rsidP="007F2890">
      <w:r w:rsidRPr="00CD076F">
        <w:rPr>
          <w:rFonts w:ascii="Arial" w:hAnsi="Arial" w:cs="Arial"/>
          <w:sz w:val="20"/>
          <w:szCs w:val="20"/>
        </w:rPr>
        <w:t xml:space="preserve">Source: Commercial ACL dataset.  </w:t>
      </w:r>
    </w:p>
    <w:p w14:paraId="71A1A0C1" w14:textId="77777777" w:rsidR="007F2890" w:rsidRDefault="007F2890" w:rsidP="007F2890">
      <w:pPr>
        <w:ind w:left="900"/>
      </w:pPr>
    </w:p>
    <w:p w14:paraId="60A0F77C" w14:textId="77777777" w:rsidR="007F2890" w:rsidRDefault="007F2890" w:rsidP="007F2890">
      <w:pPr>
        <w:pStyle w:val="Figuretitle"/>
        <w:rPr>
          <w:rFonts w:ascii="Arial" w:eastAsia="Calibri" w:hAnsi="Arial" w:cs="Arial"/>
          <w:b/>
          <w:sz w:val="20"/>
          <w:szCs w:val="20"/>
        </w:rPr>
      </w:pPr>
      <w:bookmarkStart w:id="285" w:name="_Toc419885516"/>
      <w:r>
        <w:rPr>
          <w:noProof/>
        </w:rPr>
        <w:lastRenderedPageBreak/>
        <w:drawing>
          <wp:inline distT="0" distB="0" distL="0" distR="0" wp14:anchorId="6B535D20" wp14:editId="78287368">
            <wp:extent cx="5829300" cy="3409950"/>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A75CF05" w14:textId="6A681EC7" w:rsidR="004050B0" w:rsidRDefault="00EE7412" w:rsidP="007F2890">
      <w:pPr>
        <w:pStyle w:val="Figuretitle"/>
        <w:rPr>
          <w:rFonts w:ascii="Arial" w:hAnsi="Arial" w:cs="Arial"/>
          <w:sz w:val="20"/>
          <w:szCs w:val="20"/>
        </w:rPr>
      </w:pPr>
      <w:bookmarkStart w:id="286" w:name="_Toc340431609"/>
      <w:r>
        <w:rPr>
          <w:rFonts w:ascii="Arial" w:eastAsia="Calibri" w:hAnsi="Arial" w:cs="Arial"/>
          <w:b/>
          <w:sz w:val="20"/>
          <w:szCs w:val="20"/>
        </w:rPr>
        <w:t>Figure 4.8</w:t>
      </w:r>
      <w:r w:rsidR="007F2890" w:rsidRPr="007F0085">
        <w:rPr>
          <w:rFonts w:ascii="Arial" w:eastAsia="Calibri" w:hAnsi="Arial" w:cs="Arial"/>
          <w:b/>
          <w:sz w:val="20"/>
          <w:szCs w:val="20"/>
        </w:rPr>
        <w:t>.2.</w:t>
      </w:r>
      <w:r w:rsidR="007F2890" w:rsidRPr="007F0085">
        <w:rPr>
          <w:rFonts w:ascii="Arial" w:eastAsia="Calibri" w:hAnsi="Arial" w:cs="Arial"/>
          <w:sz w:val="20"/>
          <w:szCs w:val="20"/>
        </w:rPr>
        <w:t xml:space="preserve">  </w:t>
      </w:r>
      <w:r w:rsidR="007F2890">
        <w:rPr>
          <w:rFonts w:ascii="Arial" w:eastAsia="Calibri" w:hAnsi="Arial" w:cs="Arial"/>
          <w:sz w:val="20"/>
          <w:szCs w:val="20"/>
        </w:rPr>
        <w:t xml:space="preserve">South Atlantic </w:t>
      </w:r>
      <w:r w:rsidR="00867389">
        <w:rPr>
          <w:rFonts w:ascii="Arial" w:eastAsia="Calibri" w:hAnsi="Arial" w:cs="Arial"/>
          <w:sz w:val="20"/>
          <w:szCs w:val="20"/>
        </w:rPr>
        <w:t>a</w:t>
      </w:r>
      <w:r w:rsidR="007F2890">
        <w:rPr>
          <w:rFonts w:ascii="Arial" w:eastAsia="Calibri" w:hAnsi="Arial" w:cs="Arial"/>
          <w:sz w:val="20"/>
          <w:szCs w:val="20"/>
        </w:rPr>
        <w:t>nnual commercial</w:t>
      </w:r>
      <w:r w:rsidR="00466925">
        <w:rPr>
          <w:rFonts w:ascii="Arial" w:eastAsia="Calibri" w:hAnsi="Arial" w:cs="Arial"/>
          <w:sz w:val="20"/>
          <w:szCs w:val="20"/>
        </w:rPr>
        <w:t xml:space="preserve"> </w:t>
      </w:r>
      <w:r w:rsidR="007F2890" w:rsidRPr="007F0085">
        <w:rPr>
          <w:rFonts w:ascii="Arial" w:eastAsia="Calibri" w:hAnsi="Arial" w:cs="Arial"/>
          <w:sz w:val="20"/>
          <w:szCs w:val="20"/>
        </w:rPr>
        <w:t xml:space="preserve">landings </w:t>
      </w:r>
      <w:r w:rsidR="00466925">
        <w:rPr>
          <w:rFonts w:ascii="Arial" w:eastAsia="Calibri" w:hAnsi="Arial" w:cs="Arial"/>
          <w:sz w:val="20"/>
          <w:szCs w:val="20"/>
        </w:rPr>
        <w:t xml:space="preserve">(lbs ww) </w:t>
      </w:r>
      <w:r w:rsidR="004050B0">
        <w:rPr>
          <w:rFonts w:ascii="Arial" w:eastAsia="Calibri" w:hAnsi="Arial" w:cs="Arial"/>
          <w:sz w:val="20"/>
          <w:szCs w:val="20"/>
        </w:rPr>
        <w:t>of mutton snapper</w:t>
      </w:r>
      <w:r w:rsidR="007F2890" w:rsidRPr="007F0085">
        <w:rPr>
          <w:rFonts w:ascii="Arial" w:eastAsia="Calibri" w:hAnsi="Arial" w:cs="Arial"/>
          <w:sz w:val="20"/>
          <w:szCs w:val="20"/>
        </w:rPr>
        <w:t>.</w:t>
      </w:r>
      <w:bookmarkEnd w:id="285"/>
      <w:bookmarkEnd w:id="286"/>
      <w:r w:rsidR="007F2890" w:rsidRPr="007F0085">
        <w:rPr>
          <w:rFonts w:ascii="Arial" w:hAnsi="Arial" w:cs="Arial"/>
          <w:sz w:val="20"/>
          <w:szCs w:val="20"/>
        </w:rPr>
        <w:t xml:space="preserve"> </w:t>
      </w:r>
    </w:p>
    <w:p w14:paraId="1A433521" w14:textId="0493B67B" w:rsidR="007F2890" w:rsidRPr="0083066C" w:rsidRDefault="007F2890" w:rsidP="0083066C">
      <w:pPr>
        <w:rPr>
          <w:rFonts w:ascii="Arial" w:hAnsi="Arial" w:cs="Arial"/>
          <w:sz w:val="20"/>
          <w:szCs w:val="20"/>
        </w:rPr>
      </w:pPr>
      <w:r w:rsidRPr="0083066C">
        <w:rPr>
          <w:rFonts w:ascii="Arial" w:hAnsi="Arial" w:cs="Arial"/>
          <w:sz w:val="20"/>
          <w:szCs w:val="20"/>
        </w:rPr>
        <w:t xml:space="preserve">Source: Commercial ACL dataset.   </w:t>
      </w:r>
    </w:p>
    <w:p w14:paraId="1F59E7BD" w14:textId="77777777" w:rsidR="007F2890" w:rsidRDefault="007F2890" w:rsidP="007F2890">
      <w:pPr>
        <w:pStyle w:val="Tabletitle"/>
        <w:rPr>
          <w:b/>
        </w:rPr>
      </w:pPr>
      <w:bookmarkStart w:id="287" w:name="_Toc419885505"/>
    </w:p>
    <w:bookmarkEnd w:id="287"/>
    <w:p w14:paraId="571C12B4" w14:textId="77777777" w:rsidR="007F2890" w:rsidRDefault="007F2890" w:rsidP="007F2890">
      <w:pPr>
        <w:ind w:firstLine="360"/>
      </w:pPr>
    </w:p>
    <w:p w14:paraId="6B066372" w14:textId="40DD59B9" w:rsidR="007F2890" w:rsidRDefault="007F2890" w:rsidP="00466925">
      <w:pPr>
        <w:ind w:firstLine="360"/>
      </w:pPr>
      <w:r>
        <w:t xml:space="preserve">Commercial logbook data (accessed September 3, 2015) were explored to determine </w:t>
      </w:r>
      <w:r w:rsidR="004050B0">
        <w:t>trip-level harvest of mutton snapper</w:t>
      </w:r>
      <w:r>
        <w:t>.  T</w:t>
      </w:r>
      <w:r w:rsidRPr="001466D2">
        <w:t xml:space="preserve">he </w:t>
      </w:r>
      <w:r>
        <w:t xml:space="preserve">most </w:t>
      </w:r>
      <w:r w:rsidRPr="001466D2">
        <w:t>rec</w:t>
      </w:r>
      <w:r>
        <w:t>ent years of complete data (2012-2014</w:t>
      </w:r>
      <w:r w:rsidRPr="001466D2">
        <w:t xml:space="preserve">) </w:t>
      </w:r>
      <w:r w:rsidR="004050B0">
        <w:t>indicated</w:t>
      </w:r>
      <w:r>
        <w:t xml:space="preserve"> 4,551 </w:t>
      </w:r>
      <w:r w:rsidRPr="001466D2">
        <w:t>trips</w:t>
      </w:r>
      <w:r>
        <w:t xml:space="preserve"> in the South Atlantic</w:t>
      </w:r>
      <w:r w:rsidR="004050B0">
        <w:t xml:space="preserve"> harvested mutton snapper.</w:t>
      </w:r>
      <w:r w:rsidRPr="001466D2">
        <w:t xml:space="preserve">  </w:t>
      </w:r>
    </w:p>
    <w:p w14:paraId="6F22075E" w14:textId="77777777" w:rsidR="007F2890" w:rsidRDefault="007F2890" w:rsidP="007F2890"/>
    <w:p w14:paraId="0781A434" w14:textId="138AC9BD" w:rsidR="007F2890" w:rsidRDefault="004050B0" w:rsidP="00466925">
      <w:pPr>
        <w:ind w:firstLine="360"/>
      </w:pPr>
      <w:r>
        <w:t xml:space="preserve">Currently, restrictions on the commercial harvest of mutton snapper in the </w:t>
      </w:r>
      <w:r w:rsidR="007F2890">
        <w:t xml:space="preserve">South Atlantic </w:t>
      </w:r>
      <w:r>
        <w:t xml:space="preserve">only apply to May-June when commercial harvest is restricted to </w:t>
      </w:r>
      <w:r w:rsidR="007F2890">
        <w:t xml:space="preserve">10 mutton snapper per person </w:t>
      </w:r>
      <w:r>
        <w:t xml:space="preserve">per day or 10 per </w:t>
      </w:r>
      <w:r w:rsidR="003F17D4">
        <w:t xml:space="preserve">person </w:t>
      </w:r>
      <w:r w:rsidR="00F74C9E">
        <w:t xml:space="preserve">per </w:t>
      </w:r>
      <w:r>
        <w:t>trip</w:t>
      </w:r>
      <w:r w:rsidR="007F2890">
        <w:t xml:space="preserve">, whichever is more restrictive.  </w:t>
      </w:r>
      <w:r w:rsidR="007F2890" w:rsidRPr="00AB6D1B">
        <w:t>South Atlantic commercial trips that harvested mu</w:t>
      </w:r>
      <w:r w:rsidR="000C01E0" w:rsidRPr="00AB6D1B">
        <w:t xml:space="preserve">tton snapper during May-June were compared to those that took place </w:t>
      </w:r>
      <w:r w:rsidR="007F2890" w:rsidRPr="00AB6D1B">
        <w:t xml:space="preserve">outside </w:t>
      </w:r>
      <w:r w:rsidR="000C01E0" w:rsidRPr="00AB6D1B">
        <w:t>those months</w:t>
      </w:r>
      <w:r w:rsidR="007F2890" w:rsidRPr="00AB6D1B">
        <w:t xml:space="preserve"> (</w:t>
      </w:r>
      <w:r w:rsidR="00EE7412" w:rsidRPr="00AB6D1B">
        <w:rPr>
          <w:b/>
        </w:rPr>
        <w:t>Figure 4.8</w:t>
      </w:r>
      <w:r w:rsidR="007F2890" w:rsidRPr="00AB6D1B">
        <w:rPr>
          <w:b/>
        </w:rPr>
        <w:t>.3</w:t>
      </w:r>
      <w:r w:rsidR="007F2890" w:rsidRPr="00AB6D1B">
        <w:t xml:space="preserve">).  </w:t>
      </w:r>
      <w:r>
        <w:t>T</w:t>
      </w:r>
      <w:r w:rsidR="00AB6D1B">
        <w:t xml:space="preserve">he </w:t>
      </w:r>
      <w:r>
        <w:t xml:space="preserve">mutton snapper </w:t>
      </w:r>
      <w:r w:rsidR="000C01E0">
        <w:t xml:space="preserve">landed per trip </w:t>
      </w:r>
      <w:r>
        <w:t xml:space="preserve">during May-June </w:t>
      </w:r>
      <w:r w:rsidR="00AB6D1B">
        <w:t xml:space="preserve">was relatively similar when </w:t>
      </w:r>
      <w:r>
        <w:t>compared to the rest of the year</w:t>
      </w:r>
      <w:r w:rsidR="00FD4DDC">
        <w:t xml:space="preserve"> </w:t>
      </w:r>
      <w:r w:rsidR="00AB6D1B">
        <w:t xml:space="preserve">(July through April) </w:t>
      </w:r>
      <w:r w:rsidR="00FD4DDC">
        <w:t>(</w:t>
      </w:r>
      <w:r w:rsidR="00FD4DDC" w:rsidRPr="00007A84">
        <w:rPr>
          <w:b/>
        </w:rPr>
        <w:t>Figure 4.8.3</w:t>
      </w:r>
      <w:r w:rsidR="00FD4DDC">
        <w:t>)</w:t>
      </w:r>
      <w:r>
        <w:t>.</w:t>
      </w:r>
      <w:r w:rsidR="00CD484E">
        <w:t xml:space="preserve">  However, the number of trips per month was higher during May and June than during the rest of the year.  </w:t>
      </w:r>
    </w:p>
    <w:p w14:paraId="13850688" w14:textId="77777777" w:rsidR="007F2890" w:rsidRDefault="007F2890" w:rsidP="007F2890">
      <w:r>
        <w:rPr>
          <w:noProof/>
        </w:rPr>
        <w:lastRenderedPageBreak/>
        <w:drawing>
          <wp:inline distT="0" distB="0" distL="0" distR="0" wp14:anchorId="42E05471" wp14:editId="3314500A">
            <wp:extent cx="5943600" cy="3551555"/>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1584640" w14:textId="77777777" w:rsidR="007F2890" w:rsidRDefault="007F2890" w:rsidP="007F2890">
      <w:r>
        <w:t xml:space="preserve"> </w:t>
      </w:r>
    </w:p>
    <w:p w14:paraId="628C03F4" w14:textId="127F3014" w:rsidR="007F2890" w:rsidRPr="00466925" w:rsidRDefault="00EE7412" w:rsidP="00466925">
      <w:pPr>
        <w:pStyle w:val="Figuretitle"/>
        <w:rPr>
          <w:rFonts w:ascii="Arial" w:hAnsi="Arial" w:cs="Arial"/>
          <w:b/>
          <w:bCs/>
          <w:sz w:val="20"/>
          <w:szCs w:val="20"/>
        </w:rPr>
      </w:pPr>
      <w:bookmarkStart w:id="288" w:name="_Toc340431610"/>
      <w:r>
        <w:rPr>
          <w:rFonts w:ascii="Arial" w:hAnsi="Arial" w:cs="Arial"/>
          <w:b/>
          <w:sz w:val="20"/>
          <w:szCs w:val="20"/>
        </w:rPr>
        <w:t>Figure 4.8</w:t>
      </w:r>
      <w:r w:rsidR="007F2890" w:rsidRPr="00466925">
        <w:rPr>
          <w:rFonts w:ascii="Arial" w:hAnsi="Arial" w:cs="Arial"/>
          <w:b/>
          <w:sz w:val="20"/>
          <w:szCs w:val="20"/>
        </w:rPr>
        <w:t>.3.</w:t>
      </w:r>
      <w:r w:rsidR="004050B0">
        <w:rPr>
          <w:rFonts w:ascii="Arial" w:hAnsi="Arial" w:cs="Arial"/>
          <w:sz w:val="20"/>
          <w:szCs w:val="20"/>
        </w:rPr>
        <w:t xml:space="preserve"> Distribution of </w:t>
      </w:r>
      <w:r w:rsidR="007F2890" w:rsidRPr="00466925">
        <w:rPr>
          <w:rFonts w:ascii="Arial" w:hAnsi="Arial" w:cs="Arial"/>
          <w:sz w:val="20"/>
          <w:szCs w:val="20"/>
        </w:rPr>
        <w:t xml:space="preserve">mutton snapper harvested per trip (lbs ww) in the South Atlantic region from the commercial logbook dataset from 2012 to 2014.  </w:t>
      </w:r>
      <w:r w:rsidR="004050B0">
        <w:rPr>
          <w:rFonts w:ascii="Arial" w:hAnsi="Arial" w:cs="Arial"/>
          <w:sz w:val="20"/>
          <w:szCs w:val="20"/>
        </w:rPr>
        <w:t>Commercial restrictions only apply to the commercial sector during May-</w:t>
      </w:r>
      <w:r w:rsidR="007F2890" w:rsidRPr="00466925">
        <w:rPr>
          <w:rFonts w:ascii="Arial" w:hAnsi="Arial" w:cs="Arial"/>
          <w:sz w:val="20"/>
          <w:szCs w:val="20"/>
        </w:rPr>
        <w:t>June.</w:t>
      </w:r>
      <w:bookmarkEnd w:id="288"/>
      <w:r w:rsidR="007F2890" w:rsidRPr="00466925">
        <w:rPr>
          <w:rFonts w:ascii="Arial" w:hAnsi="Arial" w:cs="Arial"/>
          <w:sz w:val="20"/>
          <w:szCs w:val="20"/>
        </w:rPr>
        <w:t xml:space="preserve">    </w:t>
      </w:r>
    </w:p>
    <w:p w14:paraId="4DDA1302" w14:textId="77777777" w:rsidR="007F2890" w:rsidRDefault="007F2890" w:rsidP="007F2890"/>
    <w:p w14:paraId="42181CB4" w14:textId="24686FA2" w:rsidR="007F2890" w:rsidRDefault="00B166F3" w:rsidP="00B166F3">
      <w:pPr>
        <w:ind w:firstLine="360"/>
      </w:pPr>
      <w:r w:rsidRPr="00B166F3">
        <w:rPr>
          <w:b/>
        </w:rPr>
        <w:t xml:space="preserve">Preferred </w:t>
      </w:r>
      <w:r w:rsidR="007F2890" w:rsidRPr="00B166F3">
        <w:rPr>
          <w:b/>
        </w:rPr>
        <w:t>Alternative 2</w:t>
      </w:r>
      <w:r w:rsidR="007F2890">
        <w:t xml:space="preserve"> </w:t>
      </w:r>
      <w:r>
        <w:t>and its sub-alternatives</w:t>
      </w:r>
      <w:r w:rsidR="007F2890">
        <w:t xml:space="preserve"> </w:t>
      </w:r>
      <w:r>
        <w:t xml:space="preserve">propose </w:t>
      </w:r>
      <w:r w:rsidR="007F2890">
        <w:t xml:space="preserve">implementing a trip limit </w:t>
      </w:r>
      <w:r>
        <w:t xml:space="preserve">(defined in pounds whole weight) </w:t>
      </w:r>
      <w:r w:rsidR="007F2890">
        <w:t>during the ‘regular season</w:t>
      </w:r>
      <w:r w:rsidR="00FA68EB">
        <w:t>.</w:t>
      </w:r>
      <w:r w:rsidR="007F2890">
        <w:t xml:space="preserve">’  </w:t>
      </w:r>
      <w:r w:rsidR="000C01E0">
        <w:t xml:space="preserve">Based on </w:t>
      </w:r>
      <w:r w:rsidR="000C01E0" w:rsidRPr="00B166F3">
        <w:rPr>
          <w:b/>
        </w:rPr>
        <w:t>Preferred Sub-alternative 2a</w:t>
      </w:r>
      <w:r w:rsidR="000C01E0">
        <w:t xml:space="preserve"> under </w:t>
      </w:r>
      <w:r w:rsidR="000C01E0" w:rsidRPr="00B166F3">
        <w:rPr>
          <w:b/>
        </w:rPr>
        <w:t>Action 6</w:t>
      </w:r>
      <w:r w:rsidR="000C01E0" w:rsidRPr="000C01E0">
        <w:t xml:space="preserve">, </w:t>
      </w:r>
      <w:r w:rsidR="000C01E0">
        <w:t>t</w:t>
      </w:r>
      <w:r w:rsidR="007F2890">
        <w:t xml:space="preserve">he </w:t>
      </w:r>
      <w:r w:rsidR="000C01E0">
        <w:t>“regular season” would</w:t>
      </w:r>
      <w:r w:rsidR="007F2890">
        <w:t xml:space="preserve"> </w:t>
      </w:r>
      <w:r w:rsidR="00EC0827">
        <w:t>extend from</w:t>
      </w:r>
      <w:r>
        <w:t xml:space="preserve"> </w:t>
      </w:r>
      <w:r w:rsidR="000C01E0">
        <w:t>July through March</w:t>
      </w:r>
      <w:r>
        <w:t xml:space="preserve">.  Commercial </w:t>
      </w:r>
      <w:r w:rsidR="007F2890">
        <w:t xml:space="preserve">logbook data were analyzed by imposing the </w:t>
      </w:r>
      <w:r w:rsidRPr="00B166F3">
        <w:rPr>
          <w:b/>
        </w:rPr>
        <w:t xml:space="preserve">Preferred </w:t>
      </w:r>
      <w:r w:rsidR="007F2890" w:rsidRPr="00B166F3">
        <w:rPr>
          <w:b/>
        </w:rPr>
        <w:t>Alternative 2</w:t>
      </w:r>
      <w:r w:rsidR="007F2890">
        <w:t xml:space="preserve"> proposed trip limits only du</w:t>
      </w:r>
      <w:r w:rsidR="000C01E0">
        <w:t>ring the “regular season</w:t>
      </w:r>
      <w:r w:rsidR="00B753E8">
        <w:t>.</w:t>
      </w:r>
      <w:r w:rsidR="000C01E0">
        <w:t>”</w:t>
      </w:r>
      <w:r>
        <w:t xml:space="preserve">  L</w:t>
      </w:r>
      <w:r w:rsidR="007F2890">
        <w:t xml:space="preserve">andings </w:t>
      </w:r>
      <w:r>
        <w:t>during the “spawning months” (April-June</w:t>
      </w:r>
      <w:r w:rsidR="000C01E0">
        <w:t xml:space="preserve"> under </w:t>
      </w:r>
      <w:r w:rsidR="000C01E0" w:rsidRPr="000C01E0">
        <w:rPr>
          <w:b/>
        </w:rPr>
        <w:t>Preferred Sub-alternative 2a</w:t>
      </w:r>
      <w:r w:rsidR="000C01E0">
        <w:t xml:space="preserve">, </w:t>
      </w:r>
      <w:r w:rsidR="000C01E0" w:rsidRPr="000C01E0">
        <w:rPr>
          <w:b/>
        </w:rPr>
        <w:t>Action 6</w:t>
      </w:r>
      <w:r>
        <w:t>) were not modified.  P</w:t>
      </w:r>
      <w:r w:rsidR="007F2890">
        <w:t xml:space="preserve">redicted percent reductions in </w:t>
      </w:r>
      <w:r>
        <w:t xml:space="preserve">commercial landings are shown in </w:t>
      </w:r>
      <w:r w:rsidR="00EE7412">
        <w:rPr>
          <w:b/>
        </w:rPr>
        <w:t>Table 4.8</w:t>
      </w:r>
      <w:r w:rsidRPr="00B166F3">
        <w:rPr>
          <w:b/>
        </w:rPr>
        <w:t>.2</w:t>
      </w:r>
      <w:r w:rsidR="007F2890">
        <w:t xml:space="preserve">.  </w:t>
      </w:r>
      <w:r w:rsidR="00643474">
        <w:t>A commercial trip limit of 300 lbs ww (</w:t>
      </w:r>
      <w:r w:rsidR="00643474" w:rsidRPr="00643474">
        <w:rPr>
          <w:b/>
        </w:rPr>
        <w:t>Sub-alternative 2a</w:t>
      </w:r>
      <w:r w:rsidR="00643474">
        <w:t xml:space="preserve">) outside of the designated spawning months (April through June according to </w:t>
      </w:r>
      <w:r w:rsidR="00643474" w:rsidRPr="00643474">
        <w:rPr>
          <w:b/>
        </w:rPr>
        <w:t>Preferred Sub-alternative 2a</w:t>
      </w:r>
      <w:r w:rsidR="00643474">
        <w:t xml:space="preserve">, </w:t>
      </w:r>
      <w:r w:rsidR="00643474" w:rsidRPr="00643474">
        <w:rPr>
          <w:b/>
        </w:rPr>
        <w:t>Action 6</w:t>
      </w:r>
      <w:r w:rsidR="00643474">
        <w:t>) is expected to result in a 6% decrease in commercial harvest of mutton snapper.</w:t>
      </w:r>
      <w:r w:rsidR="00233081">
        <w:t xml:space="preserve">  Estimated percent reductions in commercial harvest as a result of the proposed trip limits under </w:t>
      </w:r>
      <w:r w:rsidR="00233081" w:rsidRPr="00367BB0">
        <w:rPr>
          <w:b/>
        </w:rPr>
        <w:t>Sub-alternative 2b</w:t>
      </w:r>
      <w:r w:rsidR="00233081">
        <w:t xml:space="preserve"> (400 lbs ww) and </w:t>
      </w:r>
      <w:r w:rsidR="00233081" w:rsidRPr="00367BB0">
        <w:rPr>
          <w:b/>
        </w:rPr>
        <w:t>Preferred Sub-alternative 2c</w:t>
      </w:r>
      <w:r w:rsidR="00233081">
        <w:t xml:space="preserve"> (500 lbs ww), are 4.5% and 3.7%, respectively.</w:t>
      </w:r>
    </w:p>
    <w:p w14:paraId="3211EB3A" w14:textId="77777777" w:rsidR="007F2890" w:rsidRDefault="007F2890" w:rsidP="007F2890"/>
    <w:p w14:paraId="43E3BCB8" w14:textId="77777777" w:rsidR="00643474" w:rsidRDefault="00643474">
      <w:pPr>
        <w:rPr>
          <w:rFonts w:ascii="Arial" w:hAnsi="Arial"/>
          <w:b/>
          <w:bCs/>
          <w:sz w:val="20"/>
        </w:rPr>
      </w:pPr>
      <w:r>
        <w:rPr>
          <w:b/>
        </w:rPr>
        <w:br w:type="page"/>
      </w:r>
    </w:p>
    <w:p w14:paraId="7479CEA2" w14:textId="3584D4C8" w:rsidR="007F2890" w:rsidRDefault="00EE7412" w:rsidP="00B166F3">
      <w:pPr>
        <w:pStyle w:val="Tabletitle"/>
      </w:pPr>
      <w:bookmarkStart w:id="289" w:name="_Toc340431590"/>
      <w:r>
        <w:rPr>
          <w:b/>
        </w:rPr>
        <w:lastRenderedPageBreak/>
        <w:t>Table 4.8</w:t>
      </w:r>
      <w:r w:rsidR="007F2890" w:rsidRPr="00B166F3">
        <w:rPr>
          <w:b/>
        </w:rPr>
        <w:t>.2.</w:t>
      </w:r>
      <w:r w:rsidR="007F2890">
        <w:t xml:space="preserve"> Percent decreases in </w:t>
      </w:r>
      <w:r w:rsidR="007B3F25">
        <w:t>commercial l</w:t>
      </w:r>
      <w:r w:rsidR="007F2890">
        <w:t xml:space="preserve">andings for </w:t>
      </w:r>
      <w:r w:rsidR="007B3F25">
        <w:t>trip limits proposed under</w:t>
      </w:r>
      <w:r w:rsidR="007F2890">
        <w:t xml:space="preserve"> </w:t>
      </w:r>
      <w:r w:rsidR="00B166F3" w:rsidRPr="00B166F3">
        <w:rPr>
          <w:b/>
        </w:rPr>
        <w:t xml:space="preserve">Preferred </w:t>
      </w:r>
      <w:r w:rsidR="007F2890" w:rsidRPr="00B166F3">
        <w:rPr>
          <w:b/>
        </w:rPr>
        <w:t>Alternative 2</w:t>
      </w:r>
      <w:r w:rsidR="007F2890">
        <w:t xml:space="preserve"> of </w:t>
      </w:r>
      <w:r w:rsidR="007F2890" w:rsidRPr="00B166F3">
        <w:rPr>
          <w:b/>
        </w:rPr>
        <w:t xml:space="preserve">Action </w:t>
      </w:r>
      <w:r>
        <w:rPr>
          <w:b/>
        </w:rPr>
        <w:t>8</w:t>
      </w:r>
      <w:r w:rsidR="00B166F3">
        <w:t xml:space="preserve">.  </w:t>
      </w:r>
      <w:r w:rsidR="00AF1CDC">
        <w:t>Preferred indicated in bold.</w:t>
      </w:r>
      <w:bookmarkEnd w:id="289"/>
    </w:p>
    <w:tbl>
      <w:tblPr>
        <w:tblW w:w="0" w:type="auto"/>
        <w:tblInd w:w="93" w:type="dxa"/>
        <w:tblLook w:val="04A0" w:firstRow="1" w:lastRow="0" w:firstColumn="1" w:lastColumn="0" w:noHBand="0" w:noVBand="1"/>
      </w:tblPr>
      <w:tblGrid>
        <w:gridCol w:w="1677"/>
        <w:gridCol w:w="1244"/>
        <w:gridCol w:w="1244"/>
        <w:gridCol w:w="1244"/>
      </w:tblGrid>
      <w:tr w:rsidR="007F2890" w:rsidRPr="0066632F" w14:paraId="61DB8B29" w14:textId="77777777" w:rsidTr="00AF1CDC">
        <w:trPr>
          <w:trHeight w:val="312"/>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F91063" w14:textId="77777777" w:rsidR="007F2890" w:rsidRPr="0066632F" w:rsidRDefault="007F2890" w:rsidP="007F2890">
            <w:pPr>
              <w:jc w:val="center"/>
              <w:rPr>
                <w:b/>
                <w:color w:val="000000"/>
                <w:sz w:val="22"/>
                <w:szCs w:val="22"/>
              </w:rPr>
            </w:pPr>
            <w:r w:rsidRPr="0066632F">
              <w:rPr>
                <w:b/>
                <w:color w:val="000000"/>
                <w:sz w:val="22"/>
                <w:szCs w:val="22"/>
              </w:rPr>
              <w:t>Regular Season</w:t>
            </w:r>
          </w:p>
        </w:tc>
        <w:tc>
          <w:tcPr>
            <w:tcW w:w="0" w:type="auto"/>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0F6A9C4" w14:textId="77777777" w:rsidR="007F2890" w:rsidRPr="0066632F" w:rsidRDefault="007F2890" w:rsidP="007F2890">
            <w:pPr>
              <w:jc w:val="center"/>
              <w:rPr>
                <w:b/>
                <w:color w:val="000000"/>
                <w:sz w:val="22"/>
                <w:szCs w:val="22"/>
              </w:rPr>
            </w:pPr>
            <w:r w:rsidRPr="0066632F">
              <w:rPr>
                <w:b/>
                <w:color w:val="000000"/>
                <w:sz w:val="22"/>
                <w:szCs w:val="22"/>
              </w:rPr>
              <w:t>Trip Limit</w:t>
            </w:r>
          </w:p>
        </w:tc>
      </w:tr>
      <w:tr w:rsidR="007F2890" w:rsidRPr="0066632F" w14:paraId="2F8D7CC4" w14:textId="77777777" w:rsidTr="00AF1CDC">
        <w:trPr>
          <w:trHeight w:val="312"/>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767E42" w14:textId="77777777" w:rsidR="007F2890" w:rsidRPr="0066632F" w:rsidRDefault="007F2890" w:rsidP="007F2890">
            <w:pPr>
              <w:rPr>
                <w:b/>
                <w:color w:val="000000"/>
                <w:sz w:val="22"/>
                <w:szCs w:val="22"/>
              </w:rPr>
            </w:pP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14:paraId="62D68610" w14:textId="77777777" w:rsidR="007F2890" w:rsidRPr="0066632F" w:rsidRDefault="007F2890" w:rsidP="007F2890">
            <w:pPr>
              <w:jc w:val="center"/>
              <w:rPr>
                <w:b/>
                <w:color w:val="000000"/>
                <w:sz w:val="22"/>
                <w:szCs w:val="22"/>
              </w:rPr>
            </w:pPr>
            <w:r w:rsidRPr="0066632F">
              <w:rPr>
                <w:b/>
                <w:color w:val="000000"/>
                <w:sz w:val="22"/>
                <w:szCs w:val="22"/>
              </w:rPr>
              <w:t>300 lbs ww</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14:paraId="5AE1F6B7" w14:textId="77777777" w:rsidR="007F2890" w:rsidRPr="0066632F" w:rsidRDefault="007F2890" w:rsidP="007F2890">
            <w:pPr>
              <w:jc w:val="center"/>
              <w:rPr>
                <w:b/>
                <w:color w:val="000000"/>
                <w:sz w:val="22"/>
                <w:szCs w:val="22"/>
              </w:rPr>
            </w:pPr>
            <w:r w:rsidRPr="0066632F">
              <w:rPr>
                <w:b/>
                <w:color w:val="000000"/>
                <w:sz w:val="22"/>
                <w:szCs w:val="22"/>
              </w:rPr>
              <w:t>400 lbs ww</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14:paraId="29C2C1B1" w14:textId="77777777" w:rsidR="007F2890" w:rsidRPr="0066632F" w:rsidRDefault="007F2890" w:rsidP="007F2890">
            <w:pPr>
              <w:jc w:val="center"/>
              <w:rPr>
                <w:b/>
                <w:color w:val="000000"/>
                <w:sz w:val="22"/>
                <w:szCs w:val="22"/>
              </w:rPr>
            </w:pPr>
            <w:r w:rsidRPr="0066632F">
              <w:rPr>
                <w:b/>
                <w:color w:val="000000"/>
                <w:sz w:val="22"/>
                <w:szCs w:val="22"/>
              </w:rPr>
              <w:t>500 lbs ww</w:t>
            </w:r>
          </w:p>
        </w:tc>
      </w:tr>
      <w:tr w:rsidR="007F2890" w:rsidRPr="0066632F" w14:paraId="13B7F0CE" w14:textId="77777777" w:rsidTr="007F2890">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F84065" w14:textId="77777777" w:rsidR="007F2890" w:rsidRPr="0066632F" w:rsidRDefault="007F2890" w:rsidP="007F2890">
            <w:pPr>
              <w:jc w:val="center"/>
              <w:rPr>
                <w:color w:val="000000"/>
                <w:sz w:val="22"/>
                <w:szCs w:val="22"/>
              </w:rPr>
            </w:pPr>
            <w:r w:rsidRPr="0066632F">
              <w:rPr>
                <w:color w:val="000000"/>
                <w:sz w:val="22"/>
                <w:szCs w:val="22"/>
              </w:rPr>
              <w:t>July - April</w:t>
            </w:r>
          </w:p>
        </w:tc>
        <w:tc>
          <w:tcPr>
            <w:tcW w:w="0" w:type="auto"/>
            <w:tcBorders>
              <w:top w:val="nil"/>
              <w:left w:val="nil"/>
              <w:bottom w:val="single" w:sz="4" w:space="0" w:color="auto"/>
              <w:right w:val="single" w:sz="4" w:space="0" w:color="auto"/>
            </w:tcBorders>
            <w:shd w:val="clear" w:color="auto" w:fill="auto"/>
            <w:noWrap/>
            <w:vAlign w:val="bottom"/>
            <w:hideMark/>
          </w:tcPr>
          <w:p w14:paraId="0BCB50B1" w14:textId="77777777" w:rsidR="007F2890" w:rsidRPr="0066632F" w:rsidRDefault="007F2890" w:rsidP="007F2890">
            <w:pPr>
              <w:jc w:val="center"/>
              <w:rPr>
                <w:color w:val="000000"/>
                <w:sz w:val="22"/>
                <w:szCs w:val="22"/>
              </w:rPr>
            </w:pPr>
            <w:r w:rsidRPr="0066632F">
              <w:rPr>
                <w:color w:val="000000"/>
                <w:sz w:val="22"/>
                <w:szCs w:val="22"/>
              </w:rPr>
              <w:t>-6.0%</w:t>
            </w:r>
          </w:p>
        </w:tc>
        <w:tc>
          <w:tcPr>
            <w:tcW w:w="0" w:type="auto"/>
            <w:tcBorders>
              <w:top w:val="nil"/>
              <w:left w:val="nil"/>
              <w:bottom w:val="single" w:sz="4" w:space="0" w:color="auto"/>
              <w:right w:val="single" w:sz="4" w:space="0" w:color="auto"/>
            </w:tcBorders>
            <w:shd w:val="clear" w:color="auto" w:fill="auto"/>
            <w:noWrap/>
            <w:vAlign w:val="bottom"/>
            <w:hideMark/>
          </w:tcPr>
          <w:p w14:paraId="11E33C4B" w14:textId="77777777" w:rsidR="007F2890" w:rsidRPr="0066632F" w:rsidRDefault="007F2890" w:rsidP="007F2890">
            <w:pPr>
              <w:jc w:val="center"/>
              <w:rPr>
                <w:color w:val="000000"/>
                <w:sz w:val="22"/>
                <w:szCs w:val="22"/>
              </w:rPr>
            </w:pPr>
            <w:r w:rsidRPr="0066632F">
              <w:rPr>
                <w:color w:val="000000"/>
                <w:sz w:val="22"/>
                <w:szCs w:val="22"/>
              </w:rPr>
              <w:t>-4.6%</w:t>
            </w:r>
          </w:p>
        </w:tc>
        <w:tc>
          <w:tcPr>
            <w:tcW w:w="0" w:type="auto"/>
            <w:tcBorders>
              <w:top w:val="nil"/>
              <w:left w:val="nil"/>
              <w:bottom w:val="single" w:sz="4" w:space="0" w:color="auto"/>
              <w:right w:val="single" w:sz="4" w:space="0" w:color="auto"/>
            </w:tcBorders>
            <w:shd w:val="clear" w:color="auto" w:fill="auto"/>
            <w:noWrap/>
            <w:vAlign w:val="bottom"/>
            <w:hideMark/>
          </w:tcPr>
          <w:p w14:paraId="558CC03E" w14:textId="77777777" w:rsidR="007F2890" w:rsidRPr="0066632F" w:rsidRDefault="007F2890" w:rsidP="007F2890">
            <w:pPr>
              <w:jc w:val="center"/>
              <w:rPr>
                <w:b/>
                <w:color w:val="000000"/>
                <w:sz w:val="22"/>
                <w:szCs w:val="22"/>
              </w:rPr>
            </w:pPr>
            <w:r w:rsidRPr="0066632F">
              <w:rPr>
                <w:b/>
                <w:color w:val="000000"/>
                <w:sz w:val="22"/>
                <w:szCs w:val="22"/>
              </w:rPr>
              <w:t>-3.7%</w:t>
            </w:r>
          </w:p>
        </w:tc>
      </w:tr>
      <w:tr w:rsidR="007F2890" w:rsidRPr="0066632F" w14:paraId="70D40D92" w14:textId="77777777" w:rsidTr="007F2890">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DBFFE" w14:textId="77777777" w:rsidR="007F2890" w:rsidRPr="0066632F" w:rsidRDefault="007F2890" w:rsidP="007F2890">
            <w:pPr>
              <w:jc w:val="center"/>
              <w:rPr>
                <w:b/>
                <w:color w:val="000000"/>
                <w:sz w:val="22"/>
                <w:szCs w:val="22"/>
              </w:rPr>
            </w:pPr>
            <w:r w:rsidRPr="0066632F">
              <w:rPr>
                <w:b/>
                <w:color w:val="000000"/>
                <w:sz w:val="22"/>
                <w:szCs w:val="22"/>
              </w:rPr>
              <w:t>July - March</w:t>
            </w:r>
          </w:p>
        </w:tc>
        <w:tc>
          <w:tcPr>
            <w:tcW w:w="0" w:type="auto"/>
            <w:tcBorders>
              <w:top w:val="nil"/>
              <w:left w:val="nil"/>
              <w:bottom w:val="single" w:sz="4" w:space="0" w:color="auto"/>
              <w:right w:val="single" w:sz="4" w:space="0" w:color="auto"/>
            </w:tcBorders>
            <w:shd w:val="clear" w:color="auto" w:fill="auto"/>
            <w:noWrap/>
            <w:vAlign w:val="bottom"/>
            <w:hideMark/>
          </w:tcPr>
          <w:p w14:paraId="48DB2CBE" w14:textId="77777777" w:rsidR="007F2890" w:rsidRPr="0066632F" w:rsidRDefault="007F2890" w:rsidP="007F2890">
            <w:pPr>
              <w:jc w:val="center"/>
              <w:rPr>
                <w:b/>
                <w:color w:val="000000"/>
                <w:sz w:val="22"/>
                <w:szCs w:val="22"/>
              </w:rPr>
            </w:pPr>
            <w:r w:rsidRPr="0066632F">
              <w:rPr>
                <w:b/>
                <w:color w:val="000000"/>
                <w:sz w:val="22"/>
                <w:szCs w:val="22"/>
              </w:rPr>
              <w:t>-5.9%</w:t>
            </w:r>
          </w:p>
        </w:tc>
        <w:tc>
          <w:tcPr>
            <w:tcW w:w="0" w:type="auto"/>
            <w:tcBorders>
              <w:top w:val="nil"/>
              <w:left w:val="nil"/>
              <w:bottom w:val="single" w:sz="4" w:space="0" w:color="auto"/>
              <w:right w:val="single" w:sz="4" w:space="0" w:color="auto"/>
            </w:tcBorders>
            <w:shd w:val="clear" w:color="auto" w:fill="auto"/>
            <w:noWrap/>
            <w:vAlign w:val="bottom"/>
            <w:hideMark/>
          </w:tcPr>
          <w:p w14:paraId="1B505B14" w14:textId="77777777" w:rsidR="007F2890" w:rsidRPr="0066632F" w:rsidRDefault="007F2890" w:rsidP="007F2890">
            <w:pPr>
              <w:jc w:val="center"/>
              <w:rPr>
                <w:b/>
                <w:color w:val="000000"/>
                <w:sz w:val="22"/>
                <w:szCs w:val="22"/>
              </w:rPr>
            </w:pPr>
            <w:r w:rsidRPr="0066632F">
              <w:rPr>
                <w:b/>
                <w:color w:val="000000"/>
                <w:sz w:val="22"/>
                <w:szCs w:val="22"/>
              </w:rPr>
              <w:t>-4.5%</w:t>
            </w:r>
          </w:p>
        </w:tc>
        <w:tc>
          <w:tcPr>
            <w:tcW w:w="0" w:type="auto"/>
            <w:tcBorders>
              <w:top w:val="nil"/>
              <w:left w:val="nil"/>
              <w:bottom w:val="single" w:sz="4" w:space="0" w:color="auto"/>
              <w:right w:val="single" w:sz="4" w:space="0" w:color="auto"/>
            </w:tcBorders>
            <w:shd w:val="clear" w:color="auto" w:fill="auto"/>
            <w:noWrap/>
            <w:vAlign w:val="bottom"/>
            <w:hideMark/>
          </w:tcPr>
          <w:p w14:paraId="74C2D0E0" w14:textId="77777777" w:rsidR="007F2890" w:rsidRPr="0066632F" w:rsidRDefault="007F2890" w:rsidP="007F2890">
            <w:pPr>
              <w:jc w:val="center"/>
              <w:rPr>
                <w:b/>
                <w:color w:val="000000"/>
                <w:sz w:val="22"/>
                <w:szCs w:val="22"/>
              </w:rPr>
            </w:pPr>
            <w:r w:rsidRPr="0066632F">
              <w:rPr>
                <w:b/>
                <w:color w:val="000000"/>
                <w:sz w:val="22"/>
                <w:szCs w:val="22"/>
              </w:rPr>
              <w:t>-3.7%</w:t>
            </w:r>
          </w:p>
        </w:tc>
      </w:tr>
      <w:tr w:rsidR="007F2890" w:rsidRPr="0066632F" w14:paraId="01AA0306" w14:textId="77777777" w:rsidTr="007F2890">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197EF8" w14:textId="77777777" w:rsidR="007F2890" w:rsidRPr="0066632F" w:rsidRDefault="007F2890" w:rsidP="007F2890">
            <w:pPr>
              <w:jc w:val="center"/>
              <w:rPr>
                <w:color w:val="000000"/>
                <w:sz w:val="22"/>
                <w:szCs w:val="22"/>
              </w:rPr>
            </w:pPr>
            <w:r w:rsidRPr="0066632F">
              <w:rPr>
                <w:color w:val="000000"/>
                <w:sz w:val="22"/>
                <w:szCs w:val="22"/>
              </w:rPr>
              <w:t>August - March</w:t>
            </w:r>
          </w:p>
        </w:tc>
        <w:tc>
          <w:tcPr>
            <w:tcW w:w="0" w:type="auto"/>
            <w:tcBorders>
              <w:top w:val="nil"/>
              <w:left w:val="nil"/>
              <w:bottom w:val="single" w:sz="4" w:space="0" w:color="auto"/>
              <w:right w:val="single" w:sz="4" w:space="0" w:color="auto"/>
            </w:tcBorders>
            <w:shd w:val="clear" w:color="auto" w:fill="auto"/>
            <w:noWrap/>
            <w:vAlign w:val="bottom"/>
            <w:hideMark/>
          </w:tcPr>
          <w:p w14:paraId="7728BD57" w14:textId="77777777" w:rsidR="007F2890" w:rsidRPr="0066632F" w:rsidRDefault="007F2890" w:rsidP="007F2890">
            <w:pPr>
              <w:jc w:val="center"/>
              <w:rPr>
                <w:color w:val="000000"/>
                <w:sz w:val="22"/>
                <w:szCs w:val="22"/>
              </w:rPr>
            </w:pPr>
            <w:r w:rsidRPr="0066632F">
              <w:rPr>
                <w:color w:val="000000"/>
                <w:sz w:val="22"/>
                <w:szCs w:val="22"/>
              </w:rPr>
              <w:t>-4.1%</w:t>
            </w:r>
          </w:p>
        </w:tc>
        <w:tc>
          <w:tcPr>
            <w:tcW w:w="0" w:type="auto"/>
            <w:tcBorders>
              <w:top w:val="nil"/>
              <w:left w:val="nil"/>
              <w:bottom w:val="single" w:sz="4" w:space="0" w:color="auto"/>
              <w:right w:val="single" w:sz="4" w:space="0" w:color="auto"/>
            </w:tcBorders>
            <w:shd w:val="clear" w:color="auto" w:fill="auto"/>
            <w:noWrap/>
            <w:vAlign w:val="bottom"/>
            <w:hideMark/>
          </w:tcPr>
          <w:p w14:paraId="70F4BD38" w14:textId="77777777" w:rsidR="007F2890" w:rsidRPr="0066632F" w:rsidRDefault="007F2890" w:rsidP="007F2890">
            <w:pPr>
              <w:jc w:val="center"/>
              <w:rPr>
                <w:color w:val="000000"/>
                <w:sz w:val="22"/>
                <w:szCs w:val="22"/>
              </w:rPr>
            </w:pPr>
            <w:r w:rsidRPr="0066632F">
              <w:rPr>
                <w:color w:val="000000"/>
                <w:sz w:val="22"/>
                <w:szCs w:val="22"/>
              </w:rPr>
              <w:t>-3.0%</w:t>
            </w:r>
          </w:p>
        </w:tc>
        <w:tc>
          <w:tcPr>
            <w:tcW w:w="0" w:type="auto"/>
            <w:tcBorders>
              <w:top w:val="nil"/>
              <w:left w:val="nil"/>
              <w:bottom w:val="single" w:sz="4" w:space="0" w:color="auto"/>
              <w:right w:val="single" w:sz="4" w:space="0" w:color="auto"/>
            </w:tcBorders>
            <w:shd w:val="clear" w:color="auto" w:fill="auto"/>
            <w:noWrap/>
            <w:vAlign w:val="bottom"/>
            <w:hideMark/>
          </w:tcPr>
          <w:p w14:paraId="780C0F0B" w14:textId="77777777" w:rsidR="007F2890" w:rsidRPr="0066632F" w:rsidRDefault="007F2890" w:rsidP="007F2890">
            <w:pPr>
              <w:jc w:val="center"/>
              <w:rPr>
                <w:b/>
                <w:color w:val="000000"/>
                <w:sz w:val="22"/>
                <w:szCs w:val="22"/>
              </w:rPr>
            </w:pPr>
            <w:r w:rsidRPr="0066632F">
              <w:rPr>
                <w:b/>
                <w:color w:val="000000"/>
                <w:sz w:val="22"/>
                <w:szCs w:val="22"/>
              </w:rPr>
              <w:t>-2.3%</w:t>
            </w:r>
          </w:p>
        </w:tc>
      </w:tr>
      <w:tr w:rsidR="007F2890" w:rsidRPr="0066632F" w14:paraId="0CBFEB73" w14:textId="77777777" w:rsidTr="007F2890">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42B18D" w14:textId="77777777" w:rsidR="007F2890" w:rsidRPr="0066632F" w:rsidRDefault="007F2890" w:rsidP="007F2890">
            <w:pPr>
              <w:jc w:val="center"/>
              <w:rPr>
                <w:color w:val="000000"/>
                <w:sz w:val="22"/>
                <w:szCs w:val="22"/>
              </w:rPr>
            </w:pPr>
            <w:r w:rsidRPr="0066632F">
              <w:rPr>
                <w:color w:val="000000"/>
                <w:sz w:val="22"/>
                <w:szCs w:val="22"/>
              </w:rPr>
              <w:t>August - April</w:t>
            </w:r>
          </w:p>
        </w:tc>
        <w:tc>
          <w:tcPr>
            <w:tcW w:w="0" w:type="auto"/>
            <w:tcBorders>
              <w:top w:val="nil"/>
              <w:left w:val="nil"/>
              <w:bottom w:val="single" w:sz="4" w:space="0" w:color="auto"/>
              <w:right w:val="single" w:sz="4" w:space="0" w:color="auto"/>
            </w:tcBorders>
            <w:shd w:val="clear" w:color="auto" w:fill="auto"/>
            <w:noWrap/>
            <w:vAlign w:val="bottom"/>
            <w:hideMark/>
          </w:tcPr>
          <w:p w14:paraId="03A26D28" w14:textId="77777777" w:rsidR="007F2890" w:rsidRPr="0066632F" w:rsidRDefault="007F2890" w:rsidP="007F2890">
            <w:pPr>
              <w:jc w:val="center"/>
              <w:rPr>
                <w:color w:val="000000"/>
                <w:sz w:val="22"/>
                <w:szCs w:val="22"/>
              </w:rPr>
            </w:pPr>
            <w:r w:rsidRPr="0066632F">
              <w:rPr>
                <w:color w:val="000000"/>
                <w:sz w:val="22"/>
                <w:szCs w:val="22"/>
              </w:rPr>
              <w:t>-4.2%</w:t>
            </w:r>
          </w:p>
        </w:tc>
        <w:tc>
          <w:tcPr>
            <w:tcW w:w="0" w:type="auto"/>
            <w:tcBorders>
              <w:top w:val="nil"/>
              <w:left w:val="nil"/>
              <w:bottom w:val="single" w:sz="4" w:space="0" w:color="auto"/>
              <w:right w:val="single" w:sz="4" w:space="0" w:color="auto"/>
            </w:tcBorders>
            <w:shd w:val="clear" w:color="auto" w:fill="auto"/>
            <w:noWrap/>
            <w:vAlign w:val="bottom"/>
            <w:hideMark/>
          </w:tcPr>
          <w:p w14:paraId="09424B03" w14:textId="77777777" w:rsidR="007F2890" w:rsidRPr="0066632F" w:rsidRDefault="007F2890" w:rsidP="007F2890">
            <w:pPr>
              <w:jc w:val="center"/>
              <w:rPr>
                <w:color w:val="000000"/>
                <w:sz w:val="22"/>
                <w:szCs w:val="22"/>
              </w:rPr>
            </w:pPr>
            <w:r w:rsidRPr="0066632F">
              <w:rPr>
                <w:color w:val="000000"/>
                <w:sz w:val="22"/>
                <w:szCs w:val="22"/>
              </w:rPr>
              <w:t>-3.0%</w:t>
            </w:r>
          </w:p>
        </w:tc>
        <w:tc>
          <w:tcPr>
            <w:tcW w:w="0" w:type="auto"/>
            <w:tcBorders>
              <w:top w:val="nil"/>
              <w:left w:val="nil"/>
              <w:bottom w:val="single" w:sz="4" w:space="0" w:color="auto"/>
              <w:right w:val="single" w:sz="4" w:space="0" w:color="auto"/>
            </w:tcBorders>
            <w:shd w:val="clear" w:color="auto" w:fill="auto"/>
            <w:noWrap/>
            <w:vAlign w:val="bottom"/>
            <w:hideMark/>
          </w:tcPr>
          <w:p w14:paraId="4F445D66" w14:textId="77777777" w:rsidR="007F2890" w:rsidRPr="0066632F" w:rsidRDefault="007F2890" w:rsidP="007F2890">
            <w:pPr>
              <w:jc w:val="center"/>
              <w:rPr>
                <w:b/>
                <w:color w:val="000000"/>
                <w:sz w:val="22"/>
                <w:szCs w:val="22"/>
              </w:rPr>
            </w:pPr>
            <w:r w:rsidRPr="0066632F">
              <w:rPr>
                <w:b/>
                <w:color w:val="000000"/>
                <w:sz w:val="22"/>
                <w:szCs w:val="22"/>
              </w:rPr>
              <w:t>-2.3%</w:t>
            </w:r>
          </w:p>
        </w:tc>
      </w:tr>
    </w:tbl>
    <w:p w14:paraId="39B842A4" w14:textId="0B0E793E" w:rsidR="007F2890" w:rsidRPr="00AF1CDC" w:rsidRDefault="00AF1CDC" w:rsidP="007F2890">
      <w:pPr>
        <w:rPr>
          <w:rFonts w:ascii="Arial" w:hAnsi="Arial" w:cs="Arial"/>
          <w:sz w:val="20"/>
          <w:szCs w:val="20"/>
        </w:rPr>
      </w:pPr>
      <w:r w:rsidRPr="00AF1CDC">
        <w:rPr>
          <w:rFonts w:ascii="Arial" w:hAnsi="Arial" w:cs="Arial"/>
          <w:sz w:val="20"/>
          <w:szCs w:val="20"/>
        </w:rPr>
        <w:t>Source: NMFS SERO.</w:t>
      </w:r>
    </w:p>
    <w:p w14:paraId="15E19B46" w14:textId="584271C3" w:rsidR="00AF1CDC" w:rsidRPr="00AF1CDC" w:rsidRDefault="00AF1CDC" w:rsidP="007F2890">
      <w:pPr>
        <w:rPr>
          <w:rFonts w:ascii="Arial" w:hAnsi="Arial" w:cs="Arial"/>
          <w:sz w:val="20"/>
          <w:szCs w:val="20"/>
        </w:rPr>
      </w:pPr>
      <w:r w:rsidRPr="00AF1CDC">
        <w:rPr>
          <w:rFonts w:ascii="Arial" w:hAnsi="Arial" w:cs="Arial"/>
          <w:sz w:val="20"/>
          <w:szCs w:val="20"/>
        </w:rPr>
        <w:t xml:space="preserve">NOTE: Estimates are from commercial logbook data from 2012 to 2014 and percent reductions were calculated for imposing a trip limit during the ‘regular season’.   </w:t>
      </w:r>
    </w:p>
    <w:p w14:paraId="08131917" w14:textId="77777777" w:rsidR="00AF1CDC" w:rsidRDefault="00AF1CDC" w:rsidP="007F2890"/>
    <w:p w14:paraId="53E5BA09" w14:textId="4D4567A0" w:rsidR="00F74C9E" w:rsidRDefault="007F2890" w:rsidP="00F74C9E">
      <w:pPr>
        <w:ind w:firstLine="360"/>
      </w:pPr>
      <w:r w:rsidRPr="001466D2">
        <w:t xml:space="preserve">The </w:t>
      </w:r>
      <w:r>
        <w:t xml:space="preserve">commercial </w:t>
      </w:r>
      <w:r w:rsidR="007B3F25">
        <w:t>logbook data provide</w:t>
      </w:r>
      <w:r w:rsidRPr="001466D2">
        <w:t xml:space="preserve"> landings in pounds</w:t>
      </w:r>
      <w:r>
        <w:t>;</w:t>
      </w:r>
      <w:r w:rsidRPr="001466D2">
        <w:t xml:space="preserve"> however</w:t>
      </w:r>
      <w:r>
        <w:t>,</w:t>
      </w:r>
      <w:r w:rsidRPr="001466D2">
        <w:t xml:space="preserve"> the </w:t>
      </w:r>
      <w:r>
        <w:t xml:space="preserve">current South Atlantic </w:t>
      </w:r>
      <w:r w:rsidRPr="001466D2">
        <w:t xml:space="preserve">mutton snapper </w:t>
      </w:r>
      <w:r w:rsidR="007B3F25">
        <w:t xml:space="preserve">commercial </w:t>
      </w:r>
      <w:r w:rsidR="000C01E0">
        <w:t>harvest restriction during May-June</w:t>
      </w:r>
      <w:r w:rsidRPr="001466D2">
        <w:t xml:space="preserve"> </w:t>
      </w:r>
      <w:r w:rsidR="007B3F25">
        <w:t>is specified in</w:t>
      </w:r>
      <w:r>
        <w:t xml:space="preserve"> numbers of fish</w:t>
      </w:r>
      <w:r w:rsidR="007B3F25">
        <w:t xml:space="preserve">.  </w:t>
      </w:r>
      <w:r w:rsidR="00EE7412">
        <w:t xml:space="preserve">As such, the commercial sector is restricted to 10 mutton snapper per </w:t>
      </w:r>
      <w:r w:rsidR="00F74C9E">
        <w:t xml:space="preserve">person per </w:t>
      </w:r>
      <w:r w:rsidR="00EE7412">
        <w:t xml:space="preserve">day during May and June, or 10 per </w:t>
      </w:r>
      <w:r w:rsidR="00F74C9E">
        <w:t xml:space="preserve">person per </w:t>
      </w:r>
      <w:r w:rsidR="00EE7412">
        <w:t xml:space="preserve">trip, whichever is more restrictive.  </w:t>
      </w:r>
      <w:r w:rsidR="007B3F25" w:rsidRPr="00EE7412">
        <w:rPr>
          <w:b/>
        </w:rPr>
        <w:t xml:space="preserve">Preferred </w:t>
      </w:r>
      <w:r w:rsidRPr="00EE7412">
        <w:rPr>
          <w:b/>
        </w:rPr>
        <w:t>Alternative 3</w:t>
      </w:r>
      <w:r w:rsidR="00EE7412">
        <w:t xml:space="preserve"> of </w:t>
      </w:r>
      <w:r w:rsidR="00EE7412" w:rsidRPr="00EE7412">
        <w:rPr>
          <w:b/>
        </w:rPr>
        <w:t>Action 8</w:t>
      </w:r>
      <w:r>
        <w:t xml:space="preserve"> proposes trip limits</w:t>
      </w:r>
      <w:r w:rsidR="00EC0827">
        <w:t xml:space="preserve"> for the commercial sector</w:t>
      </w:r>
      <w:r>
        <w:t xml:space="preserve"> in numbers of fish</w:t>
      </w:r>
      <w:r w:rsidR="00EE7412">
        <w:t xml:space="preserve"> during the “spawning months” designated under </w:t>
      </w:r>
      <w:r w:rsidR="00EE7412" w:rsidRPr="00EE7412">
        <w:rPr>
          <w:b/>
        </w:rPr>
        <w:t>Action 6</w:t>
      </w:r>
      <w:r>
        <w:t>.  Landings in</w:t>
      </w:r>
      <w:r w:rsidRPr="001466D2">
        <w:t xml:space="preserve"> pounds were converted to numbers </w:t>
      </w:r>
      <w:r w:rsidR="00EE7412">
        <w:t xml:space="preserve">of fish </w:t>
      </w:r>
      <w:r w:rsidRPr="001466D2">
        <w:t>by dividing</w:t>
      </w:r>
      <w:r>
        <w:t xml:space="preserve"> the harvest</w:t>
      </w:r>
      <w:r w:rsidRPr="001466D2">
        <w:t xml:space="preserve"> </w:t>
      </w:r>
      <w:r w:rsidR="00EE7412">
        <w:t xml:space="preserve">in pounds </w:t>
      </w:r>
      <w:r w:rsidRPr="001466D2">
        <w:t>by the mutton snapper average weight.</w:t>
      </w:r>
      <w:r>
        <w:t xml:space="preserve">  Average weight was determined to be 7.68 lbs ww in the commercial sector in the recent assessment (SEDAR 15A</w:t>
      </w:r>
      <w:r w:rsidR="00EE7412">
        <w:t xml:space="preserve"> Update 2015</w:t>
      </w:r>
      <w:r>
        <w:t xml:space="preserve">). </w:t>
      </w:r>
      <w:r w:rsidR="00EE7412">
        <w:t xml:space="preserve"> </w:t>
      </w:r>
      <w:r w:rsidR="00EE7412" w:rsidRPr="00EE7412">
        <w:rPr>
          <w:b/>
        </w:rPr>
        <w:t>Figure 4.8.4</w:t>
      </w:r>
      <w:r>
        <w:t xml:space="preserve"> shows the distribution of numbers of mutton snapper </w:t>
      </w:r>
      <w:r w:rsidR="00F74C9E">
        <w:t xml:space="preserve">harvested </w:t>
      </w:r>
      <w:r w:rsidR="00643474">
        <w:t xml:space="preserve">per </w:t>
      </w:r>
      <w:r w:rsidR="00F74C9E">
        <w:t xml:space="preserve">person per day (A) and per </w:t>
      </w:r>
      <w:r w:rsidR="00591A68">
        <w:t>vessel per day</w:t>
      </w:r>
      <w:r w:rsidR="00F74C9E">
        <w:t xml:space="preserve"> (B) </w:t>
      </w:r>
      <w:r w:rsidR="00643474">
        <w:t xml:space="preserve">during May-June from </w:t>
      </w:r>
      <w:r>
        <w:t>2012</w:t>
      </w:r>
      <w:r w:rsidR="00643474">
        <w:t xml:space="preserve"> through </w:t>
      </w:r>
      <w:r>
        <w:t xml:space="preserve">2014.  </w:t>
      </w:r>
      <w:r w:rsidR="00F74C9E">
        <w:t xml:space="preserve">As mentioned previously, </w:t>
      </w:r>
      <w:r w:rsidR="00F74C9E" w:rsidRPr="00E57CFB">
        <w:rPr>
          <w:b/>
        </w:rPr>
        <w:t>Alternative 1 (No Action)</w:t>
      </w:r>
      <w:r w:rsidR="00F74C9E">
        <w:t xml:space="preserve"> specifies a commercial trip limit of 10 fish per person per day</w:t>
      </w:r>
      <w:r w:rsidR="00601580">
        <w:t xml:space="preserve"> or 10 fish per person per trip</w:t>
      </w:r>
      <w:r w:rsidR="00F74C9E">
        <w:t xml:space="preserve">, whichever is more restrictive.  There is the potential, </w:t>
      </w:r>
      <w:r w:rsidR="00EC0827">
        <w:t>therefore</w:t>
      </w:r>
      <w:r w:rsidR="00F74C9E">
        <w:t xml:space="preserve">, for vessels to intentionally carry additional people on commercial trips during May and June to maximize harvest of mutton snapper.  </w:t>
      </w:r>
      <w:r w:rsidR="00F74C9E" w:rsidRPr="00E57CFB">
        <w:rPr>
          <w:b/>
        </w:rPr>
        <w:t>Figure 4.8.4 (A)</w:t>
      </w:r>
      <w:r w:rsidR="00F74C9E">
        <w:t xml:space="preserve"> shows that 5.8% of the trips that took place during May and June from 2012 through 2014 exceed the current 10 fish per person per day limit.</w:t>
      </w:r>
    </w:p>
    <w:p w14:paraId="6CE15954" w14:textId="7C4D3BC6" w:rsidR="007F2890" w:rsidRDefault="007F2890" w:rsidP="007B3F25">
      <w:pPr>
        <w:ind w:firstLine="360"/>
      </w:pPr>
    </w:p>
    <w:p w14:paraId="09610028" w14:textId="77777777" w:rsidR="00EE7412" w:rsidRDefault="00EE7412" w:rsidP="007B3F25">
      <w:pPr>
        <w:ind w:firstLine="360"/>
      </w:pPr>
    </w:p>
    <w:p w14:paraId="1C2CDDDC" w14:textId="39FB1344" w:rsidR="007F2890" w:rsidRDefault="00F74C9E" w:rsidP="007F2890">
      <w:r>
        <w:rPr>
          <w:noProof/>
        </w:rPr>
        <w:drawing>
          <wp:inline distT="0" distB="0" distL="0" distR="0" wp14:anchorId="4C3BFDB2" wp14:editId="34806CCF">
            <wp:extent cx="5486400" cy="2120705"/>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D4BD3F9" w14:textId="77777777" w:rsidR="00F74C9E" w:rsidRDefault="00F74C9E" w:rsidP="00EE7412">
      <w:pPr>
        <w:pStyle w:val="Figuretitle"/>
        <w:rPr>
          <w:rFonts w:ascii="Arial" w:hAnsi="Arial" w:cs="Arial"/>
          <w:b/>
          <w:sz w:val="20"/>
          <w:szCs w:val="20"/>
        </w:rPr>
      </w:pPr>
      <w:r>
        <w:rPr>
          <w:noProof/>
        </w:rPr>
        <w:lastRenderedPageBreak/>
        <w:drawing>
          <wp:inline distT="0" distB="0" distL="0" distR="0" wp14:anchorId="354B200C" wp14:editId="1E193F02">
            <wp:extent cx="5486400" cy="2169355"/>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047FB98" w14:textId="2F84C019" w:rsidR="007F2890" w:rsidRDefault="000C01E0" w:rsidP="00EE7412">
      <w:pPr>
        <w:pStyle w:val="Figuretitle"/>
        <w:rPr>
          <w:rFonts w:ascii="Arial" w:hAnsi="Arial" w:cs="Arial"/>
          <w:sz w:val="20"/>
          <w:szCs w:val="20"/>
        </w:rPr>
      </w:pPr>
      <w:bookmarkStart w:id="290" w:name="_Toc340431611"/>
      <w:r>
        <w:rPr>
          <w:rFonts w:ascii="Arial" w:hAnsi="Arial" w:cs="Arial"/>
          <w:b/>
          <w:sz w:val="20"/>
          <w:szCs w:val="20"/>
        </w:rPr>
        <w:t>Figure 4.8</w:t>
      </w:r>
      <w:r w:rsidR="007F2890" w:rsidRPr="00EE7412">
        <w:rPr>
          <w:rFonts w:ascii="Arial" w:hAnsi="Arial" w:cs="Arial"/>
          <w:b/>
          <w:sz w:val="20"/>
          <w:szCs w:val="20"/>
        </w:rPr>
        <w:t>.4.</w:t>
      </w:r>
      <w:r w:rsidR="00867389" w:rsidRPr="0083066C">
        <w:rPr>
          <w:rFonts w:ascii="Arial" w:hAnsi="Arial"/>
          <w:b/>
          <w:sz w:val="20"/>
        </w:rPr>
        <w:t xml:space="preserve"> </w:t>
      </w:r>
      <w:r w:rsidR="007F2890" w:rsidRPr="00EE7412">
        <w:rPr>
          <w:rFonts w:ascii="Arial" w:hAnsi="Arial" w:cs="Arial"/>
          <w:sz w:val="20"/>
          <w:szCs w:val="20"/>
        </w:rPr>
        <w:t xml:space="preserve"> Distribution of the numbers of mutton snapper harvested per </w:t>
      </w:r>
      <w:r w:rsidR="00F74C9E">
        <w:rPr>
          <w:rFonts w:ascii="Arial" w:hAnsi="Arial" w:cs="Arial"/>
          <w:sz w:val="20"/>
          <w:szCs w:val="20"/>
        </w:rPr>
        <w:t xml:space="preserve">person </w:t>
      </w:r>
      <w:r w:rsidR="002B0A98">
        <w:rPr>
          <w:rFonts w:ascii="Arial" w:hAnsi="Arial" w:cs="Arial"/>
          <w:sz w:val="20"/>
          <w:szCs w:val="20"/>
        </w:rPr>
        <w:t xml:space="preserve">per day (A) and </w:t>
      </w:r>
      <w:r w:rsidR="00FB639E">
        <w:rPr>
          <w:rFonts w:ascii="Arial" w:hAnsi="Arial" w:cs="Arial"/>
          <w:sz w:val="20"/>
          <w:szCs w:val="20"/>
        </w:rPr>
        <w:t xml:space="preserve">per </w:t>
      </w:r>
      <w:r w:rsidR="002B0A98">
        <w:rPr>
          <w:rFonts w:ascii="Arial" w:hAnsi="Arial" w:cs="Arial"/>
          <w:sz w:val="20"/>
          <w:szCs w:val="20"/>
        </w:rPr>
        <w:t>v</w:t>
      </w:r>
      <w:r w:rsidR="00F74C9E">
        <w:rPr>
          <w:rFonts w:ascii="Arial" w:hAnsi="Arial" w:cs="Arial"/>
          <w:sz w:val="20"/>
          <w:szCs w:val="20"/>
        </w:rPr>
        <w:t>essel per day (B)</w:t>
      </w:r>
      <w:r w:rsidR="00F74C9E" w:rsidRPr="00EE7412">
        <w:rPr>
          <w:rFonts w:ascii="Arial" w:hAnsi="Arial" w:cs="Arial"/>
          <w:sz w:val="20"/>
          <w:szCs w:val="20"/>
        </w:rPr>
        <w:t xml:space="preserve"> </w:t>
      </w:r>
      <w:r w:rsidR="007F2890" w:rsidRPr="00EE7412">
        <w:rPr>
          <w:rFonts w:ascii="Arial" w:hAnsi="Arial" w:cs="Arial"/>
          <w:sz w:val="20"/>
          <w:szCs w:val="20"/>
        </w:rPr>
        <w:t xml:space="preserve">in the South Atlantic region during </w:t>
      </w:r>
      <w:r w:rsidR="00EE7412">
        <w:rPr>
          <w:rFonts w:ascii="Arial" w:hAnsi="Arial" w:cs="Arial"/>
          <w:sz w:val="20"/>
          <w:szCs w:val="20"/>
        </w:rPr>
        <w:t>May and</w:t>
      </w:r>
      <w:r w:rsidR="007F2890" w:rsidRPr="00EE7412">
        <w:rPr>
          <w:rFonts w:ascii="Arial" w:hAnsi="Arial" w:cs="Arial"/>
          <w:sz w:val="20"/>
          <w:szCs w:val="20"/>
        </w:rPr>
        <w:t xml:space="preserve"> June.  </w:t>
      </w:r>
      <w:r w:rsidR="00EE7412">
        <w:rPr>
          <w:rFonts w:ascii="Arial" w:hAnsi="Arial" w:cs="Arial"/>
          <w:sz w:val="20"/>
          <w:szCs w:val="20"/>
        </w:rPr>
        <w:t>Data are from the</w:t>
      </w:r>
      <w:r w:rsidR="007F2890" w:rsidRPr="00EE7412">
        <w:rPr>
          <w:rFonts w:ascii="Arial" w:hAnsi="Arial" w:cs="Arial"/>
          <w:sz w:val="20"/>
          <w:szCs w:val="20"/>
        </w:rPr>
        <w:t xml:space="preserve"> commercial logbook data</w:t>
      </w:r>
      <w:r w:rsidR="007122F3">
        <w:rPr>
          <w:rFonts w:ascii="Arial" w:hAnsi="Arial" w:cs="Arial"/>
          <w:sz w:val="20"/>
          <w:szCs w:val="20"/>
        </w:rPr>
        <w:t>set from 2012 through</w:t>
      </w:r>
      <w:r w:rsidR="007F2890" w:rsidRPr="00EE7412">
        <w:rPr>
          <w:rFonts w:ascii="Arial" w:hAnsi="Arial" w:cs="Arial"/>
          <w:sz w:val="20"/>
          <w:szCs w:val="20"/>
        </w:rPr>
        <w:t xml:space="preserve"> 2014 (n = 1,411 trips).</w:t>
      </w:r>
      <w:bookmarkEnd w:id="290"/>
      <w:r w:rsidR="007F2890" w:rsidRPr="00EE7412">
        <w:rPr>
          <w:rFonts w:ascii="Arial" w:hAnsi="Arial" w:cs="Arial"/>
          <w:sz w:val="20"/>
          <w:szCs w:val="20"/>
        </w:rPr>
        <w:t xml:space="preserve">      </w:t>
      </w:r>
    </w:p>
    <w:p w14:paraId="0C32EC73" w14:textId="77777777" w:rsidR="00591A68" w:rsidRPr="00EE7412" w:rsidRDefault="00591A68" w:rsidP="00EE7412">
      <w:pPr>
        <w:pStyle w:val="Figuretitle"/>
        <w:rPr>
          <w:rFonts w:ascii="Arial" w:hAnsi="Arial" w:cs="Arial"/>
          <w:sz w:val="20"/>
          <w:szCs w:val="20"/>
        </w:rPr>
      </w:pPr>
    </w:p>
    <w:p w14:paraId="77E0F564" w14:textId="3301F65D" w:rsidR="00591A68" w:rsidRPr="00726FC9" w:rsidRDefault="00591A68" w:rsidP="00591A68">
      <w:pPr>
        <w:ind w:firstLine="360"/>
      </w:pPr>
      <w:r>
        <w:t xml:space="preserve">The analysis for </w:t>
      </w:r>
      <w:r w:rsidRPr="00AE078C">
        <w:rPr>
          <w:b/>
        </w:rPr>
        <w:t>Preferred Alterative 3</w:t>
      </w:r>
      <w:r>
        <w:t xml:space="preserve"> </w:t>
      </w:r>
      <w:r w:rsidR="00EC0827">
        <w:t>examines</w:t>
      </w:r>
      <w:r>
        <w:t xml:space="preserve"> </w:t>
      </w:r>
      <w:r w:rsidR="00F47EA3">
        <w:t>trip</w:t>
      </w:r>
      <w:r w:rsidR="00EC0827">
        <w:t xml:space="preserve"> limits in numbers of fish</w:t>
      </w:r>
      <w:r>
        <w:t xml:space="preserve"> during the “spawning </w:t>
      </w:r>
      <w:r w:rsidR="00EC0827">
        <w:t>months</w:t>
      </w:r>
      <w:r>
        <w:t xml:space="preserve">” as defined under </w:t>
      </w:r>
      <w:r w:rsidRPr="00AE078C">
        <w:rPr>
          <w:b/>
        </w:rPr>
        <w:t>Action 6</w:t>
      </w:r>
      <w:r>
        <w:t xml:space="preserve">.  Trips outside the “spawning </w:t>
      </w:r>
      <w:r w:rsidR="00EC0827">
        <w:t>months</w:t>
      </w:r>
      <w:r>
        <w:t>” were not analyzed and/or modified.  Under the preferred alternative to designate April through June as the spawning months for regulatory purposes (</w:t>
      </w:r>
      <w:r w:rsidRPr="00726FC9">
        <w:rPr>
          <w:b/>
        </w:rPr>
        <w:t>Preferred Sub-alternative 2a</w:t>
      </w:r>
      <w:r>
        <w:t xml:space="preserve">, </w:t>
      </w:r>
      <w:r w:rsidRPr="00726FC9">
        <w:rPr>
          <w:b/>
        </w:rPr>
        <w:t>Action 6</w:t>
      </w:r>
      <w:r>
        <w:t xml:space="preserve">) and under the preferred commercial possession limit of </w:t>
      </w:r>
      <w:r w:rsidR="00233081">
        <w:t>5</w:t>
      </w:r>
      <w:r>
        <w:t xml:space="preserve"> fish per person per day (</w:t>
      </w:r>
      <w:r w:rsidRPr="00726FC9">
        <w:rPr>
          <w:b/>
        </w:rPr>
        <w:t>Preferred Sub-alternative 3</w:t>
      </w:r>
      <w:r w:rsidR="00233081">
        <w:rPr>
          <w:b/>
        </w:rPr>
        <w:t>f</w:t>
      </w:r>
      <w:r>
        <w:t xml:space="preserve">), commercial harvest of mutton snapper is expected to decrease by </w:t>
      </w:r>
      <w:r w:rsidR="000F57A3" w:rsidRPr="00EE4E8C">
        <w:t>13.6</w:t>
      </w:r>
      <w:r>
        <w:t>% (</w:t>
      </w:r>
      <w:r w:rsidRPr="00726FC9">
        <w:rPr>
          <w:b/>
        </w:rPr>
        <w:t>Table 4.8.3</w:t>
      </w:r>
      <w:r>
        <w:t>).</w:t>
      </w:r>
      <w:r w:rsidR="00395EAD">
        <w:t xml:space="preserve">  </w:t>
      </w:r>
      <w:r w:rsidR="00395EAD" w:rsidRPr="001703D8">
        <w:rPr>
          <w:b/>
        </w:rPr>
        <w:t>Sub-alternatives 3c</w:t>
      </w:r>
      <w:r w:rsidR="00395EAD">
        <w:t xml:space="preserve"> (10 fish/vessel/day) and </w:t>
      </w:r>
      <w:r w:rsidR="00395EAD" w:rsidRPr="001703D8">
        <w:rPr>
          <w:b/>
        </w:rPr>
        <w:t>3d</w:t>
      </w:r>
      <w:r w:rsidR="005477A8">
        <w:t xml:space="preserve"> (12 fish/vessel/day)</w:t>
      </w:r>
      <w:r w:rsidR="00395EAD">
        <w:t xml:space="preserve">, which would apply during the “spawning months”, would result in a decrease in commercial landings compared to </w:t>
      </w:r>
      <w:r w:rsidR="00395EAD" w:rsidRPr="001703D8">
        <w:rPr>
          <w:b/>
        </w:rPr>
        <w:t>Alternative 1 (No Action)</w:t>
      </w:r>
      <w:r w:rsidR="00395EAD">
        <w:t xml:space="preserve"> because the current 10 fish limit is per person.  Therefore, under current regulations, a one-day trip with two people could potentially land 20 mutton snapper.  However, under </w:t>
      </w:r>
      <w:r w:rsidR="00395EAD">
        <w:rPr>
          <w:b/>
        </w:rPr>
        <w:t xml:space="preserve">Sub-alternatives </w:t>
      </w:r>
      <w:r w:rsidR="00395EAD" w:rsidRPr="004C010B">
        <w:rPr>
          <w:b/>
        </w:rPr>
        <w:t xml:space="preserve">3c </w:t>
      </w:r>
      <w:r w:rsidR="00395EAD">
        <w:t xml:space="preserve">and </w:t>
      </w:r>
      <w:r w:rsidR="00395EAD" w:rsidRPr="004C010B">
        <w:rPr>
          <w:b/>
        </w:rPr>
        <w:t>3d</w:t>
      </w:r>
      <w:r w:rsidR="00395EAD">
        <w:t xml:space="preserve"> a one-day trip could only result in 10 or 12 mutton snapper harvested, respectively, regardless of the number of people on the boat.  </w:t>
      </w:r>
      <w:r w:rsidR="00395EAD" w:rsidRPr="001703D8">
        <w:rPr>
          <w:b/>
        </w:rPr>
        <w:t xml:space="preserve">Sub-alternative 3c </w:t>
      </w:r>
      <w:r w:rsidR="00233081" w:rsidRPr="00367BB0">
        <w:t>(10 fish/vessel/day</w:t>
      </w:r>
      <w:r w:rsidR="001F350D">
        <w:t xml:space="preserve"> during April-June</w:t>
      </w:r>
      <w:r w:rsidR="00233081" w:rsidRPr="00367BB0">
        <w:t>)</w:t>
      </w:r>
      <w:r w:rsidR="00233081">
        <w:rPr>
          <w:b/>
        </w:rPr>
        <w:t xml:space="preserve"> </w:t>
      </w:r>
      <w:r w:rsidR="00395EAD">
        <w:t xml:space="preserve">would result in a slightly </w:t>
      </w:r>
      <w:r w:rsidR="00233081">
        <w:t>higher (</w:t>
      </w:r>
      <w:r w:rsidR="00395EAD">
        <w:t>5%</w:t>
      </w:r>
      <w:r w:rsidR="00233081">
        <w:t>)</w:t>
      </w:r>
      <w:r w:rsidR="00395EAD">
        <w:t xml:space="preserve"> reduction in harvest than </w:t>
      </w:r>
      <w:r w:rsidR="00395EAD" w:rsidRPr="00532DA0">
        <w:rPr>
          <w:b/>
        </w:rPr>
        <w:t>Preferred Sub-alternative 2</w:t>
      </w:r>
      <w:r w:rsidR="00233081">
        <w:rPr>
          <w:b/>
        </w:rPr>
        <w:t>c</w:t>
      </w:r>
      <w:r w:rsidR="002B0A98">
        <w:rPr>
          <w:b/>
        </w:rPr>
        <w:t xml:space="preserve"> </w:t>
      </w:r>
      <w:r w:rsidR="002B0A98" w:rsidRPr="00581C7F">
        <w:t>(</w:t>
      </w:r>
      <w:r w:rsidR="00233081">
        <w:t>5</w:t>
      </w:r>
      <w:r w:rsidR="002B0A98" w:rsidRPr="00581C7F">
        <w:t xml:space="preserve">00 lbs ww during </w:t>
      </w:r>
      <w:r w:rsidR="002B0A98">
        <w:t>the regular</w:t>
      </w:r>
      <w:r w:rsidR="002B0A98" w:rsidRPr="00581C7F">
        <w:t xml:space="preserve"> season)</w:t>
      </w:r>
      <w:r w:rsidR="001F350D">
        <w:t>, whereas</w:t>
      </w:r>
      <w:r w:rsidR="00395EAD">
        <w:t xml:space="preserve"> </w:t>
      </w:r>
      <w:r w:rsidR="001F350D" w:rsidRPr="00367BB0">
        <w:rPr>
          <w:b/>
        </w:rPr>
        <w:t>Sub-alternative 3d</w:t>
      </w:r>
      <w:r w:rsidR="001F350D">
        <w:t xml:space="preserve"> (12 fish/vessel/day during April-June) would result in a similar expected reduction in harvest as under </w:t>
      </w:r>
      <w:r w:rsidR="001F350D" w:rsidRPr="00367BB0">
        <w:rPr>
          <w:b/>
        </w:rPr>
        <w:t>Preferred Sub-alternative 2c</w:t>
      </w:r>
      <w:r w:rsidR="001F350D">
        <w:t xml:space="preserve"> during the regular season.  </w:t>
      </w:r>
      <w:r>
        <w:t xml:space="preserve">Overall, if the South Atlantic Council were to propose adoption of both preferred alternatives under this action, commercial landings of mutton snapper would be expected to decrease by about </w:t>
      </w:r>
      <w:r w:rsidR="000F57A3" w:rsidRPr="00EE4E8C">
        <w:t>17</w:t>
      </w:r>
      <w:r>
        <w:t>%.</w:t>
      </w:r>
    </w:p>
    <w:p w14:paraId="648BB24F" w14:textId="77777777" w:rsidR="007F2890" w:rsidRDefault="007F2890" w:rsidP="007F2890"/>
    <w:p w14:paraId="68B5E819" w14:textId="77777777" w:rsidR="00AE078C" w:rsidRDefault="00AE078C" w:rsidP="00EE7412">
      <w:pPr>
        <w:ind w:firstLine="360"/>
      </w:pPr>
    </w:p>
    <w:p w14:paraId="5AC090AD" w14:textId="77777777" w:rsidR="00591A68" w:rsidRDefault="00591A68">
      <w:pPr>
        <w:rPr>
          <w:rFonts w:ascii="Arial" w:hAnsi="Arial"/>
          <w:b/>
          <w:bCs/>
          <w:sz w:val="20"/>
        </w:rPr>
      </w:pPr>
      <w:r>
        <w:rPr>
          <w:b/>
        </w:rPr>
        <w:br w:type="page"/>
      </w:r>
    </w:p>
    <w:p w14:paraId="0334D373" w14:textId="535A8430" w:rsidR="007F2890" w:rsidRDefault="000C01E0" w:rsidP="003E63BE">
      <w:pPr>
        <w:pStyle w:val="Tabletitle"/>
      </w:pPr>
      <w:bookmarkStart w:id="291" w:name="_Toc340431591"/>
      <w:r>
        <w:rPr>
          <w:b/>
        </w:rPr>
        <w:lastRenderedPageBreak/>
        <w:t>Table 4.8</w:t>
      </w:r>
      <w:r w:rsidR="007F2890" w:rsidRPr="003E63BE">
        <w:rPr>
          <w:b/>
        </w:rPr>
        <w:t>.3.</w:t>
      </w:r>
      <w:r w:rsidR="007F2890">
        <w:t xml:space="preserve"> </w:t>
      </w:r>
      <w:r w:rsidR="003E63BE">
        <w:t>Projected p</w:t>
      </w:r>
      <w:r w:rsidR="007F2890">
        <w:t xml:space="preserve">ercent decrease in </w:t>
      </w:r>
      <w:r w:rsidR="003E63BE">
        <w:t xml:space="preserve">commercial </w:t>
      </w:r>
      <w:r w:rsidR="007F2890">
        <w:t xml:space="preserve">landings </w:t>
      </w:r>
      <w:r w:rsidR="003E63BE">
        <w:t xml:space="preserve">of mutton snapper </w:t>
      </w:r>
      <w:r w:rsidR="007F2890">
        <w:t xml:space="preserve">for commercial trip limits proposed </w:t>
      </w:r>
      <w:r w:rsidR="003E63BE">
        <w:t>under</w:t>
      </w:r>
      <w:r w:rsidR="007F2890">
        <w:t xml:space="preserve"> </w:t>
      </w:r>
      <w:r w:rsidR="003E63BE">
        <w:t>Preferred Alternative 3 of Action 8</w:t>
      </w:r>
      <w:r w:rsidR="007F2890">
        <w:t xml:space="preserve">. </w:t>
      </w:r>
      <w:r w:rsidR="000F57A3">
        <w:t xml:space="preserve"> </w:t>
      </w:r>
      <w:r w:rsidR="003E63BE">
        <w:t xml:space="preserve">Preferred </w:t>
      </w:r>
      <w:r w:rsidR="00591A68">
        <w:t xml:space="preserve">alternatives </w:t>
      </w:r>
      <w:r w:rsidR="003E63BE">
        <w:t>indicated in bold.</w:t>
      </w:r>
      <w:bookmarkEnd w:id="291"/>
    </w:p>
    <w:tbl>
      <w:tblPr>
        <w:tblW w:w="9483" w:type="dxa"/>
        <w:tblInd w:w="93" w:type="dxa"/>
        <w:tblLook w:val="04A0" w:firstRow="1" w:lastRow="0" w:firstColumn="1" w:lastColumn="0" w:noHBand="0" w:noVBand="1"/>
      </w:tblPr>
      <w:tblGrid>
        <w:gridCol w:w="1340"/>
        <w:gridCol w:w="1240"/>
        <w:gridCol w:w="1350"/>
        <w:gridCol w:w="1350"/>
        <w:gridCol w:w="1590"/>
        <w:gridCol w:w="1456"/>
        <w:gridCol w:w="1157"/>
      </w:tblGrid>
      <w:tr w:rsidR="000F57A3" w:rsidRPr="000F57A3" w14:paraId="5323B717" w14:textId="4FD3DD27" w:rsidTr="00007A84">
        <w:trPr>
          <w:trHeight w:val="312"/>
        </w:trPr>
        <w:tc>
          <w:tcPr>
            <w:tcW w:w="13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A418BD" w14:textId="77777777" w:rsidR="000F57A3" w:rsidRPr="00007A84" w:rsidRDefault="000F57A3" w:rsidP="002D40D8">
            <w:pPr>
              <w:jc w:val="center"/>
              <w:rPr>
                <w:b/>
                <w:color w:val="000000"/>
                <w:sz w:val="22"/>
                <w:szCs w:val="22"/>
              </w:rPr>
            </w:pPr>
            <w:r w:rsidRPr="00007A84">
              <w:rPr>
                <w:b/>
                <w:color w:val="000000"/>
                <w:sz w:val="22"/>
                <w:szCs w:val="22"/>
              </w:rPr>
              <w:t>Spawning Season</w:t>
            </w:r>
          </w:p>
        </w:tc>
        <w:tc>
          <w:tcPr>
            <w:tcW w:w="6986" w:type="dxa"/>
            <w:gridSpan w:val="5"/>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0C55D046" w14:textId="77777777" w:rsidR="000F57A3" w:rsidRPr="00007A84" w:rsidRDefault="000F57A3" w:rsidP="002D40D8">
            <w:pPr>
              <w:jc w:val="center"/>
              <w:rPr>
                <w:b/>
                <w:color w:val="000000"/>
                <w:sz w:val="22"/>
                <w:szCs w:val="22"/>
              </w:rPr>
            </w:pPr>
            <w:r w:rsidRPr="00007A84">
              <w:rPr>
                <w:b/>
                <w:color w:val="000000"/>
                <w:sz w:val="22"/>
                <w:szCs w:val="22"/>
              </w:rPr>
              <w:t>Trip Limit</w:t>
            </w:r>
          </w:p>
        </w:tc>
        <w:tc>
          <w:tcPr>
            <w:tcW w:w="1157" w:type="dxa"/>
            <w:tcBorders>
              <w:top w:val="single" w:sz="4" w:space="0" w:color="auto"/>
              <w:left w:val="nil"/>
              <w:bottom w:val="single" w:sz="4" w:space="0" w:color="auto"/>
              <w:right w:val="single" w:sz="4" w:space="0" w:color="000000"/>
            </w:tcBorders>
            <w:shd w:val="clear" w:color="auto" w:fill="D9D9D9" w:themeFill="background1" w:themeFillShade="D9"/>
          </w:tcPr>
          <w:p w14:paraId="0DD8116A" w14:textId="77777777" w:rsidR="000F57A3" w:rsidRPr="00007A84" w:rsidRDefault="000F57A3" w:rsidP="002D40D8">
            <w:pPr>
              <w:jc w:val="center"/>
              <w:rPr>
                <w:b/>
                <w:color w:val="000000"/>
                <w:sz w:val="22"/>
                <w:szCs w:val="22"/>
              </w:rPr>
            </w:pPr>
          </w:p>
        </w:tc>
      </w:tr>
      <w:tr w:rsidR="000F57A3" w:rsidRPr="000F57A3" w14:paraId="67611B82" w14:textId="3520C6BB" w:rsidTr="00007A84">
        <w:trPr>
          <w:trHeight w:val="576"/>
        </w:trPr>
        <w:tc>
          <w:tcPr>
            <w:tcW w:w="134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33C6E6" w14:textId="77777777" w:rsidR="000F57A3" w:rsidRPr="00007A84" w:rsidRDefault="000F57A3" w:rsidP="002D40D8">
            <w:pPr>
              <w:rPr>
                <w:b/>
                <w:color w:val="000000"/>
                <w:sz w:val="22"/>
                <w:szCs w:val="22"/>
              </w:rPr>
            </w:pPr>
          </w:p>
        </w:tc>
        <w:tc>
          <w:tcPr>
            <w:tcW w:w="1240" w:type="dxa"/>
            <w:tcBorders>
              <w:top w:val="nil"/>
              <w:left w:val="nil"/>
              <w:bottom w:val="single" w:sz="4" w:space="0" w:color="auto"/>
              <w:right w:val="single" w:sz="4" w:space="0" w:color="auto"/>
            </w:tcBorders>
            <w:shd w:val="clear" w:color="auto" w:fill="D9D9D9" w:themeFill="background1" w:themeFillShade="D9"/>
            <w:vAlign w:val="center"/>
            <w:hideMark/>
          </w:tcPr>
          <w:p w14:paraId="09621B5B" w14:textId="77777777" w:rsidR="000F57A3" w:rsidRPr="00007A84" w:rsidRDefault="000F57A3" w:rsidP="002D40D8">
            <w:pPr>
              <w:jc w:val="center"/>
              <w:rPr>
                <w:b/>
                <w:color w:val="000000"/>
                <w:sz w:val="22"/>
                <w:szCs w:val="22"/>
              </w:rPr>
            </w:pPr>
            <w:r w:rsidRPr="00007A84">
              <w:rPr>
                <w:b/>
                <w:color w:val="000000"/>
                <w:sz w:val="22"/>
                <w:szCs w:val="22"/>
              </w:rPr>
              <w:t>No Retention</w:t>
            </w:r>
          </w:p>
        </w:tc>
        <w:tc>
          <w:tcPr>
            <w:tcW w:w="1350" w:type="dxa"/>
            <w:tcBorders>
              <w:top w:val="nil"/>
              <w:left w:val="nil"/>
              <w:bottom w:val="single" w:sz="4" w:space="0" w:color="auto"/>
              <w:right w:val="single" w:sz="4" w:space="0" w:color="auto"/>
            </w:tcBorders>
            <w:shd w:val="clear" w:color="auto" w:fill="D9D9D9" w:themeFill="background1" w:themeFillShade="D9"/>
            <w:vAlign w:val="center"/>
            <w:hideMark/>
          </w:tcPr>
          <w:p w14:paraId="13C03592" w14:textId="77777777" w:rsidR="000F57A3" w:rsidRPr="00007A84" w:rsidRDefault="000F57A3" w:rsidP="002D40D8">
            <w:pPr>
              <w:jc w:val="center"/>
              <w:rPr>
                <w:b/>
                <w:color w:val="000000"/>
                <w:sz w:val="22"/>
                <w:szCs w:val="22"/>
              </w:rPr>
            </w:pPr>
            <w:r w:rsidRPr="00007A84">
              <w:rPr>
                <w:b/>
                <w:color w:val="000000"/>
                <w:sz w:val="22"/>
                <w:szCs w:val="22"/>
              </w:rPr>
              <w:t>2 fish/ person/day</w:t>
            </w:r>
          </w:p>
        </w:tc>
        <w:tc>
          <w:tcPr>
            <w:tcW w:w="1350" w:type="dxa"/>
            <w:tcBorders>
              <w:top w:val="nil"/>
              <w:left w:val="nil"/>
              <w:bottom w:val="single" w:sz="4" w:space="0" w:color="auto"/>
              <w:right w:val="single" w:sz="4" w:space="0" w:color="auto"/>
            </w:tcBorders>
            <w:shd w:val="clear" w:color="auto" w:fill="D9D9D9" w:themeFill="background1" w:themeFillShade="D9"/>
            <w:vAlign w:val="bottom"/>
            <w:hideMark/>
          </w:tcPr>
          <w:p w14:paraId="4FD3EEC4" w14:textId="77777777" w:rsidR="000F57A3" w:rsidRPr="00007A84" w:rsidRDefault="000F57A3" w:rsidP="002D40D8">
            <w:pPr>
              <w:jc w:val="center"/>
              <w:rPr>
                <w:color w:val="000000"/>
                <w:sz w:val="22"/>
                <w:szCs w:val="22"/>
              </w:rPr>
            </w:pPr>
            <w:r w:rsidRPr="00007A84">
              <w:rPr>
                <w:color w:val="000000"/>
                <w:sz w:val="22"/>
                <w:szCs w:val="22"/>
              </w:rPr>
              <w:t>3 fish/ person/day</w:t>
            </w:r>
          </w:p>
        </w:tc>
        <w:tc>
          <w:tcPr>
            <w:tcW w:w="1590" w:type="dxa"/>
            <w:tcBorders>
              <w:top w:val="nil"/>
              <w:left w:val="nil"/>
              <w:bottom w:val="single" w:sz="4" w:space="0" w:color="auto"/>
              <w:right w:val="single" w:sz="4" w:space="0" w:color="auto"/>
            </w:tcBorders>
            <w:shd w:val="clear" w:color="auto" w:fill="D9D9D9" w:themeFill="background1" w:themeFillShade="D9"/>
            <w:vAlign w:val="bottom"/>
            <w:hideMark/>
          </w:tcPr>
          <w:p w14:paraId="107BAF0C" w14:textId="528DFEAD" w:rsidR="000F57A3" w:rsidRPr="00007A84" w:rsidRDefault="000F57A3" w:rsidP="002D40D8">
            <w:pPr>
              <w:spacing w:before="240" w:after="60"/>
              <w:jc w:val="center"/>
              <w:outlineLvl w:val="6"/>
              <w:rPr>
                <w:b/>
                <w:color w:val="000000"/>
                <w:sz w:val="22"/>
                <w:szCs w:val="22"/>
              </w:rPr>
            </w:pPr>
            <w:r w:rsidRPr="00007A84">
              <w:rPr>
                <w:b/>
                <w:color w:val="000000"/>
                <w:sz w:val="22"/>
                <w:szCs w:val="22"/>
              </w:rPr>
              <w:t>5 fish/ person/day</w:t>
            </w:r>
          </w:p>
        </w:tc>
        <w:tc>
          <w:tcPr>
            <w:tcW w:w="1456" w:type="dxa"/>
            <w:tcBorders>
              <w:top w:val="nil"/>
              <w:left w:val="nil"/>
              <w:bottom w:val="single" w:sz="4" w:space="0" w:color="auto"/>
              <w:right w:val="single" w:sz="4" w:space="0" w:color="auto"/>
            </w:tcBorders>
            <w:shd w:val="clear" w:color="auto" w:fill="D9D9D9" w:themeFill="background1" w:themeFillShade="D9"/>
            <w:vAlign w:val="bottom"/>
            <w:hideMark/>
          </w:tcPr>
          <w:p w14:paraId="73F70AAA" w14:textId="2C701980" w:rsidR="000F57A3" w:rsidRPr="00007A84" w:rsidRDefault="000F57A3" w:rsidP="002D40D8">
            <w:pPr>
              <w:spacing w:before="240" w:after="60"/>
              <w:jc w:val="center"/>
              <w:outlineLvl w:val="6"/>
              <w:rPr>
                <w:b/>
                <w:color w:val="000000"/>
                <w:sz w:val="22"/>
                <w:szCs w:val="22"/>
              </w:rPr>
            </w:pPr>
            <w:r w:rsidRPr="00007A84">
              <w:rPr>
                <w:color w:val="000000"/>
                <w:sz w:val="22"/>
                <w:szCs w:val="22"/>
              </w:rPr>
              <w:t>10 fish/ vessel/day</w:t>
            </w:r>
          </w:p>
        </w:tc>
        <w:tc>
          <w:tcPr>
            <w:tcW w:w="1157" w:type="dxa"/>
            <w:tcBorders>
              <w:top w:val="nil"/>
              <w:left w:val="nil"/>
              <w:bottom w:val="single" w:sz="4" w:space="0" w:color="auto"/>
              <w:right w:val="single" w:sz="4" w:space="0" w:color="auto"/>
            </w:tcBorders>
            <w:shd w:val="clear" w:color="auto" w:fill="D9D9D9" w:themeFill="background1" w:themeFillShade="D9"/>
            <w:vAlign w:val="bottom"/>
          </w:tcPr>
          <w:p w14:paraId="4574C8C1" w14:textId="0CFBD696" w:rsidR="000F57A3" w:rsidRPr="00007A84" w:rsidRDefault="000F57A3" w:rsidP="002D40D8">
            <w:pPr>
              <w:spacing w:before="240" w:after="60"/>
              <w:jc w:val="center"/>
              <w:outlineLvl w:val="6"/>
              <w:rPr>
                <w:color w:val="000000"/>
                <w:sz w:val="22"/>
                <w:szCs w:val="22"/>
              </w:rPr>
            </w:pPr>
            <w:r w:rsidRPr="00007A84">
              <w:rPr>
                <w:color w:val="000000"/>
                <w:sz w:val="22"/>
                <w:szCs w:val="22"/>
              </w:rPr>
              <w:t>12 fish/ vessel/day</w:t>
            </w:r>
          </w:p>
        </w:tc>
      </w:tr>
      <w:tr w:rsidR="000F57A3" w:rsidRPr="000F57A3" w14:paraId="6641F512" w14:textId="2C465F45" w:rsidTr="00007A84">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3693EE5" w14:textId="77777777" w:rsidR="000F57A3" w:rsidRPr="00007A84" w:rsidRDefault="000F57A3" w:rsidP="002D40D8">
            <w:pPr>
              <w:jc w:val="center"/>
              <w:rPr>
                <w:color w:val="000000"/>
                <w:sz w:val="22"/>
                <w:szCs w:val="22"/>
              </w:rPr>
            </w:pPr>
            <w:r w:rsidRPr="00007A84">
              <w:rPr>
                <w:color w:val="000000"/>
                <w:sz w:val="22"/>
                <w:szCs w:val="22"/>
              </w:rPr>
              <w:t>May-June</w:t>
            </w:r>
          </w:p>
        </w:tc>
        <w:tc>
          <w:tcPr>
            <w:tcW w:w="1240" w:type="dxa"/>
            <w:tcBorders>
              <w:top w:val="nil"/>
              <w:left w:val="nil"/>
              <w:bottom w:val="single" w:sz="4" w:space="0" w:color="auto"/>
              <w:right w:val="single" w:sz="4" w:space="0" w:color="auto"/>
            </w:tcBorders>
            <w:shd w:val="clear" w:color="auto" w:fill="auto"/>
            <w:noWrap/>
            <w:vAlign w:val="bottom"/>
            <w:hideMark/>
          </w:tcPr>
          <w:p w14:paraId="479E838C" w14:textId="77777777" w:rsidR="000F57A3" w:rsidRPr="00007A84" w:rsidRDefault="000F57A3" w:rsidP="002D40D8">
            <w:pPr>
              <w:jc w:val="center"/>
              <w:rPr>
                <w:color w:val="000000"/>
                <w:sz w:val="22"/>
                <w:szCs w:val="22"/>
              </w:rPr>
            </w:pPr>
            <w:r w:rsidRPr="00007A84">
              <w:rPr>
                <w:color w:val="000000"/>
                <w:sz w:val="22"/>
                <w:szCs w:val="22"/>
              </w:rPr>
              <w:t>-35.8%</w:t>
            </w:r>
          </w:p>
        </w:tc>
        <w:tc>
          <w:tcPr>
            <w:tcW w:w="1350" w:type="dxa"/>
            <w:tcBorders>
              <w:top w:val="nil"/>
              <w:left w:val="nil"/>
              <w:bottom w:val="single" w:sz="4" w:space="0" w:color="auto"/>
              <w:right w:val="single" w:sz="4" w:space="0" w:color="auto"/>
            </w:tcBorders>
            <w:shd w:val="clear" w:color="auto" w:fill="auto"/>
            <w:noWrap/>
            <w:vAlign w:val="bottom"/>
            <w:hideMark/>
          </w:tcPr>
          <w:p w14:paraId="27298015" w14:textId="77777777" w:rsidR="000F57A3" w:rsidRPr="00007A84" w:rsidRDefault="000F57A3" w:rsidP="002D40D8">
            <w:pPr>
              <w:jc w:val="center"/>
              <w:rPr>
                <w:color w:val="000000"/>
                <w:sz w:val="22"/>
                <w:szCs w:val="22"/>
              </w:rPr>
            </w:pPr>
            <w:r w:rsidRPr="00007A84">
              <w:rPr>
                <w:color w:val="000000"/>
                <w:sz w:val="22"/>
                <w:szCs w:val="22"/>
              </w:rPr>
              <w:t>-20.0%</w:t>
            </w:r>
          </w:p>
        </w:tc>
        <w:tc>
          <w:tcPr>
            <w:tcW w:w="1350" w:type="dxa"/>
            <w:tcBorders>
              <w:top w:val="nil"/>
              <w:left w:val="nil"/>
              <w:bottom w:val="single" w:sz="4" w:space="0" w:color="auto"/>
              <w:right w:val="single" w:sz="4" w:space="0" w:color="auto"/>
            </w:tcBorders>
            <w:shd w:val="clear" w:color="auto" w:fill="auto"/>
            <w:noWrap/>
            <w:vAlign w:val="bottom"/>
            <w:hideMark/>
          </w:tcPr>
          <w:p w14:paraId="7E236085" w14:textId="77777777" w:rsidR="000F57A3" w:rsidRPr="00007A84" w:rsidRDefault="000F57A3" w:rsidP="002D40D8">
            <w:pPr>
              <w:jc w:val="center"/>
              <w:rPr>
                <w:color w:val="000000"/>
                <w:sz w:val="22"/>
                <w:szCs w:val="22"/>
              </w:rPr>
            </w:pPr>
            <w:r w:rsidRPr="00007A84">
              <w:rPr>
                <w:color w:val="000000"/>
                <w:sz w:val="22"/>
                <w:szCs w:val="22"/>
              </w:rPr>
              <w:t>-16.3%</w:t>
            </w:r>
          </w:p>
        </w:tc>
        <w:tc>
          <w:tcPr>
            <w:tcW w:w="1590" w:type="dxa"/>
            <w:tcBorders>
              <w:top w:val="nil"/>
              <w:left w:val="nil"/>
              <w:bottom w:val="single" w:sz="4" w:space="0" w:color="auto"/>
              <w:right w:val="single" w:sz="4" w:space="0" w:color="auto"/>
            </w:tcBorders>
            <w:shd w:val="clear" w:color="auto" w:fill="auto"/>
            <w:noWrap/>
            <w:vAlign w:val="bottom"/>
            <w:hideMark/>
          </w:tcPr>
          <w:p w14:paraId="2E3AC5AE" w14:textId="638F177E" w:rsidR="000F57A3" w:rsidRPr="00007A84" w:rsidRDefault="000F57A3" w:rsidP="002D40D8">
            <w:pPr>
              <w:spacing w:before="240" w:after="60"/>
              <w:jc w:val="center"/>
              <w:outlineLvl w:val="6"/>
              <w:rPr>
                <w:b/>
                <w:color w:val="000000"/>
                <w:sz w:val="22"/>
                <w:szCs w:val="22"/>
              </w:rPr>
            </w:pPr>
            <w:r w:rsidRPr="00007A84">
              <w:rPr>
                <w:b/>
                <w:color w:val="000000"/>
                <w:sz w:val="22"/>
                <w:szCs w:val="22"/>
              </w:rPr>
              <w:t>-8.6%</w:t>
            </w:r>
          </w:p>
        </w:tc>
        <w:tc>
          <w:tcPr>
            <w:tcW w:w="1456" w:type="dxa"/>
            <w:tcBorders>
              <w:top w:val="nil"/>
              <w:left w:val="nil"/>
              <w:bottom w:val="single" w:sz="4" w:space="0" w:color="auto"/>
              <w:right w:val="single" w:sz="4" w:space="0" w:color="auto"/>
            </w:tcBorders>
            <w:shd w:val="clear" w:color="auto" w:fill="auto"/>
            <w:noWrap/>
            <w:vAlign w:val="bottom"/>
            <w:hideMark/>
          </w:tcPr>
          <w:p w14:paraId="1FBE6553" w14:textId="03852E5E" w:rsidR="000F57A3" w:rsidRPr="00007A84" w:rsidRDefault="000F57A3" w:rsidP="002D40D8">
            <w:pPr>
              <w:spacing w:before="240" w:after="60"/>
              <w:jc w:val="center"/>
              <w:outlineLvl w:val="6"/>
              <w:rPr>
                <w:color w:val="000000"/>
                <w:sz w:val="22"/>
                <w:szCs w:val="22"/>
              </w:rPr>
            </w:pPr>
            <w:r w:rsidRPr="00007A84">
              <w:rPr>
                <w:color w:val="000000"/>
                <w:sz w:val="22"/>
                <w:szCs w:val="22"/>
              </w:rPr>
              <w:t>-4.1%</w:t>
            </w:r>
          </w:p>
        </w:tc>
        <w:tc>
          <w:tcPr>
            <w:tcW w:w="1157" w:type="dxa"/>
            <w:tcBorders>
              <w:top w:val="nil"/>
              <w:left w:val="nil"/>
              <w:bottom w:val="single" w:sz="4" w:space="0" w:color="auto"/>
              <w:right w:val="single" w:sz="4" w:space="0" w:color="auto"/>
            </w:tcBorders>
            <w:vAlign w:val="bottom"/>
          </w:tcPr>
          <w:p w14:paraId="22C194AA" w14:textId="3463E201" w:rsidR="000F57A3" w:rsidRPr="00007A84" w:rsidRDefault="000F57A3" w:rsidP="002D40D8">
            <w:pPr>
              <w:spacing w:before="240" w:after="60"/>
              <w:jc w:val="center"/>
              <w:outlineLvl w:val="6"/>
              <w:rPr>
                <w:color w:val="000000"/>
                <w:sz w:val="22"/>
                <w:szCs w:val="22"/>
              </w:rPr>
            </w:pPr>
            <w:r w:rsidRPr="00007A84">
              <w:rPr>
                <w:color w:val="000000"/>
                <w:sz w:val="22"/>
                <w:szCs w:val="22"/>
              </w:rPr>
              <w:t>-2.8%</w:t>
            </w:r>
          </w:p>
        </w:tc>
      </w:tr>
      <w:tr w:rsidR="000F57A3" w:rsidRPr="000F57A3" w14:paraId="1CF7C952" w14:textId="7770F2E1" w:rsidTr="00007A84">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B639E2A" w14:textId="77777777" w:rsidR="000F57A3" w:rsidRPr="00007A84" w:rsidRDefault="000F57A3" w:rsidP="002D40D8">
            <w:pPr>
              <w:jc w:val="center"/>
              <w:rPr>
                <w:b/>
                <w:color w:val="000000"/>
                <w:sz w:val="22"/>
                <w:szCs w:val="22"/>
              </w:rPr>
            </w:pPr>
            <w:r w:rsidRPr="00007A84">
              <w:rPr>
                <w:b/>
                <w:color w:val="000000"/>
                <w:sz w:val="22"/>
                <w:szCs w:val="22"/>
              </w:rPr>
              <w:t>April-June</w:t>
            </w:r>
          </w:p>
        </w:tc>
        <w:tc>
          <w:tcPr>
            <w:tcW w:w="1240" w:type="dxa"/>
            <w:tcBorders>
              <w:top w:val="nil"/>
              <w:left w:val="nil"/>
              <w:bottom w:val="single" w:sz="4" w:space="0" w:color="auto"/>
              <w:right w:val="single" w:sz="4" w:space="0" w:color="auto"/>
            </w:tcBorders>
            <w:shd w:val="clear" w:color="auto" w:fill="auto"/>
            <w:noWrap/>
            <w:vAlign w:val="bottom"/>
            <w:hideMark/>
          </w:tcPr>
          <w:p w14:paraId="07B776F2" w14:textId="77777777" w:rsidR="000F57A3" w:rsidRPr="00007A84" w:rsidRDefault="000F57A3" w:rsidP="002D40D8">
            <w:pPr>
              <w:jc w:val="center"/>
              <w:rPr>
                <w:b/>
                <w:color w:val="000000"/>
                <w:sz w:val="22"/>
                <w:szCs w:val="22"/>
              </w:rPr>
            </w:pPr>
            <w:r w:rsidRPr="00007A84">
              <w:rPr>
                <w:b/>
                <w:color w:val="000000"/>
                <w:sz w:val="22"/>
                <w:szCs w:val="22"/>
              </w:rPr>
              <w:t>-41.7%</w:t>
            </w:r>
          </w:p>
        </w:tc>
        <w:tc>
          <w:tcPr>
            <w:tcW w:w="1350" w:type="dxa"/>
            <w:tcBorders>
              <w:top w:val="nil"/>
              <w:left w:val="nil"/>
              <w:bottom w:val="single" w:sz="4" w:space="0" w:color="auto"/>
              <w:right w:val="single" w:sz="4" w:space="0" w:color="auto"/>
            </w:tcBorders>
            <w:shd w:val="clear" w:color="auto" w:fill="auto"/>
            <w:noWrap/>
            <w:vAlign w:val="bottom"/>
            <w:hideMark/>
          </w:tcPr>
          <w:p w14:paraId="245AD28B" w14:textId="77777777" w:rsidR="000F57A3" w:rsidRPr="00007A84" w:rsidRDefault="000F57A3" w:rsidP="002D40D8">
            <w:pPr>
              <w:jc w:val="center"/>
              <w:rPr>
                <w:b/>
                <w:color w:val="000000"/>
                <w:sz w:val="22"/>
                <w:szCs w:val="22"/>
              </w:rPr>
            </w:pPr>
            <w:r w:rsidRPr="00007A84">
              <w:rPr>
                <w:b/>
                <w:color w:val="000000"/>
                <w:sz w:val="22"/>
                <w:szCs w:val="22"/>
              </w:rPr>
              <w:t>-23.5%</w:t>
            </w:r>
          </w:p>
        </w:tc>
        <w:tc>
          <w:tcPr>
            <w:tcW w:w="1350" w:type="dxa"/>
            <w:tcBorders>
              <w:top w:val="nil"/>
              <w:left w:val="nil"/>
              <w:bottom w:val="single" w:sz="4" w:space="0" w:color="auto"/>
              <w:right w:val="single" w:sz="4" w:space="0" w:color="auto"/>
            </w:tcBorders>
            <w:shd w:val="clear" w:color="auto" w:fill="auto"/>
            <w:noWrap/>
            <w:vAlign w:val="bottom"/>
            <w:hideMark/>
          </w:tcPr>
          <w:p w14:paraId="4B4BF3EA" w14:textId="77777777" w:rsidR="000F57A3" w:rsidRPr="00007A84" w:rsidRDefault="000F57A3" w:rsidP="002D40D8">
            <w:pPr>
              <w:jc w:val="center"/>
              <w:rPr>
                <w:color w:val="000000"/>
                <w:sz w:val="22"/>
                <w:szCs w:val="22"/>
              </w:rPr>
            </w:pPr>
            <w:r w:rsidRPr="00007A84">
              <w:rPr>
                <w:color w:val="000000"/>
                <w:sz w:val="22"/>
                <w:szCs w:val="22"/>
              </w:rPr>
              <w:t>-19.3%</w:t>
            </w:r>
          </w:p>
        </w:tc>
        <w:tc>
          <w:tcPr>
            <w:tcW w:w="1590" w:type="dxa"/>
            <w:tcBorders>
              <w:top w:val="nil"/>
              <w:left w:val="nil"/>
              <w:bottom w:val="single" w:sz="4" w:space="0" w:color="auto"/>
              <w:right w:val="single" w:sz="4" w:space="0" w:color="auto"/>
            </w:tcBorders>
            <w:shd w:val="clear" w:color="auto" w:fill="auto"/>
            <w:noWrap/>
            <w:vAlign w:val="bottom"/>
            <w:hideMark/>
          </w:tcPr>
          <w:p w14:paraId="3BD9348B" w14:textId="27508DB6" w:rsidR="000F57A3" w:rsidRPr="00007A84" w:rsidRDefault="000F57A3" w:rsidP="002D40D8">
            <w:pPr>
              <w:spacing w:before="240" w:after="60"/>
              <w:jc w:val="center"/>
              <w:outlineLvl w:val="6"/>
              <w:rPr>
                <w:b/>
                <w:color w:val="000000"/>
                <w:sz w:val="22"/>
                <w:szCs w:val="22"/>
              </w:rPr>
            </w:pPr>
            <w:r w:rsidRPr="00007A84">
              <w:rPr>
                <w:b/>
                <w:color w:val="000000"/>
                <w:sz w:val="22"/>
                <w:szCs w:val="22"/>
              </w:rPr>
              <w:t>-13.6%</w:t>
            </w:r>
          </w:p>
        </w:tc>
        <w:tc>
          <w:tcPr>
            <w:tcW w:w="1456" w:type="dxa"/>
            <w:tcBorders>
              <w:top w:val="nil"/>
              <w:left w:val="nil"/>
              <w:bottom w:val="single" w:sz="4" w:space="0" w:color="auto"/>
              <w:right w:val="single" w:sz="4" w:space="0" w:color="auto"/>
            </w:tcBorders>
            <w:shd w:val="clear" w:color="auto" w:fill="auto"/>
            <w:noWrap/>
            <w:vAlign w:val="bottom"/>
            <w:hideMark/>
          </w:tcPr>
          <w:p w14:paraId="16C19EDA" w14:textId="5859567B" w:rsidR="000F57A3" w:rsidRPr="00007A84" w:rsidRDefault="000F57A3" w:rsidP="002D40D8">
            <w:pPr>
              <w:spacing w:before="240" w:after="60"/>
              <w:jc w:val="center"/>
              <w:outlineLvl w:val="6"/>
              <w:rPr>
                <w:b/>
                <w:color w:val="000000"/>
                <w:sz w:val="22"/>
                <w:szCs w:val="22"/>
              </w:rPr>
            </w:pPr>
            <w:r w:rsidRPr="00007A84">
              <w:rPr>
                <w:color w:val="000000"/>
                <w:sz w:val="22"/>
                <w:szCs w:val="22"/>
              </w:rPr>
              <w:t>-5.0%</w:t>
            </w:r>
          </w:p>
        </w:tc>
        <w:tc>
          <w:tcPr>
            <w:tcW w:w="1157" w:type="dxa"/>
            <w:tcBorders>
              <w:top w:val="nil"/>
              <w:left w:val="nil"/>
              <w:bottom w:val="single" w:sz="4" w:space="0" w:color="auto"/>
              <w:right w:val="single" w:sz="4" w:space="0" w:color="auto"/>
            </w:tcBorders>
            <w:vAlign w:val="bottom"/>
          </w:tcPr>
          <w:p w14:paraId="432299A0" w14:textId="76E20BF7" w:rsidR="000F57A3" w:rsidRPr="00007A84" w:rsidRDefault="000F57A3" w:rsidP="002D40D8">
            <w:pPr>
              <w:spacing w:before="240" w:after="60"/>
              <w:jc w:val="center"/>
              <w:outlineLvl w:val="6"/>
              <w:rPr>
                <w:color w:val="000000"/>
                <w:sz w:val="22"/>
                <w:szCs w:val="22"/>
              </w:rPr>
            </w:pPr>
            <w:r w:rsidRPr="00007A84">
              <w:rPr>
                <w:color w:val="000000"/>
                <w:sz w:val="22"/>
                <w:szCs w:val="22"/>
              </w:rPr>
              <w:t>-3.5%</w:t>
            </w:r>
          </w:p>
        </w:tc>
      </w:tr>
      <w:tr w:rsidR="000F57A3" w:rsidRPr="000F57A3" w14:paraId="2E06AEA4" w14:textId="216C5A94" w:rsidTr="00007A84">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8F30423" w14:textId="77777777" w:rsidR="000F57A3" w:rsidRPr="00007A84" w:rsidRDefault="000F57A3" w:rsidP="002D40D8">
            <w:pPr>
              <w:jc w:val="center"/>
              <w:rPr>
                <w:color w:val="000000"/>
                <w:sz w:val="22"/>
                <w:szCs w:val="22"/>
              </w:rPr>
            </w:pPr>
            <w:r w:rsidRPr="00007A84">
              <w:rPr>
                <w:color w:val="000000"/>
                <w:sz w:val="22"/>
                <w:szCs w:val="22"/>
              </w:rPr>
              <w:t>April-July</w:t>
            </w:r>
          </w:p>
        </w:tc>
        <w:tc>
          <w:tcPr>
            <w:tcW w:w="1240" w:type="dxa"/>
            <w:tcBorders>
              <w:top w:val="nil"/>
              <w:left w:val="nil"/>
              <w:bottom w:val="single" w:sz="4" w:space="0" w:color="auto"/>
              <w:right w:val="single" w:sz="4" w:space="0" w:color="auto"/>
            </w:tcBorders>
            <w:shd w:val="clear" w:color="auto" w:fill="auto"/>
            <w:noWrap/>
            <w:vAlign w:val="bottom"/>
            <w:hideMark/>
          </w:tcPr>
          <w:p w14:paraId="4DF29924" w14:textId="77777777" w:rsidR="000F57A3" w:rsidRPr="00007A84" w:rsidRDefault="000F57A3" w:rsidP="002D40D8">
            <w:pPr>
              <w:jc w:val="center"/>
              <w:rPr>
                <w:color w:val="000000"/>
                <w:sz w:val="22"/>
                <w:szCs w:val="22"/>
              </w:rPr>
            </w:pPr>
            <w:r w:rsidRPr="00007A84">
              <w:rPr>
                <w:color w:val="000000"/>
                <w:sz w:val="22"/>
                <w:szCs w:val="22"/>
              </w:rPr>
              <w:t>-52.6%</w:t>
            </w:r>
          </w:p>
        </w:tc>
        <w:tc>
          <w:tcPr>
            <w:tcW w:w="1350" w:type="dxa"/>
            <w:tcBorders>
              <w:top w:val="nil"/>
              <w:left w:val="nil"/>
              <w:bottom w:val="single" w:sz="4" w:space="0" w:color="auto"/>
              <w:right w:val="single" w:sz="4" w:space="0" w:color="auto"/>
            </w:tcBorders>
            <w:shd w:val="clear" w:color="auto" w:fill="auto"/>
            <w:noWrap/>
            <w:vAlign w:val="bottom"/>
            <w:hideMark/>
          </w:tcPr>
          <w:p w14:paraId="6EE9DF87" w14:textId="77777777" w:rsidR="000F57A3" w:rsidRPr="00007A84" w:rsidRDefault="000F57A3" w:rsidP="002D40D8">
            <w:pPr>
              <w:jc w:val="center"/>
              <w:rPr>
                <w:color w:val="000000"/>
                <w:sz w:val="22"/>
                <w:szCs w:val="22"/>
              </w:rPr>
            </w:pPr>
            <w:r w:rsidRPr="00007A84">
              <w:rPr>
                <w:color w:val="000000"/>
                <w:sz w:val="22"/>
                <w:szCs w:val="22"/>
              </w:rPr>
              <w:t>-29.6%</w:t>
            </w:r>
          </w:p>
        </w:tc>
        <w:tc>
          <w:tcPr>
            <w:tcW w:w="1350" w:type="dxa"/>
            <w:tcBorders>
              <w:top w:val="nil"/>
              <w:left w:val="nil"/>
              <w:bottom w:val="single" w:sz="4" w:space="0" w:color="auto"/>
              <w:right w:val="single" w:sz="4" w:space="0" w:color="auto"/>
            </w:tcBorders>
            <w:shd w:val="clear" w:color="auto" w:fill="auto"/>
            <w:noWrap/>
            <w:vAlign w:val="bottom"/>
            <w:hideMark/>
          </w:tcPr>
          <w:p w14:paraId="1D313C00" w14:textId="77777777" w:rsidR="000F57A3" w:rsidRPr="00007A84" w:rsidRDefault="000F57A3" w:rsidP="002D40D8">
            <w:pPr>
              <w:jc w:val="center"/>
              <w:rPr>
                <w:color w:val="000000"/>
                <w:sz w:val="22"/>
                <w:szCs w:val="22"/>
              </w:rPr>
            </w:pPr>
            <w:r w:rsidRPr="00007A84">
              <w:rPr>
                <w:color w:val="000000"/>
                <w:sz w:val="22"/>
                <w:szCs w:val="22"/>
              </w:rPr>
              <w:t>-24.2%</w:t>
            </w:r>
          </w:p>
        </w:tc>
        <w:tc>
          <w:tcPr>
            <w:tcW w:w="1590" w:type="dxa"/>
            <w:tcBorders>
              <w:top w:val="nil"/>
              <w:left w:val="nil"/>
              <w:bottom w:val="single" w:sz="4" w:space="0" w:color="auto"/>
              <w:right w:val="single" w:sz="4" w:space="0" w:color="auto"/>
            </w:tcBorders>
            <w:shd w:val="clear" w:color="auto" w:fill="auto"/>
            <w:noWrap/>
            <w:vAlign w:val="bottom"/>
            <w:hideMark/>
          </w:tcPr>
          <w:p w14:paraId="04D78C84" w14:textId="7657A4F1" w:rsidR="000F57A3" w:rsidRPr="00007A84" w:rsidRDefault="000F57A3" w:rsidP="002D40D8">
            <w:pPr>
              <w:spacing w:before="240" w:after="60"/>
              <w:jc w:val="center"/>
              <w:outlineLvl w:val="6"/>
              <w:rPr>
                <w:b/>
                <w:color w:val="000000"/>
                <w:sz w:val="22"/>
                <w:szCs w:val="22"/>
              </w:rPr>
            </w:pPr>
            <w:r w:rsidRPr="00007A84">
              <w:rPr>
                <w:b/>
                <w:color w:val="000000"/>
                <w:sz w:val="22"/>
                <w:szCs w:val="22"/>
              </w:rPr>
              <w:t>-17.1%</w:t>
            </w:r>
          </w:p>
        </w:tc>
        <w:tc>
          <w:tcPr>
            <w:tcW w:w="1456" w:type="dxa"/>
            <w:tcBorders>
              <w:top w:val="nil"/>
              <w:left w:val="nil"/>
              <w:bottom w:val="single" w:sz="4" w:space="0" w:color="auto"/>
              <w:right w:val="single" w:sz="4" w:space="0" w:color="auto"/>
            </w:tcBorders>
            <w:shd w:val="clear" w:color="auto" w:fill="auto"/>
            <w:noWrap/>
            <w:vAlign w:val="bottom"/>
            <w:hideMark/>
          </w:tcPr>
          <w:p w14:paraId="5C36667D" w14:textId="1B5F9FD9" w:rsidR="000F57A3" w:rsidRPr="00007A84" w:rsidRDefault="000F57A3" w:rsidP="002D40D8">
            <w:pPr>
              <w:spacing w:before="240" w:after="60"/>
              <w:jc w:val="center"/>
              <w:outlineLvl w:val="6"/>
              <w:rPr>
                <w:color w:val="000000"/>
                <w:sz w:val="22"/>
                <w:szCs w:val="22"/>
              </w:rPr>
            </w:pPr>
            <w:r w:rsidRPr="00007A84">
              <w:rPr>
                <w:color w:val="000000"/>
                <w:sz w:val="22"/>
                <w:szCs w:val="22"/>
              </w:rPr>
              <w:t>-6.9%</w:t>
            </w:r>
          </w:p>
        </w:tc>
        <w:tc>
          <w:tcPr>
            <w:tcW w:w="1157" w:type="dxa"/>
            <w:tcBorders>
              <w:top w:val="nil"/>
              <w:left w:val="nil"/>
              <w:bottom w:val="single" w:sz="4" w:space="0" w:color="auto"/>
              <w:right w:val="single" w:sz="4" w:space="0" w:color="auto"/>
            </w:tcBorders>
            <w:vAlign w:val="bottom"/>
          </w:tcPr>
          <w:p w14:paraId="54DBB63B" w14:textId="58F1E722" w:rsidR="000F57A3" w:rsidRPr="00007A84" w:rsidRDefault="000F57A3" w:rsidP="002D40D8">
            <w:pPr>
              <w:spacing w:before="240" w:after="60"/>
              <w:jc w:val="center"/>
              <w:outlineLvl w:val="6"/>
              <w:rPr>
                <w:color w:val="000000"/>
                <w:sz w:val="22"/>
                <w:szCs w:val="22"/>
              </w:rPr>
            </w:pPr>
            <w:r w:rsidRPr="00007A84">
              <w:rPr>
                <w:color w:val="000000"/>
                <w:sz w:val="22"/>
                <w:szCs w:val="22"/>
              </w:rPr>
              <w:t>-5.1%</w:t>
            </w:r>
          </w:p>
        </w:tc>
      </w:tr>
      <w:tr w:rsidR="000F57A3" w:rsidRPr="000F57A3" w14:paraId="0C7167DD" w14:textId="0BEAE6CE" w:rsidTr="00007A84">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1668C43" w14:textId="77777777" w:rsidR="000F57A3" w:rsidRPr="00007A84" w:rsidRDefault="000F57A3" w:rsidP="002D40D8">
            <w:pPr>
              <w:jc w:val="center"/>
              <w:rPr>
                <w:color w:val="000000"/>
                <w:sz w:val="22"/>
                <w:szCs w:val="22"/>
              </w:rPr>
            </w:pPr>
            <w:r w:rsidRPr="00007A84">
              <w:rPr>
                <w:color w:val="000000"/>
                <w:sz w:val="22"/>
                <w:szCs w:val="22"/>
              </w:rPr>
              <w:t>May-July</w:t>
            </w:r>
          </w:p>
        </w:tc>
        <w:tc>
          <w:tcPr>
            <w:tcW w:w="1240" w:type="dxa"/>
            <w:tcBorders>
              <w:top w:val="nil"/>
              <w:left w:val="nil"/>
              <w:bottom w:val="single" w:sz="4" w:space="0" w:color="auto"/>
              <w:right w:val="single" w:sz="4" w:space="0" w:color="auto"/>
            </w:tcBorders>
            <w:shd w:val="clear" w:color="auto" w:fill="auto"/>
            <w:noWrap/>
            <w:vAlign w:val="bottom"/>
            <w:hideMark/>
          </w:tcPr>
          <w:p w14:paraId="661FD981" w14:textId="77777777" w:rsidR="000F57A3" w:rsidRPr="00007A84" w:rsidRDefault="000F57A3" w:rsidP="002D40D8">
            <w:pPr>
              <w:jc w:val="center"/>
              <w:rPr>
                <w:color w:val="000000"/>
                <w:sz w:val="22"/>
                <w:szCs w:val="22"/>
              </w:rPr>
            </w:pPr>
            <w:r w:rsidRPr="00007A84">
              <w:rPr>
                <w:color w:val="000000"/>
                <w:sz w:val="22"/>
                <w:szCs w:val="22"/>
              </w:rPr>
              <w:t>-46.6%</w:t>
            </w:r>
          </w:p>
        </w:tc>
        <w:tc>
          <w:tcPr>
            <w:tcW w:w="1350" w:type="dxa"/>
            <w:tcBorders>
              <w:top w:val="nil"/>
              <w:left w:val="nil"/>
              <w:bottom w:val="single" w:sz="4" w:space="0" w:color="auto"/>
              <w:right w:val="single" w:sz="4" w:space="0" w:color="auto"/>
            </w:tcBorders>
            <w:shd w:val="clear" w:color="auto" w:fill="auto"/>
            <w:noWrap/>
            <w:vAlign w:val="bottom"/>
            <w:hideMark/>
          </w:tcPr>
          <w:p w14:paraId="6EE80AAB" w14:textId="77777777" w:rsidR="000F57A3" w:rsidRPr="00007A84" w:rsidRDefault="000F57A3" w:rsidP="002D40D8">
            <w:pPr>
              <w:jc w:val="center"/>
              <w:rPr>
                <w:color w:val="000000"/>
                <w:sz w:val="22"/>
                <w:szCs w:val="22"/>
              </w:rPr>
            </w:pPr>
            <w:r w:rsidRPr="00007A84">
              <w:rPr>
                <w:color w:val="000000"/>
                <w:sz w:val="22"/>
                <w:szCs w:val="22"/>
              </w:rPr>
              <w:t>-29.6%</w:t>
            </w:r>
          </w:p>
        </w:tc>
        <w:tc>
          <w:tcPr>
            <w:tcW w:w="1350" w:type="dxa"/>
            <w:tcBorders>
              <w:top w:val="nil"/>
              <w:left w:val="nil"/>
              <w:bottom w:val="single" w:sz="4" w:space="0" w:color="auto"/>
              <w:right w:val="single" w:sz="4" w:space="0" w:color="auto"/>
            </w:tcBorders>
            <w:shd w:val="clear" w:color="auto" w:fill="auto"/>
            <w:noWrap/>
            <w:vAlign w:val="bottom"/>
            <w:hideMark/>
          </w:tcPr>
          <w:p w14:paraId="56EE3609" w14:textId="77777777" w:rsidR="000F57A3" w:rsidRPr="00007A84" w:rsidRDefault="000F57A3" w:rsidP="002D40D8">
            <w:pPr>
              <w:jc w:val="center"/>
              <w:rPr>
                <w:color w:val="000000"/>
                <w:sz w:val="22"/>
                <w:szCs w:val="22"/>
              </w:rPr>
            </w:pPr>
            <w:r w:rsidRPr="00007A84">
              <w:rPr>
                <w:color w:val="000000"/>
                <w:sz w:val="22"/>
                <w:szCs w:val="22"/>
              </w:rPr>
              <w:t>-21.3%</w:t>
            </w:r>
          </w:p>
        </w:tc>
        <w:tc>
          <w:tcPr>
            <w:tcW w:w="1590" w:type="dxa"/>
            <w:tcBorders>
              <w:top w:val="nil"/>
              <w:left w:val="nil"/>
              <w:bottom w:val="single" w:sz="4" w:space="0" w:color="auto"/>
              <w:right w:val="single" w:sz="4" w:space="0" w:color="auto"/>
            </w:tcBorders>
            <w:shd w:val="clear" w:color="auto" w:fill="auto"/>
            <w:noWrap/>
            <w:vAlign w:val="bottom"/>
            <w:hideMark/>
          </w:tcPr>
          <w:p w14:paraId="0B9BD11D" w14:textId="3E8409B2" w:rsidR="000F57A3" w:rsidRPr="00007A84" w:rsidRDefault="000F57A3" w:rsidP="002D40D8">
            <w:pPr>
              <w:spacing w:before="240" w:after="60"/>
              <w:jc w:val="center"/>
              <w:outlineLvl w:val="6"/>
              <w:rPr>
                <w:b/>
                <w:color w:val="000000"/>
                <w:sz w:val="22"/>
                <w:szCs w:val="22"/>
              </w:rPr>
            </w:pPr>
            <w:r w:rsidRPr="00007A84">
              <w:rPr>
                <w:b/>
                <w:color w:val="000000"/>
                <w:sz w:val="22"/>
                <w:szCs w:val="22"/>
              </w:rPr>
              <w:t>-14.9%</w:t>
            </w:r>
          </w:p>
        </w:tc>
        <w:tc>
          <w:tcPr>
            <w:tcW w:w="1456" w:type="dxa"/>
            <w:tcBorders>
              <w:top w:val="nil"/>
              <w:left w:val="nil"/>
              <w:bottom w:val="single" w:sz="4" w:space="0" w:color="auto"/>
              <w:right w:val="single" w:sz="4" w:space="0" w:color="auto"/>
            </w:tcBorders>
            <w:shd w:val="clear" w:color="auto" w:fill="auto"/>
            <w:noWrap/>
            <w:vAlign w:val="bottom"/>
            <w:hideMark/>
          </w:tcPr>
          <w:p w14:paraId="73B1F0D7" w14:textId="6A74BE8A" w:rsidR="000F57A3" w:rsidRPr="00007A84" w:rsidRDefault="000F57A3" w:rsidP="002D40D8">
            <w:pPr>
              <w:spacing w:before="240" w:after="60"/>
              <w:jc w:val="center"/>
              <w:outlineLvl w:val="6"/>
              <w:rPr>
                <w:color w:val="000000"/>
                <w:sz w:val="22"/>
                <w:szCs w:val="22"/>
              </w:rPr>
            </w:pPr>
            <w:r w:rsidRPr="00007A84">
              <w:rPr>
                <w:color w:val="000000"/>
                <w:sz w:val="22"/>
                <w:szCs w:val="22"/>
              </w:rPr>
              <w:t>-6.0%</w:t>
            </w:r>
          </w:p>
        </w:tc>
        <w:tc>
          <w:tcPr>
            <w:tcW w:w="1157" w:type="dxa"/>
            <w:tcBorders>
              <w:top w:val="nil"/>
              <w:left w:val="nil"/>
              <w:bottom w:val="single" w:sz="4" w:space="0" w:color="auto"/>
              <w:right w:val="single" w:sz="4" w:space="0" w:color="auto"/>
            </w:tcBorders>
            <w:vAlign w:val="bottom"/>
          </w:tcPr>
          <w:p w14:paraId="4DA5197E" w14:textId="533CEC7A" w:rsidR="000F57A3" w:rsidRPr="00007A84" w:rsidRDefault="000F57A3" w:rsidP="002D40D8">
            <w:pPr>
              <w:spacing w:before="240" w:after="60"/>
              <w:jc w:val="center"/>
              <w:outlineLvl w:val="6"/>
              <w:rPr>
                <w:color w:val="000000"/>
                <w:sz w:val="22"/>
                <w:szCs w:val="22"/>
              </w:rPr>
            </w:pPr>
            <w:r w:rsidRPr="00007A84">
              <w:rPr>
                <w:color w:val="000000"/>
                <w:sz w:val="22"/>
                <w:szCs w:val="22"/>
              </w:rPr>
              <w:t>-4.5%</w:t>
            </w:r>
          </w:p>
        </w:tc>
      </w:tr>
    </w:tbl>
    <w:p w14:paraId="4D7E7DAE" w14:textId="18CA7B15" w:rsidR="007F2890" w:rsidRPr="00FC0B9F" w:rsidRDefault="003E63BE" w:rsidP="00FC0B9F">
      <w:pPr>
        <w:rPr>
          <w:rFonts w:ascii="Arial" w:hAnsi="Arial" w:cs="Arial"/>
          <w:sz w:val="20"/>
          <w:szCs w:val="20"/>
        </w:rPr>
      </w:pPr>
      <w:r w:rsidRPr="00FC0B9F">
        <w:rPr>
          <w:rFonts w:ascii="Arial" w:hAnsi="Arial" w:cs="Arial"/>
          <w:sz w:val="20"/>
          <w:szCs w:val="20"/>
        </w:rPr>
        <w:t xml:space="preserve">Source: NMFS SERO. </w:t>
      </w:r>
      <w:r w:rsidR="00867389">
        <w:rPr>
          <w:rFonts w:ascii="Arial" w:hAnsi="Arial" w:cs="Arial"/>
          <w:sz w:val="20"/>
          <w:szCs w:val="20"/>
        </w:rPr>
        <w:t xml:space="preserve"> </w:t>
      </w:r>
      <w:r w:rsidRPr="00FC0B9F">
        <w:rPr>
          <w:rFonts w:ascii="Arial" w:hAnsi="Arial" w:cs="Arial"/>
          <w:sz w:val="20"/>
          <w:szCs w:val="20"/>
        </w:rPr>
        <w:t>Commercial logbook data 2012-2014</w:t>
      </w:r>
    </w:p>
    <w:p w14:paraId="08A8602B" w14:textId="77777777" w:rsidR="007F2890" w:rsidRDefault="007F2890" w:rsidP="007F2890">
      <w:pPr>
        <w:pStyle w:val="Figuretitle"/>
        <w:rPr>
          <w:rFonts w:ascii="Arial" w:hAnsi="Arial" w:cs="Arial"/>
          <w:sz w:val="20"/>
          <w:szCs w:val="20"/>
        </w:rPr>
      </w:pPr>
    </w:p>
    <w:p w14:paraId="3E7E10F0" w14:textId="42707D35" w:rsidR="007F2890" w:rsidRDefault="007F2890" w:rsidP="007F2890">
      <w:pPr>
        <w:ind w:firstLine="360"/>
      </w:pPr>
      <w:r>
        <w:t>T</w:t>
      </w:r>
      <w:r w:rsidRPr="003D60B0">
        <w:t xml:space="preserve">rip limits do not </w:t>
      </w:r>
      <w:r>
        <w:t xml:space="preserve">generally result in biological effects, positive or negative, since harvest is constrained by the ACL to a level that is sustainable over the long-term.  However, as with recreational bag limits, measures that </w:t>
      </w:r>
      <w:r w:rsidR="00514E62">
        <w:t xml:space="preserve">reduce landings and </w:t>
      </w:r>
      <w:r>
        <w:t xml:space="preserve">limit fishing mortality when a species is most vulnerable to harvest, such as during formation of spawning aggregations, would be biologically beneficial.  As such, </w:t>
      </w:r>
      <w:r w:rsidRPr="0000613D">
        <w:rPr>
          <w:b/>
        </w:rPr>
        <w:t xml:space="preserve">Preferred </w:t>
      </w:r>
      <w:r w:rsidRPr="003D60B0">
        <w:rPr>
          <w:b/>
        </w:rPr>
        <w:t>Alternative 3</w:t>
      </w:r>
      <w:r>
        <w:t xml:space="preserve"> and its sub-alternatives would be more biologically beneficial than </w:t>
      </w:r>
      <w:r w:rsidRPr="0000613D">
        <w:rPr>
          <w:b/>
        </w:rPr>
        <w:t>Preferred</w:t>
      </w:r>
      <w:r>
        <w:t xml:space="preserve"> </w:t>
      </w:r>
      <w:r w:rsidRPr="00332B17">
        <w:rPr>
          <w:b/>
        </w:rPr>
        <w:t>Alternative 2</w:t>
      </w:r>
      <w:r>
        <w:t xml:space="preserve"> and its sub-alternatives since they would </w:t>
      </w:r>
      <w:r w:rsidR="00514E62">
        <w:t>result in a reduction in commercial harvest and diminish fishing pressure</w:t>
      </w:r>
      <w:r>
        <w:t xml:space="preserve"> </w:t>
      </w:r>
      <w:r w:rsidR="00514E62">
        <w:t>on</w:t>
      </w:r>
      <w:r>
        <w:t xml:space="preserve"> spawning</w:t>
      </w:r>
      <w:r w:rsidR="00514E62">
        <w:t xml:space="preserve"> individuals</w:t>
      </w:r>
      <w:r>
        <w:t xml:space="preserve">.  However, even though </w:t>
      </w:r>
      <w:r w:rsidRPr="00332B17">
        <w:rPr>
          <w:b/>
        </w:rPr>
        <w:t>Alternative 1 (No Action)</w:t>
      </w:r>
      <w:r>
        <w:t xml:space="preserve"> places some level of constraint on commercial harvest of mutton snapper during </w:t>
      </w:r>
      <w:r w:rsidR="00514E62">
        <w:t xml:space="preserve">months of peak spawning in South Florida and the Florida Keys, </w:t>
      </w:r>
      <w:r>
        <w:t>commercial landings have been highest during this time of year (</w:t>
      </w:r>
      <w:r w:rsidR="00A4193D">
        <w:rPr>
          <w:b/>
        </w:rPr>
        <w:t>Figure 4.8</w:t>
      </w:r>
      <w:r w:rsidRPr="00332B17">
        <w:rPr>
          <w:b/>
        </w:rPr>
        <w:t>.1</w:t>
      </w:r>
      <w:r>
        <w:t xml:space="preserve"> and </w:t>
      </w:r>
      <w:r w:rsidR="00A4193D">
        <w:rPr>
          <w:b/>
        </w:rPr>
        <w:t>Table 4.8</w:t>
      </w:r>
      <w:r w:rsidRPr="00332B17">
        <w:rPr>
          <w:b/>
        </w:rPr>
        <w:t>.2</w:t>
      </w:r>
      <w:r>
        <w:t xml:space="preserve">) indicating that current regulations are ineffective.  Therefore, </w:t>
      </w:r>
      <w:r w:rsidRPr="0000613D">
        <w:rPr>
          <w:b/>
        </w:rPr>
        <w:t xml:space="preserve">Preferred </w:t>
      </w:r>
      <w:r>
        <w:rPr>
          <w:b/>
        </w:rPr>
        <w:t>A</w:t>
      </w:r>
      <w:r w:rsidRPr="00332B17">
        <w:rPr>
          <w:b/>
        </w:rPr>
        <w:t>lternative</w:t>
      </w:r>
      <w:r>
        <w:t xml:space="preserve"> </w:t>
      </w:r>
      <w:r w:rsidRPr="00565B4F">
        <w:rPr>
          <w:b/>
        </w:rPr>
        <w:t>3</w:t>
      </w:r>
      <w:r>
        <w:t xml:space="preserve"> and its sub-alternatives would likely result in biological benefits relative to </w:t>
      </w:r>
      <w:r w:rsidRPr="00332B17">
        <w:rPr>
          <w:b/>
        </w:rPr>
        <w:t>Alternative 1 (No Action)</w:t>
      </w:r>
      <w:r>
        <w:t xml:space="preserve">.  Among the </w:t>
      </w:r>
      <w:r w:rsidRPr="0000613D">
        <w:rPr>
          <w:b/>
        </w:rPr>
        <w:t xml:space="preserve">Preferred </w:t>
      </w:r>
      <w:r w:rsidRPr="00332B17">
        <w:rPr>
          <w:b/>
        </w:rPr>
        <w:t>Alternative 3</w:t>
      </w:r>
      <w:r>
        <w:t xml:space="preserve"> sub-alternatives, </w:t>
      </w:r>
      <w:r w:rsidRPr="00332B17">
        <w:rPr>
          <w:b/>
        </w:rPr>
        <w:t>Sub-alternative 3e</w:t>
      </w:r>
      <w:r>
        <w:t xml:space="preserve"> would be the most biologically beneficial to the mutton snapper stock as it would prohibit commercial harvest during the spawning months. </w:t>
      </w:r>
      <w:r w:rsidR="005477A8">
        <w:t xml:space="preserve"> In terms of discards, </w:t>
      </w:r>
      <w:r w:rsidR="005477A8" w:rsidRPr="006615A9">
        <w:rPr>
          <w:b/>
        </w:rPr>
        <w:t>Sub-alternative 3e</w:t>
      </w:r>
      <w:r w:rsidR="005477A8">
        <w:t xml:space="preserve"> has the potential of resulting in increased level</w:t>
      </w:r>
      <w:r w:rsidR="006615A9">
        <w:t>s since retention would be prohibited during the time of the year that commercial landings have been highest.  However, mutton snapper have a low discard mortality rate (15%); hence, no additional negative biological effects would be expected from alternatives that allow some retention during t</w:t>
      </w:r>
      <w:r w:rsidR="00FA68EB">
        <w:t>he designated “spawning months.”</w:t>
      </w:r>
    </w:p>
    <w:p w14:paraId="03C46F0B" w14:textId="77777777" w:rsidR="00061B17" w:rsidRDefault="00061B17" w:rsidP="007F2890">
      <w:pPr>
        <w:ind w:firstLine="360"/>
      </w:pPr>
    </w:p>
    <w:p w14:paraId="78B646BB" w14:textId="041DA9EF" w:rsidR="00061B17" w:rsidRDefault="00061B17" w:rsidP="00061B17">
      <w:pPr>
        <w:ind w:firstLine="360"/>
      </w:pPr>
      <w:r w:rsidRPr="004156D7">
        <w:t>Th</w:t>
      </w:r>
      <w:r>
        <w:t xml:space="preserve">e alternatives and sub-alternatives under this </w:t>
      </w:r>
      <w:r w:rsidRPr="004156D7">
        <w:t>action would not significantly modify the way in which the snapper grouper fishery is prosecuted in terms o</w:t>
      </w:r>
      <w:r>
        <w:t>f gear types used</w:t>
      </w:r>
      <w:r w:rsidRPr="004156D7">
        <w:t xml:space="preserve">.  Therefore, there are no </w:t>
      </w:r>
      <w:r w:rsidR="00514E62">
        <w:t xml:space="preserve">additional </w:t>
      </w:r>
      <w:r w:rsidRPr="004156D7">
        <w:t xml:space="preserve">impacts on ESA-listed species or designated critical habitats anticipated as a result of this action (see </w:t>
      </w:r>
      <w:r w:rsidRPr="004156D7">
        <w:rPr>
          <w:b/>
        </w:rPr>
        <w:t>Section 3.2.4</w:t>
      </w:r>
      <w:r w:rsidRPr="004156D7">
        <w:t xml:space="preserve"> for a detailed description of ESA-listed species and critical habitat in the action area).  Furthermore, no </w:t>
      </w:r>
      <w:r w:rsidR="00514E62">
        <w:t xml:space="preserve">additional </w:t>
      </w:r>
      <w:r w:rsidRPr="004156D7">
        <w:t>impacts on EFH or EFH-</w:t>
      </w:r>
      <w:r>
        <w:t>HAPC</w:t>
      </w:r>
      <w:r w:rsidRPr="004156D7">
        <w:t xml:space="preserve"> are expected to result from any of the alternatives considered for this action (see </w:t>
      </w:r>
      <w:r w:rsidRPr="004156D7">
        <w:rPr>
          <w:b/>
        </w:rPr>
        <w:t>Section 3.1</w:t>
      </w:r>
      <w:r w:rsidRPr="004156D7">
        <w:t xml:space="preserve"> for a detailed description of EFH in the South Atlantic Region).</w:t>
      </w:r>
    </w:p>
    <w:p w14:paraId="214BFE5E" w14:textId="77777777" w:rsidR="00A4193D" w:rsidRDefault="00A4193D" w:rsidP="007F2890">
      <w:pPr>
        <w:ind w:firstLine="360"/>
      </w:pPr>
    </w:p>
    <w:p w14:paraId="781DFA1F" w14:textId="4FFFB3D2" w:rsidR="00CC3FDF" w:rsidRPr="00040D40" w:rsidRDefault="00CC3FDF" w:rsidP="00040D40">
      <w:pPr>
        <w:pStyle w:val="Heading3"/>
        <w:rPr>
          <w:szCs w:val="24"/>
        </w:rPr>
      </w:pPr>
      <w:bookmarkStart w:id="292" w:name="_Toc339811766"/>
      <w:r>
        <w:rPr>
          <w:szCs w:val="24"/>
        </w:rPr>
        <w:lastRenderedPageBreak/>
        <w:t>4.</w:t>
      </w:r>
      <w:r w:rsidR="0016692A">
        <w:rPr>
          <w:szCs w:val="24"/>
        </w:rPr>
        <w:t>8</w:t>
      </w:r>
      <w:r w:rsidRPr="005B5A20">
        <w:rPr>
          <w:szCs w:val="24"/>
        </w:rPr>
        <w:t>.2</w:t>
      </w:r>
      <w:r w:rsidRPr="005B5A20">
        <w:rPr>
          <w:szCs w:val="24"/>
        </w:rPr>
        <w:tab/>
        <w:t>Economic Effects</w:t>
      </w:r>
      <w:bookmarkEnd w:id="292"/>
    </w:p>
    <w:p w14:paraId="79687447" w14:textId="28D02943" w:rsidR="00A503F0" w:rsidRDefault="00A503F0" w:rsidP="00A503F0">
      <w:pPr>
        <w:ind w:firstLine="360"/>
      </w:pPr>
      <w:r w:rsidRPr="00F3152D">
        <w:t xml:space="preserve">Generally, trip limits are not considered to be economically efficient because they require an increase in </w:t>
      </w:r>
      <w:r>
        <w:t xml:space="preserve">the number of </w:t>
      </w:r>
      <w:r w:rsidRPr="00F3152D">
        <w:t xml:space="preserve">trips and associated trip costs to land the same amount of fish.  </w:t>
      </w:r>
      <w:r>
        <w:t>However, the negative economic effects of this inefficiency can be offset by price support resulting from the supply limitations and the lengthening of seasons.  Given the fairly restrictive ACL of mutton snapper, t</w:t>
      </w:r>
      <w:r w:rsidRPr="00F3152D">
        <w:t xml:space="preserve">he </w:t>
      </w:r>
      <w:r>
        <w:t xml:space="preserve">alternative with the </w:t>
      </w:r>
      <w:r w:rsidRPr="00F3152D">
        <w:t>fewe</w:t>
      </w:r>
      <w:r>
        <w:t>st</w:t>
      </w:r>
      <w:r w:rsidRPr="00F3152D">
        <w:t xml:space="preserve"> </w:t>
      </w:r>
      <w:r>
        <w:t xml:space="preserve">number of </w:t>
      </w:r>
      <w:r w:rsidRPr="00F3152D">
        <w:t>trips tha</w:t>
      </w:r>
      <w:r>
        <w:t>t have to stop targeting mutton snapper</w:t>
      </w:r>
      <w:r w:rsidR="00B753E8">
        <w:t xml:space="preserve"> </w:t>
      </w:r>
      <w:r w:rsidRPr="00F3152D">
        <w:t>because the trip limit has been reached would result in the least amount of direct negative economic effect</w:t>
      </w:r>
      <w:r>
        <w:t>s, assuming the season does not close</w:t>
      </w:r>
      <w:r w:rsidRPr="00F3152D">
        <w:t xml:space="preserve">. </w:t>
      </w:r>
      <w:r>
        <w:t xml:space="preserve"> </w:t>
      </w:r>
      <w:r w:rsidRPr="00F3152D">
        <w:t>There are no specific trip costs available for trip</w:t>
      </w:r>
      <w:r>
        <w:t>s</w:t>
      </w:r>
      <w:r w:rsidRPr="00F3152D">
        <w:t xml:space="preserve"> </w:t>
      </w:r>
      <w:r>
        <w:t>landing mutton snapper;</w:t>
      </w:r>
      <w:r w:rsidRPr="00F3152D">
        <w:t xml:space="preserve"> therefore</w:t>
      </w:r>
      <w:r>
        <w:t>,</w:t>
      </w:r>
      <w:r w:rsidRPr="00F3152D">
        <w:t xml:space="preserve"> specific values associated with trip costs cannot be estimated.</w:t>
      </w:r>
    </w:p>
    <w:p w14:paraId="3741BF74" w14:textId="77777777" w:rsidR="00A503F0" w:rsidRDefault="00A503F0" w:rsidP="00A503F0">
      <w:pPr>
        <w:ind w:firstLine="360"/>
      </w:pPr>
    </w:p>
    <w:p w14:paraId="164754A0" w14:textId="23CE1567" w:rsidR="008F3D62" w:rsidRDefault="008F3D62" w:rsidP="008F3D62">
      <w:pPr>
        <w:ind w:firstLine="360"/>
      </w:pPr>
      <w:r>
        <w:t>The sub-alternatives of</w:t>
      </w:r>
      <w:r>
        <w:rPr>
          <w:b/>
        </w:rPr>
        <w:t xml:space="preserve"> Preferred Alternative 2 </w:t>
      </w:r>
      <w:r>
        <w:t xml:space="preserve">set trip limits during the “regular season.”  The lower the trip limit, the more likely some commercial vessels will experience negative economic effects.  Lower trip limits may reduce profitability for commercial vessels on some trips through a reduction in revenue and efficiency.  Some permit holders are restricted to a 225-pound limit of snapper grouper species and would not be affected by the commercial trip limits in </w:t>
      </w:r>
      <w:r w:rsidRPr="00C63E21">
        <w:rPr>
          <w:b/>
        </w:rPr>
        <w:t>Preferred Alternative 2</w:t>
      </w:r>
      <w:r>
        <w:t xml:space="preserve">.  For the remaining permit holders, negative economic effects may occur due to trip limits proposed in </w:t>
      </w:r>
      <w:r w:rsidRPr="00194F81">
        <w:rPr>
          <w:b/>
        </w:rPr>
        <w:t xml:space="preserve">Preferred Alternative </w:t>
      </w:r>
      <w:r w:rsidRPr="002F6F56">
        <w:rPr>
          <w:b/>
        </w:rPr>
        <w:t>2</w:t>
      </w:r>
      <w:r>
        <w:t>; however, these effects are expected to be minimal on most trips, as the vast majority of commercial trips land 300 pounds or less of mutton snapper per trip (</w:t>
      </w:r>
      <w:r w:rsidRPr="00C63E21">
        <w:rPr>
          <w:b/>
        </w:rPr>
        <w:t>Figure 4.8.3</w:t>
      </w:r>
      <w:r>
        <w:t xml:space="preserve">).  Nevertheless, there are some negative economic effects expected to occur in comparison to </w:t>
      </w:r>
      <w:r w:rsidRPr="00FE4632">
        <w:rPr>
          <w:b/>
        </w:rPr>
        <w:t>Alternative 1 (No Action)</w:t>
      </w:r>
      <w:r>
        <w:t xml:space="preserve">.  These effects are shown in </w:t>
      </w:r>
      <w:r w:rsidRPr="00FE4632">
        <w:rPr>
          <w:b/>
        </w:rPr>
        <w:t>Table 4.8.4</w:t>
      </w:r>
      <w:r>
        <w:t xml:space="preserve"> and are based on the reductions specified in </w:t>
      </w:r>
      <w:r w:rsidRPr="00FE4632">
        <w:rPr>
          <w:b/>
        </w:rPr>
        <w:t>Table 4.8.2</w:t>
      </w:r>
      <w:r>
        <w:rPr>
          <w:b/>
        </w:rPr>
        <w:t xml:space="preserve"> </w:t>
      </w:r>
      <w:r w:rsidRPr="00FE4632">
        <w:t>in relati</w:t>
      </w:r>
      <w:r>
        <w:t>on to average mutton snapper landings from 2010-2014 (</w:t>
      </w:r>
      <w:r w:rsidRPr="00FE4632">
        <w:rPr>
          <w:b/>
        </w:rPr>
        <w:t>Table 3.3.10</w:t>
      </w:r>
      <w:r>
        <w:t xml:space="preserve">).  </w:t>
      </w:r>
      <w:r w:rsidRPr="00FE4632">
        <w:rPr>
          <w:b/>
        </w:rPr>
        <w:t>Sub-alternative 2a</w:t>
      </w:r>
      <w:r>
        <w:t xml:space="preserve"> sets the lowest trip limit and is expected to have the largest negative, short-term economic effect followed by </w:t>
      </w:r>
      <w:r w:rsidRPr="00FE4632">
        <w:rPr>
          <w:b/>
        </w:rPr>
        <w:t>Sub-alternative</w:t>
      </w:r>
      <w:r>
        <w:t xml:space="preserve"> </w:t>
      </w:r>
      <w:r w:rsidRPr="00FE4632">
        <w:rPr>
          <w:b/>
        </w:rPr>
        <w:t>2b</w:t>
      </w:r>
      <w:r>
        <w:t xml:space="preserve"> and </w:t>
      </w:r>
      <w:r w:rsidRPr="009E7B64">
        <w:rPr>
          <w:b/>
        </w:rPr>
        <w:t>Pref</w:t>
      </w:r>
      <w:r w:rsidRPr="00FE4632">
        <w:rPr>
          <w:b/>
        </w:rPr>
        <w:t>e</w:t>
      </w:r>
      <w:r>
        <w:rPr>
          <w:b/>
        </w:rPr>
        <w:t>r</w:t>
      </w:r>
      <w:r w:rsidRPr="00FE4632">
        <w:rPr>
          <w:b/>
        </w:rPr>
        <w:t>red Sub-altern</w:t>
      </w:r>
      <w:r>
        <w:rPr>
          <w:b/>
        </w:rPr>
        <w:t>at</w:t>
      </w:r>
      <w:r w:rsidRPr="00FE4632">
        <w:rPr>
          <w:b/>
        </w:rPr>
        <w:t>ive 2c</w:t>
      </w:r>
      <w:r>
        <w:t xml:space="preserve">.  The decrease in ex-vessel value of mutton snapper landings expected to occur due to </w:t>
      </w:r>
      <w:r w:rsidRPr="00C904FB">
        <w:rPr>
          <w:b/>
        </w:rPr>
        <w:t xml:space="preserve">Preferred Sub-alternative </w:t>
      </w:r>
      <w:r>
        <w:rPr>
          <w:b/>
        </w:rPr>
        <w:t>2c</w:t>
      </w:r>
      <w:r>
        <w:t xml:space="preserve"> is $6,412 (2015 dollars).</w:t>
      </w:r>
    </w:p>
    <w:p w14:paraId="4986357F" w14:textId="77777777" w:rsidR="008F3D62" w:rsidRPr="00FE4632" w:rsidRDefault="008F3D62" w:rsidP="008F3D62">
      <w:pPr>
        <w:rPr>
          <w:rFonts w:ascii="Arial" w:hAnsi="Arial" w:cs="Arial"/>
          <w:b/>
          <w:sz w:val="20"/>
          <w:szCs w:val="20"/>
        </w:rPr>
      </w:pPr>
    </w:p>
    <w:p w14:paraId="3CBF2BE5" w14:textId="77777777" w:rsidR="008F3D62" w:rsidRPr="00FE4632" w:rsidRDefault="008F3D62" w:rsidP="008F3D62">
      <w:pPr>
        <w:rPr>
          <w:rFonts w:ascii="Arial" w:hAnsi="Arial" w:cs="Arial"/>
          <w:sz w:val="20"/>
          <w:szCs w:val="20"/>
        </w:rPr>
      </w:pPr>
      <w:r w:rsidRPr="00FE4632">
        <w:rPr>
          <w:rFonts w:ascii="Arial" w:hAnsi="Arial" w:cs="Arial"/>
          <w:b/>
          <w:sz w:val="20"/>
          <w:szCs w:val="20"/>
        </w:rPr>
        <w:t>Table 4.8.4</w:t>
      </w:r>
      <w:r w:rsidRPr="00FE4632">
        <w:rPr>
          <w:rFonts w:ascii="Arial" w:hAnsi="Arial" w:cs="Arial"/>
          <w:sz w:val="20"/>
          <w:szCs w:val="20"/>
        </w:rPr>
        <w:t>.  Estimated change in the ex-vessel value (2015 dollars) of commercial mutton snapper landings in the first year of implementation</w:t>
      </w:r>
      <w:r>
        <w:rPr>
          <w:rFonts w:ascii="Arial" w:hAnsi="Arial" w:cs="Arial"/>
          <w:sz w:val="20"/>
          <w:szCs w:val="20"/>
        </w:rPr>
        <w:t xml:space="preserve"> as a result of commercial trip limits during the “regular season”, as specified in </w:t>
      </w:r>
      <w:r w:rsidRPr="00FE4632">
        <w:rPr>
          <w:rFonts w:ascii="Arial" w:hAnsi="Arial" w:cs="Arial"/>
          <w:b/>
          <w:sz w:val="20"/>
          <w:szCs w:val="20"/>
        </w:rPr>
        <w:t>Preferred Alternative 2</w:t>
      </w:r>
      <w:r w:rsidRPr="00FE4632">
        <w:rPr>
          <w:rFonts w:ascii="Arial" w:hAnsi="Arial" w:cs="Arial"/>
          <w:sz w:val="20"/>
          <w:szCs w:val="20"/>
        </w:rPr>
        <w:t>.</w:t>
      </w:r>
    </w:p>
    <w:tbl>
      <w:tblPr>
        <w:tblW w:w="5700" w:type="dxa"/>
        <w:tblInd w:w="118" w:type="dxa"/>
        <w:tblLook w:val="04A0" w:firstRow="1" w:lastRow="0" w:firstColumn="1" w:lastColumn="0" w:noHBand="0" w:noVBand="1"/>
      </w:tblPr>
      <w:tblGrid>
        <w:gridCol w:w="1640"/>
        <w:gridCol w:w="1354"/>
        <w:gridCol w:w="1353"/>
        <w:gridCol w:w="1353"/>
      </w:tblGrid>
      <w:tr w:rsidR="008F3D62" w14:paraId="6DC3829C" w14:textId="77777777" w:rsidTr="001129C8">
        <w:trPr>
          <w:trHeight w:val="340"/>
        </w:trPr>
        <w:tc>
          <w:tcPr>
            <w:tcW w:w="1640" w:type="dxa"/>
            <w:vMerge w:val="restart"/>
            <w:tcBorders>
              <w:top w:val="single" w:sz="8" w:space="0" w:color="auto"/>
              <w:left w:val="single" w:sz="8" w:space="0" w:color="auto"/>
              <w:bottom w:val="single" w:sz="8" w:space="0" w:color="000000"/>
              <w:right w:val="single" w:sz="8" w:space="0" w:color="auto"/>
            </w:tcBorders>
            <w:shd w:val="clear" w:color="000000" w:fill="D9D9D9"/>
            <w:vAlign w:val="bottom"/>
            <w:hideMark/>
          </w:tcPr>
          <w:p w14:paraId="0D03B31B" w14:textId="77777777" w:rsidR="008F3D62" w:rsidRPr="002B47A0" w:rsidRDefault="008F3D62" w:rsidP="001129C8">
            <w:pPr>
              <w:rPr>
                <w:b/>
                <w:bCs/>
                <w:color w:val="000000"/>
                <w:sz w:val="22"/>
                <w:szCs w:val="22"/>
              </w:rPr>
            </w:pPr>
            <w:r w:rsidRPr="006067FD">
              <w:rPr>
                <w:b/>
                <w:bCs/>
                <w:color w:val="000000"/>
                <w:sz w:val="22"/>
                <w:szCs w:val="22"/>
              </w:rPr>
              <w:t>Regular Season</w:t>
            </w:r>
          </w:p>
        </w:tc>
        <w:tc>
          <w:tcPr>
            <w:tcW w:w="406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61FACE26" w14:textId="77777777" w:rsidR="008F3D62" w:rsidRPr="005F46AC" w:rsidRDefault="008F3D62" w:rsidP="001129C8">
            <w:pPr>
              <w:keepNext/>
              <w:tabs>
                <w:tab w:val="left" w:pos="0"/>
              </w:tabs>
              <w:spacing w:before="240" w:after="60"/>
              <w:jc w:val="center"/>
              <w:outlineLvl w:val="1"/>
              <w:rPr>
                <w:b/>
                <w:bCs/>
                <w:color w:val="000000"/>
                <w:sz w:val="22"/>
                <w:szCs w:val="22"/>
              </w:rPr>
            </w:pPr>
            <w:r w:rsidRPr="00904D56">
              <w:rPr>
                <w:b/>
                <w:bCs/>
                <w:color w:val="000000"/>
                <w:sz w:val="22"/>
                <w:szCs w:val="22"/>
              </w:rPr>
              <w:t>Trip Limit</w:t>
            </w:r>
          </w:p>
        </w:tc>
      </w:tr>
      <w:tr w:rsidR="008F3D62" w14:paraId="322BF237" w14:textId="77777777" w:rsidTr="001129C8">
        <w:trPr>
          <w:trHeight w:val="286"/>
        </w:trPr>
        <w:tc>
          <w:tcPr>
            <w:tcW w:w="1640" w:type="dxa"/>
            <w:vMerge/>
            <w:tcBorders>
              <w:top w:val="single" w:sz="8" w:space="0" w:color="auto"/>
              <w:left w:val="single" w:sz="8" w:space="0" w:color="auto"/>
              <w:bottom w:val="single" w:sz="8" w:space="0" w:color="000000"/>
              <w:right w:val="single" w:sz="8" w:space="0" w:color="auto"/>
            </w:tcBorders>
            <w:vAlign w:val="bottom"/>
            <w:hideMark/>
          </w:tcPr>
          <w:p w14:paraId="00768FB7" w14:textId="77777777" w:rsidR="008F3D62" w:rsidRPr="00904D56" w:rsidRDefault="008F3D62" w:rsidP="001129C8">
            <w:pPr>
              <w:rPr>
                <w:b/>
                <w:bCs/>
                <w:color w:val="000000"/>
                <w:sz w:val="22"/>
                <w:szCs w:val="22"/>
              </w:rPr>
            </w:pPr>
          </w:p>
        </w:tc>
        <w:tc>
          <w:tcPr>
            <w:tcW w:w="1354" w:type="dxa"/>
            <w:tcBorders>
              <w:top w:val="nil"/>
              <w:left w:val="nil"/>
              <w:bottom w:val="single" w:sz="8" w:space="0" w:color="auto"/>
              <w:right w:val="single" w:sz="8" w:space="0" w:color="auto"/>
            </w:tcBorders>
            <w:shd w:val="clear" w:color="000000" w:fill="D9D9D9"/>
            <w:noWrap/>
            <w:vAlign w:val="bottom"/>
            <w:hideMark/>
          </w:tcPr>
          <w:p w14:paraId="5F740877" w14:textId="77777777" w:rsidR="008F3D62" w:rsidRPr="00FE4632" w:rsidRDefault="008F3D62" w:rsidP="001129C8">
            <w:pPr>
              <w:jc w:val="center"/>
              <w:rPr>
                <w:bCs/>
                <w:color w:val="000000"/>
                <w:sz w:val="22"/>
                <w:szCs w:val="22"/>
              </w:rPr>
            </w:pPr>
            <w:r w:rsidRPr="00FE4632">
              <w:rPr>
                <w:bCs/>
                <w:color w:val="000000"/>
                <w:sz w:val="22"/>
                <w:szCs w:val="22"/>
              </w:rPr>
              <w:t>300 lbs ww</w:t>
            </w:r>
          </w:p>
        </w:tc>
        <w:tc>
          <w:tcPr>
            <w:tcW w:w="1353" w:type="dxa"/>
            <w:tcBorders>
              <w:top w:val="nil"/>
              <w:left w:val="nil"/>
              <w:bottom w:val="single" w:sz="8" w:space="0" w:color="auto"/>
              <w:right w:val="single" w:sz="8" w:space="0" w:color="auto"/>
            </w:tcBorders>
            <w:shd w:val="clear" w:color="000000" w:fill="D9D9D9"/>
            <w:noWrap/>
            <w:vAlign w:val="bottom"/>
            <w:hideMark/>
          </w:tcPr>
          <w:p w14:paraId="0175A4C9" w14:textId="77777777" w:rsidR="008F3D62" w:rsidRPr="00FE4632" w:rsidRDefault="008F3D62" w:rsidP="001129C8">
            <w:pPr>
              <w:jc w:val="center"/>
              <w:rPr>
                <w:bCs/>
                <w:color w:val="000000"/>
                <w:sz w:val="22"/>
                <w:szCs w:val="22"/>
              </w:rPr>
            </w:pPr>
            <w:r w:rsidRPr="00FE4632">
              <w:rPr>
                <w:bCs/>
                <w:color w:val="000000"/>
                <w:sz w:val="22"/>
                <w:szCs w:val="22"/>
              </w:rPr>
              <w:t>400 lbs ww</w:t>
            </w:r>
          </w:p>
        </w:tc>
        <w:tc>
          <w:tcPr>
            <w:tcW w:w="1353" w:type="dxa"/>
            <w:tcBorders>
              <w:top w:val="nil"/>
              <w:left w:val="nil"/>
              <w:bottom w:val="single" w:sz="8" w:space="0" w:color="auto"/>
              <w:right w:val="single" w:sz="8" w:space="0" w:color="auto"/>
            </w:tcBorders>
            <w:shd w:val="clear" w:color="000000" w:fill="D9D9D9"/>
            <w:noWrap/>
            <w:vAlign w:val="bottom"/>
            <w:hideMark/>
          </w:tcPr>
          <w:p w14:paraId="193F7303" w14:textId="77777777" w:rsidR="008F3D62" w:rsidRPr="006067FD" w:rsidRDefault="008F3D62" w:rsidP="001129C8">
            <w:pPr>
              <w:jc w:val="center"/>
              <w:rPr>
                <w:b/>
                <w:bCs/>
                <w:color w:val="000000"/>
                <w:sz w:val="22"/>
                <w:szCs w:val="22"/>
              </w:rPr>
            </w:pPr>
            <w:r w:rsidRPr="006067FD">
              <w:rPr>
                <w:b/>
                <w:bCs/>
                <w:color w:val="000000"/>
                <w:sz w:val="22"/>
                <w:szCs w:val="22"/>
              </w:rPr>
              <w:t>500 lbs ww</w:t>
            </w:r>
          </w:p>
        </w:tc>
      </w:tr>
      <w:tr w:rsidR="008F3D62" w14:paraId="1563EC88" w14:textId="77777777" w:rsidTr="001129C8">
        <w:trPr>
          <w:trHeight w:val="144"/>
        </w:trPr>
        <w:tc>
          <w:tcPr>
            <w:tcW w:w="1640" w:type="dxa"/>
            <w:tcBorders>
              <w:top w:val="nil"/>
              <w:left w:val="single" w:sz="8" w:space="0" w:color="auto"/>
              <w:bottom w:val="single" w:sz="8" w:space="0" w:color="auto"/>
              <w:right w:val="single" w:sz="8" w:space="0" w:color="auto"/>
            </w:tcBorders>
            <w:shd w:val="clear" w:color="auto" w:fill="auto"/>
            <w:noWrap/>
            <w:vAlign w:val="bottom"/>
            <w:hideMark/>
          </w:tcPr>
          <w:p w14:paraId="5AF7E8D4" w14:textId="77777777" w:rsidR="008F3D62" w:rsidRPr="00FE4632" w:rsidRDefault="008F3D62" w:rsidP="001129C8">
            <w:pPr>
              <w:rPr>
                <w:color w:val="000000"/>
                <w:sz w:val="22"/>
                <w:szCs w:val="22"/>
              </w:rPr>
            </w:pPr>
            <w:r w:rsidRPr="00FE4632">
              <w:rPr>
                <w:color w:val="000000"/>
                <w:sz w:val="22"/>
                <w:szCs w:val="22"/>
              </w:rPr>
              <w:t>July - April</w:t>
            </w:r>
          </w:p>
        </w:tc>
        <w:tc>
          <w:tcPr>
            <w:tcW w:w="1354" w:type="dxa"/>
            <w:tcBorders>
              <w:top w:val="nil"/>
              <w:left w:val="nil"/>
              <w:bottom w:val="single" w:sz="8" w:space="0" w:color="auto"/>
              <w:right w:val="single" w:sz="8" w:space="0" w:color="auto"/>
            </w:tcBorders>
            <w:shd w:val="clear" w:color="auto" w:fill="auto"/>
            <w:noWrap/>
            <w:vAlign w:val="bottom"/>
            <w:hideMark/>
          </w:tcPr>
          <w:p w14:paraId="73AC0217" w14:textId="77777777" w:rsidR="008F3D62" w:rsidRPr="00FE4632" w:rsidRDefault="008F3D62" w:rsidP="001129C8">
            <w:pPr>
              <w:keepNext/>
              <w:tabs>
                <w:tab w:val="left" w:pos="0"/>
              </w:tabs>
              <w:spacing w:before="240" w:after="60"/>
              <w:jc w:val="center"/>
              <w:outlineLvl w:val="1"/>
              <w:rPr>
                <w:color w:val="000000"/>
                <w:sz w:val="22"/>
                <w:szCs w:val="22"/>
              </w:rPr>
            </w:pPr>
            <w:r w:rsidRPr="00FE4632">
              <w:rPr>
                <w:color w:val="000000"/>
                <w:sz w:val="22"/>
                <w:szCs w:val="22"/>
              </w:rPr>
              <w:t>$10,397</w:t>
            </w:r>
          </w:p>
        </w:tc>
        <w:tc>
          <w:tcPr>
            <w:tcW w:w="1353" w:type="dxa"/>
            <w:tcBorders>
              <w:top w:val="nil"/>
              <w:left w:val="nil"/>
              <w:bottom w:val="single" w:sz="8" w:space="0" w:color="auto"/>
              <w:right w:val="single" w:sz="8" w:space="0" w:color="auto"/>
            </w:tcBorders>
            <w:shd w:val="clear" w:color="auto" w:fill="auto"/>
            <w:noWrap/>
            <w:vAlign w:val="bottom"/>
            <w:hideMark/>
          </w:tcPr>
          <w:p w14:paraId="28D91242" w14:textId="77777777" w:rsidR="008F3D62" w:rsidRPr="00FE4632" w:rsidRDefault="008F3D62" w:rsidP="001129C8">
            <w:pPr>
              <w:keepNext/>
              <w:tabs>
                <w:tab w:val="left" w:pos="0"/>
              </w:tabs>
              <w:spacing w:before="240" w:after="60"/>
              <w:jc w:val="center"/>
              <w:outlineLvl w:val="1"/>
              <w:rPr>
                <w:color w:val="000000"/>
                <w:sz w:val="22"/>
                <w:szCs w:val="22"/>
              </w:rPr>
            </w:pPr>
            <w:r w:rsidRPr="00FE4632">
              <w:rPr>
                <w:color w:val="000000"/>
                <w:sz w:val="22"/>
                <w:szCs w:val="22"/>
              </w:rPr>
              <w:t>$7,971</w:t>
            </w:r>
          </w:p>
        </w:tc>
        <w:tc>
          <w:tcPr>
            <w:tcW w:w="1353" w:type="dxa"/>
            <w:tcBorders>
              <w:top w:val="nil"/>
              <w:left w:val="nil"/>
              <w:bottom w:val="single" w:sz="8" w:space="0" w:color="auto"/>
              <w:right w:val="single" w:sz="8" w:space="0" w:color="auto"/>
            </w:tcBorders>
            <w:shd w:val="clear" w:color="auto" w:fill="auto"/>
            <w:noWrap/>
            <w:vAlign w:val="bottom"/>
            <w:hideMark/>
          </w:tcPr>
          <w:p w14:paraId="2A9E4904" w14:textId="77777777" w:rsidR="008F3D62" w:rsidRPr="00FE4632" w:rsidRDefault="008F3D62" w:rsidP="001129C8">
            <w:pPr>
              <w:jc w:val="center"/>
              <w:rPr>
                <w:color w:val="000000"/>
                <w:sz w:val="22"/>
                <w:szCs w:val="22"/>
              </w:rPr>
            </w:pPr>
            <w:r w:rsidRPr="00FE4632">
              <w:rPr>
                <w:color w:val="000000"/>
                <w:sz w:val="22"/>
                <w:szCs w:val="22"/>
              </w:rPr>
              <w:t>$6,412</w:t>
            </w:r>
          </w:p>
        </w:tc>
      </w:tr>
      <w:tr w:rsidR="008F3D62" w14:paraId="7C82DE46" w14:textId="77777777" w:rsidTr="001129C8">
        <w:trPr>
          <w:trHeight w:val="144"/>
        </w:trPr>
        <w:tc>
          <w:tcPr>
            <w:tcW w:w="1640" w:type="dxa"/>
            <w:tcBorders>
              <w:top w:val="nil"/>
              <w:left w:val="single" w:sz="8" w:space="0" w:color="auto"/>
              <w:bottom w:val="single" w:sz="8" w:space="0" w:color="auto"/>
              <w:right w:val="single" w:sz="8" w:space="0" w:color="auto"/>
            </w:tcBorders>
            <w:shd w:val="clear" w:color="auto" w:fill="auto"/>
            <w:noWrap/>
            <w:vAlign w:val="bottom"/>
            <w:hideMark/>
          </w:tcPr>
          <w:p w14:paraId="3575DB39" w14:textId="77777777" w:rsidR="008F3D62" w:rsidRPr="00FE4632" w:rsidRDefault="008F3D62" w:rsidP="001129C8">
            <w:pPr>
              <w:rPr>
                <w:b/>
                <w:bCs/>
                <w:color w:val="000000"/>
                <w:sz w:val="22"/>
                <w:szCs w:val="22"/>
              </w:rPr>
            </w:pPr>
            <w:r w:rsidRPr="00FE4632">
              <w:rPr>
                <w:b/>
                <w:bCs/>
                <w:color w:val="000000"/>
                <w:sz w:val="22"/>
                <w:szCs w:val="22"/>
              </w:rPr>
              <w:t>July - March</w:t>
            </w:r>
          </w:p>
        </w:tc>
        <w:tc>
          <w:tcPr>
            <w:tcW w:w="1354" w:type="dxa"/>
            <w:tcBorders>
              <w:top w:val="nil"/>
              <w:left w:val="nil"/>
              <w:bottom w:val="single" w:sz="8" w:space="0" w:color="auto"/>
              <w:right w:val="single" w:sz="8" w:space="0" w:color="auto"/>
            </w:tcBorders>
            <w:shd w:val="clear" w:color="auto" w:fill="auto"/>
            <w:noWrap/>
            <w:vAlign w:val="bottom"/>
            <w:hideMark/>
          </w:tcPr>
          <w:p w14:paraId="0567EDEE" w14:textId="77777777" w:rsidR="008F3D62" w:rsidRPr="00FE4632" w:rsidRDefault="008F3D62" w:rsidP="001129C8">
            <w:pPr>
              <w:keepNext/>
              <w:tabs>
                <w:tab w:val="left" w:pos="0"/>
              </w:tabs>
              <w:spacing w:before="240" w:after="60"/>
              <w:jc w:val="center"/>
              <w:outlineLvl w:val="1"/>
              <w:rPr>
                <w:color w:val="000000"/>
                <w:sz w:val="22"/>
                <w:szCs w:val="22"/>
              </w:rPr>
            </w:pPr>
            <w:r w:rsidRPr="00FE4632">
              <w:rPr>
                <w:color w:val="000000"/>
                <w:sz w:val="22"/>
                <w:szCs w:val="22"/>
              </w:rPr>
              <w:t>$10,224</w:t>
            </w:r>
          </w:p>
        </w:tc>
        <w:tc>
          <w:tcPr>
            <w:tcW w:w="1353" w:type="dxa"/>
            <w:tcBorders>
              <w:top w:val="nil"/>
              <w:left w:val="nil"/>
              <w:bottom w:val="single" w:sz="8" w:space="0" w:color="auto"/>
              <w:right w:val="single" w:sz="8" w:space="0" w:color="auto"/>
            </w:tcBorders>
            <w:shd w:val="clear" w:color="auto" w:fill="auto"/>
            <w:noWrap/>
            <w:vAlign w:val="bottom"/>
            <w:hideMark/>
          </w:tcPr>
          <w:p w14:paraId="7F1F7D3A" w14:textId="77777777" w:rsidR="008F3D62" w:rsidRPr="00FE4632" w:rsidRDefault="008F3D62" w:rsidP="001129C8">
            <w:pPr>
              <w:keepNext/>
              <w:tabs>
                <w:tab w:val="left" w:pos="0"/>
              </w:tabs>
              <w:spacing w:before="240" w:after="60"/>
              <w:jc w:val="center"/>
              <w:outlineLvl w:val="1"/>
              <w:rPr>
                <w:color w:val="000000"/>
                <w:sz w:val="22"/>
                <w:szCs w:val="22"/>
              </w:rPr>
            </w:pPr>
            <w:r w:rsidRPr="00FE4632">
              <w:rPr>
                <w:color w:val="000000"/>
                <w:sz w:val="22"/>
                <w:szCs w:val="22"/>
              </w:rPr>
              <w:t>$7,798</w:t>
            </w:r>
          </w:p>
        </w:tc>
        <w:tc>
          <w:tcPr>
            <w:tcW w:w="1353" w:type="dxa"/>
            <w:tcBorders>
              <w:top w:val="nil"/>
              <w:left w:val="nil"/>
              <w:bottom w:val="single" w:sz="8" w:space="0" w:color="auto"/>
              <w:right w:val="single" w:sz="8" w:space="0" w:color="auto"/>
            </w:tcBorders>
            <w:shd w:val="clear" w:color="auto" w:fill="auto"/>
            <w:noWrap/>
            <w:vAlign w:val="bottom"/>
            <w:hideMark/>
          </w:tcPr>
          <w:p w14:paraId="76141BFE" w14:textId="77777777" w:rsidR="008F3D62" w:rsidRPr="00FE4632" w:rsidRDefault="008F3D62" w:rsidP="001129C8">
            <w:pPr>
              <w:keepNext/>
              <w:tabs>
                <w:tab w:val="left" w:pos="0"/>
              </w:tabs>
              <w:spacing w:before="240" w:after="60"/>
              <w:jc w:val="center"/>
              <w:outlineLvl w:val="1"/>
              <w:rPr>
                <w:b/>
                <w:color w:val="000000"/>
                <w:sz w:val="22"/>
                <w:szCs w:val="22"/>
              </w:rPr>
            </w:pPr>
            <w:r w:rsidRPr="00FE4632">
              <w:rPr>
                <w:b/>
                <w:color w:val="000000"/>
                <w:sz w:val="22"/>
                <w:szCs w:val="22"/>
              </w:rPr>
              <w:t>$6,412</w:t>
            </w:r>
          </w:p>
        </w:tc>
      </w:tr>
      <w:tr w:rsidR="008F3D62" w14:paraId="211D29C3" w14:textId="77777777" w:rsidTr="001129C8">
        <w:trPr>
          <w:trHeight w:val="144"/>
        </w:trPr>
        <w:tc>
          <w:tcPr>
            <w:tcW w:w="1640" w:type="dxa"/>
            <w:tcBorders>
              <w:top w:val="nil"/>
              <w:left w:val="single" w:sz="8" w:space="0" w:color="auto"/>
              <w:bottom w:val="single" w:sz="8" w:space="0" w:color="auto"/>
              <w:right w:val="single" w:sz="8" w:space="0" w:color="auto"/>
            </w:tcBorders>
            <w:shd w:val="clear" w:color="auto" w:fill="auto"/>
            <w:noWrap/>
            <w:vAlign w:val="bottom"/>
            <w:hideMark/>
          </w:tcPr>
          <w:p w14:paraId="43961F23" w14:textId="77777777" w:rsidR="008F3D62" w:rsidRPr="00FE4632" w:rsidRDefault="008F3D62" w:rsidP="001129C8">
            <w:pPr>
              <w:rPr>
                <w:color w:val="000000"/>
                <w:sz w:val="22"/>
                <w:szCs w:val="22"/>
              </w:rPr>
            </w:pPr>
            <w:r w:rsidRPr="00FE4632">
              <w:rPr>
                <w:color w:val="000000"/>
                <w:sz w:val="22"/>
                <w:szCs w:val="22"/>
              </w:rPr>
              <w:t>August - March</w:t>
            </w:r>
          </w:p>
        </w:tc>
        <w:tc>
          <w:tcPr>
            <w:tcW w:w="1354" w:type="dxa"/>
            <w:tcBorders>
              <w:top w:val="nil"/>
              <w:left w:val="nil"/>
              <w:bottom w:val="single" w:sz="8" w:space="0" w:color="auto"/>
              <w:right w:val="single" w:sz="8" w:space="0" w:color="auto"/>
            </w:tcBorders>
            <w:shd w:val="clear" w:color="auto" w:fill="auto"/>
            <w:noWrap/>
            <w:vAlign w:val="bottom"/>
            <w:hideMark/>
          </w:tcPr>
          <w:p w14:paraId="7135575B" w14:textId="77777777" w:rsidR="008F3D62" w:rsidRPr="00FE4632" w:rsidRDefault="008F3D62" w:rsidP="001129C8">
            <w:pPr>
              <w:keepNext/>
              <w:tabs>
                <w:tab w:val="left" w:pos="0"/>
              </w:tabs>
              <w:spacing w:before="240" w:after="60"/>
              <w:jc w:val="center"/>
              <w:outlineLvl w:val="1"/>
              <w:rPr>
                <w:color w:val="000000"/>
                <w:sz w:val="22"/>
                <w:szCs w:val="22"/>
              </w:rPr>
            </w:pPr>
            <w:r w:rsidRPr="00FE4632">
              <w:rPr>
                <w:color w:val="000000"/>
                <w:sz w:val="22"/>
                <w:szCs w:val="22"/>
              </w:rPr>
              <w:t>$7,105</w:t>
            </w:r>
          </w:p>
        </w:tc>
        <w:tc>
          <w:tcPr>
            <w:tcW w:w="1353" w:type="dxa"/>
            <w:tcBorders>
              <w:top w:val="nil"/>
              <w:left w:val="nil"/>
              <w:bottom w:val="single" w:sz="8" w:space="0" w:color="auto"/>
              <w:right w:val="single" w:sz="8" w:space="0" w:color="auto"/>
            </w:tcBorders>
            <w:shd w:val="clear" w:color="auto" w:fill="auto"/>
            <w:noWrap/>
            <w:vAlign w:val="bottom"/>
            <w:hideMark/>
          </w:tcPr>
          <w:p w14:paraId="26652F80" w14:textId="77777777" w:rsidR="008F3D62" w:rsidRPr="00FE4632" w:rsidRDefault="008F3D62" w:rsidP="001129C8">
            <w:pPr>
              <w:keepNext/>
              <w:tabs>
                <w:tab w:val="left" w:pos="0"/>
              </w:tabs>
              <w:spacing w:before="240" w:after="60"/>
              <w:jc w:val="center"/>
              <w:outlineLvl w:val="1"/>
              <w:rPr>
                <w:color w:val="000000"/>
                <w:sz w:val="22"/>
                <w:szCs w:val="22"/>
              </w:rPr>
            </w:pPr>
            <w:r w:rsidRPr="00FE4632">
              <w:rPr>
                <w:color w:val="000000"/>
                <w:sz w:val="22"/>
                <w:szCs w:val="22"/>
              </w:rPr>
              <w:t>$5,199</w:t>
            </w:r>
          </w:p>
        </w:tc>
        <w:tc>
          <w:tcPr>
            <w:tcW w:w="1353" w:type="dxa"/>
            <w:tcBorders>
              <w:top w:val="nil"/>
              <w:left w:val="nil"/>
              <w:bottom w:val="single" w:sz="8" w:space="0" w:color="auto"/>
              <w:right w:val="single" w:sz="8" w:space="0" w:color="auto"/>
            </w:tcBorders>
            <w:shd w:val="clear" w:color="auto" w:fill="auto"/>
            <w:noWrap/>
            <w:vAlign w:val="bottom"/>
            <w:hideMark/>
          </w:tcPr>
          <w:p w14:paraId="12DC1BA4" w14:textId="77777777" w:rsidR="008F3D62" w:rsidRPr="00FE4632" w:rsidRDefault="008F3D62" w:rsidP="001129C8">
            <w:pPr>
              <w:jc w:val="center"/>
              <w:rPr>
                <w:color w:val="000000"/>
                <w:sz w:val="22"/>
                <w:szCs w:val="22"/>
              </w:rPr>
            </w:pPr>
            <w:r w:rsidRPr="00FE4632">
              <w:rPr>
                <w:color w:val="000000"/>
                <w:sz w:val="22"/>
                <w:szCs w:val="22"/>
              </w:rPr>
              <w:t>$3,986</w:t>
            </w:r>
          </w:p>
        </w:tc>
      </w:tr>
      <w:tr w:rsidR="008F3D62" w14:paraId="4E0E6482" w14:textId="77777777" w:rsidTr="001129C8">
        <w:trPr>
          <w:trHeight w:val="144"/>
        </w:trPr>
        <w:tc>
          <w:tcPr>
            <w:tcW w:w="1640" w:type="dxa"/>
            <w:tcBorders>
              <w:top w:val="nil"/>
              <w:left w:val="single" w:sz="8" w:space="0" w:color="auto"/>
              <w:bottom w:val="single" w:sz="8" w:space="0" w:color="auto"/>
              <w:right w:val="single" w:sz="8" w:space="0" w:color="auto"/>
            </w:tcBorders>
            <w:shd w:val="clear" w:color="auto" w:fill="auto"/>
            <w:noWrap/>
            <w:vAlign w:val="bottom"/>
            <w:hideMark/>
          </w:tcPr>
          <w:p w14:paraId="76D7E6BE" w14:textId="77777777" w:rsidR="008F3D62" w:rsidRPr="00FE4632" w:rsidRDefault="008F3D62" w:rsidP="001129C8">
            <w:pPr>
              <w:rPr>
                <w:color w:val="000000"/>
                <w:sz w:val="22"/>
                <w:szCs w:val="22"/>
              </w:rPr>
            </w:pPr>
            <w:r w:rsidRPr="00FE4632">
              <w:rPr>
                <w:color w:val="000000"/>
                <w:sz w:val="22"/>
                <w:szCs w:val="22"/>
              </w:rPr>
              <w:t>August - April</w:t>
            </w:r>
          </w:p>
        </w:tc>
        <w:tc>
          <w:tcPr>
            <w:tcW w:w="1354" w:type="dxa"/>
            <w:tcBorders>
              <w:top w:val="nil"/>
              <w:left w:val="nil"/>
              <w:bottom w:val="single" w:sz="8" w:space="0" w:color="auto"/>
              <w:right w:val="single" w:sz="8" w:space="0" w:color="auto"/>
            </w:tcBorders>
            <w:shd w:val="clear" w:color="auto" w:fill="auto"/>
            <w:noWrap/>
            <w:vAlign w:val="bottom"/>
            <w:hideMark/>
          </w:tcPr>
          <w:p w14:paraId="53BBFD1C" w14:textId="77777777" w:rsidR="008F3D62" w:rsidRPr="00FE4632" w:rsidRDefault="008F3D62" w:rsidP="001129C8">
            <w:pPr>
              <w:keepNext/>
              <w:tabs>
                <w:tab w:val="left" w:pos="0"/>
              </w:tabs>
              <w:spacing w:before="240" w:after="60"/>
              <w:jc w:val="center"/>
              <w:outlineLvl w:val="1"/>
              <w:rPr>
                <w:color w:val="000000"/>
                <w:sz w:val="22"/>
                <w:szCs w:val="22"/>
              </w:rPr>
            </w:pPr>
            <w:r w:rsidRPr="00FE4632">
              <w:rPr>
                <w:color w:val="000000"/>
                <w:sz w:val="22"/>
                <w:szCs w:val="22"/>
              </w:rPr>
              <w:t>$7,278</w:t>
            </w:r>
          </w:p>
        </w:tc>
        <w:tc>
          <w:tcPr>
            <w:tcW w:w="1353" w:type="dxa"/>
            <w:tcBorders>
              <w:top w:val="nil"/>
              <w:left w:val="nil"/>
              <w:bottom w:val="single" w:sz="8" w:space="0" w:color="auto"/>
              <w:right w:val="single" w:sz="8" w:space="0" w:color="auto"/>
            </w:tcBorders>
            <w:shd w:val="clear" w:color="auto" w:fill="auto"/>
            <w:noWrap/>
            <w:vAlign w:val="bottom"/>
            <w:hideMark/>
          </w:tcPr>
          <w:p w14:paraId="6DE9FF33" w14:textId="77777777" w:rsidR="008F3D62" w:rsidRPr="00FE4632" w:rsidRDefault="008F3D62" w:rsidP="001129C8">
            <w:pPr>
              <w:keepNext/>
              <w:tabs>
                <w:tab w:val="left" w:pos="0"/>
              </w:tabs>
              <w:spacing w:before="240" w:after="60"/>
              <w:jc w:val="center"/>
              <w:outlineLvl w:val="1"/>
              <w:rPr>
                <w:color w:val="000000"/>
                <w:sz w:val="22"/>
                <w:szCs w:val="22"/>
              </w:rPr>
            </w:pPr>
            <w:r w:rsidRPr="00FE4632">
              <w:rPr>
                <w:color w:val="000000"/>
                <w:sz w:val="22"/>
                <w:szCs w:val="22"/>
              </w:rPr>
              <w:t>$5,199</w:t>
            </w:r>
          </w:p>
        </w:tc>
        <w:tc>
          <w:tcPr>
            <w:tcW w:w="1353" w:type="dxa"/>
            <w:tcBorders>
              <w:top w:val="nil"/>
              <w:left w:val="nil"/>
              <w:bottom w:val="single" w:sz="8" w:space="0" w:color="auto"/>
              <w:right w:val="single" w:sz="8" w:space="0" w:color="auto"/>
            </w:tcBorders>
            <w:shd w:val="clear" w:color="auto" w:fill="auto"/>
            <w:noWrap/>
            <w:vAlign w:val="bottom"/>
            <w:hideMark/>
          </w:tcPr>
          <w:p w14:paraId="44F0342C" w14:textId="77777777" w:rsidR="008F3D62" w:rsidRPr="00FE4632" w:rsidRDefault="008F3D62" w:rsidP="001129C8">
            <w:pPr>
              <w:jc w:val="center"/>
              <w:rPr>
                <w:color w:val="000000"/>
                <w:sz w:val="22"/>
                <w:szCs w:val="22"/>
              </w:rPr>
            </w:pPr>
            <w:r w:rsidRPr="00FE4632">
              <w:rPr>
                <w:color w:val="000000"/>
                <w:sz w:val="22"/>
                <w:szCs w:val="22"/>
              </w:rPr>
              <w:t>$3,986</w:t>
            </w:r>
          </w:p>
        </w:tc>
      </w:tr>
    </w:tbl>
    <w:p w14:paraId="1932B7FB" w14:textId="77777777" w:rsidR="008F3D62" w:rsidRDefault="008F3D62" w:rsidP="008F3D62"/>
    <w:p w14:paraId="49C8C91D" w14:textId="7D2C8AEB" w:rsidR="008F3D62" w:rsidRDefault="008F3D62" w:rsidP="008F3D62">
      <w:pPr>
        <w:ind w:firstLine="360"/>
      </w:pPr>
      <w:r w:rsidRPr="00A9757E">
        <w:lastRenderedPageBreak/>
        <w:t>The</w:t>
      </w:r>
      <w:r>
        <w:t xml:space="preserve"> sub-alternatives of</w:t>
      </w:r>
      <w:r>
        <w:rPr>
          <w:b/>
        </w:rPr>
        <w:t xml:space="preserve"> Preferred Alternative 3 </w:t>
      </w:r>
      <w:r>
        <w:t>set trip limits during the designated “spawning months” (</w:t>
      </w:r>
      <w:r>
        <w:rPr>
          <w:b/>
        </w:rPr>
        <w:t>Action 5</w:t>
      </w:r>
      <w:r>
        <w:t>).   The realized severity of such impacts on a commercial trip would be based on the overall dependence a vessel has on mutton snapper, the ability of the vessel t</w:t>
      </w:r>
      <w:r w:rsidR="00262134">
        <w:t>o exceed the current trip limit</w:t>
      </w:r>
      <w:r>
        <w:t xml:space="preserve"> specified during </w:t>
      </w:r>
      <w:r w:rsidR="00262134">
        <w:t>May and June</w:t>
      </w:r>
      <w:r>
        <w:t xml:space="preserve"> in </w:t>
      </w:r>
      <w:r w:rsidR="00262134">
        <w:rPr>
          <w:b/>
        </w:rPr>
        <w:t>Alternative</w:t>
      </w:r>
      <w:r w:rsidRPr="00194F81">
        <w:rPr>
          <w:b/>
        </w:rPr>
        <w:t xml:space="preserve"> 1 (No Action)</w:t>
      </w:r>
      <w:r>
        <w:t xml:space="preserve">, and the vessel’s ability to substitute other species to make up for loss of revenue from reduced mutton snapper landings.  </w:t>
      </w:r>
      <w:r w:rsidRPr="00FE4632">
        <w:rPr>
          <w:b/>
        </w:rPr>
        <w:t>Table 4.8.5</w:t>
      </w:r>
      <w:r>
        <w:t xml:space="preserve"> shows estimated short-term reductions in the ex-vessel value of mutton snapper landings under trip limits specified in </w:t>
      </w:r>
      <w:r w:rsidRPr="00FE4632">
        <w:rPr>
          <w:b/>
        </w:rPr>
        <w:t>Preferred Alternative 3</w:t>
      </w:r>
      <w:r>
        <w:t xml:space="preserve"> and are based on reductions specified in </w:t>
      </w:r>
      <w:r w:rsidRPr="00FE4632">
        <w:rPr>
          <w:b/>
        </w:rPr>
        <w:t>Table 4.8.3</w:t>
      </w:r>
      <w:r w:rsidRPr="002B47A0">
        <w:t xml:space="preserve"> </w:t>
      </w:r>
      <w:r w:rsidRPr="00EA66C3">
        <w:t>in relati</w:t>
      </w:r>
      <w:r>
        <w:t>on to average mutton snapper landings from 2010-2014 (</w:t>
      </w:r>
      <w:r w:rsidRPr="00EA66C3">
        <w:rPr>
          <w:b/>
        </w:rPr>
        <w:t>Table 3.3.10</w:t>
      </w:r>
      <w:r>
        <w:t xml:space="preserve">).   In comparison to </w:t>
      </w:r>
      <w:r>
        <w:rPr>
          <w:b/>
        </w:rPr>
        <w:t>Alternative 1 (No A</w:t>
      </w:r>
      <w:r w:rsidRPr="00FE4632">
        <w:rPr>
          <w:b/>
        </w:rPr>
        <w:t>ction)</w:t>
      </w:r>
      <w:r>
        <w:t xml:space="preserve">, </w:t>
      </w:r>
      <w:r w:rsidRPr="00EA66C3">
        <w:rPr>
          <w:b/>
        </w:rPr>
        <w:t xml:space="preserve">Sub-alternative </w:t>
      </w:r>
      <w:r>
        <w:rPr>
          <w:b/>
        </w:rPr>
        <w:t>3e</w:t>
      </w:r>
      <w:r>
        <w:t xml:space="preserve"> specifies no retention during the “spawning months” and is expected to have the largest negative, short-term economic effect followed by </w:t>
      </w:r>
      <w:r w:rsidRPr="00EA66C3">
        <w:rPr>
          <w:b/>
        </w:rPr>
        <w:t>Sub-alternative</w:t>
      </w:r>
      <w:r>
        <w:t xml:space="preserve"> </w:t>
      </w:r>
      <w:r w:rsidRPr="00FE4632">
        <w:rPr>
          <w:b/>
        </w:rPr>
        <w:t>3a</w:t>
      </w:r>
      <w:r w:rsidRPr="008F3D62">
        <w:t>,</w:t>
      </w:r>
      <w:r>
        <w:rPr>
          <w:b/>
        </w:rPr>
        <w:t xml:space="preserve"> </w:t>
      </w:r>
      <w:r w:rsidRPr="00EA66C3">
        <w:rPr>
          <w:b/>
        </w:rPr>
        <w:t>Sub-alternative</w:t>
      </w:r>
      <w:r>
        <w:t xml:space="preserve"> </w:t>
      </w:r>
      <w:r w:rsidRPr="00FE4632">
        <w:rPr>
          <w:b/>
        </w:rPr>
        <w:t>3b</w:t>
      </w:r>
      <w:r>
        <w:t>,</w:t>
      </w:r>
      <w:r w:rsidRPr="002B47A0">
        <w:rPr>
          <w:b/>
        </w:rPr>
        <w:t xml:space="preserve"> </w:t>
      </w:r>
      <w:r>
        <w:rPr>
          <w:b/>
        </w:rPr>
        <w:t xml:space="preserve">Preferred </w:t>
      </w:r>
      <w:r w:rsidRPr="00EA66C3">
        <w:rPr>
          <w:b/>
        </w:rPr>
        <w:t>Sub-alternative</w:t>
      </w:r>
      <w:r>
        <w:t xml:space="preserve"> </w:t>
      </w:r>
      <w:r w:rsidRPr="00EA66C3">
        <w:rPr>
          <w:b/>
        </w:rPr>
        <w:t>3</w:t>
      </w:r>
      <w:r>
        <w:rPr>
          <w:b/>
        </w:rPr>
        <w:t>f</w:t>
      </w:r>
      <w:r w:rsidRPr="008F3D62">
        <w:t>,</w:t>
      </w:r>
      <w:r>
        <w:rPr>
          <w:b/>
        </w:rPr>
        <w:t xml:space="preserve"> </w:t>
      </w:r>
      <w:r w:rsidRPr="00EA66C3">
        <w:rPr>
          <w:b/>
        </w:rPr>
        <w:t>Sub-alternative</w:t>
      </w:r>
      <w:r>
        <w:t xml:space="preserve"> </w:t>
      </w:r>
      <w:r w:rsidRPr="00EA66C3">
        <w:rPr>
          <w:b/>
        </w:rPr>
        <w:t>3</w:t>
      </w:r>
      <w:r>
        <w:rPr>
          <w:b/>
        </w:rPr>
        <w:t>c</w:t>
      </w:r>
      <w:r w:rsidRPr="008F3D62">
        <w:t>,</w:t>
      </w:r>
      <w:r>
        <w:t xml:space="preserve"> and </w:t>
      </w:r>
      <w:r w:rsidRPr="00EA66C3">
        <w:rPr>
          <w:b/>
        </w:rPr>
        <w:t xml:space="preserve">Sub-alternative </w:t>
      </w:r>
      <w:r>
        <w:rPr>
          <w:b/>
        </w:rPr>
        <w:t>3d</w:t>
      </w:r>
      <w:r>
        <w:t xml:space="preserve">.   The decrease in ex-vessel value of mutton snapper landings expected to occur due to </w:t>
      </w:r>
      <w:r w:rsidRPr="00C904FB">
        <w:rPr>
          <w:b/>
        </w:rPr>
        <w:t xml:space="preserve">Preferred Sub-alternative </w:t>
      </w:r>
      <w:r>
        <w:rPr>
          <w:b/>
        </w:rPr>
        <w:t>3f</w:t>
      </w:r>
      <w:r>
        <w:t xml:space="preserve"> is $23,567 (2015 dollars).</w:t>
      </w:r>
    </w:p>
    <w:p w14:paraId="1D952949" w14:textId="77777777" w:rsidR="008F3D62" w:rsidRDefault="008F3D62" w:rsidP="008F3D62">
      <w:pPr>
        <w:rPr>
          <w:rFonts w:ascii="Arial" w:hAnsi="Arial" w:cs="Arial"/>
          <w:b/>
          <w:sz w:val="20"/>
          <w:szCs w:val="20"/>
        </w:rPr>
      </w:pPr>
    </w:p>
    <w:p w14:paraId="7E5D9701" w14:textId="77777777" w:rsidR="008F3D62" w:rsidRPr="00EA66C3" w:rsidRDefault="008F3D62" w:rsidP="008F3D62">
      <w:pPr>
        <w:rPr>
          <w:rFonts w:ascii="Arial" w:hAnsi="Arial" w:cs="Arial"/>
          <w:sz w:val="20"/>
          <w:szCs w:val="20"/>
        </w:rPr>
      </w:pPr>
      <w:r w:rsidRPr="00EA66C3">
        <w:rPr>
          <w:rFonts w:ascii="Arial" w:hAnsi="Arial" w:cs="Arial"/>
          <w:b/>
          <w:sz w:val="20"/>
          <w:szCs w:val="20"/>
        </w:rPr>
        <w:t>Table 4.8.5</w:t>
      </w:r>
      <w:r w:rsidRPr="00EA66C3">
        <w:rPr>
          <w:rFonts w:ascii="Arial" w:hAnsi="Arial" w:cs="Arial"/>
          <w:sz w:val="20"/>
          <w:szCs w:val="20"/>
        </w:rPr>
        <w:t>.  Estimated change in the ex-vessel value (2015 dollars) of commercial mutton snapper landings in the first year of implementation</w:t>
      </w:r>
      <w:r>
        <w:rPr>
          <w:rFonts w:ascii="Arial" w:hAnsi="Arial" w:cs="Arial"/>
          <w:sz w:val="20"/>
          <w:szCs w:val="20"/>
        </w:rPr>
        <w:t xml:space="preserve"> as a result of commercial trip limits during the “spawning months”, as specified in </w:t>
      </w:r>
      <w:r w:rsidRPr="00EA66C3">
        <w:rPr>
          <w:rFonts w:ascii="Arial" w:hAnsi="Arial" w:cs="Arial"/>
          <w:b/>
          <w:sz w:val="20"/>
          <w:szCs w:val="20"/>
        </w:rPr>
        <w:t xml:space="preserve">Preferred Alternative </w:t>
      </w:r>
      <w:r>
        <w:rPr>
          <w:rFonts w:ascii="Arial" w:hAnsi="Arial" w:cs="Arial"/>
          <w:b/>
          <w:sz w:val="20"/>
          <w:szCs w:val="20"/>
        </w:rPr>
        <w:t>3</w:t>
      </w:r>
      <w:r w:rsidRPr="00EA66C3">
        <w:rPr>
          <w:rFonts w:ascii="Arial" w:hAnsi="Arial" w:cs="Arial"/>
          <w:sz w:val="20"/>
          <w:szCs w:val="20"/>
        </w:rPr>
        <w:t>.</w:t>
      </w:r>
    </w:p>
    <w:tbl>
      <w:tblPr>
        <w:tblW w:w="9600" w:type="dxa"/>
        <w:tblInd w:w="118" w:type="dxa"/>
        <w:tblLook w:val="04A0" w:firstRow="1" w:lastRow="0" w:firstColumn="1" w:lastColumn="0" w:noHBand="0" w:noVBand="1"/>
      </w:tblPr>
      <w:tblGrid>
        <w:gridCol w:w="1300"/>
        <w:gridCol w:w="1300"/>
        <w:gridCol w:w="1300"/>
        <w:gridCol w:w="1300"/>
        <w:gridCol w:w="1640"/>
        <w:gridCol w:w="1460"/>
        <w:gridCol w:w="1300"/>
      </w:tblGrid>
      <w:tr w:rsidR="008F3D62" w14:paraId="39F37BC6" w14:textId="77777777" w:rsidTr="001129C8">
        <w:trPr>
          <w:trHeight w:val="340"/>
        </w:trPr>
        <w:tc>
          <w:tcPr>
            <w:tcW w:w="1300" w:type="dxa"/>
            <w:vMerge w:val="restart"/>
            <w:tcBorders>
              <w:top w:val="single" w:sz="8" w:space="0" w:color="auto"/>
              <w:left w:val="single" w:sz="8" w:space="0" w:color="auto"/>
              <w:bottom w:val="single" w:sz="8" w:space="0" w:color="000000"/>
              <w:right w:val="single" w:sz="8" w:space="0" w:color="auto"/>
            </w:tcBorders>
            <w:shd w:val="clear" w:color="000000" w:fill="D9D9D9"/>
            <w:vAlign w:val="bottom"/>
            <w:hideMark/>
          </w:tcPr>
          <w:p w14:paraId="6776F81F" w14:textId="77777777" w:rsidR="008F3D62" w:rsidRDefault="008F3D62" w:rsidP="001129C8">
            <w:pPr>
              <w:rPr>
                <w:b/>
                <w:bCs/>
                <w:color w:val="000000"/>
                <w:sz w:val="22"/>
                <w:szCs w:val="22"/>
              </w:rPr>
            </w:pPr>
            <w:r>
              <w:rPr>
                <w:b/>
                <w:bCs/>
                <w:color w:val="000000"/>
                <w:sz w:val="22"/>
                <w:szCs w:val="22"/>
              </w:rPr>
              <w:t>Spawning Season</w:t>
            </w:r>
          </w:p>
        </w:tc>
        <w:tc>
          <w:tcPr>
            <w:tcW w:w="7000" w:type="dxa"/>
            <w:gridSpan w:val="5"/>
            <w:tcBorders>
              <w:top w:val="single" w:sz="8" w:space="0" w:color="auto"/>
              <w:left w:val="nil"/>
              <w:bottom w:val="single" w:sz="8" w:space="0" w:color="auto"/>
              <w:right w:val="single" w:sz="8" w:space="0" w:color="000000"/>
            </w:tcBorders>
            <w:shd w:val="clear" w:color="000000" w:fill="D9D9D9"/>
            <w:noWrap/>
            <w:vAlign w:val="center"/>
            <w:hideMark/>
          </w:tcPr>
          <w:p w14:paraId="5A19B9B7" w14:textId="77777777" w:rsidR="008F3D62" w:rsidRDefault="008F3D62" w:rsidP="001129C8">
            <w:pPr>
              <w:jc w:val="center"/>
              <w:rPr>
                <w:b/>
                <w:bCs/>
                <w:color w:val="000000"/>
                <w:sz w:val="22"/>
                <w:szCs w:val="22"/>
              </w:rPr>
            </w:pPr>
            <w:r>
              <w:rPr>
                <w:b/>
                <w:bCs/>
                <w:color w:val="000000"/>
                <w:sz w:val="22"/>
                <w:szCs w:val="22"/>
              </w:rPr>
              <w:t>Trip Limit</w:t>
            </w:r>
          </w:p>
        </w:tc>
        <w:tc>
          <w:tcPr>
            <w:tcW w:w="1300" w:type="dxa"/>
            <w:tcBorders>
              <w:top w:val="single" w:sz="8" w:space="0" w:color="auto"/>
              <w:left w:val="nil"/>
              <w:bottom w:val="single" w:sz="8" w:space="0" w:color="auto"/>
              <w:right w:val="single" w:sz="8" w:space="0" w:color="000000"/>
            </w:tcBorders>
            <w:shd w:val="clear" w:color="000000" w:fill="D9D9D9"/>
            <w:vAlign w:val="center"/>
            <w:hideMark/>
          </w:tcPr>
          <w:p w14:paraId="27F6965F" w14:textId="77777777" w:rsidR="008F3D62" w:rsidRDefault="008F3D62" w:rsidP="001129C8">
            <w:pPr>
              <w:jc w:val="center"/>
              <w:rPr>
                <w:b/>
                <w:bCs/>
                <w:color w:val="000000"/>
                <w:sz w:val="22"/>
                <w:szCs w:val="22"/>
              </w:rPr>
            </w:pPr>
            <w:r>
              <w:rPr>
                <w:b/>
                <w:bCs/>
                <w:color w:val="000000"/>
                <w:sz w:val="22"/>
                <w:szCs w:val="22"/>
              </w:rPr>
              <w:t> </w:t>
            </w:r>
          </w:p>
        </w:tc>
      </w:tr>
      <w:tr w:rsidR="008F3D62" w14:paraId="27AA9357" w14:textId="77777777" w:rsidTr="001129C8">
        <w:trPr>
          <w:trHeight w:val="580"/>
        </w:trPr>
        <w:tc>
          <w:tcPr>
            <w:tcW w:w="1300" w:type="dxa"/>
            <w:vMerge/>
            <w:tcBorders>
              <w:top w:val="single" w:sz="8" w:space="0" w:color="auto"/>
              <w:left w:val="single" w:sz="8" w:space="0" w:color="auto"/>
              <w:bottom w:val="single" w:sz="8" w:space="0" w:color="000000"/>
              <w:right w:val="single" w:sz="8" w:space="0" w:color="auto"/>
            </w:tcBorders>
            <w:vAlign w:val="bottom"/>
            <w:hideMark/>
          </w:tcPr>
          <w:p w14:paraId="4CE03CC9" w14:textId="77777777" w:rsidR="008F3D62" w:rsidRDefault="008F3D62" w:rsidP="001129C8">
            <w:pPr>
              <w:rPr>
                <w:b/>
                <w:bCs/>
                <w:color w:val="000000"/>
                <w:sz w:val="22"/>
                <w:szCs w:val="22"/>
              </w:rPr>
            </w:pPr>
          </w:p>
        </w:tc>
        <w:tc>
          <w:tcPr>
            <w:tcW w:w="1300" w:type="dxa"/>
            <w:tcBorders>
              <w:top w:val="nil"/>
              <w:left w:val="nil"/>
              <w:bottom w:val="single" w:sz="8" w:space="0" w:color="auto"/>
              <w:right w:val="single" w:sz="8" w:space="0" w:color="auto"/>
            </w:tcBorders>
            <w:shd w:val="clear" w:color="000000" w:fill="D9D9D9"/>
            <w:vAlign w:val="bottom"/>
            <w:hideMark/>
          </w:tcPr>
          <w:p w14:paraId="5188CD66" w14:textId="77777777" w:rsidR="008F3D62" w:rsidRPr="00EA66C3" w:rsidRDefault="008F3D62" w:rsidP="001129C8">
            <w:pPr>
              <w:jc w:val="center"/>
              <w:rPr>
                <w:bCs/>
                <w:color w:val="000000"/>
                <w:sz w:val="22"/>
                <w:szCs w:val="22"/>
              </w:rPr>
            </w:pPr>
            <w:r w:rsidRPr="00EA66C3">
              <w:rPr>
                <w:bCs/>
                <w:color w:val="000000"/>
                <w:sz w:val="22"/>
                <w:szCs w:val="22"/>
              </w:rPr>
              <w:t>No Retention</w:t>
            </w:r>
          </w:p>
        </w:tc>
        <w:tc>
          <w:tcPr>
            <w:tcW w:w="1300" w:type="dxa"/>
            <w:tcBorders>
              <w:top w:val="nil"/>
              <w:left w:val="nil"/>
              <w:bottom w:val="single" w:sz="8" w:space="0" w:color="auto"/>
              <w:right w:val="single" w:sz="8" w:space="0" w:color="auto"/>
            </w:tcBorders>
            <w:shd w:val="clear" w:color="000000" w:fill="D9D9D9"/>
            <w:vAlign w:val="bottom"/>
            <w:hideMark/>
          </w:tcPr>
          <w:p w14:paraId="083CAEDB" w14:textId="77777777" w:rsidR="008F3D62" w:rsidRPr="00EA66C3" w:rsidRDefault="008F3D62" w:rsidP="001129C8">
            <w:pPr>
              <w:jc w:val="center"/>
              <w:rPr>
                <w:bCs/>
                <w:color w:val="000000"/>
                <w:sz w:val="22"/>
                <w:szCs w:val="22"/>
              </w:rPr>
            </w:pPr>
            <w:r w:rsidRPr="00EA66C3">
              <w:rPr>
                <w:bCs/>
                <w:color w:val="000000"/>
                <w:sz w:val="22"/>
                <w:szCs w:val="22"/>
              </w:rPr>
              <w:t>2 fish/ person/day</w:t>
            </w:r>
          </w:p>
        </w:tc>
        <w:tc>
          <w:tcPr>
            <w:tcW w:w="1300" w:type="dxa"/>
            <w:tcBorders>
              <w:top w:val="nil"/>
              <w:left w:val="nil"/>
              <w:bottom w:val="single" w:sz="8" w:space="0" w:color="auto"/>
              <w:right w:val="single" w:sz="8" w:space="0" w:color="auto"/>
            </w:tcBorders>
            <w:shd w:val="clear" w:color="000000" w:fill="D9D9D9"/>
            <w:vAlign w:val="bottom"/>
            <w:hideMark/>
          </w:tcPr>
          <w:p w14:paraId="1B0CB125" w14:textId="77777777" w:rsidR="008F3D62" w:rsidRDefault="008F3D62" w:rsidP="001129C8">
            <w:pPr>
              <w:jc w:val="center"/>
              <w:rPr>
                <w:color w:val="000000"/>
                <w:sz w:val="22"/>
                <w:szCs w:val="22"/>
              </w:rPr>
            </w:pPr>
            <w:r>
              <w:rPr>
                <w:color w:val="000000"/>
                <w:sz w:val="22"/>
                <w:szCs w:val="22"/>
              </w:rPr>
              <w:t>3 fish/ person/day</w:t>
            </w:r>
          </w:p>
        </w:tc>
        <w:tc>
          <w:tcPr>
            <w:tcW w:w="1640" w:type="dxa"/>
            <w:tcBorders>
              <w:top w:val="nil"/>
              <w:left w:val="nil"/>
              <w:bottom w:val="single" w:sz="8" w:space="0" w:color="auto"/>
              <w:right w:val="single" w:sz="8" w:space="0" w:color="auto"/>
            </w:tcBorders>
            <w:shd w:val="clear" w:color="000000" w:fill="D9D9D9"/>
            <w:vAlign w:val="bottom"/>
            <w:hideMark/>
          </w:tcPr>
          <w:p w14:paraId="50F4AB03" w14:textId="77777777" w:rsidR="008F3D62" w:rsidRDefault="008F3D62" w:rsidP="001129C8">
            <w:pPr>
              <w:jc w:val="center"/>
              <w:rPr>
                <w:b/>
                <w:bCs/>
                <w:color w:val="000000"/>
                <w:sz w:val="22"/>
                <w:szCs w:val="22"/>
              </w:rPr>
            </w:pPr>
            <w:r>
              <w:rPr>
                <w:b/>
                <w:bCs/>
                <w:color w:val="000000"/>
                <w:sz w:val="22"/>
                <w:szCs w:val="22"/>
              </w:rPr>
              <w:t>5 fish/ person/day</w:t>
            </w:r>
          </w:p>
        </w:tc>
        <w:tc>
          <w:tcPr>
            <w:tcW w:w="1460" w:type="dxa"/>
            <w:tcBorders>
              <w:top w:val="nil"/>
              <w:left w:val="nil"/>
              <w:bottom w:val="single" w:sz="8" w:space="0" w:color="auto"/>
              <w:right w:val="single" w:sz="8" w:space="0" w:color="auto"/>
            </w:tcBorders>
            <w:shd w:val="clear" w:color="000000" w:fill="D9D9D9"/>
            <w:vAlign w:val="bottom"/>
            <w:hideMark/>
          </w:tcPr>
          <w:p w14:paraId="5551725F" w14:textId="77777777" w:rsidR="008F3D62" w:rsidRDefault="008F3D62" w:rsidP="001129C8">
            <w:pPr>
              <w:jc w:val="center"/>
              <w:rPr>
                <w:color w:val="000000"/>
                <w:sz w:val="22"/>
                <w:szCs w:val="22"/>
              </w:rPr>
            </w:pPr>
            <w:r>
              <w:rPr>
                <w:color w:val="000000"/>
                <w:sz w:val="22"/>
                <w:szCs w:val="22"/>
              </w:rPr>
              <w:t>10 fish/ vessel/day</w:t>
            </w:r>
          </w:p>
        </w:tc>
        <w:tc>
          <w:tcPr>
            <w:tcW w:w="1300" w:type="dxa"/>
            <w:tcBorders>
              <w:top w:val="nil"/>
              <w:left w:val="nil"/>
              <w:bottom w:val="single" w:sz="8" w:space="0" w:color="auto"/>
              <w:right w:val="single" w:sz="8" w:space="0" w:color="auto"/>
            </w:tcBorders>
            <w:shd w:val="clear" w:color="000000" w:fill="D9D9D9"/>
            <w:vAlign w:val="bottom"/>
            <w:hideMark/>
          </w:tcPr>
          <w:p w14:paraId="309D9003" w14:textId="77777777" w:rsidR="008F3D62" w:rsidRDefault="008F3D62" w:rsidP="001129C8">
            <w:pPr>
              <w:jc w:val="center"/>
              <w:rPr>
                <w:color w:val="000000"/>
                <w:sz w:val="22"/>
                <w:szCs w:val="22"/>
              </w:rPr>
            </w:pPr>
            <w:r>
              <w:rPr>
                <w:color w:val="000000"/>
                <w:sz w:val="22"/>
                <w:szCs w:val="22"/>
              </w:rPr>
              <w:t>12 fish/ vessel/day</w:t>
            </w:r>
          </w:p>
        </w:tc>
      </w:tr>
      <w:tr w:rsidR="008F3D62" w14:paraId="070B5FFC" w14:textId="77777777" w:rsidTr="001129C8">
        <w:trPr>
          <w:trHeight w:val="20"/>
        </w:trPr>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55E338AF" w14:textId="77777777" w:rsidR="008F3D62" w:rsidRDefault="008F3D62" w:rsidP="001129C8">
            <w:pPr>
              <w:rPr>
                <w:color w:val="000000"/>
                <w:sz w:val="22"/>
                <w:szCs w:val="22"/>
              </w:rPr>
            </w:pPr>
            <w:r>
              <w:rPr>
                <w:color w:val="000000"/>
                <w:sz w:val="22"/>
                <w:szCs w:val="22"/>
              </w:rPr>
              <w:t>May-June</w:t>
            </w:r>
          </w:p>
        </w:tc>
        <w:tc>
          <w:tcPr>
            <w:tcW w:w="1300" w:type="dxa"/>
            <w:tcBorders>
              <w:top w:val="nil"/>
              <w:left w:val="nil"/>
              <w:bottom w:val="single" w:sz="8" w:space="0" w:color="auto"/>
              <w:right w:val="single" w:sz="8" w:space="0" w:color="auto"/>
            </w:tcBorders>
            <w:shd w:val="clear" w:color="auto" w:fill="auto"/>
            <w:noWrap/>
            <w:vAlign w:val="bottom"/>
            <w:hideMark/>
          </w:tcPr>
          <w:p w14:paraId="090287BD" w14:textId="77777777" w:rsidR="008F3D62" w:rsidRDefault="008F3D62" w:rsidP="001129C8">
            <w:pPr>
              <w:jc w:val="center"/>
              <w:rPr>
                <w:color w:val="000000"/>
                <w:sz w:val="22"/>
                <w:szCs w:val="22"/>
              </w:rPr>
            </w:pPr>
            <w:r>
              <w:rPr>
                <w:color w:val="000000"/>
                <w:sz w:val="22"/>
                <w:szCs w:val="22"/>
              </w:rPr>
              <w:t>$62,037</w:t>
            </w:r>
          </w:p>
        </w:tc>
        <w:tc>
          <w:tcPr>
            <w:tcW w:w="1300" w:type="dxa"/>
            <w:tcBorders>
              <w:top w:val="nil"/>
              <w:left w:val="nil"/>
              <w:bottom w:val="single" w:sz="8" w:space="0" w:color="auto"/>
              <w:right w:val="single" w:sz="8" w:space="0" w:color="auto"/>
            </w:tcBorders>
            <w:shd w:val="clear" w:color="auto" w:fill="auto"/>
            <w:noWrap/>
            <w:vAlign w:val="bottom"/>
            <w:hideMark/>
          </w:tcPr>
          <w:p w14:paraId="411E224B" w14:textId="77777777" w:rsidR="008F3D62" w:rsidRDefault="008F3D62" w:rsidP="001129C8">
            <w:pPr>
              <w:jc w:val="center"/>
              <w:rPr>
                <w:color w:val="000000"/>
                <w:sz w:val="22"/>
                <w:szCs w:val="22"/>
              </w:rPr>
            </w:pPr>
            <w:r>
              <w:rPr>
                <w:color w:val="000000"/>
                <w:sz w:val="22"/>
                <w:szCs w:val="22"/>
              </w:rPr>
              <w:t>$34,658</w:t>
            </w:r>
          </w:p>
        </w:tc>
        <w:tc>
          <w:tcPr>
            <w:tcW w:w="1300" w:type="dxa"/>
            <w:tcBorders>
              <w:top w:val="nil"/>
              <w:left w:val="nil"/>
              <w:bottom w:val="single" w:sz="8" w:space="0" w:color="auto"/>
              <w:right w:val="single" w:sz="8" w:space="0" w:color="auto"/>
            </w:tcBorders>
            <w:shd w:val="clear" w:color="auto" w:fill="auto"/>
            <w:noWrap/>
            <w:vAlign w:val="bottom"/>
            <w:hideMark/>
          </w:tcPr>
          <w:p w14:paraId="3C167FC6" w14:textId="77777777" w:rsidR="008F3D62" w:rsidRDefault="008F3D62" w:rsidP="001129C8">
            <w:pPr>
              <w:jc w:val="center"/>
              <w:rPr>
                <w:color w:val="000000"/>
                <w:sz w:val="22"/>
                <w:szCs w:val="22"/>
              </w:rPr>
            </w:pPr>
            <w:r>
              <w:rPr>
                <w:color w:val="000000"/>
                <w:sz w:val="22"/>
                <w:szCs w:val="22"/>
              </w:rPr>
              <w:t>$28,246</w:t>
            </w:r>
          </w:p>
        </w:tc>
        <w:tc>
          <w:tcPr>
            <w:tcW w:w="1640" w:type="dxa"/>
            <w:tcBorders>
              <w:top w:val="nil"/>
              <w:left w:val="nil"/>
              <w:bottom w:val="single" w:sz="8" w:space="0" w:color="auto"/>
              <w:right w:val="single" w:sz="8" w:space="0" w:color="auto"/>
            </w:tcBorders>
            <w:shd w:val="clear" w:color="auto" w:fill="auto"/>
            <w:noWrap/>
            <w:vAlign w:val="bottom"/>
            <w:hideMark/>
          </w:tcPr>
          <w:p w14:paraId="46309151" w14:textId="77777777" w:rsidR="008F3D62" w:rsidRDefault="008F3D62" w:rsidP="001129C8">
            <w:pPr>
              <w:jc w:val="center"/>
              <w:rPr>
                <w:color w:val="000000"/>
                <w:sz w:val="22"/>
                <w:szCs w:val="22"/>
              </w:rPr>
            </w:pPr>
            <w:r>
              <w:rPr>
                <w:color w:val="000000"/>
                <w:sz w:val="22"/>
                <w:szCs w:val="22"/>
              </w:rPr>
              <w:t>$14,903</w:t>
            </w:r>
          </w:p>
        </w:tc>
        <w:tc>
          <w:tcPr>
            <w:tcW w:w="1460" w:type="dxa"/>
            <w:tcBorders>
              <w:top w:val="nil"/>
              <w:left w:val="nil"/>
              <w:bottom w:val="single" w:sz="8" w:space="0" w:color="auto"/>
              <w:right w:val="single" w:sz="8" w:space="0" w:color="auto"/>
            </w:tcBorders>
            <w:shd w:val="clear" w:color="auto" w:fill="auto"/>
            <w:noWrap/>
            <w:vAlign w:val="bottom"/>
            <w:hideMark/>
          </w:tcPr>
          <w:p w14:paraId="5043A7B7" w14:textId="77777777" w:rsidR="008F3D62" w:rsidRDefault="008F3D62" w:rsidP="001129C8">
            <w:pPr>
              <w:jc w:val="center"/>
              <w:rPr>
                <w:color w:val="000000"/>
                <w:sz w:val="22"/>
                <w:szCs w:val="22"/>
              </w:rPr>
            </w:pPr>
            <w:r>
              <w:rPr>
                <w:color w:val="000000"/>
                <w:sz w:val="22"/>
                <w:szCs w:val="22"/>
              </w:rPr>
              <w:t>$7,105</w:t>
            </w:r>
          </w:p>
        </w:tc>
        <w:tc>
          <w:tcPr>
            <w:tcW w:w="1300" w:type="dxa"/>
            <w:tcBorders>
              <w:top w:val="nil"/>
              <w:left w:val="nil"/>
              <w:bottom w:val="single" w:sz="8" w:space="0" w:color="auto"/>
              <w:right w:val="single" w:sz="8" w:space="0" w:color="auto"/>
            </w:tcBorders>
            <w:shd w:val="clear" w:color="auto" w:fill="auto"/>
            <w:noWrap/>
            <w:vAlign w:val="bottom"/>
            <w:hideMark/>
          </w:tcPr>
          <w:p w14:paraId="4E8608C5" w14:textId="77777777" w:rsidR="008F3D62" w:rsidRDefault="008F3D62" w:rsidP="001129C8">
            <w:pPr>
              <w:jc w:val="center"/>
              <w:rPr>
                <w:color w:val="000000"/>
                <w:sz w:val="22"/>
                <w:szCs w:val="22"/>
              </w:rPr>
            </w:pPr>
            <w:r>
              <w:rPr>
                <w:color w:val="000000"/>
                <w:sz w:val="22"/>
                <w:szCs w:val="22"/>
              </w:rPr>
              <w:t>$4,852</w:t>
            </w:r>
          </w:p>
        </w:tc>
      </w:tr>
      <w:tr w:rsidR="008F3D62" w14:paraId="0290DA86" w14:textId="77777777" w:rsidTr="001129C8">
        <w:trPr>
          <w:trHeight w:val="20"/>
        </w:trPr>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5A6E0808" w14:textId="77777777" w:rsidR="008F3D62" w:rsidRDefault="008F3D62" w:rsidP="001129C8">
            <w:pPr>
              <w:rPr>
                <w:b/>
                <w:bCs/>
                <w:color w:val="000000"/>
                <w:sz w:val="22"/>
                <w:szCs w:val="22"/>
              </w:rPr>
            </w:pPr>
            <w:r>
              <w:rPr>
                <w:b/>
                <w:bCs/>
                <w:color w:val="000000"/>
                <w:sz w:val="22"/>
                <w:szCs w:val="22"/>
              </w:rPr>
              <w:t>April-June</w:t>
            </w:r>
          </w:p>
        </w:tc>
        <w:tc>
          <w:tcPr>
            <w:tcW w:w="1300" w:type="dxa"/>
            <w:tcBorders>
              <w:top w:val="nil"/>
              <w:left w:val="nil"/>
              <w:bottom w:val="single" w:sz="8" w:space="0" w:color="auto"/>
              <w:right w:val="single" w:sz="8" w:space="0" w:color="auto"/>
            </w:tcBorders>
            <w:shd w:val="clear" w:color="auto" w:fill="auto"/>
            <w:noWrap/>
            <w:vAlign w:val="bottom"/>
            <w:hideMark/>
          </w:tcPr>
          <w:p w14:paraId="4A3711AB" w14:textId="77777777" w:rsidR="008F3D62" w:rsidRDefault="008F3D62" w:rsidP="001129C8">
            <w:pPr>
              <w:jc w:val="center"/>
              <w:rPr>
                <w:color w:val="000000"/>
                <w:sz w:val="22"/>
                <w:szCs w:val="22"/>
              </w:rPr>
            </w:pPr>
            <w:r>
              <w:rPr>
                <w:color w:val="000000"/>
                <w:sz w:val="22"/>
                <w:szCs w:val="22"/>
              </w:rPr>
              <w:t>$72,262</w:t>
            </w:r>
          </w:p>
        </w:tc>
        <w:tc>
          <w:tcPr>
            <w:tcW w:w="1300" w:type="dxa"/>
            <w:tcBorders>
              <w:top w:val="nil"/>
              <w:left w:val="nil"/>
              <w:bottom w:val="single" w:sz="8" w:space="0" w:color="auto"/>
              <w:right w:val="single" w:sz="8" w:space="0" w:color="auto"/>
            </w:tcBorders>
            <w:shd w:val="clear" w:color="auto" w:fill="auto"/>
            <w:noWrap/>
            <w:vAlign w:val="bottom"/>
            <w:hideMark/>
          </w:tcPr>
          <w:p w14:paraId="3DADA324" w14:textId="77777777" w:rsidR="008F3D62" w:rsidRDefault="008F3D62" w:rsidP="001129C8">
            <w:pPr>
              <w:jc w:val="center"/>
              <w:rPr>
                <w:color w:val="000000"/>
                <w:sz w:val="22"/>
                <w:szCs w:val="22"/>
              </w:rPr>
            </w:pPr>
            <w:r>
              <w:rPr>
                <w:color w:val="000000"/>
                <w:sz w:val="22"/>
                <w:szCs w:val="22"/>
              </w:rPr>
              <w:t>$40,723</w:t>
            </w:r>
          </w:p>
        </w:tc>
        <w:tc>
          <w:tcPr>
            <w:tcW w:w="1300" w:type="dxa"/>
            <w:tcBorders>
              <w:top w:val="nil"/>
              <w:left w:val="nil"/>
              <w:bottom w:val="single" w:sz="8" w:space="0" w:color="auto"/>
              <w:right w:val="single" w:sz="8" w:space="0" w:color="auto"/>
            </w:tcBorders>
            <w:shd w:val="clear" w:color="auto" w:fill="auto"/>
            <w:noWrap/>
            <w:vAlign w:val="bottom"/>
            <w:hideMark/>
          </w:tcPr>
          <w:p w14:paraId="495863A2" w14:textId="77777777" w:rsidR="008F3D62" w:rsidRDefault="008F3D62" w:rsidP="001129C8">
            <w:pPr>
              <w:jc w:val="center"/>
              <w:rPr>
                <w:color w:val="000000"/>
                <w:sz w:val="22"/>
                <w:szCs w:val="22"/>
              </w:rPr>
            </w:pPr>
            <w:r>
              <w:rPr>
                <w:color w:val="000000"/>
                <w:sz w:val="22"/>
                <w:szCs w:val="22"/>
              </w:rPr>
              <w:t>$33,445</w:t>
            </w:r>
          </w:p>
        </w:tc>
        <w:tc>
          <w:tcPr>
            <w:tcW w:w="1640" w:type="dxa"/>
            <w:tcBorders>
              <w:top w:val="nil"/>
              <w:left w:val="nil"/>
              <w:bottom w:val="single" w:sz="8" w:space="0" w:color="auto"/>
              <w:right w:val="single" w:sz="8" w:space="0" w:color="auto"/>
            </w:tcBorders>
            <w:shd w:val="clear" w:color="auto" w:fill="auto"/>
            <w:noWrap/>
            <w:vAlign w:val="bottom"/>
            <w:hideMark/>
          </w:tcPr>
          <w:p w14:paraId="5EF32999" w14:textId="77777777" w:rsidR="008F3D62" w:rsidRPr="00EA66C3" w:rsidRDefault="008F3D62" w:rsidP="001129C8">
            <w:pPr>
              <w:jc w:val="center"/>
              <w:rPr>
                <w:b/>
                <w:color w:val="000000"/>
                <w:sz w:val="22"/>
                <w:szCs w:val="22"/>
              </w:rPr>
            </w:pPr>
            <w:r w:rsidRPr="00EA66C3">
              <w:rPr>
                <w:b/>
                <w:color w:val="000000"/>
                <w:sz w:val="22"/>
                <w:szCs w:val="22"/>
              </w:rPr>
              <w:t>$23,567</w:t>
            </w:r>
          </w:p>
        </w:tc>
        <w:tc>
          <w:tcPr>
            <w:tcW w:w="1460" w:type="dxa"/>
            <w:tcBorders>
              <w:top w:val="nil"/>
              <w:left w:val="nil"/>
              <w:bottom w:val="single" w:sz="8" w:space="0" w:color="auto"/>
              <w:right w:val="single" w:sz="8" w:space="0" w:color="auto"/>
            </w:tcBorders>
            <w:shd w:val="clear" w:color="auto" w:fill="auto"/>
            <w:noWrap/>
            <w:vAlign w:val="bottom"/>
            <w:hideMark/>
          </w:tcPr>
          <w:p w14:paraId="318FB411" w14:textId="77777777" w:rsidR="008F3D62" w:rsidRDefault="008F3D62" w:rsidP="001129C8">
            <w:pPr>
              <w:jc w:val="center"/>
              <w:rPr>
                <w:color w:val="000000"/>
                <w:sz w:val="22"/>
                <w:szCs w:val="22"/>
              </w:rPr>
            </w:pPr>
            <w:r>
              <w:rPr>
                <w:color w:val="000000"/>
                <w:sz w:val="22"/>
                <w:szCs w:val="22"/>
              </w:rPr>
              <w:t>$8,664</w:t>
            </w:r>
          </w:p>
        </w:tc>
        <w:tc>
          <w:tcPr>
            <w:tcW w:w="1300" w:type="dxa"/>
            <w:tcBorders>
              <w:top w:val="nil"/>
              <w:left w:val="nil"/>
              <w:bottom w:val="single" w:sz="8" w:space="0" w:color="auto"/>
              <w:right w:val="single" w:sz="8" w:space="0" w:color="auto"/>
            </w:tcBorders>
            <w:shd w:val="clear" w:color="auto" w:fill="auto"/>
            <w:noWrap/>
            <w:vAlign w:val="bottom"/>
            <w:hideMark/>
          </w:tcPr>
          <w:p w14:paraId="70FBAFB6" w14:textId="77777777" w:rsidR="008F3D62" w:rsidRDefault="008F3D62" w:rsidP="001129C8">
            <w:pPr>
              <w:jc w:val="center"/>
              <w:rPr>
                <w:color w:val="000000"/>
                <w:sz w:val="22"/>
                <w:szCs w:val="22"/>
              </w:rPr>
            </w:pPr>
            <w:r>
              <w:rPr>
                <w:color w:val="000000"/>
                <w:sz w:val="22"/>
                <w:szCs w:val="22"/>
              </w:rPr>
              <w:t>$6,065</w:t>
            </w:r>
          </w:p>
        </w:tc>
      </w:tr>
      <w:tr w:rsidR="008F3D62" w14:paraId="233B7C93" w14:textId="77777777" w:rsidTr="001129C8">
        <w:trPr>
          <w:trHeight w:val="20"/>
        </w:trPr>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0A1BEE78" w14:textId="77777777" w:rsidR="008F3D62" w:rsidRDefault="008F3D62" w:rsidP="001129C8">
            <w:pPr>
              <w:rPr>
                <w:color w:val="000000"/>
                <w:sz w:val="22"/>
                <w:szCs w:val="22"/>
              </w:rPr>
            </w:pPr>
            <w:r>
              <w:rPr>
                <w:color w:val="000000"/>
                <w:sz w:val="22"/>
                <w:szCs w:val="22"/>
              </w:rPr>
              <w:t>April-July</w:t>
            </w:r>
          </w:p>
        </w:tc>
        <w:tc>
          <w:tcPr>
            <w:tcW w:w="1300" w:type="dxa"/>
            <w:tcBorders>
              <w:top w:val="nil"/>
              <w:left w:val="nil"/>
              <w:bottom w:val="single" w:sz="8" w:space="0" w:color="auto"/>
              <w:right w:val="single" w:sz="8" w:space="0" w:color="auto"/>
            </w:tcBorders>
            <w:shd w:val="clear" w:color="auto" w:fill="auto"/>
            <w:noWrap/>
            <w:vAlign w:val="bottom"/>
            <w:hideMark/>
          </w:tcPr>
          <w:p w14:paraId="6C983661" w14:textId="77777777" w:rsidR="008F3D62" w:rsidRDefault="008F3D62" w:rsidP="001129C8">
            <w:pPr>
              <w:jc w:val="center"/>
              <w:rPr>
                <w:color w:val="000000"/>
                <w:sz w:val="22"/>
                <w:szCs w:val="22"/>
              </w:rPr>
            </w:pPr>
            <w:r>
              <w:rPr>
                <w:color w:val="000000"/>
                <w:sz w:val="22"/>
                <w:szCs w:val="22"/>
              </w:rPr>
              <w:t>$91,150</w:t>
            </w:r>
          </w:p>
        </w:tc>
        <w:tc>
          <w:tcPr>
            <w:tcW w:w="1300" w:type="dxa"/>
            <w:tcBorders>
              <w:top w:val="nil"/>
              <w:left w:val="nil"/>
              <w:bottom w:val="single" w:sz="8" w:space="0" w:color="auto"/>
              <w:right w:val="single" w:sz="8" w:space="0" w:color="auto"/>
            </w:tcBorders>
            <w:shd w:val="clear" w:color="auto" w:fill="auto"/>
            <w:noWrap/>
            <w:vAlign w:val="bottom"/>
            <w:hideMark/>
          </w:tcPr>
          <w:p w14:paraId="266B0E55" w14:textId="77777777" w:rsidR="008F3D62" w:rsidRDefault="008F3D62" w:rsidP="001129C8">
            <w:pPr>
              <w:jc w:val="center"/>
              <w:rPr>
                <w:color w:val="000000"/>
                <w:sz w:val="22"/>
                <w:szCs w:val="22"/>
              </w:rPr>
            </w:pPr>
            <w:r>
              <w:rPr>
                <w:color w:val="000000"/>
                <w:sz w:val="22"/>
                <w:szCs w:val="22"/>
              </w:rPr>
              <w:t>$51,294</w:t>
            </w:r>
          </w:p>
        </w:tc>
        <w:tc>
          <w:tcPr>
            <w:tcW w:w="1300" w:type="dxa"/>
            <w:tcBorders>
              <w:top w:val="nil"/>
              <w:left w:val="nil"/>
              <w:bottom w:val="single" w:sz="8" w:space="0" w:color="auto"/>
              <w:right w:val="single" w:sz="8" w:space="0" w:color="auto"/>
            </w:tcBorders>
            <w:shd w:val="clear" w:color="auto" w:fill="auto"/>
            <w:noWrap/>
            <w:vAlign w:val="bottom"/>
            <w:hideMark/>
          </w:tcPr>
          <w:p w14:paraId="74119B2F" w14:textId="77777777" w:rsidR="008F3D62" w:rsidRDefault="008F3D62" w:rsidP="001129C8">
            <w:pPr>
              <w:jc w:val="center"/>
              <w:rPr>
                <w:color w:val="000000"/>
                <w:sz w:val="22"/>
                <w:szCs w:val="22"/>
              </w:rPr>
            </w:pPr>
            <w:r>
              <w:rPr>
                <w:color w:val="000000"/>
                <w:sz w:val="22"/>
                <w:szCs w:val="22"/>
              </w:rPr>
              <w:t>$41,936</w:t>
            </w:r>
          </w:p>
        </w:tc>
        <w:tc>
          <w:tcPr>
            <w:tcW w:w="1640" w:type="dxa"/>
            <w:tcBorders>
              <w:top w:val="nil"/>
              <w:left w:val="nil"/>
              <w:bottom w:val="single" w:sz="8" w:space="0" w:color="auto"/>
              <w:right w:val="single" w:sz="8" w:space="0" w:color="auto"/>
            </w:tcBorders>
            <w:shd w:val="clear" w:color="auto" w:fill="auto"/>
            <w:noWrap/>
            <w:vAlign w:val="bottom"/>
            <w:hideMark/>
          </w:tcPr>
          <w:p w14:paraId="627B3EC7" w14:textId="77777777" w:rsidR="008F3D62" w:rsidRDefault="008F3D62" w:rsidP="001129C8">
            <w:pPr>
              <w:jc w:val="center"/>
              <w:rPr>
                <w:color w:val="000000"/>
                <w:sz w:val="22"/>
                <w:szCs w:val="22"/>
              </w:rPr>
            </w:pPr>
            <w:r>
              <w:rPr>
                <w:color w:val="000000"/>
                <w:sz w:val="22"/>
                <w:szCs w:val="22"/>
              </w:rPr>
              <w:t>$29,632</w:t>
            </w:r>
          </w:p>
        </w:tc>
        <w:tc>
          <w:tcPr>
            <w:tcW w:w="1460" w:type="dxa"/>
            <w:tcBorders>
              <w:top w:val="nil"/>
              <w:left w:val="nil"/>
              <w:bottom w:val="single" w:sz="8" w:space="0" w:color="auto"/>
              <w:right w:val="single" w:sz="8" w:space="0" w:color="auto"/>
            </w:tcBorders>
            <w:shd w:val="clear" w:color="auto" w:fill="auto"/>
            <w:noWrap/>
            <w:vAlign w:val="bottom"/>
            <w:hideMark/>
          </w:tcPr>
          <w:p w14:paraId="2D2436EE" w14:textId="77777777" w:rsidR="008F3D62" w:rsidRDefault="008F3D62" w:rsidP="001129C8">
            <w:pPr>
              <w:jc w:val="center"/>
              <w:rPr>
                <w:color w:val="000000"/>
                <w:sz w:val="22"/>
                <w:szCs w:val="22"/>
              </w:rPr>
            </w:pPr>
            <w:r>
              <w:rPr>
                <w:color w:val="000000"/>
                <w:sz w:val="22"/>
                <w:szCs w:val="22"/>
              </w:rPr>
              <w:t>$11,957</w:t>
            </w:r>
          </w:p>
        </w:tc>
        <w:tc>
          <w:tcPr>
            <w:tcW w:w="1300" w:type="dxa"/>
            <w:tcBorders>
              <w:top w:val="nil"/>
              <w:left w:val="nil"/>
              <w:bottom w:val="single" w:sz="8" w:space="0" w:color="auto"/>
              <w:right w:val="single" w:sz="8" w:space="0" w:color="auto"/>
            </w:tcBorders>
            <w:shd w:val="clear" w:color="auto" w:fill="auto"/>
            <w:noWrap/>
            <w:vAlign w:val="bottom"/>
            <w:hideMark/>
          </w:tcPr>
          <w:p w14:paraId="615C0BBF" w14:textId="77777777" w:rsidR="008F3D62" w:rsidRDefault="008F3D62" w:rsidP="001129C8">
            <w:pPr>
              <w:jc w:val="center"/>
              <w:rPr>
                <w:color w:val="000000"/>
                <w:sz w:val="22"/>
                <w:szCs w:val="22"/>
              </w:rPr>
            </w:pPr>
            <w:r>
              <w:rPr>
                <w:color w:val="000000"/>
                <w:sz w:val="22"/>
                <w:szCs w:val="22"/>
              </w:rPr>
              <w:t>$8,838</w:t>
            </w:r>
          </w:p>
        </w:tc>
      </w:tr>
      <w:tr w:rsidR="008F3D62" w14:paraId="1B186F90" w14:textId="77777777" w:rsidTr="001129C8">
        <w:trPr>
          <w:trHeight w:val="20"/>
        </w:trPr>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3C26D33E" w14:textId="77777777" w:rsidR="008F3D62" w:rsidRDefault="008F3D62" w:rsidP="001129C8">
            <w:pPr>
              <w:rPr>
                <w:color w:val="000000"/>
                <w:sz w:val="22"/>
                <w:szCs w:val="22"/>
              </w:rPr>
            </w:pPr>
            <w:r>
              <w:rPr>
                <w:color w:val="000000"/>
                <w:sz w:val="22"/>
                <w:szCs w:val="22"/>
              </w:rPr>
              <w:t>May-July</w:t>
            </w:r>
          </w:p>
        </w:tc>
        <w:tc>
          <w:tcPr>
            <w:tcW w:w="1300" w:type="dxa"/>
            <w:tcBorders>
              <w:top w:val="nil"/>
              <w:left w:val="nil"/>
              <w:bottom w:val="single" w:sz="8" w:space="0" w:color="auto"/>
              <w:right w:val="single" w:sz="8" w:space="0" w:color="auto"/>
            </w:tcBorders>
            <w:shd w:val="clear" w:color="auto" w:fill="auto"/>
            <w:noWrap/>
            <w:vAlign w:val="bottom"/>
            <w:hideMark/>
          </w:tcPr>
          <w:p w14:paraId="3882C212" w14:textId="77777777" w:rsidR="008F3D62" w:rsidRDefault="008F3D62" w:rsidP="001129C8">
            <w:pPr>
              <w:jc w:val="center"/>
              <w:rPr>
                <w:color w:val="000000"/>
                <w:sz w:val="22"/>
                <w:szCs w:val="22"/>
              </w:rPr>
            </w:pPr>
            <w:r>
              <w:rPr>
                <w:color w:val="000000"/>
                <w:sz w:val="22"/>
                <w:szCs w:val="22"/>
              </w:rPr>
              <w:t>$80,753</w:t>
            </w:r>
          </w:p>
        </w:tc>
        <w:tc>
          <w:tcPr>
            <w:tcW w:w="1300" w:type="dxa"/>
            <w:tcBorders>
              <w:top w:val="nil"/>
              <w:left w:val="nil"/>
              <w:bottom w:val="single" w:sz="8" w:space="0" w:color="auto"/>
              <w:right w:val="single" w:sz="8" w:space="0" w:color="auto"/>
            </w:tcBorders>
            <w:shd w:val="clear" w:color="auto" w:fill="auto"/>
            <w:noWrap/>
            <w:vAlign w:val="bottom"/>
            <w:hideMark/>
          </w:tcPr>
          <w:p w14:paraId="0B5C107F" w14:textId="77777777" w:rsidR="008F3D62" w:rsidRDefault="008F3D62" w:rsidP="001129C8">
            <w:pPr>
              <w:jc w:val="center"/>
              <w:rPr>
                <w:color w:val="000000"/>
                <w:sz w:val="22"/>
                <w:szCs w:val="22"/>
              </w:rPr>
            </w:pPr>
            <w:r>
              <w:rPr>
                <w:color w:val="000000"/>
                <w:sz w:val="22"/>
                <w:szCs w:val="22"/>
              </w:rPr>
              <w:t>$51,294</w:t>
            </w:r>
          </w:p>
        </w:tc>
        <w:tc>
          <w:tcPr>
            <w:tcW w:w="1300" w:type="dxa"/>
            <w:tcBorders>
              <w:top w:val="nil"/>
              <w:left w:val="nil"/>
              <w:bottom w:val="single" w:sz="8" w:space="0" w:color="auto"/>
              <w:right w:val="single" w:sz="8" w:space="0" w:color="auto"/>
            </w:tcBorders>
            <w:shd w:val="clear" w:color="auto" w:fill="auto"/>
            <w:noWrap/>
            <w:vAlign w:val="bottom"/>
            <w:hideMark/>
          </w:tcPr>
          <w:p w14:paraId="65F19773" w14:textId="77777777" w:rsidR="008F3D62" w:rsidRDefault="008F3D62" w:rsidP="001129C8">
            <w:pPr>
              <w:jc w:val="center"/>
              <w:rPr>
                <w:color w:val="000000"/>
                <w:sz w:val="22"/>
                <w:szCs w:val="22"/>
              </w:rPr>
            </w:pPr>
            <w:r>
              <w:rPr>
                <w:color w:val="000000"/>
                <w:sz w:val="22"/>
                <w:szCs w:val="22"/>
              </w:rPr>
              <w:t>$36,911</w:t>
            </w:r>
          </w:p>
        </w:tc>
        <w:tc>
          <w:tcPr>
            <w:tcW w:w="1640" w:type="dxa"/>
            <w:tcBorders>
              <w:top w:val="nil"/>
              <w:left w:val="nil"/>
              <w:bottom w:val="single" w:sz="8" w:space="0" w:color="auto"/>
              <w:right w:val="single" w:sz="8" w:space="0" w:color="auto"/>
            </w:tcBorders>
            <w:shd w:val="clear" w:color="auto" w:fill="auto"/>
            <w:noWrap/>
            <w:vAlign w:val="bottom"/>
            <w:hideMark/>
          </w:tcPr>
          <w:p w14:paraId="004C0347" w14:textId="77777777" w:rsidR="008F3D62" w:rsidRDefault="008F3D62" w:rsidP="001129C8">
            <w:pPr>
              <w:jc w:val="center"/>
              <w:rPr>
                <w:color w:val="000000"/>
                <w:sz w:val="22"/>
                <w:szCs w:val="22"/>
              </w:rPr>
            </w:pPr>
            <w:r>
              <w:rPr>
                <w:color w:val="000000"/>
                <w:sz w:val="22"/>
                <w:szCs w:val="22"/>
              </w:rPr>
              <w:t>$25,820</w:t>
            </w:r>
          </w:p>
        </w:tc>
        <w:tc>
          <w:tcPr>
            <w:tcW w:w="1460" w:type="dxa"/>
            <w:tcBorders>
              <w:top w:val="nil"/>
              <w:left w:val="nil"/>
              <w:bottom w:val="single" w:sz="8" w:space="0" w:color="auto"/>
              <w:right w:val="single" w:sz="8" w:space="0" w:color="auto"/>
            </w:tcBorders>
            <w:shd w:val="clear" w:color="auto" w:fill="auto"/>
            <w:noWrap/>
            <w:vAlign w:val="bottom"/>
            <w:hideMark/>
          </w:tcPr>
          <w:p w14:paraId="7F266EDD" w14:textId="77777777" w:rsidR="008F3D62" w:rsidRDefault="008F3D62" w:rsidP="001129C8">
            <w:pPr>
              <w:jc w:val="center"/>
              <w:rPr>
                <w:color w:val="000000"/>
                <w:sz w:val="22"/>
                <w:szCs w:val="22"/>
              </w:rPr>
            </w:pPr>
            <w:r>
              <w:rPr>
                <w:color w:val="000000"/>
                <w:sz w:val="22"/>
                <w:szCs w:val="22"/>
              </w:rPr>
              <w:t>$10,397</w:t>
            </w:r>
          </w:p>
        </w:tc>
        <w:tc>
          <w:tcPr>
            <w:tcW w:w="1300" w:type="dxa"/>
            <w:tcBorders>
              <w:top w:val="nil"/>
              <w:left w:val="nil"/>
              <w:bottom w:val="single" w:sz="8" w:space="0" w:color="auto"/>
              <w:right w:val="single" w:sz="8" w:space="0" w:color="auto"/>
            </w:tcBorders>
            <w:shd w:val="clear" w:color="auto" w:fill="auto"/>
            <w:noWrap/>
            <w:vAlign w:val="bottom"/>
            <w:hideMark/>
          </w:tcPr>
          <w:p w14:paraId="00781DB6" w14:textId="77777777" w:rsidR="008F3D62" w:rsidRDefault="008F3D62" w:rsidP="001129C8">
            <w:pPr>
              <w:jc w:val="center"/>
              <w:rPr>
                <w:color w:val="000000"/>
                <w:sz w:val="22"/>
                <w:szCs w:val="22"/>
              </w:rPr>
            </w:pPr>
            <w:r>
              <w:rPr>
                <w:color w:val="000000"/>
                <w:sz w:val="22"/>
                <w:szCs w:val="22"/>
              </w:rPr>
              <w:t>$7,798</w:t>
            </w:r>
          </w:p>
        </w:tc>
      </w:tr>
    </w:tbl>
    <w:p w14:paraId="2A14AC3A" w14:textId="62231031" w:rsidR="00206F9A" w:rsidRPr="00D95584" w:rsidRDefault="00206F9A" w:rsidP="00206F9A">
      <w:pPr>
        <w:ind w:firstLine="360"/>
      </w:pPr>
    </w:p>
    <w:p w14:paraId="2308B71D" w14:textId="1FA25862" w:rsidR="00CC3FDF" w:rsidRPr="00F36594" w:rsidRDefault="00CC3FDF" w:rsidP="00CC3FDF">
      <w:pPr>
        <w:pStyle w:val="Heading3"/>
        <w:rPr>
          <w:szCs w:val="24"/>
        </w:rPr>
      </w:pPr>
      <w:bookmarkStart w:id="293" w:name="_Toc339811767"/>
      <w:r>
        <w:rPr>
          <w:szCs w:val="24"/>
        </w:rPr>
        <w:t>4.</w:t>
      </w:r>
      <w:r w:rsidR="0016692A">
        <w:rPr>
          <w:szCs w:val="24"/>
        </w:rPr>
        <w:t>8</w:t>
      </w:r>
      <w:r w:rsidRPr="005B5A20">
        <w:rPr>
          <w:szCs w:val="24"/>
        </w:rPr>
        <w:t>.3</w:t>
      </w:r>
      <w:r w:rsidRPr="005B5A20">
        <w:rPr>
          <w:szCs w:val="24"/>
        </w:rPr>
        <w:tab/>
        <w:t>Social Effects</w:t>
      </w:r>
      <w:bookmarkEnd w:id="293"/>
    </w:p>
    <w:p w14:paraId="44951571" w14:textId="3C28FC50" w:rsidR="00AC125B" w:rsidRDefault="00AC125B" w:rsidP="00AC125B">
      <w:pPr>
        <w:ind w:firstLine="360"/>
        <w:contextualSpacing/>
      </w:pPr>
      <w:r>
        <w:t>Commercial fishermen in the c</w:t>
      </w:r>
      <w:r w:rsidRPr="00D3714E">
        <w:t xml:space="preserve">ommunities identified in </w:t>
      </w:r>
      <w:r w:rsidRPr="00E3400A">
        <w:rPr>
          <w:b/>
        </w:rPr>
        <w:t>Section 3.3.2</w:t>
      </w:r>
      <w:r>
        <w:rPr>
          <w:b/>
        </w:rPr>
        <w:t xml:space="preserve"> </w:t>
      </w:r>
      <w:r>
        <w:t xml:space="preserve">would likely be those affected by a change in commercial harvest limits for mutton snapper. </w:t>
      </w:r>
      <w:r w:rsidR="000C01E0">
        <w:t xml:space="preserve"> </w:t>
      </w:r>
      <w:r>
        <w:t xml:space="preserve">However, it is likely that fishermen who have targeted mutton snapper in recent years also target other species, and </w:t>
      </w:r>
      <w:r w:rsidR="00C72F23">
        <w:t xml:space="preserve">would </w:t>
      </w:r>
      <w:r>
        <w:t xml:space="preserve">be able to adjust their businesses to adapt to regulatory changes.  In general, </w:t>
      </w:r>
      <w:r w:rsidRPr="00732B27">
        <w:t xml:space="preserve">a commercial trip limit may help slow the rate of harvest, lengthen a season, and prevent the ACL from being exceeded, but trip limits that are too low may make fishing trips inefficient and too costly if fishing grounds are too far away. </w:t>
      </w:r>
      <w:r w:rsidR="000C01E0">
        <w:t xml:space="preserve"> </w:t>
      </w:r>
      <w:r>
        <w:t xml:space="preserve">Additionally, if the trip limit is too low, the commercial ACL may not be met. </w:t>
      </w:r>
    </w:p>
    <w:p w14:paraId="26645DFA" w14:textId="77777777" w:rsidR="00AC125B" w:rsidRDefault="00AC125B" w:rsidP="00AC125B">
      <w:pPr>
        <w:ind w:firstLine="360"/>
        <w:contextualSpacing/>
      </w:pPr>
    </w:p>
    <w:p w14:paraId="7376160F" w14:textId="651B2AC4" w:rsidR="00AC125B" w:rsidRPr="003C618D" w:rsidRDefault="00AC125B" w:rsidP="00AC125B">
      <w:pPr>
        <w:ind w:firstLine="360"/>
        <w:contextualSpacing/>
      </w:pPr>
      <w:r>
        <w:t>The effects of establishing a trip limit for non-spawning season months (</w:t>
      </w:r>
      <w:r w:rsidR="00A91BD6" w:rsidRPr="00A91BD6">
        <w:rPr>
          <w:b/>
        </w:rPr>
        <w:t xml:space="preserve">Preferred </w:t>
      </w:r>
      <w:r>
        <w:rPr>
          <w:b/>
        </w:rPr>
        <w:t>Alternative 2</w:t>
      </w:r>
      <w:r>
        <w:t xml:space="preserve">) would depend on the level of landings of mutton for commercial trips in recent years. </w:t>
      </w:r>
      <w:r w:rsidR="000C01E0">
        <w:t xml:space="preserve"> </w:t>
      </w:r>
      <w:r>
        <w:t xml:space="preserve">In general, most trips land less than 300 lbs </w:t>
      </w:r>
      <w:r w:rsidR="00C72F23">
        <w:t xml:space="preserve">ww </w:t>
      </w:r>
      <w:r>
        <w:t xml:space="preserve">of mutton snapper, and a large proportion lands under 50 lbs </w:t>
      </w:r>
      <w:r w:rsidR="00C72F23">
        <w:t xml:space="preserve">ww </w:t>
      </w:r>
      <w:r>
        <w:t>per trip (</w:t>
      </w:r>
      <w:r w:rsidRPr="003C618D">
        <w:rPr>
          <w:b/>
        </w:rPr>
        <w:t>Figure 4.8.3</w:t>
      </w:r>
      <w:r>
        <w:t xml:space="preserve">). </w:t>
      </w:r>
      <w:r w:rsidR="000C01E0">
        <w:t xml:space="preserve"> </w:t>
      </w:r>
      <w:r>
        <w:t xml:space="preserve">This suggests that mutton snapper are part of a varied catch combination on commercial trips. </w:t>
      </w:r>
      <w:r w:rsidR="000C01E0">
        <w:t xml:space="preserve"> </w:t>
      </w:r>
      <w:r>
        <w:t xml:space="preserve">The expected effects on commercial fishermen on trips targeting mutton snapper (likely along with several other species on the same trip) under </w:t>
      </w:r>
      <w:r>
        <w:rPr>
          <w:b/>
        </w:rPr>
        <w:lastRenderedPageBreak/>
        <w:t>Preferred Sub-alternative 2a</w:t>
      </w:r>
      <w:r>
        <w:t xml:space="preserve">, </w:t>
      </w:r>
      <w:r>
        <w:rPr>
          <w:b/>
        </w:rPr>
        <w:t>Sub-alternative 2b</w:t>
      </w:r>
      <w:r>
        <w:t xml:space="preserve">, and </w:t>
      </w:r>
      <w:r>
        <w:rPr>
          <w:b/>
        </w:rPr>
        <w:t>Sub-alternative 2c</w:t>
      </w:r>
      <w:r>
        <w:t xml:space="preserve"> are expected to be minimal to none. </w:t>
      </w:r>
    </w:p>
    <w:p w14:paraId="14394047" w14:textId="77777777" w:rsidR="00AC125B" w:rsidRDefault="00AC125B" w:rsidP="00AC125B">
      <w:pPr>
        <w:contextualSpacing/>
      </w:pPr>
    </w:p>
    <w:p w14:paraId="69CBA746" w14:textId="14BBFF9B" w:rsidR="00D10CE2" w:rsidRDefault="00FB639E" w:rsidP="000C01E0">
      <w:pPr>
        <w:ind w:firstLine="360"/>
        <w:contextualSpacing/>
        <w:rPr>
          <w:rFonts w:eastAsia="Calibri"/>
          <w:b/>
        </w:rPr>
      </w:pPr>
      <w:r>
        <w:t>The effects of the vessel limit for the spawning season (</w:t>
      </w:r>
      <w:r w:rsidRPr="000C01E0">
        <w:rPr>
          <w:b/>
        </w:rPr>
        <w:t>Preferred</w:t>
      </w:r>
      <w:r>
        <w:t xml:space="preserve"> </w:t>
      </w:r>
      <w:r>
        <w:rPr>
          <w:b/>
        </w:rPr>
        <w:t>Alternative 3</w:t>
      </w:r>
      <w:r>
        <w:t xml:space="preserve">) would depend on if commercial vessels were reaching the limits in </w:t>
      </w:r>
      <w:r>
        <w:rPr>
          <w:b/>
        </w:rPr>
        <w:t xml:space="preserve">Alternative 1 (No Action) </w:t>
      </w:r>
      <w:r>
        <w:t xml:space="preserve">and the level of restriction relative to current commercial harvest.  During the </w:t>
      </w:r>
      <w:r w:rsidR="008F3D62">
        <w:t>proposed “spawning months”</w:t>
      </w:r>
      <w:r>
        <w:t>, most commercial trips land low numbers of mutton snapper (</w:t>
      </w:r>
      <w:r w:rsidRPr="003C618D">
        <w:rPr>
          <w:b/>
        </w:rPr>
        <w:t>Figure 4.8.</w:t>
      </w:r>
      <w:r>
        <w:rPr>
          <w:b/>
        </w:rPr>
        <w:t>4</w:t>
      </w:r>
      <w:r>
        <w:t xml:space="preserve">).  Even with a possession limit proposed under </w:t>
      </w:r>
      <w:r>
        <w:rPr>
          <w:b/>
        </w:rPr>
        <w:t>Sub-a</w:t>
      </w:r>
      <w:r w:rsidRPr="003C618D">
        <w:rPr>
          <w:b/>
        </w:rPr>
        <w:t>lternative</w:t>
      </w:r>
      <w:r>
        <w:rPr>
          <w:b/>
        </w:rPr>
        <w:t>s</w:t>
      </w:r>
      <w:r w:rsidRPr="003C618D">
        <w:rPr>
          <w:b/>
        </w:rPr>
        <w:t xml:space="preserve"> 3</w:t>
      </w:r>
      <w:r>
        <w:rPr>
          <w:b/>
        </w:rPr>
        <w:t xml:space="preserve">a-3d </w:t>
      </w:r>
      <w:r>
        <w:t xml:space="preserve">and </w:t>
      </w:r>
      <w:r>
        <w:rPr>
          <w:b/>
        </w:rPr>
        <w:t>3f (Preferred)</w:t>
      </w:r>
      <w:r>
        <w:t xml:space="preserve">, there would likely be minimal effects on commercial fishermen on trips targeting mutton snapper (likely as part of multi-species trips).  </w:t>
      </w:r>
      <w:r>
        <w:rPr>
          <w:b/>
        </w:rPr>
        <w:t xml:space="preserve">Sub-alternative 3e </w:t>
      </w:r>
      <w:r>
        <w:t>would be the most restrictive and could have negative effects on commercial vessels if mutton snapper is a primary target species, but would not be expected to have more than minimal effects for most commercial fishermen because it is likely that these trips target other species as well, and landings of mutton snapper per trip are minimal</w:t>
      </w:r>
      <w:r w:rsidR="008F3D62">
        <w:t xml:space="preserve">.  </w:t>
      </w:r>
      <w:r>
        <w:rPr>
          <w:rFonts w:eastAsia="Calibri"/>
        </w:rPr>
        <w:t xml:space="preserve">The lower vessel limits would have more negative effects for vessels with more people on board; so (after no retention under </w:t>
      </w:r>
      <w:r>
        <w:rPr>
          <w:rFonts w:eastAsia="Calibri"/>
          <w:b/>
        </w:rPr>
        <w:t xml:space="preserve">Sub-alternative </w:t>
      </w:r>
      <w:r w:rsidRPr="00F96AAA">
        <w:rPr>
          <w:rFonts w:eastAsia="Calibri"/>
          <w:b/>
        </w:rPr>
        <w:t>3e</w:t>
      </w:r>
      <w:r>
        <w:rPr>
          <w:rFonts w:eastAsia="Calibri"/>
        </w:rPr>
        <w:t xml:space="preserve">) </w:t>
      </w:r>
      <w:r>
        <w:rPr>
          <w:rFonts w:eastAsia="Calibri"/>
          <w:b/>
        </w:rPr>
        <w:t>Sub-alternative 3a</w:t>
      </w:r>
      <w:r>
        <w:rPr>
          <w:rFonts w:eastAsia="Calibri"/>
        </w:rPr>
        <w:t xml:space="preserve"> could have the most negative effects due to restrictions on the number of fish that can be landed, followed by </w:t>
      </w:r>
      <w:r>
        <w:rPr>
          <w:rFonts w:eastAsia="Calibri"/>
          <w:b/>
        </w:rPr>
        <w:t>Sub-alternative 3b</w:t>
      </w:r>
      <w:r>
        <w:rPr>
          <w:rFonts w:eastAsia="Calibri"/>
        </w:rPr>
        <w:t xml:space="preserve">, </w:t>
      </w:r>
      <w:r>
        <w:rPr>
          <w:rFonts w:eastAsia="Calibri"/>
          <w:b/>
        </w:rPr>
        <w:t>Preferred Sub-alternative 3f</w:t>
      </w:r>
      <w:r w:rsidRPr="00A91BD6">
        <w:rPr>
          <w:rFonts w:eastAsia="Calibri"/>
        </w:rPr>
        <w:t>,</w:t>
      </w:r>
      <w:r>
        <w:rPr>
          <w:rFonts w:eastAsia="Calibri"/>
          <w:b/>
        </w:rPr>
        <w:t xml:space="preserve"> Sub-alternative 3c</w:t>
      </w:r>
      <w:r>
        <w:rPr>
          <w:rFonts w:eastAsia="Calibri"/>
        </w:rPr>
        <w:t>, and</w:t>
      </w:r>
      <w:r w:rsidRPr="007D26F2">
        <w:rPr>
          <w:rFonts w:eastAsia="Calibri"/>
          <w:b/>
        </w:rPr>
        <w:t xml:space="preserve"> </w:t>
      </w:r>
      <w:r>
        <w:rPr>
          <w:rFonts w:eastAsia="Calibri"/>
          <w:b/>
        </w:rPr>
        <w:t xml:space="preserve">Sub-alternative 3d.  </w:t>
      </w:r>
      <w:r>
        <w:rPr>
          <w:rFonts w:eastAsia="Calibri"/>
        </w:rPr>
        <w:t>However, under current fishery conditions, it is likely that only a limit that would result in 4 or less fish per vessel per trip (</w:t>
      </w:r>
      <w:r>
        <w:rPr>
          <w:rFonts w:eastAsia="Calibri"/>
          <w:b/>
        </w:rPr>
        <w:t xml:space="preserve">Sub-alternatives 3a </w:t>
      </w:r>
      <w:r>
        <w:rPr>
          <w:rFonts w:eastAsia="Calibri"/>
        </w:rPr>
        <w:t xml:space="preserve">and </w:t>
      </w:r>
      <w:r>
        <w:rPr>
          <w:rFonts w:eastAsia="Calibri"/>
          <w:b/>
        </w:rPr>
        <w:t>3b</w:t>
      </w:r>
      <w:r>
        <w:rPr>
          <w:rFonts w:eastAsia="Calibri"/>
        </w:rPr>
        <w:t>) could have negative effects on commercial fishermen, and those would be minimal effects.</w:t>
      </w:r>
    </w:p>
    <w:p w14:paraId="3776B064" w14:textId="5F59BF92" w:rsidR="00D10CE2" w:rsidRDefault="00D10CE2" w:rsidP="00D10CE2">
      <w:pPr>
        <w:pStyle w:val="Heading3"/>
        <w:rPr>
          <w:rFonts w:eastAsia="Calibri"/>
        </w:rPr>
      </w:pPr>
      <w:bookmarkStart w:id="294" w:name="_Toc339811768"/>
      <w:r>
        <w:rPr>
          <w:rFonts w:eastAsia="Calibri"/>
        </w:rPr>
        <w:t>4.8.4  Administrative Effects</w:t>
      </w:r>
      <w:bookmarkEnd w:id="294"/>
    </w:p>
    <w:p w14:paraId="44DD136D" w14:textId="11173CAD" w:rsidR="00D10CE2" w:rsidRPr="00D10CE2" w:rsidRDefault="00D10CE2" w:rsidP="000C01E0">
      <w:pPr>
        <w:ind w:firstLine="360"/>
        <w:contextualSpacing/>
        <w:rPr>
          <w:rFonts w:eastAsia="Calibri"/>
        </w:rPr>
      </w:pPr>
      <w:r w:rsidRPr="00D10CE2">
        <w:rPr>
          <w:rFonts w:eastAsia="Calibri"/>
          <w:b/>
        </w:rPr>
        <w:t>Alternative 1 (No Action)</w:t>
      </w:r>
      <w:r w:rsidRPr="00D10CE2">
        <w:rPr>
          <w:rFonts w:eastAsia="Calibri"/>
        </w:rPr>
        <w:t xml:space="preserve"> would have less administrative impacts than </w:t>
      </w:r>
      <w:r w:rsidRPr="00D10CE2">
        <w:rPr>
          <w:rFonts w:eastAsia="Calibri"/>
          <w:b/>
        </w:rPr>
        <w:t>Alternatives 2 (Preferred)</w:t>
      </w:r>
      <w:r w:rsidRPr="00D10CE2">
        <w:rPr>
          <w:rFonts w:eastAsia="Calibri"/>
        </w:rPr>
        <w:t xml:space="preserve"> and </w:t>
      </w:r>
      <w:r w:rsidRPr="00D10CE2">
        <w:rPr>
          <w:rFonts w:eastAsia="Calibri"/>
          <w:b/>
        </w:rPr>
        <w:t>3 (Preferred)</w:t>
      </w:r>
      <w:r w:rsidRPr="00D10CE2">
        <w:rPr>
          <w:rFonts w:eastAsia="Calibri"/>
        </w:rPr>
        <w:t xml:space="preserve">.  Administrative impacts associated with </w:t>
      </w:r>
      <w:r w:rsidRPr="00D10CE2">
        <w:rPr>
          <w:rFonts w:eastAsia="Calibri"/>
          <w:b/>
        </w:rPr>
        <w:t xml:space="preserve">Alternatives 2 (Preferred) </w:t>
      </w:r>
      <w:r w:rsidRPr="00D10CE2">
        <w:rPr>
          <w:rFonts w:eastAsia="Calibri"/>
        </w:rPr>
        <w:t xml:space="preserve">and </w:t>
      </w:r>
      <w:r w:rsidRPr="00D10CE2">
        <w:rPr>
          <w:rFonts w:eastAsia="Calibri"/>
          <w:b/>
        </w:rPr>
        <w:t>3 (Preferred)</w:t>
      </w:r>
      <w:r w:rsidRPr="00D10CE2">
        <w:rPr>
          <w:rFonts w:eastAsia="Calibri"/>
        </w:rPr>
        <w:t xml:space="preserve"> may cause temporary administrative burdens in the form of rulemaking, outreach, education, monitoring, and enforcement. </w:t>
      </w:r>
      <w:r>
        <w:rPr>
          <w:rFonts w:eastAsia="Calibri"/>
        </w:rPr>
        <w:t xml:space="preserve"> </w:t>
      </w:r>
      <w:r w:rsidRPr="00D10CE2">
        <w:rPr>
          <w:rFonts w:eastAsia="Calibri"/>
        </w:rPr>
        <w:t xml:space="preserve">However, NMFS has implemented trip limits for other snapper grouper species and the impacts associated with </w:t>
      </w:r>
      <w:r w:rsidRPr="00D10CE2">
        <w:rPr>
          <w:rFonts w:eastAsia="Calibri"/>
          <w:b/>
        </w:rPr>
        <w:t>Alternative 2 (Preferred)</w:t>
      </w:r>
      <w:r w:rsidRPr="00D10CE2">
        <w:rPr>
          <w:rFonts w:eastAsia="Calibri"/>
        </w:rPr>
        <w:t xml:space="preserve"> and </w:t>
      </w:r>
      <w:r w:rsidRPr="00D10CE2">
        <w:rPr>
          <w:rFonts w:eastAsia="Calibri"/>
          <w:b/>
        </w:rPr>
        <w:t xml:space="preserve">3 (Preferred) </w:t>
      </w:r>
      <w:r w:rsidRPr="00D10CE2">
        <w:rPr>
          <w:rFonts w:eastAsia="Calibri"/>
        </w:rPr>
        <w:t>are expected to be minor.</w:t>
      </w:r>
    </w:p>
    <w:p w14:paraId="0C526C38" w14:textId="77777777" w:rsidR="00144624" w:rsidRDefault="00144624" w:rsidP="00CC3FDF">
      <w:pPr>
        <w:sectPr w:rsidR="00144624" w:rsidSect="00666827">
          <w:footerReference w:type="default" r:id="rId73"/>
          <w:type w:val="continuous"/>
          <w:pgSz w:w="12240" w:h="15840" w:code="1"/>
          <w:pgMar w:top="1440" w:right="1440" w:bottom="1440" w:left="1440" w:header="720" w:footer="720" w:gutter="0"/>
          <w:cols w:space="720"/>
          <w:docGrid w:linePitch="360"/>
        </w:sectPr>
      </w:pPr>
    </w:p>
    <w:p w14:paraId="301F53F1" w14:textId="33778825" w:rsidR="00C72F23" w:rsidRPr="008F3D62" w:rsidRDefault="00902554" w:rsidP="00CC3FDF">
      <w:r w:rsidRPr="008F3D62">
        <w:lastRenderedPageBreak/>
        <w:br w:type="page"/>
      </w:r>
    </w:p>
    <w:p w14:paraId="75BAB3A2" w14:textId="51EBC8C6" w:rsidR="00532ABB" w:rsidRPr="008F3D62" w:rsidRDefault="00532ABB" w:rsidP="008F3D62">
      <w:pPr>
        <w:pStyle w:val="Heading1"/>
        <w:rPr>
          <w:rStyle w:val="Heading3Char"/>
          <w:rFonts w:ascii="Times New Roman" w:hAnsi="Times New Roman" w:cs="Times New Roman"/>
          <w:b/>
          <w:color w:val="548DD4"/>
          <w:kern w:val="0"/>
          <w:sz w:val="56"/>
          <w:szCs w:val="56"/>
        </w:rPr>
      </w:pPr>
      <w:bookmarkStart w:id="295" w:name="_Toc361410418"/>
      <w:bookmarkStart w:id="296" w:name="_Toc339811769"/>
      <w:bookmarkEnd w:id="211"/>
      <w:bookmarkEnd w:id="212"/>
      <w:bookmarkEnd w:id="213"/>
      <w:r w:rsidRPr="008F3D62">
        <w:rPr>
          <w:rStyle w:val="Heading3Char"/>
          <w:rFonts w:ascii="Times New Roman" w:hAnsi="Times New Roman" w:cs="Times New Roman"/>
          <w:b/>
          <w:color w:val="8DB3E2"/>
          <w:sz w:val="36"/>
          <w:szCs w:val="36"/>
        </w:rPr>
        <w:lastRenderedPageBreak/>
        <w:t>Chapter 5.</w:t>
      </w:r>
      <w:r w:rsidRPr="008F3D62">
        <w:rPr>
          <w:rStyle w:val="Heading3Char"/>
          <w:rFonts w:ascii="Times New Roman" w:hAnsi="Times New Roman" w:cs="Times New Roman"/>
          <w:b/>
          <w:sz w:val="40"/>
          <w:szCs w:val="40"/>
        </w:rPr>
        <w:t xml:space="preserve">  </w:t>
      </w:r>
      <w:r w:rsidRPr="008F3D62">
        <w:rPr>
          <w:rStyle w:val="Heading3Char"/>
          <w:rFonts w:ascii="Times New Roman" w:hAnsi="Times New Roman" w:cs="Times New Roman"/>
          <w:b/>
          <w:color w:val="548DD4"/>
          <w:sz w:val="56"/>
          <w:szCs w:val="56"/>
        </w:rPr>
        <w:t>Council’s Choice for the Preferred Alternatives</w:t>
      </w:r>
      <w:bookmarkEnd w:id="295"/>
      <w:bookmarkEnd w:id="296"/>
    </w:p>
    <w:p w14:paraId="534A9953" w14:textId="77777777" w:rsidR="002D393F" w:rsidRDefault="002D393F" w:rsidP="002D393F">
      <w:pPr>
        <w:rPr>
          <w:rStyle w:val="Heading4Char1"/>
          <w:rFonts w:ascii="Arial" w:hAnsi="Arial" w:cs="Arial"/>
        </w:rPr>
      </w:pPr>
      <w:bookmarkStart w:id="297" w:name="_Toc370375265"/>
      <w:bookmarkStart w:id="298" w:name="_Toc370375266"/>
    </w:p>
    <w:p w14:paraId="168A4E95" w14:textId="66C2ADD5" w:rsidR="00C3720F" w:rsidRPr="00022262" w:rsidRDefault="00C3720F" w:rsidP="00022262">
      <w:pPr>
        <w:pStyle w:val="Heading2"/>
        <w:rPr>
          <w:rStyle w:val="Heading4Char1"/>
          <w:rFonts w:ascii="Arial" w:eastAsiaTheme="minorHAnsi" w:hAnsi="Arial" w:cs="Arial"/>
          <w:bCs w:val="0"/>
          <w:color w:val="1F497D" w:themeColor="text2"/>
        </w:rPr>
      </w:pPr>
      <w:bookmarkStart w:id="299" w:name="_Toc339811770"/>
      <w:r w:rsidRPr="00022262">
        <w:rPr>
          <w:rStyle w:val="Heading4Char1"/>
          <w:rFonts w:ascii="Arial" w:hAnsi="Arial" w:cs="Arial"/>
        </w:rPr>
        <w:t>5.1</w:t>
      </w:r>
      <w:r w:rsidRPr="00022262">
        <w:rPr>
          <w:rStyle w:val="Heading4Char1"/>
          <w:rFonts w:ascii="Arial" w:hAnsi="Arial" w:cs="Arial"/>
        </w:rPr>
        <w:tab/>
      </w:r>
      <w:bookmarkEnd w:id="297"/>
      <w:r w:rsidR="005027F6" w:rsidRPr="00CB12BB">
        <w:rPr>
          <w:rFonts w:ascii="Arial" w:hAnsi="Arial" w:cs="Arial"/>
          <w:color w:val="000000"/>
        </w:rPr>
        <w:t xml:space="preserve">Action 1.  </w:t>
      </w:r>
      <w:r w:rsidR="005027F6" w:rsidRPr="00464347">
        <w:rPr>
          <w:rFonts w:ascii="Arial" w:hAnsi="Arial" w:cs="Arial"/>
        </w:rPr>
        <w:t>Specify maximum sustainable yield (MSY) for mutton snapper in the South Atlantic</w:t>
      </w:r>
      <w:r w:rsidR="00774344" w:rsidRPr="00464347">
        <w:rPr>
          <w:rFonts w:ascii="Arial" w:hAnsi="Arial" w:cs="Arial"/>
        </w:rPr>
        <w:t xml:space="preserve"> R</w:t>
      </w:r>
      <w:r w:rsidR="005027F6" w:rsidRPr="00464347">
        <w:rPr>
          <w:rFonts w:ascii="Arial" w:hAnsi="Arial" w:cs="Arial"/>
        </w:rPr>
        <w:t>egion</w:t>
      </w:r>
      <w:bookmarkEnd w:id="299"/>
    </w:p>
    <w:p w14:paraId="7C45C963" w14:textId="77777777" w:rsidR="008B07B5" w:rsidRDefault="008B07B5" w:rsidP="008B07B5">
      <w:pPr>
        <w:rPr>
          <w:rStyle w:val="Heading4Char1"/>
          <w:rFonts w:ascii="Arial" w:hAnsi="Arial" w:cs="Arial"/>
          <w:sz w:val="24"/>
          <w:szCs w:val="24"/>
        </w:rPr>
      </w:pPr>
    </w:p>
    <w:p w14:paraId="52F56000" w14:textId="1334F883" w:rsidR="00C3720F" w:rsidRPr="00022262" w:rsidRDefault="008B07B5" w:rsidP="00C3720F">
      <w:pPr>
        <w:pStyle w:val="Heading3"/>
        <w:rPr>
          <w:rStyle w:val="Heading4Char1"/>
          <w:rFonts w:ascii="Arial" w:hAnsi="Arial" w:cs="Arial"/>
          <w:bCs w:val="0"/>
          <w:sz w:val="24"/>
          <w:szCs w:val="24"/>
        </w:rPr>
      </w:pPr>
      <w:bookmarkStart w:id="300" w:name="_Toc339811771"/>
      <w:r w:rsidRPr="000E374B">
        <w:rPr>
          <w:noProof/>
          <w:color w:val="365F91" w:themeColor="accent1" w:themeShade="BF"/>
        </w:rPr>
        <mc:AlternateContent>
          <mc:Choice Requires="wps">
            <w:drawing>
              <wp:anchor distT="0" distB="0" distL="114300" distR="114300" simplePos="0" relativeHeight="251714048" behindDoc="0" locked="0" layoutInCell="1" allowOverlap="1" wp14:anchorId="1E4F1732" wp14:editId="722E7B86">
                <wp:simplePos x="0" y="0"/>
                <wp:positionH relativeFrom="margin">
                  <wp:posOffset>3163570</wp:posOffset>
                </wp:positionH>
                <wp:positionV relativeFrom="margin">
                  <wp:posOffset>1769745</wp:posOffset>
                </wp:positionV>
                <wp:extent cx="2998470" cy="2340610"/>
                <wp:effectExtent l="25400" t="101600" r="125730" b="4699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2340610"/>
                        </a:xfrm>
                        <a:prstGeom prst="rect">
                          <a:avLst/>
                        </a:prstGeom>
                        <a:solidFill>
                          <a:srgbClr val="FFFFFF"/>
                        </a:solidFill>
                        <a:ln w="9525">
                          <a:solidFill>
                            <a:schemeClr val="tx2">
                              <a:lumMod val="60000"/>
                              <a:lumOff val="40000"/>
                            </a:schemeClr>
                          </a:solidFill>
                          <a:miter lim="800000"/>
                          <a:headEnd/>
                          <a:tailEnd/>
                        </a:ln>
                        <a:effectLst>
                          <a:outerShdw blurRad="50800" dist="38100" dir="18900000" algn="bl" rotWithShape="0">
                            <a:prstClr val="black">
                              <a:alpha val="40000"/>
                            </a:prstClr>
                          </a:outerShdw>
                        </a:effectLst>
                      </wps:spPr>
                      <wps:txbx>
                        <w:txbxContent>
                          <w:p w14:paraId="2F138844" w14:textId="77777777" w:rsidR="009108B8" w:rsidRPr="00006826" w:rsidRDefault="009108B8" w:rsidP="00340F89">
                            <w:pPr>
                              <w:jc w:val="center"/>
                              <w:rPr>
                                <w:rFonts w:ascii="Arial" w:hAnsi="Arial" w:cs="Arial"/>
                                <w:b/>
                                <w:i/>
                                <w:iCs/>
                                <w:color w:val="365F91" w:themeColor="accent1" w:themeShade="BF"/>
                              </w:rPr>
                            </w:pPr>
                            <w:r w:rsidRPr="00006826">
                              <w:rPr>
                                <w:rFonts w:ascii="Arial" w:hAnsi="Arial" w:cs="Arial"/>
                                <w:b/>
                                <w:i/>
                                <w:iCs/>
                                <w:color w:val="365F91" w:themeColor="accent1" w:themeShade="BF"/>
                              </w:rPr>
                              <w:t>Alternatives</w:t>
                            </w:r>
                            <w:r>
                              <w:rPr>
                                <w:rFonts w:ascii="Arial" w:hAnsi="Arial" w:cs="Arial"/>
                                <w:b/>
                                <w:i/>
                                <w:iCs/>
                                <w:color w:val="365F91" w:themeColor="accent1" w:themeShade="BF"/>
                              </w:rPr>
                              <w:t>*</w:t>
                            </w:r>
                          </w:p>
                          <w:p w14:paraId="1B5F722C" w14:textId="77777777" w:rsidR="009108B8" w:rsidRPr="003D77AB" w:rsidRDefault="009108B8" w:rsidP="00340F89">
                            <w:pPr>
                              <w:rPr>
                                <w:rFonts w:ascii="Arial" w:hAnsi="Arial" w:cs="Arial"/>
                                <w:b/>
                                <w:color w:val="365F91" w:themeColor="accent1" w:themeShade="BF"/>
                              </w:rPr>
                            </w:pPr>
                          </w:p>
                          <w:p w14:paraId="37ABB0D1" w14:textId="77777777" w:rsidR="009108B8" w:rsidRPr="00E03046" w:rsidRDefault="009108B8" w:rsidP="00340F89">
                            <w:pPr>
                              <w:rPr>
                                <w:rFonts w:ascii="Arial" w:eastAsiaTheme="minorHAnsi" w:hAnsi="Arial" w:cs="Arial"/>
                                <w:color w:val="1F497D" w:themeColor="text2"/>
                                <w:sz w:val="20"/>
                                <w:szCs w:val="20"/>
                              </w:rPr>
                            </w:pPr>
                            <w:r w:rsidRPr="00E03046">
                              <w:rPr>
                                <w:rFonts w:ascii="Arial" w:eastAsiaTheme="minorHAnsi" w:hAnsi="Arial" w:cs="Arial"/>
                                <w:color w:val="1F497D" w:themeColor="text2"/>
                                <w:sz w:val="20"/>
                                <w:szCs w:val="20"/>
                              </w:rPr>
                              <w:t>1.  No Action.</w:t>
                            </w:r>
                            <w:r>
                              <w:rPr>
                                <w:rFonts w:ascii="Arial" w:eastAsiaTheme="minorHAnsi" w:hAnsi="Arial" w:cs="Arial"/>
                                <w:color w:val="1F497D" w:themeColor="text2"/>
                                <w:sz w:val="20"/>
                                <w:szCs w:val="20"/>
                              </w:rPr>
                              <w:t xml:space="preserve"> </w:t>
                            </w:r>
                            <w:r w:rsidRPr="00E03046">
                              <w:rPr>
                                <w:rFonts w:ascii="Arial" w:eastAsiaTheme="minorHAnsi" w:hAnsi="Arial" w:cs="Arial"/>
                                <w:color w:val="1F497D" w:themeColor="text2"/>
                                <w:sz w:val="20"/>
                                <w:szCs w:val="20"/>
                              </w:rPr>
                              <w:t xml:space="preserve"> </w:t>
                            </w:r>
                            <w:r>
                              <w:rPr>
                                <w:rFonts w:ascii="Arial" w:eastAsiaTheme="minorHAnsi" w:hAnsi="Arial" w:cs="Arial"/>
                                <w:color w:val="1F497D" w:themeColor="text2"/>
                                <w:sz w:val="20"/>
                                <w:szCs w:val="20"/>
                              </w:rPr>
                              <w:t>MSY</w:t>
                            </w:r>
                            <w:r w:rsidRPr="00E03046">
                              <w:rPr>
                                <w:rFonts w:ascii="Arial" w:eastAsiaTheme="minorHAnsi" w:hAnsi="Arial" w:cs="Arial"/>
                                <w:color w:val="1F497D" w:themeColor="text2"/>
                                <w:sz w:val="20"/>
                                <w:szCs w:val="20"/>
                              </w:rPr>
                              <w:t xml:space="preserve"> for mutton snapper in the South Atlantic equals the yield produced by F</w:t>
                            </w:r>
                            <w:r w:rsidRPr="00E03046">
                              <w:rPr>
                                <w:rFonts w:ascii="Arial" w:eastAsiaTheme="minorHAnsi" w:hAnsi="Arial" w:cs="Arial"/>
                                <w:color w:val="1F497D" w:themeColor="text2"/>
                                <w:sz w:val="20"/>
                                <w:szCs w:val="20"/>
                                <w:vertAlign w:val="subscript"/>
                              </w:rPr>
                              <w:t>MSY</w:t>
                            </w:r>
                            <w:r w:rsidRPr="00E03046">
                              <w:rPr>
                                <w:rFonts w:ascii="Arial" w:eastAsiaTheme="minorHAnsi" w:hAnsi="Arial" w:cs="Arial"/>
                                <w:color w:val="1F497D" w:themeColor="text2"/>
                                <w:sz w:val="20"/>
                                <w:szCs w:val="20"/>
                              </w:rPr>
                              <w:t>.  F</w:t>
                            </w:r>
                            <w:r w:rsidRPr="00E03046">
                              <w:rPr>
                                <w:rFonts w:ascii="Arial" w:eastAsiaTheme="minorHAnsi" w:hAnsi="Arial" w:cs="Arial"/>
                                <w:color w:val="1F497D" w:themeColor="text2"/>
                                <w:sz w:val="20"/>
                                <w:szCs w:val="20"/>
                                <w:vertAlign w:val="subscript"/>
                              </w:rPr>
                              <w:t>30%SPR</w:t>
                            </w:r>
                            <w:r w:rsidRPr="00E03046">
                              <w:rPr>
                                <w:rFonts w:ascii="Arial" w:eastAsiaTheme="minorHAnsi" w:hAnsi="Arial" w:cs="Arial"/>
                                <w:color w:val="1F497D" w:themeColor="text2"/>
                                <w:sz w:val="20"/>
                                <w:szCs w:val="20"/>
                              </w:rPr>
                              <w:t xml:space="preserve"> is used as the F</w:t>
                            </w:r>
                            <w:r w:rsidRPr="00E03046">
                              <w:rPr>
                                <w:rFonts w:ascii="Arial" w:eastAsiaTheme="minorHAnsi" w:hAnsi="Arial" w:cs="Arial"/>
                                <w:color w:val="1F497D" w:themeColor="text2"/>
                                <w:sz w:val="20"/>
                                <w:szCs w:val="20"/>
                                <w:vertAlign w:val="subscript"/>
                              </w:rPr>
                              <w:t>MSY</w:t>
                            </w:r>
                            <w:r w:rsidRPr="00E03046">
                              <w:rPr>
                                <w:rFonts w:ascii="Arial" w:eastAsiaTheme="minorHAnsi" w:hAnsi="Arial" w:cs="Arial"/>
                                <w:color w:val="1F497D" w:themeColor="text2"/>
                                <w:sz w:val="20"/>
                                <w:szCs w:val="20"/>
                              </w:rPr>
                              <w:t xml:space="preserve"> proxy. </w:t>
                            </w:r>
                            <w:r>
                              <w:rPr>
                                <w:rFonts w:ascii="Arial" w:eastAsiaTheme="minorHAnsi" w:hAnsi="Arial" w:cs="Arial"/>
                                <w:color w:val="1F497D" w:themeColor="text2"/>
                                <w:sz w:val="20"/>
                                <w:szCs w:val="20"/>
                              </w:rPr>
                              <w:t xml:space="preserve"> </w:t>
                            </w:r>
                            <w:r w:rsidRPr="00E03046">
                              <w:rPr>
                                <w:rFonts w:ascii="Arial" w:eastAsiaTheme="minorHAnsi" w:hAnsi="Arial" w:cs="Arial"/>
                                <w:color w:val="1F497D" w:themeColor="text2"/>
                                <w:sz w:val="20"/>
                                <w:szCs w:val="20"/>
                              </w:rPr>
                              <w:t>The value is not specified.</w:t>
                            </w:r>
                          </w:p>
                          <w:p w14:paraId="50AB098E" w14:textId="77777777" w:rsidR="009108B8" w:rsidRPr="00E03046" w:rsidRDefault="009108B8" w:rsidP="00340F89">
                            <w:pPr>
                              <w:rPr>
                                <w:rFonts w:ascii="Arial" w:eastAsiaTheme="minorHAnsi" w:hAnsi="Arial" w:cs="Arial"/>
                                <w:color w:val="1F497D" w:themeColor="text2"/>
                                <w:sz w:val="20"/>
                                <w:szCs w:val="20"/>
                              </w:rPr>
                            </w:pPr>
                          </w:p>
                          <w:p w14:paraId="4C9A7F4D" w14:textId="77777777" w:rsidR="009108B8" w:rsidRDefault="009108B8" w:rsidP="00340F89">
                            <w:pPr>
                              <w:rPr>
                                <w:rFonts w:ascii="Arial" w:eastAsiaTheme="minorHAnsi" w:hAnsi="Arial" w:cs="Arial"/>
                                <w:b/>
                                <w:color w:val="1F497D" w:themeColor="text2"/>
                                <w:sz w:val="20"/>
                                <w:szCs w:val="20"/>
                              </w:rPr>
                            </w:pPr>
                            <w:r w:rsidRPr="00E03046">
                              <w:rPr>
                                <w:rFonts w:ascii="Arial" w:eastAsiaTheme="minorHAnsi" w:hAnsi="Arial" w:cs="Arial"/>
                                <w:b/>
                                <w:color w:val="1F497D" w:themeColor="text2"/>
                                <w:sz w:val="20"/>
                                <w:szCs w:val="20"/>
                              </w:rPr>
                              <w:t xml:space="preserve">2. </w:t>
                            </w:r>
                            <w:r>
                              <w:rPr>
                                <w:rFonts w:ascii="Arial" w:eastAsiaTheme="minorHAnsi" w:hAnsi="Arial" w:cs="Arial"/>
                                <w:b/>
                                <w:color w:val="1F497D" w:themeColor="text2"/>
                                <w:sz w:val="20"/>
                                <w:szCs w:val="20"/>
                              </w:rPr>
                              <w:t>MSY</w:t>
                            </w:r>
                            <w:r w:rsidRPr="00E03046">
                              <w:rPr>
                                <w:rFonts w:ascii="Arial" w:eastAsiaTheme="minorHAnsi" w:hAnsi="Arial" w:cs="Arial"/>
                                <w:b/>
                                <w:color w:val="1F497D" w:themeColor="text2"/>
                                <w:sz w:val="20"/>
                                <w:szCs w:val="20"/>
                              </w:rPr>
                              <w:t xml:space="preserve"> equals the yield produced by F</w:t>
                            </w:r>
                            <w:r w:rsidRPr="00E03046">
                              <w:rPr>
                                <w:rFonts w:ascii="Arial" w:eastAsiaTheme="minorHAnsi" w:hAnsi="Arial" w:cs="Arial"/>
                                <w:b/>
                                <w:color w:val="1F497D" w:themeColor="text2"/>
                                <w:sz w:val="20"/>
                                <w:szCs w:val="20"/>
                                <w:vertAlign w:val="subscript"/>
                              </w:rPr>
                              <w:t>MSY</w:t>
                            </w:r>
                            <w:r w:rsidRPr="00E03046">
                              <w:rPr>
                                <w:rFonts w:ascii="Arial" w:eastAsiaTheme="minorHAnsi" w:hAnsi="Arial" w:cs="Arial"/>
                                <w:b/>
                                <w:color w:val="1F497D" w:themeColor="text2"/>
                                <w:sz w:val="20"/>
                                <w:szCs w:val="20"/>
                              </w:rPr>
                              <w:t xml:space="preserve"> or the F</w:t>
                            </w:r>
                            <w:r w:rsidRPr="00E03046">
                              <w:rPr>
                                <w:rFonts w:ascii="Arial" w:eastAsiaTheme="minorHAnsi" w:hAnsi="Arial" w:cs="Arial"/>
                                <w:b/>
                                <w:color w:val="1F497D" w:themeColor="text2"/>
                                <w:sz w:val="20"/>
                                <w:szCs w:val="20"/>
                                <w:vertAlign w:val="subscript"/>
                              </w:rPr>
                              <w:t>MSY</w:t>
                            </w:r>
                            <w:r w:rsidRPr="00E03046">
                              <w:rPr>
                                <w:rFonts w:ascii="Arial" w:eastAsiaTheme="minorHAnsi" w:hAnsi="Arial" w:cs="Arial"/>
                                <w:b/>
                                <w:color w:val="1F497D" w:themeColor="text2"/>
                                <w:sz w:val="20"/>
                                <w:szCs w:val="20"/>
                              </w:rPr>
                              <w:t xml:space="preserve"> proxy.  MSY and F</w:t>
                            </w:r>
                            <w:r w:rsidRPr="00E03046">
                              <w:rPr>
                                <w:rFonts w:ascii="Arial" w:eastAsiaTheme="minorHAnsi" w:hAnsi="Arial" w:cs="Arial"/>
                                <w:b/>
                                <w:color w:val="1F497D" w:themeColor="text2"/>
                                <w:sz w:val="20"/>
                                <w:szCs w:val="20"/>
                                <w:vertAlign w:val="subscript"/>
                              </w:rPr>
                              <w:t xml:space="preserve">MSY </w:t>
                            </w:r>
                            <w:r w:rsidRPr="00E03046">
                              <w:rPr>
                                <w:rFonts w:ascii="Arial" w:eastAsiaTheme="minorHAnsi" w:hAnsi="Arial" w:cs="Arial"/>
                                <w:b/>
                                <w:color w:val="1F497D" w:themeColor="text2"/>
                                <w:sz w:val="20"/>
                                <w:szCs w:val="20"/>
                              </w:rPr>
                              <w:t>are recommended by the most recent SEDAR/SSC.</w:t>
                            </w:r>
                          </w:p>
                          <w:p w14:paraId="5E128A55" w14:textId="77777777" w:rsidR="009108B8" w:rsidRDefault="009108B8" w:rsidP="00340F89">
                            <w:pPr>
                              <w:rPr>
                                <w:rFonts w:ascii="Arial" w:eastAsiaTheme="minorHAnsi" w:hAnsi="Arial" w:cs="Arial"/>
                                <w:b/>
                                <w:color w:val="1F497D" w:themeColor="text2"/>
                                <w:sz w:val="20"/>
                                <w:szCs w:val="20"/>
                              </w:rPr>
                            </w:pPr>
                          </w:p>
                          <w:p w14:paraId="0851C529" w14:textId="77777777" w:rsidR="009108B8" w:rsidRPr="00E03046" w:rsidRDefault="009108B8" w:rsidP="00340F89">
                            <w:pPr>
                              <w:rPr>
                                <w:rFonts w:ascii="Arial" w:hAnsi="Arial" w:cs="Arial"/>
                                <w:color w:val="1F497D" w:themeColor="text2"/>
                                <w:sz w:val="20"/>
                                <w:szCs w:val="20"/>
                              </w:rPr>
                            </w:pPr>
                            <w:r>
                              <w:rPr>
                                <w:rFonts w:ascii="Arial" w:eastAsiaTheme="minorHAnsi" w:hAnsi="Arial" w:cs="Arial"/>
                                <w:color w:val="1F497D" w:themeColor="text2"/>
                                <w:sz w:val="20"/>
                                <w:szCs w:val="20"/>
                              </w:rPr>
                              <w:t xml:space="preserve">* Preferred indicated in bold.  </w:t>
                            </w:r>
                            <w:r w:rsidRPr="00E03046">
                              <w:rPr>
                                <w:rFonts w:ascii="Arial" w:eastAsiaTheme="minorHAnsi" w:hAnsi="Arial" w:cs="Arial"/>
                                <w:color w:val="1F497D" w:themeColor="text2"/>
                                <w:sz w:val="20"/>
                                <w:szCs w:val="20"/>
                              </w:rPr>
                              <w:t>Refer to Chapter 2 for detailed language of alternatives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49.1pt;margin-top:139.35pt;width:236.1pt;height:184.3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" strokecolor="#548dd4 [1951]">
                <v:shadow on="t" opacity="26214f" mv:blur="50800f" origin="-.5,.5" offset="26941emu,-26941emu"/>
                <v:textbox>
                  <w:txbxContent>
                    <w:p w14:paraId="2F138844" w14:textId="77777777" w:rsidR="009108B8" w:rsidRPr="00006826" w:rsidRDefault="009108B8" w:rsidP="00340F89">
                      <w:pPr>
                        <w:jc w:val="center"/>
                        <w:rPr>
                          <w:rFonts w:ascii="Arial" w:hAnsi="Arial" w:cs="Arial"/>
                          <w:b/>
                          <w:i/>
                          <w:iCs/>
                          <w:color w:val="365F91" w:themeColor="accent1" w:themeShade="BF"/>
                        </w:rPr>
                      </w:pPr>
                      <w:r w:rsidRPr="00006826">
                        <w:rPr>
                          <w:rFonts w:ascii="Arial" w:hAnsi="Arial" w:cs="Arial"/>
                          <w:b/>
                          <w:i/>
                          <w:iCs/>
                          <w:color w:val="365F91" w:themeColor="accent1" w:themeShade="BF"/>
                        </w:rPr>
                        <w:t>Alternatives</w:t>
                      </w:r>
                      <w:r>
                        <w:rPr>
                          <w:rFonts w:ascii="Arial" w:hAnsi="Arial" w:cs="Arial"/>
                          <w:b/>
                          <w:i/>
                          <w:iCs/>
                          <w:color w:val="365F91" w:themeColor="accent1" w:themeShade="BF"/>
                        </w:rPr>
                        <w:t>*</w:t>
                      </w:r>
                    </w:p>
                    <w:p w14:paraId="1B5F722C" w14:textId="77777777" w:rsidR="009108B8" w:rsidRPr="003D77AB" w:rsidRDefault="009108B8" w:rsidP="00340F89">
                      <w:pPr>
                        <w:rPr>
                          <w:rFonts w:ascii="Arial" w:hAnsi="Arial" w:cs="Arial"/>
                          <w:b/>
                          <w:color w:val="365F91" w:themeColor="accent1" w:themeShade="BF"/>
                        </w:rPr>
                      </w:pPr>
                    </w:p>
                    <w:p w14:paraId="37ABB0D1" w14:textId="77777777" w:rsidR="009108B8" w:rsidRPr="00E03046" w:rsidRDefault="009108B8" w:rsidP="00340F89">
                      <w:pPr>
                        <w:rPr>
                          <w:rFonts w:ascii="Arial" w:eastAsiaTheme="minorHAnsi" w:hAnsi="Arial" w:cs="Arial"/>
                          <w:color w:val="1F497D" w:themeColor="text2"/>
                          <w:sz w:val="20"/>
                          <w:szCs w:val="20"/>
                        </w:rPr>
                      </w:pPr>
                      <w:r w:rsidRPr="00E03046">
                        <w:rPr>
                          <w:rFonts w:ascii="Arial" w:eastAsiaTheme="minorHAnsi" w:hAnsi="Arial" w:cs="Arial"/>
                          <w:color w:val="1F497D" w:themeColor="text2"/>
                          <w:sz w:val="20"/>
                          <w:szCs w:val="20"/>
                        </w:rPr>
                        <w:t>1.  No Action.</w:t>
                      </w:r>
                      <w:r>
                        <w:rPr>
                          <w:rFonts w:ascii="Arial" w:eastAsiaTheme="minorHAnsi" w:hAnsi="Arial" w:cs="Arial"/>
                          <w:color w:val="1F497D" w:themeColor="text2"/>
                          <w:sz w:val="20"/>
                          <w:szCs w:val="20"/>
                        </w:rPr>
                        <w:t xml:space="preserve"> </w:t>
                      </w:r>
                      <w:r w:rsidRPr="00E03046">
                        <w:rPr>
                          <w:rFonts w:ascii="Arial" w:eastAsiaTheme="minorHAnsi" w:hAnsi="Arial" w:cs="Arial"/>
                          <w:color w:val="1F497D" w:themeColor="text2"/>
                          <w:sz w:val="20"/>
                          <w:szCs w:val="20"/>
                        </w:rPr>
                        <w:t xml:space="preserve"> </w:t>
                      </w:r>
                      <w:r>
                        <w:rPr>
                          <w:rFonts w:ascii="Arial" w:eastAsiaTheme="minorHAnsi" w:hAnsi="Arial" w:cs="Arial"/>
                          <w:color w:val="1F497D" w:themeColor="text2"/>
                          <w:sz w:val="20"/>
                          <w:szCs w:val="20"/>
                        </w:rPr>
                        <w:t>MSY</w:t>
                      </w:r>
                      <w:r w:rsidRPr="00E03046">
                        <w:rPr>
                          <w:rFonts w:ascii="Arial" w:eastAsiaTheme="minorHAnsi" w:hAnsi="Arial" w:cs="Arial"/>
                          <w:color w:val="1F497D" w:themeColor="text2"/>
                          <w:sz w:val="20"/>
                          <w:szCs w:val="20"/>
                        </w:rPr>
                        <w:t xml:space="preserve"> for mutton snapper in the South Atlantic equals the yield produced by F</w:t>
                      </w:r>
                      <w:r w:rsidRPr="00E03046">
                        <w:rPr>
                          <w:rFonts w:ascii="Arial" w:eastAsiaTheme="minorHAnsi" w:hAnsi="Arial" w:cs="Arial"/>
                          <w:color w:val="1F497D" w:themeColor="text2"/>
                          <w:sz w:val="20"/>
                          <w:szCs w:val="20"/>
                          <w:vertAlign w:val="subscript"/>
                        </w:rPr>
                        <w:t>MSY</w:t>
                      </w:r>
                      <w:r w:rsidRPr="00E03046">
                        <w:rPr>
                          <w:rFonts w:ascii="Arial" w:eastAsiaTheme="minorHAnsi" w:hAnsi="Arial" w:cs="Arial"/>
                          <w:color w:val="1F497D" w:themeColor="text2"/>
                          <w:sz w:val="20"/>
                          <w:szCs w:val="20"/>
                        </w:rPr>
                        <w:t>.  F</w:t>
                      </w:r>
                      <w:r w:rsidRPr="00E03046">
                        <w:rPr>
                          <w:rFonts w:ascii="Arial" w:eastAsiaTheme="minorHAnsi" w:hAnsi="Arial" w:cs="Arial"/>
                          <w:color w:val="1F497D" w:themeColor="text2"/>
                          <w:sz w:val="20"/>
                          <w:szCs w:val="20"/>
                          <w:vertAlign w:val="subscript"/>
                        </w:rPr>
                        <w:t>30%SPR</w:t>
                      </w:r>
                      <w:r w:rsidRPr="00E03046">
                        <w:rPr>
                          <w:rFonts w:ascii="Arial" w:eastAsiaTheme="minorHAnsi" w:hAnsi="Arial" w:cs="Arial"/>
                          <w:color w:val="1F497D" w:themeColor="text2"/>
                          <w:sz w:val="20"/>
                          <w:szCs w:val="20"/>
                        </w:rPr>
                        <w:t xml:space="preserve"> is used as the F</w:t>
                      </w:r>
                      <w:r w:rsidRPr="00E03046">
                        <w:rPr>
                          <w:rFonts w:ascii="Arial" w:eastAsiaTheme="minorHAnsi" w:hAnsi="Arial" w:cs="Arial"/>
                          <w:color w:val="1F497D" w:themeColor="text2"/>
                          <w:sz w:val="20"/>
                          <w:szCs w:val="20"/>
                          <w:vertAlign w:val="subscript"/>
                        </w:rPr>
                        <w:t>MSY</w:t>
                      </w:r>
                      <w:r w:rsidRPr="00E03046">
                        <w:rPr>
                          <w:rFonts w:ascii="Arial" w:eastAsiaTheme="minorHAnsi" w:hAnsi="Arial" w:cs="Arial"/>
                          <w:color w:val="1F497D" w:themeColor="text2"/>
                          <w:sz w:val="20"/>
                          <w:szCs w:val="20"/>
                        </w:rPr>
                        <w:t xml:space="preserve"> proxy. </w:t>
                      </w:r>
                      <w:r>
                        <w:rPr>
                          <w:rFonts w:ascii="Arial" w:eastAsiaTheme="minorHAnsi" w:hAnsi="Arial" w:cs="Arial"/>
                          <w:color w:val="1F497D" w:themeColor="text2"/>
                          <w:sz w:val="20"/>
                          <w:szCs w:val="20"/>
                        </w:rPr>
                        <w:t xml:space="preserve"> </w:t>
                      </w:r>
                      <w:r w:rsidRPr="00E03046">
                        <w:rPr>
                          <w:rFonts w:ascii="Arial" w:eastAsiaTheme="minorHAnsi" w:hAnsi="Arial" w:cs="Arial"/>
                          <w:color w:val="1F497D" w:themeColor="text2"/>
                          <w:sz w:val="20"/>
                          <w:szCs w:val="20"/>
                        </w:rPr>
                        <w:t>The value is not specified.</w:t>
                      </w:r>
                    </w:p>
                    <w:p w14:paraId="50AB098E" w14:textId="77777777" w:rsidR="009108B8" w:rsidRPr="00E03046" w:rsidRDefault="009108B8" w:rsidP="00340F89">
                      <w:pPr>
                        <w:rPr>
                          <w:rFonts w:ascii="Arial" w:eastAsiaTheme="minorHAnsi" w:hAnsi="Arial" w:cs="Arial"/>
                          <w:color w:val="1F497D" w:themeColor="text2"/>
                          <w:sz w:val="20"/>
                          <w:szCs w:val="20"/>
                        </w:rPr>
                      </w:pPr>
                    </w:p>
                    <w:p w14:paraId="4C9A7F4D" w14:textId="77777777" w:rsidR="009108B8" w:rsidRDefault="009108B8" w:rsidP="00340F89">
                      <w:pPr>
                        <w:rPr>
                          <w:rFonts w:ascii="Arial" w:eastAsiaTheme="minorHAnsi" w:hAnsi="Arial" w:cs="Arial"/>
                          <w:b/>
                          <w:color w:val="1F497D" w:themeColor="text2"/>
                          <w:sz w:val="20"/>
                          <w:szCs w:val="20"/>
                        </w:rPr>
                      </w:pPr>
                      <w:r w:rsidRPr="00E03046">
                        <w:rPr>
                          <w:rFonts w:ascii="Arial" w:eastAsiaTheme="minorHAnsi" w:hAnsi="Arial" w:cs="Arial"/>
                          <w:b/>
                          <w:color w:val="1F497D" w:themeColor="text2"/>
                          <w:sz w:val="20"/>
                          <w:szCs w:val="20"/>
                        </w:rPr>
                        <w:t xml:space="preserve">2. </w:t>
                      </w:r>
                      <w:r>
                        <w:rPr>
                          <w:rFonts w:ascii="Arial" w:eastAsiaTheme="minorHAnsi" w:hAnsi="Arial" w:cs="Arial"/>
                          <w:b/>
                          <w:color w:val="1F497D" w:themeColor="text2"/>
                          <w:sz w:val="20"/>
                          <w:szCs w:val="20"/>
                        </w:rPr>
                        <w:t>MSY</w:t>
                      </w:r>
                      <w:r w:rsidRPr="00E03046">
                        <w:rPr>
                          <w:rFonts w:ascii="Arial" w:eastAsiaTheme="minorHAnsi" w:hAnsi="Arial" w:cs="Arial"/>
                          <w:b/>
                          <w:color w:val="1F497D" w:themeColor="text2"/>
                          <w:sz w:val="20"/>
                          <w:szCs w:val="20"/>
                        </w:rPr>
                        <w:t xml:space="preserve"> equals the yield produced by F</w:t>
                      </w:r>
                      <w:r w:rsidRPr="00E03046">
                        <w:rPr>
                          <w:rFonts w:ascii="Arial" w:eastAsiaTheme="minorHAnsi" w:hAnsi="Arial" w:cs="Arial"/>
                          <w:b/>
                          <w:color w:val="1F497D" w:themeColor="text2"/>
                          <w:sz w:val="20"/>
                          <w:szCs w:val="20"/>
                          <w:vertAlign w:val="subscript"/>
                        </w:rPr>
                        <w:t>MSY</w:t>
                      </w:r>
                      <w:r w:rsidRPr="00E03046">
                        <w:rPr>
                          <w:rFonts w:ascii="Arial" w:eastAsiaTheme="minorHAnsi" w:hAnsi="Arial" w:cs="Arial"/>
                          <w:b/>
                          <w:color w:val="1F497D" w:themeColor="text2"/>
                          <w:sz w:val="20"/>
                          <w:szCs w:val="20"/>
                        </w:rPr>
                        <w:t xml:space="preserve"> or the F</w:t>
                      </w:r>
                      <w:r w:rsidRPr="00E03046">
                        <w:rPr>
                          <w:rFonts w:ascii="Arial" w:eastAsiaTheme="minorHAnsi" w:hAnsi="Arial" w:cs="Arial"/>
                          <w:b/>
                          <w:color w:val="1F497D" w:themeColor="text2"/>
                          <w:sz w:val="20"/>
                          <w:szCs w:val="20"/>
                          <w:vertAlign w:val="subscript"/>
                        </w:rPr>
                        <w:t>MSY</w:t>
                      </w:r>
                      <w:r w:rsidRPr="00E03046">
                        <w:rPr>
                          <w:rFonts w:ascii="Arial" w:eastAsiaTheme="minorHAnsi" w:hAnsi="Arial" w:cs="Arial"/>
                          <w:b/>
                          <w:color w:val="1F497D" w:themeColor="text2"/>
                          <w:sz w:val="20"/>
                          <w:szCs w:val="20"/>
                        </w:rPr>
                        <w:t xml:space="preserve"> proxy.  MSY and F</w:t>
                      </w:r>
                      <w:r w:rsidRPr="00E03046">
                        <w:rPr>
                          <w:rFonts w:ascii="Arial" w:eastAsiaTheme="minorHAnsi" w:hAnsi="Arial" w:cs="Arial"/>
                          <w:b/>
                          <w:color w:val="1F497D" w:themeColor="text2"/>
                          <w:sz w:val="20"/>
                          <w:szCs w:val="20"/>
                          <w:vertAlign w:val="subscript"/>
                        </w:rPr>
                        <w:t xml:space="preserve">MSY </w:t>
                      </w:r>
                      <w:r w:rsidRPr="00E03046">
                        <w:rPr>
                          <w:rFonts w:ascii="Arial" w:eastAsiaTheme="minorHAnsi" w:hAnsi="Arial" w:cs="Arial"/>
                          <w:b/>
                          <w:color w:val="1F497D" w:themeColor="text2"/>
                          <w:sz w:val="20"/>
                          <w:szCs w:val="20"/>
                        </w:rPr>
                        <w:t>are recommended by the most recent SEDAR/SSC.</w:t>
                      </w:r>
                    </w:p>
                    <w:p w14:paraId="5E128A55" w14:textId="77777777" w:rsidR="009108B8" w:rsidRDefault="009108B8" w:rsidP="00340F89">
                      <w:pPr>
                        <w:rPr>
                          <w:rFonts w:ascii="Arial" w:eastAsiaTheme="minorHAnsi" w:hAnsi="Arial" w:cs="Arial"/>
                          <w:b/>
                          <w:color w:val="1F497D" w:themeColor="text2"/>
                          <w:sz w:val="20"/>
                          <w:szCs w:val="20"/>
                        </w:rPr>
                      </w:pPr>
                    </w:p>
                    <w:p w14:paraId="0851C529" w14:textId="77777777" w:rsidR="009108B8" w:rsidRPr="00E03046" w:rsidRDefault="009108B8" w:rsidP="00340F89">
                      <w:pPr>
                        <w:rPr>
                          <w:rFonts w:ascii="Arial" w:hAnsi="Arial" w:cs="Arial"/>
                          <w:color w:val="1F497D" w:themeColor="text2"/>
                          <w:sz w:val="20"/>
                          <w:szCs w:val="20"/>
                        </w:rPr>
                      </w:pPr>
                      <w:r>
                        <w:rPr>
                          <w:rFonts w:ascii="Arial" w:eastAsiaTheme="minorHAnsi" w:hAnsi="Arial" w:cs="Arial"/>
                          <w:color w:val="1F497D" w:themeColor="text2"/>
                          <w:sz w:val="20"/>
                          <w:szCs w:val="20"/>
                        </w:rPr>
                        <w:t xml:space="preserve">* Preferred indicated in bold.  </w:t>
                      </w:r>
                      <w:r w:rsidRPr="00E03046">
                        <w:rPr>
                          <w:rFonts w:ascii="Arial" w:eastAsiaTheme="minorHAnsi" w:hAnsi="Arial" w:cs="Arial"/>
                          <w:color w:val="1F497D" w:themeColor="text2"/>
                          <w:sz w:val="20"/>
                          <w:szCs w:val="20"/>
                        </w:rPr>
                        <w:t>Refer to Chapter 2 for detailed language of alternatives</w:t>
                      </w:r>
                    </w:p>
                  </w:txbxContent>
                </v:textbox>
                <w10:wrap type="square" anchorx="margin" anchory="margin"/>
              </v:shape>
            </w:pict>
          </mc:Fallback>
        </mc:AlternateContent>
      </w:r>
      <w:r w:rsidR="00C3720F" w:rsidRPr="00A165D9">
        <w:rPr>
          <w:rStyle w:val="Heading4Char1"/>
          <w:rFonts w:ascii="Arial" w:hAnsi="Arial" w:cs="Arial"/>
          <w:sz w:val="24"/>
          <w:szCs w:val="24"/>
        </w:rPr>
        <w:t>5.</w:t>
      </w:r>
      <w:r w:rsidR="00C3720F" w:rsidRPr="00167455">
        <w:rPr>
          <w:rStyle w:val="Heading4Char1"/>
          <w:rFonts w:ascii="Arial" w:hAnsi="Arial" w:cs="Arial"/>
          <w:bCs w:val="0"/>
          <w:sz w:val="24"/>
          <w:szCs w:val="24"/>
        </w:rPr>
        <w:t>1</w:t>
      </w:r>
      <w:r w:rsidR="00C3720F" w:rsidRPr="00022262">
        <w:rPr>
          <w:rStyle w:val="Heading4Char1"/>
          <w:rFonts w:ascii="Arial" w:hAnsi="Arial" w:cs="Arial"/>
          <w:sz w:val="24"/>
          <w:szCs w:val="24"/>
        </w:rPr>
        <w:t>.1</w:t>
      </w:r>
      <w:r w:rsidR="00C3720F" w:rsidRPr="00022262">
        <w:rPr>
          <w:rStyle w:val="Heading4Char1"/>
          <w:rFonts w:ascii="Arial" w:hAnsi="Arial" w:cs="Arial"/>
          <w:sz w:val="24"/>
          <w:szCs w:val="24"/>
        </w:rPr>
        <w:tab/>
      </w:r>
      <w:r w:rsidR="00C3720F" w:rsidRPr="00022262">
        <w:rPr>
          <w:rStyle w:val="Heading4Char1"/>
          <w:rFonts w:ascii="Arial" w:hAnsi="Arial" w:cs="Arial"/>
          <w:bCs w:val="0"/>
          <w:sz w:val="24"/>
          <w:szCs w:val="24"/>
        </w:rPr>
        <w:t>Snapper Grouper</w:t>
      </w:r>
      <w:r w:rsidR="00C3720F" w:rsidRPr="00022262">
        <w:rPr>
          <w:rStyle w:val="Heading4Char1"/>
          <w:rFonts w:ascii="Arial" w:hAnsi="Arial" w:cs="Arial"/>
          <w:sz w:val="24"/>
          <w:szCs w:val="24"/>
        </w:rPr>
        <w:t xml:space="preserve"> Advisory Panel </w:t>
      </w:r>
      <w:r w:rsidR="003912B8">
        <w:rPr>
          <w:rStyle w:val="Heading4Char1"/>
          <w:rFonts w:ascii="Arial" w:hAnsi="Arial" w:cs="Arial"/>
          <w:sz w:val="24"/>
          <w:szCs w:val="24"/>
        </w:rPr>
        <w:t xml:space="preserve">(AP) </w:t>
      </w:r>
      <w:r w:rsidR="00C3720F" w:rsidRPr="00022262">
        <w:rPr>
          <w:rStyle w:val="Heading4Char1"/>
          <w:rFonts w:ascii="Arial" w:hAnsi="Arial" w:cs="Arial"/>
          <w:sz w:val="24"/>
          <w:szCs w:val="24"/>
        </w:rPr>
        <w:t>Comments and Recommendations</w:t>
      </w:r>
      <w:bookmarkEnd w:id="298"/>
      <w:bookmarkEnd w:id="300"/>
    </w:p>
    <w:p w14:paraId="22249ADB" w14:textId="6BB5B926" w:rsidR="003912B8" w:rsidRPr="00CE4B96" w:rsidRDefault="00D96DA5" w:rsidP="00CE4B96">
      <w:pPr>
        <w:ind w:firstLine="360"/>
      </w:pPr>
      <w:r w:rsidRPr="00B27D30">
        <w:t>The Snapper Grouper AP discussed Amendm</w:t>
      </w:r>
      <w:r w:rsidR="00B77366">
        <w:t>ent 41 during their April 26-27,</w:t>
      </w:r>
      <w:r w:rsidRPr="00B27D30">
        <w:t xml:space="preserve"> 2016 meeting.  At that time, actions in Amendment 41 were numbered differently and revisions have been made to the language of actions and alternatives in the amendment. </w:t>
      </w:r>
      <w:r>
        <w:t xml:space="preserve"> </w:t>
      </w:r>
      <w:r w:rsidRPr="00B27D30">
        <w:t xml:space="preserve">Hence, the AP’s motions may not reflect the chronology of actions/alternatives or the current language.  </w:t>
      </w:r>
      <w:r>
        <w:t>The Snapper Grouper AP had no comments or recommendations regarding specification of MSY for mutton snapper in the South Atlantic.</w:t>
      </w:r>
    </w:p>
    <w:p w14:paraId="4508B713" w14:textId="01A43294" w:rsidR="00C3720F" w:rsidRDefault="00C3720F" w:rsidP="00C3720F">
      <w:pPr>
        <w:pStyle w:val="Heading3"/>
        <w:rPr>
          <w:rStyle w:val="Heading4Char1"/>
          <w:rFonts w:ascii="Arial" w:hAnsi="Arial" w:cs="Arial"/>
          <w:sz w:val="24"/>
          <w:szCs w:val="24"/>
        </w:rPr>
      </w:pPr>
      <w:bookmarkStart w:id="301" w:name="_Toc370375267"/>
      <w:bookmarkStart w:id="302" w:name="_Toc339811772"/>
      <w:r w:rsidRPr="00A165D9">
        <w:rPr>
          <w:rStyle w:val="Heading4Char1"/>
          <w:rFonts w:ascii="Arial" w:hAnsi="Arial" w:cs="Arial"/>
          <w:sz w:val="24"/>
          <w:szCs w:val="24"/>
        </w:rPr>
        <w:t>5.</w:t>
      </w:r>
      <w:r w:rsidRPr="00167455">
        <w:rPr>
          <w:rStyle w:val="Heading4Char1"/>
          <w:rFonts w:ascii="Arial" w:hAnsi="Arial" w:cs="Arial"/>
          <w:bCs w:val="0"/>
          <w:sz w:val="24"/>
          <w:szCs w:val="24"/>
        </w:rPr>
        <w:t>1</w:t>
      </w:r>
      <w:r w:rsidRPr="00022262">
        <w:rPr>
          <w:rStyle w:val="Heading4Char1"/>
          <w:rFonts w:ascii="Arial" w:hAnsi="Arial" w:cs="Arial"/>
          <w:sz w:val="24"/>
          <w:szCs w:val="24"/>
        </w:rPr>
        <w:t>.</w:t>
      </w:r>
      <w:r w:rsidR="00787B86">
        <w:rPr>
          <w:rStyle w:val="Heading4Char1"/>
          <w:rFonts w:ascii="Arial" w:hAnsi="Arial" w:cs="Arial"/>
          <w:bCs w:val="0"/>
          <w:sz w:val="24"/>
          <w:szCs w:val="24"/>
        </w:rPr>
        <w:t>2</w:t>
      </w:r>
      <w:r w:rsidRPr="00022262">
        <w:rPr>
          <w:rStyle w:val="Heading4Char1"/>
          <w:rFonts w:ascii="Arial" w:hAnsi="Arial" w:cs="Arial"/>
          <w:sz w:val="24"/>
          <w:szCs w:val="24"/>
        </w:rPr>
        <w:tab/>
        <w:t xml:space="preserve">Law Enforcement </w:t>
      </w:r>
      <w:r w:rsidR="0054734A">
        <w:rPr>
          <w:rStyle w:val="Heading4Char1"/>
          <w:rFonts w:ascii="Arial" w:hAnsi="Arial" w:cs="Arial"/>
          <w:sz w:val="24"/>
          <w:szCs w:val="24"/>
        </w:rPr>
        <w:t>AP</w:t>
      </w:r>
      <w:r w:rsidRPr="00022262">
        <w:rPr>
          <w:rStyle w:val="Heading4Char1"/>
          <w:rFonts w:ascii="Arial" w:hAnsi="Arial" w:cs="Arial"/>
          <w:sz w:val="24"/>
          <w:szCs w:val="24"/>
        </w:rPr>
        <w:t xml:space="preserve"> Comments and Recommendations</w:t>
      </w:r>
      <w:bookmarkEnd w:id="301"/>
      <w:bookmarkEnd w:id="302"/>
    </w:p>
    <w:p w14:paraId="34BD9924" w14:textId="77777777" w:rsidR="00D96DA5" w:rsidRPr="008B07B5" w:rsidRDefault="00D96DA5" w:rsidP="00D96DA5">
      <w:pPr>
        <w:ind w:firstLine="360"/>
      </w:pPr>
      <w:r w:rsidRPr="008B07B5">
        <w:t xml:space="preserve">The </w:t>
      </w:r>
      <w:r>
        <w:t>Law Enforcement AP received a briefing on Amendment 41 during their March 7-8, 2016 meeting.  The Law Enforcement AP had no comments or recommendations.</w:t>
      </w:r>
    </w:p>
    <w:p w14:paraId="1F199D8B" w14:textId="77777777" w:rsidR="00D96DA5" w:rsidRPr="00D96DA5" w:rsidRDefault="00D96DA5" w:rsidP="00D96DA5"/>
    <w:p w14:paraId="704A030C" w14:textId="4E9CB3B8" w:rsidR="00C3720F" w:rsidRPr="00022262" w:rsidRDefault="00C3720F" w:rsidP="00C3720F">
      <w:pPr>
        <w:pStyle w:val="Heading3"/>
        <w:rPr>
          <w:rStyle w:val="Heading4Char1"/>
          <w:rFonts w:ascii="Arial" w:hAnsi="Arial" w:cs="Arial"/>
          <w:b w:val="0"/>
          <w:bCs w:val="0"/>
          <w:iCs/>
          <w:sz w:val="24"/>
          <w:szCs w:val="24"/>
        </w:rPr>
      </w:pPr>
      <w:bookmarkStart w:id="303" w:name="_Toc370375268"/>
      <w:bookmarkStart w:id="304" w:name="_Toc339811773"/>
      <w:r w:rsidRPr="00A165D9">
        <w:rPr>
          <w:rStyle w:val="Heading4Char1"/>
          <w:rFonts w:ascii="Arial" w:hAnsi="Arial" w:cs="Arial"/>
          <w:sz w:val="24"/>
          <w:szCs w:val="24"/>
        </w:rPr>
        <w:t>5.</w:t>
      </w:r>
      <w:r w:rsidRPr="00167455">
        <w:rPr>
          <w:rStyle w:val="Heading4Char1"/>
          <w:rFonts w:ascii="Arial" w:hAnsi="Arial" w:cs="Arial"/>
          <w:bCs w:val="0"/>
          <w:sz w:val="24"/>
          <w:szCs w:val="24"/>
        </w:rPr>
        <w:t>1</w:t>
      </w:r>
      <w:r w:rsidRPr="00022262">
        <w:rPr>
          <w:rStyle w:val="Heading4Char1"/>
          <w:rFonts w:ascii="Arial" w:hAnsi="Arial" w:cs="Arial"/>
          <w:sz w:val="24"/>
          <w:szCs w:val="24"/>
        </w:rPr>
        <w:t>.</w:t>
      </w:r>
      <w:r w:rsidR="00787B86">
        <w:rPr>
          <w:rStyle w:val="Heading4Char1"/>
          <w:rFonts w:ascii="Arial" w:hAnsi="Arial" w:cs="Arial"/>
          <w:bCs w:val="0"/>
          <w:sz w:val="24"/>
          <w:szCs w:val="24"/>
        </w:rPr>
        <w:t>3</w:t>
      </w:r>
      <w:r w:rsidRPr="00022262">
        <w:rPr>
          <w:rStyle w:val="Heading4Char1"/>
          <w:rFonts w:ascii="Arial" w:hAnsi="Arial" w:cs="Arial"/>
          <w:b w:val="0"/>
          <w:bCs w:val="0"/>
          <w:sz w:val="24"/>
          <w:szCs w:val="24"/>
        </w:rPr>
        <w:tab/>
      </w:r>
      <w:r w:rsidRPr="00022262">
        <w:rPr>
          <w:rStyle w:val="Heading4Char1"/>
          <w:rFonts w:ascii="Arial" w:hAnsi="Arial" w:cs="Arial"/>
          <w:sz w:val="24"/>
          <w:szCs w:val="24"/>
        </w:rPr>
        <w:t xml:space="preserve">Scientific and Statistical Committee </w:t>
      </w:r>
      <w:r w:rsidR="001F35E5">
        <w:rPr>
          <w:rStyle w:val="Heading4Char1"/>
          <w:rFonts w:ascii="Arial" w:hAnsi="Arial" w:cs="Arial"/>
          <w:sz w:val="24"/>
          <w:szCs w:val="24"/>
        </w:rPr>
        <w:t xml:space="preserve">(SSC) </w:t>
      </w:r>
      <w:r w:rsidRPr="00022262">
        <w:rPr>
          <w:rStyle w:val="Heading4Char1"/>
          <w:rFonts w:ascii="Arial" w:hAnsi="Arial" w:cs="Arial"/>
          <w:sz w:val="24"/>
          <w:szCs w:val="24"/>
        </w:rPr>
        <w:t>Comments and Recommendations</w:t>
      </w:r>
      <w:bookmarkEnd w:id="303"/>
      <w:bookmarkEnd w:id="304"/>
    </w:p>
    <w:p w14:paraId="606F18E1" w14:textId="0B20DEB6" w:rsidR="00D40718" w:rsidRDefault="00A66EF3" w:rsidP="006B1A45">
      <w:pPr>
        <w:ind w:firstLine="360"/>
      </w:pPr>
      <w:r>
        <w:t xml:space="preserve">The SSC reviewed the SEDAR 15A update (2015) for mutton snapper at their April 28-30, 2015 meeting.  An excerpt from the SSC’s report for that meeting is below. </w:t>
      </w:r>
    </w:p>
    <w:p w14:paraId="251FD3D2" w14:textId="77777777" w:rsidR="00A66EF3" w:rsidRPr="00A66EF3" w:rsidRDefault="00A66EF3" w:rsidP="00A66EF3">
      <w:pPr>
        <w:rPr>
          <w:i/>
        </w:rPr>
      </w:pPr>
      <w:r w:rsidRPr="00A66EF3">
        <w:rPr>
          <w:i/>
        </w:rPr>
        <w:t>The SSC reviewed the mutton snapper SEDAR 15A assessment update conducted by Florida FWC. The Committee consensus was that the update represents the best scientific information available and can, therefore, be used to provide management advice.</w:t>
      </w:r>
    </w:p>
    <w:p w14:paraId="510DE605" w14:textId="77777777" w:rsidR="00A66EF3" w:rsidRPr="00A66EF3" w:rsidRDefault="00A66EF3" w:rsidP="00A66EF3">
      <w:pPr>
        <w:rPr>
          <w:i/>
        </w:rPr>
      </w:pPr>
      <w:r w:rsidRPr="00A66EF3">
        <w:rPr>
          <w:i/>
        </w:rPr>
        <w:t>Specific comments and discussion points brought up during the SSC meeting included:</w:t>
      </w:r>
    </w:p>
    <w:p w14:paraId="1D3E39A4" w14:textId="77777777" w:rsidR="00A66EF3" w:rsidRPr="00A66EF3" w:rsidRDefault="00A66EF3" w:rsidP="00A66EF3">
      <w:pPr>
        <w:rPr>
          <w:i/>
        </w:rPr>
      </w:pPr>
      <w:r w:rsidRPr="00A66EF3">
        <w:rPr>
          <w:i/>
        </w:rPr>
        <w:t>- The SSC expressed concern that, despite improvements in the data streams and the fact that the analytical team tried to follow CIE reviewer recommendations from the previous assessment, a few problems either developed or worsened during the update:</w:t>
      </w:r>
    </w:p>
    <w:p w14:paraId="77360AA9" w14:textId="77777777" w:rsidR="00A66EF3" w:rsidRPr="00A66EF3" w:rsidRDefault="00A66EF3" w:rsidP="00A66EF3">
      <w:pPr>
        <w:rPr>
          <w:i/>
        </w:rPr>
      </w:pPr>
      <w:r w:rsidRPr="00A66EF3">
        <w:rPr>
          <w:i/>
        </w:rPr>
        <w:t>• Patterns in residuals for some of the indices and the commercial discards.</w:t>
      </w:r>
    </w:p>
    <w:p w14:paraId="6F43FD89" w14:textId="77777777" w:rsidR="00A66EF3" w:rsidRPr="00A66EF3" w:rsidRDefault="00A66EF3" w:rsidP="00A66EF3">
      <w:pPr>
        <w:rPr>
          <w:i/>
        </w:rPr>
      </w:pPr>
      <w:r w:rsidRPr="00A66EF3">
        <w:rPr>
          <w:i/>
        </w:rPr>
        <w:t>• Poor fit to the age composition.</w:t>
      </w:r>
    </w:p>
    <w:p w14:paraId="1E62729F" w14:textId="77777777" w:rsidR="00A66EF3" w:rsidRPr="00A66EF3" w:rsidRDefault="00A66EF3" w:rsidP="00A66EF3">
      <w:pPr>
        <w:rPr>
          <w:i/>
        </w:rPr>
      </w:pPr>
      <w:r w:rsidRPr="00A66EF3">
        <w:rPr>
          <w:i/>
        </w:rPr>
        <w:t>• Problems estimating selectivity for some of the fleets.</w:t>
      </w:r>
    </w:p>
    <w:p w14:paraId="41D40F5C" w14:textId="77777777" w:rsidR="00A66EF3" w:rsidRDefault="00A66EF3" w:rsidP="00A66EF3">
      <w:pPr>
        <w:rPr>
          <w:i/>
        </w:rPr>
      </w:pPr>
      <w:r w:rsidRPr="00A66EF3">
        <w:rPr>
          <w:i/>
        </w:rPr>
        <w:lastRenderedPageBreak/>
        <w:t>- However, the change in magnitude of the MSY estimate between the prior and this assessment seems to reflect improvements in how the update model handles fishing mortality and selectivity (i.e., improved selectivity estimates prevent the assumption of a large cryptic biomass as observed in SEDAR 15A).</w:t>
      </w:r>
    </w:p>
    <w:p w14:paraId="2C585F8D" w14:textId="77777777" w:rsidR="000C081A" w:rsidRDefault="000C081A" w:rsidP="00A66EF3">
      <w:pPr>
        <w:rPr>
          <w:i/>
        </w:rPr>
      </w:pPr>
    </w:p>
    <w:p w14:paraId="70832CDD" w14:textId="1708169E" w:rsidR="000C081A" w:rsidRDefault="000C081A" w:rsidP="00A66EF3">
      <w:pPr>
        <w:rPr>
          <w:i/>
        </w:rPr>
      </w:pPr>
      <w:r w:rsidRPr="000C081A">
        <w:rPr>
          <w:i/>
        </w:rPr>
        <w:t>Since this assessment falls under Tier 1 of the SAFMC ABC control rule, ABC was obtained according to a P* value. A summary of results from applying the ABC control rule is presented below:</w:t>
      </w:r>
    </w:p>
    <w:p w14:paraId="7AEE2809" w14:textId="77777777" w:rsidR="000C081A" w:rsidRPr="000C081A" w:rsidRDefault="000C081A" w:rsidP="000C081A">
      <w:pPr>
        <w:rPr>
          <w:i/>
        </w:rPr>
      </w:pPr>
      <w:r w:rsidRPr="000C081A">
        <w:rPr>
          <w:i/>
        </w:rPr>
        <w:t>1. Assessment Information: Tier 2 (-2.5%): an SPR-based proxy was used for MSY benchmarks.</w:t>
      </w:r>
    </w:p>
    <w:p w14:paraId="1D82DE41" w14:textId="77777777" w:rsidR="000C081A" w:rsidRPr="000C081A" w:rsidRDefault="000C081A" w:rsidP="000C081A">
      <w:pPr>
        <w:rPr>
          <w:i/>
        </w:rPr>
      </w:pPr>
      <w:r w:rsidRPr="000C081A">
        <w:rPr>
          <w:i/>
        </w:rPr>
        <w:t>2. Uncertainty: Tier 3, medium (-5.0%): many of the uncertainties are well documented but did not seem to take into account problems with fitting the indices and the age comps.</w:t>
      </w:r>
    </w:p>
    <w:p w14:paraId="40951631" w14:textId="77777777" w:rsidR="000C081A" w:rsidRPr="000C081A" w:rsidRDefault="000C081A" w:rsidP="000C081A">
      <w:pPr>
        <w:rPr>
          <w:i/>
        </w:rPr>
      </w:pPr>
      <w:r w:rsidRPr="000C081A">
        <w:rPr>
          <w:i/>
        </w:rPr>
        <w:t>3. Stock Status: Tier 2, Not Overfished, No Overfishing is occurring but stock may be in close proximity to benchmark values (-2.5%).</w:t>
      </w:r>
    </w:p>
    <w:p w14:paraId="32812095" w14:textId="77777777" w:rsidR="000C081A" w:rsidRPr="000C081A" w:rsidRDefault="000C081A" w:rsidP="000C081A">
      <w:pPr>
        <w:rPr>
          <w:i/>
        </w:rPr>
      </w:pPr>
      <w:r w:rsidRPr="000C081A">
        <w:rPr>
          <w:i/>
        </w:rPr>
        <w:t>4. Productivity-Susceptibility Analysis: High Risk (-10%): based on the MRAG report.</w:t>
      </w:r>
    </w:p>
    <w:p w14:paraId="112F762D" w14:textId="64D5582D" w:rsidR="000C081A" w:rsidRDefault="000C081A" w:rsidP="000C081A">
      <w:pPr>
        <w:rPr>
          <w:i/>
        </w:rPr>
      </w:pPr>
      <w:r w:rsidRPr="000C081A">
        <w:rPr>
          <w:i/>
        </w:rPr>
        <w:t>In total, these results provide for an adjustment score of 20%, and a P* of 30%. The SSC recommends using 5-year projections at P*=50% for OFL and at P*=30% for ABC</w:t>
      </w:r>
      <w:r>
        <w:rPr>
          <w:i/>
        </w:rPr>
        <w:t>.</w:t>
      </w:r>
    </w:p>
    <w:p w14:paraId="51E7F918" w14:textId="77777777" w:rsidR="000C081A" w:rsidRDefault="000C081A" w:rsidP="000C081A">
      <w:pPr>
        <w:rPr>
          <w:i/>
        </w:rPr>
      </w:pPr>
    </w:p>
    <w:p w14:paraId="67A4A4E7" w14:textId="271514CC" w:rsidR="000C081A" w:rsidRPr="000C081A" w:rsidRDefault="000C081A" w:rsidP="000C081A">
      <w:r w:rsidRPr="000C081A">
        <w:t>SSC Mutton Snapper Recommendations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2"/>
        <w:gridCol w:w="3959"/>
        <w:gridCol w:w="2005"/>
      </w:tblGrid>
      <w:tr w:rsidR="000C081A" w:rsidRPr="00B32742" w14:paraId="0A5B8964" w14:textId="77777777" w:rsidTr="006B1A45">
        <w:tc>
          <w:tcPr>
            <w:tcW w:w="1886" w:type="pct"/>
            <w:shd w:val="clear" w:color="auto" w:fill="D9D9D9" w:themeFill="background1" w:themeFillShade="D9"/>
            <w:tcMar>
              <w:top w:w="144" w:type="nil"/>
              <w:right w:w="144" w:type="nil"/>
            </w:tcMar>
          </w:tcPr>
          <w:p w14:paraId="53592165" w14:textId="77777777" w:rsidR="000C081A" w:rsidRPr="00B32742" w:rsidRDefault="000C081A" w:rsidP="006B1A45">
            <w:pPr>
              <w:widowControl w:val="0"/>
              <w:autoSpaceDE w:val="0"/>
              <w:autoSpaceDN w:val="0"/>
              <w:adjustRightInd w:val="0"/>
              <w:jc w:val="center"/>
              <w:rPr>
                <w:sz w:val="22"/>
                <w:szCs w:val="22"/>
              </w:rPr>
            </w:pPr>
            <w:r w:rsidRPr="00B32742">
              <w:rPr>
                <w:b/>
                <w:bCs/>
                <w:sz w:val="22"/>
                <w:szCs w:val="22"/>
              </w:rPr>
              <w:t>Criteria</w:t>
            </w:r>
          </w:p>
        </w:tc>
        <w:tc>
          <w:tcPr>
            <w:tcW w:w="2067" w:type="pct"/>
            <w:shd w:val="clear" w:color="auto" w:fill="D9D9D9" w:themeFill="background1" w:themeFillShade="D9"/>
            <w:tcMar>
              <w:top w:w="144" w:type="nil"/>
              <w:right w:w="144" w:type="nil"/>
            </w:tcMar>
          </w:tcPr>
          <w:p w14:paraId="1D62F7A9" w14:textId="77777777" w:rsidR="000C081A" w:rsidRPr="00B32742" w:rsidRDefault="000C081A" w:rsidP="006B1A45">
            <w:pPr>
              <w:widowControl w:val="0"/>
              <w:autoSpaceDE w:val="0"/>
              <w:autoSpaceDN w:val="0"/>
              <w:adjustRightInd w:val="0"/>
              <w:jc w:val="center"/>
              <w:rPr>
                <w:sz w:val="22"/>
                <w:szCs w:val="22"/>
              </w:rPr>
            </w:pPr>
            <w:r w:rsidRPr="00B32742">
              <w:rPr>
                <w:b/>
                <w:bCs/>
                <w:sz w:val="22"/>
                <w:szCs w:val="22"/>
              </w:rPr>
              <w:t>Deterministic</w:t>
            </w:r>
          </w:p>
        </w:tc>
        <w:tc>
          <w:tcPr>
            <w:tcW w:w="1047" w:type="pct"/>
            <w:shd w:val="clear" w:color="auto" w:fill="D9D9D9" w:themeFill="background1" w:themeFillShade="D9"/>
            <w:tcMar>
              <w:top w:w="144" w:type="nil"/>
              <w:right w:w="144" w:type="nil"/>
            </w:tcMar>
          </w:tcPr>
          <w:p w14:paraId="78C3CB4F" w14:textId="77777777" w:rsidR="000C081A" w:rsidRPr="00B32742" w:rsidRDefault="000C081A" w:rsidP="006B1A45">
            <w:pPr>
              <w:widowControl w:val="0"/>
              <w:autoSpaceDE w:val="0"/>
              <w:autoSpaceDN w:val="0"/>
              <w:adjustRightInd w:val="0"/>
              <w:jc w:val="center"/>
              <w:rPr>
                <w:sz w:val="22"/>
                <w:szCs w:val="22"/>
              </w:rPr>
            </w:pPr>
            <w:r w:rsidRPr="00B32742">
              <w:rPr>
                <w:b/>
                <w:bCs/>
                <w:sz w:val="22"/>
                <w:szCs w:val="22"/>
              </w:rPr>
              <w:t>Probabilistic</w:t>
            </w:r>
          </w:p>
        </w:tc>
      </w:tr>
      <w:tr w:rsidR="000C081A" w:rsidRPr="00B32742" w14:paraId="73E2E27B" w14:textId="77777777" w:rsidTr="006B1A45">
        <w:tc>
          <w:tcPr>
            <w:tcW w:w="1886" w:type="pct"/>
            <w:tcMar>
              <w:top w:w="144" w:type="nil"/>
              <w:right w:w="144" w:type="nil"/>
            </w:tcMar>
          </w:tcPr>
          <w:p w14:paraId="74B2862F" w14:textId="77777777" w:rsidR="000C081A" w:rsidRPr="00B32742" w:rsidRDefault="000C081A" w:rsidP="006B1A45">
            <w:pPr>
              <w:widowControl w:val="0"/>
              <w:autoSpaceDE w:val="0"/>
              <w:autoSpaceDN w:val="0"/>
              <w:adjustRightInd w:val="0"/>
              <w:rPr>
                <w:sz w:val="22"/>
                <w:szCs w:val="22"/>
              </w:rPr>
            </w:pPr>
            <w:r w:rsidRPr="00B32742">
              <w:rPr>
                <w:sz w:val="22"/>
                <w:szCs w:val="22"/>
              </w:rPr>
              <w:t>Overfished evaluation</w:t>
            </w:r>
          </w:p>
        </w:tc>
        <w:tc>
          <w:tcPr>
            <w:tcW w:w="2067" w:type="pct"/>
            <w:tcMar>
              <w:top w:w="144" w:type="nil"/>
              <w:right w:w="144" w:type="nil"/>
            </w:tcMar>
          </w:tcPr>
          <w:p w14:paraId="7FD2B680" w14:textId="77777777" w:rsidR="000C081A" w:rsidRPr="00B32742" w:rsidRDefault="000C081A" w:rsidP="006B1A45">
            <w:pPr>
              <w:widowControl w:val="0"/>
              <w:autoSpaceDE w:val="0"/>
              <w:autoSpaceDN w:val="0"/>
              <w:adjustRightInd w:val="0"/>
              <w:jc w:val="center"/>
              <w:rPr>
                <w:sz w:val="22"/>
                <w:szCs w:val="22"/>
              </w:rPr>
            </w:pPr>
            <w:r w:rsidRPr="00B32742">
              <w:rPr>
                <w:sz w:val="22"/>
                <w:szCs w:val="22"/>
              </w:rPr>
              <w:t>Not overfished: SSB/SSB</w:t>
            </w:r>
            <w:r w:rsidRPr="00B32742">
              <w:rPr>
                <w:sz w:val="22"/>
                <w:szCs w:val="22"/>
                <w:vertAlign w:val="subscript"/>
              </w:rPr>
              <w:t>F30%</w:t>
            </w:r>
            <w:r w:rsidRPr="00B32742">
              <w:rPr>
                <w:sz w:val="22"/>
                <w:szCs w:val="22"/>
              </w:rPr>
              <w:t>=1.13</w:t>
            </w:r>
          </w:p>
        </w:tc>
        <w:tc>
          <w:tcPr>
            <w:tcW w:w="1047" w:type="pct"/>
            <w:tcMar>
              <w:top w:w="144" w:type="nil"/>
              <w:right w:w="144" w:type="nil"/>
            </w:tcMar>
          </w:tcPr>
          <w:p w14:paraId="51B04F66" w14:textId="77777777" w:rsidR="000C081A" w:rsidRPr="00B32742" w:rsidRDefault="000C081A" w:rsidP="006B1A45">
            <w:pPr>
              <w:widowControl w:val="0"/>
              <w:autoSpaceDE w:val="0"/>
              <w:autoSpaceDN w:val="0"/>
              <w:adjustRightInd w:val="0"/>
              <w:jc w:val="center"/>
              <w:rPr>
                <w:sz w:val="22"/>
                <w:szCs w:val="22"/>
                <w:lang w:val="x-none" w:eastAsia="x-none"/>
              </w:rPr>
            </w:pPr>
          </w:p>
        </w:tc>
      </w:tr>
      <w:tr w:rsidR="000C081A" w:rsidRPr="00B32742" w14:paraId="5DCE3B6D" w14:textId="77777777" w:rsidTr="006B1A45">
        <w:tc>
          <w:tcPr>
            <w:tcW w:w="1886" w:type="pct"/>
            <w:tcMar>
              <w:top w:w="144" w:type="nil"/>
              <w:right w:w="144" w:type="nil"/>
            </w:tcMar>
          </w:tcPr>
          <w:p w14:paraId="62176E22" w14:textId="77777777" w:rsidR="000C081A" w:rsidRPr="00B32742" w:rsidRDefault="000C081A" w:rsidP="006B1A45">
            <w:pPr>
              <w:widowControl w:val="0"/>
              <w:autoSpaceDE w:val="0"/>
              <w:autoSpaceDN w:val="0"/>
              <w:adjustRightInd w:val="0"/>
              <w:rPr>
                <w:sz w:val="22"/>
                <w:szCs w:val="22"/>
              </w:rPr>
            </w:pPr>
            <w:r w:rsidRPr="00B32742">
              <w:rPr>
                <w:sz w:val="22"/>
                <w:szCs w:val="22"/>
              </w:rPr>
              <w:t>Overfishing evaluation</w:t>
            </w:r>
          </w:p>
        </w:tc>
        <w:tc>
          <w:tcPr>
            <w:tcW w:w="2067" w:type="pct"/>
            <w:tcMar>
              <w:top w:w="144" w:type="nil"/>
              <w:right w:w="144" w:type="nil"/>
            </w:tcMar>
          </w:tcPr>
          <w:p w14:paraId="37E90C75" w14:textId="77777777" w:rsidR="000C081A" w:rsidRPr="00B32742" w:rsidRDefault="000C081A" w:rsidP="006B1A45">
            <w:pPr>
              <w:widowControl w:val="0"/>
              <w:autoSpaceDE w:val="0"/>
              <w:autoSpaceDN w:val="0"/>
              <w:adjustRightInd w:val="0"/>
              <w:jc w:val="center"/>
              <w:rPr>
                <w:sz w:val="22"/>
                <w:szCs w:val="22"/>
              </w:rPr>
            </w:pPr>
            <w:r w:rsidRPr="00B32742">
              <w:rPr>
                <w:sz w:val="22"/>
                <w:szCs w:val="22"/>
              </w:rPr>
              <w:t>Not overfishing: F/F</w:t>
            </w:r>
            <w:r w:rsidRPr="00B32742">
              <w:rPr>
                <w:sz w:val="22"/>
                <w:szCs w:val="22"/>
                <w:vertAlign w:val="subscript"/>
              </w:rPr>
              <w:t>30%SPR</w:t>
            </w:r>
            <w:r w:rsidRPr="00B32742">
              <w:rPr>
                <w:sz w:val="22"/>
                <w:szCs w:val="22"/>
              </w:rPr>
              <w:t>=0.65</w:t>
            </w:r>
          </w:p>
        </w:tc>
        <w:tc>
          <w:tcPr>
            <w:tcW w:w="1047" w:type="pct"/>
            <w:tcMar>
              <w:top w:w="144" w:type="nil"/>
              <w:right w:w="144" w:type="nil"/>
            </w:tcMar>
          </w:tcPr>
          <w:p w14:paraId="028FB2E2" w14:textId="77777777" w:rsidR="000C081A" w:rsidRPr="00B32742" w:rsidRDefault="000C081A" w:rsidP="006B1A45">
            <w:pPr>
              <w:widowControl w:val="0"/>
              <w:autoSpaceDE w:val="0"/>
              <w:autoSpaceDN w:val="0"/>
              <w:adjustRightInd w:val="0"/>
              <w:jc w:val="center"/>
              <w:rPr>
                <w:sz w:val="22"/>
                <w:szCs w:val="22"/>
                <w:lang w:val="x-none" w:eastAsia="x-none"/>
              </w:rPr>
            </w:pPr>
          </w:p>
        </w:tc>
      </w:tr>
      <w:tr w:rsidR="000C081A" w:rsidRPr="00B32742" w14:paraId="7D5ACC38" w14:textId="77777777" w:rsidTr="006B1A45">
        <w:tc>
          <w:tcPr>
            <w:tcW w:w="1886" w:type="pct"/>
            <w:tcMar>
              <w:top w:w="144" w:type="nil"/>
              <w:right w:w="144" w:type="nil"/>
            </w:tcMar>
          </w:tcPr>
          <w:p w14:paraId="4BCAAEB3" w14:textId="77777777" w:rsidR="000C081A" w:rsidRPr="00B32742" w:rsidRDefault="000C081A" w:rsidP="006B1A45">
            <w:pPr>
              <w:widowControl w:val="0"/>
              <w:autoSpaceDE w:val="0"/>
              <w:autoSpaceDN w:val="0"/>
              <w:adjustRightInd w:val="0"/>
              <w:rPr>
                <w:sz w:val="22"/>
                <w:szCs w:val="22"/>
              </w:rPr>
            </w:pPr>
            <w:r w:rsidRPr="00B32742">
              <w:rPr>
                <w:sz w:val="22"/>
                <w:szCs w:val="22"/>
              </w:rPr>
              <w:t>MFMT (F</w:t>
            </w:r>
            <w:r w:rsidRPr="00B32742">
              <w:rPr>
                <w:sz w:val="22"/>
                <w:szCs w:val="22"/>
                <w:vertAlign w:val="subscript"/>
              </w:rPr>
              <w:t>30%SPR</w:t>
            </w:r>
            <w:r w:rsidRPr="00B32742">
              <w:rPr>
                <w:sz w:val="22"/>
                <w:szCs w:val="22"/>
              </w:rPr>
              <w:t>)</w:t>
            </w:r>
          </w:p>
        </w:tc>
        <w:tc>
          <w:tcPr>
            <w:tcW w:w="2067" w:type="pct"/>
            <w:tcMar>
              <w:top w:w="144" w:type="nil"/>
              <w:right w:w="144" w:type="nil"/>
            </w:tcMar>
          </w:tcPr>
          <w:p w14:paraId="399CDB4D" w14:textId="77777777" w:rsidR="000C081A" w:rsidRPr="00B32742" w:rsidRDefault="000C081A" w:rsidP="006B1A45">
            <w:pPr>
              <w:widowControl w:val="0"/>
              <w:autoSpaceDE w:val="0"/>
              <w:autoSpaceDN w:val="0"/>
              <w:adjustRightInd w:val="0"/>
              <w:jc w:val="center"/>
              <w:rPr>
                <w:sz w:val="22"/>
                <w:szCs w:val="22"/>
              </w:rPr>
            </w:pPr>
            <w:r w:rsidRPr="00B32742">
              <w:rPr>
                <w:sz w:val="22"/>
                <w:szCs w:val="22"/>
              </w:rPr>
              <w:t>0.18</w:t>
            </w:r>
          </w:p>
        </w:tc>
        <w:tc>
          <w:tcPr>
            <w:tcW w:w="1047" w:type="pct"/>
            <w:tcMar>
              <w:top w:w="144" w:type="nil"/>
              <w:right w:w="144" w:type="nil"/>
            </w:tcMar>
          </w:tcPr>
          <w:p w14:paraId="5195DD62" w14:textId="77777777" w:rsidR="000C081A" w:rsidRPr="00B32742" w:rsidRDefault="000C081A" w:rsidP="006B1A45">
            <w:pPr>
              <w:widowControl w:val="0"/>
              <w:autoSpaceDE w:val="0"/>
              <w:autoSpaceDN w:val="0"/>
              <w:adjustRightInd w:val="0"/>
              <w:jc w:val="center"/>
              <w:rPr>
                <w:sz w:val="22"/>
                <w:szCs w:val="22"/>
                <w:lang w:val="x-none" w:eastAsia="x-none"/>
              </w:rPr>
            </w:pPr>
          </w:p>
        </w:tc>
      </w:tr>
      <w:tr w:rsidR="000C081A" w:rsidRPr="00B32742" w14:paraId="68E62A37" w14:textId="77777777" w:rsidTr="006B1A45">
        <w:tc>
          <w:tcPr>
            <w:tcW w:w="1886" w:type="pct"/>
            <w:tcMar>
              <w:top w:w="144" w:type="nil"/>
              <w:right w:w="144" w:type="nil"/>
            </w:tcMar>
          </w:tcPr>
          <w:p w14:paraId="1F597576" w14:textId="77777777" w:rsidR="000C081A" w:rsidRPr="00B32742" w:rsidRDefault="000C081A" w:rsidP="006B1A45">
            <w:pPr>
              <w:widowControl w:val="0"/>
              <w:autoSpaceDE w:val="0"/>
              <w:autoSpaceDN w:val="0"/>
              <w:adjustRightInd w:val="0"/>
              <w:rPr>
                <w:sz w:val="22"/>
                <w:szCs w:val="22"/>
              </w:rPr>
            </w:pPr>
            <w:r w:rsidRPr="00B32742">
              <w:rPr>
                <w:sz w:val="22"/>
                <w:szCs w:val="22"/>
              </w:rPr>
              <w:t>SSB</w:t>
            </w:r>
            <w:r w:rsidRPr="00B32742">
              <w:rPr>
                <w:sz w:val="22"/>
                <w:szCs w:val="22"/>
                <w:vertAlign w:val="subscript"/>
              </w:rPr>
              <w:t>30%SPR</w:t>
            </w:r>
            <w:r w:rsidRPr="00B32742">
              <w:rPr>
                <w:sz w:val="22"/>
                <w:szCs w:val="22"/>
              </w:rPr>
              <w:t xml:space="preserve"> (lbs females)</w:t>
            </w:r>
          </w:p>
        </w:tc>
        <w:tc>
          <w:tcPr>
            <w:tcW w:w="2067" w:type="pct"/>
            <w:tcMar>
              <w:top w:w="144" w:type="nil"/>
              <w:right w:w="144" w:type="nil"/>
            </w:tcMar>
          </w:tcPr>
          <w:p w14:paraId="45FBDFBF" w14:textId="77777777" w:rsidR="000C081A" w:rsidRPr="00B32742" w:rsidRDefault="000C081A" w:rsidP="006B1A45">
            <w:pPr>
              <w:widowControl w:val="0"/>
              <w:autoSpaceDE w:val="0"/>
              <w:autoSpaceDN w:val="0"/>
              <w:adjustRightInd w:val="0"/>
              <w:jc w:val="center"/>
              <w:rPr>
                <w:sz w:val="22"/>
                <w:szCs w:val="22"/>
              </w:rPr>
            </w:pPr>
            <w:r w:rsidRPr="00B32742">
              <w:rPr>
                <w:sz w:val="22"/>
                <w:szCs w:val="22"/>
              </w:rPr>
              <w:t>4,649,200</w:t>
            </w:r>
          </w:p>
        </w:tc>
        <w:tc>
          <w:tcPr>
            <w:tcW w:w="1047" w:type="pct"/>
            <w:tcMar>
              <w:top w:w="144" w:type="nil"/>
              <w:right w:w="144" w:type="nil"/>
            </w:tcMar>
          </w:tcPr>
          <w:p w14:paraId="6AC37ED9" w14:textId="77777777" w:rsidR="000C081A" w:rsidRPr="00B32742" w:rsidRDefault="000C081A" w:rsidP="006B1A45">
            <w:pPr>
              <w:widowControl w:val="0"/>
              <w:autoSpaceDE w:val="0"/>
              <w:autoSpaceDN w:val="0"/>
              <w:adjustRightInd w:val="0"/>
              <w:jc w:val="center"/>
              <w:rPr>
                <w:sz w:val="22"/>
                <w:szCs w:val="22"/>
                <w:lang w:val="x-none" w:eastAsia="x-none"/>
              </w:rPr>
            </w:pPr>
          </w:p>
        </w:tc>
      </w:tr>
      <w:tr w:rsidR="000C081A" w:rsidRPr="00B32742" w14:paraId="52F7B46D" w14:textId="77777777" w:rsidTr="006B1A45">
        <w:tc>
          <w:tcPr>
            <w:tcW w:w="1886" w:type="pct"/>
            <w:tcMar>
              <w:top w:w="144" w:type="nil"/>
              <w:right w:w="144" w:type="nil"/>
            </w:tcMar>
          </w:tcPr>
          <w:p w14:paraId="60EE6296" w14:textId="77777777" w:rsidR="000C081A" w:rsidRPr="00B32742" w:rsidRDefault="000C081A" w:rsidP="006B1A45">
            <w:pPr>
              <w:widowControl w:val="0"/>
              <w:autoSpaceDE w:val="0"/>
              <w:autoSpaceDN w:val="0"/>
              <w:adjustRightInd w:val="0"/>
              <w:rPr>
                <w:sz w:val="22"/>
                <w:szCs w:val="22"/>
              </w:rPr>
            </w:pPr>
            <w:r w:rsidRPr="00B32742">
              <w:rPr>
                <w:sz w:val="22"/>
                <w:szCs w:val="22"/>
              </w:rPr>
              <w:t>MSST (lbs females)</w:t>
            </w:r>
          </w:p>
        </w:tc>
        <w:tc>
          <w:tcPr>
            <w:tcW w:w="2067" w:type="pct"/>
            <w:tcMar>
              <w:top w:w="144" w:type="nil"/>
              <w:right w:w="144" w:type="nil"/>
            </w:tcMar>
          </w:tcPr>
          <w:p w14:paraId="3448EFD5" w14:textId="77777777" w:rsidR="000C081A" w:rsidRPr="00B32742" w:rsidRDefault="000C081A" w:rsidP="006B1A45">
            <w:pPr>
              <w:widowControl w:val="0"/>
              <w:autoSpaceDE w:val="0"/>
              <w:autoSpaceDN w:val="0"/>
              <w:adjustRightInd w:val="0"/>
              <w:jc w:val="center"/>
              <w:rPr>
                <w:sz w:val="22"/>
                <w:szCs w:val="22"/>
              </w:rPr>
            </w:pPr>
            <w:r w:rsidRPr="00B32742">
              <w:rPr>
                <w:sz w:val="22"/>
                <w:szCs w:val="22"/>
              </w:rPr>
              <w:t>4,137,700</w:t>
            </w:r>
          </w:p>
        </w:tc>
        <w:tc>
          <w:tcPr>
            <w:tcW w:w="1047" w:type="pct"/>
            <w:tcMar>
              <w:top w:w="144" w:type="nil"/>
              <w:right w:w="144" w:type="nil"/>
            </w:tcMar>
          </w:tcPr>
          <w:p w14:paraId="6D2581F6" w14:textId="77777777" w:rsidR="000C081A" w:rsidRPr="00B32742" w:rsidRDefault="000C081A" w:rsidP="006B1A45">
            <w:pPr>
              <w:widowControl w:val="0"/>
              <w:autoSpaceDE w:val="0"/>
              <w:autoSpaceDN w:val="0"/>
              <w:adjustRightInd w:val="0"/>
              <w:jc w:val="center"/>
              <w:rPr>
                <w:sz w:val="22"/>
                <w:szCs w:val="22"/>
                <w:lang w:val="x-none" w:eastAsia="x-none"/>
              </w:rPr>
            </w:pPr>
          </w:p>
        </w:tc>
      </w:tr>
      <w:tr w:rsidR="000C081A" w:rsidRPr="00B32742" w14:paraId="37ABB1D7" w14:textId="77777777" w:rsidTr="006B1A45">
        <w:tc>
          <w:tcPr>
            <w:tcW w:w="1886" w:type="pct"/>
            <w:tcMar>
              <w:top w:w="144" w:type="nil"/>
              <w:right w:w="144" w:type="nil"/>
            </w:tcMar>
          </w:tcPr>
          <w:p w14:paraId="03D18F65" w14:textId="77777777" w:rsidR="000C081A" w:rsidRPr="00B32742" w:rsidRDefault="000C081A" w:rsidP="006B1A45">
            <w:pPr>
              <w:widowControl w:val="0"/>
              <w:autoSpaceDE w:val="0"/>
              <w:autoSpaceDN w:val="0"/>
              <w:adjustRightInd w:val="0"/>
              <w:rPr>
                <w:sz w:val="22"/>
                <w:szCs w:val="22"/>
              </w:rPr>
            </w:pPr>
            <w:r w:rsidRPr="00B32742">
              <w:rPr>
                <w:sz w:val="22"/>
                <w:szCs w:val="22"/>
              </w:rPr>
              <w:t>Y at F</w:t>
            </w:r>
            <w:r w:rsidRPr="00B32742">
              <w:rPr>
                <w:sz w:val="22"/>
                <w:szCs w:val="22"/>
                <w:vertAlign w:val="subscript"/>
              </w:rPr>
              <w:t>30%SPR</w:t>
            </w:r>
            <w:r w:rsidRPr="00B32742">
              <w:rPr>
                <w:sz w:val="22"/>
                <w:szCs w:val="22"/>
              </w:rPr>
              <w:t xml:space="preserve"> (MSY proxy, lbs)</w:t>
            </w:r>
          </w:p>
        </w:tc>
        <w:tc>
          <w:tcPr>
            <w:tcW w:w="2067" w:type="pct"/>
            <w:tcMar>
              <w:top w:w="144" w:type="nil"/>
              <w:right w:w="144" w:type="nil"/>
            </w:tcMar>
          </w:tcPr>
          <w:p w14:paraId="1976C858" w14:textId="77777777" w:rsidR="000C081A" w:rsidRPr="00B32742" w:rsidRDefault="000C081A" w:rsidP="006B1A45">
            <w:pPr>
              <w:widowControl w:val="0"/>
              <w:autoSpaceDE w:val="0"/>
              <w:autoSpaceDN w:val="0"/>
              <w:adjustRightInd w:val="0"/>
              <w:jc w:val="center"/>
              <w:rPr>
                <w:sz w:val="22"/>
                <w:szCs w:val="22"/>
              </w:rPr>
            </w:pPr>
            <w:r w:rsidRPr="00B32742">
              <w:rPr>
                <w:sz w:val="22"/>
                <w:szCs w:val="22"/>
              </w:rPr>
              <w:t>912,500</w:t>
            </w:r>
          </w:p>
        </w:tc>
        <w:tc>
          <w:tcPr>
            <w:tcW w:w="1047" w:type="pct"/>
            <w:tcMar>
              <w:top w:w="144" w:type="nil"/>
              <w:right w:w="144" w:type="nil"/>
            </w:tcMar>
          </w:tcPr>
          <w:p w14:paraId="7CF0A9B6" w14:textId="77777777" w:rsidR="000C081A" w:rsidRPr="00B32742" w:rsidRDefault="000C081A" w:rsidP="006B1A45">
            <w:pPr>
              <w:widowControl w:val="0"/>
              <w:autoSpaceDE w:val="0"/>
              <w:autoSpaceDN w:val="0"/>
              <w:adjustRightInd w:val="0"/>
              <w:jc w:val="center"/>
              <w:rPr>
                <w:sz w:val="22"/>
                <w:szCs w:val="22"/>
                <w:lang w:val="x-none" w:eastAsia="x-none"/>
              </w:rPr>
            </w:pPr>
          </w:p>
        </w:tc>
      </w:tr>
      <w:tr w:rsidR="000C081A" w:rsidRPr="00B32742" w14:paraId="2FEAFC27" w14:textId="77777777" w:rsidTr="006B1A45">
        <w:tc>
          <w:tcPr>
            <w:tcW w:w="1886" w:type="pct"/>
            <w:tcMar>
              <w:top w:w="144" w:type="nil"/>
              <w:right w:w="144" w:type="nil"/>
            </w:tcMar>
          </w:tcPr>
          <w:p w14:paraId="50D24F5C" w14:textId="77777777" w:rsidR="000C081A" w:rsidRPr="00B32742" w:rsidRDefault="000C081A" w:rsidP="006B1A45">
            <w:pPr>
              <w:widowControl w:val="0"/>
              <w:autoSpaceDE w:val="0"/>
              <w:autoSpaceDN w:val="0"/>
              <w:adjustRightInd w:val="0"/>
              <w:rPr>
                <w:sz w:val="22"/>
                <w:szCs w:val="22"/>
              </w:rPr>
            </w:pPr>
            <w:r w:rsidRPr="00B32742">
              <w:rPr>
                <w:sz w:val="22"/>
                <w:szCs w:val="22"/>
              </w:rPr>
              <w:t>Y at F</w:t>
            </w:r>
            <w:r w:rsidRPr="00B32742">
              <w:rPr>
                <w:sz w:val="22"/>
                <w:szCs w:val="22"/>
                <w:vertAlign w:val="subscript"/>
              </w:rPr>
              <w:t>40%SPR</w:t>
            </w:r>
            <w:r w:rsidRPr="00B32742">
              <w:rPr>
                <w:sz w:val="22"/>
                <w:szCs w:val="22"/>
              </w:rPr>
              <w:t xml:space="preserve"> (lbs)</w:t>
            </w:r>
          </w:p>
        </w:tc>
        <w:tc>
          <w:tcPr>
            <w:tcW w:w="2067" w:type="pct"/>
            <w:tcMar>
              <w:top w:w="144" w:type="nil"/>
              <w:right w:w="144" w:type="nil"/>
            </w:tcMar>
          </w:tcPr>
          <w:p w14:paraId="2F3B567D" w14:textId="77777777" w:rsidR="000C081A" w:rsidRPr="00B32742" w:rsidRDefault="000C081A" w:rsidP="006B1A45">
            <w:pPr>
              <w:widowControl w:val="0"/>
              <w:autoSpaceDE w:val="0"/>
              <w:autoSpaceDN w:val="0"/>
              <w:adjustRightInd w:val="0"/>
              <w:jc w:val="center"/>
              <w:rPr>
                <w:sz w:val="22"/>
                <w:szCs w:val="22"/>
              </w:rPr>
            </w:pPr>
            <w:r w:rsidRPr="00B32742">
              <w:rPr>
                <w:sz w:val="22"/>
                <w:szCs w:val="22"/>
              </w:rPr>
              <w:t>874,000</w:t>
            </w:r>
          </w:p>
        </w:tc>
        <w:tc>
          <w:tcPr>
            <w:tcW w:w="1047" w:type="pct"/>
            <w:tcMar>
              <w:top w:w="144" w:type="nil"/>
              <w:right w:w="144" w:type="nil"/>
            </w:tcMar>
          </w:tcPr>
          <w:p w14:paraId="1271B9A0" w14:textId="77777777" w:rsidR="000C081A" w:rsidRPr="00B32742" w:rsidRDefault="000C081A" w:rsidP="006B1A45">
            <w:pPr>
              <w:widowControl w:val="0"/>
              <w:autoSpaceDE w:val="0"/>
              <w:autoSpaceDN w:val="0"/>
              <w:adjustRightInd w:val="0"/>
              <w:jc w:val="center"/>
              <w:rPr>
                <w:sz w:val="22"/>
                <w:szCs w:val="22"/>
                <w:lang w:val="x-none" w:eastAsia="x-none"/>
              </w:rPr>
            </w:pPr>
          </w:p>
        </w:tc>
      </w:tr>
      <w:tr w:rsidR="000C081A" w:rsidRPr="00B32742" w14:paraId="24C22541" w14:textId="77777777" w:rsidTr="006B1A45">
        <w:tc>
          <w:tcPr>
            <w:tcW w:w="1886" w:type="pct"/>
            <w:tcMar>
              <w:top w:w="144" w:type="nil"/>
              <w:right w:w="144" w:type="nil"/>
            </w:tcMar>
          </w:tcPr>
          <w:p w14:paraId="64D83384" w14:textId="77777777" w:rsidR="000C081A" w:rsidRPr="00B32742" w:rsidRDefault="000C081A" w:rsidP="006B1A45">
            <w:pPr>
              <w:widowControl w:val="0"/>
              <w:autoSpaceDE w:val="0"/>
              <w:autoSpaceDN w:val="0"/>
              <w:adjustRightInd w:val="0"/>
              <w:rPr>
                <w:sz w:val="22"/>
                <w:szCs w:val="22"/>
              </w:rPr>
            </w:pPr>
            <w:r w:rsidRPr="00B32742">
              <w:rPr>
                <w:sz w:val="22"/>
                <w:szCs w:val="22"/>
              </w:rPr>
              <w:t>ABC Control Rule Adjustment</w:t>
            </w:r>
          </w:p>
        </w:tc>
        <w:tc>
          <w:tcPr>
            <w:tcW w:w="2067" w:type="pct"/>
            <w:tcMar>
              <w:top w:w="144" w:type="nil"/>
              <w:right w:w="144" w:type="nil"/>
            </w:tcMar>
          </w:tcPr>
          <w:p w14:paraId="553D3681" w14:textId="77777777" w:rsidR="000C081A" w:rsidRPr="00B32742" w:rsidRDefault="000C081A" w:rsidP="006B1A45">
            <w:pPr>
              <w:widowControl w:val="0"/>
              <w:autoSpaceDE w:val="0"/>
              <w:autoSpaceDN w:val="0"/>
              <w:adjustRightInd w:val="0"/>
              <w:jc w:val="center"/>
              <w:rPr>
                <w:sz w:val="22"/>
                <w:szCs w:val="22"/>
                <w:lang w:val="x-none" w:eastAsia="x-none"/>
              </w:rPr>
            </w:pPr>
          </w:p>
        </w:tc>
        <w:tc>
          <w:tcPr>
            <w:tcW w:w="1047" w:type="pct"/>
            <w:tcMar>
              <w:top w:w="144" w:type="nil"/>
              <w:right w:w="144" w:type="nil"/>
            </w:tcMar>
          </w:tcPr>
          <w:p w14:paraId="2860CDC1" w14:textId="77777777" w:rsidR="000C081A" w:rsidRPr="00B32742" w:rsidRDefault="000C081A" w:rsidP="006B1A45">
            <w:pPr>
              <w:widowControl w:val="0"/>
              <w:autoSpaceDE w:val="0"/>
              <w:autoSpaceDN w:val="0"/>
              <w:adjustRightInd w:val="0"/>
              <w:jc w:val="center"/>
              <w:rPr>
                <w:sz w:val="22"/>
                <w:szCs w:val="22"/>
              </w:rPr>
            </w:pPr>
            <w:r w:rsidRPr="00B32742">
              <w:rPr>
                <w:sz w:val="22"/>
                <w:szCs w:val="22"/>
              </w:rPr>
              <w:t>20%</w:t>
            </w:r>
          </w:p>
        </w:tc>
      </w:tr>
      <w:tr w:rsidR="000C081A" w:rsidRPr="00B32742" w14:paraId="213D5056" w14:textId="77777777" w:rsidTr="006B1A45">
        <w:tc>
          <w:tcPr>
            <w:tcW w:w="1886" w:type="pct"/>
            <w:tcMar>
              <w:top w:w="144" w:type="nil"/>
              <w:right w:w="144" w:type="nil"/>
            </w:tcMar>
          </w:tcPr>
          <w:p w14:paraId="471BF4AC" w14:textId="77777777" w:rsidR="000C081A" w:rsidRPr="00B32742" w:rsidRDefault="000C081A" w:rsidP="006B1A45">
            <w:pPr>
              <w:widowControl w:val="0"/>
              <w:autoSpaceDE w:val="0"/>
              <w:autoSpaceDN w:val="0"/>
              <w:adjustRightInd w:val="0"/>
              <w:rPr>
                <w:sz w:val="22"/>
                <w:szCs w:val="22"/>
              </w:rPr>
            </w:pPr>
            <w:r w:rsidRPr="00B32742">
              <w:rPr>
                <w:sz w:val="22"/>
                <w:szCs w:val="22"/>
              </w:rPr>
              <w:t>P-Star</w:t>
            </w:r>
          </w:p>
        </w:tc>
        <w:tc>
          <w:tcPr>
            <w:tcW w:w="2067" w:type="pct"/>
            <w:tcMar>
              <w:top w:w="144" w:type="nil"/>
              <w:right w:w="144" w:type="nil"/>
            </w:tcMar>
          </w:tcPr>
          <w:p w14:paraId="16863DF5" w14:textId="77777777" w:rsidR="000C081A" w:rsidRPr="00B32742" w:rsidRDefault="000C081A" w:rsidP="006B1A45">
            <w:pPr>
              <w:widowControl w:val="0"/>
              <w:autoSpaceDE w:val="0"/>
              <w:autoSpaceDN w:val="0"/>
              <w:adjustRightInd w:val="0"/>
              <w:jc w:val="center"/>
              <w:rPr>
                <w:sz w:val="22"/>
                <w:szCs w:val="22"/>
                <w:lang w:val="x-none" w:eastAsia="x-none"/>
              </w:rPr>
            </w:pPr>
          </w:p>
        </w:tc>
        <w:tc>
          <w:tcPr>
            <w:tcW w:w="1047" w:type="pct"/>
            <w:tcMar>
              <w:top w:w="144" w:type="nil"/>
              <w:right w:w="144" w:type="nil"/>
            </w:tcMar>
          </w:tcPr>
          <w:p w14:paraId="3703A0D1" w14:textId="77777777" w:rsidR="000C081A" w:rsidRPr="00B32742" w:rsidRDefault="000C081A" w:rsidP="006B1A45">
            <w:pPr>
              <w:widowControl w:val="0"/>
              <w:autoSpaceDE w:val="0"/>
              <w:autoSpaceDN w:val="0"/>
              <w:adjustRightInd w:val="0"/>
              <w:jc w:val="center"/>
              <w:rPr>
                <w:sz w:val="22"/>
                <w:szCs w:val="22"/>
              </w:rPr>
            </w:pPr>
            <w:r w:rsidRPr="00B32742">
              <w:rPr>
                <w:sz w:val="22"/>
                <w:szCs w:val="22"/>
              </w:rPr>
              <w:t>30%</w:t>
            </w:r>
          </w:p>
        </w:tc>
      </w:tr>
    </w:tbl>
    <w:p w14:paraId="32571F50" w14:textId="77777777" w:rsidR="000C081A" w:rsidRPr="00A66EF3" w:rsidRDefault="000C081A" w:rsidP="000C081A">
      <w:pPr>
        <w:rPr>
          <w:i/>
        </w:rPr>
      </w:pPr>
    </w:p>
    <w:p w14:paraId="29F90146" w14:textId="06802589" w:rsidR="00C3720F" w:rsidRPr="00022262" w:rsidRDefault="00C3720F" w:rsidP="00C3720F">
      <w:pPr>
        <w:pStyle w:val="Heading3"/>
        <w:rPr>
          <w:rStyle w:val="Heading4Char1"/>
          <w:rFonts w:ascii="Arial" w:hAnsi="Arial" w:cs="Arial"/>
          <w:b w:val="0"/>
          <w:bCs w:val="0"/>
          <w:sz w:val="24"/>
          <w:szCs w:val="24"/>
        </w:rPr>
      </w:pPr>
      <w:bookmarkStart w:id="305" w:name="_Toc370375269"/>
      <w:bookmarkStart w:id="306" w:name="_Toc339811774"/>
      <w:r w:rsidRPr="00A165D9">
        <w:rPr>
          <w:rStyle w:val="Heading4Char1"/>
          <w:rFonts w:ascii="Arial" w:hAnsi="Arial" w:cs="Arial"/>
          <w:sz w:val="24"/>
          <w:szCs w:val="24"/>
        </w:rPr>
        <w:t>5</w:t>
      </w:r>
      <w:r w:rsidRPr="00167455">
        <w:rPr>
          <w:rStyle w:val="Heading4Char1"/>
          <w:rFonts w:ascii="Arial" w:hAnsi="Arial" w:cs="Arial"/>
          <w:sz w:val="24"/>
          <w:szCs w:val="24"/>
        </w:rPr>
        <w:t>.</w:t>
      </w:r>
      <w:r w:rsidRPr="00022262">
        <w:rPr>
          <w:rStyle w:val="Heading4Char1"/>
          <w:rFonts w:ascii="Arial" w:hAnsi="Arial" w:cs="Arial"/>
          <w:bCs w:val="0"/>
          <w:sz w:val="24"/>
          <w:szCs w:val="24"/>
        </w:rPr>
        <w:t>1</w:t>
      </w:r>
      <w:r w:rsidRPr="00022262">
        <w:rPr>
          <w:rStyle w:val="Heading4Char1"/>
          <w:rFonts w:ascii="Arial" w:hAnsi="Arial" w:cs="Arial"/>
          <w:sz w:val="24"/>
          <w:szCs w:val="24"/>
        </w:rPr>
        <w:t>.</w:t>
      </w:r>
      <w:r w:rsidR="00787B86">
        <w:rPr>
          <w:rStyle w:val="Heading4Char1"/>
          <w:rFonts w:ascii="Arial" w:hAnsi="Arial" w:cs="Arial"/>
          <w:bCs w:val="0"/>
          <w:sz w:val="24"/>
          <w:szCs w:val="24"/>
        </w:rPr>
        <w:t>4</w:t>
      </w:r>
      <w:r w:rsidRPr="00022262">
        <w:rPr>
          <w:rStyle w:val="Heading4Char1"/>
          <w:rFonts w:ascii="Arial" w:hAnsi="Arial" w:cs="Arial"/>
          <w:sz w:val="24"/>
          <w:szCs w:val="24"/>
        </w:rPr>
        <w:tab/>
        <w:t>Public Comments and Recommendations</w:t>
      </w:r>
      <w:bookmarkEnd w:id="305"/>
      <w:bookmarkEnd w:id="306"/>
    </w:p>
    <w:p w14:paraId="50B2976C" w14:textId="0A5017A6" w:rsidR="00C3720F" w:rsidRDefault="00896911" w:rsidP="00D40718">
      <w:pPr>
        <w:ind w:firstLine="360"/>
      </w:pPr>
      <w:r>
        <w:t xml:space="preserve">The South Atlantic Council held scoping meetings for Amendment 41 </w:t>
      </w:r>
      <w:r w:rsidRPr="00896911">
        <w:t xml:space="preserve">from January 25 to February 3, 2016.  Meetings in Florida were held in conjunction with workshops conducted by the Florida Fish and Wildlife Conservation Commission (FWC). </w:t>
      </w:r>
      <w:r>
        <w:t xml:space="preserve"> Public hearings were held</w:t>
      </w:r>
      <w:r w:rsidRPr="00896911">
        <w:t xml:space="preserve"> </w:t>
      </w:r>
      <w:r>
        <w:t>via</w:t>
      </w:r>
      <w:r w:rsidRPr="00896911">
        <w:t xml:space="preserve"> </w:t>
      </w:r>
      <w:r>
        <w:t>webinar on August 2, 2016 and</w:t>
      </w:r>
      <w:r w:rsidRPr="00896911">
        <w:t xml:space="preserve"> in-person on August 15-17</w:t>
      </w:r>
      <w:r>
        <w:t>, 2016</w:t>
      </w:r>
      <w:r w:rsidRPr="00896911">
        <w:t xml:space="preserve">.  </w:t>
      </w:r>
    </w:p>
    <w:p w14:paraId="3DA80269" w14:textId="77777777" w:rsidR="00896911" w:rsidRDefault="00896911" w:rsidP="00D40718">
      <w:pPr>
        <w:ind w:firstLine="360"/>
      </w:pPr>
    </w:p>
    <w:p w14:paraId="71715E71" w14:textId="00124D0A" w:rsidR="00896911" w:rsidRPr="00D40718" w:rsidRDefault="00896911" w:rsidP="00D40718">
      <w:pPr>
        <w:ind w:firstLine="360"/>
      </w:pPr>
      <w:r>
        <w:t>One member of the public supported the South Atlantic Council’s preferred alternative to specify MSY for mutton snapper in the South Atlantic.</w:t>
      </w:r>
    </w:p>
    <w:p w14:paraId="0C65140B" w14:textId="4942B7E0" w:rsidR="00016A45" w:rsidRPr="008B07B5" w:rsidRDefault="00C3720F" w:rsidP="008B07B5">
      <w:pPr>
        <w:pStyle w:val="Heading3"/>
        <w:rPr>
          <w:b w:val="0"/>
          <w:bCs w:val="0"/>
          <w:szCs w:val="24"/>
        </w:rPr>
      </w:pPr>
      <w:bookmarkStart w:id="307" w:name="_Toc370375270"/>
      <w:bookmarkStart w:id="308" w:name="_Toc339811775"/>
      <w:r w:rsidRPr="00A165D9">
        <w:rPr>
          <w:rStyle w:val="Heading4Char1"/>
          <w:rFonts w:ascii="Arial" w:hAnsi="Arial" w:cs="Arial"/>
          <w:sz w:val="24"/>
          <w:szCs w:val="24"/>
        </w:rPr>
        <w:t>5</w:t>
      </w:r>
      <w:r w:rsidRPr="00167455">
        <w:rPr>
          <w:rStyle w:val="Heading4Char1"/>
          <w:rFonts w:ascii="Arial" w:hAnsi="Arial" w:cs="Arial"/>
          <w:sz w:val="24"/>
          <w:szCs w:val="24"/>
        </w:rPr>
        <w:t>.</w:t>
      </w:r>
      <w:r w:rsidRPr="00022262">
        <w:rPr>
          <w:rStyle w:val="Heading4Char1"/>
          <w:rFonts w:ascii="Arial" w:hAnsi="Arial" w:cs="Arial"/>
          <w:bCs w:val="0"/>
          <w:sz w:val="24"/>
          <w:szCs w:val="24"/>
        </w:rPr>
        <w:t>1</w:t>
      </w:r>
      <w:r w:rsidRPr="00022262">
        <w:rPr>
          <w:rStyle w:val="Heading4Char1"/>
          <w:rFonts w:ascii="Arial" w:hAnsi="Arial" w:cs="Arial"/>
          <w:sz w:val="24"/>
          <w:szCs w:val="24"/>
        </w:rPr>
        <w:t>.</w:t>
      </w:r>
      <w:r w:rsidR="00787B86">
        <w:rPr>
          <w:rStyle w:val="Heading4Char1"/>
          <w:rFonts w:ascii="Arial" w:hAnsi="Arial" w:cs="Arial"/>
          <w:bCs w:val="0"/>
          <w:sz w:val="24"/>
          <w:szCs w:val="24"/>
        </w:rPr>
        <w:t>5</w:t>
      </w:r>
      <w:r w:rsidRPr="00022262">
        <w:rPr>
          <w:rStyle w:val="Heading4Char1"/>
          <w:rFonts w:ascii="Arial" w:hAnsi="Arial" w:cs="Arial"/>
          <w:sz w:val="24"/>
          <w:szCs w:val="24"/>
        </w:rPr>
        <w:tab/>
        <w:t xml:space="preserve">South Atlantic Council </w:t>
      </w:r>
      <w:bookmarkEnd w:id="307"/>
      <w:r w:rsidR="009E03CE">
        <w:rPr>
          <w:rStyle w:val="Heading4Char1"/>
          <w:rFonts w:ascii="Arial" w:hAnsi="Arial" w:cs="Arial"/>
          <w:sz w:val="24"/>
          <w:szCs w:val="24"/>
        </w:rPr>
        <w:t>Rationale</w:t>
      </w:r>
      <w:bookmarkEnd w:id="308"/>
    </w:p>
    <w:p w14:paraId="18C559CC" w14:textId="4C7DAEB1" w:rsidR="005B7862" w:rsidRDefault="005B7862" w:rsidP="005B7862">
      <w:pPr>
        <w:ind w:firstLine="360"/>
      </w:pPr>
      <w:r>
        <w:t xml:space="preserve">The Magnuson-Stevens Fishery Conservation and Management Act establishes maximum sustainable yield as the basis for managing a fishery.  Specification of the maximum sustainable yield for a stock does not in itself alter the current harvest or use of a fishery resource.  This biological reference point establishes a benchmark for management of the mutton snapper stock in the South Atlantic; it does not in itself entail a change to regulations unless a comparison of </w:t>
      </w:r>
      <w:r>
        <w:lastRenderedPageBreak/>
        <w:t xml:space="preserve">the status of the stock with the benchmark indicates that management adjustments are necessary.  As a benchmark, maximum sustainable yield would not limit how, when, where, or with what frequency participants in the snapper grouper fishery engage in harvesting </w:t>
      </w:r>
      <w:r w:rsidR="002F1730">
        <w:t>mutton snapper</w:t>
      </w:r>
      <w:r>
        <w:t xml:space="preserve">.  The South Atlantic Council is revising maximum sustainable yield </w:t>
      </w:r>
      <w:r w:rsidR="002F1730">
        <w:t xml:space="preserve">for mutton snapper </w:t>
      </w:r>
      <w:r>
        <w:t xml:space="preserve">because </w:t>
      </w:r>
      <w:r w:rsidR="002F1730">
        <w:t>the 2008 stock assessment (SEDAR 15A) was updated in 2015 with data through 2013 (SEDAR 15A Update 2015</w:t>
      </w:r>
      <w:r>
        <w:t xml:space="preserve">.  Prior to that, maximum sustainable yield </w:t>
      </w:r>
      <w:r w:rsidR="002F1730">
        <w:t xml:space="preserve">for mutton snapper </w:t>
      </w:r>
      <w:r>
        <w:t>was defined as the yield produced by fishing at the fishing mortality rate that would produce maximum sustainable yield (F</w:t>
      </w:r>
      <w:r w:rsidRPr="00DE183E">
        <w:rPr>
          <w:vertAlign w:val="subscript"/>
        </w:rPr>
        <w:t>MSY</w:t>
      </w:r>
      <w:r>
        <w:t>) or the F</w:t>
      </w:r>
      <w:r w:rsidRPr="00DE183E">
        <w:rPr>
          <w:vertAlign w:val="subscript"/>
        </w:rPr>
        <w:t>MSY</w:t>
      </w:r>
      <w:r>
        <w:t xml:space="preserve"> proxy (substitute), which was set at F</w:t>
      </w:r>
      <w:r w:rsidRPr="00DE183E">
        <w:rPr>
          <w:vertAlign w:val="subscript"/>
        </w:rPr>
        <w:t xml:space="preserve">30%SPR </w:t>
      </w:r>
      <w:r>
        <w:t xml:space="preserve">but no actual value was specified. </w:t>
      </w:r>
      <w:r w:rsidR="002F1730">
        <w:t xml:space="preserve"> </w:t>
      </w:r>
      <w:r>
        <w:t xml:space="preserve">Hence, through this amendment, the South Atlantic Council </w:t>
      </w:r>
      <w:r w:rsidR="002F1730">
        <w:t>is adopting</w:t>
      </w:r>
      <w:r>
        <w:t xml:space="preserve"> the updated maximum sustainable yield for </w:t>
      </w:r>
      <w:r w:rsidR="002F1730">
        <w:t>mutton snapper in the South Atlantic</w:t>
      </w:r>
      <w:r w:rsidR="003B16B2">
        <w:t xml:space="preserve"> and changing</w:t>
      </w:r>
      <w:r>
        <w:t xml:space="preserve"> the specification process such that adjustments to the maximum sustainable yield could be made automatically based on the latest stock assessment or recommendation from the Scientific and Statistical Committee that is accepted by the South Atlantic Council, as opposed to modifications to maximum sustainable yield made through a Snapper Grouper Fishery Management Plan amendment or framework adjustment.</w:t>
      </w:r>
    </w:p>
    <w:p w14:paraId="6612A213" w14:textId="77777777" w:rsidR="005B7862" w:rsidRDefault="005B7862" w:rsidP="005B7862"/>
    <w:p w14:paraId="73E0B13B" w14:textId="77777777" w:rsidR="005B7862" w:rsidRDefault="005B7862" w:rsidP="005B7862">
      <w:pPr>
        <w:ind w:firstLine="360"/>
      </w:pPr>
      <w:r>
        <w:t xml:space="preserve">The South Atlantic Council concluded that </w:t>
      </w:r>
      <w:r w:rsidRPr="00A4102E">
        <w:rPr>
          <w:b/>
        </w:rPr>
        <w:t>Preferred Alternative 2</w:t>
      </w:r>
      <w:r>
        <w:t xml:space="preserve"> best meets the purpose and need to implement measures expected to prevent overfishing and achieve optimum yield while minimizing, to the extent practicable, adverse social and economic effects.  The preferred alternative also best meets the objectives of the Snapper Grouper FMP, as amended, while complying with the requirements of the Magnuson-Stevens </w:t>
      </w:r>
      <w:r w:rsidRPr="00090EAA">
        <w:t xml:space="preserve">Fishery Conservation and Management </w:t>
      </w:r>
      <w:r>
        <w:t>Act and other applicable law.</w:t>
      </w:r>
    </w:p>
    <w:p w14:paraId="540F6F03" w14:textId="77777777" w:rsidR="00831BEA" w:rsidRDefault="00831BEA" w:rsidP="00016A45">
      <w:pPr>
        <w:ind w:firstLine="360"/>
      </w:pPr>
    </w:p>
    <w:p w14:paraId="3A17A1D6" w14:textId="24C7322B" w:rsidR="00A23AFC" w:rsidRDefault="00A23AFC" w:rsidP="00A23AFC">
      <w:pPr>
        <w:pStyle w:val="Heading3"/>
      </w:pPr>
      <w:bookmarkStart w:id="309" w:name="_Toc336184414"/>
      <w:bookmarkStart w:id="310" w:name="_Toc339811776"/>
      <w:r>
        <w:t>5.1.6</w:t>
      </w:r>
      <w:r>
        <w:tab/>
        <w:t>How is this Action Addressing the Vision Blueprint for the Snapper Grouper Fishery?</w:t>
      </w:r>
      <w:bookmarkEnd w:id="309"/>
      <w:bookmarkEnd w:id="310"/>
    </w:p>
    <w:p w14:paraId="37A8741F" w14:textId="77777777" w:rsidR="00A23AFC" w:rsidRDefault="00A23AFC" w:rsidP="00A23AFC">
      <w:pPr>
        <w:ind w:firstLine="360"/>
      </w:pPr>
      <w:r>
        <w:t xml:space="preserve">The </w:t>
      </w:r>
      <w:r w:rsidRPr="000C459E">
        <w:t>Vision Blueprint for the Snapper Grouper Fishery</w:t>
      </w:r>
      <w:r>
        <w:t xml:space="preserve"> (Vision Blueprint) was approved in December 2015 and is intended to inform management of the snapper grouper fishery through 2020.  As such, the </w:t>
      </w:r>
      <w:r w:rsidRPr="000C459E">
        <w:t>Vision Blueprint</w:t>
      </w:r>
      <w:r>
        <w:t xml:space="preserve"> serves as a “living document” to help guide future management, builds on stakeholder input and how the South Atlantic Council envisions future management of the fishery, guides the development of new amendments that address priority objectives and strategies, and illustrates actions that could be developed through the regular amendment process.  The Vision Blueprint is organized into four strategic goal areas: (1) Science, (2) Management, (3) Communication, and (4) Governance.  </w:t>
      </w:r>
      <w:r w:rsidRPr="00AF6EE2">
        <w:t>Each goal area has a set of objectives, strategies, and actions.</w:t>
      </w:r>
    </w:p>
    <w:p w14:paraId="547B99E2" w14:textId="77777777" w:rsidR="00A23AFC" w:rsidRDefault="00A23AFC" w:rsidP="00A23AFC"/>
    <w:p w14:paraId="619B0AE2" w14:textId="4D432131" w:rsidR="00C3720F" w:rsidRDefault="00A23AFC" w:rsidP="00016A45">
      <w:pPr>
        <w:ind w:firstLine="360"/>
      </w:pPr>
      <w:r w:rsidRPr="007A2A5F">
        <w:rPr>
          <w:b/>
        </w:rPr>
        <w:t xml:space="preserve">Action </w:t>
      </w:r>
      <w:r>
        <w:rPr>
          <w:b/>
        </w:rPr>
        <w:t>1</w:t>
      </w:r>
      <w:r>
        <w:t xml:space="preserve"> to specify the maximum sustainable yield for mutton snapper in the South Atlantic does not directly respond to objectives outlined in the Vision Blueprint; however, it addresses the broad Science goal to ensure that “</w:t>
      </w:r>
      <w:r w:rsidRPr="00372F56">
        <w:rPr>
          <w:i/>
        </w:rPr>
        <w:t>management decisions for the snapper grouper fishery are based upon robust, defensible science that considers qualitative and quantitative data analyzed in a timely, clear, and transparent manner that builds stakeholder confidence</w:t>
      </w:r>
      <w:r w:rsidRPr="00372F56">
        <w:t>.</w:t>
      </w:r>
      <w:r>
        <w:t xml:space="preserve">”  </w:t>
      </w:r>
      <w:r w:rsidRPr="00864BEA">
        <w:rPr>
          <w:b/>
        </w:rPr>
        <w:t xml:space="preserve">Action </w:t>
      </w:r>
      <w:r>
        <w:rPr>
          <w:b/>
        </w:rPr>
        <w:t>2</w:t>
      </w:r>
      <w:r>
        <w:t xml:space="preserve"> ensures that the mutton snapper resource is managed in accordance with the latest scientific information and, therefore, addresses long-term sustainable management of mutton snapper in the South Atlantic Region.</w:t>
      </w:r>
    </w:p>
    <w:p w14:paraId="659E3EC0" w14:textId="1E993472" w:rsidR="00A165D9" w:rsidRPr="00022262" w:rsidRDefault="00C3720F" w:rsidP="00022262">
      <w:pPr>
        <w:pStyle w:val="Heading2"/>
        <w:rPr>
          <w:rFonts w:ascii="Arial" w:hAnsi="Arial" w:cs="Arial"/>
        </w:rPr>
      </w:pPr>
      <w:bookmarkStart w:id="311" w:name="_Toc389140576"/>
      <w:bookmarkStart w:id="312" w:name="_Toc361410423"/>
      <w:bookmarkStart w:id="313" w:name="_Toc339811777"/>
      <w:r w:rsidRPr="00022262">
        <w:rPr>
          <w:rStyle w:val="Heading4Char1"/>
          <w:rFonts w:ascii="Arial" w:hAnsi="Arial" w:cs="Arial"/>
        </w:rPr>
        <w:lastRenderedPageBreak/>
        <w:t>5.2</w:t>
      </w:r>
      <w:r w:rsidRPr="00022262">
        <w:rPr>
          <w:rStyle w:val="Heading4Char1"/>
          <w:rFonts w:ascii="Arial" w:hAnsi="Arial" w:cs="Arial"/>
        </w:rPr>
        <w:tab/>
      </w:r>
      <w:bookmarkEnd w:id="311"/>
      <w:bookmarkEnd w:id="312"/>
      <w:r w:rsidR="00A165D9" w:rsidRPr="00022262">
        <w:rPr>
          <w:rFonts w:ascii="Arial" w:hAnsi="Arial" w:cs="Arial"/>
          <w:color w:val="1F497D" w:themeColor="text2"/>
        </w:rPr>
        <w:t xml:space="preserve"> </w:t>
      </w:r>
      <w:r w:rsidR="005027F6" w:rsidRPr="000E374B">
        <w:rPr>
          <w:rFonts w:ascii="Arial" w:eastAsiaTheme="minorHAnsi" w:hAnsi="Arial" w:cs="Arial"/>
        </w:rPr>
        <w:t xml:space="preserve">Action 2.  </w:t>
      </w:r>
      <w:r w:rsidR="005027F6">
        <w:rPr>
          <w:rFonts w:ascii="Arial" w:hAnsi="Arial" w:cs="Arial"/>
        </w:rPr>
        <w:t xml:space="preserve">Specify </w:t>
      </w:r>
      <w:r w:rsidR="005027F6" w:rsidRPr="00464347">
        <w:rPr>
          <w:rFonts w:ascii="Arial" w:hAnsi="Arial" w:cs="Arial"/>
        </w:rPr>
        <w:t xml:space="preserve">minimum stock size threshold (MSST) for mutton snapper </w:t>
      </w:r>
      <w:r w:rsidR="00774344" w:rsidRPr="00464347">
        <w:rPr>
          <w:rFonts w:ascii="Arial" w:hAnsi="Arial" w:cs="Arial"/>
        </w:rPr>
        <w:t>in the South Atlantic R</w:t>
      </w:r>
      <w:r w:rsidR="005027F6" w:rsidRPr="00464347">
        <w:rPr>
          <w:rFonts w:ascii="Arial" w:hAnsi="Arial" w:cs="Arial"/>
        </w:rPr>
        <w:t>egion</w:t>
      </w:r>
      <w:bookmarkEnd w:id="313"/>
    </w:p>
    <w:p w14:paraId="13FD58F8" w14:textId="4857A693" w:rsidR="00C3720F" w:rsidRPr="00022262" w:rsidRDefault="00C3720F" w:rsidP="00AE0DB2">
      <w:pPr>
        <w:rPr>
          <w:rStyle w:val="Heading4Char1"/>
          <w:rFonts w:ascii="Arial" w:eastAsiaTheme="minorHAnsi" w:hAnsi="Arial" w:cs="Arial"/>
          <w:b/>
          <w:color w:val="1F497D" w:themeColor="text2"/>
          <w:szCs w:val="24"/>
        </w:rPr>
      </w:pPr>
    </w:p>
    <w:p w14:paraId="794AE5E7" w14:textId="3BD31152" w:rsidR="00C3720F" w:rsidRDefault="00340F89" w:rsidP="00C3720F">
      <w:pPr>
        <w:pStyle w:val="Heading3"/>
        <w:rPr>
          <w:rStyle w:val="Heading4Char1"/>
          <w:rFonts w:ascii="Arial" w:hAnsi="Arial" w:cs="Arial"/>
          <w:bCs w:val="0"/>
          <w:sz w:val="24"/>
          <w:szCs w:val="24"/>
        </w:rPr>
      </w:pPr>
      <w:bookmarkStart w:id="314" w:name="_Toc389140577"/>
      <w:bookmarkStart w:id="315" w:name="_Toc339811778"/>
      <w:r w:rsidRPr="000E374B">
        <w:rPr>
          <w:noProof/>
          <w:color w:val="365F91" w:themeColor="accent1" w:themeShade="BF"/>
        </w:rPr>
        <mc:AlternateContent>
          <mc:Choice Requires="wps">
            <w:drawing>
              <wp:anchor distT="0" distB="0" distL="114300" distR="114300" simplePos="0" relativeHeight="251716096" behindDoc="0" locked="0" layoutInCell="1" allowOverlap="1" wp14:anchorId="2B4C4BD6" wp14:editId="29060A70">
                <wp:simplePos x="0" y="0"/>
                <wp:positionH relativeFrom="margin">
                  <wp:posOffset>3342640</wp:posOffset>
                </wp:positionH>
                <wp:positionV relativeFrom="margin">
                  <wp:posOffset>870585</wp:posOffset>
                </wp:positionV>
                <wp:extent cx="2731770" cy="2232660"/>
                <wp:effectExtent l="25400" t="101600" r="138430" b="5334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2232660"/>
                        </a:xfrm>
                        <a:prstGeom prst="rect">
                          <a:avLst/>
                        </a:prstGeom>
                        <a:solidFill>
                          <a:srgbClr val="FFFFFF"/>
                        </a:solidFill>
                        <a:ln w="9525">
                          <a:solidFill>
                            <a:schemeClr val="tx2">
                              <a:lumMod val="60000"/>
                              <a:lumOff val="40000"/>
                            </a:schemeClr>
                          </a:solidFill>
                          <a:miter lim="800000"/>
                          <a:headEnd/>
                          <a:tailEnd/>
                        </a:ln>
                        <a:effectLst>
                          <a:outerShdw blurRad="50800" dist="38100" dir="18900000" algn="bl" rotWithShape="0">
                            <a:prstClr val="black">
                              <a:alpha val="40000"/>
                            </a:prstClr>
                          </a:outerShdw>
                        </a:effectLst>
                      </wps:spPr>
                      <wps:txbx>
                        <w:txbxContent>
                          <w:p w14:paraId="221B448E" w14:textId="77777777" w:rsidR="009108B8" w:rsidRPr="00E03046" w:rsidRDefault="009108B8" w:rsidP="00340F89">
                            <w:pPr>
                              <w:jc w:val="center"/>
                              <w:rPr>
                                <w:rFonts w:ascii="Arial" w:hAnsi="Arial" w:cs="Arial"/>
                                <w:b/>
                                <w:i/>
                                <w:iCs/>
                                <w:color w:val="365F91" w:themeColor="accent1" w:themeShade="BF"/>
                              </w:rPr>
                            </w:pPr>
                            <w:r w:rsidRPr="00E03046">
                              <w:rPr>
                                <w:rFonts w:ascii="Arial" w:hAnsi="Arial" w:cs="Arial"/>
                                <w:b/>
                                <w:i/>
                                <w:iCs/>
                                <w:color w:val="365F91" w:themeColor="accent1" w:themeShade="BF"/>
                              </w:rPr>
                              <w:t>Alternatives</w:t>
                            </w:r>
                            <w:r>
                              <w:rPr>
                                <w:rFonts w:ascii="Arial" w:hAnsi="Arial" w:cs="Arial"/>
                                <w:b/>
                                <w:i/>
                                <w:iCs/>
                                <w:color w:val="365F91" w:themeColor="accent1" w:themeShade="BF"/>
                              </w:rPr>
                              <w:t>*</w:t>
                            </w:r>
                          </w:p>
                          <w:p w14:paraId="0B21BBBA" w14:textId="77777777" w:rsidR="009108B8" w:rsidRDefault="009108B8" w:rsidP="00340F89">
                            <w:pPr>
                              <w:jc w:val="center"/>
                              <w:rPr>
                                <w:rFonts w:ascii="Arial" w:hAnsi="Arial" w:cs="Arial"/>
                                <w:b/>
                                <w:i/>
                                <w:iCs/>
                                <w:color w:val="365F91" w:themeColor="accent1" w:themeShade="BF"/>
                                <w:sz w:val="28"/>
                                <w:szCs w:val="28"/>
                              </w:rPr>
                            </w:pPr>
                          </w:p>
                          <w:p w14:paraId="282B94A1" w14:textId="77777777" w:rsidR="009108B8" w:rsidRPr="00E03046" w:rsidRDefault="009108B8" w:rsidP="00340F89">
                            <w:pPr>
                              <w:pStyle w:val="Normal1"/>
                              <w:spacing w:line="240" w:lineRule="auto"/>
                              <w:contextualSpacing/>
                              <w:rPr>
                                <w:color w:val="1F497D" w:themeColor="text2"/>
                                <w:sz w:val="20"/>
                                <w:szCs w:val="20"/>
                              </w:rPr>
                            </w:pPr>
                            <w:r w:rsidRPr="00E03046">
                              <w:rPr>
                                <w:color w:val="1F497D" w:themeColor="text2"/>
                                <w:sz w:val="20"/>
                                <w:szCs w:val="20"/>
                              </w:rPr>
                              <w:t>1 (No Action).</w:t>
                            </w:r>
                            <w:r>
                              <w:rPr>
                                <w:color w:val="1F497D" w:themeColor="text2"/>
                                <w:sz w:val="20"/>
                                <w:szCs w:val="20"/>
                              </w:rPr>
                              <w:t xml:space="preserve"> </w:t>
                            </w:r>
                            <w:r w:rsidRPr="00E03046">
                              <w:rPr>
                                <w:color w:val="1F497D" w:themeColor="text2"/>
                                <w:sz w:val="20"/>
                                <w:szCs w:val="20"/>
                              </w:rPr>
                              <w:t xml:space="preserve"> </w:t>
                            </w:r>
                            <w:r>
                              <w:rPr>
                                <w:color w:val="1F497D" w:themeColor="text2"/>
                                <w:sz w:val="20"/>
                                <w:szCs w:val="20"/>
                              </w:rPr>
                              <w:t>MSST</w:t>
                            </w:r>
                            <w:r w:rsidRPr="00E03046">
                              <w:rPr>
                                <w:color w:val="1F497D" w:themeColor="text2"/>
                                <w:sz w:val="20"/>
                                <w:szCs w:val="20"/>
                              </w:rPr>
                              <w:t xml:space="preserve"> for mutton snapper is MSST = SSB</w:t>
                            </w:r>
                            <w:r w:rsidRPr="00E03046">
                              <w:rPr>
                                <w:color w:val="1F497D" w:themeColor="text2"/>
                                <w:sz w:val="20"/>
                                <w:szCs w:val="20"/>
                                <w:vertAlign w:val="subscript"/>
                              </w:rPr>
                              <w:t>MSY</w:t>
                            </w:r>
                            <w:r w:rsidRPr="00E03046">
                              <w:rPr>
                                <w:color w:val="1F497D" w:themeColor="text2"/>
                                <w:sz w:val="20"/>
                                <w:szCs w:val="20"/>
                              </w:rPr>
                              <w:t xml:space="preserve"> ((1-M) or 0.5, whichever is greater).  The value is not specified.</w:t>
                            </w:r>
                          </w:p>
                          <w:p w14:paraId="2AF1B7F6" w14:textId="77777777" w:rsidR="009108B8" w:rsidRPr="00E03046" w:rsidRDefault="009108B8" w:rsidP="00340F89">
                            <w:pPr>
                              <w:contextualSpacing/>
                              <w:rPr>
                                <w:rFonts w:ascii="Arial" w:eastAsia="Courier New" w:hAnsi="Arial" w:cs="Arial"/>
                                <w:color w:val="1F497D" w:themeColor="text2"/>
                                <w:sz w:val="20"/>
                                <w:szCs w:val="20"/>
                              </w:rPr>
                            </w:pPr>
                          </w:p>
                          <w:p w14:paraId="162B192F" w14:textId="77777777" w:rsidR="009108B8" w:rsidRPr="00E03046" w:rsidRDefault="009108B8" w:rsidP="00340F89">
                            <w:pPr>
                              <w:contextualSpacing/>
                              <w:rPr>
                                <w:rFonts w:ascii="Arial" w:eastAsia="Courier New" w:hAnsi="Arial" w:cs="Arial"/>
                                <w:color w:val="1F497D" w:themeColor="text2"/>
                                <w:sz w:val="20"/>
                                <w:szCs w:val="20"/>
                              </w:rPr>
                            </w:pPr>
                            <w:r w:rsidRPr="00E03046">
                              <w:rPr>
                                <w:rFonts w:ascii="Arial" w:hAnsi="Arial" w:cs="Arial"/>
                                <w:color w:val="1F497D" w:themeColor="text2"/>
                                <w:sz w:val="20"/>
                                <w:szCs w:val="20"/>
                              </w:rPr>
                              <w:t xml:space="preserve">2. </w:t>
                            </w:r>
                            <w:r>
                              <w:rPr>
                                <w:rFonts w:ascii="Arial" w:hAnsi="Arial" w:cs="Arial"/>
                                <w:color w:val="1F497D" w:themeColor="text2"/>
                                <w:sz w:val="20"/>
                                <w:szCs w:val="20"/>
                              </w:rPr>
                              <w:t>MSST</w:t>
                            </w:r>
                            <w:r w:rsidRPr="00E03046">
                              <w:rPr>
                                <w:rFonts w:ascii="Arial" w:hAnsi="Arial" w:cs="Arial"/>
                                <w:color w:val="1F497D" w:themeColor="text2"/>
                                <w:sz w:val="20"/>
                                <w:szCs w:val="20"/>
                              </w:rPr>
                              <w:t xml:space="preserve"> = 50% of SSB</w:t>
                            </w:r>
                            <w:r w:rsidRPr="00E03046">
                              <w:rPr>
                                <w:rFonts w:ascii="Arial" w:hAnsi="Arial" w:cs="Arial"/>
                                <w:color w:val="1F497D" w:themeColor="text2"/>
                                <w:sz w:val="20"/>
                                <w:szCs w:val="20"/>
                                <w:vertAlign w:val="subscript"/>
                              </w:rPr>
                              <w:t>MSY</w:t>
                            </w:r>
                          </w:p>
                          <w:p w14:paraId="0E71D820" w14:textId="77777777" w:rsidR="009108B8" w:rsidRPr="00E03046" w:rsidRDefault="009108B8" w:rsidP="00340F89">
                            <w:pPr>
                              <w:contextualSpacing/>
                              <w:rPr>
                                <w:rFonts w:ascii="Arial" w:hAnsi="Arial" w:cs="Arial"/>
                                <w:b/>
                                <w:color w:val="1F497D" w:themeColor="text2"/>
                                <w:sz w:val="20"/>
                                <w:szCs w:val="20"/>
                              </w:rPr>
                            </w:pPr>
                          </w:p>
                          <w:p w14:paraId="407CF202" w14:textId="77777777" w:rsidR="009108B8" w:rsidRPr="00E03046" w:rsidRDefault="009108B8" w:rsidP="00340F89">
                            <w:pPr>
                              <w:contextualSpacing/>
                              <w:rPr>
                                <w:rFonts w:ascii="Arial" w:eastAsia="Courier New" w:hAnsi="Arial" w:cs="Arial"/>
                                <w:b/>
                                <w:color w:val="1F497D" w:themeColor="text2"/>
                                <w:sz w:val="20"/>
                                <w:szCs w:val="20"/>
                              </w:rPr>
                            </w:pPr>
                            <w:r w:rsidRPr="00E03046">
                              <w:rPr>
                                <w:rFonts w:ascii="Arial" w:hAnsi="Arial" w:cs="Arial"/>
                                <w:b/>
                                <w:color w:val="1F497D" w:themeColor="text2"/>
                                <w:sz w:val="20"/>
                                <w:szCs w:val="20"/>
                              </w:rPr>
                              <w:t xml:space="preserve">3. </w:t>
                            </w:r>
                            <w:r>
                              <w:rPr>
                                <w:rFonts w:ascii="Arial" w:hAnsi="Arial" w:cs="Arial"/>
                                <w:b/>
                                <w:color w:val="1F497D" w:themeColor="text2"/>
                                <w:sz w:val="20"/>
                                <w:szCs w:val="20"/>
                              </w:rPr>
                              <w:t>MSST</w:t>
                            </w:r>
                            <w:r w:rsidRPr="00E03046">
                              <w:rPr>
                                <w:rFonts w:ascii="Arial" w:hAnsi="Arial" w:cs="Arial"/>
                                <w:b/>
                                <w:color w:val="1F497D" w:themeColor="text2"/>
                                <w:sz w:val="20"/>
                                <w:szCs w:val="20"/>
                              </w:rPr>
                              <w:t xml:space="preserve"> = 75% of SSB</w:t>
                            </w:r>
                            <w:r w:rsidRPr="00E03046">
                              <w:rPr>
                                <w:rFonts w:ascii="Arial" w:hAnsi="Arial" w:cs="Arial"/>
                                <w:b/>
                                <w:color w:val="1F497D" w:themeColor="text2"/>
                                <w:sz w:val="20"/>
                                <w:szCs w:val="20"/>
                                <w:vertAlign w:val="subscript"/>
                              </w:rPr>
                              <w:t>MSY</w:t>
                            </w:r>
                          </w:p>
                          <w:p w14:paraId="145CFAEA" w14:textId="77777777" w:rsidR="009108B8" w:rsidRPr="00E03046" w:rsidRDefault="009108B8" w:rsidP="00340F89">
                            <w:pPr>
                              <w:contextualSpacing/>
                              <w:rPr>
                                <w:rFonts w:ascii="Arial" w:eastAsia="Courier New" w:hAnsi="Arial" w:cs="Arial"/>
                                <w:b/>
                                <w:color w:val="1F497D" w:themeColor="text2"/>
                                <w:sz w:val="20"/>
                                <w:szCs w:val="20"/>
                              </w:rPr>
                            </w:pPr>
                          </w:p>
                          <w:p w14:paraId="4E12A1B9" w14:textId="77777777" w:rsidR="009108B8" w:rsidRPr="00E03046" w:rsidRDefault="009108B8" w:rsidP="00340F89">
                            <w:pPr>
                              <w:rPr>
                                <w:rFonts w:ascii="Arial" w:hAnsi="Arial" w:cs="Arial"/>
                                <w:color w:val="1F497D" w:themeColor="text2"/>
                                <w:sz w:val="20"/>
                                <w:szCs w:val="20"/>
                              </w:rPr>
                            </w:pPr>
                            <w:r w:rsidRPr="00E03046">
                              <w:rPr>
                                <w:rFonts w:ascii="Arial" w:hAnsi="Arial" w:cs="Arial"/>
                                <w:color w:val="1F497D" w:themeColor="text2"/>
                                <w:sz w:val="20"/>
                                <w:szCs w:val="20"/>
                              </w:rPr>
                              <w:t>*</w:t>
                            </w:r>
                            <w:r w:rsidRPr="002B189D">
                              <w:rPr>
                                <w:rFonts w:ascii="Arial" w:eastAsiaTheme="minorHAnsi" w:hAnsi="Arial" w:cs="Arial"/>
                                <w:color w:val="1F497D" w:themeColor="text2"/>
                                <w:sz w:val="20"/>
                                <w:szCs w:val="20"/>
                              </w:rPr>
                              <w:t xml:space="preserve"> </w:t>
                            </w:r>
                            <w:r>
                              <w:rPr>
                                <w:rFonts w:ascii="Arial" w:eastAsiaTheme="minorHAnsi" w:hAnsi="Arial" w:cs="Arial"/>
                                <w:color w:val="1F497D" w:themeColor="text2"/>
                                <w:sz w:val="20"/>
                                <w:szCs w:val="20"/>
                              </w:rPr>
                              <w:t xml:space="preserve">Preferred indicated in bold.  </w:t>
                            </w:r>
                            <w:r w:rsidRPr="00E03046">
                              <w:rPr>
                                <w:rFonts w:ascii="Arial" w:hAnsi="Arial" w:cs="Arial"/>
                                <w:color w:val="1F497D" w:themeColor="text2"/>
                                <w:sz w:val="20"/>
                                <w:szCs w:val="20"/>
                              </w:rPr>
                              <w:t>Refer to Chapter 2 for detailed language of alternatives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63.2pt;margin-top:68.55pt;width:215.1pt;height:175.8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" strokecolor="#548dd4 [1951]">
                <v:shadow on="t" opacity="26214f" mv:blur="50800f" origin="-.5,.5" offset="26941emu,-26941emu"/>
                <v:textbox>
                  <w:txbxContent>
                    <w:p w14:paraId="221B448E" w14:textId="77777777" w:rsidR="009108B8" w:rsidRPr="00E03046" w:rsidRDefault="009108B8" w:rsidP="00340F89">
                      <w:pPr>
                        <w:jc w:val="center"/>
                        <w:rPr>
                          <w:rFonts w:ascii="Arial" w:hAnsi="Arial" w:cs="Arial"/>
                          <w:b/>
                          <w:i/>
                          <w:iCs/>
                          <w:color w:val="365F91" w:themeColor="accent1" w:themeShade="BF"/>
                        </w:rPr>
                      </w:pPr>
                      <w:r w:rsidRPr="00E03046">
                        <w:rPr>
                          <w:rFonts w:ascii="Arial" w:hAnsi="Arial" w:cs="Arial"/>
                          <w:b/>
                          <w:i/>
                          <w:iCs/>
                          <w:color w:val="365F91" w:themeColor="accent1" w:themeShade="BF"/>
                        </w:rPr>
                        <w:t>Alternatives</w:t>
                      </w:r>
                      <w:r>
                        <w:rPr>
                          <w:rFonts w:ascii="Arial" w:hAnsi="Arial" w:cs="Arial"/>
                          <w:b/>
                          <w:i/>
                          <w:iCs/>
                          <w:color w:val="365F91" w:themeColor="accent1" w:themeShade="BF"/>
                        </w:rPr>
                        <w:t>*</w:t>
                      </w:r>
                    </w:p>
                    <w:p w14:paraId="0B21BBBA" w14:textId="77777777" w:rsidR="009108B8" w:rsidRDefault="009108B8" w:rsidP="00340F89">
                      <w:pPr>
                        <w:jc w:val="center"/>
                        <w:rPr>
                          <w:rFonts w:ascii="Arial" w:hAnsi="Arial" w:cs="Arial"/>
                          <w:b/>
                          <w:i/>
                          <w:iCs/>
                          <w:color w:val="365F91" w:themeColor="accent1" w:themeShade="BF"/>
                          <w:sz w:val="28"/>
                          <w:szCs w:val="28"/>
                        </w:rPr>
                      </w:pPr>
                    </w:p>
                    <w:p w14:paraId="282B94A1" w14:textId="77777777" w:rsidR="009108B8" w:rsidRPr="00E03046" w:rsidRDefault="009108B8" w:rsidP="00340F89">
                      <w:pPr>
                        <w:pStyle w:val="Normal1"/>
                        <w:spacing w:line="240" w:lineRule="auto"/>
                        <w:contextualSpacing/>
                        <w:rPr>
                          <w:color w:val="1F497D" w:themeColor="text2"/>
                          <w:sz w:val="20"/>
                          <w:szCs w:val="20"/>
                        </w:rPr>
                      </w:pPr>
                      <w:r w:rsidRPr="00E03046">
                        <w:rPr>
                          <w:color w:val="1F497D" w:themeColor="text2"/>
                          <w:sz w:val="20"/>
                          <w:szCs w:val="20"/>
                        </w:rPr>
                        <w:t>1 (No Action).</w:t>
                      </w:r>
                      <w:r>
                        <w:rPr>
                          <w:color w:val="1F497D" w:themeColor="text2"/>
                          <w:sz w:val="20"/>
                          <w:szCs w:val="20"/>
                        </w:rPr>
                        <w:t xml:space="preserve"> </w:t>
                      </w:r>
                      <w:r w:rsidRPr="00E03046">
                        <w:rPr>
                          <w:color w:val="1F497D" w:themeColor="text2"/>
                          <w:sz w:val="20"/>
                          <w:szCs w:val="20"/>
                        </w:rPr>
                        <w:t xml:space="preserve"> </w:t>
                      </w:r>
                      <w:r>
                        <w:rPr>
                          <w:color w:val="1F497D" w:themeColor="text2"/>
                          <w:sz w:val="20"/>
                          <w:szCs w:val="20"/>
                        </w:rPr>
                        <w:t>MSST</w:t>
                      </w:r>
                      <w:r w:rsidRPr="00E03046">
                        <w:rPr>
                          <w:color w:val="1F497D" w:themeColor="text2"/>
                          <w:sz w:val="20"/>
                          <w:szCs w:val="20"/>
                        </w:rPr>
                        <w:t xml:space="preserve"> for mutton snapper is MSST = SSB</w:t>
                      </w:r>
                      <w:r w:rsidRPr="00E03046">
                        <w:rPr>
                          <w:color w:val="1F497D" w:themeColor="text2"/>
                          <w:sz w:val="20"/>
                          <w:szCs w:val="20"/>
                          <w:vertAlign w:val="subscript"/>
                        </w:rPr>
                        <w:t>MSY</w:t>
                      </w:r>
                      <w:r w:rsidRPr="00E03046">
                        <w:rPr>
                          <w:color w:val="1F497D" w:themeColor="text2"/>
                          <w:sz w:val="20"/>
                          <w:szCs w:val="20"/>
                        </w:rPr>
                        <w:t xml:space="preserve"> ((1-M) or 0.5, whichever is greater).  The value is not specified.</w:t>
                      </w:r>
                    </w:p>
                    <w:p w14:paraId="2AF1B7F6" w14:textId="77777777" w:rsidR="009108B8" w:rsidRPr="00E03046" w:rsidRDefault="009108B8" w:rsidP="00340F89">
                      <w:pPr>
                        <w:contextualSpacing/>
                        <w:rPr>
                          <w:rFonts w:ascii="Arial" w:eastAsia="Courier New" w:hAnsi="Arial" w:cs="Arial"/>
                          <w:color w:val="1F497D" w:themeColor="text2"/>
                          <w:sz w:val="20"/>
                          <w:szCs w:val="20"/>
                        </w:rPr>
                      </w:pPr>
                    </w:p>
                    <w:p w14:paraId="162B192F" w14:textId="77777777" w:rsidR="009108B8" w:rsidRPr="00E03046" w:rsidRDefault="009108B8" w:rsidP="00340F89">
                      <w:pPr>
                        <w:contextualSpacing/>
                        <w:rPr>
                          <w:rFonts w:ascii="Arial" w:eastAsia="Courier New" w:hAnsi="Arial" w:cs="Arial"/>
                          <w:color w:val="1F497D" w:themeColor="text2"/>
                          <w:sz w:val="20"/>
                          <w:szCs w:val="20"/>
                        </w:rPr>
                      </w:pPr>
                      <w:r w:rsidRPr="00E03046">
                        <w:rPr>
                          <w:rFonts w:ascii="Arial" w:hAnsi="Arial" w:cs="Arial"/>
                          <w:color w:val="1F497D" w:themeColor="text2"/>
                          <w:sz w:val="20"/>
                          <w:szCs w:val="20"/>
                        </w:rPr>
                        <w:t xml:space="preserve">2. </w:t>
                      </w:r>
                      <w:r>
                        <w:rPr>
                          <w:rFonts w:ascii="Arial" w:hAnsi="Arial" w:cs="Arial"/>
                          <w:color w:val="1F497D" w:themeColor="text2"/>
                          <w:sz w:val="20"/>
                          <w:szCs w:val="20"/>
                        </w:rPr>
                        <w:t>MSST</w:t>
                      </w:r>
                      <w:r w:rsidRPr="00E03046">
                        <w:rPr>
                          <w:rFonts w:ascii="Arial" w:hAnsi="Arial" w:cs="Arial"/>
                          <w:color w:val="1F497D" w:themeColor="text2"/>
                          <w:sz w:val="20"/>
                          <w:szCs w:val="20"/>
                        </w:rPr>
                        <w:t xml:space="preserve"> = 50% of SSB</w:t>
                      </w:r>
                      <w:r w:rsidRPr="00E03046">
                        <w:rPr>
                          <w:rFonts w:ascii="Arial" w:hAnsi="Arial" w:cs="Arial"/>
                          <w:color w:val="1F497D" w:themeColor="text2"/>
                          <w:sz w:val="20"/>
                          <w:szCs w:val="20"/>
                          <w:vertAlign w:val="subscript"/>
                        </w:rPr>
                        <w:t>MSY</w:t>
                      </w:r>
                    </w:p>
                    <w:p w14:paraId="0E71D820" w14:textId="77777777" w:rsidR="009108B8" w:rsidRPr="00E03046" w:rsidRDefault="009108B8" w:rsidP="00340F89">
                      <w:pPr>
                        <w:contextualSpacing/>
                        <w:rPr>
                          <w:rFonts w:ascii="Arial" w:hAnsi="Arial" w:cs="Arial"/>
                          <w:b/>
                          <w:color w:val="1F497D" w:themeColor="text2"/>
                          <w:sz w:val="20"/>
                          <w:szCs w:val="20"/>
                        </w:rPr>
                      </w:pPr>
                    </w:p>
                    <w:p w14:paraId="407CF202" w14:textId="77777777" w:rsidR="009108B8" w:rsidRPr="00E03046" w:rsidRDefault="009108B8" w:rsidP="00340F89">
                      <w:pPr>
                        <w:contextualSpacing/>
                        <w:rPr>
                          <w:rFonts w:ascii="Arial" w:eastAsia="Courier New" w:hAnsi="Arial" w:cs="Arial"/>
                          <w:b/>
                          <w:color w:val="1F497D" w:themeColor="text2"/>
                          <w:sz w:val="20"/>
                          <w:szCs w:val="20"/>
                        </w:rPr>
                      </w:pPr>
                      <w:r w:rsidRPr="00E03046">
                        <w:rPr>
                          <w:rFonts w:ascii="Arial" w:hAnsi="Arial" w:cs="Arial"/>
                          <w:b/>
                          <w:color w:val="1F497D" w:themeColor="text2"/>
                          <w:sz w:val="20"/>
                          <w:szCs w:val="20"/>
                        </w:rPr>
                        <w:t xml:space="preserve">3. </w:t>
                      </w:r>
                      <w:r>
                        <w:rPr>
                          <w:rFonts w:ascii="Arial" w:hAnsi="Arial" w:cs="Arial"/>
                          <w:b/>
                          <w:color w:val="1F497D" w:themeColor="text2"/>
                          <w:sz w:val="20"/>
                          <w:szCs w:val="20"/>
                        </w:rPr>
                        <w:t>MSST</w:t>
                      </w:r>
                      <w:r w:rsidRPr="00E03046">
                        <w:rPr>
                          <w:rFonts w:ascii="Arial" w:hAnsi="Arial" w:cs="Arial"/>
                          <w:b/>
                          <w:color w:val="1F497D" w:themeColor="text2"/>
                          <w:sz w:val="20"/>
                          <w:szCs w:val="20"/>
                        </w:rPr>
                        <w:t xml:space="preserve"> = 75% of SSB</w:t>
                      </w:r>
                      <w:r w:rsidRPr="00E03046">
                        <w:rPr>
                          <w:rFonts w:ascii="Arial" w:hAnsi="Arial" w:cs="Arial"/>
                          <w:b/>
                          <w:color w:val="1F497D" w:themeColor="text2"/>
                          <w:sz w:val="20"/>
                          <w:szCs w:val="20"/>
                          <w:vertAlign w:val="subscript"/>
                        </w:rPr>
                        <w:t>MSY</w:t>
                      </w:r>
                    </w:p>
                    <w:p w14:paraId="145CFAEA" w14:textId="77777777" w:rsidR="009108B8" w:rsidRPr="00E03046" w:rsidRDefault="009108B8" w:rsidP="00340F89">
                      <w:pPr>
                        <w:contextualSpacing/>
                        <w:rPr>
                          <w:rFonts w:ascii="Arial" w:eastAsia="Courier New" w:hAnsi="Arial" w:cs="Arial"/>
                          <w:b/>
                          <w:color w:val="1F497D" w:themeColor="text2"/>
                          <w:sz w:val="20"/>
                          <w:szCs w:val="20"/>
                        </w:rPr>
                      </w:pPr>
                    </w:p>
                    <w:p w14:paraId="4E12A1B9" w14:textId="77777777" w:rsidR="009108B8" w:rsidRPr="00E03046" w:rsidRDefault="009108B8" w:rsidP="00340F89">
                      <w:pPr>
                        <w:rPr>
                          <w:rFonts w:ascii="Arial" w:hAnsi="Arial" w:cs="Arial"/>
                          <w:color w:val="1F497D" w:themeColor="text2"/>
                          <w:sz w:val="20"/>
                          <w:szCs w:val="20"/>
                        </w:rPr>
                      </w:pPr>
                      <w:r w:rsidRPr="00E03046">
                        <w:rPr>
                          <w:rFonts w:ascii="Arial" w:hAnsi="Arial" w:cs="Arial"/>
                          <w:color w:val="1F497D" w:themeColor="text2"/>
                          <w:sz w:val="20"/>
                          <w:szCs w:val="20"/>
                        </w:rPr>
                        <w:t>*</w:t>
                      </w:r>
                      <w:r w:rsidRPr="002B189D">
                        <w:rPr>
                          <w:rFonts w:ascii="Arial" w:eastAsiaTheme="minorHAnsi" w:hAnsi="Arial" w:cs="Arial"/>
                          <w:color w:val="1F497D" w:themeColor="text2"/>
                          <w:sz w:val="20"/>
                          <w:szCs w:val="20"/>
                        </w:rPr>
                        <w:t xml:space="preserve"> </w:t>
                      </w:r>
                      <w:r>
                        <w:rPr>
                          <w:rFonts w:ascii="Arial" w:eastAsiaTheme="minorHAnsi" w:hAnsi="Arial" w:cs="Arial"/>
                          <w:color w:val="1F497D" w:themeColor="text2"/>
                          <w:sz w:val="20"/>
                          <w:szCs w:val="20"/>
                        </w:rPr>
                        <w:t xml:space="preserve">Preferred indicated in bold.  </w:t>
                      </w:r>
                      <w:r w:rsidRPr="00E03046">
                        <w:rPr>
                          <w:rFonts w:ascii="Arial" w:hAnsi="Arial" w:cs="Arial"/>
                          <w:color w:val="1F497D" w:themeColor="text2"/>
                          <w:sz w:val="20"/>
                          <w:szCs w:val="20"/>
                        </w:rPr>
                        <w:t>Refer to Chapter 2 for detailed language of alternatives</w:t>
                      </w:r>
                    </w:p>
                  </w:txbxContent>
                </v:textbox>
                <w10:wrap type="square" anchorx="margin" anchory="margin"/>
              </v:shape>
            </w:pict>
          </mc:Fallback>
        </mc:AlternateContent>
      </w:r>
      <w:r w:rsidR="00C3720F" w:rsidRPr="005B5A20">
        <w:rPr>
          <w:rStyle w:val="Heading4Char1"/>
          <w:rFonts w:ascii="Arial" w:hAnsi="Arial" w:cs="Arial"/>
          <w:bCs w:val="0"/>
          <w:sz w:val="24"/>
          <w:szCs w:val="24"/>
        </w:rPr>
        <w:t>5.2.1</w:t>
      </w:r>
      <w:r w:rsidR="00C3720F" w:rsidRPr="005B5A20">
        <w:rPr>
          <w:rStyle w:val="Heading4Char1"/>
          <w:rFonts w:ascii="Arial" w:hAnsi="Arial" w:cs="Arial"/>
          <w:bCs w:val="0"/>
          <w:sz w:val="24"/>
          <w:szCs w:val="24"/>
        </w:rPr>
        <w:tab/>
      </w:r>
      <w:r w:rsidR="00F759B9">
        <w:rPr>
          <w:rStyle w:val="Heading4Char1"/>
          <w:rFonts w:ascii="Arial" w:hAnsi="Arial" w:cs="Arial"/>
          <w:bCs w:val="0"/>
          <w:sz w:val="24"/>
          <w:szCs w:val="24"/>
        </w:rPr>
        <w:t>Snapper Grouper</w:t>
      </w:r>
      <w:r w:rsidR="00C3720F">
        <w:rPr>
          <w:rStyle w:val="Heading4Char1"/>
          <w:rFonts w:ascii="Arial" w:hAnsi="Arial" w:cs="Arial"/>
          <w:bCs w:val="0"/>
          <w:sz w:val="24"/>
          <w:szCs w:val="24"/>
        </w:rPr>
        <w:t xml:space="preserve"> AP</w:t>
      </w:r>
      <w:r w:rsidR="00C3720F" w:rsidRPr="005B5A20">
        <w:rPr>
          <w:rStyle w:val="Heading4Char1"/>
          <w:rFonts w:ascii="Arial" w:hAnsi="Arial" w:cs="Arial"/>
          <w:bCs w:val="0"/>
          <w:sz w:val="24"/>
          <w:szCs w:val="24"/>
        </w:rPr>
        <w:t xml:space="preserve"> Comments and Recommendations</w:t>
      </w:r>
      <w:bookmarkEnd w:id="314"/>
      <w:bookmarkEnd w:id="315"/>
    </w:p>
    <w:p w14:paraId="278D828C" w14:textId="78171A06" w:rsidR="00D96DA5" w:rsidRPr="00CE4B96" w:rsidRDefault="00D96DA5" w:rsidP="00D96DA5">
      <w:pPr>
        <w:ind w:firstLine="360"/>
      </w:pPr>
      <w:r w:rsidRPr="00B27D30">
        <w:t>The Snapper Grouper AP discussed Amendment 41 during their April 26-</w:t>
      </w:r>
      <w:r w:rsidR="00B77366">
        <w:t>27,</w:t>
      </w:r>
      <w:r w:rsidRPr="00B27D30">
        <w:t xml:space="preserve"> 2016 meeting.  At that time, actions in Amendment 41 were numbered differently and revisions have been made to the language of actions and alternatives in the amendment. </w:t>
      </w:r>
      <w:r>
        <w:t xml:space="preserve"> </w:t>
      </w:r>
      <w:r w:rsidRPr="00B27D30">
        <w:t xml:space="preserve">Hence, the AP’s motions may not reflect the chronology of actions/alternatives or the current language.  </w:t>
      </w:r>
      <w:r>
        <w:t>The Snapper Grouper AP had no comments or recommendations regarding specification of MSST for mutton snapper in the South Atlantic.</w:t>
      </w:r>
    </w:p>
    <w:p w14:paraId="0680255C" w14:textId="77777777" w:rsidR="00D92EC7" w:rsidRPr="00D92EC7" w:rsidRDefault="00D92EC7" w:rsidP="00D92EC7"/>
    <w:p w14:paraId="4962B785" w14:textId="77777777" w:rsidR="00C3720F" w:rsidRDefault="00C3720F" w:rsidP="00C3720F">
      <w:pPr>
        <w:pStyle w:val="Heading3"/>
        <w:rPr>
          <w:rStyle w:val="Heading4Char1"/>
          <w:rFonts w:ascii="Arial" w:hAnsi="Arial" w:cs="Arial"/>
          <w:bCs w:val="0"/>
          <w:sz w:val="24"/>
          <w:szCs w:val="24"/>
        </w:rPr>
      </w:pPr>
      <w:bookmarkStart w:id="316" w:name="_Toc339811779"/>
      <w:bookmarkStart w:id="317" w:name="_Toc361410425"/>
      <w:bookmarkStart w:id="318" w:name="_Toc389140578"/>
      <w:r w:rsidRPr="005B5A20">
        <w:rPr>
          <w:rStyle w:val="Heading4Char1"/>
          <w:rFonts w:ascii="Arial" w:hAnsi="Arial" w:cs="Arial"/>
          <w:bCs w:val="0"/>
          <w:sz w:val="24"/>
          <w:szCs w:val="24"/>
        </w:rPr>
        <w:t>5.2.</w:t>
      </w:r>
      <w:r>
        <w:rPr>
          <w:rStyle w:val="Heading4Char1"/>
          <w:rFonts w:ascii="Arial" w:hAnsi="Arial" w:cs="Arial"/>
          <w:bCs w:val="0"/>
          <w:sz w:val="24"/>
          <w:szCs w:val="24"/>
        </w:rPr>
        <w:t>2</w:t>
      </w:r>
      <w:r w:rsidRPr="005B5A20">
        <w:rPr>
          <w:rStyle w:val="Heading4Char1"/>
          <w:rFonts w:ascii="Arial" w:hAnsi="Arial" w:cs="Arial"/>
          <w:bCs w:val="0"/>
          <w:sz w:val="24"/>
          <w:szCs w:val="24"/>
        </w:rPr>
        <w:tab/>
      </w:r>
      <w:r>
        <w:rPr>
          <w:rStyle w:val="Heading4Char1"/>
          <w:rFonts w:ascii="Arial" w:hAnsi="Arial" w:cs="Arial"/>
          <w:bCs w:val="0"/>
          <w:sz w:val="24"/>
          <w:szCs w:val="24"/>
        </w:rPr>
        <w:t>Law Enforcement AP</w:t>
      </w:r>
      <w:r w:rsidRPr="005B5A20">
        <w:rPr>
          <w:rStyle w:val="Heading4Char1"/>
          <w:rFonts w:ascii="Arial" w:hAnsi="Arial" w:cs="Arial"/>
          <w:bCs w:val="0"/>
          <w:sz w:val="24"/>
          <w:szCs w:val="24"/>
        </w:rPr>
        <w:t xml:space="preserve"> Comments and Recommendations</w:t>
      </w:r>
      <w:bookmarkEnd w:id="316"/>
    </w:p>
    <w:p w14:paraId="68A8C408" w14:textId="77777777" w:rsidR="00D96DA5" w:rsidRPr="008B07B5" w:rsidRDefault="00D96DA5" w:rsidP="00D96DA5">
      <w:pPr>
        <w:ind w:firstLine="360"/>
      </w:pPr>
      <w:r w:rsidRPr="008B07B5">
        <w:t xml:space="preserve">The </w:t>
      </w:r>
      <w:r>
        <w:t>Law Enforcement AP received a briefing on Amendment 41 during their March 7-8, 2016 meeting.  The Law Enforcement AP had no comments or recommendations.</w:t>
      </w:r>
    </w:p>
    <w:p w14:paraId="6B2732AB" w14:textId="4D7AB242" w:rsidR="00C3720F" w:rsidRPr="002A1479" w:rsidRDefault="00C3720F" w:rsidP="00935223">
      <w:pPr>
        <w:ind w:firstLine="360"/>
        <w:rPr>
          <w:b/>
        </w:rPr>
      </w:pPr>
    </w:p>
    <w:p w14:paraId="59CFC3A7" w14:textId="77777777" w:rsidR="00C3720F" w:rsidRDefault="00C3720F" w:rsidP="00C3720F">
      <w:pPr>
        <w:pStyle w:val="Heading3"/>
        <w:rPr>
          <w:rStyle w:val="Heading4Char1"/>
          <w:rFonts w:ascii="Arial" w:hAnsi="Arial" w:cs="Arial"/>
          <w:bCs w:val="0"/>
          <w:sz w:val="24"/>
          <w:szCs w:val="24"/>
        </w:rPr>
      </w:pPr>
      <w:bookmarkStart w:id="319" w:name="_Toc339811780"/>
      <w:r w:rsidRPr="005B5A20">
        <w:rPr>
          <w:rStyle w:val="Heading4Char1"/>
          <w:rFonts w:ascii="Arial" w:hAnsi="Arial" w:cs="Arial"/>
          <w:bCs w:val="0"/>
          <w:sz w:val="24"/>
          <w:szCs w:val="24"/>
        </w:rPr>
        <w:t>5.2.</w:t>
      </w:r>
      <w:r>
        <w:rPr>
          <w:rStyle w:val="Heading4Char1"/>
          <w:rFonts w:ascii="Arial" w:hAnsi="Arial" w:cs="Arial"/>
          <w:bCs w:val="0"/>
          <w:sz w:val="24"/>
          <w:szCs w:val="24"/>
        </w:rPr>
        <w:t>3</w:t>
      </w:r>
      <w:r w:rsidRPr="005B5A20">
        <w:rPr>
          <w:rStyle w:val="Heading4Char1"/>
          <w:rFonts w:ascii="Arial" w:hAnsi="Arial" w:cs="Arial"/>
          <w:bCs w:val="0"/>
          <w:sz w:val="24"/>
          <w:szCs w:val="24"/>
        </w:rPr>
        <w:tab/>
      </w:r>
      <w:r>
        <w:rPr>
          <w:rStyle w:val="Heading4Char1"/>
          <w:rFonts w:ascii="Arial" w:hAnsi="Arial" w:cs="Arial"/>
          <w:bCs w:val="0"/>
          <w:sz w:val="24"/>
          <w:szCs w:val="24"/>
        </w:rPr>
        <w:t>Scientific and Statistical Committee</w:t>
      </w:r>
      <w:r w:rsidRPr="005B5A20">
        <w:rPr>
          <w:rStyle w:val="Heading4Char1"/>
          <w:rFonts w:ascii="Arial" w:hAnsi="Arial" w:cs="Arial"/>
          <w:bCs w:val="0"/>
          <w:sz w:val="24"/>
          <w:szCs w:val="24"/>
        </w:rPr>
        <w:t xml:space="preserve"> Comments and Recommendations</w:t>
      </w:r>
      <w:bookmarkEnd w:id="319"/>
    </w:p>
    <w:p w14:paraId="125C16AB" w14:textId="77777777" w:rsidR="006B1A45" w:rsidRDefault="006B1A45" w:rsidP="006B1A45">
      <w:pPr>
        <w:ind w:firstLine="360"/>
      </w:pPr>
      <w:r>
        <w:t xml:space="preserve">The SSC reviewed the SEDAR 15A update (2015) for mutton snapper at their April 28-30, 2015 meeting.  An excerpt from the SSC’s report for that meeting is below. </w:t>
      </w:r>
    </w:p>
    <w:p w14:paraId="71DE6467" w14:textId="77777777" w:rsidR="006B1A45" w:rsidRPr="00A66EF3" w:rsidRDefault="006B1A45" w:rsidP="006B1A45">
      <w:pPr>
        <w:rPr>
          <w:i/>
        </w:rPr>
      </w:pPr>
      <w:r w:rsidRPr="00A66EF3">
        <w:rPr>
          <w:i/>
        </w:rPr>
        <w:t>The SSC reviewed the mutton snapper SEDAR 15A assessment update conducted by Florida FWC. The Committee consensus was that the update represents the best scientific information available and can, therefore, be used to provide management advice.</w:t>
      </w:r>
    </w:p>
    <w:p w14:paraId="7BBEABCA" w14:textId="77777777" w:rsidR="006B1A45" w:rsidRPr="00A66EF3" w:rsidRDefault="006B1A45" w:rsidP="006B1A45">
      <w:pPr>
        <w:rPr>
          <w:i/>
        </w:rPr>
      </w:pPr>
      <w:r w:rsidRPr="00A66EF3">
        <w:rPr>
          <w:i/>
        </w:rPr>
        <w:t>Specific comments and discussion points brought up during the SSC meeting included:</w:t>
      </w:r>
    </w:p>
    <w:p w14:paraId="5CD165A2" w14:textId="77777777" w:rsidR="006B1A45" w:rsidRPr="00A66EF3" w:rsidRDefault="006B1A45" w:rsidP="006B1A45">
      <w:pPr>
        <w:rPr>
          <w:i/>
        </w:rPr>
      </w:pPr>
      <w:r w:rsidRPr="00A66EF3">
        <w:rPr>
          <w:i/>
        </w:rPr>
        <w:t>- The SSC expressed concern that, despite improvements in the data streams and the fact that the analytical team tried to follow CIE reviewer recommendations from the previous assessment, a few problems either developed or worsened during the update:</w:t>
      </w:r>
    </w:p>
    <w:p w14:paraId="6834DE6D" w14:textId="77777777" w:rsidR="006B1A45" w:rsidRPr="00A66EF3" w:rsidRDefault="006B1A45" w:rsidP="006B1A45">
      <w:pPr>
        <w:rPr>
          <w:i/>
        </w:rPr>
      </w:pPr>
      <w:r w:rsidRPr="00A66EF3">
        <w:rPr>
          <w:i/>
        </w:rPr>
        <w:t>• Patterns in residuals for some of the indices and the commercial discards.</w:t>
      </w:r>
    </w:p>
    <w:p w14:paraId="4F45EEFD" w14:textId="77777777" w:rsidR="006B1A45" w:rsidRPr="00A66EF3" w:rsidRDefault="006B1A45" w:rsidP="006B1A45">
      <w:pPr>
        <w:rPr>
          <w:i/>
        </w:rPr>
      </w:pPr>
      <w:r w:rsidRPr="00A66EF3">
        <w:rPr>
          <w:i/>
        </w:rPr>
        <w:t>• Poor fit to the age composition.</w:t>
      </w:r>
    </w:p>
    <w:p w14:paraId="48EE2F42" w14:textId="77777777" w:rsidR="006B1A45" w:rsidRPr="00A66EF3" w:rsidRDefault="006B1A45" w:rsidP="006B1A45">
      <w:pPr>
        <w:rPr>
          <w:i/>
        </w:rPr>
      </w:pPr>
      <w:r w:rsidRPr="00A66EF3">
        <w:rPr>
          <w:i/>
        </w:rPr>
        <w:t>• Problems estimating selectivity for some of the fleets.</w:t>
      </w:r>
    </w:p>
    <w:p w14:paraId="7497DE86" w14:textId="77777777" w:rsidR="006B1A45" w:rsidRDefault="006B1A45" w:rsidP="006B1A45">
      <w:pPr>
        <w:rPr>
          <w:i/>
        </w:rPr>
      </w:pPr>
      <w:r w:rsidRPr="00A66EF3">
        <w:rPr>
          <w:i/>
        </w:rPr>
        <w:t>- However, the change in magnitude of the MSY estimate between the prior and this assessment seems to reflect improvements in how the update model handles fishing mortality and selectivity (i.e., improved selectivity estimates prevent the assumption of a large cryptic biomass as observed in SEDAR 15A).</w:t>
      </w:r>
    </w:p>
    <w:p w14:paraId="0140BBEF" w14:textId="77777777" w:rsidR="006B1A45" w:rsidRDefault="006B1A45" w:rsidP="006B1A45">
      <w:pPr>
        <w:rPr>
          <w:i/>
        </w:rPr>
      </w:pPr>
    </w:p>
    <w:p w14:paraId="2B76800A" w14:textId="77777777" w:rsidR="006B1A45" w:rsidRDefault="006B1A45" w:rsidP="006B1A45">
      <w:pPr>
        <w:rPr>
          <w:i/>
        </w:rPr>
      </w:pPr>
      <w:r w:rsidRPr="000C081A">
        <w:rPr>
          <w:i/>
        </w:rPr>
        <w:lastRenderedPageBreak/>
        <w:t>Since this assessment falls under Tier 1 of the SAFMC ABC control rule, ABC was obtained according to a P* value. A summary of results from applying the ABC control rule is presented below:</w:t>
      </w:r>
    </w:p>
    <w:p w14:paraId="7C1ACCA8" w14:textId="77777777" w:rsidR="006B1A45" w:rsidRPr="000C081A" w:rsidRDefault="006B1A45" w:rsidP="006B1A45">
      <w:pPr>
        <w:rPr>
          <w:i/>
        </w:rPr>
      </w:pPr>
      <w:r w:rsidRPr="000C081A">
        <w:rPr>
          <w:i/>
        </w:rPr>
        <w:t>1. Assessment Information: Tier 2 (-2.5%): an SPR-based proxy was used for MSY benchmarks.</w:t>
      </w:r>
    </w:p>
    <w:p w14:paraId="2B2A4A3F" w14:textId="77777777" w:rsidR="006B1A45" w:rsidRPr="000C081A" w:rsidRDefault="006B1A45" w:rsidP="006B1A45">
      <w:pPr>
        <w:rPr>
          <w:i/>
        </w:rPr>
      </w:pPr>
      <w:r w:rsidRPr="000C081A">
        <w:rPr>
          <w:i/>
        </w:rPr>
        <w:t>2. Uncertainty: Tier 3, medium (-5.0%): many of the uncertainties are well documented but did not seem to take into account problems with fitting the indices and the age comps.</w:t>
      </w:r>
    </w:p>
    <w:p w14:paraId="106F22D7" w14:textId="77777777" w:rsidR="006B1A45" w:rsidRPr="000C081A" w:rsidRDefault="006B1A45" w:rsidP="006B1A45">
      <w:pPr>
        <w:rPr>
          <w:i/>
        </w:rPr>
      </w:pPr>
      <w:r w:rsidRPr="000C081A">
        <w:rPr>
          <w:i/>
        </w:rPr>
        <w:t>3. Stock Status: Tier 2, Not Overfished, No Overfishing is occurring but stock may be in close proximity to benchmark values (-2.5%).</w:t>
      </w:r>
    </w:p>
    <w:p w14:paraId="12983E51" w14:textId="77777777" w:rsidR="006B1A45" w:rsidRPr="000C081A" w:rsidRDefault="006B1A45" w:rsidP="006B1A45">
      <w:pPr>
        <w:rPr>
          <w:i/>
        </w:rPr>
      </w:pPr>
      <w:r w:rsidRPr="000C081A">
        <w:rPr>
          <w:i/>
        </w:rPr>
        <w:t>4. Productivity-Susceptibility Analysis: High Risk (-10%): based on the MRAG report.</w:t>
      </w:r>
    </w:p>
    <w:p w14:paraId="759B6358" w14:textId="77777777" w:rsidR="006B1A45" w:rsidRDefault="006B1A45" w:rsidP="006B1A45">
      <w:pPr>
        <w:rPr>
          <w:i/>
        </w:rPr>
      </w:pPr>
      <w:r w:rsidRPr="000C081A">
        <w:rPr>
          <w:i/>
        </w:rPr>
        <w:t>In total, these results provide for an adjustment score of 20%, and a P* of 30%. The SSC recommends using 5-year projections at P*=50% for OFL and at P*=30% for ABC</w:t>
      </w:r>
      <w:r>
        <w:rPr>
          <w:i/>
        </w:rPr>
        <w:t>.</w:t>
      </w:r>
    </w:p>
    <w:p w14:paraId="653F1077" w14:textId="77777777" w:rsidR="006B1A45" w:rsidRDefault="006B1A45" w:rsidP="006B1A45">
      <w:pPr>
        <w:rPr>
          <w:i/>
        </w:rPr>
      </w:pPr>
    </w:p>
    <w:p w14:paraId="3F679BD8" w14:textId="77777777" w:rsidR="006B1A45" w:rsidRPr="000C081A" w:rsidRDefault="006B1A45" w:rsidP="006B1A45">
      <w:r w:rsidRPr="000C081A">
        <w:t>SSC Mutton Snapper Recommendations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2"/>
        <w:gridCol w:w="3959"/>
        <w:gridCol w:w="2005"/>
      </w:tblGrid>
      <w:tr w:rsidR="006B1A45" w:rsidRPr="00B32742" w14:paraId="14765817" w14:textId="77777777" w:rsidTr="006B1A45">
        <w:tc>
          <w:tcPr>
            <w:tcW w:w="1886" w:type="pct"/>
            <w:shd w:val="clear" w:color="auto" w:fill="D9D9D9" w:themeFill="background1" w:themeFillShade="D9"/>
            <w:tcMar>
              <w:top w:w="144" w:type="nil"/>
              <w:right w:w="144" w:type="nil"/>
            </w:tcMar>
          </w:tcPr>
          <w:p w14:paraId="04D2758E" w14:textId="77777777" w:rsidR="006B1A45" w:rsidRPr="00B32742" w:rsidRDefault="006B1A45" w:rsidP="006B1A45">
            <w:pPr>
              <w:widowControl w:val="0"/>
              <w:autoSpaceDE w:val="0"/>
              <w:autoSpaceDN w:val="0"/>
              <w:adjustRightInd w:val="0"/>
              <w:jc w:val="center"/>
              <w:rPr>
                <w:sz w:val="22"/>
                <w:szCs w:val="22"/>
              </w:rPr>
            </w:pPr>
            <w:r w:rsidRPr="00B32742">
              <w:rPr>
                <w:b/>
                <w:bCs/>
                <w:sz w:val="22"/>
                <w:szCs w:val="22"/>
              </w:rPr>
              <w:t>Criteria</w:t>
            </w:r>
          </w:p>
        </w:tc>
        <w:tc>
          <w:tcPr>
            <w:tcW w:w="2067" w:type="pct"/>
            <w:shd w:val="clear" w:color="auto" w:fill="D9D9D9" w:themeFill="background1" w:themeFillShade="D9"/>
            <w:tcMar>
              <w:top w:w="144" w:type="nil"/>
              <w:right w:w="144" w:type="nil"/>
            </w:tcMar>
          </w:tcPr>
          <w:p w14:paraId="18F47206" w14:textId="77777777" w:rsidR="006B1A45" w:rsidRPr="00B32742" w:rsidRDefault="006B1A45" w:rsidP="006B1A45">
            <w:pPr>
              <w:widowControl w:val="0"/>
              <w:autoSpaceDE w:val="0"/>
              <w:autoSpaceDN w:val="0"/>
              <w:adjustRightInd w:val="0"/>
              <w:jc w:val="center"/>
              <w:rPr>
                <w:sz w:val="22"/>
                <w:szCs w:val="22"/>
              </w:rPr>
            </w:pPr>
            <w:r w:rsidRPr="00B32742">
              <w:rPr>
                <w:b/>
                <w:bCs/>
                <w:sz w:val="22"/>
                <w:szCs w:val="22"/>
              </w:rPr>
              <w:t>Deterministic</w:t>
            </w:r>
          </w:p>
        </w:tc>
        <w:tc>
          <w:tcPr>
            <w:tcW w:w="1047" w:type="pct"/>
            <w:shd w:val="clear" w:color="auto" w:fill="D9D9D9" w:themeFill="background1" w:themeFillShade="D9"/>
            <w:tcMar>
              <w:top w:w="144" w:type="nil"/>
              <w:right w:w="144" w:type="nil"/>
            </w:tcMar>
          </w:tcPr>
          <w:p w14:paraId="74C714D0" w14:textId="77777777" w:rsidR="006B1A45" w:rsidRPr="00B32742" w:rsidRDefault="006B1A45" w:rsidP="006B1A45">
            <w:pPr>
              <w:widowControl w:val="0"/>
              <w:autoSpaceDE w:val="0"/>
              <w:autoSpaceDN w:val="0"/>
              <w:adjustRightInd w:val="0"/>
              <w:jc w:val="center"/>
              <w:rPr>
                <w:sz w:val="22"/>
                <w:szCs w:val="22"/>
              </w:rPr>
            </w:pPr>
            <w:r w:rsidRPr="00B32742">
              <w:rPr>
                <w:b/>
                <w:bCs/>
                <w:sz w:val="22"/>
                <w:szCs w:val="22"/>
              </w:rPr>
              <w:t>Probabilistic</w:t>
            </w:r>
          </w:p>
        </w:tc>
      </w:tr>
      <w:tr w:rsidR="006B1A45" w:rsidRPr="00B32742" w14:paraId="0B3FE164" w14:textId="77777777" w:rsidTr="006B1A45">
        <w:tc>
          <w:tcPr>
            <w:tcW w:w="1886" w:type="pct"/>
            <w:tcMar>
              <w:top w:w="144" w:type="nil"/>
              <w:right w:w="144" w:type="nil"/>
            </w:tcMar>
          </w:tcPr>
          <w:p w14:paraId="1B1E2CD2" w14:textId="77777777" w:rsidR="006B1A45" w:rsidRPr="00B32742" w:rsidRDefault="006B1A45" w:rsidP="006B1A45">
            <w:pPr>
              <w:widowControl w:val="0"/>
              <w:autoSpaceDE w:val="0"/>
              <w:autoSpaceDN w:val="0"/>
              <w:adjustRightInd w:val="0"/>
              <w:rPr>
                <w:sz w:val="22"/>
                <w:szCs w:val="22"/>
              </w:rPr>
            </w:pPr>
            <w:r w:rsidRPr="00B32742">
              <w:rPr>
                <w:sz w:val="22"/>
                <w:szCs w:val="22"/>
              </w:rPr>
              <w:t>Overfished evaluation</w:t>
            </w:r>
          </w:p>
        </w:tc>
        <w:tc>
          <w:tcPr>
            <w:tcW w:w="2067" w:type="pct"/>
            <w:tcMar>
              <w:top w:w="144" w:type="nil"/>
              <w:right w:w="144" w:type="nil"/>
            </w:tcMar>
          </w:tcPr>
          <w:p w14:paraId="6FAA2C2F" w14:textId="77777777" w:rsidR="006B1A45" w:rsidRPr="00B32742" w:rsidRDefault="006B1A45" w:rsidP="006B1A45">
            <w:pPr>
              <w:widowControl w:val="0"/>
              <w:autoSpaceDE w:val="0"/>
              <w:autoSpaceDN w:val="0"/>
              <w:adjustRightInd w:val="0"/>
              <w:jc w:val="center"/>
              <w:rPr>
                <w:sz w:val="22"/>
                <w:szCs w:val="22"/>
              </w:rPr>
            </w:pPr>
            <w:r w:rsidRPr="00B32742">
              <w:rPr>
                <w:sz w:val="22"/>
                <w:szCs w:val="22"/>
              </w:rPr>
              <w:t>Not overfished: SSB/SSB</w:t>
            </w:r>
            <w:r w:rsidRPr="00B32742">
              <w:rPr>
                <w:sz w:val="22"/>
                <w:szCs w:val="22"/>
                <w:vertAlign w:val="subscript"/>
              </w:rPr>
              <w:t>F30%</w:t>
            </w:r>
            <w:r w:rsidRPr="00B32742">
              <w:rPr>
                <w:sz w:val="22"/>
                <w:szCs w:val="22"/>
              </w:rPr>
              <w:t>=1.13</w:t>
            </w:r>
          </w:p>
        </w:tc>
        <w:tc>
          <w:tcPr>
            <w:tcW w:w="1047" w:type="pct"/>
            <w:tcMar>
              <w:top w:w="144" w:type="nil"/>
              <w:right w:w="144" w:type="nil"/>
            </w:tcMar>
          </w:tcPr>
          <w:p w14:paraId="6E6DF43E" w14:textId="77777777" w:rsidR="006B1A45" w:rsidRPr="00B32742" w:rsidRDefault="006B1A45" w:rsidP="006B1A45">
            <w:pPr>
              <w:widowControl w:val="0"/>
              <w:autoSpaceDE w:val="0"/>
              <w:autoSpaceDN w:val="0"/>
              <w:adjustRightInd w:val="0"/>
              <w:jc w:val="center"/>
              <w:rPr>
                <w:sz w:val="22"/>
                <w:szCs w:val="22"/>
                <w:lang w:val="x-none" w:eastAsia="x-none"/>
              </w:rPr>
            </w:pPr>
          </w:p>
        </w:tc>
      </w:tr>
      <w:tr w:rsidR="006B1A45" w:rsidRPr="00B32742" w14:paraId="14499B26" w14:textId="77777777" w:rsidTr="006B1A45">
        <w:tc>
          <w:tcPr>
            <w:tcW w:w="1886" w:type="pct"/>
            <w:tcMar>
              <w:top w:w="144" w:type="nil"/>
              <w:right w:w="144" w:type="nil"/>
            </w:tcMar>
          </w:tcPr>
          <w:p w14:paraId="2CB67E57" w14:textId="77777777" w:rsidR="006B1A45" w:rsidRPr="00B32742" w:rsidRDefault="006B1A45" w:rsidP="006B1A45">
            <w:pPr>
              <w:widowControl w:val="0"/>
              <w:autoSpaceDE w:val="0"/>
              <w:autoSpaceDN w:val="0"/>
              <w:adjustRightInd w:val="0"/>
              <w:rPr>
                <w:sz w:val="22"/>
                <w:szCs w:val="22"/>
              </w:rPr>
            </w:pPr>
            <w:r w:rsidRPr="00B32742">
              <w:rPr>
                <w:sz w:val="22"/>
                <w:szCs w:val="22"/>
              </w:rPr>
              <w:t>Overfishing evaluation</w:t>
            </w:r>
          </w:p>
        </w:tc>
        <w:tc>
          <w:tcPr>
            <w:tcW w:w="2067" w:type="pct"/>
            <w:tcMar>
              <w:top w:w="144" w:type="nil"/>
              <w:right w:w="144" w:type="nil"/>
            </w:tcMar>
          </w:tcPr>
          <w:p w14:paraId="70198E3E" w14:textId="77777777" w:rsidR="006B1A45" w:rsidRPr="00B32742" w:rsidRDefault="006B1A45" w:rsidP="006B1A45">
            <w:pPr>
              <w:widowControl w:val="0"/>
              <w:autoSpaceDE w:val="0"/>
              <w:autoSpaceDN w:val="0"/>
              <w:adjustRightInd w:val="0"/>
              <w:jc w:val="center"/>
              <w:rPr>
                <w:sz w:val="22"/>
                <w:szCs w:val="22"/>
              </w:rPr>
            </w:pPr>
            <w:r w:rsidRPr="00B32742">
              <w:rPr>
                <w:sz w:val="22"/>
                <w:szCs w:val="22"/>
              </w:rPr>
              <w:t>Not overfishing: F/F</w:t>
            </w:r>
            <w:r w:rsidRPr="00B32742">
              <w:rPr>
                <w:sz w:val="22"/>
                <w:szCs w:val="22"/>
                <w:vertAlign w:val="subscript"/>
              </w:rPr>
              <w:t>30%SPR</w:t>
            </w:r>
            <w:r w:rsidRPr="00B32742">
              <w:rPr>
                <w:sz w:val="22"/>
                <w:szCs w:val="22"/>
              </w:rPr>
              <w:t>=0.65</w:t>
            </w:r>
          </w:p>
        </w:tc>
        <w:tc>
          <w:tcPr>
            <w:tcW w:w="1047" w:type="pct"/>
            <w:tcMar>
              <w:top w:w="144" w:type="nil"/>
              <w:right w:w="144" w:type="nil"/>
            </w:tcMar>
          </w:tcPr>
          <w:p w14:paraId="1F72DB09" w14:textId="77777777" w:rsidR="006B1A45" w:rsidRPr="00B32742" w:rsidRDefault="006B1A45" w:rsidP="006B1A45">
            <w:pPr>
              <w:widowControl w:val="0"/>
              <w:autoSpaceDE w:val="0"/>
              <w:autoSpaceDN w:val="0"/>
              <w:adjustRightInd w:val="0"/>
              <w:jc w:val="center"/>
              <w:rPr>
                <w:sz w:val="22"/>
                <w:szCs w:val="22"/>
                <w:lang w:val="x-none" w:eastAsia="x-none"/>
              </w:rPr>
            </w:pPr>
          </w:p>
        </w:tc>
      </w:tr>
      <w:tr w:rsidR="006B1A45" w:rsidRPr="00B32742" w14:paraId="586F93AE" w14:textId="77777777" w:rsidTr="006B1A45">
        <w:tc>
          <w:tcPr>
            <w:tcW w:w="1886" w:type="pct"/>
            <w:tcMar>
              <w:top w:w="144" w:type="nil"/>
              <w:right w:w="144" w:type="nil"/>
            </w:tcMar>
          </w:tcPr>
          <w:p w14:paraId="66D1C117" w14:textId="77777777" w:rsidR="006B1A45" w:rsidRPr="00B32742" w:rsidRDefault="006B1A45" w:rsidP="006B1A45">
            <w:pPr>
              <w:widowControl w:val="0"/>
              <w:autoSpaceDE w:val="0"/>
              <w:autoSpaceDN w:val="0"/>
              <w:adjustRightInd w:val="0"/>
              <w:rPr>
                <w:sz w:val="22"/>
                <w:szCs w:val="22"/>
              </w:rPr>
            </w:pPr>
            <w:r w:rsidRPr="00B32742">
              <w:rPr>
                <w:sz w:val="22"/>
                <w:szCs w:val="22"/>
              </w:rPr>
              <w:t>MFMT (F</w:t>
            </w:r>
            <w:r w:rsidRPr="00B32742">
              <w:rPr>
                <w:sz w:val="22"/>
                <w:szCs w:val="22"/>
                <w:vertAlign w:val="subscript"/>
              </w:rPr>
              <w:t>30%SPR</w:t>
            </w:r>
            <w:r w:rsidRPr="00B32742">
              <w:rPr>
                <w:sz w:val="22"/>
                <w:szCs w:val="22"/>
              </w:rPr>
              <w:t>)</w:t>
            </w:r>
          </w:p>
        </w:tc>
        <w:tc>
          <w:tcPr>
            <w:tcW w:w="2067" w:type="pct"/>
            <w:tcMar>
              <w:top w:w="144" w:type="nil"/>
              <w:right w:w="144" w:type="nil"/>
            </w:tcMar>
          </w:tcPr>
          <w:p w14:paraId="17E989B7" w14:textId="77777777" w:rsidR="006B1A45" w:rsidRPr="00B32742" w:rsidRDefault="006B1A45" w:rsidP="006B1A45">
            <w:pPr>
              <w:widowControl w:val="0"/>
              <w:autoSpaceDE w:val="0"/>
              <w:autoSpaceDN w:val="0"/>
              <w:adjustRightInd w:val="0"/>
              <w:jc w:val="center"/>
              <w:rPr>
                <w:sz w:val="22"/>
                <w:szCs w:val="22"/>
              </w:rPr>
            </w:pPr>
            <w:r w:rsidRPr="00B32742">
              <w:rPr>
                <w:sz w:val="22"/>
                <w:szCs w:val="22"/>
              </w:rPr>
              <w:t>0.18</w:t>
            </w:r>
          </w:p>
        </w:tc>
        <w:tc>
          <w:tcPr>
            <w:tcW w:w="1047" w:type="pct"/>
            <w:tcMar>
              <w:top w:w="144" w:type="nil"/>
              <w:right w:w="144" w:type="nil"/>
            </w:tcMar>
          </w:tcPr>
          <w:p w14:paraId="7554FCB5" w14:textId="77777777" w:rsidR="006B1A45" w:rsidRPr="00B32742" w:rsidRDefault="006B1A45" w:rsidP="006B1A45">
            <w:pPr>
              <w:widowControl w:val="0"/>
              <w:autoSpaceDE w:val="0"/>
              <w:autoSpaceDN w:val="0"/>
              <w:adjustRightInd w:val="0"/>
              <w:jc w:val="center"/>
              <w:rPr>
                <w:sz w:val="22"/>
                <w:szCs w:val="22"/>
                <w:lang w:val="x-none" w:eastAsia="x-none"/>
              </w:rPr>
            </w:pPr>
          </w:p>
        </w:tc>
      </w:tr>
      <w:tr w:rsidR="006B1A45" w:rsidRPr="00B32742" w14:paraId="528B015D" w14:textId="77777777" w:rsidTr="006B1A45">
        <w:tc>
          <w:tcPr>
            <w:tcW w:w="1886" w:type="pct"/>
            <w:tcMar>
              <w:top w:w="144" w:type="nil"/>
              <w:right w:w="144" w:type="nil"/>
            </w:tcMar>
          </w:tcPr>
          <w:p w14:paraId="4B8151A7" w14:textId="77777777" w:rsidR="006B1A45" w:rsidRPr="00B32742" w:rsidRDefault="006B1A45" w:rsidP="006B1A45">
            <w:pPr>
              <w:widowControl w:val="0"/>
              <w:autoSpaceDE w:val="0"/>
              <w:autoSpaceDN w:val="0"/>
              <w:adjustRightInd w:val="0"/>
              <w:rPr>
                <w:sz w:val="22"/>
                <w:szCs w:val="22"/>
              </w:rPr>
            </w:pPr>
            <w:r w:rsidRPr="00B32742">
              <w:rPr>
                <w:sz w:val="22"/>
                <w:szCs w:val="22"/>
              </w:rPr>
              <w:t>SSB</w:t>
            </w:r>
            <w:r w:rsidRPr="00B32742">
              <w:rPr>
                <w:sz w:val="22"/>
                <w:szCs w:val="22"/>
                <w:vertAlign w:val="subscript"/>
              </w:rPr>
              <w:t>30%SPR</w:t>
            </w:r>
            <w:r w:rsidRPr="00B32742">
              <w:rPr>
                <w:sz w:val="22"/>
                <w:szCs w:val="22"/>
              </w:rPr>
              <w:t xml:space="preserve"> (lbs females)</w:t>
            </w:r>
          </w:p>
        </w:tc>
        <w:tc>
          <w:tcPr>
            <w:tcW w:w="2067" w:type="pct"/>
            <w:tcMar>
              <w:top w:w="144" w:type="nil"/>
              <w:right w:w="144" w:type="nil"/>
            </w:tcMar>
          </w:tcPr>
          <w:p w14:paraId="3B264C89" w14:textId="77777777" w:rsidR="006B1A45" w:rsidRPr="00B32742" w:rsidRDefault="006B1A45" w:rsidP="006B1A45">
            <w:pPr>
              <w:widowControl w:val="0"/>
              <w:autoSpaceDE w:val="0"/>
              <w:autoSpaceDN w:val="0"/>
              <w:adjustRightInd w:val="0"/>
              <w:jc w:val="center"/>
              <w:rPr>
                <w:sz w:val="22"/>
                <w:szCs w:val="22"/>
              </w:rPr>
            </w:pPr>
            <w:r w:rsidRPr="00B32742">
              <w:rPr>
                <w:sz w:val="22"/>
                <w:szCs w:val="22"/>
              </w:rPr>
              <w:t>4,649,200</w:t>
            </w:r>
          </w:p>
        </w:tc>
        <w:tc>
          <w:tcPr>
            <w:tcW w:w="1047" w:type="pct"/>
            <w:tcMar>
              <w:top w:w="144" w:type="nil"/>
              <w:right w:w="144" w:type="nil"/>
            </w:tcMar>
          </w:tcPr>
          <w:p w14:paraId="4752E794" w14:textId="77777777" w:rsidR="006B1A45" w:rsidRPr="00B32742" w:rsidRDefault="006B1A45" w:rsidP="006B1A45">
            <w:pPr>
              <w:widowControl w:val="0"/>
              <w:autoSpaceDE w:val="0"/>
              <w:autoSpaceDN w:val="0"/>
              <w:adjustRightInd w:val="0"/>
              <w:jc w:val="center"/>
              <w:rPr>
                <w:sz w:val="22"/>
                <w:szCs w:val="22"/>
                <w:lang w:val="x-none" w:eastAsia="x-none"/>
              </w:rPr>
            </w:pPr>
          </w:p>
        </w:tc>
      </w:tr>
      <w:tr w:rsidR="006B1A45" w:rsidRPr="00B32742" w14:paraId="2E0677EF" w14:textId="77777777" w:rsidTr="006B1A45">
        <w:tc>
          <w:tcPr>
            <w:tcW w:w="1886" w:type="pct"/>
            <w:tcMar>
              <w:top w:w="144" w:type="nil"/>
              <w:right w:w="144" w:type="nil"/>
            </w:tcMar>
          </w:tcPr>
          <w:p w14:paraId="39C03C81" w14:textId="77777777" w:rsidR="006B1A45" w:rsidRPr="00B32742" w:rsidRDefault="006B1A45" w:rsidP="006B1A45">
            <w:pPr>
              <w:widowControl w:val="0"/>
              <w:autoSpaceDE w:val="0"/>
              <w:autoSpaceDN w:val="0"/>
              <w:adjustRightInd w:val="0"/>
              <w:rPr>
                <w:sz w:val="22"/>
                <w:szCs w:val="22"/>
              </w:rPr>
            </w:pPr>
            <w:r w:rsidRPr="00B32742">
              <w:rPr>
                <w:sz w:val="22"/>
                <w:szCs w:val="22"/>
              </w:rPr>
              <w:t>MSST (lbs females)</w:t>
            </w:r>
          </w:p>
        </w:tc>
        <w:tc>
          <w:tcPr>
            <w:tcW w:w="2067" w:type="pct"/>
            <w:tcMar>
              <w:top w:w="144" w:type="nil"/>
              <w:right w:w="144" w:type="nil"/>
            </w:tcMar>
          </w:tcPr>
          <w:p w14:paraId="1EDDF409" w14:textId="77777777" w:rsidR="006B1A45" w:rsidRPr="00B32742" w:rsidRDefault="006B1A45" w:rsidP="006B1A45">
            <w:pPr>
              <w:widowControl w:val="0"/>
              <w:autoSpaceDE w:val="0"/>
              <w:autoSpaceDN w:val="0"/>
              <w:adjustRightInd w:val="0"/>
              <w:jc w:val="center"/>
              <w:rPr>
                <w:sz w:val="22"/>
                <w:szCs w:val="22"/>
              </w:rPr>
            </w:pPr>
            <w:r w:rsidRPr="00B32742">
              <w:rPr>
                <w:sz w:val="22"/>
                <w:szCs w:val="22"/>
              </w:rPr>
              <w:t>4,137,700</w:t>
            </w:r>
          </w:p>
        </w:tc>
        <w:tc>
          <w:tcPr>
            <w:tcW w:w="1047" w:type="pct"/>
            <w:tcMar>
              <w:top w:w="144" w:type="nil"/>
              <w:right w:w="144" w:type="nil"/>
            </w:tcMar>
          </w:tcPr>
          <w:p w14:paraId="43E7C893" w14:textId="77777777" w:rsidR="006B1A45" w:rsidRPr="00B32742" w:rsidRDefault="006B1A45" w:rsidP="006B1A45">
            <w:pPr>
              <w:widowControl w:val="0"/>
              <w:autoSpaceDE w:val="0"/>
              <w:autoSpaceDN w:val="0"/>
              <w:adjustRightInd w:val="0"/>
              <w:jc w:val="center"/>
              <w:rPr>
                <w:sz w:val="22"/>
                <w:szCs w:val="22"/>
                <w:lang w:val="x-none" w:eastAsia="x-none"/>
              </w:rPr>
            </w:pPr>
          </w:p>
        </w:tc>
      </w:tr>
      <w:tr w:rsidR="006B1A45" w:rsidRPr="00B32742" w14:paraId="707FF613" w14:textId="77777777" w:rsidTr="006B1A45">
        <w:tc>
          <w:tcPr>
            <w:tcW w:w="1886" w:type="pct"/>
            <w:tcMar>
              <w:top w:w="144" w:type="nil"/>
              <w:right w:w="144" w:type="nil"/>
            </w:tcMar>
          </w:tcPr>
          <w:p w14:paraId="4933DF12" w14:textId="77777777" w:rsidR="006B1A45" w:rsidRPr="00B32742" w:rsidRDefault="006B1A45" w:rsidP="006B1A45">
            <w:pPr>
              <w:widowControl w:val="0"/>
              <w:autoSpaceDE w:val="0"/>
              <w:autoSpaceDN w:val="0"/>
              <w:adjustRightInd w:val="0"/>
              <w:rPr>
                <w:sz w:val="22"/>
                <w:szCs w:val="22"/>
              </w:rPr>
            </w:pPr>
            <w:r w:rsidRPr="00B32742">
              <w:rPr>
                <w:sz w:val="22"/>
                <w:szCs w:val="22"/>
              </w:rPr>
              <w:t>Y at F</w:t>
            </w:r>
            <w:r w:rsidRPr="00B32742">
              <w:rPr>
                <w:sz w:val="22"/>
                <w:szCs w:val="22"/>
                <w:vertAlign w:val="subscript"/>
              </w:rPr>
              <w:t>30%SPR</w:t>
            </w:r>
            <w:r w:rsidRPr="00B32742">
              <w:rPr>
                <w:sz w:val="22"/>
                <w:szCs w:val="22"/>
              </w:rPr>
              <w:t xml:space="preserve"> (MSY proxy, lbs)</w:t>
            </w:r>
          </w:p>
        </w:tc>
        <w:tc>
          <w:tcPr>
            <w:tcW w:w="2067" w:type="pct"/>
            <w:tcMar>
              <w:top w:w="144" w:type="nil"/>
              <w:right w:w="144" w:type="nil"/>
            </w:tcMar>
          </w:tcPr>
          <w:p w14:paraId="660187CF" w14:textId="77777777" w:rsidR="006B1A45" w:rsidRPr="00B32742" w:rsidRDefault="006B1A45" w:rsidP="006B1A45">
            <w:pPr>
              <w:widowControl w:val="0"/>
              <w:autoSpaceDE w:val="0"/>
              <w:autoSpaceDN w:val="0"/>
              <w:adjustRightInd w:val="0"/>
              <w:jc w:val="center"/>
              <w:rPr>
                <w:sz w:val="22"/>
                <w:szCs w:val="22"/>
              </w:rPr>
            </w:pPr>
            <w:r w:rsidRPr="00B32742">
              <w:rPr>
                <w:sz w:val="22"/>
                <w:szCs w:val="22"/>
              </w:rPr>
              <w:t>912,500</w:t>
            </w:r>
          </w:p>
        </w:tc>
        <w:tc>
          <w:tcPr>
            <w:tcW w:w="1047" w:type="pct"/>
            <w:tcMar>
              <w:top w:w="144" w:type="nil"/>
              <w:right w:w="144" w:type="nil"/>
            </w:tcMar>
          </w:tcPr>
          <w:p w14:paraId="63C3FAF8" w14:textId="77777777" w:rsidR="006B1A45" w:rsidRPr="00B32742" w:rsidRDefault="006B1A45" w:rsidP="006B1A45">
            <w:pPr>
              <w:widowControl w:val="0"/>
              <w:autoSpaceDE w:val="0"/>
              <w:autoSpaceDN w:val="0"/>
              <w:adjustRightInd w:val="0"/>
              <w:jc w:val="center"/>
              <w:rPr>
                <w:sz w:val="22"/>
                <w:szCs w:val="22"/>
                <w:lang w:val="x-none" w:eastAsia="x-none"/>
              </w:rPr>
            </w:pPr>
          </w:p>
        </w:tc>
      </w:tr>
      <w:tr w:rsidR="006B1A45" w:rsidRPr="00B32742" w14:paraId="0EF752E2" w14:textId="77777777" w:rsidTr="006B1A45">
        <w:tc>
          <w:tcPr>
            <w:tcW w:w="1886" w:type="pct"/>
            <w:tcMar>
              <w:top w:w="144" w:type="nil"/>
              <w:right w:w="144" w:type="nil"/>
            </w:tcMar>
          </w:tcPr>
          <w:p w14:paraId="78102C03" w14:textId="77777777" w:rsidR="006B1A45" w:rsidRPr="00B32742" w:rsidRDefault="006B1A45" w:rsidP="006B1A45">
            <w:pPr>
              <w:widowControl w:val="0"/>
              <w:autoSpaceDE w:val="0"/>
              <w:autoSpaceDN w:val="0"/>
              <w:adjustRightInd w:val="0"/>
              <w:rPr>
                <w:sz w:val="22"/>
                <w:szCs w:val="22"/>
              </w:rPr>
            </w:pPr>
            <w:r w:rsidRPr="00B32742">
              <w:rPr>
                <w:sz w:val="22"/>
                <w:szCs w:val="22"/>
              </w:rPr>
              <w:t>Y at F</w:t>
            </w:r>
            <w:r w:rsidRPr="00B32742">
              <w:rPr>
                <w:sz w:val="22"/>
                <w:szCs w:val="22"/>
                <w:vertAlign w:val="subscript"/>
              </w:rPr>
              <w:t>40%SPR</w:t>
            </w:r>
            <w:r w:rsidRPr="00B32742">
              <w:rPr>
                <w:sz w:val="22"/>
                <w:szCs w:val="22"/>
              </w:rPr>
              <w:t xml:space="preserve"> (lbs)</w:t>
            </w:r>
          </w:p>
        </w:tc>
        <w:tc>
          <w:tcPr>
            <w:tcW w:w="2067" w:type="pct"/>
            <w:tcMar>
              <w:top w:w="144" w:type="nil"/>
              <w:right w:w="144" w:type="nil"/>
            </w:tcMar>
          </w:tcPr>
          <w:p w14:paraId="1F756BB3" w14:textId="77777777" w:rsidR="006B1A45" w:rsidRPr="00B32742" w:rsidRDefault="006B1A45" w:rsidP="006B1A45">
            <w:pPr>
              <w:widowControl w:val="0"/>
              <w:autoSpaceDE w:val="0"/>
              <w:autoSpaceDN w:val="0"/>
              <w:adjustRightInd w:val="0"/>
              <w:jc w:val="center"/>
              <w:rPr>
                <w:sz w:val="22"/>
                <w:szCs w:val="22"/>
              </w:rPr>
            </w:pPr>
            <w:r w:rsidRPr="00B32742">
              <w:rPr>
                <w:sz w:val="22"/>
                <w:szCs w:val="22"/>
              </w:rPr>
              <w:t>874,000</w:t>
            </w:r>
          </w:p>
        </w:tc>
        <w:tc>
          <w:tcPr>
            <w:tcW w:w="1047" w:type="pct"/>
            <w:tcMar>
              <w:top w:w="144" w:type="nil"/>
              <w:right w:w="144" w:type="nil"/>
            </w:tcMar>
          </w:tcPr>
          <w:p w14:paraId="76B16833" w14:textId="77777777" w:rsidR="006B1A45" w:rsidRPr="00B32742" w:rsidRDefault="006B1A45" w:rsidP="006B1A45">
            <w:pPr>
              <w:widowControl w:val="0"/>
              <w:autoSpaceDE w:val="0"/>
              <w:autoSpaceDN w:val="0"/>
              <w:adjustRightInd w:val="0"/>
              <w:jc w:val="center"/>
              <w:rPr>
                <w:sz w:val="22"/>
                <w:szCs w:val="22"/>
                <w:lang w:val="x-none" w:eastAsia="x-none"/>
              </w:rPr>
            </w:pPr>
          </w:p>
        </w:tc>
      </w:tr>
      <w:tr w:rsidR="006B1A45" w:rsidRPr="00B32742" w14:paraId="79C9B28A" w14:textId="77777777" w:rsidTr="006B1A45">
        <w:tc>
          <w:tcPr>
            <w:tcW w:w="1886" w:type="pct"/>
            <w:tcMar>
              <w:top w:w="144" w:type="nil"/>
              <w:right w:w="144" w:type="nil"/>
            </w:tcMar>
          </w:tcPr>
          <w:p w14:paraId="4133605F" w14:textId="77777777" w:rsidR="006B1A45" w:rsidRPr="00B32742" w:rsidRDefault="006B1A45" w:rsidP="006B1A45">
            <w:pPr>
              <w:widowControl w:val="0"/>
              <w:autoSpaceDE w:val="0"/>
              <w:autoSpaceDN w:val="0"/>
              <w:adjustRightInd w:val="0"/>
              <w:rPr>
                <w:sz w:val="22"/>
                <w:szCs w:val="22"/>
              </w:rPr>
            </w:pPr>
            <w:r w:rsidRPr="00B32742">
              <w:rPr>
                <w:sz w:val="22"/>
                <w:szCs w:val="22"/>
              </w:rPr>
              <w:t>ABC Control Rule Adjustment</w:t>
            </w:r>
          </w:p>
        </w:tc>
        <w:tc>
          <w:tcPr>
            <w:tcW w:w="2067" w:type="pct"/>
            <w:tcMar>
              <w:top w:w="144" w:type="nil"/>
              <w:right w:w="144" w:type="nil"/>
            </w:tcMar>
          </w:tcPr>
          <w:p w14:paraId="6B050629" w14:textId="77777777" w:rsidR="006B1A45" w:rsidRPr="00B32742" w:rsidRDefault="006B1A45" w:rsidP="006B1A45">
            <w:pPr>
              <w:widowControl w:val="0"/>
              <w:autoSpaceDE w:val="0"/>
              <w:autoSpaceDN w:val="0"/>
              <w:adjustRightInd w:val="0"/>
              <w:jc w:val="center"/>
              <w:rPr>
                <w:sz w:val="22"/>
                <w:szCs w:val="22"/>
                <w:lang w:val="x-none" w:eastAsia="x-none"/>
              </w:rPr>
            </w:pPr>
          </w:p>
        </w:tc>
        <w:tc>
          <w:tcPr>
            <w:tcW w:w="1047" w:type="pct"/>
            <w:tcMar>
              <w:top w:w="144" w:type="nil"/>
              <w:right w:w="144" w:type="nil"/>
            </w:tcMar>
          </w:tcPr>
          <w:p w14:paraId="3ACA3114" w14:textId="77777777" w:rsidR="006B1A45" w:rsidRPr="00B32742" w:rsidRDefault="006B1A45" w:rsidP="006B1A45">
            <w:pPr>
              <w:widowControl w:val="0"/>
              <w:autoSpaceDE w:val="0"/>
              <w:autoSpaceDN w:val="0"/>
              <w:adjustRightInd w:val="0"/>
              <w:jc w:val="center"/>
              <w:rPr>
                <w:sz w:val="22"/>
                <w:szCs w:val="22"/>
              </w:rPr>
            </w:pPr>
            <w:r w:rsidRPr="00B32742">
              <w:rPr>
                <w:sz w:val="22"/>
                <w:szCs w:val="22"/>
              </w:rPr>
              <w:t>20%</w:t>
            </w:r>
          </w:p>
        </w:tc>
      </w:tr>
      <w:tr w:rsidR="006B1A45" w:rsidRPr="00B32742" w14:paraId="54F56EFE" w14:textId="77777777" w:rsidTr="006B1A45">
        <w:tc>
          <w:tcPr>
            <w:tcW w:w="1886" w:type="pct"/>
            <w:tcMar>
              <w:top w:w="144" w:type="nil"/>
              <w:right w:w="144" w:type="nil"/>
            </w:tcMar>
          </w:tcPr>
          <w:p w14:paraId="49D35603" w14:textId="77777777" w:rsidR="006B1A45" w:rsidRPr="00B32742" w:rsidRDefault="006B1A45" w:rsidP="006B1A45">
            <w:pPr>
              <w:widowControl w:val="0"/>
              <w:autoSpaceDE w:val="0"/>
              <w:autoSpaceDN w:val="0"/>
              <w:adjustRightInd w:val="0"/>
              <w:rPr>
                <w:sz w:val="22"/>
                <w:szCs w:val="22"/>
              </w:rPr>
            </w:pPr>
            <w:r w:rsidRPr="00B32742">
              <w:rPr>
                <w:sz w:val="22"/>
                <w:szCs w:val="22"/>
              </w:rPr>
              <w:t>P-Star</w:t>
            </w:r>
          </w:p>
        </w:tc>
        <w:tc>
          <w:tcPr>
            <w:tcW w:w="2067" w:type="pct"/>
            <w:tcMar>
              <w:top w:w="144" w:type="nil"/>
              <w:right w:w="144" w:type="nil"/>
            </w:tcMar>
          </w:tcPr>
          <w:p w14:paraId="4B9790EC" w14:textId="77777777" w:rsidR="006B1A45" w:rsidRPr="00B32742" w:rsidRDefault="006B1A45" w:rsidP="006B1A45">
            <w:pPr>
              <w:widowControl w:val="0"/>
              <w:autoSpaceDE w:val="0"/>
              <w:autoSpaceDN w:val="0"/>
              <w:adjustRightInd w:val="0"/>
              <w:jc w:val="center"/>
              <w:rPr>
                <w:sz w:val="22"/>
                <w:szCs w:val="22"/>
                <w:lang w:val="x-none" w:eastAsia="x-none"/>
              </w:rPr>
            </w:pPr>
          </w:p>
        </w:tc>
        <w:tc>
          <w:tcPr>
            <w:tcW w:w="1047" w:type="pct"/>
            <w:tcMar>
              <w:top w:w="144" w:type="nil"/>
              <w:right w:w="144" w:type="nil"/>
            </w:tcMar>
          </w:tcPr>
          <w:p w14:paraId="109F93CA" w14:textId="77777777" w:rsidR="006B1A45" w:rsidRPr="00B32742" w:rsidRDefault="006B1A45" w:rsidP="006B1A45">
            <w:pPr>
              <w:widowControl w:val="0"/>
              <w:autoSpaceDE w:val="0"/>
              <w:autoSpaceDN w:val="0"/>
              <w:adjustRightInd w:val="0"/>
              <w:jc w:val="center"/>
              <w:rPr>
                <w:sz w:val="22"/>
                <w:szCs w:val="22"/>
              </w:rPr>
            </w:pPr>
            <w:r w:rsidRPr="00B32742">
              <w:rPr>
                <w:sz w:val="22"/>
                <w:szCs w:val="22"/>
              </w:rPr>
              <w:t>30%</w:t>
            </w:r>
          </w:p>
        </w:tc>
      </w:tr>
    </w:tbl>
    <w:p w14:paraId="66AFF278" w14:textId="77777777" w:rsidR="006B1A45" w:rsidRPr="00A66EF3" w:rsidRDefault="006B1A45" w:rsidP="006B1A45">
      <w:pPr>
        <w:rPr>
          <w:i/>
        </w:rPr>
      </w:pPr>
    </w:p>
    <w:p w14:paraId="3C793E69" w14:textId="77777777" w:rsidR="006B1A45" w:rsidRPr="006B1A45" w:rsidRDefault="006B1A45" w:rsidP="006B1A45"/>
    <w:p w14:paraId="1291CF7D" w14:textId="77777777" w:rsidR="00C3720F" w:rsidRDefault="00C3720F" w:rsidP="00C3720F">
      <w:pPr>
        <w:pStyle w:val="Heading3"/>
        <w:rPr>
          <w:rStyle w:val="Heading4Char1"/>
          <w:rFonts w:ascii="Arial" w:hAnsi="Arial" w:cs="Arial"/>
          <w:bCs w:val="0"/>
          <w:sz w:val="24"/>
          <w:szCs w:val="24"/>
        </w:rPr>
      </w:pPr>
      <w:bookmarkStart w:id="320" w:name="_Toc339811781"/>
      <w:r w:rsidRPr="005B5A20">
        <w:rPr>
          <w:rStyle w:val="Heading4Char1"/>
          <w:rFonts w:ascii="Arial" w:hAnsi="Arial" w:cs="Arial"/>
          <w:bCs w:val="0"/>
          <w:sz w:val="24"/>
          <w:szCs w:val="24"/>
        </w:rPr>
        <w:t>5.2.</w:t>
      </w:r>
      <w:r>
        <w:rPr>
          <w:rStyle w:val="Heading4Char1"/>
          <w:rFonts w:ascii="Arial" w:hAnsi="Arial" w:cs="Arial"/>
          <w:bCs w:val="0"/>
          <w:sz w:val="24"/>
          <w:szCs w:val="24"/>
        </w:rPr>
        <w:t>4</w:t>
      </w:r>
      <w:r w:rsidRPr="005B5A20">
        <w:rPr>
          <w:rStyle w:val="Heading4Char1"/>
          <w:rFonts w:ascii="Arial" w:hAnsi="Arial" w:cs="Arial"/>
          <w:bCs w:val="0"/>
          <w:sz w:val="24"/>
          <w:szCs w:val="24"/>
        </w:rPr>
        <w:tab/>
        <w:t>Public Comments and Recommendations</w:t>
      </w:r>
      <w:bookmarkEnd w:id="317"/>
      <w:bookmarkEnd w:id="318"/>
      <w:bookmarkEnd w:id="320"/>
    </w:p>
    <w:p w14:paraId="3688E50A" w14:textId="77777777" w:rsidR="00896911" w:rsidRDefault="00896911" w:rsidP="00896911">
      <w:pPr>
        <w:ind w:firstLine="360"/>
      </w:pPr>
      <w:r>
        <w:t xml:space="preserve">The South Atlantic Council held scoping meetings for Amendment 41 </w:t>
      </w:r>
      <w:r w:rsidRPr="00896911">
        <w:t xml:space="preserve">from January 25 to February 3, 2016.  Meetings in Florida were held in conjunction with workshops conducted by the Florida Fish and Wildlife Conservation Commission (FWC). </w:t>
      </w:r>
      <w:r>
        <w:t xml:space="preserve"> Public hearings were held</w:t>
      </w:r>
      <w:r w:rsidRPr="00896911">
        <w:t xml:space="preserve"> </w:t>
      </w:r>
      <w:r>
        <w:t>via</w:t>
      </w:r>
      <w:r w:rsidRPr="00896911">
        <w:t xml:space="preserve"> </w:t>
      </w:r>
      <w:r>
        <w:t>webinar on August 2, 2016 and</w:t>
      </w:r>
      <w:r w:rsidRPr="00896911">
        <w:t xml:space="preserve"> in-person on August 15-17</w:t>
      </w:r>
      <w:r>
        <w:t>, 2016</w:t>
      </w:r>
      <w:r w:rsidRPr="00896911">
        <w:t xml:space="preserve">.  </w:t>
      </w:r>
    </w:p>
    <w:p w14:paraId="5AA47BA9" w14:textId="77157AEB" w:rsidR="002A1479" w:rsidRDefault="002A1479" w:rsidP="00E52C31">
      <w:pPr>
        <w:ind w:firstLine="360"/>
      </w:pPr>
    </w:p>
    <w:p w14:paraId="3EF616B1" w14:textId="595FEDE0" w:rsidR="00896911" w:rsidRPr="00D40718" w:rsidRDefault="00896911" w:rsidP="00896911">
      <w:pPr>
        <w:ind w:firstLine="360"/>
      </w:pPr>
      <w:r>
        <w:t>One member of the public supported the South Atlantic Council’s preferred alternative to specify MSST for mutton snapper in the South Atlantic.</w:t>
      </w:r>
    </w:p>
    <w:p w14:paraId="604C8AB5" w14:textId="77777777" w:rsidR="002A1479" w:rsidRPr="002A1479" w:rsidRDefault="002A1479" w:rsidP="002A1479">
      <w:pPr>
        <w:ind w:firstLine="360"/>
      </w:pPr>
    </w:p>
    <w:p w14:paraId="7ED19E83" w14:textId="0A182EE7" w:rsidR="00C3720F" w:rsidRDefault="00C3720F" w:rsidP="00C3720F">
      <w:pPr>
        <w:pStyle w:val="Heading3"/>
        <w:rPr>
          <w:rStyle w:val="Heading4Char1"/>
          <w:rFonts w:ascii="Arial" w:hAnsi="Arial" w:cs="Arial"/>
          <w:bCs w:val="0"/>
          <w:sz w:val="24"/>
          <w:szCs w:val="24"/>
        </w:rPr>
      </w:pPr>
      <w:bookmarkStart w:id="321" w:name="_Toc361410426"/>
      <w:bookmarkStart w:id="322" w:name="_Toc389140579"/>
      <w:bookmarkStart w:id="323" w:name="_Toc339811782"/>
      <w:r w:rsidRPr="005B5A20">
        <w:rPr>
          <w:rStyle w:val="Heading4Char1"/>
          <w:rFonts w:ascii="Arial" w:hAnsi="Arial" w:cs="Arial"/>
          <w:bCs w:val="0"/>
          <w:sz w:val="24"/>
          <w:szCs w:val="24"/>
        </w:rPr>
        <w:t>5.2.</w:t>
      </w:r>
      <w:r>
        <w:rPr>
          <w:rStyle w:val="Heading4Char1"/>
          <w:rFonts w:ascii="Arial" w:hAnsi="Arial" w:cs="Arial"/>
          <w:bCs w:val="0"/>
          <w:sz w:val="24"/>
          <w:szCs w:val="24"/>
        </w:rPr>
        <w:t>5</w:t>
      </w:r>
      <w:r w:rsidRPr="005B5A20">
        <w:rPr>
          <w:rStyle w:val="Heading4Char1"/>
          <w:rFonts w:ascii="Arial" w:hAnsi="Arial" w:cs="Arial"/>
          <w:bCs w:val="0"/>
          <w:sz w:val="24"/>
          <w:szCs w:val="24"/>
        </w:rPr>
        <w:tab/>
        <w:t xml:space="preserve">South Atlantic Council </w:t>
      </w:r>
      <w:bookmarkEnd w:id="321"/>
      <w:bookmarkEnd w:id="322"/>
      <w:r w:rsidR="009E03CE">
        <w:rPr>
          <w:rStyle w:val="Heading4Char1"/>
          <w:rFonts w:ascii="Arial" w:hAnsi="Arial" w:cs="Arial"/>
          <w:bCs w:val="0"/>
          <w:sz w:val="24"/>
          <w:szCs w:val="24"/>
        </w:rPr>
        <w:t>Rationale</w:t>
      </w:r>
      <w:bookmarkEnd w:id="323"/>
    </w:p>
    <w:p w14:paraId="1730F874" w14:textId="18366045" w:rsidR="001D657B" w:rsidRDefault="001D657B" w:rsidP="001D657B">
      <w:pPr>
        <w:ind w:firstLine="360"/>
      </w:pPr>
      <w:r>
        <w:t>The South Atlantic Council has typically set the minimum stock size threshold level at one minus the natural mortality (M) (or 0.5, whichever is greater) times the spawning stock biomass at the maximum sustainable yield (SSB</w:t>
      </w:r>
      <w:r w:rsidRPr="002801C7">
        <w:rPr>
          <w:vertAlign w:val="subscript"/>
        </w:rPr>
        <w:t>MSY</w:t>
      </w:r>
      <w:r>
        <w:t>).  However, when natural mortality is relatively small (i.e., less than 0.25), the current definition of the minimum stock size threshold would trigger a rebuilding plan if biomass fell slightly below SSB</w:t>
      </w:r>
      <w:r w:rsidRPr="002801C7">
        <w:rPr>
          <w:vertAlign w:val="subscript"/>
        </w:rPr>
        <w:t>MSY</w:t>
      </w:r>
      <w:r>
        <w:t xml:space="preserve">.  In this situation, natural variation in recruitment could cause stock biomass to frequently alternate between an overfished and rebuilt condition.  This may lead to administrative and potentially adverse economic impacts, as the occurrence of unnecessary rebuilding plans coupled with their correspondingly restrictive </w:t>
      </w:r>
      <w:r>
        <w:lastRenderedPageBreak/>
        <w:t xml:space="preserve">management plans would increase.  To avoid this, the South Atlantic Council is redefining the minimum stock size threshold level in this amendment for mutton snapper.  </w:t>
      </w:r>
      <w:r w:rsidRPr="002801C7">
        <w:rPr>
          <w:b/>
        </w:rPr>
        <w:t xml:space="preserve">Preferred </w:t>
      </w:r>
      <w:r>
        <w:rPr>
          <w:b/>
        </w:rPr>
        <w:t>Alternative 3</w:t>
      </w:r>
      <w:r>
        <w:t xml:space="preserve"> would set the MSST</w:t>
      </w:r>
      <w:r w:rsidRPr="00C07E6F">
        <w:t xml:space="preserve"> </w:t>
      </w:r>
      <w:r>
        <w:t>minimum stock size threshold at 75% of SSB</w:t>
      </w:r>
      <w:r w:rsidRPr="00083423">
        <w:rPr>
          <w:vertAlign w:val="subscript"/>
        </w:rPr>
        <w:t>MSY</w:t>
      </w:r>
      <w:r>
        <w:t xml:space="preserve"> and thus provide a larger buffer than the current one between the levels at which the stock is considered to be at equilibrium (SSB</w:t>
      </w:r>
      <w:r w:rsidRPr="00083423">
        <w:rPr>
          <w:vertAlign w:val="subscript"/>
        </w:rPr>
        <w:t>MSY</w:t>
      </w:r>
      <w:r>
        <w:t>) and the overfished level (minimum stock size threshold).</w:t>
      </w:r>
    </w:p>
    <w:p w14:paraId="4CB847B1" w14:textId="77777777" w:rsidR="001D657B" w:rsidRDefault="001D657B" w:rsidP="001D657B">
      <w:r>
        <w:t xml:space="preserve"> </w:t>
      </w:r>
    </w:p>
    <w:p w14:paraId="54A32B10" w14:textId="7A1DD3E9" w:rsidR="001D657B" w:rsidRDefault="001D657B" w:rsidP="001D657B">
      <w:pPr>
        <w:ind w:firstLine="360"/>
      </w:pPr>
      <w:r>
        <w:t>Other regions in the U.S. have set minimum stock size thresholds at 50% of SSB</w:t>
      </w:r>
      <w:r w:rsidRPr="00083423">
        <w:rPr>
          <w:vertAlign w:val="subscript"/>
        </w:rPr>
        <w:t>MSY</w:t>
      </w:r>
      <w:r>
        <w:t xml:space="preserve">, and </w:t>
      </w:r>
      <w:r w:rsidRPr="00083423">
        <w:rPr>
          <w:b/>
        </w:rPr>
        <w:t xml:space="preserve">Alternative </w:t>
      </w:r>
      <w:r>
        <w:rPr>
          <w:b/>
        </w:rPr>
        <w:t>2</w:t>
      </w:r>
      <w:r>
        <w:t xml:space="preserve"> considers setting the minimum stock size threshold at this level.  However, if the minimum stock size threshold is set at 50% of SSB</w:t>
      </w:r>
      <w:r w:rsidRPr="00083423">
        <w:rPr>
          <w:vertAlign w:val="subscript"/>
        </w:rPr>
        <w:t>MSY</w:t>
      </w:r>
      <w:r>
        <w:t xml:space="preserve">, by the time a stock is found to be overfished, significant management measures may be required to rebuild the stock due to the low biomass levels.  </w:t>
      </w:r>
      <w:r w:rsidRPr="00006D5E">
        <w:rPr>
          <w:b/>
        </w:rPr>
        <w:t xml:space="preserve">Preferred </w:t>
      </w:r>
      <w:r w:rsidRPr="001E6210">
        <w:rPr>
          <w:b/>
        </w:rPr>
        <w:t xml:space="preserve">Alternative </w:t>
      </w:r>
      <w:r>
        <w:rPr>
          <w:b/>
        </w:rPr>
        <w:t>3</w:t>
      </w:r>
      <w:r>
        <w:t>, which would trigger a rebuilding plan</w:t>
      </w:r>
      <w:r>
        <w:fldChar w:fldCharType="begin"/>
      </w:r>
      <w:r>
        <w:instrText xml:space="preserve"> XE "</w:instrText>
      </w:r>
      <w:r w:rsidRPr="00C1446E">
        <w:rPr>
          <w:color w:val="1F497D" w:themeColor="text2"/>
        </w:rPr>
        <w:instrText>rebuilding plan</w:instrText>
      </w:r>
      <w:r>
        <w:instrText xml:space="preserve">" </w:instrText>
      </w:r>
      <w:r>
        <w:fldChar w:fldCharType="end"/>
      </w:r>
      <w:r>
        <w:t xml:space="preserve"> when biomass is at 75% of SSB</w:t>
      </w:r>
      <w:r w:rsidRPr="00C34728">
        <w:rPr>
          <w:vertAlign w:val="subscript"/>
        </w:rPr>
        <w:t>MSY</w:t>
      </w:r>
      <w:r>
        <w:t xml:space="preserve">, would be expected to result in greater biological benefits than </w:t>
      </w:r>
      <w:r w:rsidRPr="00C34728">
        <w:rPr>
          <w:b/>
        </w:rPr>
        <w:t xml:space="preserve">Alternative </w:t>
      </w:r>
      <w:r>
        <w:rPr>
          <w:b/>
        </w:rPr>
        <w:t>2</w:t>
      </w:r>
      <w:r>
        <w:rPr>
          <w:b/>
          <w:vertAlign w:val="subscript"/>
        </w:rPr>
        <w:t xml:space="preserve">, </w:t>
      </w:r>
      <w:r>
        <w:t>which would have a lower biomass threshold for an overfished determination.  At their October 2013 meeting, the South Atlantic Council’s Scientific and Statistical Committee</w:t>
      </w:r>
      <w:r>
        <w:fldChar w:fldCharType="begin"/>
      </w:r>
      <w:r>
        <w:instrText xml:space="preserve"> XE "</w:instrText>
      </w:r>
      <w:r w:rsidRPr="00F567F1">
        <w:rPr>
          <w:sz w:val="20"/>
          <w:szCs w:val="20"/>
        </w:rPr>
        <w:instrText>Scientific and Statistical Committee</w:instrText>
      </w:r>
      <w:r>
        <w:instrText xml:space="preserve">" </w:instrText>
      </w:r>
      <w:r>
        <w:fldChar w:fldCharType="end"/>
      </w:r>
      <w:r>
        <w:t xml:space="preserve"> acknowledged that the 75%SSB</w:t>
      </w:r>
      <w:r w:rsidRPr="007118AB">
        <w:rPr>
          <w:vertAlign w:val="subscript"/>
        </w:rPr>
        <w:t>MSY</w:t>
      </w:r>
      <w:r>
        <w:t xml:space="preserve"> approach is an acceptable choice for setting the minimum stock size threshold, and they voiced no concern regarding the adoption of this management reference point for South Atlantic Council managed species.</w:t>
      </w:r>
    </w:p>
    <w:p w14:paraId="12B7F5E2" w14:textId="77777777" w:rsidR="001D657B" w:rsidRDefault="001D657B" w:rsidP="001D657B">
      <w:pPr>
        <w:ind w:firstLine="360"/>
      </w:pPr>
    </w:p>
    <w:p w14:paraId="36609640" w14:textId="77777777" w:rsidR="001D657B" w:rsidRDefault="001D657B" w:rsidP="001D657B">
      <w:pPr>
        <w:ind w:firstLine="360"/>
      </w:pPr>
      <w:r>
        <w:t>The change in minimum stock size threshold definition could result in some stocks being declared “not overfished” that would otherwise be declared “overfished” without this change.  However, as noted previously, the requirement to prevent overfishing ensures that even these stocks would be subjected to fishing mortality rates that would increase biomass to levels above SSB</w:t>
      </w:r>
      <w:r w:rsidRPr="00FE5DAA">
        <w:rPr>
          <w:vertAlign w:val="subscript"/>
        </w:rPr>
        <w:t>MSY</w:t>
      </w:r>
      <w:r>
        <w:t>, even without a formal rebuilding plan.  Therefore, little risk to long-term sustainability can be expected from this change.</w:t>
      </w:r>
    </w:p>
    <w:p w14:paraId="3270E31A" w14:textId="77777777" w:rsidR="001D657B" w:rsidRDefault="001D657B" w:rsidP="001D657B"/>
    <w:p w14:paraId="2FC52BB9" w14:textId="3E90B8AB" w:rsidR="001D657B" w:rsidRDefault="001D657B" w:rsidP="001D657B">
      <w:pPr>
        <w:ind w:firstLine="360"/>
      </w:pPr>
      <w:r>
        <w:t xml:space="preserve">The South Atlantic Council understands the importance of incorporating the impacts of environmental variability on fish populations and the uncertainty around stock assessment estimates in the management process.  The South Atlantic Council’s choice of </w:t>
      </w:r>
      <w:r w:rsidRPr="00415F06">
        <w:rPr>
          <w:b/>
        </w:rPr>
        <w:t xml:space="preserve">Preferred Alternative </w:t>
      </w:r>
      <w:r>
        <w:rPr>
          <w:b/>
        </w:rPr>
        <w:t>3</w:t>
      </w:r>
      <w:r>
        <w:t xml:space="preserve"> reflects this commitment.  Further, </w:t>
      </w:r>
      <w:r w:rsidRPr="00415F06">
        <w:rPr>
          <w:b/>
        </w:rPr>
        <w:t xml:space="preserve">Preferred Alternative </w:t>
      </w:r>
      <w:r>
        <w:rPr>
          <w:b/>
        </w:rPr>
        <w:t>3</w:t>
      </w:r>
      <w:r w:rsidRPr="000607F2">
        <w:t xml:space="preserve"> best meets the purpose </w:t>
      </w:r>
      <w:r>
        <w:t>of updating</w:t>
      </w:r>
      <w:r w:rsidRPr="001D657B">
        <w:t xml:space="preserve"> </w:t>
      </w:r>
      <w:r>
        <w:t xml:space="preserve">the </w:t>
      </w:r>
      <w:r w:rsidRPr="001D657B">
        <w:t>minimum stock size threshold</w:t>
      </w:r>
      <w:r>
        <w:t xml:space="preserve"> </w:t>
      </w:r>
      <w:r w:rsidRPr="001D657B">
        <w:t>based on the results of the most recent stock assessment.</w:t>
      </w:r>
      <w:r>
        <w:t xml:space="preserve">  </w:t>
      </w:r>
      <w:r w:rsidRPr="00415F06">
        <w:rPr>
          <w:b/>
        </w:rPr>
        <w:t xml:space="preserve">Preferred Alternative </w:t>
      </w:r>
      <w:r>
        <w:rPr>
          <w:b/>
        </w:rPr>
        <w:t>3</w:t>
      </w:r>
      <w:r>
        <w:t xml:space="preserve"> also best meet</w:t>
      </w:r>
      <w:r w:rsidRPr="000607F2">
        <w:t xml:space="preserve"> the objectives of the Snapper Grouper F</w:t>
      </w:r>
      <w:r>
        <w:t xml:space="preserve">ishery </w:t>
      </w:r>
      <w:r w:rsidRPr="000607F2">
        <w:t>M</w:t>
      </w:r>
      <w:r>
        <w:t xml:space="preserve">anagement </w:t>
      </w:r>
      <w:r w:rsidRPr="000607F2">
        <w:t>P</w:t>
      </w:r>
      <w:r>
        <w:t>lan</w:t>
      </w:r>
      <w:r w:rsidRPr="000607F2">
        <w:t xml:space="preserve">, as amended, while complying with the requirements of the Magnuson-Stevens </w:t>
      </w:r>
      <w:r>
        <w:t xml:space="preserve">Fishery Conservation and Management </w:t>
      </w:r>
      <w:r w:rsidRPr="000607F2">
        <w:t>Act and other applicable law.</w:t>
      </w:r>
    </w:p>
    <w:p w14:paraId="78B0184F" w14:textId="77777777" w:rsidR="00CF19B7" w:rsidRDefault="00CF19B7" w:rsidP="00CF19B7"/>
    <w:p w14:paraId="0192467D" w14:textId="3E7D7EA0" w:rsidR="00A23AFC" w:rsidRDefault="00A23AFC" w:rsidP="00A23AFC">
      <w:pPr>
        <w:pStyle w:val="Heading3"/>
      </w:pPr>
      <w:bookmarkStart w:id="324" w:name="_Toc336184421"/>
      <w:bookmarkStart w:id="325" w:name="_Toc339811783"/>
      <w:r>
        <w:t>5.2.6</w:t>
      </w:r>
      <w:r>
        <w:tab/>
        <w:t>How is this Action Addressing the Vision Blueprint for the Snapper Grouper Fishery?</w:t>
      </w:r>
      <w:bookmarkEnd w:id="324"/>
      <w:bookmarkEnd w:id="325"/>
    </w:p>
    <w:p w14:paraId="63A6D0F8" w14:textId="77777777" w:rsidR="00A23AFC" w:rsidRDefault="00A23AFC" w:rsidP="00A23AFC">
      <w:pPr>
        <w:ind w:firstLine="360"/>
      </w:pPr>
      <w:r>
        <w:t xml:space="preserve">The </w:t>
      </w:r>
      <w:r w:rsidRPr="000C459E">
        <w:t>Vision Blueprint for the Snapper Grouper Fishery</w:t>
      </w:r>
      <w:r>
        <w:t xml:space="preserve"> (Vision Blueprint) was approved in December 2015 and is intended to inform management of the snapper grouper fishery through 2020.  As such, the </w:t>
      </w:r>
      <w:r w:rsidRPr="000C459E">
        <w:t>Vision Blueprint</w:t>
      </w:r>
      <w:r>
        <w:t xml:space="preserve"> serves as a “living document” to help guide future management, builds on stakeholder input and how the South Atlantic Council envisions future management of the fishery, guides the development of new amendments that address priority objectives and strategies, and illustrates actions that could be developed through the regular amendment process.  The Vision Blueprint is organized into four strategic goal areas: (1) </w:t>
      </w:r>
      <w:r>
        <w:lastRenderedPageBreak/>
        <w:t xml:space="preserve">Science, (2) Management, (3) Communication, and (4) Governance.  </w:t>
      </w:r>
      <w:r w:rsidRPr="00AF6EE2">
        <w:t>Each goal area has a set of objectives, strategies, and actions.</w:t>
      </w:r>
    </w:p>
    <w:p w14:paraId="11ABB6B4" w14:textId="77777777" w:rsidR="00A23AFC" w:rsidRDefault="00A23AFC" w:rsidP="00A23AFC"/>
    <w:p w14:paraId="16A182D7" w14:textId="528C7765" w:rsidR="00CF19B7" w:rsidRDefault="00A23AFC" w:rsidP="00A23AFC">
      <w:pPr>
        <w:ind w:firstLine="360"/>
      </w:pPr>
      <w:r w:rsidRPr="007A2A5F">
        <w:rPr>
          <w:b/>
        </w:rPr>
        <w:t xml:space="preserve">Action </w:t>
      </w:r>
      <w:r>
        <w:rPr>
          <w:b/>
        </w:rPr>
        <w:t>2</w:t>
      </w:r>
      <w:r>
        <w:t xml:space="preserve"> to specify the minimum stock size threshold for mutton snapper in the South Atlantic does not directly respond to objectives outlined in the Vision Blueprint; however, it addresses the broad Science goal to ensure that “</w:t>
      </w:r>
      <w:r w:rsidRPr="00372F56">
        <w:rPr>
          <w:i/>
        </w:rPr>
        <w:t>management decisions for the snapper grouper fishery are based upon robust, defensible science that considers qualitative and quantitative data analyzed in a timely, clear, and transparent manner that builds stakeholder confidence</w:t>
      </w:r>
      <w:r w:rsidRPr="00372F56">
        <w:t>.</w:t>
      </w:r>
      <w:r>
        <w:t xml:space="preserve">”  </w:t>
      </w:r>
      <w:r w:rsidRPr="00864BEA">
        <w:rPr>
          <w:b/>
        </w:rPr>
        <w:t xml:space="preserve">Action </w:t>
      </w:r>
      <w:r>
        <w:rPr>
          <w:b/>
        </w:rPr>
        <w:t>2</w:t>
      </w:r>
      <w:r>
        <w:t xml:space="preserve"> ensures that the mutton snapper resource is managed in accordance with the latest scientific information and, therefore, addresses long-term sustainable management of mutton snapper in the South Atlantic Region.</w:t>
      </w:r>
    </w:p>
    <w:p w14:paraId="4D253A90" w14:textId="28447297" w:rsidR="00CF19B7" w:rsidRDefault="00CF19B7">
      <w:r>
        <w:br w:type="page"/>
      </w:r>
    </w:p>
    <w:p w14:paraId="64ECE13F" w14:textId="4F0AF0BD" w:rsidR="00CF19B7" w:rsidRDefault="008942D1" w:rsidP="008942D1">
      <w:pPr>
        <w:pStyle w:val="Heading2"/>
        <w:rPr>
          <w:rFonts w:ascii="Arial" w:hAnsi="Arial" w:cs="Arial"/>
        </w:rPr>
      </w:pPr>
      <w:bookmarkStart w:id="326" w:name="_Toc339811784"/>
      <w:r w:rsidRPr="008942D1">
        <w:rPr>
          <w:rFonts w:ascii="Arial" w:hAnsi="Arial" w:cs="Arial"/>
        </w:rPr>
        <w:lastRenderedPageBreak/>
        <w:t>5.3</w:t>
      </w:r>
      <w:r w:rsidRPr="008942D1">
        <w:rPr>
          <w:rFonts w:ascii="Arial" w:hAnsi="Arial" w:cs="Arial"/>
        </w:rPr>
        <w:tab/>
      </w:r>
      <w:r w:rsidR="005027F6" w:rsidRPr="00FD2542">
        <w:rPr>
          <w:rFonts w:ascii="Arial" w:hAnsi="Arial" w:cs="Arial"/>
        </w:rPr>
        <w:t xml:space="preserve">Action 3.  </w:t>
      </w:r>
      <w:r w:rsidR="005027F6" w:rsidRPr="00464347">
        <w:rPr>
          <w:rFonts w:ascii="Arial" w:hAnsi="Arial" w:cs="Arial"/>
        </w:rPr>
        <w:t xml:space="preserve">Revise annual catch limits (ACLs) and optimum yield (OY) for mutton snapper </w:t>
      </w:r>
      <w:r w:rsidR="00774344" w:rsidRPr="00464347">
        <w:rPr>
          <w:rFonts w:ascii="Arial" w:hAnsi="Arial" w:cs="Arial"/>
        </w:rPr>
        <w:t>in the South Atlantic R</w:t>
      </w:r>
      <w:r w:rsidR="005027F6" w:rsidRPr="00464347">
        <w:rPr>
          <w:rFonts w:ascii="Arial" w:hAnsi="Arial" w:cs="Arial"/>
        </w:rPr>
        <w:t>egion</w:t>
      </w:r>
      <w:bookmarkEnd w:id="326"/>
    </w:p>
    <w:p w14:paraId="26CBE516" w14:textId="77777777" w:rsidR="008942D1" w:rsidRPr="008942D1" w:rsidRDefault="008942D1" w:rsidP="008942D1"/>
    <w:p w14:paraId="7422A45B" w14:textId="246C0E12" w:rsidR="008942D1" w:rsidRDefault="00340F89" w:rsidP="008942D1">
      <w:pPr>
        <w:pStyle w:val="Heading3"/>
        <w:rPr>
          <w:rStyle w:val="Heading4Char1"/>
          <w:rFonts w:ascii="Arial" w:hAnsi="Arial" w:cs="Arial"/>
          <w:bCs w:val="0"/>
          <w:sz w:val="24"/>
          <w:szCs w:val="24"/>
        </w:rPr>
      </w:pPr>
      <w:bookmarkStart w:id="327" w:name="_Toc339811785"/>
      <w:r w:rsidRPr="000E374B">
        <w:rPr>
          <w:noProof/>
          <w:color w:val="365F91" w:themeColor="accent1" w:themeShade="BF"/>
        </w:rPr>
        <mc:AlternateContent>
          <mc:Choice Requires="wps">
            <w:drawing>
              <wp:anchor distT="0" distB="0" distL="114300" distR="114300" simplePos="0" relativeHeight="251718144" behindDoc="0" locked="0" layoutInCell="1" allowOverlap="1" wp14:anchorId="6064883A" wp14:editId="0BCB020C">
                <wp:simplePos x="0" y="0"/>
                <wp:positionH relativeFrom="margin">
                  <wp:posOffset>3092450</wp:posOffset>
                </wp:positionH>
                <wp:positionV relativeFrom="margin">
                  <wp:posOffset>840740</wp:posOffset>
                </wp:positionV>
                <wp:extent cx="2998470" cy="3426460"/>
                <wp:effectExtent l="25400" t="101600" r="125730" b="5334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3426460"/>
                        </a:xfrm>
                        <a:prstGeom prst="rect">
                          <a:avLst/>
                        </a:prstGeom>
                        <a:solidFill>
                          <a:srgbClr val="FFFFFF"/>
                        </a:solidFill>
                        <a:ln w="9525">
                          <a:solidFill>
                            <a:schemeClr val="tx2">
                              <a:lumMod val="60000"/>
                              <a:lumOff val="40000"/>
                            </a:schemeClr>
                          </a:solidFill>
                          <a:miter lim="800000"/>
                          <a:headEnd/>
                          <a:tailEnd/>
                        </a:ln>
                        <a:effectLst>
                          <a:outerShdw blurRad="50800" dist="38100" dir="18900000" algn="bl" rotWithShape="0">
                            <a:prstClr val="black">
                              <a:alpha val="40000"/>
                            </a:prstClr>
                          </a:outerShdw>
                        </a:effectLst>
                      </wps:spPr>
                      <wps:txbx>
                        <w:txbxContent>
                          <w:p w14:paraId="6DA44F34" w14:textId="77777777" w:rsidR="009108B8" w:rsidRPr="002B189D" w:rsidRDefault="009108B8" w:rsidP="00340F89">
                            <w:pPr>
                              <w:jc w:val="center"/>
                              <w:rPr>
                                <w:rFonts w:ascii="Arial" w:hAnsi="Arial" w:cs="Arial"/>
                                <w:b/>
                                <w:i/>
                                <w:iCs/>
                                <w:color w:val="365F91" w:themeColor="accent1" w:themeShade="BF"/>
                              </w:rPr>
                            </w:pPr>
                            <w:r w:rsidRPr="002B189D">
                              <w:rPr>
                                <w:rFonts w:ascii="Arial" w:hAnsi="Arial" w:cs="Arial"/>
                                <w:b/>
                                <w:i/>
                                <w:iCs/>
                                <w:color w:val="365F91" w:themeColor="accent1" w:themeShade="BF"/>
                              </w:rPr>
                              <w:t>Alternatives*</w:t>
                            </w:r>
                          </w:p>
                          <w:p w14:paraId="537F7EEB" w14:textId="77777777" w:rsidR="009108B8" w:rsidRPr="00136AE9" w:rsidRDefault="009108B8" w:rsidP="00340F89">
                            <w:pPr>
                              <w:jc w:val="center"/>
                              <w:rPr>
                                <w:rFonts w:ascii="Arial" w:hAnsi="Arial" w:cs="Arial"/>
                                <w:b/>
                                <w:i/>
                                <w:iCs/>
                                <w:color w:val="365F91" w:themeColor="accent1" w:themeShade="BF"/>
                                <w:sz w:val="20"/>
                                <w:szCs w:val="20"/>
                              </w:rPr>
                            </w:pPr>
                          </w:p>
                          <w:p w14:paraId="5D34CF1E" w14:textId="77777777" w:rsidR="009108B8" w:rsidRPr="00136AE9" w:rsidRDefault="009108B8" w:rsidP="00340F89">
                            <w:pPr>
                              <w:pStyle w:val="Normal1"/>
                              <w:spacing w:line="240" w:lineRule="auto"/>
                              <w:contextualSpacing/>
                              <w:rPr>
                                <w:color w:val="1F497D" w:themeColor="text2"/>
                                <w:sz w:val="20"/>
                                <w:szCs w:val="20"/>
                              </w:rPr>
                            </w:pPr>
                            <w:r w:rsidRPr="00136AE9">
                              <w:rPr>
                                <w:color w:val="1F497D" w:themeColor="text2"/>
                                <w:sz w:val="20"/>
                                <w:szCs w:val="20"/>
                              </w:rPr>
                              <w:t xml:space="preserve">1 (No Action).  </w:t>
                            </w:r>
                            <w:r w:rsidRPr="002B189D">
                              <w:rPr>
                                <w:color w:val="1F497D" w:themeColor="text2"/>
                                <w:sz w:val="20"/>
                                <w:szCs w:val="20"/>
                              </w:rPr>
                              <w:t xml:space="preserve">The current </w:t>
                            </w:r>
                            <w:r>
                              <w:rPr>
                                <w:color w:val="1F497D" w:themeColor="text2"/>
                                <w:sz w:val="20"/>
                                <w:szCs w:val="20"/>
                              </w:rPr>
                              <w:t xml:space="preserve">ABC </w:t>
                            </w:r>
                            <w:r w:rsidRPr="002B189D">
                              <w:rPr>
                                <w:color w:val="1F497D" w:themeColor="text2"/>
                                <w:sz w:val="20"/>
                                <w:szCs w:val="20"/>
                              </w:rPr>
                              <w:t xml:space="preserve">for mutton snapper is 926,600 lbs ww based on a jurisdictional allocation for the South Atlantic of 82% of the </w:t>
                            </w:r>
                            <w:r>
                              <w:rPr>
                                <w:color w:val="1F497D" w:themeColor="text2"/>
                                <w:sz w:val="20"/>
                                <w:szCs w:val="20"/>
                              </w:rPr>
                              <w:t>ABC</w:t>
                            </w:r>
                            <w:r w:rsidRPr="002B189D">
                              <w:rPr>
                                <w:color w:val="1F497D" w:themeColor="text2"/>
                                <w:sz w:val="20"/>
                                <w:szCs w:val="20"/>
                              </w:rPr>
                              <w:t xml:space="preserve"> and is set equal to </w:t>
                            </w:r>
                            <w:r>
                              <w:rPr>
                                <w:color w:val="1F497D" w:themeColor="text2"/>
                                <w:sz w:val="20"/>
                                <w:szCs w:val="20"/>
                              </w:rPr>
                              <w:t>OY</w:t>
                            </w:r>
                            <w:r w:rsidRPr="002B189D">
                              <w:rPr>
                                <w:color w:val="1F497D" w:themeColor="text2"/>
                                <w:sz w:val="20"/>
                                <w:szCs w:val="20"/>
                              </w:rPr>
                              <w:t xml:space="preserve"> and the total </w:t>
                            </w:r>
                            <w:r>
                              <w:rPr>
                                <w:color w:val="1F497D" w:themeColor="text2"/>
                                <w:sz w:val="20"/>
                                <w:szCs w:val="20"/>
                              </w:rPr>
                              <w:t>ACL</w:t>
                            </w:r>
                            <w:r w:rsidRPr="002B189D">
                              <w:rPr>
                                <w:color w:val="1F497D" w:themeColor="text2"/>
                                <w:sz w:val="20"/>
                                <w:szCs w:val="20"/>
                              </w:rPr>
                              <w:t xml:space="preserve">. The commercial </w:t>
                            </w:r>
                            <w:r>
                              <w:rPr>
                                <w:color w:val="1F497D" w:themeColor="text2"/>
                                <w:sz w:val="20"/>
                                <w:szCs w:val="20"/>
                              </w:rPr>
                              <w:t>ACL</w:t>
                            </w:r>
                            <w:r w:rsidRPr="002B189D">
                              <w:rPr>
                                <w:color w:val="1F497D" w:themeColor="text2"/>
                                <w:sz w:val="20"/>
                                <w:szCs w:val="20"/>
                              </w:rPr>
                              <w:t xml:space="preserve"> is 157,743 lbs ww (17.02%) and the recreational </w:t>
                            </w:r>
                            <w:r>
                              <w:rPr>
                                <w:color w:val="1F497D" w:themeColor="text2"/>
                                <w:sz w:val="20"/>
                                <w:szCs w:val="20"/>
                              </w:rPr>
                              <w:t>ACL</w:t>
                            </w:r>
                            <w:r w:rsidRPr="002B189D">
                              <w:rPr>
                                <w:color w:val="1F497D" w:themeColor="text2"/>
                                <w:sz w:val="20"/>
                                <w:szCs w:val="20"/>
                              </w:rPr>
                              <w:t xml:space="preserve"> is 768,857 lbs ww (82.98%).</w:t>
                            </w:r>
                          </w:p>
                          <w:p w14:paraId="4DFA9241" w14:textId="77777777" w:rsidR="009108B8" w:rsidRPr="00136AE9" w:rsidRDefault="009108B8" w:rsidP="00340F89">
                            <w:pPr>
                              <w:contextualSpacing/>
                              <w:rPr>
                                <w:rFonts w:ascii="Arial" w:eastAsia="Courier New" w:hAnsi="Arial" w:cs="Arial"/>
                                <w:color w:val="1F497D" w:themeColor="text2"/>
                                <w:sz w:val="20"/>
                                <w:szCs w:val="20"/>
                              </w:rPr>
                            </w:pPr>
                          </w:p>
                          <w:p w14:paraId="20C9B815" w14:textId="77777777" w:rsidR="009108B8" w:rsidRPr="00136AE9" w:rsidRDefault="009108B8" w:rsidP="00340F89">
                            <w:pPr>
                              <w:contextualSpacing/>
                              <w:rPr>
                                <w:rFonts w:ascii="Arial" w:eastAsia="Courier New" w:hAnsi="Arial" w:cs="Arial"/>
                                <w:b/>
                                <w:color w:val="1F497D" w:themeColor="text2"/>
                                <w:sz w:val="20"/>
                                <w:szCs w:val="20"/>
                              </w:rPr>
                            </w:pPr>
                            <w:r w:rsidRPr="00136AE9">
                              <w:rPr>
                                <w:rFonts w:ascii="Arial" w:hAnsi="Arial" w:cs="Arial"/>
                                <w:b/>
                                <w:color w:val="1F497D" w:themeColor="text2"/>
                                <w:sz w:val="20"/>
                                <w:szCs w:val="20"/>
                              </w:rPr>
                              <w:t xml:space="preserve">2. </w:t>
                            </w:r>
                            <w:r w:rsidRPr="002B189D">
                              <w:rPr>
                                <w:rFonts w:ascii="Arial" w:hAnsi="Arial" w:cs="Arial"/>
                                <w:b/>
                                <w:color w:val="1F497D" w:themeColor="text2"/>
                                <w:sz w:val="20"/>
                                <w:szCs w:val="20"/>
                              </w:rPr>
                              <w:t xml:space="preserve">Specify </w:t>
                            </w:r>
                            <w:r>
                              <w:rPr>
                                <w:rFonts w:ascii="Arial" w:hAnsi="Arial" w:cs="Arial"/>
                                <w:b/>
                                <w:color w:val="1F497D" w:themeColor="text2"/>
                                <w:sz w:val="20"/>
                                <w:szCs w:val="20"/>
                              </w:rPr>
                              <w:t>ACLs</w:t>
                            </w:r>
                            <w:r w:rsidRPr="002B189D">
                              <w:rPr>
                                <w:rFonts w:ascii="Arial" w:hAnsi="Arial" w:cs="Arial"/>
                                <w:b/>
                                <w:color w:val="1F497D" w:themeColor="text2"/>
                                <w:sz w:val="20"/>
                                <w:szCs w:val="20"/>
                              </w:rPr>
                              <w:t xml:space="preserve"> and </w:t>
                            </w:r>
                            <w:r>
                              <w:rPr>
                                <w:rFonts w:ascii="Arial" w:hAnsi="Arial" w:cs="Arial"/>
                                <w:b/>
                                <w:color w:val="1F497D" w:themeColor="text2"/>
                                <w:sz w:val="20"/>
                                <w:szCs w:val="20"/>
                              </w:rPr>
                              <w:t>OY</w:t>
                            </w:r>
                            <w:r w:rsidRPr="002B189D">
                              <w:rPr>
                                <w:rFonts w:ascii="Arial" w:hAnsi="Arial" w:cs="Arial"/>
                                <w:b/>
                                <w:color w:val="1F497D" w:themeColor="text2"/>
                                <w:sz w:val="20"/>
                                <w:szCs w:val="20"/>
                              </w:rPr>
                              <w:t xml:space="preserve"> for the South Atlantic using the existing sector allocations (17.02% commercial and 82.98% recreational) and specify the recreational </w:t>
                            </w:r>
                            <w:r>
                              <w:rPr>
                                <w:rFonts w:ascii="Arial" w:hAnsi="Arial" w:cs="Arial"/>
                                <w:b/>
                                <w:color w:val="1F497D" w:themeColor="text2"/>
                                <w:sz w:val="20"/>
                                <w:szCs w:val="20"/>
                              </w:rPr>
                              <w:t>ACL</w:t>
                            </w:r>
                            <w:r w:rsidRPr="002B189D">
                              <w:rPr>
                                <w:rFonts w:ascii="Arial" w:hAnsi="Arial" w:cs="Arial"/>
                                <w:b/>
                                <w:color w:val="1F497D" w:themeColor="text2"/>
                                <w:sz w:val="20"/>
                                <w:szCs w:val="20"/>
                              </w:rPr>
                              <w:t xml:space="preserve"> in numbers of fish.  The </w:t>
                            </w:r>
                            <w:r>
                              <w:rPr>
                                <w:rFonts w:ascii="Arial" w:hAnsi="Arial" w:cs="Arial"/>
                                <w:b/>
                                <w:color w:val="1F497D" w:themeColor="text2"/>
                                <w:sz w:val="20"/>
                                <w:szCs w:val="20"/>
                              </w:rPr>
                              <w:t xml:space="preserve">ACLs </w:t>
                            </w:r>
                            <w:r w:rsidRPr="002B189D">
                              <w:rPr>
                                <w:rFonts w:ascii="Arial" w:hAnsi="Arial" w:cs="Arial"/>
                                <w:b/>
                                <w:color w:val="1F497D" w:themeColor="text2"/>
                                <w:sz w:val="20"/>
                                <w:szCs w:val="20"/>
                              </w:rPr>
                              <w:t>specified for 2020 would remain in place until modified.</w:t>
                            </w:r>
                          </w:p>
                          <w:p w14:paraId="75A7C9C1" w14:textId="77777777" w:rsidR="009108B8" w:rsidRPr="00136AE9" w:rsidRDefault="009108B8" w:rsidP="00340F89">
                            <w:pPr>
                              <w:ind w:left="540"/>
                              <w:contextualSpacing/>
                              <w:rPr>
                                <w:rFonts w:ascii="Arial" w:hAnsi="Arial" w:cs="Arial"/>
                                <w:b/>
                                <w:color w:val="1F497D" w:themeColor="text2"/>
                                <w:sz w:val="20"/>
                                <w:szCs w:val="20"/>
                              </w:rPr>
                            </w:pPr>
                            <w:r w:rsidRPr="00136AE9">
                              <w:rPr>
                                <w:rFonts w:ascii="Arial" w:hAnsi="Arial" w:cs="Arial"/>
                                <w:b/>
                                <w:color w:val="1F497D" w:themeColor="text2"/>
                                <w:sz w:val="20"/>
                                <w:szCs w:val="20"/>
                              </w:rPr>
                              <w:t xml:space="preserve">Sub-alternative 2a.  ACL = OY = ABC.  </w:t>
                            </w:r>
                          </w:p>
                          <w:p w14:paraId="40F3DFEF" w14:textId="77777777" w:rsidR="009108B8" w:rsidRPr="00136AE9" w:rsidRDefault="009108B8" w:rsidP="00340F89">
                            <w:pPr>
                              <w:ind w:left="540"/>
                              <w:contextualSpacing/>
                              <w:rPr>
                                <w:rFonts w:ascii="Arial" w:hAnsi="Arial" w:cs="Arial"/>
                                <w:color w:val="1F497D" w:themeColor="text2"/>
                                <w:sz w:val="20"/>
                                <w:szCs w:val="20"/>
                              </w:rPr>
                            </w:pPr>
                            <w:r w:rsidRPr="00136AE9">
                              <w:rPr>
                                <w:rFonts w:ascii="Arial" w:hAnsi="Arial" w:cs="Arial"/>
                                <w:color w:val="1F497D" w:themeColor="text2"/>
                                <w:sz w:val="20"/>
                                <w:szCs w:val="20"/>
                              </w:rPr>
                              <w:t xml:space="preserve">Sub-alternative 2b.  ACL = OY = 95% ABC.  </w:t>
                            </w:r>
                          </w:p>
                          <w:p w14:paraId="66E2A02D" w14:textId="77777777" w:rsidR="009108B8" w:rsidRPr="00136AE9" w:rsidRDefault="009108B8" w:rsidP="00340F89">
                            <w:pPr>
                              <w:ind w:left="540"/>
                              <w:contextualSpacing/>
                              <w:rPr>
                                <w:rFonts w:ascii="Arial" w:hAnsi="Arial" w:cs="Arial"/>
                                <w:color w:val="1F497D" w:themeColor="text2"/>
                                <w:sz w:val="20"/>
                                <w:szCs w:val="20"/>
                              </w:rPr>
                            </w:pPr>
                            <w:r w:rsidRPr="00136AE9">
                              <w:rPr>
                                <w:rFonts w:ascii="Arial" w:hAnsi="Arial" w:cs="Arial"/>
                                <w:color w:val="1F497D" w:themeColor="text2"/>
                                <w:sz w:val="20"/>
                                <w:szCs w:val="20"/>
                              </w:rPr>
                              <w:t>Sub-alternative 2c.  ACL = OY = 90% ABC.</w:t>
                            </w:r>
                          </w:p>
                          <w:p w14:paraId="1F27BBB6" w14:textId="77777777" w:rsidR="009108B8" w:rsidRPr="00136AE9" w:rsidRDefault="009108B8" w:rsidP="00340F89">
                            <w:pPr>
                              <w:contextualSpacing/>
                              <w:rPr>
                                <w:rFonts w:ascii="Arial" w:eastAsia="Courier New" w:hAnsi="Arial" w:cs="Arial"/>
                                <w:b/>
                                <w:color w:val="1F497D" w:themeColor="text2"/>
                                <w:sz w:val="20"/>
                                <w:szCs w:val="20"/>
                              </w:rPr>
                            </w:pPr>
                          </w:p>
                          <w:p w14:paraId="5258F508" w14:textId="77777777" w:rsidR="009108B8" w:rsidRPr="00E03046" w:rsidRDefault="009108B8" w:rsidP="00340F89">
                            <w:pPr>
                              <w:rPr>
                                <w:rFonts w:ascii="Arial" w:hAnsi="Arial" w:cs="Arial"/>
                                <w:color w:val="1F497D" w:themeColor="text2"/>
                                <w:sz w:val="20"/>
                                <w:szCs w:val="20"/>
                              </w:rPr>
                            </w:pPr>
                            <w:r w:rsidRPr="00E03046">
                              <w:rPr>
                                <w:rFonts w:ascii="Arial" w:hAnsi="Arial" w:cs="Arial"/>
                                <w:color w:val="1F497D" w:themeColor="text2"/>
                                <w:sz w:val="20"/>
                                <w:szCs w:val="20"/>
                              </w:rPr>
                              <w:t>*</w:t>
                            </w:r>
                            <w:r w:rsidRPr="002B189D">
                              <w:rPr>
                                <w:rFonts w:ascii="Arial" w:eastAsiaTheme="minorHAnsi" w:hAnsi="Arial" w:cs="Arial"/>
                                <w:color w:val="1F497D" w:themeColor="text2"/>
                                <w:sz w:val="20"/>
                                <w:szCs w:val="20"/>
                              </w:rPr>
                              <w:t xml:space="preserve"> </w:t>
                            </w:r>
                            <w:r>
                              <w:rPr>
                                <w:rFonts w:ascii="Arial" w:eastAsiaTheme="minorHAnsi" w:hAnsi="Arial" w:cs="Arial"/>
                                <w:color w:val="1F497D" w:themeColor="text2"/>
                                <w:sz w:val="20"/>
                                <w:szCs w:val="20"/>
                              </w:rPr>
                              <w:t xml:space="preserve">Preferred indicated in bold.  </w:t>
                            </w:r>
                            <w:r w:rsidRPr="00E03046">
                              <w:rPr>
                                <w:rFonts w:ascii="Arial" w:hAnsi="Arial" w:cs="Arial"/>
                                <w:color w:val="1F497D" w:themeColor="text2"/>
                                <w:sz w:val="20"/>
                                <w:szCs w:val="20"/>
                              </w:rPr>
                              <w:t>Refer to Chapter 2 for detailed language of alternatives</w:t>
                            </w:r>
                          </w:p>
                          <w:p w14:paraId="39BD0B6C" w14:textId="77777777" w:rsidR="009108B8" w:rsidRPr="00136AE9" w:rsidRDefault="009108B8" w:rsidP="00340F8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43.5pt;margin-top:66.2pt;width:236.1pt;height:269.8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" strokecolor="#548dd4 [1951]">
                <v:shadow on="t" opacity="26214f" mv:blur="50800f" origin="-.5,.5" offset="26941emu,-26941emu"/>
                <v:textbox>
                  <w:txbxContent>
                    <w:p w14:paraId="6DA44F34" w14:textId="77777777" w:rsidR="009108B8" w:rsidRPr="002B189D" w:rsidRDefault="009108B8" w:rsidP="00340F89">
                      <w:pPr>
                        <w:jc w:val="center"/>
                        <w:rPr>
                          <w:rFonts w:ascii="Arial" w:hAnsi="Arial" w:cs="Arial"/>
                          <w:b/>
                          <w:i/>
                          <w:iCs/>
                          <w:color w:val="365F91" w:themeColor="accent1" w:themeShade="BF"/>
                        </w:rPr>
                      </w:pPr>
                      <w:r w:rsidRPr="002B189D">
                        <w:rPr>
                          <w:rFonts w:ascii="Arial" w:hAnsi="Arial" w:cs="Arial"/>
                          <w:b/>
                          <w:i/>
                          <w:iCs/>
                          <w:color w:val="365F91" w:themeColor="accent1" w:themeShade="BF"/>
                        </w:rPr>
                        <w:t>Alternatives*</w:t>
                      </w:r>
                    </w:p>
                    <w:p w14:paraId="537F7EEB" w14:textId="77777777" w:rsidR="009108B8" w:rsidRPr="00136AE9" w:rsidRDefault="009108B8" w:rsidP="00340F89">
                      <w:pPr>
                        <w:jc w:val="center"/>
                        <w:rPr>
                          <w:rFonts w:ascii="Arial" w:hAnsi="Arial" w:cs="Arial"/>
                          <w:b/>
                          <w:i/>
                          <w:iCs/>
                          <w:color w:val="365F91" w:themeColor="accent1" w:themeShade="BF"/>
                          <w:sz w:val="20"/>
                          <w:szCs w:val="20"/>
                        </w:rPr>
                      </w:pPr>
                    </w:p>
                    <w:p w14:paraId="5D34CF1E" w14:textId="77777777" w:rsidR="009108B8" w:rsidRPr="00136AE9" w:rsidRDefault="009108B8" w:rsidP="00340F89">
                      <w:pPr>
                        <w:pStyle w:val="Normal1"/>
                        <w:spacing w:line="240" w:lineRule="auto"/>
                        <w:contextualSpacing/>
                        <w:rPr>
                          <w:color w:val="1F497D" w:themeColor="text2"/>
                          <w:sz w:val="20"/>
                          <w:szCs w:val="20"/>
                        </w:rPr>
                      </w:pPr>
                      <w:r w:rsidRPr="00136AE9">
                        <w:rPr>
                          <w:color w:val="1F497D" w:themeColor="text2"/>
                          <w:sz w:val="20"/>
                          <w:szCs w:val="20"/>
                        </w:rPr>
                        <w:t xml:space="preserve">1 (No Action).  </w:t>
                      </w:r>
                      <w:r w:rsidRPr="002B189D">
                        <w:rPr>
                          <w:color w:val="1F497D" w:themeColor="text2"/>
                          <w:sz w:val="20"/>
                          <w:szCs w:val="20"/>
                        </w:rPr>
                        <w:t xml:space="preserve">The current </w:t>
                      </w:r>
                      <w:r>
                        <w:rPr>
                          <w:color w:val="1F497D" w:themeColor="text2"/>
                          <w:sz w:val="20"/>
                          <w:szCs w:val="20"/>
                        </w:rPr>
                        <w:t xml:space="preserve">ABC </w:t>
                      </w:r>
                      <w:r w:rsidRPr="002B189D">
                        <w:rPr>
                          <w:color w:val="1F497D" w:themeColor="text2"/>
                          <w:sz w:val="20"/>
                          <w:szCs w:val="20"/>
                        </w:rPr>
                        <w:t xml:space="preserve">for mutton snapper is 926,600 lbs ww based on a jurisdictional allocation for the South Atlantic of 82% of the </w:t>
                      </w:r>
                      <w:r>
                        <w:rPr>
                          <w:color w:val="1F497D" w:themeColor="text2"/>
                          <w:sz w:val="20"/>
                          <w:szCs w:val="20"/>
                        </w:rPr>
                        <w:t>ABC</w:t>
                      </w:r>
                      <w:r w:rsidRPr="002B189D">
                        <w:rPr>
                          <w:color w:val="1F497D" w:themeColor="text2"/>
                          <w:sz w:val="20"/>
                          <w:szCs w:val="20"/>
                        </w:rPr>
                        <w:t xml:space="preserve"> and is set equal to </w:t>
                      </w:r>
                      <w:r>
                        <w:rPr>
                          <w:color w:val="1F497D" w:themeColor="text2"/>
                          <w:sz w:val="20"/>
                          <w:szCs w:val="20"/>
                        </w:rPr>
                        <w:t>OY</w:t>
                      </w:r>
                      <w:r w:rsidRPr="002B189D">
                        <w:rPr>
                          <w:color w:val="1F497D" w:themeColor="text2"/>
                          <w:sz w:val="20"/>
                          <w:szCs w:val="20"/>
                        </w:rPr>
                        <w:t xml:space="preserve"> and the total </w:t>
                      </w:r>
                      <w:r>
                        <w:rPr>
                          <w:color w:val="1F497D" w:themeColor="text2"/>
                          <w:sz w:val="20"/>
                          <w:szCs w:val="20"/>
                        </w:rPr>
                        <w:t>ACL</w:t>
                      </w:r>
                      <w:r w:rsidRPr="002B189D">
                        <w:rPr>
                          <w:color w:val="1F497D" w:themeColor="text2"/>
                          <w:sz w:val="20"/>
                          <w:szCs w:val="20"/>
                        </w:rPr>
                        <w:t xml:space="preserve">. The commercial </w:t>
                      </w:r>
                      <w:r>
                        <w:rPr>
                          <w:color w:val="1F497D" w:themeColor="text2"/>
                          <w:sz w:val="20"/>
                          <w:szCs w:val="20"/>
                        </w:rPr>
                        <w:t>ACL</w:t>
                      </w:r>
                      <w:r w:rsidRPr="002B189D">
                        <w:rPr>
                          <w:color w:val="1F497D" w:themeColor="text2"/>
                          <w:sz w:val="20"/>
                          <w:szCs w:val="20"/>
                        </w:rPr>
                        <w:t xml:space="preserve"> is 157,743 lbs ww (17.02%) and the recreational </w:t>
                      </w:r>
                      <w:r>
                        <w:rPr>
                          <w:color w:val="1F497D" w:themeColor="text2"/>
                          <w:sz w:val="20"/>
                          <w:szCs w:val="20"/>
                        </w:rPr>
                        <w:t>ACL</w:t>
                      </w:r>
                      <w:r w:rsidRPr="002B189D">
                        <w:rPr>
                          <w:color w:val="1F497D" w:themeColor="text2"/>
                          <w:sz w:val="20"/>
                          <w:szCs w:val="20"/>
                        </w:rPr>
                        <w:t xml:space="preserve"> is 768,857 lbs ww (82.98%).</w:t>
                      </w:r>
                    </w:p>
                    <w:p w14:paraId="4DFA9241" w14:textId="77777777" w:rsidR="009108B8" w:rsidRPr="00136AE9" w:rsidRDefault="009108B8" w:rsidP="00340F89">
                      <w:pPr>
                        <w:contextualSpacing/>
                        <w:rPr>
                          <w:rFonts w:ascii="Arial" w:eastAsia="Courier New" w:hAnsi="Arial" w:cs="Arial"/>
                          <w:color w:val="1F497D" w:themeColor="text2"/>
                          <w:sz w:val="20"/>
                          <w:szCs w:val="20"/>
                        </w:rPr>
                      </w:pPr>
                    </w:p>
                    <w:p w14:paraId="20C9B815" w14:textId="77777777" w:rsidR="009108B8" w:rsidRPr="00136AE9" w:rsidRDefault="009108B8" w:rsidP="00340F89">
                      <w:pPr>
                        <w:contextualSpacing/>
                        <w:rPr>
                          <w:rFonts w:ascii="Arial" w:eastAsia="Courier New" w:hAnsi="Arial" w:cs="Arial"/>
                          <w:b/>
                          <w:color w:val="1F497D" w:themeColor="text2"/>
                          <w:sz w:val="20"/>
                          <w:szCs w:val="20"/>
                        </w:rPr>
                      </w:pPr>
                      <w:r w:rsidRPr="00136AE9">
                        <w:rPr>
                          <w:rFonts w:ascii="Arial" w:hAnsi="Arial" w:cs="Arial"/>
                          <w:b/>
                          <w:color w:val="1F497D" w:themeColor="text2"/>
                          <w:sz w:val="20"/>
                          <w:szCs w:val="20"/>
                        </w:rPr>
                        <w:t xml:space="preserve">2. </w:t>
                      </w:r>
                      <w:r w:rsidRPr="002B189D">
                        <w:rPr>
                          <w:rFonts w:ascii="Arial" w:hAnsi="Arial" w:cs="Arial"/>
                          <w:b/>
                          <w:color w:val="1F497D" w:themeColor="text2"/>
                          <w:sz w:val="20"/>
                          <w:szCs w:val="20"/>
                        </w:rPr>
                        <w:t xml:space="preserve">Specify </w:t>
                      </w:r>
                      <w:r>
                        <w:rPr>
                          <w:rFonts w:ascii="Arial" w:hAnsi="Arial" w:cs="Arial"/>
                          <w:b/>
                          <w:color w:val="1F497D" w:themeColor="text2"/>
                          <w:sz w:val="20"/>
                          <w:szCs w:val="20"/>
                        </w:rPr>
                        <w:t>ACLs</w:t>
                      </w:r>
                      <w:r w:rsidRPr="002B189D">
                        <w:rPr>
                          <w:rFonts w:ascii="Arial" w:hAnsi="Arial" w:cs="Arial"/>
                          <w:b/>
                          <w:color w:val="1F497D" w:themeColor="text2"/>
                          <w:sz w:val="20"/>
                          <w:szCs w:val="20"/>
                        </w:rPr>
                        <w:t xml:space="preserve"> and </w:t>
                      </w:r>
                      <w:r>
                        <w:rPr>
                          <w:rFonts w:ascii="Arial" w:hAnsi="Arial" w:cs="Arial"/>
                          <w:b/>
                          <w:color w:val="1F497D" w:themeColor="text2"/>
                          <w:sz w:val="20"/>
                          <w:szCs w:val="20"/>
                        </w:rPr>
                        <w:t>OY</w:t>
                      </w:r>
                      <w:r w:rsidRPr="002B189D">
                        <w:rPr>
                          <w:rFonts w:ascii="Arial" w:hAnsi="Arial" w:cs="Arial"/>
                          <w:b/>
                          <w:color w:val="1F497D" w:themeColor="text2"/>
                          <w:sz w:val="20"/>
                          <w:szCs w:val="20"/>
                        </w:rPr>
                        <w:t xml:space="preserve"> for the South Atlantic using the existing sector allocations (17.02% commercial and 82.98% recreational) and specify the recreational </w:t>
                      </w:r>
                      <w:r>
                        <w:rPr>
                          <w:rFonts w:ascii="Arial" w:hAnsi="Arial" w:cs="Arial"/>
                          <w:b/>
                          <w:color w:val="1F497D" w:themeColor="text2"/>
                          <w:sz w:val="20"/>
                          <w:szCs w:val="20"/>
                        </w:rPr>
                        <w:t>ACL</w:t>
                      </w:r>
                      <w:r w:rsidRPr="002B189D">
                        <w:rPr>
                          <w:rFonts w:ascii="Arial" w:hAnsi="Arial" w:cs="Arial"/>
                          <w:b/>
                          <w:color w:val="1F497D" w:themeColor="text2"/>
                          <w:sz w:val="20"/>
                          <w:szCs w:val="20"/>
                        </w:rPr>
                        <w:t xml:space="preserve"> in numbers of fish.  The </w:t>
                      </w:r>
                      <w:r>
                        <w:rPr>
                          <w:rFonts w:ascii="Arial" w:hAnsi="Arial" w:cs="Arial"/>
                          <w:b/>
                          <w:color w:val="1F497D" w:themeColor="text2"/>
                          <w:sz w:val="20"/>
                          <w:szCs w:val="20"/>
                        </w:rPr>
                        <w:t xml:space="preserve">ACLs </w:t>
                      </w:r>
                      <w:r w:rsidRPr="002B189D">
                        <w:rPr>
                          <w:rFonts w:ascii="Arial" w:hAnsi="Arial" w:cs="Arial"/>
                          <w:b/>
                          <w:color w:val="1F497D" w:themeColor="text2"/>
                          <w:sz w:val="20"/>
                          <w:szCs w:val="20"/>
                        </w:rPr>
                        <w:t>specified for 2020 would remain in place until modified.</w:t>
                      </w:r>
                    </w:p>
                    <w:p w14:paraId="75A7C9C1" w14:textId="77777777" w:rsidR="009108B8" w:rsidRPr="00136AE9" w:rsidRDefault="009108B8" w:rsidP="00340F89">
                      <w:pPr>
                        <w:ind w:left="540"/>
                        <w:contextualSpacing/>
                        <w:rPr>
                          <w:rFonts w:ascii="Arial" w:hAnsi="Arial" w:cs="Arial"/>
                          <w:b/>
                          <w:color w:val="1F497D" w:themeColor="text2"/>
                          <w:sz w:val="20"/>
                          <w:szCs w:val="20"/>
                        </w:rPr>
                      </w:pPr>
                      <w:r w:rsidRPr="00136AE9">
                        <w:rPr>
                          <w:rFonts w:ascii="Arial" w:hAnsi="Arial" w:cs="Arial"/>
                          <w:b/>
                          <w:color w:val="1F497D" w:themeColor="text2"/>
                          <w:sz w:val="20"/>
                          <w:szCs w:val="20"/>
                        </w:rPr>
                        <w:t xml:space="preserve">Sub-alternative 2a.  ACL = OY = ABC.  </w:t>
                      </w:r>
                    </w:p>
                    <w:p w14:paraId="40F3DFEF" w14:textId="77777777" w:rsidR="009108B8" w:rsidRPr="00136AE9" w:rsidRDefault="009108B8" w:rsidP="00340F89">
                      <w:pPr>
                        <w:ind w:left="540"/>
                        <w:contextualSpacing/>
                        <w:rPr>
                          <w:rFonts w:ascii="Arial" w:hAnsi="Arial" w:cs="Arial"/>
                          <w:color w:val="1F497D" w:themeColor="text2"/>
                          <w:sz w:val="20"/>
                          <w:szCs w:val="20"/>
                        </w:rPr>
                      </w:pPr>
                      <w:r w:rsidRPr="00136AE9">
                        <w:rPr>
                          <w:rFonts w:ascii="Arial" w:hAnsi="Arial" w:cs="Arial"/>
                          <w:color w:val="1F497D" w:themeColor="text2"/>
                          <w:sz w:val="20"/>
                          <w:szCs w:val="20"/>
                        </w:rPr>
                        <w:t xml:space="preserve">Sub-alternative 2b.  ACL = OY = 95% ABC.  </w:t>
                      </w:r>
                    </w:p>
                    <w:p w14:paraId="66E2A02D" w14:textId="77777777" w:rsidR="009108B8" w:rsidRPr="00136AE9" w:rsidRDefault="009108B8" w:rsidP="00340F89">
                      <w:pPr>
                        <w:ind w:left="540"/>
                        <w:contextualSpacing/>
                        <w:rPr>
                          <w:rFonts w:ascii="Arial" w:hAnsi="Arial" w:cs="Arial"/>
                          <w:color w:val="1F497D" w:themeColor="text2"/>
                          <w:sz w:val="20"/>
                          <w:szCs w:val="20"/>
                        </w:rPr>
                      </w:pPr>
                      <w:r w:rsidRPr="00136AE9">
                        <w:rPr>
                          <w:rFonts w:ascii="Arial" w:hAnsi="Arial" w:cs="Arial"/>
                          <w:color w:val="1F497D" w:themeColor="text2"/>
                          <w:sz w:val="20"/>
                          <w:szCs w:val="20"/>
                        </w:rPr>
                        <w:t>Sub-alternative 2c.  ACL = OY = 90% ABC.</w:t>
                      </w:r>
                    </w:p>
                    <w:p w14:paraId="1F27BBB6" w14:textId="77777777" w:rsidR="009108B8" w:rsidRPr="00136AE9" w:rsidRDefault="009108B8" w:rsidP="00340F89">
                      <w:pPr>
                        <w:contextualSpacing/>
                        <w:rPr>
                          <w:rFonts w:ascii="Arial" w:eastAsia="Courier New" w:hAnsi="Arial" w:cs="Arial"/>
                          <w:b/>
                          <w:color w:val="1F497D" w:themeColor="text2"/>
                          <w:sz w:val="20"/>
                          <w:szCs w:val="20"/>
                        </w:rPr>
                      </w:pPr>
                    </w:p>
                    <w:p w14:paraId="5258F508" w14:textId="77777777" w:rsidR="009108B8" w:rsidRPr="00E03046" w:rsidRDefault="009108B8" w:rsidP="00340F89">
                      <w:pPr>
                        <w:rPr>
                          <w:rFonts w:ascii="Arial" w:hAnsi="Arial" w:cs="Arial"/>
                          <w:color w:val="1F497D" w:themeColor="text2"/>
                          <w:sz w:val="20"/>
                          <w:szCs w:val="20"/>
                        </w:rPr>
                      </w:pPr>
                      <w:r w:rsidRPr="00E03046">
                        <w:rPr>
                          <w:rFonts w:ascii="Arial" w:hAnsi="Arial" w:cs="Arial"/>
                          <w:color w:val="1F497D" w:themeColor="text2"/>
                          <w:sz w:val="20"/>
                          <w:szCs w:val="20"/>
                        </w:rPr>
                        <w:t>*</w:t>
                      </w:r>
                      <w:r w:rsidRPr="002B189D">
                        <w:rPr>
                          <w:rFonts w:ascii="Arial" w:eastAsiaTheme="minorHAnsi" w:hAnsi="Arial" w:cs="Arial"/>
                          <w:color w:val="1F497D" w:themeColor="text2"/>
                          <w:sz w:val="20"/>
                          <w:szCs w:val="20"/>
                        </w:rPr>
                        <w:t xml:space="preserve"> </w:t>
                      </w:r>
                      <w:r>
                        <w:rPr>
                          <w:rFonts w:ascii="Arial" w:eastAsiaTheme="minorHAnsi" w:hAnsi="Arial" w:cs="Arial"/>
                          <w:color w:val="1F497D" w:themeColor="text2"/>
                          <w:sz w:val="20"/>
                          <w:szCs w:val="20"/>
                        </w:rPr>
                        <w:t xml:space="preserve">Preferred indicated in bold.  </w:t>
                      </w:r>
                      <w:r w:rsidRPr="00E03046">
                        <w:rPr>
                          <w:rFonts w:ascii="Arial" w:hAnsi="Arial" w:cs="Arial"/>
                          <w:color w:val="1F497D" w:themeColor="text2"/>
                          <w:sz w:val="20"/>
                          <w:szCs w:val="20"/>
                        </w:rPr>
                        <w:t>Refer to Chapter 2 for detailed language of alternatives</w:t>
                      </w:r>
                    </w:p>
                    <w:p w14:paraId="39BD0B6C" w14:textId="77777777" w:rsidR="009108B8" w:rsidRPr="00136AE9" w:rsidRDefault="009108B8" w:rsidP="00340F89">
                      <w:pPr>
                        <w:rPr>
                          <w:sz w:val="20"/>
                          <w:szCs w:val="20"/>
                        </w:rPr>
                      </w:pPr>
                    </w:p>
                  </w:txbxContent>
                </v:textbox>
                <w10:wrap type="square" anchorx="margin" anchory="margin"/>
              </v:shape>
            </w:pict>
          </mc:Fallback>
        </mc:AlternateContent>
      </w:r>
      <w:r w:rsidR="008942D1">
        <w:rPr>
          <w:rStyle w:val="Heading4Char1"/>
          <w:rFonts w:ascii="Arial" w:hAnsi="Arial" w:cs="Arial"/>
          <w:bCs w:val="0"/>
          <w:sz w:val="24"/>
          <w:szCs w:val="24"/>
        </w:rPr>
        <w:t>5.3</w:t>
      </w:r>
      <w:r w:rsidR="008942D1" w:rsidRPr="005B5A20">
        <w:rPr>
          <w:rStyle w:val="Heading4Char1"/>
          <w:rFonts w:ascii="Arial" w:hAnsi="Arial" w:cs="Arial"/>
          <w:bCs w:val="0"/>
          <w:sz w:val="24"/>
          <w:szCs w:val="24"/>
        </w:rPr>
        <w:t>.1</w:t>
      </w:r>
      <w:r w:rsidR="008942D1" w:rsidRPr="005B5A20">
        <w:rPr>
          <w:rStyle w:val="Heading4Char1"/>
          <w:rFonts w:ascii="Arial" w:hAnsi="Arial" w:cs="Arial"/>
          <w:bCs w:val="0"/>
          <w:sz w:val="24"/>
          <w:szCs w:val="24"/>
        </w:rPr>
        <w:tab/>
      </w:r>
      <w:r w:rsidR="008942D1">
        <w:rPr>
          <w:rStyle w:val="Heading4Char1"/>
          <w:rFonts w:ascii="Arial" w:hAnsi="Arial" w:cs="Arial"/>
          <w:bCs w:val="0"/>
          <w:sz w:val="24"/>
          <w:szCs w:val="24"/>
        </w:rPr>
        <w:t>Snapper Grouper AP</w:t>
      </w:r>
      <w:r w:rsidR="008942D1" w:rsidRPr="005B5A20">
        <w:rPr>
          <w:rStyle w:val="Heading4Char1"/>
          <w:rFonts w:ascii="Arial" w:hAnsi="Arial" w:cs="Arial"/>
          <w:bCs w:val="0"/>
          <w:sz w:val="24"/>
          <w:szCs w:val="24"/>
        </w:rPr>
        <w:t xml:space="preserve"> Comments and Recommendations</w:t>
      </w:r>
      <w:bookmarkEnd w:id="327"/>
    </w:p>
    <w:p w14:paraId="729A3540" w14:textId="3D2B9EBA" w:rsidR="00D96DA5" w:rsidRPr="00CE4B96" w:rsidRDefault="00D96DA5" w:rsidP="00D96DA5">
      <w:pPr>
        <w:ind w:firstLine="360"/>
      </w:pPr>
      <w:r w:rsidRPr="00B27D30">
        <w:t>The Snapper Grouper AP discussed Amendment 41 during their April 26-</w:t>
      </w:r>
      <w:r w:rsidR="00B77366">
        <w:t>27,</w:t>
      </w:r>
      <w:r w:rsidRPr="00B27D30">
        <w:t xml:space="preserve"> 2016 meeting.  At that time, actions in Amendment 41 were numbered differently and revisions have been made to the language of actions and alternatives in the amendment. </w:t>
      </w:r>
      <w:r>
        <w:t xml:space="preserve"> </w:t>
      </w:r>
      <w:r w:rsidRPr="00B27D30">
        <w:t xml:space="preserve">Hence, the AP’s motions may not reflect the chronology of actions/alternatives or the current language.  </w:t>
      </w:r>
      <w:r>
        <w:t>The Snapper Grouper AP had no comments or recommendations regarding specification of the annual catch limit and optimum yield for mutton snapper in the South Atlantic.</w:t>
      </w:r>
    </w:p>
    <w:p w14:paraId="700826A0" w14:textId="77777777" w:rsidR="008942D1" w:rsidRPr="00D92EC7" w:rsidRDefault="008942D1" w:rsidP="008942D1"/>
    <w:p w14:paraId="03BEB3CD" w14:textId="2C819A42" w:rsidR="008942D1" w:rsidRDefault="008942D1" w:rsidP="008942D1">
      <w:pPr>
        <w:pStyle w:val="Heading3"/>
        <w:rPr>
          <w:rStyle w:val="Heading4Char1"/>
          <w:rFonts w:ascii="Arial" w:hAnsi="Arial" w:cs="Arial"/>
          <w:bCs w:val="0"/>
          <w:sz w:val="24"/>
          <w:szCs w:val="24"/>
        </w:rPr>
      </w:pPr>
      <w:bookmarkStart w:id="328" w:name="_Toc339811786"/>
      <w:r>
        <w:rPr>
          <w:rStyle w:val="Heading4Char1"/>
          <w:rFonts w:ascii="Arial" w:hAnsi="Arial" w:cs="Arial"/>
          <w:bCs w:val="0"/>
          <w:sz w:val="24"/>
          <w:szCs w:val="24"/>
        </w:rPr>
        <w:t>5.3</w:t>
      </w:r>
      <w:r w:rsidRPr="005B5A20">
        <w:rPr>
          <w:rStyle w:val="Heading4Char1"/>
          <w:rFonts w:ascii="Arial" w:hAnsi="Arial" w:cs="Arial"/>
          <w:bCs w:val="0"/>
          <w:sz w:val="24"/>
          <w:szCs w:val="24"/>
        </w:rPr>
        <w:t>.</w:t>
      </w:r>
      <w:r>
        <w:rPr>
          <w:rStyle w:val="Heading4Char1"/>
          <w:rFonts w:ascii="Arial" w:hAnsi="Arial" w:cs="Arial"/>
          <w:bCs w:val="0"/>
          <w:sz w:val="24"/>
          <w:szCs w:val="24"/>
        </w:rPr>
        <w:t>2</w:t>
      </w:r>
      <w:r w:rsidRPr="005B5A20">
        <w:rPr>
          <w:rStyle w:val="Heading4Char1"/>
          <w:rFonts w:ascii="Arial" w:hAnsi="Arial" w:cs="Arial"/>
          <w:bCs w:val="0"/>
          <w:sz w:val="24"/>
          <w:szCs w:val="24"/>
        </w:rPr>
        <w:tab/>
      </w:r>
      <w:r>
        <w:rPr>
          <w:rStyle w:val="Heading4Char1"/>
          <w:rFonts w:ascii="Arial" w:hAnsi="Arial" w:cs="Arial"/>
          <w:bCs w:val="0"/>
          <w:sz w:val="24"/>
          <w:szCs w:val="24"/>
        </w:rPr>
        <w:t>Law Enforcement AP</w:t>
      </w:r>
      <w:r w:rsidRPr="005B5A20">
        <w:rPr>
          <w:rStyle w:val="Heading4Char1"/>
          <w:rFonts w:ascii="Arial" w:hAnsi="Arial" w:cs="Arial"/>
          <w:bCs w:val="0"/>
          <w:sz w:val="24"/>
          <w:szCs w:val="24"/>
        </w:rPr>
        <w:t xml:space="preserve"> Comments and Recommendations</w:t>
      </w:r>
      <w:bookmarkEnd w:id="328"/>
    </w:p>
    <w:p w14:paraId="2D754B76" w14:textId="77777777" w:rsidR="00D96DA5" w:rsidRPr="008B07B5" w:rsidRDefault="00D96DA5" w:rsidP="00D96DA5">
      <w:pPr>
        <w:ind w:firstLine="360"/>
      </w:pPr>
      <w:r w:rsidRPr="008B07B5">
        <w:t xml:space="preserve">The </w:t>
      </w:r>
      <w:r>
        <w:t>Law Enforcement AP received a briefing on Amendment 41 during their March 7-8, 2016 meeting.  The Law Enforcement AP had no comments or recommendations.</w:t>
      </w:r>
    </w:p>
    <w:p w14:paraId="460473B3" w14:textId="77777777" w:rsidR="008942D1" w:rsidRPr="002A1479" w:rsidRDefault="008942D1" w:rsidP="008942D1">
      <w:pPr>
        <w:ind w:firstLine="360"/>
        <w:rPr>
          <w:b/>
        </w:rPr>
      </w:pPr>
    </w:p>
    <w:p w14:paraId="33D764A8" w14:textId="58022155" w:rsidR="008942D1" w:rsidRDefault="008942D1" w:rsidP="008942D1">
      <w:pPr>
        <w:pStyle w:val="Heading3"/>
        <w:rPr>
          <w:rStyle w:val="Heading4Char1"/>
          <w:rFonts w:ascii="Arial" w:hAnsi="Arial" w:cs="Arial"/>
          <w:bCs w:val="0"/>
          <w:sz w:val="24"/>
          <w:szCs w:val="24"/>
        </w:rPr>
      </w:pPr>
      <w:bookmarkStart w:id="329" w:name="_Toc339811787"/>
      <w:r>
        <w:rPr>
          <w:rStyle w:val="Heading4Char1"/>
          <w:rFonts w:ascii="Arial" w:hAnsi="Arial" w:cs="Arial"/>
          <w:bCs w:val="0"/>
          <w:sz w:val="24"/>
          <w:szCs w:val="24"/>
        </w:rPr>
        <w:t>5.3</w:t>
      </w:r>
      <w:r w:rsidRPr="005B5A20">
        <w:rPr>
          <w:rStyle w:val="Heading4Char1"/>
          <w:rFonts w:ascii="Arial" w:hAnsi="Arial" w:cs="Arial"/>
          <w:bCs w:val="0"/>
          <w:sz w:val="24"/>
          <w:szCs w:val="24"/>
        </w:rPr>
        <w:t>.</w:t>
      </w:r>
      <w:r>
        <w:rPr>
          <w:rStyle w:val="Heading4Char1"/>
          <w:rFonts w:ascii="Arial" w:hAnsi="Arial" w:cs="Arial"/>
          <w:bCs w:val="0"/>
          <w:sz w:val="24"/>
          <w:szCs w:val="24"/>
        </w:rPr>
        <w:t>3</w:t>
      </w:r>
      <w:r w:rsidRPr="005B5A20">
        <w:rPr>
          <w:rStyle w:val="Heading4Char1"/>
          <w:rFonts w:ascii="Arial" w:hAnsi="Arial" w:cs="Arial"/>
          <w:bCs w:val="0"/>
          <w:sz w:val="24"/>
          <w:szCs w:val="24"/>
        </w:rPr>
        <w:tab/>
      </w:r>
      <w:r>
        <w:rPr>
          <w:rStyle w:val="Heading4Char1"/>
          <w:rFonts w:ascii="Arial" w:hAnsi="Arial" w:cs="Arial"/>
          <w:bCs w:val="0"/>
          <w:sz w:val="24"/>
          <w:szCs w:val="24"/>
        </w:rPr>
        <w:t>Scientific and Statistical Committee</w:t>
      </w:r>
      <w:r w:rsidRPr="005B5A20">
        <w:rPr>
          <w:rStyle w:val="Heading4Char1"/>
          <w:rFonts w:ascii="Arial" w:hAnsi="Arial" w:cs="Arial"/>
          <w:bCs w:val="0"/>
          <w:sz w:val="24"/>
          <w:szCs w:val="24"/>
        </w:rPr>
        <w:t xml:space="preserve"> Comments and Recommendations</w:t>
      </w:r>
      <w:bookmarkEnd w:id="329"/>
    </w:p>
    <w:p w14:paraId="06F5CA87" w14:textId="787B9BFC" w:rsidR="006B1A45" w:rsidRDefault="006B1A45" w:rsidP="006B1A45">
      <w:pPr>
        <w:ind w:firstLine="360"/>
      </w:pPr>
      <w:r>
        <w:t xml:space="preserve">The SSC reviewed the SEDAR 15A update (2015) for mutton snapper at their April 28-30, 2015 meeting.  An excerpt from the SSC’s report for that meeting pertaining to ABC is below. </w:t>
      </w:r>
    </w:p>
    <w:p w14:paraId="3C6C8B2F" w14:textId="77777777" w:rsidR="006B1A45" w:rsidRDefault="006B1A45" w:rsidP="006B1A45">
      <w:pPr>
        <w:rPr>
          <w:i/>
        </w:rPr>
      </w:pPr>
    </w:p>
    <w:p w14:paraId="2B245621" w14:textId="77777777" w:rsidR="006B1A45" w:rsidRDefault="006B1A45" w:rsidP="006B1A45">
      <w:pPr>
        <w:rPr>
          <w:i/>
        </w:rPr>
      </w:pPr>
      <w:r w:rsidRPr="000C081A">
        <w:rPr>
          <w:i/>
        </w:rPr>
        <w:t>Since this assessment falls under Tier 1 of the SAFMC ABC control rule, ABC was obtained according to a P* value. A summary of results from applying the ABC control rule is presented below:</w:t>
      </w:r>
    </w:p>
    <w:p w14:paraId="2C08F17A" w14:textId="77777777" w:rsidR="006B1A45" w:rsidRPr="000C081A" w:rsidRDefault="006B1A45" w:rsidP="006B1A45">
      <w:pPr>
        <w:rPr>
          <w:i/>
        </w:rPr>
      </w:pPr>
      <w:r w:rsidRPr="000C081A">
        <w:rPr>
          <w:i/>
        </w:rPr>
        <w:t>1. Assessment Information: Tier 2 (-2.5%): an SPR-based proxy was used for MSY benchmarks.</w:t>
      </w:r>
    </w:p>
    <w:p w14:paraId="6E24A5B7" w14:textId="77777777" w:rsidR="006B1A45" w:rsidRPr="000C081A" w:rsidRDefault="006B1A45" w:rsidP="006B1A45">
      <w:pPr>
        <w:rPr>
          <w:i/>
        </w:rPr>
      </w:pPr>
      <w:r w:rsidRPr="000C081A">
        <w:rPr>
          <w:i/>
        </w:rPr>
        <w:t>2. Uncertainty: Tier 3, medium (-5.0%): many of the uncertainties are well documented but did not seem to take into account problems with fitting the indices and the age comps.</w:t>
      </w:r>
    </w:p>
    <w:p w14:paraId="0EF659DD" w14:textId="77777777" w:rsidR="006B1A45" w:rsidRPr="000C081A" w:rsidRDefault="006B1A45" w:rsidP="006B1A45">
      <w:pPr>
        <w:rPr>
          <w:i/>
        </w:rPr>
      </w:pPr>
      <w:r w:rsidRPr="000C081A">
        <w:rPr>
          <w:i/>
        </w:rPr>
        <w:t>3. Stock Status: Tier 2, Not Overfished, No Overfishing is occurring but stock may be in close proximity to benchmark values (-2.5%).</w:t>
      </w:r>
    </w:p>
    <w:p w14:paraId="1BE23AD8" w14:textId="77777777" w:rsidR="006B1A45" w:rsidRPr="000C081A" w:rsidRDefault="006B1A45" w:rsidP="006B1A45">
      <w:pPr>
        <w:rPr>
          <w:i/>
        </w:rPr>
      </w:pPr>
      <w:r w:rsidRPr="000C081A">
        <w:rPr>
          <w:i/>
        </w:rPr>
        <w:t>4. Productivity-Susceptibility Analysis: High Risk (-10%): based on the MRAG report.</w:t>
      </w:r>
    </w:p>
    <w:p w14:paraId="50F835DA" w14:textId="77777777" w:rsidR="006B1A45" w:rsidRDefault="006B1A45" w:rsidP="006B1A45">
      <w:pPr>
        <w:rPr>
          <w:i/>
        </w:rPr>
      </w:pPr>
      <w:r w:rsidRPr="000C081A">
        <w:rPr>
          <w:i/>
        </w:rPr>
        <w:t>In total, these results provide for an adjustment score of 20%, and a P* of 30%. The SSC recommends using 5-year projections at P*=50% for OFL and at P*=30% for ABC</w:t>
      </w:r>
      <w:r>
        <w:rPr>
          <w:i/>
        </w:rPr>
        <w:t>.</w:t>
      </w:r>
    </w:p>
    <w:p w14:paraId="176719B8" w14:textId="77777777" w:rsidR="002D393F" w:rsidRPr="002D393F" w:rsidRDefault="002D393F" w:rsidP="002D393F"/>
    <w:p w14:paraId="693D5792" w14:textId="0A3408DC" w:rsidR="008942D1" w:rsidRDefault="008942D1" w:rsidP="008942D1">
      <w:pPr>
        <w:pStyle w:val="Heading3"/>
        <w:rPr>
          <w:rStyle w:val="Heading4Char1"/>
          <w:rFonts w:ascii="Arial" w:hAnsi="Arial" w:cs="Arial"/>
          <w:bCs w:val="0"/>
          <w:sz w:val="24"/>
          <w:szCs w:val="24"/>
        </w:rPr>
      </w:pPr>
      <w:bookmarkStart w:id="330" w:name="_Toc339811788"/>
      <w:r>
        <w:rPr>
          <w:rStyle w:val="Heading4Char1"/>
          <w:rFonts w:ascii="Arial" w:hAnsi="Arial" w:cs="Arial"/>
          <w:bCs w:val="0"/>
          <w:sz w:val="24"/>
          <w:szCs w:val="24"/>
        </w:rPr>
        <w:lastRenderedPageBreak/>
        <w:t>5.3</w:t>
      </w:r>
      <w:r w:rsidRPr="005B5A20">
        <w:rPr>
          <w:rStyle w:val="Heading4Char1"/>
          <w:rFonts w:ascii="Arial" w:hAnsi="Arial" w:cs="Arial"/>
          <w:bCs w:val="0"/>
          <w:sz w:val="24"/>
          <w:szCs w:val="24"/>
        </w:rPr>
        <w:t>.</w:t>
      </w:r>
      <w:r>
        <w:rPr>
          <w:rStyle w:val="Heading4Char1"/>
          <w:rFonts w:ascii="Arial" w:hAnsi="Arial" w:cs="Arial"/>
          <w:bCs w:val="0"/>
          <w:sz w:val="24"/>
          <w:szCs w:val="24"/>
        </w:rPr>
        <w:t>4</w:t>
      </w:r>
      <w:r w:rsidRPr="005B5A20">
        <w:rPr>
          <w:rStyle w:val="Heading4Char1"/>
          <w:rFonts w:ascii="Arial" w:hAnsi="Arial" w:cs="Arial"/>
          <w:bCs w:val="0"/>
          <w:sz w:val="24"/>
          <w:szCs w:val="24"/>
        </w:rPr>
        <w:tab/>
        <w:t>Public Comments and Recommendations</w:t>
      </w:r>
      <w:bookmarkEnd w:id="330"/>
    </w:p>
    <w:p w14:paraId="322B9702" w14:textId="77777777" w:rsidR="00896911" w:rsidRDefault="00896911" w:rsidP="00896911">
      <w:pPr>
        <w:ind w:firstLine="360"/>
      </w:pPr>
      <w:r>
        <w:t xml:space="preserve">The South Atlantic Council held scoping meetings for Amendment 41 </w:t>
      </w:r>
      <w:r w:rsidRPr="00896911">
        <w:t xml:space="preserve">from January 25 to February 3, 2016.  Meetings in Florida were held in conjunction with workshops conducted by the Florida Fish and Wildlife Conservation Commission (FWC). </w:t>
      </w:r>
      <w:r>
        <w:t xml:space="preserve"> Public hearings were held</w:t>
      </w:r>
      <w:r w:rsidRPr="00896911">
        <w:t xml:space="preserve"> </w:t>
      </w:r>
      <w:r>
        <w:t>via</w:t>
      </w:r>
      <w:r w:rsidRPr="00896911">
        <w:t xml:space="preserve"> </w:t>
      </w:r>
      <w:r>
        <w:t>webinar on August 2, 2016 and</w:t>
      </w:r>
      <w:r w:rsidRPr="00896911">
        <w:t xml:space="preserve"> in-person on August 15-17</w:t>
      </w:r>
      <w:r>
        <w:t>, 2016</w:t>
      </w:r>
      <w:r w:rsidRPr="00896911">
        <w:t xml:space="preserve">.  </w:t>
      </w:r>
    </w:p>
    <w:p w14:paraId="4D4CF9C6" w14:textId="77777777" w:rsidR="00896911" w:rsidRDefault="00896911" w:rsidP="00896911">
      <w:pPr>
        <w:ind w:firstLine="360"/>
      </w:pPr>
    </w:p>
    <w:p w14:paraId="1D16F6CD" w14:textId="48043677" w:rsidR="00896911" w:rsidRPr="00D40718" w:rsidRDefault="00896911" w:rsidP="00896911">
      <w:pPr>
        <w:ind w:firstLine="360"/>
      </w:pPr>
      <w:r>
        <w:t>Members of the public stated that the annual catch limit should be set below the acceptable biological catch and the South Atlantic Council should consider the level of discards when setting annual catch limits.</w:t>
      </w:r>
    </w:p>
    <w:p w14:paraId="765E55C6" w14:textId="77777777" w:rsidR="008942D1" w:rsidRPr="002A1479" w:rsidRDefault="008942D1" w:rsidP="008942D1">
      <w:pPr>
        <w:ind w:firstLine="360"/>
      </w:pPr>
    </w:p>
    <w:p w14:paraId="1C0D711D" w14:textId="1BA60F75" w:rsidR="008942D1" w:rsidRDefault="008942D1" w:rsidP="008942D1">
      <w:pPr>
        <w:pStyle w:val="Heading3"/>
        <w:rPr>
          <w:rStyle w:val="Heading4Char1"/>
          <w:rFonts w:ascii="Arial" w:hAnsi="Arial" w:cs="Arial"/>
          <w:bCs w:val="0"/>
          <w:sz w:val="24"/>
          <w:szCs w:val="24"/>
        </w:rPr>
      </w:pPr>
      <w:bookmarkStart w:id="331" w:name="_Toc339811789"/>
      <w:r>
        <w:rPr>
          <w:rStyle w:val="Heading4Char1"/>
          <w:rFonts w:ascii="Arial" w:hAnsi="Arial" w:cs="Arial"/>
          <w:bCs w:val="0"/>
          <w:sz w:val="24"/>
          <w:szCs w:val="24"/>
        </w:rPr>
        <w:t>5.3</w:t>
      </w:r>
      <w:r w:rsidRPr="005B5A20">
        <w:rPr>
          <w:rStyle w:val="Heading4Char1"/>
          <w:rFonts w:ascii="Arial" w:hAnsi="Arial" w:cs="Arial"/>
          <w:bCs w:val="0"/>
          <w:sz w:val="24"/>
          <w:szCs w:val="24"/>
        </w:rPr>
        <w:t>.</w:t>
      </w:r>
      <w:r>
        <w:rPr>
          <w:rStyle w:val="Heading4Char1"/>
          <w:rFonts w:ascii="Arial" w:hAnsi="Arial" w:cs="Arial"/>
          <w:bCs w:val="0"/>
          <w:sz w:val="24"/>
          <w:szCs w:val="24"/>
        </w:rPr>
        <w:t>5</w:t>
      </w:r>
      <w:r w:rsidRPr="005B5A20">
        <w:rPr>
          <w:rStyle w:val="Heading4Char1"/>
          <w:rFonts w:ascii="Arial" w:hAnsi="Arial" w:cs="Arial"/>
          <w:bCs w:val="0"/>
          <w:sz w:val="24"/>
          <w:szCs w:val="24"/>
        </w:rPr>
        <w:tab/>
        <w:t xml:space="preserve">South Atlantic Council </w:t>
      </w:r>
      <w:r w:rsidR="009E03CE">
        <w:rPr>
          <w:rStyle w:val="Heading4Char1"/>
          <w:rFonts w:ascii="Arial" w:hAnsi="Arial" w:cs="Arial"/>
          <w:bCs w:val="0"/>
          <w:sz w:val="24"/>
          <w:szCs w:val="24"/>
        </w:rPr>
        <w:t>Rationale</w:t>
      </w:r>
      <w:bookmarkEnd w:id="331"/>
    </w:p>
    <w:p w14:paraId="54D3AE29" w14:textId="20089C26" w:rsidR="00CC6847" w:rsidRDefault="00CC6847" w:rsidP="00CC6847">
      <w:pPr>
        <w:ind w:firstLine="360"/>
      </w:pPr>
      <w:r>
        <w:t>The optimum yield is a long-term average amount of desired yield from a stock, stock complex, or fishery that will provide the greatest overall benefit to the Nation, particularly with respect to food production and recreational opportunities, and taking into account the protection of marine ecosystems.  The Magnuson-Stevens Fishery Conservation and Management Act (Magnuson-Stevens Act) does not preclude optimum yield from being equal to the acceptable biological catch or the total annual catch limit.  The Magnuson-Stevens Act indicates that optimum yield “is prescribed as such on the basis of the maximum sustainable yield from the fishery, as reduced by any relevant economic, social, or ecological factor”.  The South Atlantic Council has been frequently setting optimum yield equal to the acceptable biological catch and below the maximum sustainable yield to provide greater assurance that overfishing is prevented, the long-term average biomass is near or above the biomass that would produce the maximum sustainable yield (B</w:t>
      </w:r>
      <w:r w:rsidRPr="005D421E">
        <w:rPr>
          <w:vertAlign w:val="subscript"/>
        </w:rPr>
        <w:t>MSY</w:t>
      </w:r>
      <w:r>
        <w:t xml:space="preserve">), and overfished stocks are rebuilt within the allotted timeframe for the species in question.  Since mutton snapper are neither overfished not undergoing overfishing, the South Atlantic Council opted to forego a precautionary buffer between the annual catch limit (and optimum yield) and the acceptable biological catch.  </w:t>
      </w:r>
    </w:p>
    <w:p w14:paraId="57CD340F" w14:textId="77777777" w:rsidR="00CC6847" w:rsidRDefault="00CC6847" w:rsidP="00CC6847"/>
    <w:p w14:paraId="76530321" w14:textId="055B2271" w:rsidR="00CC6847" w:rsidRDefault="00CC6847" w:rsidP="00CC6847">
      <w:pPr>
        <w:ind w:firstLine="360"/>
      </w:pPr>
      <w:r>
        <w:t xml:space="preserve">In general, an annual catch limit cannot exceed the acceptable biological catch and may be set annually or on a multiyear plan basis.  Annual catch limits in coordination with accountability measures must prevent overfishing.  The National Standard 1 guidelines specify that Councils can choose to account for management uncertainty by setting the annual catch limit below the acceptable biological catch but states that annual catch limits may typically be set very close to the acceptable biological catch.  The Commercial Landings Monitoring System came online in June 2012 and is now being used to track commercial landings of federally managed fish species.  This system is able to track individual dealer reports, track compliance with reporting requirements, project harvest closures using five different methods, and analyze why annual catch limits are exceeded.  With vastly improved commercial monitoring mechanisms recently implemented, it is unlikely that repeated commercial annual catch limit overages would occur.  Additionally, a Joint Dealer Reporting Amendment, which was implemented on August 7, 2014 has increased the required reporting frequency for dealers to once per week, and requires a single dealer permit for all finfish dealers in the Southeast Region.  On January 27, 2014, the Generic For-Hire Reporting Amendment was implemented (78 FR 78779), which required all federally permitted headboats in the South Atlantic to report landings information electronically and on a </w:t>
      </w:r>
      <w:r>
        <w:lastRenderedPageBreak/>
        <w:t xml:space="preserve">weekly basis.  The new Commercial Landings Monitoring System and actions in the Joint Generic Dealer and Generic For-Hire Reporting amendments are expected to provide more timely and accurate data reporting and would thus reduce the incidence of quota overages.  </w:t>
      </w:r>
    </w:p>
    <w:p w14:paraId="69AC0777" w14:textId="77777777" w:rsidR="00CC6847" w:rsidRDefault="00CC6847" w:rsidP="00CC6847"/>
    <w:p w14:paraId="07A75173" w14:textId="5460D97B" w:rsidR="00CC6847" w:rsidRPr="00CC6847" w:rsidRDefault="00CC6847" w:rsidP="00CC6847">
      <w:pPr>
        <w:rPr>
          <w:iCs/>
        </w:rPr>
      </w:pPr>
      <w:r>
        <w:t xml:space="preserve">The South Atlantic Council concluded that </w:t>
      </w:r>
      <w:r w:rsidRPr="00A940E4">
        <w:rPr>
          <w:b/>
        </w:rPr>
        <w:t>Preferred Alternative 2</w:t>
      </w:r>
      <w:r>
        <w:t xml:space="preserve">, </w:t>
      </w:r>
      <w:r w:rsidRPr="00A940E4">
        <w:rPr>
          <w:b/>
        </w:rPr>
        <w:t>Preferred Sub-alternative 2</w:t>
      </w:r>
      <w:r>
        <w:rPr>
          <w:b/>
        </w:rPr>
        <w:t>a</w:t>
      </w:r>
      <w:r w:rsidRPr="00A940E4">
        <w:t xml:space="preserve">, </w:t>
      </w:r>
      <w:r>
        <w:t xml:space="preserve">best meets the purpose to </w:t>
      </w:r>
      <w:r w:rsidRPr="00380482">
        <w:rPr>
          <w:iCs/>
        </w:rPr>
        <w:t>update the a</w:t>
      </w:r>
      <w:r>
        <w:rPr>
          <w:iCs/>
        </w:rPr>
        <w:t xml:space="preserve">cceptable biological catch and annual catch limit for </w:t>
      </w:r>
      <w:r w:rsidRPr="00380482">
        <w:rPr>
          <w:iCs/>
        </w:rPr>
        <w:t xml:space="preserve">the </w:t>
      </w:r>
      <w:r>
        <w:rPr>
          <w:iCs/>
        </w:rPr>
        <w:t>mutton snapper</w:t>
      </w:r>
      <w:r w:rsidRPr="00380482">
        <w:rPr>
          <w:iCs/>
        </w:rPr>
        <w:t xml:space="preserve"> component of the snapper grouper fishery</w:t>
      </w:r>
      <w:r>
        <w:rPr>
          <w:iCs/>
        </w:rPr>
        <w:t xml:space="preserve"> based on the results of the most recent stock assessment.  </w:t>
      </w:r>
      <w:r>
        <w:t>The preferred alternatives also best meet the objectives of the Snapper Grouper FMP, as amended, while complying with the requirements of the Magnuson-Stevens Act Fishery Conservation and Management Act and other applicable law.</w:t>
      </w:r>
    </w:p>
    <w:p w14:paraId="38EC6DDD" w14:textId="77777777" w:rsidR="00CC6847" w:rsidRDefault="00CC6847" w:rsidP="00CC6847"/>
    <w:p w14:paraId="613F7CE4" w14:textId="44B1E9B8" w:rsidR="00CC6847" w:rsidRDefault="00CC6847" w:rsidP="00CC6847">
      <w:pPr>
        <w:pStyle w:val="Heading3"/>
      </w:pPr>
      <w:bookmarkStart w:id="332" w:name="_Toc336184428"/>
      <w:bookmarkStart w:id="333" w:name="_Toc339811790"/>
      <w:r>
        <w:t>5.3.6</w:t>
      </w:r>
      <w:r>
        <w:tab/>
        <w:t>How is this Action Addressing the Vision Blueprint for the Snapper Grouper Fishery?</w:t>
      </w:r>
      <w:bookmarkEnd w:id="332"/>
      <w:bookmarkEnd w:id="333"/>
    </w:p>
    <w:p w14:paraId="5BA72D37" w14:textId="77777777" w:rsidR="00CC6847" w:rsidRDefault="00CC6847" w:rsidP="00CC6847">
      <w:pPr>
        <w:ind w:firstLine="360"/>
      </w:pPr>
      <w:r>
        <w:t xml:space="preserve">The </w:t>
      </w:r>
      <w:r w:rsidRPr="000C459E">
        <w:t>Vision Blueprint for the Snapper Grouper Fishery</w:t>
      </w:r>
      <w:r>
        <w:t xml:space="preserve"> (Vision Blueprint) was approved in December 2015 and is intended to inform management of the snapper grouper fishery through 2020.  As such, the </w:t>
      </w:r>
      <w:r w:rsidRPr="000C459E">
        <w:t>Vision Blueprint</w:t>
      </w:r>
      <w:r>
        <w:t xml:space="preserve"> serves as a “living document” to help guide future management, builds on stakeholder input and how the South Atlantic Council envisions future management of the fishery, guides the development of new amendments that address priority objectives and strategies, and illustrates actions that could be developed through the regular amendment process.  The Vision Blueprint is organized into four strategic goal areas: (1) Science, (2) Management, (3) Communication, and (4) Governance.  </w:t>
      </w:r>
      <w:r w:rsidRPr="00AF6EE2">
        <w:t>Each goal area has a set of objectives, strategies, and actions.</w:t>
      </w:r>
    </w:p>
    <w:p w14:paraId="377E7085" w14:textId="77777777" w:rsidR="00CC6847" w:rsidRDefault="00CC6847" w:rsidP="00CC6847"/>
    <w:p w14:paraId="4AB91377" w14:textId="031AFCCC" w:rsidR="008942D1" w:rsidRDefault="00CC6847" w:rsidP="00CC6847">
      <w:pPr>
        <w:ind w:firstLine="360"/>
      </w:pPr>
      <w:r w:rsidRPr="007A2A5F">
        <w:rPr>
          <w:b/>
        </w:rPr>
        <w:t xml:space="preserve">Action </w:t>
      </w:r>
      <w:r>
        <w:rPr>
          <w:b/>
        </w:rPr>
        <w:t>3</w:t>
      </w:r>
      <w:r>
        <w:t xml:space="preserve"> to specify the annual catch limit and optimum yield for mutton snapper in the South Atlantic does not directly respond to objectives outlined in the Vision Blueprint; however, it addresses the broad Science goal to ensure that “</w:t>
      </w:r>
      <w:r w:rsidRPr="00372F56">
        <w:rPr>
          <w:i/>
        </w:rPr>
        <w:t>management decisions for the snapper grouper fishery are based upon robust, defensible science that considers qualitative and quantitative data analyzed in a timely, clear, and transparent manner that builds stakeholder confidence</w:t>
      </w:r>
      <w:r w:rsidRPr="00372F56">
        <w:t>.</w:t>
      </w:r>
      <w:r>
        <w:t xml:space="preserve">”  </w:t>
      </w:r>
      <w:r w:rsidRPr="00864BEA">
        <w:rPr>
          <w:b/>
        </w:rPr>
        <w:t xml:space="preserve">Action </w:t>
      </w:r>
      <w:r>
        <w:rPr>
          <w:b/>
        </w:rPr>
        <w:t>3</w:t>
      </w:r>
      <w:r>
        <w:t xml:space="preserve"> ensures that utilization of the mutton snapper resource can continue in a manner that responds to the best scientific information available, promotes achieving optimum yield, and addresses management uncertainty.</w:t>
      </w:r>
    </w:p>
    <w:p w14:paraId="77204E36" w14:textId="77777777" w:rsidR="008942D1" w:rsidRDefault="008942D1" w:rsidP="008942D1"/>
    <w:p w14:paraId="2D6569ED" w14:textId="77777777" w:rsidR="008942D1" w:rsidRDefault="008942D1" w:rsidP="008942D1"/>
    <w:p w14:paraId="269D69C3" w14:textId="7FEF2E4F" w:rsidR="008942D1" w:rsidRDefault="008942D1">
      <w:r>
        <w:br w:type="page"/>
      </w:r>
    </w:p>
    <w:p w14:paraId="15D0900D" w14:textId="4B8847F6" w:rsidR="008942D1" w:rsidRDefault="008942D1" w:rsidP="008942D1">
      <w:pPr>
        <w:pStyle w:val="Heading2"/>
      </w:pPr>
      <w:bookmarkStart w:id="334" w:name="_Toc339811791"/>
      <w:r>
        <w:rPr>
          <w:rStyle w:val="StyleHeading3CharTimesNewRoman12pt"/>
          <w:rFonts w:ascii="Arial" w:hAnsi="Arial"/>
          <w:b/>
          <w:sz w:val="28"/>
          <w:szCs w:val="28"/>
        </w:rPr>
        <w:lastRenderedPageBreak/>
        <w:t>5.4</w:t>
      </w:r>
      <w:r>
        <w:rPr>
          <w:rStyle w:val="StyleHeading3CharTimesNewRoman12pt"/>
          <w:rFonts w:ascii="Arial" w:hAnsi="Arial"/>
          <w:b/>
          <w:sz w:val="28"/>
          <w:szCs w:val="28"/>
        </w:rPr>
        <w:tab/>
      </w:r>
      <w:r w:rsidR="005027F6" w:rsidRPr="00464347">
        <w:rPr>
          <w:rStyle w:val="StyleHeading3CharTimesNewRoman12pt"/>
          <w:rFonts w:ascii="Arial" w:hAnsi="Arial"/>
          <w:b/>
          <w:sz w:val="28"/>
          <w:szCs w:val="28"/>
        </w:rPr>
        <w:t>Revise recreational annual catch target (ACT) for mutton snapper</w:t>
      </w:r>
      <w:r w:rsidR="00774344" w:rsidRPr="00464347">
        <w:rPr>
          <w:rStyle w:val="StyleHeading3CharTimesNewRoman12pt"/>
          <w:rFonts w:ascii="Arial" w:hAnsi="Arial"/>
          <w:b/>
          <w:sz w:val="28"/>
          <w:szCs w:val="28"/>
        </w:rPr>
        <w:t xml:space="preserve"> in the South Atlantic R</w:t>
      </w:r>
      <w:r w:rsidR="005027F6" w:rsidRPr="00464347">
        <w:rPr>
          <w:rStyle w:val="StyleHeading3CharTimesNewRoman12pt"/>
          <w:rFonts w:ascii="Arial" w:hAnsi="Arial"/>
          <w:b/>
          <w:sz w:val="28"/>
          <w:szCs w:val="28"/>
        </w:rPr>
        <w:t>egion</w:t>
      </w:r>
      <w:bookmarkEnd w:id="334"/>
    </w:p>
    <w:p w14:paraId="147083C8" w14:textId="0E198D9F" w:rsidR="00CF59B3" w:rsidRDefault="00CF59B3" w:rsidP="00985F97">
      <w:pPr>
        <w:ind w:firstLine="360"/>
      </w:pPr>
    </w:p>
    <w:p w14:paraId="18415B8F" w14:textId="1C4AA7EC" w:rsidR="008942D1" w:rsidRDefault="00340F89" w:rsidP="008942D1">
      <w:pPr>
        <w:pStyle w:val="Heading3"/>
        <w:rPr>
          <w:rStyle w:val="Heading4Char1"/>
          <w:rFonts w:ascii="Arial" w:hAnsi="Arial" w:cs="Arial"/>
          <w:bCs w:val="0"/>
          <w:sz w:val="24"/>
          <w:szCs w:val="24"/>
        </w:rPr>
      </w:pPr>
      <w:bookmarkStart w:id="335" w:name="_Toc339811792"/>
      <w:r w:rsidRPr="000E374B">
        <w:rPr>
          <w:noProof/>
          <w:color w:val="365F91" w:themeColor="accent1" w:themeShade="BF"/>
        </w:rPr>
        <mc:AlternateContent>
          <mc:Choice Requires="wps">
            <w:drawing>
              <wp:anchor distT="0" distB="0" distL="114300" distR="114300" simplePos="0" relativeHeight="251720192" behindDoc="0" locked="0" layoutInCell="1" allowOverlap="1" wp14:anchorId="7718CF2A" wp14:editId="0DD07493">
                <wp:simplePos x="0" y="0"/>
                <wp:positionH relativeFrom="margin">
                  <wp:posOffset>3075940</wp:posOffset>
                </wp:positionH>
                <wp:positionV relativeFrom="margin">
                  <wp:posOffset>866140</wp:posOffset>
                </wp:positionV>
                <wp:extent cx="2998470" cy="3775075"/>
                <wp:effectExtent l="25400" t="101600" r="125730" b="60325"/>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3775075"/>
                        </a:xfrm>
                        <a:prstGeom prst="rect">
                          <a:avLst/>
                        </a:prstGeom>
                        <a:solidFill>
                          <a:srgbClr val="FFFFFF"/>
                        </a:solidFill>
                        <a:ln w="9525">
                          <a:solidFill>
                            <a:schemeClr val="tx2">
                              <a:lumMod val="60000"/>
                              <a:lumOff val="40000"/>
                            </a:schemeClr>
                          </a:solidFill>
                          <a:miter lim="800000"/>
                          <a:headEnd/>
                          <a:tailEnd/>
                        </a:ln>
                        <a:effectLst>
                          <a:outerShdw blurRad="50800" dist="38100" dir="18900000" algn="bl" rotWithShape="0">
                            <a:prstClr val="black">
                              <a:alpha val="40000"/>
                            </a:prstClr>
                          </a:outerShdw>
                        </a:effectLst>
                      </wps:spPr>
                      <wps:txbx>
                        <w:txbxContent>
                          <w:p w14:paraId="70EE0FFA" w14:textId="77777777" w:rsidR="009108B8" w:rsidRPr="002B189D" w:rsidRDefault="009108B8" w:rsidP="00340F89">
                            <w:pPr>
                              <w:jc w:val="center"/>
                              <w:rPr>
                                <w:rFonts w:ascii="Arial" w:hAnsi="Arial" w:cs="Arial"/>
                                <w:b/>
                                <w:i/>
                                <w:iCs/>
                                <w:color w:val="365F91" w:themeColor="accent1" w:themeShade="BF"/>
                              </w:rPr>
                            </w:pPr>
                            <w:r w:rsidRPr="002B189D">
                              <w:rPr>
                                <w:rFonts w:ascii="Arial" w:hAnsi="Arial" w:cs="Arial"/>
                                <w:b/>
                                <w:i/>
                                <w:iCs/>
                                <w:color w:val="365F91" w:themeColor="accent1" w:themeShade="BF"/>
                              </w:rPr>
                              <w:t>Alternatives</w:t>
                            </w:r>
                            <w:r>
                              <w:rPr>
                                <w:rFonts w:ascii="Arial" w:hAnsi="Arial" w:cs="Arial"/>
                                <w:b/>
                                <w:i/>
                                <w:iCs/>
                                <w:color w:val="365F91" w:themeColor="accent1" w:themeShade="BF"/>
                              </w:rPr>
                              <w:t>*</w:t>
                            </w:r>
                          </w:p>
                          <w:p w14:paraId="77E7D4BD" w14:textId="77777777" w:rsidR="009108B8" w:rsidRPr="00873B9E" w:rsidRDefault="009108B8" w:rsidP="00340F89">
                            <w:pPr>
                              <w:jc w:val="center"/>
                              <w:rPr>
                                <w:rFonts w:ascii="Arial" w:hAnsi="Arial" w:cs="Arial"/>
                                <w:b/>
                                <w:i/>
                                <w:iCs/>
                                <w:color w:val="365F91" w:themeColor="accent1" w:themeShade="BF"/>
                                <w:sz w:val="20"/>
                                <w:szCs w:val="20"/>
                              </w:rPr>
                            </w:pPr>
                          </w:p>
                          <w:p w14:paraId="13D95EA8" w14:textId="77777777" w:rsidR="009108B8" w:rsidRPr="00873B9E" w:rsidRDefault="009108B8" w:rsidP="00340F89">
                            <w:pPr>
                              <w:pStyle w:val="Normal1"/>
                              <w:spacing w:line="240" w:lineRule="auto"/>
                              <w:contextualSpacing/>
                              <w:rPr>
                                <w:color w:val="1F497D" w:themeColor="text2"/>
                                <w:sz w:val="20"/>
                                <w:szCs w:val="20"/>
                              </w:rPr>
                            </w:pPr>
                            <w:r w:rsidRPr="00873B9E">
                              <w:rPr>
                                <w:color w:val="1F497D" w:themeColor="text2"/>
                                <w:sz w:val="20"/>
                                <w:szCs w:val="20"/>
                              </w:rPr>
                              <w:t xml:space="preserve">1 (No Action). </w:t>
                            </w:r>
                            <w:r>
                              <w:rPr>
                                <w:color w:val="1F497D" w:themeColor="text2"/>
                                <w:sz w:val="20"/>
                                <w:szCs w:val="20"/>
                              </w:rPr>
                              <w:t xml:space="preserve"> </w:t>
                            </w:r>
                            <w:r w:rsidRPr="00873B9E">
                              <w:rPr>
                                <w:color w:val="1F497D" w:themeColor="text2"/>
                                <w:sz w:val="20"/>
                                <w:szCs w:val="20"/>
                              </w:rPr>
                              <w:t xml:space="preserve">The current ACT is 668,906 lbs ww and applies to mutton snapper throughout the South Atlantic Council’s jurisdiction. </w:t>
                            </w:r>
                            <w:r>
                              <w:rPr>
                                <w:color w:val="1F497D" w:themeColor="text2"/>
                                <w:sz w:val="20"/>
                                <w:szCs w:val="20"/>
                              </w:rPr>
                              <w:t xml:space="preserve"> </w:t>
                            </w:r>
                            <w:r w:rsidRPr="00873B9E">
                              <w:rPr>
                                <w:color w:val="1F497D" w:themeColor="text2"/>
                                <w:sz w:val="20"/>
                                <w:szCs w:val="20"/>
                              </w:rPr>
                              <w:t>The ACT = recreational ACL*(1-PSE) or ACL*0.5, whichever is greater, and where Percent Standard Error (PSE) = 13% = average PSE 2005-2009 (for South Atlantic only).</w:t>
                            </w:r>
                          </w:p>
                          <w:p w14:paraId="15112096" w14:textId="77777777" w:rsidR="009108B8" w:rsidRPr="00873B9E" w:rsidRDefault="009108B8" w:rsidP="00340F89">
                            <w:pPr>
                              <w:contextualSpacing/>
                              <w:rPr>
                                <w:rFonts w:ascii="Arial" w:eastAsia="Courier New" w:hAnsi="Arial" w:cs="Arial"/>
                                <w:color w:val="1F497D" w:themeColor="text2"/>
                                <w:sz w:val="20"/>
                                <w:szCs w:val="20"/>
                              </w:rPr>
                            </w:pPr>
                          </w:p>
                          <w:p w14:paraId="4D1BCDE4" w14:textId="77777777" w:rsidR="009108B8" w:rsidRPr="00873B9E" w:rsidRDefault="009108B8" w:rsidP="00340F89">
                            <w:pPr>
                              <w:contextualSpacing/>
                              <w:rPr>
                                <w:rFonts w:ascii="Arial" w:eastAsia="Courier New" w:hAnsi="Arial" w:cs="Arial"/>
                                <w:b/>
                                <w:color w:val="1F497D" w:themeColor="text2"/>
                                <w:sz w:val="20"/>
                                <w:szCs w:val="20"/>
                              </w:rPr>
                            </w:pPr>
                            <w:r w:rsidRPr="00873B9E">
                              <w:rPr>
                                <w:rFonts w:ascii="Arial" w:hAnsi="Arial" w:cs="Arial"/>
                                <w:b/>
                                <w:color w:val="1F497D" w:themeColor="text2"/>
                                <w:sz w:val="20"/>
                                <w:szCs w:val="20"/>
                              </w:rPr>
                              <w:t xml:space="preserve">2. Revise the </w:t>
                            </w:r>
                            <w:r>
                              <w:rPr>
                                <w:rFonts w:ascii="Arial" w:hAnsi="Arial" w:cs="Arial"/>
                                <w:b/>
                                <w:color w:val="1F497D" w:themeColor="text2"/>
                                <w:sz w:val="20"/>
                                <w:szCs w:val="20"/>
                              </w:rPr>
                              <w:t>ACT</w:t>
                            </w:r>
                            <w:r w:rsidRPr="00873B9E">
                              <w:rPr>
                                <w:rFonts w:ascii="Arial" w:hAnsi="Arial" w:cs="Arial"/>
                                <w:b/>
                                <w:color w:val="1F497D" w:themeColor="text2"/>
                                <w:sz w:val="20"/>
                                <w:szCs w:val="20"/>
                              </w:rPr>
                              <w:t xml:space="preserve"> for mutton snapper for the recreational sector and specify in numbers of fish. </w:t>
                            </w:r>
                            <w:r>
                              <w:rPr>
                                <w:rFonts w:ascii="Arial" w:hAnsi="Arial" w:cs="Arial"/>
                                <w:b/>
                                <w:color w:val="1F497D" w:themeColor="text2"/>
                                <w:sz w:val="20"/>
                                <w:szCs w:val="20"/>
                              </w:rPr>
                              <w:t xml:space="preserve"> </w:t>
                            </w:r>
                            <w:r w:rsidRPr="00873B9E">
                              <w:rPr>
                                <w:rFonts w:ascii="Arial" w:hAnsi="Arial" w:cs="Arial"/>
                                <w:b/>
                                <w:color w:val="1F497D" w:themeColor="text2"/>
                                <w:sz w:val="20"/>
                                <w:szCs w:val="20"/>
                              </w:rPr>
                              <w:t>The ACT for 2020 would remain in place until modified.</w:t>
                            </w:r>
                          </w:p>
                          <w:p w14:paraId="3EB694E5" w14:textId="77777777" w:rsidR="009108B8" w:rsidRPr="00873B9E" w:rsidRDefault="009108B8" w:rsidP="00340F89">
                            <w:pPr>
                              <w:ind w:left="540"/>
                              <w:contextualSpacing/>
                              <w:rPr>
                                <w:rFonts w:ascii="Arial" w:eastAsia="Courier New" w:hAnsi="Arial" w:cs="Arial"/>
                                <w:color w:val="1F497D" w:themeColor="text2"/>
                                <w:sz w:val="20"/>
                                <w:szCs w:val="20"/>
                              </w:rPr>
                            </w:pPr>
                            <w:r w:rsidRPr="00873B9E">
                              <w:rPr>
                                <w:rFonts w:ascii="Arial" w:eastAsia="Courier New" w:hAnsi="Arial" w:cs="Arial"/>
                                <w:color w:val="1F497D" w:themeColor="text2"/>
                                <w:sz w:val="20"/>
                                <w:szCs w:val="20"/>
                              </w:rPr>
                              <w:t>Sub-alternative 2a.  ACT = recreational ACL*(1-PSE) or ACL*0.5, whichever is greater.</w:t>
                            </w:r>
                          </w:p>
                          <w:p w14:paraId="7D7AF2B3" w14:textId="77777777" w:rsidR="009108B8" w:rsidRPr="00873B9E" w:rsidRDefault="009108B8" w:rsidP="00340F89">
                            <w:pPr>
                              <w:ind w:left="540"/>
                              <w:contextualSpacing/>
                              <w:rPr>
                                <w:rFonts w:ascii="Arial" w:eastAsia="Courier New" w:hAnsi="Arial" w:cs="Arial"/>
                                <w:b/>
                                <w:color w:val="1F497D" w:themeColor="text2"/>
                                <w:sz w:val="20"/>
                                <w:szCs w:val="20"/>
                              </w:rPr>
                            </w:pPr>
                            <w:r w:rsidRPr="00873B9E">
                              <w:rPr>
                                <w:rFonts w:ascii="Arial" w:eastAsia="Courier New" w:hAnsi="Arial" w:cs="Arial"/>
                                <w:b/>
                                <w:color w:val="1F497D" w:themeColor="text2"/>
                                <w:sz w:val="20"/>
                                <w:szCs w:val="20"/>
                              </w:rPr>
                              <w:t>Sub-alternative 2b.</w:t>
                            </w:r>
                            <w:r>
                              <w:rPr>
                                <w:rFonts w:ascii="Arial" w:eastAsia="Courier New" w:hAnsi="Arial" w:cs="Arial"/>
                                <w:b/>
                                <w:color w:val="1F497D" w:themeColor="text2"/>
                                <w:sz w:val="20"/>
                                <w:szCs w:val="20"/>
                              </w:rPr>
                              <w:t xml:space="preserve"> </w:t>
                            </w:r>
                            <w:r w:rsidRPr="00873B9E">
                              <w:rPr>
                                <w:rFonts w:ascii="Arial" w:eastAsia="Courier New" w:hAnsi="Arial" w:cs="Arial"/>
                                <w:b/>
                                <w:color w:val="1F497D" w:themeColor="text2"/>
                                <w:sz w:val="20"/>
                                <w:szCs w:val="20"/>
                              </w:rPr>
                              <w:t xml:space="preserve"> ACT =85% recreational ACL.</w:t>
                            </w:r>
                          </w:p>
                          <w:p w14:paraId="70BDB13D" w14:textId="77777777" w:rsidR="009108B8" w:rsidRPr="00873B9E" w:rsidRDefault="009108B8" w:rsidP="00340F89">
                            <w:pPr>
                              <w:ind w:left="540"/>
                              <w:contextualSpacing/>
                              <w:rPr>
                                <w:rFonts w:ascii="Arial" w:eastAsia="Courier New" w:hAnsi="Arial" w:cs="Arial"/>
                                <w:color w:val="1F497D" w:themeColor="text2"/>
                                <w:sz w:val="20"/>
                                <w:szCs w:val="20"/>
                              </w:rPr>
                            </w:pPr>
                            <w:r w:rsidRPr="00873B9E">
                              <w:rPr>
                                <w:rFonts w:ascii="Arial" w:eastAsia="Courier New" w:hAnsi="Arial" w:cs="Arial"/>
                                <w:color w:val="1F497D" w:themeColor="text2"/>
                                <w:sz w:val="20"/>
                                <w:szCs w:val="20"/>
                              </w:rPr>
                              <w:t xml:space="preserve">Sub-alternative 2c. </w:t>
                            </w:r>
                            <w:r>
                              <w:rPr>
                                <w:rFonts w:ascii="Arial" w:eastAsia="Courier New" w:hAnsi="Arial" w:cs="Arial"/>
                                <w:color w:val="1F497D" w:themeColor="text2"/>
                                <w:sz w:val="20"/>
                                <w:szCs w:val="20"/>
                              </w:rPr>
                              <w:t xml:space="preserve"> </w:t>
                            </w:r>
                            <w:r w:rsidRPr="00873B9E">
                              <w:rPr>
                                <w:rFonts w:ascii="Arial" w:eastAsia="Courier New" w:hAnsi="Arial" w:cs="Arial"/>
                                <w:color w:val="1F497D" w:themeColor="text2"/>
                                <w:sz w:val="20"/>
                                <w:szCs w:val="20"/>
                              </w:rPr>
                              <w:t>ACT = 75% recreational ACL.</w:t>
                            </w:r>
                          </w:p>
                          <w:p w14:paraId="384566E0" w14:textId="77777777" w:rsidR="009108B8" w:rsidRPr="000E374B" w:rsidRDefault="009108B8" w:rsidP="00340F89">
                            <w:pPr>
                              <w:ind w:left="540"/>
                              <w:contextualSpacing/>
                              <w:rPr>
                                <w:rFonts w:ascii="Arial" w:eastAsia="Courier New" w:hAnsi="Arial" w:cs="Arial"/>
                                <w:b/>
                                <w:color w:val="1F497D" w:themeColor="text2"/>
                                <w:sz w:val="22"/>
                                <w:szCs w:val="22"/>
                              </w:rPr>
                            </w:pPr>
                          </w:p>
                          <w:p w14:paraId="598860A3" w14:textId="77777777" w:rsidR="009108B8" w:rsidRPr="00E03046" w:rsidRDefault="009108B8" w:rsidP="00340F89">
                            <w:pPr>
                              <w:rPr>
                                <w:rFonts w:ascii="Arial" w:hAnsi="Arial" w:cs="Arial"/>
                                <w:color w:val="1F497D" w:themeColor="text2"/>
                                <w:sz w:val="20"/>
                                <w:szCs w:val="20"/>
                              </w:rPr>
                            </w:pPr>
                            <w:r w:rsidRPr="00E03046">
                              <w:rPr>
                                <w:rFonts w:ascii="Arial" w:hAnsi="Arial" w:cs="Arial"/>
                                <w:color w:val="1F497D" w:themeColor="text2"/>
                                <w:sz w:val="20"/>
                                <w:szCs w:val="20"/>
                              </w:rPr>
                              <w:t>*</w:t>
                            </w:r>
                            <w:r w:rsidRPr="002B189D">
                              <w:rPr>
                                <w:rFonts w:ascii="Arial" w:eastAsiaTheme="minorHAnsi" w:hAnsi="Arial" w:cs="Arial"/>
                                <w:color w:val="1F497D" w:themeColor="text2"/>
                                <w:sz w:val="20"/>
                                <w:szCs w:val="20"/>
                              </w:rPr>
                              <w:t xml:space="preserve"> </w:t>
                            </w:r>
                            <w:r>
                              <w:rPr>
                                <w:rFonts w:ascii="Arial" w:eastAsiaTheme="minorHAnsi" w:hAnsi="Arial" w:cs="Arial"/>
                                <w:color w:val="1F497D" w:themeColor="text2"/>
                                <w:sz w:val="20"/>
                                <w:szCs w:val="20"/>
                              </w:rPr>
                              <w:t xml:space="preserve">Preferred indicated in bold.  </w:t>
                            </w:r>
                            <w:r w:rsidRPr="00E03046">
                              <w:rPr>
                                <w:rFonts w:ascii="Arial" w:hAnsi="Arial" w:cs="Arial"/>
                                <w:color w:val="1F497D" w:themeColor="text2"/>
                                <w:sz w:val="20"/>
                                <w:szCs w:val="20"/>
                              </w:rPr>
                              <w:t>Refer to Chapter 2 for detailed language of alternatives</w:t>
                            </w:r>
                          </w:p>
                          <w:p w14:paraId="5FF02F12" w14:textId="77777777" w:rsidR="009108B8" w:rsidRDefault="009108B8" w:rsidP="00340F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42.2pt;margin-top:68.2pt;width:236.1pt;height:297.2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" strokecolor="#548dd4 [1951]">
                <v:shadow on="t" opacity="26214f" mv:blur="50800f" origin="-.5,.5" offset="26941emu,-26941emu"/>
                <v:textbox>
                  <w:txbxContent>
                    <w:p w14:paraId="70EE0FFA" w14:textId="77777777" w:rsidR="009108B8" w:rsidRPr="002B189D" w:rsidRDefault="009108B8" w:rsidP="00340F89">
                      <w:pPr>
                        <w:jc w:val="center"/>
                        <w:rPr>
                          <w:rFonts w:ascii="Arial" w:hAnsi="Arial" w:cs="Arial"/>
                          <w:b/>
                          <w:i/>
                          <w:iCs/>
                          <w:color w:val="365F91" w:themeColor="accent1" w:themeShade="BF"/>
                        </w:rPr>
                      </w:pPr>
                      <w:r w:rsidRPr="002B189D">
                        <w:rPr>
                          <w:rFonts w:ascii="Arial" w:hAnsi="Arial" w:cs="Arial"/>
                          <w:b/>
                          <w:i/>
                          <w:iCs/>
                          <w:color w:val="365F91" w:themeColor="accent1" w:themeShade="BF"/>
                        </w:rPr>
                        <w:t>Alternatives</w:t>
                      </w:r>
                      <w:r>
                        <w:rPr>
                          <w:rFonts w:ascii="Arial" w:hAnsi="Arial" w:cs="Arial"/>
                          <w:b/>
                          <w:i/>
                          <w:iCs/>
                          <w:color w:val="365F91" w:themeColor="accent1" w:themeShade="BF"/>
                        </w:rPr>
                        <w:t>*</w:t>
                      </w:r>
                    </w:p>
                    <w:p w14:paraId="77E7D4BD" w14:textId="77777777" w:rsidR="009108B8" w:rsidRPr="00873B9E" w:rsidRDefault="009108B8" w:rsidP="00340F89">
                      <w:pPr>
                        <w:jc w:val="center"/>
                        <w:rPr>
                          <w:rFonts w:ascii="Arial" w:hAnsi="Arial" w:cs="Arial"/>
                          <w:b/>
                          <w:i/>
                          <w:iCs/>
                          <w:color w:val="365F91" w:themeColor="accent1" w:themeShade="BF"/>
                          <w:sz w:val="20"/>
                          <w:szCs w:val="20"/>
                        </w:rPr>
                      </w:pPr>
                    </w:p>
                    <w:p w14:paraId="13D95EA8" w14:textId="77777777" w:rsidR="009108B8" w:rsidRPr="00873B9E" w:rsidRDefault="009108B8" w:rsidP="00340F89">
                      <w:pPr>
                        <w:pStyle w:val="Normal1"/>
                        <w:spacing w:line="240" w:lineRule="auto"/>
                        <w:contextualSpacing/>
                        <w:rPr>
                          <w:color w:val="1F497D" w:themeColor="text2"/>
                          <w:sz w:val="20"/>
                          <w:szCs w:val="20"/>
                        </w:rPr>
                      </w:pPr>
                      <w:r w:rsidRPr="00873B9E">
                        <w:rPr>
                          <w:color w:val="1F497D" w:themeColor="text2"/>
                          <w:sz w:val="20"/>
                          <w:szCs w:val="20"/>
                        </w:rPr>
                        <w:t xml:space="preserve">1 (No Action). </w:t>
                      </w:r>
                      <w:r>
                        <w:rPr>
                          <w:color w:val="1F497D" w:themeColor="text2"/>
                          <w:sz w:val="20"/>
                          <w:szCs w:val="20"/>
                        </w:rPr>
                        <w:t xml:space="preserve"> </w:t>
                      </w:r>
                      <w:r w:rsidRPr="00873B9E">
                        <w:rPr>
                          <w:color w:val="1F497D" w:themeColor="text2"/>
                          <w:sz w:val="20"/>
                          <w:szCs w:val="20"/>
                        </w:rPr>
                        <w:t xml:space="preserve">The current ACT is 668,906 lbs ww and applies to mutton snapper throughout the South Atlantic Council’s jurisdiction. </w:t>
                      </w:r>
                      <w:r>
                        <w:rPr>
                          <w:color w:val="1F497D" w:themeColor="text2"/>
                          <w:sz w:val="20"/>
                          <w:szCs w:val="20"/>
                        </w:rPr>
                        <w:t xml:space="preserve"> </w:t>
                      </w:r>
                      <w:r w:rsidRPr="00873B9E">
                        <w:rPr>
                          <w:color w:val="1F497D" w:themeColor="text2"/>
                          <w:sz w:val="20"/>
                          <w:szCs w:val="20"/>
                        </w:rPr>
                        <w:t>The ACT = recreational ACL*(1-PSE) or ACL*0.5, whichever is greater, and where Percent Standard Error (PSE) = 13% = average PSE 2005-2009 (for South Atlantic only).</w:t>
                      </w:r>
                    </w:p>
                    <w:p w14:paraId="15112096" w14:textId="77777777" w:rsidR="009108B8" w:rsidRPr="00873B9E" w:rsidRDefault="009108B8" w:rsidP="00340F89">
                      <w:pPr>
                        <w:contextualSpacing/>
                        <w:rPr>
                          <w:rFonts w:ascii="Arial" w:eastAsia="Courier New" w:hAnsi="Arial" w:cs="Arial"/>
                          <w:color w:val="1F497D" w:themeColor="text2"/>
                          <w:sz w:val="20"/>
                          <w:szCs w:val="20"/>
                        </w:rPr>
                      </w:pPr>
                    </w:p>
                    <w:p w14:paraId="4D1BCDE4" w14:textId="77777777" w:rsidR="009108B8" w:rsidRPr="00873B9E" w:rsidRDefault="009108B8" w:rsidP="00340F89">
                      <w:pPr>
                        <w:contextualSpacing/>
                        <w:rPr>
                          <w:rFonts w:ascii="Arial" w:eastAsia="Courier New" w:hAnsi="Arial" w:cs="Arial"/>
                          <w:b/>
                          <w:color w:val="1F497D" w:themeColor="text2"/>
                          <w:sz w:val="20"/>
                          <w:szCs w:val="20"/>
                        </w:rPr>
                      </w:pPr>
                      <w:r w:rsidRPr="00873B9E">
                        <w:rPr>
                          <w:rFonts w:ascii="Arial" w:hAnsi="Arial" w:cs="Arial"/>
                          <w:b/>
                          <w:color w:val="1F497D" w:themeColor="text2"/>
                          <w:sz w:val="20"/>
                          <w:szCs w:val="20"/>
                        </w:rPr>
                        <w:t xml:space="preserve">2. Revise the </w:t>
                      </w:r>
                      <w:r>
                        <w:rPr>
                          <w:rFonts w:ascii="Arial" w:hAnsi="Arial" w:cs="Arial"/>
                          <w:b/>
                          <w:color w:val="1F497D" w:themeColor="text2"/>
                          <w:sz w:val="20"/>
                          <w:szCs w:val="20"/>
                        </w:rPr>
                        <w:t>ACT</w:t>
                      </w:r>
                      <w:r w:rsidRPr="00873B9E">
                        <w:rPr>
                          <w:rFonts w:ascii="Arial" w:hAnsi="Arial" w:cs="Arial"/>
                          <w:b/>
                          <w:color w:val="1F497D" w:themeColor="text2"/>
                          <w:sz w:val="20"/>
                          <w:szCs w:val="20"/>
                        </w:rPr>
                        <w:t xml:space="preserve"> for mutton snapper for the recreational sector and specify in numbers of fish. </w:t>
                      </w:r>
                      <w:r>
                        <w:rPr>
                          <w:rFonts w:ascii="Arial" w:hAnsi="Arial" w:cs="Arial"/>
                          <w:b/>
                          <w:color w:val="1F497D" w:themeColor="text2"/>
                          <w:sz w:val="20"/>
                          <w:szCs w:val="20"/>
                        </w:rPr>
                        <w:t xml:space="preserve"> </w:t>
                      </w:r>
                      <w:r w:rsidRPr="00873B9E">
                        <w:rPr>
                          <w:rFonts w:ascii="Arial" w:hAnsi="Arial" w:cs="Arial"/>
                          <w:b/>
                          <w:color w:val="1F497D" w:themeColor="text2"/>
                          <w:sz w:val="20"/>
                          <w:szCs w:val="20"/>
                        </w:rPr>
                        <w:t>The ACT for 2020 would remain in place until modified.</w:t>
                      </w:r>
                    </w:p>
                    <w:p w14:paraId="3EB694E5" w14:textId="77777777" w:rsidR="009108B8" w:rsidRPr="00873B9E" w:rsidRDefault="009108B8" w:rsidP="00340F89">
                      <w:pPr>
                        <w:ind w:left="540"/>
                        <w:contextualSpacing/>
                        <w:rPr>
                          <w:rFonts w:ascii="Arial" w:eastAsia="Courier New" w:hAnsi="Arial" w:cs="Arial"/>
                          <w:color w:val="1F497D" w:themeColor="text2"/>
                          <w:sz w:val="20"/>
                          <w:szCs w:val="20"/>
                        </w:rPr>
                      </w:pPr>
                      <w:r w:rsidRPr="00873B9E">
                        <w:rPr>
                          <w:rFonts w:ascii="Arial" w:eastAsia="Courier New" w:hAnsi="Arial" w:cs="Arial"/>
                          <w:color w:val="1F497D" w:themeColor="text2"/>
                          <w:sz w:val="20"/>
                          <w:szCs w:val="20"/>
                        </w:rPr>
                        <w:t>Sub-alternative 2a.  ACT = recreational ACL*(1-PSE) or ACL*0.5, whichever is greater.</w:t>
                      </w:r>
                    </w:p>
                    <w:p w14:paraId="7D7AF2B3" w14:textId="77777777" w:rsidR="009108B8" w:rsidRPr="00873B9E" w:rsidRDefault="009108B8" w:rsidP="00340F89">
                      <w:pPr>
                        <w:ind w:left="540"/>
                        <w:contextualSpacing/>
                        <w:rPr>
                          <w:rFonts w:ascii="Arial" w:eastAsia="Courier New" w:hAnsi="Arial" w:cs="Arial"/>
                          <w:b/>
                          <w:color w:val="1F497D" w:themeColor="text2"/>
                          <w:sz w:val="20"/>
                          <w:szCs w:val="20"/>
                        </w:rPr>
                      </w:pPr>
                      <w:r w:rsidRPr="00873B9E">
                        <w:rPr>
                          <w:rFonts w:ascii="Arial" w:eastAsia="Courier New" w:hAnsi="Arial" w:cs="Arial"/>
                          <w:b/>
                          <w:color w:val="1F497D" w:themeColor="text2"/>
                          <w:sz w:val="20"/>
                          <w:szCs w:val="20"/>
                        </w:rPr>
                        <w:t>Sub-alternative 2b.</w:t>
                      </w:r>
                      <w:r>
                        <w:rPr>
                          <w:rFonts w:ascii="Arial" w:eastAsia="Courier New" w:hAnsi="Arial" w:cs="Arial"/>
                          <w:b/>
                          <w:color w:val="1F497D" w:themeColor="text2"/>
                          <w:sz w:val="20"/>
                          <w:szCs w:val="20"/>
                        </w:rPr>
                        <w:t xml:space="preserve"> </w:t>
                      </w:r>
                      <w:r w:rsidRPr="00873B9E">
                        <w:rPr>
                          <w:rFonts w:ascii="Arial" w:eastAsia="Courier New" w:hAnsi="Arial" w:cs="Arial"/>
                          <w:b/>
                          <w:color w:val="1F497D" w:themeColor="text2"/>
                          <w:sz w:val="20"/>
                          <w:szCs w:val="20"/>
                        </w:rPr>
                        <w:t xml:space="preserve"> ACT =85% recreational ACL.</w:t>
                      </w:r>
                    </w:p>
                    <w:p w14:paraId="70BDB13D" w14:textId="77777777" w:rsidR="009108B8" w:rsidRPr="00873B9E" w:rsidRDefault="009108B8" w:rsidP="00340F89">
                      <w:pPr>
                        <w:ind w:left="540"/>
                        <w:contextualSpacing/>
                        <w:rPr>
                          <w:rFonts w:ascii="Arial" w:eastAsia="Courier New" w:hAnsi="Arial" w:cs="Arial"/>
                          <w:color w:val="1F497D" w:themeColor="text2"/>
                          <w:sz w:val="20"/>
                          <w:szCs w:val="20"/>
                        </w:rPr>
                      </w:pPr>
                      <w:r w:rsidRPr="00873B9E">
                        <w:rPr>
                          <w:rFonts w:ascii="Arial" w:eastAsia="Courier New" w:hAnsi="Arial" w:cs="Arial"/>
                          <w:color w:val="1F497D" w:themeColor="text2"/>
                          <w:sz w:val="20"/>
                          <w:szCs w:val="20"/>
                        </w:rPr>
                        <w:t xml:space="preserve">Sub-alternative 2c. </w:t>
                      </w:r>
                      <w:r>
                        <w:rPr>
                          <w:rFonts w:ascii="Arial" w:eastAsia="Courier New" w:hAnsi="Arial" w:cs="Arial"/>
                          <w:color w:val="1F497D" w:themeColor="text2"/>
                          <w:sz w:val="20"/>
                          <w:szCs w:val="20"/>
                        </w:rPr>
                        <w:t xml:space="preserve"> </w:t>
                      </w:r>
                      <w:r w:rsidRPr="00873B9E">
                        <w:rPr>
                          <w:rFonts w:ascii="Arial" w:eastAsia="Courier New" w:hAnsi="Arial" w:cs="Arial"/>
                          <w:color w:val="1F497D" w:themeColor="text2"/>
                          <w:sz w:val="20"/>
                          <w:szCs w:val="20"/>
                        </w:rPr>
                        <w:t>ACT = 75% recreational ACL.</w:t>
                      </w:r>
                    </w:p>
                    <w:p w14:paraId="384566E0" w14:textId="77777777" w:rsidR="009108B8" w:rsidRPr="000E374B" w:rsidRDefault="009108B8" w:rsidP="00340F89">
                      <w:pPr>
                        <w:ind w:left="540"/>
                        <w:contextualSpacing/>
                        <w:rPr>
                          <w:rFonts w:ascii="Arial" w:eastAsia="Courier New" w:hAnsi="Arial" w:cs="Arial"/>
                          <w:b/>
                          <w:color w:val="1F497D" w:themeColor="text2"/>
                          <w:sz w:val="22"/>
                          <w:szCs w:val="22"/>
                        </w:rPr>
                      </w:pPr>
                    </w:p>
                    <w:p w14:paraId="598860A3" w14:textId="77777777" w:rsidR="009108B8" w:rsidRPr="00E03046" w:rsidRDefault="009108B8" w:rsidP="00340F89">
                      <w:pPr>
                        <w:rPr>
                          <w:rFonts w:ascii="Arial" w:hAnsi="Arial" w:cs="Arial"/>
                          <w:color w:val="1F497D" w:themeColor="text2"/>
                          <w:sz w:val="20"/>
                          <w:szCs w:val="20"/>
                        </w:rPr>
                      </w:pPr>
                      <w:r w:rsidRPr="00E03046">
                        <w:rPr>
                          <w:rFonts w:ascii="Arial" w:hAnsi="Arial" w:cs="Arial"/>
                          <w:color w:val="1F497D" w:themeColor="text2"/>
                          <w:sz w:val="20"/>
                          <w:szCs w:val="20"/>
                        </w:rPr>
                        <w:t>*</w:t>
                      </w:r>
                      <w:r w:rsidRPr="002B189D">
                        <w:rPr>
                          <w:rFonts w:ascii="Arial" w:eastAsiaTheme="minorHAnsi" w:hAnsi="Arial" w:cs="Arial"/>
                          <w:color w:val="1F497D" w:themeColor="text2"/>
                          <w:sz w:val="20"/>
                          <w:szCs w:val="20"/>
                        </w:rPr>
                        <w:t xml:space="preserve"> </w:t>
                      </w:r>
                      <w:r>
                        <w:rPr>
                          <w:rFonts w:ascii="Arial" w:eastAsiaTheme="minorHAnsi" w:hAnsi="Arial" w:cs="Arial"/>
                          <w:color w:val="1F497D" w:themeColor="text2"/>
                          <w:sz w:val="20"/>
                          <w:szCs w:val="20"/>
                        </w:rPr>
                        <w:t xml:space="preserve">Preferred indicated in bold.  </w:t>
                      </w:r>
                      <w:r w:rsidRPr="00E03046">
                        <w:rPr>
                          <w:rFonts w:ascii="Arial" w:hAnsi="Arial" w:cs="Arial"/>
                          <w:color w:val="1F497D" w:themeColor="text2"/>
                          <w:sz w:val="20"/>
                          <w:szCs w:val="20"/>
                        </w:rPr>
                        <w:t>Refer to Chapter 2 for detailed language of alternatives</w:t>
                      </w:r>
                    </w:p>
                    <w:p w14:paraId="5FF02F12" w14:textId="77777777" w:rsidR="009108B8" w:rsidRDefault="009108B8" w:rsidP="00340F89"/>
                  </w:txbxContent>
                </v:textbox>
                <w10:wrap type="square" anchorx="margin" anchory="margin"/>
              </v:shape>
            </w:pict>
          </mc:Fallback>
        </mc:AlternateContent>
      </w:r>
      <w:r w:rsidR="008942D1">
        <w:rPr>
          <w:rStyle w:val="Heading4Char1"/>
          <w:rFonts w:ascii="Arial" w:hAnsi="Arial" w:cs="Arial"/>
          <w:bCs w:val="0"/>
          <w:sz w:val="24"/>
          <w:szCs w:val="24"/>
        </w:rPr>
        <w:t>5.4</w:t>
      </w:r>
      <w:r w:rsidR="008942D1" w:rsidRPr="005B5A20">
        <w:rPr>
          <w:rStyle w:val="Heading4Char1"/>
          <w:rFonts w:ascii="Arial" w:hAnsi="Arial" w:cs="Arial"/>
          <w:bCs w:val="0"/>
          <w:sz w:val="24"/>
          <w:szCs w:val="24"/>
        </w:rPr>
        <w:t>.1</w:t>
      </w:r>
      <w:r w:rsidR="008942D1" w:rsidRPr="005B5A20">
        <w:rPr>
          <w:rStyle w:val="Heading4Char1"/>
          <w:rFonts w:ascii="Arial" w:hAnsi="Arial" w:cs="Arial"/>
          <w:bCs w:val="0"/>
          <w:sz w:val="24"/>
          <w:szCs w:val="24"/>
        </w:rPr>
        <w:tab/>
      </w:r>
      <w:r w:rsidR="008942D1">
        <w:rPr>
          <w:rStyle w:val="Heading4Char1"/>
          <w:rFonts w:ascii="Arial" w:hAnsi="Arial" w:cs="Arial"/>
          <w:bCs w:val="0"/>
          <w:sz w:val="24"/>
          <w:szCs w:val="24"/>
        </w:rPr>
        <w:t>Snapper Grouper AP</w:t>
      </w:r>
      <w:r w:rsidR="008942D1" w:rsidRPr="005B5A20">
        <w:rPr>
          <w:rStyle w:val="Heading4Char1"/>
          <w:rFonts w:ascii="Arial" w:hAnsi="Arial" w:cs="Arial"/>
          <w:bCs w:val="0"/>
          <w:sz w:val="24"/>
          <w:szCs w:val="24"/>
        </w:rPr>
        <w:t xml:space="preserve"> Comments and Recommendations</w:t>
      </w:r>
      <w:bookmarkEnd w:id="335"/>
    </w:p>
    <w:p w14:paraId="06414B7C" w14:textId="1FDB80FC" w:rsidR="00D96DA5" w:rsidRPr="00CE4B96" w:rsidRDefault="00D96DA5" w:rsidP="00D96DA5">
      <w:pPr>
        <w:ind w:firstLine="360"/>
      </w:pPr>
      <w:r w:rsidRPr="00B27D30">
        <w:t>The Snapper Grouper AP discussed Amendment 41 during their April 26-</w:t>
      </w:r>
      <w:r w:rsidR="00B77366">
        <w:t>27,</w:t>
      </w:r>
      <w:r w:rsidRPr="00B27D30">
        <w:t xml:space="preserve"> 2016 meeting.  At that time, actions in Amendment 41 were numbered differently and revisions have been made to the language of actions and alternatives in the amendment. </w:t>
      </w:r>
      <w:r>
        <w:t xml:space="preserve"> </w:t>
      </w:r>
      <w:r w:rsidRPr="00B27D30">
        <w:t xml:space="preserve">Hence, the AP’s motions may not reflect the chronology of actions/alternatives or the current language.  </w:t>
      </w:r>
      <w:r>
        <w:t>The Snapper Grouper AP had no comments or recommendations regarding revising of the recreational annual catch target for mutton snapper in the South Atlantic.</w:t>
      </w:r>
    </w:p>
    <w:p w14:paraId="1E6233E0" w14:textId="77777777" w:rsidR="008942D1" w:rsidRPr="00D92EC7" w:rsidRDefault="008942D1" w:rsidP="008942D1"/>
    <w:p w14:paraId="386CD152" w14:textId="4AD02720" w:rsidR="008942D1" w:rsidRDefault="008942D1" w:rsidP="008942D1">
      <w:pPr>
        <w:pStyle w:val="Heading3"/>
        <w:rPr>
          <w:rStyle w:val="Heading4Char1"/>
          <w:rFonts w:ascii="Arial" w:hAnsi="Arial" w:cs="Arial"/>
          <w:bCs w:val="0"/>
          <w:sz w:val="24"/>
          <w:szCs w:val="24"/>
        </w:rPr>
      </w:pPr>
      <w:bookmarkStart w:id="336" w:name="_Toc339811793"/>
      <w:r>
        <w:rPr>
          <w:rStyle w:val="Heading4Char1"/>
          <w:rFonts w:ascii="Arial" w:hAnsi="Arial" w:cs="Arial"/>
          <w:bCs w:val="0"/>
          <w:sz w:val="24"/>
          <w:szCs w:val="24"/>
        </w:rPr>
        <w:t>5.4</w:t>
      </w:r>
      <w:r w:rsidRPr="005B5A20">
        <w:rPr>
          <w:rStyle w:val="Heading4Char1"/>
          <w:rFonts w:ascii="Arial" w:hAnsi="Arial" w:cs="Arial"/>
          <w:bCs w:val="0"/>
          <w:sz w:val="24"/>
          <w:szCs w:val="24"/>
        </w:rPr>
        <w:t>.</w:t>
      </w:r>
      <w:r>
        <w:rPr>
          <w:rStyle w:val="Heading4Char1"/>
          <w:rFonts w:ascii="Arial" w:hAnsi="Arial" w:cs="Arial"/>
          <w:bCs w:val="0"/>
          <w:sz w:val="24"/>
          <w:szCs w:val="24"/>
        </w:rPr>
        <w:t>2</w:t>
      </w:r>
      <w:r w:rsidRPr="005B5A20">
        <w:rPr>
          <w:rStyle w:val="Heading4Char1"/>
          <w:rFonts w:ascii="Arial" w:hAnsi="Arial" w:cs="Arial"/>
          <w:bCs w:val="0"/>
          <w:sz w:val="24"/>
          <w:szCs w:val="24"/>
        </w:rPr>
        <w:tab/>
      </w:r>
      <w:r>
        <w:rPr>
          <w:rStyle w:val="Heading4Char1"/>
          <w:rFonts w:ascii="Arial" w:hAnsi="Arial" w:cs="Arial"/>
          <w:bCs w:val="0"/>
          <w:sz w:val="24"/>
          <w:szCs w:val="24"/>
        </w:rPr>
        <w:t>Law Enforcement AP</w:t>
      </w:r>
      <w:r w:rsidRPr="005B5A20">
        <w:rPr>
          <w:rStyle w:val="Heading4Char1"/>
          <w:rFonts w:ascii="Arial" w:hAnsi="Arial" w:cs="Arial"/>
          <w:bCs w:val="0"/>
          <w:sz w:val="24"/>
          <w:szCs w:val="24"/>
        </w:rPr>
        <w:t xml:space="preserve"> Comments and Recommendations</w:t>
      </w:r>
      <w:bookmarkEnd w:id="336"/>
    </w:p>
    <w:p w14:paraId="07DCBE92" w14:textId="77777777" w:rsidR="00D96DA5" w:rsidRPr="008B07B5" w:rsidRDefault="00D96DA5" w:rsidP="00D96DA5">
      <w:pPr>
        <w:ind w:firstLine="360"/>
      </w:pPr>
      <w:r w:rsidRPr="008B07B5">
        <w:t xml:space="preserve">The </w:t>
      </w:r>
      <w:r>
        <w:t>Law Enforcement AP received a briefing on Amendment 41 during their March 7-8, 2016 meeting.  The Law Enforcement AP had no comments or recommendations.</w:t>
      </w:r>
    </w:p>
    <w:p w14:paraId="41A7126D" w14:textId="77777777" w:rsidR="008942D1" w:rsidRPr="002A1479" w:rsidRDefault="008942D1" w:rsidP="008942D1">
      <w:pPr>
        <w:ind w:firstLine="360"/>
        <w:rPr>
          <w:b/>
        </w:rPr>
      </w:pPr>
    </w:p>
    <w:p w14:paraId="417ABF0E" w14:textId="12B5289B" w:rsidR="008942D1" w:rsidRDefault="008942D1" w:rsidP="008942D1">
      <w:pPr>
        <w:pStyle w:val="Heading3"/>
        <w:rPr>
          <w:rStyle w:val="Heading4Char1"/>
          <w:rFonts w:ascii="Arial" w:hAnsi="Arial" w:cs="Arial"/>
          <w:bCs w:val="0"/>
          <w:sz w:val="24"/>
          <w:szCs w:val="24"/>
        </w:rPr>
      </w:pPr>
      <w:bookmarkStart w:id="337" w:name="_Toc339811794"/>
      <w:r>
        <w:rPr>
          <w:rStyle w:val="Heading4Char1"/>
          <w:rFonts w:ascii="Arial" w:hAnsi="Arial" w:cs="Arial"/>
          <w:bCs w:val="0"/>
          <w:sz w:val="24"/>
          <w:szCs w:val="24"/>
        </w:rPr>
        <w:t>5.4</w:t>
      </w:r>
      <w:r w:rsidRPr="005B5A20">
        <w:rPr>
          <w:rStyle w:val="Heading4Char1"/>
          <w:rFonts w:ascii="Arial" w:hAnsi="Arial" w:cs="Arial"/>
          <w:bCs w:val="0"/>
          <w:sz w:val="24"/>
          <w:szCs w:val="24"/>
        </w:rPr>
        <w:t>.</w:t>
      </w:r>
      <w:r>
        <w:rPr>
          <w:rStyle w:val="Heading4Char1"/>
          <w:rFonts w:ascii="Arial" w:hAnsi="Arial" w:cs="Arial"/>
          <w:bCs w:val="0"/>
          <w:sz w:val="24"/>
          <w:szCs w:val="24"/>
        </w:rPr>
        <w:t>3</w:t>
      </w:r>
      <w:r w:rsidRPr="005B5A20">
        <w:rPr>
          <w:rStyle w:val="Heading4Char1"/>
          <w:rFonts w:ascii="Arial" w:hAnsi="Arial" w:cs="Arial"/>
          <w:bCs w:val="0"/>
          <w:sz w:val="24"/>
          <w:szCs w:val="24"/>
        </w:rPr>
        <w:tab/>
      </w:r>
      <w:r>
        <w:rPr>
          <w:rStyle w:val="Heading4Char1"/>
          <w:rFonts w:ascii="Arial" w:hAnsi="Arial" w:cs="Arial"/>
          <w:bCs w:val="0"/>
          <w:sz w:val="24"/>
          <w:szCs w:val="24"/>
        </w:rPr>
        <w:t>Scientific and Statistical Committee</w:t>
      </w:r>
      <w:r w:rsidRPr="005B5A20">
        <w:rPr>
          <w:rStyle w:val="Heading4Char1"/>
          <w:rFonts w:ascii="Arial" w:hAnsi="Arial" w:cs="Arial"/>
          <w:bCs w:val="0"/>
          <w:sz w:val="24"/>
          <w:szCs w:val="24"/>
        </w:rPr>
        <w:t xml:space="preserve"> Comments and Recommendations</w:t>
      </w:r>
      <w:bookmarkEnd w:id="337"/>
    </w:p>
    <w:p w14:paraId="59E1167A" w14:textId="3B65CD10" w:rsidR="008942D1" w:rsidRDefault="006B1A45" w:rsidP="006B1A45">
      <w:pPr>
        <w:ind w:firstLine="360"/>
      </w:pPr>
      <w:r>
        <w:t xml:space="preserve">During their May 3-5, 2016 meeting, the SSC received a summary document detailing actions and alternatives in Amendment 41 as well as preliminary analyses.  Due to lack of time, the SSC did not discuss the amendment at that meeting.  During their October 18-20, 2016 meeting, the SSC received a briefing on the analyses used to support management actions in Amendment 41.  The SSC did not have any comments or recommendations. </w:t>
      </w:r>
    </w:p>
    <w:p w14:paraId="7151B520" w14:textId="77777777" w:rsidR="005C4A84" w:rsidRPr="008942D1" w:rsidRDefault="005C4A84" w:rsidP="006B1A45">
      <w:pPr>
        <w:ind w:firstLine="360"/>
      </w:pPr>
    </w:p>
    <w:p w14:paraId="1D0065AA" w14:textId="152A1AAD" w:rsidR="008942D1" w:rsidRDefault="008942D1" w:rsidP="008942D1">
      <w:pPr>
        <w:pStyle w:val="Heading3"/>
        <w:rPr>
          <w:rStyle w:val="Heading4Char1"/>
          <w:rFonts w:ascii="Arial" w:hAnsi="Arial" w:cs="Arial"/>
          <w:bCs w:val="0"/>
          <w:sz w:val="24"/>
          <w:szCs w:val="24"/>
        </w:rPr>
      </w:pPr>
      <w:bookmarkStart w:id="338" w:name="_Toc339811795"/>
      <w:r>
        <w:rPr>
          <w:rStyle w:val="Heading4Char1"/>
          <w:rFonts w:ascii="Arial" w:hAnsi="Arial" w:cs="Arial"/>
          <w:bCs w:val="0"/>
          <w:sz w:val="24"/>
          <w:szCs w:val="24"/>
        </w:rPr>
        <w:t>5.4</w:t>
      </w:r>
      <w:r w:rsidRPr="005B5A20">
        <w:rPr>
          <w:rStyle w:val="Heading4Char1"/>
          <w:rFonts w:ascii="Arial" w:hAnsi="Arial" w:cs="Arial"/>
          <w:bCs w:val="0"/>
          <w:sz w:val="24"/>
          <w:szCs w:val="24"/>
        </w:rPr>
        <w:t>.</w:t>
      </w:r>
      <w:r>
        <w:rPr>
          <w:rStyle w:val="Heading4Char1"/>
          <w:rFonts w:ascii="Arial" w:hAnsi="Arial" w:cs="Arial"/>
          <w:bCs w:val="0"/>
          <w:sz w:val="24"/>
          <w:szCs w:val="24"/>
        </w:rPr>
        <w:t>4</w:t>
      </w:r>
      <w:r w:rsidRPr="005B5A20">
        <w:rPr>
          <w:rStyle w:val="Heading4Char1"/>
          <w:rFonts w:ascii="Arial" w:hAnsi="Arial" w:cs="Arial"/>
          <w:bCs w:val="0"/>
          <w:sz w:val="24"/>
          <w:szCs w:val="24"/>
        </w:rPr>
        <w:tab/>
        <w:t>Public Comments and Recommendations</w:t>
      </w:r>
      <w:bookmarkEnd w:id="338"/>
    </w:p>
    <w:p w14:paraId="3348DB9D" w14:textId="5924C5E2" w:rsidR="008942D1" w:rsidRDefault="00A97346" w:rsidP="008942D1">
      <w:pPr>
        <w:ind w:firstLine="360"/>
      </w:pPr>
      <w:r>
        <w:t xml:space="preserve">The South Atlantic Council held scoping meetings for Amendment 41 </w:t>
      </w:r>
      <w:r w:rsidRPr="00896911">
        <w:t xml:space="preserve">from January 25 to February 3, 2016.  Meetings in Florida were held in conjunction with workshops conducted by the Florida Fish and Wildlife Conservation Commission (FWC). </w:t>
      </w:r>
      <w:r>
        <w:t xml:space="preserve"> Public hearings were held</w:t>
      </w:r>
      <w:r w:rsidRPr="00896911">
        <w:t xml:space="preserve"> </w:t>
      </w:r>
      <w:r>
        <w:t>via</w:t>
      </w:r>
      <w:r w:rsidRPr="00896911">
        <w:t xml:space="preserve"> </w:t>
      </w:r>
      <w:r>
        <w:t>webinar on August 2, 2016 and</w:t>
      </w:r>
      <w:r w:rsidRPr="00896911">
        <w:t xml:space="preserve"> in-person on August 15-17</w:t>
      </w:r>
      <w:r>
        <w:t>, 2016</w:t>
      </w:r>
      <w:r w:rsidRPr="00896911">
        <w:t>.</w:t>
      </w:r>
    </w:p>
    <w:p w14:paraId="72C856F3" w14:textId="77777777" w:rsidR="00A97346" w:rsidRDefault="00A97346" w:rsidP="008942D1">
      <w:pPr>
        <w:ind w:firstLine="360"/>
      </w:pPr>
    </w:p>
    <w:p w14:paraId="0D1DDA00" w14:textId="51B65CC7" w:rsidR="008942D1" w:rsidRDefault="00A97346" w:rsidP="008942D1">
      <w:pPr>
        <w:ind w:firstLine="360"/>
      </w:pPr>
      <w:r>
        <w:t>One member of the public stated that the proposed recreational annual catch target is acceptable for now; however, the South Atlantic</w:t>
      </w:r>
      <w:r w:rsidRPr="00A97346">
        <w:t xml:space="preserve"> Council should con</w:t>
      </w:r>
      <w:r>
        <w:t xml:space="preserve">sider stepping down further </w:t>
      </w:r>
      <w:r>
        <w:lastRenderedPageBreak/>
        <w:t>from the acceptable biological catch</w:t>
      </w:r>
      <w:r w:rsidRPr="00A97346">
        <w:t xml:space="preserve"> so </w:t>
      </w:r>
      <w:r>
        <w:t>that specifying a recreational annual catch target would not be necessary in the future.</w:t>
      </w:r>
    </w:p>
    <w:p w14:paraId="669E936B" w14:textId="77777777" w:rsidR="005C4A84" w:rsidRPr="002A1479" w:rsidRDefault="005C4A84" w:rsidP="008942D1">
      <w:pPr>
        <w:ind w:firstLine="360"/>
      </w:pPr>
    </w:p>
    <w:p w14:paraId="616BC327" w14:textId="093E0FCE" w:rsidR="008942D1" w:rsidRPr="00143045" w:rsidRDefault="008942D1" w:rsidP="00143045">
      <w:pPr>
        <w:pStyle w:val="Heading3"/>
      </w:pPr>
      <w:bookmarkStart w:id="339" w:name="_Toc339811796"/>
      <w:r w:rsidRPr="00143045">
        <w:rPr>
          <w:rStyle w:val="Heading4Char1"/>
          <w:rFonts w:ascii="Arial" w:hAnsi="Arial" w:cs="Arial"/>
          <w:bCs w:val="0"/>
          <w:sz w:val="24"/>
          <w:szCs w:val="24"/>
        </w:rPr>
        <w:t>5.4.5</w:t>
      </w:r>
      <w:r w:rsidRPr="00143045">
        <w:rPr>
          <w:rStyle w:val="Heading4Char1"/>
          <w:rFonts w:ascii="Arial" w:hAnsi="Arial" w:cs="Arial"/>
          <w:bCs w:val="0"/>
          <w:sz w:val="24"/>
          <w:szCs w:val="24"/>
        </w:rPr>
        <w:tab/>
        <w:t xml:space="preserve">South Atlantic Council </w:t>
      </w:r>
      <w:r w:rsidR="008B6ED9" w:rsidRPr="00143045">
        <w:rPr>
          <w:rStyle w:val="Heading4Char1"/>
          <w:rFonts w:ascii="Arial" w:hAnsi="Arial" w:cs="Arial"/>
          <w:bCs w:val="0"/>
          <w:sz w:val="24"/>
          <w:szCs w:val="24"/>
        </w:rPr>
        <w:t>Rationale</w:t>
      </w:r>
      <w:bookmarkEnd w:id="339"/>
    </w:p>
    <w:p w14:paraId="2CF10C48" w14:textId="78FC3FC8" w:rsidR="008B6ED9" w:rsidRDefault="008B6ED9" w:rsidP="008B6ED9">
      <w:pPr>
        <w:ind w:firstLine="360"/>
      </w:pPr>
      <w:r w:rsidRPr="002903DE">
        <w:t xml:space="preserve">The South Atlantic Council reasoned that the level of management uncertainty for the recreational component of the </w:t>
      </w:r>
      <w:r>
        <w:t>mutton snapper</w:t>
      </w:r>
      <w:r w:rsidRPr="002903DE">
        <w:t xml:space="preserve"> fishery is currently high enough to warrant specification of a recreational </w:t>
      </w:r>
      <w:r>
        <w:t>annual catch target</w:t>
      </w:r>
      <w:r w:rsidRPr="002903DE">
        <w:t xml:space="preserve">. </w:t>
      </w:r>
      <w:r>
        <w:t xml:space="preserve"> Specification of a recreational annual catch target is precautionary since the South Atlantic Council has not used annual catch targets to trigger accountability measures because it is anticipated that improvements in reporting would significantly reduce management uncertainty.  Should the South Atlantic Council, in the future, utilize annual catch targets to manage recreational harvest, these values will already have been specified and become part of the regulations.  The current annual catch target incorporates the percent standard error for the recreational catch estimates into the formula and applies to the South Atlantic mutton snapper stock.  Percent standard errors are incorporated into the current </w:t>
      </w:r>
      <w:r w:rsidRPr="002903DE">
        <w:t xml:space="preserve">formula </w:t>
      </w:r>
      <w:r>
        <w:t>to</w:t>
      </w:r>
      <w:r w:rsidRPr="002903DE">
        <w:t xml:space="preserve"> add a larger buffer for specie</w:t>
      </w:r>
      <w:r>
        <w:t>s that are not so common in the recreational catch</w:t>
      </w:r>
      <w:r w:rsidRPr="002903DE">
        <w:t xml:space="preserve">. </w:t>
      </w:r>
      <w:r>
        <w:t xml:space="preserve"> </w:t>
      </w:r>
      <w:r w:rsidRPr="002903DE">
        <w:t xml:space="preserve">For such species the </w:t>
      </w:r>
      <w:r>
        <w:t>percent standard errors</w:t>
      </w:r>
      <w:r w:rsidRPr="002903DE">
        <w:t xml:space="preserve"> are large, indicating higher uncertainty in the </w:t>
      </w:r>
      <w:r>
        <w:t>recreational estimates</w:t>
      </w:r>
      <w:r w:rsidRPr="002903DE">
        <w:t xml:space="preserve">. </w:t>
      </w:r>
      <w:r>
        <w:t xml:space="preserve"> </w:t>
      </w:r>
      <w:r w:rsidRPr="002903DE">
        <w:t>Hence</w:t>
      </w:r>
      <w:r>
        <w:t>,</w:t>
      </w:r>
      <w:r w:rsidRPr="002903DE">
        <w:t xml:space="preserve"> using the </w:t>
      </w:r>
      <w:r>
        <w:t>percent standard error</w:t>
      </w:r>
      <w:r w:rsidRPr="002903DE">
        <w:t xml:space="preserve"> in the formula to set the </w:t>
      </w:r>
      <w:r>
        <w:t>annual catch target</w:t>
      </w:r>
      <w:r w:rsidRPr="002903DE">
        <w:t xml:space="preserve"> further accounts for</w:t>
      </w:r>
      <w:r>
        <w:t xml:space="preserve"> uncertainty.  On the other hand</w:t>
      </w:r>
      <w:r w:rsidRPr="002903DE">
        <w:t xml:space="preserve">, when </w:t>
      </w:r>
      <w:r>
        <w:t xml:space="preserve">recreational landings </w:t>
      </w:r>
      <w:r w:rsidRPr="002903DE">
        <w:t xml:space="preserve">estimates for a species are </w:t>
      </w:r>
      <w:r>
        <w:t>precise</w:t>
      </w:r>
      <w:r w:rsidRPr="002903DE">
        <w:t xml:space="preserve">, the </w:t>
      </w:r>
      <w:r>
        <w:t>percent standard error</w:t>
      </w:r>
      <w:r w:rsidRPr="002903DE">
        <w:t xml:space="preserve">s are small, and consequently the buffer to account for uncertainty </w:t>
      </w:r>
      <w:r>
        <w:t>is</w:t>
      </w:r>
      <w:r w:rsidRPr="002903DE">
        <w:t xml:space="preserve"> reduced accordingly.</w:t>
      </w:r>
      <w:r>
        <w:t xml:space="preserve">  For mutton snapper, percent standard errors for </w:t>
      </w:r>
      <w:r w:rsidR="00FE3D42">
        <w:t>recreational estimates are relatively low</w:t>
      </w:r>
      <w:r>
        <w:t xml:space="preserve">, indicating a </w:t>
      </w:r>
      <w:r w:rsidR="00FE3D42">
        <w:t>moderate</w:t>
      </w:r>
      <w:r>
        <w:t xml:space="preserve"> level of uncertainty in those estimates. </w:t>
      </w:r>
      <w:r w:rsidR="00FE3D42">
        <w:t xml:space="preserve"> However, r</w:t>
      </w:r>
      <w:r>
        <w:t xml:space="preserve">ather than </w:t>
      </w:r>
      <w:r w:rsidR="00FE3D42">
        <w:t>continuing to use the current formula to specify the</w:t>
      </w:r>
      <w:r>
        <w:t xml:space="preserve"> recreational annual catch target </w:t>
      </w:r>
      <w:r w:rsidR="00FE3D42">
        <w:t>for mutton snapper</w:t>
      </w:r>
      <w:r>
        <w:t>, the South Atlantic Council selected to specify the recreational annual catch target at 85% of the recreational annual catch limit (</w:t>
      </w:r>
      <w:r w:rsidRPr="00F55C2B">
        <w:rPr>
          <w:b/>
        </w:rPr>
        <w:t>Preferred Sub-alternative 2b</w:t>
      </w:r>
      <w:r>
        <w:t>).</w:t>
      </w:r>
      <w:r w:rsidR="00FE3D42">
        <w:t xml:space="preserve"> </w:t>
      </w:r>
      <w:r w:rsidR="00143045">
        <w:t xml:space="preserve"> </w:t>
      </w:r>
      <w:r w:rsidR="00FE3D42">
        <w:t xml:space="preserve">This results in slightly higher recreational annual catch targets than under the status quo. </w:t>
      </w:r>
    </w:p>
    <w:p w14:paraId="3670F3B5" w14:textId="77777777" w:rsidR="008B6ED9" w:rsidRDefault="008B6ED9" w:rsidP="008B6ED9"/>
    <w:p w14:paraId="26424085" w14:textId="105968C5" w:rsidR="008B6ED9" w:rsidRDefault="008B6ED9" w:rsidP="008B6ED9">
      <w:pPr>
        <w:ind w:firstLine="360"/>
      </w:pPr>
      <w:r>
        <w:t xml:space="preserve">The South Atlantic Council concluded that </w:t>
      </w:r>
      <w:r>
        <w:rPr>
          <w:b/>
        </w:rPr>
        <w:t>Preferred Sub-a</w:t>
      </w:r>
      <w:r w:rsidRPr="00A940E4">
        <w:rPr>
          <w:b/>
        </w:rPr>
        <w:t>lternative 2</w:t>
      </w:r>
      <w:r>
        <w:rPr>
          <w:b/>
        </w:rPr>
        <w:t>b</w:t>
      </w:r>
      <w:r w:rsidRPr="00A940E4">
        <w:t xml:space="preserve"> </w:t>
      </w:r>
      <w:r>
        <w:t>best meet</w:t>
      </w:r>
      <w:r w:rsidR="00FE3D42">
        <w:t>s</w:t>
      </w:r>
      <w:r>
        <w:t xml:space="preserve"> the purpose </w:t>
      </w:r>
      <w:r w:rsidR="00FE3D42">
        <w:t xml:space="preserve">to </w:t>
      </w:r>
      <w:r w:rsidR="00FE3D42" w:rsidRPr="00380482">
        <w:rPr>
          <w:iCs/>
        </w:rPr>
        <w:t xml:space="preserve">update the </w:t>
      </w:r>
      <w:r w:rsidR="00FE3D42">
        <w:rPr>
          <w:iCs/>
        </w:rPr>
        <w:t xml:space="preserve">recreational annual catch target for </w:t>
      </w:r>
      <w:r w:rsidR="00FE3D42" w:rsidRPr="00380482">
        <w:rPr>
          <w:iCs/>
        </w:rPr>
        <w:t xml:space="preserve">the </w:t>
      </w:r>
      <w:r w:rsidR="00FE3D42">
        <w:rPr>
          <w:iCs/>
        </w:rPr>
        <w:t>mutton snapper</w:t>
      </w:r>
      <w:r w:rsidR="00FE3D42" w:rsidRPr="00380482">
        <w:rPr>
          <w:iCs/>
        </w:rPr>
        <w:t xml:space="preserve"> component of the snapper grouper fishery</w:t>
      </w:r>
      <w:r w:rsidR="00FE3D42">
        <w:rPr>
          <w:iCs/>
        </w:rPr>
        <w:t xml:space="preserve"> based on the results of the most recent stock assessment</w:t>
      </w:r>
      <w:r w:rsidR="00FE3D42">
        <w:t>.  The preferred alternative</w:t>
      </w:r>
      <w:r>
        <w:t xml:space="preserve"> also best meet</w:t>
      </w:r>
      <w:r w:rsidR="00FE3D42">
        <w:t>s</w:t>
      </w:r>
      <w:r>
        <w:t xml:space="preserve"> the objectives of the Snapper Grouper Fishery Management Plan, as amended, while complying with the requirements of the Magnuson-Stevens Fishery Conservation and Management Act and other applicable law.</w:t>
      </w:r>
    </w:p>
    <w:p w14:paraId="56B1F905" w14:textId="77777777" w:rsidR="008B6ED9" w:rsidRDefault="008B6ED9" w:rsidP="008B6ED9"/>
    <w:p w14:paraId="04AB1255" w14:textId="131C24D4" w:rsidR="008B6ED9" w:rsidRDefault="00143045" w:rsidP="008B6ED9">
      <w:pPr>
        <w:pStyle w:val="Heading3"/>
      </w:pPr>
      <w:bookmarkStart w:id="340" w:name="_Toc336184449"/>
      <w:bookmarkStart w:id="341" w:name="_Toc339811797"/>
      <w:r>
        <w:t>5.4</w:t>
      </w:r>
      <w:r w:rsidR="008B6ED9">
        <w:t>.6</w:t>
      </w:r>
      <w:r w:rsidR="008B6ED9">
        <w:tab/>
        <w:t>How is this Action Addressing the Vision Blueprint for the Snapper Grouper Fishery?</w:t>
      </w:r>
      <w:bookmarkEnd w:id="340"/>
      <w:bookmarkEnd w:id="341"/>
    </w:p>
    <w:p w14:paraId="31EAEE5E" w14:textId="77777777" w:rsidR="008B6ED9" w:rsidRDefault="008B6ED9" w:rsidP="008B6ED9">
      <w:pPr>
        <w:ind w:firstLine="360"/>
      </w:pPr>
      <w:r>
        <w:t xml:space="preserve">The </w:t>
      </w:r>
      <w:r w:rsidRPr="000C459E">
        <w:t>Vision Blueprint for the Snapper Grouper Fishery</w:t>
      </w:r>
      <w:r>
        <w:t xml:space="preserve"> (Vision Blueprint) was approved in December 2015 and is intended to inform management of the snapper grouper fishery through 2020.  As such, the </w:t>
      </w:r>
      <w:r w:rsidRPr="000C459E">
        <w:t>Vision Blueprint</w:t>
      </w:r>
      <w:r>
        <w:t xml:space="preserve"> serves as a “living document” to help guide future management, builds on stakeholder input and how the South Atlantic Council envisions future management of the fishery, guides the development of new amendments that address priority objectives and strategies, and illustrates actions that could be developed through the regular </w:t>
      </w:r>
      <w:r>
        <w:lastRenderedPageBreak/>
        <w:t xml:space="preserve">amendment process.  The Vision Blueprint is organized into four strategic goal areas: (1) Science, (2) Management, (3) Communication, and (4) Governance.  </w:t>
      </w:r>
      <w:r w:rsidRPr="00AF6EE2">
        <w:t>Each goal area has a set of objectives, strategies, and actions.</w:t>
      </w:r>
    </w:p>
    <w:p w14:paraId="1CC75B6D" w14:textId="77777777" w:rsidR="008B6ED9" w:rsidRDefault="008B6ED9" w:rsidP="008B6ED9"/>
    <w:p w14:paraId="3B7C5C50" w14:textId="301F9E8D" w:rsidR="00CF59B3" w:rsidRDefault="008B6ED9" w:rsidP="00143045">
      <w:pPr>
        <w:ind w:firstLine="360"/>
      </w:pPr>
      <w:r w:rsidRPr="007A2A5F">
        <w:rPr>
          <w:b/>
        </w:rPr>
        <w:t xml:space="preserve">Action </w:t>
      </w:r>
      <w:r w:rsidR="00143045">
        <w:rPr>
          <w:b/>
        </w:rPr>
        <w:t>4</w:t>
      </w:r>
      <w:r>
        <w:t xml:space="preserve"> to specify recreational annual catch targets for </w:t>
      </w:r>
      <w:r w:rsidR="00143045">
        <w:t xml:space="preserve">the mutton snapper stock in the South Atlantic </w:t>
      </w:r>
      <w:r>
        <w:t>does not directly respond to objectives outlined in the Vision Blueprint; however, it addresses the broad Science goal to ensure that “</w:t>
      </w:r>
      <w:r w:rsidRPr="00372F56">
        <w:rPr>
          <w:i/>
        </w:rPr>
        <w:t>management decisions for the snapper grouper fishery are based upon robust, defensible science that considers qualitative and quantitative data analyzed in a timely, clear, and transparent manner that builds stakeholder confidence</w:t>
      </w:r>
      <w:r w:rsidRPr="00372F56">
        <w:t>.</w:t>
      </w:r>
      <w:r>
        <w:t xml:space="preserve">”  </w:t>
      </w:r>
      <w:r w:rsidRPr="00864BEA">
        <w:rPr>
          <w:b/>
        </w:rPr>
        <w:t xml:space="preserve">Action </w:t>
      </w:r>
      <w:r w:rsidR="00143045">
        <w:rPr>
          <w:b/>
        </w:rPr>
        <w:t>4</w:t>
      </w:r>
      <w:r>
        <w:t xml:space="preserve"> ensures that utilization of the </w:t>
      </w:r>
      <w:r w:rsidR="00143045">
        <w:t>mutton snapper</w:t>
      </w:r>
      <w:r>
        <w:t xml:space="preserve"> resource can continue in a manner that responds to the best scientific information available and addresses management uncertainty.</w:t>
      </w:r>
    </w:p>
    <w:p w14:paraId="730C90C5" w14:textId="77777777" w:rsidR="004075FF" w:rsidRDefault="004075FF" w:rsidP="00D71AB1">
      <w:pPr>
        <w:sectPr w:rsidR="004075FF" w:rsidSect="00666827">
          <w:footerReference w:type="default" r:id="rId74"/>
          <w:type w:val="continuous"/>
          <w:pgSz w:w="12240" w:h="15840" w:code="1"/>
          <w:pgMar w:top="1440" w:right="1440" w:bottom="1440" w:left="1440" w:header="720" w:footer="720" w:gutter="0"/>
          <w:cols w:space="720"/>
          <w:docGrid w:linePitch="360"/>
        </w:sectPr>
      </w:pPr>
    </w:p>
    <w:p w14:paraId="2D3B32DC" w14:textId="381B4EF6" w:rsidR="0010161A" w:rsidRPr="004C7D2B" w:rsidRDefault="0010161A" w:rsidP="0010161A">
      <w:pPr>
        <w:pStyle w:val="Heading2"/>
        <w:rPr>
          <w:rFonts w:ascii="Arial" w:hAnsi="Arial" w:cs="Arial"/>
        </w:rPr>
      </w:pPr>
      <w:bookmarkStart w:id="342" w:name="_Toc339811798"/>
      <w:r>
        <w:rPr>
          <w:rFonts w:ascii="Arial" w:hAnsi="Arial" w:cs="Arial"/>
        </w:rPr>
        <w:lastRenderedPageBreak/>
        <w:t>5.5</w:t>
      </w:r>
      <w:r>
        <w:rPr>
          <w:rFonts w:ascii="Arial" w:hAnsi="Arial" w:cs="Arial"/>
        </w:rPr>
        <w:tab/>
        <w:t>Action 5</w:t>
      </w:r>
      <w:r w:rsidRPr="00EC7112">
        <w:rPr>
          <w:rFonts w:ascii="Arial" w:hAnsi="Arial" w:cs="Arial"/>
        </w:rPr>
        <w:t>.  Modify mutton snapper minimum si</w:t>
      </w:r>
      <w:r>
        <w:rPr>
          <w:rFonts w:ascii="Arial" w:hAnsi="Arial" w:cs="Arial"/>
        </w:rPr>
        <w:t>ze limit in the South Atlantic R</w:t>
      </w:r>
      <w:r w:rsidRPr="00EC7112">
        <w:rPr>
          <w:rFonts w:ascii="Arial" w:hAnsi="Arial" w:cs="Arial"/>
        </w:rPr>
        <w:t>egion</w:t>
      </w:r>
      <w:bookmarkEnd w:id="342"/>
    </w:p>
    <w:p w14:paraId="6C8A6761" w14:textId="2F57A823" w:rsidR="005C4A84" w:rsidRDefault="005C4A84" w:rsidP="00321980">
      <w:pPr>
        <w:rPr>
          <w:rStyle w:val="Heading4Char1"/>
          <w:rFonts w:ascii="Arial" w:hAnsi="Arial" w:cs="Arial"/>
          <w:bCs/>
          <w:sz w:val="24"/>
          <w:szCs w:val="24"/>
        </w:rPr>
      </w:pPr>
      <w:r w:rsidRPr="000E374B">
        <w:rPr>
          <w:noProof/>
        </w:rPr>
        <mc:AlternateContent>
          <mc:Choice Requires="wps">
            <w:drawing>
              <wp:anchor distT="0" distB="0" distL="114300" distR="114300" simplePos="0" relativeHeight="251722240" behindDoc="0" locked="0" layoutInCell="1" allowOverlap="1" wp14:anchorId="013E048A" wp14:editId="50DA08A7">
                <wp:simplePos x="0" y="0"/>
                <wp:positionH relativeFrom="column">
                  <wp:posOffset>3402330</wp:posOffset>
                </wp:positionH>
                <wp:positionV relativeFrom="paragraph">
                  <wp:posOffset>148590</wp:posOffset>
                </wp:positionV>
                <wp:extent cx="2366010" cy="2912110"/>
                <wp:effectExtent l="25400" t="101600" r="123190" b="5969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2912110"/>
                        </a:xfrm>
                        <a:prstGeom prst="rect">
                          <a:avLst/>
                        </a:prstGeom>
                        <a:solidFill>
                          <a:srgbClr val="FFFFFF"/>
                        </a:solidFill>
                        <a:ln w="9525">
                          <a:solidFill>
                            <a:schemeClr val="tx2">
                              <a:lumMod val="60000"/>
                              <a:lumOff val="40000"/>
                            </a:schemeClr>
                          </a:solidFill>
                          <a:miter lim="800000"/>
                          <a:headEnd/>
                          <a:tailEnd/>
                        </a:ln>
                        <a:effectLst>
                          <a:outerShdw blurRad="50800" dist="38100" dir="18900000" algn="bl" rotWithShape="0">
                            <a:prstClr val="black">
                              <a:alpha val="40000"/>
                            </a:prstClr>
                          </a:outerShdw>
                        </a:effectLst>
                      </wps:spPr>
                      <wps:txbx>
                        <w:txbxContent>
                          <w:p w14:paraId="001985F2" w14:textId="77777777" w:rsidR="009108B8" w:rsidRPr="009D441A" w:rsidRDefault="009108B8" w:rsidP="00340F89">
                            <w:pPr>
                              <w:jc w:val="center"/>
                              <w:rPr>
                                <w:rFonts w:ascii="Arial" w:hAnsi="Arial" w:cs="Arial"/>
                                <w:b/>
                                <w:i/>
                                <w:iCs/>
                                <w:color w:val="365F91" w:themeColor="accent1" w:themeShade="BF"/>
                              </w:rPr>
                            </w:pPr>
                            <w:r w:rsidRPr="009D441A">
                              <w:rPr>
                                <w:rFonts w:ascii="Arial" w:hAnsi="Arial" w:cs="Arial"/>
                                <w:b/>
                                <w:i/>
                                <w:iCs/>
                                <w:color w:val="365F91" w:themeColor="accent1" w:themeShade="BF"/>
                              </w:rPr>
                              <w:t>Alternatives</w:t>
                            </w:r>
                            <w:r>
                              <w:rPr>
                                <w:rFonts w:ascii="Arial" w:hAnsi="Arial" w:cs="Arial"/>
                                <w:b/>
                                <w:i/>
                                <w:iCs/>
                                <w:color w:val="365F91" w:themeColor="accent1" w:themeShade="BF"/>
                              </w:rPr>
                              <w:t>*</w:t>
                            </w:r>
                          </w:p>
                          <w:p w14:paraId="6E344B4F" w14:textId="77777777" w:rsidR="009108B8" w:rsidRDefault="009108B8" w:rsidP="00340F89">
                            <w:pPr>
                              <w:jc w:val="center"/>
                              <w:rPr>
                                <w:rFonts w:ascii="Arial" w:hAnsi="Arial" w:cs="Arial"/>
                                <w:b/>
                                <w:i/>
                                <w:iCs/>
                                <w:color w:val="365F91" w:themeColor="accent1" w:themeShade="BF"/>
                                <w:sz w:val="28"/>
                                <w:szCs w:val="28"/>
                              </w:rPr>
                            </w:pPr>
                          </w:p>
                          <w:p w14:paraId="673A10F5" w14:textId="77777777" w:rsidR="009108B8" w:rsidRPr="00EC7112" w:rsidRDefault="009108B8" w:rsidP="00340F89">
                            <w:pPr>
                              <w:rPr>
                                <w:rFonts w:ascii="Arial" w:hAnsi="Arial" w:cs="Arial"/>
                                <w:iCs/>
                                <w:color w:val="365F91" w:themeColor="accent1" w:themeShade="BF"/>
                                <w:sz w:val="20"/>
                                <w:szCs w:val="20"/>
                              </w:rPr>
                            </w:pPr>
                            <w:r w:rsidRPr="00EC7112">
                              <w:rPr>
                                <w:rFonts w:ascii="Arial" w:hAnsi="Arial" w:cs="Arial"/>
                                <w:iCs/>
                                <w:color w:val="365F91" w:themeColor="accent1" w:themeShade="BF"/>
                                <w:sz w:val="20"/>
                                <w:szCs w:val="20"/>
                              </w:rPr>
                              <w:t xml:space="preserve">1 (No Action).  The minimum size limit </w:t>
                            </w:r>
                            <w:r>
                              <w:rPr>
                                <w:rFonts w:ascii="Arial" w:hAnsi="Arial" w:cs="Arial"/>
                                <w:iCs/>
                                <w:color w:val="365F91" w:themeColor="accent1" w:themeShade="BF"/>
                                <w:sz w:val="20"/>
                                <w:szCs w:val="20"/>
                              </w:rPr>
                              <w:t xml:space="preserve">(MSL) </w:t>
                            </w:r>
                            <w:r w:rsidRPr="00EC7112">
                              <w:rPr>
                                <w:rFonts w:ascii="Arial" w:hAnsi="Arial" w:cs="Arial"/>
                                <w:iCs/>
                                <w:color w:val="365F91" w:themeColor="accent1" w:themeShade="BF"/>
                                <w:sz w:val="20"/>
                                <w:szCs w:val="20"/>
                              </w:rPr>
                              <w:t>for mutton snapper in the South Atlantic region is 16 inches total length (TL).</w:t>
                            </w:r>
                          </w:p>
                          <w:p w14:paraId="39A966D7" w14:textId="77777777" w:rsidR="009108B8" w:rsidRPr="00EC7112" w:rsidRDefault="009108B8" w:rsidP="00340F89">
                            <w:pPr>
                              <w:rPr>
                                <w:rFonts w:ascii="Arial" w:hAnsi="Arial" w:cs="Arial"/>
                                <w:iCs/>
                                <w:color w:val="365F91" w:themeColor="accent1" w:themeShade="BF"/>
                                <w:sz w:val="20"/>
                                <w:szCs w:val="20"/>
                              </w:rPr>
                            </w:pPr>
                          </w:p>
                          <w:p w14:paraId="32DB05CC" w14:textId="77777777" w:rsidR="009108B8" w:rsidRPr="00EC7112" w:rsidRDefault="009108B8" w:rsidP="00340F89">
                            <w:pPr>
                              <w:rPr>
                                <w:rFonts w:ascii="Arial" w:hAnsi="Arial" w:cs="Arial"/>
                                <w:iCs/>
                                <w:color w:val="365F91" w:themeColor="accent1" w:themeShade="BF"/>
                                <w:sz w:val="20"/>
                                <w:szCs w:val="20"/>
                              </w:rPr>
                            </w:pPr>
                            <w:r w:rsidRPr="00EC7112">
                              <w:rPr>
                                <w:rFonts w:ascii="Arial" w:hAnsi="Arial" w:cs="Arial"/>
                                <w:iCs/>
                                <w:color w:val="365F91" w:themeColor="accent1" w:themeShade="BF"/>
                                <w:sz w:val="20"/>
                                <w:szCs w:val="20"/>
                              </w:rPr>
                              <w:t>2.  Increase to 17 inches TL.</w:t>
                            </w:r>
                          </w:p>
                          <w:p w14:paraId="177A25B9" w14:textId="77777777" w:rsidR="009108B8" w:rsidRPr="00EC7112" w:rsidRDefault="009108B8" w:rsidP="00340F89">
                            <w:pPr>
                              <w:rPr>
                                <w:rFonts w:ascii="Arial" w:hAnsi="Arial" w:cs="Arial"/>
                                <w:iCs/>
                                <w:color w:val="365F91" w:themeColor="accent1" w:themeShade="BF"/>
                                <w:sz w:val="20"/>
                                <w:szCs w:val="20"/>
                              </w:rPr>
                            </w:pPr>
                          </w:p>
                          <w:p w14:paraId="4405F00A" w14:textId="77777777" w:rsidR="009108B8" w:rsidRPr="00286AA1" w:rsidRDefault="009108B8" w:rsidP="00340F89">
                            <w:pPr>
                              <w:rPr>
                                <w:rFonts w:ascii="Arial" w:hAnsi="Arial" w:cs="Arial"/>
                                <w:b/>
                                <w:iCs/>
                                <w:color w:val="365F91" w:themeColor="accent1" w:themeShade="BF"/>
                                <w:sz w:val="20"/>
                                <w:szCs w:val="20"/>
                              </w:rPr>
                            </w:pPr>
                            <w:r w:rsidRPr="00286AA1">
                              <w:rPr>
                                <w:rFonts w:ascii="Arial" w:hAnsi="Arial" w:cs="Arial"/>
                                <w:b/>
                                <w:iCs/>
                                <w:color w:val="365F91" w:themeColor="accent1" w:themeShade="BF"/>
                                <w:sz w:val="20"/>
                                <w:szCs w:val="20"/>
                              </w:rPr>
                              <w:t>3.  Increase to 18 inches TL.</w:t>
                            </w:r>
                          </w:p>
                          <w:p w14:paraId="32D69490" w14:textId="77777777" w:rsidR="009108B8" w:rsidRPr="00EC7112" w:rsidRDefault="009108B8" w:rsidP="00340F89">
                            <w:pPr>
                              <w:rPr>
                                <w:rFonts w:ascii="Arial" w:hAnsi="Arial" w:cs="Arial"/>
                                <w:iCs/>
                                <w:color w:val="365F91" w:themeColor="accent1" w:themeShade="BF"/>
                                <w:sz w:val="20"/>
                                <w:szCs w:val="20"/>
                              </w:rPr>
                            </w:pPr>
                          </w:p>
                          <w:p w14:paraId="6D0E257C" w14:textId="77777777" w:rsidR="009108B8" w:rsidRDefault="009108B8" w:rsidP="00340F89">
                            <w:pPr>
                              <w:rPr>
                                <w:rFonts w:ascii="Arial" w:hAnsi="Arial" w:cs="Arial"/>
                                <w:iCs/>
                                <w:color w:val="365F91" w:themeColor="accent1" w:themeShade="BF"/>
                                <w:sz w:val="20"/>
                                <w:szCs w:val="20"/>
                              </w:rPr>
                            </w:pPr>
                            <w:r w:rsidRPr="00EC7112">
                              <w:rPr>
                                <w:rFonts w:ascii="Arial" w:hAnsi="Arial" w:cs="Arial"/>
                                <w:iCs/>
                                <w:color w:val="365F91" w:themeColor="accent1" w:themeShade="BF"/>
                                <w:sz w:val="20"/>
                                <w:szCs w:val="20"/>
                              </w:rPr>
                              <w:t>4.  Increase to 19 inches TL.</w:t>
                            </w:r>
                          </w:p>
                          <w:p w14:paraId="52C109B2" w14:textId="77777777" w:rsidR="009108B8" w:rsidRDefault="009108B8" w:rsidP="00340F89">
                            <w:pPr>
                              <w:rPr>
                                <w:rFonts w:ascii="Arial" w:hAnsi="Arial" w:cs="Arial"/>
                                <w:iCs/>
                                <w:color w:val="365F91" w:themeColor="accent1" w:themeShade="BF"/>
                                <w:sz w:val="20"/>
                                <w:szCs w:val="20"/>
                              </w:rPr>
                            </w:pPr>
                          </w:p>
                          <w:p w14:paraId="529DD10C" w14:textId="77777777" w:rsidR="009108B8" w:rsidRDefault="009108B8" w:rsidP="00340F89">
                            <w:pPr>
                              <w:rPr>
                                <w:rFonts w:ascii="Arial" w:hAnsi="Arial" w:cs="Arial"/>
                                <w:iCs/>
                                <w:color w:val="365F91" w:themeColor="accent1" w:themeShade="BF"/>
                                <w:sz w:val="20"/>
                                <w:szCs w:val="20"/>
                              </w:rPr>
                            </w:pPr>
                            <w:r w:rsidRPr="00EC7112">
                              <w:rPr>
                                <w:rFonts w:ascii="Arial" w:hAnsi="Arial" w:cs="Arial"/>
                                <w:iCs/>
                                <w:color w:val="365F91" w:themeColor="accent1" w:themeShade="BF"/>
                                <w:sz w:val="20"/>
                                <w:szCs w:val="20"/>
                              </w:rPr>
                              <w:t>5.  Increase to 20 inches TL.</w:t>
                            </w:r>
                          </w:p>
                          <w:p w14:paraId="0B699BF8" w14:textId="77777777" w:rsidR="009108B8" w:rsidRDefault="009108B8" w:rsidP="00340F89">
                            <w:pPr>
                              <w:rPr>
                                <w:rFonts w:ascii="Arial" w:hAnsi="Arial" w:cs="Arial"/>
                                <w:iCs/>
                                <w:color w:val="365F91" w:themeColor="accent1" w:themeShade="BF"/>
                                <w:sz w:val="20"/>
                                <w:szCs w:val="20"/>
                              </w:rPr>
                            </w:pPr>
                          </w:p>
                          <w:p w14:paraId="6D912E11" w14:textId="77777777" w:rsidR="009108B8" w:rsidRPr="00EC7112" w:rsidRDefault="009108B8" w:rsidP="00340F89">
                            <w:pPr>
                              <w:rPr>
                                <w:rFonts w:ascii="Arial" w:hAnsi="Arial" w:cs="Arial"/>
                                <w:iCs/>
                                <w:color w:val="365F91" w:themeColor="accent1" w:themeShade="BF"/>
                                <w:sz w:val="20"/>
                                <w:szCs w:val="20"/>
                              </w:rPr>
                            </w:pPr>
                            <w:r>
                              <w:rPr>
                                <w:rFonts w:ascii="Arial" w:hAnsi="Arial" w:cs="Arial"/>
                                <w:iCs/>
                                <w:color w:val="365F91" w:themeColor="accent1" w:themeShade="BF"/>
                                <w:sz w:val="20"/>
                                <w:szCs w:val="20"/>
                              </w:rPr>
                              <w:t>* Preferred indicated in bold.  Refer to Chapter 2 for detailed language of alternatives</w:t>
                            </w:r>
                          </w:p>
                          <w:p w14:paraId="75A12C1F" w14:textId="77777777" w:rsidR="009108B8" w:rsidRPr="00EC7112" w:rsidRDefault="009108B8" w:rsidP="00340F89">
                            <w:pPr>
                              <w:rPr>
                                <w:rFonts w:ascii="Arial" w:hAnsi="Arial" w:cs="Arial"/>
                                <w:b/>
                                <w:i/>
                                <w:iCs/>
                                <w:color w:val="365F91" w:themeColor="accent1" w:themeShade="BF"/>
                                <w:sz w:val="20"/>
                                <w:szCs w:val="20"/>
                              </w:rPr>
                            </w:pPr>
                          </w:p>
                          <w:p w14:paraId="43269B78" w14:textId="77777777" w:rsidR="009108B8" w:rsidRDefault="009108B8" w:rsidP="00340F89">
                            <w:pPr>
                              <w:jc w:val="center"/>
                              <w:rPr>
                                <w:rFonts w:ascii="Arial" w:hAnsi="Arial" w:cs="Arial"/>
                                <w:b/>
                                <w:i/>
                                <w:iCs/>
                                <w:color w:val="365F91" w:themeColor="accent1" w:themeShade="BF"/>
                                <w:sz w:val="28"/>
                                <w:szCs w:val="28"/>
                              </w:rPr>
                            </w:pPr>
                          </w:p>
                          <w:p w14:paraId="3B272E53" w14:textId="77777777" w:rsidR="009108B8" w:rsidRPr="00F7179C" w:rsidRDefault="009108B8" w:rsidP="00340F89">
                            <w:pPr>
                              <w:ind w:left="540"/>
                              <w:contextualSpacing/>
                              <w:rPr>
                                <w:rFonts w:ascii="Arial" w:eastAsia="Courier New" w:hAnsi="Arial" w:cs="Arial"/>
                                <w:color w:val="1F497D" w:themeColor="text2"/>
                                <w:sz w:val="22"/>
                                <w:szCs w:val="22"/>
                              </w:rPr>
                            </w:pPr>
                          </w:p>
                          <w:p w14:paraId="6928F6EC" w14:textId="77777777" w:rsidR="009108B8" w:rsidRDefault="009108B8" w:rsidP="00340F8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267.9pt;margin-top:11.7pt;width:186.3pt;height:229.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" strokecolor="#548dd4 [1951]">
                <v:shadow on="t" opacity="26214f" mv:blur="50800f" origin="-.5,.5" offset="26941emu,-26941emu"/>
                <v:textbox>
                  <w:txbxContent>
                    <w:p w14:paraId="001985F2" w14:textId="77777777" w:rsidR="009108B8" w:rsidRPr="009D441A" w:rsidRDefault="009108B8" w:rsidP="00340F89">
                      <w:pPr>
                        <w:jc w:val="center"/>
                        <w:rPr>
                          <w:rFonts w:ascii="Arial" w:hAnsi="Arial" w:cs="Arial"/>
                          <w:b/>
                          <w:i/>
                          <w:iCs/>
                          <w:color w:val="365F91" w:themeColor="accent1" w:themeShade="BF"/>
                        </w:rPr>
                      </w:pPr>
                      <w:r w:rsidRPr="009D441A">
                        <w:rPr>
                          <w:rFonts w:ascii="Arial" w:hAnsi="Arial" w:cs="Arial"/>
                          <w:b/>
                          <w:i/>
                          <w:iCs/>
                          <w:color w:val="365F91" w:themeColor="accent1" w:themeShade="BF"/>
                        </w:rPr>
                        <w:t>Alternatives</w:t>
                      </w:r>
                      <w:r>
                        <w:rPr>
                          <w:rFonts w:ascii="Arial" w:hAnsi="Arial" w:cs="Arial"/>
                          <w:b/>
                          <w:i/>
                          <w:iCs/>
                          <w:color w:val="365F91" w:themeColor="accent1" w:themeShade="BF"/>
                        </w:rPr>
                        <w:t>*</w:t>
                      </w:r>
                    </w:p>
                    <w:p w14:paraId="6E344B4F" w14:textId="77777777" w:rsidR="009108B8" w:rsidRDefault="009108B8" w:rsidP="00340F89">
                      <w:pPr>
                        <w:jc w:val="center"/>
                        <w:rPr>
                          <w:rFonts w:ascii="Arial" w:hAnsi="Arial" w:cs="Arial"/>
                          <w:b/>
                          <w:i/>
                          <w:iCs/>
                          <w:color w:val="365F91" w:themeColor="accent1" w:themeShade="BF"/>
                          <w:sz w:val="28"/>
                          <w:szCs w:val="28"/>
                        </w:rPr>
                      </w:pPr>
                    </w:p>
                    <w:p w14:paraId="673A10F5" w14:textId="77777777" w:rsidR="009108B8" w:rsidRPr="00EC7112" w:rsidRDefault="009108B8" w:rsidP="00340F89">
                      <w:pPr>
                        <w:rPr>
                          <w:rFonts w:ascii="Arial" w:hAnsi="Arial" w:cs="Arial"/>
                          <w:iCs/>
                          <w:color w:val="365F91" w:themeColor="accent1" w:themeShade="BF"/>
                          <w:sz w:val="20"/>
                          <w:szCs w:val="20"/>
                        </w:rPr>
                      </w:pPr>
                      <w:r w:rsidRPr="00EC7112">
                        <w:rPr>
                          <w:rFonts w:ascii="Arial" w:hAnsi="Arial" w:cs="Arial"/>
                          <w:iCs/>
                          <w:color w:val="365F91" w:themeColor="accent1" w:themeShade="BF"/>
                          <w:sz w:val="20"/>
                          <w:szCs w:val="20"/>
                        </w:rPr>
                        <w:t xml:space="preserve">1 (No Action).  The minimum size limit </w:t>
                      </w:r>
                      <w:r>
                        <w:rPr>
                          <w:rFonts w:ascii="Arial" w:hAnsi="Arial" w:cs="Arial"/>
                          <w:iCs/>
                          <w:color w:val="365F91" w:themeColor="accent1" w:themeShade="BF"/>
                          <w:sz w:val="20"/>
                          <w:szCs w:val="20"/>
                        </w:rPr>
                        <w:t xml:space="preserve">(MSL) </w:t>
                      </w:r>
                      <w:r w:rsidRPr="00EC7112">
                        <w:rPr>
                          <w:rFonts w:ascii="Arial" w:hAnsi="Arial" w:cs="Arial"/>
                          <w:iCs/>
                          <w:color w:val="365F91" w:themeColor="accent1" w:themeShade="BF"/>
                          <w:sz w:val="20"/>
                          <w:szCs w:val="20"/>
                        </w:rPr>
                        <w:t>for mutton snapper in the South Atlantic region is 16 inches total length (TL).</w:t>
                      </w:r>
                    </w:p>
                    <w:p w14:paraId="39A966D7" w14:textId="77777777" w:rsidR="009108B8" w:rsidRPr="00EC7112" w:rsidRDefault="009108B8" w:rsidP="00340F89">
                      <w:pPr>
                        <w:rPr>
                          <w:rFonts w:ascii="Arial" w:hAnsi="Arial" w:cs="Arial"/>
                          <w:iCs/>
                          <w:color w:val="365F91" w:themeColor="accent1" w:themeShade="BF"/>
                          <w:sz w:val="20"/>
                          <w:szCs w:val="20"/>
                        </w:rPr>
                      </w:pPr>
                    </w:p>
                    <w:p w14:paraId="32DB05CC" w14:textId="77777777" w:rsidR="009108B8" w:rsidRPr="00EC7112" w:rsidRDefault="009108B8" w:rsidP="00340F89">
                      <w:pPr>
                        <w:rPr>
                          <w:rFonts w:ascii="Arial" w:hAnsi="Arial" w:cs="Arial"/>
                          <w:iCs/>
                          <w:color w:val="365F91" w:themeColor="accent1" w:themeShade="BF"/>
                          <w:sz w:val="20"/>
                          <w:szCs w:val="20"/>
                        </w:rPr>
                      </w:pPr>
                      <w:r w:rsidRPr="00EC7112">
                        <w:rPr>
                          <w:rFonts w:ascii="Arial" w:hAnsi="Arial" w:cs="Arial"/>
                          <w:iCs/>
                          <w:color w:val="365F91" w:themeColor="accent1" w:themeShade="BF"/>
                          <w:sz w:val="20"/>
                          <w:szCs w:val="20"/>
                        </w:rPr>
                        <w:t>2.  Increase to 17 inches TL.</w:t>
                      </w:r>
                    </w:p>
                    <w:p w14:paraId="177A25B9" w14:textId="77777777" w:rsidR="009108B8" w:rsidRPr="00EC7112" w:rsidRDefault="009108B8" w:rsidP="00340F89">
                      <w:pPr>
                        <w:rPr>
                          <w:rFonts w:ascii="Arial" w:hAnsi="Arial" w:cs="Arial"/>
                          <w:iCs/>
                          <w:color w:val="365F91" w:themeColor="accent1" w:themeShade="BF"/>
                          <w:sz w:val="20"/>
                          <w:szCs w:val="20"/>
                        </w:rPr>
                      </w:pPr>
                    </w:p>
                    <w:p w14:paraId="4405F00A" w14:textId="77777777" w:rsidR="009108B8" w:rsidRPr="00286AA1" w:rsidRDefault="009108B8" w:rsidP="00340F89">
                      <w:pPr>
                        <w:rPr>
                          <w:rFonts w:ascii="Arial" w:hAnsi="Arial" w:cs="Arial"/>
                          <w:b/>
                          <w:iCs/>
                          <w:color w:val="365F91" w:themeColor="accent1" w:themeShade="BF"/>
                          <w:sz w:val="20"/>
                          <w:szCs w:val="20"/>
                        </w:rPr>
                      </w:pPr>
                      <w:r w:rsidRPr="00286AA1">
                        <w:rPr>
                          <w:rFonts w:ascii="Arial" w:hAnsi="Arial" w:cs="Arial"/>
                          <w:b/>
                          <w:iCs/>
                          <w:color w:val="365F91" w:themeColor="accent1" w:themeShade="BF"/>
                          <w:sz w:val="20"/>
                          <w:szCs w:val="20"/>
                        </w:rPr>
                        <w:t>3.  Increase to 18 inches TL.</w:t>
                      </w:r>
                    </w:p>
                    <w:p w14:paraId="32D69490" w14:textId="77777777" w:rsidR="009108B8" w:rsidRPr="00EC7112" w:rsidRDefault="009108B8" w:rsidP="00340F89">
                      <w:pPr>
                        <w:rPr>
                          <w:rFonts w:ascii="Arial" w:hAnsi="Arial" w:cs="Arial"/>
                          <w:iCs/>
                          <w:color w:val="365F91" w:themeColor="accent1" w:themeShade="BF"/>
                          <w:sz w:val="20"/>
                          <w:szCs w:val="20"/>
                        </w:rPr>
                      </w:pPr>
                    </w:p>
                    <w:p w14:paraId="6D0E257C" w14:textId="77777777" w:rsidR="009108B8" w:rsidRDefault="009108B8" w:rsidP="00340F89">
                      <w:pPr>
                        <w:rPr>
                          <w:rFonts w:ascii="Arial" w:hAnsi="Arial" w:cs="Arial"/>
                          <w:iCs/>
                          <w:color w:val="365F91" w:themeColor="accent1" w:themeShade="BF"/>
                          <w:sz w:val="20"/>
                          <w:szCs w:val="20"/>
                        </w:rPr>
                      </w:pPr>
                      <w:r w:rsidRPr="00EC7112">
                        <w:rPr>
                          <w:rFonts w:ascii="Arial" w:hAnsi="Arial" w:cs="Arial"/>
                          <w:iCs/>
                          <w:color w:val="365F91" w:themeColor="accent1" w:themeShade="BF"/>
                          <w:sz w:val="20"/>
                          <w:szCs w:val="20"/>
                        </w:rPr>
                        <w:t>4.  Increase to 19 inches TL.</w:t>
                      </w:r>
                    </w:p>
                    <w:p w14:paraId="52C109B2" w14:textId="77777777" w:rsidR="009108B8" w:rsidRDefault="009108B8" w:rsidP="00340F89">
                      <w:pPr>
                        <w:rPr>
                          <w:rFonts w:ascii="Arial" w:hAnsi="Arial" w:cs="Arial"/>
                          <w:iCs/>
                          <w:color w:val="365F91" w:themeColor="accent1" w:themeShade="BF"/>
                          <w:sz w:val="20"/>
                          <w:szCs w:val="20"/>
                        </w:rPr>
                      </w:pPr>
                    </w:p>
                    <w:p w14:paraId="529DD10C" w14:textId="77777777" w:rsidR="009108B8" w:rsidRDefault="009108B8" w:rsidP="00340F89">
                      <w:pPr>
                        <w:rPr>
                          <w:rFonts w:ascii="Arial" w:hAnsi="Arial" w:cs="Arial"/>
                          <w:iCs/>
                          <w:color w:val="365F91" w:themeColor="accent1" w:themeShade="BF"/>
                          <w:sz w:val="20"/>
                          <w:szCs w:val="20"/>
                        </w:rPr>
                      </w:pPr>
                      <w:r w:rsidRPr="00EC7112">
                        <w:rPr>
                          <w:rFonts w:ascii="Arial" w:hAnsi="Arial" w:cs="Arial"/>
                          <w:iCs/>
                          <w:color w:val="365F91" w:themeColor="accent1" w:themeShade="BF"/>
                          <w:sz w:val="20"/>
                          <w:szCs w:val="20"/>
                        </w:rPr>
                        <w:t>5.  Increase to 20 inches TL.</w:t>
                      </w:r>
                    </w:p>
                    <w:p w14:paraId="0B699BF8" w14:textId="77777777" w:rsidR="009108B8" w:rsidRDefault="009108B8" w:rsidP="00340F89">
                      <w:pPr>
                        <w:rPr>
                          <w:rFonts w:ascii="Arial" w:hAnsi="Arial" w:cs="Arial"/>
                          <w:iCs/>
                          <w:color w:val="365F91" w:themeColor="accent1" w:themeShade="BF"/>
                          <w:sz w:val="20"/>
                          <w:szCs w:val="20"/>
                        </w:rPr>
                      </w:pPr>
                    </w:p>
                    <w:p w14:paraId="6D912E11" w14:textId="77777777" w:rsidR="009108B8" w:rsidRPr="00EC7112" w:rsidRDefault="009108B8" w:rsidP="00340F89">
                      <w:pPr>
                        <w:rPr>
                          <w:rFonts w:ascii="Arial" w:hAnsi="Arial" w:cs="Arial"/>
                          <w:iCs/>
                          <w:color w:val="365F91" w:themeColor="accent1" w:themeShade="BF"/>
                          <w:sz w:val="20"/>
                          <w:szCs w:val="20"/>
                        </w:rPr>
                      </w:pPr>
                      <w:r>
                        <w:rPr>
                          <w:rFonts w:ascii="Arial" w:hAnsi="Arial" w:cs="Arial"/>
                          <w:iCs/>
                          <w:color w:val="365F91" w:themeColor="accent1" w:themeShade="BF"/>
                          <w:sz w:val="20"/>
                          <w:szCs w:val="20"/>
                        </w:rPr>
                        <w:t>* Preferred indicated in bold.  Refer to Chapter 2 for detailed language of alternatives</w:t>
                      </w:r>
                    </w:p>
                    <w:p w14:paraId="75A12C1F" w14:textId="77777777" w:rsidR="009108B8" w:rsidRPr="00EC7112" w:rsidRDefault="009108B8" w:rsidP="00340F89">
                      <w:pPr>
                        <w:rPr>
                          <w:rFonts w:ascii="Arial" w:hAnsi="Arial" w:cs="Arial"/>
                          <w:b/>
                          <w:i/>
                          <w:iCs/>
                          <w:color w:val="365F91" w:themeColor="accent1" w:themeShade="BF"/>
                          <w:sz w:val="20"/>
                          <w:szCs w:val="20"/>
                        </w:rPr>
                      </w:pPr>
                    </w:p>
                    <w:p w14:paraId="43269B78" w14:textId="77777777" w:rsidR="009108B8" w:rsidRDefault="009108B8" w:rsidP="00340F89">
                      <w:pPr>
                        <w:jc w:val="center"/>
                        <w:rPr>
                          <w:rFonts w:ascii="Arial" w:hAnsi="Arial" w:cs="Arial"/>
                          <w:b/>
                          <w:i/>
                          <w:iCs/>
                          <w:color w:val="365F91" w:themeColor="accent1" w:themeShade="BF"/>
                          <w:sz w:val="28"/>
                          <w:szCs w:val="28"/>
                        </w:rPr>
                      </w:pPr>
                    </w:p>
                    <w:p w14:paraId="3B272E53" w14:textId="77777777" w:rsidR="009108B8" w:rsidRPr="00F7179C" w:rsidRDefault="009108B8" w:rsidP="00340F89">
                      <w:pPr>
                        <w:ind w:left="540"/>
                        <w:contextualSpacing/>
                        <w:rPr>
                          <w:rFonts w:ascii="Arial" w:eastAsia="Courier New" w:hAnsi="Arial" w:cs="Arial"/>
                          <w:color w:val="1F497D" w:themeColor="text2"/>
                          <w:sz w:val="22"/>
                          <w:szCs w:val="22"/>
                        </w:rPr>
                      </w:pPr>
                    </w:p>
                    <w:p w14:paraId="6928F6EC" w14:textId="77777777" w:rsidR="009108B8" w:rsidRDefault="009108B8" w:rsidP="00340F89"/>
                  </w:txbxContent>
                </v:textbox>
                <w10:wrap type="square"/>
              </v:shape>
            </w:pict>
          </mc:Fallback>
        </mc:AlternateContent>
      </w:r>
    </w:p>
    <w:p w14:paraId="531AEF79" w14:textId="1C1366B3" w:rsidR="0010161A" w:rsidRDefault="0010161A" w:rsidP="0010161A">
      <w:pPr>
        <w:pStyle w:val="Heading3"/>
        <w:rPr>
          <w:rStyle w:val="Heading4Char1"/>
          <w:rFonts w:ascii="Arial" w:hAnsi="Arial" w:cs="Arial"/>
          <w:bCs w:val="0"/>
          <w:sz w:val="24"/>
          <w:szCs w:val="24"/>
        </w:rPr>
      </w:pPr>
      <w:bookmarkStart w:id="343" w:name="_Toc339811799"/>
      <w:r>
        <w:rPr>
          <w:rStyle w:val="Heading4Char1"/>
          <w:rFonts w:ascii="Arial" w:hAnsi="Arial" w:cs="Arial"/>
          <w:bCs w:val="0"/>
          <w:sz w:val="24"/>
          <w:szCs w:val="24"/>
        </w:rPr>
        <w:t>5.5</w:t>
      </w:r>
      <w:r w:rsidRPr="005B5A20">
        <w:rPr>
          <w:rStyle w:val="Heading4Char1"/>
          <w:rFonts w:ascii="Arial" w:hAnsi="Arial" w:cs="Arial"/>
          <w:bCs w:val="0"/>
          <w:sz w:val="24"/>
          <w:szCs w:val="24"/>
        </w:rPr>
        <w:t>.1</w:t>
      </w:r>
      <w:r w:rsidRPr="005B5A20">
        <w:rPr>
          <w:rStyle w:val="Heading4Char1"/>
          <w:rFonts w:ascii="Arial" w:hAnsi="Arial" w:cs="Arial"/>
          <w:bCs w:val="0"/>
          <w:sz w:val="24"/>
          <w:szCs w:val="24"/>
        </w:rPr>
        <w:tab/>
      </w:r>
      <w:r>
        <w:rPr>
          <w:rStyle w:val="Heading4Char1"/>
          <w:rFonts w:ascii="Arial" w:hAnsi="Arial" w:cs="Arial"/>
          <w:bCs w:val="0"/>
          <w:sz w:val="24"/>
          <w:szCs w:val="24"/>
        </w:rPr>
        <w:t>Snapper Grouper AP</w:t>
      </w:r>
      <w:r w:rsidRPr="005B5A20">
        <w:rPr>
          <w:rStyle w:val="Heading4Char1"/>
          <w:rFonts w:ascii="Arial" w:hAnsi="Arial" w:cs="Arial"/>
          <w:bCs w:val="0"/>
          <w:sz w:val="24"/>
          <w:szCs w:val="24"/>
        </w:rPr>
        <w:t xml:space="preserve"> Comments and Recommendations</w:t>
      </w:r>
      <w:bookmarkEnd w:id="343"/>
    </w:p>
    <w:p w14:paraId="4B61CEB9" w14:textId="03445FDA" w:rsidR="0010161A" w:rsidRDefault="00F4278F" w:rsidP="00F4278F">
      <w:pPr>
        <w:ind w:firstLine="360"/>
      </w:pPr>
      <w:r w:rsidRPr="00F4278F">
        <w:t>The Snapper Grouper AP discussed Amendm</w:t>
      </w:r>
      <w:r>
        <w:t>ent 41 during their April 26-27,</w:t>
      </w:r>
      <w:r w:rsidRPr="00F4278F">
        <w:t xml:space="preserve"> 2016 meeting.  At that time, actions in Amendment 41 were numbered differently and revisions have been made to the language of actions and alternatives in the amendment.  Hence, the AP’s motions may not reflect the chronology of actions/alternatives or the current language.  The AP approved the following motion regarding modification of the </w:t>
      </w:r>
      <w:r>
        <w:t xml:space="preserve">commercial and recreational minimum size limit </w:t>
      </w:r>
      <w:r w:rsidRPr="00F4278F">
        <w:t>for mutton snapper in the South Atlantic.</w:t>
      </w:r>
    </w:p>
    <w:p w14:paraId="5C07BC5F" w14:textId="77777777" w:rsidR="00F4278F" w:rsidRDefault="00F4278F" w:rsidP="00F4278F"/>
    <w:p w14:paraId="3655D9E2" w14:textId="77777777" w:rsidR="00F4278F" w:rsidRDefault="00F4278F" w:rsidP="00F4278F">
      <w:r w:rsidRPr="007218B7">
        <w:t xml:space="preserve">MOTION: RECOMMEND ALTERNATIVE 3 AS PREFERRED UNDER ACTION 8 </w:t>
      </w:r>
    </w:p>
    <w:p w14:paraId="16948B4C" w14:textId="77777777" w:rsidR="00F4278F" w:rsidRPr="007218B7" w:rsidRDefault="00F4278F" w:rsidP="00F4278F">
      <w:pPr>
        <w:rPr>
          <w:i/>
        </w:rPr>
      </w:pPr>
      <w:r w:rsidRPr="007218B7">
        <w:rPr>
          <w:i/>
        </w:rPr>
        <w:t>Action 8.  Modify mutton snapper minimum size limit in the South Atlantic region</w:t>
      </w:r>
    </w:p>
    <w:p w14:paraId="5BB08E11" w14:textId="77777777" w:rsidR="00F4278F" w:rsidRPr="007218B7" w:rsidRDefault="00F4278F" w:rsidP="00F4278F">
      <w:r w:rsidRPr="007218B7">
        <w:rPr>
          <w:b/>
        </w:rPr>
        <w:t>Alternative 3.</w:t>
      </w:r>
      <w:r w:rsidRPr="007218B7">
        <w:t xml:space="preserve">  Increase the minimum size limit for mutton snapper in the South Atlantic region to 18 inches TL.</w:t>
      </w:r>
    </w:p>
    <w:p w14:paraId="2FD26ABE" w14:textId="77777777" w:rsidR="00F4278F" w:rsidRPr="00D92EC7" w:rsidRDefault="00F4278F" w:rsidP="00F4278F"/>
    <w:p w14:paraId="024459EA" w14:textId="01A3E30D" w:rsidR="0010161A" w:rsidRDefault="0010161A" w:rsidP="0010161A">
      <w:pPr>
        <w:pStyle w:val="Heading3"/>
        <w:rPr>
          <w:rStyle w:val="Heading4Char1"/>
          <w:rFonts w:ascii="Arial" w:hAnsi="Arial" w:cs="Arial"/>
          <w:bCs w:val="0"/>
          <w:sz w:val="24"/>
          <w:szCs w:val="24"/>
        </w:rPr>
      </w:pPr>
      <w:bookmarkStart w:id="344" w:name="_Toc339811800"/>
      <w:r>
        <w:rPr>
          <w:rStyle w:val="Heading4Char1"/>
          <w:rFonts w:ascii="Arial" w:hAnsi="Arial" w:cs="Arial"/>
          <w:bCs w:val="0"/>
          <w:sz w:val="24"/>
          <w:szCs w:val="24"/>
        </w:rPr>
        <w:t>5.5</w:t>
      </w:r>
      <w:r w:rsidRPr="005B5A20">
        <w:rPr>
          <w:rStyle w:val="Heading4Char1"/>
          <w:rFonts w:ascii="Arial" w:hAnsi="Arial" w:cs="Arial"/>
          <w:bCs w:val="0"/>
          <w:sz w:val="24"/>
          <w:szCs w:val="24"/>
        </w:rPr>
        <w:t>.</w:t>
      </w:r>
      <w:r>
        <w:rPr>
          <w:rStyle w:val="Heading4Char1"/>
          <w:rFonts w:ascii="Arial" w:hAnsi="Arial" w:cs="Arial"/>
          <w:bCs w:val="0"/>
          <w:sz w:val="24"/>
          <w:szCs w:val="24"/>
        </w:rPr>
        <w:t>2</w:t>
      </w:r>
      <w:r w:rsidRPr="005B5A20">
        <w:rPr>
          <w:rStyle w:val="Heading4Char1"/>
          <w:rFonts w:ascii="Arial" w:hAnsi="Arial" w:cs="Arial"/>
          <w:bCs w:val="0"/>
          <w:sz w:val="24"/>
          <w:szCs w:val="24"/>
        </w:rPr>
        <w:tab/>
      </w:r>
      <w:r>
        <w:rPr>
          <w:rStyle w:val="Heading4Char1"/>
          <w:rFonts w:ascii="Arial" w:hAnsi="Arial" w:cs="Arial"/>
          <w:bCs w:val="0"/>
          <w:sz w:val="24"/>
          <w:szCs w:val="24"/>
        </w:rPr>
        <w:t>Law Enforcement AP</w:t>
      </w:r>
      <w:r w:rsidRPr="005B5A20">
        <w:rPr>
          <w:rStyle w:val="Heading4Char1"/>
          <w:rFonts w:ascii="Arial" w:hAnsi="Arial" w:cs="Arial"/>
          <w:bCs w:val="0"/>
          <w:sz w:val="24"/>
          <w:szCs w:val="24"/>
        </w:rPr>
        <w:t xml:space="preserve"> Comments and Recommendations</w:t>
      </w:r>
      <w:bookmarkEnd w:id="344"/>
    </w:p>
    <w:p w14:paraId="3A878C34" w14:textId="77777777" w:rsidR="00D96DA5" w:rsidRPr="008B07B5" w:rsidRDefault="00D96DA5" w:rsidP="00D96DA5">
      <w:pPr>
        <w:ind w:firstLine="360"/>
      </w:pPr>
      <w:r w:rsidRPr="008B07B5">
        <w:t xml:space="preserve">The </w:t>
      </w:r>
      <w:r>
        <w:t>Law Enforcement AP received a briefing on Amendment 41 during their March 7-8, 2016 meeting.  The Law Enforcement AP had no comments or recommendations.</w:t>
      </w:r>
    </w:p>
    <w:p w14:paraId="133A1D28" w14:textId="77777777" w:rsidR="0010161A" w:rsidRPr="002A1479" w:rsidRDefault="0010161A" w:rsidP="0010161A">
      <w:pPr>
        <w:ind w:firstLine="360"/>
        <w:rPr>
          <w:b/>
        </w:rPr>
      </w:pPr>
    </w:p>
    <w:p w14:paraId="377D5563" w14:textId="40E4A3FC" w:rsidR="0010161A" w:rsidRDefault="0010161A" w:rsidP="0010161A">
      <w:pPr>
        <w:pStyle w:val="Heading3"/>
        <w:rPr>
          <w:rStyle w:val="Heading4Char1"/>
          <w:rFonts w:ascii="Arial" w:hAnsi="Arial" w:cs="Arial"/>
          <w:bCs w:val="0"/>
          <w:sz w:val="24"/>
          <w:szCs w:val="24"/>
        </w:rPr>
      </w:pPr>
      <w:bookmarkStart w:id="345" w:name="_Toc339811801"/>
      <w:r>
        <w:rPr>
          <w:rStyle w:val="Heading4Char1"/>
          <w:rFonts w:ascii="Arial" w:hAnsi="Arial" w:cs="Arial"/>
          <w:bCs w:val="0"/>
          <w:sz w:val="24"/>
          <w:szCs w:val="24"/>
        </w:rPr>
        <w:t>5.5</w:t>
      </w:r>
      <w:r w:rsidRPr="005B5A20">
        <w:rPr>
          <w:rStyle w:val="Heading4Char1"/>
          <w:rFonts w:ascii="Arial" w:hAnsi="Arial" w:cs="Arial"/>
          <w:bCs w:val="0"/>
          <w:sz w:val="24"/>
          <w:szCs w:val="24"/>
        </w:rPr>
        <w:t>.</w:t>
      </w:r>
      <w:r>
        <w:rPr>
          <w:rStyle w:val="Heading4Char1"/>
          <w:rFonts w:ascii="Arial" w:hAnsi="Arial" w:cs="Arial"/>
          <w:bCs w:val="0"/>
          <w:sz w:val="24"/>
          <w:szCs w:val="24"/>
        </w:rPr>
        <w:t>3</w:t>
      </w:r>
      <w:r w:rsidRPr="005B5A20">
        <w:rPr>
          <w:rStyle w:val="Heading4Char1"/>
          <w:rFonts w:ascii="Arial" w:hAnsi="Arial" w:cs="Arial"/>
          <w:bCs w:val="0"/>
          <w:sz w:val="24"/>
          <w:szCs w:val="24"/>
        </w:rPr>
        <w:tab/>
      </w:r>
      <w:r>
        <w:rPr>
          <w:rStyle w:val="Heading4Char1"/>
          <w:rFonts w:ascii="Arial" w:hAnsi="Arial" w:cs="Arial"/>
          <w:bCs w:val="0"/>
          <w:sz w:val="24"/>
          <w:szCs w:val="24"/>
        </w:rPr>
        <w:t>Scientific and Statistical Committee</w:t>
      </w:r>
      <w:r w:rsidRPr="005B5A20">
        <w:rPr>
          <w:rStyle w:val="Heading4Char1"/>
          <w:rFonts w:ascii="Arial" w:hAnsi="Arial" w:cs="Arial"/>
          <w:bCs w:val="0"/>
          <w:sz w:val="24"/>
          <w:szCs w:val="24"/>
        </w:rPr>
        <w:t xml:space="preserve"> Comments and Recommendations</w:t>
      </w:r>
      <w:bookmarkEnd w:id="345"/>
    </w:p>
    <w:p w14:paraId="6FDB0126" w14:textId="77777777" w:rsidR="006C1CC0" w:rsidRPr="008942D1" w:rsidRDefault="006C1CC0" w:rsidP="006C1CC0">
      <w:pPr>
        <w:ind w:firstLine="360"/>
      </w:pPr>
      <w:r>
        <w:t xml:space="preserve">During their May 3-5, 2016 meeting, the SSC received a summary document detailing actions and alternatives in Amendment 41 as well as preliminary analyses.  Due to lack of time, the SSC did not discuss the amendment at that meeting.  During their October 18-20, 2016 meeting, the SSC received a briefing on the analyses used to support management actions in Amendment 41.  The SSC did not have any comments or recommendations. </w:t>
      </w:r>
    </w:p>
    <w:p w14:paraId="5E4176E1" w14:textId="77777777" w:rsidR="0010161A" w:rsidRPr="008942D1" w:rsidRDefault="0010161A" w:rsidP="0010161A"/>
    <w:p w14:paraId="107A6D42" w14:textId="5E2A4A34" w:rsidR="0010161A" w:rsidRDefault="0010161A" w:rsidP="0010161A">
      <w:pPr>
        <w:pStyle w:val="Heading3"/>
        <w:rPr>
          <w:rStyle w:val="Heading4Char1"/>
          <w:rFonts w:ascii="Arial" w:hAnsi="Arial" w:cs="Arial"/>
          <w:bCs w:val="0"/>
          <w:sz w:val="24"/>
          <w:szCs w:val="24"/>
        </w:rPr>
      </w:pPr>
      <w:bookmarkStart w:id="346" w:name="_Toc339811802"/>
      <w:r>
        <w:rPr>
          <w:rStyle w:val="Heading4Char1"/>
          <w:rFonts w:ascii="Arial" w:hAnsi="Arial" w:cs="Arial"/>
          <w:bCs w:val="0"/>
          <w:sz w:val="24"/>
          <w:szCs w:val="24"/>
        </w:rPr>
        <w:t>5.5</w:t>
      </w:r>
      <w:r w:rsidRPr="005B5A20">
        <w:rPr>
          <w:rStyle w:val="Heading4Char1"/>
          <w:rFonts w:ascii="Arial" w:hAnsi="Arial" w:cs="Arial"/>
          <w:bCs w:val="0"/>
          <w:sz w:val="24"/>
          <w:szCs w:val="24"/>
        </w:rPr>
        <w:t>.</w:t>
      </w:r>
      <w:r>
        <w:rPr>
          <w:rStyle w:val="Heading4Char1"/>
          <w:rFonts w:ascii="Arial" w:hAnsi="Arial" w:cs="Arial"/>
          <w:bCs w:val="0"/>
          <w:sz w:val="24"/>
          <w:szCs w:val="24"/>
        </w:rPr>
        <w:t>4</w:t>
      </w:r>
      <w:r w:rsidRPr="005B5A20">
        <w:rPr>
          <w:rStyle w:val="Heading4Char1"/>
          <w:rFonts w:ascii="Arial" w:hAnsi="Arial" w:cs="Arial"/>
          <w:bCs w:val="0"/>
          <w:sz w:val="24"/>
          <w:szCs w:val="24"/>
        </w:rPr>
        <w:tab/>
        <w:t>Public Comments and Recommendations</w:t>
      </w:r>
      <w:bookmarkEnd w:id="346"/>
    </w:p>
    <w:p w14:paraId="5841B39E" w14:textId="77777777" w:rsidR="001F0E66" w:rsidRDefault="001F0E66" w:rsidP="001F0E66">
      <w:pPr>
        <w:ind w:firstLine="360"/>
      </w:pPr>
      <w:r>
        <w:t xml:space="preserve">The South Atlantic Council held scoping meetings for Amendment 41 </w:t>
      </w:r>
      <w:r w:rsidRPr="00896911">
        <w:t xml:space="preserve">from January 25 to February 3, 2016.  Meetings in Florida were held in conjunction with workshops conducted by the Florida Fish and Wildlife Conservation Commission (FWC). </w:t>
      </w:r>
      <w:r>
        <w:t xml:space="preserve"> Public hearings were held</w:t>
      </w:r>
      <w:r w:rsidRPr="00896911">
        <w:t xml:space="preserve"> </w:t>
      </w:r>
      <w:r>
        <w:t>via</w:t>
      </w:r>
      <w:r w:rsidRPr="00896911">
        <w:t xml:space="preserve"> </w:t>
      </w:r>
      <w:r>
        <w:t>webinar on August 2, 2016 and</w:t>
      </w:r>
      <w:r w:rsidRPr="00896911">
        <w:t xml:space="preserve"> in-person on August 15-17</w:t>
      </w:r>
      <w:r>
        <w:t>, 2016</w:t>
      </w:r>
      <w:r w:rsidRPr="00896911">
        <w:t>.</w:t>
      </w:r>
    </w:p>
    <w:p w14:paraId="578AC283" w14:textId="77777777" w:rsidR="005C4A84" w:rsidRDefault="005C4A84" w:rsidP="001F0E66">
      <w:pPr>
        <w:ind w:firstLine="360"/>
      </w:pPr>
    </w:p>
    <w:p w14:paraId="0A9D20AF" w14:textId="7BDD4B83" w:rsidR="001F0E66" w:rsidRPr="001F0E66" w:rsidRDefault="001F0E66" w:rsidP="001F0E66">
      <w:pPr>
        <w:rPr>
          <w:u w:val="single"/>
        </w:rPr>
      </w:pPr>
      <w:r w:rsidRPr="001F0E66">
        <w:rPr>
          <w:u w:val="single"/>
        </w:rPr>
        <w:t>Summary of scoping comments:</w:t>
      </w:r>
    </w:p>
    <w:p w14:paraId="084A4125" w14:textId="78E43CD3" w:rsidR="001F0E66" w:rsidRPr="001F0E66" w:rsidRDefault="001F0E66" w:rsidP="001C1373">
      <w:pPr>
        <w:pStyle w:val="ListParagraph"/>
        <w:numPr>
          <w:ilvl w:val="0"/>
          <w:numId w:val="35"/>
        </w:numPr>
        <w:spacing w:line="240" w:lineRule="auto"/>
        <w:rPr>
          <w:rFonts w:ascii="Times New Roman" w:hAnsi="Times New Roman"/>
          <w:sz w:val="24"/>
          <w:szCs w:val="24"/>
        </w:rPr>
      </w:pPr>
      <w:r w:rsidRPr="001F0E66">
        <w:rPr>
          <w:rFonts w:ascii="Times New Roman" w:hAnsi="Times New Roman"/>
          <w:sz w:val="24"/>
          <w:szCs w:val="24"/>
        </w:rPr>
        <w:t>Suggestions to consider increasing the minimum size limit to 18 inches, 20 inches, and 24 inches.</w:t>
      </w:r>
    </w:p>
    <w:p w14:paraId="23B1D926" w14:textId="66FE696E" w:rsidR="001F0E66" w:rsidRPr="001F0E66" w:rsidRDefault="001F0E66" w:rsidP="001C1373">
      <w:pPr>
        <w:pStyle w:val="ListParagraph"/>
        <w:numPr>
          <w:ilvl w:val="0"/>
          <w:numId w:val="35"/>
        </w:numPr>
        <w:spacing w:line="240" w:lineRule="auto"/>
        <w:rPr>
          <w:rFonts w:ascii="Times New Roman" w:hAnsi="Times New Roman"/>
          <w:sz w:val="24"/>
          <w:szCs w:val="24"/>
        </w:rPr>
      </w:pPr>
      <w:r w:rsidRPr="001F0E66">
        <w:rPr>
          <w:rFonts w:ascii="Times New Roman" w:hAnsi="Times New Roman"/>
          <w:sz w:val="24"/>
          <w:szCs w:val="24"/>
        </w:rPr>
        <w:t xml:space="preserve">Consider a larger size limit for “on the water” vs. “from shore” to also give shore fishermen access to the resource. </w:t>
      </w:r>
    </w:p>
    <w:p w14:paraId="57BA00C2" w14:textId="6D2D7F14" w:rsidR="001F0E66" w:rsidRPr="001F0E66" w:rsidRDefault="001F0E66" w:rsidP="001C1373">
      <w:pPr>
        <w:pStyle w:val="ListParagraph"/>
        <w:numPr>
          <w:ilvl w:val="0"/>
          <w:numId w:val="35"/>
        </w:numPr>
        <w:spacing w:line="240" w:lineRule="auto"/>
        <w:rPr>
          <w:rFonts w:ascii="Times New Roman" w:hAnsi="Times New Roman"/>
          <w:sz w:val="24"/>
          <w:szCs w:val="24"/>
        </w:rPr>
      </w:pPr>
      <w:r w:rsidRPr="001F0E66">
        <w:rPr>
          <w:rFonts w:ascii="Times New Roman" w:hAnsi="Times New Roman"/>
          <w:sz w:val="24"/>
          <w:szCs w:val="24"/>
        </w:rPr>
        <w:t xml:space="preserve">Suggestion to remove size limit but set bag limit at 2 per person per day year round. And </w:t>
      </w:r>
      <w:r>
        <w:rPr>
          <w:rFonts w:ascii="Times New Roman" w:hAnsi="Times New Roman"/>
          <w:sz w:val="24"/>
          <w:szCs w:val="24"/>
        </w:rPr>
        <w:t xml:space="preserve">allow </w:t>
      </w:r>
      <w:r w:rsidRPr="001F0E66">
        <w:rPr>
          <w:rFonts w:ascii="Times New Roman" w:hAnsi="Times New Roman"/>
          <w:sz w:val="24"/>
          <w:szCs w:val="24"/>
        </w:rPr>
        <w:t>only one fish over 25 inches.</w:t>
      </w:r>
    </w:p>
    <w:p w14:paraId="73A6CA29" w14:textId="6F0DECAD" w:rsidR="001F0E66" w:rsidRDefault="001F0E66" w:rsidP="001F0E66">
      <w:pPr>
        <w:pStyle w:val="ListParagraph"/>
        <w:numPr>
          <w:ilvl w:val="0"/>
          <w:numId w:val="35"/>
        </w:numPr>
        <w:spacing w:line="240" w:lineRule="auto"/>
      </w:pPr>
      <w:r w:rsidRPr="001F0E66">
        <w:rPr>
          <w:rFonts w:ascii="Times New Roman" w:hAnsi="Times New Roman"/>
          <w:sz w:val="24"/>
          <w:szCs w:val="24"/>
        </w:rPr>
        <w:t xml:space="preserve">Some </w:t>
      </w:r>
      <w:r>
        <w:rPr>
          <w:rFonts w:ascii="Times New Roman" w:hAnsi="Times New Roman"/>
          <w:sz w:val="24"/>
          <w:szCs w:val="24"/>
        </w:rPr>
        <w:t xml:space="preserve">stakeholders were </w:t>
      </w:r>
      <w:r w:rsidRPr="001F0E66">
        <w:rPr>
          <w:rFonts w:ascii="Times New Roman" w:hAnsi="Times New Roman"/>
          <w:sz w:val="24"/>
          <w:szCs w:val="24"/>
        </w:rPr>
        <w:t>not in favor of increasing size limit because of subsequent i</w:t>
      </w:r>
      <w:r>
        <w:rPr>
          <w:rFonts w:ascii="Times New Roman" w:hAnsi="Times New Roman"/>
          <w:sz w:val="24"/>
          <w:szCs w:val="24"/>
        </w:rPr>
        <w:t xml:space="preserve">ncrease in regulatory discards and suggested considering </w:t>
      </w:r>
      <w:r w:rsidRPr="001F0E66">
        <w:rPr>
          <w:rFonts w:ascii="Times New Roman" w:hAnsi="Times New Roman"/>
          <w:sz w:val="24"/>
          <w:szCs w:val="24"/>
        </w:rPr>
        <w:t>regulations where a percentage of the catch can be undersize.</w:t>
      </w:r>
    </w:p>
    <w:p w14:paraId="60A6848C" w14:textId="6F37E039" w:rsidR="001F0E66" w:rsidRPr="001F0E66" w:rsidRDefault="001F0E66" w:rsidP="001F0E66">
      <w:pPr>
        <w:rPr>
          <w:u w:val="single"/>
        </w:rPr>
      </w:pPr>
      <w:r w:rsidRPr="001F0E66">
        <w:rPr>
          <w:u w:val="single"/>
        </w:rPr>
        <w:t>Summary of public hearing comments:</w:t>
      </w:r>
    </w:p>
    <w:p w14:paraId="31D5839E" w14:textId="3BF63C23" w:rsidR="001F0E66" w:rsidRPr="001F0E66" w:rsidRDefault="001F0E66" w:rsidP="001C1373">
      <w:pPr>
        <w:pStyle w:val="ListParagraph"/>
        <w:numPr>
          <w:ilvl w:val="0"/>
          <w:numId w:val="36"/>
        </w:numPr>
        <w:spacing w:line="240" w:lineRule="auto"/>
        <w:rPr>
          <w:rFonts w:ascii="Times New Roman" w:hAnsi="Times New Roman"/>
          <w:sz w:val="24"/>
          <w:szCs w:val="24"/>
        </w:rPr>
      </w:pPr>
      <w:r w:rsidRPr="001F0E66">
        <w:rPr>
          <w:rFonts w:ascii="Times New Roman" w:hAnsi="Times New Roman"/>
          <w:sz w:val="24"/>
          <w:szCs w:val="24"/>
        </w:rPr>
        <w:t>Three (3) commenters spoke in support for Alternative 1 (No Action)</w:t>
      </w:r>
      <w:r>
        <w:rPr>
          <w:rFonts w:ascii="Times New Roman" w:hAnsi="Times New Roman"/>
          <w:sz w:val="24"/>
          <w:szCs w:val="24"/>
        </w:rPr>
        <w:t>.</w:t>
      </w:r>
      <w:r w:rsidRPr="001F0E66">
        <w:rPr>
          <w:rFonts w:ascii="Times New Roman" w:hAnsi="Times New Roman"/>
          <w:sz w:val="24"/>
          <w:szCs w:val="24"/>
        </w:rPr>
        <w:t xml:space="preserve"> </w:t>
      </w:r>
    </w:p>
    <w:p w14:paraId="6727231B" w14:textId="706DE60D" w:rsidR="001F0E66" w:rsidRPr="001F0E66" w:rsidRDefault="001F0E66" w:rsidP="001C1373">
      <w:pPr>
        <w:pStyle w:val="ListParagraph"/>
        <w:numPr>
          <w:ilvl w:val="0"/>
          <w:numId w:val="36"/>
        </w:numPr>
        <w:spacing w:line="240" w:lineRule="auto"/>
        <w:rPr>
          <w:rFonts w:ascii="Times New Roman" w:hAnsi="Times New Roman"/>
          <w:sz w:val="24"/>
          <w:szCs w:val="24"/>
        </w:rPr>
      </w:pPr>
      <w:r w:rsidRPr="001F0E66">
        <w:rPr>
          <w:rFonts w:ascii="Times New Roman" w:hAnsi="Times New Roman"/>
          <w:sz w:val="24"/>
          <w:szCs w:val="24"/>
        </w:rPr>
        <w:t>Twenty four (24) commenters spoke in support of increasing the minimum size limit to 18 inches</w:t>
      </w:r>
      <w:r>
        <w:rPr>
          <w:rFonts w:ascii="Times New Roman" w:hAnsi="Times New Roman"/>
          <w:sz w:val="24"/>
          <w:szCs w:val="24"/>
        </w:rPr>
        <w:t>.</w:t>
      </w:r>
      <w:r w:rsidRPr="001F0E66">
        <w:rPr>
          <w:rFonts w:ascii="Times New Roman" w:hAnsi="Times New Roman"/>
          <w:sz w:val="24"/>
          <w:szCs w:val="24"/>
        </w:rPr>
        <w:t xml:space="preserve"> </w:t>
      </w:r>
    </w:p>
    <w:p w14:paraId="637AB36D" w14:textId="7C600DBA" w:rsidR="001F0E66" w:rsidRPr="001F0E66" w:rsidRDefault="001F0E66" w:rsidP="001C1373">
      <w:pPr>
        <w:pStyle w:val="ListParagraph"/>
        <w:numPr>
          <w:ilvl w:val="0"/>
          <w:numId w:val="36"/>
        </w:numPr>
        <w:spacing w:line="240" w:lineRule="auto"/>
        <w:rPr>
          <w:rFonts w:ascii="Times New Roman" w:hAnsi="Times New Roman"/>
          <w:sz w:val="24"/>
          <w:szCs w:val="24"/>
        </w:rPr>
      </w:pPr>
      <w:r w:rsidRPr="001F0E66">
        <w:rPr>
          <w:rFonts w:ascii="Times New Roman" w:hAnsi="Times New Roman"/>
          <w:sz w:val="24"/>
          <w:szCs w:val="24"/>
        </w:rPr>
        <w:t xml:space="preserve">Several people expressed concern about a possible increase in discard mortality problem with an increase in the minimum size limit. </w:t>
      </w:r>
    </w:p>
    <w:p w14:paraId="754236A9" w14:textId="0BFB981A" w:rsidR="001F0E66" w:rsidRPr="001F0E66" w:rsidRDefault="001F0E66" w:rsidP="001C1373">
      <w:pPr>
        <w:pStyle w:val="ListParagraph"/>
        <w:numPr>
          <w:ilvl w:val="0"/>
          <w:numId w:val="36"/>
        </w:numPr>
        <w:spacing w:line="240" w:lineRule="auto"/>
        <w:rPr>
          <w:rFonts w:ascii="Times New Roman" w:hAnsi="Times New Roman"/>
          <w:sz w:val="24"/>
          <w:szCs w:val="24"/>
        </w:rPr>
      </w:pPr>
      <w:r w:rsidRPr="001F0E66">
        <w:rPr>
          <w:rFonts w:ascii="Times New Roman" w:hAnsi="Times New Roman"/>
          <w:sz w:val="24"/>
          <w:szCs w:val="24"/>
        </w:rPr>
        <w:t>Three (3) commenters supported an increase to 20 inches minimum size.</w:t>
      </w:r>
    </w:p>
    <w:p w14:paraId="0837D7FA" w14:textId="4E06D6EA" w:rsidR="001F0E66" w:rsidRPr="001F0E66" w:rsidRDefault="001F0E66" w:rsidP="001C1373">
      <w:pPr>
        <w:pStyle w:val="ListParagraph"/>
        <w:numPr>
          <w:ilvl w:val="0"/>
          <w:numId w:val="36"/>
        </w:numPr>
        <w:spacing w:line="240" w:lineRule="auto"/>
        <w:rPr>
          <w:rFonts w:ascii="Times New Roman" w:hAnsi="Times New Roman"/>
          <w:sz w:val="24"/>
          <w:szCs w:val="24"/>
        </w:rPr>
      </w:pPr>
      <w:r w:rsidRPr="001F0E66">
        <w:rPr>
          <w:rFonts w:ascii="Times New Roman" w:hAnsi="Times New Roman"/>
          <w:sz w:val="24"/>
          <w:szCs w:val="24"/>
        </w:rPr>
        <w:t>Several commenters stated support for an increase in the size limit as long as the bag limit remains at 10 fish/person/day within the snapper aggregate.</w:t>
      </w:r>
    </w:p>
    <w:p w14:paraId="733B9977" w14:textId="00E86BF2" w:rsidR="0010161A" w:rsidRPr="001F0E66" w:rsidRDefault="001F0E66" w:rsidP="001C1373">
      <w:pPr>
        <w:pStyle w:val="ListParagraph"/>
        <w:numPr>
          <w:ilvl w:val="0"/>
          <w:numId w:val="36"/>
        </w:numPr>
        <w:spacing w:line="240" w:lineRule="auto"/>
        <w:rPr>
          <w:rFonts w:ascii="Times New Roman" w:hAnsi="Times New Roman"/>
          <w:sz w:val="24"/>
          <w:szCs w:val="24"/>
        </w:rPr>
      </w:pPr>
      <w:r w:rsidRPr="001F0E66">
        <w:rPr>
          <w:rFonts w:ascii="Times New Roman" w:hAnsi="Times New Roman"/>
          <w:sz w:val="24"/>
          <w:szCs w:val="24"/>
        </w:rPr>
        <w:t>Consider increasing the size limit for the commercial sector only as recreational fishermen, especially shore anglers, do not have access to fish larger than 14-15 inches.</w:t>
      </w:r>
    </w:p>
    <w:p w14:paraId="507B5334" w14:textId="75D9D183" w:rsidR="0010161A" w:rsidRPr="001F0E66" w:rsidRDefault="0010161A" w:rsidP="001F0E66">
      <w:pPr>
        <w:pStyle w:val="Heading3"/>
      </w:pPr>
      <w:bookmarkStart w:id="347" w:name="_Toc339811803"/>
      <w:r w:rsidRPr="001F0E66">
        <w:rPr>
          <w:rStyle w:val="Heading4Char1"/>
          <w:rFonts w:ascii="Arial" w:hAnsi="Arial" w:cs="Arial"/>
          <w:bCs w:val="0"/>
          <w:sz w:val="24"/>
          <w:szCs w:val="24"/>
        </w:rPr>
        <w:t>5.5.5</w:t>
      </w:r>
      <w:r w:rsidRPr="001F0E66">
        <w:rPr>
          <w:rStyle w:val="Heading4Char1"/>
          <w:rFonts w:ascii="Arial" w:hAnsi="Arial" w:cs="Arial"/>
          <w:bCs w:val="0"/>
          <w:sz w:val="24"/>
          <w:szCs w:val="24"/>
        </w:rPr>
        <w:tab/>
        <w:t xml:space="preserve">South Atlantic Council </w:t>
      </w:r>
      <w:r w:rsidR="009E03CE" w:rsidRPr="001F0E66">
        <w:rPr>
          <w:rStyle w:val="Heading4Char1"/>
          <w:rFonts w:ascii="Arial" w:hAnsi="Arial" w:cs="Arial"/>
          <w:bCs w:val="0"/>
          <w:sz w:val="24"/>
          <w:szCs w:val="24"/>
        </w:rPr>
        <w:t>Rationale</w:t>
      </w:r>
      <w:bookmarkEnd w:id="347"/>
    </w:p>
    <w:p w14:paraId="4D26728A" w14:textId="03D7CE18" w:rsidR="00321980" w:rsidRDefault="00C84D6D" w:rsidP="00321980">
      <w:pPr>
        <w:ind w:firstLine="360"/>
      </w:pPr>
      <w:r>
        <w:t>At their March 2016 meeting, the South Atlantic Council approved a motion to add an action to Amendment 41 to consider increasing the minimum size limit of mutton snapper. During scoping meetings held in early 2016 stakeholders consistently suggested an increase in the minimum size limit for mutton snapper, particularly in the Florida Keys.  The Florida Fish and Wildlife Conservation Commission (FWC) also held workshops during the same time and the FWC representative on the South Atlantic Council reported much public interest in incr</w:t>
      </w:r>
      <w:r w:rsidR="00321980">
        <w:t>easing the mutton</w:t>
      </w:r>
      <w:r>
        <w:t xml:space="preserve"> snapper minimum size limit for both the commercial and recreational sectors.  Not only does rece</w:t>
      </w:r>
      <w:r w:rsidR="00321980">
        <w:t>nt scientific research support</w:t>
      </w:r>
      <w:r>
        <w:t xml:space="preserve"> such an increase based on the reproductive</w:t>
      </w:r>
      <w:r w:rsidR="00321980">
        <w:t xml:space="preserve"> biology of mutton snapper, it is also the single most effective change to current management measures (based on projected landings) to achieve the necessary reduction in harvest to keep landings below the proposed annual catch limit </w:t>
      </w:r>
      <w:r>
        <w:t xml:space="preserve">(see </w:t>
      </w:r>
      <w:r w:rsidRPr="00321980">
        <w:rPr>
          <w:b/>
        </w:rPr>
        <w:t>Section 4.</w:t>
      </w:r>
      <w:r w:rsidR="00321980" w:rsidRPr="00321980">
        <w:rPr>
          <w:b/>
        </w:rPr>
        <w:t>5.1</w:t>
      </w:r>
      <w:r w:rsidR="00321980">
        <w:t xml:space="preserve">).  Hence, the South Atlantic Council concluded that </w:t>
      </w:r>
      <w:r w:rsidR="00321980">
        <w:rPr>
          <w:b/>
        </w:rPr>
        <w:t>Preferred Alternative 3</w:t>
      </w:r>
      <w:r w:rsidR="00321980" w:rsidRPr="00A940E4">
        <w:t xml:space="preserve"> </w:t>
      </w:r>
      <w:r w:rsidR="00321980">
        <w:t xml:space="preserve">best meets the purpose to </w:t>
      </w:r>
      <w:r w:rsidR="00321980" w:rsidRPr="00380482">
        <w:rPr>
          <w:iCs/>
        </w:rPr>
        <w:t xml:space="preserve">revise management measures for the </w:t>
      </w:r>
      <w:r w:rsidR="00321980">
        <w:rPr>
          <w:iCs/>
        </w:rPr>
        <w:t>mutton snapper</w:t>
      </w:r>
      <w:r w:rsidR="00321980" w:rsidRPr="00380482">
        <w:rPr>
          <w:iCs/>
        </w:rPr>
        <w:t xml:space="preserve"> component of the snapper grouper fishery</w:t>
      </w:r>
      <w:r w:rsidR="00321980">
        <w:rPr>
          <w:iCs/>
        </w:rPr>
        <w:t xml:space="preserve"> based on the results of the most recent stock assessment and base management on the best scientific information available to achieve and maintain optimum yield and to </w:t>
      </w:r>
      <w:r w:rsidR="00321980" w:rsidRPr="00380482">
        <w:rPr>
          <w:iCs/>
        </w:rPr>
        <w:t>prevent</w:t>
      </w:r>
      <w:r w:rsidR="00321980">
        <w:rPr>
          <w:iCs/>
        </w:rPr>
        <w:t xml:space="preserve"> </w:t>
      </w:r>
      <w:r w:rsidR="00321980" w:rsidRPr="00380482">
        <w:rPr>
          <w:iCs/>
        </w:rPr>
        <w:t xml:space="preserve">overfishing </w:t>
      </w:r>
      <w:r w:rsidR="00321980" w:rsidRPr="003A2DF3">
        <w:rPr>
          <w:iCs/>
        </w:rPr>
        <w:t>while minimizing</w:t>
      </w:r>
      <w:r w:rsidR="00321980">
        <w:rPr>
          <w:iCs/>
        </w:rPr>
        <w:t xml:space="preserve"> </w:t>
      </w:r>
      <w:r w:rsidR="00321980" w:rsidRPr="003A2DF3">
        <w:rPr>
          <w:iCs/>
        </w:rPr>
        <w:t>adverse social and economic effects</w:t>
      </w:r>
      <w:r w:rsidR="00321980" w:rsidRPr="00380482">
        <w:rPr>
          <w:iCs/>
        </w:rPr>
        <w:t>.</w:t>
      </w:r>
      <w:r w:rsidR="00321980">
        <w:t xml:space="preserve">  The preferred alternative also best meets the objectives of the Snapper Grouper Fishery Management Plan, as amended, while complying with the requirements of the Magnuson-Stevens Fishery Conservation and Management Act and other applicable law.</w:t>
      </w:r>
    </w:p>
    <w:p w14:paraId="79AF1B80" w14:textId="77777777" w:rsidR="001F0D05" w:rsidRDefault="001F0D05" w:rsidP="00321980">
      <w:pPr>
        <w:ind w:firstLine="360"/>
      </w:pPr>
    </w:p>
    <w:p w14:paraId="3314D458" w14:textId="45D7D47B" w:rsidR="001F0D05" w:rsidRDefault="001F0D05" w:rsidP="001F0D05">
      <w:pPr>
        <w:pStyle w:val="Heading3"/>
      </w:pPr>
      <w:bookmarkStart w:id="348" w:name="_Toc339811804"/>
      <w:r>
        <w:lastRenderedPageBreak/>
        <w:t>5.5.6</w:t>
      </w:r>
      <w:r>
        <w:tab/>
        <w:t>How is this Action Addressing the Vision Blueprint for the Snapper Grouper Fishery?</w:t>
      </w:r>
      <w:bookmarkEnd w:id="348"/>
    </w:p>
    <w:p w14:paraId="4122F90E" w14:textId="77777777" w:rsidR="001F0D05" w:rsidRDefault="001F0D05" w:rsidP="001F0D05">
      <w:pPr>
        <w:ind w:firstLine="360"/>
      </w:pPr>
      <w:r>
        <w:t xml:space="preserve">The </w:t>
      </w:r>
      <w:r w:rsidRPr="000C459E">
        <w:t>Vision Blueprint for the Snapper Grouper Fishery</w:t>
      </w:r>
      <w:r>
        <w:t xml:space="preserve"> (Vision Blueprint) was approved in December 2015 and is intended to inform management of the snapper grouper fishery through 2020.  As such, the </w:t>
      </w:r>
      <w:r w:rsidRPr="000C459E">
        <w:t>Vision Blueprint</w:t>
      </w:r>
      <w:r>
        <w:t xml:space="preserve"> serves as a “living document” to help guide future management, builds on stakeholder input and how the South Atlantic Council envisions future management of the fishery, guides the development of new amendments that address priority objectives and strategies, and illustrates actions that could be developed through the regular amendment process.  The Vision Blueprint is organized into four strategic goal areas: (1) Science, (2) Management, (3) Communication, and (4) Governance.  </w:t>
      </w:r>
      <w:r w:rsidRPr="00AF6EE2">
        <w:t>Each goal area has a set of objectives, strategies, and actions.</w:t>
      </w:r>
    </w:p>
    <w:p w14:paraId="75B953B1" w14:textId="77777777" w:rsidR="001F0D05" w:rsidRDefault="001F0D05" w:rsidP="001F0D05"/>
    <w:p w14:paraId="4DBEFDA0" w14:textId="33D30E8C" w:rsidR="001F0D05" w:rsidRPr="00936465" w:rsidRDefault="001F0D05" w:rsidP="00321980">
      <w:pPr>
        <w:ind w:firstLine="360"/>
      </w:pPr>
      <w:r w:rsidRPr="007A2A5F">
        <w:rPr>
          <w:b/>
        </w:rPr>
        <w:t xml:space="preserve">Action </w:t>
      </w:r>
      <w:r>
        <w:rPr>
          <w:b/>
        </w:rPr>
        <w:t>5</w:t>
      </w:r>
      <w:r>
        <w:t xml:space="preserve"> to modify the minimum size limit for mutton snapper in the South Atlantic does not directly respond to objectives outlined in the Vision Blueprint; however, </w:t>
      </w:r>
      <w:r w:rsidR="007F51E0">
        <w:t>it addresses the broad Science goal to ensure that “</w:t>
      </w:r>
      <w:r w:rsidR="007F51E0" w:rsidRPr="00372F56">
        <w:rPr>
          <w:i/>
        </w:rPr>
        <w:t>management decisions for the snapper grouper fishery are based upon robust, defensible science that considers qualitative and quantitative data analyzed in a timely, clear, and transparent manner that builds stakeholder confidence</w:t>
      </w:r>
      <w:r w:rsidR="007F51E0" w:rsidRPr="00372F56">
        <w:t>.</w:t>
      </w:r>
      <w:r w:rsidR="007F51E0">
        <w:t xml:space="preserve">”  As explained in </w:t>
      </w:r>
      <w:r w:rsidR="007F51E0">
        <w:rPr>
          <w:b/>
        </w:rPr>
        <w:t>Section 4.5</w:t>
      </w:r>
      <w:r w:rsidR="007F51E0" w:rsidRPr="001050C1">
        <w:rPr>
          <w:b/>
        </w:rPr>
        <w:t>.1</w:t>
      </w:r>
      <w:r w:rsidR="007F51E0" w:rsidRPr="001050C1">
        <w:t xml:space="preserve">, </w:t>
      </w:r>
      <w:r w:rsidR="007F51E0">
        <w:t xml:space="preserve">recent </w:t>
      </w:r>
      <w:r w:rsidR="007F51E0" w:rsidRPr="001050C1">
        <w:t xml:space="preserve">scientific evidence suggests that the current minimum size limit </w:t>
      </w:r>
      <w:r w:rsidR="007F51E0">
        <w:t xml:space="preserve">of 16 inches (total length) </w:t>
      </w:r>
      <w:r w:rsidR="007F51E0" w:rsidRPr="001050C1">
        <w:t xml:space="preserve">is below the size at which </w:t>
      </w:r>
      <w:r w:rsidR="007F51E0">
        <w:t>mutton snapper</w:t>
      </w:r>
      <w:r w:rsidR="007F51E0" w:rsidRPr="001050C1">
        <w:t xml:space="preserve"> reach sexual maturity</w:t>
      </w:r>
      <w:r w:rsidR="007F51E0">
        <w:t xml:space="preserve">.  Allowing harvest of immature individuals might lead to negative impacts at the population level, affect the health of the mutton snapper resource and ultimately have negative socio-economic repercussions.  </w:t>
      </w:r>
      <w:r w:rsidR="007F51E0" w:rsidRPr="00864BEA">
        <w:rPr>
          <w:b/>
        </w:rPr>
        <w:t xml:space="preserve">Action </w:t>
      </w:r>
      <w:r w:rsidR="007F51E0">
        <w:rPr>
          <w:b/>
        </w:rPr>
        <w:t>5</w:t>
      </w:r>
      <w:r w:rsidR="00E66FE0">
        <w:t xml:space="preserve"> also addresses the broad M</w:t>
      </w:r>
      <w:r w:rsidR="007F51E0">
        <w:t xml:space="preserve">anagement goal to </w:t>
      </w:r>
      <w:r w:rsidR="007F51E0" w:rsidRPr="0052386D">
        <w:t>“</w:t>
      </w:r>
      <w:r w:rsidR="007F51E0" w:rsidRPr="0052386D">
        <w:rPr>
          <w:i/>
        </w:rPr>
        <w:t>adopt management strategies for the snapper grouper fishery that rebuild and maintain fishery resources, adapt to regional differences in the fishery, and consider the social and economic needs of fishing communities.</w:t>
      </w:r>
      <w:r w:rsidR="00E66FE0">
        <w:t xml:space="preserve">”  </w:t>
      </w:r>
      <w:r w:rsidR="007F51E0" w:rsidRPr="0052386D">
        <w:rPr>
          <w:b/>
        </w:rPr>
        <w:t xml:space="preserve">Action </w:t>
      </w:r>
      <w:r w:rsidR="007F51E0">
        <w:rPr>
          <w:b/>
        </w:rPr>
        <w:t>5</w:t>
      </w:r>
      <w:r w:rsidR="007F51E0">
        <w:t xml:space="preserve"> responds to the latest scientific information available while ensuring that utilization of the </w:t>
      </w:r>
      <w:r w:rsidR="00D641B8">
        <w:t>mutton snapper</w:t>
      </w:r>
      <w:r w:rsidR="007F51E0">
        <w:t xml:space="preserve"> resource can continue in a sustainable and biologically responsible manner.</w:t>
      </w:r>
      <w:r w:rsidR="00D641B8">
        <w:t xml:space="preserve">  </w:t>
      </w:r>
      <w:r w:rsidR="00E66FE0">
        <w:t xml:space="preserve">Furthermore, under the broad Management goal, </w:t>
      </w:r>
      <w:r w:rsidR="00E66FE0" w:rsidRPr="00F53CF7">
        <w:rPr>
          <w:b/>
        </w:rPr>
        <w:t>Action 5</w:t>
      </w:r>
      <w:r w:rsidR="00E66FE0">
        <w:t xml:space="preserve"> responds to Objective 2, Strategy 2.5 to </w:t>
      </w:r>
      <w:r w:rsidR="00E66FE0" w:rsidRPr="00E66FE0">
        <w:rPr>
          <w:i/>
        </w:rPr>
        <w:t>consider measure</w:t>
      </w:r>
      <w:r w:rsidR="00E66FE0">
        <w:rPr>
          <w:i/>
        </w:rPr>
        <w:t>s</w:t>
      </w:r>
      <w:r w:rsidR="00E66FE0" w:rsidRPr="00E66FE0">
        <w:rPr>
          <w:i/>
        </w:rPr>
        <w:t xml:space="preserve"> to simplify regulations for both sectors</w:t>
      </w:r>
      <w:r w:rsidR="00936465">
        <w:t xml:space="preserve"> since the South Atlantic Council worked closely with the FWC to consider regulations that would be compatible in state and federal waters to simplify the regulatory environment to benefit resource users as well as law enforcement.</w:t>
      </w:r>
    </w:p>
    <w:p w14:paraId="2633DE2A" w14:textId="58BC5C1C" w:rsidR="0010161A" w:rsidRDefault="0010161A" w:rsidP="00321980">
      <w:pPr>
        <w:ind w:firstLine="360"/>
      </w:pPr>
    </w:p>
    <w:p w14:paraId="2436340C" w14:textId="77777777" w:rsidR="00CE5FD2" w:rsidRDefault="00CE5FD2" w:rsidP="0010161A"/>
    <w:p w14:paraId="768EBDAD" w14:textId="77777777" w:rsidR="001F0D05" w:rsidRDefault="001F0D05">
      <w:pPr>
        <w:rPr>
          <w:rFonts w:ascii="Arial" w:hAnsi="Arial" w:cs="Arial"/>
          <w:b/>
          <w:bCs/>
          <w:iCs/>
          <w:sz w:val="28"/>
          <w:szCs w:val="28"/>
        </w:rPr>
      </w:pPr>
      <w:r>
        <w:rPr>
          <w:rFonts w:ascii="Arial" w:hAnsi="Arial" w:cs="Arial"/>
        </w:rPr>
        <w:br w:type="page"/>
      </w:r>
    </w:p>
    <w:p w14:paraId="2BAF3EF8" w14:textId="03FF5C90" w:rsidR="004A3C62" w:rsidRPr="004A3C62" w:rsidRDefault="0010161A" w:rsidP="004A3C62">
      <w:pPr>
        <w:pStyle w:val="Heading2"/>
        <w:rPr>
          <w:rFonts w:ascii="Arial" w:hAnsi="Arial" w:cs="Arial"/>
        </w:rPr>
      </w:pPr>
      <w:bookmarkStart w:id="349" w:name="_Toc339811805"/>
      <w:r>
        <w:rPr>
          <w:rFonts w:ascii="Arial" w:hAnsi="Arial" w:cs="Arial"/>
        </w:rPr>
        <w:lastRenderedPageBreak/>
        <w:t>5.6</w:t>
      </w:r>
      <w:r w:rsidR="004A3C62" w:rsidRPr="004A3C62">
        <w:rPr>
          <w:rFonts w:ascii="Arial" w:hAnsi="Arial" w:cs="Arial"/>
        </w:rPr>
        <w:tab/>
      </w:r>
      <w:r w:rsidR="005027F6" w:rsidRPr="00CD09B7">
        <w:rPr>
          <w:rStyle w:val="StyleHeading3CharTimesNewRoman12pt"/>
          <w:rFonts w:ascii="Arial" w:hAnsi="Arial"/>
          <w:b/>
          <w:sz w:val="28"/>
          <w:szCs w:val="28"/>
        </w:rPr>
        <w:t xml:space="preserve">Action </w:t>
      </w:r>
      <w:r>
        <w:rPr>
          <w:rStyle w:val="StyleHeading3CharTimesNewRoman12pt"/>
          <w:rFonts w:ascii="Arial" w:hAnsi="Arial"/>
          <w:b/>
          <w:sz w:val="28"/>
          <w:szCs w:val="28"/>
        </w:rPr>
        <w:t>6</w:t>
      </w:r>
      <w:r w:rsidR="005027F6" w:rsidRPr="00CD09B7">
        <w:rPr>
          <w:rStyle w:val="StyleHeading3CharTimesNewRoman12pt"/>
          <w:rFonts w:ascii="Arial" w:hAnsi="Arial"/>
          <w:b/>
          <w:sz w:val="28"/>
          <w:szCs w:val="28"/>
        </w:rPr>
        <w:t xml:space="preserve">.  </w:t>
      </w:r>
      <w:r w:rsidR="005027F6" w:rsidRPr="00EF32D8">
        <w:rPr>
          <w:rFonts w:ascii="Arial" w:hAnsi="Arial" w:cs="Arial"/>
        </w:rPr>
        <w:t xml:space="preserve">Designate spawning </w:t>
      </w:r>
      <w:r w:rsidR="00340F89">
        <w:rPr>
          <w:rFonts w:ascii="Arial" w:hAnsi="Arial" w:cs="Arial"/>
        </w:rPr>
        <w:t>months</w:t>
      </w:r>
      <w:r w:rsidR="005027F6" w:rsidRPr="00EF32D8">
        <w:rPr>
          <w:rFonts w:ascii="Arial" w:hAnsi="Arial" w:cs="Arial"/>
        </w:rPr>
        <w:t xml:space="preserve"> during which </w:t>
      </w:r>
      <w:r w:rsidR="00340F89">
        <w:rPr>
          <w:rFonts w:ascii="Arial" w:hAnsi="Arial" w:cs="Arial"/>
        </w:rPr>
        <w:t xml:space="preserve">certain </w:t>
      </w:r>
      <w:r w:rsidR="005027F6" w:rsidRPr="00EF32D8">
        <w:rPr>
          <w:rFonts w:ascii="Arial" w:hAnsi="Arial" w:cs="Arial"/>
        </w:rPr>
        <w:t>commercial and recreational management measures for mutton snapper should apply</w:t>
      </w:r>
      <w:r w:rsidR="005027F6">
        <w:rPr>
          <w:rFonts w:ascii="Arial" w:hAnsi="Arial" w:cs="Arial"/>
        </w:rPr>
        <w:t xml:space="preserve"> </w:t>
      </w:r>
      <w:r w:rsidR="00774344" w:rsidRPr="00464347">
        <w:rPr>
          <w:rFonts w:ascii="Arial" w:hAnsi="Arial" w:cs="Arial"/>
        </w:rPr>
        <w:t>in the South Atlantic R</w:t>
      </w:r>
      <w:r w:rsidR="005027F6" w:rsidRPr="00464347">
        <w:rPr>
          <w:rFonts w:ascii="Arial" w:hAnsi="Arial" w:cs="Arial"/>
        </w:rPr>
        <w:t>egion</w:t>
      </w:r>
      <w:bookmarkEnd w:id="349"/>
    </w:p>
    <w:p w14:paraId="40BBE497" w14:textId="77777777" w:rsidR="004A3C62" w:rsidRDefault="004A3C62" w:rsidP="00D71AB1"/>
    <w:p w14:paraId="0E1433DC" w14:textId="1719046A" w:rsidR="004A3C62" w:rsidRDefault="00340F89" w:rsidP="004A3C62">
      <w:pPr>
        <w:pStyle w:val="Heading3"/>
        <w:rPr>
          <w:rStyle w:val="Heading4Char1"/>
          <w:rFonts w:ascii="Arial" w:hAnsi="Arial" w:cs="Arial"/>
          <w:bCs w:val="0"/>
          <w:sz w:val="24"/>
          <w:szCs w:val="24"/>
        </w:rPr>
      </w:pPr>
      <w:bookmarkStart w:id="350" w:name="_Toc339811806"/>
      <w:r w:rsidRPr="00897AFB">
        <w:rPr>
          <w:noProof/>
          <w:color w:val="365F91" w:themeColor="accent1" w:themeShade="BF"/>
        </w:rPr>
        <mc:AlternateContent>
          <mc:Choice Requires="wps">
            <w:drawing>
              <wp:anchor distT="0" distB="0" distL="114300" distR="114300" simplePos="0" relativeHeight="251724288" behindDoc="0" locked="0" layoutInCell="1" allowOverlap="1" wp14:anchorId="3F5B8C3C" wp14:editId="361FB98E">
                <wp:simplePos x="0" y="0"/>
                <wp:positionH relativeFrom="margin">
                  <wp:posOffset>2976880</wp:posOffset>
                </wp:positionH>
                <wp:positionV relativeFrom="margin">
                  <wp:posOffset>912495</wp:posOffset>
                </wp:positionV>
                <wp:extent cx="2998470" cy="3254375"/>
                <wp:effectExtent l="25400" t="101600" r="125730" b="47625"/>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3254375"/>
                        </a:xfrm>
                        <a:prstGeom prst="rect">
                          <a:avLst/>
                        </a:prstGeom>
                        <a:solidFill>
                          <a:srgbClr val="FFFFFF"/>
                        </a:solidFill>
                        <a:ln w="9525">
                          <a:solidFill>
                            <a:schemeClr val="tx2">
                              <a:lumMod val="60000"/>
                              <a:lumOff val="40000"/>
                            </a:schemeClr>
                          </a:solidFill>
                          <a:miter lim="800000"/>
                          <a:headEnd/>
                          <a:tailEnd/>
                        </a:ln>
                        <a:effectLst>
                          <a:outerShdw blurRad="50800" dist="38100" dir="18900000" algn="bl" rotWithShape="0">
                            <a:prstClr val="black">
                              <a:alpha val="40000"/>
                            </a:prstClr>
                          </a:outerShdw>
                        </a:effectLst>
                      </wps:spPr>
                      <wps:txbx>
                        <w:txbxContent>
                          <w:p w14:paraId="6B65FCEF" w14:textId="77777777" w:rsidR="009108B8" w:rsidRPr="00FC03A7" w:rsidRDefault="009108B8" w:rsidP="00340F89">
                            <w:pPr>
                              <w:jc w:val="center"/>
                              <w:rPr>
                                <w:rFonts w:ascii="Arial" w:hAnsi="Arial" w:cs="Arial"/>
                                <w:b/>
                                <w:i/>
                                <w:iCs/>
                                <w:color w:val="365F91" w:themeColor="accent1" w:themeShade="BF"/>
                              </w:rPr>
                            </w:pPr>
                            <w:r w:rsidRPr="00FC03A7">
                              <w:rPr>
                                <w:rFonts w:ascii="Arial" w:hAnsi="Arial" w:cs="Arial"/>
                                <w:b/>
                                <w:i/>
                                <w:iCs/>
                                <w:color w:val="365F91" w:themeColor="accent1" w:themeShade="BF"/>
                              </w:rPr>
                              <w:t>Alternatives*</w:t>
                            </w:r>
                          </w:p>
                          <w:p w14:paraId="42A53FE1" w14:textId="77777777" w:rsidR="009108B8" w:rsidRDefault="009108B8" w:rsidP="00340F89">
                            <w:pPr>
                              <w:jc w:val="center"/>
                              <w:rPr>
                                <w:rFonts w:ascii="Arial" w:hAnsi="Arial" w:cs="Arial"/>
                                <w:b/>
                                <w:i/>
                                <w:iCs/>
                                <w:color w:val="365F91" w:themeColor="accent1" w:themeShade="BF"/>
                                <w:sz w:val="28"/>
                                <w:szCs w:val="28"/>
                              </w:rPr>
                            </w:pPr>
                          </w:p>
                          <w:p w14:paraId="589079AC" w14:textId="7AB09E23" w:rsidR="009108B8" w:rsidRPr="002B189D" w:rsidRDefault="009108B8" w:rsidP="00340F89">
                            <w:pPr>
                              <w:rPr>
                                <w:color w:val="1F497D" w:themeColor="text2"/>
                                <w:sz w:val="20"/>
                                <w:szCs w:val="20"/>
                              </w:rPr>
                            </w:pPr>
                            <w:r w:rsidRPr="002B189D">
                              <w:rPr>
                                <w:rFonts w:ascii="Arial" w:hAnsi="Arial" w:cs="Arial"/>
                                <w:color w:val="1F497D" w:themeColor="text2"/>
                                <w:sz w:val="20"/>
                                <w:szCs w:val="20"/>
                              </w:rPr>
                              <w:t xml:space="preserve">1 (No Action).  </w:t>
                            </w:r>
                            <w:r w:rsidRPr="000109FC">
                              <w:rPr>
                                <w:rFonts w:ascii="Arial" w:hAnsi="Arial" w:cs="Arial"/>
                                <w:color w:val="1F497D" w:themeColor="text2"/>
                                <w:sz w:val="20"/>
                                <w:szCs w:val="20"/>
                                <w:highlight w:val="yellow"/>
                              </w:rPr>
                              <w:t>Seasonal harvest limitations apply to the commercial sector during mutton snapper spawning in May and June each year. There are no comparable seasonal restrictions during May and June that apply to the recreational sector.</w:t>
                            </w:r>
                          </w:p>
                          <w:p w14:paraId="39989AA5" w14:textId="77777777" w:rsidR="009108B8" w:rsidRPr="00897AFB" w:rsidRDefault="009108B8" w:rsidP="00340F89">
                            <w:pPr>
                              <w:contextualSpacing/>
                              <w:rPr>
                                <w:rFonts w:ascii="Arial" w:eastAsia="Courier New" w:hAnsi="Arial" w:cs="Arial"/>
                                <w:color w:val="1F497D" w:themeColor="text2"/>
                                <w:sz w:val="20"/>
                                <w:szCs w:val="20"/>
                              </w:rPr>
                            </w:pPr>
                          </w:p>
                          <w:p w14:paraId="2E7179A5" w14:textId="063AD46C" w:rsidR="009108B8" w:rsidRPr="00897AFB" w:rsidRDefault="009108B8" w:rsidP="00340F89">
                            <w:pPr>
                              <w:contextualSpacing/>
                              <w:rPr>
                                <w:rFonts w:ascii="Arial" w:eastAsia="Courier New" w:hAnsi="Arial" w:cs="Arial"/>
                                <w:b/>
                                <w:color w:val="1F497D" w:themeColor="text2"/>
                                <w:sz w:val="20"/>
                                <w:szCs w:val="20"/>
                              </w:rPr>
                            </w:pPr>
                            <w:r w:rsidRPr="00897AFB">
                              <w:rPr>
                                <w:rFonts w:ascii="Arial" w:hAnsi="Arial" w:cs="Arial"/>
                                <w:b/>
                                <w:color w:val="1F497D" w:themeColor="text2"/>
                                <w:sz w:val="20"/>
                                <w:szCs w:val="20"/>
                              </w:rPr>
                              <w:t>2. For regulatory purposes, designate the</w:t>
                            </w:r>
                            <w:r>
                              <w:rPr>
                                <w:rFonts w:ascii="Arial" w:hAnsi="Arial" w:cs="Arial"/>
                                <w:b/>
                                <w:color w:val="1F497D" w:themeColor="text2"/>
                                <w:sz w:val="20"/>
                                <w:szCs w:val="20"/>
                              </w:rPr>
                              <w:t xml:space="preserve"> following as “spawning months</w:t>
                            </w:r>
                            <w:r w:rsidRPr="00FA68EB">
                              <w:rPr>
                                <w:rFonts w:ascii="Arial" w:hAnsi="Arial" w:cs="Arial"/>
                                <w:b/>
                                <w:color w:val="1F497D" w:themeColor="text2"/>
                                <w:sz w:val="20"/>
                                <w:szCs w:val="20"/>
                                <w:highlight w:val="yellow"/>
                              </w:rPr>
                              <w:t>.”</w:t>
                            </w:r>
                            <w:r w:rsidRPr="00897AFB">
                              <w:rPr>
                                <w:rFonts w:ascii="Arial" w:hAnsi="Arial" w:cs="Arial"/>
                                <w:b/>
                                <w:color w:val="1F497D" w:themeColor="text2"/>
                                <w:sz w:val="20"/>
                                <w:szCs w:val="20"/>
                              </w:rPr>
                              <w:t xml:space="preserve">  The remainder of the year would be the “regular season.”</w:t>
                            </w:r>
                          </w:p>
                          <w:p w14:paraId="52547047" w14:textId="77777777" w:rsidR="009108B8" w:rsidRPr="00897AFB" w:rsidRDefault="009108B8" w:rsidP="00340F89">
                            <w:pPr>
                              <w:ind w:left="540"/>
                              <w:contextualSpacing/>
                              <w:rPr>
                                <w:rFonts w:ascii="Arial" w:eastAsia="Courier New" w:hAnsi="Arial" w:cs="Arial"/>
                                <w:b/>
                                <w:color w:val="1F497D" w:themeColor="text2"/>
                                <w:sz w:val="20"/>
                                <w:szCs w:val="20"/>
                              </w:rPr>
                            </w:pPr>
                            <w:r w:rsidRPr="00897AFB">
                              <w:rPr>
                                <w:rFonts w:ascii="Arial" w:eastAsia="Courier New" w:hAnsi="Arial" w:cs="Arial"/>
                                <w:b/>
                                <w:color w:val="1F497D" w:themeColor="text2"/>
                                <w:sz w:val="20"/>
                                <w:szCs w:val="20"/>
                              </w:rPr>
                              <w:t>Sub-alternative 2a.  April-June</w:t>
                            </w:r>
                          </w:p>
                          <w:p w14:paraId="0C643C9F" w14:textId="77777777" w:rsidR="009108B8" w:rsidRPr="00897AFB" w:rsidRDefault="009108B8" w:rsidP="00340F89">
                            <w:pPr>
                              <w:ind w:left="540"/>
                              <w:contextualSpacing/>
                              <w:rPr>
                                <w:rFonts w:ascii="Arial" w:eastAsia="Courier New" w:hAnsi="Arial" w:cs="Arial"/>
                                <w:color w:val="1F497D" w:themeColor="text2"/>
                                <w:sz w:val="20"/>
                                <w:szCs w:val="20"/>
                              </w:rPr>
                            </w:pPr>
                            <w:r w:rsidRPr="00897AFB">
                              <w:rPr>
                                <w:rFonts w:ascii="Arial" w:eastAsia="Courier New" w:hAnsi="Arial" w:cs="Arial"/>
                                <w:color w:val="1F497D" w:themeColor="text2"/>
                                <w:sz w:val="20"/>
                                <w:szCs w:val="20"/>
                              </w:rPr>
                              <w:t>Sub-alternative 2b.  April-July</w:t>
                            </w:r>
                          </w:p>
                          <w:p w14:paraId="7C7657A8" w14:textId="77777777" w:rsidR="009108B8" w:rsidRDefault="009108B8" w:rsidP="00340F89">
                            <w:pPr>
                              <w:ind w:left="540"/>
                              <w:contextualSpacing/>
                              <w:rPr>
                                <w:rFonts w:ascii="Arial" w:eastAsia="Courier New" w:hAnsi="Arial" w:cs="Arial"/>
                                <w:color w:val="1F497D" w:themeColor="text2"/>
                                <w:sz w:val="20"/>
                                <w:szCs w:val="20"/>
                              </w:rPr>
                            </w:pPr>
                            <w:r w:rsidRPr="00897AFB">
                              <w:rPr>
                                <w:rFonts w:ascii="Arial" w:eastAsia="Courier New" w:hAnsi="Arial" w:cs="Arial"/>
                                <w:color w:val="1F497D" w:themeColor="text2"/>
                                <w:sz w:val="20"/>
                                <w:szCs w:val="20"/>
                              </w:rPr>
                              <w:t>Sub-alternative 2c.  May-July</w:t>
                            </w:r>
                          </w:p>
                          <w:p w14:paraId="630DB533" w14:textId="77777777" w:rsidR="009108B8" w:rsidRPr="00897AFB" w:rsidRDefault="009108B8" w:rsidP="00340F89">
                            <w:pPr>
                              <w:ind w:left="540"/>
                              <w:contextualSpacing/>
                              <w:rPr>
                                <w:rFonts w:ascii="Arial" w:eastAsia="Courier New" w:hAnsi="Arial" w:cs="Arial"/>
                                <w:color w:val="1F497D" w:themeColor="text2"/>
                                <w:sz w:val="20"/>
                                <w:szCs w:val="20"/>
                              </w:rPr>
                            </w:pPr>
                          </w:p>
                          <w:p w14:paraId="1FED5865" w14:textId="77777777" w:rsidR="009108B8" w:rsidRPr="00EC7112" w:rsidRDefault="009108B8" w:rsidP="00340F89">
                            <w:pPr>
                              <w:rPr>
                                <w:rFonts w:ascii="Arial" w:hAnsi="Arial" w:cs="Arial"/>
                                <w:iCs/>
                                <w:color w:val="365F91" w:themeColor="accent1" w:themeShade="BF"/>
                                <w:sz w:val="20"/>
                                <w:szCs w:val="20"/>
                              </w:rPr>
                            </w:pPr>
                            <w:r>
                              <w:rPr>
                                <w:rFonts w:ascii="Arial" w:hAnsi="Arial" w:cs="Arial"/>
                                <w:iCs/>
                                <w:color w:val="365F91" w:themeColor="accent1" w:themeShade="BF"/>
                                <w:sz w:val="20"/>
                                <w:szCs w:val="20"/>
                              </w:rPr>
                              <w:t>* Preferred indicated in bold.  Refer to Chapter 2 for detailed language of alternatives</w:t>
                            </w:r>
                          </w:p>
                          <w:p w14:paraId="6F64DF9F" w14:textId="77777777" w:rsidR="009108B8" w:rsidRPr="004B1A22" w:rsidRDefault="009108B8" w:rsidP="00340F89">
                            <w:pPr>
                              <w:ind w:left="540"/>
                              <w:contextualSpacing/>
                              <w:rPr>
                                <w:rFonts w:ascii="Arial" w:eastAsia="Courier New" w:hAnsi="Arial" w:cs="Arial"/>
                                <w:color w:val="1F497D" w:themeColor="text2"/>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34.4pt;margin-top:71.85pt;width:236.1pt;height:256.2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" strokecolor="#548dd4 [1951]">
                <v:shadow on="t" opacity="26214f" mv:blur="50800f" origin="-.5,.5" offset="26941emu,-26941emu"/>
                <v:textbox>
                  <w:txbxContent>
                    <w:p w14:paraId="6B65FCEF" w14:textId="77777777" w:rsidR="009108B8" w:rsidRPr="00FC03A7" w:rsidRDefault="009108B8" w:rsidP="00340F89">
                      <w:pPr>
                        <w:jc w:val="center"/>
                        <w:rPr>
                          <w:rFonts w:ascii="Arial" w:hAnsi="Arial" w:cs="Arial"/>
                          <w:b/>
                          <w:i/>
                          <w:iCs/>
                          <w:color w:val="365F91" w:themeColor="accent1" w:themeShade="BF"/>
                        </w:rPr>
                      </w:pPr>
                      <w:r w:rsidRPr="00FC03A7">
                        <w:rPr>
                          <w:rFonts w:ascii="Arial" w:hAnsi="Arial" w:cs="Arial"/>
                          <w:b/>
                          <w:i/>
                          <w:iCs/>
                          <w:color w:val="365F91" w:themeColor="accent1" w:themeShade="BF"/>
                        </w:rPr>
                        <w:t>Alternatives*</w:t>
                      </w:r>
                    </w:p>
                    <w:p w14:paraId="42A53FE1" w14:textId="77777777" w:rsidR="009108B8" w:rsidRDefault="009108B8" w:rsidP="00340F89">
                      <w:pPr>
                        <w:jc w:val="center"/>
                        <w:rPr>
                          <w:rFonts w:ascii="Arial" w:hAnsi="Arial" w:cs="Arial"/>
                          <w:b/>
                          <w:i/>
                          <w:iCs/>
                          <w:color w:val="365F91" w:themeColor="accent1" w:themeShade="BF"/>
                          <w:sz w:val="28"/>
                          <w:szCs w:val="28"/>
                        </w:rPr>
                      </w:pPr>
                    </w:p>
                    <w:p w14:paraId="589079AC" w14:textId="7AB09E23" w:rsidR="009108B8" w:rsidRPr="002B189D" w:rsidRDefault="009108B8" w:rsidP="00340F89">
                      <w:pPr>
                        <w:rPr>
                          <w:color w:val="1F497D" w:themeColor="text2"/>
                          <w:sz w:val="20"/>
                          <w:szCs w:val="20"/>
                        </w:rPr>
                      </w:pPr>
                      <w:r w:rsidRPr="002B189D">
                        <w:rPr>
                          <w:rFonts w:ascii="Arial" w:hAnsi="Arial" w:cs="Arial"/>
                          <w:color w:val="1F497D" w:themeColor="text2"/>
                          <w:sz w:val="20"/>
                          <w:szCs w:val="20"/>
                        </w:rPr>
                        <w:t xml:space="preserve">1 (No Action).  </w:t>
                      </w:r>
                      <w:r w:rsidRPr="000109FC">
                        <w:rPr>
                          <w:rFonts w:ascii="Arial" w:hAnsi="Arial" w:cs="Arial"/>
                          <w:color w:val="1F497D" w:themeColor="text2"/>
                          <w:sz w:val="20"/>
                          <w:szCs w:val="20"/>
                          <w:highlight w:val="yellow"/>
                        </w:rPr>
                        <w:t>Seasonal harvest limitations apply to the commercial sector during mutton snapper spawning in May and June each year. There are no comparable seasonal restrictions during May and June that apply to the recreational sector.</w:t>
                      </w:r>
                    </w:p>
                    <w:p w14:paraId="39989AA5" w14:textId="77777777" w:rsidR="009108B8" w:rsidRPr="00897AFB" w:rsidRDefault="009108B8" w:rsidP="00340F89">
                      <w:pPr>
                        <w:contextualSpacing/>
                        <w:rPr>
                          <w:rFonts w:ascii="Arial" w:eastAsia="Courier New" w:hAnsi="Arial" w:cs="Arial"/>
                          <w:color w:val="1F497D" w:themeColor="text2"/>
                          <w:sz w:val="20"/>
                          <w:szCs w:val="20"/>
                        </w:rPr>
                      </w:pPr>
                    </w:p>
                    <w:p w14:paraId="2E7179A5" w14:textId="063AD46C" w:rsidR="009108B8" w:rsidRPr="00897AFB" w:rsidRDefault="009108B8" w:rsidP="00340F89">
                      <w:pPr>
                        <w:contextualSpacing/>
                        <w:rPr>
                          <w:rFonts w:ascii="Arial" w:eastAsia="Courier New" w:hAnsi="Arial" w:cs="Arial"/>
                          <w:b/>
                          <w:color w:val="1F497D" w:themeColor="text2"/>
                          <w:sz w:val="20"/>
                          <w:szCs w:val="20"/>
                        </w:rPr>
                      </w:pPr>
                      <w:r w:rsidRPr="00897AFB">
                        <w:rPr>
                          <w:rFonts w:ascii="Arial" w:hAnsi="Arial" w:cs="Arial"/>
                          <w:b/>
                          <w:color w:val="1F497D" w:themeColor="text2"/>
                          <w:sz w:val="20"/>
                          <w:szCs w:val="20"/>
                        </w:rPr>
                        <w:t>2. For regulatory purposes, designate the</w:t>
                      </w:r>
                      <w:r>
                        <w:rPr>
                          <w:rFonts w:ascii="Arial" w:hAnsi="Arial" w:cs="Arial"/>
                          <w:b/>
                          <w:color w:val="1F497D" w:themeColor="text2"/>
                          <w:sz w:val="20"/>
                          <w:szCs w:val="20"/>
                        </w:rPr>
                        <w:t xml:space="preserve"> following as “spawning months</w:t>
                      </w:r>
                      <w:r w:rsidRPr="00FA68EB">
                        <w:rPr>
                          <w:rFonts w:ascii="Arial" w:hAnsi="Arial" w:cs="Arial"/>
                          <w:b/>
                          <w:color w:val="1F497D" w:themeColor="text2"/>
                          <w:sz w:val="20"/>
                          <w:szCs w:val="20"/>
                          <w:highlight w:val="yellow"/>
                        </w:rPr>
                        <w:t>.”</w:t>
                      </w:r>
                      <w:r w:rsidRPr="00897AFB">
                        <w:rPr>
                          <w:rFonts w:ascii="Arial" w:hAnsi="Arial" w:cs="Arial"/>
                          <w:b/>
                          <w:color w:val="1F497D" w:themeColor="text2"/>
                          <w:sz w:val="20"/>
                          <w:szCs w:val="20"/>
                        </w:rPr>
                        <w:t xml:space="preserve">  The remainder of the year would be the “regular season.”</w:t>
                      </w:r>
                    </w:p>
                    <w:p w14:paraId="52547047" w14:textId="77777777" w:rsidR="009108B8" w:rsidRPr="00897AFB" w:rsidRDefault="009108B8" w:rsidP="00340F89">
                      <w:pPr>
                        <w:ind w:left="540"/>
                        <w:contextualSpacing/>
                        <w:rPr>
                          <w:rFonts w:ascii="Arial" w:eastAsia="Courier New" w:hAnsi="Arial" w:cs="Arial"/>
                          <w:b/>
                          <w:color w:val="1F497D" w:themeColor="text2"/>
                          <w:sz w:val="20"/>
                          <w:szCs w:val="20"/>
                        </w:rPr>
                      </w:pPr>
                      <w:r w:rsidRPr="00897AFB">
                        <w:rPr>
                          <w:rFonts w:ascii="Arial" w:eastAsia="Courier New" w:hAnsi="Arial" w:cs="Arial"/>
                          <w:b/>
                          <w:color w:val="1F497D" w:themeColor="text2"/>
                          <w:sz w:val="20"/>
                          <w:szCs w:val="20"/>
                        </w:rPr>
                        <w:t>Sub-alternative 2a.  April-June</w:t>
                      </w:r>
                    </w:p>
                    <w:p w14:paraId="0C643C9F" w14:textId="77777777" w:rsidR="009108B8" w:rsidRPr="00897AFB" w:rsidRDefault="009108B8" w:rsidP="00340F89">
                      <w:pPr>
                        <w:ind w:left="540"/>
                        <w:contextualSpacing/>
                        <w:rPr>
                          <w:rFonts w:ascii="Arial" w:eastAsia="Courier New" w:hAnsi="Arial" w:cs="Arial"/>
                          <w:color w:val="1F497D" w:themeColor="text2"/>
                          <w:sz w:val="20"/>
                          <w:szCs w:val="20"/>
                        </w:rPr>
                      </w:pPr>
                      <w:r w:rsidRPr="00897AFB">
                        <w:rPr>
                          <w:rFonts w:ascii="Arial" w:eastAsia="Courier New" w:hAnsi="Arial" w:cs="Arial"/>
                          <w:color w:val="1F497D" w:themeColor="text2"/>
                          <w:sz w:val="20"/>
                          <w:szCs w:val="20"/>
                        </w:rPr>
                        <w:t>Sub-alternative 2b.  April-July</w:t>
                      </w:r>
                    </w:p>
                    <w:p w14:paraId="7C7657A8" w14:textId="77777777" w:rsidR="009108B8" w:rsidRDefault="009108B8" w:rsidP="00340F89">
                      <w:pPr>
                        <w:ind w:left="540"/>
                        <w:contextualSpacing/>
                        <w:rPr>
                          <w:rFonts w:ascii="Arial" w:eastAsia="Courier New" w:hAnsi="Arial" w:cs="Arial"/>
                          <w:color w:val="1F497D" w:themeColor="text2"/>
                          <w:sz w:val="20"/>
                          <w:szCs w:val="20"/>
                        </w:rPr>
                      </w:pPr>
                      <w:r w:rsidRPr="00897AFB">
                        <w:rPr>
                          <w:rFonts w:ascii="Arial" w:eastAsia="Courier New" w:hAnsi="Arial" w:cs="Arial"/>
                          <w:color w:val="1F497D" w:themeColor="text2"/>
                          <w:sz w:val="20"/>
                          <w:szCs w:val="20"/>
                        </w:rPr>
                        <w:t>Sub-alternative 2c.  May-July</w:t>
                      </w:r>
                    </w:p>
                    <w:p w14:paraId="630DB533" w14:textId="77777777" w:rsidR="009108B8" w:rsidRPr="00897AFB" w:rsidRDefault="009108B8" w:rsidP="00340F89">
                      <w:pPr>
                        <w:ind w:left="540"/>
                        <w:contextualSpacing/>
                        <w:rPr>
                          <w:rFonts w:ascii="Arial" w:eastAsia="Courier New" w:hAnsi="Arial" w:cs="Arial"/>
                          <w:color w:val="1F497D" w:themeColor="text2"/>
                          <w:sz w:val="20"/>
                          <w:szCs w:val="20"/>
                        </w:rPr>
                      </w:pPr>
                    </w:p>
                    <w:p w14:paraId="1FED5865" w14:textId="77777777" w:rsidR="009108B8" w:rsidRPr="00EC7112" w:rsidRDefault="009108B8" w:rsidP="00340F89">
                      <w:pPr>
                        <w:rPr>
                          <w:rFonts w:ascii="Arial" w:hAnsi="Arial" w:cs="Arial"/>
                          <w:iCs/>
                          <w:color w:val="365F91" w:themeColor="accent1" w:themeShade="BF"/>
                          <w:sz w:val="20"/>
                          <w:szCs w:val="20"/>
                        </w:rPr>
                      </w:pPr>
                      <w:r>
                        <w:rPr>
                          <w:rFonts w:ascii="Arial" w:hAnsi="Arial" w:cs="Arial"/>
                          <w:iCs/>
                          <w:color w:val="365F91" w:themeColor="accent1" w:themeShade="BF"/>
                          <w:sz w:val="20"/>
                          <w:szCs w:val="20"/>
                        </w:rPr>
                        <w:t>* Preferred indicated in bold.  Refer to Chapter 2 for detailed language of alternatives</w:t>
                      </w:r>
                    </w:p>
                    <w:p w14:paraId="6F64DF9F" w14:textId="77777777" w:rsidR="009108B8" w:rsidRPr="004B1A22" w:rsidRDefault="009108B8" w:rsidP="00340F89">
                      <w:pPr>
                        <w:ind w:left="540"/>
                        <w:contextualSpacing/>
                        <w:rPr>
                          <w:rFonts w:ascii="Arial" w:eastAsia="Courier New" w:hAnsi="Arial" w:cs="Arial"/>
                          <w:color w:val="1F497D" w:themeColor="text2"/>
                          <w:sz w:val="22"/>
                          <w:szCs w:val="22"/>
                        </w:rPr>
                      </w:pPr>
                    </w:p>
                  </w:txbxContent>
                </v:textbox>
                <w10:wrap type="square" anchorx="margin" anchory="margin"/>
              </v:shape>
            </w:pict>
          </mc:Fallback>
        </mc:AlternateContent>
      </w:r>
      <w:r w:rsidR="0010161A">
        <w:rPr>
          <w:rStyle w:val="Heading4Char1"/>
          <w:rFonts w:ascii="Arial" w:hAnsi="Arial" w:cs="Arial"/>
          <w:bCs w:val="0"/>
          <w:sz w:val="24"/>
          <w:szCs w:val="24"/>
        </w:rPr>
        <w:t>5.6</w:t>
      </w:r>
      <w:r w:rsidR="004A3C62" w:rsidRPr="005B5A20">
        <w:rPr>
          <w:rStyle w:val="Heading4Char1"/>
          <w:rFonts w:ascii="Arial" w:hAnsi="Arial" w:cs="Arial"/>
          <w:bCs w:val="0"/>
          <w:sz w:val="24"/>
          <w:szCs w:val="24"/>
        </w:rPr>
        <w:t>.1</w:t>
      </w:r>
      <w:r w:rsidR="004A3C62" w:rsidRPr="005B5A20">
        <w:rPr>
          <w:rStyle w:val="Heading4Char1"/>
          <w:rFonts w:ascii="Arial" w:hAnsi="Arial" w:cs="Arial"/>
          <w:bCs w:val="0"/>
          <w:sz w:val="24"/>
          <w:szCs w:val="24"/>
        </w:rPr>
        <w:tab/>
      </w:r>
      <w:r w:rsidR="004A3C62">
        <w:rPr>
          <w:rStyle w:val="Heading4Char1"/>
          <w:rFonts w:ascii="Arial" w:hAnsi="Arial" w:cs="Arial"/>
          <w:bCs w:val="0"/>
          <w:sz w:val="24"/>
          <w:szCs w:val="24"/>
        </w:rPr>
        <w:t>Snapper Grouper A</w:t>
      </w:r>
      <w:r w:rsidR="008B07B5">
        <w:rPr>
          <w:rStyle w:val="Heading4Char1"/>
          <w:rFonts w:ascii="Arial" w:hAnsi="Arial" w:cs="Arial"/>
          <w:bCs w:val="0"/>
          <w:sz w:val="24"/>
          <w:szCs w:val="24"/>
        </w:rPr>
        <w:t>dvisory Panel (A</w:t>
      </w:r>
      <w:r w:rsidR="004A3C62">
        <w:rPr>
          <w:rStyle w:val="Heading4Char1"/>
          <w:rFonts w:ascii="Arial" w:hAnsi="Arial" w:cs="Arial"/>
          <w:bCs w:val="0"/>
          <w:sz w:val="24"/>
          <w:szCs w:val="24"/>
        </w:rPr>
        <w:t>P</w:t>
      </w:r>
      <w:r w:rsidR="008B07B5">
        <w:rPr>
          <w:rStyle w:val="Heading4Char1"/>
          <w:rFonts w:ascii="Arial" w:hAnsi="Arial" w:cs="Arial"/>
          <w:bCs w:val="0"/>
          <w:sz w:val="24"/>
          <w:szCs w:val="24"/>
        </w:rPr>
        <w:t>)</w:t>
      </w:r>
      <w:r w:rsidR="004A3C62" w:rsidRPr="005B5A20">
        <w:rPr>
          <w:rStyle w:val="Heading4Char1"/>
          <w:rFonts w:ascii="Arial" w:hAnsi="Arial" w:cs="Arial"/>
          <w:bCs w:val="0"/>
          <w:sz w:val="24"/>
          <w:szCs w:val="24"/>
        </w:rPr>
        <w:t xml:space="preserve"> Comments and Recommendations</w:t>
      </w:r>
      <w:bookmarkEnd w:id="350"/>
    </w:p>
    <w:p w14:paraId="5CB4C416" w14:textId="0D48B74F" w:rsidR="008B07B5" w:rsidRDefault="008B07B5" w:rsidP="00B27D30">
      <w:r w:rsidRPr="00B27D30">
        <w:t>The Snapper Grouper AP discussed Amendment 41 during their April 26-</w:t>
      </w:r>
      <w:r w:rsidR="00B77366">
        <w:t>27,</w:t>
      </w:r>
      <w:r w:rsidRPr="00B27D30">
        <w:t xml:space="preserve"> 2016 meeting.  At that time, actions in Amendment 41 were numbered differently and revisions have been made to the language of actions and alternatives in the amendment. Hence, the AP’s motions may not reflect the chronology of actions/alternatives or the current language.  The AP approved the following motion regarding designation of “spawning months” for mutton snapper during which certain commercial and recreational management measures</w:t>
      </w:r>
      <w:r>
        <w:t xml:space="preserve"> would apply in the South Atlantic.</w:t>
      </w:r>
    </w:p>
    <w:p w14:paraId="1DD36B71" w14:textId="77777777" w:rsidR="008B07B5" w:rsidRDefault="008B07B5" w:rsidP="00B27D30"/>
    <w:p w14:paraId="5998838D" w14:textId="77777777" w:rsidR="008B07B5" w:rsidRDefault="008B07B5" w:rsidP="00B27D30">
      <w:r w:rsidRPr="00F17C93">
        <w:t xml:space="preserve">MOTION: RECOMMEND NO ACTION FOR ACTION 5 </w:t>
      </w:r>
    </w:p>
    <w:p w14:paraId="4AFB9163" w14:textId="77777777" w:rsidR="008B07B5" w:rsidRDefault="008B07B5" w:rsidP="00B27D30">
      <w:pPr>
        <w:rPr>
          <w:bCs/>
          <w:i/>
          <w:iCs/>
        </w:rPr>
      </w:pPr>
      <w:r w:rsidRPr="00F17C93">
        <w:rPr>
          <w:bCs/>
          <w:i/>
          <w:iCs/>
        </w:rPr>
        <w:t xml:space="preserve">Action 5.  Designate spawning season during which commercial and recreational management measures for mutton snapper should apply </w:t>
      </w:r>
    </w:p>
    <w:p w14:paraId="38162B48" w14:textId="18E2FD84" w:rsidR="004A3C62" w:rsidRPr="008B07B5" w:rsidRDefault="008B07B5" w:rsidP="00B27D30">
      <w:pPr>
        <w:rPr>
          <w:bCs/>
          <w:i/>
          <w:iCs/>
        </w:rPr>
      </w:pPr>
      <w:r w:rsidRPr="00F17C93">
        <w:rPr>
          <w:b/>
        </w:rPr>
        <w:t>Alternative 1 (No Action).</w:t>
      </w:r>
      <w:r w:rsidRPr="00F17C93">
        <w:t xml:space="preserve">  The spawning season for mutton snapper is designated as May-June).</w:t>
      </w:r>
    </w:p>
    <w:p w14:paraId="45873103" w14:textId="539D05F3" w:rsidR="004A3C62" w:rsidRDefault="0010161A" w:rsidP="004A3C62">
      <w:pPr>
        <w:pStyle w:val="Heading3"/>
        <w:rPr>
          <w:rStyle w:val="Heading4Char1"/>
          <w:rFonts w:ascii="Arial" w:hAnsi="Arial" w:cs="Arial"/>
          <w:bCs w:val="0"/>
          <w:sz w:val="24"/>
          <w:szCs w:val="24"/>
        </w:rPr>
      </w:pPr>
      <w:bookmarkStart w:id="351" w:name="_Toc339811807"/>
      <w:r>
        <w:rPr>
          <w:rStyle w:val="Heading4Char1"/>
          <w:rFonts w:ascii="Arial" w:hAnsi="Arial" w:cs="Arial"/>
          <w:bCs w:val="0"/>
          <w:sz w:val="24"/>
          <w:szCs w:val="24"/>
        </w:rPr>
        <w:t>5.6</w:t>
      </w:r>
      <w:r w:rsidR="004A3C62" w:rsidRPr="005B5A20">
        <w:rPr>
          <w:rStyle w:val="Heading4Char1"/>
          <w:rFonts w:ascii="Arial" w:hAnsi="Arial" w:cs="Arial"/>
          <w:bCs w:val="0"/>
          <w:sz w:val="24"/>
          <w:szCs w:val="24"/>
        </w:rPr>
        <w:t>.</w:t>
      </w:r>
      <w:r w:rsidR="004A3C62">
        <w:rPr>
          <w:rStyle w:val="Heading4Char1"/>
          <w:rFonts w:ascii="Arial" w:hAnsi="Arial" w:cs="Arial"/>
          <w:bCs w:val="0"/>
          <w:sz w:val="24"/>
          <w:szCs w:val="24"/>
        </w:rPr>
        <w:t>2</w:t>
      </w:r>
      <w:r w:rsidR="004A3C62" w:rsidRPr="005B5A20">
        <w:rPr>
          <w:rStyle w:val="Heading4Char1"/>
          <w:rFonts w:ascii="Arial" w:hAnsi="Arial" w:cs="Arial"/>
          <w:bCs w:val="0"/>
          <w:sz w:val="24"/>
          <w:szCs w:val="24"/>
        </w:rPr>
        <w:tab/>
      </w:r>
      <w:r w:rsidR="004A3C62">
        <w:rPr>
          <w:rStyle w:val="Heading4Char1"/>
          <w:rFonts w:ascii="Arial" w:hAnsi="Arial" w:cs="Arial"/>
          <w:bCs w:val="0"/>
          <w:sz w:val="24"/>
          <w:szCs w:val="24"/>
        </w:rPr>
        <w:t>Law Enforcement AP</w:t>
      </w:r>
      <w:r w:rsidR="004A3C62" w:rsidRPr="005B5A20">
        <w:rPr>
          <w:rStyle w:val="Heading4Char1"/>
          <w:rFonts w:ascii="Arial" w:hAnsi="Arial" w:cs="Arial"/>
          <w:bCs w:val="0"/>
          <w:sz w:val="24"/>
          <w:szCs w:val="24"/>
        </w:rPr>
        <w:t xml:space="preserve"> Comments and Recommendations</w:t>
      </w:r>
      <w:bookmarkEnd w:id="351"/>
    </w:p>
    <w:p w14:paraId="6E702158" w14:textId="52F6BEB0" w:rsidR="004A3C62" w:rsidRPr="008B07B5" w:rsidRDefault="008B07B5" w:rsidP="004A3C62">
      <w:pPr>
        <w:ind w:firstLine="360"/>
      </w:pPr>
      <w:r w:rsidRPr="008B07B5">
        <w:t xml:space="preserve">The </w:t>
      </w:r>
      <w:r>
        <w:t xml:space="preserve">Law Enforcement AP </w:t>
      </w:r>
      <w:r w:rsidR="00B27D30">
        <w:t xml:space="preserve">received a briefing on </w:t>
      </w:r>
      <w:r>
        <w:t xml:space="preserve">Amendment 41 during their </w:t>
      </w:r>
      <w:r w:rsidR="00B27D30">
        <w:t>March 7-8, 2016 meeting.  The Law Enforcement AP had no comments or recommendations.</w:t>
      </w:r>
    </w:p>
    <w:p w14:paraId="5EBC2454" w14:textId="5EFE4685" w:rsidR="004A3C62" w:rsidRDefault="0010161A" w:rsidP="004A3C62">
      <w:pPr>
        <w:pStyle w:val="Heading3"/>
        <w:rPr>
          <w:rStyle w:val="Heading4Char1"/>
          <w:rFonts w:ascii="Arial" w:hAnsi="Arial" w:cs="Arial"/>
          <w:bCs w:val="0"/>
          <w:sz w:val="24"/>
          <w:szCs w:val="24"/>
        </w:rPr>
      </w:pPr>
      <w:bookmarkStart w:id="352" w:name="_Toc339811808"/>
      <w:r>
        <w:rPr>
          <w:rStyle w:val="Heading4Char1"/>
          <w:rFonts w:ascii="Arial" w:hAnsi="Arial" w:cs="Arial"/>
          <w:bCs w:val="0"/>
          <w:sz w:val="24"/>
          <w:szCs w:val="24"/>
        </w:rPr>
        <w:t>5.6</w:t>
      </w:r>
      <w:r w:rsidR="004A3C62" w:rsidRPr="005B5A20">
        <w:rPr>
          <w:rStyle w:val="Heading4Char1"/>
          <w:rFonts w:ascii="Arial" w:hAnsi="Arial" w:cs="Arial"/>
          <w:bCs w:val="0"/>
          <w:sz w:val="24"/>
          <w:szCs w:val="24"/>
        </w:rPr>
        <w:t>.</w:t>
      </w:r>
      <w:r w:rsidR="004A3C62">
        <w:rPr>
          <w:rStyle w:val="Heading4Char1"/>
          <w:rFonts w:ascii="Arial" w:hAnsi="Arial" w:cs="Arial"/>
          <w:bCs w:val="0"/>
          <w:sz w:val="24"/>
          <w:szCs w:val="24"/>
        </w:rPr>
        <w:t>3</w:t>
      </w:r>
      <w:r w:rsidR="004A3C62" w:rsidRPr="005B5A20">
        <w:rPr>
          <w:rStyle w:val="Heading4Char1"/>
          <w:rFonts w:ascii="Arial" w:hAnsi="Arial" w:cs="Arial"/>
          <w:bCs w:val="0"/>
          <w:sz w:val="24"/>
          <w:szCs w:val="24"/>
        </w:rPr>
        <w:tab/>
      </w:r>
      <w:r w:rsidR="004A3C62">
        <w:rPr>
          <w:rStyle w:val="Heading4Char1"/>
          <w:rFonts w:ascii="Arial" w:hAnsi="Arial" w:cs="Arial"/>
          <w:bCs w:val="0"/>
          <w:sz w:val="24"/>
          <w:szCs w:val="24"/>
        </w:rPr>
        <w:t>Scientific and Statistical Committee</w:t>
      </w:r>
      <w:r w:rsidR="004A3C62" w:rsidRPr="005B5A20">
        <w:rPr>
          <w:rStyle w:val="Heading4Char1"/>
          <w:rFonts w:ascii="Arial" w:hAnsi="Arial" w:cs="Arial"/>
          <w:bCs w:val="0"/>
          <w:sz w:val="24"/>
          <w:szCs w:val="24"/>
        </w:rPr>
        <w:t xml:space="preserve"> </w:t>
      </w:r>
      <w:r w:rsidR="00B27D30">
        <w:rPr>
          <w:rStyle w:val="Heading4Char1"/>
          <w:rFonts w:ascii="Arial" w:hAnsi="Arial" w:cs="Arial"/>
          <w:bCs w:val="0"/>
          <w:sz w:val="24"/>
          <w:szCs w:val="24"/>
        </w:rPr>
        <w:t xml:space="preserve">(SSC) </w:t>
      </w:r>
      <w:r w:rsidR="004A3C62" w:rsidRPr="005B5A20">
        <w:rPr>
          <w:rStyle w:val="Heading4Char1"/>
          <w:rFonts w:ascii="Arial" w:hAnsi="Arial" w:cs="Arial"/>
          <w:bCs w:val="0"/>
          <w:sz w:val="24"/>
          <w:szCs w:val="24"/>
        </w:rPr>
        <w:t>Comments and Recommendations</w:t>
      </w:r>
      <w:bookmarkEnd w:id="352"/>
    </w:p>
    <w:p w14:paraId="78AF9493" w14:textId="77777777" w:rsidR="006C1CC0" w:rsidRPr="008942D1" w:rsidRDefault="006C1CC0" w:rsidP="006C1CC0">
      <w:pPr>
        <w:ind w:firstLine="360"/>
      </w:pPr>
      <w:r>
        <w:t xml:space="preserve">During their May 3-5, 2016 meeting, the SSC received a summary document detailing actions and alternatives in Amendment 41 as well as preliminary analyses.  Due to lack of time, the SSC did not discuss the amendment at that meeting.  During their October 18-20, 2016 meeting, the SSC received a briefing on the analyses used to support management actions in Amendment 41.  The SSC did not have any comments or recommendations. </w:t>
      </w:r>
    </w:p>
    <w:p w14:paraId="72CA91FD" w14:textId="3FC80D36" w:rsidR="004A3C62" w:rsidRPr="008942D1" w:rsidRDefault="004A3C62" w:rsidP="00B27D30">
      <w:pPr>
        <w:ind w:firstLine="360"/>
      </w:pPr>
    </w:p>
    <w:p w14:paraId="604F9131" w14:textId="76686D76" w:rsidR="004A3C62" w:rsidRDefault="0010161A" w:rsidP="004A3C62">
      <w:pPr>
        <w:pStyle w:val="Heading3"/>
        <w:rPr>
          <w:rStyle w:val="Heading4Char1"/>
          <w:rFonts w:ascii="Arial" w:hAnsi="Arial" w:cs="Arial"/>
          <w:bCs w:val="0"/>
          <w:sz w:val="24"/>
          <w:szCs w:val="24"/>
        </w:rPr>
      </w:pPr>
      <w:bookmarkStart w:id="353" w:name="_Toc339811809"/>
      <w:r>
        <w:rPr>
          <w:rStyle w:val="Heading4Char1"/>
          <w:rFonts w:ascii="Arial" w:hAnsi="Arial" w:cs="Arial"/>
          <w:bCs w:val="0"/>
          <w:sz w:val="24"/>
          <w:szCs w:val="24"/>
        </w:rPr>
        <w:lastRenderedPageBreak/>
        <w:t>5.6</w:t>
      </w:r>
      <w:r w:rsidR="004A3C62" w:rsidRPr="005B5A20">
        <w:rPr>
          <w:rStyle w:val="Heading4Char1"/>
          <w:rFonts w:ascii="Arial" w:hAnsi="Arial" w:cs="Arial"/>
          <w:bCs w:val="0"/>
          <w:sz w:val="24"/>
          <w:szCs w:val="24"/>
        </w:rPr>
        <w:t>.</w:t>
      </w:r>
      <w:r w:rsidR="004A3C62">
        <w:rPr>
          <w:rStyle w:val="Heading4Char1"/>
          <w:rFonts w:ascii="Arial" w:hAnsi="Arial" w:cs="Arial"/>
          <w:bCs w:val="0"/>
          <w:sz w:val="24"/>
          <w:szCs w:val="24"/>
        </w:rPr>
        <w:t>4</w:t>
      </w:r>
      <w:r w:rsidR="004A3C62" w:rsidRPr="005B5A20">
        <w:rPr>
          <w:rStyle w:val="Heading4Char1"/>
          <w:rFonts w:ascii="Arial" w:hAnsi="Arial" w:cs="Arial"/>
          <w:bCs w:val="0"/>
          <w:sz w:val="24"/>
          <w:szCs w:val="24"/>
        </w:rPr>
        <w:tab/>
        <w:t>Public Comments and Recommendations</w:t>
      </w:r>
      <w:bookmarkEnd w:id="353"/>
    </w:p>
    <w:p w14:paraId="770A07BD" w14:textId="77777777" w:rsidR="00AD7124" w:rsidRDefault="00AD7124" w:rsidP="00AD7124">
      <w:pPr>
        <w:ind w:firstLine="360"/>
      </w:pPr>
      <w:r>
        <w:t xml:space="preserve">The South Atlantic Council held scoping meetings for Amendment 41 </w:t>
      </w:r>
      <w:r w:rsidRPr="00896911">
        <w:t xml:space="preserve">from January 25 to February 3, 2016.  Meetings in Florida were held in conjunction with workshops conducted by the Florida Fish and Wildlife Conservation Commission (FWC). </w:t>
      </w:r>
      <w:r>
        <w:t xml:space="preserve"> Public hearings were held</w:t>
      </w:r>
      <w:r w:rsidRPr="00896911">
        <w:t xml:space="preserve"> </w:t>
      </w:r>
      <w:r>
        <w:t>via</w:t>
      </w:r>
      <w:r w:rsidRPr="00896911">
        <w:t xml:space="preserve"> </w:t>
      </w:r>
      <w:r>
        <w:t>webinar on August 2, 2016 and</w:t>
      </w:r>
      <w:r w:rsidRPr="00896911">
        <w:t xml:space="preserve"> in-person on August 15-17</w:t>
      </w:r>
      <w:r>
        <w:t>, 2016</w:t>
      </w:r>
      <w:r w:rsidRPr="00896911">
        <w:t>.</w:t>
      </w:r>
    </w:p>
    <w:p w14:paraId="6781EF6C" w14:textId="77777777" w:rsidR="004A3C62" w:rsidRDefault="004A3C62" w:rsidP="004A3C62">
      <w:pPr>
        <w:ind w:firstLine="360"/>
      </w:pPr>
    </w:p>
    <w:p w14:paraId="56D7E654" w14:textId="6A15A609" w:rsidR="00AD7124" w:rsidRPr="00AD7124" w:rsidRDefault="00AD7124" w:rsidP="00AD7124">
      <w:pPr>
        <w:rPr>
          <w:u w:val="single"/>
        </w:rPr>
      </w:pPr>
      <w:r w:rsidRPr="00AD7124">
        <w:rPr>
          <w:u w:val="single"/>
        </w:rPr>
        <w:t>Summary of scoping comments:</w:t>
      </w:r>
    </w:p>
    <w:p w14:paraId="097B9988" w14:textId="0D3BD5C8" w:rsidR="008E2FF3" w:rsidRPr="008E2FF3" w:rsidRDefault="008E2FF3" w:rsidP="001C1373">
      <w:pPr>
        <w:pStyle w:val="ListParagraph"/>
        <w:numPr>
          <w:ilvl w:val="0"/>
          <w:numId w:val="37"/>
        </w:numPr>
        <w:spacing w:line="240" w:lineRule="auto"/>
        <w:rPr>
          <w:rFonts w:ascii="Times New Roman" w:hAnsi="Times New Roman"/>
          <w:sz w:val="24"/>
          <w:szCs w:val="24"/>
        </w:rPr>
      </w:pPr>
      <w:r w:rsidRPr="008E2FF3">
        <w:rPr>
          <w:rFonts w:ascii="Times New Roman" w:hAnsi="Times New Roman"/>
          <w:sz w:val="24"/>
          <w:szCs w:val="24"/>
        </w:rPr>
        <w:t>Some support for prohibiting all fishing during the spawning months (May, June, July) or reducing bag limit to 2 per person.</w:t>
      </w:r>
    </w:p>
    <w:p w14:paraId="38089653" w14:textId="4111CBD0" w:rsidR="008E2FF3" w:rsidRPr="008E2FF3" w:rsidRDefault="008E2FF3" w:rsidP="001C1373">
      <w:pPr>
        <w:pStyle w:val="ListParagraph"/>
        <w:numPr>
          <w:ilvl w:val="0"/>
          <w:numId w:val="37"/>
        </w:numPr>
        <w:spacing w:line="240" w:lineRule="auto"/>
        <w:rPr>
          <w:rFonts w:ascii="Times New Roman" w:hAnsi="Times New Roman"/>
          <w:sz w:val="24"/>
          <w:szCs w:val="24"/>
        </w:rPr>
      </w:pPr>
      <w:r w:rsidRPr="008E2FF3">
        <w:rPr>
          <w:rFonts w:ascii="Times New Roman" w:hAnsi="Times New Roman"/>
          <w:sz w:val="24"/>
          <w:szCs w:val="24"/>
        </w:rPr>
        <w:t xml:space="preserve">Close harvest in April and May.  This would allow most fish to spawn at least once. </w:t>
      </w:r>
      <w:r>
        <w:rPr>
          <w:rFonts w:ascii="Times New Roman" w:hAnsi="Times New Roman"/>
          <w:sz w:val="24"/>
          <w:szCs w:val="24"/>
        </w:rPr>
        <w:t xml:space="preserve"> </w:t>
      </w:r>
      <w:r w:rsidRPr="008E2FF3">
        <w:rPr>
          <w:rFonts w:ascii="Times New Roman" w:hAnsi="Times New Roman"/>
          <w:sz w:val="24"/>
          <w:szCs w:val="24"/>
        </w:rPr>
        <w:t>If possible, close April through June.</w:t>
      </w:r>
    </w:p>
    <w:p w14:paraId="3C7BD2A2" w14:textId="62C4B989" w:rsidR="008E2FF3" w:rsidRPr="008E2FF3" w:rsidRDefault="008E2FF3" w:rsidP="001C1373">
      <w:pPr>
        <w:pStyle w:val="ListParagraph"/>
        <w:numPr>
          <w:ilvl w:val="0"/>
          <w:numId w:val="37"/>
        </w:numPr>
        <w:spacing w:line="240" w:lineRule="auto"/>
        <w:rPr>
          <w:rFonts w:ascii="Times New Roman" w:hAnsi="Times New Roman"/>
          <w:sz w:val="24"/>
          <w:szCs w:val="24"/>
        </w:rPr>
      </w:pPr>
      <w:r w:rsidRPr="008E2FF3">
        <w:rPr>
          <w:rFonts w:ascii="Times New Roman" w:hAnsi="Times New Roman"/>
          <w:sz w:val="24"/>
          <w:szCs w:val="24"/>
        </w:rPr>
        <w:t xml:space="preserve">Fishermen who opposed a spawning season closure stated that they dive for grouper in May and expect to be able to also catch muttons at that time. </w:t>
      </w:r>
      <w:r>
        <w:rPr>
          <w:rFonts w:ascii="Times New Roman" w:hAnsi="Times New Roman"/>
          <w:sz w:val="24"/>
          <w:szCs w:val="24"/>
        </w:rPr>
        <w:t xml:space="preserve"> </w:t>
      </w:r>
      <w:r w:rsidRPr="008E2FF3">
        <w:rPr>
          <w:rFonts w:ascii="Times New Roman" w:hAnsi="Times New Roman"/>
          <w:sz w:val="24"/>
          <w:szCs w:val="24"/>
        </w:rPr>
        <w:t>If muttons were to be closed in May, those fishermen would be impacted.</w:t>
      </w:r>
    </w:p>
    <w:p w14:paraId="754C5A94" w14:textId="3E2CD630" w:rsidR="008E2FF3" w:rsidRDefault="008E2FF3" w:rsidP="001C1373">
      <w:pPr>
        <w:pStyle w:val="ListParagraph"/>
        <w:numPr>
          <w:ilvl w:val="0"/>
          <w:numId w:val="37"/>
        </w:numPr>
        <w:spacing w:line="240" w:lineRule="auto"/>
        <w:rPr>
          <w:rFonts w:ascii="Times New Roman" w:hAnsi="Times New Roman"/>
          <w:sz w:val="24"/>
          <w:szCs w:val="24"/>
        </w:rPr>
      </w:pPr>
      <w:r w:rsidRPr="008E2FF3">
        <w:rPr>
          <w:rFonts w:ascii="Times New Roman" w:hAnsi="Times New Roman"/>
          <w:sz w:val="24"/>
          <w:szCs w:val="24"/>
        </w:rPr>
        <w:t>Concern that if too many older mutton snapper are harvested, the fishery may eventually follow the path of red snapper.</w:t>
      </w:r>
    </w:p>
    <w:p w14:paraId="646F5712" w14:textId="76DDC299" w:rsidR="00D41356" w:rsidRDefault="00D41356" w:rsidP="001C1373">
      <w:pPr>
        <w:pStyle w:val="ListParagraph"/>
        <w:numPr>
          <w:ilvl w:val="0"/>
          <w:numId w:val="37"/>
        </w:numPr>
        <w:spacing w:line="240" w:lineRule="auto"/>
        <w:rPr>
          <w:rFonts w:ascii="Times New Roman" w:hAnsi="Times New Roman"/>
          <w:sz w:val="24"/>
          <w:szCs w:val="24"/>
        </w:rPr>
      </w:pPr>
      <w:r w:rsidRPr="00D41356">
        <w:rPr>
          <w:rFonts w:ascii="Times New Roman" w:hAnsi="Times New Roman"/>
          <w:sz w:val="24"/>
          <w:szCs w:val="24"/>
        </w:rPr>
        <w:t xml:space="preserve">Consider not specifying a “spawning season” because the fishery is dynamic and timing of spawning may shift.  </w:t>
      </w:r>
    </w:p>
    <w:p w14:paraId="300EA7D8" w14:textId="05B20885" w:rsidR="008E2FF3" w:rsidRPr="008E2FF3" w:rsidRDefault="008E2FF3" w:rsidP="008E2FF3">
      <w:pPr>
        <w:rPr>
          <w:u w:val="single"/>
        </w:rPr>
      </w:pPr>
      <w:r w:rsidRPr="008E2FF3">
        <w:rPr>
          <w:u w:val="single"/>
        </w:rPr>
        <w:t>Summary of public hearing comments:</w:t>
      </w:r>
    </w:p>
    <w:p w14:paraId="3E9CF3EF" w14:textId="0B55C20D" w:rsidR="008E2FF3" w:rsidRPr="008E2FF3" w:rsidRDefault="008E2FF3" w:rsidP="001C1373">
      <w:pPr>
        <w:pStyle w:val="ListParagraph"/>
        <w:numPr>
          <w:ilvl w:val="0"/>
          <w:numId w:val="38"/>
        </w:numPr>
        <w:spacing w:line="240" w:lineRule="auto"/>
        <w:rPr>
          <w:rFonts w:ascii="Times New Roman" w:hAnsi="Times New Roman"/>
          <w:sz w:val="24"/>
          <w:szCs w:val="24"/>
        </w:rPr>
      </w:pPr>
      <w:r w:rsidRPr="008E2FF3">
        <w:rPr>
          <w:rFonts w:ascii="Times New Roman" w:hAnsi="Times New Roman"/>
          <w:sz w:val="24"/>
          <w:szCs w:val="24"/>
        </w:rPr>
        <w:t>Some stakeholders were expressed support for Alternative 1 (No Action).</w:t>
      </w:r>
    </w:p>
    <w:p w14:paraId="2646FCAE" w14:textId="7402249E" w:rsidR="008E2FF3" w:rsidRPr="008E2FF3" w:rsidRDefault="008E2FF3" w:rsidP="001C1373">
      <w:pPr>
        <w:pStyle w:val="ListParagraph"/>
        <w:numPr>
          <w:ilvl w:val="0"/>
          <w:numId w:val="38"/>
        </w:numPr>
        <w:spacing w:line="240" w:lineRule="auto"/>
        <w:rPr>
          <w:rFonts w:ascii="Times New Roman" w:hAnsi="Times New Roman"/>
          <w:sz w:val="24"/>
          <w:szCs w:val="24"/>
        </w:rPr>
      </w:pPr>
      <w:r w:rsidRPr="008E2FF3">
        <w:rPr>
          <w:rFonts w:ascii="Times New Roman" w:hAnsi="Times New Roman"/>
          <w:sz w:val="24"/>
          <w:szCs w:val="24"/>
        </w:rPr>
        <w:t>Need better information on spawning periodicity or supply more rationale.</w:t>
      </w:r>
    </w:p>
    <w:p w14:paraId="4A287E9D" w14:textId="42EA481E" w:rsidR="003B41F5" w:rsidRPr="003B41F5" w:rsidRDefault="008E2FF3" w:rsidP="003B41F5">
      <w:pPr>
        <w:pStyle w:val="ListParagraph"/>
        <w:numPr>
          <w:ilvl w:val="0"/>
          <w:numId w:val="38"/>
        </w:numPr>
        <w:spacing w:line="240" w:lineRule="auto"/>
        <w:rPr>
          <w:rFonts w:ascii="Times New Roman" w:hAnsi="Times New Roman"/>
          <w:sz w:val="24"/>
          <w:szCs w:val="24"/>
        </w:rPr>
      </w:pPr>
      <w:r w:rsidRPr="008E2FF3">
        <w:rPr>
          <w:rFonts w:ascii="Times New Roman" w:hAnsi="Times New Roman"/>
          <w:sz w:val="24"/>
          <w:szCs w:val="24"/>
        </w:rPr>
        <w:t>Some support for prefer</w:t>
      </w:r>
      <w:r w:rsidR="003B41F5">
        <w:rPr>
          <w:rFonts w:ascii="Times New Roman" w:hAnsi="Times New Roman"/>
          <w:sz w:val="24"/>
          <w:szCs w:val="24"/>
        </w:rPr>
        <w:t>red April-June spawning months.</w:t>
      </w:r>
    </w:p>
    <w:p w14:paraId="4A241726" w14:textId="10751F27" w:rsidR="004A3C62" w:rsidRPr="008942D1" w:rsidRDefault="0010161A" w:rsidP="009E03CE">
      <w:pPr>
        <w:pStyle w:val="Heading3"/>
      </w:pPr>
      <w:bookmarkStart w:id="354" w:name="_Toc339811810"/>
      <w:r>
        <w:rPr>
          <w:rStyle w:val="Heading4Char1"/>
          <w:rFonts w:ascii="Arial" w:hAnsi="Arial" w:cs="Arial"/>
          <w:sz w:val="24"/>
          <w:szCs w:val="24"/>
        </w:rPr>
        <w:t>5.6</w:t>
      </w:r>
      <w:r w:rsidR="004A3C62" w:rsidRPr="008942D1">
        <w:rPr>
          <w:rStyle w:val="Heading4Char1"/>
          <w:rFonts w:ascii="Arial" w:hAnsi="Arial" w:cs="Arial"/>
          <w:sz w:val="24"/>
          <w:szCs w:val="24"/>
        </w:rPr>
        <w:t>.5</w:t>
      </w:r>
      <w:r w:rsidR="004A3C62" w:rsidRPr="008942D1">
        <w:rPr>
          <w:rStyle w:val="Heading4Char1"/>
          <w:rFonts w:ascii="Arial" w:hAnsi="Arial" w:cs="Arial"/>
          <w:sz w:val="24"/>
          <w:szCs w:val="24"/>
        </w:rPr>
        <w:tab/>
        <w:t xml:space="preserve">South Atlantic Council </w:t>
      </w:r>
      <w:r w:rsidR="009E03CE">
        <w:rPr>
          <w:rStyle w:val="Heading4Char1"/>
          <w:rFonts w:ascii="Arial" w:hAnsi="Arial" w:cs="Arial"/>
          <w:sz w:val="24"/>
          <w:szCs w:val="24"/>
        </w:rPr>
        <w:t>Rationale</w:t>
      </w:r>
      <w:bookmarkEnd w:id="354"/>
    </w:p>
    <w:p w14:paraId="5C7CCDB3" w14:textId="00C5D81B" w:rsidR="004A3C62" w:rsidRDefault="003F2E11" w:rsidP="00AF1EDF">
      <w:pPr>
        <w:ind w:firstLine="360"/>
      </w:pPr>
      <w:r>
        <w:t>Regulations to limit commercial harvest of mutton snapper during peak spawning months were initially implemented through Amendment 4 (SAFMC 1991).  Stricter regulations on commercial harvest were implemented annually during May and June; however, no further restrictions were placed on the recreational sector during this time.  When the South Atlantic Council began development of Amendment 41, the Florida Fish and Wildlife Commission</w:t>
      </w:r>
      <w:r w:rsidR="003A01EB">
        <w:t xml:space="preserve"> (FWC) expressed </w:t>
      </w:r>
      <w:r>
        <w:t>interest in better defining the time of year during which possibly stricter regulations could be placed on mutton snapper harvest with the intent of protecting spawning fish.</w:t>
      </w:r>
      <w:r w:rsidR="003A01EB">
        <w:t xml:space="preserve">  This was in response to widespread stakeholder concern about heavy exploitation of mutton snapper during the time the species is known to form large spawning aggregations in South Florida.  Therefore, the South Atlantic Council included an action in Amendment 41 to designate “spawning months” during which management agencies could consider further restrictions on harvest.  Based on extensive public input through South Atlantic Council meetings and FWC workshops, the months of April, May and June were selected as the “spawning months” for mutton snapper for regulatory purposes.  Indeed, scientific evidence since Amendment 4 was implemented indicates that spawning activity begins during the April full moon and m</w:t>
      </w:r>
      <w:r w:rsidR="00AF1EDF">
        <w:t xml:space="preserve">ay extend through July.   Hence, the South Atlantic Council reasoned that </w:t>
      </w:r>
      <w:r w:rsidR="00AF1EDF">
        <w:rPr>
          <w:b/>
        </w:rPr>
        <w:t>Preferred Sub-alternative 2a</w:t>
      </w:r>
      <w:r w:rsidR="00AF1EDF" w:rsidRPr="00A940E4">
        <w:t xml:space="preserve"> </w:t>
      </w:r>
      <w:r w:rsidR="00AF1EDF">
        <w:t xml:space="preserve">best meets the purpose to </w:t>
      </w:r>
      <w:r w:rsidR="00AF1EDF" w:rsidRPr="00380482">
        <w:rPr>
          <w:iCs/>
        </w:rPr>
        <w:t xml:space="preserve">revise management measures for the </w:t>
      </w:r>
      <w:r w:rsidR="00AF1EDF">
        <w:rPr>
          <w:iCs/>
        </w:rPr>
        <w:t>mutton snapper</w:t>
      </w:r>
      <w:r w:rsidR="00AF1EDF" w:rsidRPr="00380482">
        <w:rPr>
          <w:iCs/>
        </w:rPr>
        <w:t xml:space="preserve"> component of the snapper grouper fishery</w:t>
      </w:r>
      <w:r w:rsidR="00AF1EDF">
        <w:rPr>
          <w:iCs/>
        </w:rPr>
        <w:t xml:space="preserve"> based on the best scientific information available</w:t>
      </w:r>
      <w:r w:rsidR="00AF1EDF" w:rsidRPr="00380482">
        <w:rPr>
          <w:iCs/>
        </w:rPr>
        <w:t>.</w:t>
      </w:r>
      <w:r w:rsidR="00AF1EDF">
        <w:t xml:space="preserve">  The preferred alternative also best meets the objectives of the Snapper </w:t>
      </w:r>
      <w:r w:rsidR="00AF1EDF">
        <w:lastRenderedPageBreak/>
        <w:t>Grouper Fishery Management Plan, as amended, while complying with the requirements of the Magnuson-Stevens Fishery Conservation and Management Act and other applicable law.</w:t>
      </w:r>
    </w:p>
    <w:p w14:paraId="3AEC286A" w14:textId="77777777" w:rsidR="004A3C62" w:rsidRDefault="004A3C62" w:rsidP="00D71AB1"/>
    <w:p w14:paraId="1A9B9160" w14:textId="71F4DE42" w:rsidR="00AF1EDF" w:rsidRDefault="00AF1EDF" w:rsidP="00AF1EDF">
      <w:pPr>
        <w:pStyle w:val="Heading3"/>
      </w:pPr>
      <w:bookmarkStart w:id="355" w:name="_Toc339811811"/>
      <w:r>
        <w:t>5.6.6</w:t>
      </w:r>
      <w:r>
        <w:tab/>
        <w:t>How is this Action Addressing the Vision Blueprint for the Snapper Grouper Fishery?</w:t>
      </w:r>
      <w:bookmarkEnd w:id="355"/>
    </w:p>
    <w:p w14:paraId="5D24E30B" w14:textId="77777777" w:rsidR="00AF1EDF" w:rsidRDefault="00AF1EDF" w:rsidP="00AF1EDF">
      <w:pPr>
        <w:ind w:firstLine="360"/>
      </w:pPr>
      <w:r>
        <w:t xml:space="preserve">The </w:t>
      </w:r>
      <w:r w:rsidRPr="000C459E">
        <w:t>Vision Blueprint for the Snapper Grouper Fishery</w:t>
      </w:r>
      <w:r>
        <w:t xml:space="preserve"> (Vision Blueprint) was approved in December 2015 and is intended to inform management of the snapper grouper fishery through 2020.  As such, the </w:t>
      </w:r>
      <w:r w:rsidRPr="000C459E">
        <w:t>Vision Blueprint</w:t>
      </w:r>
      <w:r>
        <w:t xml:space="preserve"> serves as a “living document” to help guide future management, builds on stakeholder input and how the South Atlantic Council envisions future management of the fishery, guides the development of new amendments that address priority objectives and strategies, and illustrates actions that could be developed through the regular amendment process.  The Vision Blueprint is organized into four strategic goal areas: (1) Science, (2) Management, (3) Communication, and (4) Governance.  </w:t>
      </w:r>
      <w:r w:rsidRPr="00AF6EE2">
        <w:t>Each goal area has a set of objectives, strategies, and actions.</w:t>
      </w:r>
    </w:p>
    <w:p w14:paraId="6B270EA9" w14:textId="77777777" w:rsidR="00AF1EDF" w:rsidRDefault="00AF1EDF" w:rsidP="00AF1EDF"/>
    <w:p w14:paraId="41B6BDC9" w14:textId="67B5DD89" w:rsidR="00AF1EDF" w:rsidRDefault="00AF1EDF" w:rsidP="00AF1EDF">
      <w:pPr>
        <w:ind w:firstLine="360"/>
      </w:pPr>
      <w:r w:rsidRPr="007A2A5F">
        <w:rPr>
          <w:b/>
        </w:rPr>
        <w:t xml:space="preserve">Action </w:t>
      </w:r>
      <w:r>
        <w:rPr>
          <w:b/>
        </w:rPr>
        <w:t>6</w:t>
      </w:r>
      <w:r>
        <w:t xml:space="preserve"> to designate the “spawning months” for mutton snapper during which certain commercial and recreational management measures should apply in the South Atlantic does not directly respond to objectives outlined in the Vision Blueprint; however, it addresses the broad Management goal to </w:t>
      </w:r>
      <w:r w:rsidRPr="0052386D">
        <w:t>“</w:t>
      </w:r>
      <w:r w:rsidRPr="0052386D">
        <w:rPr>
          <w:i/>
        </w:rPr>
        <w:t>adopt management strategies for the snapper grouper fishery that rebuild and maintain fishery resources, adapt to regional differences in the fishery, and consider the social and economic needs of fishing communities.</w:t>
      </w:r>
      <w:r>
        <w:t xml:space="preserve">”  </w:t>
      </w:r>
      <w:r w:rsidRPr="0052386D">
        <w:rPr>
          <w:b/>
        </w:rPr>
        <w:t xml:space="preserve">Action </w:t>
      </w:r>
      <w:r>
        <w:rPr>
          <w:b/>
        </w:rPr>
        <w:t>6</w:t>
      </w:r>
      <w:r>
        <w:t xml:space="preserve"> responds to the latest scientific information available while ensuring that utilization of the mutton snapper resource can continue in a sustainable and biologically responsible manner.  Furthermore, under the broad Management goal, </w:t>
      </w:r>
      <w:r w:rsidRPr="00F53CF7">
        <w:rPr>
          <w:b/>
        </w:rPr>
        <w:t xml:space="preserve">Action </w:t>
      </w:r>
      <w:r>
        <w:rPr>
          <w:b/>
        </w:rPr>
        <w:t>6</w:t>
      </w:r>
      <w:r>
        <w:t xml:space="preserve"> responds to Objective 2, Strategy 2.5 to </w:t>
      </w:r>
      <w:r w:rsidRPr="00E66FE0">
        <w:rPr>
          <w:i/>
        </w:rPr>
        <w:t>consider measure</w:t>
      </w:r>
      <w:r>
        <w:rPr>
          <w:i/>
        </w:rPr>
        <w:t>s</w:t>
      </w:r>
      <w:r w:rsidRPr="00E66FE0">
        <w:rPr>
          <w:i/>
        </w:rPr>
        <w:t xml:space="preserve"> to simplify regulations for both sectors</w:t>
      </w:r>
      <w:r>
        <w:t xml:space="preserve"> since the South Atlantic Council worked closely with the FWC to consider regulations that would be compatible in state and federal waters to simplify the regulatory environment to benefit resource users as well as law enforcement.</w:t>
      </w:r>
    </w:p>
    <w:p w14:paraId="10D742ED" w14:textId="77777777" w:rsidR="004A3C62" w:rsidRDefault="004A3C62" w:rsidP="00D71AB1"/>
    <w:p w14:paraId="2D2F3E76" w14:textId="087C0FD5" w:rsidR="004A3C62" w:rsidRDefault="004A3C62">
      <w:r>
        <w:br w:type="page"/>
      </w:r>
    </w:p>
    <w:p w14:paraId="1A78257D" w14:textId="22211AFB" w:rsidR="004A3C62" w:rsidRPr="004A3C62" w:rsidRDefault="0010161A" w:rsidP="004A3C62">
      <w:pPr>
        <w:pStyle w:val="Heading2"/>
        <w:rPr>
          <w:rFonts w:ascii="Arial" w:hAnsi="Arial" w:cs="Arial"/>
        </w:rPr>
      </w:pPr>
      <w:bookmarkStart w:id="356" w:name="_Toc339811812"/>
      <w:r>
        <w:rPr>
          <w:rFonts w:ascii="Arial" w:hAnsi="Arial" w:cs="Arial"/>
        </w:rPr>
        <w:lastRenderedPageBreak/>
        <w:t>5.7</w:t>
      </w:r>
      <w:r w:rsidR="004A3C62" w:rsidRPr="004A3C62">
        <w:rPr>
          <w:rFonts w:ascii="Arial" w:hAnsi="Arial" w:cs="Arial"/>
        </w:rPr>
        <w:tab/>
      </w:r>
      <w:r>
        <w:rPr>
          <w:rFonts w:ascii="Arial" w:hAnsi="Arial" w:cs="Arial"/>
        </w:rPr>
        <w:t>Action 7</w:t>
      </w:r>
      <w:r w:rsidR="005027F6" w:rsidRPr="00464347">
        <w:rPr>
          <w:rFonts w:ascii="Arial" w:hAnsi="Arial" w:cs="Arial"/>
        </w:rPr>
        <w:t xml:space="preserve">.  Modify mutton snapper recreational bag limit in the South Atlantic </w:t>
      </w:r>
      <w:r w:rsidR="00774344" w:rsidRPr="00464347">
        <w:rPr>
          <w:rFonts w:ascii="Arial" w:hAnsi="Arial" w:cs="Arial"/>
        </w:rPr>
        <w:t>R</w:t>
      </w:r>
      <w:r w:rsidR="005027F6" w:rsidRPr="00464347">
        <w:rPr>
          <w:rFonts w:ascii="Arial" w:hAnsi="Arial" w:cs="Arial"/>
        </w:rPr>
        <w:t>egion</w:t>
      </w:r>
      <w:bookmarkEnd w:id="356"/>
    </w:p>
    <w:p w14:paraId="7DCCBE1F" w14:textId="77777777" w:rsidR="004A3C62" w:rsidRDefault="004A3C62" w:rsidP="004A3C62">
      <w:pPr>
        <w:rPr>
          <w:rStyle w:val="Heading4Char1"/>
          <w:rFonts w:ascii="Arial" w:hAnsi="Arial" w:cs="Arial"/>
          <w:bCs/>
          <w:sz w:val="24"/>
          <w:szCs w:val="24"/>
        </w:rPr>
      </w:pPr>
    </w:p>
    <w:p w14:paraId="601717E5" w14:textId="55FD016B" w:rsidR="004A3C62" w:rsidRDefault="00340F89" w:rsidP="004A3C62">
      <w:pPr>
        <w:pStyle w:val="Heading3"/>
        <w:rPr>
          <w:rStyle w:val="Heading4Char1"/>
          <w:rFonts w:ascii="Arial" w:hAnsi="Arial" w:cs="Arial"/>
          <w:bCs w:val="0"/>
          <w:sz w:val="24"/>
          <w:szCs w:val="24"/>
        </w:rPr>
      </w:pPr>
      <w:bookmarkStart w:id="357" w:name="_Toc339811813"/>
      <w:r w:rsidRPr="000E374B">
        <w:rPr>
          <w:noProof/>
          <w:color w:val="365F91" w:themeColor="accent1" w:themeShade="BF"/>
        </w:rPr>
        <mc:AlternateContent>
          <mc:Choice Requires="wps">
            <w:drawing>
              <wp:anchor distT="0" distB="0" distL="114300" distR="114300" simplePos="0" relativeHeight="251726336" behindDoc="0" locked="0" layoutInCell="1" allowOverlap="1" wp14:anchorId="662C4D45" wp14:editId="4C9D4361">
                <wp:simplePos x="0" y="0"/>
                <wp:positionH relativeFrom="margin">
                  <wp:posOffset>3451225</wp:posOffset>
                </wp:positionH>
                <wp:positionV relativeFrom="margin">
                  <wp:posOffset>951230</wp:posOffset>
                </wp:positionV>
                <wp:extent cx="2998470" cy="4554220"/>
                <wp:effectExtent l="25400" t="101600" r="125730" b="4318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4554220"/>
                        </a:xfrm>
                        <a:prstGeom prst="rect">
                          <a:avLst/>
                        </a:prstGeom>
                        <a:solidFill>
                          <a:srgbClr val="FFFFFF"/>
                        </a:solidFill>
                        <a:ln w="9525">
                          <a:solidFill>
                            <a:schemeClr val="tx2">
                              <a:lumMod val="60000"/>
                              <a:lumOff val="40000"/>
                            </a:schemeClr>
                          </a:solidFill>
                          <a:miter lim="800000"/>
                          <a:headEnd/>
                          <a:tailEnd/>
                        </a:ln>
                        <a:effectLst>
                          <a:outerShdw blurRad="50800" dist="38100" dir="18900000" algn="bl" rotWithShape="0">
                            <a:prstClr val="black">
                              <a:alpha val="40000"/>
                            </a:prstClr>
                          </a:outerShdw>
                        </a:effectLst>
                      </wps:spPr>
                      <wps:txbx>
                        <w:txbxContent>
                          <w:p w14:paraId="7908F343" w14:textId="77777777" w:rsidR="009108B8" w:rsidRPr="00873B9E" w:rsidRDefault="009108B8" w:rsidP="00340F89">
                            <w:pPr>
                              <w:jc w:val="center"/>
                              <w:rPr>
                                <w:rFonts w:ascii="Arial" w:hAnsi="Arial" w:cs="Arial"/>
                                <w:b/>
                                <w:i/>
                                <w:iCs/>
                                <w:color w:val="365F91" w:themeColor="accent1" w:themeShade="BF"/>
                              </w:rPr>
                            </w:pPr>
                            <w:r w:rsidRPr="00873B9E">
                              <w:rPr>
                                <w:rFonts w:ascii="Arial" w:hAnsi="Arial" w:cs="Arial"/>
                                <w:b/>
                                <w:i/>
                                <w:iCs/>
                                <w:color w:val="365F91" w:themeColor="accent1" w:themeShade="BF"/>
                              </w:rPr>
                              <w:t>Alternatives*</w:t>
                            </w:r>
                          </w:p>
                          <w:p w14:paraId="676949AC" w14:textId="77777777" w:rsidR="009108B8" w:rsidRDefault="009108B8" w:rsidP="00340F89">
                            <w:pPr>
                              <w:jc w:val="center"/>
                              <w:rPr>
                                <w:rFonts w:ascii="Arial" w:hAnsi="Arial" w:cs="Arial"/>
                                <w:b/>
                                <w:i/>
                                <w:iCs/>
                                <w:color w:val="365F91" w:themeColor="accent1" w:themeShade="BF"/>
                                <w:sz w:val="28"/>
                                <w:szCs w:val="28"/>
                              </w:rPr>
                            </w:pPr>
                          </w:p>
                          <w:p w14:paraId="4D3C40E6" w14:textId="77777777" w:rsidR="009108B8" w:rsidRPr="00C40BDA" w:rsidRDefault="009108B8" w:rsidP="00340F89">
                            <w:pPr>
                              <w:pStyle w:val="Normal1"/>
                              <w:spacing w:line="240" w:lineRule="auto"/>
                              <w:contextualSpacing/>
                              <w:rPr>
                                <w:color w:val="1F497D" w:themeColor="text2"/>
                                <w:sz w:val="18"/>
                                <w:szCs w:val="18"/>
                              </w:rPr>
                            </w:pPr>
                            <w:r w:rsidRPr="00C40BDA">
                              <w:rPr>
                                <w:color w:val="1F497D" w:themeColor="text2"/>
                                <w:sz w:val="18"/>
                                <w:szCs w:val="18"/>
                              </w:rPr>
                              <w:t xml:space="preserve">1 (No Action). </w:t>
                            </w:r>
                            <w:r>
                              <w:rPr>
                                <w:color w:val="1F497D" w:themeColor="text2"/>
                                <w:sz w:val="18"/>
                                <w:szCs w:val="18"/>
                              </w:rPr>
                              <w:t xml:space="preserve"> </w:t>
                            </w:r>
                            <w:r w:rsidRPr="00FC03A7">
                              <w:rPr>
                                <w:color w:val="1F497D" w:themeColor="text2"/>
                                <w:sz w:val="18"/>
                                <w:szCs w:val="18"/>
                              </w:rPr>
                              <w:t xml:space="preserve">Mutton snapper is part of the aggregate 10 snapper bag limit in the South Atlantic that applies throughout the fishing year. </w:t>
                            </w:r>
                            <w:r w:rsidRPr="00C40BDA">
                              <w:rPr>
                                <w:color w:val="1F497D" w:themeColor="text2"/>
                                <w:sz w:val="18"/>
                                <w:szCs w:val="18"/>
                              </w:rPr>
                              <w:t xml:space="preserve"> </w:t>
                            </w:r>
                          </w:p>
                          <w:p w14:paraId="1B92833C" w14:textId="77777777" w:rsidR="009108B8" w:rsidRPr="00C40BDA" w:rsidRDefault="009108B8" w:rsidP="00340F89">
                            <w:pPr>
                              <w:contextualSpacing/>
                              <w:rPr>
                                <w:rFonts w:ascii="Arial" w:eastAsia="Courier New" w:hAnsi="Arial" w:cs="Arial"/>
                                <w:color w:val="1F497D" w:themeColor="text2"/>
                                <w:sz w:val="18"/>
                                <w:szCs w:val="18"/>
                              </w:rPr>
                            </w:pPr>
                          </w:p>
                          <w:p w14:paraId="5EC159CE" w14:textId="77777777" w:rsidR="009108B8" w:rsidRPr="009D352A" w:rsidRDefault="009108B8" w:rsidP="00340F89">
                            <w:pPr>
                              <w:contextualSpacing/>
                              <w:rPr>
                                <w:rFonts w:ascii="Arial" w:eastAsia="Courier New" w:hAnsi="Arial" w:cs="Arial"/>
                                <w:color w:val="1F497D" w:themeColor="text2"/>
                                <w:sz w:val="18"/>
                                <w:szCs w:val="18"/>
                              </w:rPr>
                            </w:pPr>
                            <w:r w:rsidRPr="00C40BDA">
                              <w:rPr>
                                <w:rFonts w:ascii="Arial" w:hAnsi="Arial" w:cs="Arial"/>
                                <w:color w:val="1F497D" w:themeColor="text2"/>
                                <w:sz w:val="18"/>
                                <w:szCs w:val="18"/>
                              </w:rPr>
                              <w:t>2.</w:t>
                            </w:r>
                            <w:r w:rsidRPr="00C40BDA">
                              <w:rPr>
                                <w:rFonts w:eastAsia="Calibri"/>
                              </w:rPr>
                              <w:t xml:space="preserve"> </w:t>
                            </w:r>
                            <w:r w:rsidRPr="00C40BDA">
                              <w:rPr>
                                <w:rFonts w:ascii="Arial" w:hAnsi="Arial" w:cs="Arial"/>
                                <w:color w:val="1F497D" w:themeColor="text2"/>
                                <w:sz w:val="18"/>
                                <w:szCs w:val="18"/>
                              </w:rPr>
                              <w:t>Reta</w:t>
                            </w:r>
                            <w:r>
                              <w:rPr>
                                <w:rFonts w:ascii="Arial" w:hAnsi="Arial" w:cs="Arial"/>
                                <w:color w:val="1F497D" w:themeColor="text2"/>
                                <w:sz w:val="18"/>
                                <w:szCs w:val="18"/>
                              </w:rPr>
                              <w:t>in mutton snapper within the 10-</w:t>
                            </w:r>
                            <w:r w:rsidRPr="00C40BDA">
                              <w:rPr>
                                <w:rFonts w:ascii="Arial" w:hAnsi="Arial" w:cs="Arial"/>
                                <w:color w:val="1F497D" w:themeColor="text2"/>
                                <w:sz w:val="18"/>
                                <w:szCs w:val="18"/>
                              </w:rPr>
                              <w:t xml:space="preserve">snapper </w:t>
                            </w:r>
                            <w:r w:rsidRPr="009D352A">
                              <w:rPr>
                                <w:rFonts w:ascii="Arial" w:hAnsi="Arial" w:cs="Arial"/>
                                <w:color w:val="1F497D" w:themeColor="text2"/>
                                <w:sz w:val="18"/>
                                <w:szCs w:val="18"/>
                              </w:rPr>
                              <w:t xml:space="preserve">aggregate bag limit, but specify a bag limit for mutton snapper during the “regular season” (i.e., non-spawning months).  </w:t>
                            </w:r>
                          </w:p>
                          <w:p w14:paraId="3A9F18D7" w14:textId="77777777" w:rsidR="009108B8" w:rsidRPr="009D352A" w:rsidRDefault="009108B8" w:rsidP="00340F89">
                            <w:pPr>
                              <w:ind w:left="540"/>
                              <w:contextualSpacing/>
                              <w:rPr>
                                <w:rFonts w:ascii="Arial" w:hAnsi="Arial" w:cs="Arial"/>
                                <w:color w:val="1F497D" w:themeColor="text2"/>
                                <w:sz w:val="18"/>
                                <w:szCs w:val="18"/>
                              </w:rPr>
                            </w:pPr>
                            <w:r w:rsidRPr="009D352A">
                              <w:rPr>
                                <w:rFonts w:ascii="Arial" w:hAnsi="Arial" w:cs="Arial"/>
                                <w:color w:val="1F497D" w:themeColor="text2"/>
                                <w:sz w:val="18"/>
                                <w:szCs w:val="18"/>
                              </w:rPr>
                              <w:t xml:space="preserve">2a. 4 fish/person/day </w:t>
                            </w:r>
                          </w:p>
                          <w:p w14:paraId="0488C441" w14:textId="77777777" w:rsidR="009108B8" w:rsidRPr="009D352A" w:rsidRDefault="009108B8" w:rsidP="00340F89">
                            <w:pPr>
                              <w:ind w:left="540"/>
                              <w:contextualSpacing/>
                              <w:rPr>
                                <w:rFonts w:ascii="Arial" w:hAnsi="Arial" w:cs="Arial"/>
                                <w:color w:val="1F497D" w:themeColor="text2"/>
                                <w:sz w:val="18"/>
                                <w:szCs w:val="18"/>
                              </w:rPr>
                            </w:pPr>
                            <w:r w:rsidRPr="009D352A">
                              <w:rPr>
                                <w:rFonts w:ascii="Arial" w:hAnsi="Arial" w:cs="Arial"/>
                                <w:color w:val="1F497D" w:themeColor="text2"/>
                                <w:sz w:val="18"/>
                                <w:szCs w:val="18"/>
                              </w:rPr>
                              <w:t xml:space="preserve">2b. 5 fish/person/day </w:t>
                            </w:r>
                          </w:p>
                          <w:p w14:paraId="0DDDA46B" w14:textId="77777777" w:rsidR="009108B8" w:rsidRPr="009D352A" w:rsidRDefault="009108B8" w:rsidP="00340F89">
                            <w:pPr>
                              <w:ind w:left="540"/>
                              <w:contextualSpacing/>
                              <w:rPr>
                                <w:rFonts w:ascii="Arial" w:hAnsi="Arial" w:cs="Arial"/>
                                <w:color w:val="1F497D" w:themeColor="text2"/>
                                <w:sz w:val="18"/>
                                <w:szCs w:val="18"/>
                              </w:rPr>
                            </w:pPr>
                            <w:r w:rsidRPr="009D352A">
                              <w:rPr>
                                <w:rFonts w:ascii="Arial" w:hAnsi="Arial" w:cs="Arial"/>
                                <w:color w:val="1F497D" w:themeColor="text2"/>
                                <w:sz w:val="18"/>
                                <w:szCs w:val="18"/>
                              </w:rPr>
                              <w:t xml:space="preserve">2c. 10 fish/person/day </w:t>
                            </w:r>
                          </w:p>
                          <w:p w14:paraId="0AF95632" w14:textId="77777777" w:rsidR="009108B8" w:rsidRPr="009D352A" w:rsidRDefault="009108B8" w:rsidP="00340F89">
                            <w:pPr>
                              <w:ind w:left="540"/>
                              <w:contextualSpacing/>
                              <w:rPr>
                                <w:rFonts w:ascii="Arial" w:hAnsi="Arial" w:cs="Arial"/>
                                <w:color w:val="1F497D" w:themeColor="text2"/>
                                <w:sz w:val="18"/>
                                <w:szCs w:val="18"/>
                              </w:rPr>
                            </w:pPr>
                          </w:p>
                          <w:p w14:paraId="1A6C6DEB" w14:textId="77777777" w:rsidR="009108B8" w:rsidRPr="009D352A" w:rsidRDefault="009108B8" w:rsidP="00340F89">
                            <w:pPr>
                              <w:contextualSpacing/>
                              <w:rPr>
                                <w:rFonts w:ascii="Arial" w:eastAsia="Courier New" w:hAnsi="Arial" w:cs="Arial"/>
                                <w:color w:val="1F497D" w:themeColor="text2"/>
                                <w:sz w:val="18"/>
                                <w:szCs w:val="18"/>
                              </w:rPr>
                            </w:pPr>
                            <w:r w:rsidRPr="009D352A">
                              <w:rPr>
                                <w:rFonts w:ascii="Arial" w:hAnsi="Arial" w:cs="Arial"/>
                                <w:color w:val="1F497D" w:themeColor="text2"/>
                                <w:sz w:val="18"/>
                                <w:szCs w:val="18"/>
                              </w:rPr>
                              <w:t xml:space="preserve">3. Retain mutton snapper within the </w:t>
                            </w:r>
                            <w:r>
                              <w:rPr>
                                <w:rFonts w:ascii="Arial" w:hAnsi="Arial" w:cs="Arial"/>
                                <w:color w:val="1F497D" w:themeColor="text2"/>
                                <w:sz w:val="18"/>
                                <w:szCs w:val="18"/>
                              </w:rPr>
                              <w:t>10-</w:t>
                            </w:r>
                            <w:r w:rsidRPr="009D352A">
                              <w:rPr>
                                <w:rFonts w:ascii="Arial" w:hAnsi="Arial" w:cs="Arial"/>
                                <w:color w:val="1F497D" w:themeColor="text2"/>
                                <w:sz w:val="18"/>
                                <w:szCs w:val="18"/>
                              </w:rPr>
                              <w:t>snapper aggregate bag limit, but specify bag/vessel limits for mutton snapper during the “spawning months”</w:t>
                            </w:r>
                          </w:p>
                          <w:p w14:paraId="4CC19B39" w14:textId="77777777" w:rsidR="009108B8" w:rsidRDefault="009108B8" w:rsidP="00340F89">
                            <w:pPr>
                              <w:ind w:left="540"/>
                              <w:contextualSpacing/>
                              <w:rPr>
                                <w:rFonts w:ascii="Arial" w:eastAsia="Courier New" w:hAnsi="Arial" w:cs="Arial"/>
                                <w:color w:val="1F497D" w:themeColor="text2"/>
                                <w:sz w:val="18"/>
                                <w:szCs w:val="18"/>
                              </w:rPr>
                            </w:pPr>
                            <w:r w:rsidRPr="009D352A">
                              <w:rPr>
                                <w:rFonts w:ascii="Arial" w:eastAsia="Courier New" w:hAnsi="Arial" w:cs="Arial"/>
                                <w:color w:val="1F497D" w:themeColor="text2"/>
                                <w:sz w:val="18"/>
                                <w:szCs w:val="18"/>
                              </w:rPr>
                              <w:t>3a.  2 fish/person/day</w:t>
                            </w:r>
                          </w:p>
                          <w:p w14:paraId="3A6CC528" w14:textId="77777777" w:rsidR="009108B8" w:rsidRPr="009D352A" w:rsidRDefault="009108B8" w:rsidP="00340F89">
                            <w:pPr>
                              <w:ind w:left="540"/>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3b.  3 fish/person/day</w:t>
                            </w:r>
                          </w:p>
                          <w:p w14:paraId="79D45523" w14:textId="77777777" w:rsidR="009108B8" w:rsidRPr="009D352A" w:rsidRDefault="009108B8" w:rsidP="00340F89">
                            <w:pPr>
                              <w:ind w:left="540"/>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3c</w:t>
                            </w:r>
                            <w:r w:rsidRPr="009D352A">
                              <w:rPr>
                                <w:rFonts w:ascii="Arial" w:eastAsia="Courier New" w:hAnsi="Arial" w:cs="Arial"/>
                                <w:color w:val="1F497D" w:themeColor="text2"/>
                                <w:sz w:val="18"/>
                                <w:szCs w:val="18"/>
                              </w:rPr>
                              <w:t xml:space="preserve">. 10 fish/vessel/day </w:t>
                            </w:r>
                          </w:p>
                          <w:p w14:paraId="61D3161A" w14:textId="77777777" w:rsidR="009108B8" w:rsidRDefault="009108B8" w:rsidP="00340F89">
                            <w:pPr>
                              <w:ind w:left="540"/>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3d</w:t>
                            </w:r>
                            <w:r w:rsidRPr="009D352A">
                              <w:rPr>
                                <w:rFonts w:ascii="Arial" w:eastAsia="Courier New" w:hAnsi="Arial" w:cs="Arial"/>
                                <w:color w:val="1F497D" w:themeColor="text2"/>
                                <w:sz w:val="18"/>
                                <w:szCs w:val="18"/>
                              </w:rPr>
                              <w:t>. 12 fish/vessel/day</w:t>
                            </w:r>
                          </w:p>
                          <w:p w14:paraId="7A03BCFB" w14:textId="77777777" w:rsidR="009108B8" w:rsidRPr="009D352A" w:rsidRDefault="009108B8" w:rsidP="00340F89">
                            <w:pPr>
                              <w:ind w:left="540"/>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3e.  No retention</w:t>
                            </w:r>
                          </w:p>
                          <w:p w14:paraId="7C75EBB5" w14:textId="77777777" w:rsidR="009108B8" w:rsidRPr="009D352A" w:rsidRDefault="009108B8" w:rsidP="00340F89">
                            <w:pPr>
                              <w:contextualSpacing/>
                              <w:rPr>
                                <w:rFonts w:ascii="Arial" w:eastAsia="Courier New" w:hAnsi="Arial" w:cs="Arial"/>
                                <w:color w:val="1F497D" w:themeColor="text2"/>
                                <w:sz w:val="18"/>
                                <w:szCs w:val="18"/>
                              </w:rPr>
                            </w:pPr>
                          </w:p>
                          <w:p w14:paraId="52E068C7" w14:textId="77777777" w:rsidR="009108B8" w:rsidRPr="008565BE" w:rsidRDefault="009108B8" w:rsidP="00340F89">
                            <w:pPr>
                              <w:contextualSpacing/>
                              <w:rPr>
                                <w:rFonts w:ascii="Arial" w:eastAsia="Courier New" w:hAnsi="Arial" w:cs="Arial"/>
                                <w:b/>
                                <w:color w:val="1F497D" w:themeColor="text2"/>
                                <w:sz w:val="18"/>
                                <w:szCs w:val="18"/>
                              </w:rPr>
                            </w:pPr>
                            <w:r w:rsidRPr="009D352A">
                              <w:rPr>
                                <w:rFonts w:ascii="Arial" w:eastAsia="Courier New" w:hAnsi="Arial" w:cs="Arial"/>
                                <w:color w:val="1F497D" w:themeColor="text2"/>
                                <w:sz w:val="18"/>
                                <w:szCs w:val="18"/>
                              </w:rPr>
                              <w:t xml:space="preserve">4. </w:t>
                            </w:r>
                            <w:r w:rsidRPr="008565BE">
                              <w:rPr>
                                <w:rFonts w:ascii="Arial" w:eastAsia="Courier New" w:hAnsi="Arial" w:cs="Arial"/>
                                <w:b/>
                                <w:color w:val="1F497D" w:themeColor="text2"/>
                                <w:sz w:val="18"/>
                                <w:szCs w:val="18"/>
                              </w:rPr>
                              <w:t>Retain mutton snapper within the 10-snapper aggregate bag limit, but specify bag limits for mutton snapper within the aggregate bag limit year round.</w:t>
                            </w:r>
                          </w:p>
                          <w:p w14:paraId="06207509" w14:textId="77777777" w:rsidR="009108B8" w:rsidRPr="0095517F" w:rsidRDefault="009108B8" w:rsidP="00340F89">
                            <w:pPr>
                              <w:ind w:left="540"/>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4a.  2 fish/person/day</w:t>
                            </w:r>
                          </w:p>
                          <w:p w14:paraId="26368C79" w14:textId="77777777" w:rsidR="009108B8" w:rsidRPr="00FC03A7" w:rsidRDefault="009108B8" w:rsidP="00340F89">
                            <w:pPr>
                              <w:ind w:left="540"/>
                              <w:contextualSpacing/>
                              <w:rPr>
                                <w:rFonts w:ascii="Arial" w:eastAsia="Courier New" w:hAnsi="Arial" w:cs="Arial"/>
                                <w:color w:val="1F497D" w:themeColor="text2"/>
                                <w:sz w:val="18"/>
                                <w:szCs w:val="18"/>
                              </w:rPr>
                            </w:pPr>
                            <w:r w:rsidRPr="00FC03A7">
                              <w:rPr>
                                <w:rFonts w:ascii="Arial" w:eastAsia="Courier New" w:hAnsi="Arial" w:cs="Arial"/>
                                <w:color w:val="1F497D" w:themeColor="text2"/>
                                <w:sz w:val="18"/>
                                <w:szCs w:val="18"/>
                              </w:rPr>
                              <w:t>4b.  3 fish/person/day</w:t>
                            </w:r>
                          </w:p>
                          <w:p w14:paraId="15B7CC43" w14:textId="77777777" w:rsidR="009108B8" w:rsidRPr="00FC03A7" w:rsidRDefault="009108B8" w:rsidP="00340F89">
                            <w:pPr>
                              <w:ind w:left="540"/>
                              <w:contextualSpacing/>
                              <w:rPr>
                                <w:rFonts w:ascii="Arial" w:eastAsia="Courier New" w:hAnsi="Arial" w:cs="Arial"/>
                                <w:b/>
                                <w:color w:val="1F497D" w:themeColor="text2"/>
                                <w:sz w:val="18"/>
                                <w:szCs w:val="18"/>
                              </w:rPr>
                            </w:pPr>
                            <w:r w:rsidRPr="00FC03A7">
                              <w:rPr>
                                <w:rFonts w:ascii="Arial" w:eastAsia="Courier New" w:hAnsi="Arial" w:cs="Arial"/>
                                <w:b/>
                                <w:color w:val="1F497D" w:themeColor="text2"/>
                                <w:sz w:val="18"/>
                                <w:szCs w:val="18"/>
                              </w:rPr>
                              <w:t>4c.  5 fish/person/day</w:t>
                            </w:r>
                          </w:p>
                          <w:p w14:paraId="4723D2B3" w14:textId="77777777" w:rsidR="009108B8" w:rsidRDefault="009108B8" w:rsidP="00340F89">
                            <w:pPr>
                              <w:ind w:left="540"/>
                              <w:contextualSpacing/>
                              <w:rPr>
                                <w:rFonts w:ascii="Arial" w:eastAsia="Courier New" w:hAnsi="Arial" w:cs="Arial"/>
                                <w:color w:val="1F497D" w:themeColor="text2"/>
                                <w:sz w:val="18"/>
                                <w:szCs w:val="18"/>
                              </w:rPr>
                            </w:pPr>
                          </w:p>
                          <w:p w14:paraId="4456E4E2" w14:textId="77777777" w:rsidR="009108B8" w:rsidRDefault="009108B8" w:rsidP="00340F89">
                            <w:pPr>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 Preferred indicated in bold.  Refer to Chapter 2 for detailed language of alternatives</w:t>
                            </w:r>
                          </w:p>
                          <w:p w14:paraId="5497935C" w14:textId="77777777" w:rsidR="009108B8" w:rsidRPr="0095517F" w:rsidRDefault="009108B8" w:rsidP="00340F89">
                            <w:pPr>
                              <w:ind w:left="540"/>
                              <w:contextualSpacing/>
                              <w:rPr>
                                <w:rFonts w:ascii="Arial" w:eastAsia="Courier New" w:hAnsi="Arial" w:cs="Arial"/>
                                <w:color w:val="1F497D" w:themeColor="text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71.75pt;margin-top:74.9pt;width:236.1pt;height:358.6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" strokecolor="#548dd4 [1951]">
                <v:shadow on="t" opacity="26214f" mv:blur="50800f" origin="-.5,.5" offset="26941emu,-26941emu"/>
                <v:textbox>
                  <w:txbxContent>
                    <w:p w14:paraId="7908F343" w14:textId="77777777" w:rsidR="009108B8" w:rsidRPr="00873B9E" w:rsidRDefault="009108B8" w:rsidP="00340F89">
                      <w:pPr>
                        <w:jc w:val="center"/>
                        <w:rPr>
                          <w:rFonts w:ascii="Arial" w:hAnsi="Arial" w:cs="Arial"/>
                          <w:b/>
                          <w:i/>
                          <w:iCs/>
                          <w:color w:val="365F91" w:themeColor="accent1" w:themeShade="BF"/>
                        </w:rPr>
                      </w:pPr>
                      <w:r w:rsidRPr="00873B9E">
                        <w:rPr>
                          <w:rFonts w:ascii="Arial" w:hAnsi="Arial" w:cs="Arial"/>
                          <w:b/>
                          <w:i/>
                          <w:iCs/>
                          <w:color w:val="365F91" w:themeColor="accent1" w:themeShade="BF"/>
                        </w:rPr>
                        <w:t>Alternatives*</w:t>
                      </w:r>
                    </w:p>
                    <w:p w14:paraId="676949AC" w14:textId="77777777" w:rsidR="009108B8" w:rsidRDefault="009108B8" w:rsidP="00340F89">
                      <w:pPr>
                        <w:jc w:val="center"/>
                        <w:rPr>
                          <w:rFonts w:ascii="Arial" w:hAnsi="Arial" w:cs="Arial"/>
                          <w:b/>
                          <w:i/>
                          <w:iCs/>
                          <w:color w:val="365F91" w:themeColor="accent1" w:themeShade="BF"/>
                          <w:sz w:val="28"/>
                          <w:szCs w:val="28"/>
                        </w:rPr>
                      </w:pPr>
                    </w:p>
                    <w:p w14:paraId="4D3C40E6" w14:textId="77777777" w:rsidR="009108B8" w:rsidRPr="00C40BDA" w:rsidRDefault="009108B8" w:rsidP="00340F89">
                      <w:pPr>
                        <w:pStyle w:val="Normal1"/>
                        <w:spacing w:line="240" w:lineRule="auto"/>
                        <w:contextualSpacing/>
                        <w:rPr>
                          <w:color w:val="1F497D" w:themeColor="text2"/>
                          <w:sz w:val="18"/>
                          <w:szCs w:val="18"/>
                        </w:rPr>
                      </w:pPr>
                      <w:r w:rsidRPr="00C40BDA">
                        <w:rPr>
                          <w:color w:val="1F497D" w:themeColor="text2"/>
                          <w:sz w:val="18"/>
                          <w:szCs w:val="18"/>
                        </w:rPr>
                        <w:t xml:space="preserve">1 (No Action). </w:t>
                      </w:r>
                      <w:r>
                        <w:rPr>
                          <w:color w:val="1F497D" w:themeColor="text2"/>
                          <w:sz w:val="18"/>
                          <w:szCs w:val="18"/>
                        </w:rPr>
                        <w:t xml:space="preserve"> </w:t>
                      </w:r>
                      <w:r w:rsidRPr="00FC03A7">
                        <w:rPr>
                          <w:color w:val="1F497D" w:themeColor="text2"/>
                          <w:sz w:val="18"/>
                          <w:szCs w:val="18"/>
                        </w:rPr>
                        <w:t xml:space="preserve">Mutton snapper is part of the aggregate 10 snapper bag limit in the South Atlantic that applies throughout the fishing year. </w:t>
                      </w:r>
                      <w:r w:rsidRPr="00C40BDA">
                        <w:rPr>
                          <w:color w:val="1F497D" w:themeColor="text2"/>
                          <w:sz w:val="18"/>
                          <w:szCs w:val="18"/>
                        </w:rPr>
                        <w:t xml:space="preserve"> </w:t>
                      </w:r>
                    </w:p>
                    <w:p w14:paraId="1B92833C" w14:textId="77777777" w:rsidR="009108B8" w:rsidRPr="00C40BDA" w:rsidRDefault="009108B8" w:rsidP="00340F89">
                      <w:pPr>
                        <w:contextualSpacing/>
                        <w:rPr>
                          <w:rFonts w:ascii="Arial" w:eastAsia="Courier New" w:hAnsi="Arial" w:cs="Arial"/>
                          <w:color w:val="1F497D" w:themeColor="text2"/>
                          <w:sz w:val="18"/>
                          <w:szCs w:val="18"/>
                        </w:rPr>
                      </w:pPr>
                    </w:p>
                    <w:p w14:paraId="5EC159CE" w14:textId="77777777" w:rsidR="009108B8" w:rsidRPr="009D352A" w:rsidRDefault="009108B8" w:rsidP="00340F89">
                      <w:pPr>
                        <w:contextualSpacing/>
                        <w:rPr>
                          <w:rFonts w:ascii="Arial" w:eastAsia="Courier New" w:hAnsi="Arial" w:cs="Arial"/>
                          <w:color w:val="1F497D" w:themeColor="text2"/>
                          <w:sz w:val="18"/>
                          <w:szCs w:val="18"/>
                        </w:rPr>
                      </w:pPr>
                      <w:r w:rsidRPr="00C40BDA">
                        <w:rPr>
                          <w:rFonts w:ascii="Arial" w:hAnsi="Arial" w:cs="Arial"/>
                          <w:color w:val="1F497D" w:themeColor="text2"/>
                          <w:sz w:val="18"/>
                          <w:szCs w:val="18"/>
                        </w:rPr>
                        <w:t>2.</w:t>
                      </w:r>
                      <w:r w:rsidRPr="00C40BDA">
                        <w:rPr>
                          <w:rFonts w:eastAsia="Calibri"/>
                        </w:rPr>
                        <w:t xml:space="preserve"> </w:t>
                      </w:r>
                      <w:r w:rsidRPr="00C40BDA">
                        <w:rPr>
                          <w:rFonts w:ascii="Arial" w:hAnsi="Arial" w:cs="Arial"/>
                          <w:color w:val="1F497D" w:themeColor="text2"/>
                          <w:sz w:val="18"/>
                          <w:szCs w:val="18"/>
                        </w:rPr>
                        <w:t>Reta</w:t>
                      </w:r>
                      <w:r>
                        <w:rPr>
                          <w:rFonts w:ascii="Arial" w:hAnsi="Arial" w:cs="Arial"/>
                          <w:color w:val="1F497D" w:themeColor="text2"/>
                          <w:sz w:val="18"/>
                          <w:szCs w:val="18"/>
                        </w:rPr>
                        <w:t>in mutton snapper within the 10-</w:t>
                      </w:r>
                      <w:r w:rsidRPr="00C40BDA">
                        <w:rPr>
                          <w:rFonts w:ascii="Arial" w:hAnsi="Arial" w:cs="Arial"/>
                          <w:color w:val="1F497D" w:themeColor="text2"/>
                          <w:sz w:val="18"/>
                          <w:szCs w:val="18"/>
                        </w:rPr>
                        <w:t xml:space="preserve">snapper </w:t>
                      </w:r>
                      <w:r w:rsidRPr="009D352A">
                        <w:rPr>
                          <w:rFonts w:ascii="Arial" w:hAnsi="Arial" w:cs="Arial"/>
                          <w:color w:val="1F497D" w:themeColor="text2"/>
                          <w:sz w:val="18"/>
                          <w:szCs w:val="18"/>
                        </w:rPr>
                        <w:t xml:space="preserve">aggregate bag limit, but specify a bag limit for mutton snapper during the “regular season” (i.e., non-spawning months).  </w:t>
                      </w:r>
                    </w:p>
                    <w:p w14:paraId="3A9F18D7" w14:textId="77777777" w:rsidR="009108B8" w:rsidRPr="009D352A" w:rsidRDefault="009108B8" w:rsidP="00340F89">
                      <w:pPr>
                        <w:ind w:left="540"/>
                        <w:contextualSpacing/>
                        <w:rPr>
                          <w:rFonts w:ascii="Arial" w:hAnsi="Arial" w:cs="Arial"/>
                          <w:color w:val="1F497D" w:themeColor="text2"/>
                          <w:sz w:val="18"/>
                          <w:szCs w:val="18"/>
                        </w:rPr>
                      </w:pPr>
                      <w:r w:rsidRPr="009D352A">
                        <w:rPr>
                          <w:rFonts w:ascii="Arial" w:hAnsi="Arial" w:cs="Arial"/>
                          <w:color w:val="1F497D" w:themeColor="text2"/>
                          <w:sz w:val="18"/>
                          <w:szCs w:val="18"/>
                        </w:rPr>
                        <w:t xml:space="preserve">2a. 4 fish/person/day </w:t>
                      </w:r>
                    </w:p>
                    <w:p w14:paraId="0488C441" w14:textId="77777777" w:rsidR="009108B8" w:rsidRPr="009D352A" w:rsidRDefault="009108B8" w:rsidP="00340F89">
                      <w:pPr>
                        <w:ind w:left="540"/>
                        <w:contextualSpacing/>
                        <w:rPr>
                          <w:rFonts w:ascii="Arial" w:hAnsi="Arial" w:cs="Arial"/>
                          <w:color w:val="1F497D" w:themeColor="text2"/>
                          <w:sz w:val="18"/>
                          <w:szCs w:val="18"/>
                        </w:rPr>
                      </w:pPr>
                      <w:r w:rsidRPr="009D352A">
                        <w:rPr>
                          <w:rFonts w:ascii="Arial" w:hAnsi="Arial" w:cs="Arial"/>
                          <w:color w:val="1F497D" w:themeColor="text2"/>
                          <w:sz w:val="18"/>
                          <w:szCs w:val="18"/>
                        </w:rPr>
                        <w:t xml:space="preserve">2b. 5 fish/person/day </w:t>
                      </w:r>
                    </w:p>
                    <w:p w14:paraId="0DDDA46B" w14:textId="77777777" w:rsidR="009108B8" w:rsidRPr="009D352A" w:rsidRDefault="009108B8" w:rsidP="00340F89">
                      <w:pPr>
                        <w:ind w:left="540"/>
                        <w:contextualSpacing/>
                        <w:rPr>
                          <w:rFonts w:ascii="Arial" w:hAnsi="Arial" w:cs="Arial"/>
                          <w:color w:val="1F497D" w:themeColor="text2"/>
                          <w:sz w:val="18"/>
                          <w:szCs w:val="18"/>
                        </w:rPr>
                      </w:pPr>
                      <w:r w:rsidRPr="009D352A">
                        <w:rPr>
                          <w:rFonts w:ascii="Arial" w:hAnsi="Arial" w:cs="Arial"/>
                          <w:color w:val="1F497D" w:themeColor="text2"/>
                          <w:sz w:val="18"/>
                          <w:szCs w:val="18"/>
                        </w:rPr>
                        <w:t xml:space="preserve">2c. 10 fish/person/day </w:t>
                      </w:r>
                    </w:p>
                    <w:p w14:paraId="0AF95632" w14:textId="77777777" w:rsidR="009108B8" w:rsidRPr="009D352A" w:rsidRDefault="009108B8" w:rsidP="00340F89">
                      <w:pPr>
                        <w:ind w:left="540"/>
                        <w:contextualSpacing/>
                        <w:rPr>
                          <w:rFonts w:ascii="Arial" w:hAnsi="Arial" w:cs="Arial"/>
                          <w:color w:val="1F497D" w:themeColor="text2"/>
                          <w:sz w:val="18"/>
                          <w:szCs w:val="18"/>
                        </w:rPr>
                      </w:pPr>
                    </w:p>
                    <w:p w14:paraId="1A6C6DEB" w14:textId="77777777" w:rsidR="009108B8" w:rsidRPr="009D352A" w:rsidRDefault="009108B8" w:rsidP="00340F89">
                      <w:pPr>
                        <w:contextualSpacing/>
                        <w:rPr>
                          <w:rFonts w:ascii="Arial" w:eastAsia="Courier New" w:hAnsi="Arial" w:cs="Arial"/>
                          <w:color w:val="1F497D" w:themeColor="text2"/>
                          <w:sz w:val="18"/>
                          <w:szCs w:val="18"/>
                        </w:rPr>
                      </w:pPr>
                      <w:r w:rsidRPr="009D352A">
                        <w:rPr>
                          <w:rFonts w:ascii="Arial" w:hAnsi="Arial" w:cs="Arial"/>
                          <w:color w:val="1F497D" w:themeColor="text2"/>
                          <w:sz w:val="18"/>
                          <w:szCs w:val="18"/>
                        </w:rPr>
                        <w:t xml:space="preserve">3. Retain mutton snapper within the </w:t>
                      </w:r>
                      <w:r>
                        <w:rPr>
                          <w:rFonts w:ascii="Arial" w:hAnsi="Arial" w:cs="Arial"/>
                          <w:color w:val="1F497D" w:themeColor="text2"/>
                          <w:sz w:val="18"/>
                          <w:szCs w:val="18"/>
                        </w:rPr>
                        <w:t>10-</w:t>
                      </w:r>
                      <w:r w:rsidRPr="009D352A">
                        <w:rPr>
                          <w:rFonts w:ascii="Arial" w:hAnsi="Arial" w:cs="Arial"/>
                          <w:color w:val="1F497D" w:themeColor="text2"/>
                          <w:sz w:val="18"/>
                          <w:szCs w:val="18"/>
                        </w:rPr>
                        <w:t>snapper aggregate bag limit, but specify bag/vessel limits for mutton snapper during the “spawning months”</w:t>
                      </w:r>
                    </w:p>
                    <w:p w14:paraId="4CC19B39" w14:textId="77777777" w:rsidR="009108B8" w:rsidRDefault="009108B8" w:rsidP="00340F89">
                      <w:pPr>
                        <w:ind w:left="540"/>
                        <w:contextualSpacing/>
                        <w:rPr>
                          <w:rFonts w:ascii="Arial" w:eastAsia="Courier New" w:hAnsi="Arial" w:cs="Arial"/>
                          <w:color w:val="1F497D" w:themeColor="text2"/>
                          <w:sz w:val="18"/>
                          <w:szCs w:val="18"/>
                        </w:rPr>
                      </w:pPr>
                      <w:r w:rsidRPr="009D352A">
                        <w:rPr>
                          <w:rFonts w:ascii="Arial" w:eastAsia="Courier New" w:hAnsi="Arial" w:cs="Arial"/>
                          <w:color w:val="1F497D" w:themeColor="text2"/>
                          <w:sz w:val="18"/>
                          <w:szCs w:val="18"/>
                        </w:rPr>
                        <w:t>3a.  2 fish/person/day</w:t>
                      </w:r>
                    </w:p>
                    <w:p w14:paraId="3A6CC528" w14:textId="77777777" w:rsidR="009108B8" w:rsidRPr="009D352A" w:rsidRDefault="009108B8" w:rsidP="00340F89">
                      <w:pPr>
                        <w:ind w:left="540"/>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3b.  3 fish/person/day</w:t>
                      </w:r>
                    </w:p>
                    <w:p w14:paraId="79D45523" w14:textId="77777777" w:rsidR="009108B8" w:rsidRPr="009D352A" w:rsidRDefault="009108B8" w:rsidP="00340F89">
                      <w:pPr>
                        <w:ind w:left="540"/>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3c</w:t>
                      </w:r>
                      <w:r w:rsidRPr="009D352A">
                        <w:rPr>
                          <w:rFonts w:ascii="Arial" w:eastAsia="Courier New" w:hAnsi="Arial" w:cs="Arial"/>
                          <w:color w:val="1F497D" w:themeColor="text2"/>
                          <w:sz w:val="18"/>
                          <w:szCs w:val="18"/>
                        </w:rPr>
                        <w:t xml:space="preserve">. 10 fish/vessel/day </w:t>
                      </w:r>
                    </w:p>
                    <w:p w14:paraId="61D3161A" w14:textId="77777777" w:rsidR="009108B8" w:rsidRDefault="009108B8" w:rsidP="00340F89">
                      <w:pPr>
                        <w:ind w:left="540"/>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3d</w:t>
                      </w:r>
                      <w:r w:rsidRPr="009D352A">
                        <w:rPr>
                          <w:rFonts w:ascii="Arial" w:eastAsia="Courier New" w:hAnsi="Arial" w:cs="Arial"/>
                          <w:color w:val="1F497D" w:themeColor="text2"/>
                          <w:sz w:val="18"/>
                          <w:szCs w:val="18"/>
                        </w:rPr>
                        <w:t>. 12 fish/vessel/day</w:t>
                      </w:r>
                    </w:p>
                    <w:p w14:paraId="7A03BCFB" w14:textId="77777777" w:rsidR="009108B8" w:rsidRPr="009D352A" w:rsidRDefault="009108B8" w:rsidP="00340F89">
                      <w:pPr>
                        <w:ind w:left="540"/>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3e.  No retention</w:t>
                      </w:r>
                    </w:p>
                    <w:p w14:paraId="7C75EBB5" w14:textId="77777777" w:rsidR="009108B8" w:rsidRPr="009D352A" w:rsidRDefault="009108B8" w:rsidP="00340F89">
                      <w:pPr>
                        <w:contextualSpacing/>
                        <w:rPr>
                          <w:rFonts w:ascii="Arial" w:eastAsia="Courier New" w:hAnsi="Arial" w:cs="Arial"/>
                          <w:color w:val="1F497D" w:themeColor="text2"/>
                          <w:sz w:val="18"/>
                          <w:szCs w:val="18"/>
                        </w:rPr>
                      </w:pPr>
                    </w:p>
                    <w:p w14:paraId="52E068C7" w14:textId="77777777" w:rsidR="009108B8" w:rsidRPr="008565BE" w:rsidRDefault="009108B8" w:rsidP="00340F89">
                      <w:pPr>
                        <w:contextualSpacing/>
                        <w:rPr>
                          <w:rFonts w:ascii="Arial" w:eastAsia="Courier New" w:hAnsi="Arial" w:cs="Arial"/>
                          <w:b/>
                          <w:color w:val="1F497D" w:themeColor="text2"/>
                          <w:sz w:val="18"/>
                          <w:szCs w:val="18"/>
                        </w:rPr>
                      </w:pPr>
                      <w:r w:rsidRPr="009D352A">
                        <w:rPr>
                          <w:rFonts w:ascii="Arial" w:eastAsia="Courier New" w:hAnsi="Arial" w:cs="Arial"/>
                          <w:color w:val="1F497D" w:themeColor="text2"/>
                          <w:sz w:val="18"/>
                          <w:szCs w:val="18"/>
                        </w:rPr>
                        <w:t xml:space="preserve">4. </w:t>
                      </w:r>
                      <w:r w:rsidRPr="008565BE">
                        <w:rPr>
                          <w:rFonts w:ascii="Arial" w:eastAsia="Courier New" w:hAnsi="Arial" w:cs="Arial"/>
                          <w:b/>
                          <w:color w:val="1F497D" w:themeColor="text2"/>
                          <w:sz w:val="18"/>
                          <w:szCs w:val="18"/>
                        </w:rPr>
                        <w:t>Retain mutton snapper within the 10-snapper aggregate bag limit, but specify bag limits for mutton snapper within the aggregate bag limit year round.</w:t>
                      </w:r>
                    </w:p>
                    <w:p w14:paraId="06207509" w14:textId="77777777" w:rsidR="009108B8" w:rsidRPr="0095517F" w:rsidRDefault="009108B8" w:rsidP="00340F89">
                      <w:pPr>
                        <w:ind w:left="540"/>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4a.  2 fish/person/day</w:t>
                      </w:r>
                    </w:p>
                    <w:p w14:paraId="26368C79" w14:textId="77777777" w:rsidR="009108B8" w:rsidRPr="00FC03A7" w:rsidRDefault="009108B8" w:rsidP="00340F89">
                      <w:pPr>
                        <w:ind w:left="540"/>
                        <w:contextualSpacing/>
                        <w:rPr>
                          <w:rFonts w:ascii="Arial" w:eastAsia="Courier New" w:hAnsi="Arial" w:cs="Arial"/>
                          <w:color w:val="1F497D" w:themeColor="text2"/>
                          <w:sz w:val="18"/>
                          <w:szCs w:val="18"/>
                        </w:rPr>
                      </w:pPr>
                      <w:r w:rsidRPr="00FC03A7">
                        <w:rPr>
                          <w:rFonts w:ascii="Arial" w:eastAsia="Courier New" w:hAnsi="Arial" w:cs="Arial"/>
                          <w:color w:val="1F497D" w:themeColor="text2"/>
                          <w:sz w:val="18"/>
                          <w:szCs w:val="18"/>
                        </w:rPr>
                        <w:t>4b.  3 fish/person/day</w:t>
                      </w:r>
                    </w:p>
                    <w:p w14:paraId="15B7CC43" w14:textId="77777777" w:rsidR="009108B8" w:rsidRPr="00FC03A7" w:rsidRDefault="009108B8" w:rsidP="00340F89">
                      <w:pPr>
                        <w:ind w:left="540"/>
                        <w:contextualSpacing/>
                        <w:rPr>
                          <w:rFonts w:ascii="Arial" w:eastAsia="Courier New" w:hAnsi="Arial" w:cs="Arial"/>
                          <w:b/>
                          <w:color w:val="1F497D" w:themeColor="text2"/>
                          <w:sz w:val="18"/>
                          <w:szCs w:val="18"/>
                        </w:rPr>
                      </w:pPr>
                      <w:r w:rsidRPr="00FC03A7">
                        <w:rPr>
                          <w:rFonts w:ascii="Arial" w:eastAsia="Courier New" w:hAnsi="Arial" w:cs="Arial"/>
                          <w:b/>
                          <w:color w:val="1F497D" w:themeColor="text2"/>
                          <w:sz w:val="18"/>
                          <w:szCs w:val="18"/>
                        </w:rPr>
                        <w:t>4c.  5 fish/person/day</w:t>
                      </w:r>
                    </w:p>
                    <w:p w14:paraId="4723D2B3" w14:textId="77777777" w:rsidR="009108B8" w:rsidRDefault="009108B8" w:rsidP="00340F89">
                      <w:pPr>
                        <w:ind w:left="540"/>
                        <w:contextualSpacing/>
                        <w:rPr>
                          <w:rFonts w:ascii="Arial" w:eastAsia="Courier New" w:hAnsi="Arial" w:cs="Arial"/>
                          <w:color w:val="1F497D" w:themeColor="text2"/>
                          <w:sz w:val="18"/>
                          <w:szCs w:val="18"/>
                        </w:rPr>
                      </w:pPr>
                    </w:p>
                    <w:p w14:paraId="4456E4E2" w14:textId="77777777" w:rsidR="009108B8" w:rsidRDefault="009108B8" w:rsidP="00340F89">
                      <w:pPr>
                        <w:contextualSpacing/>
                        <w:rPr>
                          <w:rFonts w:ascii="Arial" w:eastAsia="Courier New" w:hAnsi="Arial" w:cs="Arial"/>
                          <w:color w:val="1F497D" w:themeColor="text2"/>
                          <w:sz w:val="18"/>
                          <w:szCs w:val="18"/>
                        </w:rPr>
                      </w:pPr>
                      <w:r>
                        <w:rPr>
                          <w:rFonts w:ascii="Arial" w:eastAsia="Courier New" w:hAnsi="Arial" w:cs="Arial"/>
                          <w:color w:val="1F497D" w:themeColor="text2"/>
                          <w:sz w:val="18"/>
                          <w:szCs w:val="18"/>
                        </w:rPr>
                        <w:t>* Preferred indicated in bold.  Refer to Chapter 2 for detailed language of alternatives</w:t>
                      </w:r>
                    </w:p>
                    <w:p w14:paraId="5497935C" w14:textId="77777777" w:rsidR="009108B8" w:rsidRPr="0095517F" w:rsidRDefault="009108B8" w:rsidP="00340F89">
                      <w:pPr>
                        <w:ind w:left="540"/>
                        <w:contextualSpacing/>
                        <w:rPr>
                          <w:rFonts w:ascii="Arial" w:eastAsia="Courier New" w:hAnsi="Arial" w:cs="Arial"/>
                          <w:color w:val="1F497D" w:themeColor="text2"/>
                          <w:sz w:val="18"/>
                          <w:szCs w:val="18"/>
                        </w:rPr>
                      </w:pPr>
                    </w:p>
                  </w:txbxContent>
                </v:textbox>
                <w10:wrap type="square" anchorx="margin" anchory="margin"/>
              </v:shape>
            </w:pict>
          </mc:Fallback>
        </mc:AlternateContent>
      </w:r>
      <w:r w:rsidR="0010161A">
        <w:rPr>
          <w:rStyle w:val="Heading4Char1"/>
          <w:rFonts w:ascii="Arial" w:hAnsi="Arial" w:cs="Arial"/>
          <w:bCs w:val="0"/>
          <w:sz w:val="24"/>
          <w:szCs w:val="24"/>
        </w:rPr>
        <w:t>5.7</w:t>
      </w:r>
      <w:r w:rsidR="004A3C62" w:rsidRPr="005B5A20">
        <w:rPr>
          <w:rStyle w:val="Heading4Char1"/>
          <w:rFonts w:ascii="Arial" w:hAnsi="Arial" w:cs="Arial"/>
          <w:bCs w:val="0"/>
          <w:sz w:val="24"/>
          <w:szCs w:val="24"/>
        </w:rPr>
        <w:t>.1</w:t>
      </w:r>
      <w:r w:rsidR="004A3C62" w:rsidRPr="005B5A20">
        <w:rPr>
          <w:rStyle w:val="Heading4Char1"/>
          <w:rFonts w:ascii="Arial" w:hAnsi="Arial" w:cs="Arial"/>
          <w:bCs w:val="0"/>
          <w:sz w:val="24"/>
          <w:szCs w:val="24"/>
        </w:rPr>
        <w:tab/>
      </w:r>
      <w:r w:rsidR="004A3C62">
        <w:rPr>
          <w:rStyle w:val="Heading4Char1"/>
          <w:rFonts w:ascii="Arial" w:hAnsi="Arial" w:cs="Arial"/>
          <w:bCs w:val="0"/>
          <w:sz w:val="24"/>
          <w:szCs w:val="24"/>
        </w:rPr>
        <w:t>Snapper Grouper AP</w:t>
      </w:r>
      <w:r w:rsidR="004A3C62" w:rsidRPr="005B5A20">
        <w:rPr>
          <w:rStyle w:val="Heading4Char1"/>
          <w:rFonts w:ascii="Arial" w:hAnsi="Arial" w:cs="Arial"/>
          <w:bCs w:val="0"/>
          <w:sz w:val="24"/>
          <w:szCs w:val="24"/>
        </w:rPr>
        <w:t xml:space="preserve"> Comments and Recommendations</w:t>
      </w:r>
      <w:bookmarkEnd w:id="357"/>
    </w:p>
    <w:p w14:paraId="152CF522" w14:textId="3E4A79E8" w:rsidR="00B27D30" w:rsidRDefault="00B27D30" w:rsidP="00B27D30">
      <w:pPr>
        <w:ind w:firstLine="360"/>
      </w:pPr>
      <w:r w:rsidRPr="00B27D30">
        <w:t>The Snapper Grouper AP discussed Amendment 41 during their April 26-</w:t>
      </w:r>
      <w:r w:rsidR="00B77366">
        <w:t>27,</w:t>
      </w:r>
      <w:r w:rsidRPr="00B27D30">
        <w:t xml:space="preserve"> 2016 meeting.  At that time, actions in Amendment 41 were numbered differently and revisions have been made to the language of actions and alternatives in the amendment. </w:t>
      </w:r>
      <w:r w:rsidR="00C3333C">
        <w:t xml:space="preserve"> </w:t>
      </w:r>
      <w:r w:rsidRPr="00B27D30">
        <w:t xml:space="preserve">Hence, the AP’s motions may not reflect the chronology of actions/alternatives or the current language.  The AP approved the following motion regarding </w:t>
      </w:r>
      <w:r w:rsidR="00C3333C">
        <w:t>changes to the recreational bag limit for mutton snapper in the South Atlantic.</w:t>
      </w:r>
    </w:p>
    <w:p w14:paraId="654EA56B" w14:textId="77777777" w:rsidR="00B27D30" w:rsidRDefault="00B27D30" w:rsidP="00B27D30"/>
    <w:p w14:paraId="41034393" w14:textId="77777777" w:rsidR="00B27D30" w:rsidRPr="00F17C93" w:rsidRDefault="00B27D30" w:rsidP="00B27D30">
      <w:r>
        <w:t>MOTION: RECOMMEND SUB-ALTERNATI</w:t>
      </w:r>
      <w:r w:rsidRPr="00F17C93">
        <w:t>VE 4B AS PREFERRED UND</w:t>
      </w:r>
      <w:r>
        <w:t>ER ACTION 6</w:t>
      </w:r>
      <w:r w:rsidRPr="00F17C93">
        <w:t>:</w:t>
      </w:r>
    </w:p>
    <w:p w14:paraId="35443F6F" w14:textId="77777777" w:rsidR="00B27D30" w:rsidRPr="00F17C93" w:rsidRDefault="00B27D30" w:rsidP="00B27D30">
      <w:pPr>
        <w:rPr>
          <w:bCs/>
          <w:i/>
          <w:iCs/>
        </w:rPr>
      </w:pPr>
      <w:r w:rsidRPr="00F17C93">
        <w:rPr>
          <w:bCs/>
          <w:i/>
          <w:iCs/>
        </w:rPr>
        <w:t>Action 6.  Modify Mutton Snapper Recreational Bag Limit in the South Atlantic region</w:t>
      </w:r>
    </w:p>
    <w:p w14:paraId="164267C8" w14:textId="77777777" w:rsidR="00B27D30" w:rsidRPr="00F17C93" w:rsidRDefault="00B27D30" w:rsidP="00B27D30">
      <w:r w:rsidRPr="00F17C93">
        <w:rPr>
          <w:b/>
        </w:rPr>
        <w:t>Alternative 4.</w:t>
      </w:r>
      <w:r w:rsidRPr="00F17C93">
        <w:t xml:space="preserve"> Retain mutton snapper within the recreational 10 snapper aggregate bag limit in the South Atlantic, but specify bag limits for mutton snapper within the aggregate bag limit year round.</w:t>
      </w:r>
    </w:p>
    <w:p w14:paraId="0C943110" w14:textId="77777777" w:rsidR="00B27D30" w:rsidRPr="00F17C93" w:rsidRDefault="00B27D30" w:rsidP="00B27D30">
      <w:r w:rsidRPr="00F17C93">
        <w:rPr>
          <w:b/>
        </w:rPr>
        <w:t>Sub-alternative 4b.</w:t>
      </w:r>
      <w:r w:rsidRPr="00F17C93">
        <w:t xml:space="preserve">  3 fish/person/day.</w:t>
      </w:r>
    </w:p>
    <w:p w14:paraId="70FC9B28" w14:textId="77777777" w:rsidR="004A3C62" w:rsidRPr="00D92EC7" w:rsidRDefault="004A3C62" w:rsidP="00B27D30"/>
    <w:p w14:paraId="25D94E1C" w14:textId="273E6301" w:rsidR="004A3C62" w:rsidRDefault="0010161A" w:rsidP="004A3C62">
      <w:pPr>
        <w:pStyle w:val="Heading3"/>
        <w:rPr>
          <w:rStyle w:val="Heading4Char1"/>
          <w:rFonts w:ascii="Arial" w:hAnsi="Arial" w:cs="Arial"/>
          <w:bCs w:val="0"/>
          <w:sz w:val="24"/>
          <w:szCs w:val="24"/>
        </w:rPr>
      </w:pPr>
      <w:bookmarkStart w:id="358" w:name="_Toc339811814"/>
      <w:r>
        <w:rPr>
          <w:rStyle w:val="Heading4Char1"/>
          <w:rFonts w:ascii="Arial" w:hAnsi="Arial" w:cs="Arial"/>
          <w:bCs w:val="0"/>
          <w:sz w:val="24"/>
          <w:szCs w:val="24"/>
        </w:rPr>
        <w:t>5.7</w:t>
      </w:r>
      <w:r w:rsidR="004A3C62" w:rsidRPr="005B5A20">
        <w:rPr>
          <w:rStyle w:val="Heading4Char1"/>
          <w:rFonts w:ascii="Arial" w:hAnsi="Arial" w:cs="Arial"/>
          <w:bCs w:val="0"/>
          <w:sz w:val="24"/>
          <w:szCs w:val="24"/>
        </w:rPr>
        <w:t>.</w:t>
      </w:r>
      <w:r w:rsidR="004A3C62">
        <w:rPr>
          <w:rStyle w:val="Heading4Char1"/>
          <w:rFonts w:ascii="Arial" w:hAnsi="Arial" w:cs="Arial"/>
          <w:bCs w:val="0"/>
          <w:sz w:val="24"/>
          <w:szCs w:val="24"/>
        </w:rPr>
        <w:t>2</w:t>
      </w:r>
      <w:r w:rsidR="004A3C62" w:rsidRPr="005B5A20">
        <w:rPr>
          <w:rStyle w:val="Heading4Char1"/>
          <w:rFonts w:ascii="Arial" w:hAnsi="Arial" w:cs="Arial"/>
          <w:bCs w:val="0"/>
          <w:sz w:val="24"/>
          <w:szCs w:val="24"/>
        </w:rPr>
        <w:tab/>
      </w:r>
      <w:r w:rsidR="004A3C62">
        <w:rPr>
          <w:rStyle w:val="Heading4Char1"/>
          <w:rFonts w:ascii="Arial" w:hAnsi="Arial" w:cs="Arial"/>
          <w:bCs w:val="0"/>
          <w:sz w:val="24"/>
          <w:szCs w:val="24"/>
        </w:rPr>
        <w:t>Law Enforcement AP</w:t>
      </w:r>
      <w:r w:rsidR="004A3C62" w:rsidRPr="005B5A20">
        <w:rPr>
          <w:rStyle w:val="Heading4Char1"/>
          <w:rFonts w:ascii="Arial" w:hAnsi="Arial" w:cs="Arial"/>
          <w:bCs w:val="0"/>
          <w:sz w:val="24"/>
          <w:szCs w:val="24"/>
        </w:rPr>
        <w:t xml:space="preserve"> Comments and Recommendations</w:t>
      </w:r>
      <w:bookmarkEnd w:id="358"/>
    </w:p>
    <w:p w14:paraId="4AEF7A48" w14:textId="77777777" w:rsidR="00D96DA5" w:rsidRPr="008B07B5" w:rsidRDefault="00D96DA5" w:rsidP="00D96DA5">
      <w:pPr>
        <w:ind w:firstLine="360"/>
      </w:pPr>
      <w:r w:rsidRPr="008B07B5">
        <w:t xml:space="preserve">The </w:t>
      </w:r>
      <w:r>
        <w:t>Law Enforcement AP received a briefing on Amendment 41 during their March 7-8, 2016 meeting.  The Law Enforcement AP had no comments or recommendations.</w:t>
      </w:r>
    </w:p>
    <w:p w14:paraId="1C965653" w14:textId="77777777" w:rsidR="004A3C62" w:rsidRPr="002A1479" w:rsidRDefault="004A3C62" w:rsidP="004A3C62">
      <w:pPr>
        <w:ind w:firstLine="360"/>
        <w:rPr>
          <w:b/>
        </w:rPr>
      </w:pPr>
    </w:p>
    <w:p w14:paraId="4E7A72F0" w14:textId="16178EA4" w:rsidR="004A3C62" w:rsidRDefault="0010161A" w:rsidP="004A3C62">
      <w:pPr>
        <w:pStyle w:val="Heading3"/>
        <w:rPr>
          <w:rStyle w:val="Heading4Char1"/>
          <w:rFonts w:ascii="Arial" w:hAnsi="Arial" w:cs="Arial"/>
          <w:bCs w:val="0"/>
          <w:sz w:val="24"/>
          <w:szCs w:val="24"/>
        </w:rPr>
      </w:pPr>
      <w:bookmarkStart w:id="359" w:name="_Toc339811815"/>
      <w:r>
        <w:rPr>
          <w:rStyle w:val="Heading4Char1"/>
          <w:rFonts w:ascii="Arial" w:hAnsi="Arial" w:cs="Arial"/>
          <w:bCs w:val="0"/>
          <w:sz w:val="24"/>
          <w:szCs w:val="24"/>
        </w:rPr>
        <w:t>5.7</w:t>
      </w:r>
      <w:r w:rsidR="004A3C62" w:rsidRPr="005B5A20">
        <w:rPr>
          <w:rStyle w:val="Heading4Char1"/>
          <w:rFonts w:ascii="Arial" w:hAnsi="Arial" w:cs="Arial"/>
          <w:bCs w:val="0"/>
          <w:sz w:val="24"/>
          <w:szCs w:val="24"/>
        </w:rPr>
        <w:t>.</w:t>
      </w:r>
      <w:r w:rsidR="004A3C62">
        <w:rPr>
          <w:rStyle w:val="Heading4Char1"/>
          <w:rFonts w:ascii="Arial" w:hAnsi="Arial" w:cs="Arial"/>
          <w:bCs w:val="0"/>
          <w:sz w:val="24"/>
          <w:szCs w:val="24"/>
        </w:rPr>
        <w:t>3</w:t>
      </w:r>
      <w:r w:rsidR="004A3C62" w:rsidRPr="005B5A20">
        <w:rPr>
          <w:rStyle w:val="Heading4Char1"/>
          <w:rFonts w:ascii="Arial" w:hAnsi="Arial" w:cs="Arial"/>
          <w:bCs w:val="0"/>
          <w:sz w:val="24"/>
          <w:szCs w:val="24"/>
        </w:rPr>
        <w:tab/>
      </w:r>
      <w:r w:rsidR="004A3C62">
        <w:rPr>
          <w:rStyle w:val="Heading4Char1"/>
          <w:rFonts w:ascii="Arial" w:hAnsi="Arial" w:cs="Arial"/>
          <w:bCs w:val="0"/>
          <w:sz w:val="24"/>
          <w:szCs w:val="24"/>
        </w:rPr>
        <w:t>Scientific and Statistical Committee</w:t>
      </w:r>
      <w:r w:rsidR="004A3C62" w:rsidRPr="005B5A20">
        <w:rPr>
          <w:rStyle w:val="Heading4Char1"/>
          <w:rFonts w:ascii="Arial" w:hAnsi="Arial" w:cs="Arial"/>
          <w:bCs w:val="0"/>
          <w:sz w:val="24"/>
          <w:szCs w:val="24"/>
        </w:rPr>
        <w:t xml:space="preserve"> Comments and Recommendations</w:t>
      </w:r>
      <w:bookmarkEnd w:id="359"/>
    </w:p>
    <w:p w14:paraId="02E3C1F1" w14:textId="77777777" w:rsidR="006C1CC0" w:rsidRPr="008942D1" w:rsidRDefault="006C1CC0" w:rsidP="006C1CC0">
      <w:pPr>
        <w:ind w:firstLine="360"/>
      </w:pPr>
      <w:r>
        <w:t xml:space="preserve">During their May 3-5, 2016 meeting, the SSC received a summary document detailing actions and alternatives in Amendment 41 as well as preliminary analyses.  Due to lack of time, the SSC did not discuss the amendment at that meeting.  During their October 18-20, 2016 meeting, the SSC received a briefing on the analyses used to support management actions in Amendment 41.  The SSC did not have any comments or recommendations. </w:t>
      </w:r>
    </w:p>
    <w:p w14:paraId="4A983149" w14:textId="77777777" w:rsidR="004A3C62" w:rsidRPr="008942D1" w:rsidRDefault="004A3C62" w:rsidP="004A3C62"/>
    <w:p w14:paraId="4BA79E07" w14:textId="30B9F9C4" w:rsidR="004A3C62" w:rsidRDefault="0010161A" w:rsidP="004A3C62">
      <w:pPr>
        <w:pStyle w:val="Heading3"/>
        <w:rPr>
          <w:rStyle w:val="Heading4Char1"/>
          <w:rFonts w:ascii="Arial" w:hAnsi="Arial" w:cs="Arial"/>
          <w:bCs w:val="0"/>
          <w:sz w:val="24"/>
          <w:szCs w:val="24"/>
        </w:rPr>
      </w:pPr>
      <w:bookmarkStart w:id="360" w:name="_Toc339811816"/>
      <w:r>
        <w:rPr>
          <w:rStyle w:val="Heading4Char1"/>
          <w:rFonts w:ascii="Arial" w:hAnsi="Arial" w:cs="Arial"/>
          <w:bCs w:val="0"/>
          <w:sz w:val="24"/>
          <w:szCs w:val="24"/>
        </w:rPr>
        <w:lastRenderedPageBreak/>
        <w:t>5.7</w:t>
      </w:r>
      <w:r w:rsidR="004A3C62" w:rsidRPr="005B5A20">
        <w:rPr>
          <w:rStyle w:val="Heading4Char1"/>
          <w:rFonts w:ascii="Arial" w:hAnsi="Arial" w:cs="Arial"/>
          <w:bCs w:val="0"/>
          <w:sz w:val="24"/>
          <w:szCs w:val="24"/>
        </w:rPr>
        <w:t>.</w:t>
      </w:r>
      <w:r w:rsidR="004A3C62">
        <w:rPr>
          <w:rStyle w:val="Heading4Char1"/>
          <w:rFonts w:ascii="Arial" w:hAnsi="Arial" w:cs="Arial"/>
          <w:bCs w:val="0"/>
          <w:sz w:val="24"/>
          <w:szCs w:val="24"/>
        </w:rPr>
        <w:t>4</w:t>
      </w:r>
      <w:r w:rsidR="004A3C62" w:rsidRPr="005B5A20">
        <w:rPr>
          <w:rStyle w:val="Heading4Char1"/>
          <w:rFonts w:ascii="Arial" w:hAnsi="Arial" w:cs="Arial"/>
          <w:bCs w:val="0"/>
          <w:sz w:val="24"/>
          <w:szCs w:val="24"/>
        </w:rPr>
        <w:tab/>
        <w:t>Public Comments and Recommendations</w:t>
      </w:r>
      <w:bookmarkEnd w:id="360"/>
    </w:p>
    <w:p w14:paraId="646945EB" w14:textId="77777777" w:rsidR="008E2FF3" w:rsidRDefault="008E2FF3" w:rsidP="008E2FF3">
      <w:pPr>
        <w:ind w:firstLine="360"/>
      </w:pPr>
      <w:r>
        <w:t xml:space="preserve">The South Atlantic Council held scoping meetings for Amendment 41 </w:t>
      </w:r>
      <w:r w:rsidRPr="00896911">
        <w:t xml:space="preserve">from January 25 to February 3, 2016.  Meetings in Florida were held in conjunction with workshops conducted by the Florida Fish and Wildlife Conservation Commission (FWC). </w:t>
      </w:r>
      <w:r>
        <w:t xml:space="preserve"> Public hearings were held</w:t>
      </w:r>
      <w:r w:rsidRPr="00896911">
        <w:t xml:space="preserve"> </w:t>
      </w:r>
      <w:r>
        <w:t>via</w:t>
      </w:r>
      <w:r w:rsidRPr="00896911">
        <w:t xml:space="preserve"> </w:t>
      </w:r>
      <w:r>
        <w:t>webinar on August 2, 2016 and</w:t>
      </w:r>
      <w:r w:rsidRPr="00896911">
        <w:t xml:space="preserve"> in-person on August 15-17</w:t>
      </w:r>
      <w:r>
        <w:t>, 2016</w:t>
      </w:r>
      <w:r w:rsidRPr="00896911">
        <w:t>.</w:t>
      </w:r>
    </w:p>
    <w:p w14:paraId="35AC3C5C" w14:textId="77777777" w:rsidR="008E2FF3" w:rsidRDefault="008E2FF3" w:rsidP="008E2FF3">
      <w:pPr>
        <w:ind w:firstLine="360"/>
      </w:pPr>
    </w:p>
    <w:p w14:paraId="2B947628" w14:textId="77777777" w:rsidR="008E2FF3" w:rsidRDefault="008E2FF3" w:rsidP="008E2FF3">
      <w:pPr>
        <w:rPr>
          <w:u w:val="single"/>
        </w:rPr>
      </w:pPr>
      <w:r w:rsidRPr="00AD7124">
        <w:rPr>
          <w:u w:val="single"/>
        </w:rPr>
        <w:t>Summary of scoping comments:</w:t>
      </w:r>
    </w:p>
    <w:p w14:paraId="068BE7B6" w14:textId="43CC6740" w:rsidR="008E2FF3" w:rsidRPr="008E2FF3" w:rsidRDefault="008E2FF3" w:rsidP="001C1373">
      <w:pPr>
        <w:pStyle w:val="ListParagraph"/>
        <w:numPr>
          <w:ilvl w:val="0"/>
          <w:numId w:val="39"/>
        </w:numPr>
        <w:spacing w:line="240" w:lineRule="auto"/>
        <w:rPr>
          <w:rFonts w:ascii="Times New Roman" w:hAnsi="Times New Roman"/>
          <w:sz w:val="24"/>
          <w:szCs w:val="24"/>
        </w:rPr>
      </w:pPr>
      <w:r w:rsidRPr="008E2FF3">
        <w:rPr>
          <w:rFonts w:ascii="Times New Roman" w:hAnsi="Times New Roman"/>
          <w:sz w:val="24"/>
          <w:szCs w:val="24"/>
        </w:rPr>
        <w:t>In general, the public felt that the current bag limit for mutton snapper (up to 10 within the snapper aggregate) is too high and favored a decrease in the bag limit. Opinions differed however, as to how much of a decrease and whether it should be implemented year-round or only during the spawning season.</w:t>
      </w:r>
    </w:p>
    <w:p w14:paraId="4044EC3C" w14:textId="13A1E66F" w:rsidR="008E2FF3" w:rsidRPr="008E2FF3" w:rsidRDefault="008E2FF3" w:rsidP="001C1373">
      <w:pPr>
        <w:pStyle w:val="ListParagraph"/>
        <w:numPr>
          <w:ilvl w:val="0"/>
          <w:numId w:val="39"/>
        </w:numPr>
        <w:spacing w:line="240" w:lineRule="auto"/>
        <w:rPr>
          <w:rFonts w:ascii="Times New Roman" w:hAnsi="Times New Roman"/>
          <w:sz w:val="24"/>
          <w:szCs w:val="24"/>
        </w:rPr>
      </w:pPr>
      <w:r w:rsidRPr="008E2FF3">
        <w:rPr>
          <w:rFonts w:ascii="Times New Roman" w:hAnsi="Times New Roman"/>
          <w:sz w:val="24"/>
          <w:szCs w:val="24"/>
        </w:rPr>
        <w:t>Most people supported a decrease in the bag limit anywhere from 5 five to 2 fish per person per day year round.  Several supported 5 fish during regular season and 2 during spawning season but agreed that 3 fish year round would be simpler for fishermen and enforcement.</w:t>
      </w:r>
    </w:p>
    <w:p w14:paraId="2F279FB3" w14:textId="4511DE2E" w:rsidR="008E2FF3" w:rsidRPr="008E2FF3" w:rsidRDefault="008E2FF3" w:rsidP="001C1373">
      <w:pPr>
        <w:pStyle w:val="ListParagraph"/>
        <w:numPr>
          <w:ilvl w:val="0"/>
          <w:numId w:val="39"/>
        </w:numPr>
        <w:spacing w:line="240" w:lineRule="auto"/>
        <w:rPr>
          <w:rFonts w:ascii="Times New Roman" w:hAnsi="Times New Roman"/>
          <w:sz w:val="24"/>
          <w:szCs w:val="24"/>
        </w:rPr>
      </w:pPr>
      <w:r w:rsidRPr="008E2FF3">
        <w:rPr>
          <w:rFonts w:ascii="Times New Roman" w:hAnsi="Times New Roman"/>
          <w:sz w:val="24"/>
          <w:szCs w:val="24"/>
        </w:rPr>
        <w:t>There was some support for per vessel limits (10-12 per boat during spawning season) but the majority of commenters preferred per person limits.</w:t>
      </w:r>
    </w:p>
    <w:p w14:paraId="1E267111" w14:textId="59856AD8" w:rsidR="008E2FF3" w:rsidRDefault="008E2FF3" w:rsidP="001C1373">
      <w:pPr>
        <w:pStyle w:val="ListParagraph"/>
        <w:numPr>
          <w:ilvl w:val="0"/>
          <w:numId w:val="39"/>
        </w:numPr>
        <w:spacing w:line="240" w:lineRule="auto"/>
        <w:rPr>
          <w:rFonts w:ascii="Times New Roman" w:hAnsi="Times New Roman"/>
          <w:sz w:val="24"/>
          <w:szCs w:val="24"/>
        </w:rPr>
      </w:pPr>
      <w:r w:rsidRPr="008E2FF3">
        <w:rPr>
          <w:rFonts w:ascii="Times New Roman" w:hAnsi="Times New Roman"/>
          <w:sz w:val="24"/>
          <w:szCs w:val="24"/>
        </w:rPr>
        <w:t>Suggestion of slot size in addition to the bag limit decrease. For instance, allow one fish over thirty-inches within the bag limit.</w:t>
      </w:r>
    </w:p>
    <w:p w14:paraId="1E0C7F0F" w14:textId="3C6A3C42" w:rsidR="001C1373" w:rsidRPr="001C1373" w:rsidRDefault="001C1373" w:rsidP="001C1373">
      <w:pPr>
        <w:pStyle w:val="ListParagraph"/>
        <w:numPr>
          <w:ilvl w:val="0"/>
          <w:numId w:val="39"/>
        </w:numPr>
        <w:spacing w:line="240" w:lineRule="auto"/>
        <w:rPr>
          <w:rFonts w:ascii="Times New Roman" w:hAnsi="Times New Roman"/>
          <w:sz w:val="24"/>
          <w:szCs w:val="24"/>
        </w:rPr>
      </w:pPr>
      <w:r w:rsidRPr="001C1373">
        <w:rPr>
          <w:rFonts w:ascii="Times New Roman" w:hAnsi="Times New Roman"/>
          <w:sz w:val="24"/>
          <w:szCs w:val="24"/>
        </w:rPr>
        <w:t>Suggestion to remove mutton snapper from the 10 snapper aggregate.</w:t>
      </w:r>
    </w:p>
    <w:p w14:paraId="69A76C79" w14:textId="539623CB" w:rsidR="001C1373" w:rsidRPr="001C1373" w:rsidRDefault="001C1373" w:rsidP="001C1373">
      <w:pPr>
        <w:pStyle w:val="ListParagraph"/>
        <w:numPr>
          <w:ilvl w:val="0"/>
          <w:numId w:val="39"/>
        </w:numPr>
        <w:spacing w:line="240" w:lineRule="auto"/>
        <w:rPr>
          <w:rFonts w:ascii="Times New Roman" w:hAnsi="Times New Roman"/>
          <w:sz w:val="24"/>
          <w:szCs w:val="24"/>
        </w:rPr>
      </w:pPr>
      <w:r w:rsidRPr="001C1373">
        <w:rPr>
          <w:rFonts w:ascii="Times New Roman" w:hAnsi="Times New Roman"/>
          <w:sz w:val="24"/>
          <w:szCs w:val="24"/>
        </w:rPr>
        <w:t>Some for-hire captains not in favor of reducing ba</w:t>
      </w:r>
      <w:r>
        <w:rPr>
          <w:rFonts w:ascii="Times New Roman" w:hAnsi="Times New Roman"/>
          <w:sz w:val="24"/>
          <w:szCs w:val="24"/>
        </w:rPr>
        <w:t>g limit.</w:t>
      </w:r>
    </w:p>
    <w:p w14:paraId="1ADE8C28" w14:textId="77777777" w:rsidR="008E2FF3" w:rsidRPr="00AD7124" w:rsidRDefault="008E2FF3" w:rsidP="008E2FF3">
      <w:pPr>
        <w:rPr>
          <w:u w:val="single"/>
        </w:rPr>
      </w:pPr>
    </w:p>
    <w:p w14:paraId="1A1DF6A4" w14:textId="46AE4752" w:rsidR="001C1373" w:rsidRDefault="008E2FF3" w:rsidP="001C1373">
      <w:pPr>
        <w:rPr>
          <w:u w:val="single"/>
        </w:rPr>
      </w:pPr>
      <w:r w:rsidRPr="008E2FF3">
        <w:rPr>
          <w:u w:val="single"/>
        </w:rPr>
        <w:t>Summary of public hearing comments:</w:t>
      </w:r>
    </w:p>
    <w:p w14:paraId="625C9593" w14:textId="77777777" w:rsidR="001C1373" w:rsidRPr="001C1373" w:rsidRDefault="001C1373" w:rsidP="001C1373">
      <w:pPr>
        <w:pStyle w:val="ListParagraph"/>
        <w:numPr>
          <w:ilvl w:val="0"/>
          <w:numId w:val="40"/>
        </w:numPr>
        <w:spacing w:line="240" w:lineRule="auto"/>
        <w:rPr>
          <w:rFonts w:ascii="Times New Roman" w:hAnsi="Times New Roman"/>
          <w:sz w:val="24"/>
          <w:szCs w:val="24"/>
          <w:u w:val="single"/>
        </w:rPr>
      </w:pPr>
      <w:r w:rsidRPr="001C1373">
        <w:rPr>
          <w:rFonts w:ascii="Times New Roman" w:hAnsi="Times New Roman"/>
          <w:sz w:val="24"/>
          <w:szCs w:val="24"/>
        </w:rPr>
        <w:t xml:space="preserve">Six (6) commenters directly supported the 3 fish/person/day year-round bag limit </w:t>
      </w:r>
    </w:p>
    <w:p w14:paraId="7A1B6782" w14:textId="26F2F539" w:rsidR="001C1373" w:rsidRPr="001C1373" w:rsidRDefault="001C1373" w:rsidP="001C1373">
      <w:pPr>
        <w:pStyle w:val="ListParagraph"/>
        <w:numPr>
          <w:ilvl w:val="0"/>
          <w:numId w:val="40"/>
        </w:numPr>
        <w:spacing w:line="240" w:lineRule="auto"/>
        <w:rPr>
          <w:rFonts w:ascii="Times New Roman" w:hAnsi="Times New Roman"/>
          <w:sz w:val="24"/>
          <w:szCs w:val="24"/>
          <w:u w:val="single"/>
        </w:rPr>
      </w:pPr>
      <w:r w:rsidRPr="001C1373">
        <w:rPr>
          <w:rFonts w:ascii="Times New Roman" w:hAnsi="Times New Roman"/>
          <w:sz w:val="24"/>
          <w:szCs w:val="24"/>
        </w:rPr>
        <w:t>Eleven (11) commenters supported a decrease in the bag limit to 5 fish/person/day year round</w:t>
      </w:r>
      <w:r>
        <w:rPr>
          <w:rFonts w:ascii="Times New Roman" w:hAnsi="Times New Roman"/>
          <w:sz w:val="24"/>
          <w:szCs w:val="24"/>
        </w:rPr>
        <w:t>.</w:t>
      </w:r>
    </w:p>
    <w:p w14:paraId="4BE5BFC7" w14:textId="77777777" w:rsidR="001C1373" w:rsidRPr="001C1373" w:rsidRDefault="001C1373" w:rsidP="001C1373">
      <w:pPr>
        <w:pStyle w:val="ListParagraph"/>
        <w:numPr>
          <w:ilvl w:val="0"/>
          <w:numId w:val="40"/>
        </w:numPr>
        <w:spacing w:line="240" w:lineRule="auto"/>
        <w:rPr>
          <w:rFonts w:ascii="Times New Roman" w:hAnsi="Times New Roman"/>
          <w:sz w:val="24"/>
          <w:szCs w:val="24"/>
          <w:u w:val="single"/>
        </w:rPr>
      </w:pPr>
      <w:r w:rsidRPr="001C1373">
        <w:rPr>
          <w:rFonts w:ascii="Times New Roman" w:hAnsi="Times New Roman"/>
          <w:sz w:val="24"/>
          <w:szCs w:val="24"/>
        </w:rPr>
        <w:t>There was some support for no retention during the spawning season.</w:t>
      </w:r>
    </w:p>
    <w:p w14:paraId="4BF98CBD" w14:textId="77777777" w:rsidR="001C1373" w:rsidRPr="001C1373" w:rsidRDefault="001C1373" w:rsidP="001C1373">
      <w:pPr>
        <w:pStyle w:val="ListParagraph"/>
        <w:numPr>
          <w:ilvl w:val="0"/>
          <w:numId w:val="40"/>
        </w:numPr>
        <w:spacing w:line="240" w:lineRule="auto"/>
        <w:rPr>
          <w:rFonts w:ascii="Times New Roman" w:hAnsi="Times New Roman"/>
          <w:sz w:val="24"/>
          <w:szCs w:val="24"/>
          <w:u w:val="single"/>
        </w:rPr>
      </w:pPr>
      <w:r w:rsidRPr="001C1373">
        <w:rPr>
          <w:rFonts w:ascii="Times New Roman" w:hAnsi="Times New Roman"/>
          <w:sz w:val="24"/>
          <w:szCs w:val="24"/>
        </w:rPr>
        <w:t>Commenters also expressed support for Alternative 1 (No Action) because, according to analyses, a change in the bag limit has no effect on restricting harvest.</w:t>
      </w:r>
    </w:p>
    <w:p w14:paraId="28DB261F" w14:textId="77777777" w:rsidR="001C1373" w:rsidRPr="001C1373" w:rsidRDefault="001C1373" w:rsidP="001C1373">
      <w:pPr>
        <w:pStyle w:val="ListParagraph"/>
        <w:numPr>
          <w:ilvl w:val="0"/>
          <w:numId w:val="40"/>
        </w:numPr>
        <w:spacing w:line="240" w:lineRule="auto"/>
        <w:rPr>
          <w:rFonts w:ascii="Times New Roman" w:hAnsi="Times New Roman"/>
          <w:sz w:val="24"/>
          <w:szCs w:val="24"/>
          <w:u w:val="single"/>
        </w:rPr>
      </w:pPr>
      <w:r w:rsidRPr="001C1373">
        <w:rPr>
          <w:rFonts w:ascii="Times New Roman" w:hAnsi="Times New Roman"/>
          <w:sz w:val="24"/>
          <w:szCs w:val="24"/>
        </w:rPr>
        <w:t>Some commenters supported a reduction in the bag limit as long as the size limit remains at 16 inches.</w:t>
      </w:r>
    </w:p>
    <w:p w14:paraId="34F69CB4" w14:textId="77777777" w:rsidR="001C1373" w:rsidRPr="001C1373" w:rsidRDefault="001C1373" w:rsidP="001C1373">
      <w:pPr>
        <w:pStyle w:val="ListParagraph"/>
        <w:numPr>
          <w:ilvl w:val="0"/>
          <w:numId w:val="40"/>
        </w:numPr>
        <w:spacing w:line="240" w:lineRule="auto"/>
        <w:rPr>
          <w:rFonts w:ascii="Times New Roman" w:hAnsi="Times New Roman"/>
          <w:sz w:val="24"/>
          <w:szCs w:val="24"/>
          <w:u w:val="single"/>
        </w:rPr>
      </w:pPr>
      <w:r w:rsidRPr="001C1373">
        <w:rPr>
          <w:rFonts w:ascii="Times New Roman" w:hAnsi="Times New Roman"/>
          <w:sz w:val="24"/>
          <w:szCs w:val="24"/>
        </w:rPr>
        <w:t>Some support for a decrease in the bag limit to 2 fish/person/day year round</w:t>
      </w:r>
    </w:p>
    <w:p w14:paraId="557E6890" w14:textId="77777777" w:rsidR="001C1373" w:rsidRPr="001C1373" w:rsidRDefault="001C1373" w:rsidP="001C1373">
      <w:pPr>
        <w:pStyle w:val="ListParagraph"/>
        <w:numPr>
          <w:ilvl w:val="0"/>
          <w:numId w:val="40"/>
        </w:numPr>
        <w:spacing w:line="240" w:lineRule="auto"/>
        <w:rPr>
          <w:rFonts w:ascii="Times New Roman" w:hAnsi="Times New Roman"/>
          <w:sz w:val="24"/>
          <w:szCs w:val="24"/>
          <w:u w:val="single"/>
        </w:rPr>
      </w:pPr>
      <w:r w:rsidRPr="001C1373">
        <w:rPr>
          <w:rFonts w:ascii="Times New Roman" w:hAnsi="Times New Roman"/>
          <w:sz w:val="24"/>
          <w:szCs w:val="24"/>
        </w:rPr>
        <w:t>Concern about recreational sales being very high under the current bag limit. A decrease in the bag limit would serve to curb this.</w:t>
      </w:r>
    </w:p>
    <w:p w14:paraId="07482062" w14:textId="20B5A588" w:rsidR="004A3C62" w:rsidRPr="00356D69" w:rsidRDefault="001C1373" w:rsidP="00356D69">
      <w:pPr>
        <w:pStyle w:val="ListParagraph"/>
        <w:numPr>
          <w:ilvl w:val="0"/>
          <w:numId w:val="40"/>
        </w:numPr>
        <w:spacing w:line="240" w:lineRule="auto"/>
        <w:rPr>
          <w:rFonts w:ascii="Times New Roman" w:hAnsi="Times New Roman"/>
          <w:sz w:val="24"/>
          <w:szCs w:val="24"/>
          <w:u w:val="single"/>
        </w:rPr>
      </w:pPr>
      <w:r w:rsidRPr="001C1373">
        <w:rPr>
          <w:rFonts w:ascii="Times New Roman" w:hAnsi="Times New Roman"/>
          <w:sz w:val="24"/>
          <w:szCs w:val="24"/>
        </w:rPr>
        <w:t>Year-round bag limits are better for FL because there are lots of vacationers and seasonal limits could affect their vacation plans.</w:t>
      </w:r>
    </w:p>
    <w:p w14:paraId="739C1949" w14:textId="77777777" w:rsidR="00356D69" w:rsidRPr="00356D69" w:rsidRDefault="00356D69" w:rsidP="00356D69">
      <w:pPr>
        <w:rPr>
          <w:u w:val="single"/>
        </w:rPr>
      </w:pPr>
    </w:p>
    <w:p w14:paraId="57CF9CEF" w14:textId="77777777" w:rsidR="00356D69" w:rsidRDefault="00356D69">
      <w:pPr>
        <w:rPr>
          <w:rStyle w:val="Heading4Char1"/>
          <w:rFonts w:ascii="Arial" w:hAnsi="Arial" w:cs="Arial"/>
          <w:b/>
          <w:bCs/>
          <w:sz w:val="24"/>
          <w:szCs w:val="24"/>
        </w:rPr>
      </w:pPr>
      <w:r>
        <w:rPr>
          <w:rStyle w:val="Heading4Char1"/>
          <w:rFonts w:ascii="Arial" w:hAnsi="Arial" w:cs="Arial"/>
          <w:sz w:val="24"/>
          <w:szCs w:val="24"/>
        </w:rPr>
        <w:br w:type="page"/>
      </w:r>
    </w:p>
    <w:p w14:paraId="729D40A9" w14:textId="17734307" w:rsidR="004A3C62" w:rsidRDefault="0010161A" w:rsidP="003B41F5">
      <w:pPr>
        <w:pStyle w:val="Heading3"/>
      </w:pPr>
      <w:bookmarkStart w:id="361" w:name="_Toc339811817"/>
      <w:r>
        <w:rPr>
          <w:rStyle w:val="Heading4Char1"/>
          <w:rFonts w:ascii="Arial" w:hAnsi="Arial" w:cs="Arial"/>
          <w:sz w:val="24"/>
          <w:szCs w:val="24"/>
        </w:rPr>
        <w:lastRenderedPageBreak/>
        <w:t>5.7</w:t>
      </w:r>
      <w:r w:rsidR="004A3C62" w:rsidRPr="008942D1">
        <w:rPr>
          <w:rStyle w:val="Heading4Char1"/>
          <w:rFonts w:ascii="Arial" w:hAnsi="Arial" w:cs="Arial"/>
          <w:sz w:val="24"/>
          <w:szCs w:val="24"/>
        </w:rPr>
        <w:t>.5</w:t>
      </w:r>
      <w:r w:rsidR="004A3C62" w:rsidRPr="008942D1">
        <w:rPr>
          <w:rStyle w:val="Heading4Char1"/>
          <w:rFonts w:ascii="Arial" w:hAnsi="Arial" w:cs="Arial"/>
          <w:sz w:val="24"/>
          <w:szCs w:val="24"/>
        </w:rPr>
        <w:tab/>
        <w:t xml:space="preserve">South Atlantic Council </w:t>
      </w:r>
      <w:r w:rsidR="009E03CE">
        <w:rPr>
          <w:rStyle w:val="Heading4Char1"/>
          <w:rFonts w:ascii="Arial" w:hAnsi="Arial" w:cs="Arial"/>
          <w:sz w:val="24"/>
          <w:szCs w:val="24"/>
        </w:rPr>
        <w:t>Rationale</w:t>
      </w:r>
      <w:bookmarkEnd w:id="361"/>
    </w:p>
    <w:p w14:paraId="2087D1E1" w14:textId="7ED5EA4A" w:rsidR="00C224D9" w:rsidRDefault="00E12C9B" w:rsidP="00C224D9">
      <w:pPr>
        <w:ind w:firstLine="360"/>
      </w:pPr>
      <w:r>
        <w:t xml:space="preserve">Stakeholders in the South Atlantic Region, particularly in South Florida, had requested that management agencies (state and federal) consider modifying the recreational bag limit for mutton snapper citing concerns about overexploitation of spawning aggregations each year during spring months.  Indeed, during South Atlantic Council public input meetings and during workshops held by the Florida Fish and Wildlife Conservation Commission (FWC), there was strong support for a reduction in the bag limit.  Although the immediate stated need was to protect spawning fish, the majority of stakeholders supported a reduction in the bag limit year-round instead of stricter measures during the spawning months.  Since analyses conducted in support of this amendment indicated </w:t>
      </w:r>
      <w:r w:rsidR="00C224D9">
        <w:t xml:space="preserve">that the majority of recreational anglers are catching less than 5 mutton snapper per person and the FWC and stakeholders supported this alternative, the South Atlantic Council reasoned </w:t>
      </w:r>
      <w:r w:rsidR="00C224D9" w:rsidRPr="00C224D9">
        <w:rPr>
          <w:b/>
        </w:rPr>
        <w:t>Preferred Sub-alternative 4c</w:t>
      </w:r>
      <w:r w:rsidR="00C224D9">
        <w:t xml:space="preserve"> best meets the purpose to </w:t>
      </w:r>
      <w:r w:rsidR="00C224D9" w:rsidRPr="00380482">
        <w:rPr>
          <w:iCs/>
        </w:rPr>
        <w:t xml:space="preserve">revise management measures for the </w:t>
      </w:r>
      <w:r w:rsidR="00C224D9">
        <w:rPr>
          <w:iCs/>
        </w:rPr>
        <w:t>mutton snapper</w:t>
      </w:r>
      <w:r w:rsidR="00C224D9" w:rsidRPr="00380482">
        <w:rPr>
          <w:iCs/>
        </w:rPr>
        <w:t xml:space="preserve"> component of the snapper grouper fishery</w:t>
      </w:r>
      <w:r w:rsidR="00C224D9">
        <w:rPr>
          <w:iCs/>
        </w:rPr>
        <w:t xml:space="preserve"> based on the best scientific information available</w:t>
      </w:r>
      <w:r w:rsidR="00724F7C">
        <w:rPr>
          <w:iCs/>
        </w:rPr>
        <w:t xml:space="preserve"> to achieve and maintain optimum yield and to </w:t>
      </w:r>
      <w:r w:rsidR="00724F7C" w:rsidRPr="00380482">
        <w:rPr>
          <w:iCs/>
        </w:rPr>
        <w:t>prevent</w:t>
      </w:r>
      <w:r w:rsidR="00724F7C">
        <w:rPr>
          <w:iCs/>
        </w:rPr>
        <w:t xml:space="preserve"> </w:t>
      </w:r>
      <w:r w:rsidR="00724F7C" w:rsidRPr="00380482">
        <w:rPr>
          <w:iCs/>
        </w:rPr>
        <w:t xml:space="preserve">overfishing </w:t>
      </w:r>
      <w:r w:rsidR="00724F7C" w:rsidRPr="003A2DF3">
        <w:rPr>
          <w:iCs/>
        </w:rPr>
        <w:t>while minimizing</w:t>
      </w:r>
      <w:r w:rsidR="00724F7C">
        <w:rPr>
          <w:iCs/>
        </w:rPr>
        <w:t xml:space="preserve"> </w:t>
      </w:r>
      <w:r w:rsidR="00724F7C" w:rsidRPr="003A2DF3">
        <w:rPr>
          <w:iCs/>
        </w:rPr>
        <w:t>adverse social and economic effects</w:t>
      </w:r>
      <w:r w:rsidR="00C224D9" w:rsidRPr="00380482">
        <w:rPr>
          <w:iCs/>
        </w:rPr>
        <w:t>.</w:t>
      </w:r>
      <w:r w:rsidR="00C224D9">
        <w:t xml:space="preserve">  The preferred alternative also best meets the objectives of the Snapper Grouper Fishery Management Plan, as amended, while complying with the requirements of the Magnuson-Stevens Fishery Conservation and Management Act and other applicable law.</w:t>
      </w:r>
    </w:p>
    <w:p w14:paraId="36A004A9" w14:textId="77777777" w:rsidR="00C224D9" w:rsidRDefault="00C224D9" w:rsidP="002F0D29">
      <w:pPr>
        <w:ind w:firstLine="360"/>
      </w:pPr>
    </w:p>
    <w:p w14:paraId="23B25E0F" w14:textId="20D0721A" w:rsidR="00C224D9" w:rsidRDefault="00C224D9" w:rsidP="00C224D9">
      <w:pPr>
        <w:pStyle w:val="Heading3"/>
      </w:pPr>
      <w:bookmarkStart w:id="362" w:name="_Toc339811818"/>
      <w:r>
        <w:t>5.7.6</w:t>
      </w:r>
      <w:r>
        <w:tab/>
        <w:t>How is this Action Addressing the Vision Blueprint for the Snapper Grouper Fishery?</w:t>
      </w:r>
      <w:bookmarkEnd w:id="362"/>
    </w:p>
    <w:p w14:paraId="0CCF2FDB" w14:textId="77777777" w:rsidR="00C224D9" w:rsidRDefault="00C224D9" w:rsidP="00C224D9">
      <w:pPr>
        <w:ind w:firstLine="360"/>
      </w:pPr>
      <w:r>
        <w:t xml:space="preserve">The </w:t>
      </w:r>
      <w:r w:rsidRPr="000C459E">
        <w:t>Vision Blueprint for the Snapper Grouper Fishery</w:t>
      </w:r>
      <w:r>
        <w:t xml:space="preserve"> (Vision Blueprint) was approved in December 2015 and is intended to inform management of the snapper grouper fishery through 2020.  As such, the </w:t>
      </w:r>
      <w:r w:rsidRPr="000C459E">
        <w:t>Vision Blueprint</w:t>
      </w:r>
      <w:r>
        <w:t xml:space="preserve"> serves as a “living document” to help guide future management, builds on stakeholder input and how the South Atlantic Council envisions future management of the fishery, guides the development of new amendments that address priority objectives and strategies, and illustrates actions that could be developed through the regular amendment process.  The Vision Blueprint is organized into four strategic goal areas: (1) Science, (2) Management, (3) Communication, and (4) Governance.  </w:t>
      </w:r>
      <w:r w:rsidRPr="00AF6EE2">
        <w:t>Each goal area has a set of objectives, strategies, and actions.</w:t>
      </w:r>
    </w:p>
    <w:p w14:paraId="4700C954" w14:textId="77777777" w:rsidR="00C224D9" w:rsidRDefault="00C224D9" w:rsidP="00C224D9">
      <w:pPr>
        <w:ind w:firstLine="360"/>
      </w:pPr>
    </w:p>
    <w:p w14:paraId="53D3AA7F" w14:textId="2D6EF1BA" w:rsidR="00C224D9" w:rsidRPr="00C224D9" w:rsidRDefault="00C224D9" w:rsidP="00C224D9">
      <w:pPr>
        <w:ind w:firstLine="360"/>
        <w:rPr>
          <w:sz w:val="32"/>
          <w:szCs w:val="32"/>
        </w:rPr>
      </w:pPr>
      <w:r w:rsidRPr="007A2A5F">
        <w:rPr>
          <w:b/>
        </w:rPr>
        <w:t xml:space="preserve">Action </w:t>
      </w:r>
      <w:r>
        <w:rPr>
          <w:b/>
        </w:rPr>
        <w:t>7</w:t>
      </w:r>
      <w:r>
        <w:t xml:space="preserve"> to modify the recreational bag limits for mutton snapper in the South Atlantic Region responds to </w:t>
      </w:r>
      <w:r w:rsidRPr="00F379C3">
        <w:rPr>
          <w:b/>
        </w:rPr>
        <w:t xml:space="preserve">Objective 2 </w:t>
      </w:r>
      <w:r>
        <w:t xml:space="preserve">under the broad Management goal to </w:t>
      </w:r>
      <w:r w:rsidRPr="002F3220">
        <w:rPr>
          <w:i/>
        </w:rPr>
        <w:t>“</w:t>
      </w:r>
      <w:r w:rsidRPr="008043F4">
        <w:rPr>
          <w:i/>
        </w:rPr>
        <w:t>adopt management strategies for the snapper grouper fishery that rebuild and maintain fishery resources, adapt to regional differences in the fishery, and consider the social and economic needs of fishing communities.</w:t>
      </w:r>
      <w:r>
        <w:t xml:space="preserve">”  </w:t>
      </w:r>
      <w:r w:rsidRPr="00CB0F3A">
        <w:rPr>
          <w:b/>
        </w:rPr>
        <w:t>Objective 2</w:t>
      </w:r>
      <w:r>
        <w:t xml:space="preserve"> aims to </w:t>
      </w:r>
      <w:r w:rsidRPr="00CB0F3A">
        <w:rPr>
          <w:i/>
        </w:rPr>
        <w:t>“develop innovative management measures that allow consistent access to the fishery for all sectors”</w:t>
      </w:r>
      <w:r>
        <w:t xml:space="preserve">.  While bag limits do not constitute an innovative management approach, they continue to be an effective means to keep recreational landings within biologically acceptable limits and can be used to “spread out” the harvest over time to allow more consistent access to the resource.  </w:t>
      </w:r>
      <w:r w:rsidRPr="00B5743B">
        <w:rPr>
          <w:b/>
        </w:rPr>
        <w:t xml:space="preserve">Action </w:t>
      </w:r>
      <w:r>
        <w:rPr>
          <w:b/>
        </w:rPr>
        <w:t>7</w:t>
      </w:r>
      <w:r>
        <w:t xml:space="preserve"> also addresses a priority action under </w:t>
      </w:r>
      <w:r w:rsidRPr="00B5743B">
        <w:rPr>
          <w:b/>
        </w:rPr>
        <w:t>Strategy 2.1</w:t>
      </w:r>
      <w:r>
        <w:t xml:space="preserve"> (S</w:t>
      </w:r>
      <w:r w:rsidRPr="00B5743B">
        <w:t>upport development of management approaches that address reten</w:t>
      </w:r>
      <w:r>
        <w:t xml:space="preserve">tion of snapper grouper species) to </w:t>
      </w:r>
      <w:r w:rsidRPr="00B5743B">
        <w:rPr>
          <w:i/>
        </w:rPr>
        <w:t>“consider bag limit and trip limit adjustments</w:t>
      </w:r>
      <w:r>
        <w:t xml:space="preserve">.  Furthermore, under the broad Management goal, </w:t>
      </w:r>
      <w:r w:rsidRPr="00F53CF7">
        <w:rPr>
          <w:b/>
        </w:rPr>
        <w:t xml:space="preserve">Action </w:t>
      </w:r>
      <w:r>
        <w:rPr>
          <w:b/>
        </w:rPr>
        <w:t>7</w:t>
      </w:r>
      <w:r>
        <w:t xml:space="preserve"> responds to Objective 2, Strategy 2.5 to </w:t>
      </w:r>
      <w:r w:rsidRPr="00E66FE0">
        <w:rPr>
          <w:i/>
        </w:rPr>
        <w:t>consider measure</w:t>
      </w:r>
      <w:r>
        <w:rPr>
          <w:i/>
        </w:rPr>
        <w:t>s</w:t>
      </w:r>
      <w:r w:rsidRPr="00E66FE0">
        <w:rPr>
          <w:i/>
        </w:rPr>
        <w:t xml:space="preserve"> to </w:t>
      </w:r>
      <w:r w:rsidRPr="00E66FE0">
        <w:rPr>
          <w:i/>
        </w:rPr>
        <w:lastRenderedPageBreak/>
        <w:t>simplify regulations for both sectors</w:t>
      </w:r>
      <w:r>
        <w:t xml:space="preserve"> since the South Atlantic Council worked closely with the FWC to consider regulations that would be compatible in state and federal waters to simplify the regulatory environment to benefit resource users as well as law enforcement.</w:t>
      </w:r>
    </w:p>
    <w:p w14:paraId="33DF970B" w14:textId="77777777" w:rsidR="00C224D9" w:rsidRDefault="00C224D9" w:rsidP="002F0D29">
      <w:pPr>
        <w:ind w:firstLine="360"/>
        <w:sectPr w:rsidR="00C224D9" w:rsidSect="0038545E">
          <w:pgSz w:w="12240" w:h="15840" w:code="1"/>
          <w:pgMar w:top="1440" w:right="1440" w:bottom="1440" w:left="1440" w:header="720" w:footer="720" w:gutter="0"/>
          <w:cols w:space="720"/>
          <w:docGrid w:linePitch="360"/>
        </w:sectPr>
      </w:pPr>
    </w:p>
    <w:p w14:paraId="3BF82EE4" w14:textId="6BDE46F7" w:rsidR="00DB30FF" w:rsidRPr="004A3C62" w:rsidRDefault="0010161A" w:rsidP="00DB30FF">
      <w:pPr>
        <w:pStyle w:val="Heading2"/>
        <w:rPr>
          <w:rFonts w:ascii="Arial" w:hAnsi="Arial" w:cs="Arial"/>
        </w:rPr>
      </w:pPr>
      <w:bookmarkStart w:id="363" w:name="_Toc339811819"/>
      <w:r>
        <w:rPr>
          <w:rFonts w:ascii="Arial" w:hAnsi="Arial" w:cs="Arial"/>
        </w:rPr>
        <w:lastRenderedPageBreak/>
        <w:t>5.8</w:t>
      </w:r>
      <w:r w:rsidR="00DB30FF" w:rsidRPr="004A3C62">
        <w:rPr>
          <w:rFonts w:ascii="Arial" w:hAnsi="Arial" w:cs="Arial"/>
        </w:rPr>
        <w:tab/>
      </w:r>
      <w:r w:rsidR="005027F6" w:rsidRPr="00CC3FDF">
        <w:rPr>
          <w:rFonts w:ascii="Arial" w:hAnsi="Arial" w:cs="Arial"/>
        </w:rPr>
        <w:t xml:space="preserve">Action </w:t>
      </w:r>
      <w:r>
        <w:rPr>
          <w:rFonts w:ascii="Arial" w:hAnsi="Arial" w:cs="Arial"/>
        </w:rPr>
        <w:t>8</w:t>
      </w:r>
      <w:r w:rsidR="005027F6" w:rsidRPr="00CC3FDF">
        <w:rPr>
          <w:rFonts w:ascii="Arial" w:hAnsi="Arial" w:cs="Arial"/>
        </w:rPr>
        <w:t xml:space="preserve">.  </w:t>
      </w:r>
      <w:r w:rsidR="005027F6" w:rsidRPr="00464347">
        <w:rPr>
          <w:rFonts w:ascii="Arial" w:hAnsi="Arial" w:cs="Arial"/>
        </w:rPr>
        <w:t xml:space="preserve">Modify mutton snapper commercial trip limit in the South Atlantic </w:t>
      </w:r>
      <w:r w:rsidR="00774344" w:rsidRPr="00464347">
        <w:rPr>
          <w:rFonts w:ascii="Arial" w:hAnsi="Arial" w:cs="Arial"/>
        </w:rPr>
        <w:t>R</w:t>
      </w:r>
      <w:r w:rsidR="005027F6" w:rsidRPr="00464347">
        <w:rPr>
          <w:rFonts w:ascii="Arial" w:hAnsi="Arial" w:cs="Arial"/>
        </w:rPr>
        <w:t>egion</w:t>
      </w:r>
      <w:bookmarkEnd w:id="363"/>
    </w:p>
    <w:p w14:paraId="3B2BA52A" w14:textId="77777777" w:rsidR="00DB30FF" w:rsidRDefault="00DB30FF" w:rsidP="00DB30FF">
      <w:pPr>
        <w:rPr>
          <w:rStyle w:val="Heading4Char1"/>
          <w:rFonts w:ascii="Arial" w:hAnsi="Arial" w:cs="Arial"/>
          <w:bCs/>
          <w:sz w:val="24"/>
          <w:szCs w:val="24"/>
        </w:rPr>
      </w:pPr>
    </w:p>
    <w:p w14:paraId="146C08EA" w14:textId="0EAF1ACC" w:rsidR="00DB30FF" w:rsidRDefault="00340F89" w:rsidP="00DB30FF">
      <w:pPr>
        <w:pStyle w:val="Heading3"/>
        <w:rPr>
          <w:rStyle w:val="Heading4Char1"/>
          <w:rFonts w:ascii="Arial" w:hAnsi="Arial" w:cs="Arial"/>
          <w:bCs w:val="0"/>
          <w:sz w:val="24"/>
          <w:szCs w:val="24"/>
        </w:rPr>
      </w:pPr>
      <w:bookmarkStart w:id="364" w:name="_Toc339811820"/>
      <w:r w:rsidRPr="000E374B">
        <w:rPr>
          <w:noProof/>
          <w:color w:val="365F91" w:themeColor="accent1" w:themeShade="BF"/>
        </w:rPr>
        <mc:AlternateContent>
          <mc:Choice Requires="wps">
            <w:drawing>
              <wp:anchor distT="0" distB="0" distL="114300" distR="114300" simplePos="0" relativeHeight="251728384" behindDoc="0" locked="0" layoutInCell="1" allowOverlap="1" wp14:anchorId="6EA3BE8D" wp14:editId="1AD21B24">
                <wp:simplePos x="0" y="0"/>
                <wp:positionH relativeFrom="margin">
                  <wp:posOffset>3075940</wp:posOffset>
                </wp:positionH>
                <wp:positionV relativeFrom="margin">
                  <wp:posOffset>860425</wp:posOffset>
                </wp:positionV>
                <wp:extent cx="2998470" cy="4811395"/>
                <wp:effectExtent l="25400" t="101600" r="125730" b="40005"/>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4811395"/>
                        </a:xfrm>
                        <a:prstGeom prst="rect">
                          <a:avLst/>
                        </a:prstGeom>
                        <a:solidFill>
                          <a:srgbClr val="FFFFFF"/>
                        </a:solidFill>
                        <a:ln w="9525">
                          <a:solidFill>
                            <a:schemeClr val="tx2">
                              <a:lumMod val="60000"/>
                              <a:lumOff val="40000"/>
                            </a:schemeClr>
                          </a:solidFill>
                          <a:miter lim="800000"/>
                          <a:headEnd/>
                          <a:tailEnd/>
                        </a:ln>
                        <a:effectLst>
                          <a:outerShdw blurRad="50800" dist="38100" dir="18900000" algn="bl" rotWithShape="0">
                            <a:prstClr val="black">
                              <a:alpha val="40000"/>
                            </a:prstClr>
                          </a:outerShdw>
                        </a:effectLst>
                      </wps:spPr>
                      <wps:txbx>
                        <w:txbxContent>
                          <w:p w14:paraId="00D7DB40" w14:textId="77777777" w:rsidR="009108B8" w:rsidRPr="00903F45" w:rsidRDefault="009108B8" w:rsidP="00340F89">
                            <w:pPr>
                              <w:jc w:val="center"/>
                              <w:rPr>
                                <w:rFonts w:ascii="Arial" w:hAnsi="Arial" w:cs="Arial"/>
                                <w:b/>
                                <w:i/>
                                <w:iCs/>
                                <w:color w:val="365F91" w:themeColor="accent1" w:themeShade="BF"/>
                              </w:rPr>
                            </w:pPr>
                            <w:r w:rsidRPr="00903F45">
                              <w:rPr>
                                <w:rFonts w:ascii="Arial" w:hAnsi="Arial" w:cs="Arial"/>
                                <w:b/>
                                <w:i/>
                                <w:iCs/>
                                <w:color w:val="365F91" w:themeColor="accent1" w:themeShade="BF"/>
                              </w:rPr>
                              <w:t>Alternatives</w:t>
                            </w:r>
                            <w:r>
                              <w:rPr>
                                <w:rFonts w:ascii="Arial" w:hAnsi="Arial" w:cs="Arial"/>
                                <w:b/>
                                <w:i/>
                                <w:iCs/>
                                <w:color w:val="365F91" w:themeColor="accent1" w:themeShade="BF"/>
                              </w:rPr>
                              <w:t>*</w:t>
                            </w:r>
                          </w:p>
                          <w:p w14:paraId="7402E616" w14:textId="77777777" w:rsidR="009108B8" w:rsidRDefault="009108B8" w:rsidP="00340F89">
                            <w:pPr>
                              <w:jc w:val="center"/>
                              <w:rPr>
                                <w:rFonts w:ascii="Arial" w:hAnsi="Arial" w:cs="Arial"/>
                                <w:b/>
                                <w:i/>
                                <w:iCs/>
                                <w:color w:val="365F91" w:themeColor="accent1" w:themeShade="BF"/>
                                <w:sz w:val="28"/>
                                <w:szCs w:val="28"/>
                              </w:rPr>
                            </w:pPr>
                          </w:p>
                          <w:p w14:paraId="2E41D0E8" w14:textId="63BE5DC9" w:rsidR="009108B8" w:rsidRPr="00903F45" w:rsidRDefault="009108B8" w:rsidP="00340F89">
                            <w:pPr>
                              <w:pStyle w:val="Normal1"/>
                              <w:spacing w:line="240" w:lineRule="auto"/>
                              <w:contextualSpacing/>
                              <w:rPr>
                                <w:color w:val="1F497D" w:themeColor="text2"/>
                                <w:sz w:val="20"/>
                                <w:szCs w:val="20"/>
                              </w:rPr>
                            </w:pPr>
                            <w:r w:rsidRPr="00903F45">
                              <w:rPr>
                                <w:color w:val="1F497D" w:themeColor="text2"/>
                                <w:sz w:val="20"/>
                                <w:szCs w:val="20"/>
                              </w:rPr>
                              <w:t>1 (No Action).</w:t>
                            </w:r>
                            <w:r>
                              <w:rPr>
                                <w:color w:val="1F497D" w:themeColor="text2"/>
                                <w:sz w:val="20"/>
                                <w:szCs w:val="20"/>
                              </w:rPr>
                              <w:t xml:space="preserve">  </w:t>
                            </w:r>
                            <w:r w:rsidRPr="00FC03A7">
                              <w:rPr>
                                <w:color w:val="1F497D" w:themeColor="text2"/>
                                <w:sz w:val="20"/>
                                <w:szCs w:val="20"/>
                              </w:rPr>
                              <w:t xml:space="preserve">During May and June, each year, the possession of mutton snapper in or from the exclusive economic zone on board a vessel that has a commercial permit for South Atlantic snapper-grouper is limited to 10 per person per day or 10 per person per trip, whichever is more restrictive.  There is no possession or trip limit for the commercial sector in the South Atlantic from </w:t>
                            </w:r>
                            <w:r w:rsidRPr="000109FC">
                              <w:rPr>
                                <w:color w:val="1F497D" w:themeColor="text2"/>
                                <w:sz w:val="20"/>
                                <w:szCs w:val="18"/>
                                <w:highlight w:val="yellow"/>
                              </w:rPr>
                              <w:t>January through April and July through December.</w:t>
                            </w:r>
                            <w:r w:rsidRPr="000109FC">
                              <w:rPr>
                                <w:color w:val="1F497D" w:themeColor="text2"/>
                                <w:szCs w:val="20"/>
                              </w:rPr>
                              <w:t xml:space="preserve">  </w:t>
                            </w:r>
                          </w:p>
                          <w:p w14:paraId="2DF81D7D" w14:textId="77777777" w:rsidR="009108B8" w:rsidRPr="00903F45" w:rsidRDefault="009108B8" w:rsidP="00340F89">
                            <w:pPr>
                              <w:contextualSpacing/>
                              <w:rPr>
                                <w:rFonts w:ascii="Arial" w:eastAsia="Courier New" w:hAnsi="Arial" w:cs="Arial"/>
                                <w:color w:val="1F497D" w:themeColor="text2"/>
                                <w:sz w:val="20"/>
                                <w:szCs w:val="20"/>
                              </w:rPr>
                            </w:pPr>
                          </w:p>
                          <w:p w14:paraId="229009A5" w14:textId="77777777" w:rsidR="009108B8" w:rsidRPr="0016692A" w:rsidRDefault="009108B8" w:rsidP="00340F89">
                            <w:pPr>
                              <w:contextualSpacing/>
                              <w:rPr>
                                <w:rFonts w:ascii="Arial" w:eastAsia="Courier New" w:hAnsi="Arial" w:cs="Arial"/>
                                <w:b/>
                                <w:color w:val="1F497D" w:themeColor="text2"/>
                                <w:sz w:val="20"/>
                                <w:szCs w:val="20"/>
                              </w:rPr>
                            </w:pPr>
                            <w:r w:rsidRPr="0016692A">
                              <w:rPr>
                                <w:rFonts w:ascii="Arial" w:hAnsi="Arial" w:cs="Arial"/>
                                <w:b/>
                                <w:color w:val="1F497D" w:themeColor="text2"/>
                                <w:sz w:val="20"/>
                                <w:szCs w:val="20"/>
                              </w:rPr>
                              <w:t>2. Establish a commercial trip limit for mutton snapper during the “regular season” (i.e., non-spawning months) in the South Atlantic.</w:t>
                            </w:r>
                          </w:p>
                          <w:p w14:paraId="0ACED27D" w14:textId="77777777" w:rsidR="009108B8" w:rsidRPr="00FC03A7" w:rsidRDefault="009108B8" w:rsidP="00340F89">
                            <w:pPr>
                              <w:ind w:left="540"/>
                              <w:contextualSpacing/>
                              <w:rPr>
                                <w:rFonts w:ascii="Arial" w:hAnsi="Arial" w:cs="Arial"/>
                                <w:color w:val="1F497D" w:themeColor="text2"/>
                                <w:sz w:val="20"/>
                                <w:szCs w:val="20"/>
                              </w:rPr>
                            </w:pPr>
                            <w:r w:rsidRPr="00FC03A7">
                              <w:rPr>
                                <w:rFonts w:ascii="Arial" w:hAnsi="Arial" w:cs="Arial"/>
                                <w:color w:val="1F497D" w:themeColor="text2"/>
                                <w:sz w:val="20"/>
                                <w:szCs w:val="20"/>
                              </w:rPr>
                              <w:t>2a.  300 pounds</w:t>
                            </w:r>
                          </w:p>
                          <w:p w14:paraId="3B6DCD31" w14:textId="77777777" w:rsidR="009108B8" w:rsidRPr="00903F45" w:rsidRDefault="009108B8" w:rsidP="00340F89">
                            <w:pPr>
                              <w:ind w:left="540"/>
                              <w:contextualSpacing/>
                              <w:rPr>
                                <w:rFonts w:ascii="Arial" w:hAnsi="Arial" w:cs="Arial"/>
                                <w:color w:val="1F497D" w:themeColor="text2"/>
                                <w:sz w:val="20"/>
                                <w:szCs w:val="20"/>
                              </w:rPr>
                            </w:pPr>
                            <w:r w:rsidRPr="00903F45">
                              <w:rPr>
                                <w:rFonts w:ascii="Arial" w:hAnsi="Arial" w:cs="Arial"/>
                                <w:color w:val="1F497D" w:themeColor="text2"/>
                                <w:sz w:val="20"/>
                                <w:szCs w:val="20"/>
                              </w:rPr>
                              <w:t>2b.  400 pounds</w:t>
                            </w:r>
                          </w:p>
                          <w:p w14:paraId="7E65AB16" w14:textId="77777777" w:rsidR="009108B8" w:rsidRPr="00FC03A7" w:rsidRDefault="009108B8" w:rsidP="00340F89">
                            <w:pPr>
                              <w:ind w:left="540"/>
                              <w:contextualSpacing/>
                              <w:rPr>
                                <w:rFonts w:ascii="Arial" w:hAnsi="Arial" w:cs="Arial"/>
                                <w:b/>
                                <w:color w:val="1F497D" w:themeColor="text2"/>
                                <w:sz w:val="20"/>
                                <w:szCs w:val="20"/>
                              </w:rPr>
                            </w:pPr>
                            <w:r w:rsidRPr="00FC03A7">
                              <w:rPr>
                                <w:rFonts w:ascii="Arial" w:hAnsi="Arial" w:cs="Arial"/>
                                <w:b/>
                                <w:color w:val="1F497D" w:themeColor="text2"/>
                                <w:sz w:val="20"/>
                                <w:szCs w:val="20"/>
                              </w:rPr>
                              <w:t>2c.  500 pounds</w:t>
                            </w:r>
                          </w:p>
                          <w:p w14:paraId="1D61667A" w14:textId="77777777" w:rsidR="009108B8" w:rsidRPr="00903F45" w:rsidRDefault="009108B8" w:rsidP="00340F89">
                            <w:pPr>
                              <w:contextualSpacing/>
                              <w:rPr>
                                <w:rFonts w:ascii="Arial" w:hAnsi="Arial" w:cs="Arial"/>
                                <w:color w:val="1F497D" w:themeColor="text2"/>
                                <w:sz w:val="20"/>
                                <w:szCs w:val="20"/>
                              </w:rPr>
                            </w:pPr>
                          </w:p>
                          <w:p w14:paraId="3CA516FC" w14:textId="77777777" w:rsidR="009108B8" w:rsidRPr="0016692A" w:rsidRDefault="009108B8" w:rsidP="00340F89">
                            <w:pPr>
                              <w:contextualSpacing/>
                              <w:rPr>
                                <w:rFonts w:ascii="Arial" w:eastAsia="Courier New" w:hAnsi="Arial" w:cs="Arial"/>
                                <w:b/>
                                <w:color w:val="1F497D" w:themeColor="text2"/>
                                <w:sz w:val="20"/>
                                <w:szCs w:val="20"/>
                              </w:rPr>
                            </w:pPr>
                            <w:r w:rsidRPr="0016692A">
                              <w:rPr>
                                <w:rFonts w:ascii="Arial" w:hAnsi="Arial" w:cs="Arial"/>
                                <w:b/>
                                <w:color w:val="1F497D" w:themeColor="text2"/>
                                <w:sz w:val="20"/>
                                <w:szCs w:val="20"/>
                              </w:rPr>
                              <w:t>3. Specify a commercial trip limit for mutton snapper during the “spawning months” in the South Atlantic.</w:t>
                            </w:r>
                          </w:p>
                          <w:p w14:paraId="246F9206" w14:textId="77777777" w:rsidR="009108B8" w:rsidRPr="00903F45" w:rsidRDefault="009108B8" w:rsidP="00340F89">
                            <w:pPr>
                              <w:ind w:left="540"/>
                              <w:contextualSpacing/>
                              <w:rPr>
                                <w:rFonts w:ascii="Arial" w:eastAsia="Courier New" w:hAnsi="Arial" w:cs="Arial"/>
                                <w:color w:val="1F497D" w:themeColor="text2"/>
                                <w:sz w:val="20"/>
                                <w:szCs w:val="20"/>
                              </w:rPr>
                            </w:pPr>
                            <w:r w:rsidRPr="00903F45">
                              <w:rPr>
                                <w:rFonts w:ascii="Arial" w:eastAsia="Courier New" w:hAnsi="Arial" w:cs="Arial"/>
                                <w:color w:val="1F497D" w:themeColor="text2"/>
                                <w:sz w:val="20"/>
                                <w:szCs w:val="20"/>
                              </w:rPr>
                              <w:t>3a.  2 fish/person/day</w:t>
                            </w:r>
                          </w:p>
                          <w:p w14:paraId="6741A6CD" w14:textId="77777777" w:rsidR="009108B8" w:rsidRPr="00340F89" w:rsidRDefault="009108B8" w:rsidP="00340F89">
                            <w:pPr>
                              <w:ind w:left="540"/>
                              <w:contextualSpacing/>
                              <w:rPr>
                                <w:rFonts w:ascii="Arial" w:eastAsia="Courier New" w:hAnsi="Arial" w:cs="Arial"/>
                                <w:color w:val="1F497D" w:themeColor="text2"/>
                                <w:sz w:val="20"/>
                                <w:szCs w:val="20"/>
                              </w:rPr>
                            </w:pPr>
                            <w:r w:rsidRPr="00340F89">
                              <w:rPr>
                                <w:rFonts w:ascii="Arial" w:eastAsia="Courier New" w:hAnsi="Arial" w:cs="Arial"/>
                                <w:color w:val="1F497D" w:themeColor="text2"/>
                                <w:sz w:val="20"/>
                                <w:szCs w:val="20"/>
                              </w:rPr>
                              <w:t>3b.  3 fish/person/day</w:t>
                            </w:r>
                          </w:p>
                          <w:p w14:paraId="5CA8F045" w14:textId="77777777" w:rsidR="009108B8" w:rsidRPr="00903F45" w:rsidRDefault="009108B8" w:rsidP="00340F89">
                            <w:pPr>
                              <w:ind w:left="540"/>
                              <w:contextualSpacing/>
                              <w:rPr>
                                <w:rFonts w:ascii="Arial" w:eastAsia="Courier New" w:hAnsi="Arial" w:cs="Arial"/>
                                <w:color w:val="1F497D" w:themeColor="text2"/>
                                <w:sz w:val="20"/>
                                <w:szCs w:val="20"/>
                              </w:rPr>
                            </w:pPr>
                            <w:r w:rsidRPr="00903F45">
                              <w:rPr>
                                <w:rFonts w:ascii="Arial" w:eastAsia="Courier New" w:hAnsi="Arial" w:cs="Arial"/>
                                <w:color w:val="1F497D" w:themeColor="text2"/>
                                <w:sz w:val="20"/>
                                <w:szCs w:val="20"/>
                              </w:rPr>
                              <w:t>3c.  10 fish/vessel/day</w:t>
                            </w:r>
                          </w:p>
                          <w:p w14:paraId="58167330" w14:textId="77777777" w:rsidR="009108B8" w:rsidRPr="00903F45" w:rsidRDefault="009108B8" w:rsidP="00340F89">
                            <w:pPr>
                              <w:ind w:left="540"/>
                              <w:contextualSpacing/>
                              <w:rPr>
                                <w:rFonts w:ascii="Arial" w:eastAsia="Courier New" w:hAnsi="Arial" w:cs="Arial"/>
                                <w:color w:val="1F497D" w:themeColor="text2"/>
                                <w:sz w:val="20"/>
                                <w:szCs w:val="20"/>
                              </w:rPr>
                            </w:pPr>
                            <w:r w:rsidRPr="00903F45">
                              <w:rPr>
                                <w:rFonts w:ascii="Arial" w:eastAsia="Courier New" w:hAnsi="Arial" w:cs="Arial"/>
                                <w:color w:val="1F497D" w:themeColor="text2"/>
                                <w:sz w:val="20"/>
                                <w:szCs w:val="20"/>
                              </w:rPr>
                              <w:t>3d.  12 fish/vessel/day</w:t>
                            </w:r>
                          </w:p>
                          <w:p w14:paraId="704DD665" w14:textId="77777777" w:rsidR="009108B8" w:rsidRDefault="009108B8" w:rsidP="00340F89">
                            <w:pPr>
                              <w:ind w:left="540"/>
                              <w:contextualSpacing/>
                              <w:rPr>
                                <w:rFonts w:ascii="Arial" w:eastAsia="Courier New" w:hAnsi="Arial" w:cs="Arial"/>
                                <w:color w:val="1F497D" w:themeColor="text2"/>
                                <w:sz w:val="20"/>
                                <w:szCs w:val="20"/>
                              </w:rPr>
                            </w:pPr>
                            <w:r w:rsidRPr="00903F45">
                              <w:rPr>
                                <w:rFonts w:ascii="Arial" w:eastAsia="Courier New" w:hAnsi="Arial" w:cs="Arial"/>
                                <w:color w:val="1F497D" w:themeColor="text2"/>
                                <w:sz w:val="20"/>
                                <w:szCs w:val="20"/>
                              </w:rPr>
                              <w:t>3e.  No retention</w:t>
                            </w:r>
                          </w:p>
                          <w:p w14:paraId="7526D859" w14:textId="77777777" w:rsidR="009108B8" w:rsidRPr="00340F89" w:rsidRDefault="009108B8" w:rsidP="00340F89">
                            <w:pPr>
                              <w:ind w:left="540"/>
                              <w:contextualSpacing/>
                              <w:rPr>
                                <w:rFonts w:ascii="Arial" w:eastAsia="Courier New" w:hAnsi="Arial" w:cs="Arial"/>
                                <w:b/>
                                <w:color w:val="1F497D" w:themeColor="text2"/>
                                <w:sz w:val="20"/>
                                <w:szCs w:val="20"/>
                              </w:rPr>
                            </w:pPr>
                            <w:r w:rsidRPr="00340F89">
                              <w:rPr>
                                <w:rFonts w:ascii="Arial" w:eastAsia="Courier New" w:hAnsi="Arial" w:cs="Arial"/>
                                <w:b/>
                                <w:color w:val="1F497D" w:themeColor="text2"/>
                                <w:sz w:val="20"/>
                                <w:szCs w:val="20"/>
                              </w:rPr>
                              <w:t>3f.  5 fish/person/day</w:t>
                            </w:r>
                          </w:p>
                          <w:p w14:paraId="6E46D1AE" w14:textId="77777777" w:rsidR="009108B8" w:rsidRPr="00903F45" w:rsidRDefault="009108B8" w:rsidP="00340F89">
                            <w:pPr>
                              <w:ind w:left="540"/>
                              <w:contextualSpacing/>
                              <w:rPr>
                                <w:rFonts w:ascii="Arial" w:eastAsia="Courier New" w:hAnsi="Arial" w:cs="Arial"/>
                                <w:color w:val="1F497D" w:themeColor="text2"/>
                                <w:sz w:val="20"/>
                                <w:szCs w:val="20"/>
                              </w:rPr>
                            </w:pPr>
                          </w:p>
                          <w:p w14:paraId="2DE6EA16" w14:textId="77777777" w:rsidR="009108B8" w:rsidRPr="00903F45" w:rsidRDefault="009108B8" w:rsidP="00340F89">
                            <w:pPr>
                              <w:rPr>
                                <w:rFonts w:ascii="Arial" w:hAnsi="Arial" w:cs="Arial"/>
                                <w:color w:val="1F497D" w:themeColor="text2"/>
                                <w:sz w:val="20"/>
                                <w:szCs w:val="20"/>
                              </w:rPr>
                            </w:pPr>
                            <w:r w:rsidRPr="00903F45">
                              <w:rPr>
                                <w:rFonts w:ascii="Arial" w:hAnsi="Arial" w:cs="Arial"/>
                                <w:color w:val="1F497D" w:themeColor="text2"/>
                                <w:sz w:val="20"/>
                                <w:szCs w:val="20"/>
                              </w:rPr>
                              <w:t>*</w:t>
                            </w:r>
                            <w:r>
                              <w:rPr>
                                <w:rFonts w:ascii="Arial" w:hAnsi="Arial" w:cs="Arial"/>
                                <w:color w:val="1F497D" w:themeColor="text2"/>
                                <w:sz w:val="20"/>
                                <w:szCs w:val="20"/>
                              </w:rPr>
                              <w:t xml:space="preserve"> Preferred indicated in bold. </w:t>
                            </w:r>
                            <w:r w:rsidRPr="00903F45">
                              <w:rPr>
                                <w:rFonts w:ascii="Arial" w:hAnsi="Arial" w:cs="Arial"/>
                                <w:color w:val="1F497D" w:themeColor="text2"/>
                                <w:sz w:val="20"/>
                                <w:szCs w:val="20"/>
                              </w:rPr>
                              <w:t>Refer to Chapter 2 for detailed language of alternatives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42.2pt;margin-top:67.75pt;width:236.1pt;height:378.8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" strokecolor="#548dd4 [1951]">
                <v:shadow on="t" opacity="26214f" mv:blur="50800f" origin="-.5,.5" offset="26941emu,-26941emu"/>
                <v:textbox>
                  <w:txbxContent>
                    <w:p w14:paraId="00D7DB40" w14:textId="77777777" w:rsidR="009108B8" w:rsidRPr="00903F45" w:rsidRDefault="009108B8" w:rsidP="00340F89">
                      <w:pPr>
                        <w:jc w:val="center"/>
                        <w:rPr>
                          <w:rFonts w:ascii="Arial" w:hAnsi="Arial" w:cs="Arial"/>
                          <w:b/>
                          <w:i/>
                          <w:iCs/>
                          <w:color w:val="365F91" w:themeColor="accent1" w:themeShade="BF"/>
                        </w:rPr>
                      </w:pPr>
                      <w:r w:rsidRPr="00903F45">
                        <w:rPr>
                          <w:rFonts w:ascii="Arial" w:hAnsi="Arial" w:cs="Arial"/>
                          <w:b/>
                          <w:i/>
                          <w:iCs/>
                          <w:color w:val="365F91" w:themeColor="accent1" w:themeShade="BF"/>
                        </w:rPr>
                        <w:t>Alternatives</w:t>
                      </w:r>
                      <w:r>
                        <w:rPr>
                          <w:rFonts w:ascii="Arial" w:hAnsi="Arial" w:cs="Arial"/>
                          <w:b/>
                          <w:i/>
                          <w:iCs/>
                          <w:color w:val="365F91" w:themeColor="accent1" w:themeShade="BF"/>
                        </w:rPr>
                        <w:t>*</w:t>
                      </w:r>
                    </w:p>
                    <w:p w14:paraId="7402E616" w14:textId="77777777" w:rsidR="009108B8" w:rsidRDefault="009108B8" w:rsidP="00340F89">
                      <w:pPr>
                        <w:jc w:val="center"/>
                        <w:rPr>
                          <w:rFonts w:ascii="Arial" w:hAnsi="Arial" w:cs="Arial"/>
                          <w:b/>
                          <w:i/>
                          <w:iCs/>
                          <w:color w:val="365F91" w:themeColor="accent1" w:themeShade="BF"/>
                          <w:sz w:val="28"/>
                          <w:szCs w:val="28"/>
                        </w:rPr>
                      </w:pPr>
                    </w:p>
                    <w:p w14:paraId="2E41D0E8" w14:textId="63BE5DC9" w:rsidR="009108B8" w:rsidRPr="00903F45" w:rsidRDefault="009108B8" w:rsidP="00340F89">
                      <w:pPr>
                        <w:pStyle w:val="Normal1"/>
                        <w:spacing w:line="240" w:lineRule="auto"/>
                        <w:contextualSpacing/>
                        <w:rPr>
                          <w:color w:val="1F497D" w:themeColor="text2"/>
                          <w:sz w:val="20"/>
                          <w:szCs w:val="20"/>
                        </w:rPr>
                      </w:pPr>
                      <w:r w:rsidRPr="00903F45">
                        <w:rPr>
                          <w:color w:val="1F497D" w:themeColor="text2"/>
                          <w:sz w:val="20"/>
                          <w:szCs w:val="20"/>
                        </w:rPr>
                        <w:t>1 (No Action).</w:t>
                      </w:r>
                      <w:r>
                        <w:rPr>
                          <w:color w:val="1F497D" w:themeColor="text2"/>
                          <w:sz w:val="20"/>
                          <w:szCs w:val="20"/>
                        </w:rPr>
                        <w:t xml:space="preserve">  </w:t>
                      </w:r>
                      <w:r w:rsidRPr="00FC03A7">
                        <w:rPr>
                          <w:color w:val="1F497D" w:themeColor="text2"/>
                          <w:sz w:val="20"/>
                          <w:szCs w:val="20"/>
                        </w:rPr>
                        <w:t xml:space="preserve">During May and June, each year, the possession of mutton snapper in or from the exclusive economic zone on board a vessel that has a commercial permit for South Atlantic snapper-grouper is limited to 10 per person per day or 10 per person per trip, whichever is more restrictive.  There is no possession or trip limit for the commercial sector in the South Atlantic from </w:t>
                      </w:r>
                      <w:r w:rsidRPr="000109FC">
                        <w:rPr>
                          <w:color w:val="1F497D" w:themeColor="text2"/>
                          <w:sz w:val="20"/>
                          <w:szCs w:val="18"/>
                          <w:highlight w:val="yellow"/>
                        </w:rPr>
                        <w:t>January through April and July through December.</w:t>
                      </w:r>
                      <w:r w:rsidRPr="000109FC">
                        <w:rPr>
                          <w:color w:val="1F497D" w:themeColor="text2"/>
                          <w:szCs w:val="20"/>
                        </w:rPr>
                        <w:t xml:space="preserve">  </w:t>
                      </w:r>
                    </w:p>
                    <w:p w14:paraId="2DF81D7D" w14:textId="77777777" w:rsidR="009108B8" w:rsidRPr="00903F45" w:rsidRDefault="009108B8" w:rsidP="00340F89">
                      <w:pPr>
                        <w:contextualSpacing/>
                        <w:rPr>
                          <w:rFonts w:ascii="Arial" w:eastAsia="Courier New" w:hAnsi="Arial" w:cs="Arial"/>
                          <w:color w:val="1F497D" w:themeColor="text2"/>
                          <w:sz w:val="20"/>
                          <w:szCs w:val="20"/>
                        </w:rPr>
                      </w:pPr>
                    </w:p>
                    <w:p w14:paraId="229009A5" w14:textId="77777777" w:rsidR="009108B8" w:rsidRPr="0016692A" w:rsidRDefault="009108B8" w:rsidP="00340F89">
                      <w:pPr>
                        <w:contextualSpacing/>
                        <w:rPr>
                          <w:rFonts w:ascii="Arial" w:eastAsia="Courier New" w:hAnsi="Arial" w:cs="Arial"/>
                          <w:b/>
                          <w:color w:val="1F497D" w:themeColor="text2"/>
                          <w:sz w:val="20"/>
                          <w:szCs w:val="20"/>
                        </w:rPr>
                      </w:pPr>
                      <w:r w:rsidRPr="0016692A">
                        <w:rPr>
                          <w:rFonts w:ascii="Arial" w:hAnsi="Arial" w:cs="Arial"/>
                          <w:b/>
                          <w:color w:val="1F497D" w:themeColor="text2"/>
                          <w:sz w:val="20"/>
                          <w:szCs w:val="20"/>
                        </w:rPr>
                        <w:t>2. Establish a commercial trip limit for mutton snapper during the “regular season” (i.e., non-spawning months) in the South Atlantic.</w:t>
                      </w:r>
                    </w:p>
                    <w:p w14:paraId="0ACED27D" w14:textId="77777777" w:rsidR="009108B8" w:rsidRPr="00FC03A7" w:rsidRDefault="009108B8" w:rsidP="00340F89">
                      <w:pPr>
                        <w:ind w:left="540"/>
                        <w:contextualSpacing/>
                        <w:rPr>
                          <w:rFonts w:ascii="Arial" w:hAnsi="Arial" w:cs="Arial"/>
                          <w:color w:val="1F497D" w:themeColor="text2"/>
                          <w:sz w:val="20"/>
                          <w:szCs w:val="20"/>
                        </w:rPr>
                      </w:pPr>
                      <w:r w:rsidRPr="00FC03A7">
                        <w:rPr>
                          <w:rFonts w:ascii="Arial" w:hAnsi="Arial" w:cs="Arial"/>
                          <w:color w:val="1F497D" w:themeColor="text2"/>
                          <w:sz w:val="20"/>
                          <w:szCs w:val="20"/>
                        </w:rPr>
                        <w:t>2a.  300 pounds</w:t>
                      </w:r>
                    </w:p>
                    <w:p w14:paraId="3B6DCD31" w14:textId="77777777" w:rsidR="009108B8" w:rsidRPr="00903F45" w:rsidRDefault="009108B8" w:rsidP="00340F89">
                      <w:pPr>
                        <w:ind w:left="540"/>
                        <w:contextualSpacing/>
                        <w:rPr>
                          <w:rFonts w:ascii="Arial" w:hAnsi="Arial" w:cs="Arial"/>
                          <w:color w:val="1F497D" w:themeColor="text2"/>
                          <w:sz w:val="20"/>
                          <w:szCs w:val="20"/>
                        </w:rPr>
                      </w:pPr>
                      <w:r w:rsidRPr="00903F45">
                        <w:rPr>
                          <w:rFonts w:ascii="Arial" w:hAnsi="Arial" w:cs="Arial"/>
                          <w:color w:val="1F497D" w:themeColor="text2"/>
                          <w:sz w:val="20"/>
                          <w:szCs w:val="20"/>
                        </w:rPr>
                        <w:t>2b.  400 pounds</w:t>
                      </w:r>
                    </w:p>
                    <w:p w14:paraId="7E65AB16" w14:textId="77777777" w:rsidR="009108B8" w:rsidRPr="00FC03A7" w:rsidRDefault="009108B8" w:rsidP="00340F89">
                      <w:pPr>
                        <w:ind w:left="540"/>
                        <w:contextualSpacing/>
                        <w:rPr>
                          <w:rFonts w:ascii="Arial" w:hAnsi="Arial" w:cs="Arial"/>
                          <w:b/>
                          <w:color w:val="1F497D" w:themeColor="text2"/>
                          <w:sz w:val="20"/>
                          <w:szCs w:val="20"/>
                        </w:rPr>
                      </w:pPr>
                      <w:r w:rsidRPr="00FC03A7">
                        <w:rPr>
                          <w:rFonts w:ascii="Arial" w:hAnsi="Arial" w:cs="Arial"/>
                          <w:b/>
                          <w:color w:val="1F497D" w:themeColor="text2"/>
                          <w:sz w:val="20"/>
                          <w:szCs w:val="20"/>
                        </w:rPr>
                        <w:t>2c.  500 pounds</w:t>
                      </w:r>
                    </w:p>
                    <w:p w14:paraId="1D61667A" w14:textId="77777777" w:rsidR="009108B8" w:rsidRPr="00903F45" w:rsidRDefault="009108B8" w:rsidP="00340F89">
                      <w:pPr>
                        <w:contextualSpacing/>
                        <w:rPr>
                          <w:rFonts w:ascii="Arial" w:hAnsi="Arial" w:cs="Arial"/>
                          <w:color w:val="1F497D" w:themeColor="text2"/>
                          <w:sz w:val="20"/>
                          <w:szCs w:val="20"/>
                        </w:rPr>
                      </w:pPr>
                    </w:p>
                    <w:p w14:paraId="3CA516FC" w14:textId="77777777" w:rsidR="009108B8" w:rsidRPr="0016692A" w:rsidRDefault="009108B8" w:rsidP="00340F89">
                      <w:pPr>
                        <w:contextualSpacing/>
                        <w:rPr>
                          <w:rFonts w:ascii="Arial" w:eastAsia="Courier New" w:hAnsi="Arial" w:cs="Arial"/>
                          <w:b/>
                          <w:color w:val="1F497D" w:themeColor="text2"/>
                          <w:sz w:val="20"/>
                          <w:szCs w:val="20"/>
                        </w:rPr>
                      </w:pPr>
                      <w:r w:rsidRPr="0016692A">
                        <w:rPr>
                          <w:rFonts w:ascii="Arial" w:hAnsi="Arial" w:cs="Arial"/>
                          <w:b/>
                          <w:color w:val="1F497D" w:themeColor="text2"/>
                          <w:sz w:val="20"/>
                          <w:szCs w:val="20"/>
                        </w:rPr>
                        <w:t>3. Specify a commercial trip limit for mutton snapper during the “spawning months” in the South Atlantic.</w:t>
                      </w:r>
                    </w:p>
                    <w:p w14:paraId="246F9206" w14:textId="77777777" w:rsidR="009108B8" w:rsidRPr="00903F45" w:rsidRDefault="009108B8" w:rsidP="00340F89">
                      <w:pPr>
                        <w:ind w:left="540"/>
                        <w:contextualSpacing/>
                        <w:rPr>
                          <w:rFonts w:ascii="Arial" w:eastAsia="Courier New" w:hAnsi="Arial" w:cs="Arial"/>
                          <w:color w:val="1F497D" w:themeColor="text2"/>
                          <w:sz w:val="20"/>
                          <w:szCs w:val="20"/>
                        </w:rPr>
                      </w:pPr>
                      <w:r w:rsidRPr="00903F45">
                        <w:rPr>
                          <w:rFonts w:ascii="Arial" w:eastAsia="Courier New" w:hAnsi="Arial" w:cs="Arial"/>
                          <w:color w:val="1F497D" w:themeColor="text2"/>
                          <w:sz w:val="20"/>
                          <w:szCs w:val="20"/>
                        </w:rPr>
                        <w:t>3a.  2 fish/person/day</w:t>
                      </w:r>
                    </w:p>
                    <w:p w14:paraId="6741A6CD" w14:textId="77777777" w:rsidR="009108B8" w:rsidRPr="00340F89" w:rsidRDefault="009108B8" w:rsidP="00340F89">
                      <w:pPr>
                        <w:ind w:left="540"/>
                        <w:contextualSpacing/>
                        <w:rPr>
                          <w:rFonts w:ascii="Arial" w:eastAsia="Courier New" w:hAnsi="Arial" w:cs="Arial"/>
                          <w:color w:val="1F497D" w:themeColor="text2"/>
                          <w:sz w:val="20"/>
                          <w:szCs w:val="20"/>
                        </w:rPr>
                      </w:pPr>
                      <w:r w:rsidRPr="00340F89">
                        <w:rPr>
                          <w:rFonts w:ascii="Arial" w:eastAsia="Courier New" w:hAnsi="Arial" w:cs="Arial"/>
                          <w:color w:val="1F497D" w:themeColor="text2"/>
                          <w:sz w:val="20"/>
                          <w:szCs w:val="20"/>
                        </w:rPr>
                        <w:t>3b.  3 fish/person/day</w:t>
                      </w:r>
                    </w:p>
                    <w:p w14:paraId="5CA8F045" w14:textId="77777777" w:rsidR="009108B8" w:rsidRPr="00903F45" w:rsidRDefault="009108B8" w:rsidP="00340F89">
                      <w:pPr>
                        <w:ind w:left="540"/>
                        <w:contextualSpacing/>
                        <w:rPr>
                          <w:rFonts w:ascii="Arial" w:eastAsia="Courier New" w:hAnsi="Arial" w:cs="Arial"/>
                          <w:color w:val="1F497D" w:themeColor="text2"/>
                          <w:sz w:val="20"/>
                          <w:szCs w:val="20"/>
                        </w:rPr>
                      </w:pPr>
                      <w:r w:rsidRPr="00903F45">
                        <w:rPr>
                          <w:rFonts w:ascii="Arial" w:eastAsia="Courier New" w:hAnsi="Arial" w:cs="Arial"/>
                          <w:color w:val="1F497D" w:themeColor="text2"/>
                          <w:sz w:val="20"/>
                          <w:szCs w:val="20"/>
                        </w:rPr>
                        <w:t>3c.  10 fish/vessel/day</w:t>
                      </w:r>
                    </w:p>
                    <w:p w14:paraId="58167330" w14:textId="77777777" w:rsidR="009108B8" w:rsidRPr="00903F45" w:rsidRDefault="009108B8" w:rsidP="00340F89">
                      <w:pPr>
                        <w:ind w:left="540"/>
                        <w:contextualSpacing/>
                        <w:rPr>
                          <w:rFonts w:ascii="Arial" w:eastAsia="Courier New" w:hAnsi="Arial" w:cs="Arial"/>
                          <w:color w:val="1F497D" w:themeColor="text2"/>
                          <w:sz w:val="20"/>
                          <w:szCs w:val="20"/>
                        </w:rPr>
                      </w:pPr>
                      <w:r w:rsidRPr="00903F45">
                        <w:rPr>
                          <w:rFonts w:ascii="Arial" w:eastAsia="Courier New" w:hAnsi="Arial" w:cs="Arial"/>
                          <w:color w:val="1F497D" w:themeColor="text2"/>
                          <w:sz w:val="20"/>
                          <w:szCs w:val="20"/>
                        </w:rPr>
                        <w:t>3d.  12 fish/vessel/day</w:t>
                      </w:r>
                    </w:p>
                    <w:p w14:paraId="704DD665" w14:textId="77777777" w:rsidR="009108B8" w:rsidRDefault="009108B8" w:rsidP="00340F89">
                      <w:pPr>
                        <w:ind w:left="540"/>
                        <w:contextualSpacing/>
                        <w:rPr>
                          <w:rFonts w:ascii="Arial" w:eastAsia="Courier New" w:hAnsi="Arial" w:cs="Arial"/>
                          <w:color w:val="1F497D" w:themeColor="text2"/>
                          <w:sz w:val="20"/>
                          <w:szCs w:val="20"/>
                        </w:rPr>
                      </w:pPr>
                      <w:r w:rsidRPr="00903F45">
                        <w:rPr>
                          <w:rFonts w:ascii="Arial" w:eastAsia="Courier New" w:hAnsi="Arial" w:cs="Arial"/>
                          <w:color w:val="1F497D" w:themeColor="text2"/>
                          <w:sz w:val="20"/>
                          <w:szCs w:val="20"/>
                        </w:rPr>
                        <w:t>3e.  No retention</w:t>
                      </w:r>
                    </w:p>
                    <w:p w14:paraId="7526D859" w14:textId="77777777" w:rsidR="009108B8" w:rsidRPr="00340F89" w:rsidRDefault="009108B8" w:rsidP="00340F89">
                      <w:pPr>
                        <w:ind w:left="540"/>
                        <w:contextualSpacing/>
                        <w:rPr>
                          <w:rFonts w:ascii="Arial" w:eastAsia="Courier New" w:hAnsi="Arial" w:cs="Arial"/>
                          <w:b/>
                          <w:color w:val="1F497D" w:themeColor="text2"/>
                          <w:sz w:val="20"/>
                          <w:szCs w:val="20"/>
                        </w:rPr>
                      </w:pPr>
                      <w:r w:rsidRPr="00340F89">
                        <w:rPr>
                          <w:rFonts w:ascii="Arial" w:eastAsia="Courier New" w:hAnsi="Arial" w:cs="Arial"/>
                          <w:b/>
                          <w:color w:val="1F497D" w:themeColor="text2"/>
                          <w:sz w:val="20"/>
                          <w:szCs w:val="20"/>
                        </w:rPr>
                        <w:t>3f.  5 fish/person/day</w:t>
                      </w:r>
                    </w:p>
                    <w:p w14:paraId="6E46D1AE" w14:textId="77777777" w:rsidR="009108B8" w:rsidRPr="00903F45" w:rsidRDefault="009108B8" w:rsidP="00340F89">
                      <w:pPr>
                        <w:ind w:left="540"/>
                        <w:contextualSpacing/>
                        <w:rPr>
                          <w:rFonts w:ascii="Arial" w:eastAsia="Courier New" w:hAnsi="Arial" w:cs="Arial"/>
                          <w:color w:val="1F497D" w:themeColor="text2"/>
                          <w:sz w:val="20"/>
                          <w:szCs w:val="20"/>
                        </w:rPr>
                      </w:pPr>
                    </w:p>
                    <w:p w14:paraId="2DE6EA16" w14:textId="77777777" w:rsidR="009108B8" w:rsidRPr="00903F45" w:rsidRDefault="009108B8" w:rsidP="00340F89">
                      <w:pPr>
                        <w:rPr>
                          <w:rFonts w:ascii="Arial" w:hAnsi="Arial" w:cs="Arial"/>
                          <w:color w:val="1F497D" w:themeColor="text2"/>
                          <w:sz w:val="20"/>
                          <w:szCs w:val="20"/>
                        </w:rPr>
                      </w:pPr>
                      <w:r w:rsidRPr="00903F45">
                        <w:rPr>
                          <w:rFonts w:ascii="Arial" w:hAnsi="Arial" w:cs="Arial"/>
                          <w:color w:val="1F497D" w:themeColor="text2"/>
                          <w:sz w:val="20"/>
                          <w:szCs w:val="20"/>
                        </w:rPr>
                        <w:t>*</w:t>
                      </w:r>
                      <w:r>
                        <w:rPr>
                          <w:rFonts w:ascii="Arial" w:hAnsi="Arial" w:cs="Arial"/>
                          <w:color w:val="1F497D" w:themeColor="text2"/>
                          <w:sz w:val="20"/>
                          <w:szCs w:val="20"/>
                        </w:rPr>
                        <w:t xml:space="preserve"> Preferred indicated in bold. </w:t>
                      </w:r>
                      <w:r w:rsidRPr="00903F45">
                        <w:rPr>
                          <w:rFonts w:ascii="Arial" w:hAnsi="Arial" w:cs="Arial"/>
                          <w:color w:val="1F497D" w:themeColor="text2"/>
                          <w:sz w:val="20"/>
                          <w:szCs w:val="20"/>
                        </w:rPr>
                        <w:t>Refer to Chapter 2 for detailed language of alternatives</w:t>
                      </w:r>
                    </w:p>
                  </w:txbxContent>
                </v:textbox>
                <w10:wrap type="square" anchorx="margin" anchory="margin"/>
              </v:shape>
            </w:pict>
          </mc:Fallback>
        </mc:AlternateContent>
      </w:r>
      <w:r w:rsidR="0010161A">
        <w:rPr>
          <w:rStyle w:val="Heading4Char1"/>
          <w:rFonts w:ascii="Arial" w:hAnsi="Arial" w:cs="Arial"/>
          <w:bCs w:val="0"/>
          <w:sz w:val="24"/>
          <w:szCs w:val="24"/>
        </w:rPr>
        <w:t>5.8</w:t>
      </w:r>
      <w:r w:rsidR="00DB30FF" w:rsidRPr="005B5A20">
        <w:rPr>
          <w:rStyle w:val="Heading4Char1"/>
          <w:rFonts w:ascii="Arial" w:hAnsi="Arial" w:cs="Arial"/>
          <w:bCs w:val="0"/>
          <w:sz w:val="24"/>
          <w:szCs w:val="24"/>
        </w:rPr>
        <w:t>.1</w:t>
      </w:r>
      <w:r w:rsidR="00DB30FF" w:rsidRPr="005B5A20">
        <w:rPr>
          <w:rStyle w:val="Heading4Char1"/>
          <w:rFonts w:ascii="Arial" w:hAnsi="Arial" w:cs="Arial"/>
          <w:bCs w:val="0"/>
          <w:sz w:val="24"/>
          <w:szCs w:val="24"/>
        </w:rPr>
        <w:tab/>
      </w:r>
      <w:r w:rsidR="00DB30FF">
        <w:rPr>
          <w:rStyle w:val="Heading4Char1"/>
          <w:rFonts w:ascii="Arial" w:hAnsi="Arial" w:cs="Arial"/>
          <w:bCs w:val="0"/>
          <w:sz w:val="24"/>
          <w:szCs w:val="24"/>
        </w:rPr>
        <w:t>Snapper Grouper AP</w:t>
      </w:r>
      <w:r w:rsidR="00DB30FF" w:rsidRPr="005B5A20">
        <w:rPr>
          <w:rStyle w:val="Heading4Char1"/>
          <w:rFonts w:ascii="Arial" w:hAnsi="Arial" w:cs="Arial"/>
          <w:bCs w:val="0"/>
          <w:sz w:val="24"/>
          <w:szCs w:val="24"/>
        </w:rPr>
        <w:t xml:space="preserve"> Comments and Recommendations</w:t>
      </w:r>
      <w:bookmarkEnd w:id="364"/>
    </w:p>
    <w:p w14:paraId="3D2D7584" w14:textId="3815B8A2" w:rsidR="00F4278F" w:rsidRDefault="00F4278F" w:rsidP="00F4278F">
      <w:pPr>
        <w:ind w:firstLine="360"/>
      </w:pPr>
      <w:r w:rsidRPr="00B27D30">
        <w:t>The Snapper Grouper AP discussed Amendment 41 during their April 26-</w:t>
      </w:r>
      <w:r w:rsidR="00B77366">
        <w:t>27,</w:t>
      </w:r>
      <w:r w:rsidRPr="00B27D30">
        <w:t xml:space="preserve"> 2016 meeting.  At that time, actions in Amendment 41 were numbered differently and revisions have been made to the language of actions and alternatives in the amendment. </w:t>
      </w:r>
      <w:r>
        <w:t xml:space="preserve"> </w:t>
      </w:r>
      <w:r w:rsidRPr="00B27D30">
        <w:t xml:space="preserve">Hence, the AP’s motions may not reflect the chronology of actions/alternatives or the current language.  The AP approved the following motion regarding </w:t>
      </w:r>
      <w:r>
        <w:t>modification of the commercial trip limit for mutton snapper in the South Atlantic.</w:t>
      </w:r>
    </w:p>
    <w:p w14:paraId="49248EF7" w14:textId="77777777" w:rsidR="00F4278F" w:rsidRDefault="00F4278F" w:rsidP="00F4278F"/>
    <w:p w14:paraId="6F86087C" w14:textId="77777777" w:rsidR="00F4278F" w:rsidRDefault="00F4278F" w:rsidP="00F4278F">
      <w:r>
        <w:t>MOTION: RECOMMEND ALTERNATIVE 1 AS PREFERRED UNDER ACTION 7</w:t>
      </w:r>
    </w:p>
    <w:p w14:paraId="04007E61" w14:textId="77777777" w:rsidR="00F4278F" w:rsidRPr="00F4278F" w:rsidRDefault="00F4278F" w:rsidP="00F4278F">
      <w:pPr>
        <w:rPr>
          <w:i/>
        </w:rPr>
      </w:pPr>
      <w:r w:rsidRPr="00F4278F">
        <w:rPr>
          <w:i/>
        </w:rPr>
        <w:t>Action 7.  Modify Mutton Snapper Commercial Trip Limit in the South Atlantic region</w:t>
      </w:r>
    </w:p>
    <w:p w14:paraId="21FCF022" w14:textId="77777777" w:rsidR="00F4278F" w:rsidRDefault="00F4278F" w:rsidP="00F4278F">
      <w:r w:rsidRPr="00F4278F">
        <w:rPr>
          <w:b/>
        </w:rPr>
        <w:t>Alternative 1 (No Action).</w:t>
      </w:r>
      <w:r>
        <w:t xml:space="preserve">  During May-June the commercial sector in the South Atlantic is restricted to 10 mutton snapper per day or 10 mutton snapper per trip, whichever is more restrictive, and sale is allowed.  There is no trip limit for the commercial sector in the Gulf or South Atlantic from July through April.  </w:t>
      </w:r>
    </w:p>
    <w:p w14:paraId="0F9EA585" w14:textId="77777777" w:rsidR="00DB30FF" w:rsidRPr="00D92EC7" w:rsidRDefault="00DB30FF" w:rsidP="00DB30FF"/>
    <w:p w14:paraId="54408EBF" w14:textId="7C54B5F0" w:rsidR="00DB30FF" w:rsidRDefault="0010161A" w:rsidP="00DB30FF">
      <w:pPr>
        <w:pStyle w:val="Heading3"/>
        <w:rPr>
          <w:rStyle w:val="Heading4Char1"/>
          <w:rFonts w:ascii="Arial" w:hAnsi="Arial" w:cs="Arial"/>
          <w:bCs w:val="0"/>
          <w:sz w:val="24"/>
          <w:szCs w:val="24"/>
        </w:rPr>
      </w:pPr>
      <w:bookmarkStart w:id="365" w:name="_Toc339811821"/>
      <w:r>
        <w:rPr>
          <w:rStyle w:val="Heading4Char1"/>
          <w:rFonts w:ascii="Arial" w:hAnsi="Arial" w:cs="Arial"/>
          <w:bCs w:val="0"/>
          <w:sz w:val="24"/>
          <w:szCs w:val="24"/>
        </w:rPr>
        <w:t>5.8</w:t>
      </w:r>
      <w:r w:rsidR="00DB30FF" w:rsidRPr="005B5A20">
        <w:rPr>
          <w:rStyle w:val="Heading4Char1"/>
          <w:rFonts w:ascii="Arial" w:hAnsi="Arial" w:cs="Arial"/>
          <w:bCs w:val="0"/>
          <w:sz w:val="24"/>
          <w:szCs w:val="24"/>
        </w:rPr>
        <w:t>.</w:t>
      </w:r>
      <w:r w:rsidR="00DB30FF">
        <w:rPr>
          <w:rStyle w:val="Heading4Char1"/>
          <w:rFonts w:ascii="Arial" w:hAnsi="Arial" w:cs="Arial"/>
          <w:bCs w:val="0"/>
          <w:sz w:val="24"/>
          <w:szCs w:val="24"/>
        </w:rPr>
        <w:t>2</w:t>
      </w:r>
      <w:r w:rsidR="00DB30FF" w:rsidRPr="005B5A20">
        <w:rPr>
          <w:rStyle w:val="Heading4Char1"/>
          <w:rFonts w:ascii="Arial" w:hAnsi="Arial" w:cs="Arial"/>
          <w:bCs w:val="0"/>
          <w:sz w:val="24"/>
          <w:szCs w:val="24"/>
        </w:rPr>
        <w:tab/>
      </w:r>
      <w:r w:rsidR="00DB30FF">
        <w:rPr>
          <w:rStyle w:val="Heading4Char1"/>
          <w:rFonts w:ascii="Arial" w:hAnsi="Arial" w:cs="Arial"/>
          <w:bCs w:val="0"/>
          <w:sz w:val="24"/>
          <w:szCs w:val="24"/>
        </w:rPr>
        <w:t>Law Enforcement AP</w:t>
      </w:r>
      <w:r w:rsidR="00DB30FF" w:rsidRPr="005B5A20">
        <w:rPr>
          <w:rStyle w:val="Heading4Char1"/>
          <w:rFonts w:ascii="Arial" w:hAnsi="Arial" w:cs="Arial"/>
          <w:bCs w:val="0"/>
          <w:sz w:val="24"/>
          <w:szCs w:val="24"/>
        </w:rPr>
        <w:t xml:space="preserve"> Comments and Recommendations</w:t>
      </w:r>
      <w:bookmarkEnd w:id="365"/>
    </w:p>
    <w:p w14:paraId="6032FCD0" w14:textId="77777777" w:rsidR="00D96DA5" w:rsidRPr="008B07B5" w:rsidRDefault="00D96DA5" w:rsidP="00D96DA5">
      <w:pPr>
        <w:ind w:firstLine="360"/>
      </w:pPr>
      <w:r w:rsidRPr="008B07B5">
        <w:t xml:space="preserve">The </w:t>
      </w:r>
      <w:r>
        <w:t>Law Enforcement AP received a briefing on Amendment 41 during their March 7-8, 2016 meeting.  The Law Enforcement AP had no comments or recommendations.</w:t>
      </w:r>
    </w:p>
    <w:p w14:paraId="4BB10E67" w14:textId="77777777" w:rsidR="00DB30FF" w:rsidRPr="002A1479" w:rsidRDefault="00DB30FF" w:rsidP="00DB30FF">
      <w:pPr>
        <w:ind w:firstLine="360"/>
        <w:rPr>
          <w:b/>
        </w:rPr>
      </w:pPr>
    </w:p>
    <w:p w14:paraId="6282572A" w14:textId="74CF3958" w:rsidR="00DB30FF" w:rsidRDefault="0010161A" w:rsidP="00DB30FF">
      <w:pPr>
        <w:pStyle w:val="Heading3"/>
        <w:rPr>
          <w:rStyle w:val="Heading4Char1"/>
          <w:rFonts w:ascii="Arial" w:hAnsi="Arial" w:cs="Arial"/>
          <w:bCs w:val="0"/>
          <w:sz w:val="24"/>
          <w:szCs w:val="24"/>
        </w:rPr>
      </w:pPr>
      <w:bookmarkStart w:id="366" w:name="_Toc339811822"/>
      <w:r>
        <w:rPr>
          <w:rStyle w:val="Heading4Char1"/>
          <w:rFonts w:ascii="Arial" w:hAnsi="Arial" w:cs="Arial"/>
          <w:bCs w:val="0"/>
          <w:sz w:val="24"/>
          <w:szCs w:val="24"/>
        </w:rPr>
        <w:t>5.8</w:t>
      </w:r>
      <w:r w:rsidR="00DB30FF" w:rsidRPr="005B5A20">
        <w:rPr>
          <w:rStyle w:val="Heading4Char1"/>
          <w:rFonts w:ascii="Arial" w:hAnsi="Arial" w:cs="Arial"/>
          <w:bCs w:val="0"/>
          <w:sz w:val="24"/>
          <w:szCs w:val="24"/>
        </w:rPr>
        <w:t>.</w:t>
      </w:r>
      <w:r w:rsidR="00DB30FF">
        <w:rPr>
          <w:rStyle w:val="Heading4Char1"/>
          <w:rFonts w:ascii="Arial" w:hAnsi="Arial" w:cs="Arial"/>
          <w:bCs w:val="0"/>
          <w:sz w:val="24"/>
          <w:szCs w:val="24"/>
        </w:rPr>
        <w:t>3</w:t>
      </w:r>
      <w:r w:rsidR="00DB30FF" w:rsidRPr="005B5A20">
        <w:rPr>
          <w:rStyle w:val="Heading4Char1"/>
          <w:rFonts w:ascii="Arial" w:hAnsi="Arial" w:cs="Arial"/>
          <w:bCs w:val="0"/>
          <w:sz w:val="24"/>
          <w:szCs w:val="24"/>
        </w:rPr>
        <w:tab/>
      </w:r>
      <w:r w:rsidR="00DB30FF">
        <w:rPr>
          <w:rStyle w:val="Heading4Char1"/>
          <w:rFonts w:ascii="Arial" w:hAnsi="Arial" w:cs="Arial"/>
          <w:bCs w:val="0"/>
          <w:sz w:val="24"/>
          <w:szCs w:val="24"/>
        </w:rPr>
        <w:t>Scientific and Statistical Committee</w:t>
      </w:r>
      <w:r w:rsidR="00DB30FF" w:rsidRPr="005B5A20">
        <w:rPr>
          <w:rStyle w:val="Heading4Char1"/>
          <w:rFonts w:ascii="Arial" w:hAnsi="Arial" w:cs="Arial"/>
          <w:bCs w:val="0"/>
          <w:sz w:val="24"/>
          <w:szCs w:val="24"/>
        </w:rPr>
        <w:t xml:space="preserve"> Comments and Recommendations</w:t>
      </w:r>
      <w:bookmarkEnd w:id="366"/>
    </w:p>
    <w:p w14:paraId="7693FBCF" w14:textId="77777777" w:rsidR="006C1CC0" w:rsidRPr="008942D1" w:rsidRDefault="006C1CC0" w:rsidP="006C1CC0">
      <w:pPr>
        <w:ind w:firstLine="360"/>
      </w:pPr>
      <w:r>
        <w:t xml:space="preserve">During their May 3-5, 2016 meeting, the SSC received a summary document detailing actions and alternatives in Amendment 41 as well as preliminary analyses.  Due to lack of time, the SSC did not discuss the amendment at that meeting.  During their October 18-20, 2016 meeting, the SSC received a briefing on the analyses used to support management actions in Amendment 41.  The SSC did not have any comments or recommendations. </w:t>
      </w:r>
    </w:p>
    <w:p w14:paraId="3D56C69E" w14:textId="77777777" w:rsidR="00DB30FF" w:rsidRPr="008942D1" w:rsidRDefault="00DB30FF" w:rsidP="00DB30FF"/>
    <w:p w14:paraId="450E6581" w14:textId="0FDECD90" w:rsidR="00DB30FF" w:rsidRDefault="0010161A" w:rsidP="00DB30FF">
      <w:pPr>
        <w:pStyle w:val="Heading3"/>
        <w:rPr>
          <w:rStyle w:val="Heading4Char1"/>
          <w:rFonts w:ascii="Arial" w:hAnsi="Arial" w:cs="Arial"/>
          <w:bCs w:val="0"/>
          <w:sz w:val="24"/>
          <w:szCs w:val="24"/>
        </w:rPr>
      </w:pPr>
      <w:bookmarkStart w:id="367" w:name="_Toc339811823"/>
      <w:r>
        <w:rPr>
          <w:rStyle w:val="Heading4Char1"/>
          <w:rFonts w:ascii="Arial" w:hAnsi="Arial" w:cs="Arial"/>
          <w:bCs w:val="0"/>
          <w:sz w:val="24"/>
          <w:szCs w:val="24"/>
        </w:rPr>
        <w:t>5.8</w:t>
      </w:r>
      <w:r w:rsidR="00DB30FF" w:rsidRPr="005B5A20">
        <w:rPr>
          <w:rStyle w:val="Heading4Char1"/>
          <w:rFonts w:ascii="Arial" w:hAnsi="Arial" w:cs="Arial"/>
          <w:bCs w:val="0"/>
          <w:sz w:val="24"/>
          <w:szCs w:val="24"/>
        </w:rPr>
        <w:t>.</w:t>
      </w:r>
      <w:r w:rsidR="00DB30FF">
        <w:rPr>
          <w:rStyle w:val="Heading4Char1"/>
          <w:rFonts w:ascii="Arial" w:hAnsi="Arial" w:cs="Arial"/>
          <w:bCs w:val="0"/>
          <w:sz w:val="24"/>
          <w:szCs w:val="24"/>
        </w:rPr>
        <w:t>4</w:t>
      </w:r>
      <w:r w:rsidR="00DB30FF" w:rsidRPr="005B5A20">
        <w:rPr>
          <w:rStyle w:val="Heading4Char1"/>
          <w:rFonts w:ascii="Arial" w:hAnsi="Arial" w:cs="Arial"/>
          <w:bCs w:val="0"/>
          <w:sz w:val="24"/>
          <w:szCs w:val="24"/>
        </w:rPr>
        <w:tab/>
        <w:t>Public Comments and Recommendations</w:t>
      </w:r>
      <w:bookmarkEnd w:id="367"/>
    </w:p>
    <w:p w14:paraId="1111559A" w14:textId="77777777" w:rsidR="001C1373" w:rsidRDefault="001C1373" w:rsidP="001C1373">
      <w:pPr>
        <w:ind w:firstLine="360"/>
      </w:pPr>
      <w:r>
        <w:t xml:space="preserve">The South Atlantic Council held scoping meetings for Amendment 41 </w:t>
      </w:r>
      <w:r w:rsidRPr="00896911">
        <w:t xml:space="preserve">from January 25 to February 3, 2016.  Meetings in Florida were held in conjunction with workshops conducted by the Florida Fish and Wildlife Conservation Commission (FWC). </w:t>
      </w:r>
      <w:r>
        <w:t xml:space="preserve"> Public hearings were held</w:t>
      </w:r>
      <w:r w:rsidRPr="00896911">
        <w:t xml:space="preserve"> </w:t>
      </w:r>
      <w:r>
        <w:t>via</w:t>
      </w:r>
      <w:r w:rsidRPr="00896911">
        <w:t xml:space="preserve"> </w:t>
      </w:r>
      <w:r>
        <w:t>webinar on August 2, 2016 and</w:t>
      </w:r>
      <w:r w:rsidRPr="00896911">
        <w:t xml:space="preserve"> in-person on August 15-17</w:t>
      </w:r>
      <w:r>
        <w:t>, 2016</w:t>
      </w:r>
      <w:r w:rsidRPr="00896911">
        <w:t>.</w:t>
      </w:r>
    </w:p>
    <w:p w14:paraId="610D9F0E" w14:textId="77777777" w:rsidR="001C1373" w:rsidRDefault="001C1373" w:rsidP="001C1373">
      <w:pPr>
        <w:ind w:firstLine="360"/>
      </w:pPr>
    </w:p>
    <w:p w14:paraId="629BB912" w14:textId="77777777" w:rsidR="001C1373" w:rsidRDefault="001C1373" w:rsidP="001C1373">
      <w:pPr>
        <w:rPr>
          <w:u w:val="single"/>
        </w:rPr>
      </w:pPr>
      <w:r w:rsidRPr="00AD7124">
        <w:rPr>
          <w:u w:val="single"/>
        </w:rPr>
        <w:t>Summary of scoping comments:</w:t>
      </w:r>
    </w:p>
    <w:p w14:paraId="3D5F13EA" w14:textId="683D324B" w:rsidR="001C1373" w:rsidRDefault="00D41356" w:rsidP="001C1373">
      <w:r w:rsidRPr="00D41356">
        <w:t>Support for commercial trip limit and similar restrictions to recreational sector during the spawning months.  However, there was general agreement that mutton snapper are not targeted commercially in the South Atlantic.</w:t>
      </w:r>
    </w:p>
    <w:p w14:paraId="0EBF6368" w14:textId="77777777" w:rsidR="00D41356" w:rsidRPr="00D41356" w:rsidRDefault="00D41356" w:rsidP="001C1373"/>
    <w:p w14:paraId="3DFF4D3C" w14:textId="77777777" w:rsidR="00D41356" w:rsidRDefault="001C1373" w:rsidP="00D41356">
      <w:pPr>
        <w:rPr>
          <w:u w:val="single"/>
        </w:rPr>
      </w:pPr>
      <w:r w:rsidRPr="008E2FF3">
        <w:rPr>
          <w:u w:val="single"/>
        </w:rPr>
        <w:t>Summary of public hearing comments:</w:t>
      </w:r>
    </w:p>
    <w:p w14:paraId="68D8F07C" w14:textId="77777777" w:rsidR="00D41356" w:rsidRDefault="00D41356" w:rsidP="00D41356">
      <w:pPr>
        <w:pStyle w:val="ListParagraph"/>
        <w:numPr>
          <w:ilvl w:val="0"/>
          <w:numId w:val="41"/>
        </w:numPr>
        <w:spacing w:line="240" w:lineRule="auto"/>
        <w:rPr>
          <w:rFonts w:ascii="Times New Roman" w:hAnsi="Times New Roman"/>
          <w:sz w:val="24"/>
          <w:szCs w:val="24"/>
        </w:rPr>
      </w:pPr>
      <w:r w:rsidRPr="00D41356">
        <w:rPr>
          <w:rFonts w:ascii="Times New Roman" w:hAnsi="Times New Roman"/>
          <w:sz w:val="24"/>
          <w:szCs w:val="24"/>
        </w:rPr>
        <w:t xml:space="preserve">Two commenters (2) spoke directly in support of a commercial trip limit of 500 pounds. </w:t>
      </w:r>
    </w:p>
    <w:p w14:paraId="44D5FB34" w14:textId="658EB4D7" w:rsidR="00D41356" w:rsidRPr="00D41356" w:rsidRDefault="00D41356" w:rsidP="00D41356">
      <w:pPr>
        <w:pStyle w:val="ListParagraph"/>
        <w:numPr>
          <w:ilvl w:val="0"/>
          <w:numId w:val="41"/>
        </w:numPr>
        <w:spacing w:line="240" w:lineRule="auto"/>
        <w:rPr>
          <w:rFonts w:ascii="Times New Roman" w:hAnsi="Times New Roman"/>
          <w:sz w:val="24"/>
          <w:szCs w:val="24"/>
        </w:rPr>
      </w:pPr>
      <w:r w:rsidRPr="00D41356">
        <w:rPr>
          <w:rFonts w:ascii="Times New Roman" w:hAnsi="Times New Roman"/>
          <w:sz w:val="24"/>
          <w:szCs w:val="24"/>
        </w:rPr>
        <w:t>Commercial fishermen in the Keys do not catch 500 pounds of muttons in one trip.</w:t>
      </w:r>
    </w:p>
    <w:p w14:paraId="2EBC763F" w14:textId="77777777" w:rsidR="00D41356" w:rsidRPr="00D41356" w:rsidRDefault="00D41356" w:rsidP="00D41356">
      <w:pPr>
        <w:pStyle w:val="ListParagraph"/>
        <w:numPr>
          <w:ilvl w:val="0"/>
          <w:numId w:val="41"/>
        </w:numPr>
        <w:spacing w:line="240" w:lineRule="auto"/>
        <w:rPr>
          <w:rFonts w:ascii="Times New Roman" w:hAnsi="Times New Roman"/>
          <w:sz w:val="24"/>
          <w:szCs w:val="24"/>
          <w:u w:val="single"/>
        </w:rPr>
      </w:pPr>
      <w:r w:rsidRPr="00D41356">
        <w:rPr>
          <w:rFonts w:ascii="Times New Roman" w:hAnsi="Times New Roman"/>
          <w:sz w:val="24"/>
          <w:szCs w:val="24"/>
        </w:rPr>
        <w:t>Some support for vessel limits instead of per-person limits for commercial sector (suggestion of 10 to 15 fish per vessel).</w:t>
      </w:r>
    </w:p>
    <w:p w14:paraId="6EEA6CA4" w14:textId="0F111612" w:rsidR="00D41356" w:rsidRPr="00D41356" w:rsidRDefault="00D41356" w:rsidP="00D41356">
      <w:pPr>
        <w:pStyle w:val="ListParagraph"/>
        <w:numPr>
          <w:ilvl w:val="0"/>
          <w:numId w:val="41"/>
        </w:numPr>
        <w:spacing w:line="240" w:lineRule="auto"/>
        <w:rPr>
          <w:rFonts w:ascii="Times New Roman" w:hAnsi="Times New Roman"/>
          <w:sz w:val="24"/>
          <w:szCs w:val="24"/>
          <w:u w:val="single"/>
        </w:rPr>
      </w:pPr>
      <w:r w:rsidRPr="00D41356">
        <w:rPr>
          <w:rFonts w:ascii="Times New Roman" w:hAnsi="Times New Roman"/>
          <w:sz w:val="24"/>
          <w:szCs w:val="24"/>
        </w:rPr>
        <w:t>Two commenters (2) supported a 5 fish/person/day during spawning months for commercial sector.</w:t>
      </w:r>
    </w:p>
    <w:p w14:paraId="65FAD1C5" w14:textId="77777777" w:rsidR="00D41356" w:rsidRPr="00D41356" w:rsidRDefault="00D41356" w:rsidP="00D41356">
      <w:pPr>
        <w:pStyle w:val="ListParagraph"/>
        <w:numPr>
          <w:ilvl w:val="0"/>
          <w:numId w:val="41"/>
        </w:numPr>
        <w:spacing w:line="240" w:lineRule="auto"/>
        <w:rPr>
          <w:rFonts w:ascii="Times New Roman" w:hAnsi="Times New Roman"/>
          <w:sz w:val="24"/>
          <w:szCs w:val="24"/>
          <w:u w:val="single"/>
        </w:rPr>
      </w:pPr>
      <w:r w:rsidRPr="00D41356">
        <w:rPr>
          <w:rFonts w:ascii="Times New Roman" w:hAnsi="Times New Roman"/>
          <w:sz w:val="24"/>
          <w:szCs w:val="24"/>
        </w:rPr>
        <w:t>Many commenters felt that proposed management measures for commercial sector are too restrictive, especially the possession limit during spawning months.</w:t>
      </w:r>
    </w:p>
    <w:p w14:paraId="3E230783" w14:textId="1D887972" w:rsidR="00D41356" w:rsidRPr="00D41356" w:rsidRDefault="00D41356" w:rsidP="00D41356">
      <w:pPr>
        <w:pStyle w:val="ListParagraph"/>
        <w:numPr>
          <w:ilvl w:val="0"/>
          <w:numId w:val="41"/>
        </w:numPr>
        <w:spacing w:line="240" w:lineRule="auto"/>
        <w:rPr>
          <w:rFonts w:ascii="Times New Roman" w:hAnsi="Times New Roman"/>
          <w:sz w:val="24"/>
          <w:szCs w:val="24"/>
          <w:u w:val="single"/>
        </w:rPr>
      </w:pPr>
      <w:r w:rsidRPr="00D41356">
        <w:rPr>
          <w:rFonts w:ascii="Times New Roman" w:hAnsi="Times New Roman"/>
          <w:sz w:val="24"/>
          <w:szCs w:val="24"/>
        </w:rPr>
        <w:t xml:space="preserve">Keep commercial and recreational regulations during spawning </w:t>
      </w:r>
      <w:r>
        <w:rPr>
          <w:rFonts w:ascii="Times New Roman" w:hAnsi="Times New Roman"/>
          <w:sz w:val="24"/>
          <w:szCs w:val="24"/>
        </w:rPr>
        <w:t xml:space="preserve">months </w:t>
      </w:r>
      <w:r w:rsidRPr="00D41356">
        <w:rPr>
          <w:rFonts w:ascii="Times New Roman" w:hAnsi="Times New Roman"/>
          <w:sz w:val="24"/>
          <w:szCs w:val="24"/>
        </w:rPr>
        <w:t>the same.  Since grouper open in May, commercial fishermen would like to be able to take more than 3 mutton per person.  Also a lower possession limit in combination with the 25 lbs trip limit proposed for hogfish is going to affect some commercial fishermen.</w:t>
      </w:r>
    </w:p>
    <w:p w14:paraId="314A4956" w14:textId="17A7DA24" w:rsidR="00D41356" w:rsidRPr="00D41356" w:rsidRDefault="00D41356" w:rsidP="00D41356">
      <w:pPr>
        <w:pStyle w:val="ListParagraph"/>
        <w:numPr>
          <w:ilvl w:val="0"/>
          <w:numId w:val="41"/>
        </w:numPr>
        <w:spacing w:line="240" w:lineRule="auto"/>
        <w:rPr>
          <w:rFonts w:ascii="Times New Roman" w:hAnsi="Times New Roman"/>
          <w:sz w:val="24"/>
          <w:szCs w:val="24"/>
          <w:u w:val="single"/>
        </w:rPr>
      </w:pPr>
      <w:r w:rsidRPr="00D41356">
        <w:rPr>
          <w:rFonts w:ascii="Times New Roman" w:hAnsi="Times New Roman"/>
          <w:sz w:val="24"/>
          <w:szCs w:val="24"/>
        </w:rPr>
        <w:t>Several commenters expressed concern about discards.</w:t>
      </w:r>
    </w:p>
    <w:p w14:paraId="24BAE847" w14:textId="77777777" w:rsidR="00D41356" w:rsidRPr="00D41356" w:rsidRDefault="00D41356" w:rsidP="00D41356">
      <w:pPr>
        <w:pStyle w:val="ListParagraph"/>
        <w:numPr>
          <w:ilvl w:val="0"/>
          <w:numId w:val="41"/>
        </w:numPr>
        <w:spacing w:line="240" w:lineRule="auto"/>
        <w:rPr>
          <w:rFonts w:ascii="Times New Roman" w:hAnsi="Times New Roman"/>
          <w:sz w:val="24"/>
          <w:szCs w:val="24"/>
          <w:u w:val="single"/>
        </w:rPr>
      </w:pPr>
      <w:r w:rsidRPr="00D41356">
        <w:rPr>
          <w:rFonts w:ascii="Times New Roman" w:hAnsi="Times New Roman"/>
          <w:sz w:val="24"/>
          <w:szCs w:val="24"/>
        </w:rPr>
        <w:t>Because commercial industry is so accountable for their catch and current regulations allow sale of mutton snapper landed during May-June, there is support for maintaining the 10 fish per person possession limit during the spawning period.</w:t>
      </w:r>
    </w:p>
    <w:p w14:paraId="46FC1382" w14:textId="4687E9AB" w:rsidR="00D41356" w:rsidRPr="00D41356" w:rsidRDefault="00D41356" w:rsidP="00D41356">
      <w:pPr>
        <w:pStyle w:val="ListParagraph"/>
        <w:numPr>
          <w:ilvl w:val="0"/>
          <w:numId w:val="41"/>
        </w:numPr>
        <w:spacing w:line="240" w:lineRule="auto"/>
        <w:rPr>
          <w:rFonts w:ascii="Times New Roman" w:hAnsi="Times New Roman"/>
          <w:sz w:val="24"/>
          <w:szCs w:val="24"/>
          <w:u w:val="single"/>
        </w:rPr>
      </w:pPr>
      <w:r w:rsidRPr="00D41356">
        <w:rPr>
          <w:rFonts w:ascii="Times New Roman" w:hAnsi="Times New Roman"/>
          <w:sz w:val="24"/>
          <w:szCs w:val="24"/>
        </w:rPr>
        <w:t>Dual permitted vessel holding commercial and charter head boat snapper grouper permits, it would only be allowed to have a maximum of four people aboard for a commercial trip. The per person/day rule gives some boats the advantage of bringing a larger “c</w:t>
      </w:r>
      <w:r>
        <w:rPr>
          <w:rFonts w:ascii="Times New Roman" w:hAnsi="Times New Roman"/>
          <w:sz w:val="24"/>
          <w:szCs w:val="24"/>
        </w:rPr>
        <w:t>rew” out commercial fishing</w:t>
      </w:r>
      <w:r w:rsidRPr="00D41356">
        <w:rPr>
          <w:rFonts w:ascii="Times New Roman" w:hAnsi="Times New Roman"/>
          <w:sz w:val="24"/>
          <w:szCs w:val="24"/>
        </w:rPr>
        <w:t xml:space="preserve"> to retain more fish.</w:t>
      </w:r>
    </w:p>
    <w:p w14:paraId="62A5324F" w14:textId="77777777" w:rsidR="00D41356" w:rsidRPr="00D41356" w:rsidRDefault="00D41356" w:rsidP="00D41356">
      <w:pPr>
        <w:pStyle w:val="ListParagraph"/>
        <w:numPr>
          <w:ilvl w:val="0"/>
          <w:numId w:val="41"/>
        </w:numPr>
        <w:spacing w:line="240" w:lineRule="auto"/>
        <w:rPr>
          <w:rFonts w:ascii="Times New Roman" w:hAnsi="Times New Roman"/>
          <w:sz w:val="24"/>
          <w:szCs w:val="24"/>
          <w:u w:val="single"/>
        </w:rPr>
      </w:pPr>
      <w:r w:rsidRPr="00D41356">
        <w:rPr>
          <w:rFonts w:ascii="Times New Roman" w:hAnsi="Times New Roman"/>
          <w:sz w:val="24"/>
          <w:szCs w:val="24"/>
        </w:rPr>
        <w:t>Commercial sector has not reached its ACL since it was implemented so why consider restricting harvest?</w:t>
      </w:r>
    </w:p>
    <w:p w14:paraId="46233DF9" w14:textId="77777777" w:rsidR="00D41356" w:rsidRPr="00D41356" w:rsidRDefault="00D41356" w:rsidP="00D41356">
      <w:pPr>
        <w:pStyle w:val="ListParagraph"/>
        <w:numPr>
          <w:ilvl w:val="0"/>
          <w:numId w:val="41"/>
        </w:numPr>
        <w:spacing w:line="240" w:lineRule="auto"/>
        <w:rPr>
          <w:rFonts w:ascii="Times New Roman" w:hAnsi="Times New Roman"/>
          <w:sz w:val="24"/>
          <w:szCs w:val="24"/>
          <w:u w:val="single"/>
        </w:rPr>
      </w:pPr>
      <w:r w:rsidRPr="00D41356">
        <w:rPr>
          <w:rFonts w:ascii="Times New Roman" w:hAnsi="Times New Roman"/>
          <w:sz w:val="24"/>
          <w:szCs w:val="24"/>
        </w:rPr>
        <w:t>A 300 or 500 pound trip limit is too high because mutton are not available in those quantities over the majority of the species range throughout the year or there are not that many participants.</w:t>
      </w:r>
    </w:p>
    <w:p w14:paraId="06790FD9" w14:textId="510D547F" w:rsidR="00D41356" w:rsidRPr="00D41356" w:rsidRDefault="00D41356" w:rsidP="00D41356">
      <w:pPr>
        <w:pStyle w:val="ListParagraph"/>
        <w:numPr>
          <w:ilvl w:val="0"/>
          <w:numId w:val="41"/>
        </w:numPr>
        <w:spacing w:line="240" w:lineRule="auto"/>
        <w:rPr>
          <w:u w:val="single"/>
        </w:rPr>
      </w:pPr>
      <w:r w:rsidRPr="00D41356">
        <w:rPr>
          <w:rFonts w:ascii="Times New Roman" w:hAnsi="Times New Roman"/>
          <w:sz w:val="24"/>
          <w:szCs w:val="24"/>
        </w:rPr>
        <w:t>Consider requirement for recompression device for commercial sector and phase-in restrictions over time.</w:t>
      </w:r>
    </w:p>
    <w:p w14:paraId="5458D1FD" w14:textId="77777777" w:rsidR="00DB30FF" w:rsidRDefault="00DB30FF" w:rsidP="00DB30FF">
      <w:pPr>
        <w:ind w:firstLine="360"/>
      </w:pPr>
    </w:p>
    <w:p w14:paraId="6E7CC5BA" w14:textId="77777777" w:rsidR="00DB30FF" w:rsidRPr="002A1479" w:rsidRDefault="00DB30FF" w:rsidP="00DB30FF">
      <w:pPr>
        <w:ind w:firstLine="360"/>
      </w:pPr>
    </w:p>
    <w:p w14:paraId="607CE528" w14:textId="3BDF24BB" w:rsidR="00DB30FF" w:rsidRDefault="0010161A" w:rsidP="003B41F5">
      <w:pPr>
        <w:pStyle w:val="Heading3"/>
      </w:pPr>
      <w:bookmarkStart w:id="368" w:name="_Toc339811824"/>
      <w:r>
        <w:rPr>
          <w:rStyle w:val="Heading4Char1"/>
          <w:rFonts w:ascii="Arial" w:hAnsi="Arial" w:cs="Arial"/>
          <w:sz w:val="24"/>
          <w:szCs w:val="24"/>
        </w:rPr>
        <w:lastRenderedPageBreak/>
        <w:t>5.8</w:t>
      </w:r>
      <w:r w:rsidR="00DB30FF" w:rsidRPr="008942D1">
        <w:rPr>
          <w:rStyle w:val="Heading4Char1"/>
          <w:rFonts w:ascii="Arial" w:hAnsi="Arial" w:cs="Arial"/>
          <w:sz w:val="24"/>
          <w:szCs w:val="24"/>
        </w:rPr>
        <w:t>.5</w:t>
      </w:r>
      <w:r w:rsidR="00DB30FF" w:rsidRPr="008942D1">
        <w:rPr>
          <w:rStyle w:val="Heading4Char1"/>
          <w:rFonts w:ascii="Arial" w:hAnsi="Arial" w:cs="Arial"/>
          <w:sz w:val="24"/>
          <w:szCs w:val="24"/>
        </w:rPr>
        <w:tab/>
        <w:t xml:space="preserve">South Atlantic Council </w:t>
      </w:r>
      <w:r w:rsidR="009E03CE">
        <w:rPr>
          <w:rStyle w:val="Heading4Char1"/>
          <w:rFonts w:ascii="Arial" w:hAnsi="Arial" w:cs="Arial"/>
          <w:sz w:val="24"/>
          <w:szCs w:val="24"/>
        </w:rPr>
        <w:t>Rationale</w:t>
      </w:r>
      <w:bookmarkEnd w:id="368"/>
    </w:p>
    <w:p w14:paraId="5590D45E" w14:textId="7F0F9A81" w:rsidR="00724F7C" w:rsidRDefault="000070E8" w:rsidP="00724F7C">
      <w:pPr>
        <w:ind w:firstLine="360"/>
      </w:pPr>
      <w:r>
        <w:t xml:space="preserve">Regulations to limit commercial harvest of mutton snapper during May and June were initially implemented through Amendment 4 (SAFMC 1991) to protect mutton snapper spawning aggregations from overexploitation.  However, data presented in </w:t>
      </w:r>
      <w:r w:rsidRPr="000070E8">
        <w:rPr>
          <w:b/>
        </w:rPr>
        <w:t>Section 4.8.1</w:t>
      </w:r>
      <w:r>
        <w:t xml:space="preserve"> indicate that commercial harvest has been highest, on average, during May and June from 2010 through 2014.  The commercial sector is currently limited to 10 mutton snapper per person per day or 10 per person trip, whichever is more restrictive.  However, since there are no restrictions on the number of crew on vessels holding a Federal unlimited commercial snapper grouper permit, it is probable that a commercial operation would seek to maximize its catch of mutton snapper during May and June by adding crew/passengers.  To restrict commercial harvest during this critical part of the year</w:t>
      </w:r>
      <w:r w:rsidR="00C67BB7">
        <w:t xml:space="preserve"> for mutton snapper and to ensure compatibility with proposed regulations for the recreational sector, the South Atlantic Council proposes to reduce the trip limit to 5 fish per person per day (or 5 per person per trip, whichever is most restrictive) during the designated “spawning months” (April through June).  </w:t>
      </w:r>
      <w:r w:rsidR="00724F7C">
        <w:t>The Florida Fish and Wildlife Conservation Commission (FWC) is also adopting this change in regulations for mutton snapper in state waters.  Moreover, the FWC indicated a trip limit during the remainder of the year was also warranted in order to control expansion to a level that would maintain commercial harvest open year round.  Input obtained during public workshops indicated that some commercial fishermen may</w:t>
      </w:r>
      <w:r w:rsidR="00C67BB7">
        <w:t xml:space="preserve"> switching from</w:t>
      </w:r>
      <w:r w:rsidR="00724F7C">
        <w:t xml:space="preserve"> harvesting </w:t>
      </w:r>
      <w:r w:rsidR="00C67BB7">
        <w:t xml:space="preserve">hogfish to </w:t>
      </w:r>
      <w:r w:rsidR="00724F7C">
        <w:t xml:space="preserve">targeting </w:t>
      </w:r>
      <w:r w:rsidR="00C67BB7">
        <w:t xml:space="preserve">mutton, </w:t>
      </w:r>
      <w:r w:rsidR="00724F7C">
        <w:t xml:space="preserve">since the commercial trip limit for hogfish in Federal waters off Florida is being set at 25 pounds whole weight (Amendment 37, under review).   The South Atlantic Council reasoned </w:t>
      </w:r>
      <w:r w:rsidR="00724F7C">
        <w:rPr>
          <w:b/>
        </w:rPr>
        <w:t>Preferred Sub-alternative 2</w:t>
      </w:r>
      <w:r w:rsidR="00724F7C" w:rsidRPr="00C224D9">
        <w:rPr>
          <w:b/>
        </w:rPr>
        <w:t>c</w:t>
      </w:r>
      <w:r w:rsidR="00724F7C">
        <w:t xml:space="preserve"> and Preferred Sub-alternative 3f best meet the purpose to </w:t>
      </w:r>
      <w:r w:rsidR="00724F7C" w:rsidRPr="00380482">
        <w:rPr>
          <w:iCs/>
        </w:rPr>
        <w:t xml:space="preserve">revise management measures for the </w:t>
      </w:r>
      <w:r w:rsidR="00724F7C">
        <w:rPr>
          <w:iCs/>
        </w:rPr>
        <w:t>mutton snapper</w:t>
      </w:r>
      <w:r w:rsidR="00724F7C" w:rsidRPr="00380482">
        <w:rPr>
          <w:iCs/>
        </w:rPr>
        <w:t xml:space="preserve"> component of the snapper grouper fishery</w:t>
      </w:r>
      <w:r w:rsidR="00724F7C">
        <w:rPr>
          <w:iCs/>
        </w:rPr>
        <w:t xml:space="preserve"> based on the best scientific information available to achieve and maintain optimum yield and to </w:t>
      </w:r>
      <w:r w:rsidR="00724F7C" w:rsidRPr="00380482">
        <w:rPr>
          <w:iCs/>
        </w:rPr>
        <w:t>prevent</w:t>
      </w:r>
      <w:r w:rsidR="00724F7C">
        <w:rPr>
          <w:iCs/>
        </w:rPr>
        <w:t xml:space="preserve"> </w:t>
      </w:r>
      <w:r w:rsidR="00724F7C" w:rsidRPr="00380482">
        <w:rPr>
          <w:iCs/>
        </w:rPr>
        <w:t xml:space="preserve">overfishing </w:t>
      </w:r>
      <w:r w:rsidR="00724F7C" w:rsidRPr="003A2DF3">
        <w:rPr>
          <w:iCs/>
        </w:rPr>
        <w:t>while minimizing</w:t>
      </w:r>
      <w:r w:rsidR="00724F7C">
        <w:rPr>
          <w:iCs/>
        </w:rPr>
        <w:t xml:space="preserve"> </w:t>
      </w:r>
      <w:r w:rsidR="00724F7C" w:rsidRPr="003A2DF3">
        <w:rPr>
          <w:iCs/>
        </w:rPr>
        <w:t>adverse social and economic effects</w:t>
      </w:r>
      <w:r w:rsidR="00724F7C" w:rsidRPr="00380482">
        <w:rPr>
          <w:iCs/>
        </w:rPr>
        <w:t>.</w:t>
      </w:r>
      <w:r w:rsidR="00724F7C">
        <w:t xml:space="preserve">  The preferred alternative</w:t>
      </w:r>
      <w:r w:rsidR="009F0F73">
        <w:t>s also best meet</w:t>
      </w:r>
      <w:r w:rsidR="00724F7C">
        <w:t xml:space="preserve"> the objectives of the Snapper Grouper Fishery Management Plan, as amended, while complying with the requirements of the Magnuson-Stevens Fishery Conservation and Management Act and other applicable law.</w:t>
      </w:r>
    </w:p>
    <w:p w14:paraId="212C0CFC" w14:textId="77777777" w:rsidR="00BD78F1" w:rsidRDefault="00BD78F1" w:rsidP="00724F7C">
      <w:pPr>
        <w:ind w:firstLine="360"/>
      </w:pPr>
    </w:p>
    <w:p w14:paraId="0374E5B2" w14:textId="44B8481A" w:rsidR="00BD78F1" w:rsidRDefault="00BD78F1" w:rsidP="00BD78F1">
      <w:pPr>
        <w:pStyle w:val="Heading3"/>
      </w:pPr>
      <w:bookmarkStart w:id="369" w:name="_Toc339811825"/>
      <w:r>
        <w:t>5.8.6</w:t>
      </w:r>
      <w:r>
        <w:tab/>
        <w:t>How is this Action Addressing the Vision Blueprint for the Snapper Grouper Fishery?</w:t>
      </w:r>
      <w:bookmarkEnd w:id="369"/>
    </w:p>
    <w:p w14:paraId="369C7E42" w14:textId="77777777" w:rsidR="00BD78F1" w:rsidRDefault="00BD78F1" w:rsidP="00BD78F1">
      <w:pPr>
        <w:ind w:firstLine="360"/>
      </w:pPr>
      <w:r>
        <w:t xml:space="preserve">The </w:t>
      </w:r>
      <w:r w:rsidRPr="000C459E">
        <w:t>Vision Blueprint for the Snapper Grouper Fishery</w:t>
      </w:r>
      <w:r>
        <w:t xml:space="preserve"> (Vision Blueprint) was approved in December 2015 and is intended to inform management of the snapper grouper fishery through 2020.  As such, the </w:t>
      </w:r>
      <w:r w:rsidRPr="000C459E">
        <w:t>Vision Blueprint</w:t>
      </w:r>
      <w:r>
        <w:t xml:space="preserve"> serves as a “living document” to help guide future management, builds on stakeholder input and how the South Atlantic Council envisions future management of the fishery, guides the development of new amendments that address priority objectives and strategies, and illustrates actions that could be developed through the regular amendment process.  The Vision Blueprint is organized into four strategic goal areas: (1) Science, (2) Management, (3) Communication, and (4) Governance.  </w:t>
      </w:r>
      <w:r w:rsidRPr="00AF6EE2">
        <w:t>Each goal area has a set of objectives, strategies, and actions.</w:t>
      </w:r>
    </w:p>
    <w:p w14:paraId="2CA48457" w14:textId="77777777" w:rsidR="00BD78F1" w:rsidRDefault="00BD78F1" w:rsidP="00BD78F1">
      <w:pPr>
        <w:ind w:firstLine="360"/>
      </w:pPr>
    </w:p>
    <w:p w14:paraId="31FAF424" w14:textId="56FCE9A8" w:rsidR="00BD78F1" w:rsidRPr="000070E8" w:rsidRDefault="00BD78F1" w:rsidP="00BD78F1">
      <w:pPr>
        <w:ind w:firstLine="360"/>
        <w:sectPr w:rsidR="00BD78F1" w:rsidRPr="000070E8" w:rsidSect="0038545E">
          <w:pgSz w:w="12240" w:h="15840" w:code="1"/>
          <w:pgMar w:top="1440" w:right="1440" w:bottom="1440" w:left="1440" w:header="720" w:footer="720" w:gutter="0"/>
          <w:cols w:space="720"/>
          <w:docGrid w:linePitch="360"/>
        </w:sectPr>
      </w:pPr>
      <w:r w:rsidRPr="007A2A5F">
        <w:rPr>
          <w:b/>
        </w:rPr>
        <w:t xml:space="preserve">Action </w:t>
      </w:r>
      <w:r>
        <w:rPr>
          <w:b/>
        </w:rPr>
        <w:t>8</w:t>
      </w:r>
      <w:r>
        <w:t xml:space="preserve"> to modify the mutton snapper commercial trip limit in the South Atlantic Region responds to </w:t>
      </w:r>
      <w:r w:rsidRPr="00F379C3">
        <w:rPr>
          <w:b/>
        </w:rPr>
        <w:t xml:space="preserve">Objective 2 </w:t>
      </w:r>
      <w:r>
        <w:t xml:space="preserve">under the broad Management goal to </w:t>
      </w:r>
      <w:r w:rsidRPr="002F3220">
        <w:rPr>
          <w:i/>
        </w:rPr>
        <w:t>“</w:t>
      </w:r>
      <w:r w:rsidRPr="008043F4">
        <w:rPr>
          <w:i/>
        </w:rPr>
        <w:t xml:space="preserve">adopt management strategies for </w:t>
      </w:r>
      <w:r w:rsidRPr="008043F4">
        <w:rPr>
          <w:i/>
        </w:rPr>
        <w:lastRenderedPageBreak/>
        <w:t>the snapper grouper fishery that rebuild and maintain fishery resources, adapt to regional differences in the fishery, and consider the social and economic needs of fishing communities.</w:t>
      </w:r>
      <w:r>
        <w:t xml:space="preserve">”  </w:t>
      </w:r>
      <w:r w:rsidRPr="00CB0F3A">
        <w:rPr>
          <w:b/>
        </w:rPr>
        <w:t>Objective 2</w:t>
      </w:r>
      <w:r>
        <w:t xml:space="preserve"> aims to </w:t>
      </w:r>
      <w:r w:rsidRPr="00CB0F3A">
        <w:rPr>
          <w:i/>
        </w:rPr>
        <w:t>“develop innovative management measures that allow consistent access to the fishery for all sectors”</w:t>
      </w:r>
      <w:r>
        <w:t xml:space="preserve">.  While trip limits do not constitute an innovative management approach, they continue to be an effective means to keep commercial landings within biologically acceptable limits and can be used to “spread out” the harvest over time to allow more consistent access to the resource.  </w:t>
      </w:r>
      <w:r w:rsidRPr="00B5743B">
        <w:rPr>
          <w:b/>
        </w:rPr>
        <w:t xml:space="preserve">Action </w:t>
      </w:r>
      <w:r>
        <w:rPr>
          <w:b/>
        </w:rPr>
        <w:t>8</w:t>
      </w:r>
      <w:r>
        <w:t xml:space="preserve"> also addresses a priority action under </w:t>
      </w:r>
      <w:r w:rsidRPr="00B5743B">
        <w:rPr>
          <w:b/>
        </w:rPr>
        <w:t>Strategy 2.1</w:t>
      </w:r>
      <w:r>
        <w:t xml:space="preserve"> (S</w:t>
      </w:r>
      <w:r w:rsidRPr="00B5743B">
        <w:t>upport development of management approaches that address reten</w:t>
      </w:r>
      <w:r>
        <w:t xml:space="preserve">tion of snapper grouper species) to </w:t>
      </w:r>
      <w:r w:rsidRPr="00B5743B">
        <w:rPr>
          <w:i/>
        </w:rPr>
        <w:t>consider bag limit and trip limit adjustments</w:t>
      </w:r>
      <w:r>
        <w:t xml:space="preserve">.  Furthermore, under the broad Management goal, </w:t>
      </w:r>
      <w:r w:rsidRPr="00F53CF7">
        <w:rPr>
          <w:b/>
        </w:rPr>
        <w:t xml:space="preserve">Action </w:t>
      </w:r>
      <w:r>
        <w:rPr>
          <w:b/>
        </w:rPr>
        <w:t>8</w:t>
      </w:r>
      <w:r>
        <w:t xml:space="preserve"> responds to Objective 2, Strategy 2.5 to </w:t>
      </w:r>
      <w:r w:rsidRPr="00E66FE0">
        <w:rPr>
          <w:i/>
        </w:rPr>
        <w:t>consider measure</w:t>
      </w:r>
      <w:r>
        <w:rPr>
          <w:i/>
        </w:rPr>
        <w:t>s</w:t>
      </w:r>
      <w:r w:rsidRPr="00E66FE0">
        <w:rPr>
          <w:i/>
        </w:rPr>
        <w:t xml:space="preserve"> to simplify regulations for both sectors</w:t>
      </w:r>
      <w:r>
        <w:t xml:space="preserve"> since the South Atlantic Council worked closely with the FWC to consider regulations that would be compatible in state and federal waters to simplify the regulatory environment to benefit resource users as well as law enforcement.</w:t>
      </w:r>
    </w:p>
    <w:p w14:paraId="7CA80AC7" w14:textId="77777777" w:rsidR="0007041C" w:rsidRDefault="0007041C" w:rsidP="0007041C">
      <w:pPr>
        <w:pStyle w:val="Heading1"/>
        <w:rPr>
          <w:rStyle w:val="Heading3Char"/>
          <w:rFonts w:ascii="Times New Roman" w:hAnsi="Times New Roman" w:cs="Times New Roman"/>
          <w:b/>
          <w:color w:val="548DD4"/>
          <w:sz w:val="56"/>
          <w:szCs w:val="56"/>
        </w:rPr>
      </w:pPr>
      <w:bookmarkStart w:id="370" w:name="_Toc304880023"/>
      <w:bookmarkStart w:id="371" w:name="_Toc361410427"/>
      <w:bookmarkStart w:id="372" w:name="_Toc288909956"/>
      <w:bookmarkStart w:id="373" w:name="_Toc339811826"/>
      <w:bookmarkStart w:id="374" w:name="_Toc304880026"/>
      <w:bookmarkStart w:id="375" w:name="_Toc361410430"/>
      <w:r w:rsidRPr="0007041C">
        <w:rPr>
          <w:rStyle w:val="Heading3Char"/>
          <w:rFonts w:ascii="Times New Roman" w:hAnsi="Times New Roman" w:cs="Times New Roman"/>
          <w:b/>
          <w:color w:val="8DB3E2"/>
          <w:sz w:val="36"/>
          <w:szCs w:val="36"/>
        </w:rPr>
        <w:lastRenderedPageBreak/>
        <w:t>Chapter 6.</w:t>
      </w:r>
      <w:r w:rsidRPr="0007041C">
        <w:rPr>
          <w:rStyle w:val="Heading3Char"/>
          <w:rFonts w:ascii="Times New Roman" w:hAnsi="Times New Roman" w:cs="Times New Roman"/>
          <w:b/>
          <w:sz w:val="40"/>
          <w:szCs w:val="40"/>
        </w:rPr>
        <w:t xml:space="preserve">  </w:t>
      </w:r>
      <w:r w:rsidRPr="0007041C">
        <w:rPr>
          <w:rStyle w:val="Heading3Char"/>
          <w:rFonts w:ascii="Times New Roman" w:hAnsi="Times New Roman" w:cs="Times New Roman"/>
          <w:b/>
          <w:color w:val="548DD4"/>
          <w:sz w:val="56"/>
          <w:szCs w:val="56"/>
        </w:rPr>
        <w:t>Cumulative Effects</w:t>
      </w:r>
      <w:bookmarkEnd w:id="370"/>
      <w:bookmarkEnd w:id="371"/>
      <w:bookmarkEnd w:id="372"/>
      <w:bookmarkEnd w:id="373"/>
    </w:p>
    <w:p w14:paraId="782713E7" w14:textId="77777777" w:rsidR="0007041C" w:rsidRPr="0007041C" w:rsidRDefault="0007041C" w:rsidP="0007041C"/>
    <w:p w14:paraId="55B267FB" w14:textId="77777777" w:rsidR="0007041C" w:rsidRPr="0007041C" w:rsidRDefault="0007041C" w:rsidP="0007041C">
      <w:pPr>
        <w:rPr>
          <w:rFonts w:ascii="Arial" w:eastAsia="Calibri" w:hAnsi="Arial" w:cs="Arial"/>
          <w:b/>
          <w:sz w:val="28"/>
          <w:szCs w:val="28"/>
        </w:rPr>
      </w:pPr>
      <w:bookmarkStart w:id="376" w:name="_Toc396384803"/>
      <w:bookmarkStart w:id="377" w:name="_Toc353547409"/>
      <w:bookmarkStart w:id="378" w:name="_Toc361410428"/>
      <w:r w:rsidRPr="0007041C">
        <w:rPr>
          <w:rFonts w:ascii="Arial" w:eastAsia="Calibri" w:hAnsi="Arial" w:cs="Arial"/>
          <w:b/>
          <w:sz w:val="28"/>
          <w:szCs w:val="28"/>
        </w:rPr>
        <w:t xml:space="preserve">6.1 </w:t>
      </w:r>
      <w:r w:rsidRPr="0007041C">
        <w:rPr>
          <w:rFonts w:ascii="Arial" w:eastAsia="Calibri" w:hAnsi="Arial" w:cs="Arial"/>
          <w:b/>
          <w:sz w:val="28"/>
          <w:szCs w:val="28"/>
        </w:rPr>
        <w:tab/>
        <w:t>Affected Area</w:t>
      </w:r>
      <w:bookmarkEnd w:id="376"/>
      <w:r w:rsidRPr="0007041C">
        <w:rPr>
          <w:rFonts w:ascii="Arial" w:eastAsia="Calibri" w:hAnsi="Arial" w:cs="Arial"/>
          <w:b/>
          <w:sz w:val="28"/>
          <w:szCs w:val="28"/>
        </w:rPr>
        <w:t xml:space="preserve"> </w:t>
      </w:r>
    </w:p>
    <w:p w14:paraId="384BF368" w14:textId="77777777" w:rsidR="0007041C" w:rsidRDefault="0007041C" w:rsidP="0007041C"/>
    <w:p w14:paraId="54C5B3D9" w14:textId="77777777" w:rsidR="0007041C" w:rsidRPr="006369E7" w:rsidRDefault="0007041C" w:rsidP="0007041C">
      <w:pPr>
        <w:ind w:firstLine="360"/>
      </w:pPr>
      <w:r w:rsidRPr="00EB0FF0">
        <w:t xml:space="preserve">The immediate impact area would be </w:t>
      </w:r>
      <w:r w:rsidRPr="00EB0FF0">
        <w:rPr>
          <w:szCs w:val="15"/>
        </w:rPr>
        <w:t>the federal 200-mile limit of the Atlantic off the coasts of North Carolina, South Carolina, Georgia, and east Florida to Key West, which is also the South Atlantic Fishery Management Council’s (South Atlantic Council) area of jurisdiction</w:t>
      </w:r>
      <w:r w:rsidRPr="00EB0FF0">
        <w:t xml:space="preserve">.  In light of the available information, the extent of the boundaries would depend upon the degree of fish immigration/emigration and larval transport, whichever has the greatest geographical range.  The ranges of affected species are described in </w:t>
      </w:r>
      <w:r w:rsidRPr="004D7368">
        <w:rPr>
          <w:b/>
        </w:rPr>
        <w:t>Section 3.2</w:t>
      </w:r>
      <w:r w:rsidRPr="004D7368">
        <w:t>.</w:t>
      </w:r>
      <w:r w:rsidRPr="00EB0FF0">
        <w:t xml:space="preserve">  </w:t>
      </w:r>
      <w:r w:rsidRPr="006369E7">
        <w:t>For th</w:t>
      </w:r>
      <w:r>
        <w:t>e</w:t>
      </w:r>
      <w:r w:rsidRPr="006369E7">
        <w:t xml:space="preserve"> action</w:t>
      </w:r>
      <w:r>
        <w:t>s found in Amendment 41</w:t>
      </w:r>
      <w:r w:rsidRPr="006369E7">
        <w:t xml:space="preserve">, the cumulative effects analysis (CEA) includes an analysis of </w:t>
      </w:r>
      <w:r>
        <w:t>data from 2014</w:t>
      </w:r>
      <w:r w:rsidRPr="00585FC0">
        <w:t xml:space="preserve"> </w:t>
      </w:r>
      <w:r>
        <w:t>onwards</w:t>
      </w:r>
      <w:r w:rsidRPr="00585FC0">
        <w:t xml:space="preserve"> through what is expected to take place approximately before or within 201</w:t>
      </w:r>
      <w:r>
        <w:t>6</w:t>
      </w:r>
      <w:r w:rsidRPr="00585FC0">
        <w:t>-201</w:t>
      </w:r>
      <w:r>
        <w:t>8</w:t>
      </w:r>
      <w:r w:rsidRPr="00585FC0">
        <w:t>.</w:t>
      </w:r>
      <w:r w:rsidRPr="006369E7">
        <w:t xml:space="preserve">  </w:t>
      </w:r>
    </w:p>
    <w:p w14:paraId="3F916838" w14:textId="77777777" w:rsidR="0007041C" w:rsidRPr="006369E7" w:rsidRDefault="0007041C" w:rsidP="0007041C">
      <w:pPr>
        <w:rPr>
          <w:rFonts w:eastAsia="Calibri"/>
          <w:szCs w:val="22"/>
        </w:rPr>
      </w:pPr>
    </w:p>
    <w:p w14:paraId="485804C2" w14:textId="77777777" w:rsidR="0007041C" w:rsidRPr="0007041C" w:rsidRDefault="0007041C" w:rsidP="0007041C">
      <w:pPr>
        <w:rPr>
          <w:rFonts w:ascii="Arial" w:eastAsia="Calibri" w:hAnsi="Arial" w:cs="Arial"/>
          <w:b/>
          <w:sz w:val="28"/>
          <w:szCs w:val="28"/>
        </w:rPr>
      </w:pPr>
      <w:bookmarkStart w:id="379" w:name="_Toc396384804"/>
      <w:r w:rsidRPr="0007041C">
        <w:rPr>
          <w:rFonts w:ascii="Arial" w:eastAsia="Calibri" w:hAnsi="Arial" w:cs="Arial"/>
          <w:b/>
          <w:sz w:val="28"/>
          <w:szCs w:val="28"/>
        </w:rPr>
        <w:t xml:space="preserve">6.2 </w:t>
      </w:r>
      <w:r w:rsidRPr="0007041C">
        <w:rPr>
          <w:rFonts w:ascii="Arial" w:eastAsia="Calibri" w:hAnsi="Arial" w:cs="Arial"/>
          <w:b/>
          <w:sz w:val="28"/>
          <w:szCs w:val="28"/>
        </w:rPr>
        <w:tab/>
        <w:t>Past, Present, and Reasonably Foreseeable Actions Impacting the Affected Area</w:t>
      </w:r>
      <w:bookmarkEnd w:id="379"/>
    </w:p>
    <w:p w14:paraId="73BB6D33" w14:textId="77777777" w:rsidR="0007041C" w:rsidRDefault="0007041C" w:rsidP="0007041C">
      <w:pPr>
        <w:rPr>
          <w:rFonts w:eastAsia="Calibri"/>
          <w:b/>
          <w:i/>
        </w:rPr>
      </w:pPr>
    </w:p>
    <w:p w14:paraId="78593EDA" w14:textId="77777777" w:rsidR="0007041C" w:rsidRPr="00D52360" w:rsidRDefault="0007041C" w:rsidP="0007041C">
      <w:pPr>
        <w:ind w:firstLine="360"/>
      </w:pPr>
      <w:r w:rsidRPr="00D52360">
        <w:t xml:space="preserve">Fishery managers implemented the first significant regulations pertaining to mutton snapper in 1991 through Amendment 4 to the Snapper Grouper </w:t>
      </w:r>
      <w:r>
        <w:t xml:space="preserve">Fishery Management Plan of the South Atlantic Region (Snapper Grouper </w:t>
      </w:r>
      <w:r w:rsidRPr="00D52360">
        <w:t>F</w:t>
      </w:r>
      <w:r>
        <w:t>ishery Management Plan (FMP))</w:t>
      </w:r>
      <w:r w:rsidRPr="00D52360">
        <w:t xml:space="preserve"> (SAFMC 1991).  The regulations included a 12-inch total length minimum size limit for mutton snapper</w:t>
      </w:r>
      <w:r>
        <w:t xml:space="preserve"> and limited harvest during spawning season</w:t>
      </w:r>
      <w:r w:rsidRPr="00D52360">
        <w:t>.</w:t>
      </w:r>
      <w:r>
        <w:t xml:space="preserve">  </w:t>
      </w:r>
      <w:r w:rsidRPr="00D52360">
        <w:t xml:space="preserve">Listed </w:t>
      </w:r>
      <w:r>
        <w:t xml:space="preserve">below </w:t>
      </w:r>
      <w:r w:rsidRPr="00D52360">
        <w:t>are other past, present, and reasonably foreseeable actions occurring in the South</w:t>
      </w:r>
      <w:r>
        <w:t xml:space="preserve"> </w:t>
      </w:r>
      <w:r w:rsidRPr="00D52360">
        <w:t xml:space="preserve">Atlantic region. </w:t>
      </w:r>
      <w:r>
        <w:t xml:space="preserve"> </w:t>
      </w:r>
      <w:r w:rsidRPr="00D52360">
        <w:t>These actions, when added to the proposed management measures, may result</w:t>
      </w:r>
      <w:r>
        <w:t xml:space="preserve"> </w:t>
      </w:r>
      <w:r w:rsidRPr="00D52360">
        <w:t>in cumula</w:t>
      </w:r>
      <w:r>
        <w:t>tive effects on the biophysical and socio-economic e</w:t>
      </w:r>
      <w:r w:rsidRPr="00D52360">
        <w:t>nvironment.</w:t>
      </w:r>
      <w:r>
        <w:t xml:space="preserve">  The complete history of management of the snapper grouper fishery can be found in </w:t>
      </w:r>
      <w:r w:rsidRPr="00AB3CA7">
        <w:rPr>
          <w:b/>
        </w:rPr>
        <w:t>Appendix C (History of Management)</w:t>
      </w:r>
      <w:r>
        <w:t xml:space="preserve">. </w:t>
      </w:r>
      <w:r w:rsidRPr="00D52360">
        <w:t xml:space="preserve"> </w:t>
      </w:r>
    </w:p>
    <w:p w14:paraId="12CD1ED2" w14:textId="77777777" w:rsidR="0007041C" w:rsidRDefault="0007041C" w:rsidP="0007041C">
      <w:pPr>
        <w:rPr>
          <w:rFonts w:eastAsia="Calibri"/>
          <w:b/>
          <w:i/>
        </w:rPr>
      </w:pPr>
    </w:p>
    <w:p w14:paraId="622407DF" w14:textId="77777777" w:rsidR="0007041C" w:rsidRPr="006369E7" w:rsidRDefault="0007041C" w:rsidP="0007041C">
      <w:pPr>
        <w:rPr>
          <w:rFonts w:eastAsia="Calibri"/>
          <w:b/>
          <w:i/>
        </w:rPr>
      </w:pPr>
      <w:r w:rsidRPr="006369E7">
        <w:rPr>
          <w:rFonts w:eastAsia="Calibri"/>
          <w:b/>
          <w:i/>
        </w:rPr>
        <w:t>Past Actions</w:t>
      </w:r>
    </w:p>
    <w:p w14:paraId="1B4EEEF3" w14:textId="77777777" w:rsidR="0007041C" w:rsidRDefault="0007041C" w:rsidP="0007041C">
      <w:pPr>
        <w:ind w:firstLine="360"/>
      </w:pPr>
      <w:r w:rsidRPr="00D52360">
        <w:t>The South Atlantic Headboat Reporting Amendment was implemented on January 27, 2014, and</w:t>
      </w:r>
      <w:r>
        <w:t xml:space="preserve"> </w:t>
      </w:r>
      <w:r w:rsidRPr="00D52360">
        <w:t>requires that all federally-permitted headboats on the South Atlantic report their landings</w:t>
      </w:r>
      <w:r>
        <w:t xml:space="preserve"> </w:t>
      </w:r>
      <w:r w:rsidRPr="00D52360">
        <w:t>information electronically, and on a weekly basis in order to improve the timeliness and accuracy</w:t>
      </w:r>
      <w:r>
        <w:t xml:space="preserve"> </w:t>
      </w:r>
      <w:r w:rsidRPr="00D52360">
        <w:t>of harvest data.</w:t>
      </w:r>
    </w:p>
    <w:p w14:paraId="3E319A33" w14:textId="77777777" w:rsidR="0007041C" w:rsidRDefault="0007041C" w:rsidP="0007041C"/>
    <w:p w14:paraId="0FF559AB" w14:textId="77777777" w:rsidR="0007041C" w:rsidRDefault="0007041C" w:rsidP="0007041C">
      <w:pPr>
        <w:ind w:firstLine="360"/>
      </w:pPr>
      <w:r w:rsidRPr="000E374B">
        <w:t xml:space="preserve">The Generic Dealer Reporting Amendment, which became effective on August 7, 2014, established one dealer permit for the Gulf </w:t>
      </w:r>
      <w:r>
        <w:t>of Mexico and South Atlantic r</w:t>
      </w:r>
      <w:r w:rsidRPr="000E374B">
        <w:t>egions and increase</w:t>
      </w:r>
      <w:r>
        <w:t>d</w:t>
      </w:r>
      <w:r w:rsidRPr="000E374B">
        <w:t xml:space="preserve"> the reporting frequency requirements for species managed by the Gulf of Mexico and South Atlantic Councils.  This amendment is expected to improve fisheries data collection</w:t>
      </w:r>
      <w:r>
        <w:t>,</w:t>
      </w:r>
      <w:r w:rsidRPr="000E374B">
        <w:t xml:space="preserve"> through more timely and accurate dealer reporting</w:t>
      </w:r>
      <w:r>
        <w:t>, and streamline</w:t>
      </w:r>
      <w:r w:rsidRPr="000E374B">
        <w:t xml:space="preserve"> the dealer permit system. </w:t>
      </w:r>
    </w:p>
    <w:p w14:paraId="527D9F01" w14:textId="77777777" w:rsidR="0007041C" w:rsidRDefault="0007041C" w:rsidP="0007041C"/>
    <w:p w14:paraId="77E785CE" w14:textId="77777777" w:rsidR="0007041C" w:rsidRDefault="0007041C" w:rsidP="0007041C">
      <w:pPr>
        <w:ind w:firstLine="270"/>
      </w:pPr>
      <w:r w:rsidRPr="004D7368">
        <w:t xml:space="preserve">Amendment 29 to the Snapper Grouper FMP, which became effective on July 1, 2015, updated the South Atlantic Council’s acceptable biological catch </w:t>
      </w:r>
      <w:r>
        <w:t xml:space="preserve">(ABC) </w:t>
      </w:r>
      <w:r w:rsidRPr="004D7368">
        <w:t>control rule to incorporate methodology for determining the ABC of “Only Reliable Catch Stocks”; (2) adjusted</w:t>
      </w:r>
    </w:p>
    <w:p w14:paraId="3849D7CF" w14:textId="08053822" w:rsidR="0007041C" w:rsidRPr="004D7368" w:rsidRDefault="0007041C" w:rsidP="0007041C">
      <w:pPr>
        <w:ind w:firstLine="270"/>
      </w:pPr>
      <w:r w:rsidRPr="004D7368">
        <w:lastRenderedPageBreak/>
        <w:t>ABCs for the affected unassessed species; (3) specified annual catch limits (ACLs) for 7 species based on the updated ABCs; and (4) modified management measures for gray triggerfish in federal waters of the South Atlantic region.</w:t>
      </w:r>
    </w:p>
    <w:p w14:paraId="03E8F000" w14:textId="77777777" w:rsidR="0007041C" w:rsidRDefault="0007041C" w:rsidP="0007041C"/>
    <w:p w14:paraId="1A4BF4A3" w14:textId="058C32CB" w:rsidR="0007041C" w:rsidRDefault="0007041C" w:rsidP="0007041C">
      <w:pPr>
        <w:ind w:firstLine="360"/>
      </w:pPr>
      <w:r>
        <w:t>The Generic Accountability Measures (AM) and Dolphin Allocation Amendment, in part, modified AMs for snapper grouper species (including mutton snapper) to make them more consistent with AMs already implemented for other species and other FMPs.  The regulations became effective on February 22, 2016.</w:t>
      </w:r>
    </w:p>
    <w:p w14:paraId="6EF4D360" w14:textId="77777777" w:rsidR="0007041C" w:rsidRPr="006369E7" w:rsidRDefault="0007041C" w:rsidP="0007041C">
      <w:pPr>
        <w:rPr>
          <w:rFonts w:eastAsia="Calibri"/>
          <w:lang w:bidi="en-US"/>
        </w:rPr>
      </w:pPr>
    </w:p>
    <w:p w14:paraId="415DF2A0" w14:textId="77777777" w:rsidR="0007041C" w:rsidRPr="00615554" w:rsidRDefault="0007041C" w:rsidP="0007041C">
      <w:pPr>
        <w:rPr>
          <w:rStyle w:val="A4"/>
          <w:u w:val="single"/>
        </w:rPr>
      </w:pPr>
      <w:r w:rsidRPr="006369E7">
        <w:rPr>
          <w:rFonts w:eastAsia="Calibri"/>
          <w:b/>
          <w:i/>
          <w:lang w:bidi="en-US"/>
        </w:rPr>
        <w:t>Present Actions</w:t>
      </w:r>
    </w:p>
    <w:p w14:paraId="4C31BB91" w14:textId="77777777" w:rsidR="0007041C" w:rsidRDefault="0007041C" w:rsidP="0007041C">
      <w:pPr>
        <w:rPr>
          <w:rStyle w:val="A4"/>
        </w:rPr>
      </w:pPr>
    </w:p>
    <w:p w14:paraId="2AF5828B" w14:textId="77777777" w:rsidR="0007041C" w:rsidRDefault="0007041C" w:rsidP="0007041C">
      <w:pPr>
        <w:ind w:firstLine="360"/>
      </w:pPr>
      <w:r>
        <w:t xml:space="preserve">Amendment 36 to the Snapper Grouper FMP would establish new Spawning Special Management Zones (SMZ) to protect spawning areas for snapper grouper species. </w:t>
      </w:r>
    </w:p>
    <w:p w14:paraId="279DD24F" w14:textId="77777777" w:rsidR="0007041C" w:rsidRPr="004D7368" w:rsidRDefault="0007041C" w:rsidP="0007041C">
      <w:pPr>
        <w:rPr>
          <w:rStyle w:val="A4"/>
        </w:rPr>
      </w:pPr>
    </w:p>
    <w:p w14:paraId="6C99E2EF" w14:textId="77777777" w:rsidR="0007041C" w:rsidRDefault="0007041C" w:rsidP="0007041C">
      <w:pPr>
        <w:rPr>
          <w:rFonts w:eastAsia="Calibri"/>
          <w:b/>
          <w:i/>
        </w:rPr>
      </w:pPr>
      <w:r w:rsidRPr="006369E7">
        <w:rPr>
          <w:rFonts w:eastAsia="Calibri"/>
          <w:b/>
          <w:i/>
        </w:rPr>
        <w:t>Reasonably Foreseeable Future Actions</w:t>
      </w:r>
    </w:p>
    <w:p w14:paraId="66A3DA8A" w14:textId="77777777" w:rsidR="0007041C" w:rsidRPr="00AB3CA7" w:rsidRDefault="0007041C" w:rsidP="0007041C">
      <w:pPr>
        <w:rPr>
          <w:rFonts w:eastAsia="Calibri"/>
          <w:b/>
        </w:rPr>
      </w:pPr>
    </w:p>
    <w:p w14:paraId="3703D9BE" w14:textId="77777777" w:rsidR="0007041C" w:rsidRDefault="0007041C" w:rsidP="0007041C">
      <w:pPr>
        <w:ind w:firstLine="360"/>
        <w:rPr>
          <w:rFonts w:eastAsia="Calibri"/>
        </w:rPr>
      </w:pPr>
      <w:r w:rsidRPr="00AB3CA7">
        <w:rPr>
          <w:rFonts w:eastAsia="Calibri"/>
        </w:rPr>
        <w:t xml:space="preserve">The Vision Blueprint Recreational Amendment for the Snapper Grouper Fishery of the South Atlantic </w:t>
      </w:r>
      <w:r>
        <w:rPr>
          <w:rFonts w:eastAsia="Calibri"/>
        </w:rPr>
        <w:t xml:space="preserve">considers actions to evaluate and modify the composition of the recreational aggregate snapper bag limit, recreational aggregate grouper bag limit, and the recreational aggregate for species without a bag limit.  The amendment would also consider modifying the current recreational prohibition on harvest and possession of shallow water groupers, remove the recreational minimum size limit for deepwater species, and modify the recreational minimum size limit for black sea bass. </w:t>
      </w:r>
    </w:p>
    <w:p w14:paraId="29C5204C" w14:textId="77777777" w:rsidR="0007041C" w:rsidRDefault="0007041C" w:rsidP="0007041C">
      <w:pPr>
        <w:rPr>
          <w:rFonts w:eastAsia="Calibri"/>
        </w:rPr>
      </w:pPr>
    </w:p>
    <w:p w14:paraId="0A74C806" w14:textId="77777777" w:rsidR="0007041C" w:rsidRPr="00AB3CA7" w:rsidRDefault="0007041C" w:rsidP="0007041C">
      <w:pPr>
        <w:ind w:firstLine="360"/>
        <w:rPr>
          <w:rFonts w:eastAsia="Calibri"/>
        </w:rPr>
      </w:pPr>
      <w:r>
        <w:rPr>
          <w:rFonts w:eastAsia="Calibri"/>
        </w:rPr>
        <w:t xml:space="preserve">The Vision Blueprint Commercial Amendment for the Snapper Grouper Fishery of the South Atlantic is currently under development. </w:t>
      </w:r>
    </w:p>
    <w:p w14:paraId="3D2A3B70" w14:textId="77777777" w:rsidR="0007041C" w:rsidRDefault="0007041C" w:rsidP="0007041C">
      <w:pPr>
        <w:rPr>
          <w:rFonts w:eastAsia="Calibri"/>
          <w:b/>
          <w:i/>
        </w:rPr>
      </w:pPr>
    </w:p>
    <w:p w14:paraId="18370671" w14:textId="77777777" w:rsidR="0007041C" w:rsidRDefault="0007041C" w:rsidP="0007041C">
      <w:pPr>
        <w:ind w:firstLine="360"/>
      </w:pPr>
      <w:r>
        <w:t xml:space="preserve">The </w:t>
      </w:r>
      <w:r w:rsidRPr="00615554">
        <w:t xml:space="preserve">Bycatch </w:t>
      </w:r>
      <w:r>
        <w:t>Reporting</w:t>
      </w:r>
      <w:r w:rsidRPr="00615554">
        <w:t xml:space="preserve"> Amendment</w:t>
      </w:r>
      <w:r>
        <w:t xml:space="preserve"> contains an action to improve bycatch reporting for the snapper grouper fishery. </w:t>
      </w:r>
    </w:p>
    <w:p w14:paraId="11FECCDC" w14:textId="77777777" w:rsidR="0007041C" w:rsidRDefault="0007041C" w:rsidP="0007041C"/>
    <w:p w14:paraId="7705C30C" w14:textId="5C01D787" w:rsidR="0007041C" w:rsidRPr="0007041C" w:rsidRDefault="0007041C" w:rsidP="0007041C">
      <w:pPr>
        <w:ind w:firstLine="360"/>
      </w:pPr>
      <w:r w:rsidRPr="0007041C">
        <w:t>The For-Hire Permit Limited Entry Amendment for the Snapper Grouper Fishery of the South Atlantic is considering actions to limit access for three open-access charter vessel/headboat permits (Snapper-Grouper FMP, Coastal Migratory Pelagics Fishery of the Atlantic, and Dolphin Wahoo Fishery of the Atlantic).</w:t>
      </w:r>
    </w:p>
    <w:p w14:paraId="3318AD3B" w14:textId="77777777" w:rsidR="0007041C" w:rsidRDefault="0007041C" w:rsidP="0007041C"/>
    <w:p w14:paraId="54BA6C4D" w14:textId="77777777" w:rsidR="0007041C" w:rsidRPr="00EB0FF0" w:rsidRDefault="0007041C" w:rsidP="0007041C">
      <w:pPr>
        <w:ind w:firstLine="360"/>
      </w:pPr>
      <w:r>
        <w:t xml:space="preserve">A </w:t>
      </w:r>
      <w:r w:rsidRPr="00EB0FF0">
        <w:t xml:space="preserve">Joint Commercial Logbook Reporting Amendment </w:t>
      </w:r>
      <w:r>
        <w:t>would</w:t>
      </w:r>
      <w:r w:rsidRPr="00EB0FF0">
        <w:t xml:space="preserve"> require electronic reporting of </w:t>
      </w:r>
      <w:r>
        <w:t>logbook</w:t>
      </w:r>
      <w:r w:rsidRPr="00EB0FF0">
        <w:t xml:space="preserve"> information by federally-permitted vessels. </w:t>
      </w:r>
    </w:p>
    <w:p w14:paraId="0ED9A4D6" w14:textId="77777777" w:rsidR="0007041C" w:rsidRPr="00EB0FF0" w:rsidRDefault="0007041C" w:rsidP="0007041C"/>
    <w:p w14:paraId="4E955792" w14:textId="77777777" w:rsidR="0007041C" w:rsidRDefault="0007041C" w:rsidP="0007041C">
      <w:pPr>
        <w:ind w:firstLine="360"/>
      </w:pPr>
      <w:r w:rsidRPr="00EB0FF0">
        <w:t xml:space="preserve">The Joint </w:t>
      </w:r>
      <w:r>
        <w:t>Charter Boat Reporting</w:t>
      </w:r>
      <w:r w:rsidRPr="00EB0FF0">
        <w:t xml:space="preserve"> Amendment would requir</w:t>
      </w:r>
      <w:r>
        <w:t xml:space="preserve">e </w:t>
      </w:r>
      <w:r w:rsidRPr="00EB0FF0">
        <w:t>charter vessels to regularly report their landings information electronically.  Including charter boats in the recreational harvest reporting system would further improve the agency’s ability to monitor recreational catch rates in-season.</w:t>
      </w:r>
    </w:p>
    <w:p w14:paraId="524D4DDC" w14:textId="77777777" w:rsidR="0007041C" w:rsidRDefault="0007041C" w:rsidP="0007041C"/>
    <w:p w14:paraId="4DB62CCF" w14:textId="77777777" w:rsidR="0007041C" w:rsidRDefault="0007041C" w:rsidP="0007041C">
      <w:pPr>
        <w:rPr>
          <w:rFonts w:eastAsia="Calibri"/>
          <w:b/>
          <w:bCs/>
          <w:i/>
        </w:rPr>
      </w:pPr>
    </w:p>
    <w:p w14:paraId="60E1E813" w14:textId="77777777" w:rsidR="0007041C" w:rsidRDefault="0007041C" w:rsidP="0007041C">
      <w:pPr>
        <w:rPr>
          <w:rFonts w:eastAsia="Calibri"/>
          <w:b/>
          <w:bCs/>
          <w:i/>
        </w:rPr>
      </w:pPr>
    </w:p>
    <w:p w14:paraId="7AB0D83F" w14:textId="77777777" w:rsidR="0007041C" w:rsidRDefault="0007041C" w:rsidP="0007041C">
      <w:pPr>
        <w:rPr>
          <w:rFonts w:eastAsia="Calibri"/>
          <w:b/>
          <w:bCs/>
          <w:i/>
        </w:rPr>
      </w:pPr>
      <w:r w:rsidRPr="00D809E8">
        <w:rPr>
          <w:rFonts w:eastAsia="Calibri"/>
          <w:b/>
          <w:bCs/>
          <w:i/>
        </w:rPr>
        <w:lastRenderedPageBreak/>
        <w:t>Expected Impacts from Past, Present, and Future Actions</w:t>
      </w:r>
    </w:p>
    <w:p w14:paraId="6D64D53B" w14:textId="77777777" w:rsidR="0007041C" w:rsidRDefault="0007041C" w:rsidP="0007041C">
      <w:pPr>
        <w:rPr>
          <w:rFonts w:eastAsia="Calibri"/>
          <w:b/>
          <w:bCs/>
          <w:i/>
        </w:rPr>
      </w:pPr>
    </w:p>
    <w:p w14:paraId="50552B73" w14:textId="77777777" w:rsidR="0007041C" w:rsidRPr="00597A11" w:rsidRDefault="0007041C" w:rsidP="0007041C">
      <w:pPr>
        <w:ind w:firstLine="360"/>
      </w:pPr>
      <w:r w:rsidRPr="00597A11">
        <w:t xml:space="preserve">Actions in Amendment 41 that address the mutton snapper segment of the snapper grouper fishery, together or separately, are not expected to result in significant cumulative adverse biological or socio-economic effects.  All of the proposed, or recently implemented management actions affecting mutton snapper within the snapper grouper fishery, are intended to improve management of the snapper grouper resource, while minimizing, to the maximum extent practicable, adverse social and economic impacts.  </w:t>
      </w:r>
    </w:p>
    <w:p w14:paraId="6E70ADB8" w14:textId="77777777" w:rsidR="0007041C" w:rsidRPr="00597A11" w:rsidRDefault="0007041C" w:rsidP="0007041C"/>
    <w:p w14:paraId="73C56EF7" w14:textId="77777777" w:rsidR="0007041C" w:rsidRPr="00597A11" w:rsidRDefault="0007041C" w:rsidP="0007041C">
      <w:pPr>
        <w:ind w:firstLine="360"/>
      </w:pPr>
      <w:r w:rsidRPr="00597A11">
        <w:t xml:space="preserve">The effects of the actions (revise the ACL and optimum yield, revise the recreational annual catch target, designate spawning months, modify the recreational bag limit and the commercial trip limit for the mutton snapper component of the snapper grouper fishery) would </w:t>
      </w:r>
      <w:r>
        <w:t>limit</w:t>
      </w:r>
      <w:r w:rsidRPr="00CA651B">
        <w:t xml:space="preserve"> fishing opportunities </w:t>
      </w:r>
      <w:r w:rsidRPr="00597A11">
        <w:t>to mutton snapper in the South Atlantic region</w:t>
      </w:r>
      <w:r>
        <w:t xml:space="preserve"> in the short-term</w:t>
      </w:r>
      <w:r w:rsidRPr="00597A11">
        <w:t xml:space="preserve">.  However, </w:t>
      </w:r>
      <w:r w:rsidRPr="00597A11">
        <w:rPr>
          <w:color w:val="000000"/>
        </w:rPr>
        <w:t xml:space="preserve">in general, biological </w:t>
      </w:r>
      <w:r>
        <w:rPr>
          <w:color w:val="000000"/>
        </w:rPr>
        <w:t xml:space="preserve">and socio-economic </w:t>
      </w:r>
      <w:r w:rsidRPr="00597A11">
        <w:rPr>
          <w:color w:val="000000"/>
        </w:rPr>
        <w:t>benefits would result from limiting harvest</w:t>
      </w:r>
      <w:r>
        <w:rPr>
          <w:color w:val="000000"/>
        </w:rPr>
        <w:t xml:space="preserve"> over time.  </w:t>
      </w:r>
      <w:r>
        <w:t xml:space="preserve">Improved stock health </w:t>
      </w:r>
      <w:r w:rsidRPr="00597A11">
        <w:rPr>
          <w:color w:val="000000"/>
        </w:rPr>
        <w:t>will be associated with more fish being available for harvest</w:t>
      </w:r>
      <w:r>
        <w:rPr>
          <w:color w:val="000000"/>
        </w:rPr>
        <w:t>, which</w:t>
      </w:r>
      <w:r>
        <w:t xml:space="preserve"> would subsequently </w:t>
      </w:r>
      <w:r w:rsidRPr="00CA651B">
        <w:t xml:space="preserve">improve prospects for sustained participation in the respective fisheries </w:t>
      </w:r>
      <w:r>
        <w:rPr>
          <w:color w:val="000000"/>
        </w:rPr>
        <w:t xml:space="preserve">to </w:t>
      </w:r>
      <w:r w:rsidRPr="00597A11">
        <w:rPr>
          <w:color w:val="000000"/>
        </w:rPr>
        <w:t>fishermen and coastal communities</w:t>
      </w:r>
      <w:r>
        <w:t xml:space="preserve">.  </w:t>
      </w:r>
      <w:r w:rsidRPr="00597A11">
        <w:rPr>
          <w:b/>
          <w:color w:val="000000"/>
        </w:rPr>
        <w:t xml:space="preserve">Section 3.3 </w:t>
      </w:r>
      <w:r w:rsidRPr="00597A11">
        <w:rPr>
          <w:color w:val="000000"/>
        </w:rPr>
        <w:t>describes the communities and fishermen who may be affected by actions in Amendment 41</w:t>
      </w:r>
    </w:p>
    <w:p w14:paraId="783EF522" w14:textId="77777777" w:rsidR="0007041C" w:rsidRPr="00597A11" w:rsidRDefault="0007041C" w:rsidP="0007041C"/>
    <w:p w14:paraId="224F1FDA" w14:textId="77777777" w:rsidR="0007041C" w:rsidRDefault="0007041C" w:rsidP="0007041C">
      <w:pPr>
        <w:ind w:firstLine="360"/>
      </w:pPr>
      <w:r w:rsidRPr="00597A11">
        <w:t>When combined with the impacts of past, present, and future actions affecting the snapper grouper fishery, specifically mutton snapper, minor cumulative impacts are likely to accrue, such as increased management control for designated fishing zones, and socioecomic benefits associated with improved management strategies.  The South Atlantic Council amendments intended to increase the frequency of reporting by dealers and fishermen are likely to benefit the human environment through more timely biological protections and unnecessary delay in data availability, leading to more stable market conditions.  Therefore, the likely cumulative socioeconomic effects would be improved commercial and recreational fishing opportunities, and benefits to associated businesses and communities.</w:t>
      </w:r>
    </w:p>
    <w:p w14:paraId="5085A378" w14:textId="77777777" w:rsidR="0007041C" w:rsidRPr="00597A11" w:rsidRDefault="0007041C" w:rsidP="0007041C"/>
    <w:p w14:paraId="31DD120E" w14:textId="77777777" w:rsidR="0007041C" w:rsidRPr="0007041C" w:rsidRDefault="0007041C" w:rsidP="0007041C">
      <w:pPr>
        <w:rPr>
          <w:rFonts w:ascii="Arial" w:eastAsia="Calibri" w:hAnsi="Arial" w:cs="Arial"/>
          <w:b/>
          <w:sz w:val="28"/>
          <w:szCs w:val="28"/>
        </w:rPr>
      </w:pPr>
      <w:bookmarkStart w:id="380" w:name="_Toc396384805"/>
      <w:r w:rsidRPr="0007041C">
        <w:rPr>
          <w:rFonts w:ascii="Arial" w:eastAsia="Calibri" w:hAnsi="Arial" w:cs="Arial"/>
          <w:b/>
          <w:sz w:val="28"/>
          <w:szCs w:val="28"/>
        </w:rPr>
        <w:t xml:space="preserve">6.3 </w:t>
      </w:r>
      <w:r w:rsidRPr="0007041C">
        <w:rPr>
          <w:rFonts w:ascii="Arial" w:eastAsia="Calibri" w:hAnsi="Arial" w:cs="Arial"/>
          <w:b/>
          <w:sz w:val="28"/>
          <w:szCs w:val="28"/>
        </w:rPr>
        <w:tab/>
        <w:t>Consideration of Climate Change and Other Non-Fishery Related Issues</w:t>
      </w:r>
    </w:p>
    <w:bookmarkEnd w:id="380"/>
    <w:p w14:paraId="090A664D" w14:textId="77777777" w:rsidR="0007041C" w:rsidRDefault="0007041C" w:rsidP="0007041C">
      <w:pPr>
        <w:rPr>
          <w:rFonts w:ascii="Arial" w:eastAsia="Calibri" w:hAnsi="Arial"/>
          <w:b/>
          <w:bCs/>
          <w:iCs/>
          <w:sz w:val="28"/>
          <w:szCs w:val="28"/>
        </w:rPr>
      </w:pPr>
    </w:p>
    <w:p w14:paraId="6F0348D3" w14:textId="77777777" w:rsidR="0007041C" w:rsidRDefault="0007041C" w:rsidP="0007041C">
      <w:pPr>
        <w:rPr>
          <w:rFonts w:eastAsia="Calibri"/>
          <w:b/>
          <w:bCs/>
          <w:i/>
          <w:color w:val="000000"/>
        </w:rPr>
      </w:pPr>
      <w:r w:rsidRPr="00E04D3F">
        <w:rPr>
          <w:rFonts w:eastAsia="Calibri"/>
          <w:b/>
          <w:bCs/>
          <w:i/>
          <w:color w:val="000000"/>
        </w:rPr>
        <w:t xml:space="preserve">Climate Change </w:t>
      </w:r>
    </w:p>
    <w:p w14:paraId="6C0DB0F9" w14:textId="77777777" w:rsidR="0007041C" w:rsidRPr="00E04D3F" w:rsidRDefault="0007041C" w:rsidP="0007041C">
      <w:pPr>
        <w:rPr>
          <w:rFonts w:eastAsia="Calibri"/>
          <w:b/>
          <w:bCs/>
          <w:i/>
          <w:color w:val="000000"/>
        </w:rPr>
      </w:pPr>
    </w:p>
    <w:p w14:paraId="644B3711" w14:textId="77777777" w:rsidR="0007041C" w:rsidRPr="00CC0A79" w:rsidRDefault="0007041C" w:rsidP="0007041C">
      <w:pPr>
        <w:ind w:firstLine="360"/>
        <w:rPr>
          <w:rFonts w:eastAsia="Calibri"/>
          <w:bCs/>
          <w:color w:val="000000"/>
        </w:rPr>
      </w:pPr>
      <w:r w:rsidRPr="00CC0A79">
        <w:t>Global climate changes could have significant effects on South Atlantic fisheries</w:t>
      </w:r>
      <w:r w:rsidRPr="00D52360">
        <w:rPr>
          <w:iCs/>
        </w:rPr>
        <w:t xml:space="preserve">, </w:t>
      </w:r>
      <w:r>
        <w:rPr>
          <w:iCs/>
        </w:rPr>
        <w:t xml:space="preserve">though </w:t>
      </w:r>
      <w:r w:rsidRPr="00D52360">
        <w:rPr>
          <w:iCs/>
        </w:rPr>
        <w:t>the extent of these effects</w:t>
      </w:r>
      <w:r>
        <w:rPr>
          <w:iCs/>
        </w:rPr>
        <w:t xml:space="preserve"> on the snapper grouper fishery </w:t>
      </w:r>
      <w:r w:rsidRPr="00D52360">
        <w:rPr>
          <w:iCs/>
        </w:rPr>
        <w:t>is not known at this time</w:t>
      </w:r>
      <w:r w:rsidRPr="00CC0A79">
        <w:t xml:space="preserve">.  </w:t>
      </w:r>
      <w:r w:rsidRPr="00CC0A79">
        <w:rPr>
          <w:rFonts w:eastAsia="Calibri"/>
          <w:bCs/>
          <w:color w:val="000000"/>
        </w:rPr>
        <w:t>The Environmental Protection Agency’s climate change webpage (</w:t>
      </w:r>
      <w:hyperlink r:id="rId75" w:history="1">
        <w:r w:rsidRPr="00CC0A79">
          <w:rPr>
            <w:rStyle w:val="Hyperlink"/>
          </w:rPr>
          <w:t>https://www.epa.gov/climate-indicators/marine-species-distribution</w:t>
        </w:r>
      </w:hyperlink>
      <w:r w:rsidRPr="00CC0A79">
        <w:rPr>
          <w:rFonts w:eastAsia="Calibri"/>
          <w:bCs/>
          <w:color w:val="000000"/>
        </w:rPr>
        <w:t>)</w:t>
      </w:r>
      <w:r>
        <w:rPr>
          <w:rFonts w:eastAsia="Calibri"/>
          <w:bCs/>
          <w:color w:val="000000"/>
        </w:rPr>
        <w:t>,</w:t>
      </w:r>
      <w:r w:rsidRPr="00CC0A79">
        <w:rPr>
          <w:rFonts w:eastAsia="Calibri"/>
          <w:bCs/>
          <w:color w:val="000000"/>
        </w:rPr>
        <w:t xml:space="preserve"> </w:t>
      </w:r>
      <w:r>
        <w:rPr>
          <w:rFonts w:eastAsia="Calibri"/>
          <w:bCs/>
          <w:color w:val="000000"/>
        </w:rPr>
        <w:t>and NOAA’s Office of Science and Technology climate webpage (</w:t>
      </w:r>
      <w:hyperlink r:id="rId76" w:history="1">
        <w:r w:rsidRPr="006F2DC4">
          <w:rPr>
            <w:rStyle w:val="Hyperlink"/>
            <w:rFonts w:eastAsia="Calibri"/>
          </w:rPr>
          <w:t>https://www.st.nmfs.noaa.gov/ecosystems/climate/index</w:t>
        </w:r>
      </w:hyperlink>
      <w:r>
        <w:rPr>
          <w:rFonts w:eastAsia="Calibri"/>
          <w:bCs/>
          <w:color w:val="000000"/>
        </w:rPr>
        <w:t xml:space="preserve">), </w:t>
      </w:r>
      <w:r w:rsidRPr="00CC0A79">
        <w:rPr>
          <w:rFonts w:eastAsia="Calibri"/>
          <w:bCs/>
          <w:color w:val="000000"/>
        </w:rPr>
        <w:t>provides background information on climate change</w:t>
      </w:r>
      <w:r>
        <w:rPr>
          <w:rFonts w:eastAsia="Calibri"/>
          <w:bCs/>
          <w:color w:val="000000"/>
        </w:rPr>
        <w:t>, including</w:t>
      </w:r>
      <w:r w:rsidRPr="00CC0A79">
        <w:rPr>
          <w:rFonts w:eastAsia="Calibri"/>
          <w:bCs/>
          <w:color w:val="000000"/>
        </w:rPr>
        <w:t xml:space="preserve"> indicators which measure or anticipate effects on oceans, weather and climate, ecosystems, health and society, and greenhouse gases.  The United Nations Intergovernmental Panel on Climate Change’s Fifth Assessment Report also provides a compilation of scientific information on climate change (</w:t>
      </w:r>
      <w:r w:rsidRPr="00CC0A79">
        <w:t>November 2, 2014</w:t>
      </w:r>
      <w:r w:rsidRPr="00CC0A79">
        <w:rPr>
          <w:rFonts w:eastAsia="Calibri"/>
          <w:bCs/>
          <w:color w:val="000000"/>
        </w:rPr>
        <w:t xml:space="preserve">).  </w:t>
      </w:r>
      <w:r>
        <w:rPr>
          <w:rFonts w:eastAsia="Calibri"/>
          <w:bCs/>
          <w:color w:val="000000"/>
        </w:rPr>
        <w:t>Those findings are summarized below.</w:t>
      </w:r>
      <w:r w:rsidRPr="006369E7">
        <w:rPr>
          <w:rFonts w:eastAsia="Calibri"/>
          <w:bCs/>
          <w:color w:val="000000"/>
        </w:rPr>
        <w:t xml:space="preserve"> </w:t>
      </w:r>
    </w:p>
    <w:p w14:paraId="348C75B2" w14:textId="77777777" w:rsidR="0007041C" w:rsidRPr="00CC0A79" w:rsidRDefault="0007041C" w:rsidP="0007041C">
      <w:pPr>
        <w:rPr>
          <w:rFonts w:eastAsia="Calibri"/>
          <w:bCs/>
          <w:color w:val="000000"/>
        </w:rPr>
      </w:pPr>
    </w:p>
    <w:p w14:paraId="0B8C046F" w14:textId="77777777" w:rsidR="0007041C" w:rsidRPr="00CC0A79" w:rsidRDefault="0007041C" w:rsidP="0007041C">
      <w:pPr>
        <w:ind w:firstLine="360"/>
      </w:pPr>
      <w:r>
        <w:rPr>
          <w:rFonts w:eastAsia="Calibri"/>
          <w:bCs/>
          <w:color w:val="000000"/>
        </w:rPr>
        <w:t>Ocean acidification</w:t>
      </w:r>
      <w:r w:rsidRPr="00CC0A79">
        <w:rPr>
          <w:rFonts w:eastAsia="Calibri"/>
          <w:bCs/>
          <w:color w:val="000000"/>
        </w:rPr>
        <w:t xml:space="preserve">, or a decrease in surface ocean pH due to absorption of anthropogenic carbon dioxide emissions, affects the chemistry and temperature of the water. </w:t>
      </w:r>
      <w:r>
        <w:rPr>
          <w:rFonts w:eastAsia="Calibri"/>
          <w:bCs/>
          <w:color w:val="000000"/>
        </w:rPr>
        <w:t xml:space="preserve"> Increased thermal stratification alters o</w:t>
      </w:r>
      <w:r w:rsidRPr="00CC0A79">
        <w:t xml:space="preserve">cean </w:t>
      </w:r>
      <w:r w:rsidRPr="00CC0A79">
        <w:rPr>
          <w:rFonts w:eastAsia="Calibri"/>
          <w:color w:val="000000"/>
        </w:rPr>
        <w:t>circulation patterns</w:t>
      </w:r>
      <w:r>
        <w:rPr>
          <w:rFonts w:eastAsia="Calibri"/>
          <w:color w:val="000000"/>
        </w:rPr>
        <w:t>, and</w:t>
      </w:r>
      <w:r w:rsidRPr="00CC0A79">
        <w:rPr>
          <w:rFonts w:eastAsia="Calibri"/>
          <w:color w:val="000000"/>
        </w:rPr>
        <w:t xml:space="preserve"> </w:t>
      </w:r>
      <w:r>
        <w:rPr>
          <w:rFonts w:eastAsia="Calibri"/>
          <w:color w:val="000000"/>
        </w:rPr>
        <w:t xml:space="preserve">causes </w:t>
      </w:r>
      <w:r w:rsidRPr="00CC0A79">
        <w:rPr>
          <w:rFonts w:eastAsia="Calibri"/>
          <w:color w:val="000000"/>
        </w:rPr>
        <w:t>a l</w:t>
      </w:r>
      <w:r w:rsidRPr="00CC0A79">
        <w:rPr>
          <w:rFonts w:eastAsia="Calibri"/>
          <w:bCs/>
          <w:color w:val="000000"/>
        </w:rPr>
        <w:t>oss of sea ice, sea level rise, increase</w:t>
      </w:r>
      <w:r>
        <w:rPr>
          <w:rFonts w:eastAsia="Calibri"/>
          <w:bCs/>
          <w:color w:val="000000"/>
        </w:rPr>
        <w:t>d</w:t>
      </w:r>
      <w:r w:rsidRPr="00CC0A79">
        <w:rPr>
          <w:rFonts w:eastAsia="Calibri"/>
          <w:bCs/>
          <w:color w:val="000000"/>
        </w:rPr>
        <w:t xml:space="preserve"> wave height and frequency, reduced upwelling, </w:t>
      </w:r>
      <w:r>
        <w:rPr>
          <w:rFonts w:eastAsia="Calibri"/>
          <w:bCs/>
          <w:color w:val="000000"/>
        </w:rPr>
        <w:t>and c</w:t>
      </w:r>
      <w:r w:rsidRPr="00CC0A79">
        <w:rPr>
          <w:rFonts w:eastAsia="Calibri"/>
          <w:bCs/>
          <w:color w:val="000000"/>
        </w:rPr>
        <w:t xml:space="preserve">hanges in </w:t>
      </w:r>
      <w:r w:rsidRPr="00CC0A79">
        <w:t xml:space="preserve">precipitation </w:t>
      </w:r>
      <w:r>
        <w:t xml:space="preserve">and wind </w:t>
      </w:r>
      <w:r w:rsidRPr="00CC0A79">
        <w:t>patterns</w:t>
      </w:r>
      <w:r>
        <w:t xml:space="preserve">.  Changes </w:t>
      </w:r>
      <w:r w:rsidRPr="00CC0A79">
        <w:t>in</w:t>
      </w:r>
      <w:r>
        <w:t xml:space="preserve"> </w:t>
      </w:r>
      <w:r w:rsidRPr="00CC0A79">
        <w:t xml:space="preserve">coastal and marine ecosystems can influence organism metabolism and alter ecological processes such as productivity, species interactions, </w:t>
      </w:r>
      <w:r w:rsidRPr="00CC0A79">
        <w:rPr>
          <w:rFonts w:eastAsia="Calibri"/>
          <w:bCs/>
          <w:color w:val="000000"/>
        </w:rPr>
        <w:t>migration, range</w:t>
      </w:r>
      <w:r>
        <w:rPr>
          <w:rFonts w:eastAsia="Calibri"/>
          <w:bCs/>
          <w:color w:val="000000"/>
        </w:rPr>
        <w:t xml:space="preserve"> and distribution</w:t>
      </w:r>
      <w:r w:rsidRPr="00CC0A79">
        <w:rPr>
          <w:rFonts w:eastAsia="Calibri"/>
          <w:bCs/>
          <w:color w:val="000000"/>
        </w:rPr>
        <w:t xml:space="preserve">, larval and juvenile survival, prey availability, and susceptibility to predators.  </w:t>
      </w:r>
      <w:r>
        <w:rPr>
          <w:rFonts w:eastAsia="Calibri"/>
          <w:bCs/>
          <w:color w:val="000000"/>
        </w:rPr>
        <w:t xml:space="preserve">The “center of biomass,” a geographical representation of each species’ weight distribution, is being used to identify the shifting of fish populations. </w:t>
      </w:r>
      <w:r w:rsidRPr="00CC0A79">
        <w:rPr>
          <w:rFonts w:eastAsia="Calibri"/>
          <w:bCs/>
          <w:color w:val="000000"/>
        </w:rPr>
        <w:t>Warming sea temperature trends</w:t>
      </w:r>
      <w:r>
        <w:rPr>
          <w:rFonts w:eastAsia="Calibri"/>
          <w:bCs/>
          <w:color w:val="000000"/>
        </w:rPr>
        <w:t xml:space="preserve"> </w:t>
      </w:r>
      <w:r w:rsidRPr="00CC0A79">
        <w:rPr>
          <w:rFonts w:eastAsia="Calibri"/>
          <w:bCs/>
          <w:color w:val="000000"/>
        </w:rPr>
        <w:t xml:space="preserve">in the southeast have been documented, and animals must migrate to cooler waters, if possible, if water temperatures exceed survivable ranges (Needham et al. 2012).  </w:t>
      </w:r>
      <w:r>
        <w:rPr>
          <w:rFonts w:eastAsia="Calibri"/>
          <w:bCs/>
          <w:color w:val="000000"/>
        </w:rPr>
        <w:t xml:space="preserve">Harvesting and habitat changes also cause geographic population shifts.  </w:t>
      </w:r>
      <w:r w:rsidRPr="00CC0A79">
        <w:rPr>
          <w:rFonts w:eastAsia="Calibri"/>
          <w:bCs/>
          <w:color w:val="000000"/>
        </w:rPr>
        <w:t>Changes in water temperatures may also</w:t>
      </w:r>
      <w:r w:rsidRPr="00CC0A79">
        <w:t xml:space="preserve"> affect the distribution of native and exotic species, </w:t>
      </w:r>
      <w:r w:rsidRPr="00CC0A79">
        <w:rPr>
          <w:rFonts w:eastAsia="Calibri"/>
          <w:bCs/>
          <w:color w:val="000000"/>
        </w:rPr>
        <w:t xml:space="preserve">allowing invasive species to establish communities in areas they may not have been able to survive previously.  </w:t>
      </w:r>
      <w:r w:rsidRPr="00CC0A79">
        <w:rPr>
          <w:rFonts w:eastAsia="Calibri"/>
          <w:color w:val="000000"/>
        </w:rPr>
        <w:t xml:space="preserve">The combination of warmer water and expansion of salt marshes inland with sea-level rise may increase productivity of estuarine-dependent species in the short term.  However, in the long term, this increased productivity may be temporary because of loss of fishery habitats due to wetland loss (Kennedy et al. 2002).  </w:t>
      </w:r>
      <w:r w:rsidRPr="00CC0A79">
        <w:rPr>
          <w:rFonts w:eastAsia="Calibri"/>
          <w:bCs/>
          <w:color w:val="000000"/>
        </w:rPr>
        <w:t xml:space="preserve">The </w:t>
      </w:r>
      <w:r>
        <w:rPr>
          <w:rFonts w:eastAsia="Calibri"/>
          <w:bCs/>
          <w:color w:val="000000"/>
        </w:rPr>
        <w:t xml:space="preserve">numerous </w:t>
      </w:r>
      <w:r w:rsidRPr="00CC0A79">
        <w:rPr>
          <w:rFonts w:eastAsia="Calibri"/>
          <w:bCs/>
          <w:color w:val="000000"/>
        </w:rPr>
        <w:t>changes to the marine ecosys</w:t>
      </w:r>
      <w:r>
        <w:rPr>
          <w:rFonts w:eastAsia="Calibri"/>
          <w:bCs/>
          <w:color w:val="000000"/>
        </w:rPr>
        <w:t>t</w:t>
      </w:r>
      <w:r w:rsidRPr="00CC0A79">
        <w:rPr>
          <w:rFonts w:eastAsia="Calibri"/>
          <w:bCs/>
          <w:color w:val="000000"/>
        </w:rPr>
        <w:t xml:space="preserve">em may cause an increased risk </w:t>
      </w:r>
      <w:r w:rsidRPr="00CC0A79">
        <w:t>of disease in marina biota</w:t>
      </w:r>
      <w:r>
        <w:t>.  K</w:t>
      </w:r>
      <w:r w:rsidRPr="00CC0A79">
        <w:t xml:space="preserve">eystone animals such as corals increase the occurrence and intensity of toxic algae blooms, and negatively influence the productivity of critical coastal ecosystems such as wetlands, estuaries, and coral reefs (IPCC 2014; Kennedy et al. 2002). </w:t>
      </w:r>
      <w:r w:rsidRPr="00CC0A79">
        <w:rPr>
          <w:rFonts w:eastAsia="Calibri"/>
          <w:bCs/>
          <w:color w:val="000000"/>
        </w:rPr>
        <w:t xml:space="preserve"> </w:t>
      </w:r>
    </w:p>
    <w:p w14:paraId="1592D6D7" w14:textId="77777777" w:rsidR="0007041C" w:rsidRPr="00CC0A79" w:rsidRDefault="0007041C" w:rsidP="0007041C">
      <w:pPr>
        <w:rPr>
          <w:rFonts w:eastAsia="Calibri"/>
          <w:bCs/>
          <w:color w:val="000000"/>
        </w:rPr>
      </w:pPr>
    </w:p>
    <w:p w14:paraId="3D48B8A4" w14:textId="77777777" w:rsidR="0007041C" w:rsidRPr="00CC0A79" w:rsidRDefault="0007041C" w:rsidP="0007041C">
      <w:pPr>
        <w:ind w:firstLine="360"/>
        <w:rPr>
          <w:rFonts w:eastAsia="Calibri"/>
          <w:bCs/>
          <w:color w:val="000000"/>
        </w:rPr>
      </w:pPr>
      <w:r w:rsidRPr="00CC0A79">
        <w:t xml:space="preserve">Climate change may impact snapper grouper species in the future, but the level of impacts cannot be quantified at this time, nor is the time frame known in which these impacts will occur.  In the near term, it is unlikely that the management measures contained in Amendment 41 would compound or exacerbate the ongoing effects of climate change on snapper grouper species. </w:t>
      </w:r>
    </w:p>
    <w:p w14:paraId="29E050CF" w14:textId="77777777" w:rsidR="0007041C" w:rsidRPr="003871E0" w:rsidRDefault="0007041C" w:rsidP="0007041C">
      <w:pPr>
        <w:rPr>
          <w:rFonts w:eastAsia="Calibri"/>
          <w:bCs/>
          <w:color w:val="000000"/>
          <w:highlight w:val="yellow"/>
        </w:rPr>
      </w:pPr>
    </w:p>
    <w:p w14:paraId="1D88D7E3" w14:textId="77777777" w:rsidR="0007041C" w:rsidRDefault="0007041C" w:rsidP="0007041C">
      <w:pPr>
        <w:rPr>
          <w:rFonts w:eastAsia="Calibri"/>
          <w:b/>
          <w:bCs/>
          <w:i/>
          <w:color w:val="000000"/>
        </w:rPr>
      </w:pPr>
      <w:r w:rsidRPr="001F467F">
        <w:rPr>
          <w:rFonts w:eastAsia="Calibri"/>
          <w:b/>
          <w:bCs/>
          <w:i/>
          <w:color w:val="000000"/>
        </w:rPr>
        <w:t xml:space="preserve">Weather Variables </w:t>
      </w:r>
    </w:p>
    <w:p w14:paraId="25CEEC45" w14:textId="77777777" w:rsidR="0007041C" w:rsidRPr="001F467F" w:rsidRDefault="0007041C" w:rsidP="0007041C">
      <w:pPr>
        <w:rPr>
          <w:rFonts w:eastAsia="Calibri"/>
          <w:b/>
          <w:bCs/>
          <w:i/>
          <w:color w:val="000000"/>
        </w:rPr>
      </w:pPr>
    </w:p>
    <w:p w14:paraId="0E4ACD84" w14:textId="77777777" w:rsidR="0007041C" w:rsidRPr="001F467F" w:rsidRDefault="0007041C" w:rsidP="0007041C">
      <w:pPr>
        <w:ind w:firstLine="360"/>
        <w:rPr>
          <w:rFonts w:eastAsia="Calibri"/>
          <w:color w:val="000000"/>
        </w:rPr>
      </w:pPr>
      <w:r w:rsidRPr="001F467F">
        <w:rPr>
          <w:rFonts w:eastAsia="Calibri"/>
          <w:color w:val="000000"/>
        </w:rPr>
        <w:t xml:space="preserve">Hurricane season is from </w:t>
      </w:r>
      <w:r w:rsidRPr="001F467F">
        <w:rPr>
          <w:rFonts w:eastAsia="Calibri"/>
        </w:rPr>
        <w:t xml:space="preserve">June 1 to November 30, and accounts for 97% of all tropical activity affecting the Atlantic basin.  These storms, although unpredictable in their annual occurrence, can devastate areas when they occur.  </w:t>
      </w:r>
      <w:r w:rsidRPr="001F467F">
        <w:rPr>
          <w:rFonts w:eastAsia="Calibri"/>
          <w:color w:val="000000"/>
        </w:rPr>
        <w:t>Although these effects may be temporary, those fishing-related businesses whose profitability is marginal may go out of business if a hurricane strikes.</w:t>
      </w:r>
    </w:p>
    <w:p w14:paraId="66BAE823" w14:textId="77777777" w:rsidR="0007041C" w:rsidRPr="001F467F" w:rsidRDefault="0007041C" w:rsidP="0007041C">
      <w:pPr>
        <w:rPr>
          <w:rFonts w:eastAsia="Calibri"/>
          <w:color w:val="000000"/>
        </w:rPr>
      </w:pPr>
    </w:p>
    <w:p w14:paraId="2B6886D8" w14:textId="77777777" w:rsidR="0007041C" w:rsidRDefault="0007041C" w:rsidP="0007041C">
      <w:pPr>
        <w:rPr>
          <w:rFonts w:eastAsia="Calibri"/>
          <w:b/>
          <w:i/>
          <w:color w:val="000000"/>
        </w:rPr>
      </w:pPr>
      <w:r w:rsidRPr="001F467F">
        <w:rPr>
          <w:rFonts w:eastAsia="Calibri"/>
          <w:b/>
          <w:i/>
          <w:color w:val="000000"/>
        </w:rPr>
        <w:t>Deepwater-Horizon Oil Spill</w:t>
      </w:r>
    </w:p>
    <w:p w14:paraId="6409D72C" w14:textId="77777777" w:rsidR="0007041C" w:rsidRPr="001F467F" w:rsidRDefault="0007041C" w:rsidP="0007041C">
      <w:pPr>
        <w:rPr>
          <w:rFonts w:eastAsia="Calibri"/>
          <w:b/>
          <w:i/>
          <w:color w:val="000000"/>
        </w:rPr>
      </w:pPr>
    </w:p>
    <w:p w14:paraId="6890907E" w14:textId="77777777" w:rsidR="0007041C" w:rsidRDefault="0007041C" w:rsidP="0007041C">
      <w:pPr>
        <w:ind w:firstLine="360"/>
      </w:pPr>
      <w:bookmarkStart w:id="381" w:name="_Toc396384806"/>
      <w:r w:rsidRPr="00490C04">
        <w:t xml:space="preserve">On April 20, 2010, an explosion occurred on the Deepwater Horizon MC252 oil rig, resulting in the release of an estimated 4.9 million barrels of oil into the Gulf. </w:t>
      </w:r>
      <w:r>
        <w:t xml:space="preserve"> </w:t>
      </w:r>
      <w:r w:rsidRPr="00490C04">
        <w:t>In addition, 1.84 million gallons of Corexit 9500A dispersant were applied as part of the effort to constrain the spill.</w:t>
      </w:r>
      <w:r>
        <w:t xml:space="preserve"> </w:t>
      </w:r>
      <w:r w:rsidRPr="00490C04">
        <w:t xml:space="preserve"> The cumulative effects from the oil spill and response may not be known for several years. </w:t>
      </w:r>
      <w:r>
        <w:t xml:space="preserve"> </w:t>
      </w:r>
      <w:r w:rsidRPr="00490C04">
        <w:t>The oil spill affected more than one-third of the Gulf area from western Louisiana east to the panhandle of Florida and south to the Campeche Bank in Mexico.</w:t>
      </w:r>
      <w:r>
        <w:t xml:space="preserve"> </w:t>
      </w:r>
      <w:r w:rsidRPr="00490C04">
        <w:t xml:space="preserve"> The impacts of the Deepwater Horizon </w:t>
      </w:r>
      <w:r w:rsidRPr="00490C04">
        <w:lastRenderedPageBreak/>
        <w:t xml:space="preserve">MC252 oil spill on the physical environment are expected to be significant and may be long-term. </w:t>
      </w:r>
      <w:r>
        <w:t xml:space="preserve"> </w:t>
      </w:r>
      <w:r w:rsidRPr="00490C04">
        <w:t>Oil is dispersed on the surface, and because of the heavy use of dispersants, oil is also documented as being suspended within the water column, some even deeper than the location of the broken well head.</w:t>
      </w:r>
      <w:r>
        <w:t xml:space="preserve"> </w:t>
      </w:r>
      <w:r w:rsidRPr="00490C04">
        <w:t xml:space="preserve"> Floating and suspended oil washed onto shore in several areas of the Gulf, as well as non-floating tar balls.</w:t>
      </w:r>
      <w:r>
        <w:t xml:space="preserve"> </w:t>
      </w:r>
      <w:r w:rsidRPr="00490C04">
        <w:t xml:space="preserve"> Whereas suspended and floating oil degrades over time, tar balls are more persistent in the environment and can be transported hundreds of miles.</w:t>
      </w:r>
      <w:r>
        <w:t xml:space="preserve"> </w:t>
      </w:r>
      <w:r w:rsidRPr="00490C04">
        <w:t xml:space="preserve"> Oil on the surface of the water could restrict the normal process of atmospheric oxygen mixing into and replenishing oxygen concentrations in the water column. </w:t>
      </w:r>
      <w:r>
        <w:t xml:space="preserve"> </w:t>
      </w:r>
      <w:r w:rsidRPr="00490C04">
        <w:t>In addition, microbes in the water that break down oil and dispersant also consume oxygen; this could lead to further oxygen depletion.</w:t>
      </w:r>
      <w:r>
        <w:t xml:space="preserve"> </w:t>
      </w:r>
      <w:r w:rsidRPr="00490C04">
        <w:t xml:space="preserve"> Zooplankton that feed on algae could also be negatively impacted, thus allowing more of the hypoxia-fueling algae to grow.</w:t>
      </w:r>
      <w:r>
        <w:t xml:space="preserve"> </w:t>
      </w:r>
      <w:r w:rsidRPr="00490C04">
        <w:t xml:space="preserve"> The highest concern is that the oil spill may have impacted spawning success of species that spawn in the summer months, either by reducing spawning activity or by reducing survival of the eggs and larvae. </w:t>
      </w:r>
      <w:r>
        <w:t xml:space="preserve"> </w:t>
      </w:r>
      <w:r w:rsidRPr="00490C04">
        <w:t xml:space="preserve">Effects on the physical environment, such as low oxygen, could lead to impacts on the ability of larvae and post-larvae to survive, even if they never encounter oil. </w:t>
      </w:r>
      <w:r>
        <w:t xml:space="preserve"> </w:t>
      </w:r>
      <w:r w:rsidRPr="00490C04">
        <w:t xml:space="preserve">In addition, effects of oil exposure may create sub-lethal effects on the eggs, larva, and early life stages. </w:t>
      </w:r>
      <w:r>
        <w:t xml:space="preserve"> </w:t>
      </w:r>
      <w:r w:rsidRPr="00490C04">
        <w:t>The stressors could potentially be additive, and each stressor may increase the susceptibility to the harmful effects of the other.</w:t>
      </w:r>
      <w:r>
        <w:t xml:space="preserve"> </w:t>
      </w:r>
      <w:r w:rsidRPr="00490C04">
        <w:t xml:space="preserve"> The oil from the spill site was not detected in the South Atlantic region, and does not likely pose a threat to the South Atlantic species addressed in this amendment. </w:t>
      </w:r>
      <w:r>
        <w:t xml:space="preserve"> </w:t>
      </w:r>
      <w:r w:rsidRPr="00490C04">
        <w:t xml:space="preserve">However, the effects of the oil spill on fish species would be taken into consideration in future Southeast Data Assessment and Review assessments. </w:t>
      </w:r>
      <w:r>
        <w:t xml:space="preserve"> </w:t>
      </w:r>
      <w:r w:rsidRPr="00490C04">
        <w:t>Indirect and inter-related effects on the biological and ecological environment of the fisheries in concert with the Deepwater Horizon MC252 oil spill are not well understood.</w:t>
      </w:r>
      <w:r>
        <w:t xml:space="preserve"> </w:t>
      </w:r>
      <w:r w:rsidRPr="00490C04">
        <w:t xml:space="preserve"> Changes in the population size structure could result from shifting fishing effort to specific geographic segments of populations, combined with any anthropogenically induced natural mortality that may occur from the impacts of the oil spill. </w:t>
      </w:r>
      <w:r>
        <w:t xml:space="preserve"> </w:t>
      </w:r>
      <w:r w:rsidRPr="00490C04">
        <w:t>The impacts on the food web from phytoplankton, to zooplankton, to mollusks, to top predators may be significant in the future.</w:t>
      </w:r>
    </w:p>
    <w:p w14:paraId="3A056824" w14:textId="77777777" w:rsidR="0007041C" w:rsidRDefault="0007041C" w:rsidP="0007041C"/>
    <w:p w14:paraId="0D0425FE" w14:textId="77777777" w:rsidR="0007041C" w:rsidRPr="0007041C" w:rsidRDefault="0007041C" w:rsidP="0007041C">
      <w:pPr>
        <w:rPr>
          <w:rFonts w:ascii="Arial" w:eastAsia="Calibri" w:hAnsi="Arial" w:cs="Arial"/>
          <w:b/>
          <w:sz w:val="28"/>
          <w:szCs w:val="28"/>
        </w:rPr>
      </w:pPr>
      <w:r w:rsidRPr="0007041C">
        <w:rPr>
          <w:rFonts w:ascii="Arial" w:eastAsia="Calibri" w:hAnsi="Arial" w:cs="Arial"/>
          <w:b/>
          <w:sz w:val="28"/>
          <w:szCs w:val="28"/>
        </w:rPr>
        <w:t xml:space="preserve">6.4 </w:t>
      </w:r>
      <w:r w:rsidRPr="0007041C">
        <w:rPr>
          <w:rFonts w:ascii="Arial" w:eastAsia="Calibri" w:hAnsi="Arial" w:cs="Arial"/>
          <w:b/>
          <w:sz w:val="28"/>
          <w:szCs w:val="28"/>
        </w:rPr>
        <w:tab/>
        <w:t>Overall Impacts Expected from Past, Present, and Future Actions</w:t>
      </w:r>
      <w:bookmarkEnd w:id="381"/>
    </w:p>
    <w:p w14:paraId="73322A2E" w14:textId="77777777" w:rsidR="0007041C" w:rsidRDefault="0007041C" w:rsidP="0007041C">
      <w:pPr>
        <w:numPr>
          <w:ilvl w:val="12"/>
          <w:numId w:val="0"/>
        </w:numPr>
      </w:pPr>
      <w:r>
        <w:t xml:space="preserve">     </w:t>
      </w:r>
    </w:p>
    <w:p w14:paraId="66892DA8" w14:textId="77777777" w:rsidR="0007041C" w:rsidRPr="00AB3CA7" w:rsidRDefault="0007041C" w:rsidP="0007041C">
      <w:pPr>
        <w:numPr>
          <w:ilvl w:val="12"/>
          <w:numId w:val="0"/>
        </w:numPr>
        <w:ind w:firstLine="360"/>
        <w:rPr>
          <w:highlight w:val="yellow"/>
        </w:rPr>
      </w:pPr>
      <w:r w:rsidRPr="001F467F">
        <w:t xml:space="preserve">The proposed management actions are summarized in </w:t>
      </w:r>
      <w:r w:rsidRPr="001F467F">
        <w:rPr>
          <w:b/>
        </w:rPr>
        <w:t xml:space="preserve">Chapter 2 </w:t>
      </w:r>
      <w:r w:rsidRPr="001F467F">
        <w:t xml:space="preserve">of this document.  Detailed discussions of the magnitude and significance of the impacts of the preferred alternatives on the human environment appear in </w:t>
      </w:r>
      <w:r w:rsidRPr="009D0E8C">
        <w:rPr>
          <w:b/>
        </w:rPr>
        <w:t>Chapter 4</w:t>
      </w:r>
      <w:r w:rsidRPr="001F467F">
        <w:t xml:space="preserve"> of this document.  None of the impacts of the actions in this amendment, in combination with past, present, and future actions have been determined to be significant.  Although several other management actions, in addition to this amendment, are expected to affect snapper grouper</w:t>
      </w:r>
      <w:r>
        <w:t>,</w:t>
      </w:r>
      <w:r w:rsidRPr="001F467F">
        <w:t xml:space="preserve"> including </w:t>
      </w:r>
      <w:r w:rsidRPr="00AB3CA7">
        <w:t>mutton snapper</w:t>
      </w:r>
      <w:r>
        <w:t xml:space="preserve">, any </w:t>
      </w:r>
      <w:r w:rsidRPr="001F467F">
        <w:t xml:space="preserve">additive effects, beneficial and adverse, are not expected to result in a significant level of cumulative impacts.  </w:t>
      </w:r>
    </w:p>
    <w:p w14:paraId="37A9651E" w14:textId="77777777" w:rsidR="0007041C" w:rsidRPr="00AB3CA7" w:rsidRDefault="0007041C" w:rsidP="0007041C">
      <w:pPr>
        <w:numPr>
          <w:ilvl w:val="12"/>
          <w:numId w:val="0"/>
        </w:numPr>
        <w:rPr>
          <w:highlight w:val="yellow"/>
        </w:rPr>
      </w:pPr>
    </w:p>
    <w:p w14:paraId="7898F6A1" w14:textId="77777777" w:rsidR="0007041C" w:rsidRDefault="0007041C" w:rsidP="0007041C">
      <w:pPr>
        <w:numPr>
          <w:ilvl w:val="12"/>
          <w:numId w:val="0"/>
        </w:numPr>
        <w:ind w:firstLine="360"/>
      </w:pPr>
      <w:r w:rsidRPr="001F467F">
        <w:t xml:space="preserve">The proposed actions would not adversely affect districts, sites, highways, structures, or objects listed in or eligible for listing in the National Register of Historic Places as these are not in the South Atlantic </w:t>
      </w:r>
      <w:r w:rsidRPr="00AB3CA7">
        <w:t xml:space="preserve">exclusive economic zone (EEZ).  This action is not likely to result in direct, indirect, or cumulative effects to unique areas, such as significant scientific, cultural, or historical resources, park land, prime farmlands, wetlands, wild and scenic rivers, or ecologically critical areas as the proposed action is not expected to substantially increase fishing effort or the spatial </w:t>
      </w:r>
      <w:r w:rsidRPr="00AB3CA7">
        <w:lastRenderedPageBreak/>
        <w:t>and/or temporal distribution of current fishing effort within the South Atlantic region.  The U.S. Monitor, Gray’s Reef, and Florida Keys National Marine Sanctuaries are within the boundaries of the South Atlantic EEZ.  The proposed actions are not likely to cause loss or destruction of these national marine sanctuaries because the actions are not expected to result in appreciable changes to current fishing practices.  Additionally, the proposed action is not likely to change the way in which the snapper grouper fishery is prosecuted; therefore, the actions are not expected to result in adverse impacts on health or human safety beyond the status quo.</w:t>
      </w:r>
      <w:r>
        <w:t xml:space="preserve">  </w:t>
      </w:r>
    </w:p>
    <w:p w14:paraId="559109CD" w14:textId="77777777" w:rsidR="0007041C" w:rsidRPr="00B4567F" w:rsidRDefault="0007041C" w:rsidP="0007041C">
      <w:pPr>
        <w:numPr>
          <w:ilvl w:val="12"/>
          <w:numId w:val="0"/>
        </w:numPr>
        <w:ind w:firstLine="360"/>
      </w:pPr>
    </w:p>
    <w:p w14:paraId="1F3A6A50" w14:textId="77777777" w:rsidR="0007041C" w:rsidRPr="0007041C" w:rsidRDefault="0007041C" w:rsidP="0007041C">
      <w:pPr>
        <w:rPr>
          <w:rFonts w:ascii="Arial" w:eastAsia="Calibri" w:hAnsi="Arial" w:cs="Arial"/>
          <w:b/>
          <w:sz w:val="28"/>
          <w:szCs w:val="28"/>
        </w:rPr>
      </w:pPr>
      <w:bookmarkStart w:id="382" w:name="_Toc396384807"/>
      <w:r w:rsidRPr="0007041C">
        <w:rPr>
          <w:rFonts w:ascii="Arial" w:eastAsia="Calibri" w:hAnsi="Arial" w:cs="Arial"/>
          <w:b/>
          <w:sz w:val="28"/>
          <w:szCs w:val="28"/>
        </w:rPr>
        <w:t xml:space="preserve">6.5 </w:t>
      </w:r>
      <w:r w:rsidRPr="0007041C">
        <w:rPr>
          <w:rFonts w:ascii="Arial" w:eastAsia="Calibri" w:hAnsi="Arial" w:cs="Arial"/>
          <w:b/>
          <w:sz w:val="28"/>
          <w:szCs w:val="28"/>
        </w:rPr>
        <w:tab/>
        <w:t>Monitoring and Mitigation</w:t>
      </w:r>
      <w:bookmarkEnd w:id="382"/>
      <w:r w:rsidRPr="0007041C">
        <w:rPr>
          <w:rFonts w:ascii="Arial" w:eastAsia="Calibri" w:hAnsi="Arial" w:cs="Arial"/>
          <w:b/>
          <w:sz w:val="28"/>
          <w:szCs w:val="28"/>
        </w:rPr>
        <w:t xml:space="preserve"> </w:t>
      </w:r>
    </w:p>
    <w:p w14:paraId="1F0D413A" w14:textId="77777777" w:rsidR="0007041C" w:rsidRDefault="0007041C" w:rsidP="0007041C">
      <w:pPr>
        <w:rPr>
          <w:rFonts w:eastAsia="Calibri"/>
          <w:bCs/>
        </w:rPr>
      </w:pPr>
    </w:p>
    <w:p w14:paraId="5A8C1075" w14:textId="77777777" w:rsidR="0007041C" w:rsidRDefault="0007041C" w:rsidP="0007041C">
      <w:pPr>
        <w:ind w:firstLine="360"/>
      </w:pPr>
      <w:r w:rsidRPr="001F467F">
        <w:rPr>
          <w:rFonts w:eastAsia="Calibri"/>
          <w:bCs/>
        </w:rPr>
        <w:t>The effects of the proposed action</w:t>
      </w:r>
      <w:r>
        <w:rPr>
          <w:rFonts w:eastAsia="Calibri"/>
          <w:bCs/>
        </w:rPr>
        <w:t>s</w:t>
      </w:r>
      <w:r w:rsidRPr="001F467F">
        <w:rPr>
          <w:rFonts w:eastAsia="Calibri"/>
          <w:bCs/>
        </w:rPr>
        <w:t xml:space="preserve"> are, and will continue to be, monitored through collection of landings data by the Florida Fish and Wildlife Conservation Commission for </w:t>
      </w:r>
      <w:r w:rsidRPr="00AB3CA7">
        <w:rPr>
          <w:rFonts w:eastAsia="Calibri"/>
          <w:bCs/>
        </w:rPr>
        <w:t>mutton</w:t>
      </w:r>
      <w:r w:rsidRPr="001F467F">
        <w:rPr>
          <w:rFonts w:eastAsia="Calibri"/>
          <w:bCs/>
        </w:rPr>
        <w:t xml:space="preserve"> </w:t>
      </w:r>
      <w:r w:rsidRPr="00E04D3F">
        <w:rPr>
          <w:rFonts w:eastAsia="Calibri"/>
          <w:bCs/>
        </w:rPr>
        <w:t xml:space="preserve">snapper.  The National Marine </w:t>
      </w:r>
      <w:r w:rsidRPr="009D0E8C">
        <w:rPr>
          <w:rFonts w:eastAsia="Calibri"/>
          <w:bCs/>
        </w:rPr>
        <w:t xml:space="preserve">Fisheries </w:t>
      </w:r>
      <w:r w:rsidRPr="001F467F">
        <w:rPr>
          <w:rFonts w:eastAsia="Calibri"/>
          <w:bCs/>
        </w:rPr>
        <w:t xml:space="preserve">Service will continue to monitor and collect information on </w:t>
      </w:r>
      <w:r w:rsidRPr="00AB3CA7">
        <w:rPr>
          <w:rFonts w:eastAsia="Calibri"/>
          <w:bCs/>
        </w:rPr>
        <w:t>mutton snapper</w:t>
      </w:r>
      <w:r w:rsidRPr="001F467F">
        <w:rPr>
          <w:rFonts w:eastAsia="Calibri"/>
          <w:bCs/>
        </w:rPr>
        <w:t xml:space="preserve"> for stock assessments and stock assessment updates, life history studies, economic and socia</w:t>
      </w:r>
      <w:r w:rsidRPr="00AB3CA7">
        <w:rPr>
          <w:rFonts w:eastAsia="Calibri"/>
          <w:bCs/>
        </w:rPr>
        <w:t xml:space="preserve">l analyses, and other scientific observations.  </w:t>
      </w:r>
      <w:r w:rsidRPr="00AB3CA7">
        <w:rPr>
          <w:rFonts w:eastAsia="Calibri"/>
        </w:rPr>
        <w:t>The proposed actions relate to the harvest of indigenous species in the Atlantic, and the activities/regulations being altered do not introduce non-indigenous species, and are not reasonably expected to facilitate the spread of such species through depressing the populations of native species.  Additionally, this amendment does not propose any activity, such as increased ballast water discharge from foreign vessels, which is associated with the introduction or spread on non-indigenous species.</w:t>
      </w:r>
      <w:r>
        <w:rPr>
          <w:rFonts w:eastAsia="Calibri"/>
        </w:rPr>
        <w:t xml:space="preserve">  </w:t>
      </w:r>
      <w:bookmarkEnd w:id="377"/>
      <w:bookmarkEnd w:id="378"/>
    </w:p>
    <w:p w14:paraId="11EF90F5" w14:textId="77777777" w:rsidR="005601EF" w:rsidRDefault="005601EF" w:rsidP="00D71AB1">
      <w:pPr>
        <w:pStyle w:val="Heading1"/>
        <w:rPr>
          <w:rStyle w:val="Heading3Char"/>
          <w:rFonts w:ascii="Times New Roman" w:hAnsi="Times New Roman" w:cs="Times New Roman"/>
          <w:b/>
          <w:bCs/>
          <w:color w:val="95B3D7" w:themeColor="accent1" w:themeTint="99"/>
          <w:sz w:val="36"/>
          <w:szCs w:val="36"/>
        </w:rPr>
        <w:sectPr w:rsidR="005601EF" w:rsidSect="0038545E">
          <w:footerReference w:type="default" r:id="rId77"/>
          <w:pgSz w:w="12240" w:h="15840" w:code="1"/>
          <w:pgMar w:top="1440" w:right="1440" w:bottom="1440" w:left="1440" w:header="720" w:footer="720" w:gutter="0"/>
          <w:cols w:space="720"/>
          <w:docGrid w:linePitch="360"/>
        </w:sectPr>
      </w:pPr>
    </w:p>
    <w:p w14:paraId="060759D3" w14:textId="1CC6CE93" w:rsidR="008D0B8B" w:rsidRPr="009F7252" w:rsidRDefault="00886469" w:rsidP="00D71AB1">
      <w:pPr>
        <w:pStyle w:val="Heading1"/>
        <w:rPr>
          <w:rStyle w:val="Heading3Char"/>
          <w:rFonts w:ascii="Times New Roman" w:hAnsi="Times New Roman" w:cs="Times New Roman"/>
          <w:b/>
          <w:bCs/>
          <w:color w:val="548DD4" w:themeColor="text2" w:themeTint="99"/>
          <w:sz w:val="56"/>
          <w:szCs w:val="56"/>
        </w:rPr>
      </w:pPr>
      <w:bookmarkStart w:id="383" w:name="_Toc339811827"/>
      <w:r w:rsidRPr="009F7252">
        <w:rPr>
          <w:rStyle w:val="Heading3Char"/>
          <w:rFonts w:ascii="Times New Roman" w:hAnsi="Times New Roman" w:cs="Times New Roman"/>
          <w:b/>
          <w:bCs/>
          <w:color w:val="95B3D7" w:themeColor="accent1" w:themeTint="99"/>
          <w:sz w:val="36"/>
          <w:szCs w:val="36"/>
        </w:rPr>
        <w:lastRenderedPageBreak/>
        <w:t>Chapter 7</w:t>
      </w:r>
      <w:r w:rsidR="008D0B8B" w:rsidRPr="009F7252">
        <w:rPr>
          <w:rStyle w:val="Heading3Char"/>
          <w:rFonts w:ascii="Times New Roman" w:hAnsi="Times New Roman" w:cs="Times New Roman"/>
          <w:b/>
          <w:bCs/>
          <w:color w:val="95B3D7" w:themeColor="accent1" w:themeTint="99"/>
          <w:sz w:val="36"/>
          <w:szCs w:val="36"/>
        </w:rPr>
        <w:t xml:space="preserve">.  </w:t>
      </w:r>
      <w:r w:rsidR="008D0B8B" w:rsidRPr="009F7252">
        <w:rPr>
          <w:rStyle w:val="Heading3Char"/>
          <w:rFonts w:ascii="Times New Roman" w:hAnsi="Times New Roman" w:cs="Times New Roman"/>
          <w:b/>
          <w:bCs/>
          <w:color w:val="548DD4" w:themeColor="text2" w:themeTint="99"/>
          <w:sz w:val="56"/>
          <w:szCs w:val="56"/>
        </w:rPr>
        <w:t xml:space="preserve">List of </w:t>
      </w:r>
      <w:bookmarkEnd w:id="374"/>
      <w:r w:rsidR="00267696" w:rsidRPr="009F7252">
        <w:rPr>
          <w:rStyle w:val="Heading3Char"/>
          <w:rFonts w:ascii="Times New Roman" w:hAnsi="Times New Roman" w:cs="Times New Roman"/>
          <w:b/>
          <w:bCs/>
          <w:color w:val="548DD4" w:themeColor="text2" w:themeTint="99"/>
          <w:sz w:val="56"/>
          <w:szCs w:val="56"/>
        </w:rPr>
        <w:t>Interdisciplinary Plan Team (IPT) Members</w:t>
      </w:r>
      <w:bookmarkEnd w:id="375"/>
      <w:bookmarkEnd w:id="383"/>
    </w:p>
    <w:p w14:paraId="630DB7D6" w14:textId="77777777" w:rsidR="008D0B8B" w:rsidRPr="00532ABB" w:rsidRDefault="008D0B8B" w:rsidP="00D71AB1">
      <w:pPr>
        <w:pStyle w:val="Tabletitle"/>
      </w:pPr>
    </w:p>
    <w:tbl>
      <w:tblPr>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7"/>
        <w:gridCol w:w="2687"/>
        <w:gridCol w:w="4255"/>
      </w:tblGrid>
      <w:tr w:rsidR="001F1018" w:rsidRPr="00532ABB" w14:paraId="4F73A2ED" w14:textId="77777777" w:rsidTr="009F7252">
        <w:trPr>
          <w:trHeight w:val="501"/>
        </w:trPr>
        <w:tc>
          <w:tcPr>
            <w:tcW w:w="2597" w:type="dxa"/>
            <w:shd w:val="pct10" w:color="auto" w:fill="auto"/>
          </w:tcPr>
          <w:p w14:paraId="205271D3" w14:textId="77777777" w:rsidR="001F1018" w:rsidRPr="00532ABB" w:rsidRDefault="001F1018" w:rsidP="00D71AB1">
            <w:pPr>
              <w:jc w:val="center"/>
              <w:rPr>
                <w:b/>
              </w:rPr>
            </w:pPr>
            <w:r w:rsidRPr="00532ABB">
              <w:rPr>
                <w:b/>
              </w:rPr>
              <w:t>Name</w:t>
            </w:r>
          </w:p>
        </w:tc>
        <w:tc>
          <w:tcPr>
            <w:tcW w:w="2687" w:type="dxa"/>
            <w:shd w:val="pct10" w:color="auto" w:fill="auto"/>
          </w:tcPr>
          <w:p w14:paraId="15E56068" w14:textId="77777777" w:rsidR="001F1018" w:rsidRPr="00532ABB" w:rsidRDefault="001F1018" w:rsidP="00D71AB1">
            <w:pPr>
              <w:jc w:val="center"/>
              <w:rPr>
                <w:b/>
              </w:rPr>
            </w:pPr>
            <w:r w:rsidRPr="00532ABB">
              <w:rPr>
                <w:b/>
              </w:rPr>
              <w:t>Agency/Division</w:t>
            </w:r>
          </w:p>
        </w:tc>
        <w:tc>
          <w:tcPr>
            <w:tcW w:w="4255" w:type="dxa"/>
            <w:shd w:val="pct10" w:color="auto" w:fill="auto"/>
          </w:tcPr>
          <w:p w14:paraId="1BB02477" w14:textId="77777777" w:rsidR="001F1018" w:rsidRPr="00532ABB" w:rsidRDefault="00267696" w:rsidP="00D71AB1">
            <w:pPr>
              <w:jc w:val="center"/>
              <w:rPr>
                <w:b/>
              </w:rPr>
            </w:pPr>
            <w:r>
              <w:rPr>
                <w:b/>
              </w:rPr>
              <w:t>Title</w:t>
            </w:r>
          </w:p>
        </w:tc>
      </w:tr>
      <w:tr w:rsidR="00A26C47" w:rsidRPr="00532ABB" w14:paraId="397BD44D" w14:textId="77777777" w:rsidTr="00922E4D">
        <w:trPr>
          <w:trHeight w:val="359"/>
        </w:trPr>
        <w:tc>
          <w:tcPr>
            <w:tcW w:w="2597" w:type="dxa"/>
          </w:tcPr>
          <w:p w14:paraId="7EC0D895" w14:textId="77777777" w:rsidR="00A26C47" w:rsidRPr="00532ABB" w:rsidRDefault="00A26C47" w:rsidP="00922E4D">
            <w:r>
              <w:t>Adam Bailey</w:t>
            </w:r>
          </w:p>
        </w:tc>
        <w:tc>
          <w:tcPr>
            <w:tcW w:w="2687" w:type="dxa"/>
          </w:tcPr>
          <w:p w14:paraId="4741D76C" w14:textId="238F33F9" w:rsidR="00A26C47" w:rsidRPr="00532ABB" w:rsidRDefault="00A26C47" w:rsidP="00922E4D">
            <w:r>
              <w:t>SERO</w:t>
            </w:r>
            <w:r w:rsidR="007E21B1">
              <w:t>/SF</w:t>
            </w:r>
          </w:p>
        </w:tc>
        <w:tc>
          <w:tcPr>
            <w:tcW w:w="4255" w:type="dxa"/>
          </w:tcPr>
          <w:p w14:paraId="43F2177C" w14:textId="77777777" w:rsidR="00A26C47" w:rsidRPr="00532ABB" w:rsidRDefault="00A26C47" w:rsidP="00922E4D">
            <w:r>
              <w:t>Technical Writer and Editor</w:t>
            </w:r>
          </w:p>
        </w:tc>
      </w:tr>
      <w:tr w:rsidR="001F1018" w:rsidRPr="00532ABB" w14:paraId="43A6A5F5" w14:textId="77777777" w:rsidTr="004F72C4">
        <w:trPr>
          <w:trHeight w:val="710"/>
        </w:trPr>
        <w:tc>
          <w:tcPr>
            <w:tcW w:w="2597" w:type="dxa"/>
          </w:tcPr>
          <w:p w14:paraId="223E32B2" w14:textId="77777777" w:rsidR="001F1018" w:rsidRPr="00532ABB" w:rsidRDefault="002E1908" w:rsidP="00D71AB1">
            <w:r>
              <w:t xml:space="preserve">Myra Brouwer </w:t>
            </w:r>
          </w:p>
        </w:tc>
        <w:tc>
          <w:tcPr>
            <w:tcW w:w="2687" w:type="dxa"/>
          </w:tcPr>
          <w:p w14:paraId="472B8CE9" w14:textId="77777777" w:rsidR="001F1018" w:rsidRPr="00532ABB" w:rsidRDefault="001F1018" w:rsidP="00D71AB1">
            <w:r w:rsidRPr="00532ABB">
              <w:t>SAFMC</w:t>
            </w:r>
          </w:p>
        </w:tc>
        <w:tc>
          <w:tcPr>
            <w:tcW w:w="4255" w:type="dxa"/>
          </w:tcPr>
          <w:p w14:paraId="1109E519" w14:textId="1EB6CE65" w:rsidR="007909BF" w:rsidRPr="00532ABB" w:rsidRDefault="006D2BD8" w:rsidP="00BE1B40">
            <w:r w:rsidRPr="00532ABB">
              <w:t>Interdisciplinary plan team (</w:t>
            </w:r>
            <w:r w:rsidR="001F1018" w:rsidRPr="00532ABB">
              <w:t>IPT</w:t>
            </w:r>
            <w:r w:rsidRPr="00532ABB">
              <w:t>)</w:t>
            </w:r>
            <w:r w:rsidR="001F1018" w:rsidRPr="00532ABB">
              <w:t xml:space="preserve"> Lead/Fishery</w:t>
            </w:r>
            <w:r w:rsidR="007909BF">
              <w:t xml:space="preserve"> </w:t>
            </w:r>
            <w:r w:rsidR="002E1908">
              <w:t>Biologist</w:t>
            </w:r>
          </w:p>
        </w:tc>
      </w:tr>
      <w:tr w:rsidR="00A26C47" w:rsidRPr="00532ABB" w14:paraId="7A89A982" w14:textId="77777777" w:rsidTr="00922E4D">
        <w:trPr>
          <w:trHeight w:val="341"/>
        </w:trPr>
        <w:tc>
          <w:tcPr>
            <w:tcW w:w="2597" w:type="dxa"/>
          </w:tcPr>
          <w:p w14:paraId="13D465E3" w14:textId="77777777" w:rsidR="00A26C47" w:rsidRDefault="00A26C47" w:rsidP="00922E4D">
            <w:r>
              <w:t>Brian Cheuvront</w:t>
            </w:r>
          </w:p>
        </w:tc>
        <w:tc>
          <w:tcPr>
            <w:tcW w:w="2687" w:type="dxa"/>
          </w:tcPr>
          <w:p w14:paraId="56557A79" w14:textId="77777777" w:rsidR="00A26C47" w:rsidRDefault="00A26C47" w:rsidP="00922E4D">
            <w:r>
              <w:t>SAFMC</w:t>
            </w:r>
          </w:p>
        </w:tc>
        <w:tc>
          <w:tcPr>
            <w:tcW w:w="4255" w:type="dxa"/>
          </w:tcPr>
          <w:p w14:paraId="284858F6" w14:textId="6A6B005B" w:rsidR="00A26C47" w:rsidRDefault="007E21B1" w:rsidP="00922E4D">
            <w:r>
              <w:t>Deputy Executive Director</w:t>
            </w:r>
          </w:p>
        </w:tc>
      </w:tr>
      <w:tr w:rsidR="00A26C47" w:rsidRPr="00532ABB" w14:paraId="73BBAC92" w14:textId="77777777" w:rsidTr="00922E4D">
        <w:trPr>
          <w:trHeight w:val="341"/>
        </w:trPr>
        <w:tc>
          <w:tcPr>
            <w:tcW w:w="2597" w:type="dxa"/>
          </w:tcPr>
          <w:p w14:paraId="21901C31" w14:textId="77777777" w:rsidR="00A26C47" w:rsidRDefault="00A26C47" w:rsidP="00922E4D">
            <w:r>
              <w:t xml:space="preserve">Chip Collier </w:t>
            </w:r>
          </w:p>
        </w:tc>
        <w:tc>
          <w:tcPr>
            <w:tcW w:w="2687" w:type="dxa"/>
          </w:tcPr>
          <w:p w14:paraId="30963A0D" w14:textId="77777777" w:rsidR="00A26C47" w:rsidRDefault="00A26C47" w:rsidP="00922E4D">
            <w:r>
              <w:t>SAFMC</w:t>
            </w:r>
          </w:p>
        </w:tc>
        <w:tc>
          <w:tcPr>
            <w:tcW w:w="4255" w:type="dxa"/>
          </w:tcPr>
          <w:p w14:paraId="0E3DCBAF" w14:textId="77777777" w:rsidR="00A26C47" w:rsidRDefault="00A26C47" w:rsidP="00922E4D">
            <w:r>
              <w:t>Biologist</w:t>
            </w:r>
          </w:p>
        </w:tc>
      </w:tr>
      <w:tr w:rsidR="00A26C47" w:rsidRPr="00532ABB" w14:paraId="071137CE" w14:textId="77777777" w:rsidTr="00922E4D">
        <w:trPr>
          <w:trHeight w:val="350"/>
        </w:trPr>
        <w:tc>
          <w:tcPr>
            <w:tcW w:w="2597" w:type="dxa"/>
          </w:tcPr>
          <w:p w14:paraId="4309A60E" w14:textId="77777777" w:rsidR="00A26C47" w:rsidRPr="00532ABB" w:rsidRDefault="00A26C47" w:rsidP="00922E4D">
            <w:r>
              <w:t>Scott Crosson</w:t>
            </w:r>
          </w:p>
        </w:tc>
        <w:tc>
          <w:tcPr>
            <w:tcW w:w="2687" w:type="dxa"/>
          </w:tcPr>
          <w:p w14:paraId="643443C5" w14:textId="77777777" w:rsidR="00A26C47" w:rsidRDefault="00A26C47" w:rsidP="00922E4D">
            <w:r>
              <w:t>SEFSC</w:t>
            </w:r>
          </w:p>
        </w:tc>
        <w:tc>
          <w:tcPr>
            <w:tcW w:w="4255" w:type="dxa"/>
          </w:tcPr>
          <w:p w14:paraId="4418D0DB" w14:textId="52D81AEC" w:rsidR="00A26C47" w:rsidRPr="00532ABB" w:rsidRDefault="007E21B1" w:rsidP="00922E4D">
            <w:r>
              <w:t>Economist</w:t>
            </w:r>
          </w:p>
        </w:tc>
      </w:tr>
      <w:tr w:rsidR="008D3ADF" w:rsidRPr="00532ABB" w14:paraId="26D24DCD" w14:textId="77777777" w:rsidTr="007A64B6">
        <w:trPr>
          <w:trHeight w:val="341"/>
        </w:trPr>
        <w:tc>
          <w:tcPr>
            <w:tcW w:w="2597" w:type="dxa"/>
          </w:tcPr>
          <w:p w14:paraId="72B5000A" w14:textId="77777777" w:rsidR="008D3ADF" w:rsidRDefault="008D3ADF" w:rsidP="007A64B6">
            <w:r>
              <w:t>David Dale</w:t>
            </w:r>
          </w:p>
        </w:tc>
        <w:tc>
          <w:tcPr>
            <w:tcW w:w="2687" w:type="dxa"/>
          </w:tcPr>
          <w:p w14:paraId="24CF65B0" w14:textId="77777777" w:rsidR="008D3ADF" w:rsidRDefault="008D3ADF" w:rsidP="007A64B6">
            <w:r>
              <w:t>SERO/HC</w:t>
            </w:r>
          </w:p>
        </w:tc>
        <w:tc>
          <w:tcPr>
            <w:tcW w:w="4255" w:type="dxa"/>
          </w:tcPr>
          <w:p w14:paraId="437CD3B3" w14:textId="77777777" w:rsidR="008D3ADF" w:rsidRDefault="008D3ADF" w:rsidP="007A64B6">
            <w:r>
              <w:t>EFH Specialist</w:t>
            </w:r>
          </w:p>
        </w:tc>
      </w:tr>
      <w:tr w:rsidR="00A26C47" w:rsidRPr="00532ABB" w14:paraId="63771487" w14:textId="77777777" w:rsidTr="00922E4D">
        <w:trPr>
          <w:trHeight w:val="359"/>
        </w:trPr>
        <w:tc>
          <w:tcPr>
            <w:tcW w:w="2597" w:type="dxa"/>
          </w:tcPr>
          <w:p w14:paraId="2808E44E" w14:textId="77777777" w:rsidR="00A26C47" w:rsidRDefault="00A26C47" w:rsidP="00922E4D">
            <w:r>
              <w:t>Mike Errigo</w:t>
            </w:r>
          </w:p>
        </w:tc>
        <w:tc>
          <w:tcPr>
            <w:tcW w:w="2687" w:type="dxa"/>
          </w:tcPr>
          <w:p w14:paraId="782B44B2" w14:textId="77777777" w:rsidR="00A26C47" w:rsidRDefault="00A26C47" w:rsidP="00922E4D">
            <w:r>
              <w:t>SAFMC</w:t>
            </w:r>
          </w:p>
        </w:tc>
        <w:tc>
          <w:tcPr>
            <w:tcW w:w="4255" w:type="dxa"/>
          </w:tcPr>
          <w:p w14:paraId="2EF761FE" w14:textId="77777777" w:rsidR="00A26C47" w:rsidRDefault="00A26C47" w:rsidP="00922E4D">
            <w:r>
              <w:t xml:space="preserve">Data analyst </w:t>
            </w:r>
          </w:p>
        </w:tc>
      </w:tr>
      <w:tr w:rsidR="007E21B1" w:rsidRPr="00532ABB" w14:paraId="17039D83" w14:textId="77777777" w:rsidTr="00922E4D">
        <w:trPr>
          <w:trHeight w:val="341"/>
        </w:trPr>
        <w:tc>
          <w:tcPr>
            <w:tcW w:w="2597" w:type="dxa"/>
          </w:tcPr>
          <w:p w14:paraId="1219146E" w14:textId="00BE773F" w:rsidR="007E21B1" w:rsidRDefault="007E21B1" w:rsidP="00922E4D">
            <w:r>
              <w:t>Mark Fields</w:t>
            </w:r>
          </w:p>
        </w:tc>
        <w:tc>
          <w:tcPr>
            <w:tcW w:w="2687" w:type="dxa"/>
          </w:tcPr>
          <w:p w14:paraId="67316B6B" w14:textId="2675F4E0" w:rsidR="007E21B1" w:rsidRDefault="007E21B1" w:rsidP="00922E4D">
            <w:r>
              <w:t>SERO/OLE</w:t>
            </w:r>
          </w:p>
        </w:tc>
        <w:tc>
          <w:tcPr>
            <w:tcW w:w="4255" w:type="dxa"/>
          </w:tcPr>
          <w:p w14:paraId="6DF2CF32" w14:textId="3B8EA990" w:rsidR="007E21B1" w:rsidRDefault="007E21B1" w:rsidP="00922E4D">
            <w:r>
              <w:t>Criminal Investigator</w:t>
            </w:r>
          </w:p>
        </w:tc>
      </w:tr>
      <w:tr w:rsidR="008D3ADF" w:rsidRPr="00532ABB" w14:paraId="0A6CD588" w14:textId="77777777" w:rsidTr="007A64B6">
        <w:trPr>
          <w:trHeight w:val="359"/>
        </w:trPr>
        <w:tc>
          <w:tcPr>
            <w:tcW w:w="2597" w:type="dxa"/>
          </w:tcPr>
          <w:p w14:paraId="1B1B6592" w14:textId="77777777" w:rsidR="008D3ADF" w:rsidRPr="00532ABB" w:rsidRDefault="008D3ADF" w:rsidP="007A64B6">
            <w:r>
              <w:t>Denise Johnson</w:t>
            </w:r>
          </w:p>
        </w:tc>
        <w:tc>
          <w:tcPr>
            <w:tcW w:w="2687" w:type="dxa"/>
          </w:tcPr>
          <w:p w14:paraId="05144166" w14:textId="77777777" w:rsidR="008D3ADF" w:rsidRPr="00532ABB" w:rsidRDefault="008D3ADF" w:rsidP="007A64B6">
            <w:r>
              <w:t>SERO</w:t>
            </w:r>
            <w:r w:rsidRPr="00532ABB">
              <w:t>/SF</w:t>
            </w:r>
          </w:p>
        </w:tc>
        <w:tc>
          <w:tcPr>
            <w:tcW w:w="4255" w:type="dxa"/>
          </w:tcPr>
          <w:p w14:paraId="751D91BC" w14:textId="77777777" w:rsidR="008D3ADF" w:rsidRPr="00532ABB" w:rsidRDefault="008D3ADF" w:rsidP="007A64B6">
            <w:r w:rsidRPr="00532ABB">
              <w:t>Economist</w:t>
            </w:r>
          </w:p>
        </w:tc>
      </w:tr>
      <w:tr w:rsidR="008D3ADF" w:rsidRPr="00532ABB" w14:paraId="06006A0D" w14:textId="77777777" w:rsidTr="007A64B6">
        <w:trPr>
          <w:trHeight w:val="341"/>
        </w:trPr>
        <w:tc>
          <w:tcPr>
            <w:tcW w:w="2597" w:type="dxa"/>
          </w:tcPr>
          <w:p w14:paraId="0C487C2E" w14:textId="77777777" w:rsidR="008D3ADF" w:rsidRPr="00532ABB" w:rsidRDefault="008D3ADF" w:rsidP="007A64B6">
            <w:r>
              <w:t xml:space="preserve">Mike Larkin </w:t>
            </w:r>
          </w:p>
        </w:tc>
        <w:tc>
          <w:tcPr>
            <w:tcW w:w="2687" w:type="dxa"/>
          </w:tcPr>
          <w:p w14:paraId="53D0A5E9" w14:textId="77777777" w:rsidR="008D3ADF" w:rsidRPr="00532ABB" w:rsidRDefault="008D3ADF" w:rsidP="007A64B6">
            <w:r>
              <w:t>SERO/SF</w:t>
            </w:r>
          </w:p>
        </w:tc>
        <w:tc>
          <w:tcPr>
            <w:tcW w:w="4255" w:type="dxa"/>
          </w:tcPr>
          <w:p w14:paraId="0679B424" w14:textId="77777777" w:rsidR="008D3ADF" w:rsidRPr="00532ABB" w:rsidRDefault="008D3ADF" w:rsidP="007A64B6">
            <w:r>
              <w:t>Biologist</w:t>
            </w:r>
          </w:p>
        </w:tc>
      </w:tr>
      <w:tr w:rsidR="00A26C47" w:rsidRPr="00532ABB" w14:paraId="4C55DBF8" w14:textId="77777777" w:rsidTr="00922E4D">
        <w:trPr>
          <w:trHeight w:val="359"/>
        </w:trPr>
        <w:tc>
          <w:tcPr>
            <w:tcW w:w="2597" w:type="dxa"/>
          </w:tcPr>
          <w:p w14:paraId="62597085" w14:textId="77777777" w:rsidR="00A26C47" w:rsidRDefault="00A26C47" w:rsidP="00922E4D">
            <w:r>
              <w:t>Jennifer Lee</w:t>
            </w:r>
          </w:p>
        </w:tc>
        <w:tc>
          <w:tcPr>
            <w:tcW w:w="2687" w:type="dxa"/>
          </w:tcPr>
          <w:p w14:paraId="1C3E7DDA" w14:textId="77777777" w:rsidR="00A26C47" w:rsidRPr="00532ABB" w:rsidRDefault="00A26C47" w:rsidP="00922E4D">
            <w:r>
              <w:t>SERO/PR</w:t>
            </w:r>
          </w:p>
        </w:tc>
        <w:tc>
          <w:tcPr>
            <w:tcW w:w="4255" w:type="dxa"/>
          </w:tcPr>
          <w:p w14:paraId="246EDE60" w14:textId="77777777" w:rsidR="00A26C47" w:rsidRPr="00532ABB" w:rsidRDefault="00A26C47" w:rsidP="00922E4D">
            <w:r>
              <w:t>Fishery Biologist</w:t>
            </w:r>
          </w:p>
        </w:tc>
      </w:tr>
      <w:tr w:rsidR="00A26C47" w:rsidRPr="00532ABB" w14:paraId="514EF7B5" w14:textId="77777777" w:rsidTr="00922E4D">
        <w:trPr>
          <w:trHeight w:val="350"/>
        </w:trPr>
        <w:tc>
          <w:tcPr>
            <w:tcW w:w="2597" w:type="dxa"/>
          </w:tcPr>
          <w:p w14:paraId="36CBB6D8" w14:textId="77777777" w:rsidR="00A26C47" w:rsidRPr="00532ABB" w:rsidRDefault="00A26C47" w:rsidP="00922E4D">
            <w:r w:rsidRPr="00532ABB">
              <w:t>Jack McGovern</w:t>
            </w:r>
          </w:p>
        </w:tc>
        <w:tc>
          <w:tcPr>
            <w:tcW w:w="2687" w:type="dxa"/>
          </w:tcPr>
          <w:p w14:paraId="40324E37" w14:textId="77777777" w:rsidR="00A26C47" w:rsidRPr="00532ABB" w:rsidRDefault="00A26C47" w:rsidP="00922E4D">
            <w:r>
              <w:t>SERO</w:t>
            </w:r>
            <w:r w:rsidRPr="00532ABB">
              <w:t>/SF</w:t>
            </w:r>
          </w:p>
        </w:tc>
        <w:tc>
          <w:tcPr>
            <w:tcW w:w="4255" w:type="dxa"/>
          </w:tcPr>
          <w:p w14:paraId="64EF7456" w14:textId="25F98EBC" w:rsidR="00A26C47" w:rsidRPr="00532ABB" w:rsidRDefault="007E21B1" w:rsidP="00922E4D">
            <w:r>
              <w:t>Assistant Regional Administrator</w:t>
            </w:r>
          </w:p>
        </w:tc>
      </w:tr>
      <w:tr w:rsidR="00A26C47" w:rsidRPr="00532ABB" w14:paraId="2AC071C8" w14:textId="77777777" w:rsidTr="00922E4D">
        <w:trPr>
          <w:trHeight w:val="350"/>
        </w:trPr>
        <w:tc>
          <w:tcPr>
            <w:tcW w:w="2597" w:type="dxa"/>
          </w:tcPr>
          <w:p w14:paraId="4A96AF44" w14:textId="77777777" w:rsidR="00A26C47" w:rsidRPr="00532ABB" w:rsidRDefault="00A26C47" w:rsidP="00922E4D">
            <w:r>
              <w:t xml:space="preserve">Kari McLauchlin </w:t>
            </w:r>
          </w:p>
        </w:tc>
        <w:tc>
          <w:tcPr>
            <w:tcW w:w="2687" w:type="dxa"/>
          </w:tcPr>
          <w:p w14:paraId="11CEA1D1" w14:textId="77777777" w:rsidR="00A26C47" w:rsidRPr="00532ABB" w:rsidRDefault="00A26C47" w:rsidP="00922E4D">
            <w:r>
              <w:t>SAFMC</w:t>
            </w:r>
          </w:p>
        </w:tc>
        <w:tc>
          <w:tcPr>
            <w:tcW w:w="4255" w:type="dxa"/>
          </w:tcPr>
          <w:p w14:paraId="3F2287CC" w14:textId="77777777" w:rsidR="00A26C47" w:rsidRPr="00532ABB" w:rsidRDefault="00A26C47" w:rsidP="00922E4D">
            <w:r>
              <w:t xml:space="preserve">Social Scientist </w:t>
            </w:r>
          </w:p>
        </w:tc>
      </w:tr>
      <w:tr w:rsidR="00613E04" w:rsidRPr="00532ABB" w14:paraId="25EC5A0D" w14:textId="77777777" w:rsidTr="004F72C4">
        <w:trPr>
          <w:trHeight w:val="359"/>
        </w:trPr>
        <w:tc>
          <w:tcPr>
            <w:tcW w:w="2597" w:type="dxa"/>
          </w:tcPr>
          <w:p w14:paraId="5D114D3E" w14:textId="77477C63" w:rsidR="00613E04" w:rsidRDefault="00613E04" w:rsidP="00D71AB1">
            <w:r>
              <w:t>Nikhil Mehta</w:t>
            </w:r>
          </w:p>
        </w:tc>
        <w:tc>
          <w:tcPr>
            <w:tcW w:w="2687" w:type="dxa"/>
          </w:tcPr>
          <w:p w14:paraId="7BCD2587" w14:textId="0C7BCFBD" w:rsidR="00613E04" w:rsidRDefault="00613E04" w:rsidP="00D71AB1">
            <w:r>
              <w:t>SERO/SF</w:t>
            </w:r>
          </w:p>
        </w:tc>
        <w:tc>
          <w:tcPr>
            <w:tcW w:w="4255" w:type="dxa"/>
          </w:tcPr>
          <w:p w14:paraId="08259C5D" w14:textId="3680FE67" w:rsidR="00613E04" w:rsidRDefault="00613E04" w:rsidP="00D71AB1">
            <w:r w:rsidRPr="00532ABB">
              <w:t>IPT Lead/Fishery Biologist</w:t>
            </w:r>
          </w:p>
        </w:tc>
      </w:tr>
      <w:tr w:rsidR="007909BF" w:rsidRPr="00532ABB" w14:paraId="5EA6081E" w14:textId="77777777" w:rsidTr="004F72C4">
        <w:trPr>
          <w:trHeight w:val="251"/>
        </w:trPr>
        <w:tc>
          <w:tcPr>
            <w:tcW w:w="2597" w:type="dxa"/>
          </w:tcPr>
          <w:p w14:paraId="0CEBA1FB" w14:textId="681BC90E" w:rsidR="007909BF" w:rsidRPr="00532ABB" w:rsidRDefault="00A26C47" w:rsidP="00D71AB1">
            <w:r>
              <w:t>Christina Package-Ward</w:t>
            </w:r>
            <w:r w:rsidR="00283664">
              <w:t xml:space="preserve"> </w:t>
            </w:r>
          </w:p>
        </w:tc>
        <w:tc>
          <w:tcPr>
            <w:tcW w:w="2687" w:type="dxa"/>
          </w:tcPr>
          <w:p w14:paraId="46B1BF93" w14:textId="77777777" w:rsidR="007909BF" w:rsidRPr="00532ABB" w:rsidRDefault="00267696" w:rsidP="00D71AB1">
            <w:r>
              <w:t>SERO</w:t>
            </w:r>
            <w:r w:rsidR="007909BF" w:rsidRPr="00532ABB">
              <w:t>/SF</w:t>
            </w:r>
          </w:p>
        </w:tc>
        <w:tc>
          <w:tcPr>
            <w:tcW w:w="4255" w:type="dxa"/>
          </w:tcPr>
          <w:p w14:paraId="2C0F3662" w14:textId="77777777" w:rsidR="007909BF" w:rsidRPr="00532ABB" w:rsidRDefault="00283664" w:rsidP="00D71AB1">
            <w:r>
              <w:t>Social Scientist</w:t>
            </w:r>
          </w:p>
        </w:tc>
      </w:tr>
      <w:tr w:rsidR="00A26C47" w:rsidRPr="00532ABB" w14:paraId="02BC46CE" w14:textId="77777777" w:rsidTr="00922E4D">
        <w:trPr>
          <w:trHeight w:val="350"/>
        </w:trPr>
        <w:tc>
          <w:tcPr>
            <w:tcW w:w="2597" w:type="dxa"/>
          </w:tcPr>
          <w:p w14:paraId="5CB5FF97" w14:textId="46ADFACF" w:rsidR="00A26C47" w:rsidRDefault="00A26C47" w:rsidP="00922E4D">
            <w:r>
              <w:t>Amy Schu</w:t>
            </w:r>
            <w:r w:rsidR="007E21B1">
              <w:t>e</w:t>
            </w:r>
            <w:r>
              <w:t xml:space="preserve">ller </w:t>
            </w:r>
          </w:p>
        </w:tc>
        <w:tc>
          <w:tcPr>
            <w:tcW w:w="2687" w:type="dxa"/>
          </w:tcPr>
          <w:p w14:paraId="4D1B247A" w14:textId="77777777" w:rsidR="00A26C47" w:rsidRDefault="00A26C47" w:rsidP="00922E4D">
            <w:r>
              <w:t>SEFSC</w:t>
            </w:r>
          </w:p>
        </w:tc>
        <w:tc>
          <w:tcPr>
            <w:tcW w:w="4255" w:type="dxa"/>
          </w:tcPr>
          <w:p w14:paraId="25532B99" w14:textId="6250ADCA" w:rsidR="00A26C47" w:rsidRDefault="007E21B1" w:rsidP="00922E4D">
            <w:r>
              <w:t>Research Fishery Biol</w:t>
            </w:r>
            <w:r w:rsidR="007E39B0">
              <w:t>o</w:t>
            </w:r>
            <w:r>
              <w:t>gist</w:t>
            </w:r>
          </w:p>
        </w:tc>
      </w:tr>
      <w:tr w:rsidR="007909BF" w:rsidRPr="00532ABB" w14:paraId="2BD950B7" w14:textId="77777777" w:rsidTr="004F72C4">
        <w:trPr>
          <w:trHeight w:val="332"/>
        </w:trPr>
        <w:tc>
          <w:tcPr>
            <w:tcW w:w="2597" w:type="dxa"/>
          </w:tcPr>
          <w:p w14:paraId="229261C8" w14:textId="58C61CDF" w:rsidR="007909BF" w:rsidRPr="00532ABB" w:rsidRDefault="002E1908" w:rsidP="00D71AB1">
            <w:r>
              <w:t>Noah Silverman</w:t>
            </w:r>
          </w:p>
        </w:tc>
        <w:tc>
          <w:tcPr>
            <w:tcW w:w="2687" w:type="dxa"/>
          </w:tcPr>
          <w:p w14:paraId="64BE0B4C" w14:textId="77777777" w:rsidR="007909BF" w:rsidRPr="00532ABB" w:rsidRDefault="006A0D24" w:rsidP="00D71AB1">
            <w:r>
              <w:t>NMFS/SER</w:t>
            </w:r>
          </w:p>
        </w:tc>
        <w:tc>
          <w:tcPr>
            <w:tcW w:w="4255" w:type="dxa"/>
          </w:tcPr>
          <w:p w14:paraId="69C4540C" w14:textId="77777777" w:rsidR="007909BF" w:rsidRPr="00532ABB" w:rsidRDefault="00267696" w:rsidP="00D71AB1">
            <w:r>
              <w:t xml:space="preserve">Regional </w:t>
            </w:r>
            <w:r w:rsidR="002E5DB0">
              <w:t>NEPA</w:t>
            </w:r>
            <w:r>
              <w:t xml:space="preserve"> Coordinator</w:t>
            </w:r>
          </w:p>
        </w:tc>
      </w:tr>
      <w:tr w:rsidR="007909BF" w:rsidRPr="00532ABB" w14:paraId="436AB326" w14:textId="77777777" w:rsidTr="004F72C4">
        <w:trPr>
          <w:trHeight w:val="350"/>
        </w:trPr>
        <w:tc>
          <w:tcPr>
            <w:tcW w:w="2597" w:type="dxa"/>
          </w:tcPr>
          <w:p w14:paraId="4AFA35BA" w14:textId="77777777" w:rsidR="007909BF" w:rsidRPr="00532ABB" w:rsidRDefault="00283664" w:rsidP="00D71AB1">
            <w:r>
              <w:t>Monica Smit-Brunello</w:t>
            </w:r>
          </w:p>
        </w:tc>
        <w:tc>
          <w:tcPr>
            <w:tcW w:w="2687" w:type="dxa"/>
          </w:tcPr>
          <w:p w14:paraId="7BEBF1B7" w14:textId="77777777" w:rsidR="007909BF" w:rsidRPr="00532ABB" w:rsidRDefault="002E5DB0" w:rsidP="00D71AB1">
            <w:r>
              <w:t>NOAA GC</w:t>
            </w:r>
          </w:p>
        </w:tc>
        <w:tc>
          <w:tcPr>
            <w:tcW w:w="4255" w:type="dxa"/>
          </w:tcPr>
          <w:p w14:paraId="25A4EED2" w14:textId="77777777" w:rsidR="007909BF" w:rsidRPr="00532ABB" w:rsidRDefault="002E5DB0" w:rsidP="00D71AB1">
            <w:r>
              <w:t>General</w:t>
            </w:r>
            <w:r w:rsidR="00671D20">
              <w:t xml:space="preserve"> </w:t>
            </w:r>
            <w:r>
              <w:t>Counsel</w:t>
            </w:r>
          </w:p>
        </w:tc>
      </w:tr>
      <w:tr w:rsidR="00A26C47" w:rsidRPr="00532ABB" w14:paraId="6BE3AB45" w14:textId="77777777" w:rsidTr="00922E4D">
        <w:trPr>
          <w:trHeight w:val="350"/>
        </w:trPr>
        <w:tc>
          <w:tcPr>
            <w:tcW w:w="2597" w:type="dxa"/>
          </w:tcPr>
          <w:p w14:paraId="517E7F6D" w14:textId="77777777" w:rsidR="00A26C47" w:rsidRPr="00532ABB" w:rsidRDefault="00A26C47" w:rsidP="00922E4D">
            <w:r>
              <w:t>Mary Vara</w:t>
            </w:r>
          </w:p>
        </w:tc>
        <w:tc>
          <w:tcPr>
            <w:tcW w:w="2687" w:type="dxa"/>
          </w:tcPr>
          <w:p w14:paraId="7CEB4B51" w14:textId="77777777" w:rsidR="00A26C47" w:rsidRPr="00532ABB" w:rsidRDefault="00A26C47" w:rsidP="00922E4D">
            <w:r>
              <w:t>SERO</w:t>
            </w:r>
            <w:r w:rsidRPr="00532ABB">
              <w:t>/SF</w:t>
            </w:r>
          </w:p>
        </w:tc>
        <w:tc>
          <w:tcPr>
            <w:tcW w:w="4255" w:type="dxa"/>
          </w:tcPr>
          <w:p w14:paraId="69B550A5" w14:textId="77777777" w:rsidR="00A26C47" w:rsidRPr="00532ABB" w:rsidRDefault="00A26C47" w:rsidP="00922E4D">
            <w:r w:rsidRPr="00532ABB">
              <w:t>IPT Lead/Fishery Biologist</w:t>
            </w:r>
          </w:p>
        </w:tc>
      </w:tr>
    </w:tbl>
    <w:p w14:paraId="3E114A4F" w14:textId="77777777" w:rsidR="0035669D" w:rsidRPr="00895F90" w:rsidRDefault="008D0B8B" w:rsidP="00D71AB1">
      <w:pPr>
        <w:rPr>
          <w:sz w:val="16"/>
          <w:szCs w:val="16"/>
        </w:rPr>
        <w:sectPr w:rsidR="0035669D" w:rsidRPr="00895F90" w:rsidSect="0038545E">
          <w:footerReference w:type="default" r:id="rId78"/>
          <w:pgSz w:w="12240" w:h="15840" w:code="1"/>
          <w:pgMar w:top="1440" w:right="1440" w:bottom="1440" w:left="1440" w:header="720" w:footer="720" w:gutter="0"/>
          <w:cols w:space="720"/>
          <w:docGrid w:linePitch="360"/>
        </w:sectPr>
      </w:pPr>
      <w:r w:rsidRPr="00532ABB">
        <w:rPr>
          <w:sz w:val="16"/>
          <w:szCs w:val="16"/>
        </w:rPr>
        <w:t xml:space="preserve">NMFS = National Marine Fisheries Service, SAFMC = South Atlantic Fishery Management Council, SF = Sustainable Fisheries Division, PR = Protected Resources Division, SERO = Southeast Regional Office, HC = Habitat Conservation </w:t>
      </w:r>
      <w:r w:rsidR="00267696">
        <w:rPr>
          <w:sz w:val="16"/>
          <w:szCs w:val="16"/>
        </w:rPr>
        <w:t>Division, GC = General Counsel</w:t>
      </w:r>
    </w:p>
    <w:p w14:paraId="385C97C9" w14:textId="77777777" w:rsidR="008D0B8B" w:rsidRPr="00532ABB" w:rsidRDefault="00886469" w:rsidP="00D71AB1">
      <w:pPr>
        <w:pStyle w:val="Heading1"/>
        <w:rPr>
          <w:rStyle w:val="Heading3Char"/>
          <w:rFonts w:ascii="Times New Roman" w:hAnsi="Times New Roman" w:cs="Times New Roman"/>
          <w:b/>
          <w:bCs/>
        </w:rPr>
      </w:pPr>
      <w:bookmarkStart w:id="384" w:name="_Toc304880027"/>
      <w:bookmarkStart w:id="385" w:name="_Toc361410431"/>
      <w:bookmarkStart w:id="386" w:name="_Toc339811828"/>
      <w:r w:rsidRPr="00532ABB">
        <w:rPr>
          <w:rStyle w:val="Heading3Char"/>
          <w:rFonts w:ascii="Times New Roman" w:hAnsi="Times New Roman" w:cs="Times New Roman"/>
          <w:b/>
          <w:bCs/>
          <w:color w:val="8DB3E2"/>
          <w:sz w:val="36"/>
          <w:szCs w:val="36"/>
        </w:rPr>
        <w:lastRenderedPageBreak/>
        <w:t>Chapter 8</w:t>
      </w:r>
      <w:r w:rsidR="008D0B8B" w:rsidRPr="00532ABB">
        <w:rPr>
          <w:rStyle w:val="Heading3Char"/>
          <w:rFonts w:ascii="Times New Roman" w:hAnsi="Times New Roman" w:cs="Times New Roman"/>
          <w:b/>
          <w:bCs/>
          <w:color w:val="8DB3E2"/>
          <w:sz w:val="36"/>
          <w:szCs w:val="36"/>
        </w:rPr>
        <w:t>.</w:t>
      </w:r>
      <w:r w:rsidR="008D0B8B" w:rsidRPr="00532ABB">
        <w:rPr>
          <w:rStyle w:val="Heading3Char"/>
          <w:rFonts w:ascii="Times New Roman" w:hAnsi="Times New Roman" w:cs="Times New Roman"/>
          <w:b/>
          <w:bCs/>
          <w:sz w:val="40"/>
          <w:szCs w:val="40"/>
        </w:rPr>
        <w:t xml:space="preserve">  </w:t>
      </w:r>
      <w:r w:rsidR="000F00CD" w:rsidRPr="00532ABB">
        <w:rPr>
          <w:rStyle w:val="Heading3Char"/>
          <w:rFonts w:ascii="Times New Roman" w:hAnsi="Times New Roman" w:cs="Times New Roman"/>
          <w:b/>
          <w:bCs/>
          <w:color w:val="548DD4"/>
          <w:sz w:val="56"/>
          <w:szCs w:val="56"/>
        </w:rPr>
        <w:t>Agencies and Persons Consulted</w:t>
      </w:r>
      <w:bookmarkEnd w:id="384"/>
      <w:bookmarkEnd w:id="385"/>
      <w:bookmarkEnd w:id="386"/>
    </w:p>
    <w:p w14:paraId="5337C0C0" w14:textId="77777777" w:rsidR="008D0B8B" w:rsidRPr="00532ABB" w:rsidRDefault="008D0B8B" w:rsidP="00D71AB1"/>
    <w:p w14:paraId="1CEA7193" w14:textId="77777777" w:rsidR="008D0B8B" w:rsidRPr="00532ABB" w:rsidRDefault="008D0B8B" w:rsidP="00D71AB1">
      <w:pPr>
        <w:rPr>
          <w:u w:val="single"/>
        </w:rPr>
      </w:pPr>
      <w:r w:rsidRPr="00532ABB">
        <w:rPr>
          <w:u w:val="single"/>
        </w:rPr>
        <w:t>Responsible Agency</w:t>
      </w:r>
    </w:p>
    <w:p w14:paraId="6913D67D" w14:textId="77777777" w:rsidR="00895F90" w:rsidRDefault="00895F90" w:rsidP="00D71AB1">
      <w:pPr>
        <w:rPr>
          <w:b/>
        </w:rPr>
        <w:sectPr w:rsidR="00895F90" w:rsidSect="0038545E">
          <w:footerReference w:type="default" r:id="rId79"/>
          <w:pgSz w:w="12240" w:h="15840" w:code="1"/>
          <w:pgMar w:top="1440" w:right="1440" w:bottom="1440" w:left="1440" w:header="720" w:footer="720" w:gutter="0"/>
          <w:cols w:space="720"/>
          <w:docGrid w:linePitch="360"/>
        </w:sectPr>
      </w:pPr>
    </w:p>
    <w:p w14:paraId="39185B31" w14:textId="77777777" w:rsidR="005214A3" w:rsidRDefault="00895F90" w:rsidP="00D71AB1">
      <w:pPr>
        <w:rPr>
          <w:b/>
        </w:rPr>
      </w:pPr>
      <w:r>
        <w:rPr>
          <w:b/>
        </w:rPr>
        <w:lastRenderedPageBreak/>
        <w:t xml:space="preserve">South Atlantic </w:t>
      </w:r>
    </w:p>
    <w:p w14:paraId="766F4236" w14:textId="77777777" w:rsidR="008D0B8B" w:rsidRPr="00532ABB" w:rsidRDefault="008D0B8B" w:rsidP="00D71AB1">
      <w:r w:rsidRPr="00532ABB">
        <w:t>South Atlan</w:t>
      </w:r>
      <w:r w:rsidR="00895F90">
        <w:t>tic Fishery Management Council</w:t>
      </w:r>
      <w:r w:rsidR="00895F90">
        <w:tab/>
      </w:r>
    </w:p>
    <w:p w14:paraId="254C0289" w14:textId="77777777" w:rsidR="008D0B8B" w:rsidRPr="00532ABB" w:rsidRDefault="008D0B8B" w:rsidP="00D71AB1">
      <w:pPr>
        <w:tabs>
          <w:tab w:val="left" w:pos="720"/>
          <w:tab w:val="left" w:pos="864"/>
          <w:tab w:val="left" w:pos="1152"/>
          <w:tab w:val="left" w:pos="1440"/>
          <w:tab w:val="left" w:pos="5040"/>
          <w:tab w:val="left" w:pos="6480"/>
        </w:tabs>
        <w:ind w:right="-360"/>
      </w:pPr>
      <w:r w:rsidRPr="00532ABB">
        <w:t>40</w:t>
      </w:r>
      <w:r w:rsidR="00895F90">
        <w:t>55 Faber Place Drive, Suite 201</w:t>
      </w:r>
    </w:p>
    <w:p w14:paraId="700A116A" w14:textId="77777777" w:rsidR="008D0B8B" w:rsidRPr="00532ABB" w:rsidRDefault="008D0B8B" w:rsidP="00D71AB1">
      <w:pPr>
        <w:tabs>
          <w:tab w:val="left" w:pos="720"/>
          <w:tab w:val="left" w:pos="864"/>
          <w:tab w:val="left" w:pos="1152"/>
          <w:tab w:val="left" w:pos="1440"/>
          <w:tab w:val="left" w:pos="5040"/>
          <w:tab w:val="left" w:pos="6480"/>
        </w:tabs>
        <w:ind w:right="-360"/>
      </w:pPr>
      <w:r w:rsidRPr="00532ABB">
        <w:t>Charleston, South Carolina 294</w:t>
      </w:r>
      <w:r w:rsidR="00895F90">
        <w:t>05</w:t>
      </w:r>
    </w:p>
    <w:p w14:paraId="4D4B12EE" w14:textId="77777777" w:rsidR="008D0B8B" w:rsidRPr="00532ABB" w:rsidRDefault="00895F90" w:rsidP="00D71AB1">
      <w:pPr>
        <w:tabs>
          <w:tab w:val="left" w:pos="720"/>
          <w:tab w:val="left" w:pos="864"/>
          <w:tab w:val="left" w:pos="1152"/>
          <w:tab w:val="left" w:pos="1440"/>
          <w:tab w:val="left" w:pos="5040"/>
          <w:tab w:val="left" w:pos="6480"/>
        </w:tabs>
        <w:ind w:right="-360"/>
      </w:pPr>
      <w:r>
        <w:t>(843) 571-4366 (TEL)</w:t>
      </w:r>
    </w:p>
    <w:p w14:paraId="54222561" w14:textId="77777777" w:rsidR="008D0B8B" w:rsidRPr="00532ABB" w:rsidRDefault="00895F90" w:rsidP="00D71AB1">
      <w:pPr>
        <w:tabs>
          <w:tab w:val="left" w:pos="720"/>
          <w:tab w:val="left" w:pos="864"/>
          <w:tab w:val="left" w:pos="1152"/>
          <w:tab w:val="left" w:pos="1440"/>
          <w:tab w:val="left" w:pos="5040"/>
          <w:tab w:val="left" w:pos="6480"/>
        </w:tabs>
        <w:ind w:right="-360"/>
      </w:pPr>
      <w:r>
        <w:t>Toll Free: 866-SAFMC-10</w:t>
      </w:r>
    </w:p>
    <w:p w14:paraId="3D00C9D0" w14:textId="77777777" w:rsidR="00895F90" w:rsidRPr="00532ABB" w:rsidRDefault="008D0B8B" w:rsidP="00D71AB1">
      <w:pPr>
        <w:tabs>
          <w:tab w:val="left" w:pos="720"/>
          <w:tab w:val="left" w:pos="864"/>
          <w:tab w:val="left" w:pos="1152"/>
          <w:tab w:val="left" w:pos="1440"/>
          <w:tab w:val="left" w:pos="5040"/>
          <w:tab w:val="left" w:pos="6480"/>
        </w:tabs>
        <w:ind w:right="-360"/>
      </w:pPr>
      <w:r w:rsidRPr="00532ABB">
        <w:t>(843) 769-4520 (FAX)</w:t>
      </w:r>
    </w:p>
    <w:p w14:paraId="624B06A7" w14:textId="77777777" w:rsidR="00895F90" w:rsidRDefault="00895F90" w:rsidP="00D71AB1">
      <w:pPr>
        <w:tabs>
          <w:tab w:val="left" w:pos="720"/>
          <w:tab w:val="left" w:pos="864"/>
          <w:tab w:val="left" w:pos="1152"/>
          <w:tab w:val="left" w:pos="1440"/>
          <w:tab w:val="left" w:pos="5040"/>
          <w:tab w:val="left" w:pos="6480"/>
        </w:tabs>
        <w:ind w:right="-360"/>
      </w:pPr>
      <w:r>
        <w:t xml:space="preserve">safmc@safmc.net </w:t>
      </w:r>
    </w:p>
    <w:p w14:paraId="508F2E72" w14:textId="77777777" w:rsidR="00FD4DDC" w:rsidRDefault="00FD4DDC" w:rsidP="00D71AB1">
      <w:pPr>
        <w:tabs>
          <w:tab w:val="left" w:pos="720"/>
          <w:tab w:val="left" w:pos="864"/>
          <w:tab w:val="left" w:pos="1152"/>
          <w:tab w:val="left" w:pos="1440"/>
          <w:tab w:val="left" w:pos="5040"/>
          <w:tab w:val="left" w:pos="6480"/>
        </w:tabs>
        <w:ind w:right="-360"/>
      </w:pPr>
    </w:p>
    <w:p w14:paraId="734B298E" w14:textId="77777777" w:rsidR="00895F90" w:rsidRPr="00895F90" w:rsidRDefault="00895F90" w:rsidP="00D71AB1">
      <w:pPr>
        <w:tabs>
          <w:tab w:val="left" w:pos="720"/>
          <w:tab w:val="left" w:pos="864"/>
          <w:tab w:val="left" w:pos="1152"/>
          <w:tab w:val="left" w:pos="1440"/>
          <w:tab w:val="left" w:pos="5040"/>
          <w:tab w:val="left" w:pos="6480"/>
        </w:tabs>
        <w:ind w:right="-360"/>
      </w:pPr>
      <w:r w:rsidRPr="00532ABB">
        <w:rPr>
          <w:b/>
        </w:rPr>
        <w:t>Environmental Assessment:</w:t>
      </w:r>
    </w:p>
    <w:p w14:paraId="25861437" w14:textId="77777777" w:rsidR="00895F90" w:rsidRDefault="00895F90" w:rsidP="00D71AB1">
      <w:r w:rsidRPr="00532ABB">
        <w:lastRenderedPageBreak/>
        <w:t>NMFS, Southeast Region</w:t>
      </w:r>
    </w:p>
    <w:p w14:paraId="23C23D8D" w14:textId="77777777" w:rsidR="00895F90" w:rsidRDefault="00895F90" w:rsidP="00D71AB1">
      <w:r w:rsidRPr="00532ABB">
        <w:t>263 13</w:t>
      </w:r>
      <w:r w:rsidRPr="00532ABB">
        <w:rPr>
          <w:vertAlign w:val="superscript"/>
        </w:rPr>
        <w:t>th</w:t>
      </w:r>
      <w:r w:rsidRPr="00532ABB">
        <w:t xml:space="preserve"> Avenue South</w:t>
      </w:r>
    </w:p>
    <w:p w14:paraId="6DC00D35" w14:textId="77777777" w:rsidR="00895F90" w:rsidRDefault="00895F90" w:rsidP="00D71AB1">
      <w:r w:rsidRPr="00532ABB">
        <w:t>St. Petersburg, Florida 33701</w:t>
      </w:r>
    </w:p>
    <w:p w14:paraId="7BC792ED" w14:textId="77777777" w:rsidR="00895F90" w:rsidRDefault="00895F90" w:rsidP="00D71AB1">
      <w:r w:rsidRPr="00532ABB">
        <w:t>(727) 824-5301 (TEL)</w:t>
      </w:r>
    </w:p>
    <w:p w14:paraId="325C84DC" w14:textId="77777777" w:rsidR="00895F90" w:rsidRDefault="00895F90" w:rsidP="00D71AB1">
      <w:r w:rsidRPr="00532ABB">
        <w:t>(727) 824-5320 (FAX)</w:t>
      </w:r>
    </w:p>
    <w:p w14:paraId="2261C204" w14:textId="77777777" w:rsidR="00895F90" w:rsidRDefault="00895F90" w:rsidP="00D71AB1"/>
    <w:p w14:paraId="1B5CE1FB" w14:textId="77777777" w:rsidR="00895F90" w:rsidRDefault="00895F90" w:rsidP="00D71AB1"/>
    <w:p w14:paraId="55561B72" w14:textId="77777777" w:rsidR="00895F90" w:rsidRDefault="00895F90" w:rsidP="00D71AB1"/>
    <w:p w14:paraId="6367C645" w14:textId="77777777" w:rsidR="00895F90" w:rsidRDefault="00895F90" w:rsidP="00D71AB1"/>
    <w:p w14:paraId="1F2E2773" w14:textId="77777777" w:rsidR="00895F90" w:rsidRDefault="00895F90" w:rsidP="00D71AB1">
      <w:pPr>
        <w:sectPr w:rsidR="00895F90" w:rsidSect="0038545E">
          <w:type w:val="continuous"/>
          <w:pgSz w:w="12240" w:h="15840" w:code="1"/>
          <w:pgMar w:top="1440" w:right="1440" w:bottom="1440" w:left="1440" w:header="720" w:footer="720" w:gutter="0"/>
          <w:cols w:num="2" w:space="720"/>
          <w:docGrid w:linePitch="360"/>
        </w:sectPr>
      </w:pPr>
    </w:p>
    <w:p w14:paraId="48AC2D36" w14:textId="77777777" w:rsidR="00895F90" w:rsidRPr="00895F90" w:rsidRDefault="00895F90" w:rsidP="00D71AB1"/>
    <w:p w14:paraId="104F4092" w14:textId="77777777" w:rsidR="008D0B8B" w:rsidRPr="00532ABB" w:rsidRDefault="008D0B8B" w:rsidP="00D71AB1">
      <w:pPr>
        <w:rPr>
          <w:u w:val="single"/>
        </w:rPr>
      </w:pPr>
      <w:r w:rsidRPr="00532ABB">
        <w:rPr>
          <w:u w:val="single"/>
        </w:rPr>
        <w:t>List of Agencies, Organizations, and Persons Consulted</w:t>
      </w:r>
    </w:p>
    <w:p w14:paraId="4B6CCD3F" w14:textId="77777777" w:rsidR="008D0B8B" w:rsidRDefault="008D0B8B" w:rsidP="00D71AB1">
      <w:r w:rsidRPr="00532ABB">
        <w:t>SAFMC Law Enforcement Advisory Panel</w:t>
      </w:r>
    </w:p>
    <w:p w14:paraId="280ACA2C" w14:textId="77777777" w:rsidR="009F7252" w:rsidRDefault="009F7252" w:rsidP="00D71AB1">
      <w:r>
        <w:t xml:space="preserve">SAFMC </w:t>
      </w:r>
      <w:r w:rsidR="00283664">
        <w:t xml:space="preserve">Snapper Grouper </w:t>
      </w:r>
      <w:r>
        <w:t>Advisory Panel</w:t>
      </w:r>
    </w:p>
    <w:p w14:paraId="6E361E82" w14:textId="77777777" w:rsidR="008D0B8B" w:rsidRPr="00532ABB" w:rsidRDefault="008D0B8B" w:rsidP="00D71AB1">
      <w:r w:rsidRPr="00532ABB">
        <w:t xml:space="preserve">SAFMC Scientific and Statistical Committee </w:t>
      </w:r>
    </w:p>
    <w:p w14:paraId="2D3D4FAC" w14:textId="77777777" w:rsidR="008D0B8B" w:rsidRPr="00532ABB" w:rsidRDefault="008D0B8B" w:rsidP="00D71AB1">
      <w:r w:rsidRPr="00532ABB">
        <w:t>North Carolina Coastal Zone Management Program</w:t>
      </w:r>
    </w:p>
    <w:p w14:paraId="2426496F" w14:textId="77777777" w:rsidR="008D0B8B" w:rsidRPr="00532ABB" w:rsidRDefault="008D0B8B" w:rsidP="00D71AB1">
      <w:r w:rsidRPr="00532ABB">
        <w:t xml:space="preserve">South Carolina Coastal Zone Management Program </w:t>
      </w:r>
    </w:p>
    <w:p w14:paraId="6BDBF9E5" w14:textId="77777777" w:rsidR="008D0B8B" w:rsidRPr="00532ABB" w:rsidRDefault="008D0B8B" w:rsidP="00D71AB1">
      <w:r w:rsidRPr="00532ABB">
        <w:t>Georgia Coastal Zone Management Program</w:t>
      </w:r>
    </w:p>
    <w:p w14:paraId="710EA679" w14:textId="77777777" w:rsidR="008D0B8B" w:rsidRPr="00532ABB" w:rsidRDefault="008D0B8B" w:rsidP="00D71AB1">
      <w:r w:rsidRPr="00532ABB">
        <w:t xml:space="preserve">Florida Coastal Zone Management Program </w:t>
      </w:r>
    </w:p>
    <w:p w14:paraId="5A155988" w14:textId="77777777" w:rsidR="008D0B8B" w:rsidRPr="00532ABB" w:rsidRDefault="008D0B8B" w:rsidP="00D71AB1">
      <w:r w:rsidRPr="00532ABB">
        <w:t>Florida Fish and Wildlife Conservation Commission</w:t>
      </w:r>
    </w:p>
    <w:p w14:paraId="00188DB4" w14:textId="77777777" w:rsidR="008D0B8B" w:rsidRPr="00532ABB" w:rsidRDefault="008D0B8B" w:rsidP="00D71AB1">
      <w:r w:rsidRPr="00532ABB">
        <w:t>Georgia Department of Natural Resources</w:t>
      </w:r>
    </w:p>
    <w:p w14:paraId="4900D6F5" w14:textId="77777777" w:rsidR="008D0B8B" w:rsidRPr="00532ABB" w:rsidRDefault="008D0B8B" w:rsidP="00D71AB1">
      <w:r w:rsidRPr="00532ABB">
        <w:t>South Carolina Department of Natural Resources</w:t>
      </w:r>
    </w:p>
    <w:p w14:paraId="4043410F" w14:textId="77777777" w:rsidR="008D0B8B" w:rsidRPr="00532ABB" w:rsidRDefault="008D0B8B" w:rsidP="00D71AB1">
      <w:r w:rsidRPr="00532ABB">
        <w:t>North Carolina Division of Marine Fisheries</w:t>
      </w:r>
    </w:p>
    <w:p w14:paraId="6F23AB92" w14:textId="77777777" w:rsidR="008D0B8B" w:rsidRPr="00532ABB" w:rsidRDefault="008D0B8B" w:rsidP="00D71AB1">
      <w:r w:rsidRPr="00532ABB">
        <w:t>North Carolina Sea Grant</w:t>
      </w:r>
    </w:p>
    <w:p w14:paraId="4679F90C" w14:textId="77777777" w:rsidR="008D0B8B" w:rsidRPr="00532ABB" w:rsidRDefault="008D0B8B" w:rsidP="00D71AB1">
      <w:r w:rsidRPr="00532ABB">
        <w:t>South Carolina Sea Grant</w:t>
      </w:r>
    </w:p>
    <w:p w14:paraId="505428AF" w14:textId="77777777" w:rsidR="008D0B8B" w:rsidRPr="00532ABB" w:rsidRDefault="008D0B8B" w:rsidP="00D71AB1">
      <w:r w:rsidRPr="00532ABB">
        <w:t>Georgia Sea Grant</w:t>
      </w:r>
    </w:p>
    <w:p w14:paraId="47A9ADEC" w14:textId="77777777" w:rsidR="008D0B8B" w:rsidRPr="00532ABB" w:rsidRDefault="008D0B8B" w:rsidP="00D71AB1">
      <w:r w:rsidRPr="00532ABB">
        <w:t>Florida Sea Grant</w:t>
      </w:r>
    </w:p>
    <w:p w14:paraId="5382033C" w14:textId="77777777" w:rsidR="008D0B8B" w:rsidRPr="00532ABB" w:rsidRDefault="008D0B8B" w:rsidP="00D71AB1">
      <w:r w:rsidRPr="00532ABB">
        <w:t xml:space="preserve">Atlantic States Marine Fisheries Commission </w:t>
      </w:r>
    </w:p>
    <w:p w14:paraId="3DC30018" w14:textId="77777777" w:rsidR="008D0B8B" w:rsidRPr="00532ABB" w:rsidRDefault="008D0B8B" w:rsidP="00D71AB1">
      <w:r w:rsidRPr="00532ABB">
        <w:t>Gulf and South Atlantic Fisheries Development Foundation</w:t>
      </w:r>
    </w:p>
    <w:p w14:paraId="7CE776C0" w14:textId="77777777" w:rsidR="008D0B8B" w:rsidRPr="00532ABB" w:rsidRDefault="008D0B8B" w:rsidP="00D71AB1">
      <w:r w:rsidRPr="00532ABB">
        <w:t>Gulf of Mexico Fishery Management Council</w:t>
      </w:r>
    </w:p>
    <w:p w14:paraId="56C3A261" w14:textId="77777777" w:rsidR="008D0B8B" w:rsidRPr="00532ABB" w:rsidRDefault="008D0B8B" w:rsidP="00D71AB1">
      <w:r w:rsidRPr="00532ABB">
        <w:t>National Marine Fisheries Service</w:t>
      </w:r>
    </w:p>
    <w:p w14:paraId="2A393C2E" w14:textId="77777777" w:rsidR="008D0B8B" w:rsidRPr="00532ABB" w:rsidRDefault="008D0B8B" w:rsidP="00D71AB1">
      <w:pPr>
        <w:tabs>
          <w:tab w:val="left" w:pos="720"/>
          <w:tab w:val="left" w:pos="864"/>
          <w:tab w:val="left" w:pos="1152"/>
          <w:tab w:val="left" w:pos="1440"/>
          <w:tab w:val="left" w:pos="2880"/>
          <w:tab w:val="left" w:pos="3600"/>
          <w:tab w:val="left" w:pos="6480"/>
        </w:tabs>
        <w:ind w:right="-360"/>
      </w:pPr>
      <w:r w:rsidRPr="00532ABB">
        <w:tab/>
        <w:t>- Washington Office</w:t>
      </w:r>
    </w:p>
    <w:p w14:paraId="70C67B7D" w14:textId="77777777" w:rsidR="008D0B8B" w:rsidRPr="00532ABB" w:rsidRDefault="008D0B8B" w:rsidP="00D71AB1">
      <w:pPr>
        <w:tabs>
          <w:tab w:val="left" w:pos="720"/>
          <w:tab w:val="left" w:pos="864"/>
          <w:tab w:val="left" w:pos="1152"/>
          <w:tab w:val="left" w:pos="1440"/>
          <w:tab w:val="left" w:pos="2880"/>
          <w:tab w:val="left" w:pos="3600"/>
          <w:tab w:val="left" w:pos="6950"/>
        </w:tabs>
        <w:ind w:right="-360"/>
      </w:pPr>
      <w:r w:rsidRPr="00532ABB">
        <w:tab/>
        <w:t>- Office of Ecology and Conservation</w:t>
      </w:r>
      <w:r w:rsidR="00283664">
        <w:tab/>
      </w:r>
    </w:p>
    <w:p w14:paraId="097C4EE5" w14:textId="77777777" w:rsidR="008D0B8B" w:rsidRPr="00532ABB" w:rsidRDefault="008D0B8B" w:rsidP="00D71AB1">
      <w:pPr>
        <w:tabs>
          <w:tab w:val="left" w:pos="720"/>
          <w:tab w:val="left" w:pos="864"/>
          <w:tab w:val="left" w:pos="1152"/>
          <w:tab w:val="left" w:pos="1440"/>
          <w:tab w:val="left" w:pos="2880"/>
          <w:tab w:val="left" w:pos="3600"/>
          <w:tab w:val="left" w:pos="6480"/>
        </w:tabs>
        <w:ind w:right="-360"/>
      </w:pPr>
      <w:r w:rsidRPr="00532ABB">
        <w:tab/>
        <w:t>- Southeast Regional Office</w:t>
      </w:r>
    </w:p>
    <w:p w14:paraId="00EB4AA3" w14:textId="77777777" w:rsidR="000F00CD" w:rsidRPr="00532ABB" w:rsidRDefault="008D0B8B" w:rsidP="00D71AB1">
      <w:pPr>
        <w:tabs>
          <w:tab w:val="left" w:pos="720"/>
          <w:tab w:val="left" w:pos="864"/>
          <w:tab w:val="left" w:pos="1152"/>
          <w:tab w:val="left" w:pos="1440"/>
          <w:tab w:val="left" w:pos="2880"/>
          <w:tab w:val="left" w:pos="3600"/>
          <w:tab w:val="left" w:pos="6480"/>
        </w:tabs>
        <w:ind w:right="-360"/>
        <w:sectPr w:rsidR="000F00CD" w:rsidRPr="00532ABB" w:rsidSect="0038545E">
          <w:type w:val="continuous"/>
          <w:pgSz w:w="12240" w:h="15840" w:code="1"/>
          <w:pgMar w:top="1440" w:right="1440" w:bottom="1440" w:left="1440" w:header="720" w:footer="720" w:gutter="0"/>
          <w:cols w:space="720"/>
          <w:docGrid w:linePitch="360"/>
        </w:sectPr>
      </w:pPr>
      <w:r w:rsidRPr="00532ABB">
        <w:tab/>
        <w:t>- Southeast Fisheries Science Cent</w:t>
      </w:r>
      <w:r w:rsidR="000F00CD" w:rsidRPr="00532ABB">
        <w:t>er</w:t>
      </w:r>
    </w:p>
    <w:p w14:paraId="5D9AFF78" w14:textId="77777777" w:rsidR="000F00CD" w:rsidRPr="00532ABB" w:rsidRDefault="00886469" w:rsidP="00D71AB1">
      <w:pPr>
        <w:pStyle w:val="Heading1"/>
        <w:rPr>
          <w:rStyle w:val="Heading3Char"/>
          <w:rFonts w:ascii="Times New Roman" w:hAnsi="Times New Roman" w:cs="Times New Roman"/>
          <w:b/>
          <w:bCs/>
          <w:color w:val="548DD4"/>
          <w:sz w:val="56"/>
          <w:szCs w:val="56"/>
        </w:rPr>
      </w:pPr>
      <w:bookmarkStart w:id="387" w:name="_Toc304880028"/>
      <w:bookmarkStart w:id="388" w:name="_Toc361410432"/>
      <w:bookmarkStart w:id="389" w:name="_Toc339811829"/>
      <w:r w:rsidRPr="00532ABB">
        <w:rPr>
          <w:rStyle w:val="Heading3Char"/>
          <w:rFonts w:ascii="Times New Roman" w:hAnsi="Times New Roman" w:cs="Times New Roman"/>
          <w:b/>
          <w:bCs/>
          <w:color w:val="8DB3E2"/>
          <w:sz w:val="36"/>
          <w:szCs w:val="36"/>
        </w:rPr>
        <w:lastRenderedPageBreak/>
        <w:t>Chapter 9</w:t>
      </w:r>
      <w:r w:rsidR="000F00CD" w:rsidRPr="00532ABB">
        <w:rPr>
          <w:rStyle w:val="Heading3Char"/>
          <w:rFonts w:ascii="Times New Roman" w:hAnsi="Times New Roman" w:cs="Times New Roman"/>
          <w:b/>
          <w:bCs/>
          <w:color w:val="8DB3E2"/>
          <w:sz w:val="36"/>
          <w:szCs w:val="36"/>
        </w:rPr>
        <w:t>.</w:t>
      </w:r>
      <w:r w:rsidR="000F00CD" w:rsidRPr="00532ABB">
        <w:rPr>
          <w:rStyle w:val="Heading3Char"/>
          <w:rFonts w:ascii="Times New Roman" w:hAnsi="Times New Roman" w:cs="Times New Roman"/>
          <w:b/>
          <w:bCs/>
          <w:sz w:val="40"/>
          <w:szCs w:val="40"/>
        </w:rPr>
        <w:t xml:space="preserve">  </w:t>
      </w:r>
      <w:r w:rsidR="000F00CD" w:rsidRPr="00532ABB">
        <w:rPr>
          <w:rStyle w:val="Heading3Char"/>
          <w:rFonts w:ascii="Times New Roman" w:hAnsi="Times New Roman" w:cs="Times New Roman"/>
          <w:b/>
          <w:bCs/>
          <w:color w:val="548DD4"/>
          <w:sz w:val="56"/>
          <w:szCs w:val="56"/>
        </w:rPr>
        <w:t>References</w:t>
      </w:r>
      <w:bookmarkEnd w:id="387"/>
      <w:bookmarkEnd w:id="388"/>
      <w:bookmarkEnd w:id="389"/>
    </w:p>
    <w:p w14:paraId="1E47778A" w14:textId="77777777" w:rsidR="008D0B8B" w:rsidRDefault="008D0B8B" w:rsidP="00D71AB1"/>
    <w:p w14:paraId="62E6724D" w14:textId="5BCFC0D5" w:rsidR="00100F94" w:rsidRPr="00100F94" w:rsidRDefault="00840B0B" w:rsidP="002456BB">
      <w:pPr>
        <w:pStyle w:val="BodyTextIndent"/>
        <w:spacing w:after="0"/>
        <w:ind w:left="0"/>
        <w:rPr>
          <w:shd w:val="clear" w:color="auto" w:fill="FFFFFF"/>
        </w:rPr>
      </w:pPr>
      <w:r w:rsidRPr="006E5718">
        <w:rPr>
          <w:shd w:val="clear" w:color="auto" w:fill="FFFFFF"/>
        </w:rPr>
        <w:t>Adams</w:t>
      </w:r>
      <w:r w:rsidR="00831BEA">
        <w:rPr>
          <w:shd w:val="clear" w:color="auto" w:fill="FFFFFF"/>
        </w:rPr>
        <w:t>, W.F.</w:t>
      </w:r>
      <w:r>
        <w:rPr>
          <w:shd w:val="clear" w:color="auto" w:fill="FFFFFF"/>
        </w:rPr>
        <w:t xml:space="preserve"> and C. Wilson. 1995.  </w:t>
      </w:r>
      <w:r w:rsidRPr="006E5718">
        <w:rPr>
          <w:shd w:val="clear" w:color="auto" w:fill="FFFFFF"/>
        </w:rPr>
        <w:t xml:space="preserve">The status of the smalltooth sawfish, </w:t>
      </w:r>
      <w:r w:rsidRPr="006E5718">
        <w:rPr>
          <w:i/>
          <w:iCs/>
          <w:shd w:val="clear" w:color="auto" w:fill="FFFFFF"/>
        </w:rPr>
        <w:t>Pristis pectinata</w:t>
      </w:r>
      <w:r w:rsidRPr="006E5718">
        <w:rPr>
          <w:shd w:val="clear" w:color="auto" w:fill="FFFFFF"/>
        </w:rPr>
        <w:t xml:space="preserve"> Latham 1794 (</w:t>
      </w:r>
      <w:r w:rsidRPr="006E5718">
        <w:t>Pristiformes: Pristidae)</w:t>
      </w:r>
      <w:r w:rsidRPr="006E5718">
        <w:rPr>
          <w:shd w:val="clear" w:color="auto" w:fill="FFFFFF"/>
        </w:rPr>
        <w:t xml:space="preserve"> in the United States</w:t>
      </w:r>
      <w:r>
        <w:rPr>
          <w:shd w:val="clear" w:color="auto" w:fill="FFFFFF"/>
        </w:rPr>
        <w:t>. Chondros 6(4):</w:t>
      </w:r>
      <w:r w:rsidRPr="006E5718">
        <w:rPr>
          <w:shd w:val="clear" w:color="auto" w:fill="FFFFFF"/>
        </w:rPr>
        <w:t>1-5.</w:t>
      </w:r>
    </w:p>
    <w:p w14:paraId="791AD917" w14:textId="77777777" w:rsidR="002456BB" w:rsidRDefault="002456BB" w:rsidP="002456BB">
      <w:pPr>
        <w:autoSpaceDE w:val="0"/>
        <w:autoSpaceDN w:val="0"/>
        <w:adjustRightInd w:val="0"/>
      </w:pPr>
    </w:p>
    <w:p w14:paraId="4399224C" w14:textId="13B9C154" w:rsidR="006C7DD1" w:rsidRDefault="006C7DD1" w:rsidP="002456BB">
      <w:pPr>
        <w:autoSpaceDE w:val="0"/>
        <w:autoSpaceDN w:val="0"/>
        <w:adjustRightInd w:val="0"/>
      </w:pPr>
      <w:r w:rsidRPr="006C7DD1">
        <w:t>Allen, G.R., 1985. Snappers of the world. An annotated and illustrated catalogue of lutjanid species known to date. FAO Species Catalogue, Vol. 6. FAO Fish. Synop. 125, pp. 1–208.</w:t>
      </w:r>
    </w:p>
    <w:p w14:paraId="64C598A5" w14:textId="77777777" w:rsidR="006C7DD1" w:rsidRDefault="006C7DD1" w:rsidP="002456BB">
      <w:pPr>
        <w:autoSpaceDE w:val="0"/>
        <w:autoSpaceDN w:val="0"/>
        <w:adjustRightInd w:val="0"/>
      </w:pPr>
    </w:p>
    <w:p w14:paraId="7BA7D49A" w14:textId="0CD293C6" w:rsidR="00840B0B" w:rsidRDefault="00840B0B" w:rsidP="002456BB">
      <w:pPr>
        <w:autoSpaceDE w:val="0"/>
        <w:autoSpaceDN w:val="0"/>
        <w:adjustRightInd w:val="0"/>
      </w:pPr>
      <w:r>
        <w:t>Anderes Al</w:t>
      </w:r>
      <w:r w:rsidRPr="006E5718">
        <w:t>v</w:t>
      </w:r>
      <w:r>
        <w:t>a</w:t>
      </w:r>
      <w:r w:rsidR="00831BEA">
        <w:t>rez, B.A.</w:t>
      </w:r>
      <w:r w:rsidRPr="006E5718">
        <w:t xml:space="preserve"> and I.</w:t>
      </w:r>
      <w:r>
        <w:t xml:space="preserve"> Uchida. 1994. </w:t>
      </w:r>
      <w:r w:rsidRPr="006E5718">
        <w:t>Study of the Hawksbill turtle (</w:t>
      </w:r>
      <w:r w:rsidRPr="006E5718">
        <w:rPr>
          <w:i/>
          <w:iCs/>
        </w:rPr>
        <w:t>Eretmochelys imbricata)</w:t>
      </w:r>
      <w:r w:rsidRPr="006E5718">
        <w:t xml:space="preserve"> stomach content in Cuban waters. </w:t>
      </w:r>
      <w:r w:rsidRPr="006E5718">
        <w:rPr>
          <w:i/>
          <w:iCs/>
        </w:rPr>
        <w:t>In</w:t>
      </w:r>
      <w:r w:rsidRPr="006E5718">
        <w:t>: Study of the Hawksbill turtle in Cuba (I), Ministry of Fishing Industry, Cuba.</w:t>
      </w:r>
    </w:p>
    <w:p w14:paraId="709420E9" w14:textId="77777777" w:rsidR="00840B0B" w:rsidRDefault="00840B0B" w:rsidP="00D71AB1">
      <w:pPr>
        <w:autoSpaceDE w:val="0"/>
        <w:autoSpaceDN w:val="0"/>
        <w:adjustRightInd w:val="0"/>
      </w:pPr>
    </w:p>
    <w:p w14:paraId="3A5F0686" w14:textId="77777777" w:rsidR="00CF2696" w:rsidRDefault="00CF2696" w:rsidP="00CF2696">
      <w:pPr>
        <w:autoSpaceDE w:val="0"/>
        <w:autoSpaceDN w:val="0"/>
        <w:adjustRightInd w:val="0"/>
      </w:pPr>
      <w:r>
        <w:t>Ault, J.S. and E.C. Franklin. 2011. Fisheries Resource Status and Management Alternatives for the Southeast Florida Region. Report to Florida DEP. Miami Beach, FL. Pp 105.</w:t>
      </w:r>
    </w:p>
    <w:p w14:paraId="5F59DF8B" w14:textId="77777777" w:rsidR="00CF2696" w:rsidRDefault="00CF2696" w:rsidP="00D71AB1">
      <w:pPr>
        <w:autoSpaceDE w:val="0"/>
        <w:autoSpaceDN w:val="0"/>
        <w:adjustRightInd w:val="0"/>
      </w:pPr>
    </w:p>
    <w:p w14:paraId="0B9F2D97" w14:textId="4F7FD0A5" w:rsidR="00723186" w:rsidRDefault="007E1FCF" w:rsidP="00723186">
      <w:pPr>
        <w:autoSpaceDE w:val="0"/>
        <w:autoSpaceDN w:val="0"/>
        <w:adjustRightInd w:val="0"/>
      </w:pPr>
      <w:r>
        <w:t xml:space="preserve">Barbieri L. and J.A. </w:t>
      </w:r>
      <w:r w:rsidR="004C2092">
        <w:t xml:space="preserve">Colvocoresses. </w:t>
      </w:r>
      <w:r>
        <w:t xml:space="preserve">2003. </w:t>
      </w:r>
      <w:r w:rsidR="00723186">
        <w:t>Southeast Florida reef fish abundance and biology. Five-year</w:t>
      </w:r>
      <w:r>
        <w:t xml:space="preserve"> </w:t>
      </w:r>
      <w:r w:rsidR="00723186">
        <w:t>final report to the Department of Interior by the Florida Marine Research Institute, St.</w:t>
      </w:r>
    </w:p>
    <w:p w14:paraId="74A4B545" w14:textId="77777777" w:rsidR="00723186" w:rsidRDefault="00723186" w:rsidP="00723186">
      <w:pPr>
        <w:autoSpaceDE w:val="0"/>
        <w:autoSpaceDN w:val="0"/>
        <w:adjustRightInd w:val="0"/>
      </w:pPr>
      <w:r>
        <w:t>Petersburg.</w:t>
      </w:r>
    </w:p>
    <w:p w14:paraId="59A85F87" w14:textId="77777777" w:rsidR="007E1FCF" w:rsidRDefault="007E1FCF" w:rsidP="00723186">
      <w:pPr>
        <w:autoSpaceDE w:val="0"/>
        <w:autoSpaceDN w:val="0"/>
        <w:adjustRightInd w:val="0"/>
      </w:pPr>
    </w:p>
    <w:p w14:paraId="6D24EC02" w14:textId="057BD46C" w:rsidR="00840B0B" w:rsidRDefault="00840B0B" w:rsidP="00D71AB1">
      <w:r w:rsidRPr="006E5718">
        <w:t>Bigelow, H.B.</w:t>
      </w:r>
      <w:r>
        <w:t xml:space="preserve"> and W.C. Schroeder. 1953. </w:t>
      </w:r>
      <w:r w:rsidRPr="006E5718">
        <w:t xml:space="preserve">Sawfishes, guitarfishes, skates and rays, pp. 1-514. </w:t>
      </w:r>
      <w:r w:rsidRPr="006E5718">
        <w:rPr>
          <w:i/>
          <w:iCs/>
        </w:rPr>
        <w:t xml:space="preserve">In: </w:t>
      </w:r>
      <w:r w:rsidRPr="006E5718">
        <w:t>Tee-Van, J., C.M Breder, A.E. Parr, W.C. Schroeder and L.P. Schultz (eds). Fishes of the Western North Atlantic, Part Two. Mem. Sears Found. Mar. Res. I.</w:t>
      </w:r>
    </w:p>
    <w:p w14:paraId="3C7F07A8" w14:textId="77777777" w:rsidR="00840B0B" w:rsidRDefault="00840B0B" w:rsidP="00D71AB1"/>
    <w:p w14:paraId="6C47D8BB" w14:textId="77777777" w:rsidR="00840B0B" w:rsidRPr="006E5718" w:rsidRDefault="00840B0B" w:rsidP="00D71AB1">
      <w:r>
        <w:t xml:space="preserve">Bjorndal, K.A. 1980. </w:t>
      </w:r>
      <w:r w:rsidRPr="006E5718">
        <w:t xml:space="preserve">Nutrition and grazing behavior of the green sea turtle, </w:t>
      </w:r>
      <w:r w:rsidRPr="006E5718">
        <w:rPr>
          <w:i/>
          <w:iCs/>
        </w:rPr>
        <w:t>Chelonia mydas</w:t>
      </w:r>
      <w:r>
        <w:t xml:space="preserve">. </w:t>
      </w:r>
      <w:r w:rsidRPr="009829C5">
        <w:rPr>
          <w:iCs/>
        </w:rPr>
        <w:t>Marine Biology</w:t>
      </w:r>
      <w:r w:rsidRPr="006E5718">
        <w:t xml:space="preserve"> 56:147.</w:t>
      </w:r>
    </w:p>
    <w:p w14:paraId="1B526DE1" w14:textId="77777777" w:rsidR="00840B0B" w:rsidRPr="006E5718" w:rsidRDefault="00840B0B" w:rsidP="00D71AB1"/>
    <w:p w14:paraId="444E129A" w14:textId="77777777" w:rsidR="00840B0B" w:rsidRPr="006E5718" w:rsidRDefault="00840B0B" w:rsidP="00D71AB1">
      <w:r>
        <w:t xml:space="preserve">Bjorndal, K.A. 1997. </w:t>
      </w:r>
      <w:r w:rsidRPr="006E5718">
        <w:t xml:space="preserve">Foraging ecology and nutrition of sea turtles. </w:t>
      </w:r>
      <w:r w:rsidRPr="006E5718">
        <w:rPr>
          <w:i/>
          <w:iCs/>
        </w:rPr>
        <w:t>In</w:t>
      </w:r>
      <w:r w:rsidRPr="006E5718">
        <w:t>: Lutz, P.L. and J.A. Musick (eds.), The Biology of Sea Turtles. CRC Press, Boca Raton, Florida.</w:t>
      </w:r>
    </w:p>
    <w:p w14:paraId="022C6AD3" w14:textId="77777777" w:rsidR="00840B0B" w:rsidRPr="006E5718" w:rsidRDefault="00840B0B" w:rsidP="00D71AB1"/>
    <w:p w14:paraId="7D0AE210" w14:textId="750FF18C" w:rsidR="00840B0B" w:rsidRPr="006E5718" w:rsidRDefault="00840B0B" w:rsidP="00D71AB1">
      <w:r w:rsidRPr="006E5718">
        <w:t>Bolten, A.B.</w:t>
      </w:r>
      <w:r w:rsidR="00831BEA">
        <w:t xml:space="preserve"> and G.H.</w:t>
      </w:r>
      <w:r>
        <w:t xml:space="preserve"> Balazs. </w:t>
      </w:r>
      <w:r w:rsidRPr="006E5718">
        <w:t>199</w:t>
      </w:r>
      <w:r>
        <w:t xml:space="preserve">5. </w:t>
      </w:r>
      <w:r w:rsidRPr="006E5718">
        <w:t>Biology of the early pelag</w:t>
      </w:r>
      <w:r>
        <w:t xml:space="preserve">ic stage – the “lost year.” </w:t>
      </w:r>
      <w:r w:rsidRPr="00C33FDD">
        <w:rPr>
          <w:i/>
        </w:rPr>
        <w:t>In</w:t>
      </w:r>
      <w:r>
        <w:t>:</w:t>
      </w:r>
      <w:r w:rsidRPr="006E5718">
        <w:t xml:space="preserve"> Bjorndal, K.A. (ed.), Biology and Conservation of</w:t>
      </w:r>
      <w:r>
        <w:t xml:space="preserve"> Sea Turtles, Revised edition. </w:t>
      </w:r>
      <w:r w:rsidRPr="006E5718">
        <w:t>Smithsonian Institute Press, Washington, D.C., 579.</w:t>
      </w:r>
    </w:p>
    <w:p w14:paraId="258F6F9C" w14:textId="77777777" w:rsidR="00840B0B" w:rsidRPr="006E5718" w:rsidRDefault="00840B0B" w:rsidP="00D71AB1"/>
    <w:p w14:paraId="0AB97E87" w14:textId="3E59792D" w:rsidR="00840B0B" w:rsidRPr="006E5718" w:rsidRDefault="004C2092" w:rsidP="00D71AB1">
      <w:r>
        <w:t xml:space="preserve">Brongersma, L.D. </w:t>
      </w:r>
      <w:r w:rsidR="00840B0B">
        <w:t xml:space="preserve">1972. </w:t>
      </w:r>
      <w:r w:rsidR="00840B0B" w:rsidRPr="006E5718">
        <w:t>European Atlantic Turtles. Zool. Verhand. Leiden, 121:318</w:t>
      </w:r>
    </w:p>
    <w:p w14:paraId="0C563F6B" w14:textId="77777777" w:rsidR="00873318" w:rsidRDefault="00873318" w:rsidP="00006826"/>
    <w:p w14:paraId="32F8C2CF" w14:textId="29E369AD" w:rsidR="00873318" w:rsidRDefault="00873318" w:rsidP="00006826">
      <w:r>
        <w:t xml:space="preserve">Burgess, E., J. McCawley and M. Bademan.  2015.  Mutton Snapper. Review and Discussion. November 18, 2015.  Florida Fish and Wildlife Conservation Commission. Obtained on line on March 10, 2016, at </w:t>
      </w:r>
      <w:hyperlink r:id="rId80" w:history="1">
        <w:r w:rsidR="00E54EFE" w:rsidRPr="00F33E7A">
          <w:rPr>
            <w:rStyle w:val="Hyperlink"/>
          </w:rPr>
          <w:t>http://myfwc.com/media/3354173/6B-MuttonSnapperPresentation.pdf</w:t>
        </w:r>
      </w:hyperlink>
    </w:p>
    <w:p w14:paraId="0937C621" w14:textId="77777777" w:rsidR="00840B0B" w:rsidRPr="006E5718" w:rsidRDefault="00840B0B" w:rsidP="00D71AB1"/>
    <w:p w14:paraId="3BB8A599" w14:textId="614DC8B3" w:rsidR="00840B0B" w:rsidRPr="006E5718" w:rsidRDefault="00840B0B" w:rsidP="00D71AB1">
      <w:r w:rsidRPr="006E5718">
        <w:t>Burke, V.J., E.A</w:t>
      </w:r>
      <w:r w:rsidR="0040587B">
        <w:t>. Standora,</w:t>
      </w:r>
      <w:r>
        <w:t xml:space="preserve"> and S.J. Morreale. 1993. </w:t>
      </w:r>
      <w:r w:rsidRPr="006E5718">
        <w:t>Diet of juvenile Kemp’s ridley and loggerhead sea turtles from Long Island, New York</w:t>
      </w:r>
      <w:r>
        <w:t xml:space="preserve">. </w:t>
      </w:r>
      <w:r w:rsidRPr="006E5718">
        <w:t>Copeia, 1993, 1176.</w:t>
      </w:r>
    </w:p>
    <w:p w14:paraId="35B5AE9B" w14:textId="77777777" w:rsidR="00840B0B" w:rsidRDefault="00840B0B" w:rsidP="00D71AB1"/>
    <w:p w14:paraId="45B77000" w14:textId="38525621" w:rsidR="004C2092" w:rsidRDefault="004C2092" w:rsidP="004C2092">
      <w:r>
        <w:t xml:space="preserve">Burton, M.L. 2002. Age, growth and mortality of mutton snapper, </w:t>
      </w:r>
      <w:r w:rsidRPr="004C2092">
        <w:rPr>
          <w:i/>
        </w:rPr>
        <w:t>Lutjanus analis</w:t>
      </w:r>
      <w:r>
        <w:t>, from the east coast of Florida, with a brief discussion of management implications. Fishery Research 59:31-41.</w:t>
      </w:r>
    </w:p>
    <w:p w14:paraId="0320D0CB" w14:textId="77777777" w:rsidR="004C2092" w:rsidRDefault="004C2092" w:rsidP="004C2092"/>
    <w:p w14:paraId="28A265D4" w14:textId="6256D5BB" w:rsidR="004C2092" w:rsidRDefault="004C2092" w:rsidP="004C2092">
      <w:r>
        <w:t>Burton, M.L., K.J. Brennan, R.C. Munoz, and R.O. Parker. 2005. Preliminary evidence of increased spawning aggregations of mutton snapper (</w:t>
      </w:r>
      <w:r w:rsidRPr="004C2092">
        <w:rPr>
          <w:i/>
        </w:rPr>
        <w:t>Lutjanus analis</w:t>
      </w:r>
      <w:r>
        <w:t>) at Riley's Hump two years after establishment of the Tortugas South Ecological Reserve. Fisheries Bulletin 103: 404-410</w:t>
      </w:r>
    </w:p>
    <w:p w14:paraId="79294164" w14:textId="77777777" w:rsidR="004C2092" w:rsidRPr="006E5718" w:rsidRDefault="004C2092" w:rsidP="00D71AB1"/>
    <w:p w14:paraId="15F849DA" w14:textId="77777777" w:rsidR="00840B0B" w:rsidRPr="006E5718" w:rsidRDefault="00840B0B" w:rsidP="00D71AB1">
      <w:r>
        <w:t xml:space="preserve">Byles, R.A. 1988. </w:t>
      </w:r>
      <w:r w:rsidRPr="006E5718">
        <w:t>Behavior and Ecology of Sea Turtles from Chesapeake Bay, Virginia. Ph.D. dissertation, College of William and Mary, Williamsburg, VA.</w:t>
      </w:r>
    </w:p>
    <w:p w14:paraId="7135E5FE" w14:textId="77777777" w:rsidR="00840B0B" w:rsidRPr="006E5718" w:rsidRDefault="00840B0B" w:rsidP="00D71AB1"/>
    <w:p w14:paraId="632DE073" w14:textId="77777777" w:rsidR="00840B0B" w:rsidRPr="006E5718" w:rsidRDefault="00840B0B" w:rsidP="00D71AB1">
      <w:r>
        <w:t xml:space="preserve">Carr, A. 1986. </w:t>
      </w:r>
      <w:r w:rsidRPr="006E5718">
        <w:t>Rips,</w:t>
      </w:r>
      <w:r>
        <w:t xml:space="preserve"> FADS, and little loggerheads. BioScience</w:t>
      </w:r>
      <w:r w:rsidRPr="006E5718">
        <w:t xml:space="preserve"> 36:92.</w:t>
      </w:r>
    </w:p>
    <w:p w14:paraId="7208758A" w14:textId="77777777" w:rsidR="00840B0B" w:rsidRPr="006E5718" w:rsidRDefault="00840B0B" w:rsidP="00D71AB1"/>
    <w:p w14:paraId="49922033" w14:textId="77777777" w:rsidR="00840B0B" w:rsidRDefault="00840B0B" w:rsidP="00D71AB1">
      <w:r w:rsidRPr="006E5718">
        <w:t>Carr, A. 1987.  New perspectives of the pelagic stage of sea turtle dev</w:t>
      </w:r>
      <w:r>
        <w:t>elopment. Conservation Biology</w:t>
      </w:r>
      <w:r w:rsidRPr="006E5718">
        <w:t xml:space="preserve"> 1(2):103.</w:t>
      </w:r>
    </w:p>
    <w:p w14:paraId="05EA221E" w14:textId="77777777" w:rsidR="00840B0B" w:rsidRDefault="00840B0B" w:rsidP="00D71AB1"/>
    <w:p w14:paraId="2972B473" w14:textId="5AF52F1D" w:rsidR="00663991" w:rsidRDefault="00663991" w:rsidP="00D71AB1">
      <w:r w:rsidRPr="00663991">
        <w:t>Carson, E. W., E. Saillant, M. A. Renshaw, N. J. Cummings, and J. R. Gold. 2011. Population structure,long-term connectivity, and effective size of mutton snapper (</w:t>
      </w:r>
      <w:r w:rsidRPr="00006826">
        <w:rPr>
          <w:i/>
        </w:rPr>
        <w:t>Lutjanus analis</w:t>
      </w:r>
      <w:r w:rsidRPr="00663991">
        <w:t>) in the Caribbean Sea and the Florida Keys. Fishery Bulletin 109: 416-428.</w:t>
      </w:r>
    </w:p>
    <w:p w14:paraId="30817A97" w14:textId="77777777" w:rsidR="00663991" w:rsidRDefault="00663991" w:rsidP="00D71AB1"/>
    <w:p w14:paraId="0BA7E80B" w14:textId="261F4723" w:rsidR="006F176D" w:rsidRDefault="008B708A" w:rsidP="008B708A">
      <w:r>
        <w:t xml:space="preserve">Claro, R. 1981. Ecologia y ciclo de vida del pargo criollo, </w:t>
      </w:r>
      <w:r w:rsidRPr="008B708A">
        <w:rPr>
          <w:i/>
        </w:rPr>
        <w:t>Lutjanus analis</w:t>
      </w:r>
      <w:r>
        <w:t>, en la plataforma cubana. Academia de ciencias de Cuba 186: 1-83.</w:t>
      </w:r>
    </w:p>
    <w:p w14:paraId="64838F59" w14:textId="77777777" w:rsidR="008B708A" w:rsidRDefault="008B708A" w:rsidP="008B708A"/>
    <w:p w14:paraId="55A21588" w14:textId="51D250E8" w:rsidR="00840B0B" w:rsidRDefault="00656AA1" w:rsidP="00656AA1">
      <w:r>
        <w:t>Claro, R. and K.C. Lindeman. 2003. Spawning aggregation sites of snapper and grouper species (Lutjanidae and Serranidae) on the insular shelf of Cuba. Gulf and Caribbean Research 14: 91-106.</w:t>
      </w:r>
    </w:p>
    <w:p w14:paraId="1B54EF5B" w14:textId="77777777" w:rsidR="00656AA1" w:rsidRDefault="00656AA1" w:rsidP="00D71AB1"/>
    <w:p w14:paraId="52CCED67" w14:textId="7D213825" w:rsidR="00887DB8" w:rsidRDefault="00887DB8" w:rsidP="00887DB8">
      <w:r w:rsidRPr="00887DB8">
        <w:t>Domeier, M. L., C. Koenig, and F. Coleman.</w:t>
      </w:r>
      <w:r>
        <w:t xml:space="preserve"> </w:t>
      </w:r>
      <w:r w:rsidRPr="00887DB8">
        <w:t>1996. Reproductive biology of gray snapper (</w:t>
      </w:r>
      <w:r w:rsidRPr="00887DB8">
        <w:rPr>
          <w:i/>
          <w:iCs/>
        </w:rPr>
        <w:t>Lutjanus</w:t>
      </w:r>
      <w:r>
        <w:t xml:space="preserve"> </w:t>
      </w:r>
      <w:r w:rsidRPr="00887DB8">
        <w:rPr>
          <w:i/>
          <w:iCs/>
        </w:rPr>
        <w:t>griseus</w:t>
      </w:r>
      <w:r w:rsidRPr="00887DB8">
        <w:t>) with notes on spawning for other western</w:t>
      </w:r>
      <w:r>
        <w:t xml:space="preserve"> </w:t>
      </w:r>
      <w:r w:rsidRPr="00887DB8">
        <w:t xml:space="preserve">Atlantic snappers (Lutjanidae). </w:t>
      </w:r>
      <w:r w:rsidRPr="00887DB8">
        <w:rPr>
          <w:i/>
          <w:iCs/>
        </w:rPr>
        <w:t xml:space="preserve">In </w:t>
      </w:r>
      <w:r w:rsidRPr="00887DB8">
        <w:t>Biology and culture</w:t>
      </w:r>
      <w:r>
        <w:t xml:space="preserve"> </w:t>
      </w:r>
      <w:r w:rsidRPr="00887DB8">
        <w:t>of tropical groupers and snappers (F. Arreguin-Sanchez, J. L. Munro, M. C. Balgos, and D. Pauly, eds.),</w:t>
      </w:r>
      <w:r>
        <w:t xml:space="preserve"> </w:t>
      </w:r>
      <w:r w:rsidRPr="00887DB8">
        <w:t>p. 189−201. International Center for Living Aquatic</w:t>
      </w:r>
      <w:r>
        <w:t xml:space="preserve"> </w:t>
      </w:r>
      <w:r w:rsidRPr="00887DB8">
        <w:t>Resources Management Conference Proceedings 48,</w:t>
      </w:r>
      <w:r>
        <w:t xml:space="preserve"> </w:t>
      </w:r>
      <w:r w:rsidRPr="00887DB8">
        <w:t>ICLARM, Makati City, Phillipines.</w:t>
      </w:r>
    </w:p>
    <w:p w14:paraId="1ABC5FDD" w14:textId="77777777" w:rsidR="00887DB8" w:rsidRDefault="00887DB8" w:rsidP="00656AA1"/>
    <w:p w14:paraId="7518B548" w14:textId="32246FCE" w:rsidR="00A36FE1" w:rsidRDefault="00656AA1" w:rsidP="00656AA1">
      <w:r>
        <w:t>Domeier, M.L. and P.L. Colin. 1997. Tropical reef fish spawning aggregations: defined and reviewed. Bulletin of Marine Science 60: 698-726</w:t>
      </w:r>
    </w:p>
    <w:p w14:paraId="5E49F41A" w14:textId="77777777" w:rsidR="00656AA1" w:rsidRDefault="00656AA1" w:rsidP="00D71AB1"/>
    <w:p w14:paraId="4E537EDF" w14:textId="77777777" w:rsidR="00840B0B" w:rsidRPr="006E5718" w:rsidRDefault="00840B0B" w:rsidP="00D71AB1">
      <w:r>
        <w:t>Eckert, S.A., D.W. Nellis, K.L.</w:t>
      </w:r>
      <w:r w:rsidRPr="006E5718">
        <w:t xml:space="preserve"> Eckert</w:t>
      </w:r>
      <w:r>
        <w:t>,</w:t>
      </w:r>
      <w:r w:rsidRPr="006E5718">
        <w:t xml:space="preserve"> and</w:t>
      </w:r>
      <w:r>
        <w:t xml:space="preserve"> G.L. Kooyman. 1986. </w:t>
      </w:r>
      <w:r w:rsidRPr="006E5718">
        <w:t>Diving patterns of two leatherback sea turtles (</w:t>
      </w:r>
      <w:r w:rsidRPr="006E5718">
        <w:rPr>
          <w:i/>
          <w:iCs/>
        </w:rPr>
        <w:t>Dermochelys coriacea</w:t>
      </w:r>
      <w:r w:rsidRPr="006E5718">
        <w:t>) during interesting intervals at Sandy Point, S</w:t>
      </w:r>
      <w:r>
        <w:t xml:space="preserve">t. Croix, U.S. Virgin Islands. </w:t>
      </w:r>
      <w:r w:rsidRPr="009829C5">
        <w:rPr>
          <w:iCs/>
        </w:rPr>
        <w:t>Herpetologica</w:t>
      </w:r>
      <w:r w:rsidRPr="006E5718">
        <w:t xml:space="preserve"> 42:381.</w:t>
      </w:r>
    </w:p>
    <w:p w14:paraId="74370647" w14:textId="77777777" w:rsidR="00840B0B" w:rsidRPr="006E5718" w:rsidRDefault="00840B0B" w:rsidP="00D71AB1"/>
    <w:p w14:paraId="7DF8C6C1" w14:textId="77777777" w:rsidR="00840B0B" w:rsidRPr="006E5718" w:rsidRDefault="00840B0B" w:rsidP="00D71AB1">
      <w:r>
        <w:t>Eckert, S.A., K.L.</w:t>
      </w:r>
      <w:r w:rsidRPr="006E5718">
        <w:t xml:space="preserve"> </w:t>
      </w:r>
      <w:r>
        <w:t xml:space="preserve">Eckert, P. Ponganis, and G.L. </w:t>
      </w:r>
      <w:r w:rsidRPr="006E5718">
        <w:t>Kooyman</w:t>
      </w:r>
      <w:r>
        <w:t xml:space="preserve">. 1989. </w:t>
      </w:r>
      <w:r w:rsidRPr="006E5718">
        <w:t>Diving patterns of two leatherback sea turtles (</w:t>
      </w:r>
      <w:r w:rsidRPr="006E5718">
        <w:rPr>
          <w:i/>
          <w:iCs/>
        </w:rPr>
        <w:t>Dermochelys coriacea</w:t>
      </w:r>
      <w:r>
        <w:t>).</w:t>
      </w:r>
      <w:r w:rsidRPr="006E5718">
        <w:t xml:space="preserve"> </w:t>
      </w:r>
      <w:r w:rsidRPr="009829C5">
        <w:rPr>
          <w:iCs/>
        </w:rPr>
        <w:t>Canadian Journal of Zoology</w:t>
      </w:r>
      <w:r w:rsidRPr="006E5718">
        <w:t xml:space="preserve"> 67:2834.</w:t>
      </w:r>
    </w:p>
    <w:p w14:paraId="4BEDC8C8" w14:textId="77777777" w:rsidR="00840B0B" w:rsidRDefault="00840B0B" w:rsidP="00D71AB1"/>
    <w:p w14:paraId="241DD9A3" w14:textId="1FCB6D90" w:rsidR="00156F83" w:rsidRDefault="00BA287A" w:rsidP="00D71AB1">
      <w:r>
        <w:t>Erdman, D.S.</w:t>
      </w:r>
      <w:r w:rsidRPr="00BA287A">
        <w:t xml:space="preserve"> 1976. Spawning patterns of f</w:t>
      </w:r>
      <w:r>
        <w:t>ishes from the northeastern Car</w:t>
      </w:r>
      <w:r w:rsidRPr="00BA287A">
        <w:t>ib</w:t>
      </w:r>
      <w:r>
        <w:t>b</w:t>
      </w:r>
      <w:r w:rsidRPr="00BA287A">
        <w:t>ean. Agric. Fish. Contrib. Off. Pub. Spec. Serv. 7(2):10-11.</w:t>
      </w:r>
    </w:p>
    <w:p w14:paraId="0524B840" w14:textId="77777777" w:rsidR="00BA287A" w:rsidRDefault="00BA287A" w:rsidP="00D71AB1"/>
    <w:p w14:paraId="7DE8D42F" w14:textId="443A0BE3" w:rsidR="00672E85" w:rsidRDefault="00672E85" w:rsidP="00D71AB1">
      <w:r>
        <w:t>Faunce, C., J. Tunnel, M. Burton, K. Ferguson, J. O’Hop, R. Muller, M. Feeley, and L. Crabtree. 2007. Life history of Lutjanus analis inhabiting Florida waters. SEDAR 15A. Data workshop. 35 pp.</w:t>
      </w:r>
    </w:p>
    <w:p w14:paraId="68211B6A" w14:textId="77777777" w:rsidR="00672E85" w:rsidRPr="006E5718" w:rsidRDefault="00672E85" w:rsidP="00D71AB1"/>
    <w:p w14:paraId="4591077B" w14:textId="2A1F94EF" w:rsidR="00156F83" w:rsidRDefault="00BA287A" w:rsidP="00D71AB1">
      <w:r w:rsidRPr="00BA287A">
        <w:t>Figuerola, M, D. M</w:t>
      </w:r>
      <w:r>
        <w:t xml:space="preserve">atos-Caraballo, and W. Torres. 1997. </w:t>
      </w:r>
      <w:r w:rsidRPr="00BA287A">
        <w:t>Maturation and reproductive seasonality of four ree</w:t>
      </w:r>
      <w:r>
        <w:t xml:space="preserve">f fish species in Puerto Rico. </w:t>
      </w:r>
      <w:r w:rsidRPr="00BA287A">
        <w:t>Proceedings of the Gulf Caribbean Fisheries Institute 50: 938-968.</w:t>
      </w:r>
    </w:p>
    <w:p w14:paraId="76A317FB" w14:textId="77777777" w:rsidR="00BA287A" w:rsidRDefault="00BA287A" w:rsidP="00D71AB1">
      <w:pPr>
        <w:rPr>
          <w:highlight w:val="yellow"/>
        </w:rPr>
      </w:pPr>
    </w:p>
    <w:p w14:paraId="6F27A767" w14:textId="6302F864" w:rsidR="00BA287A" w:rsidRDefault="00BA287A" w:rsidP="00BA287A">
      <w:r>
        <w:t>Figuerola-Fernandez, M. and W. Torres-Ruiz. 2001. Aspectos de la biologia reproductiva de la sama (</w:t>
      </w:r>
      <w:r w:rsidRPr="00BA287A">
        <w:rPr>
          <w:i/>
        </w:rPr>
        <w:t>Lutjanus analis</w:t>
      </w:r>
      <w:r>
        <w:t>) en Puerto Rico y recommendaciones para su manejo. Departmento de</w:t>
      </w:r>
    </w:p>
    <w:p w14:paraId="5F4E0F74" w14:textId="77777777" w:rsidR="00BA287A" w:rsidRDefault="00BA287A" w:rsidP="00BA287A">
      <w:r>
        <w:t>recursos naturales y ambientales area de recursos vivientes negociado de pesca y vida silvestre</w:t>
      </w:r>
    </w:p>
    <w:p w14:paraId="108E7442" w14:textId="50B3CADA" w:rsidR="0051542F" w:rsidRDefault="00BA287A" w:rsidP="00BA287A">
      <w:r>
        <w:t>laboratorio de investigaciones pesqueras.</w:t>
      </w:r>
    </w:p>
    <w:p w14:paraId="4E13A738" w14:textId="77777777" w:rsidR="00BA287A" w:rsidRDefault="00BA287A" w:rsidP="00BA287A"/>
    <w:p w14:paraId="4BA9E1A0" w14:textId="77777777" w:rsidR="00840B0B" w:rsidRDefault="00840B0B" w:rsidP="00D71AB1">
      <w:r>
        <w:t>Frick, J. 1976. Orientation and behavio</w:t>
      </w:r>
      <w:r w:rsidRPr="006E5718">
        <w:t>r of hatchling green turtles (</w:t>
      </w:r>
      <w:r w:rsidRPr="006E5718">
        <w:rPr>
          <w:i/>
          <w:iCs/>
        </w:rPr>
        <w:t>Chelonia mydas</w:t>
      </w:r>
      <w:r>
        <w:t xml:space="preserve">) in the sea. </w:t>
      </w:r>
      <w:r w:rsidRPr="009829C5">
        <w:rPr>
          <w:iCs/>
        </w:rPr>
        <w:t>Animal Behavior</w:t>
      </w:r>
      <w:r w:rsidRPr="006E5718">
        <w:t xml:space="preserve"> 24:849.</w:t>
      </w:r>
    </w:p>
    <w:p w14:paraId="77B6044B" w14:textId="77777777" w:rsidR="00656AA1" w:rsidRDefault="00656AA1" w:rsidP="00656AA1"/>
    <w:p w14:paraId="4F4195AF" w14:textId="2D2BA82E" w:rsidR="00840B0B" w:rsidRDefault="00656AA1" w:rsidP="00656AA1">
      <w:r>
        <w:t xml:space="preserve">García-Cagide, A., R. Claro, and B.V. Koshelev. 2001. Reproductive patterns of fishes of the Cuban shelf. </w:t>
      </w:r>
      <w:r w:rsidR="00E04D2F">
        <w:t xml:space="preserve">Pages 73-114 </w:t>
      </w:r>
      <w:r w:rsidR="00E04D2F" w:rsidRPr="00E04D2F">
        <w:rPr>
          <w:i/>
        </w:rPr>
        <w:t>In</w:t>
      </w:r>
      <w:r>
        <w:t xml:space="preserve"> Claro R., K.C. Lindeman, and L.R. Parenti (eds)</w:t>
      </w:r>
      <w:r w:rsidR="00E04D2F">
        <w:t>,</w:t>
      </w:r>
      <w:r>
        <w:t xml:space="preserve"> Ecology of the Marine Fishes of Cuba. Smithsonian</w:t>
      </w:r>
      <w:r w:rsidR="00E04D2F">
        <w:t xml:space="preserve"> Institution Press, Washington.</w:t>
      </w:r>
    </w:p>
    <w:p w14:paraId="0C76A56F" w14:textId="77777777" w:rsidR="00656AA1" w:rsidRDefault="00656AA1" w:rsidP="00D71AB1"/>
    <w:p w14:paraId="1D173E7B" w14:textId="12DAF4B4" w:rsidR="009908D3" w:rsidRDefault="0077534C" w:rsidP="00D71AB1">
      <w:r>
        <w:t xml:space="preserve">GMFMC (Gulf of Mexico Fishery Management Council). 2011. </w:t>
      </w:r>
      <w:r w:rsidRPr="0077534C">
        <w:t xml:space="preserve">Final Generic Annual Catch Limits/Accountability Measures Amendment for the Gulf of Mexico Fishery Management Council’s Red Drum, Reef Fish, Shrimp, Coral and Coral Reefs, Fishery Management Plans (Including Environmental Impact Statement, Regulatory Impact Review, Regulatory Flexibility Analysis, Fishery </w:t>
      </w:r>
      <w:r>
        <w:t>Impact Statement).</w:t>
      </w:r>
      <w:r w:rsidRPr="0077534C">
        <w:t xml:space="preserve"> Gulf of Mexico Fishery Management Council</w:t>
      </w:r>
      <w:r>
        <w:t>,</w:t>
      </w:r>
      <w:r w:rsidRPr="0077534C">
        <w:t xml:space="preserve"> 2203 North Lois Avenue, Suite 1100</w:t>
      </w:r>
      <w:r>
        <w:t>;</w:t>
      </w:r>
      <w:r w:rsidRPr="0077534C">
        <w:t xml:space="preserve"> Tampa, Florida 33607</w:t>
      </w:r>
      <w:r>
        <w:t>.</w:t>
      </w:r>
    </w:p>
    <w:p w14:paraId="2D920F2F" w14:textId="77777777" w:rsidR="0077534C" w:rsidRDefault="0077534C" w:rsidP="00D71AB1"/>
    <w:p w14:paraId="3204FC3B" w14:textId="1DDB27E6" w:rsidR="00FC3993" w:rsidRDefault="00FC3993" w:rsidP="00D71AB1">
      <w:r>
        <w:t xml:space="preserve">GMFMC (Gulf of Mexico Fishery Management Council) &amp; SAFMC (South Atlantic Fishery Management Council). 2013a. Joint </w:t>
      </w:r>
      <w:r w:rsidRPr="00FC3993">
        <w:t>South Atlantic/Gulf of Mexico Generic Charter/Headboat Reporting in the South Atlantic Amendment</w:t>
      </w:r>
      <w:r>
        <w:t>.  South Atlantic Fishery Management Council, 4055 Faber Place, Ste 201, North Charleston, S.C. 29405.</w:t>
      </w:r>
    </w:p>
    <w:p w14:paraId="044D3F4D" w14:textId="77777777" w:rsidR="00FC3993" w:rsidRDefault="00FC3993" w:rsidP="00D71AB1"/>
    <w:p w14:paraId="700372D5" w14:textId="2ABB959B" w:rsidR="00D266CB" w:rsidRDefault="00D266CB" w:rsidP="00D71AB1">
      <w:r>
        <w:t xml:space="preserve">GMFMC </w:t>
      </w:r>
      <w:r w:rsidR="00FC3993">
        <w:t xml:space="preserve">(Gulf of Mexico Fishery Management Council) </w:t>
      </w:r>
      <w:r>
        <w:t>&amp; SAFMC</w:t>
      </w:r>
      <w:r w:rsidR="00FC3993">
        <w:t xml:space="preserve"> (South Atlantic Fishery Management Council). 2013b. </w:t>
      </w:r>
      <w:r w:rsidR="00FC3993" w:rsidRPr="00FC3993">
        <w:t>Modifications to Federally Permitted Seafood Dealer Reporting Requirements</w:t>
      </w:r>
      <w:r w:rsidR="00FC3993">
        <w:t xml:space="preserve">.  </w:t>
      </w:r>
      <w:r w:rsidR="00FC3993" w:rsidRPr="0077534C">
        <w:t>Gulf of Mexico Fishery Management Council</w:t>
      </w:r>
      <w:r w:rsidR="00FC3993">
        <w:t>,</w:t>
      </w:r>
      <w:r w:rsidR="00FC3993" w:rsidRPr="0077534C">
        <w:t xml:space="preserve"> 2203 North Lois Avenue, Suite 1100</w:t>
      </w:r>
      <w:r w:rsidR="00FC3993">
        <w:t>;</w:t>
      </w:r>
      <w:r w:rsidR="00FC3993" w:rsidRPr="0077534C">
        <w:t xml:space="preserve"> Tampa, Florida 33607</w:t>
      </w:r>
      <w:r w:rsidR="00FC3993">
        <w:t>.</w:t>
      </w:r>
    </w:p>
    <w:p w14:paraId="4F595907" w14:textId="77777777" w:rsidR="00D266CB" w:rsidRDefault="00D266CB" w:rsidP="00D71AB1"/>
    <w:p w14:paraId="1A59AA0C" w14:textId="4748107E" w:rsidR="00D1588C" w:rsidRDefault="00BA287A" w:rsidP="00D71AB1">
      <w:r w:rsidRPr="00BA287A">
        <w:t>Graham R.T., R. Carcamo, K.L. Rhodes, C.M. Roberts, and N. Requena. 2008. Historical and contemporary evidence of a mutton snapper (Lutjanus analis Cuvier, 1828) spawning aggregation fishery in decline. Coral Reefs 27: 311-319.</w:t>
      </w:r>
    </w:p>
    <w:p w14:paraId="32AD907C" w14:textId="77777777" w:rsidR="00BA287A" w:rsidRDefault="00BA287A" w:rsidP="00D71AB1"/>
    <w:p w14:paraId="74F8289C" w14:textId="4918756F" w:rsidR="00664B0A" w:rsidRDefault="00664B0A" w:rsidP="00CA07B9">
      <w:r>
        <w:t xml:space="preserve">Haab, T., </w:t>
      </w:r>
      <w:r w:rsidR="0040587B">
        <w:t>R.</w:t>
      </w:r>
      <w:r w:rsidR="00CA07B9">
        <w:t>L. Hicks</w:t>
      </w:r>
      <w:r>
        <w:t xml:space="preserve">, </w:t>
      </w:r>
      <w:r w:rsidR="00CA07B9">
        <w:t>K. Schnier</w:t>
      </w:r>
      <w:r w:rsidR="0040587B">
        <w:t>, and J.</w:t>
      </w:r>
      <w:r w:rsidR="00CA07B9">
        <w:t>C. Whitehead</w:t>
      </w:r>
      <w:r>
        <w:t xml:space="preserve">. 2012. Angler heterogeneity and the species-specific demand for marine recreational fishing. Working Paper No. 10-02. Appalachian State University, Department of Economics. Available: </w:t>
      </w:r>
      <w:hyperlink r:id="rId81" w:history="1">
        <w:r w:rsidRPr="00437DC6">
          <w:rPr>
            <w:rStyle w:val="Hyperlink"/>
          </w:rPr>
          <w:t>http://econ.appstate.edu/marfin/</w:t>
        </w:r>
      </w:hyperlink>
      <w:r>
        <w:t>. (September 2014).</w:t>
      </w:r>
    </w:p>
    <w:p w14:paraId="14B37136" w14:textId="77777777" w:rsidR="00840B0B" w:rsidRDefault="00840B0B" w:rsidP="00D71AB1"/>
    <w:p w14:paraId="17253ECA" w14:textId="77777777" w:rsidR="00840B0B" w:rsidRPr="006E5718" w:rsidRDefault="00840B0B" w:rsidP="00D71AB1">
      <w:pPr>
        <w:autoSpaceDE w:val="0"/>
        <w:autoSpaceDN w:val="0"/>
        <w:adjustRightInd w:val="0"/>
      </w:pPr>
      <w:r>
        <w:t xml:space="preserve">Hughes, G.R. 1974. </w:t>
      </w:r>
      <w:r w:rsidRPr="006E5718">
        <w:t>The sea turtles of southeast Africa.</w:t>
      </w:r>
      <w:r>
        <w:t xml:space="preserve"> II. </w:t>
      </w:r>
      <w:r w:rsidRPr="006E5718">
        <w:t xml:space="preserve">The biology of the Tongaland loggerhead turtle </w:t>
      </w:r>
      <w:r w:rsidRPr="006E5718">
        <w:rPr>
          <w:i/>
          <w:iCs/>
        </w:rPr>
        <w:t>Caretta caretta</w:t>
      </w:r>
      <w:r w:rsidRPr="006E5718">
        <w:t xml:space="preserve"> L. with comments on the leatherback turtle </w:t>
      </w:r>
      <w:r w:rsidRPr="006E5718">
        <w:rPr>
          <w:i/>
          <w:iCs/>
        </w:rPr>
        <w:t xml:space="preserve">Dermochelys </w:t>
      </w:r>
      <w:r w:rsidRPr="006E5718">
        <w:rPr>
          <w:i/>
          <w:iCs/>
        </w:rPr>
        <w:lastRenderedPageBreak/>
        <w:t>coriacea</w:t>
      </w:r>
      <w:r w:rsidRPr="006E5718">
        <w:t xml:space="preserve"> L. and green turtle </w:t>
      </w:r>
      <w:r w:rsidRPr="006E5718">
        <w:rPr>
          <w:i/>
          <w:iCs/>
        </w:rPr>
        <w:t>Chelonia mydas</w:t>
      </w:r>
      <w:r>
        <w:t xml:space="preserve"> L. in the study region.</w:t>
      </w:r>
      <w:r w:rsidRPr="006E5718">
        <w:t xml:space="preserve"> Oceanographic Research Institute (Durban) Investigative Report. No. 36.</w:t>
      </w:r>
    </w:p>
    <w:p w14:paraId="0AE68B13" w14:textId="77777777" w:rsidR="00840B0B" w:rsidRDefault="00840B0B" w:rsidP="00D71AB1"/>
    <w:p w14:paraId="1696FF6F" w14:textId="77777777" w:rsidR="008E030B" w:rsidRDefault="008E030B" w:rsidP="008E030B">
      <w:r>
        <w:rPr>
          <w:bCs/>
        </w:rPr>
        <w:t>Jacob, S., P. Weeks, B. Blount, and M. Jepson. 2013. Development and evaluation of social indicators of vulnerability and resiliency for fishing communities in the Gulf of Mexico. Marine Policy 37:86-95.</w:t>
      </w:r>
    </w:p>
    <w:p w14:paraId="19EA84E9" w14:textId="77777777" w:rsidR="002720A6" w:rsidRDefault="002720A6" w:rsidP="00D71AB1"/>
    <w:p w14:paraId="26585EAA" w14:textId="77777777" w:rsidR="008E030B" w:rsidRPr="007E7E7D" w:rsidRDefault="008E030B" w:rsidP="008E030B">
      <w:pPr>
        <w:rPr>
          <w:rFonts w:ascii="Times" w:hAnsi="Times" w:cs="Times"/>
        </w:rPr>
      </w:pPr>
      <w:r w:rsidRPr="007E7E7D">
        <w:rPr>
          <w:rFonts w:ascii="Times" w:hAnsi="Times" w:cs="Times"/>
          <w:bCs/>
        </w:rPr>
        <w:t>Jepson</w:t>
      </w:r>
      <w:r w:rsidRPr="007E7E7D">
        <w:rPr>
          <w:rFonts w:ascii="Times" w:hAnsi="Times" w:cs="Times"/>
        </w:rPr>
        <w:t>, M</w:t>
      </w:r>
      <w:r>
        <w:rPr>
          <w:rFonts w:ascii="Times" w:hAnsi="Times" w:cs="Times"/>
        </w:rPr>
        <w:t>.</w:t>
      </w:r>
      <w:r w:rsidRPr="007E7E7D">
        <w:rPr>
          <w:rFonts w:ascii="Times" w:hAnsi="Times" w:cs="Times"/>
        </w:rPr>
        <w:t xml:space="preserve"> and L</w:t>
      </w:r>
      <w:r>
        <w:rPr>
          <w:rFonts w:ascii="Times" w:hAnsi="Times" w:cs="Times"/>
        </w:rPr>
        <w:t xml:space="preserve">. </w:t>
      </w:r>
      <w:r w:rsidRPr="007E7E7D">
        <w:rPr>
          <w:rFonts w:ascii="Times" w:hAnsi="Times" w:cs="Times"/>
        </w:rPr>
        <w:t xml:space="preserve">L. </w:t>
      </w:r>
      <w:r w:rsidRPr="007E7E7D">
        <w:rPr>
          <w:rFonts w:ascii="Times" w:hAnsi="Times" w:cs="Times"/>
          <w:bCs/>
        </w:rPr>
        <w:t>Colburn</w:t>
      </w:r>
      <w:r>
        <w:rPr>
          <w:rFonts w:ascii="Times" w:hAnsi="Times" w:cs="Times"/>
          <w:bCs/>
        </w:rPr>
        <w:t>.</w:t>
      </w:r>
      <w:r w:rsidRPr="007E7E7D">
        <w:rPr>
          <w:rFonts w:ascii="Times" w:hAnsi="Times" w:cs="Times"/>
          <w:bCs/>
        </w:rPr>
        <w:t xml:space="preserve"> 2013</w:t>
      </w:r>
      <w:r w:rsidRPr="007E7E7D">
        <w:rPr>
          <w:rFonts w:ascii="Times" w:hAnsi="Times" w:cs="Times"/>
        </w:rPr>
        <w:t xml:space="preserve">. Development of </w:t>
      </w:r>
      <w:r>
        <w:rPr>
          <w:rFonts w:ascii="Times" w:hAnsi="Times" w:cs="Times"/>
        </w:rPr>
        <w:t>s</w:t>
      </w:r>
      <w:r w:rsidRPr="007E7E7D">
        <w:rPr>
          <w:rFonts w:ascii="Times" w:hAnsi="Times" w:cs="Times"/>
        </w:rPr>
        <w:t xml:space="preserve">ocial </w:t>
      </w:r>
      <w:r>
        <w:rPr>
          <w:rFonts w:ascii="Times" w:hAnsi="Times" w:cs="Times"/>
        </w:rPr>
        <w:t>i</w:t>
      </w:r>
      <w:r w:rsidRPr="007E7E7D">
        <w:rPr>
          <w:rFonts w:ascii="Times" w:hAnsi="Times" w:cs="Times"/>
        </w:rPr>
        <w:t xml:space="preserve">ndicators of </w:t>
      </w:r>
      <w:r>
        <w:rPr>
          <w:rFonts w:ascii="Times" w:hAnsi="Times" w:cs="Times"/>
        </w:rPr>
        <w:t>f</w:t>
      </w:r>
      <w:r w:rsidRPr="007E7E7D">
        <w:rPr>
          <w:rFonts w:ascii="Times" w:hAnsi="Times" w:cs="Times"/>
        </w:rPr>
        <w:t>ishing</w:t>
      </w:r>
    </w:p>
    <w:p w14:paraId="27346D29" w14:textId="77777777" w:rsidR="008E030B" w:rsidRPr="007E7E7D" w:rsidRDefault="008E030B" w:rsidP="008E030B">
      <w:pPr>
        <w:rPr>
          <w:rFonts w:ascii="Times" w:hAnsi="Times" w:cs="Times"/>
        </w:rPr>
      </w:pPr>
      <w:r>
        <w:rPr>
          <w:rFonts w:ascii="Times" w:hAnsi="Times" w:cs="Times"/>
        </w:rPr>
        <w:t>c</w:t>
      </w:r>
      <w:r w:rsidRPr="007E7E7D">
        <w:rPr>
          <w:rFonts w:ascii="Times" w:hAnsi="Times" w:cs="Times"/>
        </w:rPr>
        <w:t xml:space="preserve">ommunity </w:t>
      </w:r>
      <w:r>
        <w:rPr>
          <w:rFonts w:ascii="Times" w:hAnsi="Times" w:cs="Times"/>
        </w:rPr>
        <w:t>v</w:t>
      </w:r>
      <w:r w:rsidRPr="007E7E7D">
        <w:rPr>
          <w:rFonts w:ascii="Times" w:hAnsi="Times" w:cs="Times"/>
        </w:rPr>
        <w:t xml:space="preserve">ulnerability and </w:t>
      </w:r>
      <w:r>
        <w:rPr>
          <w:rFonts w:ascii="Times" w:hAnsi="Times" w:cs="Times"/>
        </w:rPr>
        <w:t>r</w:t>
      </w:r>
      <w:r w:rsidRPr="007E7E7D">
        <w:rPr>
          <w:rFonts w:ascii="Times" w:hAnsi="Times" w:cs="Times"/>
        </w:rPr>
        <w:t>esilience in the U.S. Southeast and Northeast Regions.</w:t>
      </w:r>
    </w:p>
    <w:p w14:paraId="214C89B9" w14:textId="77777777" w:rsidR="008E030B" w:rsidRDefault="008E030B" w:rsidP="008E030B">
      <w:r w:rsidRPr="007E7E7D">
        <w:rPr>
          <w:rFonts w:ascii="Times" w:hAnsi="Times" w:cs="Times"/>
        </w:rPr>
        <w:t>U.S. Dept. of Commerce, NOAA Technical Memorandum NMFS-F/SPO-129, 64 p.</w:t>
      </w:r>
    </w:p>
    <w:p w14:paraId="530C9FB9" w14:textId="77777777" w:rsidR="008E030B" w:rsidRDefault="008E030B" w:rsidP="00D71AB1"/>
    <w:p w14:paraId="66F880FA" w14:textId="489D587F" w:rsidR="00840B0B" w:rsidRDefault="00840B0B" w:rsidP="00D71AB1">
      <w:r w:rsidRPr="006E5718">
        <w:t>Ke</w:t>
      </w:r>
      <w:r w:rsidR="0040587B">
        <w:t>inath, J.A., and J.A.</w:t>
      </w:r>
      <w:r>
        <w:t xml:space="preserve"> Musick. 1993. </w:t>
      </w:r>
      <w:r w:rsidRPr="006E5718">
        <w:t xml:space="preserve">Movements and diving behavior of a leatherback sea turtle, </w:t>
      </w:r>
      <w:r w:rsidRPr="006E5718">
        <w:rPr>
          <w:i/>
          <w:iCs/>
        </w:rPr>
        <w:t>Dermochelys coriacea</w:t>
      </w:r>
      <w:r w:rsidRPr="006E5718">
        <w:t xml:space="preserve">. </w:t>
      </w:r>
      <w:r w:rsidRPr="009829C5">
        <w:rPr>
          <w:iCs/>
        </w:rPr>
        <w:t>Copeia</w:t>
      </w:r>
      <w:r w:rsidRPr="009829C5">
        <w:t xml:space="preserve"> </w:t>
      </w:r>
      <w:r w:rsidRPr="006E5718">
        <w:t>1993:1010.</w:t>
      </w:r>
    </w:p>
    <w:p w14:paraId="6678F11A" w14:textId="77777777" w:rsidR="00840B0B" w:rsidRDefault="00840B0B" w:rsidP="00D71AB1"/>
    <w:p w14:paraId="48C65D11" w14:textId="11E7272A" w:rsidR="00840B0B" w:rsidRPr="006E5718" w:rsidRDefault="0040587B" w:rsidP="00D71AB1">
      <w:r>
        <w:t>Kennedy, V.S., R.R. Twilley, J.A. Kleypas, J.H. Cowan, Jr., and S.</w:t>
      </w:r>
      <w:r w:rsidR="00840B0B" w:rsidRPr="00C26E79">
        <w:t>R. Hare. 2002. Coastal and Marine Ecosystems &amp; Global Climate Change: Potential Effects on U.S. Resources. Pew Center on Global Climate Change. 52 p.</w:t>
      </w:r>
    </w:p>
    <w:p w14:paraId="7CED4138" w14:textId="77777777" w:rsidR="00840B0B" w:rsidRPr="006E5718" w:rsidRDefault="00840B0B" w:rsidP="00D71AB1"/>
    <w:p w14:paraId="792EABF4" w14:textId="1159AAFD" w:rsidR="00840B0B" w:rsidRPr="006E5718" w:rsidRDefault="00840B0B" w:rsidP="00D71AB1">
      <w:r w:rsidRPr="006E5718">
        <w:t>Lany</w:t>
      </w:r>
      <w:r w:rsidR="009908D3">
        <w:t>a</w:t>
      </w:r>
      <w:r w:rsidRPr="006E5718">
        <w:t>n, J.M</w:t>
      </w:r>
      <w:r w:rsidR="0040587B">
        <w:t>., C.J. Limpus, and H.</w:t>
      </w:r>
      <w:r>
        <w:t xml:space="preserve"> Marsh. 1989. </w:t>
      </w:r>
      <w:r w:rsidRPr="006E5718">
        <w:t xml:space="preserve">Dugongs and turtles: grazers in the seagrass system. </w:t>
      </w:r>
      <w:r w:rsidRPr="006E5718">
        <w:rPr>
          <w:i/>
          <w:iCs/>
        </w:rPr>
        <w:t>In:</w:t>
      </w:r>
      <w:r w:rsidRPr="006E5718">
        <w:t xml:space="preserve"> Larkum, A.W.D, A.J., McComb and S.A., Shepard (eds.) Biology of Seagrasses. Elsevier, Amsterdam, 610.</w:t>
      </w:r>
    </w:p>
    <w:p w14:paraId="0E8796F8" w14:textId="77777777" w:rsidR="00840B0B" w:rsidRPr="006E5718" w:rsidRDefault="00840B0B" w:rsidP="00D71AB1"/>
    <w:p w14:paraId="7860EAB3" w14:textId="2B6F7FB4" w:rsidR="00840B0B" w:rsidRPr="006E5718" w:rsidRDefault="00840B0B" w:rsidP="00D71AB1">
      <w:r w:rsidRPr="006E5718">
        <w:t>Limpus, C.J.</w:t>
      </w:r>
      <w:r w:rsidR="0040587B">
        <w:t>, and N.</w:t>
      </w:r>
      <w:r>
        <w:t xml:space="preserve"> Nichols. 1988. </w:t>
      </w:r>
      <w:r w:rsidRPr="006E5718">
        <w:t>The southern oscillation regulates the annual numbers of green turtles (</w:t>
      </w:r>
      <w:r w:rsidRPr="006E5718">
        <w:rPr>
          <w:i/>
          <w:iCs/>
        </w:rPr>
        <w:t>Chelonia mydas</w:t>
      </w:r>
      <w:r w:rsidRPr="006E5718">
        <w:t xml:space="preserve">) breeding around northern Australia. </w:t>
      </w:r>
      <w:r w:rsidRPr="009829C5">
        <w:rPr>
          <w:iCs/>
        </w:rPr>
        <w:t>Australian Journal of Wildlife Research</w:t>
      </w:r>
      <w:r w:rsidRPr="009829C5">
        <w:t xml:space="preserve"> </w:t>
      </w:r>
      <w:r w:rsidRPr="006E5718">
        <w:t>15:157.</w:t>
      </w:r>
    </w:p>
    <w:p w14:paraId="3918C066" w14:textId="77777777" w:rsidR="00840B0B" w:rsidRPr="006E5718" w:rsidRDefault="00840B0B" w:rsidP="00D71AB1"/>
    <w:p w14:paraId="0599EE23" w14:textId="654B5207" w:rsidR="00840B0B" w:rsidRPr="006E5718" w:rsidRDefault="00840B0B" w:rsidP="00D71AB1">
      <w:r w:rsidRPr="006E5718">
        <w:t>Limpus, C.J.</w:t>
      </w:r>
      <w:r w:rsidR="0040587B">
        <w:t xml:space="preserve"> and N. </w:t>
      </w:r>
      <w:r>
        <w:t xml:space="preserve">Nichols. 1994. </w:t>
      </w:r>
      <w:r w:rsidRPr="006E5718">
        <w:t xml:space="preserve">Progress report on the study of the interaction of El Niño Southern Oscillation on annual </w:t>
      </w:r>
      <w:r w:rsidRPr="006E5718">
        <w:rPr>
          <w:i/>
          <w:iCs/>
        </w:rPr>
        <w:t>Chelonia mydas</w:t>
      </w:r>
      <w:r w:rsidRPr="006E5718">
        <w:t xml:space="preserve"> numbers at the southern Great Barrier Reef rookeries. </w:t>
      </w:r>
      <w:r w:rsidRPr="006E5718">
        <w:rPr>
          <w:i/>
          <w:iCs/>
        </w:rPr>
        <w:t>In:</w:t>
      </w:r>
      <w:r w:rsidRPr="006E5718">
        <w:t xml:space="preserve"> Proceedings of the Australian Marine Turtle Conservation Workshop, Queensland Australia.</w:t>
      </w:r>
    </w:p>
    <w:p w14:paraId="10103B4F" w14:textId="77777777" w:rsidR="00E04D2F" w:rsidRDefault="00E04D2F" w:rsidP="00E04D2F"/>
    <w:p w14:paraId="7D516976" w14:textId="0829AA43" w:rsidR="00840B0B" w:rsidRDefault="00E04D2F" w:rsidP="00E04D2F">
      <w:r>
        <w:t>Lindeman, K.C, R. Pugliese, G.T. Waugh, and J.S. Ault. 2000. Developmental patterns within a multispecies reef fishery: management applications for essential fish habitats and protected areas. Bulletin of Marine Science 66: 929-956</w:t>
      </w:r>
    </w:p>
    <w:p w14:paraId="66DCE2E8" w14:textId="77777777" w:rsidR="00E04D2F" w:rsidRPr="006E5718" w:rsidRDefault="00E04D2F" w:rsidP="00D71AB1"/>
    <w:p w14:paraId="3747CF46" w14:textId="52CDFC31" w:rsidR="00840B0B" w:rsidRPr="006E5718" w:rsidRDefault="00840B0B" w:rsidP="00D71AB1">
      <w:r w:rsidRPr="006E5718">
        <w:t xml:space="preserve">Lutz, </w:t>
      </w:r>
      <w:r w:rsidR="0040587B">
        <w:t>P.L., and J.A.</w:t>
      </w:r>
      <w:r>
        <w:t xml:space="preserve"> Musick (eds.). 1997. </w:t>
      </w:r>
      <w:r w:rsidRPr="006E5718">
        <w:t>The Biology of Sea Turtles. CRC Press, Boca Raton, Florida.</w:t>
      </w:r>
    </w:p>
    <w:p w14:paraId="58E79090" w14:textId="77777777" w:rsidR="00840B0B" w:rsidRPr="006E5718" w:rsidRDefault="00840B0B" w:rsidP="00D71AB1"/>
    <w:p w14:paraId="2CED8187" w14:textId="0E484E92" w:rsidR="009908D3" w:rsidRDefault="00840B0B" w:rsidP="00D71AB1">
      <w:r w:rsidRPr="006E5718">
        <w:t>Lutz, P.L.,</w:t>
      </w:r>
      <w:r w:rsidR="0040587B">
        <w:t xml:space="preserve"> J.A.</w:t>
      </w:r>
      <w:r>
        <w:t xml:space="preserve"> Musick, and J. Wyneken. 2002. </w:t>
      </w:r>
      <w:r w:rsidRPr="006E5718">
        <w:t>The Biol</w:t>
      </w:r>
      <w:r>
        <w:t xml:space="preserve">ogy of Sea Turtles, Volume II. </w:t>
      </w:r>
      <w:r w:rsidRPr="006E5718">
        <w:t>CRC Press, Boca Raton, Florida.</w:t>
      </w:r>
    </w:p>
    <w:p w14:paraId="66A1A750" w14:textId="77777777" w:rsidR="009908D3" w:rsidRDefault="009908D3" w:rsidP="00D71AB1"/>
    <w:p w14:paraId="52C10DBF" w14:textId="4225A5E4" w:rsidR="009908D3" w:rsidRDefault="003B75BF" w:rsidP="009908D3">
      <w:r w:rsidRPr="003B75BF">
        <w:t>MacIntyre, I.G. and J.D. Milliman. 1970. Physiographic features on the outer shelf and upper slope, Atlantic Continental Margin, southeastern United States. Geological Society of America Bulletin 81:2577-2598.</w:t>
      </w:r>
    </w:p>
    <w:p w14:paraId="54DB371C" w14:textId="77777777" w:rsidR="007F1182" w:rsidRDefault="007F1182" w:rsidP="00D71AB1"/>
    <w:p w14:paraId="62F9F3B5" w14:textId="58DA96E5" w:rsidR="0051542F" w:rsidRDefault="00BA287A" w:rsidP="00BA287A">
      <w:r>
        <w:lastRenderedPageBreak/>
        <w:t>Marshall, C.T. and H.I. Browman. 2007. Disentangling the causes of maturation trends in exploited fish populations: introduction. Marine Ecology Progress Series 335: 249-251.</w:t>
      </w:r>
    </w:p>
    <w:p w14:paraId="3872C5B9" w14:textId="77777777" w:rsidR="00BA287A" w:rsidRDefault="00BA287A" w:rsidP="00BA287A"/>
    <w:p w14:paraId="30453883" w14:textId="49B5BF6C" w:rsidR="007F1182" w:rsidRDefault="007F1182" w:rsidP="00D71AB1">
      <w:r>
        <w:t>Márquez</w:t>
      </w:r>
      <w:r w:rsidRPr="007F1182">
        <w:t xml:space="preserve">-M, R.1994. Synopsis of biological data on the Kemp’s ridley turtles, </w:t>
      </w:r>
      <w:r w:rsidRPr="007F1182">
        <w:rPr>
          <w:i/>
        </w:rPr>
        <w:t>Lepidochelys kempii</w:t>
      </w:r>
      <w:r w:rsidRPr="007F1182">
        <w:t xml:space="preserve"> (Garman, 1880). NOAA Technical Memo, NMFS-SEFSC-343. Miami, FL.</w:t>
      </w:r>
    </w:p>
    <w:p w14:paraId="78DE1A1D" w14:textId="77777777" w:rsidR="007F1182" w:rsidRDefault="007F1182" w:rsidP="00D71AB1"/>
    <w:p w14:paraId="234CE8ED" w14:textId="36E45B10" w:rsidR="00466925" w:rsidRDefault="00C524E2" w:rsidP="00D71AB1">
      <w:r w:rsidRPr="00C524E2">
        <w:t>Matthews, T.R., C.</w:t>
      </w:r>
      <w:r>
        <w:t xml:space="preserve"> </w:t>
      </w:r>
      <w:r w:rsidRPr="00C524E2">
        <w:t xml:space="preserve">Cox, and D. </w:t>
      </w:r>
      <w:r>
        <w:t>Eaken. 2005. Bycatch in Florida’</w:t>
      </w:r>
      <w:r w:rsidRPr="00C524E2">
        <w:t xml:space="preserve">s spiny lobster trap fishery. Proceedings of the 47th Gulf and Caribbean Fisheries Institute.  </w:t>
      </w:r>
    </w:p>
    <w:p w14:paraId="5ED4E541" w14:textId="77777777" w:rsidR="00C524E2" w:rsidRDefault="00C524E2" w:rsidP="00D71AB1"/>
    <w:p w14:paraId="69444D6C" w14:textId="611DD17B" w:rsidR="00840B0B" w:rsidRPr="006E5718" w:rsidRDefault="00840B0B" w:rsidP="00D71AB1">
      <w:r w:rsidRPr="006E5718">
        <w:t>Mendonca</w:t>
      </w:r>
      <w:r w:rsidR="0040587B">
        <w:t>, M.T., and P.C.H.</w:t>
      </w:r>
      <w:r>
        <w:t xml:space="preserve"> Pritchard. </w:t>
      </w:r>
      <w:r w:rsidRPr="006E5718">
        <w:t>1986. Offshore movements of post-nesting Kemp’s ridley sea turtles (</w:t>
      </w:r>
      <w:r w:rsidRPr="006E5718">
        <w:rPr>
          <w:i/>
          <w:iCs/>
        </w:rPr>
        <w:t>Lepidochelys kempi</w:t>
      </w:r>
      <w:r>
        <w:t xml:space="preserve">). </w:t>
      </w:r>
      <w:r w:rsidRPr="009829C5">
        <w:rPr>
          <w:iCs/>
        </w:rPr>
        <w:t>Herpetologica</w:t>
      </w:r>
      <w:r w:rsidRPr="009829C5">
        <w:t xml:space="preserve"> </w:t>
      </w:r>
      <w:r w:rsidRPr="006E5718">
        <w:t>42:373.</w:t>
      </w:r>
    </w:p>
    <w:p w14:paraId="7C5B0C7C" w14:textId="77777777" w:rsidR="00840B0B" w:rsidRPr="006E5718" w:rsidRDefault="00840B0B" w:rsidP="00D71AB1"/>
    <w:p w14:paraId="4BFAF299" w14:textId="77777777" w:rsidR="00840B0B" w:rsidRDefault="00840B0B" w:rsidP="00D71AB1">
      <w:r>
        <w:t>Meylan, A. 1984.</w:t>
      </w:r>
      <w:r w:rsidRPr="006E5718">
        <w:t xml:space="preserve"> Feeding Ecology of the Hawksbill turtle (</w:t>
      </w:r>
      <w:r w:rsidRPr="006E5718">
        <w:rPr>
          <w:i/>
          <w:iCs/>
        </w:rPr>
        <w:t>Eretmochelys imbricata)</w:t>
      </w:r>
      <w:r w:rsidRPr="006E5718">
        <w:t>: Spongivory as a Feeding Niche in the Coral Reef Community. Dissertation, University of Florida, Gainesville, FL.</w:t>
      </w:r>
    </w:p>
    <w:p w14:paraId="7539B3AA" w14:textId="77777777" w:rsidR="00840B0B" w:rsidRDefault="00840B0B" w:rsidP="00D71AB1"/>
    <w:p w14:paraId="41AE8A07" w14:textId="77777777" w:rsidR="00840B0B" w:rsidRPr="006E5718" w:rsidRDefault="00840B0B" w:rsidP="00D71AB1">
      <w:r>
        <w:t xml:space="preserve">Meylan, A. 1988. </w:t>
      </w:r>
      <w:r w:rsidRPr="006E5718">
        <w:t>Spongivory in hawks</w:t>
      </w:r>
      <w:r>
        <w:t xml:space="preserve">bill turtles: a diet of glass. </w:t>
      </w:r>
      <w:r w:rsidRPr="006E5718">
        <w:rPr>
          <w:i/>
          <w:iCs/>
        </w:rPr>
        <w:t>Science</w:t>
      </w:r>
      <w:r w:rsidRPr="006E5718">
        <w:t xml:space="preserve"> 239:393-395.</w:t>
      </w:r>
    </w:p>
    <w:p w14:paraId="5FF1FF64" w14:textId="77777777" w:rsidR="00840B0B" w:rsidRPr="006E5718" w:rsidRDefault="00840B0B" w:rsidP="00D71AB1"/>
    <w:p w14:paraId="61DF78CA" w14:textId="77777777" w:rsidR="00840B0B" w:rsidRDefault="00840B0B" w:rsidP="00D71AB1">
      <w:r>
        <w:t xml:space="preserve">Meylan, A.B., and M. Donnelly. 1999. </w:t>
      </w:r>
      <w:r w:rsidRPr="006E5718">
        <w:t>Status justification for listing the hawksbill turtle (</w:t>
      </w:r>
      <w:r w:rsidRPr="006E5718">
        <w:rPr>
          <w:i/>
          <w:iCs/>
        </w:rPr>
        <w:t>Eretmochelys imbricata)</w:t>
      </w:r>
      <w:r w:rsidRPr="006E5718">
        <w:t xml:space="preserve"> as critically endangered on the 1996 IUCN Red List of Threatened Animals. Chelonian Conservation and Biology 3(2): 200-204.</w:t>
      </w:r>
    </w:p>
    <w:p w14:paraId="1F827AA5" w14:textId="77777777" w:rsidR="009E2B0C" w:rsidRPr="006E5718" w:rsidRDefault="009E2B0C" w:rsidP="00D71AB1"/>
    <w:p w14:paraId="11B02D92" w14:textId="625D7784" w:rsidR="009E2B0C" w:rsidRDefault="003B75BF" w:rsidP="00D71AB1">
      <w:r w:rsidRPr="003B75BF">
        <w:t>Miller, G.C. and W.J. Richards. 1979. Reef fish habitat, faunal assemblages and factors determining distributions in the South Atlantic Bight. Proceedings of the Gulf and Caribbean Fisheries Institute 32:114-130.</w:t>
      </w:r>
    </w:p>
    <w:p w14:paraId="36BEE0C4" w14:textId="77777777" w:rsidR="003B75BF" w:rsidRDefault="003B75BF" w:rsidP="00D71AB1"/>
    <w:p w14:paraId="41745D2F" w14:textId="77777777" w:rsidR="00840B0B" w:rsidRPr="006E5718" w:rsidRDefault="00840B0B" w:rsidP="00D71AB1">
      <w:r>
        <w:t xml:space="preserve">Mortimer, J.A. 1981. </w:t>
      </w:r>
      <w:r w:rsidRPr="006E5718">
        <w:t>The feeding ecology of the West Caribbean green turtle (</w:t>
      </w:r>
      <w:r w:rsidRPr="006E5718">
        <w:rPr>
          <w:i/>
          <w:iCs/>
        </w:rPr>
        <w:t>Chelonia mydas</w:t>
      </w:r>
      <w:r w:rsidRPr="006E5718">
        <w:t>) in Nicaragua</w:t>
      </w:r>
      <w:r>
        <w:t xml:space="preserve">. </w:t>
      </w:r>
      <w:r w:rsidRPr="009829C5">
        <w:rPr>
          <w:iCs/>
        </w:rPr>
        <w:t>Biotropica</w:t>
      </w:r>
      <w:r w:rsidRPr="006E5718">
        <w:t xml:space="preserve"> 13:49.</w:t>
      </w:r>
    </w:p>
    <w:p w14:paraId="2827A06E" w14:textId="77777777" w:rsidR="00840B0B" w:rsidRPr="006E5718" w:rsidRDefault="00840B0B" w:rsidP="00D71AB1"/>
    <w:p w14:paraId="134252F6" w14:textId="77777777" w:rsidR="00840B0B" w:rsidRDefault="00840B0B" w:rsidP="00D71AB1">
      <w:r>
        <w:t xml:space="preserve">Mortimer, J.A. 1982. </w:t>
      </w:r>
      <w:r w:rsidRPr="006E5718">
        <w:t xml:space="preserve">Feeding ecology of sea turtles. </w:t>
      </w:r>
      <w:r w:rsidRPr="006E5718">
        <w:rPr>
          <w:i/>
          <w:iCs/>
        </w:rPr>
        <w:t>In</w:t>
      </w:r>
      <w:r w:rsidRPr="006E5718">
        <w:t>: Bjorndal, K.A. (ed.), Biology an</w:t>
      </w:r>
      <w:r>
        <w:t xml:space="preserve">d Conservation of Sea Turtles. </w:t>
      </w:r>
      <w:r w:rsidRPr="006E5718">
        <w:t>Smithsonian Institute Press, Washington, D.C.</w:t>
      </w:r>
    </w:p>
    <w:p w14:paraId="1C10A81B" w14:textId="77777777" w:rsidR="00E04D2F" w:rsidRDefault="00E04D2F" w:rsidP="00E04D2F"/>
    <w:p w14:paraId="3D9B1E30" w14:textId="5795C6CE" w:rsidR="006959E8" w:rsidRDefault="00E04D2F" w:rsidP="00E04D2F">
      <w:r>
        <w:t xml:space="preserve">Murray, R. and C. Bester. 2007. Biological Profiles: mutton snapper. Ichthyology at the Florida Museum of Natural History. Online at </w:t>
      </w:r>
      <w:hyperlink r:id="rId82" w:history="1">
        <w:r w:rsidR="006959E8" w:rsidRPr="00FA7CEB">
          <w:rPr>
            <w:rStyle w:val="Hyperlink"/>
          </w:rPr>
          <w:t>http://www.flmnh.ufl.edu/fish/Gallery/Descript/MuttonSnapper/MuttonSnapper.html</w:t>
        </w:r>
      </w:hyperlink>
    </w:p>
    <w:p w14:paraId="20022ABD" w14:textId="27F8A674" w:rsidR="009E2B0C" w:rsidRDefault="006959E8" w:rsidP="00E04D2F">
      <w:r>
        <w:t>Accessed August 2015</w:t>
      </w:r>
      <w:r w:rsidR="00E04D2F">
        <w:t>.</w:t>
      </w:r>
    </w:p>
    <w:p w14:paraId="59C20163" w14:textId="77777777" w:rsidR="00E04D2F" w:rsidRPr="006E5718" w:rsidRDefault="00E04D2F" w:rsidP="00E04D2F"/>
    <w:p w14:paraId="072B2A40" w14:textId="77777777" w:rsidR="003B75BF" w:rsidRDefault="003B75BF" w:rsidP="003B75BF">
      <w:r>
        <w:t xml:space="preserve">Needham, H., D. Brown, and L. Carter. 2012. Impacts and adaptation options in the Gulf coast. </w:t>
      </w:r>
    </w:p>
    <w:p w14:paraId="1E007CEB" w14:textId="77777777" w:rsidR="003B75BF" w:rsidRDefault="003B75BF" w:rsidP="003B75BF">
      <w:r>
        <w:t xml:space="preserve">Report prepared for the Center for Climate and Energy Solutions. 38 pp. </w:t>
      </w:r>
    </w:p>
    <w:p w14:paraId="13C50888" w14:textId="0210AA48" w:rsidR="003B75BF" w:rsidRDefault="009108B8" w:rsidP="003B75BF">
      <w:hyperlink r:id="rId83" w:history="1">
        <w:r w:rsidR="003B75BF" w:rsidRPr="00884513">
          <w:rPr>
            <w:rStyle w:val="Hyperlink"/>
          </w:rPr>
          <w:t>http://www.c2es.org/docUploads/gulf-coast-impacts-adaptation.pdf</w:t>
        </w:r>
      </w:hyperlink>
    </w:p>
    <w:p w14:paraId="3B71A68A" w14:textId="77777777" w:rsidR="009E2B0C" w:rsidRDefault="009E2B0C" w:rsidP="00D71AB1"/>
    <w:p w14:paraId="4B0C7976" w14:textId="314AE827" w:rsidR="003B75BF" w:rsidRDefault="003B75BF"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3B75BF">
        <w:t>Newton J.G., O.H. Pilkey, and J.O. Blanton. 1971. An Oceanographic Atlas of the Carolina and continental margin.  North Carolina Dept. of Con</w:t>
      </w:r>
      <w:r>
        <w:t>servation and Development. 57 p.</w:t>
      </w:r>
    </w:p>
    <w:p w14:paraId="24C36A5D" w14:textId="77777777" w:rsidR="00840B0B" w:rsidRDefault="00840B0B" w:rsidP="00D71AB1">
      <w:pPr>
        <w:tabs>
          <w:tab w:val="left" w:pos="720"/>
          <w:tab w:val="left" w:pos="1440"/>
          <w:tab w:val="left" w:pos="2160"/>
          <w:tab w:val="left" w:pos="2880"/>
          <w:tab w:val="left" w:pos="3600"/>
          <w:tab w:val="left" w:pos="4320"/>
          <w:tab w:val="left" w:pos="5040"/>
          <w:tab w:val="left" w:pos="5760"/>
          <w:tab w:val="left" w:pos="6480"/>
          <w:tab w:val="left" w:pos="7200"/>
          <w:tab w:val="left" w:pos="7920"/>
        </w:tabs>
        <w:rPr>
          <w:highlight w:val="yellow"/>
        </w:rPr>
      </w:pPr>
    </w:p>
    <w:p w14:paraId="710F6D78" w14:textId="1053A2CF" w:rsidR="00840B0B" w:rsidRDefault="00840B0B" w:rsidP="00D71AB1">
      <w:r w:rsidRPr="00CA49F3">
        <w:t>NMFS (National Marine Fisheries</w:t>
      </w:r>
      <w:r w:rsidRPr="00CA49F3">
        <w:fldChar w:fldCharType="begin"/>
      </w:r>
      <w:r w:rsidRPr="00CA49F3">
        <w:instrText xml:space="preserve"> XE "Fisheries" </w:instrText>
      </w:r>
      <w:r w:rsidRPr="00CA49F3">
        <w:fldChar w:fldCharType="end"/>
      </w:r>
      <w:r w:rsidRPr="00CA49F3">
        <w:t xml:space="preserve"> Service). 2006. Endangered Species Act section 7 consultation on the Continued Authorization of Snapper-Grouper Fishing under the South </w:t>
      </w:r>
      <w:r w:rsidRPr="00CA49F3">
        <w:lastRenderedPageBreak/>
        <w:t>Atlantic Snapper-Grouper Fishery Management Plan (RFFMP) and Proposed Amendment 13C. Biological</w:t>
      </w:r>
      <w:r w:rsidRPr="00CA49F3">
        <w:fldChar w:fldCharType="begin"/>
      </w:r>
      <w:r w:rsidRPr="00CA49F3">
        <w:instrText xml:space="preserve"> XE "Biological effects" </w:instrText>
      </w:r>
      <w:r w:rsidRPr="00CA49F3">
        <w:fldChar w:fldCharType="end"/>
      </w:r>
      <w:r w:rsidRPr="00CA49F3">
        <w:t xml:space="preserve"> Opinion. June 7.</w:t>
      </w:r>
    </w:p>
    <w:p w14:paraId="0E89DBD6" w14:textId="77777777" w:rsidR="00840B0B" w:rsidRPr="006E5718" w:rsidRDefault="00840B0B" w:rsidP="00D71AB1"/>
    <w:p w14:paraId="44D0FEBA" w14:textId="13DE08EA" w:rsidR="00361CDF" w:rsidRDefault="00C214EE" w:rsidP="00CF2696">
      <w:r>
        <w:t xml:space="preserve">NMFS (National Marine Fisheries Service). 2015. Fisheries Economics of the United States, 2013. U.S. Dept. of Commerce, </w:t>
      </w:r>
      <w:r w:rsidRPr="00C214EE">
        <w:t>NOAA Tech</w:t>
      </w:r>
      <w:r>
        <w:t>nical Memorandum NMFS-F/SPO-159.</w:t>
      </w:r>
    </w:p>
    <w:p w14:paraId="59B3540C" w14:textId="77777777" w:rsidR="00361CDF" w:rsidRDefault="00361CDF" w:rsidP="00CF2696"/>
    <w:p w14:paraId="6F732DC0" w14:textId="28347344" w:rsidR="00CF2696" w:rsidRDefault="00D70751" w:rsidP="00CF2696">
      <w:r>
        <w:t>NMFS (</w:t>
      </w:r>
      <w:r w:rsidR="00CF2696">
        <w:t>National Marine Fisheries Service</w:t>
      </w:r>
      <w:r>
        <w:t>)</w:t>
      </w:r>
      <w:r w:rsidR="00CF2696">
        <w:t>. 2016. Fisheries Economics of the United States, 2014. U.S. Dept. of Commerce,</w:t>
      </w:r>
      <w:r w:rsidR="00847AB4">
        <w:t xml:space="preserve"> </w:t>
      </w:r>
      <w:r w:rsidR="00CF2696">
        <w:t>NOAA Tech. Memo. NMFS-F/SPO-163, 237p.</w:t>
      </w:r>
    </w:p>
    <w:p w14:paraId="13EED062" w14:textId="77777777" w:rsidR="00CF2696" w:rsidRDefault="00CF2696" w:rsidP="00CF2696"/>
    <w:p w14:paraId="05DC5986" w14:textId="30AF180F" w:rsidR="00840B0B" w:rsidRPr="006E5718" w:rsidRDefault="00840B0B" w:rsidP="00CF2696">
      <w:r w:rsidRPr="006E5718">
        <w:t>Nor</w:t>
      </w:r>
      <w:r w:rsidR="0040587B">
        <w:t>man, J.R. and F.C.</w:t>
      </w:r>
      <w:r>
        <w:t xml:space="preserve"> Fraser. 1938. </w:t>
      </w:r>
      <w:r w:rsidRPr="006E5718">
        <w:t>Giant Fishes, Whales and Dolphins. W. W. Norton and Company, Inc, New York, NY. 361 pp.</w:t>
      </w:r>
    </w:p>
    <w:p w14:paraId="71632CAA" w14:textId="77777777" w:rsidR="00840B0B" w:rsidRPr="006E5718" w:rsidRDefault="00840B0B" w:rsidP="00D71AB1"/>
    <w:p w14:paraId="04B55E70" w14:textId="77777777" w:rsidR="00840B0B" w:rsidRPr="006E5718" w:rsidRDefault="00840B0B" w:rsidP="00D71AB1">
      <w:r>
        <w:t xml:space="preserve">Ogren, L.H. </w:t>
      </w:r>
      <w:r w:rsidRPr="006E5718">
        <w:t>1989</w:t>
      </w:r>
      <w:r>
        <w:t xml:space="preserve">. </w:t>
      </w:r>
      <w:r w:rsidRPr="006E5718">
        <w:t xml:space="preserve">Distribution of juvenile and subadult Kemp’s ridley turtles: Preliminary results from the 1984-1987 surveys. </w:t>
      </w:r>
      <w:r w:rsidRPr="007D4361">
        <w:rPr>
          <w:i/>
        </w:rPr>
        <w:t>In</w:t>
      </w:r>
      <w:r w:rsidRPr="006E5718">
        <w:t>: C.W. Caillouet Jr. and A.M. Landry Jr. (eds.) Proceedings from the 1</w:t>
      </w:r>
      <w:r w:rsidRPr="006E5718">
        <w:rPr>
          <w:vertAlign w:val="superscript"/>
        </w:rPr>
        <w:t>st</w:t>
      </w:r>
      <w:r w:rsidRPr="006E5718">
        <w:t xml:space="preserve"> Symposium on Kemp’s ridley Sea Turtle Biology, Conservation, and Mana</w:t>
      </w:r>
      <w:r>
        <w:t xml:space="preserve">gement. </w:t>
      </w:r>
      <w:r w:rsidRPr="006E5718">
        <w:t>Sea Grant College Program, Galveston, TX. 116.</w:t>
      </w:r>
    </w:p>
    <w:p w14:paraId="3CF498B9" w14:textId="77777777" w:rsidR="00840B0B" w:rsidRPr="006E5718" w:rsidRDefault="00840B0B" w:rsidP="00D71AB1"/>
    <w:p w14:paraId="0E93C73A" w14:textId="77777777" w:rsidR="00840B0B" w:rsidRPr="006E5718" w:rsidRDefault="00840B0B" w:rsidP="00D71AB1">
      <w:r>
        <w:t xml:space="preserve">Paredes, R.P. 1969. </w:t>
      </w:r>
      <w:r w:rsidRPr="006E5718">
        <w:t xml:space="preserve">Introduccion al Estudio Biologico de </w:t>
      </w:r>
      <w:r w:rsidRPr="006E5718">
        <w:rPr>
          <w:i/>
          <w:iCs/>
        </w:rPr>
        <w:t>Chelonia mydas agassizi</w:t>
      </w:r>
      <w:r w:rsidRPr="006E5718">
        <w:t xml:space="preserve"> en el Perfil de Pisco, Master’s thesis, Universidad Nacional Federico Villareal, Lima, Peru.</w:t>
      </w:r>
    </w:p>
    <w:p w14:paraId="564EC3A0" w14:textId="77777777" w:rsidR="00840B0B" w:rsidRPr="006E5718" w:rsidRDefault="00840B0B" w:rsidP="00D71AB1"/>
    <w:p w14:paraId="40F464FF" w14:textId="77777777" w:rsidR="003B75BF" w:rsidRDefault="003B75BF" w:rsidP="00D71AB1">
      <w:r w:rsidRPr="003B75BF">
        <w:t>Parker, R.O., D.R. Colby, and T.D. Willis. 1983. Estimated amount of reef habitat on a portion of the U.S. South Atlantic and Gulf of Mexico Continental Shelf. Bulletin of Marine Science 33:935-940.</w:t>
      </w:r>
    </w:p>
    <w:p w14:paraId="3D92B995" w14:textId="77777777" w:rsidR="00873318" w:rsidRDefault="00873318" w:rsidP="00D71AB1"/>
    <w:p w14:paraId="4CC89CA7" w14:textId="70127541" w:rsidR="00EA794A" w:rsidRDefault="00EA794A" w:rsidP="00EA794A">
      <w:r>
        <w:t>Restrepo, V. R., Thompson, G. G., Mace, P.M., Gabriel, W. L., Low, L. L., MacCall, A. D., Methot, R. D., Powers, J. E., Taylor, B. L., Wade, P. R., and Witzig, J. F. 1998. Technical guidance on the use of precautionary approaches to implementing National Standard 1 of the Magnuson– Stevens Fishery Conservation and Management Act. National Oceanic and Atmospheric Administration (US) Technical Memorandum NMFS-F/SPO-31. 54 pp.</w:t>
      </w:r>
    </w:p>
    <w:p w14:paraId="388CC287" w14:textId="77777777" w:rsidR="00613048" w:rsidRDefault="00613048" w:rsidP="00BA287A"/>
    <w:p w14:paraId="076DEFED" w14:textId="73BCB943" w:rsidR="00BA287A" w:rsidRDefault="00BA287A" w:rsidP="00BA287A">
      <w:r>
        <w:t>Rielinger, D.M. 1999. Spawning Aggregations in the Gulf of Mexico, South Atlantic and Caribbean: a Source Document for Fisheries Management.</w:t>
      </w:r>
    </w:p>
    <w:p w14:paraId="03E75C83" w14:textId="77777777" w:rsidR="00156F83" w:rsidRDefault="00156F83" w:rsidP="00D71AB1"/>
    <w:p w14:paraId="40E65AA7" w14:textId="7B8CB1FB" w:rsidR="00873318" w:rsidRDefault="00873318" w:rsidP="00D71AB1">
      <w:r>
        <w:t>Sadovy de Mitchesen, Y. and P.L. Colin. 2011. Reef Fish Spawning Aggregations: Biology, Research and Management.  Springer Science and Business Media.</w:t>
      </w:r>
    </w:p>
    <w:p w14:paraId="1072D2CD" w14:textId="77777777" w:rsidR="00840B0B" w:rsidRDefault="00840B0B" w:rsidP="00D71AB1"/>
    <w:p w14:paraId="1156EFA2" w14:textId="22C50564" w:rsidR="00D70751" w:rsidRDefault="00D70751" w:rsidP="00D70751">
      <w:r w:rsidRPr="001B2555">
        <w:t xml:space="preserve">SAFMC (South Atlantic Fishery Management Council). </w:t>
      </w:r>
      <w:r>
        <w:t>1991. Amendment 4</w:t>
      </w:r>
      <w:r w:rsidRPr="001B2555">
        <w:t xml:space="preserve"> to the Fishery Management Plan for the Snapper Grouper Fishery of the South Atlantic Region.  South Atlantic Fishery Management Council, 4055 Faber Place Drive, Ste 201, Charleston, S.C. 29405.  </w:t>
      </w:r>
    </w:p>
    <w:p w14:paraId="0F9AEBDF" w14:textId="77777777" w:rsidR="00877281" w:rsidRDefault="00877281" w:rsidP="00D71AB1">
      <w:pPr>
        <w:rPr>
          <w:highlight w:val="yellow"/>
        </w:rPr>
      </w:pPr>
    </w:p>
    <w:p w14:paraId="27A2BBFE" w14:textId="569FEB8E" w:rsidR="00877281" w:rsidRDefault="00D70751" w:rsidP="00D71AB1">
      <w:pPr>
        <w:rPr>
          <w:highlight w:val="yellow"/>
        </w:rPr>
      </w:pPr>
      <w:r w:rsidRPr="001B2555">
        <w:t xml:space="preserve">SAFMC (South Atlantic Fishery Management Council). </w:t>
      </w:r>
      <w:r>
        <w:t>1995. Amendment 7</w:t>
      </w:r>
      <w:r w:rsidRPr="001B2555">
        <w:t xml:space="preserve"> to the Fishery Management Plan for the Snapper Grouper Fishery of the South Atlantic Region.  South Atlantic Fishery Management Council, 4055 Faber Place Drive, Ste 201, Charleston, S.C. 29405.  </w:t>
      </w:r>
    </w:p>
    <w:p w14:paraId="501C8D16" w14:textId="77777777" w:rsidR="00D70751" w:rsidRDefault="00D70751" w:rsidP="00D71AB1">
      <w:pPr>
        <w:rPr>
          <w:highlight w:val="yellow"/>
        </w:rPr>
      </w:pPr>
    </w:p>
    <w:p w14:paraId="298823DA" w14:textId="02E09D67" w:rsidR="00FC3993" w:rsidRDefault="00D70751" w:rsidP="00D71AB1">
      <w:r w:rsidRPr="001B2555">
        <w:lastRenderedPageBreak/>
        <w:t xml:space="preserve">SAFMC (South Atlantic Fishery Management Council). </w:t>
      </w:r>
      <w:r>
        <w:t>1998. Amendment 11</w:t>
      </w:r>
      <w:r w:rsidRPr="001B2555">
        <w:t xml:space="preserve"> to the Fishery Management Plan for the Snapper Grouper Fishery of the South Atlantic Region.  South Atlantic Fishery Management Council, 4055 Faber Place Drive, Ste 201, Charleston, S.C. 29405.  </w:t>
      </w:r>
    </w:p>
    <w:p w14:paraId="05D4C2FB" w14:textId="77777777" w:rsidR="00D70751" w:rsidRDefault="00D70751" w:rsidP="00D71AB1"/>
    <w:p w14:paraId="52757F4B" w14:textId="77777777" w:rsidR="00840B0B" w:rsidRDefault="00840B0B" w:rsidP="00D71AB1">
      <w:r>
        <w:t xml:space="preserve">SAFMC (South Atlantic Fishery Management Council).  2006.  Amendment 13C, Final Environmental Assessment, Initial Regulatory Flexibility Analysis/Regulatory Impact Review, and Social Impact Assessment/Fishery Impact Statement for the Fishery Management Plan for the Snapper Grouper Fishery of the South Atlantic Region. South Atlantic Fishery Management Council, 1 Southpark Cir., Ste 306, Charleston, S.C. 29407-4699. 631 pp. </w:t>
      </w:r>
    </w:p>
    <w:p w14:paraId="00A13931" w14:textId="77777777" w:rsidR="00840B0B" w:rsidRDefault="00840B0B" w:rsidP="00D71AB1"/>
    <w:p w14:paraId="0F42D710" w14:textId="77777777" w:rsidR="00840B0B" w:rsidRDefault="00840B0B" w:rsidP="00D71AB1">
      <w:r>
        <w:t xml:space="preserve">SAFMC (South Atlantic Fishery Management Council).  2008a.  Amendment 15A, Final Environmental Impact Statement, Initial Regulatory Flexibility Analysis/Regulatory Impact Review, and Social Impact Assessment/Fishery Impact Statement for the Fishery Management Plan for the Snapper Grouper Fishery of the South Atlantic Region. South Atlantic Fishery Management Council, 4055 Faber Place, Ste 201, North Charleston, S.C. 29405. </w:t>
      </w:r>
    </w:p>
    <w:p w14:paraId="12414886" w14:textId="77777777" w:rsidR="00840B0B" w:rsidRDefault="00840B0B" w:rsidP="00D71AB1"/>
    <w:p w14:paraId="6D87E9A2" w14:textId="77777777" w:rsidR="00840B0B" w:rsidRDefault="00840B0B" w:rsidP="00D71AB1">
      <w:r>
        <w:t xml:space="preserve">SAFMC (South Atlantic Fishery Management Council).  2008b.  Amendment 15B, Final Environmental Impact Statement, Initial Regulatory Flexibility Analysis/Regulatory Impact Review, and Social Impact Assessment/Fishery Impact Statement for the Fishery Management Plan for the Snapper Grouper Fishery of the South Atlantic Region. South Atlantic Fishery Management Council, 4055 Faber Place, Ste 201, North Charleston, S.C. 29405. </w:t>
      </w:r>
    </w:p>
    <w:p w14:paraId="121AEB75" w14:textId="77777777" w:rsidR="00840B0B" w:rsidRDefault="00840B0B" w:rsidP="00D71AB1"/>
    <w:p w14:paraId="2DC7A7DE" w14:textId="77777777" w:rsidR="00840B0B" w:rsidRDefault="00840B0B" w:rsidP="00D71AB1">
      <w:r>
        <w:t>SAFMC (South Atlantic Fishery Management Council).  2009a.  Amendment 16, Final Environmental Impact Statement, Initial Regulatory Flexibility Analysis/Regulatory Impact Review, and Social Impact Assessment/Fishery Impact Statement for the Fishery Management Plan for the Snapper Grouper Fishery of the South Atlantic Region. South Atlantic Fishery Management Council, 4055 Faber Place, Ste 201, North Charleston, S.C. 29405.</w:t>
      </w:r>
    </w:p>
    <w:p w14:paraId="5F7FCA9C" w14:textId="77777777" w:rsidR="00840B0B" w:rsidRDefault="00840B0B" w:rsidP="00D71AB1"/>
    <w:p w14:paraId="448CB024" w14:textId="77777777" w:rsidR="00840B0B" w:rsidRDefault="00840B0B" w:rsidP="00D71AB1">
      <w:r>
        <w:t>SAFMC (South Atlantic Fishery Management Council).  2009b.  Fishery Ecosystem Plan for the South Atlantic Region.  South Atlantic Fishery Management Council, 4055 Faber Place, Ste 201, North Charleston, S.C. 29405.</w:t>
      </w:r>
    </w:p>
    <w:p w14:paraId="644E3D60" w14:textId="77777777" w:rsidR="00840B0B" w:rsidRDefault="00840B0B" w:rsidP="00D71AB1"/>
    <w:p w14:paraId="28958616" w14:textId="77777777" w:rsidR="00840B0B" w:rsidRDefault="00840B0B" w:rsidP="00D71AB1">
      <w:r>
        <w:t>SAFMC (South Atlantic Fishery Management Council).  2010a.  Amendment 17A, Final Environmental Impact Statement, Initial Regulatory Flexibility Analysis/Regulatory Impact Review, and Social Impact Assessment/Fishery Impact Statement for the Fishery Management Plan for the Snapper Grouper Fishery of the South Atlantic Region. South Atlantic Fishery Management Council, 4055 Faber Place Drive, Ste 201, Charleston, S.C. 29405.</w:t>
      </w:r>
    </w:p>
    <w:p w14:paraId="0B45B749" w14:textId="77777777" w:rsidR="00840B0B" w:rsidRDefault="00840B0B" w:rsidP="00D71AB1"/>
    <w:p w14:paraId="0C953554" w14:textId="77777777" w:rsidR="00840B0B" w:rsidRDefault="00840B0B" w:rsidP="00D71AB1">
      <w:r>
        <w:t>SAFMC (South Atlantic Fishery Management Council).  2010b.  Amendment 17B, Final Environmental Impact Statement, Initial Regulatory Flexibility Analysis/Regulatory Impact Review, and Social Impact Assessment/Fishery Impact Statement for the Fishery Management Plan for the Snapper Grouper Fishery of the South Atlantic Region. South Atlantic Fishery Management Council, 4055 Faber Place, Ste 201, North Charleston, S.C. 29405.</w:t>
      </w:r>
    </w:p>
    <w:p w14:paraId="532B87C5" w14:textId="77777777" w:rsidR="00840B0B" w:rsidRDefault="00840B0B" w:rsidP="00D71AB1"/>
    <w:p w14:paraId="559F4BAB" w14:textId="77777777" w:rsidR="003B75BF" w:rsidRDefault="003B75BF" w:rsidP="003B75BF">
      <w:r>
        <w:t xml:space="preserve">SAFMC (South Atlantic Fishery Management Council).  2011a.  Regulatory Amendment 9, Final Environmental Assessment, Regulatory Flexibility Analysis/Regulatory Impact Review, </w:t>
      </w:r>
      <w:r>
        <w:lastRenderedPageBreak/>
        <w:t>and Social Impact Assessment/Fishery Impact Statement for the Fishery Management Plan for the Snapper Grouper Fishery of the South Atlantic Region. South Atlantic Fishery Management Council, 4055 Faber Place, Ste 201, North Charleston, S.C. 29405.</w:t>
      </w:r>
    </w:p>
    <w:p w14:paraId="5B26BBE2" w14:textId="77777777" w:rsidR="003B75BF" w:rsidRDefault="003B75BF" w:rsidP="00D71AB1"/>
    <w:p w14:paraId="6425E9D7" w14:textId="316F5DA1" w:rsidR="00840B0B" w:rsidRDefault="00840B0B" w:rsidP="00D71AB1">
      <w:r>
        <w:t>SAFMC (South Atlantic Fishery Management Council).  2011</w:t>
      </w:r>
      <w:r w:rsidR="003B75BF">
        <w:t>b</w:t>
      </w:r>
      <w:r>
        <w:t>.  Regulatory Amendment 10, Final Environmental Assessment, Regulatory Flexibility Analysis/Regulatory Impact Review, and Social Impact Assessment/Fishery Impact Statement for the Fishery Management Plan for the Snapper Grouper Fishery of the South Atlantic Region. South Atlantic Fishery Management Council, 4055 Faber Place, Ste 201, North Charleston, S.C. 29405.</w:t>
      </w:r>
    </w:p>
    <w:p w14:paraId="0BC21E4E" w14:textId="77777777" w:rsidR="00840B0B" w:rsidRDefault="00840B0B" w:rsidP="00D71AB1"/>
    <w:p w14:paraId="11DB2858" w14:textId="77777777" w:rsidR="002F645B" w:rsidRDefault="002F645B" w:rsidP="00D71AB1">
      <w:r>
        <w:t xml:space="preserve">SAFMC (South Atlantic Fishery Management Council).  2011c.  Comprehensive Annual Catch Limit  Amendment for the South Atlantic Region with Final Environmental Impact Statement, Regulatory Flexibility Analysis, Regulatory Impact Review, and Social Impact Assessment/Fishery Impact Statement.  South Atlantic Fishery Management Council, 4055 Faber Place Drive, Ste 201, Charleston, S.C. 29405.  </w:t>
      </w:r>
    </w:p>
    <w:p w14:paraId="37EEDE4B" w14:textId="77777777" w:rsidR="003B75BF" w:rsidRDefault="003B75BF" w:rsidP="003B75BF"/>
    <w:p w14:paraId="31C6EFEB" w14:textId="229B4A80" w:rsidR="003B75BF" w:rsidRDefault="003B75BF" w:rsidP="003B75BF">
      <w:r w:rsidRPr="001B2555">
        <w:t xml:space="preserve">SAFMC (South Atlantic Fishery Management Council). </w:t>
      </w:r>
      <w:r>
        <w:t xml:space="preserve"> 2011d. Amendment 24</w:t>
      </w:r>
      <w:r w:rsidRPr="001B2555">
        <w:t xml:space="preserve"> to the Fishery Management Plan for the Snapper Grouper Fishery of the South Atlantic Region.  South Atlantic Fishery Management Council, 4055 Faber Place Drive, Ste 201, Charleston, S.C. 29405.  </w:t>
      </w:r>
    </w:p>
    <w:p w14:paraId="6515A9D5" w14:textId="77777777" w:rsidR="003B75BF" w:rsidRDefault="003B75BF" w:rsidP="00D71AB1"/>
    <w:p w14:paraId="1FA78260" w14:textId="0E3A13C8" w:rsidR="002F645B" w:rsidRDefault="003B75BF" w:rsidP="00D71AB1">
      <w:r w:rsidRPr="003B75BF">
        <w:t>SAFMC (South Atlantic Fishery Management Council).  2011e.  Comprehensive Ecosystem Based Amendment 2, Final Environmental Assessment, Regulatory Flexibility Analysis/Regulatory Impact Review, and Social Impact Assessment/Fishery Impact Statement for the Fishery Management Plan for the Snapper Grouper Fishery of the South Atlantic Region. (Amendment 23 to the Snapper Grouper FMP). South Atlantic Fishery Management Council, 4055 Faber Place, Ste 201, North Charleston, S.C. 29405.</w:t>
      </w:r>
    </w:p>
    <w:p w14:paraId="0B2149D7" w14:textId="77777777" w:rsidR="003B75BF" w:rsidRDefault="003B75BF" w:rsidP="00D71AB1"/>
    <w:p w14:paraId="78415E82" w14:textId="77777777" w:rsidR="002F645B" w:rsidRDefault="002F645B" w:rsidP="00D71AB1">
      <w:r>
        <w:t xml:space="preserve">SAFMC (South Atlantic Fishery Management Council).  2012.  Amendment 18B to the Fishery </w:t>
      </w:r>
    </w:p>
    <w:p w14:paraId="7ED3A5EC" w14:textId="77777777" w:rsidR="002F645B" w:rsidRDefault="002F645B" w:rsidP="00D71AB1">
      <w:r>
        <w:t xml:space="preserve">Management Plan for the Snapper Grouper Fishery of the South Atlantic Region with Final </w:t>
      </w:r>
    </w:p>
    <w:p w14:paraId="189142F3" w14:textId="77777777" w:rsidR="002F645B" w:rsidRDefault="002F645B" w:rsidP="00D71AB1">
      <w:r>
        <w:t xml:space="preserve">Environmental Assessment, Initial Regulatory Flexibility Analysis, Regulatory Impact Review, and Social Impact Assessment/Fishery Impact Statement.  South Atlantic Fishery Management Council, 4055 Faber Place Drive, Ste 201, Charleston, S.C. 29405. </w:t>
      </w:r>
    </w:p>
    <w:p w14:paraId="3709F5CE" w14:textId="77777777" w:rsidR="003B75BF" w:rsidRDefault="003B75BF" w:rsidP="003B75BF"/>
    <w:p w14:paraId="542FEE87" w14:textId="65AD7BDE" w:rsidR="003B75BF" w:rsidRDefault="003B75BF" w:rsidP="003B75BF">
      <w:r>
        <w:t xml:space="preserve">SAFMC (South Atlantic Fishery Management Council).  2013.  Amendment 27 to the Fishery </w:t>
      </w:r>
    </w:p>
    <w:p w14:paraId="4DDE8C9B" w14:textId="77777777" w:rsidR="003B75BF" w:rsidRDefault="003B75BF" w:rsidP="003B75BF">
      <w:r>
        <w:t xml:space="preserve">Management Plan for the Snapper Grouper Fishery of the South Atlantic Region with Final </w:t>
      </w:r>
    </w:p>
    <w:p w14:paraId="538CB570" w14:textId="06CB202B" w:rsidR="000401B9" w:rsidRDefault="003B75BF" w:rsidP="003B75BF">
      <w:r>
        <w:t xml:space="preserve">Environmental Assessment, Initial Regulatory Flexibility Analysis, Regulatory Impact Review, and Social Impact Assessment/Fishery Impact Statement.  South Atlantic Fishery Management Council, 4055 Faber Place Drive, Ste 201, Charleston, S.C. 29405.  </w:t>
      </w:r>
    </w:p>
    <w:p w14:paraId="1427D91B" w14:textId="77777777" w:rsidR="00FC3993" w:rsidRDefault="00FC3993" w:rsidP="00B037F4"/>
    <w:p w14:paraId="157ADE5D" w14:textId="010102F4" w:rsidR="00FC3993" w:rsidRDefault="00FC3993" w:rsidP="00FC3993">
      <w:r>
        <w:t>SAFMC (South Atlantic Fishery Management Council).  2014.  Regulatory Amendment 21, Final Environmental Assessment, Regulatory Flexibility Analysis/Regulatory Impact Review, and Social Impact Assessment/Fishery Impact Statement for the Fishery Management Plan for the Snapper Grouper Fishery of the South Atlantic Region. South Atlantic Fishery Management Council, 4055 Faber Place, Ste 201, North Charleston, S.C. 29405.</w:t>
      </w:r>
    </w:p>
    <w:p w14:paraId="57C0AB5C" w14:textId="77777777" w:rsidR="00FC3993" w:rsidRDefault="00FC3993" w:rsidP="00B037F4"/>
    <w:p w14:paraId="65DF735C" w14:textId="69A34D80" w:rsidR="00B037F4" w:rsidRDefault="00B037F4" w:rsidP="00B037F4">
      <w:r>
        <w:lastRenderedPageBreak/>
        <w:t xml:space="preserve">SAFMC (South Atlantic Fishery Management Council).  2015a.  Amendment 32 to the Fishery Management Plan for the Snapper Grouper Fishery of the South Atlantic Region with Final Environmental Impact Statement, Regulatory Flexibility Analysis, Regulatory Impact Review, and Social Impact Assessment/Fishery Impact Statement.  South Atlantic Fishery Management Council, 4055 Faber Place Drive, Ste 201, Charleston, S.C. 29405.  </w:t>
      </w:r>
    </w:p>
    <w:p w14:paraId="370F6D43" w14:textId="77777777" w:rsidR="00B037F4" w:rsidRDefault="00B037F4" w:rsidP="00D71AB1"/>
    <w:p w14:paraId="2FDA1870" w14:textId="05BE9C8A" w:rsidR="00B037F4" w:rsidRDefault="00B037F4" w:rsidP="00B037F4">
      <w:r>
        <w:t xml:space="preserve">SAFMC (South Atlantic Fishery Management Council).  2015b.  Amendment 29 to the Fishery </w:t>
      </w:r>
    </w:p>
    <w:p w14:paraId="5CE85548" w14:textId="77777777" w:rsidR="00B037F4" w:rsidRDefault="00B037F4" w:rsidP="00B037F4">
      <w:r>
        <w:t xml:space="preserve">Management Plan for the Snapper Grouper Fishery of the South Atlantic Region with Final </w:t>
      </w:r>
    </w:p>
    <w:p w14:paraId="6F29C0E6" w14:textId="581C87C4" w:rsidR="00B037F4" w:rsidRDefault="00B037F4" w:rsidP="00B037F4">
      <w:r>
        <w:t>Environmental Assessment, Initial Regulatory Flexibility Analysis, Regulatory Impact Review, and Social Impact Assessment/Fishery Impact Statement.  South Atlantic Fishery Management Council, 4055 Faber Place Drive, Ste 201, Charleston, S.C. 29405.</w:t>
      </w:r>
    </w:p>
    <w:p w14:paraId="7C88049D" w14:textId="77777777" w:rsidR="00B037F4" w:rsidRDefault="00B037F4" w:rsidP="00B037F4"/>
    <w:p w14:paraId="5C38931B" w14:textId="19EC5EDD" w:rsidR="00B06702" w:rsidRDefault="00B06702" w:rsidP="00B06702">
      <w:r>
        <w:t xml:space="preserve">SAFMC (South Atlantic Fishery Management Council).  2015c.  Amendment 35 to the Fishery </w:t>
      </w:r>
    </w:p>
    <w:p w14:paraId="01704CBA" w14:textId="77777777" w:rsidR="00B06702" w:rsidRDefault="00B06702" w:rsidP="00B06702">
      <w:r>
        <w:t xml:space="preserve">Management Plan for the Snapper Grouper Fishery of the South Atlantic Region with Final </w:t>
      </w:r>
    </w:p>
    <w:p w14:paraId="4C3C2DD9" w14:textId="77777777" w:rsidR="00B06702" w:rsidRDefault="00B06702" w:rsidP="00B06702">
      <w:r>
        <w:t>Environmental Assessment, Initial Regulatory Flexibility Analysis, Regulatory Impact Review, and Social Impact Assessment/Fishery Impact Statement.  South Atlantic Fishery Management Council, 4055 Faber Place Drive, Ste 201, Charleston, S.C. 29405.</w:t>
      </w:r>
    </w:p>
    <w:p w14:paraId="2EAD5003" w14:textId="77777777" w:rsidR="00887DB8" w:rsidRDefault="00887DB8" w:rsidP="00B037F4"/>
    <w:p w14:paraId="287D19D7" w14:textId="1D41811F" w:rsidR="00F513C4" w:rsidRDefault="00B43323" w:rsidP="00D71AB1">
      <w:r>
        <w:t xml:space="preserve">SEDAR (Southeast Data, Assessment, and Review) 15A. 2008.  Final Stock Assessment Report: South Atlantic and Gulf of Mexico Mutton Snapper.  SEDAR, 4055 Faber Place Drive, Ste 201, Charleston, S.C. 29405.  Available at:  </w:t>
      </w:r>
      <w:hyperlink r:id="rId84" w:history="1">
        <w:r w:rsidRPr="00F1451B">
          <w:rPr>
            <w:rStyle w:val="Hyperlink"/>
          </w:rPr>
          <w:t>http://sedarweb.org/sedar-15a</w:t>
        </w:r>
      </w:hyperlink>
    </w:p>
    <w:p w14:paraId="30985423" w14:textId="77777777" w:rsidR="00B43323" w:rsidRDefault="00B43323" w:rsidP="00D71AB1"/>
    <w:p w14:paraId="0E2A0755" w14:textId="3416D770" w:rsidR="00B43323" w:rsidRDefault="00B43323" w:rsidP="00D71AB1">
      <w:r>
        <w:t xml:space="preserve">SEDAR (Southeast Data, Assessment, and Review) 15A Update. 2015.  Final Stock Assessment Report: South Atlantic and Gulf of Mexico Mutton Snapper.  SEDAR, 4055 Faber Place Drive, Ste 201, Charleston, S.C. 29405.  Available at:  </w:t>
      </w:r>
      <w:hyperlink r:id="rId85" w:history="1">
        <w:r w:rsidRPr="00F1451B">
          <w:rPr>
            <w:rStyle w:val="Hyperlink"/>
          </w:rPr>
          <w:t>http://sedarweb.org/sedar-15a</w:t>
        </w:r>
      </w:hyperlink>
    </w:p>
    <w:p w14:paraId="6B53BC7A" w14:textId="77777777" w:rsidR="00B43323" w:rsidRDefault="00B43323" w:rsidP="00D71AB1"/>
    <w:p w14:paraId="045A4EBF" w14:textId="251C1FCE" w:rsidR="00840B0B" w:rsidRPr="006E5718" w:rsidRDefault="0040587B" w:rsidP="00D71AB1">
      <w:r>
        <w:t>Shaver,</w:t>
      </w:r>
      <w:r w:rsidR="00840B0B">
        <w:t xml:space="preserve"> D.J. 1991. </w:t>
      </w:r>
      <w:r w:rsidR="00840B0B" w:rsidRPr="006E5718">
        <w:t>Feeding ecology of wild and head-started Kemp’s ridley sea turtles in south Texas</w:t>
      </w:r>
      <w:r w:rsidR="00840B0B">
        <w:t xml:space="preserve"> waters. </w:t>
      </w:r>
      <w:r w:rsidR="00840B0B" w:rsidRPr="00980C6A">
        <w:rPr>
          <w:iCs/>
        </w:rPr>
        <w:t>Journal of Herpetology</w:t>
      </w:r>
      <w:r w:rsidR="00840B0B" w:rsidRPr="006E5718">
        <w:t xml:space="preserve"> 25:327.</w:t>
      </w:r>
    </w:p>
    <w:p w14:paraId="4ED2F4A9" w14:textId="77777777" w:rsidR="00D21652" w:rsidRDefault="00D21652" w:rsidP="00D21652">
      <w:pPr>
        <w:rPr>
          <w:shd w:val="clear" w:color="auto" w:fill="FFFFFF"/>
        </w:rPr>
      </w:pPr>
    </w:p>
    <w:p w14:paraId="52FD0736" w14:textId="77777777" w:rsidR="00D1588C" w:rsidRDefault="00D1588C" w:rsidP="00D1588C">
      <w:r w:rsidRPr="00887DB8">
        <w:t>Shulzitsk</w:t>
      </w:r>
      <w:r>
        <w:t>i, K., McCartney M.A., and Burton, M.L. 2005.</w:t>
      </w:r>
      <w:r w:rsidRPr="00887DB8">
        <w:t xml:space="preserve"> Analyzing genetic connectivity of Caribbean and Florida mutton snapper. Final report to the NOAA Coral Reef Conservation Program. 18 pp.</w:t>
      </w:r>
    </w:p>
    <w:p w14:paraId="1CB47BC5" w14:textId="77777777" w:rsidR="00D1588C" w:rsidRDefault="00D1588C" w:rsidP="00D71AB1"/>
    <w:p w14:paraId="4A10FB63" w14:textId="7B284C74" w:rsidR="00840B0B" w:rsidRPr="006E5718" w:rsidRDefault="00840B0B" w:rsidP="00D71AB1">
      <w:r w:rsidRPr="006E5718">
        <w:t>Simpfendorfer</w:t>
      </w:r>
      <w:r>
        <w:t>, C</w:t>
      </w:r>
      <w:r w:rsidR="003B75BF">
        <w:t>.</w:t>
      </w:r>
      <w:r>
        <w:t>A. 2001.</w:t>
      </w:r>
      <w:r w:rsidRPr="006E5718">
        <w:t xml:space="preserve"> Essential habitat of the smalltooth sawfish, </w:t>
      </w:r>
      <w:r w:rsidRPr="006E5718">
        <w:rPr>
          <w:i/>
          <w:iCs/>
        </w:rPr>
        <w:t>Pristis pectinata</w:t>
      </w:r>
      <w:r w:rsidRPr="006E5718">
        <w:t>. Report to the National Fisheries</w:t>
      </w:r>
      <w:r>
        <w:fldChar w:fldCharType="begin"/>
      </w:r>
      <w:r>
        <w:instrText xml:space="preserve"> XE "Fisheries" </w:instrText>
      </w:r>
      <w:r>
        <w:fldChar w:fldCharType="end"/>
      </w:r>
      <w:r w:rsidRPr="006E5718">
        <w:t xml:space="preserve"> Service’s Protected Resources</w:t>
      </w:r>
      <w:r>
        <w:fldChar w:fldCharType="begin"/>
      </w:r>
      <w:r>
        <w:instrText xml:space="preserve"> XE "Resources" </w:instrText>
      </w:r>
      <w:r>
        <w:fldChar w:fldCharType="end"/>
      </w:r>
      <w:r w:rsidRPr="006E5718">
        <w:t xml:space="preserve"> Division. </w:t>
      </w:r>
      <w:r w:rsidRPr="00980C6A">
        <w:rPr>
          <w:iCs/>
        </w:rPr>
        <w:t>Mote Marine Laboratory</w:t>
      </w:r>
      <w:r>
        <w:rPr>
          <w:iCs/>
        </w:rPr>
        <w:t>,</w:t>
      </w:r>
      <w:r w:rsidRPr="00980C6A">
        <w:rPr>
          <w:iCs/>
        </w:rPr>
        <w:t xml:space="preserve"> Technical Report</w:t>
      </w:r>
      <w:r w:rsidRPr="006E5718">
        <w:rPr>
          <w:i/>
          <w:iCs/>
        </w:rPr>
        <w:t xml:space="preserve"> </w:t>
      </w:r>
      <w:r w:rsidRPr="006E5718">
        <w:t>(786) 21pp.</w:t>
      </w:r>
    </w:p>
    <w:p w14:paraId="0888D7D7" w14:textId="77777777" w:rsidR="00840B0B" w:rsidRDefault="00840B0B" w:rsidP="00D71AB1">
      <w:pPr>
        <w:rPr>
          <w:shd w:val="clear" w:color="auto" w:fill="FFFFFF"/>
        </w:rPr>
      </w:pPr>
    </w:p>
    <w:p w14:paraId="04CD028A" w14:textId="15557A8B" w:rsidR="00840B0B" w:rsidRPr="006E5718" w:rsidRDefault="00840B0B" w:rsidP="00D71AB1">
      <w:r w:rsidRPr="006E5718">
        <w:rPr>
          <w:shd w:val="clear" w:color="auto" w:fill="FFFFFF"/>
        </w:rPr>
        <w:t>Simpfen</w:t>
      </w:r>
      <w:r>
        <w:rPr>
          <w:shd w:val="clear" w:color="auto" w:fill="FFFFFF"/>
        </w:rPr>
        <w:t xml:space="preserve">dorfer, C.A. and T.R. Wiley. 2004. </w:t>
      </w:r>
      <w:r w:rsidRPr="006E5718">
        <w:rPr>
          <w:shd w:val="clear" w:color="auto" w:fill="FFFFFF"/>
        </w:rPr>
        <w:t xml:space="preserve">Determination of the distribution of Florida’s remnant sawfish population, and identification of areas critical to their conservation. </w:t>
      </w:r>
      <w:r w:rsidRPr="00980C6A">
        <w:rPr>
          <w:iCs/>
          <w:shd w:val="clear" w:color="auto" w:fill="FFFFFF"/>
        </w:rPr>
        <w:t>Mote Marine Laboratory</w:t>
      </w:r>
      <w:r>
        <w:rPr>
          <w:iCs/>
          <w:shd w:val="clear" w:color="auto" w:fill="FFFFFF"/>
        </w:rPr>
        <w:t>,</w:t>
      </w:r>
      <w:r w:rsidRPr="00980C6A">
        <w:rPr>
          <w:iCs/>
          <w:shd w:val="clear" w:color="auto" w:fill="FFFFFF"/>
        </w:rPr>
        <w:t xml:space="preserve"> Technical Report</w:t>
      </w:r>
      <w:r w:rsidRPr="006E5718">
        <w:rPr>
          <w:shd w:val="clear" w:color="auto" w:fill="FFFFFF"/>
        </w:rPr>
        <w:t xml:space="preserve"> July 2, 2004</w:t>
      </w:r>
      <w:r>
        <w:rPr>
          <w:shd w:val="clear" w:color="auto" w:fill="FFFFFF"/>
        </w:rPr>
        <w:t>,</w:t>
      </w:r>
      <w:r w:rsidRPr="006E5718">
        <w:rPr>
          <w:shd w:val="clear" w:color="auto" w:fill="FFFFFF"/>
        </w:rPr>
        <w:t xml:space="preserve"> 37 pp.</w:t>
      </w:r>
    </w:p>
    <w:p w14:paraId="47E71AC9" w14:textId="77777777" w:rsidR="00840B0B" w:rsidRPr="006E5718" w:rsidRDefault="00840B0B" w:rsidP="00D71AB1"/>
    <w:p w14:paraId="388F336B" w14:textId="77777777" w:rsidR="00840B0B" w:rsidRDefault="00840B0B" w:rsidP="00D71AB1">
      <w:r>
        <w:t xml:space="preserve">Soma, M. 1985. </w:t>
      </w:r>
      <w:r w:rsidRPr="006E5718">
        <w:t>Radio biotelemetry system applied</w:t>
      </w:r>
      <w:r>
        <w:t xml:space="preserve"> to migratory study of turtle. </w:t>
      </w:r>
      <w:r w:rsidRPr="006E5718">
        <w:t>Journal of the Faculty of Marine Science and Technology, Tokai University, Japan, 21:47.</w:t>
      </w:r>
    </w:p>
    <w:p w14:paraId="68B45BFF" w14:textId="77777777" w:rsidR="00840B0B" w:rsidRDefault="00840B0B" w:rsidP="00D71AB1"/>
    <w:p w14:paraId="21BE270D" w14:textId="21FAF34A" w:rsidR="00840B0B" w:rsidRDefault="0040587B" w:rsidP="00D71AB1">
      <w:r>
        <w:lastRenderedPageBreak/>
        <w:t>Standora, E.A., J.R.</w:t>
      </w:r>
      <w:r w:rsidR="00840B0B" w:rsidRPr="006E5718">
        <w:t xml:space="preserve"> Spotila, </w:t>
      </w:r>
      <w:r>
        <w:t>J.A.</w:t>
      </w:r>
      <w:r w:rsidR="00840B0B">
        <w:t xml:space="preserve"> Keinath, and C.R. Shoop. 1984. </w:t>
      </w:r>
      <w:r w:rsidR="00840B0B" w:rsidRPr="006E5718">
        <w:t xml:space="preserve">Body temperatures, diving cycles, and movements of a subadult leatherback turtle, </w:t>
      </w:r>
      <w:r w:rsidR="00840B0B" w:rsidRPr="006E5718">
        <w:rPr>
          <w:i/>
          <w:iCs/>
        </w:rPr>
        <w:t>Dermochelys coriacea</w:t>
      </w:r>
      <w:r w:rsidR="00840B0B">
        <w:t xml:space="preserve">. </w:t>
      </w:r>
      <w:r w:rsidR="00840B0B" w:rsidRPr="00980C6A">
        <w:rPr>
          <w:iCs/>
        </w:rPr>
        <w:t>Herpetologica</w:t>
      </w:r>
      <w:r w:rsidR="00840B0B" w:rsidRPr="006E5718">
        <w:t xml:space="preserve"> 40:169.</w:t>
      </w:r>
    </w:p>
    <w:p w14:paraId="16ECE1C3" w14:textId="77777777" w:rsidR="00840B0B" w:rsidRDefault="00840B0B" w:rsidP="00D71AB1"/>
    <w:p w14:paraId="242FB77E" w14:textId="03B269AD" w:rsidR="00840B0B" w:rsidRPr="006E5718" w:rsidRDefault="0040587B" w:rsidP="00D71AB1">
      <w:r>
        <w:t>Thayer, G.W., K.A. Bjorndal, J.C.</w:t>
      </w:r>
      <w:r w:rsidR="00840B0B" w:rsidRPr="006E5718">
        <w:t xml:space="preserve"> Ogden, S.L</w:t>
      </w:r>
      <w:r>
        <w:t xml:space="preserve">. Williams, and J.C. </w:t>
      </w:r>
      <w:r w:rsidR="00840B0B">
        <w:t xml:space="preserve">Zieman. 1984. </w:t>
      </w:r>
      <w:r w:rsidR="00840B0B" w:rsidRPr="006E5718">
        <w:t>Role of large herbi</w:t>
      </w:r>
      <w:r w:rsidR="00840B0B">
        <w:t xml:space="preserve">vores in seagrass communities. </w:t>
      </w:r>
      <w:r w:rsidR="00840B0B" w:rsidRPr="00980C6A">
        <w:rPr>
          <w:iCs/>
        </w:rPr>
        <w:t>Estuaries</w:t>
      </w:r>
      <w:r w:rsidR="00840B0B" w:rsidRPr="006E5718">
        <w:t xml:space="preserve"> 7:351.</w:t>
      </w:r>
    </w:p>
    <w:p w14:paraId="559F121F" w14:textId="77777777" w:rsidR="00840B0B" w:rsidRPr="006E5718" w:rsidRDefault="00840B0B" w:rsidP="00D71AB1"/>
    <w:p w14:paraId="528715B0" w14:textId="79913B31" w:rsidR="00840B0B" w:rsidRPr="006E5718" w:rsidRDefault="00840B0B" w:rsidP="00D71AB1">
      <w:r w:rsidRPr="006E5718">
        <w:t>Van Dam, R.</w:t>
      </w:r>
      <w:r>
        <w:t xml:space="preserve"> and C. Diéz. 1998. </w:t>
      </w:r>
      <w:r w:rsidRPr="006E5718">
        <w:t>Home range of immature hawksbill turtles (</w:t>
      </w:r>
      <w:r w:rsidRPr="006E5718">
        <w:rPr>
          <w:i/>
          <w:iCs/>
        </w:rPr>
        <w:t>Eretmochelys imbricata</w:t>
      </w:r>
      <w:r w:rsidR="0040587B">
        <w:t xml:space="preserve">) at </w:t>
      </w:r>
      <w:r w:rsidRPr="006E5718">
        <w:t>two Caribbean</w:t>
      </w:r>
      <w:r>
        <w:t xml:space="preserve"> islands. </w:t>
      </w:r>
      <w:r w:rsidRPr="00980C6A">
        <w:rPr>
          <w:iCs/>
        </w:rPr>
        <w:t>Journal of Experimental Marine Biology and Ecology</w:t>
      </w:r>
      <w:r w:rsidRPr="006E5718">
        <w:t xml:space="preserve"> 220(1):15-24.</w:t>
      </w:r>
    </w:p>
    <w:p w14:paraId="2357E664" w14:textId="77777777" w:rsidR="00840B0B" w:rsidRPr="006E5718" w:rsidRDefault="00840B0B" w:rsidP="00D71AB1"/>
    <w:p w14:paraId="4F0988EA" w14:textId="77777777" w:rsidR="00840B0B" w:rsidRDefault="00840B0B" w:rsidP="00D71AB1">
      <w:r>
        <w:t xml:space="preserve">Walker, T.A. 1994. </w:t>
      </w:r>
      <w:r w:rsidRPr="006E5718">
        <w:t xml:space="preserve">Post-hatchling dispersal of sea turtles. p. 79. </w:t>
      </w:r>
      <w:r w:rsidRPr="006E5718">
        <w:rPr>
          <w:i/>
          <w:iCs/>
        </w:rPr>
        <w:t>In</w:t>
      </w:r>
      <w:r w:rsidRPr="006E5718">
        <w:t>: Proceedings of the Australian Marine Turtle Conservation Workshop, Queensland Australia.</w:t>
      </w:r>
    </w:p>
    <w:p w14:paraId="3BD6625C" w14:textId="77777777" w:rsidR="00840B0B" w:rsidRDefault="00840B0B" w:rsidP="00D71AB1"/>
    <w:p w14:paraId="5960401A" w14:textId="2F0349C2" w:rsidR="003B75BF" w:rsidRPr="006E5718" w:rsidRDefault="00356227" w:rsidP="00D71AB1">
      <w:r w:rsidRPr="00356227">
        <w:t>Waring, G.T., E. Josephson</w:t>
      </w:r>
      <w:r w:rsidR="0040587B">
        <w:t xml:space="preserve">, K. Maze-Foley, and P.E. Rosel (eds). 2013. </w:t>
      </w:r>
      <w:r w:rsidRPr="00356227">
        <w:t>U.S. Atlantic and Gulf of Mexico Marine Mammal Stock Assessments – 2012.  U.S. Department of Commerce, Woods Hole, MA.</w:t>
      </w:r>
    </w:p>
    <w:p w14:paraId="7DA36397" w14:textId="77777777" w:rsidR="00840B0B" w:rsidRPr="006E5718" w:rsidRDefault="00840B0B" w:rsidP="00D71AB1"/>
    <w:p w14:paraId="2EBFAA28" w14:textId="2481BCBE" w:rsidR="00CF2696" w:rsidRDefault="00CF2696" w:rsidP="00D71AB1">
      <w:r w:rsidRPr="00CF2696">
        <w:t>Watanabe, W.O. 2001.  Species Profile: Mutton Snapper. Southern Regional Aquaculture Center (SRAC) Publication No. 725.</w:t>
      </w:r>
    </w:p>
    <w:p w14:paraId="20328683" w14:textId="77777777" w:rsidR="00CF2696" w:rsidRDefault="00CF2696" w:rsidP="00D71AB1"/>
    <w:p w14:paraId="003081E2" w14:textId="77777777" w:rsidR="00840B0B" w:rsidRPr="006E5718" w:rsidRDefault="00840B0B" w:rsidP="00D71AB1">
      <w:r>
        <w:t xml:space="preserve">Witzell, W.N. 2002. </w:t>
      </w:r>
      <w:r w:rsidRPr="006E5718">
        <w:t>Immature Atlantic loggerhead turtles (</w:t>
      </w:r>
      <w:r w:rsidRPr="006E5718">
        <w:rPr>
          <w:i/>
          <w:iCs/>
        </w:rPr>
        <w:t>Caretta caretta</w:t>
      </w:r>
      <w:r w:rsidRPr="006E5718">
        <w:t>): suggested changes to the life history m</w:t>
      </w:r>
      <w:r>
        <w:t xml:space="preserve">odel. </w:t>
      </w:r>
      <w:r w:rsidRPr="00980C6A">
        <w:rPr>
          <w:iCs/>
        </w:rPr>
        <w:t>Herpetological Review</w:t>
      </w:r>
      <w:r w:rsidRPr="00980C6A">
        <w:t xml:space="preserve"> </w:t>
      </w:r>
      <w:r w:rsidRPr="006E5718">
        <w:t>33(4):266-269.</w:t>
      </w:r>
    </w:p>
    <w:p w14:paraId="5FF36F7A" w14:textId="77777777" w:rsidR="00840B0B" w:rsidRPr="006E5718" w:rsidRDefault="00840B0B" w:rsidP="00D71AB1"/>
    <w:p w14:paraId="7452A826" w14:textId="1ECA868F" w:rsidR="007768E2" w:rsidRDefault="00356227" w:rsidP="00D71AB1">
      <w:pPr>
        <w:autoSpaceDE w:val="0"/>
        <w:autoSpaceDN w:val="0"/>
        <w:adjustRightInd w:val="0"/>
        <w:sectPr w:rsidR="007768E2" w:rsidSect="0038545E">
          <w:footerReference w:type="default" r:id="rId86"/>
          <w:footerReference w:type="first" r:id="rId87"/>
          <w:pgSz w:w="12240" w:h="15840" w:code="1"/>
          <w:pgMar w:top="1440" w:right="1440" w:bottom="1440" w:left="1440" w:header="720" w:footer="720" w:gutter="0"/>
          <w:cols w:space="720"/>
          <w:docGrid w:linePitch="360"/>
        </w:sectPr>
      </w:pPr>
      <w:r w:rsidRPr="00356227">
        <w:rPr>
          <w:color w:val="000000"/>
        </w:rPr>
        <w:t>Wynne, K. and M. Schwartz.  1999.  Guide to marine mammals and turtles of the U.S. Atlantic and Gulf of Mexico.  Rhode Island Sea Grant, Narragansett. 115pp.</w:t>
      </w:r>
    </w:p>
    <w:p w14:paraId="4BADAF34" w14:textId="6F206897" w:rsidR="00717820" w:rsidRDefault="00717820" w:rsidP="00717820">
      <w:pPr>
        <w:pStyle w:val="Heading1"/>
        <w:rPr>
          <w:rFonts w:ascii="Times New Roman" w:hAnsi="Times New Roman" w:cs="Times New Roman"/>
          <w:color w:val="548DD4"/>
          <w:sz w:val="56"/>
          <w:szCs w:val="56"/>
        </w:rPr>
      </w:pPr>
      <w:bookmarkStart w:id="390" w:name="_Toc339811830"/>
      <w:bookmarkStart w:id="391" w:name="_Toc361410433"/>
      <w:bookmarkStart w:id="392" w:name="_Toc374615703"/>
      <w:r>
        <w:rPr>
          <w:rFonts w:ascii="Times New Roman" w:hAnsi="Times New Roman" w:cs="Times New Roman"/>
          <w:color w:val="8DB3E2"/>
          <w:sz w:val="36"/>
          <w:szCs w:val="36"/>
        </w:rPr>
        <w:lastRenderedPageBreak/>
        <w:t>Appendix A</w:t>
      </w:r>
      <w:r w:rsidRPr="00532ABB">
        <w:rPr>
          <w:rFonts w:ascii="Times New Roman" w:hAnsi="Times New Roman" w:cs="Times New Roman"/>
          <w:color w:val="8DB3E2"/>
          <w:sz w:val="36"/>
          <w:szCs w:val="36"/>
        </w:rPr>
        <w:t>.</w:t>
      </w:r>
      <w:r w:rsidRPr="00532ABB">
        <w:rPr>
          <w:rFonts w:ascii="Times New Roman" w:hAnsi="Times New Roman" w:cs="Times New Roman"/>
          <w:color w:val="548DD4"/>
          <w:sz w:val="56"/>
          <w:szCs w:val="56"/>
        </w:rPr>
        <w:t xml:space="preserve">  </w:t>
      </w:r>
      <w:r w:rsidRPr="003061E9">
        <w:rPr>
          <w:rFonts w:ascii="Times New Roman" w:hAnsi="Times New Roman" w:cs="Times New Roman"/>
          <w:color w:val="548DD4"/>
          <w:sz w:val="48"/>
          <w:szCs w:val="48"/>
        </w:rPr>
        <w:t>Considered But Rejected Alternatives</w:t>
      </w:r>
      <w:bookmarkEnd w:id="390"/>
    </w:p>
    <w:p w14:paraId="4959641D" w14:textId="77777777" w:rsidR="00717820" w:rsidRPr="00717820" w:rsidRDefault="00717820" w:rsidP="00717820"/>
    <w:p w14:paraId="05627EBC" w14:textId="77777777" w:rsidR="00717820" w:rsidRPr="00717820" w:rsidRDefault="00717820" w:rsidP="00717820"/>
    <w:p w14:paraId="46AE3E59" w14:textId="28920B81" w:rsidR="00717820" w:rsidRDefault="006B486F" w:rsidP="00717820">
      <w:pPr>
        <w:rPr>
          <w:b/>
        </w:rPr>
      </w:pPr>
      <w:r w:rsidRPr="00D27291">
        <w:rPr>
          <w:b/>
          <w:i/>
        </w:rPr>
        <w:t>Action 6.  Modify Mutton Snapper Recreational Bag Limit in the South Atlantic</w:t>
      </w:r>
    </w:p>
    <w:p w14:paraId="16A77997" w14:textId="77777777" w:rsidR="006B486F" w:rsidRPr="00D27291" w:rsidRDefault="006B486F" w:rsidP="006B486F">
      <w:r w:rsidRPr="00D27291">
        <w:rPr>
          <w:b/>
        </w:rPr>
        <w:t>Alternative 3.</w:t>
      </w:r>
      <w:r w:rsidRPr="00D27291">
        <w:t xml:space="preserve">  Retain mutton snapper within the recreational 10 snapper aggregate bag limit in the South Atlantic, but specify bag/vessel limits for mutton snapper during </w:t>
      </w:r>
      <w:r w:rsidRPr="006B486F">
        <w:t>the “spawning months”</w:t>
      </w:r>
    </w:p>
    <w:p w14:paraId="6914E0BD" w14:textId="77777777" w:rsidR="006B486F" w:rsidRPr="00D27291" w:rsidRDefault="006B486F" w:rsidP="006B486F">
      <w:pPr>
        <w:ind w:left="720"/>
      </w:pPr>
      <w:r w:rsidRPr="00D27291">
        <w:rPr>
          <w:b/>
        </w:rPr>
        <w:t>Sub-alternative 3b.</w:t>
      </w:r>
      <w:r w:rsidRPr="00D27291">
        <w:t xml:space="preserve">  2 fish/vessel/day</w:t>
      </w:r>
    </w:p>
    <w:p w14:paraId="60FEB0C3" w14:textId="77777777" w:rsidR="006B486F" w:rsidRPr="00D27291" w:rsidRDefault="006B486F" w:rsidP="006B486F">
      <w:pPr>
        <w:ind w:left="720"/>
      </w:pPr>
      <w:r w:rsidRPr="00D27291">
        <w:rPr>
          <w:b/>
        </w:rPr>
        <w:t>Sub-alternative 3c.</w:t>
      </w:r>
      <w:r w:rsidRPr="00D27291">
        <w:t xml:space="preserve">  5 fish/vessel/day </w:t>
      </w:r>
    </w:p>
    <w:p w14:paraId="58B6DCBF" w14:textId="489D0ED5" w:rsidR="00717820" w:rsidRDefault="00717820" w:rsidP="00717820"/>
    <w:p w14:paraId="148A31AC" w14:textId="3C2D00B6" w:rsidR="006B486F" w:rsidRPr="006B486F" w:rsidRDefault="006B486F" w:rsidP="00717820">
      <w:r w:rsidRPr="006B486F">
        <w:rPr>
          <w:i/>
          <w:u w:val="single"/>
        </w:rPr>
        <w:t>Discussion:</w:t>
      </w:r>
      <w:r>
        <w:t xml:space="preserve">  The Council did not consider the above sub-alternatives for vessel limits for the recreational sector because there was no support from the public and the measures were deemed too restrictive.</w:t>
      </w:r>
    </w:p>
    <w:p w14:paraId="64B800EE" w14:textId="77777777" w:rsidR="006B486F" w:rsidRPr="006B486F" w:rsidRDefault="006B486F" w:rsidP="00717820"/>
    <w:p w14:paraId="14A04D09" w14:textId="77777777" w:rsidR="006B486F" w:rsidRDefault="006B486F" w:rsidP="00717820">
      <w:pPr>
        <w:rPr>
          <w:b/>
          <w:i/>
        </w:rPr>
      </w:pPr>
    </w:p>
    <w:p w14:paraId="3FEAF350" w14:textId="003BE343" w:rsidR="006B486F" w:rsidRPr="006B486F" w:rsidRDefault="006B486F" w:rsidP="00717820">
      <w:pPr>
        <w:rPr>
          <w:b/>
          <w:i/>
        </w:rPr>
      </w:pPr>
      <w:r w:rsidRPr="00850FE3">
        <w:rPr>
          <w:b/>
          <w:i/>
        </w:rPr>
        <w:t>Action 7.  Modify Mutton Snapper Commercial Trip Limit in the South Atlantic</w:t>
      </w:r>
    </w:p>
    <w:p w14:paraId="5A8BA120" w14:textId="77777777" w:rsidR="006B486F" w:rsidRPr="00850FE3" w:rsidRDefault="006B486F" w:rsidP="006B486F">
      <w:r w:rsidRPr="00850FE3">
        <w:rPr>
          <w:b/>
        </w:rPr>
        <w:t>Alternative 3.</w:t>
      </w:r>
      <w:r w:rsidRPr="00850FE3">
        <w:t xml:space="preserve">  Specify a commercial trip limit for mutton snapper during </w:t>
      </w:r>
      <w:r w:rsidRPr="006B486F">
        <w:t>the “spawning months”</w:t>
      </w:r>
      <w:r w:rsidRPr="00850FE3">
        <w:t xml:space="preserve"> in the South </w:t>
      </w:r>
      <w:r w:rsidRPr="00850FE3">
        <w:rPr>
          <w:caps/>
        </w:rPr>
        <w:t>A</w:t>
      </w:r>
      <w:r w:rsidRPr="00850FE3">
        <w:t>tlantic.</w:t>
      </w:r>
    </w:p>
    <w:p w14:paraId="0C658C27" w14:textId="77777777" w:rsidR="006B486F" w:rsidRPr="00850FE3" w:rsidRDefault="006B486F" w:rsidP="006B486F">
      <w:pPr>
        <w:ind w:left="720"/>
      </w:pPr>
      <w:r w:rsidRPr="00850FE3">
        <w:rPr>
          <w:b/>
        </w:rPr>
        <w:t>Sub-alternative 3b.</w:t>
      </w:r>
      <w:r w:rsidRPr="00850FE3">
        <w:t xml:space="preserve">  5 fish/person/day</w:t>
      </w:r>
    </w:p>
    <w:p w14:paraId="2EBE7A27" w14:textId="77777777" w:rsidR="006B486F" w:rsidRPr="00850FE3" w:rsidRDefault="006B486F" w:rsidP="006B486F">
      <w:pPr>
        <w:ind w:left="720"/>
      </w:pPr>
      <w:r w:rsidRPr="00850FE3">
        <w:rPr>
          <w:b/>
        </w:rPr>
        <w:t>Sub-alternative 3c.</w:t>
      </w:r>
      <w:r w:rsidRPr="00850FE3">
        <w:t xml:space="preserve">  2 fish/vessel/day</w:t>
      </w:r>
    </w:p>
    <w:p w14:paraId="5C60F6AB" w14:textId="77777777" w:rsidR="006B486F" w:rsidRPr="00850FE3" w:rsidRDefault="006B486F" w:rsidP="006B486F">
      <w:pPr>
        <w:ind w:left="720"/>
      </w:pPr>
      <w:r w:rsidRPr="00850FE3">
        <w:rPr>
          <w:b/>
        </w:rPr>
        <w:t>Sub-alternative 3d.</w:t>
      </w:r>
      <w:r w:rsidRPr="00850FE3">
        <w:t xml:space="preserve">  5 fish/vessel/day</w:t>
      </w:r>
    </w:p>
    <w:p w14:paraId="4EC92746" w14:textId="77777777" w:rsidR="006B486F" w:rsidRDefault="006B486F" w:rsidP="00717820"/>
    <w:p w14:paraId="6D3D2FBD" w14:textId="1E54CFFC" w:rsidR="006B486F" w:rsidRPr="006B486F" w:rsidRDefault="006B486F" w:rsidP="00717820">
      <w:pPr>
        <w:sectPr w:rsidR="006B486F" w:rsidRPr="006B486F" w:rsidSect="0038545E">
          <w:footerReference w:type="default" r:id="rId88"/>
          <w:pgSz w:w="12240" w:h="15840" w:code="1"/>
          <w:pgMar w:top="1440" w:right="1440" w:bottom="1440" w:left="1440" w:header="720" w:footer="720" w:gutter="0"/>
          <w:pgNumType w:start="1" w:chapStyle="1"/>
          <w:cols w:space="720"/>
          <w:docGrid w:linePitch="360"/>
        </w:sectPr>
      </w:pPr>
      <w:r w:rsidRPr="006B486F">
        <w:rPr>
          <w:i/>
          <w:u w:val="single"/>
        </w:rPr>
        <w:t>Discussion:</w:t>
      </w:r>
      <w:r>
        <w:t xml:space="preserve">  The Council removed the sub-alternatives above from consideration for the commercial sector in order to be consistent with alternatives being conside</w:t>
      </w:r>
      <w:r w:rsidR="00360B11">
        <w:t>red for the recreational sector and because the measures were too restrictive.</w:t>
      </w:r>
    </w:p>
    <w:p w14:paraId="2209AE18" w14:textId="73951D56" w:rsidR="002B3E29" w:rsidRPr="003061E9" w:rsidRDefault="00717820" w:rsidP="00D71AB1">
      <w:pPr>
        <w:pStyle w:val="Heading1"/>
        <w:rPr>
          <w:rFonts w:ascii="Times New Roman" w:hAnsi="Times New Roman" w:cs="Times New Roman"/>
          <w:color w:val="548DD4"/>
          <w:sz w:val="48"/>
          <w:szCs w:val="48"/>
        </w:rPr>
      </w:pPr>
      <w:bookmarkStart w:id="393" w:name="_Toc339811831"/>
      <w:r>
        <w:rPr>
          <w:rFonts w:ascii="Times New Roman" w:hAnsi="Times New Roman" w:cs="Times New Roman"/>
          <w:color w:val="8DB3E2"/>
          <w:sz w:val="36"/>
          <w:szCs w:val="36"/>
        </w:rPr>
        <w:lastRenderedPageBreak/>
        <w:t>Appendix B</w:t>
      </w:r>
      <w:r w:rsidR="002B3E29" w:rsidRPr="00532ABB">
        <w:rPr>
          <w:rFonts w:ascii="Times New Roman" w:hAnsi="Times New Roman" w:cs="Times New Roman"/>
          <w:color w:val="8DB3E2"/>
          <w:sz w:val="36"/>
          <w:szCs w:val="36"/>
        </w:rPr>
        <w:t>.</w:t>
      </w:r>
      <w:r w:rsidR="002B3E29" w:rsidRPr="00532ABB">
        <w:rPr>
          <w:rFonts w:ascii="Times New Roman" w:hAnsi="Times New Roman" w:cs="Times New Roman"/>
          <w:color w:val="548DD4"/>
          <w:sz w:val="56"/>
          <w:szCs w:val="56"/>
        </w:rPr>
        <w:t xml:space="preserve">  </w:t>
      </w:r>
      <w:r w:rsidR="002B3E29" w:rsidRPr="003061E9">
        <w:rPr>
          <w:rFonts w:ascii="Times New Roman" w:hAnsi="Times New Roman" w:cs="Times New Roman"/>
          <w:color w:val="548DD4"/>
          <w:sz w:val="48"/>
          <w:szCs w:val="48"/>
        </w:rPr>
        <w:t>Glossary</w:t>
      </w:r>
      <w:bookmarkEnd w:id="391"/>
      <w:bookmarkEnd w:id="392"/>
      <w:bookmarkEnd w:id="393"/>
    </w:p>
    <w:p w14:paraId="6868A4F6" w14:textId="77777777" w:rsidR="00E760C3" w:rsidRDefault="00E760C3" w:rsidP="00D71AB1"/>
    <w:p w14:paraId="118D4DD5" w14:textId="77777777" w:rsidR="00F7567F" w:rsidRDefault="00F7567F" w:rsidP="00D71AB1">
      <w:r>
        <w:rPr>
          <w:b/>
          <w:bCs/>
        </w:rPr>
        <w:t xml:space="preserve">Allowable Biological Catch (ABC): </w:t>
      </w:r>
      <w:r>
        <w:t>Maximum amount of fish stock than can be harvested without adversely affecting recruitment of other components of the stock.  The ABC level is typically higher than the total allowable catch, leaving a buffer between the two.</w:t>
      </w:r>
    </w:p>
    <w:p w14:paraId="74EF9D65" w14:textId="77777777" w:rsidR="00F7567F" w:rsidRDefault="00F7567F" w:rsidP="00D71AB1"/>
    <w:p w14:paraId="277634AA" w14:textId="77777777" w:rsidR="00F7567F" w:rsidRDefault="00F7567F" w:rsidP="00D71AB1">
      <w:r>
        <w:rPr>
          <w:b/>
          <w:bCs/>
        </w:rPr>
        <w:t>ALS:</w:t>
      </w:r>
      <w:r>
        <w:t xml:space="preserve">  Accumulative Landings System.  NMFS database which contains commercial landings reported by dealers.</w:t>
      </w:r>
    </w:p>
    <w:p w14:paraId="7CCF12BB" w14:textId="77777777" w:rsidR="00F7567F" w:rsidRDefault="00F7567F" w:rsidP="00D71AB1"/>
    <w:p w14:paraId="2F0E79E2" w14:textId="77777777" w:rsidR="00F7567F" w:rsidRDefault="00F7567F" w:rsidP="00D71AB1">
      <w:r>
        <w:rPr>
          <w:b/>
          <w:bCs/>
        </w:rPr>
        <w:t xml:space="preserve">Biomass:  </w:t>
      </w:r>
      <w:r>
        <w:t>Amount or mass of some organism, such as fish.</w:t>
      </w:r>
    </w:p>
    <w:p w14:paraId="5966A6F2" w14:textId="77777777" w:rsidR="00F7567F" w:rsidRDefault="00F7567F" w:rsidP="00D71AB1"/>
    <w:p w14:paraId="521F7591" w14:textId="77777777" w:rsidR="00F7567F" w:rsidRDefault="00F7567F" w:rsidP="00D71AB1">
      <w:r>
        <w:rPr>
          <w:b/>
          <w:bCs/>
        </w:rPr>
        <w:t>B</w:t>
      </w:r>
      <w:r>
        <w:rPr>
          <w:b/>
          <w:bCs/>
          <w:vertAlign w:val="subscript"/>
        </w:rPr>
        <w:t>MSY</w:t>
      </w:r>
      <w:r>
        <w:rPr>
          <w:b/>
          <w:bCs/>
        </w:rPr>
        <w:t xml:space="preserve">:  </w:t>
      </w:r>
      <w:r>
        <w:t>Biomass of population achieved in long-term by fishing at F</w:t>
      </w:r>
      <w:r>
        <w:rPr>
          <w:vertAlign w:val="subscript"/>
        </w:rPr>
        <w:t>MSY</w:t>
      </w:r>
      <w:r>
        <w:t>.</w:t>
      </w:r>
    </w:p>
    <w:p w14:paraId="1BEE2BD9" w14:textId="77777777" w:rsidR="00F7567F" w:rsidRDefault="00F7567F" w:rsidP="00D71AB1">
      <w:pPr>
        <w:rPr>
          <w:b/>
          <w:bCs/>
        </w:rPr>
      </w:pPr>
    </w:p>
    <w:p w14:paraId="1B14D417" w14:textId="77777777" w:rsidR="00F7567F" w:rsidRDefault="00F7567F" w:rsidP="00D71AB1">
      <w:r>
        <w:rPr>
          <w:b/>
          <w:bCs/>
        </w:rPr>
        <w:t>Bycatch:</w:t>
      </w:r>
      <w:r>
        <w:t xml:space="preserve">  Fish harvested in a fishery, but not sold or kept for personal use.  Bycatch includes economic discards and regulatory discards, but not fish released alive under a recreational catch and release fishery management program. </w:t>
      </w:r>
    </w:p>
    <w:p w14:paraId="091928F0" w14:textId="77777777" w:rsidR="00F7567F" w:rsidRDefault="00F7567F" w:rsidP="00D71AB1"/>
    <w:p w14:paraId="2544239B" w14:textId="77777777" w:rsidR="00F7567F" w:rsidRDefault="00F7567F" w:rsidP="00D71AB1">
      <w:r>
        <w:rPr>
          <w:b/>
          <w:bCs/>
        </w:rPr>
        <w:t>Caribbean Fishery Management Council (CFMC):</w:t>
      </w:r>
      <w:r>
        <w:t xml:space="preserve">  One of eight regional councils mandated in the Magnuson-Stevens Fishery Conservation and Management Act to develop management plans for fisheries in federal waters.  The CFMC develops fishery management plans for fisheries off the coast of the U.S. Virgin Islands and the Commonwealth of Puerto Rico.</w:t>
      </w:r>
    </w:p>
    <w:p w14:paraId="4216AF6D" w14:textId="77777777" w:rsidR="00F7567F" w:rsidRDefault="00F7567F" w:rsidP="00D71AB1"/>
    <w:p w14:paraId="7B54B253" w14:textId="77777777" w:rsidR="00F7567F" w:rsidRDefault="00F7567F" w:rsidP="00D71AB1">
      <w:r>
        <w:rPr>
          <w:b/>
        </w:rPr>
        <w:t xml:space="preserve">Catch Per Unit Effort (CPUE): </w:t>
      </w:r>
      <w:r>
        <w:t xml:space="preserve"> The amount of fish captured with an amount of effort.  CPUE can be expressed as weight of fish captured per fishing trip, per hour spent at sea, or through other standardized measures.</w:t>
      </w:r>
    </w:p>
    <w:p w14:paraId="7B4A1029" w14:textId="77777777" w:rsidR="00F7567F" w:rsidRDefault="00F7567F" w:rsidP="00D71AB1">
      <w:pPr>
        <w:pStyle w:val="Figuretitle"/>
      </w:pPr>
    </w:p>
    <w:p w14:paraId="635AF864" w14:textId="77777777" w:rsidR="00F7567F" w:rsidRDefault="00F7567F" w:rsidP="00D71AB1">
      <w:r>
        <w:rPr>
          <w:b/>
          <w:bCs/>
        </w:rPr>
        <w:t>Charter Boat:</w:t>
      </w:r>
      <w:r>
        <w:t xml:space="preserve">  A fishing boat available for hire by recreational anglers, normally by a group of anglers for a short time period.</w:t>
      </w:r>
    </w:p>
    <w:p w14:paraId="33F80C24" w14:textId="77777777" w:rsidR="00F7567F" w:rsidRDefault="00F7567F" w:rsidP="00D71AB1">
      <w:pPr>
        <w:pStyle w:val="Figuretitle"/>
      </w:pPr>
    </w:p>
    <w:p w14:paraId="4DF68590" w14:textId="77777777" w:rsidR="00F7567F" w:rsidRDefault="00F7567F" w:rsidP="00D71AB1">
      <w:r>
        <w:rPr>
          <w:b/>
          <w:bCs/>
        </w:rPr>
        <w:t>Cohort:</w:t>
      </w:r>
      <w:r>
        <w:t xml:space="preserve">  Fish born in a given year.  (See year class.)</w:t>
      </w:r>
    </w:p>
    <w:p w14:paraId="056EBFE8" w14:textId="77777777" w:rsidR="00F7567F" w:rsidRDefault="00F7567F" w:rsidP="00D71AB1"/>
    <w:p w14:paraId="04C4CB8D" w14:textId="77777777" w:rsidR="00F7567F" w:rsidRDefault="00F7567F" w:rsidP="00D71AB1">
      <w:r>
        <w:rPr>
          <w:b/>
          <w:bCs/>
        </w:rPr>
        <w:t>Control Date:</w:t>
      </w:r>
      <w:r>
        <w:t xml:space="preserve">  Date established for defining the pool of potential participants in a given management program.  Control dates can establish a range of years during which a potential participant must have been active in a fishery to qualify for a quota share.</w:t>
      </w:r>
    </w:p>
    <w:p w14:paraId="0CC19068" w14:textId="77777777" w:rsidR="00F7567F" w:rsidRDefault="00F7567F" w:rsidP="00D71AB1"/>
    <w:p w14:paraId="78CD9163" w14:textId="77777777" w:rsidR="00F7567F" w:rsidRDefault="00F7567F" w:rsidP="00D71AB1">
      <w:r>
        <w:rPr>
          <w:b/>
          <w:bCs/>
        </w:rPr>
        <w:t xml:space="preserve">Constant Catch Rebuilding Strategy: </w:t>
      </w:r>
      <w:r>
        <w:t xml:space="preserve"> A rebuilding strategy where the allowable biological catch of an overfished species is held constant until stock biomass reaches B</w:t>
      </w:r>
      <w:r>
        <w:rPr>
          <w:vertAlign w:val="subscript"/>
        </w:rPr>
        <w:t>MSY</w:t>
      </w:r>
      <w:r>
        <w:t xml:space="preserve"> at the end of the rebuilding period.</w:t>
      </w:r>
    </w:p>
    <w:p w14:paraId="014F783B" w14:textId="77777777" w:rsidR="00F7567F" w:rsidRDefault="00F7567F" w:rsidP="00D71AB1"/>
    <w:p w14:paraId="60C42D3F" w14:textId="77777777" w:rsidR="00F7567F" w:rsidRDefault="00F7567F" w:rsidP="00D71AB1">
      <w:r>
        <w:rPr>
          <w:b/>
          <w:bCs/>
        </w:rPr>
        <w:t>Constant F Rebuilding Strategy:</w:t>
      </w:r>
      <w:r>
        <w:t xml:space="preserve">  A rebuilding strategy where the fishing mortality of an overfished species is held constant until stock biomass reached BMSY at the end of the rebuilding period.</w:t>
      </w:r>
    </w:p>
    <w:p w14:paraId="6108C478" w14:textId="77777777" w:rsidR="00F7567F" w:rsidRDefault="00F7567F" w:rsidP="00D71AB1"/>
    <w:p w14:paraId="28661B31" w14:textId="77777777" w:rsidR="00F7567F" w:rsidRDefault="00F7567F" w:rsidP="00D71AB1">
      <w:r>
        <w:rPr>
          <w:b/>
        </w:rPr>
        <w:t>Directed Fishery:</w:t>
      </w:r>
      <w:r>
        <w:t xml:space="preserve">  Fishing directed at a certain species or species group.</w:t>
      </w:r>
    </w:p>
    <w:p w14:paraId="702DFA58" w14:textId="77777777" w:rsidR="00F7567F" w:rsidRDefault="00F7567F" w:rsidP="00D71AB1"/>
    <w:p w14:paraId="2EE9F01D" w14:textId="77777777" w:rsidR="00F7567F" w:rsidRDefault="00F7567F" w:rsidP="00D71AB1">
      <w:r>
        <w:rPr>
          <w:b/>
        </w:rPr>
        <w:t xml:space="preserve">Discards: </w:t>
      </w:r>
      <w:r>
        <w:t xml:space="preserve"> Fish captured, but released at sea.  </w:t>
      </w:r>
    </w:p>
    <w:p w14:paraId="5FAD62F9" w14:textId="77777777" w:rsidR="00F7567F" w:rsidRDefault="00F7567F" w:rsidP="00D71AB1"/>
    <w:p w14:paraId="19BACD84" w14:textId="77777777" w:rsidR="00F7567F" w:rsidRDefault="00F7567F" w:rsidP="00D71AB1">
      <w:r>
        <w:rPr>
          <w:b/>
        </w:rPr>
        <w:t>Discard Mortality Rate:</w:t>
      </w:r>
      <w:r>
        <w:t xml:space="preserve">  The </w:t>
      </w:r>
      <w:r w:rsidR="00464F4C">
        <w:t>%</w:t>
      </w:r>
      <w:r>
        <w:t xml:space="preserve"> of total fish discarded that do not survive being captured and released at sea.</w:t>
      </w:r>
    </w:p>
    <w:p w14:paraId="2E6AF960" w14:textId="77777777" w:rsidR="00F7567F" w:rsidRDefault="00F7567F" w:rsidP="00D71AB1"/>
    <w:p w14:paraId="58EDA919" w14:textId="77777777" w:rsidR="00F7567F" w:rsidRDefault="00F7567F" w:rsidP="00D71AB1">
      <w:pPr>
        <w:rPr>
          <w:b/>
          <w:bCs/>
        </w:rPr>
      </w:pPr>
      <w:r>
        <w:rPr>
          <w:b/>
          <w:bCs/>
        </w:rPr>
        <w:t xml:space="preserve">Derby:  </w:t>
      </w:r>
      <w:r>
        <w:t>Fishery in which the TAC is fixed and participants in the fishery do not have individual quotas.  The fishery is closed once the TAC is reached, and participants attempt to maximize their harvests as quickly as possible.  Derby fisheries can result in capital stuffing and a race for fish.</w:t>
      </w:r>
    </w:p>
    <w:p w14:paraId="307CFA07" w14:textId="77777777" w:rsidR="00F7567F" w:rsidRDefault="00F7567F" w:rsidP="00D71AB1">
      <w:pPr>
        <w:pStyle w:val="Figuretitle"/>
      </w:pPr>
    </w:p>
    <w:p w14:paraId="45909F22" w14:textId="77777777" w:rsidR="00F7567F" w:rsidRDefault="00F7567F" w:rsidP="00D71AB1">
      <w:r>
        <w:rPr>
          <w:b/>
          <w:bCs/>
        </w:rPr>
        <w:t>Effort:</w:t>
      </w:r>
      <w:r>
        <w:t xml:space="preserve">  The amount of time and fishing power (i.e., gear size, boat size, horsepower) used to harvest fish.</w:t>
      </w:r>
    </w:p>
    <w:p w14:paraId="5835A4DB" w14:textId="77777777" w:rsidR="00F7567F" w:rsidRDefault="00F7567F" w:rsidP="00D71AB1"/>
    <w:p w14:paraId="1D0246AB" w14:textId="77777777" w:rsidR="00F7567F" w:rsidRDefault="00F7567F" w:rsidP="00D71AB1">
      <w:r>
        <w:rPr>
          <w:b/>
          <w:bCs/>
        </w:rPr>
        <w:t xml:space="preserve">Exclusive Economic Zone (EEZ):  </w:t>
      </w:r>
      <w:r>
        <w:t>Zone extending from the shoreline out to 200 nautical miles in which the country owning the shoreline has the exclusive right to conduct certain activities such as fishing.  In the United States, the EEZ is split into state waters (typically from the shoreline out to 3 nautical miles) and federal waters (typically from 3 to 200 nautical miles).</w:t>
      </w:r>
    </w:p>
    <w:p w14:paraId="7B5DD12E" w14:textId="77777777" w:rsidR="00F7567F" w:rsidRDefault="00F7567F" w:rsidP="00D71AB1"/>
    <w:p w14:paraId="592EC15A" w14:textId="77777777" w:rsidR="00F7567F" w:rsidRDefault="00F7567F" w:rsidP="00D71AB1">
      <w:pPr>
        <w:pStyle w:val="month"/>
        <w:rPr>
          <w:rFonts w:ascii="Times New Roman" w:hAnsi="Times New Roman"/>
          <w:b w:val="0"/>
          <w:szCs w:val="24"/>
        </w:rPr>
      </w:pPr>
      <w:r>
        <w:rPr>
          <w:rFonts w:ascii="Times New Roman" w:hAnsi="Times New Roman"/>
          <w:bCs/>
          <w:szCs w:val="24"/>
        </w:rPr>
        <w:t xml:space="preserve">Exploitation Rate:  </w:t>
      </w:r>
      <w:r>
        <w:rPr>
          <w:rFonts w:ascii="Times New Roman" w:hAnsi="Times New Roman"/>
          <w:b w:val="0"/>
          <w:szCs w:val="24"/>
        </w:rPr>
        <w:t xml:space="preserve">Amount of fish harvested from a stock relative to the size of the stock, often expressed as a </w:t>
      </w:r>
      <w:r w:rsidR="003E5745">
        <w:rPr>
          <w:rFonts w:ascii="Times New Roman" w:hAnsi="Times New Roman"/>
          <w:b w:val="0"/>
          <w:szCs w:val="24"/>
        </w:rPr>
        <w:t>percent</w:t>
      </w:r>
      <w:r>
        <w:rPr>
          <w:rFonts w:ascii="Times New Roman" w:hAnsi="Times New Roman"/>
          <w:b w:val="0"/>
          <w:szCs w:val="24"/>
        </w:rPr>
        <w:t>age.</w:t>
      </w:r>
    </w:p>
    <w:p w14:paraId="71BC8C68" w14:textId="77777777" w:rsidR="00F7567F" w:rsidRDefault="00F7567F" w:rsidP="00D71AB1">
      <w:pPr>
        <w:pStyle w:val="month"/>
        <w:rPr>
          <w:rFonts w:ascii="Times New Roman" w:hAnsi="Times New Roman"/>
          <w:b w:val="0"/>
          <w:szCs w:val="24"/>
        </w:rPr>
      </w:pPr>
    </w:p>
    <w:p w14:paraId="69637581" w14:textId="77777777" w:rsidR="00F7567F" w:rsidRDefault="00F7567F" w:rsidP="00D71AB1">
      <w:pPr>
        <w:pStyle w:val="month"/>
        <w:rPr>
          <w:rFonts w:ascii="Times New Roman" w:hAnsi="Times New Roman"/>
          <w:b w:val="0"/>
          <w:szCs w:val="24"/>
        </w:rPr>
      </w:pPr>
      <w:r>
        <w:rPr>
          <w:rFonts w:ascii="Times New Roman" w:hAnsi="Times New Roman"/>
          <w:bCs/>
          <w:szCs w:val="24"/>
        </w:rPr>
        <w:t>F:</w:t>
      </w:r>
      <w:r>
        <w:rPr>
          <w:rFonts w:ascii="Times New Roman" w:hAnsi="Times New Roman"/>
          <w:b w:val="0"/>
          <w:szCs w:val="24"/>
        </w:rPr>
        <w:t xml:space="preserve">  Fishing mortality.</w:t>
      </w:r>
    </w:p>
    <w:p w14:paraId="279FBC4B" w14:textId="77777777" w:rsidR="00F7567F" w:rsidRDefault="00F7567F" w:rsidP="00D71AB1"/>
    <w:p w14:paraId="36074856" w14:textId="77777777" w:rsidR="00F7567F" w:rsidRDefault="00F7567F" w:rsidP="00D71AB1">
      <w:r>
        <w:rPr>
          <w:b/>
        </w:rPr>
        <w:t xml:space="preserve">Fecundity: </w:t>
      </w:r>
      <w:r>
        <w:t xml:space="preserve"> A measurement of the egg-producing ability of fish at certain sizes and ages.</w:t>
      </w:r>
    </w:p>
    <w:p w14:paraId="506EE2D5" w14:textId="77777777" w:rsidR="00F7567F" w:rsidRDefault="00F7567F" w:rsidP="00D71AB1"/>
    <w:p w14:paraId="4900EC2E" w14:textId="77777777" w:rsidR="00F7567F" w:rsidRDefault="00F7567F" w:rsidP="00D71AB1">
      <w:r>
        <w:rPr>
          <w:b/>
        </w:rPr>
        <w:t>Fishery Dependent Data:</w:t>
      </w:r>
      <w:r>
        <w:t xml:space="preserve">  Fishery data collected and reported by fishermen and dealers.</w:t>
      </w:r>
    </w:p>
    <w:p w14:paraId="437182A4" w14:textId="77777777" w:rsidR="00F7567F" w:rsidRDefault="00F7567F" w:rsidP="00D71AB1"/>
    <w:p w14:paraId="74ADB6ED" w14:textId="77777777" w:rsidR="00F7567F" w:rsidRDefault="00F7567F" w:rsidP="00D71AB1">
      <w:r>
        <w:rPr>
          <w:b/>
          <w:bCs/>
        </w:rPr>
        <w:t>Fishery Independent Data:</w:t>
      </w:r>
      <w:r>
        <w:t xml:space="preserve">  Fishery data collected and reported by scientists who catch the fish themselves.</w:t>
      </w:r>
    </w:p>
    <w:p w14:paraId="474F8AC6" w14:textId="77777777" w:rsidR="00F7567F" w:rsidRDefault="00F7567F" w:rsidP="00D71AB1"/>
    <w:p w14:paraId="518B9E54" w14:textId="77777777" w:rsidR="00F7567F" w:rsidRDefault="00F7567F" w:rsidP="00D71AB1">
      <w:pPr>
        <w:pStyle w:val="month"/>
        <w:rPr>
          <w:rFonts w:ascii="Times New Roman" w:hAnsi="Times New Roman"/>
          <w:b w:val="0"/>
          <w:szCs w:val="24"/>
        </w:rPr>
      </w:pPr>
      <w:r>
        <w:rPr>
          <w:rFonts w:ascii="Times New Roman" w:hAnsi="Times New Roman"/>
          <w:bCs/>
          <w:szCs w:val="24"/>
        </w:rPr>
        <w:t xml:space="preserve">Fishery Management Plan:  </w:t>
      </w:r>
      <w:r>
        <w:rPr>
          <w:rFonts w:ascii="Times New Roman" w:hAnsi="Times New Roman"/>
          <w:b w:val="0"/>
          <w:szCs w:val="24"/>
        </w:rPr>
        <w:t xml:space="preserve">Management plan for fisheries operating in the federal produced by regional fishery management councils and submitted to the Secretary of Commerce for approval.  </w:t>
      </w:r>
    </w:p>
    <w:p w14:paraId="7445D288" w14:textId="77777777" w:rsidR="00F7567F" w:rsidRDefault="00F7567F" w:rsidP="00D71AB1">
      <w:pPr>
        <w:pStyle w:val="month"/>
        <w:rPr>
          <w:rFonts w:ascii="Times New Roman" w:hAnsi="Times New Roman"/>
          <w:b w:val="0"/>
          <w:szCs w:val="24"/>
        </w:rPr>
      </w:pPr>
    </w:p>
    <w:p w14:paraId="35AA9954" w14:textId="77777777" w:rsidR="00F7567F" w:rsidRDefault="00F7567F" w:rsidP="00D71AB1">
      <w:pPr>
        <w:pStyle w:val="month"/>
        <w:rPr>
          <w:rFonts w:ascii="Times New Roman" w:hAnsi="Times New Roman"/>
          <w:b w:val="0"/>
          <w:szCs w:val="24"/>
        </w:rPr>
      </w:pPr>
      <w:r>
        <w:rPr>
          <w:rFonts w:ascii="Times New Roman" w:hAnsi="Times New Roman"/>
          <w:bCs/>
          <w:szCs w:val="24"/>
        </w:rPr>
        <w:t>Fishing Effort:</w:t>
      </w:r>
      <w:r>
        <w:rPr>
          <w:rFonts w:ascii="Times New Roman" w:hAnsi="Times New Roman"/>
          <w:b w:val="0"/>
          <w:szCs w:val="24"/>
        </w:rPr>
        <w:t xml:space="preserve">  Usually refers to the amount of fishing.  May refer to the number of fishing vessels, amount of fishing gear (nets, traps, hooks), or total amount of time vessels and gear are actively engaged in fishing.</w:t>
      </w:r>
    </w:p>
    <w:p w14:paraId="6CC8F0F9" w14:textId="77777777" w:rsidR="00F7567F" w:rsidRDefault="00F7567F" w:rsidP="00D71AB1"/>
    <w:p w14:paraId="73D168E7" w14:textId="77777777" w:rsidR="00F7567F" w:rsidRDefault="00F7567F" w:rsidP="00D71AB1">
      <w:r>
        <w:rPr>
          <w:b/>
          <w:bCs/>
        </w:rPr>
        <w:t>Fishing Mortality:</w:t>
      </w:r>
      <w:r>
        <w:t xml:space="preserve">  A measurement of the rate at which fish are removed from a population by fishing.  Fishing mortality can be reported as either annual or instantaneous.  Annual mortality is the </w:t>
      </w:r>
      <w:r w:rsidR="003E5745">
        <w:t>percent</w:t>
      </w:r>
      <w:r>
        <w:t xml:space="preserve">age of fish dying in one year.  Instantaneous is that </w:t>
      </w:r>
      <w:r w:rsidR="003E5745">
        <w:t>percent</w:t>
      </w:r>
      <w:r>
        <w:t>age of fish dying at any one time.</w:t>
      </w:r>
    </w:p>
    <w:p w14:paraId="43B26E36" w14:textId="77777777" w:rsidR="00F7567F" w:rsidRDefault="00F7567F" w:rsidP="00D71AB1"/>
    <w:p w14:paraId="2F3AF70B" w14:textId="77777777" w:rsidR="00F7567F" w:rsidRDefault="00F7567F" w:rsidP="00D71AB1">
      <w:r>
        <w:rPr>
          <w:b/>
          <w:bCs/>
        </w:rPr>
        <w:t>Fishing Power:</w:t>
      </w:r>
      <w:r>
        <w:t xml:space="preserve">  Measure of the relative ability of a fishing vessel, its gear, and its crew to catch fishes, in reference to some standard vessel, given both vessels are under identical conditions.</w:t>
      </w:r>
    </w:p>
    <w:p w14:paraId="04242A48" w14:textId="77777777" w:rsidR="00F7567F" w:rsidRDefault="00F7567F" w:rsidP="00D71AB1"/>
    <w:p w14:paraId="7A76B1FE" w14:textId="77777777" w:rsidR="00F7567F" w:rsidRDefault="00F7567F" w:rsidP="00D71AB1">
      <w:r>
        <w:rPr>
          <w:b/>
          <w:bCs/>
        </w:rPr>
        <w:t>F</w:t>
      </w:r>
      <w:r>
        <w:rPr>
          <w:b/>
          <w:bCs/>
          <w:vertAlign w:val="subscript"/>
        </w:rPr>
        <w:t>30%SPR</w:t>
      </w:r>
      <w:r>
        <w:rPr>
          <w:b/>
          <w:bCs/>
        </w:rPr>
        <w:t xml:space="preserve">: </w:t>
      </w:r>
      <w:r>
        <w:t xml:space="preserve"> Fishing mortality that will produce a static SPR = 30%.</w:t>
      </w:r>
    </w:p>
    <w:p w14:paraId="36975310" w14:textId="77777777" w:rsidR="00F7567F" w:rsidRDefault="00F7567F" w:rsidP="00D71AB1">
      <w:pPr>
        <w:rPr>
          <w:b/>
          <w:bCs/>
        </w:rPr>
      </w:pPr>
    </w:p>
    <w:p w14:paraId="665A54F7" w14:textId="77777777" w:rsidR="00F7567F" w:rsidRDefault="00F7567F" w:rsidP="00D71AB1">
      <w:pPr>
        <w:rPr>
          <w:b/>
          <w:bCs/>
        </w:rPr>
      </w:pPr>
      <w:r>
        <w:rPr>
          <w:b/>
          <w:bCs/>
        </w:rPr>
        <w:t>F</w:t>
      </w:r>
      <w:r>
        <w:rPr>
          <w:b/>
          <w:bCs/>
          <w:vertAlign w:val="subscript"/>
        </w:rPr>
        <w:t>45%SPR</w:t>
      </w:r>
      <w:r>
        <w:rPr>
          <w:b/>
          <w:bCs/>
        </w:rPr>
        <w:t xml:space="preserve">:  </w:t>
      </w:r>
      <w:r>
        <w:t>Fishing mortality that will produce a static SPR = 45%.</w:t>
      </w:r>
    </w:p>
    <w:p w14:paraId="327A84DD" w14:textId="77777777" w:rsidR="00F7567F" w:rsidRDefault="00F7567F" w:rsidP="00D71AB1">
      <w:pPr>
        <w:rPr>
          <w:b/>
          <w:bCs/>
        </w:rPr>
      </w:pPr>
    </w:p>
    <w:p w14:paraId="2147D2CD" w14:textId="77777777" w:rsidR="00F7567F" w:rsidRDefault="00F7567F" w:rsidP="00D71AB1">
      <w:r>
        <w:rPr>
          <w:b/>
          <w:bCs/>
        </w:rPr>
        <w:t>F</w:t>
      </w:r>
      <w:r>
        <w:rPr>
          <w:b/>
          <w:bCs/>
          <w:vertAlign w:val="subscript"/>
        </w:rPr>
        <w:t>OY</w:t>
      </w:r>
      <w:r>
        <w:rPr>
          <w:b/>
          <w:bCs/>
        </w:rPr>
        <w:t xml:space="preserve">:  </w:t>
      </w:r>
      <w:r>
        <w:t>Fishing mortality that will produce OY under equilibrium conditions and a corresponding biomass of B</w:t>
      </w:r>
      <w:r>
        <w:rPr>
          <w:vertAlign w:val="subscript"/>
        </w:rPr>
        <w:t>OY</w:t>
      </w:r>
      <w:r>
        <w:t>.  Usually expressed as the yield at 85% of F</w:t>
      </w:r>
      <w:r>
        <w:rPr>
          <w:vertAlign w:val="subscript"/>
        </w:rPr>
        <w:t>MSY</w:t>
      </w:r>
      <w:r>
        <w:t>, yield at 75% of F</w:t>
      </w:r>
      <w:r>
        <w:rPr>
          <w:vertAlign w:val="subscript"/>
        </w:rPr>
        <w:t>MSY</w:t>
      </w:r>
      <w:r>
        <w:t>, or yield at 65% of F</w:t>
      </w:r>
      <w:r>
        <w:rPr>
          <w:vertAlign w:val="subscript"/>
        </w:rPr>
        <w:t>MSY</w:t>
      </w:r>
      <w:r>
        <w:t>.</w:t>
      </w:r>
    </w:p>
    <w:p w14:paraId="5B6EC502" w14:textId="77777777" w:rsidR="00F7567F" w:rsidRDefault="00F7567F" w:rsidP="00D71AB1"/>
    <w:p w14:paraId="4388C2F4" w14:textId="77777777" w:rsidR="00F7567F" w:rsidRPr="00F34CE7" w:rsidRDefault="00F7567F" w:rsidP="00D71AB1">
      <w:pPr>
        <w:tabs>
          <w:tab w:val="left" w:pos="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F</w:t>
      </w:r>
      <w:r>
        <w:rPr>
          <w:b/>
          <w:bCs/>
          <w:vertAlign w:val="subscript"/>
        </w:rPr>
        <w:t>MSY</w:t>
      </w:r>
      <w:r>
        <w:rPr>
          <w:b/>
          <w:bCs/>
        </w:rPr>
        <w:t xml:space="preserve">:  </w:t>
      </w:r>
      <w:r>
        <w:t>Fishing mortality that if applied constantly, woul</w:t>
      </w:r>
      <w:r w:rsidR="00F34CE7">
        <w:t xml:space="preserve">d achieve MSY under equilibrium </w:t>
      </w:r>
      <w:r>
        <w:t>conditions and a corresponding biomass of B</w:t>
      </w:r>
      <w:r>
        <w:rPr>
          <w:vertAlign w:val="subscript"/>
        </w:rPr>
        <w:t>MSY</w:t>
      </w:r>
      <w:r w:rsidR="00F34CE7">
        <w:t>.</w:t>
      </w:r>
    </w:p>
    <w:p w14:paraId="70ABF3B0" w14:textId="77777777" w:rsidR="00F7567F" w:rsidRDefault="00F7567F" w:rsidP="00D71AB1"/>
    <w:p w14:paraId="0FB09A1B" w14:textId="77777777" w:rsidR="00F7567F" w:rsidRDefault="00F7567F" w:rsidP="00D71AB1">
      <w:r>
        <w:rPr>
          <w:b/>
          <w:bCs/>
        </w:rPr>
        <w:t>Fork Length (FL):</w:t>
      </w:r>
      <w:r>
        <w:t xml:space="preserve">  The length of a fish as measured from the tip of its snout to the fork in its tail.</w:t>
      </w:r>
    </w:p>
    <w:p w14:paraId="0514B855" w14:textId="77777777" w:rsidR="000612F5" w:rsidRDefault="000612F5" w:rsidP="00D71AB1"/>
    <w:p w14:paraId="06F0430A" w14:textId="77777777" w:rsidR="00F7567F" w:rsidRDefault="00D43957" w:rsidP="00D71AB1">
      <w:r w:rsidRPr="000612F5">
        <w:rPr>
          <w:b/>
        </w:rPr>
        <w:t>Framework:</w:t>
      </w:r>
      <w:r>
        <w:t xml:space="preserve">  </w:t>
      </w:r>
      <w:r w:rsidR="000612F5">
        <w:t xml:space="preserve">An established procedure within a fishery management plan that has been approved and implemented by NMFS, which allows specific management measures to be modified via regulatory amendment.  </w:t>
      </w:r>
    </w:p>
    <w:p w14:paraId="4A4885EA" w14:textId="77777777" w:rsidR="000612F5" w:rsidRDefault="000612F5" w:rsidP="00D71AB1"/>
    <w:p w14:paraId="5B462D16" w14:textId="77777777" w:rsidR="00F7567F" w:rsidRDefault="00F7567F" w:rsidP="00D71AB1">
      <w:pPr>
        <w:pStyle w:val="month"/>
        <w:rPr>
          <w:rFonts w:ascii="Times New Roman" w:hAnsi="Times New Roman"/>
          <w:b w:val="0"/>
          <w:szCs w:val="24"/>
        </w:rPr>
      </w:pPr>
      <w:r>
        <w:rPr>
          <w:rFonts w:ascii="Times New Roman" w:hAnsi="Times New Roman"/>
          <w:bCs/>
          <w:szCs w:val="24"/>
        </w:rPr>
        <w:t xml:space="preserve">Gear restrictions:  </w:t>
      </w:r>
      <w:r>
        <w:rPr>
          <w:rFonts w:ascii="Times New Roman" w:hAnsi="Times New Roman"/>
          <w:b w:val="0"/>
          <w:szCs w:val="24"/>
        </w:rPr>
        <w:t>Limits placed on the type, amount, number, or techniques allowed for a given type of fishing gear.</w:t>
      </w:r>
    </w:p>
    <w:p w14:paraId="2E3C7EFC" w14:textId="77777777" w:rsidR="00F7567F" w:rsidRDefault="00F7567F" w:rsidP="00D71AB1"/>
    <w:p w14:paraId="61E042CA" w14:textId="77777777" w:rsidR="00F7567F" w:rsidRDefault="00F7567F" w:rsidP="00D71AB1">
      <w:r>
        <w:rPr>
          <w:b/>
          <w:bCs/>
        </w:rPr>
        <w:t>Growth Overfishing:</w:t>
      </w:r>
      <w:r>
        <w:t xml:space="preserve">  When fishing pressure on small fish prevents the fishery from producing the maximum poundage.  Condition in which the total weight of the harvest from a fishery is improved when fishing effort is reduced, due to an increase in the average weight of fishes.</w:t>
      </w:r>
    </w:p>
    <w:p w14:paraId="736F36E4" w14:textId="77777777" w:rsidR="00F7567F" w:rsidRDefault="00F7567F" w:rsidP="00D71AB1"/>
    <w:p w14:paraId="0C99BE2B" w14:textId="77777777" w:rsidR="00F7567F" w:rsidRDefault="00F7567F" w:rsidP="00D71AB1">
      <w:r>
        <w:rPr>
          <w:b/>
          <w:bCs/>
        </w:rPr>
        <w:t>Gulf of Mexico Fishery Management Council (GFMC):</w:t>
      </w:r>
      <w:r>
        <w:t xml:space="preserve"> One of eight regional councils mandated in the Magnuson-Stevens Fishery Conservation and Management Act to develop management plans for fisheries in federal waters.  The GFMC develops fishery management plans for fisheries off the coast of Texas, Louisiana, Mississippi, Alabama, and the west coast of Florida.</w:t>
      </w:r>
    </w:p>
    <w:p w14:paraId="01213C7C" w14:textId="77777777" w:rsidR="00F7567F" w:rsidRDefault="00F7567F" w:rsidP="00D71AB1"/>
    <w:p w14:paraId="731A11BF" w14:textId="6A01C625" w:rsidR="00F7567F" w:rsidRDefault="00F7567F" w:rsidP="00D71AB1">
      <w:r>
        <w:rPr>
          <w:b/>
        </w:rPr>
        <w:t>Head</w:t>
      </w:r>
      <w:r w:rsidR="001D0FA3">
        <w:rPr>
          <w:b/>
        </w:rPr>
        <w:t>b</w:t>
      </w:r>
      <w:r>
        <w:rPr>
          <w:b/>
        </w:rPr>
        <w:t xml:space="preserve">oat: </w:t>
      </w:r>
      <w:r>
        <w:t xml:space="preserve"> A fishing boat that charges individual fees per recreational angler onboard.</w:t>
      </w:r>
    </w:p>
    <w:p w14:paraId="4A27CF23" w14:textId="77777777" w:rsidR="00F7567F" w:rsidRDefault="00F7567F" w:rsidP="00D71AB1"/>
    <w:p w14:paraId="744255BE" w14:textId="77777777" w:rsidR="00F7567F" w:rsidRDefault="00F7567F" w:rsidP="00D71AB1">
      <w:r>
        <w:rPr>
          <w:b/>
          <w:bCs/>
        </w:rPr>
        <w:t>Highgrading:</w:t>
      </w:r>
      <w:r>
        <w:t xml:space="preserve">  Form of selective sorting of fishes in which higher value, more marketable fishes are retained, and less marketable fishes, which could legally be retained are discarded.</w:t>
      </w:r>
    </w:p>
    <w:p w14:paraId="2FE046AC" w14:textId="77777777" w:rsidR="00F7567F" w:rsidRDefault="00F7567F" w:rsidP="00D71AB1"/>
    <w:p w14:paraId="4A03F6A5" w14:textId="77777777" w:rsidR="00F7567F" w:rsidRDefault="00F7567F" w:rsidP="00D71AB1">
      <w:r>
        <w:rPr>
          <w:b/>
          <w:bCs/>
        </w:rPr>
        <w:t xml:space="preserve">Individual Fishing Quota (IFQ):  </w:t>
      </w:r>
      <w:r>
        <w:t>Fishery management tool that allocates a certain portion of the TAC to individual vessels, fishermen, or other eligible recipients.</w:t>
      </w:r>
    </w:p>
    <w:p w14:paraId="151A00B2" w14:textId="77777777" w:rsidR="00F7567F" w:rsidRDefault="00F7567F" w:rsidP="00D71AB1"/>
    <w:p w14:paraId="21995D98" w14:textId="77777777" w:rsidR="00F7567F" w:rsidRDefault="00F7567F" w:rsidP="00D71AB1">
      <w:r>
        <w:rPr>
          <w:b/>
          <w:bCs/>
        </w:rPr>
        <w:t>Longline:</w:t>
      </w:r>
      <w:r>
        <w:t xml:space="preserve">  Fishing method using a horizontal mainline to which weights and baited hooks are attached at regular intervals.  Gear is either fished on the bottom or in the water column.</w:t>
      </w:r>
    </w:p>
    <w:p w14:paraId="13A85B26" w14:textId="77777777" w:rsidR="00F34CE7" w:rsidRDefault="00F34CE7" w:rsidP="00D71AB1">
      <w:pPr>
        <w:rPr>
          <w:b/>
          <w:bCs/>
        </w:rPr>
      </w:pPr>
    </w:p>
    <w:p w14:paraId="3CBD8CDC" w14:textId="77777777" w:rsidR="00F7567F" w:rsidRDefault="00F7567F" w:rsidP="00D71AB1">
      <w:r>
        <w:rPr>
          <w:b/>
          <w:bCs/>
        </w:rPr>
        <w:t>Magnuson-Stevens Fishery Conservation and Management Act:</w:t>
      </w:r>
      <w:r>
        <w:t xml:space="preserve">  Federal legislation responsible for establishing the fishery management councils and the mandatory and discretionary guidelines for federal fishery management plans.  </w:t>
      </w:r>
    </w:p>
    <w:p w14:paraId="4ED19569" w14:textId="77777777" w:rsidR="00F7567F" w:rsidRDefault="00F7567F" w:rsidP="00D71AB1"/>
    <w:p w14:paraId="595DAD8B" w14:textId="77777777" w:rsidR="00F7567F" w:rsidRDefault="00F7567F" w:rsidP="00D71AB1">
      <w:r>
        <w:rPr>
          <w:b/>
          <w:bCs/>
        </w:rPr>
        <w:t>Marine Recreational Fisheries Statistics Survey (MRFSS):</w:t>
      </w:r>
      <w:r>
        <w:t xml:space="preserve">  Survey operated by NMFS in cooperation with states that collects marine recreational data.</w:t>
      </w:r>
    </w:p>
    <w:p w14:paraId="79D78383" w14:textId="77777777" w:rsidR="00F7567F" w:rsidRDefault="00F7567F" w:rsidP="00D71AB1"/>
    <w:p w14:paraId="5BDD2682" w14:textId="77777777" w:rsidR="00F7567F" w:rsidRDefault="00F7567F" w:rsidP="00D71AB1">
      <w:r>
        <w:rPr>
          <w:b/>
          <w:bCs/>
        </w:rPr>
        <w:t>Maximum Fishing Mortality Threshold (MFMT):</w:t>
      </w:r>
      <w:r>
        <w:t xml:space="preserve">  The rate of fishing mortality above which a stock’s capacity to produce MSY would be jeopardized.  </w:t>
      </w:r>
    </w:p>
    <w:p w14:paraId="4E1B350C" w14:textId="77777777" w:rsidR="00F7567F" w:rsidRDefault="00F7567F" w:rsidP="00D71AB1"/>
    <w:p w14:paraId="04CEF5D0" w14:textId="77777777" w:rsidR="00F7567F" w:rsidRDefault="00F7567F" w:rsidP="00D71AB1">
      <w:r>
        <w:rPr>
          <w:b/>
          <w:bCs/>
        </w:rPr>
        <w:t>Maximum Sustainable Yield (MSY):</w:t>
      </w:r>
      <w:r>
        <w:t xml:space="preserve">  The largest long-term average catch that can be taken continuously (sustained) from a stock or stock complex under average environmental conditions.</w:t>
      </w:r>
    </w:p>
    <w:p w14:paraId="12B8E7FC" w14:textId="77777777" w:rsidR="00F7567F" w:rsidRDefault="00F7567F" w:rsidP="00D71AB1"/>
    <w:p w14:paraId="5AA86398" w14:textId="77777777" w:rsidR="00F7567F" w:rsidRDefault="00F7567F" w:rsidP="00D71AB1">
      <w:r>
        <w:rPr>
          <w:b/>
          <w:bCs/>
        </w:rPr>
        <w:t>Minimum Stock Size Threshold (MSST):</w:t>
      </w:r>
      <w:r>
        <w:t xml:space="preserve">  The biomass level below which a stock would be considered overfished.  </w:t>
      </w:r>
    </w:p>
    <w:p w14:paraId="0901AF24" w14:textId="77777777" w:rsidR="00F7567F" w:rsidRDefault="00F7567F" w:rsidP="00D71AB1"/>
    <w:p w14:paraId="20A8A14A" w14:textId="77777777" w:rsidR="00F7567F" w:rsidRDefault="00F7567F" w:rsidP="00D71AB1">
      <w:r>
        <w:rPr>
          <w:b/>
          <w:bCs/>
        </w:rPr>
        <w:t>Modified F Rebuilding Strategy:</w:t>
      </w:r>
      <w:r>
        <w:t xml:space="preserve">  A rebuilding strategy where fishing mortality is changed as stock biomass increases during the rebuilding period.</w:t>
      </w:r>
    </w:p>
    <w:p w14:paraId="004069FB" w14:textId="77777777" w:rsidR="00F7567F" w:rsidRDefault="00F7567F" w:rsidP="00D71AB1"/>
    <w:p w14:paraId="422E6A58" w14:textId="77777777" w:rsidR="00F7567F" w:rsidRDefault="00F7567F" w:rsidP="00D71AB1">
      <w:r>
        <w:rPr>
          <w:b/>
          <w:bCs/>
        </w:rPr>
        <w:t>Multispecies fishery:</w:t>
      </w:r>
      <w:r>
        <w:t xml:space="preserve">  Fishery in which more than one species is caught at the same time and location with a particular gear type.</w:t>
      </w:r>
    </w:p>
    <w:p w14:paraId="09B2999A" w14:textId="77777777" w:rsidR="00F7567F" w:rsidRDefault="00F7567F" w:rsidP="00D71AB1"/>
    <w:p w14:paraId="23BB4C77" w14:textId="77777777" w:rsidR="00F7567F" w:rsidRDefault="00F7567F" w:rsidP="00D71AB1">
      <w:r>
        <w:rPr>
          <w:b/>
          <w:bCs/>
        </w:rPr>
        <w:t>National Marine Fisheries Service (NMFS):</w:t>
      </w:r>
      <w:r>
        <w:t xml:space="preserve">  Federal agency within NOAA responsible for overseeing fisheries science and regulation.</w:t>
      </w:r>
    </w:p>
    <w:p w14:paraId="63712873" w14:textId="77777777" w:rsidR="00F7567F" w:rsidRDefault="00F7567F" w:rsidP="00D71AB1"/>
    <w:p w14:paraId="0729BEF7" w14:textId="77777777" w:rsidR="00F7567F" w:rsidRDefault="00F7567F" w:rsidP="00D71AB1">
      <w:r>
        <w:rPr>
          <w:b/>
          <w:bCs/>
        </w:rPr>
        <w:t xml:space="preserve">National Oceanic and Atmospheric Administration: </w:t>
      </w:r>
      <w:r>
        <w:t xml:space="preserve"> Agency within the Department of Commerce responsible for ocean and coastal management.</w:t>
      </w:r>
    </w:p>
    <w:p w14:paraId="678FAE85" w14:textId="77777777" w:rsidR="00F7567F" w:rsidRDefault="00F7567F" w:rsidP="00D71AB1"/>
    <w:p w14:paraId="0E270547" w14:textId="77777777" w:rsidR="00F7567F" w:rsidRDefault="00F7567F" w:rsidP="00D71AB1">
      <w:r>
        <w:rPr>
          <w:b/>
          <w:bCs/>
        </w:rPr>
        <w:t>Natural Mortality (M):</w:t>
      </w:r>
      <w:r>
        <w:t xml:space="preserve">  A measurement of the rate at which fish are removed from a population by natural causes.  Natural mortality can be reported as either annual or instantaneous.  Annual mortality is the </w:t>
      </w:r>
      <w:r w:rsidR="003E5745">
        <w:t>percent</w:t>
      </w:r>
      <w:r>
        <w:t xml:space="preserve">age of fish dying in one year.  Instantaneous is that </w:t>
      </w:r>
      <w:r w:rsidR="003E5745">
        <w:t>percent</w:t>
      </w:r>
      <w:r>
        <w:t>age of fish dying at any one time.</w:t>
      </w:r>
    </w:p>
    <w:p w14:paraId="0A0229EC" w14:textId="77777777" w:rsidR="00F7567F" w:rsidRDefault="00F7567F" w:rsidP="00D71AB1"/>
    <w:p w14:paraId="100EEDE5" w14:textId="77777777" w:rsidR="00F7567F" w:rsidRDefault="00F7567F" w:rsidP="00D71AB1">
      <w:r>
        <w:rPr>
          <w:b/>
          <w:bCs/>
        </w:rPr>
        <w:t>Optimum Yield (OY):</w:t>
      </w:r>
      <w:r>
        <w:t xml:space="preserve">  The amount of catch that will provide the greatest overall benefit to the nation, particularly with respect to food production and recreational opportunities and taking into account the protection of marine ecosystems.</w:t>
      </w:r>
    </w:p>
    <w:p w14:paraId="27C935A5" w14:textId="77777777" w:rsidR="00F7567F" w:rsidRDefault="00F7567F" w:rsidP="00D71AB1"/>
    <w:p w14:paraId="6D1BD168" w14:textId="77777777" w:rsidR="00F7567F" w:rsidRDefault="00F7567F" w:rsidP="00D71AB1">
      <w:r>
        <w:rPr>
          <w:b/>
          <w:bCs/>
        </w:rPr>
        <w:t>Overfished:</w:t>
      </w:r>
      <w:r>
        <w:t xml:space="preserve">  A stock or stock complex is considered overfished when stock biomass falls below the minimum stock size threshold (MSST) (e.g., current biomass &lt; MSST = overfished).   </w:t>
      </w:r>
    </w:p>
    <w:p w14:paraId="5F3D7425" w14:textId="77777777" w:rsidR="00F7567F" w:rsidRDefault="00F7567F" w:rsidP="00D71AB1"/>
    <w:p w14:paraId="539DA8E6" w14:textId="77777777" w:rsidR="00F7567F" w:rsidRDefault="00F7567F" w:rsidP="00D71AB1">
      <w:r>
        <w:rPr>
          <w:b/>
          <w:bCs/>
        </w:rPr>
        <w:t>Overfishing:</w:t>
      </w:r>
      <w:r>
        <w:t xml:space="preserve">  Overfishing occurs when a stock or stock complex is subjected to a rate of fishing mortality that exceeds the maximum fishing mortality threshold (e.g., current fishing mortality rate &gt; MFMT = overfishing).</w:t>
      </w:r>
    </w:p>
    <w:p w14:paraId="62656A40" w14:textId="77777777" w:rsidR="00F7567F" w:rsidRDefault="00F7567F" w:rsidP="00D71AB1">
      <w:r>
        <w:rPr>
          <w:b/>
          <w:bCs/>
        </w:rPr>
        <w:t>Quota:</w:t>
      </w:r>
      <w:r>
        <w:t xml:space="preserve">  </w:t>
      </w:r>
      <w:r w:rsidR="00464F4C">
        <w:t>%</w:t>
      </w:r>
      <w:r>
        <w:t xml:space="preserve"> or annual amount of fish that can be harvested.</w:t>
      </w:r>
    </w:p>
    <w:p w14:paraId="67AA0C43" w14:textId="77777777" w:rsidR="00F7567F" w:rsidRDefault="00F7567F" w:rsidP="00D71AB1"/>
    <w:p w14:paraId="01A55F94" w14:textId="77777777" w:rsidR="00F7567F" w:rsidRDefault="00F7567F" w:rsidP="00D71AB1">
      <w:r>
        <w:rPr>
          <w:b/>
          <w:bCs/>
        </w:rPr>
        <w:t>Recruitment (R):</w:t>
      </w:r>
      <w:r>
        <w:t xml:space="preserve">  Number or </w:t>
      </w:r>
      <w:r w:rsidR="003E5745">
        <w:t>percent</w:t>
      </w:r>
      <w:r>
        <w:t xml:space="preserve">age of fish that survives from hatching to a specific size or age.  </w:t>
      </w:r>
    </w:p>
    <w:p w14:paraId="40506032" w14:textId="77777777" w:rsidR="00F7567F" w:rsidRDefault="00F7567F" w:rsidP="00D71AB1"/>
    <w:p w14:paraId="6687372E" w14:textId="77777777" w:rsidR="00F7567F" w:rsidRDefault="00F7567F" w:rsidP="00D71AB1">
      <w:pPr>
        <w:rPr>
          <w:szCs w:val="27"/>
        </w:rPr>
      </w:pPr>
      <w:r>
        <w:rPr>
          <w:b/>
          <w:bCs/>
        </w:rPr>
        <w:lastRenderedPageBreak/>
        <w:t>Recruitment Overfishing:</w:t>
      </w:r>
      <w:r>
        <w:t xml:space="preserve">  </w:t>
      </w:r>
      <w:r>
        <w:rPr>
          <w:szCs w:val="27"/>
        </w:rPr>
        <w:t>The rate of fishing above which the recruitment to the exploitable stock becomes significantly reduced. This is characterized by a greatly reduced spawning stock, a decreasing proportion of older fish in the catch, and generally very low recruitment year after year.</w:t>
      </w:r>
    </w:p>
    <w:p w14:paraId="6C5CBCEB" w14:textId="77777777" w:rsidR="00F7567F" w:rsidRDefault="00F7567F" w:rsidP="00D71AB1">
      <w:pPr>
        <w:rPr>
          <w:szCs w:val="27"/>
        </w:rPr>
      </w:pPr>
    </w:p>
    <w:p w14:paraId="3CC88213" w14:textId="77777777" w:rsidR="00F7567F" w:rsidRDefault="00F7567F" w:rsidP="00D71AB1">
      <w:r>
        <w:rPr>
          <w:b/>
          <w:bCs/>
          <w:szCs w:val="27"/>
        </w:rPr>
        <w:t xml:space="preserve">Scientific and Statistical Committee (SSC): </w:t>
      </w:r>
      <w:r>
        <w:rPr>
          <w:szCs w:val="27"/>
        </w:rPr>
        <w:t xml:space="preserve"> Fishery management advisory body composed of federal, state, and academic scientists,</w:t>
      </w:r>
      <w:r w:rsidR="003238A1">
        <w:rPr>
          <w:szCs w:val="27"/>
        </w:rPr>
        <w:t xml:space="preserve"> which provides scientific advic</w:t>
      </w:r>
      <w:r>
        <w:rPr>
          <w:szCs w:val="27"/>
        </w:rPr>
        <w:t>e to a fishery management council.</w:t>
      </w:r>
    </w:p>
    <w:p w14:paraId="7332F2BC" w14:textId="77777777" w:rsidR="00F7567F" w:rsidRDefault="00F7567F" w:rsidP="00D71AB1"/>
    <w:p w14:paraId="0496FC5A" w14:textId="77777777" w:rsidR="00F7567F" w:rsidRDefault="00F7567F" w:rsidP="00D71AB1">
      <w:r>
        <w:rPr>
          <w:b/>
        </w:rPr>
        <w:t>Selectivity:</w:t>
      </w:r>
      <w:r>
        <w:t xml:space="preserve">  The ability of a type of gear to catch a certain size or species of fish.</w:t>
      </w:r>
    </w:p>
    <w:p w14:paraId="2F5BCB75" w14:textId="77777777" w:rsidR="00F7567F" w:rsidRDefault="00F7567F" w:rsidP="00D71AB1"/>
    <w:p w14:paraId="6F991B45" w14:textId="77777777" w:rsidR="00F7567F" w:rsidRDefault="00F7567F" w:rsidP="00D71AB1">
      <w:r>
        <w:rPr>
          <w:b/>
          <w:bCs/>
        </w:rPr>
        <w:t xml:space="preserve">South Atlantic Fisheries Management Council (SAFMC): </w:t>
      </w:r>
      <w:r>
        <w:t xml:space="preserve"> One of eight regional councils mandated in the Magnuson-Stevens Fishery Conservation and Management Act to develop management plans for fisheries in federal waters.  The SAFMC develops fishery management plans for fisheries off North Carolina, South Carolina, Georgia, and the east coast of Florida.</w:t>
      </w:r>
    </w:p>
    <w:p w14:paraId="5FB8291D" w14:textId="77777777" w:rsidR="00F7567F" w:rsidRDefault="00F7567F" w:rsidP="00D71AB1"/>
    <w:p w14:paraId="370E31E6" w14:textId="77777777" w:rsidR="00F7567F" w:rsidRDefault="00F7567F" w:rsidP="00D71AB1">
      <w:r>
        <w:rPr>
          <w:b/>
          <w:bCs/>
        </w:rPr>
        <w:t>Spawning Potential Ratio (Transitional SPR):</w:t>
      </w:r>
      <w:r>
        <w:t xml:space="preserve">  Formerly used in overfished definition.  The number of eggs that could be produced by an average recruit in a fished stock divided by the number of eggs that could be produced by an average recruit in an unfished stock.  SPR can also be expressed as the spawning stock biomass per recruit (SSBR) of a fished stock divided by the SSBR of the stock before it was fished.  </w:t>
      </w:r>
    </w:p>
    <w:p w14:paraId="369D21C4" w14:textId="77777777" w:rsidR="00F7567F" w:rsidRDefault="00F7567F" w:rsidP="00D71AB1"/>
    <w:p w14:paraId="4525348B" w14:textId="77777777" w:rsidR="00F7567F" w:rsidRDefault="00F7567F" w:rsidP="00D71AB1">
      <w:r>
        <w:rPr>
          <w:b/>
          <w:bCs/>
        </w:rPr>
        <w:t xml:space="preserve">% Spawning Per Recruit (Static SPR):  </w:t>
      </w:r>
      <w:r>
        <w:t xml:space="preserve">Formerly used in overfishing determination.  The maximum spawning per recruit produced in a fished stock divided by the maximum spawning per recruit, which occurs under the conditions of no fishing.  Commonly abbreviated as %SPR.  </w:t>
      </w:r>
    </w:p>
    <w:p w14:paraId="3F5D9841" w14:textId="77777777" w:rsidR="00F7567F" w:rsidRDefault="00F7567F" w:rsidP="00D71AB1">
      <w:pPr>
        <w:rPr>
          <w:b/>
          <w:bCs/>
        </w:rPr>
      </w:pPr>
    </w:p>
    <w:p w14:paraId="04A6D4B4" w14:textId="77777777" w:rsidR="00F7567F" w:rsidRDefault="00F7567F" w:rsidP="00D71AB1">
      <w:r>
        <w:rPr>
          <w:b/>
          <w:bCs/>
        </w:rPr>
        <w:t>Spawning Stock Biomass (SSB):</w:t>
      </w:r>
      <w:r>
        <w:t xml:space="preserve">  The total weight of those fish in a stock which are old enough to spawn.</w:t>
      </w:r>
    </w:p>
    <w:p w14:paraId="0F3A9DC3" w14:textId="77777777" w:rsidR="00F7567F" w:rsidRDefault="00F7567F" w:rsidP="00D71AB1"/>
    <w:p w14:paraId="56C3074C" w14:textId="77777777" w:rsidR="00F7567F" w:rsidRDefault="00F7567F" w:rsidP="00D71AB1">
      <w:r>
        <w:rPr>
          <w:b/>
          <w:bCs/>
        </w:rPr>
        <w:t>Spawning Stock Biomass Per Recruit (SSBR):</w:t>
      </w:r>
      <w:r>
        <w:t xml:space="preserve">  The spawning stock biomass divided by the number of recruits to the stock or how much spawning biomass an average recruit would be expected to produce.</w:t>
      </w:r>
    </w:p>
    <w:p w14:paraId="12FBD710" w14:textId="77777777" w:rsidR="00F7567F" w:rsidRDefault="00F7567F" w:rsidP="00D71AB1"/>
    <w:p w14:paraId="62763C3B" w14:textId="77777777" w:rsidR="00F7567F" w:rsidRDefault="00F7567F" w:rsidP="00D71AB1">
      <w:r>
        <w:rPr>
          <w:b/>
          <w:bCs/>
        </w:rPr>
        <w:t>Total Allowable Catch (TAC):</w:t>
      </w:r>
      <w:r>
        <w:t xml:space="preserve">  The total amount of fish to be taken annually from a stock or stock complex.  This may be a portion of the Allowable Biological Catch (ABC) that takes into consideration factors such as bycatch.</w:t>
      </w:r>
    </w:p>
    <w:p w14:paraId="6CF17ED8" w14:textId="77777777" w:rsidR="008371F2" w:rsidRDefault="008371F2" w:rsidP="00D71AB1"/>
    <w:p w14:paraId="079C1564" w14:textId="77777777" w:rsidR="00F7567F" w:rsidRDefault="00F7567F" w:rsidP="00D71AB1">
      <w:r>
        <w:rPr>
          <w:b/>
          <w:bCs/>
        </w:rPr>
        <w:t>Total Length (TL):</w:t>
      </w:r>
      <w:r>
        <w:t xml:space="preserve">  The length of a fish as measured from the tip of the snout to the tip of the tail.</w:t>
      </w:r>
    </w:p>
    <w:p w14:paraId="6EBAD218" w14:textId="77777777" w:rsidR="00E760C3" w:rsidRPr="00E760C3" w:rsidRDefault="00E760C3" w:rsidP="00D71AB1">
      <w:pPr>
        <w:sectPr w:rsidR="00E760C3" w:rsidRPr="00E760C3" w:rsidSect="0038545E">
          <w:footerReference w:type="default" r:id="rId89"/>
          <w:pgSz w:w="12240" w:h="15840" w:code="1"/>
          <w:pgMar w:top="1440" w:right="1440" w:bottom="1440" w:left="1440" w:header="720" w:footer="720" w:gutter="0"/>
          <w:pgNumType w:start="1" w:chapStyle="1"/>
          <w:cols w:space="720"/>
          <w:docGrid w:linePitch="360"/>
        </w:sectPr>
      </w:pPr>
    </w:p>
    <w:p w14:paraId="01E69E92" w14:textId="0012563E" w:rsidR="002B3E29" w:rsidRDefault="002B3E29" w:rsidP="00D71AB1">
      <w:pPr>
        <w:pStyle w:val="Heading1"/>
        <w:rPr>
          <w:rFonts w:ascii="Times New Roman" w:hAnsi="Times New Roman" w:cs="Times New Roman"/>
          <w:color w:val="548DD4"/>
          <w:sz w:val="56"/>
          <w:szCs w:val="56"/>
        </w:rPr>
      </w:pPr>
      <w:bookmarkStart w:id="394" w:name="_Toc361410435"/>
      <w:bookmarkStart w:id="395" w:name="_Toc374615705"/>
      <w:bookmarkStart w:id="396" w:name="_Toc339811832"/>
      <w:r>
        <w:rPr>
          <w:rFonts w:ascii="Times New Roman" w:hAnsi="Times New Roman" w:cs="Times New Roman"/>
          <w:color w:val="8DB3E2"/>
          <w:sz w:val="36"/>
          <w:szCs w:val="36"/>
        </w:rPr>
        <w:lastRenderedPageBreak/>
        <w:t xml:space="preserve">Appendix </w:t>
      </w:r>
      <w:r w:rsidR="00717820">
        <w:rPr>
          <w:rFonts w:ascii="Times New Roman" w:hAnsi="Times New Roman" w:cs="Times New Roman"/>
          <w:color w:val="8DB3E2"/>
          <w:sz w:val="36"/>
          <w:szCs w:val="36"/>
        </w:rPr>
        <w:t>C</w:t>
      </w:r>
      <w:r w:rsidRPr="00532ABB">
        <w:rPr>
          <w:rFonts w:ascii="Times New Roman" w:hAnsi="Times New Roman" w:cs="Times New Roman"/>
          <w:color w:val="8DB3E2"/>
          <w:sz w:val="36"/>
          <w:szCs w:val="36"/>
        </w:rPr>
        <w:t>.</w:t>
      </w:r>
      <w:r w:rsidRPr="00532ABB">
        <w:rPr>
          <w:rFonts w:ascii="Times New Roman" w:hAnsi="Times New Roman" w:cs="Times New Roman"/>
          <w:color w:val="548DD4"/>
          <w:sz w:val="56"/>
          <w:szCs w:val="56"/>
        </w:rPr>
        <w:t xml:space="preserve">  </w:t>
      </w:r>
      <w:r w:rsidRPr="003061E9">
        <w:rPr>
          <w:rFonts w:ascii="Times New Roman" w:hAnsi="Times New Roman" w:cs="Times New Roman"/>
          <w:color w:val="548DD4"/>
          <w:sz w:val="48"/>
          <w:szCs w:val="48"/>
        </w:rPr>
        <w:t>History of Management</w:t>
      </w:r>
      <w:bookmarkEnd w:id="394"/>
      <w:bookmarkEnd w:id="395"/>
      <w:bookmarkEnd w:id="396"/>
    </w:p>
    <w:p w14:paraId="5126DA39" w14:textId="77777777" w:rsidR="002E3407" w:rsidRPr="001E4B73" w:rsidRDefault="002E3407" w:rsidP="002E3407">
      <w:pPr>
        <w:rPr>
          <w:b/>
        </w:rPr>
      </w:pPr>
      <w:bookmarkStart w:id="397" w:name="_Toc361410436"/>
      <w:bookmarkStart w:id="398" w:name="_Toc374615706"/>
      <w:r>
        <w:rPr>
          <w:b/>
        </w:rPr>
        <w:t xml:space="preserve">South Atlantic </w:t>
      </w:r>
      <w:r w:rsidRPr="001E4B73">
        <w:rPr>
          <w:b/>
        </w:rPr>
        <w:t xml:space="preserve">Snapper Grouper History of Management </w:t>
      </w:r>
    </w:p>
    <w:p w14:paraId="5A8E9C2A" w14:textId="575B4868" w:rsidR="002E3407" w:rsidRPr="001E4B73" w:rsidRDefault="002E3407" w:rsidP="002E3407">
      <w:pPr>
        <w:rPr>
          <w:b/>
        </w:rPr>
      </w:pPr>
      <w:r w:rsidRPr="001E4B73">
        <w:rPr>
          <w:b/>
        </w:rPr>
        <w:t xml:space="preserve">Last Updated: </w:t>
      </w:r>
      <w:r w:rsidR="00D030EA">
        <w:rPr>
          <w:b/>
        </w:rPr>
        <w:t>11/14</w:t>
      </w:r>
      <w:r>
        <w:rPr>
          <w:b/>
        </w:rPr>
        <w:t>/16</w:t>
      </w:r>
    </w:p>
    <w:p w14:paraId="2C09E0D5" w14:textId="77777777" w:rsidR="002E3407" w:rsidRPr="00FC295A" w:rsidRDefault="002E3407" w:rsidP="002E3407"/>
    <w:p w14:paraId="12032299" w14:textId="77777777" w:rsidR="002E3407" w:rsidRDefault="002E3407" w:rsidP="00C817AB">
      <w:pPr>
        <w:ind w:firstLine="360"/>
      </w:pPr>
      <w:r w:rsidRPr="00FC295A">
        <w:t xml:space="preserve">The snapper grouper fishery is highly regulated; some of the species included in this amendment have been regulated since 1983.  The following table summarizes actions in each of the amendments to the original </w:t>
      </w:r>
      <w:r>
        <w:t>Snapper Grouper Fishery Management Plan (</w:t>
      </w:r>
      <w:r w:rsidRPr="00FC295A">
        <w:t>FMP</w:t>
      </w:r>
      <w:r>
        <w:t>)</w:t>
      </w:r>
      <w:r w:rsidRPr="00FC295A">
        <w:t>, as well as some events not covered in amendment actions.</w:t>
      </w:r>
    </w:p>
    <w:p w14:paraId="1D530B8B" w14:textId="77777777" w:rsidR="002E3407" w:rsidRPr="00FC295A" w:rsidRDefault="002E3407" w:rsidP="002E3407"/>
    <w:p w14:paraId="15EEA3AC" w14:textId="77777777" w:rsidR="002E3407" w:rsidRPr="00FC295A" w:rsidRDefault="002E3407" w:rsidP="002E3407">
      <w:pPr>
        <w:rPr>
          <w:sz w:val="20"/>
          <w:szCs w:val="20"/>
        </w:rPr>
      </w:pPr>
      <w:r w:rsidRPr="00FC295A">
        <w:rPr>
          <w:sz w:val="20"/>
          <w:szCs w:val="20"/>
        </w:rPr>
        <w:t xml:space="preserve">*Shaded rows indicate </w:t>
      </w:r>
      <w:r>
        <w:rPr>
          <w:sz w:val="20"/>
          <w:szCs w:val="20"/>
        </w:rPr>
        <w:t>FMP</w:t>
      </w:r>
      <w:r w:rsidRPr="00FC295A">
        <w:rPr>
          <w:sz w:val="20"/>
          <w:szCs w:val="20"/>
        </w:rPr>
        <w:t xml:space="preserve"> Amendments</w:t>
      </w:r>
    </w:p>
    <w:p w14:paraId="7F09BE98" w14:textId="77777777" w:rsidR="002E3407" w:rsidRPr="003501A8" w:rsidRDefault="002E3407" w:rsidP="002E3407">
      <w:pPr>
        <w:rPr>
          <w:rFonts w:ascii="Arial" w:hAnsi="Arial" w:cs="Arial"/>
          <w:sz w:val="20"/>
          <w:szCs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1350"/>
        <w:gridCol w:w="1620"/>
        <w:gridCol w:w="4590"/>
      </w:tblGrid>
      <w:tr w:rsidR="002E3407" w:rsidRPr="00F71004" w14:paraId="2F45AD14" w14:textId="77777777" w:rsidTr="00EE4E8C">
        <w:trPr>
          <w:tblHeader/>
        </w:trPr>
        <w:tc>
          <w:tcPr>
            <w:tcW w:w="1638" w:type="dxa"/>
            <w:tcBorders>
              <w:bottom w:val="single" w:sz="4" w:space="0" w:color="auto"/>
            </w:tcBorders>
            <w:shd w:val="clear" w:color="auto" w:fill="BFBFBF" w:themeFill="background1" w:themeFillShade="BF"/>
          </w:tcPr>
          <w:p w14:paraId="33E1C781" w14:textId="77777777" w:rsidR="002E3407" w:rsidRPr="009228D9" w:rsidRDefault="002E3407" w:rsidP="00EE4E8C">
            <w:pPr>
              <w:jc w:val="center"/>
              <w:rPr>
                <w:b/>
                <w:bCs/>
              </w:rPr>
            </w:pPr>
          </w:p>
          <w:p w14:paraId="77AF641F" w14:textId="77777777" w:rsidR="002E3407" w:rsidRPr="009228D9" w:rsidRDefault="002E3407" w:rsidP="00EE4E8C">
            <w:pPr>
              <w:jc w:val="center"/>
              <w:rPr>
                <w:b/>
                <w:bCs/>
              </w:rPr>
            </w:pPr>
            <w:r w:rsidRPr="009228D9">
              <w:rPr>
                <w:b/>
                <w:bCs/>
              </w:rPr>
              <w:t>Document</w:t>
            </w:r>
          </w:p>
        </w:tc>
        <w:tc>
          <w:tcPr>
            <w:tcW w:w="1350" w:type="dxa"/>
            <w:tcBorders>
              <w:bottom w:val="single" w:sz="4" w:space="0" w:color="auto"/>
            </w:tcBorders>
            <w:shd w:val="clear" w:color="auto" w:fill="BFBFBF" w:themeFill="background1" w:themeFillShade="BF"/>
            <w:vAlign w:val="center"/>
          </w:tcPr>
          <w:p w14:paraId="1EA0E550" w14:textId="77777777" w:rsidR="002E3407" w:rsidRPr="009228D9" w:rsidRDefault="002E3407" w:rsidP="00EE4E8C">
            <w:pPr>
              <w:jc w:val="center"/>
              <w:rPr>
                <w:b/>
                <w:bCs/>
              </w:rPr>
            </w:pPr>
            <w:r w:rsidRPr="009228D9">
              <w:rPr>
                <w:b/>
                <w:bCs/>
              </w:rPr>
              <w:t>All Actions Effective By:</w:t>
            </w:r>
          </w:p>
        </w:tc>
        <w:tc>
          <w:tcPr>
            <w:tcW w:w="1620" w:type="dxa"/>
            <w:tcBorders>
              <w:bottom w:val="single" w:sz="4" w:space="0" w:color="auto"/>
            </w:tcBorders>
            <w:shd w:val="clear" w:color="auto" w:fill="BFBFBF" w:themeFill="background1" w:themeFillShade="BF"/>
          </w:tcPr>
          <w:p w14:paraId="1D89DED8" w14:textId="77777777" w:rsidR="002E3407" w:rsidRPr="009228D9" w:rsidRDefault="002E3407" w:rsidP="00EE4E8C">
            <w:pPr>
              <w:jc w:val="center"/>
              <w:rPr>
                <w:b/>
                <w:bCs/>
              </w:rPr>
            </w:pPr>
          </w:p>
          <w:p w14:paraId="4D36C176" w14:textId="77777777" w:rsidR="002E3407" w:rsidRPr="009228D9" w:rsidRDefault="002E3407" w:rsidP="00EE4E8C">
            <w:pPr>
              <w:jc w:val="center"/>
              <w:rPr>
                <w:b/>
                <w:bCs/>
              </w:rPr>
            </w:pPr>
            <w:r w:rsidRPr="009228D9">
              <w:rPr>
                <w:b/>
                <w:bCs/>
              </w:rPr>
              <w:t>Proposed Rule Final Rule</w:t>
            </w:r>
          </w:p>
        </w:tc>
        <w:tc>
          <w:tcPr>
            <w:tcW w:w="4590" w:type="dxa"/>
            <w:tcBorders>
              <w:bottom w:val="single" w:sz="4" w:space="0" w:color="auto"/>
            </w:tcBorders>
            <w:shd w:val="clear" w:color="auto" w:fill="BFBFBF" w:themeFill="background1" w:themeFillShade="BF"/>
          </w:tcPr>
          <w:p w14:paraId="48A8A029" w14:textId="77777777" w:rsidR="002E3407" w:rsidRPr="009228D9" w:rsidRDefault="002E3407" w:rsidP="00EE4E8C">
            <w:pPr>
              <w:jc w:val="center"/>
              <w:rPr>
                <w:b/>
                <w:bCs/>
              </w:rPr>
            </w:pPr>
            <w:r w:rsidRPr="009228D9">
              <w:rPr>
                <w:b/>
                <w:bCs/>
              </w:rPr>
              <w:t xml:space="preserve">Major Actions.  </w:t>
            </w:r>
          </w:p>
          <w:p w14:paraId="08152C00" w14:textId="77777777" w:rsidR="002E3407" w:rsidRPr="009228D9" w:rsidRDefault="002E3407" w:rsidP="00EE4E8C">
            <w:pPr>
              <w:jc w:val="center"/>
              <w:rPr>
                <w:b/>
                <w:bCs/>
              </w:rPr>
            </w:pPr>
            <w:r w:rsidRPr="009228D9">
              <w:rPr>
                <w:b/>
                <w:bCs/>
              </w:rPr>
              <w:t>Note that not all details are provided here.  Please refer to Proposed and Final Rules for all impacts of listed documents.</w:t>
            </w:r>
          </w:p>
        </w:tc>
      </w:tr>
      <w:tr w:rsidR="002E3407" w:rsidRPr="00F71004" w14:paraId="4F77C409" w14:textId="77777777" w:rsidTr="00EE4E8C">
        <w:trPr>
          <w:cantSplit/>
          <w:trHeight w:val="1286"/>
        </w:trPr>
        <w:tc>
          <w:tcPr>
            <w:tcW w:w="1638" w:type="dxa"/>
            <w:tcBorders>
              <w:bottom w:val="single" w:sz="4" w:space="0" w:color="auto"/>
            </w:tcBorders>
            <w:shd w:val="clear" w:color="auto" w:fill="D9D9D9" w:themeFill="background1" w:themeFillShade="D9"/>
            <w:vAlign w:val="center"/>
          </w:tcPr>
          <w:p w14:paraId="1F0DB122" w14:textId="77777777" w:rsidR="002E3407" w:rsidRDefault="002E3407" w:rsidP="00EE4E8C">
            <w:pPr>
              <w:jc w:val="center"/>
              <w:rPr>
                <w:sz w:val="20"/>
                <w:szCs w:val="20"/>
              </w:rPr>
            </w:pPr>
            <w:r w:rsidRPr="00640348">
              <w:rPr>
                <w:sz w:val="20"/>
                <w:szCs w:val="20"/>
              </w:rPr>
              <w:t>FMP</w:t>
            </w:r>
          </w:p>
          <w:p w14:paraId="6B512929" w14:textId="77777777" w:rsidR="002E3407" w:rsidRDefault="002E3407" w:rsidP="00EE4E8C">
            <w:pPr>
              <w:jc w:val="center"/>
              <w:rPr>
                <w:sz w:val="20"/>
                <w:szCs w:val="20"/>
              </w:rPr>
            </w:pPr>
          </w:p>
          <w:p w14:paraId="23A4F27F" w14:textId="77777777" w:rsidR="002E3407" w:rsidRPr="00640348" w:rsidRDefault="002E3407" w:rsidP="00EE4E8C">
            <w:pPr>
              <w:jc w:val="center"/>
              <w:rPr>
                <w:sz w:val="20"/>
                <w:szCs w:val="20"/>
              </w:rPr>
            </w:pPr>
            <w:r w:rsidRPr="00640348">
              <w:rPr>
                <w:sz w:val="20"/>
                <w:szCs w:val="20"/>
              </w:rPr>
              <w:t>(1983)</w:t>
            </w:r>
          </w:p>
        </w:tc>
        <w:tc>
          <w:tcPr>
            <w:tcW w:w="1350" w:type="dxa"/>
            <w:tcBorders>
              <w:bottom w:val="single" w:sz="4" w:space="0" w:color="auto"/>
            </w:tcBorders>
            <w:shd w:val="clear" w:color="auto" w:fill="D9D9D9" w:themeFill="background1" w:themeFillShade="D9"/>
            <w:vAlign w:val="center"/>
          </w:tcPr>
          <w:p w14:paraId="09F7BB7F" w14:textId="77777777" w:rsidR="002E3407" w:rsidRPr="00640348" w:rsidRDefault="002E3407" w:rsidP="00EE4E8C">
            <w:pPr>
              <w:jc w:val="center"/>
              <w:rPr>
                <w:sz w:val="20"/>
                <w:szCs w:val="20"/>
              </w:rPr>
            </w:pPr>
            <w:r w:rsidRPr="00640348">
              <w:rPr>
                <w:sz w:val="20"/>
                <w:szCs w:val="20"/>
              </w:rPr>
              <w:t>08/31/83</w:t>
            </w:r>
          </w:p>
        </w:tc>
        <w:tc>
          <w:tcPr>
            <w:tcW w:w="1620" w:type="dxa"/>
            <w:tcBorders>
              <w:bottom w:val="single" w:sz="4" w:space="0" w:color="auto"/>
            </w:tcBorders>
            <w:shd w:val="clear" w:color="auto" w:fill="D9D9D9" w:themeFill="background1" w:themeFillShade="D9"/>
            <w:vAlign w:val="center"/>
          </w:tcPr>
          <w:p w14:paraId="7FE0A3F1" w14:textId="77777777" w:rsidR="002E3407" w:rsidRPr="00640348" w:rsidRDefault="002E3407" w:rsidP="00EE4E8C">
            <w:pPr>
              <w:rPr>
                <w:sz w:val="20"/>
                <w:szCs w:val="20"/>
              </w:rPr>
            </w:pPr>
            <w:r w:rsidRPr="00640348">
              <w:rPr>
                <w:sz w:val="20"/>
                <w:szCs w:val="20"/>
              </w:rPr>
              <w:t>PR: 48 FR 26843</w:t>
            </w:r>
          </w:p>
          <w:p w14:paraId="67FE4637" w14:textId="77777777" w:rsidR="002E3407" w:rsidRPr="00640348" w:rsidRDefault="002E3407" w:rsidP="00EE4E8C">
            <w:pPr>
              <w:rPr>
                <w:sz w:val="20"/>
                <w:szCs w:val="20"/>
              </w:rPr>
            </w:pPr>
            <w:r w:rsidRPr="00640348">
              <w:rPr>
                <w:sz w:val="20"/>
                <w:szCs w:val="20"/>
              </w:rPr>
              <w:t>FR: 48 FR 39463</w:t>
            </w:r>
          </w:p>
        </w:tc>
        <w:tc>
          <w:tcPr>
            <w:tcW w:w="4590" w:type="dxa"/>
            <w:tcBorders>
              <w:bottom w:val="single" w:sz="4" w:space="0" w:color="auto"/>
            </w:tcBorders>
            <w:shd w:val="clear" w:color="auto" w:fill="D9D9D9" w:themeFill="background1" w:themeFillShade="D9"/>
          </w:tcPr>
          <w:p w14:paraId="20D89AF4" w14:textId="77777777" w:rsidR="002E3407" w:rsidRPr="00640348" w:rsidRDefault="002E3407" w:rsidP="00EE4E8C">
            <w:pPr>
              <w:rPr>
                <w:sz w:val="20"/>
                <w:szCs w:val="20"/>
              </w:rPr>
            </w:pPr>
            <w:r w:rsidRPr="00640348">
              <w:rPr>
                <w:sz w:val="20"/>
                <w:szCs w:val="20"/>
              </w:rPr>
              <w:t>-12” total length (TL) limit – red snapper, yellowtail snapper, red grouper, Nassau grouper</w:t>
            </w:r>
            <w:r>
              <w:rPr>
                <w:sz w:val="20"/>
                <w:szCs w:val="20"/>
              </w:rPr>
              <w:t>;</w:t>
            </w:r>
          </w:p>
          <w:p w14:paraId="30BD367E" w14:textId="77777777" w:rsidR="002E3407" w:rsidRPr="00640348" w:rsidRDefault="002E3407" w:rsidP="00EE4E8C">
            <w:pPr>
              <w:rPr>
                <w:sz w:val="20"/>
                <w:szCs w:val="20"/>
              </w:rPr>
            </w:pPr>
            <w:r w:rsidRPr="00640348">
              <w:rPr>
                <w:sz w:val="20"/>
                <w:szCs w:val="20"/>
              </w:rPr>
              <w:t>-8” limit – black sea bass</w:t>
            </w:r>
            <w:r>
              <w:rPr>
                <w:sz w:val="20"/>
                <w:szCs w:val="20"/>
              </w:rPr>
              <w:t>;</w:t>
            </w:r>
          </w:p>
          <w:p w14:paraId="65E04DEC" w14:textId="77777777" w:rsidR="002E3407" w:rsidRPr="00640348" w:rsidRDefault="002E3407" w:rsidP="00EE4E8C">
            <w:pPr>
              <w:rPr>
                <w:sz w:val="20"/>
                <w:szCs w:val="20"/>
              </w:rPr>
            </w:pPr>
            <w:r w:rsidRPr="00640348">
              <w:rPr>
                <w:sz w:val="20"/>
                <w:szCs w:val="20"/>
              </w:rPr>
              <w:t>-4” trawl mesh size</w:t>
            </w:r>
            <w:r>
              <w:rPr>
                <w:sz w:val="20"/>
                <w:szCs w:val="20"/>
              </w:rPr>
              <w:t>;</w:t>
            </w:r>
          </w:p>
          <w:p w14:paraId="691A41E1" w14:textId="77777777" w:rsidR="002E3407" w:rsidRPr="00640348" w:rsidRDefault="002E3407" w:rsidP="00EE4E8C">
            <w:pPr>
              <w:rPr>
                <w:sz w:val="20"/>
                <w:szCs w:val="20"/>
              </w:rPr>
            </w:pPr>
            <w:r w:rsidRPr="00640348">
              <w:rPr>
                <w:sz w:val="20"/>
                <w:szCs w:val="20"/>
              </w:rPr>
              <w:t>-Gear limitations – poisons, explosives, fish traps, trawls</w:t>
            </w:r>
            <w:r>
              <w:rPr>
                <w:sz w:val="20"/>
                <w:szCs w:val="20"/>
              </w:rPr>
              <w:t>;</w:t>
            </w:r>
          </w:p>
          <w:p w14:paraId="2F5E4B34" w14:textId="77777777" w:rsidR="002E3407" w:rsidRPr="00640348" w:rsidRDefault="002E3407" w:rsidP="00EE4E8C">
            <w:pPr>
              <w:rPr>
                <w:sz w:val="20"/>
                <w:szCs w:val="20"/>
              </w:rPr>
            </w:pPr>
            <w:r w:rsidRPr="00640348">
              <w:rPr>
                <w:sz w:val="20"/>
                <w:szCs w:val="20"/>
              </w:rPr>
              <w:t>-Designated modified habitats or artificial reefs as Special Management Zones (SMZs)</w:t>
            </w:r>
            <w:r>
              <w:rPr>
                <w:sz w:val="20"/>
                <w:szCs w:val="20"/>
              </w:rPr>
              <w:t>.</w:t>
            </w:r>
          </w:p>
        </w:tc>
      </w:tr>
      <w:tr w:rsidR="002E3407" w:rsidRPr="00F71004" w14:paraId="22F9B1E3" w14:textId="77777777" w:rsidTr="00EE4E8C">
        <w:trPr>
          <w:cantSplit/>
          <w:trHeight w:val="530"/>
        </w:trPr>
        <w:tc>
          <w:tcPr>
            <w:tcW w:w="1638" w:type="dxa"/>
            <w:tcBorders>
              <w:bottom w:val="single" w:sz="4" w:space="0" w:color="auto"/>
            </w:tcBorders>
            <w:vAlign w:val="center"/>
          </w:tcPr>
          <w:p w14:paraId="40A86550" w14:textId="77777777" w:rsidR="002E3407" w:rsidRDefault="002E3407" w:rsidP="00EE4E8C">
            <w:pPr>
              <w:jc w:val="center"/>
              <w:rPr>
                <w:sz w:val="20"/>
                <w:szCs w:val="20"/>
              </w:rPr>
            </w:pPr>
            <w:r w:rsidRPr="00640348">
              <w:rPr>
                <w:sz w:val="20"/>
                <w:szCs w:val="20"/>
              </w:rPr>
              <w:t>Regulatory Amendment #1</w:t>
            </w:r>
          </w:p>
          <w:p w14:paraId="174371F3" w14:textId="77777777" w:rsidR="002E3407" w:rsidRDefault="002E3407" w:rsidP="00EE4E8C">
            <w:pPr>
              <w:jc w:val="center"/>
              <w:rPr>
                <w:sz w:val="20"/>
                <w:szCs w:val="20"/>
              </w:rPr>
            </w:pPr>
          </w:p>
          <w:p w14:paraId="1177407C" w14:textId="77777777" w:rsidR="002E3407" w:rsidRPr="00640348" w:rsidRDefault="002E3407" w:rsidP="00EE4E8C">
            <w:pPr>
              <w:jc w:val="center"/>
              <w:rPr>
                <w:sz w:val="20"/>
                <w:szCs w:val="20"/>
              </w:rPr>
            </w:pPr>
            <w:r w:rsidRPr="00640348">
              <w:rPr>
                <w:sz w:val="20"/>
                <w:szCs w:val="20"/>
              </w:rPr>
              <w:t>(1987)</w:t>
            </w:r>
          </w:p>
        </w:tc>
        <w:tc>
          <w:tcPr>
            <w:tcW w:w="1350" w:type="dxa"/>
            <w:tcBorders>
              <w:bottom w:val="single" w:sz="4" w:space="0" w:color="auto"/>
            </w:tcBorders>
            <w:vAlign w:val="center"/>
          </w:tcPr>
          <w:p w14:paraId="26F19A48" w14:textId="77777777" w:rsidR="002E3407" w:rsidRPr="00640348" w:rsidRDefault="002E3407" w:rsidP="00EE4E8C">
            <w:pPr>
              <w:jc w:val="center"/>
              <w:rPr>
                <w:sz w:val="20"/>
                <w:szCs w:val="20"/>
              </w:rPr>
            </w:pPr>
            <w:r w:rsidRPr="00640348">
              <w:rPr>
                <w:sz w:val="20"/>
                <w:szCs w:val="20"/>
              </w:rPr>
              <w:t>03/27/87</w:t>
            </w:r>
          </w:p>
        </w:tc>
        <w:tc>
          <w:tcPr>
            <w:tcW w:w="1620" w:type="dxa"/>
            <w:tcBorders>
              <w:bottom w:val="single" w:sz="4" w:space="0" w:color="auto"/>
            </w:tcBorders>
            <w:vAlign w:val="center"/>
          </w:tcPr>
          <w:p w14:paraId="1DB88FB4" w14:textId="77777777" w:rsidR="002E3407" w:rsidRPr="00640348" w:rsidRDefault="002E3407" w:rsidP="00EE4E8C">
            <w:pPr>
              <w:rPr>
                <w:sz w:val="20"/>
                <w:szCs w:val="20"/>
              </w:rPr>
            </w:pPr>
            <w:r w:rsidRPr="00640348">
              <w:rPr>
                <w:sz w:val="20"/>
                <w:szCs w:val="20"/>
              </w:rPr>
              <w:t>PR: 51 FR 43937</w:t>
            </w:r>
          </w:p>
          <w:p w14:paraId="4C6DB42C" w14:textId="77777777" w:rsidR="002E3407" w:rsidRPr="00640348" w:rsidRDefault="002E3407" w:rsidP="00EE4E8C">
            <w:pPr>
              <w:rPr>
                <w:sz w:val="20"/>
                <w:szCs w:val="20"/>
              </w:rPr>
            </w:pPr>
            <w:r w:rsidRPr="00640348">
              <w:rPr>
                <w:sz w:val="20"/>
                <w:szCs w:val="20"/>
              </w:rPr>
              <w:t>FR: 52 FR 9864</w:t>
            </w:r>
          </w:p>
        </w:tc>
        <w:tc>
          <w:tcPr>
            <w:tcW w:w="4590" w:type="dxa"/>
            <w:tcBorders>
              <w:bottom w:val="single" w:sz="4" w:space="0" w:color="auto"/>
            </w:tcBorders>
          </w:tcPr>
          <w:p w14:paraId="27A5D646" w14:textId="77777777" w:rsidR="002E3407" w:rsidRPr="00640348" w:rsidRDefault="002E3407" w:rsidP="00EE4E8C">
            <w:pPr>
              <w:rPr>
                <w:sz w:val="20"/>
                <w:szCs w:val="20"/>
              </w:rPr>
            </w:pPr>
            <w:r w:rsidRPr="00640348">
              <w:rPr>
                <w:sz w:val="20"/>
                <w:szCs w:val="20"/>
              </w:rPr>
              <w:t>-Prohibited fishing in SMZs except with hand-held hook</w:t>
            </w:r>
            <w:r>
              <w:rPr>
                <w:sz w:val="20"/>
                <w:szCs w:val="20"/>
              </w:rPr>
              <w:t>-and-line and spearfishing gear;</w:t>
            </w:r>
          </w:p>
          <w:p w14:paraId="201A108D" w14:textId="77777777" w:rsidR="002E3407" w:rsidRPr="00640348" w:rsidRDefault="002E3407" w:rsidP="00EE4E8C">
            <w:pPr>
              <w:rPr>
                <w:sz w:val="20"/>
                <w:szCs w:val="20"/>
              </w:rPr>
            </w:pPr>
            <w:r w:rsidRPr="00640348">
              <w:rPr>
                <w:sz w:val="20"/>
                <w:szCs w:val="20"/>
              </w:rPr>
              <w:t>-Prohibited har</w:t>
            </w:r>
            <w:r>
              <w:rPr>
                <w:sz w:val="20"/>
                <w:szCs w:val="20"/>
              </w:rPr>
              <w:t>vest of goliath grouper in SMZs.</w:t>
            </w:r>
          </w:p>
        </w:tc>
      </w:tr>
      <w:tr w:rsidR="002E3407" w:rsidRPr="00F71004" w14:paraId="2759353E" w14:textId="77777777" w:rsidTr="00EE4E8C">
        <w:trPr>
          <w:cantSplit/>
          <w:trHeight w:val="890"/>
        </w:trPr>
        <w:tc>
          <w:tcPr>
            <w:tcW w:w="1638" w:type="dxa"/>
            <w:tcBorders>
              <w:bottom w:val="single" w:sz="4" w:space="0" w:color="auto"/>
            </w:tcBorders>
            <w:shd w:val="clear" w:color="auto" w:fill="D9D9D9" w:themeFill="background1" w:themeFillShade="D9"/>
            <w:vAlign w:val="center"/>
          </w:tcPr>
          <w:p w14:paraId="602A21F0" w14:textId="77777777" w:rsidR="002E3407" w:rsidRDefault="002E3407" w:rsidP="00EE4E8C">
            <w:pPr>
              <w:jc w:val="center"/>
              <w:rPr>
                <w:sz w:val="20"/>
                <w:szCs w:val="20"/>
              </w:rPr>
            </w:pPr>
            <w:r>
              <w:rPr>
                <w:sz w:val="20"/>
                <w:szCs w:val="20"/>
              </w:rPr>
              <w:t>Amendment #1</w:t>
            </w:r>
          </w:p>
          <w:p w14:paraId="4B64D12C" w14:textId="77777777" w:rsidR="002E3407" w:rsidRDefault="002E3407" w:rsidP="00EE4E8C">
            <w:pPr>
              <w:jc w:val="center"/>
              <w:rPr>
                <w:sz w:val="20"/>
                <w:szCs w:val="20"/>
              </w:rPr>
            </w:pPr>
          </w:p>
          <w:p w14:paraId="75B96EC8" w14:textId="77777777" w:rsidR="002E3407" w:rsidRPr="00640348" w:rsidRDefault="002E3407" w:rsidP="00EE4E8C">
            <w:pPr>
              <w:jc w:val="center"/>
              <w:rPr>
                <w:sz w:val="20"/>
                <w:szCs w:val="20"/>
              </w:rPr>
            </w:pPr>
            <w:r>
              <w:rPr>
                <w:sz w:val="20"/>
                <w:szCs w:val="20"/>
              </w:rPr>
              <w:t>(1988</w:t>
            </w:r>
            <w:r w:rsidRPr="00640348">
              <w:rPr>
                <w:sz w:val="20"/>
                <w:szCs w:val="20"/>
              </w:rPr>
              <w:t>)</w:t>
            </w:r>
          </w:p>
        </w:tc>
        <w:tc>
          <w:tcPr>
            <w:tcW w:w="1350" w:type="dxa"/>
            <w:tcBorders>
              <w:bottom w:val="single" w:sz="4" w:space="0" w:color="auto"/>
            </w:tcBorders>
            <w:shd w:val="clear" w:color="auto" w:fill="D9D9D9" w:themeFill="background1" w:themeFillShade="D9"/>
            <w:vAlign w:val="center"/>
          </w:tcPr>
          <w:p w14:paraId="65DBDAC7" w14:textId="77777777" w:rsidR="002E3407" w:rsidRPr="00640348" w:rsidRDefault="002E3407" w:rsidP="00EE4E8C">
            <w:pPr>
              <w:jc w:val="center"/>
              <w:rPr>
                <w:sz w:val="20"/>
                <w:szCs w:val="20"/>
              </w:rPr>
            </w:pPr>
            <w:r w:rsidRPr="00640348">
              <w:rPr>
                <w:sz w:val="20"/>
                <w:szCs w:val="20"/>
              </w:rPr>
              <w:t>01/12/89</w:t>
            </w:r>
          </w:p>
        </w:tc>
        <w:tc>
          <w:tcPr>
            <w:tcW w:w="1620" w:type="dxa"/>
            <w:tcBorders>
              <w:bottom w:val="single" w:sz="4" w:space="0" w:color="auto"/>
            </w:tcBorders>
            <w:shd w:val="clear" w:color="auto" w:fill="D9D9D9" w:themeFill="background1" w:themeFillShade="D9"/>
            <w:vAlign w:val="center"/>
          </w:tcPr>
          <w:p w14:paraId="3E64E254" w14:textId="77777777" w:rsidR="002E3407" w:rsidRPr="00640348" w:rsidRDefault="002E3407" w:rsidP="00EE4E8C">
            <w:pPr>
              <w:rPr>
                <w:sz w:val="20"/>
                <w:szCs w:val="20"/>
              </w:rPr>
            </w:pPr>
            <w:r w:rsidRPr="00640348">
              <w:rPr>
                <w:sz w:val="20"/>
                <w:szCs w:val="20"/>
              </w:rPr>
              <w:t>PR: 53 FR 42985</w:t>
            </w:r>
          </w:p>
          <w:p w14:paraId="3F4B88C8" w14:textId="77777777" w:rsidR="002E3407" w:rsidRPr="00640348" w:rsidRDefault="002E3407" w:rsidP="00EE4E8C">
            <w:pPr>
              <w:rPr>
                <w:sz w:val="20"/>
                <w:szCs w:val="20"/>
              </w:rPr>
            </w:pPr>
            <w:r>
              <w:rPr>
                <w:sz w:val="20"/>
                <w:szCs w:val="20"/>
              </w:rPr>
              <w:t xml:space="preserve">FR: </w:t>
            </w:r>
            <w:r w:rsidRPr="00640348">
              <w:rPr>
                <w:sz w:val="20"/>
                <w:szCs w:val="20"/>
              </w:rPr>
              <w:t>54 FR 1720</w:t>
            </w:r>
          </w:p>
        </w:tc>
        <w:tc>
          <w:tcPr>
            <w:tcW w:w="4590" w:type="dxa"/>
            <w:tcBorders>
              <w:bottom w:val="single" w:sz="4" w:space="0" w:color="auto"/>
            </w:tcBorders>
            <w:shd w:val="clear" w:color="auto" w:fill="D9D9D9" w:themeFill="background1" w:themeFillShade="D9"/>
          </w:tcPr>
          <w:p w14:paraId="4FCB3972" w14:textId="77777777" w:rsidR="002E3407" w:rsidRPr="00640348" w:rsidRDefault="002E3407" w:rsidP="00EE4E8C">
            <w:pPr>
              <w:rPr>
                <w:sz w:val="20"/>
                <w:szCs w:val="20"/>
              </w:rPr>
            </w:pPr>
            <w:r w:rsidRPr="00640348">
              <w:rPr>
                <w:sz w:val="20"/>
                <w:szCs w:val="20"/>
              </w:rPr>
              <w:t xml:space="preserve">-Prohibited trawl gear to harvest fish south of Cape Hatteras, NC </w:t>
            </w:r>
            <w:r>
              <w:rPr>
                <w:sz w:val="20"/>
                <w:szCs w:val="20"/>
              </w:rPr>
              <w:t>and north of Cape Canaveral, FL;</w:t>
            </w:r>
          </w:p>
          <w:p w14:paraId="4267AD9F" w14:textId="77777777" w:rsidR="002E3407" w:rsidRPr="00640348" w:rsidRDefault="002E3407" w:rsidP="00EE4E8C">
            <w:pPr>
              <w:rPr>
                <w:sz w:val="20"/>
                <w:szCs w:val="20"/>
              </w:rPr>
            </w:pPr>
            <w:r w:rsidRPr="00640348">
              <w:rPr>
                <w:sz w:val="20"/>
                <w:szCs w:val="20"/>
              </w:rPr>
              <w:t>-Directed fishery defined as vessel with traw</w:t>
            </w:r>
            <w:r>
              <w:rPr>
                <w:sz w:val="20"/>
                <w:szCs w:val="20"/>
              </w:rPr>
              <w:t>l gear and ≥200 lb s-g on board;</w:t>
            </w:r>
          </w:p>
          <w:p w14:paraId="1E7C731F" w14:textId="77777777" w:rsidR="002E3407" w:rsidRPr="00640348" w:rsidRDefault="002E3407" w:rsidP="00EE4E8C">
            <w:pPr>
              <w:rPr>
                <w:sz w:val="20"/>
                <w:szCs w:val="20"/>
              </w:rPr>
            </w:pPr>
            <w:r w:rsidRPr="00640348">
              <w:rPr>
                <w:sz w:val="20"/>
                <w:szCs w:val="20"/>
              </w:rPr>
              <w:t>-Established rebuttable assumption that vessel with s-g on board had harvested such fish in the exclusive economic zone (EEZ).</w:t>
            </w:r>
          </w:p>
        </w:tc>
      </w:tr>
      <w:tr w:rsidR="002E3407" w:rsidRPr="00F71004" w14:paraId="2258326A" w14:textId="77777777" w:rsidTr="00EE4E8C">
        <w:tc>
          <w:tcPr>
            <w:tcW w:w="1638" w:type="dxa"/>
            <w:vAlign w:val="center"/>
          </w:tcPr>
          <w:p w14:paraId="245C6238" w14:textId="77777777" w:rsidR="002E3407" w:rsidRDefault="002E3407" w:rsidP="00EE4E8C">
            <w:pPr>
              <w:jc w:val="center"/>
              <w:rPr>
                <w:sz w:val="20"/>
                <w:szCs w:val="20"/>
              </w:rPr>
            </w:pPr>
            <w:r>
              <w:rPr>
                <w:sz w:val="20"/>
                <w:szCs w:val="20"/>
              </w:rPr>
              <w:t>Regulatory Amendment #2</w:t>
            </w:r>
          </w:p>
          <w:p w14:paraId="0730B7E4" w14:textId="77777777" w:rsidR="002E3407" w:rsidRDefault="002E3407" w:rsidP="00EE4E8C">
            <w:pPr>
              <w:jc w:val="center"/>
              <w:rPr>
                <w:sz w:val="20"/>
                <w:szCs w:val="20"/>
              </w:rPr>
            </w:pPr>
          </w:p>
          <w:p w14:paraId="730B6C7C" w14:textId="77777777" w:rsidR="002E3407" w:rsidRPr="00640348" w:rsidRDefault="002E3407" w:rsidP="00EE4E8C">
            <w:pPr>
              <w:jc w:val="center"/>
              <w:rPr>
                <w:sz w:val="20"/>
                <w:szCs w:val="20"/>
              </w:rPr>
            </w:pPr>
            <w:r>
              <w:rPr>
                <w:sz w:val="20"/>
                <w:szCs w:val="20"/>
              </w:rPr>
              <w:t>(1988</w:t>
            </w:r>
            <w:r w:rsidRPr="00640348">
              <w:rPr>
                <w:sz w:val="20"/>
                <w:szCs w:val="20"/>
              </w:rPr>
              <w:t>)</w:t>
            </w:r>
          </w:p>
        </w:tc>
        <w:tc>
          <w:tcPr>
            <w:tcW w:w="1350" w:type="dxa"/>
            <w:vAlign w:val="center"/>
          </w:tcPr>
          <w:p w14:paraId="184DB5E7" w14:textId="77777777" w:rsidR="002E3407" w:rsidRPr="00640348" w:rsidRDefault="002E3407" w:rsidP="00EE4E8C">
            <w:pPr>
              <w:jc w:val="center"/>
              <w:rPr>
                <w:sz w:val="20"/>
                <w:szCs w:val="20"/>
              </w:rPr>
            </w:pPr>
            <w:r w:rsidRPr="00640348">
              <w:rPr>
                <w:sz w:val="20"/>
                <w:szCs w:val="20"/>
              </w:rPr>
              <w:t>03/30/89</w:t>
            </w:r>
          </w:p>
        </w:tc>
        <w:tc>
          <w:tcPr>
            <w:tcW w:w="1620" w:type="dxa"/>
            <w:vAlign w:val="center"/>
          </w:tcPr>
          <w:p w14:paraId="78482546" w14:textId="77777777" w:rsidR="002E3407" w:rsidRPr="00640348" w:rsidRDefault="002E3407" w:rsidP="00EE4E8C">
            <w:pPr>
              <w:rPr>
                <w:sz w:val="20"/>
                <w:szCs w:val="20"/>
              </w:rPr>
            </w:pPr>
            <w:r w:rsidRPr="00640348">
              <w:rPr>
                <w:sz w:val="20"/>
                <w:szCs w:val="20"/>
              </w:rPr>
              <w:t>PR: 53 FR 32412</w:t>
            </w:r>
          </w:p>
          <w:p w14:paraId="02CADDC7" w14:textId="77777777" w:rsidR="002E3407" w:rsidRPr="00640348" w:rsidRDefault="002E3407" w:rsidP="00EE4E8C">
            <w:pPr>
              <w:rPr>
                <w:sz w:val="20"/>
                <w:szCs w:val="20"/>
              </w:rPr>
            </w:pPr>
            <w:r>
              <w:rPr>
                <w:sz w:val="20"/>
                <w:szCs w:val="20"/>
              </w:rPr>
              <w:t xml:space="preserve">FR: </w:t>
            </w:r>
            <w:r w:rsidRPr="00640348">
              <w:rPr>
                <w:sz w:val="20"/>
                <w:szCs w:val="20"/>
              </w:rPr>
              <w:t>54 FR 8342</w:t>
            </w:r>
          </w:p>
        </w:tc>
        <w:tc>
          <w:tcPr>
            <w:tcW w:w="4590" w:type="dxa"/>
          </w:tcPr>
          <w:p w14:paraId="3BAACBC6" w14:textId="77777777" w:rsidR="002E3407" w:rsidRPr="00640348" w:rsidRDefault="002E3407" w:rsidP="00EE4E8C">
            <w:pPr>
              <w:rPr>
                <w:sz w:val="20"/>
                <w:szCs w:val="20"/>
              </w:rPr>
            </w:pPr>
            <w:r w:rsidRPr="00640348">
              <w:rPr>
                <w:sz w:val="20"/>
                <w:szCs w:val="20"/>
              </w:rPr>
              <w:t>-Established 2 artificial reefs off Ft. Pierce, FL as SMZs.</w:t>
            </w:r>
          </w:p>
        </w:tc>
      </w:tr>
      <w:tr w:rsidR="002E3407" w:rsidRPr="00F71004" w14:paraId="7B41FF85" w14:textId="77777777" w:rsidTr="00EE4E8C">
        <w:tc>
          <w:tcPr>
            <w:tcW w:w="1638" w:type="dxa"/>
            <w:vAlign w:val="center"/>
          </w:tcPr>
          <w:p w14:paraId="2C92E1ED" w14:textId="77777777" w:rsidR="002E3407" w:rsidRPr="00640348" w:rsidRDefault="002E3407" w:rsidP="00EE4E8C">
            <w:pPr>
              <w:jc w:val="center"/>
              <w:rPr>
                <w:sz w:val="20"/>
                <w:szCs w:val="20"/>
              </w:rPr>
            </w:pPr>
            <w:r w:rsidRPr="00640348">
              <w:rPr>
                <w:sz w:val="20"/>
                <w:szCs w:val="20"/>
              </w:rPr>
              <w:t>Emergency Rule</w:t>
            </w:r>
          </w:p>
        </w:tc>
        <w:tc>
          <w:tcPr>
            <w:tcW w:w="1350" w:type="dxa"/>
            <w:vAlign w:val="center"/>
          </w:tcPr>
          <w:p w14:paraId="19F21DA3" w14:textId="77777777" w:rsidR="002E3407" w:rsidRPr="00640348" w:rsidRDefault="002E3407" w:rsidP="00EE4E8C">
            <w:pPr>
              <w:jc w:val="center"/>
              <w:rPr>
                <w:sz w:val="20"/>
                <w:szCs w:val="20"/>
              </w:rPr>
            </w:pPr>
            <w:r w:rsidRPr="00640348">
              <w:rPr>
                <w:sz w:val="20"/>
                <w:szCs w:val="20"/>
              </w:rPr>
              <w:t>8/3/90</w:t>
            </w:r>
          </w:p>
        </w:tc>
        <w:tc>
          <w:tcPr>
            <w:tcW w:w="1620" w:type="dxa"/>
            <w:vAlign w:val="center"/>
          </w:tcPr>
          <w:p w14:paraId="7867B633" w14:textId="77777777" w:rsidR="002E3407" w:rsidRPr="00640348" w:rsidRDefault="002E3407" w:rsidP="00EE4E8C">
            <w:pPr>
              <w:rPr>
                <w:sz w:val="20"/>
                <w:szCs w:val="20"/>
              </w:rPr>
            </w:pPr>
            <w:r w:rsidRPr="00640348">
              <w:rPr>
                <w:sz w:val="20"/>
                <w:szCs w:val="20"/>
              </w:rPr>
              <w:t>55 FR 32257</w:t>
            </w:r>
          </w:p>
        </w:tc>
        <w:tc>
          <w:tcPr>
            <w:tcW w:w="4590" w:type="dxa"/>
          </w:tcPr>
          <w:p w14:paraId="3DC5C760" w14:textId="77777777" w:rsidR="002E3407" w:rsidRPr="00640348" w:rsidRDefault="002E3407" w:rsidP="00EE4E8C">
            <w:pPr>
              <w:rPr>
                <w:sz w:val="20"/>
                <w:szCs w:val="20"/>
              </w:rPr>
            </w:pPr>
            <w:r w:rsidRPr="00640348">
              <w:rPr>
                <w:sz w:val="20"/>
                <w:szCs w:val="20"/>
              </w:rPr>
              <w:t>-Added wreckfish to the fishery management unit (FMU)</w:t>
            </w:r>
            <w:r>
              <w:rPr>
                <w:sz w:val="20"/>
                <w:szCs w:val="20"/>
              </w:rPr>
              <w:t>;</w:t>
            </w:r>
          </w:p>
          <w:p w14:paraId="677E89A9" w14:textId="77777777" w:rsidR="002E3407" w:rsidRPr="00640348" w:rsidRDefault="002E3407" w:rsidP="00EE4E8C">
            <w:pPr>
              <w:rPr>
                <w:sz w:val="20"/>
                <w:szCs w:val="20"/>
              </w:rPr>
            </w:pPr>
            <w:r w:rsidRPr="00640348">
              <w:rPr>
                <w:sz w:val="20"/>
                <w:szCs w:val="20"/>
              </w:rPr>
              <w:t>-Fishing year beginning 4/16/90</w:t>
            </w:r>
            <w:r>
              <w:rPr>
                <w:sz w:val="20"/>
                <w:szCs w:val="20"/>
              </w:rPr>
              <w:t>;</w:t>
            </w:r>
          </w:p>
          <w:p w14:paraId="7C7405C9" w14:textId="77777777" w:rsidR="002E3407" w:rsidRPr="00640348" w:rsidRDefault="002E3407" w:rsidP="00EE4E8C">
            <w:pPr>
              <w:rPr>
                <w:sz w:val="20"/>
                <w:szCs w:val="20"/>
              </w:rPr>
            </w:pPr>
            <w:r w:rsidRPr="00640348">
              <w:rPr>
                <w:sz w:val="20"/>
                <w:szCs w:val="20"/>
              </w:rPr>
              <w:t>-Commercial quota of 2 million pounds</w:t>
            </w:r>
            <w:r>
              <w:rPr>
                <w:sz w:val="20"/>
                <w:szCs w:val="20"/>
              </w:rPr>
              <w:t>;</w:t>
            </w:r>
          </w:p>
          <w:p w14:paraId="0A0EF7B8" w14:textId="77777777" w:rsidR="002E3407" w:rsidRPr="00640348" w:rsidRDefault="002E3407" w:rsidP="00EE4E8C">
            <w:pPr>
              <w:rPr>
                <w:sz w:val="20"/>
                <w:szCs w:val="20"/>
              </w:rPr>
            </w:pPr>
            <w:r w:rsidRPr="00640348">
              <w:rPr>
                <w:sz w:val="20"/>
                <w:szCs w:val="20"/>
              </w:rPr>
              <w:t>-Commercial trip limit of 10,000 pounds per trip</w:t>
            </w:r>
            <w:r>
              <w:rPr>
                <w:sz w:val="20"/>
                <w:szCs w:val="20"/>
              </w:rPr>
              <w:t>.</w:t>
            </w:r>
          </w:p>
        </w:tc>
      </w:tr>
      <w:tr w:rsidR="002E3407" w:rsidRPr="00F71004" w14:paraId="672DC0A4" w14:textId="77777777" w:rsidTr="00EE4E8C">
        <w:tc>
          <w:tcPr>
            <w:tcW w:w="1638" w:type="dxa"/>
            <w:vAlign w:val="center"/>
          </w:tcPr>
          <w:p w14:paraId="2DF47B91" w14:textId="77777777" w:rsidR="002E3407" w:rsidRPr="00640348" w:rsidRDefault="002E3407" w:rsidP="00EE4E8C">
            <w:pPr>
              <w:jc w:val="center"/>
              <w:rPr>
                <w:sz w:val="20"/>
                <w:szCs w:val="20"/>
              </w:rPr>
            </w:pPr>
            <w:r w:rsidRPr="00640348">
              <w:rPr>
                <w:sz w:val="20"/>
                <w:szCs w:val="20"/>
              </w:rPr>
              <w:t>Fishery Closure Notice</w:t>
            </w:r>
          </w:p>
        </w:tc>
        <w:tc>
          <w:tcPr>
            <w:tcW w:w="1350" w:type="dxa"/>
            <w:vAlign w:val="center"/>
          </w:tcPr>
          <w:p w14:paraId="17353309" w14:textId="77777777" w:rsidR="002E3407" w:rsidRPr="00640348" w:rsidRDefault="002E3407" w:rsidP="00EE4E8C">
            <w:pPr>
              <w:jc w:val="center"/>
              <w:rPr>
                <w:sz w:val="20"/>
                <w:szCs w:val="20"/>
              </w:rPr>
            </w:pPr>
            <w:r w:rsidRPr="00640348">
              <w:rPr>
                <w:sz w:val="20"/>
                <w:szCs w:val="20"/>
              </w:rPr>
              <w:t>8/8/90</w:t>
            </w:r>
          </w:p>
        </w:tc>
        <w:tc>
          <w:tcPr>
            <w:tcW w:w="1620" w:type="dxa"/>
            <w:vAlign w:val="center"/>
          </w:tcPr>
          <w:p w14:paraId="6EF38D13" w14:textId="77777777" w:rsidR="002E3407" w:rsidRPr="00640348" w:rsidRDefault="002E3407" w:rsidP="00EE4E8C">
            <w:pPr>
              <w:rPr>
                <w:sz w:val="20"/>
                <w:szCs w:val="20"/>
              </w:rPr>
            </w:pPr>
            <w:r w:rsidRPr="00640348">
              <w:rPr>
                <w:sz w:val="20"/>
                <w:szCs w:val="20"/>
              </w:rPr>
              <w:t>55 FR 32635</w:t>
            </w:r>
          </w:p>
        </w:tc>
        <w:tc>
          <w:tcPr>
            <w:tcW w:w="4590" w:type="dxa"/>
          </w:tcPr>
          <w:p w14:paraId="10780392" w14:textId="77777777" w:rsidR="002E3407" w:rsidRPr="00640348" w:rsidRDefault="002E3407" w:rsidP="00EE4E8C">
            <w:pPr>
              <w:rPr>
                <w:sz w:val="20"/>
                <w:szCs w:val="20"/>
              </w:rPr>
            </w:pPr>
            <w:r w:rsidRPr="00640348">
              <w:rPr>
                <w:sz w:val="20"/>
                <w:szCs w:val="20"/>
              </w:rPr>
              <w:t>- Fishery closed because the commercial quota of 2 million pounds was reached</w:t>
            </w:r>
            <w:r>
              <w:rPr>
                <w:sz w:val="20"/>
                <w:szCs w:val="20"/>
              </w:rPr>
              <w:t>.</w:t>
            </w:r>
          </w:p>
        </w:tc>
      </w:tr>
      <w:tr w:rsidR="002E3407" w:rsidRPr="00F71004" w14:paraId="44F661D3" w14:textId="77777777" w:rsidTr="00EE4E8C">
        <w:tc>
          <w:tcPr>
            <w:tcW w:w="1638" w:type="dxa"/>
            <w:vAlign w:val="center"/>
          </w:tcPr>
          <w:p w14:paraId="61445427" w14:textId="77777777" w:rsidR="002E3407" w:rsidRPr="00640348" w:rsidRDefault="002E3407" w:rsidP="00EE4E8C">
            <w:pPr>
              <w:jc w:val="center"/>
              <w:rPr>
                <w:sz w:val="20"/>
                <w:szCs w:val="20"/>
              </w:rPr>
            </w:pPr>
            <w:r w:rsidRPr="00640348">
              <w:rPr>
                <w:sz w:val="20"/>
                <w:szCs w:val="20"/>
              </w:rPr>
              <w:t>Notice of Control Date</w:t>
            </w:r>
          </w:p>
        </w:tc>
        <w:tc>
          <w:tcPr>
            <w:tcW w:w="1350" w:type="dxa"/>
            <w:vAlign w:val="center"/>
          </w:tcPr>
          <w:p w14:paraId="155D50AF" w14:textId="77777777" w:rsidR="002E3407" w:rsidRPr="00640348" w:rsidRDefault="002E3407" w:rsidP="00EE4E8C">
            <w:pPr>
              <w:jc w:val="center"/>
              <w:rPr>
                <w:sz w:val="20"/>
                <w:szCs w:val="20"/>
              </w:rPr>
            </w:pPr>
            <w:r w:rsidRPr="00640348">
              <w:rPr>
                <w:sz w:val="20"/>
                <w:szCs w:val="20"/>
              </w:rPr>
              <w:t>09/24/90</w:t>
            </w:r>
          </w:p>
        </w:tc>
        <w:tc>
          <w:tcPr>
            <w:tcW w:w="1620" w:type="dxa"/>
            <w:vAlign w:val="center"/>
          </w:tcPr>
          <w:p w14:paraId="37ED0E5C" w14:textId="77777777" w:rsidR="002E3407" w:rsidRPr="00640348" w:rsidRDefault="002E3407" w:rsidP="00EE4E8C">
            <w:pPr>
              <w:rPr>
                <w:sz w:val="20"/>
                <w:szCs w:val="20"/>
              </w:rPr>
            </w:pPr>
            <w:r w:rsidRPr="00640348">
              <w:rPr>
                <w:sz w:val="20"/>
                <w:szCs w:val="20"/>
              </w:rPr>
              <w:t>55 FR 39039</w:t>
            </w:r>
          </w:p>
        </w:tc>
        <w:tc>
          <w:tcPr>
            <w:tcW w:w="4590" w:type="dxa"/>
          </w:tcPr>
          <w:p w14:paraId="1C4CAF86" w14:textId="77777777" w:rsidR="002E3407" w:rsidRPr="00640348" w:rsidRDefault="002E3407" w:rsidP="00EE4E8C">
            <w:pPr>
              <w:rPr>
                <w:sz w:val="20"/>
                <w:szCs w:val="20"/>
              </w:rPr>
            </w:pPr>
            <w:r w:rsidRPr="00640348">
              <w:rPr>
                <w:sz w:val="20"/>
                <w:szCs w:val="20"/>
              </w:rPr>
              <w:t>-Anyone entering federal wreckfish fishery in the EEZ off S. Atlantic states after 09/24/90 was not assured of future access if limited entry program developed.</w:t>
            </w:r>
          </w:p>
        </w:tc>
      </w:tr>
      <w:tr w:rsidR="002E3407" w:rsidRPr="00F71004" w14:paraId="1110F06E" w14:textId="77777777" w:rsidTr="00EE4E8C">
        <w:tc>
          <w:tcPr>
            <w:tcW w:w="1638" w:type="dxa"/>
            <w:tcBorders>
              <w:bottom w:val="single" w:sz="4" w:space="0" w:color="auto"/>
            </w:tcBorders>
            <w:shd w:val="clear" w:color="auto" w:fill="D9D9D9" w:themeFill="background1" w:themeFillShade="D9"/>
            <w:vAlign w:val="center"/>
          </w:tcPr>
          <w:p w14:paraId="3B13B3B2" w14:textId="77777777" w:rsidR="002E3407" w:rsidRDefault="002E3407" w:rsidP="00EE4E8C">
            <w:pPr>
              <w:jc w:val="center"/>
              <w:rPr>
                <w:sz w:val="20"/>
                <w:szCs w:val="20"/>
              </w:rPr>
            </w:pPr>
            <w:r>
              <w:rPr>
                <w:sz w:val="20"/>
                <w:szCs w:val="20"/>
              </w:rPr>
              <w:t>Amendment #2</w:t>
            </w:r>
          </w:p>
          <w:p w14:paraId="7DE1778C" w14:textId="77777777" w:rsidR="002E3407" w:rsidRDefault="002E3407" w:rsidP="00EE4E8C">
            <w:pPr>
              <w:jc w:val="center"/>
              <w:rPr>
                <w:sz w:val="20"/>
                <w:szCs w:val="20"/>
              </w:rPr>
            </w:pPr>
          </w:p>
          <w:p w14:paraId="4DB4256D" w14:textId="77777777" w:rsidR="002E3407" w:rsidRPr="00640348" w:rsidRDefault="002E3407" w:rsidP="00EE4E8C">
            <w:pPr>
              <w:jc w:val="center"/>
              <w:rPr>
                <w:sz w:val="20"/>
                <w:szCs w:val="20"/>
              </w:rPr>
            </w:pPr>
            <w:r>
              <w:rPr>
                <w:sz w:val="20"/>
                <w:szCs w:val="20"/>
              </w:rPr>
              <w:lastRenderedPageBreak/>
              <w:t>(1990</w:t>
            </w:r>
            <w:r w:rsidRPr="00640348">
              <w:rPr>
                <w:sz w:val="20"/>
                <w:szCs w:val="20"/>
              </w:rPr>
              <w:t>)</w:t>
            </w:r>
          </w:p>
        </w:tc>
        <w:tc>
          <w:tcPr>
            <w:tcW w:w="1350" w:type="dxa"/>
            <w:tcBorders>
              <w:bottom w:val="single" w:sz="4" w:space="0" w:color="auto"/>
            </w:tcBorders>
            <w:shd w:val="clear" w:color="auto" w:fill="D9D9D9" w:themeFill="background1" w:themeFillShade="D9"/>
            <w:vAlign w:val="center"/>
          </w:tcPr>
          <w:p w14:paraId="130CB246" w14:textId="77777777" w:rsidR="002E3407" w:rsidRPr="00640348" w:rsidRDefault="002E3407" w:rsidP="00EE4E8C">
            <w:pPr>
              <w:jc w:val="center"/>
              <w:rPr>
                <w:sz w:val="20"/>
                <w:szCs w:val="20"/>
              </w:rPr>
            </w:pPr>
            <w:r w:rsidRPr="00640348">
              <w:rPr>
                <w:sz w:val="20"/>
                <w:szCs w:val="20"/>
              </w:rPr>
              <w:lastRenderedPageBreak/>
              <w:t>10/30/90</w:t>
            </w:r>
          </w:p>
        </w:tc>
        <w:tc>
          <w:tcPr>
            <w:tcW w:w="1620" w:type="dxa"/>
            <w:tcBorders>
              <w:bottom w:val="single" w:sz="4" w:space="0" w:color="auto"/>
            </w:tcBorders>
            <w:shd w:val="clear" w:color="auto" w:fill="D9D9D9" w:themeFill="background1" w:themeFillShade="D9"/>
            <w:vAlign w:val="center"/>
          </w:tcPr>
          <w:p w14:paraId="691FDB94" w14:textId="77777777" w:rsidR="002E3407" w:rsidRPr="00640348" w:rsidRDefault="002E3407" w:rsidP="00EE4E8C">
            <w:pPr>
              <w:rPr>
                <w:sz w:val="20"/>
                <w:szCs w:val="20"/>
              </w:rPr>
            </w:pPr>
            <w:r w:rsidRPr="00640348">
              <w:rPr>
                <w:sz w:val="20"/>
                <w:szCs w:val="20"/>
              </w:rPr>
              <w:t>PR: 55 FR 31406</w:t>
            </w:r>
          </w:p>
          <w:p w14:paraId="0637A6CB" w14:textId="77777777" w:rsidR="002E3407" w:rsidRPr="00640348" w:rsidRDefault="002E3407" w:rsidP="00EE4E8C">
            <w:pPr>
              <w:rPr>
                <w:sz w:val="20"/>
                <w:szCs w:val="20"/>
              </w:rPr>
            </w:pPr>
            <w:r>
              <w:rPr>
                <w:sz w:val="20"/>
                <w:szCs w:val="20"/>
              </w:rPr>
              <w:t xml:space="preserve">FR: </w:t>
            </w:r>
            <w:r w:rsidRPr="00640348">
              <w:rPr>
                <w:sz w:val="20"/>
                <w:szCs w:val="20"/>
              </w:rPr>
              <w:t>55 FR 46213</w:t>
            </w:r>
          </w:p>
        </w:tc>
        <w:tc>
          <w:tcPr>
            <w:tcW w:w="4590" w:type="dxa"/>
            <w:tcBorders>
              <w:bottom w:val="single" w:sz="4" w:space="0" w:color="auto"/>
            </w:tcBorders>
            <w:shd w:val="clear" w:color="auto" w:fill="D9D9D9" w:themeFill="background1" w:themeFillShade="D9"/>
          </w:tcPr>
          <w:p w14:paraId="20066E0C" w14:textId="77777777" w:rsidR="002E3407" w:rsidRPr="00640348" w:rsidRDefault="002E3407" w:rsidP="00EE4E8C">
            <w:pPr>
              <w:rPr>
                <w:sz w:val="20"/>
                <w:szCs w:val="20"/>
              </w:rPr>
            </w:pPr>
            <w:r w:rsidRPr="00640348">
              <w:rPr>
                <w:sz w:val="20"/>
                <w:szCs w:val="20"/>
              </w:rPr>
              <w:t>-Prohibited harvest/possession of goliath grouper in or from the EEZ</w:t>
            </w:r>
            <w:r>
              <w:rPr>
                <w:sz w:val="20"/>
                <w:szCs w:val="20"/>
              </w:rPr>
              <w:t>;</w:t>
            </w:r>
          </w:p>
          <w:p w14:paraId="31B893F5" w14:textId="77777777" w:rsidR="002E3407" w:rsidRPr="00640348" w:rsidRDefault="002E3407" w:rsidP="00EE4E8C">
            <w:pPr>
              <w:rPr>
                <w:sz w:val="20"/>
                <w:szCs w:val="20"/>
              </w:rPr>
            </w:pPr>
            <w:r w:rsidRPr="00640348">
              <w:rPr>
                <w:sz w:val="20"/>
                <w:szCs w:val="20"/>
              </w:rPr>
              <w:lastRenderedPageBreak/>
              <w:t>-Defined overfishing for goliath grouper and other species</w:t>
            </w:r>
            <w:r>
              <w:rPr>
                <w:sz w:val="20"/>
                <w:szCs w:val="20"/>
              </w:rPr>
              <w:t>.</w:t>
            </w:r>
          </w:p>
        </w:tc>
      </w:tr>
      <w:tr w:rsidR="002E3407" w:rsidRPr="00F71004" w14:paraId="6D58283C" w14:textId="77777777" w:rsidTr="00EE4E8C">
        <w:tc>
          <w:tcPr>
            <w:tcW w:w="1638" w:type="dxa"/>
            <w:tcBorders>
              <w:bottom w:val="single" w:sz="4" w:space="0" w:color="auto"/>
            </w:tcBorders>
            <w:vAlign w:val="center"/>
          </w:tcPr>
          <w:p w14:paraId="51E457F1" w14:textId="77777777" w:rsidR="002E3407" w:rsidRPr="00640348" w:rsidRDefault="002E3407" w:rsidP="00EE4E8C">
            <w:pPr>
              <w:jc w:val="center"/>
              <w:rPr>
                <w:sz w:val="20"/>
                <w:szCs w:val="20"/>
              </w:rPr>
            </w:pPr>
            <w:r w:rsidRPr="00640348">
              <w:rPr>
                <w:sz w:val="20"/>
                <w:szCs w:val="20"/>
              </w:rPr>
              <w:lastRenderedPageBreak/>
              <w:t>Emergency Rule Extension</w:t>
            </w:r>
          </w:p>
        </w:tc>
        <w:tc>
          <w:tcPr>
            <w:tcW w:w="1350" w:type="dxa"/>
            <w:tcBorders>
              <w:bottom w:val="single" w:sz="4" w:space="0" w:color="auto"/>
            </w:tcBorders>
            <w:vAlign w:val="center"/>
          </w:tcPr>
          <w:p w14:paraId="400EAA4B" w14:textId="77777777" w:rsidR="002E3407" w:rsidRPr="00640348" w:rsidRDefault="002E3407" w:rsidP="00EE4E8C">
            <w:pPr>
              <w:jc w:val="center"/>
              <w:rPr>
                <w:sz w:val="20"/>
                <w:szCs w:val="20"/>
              </w:rPr>
            </w:pPr>
            <w:r w:rsidRPr="00640348">
              <w:rPr>
                <w:sz w:val="20"/>
                <w:szCs w:val="20"/>
              </w:rPr>
              <w:t>11/1/90</w:t>
            </w:r>
          </w:p>
        </w:tc>
        <w:tc>
          <w:tcPr>
            <w:tcW w:w="1620" w:type="dxa"/>
            <w:tcBorders>
              <w:bottom w:val="single" w:sz="4" w:space="0" w:color="auto"/>
            </w:tcBorders>
            <w:vAlign w:val="center"/>
          </w:tcPr>
          <w:p w14:paraId="0DA7CEC0" w14:textId="77777777" w:rsidR="002E3407" w:rsidRPr="00640348" w:rsidRDefault="002E3407" w:rsidP="00EE4E8C">
            <w:pPr>
              <w:rPr>
                <w:sz w:val="20"/>
                <w:szCs w:val="20"/>
              </w:rPr>
            </w:pPr>
            <w:r w:rsidRPr="00640348">
              <w:rPr>
                <w:sz w:val="20"/>
                <w:szCs w:val="20"/>
              </w:rPr>
              <w:t>55 FR 40181</w:t>
            </w:r>
          </w:p>
        </w:tc>
        <w:tc>
          <w:tcPr>
            <w:tcW w:w="4590" w:type="dxa"/>
            <w:tcBorders>
              <w:bottom w:val="single" w:sz="4" w:space="0" w:color="auto"/>
            </w:tcBorders>
          </w:tcPr>
          <w:p w14:paraId="79B34482" w14:textId="77777777" w:rsidR="002E3407" w:rsidRPr="00640348" w:rsidRDefault="002E3407" w:rsidP="00EE4E8C">
            <w:pPr>
              <w:rPr>
                <w:sz w:val="20"/>
                <w:szCs w:val="20"/>
              </w:rPr>
            </w:pPr>
            <w:r>
              <w:rPr>
                <w:sz w:val="20"/>
                <w:szCs w:val="20"/>
              </w:rPr>
              <w:t>-E</w:t>
            </w:r>
            <w:r w:rsidRPr="00640348">
              <w:rPr>
                <w:sz w:val="20"/>
                <w:szCs w:val="20"/>
              </w:rPr>
              <w:t>xtended the measures implemented via emergency rule on 8/3/90</w:t>
            </w:r>
            <w:r>
              <w:rPr>
                <w:sz w:val="20"/>
                <w:szCs w:val="20"/>
              </w:rPr>
              <w:t>.</w:t>
            </w:r>
          </w:p>
        </w:tc>
      </w:tr>
      <w:tr w:rsidR="002E3407" w:rsidRPr="00F71004" w14:paraId="0A5D3849" w14:textId="77777777" w:rsidTr="00EE4E8C">
        <w:tc>
          <w:tcPr>
            <w:tcW w:w="1638" w:type="dxa"/>
            <w:shd w:val="clear" w:color="auto" w:fill="FFFFFF" w:themeFill="background1"/>
            <w:vAlign w:val="center"/>
          </w:tcPr>
          <w:p w14:paraId="6A0C6D1F" w14:textId="77777777" w:rsidR="002E3407" w:rsidRDefault="002E3407" w:rsidP="00EE4E8C">
            <w:pPr>
              <w:jc w:val="center"/>
              <w:rPr>
                <w:sz w:val="20"/>
                <w:szCs w:val="20"/>
              </w:rPr>
            </w:pPr>
            <w:r w:rsidRPr="00640348">
              <w:rPr>
                <w:sz w:val="20"/>
                <w:szCs w:val="20"/>
              </w:rPr>
              <w:t>Regulatory Amendment #3</w:t>
            </w:r>
          </w:p>
          <w:p w14:paraId="79C32AAE" w14:textId="77777777" w:rsidR="002E3407" w:rsidRDefault="002E3407" w:rsidP="00EE4E8C">
            <w:pPr>
              <w:jc w:val="center"/>
              <w:rPr>
                <w:sz w:val="20"/>
                <w:szCs w:val="20"/>
              </w:rPr>
            </w:pPr>
          </w:p>
          <w:p w14:paraId="4F494F0B" w14:textId="77777777" w:rsidR="002E3407" w:rsidRPr="00640348" w:rsidRDefault="002E3407" w:rsidP="00EE4E8C">
            <w:pPr>
              <w:jc w:val="center"/>
              <w:rPr>
                <w:sz w:val="20"/>
                <w:szCs w:val="20"/>
              </w:rPr>
            </w:pPr>
            <w:r w:rsidRPr="00640348">
              <w:rPr>
                <w:sz w:val="20"/>
                <w:szCs w:val="20"/>
              </w:rPr>
              <w:t>(1989)</w:t>
            </w:r>
          </w:p>
        </w:tc>
        <w:tc>
          <w:tcPr>
            <w:tcW w:w="1350" w:type="dxa"/>
            <w:shd w:val="clear" w:color="auto" w:fill="FFFFFF" w:themeFill="background1"/>
            <w:vAlign w:val="center"/>
          </w:tcPr>
          <w:p w14:paraId="4A6A4052" w14:textId="77777777" w:rsidR="002E3407" w:rsidRPr="00640348" w:rsidRDefault="002E3407" w:rsidP="00EE4E8C">
            <w:pPr>
              <w:jc w:val="center"/>
              <w:rPr>
                <w:sz w:val="20"/>
                <w:szCs w:val="20"/>
              </w:rPr>
            </w:pPr>
            <w:r w:rsidRPr="00640348">
              <w:rPr>
                <w:sz w:val="20"/>
                <w:szCs w:val="20"/>
              </w:rPr>
              <w:t>11/02/90</w:t>
            </w:r>
          </w:p>
        </w:tc>
        <w:tc>
          <w:tcPr>
            <w:tcW w:w="1620" w:type="dxa"/>
            <w:shd w:val="clear" w:color="auto" w:fill="FFFFFF" w:themeFill="background1"/>
            <w:vAlign w:val="center"/>
          </w:tcPr>
          <w:p w14:paraId="69327622" w14:textId="77777777" w:rsidR="002E3407" w:rsidRPr="00640348" w:rsidRDefault="002E3407" w:rsidP="00EE4E8C">
            <w:pPr>
              <w:rPr>
                <w:sz w:val="20"/>
                <w:szCs w:val="20"/>
              </w:rPr>
            </w:pPr>
            <w:r w:rsidRPr="00640348">
              <w:rPr>
                <w:sz w:val="20"/>
                <w:szCs w:val="20"/>
              </w:rPr>
              <w:t>PR: 55 FR 28066</w:t>
            </w:r>
          </w:p>
          <w:p w14:paraId="4FEAE937" w14:textId="77777777" w:rsidR="002E3407" w:rsidRPr="00640348" w:rsidRDefault="002E3407" w:rsidP="00EE4E8C">
            <w:pPr>
              <w:rPr>
                <w:sz w:val="20"/>
                <w:szCs w:val="20"/>
              </w:rPr>
            </w:pPr>
            <w:r>
              <w:rPr>
                <w:sz w:val="20"/>
                <w:szCs w:val="20"/>
              </w:rPr>
              <w:t xml:space="preserve">FR: </w:t>
            </w:r>
            <w:r w:rsidRPr="00640348">
              <w:rPr>
                <w:sz w:val="20"/>
                <w:szCs w:val="20"/>
              </w:rPr>
              <w:t>55 FR 40394</w:t>
            </w:r>
          </w:p>
        </w:tc>
        <w:tc>
          <w:tcPr>
            <w:tcW w:w="4590" w:type="dxa"/>
            <w:shd w:val="clear" w:color="auto" w:fill="FFFFFF" w:themeFill="background1"/>
          </w:tcPr>
          <w:p w14:paraId="0201CE48" w14:textId="77777777" w:rsidR="002E3407" w:rsidRDefault="002E3407" w:rsidP="00EE4E8C">
            <w:pPr>
              <w:rPr>
                <w:sz w:val="20"/>
                <w:szCs w:val="20"/>
              </w:rPr>
            </w:pPr>
            <w:r w:rsidRPr="00640348">
              <w:rPr>
                <w:sz w:val="20"/>
                <w:szCs w:val="20"/>
              </w:rPr>
              <w:t>-Established artificial r</w:t>
            </w:r>
            <w:r>
              <w:rPr>
                <w:sz w:val="20"/>
                <w:szCs w:val="20"/>
              </w:rPr>
              <w:t>eef at Key Biscayne, FL as SMZ;</w:t>
            </w:r>
          </w:p>
          <w:p w14:paraId="1A5357D5" w14:textId="77777777" w:rsidR="002E3407" w:rsidRPr="00640348" w:rsidRDefault="002E3407" w:rsidP="00EE4E8C">
            <w:pPr>
              <w:rPr>
                <w:sz w:val="20"/>
                <w:szCs w:val="20"/>
              </w:rPr>
            </w:pPr>
            <w:r>
              <w:rPr>
                <w:sz w:val="20"/>
                <w:szCs w:val="20"/>
              </w:rPr>
              <w:t>-</w:t>
            </w:r>
            <w:r w:rsidRPr="00640348">
              <w:rPr>
                <w:sz w:val="20"/>
                <w:szCs w:val="20"/>
              </w:rPr>
              <w:t>Fish trapping, bottom longlining, spear fishing, and harvesting of Goliath grouper prohibited in SMZ.</w:t>
            </w:r>
          </w:p>
        </w:tc>
      </w:tr>
      <w:tr w:rsidR="002E3407" w14:paraId="0BA9A36A" w14:textId="77777777" w:rsidTr="00EE4E8C">
        <w:tc>
          <w:tcPr>
            <w:tcW w:w="1638" w:type="dxa"/>
            <w:shd w:val="clear" w:color="auto" w:fill="D9D9D9" w:themeFill="background1" w:themeFillShade="D9"/>
            <w:vAlign w:val="center"/>
          </w:tcPr>
          <w:p w14:paraId="354511F3" w14:textId="77777777" w:rsidR="002E3407" w:rsidRDefault="002E3407" w:rsidP="00EE4E8C">
            <w:pPr>
              <w:jc w:val="center"/>
              <w:rPr>
                <w:sz w:val="20"/>
                <w:szCs w:val="20"/>
              </w:rPr>
            </w:pPr>
            <w:r>
              <w:rPr>
                <w:sz w:val="20"/>
                <w:szCs w:val="20"/>
              </w:rPr>
              <w:t>Amendment #3</w:t>
            </w:r>
          </w:p>
          <w:p w14:paraId="35CE716B" w14:textId="77777777" w:rsidR="002E3407" w:rsidRDefault="002E3407" w:rsidP="00EE4E8C">
            <w:pPr>
              <w:jc w:val="center"/>
              <w:rPr>
                <w:sz w:val="20"/>
                <w:szCs w:val="20"/>
              </w:rPr>
            </w:pPr>
          </w:p>
          <w:p w14:paraId="4BE1DD0D" w14:textId="77777777" w:rsidR="002E3407" w:rsidRPr="00640348" w:rsidRDefault="002E3407" w:rsidP="00EE4E8C">
            <w:pPr>
              <w:jc w:val="center"/>
              <w:rPr>
                <w:sz w:val="20"/>
                <w:szCs w:val="20"/>
              </w:rPr>
            </w:pPr>
            <w:r>
              <w:rPr>
                <w:sz w:val="20"/>
                <w:szCs w:val="20"/>
              </w:rPr>
              <w:t>(1990</w:t>
            </w:r>
            <w:r w:rsidRPr="00640348">
              <w:rPr>
                <w:sz w:val="20"/>
                <w:szCs w:val="20"/>
              </w:rPr>
              <w:t>)</w:t>
            </w:r>
          </w:p>
        </w:tc>
        <w:tc>
          <w:tcPr>
            <w:tcW w:w="1350" w:type="dxa"/>
            <w:shd w:val="clear" w:color="auto" w:fill="D9D9D9" w:themeFill="background1" w:themeFillShade="D9"/>
            <w:vAlign w:val="center"/>
          </w:tcPr>
          <w:p w14:paraId="32EA2AFE" w14:textId="77777777" w:rsidR="002E3407" w:rsidRPr="00640348" w:rsidRDefault="002E3407" w:rsidP="00EE4E8C">
            <w:pPr>
              <w:jc w:val="center"/>
              <w:rPr>
                <w:sz w:val="20"/>
                <w:szCs w:val="20"/>
              </w:rPr>
            </w:pPr>
            <w:r w:rsidRPr="00640348">
              <w:rPr>
                <w:sz w:val="20"/>
                <w:szCs w:val="20"/>
              </w:rPr>
              <w:t>01/31/91</w:t>
            </w:r>
          </w:p>
        </w:tc>
        <w:tc>
          <w:tcPr>
            <w:tcW w:w="1620" w:type="dxa"/>
            <w:shd w:val="clear" w:color="auto" w:fill="D9D9D9" w:themeFill="background1" w:themeFillShade="D9"/>
            <w:vAlign w:val="center"/>
          </w:tcPr>
          <w:p w14:paraId="5C8021FF" w14:textId="77777777" w:rsidR="002E3407" w:rsidRPr="00640348" w:rsidRDefault="002E3407" w:rsidP="00EE4E8C">
            <w:pPr>
              <w:rPr>
                <w:sz w:val="20"/>
                <w:szCs w:val="20"/>
              </w:rPr>
            </w:pPr>
            <w:r w:rsidRPr="00640348">
              <w:rPr>
                <w:sz w:val="20"/>
                <w:szCs w:val="20"/>
              </w:rPr>
              <w:t>PR: 55 FR 39023</w:t>
            </w:r>
          </w:p>
          <w:p w14:paraId="3AA517AB" w14:textId="77777777" w:rsidR="002E3407" w:rsidRPr="00640348" w:rsidRDefault="002E3407" w:rsidP="00EE4E8C">
            <w:pPr>
              <w:rPr>
                <w:sz w:val="20"/>
                <w:szCs w:val="20"/>
              </w:rPr>
            </w:pPr>
            <w:r>
              <w:rPr>
                <w:sz w:val="20"/>
                <w:szCs w:val="20"/>
              </w:rPr>
              <w:t xml:space="preserve">FR: </w:t>
            </w:r>
            <w:r w:rsidRPr="00640348">
              <w:rPr>
                <w:sz w:val="20"/>
                <w:szCs w:val="20"/>
              </w:rPr>
              <w:t>56 FR 2443</w:t>
            </w:r>
          </w:p>
        </w:tc>
        <w:tc>
          <w:tcPr>
            <w:tcW w:w="4590" w:type="dxa"/>
            <w:shd w:val="clear" w:color="auto" w:fill="D9D9D9" w:themeFill="background1" w:themeFillShade="D9"/>
          </w:tcPr>
          <w:p w14:paraId="6A89C167" w14:textId="77777777" w:rsidR="002E3407" w:rsidRPr="00640348" w:rsidRDefault="002E3407" w:rsidP="00EE4E8C">
            <w:pPr>
              <w:rPr>
                <w:sz w:val="20"/>
                <w:szCs w:val="20"/>
              </w:rPr>
            </w:pPr>
            <w:r w:rsidRPr="00640348">
              <w:rPr>
                <w:sz w:val="20"/>
                <w:szCs w:val="20"/>
              </w:rPr>
              <w:t>-Added wreckfish to the FMU</w:t>
            </w:r>
            <w:r>
              <w:rPr>
                <w:sz w:val="20"/>
                <w:szCs w:val="20"/>
              </w:rPr>
              <w:t>;</w:t>
            </w:r>
          </w:p>
          <w:p w14:paraId="41CD74CB" w14:textId="77777777" w:rsidR="002E3407" w:rsidRPr="00640348" w:rsidRDefault="002E3407" w:rsidP="00EE4E8C">
            <w:pPr>
              <w:rPr>
                <w:sz w:val="20"/>
                <w:szCs w:val="20"/>
              </w:rPr>
            </w:pPr>
            <w:r w:rsidRPr="00640348">
              <w:rPr>
                <w:sz w:val="20"/>
                <w:szCs w:val="20"/>
              </w:rPr>
              <w:t xml:space="preserve">-Defined optimum yield </w:t>
            </w:r>
            <w:r>
              <w:rPr>
                <w:sz w:val="20"/>
                <w:szCs w:val="20"/>
              </w:rPr>
              <w:t xml:space="preserve">(OY) </w:t>
            </w:r>
            <w:r w:rsidRPr="00640348">
              <w:rPr>
                <w:sz w:val="20"/>
                <w:szCs w:val="20"/>
              </w:rPr>
              <w:t>and overfishing</w:t>
            </w:r>
            <w:r>
              <w:rPr>
                <w:sz w:val="20"/>
                <w:szCs w:val="20"/>
              </w:rPr>
              <w:t>;</w:t>
            </w:r>
          </w:p>
          <w:p w14:paraId="02066A90" w14:textId="77777777" w:rsidR="002E3407" w:rsidRPr="00640348" w:rsidRDefault="002E3407" w:rsidP="00EE4E8C">
            <w:pPr>
              <w:rPr>
                <w:sz w:val="20"/>
                <w:szCs w:val="20"/>
              </w:rPr>
            </w:pPr>
            <w:r w:rsidRPr="00640348">
              <w:rPr>
                <w:sz w:val="20"/>
                <w:szCs w:val="20"/>
              </w:rPr>
              <w:t>-Required permit to fish for, land or sell wreckfish</w:t>
            </w:r>
            <w:r>
              <w:rPr>
                <w:sz w:val="20"/>
                <w:szCs w:val="20"/>
              </w:rPr>
              <w:t>;</w:t>
            </w:r>
          </w:p>
          <w:p w14:paraId="4B32CF7C" w14:textId="77777777" w:rsidR="002E3407" w:rsidRPr="00640348" w:rsidRDefault="002E3407" w:rsidP="00EE4E8C">
            <w:pPr>
              <w:rPr>
                <w:sz w:val="20"/>
                <w:szCs w:val="20"/>
              </w:rPr>
            </w:pPr>
            <w:r w:rsidRPr="00640348">
              <w:rPr>
                <w:sz w:val="20"/>
                <w:szCs w:val="20"/>
              </w:rPr>
              <w:t>-Required catch and effort reports from selected, permitted vessel;</w:t>
            </w:r>
          </w:p>
          <w:p w14:paraId="774E923A" w14:textId="77777777" w:rsidR="002E3407" w:rsidRPr="00640348" w:rsidRDefault="002E3407" w:rsidP="00EE4E8C">
            <w:pPr>
              <w:rPr>
                <w:sz w:val="20"/>
                <w:szCs w:val="20"/>
              </w:rPr>
            </w:pPr>
            <w:r w:rsidRPr="00640348">
              <w:rPr>
                <w:sz w:val="20"/>
                <w:szCs w:val="20"/>
              </w:rPr>
              <w:t>-Established control date of 03/28/90</w:t>
            </w:r>
            <w:r>
              <w:rPr>
                <w:sz w:val="20"/>
                <w:szCs w:val="20"/>
              </w:rPr>
              <w:t>;</w:t>
            </w:r>
          </w:p>
          <w:p w14:paraId="1C4CA52C" w14:textId="77777777" w:rsidR="002E3407" w:rsidRPr="00640348" w:rsidRDefault="002E3407" w:rsidP="00EE4E8C">
            <w:pPr>
              <w:rPr>
                <w:sz w:val="20"/>
                <w:szCs w:val="20"/>
              </w:rPr>
            </w:pPr>
            <w:r w:rsidRPr="00640348">
              <w:rPr>
                <w:sz w:val="20"/>
                <w:szCs w:val="20"/>
              </w:rPr>
              <w:t>-Established a fishing year for wreckfish starting April 16</w:t>
            </w:r>
            <w:r>
              <w:rPr>
                <w:sz w:val="20"/>
                <w:szCs w:val="20"/>
              </w:rPr>
              <w:t>;</w:t>
            </w:r>
          </w:p>
          <w:p w14:paraId="43694441" w14:textId="77777777" w:rsidR="002E3407" w:rsidRPr="00640348" w:rsidRDefault="002E3407" w:rsidP="00EE4E8C">
            <w:pPr>
              <w:rPr>
                <w:sz w:val="20"/>
                <w:szCs w:val="20"/>
              </w:rPr>
            </w:pPr>
            <w:r w:rsidRPr="00640348">
              <w:rPr>
                <w:sz w:val="20"/>
                <w:szCs w:val="20"/>
              </w:rPr>
              <w:t>-Established a process to set annual quota, with initial quota of 2 million pounds; provisions for closure</w:t>
            </w:r>
            <w:r>
              <w:rPr>
                <w:sz w:val="20"/>
                <w:szCs w:val="20"/>
              </w:rPr>
              <w:t>;</w:t>
            </w:r>
          </w:p>
          <w:p w14:paraId="386C3F17" w14:textId="77777777" w:rsidR="002E3407" w:rsidRPr="00640348" w:rsidRDefault="002E3407" w:rsidP="00EE4E8C">
            <w:pPr>
              <w:rPr>
                <w:sz w:val="20"/>
                <w:szCs w:val="20"/>
              </w:rPr>
            </w:pPr>
            <w:r w:rsidRPr="00640348">
              <w:rPr>
                <w:sz w:val="20"/>
                <w:szCs w:val="20"/>
              </w:rPr>
              <w:t>-Esta</w:t>
            </w:r>
            <w:r>
              <w:rPr>
                <w:sz w:val="20"/>
                <w:szCs w:val="20"/>
              </w:rPr>
              <w:t>blished 10,000 pound trip limit;</w:t>
            </w:r>
          </w:p>
          <w:p w14:paraId="2BBD2827" w14:textId="77777777" w:rsidR="002E3407" w:rsidRPr="00640348" w:rsidRDefault="002E3407" w:rsidP="00EE4E8C">
            <w:pPr>
              <w:rPr>
                <w:sz w:val="20"/>
                <w:szCs w:val="20"/>
              </w:rPr>
            </w:pPr>
            <w:r w:rsidRPr="00640348">
              <w:rPr>
                <w:sz w:val="20"/>
                <w:szCs w:val="20"/>
              </w:rPr>
              <w:t>-Established a spawning season closure for wreckfish from January 15 to April 15</w:t>
            </w:r>
            <w:r>
              <w:rPr>
                <w:sz w:val="20"/>
                <w:szCs w:val="20"/>
              </w:rPr>
              <w:t>;</w:t>
            </w:r>
          </w:p>
          <w:p w14:paraId="12BA2EFF" w14:textId="77777777" w:rsidR="002E3407" w:rsidRPr="00640348" w:rsidRDefault="002E3407" w:rsidP="00EE4E8C">
            <w:pPr>
              <w:rPr>
                <w:sz w:val="20"/>
                <w:szCs w:val="20"/>
              </w:rPr>
            </w:pPr>
            <w:r w:rsidRPr="00640348">
              <w:rPr>
                <w:sz w:val="20"/>
                <w:szCs w:val="20"/>
              </w:rPr>
              <w:t>-Provided for annual adjustments of wreckfish management measures</w:t>
            </w:r>
            <w:r>
              <w:rPr>
                <w:sz w:val="20"/>
                <w:szCs w:val="20"/>
              </w:rPr>
              <w:t>.</w:t>
            </w:r>
          </w:p>
        </w:tc>
      </w:tr>
      <w:tr w:rsidR="002E3407" w14:paraId="5D43FBCF" w14:textId="77777777" w:rsidTr="00EE4E8C">
        <w:tc>
          <w:tcPr>
            <w:tcW w:w="1638" w:type="dxa"/>
            <w:tcBorders>
              <w:bottom w:val="single" w:sz="4" w:space="0" w:color="auto"/>
            </w:tcBorders>
            <w:vAlign w:val="center"/>
          </w:tcPr>
          <w:p w14:paraId="05EEC485" w14:textId="77777777" w:rsidR="002E3407" w:rsidRPr="00640348" w:rsidRDefault="002E3407" w:rsidP="00EE4E8C">
            <w:pPr>
              <w:jc w:val="center"/>
              <w:rPr>
                <w:sz w:val="20"/>
                <w:szCs w:val="20"/>
              </w:rPr>
            </w:pPr>
            <w:r w:rsidRPr="00640348">
              <w:rPr>
                <w:sz w:val="20"/>
                <w:szCs w:val="20"/>
              </w:rPr>
              <w:t>Notice of Control Date</w:t>
            </w:r>
          </w:p>
        </w:tc>
        <w:tc>
          <w:tcPr>
            <w:tcW w:w="1350" w:type="dxa"/>
            <w:tcBorders>
              <w:bottom w:val="single" w:sz="4" w:space="0" w:color="auto"/>
            </w:tcBorders>
            <w:vAlign w:val="center"/>
          </w:tcPr>
          <w:p w14:paraId="33F5DFD5" w14:textId="77777777" w:rsidR="002E3407" w:rsidRPr="00640348" w:rsidRDefault="002E3407" w:rsidP="00EE4E8C">
            <w:pPr>
              <w:jc w:val="center"/>
              <w:rPr>
                <w:sz w:val="20"/>
                <w:szCs w:val="20"/>
              </w:rPr>
            </w:pPr>
            <w:r w:rsidRPr="00640348">
              <w:rPr>
                <w:sz w:val="20"/>
                <w:szCs w:val="20"/>
              </w:rPr>
              <w:t>07/30/91</w:t>
            </w:r>
          </w:p>
        </w:tc>
        <w:tc>
          <w:tcPr>
            <w:tcW w:w="1620" w:type="dxa"/>
            <w:tcBorders>
              <w:bottom w:val="single" w:sz="4" w:space="0" w:color="auto"/>
            </w:tcBorders>
            <w:vAlign w:val="center"/>
          </w:tcPr>
          <w:p w14:paraId="7A98CD16" w14:textId="77777777" w:rsidR="002E3407" w:rsidRPr="00640348" w:rsidRDefault="002E3407" w:rsidP="00EE4E8C">
            <w:pPr>
              <w:rPr>
                <w:sz w:val="20"/>
                <w:szCs w:val="20"/>
              </w:rPr>
            </w:pPr>
            <w:r w:rsidRPr="00640348">
              <w:rPr>
                <w:sz w:val="20"/>
                <w:szCs w:val="20"/>
              </w:rPr>
              <w:t>56 FR 36052</w:t>
            </w:r>
          </w:p>
        </w:tc>
        <w:tc>
          <w:tcPr>
            <w:tcW w:w="4590" w:type="dxa"/>
            <w:tcBorders>
              <w:bottom w:val="single" w:sz="4" w:space="0" w:color="auto"/>
            </w:tcBorders>
          </w:tcPr>
          <w:p w14:paraId="5300B59C" w14:textId="77777777" w:rsidR="002E3407" w:rsidRPr="00640348" w:rsidRDefault="002E3407" w:rsidP="00EE4E8C">
            <w:pPr>
              <w:rPr>
                <w:sz w:val="20"/>
                <w:szCs w:val="20"/>
              </w:rPr>
            </w:pPr>
            <w:r w:rsidRPr="00640348">
              <w:rPr>
                <w:sz w:val="20"/>
                <w:szCs w:val="20"/>
              </w:rPr>
              <w:t>-Anyone entering federal snapper grouper fishery (other than for wreckfish) in the EEZ off S. Atlantic states after 07/30/91 was not assured of future access if limited entry program developed.</w:t>
            </w:r>
          </w:p>
        </w:tc>
      </w:tr>
      <w:tr w:rsidR="002E3407" w14:paraId="4312F443" w14:textId="77777777" w:rsidTr="00EE4E8C">
        <w:tc>
          <w:tcPr>
            <w:tcW w:w="1638" w:type="dxa"/>
            <w:tcBorders>
              <w:bottom w:val="single" w:sz="4" w:space="0" w:color="auto"/>
            </w:tcBorders>
            <w:shd w:val="clear" w:color="auto" w:fill="D9D9D9" w:themeFill="background1" w:themeFillShade="D9"/>
            <w:vAlign w:val="center"/>
          </w:tcPr>
          <w:p w14:paraId="142021BF" w14:textId="77777777" w:rsidR="002E3407" w:rsidRDefault="002E3407" w:rsidP="00EE4E8C">
            <w:pPr>
              <w:jc w:val="center"/>
              <w:rPr>
                <w:sz w:val="20"/>
                <w:szCs w:val="20"/>
              </w:rPr>
            </w:pPr>
            <w:r>
              <w:rPr>
                <w:sz w:val="20"/>
                <w:szCs w:val="20"/>
              </w:rPr>
              <w:t>Amendment #4</w:t>
            </w:r>
          </w:p>
          <w:p w14:paraId="2FBB654B" w14:textId="77777777" w:rsidR="002E3407" w:rsidRDefault="002E3407" w:rsidP="00EE4E8C">
            <w:pPr>
              <w:jc w:val="center"/>
              <w:rPr>
                <w:sz w:val="20"/>
                <w:szCs w:val="20"/>
              </w:rPr>
            </w:pPr>
          </w:p>
          <w:p w14:paraId="4329BDF8" w14:textId="77777777" w:rsidR="002E3407" w:rsidRPr="00640348" w:rsidRDefault="002E3407" w:rsidP="00EE4E8C">
            <w:pPr>
              <w:jc w:val="center"/>
              <w:rPr>
                <w:sz w:val="20"/>
                <w:szCs w:val="20"/>
              </w:rPr>
            </w:pPr>
            <w:r>
              <w:rPr>
                <w:sz w:val="20"/>
                <w:szCs w:val="20"/>
              </w:rPr>
              <w:t>(</w:t>
            </w:r>
            <w:r w:rsidRPr="00640348">
              <w:rPr>
                <w:sz w:val="20"/>
                <w:szCs w:val="20"/>
              </w:rPr>
              <w:t>1991)</w:t>
            </w:r>
          </w:p>
        </w:tc>
        <w:tc>
          <w:tcPr>
            <w:tcW w:w="1350" w:type="dxa"/>
            <w:tcBorders>
              <w:bottom w:val="single" w:sz="4" w:space="0" w:color="auto"/>
            </w:tcBorders>
            <w:shd w:val="clear" w:color="auto" w:fill="D9D9D9" w:themeFill="background1" w:themeFillShade="D9"/>
            <w:vAlign w:val="center"/>
          </w:tcPr>
          <w:p w14:paraId="3369B720" w14:textId="77777777" w:rsidR="002E3407" w:rsidRPr="00640348" w:rsidRDefault="002E3407" w:rsidP="00EE4E8C">
            <w:pPr>
              <w:jc w:val="center"/>
              <w:rPr>
                <w:sz w:val="20"/>
                <w:szCs w:val="20"/>
              </w:rPr>
            </w:pPr>
            <w:r w:rsidRPr="00640348">
              <w:rPr>
                <w:sz w:val="20"/>
                <w:szCs w:val="20"/>
              </w:rPr>
              <w:t>01/01/92</w:t>
            </w:r>
          </w:p>
        </w:tc>
        <w:tc>
          <w:tcPr>
            <w:tcW w:w="1620" w:type="dxa"/>
            <w:tcBorders>
              <w:bottom w:val="single" w:sz="4" w:space="0" w:color="auto"/>
            </w:tcBorders>
            <w:shd w:val="clear" w:color="auto" w:fill="D9D9D9" w:themeFill="background1" w:themeFillShade="D9"/>
            <w:vAlign w:val="center"/>
          </w:tcPr>
          <w:p w14:paraId="79A30CE8" w14:textId="77777777" w:rsidR="002E3407" w:rsidRPr="00640348" w:rsidRDefault="002E3407" w:rsidP="00EE4E8C">
            <w:pPr>
              <w:rPr>
                <w:sz w:val="20"/>
                <w:szCs w:val="20"/>
              </w:rPr>
            </w:pPr>
            <w:r w:rsidRPr="00640348">
              <w:rPr>
                <w:sz w:val="20"/>
                <w:szCs w:val="20"/>
              </w:rPr>
              <w:t>PR: 56 FR 29922</w:t>
            </w:r>
          </w:p>
          <w:p w14:paraId="7F3308A7" w14:textId="77777777" w:rsidR="002E3407" w:rsidRPr="00640348" w:rsidRDefault="002E3407" w:rsidP="00EE4E8C">
            <w:pPr>
              <w:rPr>
                <w:sz w:val="20"/>
                <w:szCs w:val="20"/>
              </w:rPr>
            </w:pPr>
            <w:r>
              <w:rPr>
                <w:sz w:val="20"/>
                <w:szCs w:val="20"/>
              </w:rPr>
              <w:t xml:space="preserve">FR: </w:t>
            </w:r>
            <w:r w:rsidRPr="00640348">
              <w:rPr>
                <w:sz w:val="20"/>
                <w:szCs w:val="20"/>
              </w:rPr>
              <w:t>56 FR 56016</w:t>
            </w:r>
          </w:p>
        </w:tc>
        <w:tc>
          <w:tcPr>
            <w:tcW w:w="4590" w:type="dxa"/>
            <w:tcBorders>
              <w:bottom w:val="single" w:sz="4" w:space="0" w:color="auto"/>
            </w:tcBorders>
            <w:shd w:val="clear" w:color="auto" w:fill="D9D9D9" w:themeFill="background1" w:themeFillShade="D9"/>
          </w:tcPr>
          <w:p w14:paraId="63DFEFEB" w14:textId="77777777" w:rsidR="002E3407" w:rsidRPr="00640348" w:rsidRDefault="002E3407" w:rsidP="00EE4E8C">
            <w:pPr>
              <w:rPr>
                <w:sz w:val="20"/>
                <w:szCs w:val="20"/>
              </w:rPr>
            </w:pPr>
            <w:r w:rsidRPr="00640348">
              <w:rPr>
                <w:sz w:val="20"/>
                <w:szCs w:val="20"/>
              </w:rPr>
              <w:t>-Prohibited gear:  fish traps except black sea bass traps north of Cape Canaveral, FL; entanglement nets; longline gear inside 50 fathoms; bottom longlines to harvest wreckfish; powerheads and bangsticks in designated SMZs off S. Carolina</w:t>
            </w:r>
            <w:r>
              <w:rPr>
                <w:sz w:val="20"/>
                <w:szCs w:val="20"/>
              </w:rPr>
              <w:t>.</w:t>
            </w:r>
          </w:p>
          <w:p w14:paraId="2103F0F3" w14:textId="77777777" w:rsidR="002E3407" w:rsidRPr="00640348" w:rsidRDefault="002E3407" w:rsidP="00EE4E8C">
            <w:pPr>
              <w:rPr>
                <w:sz w:val="20"/>
                <w:szCs w:val="20"/>
              </w:rPr>
            </w:pPr>
            <w:r>
              <w:rPr>
                <w:sz w:val="20"/>
                <w:szCs w:val="20"/>
              </w:rPr>
              <w:t>-D</w:t>
            </w:r>
            <w:r w:rsidRPr="00640348">
              <w:rPr>
                <w:sz w:val="20"/>
                <w:szCs w:val="20"/>
              </w:rPr>
              <w:t>efined overfishing/overfished and established rebuilding timeframe:  red snapper and groupers ≤ 15 years (year 1 = 1991); other snappers, greater amberjack, black sea bass, red porgy ≤ 10 years (year 1 = 1991)</w:t>
            </w:r>
            <w:r>
              <w:rPr>
                <w:sz w:val="20"/>
                <w:szCs w:val="20"/>
              </w:rPr>
              <w:t>;</w:t>
            </w:r>
          </w:p>
          <w:p w14:paraId="2F3F674E" w14:textId="77777777" w:rsidR="002E3407" w:rsidRPr="00640348" w:rsidRDefault="002E3407" w:rsidP="00EE4E8C">
            <w:pPr>
              <w:rPr>
                <w:sz w:val="20"/>
                <w:szCs w:val="20"/>
              </w:rPr>
            </w:pPr>
            <w:r w:rsidRPr="00640348">
              <w:rPr>
                <w:sz w:val="20"/>
                <w:szCs w:val="20"/>
              </w:rPr>
              <w:t>-Required permits (commercial &amp; for-hire) and specified data collection regulations</w:t>
            </w:r>
            <w:r>
              <w:rPr>
                <w:sz w:val="20"/>
                <w:szCs w:val="20"/>
              </w:rPr>
              <w:t>;</w:t>
            </w:r>
          </w:p>
          <w:p w14:paraId="2E6AEAB0" w14:textId="77777777" w:rsidR="002E3407" w:rsidRPr="00640348" w:rsidRDefault="002E3407" w:rsidP="00EE4E8C">
            <w:pPr>
              <w:rPr>
                <w:sz w:val="20"/>
                <w:szCs w:val="20"/>
              </w:rPr>
            </w:pPr>
            <w:r w:rsidRPr="00640348">
              <w:rPr>
                <w:sz w:val="20"/>
                <w:szCs w:val="20"/>
              </w:rPr>
              <w:t>-Established an assessment group and annual adjustment procedure (framework)</w:t>
            </w:r>
            <w:r>
              <w:rPr>
                <w:sz w:val="20"/>
                <w:szCs w:val="20"/>
              </w:rPr>
              <w:t>;</w:t>
            </w:r>
          </w:p>
          <w:p w14:paraId="56BA2320" w14:textId="77777777" w:rsidR="002E3407" w:rsidRPr="00640348" w:rsidRDefault="002E3407" w:rsidP="00EE4E8C">
            <w:pPr>
              <w:rPr>
                <w:sz w:val="20"/>
                <w:szCs w:val="20"/>
              </w:rPr>
            </w:pPr>
            <w:r w:rsidRPr="00640348">
              <w:rPr>
                <w:sz w:val="20"/>
                <w:szCs w:val="20"/>
              </w:rPr>
              <w:t>-Permit, gear, and vessel id requirements specified for black sea bass traps</w:t>
            </w:r>
            <w:r>
              <w:rPr>
                <w:sz w:val="20"/>
                <w:szCs w:val="20"/>
              </w:rPr>
              <w:t>;</w:t>
            </w:r>
          </w:p>
          <w:p w14:paraId="3DE25D83" w14:textId="77777777" w:rsidR="002E3407" w:rsidRPr="00640348" w:rsidRDefault="002E3407" w:rsidP="00EE4E8C">
            <w:pPr>
              <w:rPr>
                <w:sz w:val="20"/>
                <w:szCs w:val="20"/>
              </w:rPr>
            </w:pPr>
            <w:r w:rsidRPr="00640348">
              <w:rPr>
                <w:sz w:val="20"/>
                <w:szCs w:val="20"/>
              </w:rPr>
              <w:t>-No retention of snapper grouper spp. caught in other fisheries with gear prohibited in snapper grouper fishery if captured snapper grouper had no bag limit or harvest was prohibited.  If had a bag limit, could retain only the bag limit</w:t>
            </w:r>
            <w:r>
              <w:rPr>
                <w:sz w:val="20"/>
                <w:szCs w:val="20"/>
              </w:rPr>
              <w:t>;</w:t>
            </w:r>
          </w:p>
          <w:p w14:paraId="302A5118" w14:textId="77777777" w:rsidR="002E3407" w:rsidRPr="00640348" w:rsidRDefault="002E3407" w:rsidP="00EE4E8C">
            <w:pPr>
              <w:rPr>
                <w:sz w:val="20"/>
                <w:szCs w:val="20"/>
              </w:rPr>
            </w:pPr>
            <w:r w:rsidRPr="00640348">
              <w:rPr>
                <w:sz w:val="20"/>
                <w:szCs w:val="20"/>
              </w:rPr>
              <w:t>-8” TL limit – lane snapper</w:t>
            </w:r>
            <w:r>
              <w:rPr>
                <w:sz w:val="20"/>
                <w:szCs w:val="20"/>
              </w:rPr>
              <w:t>;</w:t>
            </w:r>
          </w:p>
          <w:p w14:paraId="6275CBC6" w14:textId="77777777" w:rsidR="002E3407" w:rsidRPr="00640348" w:rsidRDefault="002E3407" w:rsidP="00EE4E8C">
            <w:pPr>
              <w:rPr>
                <w:sz w:val="20"/>
                <w:szCs w:val="20"/>
              </w:rPr>
            </w:pPr>
            <w:r w:rsidRPr="00640348">
              <w:rPr>
                <w:sz w:val="20"/>
                <w:szCs w:val="20"/>
              </w:rPr>
              <w:t>-10” TL limit – vermilion snapper (recreational only)</w:t>
            </w:r>
            <w:r>
              <w:rPr>
                <w:sz w:val="20"/>
                <w:szCs w:val="20"/>
              </w:rPr>
              <w:t>;</w:t>
            </w:r>
          </w:p>
          <w:p w14:paraId="5C1764C3" w14:textId="77777777" w:rsidR="002E3407" w:rsidRPr="00640348" w:rsidRDefault="002E3407" w:rsidP="00EE4E8C">
            <w:pPr>
              <w:rPr>
                <w:sz w:val="20"/>
                <w:szCs w:val="20"/>
              </w:rPr>
            </w:pPr>
            <w:r w:rsidRPr="00640348">
              <w:rPr>
                <w:sz w:val="20"/>
                <w:szCs w:val="20"/>
              </w:rPr>
              <w:lastRenderedPageBreak/>
              <w:t>-12” TL limit</w:t>
            </w:r>
            <w:r>
              <w:rPr>
                <w:sz w:val="20"/>
                <w:szCs w:val="20"/>
              </w:rPr>
              <w:t xml:space="preserve"> – red porgy, vermilion snapper </w:t>
            </w:r>
            <w:r w:rsidRPr="00640348">
              <w:rPr>
                <w:sz w:val="20"/>
                <w:szCs w:val="20"/>
              </w:rPr>
              <w:t>(commercial only), gray, yellowtail, mutton, schoolmaster, queen, blackfin, cubera, dog, mahogany, and silk snappers</w:t>
            </w:r>
            <w:r>
              <w:rPr>
                <w:sz w:val="20"/>
                <w:szCs w:val="20"/>
              </w:rPr>
              <w:t>;</w:t>
            </w:r>
          </w:p>
          <w:p w14:paraId="08817405" w14:textId="77777777" w:rsidR="002E3407" w:rsidRPr="00640348" w:rsidRDefault="002E3407" w:rsidP="00EE4E8C">
            <w:pPr>
              <w:rPr>
                <w:sz w:val="20"/>
                <w:szCs w:val="20"/>
              </w:rPr>
            </w:pPr>
            <w:r w:rsidRPr="00640348">
              <w:rPr>
                <w:sz w:val="20"/>
                <w:szCs w:val="20"/>
              </w:rPr>
              <w:t>-20” TL limit – red snapper, gag, and red, black, scamp, yell</w:t>
            </w:r>
            <w:r>
              <w:rPr>
                <w:sz w:val="20"/>
                <w:szCs w:val="20"/>
              </w:rPr>
              <w:t>owfin, and yellowmouth groupers;</w:t>
            </w:r>
          </w:p>
          <w:p w14:paraId="694C9BDC" w14:textId="77777777" w:rsidR="002E3407" w:rsidRPr="00640348" w:rsidRDefault="002E3407" w:rsidP="00EE4E8C">
            <w:pPr>
              <w:rPr>
                <w:sz w:val="20"/>
                <w:szCs w:val="20"/>
              </w:rPr>
            </w:pPr>
            <w:r w:rsidRPr="00640348">
              <w:rPr>
                <w:sz w:val="20"/>
                <w:szCs w:val="20"/>
              </w:rPr>
              <w:t>-28” fork length (FL) limit – greater amberjack (recreational only)</w:t>
            </w:r>
            <w:r>
              <w:rPr>
                <w:sz w:val="20"/>
                <w:szCs w:val="20"/>
              </w:rPr>
              <w:t>;</w:t>
            </w:r>
          </w:p>
          <w:p w14:paraId="3B044208" w14:textId="77777777" w:rsidR="002E3407" w:rsidRPr="00640348" w:rsidRDefault="002E3407" w:rsidP="00EE4E8C">
            <w:pPr>
              <w:rPr>
                <w:sz w:val="20"/>
                <w:szCs w:val="20"/>
              </w:rPr>
            </w:pPr>
            <w:r w:rsidRPr="00640348">
              <w:rPr>
                <w:sz w:val="20"/>
                <w:szCs w:val="20"/>
              </w:rPr>
              <w:t>-36” FL or 28” core length – greater amberjack (commercial only)</w:t>
            </w:r>
            <w:r>
              <w:rPr>
                <w:sz w:val="20"/>
                <w:szCs w:val="20"/>
              </w:rPr>
              <w:t>;</w:t>
            </w:r>
          </w:p>
          <w:p w14:paraId="2D65F118" w14:textId="77777777" w:rsidR="002E3407" w:rsidRPr="00640348" w:rsidRDefault="002E3407" w:rsidP="00EE4E8C">
            <w:pPr>
              <w:rPr>
                <w:sz w:val="20"/>
                <w:szCs w:val="20"/>
              </w:rPr>
            </w:pPr>
            <w:r w:rsidRPr="00640348">
              <w:rPr>
                <w:sz w:val="20"/>
                <w:szCs w:val="20"/>
              </w:rPr>
              <w:t>-</w:t>
            </w:r>
            <w:r>
              <w:rPr>
                <w:sz w:val="20"/>
                <w:szCs w:val="20"/>
              </w:rPr>
              <w:t>B</w:t>
            </w:r>
            <w:r w:rsidRPr="00640348">
              <w:rPr>
                <w:sz w:val="20"/>
                <w:szCs w:val="20"/>
              </w:rPr>
              <w:t>ag limits – 10 vermilion snapper, 3 greater amberjack</w:t>
            </w:r>
          </w:p>
          <w:p w14:paraId="3ADEE46F" w14:textId="77777777" w:rsidR="002E3407" w:rsidRPr="00640348" w:rsidRDefault="002E3407" w:rsidP="00EE4E8C">
            <w:pPr>
              <w:rPr>
                <w:sz w:val="20"/>
                <w:szCs w:val="20"/>
              </w:rPr>
            </w:pPr>
            <w:r w:rsidRPr="00640348">
              <w:rPr>
                <w:sz w:val="20"/>
                <w:szCs w:val="20"/>
              </w:rPr>
              <w:t>-</w:t>
            </w:r>
            <w:r>
              <w:rPr>
                <w:sz w:val="20"/>
                <w:szCs w:val="20"/>
              </w:rPr>
              <w:t>A</w:t>
            </w:r>
            <w:r w:rsidRPr="00640348">
              <w:rPr>
                <w:sz w:val="20"/>
                <w:szCs w:val="20"/>
              </w:rPr>
              <w:t>ggregate snapper bag limit – 10/person/day, excluding vermilion snapper and allowing no more than 2 red snappers</w:t>
            </w:r>
            <w:r>
              <w:rPr>
                <w:sz w:val="20"/>
                <w:szCs w:val="20"/>
              </w:rPr>
              <w:t>;</w:t>
            </w:r>
          </w:p>
          <w:p w14:paraId="13EE5171" w14:textId="77777777" w:rsidR="002E3407" w:rsidRPr="00640348" w:rsidRDefault="002E3407" w:rsidP="00EE4E8C">
            <w:pPr>
              <w:rPr>
                <w:sz w:val="20"/>
                <w:szCs w:val="20"/>
              </w:rPr>
            </w:pPr>
            <w:r w:rsidRPr="00640348">
              <w:rPr>
                <w:sz w:val="20"/>
                <w:szCs w:val="20"/>
              </w:rPr>
              <w:t>-</w:t>
            </w:r>
            <w:r>
              <w:rPr>
                <w:sz w:val="20"/>
                <w:szCs w:val="20"/>
              </w:rPr>
              <w:t>A</w:t>
            </w:r>
            <w:r w:rsidRPr="00640348">
              <w:rPr>
                <w:sz w:val="20"/>
                <w:szCs w:val="20"/>
              </w:rPr>
              <w:t>ggregate grouper bag limit – 5/person/day, excluding Nassau and goliath grouper, for which no retention (recreational &amp; commercial) is allowed</w:t>
            </w:r>
            <w:r>
              <w:rPr>
                <w:sz w:val="20"/>
                <w:szCs w:val="20"/>
              </w:rPr>
              <w:t>;</w:t>
            </w:r>
          </w:p>
          <w:p w14:paraId="38B70ABB" w14:textId="77777777" w:rsidR="002E3407" w:rsidRPr="00640348" w:rsidRDefault="002E3407" w:rsidP="00EE4E8C">
            <w:pPr>
              <w:rPr>
                <w:sz w:val="20"/>
                <w:szCs w:val="20"/>
              </w:rPr>
            </w:pPr>
            <w:r w:rsidRPr="00640348">
              <w:rPr>
                <w:sz w:val="20"/>
                <w:szCs w:val="20"/>
              </w:rPr>
              <w:t>-</w:t>
            </w:r>
            <w:r>
              <w:rPr>
                <w:sz w:val="20"/>
                <w:szCs w:val="20"/>
              </w:rPr>
              <w:t>S</w:t>
            </w:r>
            <w:r w:rsidRPr="00640348">
              <w:rPr>
                <w:sz w:val="20"/>
                <w:szCs w:val="20"/>
              </w:rPr>
              <w:t>pawning season closure – commercial harvest greater amberjack &gt; 3 fish bag prohibited in April south of Cape Canaveral, FL</w:t>
            </w:r>
            <w:r>
              <w:rPr>
                <w:sz w:val="20"/>
                <w:szCs w:val="20"/>
              </w:rPr>
              <w:t>;</w:t>
            </w:r>
          </w:p>
          <w:p w14:paraId="612387FD" w14:textId="77777777" w:rsidR="002E3407" w:rsidRPr="00640348" w:rsidRDefault="002E3407" w:rsidP="00EE4E8C">
            <w:pPr>
              <w:rPr>
                <w:sz w:val="20"/>
                <w:szCs w:val="20"/>
              </w:rPr>
            </w:pPr>
            <w:r>
              <w:rPr>
                <w:sz w:val="20"/>
                <w:szCs w:val="20"/>
              </w:rPr>
              <w:t>-S</w:t>
            </w:r>
            <w:r w:rsidRPr="00640348">
              <w:rPr>
                <w:sz w:val="20"/>
                <w:szCs w:val="20"/>
              </w:rPr>
              <w:t>pawning season closure – commercial harvest mutton snapper &gt;snapper aggregate prohibited during May and June</w:t>
            </w:r>
            <w:r>
              <w:rPr>
                <w:sz w:val="20"/>
                <w:szCs w:val="20"/>
              </w:rPr>
              <w:t>;</w:t>
            </w:r>
          </w:p>
          <w:p w14:paraId="2B24EFDE" w14:textId="77777777" w:rsidR="002E3407" w:rsidRPr="00640348" w:rsidRDefault="002E3407" w:rsidP="00EE4E8C">
            <w:pPr>
              <w:rPr>
                <w:sz w:val="20"/>
                <w:szCs w:val="20"/>
              </w:rPr>
            </w:pPr>
            <w:r>
              <w:rPr>
                <w:sz w:val="20"/>
                <w:szCs w:val="20"/>
              </w:rPr>
              <w:t>-C</w:t>
            </w:r>
            <w:r w:rsidRPr="00640348">
              <w:rPr>
                <w:sz w:val="20"/>
                <w:szCs w:val="20"/>
              </w:rPr>
              <w:t>harter/headboats and excursion boat possession limits extended</w:t>
            </w:r>
            <w:r>
              <w:rPr>
                <w:sz w:val="20"/>
                <w:szCs w:val="20"/>
              </w:rPr>
              <w:t>.</w:t>
            </w:r>
          </w:p>
        </w:tc>
      </w:tr>
      <w:tr w:rsidR="002E3407" w14:paraId="69CA7A01" w14:textId="77777777" w:rsidTr="00EE4E8C">
        <w:trPr>
          <w:cantSplit/>
          <w:trHeight w:val="1232"/>
        </w:trPr>
        <w:tc>
          <w:tcPr>
            <w:tcW w:w="1638" w:type="dxa"/>
            <w:tcBorders>
              <w:bottom w:val="single" w:sz="4" w:space="0" w:color="auto"/>
            </w:tcBorders>
            <w:shd w:val="clear" w:color="auto" w:fill="D9D9D9" w:themeFill="background1" w:themeFillShade="D9"/>
            <w:vAlign w:val="center"/>
          </w:tcPr>
          <w:p w14:paraId="4931754C" w14:textId="77777777" w:rsidR="002E3407" w:rsidRDefault="002E3407" w:rsidP="00EE4E8C">
            <w:pPr>
              <w:jc w:val="center"/>
              <w:rPr>
                <w:sz w:val="20"/>
                <w:szCs w:val="20"/>
              </w:rPr>
            </w:pPr>
            <w:r>
              <w:rPr>
                <w:sz w:val="20"/>
                <w:szCs w:val="20"/>
              </w:rPr>
              <w:lastRenderedPageBreak/>
              <w:t>Amendment #5</w:t>
            </w:r>
          </w:p>
          <w:p w14:paraId="096DBEFA" w14:textId="77777777" w:rsidR="002E3407" w:rsidRDefault="002E3407" w:rsidP="00EE4E8C">
            <w:pPr>
              <w:jc w:val="center"/>
              <w:rPr>
                <w:sz w:val="20"/>
                <w:szCs w:val="20"/>
              </w:rPr>
            </w:pPr>
          </w:p>
          <w:p w14:paraId="5244328B" w14:textId="77777777" w:rsidR="002E3407" w:rsidRPr="00640348" w:rsidRDefault="002E3407" w:rsidP="00EE4E8C">
            <w:pPr>
              <w:jc w:val="center"/>
              <w:rPr>
                <w:sz w:val="20"/>
                <w:szCs w:val="20"/>
              </w:rPr>
            </w:pPr>
            <w:r>
              <w:rPr>
                <w:sz w:val="20"/>
                <w:szCs w:val="20"/>
              </w:rPr>
              <w:t>(1992</w:t>
            </w:r>
            <w:r w:rsidRPr="00640348">
              <w:rPr>
                <w:sz w:val="20"/>
                <w:szCs w:val="20"/>
              </w:rPr>
              <w:t>)</w:t>
            </w:r>
          </w:p>
        </w:tc>
        <w:tc>
          <w:tcPr>
            <w:tcW w:w="1350" w:type="dxa"/>
            <w:tcBorders>
              <w:bottom w:val="single" w:sz="4" w:space="0" w:color="auto"/>
            </w:tcBorders>
            <w:shd w:val="clear" w:color="auto" w:fill="D9D9D9" w:themeFill="background1" w:themeFillShade="D9"/>
            <w:vAlign w:val="center"/>
          </w:tcPr>
          <w:p w14:paraId="1D53E167" w14:textId="77777777" w:rsidR="002E3407" w:rsidRPr="00640348" w:rsidRDefault="002E3407" w:rsidP="00EE4E8C">
            <w:pPr>
              <w:jc w:val="center"/>
              <w:rPr>
                <w:sz w:val="20"/>
                <w:szCs w:val="20"/>
              </w:rPr>
            </w:pPr>
            <w:r w:rsidRPr="00640348">
              <w:rPr>
                <w:sz w:val="20"/>
                <w:szCs w:val="20"/>
              </w:rPr>
              <w:t>04/06/92</w:t>
            </w:r>
          </w:p>
        </w:tc>
        <w:tc>
          <w:tcPr>
            <w:tcW w:w="1620" w:type="dxa"/>
            <w:tcBorders>
              <w:bottom w:val="single" w:sz="4" w:space="0" w:color="auto"/>
            </w:tcBorders>
            <w:shd w:val="clear" w:color="auto" w:fill="D9D9D9" w:themeFill="background1" w:themeFillShade="D9"/>
            <w:vAlign w:val="center"/>
          </w:tcPr>
          <w:p w14:paraId="35FAFD44" w14:textId="77777777" w:rsidR="002E3407" w:rsidRPr="00640348" w:rsidRDefault="002E3407" w:rsidP="00EE4E8C">
            <w:pPr>
              <w:rPr>
                <w:sz w:val="20"/>
                <w:szCs w:val="20"/>
              </w:rPr>
            </w:pPr>
            <w:r w:rsidRPr="00640348">
              <w:rPr>
                <w:sz w:val="20"/>
                <w:szCs w:val="20"/>
              </w:rPr>
              <w:t>PR: 56 FR 57302</w:t>
            </w:r>
          </w:p>
          <w:p w14:paraId="78D2F32A" w14:textId="77777777" w:rsidR="002E3407" w:rsidRPr="00640348" w:rsidRDefault="002E3407" w:rsidP="00EE4E8C">
            <w:pPr>
              <w:rPr>
                <w:sz w:val="20"/>
                <w:szCs w:val="20"/>
              </w:rPr>
            </w:pPr>
            <w:r>
              <w:rPr>
                <w:sz w:val="20"/>
                <w:szCs w:val="20"/>
              </w:rPr>
              <w:t xml:space="preserve">FR: </w:t>
            </w:r>
            <w:r w:rsidRPr="00640348">
              <w:rPr>
                <w:sz w:val="20"/>
                <w:szCs w:val="20"/>
              </w:rPr>
              <w:t>57 FR 7886</w:t>
            </w:r>
          </w:p>
        </w:tc>
        <w:tc>
          <w:tcPr>
            <w:tcW w:w="4590" w:type="dxa"/>
            <w:tcBorders>
              <w:bottom w:val="single" w:sz="4" w:space="0" w:color="auto"/>
            </w:tcBorders>
            <w:shd w:val="clear" w:color="auto" w:fill="D9D9D9" w:themeFill="background1" w:themeFillShade="D9"/>
          </w:tcPr>
          <w:p w14:paraId="4FC78DD0" w14:textId="77777777" w:rsidR="002E3407" w:rsidRDefault="002E3407" w:rsidP="00EE4E8C">
            <w:pPr>
              <w:rPr>
                <w:sz w:val="20"/>
                <w:szCs w:val="20"/>
              </w:rPr>
            </w:pPr>
            <w:r>
              <w:rPr>
                <w:sz w:val="20"/>
                <w:szCs w:val="20"/>
              </w:rPr>
              <w:t xml:space="preserve">For wreckfish: </w:t>
            </w:r>
          </w:p>
          <w:p w14:paraId="359852A2" w14:textId="77777777" w:rsidR="002E3407" w:rsidRDefault="002E3407" w:rsidP="00EE4E8C">
            <w:pPr>
              <w:rPr>
                <w:sz w:val="20"/>
                <w:szCs w:val="20"/>
              </w:rPr>
            </w:pPr>
            <w:r>
              <w:rPr>
                <w:sz w:val="20"/>
                <w:szCs w:val="20"/>
              </w:rPr>
              <w:t>-E</w:t>
            </w:r>
            <w:r w:rsidRPr="00640348">
              <w:rPr>
                <w:sz w:val="20"/>
                <w:szCs w:val="20"/>
              </w:rPr>
              <w:t>stablished limited entry system with individu</w:t>
            </w:r>
            <w:r>
              <w:rPr>
                <w:sz w:val="20"/>
                <w:szCs w:val="20"/>
              </w:rPr>
              <w:t xml:space="preserve">al transferable quotas (ITQs); </w:t>
            </w:r>
          </w:p>
          <w:p w14:paraId="2FA6E42C" w14:textId="77777777" w:rsidR="002E3407" w:rsidRDefault="002E3407" w:rsidP="00EE4E8C">
            <w:pPr>
              <w:rPr>
                <w:sz w:val="20"/>
                <w:szCs w:val="20"/>
              </w:rPr>
            </w:pPr>
            <w:r>
              <w:rPr>
                <w:sz w:val="20"/>
                <w:szCs w:val="20"/>
              </w:rPr>
              <w:t>-R</w:t>
            </w:r>
            <w:r w:rsidRPr="00640348">
              <w:rPr>
                <w:sz w:val="20"/>
                <w:szCs w:val="20"/>
              </w:rPr>
              <w:t xml:space="preserve">equired dealer to have </w:t>
            </w:r>
            <w:r>
              <w:rPr>
                <w:sz w:val="20"/>
                <w:szCs w:val="20"/>
              </w:rPr>
              <w:t xml:space="preserve">permit; </w:t>
            </w:r>
          </w:p>
          <w:p w14:paraId="308C453A" w14:textId="77777777" w:rsidR="002E3407" w:rsidRDefault="002E3407" w:rsidP="00EE4E8C">
            <w:pPr>
              <w:rPr>
                <w:sz w:val="20"/>
                <w:szCs w:val="20"/>
              </w:rPr>
            </w:pPr>
            <w:r>
              <w:rPr>
                <w:sz w:val="20"/>
                <w:szCs w:val="20"/>
              </w:rPr>
              <w:t>-R</w:t>
            </w:r>
            <w:r w:rsidRPr="00640348">
              <w:rPr>
                <w:sz w:val="20"/>
                <w:szCs w:val="20"/>
              </w:rPr>
              <w:t>e</w:t>
            </w:r>
            <w:r>
              <w:rPr>
                <w:sz w:val="20"/>
                <w:szCs w:val="20"/>
              </w:rPr>
              <w:t xml:space="preserve">scinded 10,000 lb. trip limit; </w:t>
            </w:r>
          </w:p>
          <w:p w14:paraId="1048825D" w14:textId="77777777" w:rsidR="002E3407" w:rsidRDefault="002E3407" w:rsidP="00EE4E8C">
            <w:pPr>
              <w:rPr>
                <w:sz w:val="20"/>
                <w:szCs w:val="20"/>
              </w:rPr>
            </w:pPr>
            <w:r>
              <w:rPr>
                <w:sz w:val="20"/>
                <w:szCs w:val="20"/>
              </w:rPr>
              <w:t>-R</w:t>
            </w:r>
            <w:r w:rsidRPr="00640348">
              <w:rPr>
                <w:sz w:val="20"/>
                <w:szCs w:val="20"/>
              </w:rPr>
              <w:t xml:space="preserve">equired off-loading between 8 am and 5 pm; </w:t>
            </w:r>
          </w:p>
          <w:p w14:paraId="48BDD76B" w14:textId="77777777" w:rsidR="002E3407" w:rsidRDefault="002E3407" w:rsidP="00EE4E8C">
            <w:pPr>
              <w:rPr>
                <w:sz w:val="20"/>
                <w:szCs w:val="20"/>
              </w:rPr>
            </w:pPr>
            <w:r>
              <w:rPr>
                <w:sz w:val="20"/>
                <w:szCs w:val="20"/>
              </w:rPr>
              <w:t>-R</w:t>
            </w:r>
            <w:r w:rsidRPr="00640348">
              <w:rPr>
                <w:sz w:val="20"/>
                <w:szCs w:val="20"/>
              </w:rPr>
              <w:t>educed occasions when 24-hour advance notice of offloa</w:t>
            </w:r>
            <w:r>
              <w:rPr>
                <w:sz w:val="20"/>
                <w:szCs w:val="20"/>
              </w:rPr>
              <w:t xml:space="preserve">ding required for off-loading; </w:t>
            </w:r>
          </w:p>
          <w:p w14:paraId="35FDEF1A" w14:textId="77777777" w:rsidR="002E3407" w:rsidRPr="00640348" w:rsidRDefault="002E3407" w:rsidP="00EE4E8C">
            <w:pPr>
              <w:rPr>
                <w:sz w:val="20"/>
                <w:szCs w:val="20"/>
              </w:rPr>
            </w:pPr>
            <w:r>
              <w:rPr>
                <w:sz w:val="20"/>
                <w:szCs w:val="20"/>
              </w:rPr>
              <w:t>-E</w:t>
            </w:r>
            <w:r w:rsidRPr="00640348">
              <w:rPr>
                <w:sz w:val="20"/>
                <w:szCs w:val="20"/>
              </w:rPr>
              <w:t>stablished procedure for initial distribution of percentage shares of total allowable catch (TAC)</w:t>
            </w:r>
            <w:r>
              <w:rPr>
                <w:sz w:val="20"/>
                <w:szCs w:val="20"/>
              </w:rPr>
              <w:t>.</w:t>
            </w:r>
          </w:p>
        </w:tc>
      </w:tr>
      <w:tr w:rsidR="002E3407" w14:paraId="41F8D61E" w14:textId="77777777" w:rsidTr="00EE4E8C">
        <w:trPr>
          <w:cantSplit/>
          <w:trHeight w:val="680"/>
        </w:trPr>
        <w:tc>
          <w:tcPr>
            <w:tcW w:w="1638" w:type="dxa"/>
            <w:tcBorders>
              <w:bottom w:val="single" w:sz="4" w:space="0" w:color="auto"/>
            </w:tcBorders>
            <w:vAlign w:val="center"/>
          </w:tcPr>
          <w:p w14:paraId="17B77619" w14:textId="77777777" w:rsidR="002E3407" w:rsidRPr="00640348" w:rsidRDefault="002E3407" w:rsidP="00EE4E8C">
            <w:pPr>
              <w:jc w:val="center"/>
              <w:rPr>
                <w:sz w:val="20"/>
                <w:szCs w:val="20"/>
              </w:rPr>
            </w:pPr>
            <w:r w:rsidRPr="00640348">
              <w:rPr>
                <w:sz w:val="20"/>
                <w:szCs w:val="20"/>
              </w:rPr>
              <w:t>Emergency Rule</w:t>
            </w:r>
          </w:p>
        </w:tc>
        <w:tc>
          <w:tcPr>
            <w:tcW w:w="1350" w:type="dxa"/>
            <w:tcBorders>
              <w:bottom w:val="single" w:sz="4" w:space="0" w:color="auto"/>
            </w:tcBorders>
            <w:vAlign w:val="center"/>
          </w:tcPr>
          <w:p w14:paraId="743A489D" w14:textId="77777777" w:rsidR="002E3407" w:rsidRPr="00640348" w:rsidRDefault="002E3407" w:rsidP="00EE4E8C">
            <w:pPr>
              <w:jc w:val="center"/>
              <w:rPr>
                <w:sz w:val="20"/>
                <w:szCs w:val="20"/>
              </w:rPr>
            </w:pPr>
            <w:r w:rsidRPr="00640348">
              <w:rPr>
                <w:sz w:val="20"/>
                <w:szCs w:val="20"/>
              </w:rPr>
              <w:t>8/31/92</w:t>
            </w:r>
          </w:p>
        </w:tc>
        <w:tc>
          <w:tcPr>
            <w:tcW w:w="1620" w:type="dxa"/>
            <w:tcBorders>
              <w:bottom w:val="single" w:sz="4" w:space="0" w:color="auto"/>
            </w:tcBorders>
            <w:vAlign w:val="center"/>
          </w:tcPr>
          <w:p w14:paraId="7B009D54" w14:textId="77777777" w:rsidR="002E3407" w:rsidRPr="00640348" w:rsidRDefault="002E3407" w:rsidP="00EE4E8C">
            <w:pPr>
              <w:rPr>
                <w:sz w:val="20"/>
                <w:szCs w:val="20"/>
              </w:rPr>
            </w:pPr>
            <w:r w:rsidRPr="00640348">
              <w:rPr>
                <w:sz w:val="20"/>
                <w:szCs w:val="20"/>
              </w:rPr>
              <w:t>57 FR 39365</w:t>
            </w:r>
          </w:p>
        </w:tc>
        <w:tc>
          <w:tcPr>
            <w:tcW w:w="4590" w:type="dxa"/>
            <w:tcBorders>
              <w:bottom w:val="single" w:sz="4" w:space="0" w:color="auto"/>
            </w:tcBorders>
          </w:tcPr>
          <w:p w14:paraId="61A087BD" w14:textId="77777777" w:rsidR="002E3407" w:rsidRDefault="002E3407" w:rsidP="00EE4E8C">
            <w:pPr>
              <w:rPr>
                <w:sz w:val="20"/>
                <w:szCs w:val="20"/>
              </w:rPr>
            </w:pPr>
            <w:r>
              <w:rPr>
                <w:sz w:val="20"/>
                <w:szCs w:val="20"/>
              </w:rPr>
              <w:t>For B</w:t>
            </w:r>
            <w:r w:rsidRPr="00640348">
              <w:rPr>
                <w:sz w:val="20"/>
                <w:szCs w:val="20"/>
              </w:rPr>
              <w:t xml:space="preserve">lack Sea Bass (bsb):  </w:t>
            </w:r>
          </w:p>
          <w:p w14:paraId="668450F9" w14:textId="77777777" w:rsidR="002E3407" w:rsidRDefault="002E3407" w:rsidP="00EE4E8C">
            <w:pPr>
              <w:rPr>
                <w:sz w:val="20"/>
                <w:szCs w:val="20"/>
              </w:rPr>
            </w:pPr>
            <w:r>
              <w:rPr>
                <w:sz w:val="20"/>
                <w:szCs w:val="20"/>
              </w:rPr>
              <w:t xml:space="preserve">-Modified definition of bsb pot; </w:t>
            </w:r>
          </w:p>
          <w:p w14:paraId="7D234F33" w14:textId="77777777" w:rsidR="002E3407" w:rsidRDefault="002E3407" w:rsidP="00EE4E8C">
            <w:pPr>
              <w:rPr>
                <w:sz w:val="20"/>
                <w:szCs w:val="20"/>
              </w:rPr>
            </w:pPr>
            <w:r>
              <w:rPr>
                <w:sz w:val="20"/>
                <w:szCs w:val="20"/>
              </w:rPr>
              <w:t>-A</w:t>
            </w:r>
            <w:r w:rsidRPr="00640348">
              <w:rPr>
                <w:sz w:val="20"/>
                <w:szCs w:val="20"/>
              </w:rPr>
              <w:t>ll</w:t>
            </w:r>
            <w:r>
              <w:rPr>
                <w:sz w:val="20"/>
                <w:szCs w:val="20"/>
              </w:rPr>
              <w:t xml:space="preserve">owed multi-gear trips for bsb; </w:t>
            </w:r>
          </w:p>
          <w:p w14:paraId="4EA24333" w14:textId="77777777" w:rsidR="002E3407" w:rsidRPr="00640348" w:rsidRDefault="002E3407" w:rsidP="00EE4E8C">
            <w:pPr>
              <w:rPr>
                <w:sz w:val="20"/>
                <w:szCs w:val="20"/>
              </w:rPr>
            </w:pPr>
            <w:r>
              <w:rPr>
                <w:sz w:val="20"/>
                <w:szCs w:val="20"/>
              </w:rPr>
              <w:t>-A</w:t>
            </w:r>
            <w:r w:rsidRPr="00640348">
              <w:rPr>
                <w:sz w:val="20"/>
                <w:szCs w:val="20"/>
              </w:rPr>
              <w:t>llowed retention of incidentally-caught fish on bsb trips</w:t>
            </w:r>
            <w:r>
              <w:rPr>
                <w:sz w:val="20"/>
                <w:szCs w:val="20"/>
              </w:rPr>
              <w:t>.</w:t>
            </w:r>
          </w:p>
        </w:tc>
      </w:tr>
      <w:tr w:rsidR="002E3407" w14:paraId="55C184CD" w14:textId="77777777" w:rsidTr="00EE4E8C">
        <w:trPr>
          <w:cantSplit/>
          <w:trHeight w:val="680"/>
        </w:trPr>
        <w:tc>
          <w:tcPr>
            <w:tcW w:w="1638" w:type="dxa"/>
            <w:tcBorders>
              <w:bottom w:val="single" w:sz="4" w:space="0" w:color="auto"/>
            </w:tcBorders>
            <w:vAlign w:val="center"/>
          </w:tcPr>
          <w:p w14:paraId="023B0788" w14:textId="77777777" w:rsidR="002E3407" w:rsidRPr="00640348" w:rsidRDefault="002E3407" w:rsidP="00EE4E8C">
            <w:pPr>
              <w:jc w:val="center"/>
              <w:rPr>
                <w:sz w:val="20"/>
                <w:szCs w:val="20"/>
              </w:rPr>
            </w:pPr>
            <w:r w:rsidRPr="00640348">
              <w:rPr>
                <w:sz w:val="20"/>
                <w:szCs w:val="20"/>
              </w:rPr>
              <w:t>Emergency Rule Extension</w:t>
            </w:r>
          </w:p>
        </w:tc>
        <w:tc>
          <w:tcPr>
            <w:tcW w:w="1350" w:type="dxa"/>
            <w:tcBorders>
              <w:bottom w:val="single" w:sz="4" w:space="0" w:color="auto"/>
            </w:tcBorders>
            <w:vAlign w:val="center"/>
          </w:tcPr>
          <w:p w14:paraId="2D9C9C96" w14:textId="77777777" w:rsidR="002E3407" w:rsidRPr="00640348" w:rsidRDefault="002E3407" w:rsidP="00EE4E8C">
            <w:pPr>
              <w:jc w:val="center"/>
              <w:rPr>
                <w:sz w:val="20"/>
                <w:szCs w:val="20"/>
              </w:rPr>
            </w:pPr>
            <w:r w:rsidRPr="00640348">
              <w:rPr>
                <w:sz w:val="20"/>
                <w:szCs w:val="20"/>
              </w:rPr>
              <w:t>11/30/92</w:t>
            </w:r>
          </w:p>
        </w:tc>
        <w:tc>
          <w:tcPr>
            <w:tcW w:w="1620" w:type="dxa"/>
            <w:tcBorders>
              <w:bottom w:val="single" w:sz="4" w:space="0" w:color="auto"/>
            </w:tcBorders>
            <w:vAlign w:val="center"/>
          </w:tcPr>
          <w:p w14:paraId="6C2FF877" w14:textId="77777777" w:rsidR="002E3407" w:rsidRPr="00640348" w:rsidRDefault="002E3407" w:rsidP="00EE4E8C">
            <w:pPr>
              <w:rPr>
                <w:sz w:val="20"/>
                <w:szCs w:val="20"/>
              </w:rPr>
            </w:pPr>
            <w:r w:rsidRPr="00640348">
              <w:rPr>
                <w:sz w:val="20"/>
                <w:szCs w:val="20"/>
              </w:rPr>
              <w:t>57 FR 56522</w:t>
            </w:r>
          </w:p>
        </w:tc>
        <w:tc>
          <w:tcPr>
            <w:tcW w:w="4590" w:type="dxa"/>
            <w:tcBorders>
              <w:bottom w:val="single" w:sz="4" w:space="0" w:color="auto"/>
            </w:tcBorders>
          </w:tcPr>
          <w:p w14:paraId="075BD323" w14:textId="77777777" w:rsidR="002E3407" w:rsidRDefault="002E3407" w:rsidP="00EE4E8C">
            <w:pPr>
              <w:rPr>
                <w:sz w:val="20"/>
                <w:szCs w:val="20"/>
              </w:rPr>
            </w:pPr>
            <w:r>
              <w:rPr>
                <w:sz w:val="20"/>
                <w:szCs w:val="20"/>
              </w:rPr>
              <w:t xml:space="preserve">For </w:t>
            </w:r>
            <w:r w:rsidRPr="00640348">
              <w:rPr>
                <w:sz w:val="20"/>
                <w:szCs w:val="20"/>
              </w:rPr>
              <w:t xml:space="preserve">Black Sea Bass:  </w:t>
            </w:r>
          </w:p>
          <w:p w14:paraId="68BF9A63" w14:textId="77777777" w:rsidR="002E3407" w:rsidRDefault="002E3407" w:rsidP="00EE4E8C">
            <w:pPr>
              <w:rPr>
                <w:sz w:val="20"/>
                <w:szCs w:val="20"/>
              </w:rPr>
            </w:pPr>
            <w:r>
              <w:rPr>
                <w:sz w:val="20"/>
                <w:szCs w:val="20"/>
              </w:rPr>
              <w:t xml:space="preserve">-Modified definition of bsb pot; </w:t>
            </w:r>
          </w:p>
          <w:p w14:paraId="1992BC68" w14:textId="77777777" w:rsidR="002E3407" w:rsidRDefault="002E3407" w:rsidP="00EE4E8C">
            <w:pPr>
              <w:rPr>
                <w:sz w:val="20"/>
                <w:szCs w:val="20"/>
              </w:rPr>
            </w:pPr>
            <w:r>
              <w:rPr>
                <w:sz w:val="20"/>
                <w:szCs w:val="20"/>
              </w:rPr>
              <w:t>-A</w:t>
            </w:r>
            <w:r w:rsidRPr="00640348">
              <w:rPr>
                <w:sz w:val="20"/>
                <w:szCs w:val="20"/>
              </w:rPr>
              <w:t>ll</w:t>
            </w:r>
            <w:r>
              <w:rPr>
                <w:sz w:val="20"/>
                <w:szCs w:val="20"/>
              </w:rPr>
              <w:t xml:space="preserve">owed multi-gear trips for bsb; </w:t>
            </w:r>
          </w:p>
          <w:p w14:paraId="2D529F99" w14:textId="77777777" w:rsidR="002E3407" w:rsidRPr="00640348" w:rsidRDefault="002E3407" w:rsidP="00EE4E8C">
            <w:pPr>
              <w:rPr>
                <w:sz w:val="20"/>
                <w:szCs w:val="20"/>
              </w:rPr>
            </w:pPr>
            <w:r>
              <w:rPr>
                <w:sz w:val="20"/>
                <w:szCs w:val="20"/>
              </w:rPr>
              <w:t>-A</w:t>
            </w:r>
            <w:r w:rsidRPr="00640348">
              <w:rPr>
                <w:sz w:val="20"/>
                <w:szCs w:val="20"/>
              </w:rPr>
              <w:t>llowed retention of incidentally-caught fish on bsb trips</w:t>
            </w:r>
            <w:r>
              <w:rPr>
                <w:sz w:val="20"/>
                <w:szCs w:val="20"/>
              </w:rPr>
              <w:t>.</w:t>
            </w:r>
          </w:p>
        </w:tc>
      </w:tr>
      <w:tr w:rsidR="002E3407" w14:paraId="3D9DDB85" w14:textId="77777777" w:rsidTr="00EE4E8C">
        <w:trPr>
          <w:cantSplit/>
          <w:trHeight w:val="680"/>
        </w:trPr>
        <w:tc>
          <w:tcPr>
            <w:tcW w:w="1638" w:type="dxa"/>
            <w:tcBorders>
              <w:bottom w:val="single" w:sz="4" w:space="0" w:color="auto"/>
            </w:tcBorders>
            <w:vAlign w:val="center"/>
          </w:tcPr>
          <w:p w14:paraId="7C108C9A" w14:textId="77777777" w:rsidR="002E3407" w:rsidRDefault="002E3407" w:rsidP="00EE4E8C">
            <w:pPr>
              <w:jc w:val="center"/>
              <w:rPr>
                <w:sz w:val="20"/>
                <w:szCs w:val="20"/>
              </w:rPr>
            </w:pPr>
            <w:r>
              <w:rPr>
                <w:sz w:val="20"/>
                <w:szCs w:val="20"/>
              </w:rPr>
              <w:lastRenderedPageBreak/>
              <w:t>Regulatory Amendment #4</w:t>
            </w:r>
          </w:p>
          <w:p w14:paraId="21EEF1E0" w14:textId="77777777" w:rsidR="002E3407" w:rsidRDefault="002E3407" w:rsidP="00EE4E8C">
            <w:pPr>
              <w:jc w:val="center"/>
              <w:rPr>
                <w:sz w:val="20"/>
                <w:szCs w:val="20"/>
              </w:rPr>
            </w:pPr>
          </w:p>
          <w:p w14:paraId="66C1D0A6" w14:textId="77777777" w:rsidR="002E3407" w:rsidRPr="00640348" w:rsidRDefault="002E3407" w:rsidP="00EE4E8C">
            <w:pPr>
              <w:jc w:val="center"/>
              <w:rPr>
                <w:sz w:val="20"/>
                <w:szCs w:val="20"/>
              </w:rPr>
            </w:pPr>
            <w:r>
              <w:rPr>
                <w:sz w:val="20"/>
                <w:szCs w:val="20"/>
              </w:rPr>
              <w:t>(1992</w:t>
            </w:r>
            <w:r w:rsidRPr="00640348">
              <w:rPr>
                <w:sz w:val="20"/>
                <w:szCs w:val="20"/>
              </w:rPr>
              <w:t>)</w:t>
            </w:r>
          </w:p>
        </w:tc>
        <w:tc>
          <w:tcPr>
            <w:tcW w:w="1350" w:type="dxa"/>
            <w:tcBorders>
              <w:bottom w:val="single" w:sz="4" w:space="0" w:color="auto"/>
            </w:tcBorders>
            <w:vAlign w:val="center"/>
          </w:tcPr>
          <w:p w14:paraId="346E6BF0" w14:textId="77777777" w:rsidR="002E3407" w:rsidRPr="00640348" w:rsidRDefault="002E3407" w:rsidP="00EE4E8C">
            <w:pPr>
              <w:jc w:val="center"/>
              <w:rPr>
                <w:sz w:val="20"/>
                <w:szCs w:val="20"/>
              </w:rPr>
            </w:pPr>
            <w:r w:rsidRPr="00640348">
              <w:rPr>
                <w:sz w:val="20"/>
                <w:szCs w:val="20"/>
              </w:rPr>
              <w:t>07/06/93</w:t>
            </w:r>
          </w:p>
        </w:tc>
        <w:tc>
          <w:tcPr>
            <w:tcW w:w="1620" w:type="dxa"/>
            <w:tcBorders>
              <w:bottom w:val="single" w:sz="4" w:space="0" w:color="auto"/>
            </w:tcBorders>
            <w:vAlign w:val="center"/>
          </w:tcPr>
          <w:p w14:paraId="0B2FA4CA" w14:textId="77777777" w:rsidR="002E3407" w:rsidRPr="00640348" w:rsidRDefault="002E3407" w:rsidP="00EE4E8C">
            <w:pPr>
              <w:rPr>
                <w:sz w:val="20"/>
                <w:szCs w:val="20"/>
              </w:rPr>
            </w:pPr>
            <w:r>
              <w:rPr>
                <w:sz w:val="20"/>
                <w:szCs w:val="20"/>
              </w:rPr>
              <w:t xml:space="preserve">FR: </w:t>
            </w:r>
            <w:r w:rsidRPr="00640348">
              <w:rPr>
                <w:sz w:val="20"/>
                <w:szCs w:val="20"/>
              </w:rPr>
              <w:t>58 FR 36155</w:t>
            </w:r>
          </w:p>
        </w:tc>
        <w:tc>
          <w:tcPr>
            <w:tcW w:w="4590" w:type="dxa"/>
            <w:tcBorders>
              <w:bottom w:val="single" w:sz="4" w:space="0" w:color="auto"/>
            </w:tcBorders>
          </w:tcPr>
          <w:p w14:paraId="3DD1A19D" w14:textId="77777777" w:rsidR="002E3407" w:rsidRDefault="002E3407" w:rsidP="00EE4E8C">
            <w:pPr>
              <w:rPr>
                <w:sz w:val="20"/>
                <w:szCs w:val="20"/>
              </w:rPr>
            </w:pPr>
            <w:r w:rsidRPr="00640348">
              <w:rPr>
                <w:sz w:val="20"/>
                <w:szCs w:val="20"/>
              </w:rPr>
              <w:t>-</w:t>
            </w:r>
            <w:r>
              <w:rPr>
                <w:sz w:val="20"/>
                <w:szCs w:val="20"/>
              </w:rPr>
              <w:t xml:space="preserve">For </w:t>
            </w:r>
            <w:r w:rsidRPr="00640348">
              <w:rPr>
                <w:sz w:val="20"/>
                <w:szCs w:val="20"/>
              </w:rPr>
              <w:t xml:space="preserve">Black Sea Bass:  </w:t>
            </w:r>
          </w:p>
          <w:p w14:paraId="2E31E1C6" w14:textId="77777777" w:rsidR="002E3407" w:rsidRDefault="002E3407" w:rsidP="00EE4E8C">
            <w:pPr>
              <w:rPr>
                <w:sz w:val="20"/>
                <w:szCs w:val="20"/>
              </w:rPr>
            </w:pPr>
            <w:r>
              <w:rPr>
                <w:sz w:val="20"/>
                <w:szCs w:val="20"/>
              </w:rPr>
              <w:t xml:space="preserve">-Modified definition of bsb pot; </w:t>
            </w:r>
          </w:p>
          <w:p w14:paraId="4AAF2552" w14:textId="77777777" w:rsidR="002E3407" w:rsidRDefault="002E3407" w:rsidP="00EE4E8C">
            <w:pPr>
              <w:rPr>
                <w:sz w:val="20"/>
                <w:szCs w:val="20"/>
              </w:rPr>
            </w:pPr>
            <w:r>
              <w:rPr>
                <w:sz w:val="20"/>
                <w:szCs w:val="20"/>
              </w:rPr>
              <w:t>-A</w:t>
            </w:r>
            <w:r w:rsidRPr="00640348">
              <w:rPr>
                <w:sz w:val="20"/>
                <w:szCs w:val="20"/>
              </w:rPr>
              <w:t>ll</w:t>
            </w:r>
            <w:r>
              <w:rPr>
                <w:sz w:val="20"/>
                <w:szCs w:val="20"/>
              </w:rPr>
              <w:t xml:space="preserve">owed multi-gear trips for bsb; </w:t>
            </w:r>
          </w:p>
          <w:p w14:paraId="3C37A410" w14:textId="77777777" w:rsidR="002E3407" w:rsidRPr="00640348" w:rsidRDefault="002E3407" w:rsidP="00EE4E8C">
            <w:pPr>
              <w:rPr>
                <w:sz w:val="20"/>
                <w:szCs w:val="20"/>
              </w:rPr>
            </w:pPr>
            <w:r>
              <w:rPr>
                <w:sz w:val="20"/>
                <w:szCs w:val="20"/>
              </w:rPr>
              <w:t>-A</w:t>
            </w:r>
            <w:r w:rsidRPr="00640348">
              <w:rPr>
                <w:sz w:val="20"/>
                <w:szCs w:val="20"/>
              </w:rPr>
              <w:t>llowed retention of incidentally-caught fish on bsb trips</w:t>
            </w:r>
            <w:r>
              <w:rPr>
                <w:sz w:val="20"/>
                <w:szCs w:val="20"/>
              </w:rPr>
              <w:t>.</w:t>
            </w:r>
          </w:p>
        </w:tc>
      </w:tr>
      <w:tr w:rsidR="002E3407" w14:paraId="3C702F84" w14:textId="77777777" w:rsidTr="00EE4E8C">
        <w:tc>
          <w:tcPr>
            <w:tcW w:w="1638" w:type="dxa"/>
            <w:vAlign w:val="center"/>
          </w:tcPr>
          <w:p w14:paraId="6BFB51C2" w14:textId="77777777" w:rsidR="002E3407" w:rsidRDefault="002E3407" w:rsidP="00EE4E8C">
            <w:pPr>
              <w:jc w:val="center"/>
              <w:rPr>
                <w:sz w:val="20"/>
                <w:szCs w:val="20"/>
              </w:rPr>
            </w:pPr>
            <w:r>
              <w:rPr>
                <w:sz w:val="20"/>
                <w:szCs w:val="20"/>
              </w:rPr>
              <w:t>Regulatory Amendment #5</w:t>
            </w:r>
          </w:p>
          <w:p w14:paraId="237C7484" w14:textId="77777777" w:rsidR="002E3407" w:rsidRDefault="002E3407" w:rsidP="00EE4E8C">
            <w:pPr>
              <w:jc w:val="center"/>
              <w:rPr>
                <w:sz w:val="20"/>
                <w:szCs w:val="20"/>
              </w:rPr>
            </w:pPr>
          </w:p>
          <w:p w14:paraId="788EBB4D" w14:textId="77777777" w:rsidR="002E3407" w:rsidRPr="00640348" w:rsidRDefault="002E3407" w:rsidP="00EE4E8C">
            <w:pPr>
              <w:jc w:val="center"/>
              <w:rPr>
                <w:sz w:val="20"/>
                <w:szCs w:val="20"/>
              </w:rPr>
            </w:pPr>
            <w:r>
              <w:rPr>
                <w:sz w:val="20"/>
                <w:szCs w:val="20"/>
              </w:rPr>
              <w:t>(1992</w:t>
            </w:r>
            <w:r w:rsidRPr="00640348">
              <w:rPr>
                <w:sz w:val="20"/>
                <w:szCs w:val="20"/>
              </w:rPr>
              <w:t>)</w:t>
            </w:r>
          </w:p>
        </w:tc>
        <w:tc>
          <w:tcPr>
            <w:tcW w:w="1350" w:type="dxa"/>
            <w:vAlign w:val="center"/>
          </w:tcPr>
          <w:p w14:paraId="16B46087" w14:textId="77777777" w:rsidR="002E3407" w:rsidRPr="00640348" w:rsidRDefault="002E3407" w:rsidP="00EE4E8C">
            <w:pPr>
              <w:jc w:val="center"/>
              <w:rPr>
                <w:sz w:val="20"/>
                <w:szCs w:val="20"/>
              </w:rPr>
            </w:pPr>
            <w:r w:rsidRPr="00640348">
              <w:rPr>
                <w:sz w:val="20"/>
                <w:szCs w:val="20"/>
              </w:rPr>
              <w:t>07/31/93</w:t>
            </w:r>
          </w:p>
        </w:tc>
        <w:tc>
          <w:tcPr>
            <w:tcW w:w="1620" w:type="dxa"/>
            <w:vAlign w:val="center"/>
          </w:tcPr>
          <w:p w14:paraId="20E7CFB8" w14:textId="77777777" w:rsidR="002E3407" w:rsidRPr="00640348" w:rsidRDefault="002E3407" w:rsidP="00EE4E8C">
            <w:pPr>
              <w:rPr>
                <w:sz w:val="20"/>
                <w:szCs w:val="20"/>
              </w:rPr>
            </w:pPr>
            <w:r w:rsidRPr="00640348">
              <w:rPr>
                <w:sz w:val="20"/>
                <w:szCs w:val="20"/>
              </w:rPr>
              <w:t>PR: 58 FR 13732</w:t>
            </w:r>
          </w:p>
          <w:p w14:paraId="781893EA" w14:textId="77777777" w:rsidR="002E3407" w:rsidRPr="00640348" w:rsidRDefault="002E3407" w:rsidP="00EE4E8C">
            <w:pPr>
              <w:rPr>
                <w:sz w:val="20"/>
                <w:szCs w:val="20"/>
              </w:rPr>
            </w:pPr>
            <w:r>
              <w:rPr>
                <w:sz w:val="20"/>
                <w:szCs w:val="20"/>
              </w:rPr>
              <w:t xml:space="preserve">FR: </w:t>
            </w:r>
            <w:r w:rsidRPr="00640348">
              <w:rPr>
                <w:sz w:val="20"/>
                <w:szCs w:val="20"/>
              </w:rPr>
              <w:t>58 FR 35895</w:t>
            </w:r>
          </w:p>
        </w:tc>
        <w:tc>
          <w:tcPr>
            <w:tcW w:w="4590" w:type="dxa"/>
          </w:tcPr>
          <w:p w14:paraId="61EF828C" w14:textId="77777777" w:rsidR="002E3407" w:rsidRPr="00640348" w:rsidRDefault="002E3407" w:rsidP="00EE4E8C">
            <w:pPr>
              <w:rPr>
                <w:sz w:val="20"/>
                <w:szCs w:val="20"/>
              </w:rPr>
            </w:pPr>
            <w:r>
              <w:rPr>
                <w:sz w:val="20"/>
                <w:szCs w:val="20"/>
              </w:rPr>
              <w:t>-Established 8 SMZs off South</w:t>
            </w:r>
            <w:r w:rsidRPr="00640348">
              <w:rPr>
                <w:sz w:val="20"/>
                <w:szCs w:val="20"/>
              </w:rPr>
              <w:t xml:space="preserve"> Carolina, where only hand-held, hook-and-line gear and spearfishing (excluding powerheads) was allowed</w:t>
            </w:r>
            <w:r>
              <w:rPr>
                <w:sz w:val="20"/>
                <w:szCs w:val="20"/>
              </w:rPr>
              <w:t>.</w:t>
            </w:r>
          </w:p>
        </w:tc>
      </w:tr>
      <w:tr w:rsidR="002E3407" w14:paraId="37BE02B5" w14:textId="77777777" w:rsidTr="00EE4E8C">
        <w:trPr>
          <w:cantSplit/>
          <w:trHeight w:val="1370"/>
        </w:trPr>
        <w:tc>
          <w:tcPr>
            <w:tcW w:w="1638" w:type="dxa"/>
            <w:tcBorders>
              <w:bottom w:val="single" w:sz="4" w:space="0" w:color="auto"/>
            </w:tcBorders>
            <w:shd w:val="clear" w:color="auto" w:fill="D9D9D9" w:themeFill="background1" w:themeFillShade="D9"/>
            <w:vAlign w:val="center"/>
          </w:tcPr>
          <w:p w14:paraId="36DBC20E" w14:textId="77777777" w:rsidR="002E3407" w:rsidRDefault="002E3407" w:rsidP="00EE4E8C">
            <w:pPr>
              <w:jc w:val="center"/>
              <w:rPr>
                <w:sz w:val="20"/>
                <w:szCs w:val="20"/>
              </w:rPr>
            </w:pPr>
            <w:r>
              <w:rPr>
                <w:sz w:val="20"/>
                <w:szCs w:val="20"/>
              </w:rPr>
              <w:t>Amendment #6</w:t>
            </w:r>
          </w:p>
          <w:p w14:paraId="27B06A87" w14:textId="77777777" w:rsidR="002E3407" w:rsidRDefault="002E3407" w:rsidP="00EE4E8C">
            <w:pPr>
              <w:jc w:val="center"/>
              <w:rPr>
                <w:sz w:val="20"/>
                <w:szCs w:val="20"/>
              </w:rPr>
            </w:pPr>
          </w:p>
          <w:p w14:paraId="35F395E9" w14:textId="77777777" w:rsidR="002E3407" w:rsidRPr="00640348" w:rsidRDefault="002E3407" w:rsidP="00EE4E8C">
            <w:pPr>
              <w:jc w:val="center"/>
              <w:rPr>
                <w:sz w:val="20"/>
                <w:szCs w:val="20"/>
              </w:rPr>
            </w:pPr>
            <w:r>
              <w:rPr>
                <w:sz w:val="20"/>
                <w:szCs w:val="20"/>
              </w:rPr>
              <w:t>(</w:t>
            </w:r>
            <w:r w:rsidRPr="00640348">
              <w:rPr>
                <w:sz w:val="20"/>
                <w:szCs w:val="20"/>
              </w:rPr>
              <w:t>1993)</w:t>
            </w:r>
          </w:p>
        </w:tc>
        <w:tc>
          <w:tcPr>
            <w:tcW w:w="1350" w:type="dxa"/>
            <w:tcBorders>
              <w:bottom w:val="single" w:sz="4" w:space="0" w:color="auto"/>
            </w:tcBorders>
            <w:shd w:val="clear" w:color="auto" w:fill="D9D9D9" w:themeFill="background1" w:themeFillShade="D9"/>
            <w:vAlign w:val="center"/>
          </w:tcPr>
          <w:p w14:paraId="5CCACF74" w14:textId="77777777" w:rsidR="002E3407" w:rsidRPr="00640348" w:rsidRDefault="002E3407" w:rsidP="00EE4E8C">
            <w:pPr>
              <w:jc w:val="center"/>
              <w:rPr>
                <w:sz w:val="20"/>
                <w:szCs w:val="20"/>
              </w:rPr>
            </w:pPr>
            <w:r w:rsidRPr="00640348">
              <w:rPr>
                <w:sz w:val="20"/>
                <w:szCs w:val="20"/>
              </w:rPr>
              <w:t>07/27/94</w:t>
            </w:r>
          </w:p>
        </w:tc>
        <w:tc>
          <w:tcPr>
            <w:tcW w:w="1620" w:type="dxa"/>
            <w:tcBorders>
              <w:bottom w:val="single" w:sz="4" w:space="0" w:color="auto"/>
            </w:tcBorders>
            <w:shd w:val="clear" w:color="auto" w:fill="D9D9D9" w:themeFill="background1" w:themeFillShade="D9"/>
            <w:vAlign w:val="center"/>
          </w:tcPr>
          <w:p w14:paraId="6B857DBD" w14:textId="77777777" w:rsidR="002E3407" w:rsidRPr="00640348" w:rsidRDefault="002E3407" w:rsidP="00EE4E8C">
            <w:pPr>
              <w:rPr>
                <w:sz w:val="20"/>
                <w:szCs w:val="20"/>
              </w:rPr>
            </w:pPr>
            <w:r w:rsidRPr="00640348">
              <w:rPr>
                <w:sz w:val="20"/>
                <w:szCs w:val="20"/>
              </w:rPr>
              <w:t>PR: 59 FR 9721</w:t>
            </w:r>
          </w:p>
          <w:p w14:paraId="7B35AB60" w14:textId="77777777" w:rsidR="002E3407" w:rsidRPr="00640348" w:rsidRDefault="002E3407" w:rsidP="00EE4E8C">
            <w:pPr>
              <w:rPr>
                <w:sz w:val="20"/>
                <w:szCs w:val="20"/>
              </w:rPr>
            </w:pPr>
            <w:r>
              <w:rPr>
                <w:sz w:val="20"/>
                <w:szCs w:val="20"/>
              </w:rPr>
              <w:t xml:space="preserve">FR: </w:t>
            </w:r>
            <w:r w:rsidRPr="00640348">
              <w:rPr>
                <w:sz w:val="20"/>
                <w:szCs w:val="20"/>
              </w:rPr>
              <w:t>59 FR 27242</w:t>
            </w:r>
          </w:p>
        </w:tc>
        <w:tc>
          <w:tcPr>
            <w:tcW w:w="4590" w:type="dxa"/>
            <w:tcBorders>
              <w:bottom w:val="single" w:sz="4" w:space="0" w:color="auto"/>
            </w:tcBorders>
            <w:shd w:val="clear" w:color="auto" w:fill="D9D9D9" w:themeFill="background1" w:themeFillShade="D9"/>
          </w:tcPr>
          <w:p w14:paraId="54FC7B7C" w14:textId="77777777" w:rsidR="002E3407" w:rsidRPr="00640348" w:rsidRDefault="002E3407" w:rsidP="00EE4E8C">
            <w:pPr>
              <w:rPr>
                <w:sz w:val="20"/>
                <w:szCs w:val="20"/>
              </w:rPr>
            </w:pPr>
            <w:r w:rsidRPr="00640348">
              <w:rPr>
                <w:sz w:val="20"/>
                <w:szCs w:val="20"/>
              </w:rPr>
              <w:t>-Set up separate commercial TAC levels for golden tilefish and snowy grouper</w:t>
            </w:r>
            <w:r>
              <w:rPr>
                <w:sz w:val="20"/>
                <w:szCs w:val="20"/>
              </w:rPr>
              <w:t>;</w:t>
            </w:r>
          </w:p>
          <w:p w14:paraId="751A1664" w14:textId="77777777" w:rsidR="002E3407" w:rsidRPr="00640348" w:rsidRDefault="002E3407" w:rsidP="00EE4E8C">
            <w:pPr>
              <w:rPr>
                <w:sz w:val="20"/>
                <w:szCs w:val="20"/>
              </w:rPr>
            </w:pPr>
            <w:r w:rsidRPr="00640348">
              <w:rPr>
                <w:sz w:val="20"/>
                <w:szCs w:val="20"/>
              </w:rPr>
              <w:t>-Established commercial trip limits for snowy grouper, golden tilefish, speckled hind, and warsaw grouper</w:t>
            </w:r>
            <w:r>
              <w:rPr>
                <w:sz w:val="20"/>
                <w:szCs w:val="20"/>
              </w:rPr>
              <w:t>;</w:t>
            </w:r>
          </w:p>
          <w:p w14:paraId="04D9EC13" w14:textId="77777777" w:rsidR="002E3407" w:rsidRPr="00640348" w:rsidRDefault="002E3407" w:rsidP="00EE4E8C">
            <w:pPr>
              <w:rPr>
                <w:sz w:val="20"/>
                <w:szCs w:val="20"/>
              </w:rPr>
            </w:pPr>
            <w:r w:rsidRPr="00640348">
              <w:rPr>
                <w:sz w:val="20"/>
                <w:szCs w:val="20"/>
              </w:rPr>
              <w:t>-Included golden tilefish in grouper recreational aggregate bag limits</w:t>
            </w:r>
            <w:r>
              <w:rPr>
                <w:sz w:val="20"/>
                <w:szCs w:val="20"/>
              </w:rPr>
              <w:t>;</w:t>
            </w:r>
          </w:p>
          <w:p w14:paraId="37423E30" w14:textId="77777777" w:rsidR="002E3407" w:rsidRPr="00640348" w:rsidRDefault="002E3407" w:rsidP="00EE4E8C">
            <w:pPr>
              <w:rPr>
                <w:sz w:val="20"/>
                <w:szCs w:val="20"/>
              </w:rPr>
            </w:pPr>
            <w:r w:rsidRPr="00640348">
              <w:rPr>
                <w:sz w:val="20"/>
                <w:szCs w:val="20"/>
              </w:rPr>
              <w:t>-Prohibited sale of warsaw grouper and speckled hind</w:t>
            </w:r>
            <w:r>
              <w:rPr>
                <w:sz w:val="20"/>
                <w:szCs w:val="20"/>
              </w:rPr>
              <w:t>;</w:t>
            </w:r>
          </w:p>
          <w:p w14:paraId="03589481" w14:textId="77777777" w:rsidR="002E3407" w:rsidRPr="00640348" w:rsidRDefault="002E3407" w:rsidP="00EE4E8C">
            <w:pPr>
              <w:rPr>
                <w:sz w:val="20"/>
                <w:szCs w:val="20"/>
              </w:rPr>
            </w:pPr>
            <w:r w:rsidRPr="00640348">
              <w:rPr>
                <w:sz w:val="20"/>
                <w:szCs w:val="20"/>
              </w:rPr>
              <w:t>-100% logbook coverage upon renewal of permit</w:t>
            </w:r>
            <w:r>
              <w:rPr>
                <w:sz w:val="20"/>
                <w:szCs w:val="20"/>
              </w:rPr>
              <w:t>;</w:t>
            </w:r>
          </w:p>
          <w:p w14:paraId="7845BCE7" w14:textId="77777777" w:rsidR="002E3407" w:rsidRPr="00640348" w:rsidRDefault="002E3407" w:rsidP="00EE4E8C">
            <w:pPr>
              <w:rPr>
                <w:sz w:val="20"/>
                <w:szCs w:val="20"/>
              </w:rPr>
            </w:pPr>
            <w:r w:rsidRPr="00640348">
              <w:rPr>
                <w:sz w:val="20"/>
                <w:szCs w:val="20"/>
              </w:rPr>
              <w:t xml:space="preserve">-Creation of the </w:t>
            </w:r>
            <w:r w:rsidRPr="00640348">
              <w:rPr>
                <w:i/>
                <w:iCs/>
                <w:sz w:val="20"/>
                <w:szCs w:val="20"/>
              </w:rPr>
              <w:t>Oculina</w:t>
            </w:r>
            <w:r w:rsidRPr="00640348">
              <w:rPr>
                <w:sz w:val="20"/>
                <w:szCs w:val="20"/>
              </w:rPr>
              <w:t xml:space="preserve"> Experimental Closed Area</w:t>
            </w:r>
            <w:r>
              <w:rPr>
                <w:sz w:val="20"/>
                <w:szCs w:val="20"/>
              </w:rPr>
              <w:t>;</w:t>
            </w:r>
          </w:p>
          <w:p w14:paraId="266CD1EC" w14:textId="77777777" w:rsidR="002E3407" w:rsidRPr="00640348" w:rsidRDefault="002E3407" w:rsidP="00EE4E8C">
            <w:pPr>
              <w:rPr>
                <w:sz w:val="20"/>
                <w:szCs w:val="20"/>
              </w:rPr>
            </w:pPr>
            <w:r w:rsidRPr="00640348">
              <w:rPr>
                <w:sz w:val="20"/>
                <w:szCs w:val="20"/>
              </w:rPr>
              <w:t>-Data collection needs specified for evaluation of possible future individual fishing quota system</w:t>
            </w:r>
            <w:r>
              <w:rPr>
                <w:sz w:val="20"/>
                <w:szCs w:val="20"/>
              </w:rPr>
              <w:t>.</w:t>
            </w:r>
          </w:p>
        </w:tc>
      </w:tr>
      <w:tr w:rsidR="002E3407" w14:paraId="35BF0891" w14:textId="77777777" w:rsidTr="00EE4E8C">
        <w:trPr>
          <w:cantSplit/>
          <w:trHeight w:val="2290"/>
        </w:trPr>
        <w:tc>
          <w:tcPr>
            <w:tcW w:w="1638" w:type="dxa"/>
            <w:tcBorders>
              <w:bottom w:val="single" w:sz="4" w:space="0" w:color="auto"/>
            </w:tcBorders>
            <w:shd w:val="clear" w:color="auto" w:fill="D9D9D9" w:themeFill="background1" w:themeFillShade="D9"/>
            <w:vAlign w:val="center"/>
          </w:tcPr>
          <w:p w14:paraId="0F7AA788" w14:textId="77777777" w:rsidR="002E3407" w:rsidRDefault="002E3407" w:rsidP="00EE4E8C">
            <w:pPr>
              <w:jc w:val="center"/>
              <w:rPr>
                <w:sz w:val="20"/>
                <w:szCs w:val="20"/>
              </w:rPr>
            </w:pPr>
            <w:r>
              <w:rPr>
                <w:sz w:val="20"/>
                <w:szCs w:val="20"/>
              </w:rPr>
              <w:t>Amendment #7</w:t>
            </w:r>
          </w:p>
          <w:p w14:paraId="6F79D4B6" w14:textId="77777777" w:rsidR="002E3407" w:rsidRDefault="002E3407" w:rsidP="00EE4E8C">
            <w:pPr>
              <w:jc w:val="center"/>
              <w:rPr>
                <w:sz w:val="20"/>
                <w:szCs w:val="20"/>
              </w:rPr>
            </w:pPr>
          </w:p>
          <w:p w14:paraId="2FE22ED2" w14:textId="77777777" w:rsidR="002E3407" w:rsidRPr="00640348" w:rsidRDefault="002E3407" w:rsidP="00EE4E8C">
            <w:pPr>
              <w:jc w:val="center"/>
              <w:rPr>
                <w:sz w:val="20"/>
                <w:szCs w:val="20"/>
              </w:rPr>
            </w:pPr>
            <w:r>
              <w:rPr>
                <w:sz w:val="20"/>
                <w:szCs w:val="20"/>
              </w:rPr>
              <w:t>(1994</w:t>
            </w:r>
            <w:r w:rsidRPr="00640348">
              <w:rPr>
                <w:sz w:val="20"/>
                <w:szCs w:val="20"/>
              </w:rPr>
              <w:t>)</w:t>
            </w:r>
          </w:p>
        </w:tc>
        <w:tc>
          <w:tcPr>
            <w:tcW w:w="1350" w:type="dxa"/>
            <w:tcBorders>
              <w:bottom w:val="single" w:sz="4" w:space="0" w:color="auto"/>
            </w:tcBorders>
            <w:shd w:val="clear" w:color="auto" w:fill="D9D9D9" w:themeFill="background1" w:themeFillShade="D9"/>
            <w:vAlign w:val="center"/>
          </w:tcPr>
          <w:p w14:paraId="132B0CED" w14:textId="77777777" w:rsidR="002E3407" w:rsidRPr="00640348" w:rsidRDefault="002E3407" w:rsidP="00EE4E8C">
            <w:pPr>
              <w:jc w:val="center"/>
              <w:rPr>
                <w:sz w:val="20"/>
                <w:szCs w:val="20"/>
              </w:rPr>
            </w:pPr>
            <w:r w:rsidRPr="00640348">
              <w:rPr>
                <w:sz w:val="20"/>
                <w:szCs w:val="20"/>
              </w:rPr>
              <w:t>01/23/95</w:t>
            </w:r>
          </w:p>
        </w:tc>
        <w:tc>
          <w:tcPr>
            <w:tcW w:w="1620" w:type="dxa"/>
            <w:tcBorders>
              <w:bottom w:val="single" w:sz="4" w:space="0" w:color="auto"/>
            </w:tcBorders>
            <w:shd w:val="clear" w:color="auto" w:fill="D9D9D9" w:themeFill="background1" w:themeFillShade="D9"/>
            <w:vAlign w:val="center"/>
          </w:tcPr>
          <w:p w14:paraId="759BA361" w14:textId="77777777" w:rsidR="002E3407" w:rsidRPr="00640348" w:rsidRDefault="002E3407" w:rsidP="00EE4E8C">
            <w:pPr>
              <w:rPr>
                <w:sz w:val="20"/>
                <w:szCs w:val="20"/>
              </w:rPr>
            </w:pPr>
            <w:r w:rsidRPr="00640348">
              <w:rPr>
                <w:sz w:val="20"/>
                <w:szCs w:val="20"/>
              </w:rPr>
              <w:t>PR: 59 FR 47833</w:t>
            </w:r>
          </w:p>
          <w:p w14:paraId="6ED7C4C9" w14:textId="77777777" w:rsidR="002E3407" w:rsidRPr="00640348" w:rsidRDefault="002E3407" w:rsidP="00EE4E8C">
            <w:pPr>
              <w:rPr>
                <w:sz w:val="20"/>
                <w:szCs w:val="20"/>
              </w:rPr>
            </w:pPr>
            <w:r>
              <w:rPr>
                <w:sz w:val="20"/>
                <w:szCs w:val="20"/>
              </w:rPr>
              <w:t xml:space="preserve">FR: </w:t>
            </w:r>
            <w:r w:rsidRPr="00640348">
              <w:rPr>
                <w:sz w:val="20"/>
                <w:szCs w:val="20"/>
              </w:rPr>
              <w:t>59 FR 66270</w:t>
            </w:r>
          </w:p>
        </w:tc>
        <w:tc>
          <w:tcPr>
            <w:tcW w:w="4590" w:type="dxa"/>
            <w:tcBorders>
              <w:bottom w:val="single" w:sz="4" w:space="0" w:color="auto"/>
            </w:tcBorders>
            <w:shd w:val="clear" w:color="auto" w:fill="D9D9D9" w:themeFill="background1" w:themeFillShade="D9"/>
          </w:tcPr>
          <w:p w14:paraId="66A5394B" w14:textId="77777777" w:rsidR="002E3407" w:rsidRPr="00640348" w:rsidRDefault="002E3407" w:rsidP="00EE4E8C">
            <w:pPr>
              <w:rPr>
                <w:sz w:val="20"/>
                <w:szCs w:val="20"/>
              </w:rPr>
            </w:pPr>
            <w:r w:rsidRPr="00640348">
              <w:rPr>
                <w:sz w:val="20"/>
                <w:szCs w:val="20"/>
              </w:rPr>
              <w:t>-12” FL – hogfish</w:t>
            </w:r>
            <w:r>
              <w:rPr>
                <w:sz w:val="20"/>
                <w:szCs w:val="20"/>
              </w:rPr>
              <w:t>;</w:t>
            </w:r>
          </w:p>
          <w:p w14:paraId="6B93F033" w14:textId="77777777" w:rsidR="002E3407" w:rsidRPr="00640348" w:rsidRDefault="002E3407" w:rsidP="00EE4E8C">
            <w:pPr>
              <w:rPr>
                <w:sz w:val="20"/>
                <w:szCs w:val="20"/>
              </w:rPr>
            </w:pPr>
            <w:r w:rsidRPr="00640348">
              <w:rPr>
                <w:sz w:val="20"/>
                <w:szCs w:val="20"/>
              </w:rPr>
              <w:t>-16” TL – mutton snapper</w:t>
            </w:r>
            <w:r>
              <w:rPr>
                <w:sz w:val="20"/>
                <w:szCs w:val="20"/>
              </w:rPr>
              <w:t>;</w:t>
            </w:r>
          </w:p>
          <w:p w14:paraId="2572BB55" w14:textId="77777777" w:rsidR="002E3407" w:rsidRPr="00640348" w:rsidRDefault="002E3407" w:rsidP="00EE4E8C">
            <w:pPr>
              <w:rPr>
                <w:sz w:val="20"/>
                <w:szCs w:val="20"/>
              </w:rPr>
            </w:pPr>
            <w:r w:rsidRPr="00640348">
              <w:rPr>
                <w:sz w:val="20"/>
                <w:szCs w:val="20"/>
              </w:rPr>
              <w:t>-Required dealer, charter and headboat federal permits</w:t>
            </w:r>
            <w:r>
              <w:rPr>
                <w:sz w:val="20"/>
                <w:szCs w:val="20"/>
              </w:rPr>
              <w:t>;</w:t>
            </w:r>
          </w:p>
          <w:p w14:paraId="3D896773" w14:textId="77777777" w:rsidR="002E3407" w:rsidRPr="00640348" w:rsidRDefault="002E3407" w:rsidP="00EE4E8C">
            <w:pPr>
              <w:rPr>
                <w:sz w:val="20"/>
                <w:szCs w:val="20"/>
              </w:rPr>
            </w:pPr>
            <w:r w:rsidRPr="00640348">
              <w:rPr>
                <w:sz w:val="20"/>
                <w:szCs w:val="20"/>
              </w:rPr>
              <w:t>-Allowed sale under specified conditions</w:t>
            </w:r>
            <w:r>
              <w:rPr>
                <w:sz w:val="20"/>
                <w:szCs w:val="20"/>
              </w:rPr>
              <w:t>;</w:t>
            </w:r>
          </w:p>
          <w:p w14:paraId="5B5269C3" w14:textId="77777777" w:rsidR="002E3407" w:rsidRPr="00640348" w:rsidRDefault="002E3407" w:rsidP="00EE4E8C">
            <w:pPr>
              <w:rPr>
                <w:sz w:val="20"/>
                <w:szCs w:val="20"/>
              </w:rPr>
            </w:pPr>
            <w:r w:rsidRPr="00640348">
              <w:rPr>
                <w:sz w:val="20"/>
                <w:szCs w:val="20"/>
              </w:rPr>
              <w:t>-Specified allowable gear and made allowance for experimental gear</w:t>
            </w:r>
            <w:r>
              <w:rPr>
                <w:sz w:val="20"/>
                <w:szCs w:val="20"/>
              </w:rPr>
              <w:t>;</w:t>
            </w:r>
          </w:p>
          <w:p w14:paraId="03B04685" w14:textId="77777777" w:rsidR="002E3407" w:rsidRPr="00640348" w:rsidRDefault="002E3407" w:rsidP="00EE4E8C">
            <w:pPr>
              <w:rPr>
                <w:sz w:val="20"/>
                <w:szCs w:val="20"/>
              </w:rPr>
            </w:pPr>
            <w:r w:rsidRPr="00640348">
              <w:rPr>
                <w:sz w:val="20"/>
                <w:szCs w:val="20"/>
              </w:rPr>
              <w:t>-Allowed multi-gear trips in NC</w:t>
            </w:r>
            <w:r>
              <w:rPr>
                <w:sz w:val="20"/>
                <w:szCs w:val="20"/>
              </w:rPr>
              <w:t>;</w:t>
            </w:r>
          </w:p>
          <w:p w14:paraId="1C8E0647" w14:textId="77777777" w:rsidR="002E3407" w:rsidRPr="00640348" w:rsidRDefault="002E3407" w:rsidP="00EE4E8C">
            <w:pPr>
              <w:rPr>
                <w:sz w:val="20"/>
                <w:szCs w:val="20"/>
              </w:rPr>
            </w:pPr>
            <w:r w:rsidRPr="00640348">
              <w:rPr>
                <w:sz w:val="20"/>
                <w:szCs w:val="20"/>
              </w:rPr>
              <w:t>-Added localized overfishing to list of problems and objectives</w:t>
            </w:r>
            <w:r>
              <w:rPr>
                <w:sz w:val="20"/>
                <w:szCs w:val="20"/>
              </w:rPr>
              <w:t>;</w:t>
            </w:r>
          </w:p>
          <w:p w14:paraId="0F93A0D8" w14:textId="77777777" w:rsidR="002E3407" w:rsidRPr="00640348" w:rsidRDefault="002E3407" w:rsidP="00EE4E8C">
            <w:pPr>
              <w:rPr>
                <w:sz w:val="20"/>
                <w:szCs w:val="20"/>
              </w:rPr>
            </w:pPr>
            <w:r w:rsidRPr="00640348">
              <w:rPr>
                <w:sz w:val="20"/>
                <w:szCs w:val="20"/>
              </w:rPr>
              <w:t>-Adjusted bag limit and crew specs. for charter and head boats</w:t>
            </w:r>
            <w:r>
              <w:rPr>
                <w:sz w:val="20"/>
                <w:szCs w:val="20"/>
              </w:rPr>
              <w:t>;</w:t>
            </w:r>
          </w:p>
          <w:p w14:paraId="2D8E4A26" w14:textId="77777777" w:rsidR="002E3407" w:rsidRPr="00640348" w:rsidRDefault="002E3407" w:rsidP="00EE4E8C">
            <w:pPr>
              <w:rPr>
                <w:sz w:val="20"/>
                <w:szCs w:val="20"/>
              </w:rPr>
            </w:pPr>
            <w:r w:rsidRPr="00640348">
              <w:rPr>
                <w:sz w:val="20"/>
                <w:szCs w:val="20"/>
              </w:rPr>
              <w:t>-Modified management unit for scup to apply south of Cape Hatteras, NC</w:t>
            </w:r>
            <w:r>
              <w:rPr>
                <w:sz w:val="20"/>
                <w:szCs w:val="20"/>
              </w:rPr>
              <w:t>;</w:t>
            </w:r>
          </w:p>
          <w:p w14:paraId="46BF58D0" w14:textId="77777777" w:rsidR="002E3407" w:rsidRPr="00640348" w:rsidRDefault="002E3407" w:rsidP="00EE4E8C">
            <w:pPr>
              <w:rPr>
                <w:sz w:val="20"/>
                <w:szCs w:val="20"/>
              </w:rPr>
            </w:pPr>
            <w:r w:rsidRPr="00640348">
              <w:rPr>
                <w:sz w:val="20"/>
                <w:szCs w:val="20"/>
              </w:rPr>
              <w:t>-Modified framework procedure</w:t>
            </w:r>
            <w:r>
              <w:rPr>
                <w:sz w:val="20"/>
                <w:szCs w:val="20"/>
              </w:rPr>
              <w:t>.</w:t>
            </w:r>
          </w:p>
        </w:tc>
      </w:tr>
      <w:tr w:rsidR="002E3407" w14:paraId="079C9AFD" w14:textId="77777777" w:rsidTr="00EE4E8C">
        <w:tc>
          <w:tcPr>
            <w:tcW w:w="1638" w:type="dxa"/>
            <w:vAlign w:val="center"/>
          </w:tcPr>
          <w:p w14:paraId="7CB876D1" w14:textId="77777777" w:rsidR="002E3407" w:rsidRDefault="002E3407" w:rsidP="00EE4E8C">
            <w:pPr>
              <w:jc w:val="center"/>
              <w:rPr>
                <w:sz w:val="20"/>
                <w:szCs w:val="20"/>
              </w:rPr>
            </w:pPr>
            <w:r w:rsidRPr="00640348">
              <w:rPr>
                <w:sz w:val="20"/>
                <w:szCs w:val="20"/>
              </w:rPr>
              <w:t>Regulatory Amendment #6</w:t>
            </w:r>
          </w:p>
          <w:p w14:paraId="4BB32F74" w14:textId="77777777" w:rsidR="002E3407" w:rsidRDefault="002E3407" w:rsidP="00EE4E8C">
            <w:pPr>
              <w:jc w:val="center"/>
              <w:rPr>
                <w:sz w:val="20"/>
                <w:szCs w:val="20"/>
              </w:rPr>
            </w:pPr>
          </w:p>
          <w:p w14:paraId="343054FA" w14:textId="77777777" w:rsidR="002E3407" w:rsidRPr="00640348" w:rsidRDefault="002E3407" w:rsidP="00EE4E8C">
            <w:pPr>
              <w:jc w:val="center"/>
              <w:rPr>
                <w:sz w:val="20"/>
                <w:szCs w:val="20"/>
              </w:rPr>
            </w:pPr>
            <w:r w:rsidRPr="00640348">
              <w:rPr>
                <w:sz w:val="20"/>
                <w:szCs w:val="20"/>
              </w:rPr>
              <w:t>(1994b)</w:t>
            </w:r>
          </w:p>
        </w:tc>
        <w:tc>
          <w:tcPr>
            <w:tcW w:w="1350" w:type="dxa"/>
            <w:vAlign w:val="center"/>
          </w:tcPr>
          <w:p w14:paraId="3D38BA83" w14:textId="77777777" w:rsidR="002E3407" w:rsidRPr="00640348" w:rsidRDefault="002E3407" w:rsidP="00EE4E8C">
            <w:pPr>
              <w:jc w:val="center"/>
              <w:rPr>
                <w:sz w:val="20"/>
                <w:szCs w:val="20"/>
              </w:rPr>
            </w:pPr>
            <w:r w:rsidRPr="00640348">
              <w:rPr>
                <w:sz w:val="20"/>
                <w:szCs w:val="20"/>
              </w:rPr>
              <w:t>05/22/95</w:t>
            </w:r>
          </w:p>
        </w:tc>
        <w:tc>
          <w:tcPr>
            <w:tcW w:w="1620" w:type="dxa"/>
            <w:vAlign w:val="center"/>
          </w:tcPr>
          <w:p w14:paraId="4457F633" w14:textId="77777777" w:rsidR="002E3407" w:rsidRPr="00640348" w:rsidRDefault="002E3407" w:rsidP="00EE4E8C">
            <w:pPr>
              <w:rPr>
                <w:sz w:val="20"/>
                <w:szCs w:val="20"/>
              </w:rPr>
            </w:pPr>
            <w:r w:rsidRPr="00640348">
              <w:rPr>
                <w:sz w:val="20"/>
                <w:szCs w:val="20"/>
              </w:rPr>
              <w:t>PR: 60 FR 8620</w:t>
            </w:r>
          </w:p>
          <w:p w14:paraId="7D8CEEB8" w14:textId="77777777" w:rsidR="002E3407" w:rsidRPr="00640348" w:rsidRDefault="002E3407" w:rsidP="00EE4E8C">
            <w:pPr>
              <w:rPr>
                <w:sz w:val="20"/>
                <w:szCs w:val="20"/>
              </w:rPr>
            </w:pPr>
            <w:r>
              <w:rPr>
                <w:sz w:val="20"/>
                <w:szCs w:val="20"/>
              </w:rPr>
              <w:t xml:space="preserve">FR: </w:t>
            </w:r>
            <w:r w:rsidRPr="00640348">
              <w:rPr>
                <w:sz w:val="20"/>
                <w:szCs w:val="20"/>
              </w:rPr>
              <w:t>60 FR 19683</w:t>
            </w:r>
          </w:p>
        </w:tc>
        <w:tc>
          <w:tcPr>
            <w:tcW w:w="4590" w:type="dxa"/>
          </w:tcPr>
          <w:p w14:paraId="22AF1423" w14:textId="77777777" w:rsidR="002E3407" w:rsidRDefault="002E3407" w:rsidP="00EE4E8C">
            <w:pPr>
              <w:rPr>
                <w:sz w:val="20"/>
                <w:szCs w:val="20"/>
              </w:rPr>
            </w:pPr>
            <w:r w:rsidRPr="00640348">
              <w:rPr>
                <w:sz w:val="20"/>
                <w:szCs w:val="20"/>
              </w:rPr>
              <w:t xml:space="preserve">-Established actions which applied only to EEZ off Atlantic coast of FL:  </w:t>
            </w:r>
          </w:p>
          <w:p w14:paraId="31A44FF8" w14:textId="77777777" w:rsidR="002E3407" w:rsidRPr="00640348" w:rsidRDefault="002E3407" w:rsidP="00EE4E8C">
            <w:pPr>
              <w:rPr>
                <w:sz w:val="20"/>
                <w:szCs w:val="20"/>
              </w:rPr>
            </w:pPr>
            <w:r w:rsidRPr="00640348">
              <w:rPr>
                <w:sz w:val="20"/>
                <w:szCs w:val="20"/>
              </w:rPr>
              <w:t>Bag limits – 5 hogfish/person/day (recreational only), 2 cubera snapper/person/day &gt; 30” TL; 12” TL – gray triggerfish</w:t>
            </w:r>
            <w:r>
              <w:rPr>
                <w:sz w:val="20"/>
                <w:szCs w:val="20"/>
              </w:rPr>
              <w:t>.</w:t>
            </w:r>
          </w:p>
        </w:tc>
      </w:tr>
      <w:tr w:rsidR="002E3407" w14:paraId="55F88603" w14:textId="77777777" w:rsidTr="00EE4E8C">
        <w:tc>
          <w:tcPr>
            <w:tcW w:w="1638" w:type="dxa"/>
            <w:vAlign w:val="center"/>
          </w:tcPr>
          <w:p w14:paraId="1DF290BD" w14:textId="77777777" w:rsidR="002E3407" w:rsidRPr="00640348" w:rsidRDefault="002E3407" w:rsidP="00EE4E8C">
            <w:pPr>
              <w:jc w:val="center"/>
              <w:rPr>
                <w:sz w:val="20"/>
                <w:szCs w:val="20"/>
              </w:rPr>
            </w:pPr>
            <w:r w:rsidRPr="00640348">
              <w:rPr>
                <w:sz w:val="20"/>
                <w:szCs w:val="20"/>
              </w:rPr>
              <w:t>Notice of Control Date</w:t>
            </w:r>
          </w:p>
        </w:tc>
        <w:tc>
          <w:tcPr>
            <w:tcW w:w="1350" w:type="dxa"/>
            <w:vAlign w:val="center"/>
          </w:tcPr>
          <w:p w14:paraId="7DA7584E" w14:textId="77777777" w:rsidR="002E3407" w:rsidRPr="00640348" w:rsidRDefault="002E3407" w:rsidP="00EE4E8C">
            <w:pPr>
              <w:jc w:val="center"/>
              <w:rPr>
                <w:sz w:val="20"/>
                <w:szCs w:val="20"/>
              </w:rPr>
            </w:pPr>
            <w:r w:rsidRPr="00640348">
              <w:rPr>
                <w:sz w:val="20"/>
                <w:szCs w:val="20"/>
              </w:rPr>
              <w:t>04/23/97</w:t>
            </w:r>
          </w:p>
        </w:tc>
        <w:tc>
          <w:tcPr>
            <w:tcW w:w="1620" w:type="dxa"/>
            <w:vAlign w:val="center"/>
          </w:tcPr>
          <w:p w14:paraId="17F3AAA4" w14:textId="77777777" w:rsidR="002E3407" w:rsidRPr="00640348" w:rsidRDefault="002E3407" w:rsidP="00EE4E8C">
            <w:pPr>
              <w:rPr>
                <w:sz w:val="20"/>
              </w:rPr>
            </w:pPr>
            <w:r w:rsidRPr="00640348">
              <w:rPr>
                <w:sz w:val="20"/>
              </w:rPr>
              <w:t>62 FR 22995</w:t>
            </w:r>
          </w:p>
          <w:p w14:paraId="79E60441" w14:textId="77777777" w:rsidR="002E3407" w:rsidRPr="00640348" w:rsidRDefault="002E3407" w:rsidP="00EE4E8C">
            <w:pPr>
              <w:rPr>
                <w:sz w:val="20"/>
                <w:szCs w:val="20"/>
              </w:rPr>
            </w:pPr>
          </w:p>
        </w:tc>
        <w:tc>
          <w:tcPr>
            <w:tcW w:w="4590" w:type="dxa"/>
          </w:tcPr>
          <w:p w14:paraId="083E380A" w14:textId="77777777" w:rsidR="002E3407" w:rsidRPr="00640348" w:rsidRDefault="002E3407" w:rsidP="00EE4E8C">
            <w:pPr>
              <w:rPr>
                <w:sz w:val="20"/>
                <w:szCs w:val="20"/>
              </w:rPr>
            </w:pPr>
            <w:r w:rsidRPr="00640348">
              <w:rPr>
                <w:sz w:val="20"/>
                <w:szCs w:val="20"/>
              </w:rPr>
              <w:t xml:space="preserve">-Anyone entering federal </w:t>
            </w:r>
            <w:r>
              <w:rPr>
                <w:sz w:val="20"/>
                <w:szCs w:val="20"/>
              </w:rPr>
              <w:t>black sea bass</w:t>
            </w:r>
            <w:r w:rsidRPr="00640348">
              <w:rPr>
                <w:sz w:val="20"/>
                <w:szCs w:val="20"/>
              </w:rPr>
              <w:t xml:space="preserve"> pot fishery off S</w:t>
            </w:r>
            <w:r>
              <w:rPr>
                <w:sz w:val="20"/>
                <w:szCs w:val="20"/>
              </w:rPr>
              <w:t>outh</w:t>
            </w:r>
            <w:r w:rsidRPr="00640348">
              <w:rPr>
                <w:sz w:val="20"/>
                <w:szCs w:val="20"/>
              </w:rPr>
              <w:t xml:space="preserve"> Atlantic states after 04/23/97 was not assured of future access if limited entry program developed</w:t>
            </w:r>
            <w:r>
              <w:rPr>
                <w:sz w:val="20"/>
                <w:szCs w:val="20"/>
              </w:rPr>
              <w:t>.</w:t>
            </w:r>
          </w:p>
        </w:tc>
      </w:tr>
      <w:tr w:rsidR="002E3407" w14:paraId="687B8849" w14:textId="77777777" w:rsidTr="00EE4E8C">
        <w:tc>
          <w:tcPr>
            <w:tcW w:w="1638" w:type="dxa"/>
            <w:vAlign w:val="center"/>
          </w:tcPr>
          <w:p w14:paraId="3A3A0BA3" w14:textId="77777777" w:rsidR="002E3407" w:rsidRPr="00640348" w:rsidRDefault="002E3407" w:rsidP="00EE4E8C">
            <w:pPr>
              <w:jc w:val="center"/>
              <w:rPr>
                <w:sz w:val="20"/>
                <w:szCs w:val="20"/>
              </w:rPr>
            </w:pPr>
            <w:r w:rsidRPr="00640348">
              <w:rPr>
                <w:sz w:val="20"/>
                <w:szCs w:val="20"/>
              </w:rPr>
              <w:t>Interim Rule Request</w:t>
            </w:r>
          </w:p>
        </w:tc>
        <w:tc>
          <w:tcPr>
            <w:tcW w:w="1350" w:type="dxa"/>
            <w:vAlign w:val="center"/>
          </w:tcPr>
          <w:p w14:paraId="5FDD514B" w14:textId="77777777" w:rsidR="002E3407" w:rsidRPr="00640348" w:rsidRDefault="002E3407" w:rsidP="00EE4E8C">
            <w:pPr>
              <w:jc w:val="center"/>
              <w:rPr>
                <w:sz w:val="20"/>
                <w:szCs w:val="20"/>
              </w:rPr>
            </w:pPr>
            <w:r w:rsidRPr="00640348">
              <w:rPr>
                <w:sz w:val="20"/>
                <w:szCs w:val="20"/>
              </w:rPr>
              <w:t>1/16/98</w:t>
            </w:r>
          </w:p>
        </w:tc>
        <w:tc>
          <w:tcPr>
            <w:tcW w:w="1620" w:type="dxa"/>
            <w:vAlign w:val="center"/>
          </w:tcPr>
          <w:p w14:paraId="4884855C" w14:textId="77777777" w:rsidR="002E3407" w:rsidRPr="00640348" w:rsidRDefault="002E3407" w:rsidP="00EE4E8C">
            <w:pPr>
              <w:rPr>
                <w:sz w:val="20"/>
                <w:szCs w:val="20"/>
              </w:rPr>
            </w:pPr>
          </w:p>
        </w:tc>
        <w:tc>
          <w:tcPr>
            <w:tcW w:w="4590" w:type="dxa"/>
          </w:tcPr>
          <w:p w14:paraId="1EFCEF78" w14:textId="77777777" w:rsidR="002E3407" w:rsidRPr="00640348" w:rsidRDefault="002E3407" w:rsidP="00EE4E8C">
            <w:pPr>
              <w:rPr>
                <w:sz w:val="20"/>
                <w:szCs w:val="20"/>
              </w:rPr>
            </w:pPr>
            <w:r w:rsidRPr="00640348">
              <w:rPr>
                <w:sz w:val="20"/>
                <w:szCs w:val="20"/>
              </w:rPr>
              <w:t>-</w:t>
            </w:r>
            <w:r>
              <w:rPr>
                <w:sz w:val="20"/>
                <w:szCs w:val="20"/>
              </w:rPr>
              <w:t xml:space="preserve">The South Atlantic Fishery Management </w:t>
            </w:r>
            <w:r w:rsidRPr="00640348">
              <w:rPr>
                <w:sz w:val="20"/>
                <w:szCs w:val="20"/>
              </w:rPr>
              <w:t>Council</w:t>
            </w:r>
            <w:r>
              <w:rPr>
                <w:sz w:val="20"/>
                <w:szCs w:val="20"/>
              </w:rPr>
              <w:t xml:space="preserve"> (Council)</w:t>
            </w:r>
            <w:r w:rsidRPr="00640348">
              <w:rPr>
                <w:sz w:val="20"/>
                <w:szCs w:val="20"/>
              </w:rPr>
              <w:t xml:space="preserve"> requested all Amendment 9 measures except black sea bass pot construction changes be implemented as an interim request under the Magnuson-Stevens Act</w:t>
            </w:r>
            <w:r>
              <w:rPr>
                <w:sz w:val="20"/>
                <w:szCs w:val="20"/>
              </w:rPr>
              <w:t>.</w:t>
            </w:r>
          </w:p>
        </w:tc>
      </w:tr>
      <w:tr w:rsidR="002E3407" w14:paraId="3E9C490E" w14:textId="77777777" w:rsidTr="00EE4E8C">
        <w:tc>
          <w:tcPr>
            <w:tcW w:w="1638" w:type="dxa"/>
            <w:vAlign w:val="center"/>
          </w:tcPr>
          <w:p w14:paraId="6628537A" w14:textId="77777777" w:rsidR="002E3407" w:rsidRPr="00640348" w:rsidRDefault="002E3407" w:rsidP="00EE4E8C">
            <w:pPr>
              <w:jc w:val="center"/>
              <w:rPr>
                <w:sz w:val="20"/>
                <w:szCs w:val="20"/>
              </w:rPr>
            </w:pPr>
            <w:r w:rsidRPr="00640348">
              <w:rPr>
                <w:sz w:val="20"/>
                <w:szCs w:val="20"/>
              </w:rPr>
              <w:lastRenderedPageBreak/>
              <w:t>Action Suspended</w:t>
            </w:r>
          </w:p>
        </w:tc>
        <w:tc>
          <w:tcPr>
            <w:tcW w:w="1350" w:type="dxa"/>
            <w:vAlign w:val="center"/>
          </w:tcPr>
          <w:p w14:paraId="34174BEF" w14:textId="77777777" w:rsidR="002E3407" w:rsidRPr="00640348" w:rsidRDefault="002E3407" w:rsidP="00EE4E8C">
            <w:pPr>
              <w:jc w:val="center"/>
              <w:rPr>
                <w:sz w:val="20"/>
                <w:szCs w:val="20"/>
              </w:rPr>
            </w:pPr>
            <w:r w:rsidRPr="00640348">
              <w:rPr>
                <w:sz w:val="20"/>
                <w:szCs w:val="20"/>
              </w:rPr>
              <w:t>5/14/98</w:t>
            </w:r>
          </w:p>
        </w:tc>
        <w:tc>
          <w:tcPr>
            <w:tcW w:w="1620" w:type="dxa"/>
            <w:vAlign w:val="center"/>
          </w:tcPr>
          <w:p w14:paraId="7CC8D6C7" w14:textId="77777777" w:rsidR="002E3407" w:rsidRPr="00640348" w:rsidRDefault="002E3407" w:rsidP="00EE4E8C">
            <w:pPr>
              <w:rPr>
                <w:sz w:val="20"/>
                <w:szCs w:val="20"/>
              </w:rPr>
            </w:pPr>
          </w:p>
        </w:tc>
        <w:tc>
          <w:tcPr>
            <w:tcW w:w="4590" w:type="dxa"/>
          </w:tcPr>
          <w:p w14:paraId="3FE49105" w14:textId="77777777" w:rsidR="002E3407" w:rsidRPr="00640348" w:rsidRDefault="002E3407" w:rsidP="00EE4E8C">
            <w:pPr>
              <w:rPr>
                <w:sz w:val="20"/>
                <w:szCs w:val="20"/>
              </w:rPr>
            </w:pPr>
            <w:r w:rsidRPr="00640348">
              <w:rPr>
                <w:sz w:val="20"/>
                <w:szCs w:val="20"/>
              </w:rPr>
              <w:t>-NMFS informed the Council that action on the interim rule request was suspended</w:t>
            </w:r>
            <w:r>
              <w:rPr>
                <w:sz w:val="20"/>
                <w:szCs w:val="20"/>
              </w:rPr>
              <w:t>.</w:t>
            </w:r>
          </w:p>
        </w:tc>
      </w:tr>
      <w:tr w:rsidR="002E3407" w14:paraId="52E51B8B" w14:textId="77777777" w:rsidTr="00EE4E8C">
        <w:tc>
          <w:tcPr>
            <w:tcW w:w="1638" w:type="dxa"/>
            <w:vAlign w:val="center"/>
          </w:tcPr>
          <w:p w14:paraId="0CAB6891" w14:textId="77777777" w:rsidR="002E3407" w:rsidRPr="00640348" w:rsidRDefault="002E3407" w:rsidP="00EE4E8C">
            <w:pPr>
              <w:jc w:val="center"/>
              <w:rPr>
                <w:sz w:val="20"/>
                <w:szCs w:val="20"/>
              </w:rPr>
            </w:pPr>
            <w:r w:rsidRPr="00640348">
              <w:rPr>
                <w:sz w:val="20"/>
                <w:szCs w:val="20"/>
              </w:rPr>
              <w:t>Emergency Rule Request</w:t>
            </w:r>
          </w:p>
        </w:tc>
        <w:tc>
          <w:tcPr>
            <w:tcW w:w="1350" w:type="dxa"/>
            <w:vAlign w:val="center"/>
          </w:tcPr>
          <w:p w14:paraId="26D74B48" w14:textId="77777777" w:rsidR="002E3407" w:rsidRPr="00640348" w:rsidRDefault="002E3407" w:rsidP="00EE4E8C">
            <w:pPr>
              <w:jc w:val="center"/>
              <w:rPr>
                <w:sz w:val="20"/>
                <w:szCs w:val="20"/>
              </w:rPr>
            </w:pPr>
            <w:r w:rsidRPr="00640348">
              <w:rPr>
                <w:sz w:val="20"/>
                <w:szCs w:val="20"/>
              </w:rPr>
              <w:t>9/24/98</w:t>
            </w:r>
          </w:p>
        </w:tc>
        <w:tc>
          <w:tcPr>
            <w:tcW w:w="1620" w:type="dxa"/>
            <w:vAlign w:val="center"/>
          </w:tcPr>
          <w:p w14:paraId="2C6FE35F" w14:textId="77777777" w:rsidR="002E3407" w:rsidRPr="00640348" w:rsidRDefault="002E3407" w:rsidP="00EE4E8C">
            <w:pPr>
              <w:rPr>
                <w:sz w:val="20"/>
                <w:szCs w:val="20"/>
              </w:rPr>
            </w:pPr>
          </w:p>
        </w:tc>
        <w:tc>
          <w:tcPr>
            <w:tcW w:w="4590" w:type="dxa"/>
          </w:tcPr>
          <w:p w14:paraId="5B7281A9" w14:textId="77777777" w:rsidR="002E3407" w:rsidRPr="00640348" w:rsidRDefault="002E3407" w:rsidP="00EE4E8C">
            <w:pPr>
              <w:rPr>
                <w:sz w:val="20"/>
                <w:szCs w:val="20"/>
              </w:rPr>
            </w:pPr>
            <w:r w:rsidRPr="00640348">
              <w:rPr>
                <w:sz w:val="20"/>
                <w:szCs w:val="20"/>
              </w:rPr>
              <w:t>-Council requested Amendment 9 be implemented via emergency rule</w:t>
            </w:r>
            <w:r>
              <w:rPr>
                <w:sz w:val="20"/>
                <w:szCs w:val="20"/>
              </w:rPr>
              <w:t>.</w:t>
            </w:r>
          </w:p>
        </w:tc>
      </w:tr>
      <w:tr w:rsidR="002E3407" w14:paraId="0070229D" w14:textId="77777777" w:rsidTr="00EE4E8C">
        <w:tc>
          <w:tcPr>
            <w:tcW w:w="1638" w:type="dxa"/>
            <w:shd w:val="clear" w:color="auto" w:fill="D9D9D9" w:themeFill="background1" w:themeFillShade="D9"/>
            <w:vAlign w:val="center"/>
          </w:tcPr>
          <w:p w14:paraId="3A5E7398" w14:textId="77777777" w:rsidR="002E3407" w:rsidRDefault="002E3407" w:rsidP="00EE4E8C">
            <w:pPr>
              <w:jc w:val="center"/>
              <w:rPr>
                <w:sz w:val="20"/>
                <w:szCs w:val="20"/>
              </w:rPr>
            </w:pPr>
            <w:r>
              <w:rPr>
                <w:sz w:val="20"/>
                <w:szCs w:val="20"/>
              </w:rPr>
              <w:t>Amendment #8</w:t>
            </w:r>
          </w:p>
          <w:p w14:paraId="54856EBA" w14:textId="77777777" w:rsidR="002E3407" w:rsidRDefault="002E3407" w:rsidP="00EE4E8C">
            <w:pPr>
              <w:jc w:val="center"/>
              <w:rPr>
                <w:sz w:val="20"/>
                <w:szCs w:val="20"/>
              </w:rPr>
            </w:pPr>
          </w:p>
          <w:p w14:paraId="1DF5AD9D" w14:textId="77777777" w:rsidR="002E3407" w:rsidRPr="00640348" w:rsidRDefault="002E3407" w:rsidP="00EE4E8C">
            <w:pPr>
              <w:jc w:val="center"/>
              <w:rPr>
                <w:sz w:val="20"/>
                <w:szCs w:val="20"/>
              </w:rPr>
            </w:pPr>
            <w:r>
              <w:rPr>
                <w:sz w:val="20"/>
                <w:szCs w:val="20"/>
              </w:rPr>
              <w:t>(</w:t>
            </w:r>
            <w:r w:rsidRPr="00640348">
              <w:rPr>
                <w:sz w:val="20"/>
                <w:szCs w:val="20"/>
              </w:rPr>
              <w:t>1997)</w:t>
            </w:r>
          </w:p>
        </w:tc>
        <w:tc>
          <w:tcPr>
            <w:tcW w:w="1350" w:type="dxa"/>
            <w:shd w:val="clear" w:color="auto" w:fill="D9D9D9" w:themeFill="background1" w:themeFillShade="D9"/>
            <w:vAlign w:val="center"/>
          </w:tcPr>
          <w:p w14:paraId="751223EB" w14:textId="77777777" w:rsidR="002E3407" w:rsidRPr="00640348" w:rsidRDefault="002E3407" w:rsidP="00EE4E8C">
            <w:pPr>
              <w:jc w:val="center"/>
              <w:rPr>
                <w:sz w:val="20"/>
                <w:szCs w:val="20"/>
              </w:rPr>
            </w:pPr>
            <w:r w:rsidRPr="00640348">
              <w:rPr>
                <w:sz w:val="20"/>
                <w:szCs w:val="20"/>
              </w:rPr>
              <w:t>12/14/98</w:t>
            </w:r>
          </w:p>
        </w:tc>
        <w:tc>
          <w:tcPr>
            <w:tcW w:w="1620" w:type="dxa"/>
            <w:shd w:val="clear" w:color="auto" w:fill="D9D9D9" w:themeFill="background1" w:themeFillShade="D9"/>
            <w:vAlign w:val="center"/>
          </w:tcPr>
          <w:p w14:paraId="53F8DDF0" w14:textId="77777777" w:rsidR="002E3407" w:rsidRPr="00640348" w:rsidRDefault="002E3407" w:rsidP="00EE4E8C">
            <w:pPr>
              <w:rPr>
                <w:sz w:val="20"/>
                <w:szCs w:val="20"/>
              </w:rPr>
            </w:pPr>
            <w:r w:rsidRPr="00640348">
              <w:rPr>
                <w:sz w:val="20"/>
                <w:szCs w:val="20"/>
              </w:rPr>
              <w:t>PR: 63 FR 1813</w:t>
            </w:r>
          </w:p>
          <w:p w14:paraId="0D672BDD" w14:textId="77777777" w:rsidR="002E3407" w:rsidRPr="00640348" w:rsidRDefault="002E3407" w:rsidP="00EE4E8C">
            <w:pPr>
              <w:rPr>
                <w:sz w:val="20"/>
                <w:szCs w:val="20"/>
              </w:rPr>
            </w:pPr>
            <w:r>
              <w:rPr>
                <w:sz w:val="20"/>
                <w:szCs w:val="20"/>
              </w:rPr>
              <w:t xml:space="preserve">FR: </w:t>
            </w:r>
            <w:r w:rsidRPr="00640348">
              <w:rPr>
                <w:sz w:val="20"/>
                <w:szCs w:val="20"/>
              </w:rPr>
              <w:t>63 FR 38298</w:t>
            </w:r>
          </w:p>
        </w:tc>
        <w:tc>
          <w:tcPr>
            <w:tcW w:w="4590" w:type="dxa"/>
            <w:shd w:val="clear" w:color="auto" w:fill="D9D9D9" w:themeFill="background1" w:themeFillShade="D9"/>
          </w:tcPr>
          <w:p w14:paraId="4A0A716F" w14:textId="77777777" w:rsidR="002E3407" w:rsidRDefault="002E3407" w:rsidP="00EE4E8C">
            <w:pPr>
              <w:rPr>
                <w:sz w:val="20"/>
                <w:szCs w:val="20"/>
              </w:rPr>
            </w:pPr>
            <w:r w:rsidRPr="00640348">
              <w:rPr>
                <w:sz w:val="20"/>
                <w:szCs w:val="20"/>
              </w:rPr>
              <w:t xml:space="preserve">-Established program to limit initial eligibility for snapper grouper fishery:  </w:t>
            </w:r>
          </w:p>
          <w:p w14:paraId="0DAE995A" w14:textId="77777777" w:rsidR="002E3407" w:rsidRPr="00640348" w:rsidRDefault="002E3407" w:rsidP="00EE4E8C">
            <w:pPr>
              <w:rPr>
                <w:sz w:val="20"/>
                <w:szCs w:val="20"/>
              </w:rPr>
            </w:pPr>
            <w:r>
              <w:rPr>
                <w:sz w:val="20"/>
                <w:szCs w:val="20"/>
              </w:rPr>
              <w:t>-</w:t>
            </w:r>
            <w:r w:rsidRPr="00640348">
              <w:rPr>
                <w:sz w:val="20"/>
                <w:szCs w:val="20"/>
              </w:rPr>
              <w:t xml:space="preserve">Must </w:t>
            </w:r>
            <w:r>
              <w:rPr>
                <w:sz w:val="20"/>
                <w:szCs w:val="20"/>
              </w:rPr>
              <w:t xml:space="preserve">have </w:t>
            </w:r>
            <w:r w:rsidRPr="00640348">
              <w:rPr>
                <w:sz w:val="20"/>
                <w:szCs w:val="20"/>
              </w:rPr>
              <w:t>demonstrate</w:t>
            </w:r>
            <w:r>
              <w:rPr>
                <w:sz w:val="20"/>
                <w:szCs w:val="20"/>
              </w:rPr>
              <w:t>d</w:t>
            </w:r>
            <w:r w:rsidRPr="00640348">
              <w:rPr>
                <w:sz w:val="20"/>
                <w:szCs w:val="20"/>
              </w:rPr>
              <w:t xml:space="preserve"> landings of any species in the snapper grouper FMU in 1993, 1994, 1995 or 1996; and have held valid </w:t>
            </w:r>
            <w:r>
              <w:rPr>
                <w:sz w:val="20"/>
                <w:szCs w:val="20"/>
              </w:rPr>
              <w:t>snapper grouper</w:t>
            </w:r>
            <w:r w:rsidRPr="00640348">
              <w:rPr>
                <w:sz w:val="20"/>
                <w:szCs w:val="20"/>
              </w:rPr>
              <w:t xml:space="preserve"> permit between 02/11/96 and 02/11/97</w:t>
            </w:r>
            <w:r>
              <w:rPr>
                <w:sz w:val="20"/>
                <w:szCs w:val="20"/>
              </w:rPr>
              <w:t>;</w:t>
            </w:r>
          </w:p>
          <w:p w14:paraId="7E3DC5FE" w14:textId="77777777" w:rsidR="002E3407" w:rsidRPr="00640348" w:rsidRDefault="002E3407" w:rsidP="00EE4E8C">
            <w:pPr>
              <w:rPr>
                <w:sz w:val="20"/>
                <w:szCs w:val="20"/>
              </w:rPr>
            </w:pPr>
            <w:r w:rsidRPr="00640348">
              <w:rPr>
                <w:sz w:val="20"/>
                <w:szCs w:val="20"/>
              </w:rPr>
              <w:t>-Granted transferable permit with unlimited landings if vessel landed ≥ 1,000 pounds (lb) of  snapper grouper species in any of the years</w:t>
            </w:r>
            <w:r>
              <w:rPr>
                <w:sz w:val="20"/>
                <w:szCs w:val="20"/>
              </w:rPr>
              <w:t>;</w:t>
            </w:r>
          </w:p>
          <w:p w14:paraId="22E1993C" w14:textId="77777777" w:rsidR="002E3407" w:rsidRPr="00640348" w:rsidRDefault="002E3407" w:rsidP="00EE4E8C">
            <w:pPr>
              <w:rPr>
                <w:sz w:val="20"/>
                <w:szCs w:val="20"/>
              </w:rPr>
            </w:pPr>
            <w:r w:rsidRPr="00640348">
              <w:rPr>
                <w:sz w:val="20"/>
                <w:szCs w:val="20"/>
              </w:rPr>
              <w:t>-Granted non-transferable permit with 225 lb trip limit to all other vessels</w:t>
            </w:r>
            <w:r>
              <w:rPr>
                <w:sz w:val="20"/>
                <w:szCs w:val="20"/>
              </w:rPr>
              <w:t>;</w:t>
            </w:r>
          </w:p>
          <w:p w14:paraId="43C0654B" w14:textId="77777777" w:rsidR="002E3407" w:rsidRPr="00640348" w:rsidRDefault="002E3407" w:rsidP="00EE4E8C">
            <w:pPr>
              <w:rPr>
                <w:sz w:val="20"/>
                <w:szCs w:val="20"/>
              </w:rPr>
            </w:pPr>
            <w:r w:rsidRPr="00640348">
              <w:rPr>
                <w:sz w:val="20"/>
                <w:szCs w:val="20"/>
              </w:rPr>
              <w:t>-Modified problems, objectives, OY, and overfishing definitions</w:t>
            </w:r>
            <w:r>
              <w:rPr>
                <w:sz w:val="20"/>
                <w:szCs w:val="20"/>
              </w:rPr>
              <w:t>;</w:t>
            </w:r>
          </w:p>
          <w:p w14:paraId="46FAC78F" w14:textId="77777777" w:rsidR="002E3407" w:rsidRPr="00640348" w:rsidRDefault="002E3407" w:rsidP="00EE4E8C">
            <w:pPr>
              <w:rPr>
                <w:sz w:val="20"/>
                <w:szCs w:val="20"/>
              </w:rPr>
            </w:pPr>
            <w:r w:rsidRPr="00640348">
              <w:rPr>
                <w:sz w:val="20"/>
                <w:szCs w:val="20"/>
              </w:rPr>
              <w:t xml:space="preserve">-Expanded </w:t>
            </w:r>
            <w:r>
              <w:rPr>
                <w:sz w:val="20"/>
                <w:szCs w:val="20"/>
              </w:rPr>
              <w:t>the Council’s</w:t>
            </w:r>
            <w:r w:rsidRPr="00640348">
              <w:rPr>
                <w:sz w:val="20"/>
                <w:szCs w:val="20"/>
              </w:rPr>
              <w:t xml:space="preserve"> habitat responsibility</w:t>
            </w:r>
            <w:r>
              <w:rPr>
                <w:sz w:val="20"/>
                <w:szCs w:val="20"/>
              </w:rPr>
              <w:t>;</w:t>
            </w:r>
          </w:p>
          <w:p w14:paraId="1DC6A692" w14:textId="77777777" w:rsidR="002E3407" w:rsidRPr="00640348" w:rsidRDefault="002E3407" w:rsidP="00EE4E8C">
            <w:pPr>
              <w:rPr>
                <w:sz w:val="20"/>
                <w:szCs w:val="20"/>
              </w:rPr>
            </w:pPr>
            <w:r w:rsidRPr="00640348">
              <w:rPr>
                <w:sz w:val="20"/>
                <w:szCs w:val="20"/>
              </w:rPr>
              <w:t>-Allowed retention of snapper grouper species in excess of bag limit on permitted vessel with a single bait net or cast nets on board</w:t>
            </w:r>
            <w:r>
              <w:rPr>
                <w:sz w:val="20"/>
                <w:szCs w:val="20"/>
              </w:rPr>
              <w:t>;</w:t>
            </w:r>
          </w:p>
          <w:p w14:paraId="68F0FEE9" w14:textId="77777777" w:rsidR="002E3407" w:rsidRPr="00640348" w:rsidRDefault="002E3407" w:rsidP="00EE4E8C">
            <w:pPr>
              <w:rPr>
                <w:sz w:val="20"/>
                <w:szCs w:val="20"/>
              </w:rPr>
            </w:pPr>
            <w:r w:rsidRPr="00640348">
              <w:rPr>
                <w:sz w:val="20"/>
                <w:szCs w:val="20"/>
              </w:rPr>
              <w:t>-Allowed permitted vessels to possess filleted fish harvested in the Bahamas under certain conditions.</w:t>
            </w:r>
          </w:p>
        </w:tc>
      </w:tr>
      <w:tr w:rsidR="002E3407" w14:paraId="21C62B19" w14:textId="77777777" w:rsidTr="00EE4E8C">
        <w:tc>
          <w:tcPr>
            <w:tcW w:w="1638" w:type="dxa"/>
            <w:vAlign w:val="center"/>
          </w:tcPr>
          <w:p w14:paraId="68EC9F13" w14:textId="77777777" w:rsidR="002E3407" w:rsidRPr="00640348" w:rsidRDefault="002E3407" w:rsidP="00EE4E8C">
            <w:pPr>
              <w:jc w:val="center"/>
              <w:rPr>
                <w:sz w:val="20"/>
                <w:szCs w:val="20"/>
              </w:rPr>
            </w:pPr>
            <w:r w:rsidRPr="00640348">
              <w:rPr>
                <w:sz w:val="20"/>
                <w:szCs w:val="20"/>
              </w:rPr>
              <w:t>Request not Implemented</w:t>
            </w:r>
          </w:p>
        </w:tc>
        <w:tc>
          <w:tcPr>
            <w:tcW w:w="1350" w:type="dxa"/>
            <w:vAlign w:val="center"/>
          </w:tcPr>
          <w:p w14:paraId="589F8507" w14:textId="77777777" w:rsidR="002E3407" w:rsidRPr="00640348" w:rsidRDefault="002E3407" w:rsidP="00EE4E8C">
            <w:pPr>
              <w:jc w:val="center"/>
              <w:rPr>
                <w:sz w:val="20"/>
                <w:szCs w:val="20"/>
              </w:rPr>
            </w:pPr>
            <w:r w:rsidRPr="00640348">
              <w:rPr>
                <w:sz w:val="20"/>
                <w:szCs w:val="20"/>
              </w:rPr>
              <w:t>1/22/99</w:t>
            </w:r>
          </w:p>
        </w:tc>
        <w:tc>
          <w:tcPr>
            <w:tcW w:w="1620" w:type="dxa"/>
            <w:vAlign w:val="center"/>
          </w:tcPr>
          <w:p w14:paraId="7ABF3CC6" w14:textId="77777777" w:rsidR="002E3407" w:rsidRPr="00640348" w:rsidRDefault="002E3407" w:rsidP="00EE4E8C">
            <w:pPr>
              <w:rPr>
                <w:sz w:val="20"/>
                <w:szCs w:val="20"/>
              </w:rPr>
            </w:pPr>
          </w:p>
        </w:tc>
        <w:tc>
          <w:tcPr>
            <w:tcW w:w="4590" w:type="dxa"/>
          </w:tcPr>
          <w:p w14:paraId="158B72F7" w14:textId="77777777" w:rsidR="002E3407" w:rsidRPr="00640348" w:rsidRDefault="002E3407" w:rsidP="00EE4E8C">
            <w:pPr>
              <w:rPr>
                <w:sz w:val="20"/>
                <w:szCs w:val="20"/>
              </w:rPr>
            </w:pPr>
            <w:r w:rsidRPr="00640348">
              <w:rPr>
                <w:sz w:val="20"/>
                <w:szCs w:val="20"/>
              </w:rPr>
              <w:t>-NMFS informed the Council that the final rule for Amendment 9 would be effective 2/24/99; therefore they did not implement the emergency rule</w:t>
            </w:r>
            <w:r>
              <w:rPr>
                <w:sz w:val="20"/>
                <w:szCs w:val="20"/>
              </w:rPr>
              <w:t>.</w:t>
            </w:r>
          </w:p>
        </w:tc>
      </w:tr>
      <w:tr w:rsidR="002E3407" w14:paraId="513B0442" w14:textId="77777777" w:rsidTr="00EE4E8C">
        <w:tc>
          <w:tcPr>
            <w:tcW w:w="1638" w:type="dxa"/>
            <w:vAlign w:val="center"/>
          </w:tcPr>
          <w:p w14:paraId="4A702EDB" w14:textId="77777777" w:rsidR="002E3407" w:rsidRDefault="002E3407" w:rsidP="00EE4E8C">
            <w:pPr>
              <w:jc w:val="center"/>
              <w:rPr>
                <w:sz w:val="20"/>
                <w:szCs w:val="20"/>
              </w:rPr>
            </w:pPr>
          </w:p>
          <w:p w14:paraId="4CC25A0E" w14:textId="77777777" w:rsidR="002E3407" w:rsidRDefault="002E3407" w:rsidP="00EE4E8C">
            <w:pPr>
              <w:jc w:val="center"/>
              <w:rPr>
                <w:sz w:val="20"/>
                <w:szCs w:val="20"/>
              </w:rPr>
            </w:pPr>
            <w:r w:rsidRPr="00640348">
              <w:rPr>
                <w:sz w:val="20"/>
                <w:szCs w:val="20"/>
              </w:rPr>
              <w:t>Regulatory Amendment #7</w:t>
            </w:r>
          </w:p>
          <w:p w14:paraId="5705A466" w14:textId="77777777" w:rsidR="002E3407" w:rsidRDefault="002E3407" w:rsidP="00EE4E8C">
            <w:pPr>
              <w:jc w:val="center"/>
              <w:rPr>
                <w:sz w:val="20"/>
                <w:szCs w:val="20"/>
              </w:rPr>
            </w:pPr>
          </w:p>
          <w:p w14:paraId="0E80CAAE" w14:textId="77777777" w:rsidR="002E3407" w:rsidRPr="00640348" w:rsidRDefault="002E3407" w:rsidP="00EE4E8C">
            <w:pPr>
              <w:jc w:val="center"/>
              <w:rPr>
                <w:sz w:val="20"/>
                <w:szCs w:val="20"/>
              </w:rPr>
            </w:pPr>
            <w:r w:rsidRPr="00640348">
              <w:rPr>
                <w:sz w:val="20"/>
                <w:szCs w:val="20"/>
              </w:rPr>
              <w:t>(1998a)</w:t>
            </w:r>
          </w:p>
        </w:tc>
        <w:tc>
          <w:tcPr>
            <w:tcW w:w="1350" w:type="dxa"/>
            <w:vAlign w:val="center"/>
          </w:tcPr>
          <w:p w14:paraId="7DEC1EB8" w14:textId="77777777" w:rsidR="002E3407" w:rsidRDefault="002E3407" w:rsidP="00EE4E8C">
            <w:pPr>
              <w:jc w:val="center"/>
              <w:rPr>
                <w:sz w:val="20"/>
                <w:szCs w:val="20"/>
              </w:rPr>
            </w:pPr>
          </w:p>
          <w:p w14:paraId="66636ACF" w14:textId="77777777" w:rsidR="002E3407" w:rsidRPr="00640348" w:rsidRDefault="002E3407" w:rsidP="00EE4E8C">
            <w:pPr>
              <w:jc w:val="center"/>
              <w:rPr>
                <w:sz w:val="20"/>
                <w:szCs w:val="20"/>
              </w:rPr>
            </w:pPr>
            <w:r w:rsidRPr="00640348">
              <w:rPr>
                <w:sz w:val="20"/>
                <w:szCs w:val="20"/>
              </w:rPr>
              <w:t>01/29/99</w:t>
            </w:r>
          </w:p>
        </w:tc>
        <w:tc>
          <w:tcPr>
            <w:tcW w:w="1620" w:type="dxa"/>
            <w:vAlign w:val="center"/>
          </w:tcPr>
          <w:p w14:paraId="0F056BAE" w14:textId="77777777" w:rsidR="002E3407" w:rsidRDefault="002E3407" w:rsidP="00EE4E8C">
            <w:pPr>
              <w:rPr>
                <w:sz w:val="20"/>
                <w:szCs w:val="20"/>
              </w:rPr>
            </w:pPr>
          </w:p>
          <w:p w14:paraId="5E00BBF0" w14:textId="77777777" w:rsidR="002E3407" w:rsidRPr="00640348" w:rsidRDefault="002E3407" w:rsidP="00EE4E8C">
            <w:pPr>
              <w:rPr>
                <w:sz w:val="20"/>
                <w:szCs w:val="20"/>
              </w:rPr>
            </w:pPr>
            <w:r w:rsidRPr="00640348">
              <w:rPr>
                <w:sz w:val="20"/>
                <w:szCs w:val="20"/>
              </w:rPr>
              <w:t>PR: 63 FR 43656</w:t>
            </w:r>
          </w:p>
          <w:p w14:paraId="5D36DC33" w14:textId="77777777" w:rsidR="002E3407" w:rsidRPr="00640348" w:rsidRDefault="002E3407" w:rsidP="00EE4E8C">
            <w:pPr>
              <w:rPr>
                <w:sz w:val="20"/>
                <w:szCs w:val="20"/>
              </w:rPr>
            </w:pPr>
            <w:r>
              <w:rPr>
                <w:sz w:val="20"/>
                <w:szCs w:val="20"/>
              </w:rPr>
              <w:t xml:space="preserve">FR: </w:t>
            </w:r>
            <w:r w:rsidRPr="00640348">
              <w:rPr>
                <w:sz w:val="20"/>
                <w:szCs w:val="20"/>
              </w:rPr>
              <w:t>63 FR 71793</w:t>
            </w:r>
          </w:p>
        </w:tc>
        <w:tc>
          <w:tcPr>
            <w:tcW w:w="4590" w:type="dxa"/>
          </w:tcPr>
          <w:p w14:paraId="1CAA6D97" w14:textId="77777777" w:rsidR="002E3407" w:rsidRPr="00640348" w:rsidRDefault="002E3407" w:rsidP="00EE4E8C">
            <w:pPr>
              <w:rPr>
                <w:sz w:val="20"/>
                <w:szCs w:val="20"/>
              </w:rPr>
            </w:pPr>
            <w:r w:rsidRPr="00640348">
              <w:rPr>
                <w:sz w:val="20"/>
                <w:szCs w:val="20"/>
              </w:rPr>
              <w:t>-Established 10 SMZs at artificial reefs off South Carolina.</w:t>
            </w:r>
          </w:p>
        </w:tc>
      </w:tr>
      <w:tr w:rsidR="002E3407" w14:paraId="52D92AD6" w14:textId="77777777" w:rsidTr="00EE4E8C">
        <w:trPr>
          <w:cantSplit/>
          <w:trHeight w:val="4060"/>
        </w:trPr>
        <w:tc>
          <w:tcPr>
            <w:tcW w:w="1638" w:type="dxa"/>
            <w:tcBorders>
              <w:bottom w:val="single" w:sz="4" w:space="0" w:color="auto"/>
            </w:tcBorders>
            <w:shd w:val="clear" w:color="auto" w:fill="D9D9D9" w:themeFill="background1" w:themeFillShade="D9"/>
            <w:vAlign w:val="center"/>
          </w:tcPr>
          <w:p w14:paraId="601F3FFA" w14:textId="77777777" w:rsidR="002E3407" w:rsidRDefault="002E3407" w:rsidP="00EE4E8C">
            <w:pPr>
              <w:jc w:val="center"/>
              <w:rPr>
                <w:sz w:val="20"/>
                <w:szCs w:val="20"/>
              </w:rPr>
            </w:pPr>
            <w:r>
              <w:rPr>
                <w:sz w:val="20"/>
                <w:szCs w:val="20"/>
              </w:rPr>
              <w:lastRenderedPageBreak/>
              <w:t>Amendment #9</w:t>
            </w:r>
          </w:p>
          <w:p w14:paraId="29E63828" w14:textId="77777777" w:rsidR="002E3407" w:rsidRDefault="002E3407" w:rsidP="00EE4E8C">
            <w:pPr>
              <w:jc w:val="center"/>
              <w:rPr>
                <w:sz w:val="20"/>
                <w:szCs w:val="20"/>
              </w:rPr>
            </w:pPr>
          </w:p>
          <w:p w14:paraId="00052450" w14:textId="77777777" w:rsidR="002E3407" w:rsidRPr="00640348" w:rsidRDefault="002E3407" w:rsidP="00EE4E8C">
            <w:pPr>
              <w:jc w:val="center"/>
              <w:rPr>
                <w:sz w:val="20"/>
                <w:szCs w:val="20"/>
              </w:rPr>
            </w:pPr>
            <w:r>
              <w:rPr>
                <w:sz w:val="20"/>
                <w:szCs w:val="20"/>
              </w:rPr>
              <w:t>(1998</w:t>
            </w:r>
            <w:r w:rsidRPr="00640348">
              <w:rPr>
                <w:sz w:val="20"/>
                <w:szCs w:val="20"/>
              </w:rPr>
              <w:t>)</w:t>
            </w:r>
          </w:p>
        </w:tc>
        <w:tc>
          <w:tcPr>
            <w:tcW w:w="1350" w:type="dxa"/>
            <w:tcBorders>
              <w:bottom w:val="single" w:sz="4" w:space="0" w:color="auto"/>
            </w:tcBorders>
            <w:shd w:val="clear" w:color="auto" w:fill="D9D9D9" w:themeFill="background1" w:themeFillShade="D9"/>
            <w:vAlign w:val="center"/>
          </w:tcPr>
          <w:p w14:paraId="604EB301" w14:textId="77777777" w:rsidR="002E3407" w:rsidRPr="00640348" w:rsidRDefault="002E3407" w:rsidP="00EE4E8C">
            <w:pPr>
              <w:pStyle w:val="FootnoteText"/>
              <w:jc w:val="center"/>
            </w:pPr>
            <w:r w:rsidRPr="00640348">
              <w:t>2/24/99</w:t>
            </w:r>
          </w:p>
        </w:tc>
        <w:tc>
          <w:tcPr>
            <w:tcW w:w="1620" w:type="dxa"/>
            <w:tcBorders>
              <w:bottom w:val="single" w:sz="4" w:space="0" w:color="auto"/>
            </w:tcBorders>
            <w:shd w:val="clear" w:color="auto" w:fill="D9D9D9" w:themeFill="background1" w:themeFillShade="D9"/>
            <w:vAlign w:val="center"/>
          </w:tcPr>
          <w:p w14:paraId="46361211" w14:textId="77777777" w:rsidR="002E3407" w:rsidRPr="00640348" w:rsidRDefault="002E3407" w:rsidP="00EE4E8C">
            <w:pPr>
              <w:rPr>
                <w:sz w:val="20"/>
                <w:szCs w:val="20"/>
              </w:rPr>
            </w:pPr>
            <w:r w:rsidRPr="00640348">
              <w:rPr>
                <w:sz w:val="20"/>
                <w:szCs w:val="20"/>
              </w:rPr>
              <w:t>PR: 63 FR 63276</w:t>
            </w:r>
          </w:p>
          <w:p w14:paraId="236002AD" w14:textId="77777777" w:rsidR="002E3407" w:rsidRPr="00640348" w:rsidRDefault="002E3407" w:rsidP="00EE4E8C">
            <w:pPr>
              <w:rPr>
                <w:sz w:val="20"/>
                <w:szCs w:val="20"/>
              </w:rPr>
            </w:pPr>
            <w:r>
              <w:rPr>
                <w:sz w:val="20"/>
                <w:szCs w:val="20"/>
              </w:rPr>
              <w:t xml:space="preserve">FR: </w:t>
            </w:r>
            <w:r w:rsidRPr="00640348">
              <w:rPr>
                <w:sz w:val="20"/>
                <w:szCs w:val="20"/>
              </w:rPr>
              <w:t>64 FR 3624</w:t>
            </w:r>
          </w:p>
        </w:tc>
        <w:tc>
          <w:tcPr>
            <w:tcW w:w="4590" w:type="dxa"/>
            <w:tcBorders>
              <w:bottom w:val="single" w:sz="4" w:space="0" w:color="auto"/>
            </w:tcBorders>
            <w:shd w:val="clear" w:color="auto" w:fill="D9D9D9" w:themeFill="background1" w:themeFillShade="D9"/>
          </w:tcPr>
          <w:p w14:paraId="35535AEC" w14:textId="77777777" w:rsidR="002E3407" w:rsidRPr="00640348" w:rsidRDefault="002E3407" w:rsidP="00EE4E8C">
            <w:pPr>
              <w:rPr>
                <w:sz w:val="20"/>
                <w:szCs w:val="20"/>
              </w:rPr>
            </w:pPr>
            <w:r w:rsidRPr="00640348">
              <w:rPr>
                <w:sz w:val="20"/>
                <w:szCs w:val="20"/>
              </w:rPr>
              <w:t>-</w:t>
            </w:r>
            <w:r w:rsidRPr="00640348">
              <w:rPr>
                <w:sz w:val="20"/>
                <w:szCs w:val="20"/>
                <w:u w:val="single"/>
              </w:rPr>
              <w:t>Red porgy</w:t>
            </w:r>
            <w:r w:rsidRPr="00640348">
              <w:rPr>
                <w:sz w:val="20"/>
                <w:szCs w:val="20"/>
              </w:rPr>
              <w:t>: 14” TL (recreational and commercial); 5 fish rec. bag limit; no harvest or possession &gt; bag limit, and no purchase or sale, in March and April</w:t>
            </w:r>
            <w:r>
              <w:rPr>
                <w:sz w:val="20"/>
                <w:szCs w:val="20"/>
              </w:rPr>
              <w:t>;</w:t>
            </w:r>
          </w:p>
          <w:p w14:paraId="59D3F2CA" w14:textId="77777777" w:rsidR="002E3407" w:rsidRPr="00640348" w:rsidRDefault="002E3407" w:rsidP="00EE4E8C">
            <w:pPr>
              <w:rPr>
                <w:sz w:val="20"/>
                <w:szCs w:val="20"/>
              </w:rPr>
            </w:pPr>
            <w:r w:rsidRPr="00640348">
              <w:rPr>
                <w:sz w:val="20"/>
                <w:szCs w:val="20"/>
              </w:rPr>
              <w:t>-</w:t>
            </w:r>
            <w:r w:rsidRPr="00640348">
              <w:rPr>
                <w:sz w:val="20"/>
                <w:szCs w:val="20"/>
                <w:u w:val="single"/>
              </w:rPr>
              <w:t>Black sea bass</w:t>
            </w:r>
            <w:r w:rsidRPr="00640348">
              <w:rPr>
                <w:sz w:val="20"/>
                <w:szCs w:val="20"/>
              </w:rPr>
              <w:t>:  10” TL (recreational and commercial); 20 fish rec. bag limit; required escape vents and escape panels with degradable fasteners in bsb pots</w:t>
            </w:r>
            <w:r>
              <w:rPr>
                <w:sz w:val="20"/>
                <w:szCs w:val="20"/>
              </w:rPr>
              <w:t>;</w:t>
            </w:r>
          </w:p>
          <w:p w14:paraId="33160E2B" w14:textId="77777777" w:rsidR="002E3407" w:rsidRPr="00640348" w:rsidRDefault="002E3407" w:rsidP="00EE4E8C">
            <w:pPr>
              <w:rPr>
                <w:sz w:val="20"/>
                <w:szCs w:val="20"/>
              </w:rPr>
            </w:pPr>
            <w:r w:rsidRPr="00640348">
              <w:rPr>
                <w:sz w:val="20"/>
                <w:szCs w:val="20"/>
              </w:rPr>
              <w:t>-</w:t>
            </w:r>
            <w:r w:rsidRPr="00640348">
              <w:rPr>
                <w:sz w:val="20"/>
                <w:szCs w:val="20"/>
                <w:u w:val="single"/>
              </w:rPr>
              <w:t>Greater amberjack</w:t>
            </w:r>
            <w:r w:rsidRPr="00640348">
              <w:rPr>
                <w:sz w:val="20"/>
                <w:szCs w:val="20"/>
              </w:rPr>
              <w:t>:  1 fish rec. bag limit; no harvest or possession &gt; bag limit, and no purchase or sale, during April; quota = 1,169,931 lb; began fishing year May 1; prohibited coring</w:t>
            </w:r>
            <w:r>
              <w:rPr>
                <w:sz w:val="20"/>
                <w:szCs w:val="20"/>
              </w:rPr>
              <w:t>;</w:t>
            </w:r>
          </w:p>
          <w:p w14:paraId="702A58D7" w14:textId="77777777" w:rsidR="002E3407" w:rsidRPr="00640348" w:rsidRDefault="002E3407" w:rsidP="00EE4E8C">
            <w:pPr>
              <w:rPr>
                <w:sz w:val="20"/>
                <w:szCs w:val="20"/>
              </w:rPr>
            </w:pPr>
            <w:r w:rsidRPr="00640348">
              <w:rPr>
                <w:sz w:val="20"/>
                <w:szCs w:val="20"/>
              </w:rPr>
              <w:t xml:space="preserve">-Specified size limits for several snapper grouper species (indicated in parentheses in inches TL): including yellowtail snapper (12), mutton snapper (16), red snapper (20); red grouper, yellowfin grouper, yellowmouth grouper, and scamp (20) </w:t>
            </w:r>
            <w:r>
              <w:rPr>
                <w:sz w:val="20"/>
                <w:szCs w:val="20"/>
              </w:rPr>
              <w:t>;</w:t>
            </w:r>
          </w:p>
          <w:p w14:paraId="239F2C6A" w14:textId="77777777" w:rsidR="002E3407" w:rsidRPr="00640348" w:rsidRDefault="002E3407" w:rsidP="00EE4E8C">
            <w:pPr>
              <w:rPr>
                <w:sz w:val="20"/>
                <w:szCs w:val="20"/>
              </w:rPr>
            </w:pPr>
            <w:r w:rsidRPr="00640348">
              <w:rPr>
                <w:sz w:val="20"/>
                <w:szCs w:val="20"/>
              </w:rPr>
              <w:t>-</w:t>
            </w:r>
            <w:r w:rsidRPr="00640348">
              <w:rPr>
                <w:sz w:val="20"/>
                <w:szCs w:val="20"/>
                <w:u w:val="single"/>
              </w:rPr>
              <w:t>Vermilion snapper</w:t>
            </w:r>
            <w:r w:rsidRPr="00640348">
              <w:rPr>
                <w:sz w:val="20"/>
                <w:szCs w:val="20"/>
              </w:rPr>
              <w:t>:  11” TL (recreational), 12” TL commercial</w:t>
            </w:r>
            <w:r>
              <w:rPr>
                <w:sz w:val="20"/>
                <w:szCs w:val="20"/>
              </w:rPr>
              <w:t>;</w:t>
            </w:r>
          </w:p>
          <w:p w14:paraId="2C779F2C" w14:textId="77777777" w:rsidR="002E3407" w:rsidRPr="00640348" w:rsidRDefault="002E3407" w:rsidP="00EE4E8C">
            <w:pPr>
              <w:rPr>
                <w:sz w:val="20"/>
                <w:szCs w:val="20"/>
              </w:rPr>
            </w:pPr>
            <w:r w:rsidRPr="00640348">
              <w:rPr>
                <w:sz w:val="20"/>
                <w:szCs w:val="20"/>
              </w:rPr>
              <w:t>-</w:t>
            </w:r>
            <w:r w:rsidRPr="00640348">
              <w:rPr>
                <w:sz w:val="20"/>
                <w:szCs w:val="20"/>
                <w:u w:val="single"/>
              </w:rPr>
              <w:t>Gag</w:t>
            </w:r>
            <w:r w:rsidRPr="00640348">
              <w:rPr>
                <w:sz w:val="20"/>
                <w:szCs w:val="20"/>
              </w:rPr>
              <w:t xml:space="preserve">:  24” TL (recreational); no commercial harvest or possession &gt; bag limit, and no purchase </w:t>
            </w:r>
            <w:r>
              <w:rPr>
                <w:sz w:val="20"/>
                <w:szCs w:val="20"/>
              </w:rPr>
              <w:t>or sale, during March and April;</w:t>
            </w:r>
          </w:p>
          <w:p w14:paraId="04222B76" w14:textId="77777777" w:rsidR="002E3407" w:rsidRPr="00640348" w:rsidRDefault="002E3407" w:rsidP="00EE4E8C">
            <w:pPr>
              <w:rPr>
                <w:sz w:val="20"/>
                <w:szCs w:val="20"/>
              </w:rPr>
            </w:pPr>
            <w:r w:rsidRPr="00640348">
              <w:rPr>
                <w:sz w:val="20"/>
                <w:szCs w:val="20"/>
              </w:rPr>
              <w:t>-</w:t>
            </w:r>
            <w:r w:rsidRPr="00640348">
              <w:rPr>
                <w:sz w:val="20"/>
                <w:szCs w:val="20"/>
                <w:u w:val="single"/>
              </w:rPr>
              <w:t>Black grouper</w:t>
            </w:r>
            <w:r w:rsidRPr="00640348">
              <w:rPr>
                <w:sz w:val="20"/>
                <w:szCs w:val="20"/>
              </w:rPr>
              <w:t>:  24” TL (recreational and commercial); no harvest or possession &gt; bag limit, and no purchase or sale, during March and April</w:t>
            </w:r>
            <w:r>
              <w:rPr>
                <w:sz w:val="20"/>
                <w:szCs w:val="20"/>
              </w:rPr>
              <w:t>;</w:t>
            </w:r>
          </w:p>
          <w:p w14:paraId="2DEA047E" w14:textId="77777777" w:rsidR="002E3407" w:rsidRPr="00640348" w:rsidRDefault="002E3407" w:rsidP="00EE4E8C">
            <w:pPr>
              <w:rPr>
                <w:sz w:val="20"/>
                <w:szCs w:val="20"/>
              </w:rPr>
            </w:pPr>
            <w:r w:rsidRPr="00640348">
              <w:rPr>
                <w:sz w:val="20"/>
                <w:szCs w:val="20"/>
              </w:rPr>
              <w:t>-</w:t>
            </w:r>
            <w:r w:rsidRPr="00640348">
              <w:rPr>
                <w:sz w:val="20"/>
                <w:szCs w:val="20"/>
                <w:u w:val="single"/>
              </w:rPr>
              <w:t>Gag and Black grouper</w:t>
            </w:r>
            <w:r w:rsidRPr="00640348">
              <w:rPr>
                <w:sz w:val="20"/>
                <w:szCs w:val="20"/>
              </w:rPr>
              <w:t>:  within 5 fish aggregate grouper bag limit, no more than 2 fish may be gag or black grouper (individually or in combination)</w:t>
            </w:r>
            <w:r>
              <w:rPr>
                <w:sz w:val="20"/>
                <w:szCs w:val="20"/>
              </w:rPr>
              <w:t>;</w:t>
            </w:r>
          </w:p>
          <w:p w14:paraId="05BB1936" w14:textId="77777777" w:rsidR="002E3407" w:rsidRPr="00640348" w:rsidRDefault="002E3407" w:rsidP="00EE4E8C">
            <w:pPr>
              <w:rPr>
                <w:sz w:val="20"/>
                <w:szCs w:val="20"/>
              </w:rPr>
            </w:pPr>
            <w:r w:rsidRPr="00640348">
              <w:rPr>
                <w:sz w:val="20"/>
                <w:szCs w:val="20"/>
              </w:rPr>
              <w:t>-</w:t>
            </w:r>
            <w:r w:rsidRPr="00640348">
              <w:rPr>
                <w:sz w:val="20"/>
                <w:szCs w:val="20"/>
                <w:u w:val="single"/>
              </w:rPr>
              <w:t>All snapper grouper without a bag limit</w:t>
            </w:r>
            <w:r w:rsidRPr="00640348">
              <w:rPr>
                <w:sz w:val="20"/>
                <w:szCs w:val="20"/>
              </w:rPr>
              <w:t>:  aggregate recreational bag limit 20 fish/person/day, excluding tomtate and blue runner</w:t>
            </w:r>
            <w:r>
              <w:rPr>
                <w:sz w:val="20"/>
                <w:szCs w:val="20"/>
              </w:rPr>
              <w:t>;</w:t>
            </w:r>
          </w:p>
          <w:p w14:paraId="75C2F25F" w14:textId="77777777" w:rsidR="002E3407" w:rsidRPr="00640348" w:rsidRDefault="002E3407" w:rsidP="00EE4E8C">
            <w:pPr>
              <w:rPr>
                <w:sz w:val="20"/>
                <w:szCs w:val="20"/>
              </w:rPr>
            </w:pPr>
            <w:r w:rsidRPr="00640348">
              <w:rPr>
                <w:sz w:val="20"/>
                <w:szCs w:val="20"/>
              </w:rPr>
              <w:t>-</w:t>
            </w:r>
            <w:r w:rsidRPr="00640348">
              <w:rPr>
                <w:sz w:val="20"/>
                <w:szCs w:val="20"/>
                <w:u w:val="single"/>
              </w:rPr>
              <w:t>Vessels with longline gear</w:t>
            </w:r>
            <w:r w:rsidRPr="00640348">
              <w:rPr>
                <w:sz w:val="20"/>
                <w:szCs w:val="20"/>
              </w:rPr>
              <w:t xml:space="preserve"> aboard may only possess snowy, warsaw, yellowedge, and misty grouper, and golden, blueline and sand tilefish</w:t>
            </w:r>
            <w:r>
              <w:rPr>
                <w:sz w:val="20"/>
                <w:szCs w:val="20"/>
              </w:rPr>
              <w:t>.</w:t>
            </w:r>
          </w:p>
        </w:tc>
      </w:tr>
      <w:tr w:rsidR="002E3407" w14:paraId="47FC12CC" w14:textId="77777777" w:rsidTr="00EE4E8C">
        <w:tc>
          <w:tcPr>
            <w:tcW w:w="1638" w:type="dxa"/>
            <w:vAlign w:val="center"/>
          </w:tcPr>
          <w:p w14:paraId="704D2530" w14:textId="77777777" w:rsidR="002E3407" w:rsidRPr="00640348" w:rsidRDefault="002E3407" w:rsidP="00EE4E8C">
            <w:pPr>
              <w:jc w:val="center"/>
              <w:rPr>
                <w:sz w:val="20"/>
                <w:szCs w:val="20"/>
              </w:rPr>
            </w:pPr>
            <w:r w:rsidRPr="00640348">
              <w:rPr>
                <w:sz w:val="20"/>
                <w:szCs w:val="20"/>
              </w:rPr>
              <w:t>Emergency Action</w:t>
            </w:r>
          </w:p>
        </w:tc>
        <w:tc>
          <w:tcPr>
            <w:tcW w:w="1350" w:type="dxa"/>
            <w:vAlign w:val="center"/>
          </w:tcPr>
          <w:p w14:paraId="5A988D49" w14:textId="77777777" w:rsidR="002E3407" w:rsidRPr="00640348" w:rsidRDefault="002E3407" w:rsidP="00EE4E8C">
            <w:pPr>
              <w:jc w:val="center"/>
              <w:rPr>
                <w:sz w:val="20"/>
                <w:szCs w:val="20"/>
              </w:rPr>
            </w:pPr>
            <w:r w:rsidRPr="00640348">
              <w:rPr>
                <w:sz w:val="20"/>
                <w:szCs w:val="20"/>
              </w:rPr>
              <w:t>9/3/99</w:t>
            </w:r>
          </w:p>
        </w:tc>
        <w:tc>
          <w:tcPr>
            <w:tcW w:w="1620" w:type="dxa"/>
            <w:vAlign w:val="center"/>
          </w:tcPr>
          <w:p w14:paraId="29710442" w14:textId="77777777" w:rsidR="002E3407" w:rsidRPr="00640348" w:rsidRDefault="002E3407" w:rsidP="00EE4E8C">
            <w:pPr>
              <w:rPr>
                <w:sz w:val="20"/>
                <w:szCs w:val="20"/>
              </w:rPr>
            </w:pPr>
            <w:r w:rsidRPr="00640348">
              <w:rPr>
                <w:sz w:val="20"/>
                <w:szCs w:val="20"/>
              </w:rPr>
              <w:t>64 FR 48326</w:t>
            </w:r>
          </w:p>
        </w:tc>
        <w:tc>
          <w:tcPr>
            <w:tcW w:w="4590" w:type="dxa"/>
          </w:tcPr>
          <w:p w14:paraId="6FBD308A" w14:textId="77777777" w:rsidR="002E3407" w:rsidRPr="00640348" w:rsidRDefault="002E3407" w:rsidP="00EE4E8C">
            <w:pPr>
              <w:rPr>
                <w:sz w:val="20"/>
                <w:szCs w:val="20"/>
              </w:rPr>
            </w:pPr>
            <w:r w:rsidRPr="00640348">
              <w:rPr>
                <w:sz w:val="20"/>
                <w:szCs w:val="20"/>
              </w:rPr>
              <w:t>-Reopened the Amendment 8 permit application process</w:t>
            </w:r>
            <w:r>
              <w:rPr>
                <w:sz w:val="20"/>
                <w:szCs w:val="20"/>
              </w:rPr>
              <w:t>.</w:t>
            </w:r>
          </w:p>
        </w:tc>
      </w:tr>
      <w:tr w:rsidR="002E3407" w14:paraId="0CE6AFF1" w14:textId="77777777" w:rsidTr="00EE4E8C">
        <w:tc>
          <w:tcPr>
            <w:tcW w:w="1638" w:type="dxa"/>
            <w:vAlign w:val="center"/>
          </w:tcPr>
          <w:p w14:paraId="2C69EEE8" w14:textId="77777777" w:rsidR="002E3407" w:rsidRPr="00640348" w:rsidRDefault="002E3407" w:rsidP="00EE4E8C">
            <w:pPr>
              <w:jc w:val="center"/>
              <w:rPr>
                <w:sz w:val="20"/>
                <w:szCs w:val="20"/>
              </w:rPr>
            </w:pPr>
            <w:r w:rsidRPr="00640348">
              <w:rPr>
                <w:sz w:val="20"/>
                <w:szCs w:val="20"/>
              </w:rPr>
              <w:t>Emergency Interim Rule</w:t>
            </w:r>
          </w:p>
        </w:tc>
        <w:tc>
          <w:tcPr>
            <w:tcW w:w="1350" w:type="dxa"/>
            <w:vAlign w:val="center"/>
          </w:tcPr>
          <w:p w14:paraId="76FF091A" w14:textId="77777777" w:rsidR="002E3407" w:rsidRPr="00640348" w:rsidRDefault="002E3407" w:rsidP="00EE4E8C">
            <w:pPr>
              <w:jc w:val="center"/>
              <w:rPr>
                <w:sz w:val="20"/>
                <w:szCs w:val="20"/>
              </w:rPr>
            </w:pPr>
            <w:r w:rsidRPr="00640348">
              <w:rPr>
                <w:sz w:val="20"/>
                <w:szCs w:val="20"/>
              </w:rPr>
              <w:t>09/08/99, expired  08/28/00</w:t>
            </w:r>
          </w:p>
        </w:tc>
        <w:tc>
          <w:tcPr>
            <w:tcW w:w="1620" w:type="dxa"/>
            <w:vAlign w:val="center"/>
          </w:tcPr>
          <w:p w14:paraId="310D2DF2" w14:textId="77777777" w:rsidR="002E3407" w:rsidRPr="00640348" w:rsidRDefault="002E3407" w:rsidP="00EE4E8C">
            <w:pPr>
              <w:rPr>
                <w:sz w:val="20"/>
                <w:szCs w:val="20"/>
              </w:rPr>
            </w:pPr>
          </w:p>
          <w:p w14:paraId="61A86E5C" w14:textId="77777777" w:rsidR="002E3407" w:rsidRPr="00640348" w:rsidRDefault="002E3407" w:rsidP="00EE4E8C">
            <w:pPr>
              <w:rPr>
                <w:sz w:val="20"/>
                <w:szCs w:val="20"/>
              </w:rPr>
            </w:pPr>
            <w:r w:rsidRPr="00640348">
              <w:rPr>
                <w:sz w:val="20"/>
                <w:szCs w:val="20"/>
              </w:rPr>
              <w:t>64 FR 48324</w:t>
            </w:r>
          </w:p>
          <w:p w14:paraId="159EAA46" w14:textId="77777777" w:rsidR="002E3407" w:rsidRPr="00640348" w:rsidRDefault="002E3407" w:rsidP="00EE4E8C">
            <w:pPr>
              <w:rPr>
                <w:sz w:val="20"/>
                <w:szCs w:val="20"/>
              </w:rPr>
            </w:pPr>
            <w:r w:rsidRPr="00640348">
              <w:rPr>
                <w:sz w:val="20"/>
                <w:szCs w:val="20"/>
              </w:rPr>
              <w:t xml:space="preserve">and </w:t>
            </w:r>
          </w:p>
          <w:p w14:paraId="02F6F3A9" w14:textId="77777777" w:rsidR="002E3407" w:rsidRPr="00640348" w:rsidRDefault="002E3407" w:rsidP="00EE4E8C">
            <w:pPr>
              <w:rPr>
                <w:sz w:val="20"/>
                <w:szCs w:val="20"/>
              </w:rPr>
            </w:pPr>
            <w:r w:rsidRPr="00640348">
              <w:rPr>
                <w:sz w:val="20"/>
                <w:szCs w:val="20"/>
              </w:rPr>
              <w:t>65 FR 10040</w:t>
            </w:r>
          </w:p>
        </w:tc>
        <w:tc>
          <w:tcPr>
            <w:tcW w:w="4590" w:type="dxa"/>
          </w:tcPr>
          <w:p w14:paraId="56EE3EA9" w14:textId="77777777" w:rsidR="002E3407" w:rsidRPr="00640348" w:rsidRDefault="002E3407" w:rsidP="00EE4E8C">
            <w:pPr>
              <w:pStyle w:val="FootnoteText"/>
            </w:pPr>
            <w:r w:rsidRPr="00640348">
              <w:t>-Prohibited harvest or possession of red porgy</w:t>
            </w:r>
            <w:r>
              <w:t>.</w:t>
            </w:r>
          </w:p>
        </w:tc>
      </w:tr>
      <w:tr w:rsidR="002E3407" w14:paraId="1B97C157" w14:textId="77777777" w:rsidTr="00EE4E8C">
        <w:trPr>
          <w:cantSplit/>
          <w:trHeight w:val="5700"/>
        </w:trPr>
        <w:tc>
          <w:tcPr>
            <w:tcW w:w="1638" w:type="dxa"/>
            <w:tcBorders>
              <w:bottom w:val="single" w:sz="4" w:space="0" w:color="auto"/>
            </w:tcBorders>
            <w:shd w:val="clear" w:color="auto" w:fill="D9D9D9" w:themeFill="background1" w:themeFillShade="D9"/>
            <w:vAlign w:val="center"/>
          </w:tcPr>
          <w:p w14:paraId="08F8732A" w14:textId="77777777" w:rsidR="002E3407" w:rsidRDefault="002E3407" w:rsidP="00EE4E8C">
            <w:pPr>
              <w:jc w:val="center"/>
              <w:rPr>
                <w:sz w:val="20"/>
                <w:szCs w:val="20"/>
              </w:rPr>
            </w:pPr>
            <w:r w:rsidRPr="00640348">
              <w:rPr>
                <w:sz w:val="20"/>
                <w:szCs w:val="20"/>
              </w:rPr>
              <w:lastRenderedPageBreak/>
              <w:t>Amendment #11</w:t>
            </w:r>
          </w:p>
          <w:p w14:paraId="3E66D817" w14:textId="77777777" w:rsidR="002E3407" w:rsidRDefault="002E3407" w:rsidP="00EE4E8C">
            <w:pPr>
              <w:jc w:val="center"/>
              <w:rPr>
                <w:sz w:val="20"/>
                <w:szCs w:val="20"/>
              </w:rPr>
            </w:pPr>
          </w:p>
          <w:p w14:paraId="0A7CCF4A" w14:textId="77777777" w:rsidR="002E3407" w:rsidRDefault="002E3407" w:rsidP="00EE4E8C">
            <w:pPr>
              <w:jc w:val="center"/>
              <w:rPr>
                <w:sz w:val="20"/>
                <w:szCs w:val="20"/>
              </w:rPr>
            </w:pPr>
            <w:r>
              <w:rPr>
                <w:sz w:val="20"/>
                <w:szCs w:val="20"/>
              </w:rPr>
              <w:t>Comprehensive Sustainable Fisheries Act Amendment</w:t>
            </w:r>
          </w:p>
          <w:p w14:paraId="7128F0B1" w14:textId="77777777" w:rsidR="002E3407" w:rsidRDefault="002E3407" w:rsidP="00EE4E8C">
            <w:pPr>
              <w:jc w:val="center"/>
              <w:rPr>
                <w:sz w:val="20"/>
                <w:szCs w:val="20"/>
              </w:rPr>
            </w:pPr>
          </w:p>
          <w:p w14:paraId="4AA6B9F3" w14:textId="77777777" w:rsidR="002E3407" w:rsidRPr="00640348" w:rsidRDefault="002E3407" w:rsidP="00EE4E8C">
            <w:pPr>
              <w:jc w:val="center"/>
              <w:rPr>
                <w:sz w:val="20"/>
                <w:szCs w:val="20"/>
              </w:rPr>
            </w:pPr>
            <w:r>
              <w:rPr>
                <w:sz w:val="20"/>
                <w:szCs w:val="20"/>
              </w:rPr>
              <w:t>(1998)</w:t>
            </w:r>
          </w:p>
        </w:tc>
        <w:tc>
          <w:tcPr>
            <w:tcW w:w="1350" w:type="dxa"/>
            <w:tcBorders>
              <w:bottom w:val="single" w:sz="4" w:space="0" w:color="auto"/>
            </w:tcBorders>
            <w:shd w:val="clear" w:color="auto" w:fill="D9D9D9" w:themeFill="background1" w:themeFillShade="D9"/>
            <w:vAlign w:val="center"/>
          </w:tcPr>
          <w:p w14:paraId="79387EA8" w14:textId="77777777" w:rsidR="002E3407" w:rsidRPr="00640348" w:rsidRDefault="002E3407" w:rsidP="00EE4E8C">
            <w:pPr>
              <w:jc w:val="center"/>
              <w:rPr>
                <w:sz w:val="20"/>
                <w:szCs w:val="20"/>
              </w:rPr>
            </w:pPr>
            <w:r w:rsidRPr="00640348">
              <w:rPr>
                <w:sz w:val="20"/>
                <w:szCs w:val="20"/>
              </w:rPr>
              <w:t>12/02/99</w:t>
            </w:r>
          </w:p>
        </w:tc>
        <w:tc>
          <w:tcPr>
            <w:tcW w:w="1620" w:type="dxa"/>
            <w:tcBorders>
              <w:bottom w:val="single" w:sz="4" w:space="0" w:color="auto"/>
            </w:tcBorders>
            <w:shd w:val="clear" w:color="auto" w:fill="D9D9D9" w:themeFill="background1" w:themeFillShade="D9"/>
            <w:vAlign w:val="center"/>
          </w:tcPr>
          <w:p w14:paraId="075FFC01" w14:textId="77777777" w:rsidR="002E3407" w:rsidRPr="00640348" w:rsidRDefault="002E3407" w:rsidP="00EE4E8C">
            <w:pPr>
              <w:rPr>
                <w:sz w:val="20"/>
                <w:szCs w:val="20"/>
              </w:rPr>
            </w:pPr>
            <w:r w:rsidRPr="00640348">
              <w:rPr>
                <w:sz w:val="20"/>
                <w:szCs w:val="20"/>
              </w:rPr>
              <w:t>PR: 64 FR 27952</w:t>
            </w:r>
          </w:p>
          <w:p w14:paraId="08536757" w14:textId="77777777" w:rsidR="002E3407" w:rsidRPr="00640348" w:rsidRDefault="002E3407" w:rsidP="00EE4E8C">
            <w:pPr>
              <w:pStyle w:val="FootnoteText"/>
            </w:pPr>
            <w:r>
              <w:t xml:space="preserve">FR: </w:t>
            </w:r>
            <w:r w:rsidRPr="00640348">
              <w:t>64 FR 59126</w:t>
            </w:r>
          </w:p>
        </w:tc>
        <w:tc>
          <w:tcPr>
            <w:tcW w:w="4590" w:type="dxa"/>
            <w:tcBorders>
              <w:bottom w:val="single" w:sz="4" w:space="0" w:color="auto"/>
            </w:tcBorders>
            <w:shd w:val="clear" w:color="auto" w:fill="D9D9D9" w:themeFill="background1" w:themeFillShade="D9"/>
          </w:tcPr>
          <w:p w14:paraId="02B03832" w14:textId="77777777" w:rsidR="002E3407" w:rsidRPr="00640348" w:rsidRDefault="002E3407" w:rsidP="00EE4E8C">
            <w:pPr>
              <w:rPr>
                <w:sz w:val="20"/>
                <w:szCs w:val="20"/>
              </w:rPr>
            </w:pPr>
            <w:r w:rsidRPr="00640348">
              <w:rPr>
                <w:sz w:val="20"/>
                <w:szCs w:val="20"/>
              </w:rPr>
              <w:t>-Maximum sustainable yield (MSY) proxy:  goliath and Nassau grouper = 40% static spawning potential ratio (SPR); all other species = 30% static SPR</w:t>
            </w:r>
            <w:r>
              <w:rPr>
                <w:sz w:val="20"/>
                <w:szCs w:val="20"/>
              </w:rPr>
              <w:t>;</w:t>
            </w:r>
          </w:p>
          <w:p w14:paraId="3D68837F" w14:textId="77777777" w:rsidR="002E3407" w:rsidRPr="00640348" w:rsidRDefault="002E3407" w:rsidP="00EE4E8C">
            <w:pPr>
              <w:rPr>
                <w:sz w:val="20"/>
                <w:szCs w:val="20"/>
              </w:rPr>
            </w:pPr>
            <w:r w:rsidRPr="00640348">
              <w:rPr>
                <w:sz w:val="20"/>
                <w:szCs w:val="20"/>
              </w:rPr>
              <w:t xml:space="preserve">-OY:  hermaphroditic groupers = 45% static SPR;                             </w:t>
            </w:r>
            <w:r>
              <w:rPr>
                <w:sz w:val="20"/>
                <w:szCs w:val="20"/>
              </w:rPr>
              <w:t xml:space="preserve">                              </w:t>
            </w:r>
            <w:r w:rsidRPr="00640348">
              <w:rPr>
                <w:sz w:val="20"/>
                <w:szCs w:val="20"/>
              </w:rPr>
              <w:t>goliath and Nas</w:t>
            </w:r>
            <w:r>
              <w:rPr>
                <w:sz w:val="20"/>
                <w:szCs w:val="20"/>
              </w:rPr>
              <w:t xml:space="preserve">sau grouper = 50% static SPR;  </w:t>
            </w:r>
            <w:r w:rsidRPr="00640348">
              <w:rPr>
                <w:sz w:val="20"/>
                <w:szCs w:val="20"/>
              </w:rPr>
              <w:t xml:space="preserve">                       </w:t>
            </w:r>
            <w:r>
              <w:rPr>
                <w:sz w:val="20"/>
                <w:szCs w:val="20"/>
              </w:rPr>
              <w:t xml:space="preserve">                               </w:t>
            </w:r>
            <w:r w:rsidRPr="00640348">
              <w:rPr>
                <w:sz w:val="20"/>
                <w:szCs w:val="20"/>
              </w:rPr>
              <w:t>all other species = 40% static SPR</w:t>
            </w:r>
          </w:p>
          <w:p w14:paraId="6D8974DB" w14:textId="77777777" w:rsidR="002E3407" w:rsidRDefault="002E3407" w:rsidP="00EE4E8C">
            <w:pPr>
              <w:rPr>
                <w:sz w:val="20"/>
                <w:szCs w:val="20"/>
              </w:rPr>
            </w:pPr>
            <w:r w:rsidRPr="00640348">
              <w:rPr>
                <w:sz w:val="20"/>
                <w:szCs w:val="20"/>
              </w:rPr>
              <w:t>-Overfished/overfishing evaluations:</w:t>
            </w:r>
          </w:p>
          <w:p w14:paraId="4D54DE9C" w14:textId="77777777" w:rsidR="002E3407" w:rsidRPr="00640348" w:rsidRDefault="002E3407" w:rsidP="00EE4E8C">
            <w:pPr>
              <w:rPr>
                <w:sz w:val="20"/>
                <w:szCs w:val="20"/>
              </w:rPr>
            </w:pPr>
            <w:r w:rsidRPr="00640348">
              <w:rPr>
                <w:sz w:val="20"/>
                <w:szCs w:val="20"/>
              </w:rPr>
              <w:t>BSB:  overfished (minimum stock size threshold (MSST)=3.72 mp, 1995       biomass=1.33 mp); undergoing overfishing (maximum fishing mortality threshold (MFMT)=0.72, F1991-1995=0.95)</w:t>
            </w:r>
          </w:p>
          <w:p w14:paraId="4BECD39F" w14:textId="77777777" w:rsidR="002E3407" w:rsidRPr="00640348" w:rsidRDefault="002E3407" w:rsidP="00EE4E8C">
            <w:pPr>
              <w:rPr>
                <w:sz w:val="20"/>
                <w:szCs w:val="20"/>
              </w:rPr>
            </w:pPr>
            <w:r w:rsidRPr="00640348">
              <w:rPr>
                <w:sz w:val="20"/>
                <w:szCs w:val="20"/>
              </w:rPr>
              <w:t xml:space="preserve">   Vermilion snapper:  o</w:t>
            </w:r>
            <w:r>
              <w:rPr>
                <w:sz w:val="20"/>
                <w:szCs w:val="20"/>
              </w:rPr>
              <w:t>verfished (static SPR = 21-27%)</w:t>
            </w:r>
          </w:p>
          <w:p w14:paraId="577F6981" w14:textId="77777777" w:rsidR="002E3407" w:rsidRPr="00640348" w:rsidRDefault="002E3407" w:rsidP="00EE4E8C">
            <w:pPr>
              <w:rPr>
                <w:sz w:val="20"/>
                <w:szCs w:val="20"/>
              </w:rPr>
            </w:pPr>
            <w:r w:rsidRPr="00640348">
              <w:rPr>
                <w:sz w:val="20"/>
                <w:szCs w:val="20"/>
              </w:rPr>
              <w:t xml:space="preserve">   Red porgy:  overfished (static SPR = 14-19%).</w:t>
            </w:r>
          </w:p>
          <w:p w14:paraId="4DFF6589" w14:textId="77777777" w:rsidR="002E3407" w:rsidRPr="00640348" w:rsidRDefault="002E3407" w:rsidP="00EE4E8C">
            <w:pPr>
              <w:rPr>
                <w:sz w:val="20"/>
                <w:szCs w:val="20"/>
              </w:rPr>
            </w:pPr>
            <w:r w:rsidRPr="00640348">
              <w:rPr>
                <w:sz w:val="20"/>
                <w:szCs w:val="20"/>
              </w:rPr>
              <w:t xml:space="preserve">   Red snapper:  overfished (static SPR = 24-32%)</w:t>
            </w:r>
          </w:p>
          <w:p w14:paraId="59E71348" w14:textId="77777777" w:rsidR="002E3407" w:rsidRPr="00640348" w:rsidRDefault="002E3407" w:rsidP="00EE4E8C">
            <w:pPr>
              <w:rPr>
                <w:sz w:val="20"/>
                <w:szCs w:val="20"/>
              </w:rPr>
            </w:pPr>
            <w:r w:rsidRPr="00640348">
              <w:rPr>
                <w:sz w:val="20"/>
                <w:szCs w:val="20"/>
              </w:rPr>
              <w:t xml:space="preserve">   Gag:  overfished (static SPR = 27%)</w:t>
            </w:r>
          </w:p>
          <w:p w14:paraId="10DB9B2F" w14:textId="77777777" w:rsidR="002E3407" w:rsidRPr="00640348" w:rsidRDefault="002E3407" w:rsidP="00EE4E8C">
            <w:pPr>
              <w:rPr>
                <w:sz w:val="20"/>
                <w:szCs w:val="20"/>
              </w:rPr>
            </w:pPr>
            <w:r w:rsidRPr="00640348">
              <w:rPr>
                <w:sz w:val="20"/>
                <w:szCs w:val="20"/>
              </w:rPr>
              <w:t xml:space="preserve">   Scamp:  no longer overfished (static SPR = 35%)</w:t>
            </w:r>
          </w:p>
          <w:p w14:paraId="53DD0E60" w14:textId="77777777" w:rsidR="002E3407" w:rsidRPr="00640348" w:rsidRDefault="002E3407" w:rsidP="00EE4E8C">
            <w:pPr>
              <w:rPr>
                <w:sz w:val="20"/>
                <w:szCs w:val="20"/>
              </w:rPr>
            </w:pPr>
            <w:r w:rsidRPr="00640348">
              <w:rPr>
                <w:sz w:val="20"/>
                <w:szCs w:val="20"/>
              </w:rPr>
              <w:t xml:space="preserve">   Speckled hind:  overfished (static SPR = 8-13%)</w:t>
            </w:r>
          </w:p>
          <w:p w14:paraId="627D4A78" w14:textId="77777777" w:rsidR="002E3407" w:rsidRPr="00640348" w:rsidRDefault="002E3407" w:rsidP="00EE4E8C">
            <w:pPr>
              <w:rPr>
                <w:sz w:val="20"/>
                <w:szCs w:val="20"/>
              </w:rPr>
            </w:pPr>
            <w:r w:rsidRPr="00640348">
              <w:rPr>
                <w:sz w:val="20"/>
                <w:szCs w:val="20"/>
              </w:rPr>
              <w:t xml:space="preserve">   Warsaw grouper:  overfished (static SPR = 6-14%)</w:t>
            </w:r>
          </w:p>
          <w:p w14:paraId="7B9ED660" w14:textId="77777777" w:rsidR="002E3407" w:rsidRPr="00640348" w:rsidRDefault="002E3407" w:rsidP="00EE4E8C">
            <w:pPr>
              <w:rPr>
                <w:sz w:val="20"/>
                <w:szCs w:val="20"/>
              </w:rPr>
            </w:pPr>
            <w:r w:rsidRPr="00640348">
              <w:rPr>
                <w:sz w:val="20"/>
                <w:szCs w:val="20"/>
              </w:rPr>
              <w:t xml:space="preserve">   Snowy grouper:  overfished (static SPR = 5-15%)</w:t>
            </w:r>
          </w:p>
          <w:p w14:paraId="17931996" w14:textId="77777777" w:rsidR="002E3407" w:rsidRPr="00640348" w:rsidRDefault="002E3407" w:rsidP="00EE4E8C">
            <w:pPr>
              <w:rPr>
                <w:sz w:val="20"/>
                <w:szCs w:val="20"/>
              </w:rPr>
            </w:pPr>
            <w:r w:rsidRPr="00640348">
              <w:rPr>
                <w:sz w:val="20"/>
                <w:szCs w:val="20"/>
              </w:rPr>
              <w:t xml:space="preserve">   White grunt:  no longer overfished (static SPR = 29-39%)</w:t>
            </w:r>
          </w:p>
          <w:p w14:paraId="01495AF3" w14:textId="77777777" w:rsidR="002E3407" w:rsidRPr="00640348" w:rsidRDefault="002E3407" w:rsidP="00EE4E8C">
            <w:pPr>
              <w:rPr>
                <w:sz w:val="20"/>
                <w:szCs w:val="20"/>
              </w:rPr>
            </w:pPr>
            <w:r w:rsidRPr="00640348">
              <w:rPr>
                <w:sz w:val="20"/>
                <w:szCs w:val="20"/>
              </w:rPr>
              <w:t xml:space="preserve">   Golden tilefish:  overfished (couldn’t estimate static SPR)</w:t>
            </w:r>
          </w:p>
          <w:p w14:paraId="7632CC61" w14:textId="77777777" w:rsidR="002E3407" w:rsidRPr="00640348" w:rsidRDefault="002E3407" w:rsidP="00EE4E8C">
            <w:pPr>
              <w:rPr>
                <w:sz w:val="20"/>
                <w:szCs w:val="20"/>
              </w:rPr>
            </w:pPr>
            <w:r w:rsidRPr="00640348">
              <w:rPr>
                <w:sz w:val="20"/>
                <w:szCs w:val="20"/>
              </w:rPr>
              <w:t xml:space="preserve">   Nassau grouper:  overfished (couldn’t estimate static SPR)</w:t>
            </w:r>
          </w:p>
          <w:p w14:paraId="15D7969C" w14:textId="77777777" w:rsidR="002E3407" w:rsidRPr="00640348" w:rsidRDefault="002E3407" w:rsidP="00EE4E8C">
            <w:pPr>
              <w:rPr>
                <w:sz w:val="20"/>
                <w:szCs w:val="20"/>
              </w:rPr>
            </w:pPr>
            <w:r w:rsidRPr="00640348">
              <w:rPr>
                <w:sz w:val="20"/>
                <w:szCs w:val="20"/>
              </w:rPr>
              <w:t xml:space="preserve">   Goliath grouper:  overfished (couldn’t estimate static SPR)</w:t>
            </w:r>
          </w:p>
          <w:p w14:paraId="0AB996F2" w14:textId="77777777" w:rsidR="002E3407" w:rsidRPr="00640348" w:rsidRDefault="002E3407" w:rsidP="00EE4E8C">
            <w:pPr>
              <w:rPr>
                <w:sz w:val="20"/>
                <w:szCs w:val="20"/>
              </w:rPr>
            </w:pPr>
            <w:r w:rsidRPr="00640348">
              <w:rPr>
                <w:sz w:val="20"/>
                <w:szCs w:val="20"/>
              </w:rPr>
              <w:t xml:space="preserve">-overfishing level:  goliath and Nassau grouper = F&gt;F40% static SPR; all other species: = F&gt;F30% static SPR  </w:t>
            </w:r>
          </w:p>
          <w:p w14:paraId="0CE08534" w14:textId="77777777" w:rsidR="002E3407" w:rsidRPr="00640348" w:rsidRDefault="002E3407" w:rsidP="00EE4E8C">
            <w:pPr>
              <w:rPr>
                <w:sz w:val="20"/>
                <w:szCs w:val="20"/>
              </w:rPr>
            </w:pPr>
            <w:r w:rsidRPr="00640348">
              <w:rPr>
                <w:sz w:val="20"/>
                <w:szCs w:val="20"/>
              </w:rPr>
              <w:t>Approved definitions for overfished and overfishing.</w:t>
            </w:r>
          </w:p>
          <w:p w14:paraId="1C62D3B7" w14:textId="77777777" w:rsidR="002E3407" w:rsidRPr="00640348" w:rsidRDefault="002E3407" w:rsidP="00EE4E8C">
            <w:pPr>
              <w:rPr>
                <w:sz w:val="20"/>
                <w:szCs w:val="20"/>
              </w:rPr>
            </w:pPr>
            <w:r w:rsidRPr="00640348">
              <w:rPr>
                <w:sz w:val="20"/>
                <w:szCs w:val="20"/>
              </w:rPr>
              <w:t>MSST = [(1-M) or 0.5 whichever is greater]*B</w:t>
            </w:r>
            <w:r w:rsidRPr="00640348">
              <w:rPr>
                <w:sz w:val="20"/>
                <w:szCs w:val="20"/>
                <w:vertAlign w:val="subscript"/>
              </w:rPr>
              <w:t>MSY</w:t>
            </w:r>
            <w:r w:rsidRPr="00640348">
              <w:rPr>
                <w:sz w:val="20"/>
                <w:szCs w:val="20"/>
              </w:rPr>
              <w:t>.</w:t>
            </w:r>
          </w:p>
          <w:p w14:paraId="1660D352" w14:textId="77777777" w:rsidR="002E3407" w:rsidRPr="00640348" w:rsidRDefault="002E3407" w:rsidP="00EE4E8C">
            <w:pPr>
              <w:rPr>
                <w:sz w:val="20"/>
                <w:szCs w:val="20"/>
              </w:rPr>
            </w:pPr>
            <w:r w:rsidRPr="00640348">
              <w:rPr>
                <w:sz w:val="20"/>
                <w:szCs w:val="20"/>
              </w:rPr>
              <w:t>MFMT = F</w:t>
            </w:r>
            <w:r w:rsidRPr="00640348">
              <w:rPr>
                <w:sz w:val="20"/>
                <w:szCs w:val="20"/>
                <w:vertAlign w:val="subscript"/>
              </w:rPr>
              <w:t>MSY</w:t>
            </w:r>
            <w:r>
              <w:rPr>
                <w:sz w:val="20"/>
                <w:szCs w:val="20"/>
                <w:vertAlign w:val="subscript"/>
              </w:rPr>
              <w:t>.</w:t>
            </w:r>
          </w:p>
        </w:tc>
      </w:tr>
      <w:tr w:rsidR="002E3407" w14:paraId="755B6004" w14:textId="77777777" w:rsidTr="00EE4E8C">
        <w:trPr>
          <w:cantSplit/>
          <w:trHeight w:val="680"/>
        </w:trPr>
        <w:tc>
          <w:tcPr>
            <w:tcW w:w="1638" w:type="dxa"/>
            <w:tcBorders>
              <w:bottom w:val="single" w:sz="4" w:space="0" w:color="auto"/>
            </w:tcBorders>
            <w:shd w:val="clear" w:color="auto" w:fill="D9D9D9" w:themeFill="background1" w:themeFillShade="D9"/>
            <w:vAlign w:val="center"/>
          </w:tcPr>
          <w:p w14:paraId="27E0E433" w14:textId="77777777" w:rsidR="002E3407" w:rsidRDefault="002E3407" w:rsidP="00EE4E8C">
            <w:pPr>
              <w:jc w:val="center"/>
              <w:rPr>
                <w:sz w:val="20"/>
                <w:szCs w:val="20"/>
              </w:rPr>
            </w:pPr>
            <w:r>
              <w:rPr>
                <w:sz w:val="20"/>
                <w:szCs w:val="20"/>
              </w:rPr>
              <w:t>Amendment #10</w:t>
            </w:r>
          </w:p>
          <w:p w14:paraId="799F37D7" w14:textId="77777777" w:rsidR="002E3407" w:rsidRDefault="002E3407" w:rsidP="00EE4E8C">
            <w:pPr>
              <w:jc w:val="center"/>
              <w:rPr>
                <w:sz w:val="20"/>
                <w:szCs w:val="20"/>
              </w:rPr>
            </w:pPr>
          </w:p>
          <w:p w14:paraId="6C2E1F99" w14:textId="77777777" w:rsidR="002E3407" w:rsidRDefault="002E3407" w:rsidP="00EE4E8C">
            <w:pPr>
              <w:jc w:val="center"/>
              <w:rPr>
                <w:sz w:val="20"/>
                <w:szCs w:val="20"/>
              </w:rPr>
            </w:pPr>
            <w:r>
              <w:rPr>
                <w:sz w:val="20"/>
                <w:szCs w:val="20"/>
              </w:rPr>
              <w:t>Comprehensive Essential Fish Habitat Amendment</w:t>
            </w:r>
          </w:p>
          <w:p w14:paraId="407F3162" w14:textId="77777777" w:rsidR="002E3407" w:rsidRDefault="002E3407" w:rsidP="00EE4E8C">
            <w:pPr>
              <w:jc w:val="center"/>
              <w:rPr>
                <w:sz w:val="20"/>
                <w:szCs w:val="20"/>
              </w:rPr>
            </w:pPr>
          </w:p>
          <w:p w14:paraId="6A965FBB" w14:textId="77777777" w:rsidR="002E3407" w:rsidRPr="00640348" w:rsidRDefault="002E3407" w:rsidP="00EE4E8C">
            <w:pPr>
              <w:jc w:val="center"/>
              <w:rPr>
                <w:sz w:val="20"/>
                <w:szCs w:val="20"/>
              </w:rPr>
            </w:pPr>
            <w:r>
              <w:rPr>
                <w:sz w:val="20"/>
                <w:szCs w:val="20"/>
              </w:rPr>
              <w:t>(1998</w:t>
            </w:r>
            <w:r w:rsidRPr="00640348">
              <w:rPr>
                <w:sz w:val="20"/>
                <w:szCs w:val="20"/>
              </w:rPr>
              <w:t>)</w:t>
            </w:r>
          </w:p>
        </w:tc>
        <w:tc>
          <w:tcPr>
            <w:tcW w:w="1350" w:type="dxa"/>
            <w:tcBorders>
              <w:bottom w:val="single" w:sz="4" w:space="0" w:color="auto"/>
            </w:tcBorders>
            <w:shd w:val="clear" w:color="auto" w:fill="D9D9D9" w:themeFill="background1" w:themeFillShade="D9"/>
            <w:vAlign w:val="center"/>
          </w:tcPr>
          <w:p w14:paraId="25E36EB0" w14:textId="77777777" w:rsidR="002E3407" w:rsidRPr="00640348" w:rsidRDefault="002E3407" w:rsidP="00EE4E8C">
            <w:pPr>
              <w:jc w:val="center"/>
              <w:rPr>
                <w:sz w:val="20"/>
                <w:szCs w:val="20"/>
              </w:rPr>
            </w:pPr>
            <w:r w:rsidRPr="00640348">
              <w:rPr>
                <w:sz w:val="20"/>
                <w:szCs w:val="20"/>
              </w:rPr>
              <w:t>07/14/00</w:t>
            </w:r>
          </w:p>
        </w:tc>
        <w:tc>
          <w:tcPr>
            <w:tcW w:w="1620" w:type="dxa"/>
            <w:tcBorders>
              <w:bottom w:val="single" w:sz="4" w:space="0" w:color="auto"/>
            </w:tcBorders>
            <w:shd w:val="clear" w:color="auto" w:fill="D9D9D9" w:themeFill="background1" w:themeFillShade="D9"/>
            <w:vAlign w:val="center"/>
          </w:tcPr>
          <w:p w14:paraId="211A230A" w14:textId="77777777" w:rsidR="002E3407" w:rsidRPr="00640348" w:rsidRDefault="002E3407" w:rsidP="00EE4E8C">
            <w:pPr>
              <w:rPr>
                <w:sz w:val="20"/>
                <w:szCs w:val="20"/>
              </w:rPr>
            </w:pPr>
            <w:r w:rsidRPr="00640348">
              <w:rPr>
                <w:sz w:val="20"/>
                <w:szCs w:val="20"/>
              </w:rPr>
              <w:t>PR: 64 FR 37082 and 64 FR 59152</w:t>
            </w:r>
          </w:p>
          <w:p w14:paraId="02BF0CF4" w14:textId="77777777" w:rsidR="002E3407" w:rsidRPr="00640348" w:rsidRDefault="002E3407" w:rsidP="00EE4E8C">
            <w:pPr>
              <w:rPr>
                <w:sz w:val="20"/>
                <w:szCs w:val="20"/>
              </w:rPr>
            </w:pPr>
            <w:r>
              <w:rPr>
                <w:sz w:val="20"/>
                <w:szCs w:val="20"/>
              </w:rPr>
              <w:t xml:space="preserve">FR: </w:t>
            </w:r>
            <w:r w:rsidRPr="00640348">
              <w:rPr>
                <w:sz w:val="20"/>
                <w:szCs w:val="20"/>
              </w:rPr>
              <w:t>65 FR 37292</w:t>
            </w:r>
          </w:p>
        </w:tc>
        <w:tc>
          <w:tcPr>
            <w:tcW w:w="4590" w:type="dxa"/>
            <w:tcBorders>
              <w:bottom w:val="single" w:sz="4" w:space="0" w:color="auto"/>
            </w:tcBorders>
            <w:shd w:val="clear" w:color="auto" w:fill="D9D9D9" w:themeFill="background1" w:themeFillShade="D9"/>
          </w:tcPr>
          <w:p w14:paraId="7660A9B4" w14:textId="77777777" w:rsidR="002E3407" w:rsidRPr="00640348" w:rsidRDefault="002E3407" w:rsidP="00EE4E8C">
            <w:pPr>
              <w:rPr>
                <w:sz w:val="20"/>
                <w:szCs w:val="20"/>
              </w:rPr>
            </w:pPr>
            <w:r w:rsidRPr="00640348">
              <w:rPr>
                <w:sz w:val="20"/>
                <w:szCs w:val="20"/>
              </w:rPr>
              <w:t>-Identified essential fish habitat (EFH) and established habitat areas of particular concern (HAPC) for species in the snapper grouper FMU</w:t>
            </w:r>
            <w:r>
              <w:rPr>
                <w:sz w:val="20"/>
                <w:szCs w:val="20"/>
              </w:rPr>
              <w:t>.</w:t>
            </w:r>
          </w:p>
        </w:tc>
      </w:tr>
      <w:tr w:rsidR="002E3407" w14:paraId="148569F7" w14:textId="77777777" w:rsidTr="00EE4E8C">
        <w:trPr>
          <w:cantSplit/>
          <w:trHeight w:val="680"/>
        </w:trPr>
        <w:tc>
          <w:tcPr>
            <w:tcW w:w="1638" w:type="dxa"/>
            <w:tcBorders>
              <w:bottom w:val="single" w:sz="4" w:space="0" w:color="auto"/>
            </w:tcBorders>
            <w:shd w:val="clear" w:color="auto" w:fill="D9D9D9" w:themeFill="background1" w:themeFillShade="D9"/>
            <w:vAlign w:val="center"/>
          </w:tcPr>
          <w:p w14:paraId="4D7F7383" w14:textId="77777777" w:rsidR="002E3407" w:rsidRDefault="002E3407" w:rsidP="00EE4E8C">
            <w:pPr>
              <w:jc w:val="center"/>
              <w:rPr>
                <w:sz w:val="20"/>
                <w:szCs w:val="20"/>
              </w:rPr>
            </w:pPr>
            <w:r>
              <w:rPr>
                <w:sz w:val="20"/>
                <w:szCs w:val="20"/>
              </w:rPr>
              <w:lastRenderedPageBreak/>
              <w:t>Amendment #12</w:t>
            </w:r>
          </w:p>
          <w:p w14:paraId="2D7F3E62" w14:textId="77777777" w:rsidR="002E3407" w:rsidRDefault="002E3407" w:rsidP="00EE4E8C">
            <w:pPr>
              <w:jc w:val="center"/>
              <w:rPr>
                <w:sz w:val="20"/>
                <w:szCs w:val="20"/>
              </w:rPr>
            </w:pPr>
          </w:p>
          <w:p w14:paraId="05890E9F" w14:textId="77777777" w:rsidR="002E3407" w:rsidRPr="00640348" w:rsidRDefault="002E3407" w:rsidP="00EE4E8C">
            <w:pPr>
              <w:jc w:val="center"/>
              <w:rPr>
                <w:sz w:val="20"/>
                <w:szCs w:val="20"/>
              </w:rPr>
            </w:pPr>
            <w:r>
              <w:rPr>
                <w:sz w:val="20"/>
                <w:szCs w:val="20"/>
              </w:rPr>
              <w:t>(2000</w:t>
            </w:r>
            <w:r w:rsidRPr="00640348">
              <w:rPr>
                <w:sz w:val="20"/>
                <w:szCs w:val="20"/>
              </w:rPr>
              <w:t>)</w:t>
            </w:r>
          </w:p>
        </w:tc>
        <w:tc>
          <w:tcPr>
            <w:tcW w:w="1350" w:type="dxa"/>
            <w:tcBorders>
              <w:bottom w:val="single" w:sz="4" w:space="0" w:color="auto"/>
            </w:tcBorders>
            <w:shd w:val="clear" w:color="auto" w:fill="D9D9D9" w:themeFill="background1" w:themeFillShade="D9"/>
            <w:vAlign w:val="center"/>
          </w:tcPr>
          <w:p w14:paraId="76029524" w14:textId="77777777" w:rsidR="002E3407" w:rsidRPr="00640348" w:rsidRDefault="002E3407" w:rsidP="00EE4E8C">
            <w:pPr>
              <w:jc w:val="center"/>
              <w:rPr>
                <w:sz w:val="20"/>
                <w:szCs w:val="20"/>
              </w:rPr>
            </w:pPr>
            <w:r w:rsidRPr="00640348">
              <w:rPr>
                <w:sz w:val="20"/>
                <w:szCs w:val="20"/>
              </w:rPr>
              <w:t>09/22/00</w:t>
            </w:r>
          </w:p>
        </w:tc>
        <w:tc>
          <w:tcPr>
            <w:tcW w:w="1620" w:type="dxa"/>
            <w:tcBorders>
              <w:bottom w:val="single" w:sz="4" w:space="0" w:color="auto"/>
            </w:tcBorders>
            <w:shd w:val="clear" w:color="auto" w:fill="D9D9D9" w:themeFill="background1" w:themeFillShade="D9"/>
            <w:vAlign w:val="center"/>
          </w:tcPr>
          <w:p w14:paraId="5C208CCC" w14:textId="77777777" w:rsidR="002E3407" w:rsidRPr="00640348" w:rsidRDefault="002E3407" w:rsidP="00EE4E8C">
            <w:pPr>
              <w:rPr>
                <w:sz w:val="20"/>
                <w:szCs w:val="20"/>
              </w:rPr>
            </w:pPr>
            <w:r w:rsidRPr="00640348">
              <w:rPr>
                <w:sz w:val="20"/>
                <w:szCs w:val="20"/>
              </w:rPr>
              <w:t>PR: 65 FR 35877</w:t>
            </w:r>
          </w:p>
          <w:p w14:paraId="67C65EB9" w14:textId="77777777" w:rsidR="002E3407" w:rsidRPr="00640348" w:rsidRDefault="002E3407" w:rsidP="00EE4E8C">
            <w:pPr>
              <w:rPr>
                <w:sz w:val="20"/>
                <w:szCs w:val="20"/>
              </w:rPr>
            </w:pPr>
            <w:r>
              <w:rPr>
                <w:sz w:val="20"/>
                <w:szCs w:val="20"/>
              </w:rPr>
              <w:t xml:space="preserve">FR: </w:t>
            </w:r>
            <w:r w:rsidRPr="00640348">
              <w:rPr>
                <w:sz w:val="20"/>
                <w:szCs w:val="20"/>
              </w:rPr>
              <w:t>65 FR 51248</w:t>
            </w:r>
          </w:p>
        </w:tc>
        <w:tc>
          <w:tcPr>
            <w:tcW w:w="4590" w:type="dxa"/>
            <w:tcBorders>
              <w:bottom w:val="single" w:sz="4" w:space="0" w:color="auto"/>
            </w:tcBorders>
            <w:shd w:val="clear" w:color="auto" w:fill="D9D9D9" w:themeFill="background1" w:themeFillShade="D9"/>
          </w:tcPr>
          <w:p w14:paraId="402CDFA2" w14:textId="77777777" w:rsidR="002E3407" w:rsidRDefault="002E3407" w:rsidP="00EE4E8C">
            <w:pPr>
              <w:rPr>
                <w:sz w:val="20"/>
                <w:szCs w:val="20"/>
              </w:rPr>
            </w:pPr>
            <w:r>
              <w:rPr>
                <w:sz w:val="20"/>
                <w:szCs w:val="20"/>
              </w:rPr>
              <w:t xml:space="preserve">For </w:t>
            </w:r>
            <w:r w:rsidRPr="00640348">
              <w:rPr>
                <w:sz w:val="20"/>
                <w:szCs w:val="20"/>
              </w:rPr>
              <w:t xml:space="preserve">Red porgy: </w:t>
            </w:r>
          </w:p>
          <w:p w14:paraId="148C306E" w14:textId="77777777" w:rsidR="002E3407" w:rsidRDefault="002E3407" w:rsidP="00EE4E8C">
            <w:pPr>
              <w:rPr>
                <w:sz w:val="20"/>
                <w:szCs w:val="20"/>
              </w:rPr>
            </w:pPr>
            <w:r>
              <w:rPr>
                <w:sz w:val="20"/>
                <w:szCs w:val="20"/>
              </w:rPr>
              <w:t>-</w:t>
            </w:r>
            <w:r w:rsidRPr="00640348">
              <w:rPr>
                <w:sz w:val="20"/>
                <w:szCs w:val="20"/>
              </w:rPr>
              <w:t xml:space="preserve">MSY=4.38 mp; OY=45% static SPR; MFMT=0.43; MSST=7.34 mp; rebuilding timeframe=18 years (1999=year 1); </w:t>
            </w:r>
          </w:p>
          <w:p w14:paraId="612AB8FC" w14:textId="77777777" w:rsidR="002E3407" w:rsidRDefault="002E3407" w:rsidP="00EE4E8C">
            <w:pPr>
              <w:rPr>
                <w:sz w:val="20"/>
                <w:szCs w:val="20"/>
              </w:rPr>
            </w:pPr>
            <w:r>
              <w:rPr>
                <w:sz w:val="20"/>
                <w:szCs w:val="20"/>
              </w:rPr>
              <w:t>-</w:t>
            </w:r>
            <w:r w:rsidRPr="00640348">
              <w:rPr>
                <w:sz w:val="20"/>
                <w:szCs w:val="20"/>
              </w:rPr>
              <w:t xml:space="preserve">no sale of red porgy during Jan-April; </w:t>
            </w:r>
          </w:p>
          <w:p w14:paraId="3F079142" w14:textId="77777777" w:rsidR="002E3407" w:rsidRDefault="002E3407" w:rsidP="00EE4E8C">
            <w:pPr>
              <w:rPr>
                <w:sz w:val="20"/>
                <w:szCs w:val="20"/>
              </w:rPr>
            </w:pPr>
            <w:r>
              <w:rPr>
                <w:sz w:val="20"/>
                <w:szCs w:val="20"/>
              </w:rPr>
              <w:t>-</w:t>
            </w:r>
            <w:r w:rsidRPr="00640348">
              <w:rPr>
                <w:sz w:val="20"/>
                <w:szCs w:val="20"/>
              </w:rPr>
              <w:t xml:space="preserve">1 fish bag limit; </w:t>
            </w:r>
          </w:p>
          <w:p w14:paraId="205C7888" w14:textId="77777777" w:rsidR="002E3407" w:rsidRDefault="002E3407" w:rsidP="00EE4E8C">
            <w:pPr>
              <w:rPr>
                <w:sz w:val="20"/>
                <w:szCs w:val="20"/>
              </w:rPr>
            </w:pPr>
            <w:r>
              <w:rPr>
                <w:sz w:val="20"/>
                <w:szCs w:val="20"/>
              </w:rPr>
              <w:t>-</w:t>
            </w:r>
            <w:r w:rsidRPr="00640348">
              <w:rPr>
                <w:sz w:val="20"/>
                <w:szCs w:val="20"/>
              </w:rPr>
              <w:t>50 lb. bycatch comm</w:t>
            </w:r>
            <w:r>
              <w:rPr>
                <w:sz w:val="20"/>
                <w:szCs w:val="20"/>
              </w:rPr>
              <w:t>ercial trip limit May-December;</w:t>
            </w:r>
          </w:p>
          <w:p w14:paraId="1688ADEF" w14:textId="77777777" w:rsidR="002E3407" w:rsidRPr="00640348" w:rsidRDefault="002E3407" w:rsidP="00EE4E8C">
            <w:pPr>
              <w:rPr>
                <w:sz w:val="20"/>
                <w:szCs w:val="20"/>
              </w:rPr>
            </w:pPr>
            <w:r>
              <w:rPr>
                <w:sz w:val="20"/>
                <w:szCs w:val="20"/>
              </w:rPr>
              <w:t>-M</w:t>
            </w:r>
            <w:r w:rsidRPr="00640348">
              <w:rPr>
                <w:sz w:val="20"/>
                <w:szCs w:val="20"/>
              </w:rPr>
              <w:t>odified management options and list of possible framework actions</w:t>
            </w:r>
            <w:r>
              <w:rPr>
                <w:sz w:val="20"/>
                <w:szCs w:val="20"/>
              </w:rPr>
              <w:t>.</w:t>
            </w:r>
          </w:p>
        </w:tc>
      </w:tr>
      <w:tr w:rsidR="002E3407" w14:paraId="23028793" w14:textId="77777777" w:rsidTr="00EE4E8C">
        <w:trPr>
          <w:cantSplit/>
          <w:trHeight w:val="680"/>
        </w:trPr>
        <w:tc>
          <w:tcPr>
            <w:tcW w:w="1638" w:type="dxa"/>
            <w:tcBorders>
              <w:bottom w:val="single" w:sz="4" w:space="0" w:color="auto"/>
            </w:tcBorders>
            <w:shd w:val="clear" w:color="auto" w:fill="D9D9D9" w:themeFill="background1" w:themeFillShade="D9"/>
            <w:vAlign w:val="center"/>
          </w:tcPr>
          <w:p w14:paraId="5D3EEEC9" w14:textId="77777777" w:rsidR="002E3407" w:rsidRDefault="002E3407" w:rsidP="00EE4E8C">
            <w:pPr>
              <w:jc w:val="center"/>
              <w:rPr>
                <w:sz w:val="20"/>
                <w:szCs w:val="20"/>
              </w:rPr>
            </w:pPr>
            <w:r>
              <w:rPr>
                <w:sz w:val="20"/>
                <w:szCs w:val="20"/>
              </w:rPr>
              <w:t>Amendment #9</w:t>
            </w:r>
          </w:p>
          <w:p w14:paraId="525B8EDA" w14:textId="77777777" w:rsidR="002E3407" w:rsidRDefault="002E3407" w:rsidP="00EE4E8C">
            <w:pPr>
              <w:jc w:val="center"/>
              <w:rPr>
                <w:sz w:val="20"/>
                <w:szCs w:val="20"/>
              </w:rPr>
            </w:pPr>
          </w:p>
          <w:p w14:paraId="1D842860" w14:textId="77777777" w:rsidR="002E3407" w:rsidRPr="00640348" w:rsidRDefault="002E3407" w:rsidP="00EE4E8C">
            <w:pPr>
              <w:jc w:val="center"/>
              <w:rPr>
                <w:sz w:val="20"/>
                <w:szCs w:val="20"/>
              </w:rPr>
            </w:pPr>
            <w:r>
              <w:rPr>
                <w:sz w:val="20"/>
                <w:szCs w:val="20"/>
              </w:rPr>
              <w:t>(1998</w:t>
            </w:r>
            <w:r w:rsidRPr="00640348">
              <w:rPr>
                <w:sz w:val="20"/>
                <w:szCs w:val="20"/>
              </w:rPr>
              <w:t>) resubmitted</w:t>
            </w:r>
          </w:p>
        </w:tc>
        <w:tc>
          <w:tcPr>
            <w:tcW w:w="1350" w:type="dxa"/>
            <w:tcBorders>
              <w:bottom w:val="single" w:sz="4" w:space="0" w:color="auto"/>
            </w:tcBorders>
            <w:shd w:val="clear" w:color="auto" w:fill="D9D9D9" w:themeFill="background1" w:themeFillShade="D9"/>
            <w:vAlign w:val="center"/>
          </w:tcPr>
          <w:p w14:paraId="720DA2EB" w14:textId="77777777" w:rsidR="002E3407" w:rsidRPr="00640348" w:rsidRDefault="002E3407" w:rsidP="00EE4E8C">
            <w:pPr>
              <w:jc w:val="center"/>
              <w:rPr>
                <w:sz w:val="20"/>
                <w:szCs w:val="20"/>
              </w:rPr>
            </w:pPr>
            <w:r w:rsidRPr="00640348">
              <w:rPr>
                <w:sz w:val="20"/>
                <w:szCs w:val="20"/>
              </w:rPr>
              <w:t>10/13/00</w:t>
            </w:r>
          </w:p>
        </w:tc>
        <w:tc>
          <w:tcPr>
            <w:tcW w:w="1620" w:type="dxa"/>
            <w:tcBorders>
              <w:bottom w:val="single" w:sz="4" w:space="0" w:color="auto"/>
            </w:tcBorders>
            <w:shd w:val="clear" w:color="auto" w:fill="D9D9D9" w:themeFill="background1" w:themeFillShade="D9"/>
            <w:vAlign w:val="center"/>
          </w:tcPr>
          <w:p w14:paraId="10300C7B" w14:textId="77777777" w:rsidR="002E3407" w:rsidRPr="00640348" w:rsidRDefault="002E3407" w:rsidP="00EE4E8C">
            <w:pPr>
              <w:rPr>
                <w:sz w:val="20"/>
                <w:szCs w:val="20"/>
              </w:rPr>
            </w:pPr>
            <w:r w:rsidRPr="00640348">
              <w:rPr>
                <w:sz w:val="20"/>
                <w:szCs w:val="20"/>
              </w:rPr>
              <w:t>PR: 63 FR 63276</w:t>
            </w:r>
          </w:p>
          <w:p w14:paraId="1E5B8EF2" w14:textId="77777777" w:rsidR="002E3407" w:rsidRPr="00640348" w:rsidRDefault="002E3407" w:rsidP="00EE4E8C">
            <w:pPr>
              <w:rPr>
                <w:sz w:val="20"/>
                <w:szCs w:val="20"/>
              </w:rPr>
            </w:pPr>
            <w:r>
              <w:rPr>
                <w:sz w:val="20"/>
                <w:szCs w:val="20"/>
              </w:rPr>
              <w:t xml:space="preserve">FR: </w:t>
            </w:r>
            <w:r w:rsidRPr="00640348">
              <w:rPr>
                <w:sz w:val="20"/>
                <w:szCs w:val="20"/>
              </w:rPr>
              <w:t>65 FR 55203</w:t>
            </w:r>
          </w:p>
        </w:tc>
        <w:tc>
          <w:tcPr>
            <w:tcW w:w="4590" w:type="dxa"/>
            <w:tcBorders>
              <w:bottom w:val="single" w:sz="4" w:space="0" w:color="auto"/>
            </w:tcBorders>
            <w:shd w:val="clear" w:color="auto" w:fill="D9D9D9" w:themeFill="background1" w:themeFillShade="D9"/>
          </w:tcPr>
          <w:p w14:paraId="39879F99" w14:textId="77777777" w:rsidR="002E3407" w:rsidRPr="00640348" w:rsidRDefault="002E3407" w:rsidP="00EE4E8C">
            <w:pPr>
              <w:rPr>
                <w:sz w:val="20"/>
                <w:szCs w:val="20"/>
              </w:rPr>
            </w:pPr>
            <w:r w:rsidRPr="00640348">
              <w:rPr>
                <w:sz w:val="20"/>
                <w:szCs w:val="20"/>
              </w:rPr>
              <w:t>-Commercial trip limit for greater amberjack</w:t>
            </w:r>
            <w:r>
              <w:rPr>
                <w:sz w:val="20"/>
                <w:szCs w:val="20"/>
              </w:rPr>
              <w:t>.</w:t>
            </w:r>
          </w:p>
        </w:tc>
      </w:tr>
      <w:tr w:rsidR="002E3407" w14:paraId="2D30D608" w14:textId="77777777" w:rsidTr="00EE4E8C">
        <w:trPr>
          <w:cantSplit/>
          <w:trHeight w:val="680"/>
        </w:trPr>
        <w:tc>
          <w:tcPr>
            <w:tcW w:w="1638" w:type="dxa"/>
            <w:tcBorders>
              <w:bottom w:val="single" w:sz="4" w:space="0" w:color="auto"/>
            </w:tcBorders>
            <w:vAlign w:val="center"/>
          </w:tcPr>
          <w:p w14:paraId="3317E7D2" w14:textId="77777777" w:rsidR="002E3407" w:rsidRDefault="002E3407" w:rsidP="00EE4E8C">
            <w:pPr>
              <w:jc w:val="center"/>
              <w:rPr>
                <w:sz w:val="20"/>
                <w:szCs w:val="20"/>
              </w:rPr>
            </w:pPr>
            <w:r>
              <w:rPr>
                <w:sz w:val="20"/>
                <w:szCs w:val="20"/>
              </w:rPr>
              <w:t>Regulatory Amendment #8</w:t>
            </w:r>
          </w:p>
          <w:p w14:paraId="37253FD4" w14:textId="77777777" w:rsidR="002E3407" w:rsidRDefault="002E3407" w:rsidP="00EE4E8C">
            <w:pPr>
              <w:jc w:val="center"/>
              <w:rPr>
                <w:sz w:val="20"/>
                <w:szCs w:val="20"/>
              </w:rPr>
            </w:pPr>
          </w:p>
          <w:p w14:paraId="2B0E6802" w14:textId="77777777" w:rsidR="002E3407" w:rsidRPr="00640348" w:rsidRDefault="002E3407" w:rsidP="00EE4E8C">
            <w:pPr>
              <w:jc w:val="center"/>
              <w:rPr>
                <w:sz w:val="20"/>
                <w:szCs w:val="20"/>
              </w:rPr>
            </w:pPr>
            <w:r>
              <w:rPr>
                <w:sz w:val="20"/>
                <w:szCs w:val="20"/>
              </w:rPr>
              <w:t>(2000</w:t>
            </w:r>
            <w:r w:rsidRPr="00640348">
              <w:rPr>
                <w:sz w:val="20"/>
                <w:szCs w:val="20"/>
              </w:rPr>
              <w:t>)</w:t>
            </w:r>
          </w:p>
        </w:tc>
        <w:tc>
          <w:tcPr>
            <w:tcW w:w="1350" w:type="dxa"/>
            <w:tcBorders>
              <w:bottom w:val="single" w:sz="4" w:space="0" w:color="auto"/>
            </w:tcBorders>
            <w:vAlign w:val="center"/>
          </w:tcPr>
          <w:p w14:paraId="62B8CCD9" w14:textId="77777777" w:rsidR="002E3407" w:rsidRPr="00640348" w:rsidRDefault="002E3407" w:rsidP="00EE4E8C">
            <w:pPr>
              <w:jc w:val="center"/>
              <w:rPr>
                <w:sz w:val="20"/>
                <w:szCs w:val="20"/>
              </w:rPr>
            </w:pPr>
            <w:r w:rsidRPr="00640348">
              <w:rPr>
                <w:sz w:val="20"/>
                <w:szCs w:val="20"/>
              </w:rPr>
              <w:t>11/15/00</w:t>
            </w:r>
          </w:p>
        </w:tc>
        <w:tc>
          <w:tcPr>
            <w:tcW w:w="1620" w:type="dxa"/>
            <w:tcBorders>
              <w:bottom w:val="single" w:sz="4" w:space="0" w:color="auto"/>
            </w:tcBorders>
            <w:vAlign w:val="center"/>
          </w:tcPr>
          <w:p w14:paraId="66977C8B" w14:textId="77777777" w:rsidR="002E3407" w:rsidRPr="00640348" w:rsidRDefault="002E3407" w:rsidP="00EE4E8C">
            <w:pPr>
              <w:rPr>
                <w:sz w:val="20"/>
                <w:szCs w:val="20"/>
              </w:rPr>
            </w:pPr>
            <w:r w:rsidRPr="00640348">
              <w:rPr>
                <w:sz w:val="20"/>
                <w:szCs w:val="20"/>
              </w:rPr>
              <w:t>PR: 65 FR 41041</w:t>
            </w:r>
          </w:p>
          <w:p w14:paraId="5C91C6EC" w14:textId="77777777" w:rsidR="002E3407" w:rsidRPr="00640348" w:rsidRDefault="002E3407" w:rsidP="00EE4E8C">
            <w:pPr>
              <w:pStyle w:val="FootnoteText"/>
            </w:pPr>
            <w:r>
              <w:t xml:space="preserve">FR: </w:t>
            </w:r>
            <w:r w:rsidRPr="00640348">
              <w:t>65 FR 61114</w:t>
            </w:r>
          </w:p>
        </w:tc>
        <w:tc>
          <w:tcPr>
            <w:tcW w:w="4590" w:type="dxa"/>
            <w:tcBorders>
              <w:bottom w:val="single" w:sz="4" w:space="0" w:color="auto"/>
            </w:tcBorders>
          </w:tcPr>
          <w:p w14:paraId="5F893130" w14:textId="77777777" w:rsidR="002E3407" w:rsidRPr="00640348" w:rsidRDefault="002E3407" w:rsidP="00EE4E8C">
            <w:pPr>
              <w:pStyle w:val="FootnoteText"/>
            </w:pPr>
            <w:r w:rsidRPr="00640348">
              <w:t>-Established 12 SMZs at artificial reefs off Georgia; revised boundaries of 7 existing SMZs off Georgia to meet CG permit specs; restricted fishing in new and revised SMZs</w:t>
            </w:r>
            <w:r>
              <w:t>.</w:t>
            </w:r>
          </w:p>
        </w:tc>
      </w:tr>
      <w:tr w:rsidR="002E3407" w14:paraId="7F0AC323" w14:textId="77777777" w:rsidTr="00EE4E8C">
        <w:tc>
          <w:tcPr>
            <w:tcW w:w="1638" w:type="dxa"/>
            <w:shd w:val="clear" w:color="auto" w:fill="D9D9D9" w:themeFill="background1" w:themeFillShade="D9"/>
            <w:vAlign w:val="center"/>
          </w:tcPr>
          <w:p w14:paraId="458FB158" w14:textId="77777777" w:rsidR="002E3407" w:rsidRDefault="002E3407" w:rsidP="00EE4E8C">
            <w:pPr>
              <w:jc w:val="center"/>
              <w:rPr>
                <w:sz w:val="20"/>
                <w:szCs w:val="20"/>
              </w:rPr>
            </w:pPr>
            <w:r w:rsidRPr="00640348">
              <w:rPr>
                <w:sz w:val="20"/>
                <w:szCs w:val="20"/>
              </w:rPr>
              <w:t>Amendment #13A</w:t>
            </w:r>
          </w:p>
          <w:p w14:paraId="34935EE7" w14:textId="77777777" w:rsidR="002E3407" w:rsidRDefault="002E3407" w:rsidP="00EE4E8C">
            <w:pPr>
              <w:jc w:val="center"/>
              <w:rPr>
                <w:sz w:val="20"/>
                <w:szCs w:val="20"/>
              </w:rPr>
            </w:pPr>
          </w:p>
          <w:p w14:paraId="14AC86E8" w14:textId="77777777" w:rsidR="002E3407" w:rsidRPr="00640348" w:rsidRDefault="002E3407" w:rsidP="00EE4E8C">
            <w:pPr>
              <w:jc w:val="center"/>
              <w:rPr>
                <w:sz w:val="20"/>
                <w:szCs w:val="20"/>
              </w:rPr>
            </w:pPr>
            <w:r w:rsidRPr="00640348">
              <w:rPr>
                <w:sz w:val="20"/>
                <w:szCs w:val="20"/>
              </w:rPr>
              <w:t>(2003)</w:t>
            </w:r>
          </w:p>
        </w:tc>
        <w:tc>
          <w:tcPr>
            <w:tcW w:w="1350" w:type="dxa"/>
            <w:shd w:val="clear" w:color="auto" w:fill="D9D9D9" w:themeFill="background1" w:themeFillShade="D9"/>
            <w:vAlign w:val="center"/>
          </w:tcPr>
          <w:p w14:paraId="39C03498" w14:textId="77777777" w:rsidR="002E3407" w:rsidRPr="00640348" w:rsidRDefault="002E3407" w:rsidP="00EE4E8C">
            <w:pPr>
              <w:jc w:val="center"/>
              <w:rPr>
                <w:sz w:val="20"/>
                <w:szCs w:val="20"/>
              </w:rPr>
            </w:pPr>
            <w:r w:rsidRPr="00640348">
              <w:rPr>
                <w:sz w:val="20"/>
                <w:szCs w:val="20"/>
              </w:rPr>
              <w:t>04/26/04</w:t>
            </w:r>
          </w:p>
        </w:tc>
        <w:tc>
          <w:tcPr>
            <w:tcW w:w="1620" w:type="dxa"/>
            <w:shd w:val="clear" w:color="auto" w:fill="D9D9D9" w:themeFill="background1" w:themeFillShade="D9"/>
            <w:vAlign w:val="center"/>
          </w:tcPr>
          <w:p w14:paraId="1DAE7B8B" w14:textId="77777777" w:rsidR="002E3407" w:rsidRPr="00640348" w:rsidRDefault="002E3407" w:rsidP="00EE4E8C">
            <w:pPr>
              <w:rPr>
                <w:sz w:val="20"/>
              </w:rPr>
            </w:pPr>
            <w:r w:rsidRPr="00640348">
              <w:rPr>
                <w:sz w:val="20"/>
              </w:rPr>
              <w:t>PR: 68 FR 66069</w:t>
            </w:r>
          </w:p>
          <w:p w14:paraId="49C6528C" w14:textId="77777777" w:rsidR="002E3407" w:rsidRPr="00640348" w:rsidRDefault="002E3407" w:rsidP="00EE4E8C">
            <w:pPr>
              <w:rPr>
                <w:sz w:val="20"/>
                <w:szCs w:val="20"/>
              </w:rPr>
            </w:pPr>
            <w:r>
              <w:rPr>
                <w:sz w:val="20"/>
                <w:szCs w:val="20"/>
              </w:rPr>
              <w:t xml:space="preserve">FR: </w:t>
            </w:r>
            <w:r w:rsidRPr="00640348">
              <w:rPr>
                <w:sz w:val="20"/>
                <w:szCs w:val="20"/>
              </w:rPr>
              <w:t>69 FR 15731</w:t>
            </w:r>
          </w:p>
        </w:tc>
        <w:tc>
          <w:tcPr>
            <w:tcW w:w="4590" w:type="dxa"/>
            <w:shd w:val="clear" w:color="auto" w:fill="D9D9D9" w:themeFill="background1" w:themeFillShade="D9"/>
          </w:tcPr>
          <w:p w14:paraId="58599089" w14:textId="77777777" w:rsidR="002E3407" w:rsidRPr="00640348" w:rsidRDefault="002E3407" w:rsidP="00EE4E8C">
            <w:pPr>
              <w:rPr>
                <w:sz w:val="20"/>
                <w:szCs w:val="20"/>
              </w:rPr>
            </w:pPr>
            <w:r w:rsidRPr="00640348">
              <w:rPr>
                <w:sz w:val="20"/>
                <w:szCs w:val="20"/>
              </w:rPr>
              <w:t xml:space="preserve">-Extended for an indefinite period the regulation prohibiting fishing for and possessing snapper grouper </w:t>
            </w:r>
            <w:r>
              <w:rPr>
                <w:sz w:val="20"/>
                <w:szCs w:val="20"/>
              </w:rPr>
              <w:t>species</w:t>
            </w:r>
            <w:r w:rsidRPr="00640348">
              <w:rPr>
                <w:sz w:val="20"/>
                <w:szCs w:val="20"/>
              </w:rPr>
              <w:t xml:space="preserve"> within the </w:t>
            </w:r>
            <w:r w:rsidRPr="00640348">
              <w:rPr>
                <w:i/>
                <w:iCs/>
                <w:sz w:val="20"/>
                <w:szCs w:val="20"/>
              </w:rPr>
              <w:t xml:space="preserve">Oculina </w:t>
            </w:r>
            <w:r w:rsidRPr="00640348">
              <w:rPr>
                <w:sz w:val="20"/>
                <w:szCs w:val="20"/>
              </w:rPr>
              <w:t>Experimental Closed Area</w:t>
            </w:r>
            <w:r>
              <w:rPr>
                <w:sz w:val="20"/>
                <w:szCs w:val="20"/>
              </w:rPr>
              <w:t>.</w:t>
            </w:r>
          </w:p>
        </w:tc>
      </w:tr>
      <w:tr w:rsidR="002E3407" w14:paraId="56321A88" w14:textId="77777777" w:rsidTr="00EE4E8C">
        <w:tc>
          <w:tcPr>
            <w:tcW w:w="1638" w:type="dxa"/>
            <w:vAlign w:val="center"/>
          </w:tcPr>
          <w:p w14:paraId="5AED2115" w14:textId="77777777" w:rsidR="002E3407" w:rsidRPr="00640348" w:rsidRDefault="002E3407" w:rsidP="00EE4E8C">
            <w:pPr>
              <w:jc w:val="center"/>
              <w:rPr>
                <w:sz w:val="20"/>
                <w:szCs w:val="20"/>
              </w:rPr>
            </w:pPr>
            <w:r w:rsidRPr="00640348">
              <w:rPr>
                <w:sz w:val="20"/>
                <w:szCs w:val="20"/>
              </w:rPr>
              <w:t>Notice of Control Date</w:t>
            </w:r>
          </w:p>
        </w:tc>
        <w:tc>
          <w:tcPr>
            <w:tcW w:w="1350" w:type="dxa"/>
            <w:vAlign w:val="center"/>
          </w:tcPr>
          <w:p w14:paraId="561AF6C6" w14:textId="77777777" w:rsidR="002E3407" w:rsidRPr="00640348" w:rsidRDefault="002E3407" w:rsidP="00EE4E8C">
            <w:pPr>
              <w:jc w:val="center"/>
              <w:rPr>
                <w:sz w:val="20"/>
                <w:szCs w:val="20"/>
              </w:rPr>
            </w:pPr>
            <w:r w:rsidRPr="00640348">
              <w:rPr>
                <w:sz w:val="20"/>
                <w:szCs w:val="20"/>
              </w:rPr>
              <w:t>10/14/05</w:t>
            </w:r>
          </w:p>
        </w:tc>
        <w:tc>
          <w:tcPr>
            <w:tcW w:w="1620" w:type="dxa"/>
            <w:vAlign w:val="center"/>
          </w:tcPr>
          <w:p w14:paraId="6379E318" w14:textId="77777777" w:rsidR="002E3407" w:rsidRPr="00640348" w:rsidRDefault="002E3407" w:rsidP="00EE4E8C">
            <w:pPr>
              <w:rPr>
                <w:sz w:val="20"/>
                <w:szCs w:val="20"/>
              </w:rPr>
            </w:pPr>
            <w:r w:rsidRPr="00640348">
              <w:rPr>
                <w:sz w:val="20"/>
                <w:szCs w:val="20"/>
              </w:rPr>
              <w:t>70 FR 60058</w:t>
            </w:r>
          </w:p>
        </w:tc>
        <w:tc>
          <w:tcPr>
            <w:tcW w:w="4590" w:type="dxa"/>
          </w:tcPr>
          <w:p w14:paraId="5609EF67" w14:textId="77777777" w:rsidR="002E3407" w:rsidRPr="00640348" w:rsidRDefault="002E3407" w:rsidP="00EE4E8C">
            <w:pPr>
              <w:pStyle w:val="FootnoteText"/>
            </w:pPr>
            <w:r w:rsidRPr="00640348">
              <w:t>-</w:t>
            </w:r>
            <w:r>
              <w:t>Considered</w:t>
            </w:r>
            <w:r w:rsidRPr="00640348">
              <w:t xml:space="preserve"> management measures to further limit participation or effort in the commercial fishery for snapper grouper species (excluding wreckfish)</w:t>
            </w:r>
            <w:r>
              <w:t>.</w:t>
            </w:r>
          </w:p>
        </w:tc>
      </w:tr>
      <w:tr w:rsidR="002E3407" w14:paraId="44505AE1" w14:textId="77777777" w:rsidTr="00EE4E8C">
        <w:tc>
          <w:tcPr>
            <w:tcW w:w="1638" w:type="dxa"/>
            <w:shd w:val="clear" w:color="auto" w:fill="D9D9D9" w:themeFill="background1" w:themeFillShade="D9"/>
            <w:vAlign w:val="center"/>
          </w:tcPr>
          <w:p w14:paraId="5B30C49F" w14:textId="77777777" w:rsidR="002E3407" w:rsidRDefault="002E3407" w:rsidP="00EE4E8C">
            <w:pPr>
              <w:jc w:val="center"/>
              <w:rPr>
                <w:sz w:val="20"/>
                <w:szCs w:val="20"/>
              </w:rPr>
            </w:pPr>
            <w:r w:rsidRPr="00640348">
              <w:rPr>
                <w:sz w:val="20"/>
                <w:szCs w:val="20"/>
              </w:rPr>
              <w:t>Amendment #13C</w:t>
            </w:r>
          </w:p>
          <w:p w14:paraId="78F3F335" w14:textId="77777777" w:rsidR="002E3407" w:rsidRDefault="002E3407" w:rsidP="00EE4E8C">
            <w:pPr>
              <w:jc w:val="center"/>
              <w:rPr>
                <w:sz w:val="20"/>
                <w:szCs w:val="20"/>
              </w:rPr>
            </w:pPr>
          </w:p>
          <w:p w14:paraId="41C6243A" w14:textId="77777777" w:rsidR="002E3407" w:rsidRPr="00640348" w:rsidRDefault="002E3407" w:rsidP="00EE4E8C">
            <w:pPr>
              <w:jc w:val="center"/>
              <w:rPr>
                <w:sz w:val="20"/>
                <w:szCs w:val="20"/>
              </w:rPr>
            </w:pPr>
            <w:r w:rsidRPr="00640348">
              <w:rPr>
                <w:sz w:val="20"/>
                <w:szCs w:val="20"/>
              </w:rPr>
              <w:t>(2006)</w:t>
            </w:r>
          </w:p>
        </w:tc>
        <w:tc>
          <w:tcPr>
            <w:tcW w:w="1350" w:type="dxa"/>
            <w:shd w:val="clear" w:color="auto" w:fill="D9D9D9" w:themeFill="background1" w:themeFillShade="D9"/>
            <w:vAlign w:val="center"/>
          </w:tcPr>
          <w:p w14:paraId="6968952B" w14:textId="77777777" w:rsidR="002E3407" w:rsidRPr="00640348" w:rsidRDefault="002E3407" w:rsidP="00EE4E8C">
            <w:pPr>
              <w:jc w:val="center"/>
              <w:rPr>
                <w:sz w:val="20"/>
                <w:szCs w:val="20"/>
              </w:rPr>
            </w:pPr>
            <w:r w:rsidRPr="00640348">
              <w:rPr>
                <w:sz w:val="20"/>
                <w:szCs w:val="20"/>
              </w:rPr>
              <w:t>10/23/06</w:t>
            </w:r>
          </w:p>
        </w:tc>
        <w:tc>
          <w:tcPr>
            <w:tcW w:w="1620" w:type="dxa"/>
            <w:shd w:val="clear" w:color="auto" w:fill="D9D9D9" w:themeFill="background1" w:themeFillShade="D9"/>
            <w:vAlign w:val="center"/>
          </w:tcPr>
          <w:p w14:paraId="6C2F7320" w14:textId="77777777" w:rsidR="002E3407" w:rsidRPr="00640348" w:rsidRDefault="002E3407" w:rsidP="00EE4E8C">
            <w:pPr>
              <w:rPr>
                <w:sz w:val="20"/>
                <w:szCs w:val="20"/>
              </w:rPr>
            </w:pPr>
            <w:r w:rsidRPr="00640348">
              <w:rPr>
                <w:sz w:val="20"/>
                <w:szCs w:val="20"/>
              </w:rPr>
              <w:t>PR: 71 FR 28841</w:t>
            </w:r>
          </w:p>
          <w:p w14:paraId="73609107" w14:textId="77777777" w:rsidR="002E3407" w:rsidRPr="00640348" w:rsidRDefault="002E3407" w:rsidP="00EE4E8C">
            <w:pPr>
              <w:rPr>
                <w:sz w:val="20"/>
                <w:szCs w:val="20"/>
              </w:rPr>
            </w:pPr>
            <w:r w:rsidRPr="00640348">
              <w:rPr>
                <w:sz w:val="20"/>
                <w:szCs w:val="20"/>
              </w:rPr>
              <w:t>FR: 71 FR 55096</w:t>
            </w:r>
          </w:p>
        </w:tc>
        <w:tc>
          <w:tcPr>
            <w:tcW w:w="4590" w:type="dxa"/>
            <w:shd w:val="clear" w:color="auto" w:fill="D9D9D9" w:themeFill="background1" w:themeFillShade="D9"/>
          </w:tcPr>
          <w:p w14:paraId="5AA8A3DD" w14:textId="77777777" w:rsidR="002E3407" w:rsidRPr="00640348" w:rsidRDefault="002E3407" w:rsidP="00EE4E8C">
            <w:pPr>
              <w:rPr>
                <w:sz w:val="20"/>
                <w:szCs w:val="20"/>
              </w:rPr>
            </w:pPr>
            <w:r>
              <w:rPr>
                <w:sz w:val="20"/>
                <w:szCs w:val="20"/>
              </w:rPr>
              <w:t>-</w:t>
            </w:r>
            <w:r w:rsidRPr="00640348">
              <w:rPr>
                <w:sz w:val="20"/>
                <w:szCs w:val="20"/>
              </w:rPr>
              <w:t>End overfishing of snowy grouper, vermilion snapper, black sea bass, and golden tilefish.  Increase allowable cat</w:t>
            </w:r>
            <w:r>
              <w:rPr>
                <w:sz w:val="20"/>
                <w:szCs w:val="20"/>
              </w:rPr>
              <w:t>ch of red porgy.  Year 1 = 2006;</w:t>
            </w:r>
          </w:p>
          <w:p w14:paraId="12A34BE6" w14:textId="77777777" w:rsidR="002E3407" w:rsidRDefault="002E3407" w:rsidP="00EE4E8C">
            <w:pPr>
              <w:rPr>
                <w:bCs/>
                <w:sz w:val="20"/>
              </w:rPr>
            </w:pPr>
          </w:p>
          <w:p w14:paraId="1DA37EA3" w14:textId="77777777" w:rsidR="002E3407" w:rsidRDefault="002E3407" w:rsidP="00EE4E8C">
            <w:pPr>
              <w:rPr>
                <w:bCs/>
                <w:sz w:val="20"/>
              </w:rPr>
            </w:pPr>
            <w:r w:rsidRPr="00640348">
              <w:rPr>
                <w:bCs/>
                <w:sz w:val="20"/>
              </w:rPr>
              <w:t xml:space="preserve">1. </w:t>
            </w:r>
            <w:r w:rsidRPr="00891FF1">
              <w:rPr>
                <w:bCs/>
                <w:sz w:val="20"/>
                <w:u w:val="single"/>
              </w:rPr>
              <w:t>Snowy Grouper</w:t>
            </w:r>
            <w:r w:rsidRPr="00640348">
              <w:rPr>
                <w:bCs/>
                <w:sz w:val="20"/>
              </w:rPr>
              <w:t xml:space="preserve"> </w:t>
            </w:r>
          </w:p>
          <w:p w14:paraId="243E0304" w14:textId="77777777" w:rsidR="002E3407" w:rsidRDefault="002E3407" w:rsidP="00EE4E8C">
            <w:pPr>
              <w:rPr>
                <w:b/>
                <w:sz w:val="20"/>
              </w:rPr>
            </w:pPr>
            <w:r w:rsidRPr="00640348">
              <w:rPr>
                <w:sz w:val="20"/>
              </w:rPr>
              <w:t>Commercial:</w:t>
            </w:r>
            <w:r w:rsidRPr="00640348">
              <w:rPr>
                <w:b/>
                <w:sz w:val="20"/>
              </w:rPr>
              <w:t xml:space="preserve"> </w:t>
            </w:r>
          </w:p>
          <w:p w14:paraId="7A067516" w14:textId="77777777" w:rsidR="002E3407" w:rsidRDefault="002E3407" w:rsidP="00EE4E8C">
            <w:pPr>
              <w:rPr>
                <w:sz w:val="20"/>
              </w:rPr>
            </w:pPr>
            <w:r>
              <w:rPr>
                <w:b/>
                <w:sz w:val="20"/>
              </w:rPr>
              <w:t>-</w:t>
            </w:r>
            <w:r w:rsidRPr="00640348">
              <w:rPr>
                <w:sz w:val="20"/>
              </w:rPr>
              <w:t xml:space="preserve">Quota = 151,000 lb gutted weight (gw) in year 1, 118,000 lb gw in year 2, and 84,000 lb gw in year 3 onwards.  </w:t>
            </w:r>
          </w:p>
          <w:p w14:paraId="64C6B584" w14:textId="77777777" w:rsidR="002E3407" w:rsidRPr="00640348" w:rsidRDefault="002E3407" w:rsidP="00EE4E8C">
            <w:pPr>
              <w:rPr>
                <w:b/>
                <w:bCs/>
                <w:sz w:val="20"/>
              </w:rPr>
            </w:pPr>
            <w:r>
              <w:rPr>
                <w:sz w:val="20"/>
              </w:rPr>
              <w:t>-</w:t>
            </w:r>
            <w:r w:rsidRPr="00640348">
              <w:rPr>
                <w:sz w:val="20"/>
              </w:rPr>
              <w:t>Trip limit = 275 lb gw in year 1, 175 lb gw in year 2, and 100 lb gw in year 3 onwards</w:t>
            </w:r>
            <w:r>
              <w:rPr>
                <w:sz w:val="20"/>
              </w:rPr>
              <w:t>;</w:t>
            </w:r>
          </w:p>
          <w:p w14:paraId="362E71C7" w14:textId="77777777" w:rsidR="002E3407" w:rsidRDefault="002E3407" w:rsidP="00EE4E8C">
            <w:pPr>
              <w:rPr>
                <w:sz w:val="20"/>
              </w:rPr>
            </w:pPr>
            <w:r w:rsidRPr="00640348">
              <w:rPr>
                <w:sz w:val="20"/>
              </w:rPr>
              <w:t xml:space="preserve">Recreational:  </w:t>
            </w:r>
          </w:p>
          <w:p w14:paraId="2ECFBD8E" w14:textId="77777777" w:rsidR="002E3407" w:rsidRPr="00640348" w:rsidRDefault="002E3407" w:rsidP="00EE4E8C">
            <w:pPr>
              <w:rPr>
                <w:sz w:val="20"/>
              </w:rPr>
            </w:pPr>
            <w:r>
              <w:rPr>
                <w:sz w:val="20"/>
              </w:rPr>
              <w:t>-</w:t>
            </w:r>
            <w:r w:rsidRPr="00640348">
              <w:rPr>
                <w:sz w:val="20"/>
              </w:rPr>
              <w:t>Limit possession to one snowy grouper in 5 grouper per</w:t>
            </w:r>
            <w:r>
              <w:rPr>
                <w:sz w:val="20"/>
              </w:rPr>
              <w:t xml:space="preserve"> person/day aggregate bag limit;</w:t>
            </w:r>
          </w:p>
          <w:p w14:paraId="72A7B764" w14:textId="77777777" w:rsidR="002E3407" w:rsidRDefault="002E3407" w:rsidP="00EE4E8C">
            <w:pPr>
              <w:tabs>
                <w:tab w:val="left" w:pos="9980"/>
              </w:tabs>
              <w:rPr>
                <w:bCs/>
                <w:sz w:val="20"/>
              </w:rPr>
            </w:pPr>
          </w:p>
          <w:p w14:paraId="27336A1F" w14:textId="77777777" w:rsidR="002E3407" w:rsidRDefault="002E3407" w:rsidP="00EE4E8C">
            <w:pPr>
              <w:tabs>
                <w:tab w:val="left" w:pos="9980"/>
              </w:tabs>
              <w:rPr>
                <w:bCs/>
                <w:sz w:val="20"/>
              </w:rPr>
            </w:pPr>
            <w:r w:rsidRPr="00640348">
              <w:rPr>
                <w:bCs/>
                <w:sz w:val="20"/>
              </w:rPr>
              <w:t xml:space="preserve">2. </w:t>
            </w:r>
            <w:r w:rsidRPr="00891FF1">
              <w:rPr>
                <w:bCs/>
                <w:sz w:val="20"/>
                <w:u w:val="single"/>
              </w:rPr>
              <w:t>Golden Tilefish</w:t>
            </w:r>
            <w:r w:rsidRPr="00640348">
              <w:rPr>
                <w:bCs/>
                <w:sz w:val="20"/>
              </w:rPr>
              <w:t xml:space="preserve"> </w:t>
            </w:r>
          </w:p>
          <w:p w14:paraId="7A7AE539" w14:textId="77777777" w:rsidR="002E3407" w:rsidRPr="00640348" w:rsidRDefault="002E3407" w:rsidP="00EE4E8C">
            <w:pPr>
              <w:tabs>
                <w:tab w:val="left" w:pos="9980"/>
              </w:tabs>
              <w:rPr>
                <w:b/>
                <w:bCs/>
                <w:sz w:val="20"/>
              </w:rPr>
            </w:pPr>
            <w:r w:rsidRPr="00640348">
              <w:rPr>
                <w:sz w:val="20"/>
              </w:rPr>
              <w:t>Commercial: Quota of 295,000 lb gw, 4,000 lb gw trip limit until 75% of the quota is taken when the trip limit is reduced to 300 lb gw.  Do not adjust the trip limit downwards unless 75% is ca</w:t>
            </w:r>
            <w:r>
              <w:rPr>
                <w:sz w:val="20"/>
              </w:rPr>
              <w:t>ptured on or before September 1;</w:t>
            </w:r>
          </w:p>
          <w:p w14:paraId="57B8C43A" w14:textId="77777777" w:rsidR="002E3407" w:rsidRPr="00640348" w:rsidRDefault="002E3407" w:rsidP="00EE4E8C">
            <w:pPr>
              <w:tabs>
                <w:tab w:val="left" w:pos="9980"/>
              </w:tabs>
              <w:rPr>
                <w:sz w:val="20"/>
              </w:rPr>
            </w:pPr>
            <w:r w:rsidRPr="00640348">
              <w:rPr>
                <w:sz w:val="20"/>
              </w:rPr>
              <w:t xml:space="preserve">Recreational: </w:t>
            </w:r>
            <w:r w:rsidRPr="00640348">
              <w:rPr>
                <w:bCs/>
                <w:sz w:val="20"/>
              </w:rPr>
              <w:t>Limit</w:t>
            </w:r>
            <w:r>
              <w:rPr>
                <w:bCs/>
                <w:sz w:val="20"/>
              </w:rPr>
              <w:t>ed</w:t>
            </w:r>
            <w:r w:rsidRPr="00640348">
              <w:rPr>
                <w:bCs/>
                <w:sz w:val="20"/>
              </w:rPr>
              <w:t xml:space="preserve"> possession to </w:t>
            </w:r>
            <w:r w:rsidRPr="00640348">
              <w:rPr>
                <w:sz w:val="20"/>
              </w:rPr>
              <w:t>1 golden tilefish in 5 grouper per</w:t>
            </w:r>
            <w:r>
              <w:rPr>
                <w:sz w:val="20"/>
              </w:rPr>
              <w:t xml:space="preserve"> person/day aggregate bag limit;</w:t>
            </w:r>
          </w:p>
          <w:p w14:paraId="664CBD1C" w14:textId="77777777" w:rsidR="002E3407" w:rsidRDefault="002E3407" w:rsidP="00EE4E8C">
            <w:pPr>
              <w:autoSpaceDE w:val="0"/>
              <w:autoSpaceDN w:val="0"/>
              <w:adjustRightInd w:val="0"/>
              <w:rPr>
                <w:bCs/>
                <w:sz w:val="20"/>
              </w:rPr>
            </w:pPr>
          </w:p>
          <w:p w14:paraId="28FFC56C" w14:textId="77777777" w:rsidR="002E3407" w:rsidRDefault="002E3407" w:rsidP="00EE4E8C">
            <w:pPr>
              <w:autoSpaceDE w:val="0"/>
              <w:autoSpaceDN w:val="0"/>
              <w:adjustRightInd w:val="0"/>
              <w:rPr>
                <w:bCs/>
                <w:sz w:val="20"/>
              </w:rPr>
            </w:pPr>
            <w:r w:rsidRPr="00640348">
              <w:rPr>
                <w:bCs/>
                <w:sz w:val="20"/>
              </w:rPr>
              <w:t xml:space="preserve">3. </w:t>
            </w:r>
            <w:r w:rsidRPr="00891FF1">
              <w:rPr>
                <w:bCs/>
                <w:sz w:val="20"/>
                <w:u w:val="single"/>
              </w:rPr>
              <w:t>Vermilion Snapper</w:t>
            </w:r>
            <w:r w:rsidRPr="00640348">
              <w:rPr>
                <w:bCs/>
                <w:sz w:val="20"/>
              </w:rPr>
              <w:t xml:space="preserve"> </w:t>
            </w:r>
          </w:p>
          <w:p w14:paraId="77458970" w14:textId="77777777" w:rsidR="002E3407" w:rsidRPr="00640348" w:rsidRDefault="002E3407" w:rsidP="00EE4E8C">
            <w:pPr>
              <w:autoSpaceDE w:val="0"/>
              <w:autoSpaceDN w:val="0"/>
              <w:adjustRightInd w:val="0"/>
              <w:rPr>
                <w:bCs/>
                <w:sz w:val="20"/>
              </w:rPr>
            </w:pPr>
            <w:r w:rsidRPr="00640348">
              <w:rPr>
                <w:bCs/>
                <w:sz w:val="20"/>
              </w:rPr>
              <w:t xml:space="preserve">Commercial: </w:t>
            </w:r>
            <w:r w:rsidRPr="00640348">
              <w:rPr>
                <w:sz w:val="20"/>
              </w:rPr>
              <w:t>Quota of 1,100,000</w:t>
            </w:r>
            <w:r>
              <w:rPr>
                <w:sz w:val="20"/>
              </w:rPr>
              <w:t xml:space="preserve"> lb gw;</w:t>
            </w:r>
          </w:p>
          <w:p w14:paraId="41B67949" w14:textId="77777777" w:rsidR="002E3407" w:rsidRPr="00640348" w:rsidRDefault="002E3407" w:rsidP="00EE4E8C">
            <w:pPr>
              <w:autoSpaceDE w:val="0"/>
              <w:autoSpaceDN w:val="0"/>
              <w:adjustRightInd w:val="0"/>
              <w:rPr>
                <w:bCs/>
                <w:sz w:val="20"/>
              </w:rPr>
            </w:pPr>
            <w:r w:rsidRPr="00640348">
              <w:rPr>
                <w:bCs/>
                <w:sz w:val="20"/>
              </w:rPr>
              <w:lastRenderedPageBreak/>
              <w:t>Recreational:</w:t>
            </w:r>
            <w:r w:rsidRPr="00640348">
              <w:rPr>
                <w:sz w:val="20"/>
              </w:rPr>
              <w:t xml:space="preserve"> 12” TL size limit</w:t>
            </w:r>
            <w:r w:rsidRPr="00640348">
              <w:rPr>
                <w:bCs/>
                <w:sz w:val="20"/>
              </w:rPr>
              <w:t>.</w:t>
            </w:r>
          </w:p>
          <w:p w14:paraId="1057B911" w14:textId="77777777" w:rsidR="002E3407" w:rsidRDefault="002E3407" w:rsidP="00EE4E8C">
            <w:pPr>
              <w:tabs>
                <w:tab w:val="left" w:pos="9980"/>
              </w:tabs>
              <w:rPr>
                <w:bCs/>
                <w:sz w:val="20"/>
              </w:rPr>
            </w:pPr>
            <w:r w:rsidRPr="00640348">
              <w:rPr>
                <w:bCs/>
                <w:sz w:val="20"/>
              </w:rPr>
              <w:t xml:space="preserve">4. </w:t>
            </w:r>
            <w:r w:rsidRPr="00891FF1">
              <w:rPr>
                <w:bCs/>
                <w:sz w:val="20"/>
                <w:u w:val="single"/>
              </w:rPr>
              <w:t>Black Sea Bass</w:t>
            </w:r>
            <w:r w:rsidRPr="00640348">
              <w:rPr>
                <w:bCs/>
                <w:sz w:val="20"/>
              </w:rPr>
              <w:t xml:space="preserve"> </w:t>
            </w:r>
          </w:p>
          <w:p w14:paraId="106388F6" w14:textId="77777777" w:rsidR="002E3407" w:rsidRDefault="002E3407" w:rsidP="00EE4E8C">
            <w:pPr>
              <w:tabs>
                <w:tab w:val="left" w:pos="9980"/>
              </w:tabs>
              <w:rPr>
                <w:sz w:val="20"/>
              </w:rPr>
            </w:pPr>
            <w:r w:rsidRPr="00640348">
              <w:rPr>
                <w:sz w:val="20"/>
              </w:rPr>
              <w:t>Commercial</w:t>
            </w:r>
            <w:r>
              <w:rPr>
                <w:sz w:val="20"/>
              </w:rPr>
              <w:t>: Q</w:t>
            </w:r>
            <w:r w:rsidRPr="00640348">
              <w:rPr>
                <w:sz w:val="20"/>
              </w:rPr>
              <w:t>uota of 477,000 lb gw in year 1, 423,000 lb gw in year 2, and 30</w:t>
            </w:r>
            <w:r>
              <w:rPr>
                <w:sz w:val="20"/>
              </w:rPr>
              <w:t xml:space="preserve">9,000 lb gw in year 3 onwards; </w:t>
            </w:r>
          </w:p>
          <w:p w14:paraId="5589F94B" w14:textId="77777777" w:rsidR="002E3407" w:rsidRDefault="002E3407" w:rsidP="00EE4E8C">
            <w:pPr>
              <w:tabs>
                <w:tab w:val="left" w:pos="9980"/>
              </w:tabs>
              <w:rPr>
                <w:sz w:val="20"/>
              </w:rPr>
            </w:pPr>
            <w:r>
              <w:rPr>
                <w:sz w:val="20"/>
              </w:rPr>
              <w:t>-</w:t>
            </w:r>
            <w:r w:rsidRPr="00640348">
              <w:rPr>
                <w:sz w:val="20"/>
              </w:rPr>
              <w:t>Require</w:t>
            </w:r>
            <w:r>
              <w:rPr>
                <w:sz w:val="20"/>
              </w:rPr>
              <w:t>d</w:t>
            </w:r>
            <w:r w:rsidRPr="00640348">
              <w:rPr>
                <w:sz w:val="20"/>
              </w:rPr>
              <w:t xml:space="preserve"> use of at least 2” mesh for the entire back panel of black sea bass pots effective 6 months after </w:t>
            </w:r>
            <w:r>
              <w:rPr>
                <w:sz w:val="20"/>
              </w:rPr>
              <w:t>publication of the final rule;</w:t>
            </w:r>
          </w:p>
          <w:p w14:paraId="292D875E" w14:textId="77777777" w:rsidR="002E3407" w:rsidRDefault="002E3407" w:rsidP="00EE4E8C">
            <w:pPr>
              <w:tabs>
                <w:tab w:val="left" w:pos="9980"/>
              </w:tabs>
              <w:rPr>
                <w:sz w:val="20"/>
              </w:rPr>
            </w:pPr>
            <w:r>
              <w:rPr>
                <w:sz w:val="20"/>
              </w:rPr>
              <w:t>-</w:t>
            </w:r>
            <w:r w:rsidRPr="00640348">
              <w:rPr>
                <w:sz w:val="20"/>
              </w:rPr>
              <w:t>Require</w:t>
            </w:r>
            <w:r>
              <w:rPr>
                <w:sz w:val="20"/>
              </w:rPr>
              <w:t>d</w:t>
            </w:r>
            <w:r w:rsidRPr="00640348">
              <w:rPr>
                <w:sz w:val="20"/>
              </w:rPr>
              <w:t xml:space="preserve"> black sea bass pots be removed from th</w:t>
            </w:r>
            <w:r>
              <w:rPr>
                <w:sz w:val="20"/>
              </w:rPr>
              <w:t>e water when the quota is met;</w:t>
            </w:r>
          </w:p>
          <w:p w14:paraId="52AEE1D0" w14:textId="77777777" w:rsidR="002E3407" w:rsidRPr="00891FF1" w:rsidRDefault="002E3407" w:rsidP="00EE4E8C">
            <w:pPr>
              <w:tabs>
                <w:tab w:val="left" w:pos="9980"/>
              </w:tabs>
              <w:rPr>
                <w:sz w:val="20"/>
              </w:rPr>
            </w:pPr>
            <w:r>
              <w:rPr>
                <w:sz w:val="20"/>
              </w:rPr>
              <w:t>-</w:t>
            </w:r>
            <w:r w:rsidRPr="00640348">
              <w:rPr>
                <w:sz w:val="20"/>
              </w:rPr>
              <w:t>Change</w:t>
            </w:r>
            <w:r>
              <w:rPr>
                <w:sz w:val="20"/>
              </w:rPr>
              <w:t>d</w:t>
            </w:r>
            <w:r w:rsidRPr="00640348">
              <w:rPr>
                <w:sz w:val="20"/>
              </w:rPr>
              <w:t xml:space="preserve"> fishing year from c</w:t>
            </w:r>
            <w:r>
              <w:rPr>
                <w:sz w:val="20"/>
              </w:rPr>
              <w:t>alendar year to June 1 – May 31;</w:t>
            </w:r>
          </w:p>
          <w:p w14:paraId="1A19B90A" w14:textId="77777777" w:rsidR="002E3407" w:rsidRDefault="002E3407" w:rsidP="00EE4E8C">
            <w:pPr>
              <w:tabs>
                <w:tab w:val="left" w:pos="9980"/>
              </w:tabs>
              <w:rPr>
                <w:sz w:val="20"/>
              </w:rPr>
            </w:pPr>
            <w:r w:rsidRPr="00640348">
              <w:rPr>
                <w:bCs/>
                <w:sz w:val="20"/>
              </w:rPr>
              <w:t xml:space="preserve">Recreational: </w:t>
            </w:r>
            <w:r w:rsidRPr="00640348">
              <w:rPr>
                <w:sz w:val="20"/>
              </w:rPr>
              <w:t>Recreational allocation of 633,000 lb gw in year 1, 560,000 lb gw in year 2, and 409,000 lb gw in year 3 onwards.  Increase minimum size limit from 10” to 11”</w:t>
            </w:r>
            <w:r>
              <w:rPr>
                <w:sz w:val="20"/>
              </w:rPr>
              <w:t xml:space="preserve"> in year 1 and to 12” in year 2;</w:t>
            </w:r>
            <w:r w:rsidRPr="00640348">
              <w:rPr>
                <w:sz w:val="20"/>
              </w:rPr>
              <w:t xml:space="preserve">  </w:t>
            </w:r>
          </w:p>
          <w:p w14:paraId="67DC6B41" w14:textId="77777777" w:rsidR="002E3407" w:rsidRDefault="002E3407" w:rsidP="00EE4E8C">
            <w:pPr>
              <w:tabs>
                <w:tab w:val="left" w:pos="9980"/>
              </w:tabs>
              <w:rPr>
                <w:sz w:val="20"/>
              </w:rPr>
            </w:pPr>
            <w:r>
              <w:rPr>
                <w:sz w:val="20"/>
              </w:rPr>
              <w:t>-R</w:t>
            </w:r>
            <w:r w:rsidRPr="00640348">
              <w:rPr>
                <w:sz w:val="20"/>
              </w:rPr>
              <w:t>educe</w:t>
            </w:r>
            <w:r>
              <w:rPr>
                <w:sz w:val="20"/>
              </w:rPr>
              <w:t>d</w:t>
            </w:r>
            <w:r w:rsidRPr="00640348">
              <w:rPr>
                <w:sz w:val="20"/>
              </w:rPr>
              <w:t xml:space="preserve"> recreational bag limit fro</w:t>
            </w:r>
            <w:r>
              <w:rPr>
                <w:sz w:val="20"/>
              </w:rPr>
              <w:t>m 20 to 15 per person per day;</w:t>
            </w:r>
          </w:p>
          <w:p w14:paraId="0E0B866A" w14:textId="77777777" w:rsidR="002E3407" w:rsidRPr="00640348" w:rsidRDefault="002E3407" w:rsidP="00EE4E8C">
            <w:pPr>
              <w:tabs>
                <w:tab w:val="left" w:pos="9980"/>
              </w:tabs>
              <w:rPr>
                <w:sz w:val="20"/>
              </w:rPr>
            </w:pPr>
            <w:r>
              <w:rPr>
                <w:sz w:val="20"/>
              </w:rPr>
              <w:t>-</w:t>
            </w:r>
            <w:r w:rsidRPr="00640348">
              <w:rPr>
                <w:sz w:val="20"/>
              </w:rPr>
              <w:t>Change</w:t>
            </w:r>
            <w:r>
              <w:rPr>
                <w:sz w:val="20"/>
              </w:rPr>
              <w:t>d</w:t>
            </w:r>
            <w:r w:rsidRPr="00640348">
              <w:rPr>
                <w:sz w:val="20"/>
              </w:rPr>
              <w:t xml:space="preserve"> fishing year from the calendar year to June 1 through May 31.</w:t>
            </w:r>
          </w:p>
          <w:p w14:paraId="6B305644" w14:textId="77777777" w:rsidR="002E3407" w:rsidRDefault="002E3407" w:rsidP="00EE4E8C">
            <w:pPr>
              <w:autoSpaceDE w:val="0"/>
              <w:autoSpaceDN w:val="0"/>
              <w:adjustRightInd w:val="0"/>
              <w:rPr>
                <w:sz w:val="20"/>
              </w:rPr>
            </w:pPr>
          </w:p>
          <w:p w14:paraId="386A4CAA" w14:textId="77777777" w:rsidR="002E3407" w:rsidRPr="00640348" w:rsidRDefault="002E3407" w:rsidP="00EE4E8C">
            <w:pPr>
              <w:autoSpaceDE w:val="0"/>
              <w:autoSpaceDN w:val="0"/>
              <w:adjustRightInd w:val="0"/>
              <w:rPr>
                <w:sz w:val="20"/>
              </w:rPr>
            </w:pPr>
            <w:r w:rsidRPr="00640348">
              <w:rPr>
                <w:sz w:val="20"/>
              </w:rPr>
              <w:t xml:space="preserve">5. </w:t>
            </w:r>
            <w:r w:rsidRPr="00891FF1">
              <w:rPr>
                <w:sz w:val="20"/>
                <w:u w:val="single"/>
              </w:rPr>
              <w:t>Red Porgy</w:t>
            </w:r>
            <w:r w:rsidRPr="00640348">
              <w:rPr>
                <w:sz w:val="20"/>
              </w:rPr>
              <w:t xml:space="preserve"> Commercial and recreational:</w:t>
            </w:r>
          </w:p>
          <w:p w14:paraId="610BE734" w14:textId="77777777" w:rsidR="002E3407" w:rsidRPr="00640348" w:rsidRDefault="002E3407" w:rsidP="00EE4E8C">
            <w:pPr>
              <w:autoSpaceDE w:val="0"/>
              <w:autoSpaceDN w:val="0"/>
              <w:adjustRightInd w:val="0"/>
              <w:rPr>
                <w:sz w:val="20"/>
              </w:rPr>
            </w:pPr>
            <w:r>
              <w:rPr>
                <w:sz w:val="20"/>
              </w:rPr>
              <w:t>-</w:t>
            </w:r>
            <w:r w:rsidRPr="00640348">
              <w:rPr>
                <w:sz w:val="20"/>
              </w:rPr>
              <w:t>Retain</w:t>
            </w:r>
            <w:r>
              <w:rPr>
                <w:sz w:val="20"/>
              </w:rPr>
              <w:t>ed</w:t>
            </w:r>
            <w:r w:rsidRPr="00640348">
              <w:rPr>
                <w:sz w:val="20"/>
              </w:rPr>
              <w:t xml:space="preserve"> 14” TL size limit and seasonal closure (retention limited to the bag limit);</w:t>
            </w:r>
          </w:p>
          <w:p w14:paraId="20B1A0BE" w14:textId="77777777" w:rsidR="002E3407" w:rsidRPr="00640348" w:rsidRDefault="002E3407" w:rsidP="00EE4E8C">
            <w:pPr>
              <w:autoSpaceDE w:val="0"/>
              <w:autoSpaceDN w:val="0"/>
              <w:adjustRightInd w:val="0"/>
              <w:rPr>
                <w:sz w:val="20"/>
              </w:rPr>
            </w:pPr>
            <w:r>
              <w:rPr>
                <w:sz w:val="20"/>
              </w:rPr>
              <w:t>-Specified</w:t>
            </w:r>
            <w:r w:rsidRPr="00640348">
              <w:rPr>
                <w:sz w:val="20"/>
              </w:rPr>
              <w:t xml:space="preserve"> a commercial quota of 127,000 lb gw and prohibit sale/purchase and prohibit harvest and/or possession beyond the bag limit when quota is taken and/or during January through April;</w:t>
            </w:r>
          </w:p>
          <w:p w14:paraId="59704D3F" w14:textId="77777777" w:rsidR="002E3407" w:rsidRPr="00891FF1" w:rsidRDefault="002E3407" w:rsidP="00EE4E8C">
            <w:pPr>
              <w:autoSpaceDE w:val="0"/>
              <w:autoSpaceDN w:val="0"/>
              <w:adjustRightInd w:val="0"/>
              <w:rPr>
                <w:sz w:val="20"/>
              </w:rPr>
            </w:pPr>
            <w:r>
              <w:rPr>
                <w:sz w:val="20"/>
              </w:rPr>
              <w:t>-</w:t>
            </w:r>
            <w:r w:rsidRPr="00640348">
              <w:rPr>
                <w:sz w:val="20"/>
              </w:rPr>
              <w:t>Increase</w:t>
            </w:r>
            <w:r>
              <w:rPr>
                <w:sz w:val="20"/>
              </w:rPr>
              <w:t>d</w:t>
            </w:r>
            <w:r w:rsidRPr="00640348">
              <w:rPr>
                <w:sz w:val="20"/>
              </w:rPr>
              <w:t xml:space="preserve"> commercial trip limit from 50 lb ww to 120 red porgy (210 lb g</w:t>
            </w:r>
            <w:r>
              <w:rPr>
                <w:sz w:val="20"/>
              </w:rPr>
              <w:t>w) during May through December;--</w:t>
            </w:r>
            <w:r w:rsidRPr="00640348">
              <w:rPr>
                <w:sz w:val="20"/>
              </w:rPr>
              <w:t>Increase</w:t>
            </w:r>
            <w:r>
              <w:rPr>
                <w:sz w:val="20"/>
              </w:rPr>
              <w:t>d</w:t>
            </w:r>
            <w:r w:rsidRPr="00640348">
              <w:rPr>
                <w:sz w:val="20"/>
              </w:rPr>
              <w:t xml:space="preserve"> recreational bag limit from one to three red porgy per person per day.</w:t>
            </w:r>
          </w:p>
        </w:tc>
      </w:tr>
      <w:tr w:rsidR="002E3407" w14:paraId="3344E229" w14:textId="77777777" w:rsidTr="00EE4E8C">
        <w:trPr>
          <w:trHeight w:val="458"/>
        </w:trPr>
        <w:tc>
          <w:tcPr>
            <w:tcW w:w="1638" w:type="dxa"/>
            <w:vAlign w:val="center"/>
          </w:tcPr>
          <w:p w14:paraId="59BB4047" w14:textId="77777777" w:rsidR="002E3407" w:rsidRPr="00640348" w:rsidRDefault="002E3407" w:rsidP="00EE4E8C">
            <w:pPr>
              <w:jc w:val="center"/>
              <w:rPr>
                <w:sz w:val="20"/>
                <w:szCs w:val="20"/>
              </w:rPr>
            </w:pPr>
            <w:r w:rsidRPr="00640348">
              <w:rPr>
                <w:sz w:val="20"/>
                <w:szCs w:val="20"/>
              </w:rPr>
              <w:lastRenderedPageBreak/>
              <w:t>Notice of Control Date</w:t>
            </w:r>
          </w:p>
        </w:tc>
        <w:tc>
          <w:tcPr>
            <w:tcW w:w="1350" w:type="dxa"/>
            <w:vAlign w:val="center"/>
          </w:tcPr>
          <w:p w14:paraId="7F9DDC20" w14:textId="77777777" w:rsidR="002E3407" w:rsidRPr="00640348" w:rsidRDefault="002E3407" w:rsidP="00EE4E8C">
            <w:pPr>
              <w:jc w:val="center"/>
              <w:rPr>
                <w:sz w:val="20"/>
                <w:szCs w:val="20"/>
              </w:rPr>
            </w:pPr>
            <w:r w:rsidRPr="00640348">
              <w:rPr>
                <w:sz w:val="20"/>
                <w:szCs w:val="20"/>
              </w:rPr>
              <w:t>3/8/07</w:t>
            </w:r>
          </w:p>
        </w:tc>
        <w:tc>
          <w:tcPr>
            <w:tcW w:w="1620" w:type="dxa"/>
            <w:vAlign w:val="center"/>
          </w:tcPr>
          <w:p w14:paraId="6612ACE3" w14:textId="77777777" w:rsidR="002E3407" w:rsidRPr="00640348" w:rsidRDefault="002E3407" w:rsidP="00EE4E8C">
            <w:pPr>
              <w:rPr>
                <w:sz w:val="20"/>
                <w:szCs w:val="20"/>
              </w:rPr>
            </w:pPr>
            <w:r w:rsidRPr="00640348">
              <w:rPr>
                <w:sz w:val="20"/>
                <w:szCs w:val="20"/>
              </w:rPr>
              <w:t>72 FR 60794</w:t>
            </w:r>
          </w:p>
        </w:tc>
        <w:tc>
          <w:tcPr>
            <w:tcW w:w="4590" w:type="dxa"/>
          </w:tcPr>
          <w:p w14:paraId="757F64A4" w14:textId="77777777" w:rsidR="002E3407" w:rsidRPr="00640348" w:rsidRDefault="002E3407" w:rsidP="00EE4E8C">
            <w:pPr>
              <w:rPr>
                <w:sz w:val="20"/>
              </w:rPr>
            </w:pPr>
            <w:r w:rsidRPr="00640348">
              <w:rPr>
                <w:sz w:val="20"/>
              </w:rPr>
              <w:t>-</w:t>
            </w:r>
            <w:r>
              <w:rPr>
                <w:sz w:val="20"/>
              </w:rPr>
              <w:t>Considered</w:t>
            </w:r>
            <w:r w:rsidRPr="00640348">
              <w:rPr>
                <w:sz w:val="20"/>
              </w:rPr>
              <w:t xml:space="preserve"> measures to limit participation in the snapper grouper for-hire sector</w:t>
            </w:r>
            <w:r>
              <w:rPr>
                <w:sz w:val="20"/>
              </w:rPr>
              <w:t>.</w:t>
            </w:r>
          </w:p>
        </w:tc>
      </w:tr>
      <w:tr w:rsidR="002E3407" w14:paraId="51143E85" w14:textId="77777777" w:rsidTr="00EE4E8C">
        <w:tc>
          <w:tcPr>
            <w:tcW w:w="1638" w:type="dxa"/>
            <w:shd w:val="clear" w:color="auto" w:fill="D9D9D9" w:themeFill="background1" w:themeFillShade="D9"/>
            <w:vAlign w:val="center"/>
          </w:tcPr>
          <w:p w14:paraId="74A51F06" w14:textId="77777777" w:rsidR="002E3407" w:rsidRDefault="002E3407" w:rsidP="00EE4E8C">
            <w:pPr>
              <w:jc w:val="center"/>
              <w:rPr>
                <w:sz w:val="20"/>
                <w:szCs w:val="20"/>
              </w:rPr>
            </w:pPr>
            <w:r>
              <w:rPr>
                <w:sz w:val="20"/>
                <w:szCs w:val="20"/>
              </w:rPr>
              <w:t>Amendment #15A</w:t>
            </w:r>
          </w:p>
          <w:p w14:paraId="7DA42B1A" w14:textId="77777777" w:rsidR="002E3407" w:rsidRDefault="002E3407" w:rsidP="00EE4E8C">
            <w:pPr>
              <w:jc w:val="center"/>
              <w:rPr>
                <w:sz w:val="20"/>
                <w:szCs w:val="20"/>
              </w:rPr>
            </w:pPr>
          </w:p>
          <w:p w14:paraId="1E168373" w14:textId="77777777" w:rsidR="002E3407" w:rsidRPr="00640348" w:rsidRDefault="002E3407" w:rsidP="00EE4E8C">
            <w:pPr>
              <w:jc w:val="center"/>
              <w:rPr>
                <w:sz w:val="20"/>
                <w:szCs w:val="20"/>
              </w:rPr>
            </w:pPr>
            <w:r>
              <w:rPr>
                <w:sz w:val="20"/>
                <w:szCs w:val="20"/>
              </w:rPr>
              <w:t>(2008</w:t>
            </w:r>
            <w:r w:rsidRPr="00640348">
              <w:rPr>
                <w:sz w:val="20"/>
                <w:szCs w:val="20"/>
              </w:rPr>
              <w:t>)</w:t>
            </w:r>
          </w:p>
        </w:tc>
        <w:tc>
          <w:tcPr>
            <w:tcW w:w="1350" w:type="dxa"/>
            <w:shd w:val="clear" w:color="auto" w:fill="D9D9D9" w:themeFill="background1" w:themeFillShade="D9"/>
            <w:vAlign w:val="center"/>
          </w:tcPr>
          <w:p w14:paraId="60BDA81E" w14:textId="77777777" w:rsidR="002E3407" w:rsidRPr="00640348" w:rsidRDefault="002E3407" w:rsidP="00EE4E8C">
            <w:pPr>
              <w:jc w:val="center"/>
              <w:rPr>
                <w:sz w:val="20"/>
                <w:szCs w:val="20"/>
              </w:rPr>
            </w:pPr>
            <w:r w:rsidRPr="00640348">
              <w:rPr>
                <w:sz w:val="20"/>
                <w:szCs w:val="20"/>
              </w:rPr>
              <w:t>3/14/08</w:t>
            </w:r>
          </w:p>
        </w:tc>
        <w:tc>
          <w:tcPr>
            <w:tcW w:w="1620" w:type="dxa"/>
            <w:shd w:val="clear" w:color="auto" w:fill="D9D9D9" w:themeFill="background1" w:themeFillShade="D9"/>
            <w:vAlign w:val="center"/>
          </w:tcPr>
          <w:p w14:paraId="66E782D4" w14:textId="77777777" w:rsidR="002E3407" w:rsidRPr="00640348" w:rsidRDefault="002E3407" w:rsidP="00EE4E8C">
            <w:pPr>
              <w:rPr>
                <w:sz w:val="20"/>
                <w:szCs w:val="20"/>
              </w:rPr>
            </w:pPr>
            <w:r w:rsidRPr="00640348">
              <w:rPr>
                <w:sz w:val="20"/>
                <w:szCs w:val="20"/>
              </w:rPr>
              <w:t>73 FR 14942</w:t>
            </w:r>
          </w:p>
        </w:tc>
        <w:tc>
          <w:tcPr>
            <w:tcW w:w="4590" w:type="dxa"/>
            <w:shd w:val="clear" w:color="auto" w:fill="D9D9D9" w:themeFill="background1" w:themeFillShade="D9"/>
          </w:tcPr>
          <w:p w14:paraId="5A92E97D" w14:textId="77777777" w:rsidR="002E3407" w:rsidRPr="00640348" w:rsidRDefault="002E3407" w:rsidP="00EE4E8C">
            <w:pPr>
              <w:rPr>
                <w:rFonts w:ascii="Arial" w:hAnsi="Arial" w:cs="Arial"/>
                <w:sz w:val="20"/>
                <w:szCs w:val="20"/>
              </w:rPr>
            </w:pPr>
            <w:r w:rsidRPr="00640348">
              <w:rPr>
                <w:sz w:val="20"/>
                <w:szCs w:val="20"/>
              </w:rPr>
              <w:t>- Establish</w:t>
            </w:r>
            <w:r>
              <w:rPr>
                <w:sz w:val="20"/>
                <w:szCs w:val="20"/>
              </w:rPr>
              <w:t>ed</w:t>
            </w:r>
            <w:r w:rsidRPr="00640348">
              <w:rPr>
                <w:sz w:val="20"/>
                <w:szCs w:val="20"/>
              </w:rPr>
              <w:t xml:space="preserve"> rebuilding plans and status determination criteria for snowy grouper, black sea bass, and red porgy</w:t>
            </w:r>
            <w:r>
              <w:rPr>
                <w:sz w:val="20"/>
                <w:szCs w:val="20"/>
              </w:rPr>
              <w:t>.</w:t>
            </w:r>
            <w:r w:rsidRPr="00640348">
              <w:rPr>
                <w:sz w:val="20"/>
                <w:szCs w:val="20"/>
              </w:rPr>
              <w:t xml:space="preserve">  </w:t>
            </w:r>
          </w:p>
        </w:tc>
      </w:tr>
      <w:tr w:rsidR="002E3407" w14:paraId="3E21C7EC" w14:textId="77777777" w:rsidTr="00EE4E8C">
        <w:tc>
          <w:tcPr>
            <w:tcW w:w="1638" w:type="dxa"/>
            <w:shd w:val="clear" w:color="auto" w:fill="FFFFFF" w:themeFill="background1"/>
            <w:vAlign w:val="center"/>
          </w:tcPr>
          <w:p w14:paraId="10AF538E" w14:textId="77777777" w:rsidR="002E3407" w:rsidRPr="00640348" w:rsidRDefault="002E3407" w:rsidP="00EE4E8C">
            <w:pPr>
              <w:jc w:val="center"/>
              <w:rPr>
                <w:sz w:val="20"/>
                <w:szCs w:val="20"/>
              </w:rPr>
            </w:pPr>
            <w:r w:rsidRPr="00640348">
              <w:rPr>
                <w:sz w:val="20"/>
                <w:szCs w:val="20"/>
              </w:rPr>
              <w:t>Notice of Control Date</w:t>
            </w:r>
          </w:p>
        </w:tc>
        <w:tc>
          <w:tcPr>
            <w:tcW w:w="1350" w:type="dxa"/>
            <w:shd w:val="clear" w:color="auto" w:fill="FFFFFF" w:themeFill="background1"/>
            <w:vAlign w:val="center"/>
          </w:tcPr>
          <w:p w14:paraId="31251CE5" w14:textId="77777777" w:rsidR="002E3407" w:rsidRPr="00640348" w:rsidRDefault="002E3407" w:rsidP="00EE4E8C">
            <w:pPr>
              <w:jc w:val="center"/>
              <w:rPr>
                <w:sz w:val="20"/>
                <w:szCs w:val="20"/>
              </w:rPr>
            </w:pPr>
            <w:r w:rsidRPr="00640348">
              <w:rPr>
                <w:sz w:val="20"/>
                <w:szCs w:val="20"/>
              </w:rPr>
              <w:t>12/4/08</w:t>
            </w:r>
          </w:p>
        </w:tc>
        <w:tc>
          <w:tcPr>
            <w:tcW w:w="1620" w:type="dxa"/>
            <w:shd w:val="clear" w:color="auto" w:fill="FFFFFF" w:themeFill="background1"/>
            <w:vAlign w:val="center"/>
          </w:tcPr>
          <w:p w14:paraId="77D23A68" w14:textId="77777777" w:rsidR="002E3407" w:rsidRPr="00640348" w:rsidRDefault="002E3407" w:rsidP="00EE4E8C">
            <w:pPr>
              <w:rPr>
                <w:sz w:val="20"/>
                <w:szCs w:val="20"/>
              </w:rPr>
            </w:pPr>
            <w:r w:rsidRPr="00640348">
              <w:rPr>
                <w:sz w:val="20"/>
                <w:szCs w:val="20"/>
              </w:rPr>
              <w:t>74 FR 7849</w:t>
            </w:r>
          </w:p>
        </w:tc>
        <w:tc>
          <w:tcPr>
            <w:tcW w:w="4590" w:type="dxa"/>
            <w:shd w:val="clear" w:color="auto" w:fill="FFFFFF" w:themeFill="background1"/>
          </w:tcPr>
          <w:p w14:paraId="571790FB" w14:textId="77777777" w:rsidR="002E3407" w:rsidRPr="00640348" w:rsidRDefault="002E3407" w:rsidP="00EE4E8C">
            <w:pPr>
              <w:autoSpaceDE w:val="0"/>
              <w:autoSpaceDN w:val="0"/>
              <w:adjustRightInd w:val="0"/>
              <w:rPr>
                <w:sz w:val="20"/>
                <w:szCs w:val="20"/>
              </w:rPr>
            </w:pPr>
            <w:r w:rsidRPr="00640348">
              <w:rPr>
                <w:sz w:val="20"/>
                <w:szCs w:val="20"/>
              </w:rPr>
              <w:t>-Establishe</w:t>
            </w:r>
            <w:r>
              <w:rPr>
                <w:sz w:val="20"/>
                <w:szCs w:val="20"/>
              </w:rPr>
              <w:t xml:space="preserve">d </w:t>
            </w:r>
            <w:r w:rsidRPr="00640348">
              <w:rPr>
                <w:sz w:val="20"/>
                <w:szCs w:val="20"/>
              </w:rPr>
              <w:t>a control date for the golden tilefish portion of the snapper grouper fishery in the South Atlantic</w:t>
            </w:r>
            <w:r>
              <w:rPr>
                <w:sz w:val="20"/>
                <w:szCs w:val="20"/>
              </w:rPr>
              <w:t>.</w:t>
            </w:r>
          </w:p>
        </w:tc>
      </w:tr>
      <w:tr w:rsidR="002E3407" w14:paraId="61A8C06F" w14:textId="77777777" w:rsidTr="00EE4E8C">
        <w:tc>
          <w:tcPr>
            <w:tcW w:w="1638" w:type="dxa"/>
            <w:shd w:val="clear" w:color="auto" w:fill="FFFFFF" w:themeFill="background1"/>
            <w:vAlign w:val="center"/>
          </w:tcPr>
          <w:p w14:paraId="30FF814D" w14:textId="77777777" w:rsidR="002E3407" w:rsidRPr="00640348" w:rsidRDefault="002E3407" w:rsidP="00EE4E8C">
            <w:pPr>
              <w:jc w:val="center"/>
              <w:rPr>
                <w:sz w:val="20"/>
                <w:szCs w:val="20"/>
              </w:rPr>
            </w:pPr>
            <w:r w:rsidRPr="00640348">
              <w:rPr>
                <w:sz w:val="20"/>
                <w:szCs w:val="20"/>
              </w:rPr>
              <w:t>Notice of Control Date</w:t>
            </w:r>
          </w:p>
        </w:tc>
        <w:tc>
          <w:tcPr>
            <w:tcW w:w="1350" w:type="dxa"/>
            <w:shd w:val="clear" w:color="auto" w:fill="FFFFFF" w:themeFill="background1"/>
            <w:vAlign w:val="center"/>
          </w:tcPr>
          <w:p w14:paraId="55103546" w14:textId="77777777" w:rsidR="002E3407" w:rsidRPr="00640348" w:rsidRDefault="002E3407" w:rsidP="00EE4E8C">
            <w:pPr>
              <w:jc w:val="center"/>
              <w:rPr>
                <w:sz w:val="20"/>
                <w:szCs w:val="20"/>
              </w:rPr>
            </w:pPr>
            <w:r w:rsidRPr="00640348">
              <w:rPr>
                <w:sz w:val="20"/>
                <w:szCs w:val="20"/>
              </w:rPr>
              <w:t>12/4/08</w:t>
            </w:r>
          </w:p>
        </w:tc>
        <w:tc>
          <w:tcPr>
            <w:tcW w:w="1620" w:type="dxa"/>
            <w:shd w:val="clear" w:color="auto" w:fill="FFFFFF" w:themeFill="background1"/>
            <w:vAlign w:val="center"/>
          </w:tcPr>
          <w:p w14:paraId="69D89126" w14:textId="77777777" w:rsidR="002E3407" w:rsidRPr="00640348" w:rsidRDefault="002E3407" w:rsidP="00EE4E8C">
            <w:pPr>
              <w:rPr>
                <w:sz w:val="20"/>
                <w:szCs w:val="20"/>
              </w:rPr>
            </w:pPr>
            <w:r w:rsidRPr="00640348">
              <w:rPr>
                <w:sz w:val="20"/>
                <w:szCs w:val="20"/>
              </w:rPr>
              <w:t>74 FR 7849</w:t>
            </w:r>
          </w:p>
        </w:tc>
        <w:tc>
          <w:tcPr>
            <w:tcW w:w="4590" w:type="dxa"/>
            <w:shd w:val="clear" w:color="auto" w:fill="FFFFFF" w:themeFill="background1"/>
          </w:tcPr>
          <w:p w14:paraId="34454D06" w14:textId="77777777" w:rsidR="002E3407" w:rsidRPr="00640348" w:rsidRDefault="002E3407" w:rsidP="00EE4E8C">
            <w:pPr>
              <w:autoSpaceDE w:val="0"/>
              <w:autoSpaceDN w:val="0"/>
              <w:adjustRightInd w:val="0"/>
              <w:rPr>
                <w:sz w:val="20"/>
                <w:szCs w:val="20"/>
              </w:rPr>
            </w:pPr>
            <w:r w:rsidRPr="00640348">
              <w:rPr>
                <w:sz w:val="20"/>
                <w:szCs w:val="20"/>
              </w:rPr>
              <w:t>-Establish</w:t>
            </w:r>
            <w:r>
              <w:rPr>
                <w:sz w:val="20"/>
                <w:szCs w:val="20"/>
              </w:rPr>
              <w:t>ed</w:t>
            </w:r>
            <w:r w:rsidRPr="00640348">
              <w:rPr>
                <w:sz w:val="20"/>
                <w:szCs w:val="20"/>
              </w:rPr>
              <w:t xml:space="preserve"> control date for black sea bass pot sector in the South Atlantic</w:t>
            </w:r>
            <w:r>
              <w:rPr>
                <w:sz w:val="20"/>
                <w:szCs w:val="20"/>
              </w:rPr>
              <w:t>.</w:t>
            </w:r>
          </w:p>
        </w:tc>
      </w:tr>
      <w:tr w:rsidR="002E3407" w14:paraId="0EED368F" w14:textId="77777777" w:rsidTr="00EE4E8C">
        <w:tc>
          <w:tcPr>
            <w:tcW w:w="1638" w:type="dxa"/>
            <w:shd w:val="clear" w:color="auto" w:fill="D9D9D9" w:themeFill="background1" w:themeFillShade="D9"/>
            <w:vAlign w:val="center"/>
          </w:tcPr>
          <w:p w14:paraId="21EB59B0" w14:textId="77777777" w:rsidR="002E3407" w:rsidRDefault="002E3407" w:rsidP="00EE4E8C">
            <w:pPr>
              <w:jc w:val="center"/>
              <w:rPr>
                <w:sz w:val="20"/>
                <w:szCs w:val="20"/>
              </w:rPr>
            </w:pPr>
            <w:r w:rsidRPr="00640348">
              <w:rPr>
                <w:sz w:val="20"/>
                <w:szCs w:val="20"/>
              </w:rPr>
              <w:t>Amendment #14</w:t>
            </w:r>
          </w:p>
          <w:p w14:paraId="5CDC75F9" w14:textId="77777777" w:rsidR="002E3407" w:rsidRDefault="002E3407" w:rsidP="00EE4E8C">
            <w:pPr>
              <w:jc w:val="center"/>
              <w:rPr>
                <w:sz w:val="20"/>
                <w:szCs w:val="20"/>
              </w:rPr>
            </w:pPr>
          </w:p>
          <w:p w14:paraId="10A6C4C6" w14:textId="77777777" w:rsidR="002E3407" w:rsidRPr="00640348" w:rsidRDefault="002E3407" w:rsidP="00EE4E8C">
            <w:pPr>
              <w:jc w:val="center"/>
              <w:rPr>
                <w:sz w:val="20"/>
                <w:szCs w:val="20"/>
              </w:rPr>
            </w:pPr>
            <w:r w:rsidRPr="00640348">
              <w:rPr>
                <w:sz w:val="20"/>
                <w:szCs w:val="20"/>
              </w:rPr>
              <w:t>(2007)</w:t>
            </w:r>
          </w:p>
        </w:tc>
        <w:tc>
          <w:tcPr>
            <w:tcW w:w="1350" w:type="dxa"/>
            <w:shd w:val="clear" w:color="auto" w:fill="D9D9D9" w:themeFill="background1" w:themeFillShade="D9"/>
            <w:vAlign w:val="center"/>
          </w:tcPr>
          <w:p w14:paraId="68D7A84F" w14:textId="77777777" w:rsidR="002E3407" w:rsidRPr="00640348" w:rsidRDefault="002E3407" w:rsidP="00EE4E8C">
            <w:pPr>
              <w:jc w:val="center"/>
              <w:rPr>
                <w:sz w:val="20"/>
                <w:szCs w:val="20"/>
              </w:rPr>
            </w:pPr>
            <w:r w:rsidRPr="00640348">
              <w:rPr>
                <w:sz w:val="20"/>
                <w:szCs w:val="20"/>
              </w:rPr>
              <w:t>2/12/09</w:t>
            </w:r>
          </w:p>
        </w:tc>
        <w:tc>
          <w:tcPr>
            <w:tcW w:w="1620" w:type="dxa"/>
            <w:shd w:val="clear" w:color="auto" w:fill="D9D9D9" w:themeFill="background1" w:themeFillShade="D9"/>
            <w:vAlign w:val="center"/>
          </w:tcPr>
          <w:p w14:paraId="3460CA5F" w14:textId="77777777" w:rsidR="002E3407" w:rsidRPr="00640348" w:rsidRDefault="002E3407" w:rsidP="00EE4E8C">
            <w:pPr>
              <w:rPr>
                <w:sz w:val="20"/>
                <w:szCs w:val="20"/>
              </w:rPr>
            </w:pPr>
            <w:r w:rsidRPr="00640348">
              <w:rPr>
                <w:sz w:val="20"/>
                <w:szCs w:val="20"/>
              </w:rPr>
              <w:t>PR: 73 FR 32281</w:t>
            </w:r>
          </w:p>
          <w:p w14:paraId="00407908" w14:textId="77777777" w:rsidR="002E3407" w:rsidRPr="00640348" w:rsidRDefault="002E3407" w:rsidP="00EE4E8C">
            <w:pPr>
              <w:rPr>
                <w:sz w:val="20"/>
                <w:szCs w:val="20"/>
              </w:rPr>
            </w:pPr>
            <w:r w:rsidRPr="00640348">
              <w:rPr>
                <w:sz w:val="20"/>
                <w:szCs w:val="20"/>
              </w:rPr>
              <w:t>FR: 74 FR 1621</w:t>
            </w:r>
          </w:p>
        </w:tc>
        <w:tc>
          <w:tcPr>
            <w:tcW w:w="4590" w:type="dxa"/>
            <w:shd w:val="clear" w:color="auto" w:fill="D9D9D9" w:themeFill="background1" w:themeFillShade="D9"/>
          </w:tcPr>
          <w:p w14:paraId="446FC534" w14:textId="77777777" w:rsidR="002E3407" w:rsidRPr="00640348" w:rsidRDefault="002E3407" w:rsidP="00EE4E8C">
            <w:pPr>
              <w:rPr>
                <w:sz w:val="20"/>
              </w:rPr>
            </w:pPr>
            <w:r w:rsidRPr="00640348">
              <w:rPr>
                <w:sz w:val="20"/>
              </w:rPr>
              <w:t>-Establish</w:t>
            </w:r>
            <w:r>
              <w:rPr>
                <w:sz w:val="20"/>
              </w:rPr>
              <w:t>ed</w:t>
            </w:r>
            <w:r w:rsidRPr="00640348">
              <w:rPr>
                <w:sz w:val="20"/>
              </w:rPr>
              <w:t xml:space="preserve"> eight deepwater Type II marine protected areas (MPAs) to protect a portion of the population and habitat of long-lived deepwater snapper grouper species</w:t>
            </w:r>
            <w:r>
              <w:rPr>
                <w:sz w:val="20"/>
              </w:rPr>
              <w:t>.</w:t>
            </w:r>
          </w:p>
        </w:tc>
      </w:tr>
      <w:tr w:rsidR="002E3407" w14:paraId="2ECFD1FE" w14:textId="77777777" w:rsidTr="00EE4E8C">
        <w:tc>
          <w:tcPr>
            <w:tcW w:w="1638" w:type="dxa"/>
            <w:shd w:val="clear" w:color="auto" w:fill="D9D9D9" w:themeFill="background1" w:themeFillShade="D9"/>
            <w:vAlign w:val="center"/>
          </w:tcPr>
          <w:p w14:paraId="3D52C592" w14:textId="77777777" w:rsidR="002E3407" w:rsidRPr="003A6385" w:rsidRDefault="002E3407" w:rsidP="00EE4E8C">
            <w:pPr>
              <w:jc w:val="center"/>
              <w:rPr>
                <w:sz w:val="20"/>
                <w:szCs w:val="20"/>
              </w:rPr>
            </w:pPr>
            <w:r w:rsidRPr="003A6385">
              <w:rPr>
                <w:sz w:val="20"/>
                <w:szCs w:val="20"/>
              </w:rPr>
              <w:t>Amendment #16</w:t>
            </w:r>
          </w:p>
          <w:p w14:paraId="2B723FAB" w14:textId="77777777" w:rsidR="002E3407" w:rsidRPr="003A6385" w:rsidRDefault="002E3407" w:rsidP="00EE4E8C">
            <w:pPr>
              <w:jc w:val="center"/>
              <w:rPr>
                <w:sz w:val="20"/>
                <w:szCs w:val="20"/>
              </w:rPr>
            </w:pPr>
          </w:p>
          <w:p w14:paraId="59013D7D" w14:textId="77777777" w:rsidR="002E3407" w:rsidRPr="003A6385" w:rsidRDefault="002E3407" w:rsidP="00EE4E8C">
            <w:pPr>
              <w:jc w:val="center"/>
              <w:rPr>
                <w:sz w:val="20"/>
                <w:szCs w:val="20"/>
              </w:rPr>
            </w:pPr>
            <w:r w:rsidRPr="003A6385">
              <w:rPr>
                <w:sz w:val="20"/>
                <w:szCs w:val="20"/>
              </w:rPr>
              <w:t>(2009)</w:t>
            </w:r>
          </w:p>
        </w:tc>
        <w:tc>
          <w:tcPr>
            <w:tcW w:w="1350" w:type="dxa"/>
            <w:shd w:val="clear" w:color="auto" w:fill="D9D9D9" w:themeFill="background1" w:themeFillShade="D9"/>
            <w:vAlign w:val="center"/>
          </w:tcPr>
          <w:p w14:paraId="1FA0D15C" w14:textId="77777777" w:rsidR="002E3407" w:rsidRPr="003A6385" w:rsidRDefault="002E3407" w:rsidP="00EE4E8C">
            <w:pPr>
              <w:jc w:val="center"/>
              <w:rPr>
                <w:sz w:val="20"/>
                <w:szCs w:val="20"/>
              </w:rPr>
            </w:pPr>
            <w:r w:rsidRPr="003A6385">
              <w:rPr>
                <w:sz w:val="20"/>
                <w:szCs w:val="20"/>
              </w:rPr>
              <w:t>7/29/09</w:t>
            </w:r>
          </w:p>
        </w:tc>
        <w:tc>
          <w:tcPr>
            <w:tcW w:w="1620" w:type="dxa"/>
            <w:shd w:val="clear" w:color="auto" w:fill="D9D9D9" w:themeFill="background1" w:themeFillShade="D9"/>
            <w:vAlign w:val="center"/>
          </w:tcPr>
          <w:p w14:paraId="778C6DF1" w14:textId="77777777" w:rsidR="002E3407" w:rsidRPr="003A6385" w:rsidRDefault="002E3407" w:rsidP="00EE4E8C">
            <w:pPr>
              <w:rPr>
                <w:sz w:val="20"/>
                <w:szCs w:val="20"/>
              </w:rPr>
            </w:pPr>
            <w:r w:rsidRPr="003A6385">
              <w:rPr>
                <w:sz w:val="20"/>
                <w:szCs w:val="20"/>
              </w:rPr>
              <w:t>PR: 74 FR 6297</w:t>
            </w:r>
          </w:p>
          <w:p w14:paraId="6162A73E" w14:textId="77777777" w:rsidR="002E3407" w:rsidRPr="003A6385" w:rsidRDefault="002E3407" w:rsidP="00EE4E8C">
            <w:pPr>
              <w:rPr>
                <w:sz w:val="20"/>
                <w:szCs w:val="20"/>
              </w:rPr>
            </w:pPr>
            <w:r w:rsidRPr="003A6385">
              <w:rPr>
                <w:sz w:val="20"/>
                <w:szCs w:val="20"/>
              </w:rPr>
              <w:t>FR: 74 FR 30964</w:t>
            </w:r>
          </w:p>
          <w:p w14:paraId="20B6D68F" w14:textId="77777777" w:rsidR="002E3407" w:rsidRPr="003A6385" w:rsidRDefault="002E3407" w:rsidP="00EE4E8C">
            <w:pPr>
              <w:rPr>
                <w:sz w:val="20"/>
                <w:szCs w:val="20"/>
              </w:rPr>
            </w:pPr>
          </w:p>
        </w:tc>
        <w:tc>
          <w:tcPr>
            <w:tcW w:w="4590" w:type="dxa"/>
            <w:shd w:val="clear" w:color="auto" w:fill="D9D9D9" w:themeFill="background1" w:themeFillShade="D9"/>
          </w:tcPr>
          <w:p w14:paraId="2151E80B" w14:textId="77777777" w:rsidR="002E3407" w:rsidRPr="003A6385" w:rsidRDefault="002E3407" w:rsidP="00EE4E8C">
            <w:pPr>
              <w:autoSpaceDE w:val="0"/>
              <w:autoSpaceDN w:val="0"/>
              <w:adjustRightInd w:val="0"/>
              <w:rPr>
                <w:sz w:val="20"/>
                <w:szCs w:val="20"/>
              </w:rPr>
            </w:pPr>
            <w:r w:rsidRPr="003A6385">
              <w:rPr>
                <w:sz w:val="20"/>
                <w:szCs w:val="20"/>
              </w:rPr>
              <w:t>-Specified status determination criteria for gag and vermilion snapper;</w:t>
            </w:r>
          </w:p>
          <w:p w14:paraId="5E3FBB65" w14:textId="77777777" w:rsidR="002E3407" w:rsidRPr="003A6385" w:rsidRDefault="002E3407" w:rsidP="00EE4E8C">
            <w:pPr>
              <w:autoSpaceDE w:val="0"/>
              <w:autoSpaceDN w:val="0"/>
              <w:adjustRightInd w:val="0"/>
              <w:rPr>
                <w:sz w:val="20"/>
                <w:szCs w:val="20"/>
              </w:rPr>
            </w:pPr>
          </w:p>
          <w:p w14:paraId="4E0503E2" w14:textId="77777777" w:rsidR="002E3407" w:rsidRPr="003A6385" w:rsidRDefault="002E3407" w:rsidP="00EE4E8C">
            <w:pPr>
              <w:autoSpaceDE w:val="0"/>
              <w:autoSpaceDN w:val="0"/>
              <w:adjustRightInd w:val="0"/>
              <w:rPr>
                <w:sz w:val="20"/>
                <w:szCs w:val="20"/>
              </w:rPr>
            </w:pPr>
            <w:r w:rsidRPr="003A6385">
              <w:rPr>
                <w:sz w:val="20"/>
                <w:szCs w:val="20"/>
              </w:rPr>
              <w:lastRenderedPageBreak/>
              <w:t xml:space="preserve">For gag: </w:t>
            </w:r>
          </w:p>
          <w:p w14:paraId="3172C80C" w14:textId="77777777" w:rsidR="002E3407" w:rsidRPr="003A6385" w:rsidRDefault="002E3407" w:rsidP="00EE4E8C">
            <w:pPr>
              <w:autoSpaceDE w:val="0"/>
              <w:autoSpaceDN w:val="0"/>
              <w:adjustRightInd w:val="0"/>
              <w:rPr>
                <w:sz w:val="20"/>
                <w:szCs w:val="20"/>
              </w:rPr>
            </w:pPr>
            <w:r w:rsidRPr="003A6385">
              <w:rPr>
                <w:sz w:val="20"/>
                <w:szCs w:val="20"/>
              </w:rPr>
              <w:t xml:space="preserve">-Specified interim allocations 51% commercial &amp; 49% recreational; </w:t>
            </w:r>
          </w:p>
          <w:p w14:paraId="1B715120" w14:textId="77777777" w:rsidR="002E3407" w:rsidRPr="003A6385" w:rsidRDefault="002E3407" w:rsidP="00EE4E8C">
            <w:pPr>
              <w:autoSpaceDE w:val="0"/>
              <w:autoSpaceDN w:val="0"/>
              <w:adjustRightInd w:val="0"/>
              <w:rPr>
                <w:sz w:val="20"/>
                <w:szCs w:val="20"/>
              </w:rPr>
            </w:pPr>
            <w:r w:rsidRPr="003A6385">
              <w:rPr>
                <w:sz w:val="20"/>
                <w:szCs w:val="20"/>
              </w:rPr>
              <w:t xml:space="preserve">-Recreational and commercial shallow water grouper spawning closure January through April; </w:t>
            </w:r>
          </w:p>
          <w:p w14:paraId="6541E727" w14:textId="77777777" w:rsidR="002E3407" w:rsidRPr="003A6385" w:rsidRDefault="002E3407" w:rsidP="00EE4E8C">
            <w:pPr>
              <w:autoSpaceDE w:val="0"/>
              <w:autoSpaceDN w:val="0"/>
              <w:adjustRightInd w:val="0"/>
              <w:rPr>
                <w:sz w:val="20"/>
                <w:szCs w:val="20"/>
              </w:rPr>
            </w:pPr>
            <w:r w:rsidRPr="003A6385">
              <w:rPr>
                <w:sz w:val="20"/>
                <w:szCs w:val="20"/>
              </w:rPr>
              <w:t xml:space="preserve">-Directed commercial quota= 352,940 lb gw; </w:t>
            </w:r>
          </w:p>
          <w:p w14:paraId="2C4DBBA7" w14:textId="77777777" w:rsidR="002E3407" w:rsidRPr="003A6385" w:rsidRDefault="002E3407" w:rsidP="00EE4E8C">
            <w:pPr>
              <w:autoSpaceDE w:val="0"/>
              <w:autoSpaceDN w:val="0"/>
              <w:adjustRightInd w:val="0"/>
              <w:rPr>
                <w:sz w:val="20"/>
                <w:szCs w:val="20"/>
              </w:rPr>
            </w:pPr>
            <w:r w:rsidRPr="003A6385">
              <w:rPr>
                <w:sz w:val="20"/>
                <w:szCs w:val="20"/>
              </w:rPr>
              <w:t>-Reduced 5-fish aggregate grouper bag limit, including tilefish species, to a 3-fish aggregate;</w:t>
            </w:r>
          </w:p>
          <w:p w14:paraId="3D24D281" w14:textId="77777777" w:rsidR="002E3407" w:rsidRPr="003A6385" w:rsidRDefault="002E3407" w:rsidP="00EE4E8C">
            <w:pPr>
              <w:autoSpaceDE w:val="0"/>
              <w:autoSpaceDN w:val="0"/>
              <w:adjustRightInd w:val="0"/>
              <w:rPr>
                <w:sz w:val="20"/>
                <w:szCs w:val="20"/>
              </w:rPr>
            </w:pPr>
            <w:r w:rsidRPr="003A6385">
              <w:rPr>
                <w:sz w:val="20"/>
                <w:szCs w:val="20"/>
              </w:rPr>
              <w:t>-Captain and crew on for-hire trips cannot retain the bag limit of vermilion snapper and species within the 3-fish grouper aggregate;</w:t>
            </w:r>
          </w:p>
          <w:p w14:paraId="48AC7ABA" w14:textId="77777777" w:rsidR="002E3407" w:rsidRPr="003A6385" w:rsidRDefault="002E3407" w:rsidP="00EE4E8C">
            <w:pPr>
              <w:autoSpaceDE w:val="0"/>
              <w:autoSpaceDN w:val="0"/>
              <w:adjustRightInd w:val="0"/>
              <w:rPr>
                <w:sz w:val="20"/>
                <w:szCs w:val="20"/>
              </w:rPr>
            </w:pPr>
            <w:r w:rsidRPr="003A6385">
              <w:rPr>
                <w:sz w:val="20"/>
                <w:szCs w:val="20"/>
              </w:rPr>
              <w:t xml:space="preserve">For vermilion snapper: </w:t>
            </w:r>
          </w:p>
          <w:p w14:paraId="1BECFF93" w14:textId="77777777" w:rsidR="002E3407" w:rsidRPr="003A6385" w:rsidRDefault="002E3407" w:rsidP="00EE4E8C">
            <w:pPr>
              <w:autoSpaceDE w:val="0"/>
              <w:autoSpaceDN w:val="0"/>
              <w:adjustRightInd w:val="0"/>
              <w:rPr>
                <w:sz w:val="20"/>
                <w:szCs w:val="20"/>
              </w:rPr>
            </w:pPr>
            <w:r w:rsidRPr="003A6385">
              <w:rPr>
                <w:sz w:val="20"/>
                <w:szCs w:val="20"/>
              </w:rPr>
              <w:t xml:space="preserve">-Specified interim allocations 68% commercial &amp; 32% recreational; </w:t>
            </w:r>
          </w:p>
          <w:p w14:paraId="6E15613F" w14:textId="77777777" w:rsidR="002E3407" w:rsidRPr="003A6385" w:rsidRDefault="002E3407" w:rsidP="00EE4E8C">
            <w:pPr>
              <w:autoSpaceDE w:val="0"/>
              <w:autoSpaceDN w:val="0"/>
              <w:adjustRightInd w:val="0"/>
              <w:rPr>
                <w:sz w:val="20"/>
                <w:szCs w:val="20"/>
              </w:rPr>
            </w:pPr>
            <w:r w:rsidRPr="003A6385">
              <w:rPr>
                <w:sz w:val="20"/>
                <w:szCs w:val="20"/>
              </w:rPr>
              <w:t xml:space="preserve">-Directed commercial quota split Jan-June=315,523 lb gw and 302,523 lb gw July-Dec; </w:t>
            </w:r>
          </w:p>
          <w:p w14:paraId="4540AC97" w14:textId="77777777" w:rsidR="002E3407" w:rsidRPr="003A6385" w:rsidRDefault="002E3407" w:rsidP="00EE4E8C">
            <w:pPr>
              <w:autoSpaceDE w:val="0"/>
              <w:autoSpaceDN w:val="0"/>
              <w:adjustRightInd w:val="0"/>
              <w:rPr>
                <w:sz w:val="20"/>
                <w:szCs w:val="20"/>
              </w:rPr>
            </w:pPr>
            <w:r w:rsidRPr="003A6385">
              <w:rPr>
                <w:sz w:val="20"/>
                <w:szCs w:val="20"/>
              </w:rPr>
              <w:t>-Reduced bag limit from 10 to 4 and a recreational closed season November through March;</w:t>
            </w:r>
          </w:p>
          <w:p w14:paraId="5D29FCB0" w14:textId="77777777" w:rsidR="002E3407" w:rsidRPr="003A6385" w:rsidRDefault="002E3407" w:rsidP="00EE4E8C">
            <w:pPr>
              <w:autoSpaceDE w:val="0"/>
              <w:autoSpaceDN w:val="0"/>
              <w:adjustRightInd w:val="0"/>
              <w:rPr>
                <w:sz w:val="20"/>
                <w:szCs w:val="20"/>
              </w:rPr>
            </w:pPr>
            <w:r w:rsidRPr="003A6385">
              <w:rPr>
                <w:sz w:val="20"/>
                <w:szCs w:val="20"/>
              </w:rPr>
              <w:t>-Required venting and dehooking tools when catching snapper grouper species to reduce recreational and commercial bycatch mortality.</w:t>
            </w:r>
          </w:p>
        </w:tc>
      </w:tr>
      <w:tr w:rsidR="002E3407" w14:paraId="382E11F2" w14:textId="77777777" w:rsidTr="00EE4E8C">
        <w:trPr>
          <w:trHeight w:val="3168"/>
        </w:trPr>
        <w:tc>
          <w:tcPr>
            <w:tcW w:w="1638" w:type="dxa"/>
            <w:shd w:val="clear" w:color="auto" w:fill="D9D9D9" w:themeFill="background1" w:themeFillShade="D9"/>
            <w:vAlign w:val="center"/>
          </w:tcPr>
          <w:p w14:paraId="75B7BFE2" w14:textId="77777777" w:rsidR="002E3407" w:rsidRPr="00A67462" w:rsidRDefault="002E3407" w:rsidP="00EE4E8C">
            <w:pPr>
              <w:jc w:val="center"/>
              <w:rPr>
                <w:sz w:val="20"/>
                <w:szCs w:val="20"/>
              </w:rPr>
            </w:pPr>
            <w:r w:rsidRPr="00A67462">
              <w:rPr>
                <w:sz w:val="20"/>
                <w:szCs w:val="20"/>
              </w:rPr>
              <w:lastRenderedPageBreak/>
              <w:t>Amendment #15B</w:t>
            </w:r>
          </w:p>
          <w:p w14:paraId="25492D4D" w14:textId="77777777" w:rsidR="002E3407" w:rsidRPr="00A67462" w:rsidRDefault="002E3407" w:rsidP="00EE4E8C">
            <w:pPr>
              <w:jc w:val="center"/>
              <w:rPr>
                <w:sz w:val="20"/>
                <w:szCs w:val="20"/>
              </w:rPr>
            </w:pPr>
          </w:p>
          <w:p w14:paraId="035BA18B" w14:textId="77777777" w:rsidR="002E3407" w:rsidRPr="00A67462" w:rsidRDefault="002E3407" w:rsidP="00EE4E8C">
            <w:pPr>
              <w:jc w:val="center"/>
              <w:rPr>
                <w:sz w:val="20"/>
                <w:szCs w:val="20"/>
              </w:rPr>
            </w:pPr>
            <w:r w:rsidRPr="00A67462">
              <w:rPr>
                <w:sz w:val="20"/>
                <w:szCs w:val="20"/>
              </w:rPr>
              <w:t>(2008)</w:t>
            </w:r>
          </w:p>
        </w:tc>
        <w:tc>
          <w:tcPr>
            <w:tcW w:w="1350" w:type="dxa"/>
            <w:shd w:val="clear" w:color="auto" w:fill="D9D9D9" w:themeFill="background1" w:themeFillShade="D9"/>
            <w:vAlign w:val="center"/>
          </w:tcPr>
          <w:p w14:paraId="6D50F84E" w14:textId="77777777" w:rsidR="002E3407" w:rsidRPr="00A67462" w:rsidRDefault="002E3407" w:rsidP="00EE4E8C">
            <w:pPr>
              <w:jc w:val="center"/>
              <w:rPr>
                <w:sz w:val="20"/>
                <w:szCs w:val="20"/>
              </w:rPr>
            </w:pPr>
            <w:r w:rsidRPr="00A67462">
              <w:rPr>
                <w:sz w:val="20"/>
                <w:szCs w:val="20"/>
              </w:rPr>
              <w:t>2/15/10</w:t>
            </w:r>
          </w:p>
        </w:tc>
        <w:tc>
          <w:tcPr>
            <w:tcW w:w="1620" w:type="dxa"/>
            <w:shd w:val="clear" w:color="auto" w:fill="D9D9D9" w:themeFill="background1" w:themeFillShade="D9"/>
            <w:vAlign w:val="center"/>
          </w:tcPr>
          <w:p w14:paraId="5652CBFC" w14:textId="77777777" w:rsidR="002E3407" w:rsidRPr="00A67462" w:rsidRDefault="002E3407" w:rsidP="00EE4E8C">
            <w:pPr>
              <w:rPr>
                <w:sz w:val="20"/>
                <w:szCs w:val="20"/>
              </w:rPr>
            </w:pPr>
            <w:r w:rsidRPr="00A67462">
              <w:rPr>
                <w:sz w:val="20"/>
                <w:szCs w:val="20"/>
              </w:rPr>
              <w:t>PR: 74 FR 30569</w:t>
            </w:r>
          </w:p>
          <w:p w14:paraId="416861EE" w14:textId="77777777" w:rsidR="002E3407" w:rsidRPr="00A67462" w:rsidRDefault="002E3407" w:rsidP="00EE4E8C">
            <w:pPr>
              <w:rPr>
                <w:sz w:val="20"/>
                <w:szCs w:val="20"/>
              </w:rPr>
            </w:pPr>
            <w:r w:rsidRPr="00A67462">
              <w:rPr>
                <w:sz w:val="20"/>
                <w:szCs w:val="20"/>
              </w:rPr>
              <w:t>FR: 74 FR 58902</w:t>
            </w:r>
          </w:p>
        </w:tc>
        <w:tc>
          <w:tcPr>
            <w:tcW w:w="4590" w:type="dxa"/>
            <w:shd w:val="clear" w:color="auto" w:fill="D9D9D9" w:themeFill="background1" w:themeFillShade="D9"/>
          </w:tcPr>
          <w:p w14:paraId="5C81CA11" w14:textId="77777777" w:rsidR="002E3407" w:rsidRPr="00A67462" w:rsidRDefault="002E3407" w:rsidP="00EE4E8C">
            <w:pPr>
              <w:pStyle w:val="NoSpacing"/>
              <w:rPr>
                <w:sz w:val="20"/>
              </w:rPr>
            </w:pPr>
            <w:r w:rsidRPr="00A67462">
              <w:rPr>
                <w:sz w:val="20"/>
              </w:rPr>
              <w:t>-</w:t>
            </w:r>
            <w:r w:rsidRPr="00A67462">
              <w:rPr>
                <w:rFonts w:eastAsia="MS Mincho"/>
                <w:sz w:val="20"/>
              </w:rPr>
              <w:t>Prohibited the sale of snapper-grouper harvested or possessed in the EEZ under the bag limits and prohibited the sale of snapper-grouper harvested or possessed under the bag limits by vessels with a Federal charter vessel/headboat permit for South Atlantic snapper-grouper were harvested;</w:t>
            </w:r>
          </w:p>
          <w:p w14:paraId="7A31C983" w14:textId="77777777" w:rsidR="002E3407" w:rsidRPr="00A67462" w:rsidRDefault="002E3407" w:rsidP="00EE4E8C">
            <w:pPr>
              <w:pStyle w:val="NoSpacing"/>
              <w:rPr>
                <w:sz w:val="20"/>
                <w:szCs w:val="20"/>
              </w:rPr>
            </w:pPr>
            <w:r w:rsidRPr="00A67462">
              <w:rPr>
                <w:sz w:val="20"/>
                <w:szCs w:val="20"/>
              </w:rPr>
              <w:t>-Reduced the effects of incidental hooking on sea turtles and smalltooth sawfish;</w:t>
            </w:r>
          </w:p>
          <w:p w14:paraId="630C9089" w14:textId="77777777" w:rsidR="002E3407" w:rsidRPr="00A67462" w:rsidRDefault="002E3407" w:rsidP="00EE4E8C">
            <w:pPr>
              <w:pStyle w:val="NoSpacing"/>
              <w:rPr>
                <w:sz w:val="20"/>
                <w:szCs w:val="20"/>
              </w:rPr>
            </w:pPr>
            <w:r w:rsidRPr="00A67462">
              <w:rPr>
                <w:sz w:val="20"/>
                <w:szCs w:val="20"/>
              </w:rPr>
              <w:t>-Adjusted commercial permit renewal periods and transferability requirements;</w:t>
            </w:r>
          </w:p>
          <w:p w14:paraId="7411D1FA" w14:textId="77777777" w:rsidR="002E3407" w:rsidRPr="00A67462" w:rsidRDefault="002E3407" w:rsidP="00EE4E8C">
            <w:pPr>
              <w:pStyle w:val="NoSpacing"/>
              <w:rPr>
                <w:sz w:val="20"/>
                <w:szCs w:val="20"/>
              </w:rPr>
            </w:pPr>
            <w:r w:rsidRPr="00A67462">
              <w:rPr>
                <w:sz w:val="20"/>
                <w:szCs w:val="20"/>
              </w:rPr>
              <w:t>-Revised the management reference points for golden tilefish;</w:t>
            </w:r>
          </w:p>
          <w:p w14:paraId="6AB14779" w14:textId="77777777" w:rsidR="002E3407" w:rsidRPr="00A67462" w:rsidRDefault="002E3407" w:rsidP="00EE4E8C">
            <w:pPr>
              <w:pStyle w:val="NoSpacing"/>
              <w:rPr>
                <w:sz w:val="20"/>
                <w:szCs w:val="20"/>
              </w:rPr>
            </w:pPr>
            <w:r w:rsidRPr="00A67462">
              <w:rPr>
                <w:sz w:val="20"/>
                <w:szCs w:val="20"/>
              </w:rPr>
              <w:t>-Implemented plan to monitor and assess bycatch;</w:t>
            </w:r>
          </w:p>
          <w:p w14:paraId="2E0FDD47" w14:textId="77777777" w:rsidR="002E3407" w:rsidRPr="00A67462" w:rsidRDefault="002E3407" w:rsidP="00EE4E8C">
            <w:pPr>
              <w:pStyle w:val="NoSpacing"/>
              <w:rPr>
                <w:sz w:val="12"/>
                <w:szCs w:val="20"/>
              </w:rPr>
            </w:pPr>
            <w:r w:rsidRPr="00A67462">
              <w:rPr>
                <w:rFonts w:eastAsia="MS Mincho"/>
                <w:sz w:val="20"/>
              </w:rPr>
              <w:t>-Required a vessel that fished in the EEZ, if selected by NMFS, to carry an observer and install electronic logbook and/or video monitoring equipment provided by NMFS;</w:t>
            </w:r>
          </w:p>
          <w:p w14:paraId="31A8AAFC" w14:textId="77777777" w:rsidR="002E3407" w:rsidRPr="00A67462" w:rsidRDefault="002E3407" w:rsidP="00EE4E8C">
            <w:pPr>
              <w:pStyle w:val="NoSpacing"/>
              <w:rPr>
                <w:sz w:val="20"/>
                <w:szCs w:val="20"/>
              </w:rPr>
            </w:pPr>
            <w:r w:rsidRPr="00A67462">
              <w:rPr>
                <w:sz w:val="20"/>
                <w:szCs w:val="20"/>
              </w:rPr>
              <w:t>-Established reference points for golden tilefish;</w:t>
            </w:r>
          </w:p>
          <w:p w14:paraId="2EB4563F" w14:textId="77777777" w:rsidR="002E3407" w:rsidRPr="00A67462" w:rsidRDefault="002E3407" w:rsidP="00EE4E8C">
            <w:pPr>
              <w:pStyle w:val="NoSpacing"/>
              <w:rPr>
                <w:sz w:val="20"/>
                <w:szCs w:val="20"/>
              </w:rPr>
            </w:pPr>
            <w:r w:rsidRPr="00A67462">
              <w:rPr>
                <w:sz w:val="20"/>
                <w:szCs w:val="20"/>
              </w:rPr>
              <w:t xml:space="preserve">-Established allocations for snowy grouper (95% commercial &amp; 5% recreational); </w:t>
            </w:r>
          </w:p>
          <w:p w14:paraId="575D7A6A" w14:textId="77777777" w:rsidR="002E3407" w:rsidRPr="00A67462" w:rsidRDefault="002E3407" w:rsidP="00EE4E8C">
            <w:pPr>
              <w:pStyle w:val="NoSpacing"/>
              <w:rPr>
                <w:szCs w:val="20"/>
              </w:rPr>
            </w:pPr>
            <w:r w:rsidRPr="00A67462">
              <w:rPr>
                <w:sz w:val="20"/>
                <w:szCs w:val="20"/>
              </w:rPr>
              <w:t>-Established allocations for red porgy (50% commercial &amp; 50% recreational).</w:t>
            </w:r>
          </w:p>
        </w:tc>
      </w:tr>
      <w:tr w:rsidR="002E3407" w14:paraId="210C5C49" w14:textId="77777777" w:rsidTr="00EE4E8C">
        <w:trPr>
          <w:trHeight w:val="1394"/>
        </w:trPr>
        <w:tc>
          <w:tcPr>
            <w:tcW w:w="1638" w:type="dxa"/>
            <w:shd w:val="clear" w:color="auto" w:fill="D9D9D9" w:themeFill="background1" w:themeFillShade="D9"/>
            <w:vAlign w:val="center"/>
          </w:tcPr>
          <w:p w14:paraId="5A7337CC" w14:textId="77777777" w:rsidR="002E3407" w:rsidRDefault="002E3407" w:rsidP="00EE4E8C">
            <w:pPr>
              <w:jc w:val="center"/>
              <w:rPr>
                <w:sz w:val="20"/>
                <w:szCs w:val="20"/>
              </w:rPr>
            </w:pPr>
            <w:r>
              <w:rPr>
                <w:sz w:val="20"/>
                <w:szCs w:val="20"/>
              </w:rPr>
              <w:t>Amendment #19</w:t>
            </w:r>
          </w:p>
          <w:p w14:paraId="11306082" w14:textId="77777777" w:rsidR="002E3407" w:rsidRDefault="002E3407" w:rsidP="00EE4E8C">
            <w:pPr>
              <w:jc w:val="center"/>
              <w:rPr>
                <w:sz w:val="20"/>
                <w:szCs w:val="20"/>
              </w:rPr>
            </w:pPr>
          </w:p>
          <w:p w14:paraId="07F31513" w14:textId="77777777" w:rsidR="002E3407" w:rsidRDefault="002E3407" w:rsidP="00EE4E8C">
            <w:pPr>
              <w:jc w:val="center"/>
              <w:rPr>
                <w:sz w:val="20"/>
                <w:szCs w:val="20"/>
              </w:rPr>
            </w:pPr>
            <w:r w:rsidRPr="00640348">
              <w:rPr>
                <w:sz w:val="20"/>
                <w:szCs w:val="20"/>
              </w:rPr>
              <w:t>Comprehensive Ecosyste</w:t>
            </w:r>
            <w:r>
              <w:rPr>
                <w:sz w:val="20"/>
                <w:szCs w:val="20"/>
              </w:rPr>
              <w:t>m-Based Amendment 1</w:t>
            </w:r>
          </w:p>
          <w:p w14:paraId="137C3613" w14:textId="77777777" w:rsidR="002E3407" w:rsidRDefault="002E3407" w:rsidP="00EE4E8C">
            <w:pPr>
              <w:jc w:val="center"/>
              <w:rPr>
                <w:sz w:val="20"/>
                <w:szCs w:val="20"/>
              </w:rPr>
            </w:pPr>
            <w:r>
              <w:rPr>
                <w:sz w:val="20"/>
                <w:szCs w:val="20"/>
              </w:rPr>
              <w:t>(CE-BA1)</w:t>
            </w:r>
          </w:p>
          <w:p w14:paraId="1F3324E9" w14:textId="77777777" w:rsidR="002E3407" w:rsidRDefault="002E3407" w:rsidP="00EE4E8C">
            <w:pPr>
              <w:jc w:val="center"/>
              <w:rPr>
                <w:sz w:val="20"/>
                <w:szCs w:val="20"/>
              </w:rPr>
            </w:pPr>
          </w:p>
          <w:p w14:paraId="081BC65B" w14:textId="77777777" w:rsidR="002E3407" w:rsidRPr="00640348" w:rsidRDefault="002E3407" w:rsidP="00EE4E8C">
            <w:pPr>
              <w:jc w:val="center"/>
              <w:rPr>
                <w:sz w:val="20"/>
                <w:szCs w:val="20"/>
              </w:rPr>
            </w:pPr>
            <w:r>
              <w:rPr>
                <w:sz w:val="20"/>
                <w:szCs w:val="20"/>
              </w:rPr>
              <w:lastRenderedPageBreak/>
              <w:t>(2009</w:t>
            </w:r>
            <w:r w:rsidRPr="00640348">
              <w:rPr>
                <w:sz w:val="20"/>
                <w:szCs w:val="20"/>
              </w:rPr>
              <w:t>)</w:t>
            </w:r>
          </w:p>
        </w:tc>
        <w:tc>
          <w:tcPr>
            <w:tcW w:w="1350" w:type="dxa"/>
            <w:shd w:val="clear" w:color="auto" w:fill="D9D9D9" w:themeFill="background1" w:themeFillShade="D9"/>
            <w:vAlign w:val="center"/>
          </w:tcPr>
          <w:p w14:paraId="2C953E04" w14:textId="77777777" w:rsidR="002E3407" w:rsidRPr="00640348" w:rsidRDefault="002E3407" w:rsidP="00EE4E8C">
            <w:pPr>
              <w:jc w:val="center"/>
              <w:rPr>
                <w:sz w:val="20"/>
                <w:szCs w:val="20"/>
              </w:rPr>
            </w:pPr>
            <w:r w:rsidRPr="00640348">
              <w:rPr>
                <w:sz w:val="20"/>
                <w:szCs w:val="20"/>
              </w:rPr>
              <w:lastRenderedPageBreak/>
              <w:t>7/22/10</w:t>
            </w:r>
          </w:p>
        </w:tc>
        <w:tc>
          <w:tcPr>
            <w:tcW w:w="1620" w:type="dxa"/>
            <w:shd w:val="clear" w:color="auto" w:fill="D9D9D9" w:themeFill="background1" w:themeFillShade="D9"/>
            <w:vAlign w:val="center"/>
          </w:tcPr>
          <w:p w14:paraId="7478F8B1" w14:textId="77777777" w:rsidR="002E3407" w:rsidRPr="00640348" w:rsidRDefault="002E3407" w:rsidP="00EE4E8C">
            <w:pPr>
              <w:rPr>
                <w:sz w:val="20"/>
                <w:szCs w:val="20"/>
              </w:rPr>
            </w:pPr>
            <w:r w:rsidRPr="00640348">
              <w:rPr>
                <w:sz w:val="20"/>
                <w:szCs w:val="20"/>
              </w:rPr>
              <w:t>PR: 75 FR 14548</w:t>
            </w:r>
          </w:p>
          <w:p w14:paraId="5FE984F3" w14:textId="77777777" w:rsidR="002E3407" w:rsidRPr="00640348" w:rsidRDefault="002E3407" w:rsidP="00EE4E8C">
            <w:pPr>
              <w:rPr>
                <w:sz w:val="20"/>
                <w:szCs w:val="20"/>
              </w:rPr>
            </w:pPr>
            <w:r w:rsidRPr="00640348">
              <w:rPr>
                <w:sz w:val="20"/>
                <w:szCs w:val="20"/>
              </w:rPr>
              <w:t>FR: 75 FR 35330</w:t>
            </w:r>
          </w:p>
          <w:p w14:paraId="1C9E58CA" w14:textId="77777777" w:rsidR="002E3407" w:rsidRPr="00640348" w:rsidRDefault="002E3407" w:rsidP="00EE4E8C">
            <w:pPr>
              <w:rPr>
                <w:sz w:val="20"/>
                <w:szCs w:val="20"/>
              </w:rPr>
            </w:pPr>
          </w:p>
        </w:tc>
        <w:tc>
          <w:tcPr>
            <w:tcW w:w="4590" w:type="dxa"/>
            <w:shd w:val="clear" w:color="auto" w:fill="D9D9D9" w:themeFill="background1" w:themeFillShade="D9"/>
          </w:tcPr>
          <w:p w14:paraId="01C0F030" w14:textId="77777777" w:rsidR="002E3407" w:rsidRDefault="002E3407" w:rsidP="00EE4E8C">
            <w:pPr>
              <w:rPr>
                <w:sz w:val="20"/>
                <w:szCs w:val="20"/>
              </w:rPr>
            </w:pPr>
            <w:r w:rsidRPr="00640348">
              <w:rPr>
                <w:sz w:val="20"/>
                <w:szCs w:val="20"/>
              </w:rPr>
              <w:t>-</w:t>
            </w:r>
            <w:r>
              <w:rPr>
                <w:sz w:val="20"/>
                <w:szCs w:val="20"/>
              </w:rPr>
              <w:t>Amended coral, coral reefs, and live/hardbottom habitat FMP to establish deepwater coral HAPCs;</w:t>
            </w:r>
          </w:p>
          <w:p w14:paraId="61CB1AC2" w14:textId="77777777" w:rsidR="002E3407" w:rsidRDefault="002E3407" w:rsidP="00EE4E8C">
            <w:pPr>
              <w:rPr>
                <w:sz w:val="20"/>
                <w:szCs w:val="20"/>
              </w:rPr>
            </w:pPr>
            <w:r>
              <w:rPr>
                <w:sz w:val="20"/>
                <w:szCs w:val="20"/>
              </w:rPr>
              <w:t>-Created a “shrimp fishery access area” (SFAA) within the Stetson-Miami Terrace CHAPC boundaries;</w:t>
            </w:r>
          </w:p>
          <w:p w14:paraId="47CE5C98" w14:textId="77777777" w:rsidR="002E3407" w:rsidRDefault="002E3407" w:rsidP="00EE4E8C">
            <w:pPr>
              <w:rPr>
                <w:sz w:val="20"/>
                <w:szCs w:val="20"/>
              </w:rPr>
            </w:pPr>
            <w:r>
              <w:rPr>
                <w:sz w:val="20"/>
                <w:szCs w:val="20"/>
              </w:rPr>
              <w:t xml:space="preserve">-Created allowable “golden crab fishing areas” with the Stetson-Miami Terrace CHAPC and Pourtales </w:t>
            </w:r>
            <w:r>
              <w:rPr>
                <w:sz w:val="20"/>
                <w:szCs w:val="20"/>
              </w:rPr>
              <w:lastRenderedPageBreak/>
              <w:t>Terrace CHAPC boundaries;</w:t>
            </w:r>
          </w:p>
          <w:p w14:paraId="52C31513" w14:textId="77777777" w:rsidR="002E3407" w:rsidRPr="00640348" w:rsidRDefault="002E3407" w:rsidP="00EE4E8C">
            <w:pPr>
              <w:rPr>
                <w:sz w:val="20"/>
                <w:szCs w:val="20"/>
              </w:rPr>
            </w:pPr>
            <w:r>
              <w:rPr>
                <w:sz w:val="20"/>
                <w:szCs w:val="20"/>
              </w:rPr>
              <w:t>-Amended the golden crab FMP to require vessel monitoring.</w:t>
            </w:r>
          </w:p>
        </w:tc>
      </w:tr>
      <w:tr w:rsidR="002E3407" w14:paraId="76A574A5" w14:textId="77777777" w:rsidTr="00EE4E8C">
        <w:tc>
          <w:tcPr>
            <w:tcW w:w="1638" w:type="dxa"/>
            <w:shd w:val="clear" w:color="auto" w:fill="D9D9D9" w:themeFill="background1" w:themeFillShade="D9"/>
            <w:vAlign w:val="center"/>
          </w:tcPr>
          <w:p w14:paraId="723D22F3" w14:textId="77777777" w:rsidR="002E3407" w:rsidRDefault="002E3407" w:rsidP="00EE4E8C">
            <w:pPr>
              <w:jc w:val="center"/>
              <w:rPr>
                <w:sz w:val="20"/>
                <w:szCs w:val="20"/>
              </w:rPr>
            </w:pPr>
            <w:r>
              <w:rPr>
                <w:sz w:val="20"/>
                <w:szCs w:val="20"/>
              </w:rPr>
              <w:lastRenderedPageBreak/>
              <w:t>Amendment #17A</w:t>
            </w:r>
          </w:p>
          <w:p w14:paraId="2E72BA97" w14:textId="77777777" w:rsidR="002E3407" w:rsidRDefault="002E3407" w:rsidP="00EE4E8C">
            <w:pPr>
              <w:jc w:val="center"/>
              <w:rPr>
                <w:sz w:val="20"/>
                <w:szCs w:val="20"/>
              </w:rPr>
            </w:pPr>
          </w:p>
          <w:p w14:paraId="026D0581" w14:textId="77777777" w:rsidR="002E3407" w:rsidRPr="00640348" w:rsidRDefault="002E3407" w:rsidP="00EE4E8C">
            <w:pPr>
              <w:jc w:val="center"/>
              <w:rPr>
                <w:sz w:val="20"/>
                <w:szCs w:val="20"/>
              </w:rPr>
            </w:pPr>
            <w:r>
              <w:rPr>
                <w:sz w:val="20"/>
                <w:szCs w:val="20"/>
              </w:rPr>
              <w:t>(2010</w:t>
            </w:r>
            <w:r w:rsidRPr="00640348">
              <w:rPr>
                <w:sz w:val="20"/>
                <w:szCs w:val="20"/>
              </w:rPr>
              <w:t>)</w:t>
            </w:r>
          </w:p>
        </w:tc>
        <w:tc>
          <w:tcPr>
            <w:tcW w:w="1350" w:type="dxa"/>
            <w:shd w:val="clear" w:color="auto" w:fill="D9D9D9" w:themeFill="background1" w:themeFillShade="D9"/>
            <w:vAlign w:val="center"/>
          </w:tcPr>
          <w:p w14:paraId="2B78E6C1" w14:textId="77777777" w:rsidR="002E3407" w:rsidRPr="00640348" w:rsidRDefault="002E3407" w:rsidP="00EE4E8C">
            <w:pPr>
              <w:jc w:val="center"/>
              <w:rPr>
                <w:sz w:val="20"/>
                <w:szCs w:val="20"/>
              </w:rPr>
            </w:pPr>
            <w:r w:rsidRPr="00640348">
              <w:rPr>
                <w:sz w:val="20"/>
                <w:szCs w:val="20"/>
              </w:rPr>
              <w:t xml:space="preserve">12/3/10 red snapper closure; circle hooks </w:t>
            </w:r>
            <w:r>
              <w:rPr>
                <w:sz w:val="20"/>
                <w:szCs w:val="20"/>
              </w:rPr>
              <w:t>3/3/2011</w:t>
            </w:r>
          </w:p>
        </w:tc>
        <w:tc>
          <w:tcPr>
            <w:tcW w:w="1620" w:type="dxa"/>
            <w:shd w:val="clear" w:color="auto" w:fill="D9D9D9" w:themeFill="background1" w:themeFillShade="D9"/>
            <w:vAlign w:val="center"/>
          </w:tcPr>
          <w:p w14:paraId="58393921" w14:textId="77777777" w:rsidR="002E3407" w:rsidRPr="00640348" w:rsidRDefault="002E3407" w:rsidP="00EE4E8C">
            <w:pPr>
              <w:rPr>
                <w:sz w:val="20"/>
                <w:szCs w:val="20"/>
              </w:rPr>
            </w:pPr>
            <w:r w:rsidRPr="00640348">
              <w:rPr>
                <w:sz w:val="20"/>
                <w:szCs w:val="20"/>
              </w:rPr>
              <w:t>PR: 75 FR 49447</w:t>
            </w:r>
          </w:p>
          <w:p w14:paraId="26518E9E" w14:textId="77777777" w:rsidR="002E3407" w:rsidRPr="00640348" w:rsidRDefault="002E3407" w:rsidP="00EE4E8C">
            <w:pPr>
              <w:rPr>
                <w:sz w:val="20"/>
                <w:szCs w:val="20"/>
              </w:rPr>
            </w:pPr>
            <w:r w:rsidRPr="00640348">
              <w:rPr>
                <w:sz w:val="20"/>
                <w:szCs w:val="20"/>
              </w:rPr>
              <w:t>FR: 75 FR 76874</w:t>
            </w:r>
          </w:p>
        </w:tc>
        <w:tc>
          <w:tcPr>
            <w:tcW w:w="4590" w:type="dxa"/>
            <w:shd w:val="clear" w:color="auto" w:fill="D9D9D9" w:themeFill="background1" w:themeFillShade="D9"/>
          </w:tcPr>
          <w:p w14:paraId="21D8FEE5" w14:textId="77777777" w:rsidR="002E3407" w:rsidRPr="00640348" w:rsidRDefault="002E3407" w:rsidP="00EE4E8C">
            <w:pPr>
              <w:rPr>
                <w:sz w:val="20"/>
                <w:szCs w:val="20"/>
              </w:rPr>
            </w:pPr>
            <w:r w:rsidRPr="00640348">
              <w:rPr>
                <w:sz w:val="20"/>
                <w:szCs w:val="20"/>
              </w:rPr>
              <w:t>-Required use of non-stainless steel circle hooks when fishing for snapper grouper species with hook-and-line gear north of 28 deg. N latitude in the South Atlantic EEZ</w:t>
            </w:r>
            <w:r>
              <w:rPr>
                <w:sz w:val="20"/>
                <w:szCs w:val="20"/>
              </w:rPr>
              <w:t>;</w:t>
            </w:r>
          </w:p>
          <w:p w14:paraId="1CB75336" w14:textId="77777777" w:rsidR="002E3407" w:rsidRPr="00640348" w:rsidRDefault="002E3407" w:rsidP="00EE4E8C">
            <w:pPr>
              <w:rPr>
                <w:sz w:val="20"/>
                <w:szCs w:val="20"/>
              </w:rPr>
            </w:pPr>
            <w:r w:rsidRPr="00640348">
              <w:rPr>
                <w:sz w:val="20"/>
                <w:szCs w:val="20"/>
              </w:rPr>
              <w:t>-</w:t>
            </w:r>
            <w:r>
              <w:rPr>
                <w:sz w:val="20"/>
                <w:szCs w:val="20"/>
              </w:rPr>
              <w:t>Specified</w:t>
            </w:r>
            <w:r w:rsidRPr="00640348">
              <w:rPr>
                <w:sz w:val="20"/>
                <w:szCs w:val="20"/>
              </w:rPr>
              <w:t xml:space="preserve"> an</w:t>
            </w:r>
            <w:r>
              <w:rPr>
                <w:sz w:val="20"/>
                <w:szCs w:val="20"/>
              </w:rPr>
              <w:t xml:space="preserve"> annual catch limit (ACL)</w:t>
            </w:r>
            <w:r w:rsidRPr="00640348">
              <w:rPr>
                <w:sz w:val="20"/>
                <w:szCs w:val="20"/>
              </w:rPr>
              <w:t xml:space="preserve"> and an </w:t>
            </w:r>
            <w:r>
              <w:rPr>
                <w:sz w:val="20"/>
                <w:szCs w:val="20"/>
              </w:rPr>
              <w:t>accountability measure (</w:t>
            </w:r>
            <w:r w:rsidRPr="00640348">
              <w:rPr>
                <w:sz w:val="20"/>
                <w:szCs w:val="20"/>
              </w:rPr>
              <w:t>AM</w:t>
            </w:r>
            <w:r>
              <w:rPr>
                <w:sz w:val="20"/>
                <w:szCs w:val="20"/>
              </w:rPr>
              <w:t>)</w:t>
            </w:r>
            <w:r w:rsidRPr="00640348">
              <w:rPr>
                <w:sz w:val="20"/>
                <w:szCs w:val="20"/>
              </w:rPr>
              <w:t xml:space="preserve"> for red snapper with management measures to reduce the probability that catches will exceed the stocks’ ACL</w:t>
            </w:r>
            <w:r>
              <w:rPr>
                <w:sz w:val="20"/>
                <w:szCs w:val="20"/>
              </w:rPr>
              <w:t>;</w:t>
            </w:r>
          </w:p>
          <w:p w14:paraId="4000050D" w14:textId="77777777" w:rsidR="002E3407" w:rsidRPr="00640348" w:rsidRDefault="002E3407" w:rsidP="00EE4E8C">
            <w:pPr>
              <w:rPr>
                <w:sz w:val="20"/>
                <w:szCs w:val="20"/>
              </w:rPr>
            </w:pPr>
            <w:r w:rsidRPr="00640348">
              <w:rPr>
                <w:sz w:val="20"/>
                <w:szCs w:val="20"/>
              </w:rPr>
              <w:t>-</w:t>
            </w:r>
            <w:r>
              <w:rPr>
                <w:sz w:val="20"/>
                <w:szCs w:val="20"/>
              </w:rPr>
              <w:t>Specified</w:t>
            </w:r>
            <w:r w:rsidRPr="00640348">
              <w:rPr>
                <w:sz w:val="20"/>
                <w:szCs w:val="20"/>
              </w:rPr>
              <w:t xml:space="preserve"> a rebuilding plan for red snapper</w:t>
            </w:r>
            <w:r>
              <w:rPr>
                <w:sz w:val="20"/>
                <w:szCs w:val="20"/>
              </w:rPr>
              <w:t>;</w:t>
            </w:r>
          </w:p>
          <w:p w14:paraId="5BCE93AB" w14:textId="77777777" w:rsidR="002E3407" w:rsidRDefault="002E3407" w:rsidP="00EE4E8C">
            <w:pPr>
              <w:rPr>
                <w:sz w:val="20"/>
                <w:szCs w:val="20"/>
              </w:rPr>
            </w:pPr>
            <w:r w:rsidRPr="00640348">
              <w:rPr>
                <w:sz w:val="20"/>
                <w:szCs w:val="20"/>
              </w:rPr>
              <w:t>-</w:t>
            </w:r>
            <w:r>
              <w:rPr>
                <w:sz w:val="20"/>
                <w:szCs w:val="20"/>
              </w:rPr>
              <w:t>Specified</w:t>
            </w:r>
            <w:r w:rsidRPr="00640348">
              <w:rPr>
                <w:sz w:val="20"/>
                <w:szCs w:val="20"/>
              </w:rPr>
              <w:t xml:space="preserve"> status determination criteria for red snapper</w:t>
            </w:r>
            <w:r>
              <w:rPr>
                <w:sz w:val="20"/>
                <w:szCs w:val="20"/>
              </w:rPr>
              <w:t>;</w:t>
            </w:r>
          </w:p>
          <w:p w14:paraId="1F04000F" w14:textId="77777777" w:rsidR="002E3407" w:rsidRDefault="002E3407" w:rsidP="00EE4E8C">
            <w:pPr>
              <w:rPr>
                <w:sz w:val="20"/>
                <w:szCs w:val="20"/>
              </w:rPr>
            </w:pPr>
            <w:r>
              <w:rPr>
                <w:sz w:val="20"/>
                <w:szCs w:val="20"/>
              </w:rPr>
              <w:t>-Specified a fishery-independent</w:t>
            </w:r>
            <w:r w:rsidRPr="00640348">
              <w:rPr>
                <w:sz w:val="20"/>
                <w:szCs w:val="20"/>
              </w:rPr>
              <w:t xml:space="preserve"> monitoring program for red snapper</w:t>
            </w:r>
            <w:r>
              <w:rPr>
                <w:sz w:val="20"/>
                <w:szCs w:val="20"/>
              </w:rPr>
              <w:t>.</w:t>
            </w:r>
          </w:p>
          <w:p w14:paraId="7782F95E" w14:textId="77777777" w:rsidR="002E3407" w:rsidRPr="00640348" w:rsidRDefault="002E3407" w:rsidP="00EE4E8C">
            <w:pPr>
              <w:rPr>
                <w:sz w:val="20"/>
                <w:szCs w:val="20"/>
              </w:rPr>
            </w:pPr>
            <w:r>
              <w:rPr>
                <w:sz w:val="20"/>
                <w:szCs w:val="20"/>
              </w:rPr>
              <w:t xml:space="preserve">-Implemented an area closure for snapper-grouper species. </w:t>
            </w:r>
          </w:p>
        </w:tc>
      </w:tr>
      <w:tr w:rsidR="002E3407" w14:paraId="2A632EE1" w14:textId="77777777" w:rsidTr="00EE4E8C">
        <w:trPr>
          <w:trHeight w:val="710"/>
        </w:trPr>
        <w:tc>
          <w:tcPr>
            <w:tcW w:w="1638" w:type="dxa"/>
            <w:vAlign w:val="center"/>
          </w:tcPr>
          <w:p w14:paraId="4478D48E" w14:textId="77777777" w:rsidR="002E3407" w:rsidRPr="00640348" w:rsidRDefault="002E3407" w:rsidP="00EE4E8C">
            <w:pPr>
              <w:jc w:val="center"/>
              <w:rPr>
                <w:sz w:val="20"/>
                <w:szCs w:val="20"/>
              </w:rPr>
            </w:pPr>
            <w:r w:rsidRPr="00640348">
              <w:rPr>
                <w:sz w:val="20"/>
                <w:szCs w:val="20"/>
              </w:rPr>
              <w:t>Emergency Rule</w:t>
            </w:r>
          </w:p>
        </w:tc>
        <w:tc>
          <w:tcPr>
            <w:tcW w:w="1350" w:type="dxa"/>
            <w:shd w:val="clear" w:color="auto" w:fill="auto"/>
            <w:vAlign w:val="center"/>
          </w:tcPr>
          <w:p w14:paraId="6A7F13BD" w14:textId="77777777" w:rsidR="002E3407" w:rsidRPr="00640348" w:rsidRDefault="002E3407" w:rsidP="00EE4E8C">
            <w:pPr>
              <w:jc w:val="center"/>
              <w:rPr>
                <w:sz w:val="20"/>
                <w:szCs w:val="20"/>
              </w:rPr>
            </w:pPr>
            <w:r w:rsidRPr="00640348">
              <w:rPr>
                <w:sz w:val="20"/>
                <w:szCs w:val="20"/>
              </w:rPr>
              <w:t>12/3/10</w:t>
            </w:r>
          </w:p>
        </w:tc>
        <w:tc>
          <w:tcPr>
            <w:tcW w:w="1620" w:type="dxa"/>
            <w:shd w:val="clear" w:color="auto" w:fill="auto"/>
            <w:vAlign w:val="center"/>
          </w:tcPr>
          <w:p w14:paraId="282536CB" w14:textId="77777777" w:rsidR="002E3407" w:rsidRPr="00640348" w:rsidRDefault="002E3407" w:rsidP="00EE4E8C">
            <w:pPr>
              <w:rPr>
                <w:sz w:val="20"/>
                <w:szCs w:val="20"/>
              </w:rPr>
            </w:pPr>
            <w:r w:rsidRPr="00640348">
              <w:rPr>
                <w:sz w:val="20"/>
                <w:szCs w:val="20"/>
              </w:rPr>
              <w:t>75 FR 76890</w:t>
            </w:r>
          </w:p>
        </w:tc>
        <w:tc>
          <w:tcPr>
            <w:tcW w:w="4590" w:type="dxa"/>
            <w:shd w:val="clear" w:color="auto" w:fill="auto"/>
          </w:tcPr>
          <w:p w14:paraId="36B3CA43" w14:textId="77777777" w:rsidR="002E3407" w:rsidRPr="00640348" w:rsidRDefault="002E3407" w:rsidP="00EE4E8C">
            <w:pPr>
              <w:rPr>
                <w:sz w:val="20"/>
              </w:rPr>
            </w:pPr>
            <w:r>
              <w:rPr>
                <w:sz w:val="20"/>
              </w:rPr>
              <w:t>-</w:t>
            </w:r>
            <w:r w:rsidRPr="00640348">
              <w:rPr>
                <w:sz w:val="20"/>
              </w:rPr>
              <w:t>Delay</w:t>
            </w:r>
            <w:r>
              <w:rPr>
                <w:sz w:val="20"/>
              </w:rPr>
              <w:t>ed</w:t>
            </w:r>
            <w:r w:rsidRPr="00640348">
              <w:rPr>
                <w:sz w:val="20"/>
              </w:rPr>
              <w:t xml:space="preserve"> the effective date of the area closure for snapper grouper species implemented through Amendment 17A</w:t>
            </w:r>
            <w:r>
              <w:rPr>
                <w:sz w:val="20"/>
              </w:rPr>
              <w:t>.</w:t>
            </w:r>
          </w:p>
        </w:tc>
      </w:tr>
      <w:tr w:rsidR="002E3407" w14:paraId="46DB2C6A" w14:textId="77777777" w:rsidTr="00EE4E8C">
        <w:trPr>
          <w:trHeight w:val="1520"/>
        </w:trPr>
        <w:tc>
          <w:tcPr>
            <w:tcW w:w="1638" w:type="dxa"/>
            <w:shd w:val="clear" w:color="auto" w:fill="D9D9D9" w:themeFill="background1" w:themeFillShade="D9"/>
            <w:vAlign w:val="center"/>
          </w:tcPr>
          <w:p w14:paraId="3A0A2C9B" w14:textId="77777777" w:rsidR="002E3407" w:rsidRDefault="002E3407" w:rsidP="00EE4E8C">
            <w:pPr>
              <w:jc w:val="center"/>
              <w:rPr>
                <w:sz w:val="20"/>
                <w:szCs w:val="20"/>
              </w:rPr>
            </w:pPr>
            <w:r>
              <w:rPr>
                <w:sz w:val="20"/>
                <w:szCs w:val="20"/>
              </w:rPr>
              <w:t>Amendment #17B</w:t>
            </w:r>
          </w:p>
          <w:p w14:paraId="335DF8FF" w14:textId="77777777" w:rsidR="002E3407" w:rsidRDefault="002E3407" w:rsidP="00EE4E8C">
            <w:pPr>
              <w:jc w:val="center"/>
              <w:rPr>
                <w:sz w:val="20"/>
                <w:szCs w:val="20"/>
              </w:rPr>
            </w:pPr>
          </w:p>
          <w:p w14:paraId="37261B70" w14:textId="77777777" w:rsidR="002E3407" w:rsidRPr="00640348" w:rsidRDefault="002E3407" w:rsidP="00EE4E8C">
            <w:pPr>
              <w:jc w:val="center"/>
              <w:rPr>
                <w:sz w:val="20"/>
                <w:szCs w:val="20"/>
              </w:rPr>
            </w:pPr>
            <w:r>
              <w:rPr>
                <w:sz w:val="20"/>
                <w:szCs w:val="20"/>
              </w:rPr>
              <w:t>(2010</w:t>
            </w:r>
            <w:r w:rsidRPr="00640348">
              <w:rPr>
                <w:sz w:val="20"/>
                <w:szCs w:val="20"/>
              </w:rPr>
              <w:t>)</w:t>
            </w:r>
          </w:p>
        </w:tc>
        <w:tc>
          <w:tcPr>
            <w:tcW w:w="1350" w:type="dxa"/>
            <w:shd w:val="clear" w:color="auto" w:fill="D9D9D9" w:themeFill="background1" w:themeFillShade="D9"/>
            <w:vAlign w:val="center"/>
          </w:tcPr>
          <w:p w14:paraId="4BF7787F" w14:textId="77777777" w:rsidR="002E3407" w:rsidRPr="00640348" w:rsidRDefault="002E3407" w:rsidP="00EE4E8C">
            <w:pPr>
              <w:jc w:val="center"/>
              <w:rPr>
                <w:sz w:val="20"/>
                <w:szCs w:val="20"/>
              </w:rPr>
            </w:pPr>
            <w:r>
              <w:rPr>
                <w:sz w:val="20"/>
                <w:szCs w:val="20"/>
              </w:rPr>
              <w:t>1/30/11</w:t>
            </w:r>
          </w:p>
        </w:tc>
        <w:tc>
          <w:tcPr>
            <w:tcW w:w="1620" w:type="dxa"/>
            <w:shd w:val="clear" w:color="auto" w:fill="D9D9D9" w:themeFill="background1" w:themeFillShade="D9"/>
            <w:vAlign w:val="center"/>
          </w:tcPr>
          <w:p w14:paraId="6FD66DAF" w14:textId="77777777" w:rsidR="002E3407" w:rsidRPr="00640348" w:rsidRDefault="002E3407" w:rsidP="00EE4E8C">
            <w:pPr>
              <w:rPr>
                <w:sz w:val="20"/>
                <w:szCs w:val="20"/>
              </w:rPr>
            </w:pPr>
            <w:r w:rsidRPr="00640348">
              <w:rPr>
                <w:sz w:val="20"/>
                <w:szCs w:val="20"/>
              </w:rPr>
              <w:t>PR: 75 FR 62488</w:t>
            </w:r>
          </w:p>
          <w:p w14:paraId="103AD2B4" w14:textId="77777777" w:rsidR="002E3407" w:rsidRPr="00640348" w:rsidRDefault="002E3407" w:rsidP="00EE4E8C">
            <w:pPr>
              <w:rPr>
                <w:sz w:val="20"/>
                <w:szCs w:val="20"/>
              </w:rPr>
            </w:pPr>
            <w:r w:rsidRPr="00640348">
              <w:rPr>
                <w:sz w:val="20"/>
                <w:szCs w:val="20"/>
              </w:rPr>
              <w:t>FR: 75 FR 82280</w:t>
            </w:r>
          </w:p>
        </w:tc>
        <w:tc>
          <w:tcPr>
            <w:tcW w:w="4590" w:type="dxa"/>
            <w:shd w:val="clear" w:color="auto" w:fill="D9D9D9" w:themeFill="background1" w:themeFillShade="D9"/>
          </w:tcPr>
          <w:p w14:paraId="3BB20E3F" w14:textId="77777777" w:rsidR="002E3407" w:rsidRPr="004C3A95" w:rsidRDefault="002E3407" w:rsidP="00EE4E8C">
            <w:pPr>
              <w:rPr>
                <w:sz w:val="20"/>
                <w:szCs w:val="20"/>
              </w:rPr>
            </w:pPr>
            <w:r w:rsidRPr="004C3A95">
              <w:rPr>
                <w:sz w:val="20"/>
                <w:szCs w:val="20"/>
              </w:rPr>
              <w:t>-Specify ACL of 0 and prohibit fishing for speckled hind and warsaw grouper;</w:t>
            </w:r>
          </w:p>
          <w:p w14:paraId="38D94BF9" w14:textId="77777777" w:rsidR="002E3407" w:rsidRPr="004C3A95" w:rsidRDefault="002E3407" w:rsidP="00EE4E8C">
            <w:pPr>
              <w:rPr>
                <w:sz w:val="20"/>
                <w:szCs w:val="20"/>
              </w:rPr>
            </w:pPr>
            <w:r w:rsidRPr="004C3A95">
              <w:rPr>
                <w:sz w:val="20"/>
                <w:szCs w:val="20"/>
              </w:rPr>
              <w:t>-Prohibited harvest of 6 deepwater species seaward of 240 feet to curb bycatch of speckled hind and warsaw grouper (snowy grouper, blueline tilefish, yellowedge grouper, misty grouper, queen snapper, silk snapper).</w:t>
            </w:r>
          </w:p>
          <w:p w14:paraId="03445512" w14:textId="77777777" w:rsidR="002E3407" w:rsidRPr="004C3A95" w:rsidRDefault="002E3407" w:rsidP="00EE4E8C">
            <w:pPr>
              <w:rPr>
                <w:sz w:val="20"/>
                <w:szCs w:val="20"/>
              </w:rPr>
            </w:pPr>
            <w:r w:rsidRPr="004C3A95">
              <w:rPr>
                <w:sz w:val="20"/>
                <w:szCs w:val="20"/>
              </w:rPr>
              <w:t>-Specify allocations, ACLs and AMs for golden tilefish;</w:t>
            </w:r>
          </w:p>
          <w:p w14:paraId="6F803D32" w14:textId="77777777" w:rsidR="002E3407" w:rsidRPr="004C3A95" w:rsidRDefault="002E3407" w:rsidP="00EE4E8C">
            <w:pPr>
              <w:rPr>
                <w:sz w:val="20"/>
                <w:szCs w:val="20"/>
              </w:rPr>
            </w:pPr>
            <w:r w:rsidRPr="004C3A95">
              <w:rPr>
                <w:sz w:val="20"/>
                <w:szCs w:val="20"/>
              </w:rPr>
              <w:t>-Modified management measures as needed to limit harvest to the ACL or ACT;</w:t>
            </w:r>
          </w:p>
          <w:p w14:paraId="25B8A712" w14:textId="77777777" w:rsidR="002E3407" w:rsidRPr="004C3A95" w:rsidRDefault="002E3407" w:rsidP="00EE4E8C">
            <w:pPr>
              <w:autoSpaceDE w:val="0"/>
              <w:autoSpaceDN w:val="0"/>
              <w:adjustRightInd w:val="0"/>
              <w:rPr>
                <w:sz w:val="20"/>
                <w:szCs w:val="20"/>
              </w:rPr>
            </w:pPr>
            <w:r w:rsidRPr="004C3A95">
              <w:rPr>
                <w:sz w:val="20"/>
                <w:szCs w:val="20"/>
              </w:rPr>
              <w:t>-Updated the framework procedure for specification of total allowable catch;</w:t>
            </w:r>
          </w:p>
          <w:p w14:paraId="37EE2A57" w14:textId="77777777" w:rsidR="002E3407" w:rsidRPr="00640348" w:rsidRDefault="002E3407" w:rsidP="00EE4E8C">
            <w:pPr>
              <w:rPr>
                <w:sz w:val="20"/>
                <w:szCs w:val="20"/>
              </w:rPr>
            </w:pPr>
            <w:r w:rsidRPr="004C3A95">
              <w:rPr>
                <w:b/>
                <w:sz w:val="20"/>
                <w:szCs w:val="20"/>
              </w:rPr>
              <w:t>-</w:t>
            </w:r>
            <w:r w:rsidRPr="004C3A95">
              <w:rPr>
                <w:sz w:val="20"/>
                <w:szCs w:val="20"/>
              </w:rPr>
              <w:t xml:space="preserve">Specified ACLs, </w:t>
            </w:r>
            <w:r>
              <w:rPr>
                <w:sz w:val="20"/>
                <w:szCs w:val="20"/>
              </w:rPr>
              <w:t>ACTs</w:t>
            </w:r>
            <w:r w:rsidRPr="004C3A95">
              <w:rPr>
                <w:sz w:val="20"/>
                <w:szCs w:val="20"/>
              </w:rPr>
              <w:t>, and AMs, where necessary, for 9 species undergoing overfishing (snowy grouper, black grouper, black sea bass, red grouper, vermilion snapper, gag, speckled hind, warsaw grouper, golden tilefish);</w:t>
            </w:r>
          </w:p>
        </w:tc>
      </w:tr>
      <w:tr w:rsidR="002E3407" w14:paraId="1877D3B0" w14:textId="77777777" w:rsidTr="00EE4E8C">
        <w:trPr>
          <w:trHeight w:val="593"/>
        </w:trPr>
        <w:tc>
          <w:tcPr>
            <w:tcW w:w="1638" w:type="dxa"/>
            <w:vAlign w:val="center"/>
          </w:tcPr>
          <w:p w14:paraId="6143AC0F" w14:textId="77777777" w:rsidR="002E3407" w:rsidRDefault="002E3407" w:rsidP="00EE4E8C">
            <w:pPr>
              <w:jc w:val="center"/>
              <w:rPr>
                <w:sz w:val="20"/>
                <w:szCs w:val="20"/>
              </w:rPr>
            </w:pPr>
            <w:r w:rsidRPr="00640348">
              <w:rPr>
                <w:sz w:val="20"/>
                <w:szCs w:val="20"/>
              </w:rPr>
              <w:t>Regulatory Amendment #10</w:t>
            </w:r>
          </w:p>
          <w:p w14:paraId="7C2C9536" w14:textId="77777777" w:rsidR="002E3407" w:rsidRPr="00640348" w:rsidRDefault="002E3407" w:rsidP="00EE4E8C">
            <w:pPr>
              <w:jc w:val="center"/>
              <w:rPr>
                <w:sz w:val="20"/>
                <w:szCs w:val="20"/>
              </w:rPr>
            </w:pPr>
          </w:p>
          <w:p w14:paraId="556529AF" w14:textId="77777777" w:rsidR="002E3407" w:rsidRPr="00640348" w:rsidRDefault="002E3407" w:rsidP="00EE4E8C">
            <w:pPr>
              <w:jc w:val="center"/>
              <w:rPr>
                <w:sz w:val="20"/>
                <w:szCs w:val="20"/>
              </w:rPr>
            </w:pPr>
            <w:r>
              <w:rPr>
                <w:sz w:val="20"/>
                <w:szCs w:val="20"/>
              </w:rPr>
              <w:t>(2010</w:t>
            </w:r>
            <w:r w:rsidRPr="00640348">
              <w:rPr>
                <w:sz w:val="20"/>
                <w:szCs w:val="20"/>
              </w:rPr>
              <w:t>)</w:t>
            </w:r>
          </w:p>
        </w:tc>
        <w:tc>
          <w:tcPr>
            <w:tcW w:w="1350" w:type="dxa"/>
            <w:shd w:val="clear" w:color="auto" w:fill="auto"/>
            <w:vAlign w:val="center"/>
          </w:tcPr>
          <w:p w14:paraId="24FCFC29" w14:textId="77777777" w:rsidR="002E3407" w:rsidRPr="00640348" w:rsidRDefault="002E3407" w:rsidP="00EE4E8C">
            <w:pPr>
              <w:jc w:val="center"/>
              <w:rPr>
                <w:sz w:val="20"/>
                <w:szCs w:val="20"/>
              </w:rPr>
            </w:pPr>
            <w:r w:rsidRPr="00640348">
              <w:rPr>
                <w:sz w:val="20"/>
                <w:szCs w:val="20"/>
              </w:rPr>
              <w:t>5/31/11</w:t>
            </w:r>
          </w:p>
        </w:tc>
        <w:tc>
          <w:tcPr>
            <w:tcW w:w="1620" w:type="dxa"/>
            <w:shd w:val="clear" w:color="auto" w:fill="auto"/>
            <w:vAlign w:val="center"/>
          </w:tcPr>
          <w:p w14:paraId="186285B7" w14:textId="77777777" w:rsidR="002E3407" w:rsidRPr="00640348" w:rsidRDefault="002E3407" w:rsidP="00EE4E8C">
            <w:pPr>
              <w:rPr>
                <w:sz w:val="20"/>
                <w:szCs w:val="20"/>
              </w:rPr>
            </w:pPr>
            <w:r w:rsidRPr="00640348">
              <w:rPr>
                <w:sz w:val="20"/>
                <w:szCs w:val="20"/>
              </w:rPr>
              <w:t>PR: 76 FR 9530</w:t>
            </w:r>
          </w:p>
          <w:p w14:paraId="16B088A3" w14:textId="77777777" w:rsidR="002E3407" w:rsidRPr="00640348" w:rsidRDefault="002E3407" w:rsidP="00EE4E8C">
            <w:pPr>
              <w:jc w:val="center"/>
              <w:rPr>
                <w:sz w:val="20"/>
                <w:szCs w:val="20"/>
              </w:rPr>
            </w:pPr>
            <w:r w:rsidRPr="00640348">
              <w:rPr>
                <w:sz w:val="20"/>
                <w:szCs w:val="20"/>
              </w:rPr>
              <w:t>FR: 76 FR 23728</w:t>
            </w:r>
          </w:p>
        </w:tc>
        <w:tc>
          <w:tcPr>
            <w:tcW w:w="4590" w:type="dxa"/>
            <w:shd w:val="clear" w:color="auto" w:fill="auto"/>
          </w:tcPr>
          <w:p w14:paraId="0D768FD0" w14:textId="77777777" w:rsidR="002E3407" w:rsidRPr="00640348" w:rsidRDefault="002E3407" w:rsidP="00EE4E8C">
            <w:pPr>
              <w:rPr>
                <w:sz w:val="20"/>
                <w:szCs w:val="20"/>
              </w:rPr>
            </w:pPr>
            <w:r w:rsidRPr="00640348">
              <w:rPr>
                <w:sz w:val="20"/>
                <w:szCs w:val="20"/>
              </w:rPr>
              <w:t>-Eliminate</w:t>
            </w:r>
            <w:r>
              <w:rPr>
                <w:sz w:val="20"/>
                <w:szCs w:val="20"/>
              </w:rPr>
              <w:t>d</w:t>
            </w:r>
            <w:r w:rsidRPr="00640348">
              <w:rPr>
                <w:sz w:val="20"/>
                <w:szCs w:val="20"/>
              </w:rPr>
              <w:t xml:space="preserve"> closed area for snapper grouper species approved in Amendment 17A</w:t>
            </w:r>
            <w:r>
              <w:rPr>
                <w:sz w:val="20"/>
                <w:szCs w:val="20"/>
              </w:rPr>
              <w:t>.</w:t>
            </w:r>
          </w:p>
        </w:tc>
      </w:tr>
      <w:tr w:rsidR="002E3407" w14:paraId="3A89A2E5" w14:textId="77777777" w:rsidTr="00EE4E8C">
        <w:trPr>
          <w:trHeight w:val="1133"/>
        </w:trPr>
        <w:tc>
          <w:tcPr>
            <w:tcW w:w="1638" w:type="dxa"/>
            <w:vAlign w:val="center"/>
          </w:tcPr>
          <w:p w14:paraId="4800D876" w14:textId="77777777" w:rsidR="002E3407" w:rsidRDefault="002E3407" w:rsidP="00EE4E8C">
            <w:pPr>
              <w:jc w:val="center"/>
              <w:rPr>
                <w:sz w:val="20"/>
                <w:szCs w:val="20"/>
              </w:rPr>
            </w:pPr>
            <w:r w:rsidRPr="00640348">
              <w:rPr>
                <w:sz w:val="20"/>
                <w:szCs w:val="20"/>
              </w:rPr>
              <w:t>Regulatory Amendment #9</w:t>
            </w:r>
          </w:p>
          <w:p w14:paraId="637CF251" w14:textId="77777777" w:rsidR="002E3407" w:rsidRPr="00640348" w:rsidRDefault="002E3407" w:rsidP="00EE4E8C">
            <w:pPr>
              <w:jc w:val="center"/>
              <w:rPr>
                <w:sz w:val="20"/>
                <w:szCs w:val="20"/>
              </w:rPr>
            </w:pPr>
          </w:p>
          <w:p w14:paraId="4B690A42" w14:textId="77777777" w:rsidR="002E3407" w:rsidRPr="00640348" w:rsidRDefault="002E3407" w:rsidP="00EE4E8C">
            <w:pPr>
              <w:jc w:val="center"/>
              <w:rPr>
                <w:sz w:val="20"/>
                <w:szCs w:val="20"/>
              </w:rPr>
            </w:pPr>
            <w:r>
              <w:rPr>
                <w:sz w:val="20"/>
                <w:szCs w:val="20"/>
              </w:rPr>
              <w:t>(2011</w:t>
            </w:r>
            <w:r w:rsidRPr="00640348">
              <w:rPr>
                <w:sz w:val="20"/>
                <w:szCs w:val="20"/>
              </w:rPr>
              <w:t>)</w:t>
            </w:r>
          </w:p>
        </w:tc>
        <w:tc>
          <w:tcPr>
            <w:tcW w:w="1350" w:type="dxa"/>
            <w:shd w:val="clear" w:color="auto" w:fill="auto"/>
            <w:vAlign w:val="center"/>
          </w:tcPr>
          <w:p w14:paraId="17BB50FC" w14:textId="77777777" w:rsidR="002E3407" w:rsidRPr="00640348" w:rsidRDefault="002E3407" w:rsidP="00EE4E8C">
            <w:pPr>
              <w:jc w:val="center"/>
              <w:rPr>
                <w:sz w:val="20"/>
                <w:szCs w:val="20"/>
              </w:rPr>
            </w:pPr>
            <w:r w:rsidRPr="00640348">
              <w:rPr>
                <w:sz w:val="20"/>
                <w:szCs w:val="20"/>
              </w:rPr>
              <w:t>Bag limit: 6/22/11</w:t>
            </w:r>
          </w:p>
          <w:p w14:paraId="081E8035" w14:textId="77777777" w:rsidR="002E3407" w:rsidRPr="00640348" w:rsidRDefault="002E3407" w:rsidP="00EE4E8C">
            <w:pPr>
              <w:jc w:val="center"/>
              <w:rPr>
                <w:sz w:val="20"/>
                <w:szCs w:val="20"/>
              </w:rPr>
            </w:pPr>
            <w:r w:rsidRPr="00640348">
              <w:rPr>
                <w:sz w:val="20"/>
                <w:szCs w:val="20"/>
              </w:rPr>
              <w:t>Trip limits:</w:t>
            </w:r>
          </w:p>
          <w:p w14:paraId="15292EA0" w14:textId="77777777" w:rsidR="002E3407" w:rsidRPr="00640348" w:rsidRDefault="002E3407" w:rsidP="00EE4E8C">
            <w:pPr>
              <w:jc w:val="center"/>
              <w:rPr>
                <w:sz w:val="20"/>
                <w:szCs w:val="20"/>
              </w:rPr>
            </w:pPr>
            <w:r w:rsidRPr="00640348">
              <w:rPr>
                <w:sz w:val="20"/>
                <w:szCs w:val="20"/>
              </w:rPr>
              <w:t>7/15/11</w:t>
            </w:r>
          </w:p>
        </w:tc>
        <w:tc>
          <w:tcPr>
            <w:tcW w:w="1620" w:type="dxa"/>
            <w:shd w:val="clear" w:color="auto" w:fill="auto"/>
            <w:vAlign w:val="center"/>
          </w:tcPr>
          <w:p w14:paraId="67EE5A88" w14:textId="77777777" w:rsidR="002E3407" w:rsidRPr="00640348" w:rsidRDefault="002E3407" w:rsidP="00EE4E8C">
            <w:pPr>
              <w:rPr>
                <w:rFonts w:ascii="Melior" w:eastAsia="Calibri" w:hAnsi="Melior" w:cs="Melior"/>
                <w:sz w:val="18"/>
                <w:szCs w:val="18"/>
              </w:rPr>
            </w:pPr>
            <w:r w:rsidRPr="00640348">
              <w:rPr>
                <w:sz w:val="20"/>
                <w:szCs w:val="20"/>
              </w:rPr>
              <w:t xml:space="preserve">PR: </w:t>
            </w:r>
            <w:r w:rsidRPr="00640348">
              <w:rPr>
                <w:rFonts w:ascii="Melior" w:eastAsia="Calibri" w:hAnsi="Melior" w:cs="Melior"/>
                <w:sz w:val="18"/>
                <w:szCs w:val="18"/>
              </w:rPr>
              <w:t>76 FR 23930</w:t>
            </w:r>
          </w:p>
          <w:p w14:paraId="3E140C44" w14:textId="77777777" w:rsidR="002E3407" w:rsidRPr="00640348" w:rsidRDefault="002E3407" w:rsidP="00EE4E8C">
            <w:pPr>
              <w:jc w:val="center"/>
              <w:rPr>
                <w:sz w:val="20"/>
                <w:szCs w:val="20"/>
              </w:rPr>
            </w:pPr>
            <w:r w:rsidRPr="00640348">
              <w:rPr>
                <w:sz w:val="20"/>
                <w:szCs w:val="20"/>
              </w:rPr>
              <w:t xml:space="preserve">FR: 76 FR </w:t>
            </w:r>
            <w:r w:rsidRPr="00640348">
              <w:rPr>
                <w:rFonts w:ascii="Melior" w:eastAsia="Calibri" w:hAnsi="Melior" w:cs="Melior"/>
                <w:sz w:val="18"/>
                <w:szCs w:val="18"/>
              </w:rPr>
              <w:t>34892</w:t>
            </w:r>
          </w:p>
        </w:tc>
        <w:tc>
          <w:tcPr>
            <w:tcW w:w="4590" w:type="dxa"/>
            <w:shd w:val="clear" w:color="auto" w:fill="auto"/>
          </w:tcPr>
          <w:p w14:paraId="22276605" w14:textId="77777777" w:rsidR="002E3407" w:rsidRDefault="002E3407" w:rsidP="00EE4E8C">
            <w:pPr>
              <w:rPr>
                <w:sz w:val="20"/>
                <w:szCs w:val="20"/>
              </w:rPr>
            </w:pPr>
            <w:r>
              <w:rPr>
                <w:sz w:val="20"/>
                <w:szCs w:val="20"/>
              </w:rPr>
              <w:t>-</w:t>
            </w:r>
            <w:r w:rsidRPr="00640348">
              <w:rPr>
                <w:sz w:val="20"/>
                <w:szCs w:val="20"/>
              </w:rPr>
              <w:t>Establish</w:t>
            </w:r>
            <w:r>
              <w:rPr>
                <w:sz w:val="20"/>
                <w:szCs w:val="20"/>
              </w:rPr>
              <w:t>ed</w:t>
            </w:r>
            <w:r w:rsidRPr="00640348">
              <w:rPr>
                <w:sz w:val="20"/>
                <w:szCs w:val="20"/>
              </w:rPr>
              <w:t xml:space="preserve"> trip limits </w:t>
            </w:r>
            <w:r>
              <w:rPr>
                <w:sz w:val="20"/>
                <w:szCs w:val="20"/>
              </w:rPr>
              <w:t>for vermilion snapper and gag;</w:t>
            </w:r>
          </w:p>
          <w:p w14:paraId="5C819512" w14:textId="77777777" w:rsidR="002E3407" w:rsidRDefault="002E3407" w:rsidP="00EE4E8C">
            <w:pPr>
              <w:rPr>
                <w:sz w:val="20"/>
                <w:szCs w:val="20"/>
              </w:rPr>
            </w:pPr>
            <w:r>
              <w:rPr>
                <w:sz w:val="20"/>
                <w:szCs w:val="20"/>
              </w:rPr>
              <w:t>-I</w:t>
            </w:r>
            <w:r w:rsidRPr="00640348">
              <w:rPr>
                <w:sz w:val="20"/>
                <w:szCs w:val="20"/>
              </w:rPr>
              <w:t>ncrease</w:t>
            </w:r>
            <w:r>
              <w:rPr>
                <w:sz w:val="20"/>
                <w:szCs w:val="20"/>
              </w:rPr>
              <w:t>d</w:t>
            </w:r>
            <w:r w:rsidRPr="00640348">
              <w:rPr>
                <w:sz w:val="20"/>
                <w:szCs w:val="20"/>
              </w:rPr>
              <w:t xml:space="preserve"> trip l</w:t>
            </w:r>
            <w:r>
              <w:rPr>
                <w:sz w:val="20"/>
                <w:szCs w:val="20"/>
              </w:rPr>
              <w:t>imit for greater amberjack;</w:t>
            </w:r>
          </w:p>
          <w:p w14:paraId="7240C9C6" w14:textId="77777777" w:rsidR="002E3407" w:rsidRPr="00640348" w:rsidDel="000440BF" w:rsidRDefault="002E3407" w:rsidP="00EE4E8C">
            <w:pPr>
              <w:rPr>
                <w:sz w:val="20"/>
                <w:szCs w:val="20"/>
              </w:rPr>
            </w:pPr>
            <w:r>
              <w:rPr>
                <w:sz w:val="20"/>
                <w:szCs w:val="20"/>
              </w:rPr>
              <w:t xml:space="preserve">-Harvest management measures for black sea bass (trip limit, split season quotas, carry-over of unused ACL, gear restrictions, bag limit modification, and a </w:t>
            </w:r>
            <w:r>
              <w:rPr>
                <w:sz w:val="20"/>
                <w:szCs w:val="20"/>
              </w:rPr>
              <w:lastRenderedPageBreak/>
              <w:t>spawning season closure).</w:t>
            </w:r>
          </w:p>
        </w:tc>
      </w:tr>
      <w:tr w:rsidR="002E3407" w14:paraId="564FA11F" w14:textId="77777777" w:rsidTr="00EE4E8C">
        <w:trPr>
          <w:trHeight w:val="1772"/>
        </w:trPr>
        <w:tc>
          <w:tcPr>
            <w:tcW w:w="1638" w:type="dxa"/>
            <w:shd w:val="clear" w:color="auto" w:fill="D9D9D9" w:themeFill="background1" w:themeFillShade="D9"/>
            <w:vAlign w:val="center"/>
          </w:tcPr>
          <w:p w14:paraId="4D3B0FAB" w14:textId="77777777" w:rsidR="002E3407" w:rsidRDefault="002E3407" w:rsidP="00EE4E8C">
            <w:pPr>
              <w:jc w:val="center"/>
              <w:rPr>
                <w:sz w:val="20"/>
                <w:szCs w:val="20"/>
              </w:rPr>
            </w:pPr>
            <w:r w:rsidRPr="00640348">
              <w:rPr>
                <w:sz w:val="20"/>
                <w:szCs w:val="20"/>
              </w:rPr>
              <w:lastRenderedPageBreak/>
              <w:t>Amendment #23</w:t>
            </w:r>
          </w:p>
          <w:p w14:paraId="6DD50336" w14:textId="77777777" w:rsidR="002E3407" w:rsidRDefault="002E3407" w:rsidP="00EE4E8C">
            <w:pPr>
              <w:jc w:val="center"/>
              <w:rPr>
                <w:sz w:val="20"/>
                <w:szCs w:val="20"/>
              </w:rPr>
            </w:pPr>
          </w:p>
          <w:p w14:paraId="1FE924A2" w14:textId="77777777" w:rsidR="002E3407" w:rsidRDefault="002E3407" w:rsidP="00EE4E8C">
            <w:pPr>
              <w:jc w:val="center"/>
              <w:rPr>
                <w:sz w:val="20"/>
                <w:szCs w:val="20"/>
              </w:rPr>
            </w:pPr>
            <w:r w:rsidRPr="00640348">
              <w:rPr>
                <w:sz w:val="20"/>
                <w:szCs w:val="20"/>
              </w:rPr>
              <w:t>Comprehensive Ecosyste</w:t>
            </w:r>
            <w:r>
              <w:rPr>
                <w:sz w:val="20"/>
                <w:szCs w:val="20"/>
              </w:rPr>
              <w:t>m-based Amendment 2</w:t>
            </w:r>
          </w:p>
          <w:p w14:paraId="4E2F11A0" w14:textId="77777777" w:rsidR="002E3407" w:rsidRDefault="002E3407" w:rsidP="00EE4E8C">
            <w:pPr>
              <w:jc w:val="center"/>
              <w:rPr>
                <w:sz w:val="20"/>
                <w:szCs w:val="20"/>
              </w:rPr>
            </w:pPr>
            <w:r>
              <w:rPr>
                <w:sz w:val="20"/>
                <w:szCs w:val="20"/>
              </w:rPr>
              <w:t>(CE-BA2)</w:t>
            </w:r>
          </w:p>
          <w:p w14:paraId="7EC3F87E" w14:textId="77777777" w:rsidR="002E3407" w:rsidRDefault="002E3407" w:rsidP="00EE4E8C">
            <w:pPr>
              <w:jc w:val="center"/>
              <w:rPr>
                <w:sz w:val="20"/>
                <w:szCs w:val="20"/>
              </w:rPr>
            </w:pPr>
          </w:p>
          <w:p w14:paraId="3F210404" w14:textId="77777777" w:rsidR="002E3407" w:rsidRPr="00640348" w:rsidRDefault="002E3407" w:rsidP="00EE4E8C">
            <w:pPr>
              <w:jc w:val="center"/>
              <w:rPr>
                <w:sz w:val="20"/>
                <w:szCs w:val="20"/>
              </w:rPr>
            </w:pPr>
            <w:r>
              <w:rPr>
                <w:sz w:val="20"/>
                <w:szCs w:val="20"/>
              </w:rPr>
              <w:t>(2011</w:t>
            </w:r>
            <w:r w:rsidRPr="00640348">
              <w:rPr>
                <w:sz w:val="20"/>
                <w:szCs w:val="20"/>
              </w:rPr>
              <w:t>)</w:t>
            </w:r>
          </w:p>
        </w:tc>
        <w:tc>
          <w:tcPr>
            <w:tcW w:w="1350" w:type="dxa"/>
            <w:shd w:val="clear" w:color="auto" w:fill="D9D9D9" w:themeFill="background1" w:themeFillShade="D9"/>
            <w:vAlign w:val="center"/>
          </w:tcPr>
          <w:p w14:paraId="70A3EC3C" w14:textId="77777777" w:rsidR="002E3407" w:rsidRPr="00640348" w:rsidRDefault="002E3407" w:rsidP="00EE4E8C">
            <w:pPr>
              <w:jc w:val="center"/>
              <w:rPr>
                <w:sz w:val="20"/>
                <w:szCs w:val="20"/>
              </w:rPr>
            </w:pPr>
            <w:r w:rsidRPr="00640348">
              <w:rPr>
                <w:sz w:val="20"/>
                <w:szCs w:val="20"/>
              </w:rPr>
              <w:t>1/30/12</w:t>
            </w:r>
          </w:p>
        </w:tc>
        <w:tc>
          <w:tcPr>
            <w:tcW w:w="1620" w:type="dxa"/>
            <w:shd w:val="clear" w:color="auto" w:fill="D9D9D9" w:themeFill="background1" w:themeFillShade="D9"/>
            <w:vAlign w:val="center"/>
          </w:tcPr>
          <w:p w14:paraId="5BAAB162" w14:textId="77777777" w:rsidR="002E3407" w:rsidRPr="00640348" w:rsidRDefault="002E3407" w:rsidP="00EE4E8C">
            <w:pPr>
              <w:rPr>
                <w:sz w:val="20"/>
                <w:szCs w:val="20"/>
              </w:rPr>
            </w:pPr>
            <w:r w:rsidRPr="00640348">
              <w:rPr>
                <w:sz w:val="20"/>
                <w:szCs w:val="20"/>
              </w:rPr>
              <w:t>PR: 76 FR 69230</w:t>
            </w:r>
          </w:p>
          <w:p w14:paraId="3E63D28B" w14:textId="77777777" w:rsidR="002E3407" w:rsidRPr="00640348" w:rsidRDefault="002E3407" w:rsidP="00EE4E8C">
            <w:pPr>
              <w:rPr>
                <w:sz w:val="20"/>
                <w:szCs w:val="20"/>
              </w:rPr>
            </w:pPr>
            <w:r w:rsidRPr="00640348">
              <w:rPr>
                <w:sz w:val="20"/>
                <w:szCs w:val="20"/>
              </w:rPr>
              <w:t>FR: 76 FR 82183</w:t>
            </w:r>
          </w:p>
        </w:tc>
        <w:tc>
          <w:tcPr>
            <w:tcW w:w="4590" w:type="dxa"/>
            <w:shd w:val="clear" w:color="auto" w:fill="D9D9D9" w:themeFill="background1" w:themeFillShade="D9"/>
          </w:tcPr>
          <w:p w14:paraId="16910573" w14:textId="77777777" w:rsidR="002E3407" w:rsidRDefault="002E3407" w:rsidP="00EE4E8C">
            <w:pPr>
              <w:rPr>
                <w:sz w:val="20"/>
                <w:szCs w:val="20"/>
              </w:rPr>
            </w:pPr>
            <w:r w:rsidRPr="00640348">
              <w:rPr>
                <w:sz w:val="20"/>
                <w:szCs w:val="20"/>
              </w:rPr>
              <w:t>-Designate</w:t>
            </w:r>
            <w:r>
              <w:rPr>
                <w:sz w:val="20"/>
                <w:szCs w:val="20"/>
              </w:rPr>
              <w:t>d</w:t>
            </w:r>
            <w:r w:rsidRPr="00640348">
              <w:rPr>
                <w:sz w:val="20"/>
                <w:szCs w:val="20"/>
              </w:rPr>
              <w:t xml:space="preserve"> the Deepwater MPAs as EFH-HAPCs</w:t>
            </w:r>
            <w:r>
              <w:rPr>
                <w:sz w:val="20"/>
                <w:szCs w:val="20"/>
              </w:rPr>
              <w:t>;</w:t>
            </w:r>
          </w:p>
          <w:p w14:paraId="548AD648" w14:textId="77777777" w:rsidR="002E3407" w:rsidRPr="00640348" w:rsidRDefault="002E3407" w:rsidP="00EE4E8C">
            <w:pPr>
              <w:rPr>
                <w:sz w:val="20"/>
                <w:szCs w:val="20"/>
              </w:rPr>
            </w:pPr>
            <w:r>
              <w:rPr>
                <w:sz w:val="20"/>
                <w:szCs w:val="20"/>
              </w:rPr>
              <w:t>-Modify management measures for Octocoral;</w:t>
            </w:r>
          </w:p>
          <w:p w14:paraId="6D4B6943" w14:textId="77777777" w:rsidR="002E3407" w:rsidRPr="00640348" w:rsidRDefault="002E3407" w:rsidP="00EE4E8C">
            <w:pPr>
              <w:rPr>
                <w:sz w:val="20"/>
                <w:szCs w:val="20"/>
              </w:rPr>
            </w:pPr>
            <w:r>
              <w:rPr>
                <w:sz w:val="20"/>
                <w:szCs w:val="20"/>
              </w:rPr>
              <w:t>-</w:t>
            </w:r>
            <w:r w:rsidRPr="00640348">
              <w:rPr>
                <w:sz w:val="20"/>
                <w:szCs w:val="20"/>
              </w:rPr>
              <w:t>Limit harvest of snapper grouper species in SC SMZs to the bag limit</w:t>
            </w:r>
            <w:r>
              <w:rPr>
                <w:sz w:val="20"/>
                <w:szCs w:val="20"/>
              </w:rPr>
              <w:t>;</w:t>
            </w:r>
          </w:p>
          <w:p w14:paraId="011218C5" w14:textId="77777777" w:rsidR="002E3407" w:rsidRDefault="002E3407" w:rsidP="00EE4E8C">
            <w:pPr>
              <w:rPr>
                <w:sz w:val="20"/>
                <w:szCs w:val="20"/>
              </w:rPr>
            </w:pPr>
            <w:r>
              <w:rPr>
                <w:sz w:val="20"/>
                <w:szCs w:val="20"/>
              </w:rPr>
              <w:t>-</w:t>
            </w:r>
            <w:r w:rsidRPr="00640348">
              <w:rPr>
                <w:sz w:val="20"/>
                <w:szCs w:val="20"/>
              </w:rPr>
              <w:t>Modify sea turtle release gear</w:t>
            </w:r>
            <w:r>
              <w:rPr>
                <w:sz w:val="20"/>
                <w:szCs w:val="20"/>
              </w:rPr>
              <w:t>;</w:t>
            </w:r>
          </w:p>
          <w:p w14:paraId="2E4CE08F" w14:textId="77777777" w:rsidR="002E3407" w:rsidRPr="00640348" w:rsidRDefault="002E3407" w:rsidP="00EE4E8C">
            <w:pPr>
              <w:rPr>
                <w:sz w:val="20"/>
                <w:szCs w:val="20"/>
              </w:rPr>
            </w:pPr>
            <w:r>
              <w:rPr>
                <w:sz w:val="20"/>
                <w:szCs w:val="20"/>
              </w:rPr>
              <w:t>-Designated new EFP for pelagic Sargassum habitat.</w:t>
            </w:r>
          </w:p>
        </w:tc>
      </w:tr>
      <w:tr w:rsidR="002E3407" w14:paraId="57FE5998" w14:textId="77777777" w:rsidTr="00EE4E8C">
        <w:trPr>
          <w:trHeight w:val="818"/>
        </w:trPr>
        <w:tc>
          <w:tcPr>
            <w:tcW w:w="1638" w:type="dxa"/>
            <w:shd w:val="clear" w:color="auto" w:fill="D9D9D9" w:themeFill="background1" w:themeFillShade="D9"/>
            <w:vAlign w:val="center"/>
          </w:tcPr>
          <w:p w14:paraId="47E4F911" w14:textId="77777777" w:rsidR="002E3407" w:rsidRPr="00640348" w:rsidRDefault="002E3407" w:rsidP="00EE4E8C">
            <w:pPr>
              <w:jc w:val="center"/>
              <w:rPr>
                <w:sz w:val="20"/>
                <w:szCs w:val="20"/>
              </w:rPr>
            </w:pPr>
            <w:r w:rsidRPr="00640348">
              <w:rPr>
                <w:sz w:val="20"/>
                <w:szCs w:val="20"/>
              </w:rPr>
              <w:t>Amendment # 25</w:t>
            </w:r>
          </w:p>
          <w:p w14:paraId="3633D865" w14:textId="77777777" w:rsidR="002E3407" w:rsidRDefault="002E3407" w:rsidP="00EE4E8C">
            <w:pPr>
              <w:jc w:val="center"/>
              <w:rPr>
                <w:sz w:val="20"/>
                <w:szCs w:val="20"/>
              </w:rPr>
            </w:pPr>
          </w:p>
          <w:p w14:paraId="7E015EA6" w14:textId="77777777" w:rsidR="002E3407" w:rsidRDefault="002E3407" w:rsidP="00EE4E8C">
            <w:pPr>
              <w:jc w:val="center"/>
              <w:rPr>
                <w:sz w:val="20"/>
                <w:szCs w:val="20"/>
              </w:rPr>
            </w:pPr>
            <w:r w:rsidRPr="00640348">
              <w:rPr>
                <w:sz w:val="20"/>
                <w:szCs w:val="20"/>
              </w:rPr>
              <w:t>Comprehen</w:t>
            </w:r>
            <w:r>
              <w:rPr>
                <w:sz w:val="20"/>
                <w:szCs w:val="20"/>
              </w:rPr>
              <w:t>sive Annual Catch Limit Amendment;</w:t>
            </w:r>
          </w:p>
          <w:p w14:paraId="1598FCD8" w14:textId="77777777" w:rsidR="002E3407" w:rsidRDefault="002E3407" w:rsidP="00EE4E8C">
            <w:pPr>
              <w:jc w:val="center"/>
              <w:rPr>
                <w:sz w:val="20"/>
                <w:szCs w:val="20"/>
              </w:rPr>
            </w:pPr>
          </w:p>
          <w:p w14:paraId="2928ABBC" w14:textId="77777777" w:rsidR="002E3407" w:rsidRPr="00640348" w:rsidRDefault="002E3407" w:rsidP="00EE4E8C">
            <w:pPr>
              <w:jc w:val="center"/>
              <w:rPr>
                <w:sz w:val="20"/>
                <w:szCs w:val="20"/>
              </w:rPr>
            </w:pPr>
            <w:r>
              <w:rPr>
                <w:sz w:val="20"/>
                <w:szCs w:val="20"/>
              </w:rPr>
              <w:t>(2011</w:t>
            </w:r>
            <w:r w:rsidRPr="00640348">
              <w:rPr>
                <w:sz w:val="20"/>
                <w:szCs w:val="20"/>
              </w:rPr>
              <w:t>)</w:t>
            </w:r>
          </w:p>
        </w:tc>
        <w:tc>
          <w:tcPr>
            <w:tcW w:w="1350" w:type="dxa"/>
            <w:shd w:val="clear" w:color="auto" w:fill="D9D9D9" w:themeFill="background1" w:themeFillShade="D9"/>
            <w:vAlign w:val="center"/>
          </w:tcPr>
          <w:p w14:paraId="185106CB" w14:textId="77777777" w:rsidR="002E3407" w:rsidRPr="00640348" w:rsidRDefault="002E3407" w:rsidP="00EE4E8C">
            <w:pPr>
              <w:jc w:val="center"/>
              <w:rPr>
                <w:sz w:val="20"/>
                <w:szCs w:val="20"/>
              </w:rPr>
            </w:pPr>
            <w:r w:rsidRPr="00640348">
              <w:rPr>
                <w:sz w:val="20"/>
                <w:szCs w:val="20"/>
              </w:rPr>
              <w:t>4/16/12</w:t>
            </w:r>
          </w:p>
        </w:tc>
        <w:tc>
          <w:tcPr>
            <w:tcW w:w="1620" w:type="dxa"/>
            <w:shd w:val="clear" w:color="auto" w:fill="D9D9D9" w:themeFill="background1" w:themeFillShade="D9"/>
            <w:vAlign w:val="center"/>
          </w:tcPr>
          <w:p w14:paraId="777E55C3" w14:textId="77777777" w:rsidR="002E3407" w:rsidRPr="00640348" w:rsidRDefault="002E3407" w:rsidP="00EE4E8C">
            <w:pPr>
              <w:rPr>
                <w:sz w:val="20"/>
                <w:szCs w:val="20"/>
              </w:rPr>
            </w:pPr>
            <w:r w:rsidRPr="00640348">
              <w:rPr>
                <w:sz w:val="20"/>
                <w:szCs w:val="20"/>
              </w:rPr>
              <w:t>PR: 76 FR 74757</w:t>
            </w:r>
          </w:p>
          <w:p w14:paraId="44AD06A3" w14:textId="77777777" w:rsidR="002E3407" w:rsidRPr="00640348" w:rsidRDefault="002E3407" w:rsidP="00EE4E8C">
            <w:pPr>
              <w:rPr>
                <w:sz w:val="20"/>
                <w:szCs w:val="20"/>
              </w:rPr>
            </w:pPr>
            <w:r w:rsidRPr="00640348">
              <w:rPr>
                <w:sz w:val="20"/>
                <w:szCs w:val="20"/>
              </w:rPr>
              <w:t>Amended PR: 76 FR 82264</w:t>
            </w:r>
          </w:p>
          <w:p w14:paraId="3CE46B2A" w14:textId="77777777" w:rsidR="002E3407" w:rsidRPr="00640348" w:rsidRDefault="002E3407" w:rsidP="00EE4E8C">
            <w:pPr>
              <w:rPr>
                <w:sz w:val="20"/>
                <w:szCs w:val="20"/>
              </w:rPr>
            </w:pPr>
            <w:r w:rsidRPr="00640348">
              <w:rPr>
                <w:sz w:val="20"/>
                <w:szCs w:val="20"/>
              </w:rPr>
              <w:t>FR: 77 FR 15916</w:t>
            </w:r>
          </w:p>
        </w:tc>
        <w:tc>
          <w:tcPr>
            <w:tcW w:w="4590" w:type="dxa"/>
            <w:shd w:val="clear" w:color="auto" w:fill="D9D9D9" w:themeFill="background1" w:themeFillShade="D9"/>
          </w:tcPr>
          <w:p w14:paraId="21EFFCD5" w14:textId="77777777" w:rsidR="002E3407" w:rsidRDefault="002E3407" w:rsidP="00EE4E8C">
            <w:pPr>
              <w:rPr>
                <w:sz w:val="20"/>
                <w:szCs w:val="20"/>
              </w:rPr>
            </w:pPr>
            <w:r>
              <w:rPr>
                <w:sz w:val="20"/>
                <w:szCs w:val="20"/>
              </w:rPr>
              <w:t>-Reorganize FMUs to 6 complexes (deepwater, jacks, snappers, grunts, shallow-water groupers, porgies) (see final rule for species list);</w:t>
            </w:r>
          </w:p>
          <w:p w14:paraId="0EC3314D" w14:textId="77777777" w:rsidR="002E3407" w:rsidRPr="00640348" w:rsidRDefault="002E3407" w:rsidP="00EE4E8C">
            <w:pPr>
              <w:rPr>
                <w:sz w:val="20"/>
                <w:szCs w:val="20"/>
              </w:rPr>
            </w:pPr>
            <w:r>
              <w:rPr>
                <w:sz w:val="20"/>
                <w:szCs w:val="20"/>
              </w:rPr>
              <w:t>-</w:t>
            </w:r>
            <w:r w:rsidRPr="00640348">
              <w:rPr>
                <w:sz w:val="20"/>
                <w:szCs w:val="20"/>
              </w:rPr>
              <w:t>Establish</w:t>
            </w:r>
            <w:r>
              <w:rPr>
                <w:sz w:val="20"/>
                <w:szCs w:val="20"/>
              </w:rPr>
              <w:t>ed</w:t>
            </w:r>
            <w:r w:rsidRPr="00640348">
              <w:rPr>
                <w:sz w:val="20"/>
                <w:szCs w:val="20"/>
              </w:rPr>
              <w:t xml:space="preserve"> acceptable biolog</w:t>
            </w:r>
            <w:r>
              <w:rPr>
                <w:sz w:val="20"/>
                <w:szCs w:val="20"/>
              </w:rPr>
              <w:t>ical catch (ABC) control rules and e</w:t>
            </w:r>
            <w:r w:rsidRPr="00640348">
              <w:rPr>
                <w:sz w:val="20"/>
                <w:szCs w:val="20"/>
              </w:rPr>
              <w:t>stablish</w:t>
            </w:r>
            <w:r>
              <w:rPr>
                <w:sz w:val="20"/>
                <w:szCs w:val="20"/>
              </w:rPr>
              <w:t>ed</w:t>
            </w:r>
            <w:r w:rsidRPr="00640348">
              <w:rPr>
                <w:sz w:val="20"/>
                <w:szCs w:val="20"/>
              </w:rPr>
              <w:t xml:space="preserve"> ABCs, </w:t>
            </w:r>
            <w:r>
              <w:rPr>
                <w:sz w:val="20"/>
                <w:szCs w:val="20"/>
              </w:rPr>
              <w:t>ACLs</w:t>
            </w:r>
            <w:r w:rsidRPr="00640348">
              <w:rPr>
                <w:sz w:val="20"/>
                <w:szCs w:val="20"/>
              </w:rPr>
              <w:t>, a</w:t>
            </w:r>
            <w:r>
              <w:rPr>
                <w:sz w:val="20"/>
                <w:szCs w:val="20"/>
              </w:rPr>
              <w:t>nd AMs</w:t>
            </w:r>
            <w:r w:rsidRPr="00640348">
              <w:rPr>
                <w:sz w:val="20"/>
                <w:szCs w:val="20"/>
              </w:rPr>
              <w:t xml:space="preserve"> for species not undergoing overfishing</w:t>
            </w:r>
            <w:r>
              <w:rPr>
                <w:sz w:val="20"/>
                <w:szCs w:val="20"/>
              </w:rPr>
              <w:t>;</w:t>
            </w:r>
          </w:p>
          <w:p w14:paraId="71471A1B" w14:textId="77777777" w:rsidR="002E3407" w:rsidRDefault="002E3407" w:rsidP="00EE4E8C">
            <w:pPr>
              <w:rPr>
                <w:sz w:val="20"/>
                <w:szCs w:val="20"/>
              </w:rPr>
            </w:pPr>
            <w:r w:rsidRPr="00640348">
              <w:rPr>
                <w:sz w:val="20"/>
                <w:szCs w:val="20"/>
              </w:rPr>
              <w:t>-Remove</w:t>
            </w:r>
            <w:r>
              <w:rPr>
                <w:sz w:val="20"/>
                <w:szCs w:val="20"/>
              </w:rPr>
              <w:t>d</w:t>
            </w:r>
            <w:r w:rsidRPr="00640348">
              <w:rPr>
                <w:sz w:val="20"/>
                <w:szCs w:val="20"/>
              </w:rPr>
              <w:t xml:space="preserve"> some speci</w:t>
            </w:r>
            <w:r>
              <w:rPr>
                <w:sz w:val="20"/>
                <w:szCs w:val="20"/>
              </w:rPr>
              <w:t>es from South Atlantic FMU (Tiger grouper, black margate, blue-striped grunt, French grunt, porkfish, smallmouth grunt, queen triggerfish, crevalle, yellow jack, grass porgy, sheepshead, puddingwife);</w:t>
            </w:r>
          </w:p>
          <w:p w14:paraId="4FC1746B" w14:textId="77777777" w:rsidR="002E3407" w:rsidRPr="00640348" w:rsidRDefault="002E3407" w:rsidP="00EE4E8C">
            <w:pPr>
              <w:rPr>
                <w:sz w:val="20"/>
                <w:szCs w:val="20"/>
              </w:rPr>
            </w:pPr>
            <w:r>
              <w:rPr>
                <w:sz w:val="20"/>
                <w:szCs w:val="20"/>
              </w:rPr>
              <w:t>-D</w:t>
            </w:r>
            <w:r w:rsidRPr="00640348">
              <w:rPr>
                <w:sz w:val="20"/>
                <w:szCs w:val="20"/>
              </w:rPr>
              <w:t>esignate</w:t>
            </w:r>
            <w:r>
              <w:rPr>
                <w:sz w:val="20"/>
                <w:szCs w:val="20"/>
              </w:rPr>
              <w:t>d</w:t>
            </w:r>
            <w:r w:rsidRPr="00640348">
              <w:rPr>
                <w:sz w:val="20"/>
                <w:szCs w:val="20"/>
              </w:rPr>
              <w:t xml:space="preserve"> </w:t>
            </w:r>
            <w:r>
              <w:rPr>
                <w:sz w:val="20"/>
                <w:szCs w:val="20"/>
              </w:rPr>
              <w:t>species</w:t>
            </w:r>
            <w:r w:rsidRPr="00640348">
              <w:rPr>
                <w:sz w:val="20"/>
                <w:szCs w:val="20"/>
              </w:rPr>
              <w:t xml:space="preserve"> as ecosystem component species</w:t>
            </w:r>
            <w:r>
              <w:rPr>
                <w:sz w:val="20"/>
                <w:szCs w:val="20"/>
              </w:rPr>
              <w:t xml:space="preserve"> (schoolmaster, ocean triggerfish, bank triggerfish, rock triggerfish, longspine porgy);</w:t>
            </w:r>
          </w:p>
          <w:p w14:paraId="4B9C1B64" w14:textId="77777777" w:rsidR="002E3407" w:rsidRPr="00640348" w:rsidRDefault="002E3407" w:rsidP="00EE4E8C">
            <w:pPr>
              <w:rPr>
                <w:sz w:val="20"/>
                <w:szCs w:val="20"/>
              </w:rPr>
            </w:pPr>
            <w:r w:rsidRPr="00640348">
              <w:rPr>
                <w:sz w:val="20"/>
                <w:szCs w:val="20"/>
              </w:rPr>
              <w:t>-Specif</w:t>
            </w:r>
            <w:r>
              <w:rPr>
                <w:sz w:val="20"/>
                <w:szCs w:val="20"/>
              </w:rPr>
              <w:t>ied</w:t>
            </w:r>
            <w:r w:rsidRPr="00640348">
              <w:rPr>
                <w:sz w:val="20"/>
                <w:szCs w:val="20"/>
              </w:rPr>
              <w:t xml:space="preserve"> allocations between the commercial and, recreational sectors for spe</w:t>
            </w:r>
            <w:r>
              <w:rPr>
                <w:sz w:val="20"/>
                <w:szCs w:val="20"/>
              </w:rPr>
              <w:t>cies not undergoing overfishing;</w:t>
            </w:r>
          </w:p>
          <w:p w14:paraId="3ED3A218" w14:textId="77777777" w:rsidR="002E3407" w:rsidRPr="00640348" w:rsidRDefault="002E3407" w:rsidP="00EE4E8C">
            <w:pPr>
              <w:rPr>
                <w:sz w:val="20"/>
                <w:szCs w:val="20"/>
              </w:rPr>
            </w:pPr>
            <w:r w:rsidRPr="00640348">
              <w:rPr>
                <w:sz w:val="20"/>
                <w:szCs w:val="20"/>
              </w:rPr>
              <w:t>-Limit</w:t>
            </w:r>
            <w:r>
              <w:rPr>
                <w:sz w:val="20"/>
                <w:szCs w:val="20"/>
              </w:rPr>
              <w:t>ed</w:t>
            </w:r>
            <w:r w:rsidRPr="00640348">
              <w:rPr>
                <w:sz w:val="20"/>
                <w:szCs w:val="20"/>
              </w:rPr>
              <w:t xml:space="preserve"> the total mortality for federally managed species in</w:t>
            </w:r>
            <w:r>
              <w:rPr>
                <w:sz w:val="20"/>
                <w:szCs w:val="20"/>
              </w:rPr>
              <w:t xml:space="preserve"> the South Atlantic to the ACLs.</w:t>
            </w:r>
          </w:p>
        </w:tc>
      </w:tr>
      <w:tr w:rsidR="002E3407" w14:paraId="536CC32E" w14:textId="77777777" w:rsidTr="00EE4E8C">
        <w:trPr>
          <w:trHeight w:val="1061"/>
        </w:trPr>
        <w:tc>
          <w:tcPr>
            <w:tcW w:w="1638" w:type="dxa"/>
            <w:shd w:val="clear" w:color="auto" w:fill="FFFFFF" w:themeFill="background1"/>
            <w:vAlign w:val="center"/>
          </w:tcPr>
          <w:p w14:paraId="53C0051E" w14:textId="77777777" w:rsidR="002E3407" w:rsidRPr="00640348" w:rsidRDefault="002E3407" w:rsidP="00EE4E8C">
            <w:pPr>
              <w:jc w:val="center"/>
              <w:rPr>
                <w:sz w:val="20"/>
                <w:szCs w:val="20"/>
              </w:rPr>
            </w:pPr>
            <w:r w:rsidRPr="00640348">
              <w:rPr>
                <w:sz w:val="20"/>
                <w:szCs w:val="20"/>
              </w:rPr>
              <w:t>Regulatory Amendment #11</w:t>
            </w:r>
          </w:p>
          <w:p w14:paraId="08913521" w14:textId="77777777" w:rsidR="002E3407" w:rsidRDefault="002E3407" w:rsidP="00EE4E8C">
            <w:pPr>
              <w:jc w:val="center"/>
              <w:rPr>
                <w:sz w:val="20"/>
                <w:szCs w:val="20"/>
              </w:rPr>
            </w:pPr>
          </w:p>
          <w:p w14:paraId="45AFF5AD" w14:textId="77777777" w:rsidR="002E3407" w:rsidRPr="00640348" w:rsidRDefault="002E3407" w:rsidP="00EE4E8C">
            <w:pPr>
              <w:jc w:val="center"/>
              <w:rPr>
                <w:sz w:val="20"/>
                <w:szCs w:val="20"/>
              </w:rPr>
            </w:pPr>
            <w:r>
              <w:rPr>
                <w:sz w:val="20"/>
                <w:szCs w:val="20"/>
              </w:rPr>
              <w:t>(2011</w:t>
            </w:r>
            <w:r w:rsidRPr="00640348">
              <w:rPr>
                <w:sz w:val="20"/>
                <w:szCs w:val="20"/>
              </w:rPr>
              <w:t>)</w:t>
            </w:r>
          </w:p>
        </w:tc>
        <w:tc>
          <w:tcPr>
            <w:tcW w:w="1350" w:type="dxa"/>
            <w:shd w:val="clear" w:color="auto" w:fill="FFFFFF" w:themeFill="background1"/>
            <w:vAlign w:val="center"/>
          </w:tcPr>
          <w:p w14:paraId="0A70BAA7" w14:textId="77777777" w:rsidR="002E3407" w:rsidRPr="00640348" w:rsidRDefault="002E3407" w:rsidP="00EE4E8C">
            <w:pPr>
              <w:jc w:val="center"/>
              <w:rPr>
                <w:sz w:val="20"/>
                <w:szCs w:val="20"/>
              </w:rPr>
            </w:pPr>
            <w:r w:rsidRPr="00640348">
              <w:rPr>
                <w:sz w:val="20"/>
                <w:szCs w:val="20"/>
              </w:rPr>
              <w:t>5/10/12</w:t>
            </w:r>
          </w:p>
        </w:tc>
        <w:tc>
          <w:tcPr>
            <w:tcW w:w="1620" w:type="dxa"/>
            <w:shd w:val="clear" w:color="auto" w:fill="FFFFFF" w:themeFill="background1"/>
            <w:vAlign w:val="center"/>
          </w:tcPr>
          <w:p w14:paraId="21B5531D" w14:textId="77777777" w:rsidR="002E3407" w:rsidRPr="00640348" w:rsidRDefault="002E3407" w:rsidP="00EE4E8C">
            <w:pPr>
              <w:jc w:val="center"/>
              <w:rPr>
                <w:sz w:val="20"/>
                <w:szCs w:val="20"/>
              </w:rPr>
            </w:pPr>
            <w:r w:rsidRPr="00640348">
              <w:rPr>
                <w:sz w:val="20"/>
                <w:szCs w:val="20"/>
              </w:rPr>
              <w:t>PR: 76 FR 78879</w:t>
            </w:r>
          </w:p>
          <w:p w14:paraId="44424D16" w14:textId="77777777" w:rsidR="002E3407" w:rsidRPr="00640348" w:rsidRDefault="002E3407" w:rsidP="00EE4E8C">
            <w:pPr>
              <w:jc w:val="center"/>
              <w:rPr>
                <w:sz w:val="20"/>
                <w:szCs w:val="20"/>
              </w:rPr>
            </w:pPr>
            <w:r w:rsidRPr="00640348">
              <w:rPr>
                <w:sz w:val="20"/>
                <w:szCs w:val="20"/>
              </w:rPr>
              <w:t>FR: 77 FR 27374</w:t>
            </w:r>
          </w:p>
        </w:tc>
        <w:tc>
          <w:tcPr>
            <w:tcW w:w="4590" w:type="dxa"/>
            <w:shd w:val="clear" w:color="auto" w:fill="FFFFFF" w:themeFill="background1"/>
          </w:tcPr>
          <w:p w14:paraId="3E941EC2" w14:textId="77777777" w:rsidR="002E3407" w:rsidRPr="00640348" w:rsidDel="000440BF" w:rsidRDefault="002E3407" w:rsidP="00EE4E8C">
            <w:pPr>
              <w:rPr>
                <w:sz w:val="20"/>
                <w:szCs w:val="20"/>
              </w:rPr>
            </w:pPr>
            <w:r>
              <w:rPr>
                <w:sz w:val="20"/>
                <w:szCs w:val="20"/>
              </w:rPr>
              <w:t>-</w:t>
            </w:r>
            <w:r w:rsidRPr="00640348">
              <w:rPr>
                <w:sz w:val="20"/>
                <w:szCs w:val="20"/>
              </w:rPr>
              <w:t>Eliminate</w:t>
            </w:r>
            <w:r>
              <w:rPr>
                <w:sz w:val="20"/>
                <w:szCs w:val="20"/>
              </w:rPr>
              <w:t>d</w:t>
            </w:r>
            <w:r w:rsidRPr="00640348">
              <w:rPr>
                <w:sz w:val="20"/>
                <w:szCs w:val="20"/>
              </w:rPr>
              <w:t xml:space="preserve"> 240 ft harvest prohibition for six deepwater species</w:t>
            </w:r>
            <w:r>
              <w:rPr>
                <w:sz w:val="20"/>
                <w:szCs w:val="20"/>
              </w:rPr>
              <w:t xml:space="preserve"> (snowy grouper, blueline tilefish, yellowedge grouper, queen snapper, silk snapper, misty grouper); </w:t>
            </w:r>
          </w:p>
        </w:tc>
      </w:tr>
      <w:tr w:rsidR="002E3407" w14:paraId="150909C1" w14:textId="77777777" w:rsidTr="00EE4E8C">
        <w:trPr>
          <w:trHeight w:val="719"/>
        </w:trPr>
        <w:tc>
          <w:tcPr>
            <w:tcW w:w="1638" w:type="dxa"/>
            <w:shd w:val="clear" w:color="auto" w:fill="D9D9D9" w:themeFill="background1" w:themeFillShade="D9"/>
            <w:vAlign w:val="center"/>
          </w:tcPr>
          <w:p w14:paraId="0E88993A" w14:textId="77777777" w:rsidR="002E3407" w:rsidRDefault="002E3407" w:rsidP="00EE4E8C">
            <w:pPr>
              <w:jc w:val="center"/>
              <w:rPr>
                <w:sz w:val="20"/>
                <w:szCs w:val="20"/>
              </w:rPr>
            </w:pPr>
            <w:r w:rsidRPr="00640348">
              <w:rPr>
                <w:sz w:val="20"/>
                <w:szCs w:val="20"/>
              </w:rPr>
              <w:t>Amendment #18A</w:t>
            </w:r>
          </w:p>
          <w:p w14:paraId="296AED8F" w14:textId="77777777" w:rsidR="002E3407" w:rsidRDefault="002E3407" w:rsidP="00EE4E8C">
            <w:pPr>
              <w:jc w:val="center"/>
              <w:rPr>
                <w:sz w:val="20"/>
                <w:szCs w:val="20"/>
              </w:rPr>
            </w:pPr>
          </w:p>
          <w:p w14:paraId="0628563A" w14:textId="77777777" w:rsidR="002E3407" w:rsidRPr="00640348" w:rsidRDefault="002E3407" w:rsidP="00EE4E8C">
            <w:pPr>
              <w:jc w:val="center"/>
              <w:rPr>
                <w:sz w:val="20"/>
                <w:szCs w:val="20"/>
              </w:rPr>
            </w:pPr>
            <w:r w:rsidRPr="00640348">
              <w:rPr>
                <w:sz w:val="20"/>
                <w:szCs w:val="20"/>
              </w:rPr>
              <w:t>(</w:t>
            </w:r>
            <w:r>
              <w:rPr>
                <w:sz w:val="20"/>
                <w:szCs w:val="20"/>
              </w:rPr>
              <w:t>2012</w:t>
            </w:r>
            <w:r w:rsidRPr="00640348">
              <w:rPr>
                <w:sz w:val="20"/>
                <w:szCs w:val="20"/>
              </w:rPr>
              <w:t>)</w:t>
            </w:r>
          </w:p>
        </w:tc>
        <w:tc>
          <w:tcPr>
            <w:tcW w:w="1350" w:type="dxa"/>
            <w:shd w:val="clear" w:color="auto" w:fill="D9D9D9" w:themeFill="background1" w:themeFillShade="D9"/>
            <w:vAlign w:val="center"/>
          </w:tcPr>
          <w:p w14:paraId="5480A94A" w14:textId="77777777" w:rsidR="002E3407" w:rsidRPr="00640348" w:rsidRDefault="002E3407" w:rsidP="00EE4E8C">
            <w:pPr>
              <w:jc w:val="center"/>
              <w:rPr>
                <w:sz w:val="20"/>
                <w:szCs w:val="20"/>
              </w:rPr>
            </w:pPr>
            <w:r w:rsidRPr="00640348">
              <w:rPr>
                <w:sz w:val="20"/>
                <w:szCs w:val="20"/>
              </w:rPr>
              <w:t>7/1/12</w:t>
            </w:r>
          </w:p>
        </w:tc>
        <w:tc>
          <w:tcPr>
            <w:tcW w:w="1620" w:type="dxa"/>
            <w:shd w:val="clear" w:color="auto" w:fill="D9D9D9" w:themeFill="background1" w:themeFillShade="D9"/>
            <w:vAlign w:val="center"/>
          </w:tcPr>
          <w:p w14:paraId="66EB5AE4" w14:textId="77777777" w:rsidR="002E3407" w:rsidRPr="00640348" w:rsidRDefault="002E3407" w:rsidP="00EE4E8C">
            <w:pPr>
              <w:rPr>
                <w:sz w:val="20"/>
                <w:szCs w:val="20"/>
              </w:rPr>
            </w:pPr>
            <w:r w:rsidRPr="00640348">
              <w:rPr>
                <w:sz w:val="20"/>
                <w:szCs w:val="20"/>
              </w:rPr>
              <w:t>PR: 77 FR 16991</w:t>
            </w:r>
          </w:p>
          <w:p w14:paraId="6E0AC2F4" w14:textId="77777777" w:rsidR="002E3407" w:rsidRPr="00640348" w:rsidRDefault="002E3407" w:rsidP="00EE4E8C">
            <w:pPr>
              <w:rPr>
                <w:sz w:val="20"/>
                <w:szCs w:val="20"/>
              </w:rPr>
            </w:pPr>
            <w:r w:rsidRPr="00640348">
              <w:rPr>
                <w:sz w:val="20"/>
                <w:szCs w:val="20"/>
              </w:rPr>
              <w:t>FR: 77FR3 2408</w:t>
            </w:r>
          </w:p>
        </w:tc>
        <w:tc>
          <w:tcPr>
            <w:tcW w:w="4590" w:type="dxa"/>
            <w:shd w:val="clear" w:color="auto" w:fill="D9D9D9" w:themeFill="background1" w:themeFillShade="D9"/>
          </w:tcPr>
          <w:p w14:paraId="2DE5FA96" w14:textId="77777777" w:rsidR="002E3407" w:rsidRPr="00640348" w:rsidRDefault="002E3407" w:rsidP="00EE4E8C">
            <w:pPr>
              <w:rPr>
                <w:sz w:val="20"/>
                <w:szCs w:val="20"/>
              </w:rPr>
            </w:pPr>
            <w:r>
              <w:rPr>
                <w:sz w:val="20"/>
                <w:szCs w:val="20"/>
              </w:rPr>
              <w:t>-</w:t>
            </w:r>
            <w:r w:rsidRPr="00640348">
              <w:rPr>
                <w:sz w:val="20"/>
                <w:szCs w:val="20"/>
              </w:rPr>
              <w:t>Limit</w:t>
            </w:r>
            <w:r>
              <w:rPr>
                <w:sz w:val="20"/>
                <w:szCs w:val="20"/>
              </w:rPr>
              <w:t>ed</w:t>
            </w:r>
            <w:r w:rsidRPr="00640348">
              <w:rPr>
                <w:sz w:val="20"/>
                <w:szCs w:val="20"/>
              </w:rPr>
              <w:t xml:space="preserve"> participation and effort in the black sea bass sector</w:t>
            </w:r>
            <w:r>
              <w:rPr>
                <w:sz w:val="20"/>
                <w:szCs w:val="20"/>
              </w:rPr>
              <w:t>;</w:t>
            </w:r>
          </w:p>
          <w:p w14:paraId="6ACB0E5A" w14:textId="77777777" w:rsidR="002E3407" w:rsidRPr="00640348" w:rsidRDefault="002E3407" w:rsidP="00EE4E8C">
            <w:pPr>
              <w:rPr>
                <w:sz w:val="20"/>
                <w:szCs w:val="20"/>
              </w:rPr>
            </w:pPr>
            <w:r>
              <w:rPr>
                <w:sz w:val="20"/>
                <w:szCs w:val="20"/>
              </w:rPr>
              <w:t>-</w:t>
            </w:r>
            <w:r w:rsidRPr="00640348">
              <w:rPr>
                <w:sz w:val="20"/>
                <w:szCs w:val="20"/>
              </w:rPr>
              <w:t>Modifications to management o</w:t>
            </w:r>
            <w:r>
              <w:rPr>
                <w:sz w:val="20"/>
                <w:szCs w:val="20"/>
              </w:rPr>
              <w:t>f the black sea bass pot sector;</w:t>
            </w:r>
          </w:p>
          <w:p w14:paraId="0AF285F0" w14:textId="77777777" w:rsidR="002E3407" w:rsidRPr="00640348" w:rsidRDefault="002E3407" w:rsidP="00EE4E8C">
            <w:pPr>
              <w:rPr>
                <w:sz w:val="20"/>
                <w:szCs w:val="20"/>
              </w:rPr>
            </w:pPr>
            <w:r>
              <w:rPr>
                <w:sz w:val="20"/>
                <w:szCs w:val="20"/>
              </w:rPr>
              <w:t>-</w:t>
            </w:r>
            <w:r w:rsidRPr="00640348">
              <w:rPr>
                <w:sz w:val="20"/>
                <w:szCs w:val="20"/>
              </w:rPr>
              <w:t>Improve</w:t>
            </w:r>
            <w:r>
              <w:rPr>
                <w:sz w:val="20"/>
                <w:szCs w:val="20"/>
              </w:rPr>
              <w:t>d</w:t>
            </w:r>
            <w:r w:rsidRPr="00640348">
              <w:rPr>
                <w:sz w:val="20"/>
                <w:szCs w:val="20"/>
              </w:rPr>
              <w:t xml:space="preserve"> </w:t>
            </w:r>
            <w:r>
              <w:rPr>
                <w:sz w:val="20"/>
                <w:szCs w:val="20"/>
              </w:rPr>
              <w:t>data reporting (</w:t>
            </w:r>
            <w:r w:rsidRPr="00640348">
              <w:rPr>
                <w:sz w:val="20"/>
                <w:szCs w:val="20"/>
              </w:rPr>
              <w:t>accuracy, timing, and quantity o</w:t>
            </w:r>
            <w:r>
              <w:rPr>
                <w:sz w:val="20"/>
                <w:szCs w:val="20"/>
              </w:rPr>
              <w:t>f fisheries statistics).</w:t>
            </w:r>
          </w:p>
        </w:tc>
      </w:tr>
      <w:tr w:rsidR="002E3407" w14:paraId="38CDB4A1" w14:textId="77777777" w:rsidTr="00EE4E8C">
        <w:trPr>
          <w:trHeight w:val="1133"/>
        </w:trPr>
        <w:tc>
          <w:tcPr>
            <w:tcW w:w="1638" w:type="dxa"/>
            <w:shd w:val="clear" w:color="auto" w:fill="D9D9D9" w:themeFill="background1" w:themeFillShade="D9"/>
            <w:vAlign w:val="center"/>
          </w:tcPr>
          <w:p w14:paraId="16C7E21F" w14:textId="77777777" w:rsidR="002E3407" w:rsidRDefault="002E3407" w:rsidP="00EE4E8C">
            <w:pPr>
              <w:jc w:val="center"/>
              <w:rPr>
                <w:sz w:val="20"/>
                <w:szCs w:val="20"/>
              </w:rPr>
            </w:pPr>
            <w:r w:rsidRPr="00640348">
              <w:rPr>
                <w:sz w:val="20"/>
                <w:szCs w:val="20"/>
              </w:rPr>
              <w:t>Amendment #2</w:t>
            </w:r>
            <w:r>
              <w:rPr>
                <w:sz w:val="20"/>
                <w:szCs w:val="20"/>
              </w:rPr>
              <w:t>4</w:t>
            </w:r>
          </w:p>
          <w:p w14:paraId="0D3A6ACC" w14:textId="77777777" w:rsidR="002E3407" w:rsidRDefault="002E3407" w:rsidP="00EE4E8C">
            <w:pPr>
              <w:jc w:val="center"/>
              <w:rPr>
                <w:sz w:val="20"/>
                <w:szCs w:val="20"/>
              </w:rPr>
            </w:pPr>
          </w:p>
          <w:p w14:paraId="151FDC0B" w14:textId="77777777" w:rsidR="002E3407" w:rsidRPr="00640348" w:rsidRDefault="002E3407" w:rsidP="00EE4E8C">
            <w:pPr>
              <w:jc w:val="center"/>
              <w:rPr>
                <w:sz w:val="20"/>
                <w:szCs w:val="20"/>
              </w:rPr>
            </w:pPr>
            <w:r>
              <w:rPr>
                <w:sz w:val="20"/>
                <w:szCs w:val="20"/>
              </w:rPr>
              <w:t>(2011</w:t>
            </w:r>
            <w:r w:rsidRPr="00640348">
              <w:rPr>
                <w:sz w:val="20"/>
                <w:szCs w:val="20"/>
              </w:rPr>
              <w:t>)</w:t>
            </w:r>
          </w:p>
        </w:tc>
        <w:tc>
          <w:tcPr>
            <w:tcW w:w="1350" w:type="dxa"/>
            <w:shd w:val="clear" w:color="auto" w:fill="D9D9D9" w:themeFill="background1" w:themeFillShade="D9"/>
            <w:vAlign w:val="center"/>
          </w:tcPr>
          <w:p w14:paraId="024953DD" w14:textId="77777777" w:rsidR="002E3407" w:rsidRPr="00640348" w:rsidRDefault="002E3407" w:rsidP="00EE4E8C">
            <w:pPr>
              <w:jc w:val="center"/>
              <w:rPr>
                <w:sz w:val="20"/>
                <w:szCs w:val="20"/>
              </w:rPr>
            </w:pPr>
            <w:r w:rsidRPr="00640348">
              <w:rPr>
                <w:sz w:val="20"/>
                <w:szCs w:val="20"/>
              </w:rPr>
              <w:t>7/11/12</w:t>
            </w:r>
          </w:p>
        </w:tc>
        <w:tc>
          <w:tcPr>
            <w:tcW w:w="1620" w:type="dxa"/>
            <w:shd w:val="clear" w:color="auto" w:fill="D9D9D9" w:themeFill="background1" w:themeFillShade="D9"/>
            <w:vAlign w:val="center"/>
          </w:tcPr>
          <w:p w14:paraId="5222EBCC" w14:textId="77777777" w:rsidR="002E3407" w:rsidRPr="00640348" w:rsidRDefault="002E3407" w:rsidP="00EE4E8C">
            <w:pPr>
              <w:rPr>
                <w:sz w:val="20"/>
                <w:szCs w:val="20"/>
              </w:rPr>
            </w:pPr>
            <w:r w:rsidRPr="00640348">
              <w:rPr>
                <w:sz w:val="20"/>
                <w:szCs w:val="20"/>
              </w:rPr>
              <w:t>PR: 77 FR 19169</w:t>
            </w:r>
          </w:p>
          <w:p w14:paraId="20BCD8E4" w14:textId="77777777" w:rsidR="002E3407" w:rsidRPr="00640348" w:rsidRDefault="002E3407" w:rsidP="00EE4E8C">
            <w:pPr>
              <w:rPr>
                <w:sz w:val="20"/>
                <w:szCs w:val="20"/>
              </w:rPr>
            </w:pPr>
            <w:r w:rsidRPr="00640348">
              <w:rPr>
                <w:sz w:val="20"/>
                <w:szCs w:val="20"/>
              </w:rPr>
              <w:t>FR: 77 FR 34254</w:t>
            </w:r>
          </w:p>
        </w:tc>
        <w:tc>
          <w:tcPr>
            <w:tcW w:w="4590" w:type="dxa"/>
            <w:shd w:val="clear" w:color="auto" w:fill="D9D9D9" w:themeFill="background1" w:themeFillShade="D9"/>
          </w:tcPr>
          <w:p w14:paraId="07D95CE7" w14:textId="77777777" w:rsidR="002E3407" w:rsidRPr="00640348" w:rsidRDefault="002E3407" w:rsidP="00EE4E8C">
            <w:pPr>
              <w:rPr>
                <w:sz w:val="20"/>
                <w:szCs w:val="20"/>
              </w:rPr>
            </w:pPr>
            <w:r w:rsidRPr="00640348">
              <w:rPr>
                <w:sz w:val="20"/>
                <w:szCs w:val="20"/>
              </w:rPr>
              <w:t>-</w:t>
            </w:r>
            <w:r>
              <w:rPr>
                <w:sz w:val="20"/>
                <w:szCs w:val="20"/>
              </w:rPr>
              <w:t>Rebuilding</w:t>
            </w:r>
            <w:r w:rsidRPr="00640348">
              <w:rPr>
                <w:sz w:val="20"/>
                <w:szCs w:val="20"/>
              </w:rPr>
              <w:t xml:space="preserve"> plan (including </w:t>
            </w:r>
            <w:r>
              <w:rPr>
                <w:sz w:val="20"/>
                <w:szCs w:val="20"/>
              </w:rPr>
              <w:t xml:space="preserve">MSY, </w:t>
            </w:r>
            <w:r w:rsidRPr="00640348">
              <w:rPr>
                <w:sz w:val="20"/>
                <w:szCs w:val="20"/>
              </w:rPr>
              <w:t>ACLs, AMs, and</w:t>
            </w:r>
            <w:r>
              <w:rPr>
                <w:sz w:val="20"/>
                <w:szCs w:val="20"/>
              </w:rPr>
              <w:t xml:space="preserve"> OY</w:t>
            </w:r>
            <w:r w:rsidRPr="00640348">
              <w:rPr>
                <w:sz w:val="20"/>
                <w:szCs w:val="20"/>
              </w:rPr>
              <w:t>, and allocations</w:t>
            </w:r>
            <w:r>
              <w:rPr>
                <w:sz w:val="20"/>
                <w:szCs w:val="20"/>
              </w:rPr>
              <w:t>)</w:t>
            </w:r>
            <w:r w:rsidRPr="00640348">
              <w:rPr>
                <w:sz w:val="20"/>
                <w:szCs w:val="20"/>
              </w:rPr>
              <w:t xml:space="preserve"> for red grouper</w:t>
            </w:r>
            <w:r>
              <w:rPr>
                <w:sz w:val="20"/>
                <w:szCs w:val="20"/>
              </w:rPr>
              <w:t>.</w:t>
            </w:r>
          </w:p>
        </w:tc>
      </w:tr>
      <w:tr w:rsidR="002E3407" w14:paraId="502E989F" w14:textId="77777777" w:rsidTr="00EE4E8C">
        <w:trPr>
          <w:trHeight w:val="908"/>
        </w:trPr>
        <w:tc>
          <w:tcPr>
            <w:tcW w:w="1638" w:type="dxa"/>
            <w:vAlign w:val="center"/>
          </w:tcPr>
          <w:p w14:paraId="46974C7F" w14:textId="77777777" w:rsidR="002E3407" w:rsidRDefault="002E3407" w:rsidP="00EE4E8C">
            <w:pPr>
              <w:jc w:val="center"/>
              <w:rPr>
                <w:sz w:val="20"/>
                <w:szCs w:val="20"/>
              </w:rPr>
            </w:pPr>
            <w:r w:rsidRPr="00640348">
              <w:rPr>
                <w:sz w:val="20"/>
                <w:szCs w:val="20"/>
              </w:rPr>
              <w:lastRenderedPageBreak/>
              <w:t>Regul</w:t>
            </w:r>
            <w:r>
              <w:rPr>
                <w:sz w:val="20"/>
                <w:szCs w:val="20"/>
              </w:rPr>
              <w:t>atory Amendment #12</w:t>
            </w:r>
          </w:p>
          <w:p w14:paraId="355E6CF8" w14:textId="77777777" w:rsidR="002E3407" w:rsidRDefault="002E3407" w:rsidP="00EE4E8C">
            <w:pPr>
              <w:jc w:val="center"/>
              <w:rPr>
                <w:sz w:val="20"/>
                <w:szCs w:val="20"/>
              </w:rPr>
            </w:pPr>
          </w:p>
          <w:p w14:paraId="02872EDA" w14:textId="77777777" w:rsidR="002E3407" w:rsidRPr="00640348" w:rsidRDefault="002E3407" w:rsidP="00EE4E8C">
            <w:pPr>
              <w:jc w:val="center"/>
              <w:rPr>
                <w:sz w:val="20"/>
                <w:szCs w:val="20"/>
              </w:rPr>
            </w:pPr>
            <w:r>
              <w:rPr>
                <w:sz w:val="20"/>
                <w:szCs w:val="20"/>
              </w:rPr>
              <w:t>(2012</w:t>
            </w:r>
            <w:r w:rsidRPr="00640348">
              <w:rPr>
                <w:sz w:val="20"/>
                <w:szCs w:val="20"/>
              </w:rPr>
              <w:t>)</w:t>
            </w:r>
          </w:p>
        </w:tc>
        <w:tc>
          <w:tcPr>
            <w:tcW w:w="1350" w:type="dxa"/>
            <w:shd w:val="clear" w:color="auto" w:fill="auto"/>
            <w:vAlign w:val="center"/>
          </w:tcPr>
          <w:p w14:paraId="171D22FC" w14:textId="77777777" w:rsidR="002E3407" w:rsidRPr="00640348" w:rsidRDefault="002E3407" w:rsidP="00EE4E8C">
            <w:pPr>
              <w:jc w:val="center"/>
              <w:rPr>
                <w:sz w:val="20"/>
                <w:szCs w:val="20"/>
              </w:rPr>
            </w:pPr>
            <w:r w:rsidRPr="00640348">
              <w:rPr>
                <w:sz w:val="20"/>
                <w:szCs w:val="20"/>
              </w:rPr>
              <w:t>10/9/12</w:t>
            </w:r>
          </w:p>
        </w:tc>
        <w:tc>
          <w:tcPr>
            <w:tcW w:w="1620" w:type="dxa"/>
            <w:shd w:val="clear" w:color="auto" w:fill="auto"/>
            <w:vAlign w:val="center"/>
          </w:tcPr>
          <w:p w14:paraId="53D3E375" w14:textId="77777777" w:rsidR="002E3407" w:rsidRDefault="002E3407" w:rsidP="00EE4E8C">
            <w:pPr>
              <w:rPr>
                <w:sz w:val="20"/>
                <w:szCs w:val="20"/>
              </w:rPr>
            </w:pPr>
            <w:r>
              <w:rPr>
                <w:sz w:val="20"/>
                <w:szCs w:val="20"/>
              </w:rPr>
              <w:t>PR: 77 FR 42688</w:t>
            </w:r>
          </w:p>
          <w:p w14:paraId="02C9DC0B" w14:textId="77777777" w:rsidR="002E3407" w:rsidRPr="00640348" w:rsidRDefault="002E3407" w:rsidP="00EE4E8C">
            <w:pPr>
              <w:rPr>
                <w:sz w:val="20"/>
                <w:szCs w:val="20"/>
              </w:rPr>
            </w:pPr>
            <w:r w:rsidRPr="00640348">
              <w:rPr>
                <w:sz w:val="20"/>
                <w:szCs w:val="20"/>
              </w:rPr>
              <w:t>FR: 77 FR 61295</w:t>
            </w:r>
          </w:p>
        </w:tc>
        <w:tc>
          <w:tcPr>
            <w:tcW w:w="4590" w:type="dxa"/>
            <w:shd w:val="clear" w:color="auto" w:fill="auto"/>
          </w:tcPr>
          <w:p w14:paraId="150B51FD" w14:textId="77777777" w:rsidR="002E3407" w:rsidRPr="00640348" w:rsidRDefault="002E3407" w:rsidP="00EE4E8C">
            <w:pPr>
              <w:rPr>
                <w:sz w:val="20"/>
                <w:szCs w:val="20"/>
              </w:rPr>
            </w:pPr>
            <w:r w:rsidRPr="00640348">
              <w:rPr>
                <w:sz w:val="20"/>
                <w:szCs w:val="20"/>
              </w:rPr>
              <w:t>-</w:t>
            </w:r>
            <w:r>
              <w:rPr>
                <w:sz w:val="20"/>
                <w:szCs w:val="20"/>
              </w:rPr>
              <w:t>Revised</w:t>
            </w:r>
            <w:r w:rsidRPr="00640348">
              <w:rPr>
                <w:sz w:val="20"/>
                <w:szCs w:val="20"/>
              </w:rPr>
              <w:t xml:space="preserve"> the ACL and OY for golden tilefish</w:t>
            </w:r>
            <w:r>
              <w:rPr>
                <w:sz w:val="20"/>
                <w:szCs w:val="20"/>
              </w:rPr>
              <w:t>;</w:t>
            </w:r>
          </w:p>
          <w:p w14:paraId="6E550F08" w14:textId="77777777" w:rsidR="002E3407" w:rsidRPr="00640348" w:rsidRDefault="002E3407" w:rsidP="00EE4E8C">
            <w:pPr>
              <w:rPr>
                <w:sz w:val="20"/>
                <w:szCs w:val="20"/>
              </w:rPr>
            </w:pPr>
            <w:r w:rsidRPr="00640348">
              <w:rPr>
                <w:sz w:val="20"/>
                <w:szCs w:val="20"/>
              </w:rPr>
              <w:t>-Revise</w:t>
            </w:r>
            <w:r>
              <w:rPr>
                <w:sz w:val="20"/>
                <w:szCs w:val="20"/>
              </w:rPr>
              <w:t>d</w:t>
            </w:r>
            <w:r w:rsidRPr="00640348">
              <w:rPr>
                <w:sz w:val="20"/>
                <w:szCs w:val="20"/>
              </w:rPr>
              <w:t xml:space="preserve"> recre</w:t>
            </w:r>
            <w:r>
              <w:rPr>
                <w:sz w:val="20"/>
                <w:szCs w:val="20"/>
              </w:rPr>
              <w:t>ational AMs for golden tilefish;</w:t>
            </w:r>
          </w:p>
        </w:tc>
      </w:tr>
      <w:tr w:rsidR="002E3407" w14:paraId="75FD95A6" w14:textId="77777777" w:rsidTr="00EE4E8C">
        <w:trPr>
          <w:trHeight w:val="1421"/>
        </w:trPr>
        <w:tc>
          <w:tcPr>
            <w:tcW w:w="1638" w:type="dxa"/>
            <w:shd w:val="clear" w:color="auto" w:fill="D9D9D9" w:themeFill="background1" w:themeFillShade="D9"/>
            <w:vAlign w:val="center"/>
          </w:tcPr>
          <w:p w14:paraId="26A1E933" w14:textId="77777777" w:rsidR="002E3407" w:rsidRDefault="002E3407" w:rsidP="00EE4E8C">
            <w:pPr>
              <w:jc w:val="center"/>
              <w:rPr>
                <w:sz w:val="20"/>
                <w:szCs w:val="20"/>
              </w:rPr>
            </w:pPr>
            <w:r>
              <w:rPr>
                <w:sz w:val="20"/>
                <w:szCs w:val="20"/>
              </w:rPr>
              <w:t>Amendment #20A</w:t>
            </w:r>
          </w:p>
          <w:p w14:paraId="2C7C1069" w14:textId="77777777" w:rsidR="002E3407" w:rsidRDefault="002E3407" w:rsidP="00EE4E8C">
            <w:pPr>
              <w:jc w:val="center"/>
              <w:rPr>
                <w:sz w:val="20"/>
                <w:szCs w:val="20"/>
              </w:rPr>
            </w:pPr>
          </w:p>
          <w:p w14:paraId="2E8E5F8B" w14:textId="77777777" w:rsidR="002E3407" w:rsidRPr="00640348" w:rsidRDefault="002E3407" w:rsidP="00EE4E8C">
            <w:pPr>
              <w:jc w:val="center"/>
              <w:rPr>
                <w:sz w:val="20"/>
                <w:szCs w:val="20"/>
              </w:rPr>
            </w:pPr>
            <w:r>
              <w:rPr>
                <w:sz w:val="20"/>
                <w:szCs w:val="20"/>
              </w:rPr>
              <w:t>(2012</w:t>
            </w:r>
            <w:r w:rsidRPr="00640348">
              <w:rPr>
                <w:sz w:val="20"/>
                <w:szCs w:val="20"/>
              </w:rPr>
              <w:t>)</w:t>
            </w:r>
          </w:p>
        </w:tc>
        <w:tc>
          <w:tcPr>
            <w:tcW w:w="1350" w:type="dxa"/>
            <w:shd w:val="clear" w:color="auto" w:fill="D9D9D9" w:themeFill="background1" w:themeFillShade="D9"/>
            <w:vAlign w:val="center"/>
          </w:tcPr>
          <w:p w14:paraId="26F41158" w14:textId="77777777" w:rsidR="002E3407" w:rsidRPr="00640348" w:rsidRDefault="002E3407" w:rsidP="00EE4E8C">
            <w:pPr>
              <w:jc w:val="center"/>
              <w:rPr>
                <w:sz w:val="20"/>
                <w:szCs w:val="20"/>
              </w:rPr>
            </w:pPr>
            <w:r w:rsidRPr="00640348">
              <w:rPr>
                <w:sz w:val="20"/>
                <w:szCs w:val="20"/>
              </w:rPr>
              <w:t>10/26/12</w:t>
            </w:r>
          </w:p>
        </w:tc>
        <w:tc>
          <w:tcPr>
            <w:tcW w:w="1620" w:type="dxa"/>
            <w:shd w:val="clear" w:color="auto" w:fill="D9D9D9" w:themeFill="background1" w:themeFillShade="D9"/>
            <w:vAlign w:val="center"/>
          </w:tcPr>
          <w:p w14:paraId="7C4A1922" w14:textId="77777777" w:rsidR="002E3407" w:rsidRPr="00640348" w:rsidRDefault="002E3407" w:rsidP="00EE4E8C">
            <w:pPr>
              <w:rPr>
                <w:sz w:val="20"/>
                <w:szCs w:val="20"/>
              </w:rPr>
            </w:pPr>
            <w:r w:rsidRPr="00640348">
              <w:rPr>
                <w:sz w:val="20"/>
                <w:szCs w:val="20"/>
              </w:rPr>
              <w:t>PR: 77 FR 19165</w:t>
            </w:r>
          </w:p>
          <w:p w14:paraId="41B32816" w14:textId="77777777" w:rsidR="002E3407" w:rsidRPr="00640348" w:rsidRDefault="002E3407" w:rsidP="00EE4E8C">
            <w:pPr>
              <w:rPr>
                <w:sz w:val="20"/>
                <w:szCs w:val="20"/>
              </w:rPr>
            </w:pPr>
            <w:r w:rsidRPr="00640348">
              <w:rPr>
                <w:sz w:val="20"/>
                <w:szCs w:val="20"/>
              </w:rPr>
              <w:t>FR: 77 FR 59129</w:t>
            </w:r>
          </w:p>
        </w:tc>
        <w:tc>
          <w:tcPr>
            <w:tcW w:w="4590" w:type="dxa"/>
            <w:shd w:val="clear" w:color="auto" w:fill="D9D9D9" w:themeFill="background1" w:themeFillShade="D9"/>
          </w:tcPr>
          <w:p w14:paraId="11159BDA" w14:textId="77777777" w:rsidR="002E3407" w:rsidRDefault="002E3407" w:rsidP="00EE4E8C">
            <w:pPr>
              <w:rPr>
                <w:sz w:val="20"/>
                <w:szCs w:val="20"/>
              </w:rPr>
            </w:pPr>
            <w:r w:rsidRPr="00640348">
              <w:rPr>
                <w:sz w:val="20"/>
                <w:szCs w:val="20"/>
              </w:rPr>
              <w:t>-</w:t>
            </w:r>
            <w:r>
              <w:rPr>
                <w:sz w:val="20"/>
                <w:szCs w:val="20"/>
              </w:rPr>
              <w:t xml:space="preserve"> Individual transfer quota (</w:t>
            </w:r>
            <w:r w:rsidRPr="00640348">
              <w:rPr>
                <w:sz w:val="20"/>
                <w:szCs w:val="20"/>
              </w:rPr>
              <w:t>ITQ</w:t>
            </w:r>
            <w:r>
              <w:rPr>
                <w:sz w:val="20"/>
                <w:szCs w:val="20"/>
              </w:rPr>
              <w:t>)</w:t>
            </w:r>
            <w:r w:rsidRPr="00640348">
              <w:rPr>
                <w:sz w:val="20"/>
                <w:szCs w:val="20"/>
              </w:rPr>
              <w:t xml:space="preserve"> program</w:t>
            </w:r>
            <w:r>
              <w:rPr>
                <w:sz w:val="20"/>
                <w:szCs w:val="20"/>
              </w:rPr>
              <w:t xml:space="preserve"> for wreckfish:</w:t>
            </w:r>
          </w:p>
          <w:p w14:paraId="0508B518" w14:textId="77777777" w:rsidR="002E3407" w:rsidRDefault="002E3407" w:rsidP="00EE4E8C">
            <w:pPr>
              <w:rPr>
                <w:sz w:val="20"/>
                <w:szCs w:val="20"/>
              </w:rPr>
            </w:pPr>
            <w:r>
              <w:rPr>
                <w:sz w:val="20"/>
                <w:szCs w:val="20"/>
              </w:rPr>
              <w:t>-Defined and reverted inactive shares;</w:t>
            </w:r>
          </w:p>
          <w:p w14:paraId="3A18045B" w14:textId="77777777" w:rsidR="002E3407" w:rsidRDefault="002E3407" w:rsidP="00EE4E8C">
            <w:pPr>
              <w:rPr>
                <w:sz w:val="20"/>
                <w:szCs w:val="20"/>
              </w:rPr>
            </w:pPr>
            <w:r>
              <w:rPr>
                <w:sz w:val="20"/>
                <w:szCs w:val="20"/>
              </w:rPr>
              <w:t>-</w:t>
            </w:r>
            <w:r w:rsidRPr="00640348">
              <w:rPr>
                <w:sz w:val="20"/>
                <w:szCs w:val="20"/>
              </w:rPr>
              <w:t>Redistribute</w:t>
            </w:r>
            <w:r>
              <w:rPr>
                <w:sz w:val="20"/>
                <w:szCs w:val="20"/>
              </w:rPr>
              <w:t>d</w:t>
            </w:r>
            <w:r w:rsidRPr="00640348">
              <w:rPr>
                <w:sz w:val="20"/>
                <w:szCs w:val="20"/>
              </w:rPr>
              <w:t xml:space="preserve"> </w:t>
            </w:r>
            <w:r>
              <w:rPr>
                <w:sz w:val="20"/>
                <w:szCs w:val="20"/>
              </w:rPr>
              <w:t>reverted shares;</w:t>
            </w:r>
          </w:p>
          <w:p w14:paraId="466BD819" w14:textId="77777777" w:rsidR="002E3407" w:rsidRDefault="002E3407" w:rsidP="00EE4E8C">
            <w:pPr>
              <w:rPr>
                <w:sz w:val="20"/>
                <w:szCs w:val="20"/>
              </w:rPr>
            </w:pPr>
            <w:r>
              <w:rPr>
                <w:sz w:val="20"/>
                <w:szCs w:val="20"/>
              </w:rPr>
              <w:t>-Established a share cap;</w:t>
            </w:r>
          </w:p>
          <w:p w14:paraId="324E0409" w14:textId="77777777" w:rsidR="002E3407" w:rsidRPr="00640348" w:rsidRDefault="002E3407" w:rsidP="00EE4E8C">
            <w:pPr>
              <w:rPr>
                <w:sz w:val="20"/>
                <w:szCs w:val="20"/>
              </w:rPr>
            </w:pPr>
            <w:r>
              <w:rPr>
                <w:sz w:val="20"/>
                <w:szCs w:val="20"/>
              </w:rPr>
              <w:t>-Established an appeals process.</w:t>
            </w:r>
          </w:p>
        </w:tc>
      </w:tr>
      <w:tr w:rsidR="002E3407" w14:paraId="57914245" w14:textId="77777777" w:rsidTr="00EE4E8C">
        <w:trPr>
          <w:trHeight w:val="1565"/>
        </w:trPr>
        <w:tc>
          <w:tcPr>
            <w:tcW w:w="1638" w:type="dxa"/>
            <w:shd w:val="clear" w:color="auto" w:fill="D9D9D9" w:themeFill="background1" w:themeFillShade="D9"/>
            <w:vAlign w:val="center"/>
          </w:tcPr>
          <w:p w14:paraId="1C62ECFB" w14:textId="77777777" w:rsidR="002E3407" w:rsidRDefault="002E3407" w:rsidP="00EE4E8C">
            <w:pPr>
              <w:jc w:val="center"/>
              <w:rPr>
                <w:sz w:val="20"/>
                <w:szCs w:val="20"/>
              </w:rPr>
            </w:pPr>
            <w:r w:rsidRPr="00640348">
              <w:rPr>
                <w:sz w:val="20"/>
                <w:szCs w:val="20"/>
              </w:rPr>
              <w:t>Amendment #18B</w:t>
            </w:r>
          </w:p>
          <w:p w14:paraId="1A2A0D69" w14:textId="77777777" w:rsidR="002E3407" w:rsidRPr="00640348" w:rsidRDefault="002E3407" w:rsidP="00EE4E8C">
            <w:pPr>
              <w:jc w:val="center"/>
              <w:rPr>
                <w:sz w:val="20"/>
                <w:szCs w:val="20"/>
              </w:rPr>
            </w:pPr>
          </w:p>
          <w:p w14:paraId="5A513FC6" w14:textId="77777777" w:rsidR="002E3407" w:rsidRPr="00640348" w:rsidRDefault="002E3407" w:rsidP="00EE4E8C">
            <w:pPr>
              <w:jc w:val="center"/>
              <w:rPr>
                <w:sz w:val="20"/>
                <w:szCs w:val="20"/>
              </w:rPr>
            </w:pPr>
            <w:r>
              <w:rPr>
                <w:sz w:val="20"/>
                <w:szCs w:val="20"/>
              </w:rPr>
              <w:t>(2013</w:t>
            </w:r>
            <w:r w:rsidRPr="00640348">
              <w:rPr>
                <w:sz w:val="20"/>
                <w:szCs w:val="20"/>
              </w:rPr>
              <w:t>)</w:t>
            </w:r>
          </w:p>
        </w:tc>
        <w:tc>
          <w:tcPr>
            <w:tcW w:w="1350" w:type="dxa"/>
            <w:shd w:val="clear" w:color="auto" w:fill="D9D9D9" w:themeFill="background1" w:themeFillShade="D9"/>
            <w:vAlign w:val="center"/>
          </w:tcPr>
          <w:p w14:paraId="7A086578" w14:textId="77777777" w:rsidR="002E3407" w:rsidRPr="00640348" w:rsidRDefault="002E3407" w:rsidP="00EE4E8C">
            <w:pPr>
              <w:jc w:val="center"/>
              <w:rPr>
                <w:sz w:val="20"/>
                <w:szCs w:val="20"/>
              </w:rPr>
            </w:pPr>
            <w:r w:rsidRPr="00640348">
              <w:rPr>
                <w:sz w:val="20"/>
                <w:szCs w:val="20"/>
              </w:rPr>
              <w:t>5/23/13</w:t>
            </w:r>
          </w:p>
        </w:tc>
        <w:tc>
          <w:tcPr>
            <w:tcW w:w="1620" w:type="dxa"/>
            <w:shd w:val="clear" w:color="auto" w:fill="D9D9D9" w:themeFill="background1" w:themeFillShade="D9"/>
            <w:vAlign w:val="center"/>
          </w:tcPr>
          <w:p w14:paraId="2F29A4EE" w14:textId="77777777" w:rsidR="002E3407" w:rsidRPr="00640348" w:rsidRDefault="002E3407" w:rsidP="00EE4E8C">
            <w:pPr>
              <w:jc w:val="center"/>
              <w:rPr>
                <w:sz w:val="20"/>
                <w:szCs w:val="20"/>
              </w:rPr>
            </w:pPr>
            <w:r w:rsidRPr="00640348">
              <w:rPr>
                <w:sz w:val="20"/>
                <w:szCs w:val="20"/>
              </w:rPr>
              <w:t>PR: 77 FR 75093</w:t>
            </w:r>
          </w:p>
          <w:p w14:paraId="6BA90D82" w14:textId="77777777" w:rsidR="002E3407" w:rsidRPr="00640348" w:rsidRDefault="002E3407" w:rsidP="00EE4E8C">
            <w:pPr>
              <w:jc w:val="center"/>
              <w:rPr>
                <w:sz w:val="20"/>
                <w:szCs w:val="20"/>
              </w:rPr>
            </w:pPr>
            <w:r w:rsidRPr="00640348">
              <w:rPr>
                <w:sz w:val="20"/>
                <w:szCs w:val="20"/>
              </w:rPr>
              <w:t>FR: 77 FR 23858</w:t>
            </w:r>
          </w:p>
        </w:tc>
        <w:tc>
          <w:tcPr>
            <w:tcW w:w="4590" w:type="dxa"/>
            <w:shd w:val="clear" w:color="auto" w:fill="D9D9D9" w:themeFill="background1" w:themeFillShade="D9"/>
          </w:tcPr>
          <w:p w14:paraId="4F782644" w14:textId="77777777" w:rsidR="002E3407" w:rsidRDefault="002E3407" w:rsidP="00EE4E8C">
            <w:pPr>
              <w:rPr>
                <w:sz w:val="20"/>
                <w:szCs w:val="20"/>
              </w:rPr>
            </w:pPr>
            <w:r>
              <w:rPr>
                <w:sz w:val="20"/>
                <w:szCs w:val="20"/>
              </w:rPr>
              <w:t>For Golden Tilefish:</w:t>
            </w:r>
          </w:p>
          <w:p w14:paraId="4F60EA39" w14:textId="77777777" w:rsidR="002E3407" w:rsidRDefault="002E3407" w:rsidP="00EE4E8C">
            <w:pPr>
              <w:rPr>
                <w:sz w:val="20"/>
                <w:szCs w:val="20"/>
              </w:rPr>
            </w:pPr>
            <w:r>
              <w:rPr>
                <w:sz w:val="20"/>
                <w:szCs w:val="20"/>
              </w:rPr>
              <w:t>-</w:t>
            </w:r>
            <w:r w:rsidRPr="00640348">
              <w:rPr>
                <w:sz w:val="20"/>
                <w:szCs w:val="20"/>
              </w:rPr>
              <w:t>Limit</w:t>
            </w:r>
            <w:r>
              <w:rPr>
                <w:sz w:val="20"/>
                <w:szCs w:val="20"/>
              </w:rPr>
              <w:t>ed</w:t>
            </w:r>
            <w:r w:rsidRPr="00640348">
              <w:rPr>
                <w:sz w:val="20"/>
                <w:szCs w:val="20"/>
              </w:rPr>
              <w:t xml:space="preserve"> participation and effort in the commercial sector through establishment of a longline endorsement</w:t>
            </w:r>
            <w:r>
              <w:rPr>
                <w:sz w:val="20"/>
                <w:szCs w:val="20"/>
              </w:rPr>
              <w:t>;</w:t>
            </w:r>
          </w:p>
          <w:p w14:paraId="54067FA5" w14:textId="77777777" w:rsidR="002E3407" w:rsidRDefault="002E3407" w:rsidP="00EE4E8C">
            <w:pPr>
              <w:rPr>
                <w:sz w:val="20"/>
                <w:szCs w:val="20"/>
              </w:rPr>
            </w:pPr>
            <w:r>
              <w:rPr>
                <w:sz w:val="20"/>
                <w:szCs w:val="20"/>
              </w:rPr>
              <w:t>-Established eligibility requirements and allowed transferability of longline endorsement;</w:t>
            </w:r>
          </w:p>
          <w:p w14:paraId="185BCF36" w14:textId="77777777" w:rsidR="002E3407" w:rsidRPr="00640348" w:rsidRDefault="002E3407" w:rsidP="00EE4E8C">
            <w:pPr>
              <w:rPr>
                <w:sz w:val="20"/>
                <w:szCs w:val="20"/>
              </w:rPr>
            </w:pPr>
            <w:r>
              <w:rPr>
                <w:sz w:val="20"/>
                <w:szCs w:val="20"/>
              </w:rPr>
              <w:t>-Established an appeals process;</w:t>
            </w:r>
          </w:p>
          <w:p w14:paraId="1528FE2C" w14:textId="77777777" w:rsidR="002E3407" w:rsidRPr="00640348" w:rsidRDefault="002E3407" w:rsidP="00EE4E8C">
            <w:pPr>
              <w:rPr>
                <w:sz w:val="20"/>
                <w:szCs w:val="20"/>
              </w:rPr>
            </w:pPr>
            <w:r w:rsidRPr="00640348">
              <w:rPr>
                <w:sz w:val="20"/>
                <w:szCs w:val="20"/>
              </w:rPr>
              <w:t>-Modif</w:t>
            </w:r>
            <w:r>
              <w:rPr>
                <w:sz w:val="20"/>
                <w:szCs w:val="20"/>
              </w:rPr>
              <w:t>ied</w:t>
            </w:r>
            <w:r w:rsidRPr="00640348">
              <w:rPr>
                <w:sz w:val="20"/>
                <w:szCs w:val="20"/>
              </w:rPr>
              <w:t xml:space="preserve"> trip limits</w:t>
            </w:r>
            <w:r>
              <w:rPr>
                <w:sz w:val="20"/>
                <w:szCs w:val="20"/>
              </w:rPr>
              <w:t>;</w:t>
            </w:r>
          </w:p>
          <w:p w14:paraId="60AB9042" w14:textId="77777777" w:rsidR="002E3407" w:rsidRDefault="002E3407" w:rsidP="00EE4E8C">
            <w:pPr>
              <w:rPr>
                <w:sz w:val="20"/>
                <w:szCs w:val="20"/>
              </w:rPr>
            </w:pPr>
            <w:r>
              <w:rPr>
                <w:sz w:val="20"/>
                <w:szCs w:val="20"/>
              </w:rPr>
              <w:t xml:space="preserve">-Specified allocations ACLs </w:t>
            </w:r>
            <w:r w:rsidRPr="00640348">
              <w:rPr>
                <w:sz w:val="20"/>
                <w:szCs w:val="20"/>
              </w:rPr>
              <w:t>for gear groups (longline and hook and line)</w:t>
            </w:r>
            <w:r>
              <w:rPr>
                <w:sz w:val="20"/>
                <w:szCs w:val="20"/>
              </w:rPr>
              <w:t>;</w:t>
            </w:r>
          </w:p>
          <w:p w14:paraId="30CA2F9C" w14:textId="77777777" w:rsidR="002E3407" w:rsidRPr="00640348" w:rsidRDefault="002E3407" w:rsidP="00EE4E8C">
            <w:pPr>
              <w:rPr>
                <w:sz w:val="20"/>
                <w:szCs w:val="20"/>
              </w:rPr>
            </w:pPr>
            <w:r>
              <w:rPr>
                <w:sz w:val="20"/>
                <w:szCs w:val="20"/>
              </w:rPr>
              <w:t>-Adjusted the fishing year.</w:t>
            </w:r>
          </w:p>
        </w:tc>
      </w:tr>
      <w:tr w:rsidR="002E3407" w14:paraId="599C12EF" w14:textId="77777777" w:rsidTr="00EE4E8C">
        <w:trPr>
          <w:trHeight w:val="1160"/>
        </w:trPr>
        <w:tc>
          <w:tcPr>
            <w:tcW w:w="1638" w:type="dxa"/>
            <w:vAlign w:val="center"/>
          </w:tcPr>
          <w:p w14:paraId="7AA83FA8" w14:textId="77777777" w:rsidR="002E3407" w:rsidRDefault="002E3407" w:rsidP="00EE4E8C">
            <w:pPr>
              <w:jc w:val="center"/>
              <w:rPr>
                <w:sz w:val="20"/>
                <w:szCs w:val="20"/>
              </w:rPr>
            </w:pPr>
            <w:r w:rsidRPr="00640348">
              <w:rPr>
                <w:sz w:val="20"/>
                <w:szCs w:val="20"/>
              </w:rPr>
              <w:t>Regul</w:t>
            </w:r>
            <w:r>
              <w:rPr>
                <w:sz w:val="20"/>
                <w:szCs w:val="20"/>
              </w:rPr>
              <w:t>atory Amendment #13</w:t>
            </w:r>
          </w:p>
          <w:p w14:paraId="239F1422" w14:textId="77777777" w:rsidR="002E3407" w:rsidRDefault="002E3407" w:rsidP="00EE4E8C">
            <w:pPr>
              <w:jc w:val="center"/>
              <w:rPr>
                <w:sz w:val="20"/>
                <w:szCs w:val="20"/>
              </w:rPr>
            </w:pPr>
          </w:p>
          <w:p w14:paraId="28D418D2" w14:textId="77777777" w:rsidR="002E3407" w:rsidRPr="00640348" w:rsidRDefault="002E3407" w:rsidP="00EE4E8C">
            <w:pPr>
              <w:jc w:val="center"/>
              <w:rPr>
                <w:sz w:val="20"/>
                <w:szCs w:val="20"/>
              </w:rPr>
            </w:pPr>
            <w:r>
              <w:rPr>
                <w:sz w:val="20"/>
                <w:szCs w:val="20"/>
              </w:rPr>
              <w:t>(2013</w:t>
            </w:r>
            <w:r w:rsidRPr="00640348">
              <w:rPr>
                <w:sz w:val="20"/>
                <w:szCs w:val="20"/>
              </w:rPr>
              <w:t>)</w:t>
            </w:r>
          </w:p>
        </w:tc>
        <w:tc>
          <w:tcPr>
            <w:tcW w:w="1350" w:type="dxa"/>
            <w:shd w:val="clear" w:color="auto" w:fill="auto"/>
            <w:vAlign w:val="center"/>
          </w:tcPr>
          <w:p w14:paraId="6BC8FA2A" w14:textId="77777777" w:rsidR="002E3407" w:rsidRPr="00640348" w:rsidRDefault="002E3407" w:rsidP="00EE4E8C">
            <w:pPr>
              <w:jc w:val="center"/>
              <w:rPr>
                <w:sz w:val="20"/>
                <w:szCs w:val="20"/>
              </w:rPr>
            </w:pPr>
            <w:r w:rsidRPr="00640348">
              <w:rPr>
                <w:sz w:val="20"/>
                <w:szCs w:val="20"/>
              </w:rPr>
              <w:t>7/17/13</w:t>
            </w:r>
          </w:p>
        </w:tc>
        <w:tc>
          <w:tcPr>
            <w:tcW w:w="1620" w:type="dxa"/>
            <w:shd w:val="clear" w:color="auto" w:fill="auto"/>
            <w:vAlign w:val="center"/>
          </w:tcPr>
          <w:p w14:paraId="18322136" w14:textId="77777777" w:rsidR="002E3407" w:rsidRPr="00640348" w:rsidRDefault="002E3407" w:rsidP="00EE4E8C">
            <w:pPr>
              <w:jc w:val="center"/>
              <w:rPr>
                <w:sz w:val="20"/>
                <w:szCs w:val="20"/>
              </w:rPr>
            </w:pPr>
            <w:r w:rsidRPr="00640348">
              <w:rPr>
                <w:sz w:val="20"/>
                <w:szCs w:val="20"/>
              </w:rPr>
              <w:t>PR: 78 FR 17336</w:t>
            </w:r>
          </w:p>
          <w:p w14:paraId="5630C326" w14:textId="77777777" w:rsidR="002E3407" w:rsidRPr="00640348" w:rsidRDefault="002E3407" w:rsidP="00EE4E8C">
            <w:pPr>
              <w:jc w:val="center"/>
              <w:rPr>
                <w:sz w:val="20"/>
                <w:szCs w:val="20"/>
              </w:rPr>
            </w:pPr>
            <w:r w:rsidRPr="00640348">
              <w:rPr>
                <w:sz w:val="20"/>
                <w:szCs w:val="20"/>
              </w:rPr>
              <w:t>FR: 78 FR 36113</w:t>
            </w:r>
          </w:p>
        </w:tc>
        <w:tc>
          <w:tcPr>
            <w:tcW w:w="4590" w:type="dxa"/>
            <w:shd w:val="clear" w:color="auto" w:fill="auto"/>
          </w:tcPr>
          <w:p w14:paraId="27BB5AEE" w14:textId="77777777" w:rsidR="002E3407" w:rsidRPr="00640348" w:rsidRDefault="002E3407" w:rsidP="00EE4E8C">
            <w:pPr>
              <w:rPr>
                <w:sz w:val="20"/>
                <w:szCs w:val="20"/>
              </w:rPr>
            </w:pPr>
            <w:r w:rsidRPr="00640348">
              <w:rPr>
                <w:sz w:val="20"/>
                <w:szCs w:val="20"/>
              </w:rPr>
              <w:t>-Revise</w:t>
            </w:r>
            <w:r>
              <w:rPr>
                <w:sz w:val="20"/>
                <w:szCs w:val="20"/>
              </w:rPr>
              <w:t>d</w:t>
            </w:r>
            <w:r w:rsidRPr="00640348">
              <w:rPr>
                <w:sz w:val="20"/>
                <w:szCs w:val="20"/>
              </w:rPr>
              <w:t xml:space="preserve"> the ABCs, ACLs (including sector ACLs), and ACTs </w:t>
            </w:r>
            <w:r>
              <w:rPr>
                <w:sz w:val="20"/>
                <w:szCs w:val="20"/>
              </w:rPr>
              <w:t xml:space="preserve">for 37 species </w:t>
            </w:r>
            <w:r w:rsidRPr="00640348">
              <w:rPr>
                <w:sz w:val="20"/>
                <w:szCs w:val="20"/>
              </w:rPr>
              <w:t>implemented by the Comprehe</w:t>
            </w:r>
            <w:r>
              <w:rPr>
                <w:sz w:val="20"/>
                <w:szCs w:val="20"/>
              </w:rPr>
              <w:t>nsive ACL Amendment (see final rule for list of species)</w:t>
            </w:r>
            <w:r w:rsidRPr="00640348">
              <w:rPr>
                <w:sz w:val="20"/>
                <w:szCs w:val="20"/>
              </w:rPr>
              <w:t xml:space="preserve">.  The revisions may prevent a disjunction between the established ACLs and the landings used to determine if AMs are triggered. </w:t>
            </w:r>
          </w:p>
        </w:tc>
      </w:tr>
      <w:tr w:rsidR="002E3407" w14:paraId="5F973246" w14:textId="77777777" w:rsidTr="00EE4E8C">
        <w:trPr>
          <w:trHeight w:val="1160"/>
        </w:trPr>
        <w:tc>
          <w:tcPr>
            <w:tcW w:w="1638" w:type="dxa"/>
            <w:shd w:val="clear" w:color="auto" w:fill="D9D9D9" w:themeFill="background1" w:themeFillShade="D9"/>
            <w:vAlign w:val="center"/>
          </w:tcPr>
          <w:p w14:paraId="538F36AF" w14:textId="77777777" w:rsidR="002E3407" w:rsidRDefault="002E3407" w:rsidP="00EE4E8C">
            <w:pPr>
              <w:jc w:val="center"/>
              <w:rPr>
                <w:sz w:val="20"/>
                <w:szCs w:val="20"/>
              </w:rPr>
            </w:pPr>
            <w:r w:rsidRPr="00640348">
              <w:rPr>
                <w:sz w:val="20"/>
                <w:szCs w:val="20"/>
              </w:rPr>
              <w:t>Amendment #28</w:t>
            </w:r>
          </w:p>
          <w:p w14:paraId="3831CBF0" w14:textId="77777777" w:rsidR="002E3407" w:rsidRPr="00640348" w:rsidRDefault="002E3407" w:rsidP="00EE4E8C">
            <w:pPr>
              <w:jc w:val="center"/>
              <w:rPr>
                <w:sz w:val="20"/>
                <w:szCs w:val="20"/>
              </w:rPr>
            </w:pPr>
          </w:p>
          <w:p w14:paraId="69699365" w14:textId="77777777" w:rsidR="002E3407" w:rsidRPr="00640348" w:rsidRDefault="002E3407" w:rsidP="00EE4E8C">
            <w:pPr>
              <w:jc w:val="center"/>
              <w:rPr>
                <w:sz w:val="20"/>
                <w:szCs w:val="20"/>
              </w:rPr>
            </w:pPr>
            <w:r>
              <w:rPr>
                <w:sz w:val="20"/>
                <w:szCs w:val="20"/>
              </w:rPr>
              <w:t>(2013</w:t>
            </w:r>
            <w:r w:rsidRPr="00640348">
              <w:rPr>
                <w:sz w:val="20"/>
                <w:szCs w:val="20"/>
              </w:rPr>
              <w:t>)</w:t>
            </w:r>
          </w:p>
        </w:tc>
        <w:tc>
          <w:tcPr>
            <w:tcW w:w="1350" w:type="dxa"/>
            <w:shd w:val="clear" w:color="auto" w:fill="D9D9D9" w:themeFill="background1" w:themeFillShade="D9"/>
            <w:vAlign w:val="center"/>
          </w:tcPr>
          <w:p w14:paraId="12488866" w14:textId="77777777" w:rsidR="002E3407" w:rsidRPr="00640348" w:rsidRDefault="002E3407" w:rsidP="00EE4E8C">
            <w:pPr>
              <w:jc w:val="center"/>
              <w:rPr>
                <w:sz w:val="20"/>
                <w:szCs w:val="20"/>
              </w:rPr>
            </w:pPr>
            <w:r w:rsidRPr="00640348">
              <w:rPr>
                <w:sz w:val="20"/>
                <w:szCs w:val="20"/>
              </w:rPr>
              <w:t>8/23/13</w:t>
            </w:r>
          </w:p>
        </w:tc>
        <w:tc>
          <w:tcPr>
            <w:tcW w:w="1620" w:type="dxa"/>
            <w:shd w:val="clear" w:color="auto" w:fill="D9D9D9" w:themeFill="background1" w:themeFillShade="D9"/>
            <w:vAlign w:val="center"/>
          </w:tcPr>
          <w:p w14:paraId="03A56A74" w14:textId="77777777" w:rsidR="002E3407" w:rsidRPr="00640348" w:rsidRDefault="002E3407" w:rsidP="00EE4E8C">
            <w:pPr>
              <w:jc w:val="center"/>
              <w:rPr>
                <w:sz w:val="20"/>
                <w:szCs w:val="20"/>
              </w:rPr>
            </w:pPr>
            <w:r w:rsidRPr="00640348">
              <w:rPr>
                <w:sz w:val="20"/>
                <w:szCs w:val="20"/>
              </w:rPr>
              <w:t>PR: 78 FR 25047</w:t>
            </w:r>
          </w:p>
          <w:p w14:paraId="7BF19CDC" w14:textId="77777777" w:rsidR="002E3407" w:rsidRPr="00640348" w:rsidRDefault="002E3407" w:rsidP="00EE4E8C">
            <w:pPr>
              <w:jc w:val="center"/>
              <w:rPr>
                <w:sz w:val="20"/>
                <w:szCs w:val="20"/>
              </w:rPr>
            </w:pPr>
            <w:r w:rsidRPr="00640348">
              <w:rPr>
                <w:sz w:val="20"/>
                <w:szCs w:val="20"/>
              </w:rPr>
              <w:t>FR: 78 FR 44461</w:t>
            </w:r>
          </w:p>
        </w:tc>
        <w:tc>
          <w:tcPr>
            <w:tcW w:w="4590" w:type="dxa"/>
            <w:shd w:val="clear" w:color="auto" w:fill="D9D9D9" w:themeFill="background1" w:themeFillShade="D9"/>
          </w:tcPr>
          <w:p w14:paraId="7F1B9104" w14:textId="77777777" w:rsidR="002E3407" w:rsidRPr="00640348" w:rsidRDefault="002E3407" w:rsidP="00EE4E8C">
            <w:pPr>
              <w:rPr>
                <w:sz w:val="20"/>
                <w:szCs w:val="20"/>
              </w:rPr>
            </w:pPr>
            <w:r w:rsidRPr="00640348">
              <w:rPr>
                <w:sz w:val="20"/>
                <w:szCs w:val="20"/>
              </w:rPr>
              <w:t>-Establish</w:t>
            </w:r>
            <w:r>
              <w:rPr>
                <w:sz w:val="20"/>
                <w:szCs w:val="20"/>
              </w:rPr>
              <w:t>ed</w:t>
            </w:r>
            <w:r w:rsidRPr="00640348">
              <w:rPr>
                <w:sz w:val="20"/>
                <w:szCs w:val="20"/>
              </w:rPr>
              <w:t xml:space="preserve"> regulations to allow harvest of red snapper in the South Atlantic</w:t>
            </w:r>
            <w:r>
              <w:rPr>
                <w:sz w:val="20"/>
                <w:szCs w:val="20"/>
              </w:rPr>
              <w:t xml:space="preserve"> (formula used to compute ACLs, AMs, fishing seasons). </w:t>
            </w:r>
          </w:p>
        </w:tc>
      </w:tr>
      <w:tr w:rsidR="002E3407" w14:paraId="6135FC46" w14:textId="77777777" w:rsidTr="00EE4E8C">
        <w:trPr>
          <w:trHeight w:val="1160"/>
        </w:trPr>
        <w:tc>
          <w:tcPr>
            <w:tcW w:w="1638" w:type="dxa"/>
            <w:vAlign w:val="center"/>
          </w:tcPr>
          <w:p w14:paraId="46708FF4" w14:textId="77777777" w:rsidR="002E3407" w:rsidRDefault="002E3407" w:rsidP="00EE4E8C">
            <w:pPr>
              <w:jc w:val="center"/>
              <w:rPr>
                <w:sz w:val="20"/>
                <w:szCs w:val="20"/>
              </w:rPr>
            </w:pPr>
            <w:r w:rsidRPr="00640348">
              <w:rPr>
                <w:sz w:val="20"/>
                <w:szCs w:val="20"/>
              </w:rPr>
              <w:t>Regulatory Amendment #18</w:t>
            </w:r>
          </w:p>
          <w:p w14:paraId="674F6C63" w14:textId="77777777" w:rsidR="002E3407" w:rsidRPr="00640348" w:rsidRDefault="002E3407" w:rsidP="00EE4E8C">
            <w:pPr>
              <w:jc w:val="center"/>
              <w:rPr>
                <w:sz w:val="20"/>
                <w:szCs w:val="20"/>
              </w:rPr>
            </w:pPr>
          </w:p>
          <w:p w14:paraId="6CFE0F9E" w14:textId="77777777" w:rsidR="002E3407" w:rsidRPr="00640348" w:rsidRDefault="002E3407" w:rsidP="00EE4E8C">
            <w:pPr>
              <w:jc w:val="center"/>
              <w:rPr>
                <w:sz w:val="20"/>
                <w:szCs w:val="20"/>
              </w:rPr>
            </w:pPr>
            <w:r>
              <w:rPr>
                <w:sz w:val="20"/>
                <w:szCs w:val="20"/>
              </w:rPr>
              <w:t>(2013</w:t>
            </w:r>
            <w:r w:rsidRPr="00640348">
              <w:rPr>
                <w:sz w:val="20"/>
                <w:szCs w:val="20"/>
              </w:rPr>
              <w:t>)</w:t>
            </w:r>
          </w:p>
        </w:tc>
        <w:tc>
          <w:tcPr>
            <w:tcW w:w="1350" w:type="dxa"/>
            <w:shd w:val="clear" w:color="auto" w:fill="auto"/>
            <w:vAlign w:val="center"/>
          </w:tcPr>
          <w:p w14:paraId="69AA11B0" w14:textId="77777777" w:rsidR="002E3407" w:rsidRPr="00640348" w:rsidRDefault="002E3407" w:rsidP="00EE4E8C">
            <w:pPr>
              <w:jc w:val="center"/>
              <w:rPr>
                <w:sz w:val="20"/>
                <w:szCs w:val="20"/>
              </w:rPr>
            </w:pPr>
            <w:r w:rsidRPr="00640348">
              <w:rPr>
                <w:sz w:val="20"/>
                <w:szCs w:val="20"/>
              </w:rPr>
              <w:t>9/5/13</w:t>
            </w:r>
          </w:p>
        </w:tc>
        <w:tc>
          <w:tcPr>
            <w:tcW w:w="1620" w:type="dxa"/>
            <w:shd w:val="clear" w:color="auto" w:fill="auto"/>
            <w:vAlign w:val="center"/>
          </w:tcPr>
          <w:p w14:paraId="3C757F5B" w14:textId="77777777" w:rsidR="002E3407" w:rsidRPr="00640348" w:rsidRDefault="002E3407" w:rsidP="00EE4E8C">
            <w:pPr>
              <w:jc w:val="center"/>
              <w:rPr>
                <w:sz w:val="20"/>
                <w:szCs w:val="20"/>
              </w:rPr>
            </w:pPr>
            <w:r w:rsidRPr="00640348">
              <w:rPr>
                <w:sz w:val="20"/>
                <w:szCs w:val="20"/>
              </w:rPr>
              <w:t>PR: 78 FR 26740</w:t>
            </w:r>
          </w:p>
          <w:p w14:paraId="02A3878D" w14:textId="77777777" w:rsidR="002E3407" w:rsidRPr="00640348" w:rsidRDefault="002E3407" w:rsidP="00EE4E8C">
            <w:pPr>
              <w:jc w:val="center"/>
              <w:rPr>
                <w:sz w:val="20"/>
                <w:szCs w:val="20"/>
              </w:rPr>
            </w:pPr>
            <w:r w:rsidRPr="00640348">
              <w:rPr>
                <w:sz w:val="20"/>
                <w:szCs w:val="20"/>
              </w:rPr>
              <w:t>FR: 78 FR 47574</w:t>
            </w:r>
          </w:p>
        </w:tc>
        <w:tc>
          <w:tcPr>
            <w:tcW w:w="4590" w:type="dxa"/>
            <w:shd w:val="clear" w:color="auto" w:fill="auto"/>
          </w:tcPr>
          <w:p w14:paraId="5693D642" w14:textId="77777777" w:rsidR="002E3407" w:rsidRDefault="002E3407" w:rsidP="00EE4E8C">
            <w:pPr>
              <w:rPr>
                <w:sz w:val="20"/>
                <w:szCs w:val="20"/>
              </w:rPr>
            </w:pPr>
            <w:r w:rsidRPr="00640348">
              <w:rPr>
                <w:sz w:val="20"/>
                <w:szCs w:val="20"/>
              </w:rPr>
              <w:t>-</w:t>
            </w:r>
            <w:r>
              <w:rPr>
                <w:sz w:val="20"/>
                <w:szCs w:val="20"/>
              </w:rPr>
              <w:t>Revised</w:t>
            </w:r>
            <w:r w:rsidRPr="00640348">
              <w:rPr>
                <w:sz w:val="20"/>
                <w:szCs w:val="20"/>
              </w:rPr>
              <w:t xml:space="preserve"> ACLs</w:t>
            </w:r>
            <w:r>
              <w:rPr>
                <w:sz w:val="20"/>
                <w:szCs w:val="20"/>
              </w:rPr>
              <w:t xml:space="preserve"> and OY</w:t>
            </w:r>
            <w:r w:rsidRPr="00640348">
              <w:rPr>
                <w:sz w:val="20"/>
                <w:szCs w:val="20"/>
              </w:rPr>
              <w:t xml:space="preserve"> for vermilion snapper</w:t>
            </w:r>
            <w:r>
              <w:rPr>
                <w:sz w:val="20"/>
                <w:szCs w:val="20"/>
              </w:rPr>
              <w:t>;</w:t>
            </w:r>
          </w:p>
          <w:p w14:paraId="008F7800" w14:textId="77777777" w:rsidR="002E3407" w:rsidRDefault="002E3407" w:rsidP="00EE4E8C">
            <w:pPr>
              <w:rPr>
                <w:sz w:val="20"/>
                <w:szCs w:val="20"/>
              </w:rPr>
            </w:pPr>
            <w:r>
              <w:rPr>
                <w:sz w:val="20"/>
                <w:szCs w:val="20"/>
              </w:rPr>
              <w:t>-Modified commercial trip limit for vermilion snapper;</w:t>
            </w:r>
          </w:p>
          <w:p w14:paraId="1AFB5033" w14:textId="77777777" w:rsidR="002E3407" w:rsidRDefault="002E3407" w:rsidP="00EE4E8C">
            <w:pPr>
              <w:rPr>
                <w:sz w:val="20"/>
                <w:szCs w:val="20"/>
              </w:rPr>
            </w:pPr>
            <w:r>
              <w:rPr>
                <w:sz w:val="20"/>
                <w:szCs w:val="20"/>
              </w:rPr>
              <w:t>-Modified commercial fishing season and recreational closed season for vermilion snapper;</w:t>
            </w:r>
          </w:p>
          <w:p w14:paraId="364070D9" w14:textId="77777777" w:rsidR="002E3407" w:rsidRPr="00640348" w:rsidRDefault="002E3407" w:rsidP="00EE4E8C">
            <w:pPr>
              <w:rPr>
                <w:sz w:val="20"/>
                <w:szCs w:val="20"/>
              </w:rPr>
            </w:pPr>
            <w:r>
              <w:rPr>
                <w:sz w:val="20"/>
                <w:szCs w:val="20"/>
              </w:rPr>
              <w:t xml:space="preserve">-Revised ACLs and OY for </w:t>
            </w:r>
            <w:r w:rsidRPr="00640348">
              <w:rPr>
                <w:sz w:val="20"/>
                <w:szCs w:val="20"/>
              </w:rPr>
              <w:t>red porgy</w:t>
            </w:r>
            <w:r>
              <w:rPr>
                <w:sz w:val="20"/>
                <w:szCs w:val="20"/>
              </w:rPr>
              <w:t>.</w:t>
            </w:r>
          </w:p>
        </w:tc>
      </w:tr>
      <w:tr w:rsidR="002E3407" w14:paraId="1DE4364E" w14:textId="77777777" w:rsidTr="00EE4E8C">
        <w:trPr>
          <w:trHeight w:val="1160"/>
        </w:trPr>
        <w:tc>
          <w:tcPr>
            <w:tcW w:w="1638" w:type="dxa"/>
            <w:vAlign w:val="center"/>
          </w:tcPr>
          <w:p w14:paraId="6F1BFDDE" w14:textId="77777777" w:rsidR="002E3407" w:rsidRDefault="002E3407" w:rsidP="00EE4E8C">
            <w:pPr>
              <w:jc w:val="center"/>
              <w:rPr>
                <w:sz w:val="20"/>
                <w:szCs w:val="20"/>
              </w:rPr>
            </w:pPr>
            <w:r w:rsidRPr="00640348">
              <w:rPr>
                <w:sz w:val="20"/>
                <w:szCs w:val="20"/>
              </w:rPr>
              <w:t>Regulatory Amendment #15</w:t>
            </w:r>
          </w:p>
          <w:p w14:paraId="1FE711D4" w14:textId="77777777" w:rsidR="002E3407" w:rsidRPr="00640348" w:rsidRDefault="002E3407" w:rsidP="00EE4E8C">
            <w:pPr>
              <w:jc w:val="center"/>
              <w:rPr>
                <w:sz w:val="20"/>
                <w:szCs w:val="20"/>
              </w:rPr>
            </w:pPr>
          </w:p>
          <w:p w14:paraId="7EA3C64E" w14:textId="77777777" w:rsidR="002E3407" w:rsidRPr="00640348" w:rsidRDefault="002E3407" w:rsidP="00EE4E8C">
            <w:pPr>
              <w:jc w:val="center"/>
              <w:rPr>
                <w:sz w:val="20"/>
                <w:szCs w:val="20"/>
              </w:rPr>
            </w:pPr>
            <w:r>
              <w:rPr>
                <w:sz w:val="20"/>
                <w:szCs w:val="20"/>
              </w:rPr>
              <w:t>(2013</w:t>
            </w:r>
            <w:r w:rsidRPr="00640348">
              <w:rPr>
                <w:sz w:val="20"/>
                <w:szCs w:val="20"/>
              </w:rPr>
              <w:t>)</w:t>
            </w:r>
          </w:p>
        </w:tc>
        <w:tc>
          <w:tcPr>
            <w:tcW w:w="1350" w:type="dxa"/>
            <w:shd w:val="clear" w:color="auto" w:fill="auto"/>
            <w:vAlign w:val="center"/>
          </w:tcPr>
          <w:p w14:paraId="6BFBABCC" w14:textId="77777777" w:rsidR="002E3407" w:rsidRPr="00640348" w:rsidRDefault="002E3407" w:rsidP="00EE4E8C">
            <w:pPr>
              <w:jc w:val="center"/>
              <w:rPr>
                <w:sz w:val="20"/>
                <w:szCs w:val="20"/>
              </w:rPr>
            </w:pPr>
            <w:r w:rsidRPr="00640348">
              <w:rPr>
                <w:sz w:val="20"/>
                <w:szCs w:val="20"/>
              </w:rPr>
              <w:t>9/12/13</w:t>
            </w:r>
          </w:p>
        </w:tc>
        <w:tc>
          <w:tcPr>
            <w:tcW w:w="1620" w:type="dxa"/>
            <w:shd w:val="clear" w:color="auto" w:fill="auto"/>
            <w:vAlign w:val="center"/>
          </w:tcPr>
          <w:p w14:paraId="30FAAEEA" w14:textId="77777777" w:rsidR="002E3407" w:rsidRPr="00640348" w:rsidRDefault="002E3407" w:rsidP="00EE4E8C">
            <w:pPr>
              <w:jc w:val="center"/>
              <w:rPr>
                <w:sz w:val="20"/>
                <w:szCs w:val="20"/>
              </w:rPr>
            </w:pPr>
            <w:r w:rsidRPr="00640348">
              <w:rPr>
                <w:sz w:val="20"/>
                <w:szCs w:val="20"/>
              </w:rPr>
              <w:t>PR: 78 FR 31511</w:t>
            </w:r>
          </w:p>
          <w:p w14:paraId="1C151FF3" w14:textId="77777777" w:rsidR="002E3407" w:rsidRPr="00640348" w:rsidRDefault="002E3407" w:rsidP="00EE4E8C">
            <w:pPr>
              <w:jc w:val="center"/>
              <w:rPr>
                <w:sz w:val="20"/>
                <w:szCs w:val="20"/>
              </w:rPr>
            </w:pPr>
            <w:r w:rsidRPr="00640348">
              <w:rPr>
                <w:sz w:val="20"/>
                <w:szCs w:val="20"/>
              </w:rPr>
              <w:t>FR: 78 FR 49183</w:t>
            </w:r>
          </w:p>
        </w:tc>
        <w:tc>
          <w:tcPr>
            <w:tcW w:w="4590" w:type="dxa"/>
            <w:shd w:val="clear" w:color="auto" w:fill="auto"/>
          </w:tcPr>
          <w:p w14:paraId="7C9B37E6" w14:textId="77777777" w:rsidR="00D030EA" w:rsidRDefault="00D030EA" w:rsidP="00D030EA">
            <w:pPr>
              <w:rPr>
                <w:sz w:val="20"/>
                <w:szCs w:val="20"/>
              </w:rPr>
            </w:pPr>
            <w:r>
              <w:rPr>
                <w:sz w:val="20"/>
                <w:szCs w:val="20"/>
              </w:rPr>
              <w:t>-</w:t>
            </w:r>
            <w:r w:rsidRPr="00640348">
              <w:rPr>
                <w:sz w:val="20"/>
                <w:szCs w:val="20"/>
              </w:rPr>
              <w:t>Modif</w:t>
            </w:r>
            <w:r>
              <w:rPr>
                <w:sz w:val="20"/>
                <w:szCs w:val="20"/>
              </w:rPr>
              <w:t>ied</w:t>
            </w:r>
            <w:r w:rsidRPr="00640348">
              <w:rPr>
                <w:sz w:val="20"/>
                <w:szCs w:val="20"/>
              </w:rPr>
              <w:t xml:space="preserve"> </w:t>
            </w:r>
            <w:r>
              <w:rPr>
                <w:sz w:val="20"/>
                <w:szCs w:val="20"/>
              </w:rPr>
              <w:t xml:space="preserve">ACLs and OY </w:t>
            </w:r>
            <w:r w:rsidRPr="00640348">
              <w:rPr>
                <w:sz w:val="20"/>
                <w:szCs w:val="20"/>
              </w:rPr>
              <w:t>for yellowtail snappe</w:t>
            </w:r>
            <w:r>
              <w:rPr>
                <w:sz w:val="20"/>
                <w:szCs w:val="20"/>
              </w:rPr>
              <w:t>r;</w:t>
            </w:r>
          </w:p>
          <w:p w14:paraId="69BC76A7" w14:textId="77777777" w:rsidR="00D030EA" w:rsidRPr="00640348" w:rsidRDefault="00D030EA" w:rsidP="00D030EA">
            <w:pPr>
              <w:rPr>
                <w:sz w:val="20"/>
                <w:szCs w:val="20"/>
              </w:rPr>
            </w:pPr>
            <w:r>
              <w:rPr>
                <w:sz w:val="20"/>
                <w:szCs w:val="20"/>
              </w:rPr>
              <w:t>-Modified the commercial and recreational yellowtail snapper fishing years and commercial spawning season closure;</w:t>
            </w:r>
          </w:p>
          <w:p w14:paraId="7B87A57A" w14:textId="0ACA4C85" w:rsidR="002E3407" w:rsidRPr="00640348" w:rsidRDefault="00D030EA" w:rsidP="00EE4E8C">
            <w:pPr>
              <w:rPr>
                <w:sz w:val="20"/>
                <w:szCs w:val="20"/>
              </w:rPr>
            </w:pPr>
            <w:r>
              <w:rPr>
                <w:sz w:val="20"/>
                <w:szCs w:val="20"/>
              </w:rPr>
              <w:t>-</w:t>
            </w:r>
            <w:r w:rsidRPr="00640348">
              <w:rPr>
                <w:sz w:val="20"/>
                <w:szCs w:val="20"/>
              </w:rPr>
              <w:t>Modif</w:t>
            </w:r>
            <w:r>
              <w:rPr>
                <w:sz w:val="20"/>
                <w:szCs w:val="20"/>
              </w:rPr>
              <w:t>ied</w:t>
            </w:r>
            <w:r w:rsidRPr="00640348">
              <w:rPr>
                <w:sz w:val="20"/>
                <w:szCs w:val="20"/>
              </w:rPr>
              <w:t xml:space="preserve"> the gag commercial ACL and AM</w:t>
            </w:r>
            <w:r>
              <w:rPr>
                <w:sz w:val="20"/>
                <w:szCs w:val="20"/>
              </w:rPr>
              <w:t xml:space="preserve"> to</w:t>
            </w:r>
            <w:r w:rsidRPr="00640348">
              <w:rPr>
                <w:sz w:val="20"/>
                <w:szCs w:val="20"/>
              </w:rPr>
              <w:t xml:space="preserve"> </w:t>
            </w:r>
            <w:r>
              <w:rPr>
                <w:sz w:val="20"/>
                <w:szCs w:val="20"/>
              </w:rPr>
              <w:t>remove the requirement that all other</w:t>
            </w:r>
            <w:r w:rsidRPr="00640348">
              <w:rPr>
                <w:sz w:val="20"/>
                <w:szCs w:val="20"/>
              </w:rPr>
              <w:t xml:space="preserve"> shallow water groupers (black grouper, red grouper, scamp, red hind, rock hind, graysby, coney, yellowmouth grouper, and yellowfin grouper)</w:t>
            </w:r>
            <w:r>
              <w:rPr>
                <w:sz w:val="20"/>
                <w:szCs w:val="20"/>
              </w:rPr>
              <w:t xml:space="preserve"> are prohibited from harvest</w:t>
            </w:r>
            <w:r w:rsidRPr="00640348">
              <w:rPr>
                <w:sz w:val="20"/>
                <w:szCs w:val="20"/>
              </w:rPr>
              <w:t xml:space="preserve"> in the South Atlantic when the gag commercial ACL is met or projected to be met</w:t>
            </w:r>
            <w:r>
              <w:rPr>
                <w:sz w:val="20"/>
                <w:szCs w:val="20"/>
              </w:rPr>
              <w:t>.</w:t>
            </w:r>
          </w:p>
        </w:tc>
      </w:tr>
      <w:tr w:rsidR="002E3407" w14:paraId="1DC9219C" w14:textId="77777777" w:rsidTr="00EE4E8C">
        <w:trPr>
          <w:trHeight w:val="1160"/>
        </w:trPr>
        <w:tc>
          <w:tcPr>
            <w:tcW w:w="1638" w:type="dxa"/>
            <w:vAlign w:val="center"/>
          </w:tcPr>
          <w:p w14:paraId="570400E9" w14:textId="77777777" w:rsidR="002E3407" w:rsidRDefault="002E3407" w:rsidP="00EE4E8C">
            <w:pPr>
              <w:jc w:val="center"/>
              <w:rPr>
                <w:sz w:val="20"/>
                <w:szCs w:val="20"/>
              </w:rPr>
            </w:pPr>
            <w:r w:rsidRPr="00640348">
              <w:rPr>
                <w:sz w:val="20"/>
                <w:szCs w:val="20"/>
              </w:rPr>
              <w:lastRenderedPageBreak/>
              <w:t>Regulatory Amendment #19</w:t>
            </w:r>
          </w:p>
          <w:p w14:paraId="4FA3DBC9" w14:textId="77777777" w:rsidR="002E3407" w:rsidRPr="00640348" w:rsidRDefault="002E3407" w:rsidP="00EE4E8C">
            <w:pPr>
              <w:jc w:val="center"/>
              <w:rPr>
                <w:sz w:val="20"/>
                <w:szCs w:val="20"/>
              </w:rPr>
            </w:pPr>
          </w:p>
          <w:p w14:paraId="5C33927F" w14:textId="77777777" w:rsidR="002E3407" w:rsidRPr="00640348" w:rsidRDefault="002E3407" w:rsidP="00EE4E8C">
            <w:pPr>
              <w:jc w:val="center"/>
              <w:rPr>
                <w:sz w:val="20"/>
                <w:szCs w:val="20"/>
              </w:rPr>
            </w:pPr>
            <w:r>
              <w:rPr>
                <w:sz w:val="20"/>
                <w:szCs w:val="20"/>
              </w:rPr>
              <w:t>(2013</w:t>
            </w:r>
            <w:r w:rsidRPr="00640348">
              <w:rPr>
                <w:sz w:val="20"/>
                <w:szCs w:val="20"/>
              </w:rPr>
              <w:t>)</w:t>
            </w:r>
          </w:p>
        </w:tc>
        <w:tc>
          <w:tcPr>
            <w:tcW w:w="1350" w:type="dxa"/>
            <w:shd w:val="clear" w:color="auto" w:fill="auto"/>
            <w:vAlign w:val="center"/>
          </w:tcPr>
          <w:p w14:paraId="4188023B" w14:textId="77777777" w:rsidR="002E3407" w:rsidRPr="00640348" w:rsidRDefault="002E3407" w:rsidP="00EE4E8C">
            <w:pPr>
              <w:jc w:val="center"/>
              <w:rPr>
                <w:sz w:val="20"/>
                <w:szCs w:val="20"/>
              </w:rPr>
            </w:pPr>
            <w:r w:rsidRPr="00640348">
              <w:rPr>
                <w:sz w:val="20"/>
                <w:szCs w:val="20"/>
              </w:rPr>
              <w:t>ACL: 9/23/13</w:t>
            </w:r>
          </w:p>
          <w:p w14:paraId="19CA6116" w14:textId="77777777" w:rsidR="002E3407" w:rsidRPr="00640348" w:rsidRDefault="002E3407" w:rsidP="00EE4E8C">
            <w:pPr>
              <w:jc w:val="center"/>
              <w:rPr>
                <w:sz w:val="20"/>
                <w:szCs w:val="20"/>
              </w:rPr>
            </w:pPr>
            <w:r w:rsidRPr="00640348">
              <w:rPr>
                <w:sz w:val="20"/>
                <w:szCs w:val="20"/>
              </w:rPr>
              <w:t>Pot closure: 10/23/13</w:t>
            </w:r>
          </w:p>
        </w:tc>
        <w:tc>
          <w:tcPr>
            <w:tcW w:w="1620" w:type="dxa"/>
            <w:shd w:val="clear" w:color="auto" w:fill="auto"/>
            <w:vAlign w:val="center"/>
          </w:tcPr>
          <w:p w14:paraId="03FB3FB2" w14:textId="77777777" w:rsidR="002E3407" w:rsidRPr="00640348" w:rsidRDefault="002E3407" w:rsidP="00EE4E8C">
            <w:pPr>
              <w:jc w:val="center"/>
              <w:rPr>
                <w:sz w:val="20"/>
                <w:szCs w:val="20"/>
              </w:rPr>
            </w:pPr>
            <w:r w:rsidRPr="00640348">
              <w:rPr>
                <w:sz w:val="20"/>
                <w:szCs w:val="20"/>
              </w:rPr>
              <w:t>PR: 78 FR 39700</w:t>
            </w:r>
          </w:p>
          <w:p w14:paraId="58C733B4" w14:textId="77777777" w:rsidR="002E3407" w:rsidRPr="00640348" w:rsidRDefault="002E3407" w:rsidP="00EE4E8C">
            <w:pPr>
              <w:jc w:val="center"/>
              <w:rPr>
                <w:sz w:val="20"/>
                <w:szCs w:val="20"/>
              </w:rPr>
            </w:pPr>
            <w:r w:rsidRPr="00640348">
              <w:rPr>
                <w:sz w:val="20"/>
                <w:szCs w:val="20"/>
              </w:rPr>
              <w:t>FR: 78 FR 58249</w:t>
            </w:r>
          </w:p>
        </w:tc>
        <w:tc>
          <w:tcPr>
            <w:tcW w:w="4590" w:type="dxa"/>
            <w:shd w:val="clear" w:color="auto" w:fill="auto"/>
          </w:tcPr>
          <w:p w14:paraId="6D176863" w14:textId="77777777" w:rsidR="002E3407" w:rsidRDefault="002E3407" w:rsidP="00EE4E8C">
            <w:pPr>
              <w:rPr>
                <w:sz w:val="20"/>
                <w:szCs w:val="20"/>
              </w:rPr>
            </w:pPr>
            <w:r w:rsidRPr="00640348">
              <w:rPr>
                <w:sz w:val="20"/>
                <w:szCs w:val="20"/>
              </w:rPr>
              <w:t>-</w:t>
            </w:r>
            <w:r>
              <w:rPr>
                <w:sz w:val="20"/>
                <w:szCs w:val="20"/>
              </w:rPr>
              <w:t>Specified ABC, and a</w:t>
            </w:r>
            <w:r w:rsidRPr="00640348">
              <w:rPr>
                <w:sz w:val="20"/>
                <w:szCs w:val="20"/>
              </w:rPr>
              <w:t>djust</w:t>
            </w:r>
            <w:r>
              <w:rPr>
                <w:sz w:val="20"/>
                <w:szCs w:val="20"/>
              </w:rPr>
              <w:t>ed the ACL, recreational ACT and OY for black sea bass;</w:t>
            </w:r>
          </w:p>
          <w:p w14:paraId="360CA2AA" w14:textId="77777777" w:rsidR="002E3407" w:rsidRPr="00640348" w:rsidRDefault="002E3407" w:rsidP="00EE4E8C">
            <w:pPr>
              <w:rPr>
                <w:sz w:val="20"/>
                <w:szCs w:val="20"/>
              </w:rPr>
            </w:pPr>
            <w:r>
              <w:rPr>
                <w:sz w:val="20"/>
                <w:szCs w:val="20"/>
              </w:rPr>
              <w:t>-I</w:t>
            </w:r>
            <w:r w:rsidRPr="00640348">
              <w:rPr>
                <w:sz w:val="20"/>
                <w:szCs w:val="20"/>
              </w:rPr>
              <w:t>mplement</w:t>
            </w:r>
            <w:r>
              <w:rPr>
                <w:sz w:val="20"/>
                <w:szCs w:val="20"/>
              </w:rPr>
              <w:t>ed</w:t>
            </w:r>
            <w:r w:rsidRPr="00640348">
              <w:rPr>
                <w:sz w:val="20"/>
                <w:szCs w:val="20"/>
              </w:rPr>
              <w:t xml:space="preserve"> an annual closure on the use of black sea bass pots from November 1 to April 30</w:t>
            </w:r>
            <w:r>
              <w:rPr>
                <w:sz w:val="20"/>
                <w:szCs w:val="20"/>
              </w:rPr>
              <w:t>.</w:t>
            </w:r>
          </w:p>
        </w:tc>
      </w:tr>
      <w:tr w:rsidR="002E3407" w14:paraId="09242F90" w14:textId="77777777" w:rsidTr="00EE4E8C">
        <w:trPr>
          <w:trHeight w:val="1160"/>
        </w:trPr>
        <w:tc>
          <w:tcPr>
            <w:tcW w:w="1638" w:type="dxa"/>
            <w:shd w:val="clear" w:color="auto" w:fill="D9D9D9" w:themeFill="background1" w:themeFillShade="D9"/>
            <w:vAlign w:val="center"/>
          </w:tcPr>
          <w:p w14:paraId="481B2CF2" w14:textId="77777777" w:rsidR="002E3407" w:rsidRDefault="002E3407" w:rsidP="00EE4E8C">
            <w:pPr>
              <w:jc w:val="center"/>
              <w:rPr>
                <w:sz w:val="20"/>
                <w:szCs w:val="20"/>
              </w:rPr>
            </w:pPr>
            <w:r w:rsidRPr="00640348">
              <w:rPr>
                <w:sz w:val="20"/>
                <w:szCs w:val="20"/>
              </w:rPr>
              <w:t>Amendment #27</w:t>
            </w:r>
          </w:p>
          <w:p w14:paraId="5598207F" w14:textId="77777777" w:rsidR="002E3407" w:rsidRDefault="002E3407" w:rsidP="00EE4E8C">
            <w:pPr>
              <w:jc w:val="center"/>
              <w:rPr>
                <w:sz w:val="20"/>
                <w:szCs w:val="20"/>
              </w:rPr>
            </w:pPr>
          </w:p>
          <w:p w14:paraId="48238725" w14:textId="77777777" w:rsidR="002E3407" w:rsidRPr="00640348" w:rsidRDefault="002E3407" w:rsidP="00EE4E8C">
            <w:pPr>
              <w:jc w:val="center"/>
              <w:rPr>
                <w:sz w:val="20"/>
                <w:szCs w:val="20"/>
              </w:rPr>
            </w:pPr>
            <w:r>
              <w:rPr>
                <w:sz w:val="20"/>
                <w:szCs w:val="20"/>
              </w:rPr>
              <w:t>(2014)</w:t>
            </w:r>
          </w:p>
        </w:tc>
        <w:tc>
          <w:tcPr>
            <w:tcW w:w="1350" w:type="dxa"/>
            <w:shd w:val="clear" w:color="auto" w:fill="D9D9D9" w:themeFill="background1" w:themeFillShade="D9"/>
            <w:vAlign w:val="center"/>
          </w:tcPr>
          <w:p w14:paraId="16047C92" w14:textId="77777777" w:rsidR="002E3407" w:rsidRPr="00640348" w:rsidRDefault="002E3407" w:rsidP="00EE4E8C">
            <w:pPr>
              <w:jc w:val="center"/>
              <w:rPr>
                <w:sz w:val="20"/>
                <w:szCs w:val="20"/>
              </w:rPr>
            </w:pPr>
            <w:r w:rsidRPr="00640348">
              <w:rPr>
                <w:sz w:val="20"/>
                <w:szCs w:val="20"/>
              </w:rPr>
              <w:t>1/27/</w:t>
            </w:r>
            <w:r>
              <w:rPr>
                <w:sz w:val="20"/>
                <w:szCs w:val="20"/>
              </w:rPr>
              <w:t>20</w:t>
            </w:r>
            <w:r w:rsidRPr="00640348">
              <w:rPr>
                <w:sz w:val="20"/>
                <w:szCs w:val="20"/>
              </w:rPr>
              <w:t>14</w:t>
            </w:r>
          </w:p>
        </w:tc>
        <w:tc>
          <w:tcPr>
            <w:tcW w:w="1620" w:type="dxa"/>
            <w:shd w:val="clear" w:color="auto" w:fill="D9D9D9" w:themeFill="background1" w:themeFillShade="D9"/>
            <w:vAlign w:val="center"/>
          </w:tcPr>
          <w:p w14:paraId="452BB69E" w14:textId="77777777" w:rsidR="002E3407" w:rsidRPr="00640348" w:rsidRDefault="002E3407" w:rsidP="00EE4E8C">
            <w:pPr>
              <w:jc w:val="center"/>
              <w:rPr>
                <w:sz w:val="20"/>
                <w:szCs w:val="20"/>
              </w:rPr>
            </w:pPr>
            <w:r w:rsidRPr="00640348">
              <w:rPr>
                <w:sz w:val="20"/>
                <w:szCs w:val="20"/>
              </w:rPr>
              <w:t>PR:</w:t>
            </w:r>
            <w:r>
              <w:rPr>
                <w:sz w:val="20"/>
                <w:szCs w:val="20"/>
              </w:rPr>
              <w:t>78 FR 78770</w:t>
            </w:r>
          </w:p>
          <w:p w14:paraId="3909B379" w14:textId="77777777" w:rsidR="002E3407" w:rsidRPr="00640348" w:rsidRDefault="002E3407" w:rsidP="00EE4E8C">
            <w:pPr>
              <w:jc w:val="center"/>
              <w:rPr>
                <w:sz w:val="20"/>
                <w:szCs w:val="20"/>
              </w:rPr>
            </w:pPr>
            <w:r w:rsidRPr="00640348">
              <w:rPr>
                <w:sz w:val="20"/>
                <w:szCs w:val="20"/>
              </w:rPr>
              <w:t>FR: 78 FR 57337</w:t>
            </w:r>
          </w:p>
        </w:tc>
        <w:tc>
          <w:tcPr>
            <w:tcW w:w="4590" w:type="dxa"/>
            <w:shd w:val="clear" w:color="auto" w:fill="D9D9D9" w:themeFill="background1" w:themeFillShade="D9"/>
          </w:tcPr>
          <w:p w14:paraId="44370E43" w14:textId="77777777" w:rsidR="002E3407" w:rsidRPr="00640348" w:rsidRDefault="002E3407" w:rsidP="00EE4E8C">
            <w:pPr>
              <w:rPr>
                <w:sz w:val="20"/>
                <w:szCs w:val="20"/>
              </w:rPr>
            </w:pPr>
            <w:r w:rsidRPr="00640348">
              <w:rPr>
                <w:sz w:val="20"/>
                <w:szCs w:val="20"/>
              </w:rPr>
              <w:t>-Establish</w:t>
            </w:r>
            <w:r>
              <w:rPr>
                <w:sz w:val="20"/>
                <w:szCs w:val="20"/>
              </w:rPr>
              <w:t>ed</w:t>
            </w:r>
            <w:r w:rsidRPr="00640348">
              <w:rPr>
                <w:sz w:val="20"/>
                <w:szCs w:val="20"/>
              </w:rPr>
              <w:t xml:space="preserve"> the South Atlantic Council as the responsible entity for managing Nassau grouper throughout its range including federal waters of the Gulf of Mexico</w:t>
            </w:r>
            <w:r>
              <w:rPr>
                <w:sz w:val="20"/>
                <w:szCs w:val="20"/>
              </w:rPr>
              <w:t>;</w:t>
            </w:r>
          </w:p>
          <w:p w14:paraId="0F2AE9FF" w14:textId="77777777" w:rsidR="002E3407" w:rsidRPr="00640348" w:rsidRDefault="002E3407" w:rsidP="00EE4E8C">
            <w:pPr>
              <w:rPr>
                <w:sz w:val="20"/>
                <w:szCs w:val="20"/>
              </w:rPr>
            </w:pPr>
            <w:r w:rsidRPr="00640348">
              <w:rPr>
                <w:sz w:val="20"/>
                <w:szCs w:val="20"/>
              </w:rPr>
              <w:t>-M</w:t>
            </w:r>
            <w:r>
              <w:rPr>
                <w:sz w:val="20"/>
                <w:szCs w:val="20"/>
              </w:rPr>
              <w:t>odified</w:t>
            </w:r>
            <w:r w:rsidRPr="00640348">
              <w:rPr>
                <w:sz w:val="20"/>
                <w:szCs w:val="20"/>
              </w:rPr>
              <w:t xml:space="preserve"> the crew member limit on dual-permitted snapper grouper vessels</w:t>
            </w:r>
            <w:r>
              <w:rPr>
                <w:sz w:val="20"/>
                <w:szCs w:val="20"/>
              </w:rPr>
              <w:t>;</w:t>
            </w:r>
          </w:p>
          <w:p w14:paraId="7C5FA450" w14:textId="77777777" w:rsidR="002E3407" w:rsidRPr="00640348" w:rsidRDefault="002E3407" w:rsidP="00EE4E8C">
            <w:pPr>
              <w:rPr>
                <w:sz w:val="20"/>
                <w:szCs w:val="20"/>
              </w:rPr>
            </w:pPr>
            <w:r w:rsidRPr="00640348">
              <w:rPr>
                <w:sz w:val="20"/>
                <w:szCs w:val="20"/>
              </w:rPr>
              <w:t>-M</w:t>
            </w:r>
            <w:r>
              <w:rPr>
                <w:sz w:val="20"/>
                <w:szCs w:val="20"/>
              </w:rPr>
              <w:t>odified</w:t>
            </w:r>
            <w:r w:rsidRPr="00640348">
              <w:rPr>
                <w:sz w:val="20"/>
                <w:szCs w:val="20"/>
              </w:rPr>
              <w:t xml:space="preserve"> the restriction on retention of bag limit quantities of some snapper grouper species by captain and crew of for-hire vessels</w:t>
            </w:r>
            <w:r>
              <w:rPr>
                <w:sz w:val="20"/>
                <w:szCs w:val="20"/>
              </w:rPr>
              <w:t>;</w:t>
            </w:r>
          </w:p>
          <w:p w14:paraId="7C2F989B" w14:textId="77777777" w:rsidR="002E3407" w:rsidRDefault="002E3407" w:rsidP="00EE4E8C">
            <w:pPr>
              <w:rPr>
                <w:sz w:val="20"/>
                <w:szCs w:val="20"/>
              </w:rPr>
            </w:pPr>
            <w:r w:rsidRPr="00640348">
              <w:rPr>
                <w:sz w:val="20"/>
                <w:szCs w:val="20"/>
              </w:rPr>
              <w:t>-Minimize</w:t>
            </w:r>
            <w:r>
              <w:rPr>
                <w:sz w:val="20"/>
                <w:szCs w:val="20"/>
              </w:rPr>
              <w:t>d</w:t>
            </w:r>
            <w:r w:rsidRPr="00640348">
              <w:rPr>
                <w:sz w:val="20"/>
                <w:szCs w:val="20"/>
              </w:rPr>
              <w:t xml:space="preserve"> regulatory delay when adjustments to snapper grouper species’ ABC, ACLs, and ACTs are needed as a result of new stock assessments</w:t>
            </w:r>
            <w:r>
              <w:rPr>
                <w:sz w:val="20"/>
                <w:szCs w:val="20"/>
              </w:rPr>
              <w:t>;</w:t>
            </w:r>
          </w:p>
          <w:p w14:paraId="48FE62C7" w14:textId="77777777" w:rsidR="002E3407" w:rsidRPr="00640348" w:rsidRDefault="002E3407" w:rsidP="00EE4E8C">
            <w:pPr>
              <w:rPr>
                <w:sz w:val="20"/>
                <w:szCs w:val="20"/>
              </w:rPr>
            </w:pPr>
            <w:r>
              <w:rPr>
                <w:sz w:val="20"/>
                <w:szCs w:val="20"/>
              </w:rPr>
              <w:t>-Removed blue runner from snapper grouper FMP;</w:t>
            </w:r>
          </w:p>
          <w:p w14:paraId="6220387E" w14:textId="77777777" w:rsidR="002E3407" w:rsidRPr="00640348" w:rsidRDefault="002E3407" w:rsidP="00EE4E8C">
            <w:pPr>
              <w:rPr>
                <w:sz w:val="20"/>
                <w:szCs w:val="20"/>
              </w:rPr>
            </w:pPr>
            <w:r w:rsidRPr="00640348">
              <w:rPr>
                <w:sz w:val="20"/>
                <w:szCs w:val="20"/>
              </w:rPr>
              <w:t>-Address</w:t>
            </w:r>
            <w:r>
              <w:rPr>
                <w:sz w:val="20"/>
                <w:szCs w:val="20"/>
              </w:rPr>
              <w:t>ed</w:t>
            </w:r>
            <w:r w:rsidRPr="00640348">
              <w:rPr>
                <w:sz w:val="20"/>
                <w:szCs w:val="20"/>
              </w:rPr>
              <w:t xml:space="preserve"> harvest of blue runner by commercial fishermen who do not possess a South Atlantic Snapper Grouper Permit</w:t>
            </w:r>
            <w:r>
              <w:rPr>
                <w:sz w:val="20"/>
                <w:szCs w:val="20"/>
              </w:rPr>
              <w:t>.</w:t>
            </w:r>
          </w:p>
        </w:tc>
      </w:tr>
      <w:tr w:rsidR="002E3407" w14:paraId="74DC6E7D" w14:textId="77777777" w:rsidTr="00EE4E8C">
        <w:trPr>
          <w:trHeight w:val="1160"/>
        </w:trPr>
        <w:tc>
          <w:tcPr>
            <w:tcW w:w="1638" w:type="dxa"/>
            <w:shd w:val="clear" w:color="auto" w:fill="D9D9D9" w:themeFill="background1" w:themeFillShade="D9"/>
            <w:vAlign w:val="center"/>
          </w:tcPr>
          <w:p w14:paraId="4C416F78" w14:textId="77777777" w:rsidR="002E3407" w:rsidRDefault="002E3407" w:rsidP="00EE4E8C">
            <w:pPr>
              <w:jc w:val="center"/>
              <w:rPr>
                <w:sz w:val="20"/>
                <w:szCs w:val="20"/>
              </w:rPr>
            </w:pPr>
            <w:r>
              <w:rPr>
                <w:sz w:val="20"/>
                <w:szCs w:val="20"/>
              </w:rPr>
              <w:t>Amendment #31</w:t>
            </w:r>
          </w:p>
          <w:p w14:paraId="055E255D" w14:textId="77777777" w:rsidR="002E3407" w:rsidRDefault="002E3407" w:rsidP="00EE4E8C">
            <w:pPr>
              <w:jc w:val="center"/>
              <w:rPr>
                <w:sz w:val="20"/>
                <w:szCs w:val="20"/>
              </w:rPr>
            </w:pPr>
          </w:p>
          <w:p w14:paraId="07CC214D" w14:textId="77777777" w:rsidR="002E3407" w:rsidRDefault="002E3407" w:rsidP="00EE4E8C">
            <w:pPr>
              <w:jc w:val="center"/>
              <w:rPr>
                <w:sz w:val="20"/>
                <w:szCs w:val="20"/>
              </w:rPr>
            </w:pPr>
            <w:r>
              <w:rPr>
                <w:sz w:val="20"/>
                <w:szCs w:val="20"/>
              </w:rPr>
              <w:t>Joint South Atlantic and Gulf of Mexico Generic Headboat Reporting Amendment</w:t>
            </w:r>
          </w:p>
          <w:p w14:paraId="3D264982" w14:textId="77777777" w:rsidR="002E3407" w:rsidRDefault="002E3407" w:rsidP="00EE4E8C">
            <w:pPr>
              <w:jc w:val="center"/>
              <w:rPr>
                <w:sz w:val="20"/>
                <w:szCs w:val="20"/>
              </w:rPr>
            </w:pPr>
          </w:p>
          <w:p w14:paraId="00DEE575" w14:textId="77777777" w:rsidR="002E3407" w:rsidRPr="00640348" w:rsidRDefault="002E3407" w:rsidP="00EE4E8C">
            <w:pPr>
              <w:jc w:val="center"/>
              <w:rPr>
                <w:sz w:val="20"/>
                <w:szCs w:val="20"/>
              </w:rPr>
            </w:pPr>
            <w:r>
              <w:rPr>
                <w:sz w:val="20"/>
                <w:szCs w:val="20"/>
              </w:rPr>
              <w:t>(2013)</w:t>
            </w:r>
          </w:p>
        </w:tc>
        <w:tc>
          <w:tcPr>
            <w:tcW w:w="1350" w:type="dxa"/>
            <w:shd w:val="clear" w:color="auto" w:fill="D9D9D9" w:themeFill="background1" w:themeFillShade="D9"/>
            <w:vAlign w:val="center"/>
          </w:tcPr>
          <w:p w14:paraId="02157C32" w14:textId="77777777" w:rsidR="002E3407" w:rsidRPr="00640348" w:rsidRDefault="002E3407" w:rsidP="00EE4E8C">
            <w:pPr>
              <w:jc w:val="center"/>
              <w:rPr>
                <w:sz w:val="20"/>
                <w:szCs w:val="20"/>
              </w:rPr>
            </w:pPr>
            <w:r>
              <w:rPr>
                <w:sz w:val="20"/>
                <w:szCs w:val="20"/>
              </w:rPr>
              <w:t>1/27/2014</w:t>
            </w:r>
          </w:p>
        </w:tc>
        <w:tc>
          <w:tcPr>
            <w:tcW w:w="1620" w:type="dxa"/>
            <w:shd w:val="clear" w:color="auto" w:fill="D9D9D9" w:themeFill="background1" w:themeFillShade="D9"/>
            <w:vAlign w:val="center"/>
          </w:tcPr>
          <w:p w14:paraId="0D4A309B" w14:textId="77777777" w:rsidR="002E3407" w:rsidRDefault="002E3407" w:rsidP="00EE4E8C">
            <w:pPr>
              <w:jc w:val="center"/>
              <w:rPr>
                <w:sz w:val="20"/>
                <w:szCs w:val="20"/>
              </w:rPr>
            </w:pPr>
            <w:r>
              <w:rPr>
                <w:sz w:val="20"/>
                <w:szCs w:val="20"/>
              </w:rPr>
              <w:t>PR:78 FR 59641</w:t>
            </w:r>
          </w:p>
          <w:p w14:paraId="72377040" w14:textId="77777777" w:rsidR="002E3407" w:rsidRPr="00640348" w:rsidRDefault="002E3407" w:rsidP="00EE4E8C">
            <w:pPr>
              <w:jc w:val="center"/>
              <w:rPr>
                <w:sz w:val="20"/>
                <w:szCs w:val="20"/>
              </w:rPr>
            </w:pPr>
            <w:r>
              <w:rPr>
                <w:sz w:val="20"/>
                <w:szCs w:val="20"/>
              </w:rPr>
              <w:t>FR: 78 FR 78779</w:t>
            </w:r>
          </w:p>
        </w:tc>
        <w:tc>
          <w:tcPr>
            <w:tcW w:w="4590" w:type="dxa"/>
            <w:shd w:val="clear" w:color="auto" w:fill="D9D9D9" w:themeFill="background1" w:themeFillShade="D9"/>
          </w:tcPr>
          <w:p w14:paraId="53DA32D1" w14:textId="77777777" w:rsidR="002E3407" w:rsidRPr="00640348" w:rsidRDefault="002E3407" w:rsidP="00EE4E8C">
            <w:pPr>
              <w:rPr>
                <w:sz w:val="20"/>
                <w:szCs w:val="20"/>
              </w:rPr>
            </w:pPr>
            <w:r w:rsidRPr="0088267C">
              <w:rPr>
                <w:sz w:val="20"/>
                <w:szCs w:val="20"/>
              </w:rPr>
              <w:t xml:space="preserve">-Included under the Generic charter/headboat reporting amendment, that modified required logbook reporting for headboat vessels </w:t>
            </w:r>
            <w:r>
              <w:rPr>
                <w:sz w:val="20"/>
                <w:szCs w:val="20"/>
              </w:rPr>
              <w:t xml:space="preserve">to require electronic reporting, </w:t>
            </w:r>
            <w:r w:rsidRPr="0088267C">
              <w:rPr>
                <w:sz w:val="20"/>
                <w:szCs w:val="20"/>
              </w:rPr>
              <w:t xml:space="preserve">regarding </w:t>
            </w:r>
            <w:r>
              <w:rPr>
                <w:sz w:val="20"/>
                <w:szCs w:val="20"/>
              </w:rPr>
              <w:t>snapper grouper</w:t>
            </w:r>
            <w:r w:rsidRPr="0088267C">
              <w:rPr>
                <w:sz w:val="20"/>
                <w:szCs w:val="20"/>
              </w:rPr>
              <w:t xml:space="preserve"> landings</w:t>
            </w:r>
            <w:r>
              <w:rPr>
                <w:sz w:val="20"/>
                <w:szCs w:val="20"/>
              </w:rPr>
              <w:t>.</w:t>
            </w:r>
          </w:p>
        </w:tc>
      </w:tr>
      <w:tr w:rsidR="002E3407" w14:paraId="76AF9B1B" w14:textId="77777777" w:rsidTr="00EE4E8C">
        <w:trPr>
          <w:trHeight w:val="1160"/>
        </w:trPr>
        <w:tc>
          <w:tcPr>
            <w:tcW w:w="1638" w:type="dxa"/>
            <w:shd w:val="clear" w:color="auto" w:fill="FFFFFF" w:themeFill="background1"/>
            <w:vAlign w:val="center"/>
          </w:tcPr>
          <w:p w14:paraId="4787A733" w14:textId="77777777" w:rsidR="002E3407" w:rsidRPr="009C2689" w:rsidRDefault="002E3407" w:rsidP="00EE4E8C">
            <w:pPr>
              <w:jc w:val="center"/>
              <w:rPr>
                <w:sz w:val="20"/>
                <w:szCs w:val="20"/>
              </w:rPr>
            </w:pPr>
            <w:r w:rsidRPr="009C2689">
              <w:rPr>
                <w:sz w:val="20"/>
                <w:szCs w:val="20"/>
              </w:rPr>
              <w:t>Blueline Tilefish Emergency Rule</w:t>
            </w:r>
          </w:p>
        </w:tc>
        <w:tc>
          <w:tcPr>
            <w:tcW w:w="1350" w:type="dxa"/>
            <w:shd w:val="clear" w:color="auto" w:fill="FFFFFF" w:themeFill="background1"/>
            <w:vAlign w:val="center"/>
          </w:tcPr>
          <w:p w14:paraId="3A2617AF" w14:textId="77777777" w:rsidR="002E3407" w:rsidRPr="009C2689" w:rsidRDefault="002E3407" w:rsidP="00EE4E8C">
            <w:pPr>
              <w:jc w:val="center"/>
              <w:rPr>
                <w:sz w:val="20"/>
                <w:szCs w:val="20"/>
              </w:rPr>
            </w:pPr>
            <w:r>
              <w:rPr>
                <w:sz w:val="20"/>
                <w:szCs w:val="20"/>
              </w:rPr>
              <w:t xml:space="preserve">4/17/2014 through </w:t>
            </w:r>
            <w:r w:rsidRPr="009C2689">
              <w:rPr>
                <w:sz w:val="20"/>
                <w:szCs w:val="20"/>
              </w:rPr>
              <w:t>10/10/2014</w:t>
            </w:r>
            <w:r>
              <w:rPr>
                <w:sz w:val="20"/>
                <w:szCs w:val="20"/>
              </w:rPr>
              <w:t xml:space="preserve"> or 4/18/2015</w:t>
            </w:r>
          </w:p>
        </w:tc>
        <w:tc>
          <w:tcPr>
            <w:tcW w:w="1620" w:type="dxa"/>
            <w:shd w:val="clear" w:color="auto" w:fill="FFFFFF" w:themeFill="background1"/>
            <w:vAlign w:val="center"/>
          </w:tcPr>
          <w:p w14:paraId="62676B57" w14:textId="77777777" w:rsidR="002E3407" w:rsidRPr="009C2689" w:rsidRDefault="002E3407" w:rsidP="00EE4E8C">
            <w:pPr>
              <w:jc w:val="center"/>
              <w:rPr>
                <w:sz w:val="20"/>
                <w:szCs w:val="20"/>
              </w:rPr>
            </w:pPr>
            <w:r w:rsidRPr="009C2689">
              <w:rPr>
                <w:sz w:val="20"/>
                <w:szCs w:val="20"/>
              </w:rPr>
              <w:t>PR: 79 FR 21636</w:t>
            </w:r>
          </w:p>
          <w:p w14:paraId="348DCF7C" w14:textId="77777777" w:rsidR="002E3407" w:rsidRPr="009C2689" w:rsidRDefault="002E3407" w:rsidP="00EE4E8C">
            <w:pPr>
              <w:jc w:val="center"/>
              <w:rPr>
                <w:sz w:val="20"/>
                <w:szCs w:val="20"/>
              </w:rPr>
            </w:pPr>
            <w:r w:rsidRPr="009C2689">
              <w:rPr>
                <w:sz w:val="20"/>
                <w:szCs w:val="20"/>
              </w:rPr>
              <w:t>FR:79 FR 61262</w:t>
            </w:r>
          </w:p>
        </w:tc>
        <w:tc>
          <w:tcPr>
            <w:tcW w:w="4590" w:type="dxa"/>
            <w:shd w:val="clear" w:color="auto" w:fill="FFFFFF" w:themeFill="background1"/>
          </w:tcPr>
          <w:p w14:paraId="3F5D8A95" w14:textId="77777777" w:rsidR="002E3407" w:rsidRPr="009C2689" w:rsidRDefault="002E3407" w:rsidP="00EE4E8C">
            <w:pPr>
              <w:autoSpaceDE w:val="0"/>
              <w:autoSpaceDN w:val="0"/>
              <w:adjustRightInd w:val="0"/>
              <w:rPr>
                <w:rFonts w:eastAsiaTheme="minorHAnsi"/>
                <w:sz w:val="20"/>
                <w:szCs w:val="20"/>
              </w:rPr>
            </w:pPr>
            <w:r w:rsidRPr="009C2689">
              <w:rPr>
                <w:rFonts w:eastAsiaTheme="minorHAnsi"/>
                <w:sz w:val="20"/>
                <w:szCs w:val="20"/>
              </w:rPr>
              <w:t>-Removed the blueline tilefish portion from the deep-water complex ACL;</w:t>
            </w:r>
          </w:p>
          <w:p w14:paraId="029A5B5C" w14:textId="77777777" w:rsidR="002E3407" w:rsidRPr="009C2689" w:rsidRDefault="002E3407" w:rsidP="00EE4E8C">
            <w:pPr>
              <w:autoSpaceDE w:val="0"/>
              <w:autoSpaceDN w:val="0"/>
              <w:adjustRightInd w:val="0"/>
              <w:rPr>
                <w:rFonts w:eastAsiaTheme="minorHAnsi"/>
                <w:sz w:val="20"/>
                <w:szCs w:val="20"/>
              </w:rPr>
            </w:pPr>
            <w:r w:rsidRPr="009C2689">
              <w:rPr>
                <w:rFonts w:eastAsiaTheme="minorHAnsi"/>
                <w:sz w:val="20"/>
                <w:szCs w:val="20"/>
              </w:rPr>
              <w:t>-Established separate commercial and recreational ACLs and AMs for blueline tilefish.</w:t>
            </w:r>
          </w:p>
        </w:tc>
      </w:tr>
      <w:tr w:rsidR="002E3407" w14:paraId="26403E31" w14:textId="77777777" w:rsidTr="00EE4E8C">
        <w:trPr>
          <w:trHeight w:val="1160"/>
        </w:trPr>
        <w:tc>
          <w:tcPr>
            <w:tcW w:w="1638" w:type="dxa"/>
            <w:shd w:val="clear" w:color="auto" w:fill="FFFFFF" w:themeFill="background1"/>
            <w:vAlign w:val="center"/>
          </w:tcPr>
          <w:p w14:paraId="49DE4DFA" w14:textId="77777777" w:rsidR="002E3407" w:rsidRDefault="002E3407" w:rsidP="00EE4E8C">
            <w:pPr>
              <w:jc w:val="center"/>
              <w:rPr>
                <w:sz w:val="20"/>
                <w:szCs w:val="20"/>
              </w:rPr>
            </w:pPr>
            <w:r>
              <w:rPr>
                <w:sz w:val="20"/>
                <w:szCs w:val="20"/>
              </w:rPr>
              <w:t>Regulatory Amendment # 21</w:t>
            </w:r>
          </w:p>
          <w:p w14:paraId="70624144" w14:textId="77777777" w:rsidR="002E3407" w:rsidRDefault="002E3407" w:rsidP="00EE4E8C">
            <w:pPr>
              <w:jc w:val="center"/>
              <w:rPr>
                <w:sz w:val="20"/>
                <w:szCs w:val="20"/>
              </w:rPr>
            </w:pPr>
          </w:p>
          <w:p w14:paraId="046EB88E" w14:textId="77777777" w:rsidR="002E3407" w:rsidRPr="00640348" w:rsidRDefault="002E3407" w:rsidP="00EE4E8C">
            <w:pPr>
              <w:jc w:val="center"/>
              <w:rPr>
                <w:sz w:val="20"/>
                <w:szCs w:val="20"/>
              </w:rPr>
            </w:pPr>
            <w:r>
              <w:rPr>
                <w:sz w:val="20"/>
                <w:szCs w:val="20"/>
              </w:rPr>
              <w:t>(2014)</w:t>
            </w:r>
          </w:p>
        </w:tc>
        <w:tc>
          <w:tcPr>
            <w:tcW w:w="1350" w:type="dxa"/>
            <w:shd w:val="clear" w:color="auto" w:fill="FFFFFF" w:themeFill="background1"/>
            <w:vAlign w:val="center"/>
          </w:tcPr>
          <w:p w14:paraId="26AAD3F6" w14:textId="77777777" w:rsidR="002E3407" w:rsidRPr="00640348" w:rsidRDefault="002E3407" w:rsidP="00EE4E8C">
            <w:pPr>
              <w:jc w:val="center"/>
              <w:rPr>
                <w:sz w:val="20"/>
                <w:szCs w:val="20"/>
              </w:rPr>
            </w:pPr>
            <w:r>
              <w:rPr>
                <w:sz w:val="20"/>
                <w:szCs w:val="20"/>
              </w:rPr>
              <w:t>11/6/2014</w:t>
            </w:r>
          </w:p>
        </w:tc>
        <w:tc>
          <w:tcPr>
            <w:tcW w:w="1620" w:type="dxa"/>
            <w:shd w:val="clear" w:color="auto" w:fill="FFFFFF" w:themeFill="background1"/>
            <w:vAlign w:val="center"/>
          </w:tcPr>
          <w:p w14:paraId="02925CF0" w14:textId="77777777" w:rsidR="002E3407" w:rsidRDefault="002E3407" w:rsidP="00EE4E8C">
            <w:pPr>
              <w:jc w:val="center"/>
              <w:rPr>
                <w:sz w:val="20"/>
                <w:szCs w:val="20"/>
              </w:rPr>
            </w:pPr>
            <w:r>
              <w:rPr>
                <w:sz w:val="20"/>
                <w:szCs w:val="20"/>
              </w:rPr>
              <w:t>PR: 79 FR 44735</w:t>
            </w:r>
          </w:p>
          <w:p w14:paraId="44040B20" w14:textId="77777777" w:rsidR="002E3407" w:rsidRPr="00640348" w:rsidRDefault="002E3407" w:rsidP="00EE4E8C">
            <w:pPr>
              <w:jc w:val="center"/>
              <w:rPr>
                <w:sz w:val="20"/>
                <w:szCs w:val="20"/>
              </w:rPr>
            </w:pPr>
            <w:r>
              <w:rPr>
                <w:sz w:val="20"/>
                <w:szCs w:val="20"/>
              </w:rPr>
              <w:t>FR: 79 FR 60379</w:t>
            </w:r>
          </w:p>
        </w:tc>
        <w:tc>
          <w:tcPr>
            <w:tcW w:w="4590" w:type="dxa"/>
            <w:shd w:val="clear" w:color="auto" w:fill="FFFFFF" w:themeFill="background1"/>
          </w:tcPr>
          <w:p w14:paraId="6A2B9D59" w14:textId="77777777" w:rsidR="002E3407" w:rsidRPr="009678D1" w:rsidRDefault="002E3407" w:rsidP="00EE4E8C">
            <w:pPr>
              <w:autoSpaceDE w:val="0"/>
              <w:autoSpaceDN w:val="0"/>
              <w:adjustRightInd w:val="0"/>
              <w:rPr>
                <w:sz w:val="20"/>
                <w:szCs w:val="20"/>
              </w:rPr>
            </w:pPr>
            <w:r w:rsidRPr="009678D1">
              <w:rPr>
                <w:rFonts w:eastAsiaTheme="minorHAnsi"/>
                <w:sz w:val="20"/>
                <w:szCs w:val="20"/>
              </w:rPr>
              <w:t xml:space="preserve">-Modified the definition of the overfished threshold </w:t>
            </w:r>
            <w:r>
              <w:rPr>
                <w:rFonts w:eastAsiaTheme="minorHAnsi"/>
                <w:sz w:val="20"/>
                <w:szCs w:val="20"/>
              </w:rPr>
              <w:t xml:space="preserve">(MSST) </w:t>
            </w:r>
            <w:r w:rsidRPr="009678D1">
              <w:rPr>
                <w:rFonts w:eastAsiaTheme="minorHAnsi"/>
                <w:sz w:val="20"/>
                <w:szCs w:val="20"/>
              </w:rPr>
              <w:t>for red snapper, blueline tilefish, gag, black grouper, yellowtail snapper, vermilion snapper, red porgy, and greater amberjack</w:t>
            </w:r>
            <w:r>
              <w:rPr>
                <w:rFonts w:eastAsiaTheme="minorHAnsi"/>
                <w:sz w:val="20"/>
                <w:szCs w:val="20"/>
              </w:rPr>
              <w:t>.</w:t>
            </w:r>
          </w:p>
        </w:tc>
      </w:tr>
      <w:tr w:rsidR="002E3407" w14:paraId="4C8FE414" w14:textId="77777777" w:rsidTr="00EE4E8C">
        <w:trPr>
          <w:trHeight w:val="1160"/>
        </w:trPr>
        <w:tc>
          <w:tcPr>
            <w:tcW w:w="1638" w:type="dxa"/>
            <w:shd w:val="clear" w:color="auto" w:fill="auto"/>
            <w:vAlign w:val="center"/>
          </w:tcPr>
          <w:p w14:paraId="099EB5FF" w14:textId="77777777" w:rsidR="002E3407" w:rsidRDefault="002E3407" w:rsidP="00EE4E8C">
            <w:pPr>
              <w:jc w:val="center"/>
              <w:rPr>
                <w:sz w:val="20"/>
                <w:szCs w:val="20"/>
              </w:rPr>
            </w:pPr>
            <w:r w:rsidRPr="00640348">
              <w:rPr>
                <w:sz w:val="20"/>
                <w:szCs w:val="20"/>
              </w:rPr>
              <w:t>Regulatory Amendment #14</w:t>
            </w:r>
          </w:p>
          <w:p w14:paraId="28B8A319" w14:textId="77777777" w:rsidR="002E3407" w:rsidRDefault="002E3407" w:rsidP="00EE4E8C">
            <w:pPr>
              <w:jc w:val="center"/>
              <w:rPr>
                <w:sz w:val="20"/>
                <w:szCs w:val="20"/>
              </w:rPr>
            </w:pPr>
          </w:p>
          <w:p w14:paraId="4E55B70B" w14:textId="77777777" w:rsidR="002E3407" w:rsidRPr="00640348" w:rsidRDefault="002E3407" w:rsidP="00EE4E8C">
            <w:pPr>
              <w:jc w:val="center"/>
              <w:rPr>
                <w:sz w:val="20"/>
                <w:szCs w:val="20"/>
              </w:rPr>
            </w:pPr>
            <w:r>
              <w:rPr>
                <w:sz w:val="20"/>
                <w:szCs w:val="20"/>
              </w:rPr>
              <w:t>(2013)</w:t>
            </w:r>
          </w:p>
        </w:tc>
        <w:tc>
          <w:tcPr>
            <w:tcW w:w="1350" w:type="dxa"/>
            <w:shd w:val="clear" w:color="auto" w:fill="auto"/>
            <w:vAlign w:val="center"/>
          </w:tcPr>
          <w:p w14:paraId="495C0D58" w14:textId="77777777" w:rsidR="002E3407" w:rsidRPr="00640348" w:rsidRDefault="002E3407" w:rsidP="00EE4E8C">
            <w:pPr>
              <w:jc w:val="center"/>
              <w:rPr>
                <w:sz w:val="20"/>
                <w:szCs w:val="20"/>
              </w:rPr>
            </w:pPr>
            <w:r w:rsidRPr="00640348">
              <w:rPr>
                <w:sz w:val="20"/>
                <w:szCs w:val="20"/>
              </w:rPr>
              <w:t>12/8/</w:t>
            </w:r>
            <w:r>
              <w:rPr>
                <w:sz w:val="20"/>
                <w:szCs w:val="20"/>
              </w:rPr>
              <w:t>20</w:t>
            </w:r>
            <w:r w:rsidRPr="00640348">
              <w:rPr>
                <w:sz w:val="20"/>
                <w:szCs w:val="20"/>
              </w:rPr>
              <w:t>14</w:t>
            </w:r>
          </w:p>
        </w:tc>
        <w:tc>
          <w:tcPr>
            <w:tcW w:w="1620" w:type="dxa"/>
            <w:shd w:val="clear" w:color="auto" w:fill="auto"/>
            <w:vAlign w:val="center"/>
          </w:tcPr>
          <w:p w14:paraId="6B78B578" w14:textId="77777777" w:rsidR="002E3407" w:rsidRPr="00640348" w:rsidRDefault="002E3407" w:rsidP="00EE4E8C">
            <w:pPr>
              <w:jc w:val="center"/>
              <w:rPr>
                <w:sz w:val="20"/>
                <w:szCs w:val="20"/>
              </w:rPr>
            </w:pPr>
            <w:r w:rsidRPr="00640348">
              <w:rPr>
                <w:sz w:val="20"/>
                <w:szCs w:val="20"/>
              </w:rPr>
              <w:t>PR: 79 FR 22936</w:t>
            </w:r>
          </w:p>
          <w:p w14:paraId="10D6A7E5" w14:textId="77777777" w:rsidR="002E3407" w:rsidRPr="00640348" w:rsidRDefault="002E3407" w:rsidP="00EE4E8C">
            <w:pPr>
              <w:jc w:val="center"/>
              <w:rPr>
                <w:sz w:val="20"/>
                <w:szCs w:val="20"/>
              </w:rPr>
            </w:pPr>
            <w:r w:rsidRPr="00640348">
              <w:rPr>
                <w:sz w:val="20"/>
                <w:szCs w:val="20"/>
              </w:rPr>
              <w:t xml:space="preserve">FR: </w:t>
            </w:r>
            <w:r w:rsidRPr="00640348">
              <w:rPr>
                <w:rFonts w:eastAsia="Calibri"/>
                <w:iCs/>
                <w:sz w:val="20"/>
                <w:szCs w:val="20"/>
              </w:rPr>
              <w:t>79 FR 66316</w:t>
            </w:r>
          </w:p>
        </w:tc>
        <w:tc>
          <w:tcPr>
            <w:tcW w:w="4590" w:type="dxa"/>
            <w:shd w:val="clear" w:color="auto" w:fill="auto"/>
          </w:tcPr>
          <w:p w14:paraId="15F3B3DE" w14:textId="77777777" w:rsidR="002E3407" w:rsidRPr="009678D1" w:rsidRDefault="002E3407" w:rsidP="00EE4E8C">
            <w:pPr>
              <w:rPr>
                <w:sz w:val="20"/>
                <w:szCs w:val="20"/>
              </w:rPr>
            </w:pPr>
            <w:r w:rsidRPr="009678D1">
              <w:rPr>
                <w:sz w:val="20"/>
                <w:szCs w:val="20"/>
              </w:rPr>
              <w:t xml:space="preserve">-Modified the </w:t>
            </w:r>
            <w:r>
              <w:rPr>
                <w:sz w:val="20"/>
                <w:szCs w:val="20"/>
              </w:rPr>
              <w:t xml:space="preserve">commercial and recreational </w:t>
            </w:r>
            <w:r w:rsidRPr="009678D1">
              <w:rPr>
                <w:sz w:val="20"/>
                <w:szCs w:val="20"/>
              </w:rPr>
              <w:t>fishing year for greater amberjack;</w:t>
            </w:r>
          </w:p>
          <w:p w14:paraId="4147FD8D" w14:textId="77777777" w:rsidR="002E3407" w:rsidRDefault="002E3407" w:rsidP="00EE4E8C">
            <w:pPr>
              <w:rPr>
                <w:sz w:val="20"/>
                <w:szCs w:val="20"/>
              </w:rPr>
            </w:pPr>
            <w:r w:rsidRPr="009678D1">
              <w:rPr>
                <w:sz w:val="20"/>
                <w:szCs w:val="20"/>
              </w:rPr>
              <w:t>-Modified the</w:t>
            </w:r>
            <w:r>
              <w:rPr>
                <w:sz w:val="20"/>
                <w:szCs w:val="20"/>
              </w:rPr>
              <w:t xml:space="preserve"> commercial and recreational sector</w:t>
            </w:r>
            <w:r w:rsidRPr="009678D1">
              <w:rPr>
                <w:sz w:val="20"/>
                <w:szCs w:val="20"/>
              </w:rPr>
              <w:t xml:space="preserve"> fishing year</w:t>
            </w:r>
            <w:r>
              <w:rPr>
                <w:sz w:val="20"/>
                <w:szCs w:val="20"/>
              </w:rPr>
              <w:t>s</w:t>
            </w:r>
            <w:r w:rsidRPr="009678D1">
              <w:rPr>
                <w:sz w:val="20"/>
                <w:szCs w:val="20"/>
              </w:rPr>
              <w:t xml:space="preserve"> for black sea bass; </w:t>
            </w:r>
          </w:p>
          <w:p w14:paraId="01D6E304" w14:textId="77777777" w:rsidR="002E3407" w:rsidRPr="009678D1" w:rsidRDefault="002E3407" w:rsidP="00EE4E8C">
            <w:pPr>
              <w:rPr>
                <w:sz w:val="20"/>
                <w:szCs w:val="20"/>
              </w:rPr>
            </w:pPr>
            <w:r>
              <w:rPr>
                <w:sz w:val="20"/>
                <w:szCs w:val="20"/>
              </w:rPr>
              <w:t xml:space="preserve">-Modified the recreational AM for </w:t>
            </w:r>
            <w:r w:rsidRPr="009678D1">
              <w:rPr>
                <w:sz w:val="20"/>
                <w:szCs w:val="20"/>
              </w:rPr>
              <w:t>black sea bass;</w:t>
            </w:r>
          </w:p>
          <w:p w14:paraId="2BCFCD4C" w14:textId="77777777" w:rsidR="002E3407" w:rsidRDefault="002E3407" w:rsidP="00EE4E8C">
            <w:pPr>
              <w:rPr>
                <w:sz w:val="20"/>
                <w:szCs w:val="20"/>
              </w:rPr>
            </w:pPr>
            <w:r>
              <w:rPr>
                <w:sz w:val="20"/>
                <w:szCs w:val="20"/>
              </w:rPr>
              <w:t>-Modified the recreational AM</w:t>
            </w:r>
            <w:r w:rsidRPr="009678D1">
              <w:rPr>
                <w:sz w:val="20"/>
                <w:szCs w:val="20"/>
              </w:rPr>
              <w:t xml:space="preserve"> for vermilion snapper</w:t>
            </w:r>
            <w:r>
              <w:rPr>
                <w:sz w:val="20"/>
                <w:szCs w:val="20"/>
              </w:rPr>
              <w:t>;</w:t>
            </w:r>
          </w:p>
          <w:p w14:paraId="5E03A2F8" w14:textId="77777777" w:rsidR="002E3407" w:rsidRPr="009678D1" w:rsidRDefault="002E3407" w:rsidP="00EE4E8C">
            <w:pPr>
              <w:rPr>
                <w:sz w:val="20"/>
                <w:szCs w:val="20"/>
              </w:rPr>
            </w:pPr>
            <w:r w:rsidRPr="009678D1">
              <w:rPr>
                <w:sz w:val="20"/>
                <w:szCs w:val="20"/>
              </w:rPr>
              <w:t xml:space="preserve">-Modify the </w:t>
            </w:r>
            <w:r>
              <w:rPr>
                <w:sz w:val="20"/>
                <w:szCs w:val="20"/>
              </w:rPr>
              <w:t xml:space="preserve">commercial </w:t>
            </w:r>
            <w:r w:rsidRPr="009678D1">
              <w:rPr>
                <w:sz w:val="20"/>
                <w:szCs w:val="20"/>
              </w:rPr>
              <w:t>trip limit for gag.</w:t>
            </w:r>
          </w:p>
        </w:tc>
      </w:tr>
      <w:tr w:rsidR="002E3407" w14:paraId="09063FEA" w14:textId="77777777" w:rsidTr="00EE4E8C">
        <w:trPr>
          <w:trHeight w:val="1160"/>
        </w:trPr>
        <w:tc>
          <w:tcPr>
            <w:tcW w:w="1638" w:type="dxa"/>
            <w:shd w:val="clear" w:color="auto" w:fill="D9D9D9" w:themeFill="background1" w:themeFillShade="D9"/>
            <w:vAlign w:val="center"/>
          </w:tcPr>
          <w:p w14:paraId="472DA0E4" w14:textId="77777777" w:rsidR="002E3407" w:rsidRDefault="002E3407" w:rsidP="00EE4E8C">
            <w:pPr>
              <w:jc w:val="center"/>
              <w:rPr>
                <w:sz w:val="20"/>
                <w:szCs w:val="20"/>
              </w:rPr>
            </w:pPr>
            <w:r w:rsidRPr="00640348">
              <w:rPr>
                <w:sz w:val="20"/>
                <w:szCs w:val="20"/>
              </w:rPr>
              <w:lastRenderedPageBreak/>
              <w:t>Amendment #32</w:t>
            </w:r>
          </w:p>
          <w:p w14:paraId="3C822B90" w14:textId="77777777" w:rsidR="002E3407" w:rsidRDefault="002E3407" w:rsidP="00EE4E8C">
            <w:pPr>
              <w:jc w:val="center"/>
              <w:rPr>
                <w:sz w:val="20"/>
                <w:szCs w:val="20"/>
              </w:rPr>
            </w:pPr>
          </w:p>
          <w:p w14:paraId="68CDF9E5" w14:textId="77777777" w:rsidR="002E3407" w:rsidRPr="00640348" w:rsidRDefault="002E3407" w:rsidP="00EE4E8C">
            <w:pPr>
              <w:jc w:val="center"/>
              <w:rPr>
                <w:sz w:val="20"/>
                <w:szCs w:val="20"/>
              </w:rPr>
            </w:pPr>
            <w:r>
              <w:rPr>
                <w:sz w:val="20"/>
                <w:szCs w:val="20"/>
              </w:rPr>
              <w:t>(2014)</w:t>
            </w:r>
          </w:p>
        </w:tc>
        <w:tc>
          <w:tcPr>
            <w:tcW w:w="1350" w:type="dxa"/>
            <w:shd w:val="clear" w:color="auto" w:fill="D9D9D9" w:themeFill="background1" w:themeFillShade="D9"/>
            <w:vAlign w:val="center"/>
          </w:tcPr>
          <w:p w14:paraId="40F8A414" w14:textId="77777777" w:rsidR="002E3407" w:rsidRPr="00640348" w:rsidRDefault="002E3407" w:rsidP="00EE4E8C">
            <w:pPr>
              <w:jc w:val="center"/>
              <w:rPr>
                <w:sz w:val="20"/>
                <w:szCs w:val="20"/>
              </w:rPr>
            </w:pPr>
            <w:r>
              <w:rPr>
                <w:sz w:val="20"/>
                <w:szCs w:val="20"/>
              </w:rPr>
              <w:t>3/30/2015</w:t>
            </w:r>
          </w:p>
        </w:tc>
        <w:tc>
          <w:tcPr>
            <w:tcW w:w="1620" w:type="dxa"/>
            <w:shd w:val="clear" w:color="auto" w:fill="D9D9D9" w:themeFill="background1" w:themeFillShade="D9"/>
            <w:vAlign w:val="center"/>
          </w:tcPr>
          <w:p w14:paraId="1DBB5D99" w14:textId="77777777" w:rsidR="002E3407" w:rsidRDefault="002E3407" w:rsidP="00EE4E8C">
            <w:pPr>
              <w:rPr>
                <w:sz w:val="20"/>
                <w:szCs w:val="20"/>
              </w:rPr>
            </w:pPr>
            <w:r>
              <w:rPr>
                <w:sz w:val="20"/>
                <w:szCs w:val="20"/>
              </w:rPr>
              <w:t>PR: 80 FR 3207</w:t>
            </w:r>
          </w:p>
          <w:p w14:paraId="38027140" w14:textId="77777777" w:rsidR="002E3407" w:rsidRPr="00640348" w:rsidRDefault="002E3407" w:rsidP="00EE4E8C">
            <w:pPr>
              <w:jc w:val="center"/>
              <w:rPr>
                <w:sz w:val="20"/>
                <w:szCs w:val="20"/>
              </w:rPr>
            </w:pPr>
            <w:r>
              <w:rPr>
                <w:sz w:val="20"/>
                <w:szCs w:val="20"/>
              </w:rPr>
              <w:t>FR: 80 FR 16583</w:t>
            </w:r>
          </w:p>
        </w:tc>
        <w:tc>
          <w:tcPr>
            <w:tcW w:w="4590" w:type="dxa"/>
            <w:shd w:val="clear" w:color="auto" w:fill="D9D9D9" w:themeFill="background1" w:themeFillShade="D9"/>
          </w:tcPr>
          <w:p w14:paraId="50BF86B5" w14:textId="77777777" w:rsidR="002E3407" w:rsidRPr="00FF5D1E" w:rsidRDefault="002E3407" w:rsidP="00EE4E8C">
            <w:pPr>
              <w:rPr>
                <w:sz w:val="20"/>
              </w:rPr>
            </w:pPr>
            <w:r w:rsidRPr="00FF5D1E">
              <w:rPr>
                <w:sz w:val="20"/>
              </w:rPr>
              <w:t>-End overfishing of blueline tilefish</w:t>
            </w:r>
            <w:r>
              <w:rPr>
                <w:sz w:val="20"/>
              </w:rPr>
              <w:t>;</w:t>
            </w:r>
          </w:p>
          <w:p w14:paraId="5E9F9B27" w14:textId="77777777" w:rsidR="002E3407" w:rsidRDefault="002E3407" w:rsidP="00EE4E8C">
            <w:pPr>
              <w:rPr>
                <w:sz w:val="20"/>
              </w:rPr>
            </w:pPr>
            <w:r w:rsidRPr="00FF5D1E">
              <w:rPr>
                <w:sz w:val="20"/>
              </w:rPr>
              <w:t>-</w:t>
            </w:r>
            <w:r>
              <w:rPr>
                <w:sz w:val="20"/>
              </w:rPr>
              <w:t>Removed</w:t>
            </w:r>
            <w:r w:rsidRPr="00FF5D1E">
              <w:rPr>
                <w:sz w:val="20"/>
              </w:rPr>
              <w:t xml:space="preserve"> blueline tilefish from the deepwater complex</w:t>
            </w:r>
            <w:r>
              <w:rPr>
                <w:sz w:val="20"/>
              </w:rPr>
              <w:t>;</w:t>
            </w:r>
          </w:p>
          <w:p w14:paraId="2C10195C" w14:textId="77777777" w:rsidR="002E3407" w:rsidRPr="00FF5D1E" w:rsidRDefault="002E3407" w:rsidP="00EE4E8C">
            <w:pPr>
              <w:rPr>
                <w:sz w:val="20"/>
              </w:rPr>
            </w:pPr>
            <w:r>
              <w:rPr>
                <w:sz w:val="20"/>
              </w:rPr>
              <w:t>-Specified</w:t>
            </w:r>
            <w:r w:rsidRPr="00FF5D1E">
              <w:rPr>
                <w:sz w:val="20"/>
              </w:rPr>
              <w:t xml:space="preserve"> AMs</w:t>
            </w:r>
            <w:r>
              <w:rPr>
                <w:sz w:val="20"/>
              </w:rPr>
              <w:t>, ACLs, recreational ACLs, commercial trip limit, adjust recreational bag limit</w:t>
            </w:r>
            <w:r w:rsidRPr="00FF5D1E">
              <w:rPr>
                <w:sz w:val="20"/>
              </w:rPr>
              <w:t xml:space="preserve"> for blueline tilefish</w:t>
            </w:r>
            <w:r>
              <w:rPr>
                <w:sz w:val="20"/>
              </w:rPr>
              <w:t>;</w:t>
            </w:r>
          </w:p>
          <w:p w14:paraId="00A9B15F" w14:textId="77777777" w:rsidR="002E3407" w:rsidRPr="00EE4228" w:rsidRDefault="002E3407" w:rsidP="00EE4E8C">
            <w:pPr>
              <w:rPr>
                <w:sz w:val="20"/>
              </w:rPr>
            </w:pPr>
            <w:r>
              <w:rPr>
                <w:sz w:val="20"/>
              </w:rPr>
              <w:t>-Specified</w:t>
            </w:r>
            <w:r w:rsidRPr="00FF5D1E">
              <w:rPr>
                <w:sz w:val="20"/>
              </w:rPr>
              <w:t xml:space="preserve"> ACLs</w:t>
            </w:r>
            <w:r>
              <w:rPr>
                <w:sz w:val="20"/>
              </w:rPr>
              <w:t xml:space="preserve"> and revised the AMs</w:t>
            </w:r>
            <w:r w:rsidRPr="00FF5D1E">
              <w:rPr>
                <w:sz w:val="20"/>
              </w:rPr>
              <w:t xml:space="preserve"> for the </w:t>
            </w:r>
            <w:r>
              <w:rPr>
                <w:sz w:val="20"/>
              </w:rPr>
              <w:t xml:space="preserve">recreational section of the </w:t>
            </w:r>
            <w:r w:rsidRPr="00FF5D1E">
              <w:rPr>
                <w:sz w:val="20"/>
              </w:rPr>
              <w:t>deepwater complex</w:t>
            </w:r>
            <w:r>
              <w:rPr>
                <w:sz w:val="20"/>
              </w:rPr>
              <w:t xml:space="preserve"> (yellowedge grouper, silk snapper, misty grouper, queen snapper, sand tilefish, black snapper, and blackfin snapper);</w:t>
            </w:r>
          </w:p>
        </w:tc>
      </w:tr>
      <w:tr w:rsidR="002E3407" w14:paraId="7E28CF65" w14:textId="77777777" w:rsidTr="00EE4E8C">
        <w:trPr>
          <w:trHeight w:val="1160"/>
        </w:trPr>
        <w:tc>
          <w:tcPr>
            <w:tcW w:w="1638" w:type="dxa"/>
            <w:shd w:val="clear" w:color="auto" w:fill="D9D9D9" w:themeFill="background1" w:themeFillShade="D9"/>
            <w:vAlign w:val="center"/>
          </w:tcPr>
          <w:p w14:paraId="4FCEA28A" w14:textId="77777777" w:rsidR="002E3407" w:rsidRDefault="002E3407" w:rsidP="00EE4E8C">
            <w:pPr>
              <w:jc w:val="center"/>
              <w:rPr>
                <w:sz w:val="20"/>
                <w:szCs w:val="20"/>
              </w:rPr>
            </w:pPr>
            <w:r>
              <w:rPr>
                <w:sz w:val="20"/>
                <w:szCs w:val="20"/>
              </w:rPr>
              <w:t>Amendment #</w:t>
            </w:r>
            <w:r w:rsidRPr="00640348">
              <w:rPr>
                <w:sz w:val="20"/>
                <w:szCs w:val="20"/>
              </w:rPr>
              <w:t>29</w:t>
            </w:r>
          </w:p>
          <w:p w14:paraId="453E65C1" w14:textId="77777777" w:rsidR="002E3407" w:rsidRDefault="002E3407" w:rsidP="00EE4E8C">
            <w:pPr>
              <w:jc w:val="center"/>
              <w:rPr>
                <w:sz w:val="20"/>
                <w:szCs w:val="20"/>
              </w:rPr>
            </w:pPr>
          </w:p>
          <w:p w14:paraId="05D28890" w14:textId="77777777" w:rsidR="002E3407" w:rsidRPr="00640348" w:rsidRDefault="002E3407" w:rsidP="00EE4E8C">
            <w:pPr>
              <w:jc w:val="center"/>
              <w:rPr>
                <w:sz w:val="20"/>
                <w:szCs w:val="20"/>
              </w:rPr>
            </w:pPr>
            <w:r>
              <w:rPr>
                <w:sz w:val="20"/>
                <w:szCs w:val="20"/>
              </w:rPr>
              <w:t>(2014)</w:t>
            </w:r>
          </w:p>
        </w:tc>
        <w:tc>
          <w:tcPr>
            <w:tcW w:w="1350" w:type="dxa"/>
            <w:shd w:val="clear" w:color="auto" w:fill="D9D9D9" w:themeFill="background1" w:themeFillShade="D9"/>
            <w:vAlign w:val="center"/>
          </w:tcPr>
          <w:p w14:paraId="78CDC1EB" w14:textId="77777777" w:rsidR="002E3407" w:rsidRPr="00640348" w:rsidRDefault="002E3407" w:rsidP="00EE4E8C">
            <w:pPr>
              <w:jc w:val="center"/>
              <w:rPr>
                <w:sz w:val="20"/>
                <w:szCs w:val="20"/>
              </w:rPr>
            </w:pPr>
            <w:r>
              <w:rPr>
                <w:sz w:val="20"/>
                <w:szCs w:val="20"/>
              </w:rPr>
              <w:t>7/1/2015</w:t>
            </w:r>
          </w:p>
        </w:tc>
        <w:tc>
          <w:tcPr>
            <w:tcW w:w="1620" w:type="dxa"/>
            <w:shd w:val="clear" w:color="auto" w:fill="D9D9D9" w:themeFill="background1" w:themeFillShade="D9"/>
            <w:vAlign w:val="center"/>
          </w:tcPr>
          <w:p w14:paraId="08954AC3" w14:textId="77777777" w:rsidR="002E3407" w:rsidRDefault="002E3407" w:rsidP="00EE4E8C">
            <w:pPr>
              <w:rPr>
                <w:sz w:val="20"/>
                <w:szCs w:val="20"/>
              </w:rPr>
            </w:pPr>
            <w:r>
              <w:rPr>
                <w:sz w:val="20"/>
                <w:szCs w:val="20"/>
              </w:rPr>
              <w:t>NOA:79 FR 69819</w:t>
            </w:r>
            <w:r>
              <w:rPr>
                <w:sz w:val="20"/>
                <w:szCs w:val="20"/>
              </w:rPr>
              <w:br/>
            </w:r>
            <w:r w:rsidRPr="00640348">
              <w:rPr>
                <w:sz w:val="20"/>
                <w:szCs w:val="20"/>
              </w:rPr>
              <w:t>PR: 79 FR 72567</w:t>
            </w:r>
          </w:p>
          <w:p w14:paraId="6261CE04" w14:textId="77777777" w:rsidR="002E3407" w:rsidRPr="00640348" w:rsidRDefault="002E3407" w:rsidP="00EE4E8C">
            <w:pPr>
              <w:jc w:val="center"/>
              <w:rPr>
                <w:sz w:val="20"/>
                <w:szCs w:val="20"/>
              </w:rPr>
            </w:pPr>
            <w:r>
              <w:rPr>
                <w:sz w:val="20"/>
                <w:szCs w:val="20"/>
              </w:rPr>
              <w:t>FR: 80 FR 30947</w:t>
            </w:r>
          </w:p>
        </w:tc>
        <w:tc>
          <w:tcPr>
            <w:tcW w:w="4590" w:type="dxa"/>
            <w:shd w:val="clear" w:color="auto" w:fill="D9D9D9" w:themeFill="background1" w:themeFillShade="D9"/>
          </w:tcPr>
          <w:p w14:paraId="5D294B9D" w14:textId="77777777" w:rsidR="002E3407" w:rsidRDefault="002E3407" w:rsidP="00EE4E8C">
            <w:pPr>
              <w:rPr>
                <w:sz w:val="20"/>
                <w:szCs w:val="20"/>
              </w:rPr>
            </w:pPr>
            <w:r>
              <w:rPr>
                <w:sz w:val="20"/>
                <w:szCs w:val="20"/>
              </w:rPr>
              <w:t>-</w:t>
            </w:r>
            <w:r w:rsidRPr="00640348">
              <w:rPr>
                <w:sz w:val="20"/>
                <w:szCs w:val="20"/>
              </w:rPr>
              <w:t>U</w:t>
            </w:r>
            <w:r>
              <w:rPr>
                <w:sz w:val="20"/>
                <w:szCs w:val="20"/>
              </w:rPr>
              <w:t>pdated</w:t>
            </w:r>
            <w:r w:rsidRPr="00640348">
              <w:rPr>
                <w:sz w:val="20"/>
                <w:szCs w:val="20"/>
              </w:rPr>
              <w:t xml:space="preserve"> </w:t>
            </w:r>
            <w:r>
              <w:rPr>
                <w:sz w:val="20"/>
                <w:szCs w:val="20"/>
              </w:rPr>
              <w:t>the ABC</w:t>
            </w:r>
            <w:r w:rsidRPr="00640348">
              <w:rPr>
                <w:sz w:val="20"/>
                <w:szCs w:val="20"/>
              </w:rPr>
              <w:t xml:space="preserve"> control rule to incorporate methodology for determinin</w:t>
            </w:r>
            <w:r>
              <w:rPr>
                <w:sz w:val="20"/>
                <w:szCs w:val="20"/>
              </w:rPr>
              <w:t>g the ABC of unassessed species;</w:t>
            </w:r>
          </w:p>
          <w:p w14:paraId="1446AFE9" w14:textId="77777777" w:rsidR="002E3407" w:rsidRDefault="002E3407" w:rsidP="00EE4E8C">
            <w:pPr>
              <w:rPr>
                <w:sz w:val="20"/>
                <w:szCs w:val="20"/>
              </w:rPr>
            </w:pPr>
            <w:r>
              <w:rPr>
                <w:sz w:val="20"/>
                <w:szCs w:val="20"/>
              </w:rPr>
              <w:t>-Adjusted the</w:t>
            </w:r>
            <w:r w:rsidRPr="00640348">
              <w:rPr>
                <w:sz w:val="20"/>
                <w:szCs w:val="20"/>
              </w:rPr>
              <w:t xml:space="preserve"> ABCs for fourteen unassessed snapper-gro</w:t>
            </w:r>
            <w:r>
              <w:rPr>
                <w:sz w:val="20"/>
                <w:szCs w:val="20"/>
              </w:rPr>
              <w:t>uper species (see final rule);</w:t>
            </w:r>
          </w:p>
          <w:p w14:paraId="76D74A5E" w14:textId="77777777" w:rsidR="002E3407" w:rsidRDefault="002E3407" w:rsidP="00EE4E8C">
            <w:pPr>
              <w:rPr>
                <w:sz w:val="20"/>
                <w:szCs w:val="20"/>
              </w:rPr>
            </w:pPr>
            <w:r>
              <w:rPr>
                <w:sz w:val="20"/>
                <w:szCs w:val="20"/>
              </w:rPr>
              <w:t>-Adjusted the ACLs</w:t>
            </w:r>
            <w:r w:rsidRPr="00640348">
              <w:rPr>
                <w:sz w:val="20"/>
                <w:szCs w:val="20"/>
              </w:rPr>
              <w:t xml:space="preserve"> and </w:t>
            </w:r>
            <w:r>
              <w:rPr>
                <w:sz w:val="20"/>
                <w:szCs w:val="20"/>
              </w:rPr>
              <w:t xml:space="preserve">ACTs </w:t>
            </w:r>
            <w:r w:rsidRPr="00640348">
              <w:rPr>
                <w:sz w:val="20"/>
                <w:szCs w:val="20"/>
              </w:rPr>
              <w:t>for three species complexes and four snapper-grouper species b</w:t>
            </w:r>
            <w:r>
              <w:rPr>
                <w:sz w:val="20"/>
                <w:szCs w:val="20"/>
              </w:rPr>
              <w:t>ased on revised ABCs;</w:t>
            </w:r>
          </w:p>
          <w:p w14:paraId="3C4CF85A" w14:textId="77777777" w:rsidR="002E3407" w:rsidRDefault="002E3407" w:rsidP="00EE4E8C">
            <w:pPr>
              <w:rPr>
                <w:sz w:val="20"/>
                <w:szCs w:val="20"/>
              </w:rPr>
            </w:pPr>
            <w:r>
              <w:rPr>
                <w:sz w:val="20"/>
                <w:szCs w:val="20"/>
              </w:rPr>
              <w:t>-Established ACLs for unassessed species;</w:t>
            </w:r>
          </w:p>
          <w:p w14:paraId="6FE06671" w14:textId="77777777" w:rsidR="002E3407" w:rsidRDefault="002E3407" w:rsidP="00EE4E8C">
            <w:pPr>
              <w:rPr>
                <w:sz w:val="20"/>
                <w:szCs w:val="20"/>
              </w:rPr>
            </w:pPr>
            <w:r>
              <w:rPr>
                <w:sz w:val="20"/>
                <w:szCs w:val="20"/>
              </w:rPr>
              <w:t xml:space="preserve">-Modified </w:t>
            </w:r>
            <w:r w:rsidRPr="00640348">
              <w:rPr>
                <w:sz w:val="20"/>
                <w:szCs w:val="20"/>
              </w:rPr>
              <w:t>gray trig</w:t>
            </w:r>
            <w:r>
              <w:rPr>
                <w:sz w:val="20"/>
                <w:szCs w:val="20"/>
              </w:rPr>
              <w:t xml:space="preserve">gerfish minimum size limits; </w:t>
            </w:r>
          </w:p>
          <w:p w14:paraId="0EC6DD69" w14:textId="77777777" w:rsidR="002E3407" w:rsidRPr="00640348" w:rsidRDefault="002E3407" w:rsidP="00EE4E8C">
            <w:pPr>
              <w:rPr>
                <w:sz w:val="20"/>
                <w:szCs w:val="20"/>
              </w:rPr>
            </w:pPr>
            <w:r>
              <w:rPr>
                <w:sz w:val="20"/>
                <w:szCs w:val="20"/>
              </w:rPr>
              <w:t>-E</w:t>
            </w:r>
            <w:r w:rsidRPr="00640348">
              <w:rPr>
                <w:sz w:val="20"/>
                <w:szCs w:val="20"/>
              </w:rPr>
              <w:t>stablish</w:t>
            </w:r>
            <w:r>
              <w:rPr>
                <w:sz w:val="20"/>
                <w:szCs w:val="20"/>
              </w:rPr>
              <w:t>ed</w:t>
            </w:r>
            <w:r w:rsidRPr="00640348">
              <w:rPr>
                <w:sz w:val="20"/>
                <w:szCs w:val="20"/>
              </w:rPr>
              <w:t xml:space="preserve"> a commercial split season and commercial trip limits for gray triggerfish.</w:t>
            </w:r>
          </w:p>
        </w:tc>
      </w:tr>
      <w:tr w:rsidR="002E3407" w14:paraId="01078555" w14:textId="77777777" w:rsidTr="00EE4E8C">
        <w:trPr>
          <w:trHeight w:val="1160"/>
        </w:trPr>
        <w:tc>
          <w:tcPr>
            <w:tcW w:w="1638" w:type="dxa"/>
            <w:shd w:val="clear" w:color="auto" w:fill="auto"/>
            <w:vAlign w:val="center"/>
          </w:tcPr>
          <w:p w14:paraId="7EA9561D" w14:textId="77777777" w:rsidR="002E3407" w:rsidRDefault="002E3407" w:rsidP="00EE4E8C">
            <w:pPr>
              <w:jc w:val="center"/>
              <w:rPr>
                <w:sz w:val="20"/>
                <w:szCs w:val="20"/>
              </w:rPr>
            </w:pPr>
            <w:r w:rsidRPr="00640348">
              <w:rPr>
                <w:sz w:val="20"/>
                <w:szCs w:val="20"/>
              </w:rPr>
              <w:t>Regulatory Amendment #22</w:t>
            </w:r>
          </w:p>
          <w:p w14:paraId="4159A3A0" w14:textId="77777777" w:rsidR="002E3407" w:rsidRDefault="002E3407" w:rsidP="00EE4E8C">
            <w:pPr>
              <w:jc w:val="center"/>
              <w:rPr>
                <w:sz w:val="20"/>
                <w:szCs w:val="20"/>
              </w:rPr>
            </w:pPr>
          </w:p>
          <w:p w14:paraId="26E70C2A" w14:textId="77777777" w:rsidR="002E3407" w:rsidRPr="00640348" w:rsidRDefault="002E3407" w:rsidP="00EE4E8C">
            <w:pPr>
              <w:jc w:val="center"/>
              <w:rPr>
                <w:sz w:val="20"/>
                <w:szCs w:val="20"/>
              </w:rPr>
            </w:pPr>
            <w:r>
              <w:rPr>
                <w:sz w:val="20"/>
                <w:szCs w:val="20"/>
              </w:rPr>
              <w:t>(2015)</w:t>
            </w:r>
          </w:p>
        </w:tc>
        <w:tc>
          <w:tcPr>
            <w:tcW w:w="1350" w:type="dxa"/>
            <w:shd w:val="clear" w:color="auto" w:fill="auto"/>
            <w:vAlign w:val="center"/>
          </w:tcPr>
          <w:p w14:paraId="08CA7556" w14:textId="77777777" w:rsidR="002E3407" w:rsidRPr="0053735E" w:rsidRDefault="002E3407" w:rsidP="00EE4E8C">
            <w:pPr>
              <w:autoSpaceDE w:val="0"/>
              <w:autoSpaceDN w:val="0"/>
              <w:adjustRightInd w:val="0"/>
              <w:rPr>
                <w:rFonts w:eastAsiaTheme="minorHAnsi"/>
                <w:sz w:val="18"/>
                <w:szCs w:val="18"/>
              </w:rPr>
            </w:pPr>
            <w:r w:rsidRPr="0053735E">
              <w:rPr>
                <w:rFonts w:eastAsiaTheme="minorHAnsi"/>
                <w:sz w:val="18"/>
                <w:szCs w:val="18"/>
              </w:rPr>
              <w:t xml:space="preserve">Effective </w:t>
            </w:r>
            <w:r>
              <w:rPr>
                <w:rFonts w:eastAsiaTheme="minorHAnsi"/>
                <w:sz w:val="18"/>
                <w:szCs w:val="18"/>
              </w:rPr>
              <w:t>9/11/</w:t>
            </w:r>
            <w:r w:rsidRPr="0053735E">
              <w:rPr>
                <w:rFonts w:eastAsiaTheme="minorHAnsi"/>
                <w:sz w:val="18"/>
                <w:szCs w:val="18"/>
              </w:rPr>
              <w:t>2015, except for the amendments to</w:t>
            </w:r>
          </w:p>
          <w:p w14:paraId="5A04220F" w14:textId="77777777" w:rsidR="002E3407" w:rsidRPr="0053735E" w:rsidRDefault="002E3407" w:rsidP="00EE4E8C">
            <w:pPr>
              <w:autoSpaceDE w:val="0"/>
              <w:autoSpaceDN w:val="0"/>
              <w:adjustRightInd w:val="0"/>
              <w:rPr>
                <w:rFonts w:eastAsiaTheme="minorHAnsi"/>
                <w:sz w:val="18"/>
                <w:szCs w:val="18"/>
              </w:rPr>
            </w:pPr>
            <w:r w:rsidRPr="0053735E">
              <w:rPr>
                <w:rFonts w:eastAsiaTheme="minorHAnsi"/>
                <w:sz w:val="18"/>
                <w:szCs w:val="18"/>
              </w:rPr>
              <w:t>§§ 622.190(b) and 622.193(r)(1) which</w:t>
            </w:r>
          </w:p>
          <w:p w14:paraId="6B9B6DAB" w14:textId="77777777" w:rsidR="002E3407" w:rsidRPr="0053735E" w:rsidRDefault="002E3407" w:rsidP="00EE4E8C">
            <w:pPr>
              <w:autoSpaceDE w:val="0"/>
              <w:autoSpaceDN w:val="0"/>
              <w:adjustRightInd w:val="0"/>
              <w:rPr>
                <w:rFonts w:eastAsiaTheme="minorHAnsi"/>
                <w:sz w:val="18"/>
                <w:szCs w:val="18"/>
              </w:rPr>
            </w:pPr>
            <w:r>
              <w:rPr>
                <w:rFonts w:eastAsiaTheme="minorHAnsi"/>
                <w:sz w:val="18"/>
                <w:szCs w:val="18"/>
              </w:rPr>
              <w:t>were effective 8/12/2015</w:t>
            </w:r>
          </w:p>
        </w:tc>
        <w:tc>
          <w:tcPr>
            <w:tcW w:w="1620" w:type="dxa"/>
            <w:shd w:val="clear" w:color="auto" w:fill="auto"/>
            <w:vAlign w:val="center"/>
          </w:tcPr>
          <w:p w14:paraId="44CB1941" w14:textId="77777777" w:rsidR="002E3407" w:rsidRDefault="002E3407" w:rsidP="00EE4E8C">
            <w:pPr>
              <w:jc w:val="center"/>
              <w:rPr>
                <w:sz w:val="20"/>
                <w:szCs w:val="20"/>
              </w:rPr>
            </w:pPr>
            <w:r>
              <w:rPr>
                <w:sz w:val="20"/>
                <w:szCs w:val="20"/>
              </w:rPr>
              <w:t>PR:80 FR 31880</w:t>
            </w:r>
          </w:p>
          <w:p w14:paraId="3E94AE40" w14:textId="77777777" w:rsidR="002E3407" w:rsidRPr="00640348" w:rsidRDefault="002E3407" w:rsidP="00EE4E8C">
            <w:pPr>
              <w:jc w:val="center"/>
              <w:rPr>
                <w:sz w:val="20"/>
                <w:szCs w:val="20"/>
              </w:rPr>
            </w:pPr>
            <w:r>
              <w:rPr>
                <w:sz w:val="20"/>
                <w:szCs w:val="20"/>
              </w:rPr>
              <w:t>FR:80 FR 48277</w:t>
            </w:r>
          </w:p>
        </w:tc>
        <w:tc>
          <w:tcPr>
            <w:tcW w:w="4590" w:type="dxa"/>
            <w:shd w:val="clear" w:color="auto" w:fill="auto"/>
          </w:tcPr>
          <w:p w14:paraId="68EDACB5" w14:textId="77777777" w:rsidR="002E3407" w:rsidRPr="00640348" w:rsidRDefault="002E3407" w:rsidP="00EE4E8C">
            <w:pPr>
              <w:rPr>
                <w:sz w:val="20"/>
                <w:szCs w:val="20"/>
              </w:rPr>
            </w:pPr>
            <w:r>
              <w:rPr>
                <w:sz w:val="20"/>
                <w:szCs w:val="20"/>
              </w:rPr>
              <w:t>-Adjusted ACLs and OY for gag and wreckfish;</w:t>
            </w:r>
          </w:p>
        </w:tc>
      </w:tr>
      <w:tr w:rsidR="002E3407" w14:paraId="517534F9" w14:textId="77777777" w:rsidTr="00EE4E8C">
        <w:trPr>
          <w:trHeight w:val="1160"/>
        </w:trPr>
        <w:tc>
          <w:tcPr>
            <w:tcW w:w="1638" w:type="dxa"/>
            <w:shd w:val="clear" w:color="auto" w:fill="auto"/>
            <w:vAlign w:val="center"/>
          </w:tcPr>
          <w:p w14:paraId="1892BEBC" w14:textId="77777777" w:rsidR="002E3407" w:rsidRDefault="002E3407" w:rsidP="00EE4E8C">
            <w:pPr>
              <w:jc w:val="center"/>
              <w:rPr>
                <w:sz w:val="20"/>
                <w:szCs w:val="20"/>
              </w:rPr>
            </w:pPr>
            <w:r w:rsidRPr="0053735E">
              <w:rPr>
                <w:sz w:val="20"/>
                <w:szCs w:val="20"/>
              </w:rPr>
              <w:t>Regulatory Amendment #20</w:t>
            </w:r>
          </w:p>
          <w:p w14:paraId="50ABF642" w14:textId="77777777" w:rsidR="002E3407" w:rsidRDefault="002E3407" w:rsidP="00EE4E8C">
            <w:pPr>
              <w:jc w:val="center"/>
              <w:rPr>
                <w:sz w:val="20"/>
                <w:szCs w:val="20"/>
              </w:rPr>
            </w:pPr>
          </w:p>
          <w:p w14:paraId="70131DA6" w14:textId="77777777" w:rsidR="002E3407" w:rsidRPr="0053735E" w:rsidRDefault="002E3407" w:rsidP="00EE4E8C">
            <w:pPr>
              <w:jc w:val="center"/>
              <w:rPr>
                <w:sz w:val="20"/>
                <w:szCs w:val="20"/>
              </w:rPr>
            </w:pPr>
            <w:r>
              <w:rPr>
                <w:sz w:val="20"/>
                <w:szCs w:val="20"/>
              </w:rPr>
              <w:t>(2014)</w:t>
            </w:r>
          </w:p>
        </w:tc>
        <w:tc>
          <w:tcPr>
            <w:tcW w:w="1350" w:type="dxa"/>
            <w:shd w:val="clear" w:color="auto" w:fill="auto"/>
            <w:vAlign w:val="center"/>
          </w:tcPr>
          <w:p w14:paraId="28655F65" w14:textId="77777777" w:rsidR="002E3407" w:rsidRPr="0053735E" w:rsidRDefault="002E3407" w:rsidP="00EE4E8C">
            <w:pPr>
              <w:jc w:val="center"/>
              <w:rPr>
                <w:sz w:val="20"/>
                <w:szCs w:val="20"/>
              </w:rPr>
            </w:pPr>
            <w:r w:rsidRPr="0053735E">
              <w:rPr>
                <w:sz w:val="20"/>
                <w:szCs w:val="20"/>
              </w:rPr>
              <w:t>8/20/2015</w:t>
            </w:r>
          </w:p>
        </w:tc>
        <w:tc>
          <w:tcPr>
            <w:tcW w:w="1620" w:type="dxa"/>
            <w:shd w:val="clear" w:color="auto" w:fill="auto"/>
            <w:vAlign w:val="center"/>
          </w:tcPr>
          <w:p w14:paraId="5409635B" w14:textId="77777777" w:rsidR="002E3407" w:rsidRPr="0053735E" w:rsidRDefault="002E3407" w:rsidP="00EE4E8C">
            <w:pPr>
              <w:jc w:val="center"/>
              <w:rPr>
                <w:sz w:val="20"/>
                <w:szCs w:val="20"/>
              </w:rPr>
            </w:pPr>
            <w:r w:rsidRPr="0053735E">
              <w:rPr>
                <w:sz w:val="20"/>
                <w:szCs w:val="20"/>
              </w:rPr>
              <w:t>PR: 80 FR 18797</w:t>
            </w:r>
          </w:p>
          <w:p w14:paraId="073586B5" w14:textId="77777777" w:rsidR="002E3407" w:rsidRPr="0053735E" w:rsidRDefault="002E3407" w:rsidP="00EE4E8C">
            <w:pPr>
              <w:jc w:val="center"/>
              <w:rPr>
                <w:sz w:val="20"/>
                <w:szCs w:val="20"/>
              </w:rPr>
            </w:pPr>
            <w:r w:rsidRPr="0053735E">
              <w:rPr>
                <w:sz w:val="20"/>
                <w:szCs w:val="20"/>
              </w:rPr>
              <w:t>FR: 80 FR 43033</w:t>
            </w:r>
          </w:p>
          <w:p w14:paraId="2B7D8FC4" w14:textId="77777777" w:rsidR="002E3407" w:rsidRPr="0053735E" w:rsidRDefault="002E3407" w:rsidP="00EE4E8C">
            <w:pPr>
              <w:jc w:val="center"/>
              <w:rPr>
                <w:sz w:val="20"/>
                <w:szCs w:val="20"/>
              </w:rPr>
            </w:pPr>
          </w:p>
        </w:tc>
        <w:tc>
          <w:tcPr>
            <w:tcW w:w="4590" w:type="dxa"/>
            <w:shd w:val="clear" w:color="auto" w:fill="auto"/>
          </w:tcPr>
          <w:p w14:paraId="0B012D05" w14:textId="77777777" w:rsidR="002E3407" w:rsidRPr="0053735E" w:rsidRDefault="002E3407" w:rsidP="00EE4E8C">
            <w:pPr>
              <w:rPr>
                <w:color w:val="000000"/>
                <w:sz w:val="20"/>
                <w:szCs w:val="20"/>
              </w:rPr>
            </w:pPr>
            <w:r w:rsidRPr="0053735E">
              <w:rPr>
                <w:color w:val="000000"/>
                <w:sz w:val="20"/>
                <w:szCs w:val="20"/>
              </w:rPr>
              <w:t>-</w:t>
            </w:r>
            <w:r>
              <w:rPr>
                <w:color w:val="000000"/>
                <w:sz w:val="20"/>
                <w:szCs w:val="20"/>
              </w:rPr>
              <w:t>Adjusted</w:t>
            </w:r>
            <w:r w:rsidRPr="0053735E">
              <w:rPr>
                <w:color w:val="000000"/>
                <w:sz w:val="20"/>
                <w:szCs w:val="20"/>
              </w:rPr>
              <w:t xml:space="preserve"> the recreational and commercial ACLs for snowy grouper;</w:t>
            </w:r>
          </w:p>
          <w:p w14:paraId="4728D1FD" w14:textId="77777777" w:rsidR="002E3407" w:rsidRPr="0053735E" w:rsidRDefault="002E3407" w:rsidP="00EE4E8C">
            <w:pPr>
              <w:rPr>
                <w:color w:val="000000"/>
                <w:sz w:val="20"/>
                <w:szCs w:val="20"/>
              </w:rPr>
            </w:pPr>
            <w:r w:rsidRPr="0053735E">
              <w:rPr>
                <w:color w:val="000000"/>
                <w:sz w:val="20"/>
                <w:szCs w:val="20"/>
              </w:rPr>
              <w:t>-Adjusted the rebuilding strategy;</w:t>
            </w:r>
          </w:p>
          <w:p w14:paraId="040CA118" w14:textId="77777777" w:rsidR="002E3407" w:rsidRDefault="002E3407" w:rsidP="00EE4E8C">
            <w:pPr>
              <w:rPr>
                <w:color w:val="000000"/>
                <w:sz w:val="20"/>
                <w:szCs w:val="20"/>
              </w:rPr>
            </w:pPr>
            <w:r w:rsidRPr="0053735E">
              <w:rPr>
                <w:color w:val="000000"/>
                <w:sz w:val="20"/>
                <w:szCs w:val="20"/>
              </w:rPr>
              <w:t>-</w:t>
            </w:r>
            <w:r>
              <w:rPr>
                <w:color w:val="000000"/>
                <w:sz w:val="20"/>
                <w:szCs w:val="20"/>
              </w:rPr>
              <w:t>Modified</w:t>
            </w:r>
            <w:r w:rsidRPr="0053735E">
              <w:rPr>
                <w:color w:val="000000"/>
                <w:sz w:val="20"/>
                <w:szCs w:val="20"/>
              </w:rPr>
              <w:t xml:space="preserve"> the commercial trip limit;</w:t>
            </w:r>
          </w:p>
          <w:p w14:paraId="738CC273" w14:textId="77777777" w:rsidR="002E3407" w:rsidRPr="0053735E" w:rsidRDefault="002E3407" w:rsidP="00EE4E8C">
            <w:pPr>
              <w:rPr>
                <w:color w:val="000000"/>
                <w:sz w:val="20"/>
                <w:szCs w:val="20"/>
              </w:rPr>
            </w:pPr>
            <w:r>
              <w:rPr>
                <w:color w:val="000000"/>
                <w:sz w:val="20"/>
                <w:szCs w:val="20"/>
              </w:rPr>
              <w:t>-Modified recreational bag limit;</w:t>
            </w:r>
          </w:p>
          <w:p w14:paraId="7A0CA079" w14:textId="77777777" w:rsidR="002E3407" w:rsidRPr="0053735E" w:rsidRDefault="002E3407" w:rsidP="00EE4E8C">
            <w:pPr>
              <w:rPr>
                <w:sz w:val="20"/>
                <w:szCs w:val="20"/>
              </w:rPr>
            </w:pPr>
            <w:r w:rsidRPr="0053735E">
              <w:rPr>
                <w:color w:val="000000"/>
                <w:sz w:val="20"/>
                <w:szCs w:val="20"/>
              </w:rPr>
              <w:t>-Modified the recreational fishing season.</w:t>
            </w:r>
          </w:p>
        </w:tc>
      </w:tr>
      <w:tr w:rsidR="002E3407" w14:paraId="60E2BED3" w14:textId="77777777" w:rsidTr="00EE4E8C">
        <w:trPr>
          <w:trHeight w:val="1160"/>
        </w:trPr>
        <w:tc>
          <w:tcPr>
            <w:tcW w:w="1638" w:type="dxa"/>
            <w:shd w:val="clear" w:color="auto" w:fill="D9D9D9" w:themeFill="background1" w:themeFillShade="D9"/>
            <w:vAlign w:val="center"/>
          </w:tcPr>
          <w:p w14:paraId="187E0768" w14:textId="77777777" w:rsidR="002E3407" w:rsidRPr="007E2DD6" w:rsidRDefault="002E3407" w:rsidP="00EE4E8C">
            <w:pPr>
              <w:jc w:val="center"/>
              <w:rPr>
                <w:sz w:val="20"/>
                <w:szCs w:val="20"/>
              </w:rPr>
            </w:pPr>
            <w:r w:rsidRPr="007E2DD6">
              <w:rPr>
                <w:sz w:val="20"/>
                <w:szCs w:val="20"/>
              </w:rPr>
              <w:t>Amendment # 33</w:t>
            </w:r>
          </w:p>
          <w:p w14:paraId="35EED72E" w14:textId="77777777" w:rsidR="002E3407" w:rsidRPr="007E2DD6" w:rsidRDefault="002E3407" w:rsidP="00EE4E8C">
            <w:pPr>
              <w:jc w:val="center"/>
              <w:rPr>
                <w:sz w:val="20"/>
                <w:szCs w:val="20"/>
              </w:rPr>
            </w:pPr>
          </w:p>
          <w:p w14:paraId="26C1D49B" w14:textId="77777777" w:rsidR="002E3407" w:rsidRDefault="002E3407" w:rsidP="00EE4E8C">
            <w:pPr>
              <w:jc w:val="center"/>
              <w:rPr>
                <w:sz w:val="20"/>
                <w:szCs w:val="20"/>
              </w:rPr>
            </w:pPr>
            <w:r w:rsidRPr="007E2DD6">
              <w:rPr>
                <w:sz w:val="20"/>
                <w:szCs w:val="20"/>
              </w:rPr>
              <w:t>Dolphin Wahoo Amendment 7 and Snapper Grouper Amendment 33</w:t>
            </w:r>
          </w:p>
          <w:p w14:paraId="7506106D" w14:textId="77777777" w:rsidR="002E3407" w:rsidRDefault="002E3407" w:rsidP="00EE4E8C">
            <w:pPr>
              <w:jc w:val="center"/>
              <w:rPr>
                <w:sz w:val="20"/>
                <w:szCs w:val="20"/>
              </w:rPr>
            </w:pPr>
          </w:p>
          <w:p w14:paraId="04B128CD" w14:textId="77777777" w:rsidR="002E3407" w:rsidRPr="007E2DD6" w:rsidRDefault="002E3407" w:rsidP="00EE4E8C">
            <w:pPr>
              <w:jc w:val="center"/>
              <w:rPr>
                <w:sz w:val="20"/>
                <w:szCs w:val="20"/>
              </w:rPr>
            </w:pPr>
            <w:r>
              <w:rPr>
                <w:sz w:val="20"/>
                <w:szCs w:val="20"/>
              </w:rPr>
              <w:t>(2015)</w:t>
            </w:r>
          </w:p>
        </w:tc>
        <w:tc>
          <w:tcPr>
            <w:tcW w:w="1350" w:type="dxa"/>
            <w:shd w:val="clear" w:color="auto" w:fill="D9D9D9" w:themeFill="background1" w:themeFillShade="D9"/>
            <w:vAlign w:val="center"/>
          </w:tcPr>
          <w:p w14:paraId="1B76F60D" w14:textId="77777777" w:rsidR="002E3407" w:rsidRPr="007E2DD6" w:rsidRDefault="002E3407" w:rsidP="00EE4E8C">
            <w:pPr>
              <w:jc w:val="center"/>
              <w:rPr>
                <w:sz w:val="20"/>
                <w:szCs w:val="20"/>
              </w:rPr>
            </w:pPr>
            <w:r w:rsidRPr="007E2DD6">
              <w:rPr>
                <w:sz w:val="20"/>
                <w:szCs w:val="20"/>
              </w:rPr>
              <w:t>12/28/2015</w:t>
            </w:r>
          </w:p>
        </w:tc>
        <w:tc>
          <w:tcPr>
            <w:tcW w:w="1620" w:type="dxa"/>
            <w:shd w:val="clear" w:color="auto" w:fill="D9D9D9" w:themeFill="background1" w:themeFillShade="D9"/>
            <w:vAlign w:val="center"/>
          </w:tcPr>
          <w:p w14:paraId="3DC9FF54" w14:textId="77777777" w:rsidR="002E3407" w:rsidRPr="007E2DD6" w:rsidRDefault="002E3407" w:rsidP="00EE4E8C">
            <w:pPr>
              <w:jc w:val="center"/>
              <w:rPr>
                <w:sz w:val="20"/>
                <w:szCs w:val="20"/>
              </w:rPr>
            </w:pPr>
            <w:r w:rsidRPr="007E2DD6">
              <w:rPr>
                <w:sz w:val="20"/>
                <w:szCs w:val="20"/>
              </w:rPr>
              <w:t>NOA:80 FR 55819</w:t>
            </w:r>
          </w:p>
          <w:p w14:paraId="0955129C" w14:textId="77777777" w:rsidR="002E3407" w:rsidRPr="007E2DD6" w:rsidRDefault="002E3407" w:rsidP="00EE4E8C">
            <w:pPr>
              <w:jc w:val="center"/>
              <w:rPr>
                <w:sz w:val="20"/>
                <w:szCs w:val="20"/>
              </w:rPr>
            </w:pPr>
            <w:r w:rsidRPr="007E2DD6">
              <w:rPr>
                <w:sz w:val="20"/>
                <w:szCs w:val="20"/>
              </w:rPr>
              <w:t>PR:80 FR 60601</w:t>
            </w:r>
          </w:p>
          <w:p w14:paraId="1FB79D07" w14:textId="77777777" w:rsidR="002E3407" w:rsidRPr="007E2DD6" w:rsidRDefault="002E3407" w:rsidP="00EE4E8C">
            <w:pPr>
              <w:jc w:val="center"/>
              <w:rPr>
                <w:sz w:val="20"/>
                <w:szCs w:val="20"/>
              </w:rPr>
            </w:pPr>
            <w:r w:rsidRPr="007E2DD6">
              <w:rPr>
                <w:sz w:val="20"/>
                <w:szCs w:val="20"/>
              </w:rPr>
              <w:t>FR:80 FR 80686</w:t>
            </w:r>
          </w:p>
        </w:tc>
        <w:tc>
          <w:tcPr>
            <w:tcW w:w="4590" w:type="dxa"/>
            <w:shd w:val="clear" w:color="auto" w:fill="D9D9D9" w:themeFill="background1" w:themeFillShade="D9"/>
          </w:tcPr>
          <w:p w14:paraId="620FCB6A" w14:textId="77777777" w:rsidR="002E3407" w:rsidRDefault="002E3407" w:rsidP="00EE4E8C">
            <w:pPr>
              <w:rPr>
                <w:color w:val="000000"/>
                <w:sz w:val="20"/>
                <w:szCs w:val="20"/>
              </w:rPr>
            </w:pPr>
            <w:r w:rsidRPr="007E2DD6">
              <w:rPr>
                <w:color w:val="000000"/>
                <w:sz w:val="20"/>
                <w:szCs w:val="20"/>
              </w:rPr>
              <w:t xml:space="preserve">-Allowed dolphin and wahoo fillets to enter the U.S. EEZ after lawful harvest in The Bahamas; </w:t>
            </w:r>
          </w:p>
          <w:p w14:paraId="12FB925A" w14:textId="77777777" w:rsidR="002E3407" w:rsidRPr="007E2DD6" w:rsidRDefault="002E3407" w:rsidP="00EE4E8C">
            <w:pPr>
              <w:rPr>
                <w:color w:val="000000"/>
                <w:sz w:val="20"/>
                <w:szCs w:val="20"/>
              </w:rPr>
            </w:pPr>
            <w:r w:rsidRPr="007E2DD6">
              <w:rPr>
                <w:color w:val="000000"/>
                <w:sz w:val="20"/>
                <w:szCs w:val="20"/>
              </w:rPr>
              <w:t xml:space="preserve">-Specified the condition of any dolphin, wahoo, and snapper-grouper fillets; </w:t>
            </w:r>
          </w:p>
          <w:p w14:paraId="582A4F4D" w14:textId="77777777" w:rsidR="002E3407" w:rsidRPr="007E2DD6" w:rsidRDefault="002E3407" w:rsidP="00EE4E8C">
            <w:pPr>
              <w:rPr>
                <w:color w:val="000000"/>
                <w:sz w:val="20"/>
                <w:szCs w:val="20"/>
              </w:rPr>
            </w:pPr>
            <w:r w:rsidRPr="007E2DD6">
              <w:rPr>
                <w:color w:val="000000"/>
                <w:sz w:val="20"/>
                <w:szCs w:val="20"/>
              </w:rPr>
              <w:t xml:space="preserve">-Described how the recreational bag limit is determined for any fillets; </w:t>
            </w:r>
          </w:p>
          <w:p w14:paraId="6A31172F" w14:textId="77777777" w:rsidR="002E3407" w:rsidRDefault="002E3407" w:rsidP="00EE4E8C">
            <w:pPr>
              <w:rPr>
                <w:color w:val="000000"/>
                <w:sz w:val="20"/>
                <w:szCs w:val="20"/>
              </w:rPr>
            </w:pPr>
            <w:r w:rsidRPr="007E2DD6">
              <w:rPr>
                <w:color w:val="000000"/>
                <w:sz w:val="20"/>
                <w:szCs w:val="20"/>
              </w:rPr>
              <w:t>-</w:t>
            </w:r>
            <w:r>
              <w:rPr>
                <w:color w:val="000000"/>
                <w:sz w:val="20"/>
                <w:szCs w:val="20"/>
              </w:rPr>
              <w:t>P</w:t>
            </w:r>
            <w:r w:rsidRPr="007E2DD6">
              <w:rPr>
                <w:color w:val="000000"/>
                <w:sz w:val="20"/>
                <w:szCs w:val="20"/>
              </w:rPr>
              <w:t xml:space="preserve">rohibited the sale or purchase of any dolphin, wahoo, or snapper-grouper recreationally harvested in The Bahamas; </w:t>
            </w:r>
          </w:p>
          <w:p w14:paraId="78535A96" w14:textId="77777777" w:rsidR="002E3407" w:rsidRPr="007E2DD6" w:rsidRDefault="002E3407" w:rsidP="00EE4E8C">
            <w:pPr>
              <w:rPr>
                <w:color w:val="000000"/>
                <w:sz w:val="20"/>
                <w:szCs w:val="20"/>
              </w:rPr>
            </w:pPr>
            <w:r w:rsidRPr="007E2DD6">
              <w:rPr>
                <w:color w:val="000000"/>
                <w:sz w:val="20"/>
                <w:szCs w:val="20"/>
              </w:rPr>
              <w:t>-Specified the required documentation to be onboard any vessels that have these fillets;</w:t>
            </w:r>
          </w:p>
          <w:p w14:paraId="30C717A4" w14:textId="77777777" w:rsidR="002E3407" w:rsidRPr="007E2DD6" w:rsidRDefault="002E3407" w:rsidP="00EE4E8C">
            <w:pPr>
              <w:rPr>
                <w:sz w:val="20"/>
                <w:szCs w:val="20"/>
              </w:rPr>
            </w:pPr>
            <w:r w:rsidRPr="007E2DD6">
              <w:rPr>
                <w:color w:val="000000"/>
                <w:sz w:val="20"/>
                <w:szCs w:val="20"/>
              </w:rPr>
              <w:t xml:space="preserve">-Specified transit and stowage provisions for any </w:t>
            </w:r>
            <w:r w:rsidRPr="007E2DD6">
              <w:rPr>
                <w:color w:val="000000"/>
                <w:sz w:val="20"/>
                <w:szCs w:val="20"/>
              </w:rPr>
              <w:lastRenderedPageBreak/>
              <w:t>vessels with fillets.</w:t>
            </w:r>
          </w:p>
        </w:tc>
      </w:tr>
      <w:tr w:rsidR="002E3407" w14:paraId="75E8F3C3" w14:textId="77777777" w:rsidTr="00EE4E8C">
        <w:trPr>
          <w:trHeight w:val="1160"/>
        </w:trPr>
        <w:tc>
          <w:tcPr>
            <w:tcW w:w="1638" w:type="dxa"/>
            <w:shd w:val="clear" w:color="auto" w:fill="D9D9D9" w:themeFill="background1" w:themeFillShade="D9"/>
            <w:vAlign w:val="center"/>
          </w:tcPr>
          <w:p w14:paraId="75BF9318" w14:textId="77777777" w:rsidR="002E3407" w:rsidRDefault="002E3407" w:rsidP="00EE4E8C">
            <w:pPr>
              <w:spacing w:line="276" w:lineRule="auto"/>
              <w:jc w:val="center"/>
              <w:rPr>
                <w:sz w:val="20"/>
                <w:szCs w:val="20"/>
              </w:rPr>
            </w:pPr>
            <w:r>
              <w:rPr>
                <w:sz w:val="20"/>
                <w:szCs w:val="20"/>
              </w:rPr>
              <w:lastRenderedPageBreak/>
              <w:t>Amendment #34</w:t>
            </w:r>
          </w:p>
          <w:p w14:paraId="517AF5E1" w14:textId="77777777" w:rsidR="002E3407" w:rsidRDefault="002E3407" w:rsidP="00EE4E8C">
            <w:pPr>
              <w:spacing w:line="276" w:lineRule="auto"/>
              <w:jc w:val="center"/>
              <w:rPr>
                <w:sz w:val="20"/>
                <w:szCs w:val="20"/>
              </w:rPr>
            </w:pPr>
          </w:p>
          <w:p w14:paraId="7537A3CF" w14:textId="77777777" w:rsidR="002E3407" w:rsidRDefault="002E3407" w:rsidP="00EE4E8C">
            <w:pPr>
              <w:spacing w:line="276" w:lineRule="auto"/>
              <w:jc w:val="center"/>
              <w:rPr>
                <w:sz w:val="20"/>
                <w:szCs w:val="20"/>
              </w:rPr>
            </w:pPr>
            <w:r>
              <w:rPr>
                <w:sz w:val="20"/>
                <w:szCs w:val="20"/>
              </w:rPr>
              <w:t xml:space="preserve">Generic Accountability Measures and Dolphin Allocation Amendment </w:t>
            </w:r>
          </w:p>
          <w:p w14:paraId="72942BB1" w14:textId="77777777" w:rsidR="002E3407" w:rsidRDefault="002E3407" w:rsidP="00EE4E8C">
            <w:pPr>
              <w:spacing w:line="276" w:lineRule="auto"/>
              <w:jc w:val="center"/>
              <w:rPr>
                <w:sz w:val="20"/>
                <w:szCs w:val="20"/>
              </w:rPr>
            </w:pPr>
          </w:p>
          <w:p w14:paraId="395D09EE" w14:textId="77777777" w:rsidR="002E3407" w:rsidRDefault="002E3407" w:rsidP="00EE4E8C">
            <w:pPr>
              <w:spacing w:line="276" w:lineRule="auto"/>
              <w:jc w:val="center"/>
              <w:rPr>
                <w:sz w:val="20"/>
                <w:szCs w:val="20"/>
              </w:rPr>
            </w:pPr>
            <w:r>
              <w:rPr>
                <w:sz w:val="20"/>
                <w:szCs w:val="20"/>
              </w:rPr>
              <w:t>(2015)</w:t>
            </w:r>
          </w:p>
        </w:tc>
        <w:tc>
          <w:tcPr>
            <w:tcW w:w="1350" w:type="dxa"/>
            <w:shd w:val="clear" w:color="auto" w:fill="D9D9D9" w:themeFill="background1" w:themeFillShade="D9"/>
            <w:vAlign w:val="center"/>
          </w:tcPr>
          <w:p w14:paraId="4152C734" w14:textId="77777777" w:rsidR="002E3407" w:rsidRDefault="002E3407" w:rsidP="00EE4E8C">
            <w:pPr>
              <w:spacing w:line="276" w:lineRule="auto"/>
              <w:jc w:val="center"/>
              <w:rPr>
                <w:sz w:val="20"/>
                <w:szCs w:val="20"/>
              </w:rPr>
            </w:pPr>
            <w:r>
              <w:rPr>
                <w:sz w:val="20"/>
                <w:szCs w:val="20"/>
              </w:rPr>
              <w:t>2/22/2016</w:t>
            </w:r>
          </w:p>
        </w:tc>
        <w:tc>
          <w:tcPr>
            <w:tcW w:w="1620" w:type="dxa"/>
            <w:shd w:val="clear" w:color="auto" w:fill="D9D9D9" w:themeFill="background1" w:themeFillShade="D9"/>
            <w:vAlign w:val="center"/>
          </w:tcPr>
          <w:p w14:paraId="1FB0E445" w14:textId="77777777" w:rsidR="002E3407" w:rsidRPr="000761BB" w:rsidRDefault="002E3407" w:rsidP="00EE4E8C">
            <w:pPr>
              <w:spacing w:line="276" w:lineRule="auto"/>
              <w:jc w:val="center"/>
              <w:rPr>
                <w:sz w:val="20"/>
                <w:szCs w:val="20"/>
              </w:rPr>
            </w:pPr>
            <w:r w:rsidRPr="000761BB">
              <w:rPr>
                <w:sz w:val="20"/>
                <w:szCs w:val="20"/>
              </w:rPr>
              <w:t>NOA:80 FR 41472</w:t>
            </w:r>
          </w:p>
          <w:p w14:paraId="6031DE64" w14:textId="77777777" w:rsidR="002E3407" w:rsidRPr="000761BB" w:rsidRDefault="002E3407" w:rsidP="00EE4E8C">
            <w:pPr>
              <w:spacing w:line="276" w:lineRule="auto"/>
              <w:jc w:val="center"/>
              <w:rPr>
                <w:sz w:val="20"/>
                <w:szCs w:val="20"/>
              </w:rPr>
            </w:pPr>
            <w:r w:rsidRPr="000761BB">
              <w:rPr>
                <w:sz w:val="20"/>
                <w:szCs w:val="20"/>
              </w:rPr>
              <w:t>PR:80 FR 58448</w:t>
            </w:r>
          </w:p>
          <w:p w14:paraId="742D8C6C" w14:textId="77777777" w:rsidR="002E3407" w:rsidRPr="000761BB" w:rsidRDefault="002E3407" w:rsidP="00EE4E8C">
            <w:pPr>
              <w:spacing w:line="276" w:lineRule="auto"/>
              <w:jc w:val="center"/>
              <w:rPr>
                <w:sz w:val="20"/>
                <w:szCs w:val="20"/>
              </w:rPr>
            </w:pPr>
            <w:r w:rsidRPr="000761BB">
              <w:rPr>
                <w:sz w:val="20"/>
                <w:szCs w:val="20"/>
              </w:rPr>
              <w:t>FR:81 FR 3731</w:t>
            </w:r>
          </w:p>
        </w:tc>
        <w:tc>
          <w:tcPr>
            <w:tcW w:w="4590" w:type="dxa"/>
            <w:shd w:val="clear" w:color="auto" w:fill="D9D9D9" w:themeFill="background1" w:themeFillShade="D9"/>
          </w:tcPr>
          <w:p w14:paraId="1271133B" w14:textId="77777777" w:rsidR="002E3407" w:rsidRPr="000761BB" w:rsidRDefault="002E3407" w:rsidP="00EE4E8C">
            <w:pPr>
              <w:pStyle w:val="NoSpacing"/>
              <w:rPr>
                <w:sz w:val="20"/>
                <w:szCs w:val="20"/>
              </w:rPr>
            </w:pPr>
            <w:r w:rsidRPr="000761BB">
              <w:rPr>
                <w:sz w:val="20"/>
                <w:szCs w:val="20"/>
              </w:rPr>
              <w:t>-Modified AMs for snapper-grouper species (</w:t>
            </w:r>
            <w:r w:rsidRPr="000761BB">
              <w:rPr>
                <w:rFonts w:eastAsiaTheme="minorHAnsi"/>
                <w:sz w:val="20"/>
                <w:szCs w:val="20"/>
              </w:rPr>
              <w:t>gol</w:t>
            </w:r>
            <w:r>
              <w:rPr>
                <w:rFonts w:eastAsiaTheme="minorHAnsi"/>
                <w:sz w:val="20"/>
                <w:szCs w:val="20"/>
              </w:rPr>
              <w:t xml:space="preserve">den tilefish, snowy grouper, </w:t>
            </w:r>
            <w:r w:rsidRPr="000761BB">
              <w:rPr>
                <w:rFonts w:eastAsiaTheme="minorHAnsi"/>
                <w:sz w:val="20"/>
                <w:szCs w:val="20"/>
              </w:rPr>
              <w:t>gag, red grouper, black grouper, scamp, the other shallow-water grouper complex (SASWG: red hind, rock hind, yellowmouth grouper, yellowfin grouper, coney, and graysby), greater amberjack, the other jacks complex (lesser amberjack, almaco jack, and banded rudderfish), bar jack, yellowtail snapper, mutton snapper, the other snappers complex (cubera snapper, gray snapper, lane snapper, dog snapper, and mahogany snapper), gray triggerfish, wreckfish (recreational sector), Atlantic spadefish, hogfish, red porgy, the other porgies complex (jolthead porgy, knobbed porgy, whitebone porgy, scup, and saucereye porgy)</w:t>
            </w:r>
            <w:r w:rsidRPr="000761BB">
              <w:rPr>
                <w:sz w:val="20"/>
                <w:szCs w:val="20"/>
              </w:rPr>
              <w:t xml:space="preserve">; </w:t>
            </w:r>
          </w:p>
          <w:p w14:paraId="16FB8BFD" w14:textId="77777777" w:rsidR="002E3407" w:rsidRPr="000761BB" w:rsidRDefault="002E3407" w:rsidP="00EE4E8C">
            <w:pPr>
              <w:pStyle w:val="NoSpacing"/>
              <w:rPr>
                <w:sz w:val="20"/>
                <w:szCs w:val="20"/>
              </w:rPr>
            </w:pPr>
            <w:r w:rsidRPr="000761BB">
              <w:rPr>
                <w:sz w:val="20"/>
                <w:szCs w:val="20"/>
              </w:rPr>
              <w:t>-Modified the AM for commercial golden crab fishery;</w:t>
            </w:r>
          </w:p>
          <w:p w14:paraId="4B361C50" w14:textId="77777777" w:rsidR="002E3407" w:rsidRPr="000761BB" w:rsidRDefault="002E3407" w:rsidP="00EE4E8C">
            <w:pPr>
              <w:spacing w:line="276" w:lineRule="auto"/>
              <w:rPr>
                <w:sz w:val="20"/>
                <w:szCs w:val="20"/>
              </w:rPr>
            </w:pPr>
            <w:r w:rsidRPr="000761BB">
              <w:rPr>
                <w:sz w:val="20"/>
                <w:szCs w:val="20"/>
              </w:rPr>
              <w:t>-Adjusted sector allocations for dolphin.</w:t>
            </w:r>
          </w:p>
        </w:tc>
      </w:tr>
      <w:tr w:rsidR="002E3407" w14:paraId="1398A9CD" w14:textId="77777777" w:rsidTr="00EE4E8C">
        <w:trPr>
          <w:trHeight w:val="1160"/>
        </w:trPr>
        <w:tc>
          <w:tcPr>
            <w:tcW w:w="1638" w:type="dxa"/>
            <w:shd w:val="clear" w:color="auto" w:fill="D9D9D9" w:themeFill="background1" w:themeFillShade="D9"/>
            <w:vAlign w:val="center"/>
          </w:tcPr>
          <w:p w14:paraId="04DC83B8" w14:textId="77777777" w:rsidR="002E3407" w:rsidRDefault="002E3407" w:rsidP="00EE4E8C">
            <w:pPr>
              <w:jc w:val="center"/>
              <w:rPr>
                <w:sz w:val="20"/>
                <w:szCs w:val="20"/>
              </w:rPr>
            </w:pPr>
            <w:r w:rsidRPr="00404DBC">
              <w:rPr>
                <w:sz w:val="20"/>
                <w:szCs w:val="20"/>
              </w:rPr>
              <w:t>Amendment #35</w:t>
            </w:r>
            <w:r>
              <w:rPr>
                <w:sz w:val="20"/>
                <w:szCs w:val="20"/>
              </w:rPr>
              <w:t xml:space="preserve"> </w:t>
            </w:r>
          </w:p>
          <w:p w14:paraId="1AB5D155" w14:textId="77777777" w:rsidR="002E3407" w:rsidRDefault="002E3407" w:rsidP="00EE4E8C">
            <w:pPr>
              <w:jc w:val="center"/>
              <w:rPr>
                <w:sz w:val="20"/>
                <w:szCs w:val="20"/>
              </w:rPr>
            </w:pPr>
          </w:p>
          <w:p w14:paraId="4C2C7927" w14:textId="77777777" w:rsidR="002E3407" w:rsidRPr="00404DBC" w:rsidRDefault="002E3407" w:rsidP="00EE4E8C">
            <w:pPr>
              <w:jc w:val="center"/>
              <w:rPr>
                <w:sz w:val="20"/>
                <w:szCs w:val="20"/>
              </w:rPr>
            </w:pPr>
            <w:r>
              <w:rPr>
                <w:sz w:val="20"/>
                <w:szCs w:val="20"/>
              </w:rPr>
              <w:t>(2015)</w:t>
            </w:r>
          </w:p>
        </w:tc>
        <w:tc>
          <w:tcPr>
            <w:tcW w:w="1350" w:type="dxa"/>
            <w:shd w:val="clear" w:color="auto" w:fill="D9D9D9" w:themeFill="background1" w:themeFillShade="D9"/>
            <w:vAlign w:val="center"/>
          </w:tcPr>
          <w:p w14:paraId="6130ADC0" w14:textId="77777777" w:rsidR="002E3407" w:rsidRPr="00404DBC" w:rsidRDefault="002E3407" w:rsidP="00EE4E8C">
            <w:pPr>
              <w:jc w:val="center"/>
              <w:rPr>
                <w:sz w:val="20"/>
                <w:szCs w:val="20"/>
              </w:rPr>
            </w:pPr>
            <w:r>
              <w:rPr>
                <w:sz w:val="20"/>
                <w:szCs w:val="20"/>
              </w:rPr>
              <w:t>6/22/2016</w:t>
            </w:r>
          </w:p>
        </w:tc>
        <w:tc>
          <w:tcPr>
            <w:tcW w:w="1620" w:type="dxa"/>
            <w:shd w:val="clear" w:color="auto" w:fill="D9D9D9" w:themeFill="background1" w:themeFillShade="D9"/>
            <w:vAlign w:val="center"/>
          </w:tcPr>
          <w:p w14:paraId="23867DC3" w14:textId="77777777" w:rsidR="002E3407" w:rsidRDefault="002E3407" w:rsidP="00EE4E8C">
            <w:pPr>
              <w:jc w:val="center"/>
              <w:rPr>
                <w:sz w:val="20"/>
                <w:szCs w:val="20"/>
              </w:rPr>
            </w:pPr>
            <w:r>
              <w:rPr>
                <w:sz w:val="20"/>
                <w:szCs w:val="20"/>
              </w:rPr>
              <w:t>NOA:81 FR 6222</w:t>
            </w:r>
          </w:p>
          <w:p w14:paraId="7993619A" w14:textId="77777777" w:rsidR="002E3407" w:rsidRDefault="002E3407" w:rsidP="00EE4E8C">
            <w:pPr>
              <w:jc w:val="center"/>
              <w:rPr>
                <w:sz w:val="20"/>
                <w:szCs w:val="20"/>
              </w:rPr>
            </w:pPr>
            <w:r>
              <w:rPr>
                <w:sz w:val="20"/>
                <w:szCs w:val="20"/>
              </w:rPr>
              <w:t>PR:81 FR 11502</w:t>
            </w:r>
          </w:p>
          <w:p w14:paraId="261440E4" w14:textId="77777777" w:rsidR="002E3407" w:rsidRDefault="002E3407" w:rsidP="00EE4E8C">
            <w:pPr>
              <w:jc w:val="center"/>
              <w:rPr>
                <w:sz w:val="20"/>
                <w:szCs w:val="20"/>
              </w:rPr>
            </w:pPr>
            <w:r>
              <w:rPr>
                <w:sz w:val="20"/>
                <w:szCs w:val="20"/>
              </w:rPr>
              <w:t>FR:81 FR 32249</w:t>
            </w:r>
          </w:p>
          <w:p w14:paraId="720A2CB0" w14:textId="77777777" w:rsidR="002E3407" w:rsidRPr="00404DBC" w:rsidRDefault="002E3407" w:rsidP="00EE4E8C">
            <w:pPr>
              <w:jc w:val="center"/>
              <w:rPr>
                <w:sz w:val="20"/>
                <w:szCs w:val="20"/>
              </w:rPr>
            </w:pPr>
          </w:p>
        </w:tc>
        <w:tc>
          <w:tcPr>
            <w:tcW w:w="4590" w:type="dxa"/>
            <w:shd w:val="clear" w:color="auto" w:fill="D9D9D9" w:themeFill="background1" w:themeFillShade="D9"/>
          </w:tcPr>
          <w:p w14:paraId="0B614F2E" w14:textId="77777777" w:rsidR="002E3407" w:rsidRPr="00404DBC" w:rsidRDefault="002E3407" w:rsidP="00EE4E8C">
            <w:pPr>
              <w:rPr>
                <w:sz w:val="20"/>
                <w:szCs w:val="20"/>
              </w:rPr>
            </w:pPr>
            <w:r w:rsidRPr="00404DBC">
              <w:rPr>
                <w:sz w:val="20"/>
                <w:szCs w:val="20"/>
              </w:rPr>
              <w:t xml:space="preserve">-Removed black snapper, dog snapper, mahogany snapper, and schoolmaster from the Snapper-Grouper FMP; </w:t>
            </w:r>
          </w:p>
          <w:p w14:paraId="2F275946" w14:textId="77777777" w:rsidR="002E3407" w:rsidRPr="00404DBC" w:rsidRDefault="002E3407" w:rsidP="00EE4E8C">
            <w:pPr>
              <w:rPr>
                <w:sz w:val="20"/>
                <w:szCs w:val="20"/>
              </w:rPr>
            </w:pPr>
            <w:r w:rsidRPr="00404DBC">
              <w:rPr>
                <w:sz w:val="20"/>
                <w:szCs w:val="20"/>
              </w:rPr>
              <w:t>-Clarified regulations governing the use of Golden Tilefish Longline Endorsements</w:t>
            </w:r>
            <w:r>
              <w:rPr>
                <w:sz w:val="20"/>
                <w:szCs w:val="20"/>
              </w:rPr>
              <w:t>.</w:t>
            </w:r>
          </w:p>
        </w:tc>
      </w:tr>
      <w:tr w:rsidR="002E3407" w14:paraId="04D6343E" w14:textId="77777777" w:rsidTr="00EE4E8C">
        <w:trPr>
          <w:trHeight w:val="1160"/>
        </w:trPr>
        <w:tc>
          <w:tcPr>
            <w:tcW w:w="1638" w:type="dxa"/>
            <w:shd w:val="clear" w:color="auto" w:fill="auto"/>
            <w:vAlign w:val="center"/>
          </w:tcPr>
          <w:p w14:paraId="62B6C901" w14:textId="77777777" w:rsidR="002E3407" w:rsidRDefault="002E3407" w:rsidP="00EE4E8C">
            <w:pPr>
              <w:jc w:val="center"/>
              <w:rPr>
                <w:sz w:val="20"/>
                <w:szCs w:val="20"/>
              </w:rPr>
            </w:pPr>
            <w:r>
              <w:rPr>
                <w:sz w:val="20"/>
                <w:szCs w:val="20"/>
              </w:rPr>
              <w:t>Regulatory Amendment #25</w:t>
            </w:r>
          </w:p>
          <w:p w14:paraId="194A19A9" w14:textId="77777777" w:rsidR="002E3407" w:rsidRDefault="002E3407" w:rsidP="00EE4E8C">
            <w:pPr>
              <w:jc w:val="center"/>
              <w:rPr>
                <w:sz w:val="20"/>
                <w:szCs w:val="20"/>
              </w:rPr>
            </w:pPr>
          </w:p>
          <w:p w14:paraId="4AC72A42" w14:textId="77777777" w:rsidR="002E3407" w:rsidRPr="00640348" w:rsidRDefault="002E3407" w:rsidP="00EE4E8C">
            <w:pPr>
              <w:jc w:val="center"/>
              <w:rPr>
                <w:sz w:val="20"/>
                <w:szCs w:val="20"/>
              </w:rPr>
            </w:pPr>
            <w:r>
              <w:rPr>
                <w:sz w:val="20"/>
                <w:szCs w:val="20"/>
              </w:rPr>
              <w:t>(2016)</w:t>
            </w:r>
          </w:p>
        </w:tc>
        <w:tc>
          <w:tcPr>
            <w:tcW w:w="1350" w:type="dxa"/>
            <w:shd w:val="clear" w:color="auto" w:fill="auto"/>
            <w:vAlign w:val="center"/>
          </w:tcPr>
          <w:p w14:paraId="55ACF2DA" w14:textId="77777777" w:rsidR="002E3407" w:rsidRPr="00005EF0" w:rsidRDefault="002E3407" w:rsidP="00EE4E8C">
            <w:pPr>
              <w:autoSpaceDE w:val="0"/>
              <w:autoSpaceDN w:val="0"/>
              <w:adjustRightInd w:val="0"/>
              <w:rPr>
                <w:rFonts w:eastAsiaTheme="minorHAnsi"/>
                <w:sz w:val="18"/>
                <w:szCs w:val="18"/>
              </w:rPr>
            </w:pPr>
            <w:r w:rsidRPr="00005EF0">
              <w:rPr>
                <w:rFonts w:eastAsiaTheme="minorHAnsi"/>
                <w:sz w:val="18"/>
                <w:szCs w:val="18"/>
              </w:rPr>
              <w:t>This rule is effective 8/12/2016, except for the amendments to</w:t>
            </w:r>
          </w:p>
          <w:p w14:paraId="66ED7CF8" w14:textId="77777777" w:rsidR="002E3407" w:rsidRPr="00005EF0" w:rsidRDefault="002E3407" w:rsidP="00EE4E8C">
            <w:pPr>
              <w:autoSpaceDE w:val="0"/>
              <w:autoSpaceDN w:val="0"/>
              <w:adjustRightInd w:val="0"/>
              <w:rPr>
                <w:rFonts w:eastAsiaTheme="minorHAnsi"/>
                <w:sz w:val="18"/>
                <w:szCs w:val="18"/>
              </w:rPr>
            </w:pPr>
            <w:r w:rsidRPr="00005EF0">
              <w:rPr>
                <w:rFonts w:eastAsiaTheme="minorHAnsi"/>
                <w:sz w:val="18"/>
                <w:szCs w:val="18"/>
              </w:rPr>
              <w:t>§622.187(b) (2), §622.191</w:t>
            </w:r>
          </w:p>
          <w:p w14:paraId="3FE025E3" w14:textId="77777777" w:rsidR="002E3407" w:rsidRPr="00005EF0" w:rsidRDefault="002E3407" w:rsidP="00EE4E8C">
            <w:pPr>
              <w:autoSpaceDE w:val="0"/>
              <w:autoSpaceDN w:val="0"/>
              <w:adjustRightInd w:val="0"/>
              <w:rPr>
                <w:rFonts w:eastAsiaTheme="minorHAnsi"/>
                <w:sz w:val="18"/>
                <w:szCs w:val="18"/>
              </w:rPr>
            </w:pPr>
            <w:r w:rsidRPr="00005EF0">
              <w:rPr>
                <w:rFonts w:eastAsiaTheme="minorHAnsi"/>
                <w:sz w:val="18"/>
                <w:szCs w:val="18"/>
              </w:rPr>
              <w:t>(a)(10), and</w:t>
            </w:r>
          </w:p>
          <w:p w14:paraId="151A4F9B" w14:textId="77777777" w:rsidR="002E3407" w:rsidRPr="00640348" w:rsidRDefault="002E3407" w:rsidP="00EE4E8C">
            <w:pPr>
              <w:autoSpaceDE w:val="0"/>
              <w:autoSpaceDN w:val="0"/>
              <w:adjustRightInd w:val="0"/>
              <w:rPr>
                <w:sz w:val="20"/>
                <w:szCs w:val="20"/>
              </w:rPr>
            </w:pPr>
            <w:r w:rsidRPr="00005EF0">
              <w:rPr>
                <w:rFonts w:eastAsiaTheme="minorHAnsi"/>
                <w:sz w:val="18"/>
                <w:szCs w:val="18"/>
              </w:rPr>
              <w:t>§622.193(z) that are effective 7/13/2016.</w:t>
            </w:r>
          </w:p>
        </w:tc>
        <w:tc>
          <w:tcPr>
            <w:tcW w:w="1620" w:type="dxa"/>
            <w:shd w:val="clear" w:color="auto" w:fill="auto"/>
            <w:vAlign w:val="center"/>
          </w:tcPr>
          <w:p w14:paraId="2D6CB47E" w14:textId="77777777" w:rsidR="002E3407" w:rsidRDefault="002E3407" w:rsidP="00EE4E8C">
            <w:pPr>
              <w:jc w:val="center"/>
              <w:rPr>
                <w:sz w:val="20"/>
                <w:szCs w:val="20"/>
              </w:rPr>
            </w:pPr>
            <w:r>
              <w:rPr>
                <w:sz w:val="20"/>
                <w:szCs w:val="20"/>
              </w:rPr>
              <w:t>PR:81 FR 34944</w:t>
            </w:r>
          </w:p>
          <w:p w14:paraId="3E550EAE" w14:textId="77777777" w:rsidR="002E3407" w:rsidRDefault="002E3407" w:rsidP="00EE4E8C">
            <w:pPr>
              <w:jc w:val="center"/>
              <w:rPr>
                <w:sz w:val="20"/>
                <w:szCs w:val="20"/>
              </w:rPr>
            </w:pPr>
            <w:r>
              <w:rPr>
                <w:sz w:val="20"/>
                <w:szCs w:val="20"/>
              </w:rPr>
              <w:t>FR:81 FR 45245</w:t>
            </w:r>
          </w:p>
          <w:p w14:paraId="6020F8EF" w14:textId="77777777" w:rsidR="002E3407" w:rsidRPr="00640348" w:rsidRDefault="002E3407" w:rsidP="00EE4E8C">
            <w:pPr>
              <w:jc w:val="center"/>
              <w:rPr>
                <w:sz w:val="20"/>
                <w:szCs w:val="20"/>
              </w:rPr>
            </w:pPr>
          </w:p>
        </w:tc>
        <w:tc>
          <w:tcPr>
            <w:tcW w:w="4590" w:type="dxa"/>
            <w:shd w:val="clear" w:color="auto" w:fill="auto"/>
          </w:tcPr>
          <w:p w14:paraId="6BFACCDA" w14:textId="77777777" w:rsidR="002E3407" w:rsidRDefault="002E3407" w:rsidP="00EE4E8C">
            <w:pPr>
              <w:rPr>
                <w:sz w:val="20"/>
                <w:szCs w:val="20"/>
              </w:rPr>
            </w:pPr>
            <w:r>
              <w:rPr>
                <w:sz w:val="20"/>
                <w:szCs w:val="20"/>
              </w:rPr>
              <w:t>-Revised commercial and recreational ACL for blueline tilefish;</w:t>
            </w:r>
          </w:p>
          <w:p w14:paraId="0F91B3D8" w14:textId="77777777" w:rsidR="002E3407" w:rsidRDefault="002E3407" w:rsidP="00EE4E8C">
            <w:pPr>
              <w:rPr>
                <w:sz w:val="20"/>
                <w:szCs w:val="20"/>
              </w:rPr>
            </w:pPr>
            <w:r>
              <w:rPr>
                <w:sz w:val="20"/>
                <w:szCs w:val="20"/>
              </w:rPr>
              <w:t>-Revised the recreational bag limit for black sea bass;</w:t>
            </w:r>
          </w:p>
          <w:p w14:paraId="63AD27A1" w14:textId="77777777" w:rsidR="002E3407" w:rsidRPr="00640348" w:rsidRDefault="002E3407" w:rsidP="00EE4E8C">
            <w:pPr>
              <w:rPr>
                <w:sz w:val="20"/>
                <w:szCs w:val="20"/>
              </w:rPr>
            </w:pPr>
            <w:r>
              <w:rPr>
                <w:sz w:val="20"/>
                <w:szCs w:val="20"/>
              </w:rPr>
              <w:t xml:space="preserve">-Revised the commercial and recreational fishing year for yellowtail snapper. </w:t>
            </w:r>
          </w:p>
        </w:tc>
      </w:tr>
      <w:tr w:rsidR="002E3407" w14:paraId="1FCABD24" w14:textId="77777777" w:rsidTr="00EE4E8C">
        <w:trPr>
          <w:trHeight w:val="1160"/>
        </w:trPr>
        <w:tc>
          <w:tcPr>
            <w:tcW w:w="1638" w:type="dxa"/>
            <w:shd w:val="clear" w:color="auto" w:fill="auto"/>
            <w:vAlign w:val="center"/>
          </w:tcPr>
          <w:p w14:paraId="289EDF74" w14:textId="77777777" w:rsidR="002E3407" w:rsidRDefault="002E3407" w:rsidP="00EE4E8C">
            <w:pPr>
              <w:jc w:val="center"/>
              <w:rPr>
                <w:sz w:val="20"/>
                <w:szCs w:val="20"/>
              </w:rPr>
            </w:pPr>
            <w:r w:rsidRPr="00640348">
              <w:rPr>
                <w:sz w:val="20"/>
                <w:szCs w:val="20"/>
              </w:rPr>
              <w:t>Regulatory Amendment #16</w:t>
            </w:r>
          </w:p>
          <w:p w14:paraId="71EF3011" w14:textId="77777777" w:rsidR="002E3407" w:rsidRDefault="002E3407" w:rsidP="00EE4E8C">
            <w:pPr>
              <w:jc w:val="center"/>
              <w:rPr>
                <w:sz w:val="20"/>
                <w:szCs w:val="20"/>
              </w:rPr>
            </w:pPr>
          </w:p>
          <w:p w14:paraId="0013EE98" w14:textId="77777777" w:rsidR="002E3407" w:rsidRPr="00640348" w:rsidRDefault="002E3407" w:rsidP="00EE4E8C">
            <w:pPr>
              <w:jc w:val="center"/>
              <w:rPr>
                <w:sz w:val="20"/>
                <w:szCs w:val="20"/>
              </w:rPr>
            </w:pPr>
            <w:r>
              <w:rPr>
                <w:sz w:val="20"/>
                <w:szCs w:val="20"/>
              </w:rPr>
              <w:t>(2016)</w:t>
            </w:r>
          </w:p>
        </w:tc>
        <w:tc>
          <w:tcPr>
            <w:tcW w:w="1350" w:type="dxa"/>
            <w:shd w:val="clear" w:color="auto" w:fill="auto"/>
            <w:vAlign w:val="center"/>
          </w:tcPr>
          <w:p w14:paraId="17B4FEC9" w14:textId="77777777" w:rsidR="002E3407" w:rsidRPr="00640348" w:rsidRDefault="002E3407" w:rsidP="00EE4E8C">
            <w:pPr>
              <w:jc w:val="center"/>
              <w:rPr>
                <w:sz w:val="20"/>
                <w:szCs w:val="20"/>
              </w:rPr>
            </w:pPr>
            <w:r w:rsidRPr="00640348">
              <w:rPr>
                <w:sz w:val="20"/>
                <w:szCs w:val="20"/>
              </w:rPr>
              <w:t>TBD</w:t>
            </w:r>
          </w:p>
        </w:tc>
        <w:tc>
          <w:tcPr>
            <w:tcW w:w="1620" w:type="dxa"/>
            <w:shd w:val="clear" w:color="auto" w:fill="auto"/>
            <w:vAlign w:val="center"/>
          </w:tcPr>
          <w:p w14:paraId="159F1607" w14:textId="77777777" w:rsidR="002E3407" w:rsidRDefault="002E3407" w:rsidP="00EE4E8C">
            <w:pPr>
              <w:jc w:val="center"/>
              <w:rPr>
                <w:sz w:val="20"/>
                <w:szCs w:val="20"/>
              </w:rPr>
            </w:pPr>
            <w:r>
              <w:rPr>
                <w:sz w:val="20"/>
                <w:szCs w:val="20"/>
              </w:rPr>
              <w:t>NOI: 78 FR 72868</w:t>
            </w:r>
          </w:p>
          <w:p w14:paraId="131CC3BC" w14:textId="77777777" w:rsidR="002E3407" w:rsidRPr="00640348" w:rsidRDefault="002E3407" w:rsidP="00EE4E8C">
            <w:pPr>
              <w:jc w:val="center"/>
              <w:rPr>
                <w:sz w:val="20"/>
                <w:szCs w:val="20"/>
              </w:rPr>
            </w:pPr>
            <w:r>
              <w:rPr>
                <w:sz w:val="20"/>
                <w:szCs w:val="20"/>
              </w:rPr>
              <w:t>PR: 81 FR 53109</w:t>
            </w:r>
          </w:p>
        </w:tc>
        <w:tc>
          <w:tcPr>
            <w:tcW w:w="4590" w:type="dxa"/>
            <w:shd w:val="clear" w:color="auto" w:fill="auto"/>
          </w:tcPr>
          <w:p w14:paraId="518DC5A0" w14:textId="77777777" w:rsidR="002E3407" w:rsidRDefault="002E3407" w:rsidP="00EE4E8C">
            <w:pPr>
              <w:rPr>
                <w:sz w:val="20"/>
              </w:rPr>
            </w:pPr>
            <w:r w:rsidRPr="00640348">
              <w:rPr>
                <w:sz w:val="20"/>
                <w:szCs w:val="20"/>
              </w:rPr>
              <w:t>-</w:t>
            </w:r>
            <w:r w:rsidRPr="00A3394D">
              <w:rPr>
                <w:sz w:val="20"/>
              </w:rPr>
              <w:t>Revise the prohibition of fishing with black sea bass pots from Nov.1-April 30</w:t>
            </w:r>
            <w:r>
              <w:rPr>
                <w:sz w:val="20"/>
              </w:rPr>
              <w:t>.</w:t>
            </w:r>
          </w:p>
          <w:p w14:paraId="46E379F6" w14:textId="77777777" w:rsidR="002E3407" w:rsidRPr="00640348" w:rsidRDefault="002E3407" w:rsidP="00EE4E8C">
            <w:pPr>
              <w:rPr>
                <w:sz w:val="20"/>
                <w:szCs w:val="20"/>
              </w:rPr>
            </w:pPr>
            <w:r>
              <w:rPr>
                <w:sz w:val="20"/>
              </w:rPr>
              <w:t>-Add additional gear marking requirements for black sea bass pot gear.</w:t>
            </w:r>
          </w:p>
        </w:tc>
      </w:tr>
      <w:tr w:rsidR="002E3407" w14:paraId="4E3E9FB7" w14:textId="77777777" w:rsidTr="00EE4E8C">
        <w:trPr>
          <w:trHeight w:val="1160"/>
        </w:trPr>
        <w:tc>
          <w:tcPr>
            <w:tcW w:w="1638" w:type="dxa"/>
            <w:shd w:val="clear" w:color="auto" w:fill="D9D9D9" w:themeFill="background1" w:themeFillShade="D9"/>
            <w:vAlign w:val="center"/>
          </w:tcPr>
          <w:p w14:paraId="3FC6E1B3" w14:textId="77777777" w:rsidR="002E3407" w:rsidRDefault="002E3407" w:rsidP="00EE4E8C">
            <w:pPr>
              <w:jc w:val="center"/>
              <w:rPr>
                <w:sz w:val="20"/>
                <w:szCs w:val="20"/>
              </w:rPr>
            </w:pPr>
            <w:r w:rsidRPr="002065E9">
              <w:rPr>
                <w:sz w:val="20"/>
                <w:szCs w:val="20"/>
              </w:rPr>
              <w:t>Amendment #37</w:t>
            </w:r>
          </w:p>
          <w:p w14:paraId="4BCD5EC7" w14:textId="77777777" w:rsidR="002E3407" w:rsidRPr="002065E9" w:rsidRDefault="002E3407" w:rsidP="00EE4E8C">
            <w:pPr>
              <w:rPr>
                <w:sz w:val="20"/>
                <w:szCs w:val="20"/>
              </w:rPr>
            </w:pPr>
          </w:p>
        </w:tc>
        <w:tc>
          <w:tcPr>
            <w:tcW w:w="1350" w:type="dxa"/>
            <w:shd w:val="clear" w:color="auto" w:fill="D9D9D9" w:themeFill="background1" w:themeFillShade="D9"/>
            <w:vAlign w:val="center"/>
          </w:tcPr>
          <w:p w14:paraId="20B9CE76" w14:textId="77777777" w:rsidR="002E3407" w:rsidRPr="002065E9" w:rsidRDefault="002E3407" w:rsidP="00EE4E8C">
            <w:pPr>
              <w:jc w:val="center"/>
              <w:rPr>
                <w:sz w:val="20"/>
                <w:szCs w:val="20"/>
              </w:rPr>
            </w:pPr>
            <w:r w:rsidRPr="002065E9">
              <w:rPr>
                <w:sz w:val="20"/>
                <w:szCs w:val="20"/>
              </w:rPr>
              <w:t>TBD</w:t>
            </w:r>
          </w:p>
        </w:tc>
        <w:tc>
          <w:tcPr>
            <w:tcW w:w="1620" w:type="dxa"/>
            <w:shd w:val="clear" w:color="auto" w:fill="D9D9D9" w:themeFill="background1" w:themeFillShade="D9"/>
            <w:vAlign w:val="center"/>
          </w:tcPr>
          <w:p w14:paraId="13325A5D" w14:textId="77777777" w:rsidR="002E3407" w:rsidRDefault="002E3407" w:rsidP="00EE4E8C">
            <w:pPr>
              <w:jc w:val="center"/>
              <w:rPr>
                <w:sz w:val="20"/>
                <w:szCs w:val="20"/>
              </w:rPr>
            </w:pPr>
            <w:r>
              <w:rPr>
                <w:sz w:val="20"/>
                <w:szCs w:val="20"/>
              </w:rPr>
              <w:t>NOI: 80 FR 45641</w:t>
            </w:r>
          </w:p>
          <w:p w14:paraId="0DC15EEE" w14:textId="77777777" w:rsidR="002E3407" w:rsidRDefault="002E3407" w:rsidP="00EE4E8C">
            <w:pPr>
              <w:jc w:val="center"/>
              <w:rPr>
                <w:sz w:val="20"/>
                <w:szCs w:val="20"/>
              </w:rPr>
            </w:pPr>
            <w:r>
              <w:rPr>
                <w:sz w:val="20"/>
                <w:szCs w:val="20"/>
              </w:rPr>
              <w:t>NOA:81 FR 69774</w:t>
            </w:r>
          </w:p>
          <w:p w14:paraId="4E638C54" w14:textId="77777777" w:rsidR="002E3407" w:rsidRPr="002065E9" w:rsidRDefault="002E3407" w:rsidP="00EE4E8C">
            <w:pPr>
              <w:jc w:val="center"/>
              <w:rPr>
                <w:sz w:val="20"/>
                <w:szCs w:val="20"/>
              </w:rPr>
            </w:pPr>
          </w:p>
        </w:tc>
        <w:tc>
          <w:tcPr>
            <w:tcW w:w="4590" w:type="dxa"/>
            <w:shd w:val="clear" w:color="auto" w:fill="D9D9D9" w:themeFill="background1" w:themeFillShade="D9"/>
          </w:tcPr>
          <w:p w14:paraId="5C0B5160" w14:textId="77777777" w:rsidR="002E3407" w:rsidRPr="002065E9" w:rsidRDefault="002E3407" w:rsidP="00EE4E8C">
            <w:pPr>
              <w:rPr>
                <w:color w:val="000000"/>
                <w:sz w:val="20"/>
                <w:szCs w:val="20"/>
              </w:rPr>
            </w:pPr>
            <w:r w:rsidRPr="002065E9">
              <w:rPr>
                <w:color w:val="000000"/>
                <w:sz w:val="20"/>
                <w:szCs w:val="20"/>
              </w:rPr>
              <w:t>-Modify the hogfish fishery management unit;</w:t>
            </w:r>
          </w:p>
          <w:p w14:paraId="393DA811" w14:textId="77777777" w:rsidR="002E3407" w:rsidRPr="002065E9" w:rsidRDefault="002E3407" w:rsidP="00EE4E8C">
            <w:pPr>
              <w:rPr>
                <w:color w:val="000000"/>
                <w:sz w:val="20"/>
                <w:szCs w:val="20"/>
              </w:rPr>
            </w:pPr>
            <w:r w:rsidRPr="002065E9">
              <w:rPr>
                <w:color w:val="000000"/>
                <w:sz w:val="20"/>
                <w:szCs w:val="20"/>
              </w:rPr>
              <w:t xml:space="preserve">-Specify fishing levels for the two South Atlantic hogfish stocks; </w:t>
            </w:r>
          </w:p>
          <w:p w14:paraId="0D656600" w14:textId="77777777" w:rsidR="002E3407" w:rsidRPr="002065E9" w:rsidRDefault="002E3407" w:rsidP="00EE4E8C">
            <w:pPr>
              <w:rPr>
                <w:color w:val="000000"/>
                <w:sz w:val="20"/>
                <w:szCs w:val="20"/>
              </w:rPr>
            </w:pPr>
            <w:r w:rsidRPr="002065E9">
              <w:rPr>
                <w:color w:val="000000"/>
                <w:sz w:val="20"/>
                <w:szCs w:val="20"/>
              </w:rPr>
              <w:t xml:space="preserve">-Establish a rebuilding plan for the Florida Keys/East Florida stock; </w:t>
            </w:r>
          </w:p>
          <w:p w14:paraId="0606CEF7" w14:textId="77777777" w:rsidR="002E3407" w:rsidRPr="002065E9" w:rsidRDefault="002E3407" w:rsidP="00EE4E8C">
            <w:pPr>
              <w:rPr>
                <w:color w:val="000000"/>
                <w:sz w:val="20"/>
                <w:szCs w:val="20"/>
              </w:rPr>
            </w:pPr>
            <w:r w:rsidRPr="002065E9">
              <w:rPr>
                <w:color w:val="000000"/>
                <w:sz w:val="20"/>
                <w:szCs w:val="20"/>
              </w:rPr>
              <w:t xml:space="preserve">-Establish/revised management measures for both hogfish stocks in the South Atlantic Region, such as </w:t>
            </w:r>
            <w:r w:rsidRPr="002065E9">
              <w:rPr>
                <w:color w:val="000000"/>
                <w:sz w:val="20"/>
                <w:szCs w:val="20"/>
              </w:rPr>
              <w:lastRenderedPageBreak/>
              <w:t>size limits, recreational bag limits, and commercial trip limits.</w:t>
            </w:r>
          </w:p>
        </w:tc>
      </w:tr>
      <w:tr w:rsidR="002E3407" w14:paraId="06A828F7" w14:textId="77777777" w:rsidTr="00EE4E8C">
        <w:trPr>
          <w:trHeight w:val="1160"/>
        </w:trPr>
        <w:tc>
          <w:tcPr>
            <w:tcW w:w="1638" w:type="dxa"/>
            <w:shd w:val="clear" w:color="auto" w:fill="D9D9D9" w:themeFill="background1" w:themeFillShade="D9"/>
            <w:vAlign w:val="center"/>
          </w:tcPr>
          <w:p w14:paraId="5381FBFB" w14:textId="77777777" w:rsidR="002E3407" w:rsidRPr="00640348" w:rsidRDefault="002E3407" w:rsidP="00EE4E8C">
            <w:pPr>
              <w:jc w:val="center"/>
              <w:rPr>
                <w:sz w:val="20"/>
                <w:szCs w:val="20"/>
              </w:rPr>
            </w:pPr>
            <w:r w:rsidRPr="00640348">
              <w:rPr>
                <w:sz w:val="20"/>
                <w:szCs w:val="20"/>
              </w:rPr>
              <w:lastRenderedPageBreak/>
              <w:t>Amendment # 20B</w:t>
            </w:r>
          </w:p>
        </w:tc>
        <w:tc>
          <w:tcPr>
            <w:tcW w:w="1350" w:type="dxa"/>
            <w:shd w:val="clear" w:color="auto" w:fill="D9D9D9" w:themeFill="background1" w:themeFillShade="D9"/>
            <w:vAlign w:val="center"/>
          </w:tcPr>
          <w:p w14:paraId="3CACB77B" w14:textId="77777777" w:rsidR="002E3407" w:rsidRPr="00640348" w:rsidRDefault="002E3407" w:rsidP="00EE4E8C">
            <w:pPr>
              <w:jc w:val="center"/>
              <w:rPr>
                <w:sz w:val="20"/>
                <w:szCs w:val="20"/>
              </w:rPr>
            </w:pPr>
            <w:r w:rsidRPr="00640348">
              <w:rPr>
                <w:sz w:val="20"/>
                <w:szCs w:val="20"/>
              </w:rPr>
              <w:t>TBD</w:t>
            </w:r>
          </w:p>
        </w:tc>
        <w:tc>
          <w:tcPr>
            <w:tcW w:w="1620" w:type="dxa"/>
            <w:shd w:val="clear" w:color="auto" w:fill="D9D9D9" w:themeFill="background1" w:themeFillShade="D9"/>
            <w:vAlign w:val="center"/>
          </w:tcPr>
          <w:p w14:paraId="4907C7B8" w14:textId="77777777" w:rsidR="002E3407" w:rsidRPr="00640348" w:rsidRDefault="002E3407" w:rsidP="00EE4E8C">
            <w:pPr>
              <w:jc w:val="center"/>
              <w:rPr>
                <w:sz w:val="20"/>
                <w:szCs w:val="20"/>
              </w:rPr>
            </w:pPr>
            <w:r w:rsidRPr="00640348">
              <w:rPr>
                <w:sz w:val="20"/>
                <w:szCs w:val="20"/>
              </w:rPr>
              <w:t>TBD</w:t>
            </w:r>
          </w:p>
        </w:tc>
        <w:tc>
          <w:tcPr>
            <w:tcW w:w="4590" w:type="dxa"/>
            <w:shd w:val="clear" w:color="auto" w:fill="D9D9D9" w:themeFill="background1" w:themeFillShade="D9"/>
          </w:tcPr>
          <w:p w14:paraId="4A85B61C" w14:textId="77777777" w:rsidR="002E3407" w:rsidRPr="00640348" w:rsidRDefault="002E3407" w:rsidP="00EE4E8C">
            <w:pPr>
              <w:rPr>
                <w:sz w:val="20"/>
                <w:szCs w:val="20"/>
              </w:rPr>
            </w:pPr>
            <w:r w:rsidRPr="00640348">
              <w:rPr>
                <w:sz w:val="20"/>
                <w:szCs w:val="20"/>
              </w:rPr>
              <w:t>-Update wreckfish ITQ according to reauthorized Magnuson-Stevens Act</w:t>
            </w:r>
            <w:r>
              <w:rPr>
                <w:sz w:val="20"/>
                <w:szCs w:val="20"/>
              </w:rPr>
              <w:t>.</w:t>
            </w:r>
          </w:p>
        </w:tc>
      </w:tr>
      <w:tr w:rsidR="002E3407" w14:paraId="73991D9B" w14:textId="77777777" w:rsidTr="00EE4E8C">
        <w:trPr>
          <w:trHeight w:val="1160"/>
        </w:trPr>
        <w:tc>
          <w:tcPr>
            <w:tcW w:w="1638" w:type="dxa"/>
            <w:shd w:val="clear" w:color="auto" w:fill="D9D9D9" w:themeFill="background1" w:themeFillShade="D9"/>
            <w:vAlign w:val="center"/>
          </w:tcPr>
          <w:p w14:paraId="7C384892" w14:textId="77777777" w:rsidR="002E3407" w:rsidRDefault="002E3407" w:rsidP="00EE4E8C">
            <w:pPr>
              <w:jc w:val="center"/>
              <w:rPr>
                <w:sz w:val="20"/>
                <w:szCs w:val="20"/>
              </w:rPr>
            </w:pPr>
            <w:r w:rsidRPr="00640348">
              <w:rPr>
                <w:sz w:val="20"/>
                <w:szCs w:val="20"/>
              </w:rPr>
              <w:t>Amendment # 26</w:t>
            </w:r>
          </w:p>
          <w:p w14:paraId="1644F5C3" w14:textId="77777777" w:rsidR="002E3407" w:rsidRPr="00640348" w:rsidRDefault="002E3407" w:rsidP="00EE4E8C">
            <w:pPr>
              <w:jc w:val="center"/>
              <w:rPr>
                <w:sz w:val="20"/>
                <w:szCs w:val="20"/>
              </w:rPr>
            </w:pPr>
          </w:p>
          <w:p w14:paraId="6E9502E4" w14:textId="77777777" w:rsidR="002E3407" w:rsidRDefault="002E3407" w:rsidP="00EE4E8C">
            <w:pPr>
              <w:jc w:val="center"/>
              <w:rPr>
                <w:sz w:val="20"/>
                <w:szCs w:val="20"/>
              </w:rPr>
            </w:pPr>
            <w:r w:rsidRPr="00640348">
              <w:rPr>
                <w:sz w:val="20"/>
                <w:szCs w:val="20"/>
              </w:rPr>
              <w:t>Comprehens</w:t>
            </w:r>
            <w:r>
              <w:rPr>
                <w:sz w:val="20"/>
                <w:szCs w:val="20"/>
              </w:rPr>
              <w:t>ive Ecosystem-Based Amendment 3</w:t>
            </w:r>
          </w:p>
          <w:p w14:paraId="659CE8DA" w14:textId="77777777" w:rsidR="002E3407" w:rsidRDefault="002E3407" w:rsidP="00EE4E8C">
            <w:pPr>
              <w:jc w:val="center"/>
              <w:rPr>
                <w:sz w:val="20"/>
                <w:szCs w:val="20"/>
              </w:rPr>
            </w:pPr>
            <w:r>
              <w:rPr>
                <w:sz w:val="20"/>
                <w:szCs w:val="20"/>
              </w:rPr>
              <w:t>(CE-BA3)</w:t>
            </w:r>
          </w:p>
          <w:p w14:paraId="4F9DCF22" w14:textId="77777777" w:rsidR="002E3407" w:rsidRDefault="002E3407" w:rsidP="00EE4E8C">
            <w:pPr>
              <w:jc w:val="center"/>
              <w:rPr>
                <w:sz w:val="20"/>
                <w:szCs w:val="20"/>
              </w:rPr>
            </w:pPr>
          </w:p>
          <w:p w14:paraId="74202051" w14:textId="77777777" w:rsidR="002E3407" w:rsidRPr="00640348" w:rsidRDefault="002E3407" w:rsidP="00EE4E8C">
            <w:pPr>
              <w:jc w:val="center"/>
              <w:rPr>
                <w:sz w:val="20"/>
                <w:szCs w:val="20"/>
              </w:rPr>
            </w:pPr>
            <w:r>
              <w:rPr>
                <w:sz w:val="20"/>
                <w:szCs w:val="20"/>
              </w:rPr>
              <w:t>(OR – Bycatch Reporting Amendment)</w:t>
            </w:r>
          </w:p>
        </w:tc>
        <w:tc>
          <w:tcPr>
            <w:tcW w:w="1350" w:type="dxa"/>
            <w:shd w:val="clear" w:color="auto" w:fill="D9D9D9" w:themeFill="background1" w:themeFillShade="D9"/>
            <w:vAlign w:val="center"/>
          </w:tcPr>
          <w:p w14:paraId="0F84C2E2" w14:textId="77777777" w:rsidR="002E3407" w:rsidRPr="00640348" w:rsidRDefault="002E3407" w:rsidP="00EE4E8C">
            <w:pPr>
              <w:jc w:val="center"/>
              <w:rPr>
                <w:sz w:val="20"/>
                <w:szCs w:val="20"/>
              </w:rPr>
            </w:pPr>
            <w:r w:rsidRPr="00640348">
              <w:rPr>
                <w:sz w:val="20"/>
                <w:szCs w:val="20"/>
              </w:rPr>
              <w:t>TBD</w:t>
            </w:r>
          </w:p>
        </w:tc>
        <w:tc>
          <w:tcPr>
            <w:tcW w:w="1620" w:type="dxa"/>
            <w:shd w:val="clear" w:color="auto" w:fill="D9D9D9" w:themeFill="background1" w:themeFillShade="D9"/>
            <w:vAlign w:val="center"/>
          </w:tcPr>
          <w:p w14:paraId="73350A87" w14:textId="77777777" w:rsidR="002E3407" w:rsidRPr="00640348" w:rsidRDefault="002E3407" w:rsidP="00EE4E8C">
            <w:pPr>
              <w:jc w:val="center"/>
              <w:rPr>
                <w:sz w:val="20"/>
                <w:szCs w:val="20"/>
              </w:rPr>
            </w:pPr>
            <w:r w:rsidRPr="00640348">
              <w:rPr>
                <w:sz w:val="20"/>
                <w:szCs w:val="20"/>
              </w:rPr>
              <w:t>TBD</w:t>
            </w:r>
          </w:p>
        </w:tc>
        <w:tc>
          <w:tcPr>
            <w:tcW w:w="4590" w:type="dxa"/>
            <w:shd w:val="clear" w:color="auto" w:fill="D9D9D9" w:themeFill="background1" w:themeFillShade="D9"/>
          </w:tcPr>
          <w:p w14:paraId="54E1C03F" w14:textId="77777777" w:rsidR="002E3407" w:rsidRPr="00640348" w:rsidRDefault="002E3407" w:rsidP="00EE4E8C">
            <w:pPr>
              <w:rPr>
                <w:sz w:val="20"/>
                <w:szCs w:val="20"/>
              </w:rPr>
            </w:pPr>
            <w:r w:rsidRPr="00640348">
              <w:rPr>
                <w:sz w:val="20"/>
                <w:szCs w:val="20"/>
              </w:rPr>
              <w:t>-</w:t>
            </w:r>
            <w:r>
              <w:rPr>
                <w:sz w:val="20"/>
                <w:szCs w:val="20"/>
              </w:rPr>
              <w:t xml:space="preserve">Modifies </w:t>
            </w:r>
            <w:r w:rsidRPr="00640348">
              <w:rPr>
                <w:sz w:val="20"/>
                <w:szCs w:val="20"/>
              </w:rPr>
              <w:t>bycatch and discard reporting for commercial and for-hire vessels</w:t>
            </w:r>
            <w:r>
              <w:rPr>
                <w:sz w:val="20"/>
                <w:szCs w:val="20"/>
              </w:rPr>
              <w:t>.</w:t>
            </w:r>
            <w:r w:rsidRPr="00640348">
              <w:rPr>
                <w:sz w:val="20"/>
                <w:szCs w:val="20"/>
              </w:rPr>
              <w:t xml:space="preserve"> </w:t>
            </w:r>
          </w:p>
        </w:tc>
      </w:tr>
      <w:tr w:rsidR="002E3407" w14:paraId="1599F81B" w14:textId="77777777" w:rsidTr="00EE4E8C">
        <w:trPr>
          <w:trHeight w:val="1160"/>
        </w:trPr>
        <w:tc>
          <w:tcPr>
            <w:tcW w:w="1638" w:type="dxa"/>
            <w:shd w:val="clear" w:color="auto" w:fill="D9D9D9" w:themeFill="background1" w:themeFillShade="D9"/>
            <w:vAlign w:val="center"/>
          </w:tcPr>
          <w:p w14:paraId="5411B2A7" w14:textId="77777777" w:rsidR="002E3407" w:rsidRPr="00805E89" w:rsidRDefault="002E3407" w:rsidP="00EE4E8C">
            <w:pPr>
              <w:jc w:val="center"/>
              <w:rPr>
                <w:sz w:val="20"/>
                <w:szCs w:val="20"/>
              </w:rPr>
            </w:pPr>
            <w:r w:rsidRPr="00805E89">
              <w:rPr>
                <w:sz w:val="20"/>
                <w:szCs w:val="20"/>
              </w:rPr>
              <w:t>Amendment #36</w:t>
            </w:r>
          </w:p>
        </w:tc>
        <w:tc>
          <w:tcPr>
            <w:tcW w:w="1350" w:type="dxa"/>
            <w:shd w:val="clear" w:color="auto" w:fill="D9D9D9" w:themeFill="background1" w:themeFillShade="D9"/>
            <w:vAlign w:val="center"/>
          </w:tcPr>
          <w:p w14:paraId="45FF8783" w14:textId="77777777" w:rsidR="002E3407" w:rsidRPr="00805E89" w:rsidRDefault="002E3407" w:rsidP="00EE4E8C">
            <w:pPr>
              <w:jc w:val="center"/>
              <w:rPr>
                <w:sz w:val="20"/>
                <w:szCs w:val="20"/>
              </w:rPr>
            </w:pPr>
            <w:r w:rsidRPr="00805E89">
              <w:rPr>
                <w:sz w:val="20"/>
                <w:szCs w:val="20"/>
              </w:rPr>
              <w:t>TBD</w:t>
            </w:r>
          </w:p>
        </w:tc>
        <w:tc>
          <w:tcPr>
            <w:tcW w:w="1620" w:type="dxa"/>
            <w:shd w:val="clear" w:color="auto" w:fill="D9D9D9" w:themeFill="background1" w:themeFillShade="D9"/>
            <w:vAlign w:val="center"/>
          </w:tcPr>
          <w:p w14:paraId="76FE7412" w14:textId="77777777" w:rsidR="002E3407" w:rsidRPr="00805E89" w:rsidRDefault="002E3407" w:rsidP="00EE4E8C">
            <w:pPr>
              <w:jc w:val="center"/>
              <w:rPr>
                <w:sz w:val="20"/>
                <w:szCs w:val="20"/>
              </w:rPr>
            </w:pPr>
            <w:r w:rsidRPr="00805E89">
              <w:rPr>
                <w:sz w:val="20"/>
                <w:szCs w:val="20"/>
              </w:rPr>
              <w:t>TBD</w:t>
            </w:r>
          </w:p>
        </w:tc>
        <w:tc>
          <w:tcPr>
            <w:tcW w:w="4590" w:type="dxa"/>
            <w:shd w:val="clear" w:color="auto" w:fill="D9D9D9" w:themeFill="background1" w:themeFillShade="D9"/>
          </w:tcPr>
          <w:p w14:paraId="1AB7BB52" w14:textId="77777777" w:rsidR="002E3407" w:rsidRPr="00805E89" w:rsidRDefault="002E3407" w:rsidP="00EE4E8C">
            <w:pPr>
              <w:rPr>
                <w:sz w:val="20"/>
                <w:szCs w:val="20"/>
              </w:rPr>
            </w:pPr>
            <w:r w:rsidRPr="00805E89">
              <w:rPr>
                <w:sz w:val="20"/>
                <w:szCs w:val="20"/>
              </w:rPr>
              <w:t xml:space="preserve">-Establish </w:t>
            </w:r>
            <w:r>
              <w:rPr>
                <w:sz w:val="20"/>
                <w:szCs w:val="20"/>
              </w:rPr>
              <w:t xml:space="preserve">SMZs </w:t>
            </w:r>
            <w:r w:rsidRPr="00805E89">
              <w:rPr>
                <w:sz w:val="20"/>
                <w:szCs w:val="20"/>
              </w:rPr>
              <w:t>to enhance protection for snapper-grouper species in spawning condition including speckled hind and warsaw grouper.</w:t>
            </w:r>
          </w:p>
        </w:tc>
      </w:tr>
      <w:tr w:rsidR="002E3407" w14:paraId="6FB2EB3F" w14:textId="77777777" w:rsidTr="00EE4E8C">
        <w:trPr>
          <w:trHeight w:val="1160"/>
        </w:trPr>
        <w:tc>
          <w:tcPr>
            <w:tcW w:w="1638" w:type="dxa"/>
            <w:shd w:val="clear" w:color="auto" w:fill="D9D9D9" w:themeFill="background1" w:themeFillShade="D9"/>
            <w:vAlign w:val="center"/>
          </w:tcPr>
          <w:p w14:paraId="4ECFE9F1" w14:textId="77777777" w:rsidR="002E3407" w:rsidRPr="002065E9" w:rsidRDefault="002E3407" w:rsidP="00EE4E8C">
            <w:pPr>
              <w:jc w:val="center"/>
              <w:rPr>
                <w:sz w:val="20"/>
                <w:szCs w:val="20"/>
              </w:rPr>
            </w:pPr>
            <w:r>
              <w:rPr>
                <w:sz w:val="20"/>
                <w:szCs w:val="20"/>
              </w:rPr>
              <w:t>Amendment #38</w:t>
            </w:r>
          </w:p>
        </w:tc>
        <w:tc>
          <w:tcPr>
            <w:tcW w:w="1350" w:type="dxa"/>
            <w:shd w:val="clear" w:color="auto" w:fill="D9D9D9" w:themeFill="background1" w:themeFillShade="D9"/>
            <w:vAlign w:val="center"/>
          </w:tcPr>
          <w:p w14:paraId="194E9CFE" w14:textId="77777777" w:rsidR="002E3407" w:rsidRPr="002065E9" w:rsidRDefault="002E3407" w:rsidP="00EE4E8C">
            <w:pPr>
              <w:jc w:val="center"/>
              <w:rPr>
                <w:sz w:val="20"/>
                <w:szCs w:val="20"/>
              </w:rPr>
            </w:pPr>
            <w:r w:rsidRPr="00640348">
              <w:rPr>
                <w:sz w:val="20"/>
                <w:szCs w:val="20"/>
              </w:rPr>
              <w:t>TBD</w:t>
            </w:r>
          </w:p>
        </w:tc>
        <w:tc>
          <w:tcPr>
            <w:tcW w:w="1620" w:type="dxa"/>
            <w:shd w:val="clear" w:color="auto" w:fill="D9D9D9" w:themeFill="background1" w:themeFillShade="D9"/>
            <w:vAlign w:val="center"/>
          </w:tcPr>
          <w:p w14:paraId="77E978F6" w14:textId="77777777" w:rsidR="002E3407" w:rsidRPr="002065E9" w:rsidRDefault="002E3407" w:rsidP="00EE4E8C">
            <w:pPr>
              <w:jc w:val="center"/>
              <w:rPr>
                <w:sz w:val="20"/>
                <w:szCs w:val="20"/>
              </w:rPr>
            </w:pPr>
            <w:r w:rsidRPr="00640348">
              <w:rPr>
                <w:sz w:val="20"/>
                <w:szCs w:val="20"/>
              </w:rPr>
              <w:t>TBD</w:t>
            </w:r>
          </w:p>
        </w:tc>
        <w:tc>
          <w:tcPr>
            <w:tcW w:w="4590" w:type="dxa"/>
            <w:shd w:val="clear" w:color="auto" w:fill="D9D9D9" w:themeFill="background1" w:themeFillShade="D9"/>
          </w:tcPr>
          <w:p w14:paraId="52D27A84" w14:textId="77777777" w:rsidR="002E3407" w:rsidRPr="002065E9" w:rsidRDefault="002E3407" w:rsidP="00EE4E8C">
            <w:pPr>
              <w:rPr>
                <w:sz w:val="20"/>
                <w:szCs w:val="20"/>
              </w:rPr>
            </w:pPr>
            <w:r>
              <w:rPr>
                <w:sz w:val="20"/>
                <w:szCs w:val="20"/>
              </w:rPr>
              <w:t>-Expand the management boundaries for species in the snapper grouper fishery management unit.</w:t>
            </w:r>
          </w:p>
        </w:tc>
      </w:tr>
      <w:tr w:rsidR="002E3407" w14:paraId="3280F09B" w14:textId="77777777" w:rsidTr="00EE4E8C">
        <w:trPr>
          <w:trHeight w:val="1160"/>
        </w:trPr>
        <w:tc>
          <w:tcPr>
            <w:tcW w:w="1638" w:type="dxa"/>
            <w:shd w:val="clear" w:color="auto" w:fill="D9D9D9" w:themeFill="background1" w:themeFillShade="D9"/>
            <w:vAlign w:val="center"/>
          </w:tcPr>
          <w:p w14:paraId="3DF7D329" w14:textId="77777777" w:rsidR="002E3407" w:rsidRDefault="002E3407" w:rsidP="00EE4E8C">
            <w:pPr>
              <w:jc w:val="center"/>
              <w:rPr>
                <w:sz w:val="20"/>
                <w:szCs w:val="20"/>
              </w:rPr>
            </w:pPr>
            <w:r w:rsidRPr="00096DB1">
              <w:rPr>
                <w:sz w:val="20"/>
                <w:szCs w:val="20"/>
              </w:rPr>
              <w:t>Amendment #41</w:t>
            </w:r>
          </w:p>
        </w:tc>
        <w:tc>
          <w:tcPr>
            <w:tcW w:w="1350" w:type="dxa"/>
            <w:shd w:val="clear" w:color="auto" w:fill="D9D9D9" w:themeFill="background1" w:themeFillShade="D9"/>
            <w:vAlign w:val="center"/>
          </w:tcPr>
          <w:p w14:paraId="676CAEB9" w14:textId="77777777" w:rsidR="002E3407" w:rsidRPr="00640348" w:rsidRDefault="002E3407" w:rsidP="00EE4E8C">
            <w:pPr>
              <w:jc w:val="center"/>
              <w:rPr>
                <w:sz w:val="20"/>
                <w:szCs w:val="20"/>
              </w:rPr>
            </w:pPr>
            <w:r w:rsidRPr="00096DB1">
              <w:rPr>
                <w:sz w:val="20"/>
                <w:szCs w:val="20"/>
              </w:rPr>
              <w:t>TBD</w:t>
            </w:r>
          </w:p>
        </w:tc>
        <w:tc>
          <w:tcPr>
            <w:tcW w:w="1620" w:type="dxa"/>
            <w:shd w:val="clear" w:color="auto" w:fill="D9D9D9" w:themeFill="background1" w:themeFillShade="D9"/>
            <w:vAlign w:val="center"/>
          </w:tcPr>
          <w:p w14:paraId="4F77DF73" w14:textId="77777777" w:rsidR="002E3407" w:rsidRPr="00640348" w:rsidRDefault="002E3407" w:rsidP="00EE4E8C">
            <w:pPr>
              <w:jc w:val="center"/>
              <w:rPr>
                <w:sz w:val="20"/>
                <w:szCs w:val="20"/>
              </w:rPr>
            </w:pPr>
            <w:r w:rsidRPr="00096DB1">
              <w:rPr>
                <w:sz w:val="20"/>
                <w:szCs w:val="20"/>
              </w:rPr>
              <w:t>TBD</w:t>
            </w:r>
          </w:p>
        </w:tc>
        <w:tc>
          <w:tcPr>
            <w:tcW w:w="4590" w:type="dxa"/>
            <w:shd w:val="clear" w:color="auto" w:fill="D9D9D9" w:themeFill="background1" w:themeFillShade="D9"/>
          </w:tcPr>
          <w:p w14:paraId="44C41C5D" w14:textId="0DE64211" w:rsidR="002E3407" w:rsidRDefault="002E3407" w:rsidP="00EE4E8C">
            <w:pPr>
              <w:rPr>
                <w:sz w:val="20"/>
                <w:szCs w:val="20"/>
              </w:rPr>
            </w:pPr>
            <w:r w:rsidRPr="00096DB1">
              <w:rPr>
                <w:iCs/>
                <w:sz w:val="20"/>
                <w:szCs w:val="20"/>
              </w:rPr>
              <w:t xml:space="preserve">-Update the </w:t>
            </w:r>
            <w:r>
              <w:rPr>
                <w:iCs/>
                <w:sz w:val="20"/>
                <w:szCs w:val="20"/>
              </w:rPr>
              <w:t>MSY, ABC, ACL, OY, minimum stock size threshold,</w:t>
            </w:r>
            <w:r w:rsidRPr="00096DB1">
              <w:rPr>
                <w:iCs/>
                <w:sz w:val="20"/>
                <w:szCs w:val="20"/>
              </w:rPr>
              <w:t xml:space="preserve"> </w:t>
            </w:r>
            <w:r w:rsidR="00D030EA">
              <w:rPr>
                <w:iCs/>
                <w:sz w:val="20"/>
                <w:szCs w:val="20"/>
              </w:rPr>
              <w:t xml:space="preserve">designate spawning months for regulatory purposes, </w:t>
            </w:r>
            <w:r w:rsidRPr="00096DB1">
              <w:rPr>
                <w:iCs/>
                <w:sz w:val="20"/>
                <w:szCs w:val="20"/>
              </w:rPr>
              <w:t>and revise managem</w:t>
            </w:r>
            <w:r>
              <w:rPr>
                <w:iCs/>
                <w:sz w:val="20"/>
                <w:szCs w:val="20"/>
              </w:rPr>
              <w:t>ent measures for mutton snapper.</w:t>
            </w:r>
          </w:p>
        </w:tc>
      </w:tr>
    </w:tbl>
    <w:p w14:paraId="179B3577" w14:textId="77777777" w:rsidR="002E3407" w:rsidRPr="001E4B73" w:rsidRDefault="002E3407" w:rsidP="002E3407">
      <w:pPr>
        <w:rPr>
          <w:bCs/>
          <w:lang w:val="x-none" w:eastAsia="x-none"/>
        </w:rPr>
      </w:pPr>
    </w:p>
    <w:p w14:paraId="3B7B2630" w14:textId="1B7E238F" w:rsidR="00A9429B" w:rsidRPr="001B307F" w:rsidRDefault="00A9429B" w:rsidP="001B307F">
      <w:pPr>
        <w:rPr>
          <w:b/>
        </w:rPr>
      </w:pPr>
      <w:r w:rsidRPr="001B307F">
        <w:rPr>
          <w:b/>
        </w:rPr>
        <w:t>References:</w:t>
      </w:r>
    </w:p>
    <w:p w14:paraId="7E74CF28" w14:textId="77777777" w:rsidR="00A9429B" w:rsidRPr="00290B4C" w:rsidRDefault="00A9429B" w:rsidP="001B307F"/>
    <w:p w14:paraId="623C3BEC" w14:textId="77777777" w:rsidR="00A9429B" w:rsidRDefault="00A9429B" w:rsidP="001B307F">
      <w:r>
        <w:t xml:space="preserve">SAFMC (South Atlantic Fishery Management Council).  1983.  Fishery Management Plan, Regulatory Impact Review and Final Environmental Impact Statement for the Snapper Grouper Fishery of the South Atlantic Region. South Atlantic Fishery Management Council, 1 Southpark Circle, Suite 306, Charleston, South Carolina, 29407-4699. </w:t>
      </w:r>
    </w:p>
    <w:p w14:paraId="3BD3B975" w14:textId="77777777" w:rsidR="00A9429B" w:rsidRDefault="00A9429B" w:rsidP="001B307F"/>
    <w:p w14:paraId="447E867C" w14:textId="77777777" w:rsidR="00A9429B" w:rsidRDefault="00A9429B" w:rsidP="001B307F">
      <w:r>
        <w:t>SAFMC (South Atlantic Fishery Management Council).  1987.  Regulatory Amendment 1 to the Fishery Management Plan for the Snapper Grouper Fishery of the South Atlantic Region. South Atlantic Fishery Management Council, 1 Southpark Cir., Suite 306, Charleston, S.C. 29407-4699.</w:t>
      </w:r>
    </w:p>
    <w:p w14:paraId="44FA19BD" w14:textId="77777777" w:rsidR="00A9429B" w:rsidRDefault="00A9429B" w:rsidP="001B307F"/>
    <w:p w14:paraId="49BA4791" w14:textId="77777777" w:rsidR="00A9429B" w:rsidRDefault="00A9429B" w:rsidP="001B307F">
      <w:r>
        <w:t>SAFMC (South Atlantic Fishery Management Council).  1988a.  Amendment Number 1 and Environmental Assessment and Regulatory Impact Review to the Fishery Management Plan for the Snapper Grouper Fishery of the South Atlantic Region. South Atlantic Fishery Management Council, 1 Southpark Cir., Suite 306, Charleston, S.C. 29407-4699. 63 pp.</w:t>
      </w:r>
    </w:p>
    <w:p w14:paraId="0A5872B3" w14:textId="77777777" w:rsidR="00A9429B" w:rsidRDefault="00A9429B" w:rsidP="001B307F"/>
    <w:p w14:paraId="7E34FB84" w14:textId="77777777" w:rsidR="00A9429B" w:rsidRDefault="00A9429B" w:rsidP="001B307F">
      <w:r>
        <w:t>SAFMC (South Atlantic Fishery Management Council).  1988b.  Regulatory Amendment 2 to the Fishery Management Plan for the Snapper Grouper Fishery of the South Atlantic Region. South Atlantic Fishery Management Council, 1 Southpark Cir., Suite 306, Charleston, S.C. 29407-4699.</w:t>
      </w:r>
    </w:p>
    <w:p w14:paraId="51A1E386" w14:textId="77777777" w:rsidR="00A9429B" w:rsidRDefault="00A9429B" w:rsidP="001B307F"/>
    <w:p w14:paraId="4AA26D29" w14:textId="77777777" w:rsidR="00A9429B" w:rsidRDefault="00A9429B" w:rsidP="001B307F">
      <w:r>
        <w:t>SAFMC (South Atlantic Fishery Management Council).  1989.  Regulatory Amendment 3 to the Fishery Management Plan for the Snapper Grouper Fishery of the South Atlantic Region. South Atlantic Fishery Management Council, 1 Southpark Cir., Suite 306, Charleston, S.C. 29407-4699.</w:t>
      </w:r>
    </w:p>
    <w:p w14:paraId="5442A3CC" w14:textId="77777777" w:rsidR="00A9429B" w:rsidRDefault="00A9429B" w:rsidP="001B307F"/>
    <w:p w14:paraId="1B92A426" w14:textId="77777777" w:rsidR="00A9429B" w:rsidRDefault="00A9429B" w:rsidP="001B307F">
      <w:r>
        <w:t xml:space="preserve">SAFMC (South Atlantic Fishery Management Council).  1990a.  Amendment Number 2, </w:t>
      </w:r>
    </w:p>
    <w:p w14:paraId="63B013E1" w14:textId="77777777" w:rsidR="00A9429B" w:rsidRDefault="00A9429B" w:rsidP="001B307F">
      <w:r>
        <w:t xml:space="preserve">to the Fishery Management Plan for the Snapper Grouper Fishery of the South Atlantic Region. South Atlantic Fishery Management Council, 1 Southpark Cir., Suite 306, Charleston, S.C. 29407-4699. </w:t>
      </w:r>
    </w:p>
    <w:p w14:paraId="74F782EA" w14:textId="77777777" w:rsidR="00A9429B" w:rsidRDefault="00A9429B" w:rsidP="001B307F"/>
    <w:p w14:paraId="56664597" w14:textId="77777777" w:rsidR="00A9429B" w:rsidRDefault="00A9429B" w:rsidP="001B307F">
      <w:r>
        <w:t xml:space="preserve">SAFMC (South Atlantic Fishery Management Council).  1990b.  Amendment Number 3, </w:t>
      </w:r>
    </w:p>
    <w:p w14:paraId="2C8891FD" w14:textId="77777777" w:rsidR="00A9429B" w:rsidRDefault="00A9429B" w:rsidP="001B307F">
      <w:r>
        <w:t xml:space="preserve">Regulatory Impact Review, Initial Regulatory Flexibility Analysis and Environmental Assessment for the Fishery Management Plan for the Snapper Grouper Fishery of the South Atlantic Region. South Atlantic Fishery Management Council, 1 Southpark Cir., Suite 306, Charleston, S.C. 29407-4699. </w:t>
      </w:r>
    </w:p>
    <w:p w14:paraId="42B6AC11" w14:textId="77777777" w:rsidR="0095710C" w:rsidRDefault="0095710C" w:rsidP="001B307F"/>
    <w:p w14:paraId="7F156472" w14:textId="77777777" w:rsidR="00A9429B" w:rsidRDefault="00A9429B" w:rsidP="001B307F">
      <w:r>
        <w:t xml:space="preserve">SAFMC (South Atlantic Fishery Management Council).  1991.  Amendment Number 4, </w:t>
      </w:r>
    </w:p>
    <w:p w14:paraId="72BB571B" w14:textId="77777777" w:rsidR="00A9429B" w:rsidRDefault="00A9429B" w:rsidP="001B307F">
      <w:r>
        <w:t xml:space="preserve">Regulatory Impact Review, Initial Regulatory Flexibility Analysis and Environmental Assessment for the Fishery Management Plan for the Snapper Grouper Fishery of the South Atlantic Region. South Atlantic Fishery Management Council, 1 Southpark Cir., Suite 306, Charleston, S.C. 29407-4699. 200 pp.  </w:t>
      </w:r>
    </w:p>
    <w:p w14:paraId="1809A404" w14:textId="77777777" w:rsidR="00A9429B" w:rsidRDefault="00A9429B" w:rsidP="001B307F"/>
    <w:p w14:paraId="44E5F502" w14:textId="77777777" w:rsidR="00A9429B" w:rsidRDefault="00A9429B" w:rsidP="001B307F">
      <w:r>
        <w:t>SAFMC (South Atlantic Fishery Management Council).  1992a.  Amendment 5 to the Fishery Management Plan for the Snapper Grouper Fishery of the South Atlantic Region. South Atlantic Fishery Management Council, 1 Southpark Cir., Suite 306, Charleston, S.C. 29407-4699.</w:t>
      </w:r>
    </w:p>
    <w:p w14:paraId="44F53979" w14:textId="77777777" w:rsidR="00A9429B" w:rsidRDefault="00A9429B" w:rsidP="001B307F"/>
    <w:p w14:paraId="0EAAB871" w14:textId="77777777" w:rsidR="00A9429B" w:rsidRDefault="00A9429B" w:rsidP="001B307F">
      <w:r>
        <w:t>SAFMC (South Atlantic Fishery Management Council).  1992b.  Regulatory Amendment 4 to the Fishery Management Plan for the Snapper Grouper Fishery of the South Atlantic Region. South Atlantic Fishery Management Council, 1 Southpark Cir., Suite 306, Charleston, S.C. 29407-4699.</w:t>
      </w:r>
    </w:p>
    <w:p w14:paraId="46728697" w14:textId="77777777" w:rsidR="00A9429B" w:rsidRDefault="00A9429B" w:rsidP="001B307F"/>
    <w:p w14:paraId="32A229E5" w14:textId="77777777" w:rsidR="00A9429B" w:rsidRDefault="00A9429B" w:rsidP="001B307F">
      <w:r>
        <w:t>SAFMC (South Atlantic Fishery Management Council).  1992c.  Regulatory Amendment 5 to the Fishery Management Plan for the Snapper Grouper Fishery of the South Atlantic Region. South Atlantic Fishery Management Council, 1 Southpark Cir., Suite 306, Charleston, S.C. 29407-4699.</w:t>
      </w:r>
    </w:p>
    <w:p w14:paraId="122E0445" w14:textId="77777777" w:rsidR="00A9429B" w:rsidRDefault="00A9429B" w:rsidP="001B307F"/>
    <w:p w14:paraId="0A6688E3" w14:textId="77777777" w:rsidR="00A9429B" w:rsidRDefault="00A9429B" w:rsidP="001B307F">
      <w:r>
        <w:t xml:space="preserve">SAFMC (South Atlantic Fishery Management Council).  1993.  Amendment Number 6, Regulatory Impact Review, Initial Regulatory Flexibility Analysis and Environmental Assessment for the Fishery Management Plan for the Snapper Grouper Fishery of the South Atlantic Region. South Atlantic Fishery Management Council, 1 Southpark Cir., Suite 306, Charleston, S.C. 29407-4699. 155 pp. </w:t>
      </w:r>
    </w:p>
    <w:p w14:paraId="1A9E1A53" w14:textId="77777777" w:rsidR="00A9429B" w:rsidRDefault="00A9429B" w:rsidP="001B307F"/>
    <w:p w14:paraId="3E649BEC" w14:textId="77777777" w:rsidR="00A9429B" w:rsidRDefault="00A9429B" w:rsidP="001B307F">
      <w:r>
        <w:t xml:space="preserve">SAFMC (South Atlantic Fishery Management Council).  1994a.  Amendment Number 7, Regulatory Impact Review, Social Impact Assessment, Initial Regulatory Flexibility Analysis and Supplemental Environmental Impact Statement for the Fishery Management Plan for the Snapper Grouper Fishery of the South Atlantic Region. South Atlantic Fishery Management Council, 1 Southpark Cir., Ste 306, Charleston, S.C. 29407-4699. 110 pp. </w:t>
      </w:r>
    </w:p>
    <w:p w14:paraId="34BE884C" w14:textId="77777777" w:rsidR="00A9429B" w:rsidRDefault="00A9429B" w:rsidP="001B307F"/>
    <w:p w14:paraId="0C7FA41A" w14:textId="77777777" w:rsidR="00A9429B" w:rsidRDefault="00A9429B" w:rsidP="001B307F">
      <w:r>
        <w:t>SAFMC (South Atlantic Fishery Management Council).  1994b.  Regulatory Amendment 6 to the Fishery Management Plan for the Snapper Grouper Fishery of the South Atlantic Region. South Atlantic Fishery Management Council, 1 Southpark Cir., Suite 306, Charleston, S.C. 29407-4699.</w:t>
      </w:r>
    </w:p>
    <w:p w14:paraId="17C740C8" w14:textId="77777777" w:rsidR="00A9429B" w:rsidRDefault="00A9429B" w:rsidP="001B307F"/>
    <w:p w14:paraId="520CE922" w14:textId="77777777" w:rsidR="00A9429B" w:rsidRDefault="00A9429B" w:rsidP="001B307F">
      <w:r>
        <w:t xml:space="preserve">SAFMC (South Atlantic Fishery Management Council).  1997.  Amendment Number 8, Regulatory Impact Review, Social Impact Assessment, Initial Regulatory Flexibility Analysis and Supplemental Environmental Impact Statement for the Fishery Management Plan for the Snapper Grouper Fishery of the South Atlantic Region. South Atlantic Fishery Management Council, 1 Southpark Cir., Ste 306, Charleston, S.C. 29407-4699. 124 pp. </w:t>
      </w:r>
    </w:p>
    <w:p w14:paraId="5458AB32" w14:textId="77777777" w:rsidR="00A9429B" w:rsidRDefault="00A9429B" w:rsidP="001B307F"/>
    <w:p w14:paraId="68AC81F1" w14:textId="77777777" w:rsidR="00A9429B" w:rsidRDefault="00A9429B" w:rsidP="001B307F">
      <w:r>
        <w:t>SAFMC (South Atlantic Fishery Management Council).  1998a.  Regulatory Amendment 7 to the Fishery Management Plan for the Snapper Grouper Fishery of the South Atlantic Region. South Atlantic Fishery Management Council, 1 Southpark Cir., Suite 306, Charleston, S.C. 29407-4699.</w:t>
      </w:r>
    </w:p>
    <w:p w14:paraId="3D01E027" w14:textId="77777777" w:rsidR="00A9429B" w:rsidRDefault="00A9429B" w:rsidP="001B307F"/>
    <w:p w14:paraId="0C011DB3" w14:textId="77777777" w:rsidR="00A9429B" w:rsidRDefault="00A9429B" w:rsidP="001B307F">
      <w:r>
        <w:t xml:space="preserve">SAFMC (South Atlantic Fishery Management Council).  1998b.  Amendment 9, Final Supplemental Environmental Impact Statement, Initial Regulatory Flexibility Analysis/Regulatory Impact Review, and Social Impact Assessment/Fishery Impact Statement for the Fishery Management Plan for the Snapper Grouper Fishery of the South Atlantic Region. South Atlantic Fishery Management Council, 1 Southpark Cir., Suite 306, Charleston, S.C. 29407-4699. 246 pp. </w:t>
      </w:r>
    </w:p>
    <w:p w14:paraId="21DD143A" w14:textId="77777777" w:rsidR="00A9429B" w:rsidRDefault="00A9429B" w:rsidP="001B307F"/>
    <w:p w14:paraId="395DB163" w14:textId="77777777" w:rsidR="00A9429B" w:rsidRDefault="00A9429B" w:rsidP="001B307F">
      <w:r>
        <w:t xml:space="preserve">SAFMC (South Atlantic Fishery Management Council).  1998c.  Comprehensive Amendment Addressing Essential Fish Habitat in Fishery Management Plans of the South Atlantic Region (Amendment 10 to the Snapper Grouper Fishery Management Plan). South Atlantic Fishery Management Council, 1 Southpark Cir., Suite 306, Charleston, S.C. 29407-4699.  </w:t>
      </w:r>
    </w:p>
    <w:p w14:paraId="5A6B0545" w14:textId="77777777" w:rsidR="00A9429B" w:rsidRDefault="00A9429B" w:rsidP="001B307F"/>
    <w:p w14:paraId="56B60DE5" w14:textId="77777777" w:rsidR="00A9429B" w:rsidRDefault="00A9429B" w:rsidP="001B307F">
      <w:r>
        <w:t xml:space="preserve">SAFMC (South Atlantic Fishery Management Council).  1998d.  Comprehensive Amendment Addressing Sustainable Fishery Act Definitions and Other Required Provisions in Fishery Management Plans of the South Atlantic Region (Amendment 11 to the Snapper Grouper Fishery Management Plan). South Atlantic Fishery Management Council, 1 Southpark Cir., Suite 306, Charleston, S.C. 29407-4699. 151 pp. </w:t>
      </w:r>
    </w:p>
    <w:p w14:paraId="213FDE43" w14:textId="77777777" w:rsidR="00A9429B" w:rsidRDefault="00A9429B" w:rsidP="001B307F">
      <w:pPr>
        <w:rPr>
          <w:rFonts w:ascii="TimesNewRomanPSMT" w:hAnsi="TimesNewRomanPSMT" w:cs="TimesNewRomanPSMT"/>
        </w:rPr>
      </w:pPr>
    </w:p>
    <w:p w14:paraId="2A3E828A" w14:textId="77777777" w:rsidR="00A9429B" w:rsidRDefault="00A9429B" w:rsidP="001B307F">
      <w:r>
        <w:t>SAFMC (South Atlantic Fishery Management Council).  2000a.  Regulatory Amendment 8 to the Fishery Management Plan for the Snapper Grouper Fishery of the South Atlantic Region. South Atlantic Fishery Management Council, 1 Southpark Cir., Suite 306, Charleston, S.C. 29407-4699.</w:t>
      </w:r>
    </w:p>
    <w:p w14:paraId="3B22A593" w14:textId="77777777" w:rsidR="00A9429B" w:rsidRDefault="00A9429B" w:rsidP="001B307F"/>
    <w:p w14:paraId="3B36D025" w14:textId="77777777" w:rsidR="00A9429B" w:rsidRDefault="00A9429B" w:rsidP="001B307F">
      <w:r>
        <w:t xml:space="preserve">SAFMC (South Atlantic Fishery Management Council).  2000b.  Amendment Number 12, Regulatory Impact Review, Social Impact Assessment, Initial Regulatory Flexibility Analysis and Supplemental Environmental Impact Statement for the Fishery Management Plan for the Snapper Grouper Fishery of the South Atlantic Region. South Atlantic Fishery Management Council, 1 Southpark Cir., Ste 306, Charleston, S.C. 29407-4699. </w:t>
      </w:r>
    </w:p>
    <w:p w14:paraId="40DBE9D1" w14:textId="77777777" w:rsidR="00A9429B" w:rsidRDefault="00A9429B" w:rsidP="001B307F"/>
    <w:p w14:paraId="4FA5D09D" w14:textId="77777777" w:rsidR="00A9429B" w:rsidRDefault="00A9429B" w:rsidP="001B307F">
      <w:r>
        <w:t xml:space="preserve">SAFMC (South Atlantic Fishery Management Council).  2003.  Amendment Number 13A, Regulatory Impact Review, Initial Regulatory Flexibility Analysis and Environmental Assessment for the Fishery Management Plan for the Snapper Grouper Fishery of the South Atlantic Region. South Atlantic Fishery Management Council, 1 Southpark Cir., Suite 306, Charleston, S.C. 29407-4699. </w:t>
      </w:r>
    </w:p>
    <w:p w14:paraId="27410123" w14:textId="77777777" w:rsidR="00A9429B" w:rsidRDefault="00A9429B" w:rsidP="001B307F"/>
    <w:p w14:paraId="03D556FD" w14:textId="77777777" w:rsidR="00A9429B" w:rsidRDefault="00A9429B" w:rsidP="001B307F">
      <w:r>
        <w:t xml:space="preserve">SAFMC (South Atlantic Fishery Management Council).  2006.  Amendment 13C, Final Environmental Assessment, Initial Regulatory Flexibility Analysis/Regulatory Impact Review, and Social Impact Assessment/Fishery Impact Statement for the Fishery Management Plan for the Snapper Grouper Fishery of the South Atlantic Region. South Atlantic Fishery Management Council, 1 Southpark Cir., Ste 306, Charleston, S.C. 29407-4699. 631 pp. </w:t>
      </w:r>
    </w:p>
    <w:p w14:paraId="2A76CF06" w14:textId="77777777" w:rsidR="00A9429B" w:rsidRDefault="00A9429B" w:rsidP="001B307F"/>
    <w:p w14:paraId="2AF0EBFA" w14:textId="77777777" w:rsidR="00A9429B" w:rsidRDefault="00A9429B" w:rsidP="001B307F">
      <w:r>
        <w:t xml:space="preserve">SAFMC (South Atlantic Fishery Management Council).  2007.  Amendment 14, Final Environmental Impact Statement, Initial Regulatory Flexibility Analysis/Regulatory Impact Review, and Social Impact Assessment/Fishery Impact Statement for the Fishery Management Plan for the Snapper Grouper Fishery of the South Atlantic Region. South Atlantic Fishery Management Council, 4055 Faber Place, Ste 201, North Charleston, S.C. 29405. </w:t>
      </w:r>
    </w:p>
    <w:p w14:paraId="7799A4A4" w14:textId="77777777" w:rsidR="00A9429B" w:rsidRDefault="00A9429B" w:rsidP="001B307F"/>
    <w:p w14:paraId="5C4E2B13" w14:textId="77777777" w:rsidR="00A9429B" w:rsidRDefault="00A9429B" w:rsidP="001B307F">
      <w:r>
        <w:t xml:space="preserve">SAFMC (South Atlantic Fishery Management Council).  2008a.  Amendment 15A, Final Environmental Impact Statement, Initial Regulatory Flexibility Analysis/Regulatory Impact Review, and Social Impact Assessment/Fishery Impact Statement for the Fishery Management Plan for the Snapper Grouper Fishery of the South Atlantic Region. South Atlantic Fishery Management Council, 4055 Faber Place, Ste 201, North Charleston, S.C. 29405. </w:t>
      </w:r>
    </w:p>
    <w:p w14:paraId="3DD76FB7" w14:textId="77777777" w:rsidR="00A9429B" w:rsidRDefault="00A9429B" w:rsidP="001B307F"/>
    <w:p w14:paraId="0CE583F8" w14:textId="77777777" w:rsidR="00A9429B" w:rsidRDefault="00A9429B" w:rsidP="001B307F">
      <w:r>
        <w:t xml:space="preserve">SAFMC (South Atlantic Fishery Management Council).  2008b.  Amendment 15B, Final Environmental Impact Statement, Initial Regulatory Flexibility Analysis/Regulatory Impact Review, and Social Impact Assessment/Fishery Impact Statement for the Fishery Management Plan for the Snapper Grouper Fishery of the South Atlantic Region. South Atlantic Fishery Management Council, 4055 Faber Place, Ste 201, North Charleston, S.C. 29405. </w:t>
      </w:r>
    </w:p>
    <w:p w14:paraId="5C047551" w14:textId="77777777" w:rsidR="00A9429B" w:rsidRDefault="00A9429B" w:rsidP="001B307F"/>
    <w:p w14:paraId="3215956B" w14:textId="77777777" w:rsidR="00A9429B" w:rsidRDefault="00A9429B" w:rsidP="001B307F">
      <w:r>
        <w:t xml:space="preserve">SAFMC (South Atlantic Fishery Management Council).  2009a.  Amendment 16, Final Environmental Impact Statement, Initial Regulatory Flexibility Analysis/Regulatory Impact Review, and Social Impact Assessment/Fishery Impact Statement for the Fishery Management </w:t>
      </w:r>
      <w:r>
        <w:lastRenderedPageBreak/>
        <w:t>Plan for the Snapper Grouper Fishery of the South Atlantic Region. South Atlantic Fishery Management Council, 4055 Faber Place, Ste 201, North Charleston, S.C. 29405.</w:t>
      </w:r>
    </w:p>
    <w:p w14:paraId="0112006B" w14:textId="77777777" w:rsidR="00A9429B" w:rsidRDefault="00A9429B" w:rsidP="001B307F"/>
    <w:p w14:paraId="2AA6B47B" w14:textId="77777777" w:rsidR="00A9429B" w:rsidRDefault="00A9429B" w:rsidP="001B307F">
      <w:r>
        <w:t xml:space="preserve">SAFMC (South Atlantic Fishery Management Council).  2009b.  </w:t>
      </w:r>
      <w:r w:rsidRPr="00FF0807">
        <w:t>Comprehensive Ecosystem Based Amendment 1, Final Environmental Impact Statement, Initial Regulatory Flexibility Analysis/Regulatory Impact Review, and Social Impact Assessment/Fishery Impact Statement for South Atlantic Region</w:t>
      </w:r>
      <w:r>
        <w:t xml:space="preserve"> (Amendment 19 to the Snapper Grouper FMP)</w:t>
      </w:r>
      <w:r w:rsidRPr="00FF0807">
        <w:t>. South Atlantic Fishery Management Council, 4055 Faber Place, Ste 201, North Charleston, S.C. 29405. 286 pp.</w:t>
      </w:r>
    </w:p>
    <w:p w14:paraId="5866A195" w14:textId="77777777" w:rsidR="00A9429B" w:rsidRDefault="00A9429B" w:rsidP="001B307F"/>
    <w:p w14:paraId="7451C0BB" w14:textId="77777777" w:rsidR="00A9429B" w:rsidRDefault="00A9429B" w:rsidP="001B307F">
      <w:r>
        <w:t>SAFMC (South Atlantic Fishery Management Council).  2010a.  Amendment 17A, Final Environmental Impact Statement, Initial Regulatory Flexibility Analysis/Regulatory Impact Review, and Social Impact Assessment/Fishery Impact Statement for the Fishery Management Plan for the Snapper Grouper Fishery of the South Atlantic Region. South Atlantic Fishery Management Council, 4055 Faber Place Drive, Ste 201, Charleston, S.C. 29405.</w:t>
      </w:r>
    </w:p>
    <w:p w14:paraId="7F5BC828" w14:textId="77777777" w:rsidR="00A9429B" w:rsidRDefault="00A9429B" w:rsidP="001B307F"/>
    <w:p w14:paraId="7F1A9B0B" w14:textId="77777777" w:rsidR="00A9429B" w:rsidRDefault="00A9429B" w:rsidP="001B307F">
      <w:r>
        <w:t>SAFMC (South Atlantic Fishery Management Council).  2010b.  Amendment 17B, Final Environmental Impact Statement, Initial Regulatory Flexibility Analysis/Regulatory Impact Review, and Social Impact Assessment/Fishery Impact Statement for the Fishery Management Plan for the Snapper Grouper Fishery of the South Atlantic Region. South Atlantic Fishery Management Council, 4055 Faber Place, Ste 201, North Charleston, S.C. 29405.</w:t>
      </w:r>
    </w:p>
    <w:p w14:paraId="3ABAE038" w14:textId="77777777" w:rsidR="00A9429B" w:rsidRDefault="00A9429B" w:rsidP="001B307F"/>
    <w:p w14:paraId="2E389B7D" w14:textId="77777777" w:rsidR="00A9429B" w:rsidRDefault="00A9429B" w:rsidP="001B307F">
      <w:r>
        <w:t>SAFMC (South Atlantic Fishery Management Council).  2010c.  Regulatory Amendment 10, Final Environmental Assessment, Regulatory Flexibility Analysis/Regulatory Impact Review, and Social Impact Assessment/Fishery Impact Statement for the Fishery Management Plan for the Snapper Grouper Fishery of the South Atlantic Region. South Atlantic Fishery Management Council, 4055 Faber Place, Ste 201, North Charleston, S.C. 29405.</w:t>
      </w:r>
    </w:p>
    <w:p w14:paraId="4CB1C767" w14:textId="77777777" w:rsidR="00A9429B" w:rsidRDefault="00A9429B" w:rsidP="001B307F"/>
    <w:p w14:paraId="5B3B8EB6" w14:textId="77777777" w:rsidR="00A9429B" w:rsidRDefault="00A9429B" w:rsidP="001B307F">
      <w:r>
        <w:t>SAFMC (South Atlantic Fishery Management Council).  2011a.  Regulatory Amendment 9, Final Environmental Assessment, Regulatory Flexibility Analysis/Regulatory Impact Review, and Social Impact Assessment/Fishery Impact Statement for the Fishery Management Plan for the Snapper Grouper Fishery of the South Atlantic Region. South Atlantic Fishery Management Council, 4055 Faber Place, Ste 201, North Charleston, S.C. 29405.</w:t>
      </w:r>
    </w:p>
    <w:p w14:paraId="16DEC339" w14:textId="77777777" w:rsidR="00A9429B" w:rsidRDefault="00A9429B" w:rsidP="001B307F"/>
    <w:p w14:paraId="7AF412C8" w14:textId="77777777" w:rsidR="00A9429B" w:rsidRDefault="00A9429B" w:rsidP="001B307F">
      <w:r>
        <w:t>SAFMC (South Atlantic Fishery Management Council).  2011c.  Regulatory Amendment 11, Final Environmental Assessment, Regulatory Flexibility Analysis/Regulatory Impact Review, and Social Impact Assessment/Fishery Impact Statement for the Fishery Management Plan for the Snapper Grouper Fishery of the South Atlantic Region. South Atlantic Fishery Management Council, 4055 Faber Place, Ste 201, North Charleston, S.C. 29405.</w:t>
      </w:r>
    </w:p>
    <w:p w14:paraId="008181E4" w14:textId="77777777" w:rsidR="00A9429B" w:rsidRDefault="00A9429B" w:rsidP="001B307F"/>
    <w:p w14:paraId="0360A56E" w14:textId="77777777" w:rsidR="00A9429B" w:rsidRPr="00D8205A" w:rsidRDefault="00A9429B" w:rsidP="001B307F">
      <w:r w:rsidRPr="003D5C93">
        <w:t>SAFMC (South Atlantic Fis</w:t>
      </w:r>
      <w:r>
        <w:t>hery Management Council).  2011c</w:t>
      </w:r>
      <w:r w:rsidRPr="003D5C93">
        <w:t>.</w:t>
      </w:r>
      <w:r>
        <w:t xml:space="preserve">  Comprehensive Annual Catch Limit (ACL) Amendment (Amendment 25 to the Fishery Management Plan for the Snapper Grouper Fishery of the South Atlantic Region).  </w:t>
      </w:r>
      <w:r w:rsidRPr="00B61B4D">
        <w:t>South Atlantic Fishery Management Council, 4055 Faber Place, Ste 201, North Charleston, S.C. 29405.</w:t>
      </w:r>
    </w:p>
    <w:p w14:paraId="2DB716C6" w14:textId="77777777" w:rsidR="00A9429B" w:rsidRDefault="00A9429B" w:rsidP="001B307F"/>
    <w:p w14:paraId="63F1768A" w14:textId="77777777" w:rsidR="00A9429B" w:rsidRDefault="00A9429B" w:rsidP="001B307F">
      <w:r w:rsidRPr="00D8205A">
        <w:lastRenderedPageBreak/>
        <w:t>SAFMC (South Atlantic Fishery Management Council).  2011d. Amendment 24 to the Fishery Management Plan for the Snapper Grouper Fishery of the South Atlantic Region.  South Atlantic Fishery Management Council, 4055 Faber Place, Ste 201, North Charleston, S.C. 29405.</w:t>
      </w:r>
    </w:p>
    <w:p w14:paraId="415D670F" w14:textId="77777777" w:rsidR="00A9429B" w:rsidRDefault="00A9429B" w:rsidP="001B307F"/>
    <w:p w14:paraId="37478138" w14:textId="77777777" w:rsidR="00A9429B" w:rsidRDefault="00A9429B" w:rsidP="001B307F">
      <w:r>
        <w:t xml:space="preserve">SAFMC (South Atlantic Fishery Management Council).  2011e.  </w:t>
      </w:r>
      <w:r w:rsidRPr="00FF0807">
        <w:t>Comprehen</w:t>
      </w:r>
      <w:r>
        <w:t>sive Ecosystem Based Amendment 2</w:t>
      </w:r>
      <w:r w:rsidRPr="00FF0807">
        <w:t xml:space="preserve">, </w:t>
      </w:r>
      <w:r>
        <w:t>Final Environmental Assessment, Regulatory Flexibility Analysis/Regulatory Impact Review, and Social Impact Assessment/Fishery Impact Statement for the Fishery Management Plan for the Snapper Grouper Fishery of the South Atlantic Region. (Amendment 23 to the Snapper Grouper FMP)</w:t>
      </w:r>
      <w:r w:rsidRPr="00FF0807">
        <w:t>. South Atlantic Fishery Management Council, 4055 Faber Place, Ste 201, North Charleston, S.C. 29405.</w:t>
      </w:r>
    </w:p>
    <w:p w14:paraId="4D3501DB" w14:textId="77777777" w:rsidR="00A9429B" w:rsidRDefault="00A9429B" w:rsidP="001B307F"/>
    <w:p w14:paraId="05951776" w14:textId="77777777" w:rsidR="00A9429B" w:rsidRDefault="00A9429B" w:rsidP="001B307F">
      <w:r w:rsidRPr="003D5C93">
        <w:t>SAFMC (South Atlantic Fis</w:t>
      </w:r>
      <w:r>
        <w:t>hery Management Council).  2012a</w:t>
      </w:r>
      <w:r w:rsidRPr="003D5C93">
        <w:t>.</w:t>
      </w:r>
      <w:r>
        <w:t xml:space="preserve">  Amendment 18A to the Fishery </w:t>
      </w:r>
    </w:p>
    <w:p w14:paraId="43B1C8BB" w14:textId="77777777" w:rsidR="00A9429B" w:rsidRDefault="00A9429B" w:rsidP="001B307F">
      <w:r w:rsidRPr="006F20BC">
        <w:t>Managemen</w:t>
      </w:r>
      <w:r>
        <w:t xml:space="preserve">t Plan </w:t>
      </w:r>
      <w:r w:rsidRPr="006F20BC">
        <w:t xml:space="preserve">for the Snapper </w:t>
      </w:r>
      <w:r>
        <w:t>G</w:t>
      </w:r>
      <w:r w:rsidRPr="006F20BC">
        <w:t>rouper Fishery of the South Atlantic Region</w:t>
      </w:r>
      <w:r>
        <w:t xml:space="preserve">.  </w:t>
      </w:r>
      <w:r w:rsidRPr="00B61B4D">
        <w:t xml:space="preserve">South Atlantic </w:t>
      </w:r>
    </w:p>
    <w:p w14:paraId="166E96FC" w14:textId="77777777" w:rsidR="00A9429B" w:rsidRDefault="00A9429B" w:rsidP="001B307F">
      <w:r w:rsidRPr="00B61B4D">
        <w:t>Fishery Management Council, 4055 Faber Place, Ste 201, North Charleston, S.C. 29405.</w:t>
      </w:r>
    </w:p>
    <w:p w14:paraId="2BA30E5A" w14:textId="77777777" w:rsidR="00A9429B" w:rsidRDefault="00A9429B" w:rsidP="001B307F"/>
    <w:p w14:paraId="296A4D24" w14:textId="77777777" w:rsidR="00A9429B" w:rsidRDefault="00A9429B" w:rsidP="001B307F">
      <w:r w:rsidRPr="003D5C93">
        <w:t>SAFMC (South Atlantic Fis</w:t>
      </w:r>
      <w:r>
        <w:t>hery Management Council).  2012b</w:t>
      </w:r>
      <w:r w:rsidRPr="003D5C93">
        <w:t>.</w:t>
      </w:r>
      <w:r>
        <w:t xml:space="preserve">  Amendment 20A to the Fishery </w:t>
      </w:r>
    </w:p>
    <w:p w14:paraId="6E1E2BA0" w14:textId="77777777" w:rsidR="00A9429B" w:rsidRDefault="00A9429B" w:rsidP="001B307F">
      <w:r w:rsidRPr="006F20BC">
        <w:t>Managemen</w:t>
      </w:r>
      <w:r>
        <w:t xml:space="preserve">t Plan </w:t>
      </w:r>
      <w:r w:rsidRPr="006F20BC">
        <w:t xml:space="preserve">for the Snapper </w:t>
      </w:r>
      <w:r>
        <w:t>G</w:t>
      </w:r>
      <w:r w:rsidRPr="006F20BC">
        <w:t>rouper Fishery of the South Atlantic Region</w:t>
      </w:r>
      <w:r>
        <w:t xml:space="preserve">.  </w:t>
      </w:r>
      <w:r w:rsidRPr="00B61B4D">
        <w:t xml:space="preserve">South Atlantic </w:t>
      </w:r>
    </w:p>
    <w:p w14:paraId="167C9941" w14:textId="77777777" w:rsidR="00A9429B" w:rsidRDefault="00A9429B" w:rsidP="001B307F">
      <w:r w:rsidRPr="00B61B4D">
        <w:t>Fishery Management Council, 4055 Faber Place, Ste 201, North Charleston, S.C. 29405.</w:t>
      </w:r>
    </w:p>
    <w:p w14:paraId="45101D77" w14:textId="77777777" w:rsidR="00A9429B" w:rsidRDefault="00A9429B" w:rsidP="001B307F"/>
    <w:p w14:paraId="164749AE" w14:textId="77777777" w:rsidR="00A9429B" w:rsidRDefault="00A9429B" w:rsidP="001B307F">
      <w:r>
        <w:t>SAFMC (South Atlantic Fishery Management Council).  2012c.  Regulatory Amendment 12, Final Environmental Assessment, Regulatory Flexibility Analysis/Regulatory Impact Review, and Social Impact Assessment/Fishery Impact Statement for the Fishery Management Plan for the Snapper Grouper Fishery of the South Atlantic Region. South Atlantic Fishery Management Council, 4055 Faber Place, Ste 201, North Charleston, S.C. 29405.</w:t>
      </w:r>
    </w:p>
    <w:p w14:paraId="47E25DD2" w14:textId="77777777" w:rsidR="00A9429B" w:rsidRDefault="00A9429B" w:rsidP="001B307F"/>
    <w:p w14:paraId="52361150" w14:textId="77777777" w:rsidR="00A9429B" w:rsidRPr="00A9429B" w:rsidRDefault="00A9429B" w:rsidP="001B307F">
      <w:r w:rsidRPr="00A9429B">
        <w:t>SAFMC (South Atlantic Fishery Management Council). 2013a. Amendment 18B to the Fishery Management Plan for the Snapper Grouper Fishery of the South Atlantic Region with Final Environmental Impact Statement, Initial Regulatory Flexibility Analysis, Regulatory Impact Review, and Social Impact Assessment/Fishery Impact Statement. South Atlantic Fishery Management Council, 4055 Faber Place Drive, Ste 201, Charleston, S.C. 29405.</w:t>
      </w:r>
    </w:p>
    <w:p w14:paraId="7F430399" w14:textId="77777777" w:rsidR="00A9429B" w:rsidRPr="00A9429B" w:rsidRDefault="00A9429B" w:rsidP="001B307F"/>
    <w:p w14:paraId="48EE071B" w14:textId="77777777" w:rsidR="00A9429B" w:rsidRPr="00A9429B" w:rsidRDefault="00A9429B" w:rsidP="001B307F">
      <w:r w:rsidRPr="00A9429B">
        <w:t>SAFMC (South Atlantic Fishery Management Council). 2013b. Regulatory Amendment 13 to the Fishery Management Plan for the Snapper Grouper Fishery of the South Atlantic Region . South Atlantic Fishery Management Council, 4055 Faber Place Drive, Ste 201, Charleston, S.C. 29405.</w:t>
      </w:r>
    </w:p>
    <w:p w14:paraId="6E9380D4" w14:textId="77777777" w:rsidR="00A9429B" w:rsidRPr="00A9429B" w:rsidRDefault="00A9429B" w:rsidP="001B307F"/>
    <w:p w14:paraId="2BC2460B" w14:textId="77777777" w:rsidR="00A9429B" w:rsidRPr="00A9429B" w:rsidRDefault="00A9429B" w:rsidP="001B307F">
      <w:r w:rsidRPr="00A9429B">
        <w:t>SAFMC (South Atlantic Fishery Management Council). 2013c. Regulatory Amendment 15 to the Fishery Management Plan for the Snapper Grouper Fishery of the South Atlantic Region . South Atlantic Fishery Management Council, 4055 Faber Place Drive, Ste 201, Charleston, S.C. 29405.</w:t>
      </w:r>
    </w:p>
    <w:p w14:paraId="5705E5BE" w14:textId="77777777" w:rsidR="00A9429B" w:rsidRPr="00A9429B" w:rsidRDefault="00A9429B" w:rsidP="001B307F"/>
    <w:p w14:paraId="184B8A62" w14:textId="77777777" w:rsidR="00A9429B" w:rsidRPr="00A9429B" w:rsidRDefault="00A9429B" w:rsidP="001B307F">
      <w:r w:rsidRPr="00A9429B">
        <w:t>SAFMC (South Atlantic Fishery Management Council). 2013d. Amendment 28 to the Fishery Management Plan for the Snapper Grouper Fishery of the South Atlantic Region . South Atlantic Fishery Management Council, 4055 Faber Place Drive, Ste 201, Charleston, S.C. 29405.</w:t>
      </w:r>
    </w:p>
    <w:p w14:paraId="25089BB5" w14:textId="77777777" w:rsidR="00A9429B" w:rsidRPr="00A9429B" w:rsidRDefault="00A9429B" w:rsidP="001B307F"/>
    <w:p w14:paraId="564A3AE1" w14:textId="77777777" w:rsidR="00A9429B" w:rsidRPr="00A9429B" w:rsidRDefault="00A9429B" w:rsidP="001B307F">
      <w:r w:rsidRPr="00A9429B">
        <w:lastRenderedPageBreak/>
        <w:t>SAFMC (South Atlantic Fishery Management Council). 2013e. Regulatory Amendment 18 to the Fishery Management Plan for the Snapper Grouper Fishery of the South Atlantic Region . South Atlantic Fishery Management Council, 4055 Faber Place Drive, Ste 201, Charleston, S.C. 29405.</w:t>
      </w:r>
    </w:p>
    <w:p w14:paraId="78C1B88E" w14:textId="77777777" w:rsidR="00A9429B" w:rsidRPr="00A9429B" w:rsidRDefault="00A9429B" w:rsidP="001B307F"/>
    <w:p w14:paraId="3AD2123A" w14:textId="77777777" w:rsidR="00A9429B" w:rsidRPr="00A9429B" w:rsidRDefault="00A9429B" w:rsidP="001B307F">
      <w:r w:rsidRPr="00A9429B">
        <w:t>SAFMC (South Atlantic Fishery Management Council). 2013f. Regulatory Amendment 19 to the Fishery Management Plan for the Snapper Grouper Fishery of the South Atlantic Region. South Atlantic Fishery Management Council, 4055 Faber Place Drive, Ste 201, Charleston, S.C. 29405.</w:t>
      </w:r>
    </w:p>
    <w:p w14:paraId="2812119D" w14:textId="77777777" w:rsidR="00A9429B" w:rsidRPr="00A9429B" w:rsidRDefault="00A9429B" w:rsidP="001B307F"/>
    <w:p w14:paraId="583A8601" w14:textId="77777777" w:rsidR="00A9429B" w:rsidRPr="00A9429B" w:rsidRDefault="00A9429B" w:rsidP="001B307F">
      <w:r w:rsidRPr="00A9429B">
        <w:t>SAFMC (South Atlantic Fishery Management Council). 2013g. Amendment 27 to the Fishery Management Plan for the Snapper Grouper Fishery of the South Atlantic Region. South Atlantic Fishery Management Council, 4055 Faber Place Drive, Ste 201, Charleston, S.C. 29405.</w:t>
      </w:r>
    </w:p>
    <w:p w14:paraId="5833C9A0" w14:textId="77777777" w:rsidR="00A9429B" w:rsidRPr="00A9429B" w:rsidRDefault="00A9429B" w:rsidP="001B307F"/>
    <w:p w14:paraId="55CAE33A" w14:textId="77777777" w:rsidR="00A9429B" w:rsidRPr="00A9429B" w:rsidRDefault="00A9429B" w:rsidP="001B307F">
      <w:r w:rsidRPr="00A9429B">
        <w:t>SAFMC (South Atlantic Fishery Management Council). 2014a. Regulatory Amendment 14 to the Fishery Management Plan for the Snapper Grouper Fishery of the South Atlantic Region. South Atlantic Fishery Management Council, 4055 Faber Place Drive, Ste 201, Charleston, S.C. 29405.</w:t>
      </w:r>
    </w:p>
    <w:p w14:paraId="637C1BAF" w14:textId="77777777" w:rsidR="00A9429B" w:rsidRPr="00A9429B" w:rsidRDefault="00A9429B" w:rsidP="001B307F"/>
    <w:p w14:paraId="2B3EECD4" w14:textId="77777777" w:rsidR="00A9429B" w:rsidRPr="00A9429B" w:rsidRDefault="00A9429B" w:rsidP="001B307F">
      <w:r w:rsidRPr="00A9429B">
        <w:t>SAFMC (South Atlantic Fishery Management Council). 2014b. Regulatory Amendment 21 to the Fishery Management Plan for the Snapper Grouper Fishery of the South Atlantic Region. South Atlantic Fishery Management Council, 4055 Faber Place Drive, Ste 201, Charleston, S.C. 29405.</w:t>
      </w:r>
    </w:p>
    <w:p w14:paraId="28105C35" w14:textId="77777777" w:rsidR="00A9429B" w:rsidRPr="00A9429B" w:rsidRDefault="00A9429B" w:rsidP="001B307F"/>
    <w:p w14:paraId="16AE12E8" w14:textId="77777777" w:rsidR="00A9429B" w:rsidRPr="00A9429B" w:rsidRDefault="00A9429B" w:rsidP="001B307F">
      <w:r w:rsidRPr="00A9429B">
        <w:t>SAFMC (South Atlantic Fishery Management Council). 2014c. Amendment 29 to the Fishery Management Plan for the Snapper Grouper Fishery of the South Atlantic Region. South Atlantic Fishery Management Council, 4055 Faber Place Drive, Ste 201, Charleston, S.C. 29405.</w:t>
      </w:r>
    </w:p>
    <w:p w14:paraId="2F1803DB" w14:textId="77777777" w:rsidR="00A9429B" w:rsidRPr="00A9429B" w:rsidRDefault="00A9429B" w:rsidP="001B307F"/>
    <w:p w14:paraId="4DA869E8" w14:textId="3DBF83BC" w:rsidR="00AE3500" w:rsidRDefault="00A9429B" w:rsidP="001B307F">
      <w:r w:rsidRPr="00A9429B">
        <w:t>SAFMC (South Atlantic Fishery Management Council). 2014d. Regulatory Amendment 20 to the Fishery Management Plan for the Snapper Grouper Fishery of the South Atlantic Region. South Atlantic Fishery Management Council, 4055 Faber Place Drive, Ste 201, Charleston, S.C. 29405.</w:t>
      </w:r>
    </w:p>
    <w:p w14:paraId="58B06ADF" w14:textId="77777777" w:rsidR="008F3D62" w:rsidRPr="00A9429B" w:rsidRDefault="008F3D62" w:rsidP="001B307F"/>
    <w:p w14:paraId="50F3C6A4" w14:textId="77777777" w:rsidR="006259DE" w:rsidRDefault="006259DE" w:rsidP="00D71AB1">
      <w:pPr>
        <w:autoSpaceDE w:val="0"/>
        <w:autoSpaceDN w:val="0"/>
        <w:adjustRightInd w:val="0"/>
        <w:rPr>
          <w:rFonts w:ascii="TimesNewRomanPSMT" w:hAnsi="TimesNewRomanPSMT" w:cs="TimesNewRomanPSMT"/>
        </w:rPr>
        <w:sectPr w:rsidR="006259DE" w:rsidSect="0038545E">
          <w:footerReference w:type="default" r:id="rId90"/>
          <w:pgSz w:w="12240" w:h="15840" w:code="1"/>
          <w:pgMar w:top="1440" w:right="1440" w:bottom="1440" w:left="1440" w:header="720" w:footer="720" w:gutter="0"/>
          <w:pgNumType w:start="1"/>
          <w:cols w:space="720"/>
          <w:docGrid w:linePitch="360"/>
        </w:sectPr>
      </w:pPr>
    </w:p>
    <w:p w14:paraId="1F44A92F" w14:textId="4EE332D4" w:rsidR="003E5656" w:rsidRPr="003061E9" w:rsidRDefault="00717820" w:rsidP="003E5656">
      <w:pPr>
        <w:pStyle w:val="Heading1"/>
        <w:rPr>
          <w:rFonts w:ascii="Times New Roman" w:hAnsi="Times New Roman" w:cs="Times New Roman"/>
          <w:color w:val="548DD4"/>
          <w:sz w:val="48"/>
          <w:szCs w:val="48"/>
        </w:rPr>
      </w:pPr>
      <w:bookmarkStart w:id="399" w:name="_Toc339811833"/>
      <w:bookmarkStart w:id="400" w:name="_Toc361410437"/>
      <w:bookmarkStart w:id="401" w:name="_Toc374615718"/>
      <w:bookmarkEnd w:id="397"/>
      <w:bookmarkEnd w:id="398"/>
      <w:r>
        <w:rPr>
          <w:rFonts w:ascii="Times New Roman" w:hAnsi="Times New Roman" w:cs="Times New Roman"/>
          <w:color w:val="8DB3E2"/>
          <w:sz w:val="36"/>
          <w:szCs w:val="36"/>
        </w:rPr>
        <w:lastRenderedPageBreak/>
        <w:t>Appendix D</w:t>
      </w:r>
      <w:r w:rsidR="003E5656" w:rsidRPr="00532ABB">
        <w:rPr>
          <w:rFonts w:ascii="Times New Roman" w:hAnsi="Times New Roman" w:cs="Times New Roman"/>
          <w:color w:val="8DB3E2"/>
          <w:sz w:val="36"/>
          <w:szCs w:val="36"/>
        </w:rPr>
        <w:t>.</w:t>
      </w:r>
      <w:r w:rsidR="003E5656" w:rsidRPr="00532ABB">
        <w:rPr>
          <w:rFonts w:ascii="Times New Roman" w:hAnsi="Times New Roman" w:cs="Times New Roman"/>
          <w:color w:val="548DD4"/>
          <w:sz w:val="56"/>
          <w:szCs w:val="56"/>
        </w:rPr>
        <w:t xml:space="preserve">  </w:t>
      </w:r>
      <w:r w:rsidR="003E5656" w:rsidRPr="003061E9">
        <w:rPr>
          <w:rFonts w:ascii="Times New Roman" w:hAnsi="Times New Roman" w:cs="Times New Roman"/>
          <w:color w:val="548DD4"/>
          <w:sz w:val="48"/>
          <w:szCs w:val="48"/>
        </w:rPr>
        <w:t>Bycatch Practicability Analysis</w:t>
      </w:r>
      <w:bookmarkEnd w:id="399"/>
    </w:p>
    <w:p w14:paraId="266CD3D2" w14:textId="77777777" w:rsidR="00E03650" w:rsidRPr="009C5ECD" w:rsidRDefault="00E03650" w:rsidP="00E03650">
      <w:pPr>
        <w:autoSpaceDE w:val="0"/>
        <w:autoSpaceDN w:val="0"/>
        <w:adjustRightInd w:val="0"/>
        <w:rPr>
          <w:rFonts w:ascii="TimesNewRomanPS-BoldMT" w:hAnsi="TimesNewRomanPS-BoldMT" w:cs="TimesNewRomanPS-BoldMT"/>
          <w:b/>
          <w:bCs/>
          <w:color w:val="000000"/>
          <w:sz w:val="20"/>
          <w:szCs w:val="20"/>
        </w:rPr>
      </w:pPr>
    </w:p>
    <w:p w14:paraId="7D73A576" w14:textId="77777777" w:rsidR="00E03650" w:rsidRPr="009C5ECD" w:rsidRDefault="00E03650" w:rsidP="00E03650">
      <w:pPr>
        <w:pStyle w:val="ListParagraph"/>
        <w:numPr>
          <w:ilvl w:val="1"/>
          <w:numId w:val="47"/>
        </w:numPr>
        <w:autoSpaceDE w:val="0"/>
        <w:autoSpaceDN w:val="0"/>
        <w:adjustRightInd w:val="0"/>
        <w:spacing w:after="0" w:line="240" w:lineRule="auto"/>
        <w:rPr>
          <w:rFonts w:ascii="Arial-BoldMT" w:hAnsi="Arial-BoldMT" w:cs="Arial-BoldMT"/>
          <w:b/>
          <w:bCs/>
          <w:color w:val="000000"/>
          <w:sz w:val="28"/>
          <w:szCs w:val="28"/>
        </w:rPr>
      </w:pPr>
      <w:r w:rsidRPr="009C5ECD">
        <w:rPr>
          <w:rFonts w:ascii="Arial-BoldMT" w:hAnsi="Arial-BoldMT" w:cs="Arial-BoldMT"/>
          <w:b/>
          <w:bCs/>
          <w:color w:val="000000"/>
          <w:sz w:val="28"/>
          <w:szCs w:val="28"/>
        </w:rPr>
        <w:t>Population Effects for the Bycatch Species</w:t>
      </w:r>
    </w:p>
    <w:p w14:paraId="589F919B" w14:textId="77777777" w:rsidR="00E03650" w:rsidRPr="009C5ECD" w:rsidRDefault="00E03650" w:rsidP="00E03650">
      <w:pPr>
        <w:pStyle w:val="ListParagraph"/>
        <w:autoSpaceDE w:val="0"/>
        <w:autoSpaceDN w:val="0"/>
        <w:adjustRightInd w:val="0"/>
        <w:spacing w:after="0" w:line="240" w:lineRule="auto"/>
        <w:rPr>
          <w:rFonts w:ascii="Arial-BoldMT" w:hAnsi="Arial-BoldMT" w:cs="Arial-BoldMT"/>
          <w:b/>
          <w:bCs/>
          <w:color w:val="000000"/>
          <w:sz w:val="28"/>
          <w:szCs w:val="28"/>
        </w:rPr>
      </w:pPr>
    </w:p>
    <w:p w14:paraId="7CA1DD51" w14:textId="77777777" w:rsidR="00E03650" w:rsidRPr="009C5ECD" w:rsidRDefault="00E03650" w:rsidP="00E03650">
      <w:pPr>
        <w:autoSpaceDE w:val="0"/>
        <w:autoSpaceDN w:val="0"/>
        <w:adjustRightInd w:val="0"/>
        <w:rPr>
          <w:rFonts w:ascii="Arial-BoldMT" w:hAnsi="Arial-BoldMT" w:cs="Arial-BoldMT"/>
          <w:b/>
          <w:bCs/>
          <w:color w:val="000000"/>
        </w:rPr>
      </w:pPr>
      <w:r w:rsidRPr="009C5ECD">
        <w:rPr>
          <w:rFonts w:ascii="Arial-BoldMT" w:hAnsi="Arial-BoldMT" w:cs="Arial-BoldMT"/>
          <w:b/>
          <w:bCs/>
          <w:color w:val="000000"/>
        </w:rPr>
        <w:t>Background</w:t>
      </w:r>
    </w:p>
    <w:p w14:paraId="68B46FD9" w14:textId="77777777" w:rsidR="00E03650" w:rsidRPr="009C5ECD" w:rsidRDefault="00E03650" w:rsidP="001129C8">
      <w:pPr>
        <w:ind w:firstLine="360"/>
        <w:contextualSpacing/>
      </w:pPr>
      <w:r w:rsidRPr="009C5ECD">
        <w:t xml:space="preserve">Mutton snapper in the Southeast United States is considered a single stock that is centered in south Florida.  In 2015, an update to the stock assessment for mutton snapper was conducted </w:t>
      </w:r>
      <w:r w:rsidRPr="009C5ECD">
        <w:rPr>
          <w:noProof/>
        </w:rPr>
        <w:t>under the Southeast Data, Assessment, and Review (SEDAR) process</w:t>
      </w:r>
      <w:r w:rsidRPr="009C5ECD">
        <w:t xml:space="preserve"> with data through 2013 (SEDAR 15A Update 2015).</w:t>
      </w:r>
      <w:r w:rsidRPr="009C5ECD">
        <w:rPr>
          <w:b/>
        </w:rPr>
        <w:t xml:space="preserve"> </w:t>
      </w:r>
      <w:r w:rsidRPr="009C5ECD">
        <w:t xml:space="preserve"> </w:t>
      </w:r>
      <w:r w:rsidRPr="009C5ECD">
        <w:rPr>
          <w:color w:val="000000"/>
        </w:rPr>
        <w:t xml:space="preserve">Through Amendment 41 to the Fishery Management Plan for the Snapper Grouper Fishery of the South Atlantic Region (Amendment 41), </w:t>
      </w:r>
      <w:r w:rsidRPr="009C5ECD">
        <w:t xml:space="preserve">the South Atlantic Fishery Management Council (Council) </w:t>
      </w:r>
      <w:r w:rsidRPr="009C5ECD">
        <w:rPr>
          <w:color w:val="000000"/>
        </w:rPr>
        <w:t xml:space="preserve">is </w:t>
      </w:r>
      <w:r w:rsidRPr="009C5ECD">
        <w:rPr>
          <w:iCs/>
        </w:rPr>
        <w:t xml:space="preserve">revising management measures, </w:t>
      </w:r>
      <w:r w:rsidRPr="009C5ECD">
        <w:t>updating biological benchmarks, and modifying allowable fishing levels for mutton snapper recommended by the latest stock assessment update (SEDAR 15A Update 2015)</w:t>
      </w:r>
      <w:r w:rsidRPr="009C5ECD">
        <w:rPr>
          <w:iCs/>
        </w:rPr>
        <w:t xml:space="preserve">.  Revisions to management measures include designation of “spawning months,” during which stricter regulations may apply, as well as modifications to the minimum size limit, recreational bag limit, and commercial trip limit.  </w:t>
      </w:r>
    </w:p>
    <w:p w14:paraId="6D33C8BF" w14:textId="77777777" w:rsidR="00E03650" w:rsidRPr="009C5ECD" w:rsidRDefault="00E03650" w:rsidP="00E03650">
      <w:pPr>
        <w:autoSpaceDE w:val="0"/>
        <w:autoSpaceDN w:val="0"/>
        <w:adjustRightInd w:val="0"/>
        <w:rPr>
          <w:rFonts w:ascii="Arial-BoldMT" w:hAnsi="Arial-BoldMT" w:cs="Arial-BoldMT"/>
          <w:b/>
          <w:bCs/>
          <w:color w:val="000000"/>
        </w:rPr>
      </w:pPr>
    </w:p>
    <w:p w14:paraId="76A93D52" w14:textId="77777777" w:rsidR="00E03650" w:rsidRPr="009C5ECD" w:rsidRDefault="00E03650" w:rsidP="00E03650">
      <w:pPr>
        <w:autoSpaceDE w:val="0"/>
        <w:autoSpaceDN w:val="0"/>
        <w:adjustRightInd w:val="0"/>
        <w:rPr>
          <w:rFonts w:ascii="Arial-BoldMT" w:hAnsi="Arial-BoldMT" w:cs="Arial-BoldMT"/>
          <w:b/>
          <w:bCs/>
          <w:color w:val="000000"/>
        </w:rPr>
      </w:pPr>
      <w:r w:rsidRPr="009C5ECD">
        <w:rPr>
          <w:rFonts w:ascii="Arial-BoldMT" w:hAnsi="Arial-BoldMT" w:cs="Arial-BoldMT"/>
          <w:b/>
          <w:bCs/>
          <w:color w:val="000000"/>
        </w:rPr>
        <w:t>Commercial Sector</w:t>
      </w:r>
    </w:p>
    <w:p w14:paraId="55A26F65" w14:textId="77777777" w:rsidR="00E03650" w:rsidRPr="009C5ECD" w:rsidRDefault="00E03650" w:rsidP="001129C8">
      <w:pPr>
        <w:ind w:firstLine="360"/>
        <w:contextualSpacing/>
      </w:pPr>
      <w:r w:rsidRPr="009C5ECD">
        <w:t xml:space="preserve">In the South Atlantic region, most mutton snapper by weight are harvested with hook and line gear, followed by spear fishing and traps.  The data found in </w:t>
      </w:r>
      <w:r w:rsidRPr="009C5ECD">
        <w:rPr>
          <w:b/>
        </w:rPr>
        <w:t xml:space="preserve">Table </w:t>
      </w:r>
      <w:r>
        <w:rPr>
          <w:b/>
        </w:rPr>
        <w:t>D-</w:t>
      </w:r>
      <w:r w:rsidRPr="009C5ECD">
        <w:rPr>
          <w:b/>
        </w:rPr>
        <w:t>1</w:t>
      </w:r>
      <w:r w:rsidRPr="009C5ECD">
        <w:t xml:space="preserve"> list the species that contributed the most harvest (by weight) on trips that harvested mutton snapper in the South Atlantic.  This analysis was conducted by isolating all of the 2011-2015 commercial logbook reported trips that had at least one pound of mutton snapper harvest in the South Atlantic region.  Then the landings were summed by harvest weight for each species, and the top six were listed in </w:t>
      </w:r>
      <w:r w:rsidRPr="009C5ECD">
        <w:rPr>
          <w:b/>
        </w:rPr>
        <w:t xml:space="preserve">Table </w:t>
      </w:r>
      <w:r>
        <w:rPr>
          <w:b/>
        </w:rPr>
        <w:t>D-</w:t>
      </w:r>
      <w:r w:rsidRPr="009C5ECD">
        <w:rPr>
          <w:b/>
        </w:rPr>
        <w:t>1</w:t>
      </w:r>
      <w:r w:rsidRPr="009C5ECD">
        <w:t>.  There were three species (yellowtail snapper, greater amberjack, and vermilion snapper), which had more harvest th</w:t>
      </w:r>
      <w:r>
        <w:t>a</w:t>
      </w:r>
      <w:r w:rsidRPr="009C5ECD">
        <w:t>n mutton snapper.</w:t>
      </w:r>
    </w:p>
    <w:p w14:paraId="5398523A" w14:textId="77777777" w:rsidR="00E03650" w:rsidRPr="009C5ECD" w:rsidRDefault="00E03650" w:rsidP="00E03650">
      <w:pPr>
        <w:autoSpaceDE w:val="0"/>
        <w:autoSpaceDN w:val="0"/>
        <w:adjustRightInd w:val="0"/>
        <w:contextualSpacing/>
        <w:rPr>
          <w:b/>
        </w:rPr>
      </w:pPr>
    </w:p>
    <w:p w14:paraId="2287C3BF" w14:textId="4EAD13F1" w:rsidR="00E03650" w:rsidRPr="001129C8" w:rsidRDefault="00E03650" w:rsidP="00E03650">
      <w:pPr>
        <w:autoSpaceDE w:val="0"/>
        <w:autoSpaceDN w:val="0"/>
        <w:adjustRightInd w:val="0"/>
        <w:contextualSpacing/>
        <w:rPr>
          <w:rFonts w:ascii="Arial" w:hAnsi="Arial" w:cs="Arial"/>
          <w:sz w:val="20"/>
          <w:szCs w:val="20"/>
        </w:rPr>
      </w:pPr>
      <w:r w:rsidRPr="001129C8">
        <w:rPr>
          <w:rFonts w:ascii="Arial" w:hAnsi="Arial" w:cs="Arial"/>
          <w:b/>
          <w:sz w:val="20"/>
          <w:szCs w:val="20"/>
        </w:rPr>
        <w:t>Table D-1.</w:t>
      </w:r>
      <w:r w:rsidRPr="001129C8">
        <w:rPr>
          <w:rFonts w:ascii="Arial" w:hAnsi="Arial" w:cs="Arial"/>
          <w:sz w:val="20"/>
          <w:szCs w:val="20"/>
        </w:rPr>
        <w:t xml:space="preserve">  Top six species caught on commercial trips where at least one pound of mutton snapper was caught in the South Atlantic for 2011 and 2015.  This analysis was conducted with the Southeast Fisheries Science Center (SEFSC) commercial logbook data.  </w:t>
      </w:r>
    </w:p>
    <w:tbl>
      <w:tblPr>
        <w:tblW w:w="0" w:type="auto"/>
        <w:tblInd w:w="93" w:type="dxa"/>
        <w:tblLook w:val="04A0" w:firstRow="1" w:lastRow="0" w:firstColumn="1" w:lastColumn="0" w:noHBand="0" w:noVBand="1"/>
      </w:tblPr>
      <w:tblGrid>
        <w:gridCol w:w="2172"/>
        <w:gridCol w:w="2235"/>
        <w:gridCol w:w="3623"/>
      </w:tblGrid>
      <w:tr w:rsidR="00E03650" w:rsidRPr="009C5ECD" w14:paraId="7E3101BD" w14:textId="77777777" w:rsidTr="001129C8">
        <w:trPr>
          <w:gridAfter w:val="1"/>
          <w:wAfter w:w="3463" w:type="dxa"/>
          <w:trHeight w:val="300"/>
        </w:trPr>
        <w:tc>
          <w:tcPr>
            <w:tcW w:w="0" w:type="auto"/>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hideMark/>
          </w:tcPr>
          <w:p w14:paraId="4D6D33E7" w14:textId="77777777" w:rsidR="00E03650" w:rsidRPr="009C5ECD" w:rsidRDefault="00E03650" w:rsidP="00666827">
            <w:pPr>
              <w:rPr>
                <w:b/>
                <w:bCs/>
                <w:color w:val="000000"/>
              </w:rPr>
            </w:pPr>
            <w:r w:rsidRPr="009C5ECD">
              <w:rPr>
                <w:b/>
                <w:bCs/>
                <w:iCs/>
                <w:color w:val="000000"/>
              </w:rPr>
              <w:t>Species</w:t>
            </w:r>
          </w:p>
        </w:tc>
        <w:tc>
          <w:tcPr>
            <w:tcW w:w="0" w:type="auto"/>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14:paraId="716D03A0" w14:textId="77777777" w:rsidR="00E03650" w:rsidRPr="009C5ECD" w:rsidRDefault="00E03650" w:rsidP="00666827">
            <w:pPr>
              <w:rPr>
                <w:b/>
                <w:bCs/>
                <w:color w:val="000000"/>
              </w:rPr>
            </w:pPr>
            <w:r w:rsidRPr="009C5ECD">
              <w:rPr>
                <w:b/>
                <w:bCs/>
                <w:color w:val="000000"/>
              </w:rPr>
              <w:t>Percent of Harvest</w:t>
            </w:r>
          </w:p>
        </w:tc>
      </w:tr>
      <w:tr w:rsidR="00E03650" w:rsidRPr="009C5ECD" w14:paraId="1B3051D4" w14:textId="77777777" w:rsidTr="00666827">
        <w:trPr>
          <w:gridAfter w:val="1"/>
          <w:wAfter w:w="3463" w:type="dxa"/>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91CB02A" w14:textId="77777777" w:rsidR="00E03650" w:rsidRPr="009C5ECD" w:rsidRDefault="00E03650" w:rsidP="00666827">
            <w:pPr>
              <w:rPr>
                <w:color w:val="000000"/>
              </w:rPr>
            </w:pPr>
            <w:r w:rsidRPr="009C5ECD">
              <w:rPr>
                <w:iCs/>
                <w:color w:val="000000"/>
              </w:rPr>
              <w:t>Yellowtail Snapper</w:t>
            </w:r>
          </w:p>
        </w:tc>
        <w:tc>
          <w:tcPr>
            <w:tcW w:w="0" w:type="auto"/>
            <w:tcBorders>
              <w:top w:val="nil"/>
              <w:left w:val="nil"/>
              <w:bottom w:val="single" w:sz="8" w:space="0" w:color="auto"/>
              <w:right w:val="single" w:sz="8" w:space="0" w:color="auto"/>
            </w:tcBorders>
            <w:shd w:val="clear" w:color="auto" w:fill="auto"/>
            <w:noWrap/>
            <w:vAlign w:val="center"/>
            <w:hideMark/>
          </w:tcPr>
          <w:p w14:paraId="1C9F0284" w14:textId="77777777" w:rsidR="00E03650" w:rsidRPr="009C5ECD" w:rsidRDefault="00E03650" w:rsidP="00666827">
            <w:pPr>
              <w:jc w:val="center"/>
              <w:rPr>
                <w:color w:val="000000"/>
              </w:rPr>
            </w:pPr>
            <w:r w:rsidRPr="009C5ECD">
              <w:rPr>
                <w:color w:val="000000"/>
              </w:rPr>
              <w:t>16.2%</w:t>
            </w:r>
          </w:p>
        </w:tc>
      </w:tr>
      <w:tr w:rsidR="00E03650" w:rsidRPr="009C5ECD" w14:paraId="1B80F399" w14:textId="77777777" w:rsidTr="00666827">
        <w:trPr>
          <w:gridAfter w:val="1"/>
          <w:wAfter w:w="3463" w:type="dxa"/>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BFFD9F" w14:textId="77777777" w:rsidR="00E03650" w:rsidRPr="009C5ECD" w:rsidRDefault="00E03650" w:rsidP="00666827">
            <w:pPr>
              <w:rPr>
                <w:color w:val="000000"/>
              </w:rPr>
            </w:pPr>
            <w:r w:rsidRPr="009C5ECD">
              <w:rPr>
                <w:iCs/>
                <w:color w:val="000000"/>
              </w:rPr>
              <w:t>Greater Amberjack</w:t>
            </w:r>
          </w:p>
        </w:tc>
        <w:tc>
          <w:tcPr>
            <w:tcW w:w="0" w:type="auto"/>
            <w:tcBorders>
              <w:top w:val="nil"/>
              <w:left w:val="nil"/>
              <w:bottom w:val="single" w:sz="8" w:space="0" w:color="auto"/>
              <w:right w:val="single" w:sz="8" w:space="0" w:color="auto"/>
            </w:tcBorders>
            <w:shd w:val="clear" w:color="auto" w:fill="auto"/>
            <w:noWrap/>
            <w:vAlign w:val="center"/>
            <w:hideMark/>
          </w:tcPr>
          <w:p w14:paraId="0B717ACE" w14:textId="77777777" w:rsidR="00E03650" w:rsidRPr="009C5ECD" w:rsidRDefault="00E03650" w:rsidP="00666827">
            <w:pPr>
              <w:jc w:val="center"/>
              <w:rPr>
                <w:color w:val="000000"/>
              </w:rPr>
            </w:pPr>
            <w:r w:rsidRPr="009C5ECD">
              <w:rPr>
                <w:color w:val="000000"/>
              </w:rPr>
              <w:t>12.9%</w:t>
            </w:r>
          </w:p>
        </w:tc>
      </w:tr>
      <w:tr w:rsidR="00E03650" w:rsidRPr="009C5ECD" w14:paraId="20D01A87" w14:textId="77777777" w:rsidTr="00666827">
        <w:trPr>
          <w:gridAfter w:val="1"/>
          <w:wAfter w:w="3463" w:type="dxa"/>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0E085A" w14:textId="77777777" w:rsidR="00E03650" w:rsidRPr="009C5ECD" w:rsidRDefault="00E03650" w:rsidP="00666827">
            <w:pPr>
              <w:rPr>
                <w:color w:val="000000"/>
              </w:rPr>
            </w:pPr>
            <w:r w:rsidRPr="009C5ECD">
              <w:rPr>
                <w:iCs/>
                <w:color w:val="000000"/>
              </w:rPr>
              <w:t>Vermilion Snapper</w:t>
            </w:r>
          </w:p>
        </w:tc>
        <w:tc>
          <w:tcPr>
            <w:tcW w:w="0" w:type="auto"/>
            <w:tcBorders>
              <w:top w:val="nil"/>
              <w:left w:val="nil"/>
              <w:bottom w:val="single" w:sz="8" w:space="0" w:color="auto"/>
              <w:right w:val="single" w:sz="8" w:space="0" w:color="auto"/>
            </w:tcBorders>
            <w:shd w:val="clear" w:color="auto" w:fill="auto"/>
            <w:noWrap/>
            <w:vAlign w:val="center"/>
            <w:hideMark/>
          </w:tcPr>
          <w:p w14:paraId="5E634161" w14:textId="77777777" w:rsidR="00E03650" w:rsidRPr="009C5ECD" w:rsidRDefault="00E03650" w:rsidP="00666827">
            <w:pPr>
              <w:jc w:val="center"/>
              <w:rPr>
                <w:color w:val="000000"/>
              </w:rPr>
            </w:pPr>
            <w:r w:rsidRPr="009C5ECD">
              <w:rPr>
                <w:color w:val="000000"/>
              </w:rPr>
              <w:t>11.9%</w:t>
            </w:r>
          </w:p>
        </w:tc>
      </w:tr>
      <w:tr w:rsidR="00E03650" w:rsidRPr="009C5ECD" w14:paraId="07037392" w14:textId="77777777" w:rsidTr="00666827">
        <w:trPr>
          <w:gridAfter w:val="1"/>
          <w:wAfter w:w="3463" w:type="dxa"/>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A968348" w14:textId="77777777" w:rsidR="00E03650" w:rsidRPr="009C5ECD" w:rsidRDefault="00E03650" w:rsidP="00666827">
            <w:pPr>
              <w:rPr>
                <w:color w:val="000000"/>
              </w:rPr>
            </w:pPr>
            <w:r w:rsidRPr="009C5ECD">
              <w:rPr>
                <w:iCs/>
                <w:color w:val="000000"/>
              </w:rPr>
              <w:t>Mutton Snapper</w:t>
            </w:r>
          </w:p>
        </w:tc>
        <w:tc>
          <w:tcPr>
            <w:tcW w:w="0" w:type="auto"/>
            <w:tcBorders>
              <w:top w:val="nil"/>
              <w:left w:val="nil"/>
              <w:bottom w:val="single" w:sz="8" w:space="0" w:color="auto"/>
              <w:right w:val="single" w:sz="8" w:space="0" w:color="auto"/>
            </w:tcBorders>
            <w:shd w:val="clear" w:color="auto" w:fill="auto"/>
            <w:noWrap/>
            <w:vAlign w:val="center"/>
            <w:hideMark/>
          </w:tcPr>
          <w:p w14:paraId="2B3763FC" w14:textId="77777777" w:rsidR="00E03650" w:rsidRPr="009C5ECD" w:rsidRDefault="00E03650" w:rsidP="00666827">
            <w:pPr>
              <w:jc w:val="center"/>
              <w:rPr>
                <w:color w:val="000000"/>
              </w:rPr>
            </w:pPr>
            <w:r w:rsidRPr="009C5ECD">
              <w:rPr>
                <w:color w:val="000000"/>
              </w:rPr>
              <w:t>6.8%</w:t>
            </w:r>
          </w:p>
        </w:tc>
      </w:tr>
      <w:tr w:rsidR="00E03650" w:rsidRPr="009C5ECD" w14:paraId="123440BA" w14:textId="77777777" w:rsidTr="00666827">
        <w:trPr>
          <w:gridAfter w:val="1"/>
          <w:wAfter w:w="3463" w:type="dxa"/>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756448" w14:textId="77777777" w:rsidR="00E03650" w:rsidRPr="009C5ECD" w:rsidRDefault="00E03650" w:rsidP="00666827">
            <w:pPr>
              <w:rPr>
                <w:color w:val="000000"/>
              </w:rPr>
            </w:pPr>
            <w:r w:rsidRPr="009C5ECD">
              <w:rPr>
                <w:iCs/>
                <w:color w:val="000000"/>
              </w:rPr>
              <w:t>Gag Grouper</w:t>
            </w:r>
          </w:p>
        </w:tc>
        <w:tc>
          <w:tcPr>
            <w:tcW w:w="0" w:type="auto"/>
            <w:tcBorders>
              <w:top w:val="nil"/>
              <w:left w:val="nil"/>
              <w:bottom w:val="single" w:sz="8" w:space="0" w:color="auto"/>
              <w:right w:val="single" w:sz="8" w:space="0" w:color="auto"/>
            </w:tcBorders>
            <w:shd w:val="clear" w:color="auto" w:fill="auto"/>
            <w:noWrap/>
            <w:vAlign w:val="center"/>
            <w:hideMark/>
          </w:tcPr>
          <w:p w14:paraId="7494F97E" w14:textId="77777777" w:rsidR="00E03650" w:rsidRPr="009C5ECD" w:rsidRDefault="00E03650" w:rsidP="00666827">
            <w:pPr>
              <w:jc w:val="center"/>
              <w:rPr>
                <w:color w:val="000000"/>
              </w:rPr>
            </w:pPr>
            <w:r w:rsidRPr="009C5ECD">
              <w:rPr>
                <w:color w:val="000000"/>
              </w:rPr>
              <w:t>6.1%</w:t>
            </w:r>
          </w:p>
        </w:tc>
      </w:tr>
      <w:tr w:rsidR="00E03650" w:rsidRPr="009C5ECD" w14:paraId="06380632" w14:textId="77777777" w:rsidTr="00666827">
        <w:trPr>
          <w:gridAfter w:val="1"/>
          <w:wAfter w:w="3463" w:type="dxa"/>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A3CD0C" w14:textId="77777777" w:rsidR="00E03650" w:rsidRPr="009C5ECD" w:rsidRDefault="00E03650" w:rsidP="00666827">
            <w:pPr>
              <w:rPr>
                <w:color w:val="000000"/>
              </w:rPr>
            </w:pPr>
            <w:r w:rsidRPr="009C5ECD">
              <w:rPr>
                <w:iCs/>
                <w:color w:val="000000"/>
              </w:rPr>
              <w:t>Spiny Lobster</w:t>
            </w:r>
          </w:p>
        </w:tc>
        <w:tc>
          <w:tcPr>
            <w:tcW w:w="0" w:type="auto"/>
            <w:tcBorders>
              <w:top w:val="nil"/>
              <w:left w:val="nil"/>
              <w:bottom w:val="single" w:sz="8" w:space="0" w:color="auto"/>
              <w:right w:val="single" w:sz="8" w:space="0" w:color="auto"/>
            </w:tcBorders>
            <w:shd w:val="clear" w:color="auto" w:fill="auto"/>
            <w:noWrap/>
            <w:vAlign w:val="center"/>
            <w:hideMark/>
          </w:tcPr>
          <w:p w14:paraId="1BFE4F61" w14:textId="77777777" w:rsidR="00E03650" w:rsidRPr="009C5ECD" w:rsidRDefault="00E03650" w:rsidP="00666827">
            <w:pPr>
              <w:jc w:val="center"/>
              <w:rPr>
                <w:color w:val="000000"/>
              </w:rPr>
            </w:pPr>
            <w:r w:rsidRPr="009C5ECD">
              <w:rPr>
                <w:color w:val="000000"/>
              </w:rPr>
              <w:t>6.0%</w:t>
            </w:r>
          </w:p>
        </w:tc>
      </w:tr>
      <w:tr w:rsidR="00E03650" w:rsidRPr="009C5ECD" w14:paraId="2DCEDF01" w14:textId="77777777" w:rsidTr="00666827">
        <w:trPr>
          <w:gridAfter w:val="1"/>
          <w:wAfter w:w="3463" w:type="dxa"/>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E526A5B" w14:textId="77777777" w:rsidR="00E03650" w:rsidRPr="009C5ECD" w:rsidRDefault="00E03650" w:rsidP="00666827">
            <w:pPr>
              <w:rPr>
                <w:color w:val="000000"/>
              </w:rPr>
            </w:pPr>
            <w:r w:rsidRPr="009C5ECD">
              <w:rPr>
                <w:iCs/>
                <w:color w:val="000000"/>
              </w:rPr>
              <w:t>Gray Triggerfish</w:t>
            </w:r>
          </w:p>
        </w:tc>
        <w:tc>
          <w:tcPr>
            <w:tcW w:w="0" w:type="auto"/>
            <w:tcBorders>
              <w:top w:val="nil"/>
              <w:left w:val="nil"/>
              <w:bottom w:val="single" w:sz="8" w:space="0" w:color="auto"/>
              <w:right w:val="single" w:sz="8" w:space="0" w:color="auto"/>
            </w:tcBorders>
            <w:shd w:val="clear" w:color="auto" w:fill="auto"/>
            <w:noWrap/>
            <w:vAlign w:val="center"/>
            <w:hideMark/>
          </w:tcPr>
          <w:p w14:paraId="2AC6F5C2" w14:textId="77777777" w:rsidR="00E03650" w:rsidRPr="009C5ECD" w:rsidRDefault="00E03650" w:rsidP="00666827">
            <w:pPr>
              <w:jc w:val="center"/>
              <w:rPr>
                <w:color w:val="000000"/>
              </w:rPr>
            </w:pPr>
            <w:r w:rsidRPr="009C5ECD">
              <w:rPr>
                <w:color w:val="000000"/>
              </w:rPr>
              <w:t>4.5%</w:t>
            </w:r>
          </w:p>
        </w:tc>
      </w:tr>
      <w:tr w:rsidR="00E03650" w:rsidRPr="009C5ECD" w14:paraId="7067AD5A" w14:textId="77777777" w:rsidTr="00666827">
        <w:trPr>
          <w:trHeight w:val="276"/>
        </w:trPr>
        <w:tc>
          <w:tcPr>
            <w:tcW w:w="8030" w:type="dxa"/>
            <w:gridSpan w:val="3"/>
            <w:tcBorders>
              <w:top w:val="nil"/>
              <w:left w:val="nil"/>
              <w:bottom w:val="nil"/>
              <w:right w:val="nil"/>
            </w:tcBorders>
            <w:shd w:val="clear" w:color="auto" w:fill="auto"/>
            <w:hideMark/>
          </w:tcPr>
          <w:p w14:paraId="744E06CC" w14:textId="77777777" w:rsidR="00E03650" w:rsidRPr="001129C8" w:rsidRDefault="00E03650" w:rsidP="00666827">
            <w:pPr>
              <w:rPr>
                <w:rFonts w:ascii="Arial" w:hAnsi="Arial" w:cs="Arial"/>
                <w:iCs/>
                <w:color w:val="000000"/>
                <w:sz w:val="20"/>
                <w:szCs w:val="20"/>
              </w:rPr>
            </w:pPr>
            <w:r w:rsidRPr="001129C8">
              <w:rPr>
                <w:rFonts w:ascii="Arial" w:hAnsi="Arial" w:cs="Arial"/>
                <w:iCs/>
                <w:color w:val="000000"/>
                <w:sz w:val="20"/>
                <w:szCs w:val="20"/>
              </w:rPr>
              <w:t xml:space="preserve">Source: Southeast Fisheries Science Center Commercial Logbook (April 2016) </w:t>
            </w:r>
          </w:p>
        </w:tc>
      </w:tr>
    </w:tbl>
    <w:p w14:paraId="54724F9A" w14:textId="77777777" w:rsidR="00E03650" w:rsidRDefault="00E03650" w:rsidP="00E03650">
      <w:pPr>
        <w:contextualSpacing/>
        <w:rPr>
          <w:i/>
        </w:rPr>
      </w:pPr>
    </w:p>
    <w:p w14:paraId="02C2CD66" w14:textId="77777777" w:rsidR="00CC5007" w:rsidRPr="009C5ECD" w:rsidRDefault="00CC5007" w:rsidP="00E03650">
      <w:pPr>
        <w:contextualSpacing/>
        <w:rPr>
          <w:i/>
        </w:rPr>
      </w:pPr>
    </w:p>
    <w:p w14:paraId="48B7CFD6" w14:textId="77777777" w:rsidR="001129C8" w:rsidRDefault="001129C8">
      <w:pPr>
        <w:rPr>
          <w:rFonts w:ascii="Arial-BoldMT" w:hAnsi="Arial-BoldMT" w:cs="Arial-BoldMT"/>
          <w:b/>
          <w:bCs/>
          <w:color w:val="000000"/>
        </w:rPr>
      </w:pPr>
      <w:r>
        <w:rPr>
          <w:rFonts w:ascii="Arial-BoldMT" w:hAnsi="Arial-BoldMT" w:cs="Arial-BoldMT"/>
          <w:b/>
          <w:bCs/>
          <w:color w:val="000000"/>
        </w:rPr>
        <w:br w:type="page"/>
      </w:r>
    </w:p>
    <w:p w14:paraId="4064B52A" w14:textId="24B1813D" w:rsidR="00E03650" w:rsidRPr="009C5ECD" w:rsidRDefault="00E03650" w:rsidP="00E03650">
      <w:pPr>
        <w:autoSpaceDE w:val="0"/>
        <w:autoSpaceDN w:val="0"/>
        <w:adjustRightInd w:val="0"/>
        <w:rPr>
          <w:rFonts w:ascii="Arial-BoldMT" w:hAnsi="Arial-BoldMT" w:cs="Arial-BoldMT"/>
          <w:b/>
          <w:bCs/>
          <w:color w:val="000000"/>
        </w:rPr>
      </w:pPr>
      <w:r w:rsidRPr="009C5ECD">
        <w:rPr>
          <w:rFonts w:ascii="Arial-BoldMT" w:hAnsi="Arial-BoldMT" w:cs="Arial-BoldMT"/>
          <w:b/>
          <w:bCs/>
          <w:color w:val="000000"/>
        </w:rPr>
        <w:lastRenderedPageBreak/>
        <w:t>Recreational Sector</w:t>
      </w:r>
    </w:p>
    <w:p w14:paraId="7286ED83" w14:textId="77777777" w:rsidR="00E03650" w:rsidRPr="009C5ECD" w:rsidRDefault="00E03650" w:rsidP="001129C8">
      <w:pPr>
        <w:ind w:firstLine="360"/>
        <w:contextualSpacing/>
      </w:pPr>
      <w:r w:rsidRPr="009C5ECD">
        <w:t>For the recreational sector, during 2011-2015, estimates of the number of recreational discards were available from Marine Recreational Information Program (MRIP) and the National Marine Fisheries Service (NMFS) headboat survey.  The MRIP system classifies recreational catch into three categories:</w:t>
      </w:r>
    </w:p>
    <w:p w14:paraId="3D52B1F3" w14:textId="77777777" w:rsidR="00E03650" w:rsidRPr="009C5ECD" w:rsidRDefault="00E03650" w:rsidP="00E03650">
      <w:pPr>
        <w:numPr>
          <w:ilvl w:val="0"/>
          <w:numId w:val="25"/>
        </w:numPr>
        <w:contextualSpacing/>
      </w:pPr>
      <w:r w:rsidRPr="009C5ECD">
        <w:t>Type A - Fishes that were caught, landed whole, and available for identification and enumeration by the interviewers.</w:t>
      </w:r>
    </w:p>
    <w:p w14:paraId="28819EC1" w14:textId="77777777" w:rsidR="00E03650" w:rsidRPr="009C5ECD" w:rsidRDefault="00E03650" w:rsidP="00E03650">
      <w:pPr>
        <w:numPr>
          <w:ilvl w:val="0"/>
          <w:numId w:val="25"/>
        </w:numPr>
        <w:contextualSpacing/>
      </w:pPr>
      <w:r w:rsidRPr="009C5ECD">
        <w:t>Type B - Fishes that were caught but were either not kept or not available for identification:</w:t>
      </w:r>
    </w:p>
    <w:p w14:paraId="0FB42609" w14:textId="77777777" w:rsidR="00E03650" w:rsidRPr="009C5ECD" w:rsidRDefault="00E03650" w:rsidP="00E03650">
      <w:pPr>
        <w:numPr>
          <w:ilvl w:val="1"/>
          <w:numId w:val="25"/>
        </w:numPr>
        <w:contextualSpacing/>
      </w:pPr>
      <w:r w:rsidRPr="009C5ECD">
        <w:t>Type B1 - Fishes that were caught and filleted, released dead, given away, or disposed of in some way other than Types A or B2.</w:t>
      </w:r>
    </w:p>
    <w:p w14:paraId="0D23EB88" w14:textId="77777777" w:rsidR="00E03650" w:rsidRPr="009C5ECD" w:rsidRDefault="00E03650" w:rsidP="00E03650">
      <w:pPr>
        <w:numPr>
          <w:ilvl w:val="1"/>
          <w:numId w:val="25"/>
        </w:numPr>
        <w:contextualSpacing/>
      </w:pPr>
      <w:r w:rsidRPr="009C5ECD">
        <w:t>Type B2 - Fishes that were caught and released alive.</w:t>
      </w:r>
    </w:p>
    <w:p w14:paraId="360F8617" w14:textId="77777777" w:rsidR="00E03650" w:rsidRPr="009C5ECD" w:rsidRDefault="00E03650" w:rsidP="00E03650">
      <w:pPr>
        <w:contextualSpacing/>
      </w:pPr>
    </w:p>
    <w:p w14:paraId="0C97F75A" w14:textId="77777777" w:rsidR="00E03650" w:rsidRPr="009C5ECD" w:rsidRDefault="00E03650" w:rsidP="001129C8">
      <w:pPr>
        <w:ind w:firstLine="360"/>
        <w:contextualSpacing/>
      </w:pPr>
      <w:r w:rsidRPr="009C5ECD">
        <w:t xml:space="preserve">During 2011-2015, information for charter trips came from two sources.  Charter vessels for the fishery were selected to report by the Science and Research Director (SRD) to maintain a fishing record for each trip, or a portion of such trips as specified by the SRD, and on forms provided by the SRD.  Harvest and bycatch information was monitored by MRIP.  Since 2000, a 10% sample of charter vessel captains were called weekly to obtain trip level information, such as date, fishing location, target species, etc.  In addition, the standard dockside intercept data were collected from charter vessels and charter vessel clients were sampled through the standard random digital dialing of coastal households.  Precision of charter vessel effort estimates has improved by more than 50% due to these changes (Van Voorhees </w:t>
      </w:r>
      <w:r w:rsidRPr="009C5ECD">
        <w:rPr>
          <w:iCs/>
        </w:rPr>
        <w:t>et al.</w:t>
      </w:r>
      <w:r w:rsidRPr="009C5ECD">
        <w:t xml:space="preserve"> 2000).</w:t>
      </w:r>
    </w:p>
    <w:p w14:paraId="3CF8E6C0" w14:textId="77777777" w:rsidR="00E03650" w:rsidRPr="009C5ECD" w:rsidRDefault="00E03650" w:rsidP="00E03650">
      <w:pPr>
        <w:contextualSpacing/>
      </w:pPr>
    </w:p>
    <w:p w14:paraId="33B9304A" w14:textId="77777777" w:rsidR="00E03650" w:rsidRPr="009C5ECD" w:rsidRDefault="00E03650" w:rsidP="001129C8">
      <w:pPr>
        <w:ind w:firstLine="360"/>
        <w:contextualSpacing/>
      </w:pPr>
      <w:r w:rsidRPr="009C5ECD">
        <w:t>Harvest from headboats was monitored by NMFS at the Southeast Fisheries Science Center (SEFSC) Beaufort Laboratory.  Collection of discard data began in 2004.  Daily catch records (trip records) were filled out by the headboat operators, or in some cases by NMFS-approved headboat samplers based on personal communication with the captain or crew.  Headboat trips were subsampled for data on species lengths and weights.  Biological samples (scales, otoliths, spines, reproductive tissues, and stomachs) were obtained as time allowed.  Lengths of discarded fish were occasionally obtained but these data were not part of the headboat database.</w:t>
      </w:r>
    </w:p>
    <w:p w14:paraId="627E46DF" w14:textId="77777777" w:rsidR="00E03650" w:rsidRPr="009C5ECD" w:rsidRDefault="00E03650" w:rsidP="00E03650">
      <w:pPr>
        <w:contextualSpacing/>
      </w:pPr>
    </w:p>
    <w:p w14:paraId="2171B780" w14:textId="77777777" w:rsidR="00E03650" w:rsidRPr="009C5ECD" w:rsidRDefault="00E03650" w:rsidP="001129C8">
      <w:pPr>
        <w:ind w:firstLine="360"/>
        <w:contextualSpacing/>
      </w:pPr>
      <w:r w:rsidRPr="009C5ECD">
        <w:t>Recent improvements have been made to the recreational survey of MRIP, formerly called Marine Recreational Fisheries Statistics Survey.  Beginning in 2013, samples were drawn from a known universe of fishermen rather than randomly dialing coastal households.  Other improvements have been and will be made that should result in better estimating recreational catches and the variances around those catch estimates.</w:t>
      </w:r>
    </w:p>
    <w:p w14:paraId="22995EDA" w14:textId="77777777" w:rsidR="00E03650" w:rsidRPr="009C5ECD" w:rsidRDefault="00E03650" w:rsidP="00E03650">
      <w:pPr>
        <w:autoSpaceDE w:val="0"/>
        <w:autoSpaceDN w:val="0"/>
        <w:adjustRightInd w:val="0"/>
        <w:contextualSpacing/>
      </w:pPr>
    </w:p>
    <w:p w14:paraId="70D89142" w14:textId="0FBDC3D5" w:rsidR="00E03650" w:rsidRDefault="00E03650" w:rsidP="00E03650">
      <w:pPr>
        <w:autoSpaceDE w:val="0"/>
        <w:autoSpaceDN w:val="0"/>
        <w:adjustRightInd w:val="0"/>
        <w:rPr>
          <w:rFonts w:ascii="Arial-BoldMT" w:hAnsi="Arial-BoldMT" w:cs="Arial-BoldMT"/>
          <w:b/>
          <w:bCs/>
          <w:color w:val="000000"/>
          <w:sz w:val="28"/>
          <w:szCs w:val="28"/>
        </w:rPr>
      </w:pPr>
      <w:r w:rsidRPr="009C5ECD">
        <w:rPr>
          <w:rFonts w:ascii="Arial-BoldMT" w:hAnsi="Arial-BoldMT" w:cs="Arial-BoldMT"/>
          <w:b/>
          <w:bCs/>
          <w:color w:val="000000"/>
          <w:sz w:val="28"/>
          <w:szCs w:val="28"/>
        </w:rPr>
        <w:t xml:space="preserve">1.2 </w:t>
      </w:r>
      <w:r w:rsidR="001129C8">
        <w:rPr>
          <w:rFonts w:ascii="Arial-BoldMT" w:hAnsi="Arial-BoldMT" w:cs="Arial-BoldMT"/>
          <w:b/>
          <w:bCs/>
          <w:color w:val="000000"/>
          <w:sz w:val="28"/>
          <w:szCs w:val="28"/>
        </w:rPr>
        <w:t xml:space="preserve"> </w:t>
      </w:r>
      <w:r w:rsidRPr="009C5ECD">
        <w:rPr>
          <w:rFonts w:ascii="Arial-BoldMT" w:hAnsi="Arial-BoldMT" w:cs="Arial-BoldMT"/>
          <w:b/>
          <w:bCs/>
          <w:color w:val="000000"/>
          <w:sz w:val="28"/>
          <w:szCs w:val="28"/>
        </w:rPr>
        <w:t>Finfish Bycatch Mortality</w:t>
      </w:r>
    </w:p>
    <w:p w14:paraId="60E2DE2A" w14:textId="77777777" w:rsidR="001129C8" w:rsidRPr="009C5ECD" w:rsidRDefault="001129C8" w:rsidP="00E03650">
      <w:pPr>
        <w:autoSpaceDE w:val="0"/>
        <w:autoSpaceDN w:val="0"/>
        <w:adjustRightInd w:val="0"/>
        <w:rPr>
          <w:rFonts w:ascii="Arial-BoldMT" w:hAnsi="Arial-BoldMT" w:cs="Arial-BoldMT"/>
          <w:b/>
          <w:bCs/>
          <w:color w:val="000000"/>
          <w:sz w:val="28"/>
          <w:szCs w:val="28"/>
        </w:rPr>
      </w:pPr>
    </w:p>
    <w:p w14:paraId="3F49766E" w14:textId="77777777" w:rsidR="00E03650" w:rsidRPr="009C5ECD" w:rsidRDefault="00E03650" w:rsidP="001129C8">
      <w:pPr>
        <w:autoSpaceDE w:val="0"/>
        <w:autoSpaceDN w:val="0"/>
        <w:adjustRightInd w:val="0"/>
        <w:ind w:firstLine="360"/>
        <w:rPr>
          <w:lang w:val="en-CA"/>
        </w:rPr>
      </w:pPr>
      <w:r w:rsidRPr="009C5ECD">
        <w:t xml:space="preserve">Currently, discard data are collected using a supplemental form that is sent to a 20% stratified random sample of the active permit holders.  </w:t>
      </w:r>
      <w:r w:rsidRPr="009C5ECD">
        <w:rPr>
          <w:lang w:val="en-CA"/>
        </w:rPr>
        <w:t xml:space="preserve">However, in the absence of any observer data, there are concerns about the accuracy of logbook data in collecting bycatch information.  Biases associated with logbooks primarily result from inaccuracy in reporting of species that are caught in large numbers or are of little economic interest (particularly of bycatch species), and from low compliance rates.  </w:t>
      </w:r>
    </w:p>
    <w:p w14:paraId="005131B5" w14:textId="77777777" w:rsidR="00E03650" w:rsidRPr="009C5ECD" w:rsidRDefault="00E03650" w:rsidP="00E03650">
      <w:pPr>
        <w:autoSpaceDE w:val="0"/>
        <w:autoSpaceDN w:val="0"/>
        <w:adjustRightInd w:val="0"/>
        <w:rPr>
          <w:lang w:val="en-CA"/>
        </w:rPr>
      </w:pPr>
    </w:p>
    <w:p w14:paraId="45EC94C4" w14:textId="7E0E6BBC" w:rsidR="00E03650" w:rsidRPr="009C5ECD" w:rsidRDefault="00E03650" w:rsidP="001129C8">
      <w:pPr>
        <w:autoSpaceDE w:val="0"/>
        <w:autoSpaceDN w:val="0"/>
        <w:adjustRightInd w:val="0"/>
        <w:ind w:firstLine="360"/>
        <w:contextualSpacing/>
        <w:rPr>
          <w:rFonts w:ascii="TimesNewRomanPSMT" w:hAnsi="TimesNewRomanPSMT" w:cs="TimesNewRomanPSMT"/>
          <w:color w:val="000000"/>
        </w:rPr>
      </w:pPr>
      <w:r w:rsidRPr="009C5ECD">
        <w:rPr>
          <w:rFonts w:ascii="TimesNewRomanPSMT" w:hAnsi="TimesNewRomanPSMT" w:cs="TimesNewRomanPSMT"/>
          <w:color w:val="000000"/>
        </w:rPr>
        <w:lastRenderedPageBreak/>
        <w:t>The South Atlantic snapper grouper fisheries are characterized by moderately high discards, especially of black grouper, black sea bass, gag, red grouper, and red snapper (</w:t>
      </w:r>
      <w:r w:rsidRPr="009C5ECD">
        <w:rPr>
          <w:rFonts w:ascii="TimesNewRomanPS-BoldMT" w:hAnsi="TimesNewRomanPS-BoldMT" w:cs="TimesNewRomanPS-BoldMT"/>
          <w:b/>
          <w:bCs/>
          <w:color w:val="000000"/>
        </w:rPr>
        <w:t xml:space="preserve">Table </w:t>
      </w:r>
      <w:r>
        <w:rPr>
          <w:rFonts w:ascii="TimesNewRomanPS-BoldMT" w:hAnsi="TimesNewRomanPS-BoldMT" w:cs="TimesNewRomanPS-BoldMT"/>
          <w:b/>
          <w:bCs/>
          <w:color w:val="000000"/>
        </w:rPr>
        <w:t>D-</w:t>
      </w:r>
      <w:r w:rsidRPr="009C5ECD">
        <w:rPr>
          <w:rFonts w:ascii="TimesNewRomanPS-BoldMT" w:hAnsi="TimesNewRomanPS-BoldMT" w:cs="TimesNewRomanPS-BoldMT"/>
          <w:b/>
          <w:bCs/>
          <w:color w:val="000000"/>
        </w:rPr>
        <w:t>2</w:t>
      </w:r>
      <w:r w:rsidRPr="009C5ECD">
        <w:rPr>
          <w:rFonts w:ascii="TimesNewRomanPSMT" w:hAnsi="TimesNewRomanPSMT" w:cs="TimesNewRomanPSMT"/>
          <w:color w:val="000000"/>
        </w:rPr>
        <w:t>).  The m</w:t>
      </w:r>
      <w:r>
        <w:rPr>
          <w:rFonts w:ascii="TimesNewRomanPSMT" w:hAnsi="TimesNewRomanPSMT" w:cs="TimesNewRomanPSMT"/>
          <w:color w:val="000000"/>
        </w:rPr>
        <w:t>ajority of</w:t>
      </w:r>
      <w:r w:rsidRPr="009C5ECD">
        <w:rPr>
          <w:rFonts w:ascii="TimesNewRomanPSMT" w:hAnsi="TimesNewRomanPSMT" w:cs="TimesNewRomanPSMT"/>
          <w:color w:val="000000"/>
        </w:rPr>
        <w:t xml:space="preserve"> discards originate from handline/electric rig and trap gears, with some discards from trolling gear</w:t>
      </w:r>
      <w:r>
        <w:rPr>
          <w:rFonts w:ascii="TimesNewRomanPSMT" w:hAnsi="TimesNewRomanPSMT" w:cs="TimesNewRomanPSMT"/>
          <w:color w:val="000000"/>
        </w:rPr>
        <w:t>,</w:t>
      </w:r>
      <w:r w:rsidRPr="009C5ECD">
        <w:rPr>
          <w:rFonts w:ascii="TimesNewRomanPSMT" w:hAnsi="TimesNewRomanPSMT" w:cs="TimesNewRomanPSMT"/>
          <w:color w:val="000000"/>
        </w:rPr>
        <w:t xml:space="preserve"> and relatively low discards from other gears.  It is possible that trip-level reporting leads to the relatively high discard estimates from trolling gear; these may be sets using another gear on a trip declared as a trolling gear trip.  It is difficult to compare the ratio of commercial landings to commercial discards (</w:t>
      </w:r>
      <w:r w:rsidRPr="009C5ECD">
        <w:rPr>
          <w:rFonts w:ascii="TimesNewRomanPS-BoldMT" w:hAnsi="TimesNewRomanPS-BoldMT" w:cs="TimesNewRomanPS-BoldMT"/>
          <w:b/>
          <w:bCs/>
          <w:color w:val="000000"/>
        </w:rPr>
        <w:t xml:space="preserve">Table </w:t>
      </w:r>
      <w:r>
        <w:rPr>
          <w:rFonts w:ascii="TimesNewRomanPS-BoldMT" w:hAnsi="TimesNewRomanPS-BoldMT" w:cs="TimesNewRomanPS-BoldMT"/>
          <w:b/>
          <w:bCs/>
          <w:color w:val="000000"/>
        </w:rPr>
        <w:t>D-</w:t>
      </w:r>
      <w:r w:rsidRPr="009C5ECD">
        <w:rPr>
          <w:rFonts w:ascii="TimesNewRomanPS-BoldMT" w:hAnsi="TimesNewRomanPS-BoldMT" w:cs="TimesNewRomanPS-BoldMT"/>
          <w:b/>
          <w:bCs/>
          <w:color w:val="000000"/>
        </w:rPr>
        <w:t>2</w:t>
      </w:r>
      <w:r w:rsidRPr="009C5ECD">
        <w:rPr>
          <w:rFonts w:ascii="TimesNewRomanPSMT" w:hAnsi="TimesNewRomanPSMT" w:cs="TimesNewRomanPSMT"/>
          <w:color w:val="000000"/>
        </w:rPr>
        <w:t xml:space="preserve">), because commercial landings are reported in pounds and discards are reported in numbers of fish; however </w:t>
      </w:r>
      <w:r w:rsidRPr="009C5ECD">
        <w:rPr>
          <w:rFonts w:ascii="TimesNewRomanPSMT" w:hAnsi="TimesNewRomanPSMT" w:cs="TimesNewRomanPSMT"/>
        </w:rPr>
        <w:t xml:space="preserve">red </w:t>
      </w:r>
      <w:r w:rsidRPr="009C5ECD">
        <w:rPr>
          <w:rFonts w:ascii="TimesNewRomanPSMT" w:hAnsi="TimesNewRomanPSMT" w:cs="TimesNewRomanPSMT"/>
          <w:color w:val="000000"/>
        </w:rPr>
        <w:t xml:space="preserve">snapper discards appear to be high relative to landed commercial catch.  </w:t>
      </w:r>
    </w:p>
    <w:p w14:paraId="2013FCE5" w14:textId="77777777" w:rsidR="00E03650" w:rsidRPr="009C5ECD" w:rsidRDefault="00E03650" w:rsidP="00E03650">
      <w:pPr>
        <w:autoSpaceDE w:val="0"/>
        <w:autoSpaceDN w:val="0"/>
        <w:adjustRightInd w:val="0"/>
        <w:contextualSpacing/>
        <w:rPr>
          <w:rFonts w:ascii="TimesNewRomanPSMT" w:hAnsi="TimesNewRomanPSMT" w:cs="TimesNewRomanPSMT"/>
          <w:color w:val="000000"/>
        </w:rPr>
      </w:pPr>
    </w:p>
    <w:p w14:paraId="39D9AF50" w14:textId="77777777" w:rsidR="00E03650" w:rsidRPr="009C5ECD" w:rsidRDefault="00E03650" w:rsidP="001129C8">
      <w:pPr>
        <w:autoSpaceDE w:val="0"/>
        <w:autoSpaceDN w:val="0"/>
        <w:adjustRightInd w:val="0"/>
        <w:ind w:firstLine="360"/>
        <w:contextualSpacing/>
        <w:rPr>
          <w:rFonts w:ascii="TimesNewRomanPSMT" w:hAnsi="TimesNewRomanPSMT" w:cs="TimesNewRomanPSMT"/>
          <w:color w:val="000000"/>
        </w:rPr>
      </w:pPr>
      <w:r w:rsidRPr="009C5ECD">
        <w:t>During 2011-2015, the private recreational mutton snapper landings and discards were higher than for either the headboat or charter boat modes (</w:t>
      </w:r>
      <w:r w:rsidRPr="009C5ECD">
        <w:rPr>
          <w:rFonts w:ascii="TimesNewRomanPS-BoldMT" w:hAnsi="TimesNewRomanPS-BoldMT" w:cs="TimesNewRomanPS-BoldMT"/>
          <w:b/>
          <w:bCs/>
          <w:color w:val="000000"/>
        </w:rPr>
        <w:t xml:space="preserve">Table </w:t>
      </w:r>
      <w:r>
        <w:rPr>
          <w:rFonts w:ascii="TimesNewRomanPS-BoldMT" w:hAnsi="TimesNewRomanPS-BoldMT" w:cs="TimesNewRomanPS-BoldMT"/>
          <w:b/>
          <w:bCs/>
          <w:color w:val="000000"/>
        </w:rPr>
        <w:t>D-</w:t>
      </w:r>
      <w:r w:rsidRPr="009C5ECD">
        <w:rPr>
          <w:rFonts w:ascii="TimesNewRomanPS-BoldMT" w:hAnsi="TimesNewRomanPS-BoldMT" w:cs="TimesNewRomanPS-BoldMT"/>
          <w:b/>
          <w:bCs/>
          <w:color w:val="000000"/>
        </w:rPr>
        <w:t>2</w:t>
      </w:r>
      <w:r w:rsidRPr="009C5ECD">
        <w:t xml:space="preserve">).  Recreational charter landings had the second highest landings and discards of the recreational modes.  </w:t>
      </w:r>
      <w:r w:rsidRPr="009C5ECD">
        <w:rPr>
          <w:lang w:val="en-CA"/>
        </w:rPr>
        <w:t xml:space="preserve">The commercial sector for mutton snapper in the South Atlantic landed 80,281 lbs and discarded 437 mutton snapper </w:t>
      </w:r>
      <w:r w:rsidRPr="009C5ECD">
        <w:rPr>
          <w:b/>
          <w:lang w:val="en-CA"/>
        </w:rPr>
        <w:t>(</w:t>
      </w:r>
      <w:r w:rsidRPr="009C5ECD">
        <w:rPr>
          <w:rFonts w:ascii="TimesNewRomanPS-BoldMT" w:hAnsi="TimesNewRomanPS-BoldMT" w:cs="TimesNewRomanPS-BoldMT"/>
          <w:b/>
          <w:bCs/>
          <w:color w:val="000000"/>
        </w:rPr>
        <w:t xml:space="preserve">Table </w:t>
      </w:r>
      <w:r>
        <w:rPr>
          <w:rFonts w:ascii="TimesNewRomanPS-BoldMT" w:hAnsi="TimesNewRomanPS-BoldMT" w:cs="TimesNewRomanPS-BoldMT"/>
          <w:b/>
          <w:bCs/>
          <w:color w:val="000000"/>
        </w:rPr>
        <w:t>D-</w:t>
      </w:r>
      <w:r w:rsidRPr="009C5ECD">
        <w:rPr>
          <w:rFonts w:ascii="TimesNewRomanPS-BoldMT" w:hAnsi="TimesNewRomanPS-BoldMT" w:cs="TimesNewRomanPS-BoldMT"/>
          <w:b/>
          <w:bCs/>
          <w:color w:val="000000"/>
        </w:rPr>
        <w:t>2</w:t>
      </w:r>
      <w:r w:rsidRPr="009C5ECD">
        <w:rPr>
          <w:lang w:val="en-CA"/>
        </w:rPr>
        <w:t xml:space="preserve">) per year.  </w:t>
      </w:r>
    </w:p>
    <w:p w14:paraId="6F276CE5" w14:textId="77777777" w:rsidR="00E03650" w:rsidRDefault="00E03650" w:rsidP="00E03650">
      <w:pPr>
        <w:autoSpaceDE w:val="0"/>
        <w:autoSpaceDN w:val="0"/>
        <w:adjustRightInd w:val="0"/>
        <w:rPr>
          <w:rFonts w:ascii="TimesNewRomanPS-BoldMT" w:hAnsi="TimesNewRomanPS-BoldMT" w:cs="TimesNewRomanPS-BoldMT"/>
          <w:b/>
          <w:bCs/>
          <w:color w:val="000000"/>
          <w:sz w:val="20"/>
          <w:szCs w:val="20"/>
        </w:rPr>
        <w:sectPr w:rsidR="00E03650" w:rsidSect="001129C8">
          <w:footerReference w:type="default" r:id="rId91"/>
          <w:pgSz w:w="12240" w:h="15840"/>
          <w:pgMar w:top="1440" w:right="1440" w:bottom="1440" w:left="1440" w:header="720" w:footer="720" w:gutter="0"/>
          <w:pgNumType w:start="1"/>
          <w:cols w:space="720"/>
          <w:docGrid w:linePitch="360"/>
        </w:sectPr>
      </w:pPr>
    </w:p>
    <w:p w14:paraId="56898F6A" w14:textId="77777777" w:rsidR="00E03650" w:rsidRPr="001129C8" w:rsidRDefault="00E03650" w:rsidP="00E03650">
      <w:pPr>
        <w:contextualSpacing/>
        <w:rPr>
          <w:rFonts w:ascii="Arial" w:hAnsi="Arial" w:cs="Arial"/>
          <w:sz w:val="20"/>
          <w:szCs w:val="20"/>
        </w:rPr>
      </w:pPr>
      <w:r w:rsidRPr="001129C8">
        <w:rPr>
          <w:rFonts w:ascii="Arial" w:hAnsi="Arial" w:cs="Arial"/>
          <w:b/>
          <w:bCs/>
          <w:color w:val="000000"/>
          <w:sz w:val="20"/>
          <w:szCs w:val="20"/>
        </w:rPr>
        <w:lastRenderedPageBreak/>
        <w:t>Table</w:t>
      </w:r>
      <w:r w:rsidRPr="001129C8">
        <w:rPr>
          <w:rFonts w:ascii="Arial" w:hAnsi="Arial" w:cs="Arial"/>
          <w:b/>
          <w:sz w:val="20"/>
          <w:szCs w:val="20"/>
        </w:rPr>
        <w:t xml:space="preserve"> D-2.</w:t>
      </w:r>
      <w:r w:rsidRPr="001129C8">
        <w:rPr>
          <w:rFonts w:ascii="Arial" w:hAnsi="Arial" w:cs="Arial"/>
          <w:sz w:val="20"/>
          <w:szCs w:val="20"/>
        </w:rPr>
        <w:t xml:space="preserve">  Annual mean headboat, MRIP, and commercial estimates of landings and discards in the South Atlantic during 2011-2015.  Headboat, MRIP (charter and private) landings are in numbers of fish (N); commercial landings are in pounds (lbs).  Discards represent numbers of fish that were caught and released alive.</w:t>
      </w:r>
    </w:p>
    <w:tbl>
      <w:tblPr>
        <w:tblW w:w="0" w:type="auto"/>
        <w:tblInd w:w="93" w:type="dxa"/>
        <w:tblLook w:val="04A0" w:firstRow="1" w:lastRow="0" w:firstColumn="1" w:lastColumn="0" w:noHBand="0" w:noVBand="1"/>
        <w:tblDescription w:val="Procedure Means: Summary statistics"/>
      </w:tblPr>
      <w:tblGrid>
        <w:gridCol w:w="1988"/>
        <w:gridCol w:w="1074"/>
        <w:gridCol w:w="1019"/>
        <w:gridCol w:w="900"/>
        <w:gridCol w:w="1075"/>
        <w:gridCol w:w="1019"/>
        <w:gridCol w:w="900"/>
        <w:gridCol w:w="1075"/>
        <w:gridCol w:w="1064"/>
        <w:gridCol w:w="858"/>
        <w:gridCol w:w="1092"/>
        <w:gridCol w:w="1019"/>
      </w:tblGrid>
      <w:tr w:rsidR="00E03650" w:rsidRPr="009C5ECD" w14:paraId="547B9B42" w14:textId="77777777" w:rsidTr="001129C8">
        <w:trPr>
          <w:trHeight w:val="324"/>
        </w:trPr>
        <w:tc>
          <w:tcPr>
            <w:tcW w:w="0" w:type="auto"/>
            <w:vMerge w:val="restart"/>
            <w:tcBorders>
              <w:top w:val="single" w:sz="8" w:space="0" w:color="auto"/>
              <w:left w:val="single" w:sz="8" w:space="0" w:color="auto"/>
              <w:bottom w:val="single" w:sz="8" w:space="0" w:color="000000"/>
              <w:right w:val="single" w:sz="8" w:space="0" w:color="000000"/>
            </w:tcBorders>
            <w:shd w:val="clear" w:color="000000" w:fill="D8D8D8"/>
            <w:noWrap/>
            <w:vAlign w:val="center"/>
            <w:hideMark/>
          </w:tcPr>
          <w:p w14:paraId="764FCA05" w14:textId="77777777" w:rsidR="00E03650" w:rsidRPr="009C5ECD" w:rsidRDefault="00E03650" w:rsidP="00666827">
            <w:pPr>
              <w:jc w:val="center"/>
              <w:rPr>
                <w:b/>
                <w:bCs/>
                <w:color w:val="000000"/>
                <w:sz w:val="20"/>
                <w:szCs w:val="20"/>
              </w:rPr>
            </w:pPr>
            <w:r w:rsidRPr="009C5ECD">
              <w:rPr>
                <w:b/>
                <w:bCs/>
                <w:color w:val="000000"/>
                <w:sz w:val="20"/>
                <w:szCs w:val="20"/>
              </w:rPr>
              <w:t>Species</w:t>
            </w:r>
          </w:p>
        </w:tc>
        <w:tc>
          <w:tcPr>
            <w:tcW w:w="0" w:type="auto"/>
            <w:gridSpan w:val="3"/>
            <w:tcBorders>
              <w:top w:val="single" w:sz="8" w:space="0" w:color="auto"/>
              <w:left w:val="nil"/>
              <w:bottom w:val="single" w:sz="8" w:space="0" w:color="auto"/>
              <w:right w:val="single" w:sz="8" w:space="0" w:color="000000"/>
            </w:tcBorders>
            <w:shd w:val="clear" w:color="000000" w:fill="B7DEE8"/>
            <w:noWrap/>
            <w:vAlign w:val="center"/>
            <w:hideMark/>
          </w:tcPr>
          <w:p w14:paraId="6E060CF6" w14:textId="77777777" w:rsidR="00E03650" w:rsidRPr="009C5ECD" w:rsidRDefault="00E03650" w:rsidP="00666827">
            <w:pPr>
              <w:jc w:val="center"/>
              <w:rPr>
                <w:b/>
                <w:bCs/>
                <w:color w:val="000000"/>
              </w:rPr>
            </w:pPr>
            <w:r w:rsidRPr="009C5ECD">
              <w:rPr>
                <w:b/>
                <w:bCs/>
                <w:color w:val="000000"/>
              </w:rPr>
              <w:t>HEADBOAT</w:t>
            </w:r>
          </w:p>
        </w:tc>
        <w:tc>
          <w:tcPr>
            <w:tcW w:w="0" w:type="auto"/>
            <w:gridSpan w:val="3"/>
            <w:tcBorders>
              <w:top w:val="single" w:sz="8" w:space="0" w:color="auto"/>
              <w:left w:val="nil"/>
              <w:bottom w:val="single" w:sz="8" w:space="0" w:color="auto"/>
              <w:right w:val="single" w:sz="8" w:space="0" w:color="000000"/>
            </w:tcBorders>
            <w:shd w:val="clear" w:color="000000" w:fill="C5D9F1"/>
            <w:noWrap/>
            <w:vAlign w:val="center"/>
            <w:hideMark/>
          </w:tcPr>
          <w:p w14:paraId="792C2FFA" w14:textId="77777777" w:rsidR="00E03650" w:rsidRPr="009C5ECD" w:rsidRDefault="00E03650" w:rsidP="00666827">
            <w:pPr>
              <w:jc w:val="center"/>
              <w:rPr>
                <w:b/>
                <w:bCs/>
                <w:color w:val="000000"/>
              </w:rPr>
            </w:pPr>
            <w:r w:rsidRPr="009C5ECD">
              <w:rPr>
                <w:b/>
                <w:bCs/>
                <w:color w:val="000000"/>
              </w:rPr>
              <w:t>CHARTER</w:t>
            </w:r>
          </w:p>
        </w:tc>
        <w:tc>
          <w:tcPr>
            <w:tcW w:w="0" w:type="auto"/>
            <w:gridSpan w:val="3"/>
            <w:tcBorders>
              <w:top w:val="single" w:sz="8" w:space="0" w:color="auto"/>
              <w:left w:val="nil"/>
              <w:bottom w:val="single" w:sz="8" w:space="0" w:color="auto"/>
              <w:right w:val="single" w:sz="8" w:space="0" w:color="000000"/>
            </w:tcBorders>
            <w:shd w:val="clear" w:color="000000" w:fill="F2DCDB"/>
            <w:noWrap/>
            <w:vAlign w:val="center"/>
            <w:hideMark/>
          </w:tcPr>
          <w:p w14:paraId="2F397857" w14:textId="77777777" w:rsidR="00E03650" w:rsidRPr="009C5ECD" w:rsidRDefault="00E03650" w:rsidP="00666827">
            <w:pPr>
              <w:jc w:val="center"/>
              <w:rPr>
                <w:b/>
                <w:bCs/>
                <w:color w:val="000000"/>
              </w:rPr>
            </w:pPr>
            <w:r w:rsidRPr="009C5ECD">
              <w:rPr>
                <w:b/>
                <w:bCs/>
                <w:color w:val="000000"/>
              </w:rPr>
              <w:t>PRIVATE</w:t>
            </w:r>
          </w:p>
        </w:tc>
        <w:tc>
          <w:tcPr>
            <w:tcW w:w="0" w:type="auto"/>
            <w:gridSpan w:val="2"/>
            <w:tcBorders>
              <w:top w:val="single" w:sz="8" w:space="0" w:color="auto"/>
              <w:left w:val="nil"/>
              <w:bottom w:val="single" w:sz="8" w:space="0" w:color="auto"/>
              <w:right w:val="single" w:sz="8" w:space="0" w:color="000000"/>
            </w:tcBorders>
            <w:shd w:val="clear" w:color="000000" w:fill="D8E4BC"/>
            <w:noWrap/>
            <w:vAlign w:val="center"/>
            <w:hideMark/>
          </w:tcPr>
          <w:p w14:paraId="4ACA7872" w14:textId="77777777" w:rsidR="00E03650" w:rsidRPr="009C5ECD" w:rsidRDefault="00E03650" w:rsidP="00666827">
            <w:pPr>
              <w:jc w:val="center"/>
              <w:rPr>
                <w:b/>
                <w:bCs/>
                <w:color w:val="000000"/>
              </w:rPr>
            </w:pPr>
            <w:r w:rsidRPr="009C5ECD">
              <w:rPr>
                <w:b/>
                <w:bCs/>
                <w:color w:val="000000"/>
              </w:rPr>
              <w:t>COMMERCIAL</w:t>
            </w:r>
          </w:p>
        </w:tc>
      </w:tr>
      <w:tr w:rsidR="001129C8" w:rsidRPr="009C5ECD" w14:paraId="384210AD" w14:textId="77777777" w:rsidTr="001129C8">
        <w:trPr>
          <w:trHeight w:val="540"/>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250017C2" w14:textId="77777777" w:rsidR="00E03650" w:rsidRPr="009C5ECD" w:rsidRDefault="00E03650" w:rsidP="00666827">
            <w:pPr>
              <w:rPr>
                <w:b/>
                <w:bCs/>
                <w:color w:val="000000"/>
                <w:sz w:val="20"/>
                <w:szCs w:val="20"/>
              </w:rPr>
            </w:pPr>
          </w:p>
        </w:tc>
        <w:tc>
          <w:tcPr>
            <w:tcW w:w="0" w:type="auto"/>
            <w:tcBorders>
              <w:top w:val="nil"/>
              <w:left w:val="nil"/>
              <w:bottom w:val="single" w:sz="8" w:space="0" w:color="auto"/>
              <w:right w:val="single" w:sz="8" w:space="0" w:color="auto"/>
            </w:tcBorders>
            <w:shd w:val="clear" w:color="000000" w:fill="B7DEE8"/>
            <w:vAlign w:val="center"/>
            <w:hideMark/>
          </w:tcPr>
          <w:p w14:paraId="0F9C2CB8" w14:textId="77777777" w:rsidR="00E03650" w:rsidRPr="009C5ECD" w:rsidRDefault="00E03650" w:rsidP="00666827">
            <w:pPr>
              <w:jc w:val="center"/>
              <w:rPr>
                <w:b/>
                <w:bCs/>
                <w:color w:val="000000"/>
                <w:sz w:val="20"/>
                <w:szCs w:val="20"/>
              </w:rPr>
            </w:pPr>
            <w:r w:rsidRPr="009C5ECD">
              <w:rPr>
                <w:b/>
                <w:bCs/>
                <w:color w:val="000000"/>
                <w:sz w:val="20"/>
                <w:szCs w:val="20"/>
              </w:rPr>
              <w:t>Landings (N)</w:t>
            </w:r>
          </w:p>
        </w:tc>
        <w:tc>
          <w:tcPr>
            <w:tcW w:w="0" w:type="auto"/>
            <w:tcBorders>
              <w:top w:val="nil"/>
              <w:left w:val="nil"/>
              <w:bottom w:val="single" w:sz="8" w:space="0" w:color="auto"/>
              <w:right w:val="single" w:sz="8" w:space="0" w:color="auto"/>
            </w:tcBorders>
            <w:shd w:val="clear" w:color="000000" w:fill="B7DEE8"/>
            <w:vAlign w:val="center"/>
            <w:hideMark/>
          </w:tcPr>
          <w:p w14:paraId="756C4E01" w14:textId="77777777" w:rsidR="00E03650" w:rsidRPr="009C5ECD" w:rsidRDefault="00E03650" w:rsidP="00666827">
            <w:pPr>
              <w:jc w:val="center"/>
              <w:rPr>
                <w:b/>
                <w:bCs/>
                <w:color w:val="000000"/>
                <w:sz w:val="20"/>
                <w:szCs w:val="20"/>
              </w:rPr>
            </w:pPr>
            <w:r w:rsidRPr="009C5ECD">
              <w:rPr>
                <w:b/>
                <w:bCs/>
                <w:color w:val="000000"/>
                <w:sz w:val="20"/>
                <w:szCs w:val="20"/>
              </w:rPr>
              <w:t>Discards (N)</w:t>
            </w:r>
          </w:p>
        </w:tc>
        <w:tc>
          <w:tcPr>
            <w:tcW w:w="0" w:type="auto"/>
            <w:tcBorders>
              <w:top w:val="nil"/>
              <w:left w:val="nil"/>
              <w:bottom w:val="single" w:sz="8" w:space="0" w:color="auto"/>
              <w:right w:val="single" w:sz="8" w:space="0" w:color="auto"/>
            </w:tcBorders>
            <w:shd w:val="clear" w:color="000000" w:fill="B7DEE8"/>
            <w:vAlign w:val="center"/>
            <w:hideMark/>
          </w:tcPr>
          <w:p w14:paraId="56F98149" w14:textId="77777777" w:rsidR="00E03650" w:rsidRPr="009C5ECD" w:rsidRDefault="00E03650" w:rsidP="00666827">
            <w:pPr>
              <w:jc w:val="center"/>
              <w:rPr>
                <w:b/>
                <w:bCs/>
                <w:color w:val="000000"/>
                <w:sz w:val="20"/>
                <w:szCs w:val="20"/>
              </w:rPr>
            </w:pPr>
            <w:r w:rsidRPr="009C5ECD">
              <w:rPr>
                <w:b/>
                <w:bCs/>
                <w:color w:val="000000"/>
                <w:sz w:val="20"/>
                <w:szCs w:val="20"/>
              </w:rPr>
              <w:t>Ratio (D:L)</w:t>
            </w:r>
          </w:p>
        </w:tc>
        <w:tc>
          <w:tcPr>
            <w:tcW w:w="0" w:type="auto"/>
            <w:tcBorders>
              <w:top w:val="nil"/>
              <w:left w:val="nil"/>
              <w:bottom w:val="single" w:sz="8" w:space="0" w:color="auto"/>
              <w:right w:val="single" w:sz="8" w:space="0" w:color="auto"/>
            </w:tcBorders>
            <w:shd w:val="clear" w:color="000000" w:fill="C5D9F1"/>
            <w:vAlign w:val="center"/>
            <w:hideMark/>
          </w:tcPr>
          <w:p w14:paraId="3CE1B05A" w14:textId="77777777" w:rsidR="00E03650" w:rsidRPr="009C5ECD" w:rsidRDefault="00E03650" w:rsidP="00666827">
            <w:pPr>
              <w:jc w:val="center"/>
              <w:rPr>
                <w:b/>
                <w:bCs/>
                <w:color w:val="000000"/>
                <w:sz w:val="20"/>
                <w:szCs w:val="20"/>
              </w:rPr>
            </w:pPr>
            <w:r w:rsidRPr="009C5ECD">
              <w:rPr>
                <w:b/>
                <w:bCs/>
                <w:color w:val="000000"/>
                <w:sz w:val="20"/>
                <w:szCs w:val="20"/>
              </w:rPr>
              <w:t>Landings (N)</w:t>
            </w:r>
          </w:p>
        </w:tc>
        <w:tc>
          <w:tcPr>
            <w:tcW w:w="0" w:type="auto"/>
            <w:tcBorders>
              <w:top w:val="nil"/>
              <w:left w:val="nil"/>
              <w:bottom w:val="single" w:sz="8" w:space="0" w:color="auto"/>
              <w:right w:val="single" w:sz="8" w:space="0" w:color="auto"/>
            </w:tcBorders>
            <w:shd w:val="clear" w:color="000000" w:fill="C5D9F1"/>
            <w:vAlign w:val="center"/>
            <w:hideMark/>
          </w:tcPr>
          <w:p w14:paraId="39373693" w14:textId="77777777" w:rsidR="00E03650" w:rsidRPr="009C5ECD" w:rsidRDefault="00E03650" w:rsidP="00666827">
            <w:pPr>
              <w:jc w:val="center"/>
              <w:rPr>
                <w:b/>
                <w:bCs/>
                <w:color w:val="000000"/>
                <w:sz w:val="20"/>
                <w:szCs w:val="20"/>
              </w:rPr>
            </w:pPr>
            <w:r w:rsidRPr="009C5ECD">
              <w:rPr>
                <w:b/>
                <w:bCs/>
                <w:color w:val="000000"/>
                <w:sz w:val="20"/>
                <w:szCs w:val="20"/>
              </w:rPr>
              <w:t>Discards (N)</w:t>
            </w:r>
          </w:p>
        </w:tc>
        <w:tc>
          <w:tcPr>
            <w:tcW w:w="0" w:type="auto"/>
            <w:tcBorders>
              <w:top w:val="nil"/>
              <w:left w:val="nil"/>
              <w:bottom w:val="single" w:sz="8" w:space="0" w:color="auto"/>
              <w:right w:val="single" w:sz="8" w:space="0" w:color="auto"/>
            </w:tcBorders>
            <w:shd w:val="clear" w:color="000000" w:fill="C5D9F1"/>
            <w:vAlign w:val="center"/>
            <w:hideMark/>
          </w:tcPr>
          <w:p w14:paraId="163582FE" w14:textId="77777777" w:rsidR="00E03650" w:rsidRPr="009C5ECD" w:rsidRDefault="00E03650" w:rsidP="00666827">
            <w:pPr>
              <w:jc w:val="center"/>
              <w:rPr>
                <w:b/>
                <w:bCs/>
                <w:color w:val="000000"/>
                <w:sz w:val="20"/>
                <w:szCs w:val="20"/>
              </w:rPr>
            </w:pPr>
            <w:r w:rsidRPr="009C5ECD">
              <w:rPr>
                <w:b/>
                <w:bCs/>
                <w:color w:val="000000"/>
                <w:sz w:val="20"/>
                <w:szCs w:val="20"/>
              </w:rPr>
              <w:t>Ratio (D:L)</w:t>
            </w:r>
          </w:p>
        </w:tc>
        <w:tc>
          <w:tcPr>
            <w:tcW w:w="0" w:type="auto"/>
            <w:tcBorders>
              <w:top w:val="nil"/>
              <w:left w:val="nil"/>
              <w:bottom w:val="single" w:sz="8" w:space="0" w:color="auto"/>
              <w:right w:val="single" w:sz="8" w:space="0" w:color="auto"/>
            </w:tcBorders>
            <w:shd w:val="clear" w:color="000000" w:fill="F2DCDB"/>
            <w:vAlign w:val="center"/>
            <w:hideMark/>
          </w:tcPr>
          <w:p w14:paraId="1DEEF8BB" w14:textId="77777777" w:rsidR="00E03650" w:rsidRPr="009C5ECD" w:rsidRDefault="00E03650" w:rsidP="00666827">
            <w:pPr>
              <w:jc w:val="center"/>
              <w:rPr>
                <w:b/>
                <w:bCs/>
                <w:color w:val="000000"/>
                <w:sz w:val="20"/>
                <w:szCs w:val="20"/>
              </w:rPr>
            </w:pPr>
            <w:r w:rsidRPr="009C5ECD">
              <w:rPr>
                <w:b/>
                <w:bCs/>
                <w:color w:val="000000"/>
                <w:sz w:val="20"/>
                <w:szCs w:val="20"/>
              </w:rPr>
              <w:t>Landings (N)</w:t>
            </w:r>
          </w:p>
        </w:tc>
        <w:tc>
          <w:tcPr>
            <w:tcW w:w="0" w:type="auto"/>
            <w:tcBorders>
              <w:top w:val="nil"/>
              <w:left w:val="nil"/>
              <w:bottom w:val="single" w:sz="8" w:space="0" w:color="auto"/>
              <w:right w:val="single" w:sz="8" w:space="0" w:color="auto"/>
            </w:tcBorders>
            <w:shd w:val="clear" w:color="000000" w:fill="F2DCDB"/>
            <w:vAlign w:val="center"/>
            <w:hideMark/>
          </w:tcPr>
          <w:p w14:paraId="73C8E915" w14:textId="77777777" w:rsidR="00E03650" w:rsidRPr="009C5ECD" w:rsidRDefault="00E03650" w:rsidP="00666827">
            <w:pPr>
              <w:jc w:val="center"/>
              <w:rPr>
                <w:b/>
                <w:bCs/>
                <w:color w:val="000000"/>
                <w:sz w:val="20"/>
                <w:szCs w:val="20"/>
              </w:rPr>
            </w:pPr>
            <w:r w:rsidRPr="009C5ECD">
              <w:rPr>
                <w:b/>
                <w:bCs/>
                <w:color w:val="000000"/>
                <w:sz w:val="20"/>
                <w:szCs w:val="20"/>
              </w:rPr>
              <w:t>Discards (N)</w:t>
            </w:r>
          </w:p>
        </w:tc>
        <w:tc>
          <w:tcPr>
            <w:tcW w:w="0" w:type="auto"/>
            <w:tcBorders>
              <w:top w:val="nil"/>
              <w:left w:val="nil"/>
              <w:bottom w:val="single" w:sz="8" w:space="0" w:color="auto"/>
              <w:right w:val="single" w:sz="8" w:space="0" w:color="auto"/>
            </w:tcBorders>
            <w:shd w:val="clear" w:color="000000" w:fill="F2DCDB"/>
            <w:vAlign w:val="center"/>
            <w:hideMark/>
          </w:tcPr>
          <w:p w14:paraId="7DA2D1F2" w14:textId="77777777" w:rsidR="00E03650" w:rsidRPr="009C5ECD" w:rsidRDefault="00E03650" w:rsidP="00666827">
            <w:pPr>
              <w:jc w:val="center"/>
              <w:rPr>
                <w:b/>
                <w:bCs/>
                <w:color w:val="000000"/>
                <w:sz w:val="20"/>
                <w:szCs w:val="20"/>
              </w:rPr>
            </w:pPr>
            <w:r w:rsidRPr="009C5ECD">
              <w:rPr>
                <w:b/>
                <w:bCs/>
                <w:color w:val="000000"/>
                <w:sz w:val="20"/>
                <w:szCs w:val="20"/>
              </w:rPr>
              <w:t>Ratio (D:L)</w:t>
            </w:r>
          </w:p>
        </w:tc>
        <w:tc>
          <w:tcPr>
            <w:tcW w:w="0" w:type="auto"/>
            <w:tcBorders>
              <w:top w:val="nil"/>
              <w:left w:val="nil"/>
              <w:bottom w:val="single" w:sz="8" w:space="0" w:color="auto"/>
              <w:right w:val="single" w:sz="8" w:space="0" w:color="auto"/>
            </w:tcBorders>
            <w:shd w:val="clear" w:color="000000" w:fill="D8E4BC"/>
            <w:vAlign w:val="center"/>
            <w:hideMark/>
          </w:tcPr>
          <w:p w14:paraId="6A5D32EA" w14:textId="77777777" w:rsidR="00E03650" w:rsidRPr="009C5ECD" w:rsidRDefault="00E03650" w:rsidP="00666827">
            <w:pPr>
              <w:jc w:val="center"/>
              <w:rPr>
                <w:b/>
                <w:bCs/>
                <w:color w:val="000000"/>
                <w:sz w:val="20"/>
                <w:szCs w:val="20"/>
              </w:rPr>
            </w:pPr>
            <w:r w:rsidRPr="009C5ECD">
              <w:rPr>
                <w:b/>
                <w:bCs/>
                <w:color w:val="000000"/>
                <w:sz w:val="20"/>
                <w:szCs w:val="20"/>
              </w:rPr>
              <w:t>Landings (lbs)</w:t>
            </w:r>
          </w:p>
        </w:tc>
        <w:tc>
          <w:tcPr>
            <w:tcW w:w="0" w:type="auto"/>
            <w:tcBorders>
              <w:top w:val="nil"/>
              <w:left w:val="nil"/>
              <w:bottom w:val="single" w:sz="8" w:space="0" w:color="auto"/>
              <w:right w:val="single" w:sz="8" w:space="0" w:color="auto"/>
            </w:tcBorders>
            <w:shd w:val="clear" w:color="000000" w:fill="D8E4BC"/>
            <w:vAlign w:val="center"/>
            <w:hideMark/>
          </w:tcPr>
          <w:p w14:paraId="14771A8B" w14:textId="77777777" w:rsidR="00E03650" w:rsidRPr="009C5ECD" w:rsidRDefault="00E03650" w:rsidP="00666827">
            <w:pPr>
              <w:jc w:val="center"/>
              <w:rPr>
                <w:b/>
                <w:bCs/>
                <w:color w:val="000000"/>
                <w:sz w:val="20"/>
                <w:szCs w:val="20"/>
              </w:rPr>
            </w:pPr>
            <w:r w:rsidRPr="009C5ECD">
              <w:rPr>
                <w:b/>
                <w:bCs/>
                <w:color w:val="000000"/>
                <w:sz w:val="20"/>
                <w:szCs w:val="20"/>
              </w:rPr>
              <w:t>Discards (N)</w:t>
            </w:r>
          </w:p>
        </w:tc>
      </w:tr>
      <w:tr w:rsidR="001129C8" w:rsidRPr="009C5ECD" w14:paraId="239C9831"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9868FF1" w14:textId="77777777" w:rsidR="00E03650" w:rsidRPr="009C5ECD" w:rsidRDefault="00E03650" w:rsidP="00666827">
            <w:pPr>
              <w:jc w:val="center"/>
              <w:rPr>
                <w:color w:val="000000"/>
                <w:sz w:val="20"/>
                <w:szCs w:val="20"/>
              </w:rPr>
            </w:pPr>
            <w:r w:rsidRPr="009C5ECD">
              <w:rPr>
                <w:color w:val="000000"/>
                <w:sz w:val="20"/>
                <w:szCs w:val="20"/>
              </w:rPr>
              <w:t>Almaco jack</w:t>
            </w:r>
          </w:p>
        </w:tc>
        <w:tc>
          <w:tcPr>
            <w:tcW w:w="0" w:type="auto"/>
            <w:tcBorders>
              <w:top w:val="nil"/>
              <w:left w:val="nil"/>
              <w:bottom w:val="single" w:sz="8" w:space="0" w:color="auto"/>
              <w:right w:val="single" w:sz="8" w:space="0" w:color="auto"/>
            </w:tcBorders>
            <w:shd w:val="clear" w:color="000000" w:fill="B7DEE8"/>
            <w:noWrap/>
            <w:vAlign w:val="center"/>
            <w:hideMark/>
          </w:tcPr>
          <w:p w14:paraId="1A4CFB40" w14:textId="77777777" w:rsidR="00E03650" w:rsidRPr="009C5ECD" w:rsidRDefault="00E03650" w:rsidP="00666827">
            <w:pPr>
              <w:jc w:val="center"/>
              <w:rPr>
                <w:color w:val="000000"/>
                <w:sz w:val="20"/>
                <w:szCs w:val="20"/>
              </w:rPr>
            </w:pPr>
            <w:r w:rsidRPr="009C5ECD">
              <w:rPr>
                <w:color w:val="000000"/>
                <w:sz w:val="20"/>
                <w:szCs w:val="20"/>
              </w:rPr>
              <w:t>4,765</w:t>
            </w:r>
          </w:p>
        </w:tc>
        <w:tc>
          <w:tcPr>
            <w:tcW w:w="0" w:type="auto"/>
            <w:tcBorders>
              <w:top w:val="nil"/>
              <w:left w:val="nil"/>
              <w:bottom w:val="single" w:sz="8" w:space="0" w:color="auto"/>
              <w:right w:val="single" w:sz="8" w:space="0" w:color="auto"/>
            </w:tcBorders>
            <w:shd w:val="clear" w:color="000000" w:fill="B7DEE8"/>
            <w:noWrap/>
            <w:vAlign w:val="center"/>
            <w:hideMark/>
          </w:tcPr>
          <w:p w14:paraId="164F92E8" w14:textId="77777777" w:rsidR="00E03650" w:rsidRPr="009C5ECD" w:rsidRDefault="00E03650" w:rsidP="00666827">
            <w:pPr>
              <w:jc w:val="center"/>
              <w:rPr>
                <w:color w:val="000000"/>
                <w:sz w:val="20"/>
                <w:szCs w:val="20"/>
              </w:rPr>
            </w:pPr>
            <w:r w:rsidRPr="009C5ECD">
              <w:rPr>
                <w:color w:val="000000"/>
                <w:sz w:val="20"/>
                <w:szCs w:val="20"/>
              </w:rPr>
              <w:t>296</w:t>
            </w:r>
          </w:p>
        </w:tc>
        <w:tc>
          <w:tcPr>
            <w:tcW w:w="0" w:type="auto"/>
            <w:tcBorders>
              <w:top w:val="nil"/>
              <w:left w:val="nil"/>
              <w:bottom w:val="single" w:sz="8" w:space="0" w:color="auto"/>
              <w:right w:val="single" w:sz="8" w:space="0" w:color="auto"/>
            </w:tcBorders>
            <w:shd w:val="clear" w:color="000000" w:fill="B7DEE8"/>
            <w:noWrap/>
            <w:vAlign w:val="center"/>
            <w:hideMark/>
          </w:tcPr>
          <w:p w14:paraId="05C37ACB" w14:textId="77777777" w:rsidR="00E03650" w:rsidRPr="009C5ECD" w:rsidRDefault="00E03650" w:rsidP="00666827">
            <w:pPr>
              <w:jc w:val="center"/>
              <w:rPr>
                <w:color w:val="000000"/>
                <w:sz w:val="20"/>
                <w:szCs w:val="20"/>
              </w:rPr>
            </w:pPr>
            <w:r w:rsidRPr="009C5ECD">
              <w:rPr>
                <w:color w:val="000000"/>
                <w:sz w:val="20"/>
                <w:szCs w:val="20"/>
              </w:rPr>
              <w:t>6%</w:t>
            </w:r>
          </w:p>
        </w:tc>
        <w:tc>
          <w:tcPr>
            <w:tcW w:w="0" w:type="auto"/>
            <w:tcBorders>
              <w:top w:val="nil"/>
              <w:left w:val="nil"/>
              <w:bottom w:val="single" w:sz="8" w:space="0" w:color="auto"/>
              <w:right w:val="single" w:sz="8" w:space="0" w:color="auto"/>
            </w:tcBorders>
            <w:shd w:val="clear" w:color="000000" w:fill="C5D9F1"/>
            <w:noWrap/>
            <w:vAlign w:val="center"/>
            <w:hideMark/>
          </w:tcPr>
          <w:p w14:paraId="374A6D2D" w14:textId="77777777" w:rsidR="00E03650" w:rsidRPr="009C5ECD" w:rsidRDefault="00E03650" w:rsidP="00666827">
            <w:pPr>
              <w:jc w:val="center"/>
              <w:rPr>
                <w:color w:val="000000"/>
                <w:sz w:val="20"/>
                <w:szCs w:val="20"/>
              </w:rPr>
            </w:pPr>
            <w:r w:rsidRPr="009C5ECD">
              <w:rPr>
                <w:color w:val="000000"/>
                <w:sz w:val="20"/>
                <w:szCs w:val="20"/>
              </w:rPr>
              <w:t>4,556</w:t>
            </w:r>
          </w:p>
        </w:tc>
        <w:tc>
          <w:tcPr>
            <w:tcW w:w="0" w:type="auto"/>
            <w:tcBorders>
              <w:top w:val="nil"/>
              <w:left w:val="nil"/>
              <w:bottom w:val="single" w:sz="8" w:space="0" w:color="auto"/>
              <w:right w:val="single" w:sz="8" w:space="0" w:color="auto"/>
            </w:tcBorders>
            <w:shd w:val="clear" w:color="000000" w:fill="C5D9F1"/>
            <w:noWrap/>
            <w:vAlign w:val="center"/>
            <w:hideMark/>
          </w:tcPr>
          <w:p w14:paraId="3D4B305D" w14:textId="77777777" w:rsidR="00E03650" w:rsidRPr="009C5ECD" w:rsidRDefault="00E03650" w:rsidP="00666827">
            <w:pPr>
              <w:jc w:val="center"/>
              <w:rPr>
                <w:color w:val="000000"/>
                <w:sz w:val="20"/>
                <w:szCs w:val="20"/>
              </w:rPr>
            </w:pPr>
            <w:r w:rsidRPr="009C5ECD">
              <w:rPr>
                <w:color w:val="000000"/>
                <w:sz w:val="20"/>
                <w:szCs w:val="20"/>
              </w:rPr>
              <w:t>1,974</w:t>
            </w:r>
          </w:p>
        </w:tc>
        <w:tc>
          <w:tcPr>
            <w:tcW w:w="0" w:type="auto"/>
            <w:tcBorders>
              <w:top w:val="nil"/>
              <w:left w:val="nil"/>
              <w:bottom w:val="single" w:sz="8" w:space="0" w:color="auto"/>
              <w:right w:val="single" w:sz="8" w:space="0" w:color="auto"/>
            </w:tcBorders>
            <w:shd w:val="clear" w:color="000000" w:fill="C5D9F1"/>
            <w:noWrap/>
            <w:vAlign w:val="center"/>
            <w:hideMark/>
          </w:tcPr>
          <w:p w14:paraId="088B3189" w14:textId="77777777" w:rsidR="00E03650" w:rsidRPr="009C5ECD" w:rsidRDefault="00E03650" w:rsidP="00666827">
            <w:pPr>
              <w:jc w:val="center"/>
              <w:rPr>
                <w:color w:val="000000"/>
                <w:sz w:val="20"/>
                <w:szCs w:val="20"/>
              </w:rPr>
            </w:pPr>
            <w:r w:rsidRPr="009C5ECD">
              <w:rPr>
                <w:color w:val="000000"/>
                <w:sz w:val="20"/>
                <w:szCs w:val="20"/>
              </w:rPr>
              <w:t>43%</w:t>
            </w:r>
          </w:p>
        </w:tc>
        <w:tc>
          <w:tcPr>
            <w:tcW w:w="0" w:type="auto"/>
            <w:tcBorders>
              <w:top w:val="nil"/>
              <w:left w:val="nil"/>
              <w:bottom w:val="single" w:sz="8" w:space="0" w:color="auto"/>
              <w:right w:val="single" w:sz="8" w:space="0" w:color="auto"/>
            </w:tcBorders>
            <w:shd w:val="clear" w:color="000000" w:fill="F2DCDB"/>
            <w:noWrap/>
            <w:vAlign w:val="center"/>
            <w:hideMark/>
          </w:tcPr>
          <w:p w14:paraId="5EF80EC3" w14:textId="77777777" w:rsidR="00E03650" w:rsidRPr="009C5ECD" w:rsidRDefault="00E03650" w:rsidP="00666827">
            <w:pPr>
              <w:jc w:val="center"/>
              <w:rPr>
                <w:color w:val="000000"/>
                <w:sz w:val="20"/>
                <w:szCs w:val="20"/>
              </w:rPr>
            </w:pPr>
            <w:r w:rsidRPr="009C5ECD">
              <w:rPr>
                <w:color w:val="000000"/>
                <w:sz w:val="20"/>
                <w:szCs w:val="20"/>
              </w:rPr>
              <w:t>6,613</w:t>
            </w:r>
          </w:p>
        </w:tc>
        <w:tc>
          <w:tcPr>
            <w:tcW w:w="0" w:type="auto"/>
            <w:tcBorders>
              <w:top w:val="nil"/>
              <w:left w:val="nil"/>
              <w:bottom w:val="single" w:sz="8" w:space="0" w:color="auto"/>
              <w:right w:val="single" w:sz="8" w:space="0" w:color="auto"/>
            </w:tcBorders>
            <w:shd w:val="clear" w:color="000000" w:fill="F2DCDB"/>
            <w:noWrap/>
            <w:vAlign w:val="center"/>
            <w:hideMark/>
          </w:tcPr>
          <w:p w14:paraId="6D5B3F4E" w14:textId="77777777" w:rsidR="00E03650" w:rsidRPr="009C5ECD" w:rsidRDefault="00E03650" w:rsidP="00666827">
            <w:pPr>
              <w:jc w:val="center"/>
              <w:rPr>
                <w:color w:val="000000"/>
                <w:sz w:val="20"/>
                <w:szCs w:val="20"/>
              </w:rPr>
            </w:pPr>
            <w:r w:rsidRPr="009C5ECD">
              <w:rPr>
                <w:color w:val="000000"/>
                <w:sz w:val="20"/>
                <w:szCs w:val="20"/>
              </w:rPr>
              <w:t>29,410</w:t>
            </w:r>
          </w:p>
        </w:tc>
        <w:tc>
          <w:tcPr>
            <w:tcW w:w="0" w:type="auto"/>
            <w:tcBorders>
              <w:top w:val="nil"/>
              <w:left w:val="nil"/>
              <w:bottom w:val="single" w:sz="8" w:space="0" w:color="auto"/>
              <w:right w:val="single" w:sz="8" w:space="0" w:color="auto"/>
            </w:tcBorders>
            <w:shd w:val="clear" w:color="000000" w:fill="F2DCDB"/>
            <w:noWrap/>
            <w:vAlign w:val="center"/>
            <w:hideMark/>
          </w:tcPr>
          <w:p w14:paraId="609885D3" w14:textId="77777777" w:rsidR="00E03650" w:rsidRPr="009C5ECD" w:rsidRDefault="00E03650" w:rsidP="00666827">
            <w:pPr>
              <w:jc w:val="center"/>
              <w:rPr>
                <w:color w:val="000000"/>
                <w:sz w:val="20"/>
                <w:szCs w:val="20"/>
              </w:rPr>
            </w:pPr>
            <w:r w:rsidRPr="009C5ECD">
              <w:rPr>
                <w:color w:val="000000"/>
                <w:sz w:val="20"/>
                <w:szCs w:val="20"/>
              </w:rPr>
              <w:t>445%</w:t>
            </w:r>
          </w:p>
        </w:tc>
        <w:tc>
          <w:tcPr>
            <w:tcW w:w="0" w:type="auto"/>
            <w:tcBorders>
              <w:top w:val="nil"/>
              <w:left w:val="nil"/>
              <w:bottom w:val="single" w:sz="8" w:space="0" w:color="auto"/>
              <w:right w:val="single" w:sz="8" w:space="0" w:color="auto"/>
            </w:tcBorders>
            <w:shd w:val="clear" w:color="000000" w:fill="D8E4BC"/>
            <w:noWrap/>
            <w:vAlign w:val="center"/>
            <w:hideMark/>
          </w:tcPr>
          <w:p w14:paraId="5652DE78" w14:textId="77777777" w:rsidR="00E03650" w:rsidRPr="009C5ECD" w:rsidRDefault="00E03650" w:rsidP="00666827">
            <w:pPr>
              <w:jc w:val="center"/>
              <w:rPr>
                <w:color w:val="000000"/>
                <w:sz w:val="20"/>
                <w:szCs w:val="20"/>
              </w:rPr>
            </w:pPr>
            <w:r w:rsidRPr="009C5ECD">
              <w:rPr>
                <w:color w:val="000000"/>
                <w:sz w:val="20"/>
                <w:szCs w:val="20"/>
              </w:rPr>
              <w:t>179,919</w:t>
            </w:r>
          </w:p>
        </w:tc>
        <w:tc>
          <w:tcPr>
            <w:tcW w:w="0" w:type="auto"/>
            <w:tcBorders>
              <w:top w:val="nil"/>
              <w:left w:val="nil"/>
              <w:bottom w:val="single" w:sz="8" w:space="0" w:color="auto"/>
              <w:right w:val="single" w:sz="8" w:space="0" w:color="auto"/>
            </w:tcBorders>
            <w:shd w:val="clear" w:color="000000" w:fill="D8E4BC"/>
            <w:noWrap/>
            <w:vAlign w:val="center"/>
            <w:hideMark/>
          </w:tcPr>
          <w:p w14:paraId="442D943C" w14:textId="77777777" w:rsidR="00E03650" w:rsidRPr="009C5ECD" w:rsidRDefault="00E03650" w:rsidP="00666827">
            <w:pPr>
              <w:jc w:val="center"/>
              <w:rPr>
                <w:color w:val="000000"/>
                <w:sz w:val="20"/>
                <w:szCs w:val="20"/>
              </w:rPr>
            </w:pPr>
            <w:r w:rsidRPr="009C5ECD">
              <w:rPr>
                <w:color w:val="000000"/>
                <w:sz w:val="20"/>
                <w:szCs w:val="20"/>
              </w:rPr>
              <w:t>1,798</w:t>
            </w:r>
          </w:p>
        </w:tc>
      </w:tr>
      <w:tr w:rsidR="001129C8" w:rsidRPr="009C5ECD" w14:paraId="16C2FE23"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98753D6" w14:textId="77777777" w:rsidR="00E03650" w:rsidRPr="009C5ECD" w:rsidRDefault="00E03650" w:rsidP="00666827">
            <w:pPr>
              <w:jc w:val="center"/>
              <w:rPr>
                <w:color w:val="000000"/>
                <w:sz w:val="20"/>
                <w:szCs w:val="20"/>
              </w:rPr>
            </w:pPr>
            <w:r w:rsidRPr="009C5ECD">
              <w:rPr>
                <w:color w:val="000000"/>
                <w:sz w:val="20"/>
                <w:szCs w:val="20"/>
              </w:rPr>
              <w:t>Atlantic spadefish</w:t>
            </w:r>
          </w:p>
        </w:tc>
        <w:tc>
          <w:tcPr>
            <w:tcW w:w="0" w:type="auto"/>
            <w:tcBorders>
              <w:top w:val="nil"/>
              <w:left w:val="nil"/>
              <w:bottom w:val="single" w:sz="8" w:space="0" w:color="auto"/>
              <w:right w:val="single" w:sz="8" w:space="0" w:color="auto"/>
            </w:tcBorders>
            <w:shd w:val="clear" w:color="000000" w:fill="B7DEE8"/>
            <w:noWrap/>
            <w:vAlign w:val="center"/>
            <w:hideMark/>
          </w:tcPr>
          <w:p w14:paraId="67A80FE2" w14:textId="77777777" w:rsidR="00E03650" w:rsidRPr="009C5ECD" w:rsidRDefault="00E03650" w:rsidP="00666827">
            <w:pPr>
              <w:jc w:val="center"/>
              <w:rPr>
                <w:color w:val="000000"/>
                <w:sz w:val="20"/>
                <w:szCs w:val="20"/>
              </w:rPr>
            </w:pPr>
            <w:r w:rsidRPr="009C5ECD">
              <w:rPr>
                <w:color w:val="000000"/>
                <w:sz w:val="20"/>
                <w:szCs w:val="20"/>
              </w:rPr>
              <w:t>112</w:t>
            </w:r>
          </w:p>
        </w:tc>
        <w:tc>
          <w:tcPr>
            <w:tcW w:w="0" w:type="auto"/>
            <w:tcBorders>
              <w:top w:val="nil"/>
              <w:left w:val="nil"/>
              <w:bottom w:val="single" w:sz="8" w:space="0" w:color="auto"/>
              <w:right w:val="single" w:sz="8" w:space="0" w:color="auto"/>
            </w:tcBorders>
            <w:shd w:val="clear" w:color="000000" w:fill="B7DEE8"/>
            <w:noWrap/>
            <w:vAlign w:val="center"/>
            <w:hideMark/>
          </w:tcPr>
          <w:p w14:paraId="35763475" w14:textId="77777777" w:rsidR="00E03650" w:rsidRPr="009C5ECD" w:rsidRDefault="00E03650" w:rsidP="00666827">
            <w:pPr>
              <w:jc w:val="center"/>
              <w:rPr>
                <w:color w:val="000000"/>
                <w:sz w:val="20"/>
                <w:szCs w:val="20"/>
              </w:rPr>
            </w:pPr>
            <w:r w:rsidRPr="009C5ECD">
              <w:rPr>
                <w:color w:val="000000"/>
                <w:sz w:val="20"/>
                <w:szCs w:val="20"/>
              </w:rPr>
              <w:t>30</w:t>
            </w:r>
          </w:p>
        </w:tc>
        <w:tc>
          <w:tcPr>
            <w:tcW w:w="0" w:type="auto"/>
            <w:tcBorders>
              <w:top w:val="nil"/>
              <w:left w:val="nil"/>
              <w:bottom w:val="single" w:sz="8" w:space="0" w:color="auto"/>
              <w:right w:val="single" w:sz="8" w:space="0" w:color="auto"/>
            </w:tcBorders>
            <w:shd w:val="clear" w:color="000000" w:fill="B7DEE8"/>
            <w:noWrap/>
            <w:vAlign w:val="center"/>
            <w:hideMark/>
          </w:tcPr>
          <w:p w14:paraId="12C740CD" w14:textId="77777777" w:rsidR="00E03650" w:rsidRPr="009C5ECD" w:rsidRDefault="00E03650" w:rsidP="00666827">
            <w:pPr>
              <w:jc w:val="center"/>
              <w:rPr>
                <w:color w:val="000000"/>
                <w:sz w:val="20"/>
                <w:szCs w:val="20"/>
              </w:rPr>
            </w:pPr>
            <w:r w:rsidRPr="009C5ECD">
              <w:rPr>
                <w:color w:val="000000"/>
                <w:sz w:val="20"/>
                <w:szCs w:val="20"/>
              </w:rPr>
              <w:t>27%</w:t>
            </w:r>
          </w:p>
        </w:tc>
        <w:tc>
          <w:tcPr>
            <w:tcW w:w="0" w:type="auto"/>
            <w:tcBorders>
              <w:top w:val="nil"/>
              <w:left w:val="nil"/>
              <w:bottom w:val="single" w:sz="8" w:space="0" w:color="auto"/>
              <w:right w:val="single" w:sz="8" w:space="0" w:color="auto"/>
            </w:tcBorders>
            <w:shd w:val="clear" w:color="000000" w:fill="C5D9F1"/>
            <w:noWrap/>
            <w:vAlign w:val="center"/>
            <w:hideMark/>
          </w:tcPr>
          <w:p w14:paraId="010DB937" w14:textId="77777777" w:rsidR="00E03650" w:rsidRPr="009C5ECD" w:rsidRDefault="00E03650" w:rsidP="00666827">
            <w:pPr>
              <w:jc w:val="center"/>
              <w:rPr>
                <w:color w:val="000000"/>
                <w:sz w:val="20"/>
                <w:szCs w:val="20"/>
              </w:rPr>
            </w:pPr>
            <w:r w:rsidRPr="009C5ECD">
              <w:rPr>
                <w:color w:val="000000"/>
                <w:sz w:val="20"/>
                <w:szCs w:val="20"/>
              </w:rPr>
              <w:t>396</w:t>
            </w:r>
          </w:p>
        </w:tc>
        <w:tc>
          <w:tcPr>
            <w:tcW w:w="0" w:type="auto"/>
            <w:tcBorders>
              <w:top w:val="nil"/>
              <w:left w:val="nil"/>
              <w:bottom w:val="single" w:sz="8" w:space="0" w:color="auto"/>
              <w:right w:val="single" w:sz="8" w:space="0" w:color="auto"/>
            </w:tcBorders>
            <w:shd w:val="clear" w:color="000000" w:fill="C5D9F1"/>
            <w:noWrap/>
            <w:vAlign w:val="center"/>
            <w:hideMark/>
          </w:tcPr>
          <w:p w14:paraId="06872410" w14:textId="77777777" w:rsidR="00E03650" w:rsidRPr="009C5ECD" w:rsidRDefault="00E03650" w:rsidP="00666827">
            <w:pPr>
              <w:jc w:val="center"/>
              <w:rPr>
                <w:color w:val="000000"/>
                <w:sz w:val="20"/>
                <w:szCs w:val="20"/>
              </w:rPr>
            </w:pPr>
            <w:r w:rsidRPr="009C5ECD">
              <w:rPr>
                <w:color w:val="000000"/>
                <w:sz w:val="20"/>
                <w:szCs w:val="20"/>
              </w:rPr>
              <w:t>8</w:t>
            </w:r>
          </w:p>
        </w:tc>
        <w:tc>
          <w:tcPr>
            <w:tcW w:w="0" w:type="auto"/>
            <w:tcBorders>
              <w:top w:val="nil"/>
              <w:left w:val="nil"/>
              <w:bottom w:val="single" w:sz="8" w:space="0" w:color="auto"/>
              <w:right w:val="single" w:sz="8" w:space="0" w:color="auto"/>
            </w:tcBorders>
            <w:shd w:val="clear" w:color="000000" w:fill="C5D9F1"/>
            <w:noWrap/>
            <w:vAlign w:val="center"/>
            <w:hideMark/>
          </w:tcPr>
          <w:p w14:paraId="097F2C52" w14:textId="77777777" w:rsidR="00E03650" w:rsidRPr="009C5ECD" w:rsidRDefault="00E03650" w:rsidP="00666827">
            <w:pPr>
              <w:jc w:val="center"/>
              <w:rPr>
                <w:color w:val="000000"/>
                <w:sz w:val="20"/>
                <w:szCs w:val="20"/>
              </w:rPr>
            </w:pPr>
            <w:r w:rsidRPr="009C5ECD">
              <w:rPr>
                <w:color w:val="000000"/>
                <w:sz w:val="20"/>
                <w:szCs w:val="20"/>
              </w:rPr>
              <w:t>2%</w:t>
            </w:r>
          </w:p>
        </w:tc>
        <w:tc>
          <w:tcPr>
            <w:tcW w:w="0" w:type="auto"/>
            <w:tcBorders>
              <w:top w:val="nil"/>
              <w:left w:val="nil"/>
              <w:bottom w:val="single" w:sz="8" w:space="0" w:color="auto"/>
              <w:right w:val="single" w:sz="8" w:space="0" w:color="auto"/>
            </w:tcBorders>
            <w:shd w:val="clear" w:color="000000" w:fill="F2DCDB"/>
            <w:noWrap/>
            <w:vAlign w:val="center"/>
            <w:hideMark/>
          </w:tcPr>
          <w:p w14:paraId="6ED3EEBB" w14:textId="77777777" w:rsidR="00E03650" w:rsidRPr="009C5ECD" w:rsidRDefault="00E03650" w:rsidP="00666827">
            <w:pPr>
              <w:jc w:val="center"/>
              <w:rPr>
                <w:color w:val="000000"/>
                <w:sz w:val="20"/>
                <w:szCs w:val="20"/>
              </w:rPr>
            </w:pPr>
            <w:r w:rsidRPr="009C5ECD">
              <w:rPr>
                <w:color w:val="000000"/>
                <w:sz w:val="20"/>
                <w:szCs w:val="20"/>
              </w:rPr>
              <w:t>100,852</w:t>
            </w:r>
          </w:p>
        </w:tc>
        <w:tc>
          <w:tcPr>
            <w:tcW w:w="0" w:type="auto"/>
            <w:tcBorders>
              <w:top w:val="nil"/>
              <w:left w:val="nil"/>
              <w:bottom w:val="single" w:sz="8" w:space="0" w:color="auto"/>
              <w:right w:val="single" w:sz="8" w:space="0" w:color="auto"/>
            </w:tcBorders>
            <w:shd w:val="clear" w:color="000000" w:fill="F2DCDB"/>
            <w:noWrap/>
            <w:vAlign w:val="center"/>
            <w:hideMark/>
          </w:tcPr>
          <w:p w14:paraId="537A6B8F" w14:textId="77777777" w:rsidR="00E03650" w:rsidRPr="009C5ECD" w:rsidRDefault="00E03650" w:rsidP="00666827">
            <w:pPr>
              <w:jc w:val="center"/>
              <w:rPr>
                <w:color w:val="000000"/>
                <w:sz w:val="20"/>
                <w:szCs w:val="20"/>
              </w:rPr>
            </w:pPr>
            <w:r w:rsidRPr="009C5ECD">
              <w:rPr>
                <w:color w:val="000000"/>
                <w:sz w:val="20"/>
                <w:szCs w:val="20"/>
              </w:rPr>
              <w:t>97,793</w:t>
            </w:r>
          </w:p>
        </w:tc>
        <w:tc>
          <w:tcPr>
            <w:tcW w:w="0" w:type="auto"/>
            <w:tcBorders>
              <w:top w:val="nil"/>
              <w:left w:val="nil"/>
              <w:bottom w:val="single" w:sz="8" w:space="0" w:color="auto"/>
              <w:right w:val="single" w:sz="8" w:space="0" w:color="auto"/>
            </w:tcBorders>
            <w:shd w:val="clear" w:color="000000" w:fill="F2DCDB"/>
            <w:noWrap/>
            <w:vAlign w:val="center"/>
            <w:hideMark/>
          </w:tcPr>
          <w:p w14:paraId="1A7D2119" w14:textId="77777777" w:rsidR="00E03650" w:rsidRPr="009C5ECD" w:rsidRDefault="00E03650" w:rsidP="00666827">
            <w:pPr>
              <w:jc w:val="center"/>
              <w:rPr>
                <w:color w:val="000000"/>
                <w:sz w:val="20"/>
                <w:szCs w:val="20"/>
              </w:rPr>
            </w:pPr>
            <w:r w:rsidRPr="009C5ECD">
              <w:rPr>
                <w:color w:val="000000"/>
                <w:sz w:val="20"/>
                <w:szCs w:val="20"/>
              </w:rPr>
              <w:t>97%</w:t>
            </w:r>
          </w:p>
        </w:tc>
        <w:tc>
          <w:tcPr>
            <w:tcW w:w="0" w:type="auto"/>
            <w:tcBorders>
              <w:top w:val="nil"/>
              <w:left w:val="nil"/>
              <w:bottom w:val="single" w:sz="8" w:space="0" w:color="auto"/>
              <w:right w:val="single" w:sz="8" w:space="0" w:color="auto"/>
            </w:tcBorders>
            <w:shd w:val="clear" w:color="000000" w:fill="D8E4BC"/>
            <w:noWrap/>
            <w:vAlign w:val="center"/>
            <w:hideMark/>
          </w:tcPr>
          <w:p w14:paraId="4D6B6EE2" w14:textId="77777777" w:rsidR="00E03650" w:rsidRPr="009C5ECD" w:rsidRDefault="00E03650" w:rsidP="00666827">
            <w:pPr>
              <w:jc w:val="center"/>
              <w:rPr>
                <w:color w:val="000000"/>
                <w:sz w:val="20"/>
                <w:szCs w:val="20"/>
              </w:rPr>
            </w:pPr>
            <w:r w:rsidRPr="009C5ECD">
              <w:rPr>
                <w:color w:val="000000"/>
                <w:sz w:val="20"/>
                <w:szCs w:val="20"/>
              </w:rPr>
              <w:t>24,384</w:t>
            </w:r>
          </w:p>
        </w:tc>
        <w:tc>
          <w:tcPr>
            <w:tcW w:w="0" w:type="auto"/>
            <w:tcBorders>
              <w:top w:val="nil"/>
              <w:left w:val="nil"/>
              <w:bottom w:val="single" w:sz="8" w:space="0" w:color="auto"/>
              <w:right w:val="single" w:sz="8" w:space="0" w:color="auto"/>
            </w:tcBorders>
            <w:shd w:val="clear" w:color="000000" w:fill="D8E4BC"/>
            <w:noWrap/>
            <w:vAlign w:val="center"/>
            <w:hideMark/>
          </w:tcPr>
          <w:p w14:paraId="2D89B3C9" w14:textId="77777777" w:rsidR="00E03650" w:rsidRPr="009C5ECD" w:rsidRDefault="00E03650" w:rsidP="00666827">
            <w:pPr>
              <w:jc w:val="center"/>
              <w:rPr>
                <w:color w:val="000000"/>
                <w:sz w:val="20"/>
                <w:szCs w:val="20"/>
              </w:rPr>
            </w:pPr>
            <w:r w:rsidRPr="009C5ECD">
              <w:rPr>
                <w:color w:val="000000"/>
                <w:sz w:val="20"/>
                <w:szCs w:val="20"/>
              </w:rPr>
              <w:t>0</w:t>
            </w:r>
          </w:p>
        </w:tc>
      </w:tr>
      <w:tr w:rsidR="001129C8" w:rsidRPr="009C5ECD" w14:paraId="147BE593"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9C4F91" w14:textId="77777777" w:rsidR="00E03650" w:rsidRPr="009C5ECD" w:rsidRDefault="00E03650" w:rsidP="00666827">
            <w:pPr>
              <w:jc w:val="center"/>
              <w:rPr>
                <w:color w:val="000000"/>
                <w:sz w:val="20"/>
                <w:szCs w:val="20"/>
              </w:rPr>
            </w:pPr>
            <w:r w:rsidRPr="009C5ECD">
              <w:rPr>
                <w:color w:val="000000"/>
                <w:sz w:val="20"/>
                <w:szCs w:val="20"/>
              </w:rPr>
              <w:t>Banded rudderfish</w:t>
            </w:r>
          </w:p>
        </w:tc>
        <w:tc>
          <w:tcPr>
            <w:tcW w:w="0" w:type="auto"/>
            <w:tcBorders>
              <w:top w:val="nil"/>
              <w:left w:val="nil"/>
              <w:bottom w:val="single" w:sz="8" w:space="0" w:color="auto"/>
              <w:right w:val="single" w:sz="8" w:space="0" w:color="auto"/>
            </w:tcBorders>
            <w:shd w:val="clear" w:color="000000" w:fill="B7DEE8"/>
            <w:noWrap/>
            <w:vAlign w:val="center"/>
            <w:hideMark/>
          </w:tcPr>
          <w:p w14:paraId="74A5591F" w14:textId="77777777" w:rsidR="00E03650" w:rsidRPr="009C5ECD" w:rsidRDefault="00E03650" w:rsidP="00666827">
            <w:pPr>
              <w:jc w:val="center"/>
              <w:rPr>
                <w:color w:val="000000"/>
                <w:sz w:val="20"/>
                <w:szCs w:val="20"/>
              </w:rPr>
            </w:pPr>
            <w:r w:rsidRPr="009C5ECD">
              <w:rPr>
                <w:color w:val="000000"/>
                <w:sz w:val="20"/>
                <w:szCs w:val="20"/>
              </w:rPr>
              <w:t>13,815</w:t>
            </w:r>
          </w:p>
        </w:tc>
        <w:tc>
          <w:tcPr>
            <w:tcW w:w="0" w:type="auto"/>
            <w:tcBorders>
              <w:top w:val="nil"/>
              <w:left w:val="nil"/>
              <w:bottom w:val="single" w:sz="8" w:space="0" w:color="auto"/>
              <w:right w:val="single" w:sz="8" w:space="0" w:color="auto"/>
            </w:tcBorders>
            <w:shd w:val="clear" w:color="000000" w:fill="B7DEE8"/>
            <w:noWrap/>
            <w:vAlign w:val="center"/>
            <w:hideMark/>
          </w:tcPr>
          <w:p w14:paraId="0658E63D" w14:textId="77777777" w:rsidR="00E03650" w:rsidRPr="009C5ECD" w:rsidRDefault="00E03650" w:rsidP="00666827">
            <w:pPr>
              <w:jc w:val="center"/>
              <w:rPr>
                <w:color w:val="000000"/>
                <w:sz w:val="20"/>
                <w:szCs w:val="20"/>
              </w:rPr>
            </w:pPr>
            <w:r w:rsidRPr="009C5ECD">
              <w:rPr>
                <w:color w:val="000000"/>
                <w:sz w:val="20"/>
                <w:szCs w:val="20"/>
              </w:rPr>
              <w:t>2,594</w:t>
            </w:r>
          </w:p>
        </w:tc>
        <w:tc>
          <w:tcPr>
            <w:tcW w:w="0" w:type="auto"/>
            <w:tcBorders>
              <w:top w:val="nil"/>
              <w:left w:val="nil"/>
              <w:bottom w:val="single" w:sz="8" w:space="0" w:color="auto"/>
              <w:right w:val="single" w:sz="8" w:space="0" w:color="auto"/>
            </w:tcBorders>
            <w:shd w:val="clear" w:color="000000" w:fill="B7DEE8"/>
            <w:noWrap/>
            <w:vAlign w:val="center"/>
            <w:hideMark/>
          </w:tcPr>
          <w:p w14:paraId="1B855BE6" w14:textId="77777777" w:rsidR="00E03650" w:rsidRPr="009C5ECD" w:rsidRDefault="00E03650" w:rsidP="00666827">
            <w:pPr>
              <w:jc w:val="center"/>
              <w:rPr>
                <w:color w:val="000000"/>
                <w:sz w:val="20"/>
                <w:szCs w:val="20"/>
              </w:rPr>
            </w:pPr>
            <w:r w:rsidRPr="009C5ECD">
              <w:rPr>
                <w:color w:val="000000"/>
                <w:sz w:val="20"/>
                <w:szCs w:val="20"/>
              </w:rPr>
              <w:t>19%</w:t>
            </w:r>
          </w:p>
        </w:tc>
        <w:tc>
          <w:tcPr>
            <w:tcW w:w="0" w:type="auto"/>
            <w:tcBorders>
              <w:top w:val="nil"/>
              <w:left w:val="nil"/>
              <w:bottom w:val="single" w:sz="8" w:space="0" w:color="auto"/>
              <w:right w:val="single" w:sz="8" w:space="0" w:color="auto"/>
            </w:tcBorders>
            <w:shd w:val="clear" w:color="000000" w:fill="C5D9F1"/>
            <w:noWrap/>
            <w:vAlign w:val="center"/>
            <w:hideMark/>
          </w:tcPr>
          <w:p w14:paraId="662340B2" w14:textId="77777777" w:rsidR="00E03650" w:rsidRPr="009C5ECD" w:rsidRDefault="00E03650" w:rsidP="00666827">
            <w:pPr>
              <w:jc w:val="center"/>
              <w:rPr>
                <w:color w:val="000000"/>
                <w:sz w:val="20"/>
                <w:szCs w:val="20"/>
              </w:rPr>
            </w:pPr>
            <w:r w:rsidRPr="009C5ECD">
              <w:rPr>
                <w:color w:val="000000"/>
                <w:sz w:val="20"/>
                <w:szCs w:val="20"/>
              </w:rPr>
              <w:t>4,562</w:t>
            </w:r>
          </w:p>
        </w:tc>
        <w:tc>
          <w:tcPr>
            <w:tcW w:w="0" w:type="auto"/>
            <w:tcBorders>
              <w:top w:val="nil"/>
              <w:left w:val="nil"/>
              <w:bottom w:val="single" w:sz="8" w:space="0" w:color="auto"/>
              <w:right w:val="single" w:sz="8" w:space="0" w:color="auto"/>
            </w:tcBorders>
            <w:shd w:val="clear" w:color="000000" w:fill="C5D9F1"/>
            <w:noWrap/>
            <w:vAlign w:val="center"/>
            <w:hideMark/>
          </w:tcPr>
          <w:p w14:paraId="7175EB11" w14:textId="77777777" w:rsidR="00E03650" w:rsidRPr="009C5ECD" w:rsidRDefault="00E03650" w:rsidP="00666827">
            <w:pPr>
              <w:jc w:val="center"/>
              <w:rPr>
                <w:color w:val="000000"/>
                <w:sz w:val="20"/>
                <w:szCs w:val="20"/>
              </w:rPr>
            </w:pPr>
            <w:r w:rsidRPr="009C5ECD">
              <w:rPr>
                <w:color w:val="000000"/>
                <w:sz w:val="20"/>
                <w:szCs w:val="20"/>
              </w:rPr>
              <w:t>2,010</w:t>
            </w:r>
          </w:p>
        </w:tc>
        <w:tc>
          <w:tcPr>
            <w:tcW w:w="0" w:type="auto"/>
            <w:tcBorders>
              <w:top w:val="nil"/>
              <w:left w:val="nil"/>
              <w:bottom w:val="single" w:sz="8" w:space="0" w:color="auto"/>
              <w:right w:val="single" w:sz="8" w:space="0" w:color="auto"/>
            </w:tcBorders>
            <w:shd w:val="clear" w:color="000000" w:fill="C5D9F1"/>
            <w:noWrap/>
            <w:vAlign w:val="center"/>
            <w:hideMark/>
          </w:tcPr>
          <w:p w14:paraId="53C7D56C" w14:textId="77777777" w:rsidR="00E03650" w:rsidRPr="009C5ECD" w:rsidRDefault="00E03650" w:rsidP="00666827">
            <w:pPr>
              <w:jc w:val="center"/>
              <w:rPr>
                <w:color w:val="000000"/>
                <w:sz w:val="20"/>
                <w:szCs w:val="20"/>
              </w:rPr>
            </w:pPr>
            <w:r w:rsidRPr="009C5ECD">
              <w:rPr>
                <w:color w:val="000000"/>
                <w:sz w:val="20"/>
                <w:szCs w:val="20"/>
              </w:rPr>
              <w:t>44%</w:t>
            </w:r>
          </w:p>
        </w:tc>
        <w:tc>
          <w:tcPr>
            <w:tcW w:w="0" w:type="auto"/>
            <w:tcBorders>
              <w:top w:val="nil"/>
              <w:left w:val="nil"/>
              <w:bottom w:val="single" w:sz="8" w:space="0" w:color="auto"/>
              <w:right w:val="single" w:sz="8" w:space="0" w:color="auto"/>
            </w:tcBorders>
            <w:shd w:val="clear" w:color="000000" w:fill="F2DCDB"/>
            <w:noWrap/>
            <w:vAlign w:val="center"/>
            <w:hideMark/>
          </w:tcPr>
          <w:p w14:paraId="34537FF4" w14:textId="77777777" w:rsidR="00E03650" w:rsidRPr="009C5ECD" w:rsidRDefault="00E03650" w:rsidP="00666827">
            <w:pPr>
              <w:jc w:val="center"/>
              <w:rPr>
                <w:color w:val="000000"/>
                <w:sz w:val="20"/>
                <w:szCs w:val="20"/>
              </w:rPr>
            </w:pPr>
            <w:r w:rsidRPr="009C5ECD">
              <w:rPr>
                <w:color w:val="000000"/>
                <w:sz w:val="20"/>
                <w:szCs w:val="20"/>
              </w:rPr>
              <w:t>6,792</w:t>
            </w:r>
          </w:p>
        </w:tc>
        <w:tc>
          <w:tcPr>
            <w:tcW w:w="0" w:type="auto"/>
            <w:tcBorders>
              <w:top w:val="nil"/>
              <w:left w:val="nil"/>
              <w:bottom w:val="single" w:sz="8" w:space="0" w:color="auto"/>
              <w:right w:val="single" w:sz="8" w:space="0" w:color="auto"/>
            </w:tcBorders>
            <w:shd w:val="clear" w:color="000000" w:fill="F2DCDB"/>
            <w:noWrap/>
            <w:vAlign w:val="center"/>
            <w:hideMark/>
          </w:tcPr>
          <w:p w14:paraId="026086D1" w14:textId="77777777" w:rsidR="00E03650" w:rsidRPr="009C5ECD" w:rsidRDefault="00E03650" w:rsidP="00666827">
            <w:pPr>
              <w:jc w:val="center"/>
              <w:rPr>
                <w:color w:val="000000"/>
                <w:sz w:val="20"/>
                <w:szCs w:val="20"/>
              </w:rPr>
            </w:pPr>
            <w:r w:rsidRPr="009C5ECD">
              <w:rPr>
                <w:color w:val="000000"/>
                <w:sz w:val="20"/>
                <w:szCs w:val="20"/>
              </w:rPr>
              <w:t>7,124</w:t>
            </w:r>
          </w:p>
        </w:tc>
        <w:tc>
          <w:tcPr>
            <w:tcW w:w="0" w:type="auto"/>
            <w:tcBorders>
              <w:top w:val="nil"/>
              <w:left w:val="nil"/>
              <w:bottom w:val="single" w:sz="8" w:space="0" w:color="auto"/>
              <w:right w:val="single" w:sz="8" w:space="0" w:color="auto"/>
            </w:tcBorders>
            <w:shd w:val="clear" w:color="000000" w:fill="F2DCDB"/>
            <w:noWrap/>
            <w:vAlign w:val="center"/>
            <w:hideMark/>
          </w:tcPr>
          <w:p w14:paraId="4C20A4DD" w14:textId="77777777" w:rsidR="00E03650" w:rsidRPr="009C5ECD" w:rsidRDefault="00E03650" w:rsidP="00666827">
            <w:pPr>
              <w:jc w:val="center"/>
              <w:rPr>
                <w:color w:val="000000"/>
                <w:sz w:val="20"/>
                <w:szCs w:val="20"/>
              </w:rPr>
            </w:pPr>
            <w:r w:rsidRPr="009C5ECD">
              <w:rPr>
                <w:color w:val="000000"/>
                <w:sz w:val="20"/>
                <w:szCs w:val="20"/>
              </w:rPr>
              <w:t>105%</w:t>
            </w:r>
          </w:p>
        </w:tc>
        <w:tc>
          <w:tcPr>
            <w:tcW w:w="0" w:type="auto"/>
            <w:tcBorders>
              <w:top w:val="nil"/>
              <w:left w:val="nil"/>
              <w:bottom w:val="single" w:sz="8" w:space="0" w:color="auto"/>
              <w:right w:val="single" w:sz="8" w:space="0" w:color="auto"/>
            </w:tcBorders>
            <w:shd w:val="clear" w:color="000000" w:fill="D8E4BC"/>
            <w:noWrap/>
            <w:vAlign w:val="center"/>
            <w:hideMark/>
          </w:tcPr>
          <w:p w14:paraId="1B61A12F" w14:textId="77777777" w:rsidR="00E03650" w:rsidRPr="009C5ECD" w:rsidRDefault="00E03650" w:rsidP="00666827">
            <w:pPr>
              <w:jc w:val="center"/>
              <w:rPr>
                <w:color w:val="000000"/>
                <w:sz w:val="20"/>
                <w:szCs w:val="20"/>
              </w:rPr>
            </w:pPr>
            <w:r w:rsidRPr="009C5ECD">
              <w:rPr>
                <w:color w:val="000000"/>
                <w:sz w:val="20"/>
                <w:szCs w:val="20"/>
              </w:rPr>
              <w:t>71,767</w:t>
            </w:r>
          </w:p>
        </w:tc>
        <w:tc>
          <w:tcPr>
            <w:tcW w:w="0" w:type="auto"/>
            <w:tcBorders>
              <w:top w:val="nil"/>
              <w:left w:val="nil"/>
              <w:bottom w:val="single" w:sz="8" w:space="0" w:color="auto"/>
              <w:right w:val="single" w:sz="8" w:space="0" w:color="auto"/>
            </w:tcBorders>
            <w:shd w:val="clear" w:color="000000" w:fill="D8E4BC"/>
            <w:noWrap/>
            <w:vAlign w:val="center"/>
            <w:hideMark/>
          </w:tcPr>
          <w:p w14:paraId="0B714BF6" w14:textId="77777777" w:rsidR="00E03650" w:rsidRPr="009C5ECD" w:rsidRDefault="00E03650" w:rsidP="00666827">
            <w:pPr>
              <w:jc w:val="center"/>
              <w:rPr>
                <w:color w:val="000000"/>
                <w:sz w:val="20"/>
                <w:szCs w:val="20"/>
              </w:rPr>
            </w:pPr>
            <w:r w:rsidRPr="009C5ECD">
              <w:rPr>
                <w:color w:val="000000"/>
                <w:sz w:val="20"/>
                <w:szCs w:val="20"/>
              </w:rPr>
              <w:t>105</w:t>
            </w:r>
          </w:p>
        </w:tc>
      </w:tr>
      <w:tr w:rsidR="001129C8" w:rsidRPr="009C5ECD" w14:paraId="437A99BB"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022FDA2" w14:textId="77777777" w:rsidR="00E03650" w:rsidRPr="009C5ECD" w:rsidRDefault="00E03650" w:rsidP="00666827">
            <w:pPr>
              <w:jc w:val="center"/>
              <w:rPr>
                <w:color w:val="000000"/>
                <w:sz w:val="20"/>
                <w:szCs w:val="20"/>
              </w:rPr>
            </w:pPr>
            <w:r w:rsidRPr="009C5ECD">
              <w:rPr>
                <w:color w:val="000000"/>
                <w:sz w:val="20"/>
                <w:szCs w:val="20"/>
              </w:rPr>
              <w:t>Bar jack</w:t>
            </w:r>
          </w:p>
        </w:tc>
        <w:tc>
          <w:tcPr>
            <w:tcW w:w="0" w:type="auto"/>
            <w:tcBorders>
              <w:top w:val="nil"/>
              <w:left w:val="nil"/>
              <w:bottom w:val="single" w:sz="8" w:space="0" w:color="auto"/>
              <w:right w:val="single" w:sz="8" w:space="0" w:color="auto"/>
            </w:tcBorders>
            <w:shd w:val="clear" w:color="000000" w:fill="B7DEE8"/>
            <w:noWrap/>
            <w:vAlign w:val="center"/>
            <w:hideMark/>
          </w:tcPr>
          <w:p w14:paraId="096929C3" w14:textId="77777777" w:rsidR="00E03650" w:rsidRPr="009C5ECD" w:rsidRDefault="00E03650" w:rsidP="00666827">
            <w:pPr>
              <w:jc w:val="center"/>
              <w:rPr>
                <w:color w:val="000000"/>
                <w:sz w:val="20"/>
                <w:szCs w:val="20"/>
              </w:rPr>
            </w:pPr>
            <w:r w:rsidRPr="009C5ECD">
              <w:rPr>
                <w:color w:val="000000"/>
                <w:sz w:val="20"/>
                <w:szCs w:val="20"/>
              </w:rPr>
              <w:t>532</w:t>
            </w:r>
          </w:p>
        </w:tc>
        <w:tc>
          <w:tcPr>
            <w:tcW w:w="0" w:type="auto"/>
            <w:tcBorders>
              <w:top w:val="nil"/>
              <w:left w:val="nil"/>
              <w:bottom w:val="single" w:sz="8" w:space="0" w:color="auto"/>
              <w:right w:val="single" w:sz="8" w:space="0" w:color="auto"/>
            </w:tcBorders>
            <w:shd w:val="clear" w:color="000000" w:fill="B7DEE8"/>
            <w:noWrap/>
            <w:vAlign w:val="center"/>
            <w:hideMark/>
          </w:tcPr>
          <w:p w14:paraId="2273E5B3" w14:textId="77777777" w:rsidR="00E03650" w:rsidRPr="009C5ECD" w:rsidRDefault="00E03650" w:rsidP="00666827">
            <w:pPr>
              <w:jc w:val="center"/>
              <w:rPr>
                <w:color w:val="000000"/>
                <w:sz w:val="20"/>
                <w:szCs w:val="20"/>
              </w:rPr>
            </w:pPr>
            <w:r w:rsidRPr="009C5ECD">
              <w:rPr>
                <w:color w:val="000000"/>
                <w:sz w:val="20"/>
                <w:szCs w:val="20"/>
              </w:rPr>
              <w:t>66</w:t>
            </w:r>
          </w:p>
        </w:tc>
        <w:tc>
          <w:tcPr>
            <w:tcW w:w="0" w:type="auto"/>
            <w:tcBorders>
              <w:top w:val="nil"/>
              <w:left w:val="nil"/>
              <w:bottom w:val="single" w:sz="8" w:space="0" w:color="auto"/>
              <w:right w:val="single" w:sz="8" w:space="0" w:color="auto"/>
            </w:tcBorders>
            <w:shd w:val="clear" w:color="000000" w:fill="B7DEE8"/>
            <w:noWrap/>
            <w:vAlign w:val="center"/>
            <w:hideMark/>
          </w:tcPr>
          <w:p w14:paraId="533FBEEC" w14:textId="77777777" w:rsidR="00E03650" w:rsidRPr="009C5ECD" w:rsidRDefault="00E03650" w:rsidP="00666827">
            <w:pPr>
              <w:jc w:val="center"/>
              <w:rPr>
                <w:color w:val="000000"/>
                <w:sz w:val="20"/>
                <w:szCs w:val="20"/>
              </w:rPr>
            </w:pPr>
            <w:r w:rsidRPr="009C5ECD">
              <w:rPr>
                <w:color w:val="000000"/>
                <w:sz w:val="20"/>
                <w:szCs w:val="20"/>
              </w:rPr>
              <w:t>12%</w:t>
            </w:r>
          </w:p>
        </w:tc>
        <w:tc>
          <w:tcPr>
            <w:tcW w:w="0" w:type="auto"/>
            <w:tcBorders>
              <w:top w:val="nil"/>
              <w:left w:val="nil"/>
              <w:bottom w:val="single" w:sz="8" w:space="0" w:color="auto"/>
              <w:right w:val="single" w:sz="8" w:space="0" w:color="auto"/>
            </w:tcBorders>
            <w:shd w:val="clear" w:color="000000" w:fill="C5D9F1"/>
            <w:noWrap/>
            <w:vAlign w:val="center"/>
            <w:hideMark/>
          </w:tcPr>
          <w:p w14:paraId="4F8C34BB" w14:textId="77777777" w:rsidR="00E03650" w:rsidRPr="009C5ECD" w:rsidRDefault="00E03650" w:rsidP="00666827">
            <w:pPr>
              <w:jc w:val="center"/>
              <w:rPr>
                <w:color w:val="000000"/>
                <w:sz w:val="20"/>
                <w:szCs w:val="20"/>
              </w:rPr>
            </w:pPr>
            <w:r w:rsidRPr="009C5ECD">
              <w:rPr>
                <w:color w:val="000000"/>
                <w:sz w:val="20"/>
                <w:szCs w:val="20"/>
              </w:rPr>
              <w:t>118</w:t>
            </w:r>
          </w:p>
        </w:tc>
        <w:tc>
          <w:tcPr>
            <w:tcW w:w="0" w:type="auto"/>
            <w:tcBorders>
              <w:top w:val="nil"/>
              <w:left w:val="nil"/>
              <w:bottom w:val="single" w:sz="8" w:space="0" w:color="auto"/>
              <w:right w:val="single" w:sz="8" w:space="0" w:color="auto"/>
            </w:tcBorders>
            <w:shd w:val="clear" w:color="000000" w:fill="C5D9F1"/>
            <w:noWrap/>
            <w:vAlign w:val="center"/>
            <w:hideMark/>
          </w:tcPr>
          <w:p w14:paraId="50CFD155" w14:textId="77777777" w:rsidR="00E03650" w:rsidRPr="009C5ECD" w:rsidRDefault="00E03650" w:rsidP="00666827">
            <w:pPr>
              <w:jc w:val="center"/>
              <w:rPr>
                <w:color w:val="000000"/>
                <w:sz w:val="20"/>
                <w:szCs w:val="20"/>
              </w:rPr>
            </w:pPr>
            <w:r w:rsidRPr="009C5ECD">
              <w:rPr>
                <w:color w:val="000000"/>
                <w:sz w:val="20"/>
                <w:szCs w:val="20"/>
              </w:rPr>
              <w:t>150</w:t>
            </w:r>
          </w:p>
        </w:tc>
        <w:tc>
          <w:tcPr>
            <w:tcW w:w="0" w:type="auto"/>
            <w:tcBorders>
              <w:top w:val="nil"/>
              <w:left w:val="nil"/>
              <w:bottom w:val="single" w:sz="8" w:space="0" w:color="auto"/>
              <w:right w:val="single" w:sz="8" w:space="0" w:color="auto"/>
            </w:tcBorders>
            <w:shd w:val="clear" w:color="000000" w:fill="C5D9F1"/>
            <w:noWrap/>
            <w:vAlign w:val="center"/>
            <w:hideMark/>
          </w:tcPr>
          <w:p w14:paraId="4F9E9D31" w14:textId="77777777" w:rsidR="00E03650" w:rsidRPr="009C5ECD" w:rsidRDefault="00E03650" w:rsidP="00666827">
            <w:pPr>
              <w:jc w:val="center"/>
              <w:rPr>
                <w:color w:val="000000"/>
                <w:sz w:val="20"/>
                <w:szCs w:val="20"/>
              </w:rPr>
            </w:pPr>
            <w:r w:rsidRPr="009C5ECD">
              <w:rPr>
                <w:color w:val="000000"/>
                <w:sz w:val="20"/>
                <w:szCs w:val="20"/>
              </w:rPr>
              <w:t>127%</w:t>
            </w:r>
          </w:p>
        </w:tc>
        <w:tc>
          <w:tcPr>
            <w:tcW w:w="0" w:type="auto"/>
            <w:tcBorders>
              <w:top w:val="nil"/>
              <w:left w:val="nil"/>
              <w:bottom w:val="single" w:sz="8" w:space="0" w:color="auto"/>
              <w:right w:val="single" w:sz="8" w:space="0" w:color="auto"/>
            </w:tcBorders>
            <w:shd w:val="clear" w:color="000000" w:fill="F2DCDB"/>
            <w:noWrap/>
            <w:vAlign w:val="center"/>
            <w:hideMark/>
          </w:tcPr>
          <w:p w14:paraId="13014F8C" w14:textId="77777777" w:rsidR="00E03650" w:rsidRPr="009C5ECD" w:rsidRDefault="00E03650" w:rsidP="00666827">
            <w:pPr>
              <w:jc w:val="center"/>
              <w:rPr>
                <w:color w:val="000000"/>
                <w:sz w:val="20"/>
                <w:szCs w:val="20"/>
              </w:rPr>
            </w:pPr>
            <w:r w:rsidRPr="009C5ECD">
              <w:rPr>
                <w:color w:val="000000"/>
                <w:sz w:val="20"/>
                <w:szCs w:val="20"/>
              </w:rPr>
              <w:t>2,649</w:t>
            </w:r>
          </w:p>
        </w:tc>
        <w:tc>
          <w:tcPr>
            <w:tcW w:w="0" w:type="auto"/>
            <w:tcBorders>
              <w:top w:val="nil"/>
              <w:left w:val="nil"/>
              <w:bottom w:val="single" w:sz="8" w:space="0" w:color="auto"/>
              <w:right w:val="single" w:sz="8" w:space="0" w:color="auto"/>
            </w:tcBorders>
            <w:shd w:val="clear" w:color="000000" w:fill="F2DCDB"/>
            <w:noWrap/>
            <w:vAlign w:val="center"/>
            <w:hideMark/>
          </w:tcPr>
          <w:p w14:paraId="3455732B" w14:textId="77777777" w:rsidR="00E03650" w:rsidRPr="009C5ECD" w:rsidRDefault="00E03650" w:rsidP="00666827">
            <w:pPr>
              <w:jc w:val="center"/>
              <w:rPr>
                <w:color w:val="000000"/>
                <w:sz w:val="20"/>
                <w:szCs w:val="20"/>
              </w:rPr>
            </w:pPr>
            <w:r w:rsidRPr="009C5ECD">
              <w:rPr>
                <w:color w:val="000000"/>
                <w:sz w:val="20"/>
                <w:szCs w:val="20"/>
              </w:rPr>
              <w:t>10,245</w:t>
            </w:r>
          </w:p>
        </w:tc>
        <w:tc>
          <w:tcPr>
            <w:tcW w:w="0" w:type="auto"/>
            <w:tcBorders>
              <w:top w:val="nil"/>
              <w:left w:val="nil"/>
              <w:bottom w:val="single" w:sz="8" w:space="0" w:color="auto"/>
              <w:right w:val="single" w:sz="8" w:space="0" w:color="auto"/>
            </w:tcBorders>
            <w:shd w:val="clear" w:color="000000" w:fill="F2DCDB"/>
            <w:noWrap/>
            <w:vAlign w:val="center"/>
            <w:hideMark/>
          </w:tcPr>
          <w:p w14:paraId="4D301322" w14:textId="77777777" w:rsidR="00E03650" w:rsidRPr="009C5ECD" w:rsidRDefault="00E03650" w:rsidP="00666827">
            <w:pPr>
              <w:jc w:val="center"/>
              <w:rPr>
                <w:color w:val="000000"/>
                <w:sz w:val="20"/>
                <w:szCs w:val="20"/>
              </w:rPr>
            </w:pPr>
            <w:r w:rsidRPr="009C5ECD">
              <w:rPr>
                <w:color w:val="000000"/>
                <w:sz w:val="20"/>
                <w:szCs w:val="20"/>
              </w:rPr>
              <w:t>387%</w:t>
            </w:r>
          </w:p>
        </w:tc>
        <w:tc>
          <w:tcPr>
            <w:tcW w:w="0" w:type="auto"/>
            <w:tcBorders>
              <w:top w:val="nil"/>
              <w:left w:val="nil"/>
              <w:bottom w:val="single" w:sz="8" w:space="0" w:color="auto"/>
              <w:right w:val="single" w:sz="8" w:space="0" w:color="auto"/>
            </w:tcBorders>
            <w:shd w:val="clear" w:color="000000" w:fill="D8E4BC"/>
            <w:noWrap/>
            <w:vAlign w:val="center"/>
            <w:hideMark/>
          </w:tcPr>
          <w:p w14:paraId="485AE960" w14:textId="77777777" w:rsidR="00E03650" w:rsidRPr="009C5ECD" w:rsidRDefault="00E03650" w:rsidP="00666827">
            <w:pPr>
              <w:jc w:val="center"/>
              <w:rPr>
                <w:color w:val="000000"/>
                <w:sz w:val="20"/>
                <w:szCs w:val="20"/>
              </w:rPr>
            </w:pPr>
            <w:r w:rsidRPr="009C5ECD">
              <w:rPr>
                <w:color w:val="000000"/>
                <w:sz w:val="20"/>
                <w:szCs w:val="20"/>
              </w:rPr>
              <w:t>4,347</w:t>
            </w:r>
          </w:p>
        </w:tc>
        <w:tc>
          <w:tcPr>
            <w:tcW w:w="0" w:type="auto"/>
            <w:tcBorders>
              <w:top w:val="nil"/>
              <w:left w:val="nil"/>
              <w:bottom w:val="single" w:sz="8" w:space="0" w:color="auto"/>
              <w:right w:val="single" w:sz="8" w:space="0" w:color="auto"/>
            </w:tcBorders>
            <w:shd w:val="clear" w:color="000000" w:fill="D8E4BC"/>
            <w:noWrap/>
            <w:vAlign w:val="center"/>
            <w:hideMark/>
          </w:tcPr>
          <w:p w14:paraId="62B7E289" w14:textId="77777777" w:rsidR="00E03650" w:rsidRPr="009C5ECD" w:rsidRDefault="00E03650" w:rsidP="00666827">
            <w:pPr>
              <w:jc w:val="center"/>
              <w:rPr>
                <w:color w:val="000000"/>
                <w:sz w:val="20"/>
                <w:szCs w:val="20"/>
              </w:rPr>
            </w:pPr>
            <w:r w:rsidRPr="009C5ECD">
              <w:rPr>
                <w:color w:val="000000"/>
                <w:sz w:val="20"/>
                <w:szCs w:val="20"/>
              </w:rPr>
              <w:t>14</w:t>
            </w:r>
          </w:p>
        </w:tc>
      </w:tr>
      <w:tr w:rsidR="001129C8" w:rsidRPr="009C5ECD" w14:paraId="6D36EBDD"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686D5B" w14:textId="77777777" w:rsidR="00E03650" w:rsidRPr="009C5ECD" w:rsidRDefault="00E03650" w:rsidP="00666827">
            <w:pPr>
              <w:jc w:val="center"/>
              <w:rPr>
                <w:color w:val="000000"/>
                <w:sz w:val="20"/>
                <w:szCs w:val="20"/>
              </w:rPr>
            </w:pPr>
            <w:r w:rsidRPr="009C5ECD">
              <w:rPr>
                <w:color w:val="000000"/>
                <w:sz w:val="20"/>
                <w:szCs w:val="20"/>
              </w:rPr>
              <w:t>Black grouper</w:t>
            </w:r>
          </w:p>
        </w:tc>
        <w:tc>
          <w:tcPr>
            <w:tcW w:w="0" w:type="auto"/>
            <w:tcBorders>
              <w:top w:val="nil"/>
              <w:left w:val="nil"/>
              <w:bottom w:val="single" w:sz="8" w:space="0" w:color="auto"/>
              <w:right w:val="single" w:sz="8" w:space="0" w:color="auto"/>
            </w:tcBorders>
            <w:shd w:val="clear" w:color="000000" w:fill="B7DEE8"/>
            <w:noWrap/>
            <w:vAlign w:val="center"/>
            <w:hideMark/>
          </w:tcPr>
          <w:p w14:paraId="2E380E68" w14:textId="77777777" w:rsidR="00E03650" w:rsidRPr="009C5ECD" w:rsidRDefault="00E03650" w:rsidP="00666827">
            <w:pPr>
              <w:jc w:val="center"/>
              <w:rPr>
                <w:color w:val="000000"/>
                <w:sz w:val="20"/>
                <w:szCs w:val="20"/>
              </w:rPr>
            </w:pPr>
            <w:r w:rsidRPr="009C5ECD">
              <w:rPr>
                <w:color w:val="000000"/>
                <w:sz w:val="20"/>
                <w:szCs w:val="20"/>
              </w:rPr>
              <w:t>410</w:t>
            </w:r>
          </w:p>
        </w:tc>
        <w:tc>
          <w:tcPr>
            <w:tcW w:w="0" w:type="auto"/>
            <w:tcBorders>
              <w:top w:val="nil"/>
              <w:left w:val="nil"/>
              <w:bottom w:val="single" w:sz="8" w:space="0" w:color="auto"/>
              <w:right w:val="single" w:sz="8" w:space="0" w:color="auto"/>
            </w:tcBorders>
            <w:shd w:val="clear" w:color="000000" w:fill="B7DEE8"/>
            <w:noWrap/>
            <w:vAlign w:val="center"/>
            <w:hideMark/>
          </w:tcPr>
          <w:p w14:paraId="378D7729" w14:textId="77777777" w:rsidR="00E03650" w:rsidRPr="009C5ECD" w:rsidRDefault="00E03650" w:rsidP="00666827">
            <w:pPr>
              <w:jc w:val="center"/>
              <w:rPr>
                <w:color w:val="000000"/>
                <w:sz w:val="20"/>
                <w:szCs w:val="20"/>
              </w:rPr>
            </w:pPr>
            <w:r w:rsidRPr="009C5ECD">
              <w:rPr>
                <w:color w:val="000000"/>
                <w:sz w:val="20"/>
                <w:szCs w:val="20"/>
              </w:rPr>
              <w:t>1,243</w:t>
            </w:r>
          </w:p>
        </w:tc>
        <w:tc>
          <w:tcPr>
            <w:tcW w:w="0" w:type="auto"/>
            <w:tcBorders>
              <w:top w:val="nil"/>
              <w:left w:val="nil"/>
              <w:bottom w:val="single" w:sz="8" w:space="0" w:color="auto"/>
              <w:right w:val="single" w:sz="8" w:space="0" w:color="auto"/>
            </w:tcBorders>
            <w:shd w:val="clear" w:color="000000" w:fill="B7DEE8"/>
            <w:noWrap/>
            <w:vAlign w:val="center"/>
            <w:hideMark/>
          </w:tcPr>
          <w:p w14:paraId="49212F65" w14:textId="77777777" w:rsidR="00E03650" w:rsidRPr="009C5ECD" w:rsidRDefault="00E03650" w:rsidP="00666827">
            <w:pPr>
              <w:jc w:val="center"/>
              <w:rPr>
                <w:color w:val="000000"/>
                <w:sz w:val="20"/>
                <w:szCs w:val="20"/>
              </w:rPr>
            </w:pPr>
            <w:r w:rsidRPr="009C5ECD">
              <w:rPr>
                <w:color w:val="000000"/>
                <w:sz w:val="20"/>
                <w:szCs w:val="20"/>
              </w:rPr>
              <w:t>303%</w:t>
            </w:r>
          </w:p>
        </w:tc>
        <w:tc>
          <w:tcPr>
            <w:tcW w:w="0" w:type="auto"/>
            <w:tcBorders>
              <w:top w:val="nil"/>
              <w:left w:val="nil"/>
              <w:bottom w:val="single" w:sz="8" w:space="0" w:color="auto"/>
              <w:right w:val="single" w:sz="8" w:space="0" w:color="auto"/>
            </w:tcBorders>
            <w:shd w:val="clear" w:color="000000" w:fill="C5D9F1"/>
            <w:noWrap/>
            <w:vAlign w:val="center"/>
            <w:hideMark/>
          </w:tcPr>
          <w:p w14:paraId="192404D2" w14:textId="77777777" w:rsidR="00E03650" w:rsidRPr="009C5ECD" w:rsidRDefault="00E03650" w:rsidP="00666827">
            <w:pPr>
              <w:jc w:val="center"/>
              <w:rPr>
                <w:color w:val="000000"/>
                <w:sz w:val="20"/>
                <w:szCs w:val="20"/>
              </w:rPr>
            </w:pPr>
            <w:r w:rsidRPr="009C5ECD">
              <w:rPr>
                <w:color w:val="000000"/>
                <w:sz w:val="20"/>
                <w:szCs w:val="20"/>
              </w:rPr>
              <w:t>1,680</w:t>
            </w:r>
          </w:p>
        </w:tc>
        <w:tc>
          <w:tcPr>
            <w:tcW w:w="0" w:type="auto"/>
            <w:tcBorders>
              <w:top w:val="nil"/>
              <w:left w:val="nil"/>
              <w:bottom w:val="single" w:sz="8" w:space="0" w:color="auto"/>
              <w:right w:val="single" w:sz="8" w:space="0" w:color="auto"/>
            </w:tcBorders>
            <w:shd w:val="clear" w:color="000000" w:fill="C5D9F1"/>
            <w:noWrap/>
            <w:vAlign w:val="center"/>
            <w:hideMark/>
          </w:tcPr>
          <w:p w14:paraId="15D99893" w14:textId="77777777" w:rsidR="00E03650" w:rsidRPr="009C5ECD" w:rsidRDefault="00E03650" w:rsidP="00666827">
            <w:pPr>
              <w:jc w:val="center"/>
              <w:rPr>
                <w:color w:val="000000"/>
                <w:sz w:val="20"/>
                <w:szCs w:val="20"/>
              </w:rPr>
            </w:pPr>
            <w:r w:rsidRPr="009C5ECD">
              <w:rPr>
                <w:color w:val="000000"/>
                <w:sz w:val="20"/>
                <w:szCs w:val="20"/>
              </w:rPr>
              <w:t>8,367</w:t>
            </w:r>
          </w:p>
        </w:tc>
        <w:tc>
          <w:tcPr>
            <w:tcW w:w="0" w:type="auto"/>
            <w:tcBorders>
              <w:top w:val="nil"/>
              <w:left w:val="nil"/>
              <w:bottom w:val="single" w:sz="8" w:space="0" w:color="auto"/>
              <w:right w:val="single" w:sz="8" w:space="0" w:color="auto"/>
            </w:tcBorders>
            <w:shd w:val="clear" w:color="000000" w:fill="C5D9F1"/>
            <w:noWrap/>
            <w:vAlign w:val="center"/>
            <w:hideMark/>
          </w:tcPr>
          <w:p w14:paraId="57BF004A" w14:textId="77777777" w:rsidR="00E03650" w:rsidRPr="009C5ECD" w:rsidRDefault="00E03650" w:rsidP="00666827">
            <w:pPr>
              <w:jc w:val="center"/>
              <w:rPr>
                <w:color w:val="000000"/>
                <w:sz w:val="20"/>
                <w:szCs w:val="20"/>
              </w:rPr>
            </w:pPr>
            <w:r w:rsidRPr="009C5ECD">
              <w:rPr>
                <w:color w:val="000000"/>
                <w:sz w:val="20"/>
                <w:szCs w:val="20"/>
              </w:rPr>
              <w:t>498%</w:t>
            </w:r>
          </w:p>
        </w:tc>
        <w:tc>
          <w:tcPr>
            <w:tcW w:w="0" w:type="auto"/>
            <w:tcBorders>
              <w:top w:val="nil"/>
              <w:left w:val="nil"/>
              <w:bottom w:val="single" w:sz="8" w:space="0" w:color="auto"/>
              <w:right w:val="single" w:sz="8" w:space="0" w:color="auto"/>
            </w:tcBorders>
            <w:shd w:val="clear" w:color="000000" w:fill="F2DCDB"/>
            <w:noWrap/>
            <w:vAlign w:val="center"/>
            <w:hideMark/>
          </w:tcPr>
          <w:p w14:paraId="557AFC43" w14:textId="77777777" w:rsidR="00E03650" w:rsidRPr="009C5ECD" w:rsidRDefault="00E03650" w:rsidP="00666827">
            <w:pPr>
              <w:jc w:val="center"/>
              <w:rPr>
                <w:color w:val="000000"/>
                <w:sz w:val="20"/>
                <w:szCs w:val="20"/>
              </w:rPr>
            </w:pPr>
            <w:r w:rsidRPr="009C5ECD">
              <w:rPr>
                <w:color w:val="000000"/>
                <w:sz w:val="20"/>
                <w:szCs w:val="20"/>
              </w:rPr>
              <w:t>5,814</w:t>
            </w:r>
          </w:p>
        </w:tc>
        <w:tc>
          <w:tcPr>
            <w:tcW w:w="0" w:type="auto"/>
            <w:tcBorders>
              <w:top w:val="nil"/>
              <w:left w:val="nil"/>
              <w:bottom w:val="single" w:sz="8" w:space="0" w:color="auto"/>
              <w:right w:val="single" w:sz="8" w:space="0" w:color="auto"/>
            </w:tcBorders>
            <w:shd w:val="clear" w:color="000000" w:fill="F2DCDB"/>
            <w:noWrap/>
            <w:vAlign w:val="center"/>
            <w:hideMark/>
          </w:tcPr>
          <w:p w14:paraId="6A2C66F6" w14:textId="77777777" w:rsidR="00E03650" w:rsidRPr="009C5ECD" w:rsidRDefault="00E03650" w:rsidP="00666827">
            <w:pPr>
              <w:jc w:val="center"/>
              <w:rPr>
                <w:color w:val="000000"/>
                <w:sz w:val="20"/>
                <w:szCs w:val="20"/>
              </w:rPr>
            </w:pPr>
            <w:r w:rsidRPr="009C5ECD">
              <w:rPr>
                <w:color w:val="000000"/>
                <w:sz w:val="20"/>
                <w:szCs w:val="20"/>
              </w:rPr>
              <w:t>39,964</w:t>
            </w:r>
          </w:p>
        </w:tc>
        <w:tc>
          <w:tcPr>
            <w:tcW w:w="0" w:type="auto"/>
            <w:tcBorders>
              <w:top w:val="nil"/>
              <w:left w:val="nil"/>
              <w:bottom w:val="single" w:sz="8" w:space="0" w:color="auto"/>
              <w:right w:val="single" w:sz="8" w:space="0" w:color="auto"/>
            </w:tcBorders>
            <w:shd w:val="clear" w:color="000000" w:fill="F2DCDB"/>
            <w:noWrap/>
            <w:vAlign w:val="center"/>
            <w:hideMark/>
          </w:tcPr>
          <w:p w14:paraId="4476D64A" w14:textId="77777777" w:rsidR="00E03650" w:rsidRPr="009C5ECD" w:rsidRDefault="00E03650" w:rsidP="00666827">
            <w:pPr>
              <w:jc w:val="center"/>
              <w:rPr>
                <w:color w:val="000000"/>
                <w:sz w:val="20"/>
                <w:szCs w:val="20"/>
              </w:rPr>
            </w:pPr>
            <w:r w:rsidRPr="009C5ECD">
              <w:rPr>
                <w:color w:val="000000"/>
                <w:sz w:val="20"/>
                <w:szCs w:val="20"/>
              </w:rPr>
              <w:t>687%</w:t>
            </w:r>
          </w:p>
        </w:tc>
        <w:tc>
          <w:tcPr>
            <w:tcW w:w="0" w:type="auto"/>
            <w:tcBorders>
              <w:top w:val="nil"/>
              <w:left w:val="nil"/>
              <w:bottom w:val="single" w:sz="8" w:space="0" w:color="auto"/>
              <w:right w:val="single" w:sz="8" w:space="0" w:color="auto"/>
            </w:tcBorders>
            <w:shd w:val="clear" w:color="000000" w:fill="D8E4BC"/>
            <w:noWrap/>
            <w:vAlign w:val="center"/>
            <w:hideMark/>
          </w:tcPr>
          <w:p w14:paraId="1E07B671" w14:textId="77777777" w:rsidR="00E03650" w:rsidRPr="009C5ECD" w:rsidRDefault="00E03650" w:rsidP="00666827">
            <w:pPr>
              <w:jc w:val="center"/>
              <w:rPr>
                <w:color w:val="000000"/>
                <w:sz w:val="20"/>
                <w:szCs w:val="20"/>
              </w:rPr>
            </w:pPr>
            <w:r w:rsidRPr="009C5ECD">
              <w:rPr>
                <w:color w:val="000000"/>
                <w:sz w:val="20"/>
                <w:szCs w:val="20"/>
              </w:rPr>
              <w:t>64,589</w:t>
            </w:r>
          </w:p>
        </w:tc>
        <w:tc>
          <w:tcPr>
            <w:tcW w:w="0" w:type="auto"/>
            <w:tcBorders>
              <w:top w:val="nil"/>
              <w:left w:val="nil"/>
              <w:bottom w:val="single" w:sz="8" w:space="0" w:color="auto"/>
              <w:right w:val="single" w:sz="8" w:space="0" w:color="auto"/>
            </w:tcBorders>
            <w:shd w:val="clear" w:color="000000" w:fill="D8E4BC"/>
            <w:noWrap/>
            <w:vAlign w:val="center"/>
            <w:hideMark/>
          </w:tcPr>
          <w:p w14:paraId="28EED38F" w14:textId="77777777" w:rsidR="00E03650" w:rsidRPr="009C5ECD" w:rsidRDefault="00E03650" w:rsidP="00666827">
            <w:pPr>
              <w:jc w:val="center"/>
              <w:rPr>
                <w:color w:val="000000"/>
                <w:sz w:val="20"/>
                <w:szCs w:val="20"/>
              </w:rPr>
            </w:pPr>
            <w:r w:rsidRPr="009C5ECD">
              <w:rPr>
                <w:color w:val="000000"/>
                <w:sz w:val="20"/>
                <w:szCs w:val="20"/>
              </w:rPr>
              <w:t>1,266</w:t>
            </w:r>
          </w:p>
        </w:tc>
      </w:tr>
      <w:tr w:rsidR="001129C8" w:rsidRPr="009C5ECD" w14:paraId="0A417BB9"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F037219" w14:textId="77777777" w:rsidR="00E03650" w:rsidRPr="009C5ECD" w:rsidRDefault="00E03650" w:rsidP="00666827">
            <w:pPr>
              <w:jc w:val="center"/>
              <w:rPr>
                <w:color w:val="000000"/>
                <w:sz w:val="20"/>
                <w:szCs w:val="20"/>
              </w:rPr>
            </w:pPr>
            <w:r w:rsidRPr="009C5ECD">
              <w:rPr>
                <w:color w:val="000000"/>
                <w:sz w:val="20"/>
                <w:szCs w:val="20"/>
              </w:rPr>
              <w:t>Black sea bass</w:t>
            </w:r>
          </w:p>
        </w:tc>
        <w:tc>
          <w:tcPr>
            <w:tcW w:w="0" w:type="auto"/>
            <w:tcBorders>
              <w:top w:val="nil"/>
              <w:left w:val="nil"/>
              <w:bottom w:val="single" w:sz="8" w:space="0" w:color="auto"/>
              <w:right w:val="single" w:sz="8" w:space="0" w:color="auto"/>
            </w:tcBorders>
            <w:shd w:val="clear" w:color="000000" w:fill="B7DEE8"/>
            <w:noWrap/>
            <w:vAlign w:val="center"/>
            <w:hideMark/>
          </w:tcPr>
          <w:p w14:paraId="723D09D0" w14:textId="77777777" w:rsidR="00E03650" w:rsidRPr="009C5ECD" w:rsidRDefault="00E03650" w:rsidP="00666827">
            <w:pPr>
              <w:jc w:val="center"/>
              <w:rPr>
                <w:color w:val="000000"/>
                <w:sz w:val="20"/>
                <w:szCs w:val="20"/>
              </w:rPr>
            </w:pPr>
            <w:r w:rsidRPr="009C5ECD">
              <w:rPr>
                <w:color w:val="000000"/>
                <w:sz w:val="20"/>
                <w:szCs w:val="20"/>
              </w:rPr>
              <w:t>109,143</w:t>
            </w:r>
          </w:p>
        </w:tc>
        <w:tc>
          <w:tcPr>
            <w:tcW w:w="0" w:type="auto"/>
            <w:tcBorders>
              <w:top w:val="nil"/>
              <w:left w:val="nil"/>
              <w:bottom w:val="single" w:sz="8" w:space="0" w:color="auto"/>
              <w:right w:val="single" w:sz="8" w:space="0" w:color="auto"/>
            </w:tcBorders>
            <w:shd w:val="clear" w:color="000000" w:fill="B7DEE8"/>
            <w:noWrap/>
            <w:vAlign w:val="center"/>
            <w:hideMark/>
          </w:tcPr>
          <w:p w14:paraId="2AAE5D96" w14:textId="77777777" w:rsidR="00E03650" w:rsidRPr="009C5ECD" w:rsidRDefault="00E03650" w:rsidP="00666827">
            <w:pPr>
              <w:jc w:val="center"/>
              <w:rPr>
                <w:color w:val="000000"/>
                <w:sz w:val="20"/>
                <w:szCs w:val="20"/>
              </w:rPr>
            </w:pPr>
            <w:r w:rsidRPr="009C5ECD">
              <w:rPr>
                <w:color w:val="000000"/>
                <w:sz w:val="20"/>
                <w:szCs w:val="20"/>
              </w:rPr>
              <w:t>701,111</w:t>
            </w:r>
          </w:p>
        </w:tc>
        <w:tc>
          <w:tcPr>
            <w:tcW w:w="0" w:type="auto"/>
            <w:tcBorders>
              <w:top w:val="nil"/>
              <w:left w:val="nil"/>
              <w:bottom w:val="single" w:sz="8" w:space="0" w:color="auto"/>
              <w:right w:val="single" w:sz="8" w:space="0" w:color="auto"/>
            </w:tcBorders>
            <w:shd w:val="clear" w:color="000000" w:fill="B7DEE8"/>
            <w:noWrap/>
            <w:vAlign w:val="center"/>
            <w:hideMark/>
          </w:tcPr>
          <w:p w14:paraId="7E49020E" w14:textId="77777777" w:rsidR="00E03650" w:rsidRPr="009C5ECD" w:rsidRDefault="00E03650" w:rsidP="00666827">
            <w:pPr>
              <w:jc w:val="center"/>
              <w:rPr>
                <w:color w:val="000000"/>
                <w:sz w:val="20"/>
                <w:szCs w:val="20"/>
              </w:rPr>
            </w:pPr>
            <w:r w:rsidRPr="009C5ECD">
              <w:rPr>
                <w:color w:val="000000"/>
                <w:sz w:val="20"/>
                <w:szCs w:val="20"/>
              </w:rPr>
              <w:t>642%</w:t>
            </w:r>
          </w:p>
        </w:tc>
        <w:tc>
          <w:tcPr>
            <w:tcW w:w="0" w:type="auto"/>
            <w:tcBorders>
              <w:top w:val="nil"/>
              <w:left w:val="nil"/>
              <w:bottom w:val="single" w:sz="8" w:space="0" w:color="auto"/>
              <w:right w:val="single" w:sz="8" w:space="0" w:color="auto"/>
            </w:tcBorders>
            <w:shd w:val="clear" w:color="000000" w:fill="C5D9F1"/>
            <w:noWrap/>
            <w:vAlign w:val="center"/>
            <w:hideMark/>
          </w:tcPr>
          <w:p w14:paraId="51E0C6A0" w14:textId="77777777" w:rsidR="00E03650" w:rsidRPr="009C5ECD" w:rsidRDefault="00E03650" w:rsidP="00666827">
            <w:pPr>
              <w:jc w:val="center"/>
              <w:rPr>
                <w:color w:val="000000"/>
                <w:sz w:val="20"/>
                <w:szCs w:val="20"/>
              </w:rPr>
            </w:pPr>
            <w:r w:rsidRPr="009C5ECD">
              <w:rPr>
                <w:color w:val="000000"/>
                <w:sz w:val="20"/>
                <w:szCs w:val="20"/>
              </w:rPr>
              <w:t>60,244</w:t>
            </w:r>
          </w:p>
        </w:tc>
        <w:tc>
          <w:tcPr>
            <w:tcW w:w="0" w:type="auto"/>
            <w:tcBorders>
              <w:top w:val="nil"/>
              <w:left w:val="nil"/>
              <w:bottom w:val="single" w:sz="8" w:space="0" w:color="auto"/>
              <w:right w:val="single" w:sz="8" w:space="0" w:color="auto"/>
            </w:tcBorders>
            <w:shd w:val="clear" w:color="000000" w:fill="C5D9F1"/>
            <w:noWrap/>
            <w:vAlign w:val="center"/>
            <w:hideMark/>
          </w:tcPr>
          <w:p w14:paraId="3730C590" w14:textId="77777777" w:rsidR="00E03650" w:rsidRPr="009C5ECD" w:rsidRDefault="00E03650" w:rsidP="00666827">
            <w:pPr>
              <w:jc w:val="center"/>
              <w:rPr>
                <w:color w:val="000000"/>
                <w:sz w:val="20"/>
                <w:szCs w:val="20"/>
              </w:rPr>
            </w:pPr>
            <w:r w:rsidRPr="009C5ECD">
              <w:rPr>
                <w:color w:val="000000"/>
                <w:sz w:val="20"/>
                <w:szCs w:val="20"/>
              </w:rPr>
              <w:t>354,258</w:t>
            </w:r>
          </w:p>
        </w:tc>
        <w:tc>
          <w:tcPr>
            <w:tcW w:w="0" w:type="auto"/>
            <w:tcBorders>
              <w:top w:val="nil"/>
              <w:left w:val="nil"/>
              <w:bottom w:val="single" w:sz="8" w:space="0" w:color="auto"/>
              <w:right w:val="single" w:sz="8" w:space="0" w:color="auto"/>
            </w:tcBorders>
            <w:shd w:val="clear" w:color="000000" w:fill="C5D9F1"/>
            <w:noWrap/>
            <w:vAlign w:val="center"/>
            <w:hideMark/>
          </w:tcPr>
          <w:p w14:paraId="6517EC31" w14:textId="77777777" w:rsidR="00E03650" w:rsidRPr="009C5ECD" w:rsidRDefault="00E03650" w:rsidP="00666827">
            <w:pPr>
              <w:jc w:val="center"/>
              <w:rPr>
                <w:color w:val="000000"/>
                <w:sz w:val="20"/>
                <w:szCs w:val="20"/>
              </w:rPr>
            </w:pPr>
            <w:r w:rsidRPr="009C5ECD">
              <w:rPr>
                <w:color w:val="000000"/>
                <w:sz w:val="20"/>
                <w:szCs w:val="20"/>
              </w:rPr>
              <w:t>588%</w:t>
            </w:r>
          </w:p>
        </w:tc>
        <w:tc>
          <w:tcPr>
            <w:tcW w:w="0" w:type="auto"/>
            <w:tcBorders>
              <w:top w:val="nil"/>
              <w:left w:val="nil"/>
              <w:bottom w:val="single" w:sz="8" w:space="0" w:color="auto"/>
              <w:right w:val="single" w:sz="8" w:space="0" w:color="auto"/>
            </w:tcBorders>
            <w:shd w:val="clear" w:color="000000" w:fill="F2DCDB"/>
            <w:noWrap/>
            <w:vAlign w:val="center"/>
            <w:hideMark/>
          </w:tcPr>
          <w:p w14:paraId="61CD0D8F" w14:textId="77777777" w:rsidR="00E03650" w:rsidRPr="009C5ECD" w:rsidRDefault="00E03650" w:rsidP="00666827">
            <w:pPr>
              <w:jc w:val="center"/>
              <w:rPr>
                <w:color w:val="000000"/>
                <w:sz w:val="20"/>
                <w:szCs w:val="20"/>
              </w:rPr>
            </w:pPr>
            <w:r w:rsidRPr="009C5ECD">
              <w:rPr>
                <w:color w:val="000000"/>
                <w:sz w:val="20"/>
                <w:szCs w:val="20"/>
              </w:rPr>
              <w:t>216,067</w:t>
            </w:r>
          </w:p>
        </w:tc>
        <w:tc>
          <w:tcPr>
            <w:tcW w:w="0" w:type="auto"/>
            <w:tcBorders>
              <w:top w:val="nil"/>
              <w:left w:val="nil"/>
              <w:bottom w:val="single" w:sz="8" w:space="0" w:color="auto"/>
              <w:right w:val="single" w:sz="8" w:space="0" w:color="auto"/>
            </w:tcBorders>
            <w:shd w:val="clear" w:color="000000" w:fill="F2DCDB"/>
            <w:noWrap/>
            <w:vAlign w:val="center"/>
            <w:hideMark/>
          </w:tcPr>
          <w:p w14:paraId="128E0729" w14:textId="77777777" w:rsidR="00E03650" w:rsidRPr="009C5ECD" w:rsidRDefault="00E03650" w:rsidP="00666827">
            <w:pPr>
              <w:jc w:val="center"/>
              <w:rPr>
                <w:color w:val="000000"/>
                <w:sz w:val="20"/>
                <w:szCs w:val="20"/>
              </w:rPr>
            </w:pPr>
            <w:r w:rsidRPr="009C5ECD">
              <w:rPr>
                <w:color w:val="000000"/>
                <w:sz w:val="20"/>
                <w:szCs w:val="20"/>
              </w:rPr>
              <w:t>3,294,318</w:t>
            </w:r>
          </w:p>
        </w:tc>
        <w:tc>
          <w:tcPr>
            <w:tcW w:w="0" w:type="auto"/>
            <w:tcBorders>
              <w:top w:val="nil"/>
              <w:left w:val="nil"/>
              <w:bottom w:val="single" w:sz="8" w:space="0" w:color="auto"/>
              <w:right w:val="single" w:sz="8" w:space="0" w:color="auto"/>
            </w:tcBorders>
            <w:shd w:val="clear" w:color="000000" w:fill="F2DCDB"/>
            <w:noWrap/>
            <w:vAlign w:val="center"/>
            <w:hideMark/>
          </w:tcPr>
          <w:p w14:paraId="6DB56C0F" w14:textId="77777777" w:rsidR="00E03650" w:rsidRPr="009C5ECD" w:rsidRDefault="00E03650" w:rsidP="00666827">
            <w:pPr>
              <w:jc w:val="center"/>
              <w:rPr>
                <w:color w:val="000000"/>
                <w:sz w:val="20"/>
                <w:szCs w:val="20"/>
              </w:rPr>
            </w:pPr>
            <w:r w:rsidRPr="009C5ECD">
              <w:rPr>
                <w:color w:val="000000"/>
                <w:sz w:val="20"/>
                <w:szCs w:val="20"/>
              </w:rPr>
              <w:t>1525%</w:t>
            </w:r>
          </w:p>
        </w:tc>
        <w:tc>
          <w:tcPr>
            <w:tcW w:w="0" w:type="auto"/>
            <w:tcBorders>
              <w:top w:val="nil"/>
              <w:left w:val="nil"/>
              <w:bottom w:val="single" w:sz="8" w:space="0" w:color="auto"/>
              <w:right w:val="single" w:sz="8" w:space="0" w:color="auto"/>
            </w:tcBorders>
            <w:shd w:val="clear" w:color="000000" w:fill="D8E4BC"/>
            <w:noWrap/>
            <w:vAlign w:val="center"/>
            <w:hideMark/>
          </w:tcPr>
          <w:p w14:paraId="63FF762E" w14:textId="77777777" w:rsidR="00E03650" w:rsidRPr="009C5ECD" w:rsidRDefault="00E03650" w:rsidP="00666827">
            <w:pPr>
              <w:jc w:val="center"/>
              <w:rPr>
                <w:color w:val="000000"/>
                <w:sz w:val="20"/>
                <w:szCs w:val="20"/>
              </w:rPr>
            </w:pPr>
            <w:r w:rsidRPr="009C5ECD">
              <w:rPr>
                <w:color w:val="000000"/>
                <w:sz w:val="20"/>
                <w:szCs w:val="20"/>
              </w:rPr>
              <w:t>452,268</w:t>
            </w:r>
          </w:p>
        </w:tc>
        <w:tc>
          <w:tcPr>
            <w:tcW w:w="0" w:type="auto"/>
            <w:tcBorders>
              <w:top w:val="nil"/>
              <w:left w:val="nil"/>
              <w:bottom w:val="single" w:sz="8" w:space="0" w:color="auto"/>
              <w:right w:val="single" w:sz="8" w:space="0" w:color="auto"/>
            </w:tcBorders>
            <w:shd w:val="clear" w:color="000000" w:fill="D8E4BC"/>
            <w:noWrap/>
            <w:vAlign w:val="center"/>
            <w:hideMark/>
          </w:tcPr>
          <w:p w14:paraId="5A65B0EE" w14:textId="77777777" w:rsidR="00E03650" w:rsidRPr="009C5ECD" w:rsidRDefault="00E03650" w:rsidP="00666827">
            <w:pPr>
              <w:jc w:val="center"/>
              <w:rPr>
                <w:color w:val="000000"/>
                <w:sz w:val="20"/>
                <w:szCs w:val="20"/>
              </w:rPr>
            </w:pPr>
            <w:r w:rsidRPr="009C5ECD">
              <w:rPr>
                <w:color w:val="000000"/>
                <w:sz w:val="20"/>
                <w:szCs w:val="20"/>
              </w:rPr>
              <w:t>40,721</w:t>
            </w:r>
          </w:p>
        </w:tc>
      </w:tr>
      <w:tr w:rsidR="001129C8" w:rsidRPr="009C5ECD" w14:paraId="2E82D1A0"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D3412D8" w14:textId="77777777" w:rsidR="00E03650" w:rsidRPr="009C5ECD" w:rsidRDefault="00E03650" w:rsidP="00666827">
            <w:pPr>
              <w:jc w:val="center"/>
              <w:rPr>
                <w:color w:val="000000"/>
                <w:sz w:val="20"/>
                <w:szCs w:val="20"/>
              </w:rPr>
            </w:pPr>
            <w:r w:rsidRPr="009C5ECD">
              <w:rPr>
                <w:color w:val="000000"/>
                <w:sz w:val="20"/>
                <w:szCs w:val="20"/>
              </w:rPr>
              <w:t>Blackfin snapper</w:t>
            </w:r>
          </w:p>
        </w:tc>
        <w:tc>
          <w:tcPr>
            <w:tcW w:w="0" w:type="auto"/>
            <w:tcBorders>
              <w:top w:val="nil"/>
              <w:left w:val="nil"/>
              <w:bottom w:val="single" w:sz="8" w:space="0" w:color="auto"/>
              <w:right w:val="single" w:sz="8" w:space="0" w:color="auto"/>
            </w:tcBorders>
            <w:shd w:val="clear" w:color="000000" w:fill="B7DEE8"/>
            <w:noWrap/>
            <w:vAlign w:val="center"/>
            <w:hideMark/>
          </w:tcPr>
          <w:p w14:paraId="21C3A982" w14:textId="77777777" w:rsidR="00E03650" w:rsidRPr="009C5ECD" w:rsidRDefault="00E03650" w:rsidP="00666827">
            <w:pPr>
              <w:jc w:val="center"/>
              <w:rPr>
                <w:color w:val="000000"/>
                <w:sz w:val="20"/>
                <w:szCs w:val="20"/>
              </w:rPr>
            </w:pPr>
            <w:r w:rsidRPr="009C5ECD">
              <w:rPr>
                <w:color w:val="000000"/>
                <w:sz w:val="20"/>
                <w:szCs w:val="20"/>
              </w:rPr>
              <w:t>357</w:t>
            </w:r>
          </w:p>
        </w:tc>
        <w:tc>
          <w:tcPr>
            <w:tcW w:w="0" w:type="auto"/>
            <w:tcBorders>
              <w:top w:val="nil"/>
              <w:left w:val="nil"/>
              <w:bottom w:val="single" w:sz="8" w:space="0" w:color="auto"/>
              <w:right w:val="single" w:sz="8" w:space="0" w:color="auto"/>
            </w:tcBorders>
            <w:shd w:val="clear" w:color="000000" w:fill="B7DEE8"/>
            <w:noWrap/>
            <w:vAlign w:val="center"/>
            <w:hideMark/>
          </w:tcPr>
          <w:p w14:paraId="6A4AAD2D" w14:textId="77777777" w:rsidR="00E03650" w:rsidRPr="009C5ECD" w:rsidRDefault="00E03650" w:rsidP="00666827">
            <w:pPr>
              <w:jc w:val="center"/>
              <w:rPr>
                <w:color w:val="000000"/>
                <w:sz w:val="20"/>
                <w:szCs w:val="20"/>
              </w:rPr>
            </w:pPr>
            <w:r w:rsidRPr="009C5ECD">
              <w:rPr>
                <w:color w:val="000000"/>
                <w:sz w:val="20"/>
                <w:szCs w:val="20"/>
              </w:rPr>
              <w:t>80</w:t>
            </w:r>
          </w:p>
        </w:tc>
        <w:tc>
          <w:tcPr>
            <w:tcW w:w="0" w:type="auto"/>
            <w:tcBorders>
              <w:top w:val="nil"/>
              <w:left w:val="nil"/>
              <w:bottom w:val="single" w:sz="8" w:space="0" w:color="auto"/>
              <w:right w:val="single" w:sz="8" w:space="0" w:color="auto"/>
            </w:tcBorders>
            <w:shd w:val="clear" w:color="000000" w:fill="B7DEE8"/>
            <w:noWrap/>
            <w:vAlign w:val="center"/>
            <w:hideMark/>
          </w:tcPr>
          <w:p w14:paraId="4DE28617" w14:textId="77777777" w:rsidR="00E03650" w:rsidRPr="009C5ECD" w:rsidRDefault="00E03650" w:rsidP="00666827">
            <w:pPr>
              <w:jc w:val="center"/>
              <w:rPr>
                <w:color w:val="000000"/>
                <w:sz w:val="20"/>
                <w:szCs w:val="20"/>
              </w:rPr>
            </w:pPr>
            <w:r w:rsidRPr="009C5ECD">
              <w:rPr>
                <w:color w:val="000000"/>
                <w:sz w:val="20"/>
                <w:szCs w:val="20"/>
              </w:rPr>
              <w:t>22%</w:t>
            </w:r>
          </w:p>
        </w:tc>
        <w:tc>
          <w:tcPr>
            <w:tcW w:w="0" w:type="auto"/>
            <w:tcBorders>
              <w:top w:val="nil"/>
              <w:left w:val="nil"/>
              <w:bottom w:val="single" w:sz="8" w:space="0" w:color="auto"/>
              <w:right w:val="single" w:sz="8" w:space="0" w:color="auto"/>
            </w:tcBorders>
            <w:shd w:val="clear" w:color="000000" w:fill="C5D9F1"/>
            <w:noWrap/>
            <w:vAlign w:val="center"/>
            <w:hideMark/>
          </w:tcPr>
          <w:p w14:paraId="063F0C08" w14:textId="77777777" w:rsidR="00E03650" w:rsidRPr="009C5ECD" w:rsidRDefault="00E03650" w:rsidP="00666827">
            <w:pPr>
              <w:jc w:val="center"/>
              <w:rPr>
                <w:color w:val="000000"/>
                <w:sz w:val="20"/>
                <w:szCs w:val="20"/>
              </w:rPr>
            </w:pPr>
            <w:r w:rsidRPr="009C5ECD">
              <w:rPr>
                <w:color w:val="000000"/>
                <w:sz w:val="20"/>
                <w:szCs w:val="20"/>
              </w:rPr>
              <w:t>43</w:t>
            </w:r>
          </w:p>
        </w:tc>
        <w:tc>
          <w:tcPr>
            <w:tcW w:w="0" w:type="auto"/>
            <w:tcBorders>
              <w:top w:val="nil"/>
              <w:left w:val="nil"/>
              <w:bottom w:val="single" w:sz="8" w:space="0" w:color="auto"/>
              <w:right w:val="single" w:sz="8" w:space="0" w:color="auto"/>
            </w:tcBorders>
            <w:shd w:val="clear" w:color="000000" w:fill="C5D9F1"/>
            <w:noWrap/>
            <w:vAlign w:val="center"/>
            <w:hideMark/>
          </w:tcPr>
          <w:p w14:paraId="3BBD430F"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66C25A1C"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4907BED6" w14:textId="77777777" w:rsidR="00E03650" w:rsidRPr="009C5ECD" w:rsidRDefault="00E03650" w:rsidP="00666827">
            <w:pPr>
              <w:jc w:val="center"/>
              <w:rPr>
                <w:color w:val="000000"/>
                <w:sz w:val="20"/>
                <w:szCs w:val="20"/>
              </w:rPr>
            </w:pPr>
            <w:r w:rsidRPr="009C5ECD">
              <w:rPr>
                <w:color w:val="000000"/>
                <w:sz w:val="20"/>
                <w:szCs w:val="20"/>
              </w:rPr>
              <w:t>1,949</w:t>
            </w:r>
          </w:p>
        </w:tc>
        <w:tc>
          <w:tcPr>
            <w:tcW w:w="0" w:type="auto"/>
            <w:tcBorders>
              <w:top w:val="nil"/>
              <w:left w:val="nil"/>
              <w:bottom w:val="single" w:sz="8" w:space="0" w:color="auto"/>
              <w:right w:val="single" w:sz="8" w:space="0" w:color="auto"/>
            </w:tcBorders>
            <w:shd w:val="clear" w:color="000000" w:fill="F2DCDB"/>
            <w:noWrap/>
            <w:vAlign w:val="center"/>
            <w:hideMark/>
          </w:tcPr>
          <w:p w14:paraId="4930E957"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74748106"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D8E4BC"/>
            <w:noWrap/>
            <w:vAlign w:val="center"/>
            <w:hideMark/>
          </w:tcPr>
          <w:p w14:paraId="3486BBE4" w14:textId="77777777" w:rsidR="00E03650" w:rsidRPr="009C5ECD" w:rsidRDefault="00E03650" w:rsidP="00666827">
            <w:pPr>
              <w:jc w:val="center"/>
              <w:rPr>
                <w:color w:val="000000"/>
                <w:sz w:val="20"/>
                <w:szCs w:val="20"/>
              </w:rPr>
            </w:pPr>
            <w:r w:rsidRPr="009C5ECD">
              <w:rPr>
                <w:color w:val="000000"/>
                <w:sz w:val="20"/>
                <w:szCs w:val="20"/>
              </w:rPr>
              <w:t>1,564</w:t>
            </w:r>
          </w:p>
        </w:tc>
        <w:tc>
          <w:tcPr>
            <w:tcW w:w="0" w:type="auto"/>
            <w:tcBorders>
              <w:top w:val="nil"/>
              <w:left w:val="nil"/>
              <w:bottom w:val="single" w:sz="8" w:space="0" w:color="auto"/>
              <w:right w:val="single" w:sz="8" w:space="0" w:color="auto"/>
            </w:tcBorders>
            <w:shd w:val="clear" w:color="000000" w:fill="D8E4BC"/>
            <w:noWrap/>
            <w:vAlign w:val="center"/>
            <w:hideMark/>
          </w:tcPr>
          <w:p w14:paraId="2FE2E548" w14:textId="77777777" w:rsidR="00E03650" w:rsidRPr="009C5ECD" w:rsidRDefault="00E03650" w:rsidP="00666827">
            <w:pPr>
              <w:jc w:val="center"/>
              <w:rPr>
                <w:color w:val="000000"/>
                <w:sz w:val="20"/>
                <w:szCs w:val="20"/>
              </w:rPr>
            </w:pPr>
            <w:r w:rsidRPr="009C5ECD">
              <w:rPr>
                <w:color w:val="000000"/>
                <w:sz w:val="20"/>
                <w:szCs w:val="20"/>
              </w:rPr>
              <w:t>0</w:t>
            </w:r>
          </w:p>
        </w:tc>
      </w:tr>
      <w:tr w:rsidR="001129C8" w:rsidRPr="009C5ECD" w14:paraId="6E947BAB"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BB0B220" w14:textId="77777777" w:rsidR="00E03650" w:rsidRPr="009C5ECD" w:rsidRDefault="00E03650" w:rsidP="00666827">
            <w:pPr>
              <w:jc w:val="center"/>
              <w:rPr>
                <w:color w:val="000000"/>
                <w:sz w:val="20"/>
                <w:szCs w:val="20"/>
              </w:rPr>
            </w:pPr>
            <w:r w:rsidRPr="009C5ECD">
              <w:rPr>
                <w:color w:val="000000"/>
                <w:sz w:val="20"/>
                <w:szCs w:val="20"/>
              </w:rPr>
              <w:t>Blueline tilefish</w:t>
            </w:r>
          </w:p>
        </w:tc>
        <w:tc>
          <w:tcPr>
            <w:tcW w:w="0" w:type="auto"/>
            <w:tcBorders>
              <w:top w:val="nil"/>
              <w:left w:val="nil"/>
              <w:bottom w:val="single" w:sz="8" w:space="0" w:color="auto"/>
              <w:right w:val="single" w:sz="8" w:space="0" w:color="auto"/>
            </w:tcBorders>
            <w:shd w:val="clear" w:color="000000" w:fill="B7DEE8"/>
            <w:noWrap/>
            <w:vAlign w:val="center"/>
            <w:hideMark/>
          </w:tcPr>
          <w:p w14:paraId="74AE6F02" w14:textId="77777777" w:rsidR="00E03650" w:rsidRPr="009C5ECD" w:rsidRDefault="00E03650" w:rsidP="00666827">
            <w:pPr>
              <w:jc w:val="center"/>
              <w:rPr>
                <w:color w:val="000000"/>
                <w:sz w:val="20"/>
                <w:szCs w:val="20"/>
              </w:rPr>
            </w:pPr>
            <w:r w:rsidRPr="009C5ECD">
              <w:rPr>
                <w:color w:val="000000"/>
                <w:sz w:val="20"/>
                <w:szCs w:val="20"/>
              </w:rPr>
              <w:t>5,523</w:t>
            </w:r>
          </w:p>
        </w:tc>
        <w:tc>
          <w:tcPr>
            <w:tcW w:w="0" w:type="auto"/>
            <w:tcBorders>
              <w:top w:val="nil"/>
              <w:left w:val="nil"/>
              <w:bottom w:val="single" w:sz="8" w:space="0" w:color="auto"/>
              <w:right w:val="single" w:sz="8" w:space="0" w:color="auto"/>
            </w:tcBorders>
            <w:shd w:val="clear" w:color="000000" w:fill="B7DEE8"/>
            <w:noWrap/>
            <w:vAlign w:val="center"/>
            <w:hideMark/>
          </w:tcPr>
          <w:p w14:paraId="62E58374" w14:textId="77777777" w:rsidR="00E03650" w:rsidRPr="009C5ECD" w:rsidRDefault="00E03650" w:rsidP="00666827">
            <w:pPr>
              <w:jc w:val="center"/>
              <w:rPr>
                <w:color w:val="000000"/>
                <w:sz w:val="20"/>
                <w:szCs w:val="20"/>
              </w:rPr>
            </w:pPr>
            <w:r w:rsidRPr="009C5ECD">
              <w:rPr>
                <w:color w:val="000000"/>
                <w:sz w:val="20"/>
                <w:szCs w:val="20"/>
              </w:rPr>
              <w:t>76</w:t>
            </w:r>
          </w:p>
        </w:tc>
        <w:tc>
          <w:tcPr>
            <w:tcW w:w="0" w:type="auto"/>
            <w:tcBorders>
              <w:top w:val="nil"/>
              <w:left w:val="nil"/>
              <w:bottom w:val="single" w:sz="8" w:space="0" w:color="auto"/>
              <w:right w:val="single" w:sz="8" w:space="0" w:color="auto"/>
            </w:tcBorders>
            <w:shd w:val="clear" w:color="000000" w:fill="B7DEE8"/>
            <w:noWrap/>
            <w:vAlign w:val="center"/>
            <w:hideMark/>
          </w:tcPr>
          <w:p w14:paraId="19F0F05B" w14:textId="77777777" w:rsidR="00E03650" w:rsidRPr="009C5ECD" w:rsidRDefault="00E03650" w:rsidP="00666827">
            <w:pPr>
              <w:jc w:val="center"/>
              <w:rPr>
                <w:color w:val="000000"/>
                <w:sz w:val="20"/>
                <w:szCs w:val="20"/>
              </w:rPr>
            </w:pPr>
            <w:r w:rsidRPr="009C5ECD">
              <w:rPr>
                <w:color w:val="000000"/>
                <w:sz w:val="20"/>
                <w:szCs w:val="20"/>
              </w:rPr>
              <w:t>1%</w:t>
            </w:r>
          </w:p>
        </w:tc>
        <w:tc>
          <w:tcPr>
            <w:tcW w:w="0" w:type="auto"/>
            <w:tcBorders>
              <w:top w:val="nil"/>
              <w:left w:val="nil"/>
              <w:bottom w:val="single" w:sz="8" w:space="0" w:color="auto"/>
              <w:right w:val="single" w:sz="8" w:space="0" w:color="auto"/>
            </w:tcBorders>
            <w:shd w:val="clear" w:color="000000" w:fill="C5D9F1"/>
            <w:noWrap/>
            <w:vAlign w:val="center"/>
            <w:hideMark/>
          </w:tcPr>
          <w:p w14:paraId="4B418629" w14:textId="77777777" w:rsidR="00E03650" w:rsidRPr="009C5ECD" w:rsidRDefault="00E03650" w:rsidP="00666827">
            <w:pPr>
              <w:jc w:val="center"/>
              <w:rPr>
                <w:color w:val="000000"/>
                <w:sz w:val="20"/>
                <w:szCs w:val="20"/>
              </w:rPr>
            </w:pPr>
            <w:r w:rsidRPr="009C5ECD">
              <w:rPr>
                <w:color w:val="000000"/>
                <w:sz w:val="20"/>
                <w:szCs w:val="20"/>
              </w:rPr>
              <w:t>8,122</w:t>
            </w:r>
          </w:p>
        </w:tc>
        <w:tc>
          <w:tcPr>
            <w:tcW w:w="0" w:type="auto"/>
            <w:tcBorders>
              <w:top w:val="nil"/>
              <w:left w:val="nil"/>
              <w:bottom w:val="single" w:sz="8" w:space="0" w:color="auto"/>
              <w:right w:val="single" w:sz="8" w:space="0" w:color="auto"/>
            </w:tcBorders>
            <w:shd w:val="clear" w:color="000000" w:fill="C5D9F1"/>
            <w:noWrap/>
            <w:vAlign w:val="center"/>
            <w:hideMark/>
          </w:tcPr>
          <w:p w14:paraId="2BC4A817" w14:textId="77777777" w:rsidR="00E03650" w:rsidRPr="009C5ECD" w:rsidRDefault="00E03650" w:rsidP="00666827">
            <w:pPr>
              <w:jc w:val="center"/>
              <w:rPr>
                <w:color w:val="000000"/>
                <w:sz w:val="20"/>
                <w:szCs w:val="20"/>
              </w:rPr>
            </w:pPr>
            <w:r w:rsidRPr="009C5ECD">
              <w:rPr>
                <w:color w:val="000000"/>
                <w:sz w:val="20"/>
                <w:szCs w:val="20"/>
              </w:rPr>
              <w:t>96</w:t>
            </w:r>
          </w:p>
        </w:tc>
        <w:tc>
          <w:tcPr>
            <w:tcW w:w="0" w:type="auto"/>
            <w:tcBorders>
              <w:top w:val="nil"/>
              <w:left w:val="nil"/>
              <w:bottom w:val="single" w:sz="8" w:space="0" w:color="auto"/>
              <w:right w:val="single" w:sz="8" w:space="0" w:color="auto"/>
            </w:tcBorders>
            <w:shd w:val="clear" w:color="000000" w:fill="C5D9F1"/>
            <w:noWrap/>
            <w:vAlign w:val="center"/>
            <w:hideMark/>
          </w:tcPr>
          <w:p w14:paraId="327141FD" w14:textId="77777777" w:rsidR="00E03650" w:rsidRPr="009C5ECD" w:rsidRDefault="00E03650" w:rsidP="00666827">
            <w:pPr>
              <w:jc w:val="center"/>
              <w:rPr>
                <w:color w:val="000000"/>
                <w:sz w:val="20"/>
                <w:szCs w:val="20"/>
              </w:rPr>
            </w:pPr>
            <w:r w:rsidRPr="009C5ECD">
              <w:rPr>
                <w:color w:val="000000"/>
                <w:sz w:val="20"/>
                <w:szCs w:val="20"/>
              </w:rPr>
              <w:t>1%</w:t>
            </w:r>
          </w:p>
        </w:tc>
        <w:tc>
          <w:tcPr>
            <w:tcW w:w="0" w:type="auto"/>
            <w:tcBorders>
              <w:top w:val="nil"/>
              <w:left w:val="nil"/>
              <w:bottom w:val="single" w:sz="8" w:space="0" w:color="auto"/>
              <w:right w:val="single" w:sz="8" w:space="0" w:color="auto"/>
            </w:tcBorders>
            <w:shd w:val="clear" w:color="000000" w:fill="F2DCDB"/>
            <w:noWrap/>
            <w:vAlign w:val="center"/>
            <w:hideMark/>
          </w:tcPr>
          <w:p w14:paraId="3DFD5343" w14:textId="77777777" w:rsidR="00E03650" w:rsidRPr="009C5ECD" w:rsidRDefault="00E03650" w:rsidP="00666827">
            <w:pPr>
              <w:jc w:val="center"/>
              <w:rPr>
                <w:color w:val="000000"/>
                <w:sz w:val="20"/>
                <w:szCs w:val="20"/>
              </w:rPr>
            </w:pPr>
            <w:r w:rsidRPr="009C5ECD">
              <w:rPr>
                <w:color w:val="000000"/>
                <w:sz w:val="20"/>
                <w:szCs w:val="20"/>
              </w:rPr>
              <w:t>18,775</w:t>
            </w:r>
          </w:p>
        </w:tc>
        <w:tc>
          <w:tcPr>
            <w:tcW w:w="0" w:type="auto"/>
            <w:tcBorders>
              <w:top w:val="nil"/>
              <w:left w:val="nil"/>
              <w:bottom w:val="single" w:sz="8" w:space="0" w:color="auto"/>
              <w:right w:val="single" w:sz="8" w:space="0" w:color="auto"/>
            </w:tcBorders>
            <w:shd w:val="clear" w:color="000000" w:fill="F2DCDB"/>
            <w:noWrap/>
            <w:vAlign w:val="center"/>
            <w:hideMark/>
          </w:tcPr>
          <w:p w14:paraId="3A700EB3" w14:textId="77777777" w:rsidR="00E03650" w:rsidRPr="009C5ECD" w:rsidRDefault="00E03650" w:rsidP="00666827">
            <w:pPr>
              <w:jc w:val="center"/>
              <w:rPr>
                <w:color w:val="000000"/>
                <w:sz w:val="20"/>
                <w:szCs w:val="20"/>
              </w:rPr>
            </w:pPr>
            <w:r w:rsidRPr="009C5ECD">
              <w:rPr>
                <w:color w:val="000000"/>
                <w:sz w:val="20"/>
                <w:szCs w:val="20"/>
              </w:rPr>
              <w:t>1,631</w:t>
            </w:r>
          </w:p>
        </w:tc>
        <w:tc>
          <w:tcPr>
            <w:tcW w:w="0" w:type="auto"/>
            <w:tcBorders>
              <w:top w:val="nil"/>
              <w:left w:val="nil"/>
              <w:bottom w:val="single" w:sz="8" w:space="0" w:color="auto"/>
              <w:right w:val="single" w:sz="8" w:space="0" w:color="auto"/>
            </w:tcBorders>
            <w:shd w:val="clear" w:color="000000" w:fill="F2DCDB"/>
            <w:noWrap/>
            <w:vAlign w:val="center"/>
            <w:hideMark/>
          </w:tcPr>
          <w:p w14:paraId="77F0CF4D" w14:textId="77777777" w:rsidR="00E03650" w:rsidRPr="009C5ECD" w:rsidRDefault="00E03650" w:rsidP="00666827">
            <w:pPr>
              <w:jc w:val="center"/>
              <w:rPr>
                <w:color w:val="000000"/>
                <w:sz w:val="20"/>
                <w:szCs w:val="20"/>
              </w:rPr>
            </w:pPr>
            <w:r w:rsidRPr="009C5ECD">
              <w:rPr>
                <w:color w:val="000000"/>
                <w:sz w:val="20"/>
                <w:szCs w:val="20"/>
              </w:rPr>
              <w:t>9%</w:t>
            </w:r>
          </w:p>
        </w:tc>
        <w:tc>
          <w:tcPr>
            <w:tcW w:w="0" w:type="auto"/>
            <w:tcBorders>
              <w:top w:val="nil"/>
              <w:left w:val="nil"/>
              <w:bottom w:val="single" w:sz="8" w:space="0" w:color="auto"/>
              <w:right w:val="single" w:sz="8" w:space="0" w:color="auto"/>
            </w:tcBorders>
            <w:shd w:val="clear" w:color="000000" w:fill="D8E4BC"/>
            <w:noWrap/>
            <w:vAlign w:val="center"/>
            <w:hideMark/>
          </w:tcPr>
          <w:p w14:paraId="6C4DBADA" w14:textId="77777777" w:rsidR="00E03650" w:rsidRPr="009C5ECD" w:rsidRDefault="00E03650" w:rsidP="00666827">
            <w:pPr>
              <w:jc w:val="center"/>
              <w:rPr>
                <w:color w:val="000000"/>
                <w:sz w:val="20"/>
                <w:szCs w:val="20"/>
              </w:rPr>
            </w:pPr>
            <w:r w:rsidRPr="009C5ECD">
              <w:rPr>
                <w:color w:val="000000"/>
                <w:sz w:val="20"/>
                <w:szCs w:val="20"/>
              </w:rPr>
              <w:t>203,223</w:t>
            </w:r>
          </w:p>
        </w:tc>
        <w:tc>
          <w:tcPr>
            <w:tcW w:w="0" w:type="auto"/>
            <w:tcBorders>
              <w:top w:val="nil"/>
              <w:left w:val="nil"/>
              <w:bottom w:val="single" w:sz="8" w:space="0" w:color="auto"/>
              <w:right w:val="single" w:sz="8" w:space="0" w:color="auto"/>
            </w:tcBorders>
            <w:shd w:val="clear" w:color="000000" w:fill="D8E4BC"/>
            <w:noWrap/>
            <w:vAlign w:val="center"/>
            <w:hideMark/>
          </w:tcPr>
          <w:p w14:paraId="7D061D06" w14:textId="77777777" w:rsidR="00E03650" w:rsidRPr="009C5ECD" w:rsidRDefault="00E03650" w:rsidP="00666827">
            <w:pPr>
              <w:jc w:val="center"/>
              <w:rPr>
                <w:color w:val="000000"/>
                <w:sz w:val="20"/>
                <w:szCs w:val="20"/>
              </w:rPr>
            </w:pPr>
            <w:r w:rsidRPr="009C5ECD">
              <w:rPr>
                <w:color w:val="000000"/>
                <w:sz w:val="20"/>
                <w:szCs w:val="20"/>
              </w:rPr>
              <w:t>2,471</w:t>
            </w:r>
          </w:p>
        </w:tc>
      </w:tr>
      <w:tr w:rsidR="001129C8" w:rsidRPr="009C5ECD" w14:paraId="12CEE680"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593F23" w14:textId="77777777" w:rsidR="00E03650" w:rsidRPr="009C5ECD" w:rsidRDefault="00E03650" w:rsidP="00666827">
            <w:pPr>
              <w:jc w:val="center"/>
              <w:rPr>
                <w:color w:val="000000"/>
                <w:sz w:val="20"/>
                <w:szCs w:val="20"/>
              </w:rPr>
            </w:pPr>
            <w:r w:rsidRPr="009C5ECD">
              <w:rPr>
                <w:color w:val="000000"/>
                <w:sz w:val="20"/>
                <w:szCs w:val="20"/>
              </w:rPr>
              <w:t>Coney</w:t>
            </w:r>
          </w:p>
        </w:tc>
        <w:tc>
          <w:tcPr>
            <w:tcW w:w="0" w:type="auto"/>
            <w:tcBorders>
              <w:top w:val="nil"/>
              <w:left w:val="nil"/>
              <w:bottom w:val="single" w:sz="8" w:space="0" w:color="auto"/>
              <w:right w:val="single" w:sz="8" w:space="0" w:color="auto"/>
            </w:tcBorders>
            <w:shd w:val="clear" w:color="000000" w:fill="B7DEE8"/>
            <w:noWrap/>
            <w:vAlign w:val="center"/>
            <w:hideMark/>
          </w:tcPr>
          <w:p w14:paraId="67D810D5" w14:textId="77777777" w:rsidR="00E03650" w:rsidRPr="009C5ECD" w:rsidRDefault="00E03650" w:rsidP="00666827">
            <w:pPr>
              <w:jc w:val="center"/>
              <w:rPr>
                <w:color w:val="000000"/>
                <w:sz w:val="20"/>
                <w:szCs w:val="20"/>
              </w:rPr>
            </w:pPr>
            <w:r w:rsidRPr="009C5ECD">
              <w:rPr>
                <w:color w:val="000000"/>
                <w:sz w:val="20"/>
                <w:szCs w:val="20"/>
              </w:rPr>
              <w:t>99</w:t>
            </w:r>
          </w:p>
        </w:tc>
        <w:tc>
          <w:tcPr>
            <w:tcW w:w="0" w:type="auto"/>
            <w:tcBorders>
              <w:top w:val="nil"/>
              <w:left w:val="nil"/>
              <w:bottom w:val="single" w:sz="8" w:space="0" w:color="auto"/>
              <w:right w:val="single" w:sz="8" w:space="0" w:color="auto"/>
            </w:tcBorders>
            <w:shd w:val="clear" w:color="000000" w:fill="B7DEE8"/>
            <w:noWrap/>
            <w:vAlign w:val="center"/>
            <w:hideMark/>
          </w:tcPr>
          <w:p w14:paraId="670AA387" w14:textId="77777777" w:rsidR="00E03650" w:rsidRPr="009C5ECD" w:rsidRDefault="00E03650" w:rsidP="00666827">
            <w:pPr>
              <w:jc w:val="center"/>
              <w:rPr>
                <w:color w:val="000000"/>
                <w:sz w:val="20"/>
                <w:szCs w:val="20"/>
              </w:rPr>
            </w:pPr>
            <w:r w:rsidRPr="009C5ECD">
              <w:rPr>
                <w:color w:val="000000"/>
                <w:sz w:val="20"/>
                <w:szCs w:val="20"/>
              </w:rPr>
              <w:t>99</w:t>
            </w:r>
          </w:p>
        </w:tc>
        <w:tc>
          <w:tcPr>
            <w:tcW w:w="0" w:type="auto"/>
            <w:tcBorders>
              <w:top w:val="nil"/>
              <w:left w:val="nil"/>
              <w:bottom w:val="single" w:sz="8" w:space="0" w:color="auto"/>
              <w:right w:val="single" w:sz="8" w:space="0" w:color="auto"/>
            </w:tcBorders>
            <w:shd w:val="clear" w:color="000000" w:fill="B7DEE8"/>
            <w:noWrap/>
            <w:vAlign w:val="center"/>
            <w:hideMark/>
          </w:tcPr>
          <w:p w14:paraId="1E305E51" w14:textId="77777777" w:rsidR="00E03650" w:rsidRPr="009C5ECD" w:rsidRDefault="00E03650" w:rsidP="00666827">
            <w:pPr>
              <w:jc w:val="center"/>
              <w:rPr>
                <w:color w:val="000000"/>
                <w:sz w:val="20"/>
                <w:szCs w:val="20"/>
              </w:rPr>
            </w:pPr>
            <w:r w:rsidRPr="009C5ECD">
              <w:rPr>
                <w:color w:val="000000"/>
                <w:sz w:val="20"/>
                <w:szCs w:val="20"/>
              </w:rPr>
              <w:t>100%</w:t>
            </w:r>
          </w:p>
        </w:tc>
        <w:tc>
          <w:tcPr>
            <w:tcW w:w="0" w:type="auto"/>
            <w:tcBorders>
              <w:top w:val="nil"/>
              <w:left w:val="nil"/>
              <w:bottom w:val="single" w:sz="8" w:space="0" w:color="auto"/>
              <w:right w:val="single" w:sz="8" w:space="0" w:color="auto"/>
            </w:tcBorders>
            <w:shd w:val="clear" w:color="000000" w:fill="C5D9F1"/>
            <w:noWrap/>
            <w:vAlign w:val="center"/>
            <w:hideMark/>
          </w:tcPr>
          <w:p w14:paraId="409F0EF6" w14:textId="77777777" w:rsidR="00E03650" w:rsidRPr="009C5ECD" w:rsidRDefault="00E03650" w:rsidP="00666827">
            <w:pPr>
              <w:jc w:val="center"/>
              <w:rPr>
                <w:color w:val="000000"/>
                <w:sz w:val="20"/>
                <w:szCs w:val="20"/>
              </w:rPr>
            </w:pPr>
            <w:r w:rsidRPr="009C5ECD">
              <w:rPr>
                <w:color w:val="000000"/>
                <w:sz w:val="20"/>
                <w:szCs w:val="20"/>
              </w:rPr>
              <w:t>13</w:t>
            </w:r>
          </w:p>
        </w:tc>
        <w:tc>
          <w:tcPr>
            <w:tcW w:w="0" w:type="auto"/>
            <w:tcBorders>
              <w:top w:val="nil"/>
              <w:left w:val="nil"/>
              <w:bottom w:val="single" w:sz="8" w:space="0" w:color="auto"/>
              <w:right w:val="single" w:sz="8" w:space="0" w:color="auto"/>
            </w:tcBorders>
            <w:shd w:val="clear" w:color="000000" w:fill="C5D9F1"/>
            <w:noWrap/>
            <w:vAlign w:val="center"/>
            <w:hideMark/>
          </w:tcPr>
          <w:p w14:paraId="310DBC6C" w14:textId="77777777" w:rsidR="00E03650" w:rsidRPr="009C5ECD" w:rsidRDefault="00E03650" w:rsidP="00666827">
            <w:pPr>
              <w:jc w:val="center"/>
              <w:rPr>
                <w:color w:val="000000"/>
                <w:sz w:val="20"/>
                <w:szCs w:val="20"/>
              </w:rPr>
            </w:pPr>
            <w:r w:rsidRPr="009C5ECD">
              <w:rPr>
                <w:color w:val="000000"/>
                <w:sz w:val="20"/>
                <w:szCs w:val="20"/>
              </w:rPr>
              <w:t>52</w:t>
            </w:r>
          </w:p>
        </w:tc>
        <w:tc>
          <w:tcPr>
            <w:tcW w:w="0" w:type="auto"/>
            <w:tcBorders>
              <w:top w:val="nil"/>
              <w:left w:val="nil"/>
              <w:bottom w:val="single" w:sz="8" w:space="0" w:color="auto"/>
              <w:right w:val="single" w:sz="8" w:space="0" w:color="auto"/>
            </w:tcBorders>
            <w:shd w:val="clear" w:color="000000" w:fill="C5D9F1"/>
            <w:noWrap/>
            <w:vAlign w:val="center"/>
            <w:hideMark/>
          </w:tcPr>
          <w:p w14:paraId="770258E4" w14:textId="77777777" w:rsidR="00E03650" w:rsidRPr="009C5ECD" w:rsidRDefault="00E03650" w:rsidP="00666827">
            <w:pPr>
              <w:jc w:val="center"/>
              <w:rPr>
                <w:color w:val="000000"/>
                <w:sz w:val="20"/>
                <w:szCs w:val="20"/>
              </w:rPr>
            </w:pPr>
            <w:r w:rsidRPr="009C5ECD">
              <w:rPr>
                <w:color w:val="000000"/>
                <w:sz w:val="20"/>
                <w:szCs w:val="20"/>
              </w:rPr>
              <w:t>413%</w:t>
            </w:r>
          </w:p>
        </w:tc>
        <w:tc>
          <w:tcPr>
            <w:tcW w:w="0" w:type="auto"/>
            <w:tcBorders>
              <w:top w:val="nil"/>
              <w:left w:val="nil"/>
              <w:bottom w:val="single" w:sz="8" w:space="0" w:color="auto"/>
              <w:right w:val="single" w:sz="8" w:space="0" w:color="auto"/>
            </w:tcBorders>
            <w:shd w:val="clear" w:color="000000" w:fill="F2DCDB"/>
            <w:noWrap/>
            <w:vAlign w:val="center"/>
            <w:hideMark/>
          </w:tcPr>
          <w:p w14:paraId="301924FB" w14:textId="77777777" w:rsidR="00E03650" w:rsidRPr="009C5ECD" w:rsidRDefault="00E03650" w:rsidP="00666827">
            <w:pPr>
              <w:jc w:val="center"/>
              <w:rPr>
                <w:color w:val="000000"/>
                <w:sz w:val="20"/>
                <w:szCs w:val="20"/>
              </w:rPr>
            </w:pPr>
            <w:r w:rsidRPr="009C5ECD">
              <w:rPr>
                <w:color w:val="000000"/>
                <w:sz w:val="20"/>
                <w:szCs w:val="20"/>
              </w:rPr>
              <w:t>49</w:t>
            </w:r>
          </w:p>
        </w:tc>
        <w:tc>
          <w:tcPr>
            <w:tcW w:w="0" w:type="auto"/>
            <w:tcBorders>
              <w:top w:val="nil"/>
              <w:left w:val="nil"/>
              <w:bottom w:val="single" w:sz="8" w:space="0" w:color="auto"/>
              <w:right w:val="single" w:sz="8" w:space="0" w:color="auto"/>
            </w:tcBorders>
            <w:shd w:val="clear" w:color="000000" w:fill="F2DCDB"/>
            <w:noWrap/>
            <w:vAlign w:val="center"/>
            <w:hideMark/>
          </w:tcPr>
          <w:p w14:paraId="4FAC784A" w14:textId="77777777" w:rsidR="00E03650" w:rsidRPr="009C5ECD" w:rsidRDefault="00E03650" w:rsidP="00666827">
            <w:pPr>
              <w:jc w:val="center"/>
              <w:rPr>
                <w:color w:val="000000"/>
                <w:sz w:val="20"/>
                <w:szCs w:val="20"/>
              </w:rPr>
            </w:pPr>
            <w:r w:rsidRPr="009C5ECD">
              <w:rPr>
                <w:color w:val="000000"/>
                <w:sz w:val="20"/>
                <w:szCs w:val="20"/>
              </w:rPr>
              <w:t>544</w:t>
            </w:r>
          </w:p>
        </w:tc>
        <w:tc>
          <w:tcPr>
            <w:tcW w:w="0" w:type="auto"/>
            <w:tcBorders>
              <w:top w:val="nil"/>
              <w:left w:val="nil"/>
              <w:bottom w:val="single" w:sz="8" w:space="0" w:color="auto"/>
              <w:right w:val="single" w:sz="8" w:space="0" w:color="auto"/>
            </w:tcBorders>
            <w:shd w:val="clear" w:color="000000" w:fill="F2DCDB"/>
            <w:noWrap/>
            <w:vAlign w:val="center"/>
            <w:hideMark/>
          </w:tcPr>
          <w:p w14:paraId="268F972F" w14:textId="77777777" w:rsidR="00E03650" w:rsidRPr="009C5ECD" w:rsidRDefault="00E03650" w:rsidP="00666827">
            <w:pPr>
              <w:jc w:val="center"/>
              <w:rPr>
                <w:color w:val="000000"/>
                <w:sz w:val="20"/>
                <w:szCs w:val="20"/>
              </w:rPr>
            </w:pPr>
            <w:r w:rsidRPr="009C5ECD">
              <w:rPr>
                <w:color w:val="000000"/>
                <w:sz w:val="20"/>
                <w:szCs w:val="20"/>
              </w:rPr>
              <w:t>1104%</w:t>
            </w:r>
          </w:p>
        </w:tc>
        <w:tc>
          <w:tcPr>
            <w:tcW w:w="0" w:type="auto"/>
            <w:tcBorders>
              <w:top w:val="nil"/>
              <w:left w:val="nil"/>
              <w:bottom w:val="single" w:sz="8" w:space="0" w:color="auto"/>
              <w:right w:val="single" w:sz="8" w:space="0" w:color="auto"/>
            </w:tcBorders>
            <w:shd w:val="clear" w:color="000000" w:fill="D8E4BC"/>
            <w:noWrap/>
            <w:vAlign w:val="center"/>
            <w:hideMark/>
          </w:tcPr>
          <w:p w14:paraId="6DA7B9EB" w14:textId="77777777" w:rsidR="00E03650" w:rsidRPr="009C5ECD" w:rsidRDefault="00E03650" w:rsidP="00666827">
            <w:pPr>
              <w:jc w:val="center"/>
              <w:rPr>
                <w:color w:val="000000"/>
                <w:sz w:val="20"/>
                <w:szCs w:val="20"/>
              </w:rPr>
            </w:pPr>
            <w:r w:rsidRPr="009C5ECD">
              <w:rPr>
                <w:color w:val="000000"/>
                <w:sz w:val="20"/>
                <w:szCs w:val="20"/>
              </w:rPr>
              <w:t>123</w:t>
            </w:r>
          </w:p>
        </w:tc>
        <w:tc>
          <w:tcPr>
            <w:tcW w:w="0" w:type="auto"/>
            <w:tcBorders>
              <w:top w:val="nil"/>
              <w:left w:val="nil"/>
              <w:bottom w:val="single" w:sz="8" w:space="0" w:color="auto"/>
              <w:right w:val="single" w:sz="8" w:space="0" w:color="auto"/>
            </w:tcBorders>
            <w:shd w:val="clear" w:color="000000" w:fill="D8E4BC"/>
            <w:noWrap/>
            <w:vAlign w:val="center"/>
            <w:hideMark/>
          </w:tcPr>
          <w:p w14:paraId="56945006" w14:textId="77777777" w:rsidR="00E03650" w:rsidRPr="009C5ECD" w:rsidRDefault="00E03650" w:rsidP="00666827">
            <w:pPr>
              <w:jc w:val="center"/>
              <w:rPr>
                <w:color w:val="000000"/>
                <w:sz w:val="20"/>
                <w:szCs w:val="20"/>
              </w:rPr>
            </w:pPr>
            <w:r w:rsidRPr="009C5ECD">
              <w:rPr>
                <w:color w:val="000000"/>
                <w:sz w:val="20"/>
                <w:szCs w:val="20"/>
              </w:rPr>
              <w:t>0</w:t>
            </w:r>
          </w:p>
        </w:tc>
      </w:tr>
      <w:tr w:rsidR="001129C8" w:rsidRPr="009C5ECD" w14:paraId="6006CEEE"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66D7AB1" w14:textId="77777777" w:rsidR="00E03650" w:rsidRPr="009C5ECD" w:rsidRDefault="00E03650" w:rsidP="00666827">
            <w:pPr>
              <w:jc w:val="center"/>
              <w:rPr>
                <w:color w:val="000000"/>
                <w:sz w:val="20"/>
                <w:szCs w:val="20"/>
              </w:rPr>
            </w:pPr>
            <w:r w:rsidRPr="009C5ECD">
              <w:rPr>
                <w:color w:val="000000"/>
                <w:sz w:val="20"/>
                <w:szCs w:val="20"/>
              </w:rPr>
              <w:t>Cubera snapper</w:t>
            </w:r>
          </w:p>
        </w:tc>
        <w:tc>
          <w:tcPr>
            <w:tcW w:w="0" w:type="auto"/>
            <w:tcBorders>
              <w:top w:val="nil"/>
              <w:left w:val="nil"/>
              <w:bottom w:val="single" w:sz="8" w:space="0" w:color="auto"/>
              <w:right w:val="single" w:sz="8" w:space="0" w:color="auto"/>
            </w:tcBorders>
            <w:shd w:val="clear" w:color="000000" w:fill="B7DEE8"/>
            <w:noWrap/>
            <w:vAlign w:val="center"/>
            <w:hideMark/>
          </w:tcPr>
          <w:p w14:paraId="5108A8FF" w14:textId="77777777" w:rsidR="00E03650" w:rsidRPr="009C5ECD" w:rsidRDefault="00E03650" w:rsidP="00666827">
            <w:pPr>
              <w:jc w:val="center"/>
              <w:rPr>
                <w:color w:val="000000"/>
                <w:sz w:val="20"/>
                <w:szCs w:val="20"/>
              </w:rPr>
            </w:pPr>
            <w:r w:rsidRPr="009C5ECD">
              <w:rPr>
                <w:color w:val="000000"/>
                <w:sz w:val="20"/>
                <w:szCs w:val="20"/>
              </w:rPr>
              <w:t>290</w:t>
            </w:r>
          </w:p>
        </w:tc>
        <w:tc>
          <w:tcPr>
            <w:tcW w:w="0" w:type="auto"/>
            <w:tcBorders>
              <w:top w:val="nil"/>
              <w:left w:val="nil"/>
              <w:bottom w:val="single" w:sz="8" w:space="0" w:color="auto"/>
              <w:right w:val="single" w:sz="8" w:space="0" w:color="auto"/>
            </w:tcBorders>
            <w:shd w:val="clear" w:color="000000" w:fill="B7DEE8"/>
            <w:noWrap/>
            <w:vAlign w:val="center"/>
            <w:hideMark/>
          </w:tcPr>
          <w:p w14:paraId="54483087" w14:textId="77777777" w:rsidR="00E03650" w:rsidRPr="009C5ECD" w:rsidRDefault="00E03650" w:rsidP="00666827">
            <w:pPr>
              <w:jc w:val="center"/>
              <w:rPr>
                <w:color w:val="000000"/>
                <w:sz w:val="20"/>
                <w:szCs w:val="20"/>
              </w:rPr>
            </w:pPr>
            <w:r w:rsidRPr="009C5ECD">
              <w:rPr>
                <w:color w:val="000000"/>
                <w:sz w:val="20"/>
                <w:szCs w:val="20"/>
              </w:rPr>
              <w:t>16</w:t>
            </w:r>
          </w:p>
        </w:tc>
        <w:tc>
          <w:tcPr>
            <w:tcW w:w="0" w:type="auto"/>
            <w:tcBorders>
              <w:top w:val="nil"/>
              <w:left w:val="nil"/>
              <w:bottom w:val="single" w:sz="8" w:space="0" w:color="auto"/>
              <w:right w:val="single" w:sz="8" w:space="0" w:color="auto"/>
            </w:tcBorders>
            <w:shd w:val="clear" w:color="000000" w:fill="B7DEE8"/>
            <w:noWrap/>
            <w:vAlign w:val="center"/>
            <w:hideMark/>
          </w:tcPr>
          <w:p w14:paraId="707A887A" w14:textId="77777777" w:rsidR="00E03650" w:rsidRPr="009C5ECD" w:rsidRDefault="00E03650" w:rsidP="00666827">
            <w:pPr>
              <w:jc w:val="center"/>
              <w:rPr>
                <w:color w:val="000000"/>
                <w:sz w:val="20"/>
                <w:szCs w:val="20"/>
              </w:rPr>
            </w:pPr>
            <w:r w:rsidRPr="009C5ECD">
              <w:rPr>
                <w:color w:val="000000"/>
                <w:sz w:val="20"/>
                <w:szCs w:val="20"/>
              </w:rPr>
              <w:t>6%</w:t>
            </w:r>
          </w:p>
        </w:tc>
        <w:tc>
          <w:tcPr>
            <w:tcW w:w="0" w:type="auto"/>
            <w:tcBorders>
              <w:top w:val="nil"/>
              <w:left w:val="nil"/>
              <w:bottom w:val="single" w:sz="8" w:space="0" w:color="auto"/>
              <w:right w:val="single" w:sz="8" w:space="0" w:color="auto"/>
            </w:tcBorders>
            <w:shd w:val="clear" w:color="000000" w:fill="C5D9F1"/>
            <w:noWrap/>
            <w:vAlign w:val="center"/>
            <w:hideMark/>
          </w:tcPr>
          <w:p w14:paraId="27D29D91" w14:textId="77777777" w:rsidR="00E03650" w:rsidRPr="009C5ECD" w:rsidRDefault="00E03650" w:rsidP="00666827">
            <w:pPr>
              <w:jc w:val="center"/>
              <w:rPr>
                <w:color w:val="000000"/>
                <w:sz w:val="20"/>
                <w:szCs w:val="20"/>
              </w:rPr>
            </w:pPr>
            <w:r w:rsidRPr="009C5ECD">
              <w:rPr>
                <w:color w:val="000000"/>
                <w:sz w:val="20"/>
                <w:szCs w:val="20"/>
              </w:rPr>
              <w:t>87</w:t>
            </w:r>
          </w:p>
        </w:tc>
        <w:tc>
          <w:tcPr>
            <w:tcW w:w="0" w:type="auto"/>
            <w:tcBorders>
              <w:top w:val="nil"/>
              <w:left w:val="nil"/>
              <w:bottom w:val="single" w:sz="8" w:space="0" w:color="auto"/>
              <w:right w:val="single" w:sz="8" w:space="0" w:color="auto"/>
            </w:tcBorders>
            <w:shd w:val="clear" w:color="000000" w:fill="C5D9F1"/>
            <w:noWrap/>
            <w:vAlign w:val="center"/>
            <w:hideMark/>
          </w:tcPr>
          <w:p w14:paraId="55F39738"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7CFD2D7C"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17C6EEB4" w14:textId="77777777" w:rsidR="00E03650" w:rsidRPr="009C5ECD" w:rsidRDefault="00E03650" w:rsidP="00666827">
            <w:pPr>
              <w:jc w:val="center"/>
              <w:rPr>
                <w:color w:val="000000"/>
                <w:sz w:val="20"/>
                <w:szCs w:val="20"/>
              </w:rPr>
            </w:pPr>
            <w:r w:rsidRPr="009C5ECD">
              <w:rPr>
                <w:color w:val="000000"/>
                <w:sz w:val="20"/>
                <w:szCs w:val="20"/>
              </w:rPr>
              <w:t>2,298</w:t>
            </w:r>
          </w:p>
        </w:tc>
        <w:tc>
          <w:tcPr>
            <w:tcW w:w="0" w:type="auto"/>
            <w:tcBorders>
              <w:top w:val="nil"/>
              <w:left w:val="nil"/>
              <w:bottom w:val="single" w:sz="8" w:space="0" w:color="auto"/>
              <w:right w:val="single" w:sz="8" w:space="0" w:color="auto"/>
            </w:tcBorders>
            <w:shd w:val="clear" w:color="000000" w:fill="F2DCDB"/>
            <w:noWrap/>
            <w:vAlign w:val="center"/>
            <w:hideMark/>
          </w:tcPr>
          <w:p w14:paraId="45C01E39" w14:textId="77777777" w:rsidR="00E03650" w:rsidRPr="009C5ECD" w:rsidRDefault="00E03650" w:rsidP="00666827">
            <w:pPr>
              <w:jc w:val="center"/>
              <w:rPr>
                <w:color w:val="000000"/>
                <w:sz w:val="20"/>
                <w:szCs w:val="20"/>
              </w:rPr>
            </w:pPr>
            <w:r w:rsidRPr="009C5ECD">
              <w:rPr>
                <w:color w:val="000000"/>
                <w:sz w:val="20"/>
                <w:szCs w:val="20"/>
              </w:rPr>
              <w:t>254</w:t>
            </w:r>
          </w:p>
        </w:tc>
        <w:tc>
          <w:tcPr>
            <w:tcW w:w="0" w:type="auto"/>
            <w:tcBorders>
              <w:top w:val="nil"/>
              <w:left w:val="nil"/>
              <w:bottom w:val="single" w:sz="8" w:space="0" w:color="auto"/>
              <w:right w:val="single" w:sz="8" w:space="0" w:color="auto"/>
            </w:tcBorders>
            <w:shd w:val="clear" w:color="000000" w:fill="F2DCDB"/>
            <w:noWrap/>
            <w:vAlign w:val="center"/>
            <w:hideMark/>
          </w:tcPr>
          <w:p w14:paraId="76543856" w14:textId="77777777" w:rsidR="00E03650" w:rsidRPr="009C5ECD" w:rsidRDefault="00E03650" w:rsidP="00666827">
            <w:pPr>
              <w:jc w:val="center"/>
              <w:rPr>
                <w:color w:val="000000"/>
                <w:sz w:val="20"/>
                <w:szCs w:val="20"/>
              </w:rPr>
            </w:pPr>
            <w:r w:rsidRPr="009C5ECD">
              <w:rPr>
                <w:color w:val="000000"/>
                <w:sz w:val="20"/>
                <w:szCs w:val="20"/>
              </w:rPr>
              <w:t>11%</w:t>
            </w:r>
          </w:p>
        </w:tc>
        <w:tc>
          <w:tcPr>
            <w:tcW w:w="0" w:type="auto"/>
            <w:tcBorders>
              <w:top w:val="nil"/>
              <w:left w:val="nil"/>
              <w:bottom w:val="single" w:sz="8" w:space="0" w:color="auto"/>
              <w:right w:val="single" w:sz="8" w:space="0" w:color="auto"/>
            </w:tcBorders>
            <w:shd w:val="clear" w:color="000000" w:fill="D8E4BC"/>
            <w:noWrap/>
            <w:vAlign w:val="center"/>
            <w:hideMark/>
          </w:tcPr>
          <w:p w14:paraId="18022DF6" w14:textId="77777777" w:rsidR="00E03650" w:rsidRPr="009C5ECD" w:rsidRDefault="00E03650" w:rsidP="00666827">
            <w:pPr>
              <w:jc w:val="center"/>
              <w:rPr>
                <w:color w:val="000000"/>
                <w:sz w:val="20"/>
                <w:szCs w:val="20"/>
              </w:rPr>
            </w:pPr>
            <w:r w:rsidRPr="009C5ECD">
              <w:rPr>
                <w:color w:val="000000"/>
                <w:sz w:val="20"/>
                <w:szCs w:val="20"/>
              </w:rPr>
              <w:t>3,967</w:t>
            </w:r>
          </w:p>
        </w:tc>
        <w:tc>
          <w:tcPr>
            <w:tcW w:w="0" w:type="auto"/>
            <w:tcBorders>
              <w:top w:val="nil"/>
              <w:left w:val="nil"/>
              <w:bottom w:val="single" w:sz="8" w:space="0" w:color="auto"/>
              <w:right w:val="single" w:sz="8" w:space="0" w:color="auto"/>
            </w:tcBorders>
            <w:shd w:val="clear" w:color="000000" w:fill="D8E4BC"/>
            <w:noWrap/>
            <w:vAlign w:val="center"/>
            <w:hideMark/>
          </w:tcPr>
          <w:p w14:paraId="26A9ED71" w14:textId="77777777" w:rsidR="00E03650" w:rsidRPr="009C5ECD" w:rsidRDefault="00E03650" w:rsidP="00666827">
            <w:pPr>
              <w:jc w:val="center"/>
              <w:rPr>
                <w:color w:val="000000"/>
                <w:sz w:val="20"/>
                <w:szCs w:val="20"/>
              </w:rPr>
            </w:pPr>
            <w:r w:rsidRPr="009C5ECD">
              <w:rPr>
                <w:color w:val="000000"/>
                <w:sz w:val="20"/>
                <w:szCs w:val="20"/>
              </w:rPr>
              <w:t>6</w:t>
            </w:r>
          </w:p>
        </w:tc>
      </w:tr>
      <w:tr w:rsidR="001129C8" w:rsidRPr="009C5ECD" w14:paraId="10B9B244"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03D7A39" w14:textId="77777777" w:rsidR="00E03650" w:rsidRPr="009C5ECD" w:rsidRDefault="00E03650" w:rsidP="00666827">
            <w:pPr>
              <w:jc w:val="center"/>
              <w:rPr>
                <w:color w:val="000000"/>
                <w:sz w:val="20"/>
                <w:szCs w:val="20"/>
              </w:rPr>
            </w:pPr>
            <w:r w:rsidRPr="009C5ECD">
              <w:rPr>
                <w:color w:val="000000"/>
                <w:sz w:val="20"/>
                <w:szCs w:val="20"/>
              </w:rPr>
              <w:t>Gag</w:t>
            </w:r>
          </w:p>
        </w:tc>
        <w:tc>
          <w:tcPr>
            <w:tcW w:w="0" w:type="auto"/>
            <w:tcBorders>
              <w:top w:val="nil"/>
              <w:left w:val="nil"/>
              <w:bottom w:val="single" w:sz="8" w:space="0" w:color="auto"/>
              <w:right w:val="single" w:sz="8" w:space="0" w:color="auto"/>
            </w:tcBorders>
            <w:shd w:val="clear" w:color="000000" w:fill="B7DEE8"/>
            <w:noWrap/>
            <w:vAlign w:val="center"/>
            <w:hideMark/>
          </w:tcPr>
          <w:p w14:paraId="5186968D" w14:textId="77777777" w:rsidR="00E03650" w:rsidRPr="009C5ECD" w:rsidRDefault="00E03650" w:rsidP="00666827">
            <w:pPr>
              <w:jc w:val="center"/>
              <w:rPr>
                <w:color w:val="000000"/>
                <w:sz w:val="20"/>
                <w:szCs w:val="20"/>
              </w:rPr>
            </w:pPr>
            <w:r w:rsidRPr="009C5ECD">
              <w:rPr>
                <w:color w:val="000000"/>
                <w:sz w:val="20"/>
                <w:szCs w:val="20"/>
              </w:rPr>
              <w:t>1,606</w:t>
            </w:r>
          </w:p>
        </w:tc>
        <w:tc>
          <w:tcPr>
            <w:tcW w:w="0" w:type="auto"/>
            <w:tcBorders>
              <w:top w:val="nil"/>
              <w:left w:val="nil"/>
              <w:bottom w:val="single" w:sz="8" w:space="0" w:color="auto"/>
              <w:right w:val="single" w:sz="8" w:space="0" w:color="auto"/>
            </w:tcBorders>
            <w:shd w:val="clear" w:color="000000" w:fill="B7DEE8"/>
            <w:noWrap/>
            <w:vAlign w:val="center"/>
            <w:hideMark/>
          </w:tcPr>
          <w:p w14:paraId="334A81C2" w14:textId="77777777" w:rsidR="00E03650" w:rsidRPr="009C5ECD" w:rsidRDefault="00E03650" w:rsidP="00666827">
            <w:pPr>
              <w:jc w:val="center"/>
              <w:rPr>
                <w:color w:val="000000"/>
                <w:sz w:val="20"/>
                <w:szCs w:val="20"/>
              </w:rPr>
            </w:pPr>
            <w:r w:rsidRPr="009C5ECD">
              <w:rPr>
                <w:color w:val="000000"/>
                <w:sz w:val="20"/>
                <w:szCs w:val="20"/>
              </w:rPr>
              <w:t>2,704</w:t>
            </w:r>
          </w:p>
        </w:tc>
        <w:tc>
          <w:tcPr>
            <w:tcW w:w="0" w:type="auto"/>
            <w:tcBorders>
              <w:top w:val="nil"/>
              <w:left w:val="nil"/>
              <w:bottom w:val="single" w:sz="8" w:space="0" w:color="auto"/>
              <w:right w:val="single" w:sz="8" w:space="0" w:color="auto"/>
            </w:tcBorders>
            <w:shd w:val="clear" w:color="000000" w:fill="B7DEE8"/>
            <w:noWrap/>
            <w:vAlign w:val="center"/>
            <w:hideMark/>
          </w:tcPr>
          <w:p w14:paraId="4C60ABDE" w14:textId="77777777" w:rsidR="00E03650" w:rsidRPr="009C5ECD" w:rsidRDefault="00E03650" w:rsidP="00666827">
            <w:pPr>
              <w:jc w:val="center"/>
              <w:rPr>
                <w:color w:val="000000"/>
                <w:sz w:val="20"/>
                <w:szCs w:val="20"/>
              </w:rPr>
            </w:pPr>
            <w:r w:rsidRPr="009C5ECD">
              <w:rPr>
                <w:color w:val="000000"/>
                <w:sz w:val="20"/>
                <w:szCs w:val="20"/>
              </w:rPr>
              <w:t>168%</w:t>
            </w:r>
          </w:p>
        </w:tc>
        <w:tc>
          <w:tcPr>
            <w:tcW w:w="0" w:type="auto"/>
            <w:tcBorders>
              <w:top w:val="nil"/>
              <w:left w:val="nil"/>
              <w:bottom w:val="single" w:sz="8" w:space="0" w:color="auto"/>
              <w:right w:val="single" w:sz="8" w:space="0" w:color="auto"/>
            </w:tcBorders>
            <w:shd w:val="clear" w:color="000000" w:fill="C5D9F1"/>
            <w:noWrap/>
            <w:vAlign w:val="center"/>
            <w:hideMark/>
          </w:tcPr>
          <w:p w14:paraId="33AE4CEC" w14:textId="77777777" w:rsidR="00E03650" w:rsidRPr="009C5ECD" w:rsidRDefault="00E03650" w:rsidP="00666827">
            <w:pPr>
              <w:jc w:val="center"/>
              <w:rPr>
                <w:color w:val="000000"/>
                <w:sz w:val="20"/>
                <w:szCs w:val="20"/>
              </w:rPr>
            </w:pPr>
            <w:r w:rsidRPr="009C5ECD">
              <w:rPr>
                <w:color w:val="000000"/>
                <w:sz w:val="20"/>
                <w:szCs w:val="20"/>
              </w:rPr>
              <w:t>2,550</w:t>
            </w:r>
          </w:p>
        </w:tc>
        <w:tc>
          <w:tcPr>
            <w:tcW w:w="0" w:type="auto"/>
            <w:tcBorders>
              <w:top w:val="nil"/>
              <w:left w:val="nil"/>
              <w:bottom w:val="single" w:sz="8" w:space="0" w:color="auto"/>
              <w:right w:val="single" w:sz="8" w:space="0" w:color="auto"/>
            </w:tcBorders>
            <w:shd w:val="clear" w:color="000000" w:fill="C5D9F1"/>
            <w:noWrap/>
            <w:vAlign w:val="center"/>
            <w:hideMark/>
          </w:tcPr>
          <w:p w14:paraId="40C9DB71" w14:textId="77777777" w:rsidR="00E03650" w:rsidRPr="009C5ECD" w:rsidRDefault="00E03650" w:rsidP="00666827">
            <w:pPr>
              <w:jc w:val="center"/>
              <w:rPr>
                <w:color w:val="000000"/>
                <w:sz w:val="20"/>
                <w:szCs w:val="20"/>
              </w:rPr>
            </w:pPr>
            <w:r w:rsidRPr="009C5ECD">
              <w:rPr>
                <w:color w:val="000000"/>
                <w:sz w:val="20"/>
                <w:szCs w:val="20"/>
              </w:rPr>
              <w:t>14,427</w:t>
            </w:r>
          </w:p>
        </w:tc>
        <w:tc>
          <w:tcPr>
            <w:tcW w:w="0" w:type="auto"/>
            <w:tcBorders>
              <w:top w:val="nil"/>
              <w:left w:val="nil"/>
              <w:bottom w:val="single" w:sz="8" w:space="0" w:color="auto"/>
              <w:right w:val="single" w:sz="8" w:space="0" w:color="auto"/>
            </w:tcBorders>
            <w:shd w:val="clear" w:color="000000" w:fill="C5D9F1"/>
            <w:noWrap/>
            <w:vAlign w:val="center"/>
            <w:hideMark/>
          </w:tcPr>
          <w:p w14:paraId="1AF4527F" w14:textId="77777777" w:rsidR="00E03650" w:rsidRPr="009C5ECD" w:rsidRDefault="00E03650" w:rsidP="00666827">
            <w:pPr>
              <w:jc w:val="center"/>
              <w:rPr>
                <w:color w:val="000000"/>
                <w:sz w:val="20"/>
                <w:szCs w:val="20"/>
              </w:rPr>
            </w:pPr>
            <w:r w:rsidRPr="009C5ECD">
              <w:rPr>
                <w:color w:val="000000"/>
                <w:sz w:val="20"/>
                <w:szCs w:val="20"/>
              </w:rPr>
              <w:t>566%</w:t>
            </w:r>
          </w:p>
        </w:tc>
        <w:tc>
          <w:tcPr>
            <w:tcW w:w="0" w:type="auto"/>
            <w:tcBorders>
              <w:top w:val="nil"/>
              <w:left w:val="nil"/>
              <w:bottom w:val="single" w:sz="8" w:space="0" w:color="auto"/>
              <w:right w:val="single" w:sz="8" w:space="0" w:color="auto"/>
            </w:tcBorders>
            <w:shd w:val="clear" w:color="000000" w:fill="F2DCDB"/>
            <w:noWrap/>
            <w:vAlign w:val="center"/>
            <w:hideMark/>
          </w:tcPr>
          <w:p w14:paraId="2A0DA0D0" w14:textId="77777777" w:rsidR="00E03650" w:rsidRPr="009C5ECD" w:rsidRDefault="00E03650" w:rsidP="00666827">
            <w:pPr>
              <w:jc w:val="center"/>
              <w:rPr>
                <w:color w:val="000000"/>
                <w:sz w:val="20"/>
                <w:szCs w:val="20"/>
              </w:rPr>
            </w:pPr>
            <w:r w:rsidRPr="009C5ECD">
              <w:rPr>
                <w:color w:val="000000"/>
                <w:sz w:val="20"/>
                <w:szCs w:val="20"/>
              </w:rPr>
              <w:t>8,552</w:t>
            </w:r>
          </w:p>
        </w:tc>
        <w:tc>
          <w:tcPr>
            <w:tcW w:w="0" w:type="auto"/>
            <w:tcBorders>
              <w:top w:val="nil"/>
              <w:left w:val="nil"/>
              <w:bottom w:val="single" w:sz="8" w:space="0" w:color="auto"/>
              <w:right w:val="single" w:sz="8" w:space="0" w:color="auto"/>
            </w:tcBorders>
            <w:shd w:val="clear" w:color="000000" w:fill="F2DCDB"/>
            <w:noWrap/>
            <w:vAlign w:val="center"/>
            <w:hideMark/>
          </w:tcPr>
          <w:p w14:paraId="67DF1AC2" w14:textId="77777777" w:rsidR="00E03650" w:rsidRPr="009C5ECD" w:rsidRDefault="00E03650" w:rsidP="00666827">
            <w:pPr>
              <w:jc w:val="center"/>
              <w:rPr>
                <w:color w:val="000000"/>
                <w:sz w:val="20"/>
                <w:szCs w:val="20"/>
              </w:rPr>
            </w:pPr>
            <w:r w:rsidRPr="009C5ECD">
              <w:rPr>
                <w:color w:val="000000"/>
                <w:sz w:val="20"/>
                <w:szCs w:val="20"/>
              </w:rPr>
              <w:t>71,465</w:t>
            </w:r>
          </w:p>
        </w:tc>
        <w:tc>
          <w:tcPr>
            <w:tcW w:w="0" w:type="auto"/>
            <w:tcBorders>
              <w:top w:val="nil"/>
              <w:left w:val="nil"/>
              <w:bottom w:val="single" w:sz="8" w:space="0" w:color="auto"/>
              <w:right w:val="single" w:sz="8" w:space="0" w:color="auto"/>
            </w:tcBorders>
            <w:shd w:val="clear" w:color="000000" w:fill="F2DCDB"/>
            <w:noWrap/>
            <w:vAlign w:val="center"/>
            <w:hideMark/>
          </w:tcPr>
          <w:p w14:paraId="75128473" w14:textId="77777777" w:rsidR="00E03650" w:rsidRPr="009C5ECD" w:rsidRDefault="00E03650" w:rsidP="00666827">
            <w:pPr>
              <w:jc w:val="center"/>
              <w:rPr>
                <w:color w:val="000000"/>
                <w:sz w:val="20"/>
                <w:szCs w:val="20"/>
              </w:rPr>
            </w:pPr>
            <w:r w:rsidRPr="009C5ECD">
              <w:rPr>
                <w:color w:val="000000"/>
                <w:sz w:val="20"/>
                <w:szCs w:val="20"/>
              </w:rPr>
              <w:t>836%</w:t>
            </w:r>
          </w:p>
        </w:tc>
        <w:tc>
          <w:tcPr>
            <w:tcW w:w="0" w:type="auto"/>
            <w:tcBorders>
              <w:top w:val="nil"/>
              <w:left w:val="nil"/>
              <w:bottom w:val="single" w:sz="8" w:space="0" w:color="auto"/>
              <w:right w:val="single" w:sz="8" w:space="0" w:color="auto"/>
            </w:tcBorders>
            <w:shd w:val="clear" w:color="000000" w:fill="D8E4BC"/>
            <w:noWrap/>
            <w:vAlign w:val="center"/>
            <w:hideMark/>
          </w:tcPr>
          <w:p w14:paraId="62703945" w14:textId="77777777" w:rsidR="00E03650" w:rsidRPr="009C5ECD" w:rsidRDefault="00E03650" w:rsidP="00666827">
            <w:pPr>
              <w:jc w:val="center"/>
              <w:rPr>
                <w:color w:val="000000"/>
                <w:sz w:val="20"/>
                <w:szCs w:val="20"/>
              </w:rPr>
            </w:pPr>
            <w:r w:rsidRPr="009C5ECD">
              <w:rPr>
                <w:color w:val="000000"/>
                <w:sz w:val="20"/>
                <w:szCs w:val="20"/>
              </w:rPr>
              <w:t>413,781</w:t>
            </w:r>
          </w:p>
        </w:tc>
        <w:tc>
          <w:tcPr>
            <w:tcW w:w="0" w:type="auto"/>
            <w:tcBorders>
              <w:top w:val="nil"/>
              <w:left w:val="nil"/>
              <w:bottom w:val="single" w:sz="8" w:space="0" w:color="auto"/>
              <w:right w:val="single" w:sz="8" w:space="0" w:color="auto"/>
            </w:tcBorders>
            <w:shd w:val="clear" w:color="000000" w:fill="D8E4BC"/>
            <w:noWrap/>
            <w:vAlign w:val="center"/>
            <w:hideMark/>
          </w:tcPr>
          <w:p w14:paraId="0651F1E6" w14:textId="77777777" w:rsidR="00E03650" w:rsidRPr="009C5ECD" w:rsidRDefault="00E03650" w:rsidP="00666827">
            <w:pPr>
              <w:jc w:val="center"/>
              <w:rPr>
                <w:color w:val="000000"/>
                <w:sz w:val="20"/>
                <w:szCs w:val="20"/>
              </w:rPr>
            </w:pPr>
            <w:r w:rsidRPr="009C5ECD">
              <w:rPr>
                <w:color w:val="000000"/>
                <w:sz w:val="20"/>
                <w:szCs w:val="20"/>
              </w:rPr>
              <w:t>6,723</w:t>
            </w:r>
          </w:p>
        </w:tc>
      </w:tr>
      <w:tr w:rsidR="001129C8" w:rsidRPr="009C5ECD" w14:paraId="71866817"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EF88689" w14:textId="77777777" w:rsidR="00E03650" w:rsidRPr="009C5ECD" w:rsidRDefault="00E03650" w:rsidP="00666827">
            <w:pPr>
              <w:jc w:val="center"/>
              <w:rPr>
                <w:color w:val="000000"/>
                <w:sz w:val="20"/>
                <w:szCs w:val="20"/>
              </w:rPr>
            </w:pPr>
            <w:r w:rsidRPr="009C5ECD">
              <w:rPr>
                <w:color w:val="000000"/>
                <w:sz w:val="20"/>
                <w:szCs w:val="20"/>
              </w:rPr>
              <w:t>Golden tilefish</w:t>
            </w:r>
          </w:p>
        </w:tc>
        <w:tc>
          <w:tcPr>
            <w:tcW w:w="0" w:type="auto"/>
            <w:tcBorders>
              <w:top w:val="nil"/>
              <w:left w:val="nil"/>
              <w:bottom w:val="single" w:sz="8" w:space="0" w:color="auto"/>
              <w:right w:val="single" w:sz="8" w:space="0" w:color="auto"/>
            </w:tcBorders>
            <w:shd w:val="clear" w:color="000000" w:fill="B7DEE8"/>
            <w:noWrap/>
            <w:vAlign w:val="center"/>
            <w:hideMark/>
          </w:tcPr>
          <w:p w14:paraId="5F4E1993" w14:textId="77777777" w:rsidR="00E03650" w:rsidRPr="009C5ECD" w:rsidRDefault="00E03650" w:rsidP="00666827">
            <w:pPr>
              <w:jc w:val="center"/>
              <w:rPr>
                <w:color w:val="000000"/>
                <w:sz w:val="20"/>
                <w:szCs w:val="20"/>
              </w:rPr>
            </w:pPr>
            <w:r w:rsidRPr="009C5ECD">
              <w:rPr>
                <w:color w:val="000000"/>
                <w:sz w:val="20"/>
                <w:szCs w:val="20"/>
              </w:rPr>
              <w:t>79</w:t>
            </w:r>
          </w:p>
        </w:tc>
        <w:tc>
          <w:tcPr>
            <w:tcW w:w="0" w:type="auto"/>
            <w:tcBorders>
              <w:top w:val="nil"/>
              <w:left w:val="nil"/>
              <w:bottom w:val="single" w:sz="8" w:space="0" w:color="auto"/>
              <w:right w:val="single" w:sz="8" w:space="0" w:color="auto"/>
            </w:tcBorders>
            <w:shd w:val="clear" w:color="000000" w:fill="B7DEE8"/>
            <w:noWrap/>
            <w:vAlign w:val="center"/>
            <w:hideMark/>
          </w:tcPr>
          <w:p w14:paraId="5237F425"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B7DEE8"/>
            <w:noWrap/>
            <w:vAlign w:val="center"/>
            <w:hideMark/>
          </w:tcPr>
          <w:p w14:paraId="479DFDD1"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131F149E" w14:textId="77777777" w:rsidR="00E03650" w:rsidRPr="009C5ECD" w:rsidRDefault="00E03650" w:rsidP="00666827">
            <w:pPr>
              <w:jc w:val="center"/>
              <w:rPr>
                <w:color w:val="000000"/>
                <w:sz w:val="20"/>
                <w:szCs w:val="20"/>
              </w:rPr>
            </w:pPr>
            <w:r w:rsidRPr="009C5ECD">
              <w:rPr>
                <w:color w:val="000000"/>
                <w:sz w:val="20"/>
                <w:szCs w:val="20"/>
              </w:rPr>
              <w:t>1,447</w:t>
            </w:r>
          </w:p>
        </w:tc>
        <w:tc>
          <w:tcPr>
            <w:tcW w:w="0" w:type="auto"/>
            <w:tcBorders>
              <w:top w:val="nil"/>
              <w:left w:val="nil"/>
              <w:bottom w:val="single" w:sz="8" w:space="0" w:color="auto"/>
              <w:right w:val="single" w:sz="8" w:space="0" w:color="auto"/>
            </w:tcBorders>
            <w:shd w:val="clear" w:color="000000" w:fill="C5D9F1"/>
            <w:noWrap/>
            <w:vAlign w:val="center"/>
            <w:hideMark/>
          </w:tcPr>
          <w:p w14:paraId="2A66B523"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413FBAFC"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44F52306" w14:textId="77777777" w:rsidR="00E03650" w:rsidRPr="009C5ECD" w:rsidRDefault="00E03650" w:rsidP="00666827">
            <w:pPr>
              <w:jc w:val="center"/>
              <w:rPr>
                <w:color w:val="000000"/>
                <w:sz w:val="20"/>
                <w:szCs w:val="20"/>
              </w:rPr>
            </w:pPr>
            <w:r w:rsidRPr="009C5ECD">
              <w:rPr>
                <w:color w:val="000000"/>
                <w:sz w:val="20"/>
                <w:szCs w:val="20"/>
              </w:rPr>
              <w:t>1,697</w:t>
            </w:r>
          </w:p>
        </w:tc>
        <w:tc>
          <w:tcPr>
            <w:tcW w:w="0" w:type="auto"/>
            <w:tcBorders>
              <w:top w:val="nil"/>
              <w:left w:val="nil"/>
              <w:bottom w:val="single" w:sz="8" w:space="0" w:color="auto"/>
              <w:right w:val="single" w:sz="8" w:space="0" w:color="auto"/>
            </w:tcBorders>
            <w:shd w:val="clear" w:color="000000" w:fill="F2DCDB"/>
            <w:noWrap/>
            <w:vAlign w:val="center"/>
            <w:hideMark/>
          </w:tcPr>
          <w:p w14:paraId="0B4D6FFB" w14:textId="77777777" w:rsidR="00E03650" w:rsidRPr="009C5ECD" w:rsidRDefault="00E03650" w:rsidP="00666827">
            <w:pPr>
              <w:jc w:val="center"/>
              <w:rPr>
                <w:color w:val="000000"/>
                <w:sz w:val="20"/>
                <w:szCs w:val="20"/>
              </w:rPr>
            </w:pPr>
            <w:r w:rsidRPr="009C5ECD">
              <w:rPr>
                <w:color w:val="000000"/>
                <w:sz w:val="20"/>
                <w:szCs w:val="20"/>
              </w:rPr>
              <w:t>184</w:t>
            </w:r>
          </w:p>
        </w:tc>
        <w:tc>
          <w:tcPr>
            <w:tcW w:w="0" w:type="auto"/>
            <w:tcBorders>
              <w:top w:val="nil"/>
              <w:left w:val="nil"/>
              <w:bottom w:val="single" w:sz="8" w:space="0" w:color="auto"/>
              <w:right w:val="single" w:sz="8" w:space="0" w:color="auto"/>
            </w:tcBorders>
            <w:shd w:val="clear" w:color="000000" w:fill="F2DCDB"/>
            <w:noWrap/>
            <w:vAlign w:val="center"/>
            <w:hideMark/>
          </w:tcPr>
          <w:p w14:paraId="34CD98A5" w14:textId="77777777" w:rsidR="00E03650" w:rsidRPr="009C5ECD" w:rsidRDefault="00E03650" w:rsidP="00666827">
            <w:pPr>
              <w:jc w:val="center"/>
              <w:rPr>
                <w:color w:val="000000"/>
                <w:sz w:val="20"/>
                <w:szCs w:val="20"/>
              </w:rPr>
            </w:pPr>
            <w:r w:rsidRPr="009C5ECD">
              <w:rPr>
                <w:color w:val="000000"/>
                <w:sz w:val="20"/>
                <w:szCs w:val="20"/>
              </w:rPr>
              <w:t>11%</w:t>
            </w:r>
          </w:p>
        </w:tc>
        <w:tc>
          <w:tcPr>
            <w:tcW w:w="0" w:type="auto"/>
            <w:tcBorders>
              <w:top w:val="nil"/>
              <w:left w:val="nil"/>
              <w:bottom w:val="single" w:sz="8" w:space="0" w:color="auto"/>
              <w:right w:val="single" w:sz="8" w:space="0" w:color="auto"/>
            </w:tcBorders>
            <w:shd w:val="clear" w:color="000000" w:fill="D8E4BC"/>
            <w:noWrap/>
            <w:vAlign w:val="center"/>
            <w:hideMark/>
          </w:tcPr>
          <w:p w14:paraId="4E65CF14" w14:textId="77777777" w:rsidR="00E03650" w:rsidRPr="009C5ECD" w:rsidRDefault="00E03650" w:rsidP="00666827">
            <w:pPr>
              <w:jc w:val="center"/>
              <w:rPr>
                <w:color w:val="000000"/>
                <w:sz w:val="20"/>
                <w:szCs w:val="20"/>
              </w:rPr>
            </w:pPr>
            <w:r w:rsidRPr="009C5ECD">
              <w:rPr>
                <w:color w:val="000000"/>
                <w:sz w:val="20"/>
                <w:szCs w:val="20"/>
              </w:rPr>
              <w:t>589,761</w:t>
            </w:r>
          </w:p>
        </w:tc>
        <w:tc>
          <w:tcPr>
            <w:tcW w:w="0" w:type="auto"/>
            <w:tcBorders>
              <w:top w:val="nil"/>
              <w:left w:val="nil"/>
              <w:bottom w:val="single" w:sz="8" w:space="0" w:color="auto"/>
              <w:right w:val="single" w:sz="8" w:space="0" w:color="auto"/>
            </w:tcBorders>
            <w:shd w:val="clear" w:color="000000" w:fill="D8E4BC"/>
            <w:noWrap/>
            <w:vAlign w:val="center"/>
            <w:hideMark/>
          </w:tcPr>
          <w:p w14:paraId="32C603A4" w14:textId="77777777" w:rsidR="00E03650" w:rsidRPr="009C5ECD" w:rsidRDefault="00E03650" w:rsidP="00666827">
            <w:pPr>
              <w:jc w:val="center"/>
              <w:rPr>
                <w:color w:val="000000"/>
                <w:sz w:val="20"/>
                <w:szCs w:val="20"/>
              </w:rPr>
            </w:pPr>
            <w:r w:rsidRPr="009C5ECD">
              <w:rPr>
                <w:color w:val="000000"/>
                <w:sz w:val="20"/>
                <w:szCs w:val="20"/>
              </w:rPr>
              <w:t>17</w:t>
            </w:r>
          </w:p>
        </w:tc>
      </w:tr>
      <w:tr w:rsidR="001129C8" w:rsidRPr="009C5ECD" w14:paraId="67B7F0B5"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C543F6D" w14:textId="77777777" w:rsidR="00E03650" w:rsidRPr="009C5ECD" w:rsidRDefault="00E03650" w:rsidP="00666827">
            <w:pPr>
              <w:jc w:val="center"/>
              <w:rPr>
                <w:color w:val="000000"/>
                <w:sz w:val="20"/>
                <w:szCs w:val="20"/>
              </w:rPr>
            </w:pPr>
            <w:r w:rsidRPr="009C5ECD">
              <w:rPr>
                <w:color w:val="000000"/>
                <w:sz w:val="20"/>
                <w:szCs w:val="20"/>
              </w:rPr>
              <w:t>Goliath grouper</w:t>
            </w:r>
          </w:p>
        </w:tc>
        <w:tc>
          <w:tcPr>
            <w:tcW w:w="0" w:type="auto"/>
            <w:tcBorders>
              <w:top w:val="nil"/>
              <w:left w:val="nil"/>
              <w:bottom w:val="single" w:sz="8" w:space="0" w:color="auto"/>
              <w:right w:val="single" w:sz="8" w:space="0" w:color="auto"/>
            </w:tcBorders>
            <w:shd w:val="clear" w:color="000000" w:fill="B7DEE8"/>
            <w:noWrap/>
            <w:vAlign w:val="center"/>
            <w:hideMark/>
          </w:tcPr>
          <w:p w14:paraId="57122937"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B7DEE8"/>
            <w:noWrap/>
            <w:vAlign w:val="center"/>
            <w:hideMark/>
          </w:tcPr>
          <w:p w14:paraId="6EC3FD0B" w14:textId="77777777" w:rsidR="00E03650" w:rsidRPr="009C5ECD" w:rsidRDefault="00E03650" w:rsidP="00666827">
            <w:pPr>
              <w:jc w:val="center"/>
              <w:rPr>
                <w:color w:val="000000"/>
                <w:sz w:val="20"/>
                <w:szCs w:val="20"/>
              </w:rPr>
            </w:pPr>
            <w:r w:rsidRPr="009C5ECD">
              <w:rPr>
                <w:color w:val="000000"/>
                <w:sz w:val="20"/>
                <w:szCs w:val="20"/>
              </w:rPr>
              <w:t>61</w:t>
            </w:r>
          </w:p>
        </w:tc>
        <w:tc>
          <w:tcPr>
            <w:tcW w:w="0" w:type="auto"/>
            <w:tcBorders>
              <w:top w:val="nil"/>
              <w:left w:val="nil"/>
              <w:bottom w:val="single" w:sz="8" w:space="0" w:color="auto"/>
              <w:right w:val="single" w:sz="8" w:space="0" w:color="auto"/>
            </w:tcBorders>
            <w:shd w:val="clear" w:color="000000" w:fill="B7DEE8"/>
            <w:noWrap/>
            <w:vAlign w:val="center"/>
            <w:hideMark/>
          </w:tcPr>
          <w:p w14:paraId="6FCF7592" w14:textId="77777777" w:rsidR="00E03650" w:rsidRPr="009C5ECD" w:rsidRDefault="00E03650" w:rsidP="00666827">
            <w:pPr>
              <w:jc w:val="center"/>
              <w:rPr>
                <w:color w:val="000000"/>
                <w:sz w:val="20"/>
                <w:szCs w:val="20"/>
              </w:rPr>
            </w:pPr>
            <w:r w:rsidRPr="009C5ECD">
              <w:rPr>
                <w:color w:val="000000"/>
                <w:sz w:val="20"/>
                <w:szCs w:val="20"/>
              </w:rPr>
              <w:t>N/A</w:t>
            </w:r>
          </w:p>
        </w:tc>
        <w:tc>
          <w:tcPr>
            <w:tcW w:w="0" w:type="auto"/>
            <w:tcBorders>
              <w:top w:val="nil"/>
              <w:left w:val="nil"/>
              <w:bottom w:val="single" w:sz="8" w:space="0" w:color="auto"/>
              <w:right w:val="single" w:sz="8" w:space="0" w:color="auto"/>
            </w:tcBorders>
            <w:shd w:val="clear" w:color="000000" w:fill="C5D9F1"/>
            <w:noWrap/>
            <w:vAlign w:val="center"/>
            <w:hideMark/>
          </w:tcPr>
          <w:p w14:paraId="04DE5582"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60830C41" w14:textId="77777777" w:rsidR="00E03650" w:rsidRPr="009C5ECD" w:rsidRDefault="00E03650" w:rsidP="00666827">
            <w:pPr>
              <w:jc w:val="center"/>
              <w:rPr>
                <w:color w:val="000000"/>
                <w:sz w:val="20"/>
                <w:szCs w:val="20"/>
              </w:rPr>
            </w:pPr>
            <w:r w:rsidRPr="009C5ECD">
              <w:rPr>
                <w:color w:val="000000"/>
                <w:sz w:val="20"/>
                <w:szCs w:val="20"/>
              </w:rPr>
              <w:t>1,190</w:t>
            </w:r>
          </w:p>
        </w:tc>
        <w:tc>
          <w:tcPr>
            <w:tcW w:w="0" w:type="auto"/>
            <w:tcBorders>
              <w:top w:val="nil"/>
              <w:left w:val="nil"/>
              <w:bottom w:val="single" w:sz="8" w:space="0" w:color="auto"/>
              <w:right w:val="single" w:sz="8" w:space="0" w:color="auto"/>
            </w:tcBorders>
            <w:shd w:val="clear" w:color="000000" w:fill="C5D9F1"/>
            <w:noWrap/>
            <w:vAlign w:val="center"/>
            <w:hideMark/>
          </w:tcPr>
          <w:p w14:paraId="1E7A0404" w14:textId="77777777" w:rsidR="00E03650" w:rsidRPr="009C5ECD" w:rsidRDefault="00E03650" w:rsidP="00666827">
            <w:pPr>
              <w:jc w:val="center"/>
              <w:rPr>
                <w:color w:val="000000"/>
                <w:sz w:val="20"/>
                <w:szCs w:val="20"/>
              </w:rPr>
            </w:pPr>
            <w:r w:rsidRPr="009C5ECD">
              <w:rPr>
                <w:color w:val="000000"/>
                <w:sz w:val="20"/>
                <w:szCs w:val="20"/>
              </w:rPr>
              <w:t> </w:t>
            </w:r>
          </w:p>
        </w:tc>
        <w:tc>
          <w:tcPr>
            <w:tcW w:w="0" w:type="auto"/>
            <w:tcBorders>
              <w:top w:val="nil"/>
              <w:left w:val="nil"/>
              <w:bottom w:val="single" w:sz="8" w:space="0" w:color="auto"/>
              <w:right w:val="single" w:sz="8" w:space="0" w:color="auto"/>
            </w:tcBorders>
            <w:shd w:val="clear" w:color="000000" w:fill="F2DCDB"/>
            <w:noWrap/>
            <w:vAlign w:val="center"/>
            <w:hideMark/>
          </w:tcPr>
          <w:p w14:paraId="49F8BE3B"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66A6C0C9" w14:textId="77777777" w:rsidR="00E03650" w:rsidRPr="009C5ECD" w:rsidRDefault="00E03650" w:rsidP="00666827">
            <w:pPr>
              <w:jc w:val="center"/>
              <w:rPr>
                <w:color w:val="000000"/>
                <w:sz w:val="20"/>
                <w:szCs w:val="20"/>
              </w:rPr>
            </w:pPr>
            <w:r w:rsidRPr="009C5ECD">
              <w:rPr>
                <w:color w:val="000000"/>
                <w:sz w:val="20"/>
                <w:szCs w:val="20"/>
              </w:rPr>
              <w:t>10,273</w:t>
            </w:r>
          </w:p>
        </w:tc>
        <w:tc>
          <w:tcPr>
            <w:tcW w:w="0" w:type="auto"/>
            <w:tcBorders>
              <w:top w:val="nil"/>
              <w:left w:val="nil"/>
              <w:bottom w:val="single" w:sz="8" w:space="0" w:color="auto"/>
              <w:right w:val="single" w:sz="8" w:space="0" w:color="auto"/>
            </w:tcBorders>
            <w:shd w:val="clear" w:color="000000" w:fill="F2DCDB"/>
            <w:noWrap/>
            <w:vAlign w:val="center"/>
            <w:hideMark/>
          </w:tcPr>
          <w:p w14:paraId="263ED9AE" w14:textId="77777777" w:rsidR="00E03650" w:rsidRPr="009C5ECD" w:rsidRDefault="00E03650" w:rsidP="00666827">
            <w:pPr>
              <w:jc w:val="center"/>
              <w:rPr>
                <w:color w:val="000000"/>
                <w:sz w:val="20"/>
                <w:szCs w:val="20"/>
              </w:rPr>
            </w:pPr>
            <w:r w:rsidRPr="009C5ECD">
              <w:rPr>
                <w:color w:val="000000"/>
                <w:sz w:val="20"/>
                <w:szCs w:val="20"/>
              </w:rPr>
              <w:t> </w:t>
            </w:r>
          </w:p>
        </w:tc>
        <w:tc>
          <w:tcPr>
            <w:tcW w:w="0" w:type="auto"/>
            <w:tcBorders>
              <w:top w:val="nil"/>
              <w:left w:val="nil"/>
              <w:bottom w:val="single" w:sz="8" w:space="0" w:color="auto"/>
              <w:right w:val="single" w:sz="8" w:space="0" w:color="auto"/>
            </w:tcBorders>
            <w:shd w:val="clear" w:color="000000" w:fill="D8E4BC"/>
            <w:noWrap/>
            <w:vAlign w:val="center"/>
            <w:hideMark/>
          </w:tcPr>
          <w:p w14:paraId="5431A8F3"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D8E4BC"/>
            <w:noWrap/>
            <w:vAlign w:val="center"/>
            <w:hideMark/>
          </w:tcPr>
          <w:p w14:paraId="102B49B9" w14:textId="77777777" w:rsidR="00E03650" w:rsidRPr="009C5ECD" w:rsidRDefault="00E03650" w:rsidP="00666827">
            <w:pPr>
              <w:jc w:val="center"/>
              <w:rPr>
                <w:color w:val="000000"/>
                <w:sz w:val="20"/>
                <w:szCs w:val="20"/>
              </w:rPr>
            </w:pPr>
            <w:r w:rsidRPr="009C5ECD">
              <w:rPr>
                <w:color w:val="000000"/>
                <w:sz w:val="20"/>
                <w:szCs w:val="20"/>
              </w:rPr>
              <w:t>73</w:t>
            </w:r>
          </w:p>
        </w:tc>
      </w:tr>
      <w:tr w:rsidR="001129C8" w:rsidRPr="009C5ECD" w14:paraId="503CA09F"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69A39EE" w14:textId="77777777" w:rsidR="00E03650" w:rsidRPr="009C5ECD" w:rsidRDefault="00E03650" w:rsidP="00666827">
            <w:pPr>
              <w:jc w:val="center"/>
              <w:rPr>
                <w:color w:val="000000"/>
                <w:sz w:val="20"/>
                <w:szCs w:val="20"/>
              </w:rPr>
            </w:pPr>
            <w:r w:rsidRPr="009C5ECD">
              <w:rPr>
                <w:color w:val="000000"/>
                <w:sz w:val="20"/>
                <w:szCs w:val="20"/>
              </w:rPr>
              <w:t>Gray snapper</w:t>
            </w:r>
          </w:p>
        </w:tc>
        <w:tc>
          <w:tcPr>
            <w:tcW w:w="0" w:type="auto"/>
            <w:tcBorders>
              <w:top w:val="nil"/>
              <w:left w:val="nil"/>
              <w:bottom w:val="single" w:sz="8" w:space="0" w:color="auto"/>
              <w:right w:val="single" w:sz="8" w:space="0" w:color="auto"/>
            </w:tcBorders>
            <w:shd w:val="clear" w:color="000000" w:fill="B7DEE8"/>
            <w:noWrap/>
            <w:vAlign w:val="center"/>
            <w:hideMark/>
          </w:tcPr>
          <w:p w14:paraId="35AD21B3" w14:textId="77777777" w:rsidR="00E03650" w:rsidRPr="009C5ECD" w:rsidRDefault="00E03650" w:rsidP="00666827">
            <w:pPr>
              <w:jc w:val="center"/>
              <w:rPr>
                <w:color w:val="000000"/>
                <w:sz w:val="20"/>
                <w:szCs w:val="20"/>
              </w:rPr>
            </w:pPr>
            <w:r w:rsidRPr="009C5ECD">
              <w:rPr>
                <w:color w:val="000000"/>
                <w:sz w:val="20"/>
                <w:szCs w:val="20"/>
              </w:rPr>
              <w:t>56,983</w:t>
            </w:r>
          </w:p>
        </w:tc>
        <w:tc>
          <w:tcPr>
            <w:tcW w:w="0" w:type="auto"/>
            <w:tcBorders>
              <w:top w:val="nil"/>
              <w:left w:val="nil"/>
              <w:bottom w:val="single" w:sz="8" w:space="0" w:color="auto"/>
              <w:right w:val="single" w:sz="8" w:space="0" w:color="auto"/>
            </w:tcBorders>
            <w:shd w:val="clear" w:color="000000" w:fill="B7DEE8"/>
            <w:noWrap/>
            <w:vAlign w:val="center"/>
            <w:hideMark/>
          </w:tcPr>
          <w:p w14:paraId="4DF29962" w14:textId="77777777" w:rsidR="00E03650" w:rsidRPr="009C5ECD" w:rsidRDefault="00E03650" w:rsidP="00666827">
            <w:pPr>
              <w:jc w:val="center"/>
              <w:rPr>
                <w:color w:val="000000"/>
                <w:sz w:val="20"/>
                <w:szCs w:val="20"/>
              </w:rPr>
            </w:pPr>
            <w:r w:rsidRPr="009C5ECD">
              <w:rPr>
                <w:color w:val="000000"/>
                <w:sz w:val="20"/>
                <w:szCs w:val="20"/>
              </w:rPr>
              <w:t>9,880</w:t>
            </w:r>
          </w:p>
        </w:tc>
        <w:tc>
          <w:tcPr>
            <w:tcW w:w="0" w:type="auto"/>
            <w:tcBorders>
              <w:top w:val="nil"/>
              <w:left w:val="nil"/>
              <w:bottom w:val="single" w:sz="8" w:space="0" w:color="auto"/>
              <w:right w:val="single" w:sz="8" w:space="0" w:color="auto"/>
            </w:tcBorders>
            <w:shd w:val="clear" w:color="000000" w:fill="B7DEE8"/>
            <w:noWrap/>
            <w:vAlign w:val="center"/>
            <w:hideMark/>
          </w:tcPr>
          <w:p w14:paraId="6EF317C5" w14:textId="77777777" w:rsidR="00E03650" w:rsidRPr="009C5ECD" w:rsidRDefault="00E03650" w:rsidP="00666827">
            <w:pPr>
              <w:jc w:val="center"/>
              <w:rPr>
                <w:color w:val="000000"/>
                <w:sz w:val="20"/>
                <w:szCs w:val="20"/>
              </w:rPr>
            </w:pPr>
            <w:r w:rsidRPr="009C5ECD">
              <w:rPr>
                <w:color w:val="000000"/>
                <w:sz w:val="20"/>
                <w:szCs w:val="20"/>
              </w:rPr>
              <w:t>17%</w:t>
            </w:r>
          </w:p>
        </w:tc>
        <w:tc>
          <w:tcPr>
            <w:tcW w:w="0" w:type="auto"/>
            <w:tcBorders>
              <w:top w:val="nil"/>
              <w:left w:val="nil"/>
              <w:bottom w:val="single" w:sz="8" w:space="0" w:color="auto"/>
              <w:right w:val="single" w:sz="8" w:space="0" w:color="auto"/>
            </w:tcBorders>
            <w:shd w:val="clear" w:color="000000" w:fill="C5D9F1"/>
            <w:noWrap/>
            <w:vAlign w:val="center"/>
            <w:hideMark/>
          </w:tcPr>
          <w:p w14:paraId="7EE3D23B" w14:textId="77777777" w:rsidR="00E03650" w:rsidRPr="009C5ECD" w:rsidRDefault="00E03650" w:rsidP="00666827">
            <w:pPr>
              <w:jc w:val="center"/>
              <w:rPr>
                <w:color w:val="000000"/>
                <w:sz w:val="20"/>
                <w:szCs w:val="20"/>
              </w:rPr>
            </w:pPr>
            <w:r w:rsidRPr="009C5ECD">
              <w:rPr>
                <w:color w:val="000000"/>
                <w:sz w:val="20"/>
                <w:szCs w:val="20"/>
              </w:rPr>
              <w:t>21,070</w:t>
            </w:r>
          </w:p>
        </w:tc>
        <w:tc>
          <w:tcPr>
            <w:tcW w:w="0" w:type="auto"/>
            <w:tcBorders>
              <w:top w:val="nil"/>
              <w:left w:val="nil"/>
              <w:bottom w:val="single" w:sz="8" w:space="0" w:color="auto"/>
              <w:right w:val="single" w:sz="8" w:space="0" w:color="auto"/>
            </w:tcBorders>
            <w:shd w:val="clear" w:color="000000" w:fill="C5D9F1"/>
            <w:noWrap/>
            <w:vAlign w:val="center"/>
            <w:hideMark/>
          </w:tcPr>
          <w:p w14:paraId="05051068" w14:textId="77777777" w:rsidR="00E03650" w:rsidRPr="009C5ECD" w:rsidRDefault="00E03650" w:rsidP="00666827">
            <w:pPr>
              <w:jc w:val="center"/>
              <w:rPr>
                <w:color w:val="000000"/>
                <w:sz w:val="20"/>
                <w:szCs w:val="20"/>
              </w:rPr>
            </w:pPr>
            <w:r w:rsidRPr="009C5ECD">
              <w:rPr>
                <w:color w:val="000000"/>
                <w:sz w:val="20"/>
                <w:szCs w:val="20"/>
              </w:rPr>
              <w:t>11,685</w:t>
            </w:r>
          </w:p>
        </w:tc>
        <w:tc>
          <w:tcPr>
            <w:tcW w:w="0" w:type="auto"/>
            <w:tcBorders>
              <w:top w:val="nil"/>
              <w:left w:val="nil"/>
              <w:bottom w:val="single" w:sz="8" w:space="0" w:color="auto"/>
              <w:right w:val="single" w:sz="8" w:space="0" w:color="auto"/>
            </w:tcBorders>
            <w:shd w:val="clear" w:color="000000" w:fill="C5D9F1"/>
            <w:noWrap/>
            <w:vAlign w:val="center"/>
            <w:hideMark/>
          </w:tcPr>
          <w:p w14:paraId="2E5319B5" w14:textId="77777777" w:rsidR="00E03650" w:rsidRPr="009C5ECD" w:rsidRDefault="00E03650" w:rsidP="00666827">
            <w:pPr>
              <w:jc w:val="center"/>
              <w:rPr>
                <w:color w:val="000000"/>
                <w:sz w:val="20"/>
                <w:szCs w:val="20"/>
              </w:rPr>
            </w:pPr>
            <w:r w:rsidRPr="009C5ECD">
              <w:rPr>
                <w:color w:val="000000"/>
                <w:sz w:val="20"/>
                <w:szCs w:val="20"/>
              </w:rPr>
              <w:t>55%</w:t>
            </w:r>
          </w:p>
        </w:tc>
        <w:tc>
          <w:tcPr>
            <w:tcW w:w="0" w:type="auto"/>
            <w:tcBorders>
              <w:top w:val="nil"/>
              <w:left w:val="nil"/>
              <w:bottom w:val="single" w:sz="8" w:space="0" w:color="auto"/>
              <w:right w:val="single" w:sz="8" w:space="0" w:color="auto"/>
            </w:tcBorders>
            <w:shd w:val="clear" w:color="000000" w:fill="F2DCDB"/>
            <w:noWrap/>
            <w:vAlign w:val="center"/>
            <w:hideMark/>
          </w:tcPr>
          <w:p w14:paraId="450E09DF" w14:textId="77777777" w:rsidR="00E03650" w:rsidRPr="009C5ECD" w:rsidRDefault="00E03650" w:rsidP="00666827">
            <w:pPr>
              <w:jc w:val="center"/>
              <w:rPr>
                <w:color w:val="000000"/>
                <w:sz w:val="20"/>
                <w:szCs w:val="20"/>
              </w:rPr>
            </w:pPr>
            <w:r w:rsidRPr="009C5ECD">
              <w:rPr>
                <w:color w:val="000000"/>
                <w:sz w:val="20"/>
                <w:szCs w:val="20"/>
              </w:rPr>
              <w:t>404,597</w:t>
            </w:r>
          </w:p>
        </w:tc>
        <w:tc>
          <w:tcPr>
            <w:tcW w:w="0" w:type="auto"/>
            <w:tcBorders>
              <w:top w:val="nil"/>
              <w:left w:val="nil"/>
              <w:bottom w:val="single" w:sz="8" w:space="0" w:color="auto"/>
              <w:right w:val="single" w:sz="8" w:space="0" w:color="auto"/>
            </w:tcBorders>
            <w:shd w:val="clear" w:color="000000" w:fill="F2DCDB"/>
            <w:noWrap/>
            <w:vAlign w:val="center"/>
            <w:hideMark/>
          </w:tcPr>
          <w:p w14:paraId="469D970A" w14:textId="77777777" w:rsidR="00E03650" w:rsidRPr="009C5ECD" w:rsidRDefault="00E03650" w:rsidP="00666827">
            <w:pPr>
              <w:jc w:val="center"/>
              <w:rPr>
                <w:color w:val="000000"/>
                <w:sz w:val="20"/>
                <w:szCs w:val="20"/>
              </w:rPr>
            </w:pPr>
            <w:r w:rsidRPr="009C5ECD">
              <w:rPr>
                <w:color w:val="000000"/>
                <w:sz w:val="20"/>
                <w:szCs w:val="20"/>
              </w:rPr>
              <w:t>1,585,542</w:t>
            </w:r>
          </w:p>
        </w:tc>
        <w:tc>
          <w:tcPr>
            <w:tcW w:w="0" w:type="auto"/>
            <w:tcBorders>
              <w:top w:val="nil"/>
              <w:left w:val="nil"/>
              <w:bottom w:val="single" w:sz="8" w:space="0" w:color="auto"/>
              <w:right w:val="single" w:sz="8" w:space="0" w:color="auto"/>
            </w:tcBorders>
            <w:shd w:val="clear" w:color="000000" w:fill="F2DCDB"/>
            <w:noWrap/>
            <w:vAlign w:val="center"/>
            <w:hideMark/>
          </w:tcPr>
          <w:p w14:paraId="26B82B1C" w14:textId="77777777" w:rsidR="00E03650" w:rsidRPr="009C5ECD" w:rsidRDefault="00E03650" w:rsidP="00666827">
            <w:pPr>
              <w:jc w:val="center"/>
              <w:rPr>
                <w:color w:val="000000"/>
                <w:sz w:val="20"/>
                <w:szCs w:val="20"/>
              </w:rPr>
            </w:pPr>
            <w:r w:rsidRPr="009C5ECD">
              <w:rPr>
                <w:color w:val="000000"/>
                <w:sz w:val="20"/>
                <w:szCs w:val="20"/>
              </w:rPr>
              <w:t>392%</w:t>
            </w:r>
          </w:p>
        </w:tc>
        <w:tc>
          <w:tcPr>
            <w:tcW w:w="0" w:type="auto"/>
            <w:tcBorders>
              <w:top w:val="nil"/>
              <w:left w:val="nil"/>
              <w:bottom w:val="single" w:sz="8" w:space="0" w:color="auto"/>
              <w:right w:val="single" w:sz="8" w:space="0" w:color="auto"/>
            </w:tcBorders>
            <w:shd w:val="clear" w:color="000000" w:fill="D8E4BC"/>
            <w:noWrap/>
            <w:vAlign w:val="center"/>
            <w:hideMark/>
          </w:tcPr>
          <w:p w14:paraId="025A87CC" w14:textId="77777777" w:rsidR="00E03650" w:rsidRPr="009C5ECD" w:rsidRDefault="00E03650" w:rsidP="00666827">
            <w:pPr>
              <w:jc w:val="center"/>
              <w:rPr>
                <w:color w:val="000000"/>
                <w:sz w:val="20"/>
                <w:szCs w:val="20"/>
              </w:rPr>
            </w:pPr>
            <w:r w:rsidRPr="009C5ECD">
              <w:rPr>
                <w:color w:val="000000"/>
                <w:sz w:val="20"/>
                <w:szCs w:val="20"/>
              </w:rPr>
              <w:t>125,369</w:t>
            </w:r>
          </w:p>
        </w:tc>
        <w:tc>
          <w:tcPr>
            <w:tcW w:w="0" w:type="auto"/>
            <w:tcBorders>
              <w:top w:val="nil"/>
              <w:left w:val="nil"/>
              <w:bottom w:val="single" w:sz="8" w:space="0" w:color="auto"/>
              <w:right w:val="single" w:sz="8" w:space="0" w:color="auto"/>
            </w:tcBorders>
            <w:shd w:val="clear" w:color="000000" w:fill="D8E4BC"/>
            <w:noWrap/>
            <w:vAlign w:val="center"/>
            <w:hideMark/>
          </w:tcPr>
          <w:p w14:paraId="6618608B" w14:textId="77777777" w:rsidR="00E03650" w:rsidRPr="009C5ECD" w:rsidRDefault="00E03650" w:rsidP="00666827">
            <w:pPr>
              <w:jc w:val="center"/>
              <w:rPr>
                <w:color w:val="000000"/>
                <w:sz w:val="20"/>
                <w:szCs w:val="20"/>
              </w:rPr>
            </w:pPr>
            <w:r w:rsidRPr="009C5ECD">
              <w:rPr>
                <w:color w:val="000000"/>
                <w:sz w:val="20"/>
                <w:szCs w:val="20"/>
              </w:rPr>
              <w:t>5,624</w:t>
            </w:r>
          </w:p>
        </w:tc>
      </w:tr>
      <w:tr w:rsidR="001129C8" w:rsidRPr="009C5ECD" w14:paraId="17AFDF84"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0EAC25D" w14:textId="77777777" w:rsidR="00E03650" w:rsidRPr="009C5ECD" w:rsidRDefault="00E03650" w:rsidP="00666827">
            <w:pPr>
              <w:jc w:val="center"/>
              <w:rPr>
                <w:color w:val="000000"/>
                <w:sz w:val="20"/>
                <w:szCs w:val="20"/>
              </w:rPr>
            </w:pPr>
            <w:r w:rsidRPr="009C5ECD">
              <w:rPr>
                <w:color w:val="000000"/>
                <w:sz w:val="20"/>
                <w:szCs w:val="20"/>
              </w:rPr>
              <w:t>Gray triggerfish</w:t>
            </w:r>
          </w:p>
        </w:tc>
        <w:tc>
          <w:tcPr>
            <w:tcW w:w="0" w:type="auto"/>
            <w:tcBorders>
              <w:top w:val="nil"/>
              <w:left w:val="nil"/>
              <w:bottom w:val="single" w:sz="8" w:space="0" w:color="auto"/>
              <w:right w:val="single" w:sz="8" w:space="0" w:color="auto"/>
            </w:tcBorders>
            <w:shd w:val="clear" w:color="000000" w:fill="B7DEE8"/>
            <w:noWrap/>
            <w:vAlign w:val="center"/>
            <w:hideMark/>
          </w:tcPr>
          <w:p w14:paraId="092F3205" w14:textId="77777777" w:rsidR="00E03650" w:rsidRPr="009C5ECD" w:rsidRDefault="00E03650" w:rsidP="00666827">
            <w:pPr>
              <w:jc w:val="center"/>
              <w:rPr>
                <w:color w:val="000000"/>
                <w:sz w:val="20"/>
                <w:szCs w:val="20"/>
              </w:rPr>
            </w:pPr>
            <w:r w:rsidRPr="009C5ECD">
              <w:rPr>
                <w:color w:val="000000"/>
                <w:sz w:val="20"/>
                <w:szCs w:val="20"/>
              </w:rPr>
              <w:t>51,604</w:t>
            </w:r>
          </w:p>
        </w:tc>
        <w:tc>
          <w:tcPr>
            <w:tcW w:w="0" w:type="auto"/>
            <w:tcBorders>
              <w:top w:val="nil"/>
              <w:left w:val="nil"/>
              <w:bottom w:val="single" w:sz="8" w:space="0" w:color="auto"/>
              <w:right w:val="single" w:sz="8" w:space="0" w:color="auto"/>
            </w:tcBorders>
            <w:shd w:val="clear" w:color="000000" w:fill="B7DEE8"/>
            <w:noWrap/>
            <w:vAlign w:val="center"/>
            <w:hideMark/>
          </w:tcPr>
          <w:p w14:paraId="729EA130" w14:textId="77777777" w:rsidR="00E03650" w:rsidRPr="009C5ECD" w:rsidRDefault="00E03650" w:rsidP="00666827">
            <w:pPr>
              <w:jc w:val="center"/>
              <w:rPr>
                <w:color w:val="000000"/>
                <w:sz w:val="20"/>
                <w:szCs w:val="20"/>
              </w:rPr>
            </w:pPr>
            <w:r w:rsidRPr="009C5ECD">
              <w:rPr>
                <w:color w:val="000000"/>
                <w:sz w:val="20"/>
                <w:szCs w:val="20"/>
              </w:rPr>
              <w:t>14,832</w:t>
            </w:r>
          </w:p>
        </w:tc>
        <w:tc>
          <w:tcPr>
            <w:tcW w:w="0" w:type="auto"/>
            <w:tcBorders>
              <w:top w:val="nil"/>
              <w:left w:val="nil"/>
              <w:bottom w:val="single" w:sz="8" w:space="0" w:color="auto"/>
              <w:right w:val="single" w:sz="8" w:space="0" w:color="auto"/>
            </w:tcBorders>
            <w:shd w:val="clear" w:color="000000" w:fill="B7DEE8"/>
            <w:noWrap/>
            <w:vAlign w:val="center"/>
            <w:hideMark/>
          </w:tcPr>
          <w:p w14:paraId="4A9A9131" w14:textId="77777777" w:rsidR="00E03650" w:rsidRPr="009C5ECD" w:rsidRDefault="00E03650" w:rsidP="00666827">
            <w:pPr>
              <w:jc w:val="center"/>
              <w:rPr>
                <w:color w:val="000000"/>
                <w:sz w:val="20"/>
                <w:szCs w:val="20"/>
              </w:rPr>
            </w:pPr>
            <w:r w:rsidRPr="009C5ECD">
              <w:rPr>
                <w:color w:val="000000"/>
                <w:sz w:val="20"/>
                <w:szCs w:val="20"/>
              </w:rPr>
              <w:t>29%</w:t>
            </w:r>
          </w:p>
        </w:tc>
        <w:tc>
          <w:tcPr>
            <w:tcW w:w="0" w:type="auto"/>
            <w:tcBorders>
              <w:top w:val="nil"/>
              <w:left w:val="nil"/>
              <w:bottom w:val="single" w:sz="8" w:space="0" w:color="auto"/>
              <w:right w:val="single" w:sz="8" w:space="0" w:color="auto"/>
            </w:tcBorders>
            <w:shd w:val="clear" w:color="000000" w:fill="C5D9F1"/>
            <w:noWrap/>
            <w:vAlign w:val="center"/>
            <w:hideMark/>
          </w:tcPr>
          <w:p w14:paraId="26C0EE3A" w14:textId="77777777" w:rsidR="00E03650" w:rsidRPr="009C5ECD" w:rsidRDefault="00E03650" w:rsidP="00666827">
            <w:pPr>
              <w:jc w:val="center"/>
              <w:rPr>
                <w:color w:val="000000"/>
                <w:sz w:val="20"/>
                <w:szCs w:val="20"/>
              </w:rPr>
            </w:pPr>
            <w:r w:rsidRPr="009C5ECD">
              <w:rPr>
                <w:color w:val="000000"/>
                <w:sz w:val="20"/>
                <w:szCs w:val="20"/>
              </w:rPr>
              <w:t>43,498</w:t>
            </w:r>
          </w:p>
        </w:tc>
        <w:tc>
          <w:tcPr>
            <w:tcW w:w="0" w:type="auto"/>
            <w:tcBorders>
              <w:top w:val="nil"/>
              <w:left w:val="nil"/>
              <w:bottom w:val="single" w:sz="8" w:space="0" w:color="auto"/>
              <w:right w:val="single" w:sz="8" w:space="0" w:color="auto"/>
            </w:tcBorders>
            <w:shd w:val="clear" w:color="000000" w:fill="C5D9F1"/>
            <w:noWrap/>
            <w:vAlign w:val="center"/>
            <w:hideMark/>
          </w:tcPr>
          <w:p w14:paraId="527FF059" w14:textId="77777777" w:rsidR="00E03650" w:rsidRPr="009C5ECD" w:rsidRDefault="00E03650" w:rsidP="00666827">
            <w:pPr>
              <w:jc w:val="center"/>
              <w:rPr>
                <w:color w:val="000000"/>
                <w:sz w:val="20"/>
                <w:szCs w:val="20"/>
              </w:rPr>
            </w:pPr>
            <w:r w:rsidRPr="009C5ECD">
              <w:rPr>
                <w:color w:val="000000"/>
                <w:sz w:val="20"/>
                <w:szCs w:val="20"/>
              </w:rPr>
              <w:t>11,295</w:t>
            </w:r>
          </w:p>
        </w:tc>
        <w:tc>
          <w:tcPr>
            <w:tcW w:w="0" w:type="auto"/>
            <w:tcBorders>
              <w:top w:val="nil"/>
              <w:left w:val="nil"/>
              <w:bottom w:val="single" w:sz="8" w:space="0" w:color="auto"/>
              <w:right w:val="single" w:sz="8" w:space="0" w:color="auto"/>
            </w:tcBorders>
            <w:shd w:val="clear" w:color="000000" w:fill="C5D9F1"/>
            <w:noWrap/>
            <w:vAlign w:val="center"/>
            <w:hideMark/>
          </w:tcPr>
          <w:p w14:paraId="113478E7" w14:textId="77777777" w:rsidR="00E03650" w:rsidRPr="009C5ECD" w:rsidRDefault="00E03650" w:rsidP="00666827">
            <w:pPr>
              <w:jc w:val="center"/>
              <w:rPr>
                <w:color w:val="000000"/>
                <w:sz w:val="20"/>
                <w:szCs w:val="20"/>
              </w:rPr>
            </w:pPr>
            <w:r w:rsidRPr="009C5ECD">
              <w:rPr>
                <w:color w:val="000000"/>
                <w:sz w:val="20"/>
                <w:szCs w:val="20"/>
              </w:rPr>
              <w:t>26%</w:t>
            </w:r>
          </w:p>
        </w:tc>
        <w:tc>
          <w:tcPr>
            <w:tcW w:w="0" w:type="auto"/>
            <w:tcBorders>
              <w:top w:val="nil"/>
              <w:left w:val="nil"/>
              <w:bottom w:val="single" w:sz="8" w:space="0" w:color="auto"/>
              <w:right w:val="single" w:sz="8" w:space="0" w:color="auto"/>
            </w:tcBorders>
            <w:shd w:val="clear" w:color="000000" w:fill="F2DCDB"/>
            <w:noWrap/>
            <w:vAlign w:val="center"/>
            <w:hideMark/>
          </w:tcPr>
          <w:p w14:paraId="250EDEFB" w14:textId="77777777" w:rsidR="00E03650" w:rsidRPr="009C5ECD" w:rsidRDefault="00E03650" w:rsidP="00666827">
            <w:pPr>
              <w:jc w:val="center"/>
              <w:rPr>
                <w:color w:val="000000"/>
                <w:sz w:val="20"/>
                <w:szCs w:val="20"/>
              </w:rPr>
            </w:pPr>
            <w:r w:rsidRPr="009C5ECD">
              <w:rPr>
                <w:color w:val="000000"/>
                <w:sz w:val="20"/>
                <w:szCs w:val="20"/>
              </w:rPr>
              <w:t>70,408</w:t>
            </w:r>
          </w:p>
        </w:tc>
        <w:tc>
          <w:tcPr>
            <w:tcW w:w="0" w:type="auto"/>
            <w:tcBorders>
              <w:top w:val="nil"/>
              <w:left w:val="nil"/>
              <w:bottom w:val="single" w:sz="8" w:space="0" w:color="auto"/>
              <w:right w:val="single" w:sz="8" w:space="0" w:color="auto"/>
            </w:tcBorders>
            <w:shd w:val="clear" w:color="000000" w:fill="F2DCDB"/>
            <w:noWrap/>
            <w:vAlign w:val="center"/>
            <w:hideMark/>
          </w:tcPr>
          <w:p w14:paraId="468D0B57" w14:textId="77777777" w:rsidR="00E03650" w:rsidRPr="009C5ECD" w:rsidRDefault="00E03650" w:rsidP="00666827">
            <w:pPr>
              <w:jc w:val="center"/>
              <w:rPr>
                <w:color w:val="000000"/>
                <w:sz w:val="20"/>
                <w:szCs w:val="20"/>
              </w:rPr>
            </w:pPr>
            <w:r w:rsidRPr="009C5ECD">
              <w:rPr>
                <w:color w:val="000000"/>
                <w:sz w:val="20"/>
                <w:szCs w:val="20"/>
              </w:rPr>
              <w:t>100,477</w:t>
            </w:r>
          </w:p>
        </w:tc>
        <w:tc>
          <w:tcPr>
            <w:tcW w:w="0" w:type="auto"/>
            <w:tcBorders>
              <w:top w:val="nil"/>
              <w:left w:val="nil"/>
              <w:bottom w:val="single" w:sz="8" w:space="0" w:color="auto"/>
              <w:right w:val="single" w:sz="8" w:space="0" w:color="auto"/>
            </w:tcBorders>
            <w:shd w:val="clear" w:color="000000" w:fill="F2DCDB"/>
            <w:noWrap/>
            <w:vAlign w:val="center"/>
            <w:hideMark/>
          </w:tcPr>
          <w:p w14:paraId="2BF8DF60" w14:textId="77777777" w:rsidR="00E03650" w:rsidRPr="009C5ECD" w:rsidRDefault="00E03650" w:rsidP="00666827">
            <w:pPr>
              <w:jc w:val="center"/>
              <w:rPr>
                <w:color w:val="000000"/>
                <w:sz w:val="20"/>
                <w:szCs w:val="20"/>
              </w:rPr>
            </w:pPr>
            <w:r w:rsidRPr="009C5ECD">
              <w:rPr>
                <w:color w:val="000000"/>
                <w:sz w:val="20"/>
                <w:szCs w:val="20"/>
              </w:rPr>
              <w:t>143%</w:t>
            </w:r>
          </w:p>
        </w:tc>
        <w:tc>
          <w:tcPr>
            <w:tcW w:w="0" w:type="auto"/>
            <w:tcBorders>
              <w:top w:val="nil"/>
              <w:left w:val="nil"/>
              <w:bottom w:val="single" w:sz="8" w:space="0" w:color="auto"/>
              <w:right w:val="single" w:sz="8" w:space="0" w:color="auto"/>
            </w:tcBorders>
            <w:shd w:val="clear" w:color="000000" w:fill="D8E4BC"/>
            <w:noWrap/>
            <w:vAlign w:val="center"/>
            <w:hideMark/>
          </w:tcPr>
          <w:p w14:paraId="059E2664" w14:textId="77777777" w:rsidR="00E03650" w:rsidRPr="009C5ECD" w:rsidRDefault="00E03650" w:rsidP="00666827">
            <w:pPr>
              <w:jc w:val="center"/>
              <w:rPr>
                <w:color w:val="000000"/>
                <w:sz w:val="20"/>
                <w:szCs w:val="20"/>
              </w:rPr>
            </w:pPr>
            <w:r w:rsidRPr="009C5ECD">
              <w:rPr>
                <w:color w:val="000000"/>
                <w:sz w:val="20"/>
                <w:szCs w:val="20"/>
              </w:rPr>
              <w:t>347,706</w:t>
            </w:r>
          </w:p>
        </w:tc>
        <w:tc>
          <w:tcPr>
            <w:tcW w:w="0" w:type="auto"/>
            <w:tcBorders>
              <w:top w:val="nil"/>
              <w:left w:val="nil"/>
              <w:bottom w:val="single" w:sz="8" w:space="0" w:color="auto"/>
              <w:right w:val="single" w:sz="8" w:space="0" w:color="auto"/>
            </w:tcBorders>
            <w:shd w:val="clear" w:color="000000" w:fill="D8E4BC"/>
            <w:noWrap/>
            <w:vAlign w:val="center"/>
            <w:hideMark/>
          </w:tcPr>
          <w:p w14:paraId="1F338CDE" w14:textId="77777777" w:rsidR="00E03650" w:rsidRPr="009C5ECD" w:rsidRDefault="00E03650" w:rsidP="00666827">
            <w:pPr>
              <w:jc w:val="center"/>
              <w:rPr>
                <w:color w:val="000000"/>
                <w:sz w:val="20"/>
                <w:szCs w:val="20"/>
              </w:rPr>
            </w:pPr>
            <w:r w:rsidRPr="009C5ECD">
              <w:rPr>
                <w:color w:val="000000"/>
                <w:sz w:val="20"/>
                <w:szCs w:val="20"/>
              </w:rPr>
              <w:t>1,412</w:t>
            </w:r>
          </w:p>
        </w:tc>
      </w:tr>
      <w:tr w:rsidR="001129C8" w:rsidRPr="009C5ECD" w14:paraId="6A0C4268"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1E8DA3" w14:textId="77777777" w:rsidR="00E03650" w:rsidRPr="009C5ECD" w:rsidRDefault="00E03650" w:rsidP="00666827">
            <w:pPr>
              <w:jc w:val="center"/>
              <w:rPr>
                <w:color w:val="000000"/>
                <w:sz w:val="20"/>
                <w:szCs w:val="20"/>
              </w:rPr>
            </w:pPr>
            <w:r w:rsidRPr="009C5ECD">
              <w:rPr>
                <w:color w:val="000000"/>
                <w:sz w:val="20"/>
                <w:szCs w:val="20"/>
              </w:rPr>
              <w:t>Graysby</w:t>
            </w:r>
          </w:p>
        </w:tc>
        <w:tc>
          <w:tcPr>
            <w:tcW w:w="0" w:type="auto"/>
            <w:tcBorders>
              <w:top w:val="nil"/>
              <w:left w:val="nil"/>
              <w:bottom w:val="single" w:sz="8" w:space="0" w:color="auto"/>
              <w:right w:val="single" w:sz="8" w:space="0" w:color="auto"/>
            </w:tcBorders>
            <w:shd w:val="clear" w:color="000000" w:fill="B7DEE8"/>
            <w:noWrap/>
            <w:vAlign w:val="center"/>
            <w:hideMark/>
          </w:tcPr>
          <w:p w14:paraId="1C2C9962" w14:textId="77777777" w:rsidR="00E03650" w:rsidRPr="009C5ECD" w:rsidRDefault="00E03650" w:rsidP="00666827">
            <w:pPr>
              <w:jc w:val="center"/>
              <w:rPr>
                <w:color w:val="000000"/>
                <w:sz w:val="20"/>
                <w:szCs w:val="20"/>
              </w:rPr>
            </w:pPr>
            <w:r w:rsidRPr="009C5ECD">
              <w:rPr>
                <w:color w:val="000000"/>
                <w:sz w:val="20"/>
                <w:szCs w:val="20"/>
              </w:rPr>
              <w:t>1,766</w:t>
            </w:r>
          </w:p>
        </w:tc>
        <w:tc>
          <w:tcPr>
            <w:tcW w:w="0" w:type="auto"/>
            <w:tcBorders>
              <w:top w:val="nil"/>
              <w:left w:val="nil"/>
              <w:bottom w:val="single" w:sz="8" w:space="0" w:color="auto"/>
              <w:right w:val="single" w:sz="8" w:space="0" w:color="auto"/>
            </w:tcBorders>
            <w:shd w:val="clear" w:color="000000" w:fill="B7DEE8"/>
            <w:noWrap/>
            <w:vAlign w:val="center"/>
            <w:hideMark/>
          </w:tcPr>
          <w:p w14:paraId="7604FF0B" w14:textId="77777777" w:rsidR="00E03650" w:rsidRPr="009C5ECD" w:rsidRDefault="00E03650" w:rsidP="00666827">
            <w:pPr>
              <w:jc w:val="center"/>
              <w:rPr>
                <w:color w:val="000000"/>
                <w:sz w:val="20"/>
                <w:szCs w:val="20"/>
              </w:rPr>
            </w:pPr>
            <w:r w:rsidRPr="009C5ECD">
              <w:rPr>
                <w:color w:val="000000"/>
                <w:sz w:val="20"/>
                <w:szCs w:val="20"/>
              </w:rPr>
              <w:t>3,118</w:t>
            </w:r>
          </w:p>
        </w:tc>
        <w:tc>
          <w:tcPr>
            <w:tcW w:w="0" w:type="auto"/>
            <w:tcBorders>
              <w:top w:val="nil"/>
              <w:left w:val="nil"/>
              <w:bottom w:val="single" w:sz="8" w:space="0" w:color="auto"/>
              <w:right w:val="single" w:sz="8" w:space="0" w:color="auto"/>
            </w:tcBorders>
            <w:shd w:val="clear" w:color="000000" w:fill="B7DEE8"/>
            <w:noWrap/>
            <w:vAlign w:val="center"/>
            <w:hideMark/>
          </w:tcPr>
          <w:p w14:paraId="38B93CE9" w14:textId="77777777" w:rsidR="00E03650" w:rsidRPr="009C5ECD" w:rsidRDefault="00E03650" w:rsidP="00666827">
            <w:pPr>
              <w:jc w:val="center"/>
              <w:rPr>
                <w:color w:val="000000"/>
                <w:sz w:val="20"/>
                <w:szCs w:val="20"/>
              </w:rPr>
            </w:pPr>
            <w:r w:rsidRPr="009C5ECD">
              <w:rPr>
                <w:color w:val="000000"/>
                <w:sz w:val="20"/>
                <w:szCs w:val="20"/>
              </w:rPr>
              <w:t>177%</w:t>
            </w:r>
          </w:p>
        </w:tc>
        <w:tc>
          <w:tcPr>
            <w:tcW w:w="0" w:type="auto"/>
            <w:tcBorders>
              <w:top w:val="nil"/>
              <w:left w:val="nil"/>
              <w:bottom w:val="single" w:sz="8" w:space="0" w:color="auto"/>
              <w:right w:val="single" w:sz="8" w:space="0" w:color="auto"/>
            </w:tcBorders>
            <w:shd w:val="clear" w:color="000000" w:fill="C5D9F1"/>
            <w:noWrap/>
            <w:vAlign w:val="center"/>
            <w:hideMark/>
          </w:tcPr>
          <w:p w14:paraId="3562907C" w14:textId="77777777" w:rsidR="00E03650" w:rsidRPr="009C5ECD" w:rsidRDefault="00E03650" w:rsidP="00666827">
            <w:pPr>
              <w:jc w:val="center"/>
              <w:rPr>
                <w:color w:val="000000"/>
                <w:sz w:val="20"/>
                <w:szCs w:val="20"/>
              </w:rPr>
            </w:pPr>
            <w:r w:rsidRPr="009C5ECD">
              <w:rPr>
                <w:color w:val="000000"/>
                <w:sz w:val="20"/>
                <w:szCs w:val="20"/>
              </w:rPr>
              <w:t>1,024</w:t>
            </w:r>
          </w:p>
        </w:tc>
        <w:tc>
          <w:tcPr>
            <w:tcW w:w="0" w:type="auto"/>
            <w:tcBorders>
              <w:top w:val="nil"/>
              <w:left w:val="nil"/>
              <w:bottom w:val="single" w:sz="8" w:space="0" w:color="auto"/>
              <w:right w:val="single" w:sz="8" w:space="0" w:color="auto"/>
            </w:tcBorders>
            <w:shd w:val="clear" w:color="000000" w:fill="C5D9F1"/>
            <w:noWrap/>
            <w:vAlign w:val="center"/>
            <w:hideMark/>
          </w:tcPr>
          <w:p w14:paraId="214DB6B9" w14:textId="77777777" w:rsidR="00E03650" w:rsidRPr="009C5ECD" w:rsidRDefault="00E03650" w:rsidP="00666827">
            <w:pPr>
              <w:jc w:val="center"/>
              <w:rPr>
                <w:color w:val="000000"/>
                <w:sz w:val="20"/>
                <w:szCs w:val="20"/>
              </w:rPr>
            </w:pPr>
            <w:r w:rsidRPr="009C5ECD">
              <w:rPr>
                <w:color w:val="000000"/>
                <w:sz w:val="20"/>
                <w:szCs w:val="20"/>
              </w:rPr>
              <w:t>465</w:t>
            </w:r>
          </w:p>
        </w:tc>
        <w:tc>
          <w:tcPr>
            <w:tcW w:w="0" w:type="auto"/>
            <w:tcBorders>
              <w:top w:val="nil"/>
              <w:left w:val="nil"/>
              <w:bottom w:val="single" w:sz="8" w:space="0" w:color="auto"/>
              <w:right w:val="single" w:sz="8" w:space="0" w:color="auto"/>
            </w:tcBorders>
            <w:shd w:val="clear" w:color="000000" w:fill="C5D9F1"/>
            <w:noWrap/>
            <w:vAlign w:val="center"/>
            <w:hideMark/>
          </w:tcPr>
          <w:p w14:paraId="3D678A3C" w14:textId="77777777" w:rsidR="00E03650" w:rsidRPr="009C5ECD" w:rsidRDefault="00E03650" w:rsidP="00666827">
            <w:pPr>
              <w:jc w:val="center"/>
              <w:rPr>
                <w:color w:val="000000"/>
                <w:sz w:val="20"/>
                <w:szCs w:val="20"/>
              </w:rPr>
            </w:pPr>
            <w:r w:rsidRPr="009C5ECD">
              <w:rPr>
                <w:color w:val="000000"/>
                <w:sz w:val="20"/>
                <w:szCs w:val="20"/>
              </w:rPr>
              <w:t>45%</w:t>
            </w:r>
          </w:p>
        </w:tc>
        <w:tc>
          <w:tcPr>
            <w:tcW w:w="0" w:type="auto"/>
            <w:tcBorders>
              <w:top w:val="nil"/>
              <w:left w:val="nil"/>
              <w:bottom w:val="single" w:sz="8" w:space="0" w:color="auto"/>
              <w:right w:val="single" w:sz="8" w:space="0" w:color="auto"/>
            </w:tcBorders>
            <w:shd w:val="clear" w:color="000000" w:fill="F2DCDB"/>
            <w:noWrap/>
            <w:vAlign w:val="center"/>
            <w:hideMark/>
          </w:tcPr>
          <w:p w14:paraId="482EEE06" w14:textId="77777777" w:rsidR="00E03650" w:rsidRPr="009C5ECD" w:rsidRDefault="00E03650" w:rsidP="00666827">
            <w:pPr>
              <w:jc w:val="center"/>
              <w:rPr>
                <w:color w:val="000000"/>
                <w:sz w:val="20"/>
                <w:szCs w:val="20"/>
              </w:rPr>
            </w:pPr>
            <w:r w:rsidRPr="009C5ECD">
              <w:rPr>
                <w:color w:val="000000"/>
                <w:sz w:val="20"/>
                <w:szCs w:val="20"/>
              </w:rPr>
              <w:t>7,215</w:t>
            </w:r>
          </w:p>
        </w:tc>
        <w:tc>
          <w:tcPr>
            <w:tcW w:w="0" w:type="auto"/>
            <w:tcBorders>
              <w:top w:val="nil"/>
              <w:left w:val="nil"/>
              <w:bottom w:val="single" w:sz="8" w:space="0" w:color="auto"/>
              <w:right w:val="single" w:sz="8" w:space="0" w:color="auto"/>
            </w:tcBorders>
            <w:shd w:val="clear" w:color="000000" w:fill="F2DCDB"/>
            <w:noWrap/>
            <w:vAlign w:val="center"/>
            <w:hideMark/>
          </w:tcPr>
          <w:p w14:paraId="4B6E27EF" w14:textId="77777777" w:rsidR="00E03650" w:rsidRPr="009C5ECD" w:rsidRDefault="00E03650" w:rsidP="00666827">
            <w:pPr>
              <w:jc w:val="center"/>
              <w:rPr>
                <w:color w:val="000000"/>
                <w:sz w:val="20"/>
                <w:szCs w:val="20"/>
              </w:rPr>
            </w:pPr>
            <w:r w:rsidRPr="009C5ECD">
              <w:rPr>
                <w:color w:val="000000"/>
                <w:sz w:val="20"/>
                <w:szCs w:val="20"/>
              </w:rPr>
              <w:t>14,740</w:t>
            </w:r>
          </w:p>
        </w:tc>
        <w:tc>
          <w:tcPr>
            <w:tcW w:w="0" w:type="auto"/>
            <w:tcBorders>
              <w:top w:val="nil"/>
              <w:left w:val="nil"/>
              <w:bottom w:val="single" w:sz="8" w:space="0" w:color="auto"/>
              <w:right w:val="single" w:sz="8" w:space="0" w:color="auto"/>
            </w:tcBorders>
            <w:shd w:val="clear" w:color="000000" w:fill="F2DCDB"/>
            <w:noWrap/>
            <w:vAlign w:val="center"/>
            <w:hideMark/>
          </w:tcPr>
          <w:p w14:paraId="5BFEC7CD" w14:textId="77777777" w:rsidR="00E03650" w:rsidRPr="009C5ECD" w:rsidRDefault="00E03650" w:rsidP="00666827">
            <w:pPr>
              <w:jc w:val="center"/>
              <w:rPr>
                <w:color w:val="000000"/>
                <w:sz w:val="20"/>
                <w:szCs w:val="20"/>
              </w:rPr>
            </w:pPr>
            <w:r w:rsidRPr="009C5ECD">
              <w:rPr>
                <w:color w:val="000000"/>
                <w:sz w:val="20"/>
                <w:szCs w:val="20"/>
              </w:rPr>
              <w:t>204%</w:t>
            </w:r>
          </w:p>
        </w:tc>
        <w:tc>
          <w:tcPr>
            <w:tcW w:w="0" w:type="auto"/>
            <w:tcBorders>
              <w:top w:val="nil"/>
              <w:left w:val="nil"/>
              <w:bottom w:val="single" w:sz="8" w:space="0" w:color="auto"/>
              <w:right w:val="single" w:sz="8" w:space="0" w:color="auto"/>
            </w:tcBorders>
            <w:shd w:val="clear" w:color="000000" w:fill="D8E4BC"/>
            <w:noWrap/>
            <w:vAlign w:val="center"/>
            <w:hideMark/>
          </w:tcPr>
          <w:p w14:paraId="5843E45B" w14:textId="77777777" w:rsidR="00E03650" w:rsidRPr="009C5ECD" w:rsidRDefault="00E03650" w:rsidP="00666827">
            <w:pPr>
              <w:jc w:val="center"/>
              <w:rPr>
                <w:color w:val="000000"/>
                <w:sz w:val="20"/>
                <w:szCs w:val="20"/>
              </w:rPr>
            </w:pPr>
            <w:r w:rsidRPr="009C5ECD">
              <w:rPr>
                <w:color w:val="000000"/>
                <w:sz w:val="20"/>
                <w:szCs w:val="20"/>
              </w:rPr>
              <w:t>748</w:t>
            </w:r>
          </w:p>
        </w:tc>
        <w:tc>
          <w:tcPr>
            <w:tcW w:w="0" w:type="auto"/>
            <w:tcBorders>
              <w:top w:val="nil"/>
              <w:left w:val="nil"/>
              <w:bottom w:val="single" w:sz="8" w:space="0" w:color="auto"/>
              <w:right w:val="single" w:sz="8" w:space="0" w:color="auto"/>
            </w:tcBorders>
            <w:shd w:val="clear" w:color="000000" w:fill="D8E4BC"/>
            <w:noWrap/>
            <w:vAlign w:val="center"/>
            <w:hideMark/>
          </w:tcPr>
          <w:p w14:paraId="3F9C4B94" w14:textId="77777777" w:rsidR="00E03650" w:rsidRPr="009C5ECD" w:rsidRDefault="00E03650" w:rsidP="00666827">
            <w:pPr>
              <w:jc w:val="center"/>
              <w:rPr>
                <w:color w:val="000000"/>
                <w:sz w:val="20"/>
                <w:szCs w:val="20"/>
              </w:rPr>
            </w:pPr>
            <w:r w:rsidRPr="009C5ECD">
              <w:rPr>
                <w:color w:val="000000"/>
                <w:sz w:val="20"/>
                <w:szCs w:val="20"/>
              </w:rPr>
              <w:t>40</w:t>
            </w:r>
          </w:p>
        </w:tc>
      </w:tr>
      <w:tr w:rsidR="001129C8" w:rsidRPr="009C5ECD" w14:paraId="49A9CC68"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35C8138" w14:textId="77777777" w:rsidR="00E03650" w:rsidRPr="009C5ECD" w:rsidRDefault="00E03650" w:rsidP="00666827">
            <w:pPr>
              <w:jc w:val="center"/>
              <w:rPr>
                <w:color w:val="000000"/>
                <w:sz w:val="20"/>
                <w:szCs w:val="20"/>
              </w:rPr>
            </w:pPr>
            <w:r w:rsidRPr="009C5ECD">
              <w:rPr>
                <w:color w:val="000000"/>
                <w:sz w:val="20"/>
                <w:szCs w:val="20"/>
              </w:rPr>
              <w:t>Greater amberjack</w:t>
            </w:r>
          </w:p>
        </w:tc>
        <w:tc>
          <w:tcPr>
            <w:tcW w:w="0" w:type="auto"/>
            <w:tcBorders>
              <w:top w:val="nil"/>
              <w:left w:val="nil"/>
              <w:bottom w:val="single" w:sz="8" w:space="0" w:color="auto"/>
              <w:right w:val="single" w:sz="8" w:space="0" w:color="auto"/>
            </w:tcBorders>
            <w:shd w:val="clear" w:color="000000" w:fill="B7DEE8"/>
            <w:noWrap/>
            <w:vAlign w:val="center"/>
            <w:hideMark/>
          </w:tcPr>
          <w:p w14:paraId="3ED641B2" w14:textId="77777777" w:rsidR="00E03650" w:rsidRPr="009C5ECD" w:rsidRDefault="00E03650" w:rsidP="00666827">
            <w:pPr>
              <w:jc w:val="center"/>
              <w:rPr>
                <w:color w:val="000000"/>
                <w:sz w:val="20"/>
                <w:szCs w:val="20"/>
              </w:rPr>
            </w:pPr>
            <w:r w:rsidRPr="009C5ECD">
              <w:rPr>
                <w:color w:val="000000"/>
                <w:sz w:val="20"/>
                <w:szCs w:val="20"/>
              </w:rPr>
              <w:t>3,676</w:t>
            </w:r>
          </w:p>
        </w:tc>
        <w:tc>
          <w:tcPr>
            <w:tcW w:w="0" w:type="auto"/>
            <w:tcBorders>
              <w:top w:val="nil"/>
              <w:left w:val="nil"/>
              <w:bottom w:val="single" w:sz="8" w:space="0" w:color="auto"/>
              <w:right w:val="single" w:sz="8" w:space="0" w:color="auto"/>
            </w:tcBorders>
            <w:shd w:val="clear" w:color="000000" w:fill="B7DEE8"/>
            <w:noWrap/>
            <w:vAlign w:val="center"/>
            <w:hideMark/>
          </w:tcPr>
          <w:p w14:paraId="3CA32959" w14:textId="77777777" w:rsidR="00E03650" w:rsidRPr="009C5ECD" w:rsidRDefault="00E03650" w:rsidP="00666827">
            <w:pPr>
              <w:jc w:val="center"/>
              <w:rPr>
                <w:color w:val="000000"/>
                <w:sz w:val="20"/>
                <w:szCs w:val="20"/>
              </w:rPr>
            </w:pPr>
            <w:r w:rsidRPr="009C5ECD">
              <w:rPr>
                <w:color w:val="000000"/>
                <w:sz w:val="20"/>
                <w:szCs w:val="20"/>
              </w:rPr>
              <w:t>3,396</w:t>
            </w:r>
          </w:p>
        </w:tc>
        <w:tc>
          <w:tcPr>
            <w:tcW w:w="0" w:type="auto"/>
            <w:tcBorders>
              <w:top w:val="nil"/>
              <w:left w:val="nil"/>
              <w:bottom w:val="single" w:sz="8" w:space="0" w:color="auto"/>
              <w:right w:val="single" w:sz="8" w:space="0" w:color="auto"/>
            </w:tcBorders>
            <w:shd w:val="clear" w:color="000000" w:fill="B7DEE8"/>
            <w:noWrap/>
            <w:vAlign w:val="center"/>
            <w:hideMark/>
          </w:tcPr>
          <w:p w14:paraId="5A761372" w14:textId="77777777" w:rsidR="00E03650" w:rsidRPr="009C5ECD" w:rsidRDefault="00E03650" w:rsidP="00666827">
            <w:pPr>
              <w:jc w:val="center"/>
              <w:rPr>
                <w:color w:val="000000"/>
                <w:sz w:val="20"/>
                <w:szCs w:val="20"/>
              </w:rPr>
            </w:pPr>
            <w:r w:rsidRPr="009C5ECD">
              <w:rPr>
                <w:color w:val="000000"/>
                <w:sz w:val="20"/>
                <w:szCs w:val="20"/>
              </w:rPr>
              <w:t>92%</w:t>
            </w:r>
          </w:p>
        </w:tc>
        <w:tc>
          <w:tcPr>
            <w:tcW w:w="0" w:type="auto"/>
            <w:tcBorders>
              <w:top w:val="nil"/>
              <w:left w:val="nil"/>
              <w:bottom w:val="single" w:sz="8" w:space="0" w:color="auto"/>
              <w:right w:val="single" w:sz="8" w:space="0" w:color="auto"/>
            </w:tcBorders>
            <w:shd w:val="clear" w:color="000000" w:fill="C5D9F1"/>
            <w:noWrap/>
            <w:vAlign w:val="center"/>
            <w:hideMark/>
          </w:tcPr>
          <w:p w14:paraId="7ED4EDA1" w14:textId="77777777" w:rsidR="00E03650" w:rsidRPr="009C5ECD" w:rsidRDefault="00E03650" w:rsidP="00666827">
            <w:pPr>
              <w:jc w:val="center"/>
              <w:rPr>
                <w:color w:val="000000"/>
                <w:sz w:val="20"/>
                <w:szCs w:val="20"/>
              </w:rPr>
            </w:pPr>
            <w:r w:rsidRPr="009C5ECD">
              <w:rPr>
                <w:color w:val="000000"/>
                <w:sz w:val="20"/>
                <w:szCs w:val="20"/>
              </w:rPr>
              <w:t>18,961</w:t>
            </w:r>
          </w:p>
        </w:tc>
        <w:tc>
          <w:tcPr>
            <w:tcW w:w="0" w:type="auto"/>
            <w:tcBorders>
              <w:top w:val="nil"/>
              <w:left w:val="nil"/>
              <w:bottom w:val="single" w:sz="8" w:space="0" w:color="auto"/>
              <w:right w:val="single" w:sz="8" w:space="0" w:color="auto"/>
            </w:tcBorders>
            <w:shd w:val="clear" w:color="000000" w:fill="C5D9F1"/>
            <w:noWrap/>
            <w:vAlign w:val="center"/>
            <w:hideMark/>
          </w:tcPr>
          <w:p w14:paraId="49AD24EF" w14:textId="77777777" w:rsidR="00E03650" w:rsidRPr="009C5ECD" w:rsidRDefault="00E03650" w:rsidP="00666827">
            <w:pPr>
              <w:jc w:val="center"/>
              <w:rPr>
                <w:color w:val="000000"/>
                <w:sz w:val="20"/>
                <w:szCs w:val="20"/>
              </w:rPr>
            </w:pPr>
            <w:r w:rsidRPr="009C5ECD">
              <w:rPr>
                <w:color w:val="000000"/>
                <w:sz w:val="20"/>
                <w:szCs w:val="20"/>
              </w:rPr>
              <w:t>12,845</w:t>
            </w:r>
          </w:p>
        </w:tc>
        <w:tc>
          <w:tcPr>
            <w:tcW w:w="0" w:type="auto"/>
            <w:tcBorders>
              <w:top w:val="nil"/>
              <w:left w:val="nil"/>
              <w:bottom w:val="single" w:sz="8" w:space="0" w:color="auto"/>
              <w:right w:val="single" w:sz="8" w:space="0" w:color="auto"/>
            </w:tcBorders>
            <w:shd w:val="clear" w:color="000000" w:fill="C5D9F1"/>
            <w:noWrap/>
            <w:vAlign w:val="center"/>
            <w:hideMark/>
          </w:tcPr>
          <w:p w14:paraId="126ED0F3" w14:textId="77777777" w:rsidR="00E03650" w:rsidRPr="009C5ECD" w:rsidRDefault="00E03650" w:rsidP="00666827">
            <w:pPr>
              <w:jc w:val="center"/>
              <w:rPr>
                <w:color w:val="000000"/>
                <w:sz w:val="20"/>
                <w:szCs w:val="20"/>
              </w:rPr>
            </w:pPr>
            <w:r w:rsidRPr="009C5ECD">
              <w:rPr>
                <w:color w:val="000000"/>
                <w:sz w:val="20"/>
                <w:szCs w:val="20"/>
              </w:rPr>
              <w:t>68%</w:t>
            </w:r>
          </w:p>
        </w:tc>
        <w:tc>
          <w:tcPr>
            <w:tcW w:w="0" w:type="auto"/>
            <w:tcBorders>
              <w:top w:val="nil"/>
              <w:left w:val="nil"/>
              <w:bottom w:val="single" w:sz="8" w:space="0" w:color="auto"/>
              <w:right w:val="single" w:sz="8" w:space="0" w:color="auto"/>
            </w:tcBorders>
            <w:shd w:val="clear" w:color="000000" w:fill="F2DCDB"/>
            <w:noWrap/>
            <w:vAlign w:val="center"/>
            <w:hideMark/>
          </w:tcPr>
          <w:p w14:paraId="4052B1E0" w14:textId="77777777" w:rsidR="00E03650" w:rsidRPr="009C5ECD" w:rsidRDefault="00E03650" w:rsidP="00666827">
            <w:pPr>
              <w:jc w:val="center"/>
              <w:rPr>
                <w:color w:val="000000"/>
                <w:sz w:val="20"/>
                <w:szCs w:val="20"/>
              </w:rPr>
            </w:pPr>
            <w:r w:rsidRPr="009C5ECD">
              <w:rPr>
                <w:color w:val="000000"/>
                <w:sz w:val="20"/>
                <w:szCs w:val="20"/>
              </w:rPr>
              <w:t>16,549</w:t>
            </w:r>
          </w:p>
        </w:tc>
        <w:tc>
          <w:tcPr>
            <w:tcW w:w="0" w:type="auto"/>
            <w:tcBorders>
              <w:top w:val="nil"/>
              <w:left w:val="nil"/>
              <w:bottom w:val="single" w:sz="8" w:space="0" w:color="auto"/>
              <w:right w:val="single" w:sz="8" w:space="0" w:color="auto"/>
            </w:tcBorders>
            <w:shd w:val="clear" w:color="000000" w:fill="F2DCDB"/>
            <w:noWrap/>
            <w:vAlign w:val="center"/>
            <w:hideMark/>
          </w:tcPr>
          <w:p w14:paraId="3F7EAFAC" w14:textId="77777777" w:rsidR="00E03650" w:rsidRPr="009C5ECD" w:rsidRDefault="00E03650" w:rsidP="00666827">
            <w:pPr>
              <w:jc w:val="center"/>
              <w:rPr>
                <w:color w:val="000000"/>
                <w:sz w:val="20"/>
                <w:szCs w:val="20"/>
              </w:rPr>
            </w:pPr>
            <w:r w:rsidRPr="009C5ECD">
              <w:rPr>
                <w:color w:val="000000"/>
                <w:sz w:val="20"/>
                <w:szCs w:val="20"/>
              </w:rPr>
              <w:t>21,127</w:t>
            </w:r>
          </w:p>
        </w:tc>
        <w:tc>
          <w:tcPr>
            <w:tcW w:w="0" w:type="auto"/>
            <w:tcBorders>
              <w:top w:val="nil"/>
              <w:left w:val="nil"/>
              <w:bottom w:val="single" w:sz="8" w:space="0" w:color="auto"/>
              <w:right w:val="single" w:sz="8" w:space="0" w:color="auto"/>
            </w:tcBorders>
            <w:shd w:val="clear" w:color="000000" w:fill="F2DCDB"/>
            <w:noWrap/>
            <w:vAlign w:val="center"/>
            <w:hideMark/>
          </w:tcPr>
          <w:p w14:paraId="7A263664" w14:textId="77777777" w:rsidR="00E03650" w:rsidRPr="009C5ECD" w:rsidRDefault="00E03650" w:rsidP="00666827">
            <w:pPr>
              <w:jc w:val="center"/>
              <w:rPr>
                <w:color w:val="000000"/>
                <w:sz w:val="20"/>
                <w:szCs w:val="20"/>
              </w:rPr>
            </w:pPr>
            <w:r w:rsidRPr="009C5ECD">
              <w:rPr>
                <w:color w:val="000000"/>
                <w:sz w:val="20"/>
                <w:szCs w:val="20"/>
              </w:rPr>
              <w:t>128%</w:t>
            </w:r>
          </w:p>
        </w:tc>
        <w:tc>
          <w:tcPr>
            <w:tcW w:w="0" w:type="auto"/>
            <w:tcBorders>
              <w:top w:val="nil"/>
              <w:left w:val="nil"/>
              <w:bottom w:val="single" w:sz="8" w:space="0" w:color="auto"/>
              <w:right w:val="single" w:sz="8" w:space="0" w:color="auto"/>
            </w:tcBorders>
            <w:shd w:val="clear" w:color="000000" w:fill="D8E4BC"/>
            <w:noWrap/>
            <w:vAlign w:val="center"/>
            <w:hideMark/>
          </w:tcPr>
          <w:p w14:paraId="2701A386" w14:textId="77777777" w:rsidR="00E03650" w:rsidRPr="009C5ECD" w:rsidRDefault="00E03650" w:rsidP="00666827">
            <w:pPr>
              <w:jc w:val="center"/>
              <w:rPr>
                <w:color w:val="000000"/>
                <w:sz w:val="20"/>
                <w:szCs w:val="20"/>
              </w:rPr>
            </w:pPr>
            <w:r w:rsidRPr="009C5ECD">
              <w:rPr>
                <w:color w:val="000000"/>
                <w:sz w:val="20"/>
                <w:szCs w:val="20"/>
              </w:rPr>
              <w:t>883,776</w:t>
            </w:r>
          </w:p>
        </w:tc>
        <w:tc>
          <w:tcPr>
            <w:tcW w:w="0" w:type="auto"/>
            <w:tcBorders>
              <w:top w:val="nil"/>
              <w:left w:val="nil"/>
              <w:bottom w:val="single" w:sz="8" w:space="0" w:color="auto"/>
              <w:right w:val="single" w:sz="8" w:space="0" w:color="auto"/>
            </w:tcBorders>
            <w:shd w:val="clear" w:color="000000" w:fill="D8E4BC"/>
            <w:noWrap/>
            <w:vAlign w:val="center"/>
            <w:hideMark/>
          </w:tcPr>
          <w:p w14:paraId="04EB15A3" w14:textId="77777777" w:rsidR="00E03650" w:rsidRPr="009C5ECD" w:rsidRDefault="00E03650" w:rsidP="00666827">
            <w:pPr>
              <w:jc w:val="center"/>
              <w:rPr>
                <w:color w:val="000000"/>
                <w:sz w:val="20"/>
                <w:szCs w:val="20"/>
              </w:rPr>
            </w:pPr>
            <w:r w:rsidRPr="009C5ECD">
              <w:rPr>
                <w:color w:val="000000"/>
                <w:sz w:val="20"/>
                <w:szCs w:val="20"/>
              </w:rPr>
              <w:t>1,346</w:t>
            </w:r>
          </w:p>
        </w:tc>
      </w:tr>
      <w:tr w:rsidR="001129C8" w:rsidRPr="009C5ECD" w14:paraId="20ECEDF0"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213827B" w14:textId="77777777" w:rsidR="00E03650" w:rsidRPr="009C5ECD" w:rsidRDefault="00E03650" w:rsidP="00666827">
            <w:pPr>
              <w:jc w:val="center"/>
              <w:rPr>
                <w:color w:val="000000"/>
                <w:sz w:val="20"/>
                <w:szCs w:val="20"/>
              </w:rPr>
            </w:pPr>
            <w:r w:rsidRPr="009C5ECD">
              <w:rPr>
                <w:color w:val="000000"/>
                <w:sz w:val="20"/>
                <w:szCs w:val="20"/>
              </w:rPr>
              <w:t>Hogfish</w:t>
            </w:r>
          </w:p>
        </w:tc>
        <w:tc>
          <w:tcPr>
            <w:tcW w:w="0" w:type="auto"/>
            <w:tcBorders>
              <w:top w:val="nil"/>
              <w:left w:val="nil"/>
              <w:bottom w:val="single" w:sz="8" w:space="0" w:color="auto"/>
              <w:right w:val="single" w:sz="8" w:space="0" w:color="auto"/>
            </w:tcBorders>
            <w:shd w:val="clear" w:color="000000" w:fill="B7DEE8"/>
            <w:noWrap/>
            <w:vAlign w:val="center"/>
            <w:hideMark/>
          </w:tcPr>
          <w:p w14:paraId="11817437" w14:textId="77777777" w:rsidR="00E03650" w:rsidRPr="009C5ECD" w:rsidRDefault="00E03650" w:rsidP="00666827">
            <w:pPr>
              <w:jc w:val="center"/>
              <w:rPr>
                <w:color w:val="000000"/>
                <w:sz w:val="20"/>
                <w:szCs w:val="20"/>
              </w:rPr>
            </w:pPr>
            <w:r w:rsidRPr="009C5ECD">
              <w:rPr>
                <w:color w:val="000000"/>
                <w:sz w:val="20"/>
                <w:szCs w:val="20"/>
              </w:rPr>
              <w:t>185</w:t>
            </w:r>
          </w:p>
        </w:tc>
        <w:tc>
          <w:tcPr>
            <w:tcW w:w="0" w:type="auto"/>
            <w:tcBorders>
              <w:top w:val="nil"/>
              <w:left w:val="nil"/>
              <w:bottom w:val="single" w:sz="8" w:space="0" w:color="auto"/>
              <w:right w:val="single" w:sz="8" w:space="0" w:color="auto"/>
            </w:tcBorders>
            <w:shd w:val="clear" w:color="000000" w:fill="B7DEE8"/>
            <w:noWrap/>
            <w:vAlign w:val="center"/>
            <w:hideMark/>
          </w:tcPr>
          <w:p w14:paraId="2E54190E" w14:textId="77777777" w:rsidR="00E03650" w:rsidRPr="009C5ECD" w:rsidRDefault="00E03650" w:rsidP="00666827">
            <w:pPr>
              <w:jc w:val="center"/>
              <w:rPr>
                <w:color w:val="000000"/>
                <w:sz w:val="20"/>
                <w:szCs w:val="20"/>
              </w:rPr>
            </w:pPr>
            <w:r w:rsidRPr="009C5ECD">
              <w:rPr>
                <w:color w:val="000000"/>
                <w:sz w:val="20"/>
                <w:szCs w:val="20"/>
              </w:rPr>
              <w:t>506</w:t>
            </w:r>
          </w:p>
        </w:tc>
        <w:tc>
          <w:tcPr>
            <w:tcW w:w="0" w:type="auto"/>
            <w:tcBorders>
              <w:top w:val="nil"/>
              <w:left w:val="nil"/>
              <w:bottom w:val="single" w:sz="8" w:space="0" w:color="auto"/>
              <w:right w:val="single" w:sz="8" w:space="0" w:color="auto"/>
            </w:tcBorders>
            <w:shd w:val="clear" w:color="000000" w:fill="B7DEE8"/>
            <w:noWrap/>
            <w:vAlign w:val="center"/>
            <w:hideMark/>
          </w:tcPr>
          <w:p w14:paraId="6B51F4F7" w14:textId="77777777" w:rsidR="00E03650" w:rsidRPr="009C5ECD" w:rsidRDefault="00E03650" w:rsidP="00666827">
            <w:pPr>
              <w:jc w:val="center"/>
              <w:rPr>
                <w:color w:val="000000"/>
                <w:sz w:val="20"/>
                <w:szCs w:val="20"/>
              </w:rPr>
            </w:pPr>
            <w:r w:rsidRPr="009C5ECD">
              <w:rPr>
                <w:color w:val="000000"/>
                <w:sz w:val="20"/>
                <w:szCs w:val="20"/>
              </w:rPr>
              <w:t>273%</w:t>
            </w:r>
          </w:p>
        </w:tc>
        <w:tc>
          <w:tcPr>
            <w:tcW w:w="0" w:type="auto"/>
            <w:tcBorders>
              <w:top w:val="nil"/>
              <w:left w:val="nil"/>
              <w:bottom w:val="single" w:sz="8" w:space="0" w:color="auto"/>
              <w:right w:val="single" w:sz="8" w:space="0" w:color="auto"/>
            </w:tcBorders>
            <w:shd w:val="clear" w:color="000000" w:fill="C5D9F1"/>
            <w:noWrap/>
            <w:vAlign w:val="center"/>
            <w:hideMark/>
          </w:tcPr>
          <w:p w14:paraId="422FA17D" w14:textId="77777777" w:rsidR="00E03650" w:rsidRPr="009C5ECD" w:rsidRDefault="00E03650" w:rsidP="00666827">
            <w:pPr>
              <w:jc w:val="center"/>
              <w:rPr>
                <w:color w:val="000000"/>
                <w:sz w:val="20"/>
                <w:szCs w:val="20"/>
              </w:rPr>
            </w:pPr>
            <w:r w:rsidRPr="009C5ECD">
              <w:rPr>
                <w:color w:val="000000"/>
                <w:sz w:val="20"/>
                <w:szCs w:val="20"/>
              </w:rPr>
              <w:t>46</w:t>
            </w:r>
          </w:p>
        </w:tc>
        <w:tc>
          <w:tcPr>
            <w:tcW w:w="0" w:type="auto"/>
            <w:tcBorders>
              <w:top w:val="nil"/>
              <w:left w:val="nil"/>
              <w:bottom w:val="single" w:sz="8" w:space="0" w:color="auto"/>
              <w:right w:val="single" w:sz="8" w:space="0" w:color="auto"/>
            </w:tcBorders>
            <w:shd w:val="clear" w:color="000000" w:fill="C5D9F1"/>
            <w:noWrap/>
            <w:vAlign w:val="center"/>
            <w:hideMark/>
          </w:tcPr>
          <w:p w14:paraId="385318B2"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66E727CC"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4CEEB3B8" w14:textId="77777777" w:rsidR="00E03650" w:rsidRPr="009C5ECD" w:rsidRDefault="00E03650" w:rsidP="00666827">
            <w:pPr>
              <w:jc w:val="center"/>
              <w:rPr>
                <w:color w:val="000000"/>
                <w:sz w:val="20"/>
                <w:szCs w:val="20"/>
              </w:rPr>
            </w:pPr>
            <w:r w:rsidRPr="009C5ECD">
              <w:rPr>
                <w:color w:val="000000"/>
                <w:sz w:val="20"/>
                <w:szCs w:val="20"/>
              </w:rPr>
              <w:t>64,731</w:t>
            </w:r>
          </w:p>
        </w:tc>
        <w:tc>
          <w:tcPr>
            <w:tcW w:w="0" w:type="auto"/>
            <w:tcBorders>
              <w:top w:val="nil"/>
              <w:left w:val="nil"/>
              <w:bottom w:val="single" w:sz="8" w:space="0" w:color="auto"/>
              <w:right w:val="single" w:sz="8" w:space="0" w:color="auto"/>
            </w:tcBorders>
            <w:shd w:val="clear" w:color="000000" w:fill="F2DCDB"/>
            <w:noWrap/>
            <w:vAlign w:val="center"/>
            <w:hideMark/>
          </w:tcPr>
          <w:p w14:paraId="7C718849" w14:textId="77777777" w:rsidR="00E03650" w:rsidRPr="009C5ECD" w:rsidRDefault="00E03650" w:rsidP="00666827">
            <w:pPr>
              <w:jc w:val="center"/>
              <w:rPr>
                <w:color w:val="000000"/>
                <w:sz w:val="20"/>
                <w:szCs w:val="20"/>
              </w:rPr>
            </w:pPr>
            <w:r w:rsidRPr="009C5ECD">
              <w:rPr>
                <w:color w:val="000000"/>
                <w:sz w:val="20"/>
                <w:szCs w:val="20"/>
              </w:rPr>
              <w:t>5,569</w:t>
            </w:r>
          </w:p>
        </w:tc>
        <w:tc>
          <w:tcPr>
            <w:tcW w:w="0" w:type="auto"/>
            <w:tcBorders>
              <w:top w:val="nil"/>
              <w:left w:val="nil"/>
              <w:bottom w:val="single" w:sz="8" w:space="0" w:color="auto"/>
              <w:right w:val="single" w:sz="8" w:space="0" w:color="auto"/>
            </w:tcBorders>
            <w:shd w:val="clear" w:color="000000" w:fill="F2DCDB"/>
            <w:noWrap/>
            <w:vAlign w:val="center"/>
            <w:hideMark/>
          </w:tcPr>
          <w:p w14:paraId="2A864EAF" w14:textId="77777777" w:rsidR="00E03650" w:rsidRPr="009C5ECD" w:rsidRDefault="00E03650" w:rsidP="00666827">
            <w:pPr>
              <w:jc w:val="center"/>
              <w:rPr>
                <w:color w:val="000000"/>
                <w:sz w:val="20"/>
                <w:szCs w:val="20"/>
              </w:rPr>
            </w:pPr>
            <w:r w:rsidRPr="009C5ECD">
              <w:rPr>
                <w:color w:val="000000"/>
                <w:sz w:val="20"/>
                <w:szCs w:val="20"/>
              </w:rPr>
              <w:t>9%</w:t>
            </w:r>
          </w:p>
        </w:tc>
        <w:tc>
          <w:tcPr>
            <w:tcW w:w="0" w:type="auto"/>
            <w:tcBorders>
              <w:top w:val="nil"/>
              <w:left w:val="nil"/>
              <w:bottom w:val="single" w:sz="8" w:space="0" w:color="auto"/>
              <w:right w:val="single" w:sz="8" w:space="0" w:color="auto"/>
            </w:tcBorders>
            <w:shd w:val="clear" w:color="000000" w:fill="D8E4BC"/>
            <w:noWrap/>
            <w:vAlign w:val="center"/>
            <w:hideMark/>
          </w:tcPr>
          <w:p w14:paraId="7D855448" w14:textId="77777777" w:rsidR="00E03650" w:rsidRPr="009C5ECD" w:rsidRDefault="00E03650" w:rsidP="00666827">
            <w:pPr>
              <w:jc w:val="center"/>
              <w:rPr>
                <w:color w:val="000000"/>
                <w:sz w:val="20"/>
                <w:szCs w:val="20"/>
              </w:rPr>
            </w:pPr>
            <w:r w:rsidRPr="009C5ECD">
              <w:rPr>
                <w:color w:val="000000"/>
                <w:sz w:val="20"/>
                <w:szCs w:val="20"/>
              </w:rPr>
              <w:t>37,237</w:t>
            </w:r>
          </w:p>
        </w:tc>
        <w:tc>
          <w:tcPr>
            <w:tcW w:w="0" w:type="auto"/>
            <w:tcBorders>
              <w:top w:val="nil"/>
              <w:left w:val="nil"/>
              <w:bottom w:val="single" w:sz="8" w:space="0" w:color="auto"/>
              <w:right w:val="single" w:sz="8" w:space="0" w:color="auto"/>
            </w:tcBorders>
            <w:shd w:val="clear" w:color="000000" w:fill="D8E4BC"/>
            <w:noWrap/>
            <w:vAlign w:val="center"/>
            <w:hideMark/>
          </w:tcPr>
          <w:p w14:paraId="7EFF3DA5" w14:textId="77777777" w:rsidR="00E03650" w:rsidRPr="009C5ECD" w:rsidRDefault="00E03650" w:rsidP="00666827">
            <w:pPr>
              <w:jc w:val="center"/>
              <w:rPr>
                <w:color w:val="000000"/>
                <w:sz w:val="20"/>
                <w:szCs w:val="20"/>
              </w:rPr>
            </w:pPr>
            <w:r w:rsidRPr="009C5ECD">
              <w:rPr>
                <w:color w:val="000000"/>
                <w:sz w:val="20"/>
                <w:szCs w:val="20"/>
              </w:rPr>
              <w:t>293</w:t>
            </w:r>
          </w:p>
        </w:tc>
      </w:tr>
      <w:tr w:rsidR="001129C8" w:rsidRPr="009C5ECD" w14:paraId="238ADAD0"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C70C191" w14:textId="77777777" w:rsidR="00E03650" w:rsidRPr="009C5ECD" w:rsidRDefault="00E03650" w:rsidP="00666827">
            <w:pPr>
              <w:jc w:val="center"/>
              <w:rPr>
                <w:color w:val="000000"/>
                <w:sz w:val="20"/>
                <w:szCs w:val="20"/>
              </w:rPr>
            </w:pPr>
            <w:r w:rsidRPr="009C5ECD">
              <w:rPr>
                <w:color w:val="000000"/>
                <w:sz w:val="20"/>
                <w:szCs w:val="20"/>
              </w:rPr>
              <w:t>Jolthead porgy</w:t>
            </w:r>
          </w:p>
        </w:tc>
        <w:tc>
          <w:tcPr>
            <w:tcW w:w="0" w:type="auto"/>
            <w:tcBorders>
              <w:top w:val="nil"/>
              <w:left w:val="nil"/>
              <w:bottom w:val="single" w:sz="8" w:space="0" w:color="auto"/>
              <w:right w:val="single" w:sz="8" w:space="0" w:color="auto"/>
            </w:tcBorders>
            <w:shd w:val="clear" w:color="000000" w:fill="B7DEE8"/>
            <w:noWrap/>
            <w:vAlign w:val="center"/>
            <w:hideMark/>
          </w:tcPr>
          <w:p w14:paraId="4CBEA60D" w14:textId="77777777" w:rsidR="00E03650" w:rsidRPr="009C5ECD" w:rsidRDefault="00E03650" w:rsidP="00666827">
            <w:pPr>
              <w:jc w:val="center"/>
              <w:rPr>
                <w:color w:val="000000"/>
                <w:sz w:val="20"/>
                <w:szCs w:val="20"/>
              </w:rPr>
            </w:pPr>
            <w:r w:rsidRPr="009C5ECD">
              <w:rPr>
                <w:color w:val="000000"/>
                <w:sz w:val="20"/>
                <w:szCs w:val="20"/>
              </w:rPr>
              <w:t>6,303</w:t>
            </w:r>
          </w:p>
        </w:tc>
        <w:tc>
          <w:tcPr>
            <w:tcW w:w="0" w:type="auto"/>
            <w:tcBorders>
              <w:top w:val="nil"/>
              <w:left w:val="nil"/>
              <w:bottom w:val="single" w:sz="8" w:space="0" w:color="auto"/>
              <w:right w:val="single" w:sz="8" w:space="0" w:color="auto"/>
            </w:tcBorders>
            <w:shd w:val="clear" w:color="000000" w:fill="B7DEE8"/>
            <w:noWrap/>
            <w:vAlign w:val="center"/>
            <w:hideMark/>
          </w:tcPr>
          <w:p w14:paraId="48F51A69" w14:textId="77777777" w:rsidR="00E03650" w:rsidRPr="009C5ECD" w:rsidRDefault="00E03650" w:rsidP="00666827">
            <w:pPr>
              <w:jc w:val="center"/>
              <w:rPr>
                <w:color w:val="000000"/>
                <w:sz w:val="20"/>
                <w:szCs w:val="20"/>
              </w:rPr>
            </w:pPr>
            <w:r w:rsidRPr="009C5ECD">
              <w:rPr>
                <w:color w:val="000000"/>
                <w:sz w:val="20"/>
                <w:szCs w:val="20"/>
              </w:rPr>
              <w:t>334</w:t>
            </w:r>
          </w:p>
        </w:tc>
        <w:tc>
          <w:tcPr>
            <w:tcW w:w="0" w:type="auto"/>
            <w:tcBorders>
              <w:top w:val="nil"/>
              <w:left w:val="nil"/>
              <w:bottom w:val="single" w:sz="8" w:space="0" w:color="auto"/>
              <w:right w:val="single" w:sz="8" w:space="0" w:color="auto"/>
            </w:tcBorders>
            <w:shd w:val="clear" w:color="000000" w:fill="B7DEE8"/>
            <w:noWrap/>
            <w:vAlign w:val="center"/>
            <w:hideMark/>
          </w:tcPr>
          <w:p w14:paraId="7E03183D" w14:textId="77777777" w:rsidR="00E03650" w:rsidRPr="009C5ECD" w:rsidRDefault="00E03650" w:rsidP="00666827">
            <w:pPr>
              <w:jc w:val="center"/>
              <w:rPr>
                <w:color w:val="000000"/>
                <w:sz w:val="20"/>
                <w:szCs w:val="20"/>
              </w:rPr>
            </w:pPr>
            <w:r w:rsidRPr="009C5ECD">
              <w:rPr>
                <w:color w:val="000000"/>
                <w:sz w:val="20"/>
                <w:szCs w:val="20"/>
              </w:rPr>
              <w:t>5%</w:t>
            </w:r>
          </w:p>
        </w:tc>
        <w:tc>
          <w:tcPr>
            <w:tcW w:w="0" w:type="auto"/>
            <w:tcBorders>
              <w:top w:val="nil"/>
              <w:left w:val="nil"/>
              <w:bottom w:val="single" w:sz="8" w:space="0" w:color="auto"/>
              <w:right w:val="single" w:sz="8" w:space="0" w:color="auto"/>
            </w:tcBorders>
            <w:shd w:val="clear" w:color="000000" w:fill="C5D9F1"/>
            <w:noWrap/>
            <w:vAlign w:val="center"/>
            <w:hideMark/>
          </w:tcPr>
          <w:p w14:paraId="57C5E427" w14:textId="77777777" w:rsidR="00E03650" w:rsidRPr="009C5ECD" w:rsidRDefault="00E03650" w:rsidP="00666827">
            <w:pPr>
              <w:jc w:val="center"/>
              <w:rPr>
                <w:color w:val="000000"/>
                <w:sz w:val="20"/>
                <w:szCs w:val="20"/>
              </w:rPr>
            </w:pPr>
            <w:r w:rsidRPr="009C5ECD">
              <w:rPr>
                <w:color w:val="000000"/>
                <w:sz w:val="20"/>
                <w:szCs w:val="20"/>
              </w:rPr>
              <w:t>3,172</w:t>
            </w:r>
          </w:p>
        </w:tc>
        <w:tc>
          <w:tcPr>
            <w:tcW w:w="0" w:type="auto"/>
            <w:tcBorders>
              <w:top w:val="nil"/>
              <w:left w:val="nil"/>
              <w:bottom w:val="single" w:sz="8" w:space="0" w:color="auto"/>
              <w:right w:val="single" w:sz="8" w:space="0" w:color="auto"/>
            </w:tcBorders>
            <w:shd w:val="clear" w:color="000000" w:fill="C5D9F1"/>
            <w:noWrap/>
            <w:vAlign w:val="center"/>
            <w:hideMark/>
          </w:tcPr>
          <w:p w14:paraId="5DCEA015"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5AE01F64"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63213065" w14:textId="77777777" w:rsidR="00E03650" w:rsidRPr="009C5ECD" w:rsidRDefault="00E03650" w:rsidP="00666827">
            <w:pPr>
              <w:jc w:val="center"/>
              <w:rPr>
                <w:color w:val="000000"/>
                <w:sz w:val="20"/>
                <w:szCs w:val="20"/>
              </w:rPr>
            </w:pPr>
            <w:r w:rsidRPr="009C5ECD">
              <w:rPr>
                <w:color w:val="000000"/>
                <w:sz w:val="20"/>
                <w:szCs w:val="20"/>
              </w:rPr>
              <w:t>17,635</w:t>
            </w:r>
          </w:p>
        </w:tc>
        <w:tc>
          <w:tcPr>
            <w:tcW w:w="0" w:type="auto"/>
            <w:tcBorders>
              <w:top w:val="nil"/>
              <w:left w:val="nil"/>
              <w:bottom w:val="single" w:sz="8" w:space="0" w:color="auto"/>
              <w:right w:val="single" w:sz="8" w:space="0" w:color="auto"/>
            </w:tcBorders>
            <w:shd w:val="clear" w:color="000000" w:fill="F2DCDB"/>
            <w:noWrap/>
            <w:vAlign w:val="center"/>
            <w:hideMark/>
          </w:tcPr>
          <w:p w14:paraId="0B4A7035" w14:textId="77777777" w:rsidR="00E03650" w:rsidRPr="009C5ECD" w:rsidRDefault="00E03650" w:rsidP="00666827">
            <w:pPr>
              <w:jc w:val="center"/>
              <w:rPr>
                <w:color w:val="000000"/>
                <w:sz w:val="20"/>
                <w:szCs w:val="20"/>
              </w:rPr>
            </w:pPr>
            <w:r w:rsidRPr="009C5ECD">
              <w:rPr>
                <w:color w:val="000000"/>
                <w:sz w:val="20"/>
                <w:szCs w:val="20"/>
              </w:rPr>
              <w:t>1,122</w:t>
            </w:r>
          </w:p>
        </w:tc>
        <w:tc>
          <w:tcPr>
            <w:tcW w:w="0" w:type="auto"/>
            <w:tcBorders>
              <w:top w:val="nil"/>
              <w:left w:val="nil"/>
              <w:bottom w:val="single" w:sz="8" w:space="0" w:color="auto"/>
              <w:right w:val="single" w:sz="8" w:space="0" w:color="auto"/>
            </w:tcBorders>
            <w:shd w:val="clear" w:color="000000" w:fill="F2DCDB"/>
            <w:noWrap/>
            <w:vAlign w:val="center"/>
            <w:hideMark/>
          </w:tcPr>
          <w:p w14:paraId="41BF48BE" w14:textId="77777777" w:rsidR="00E03650" w:rsidRPr="009C5ECD" w:rsidRDefault="00E03650" w:rsidP="00666827">
            <w:pPr>
              <w:jc w:val="center"/>
              <w:rPr>
                <w:color w:val="000000"/>
                <w:sz w:val="20"/>
                <w:szCs w:val="20"/>
              </w:rPr>
            </w:pPr>
            <w:r w:rsidRPr="009C5ECD">
              <w:rPr>
                <w:color w:val="000000"/>
                <w:sz w:val="20"/>
                <w:szCs w:val="20"/>
              </w:rPr>
              <w:t>6%</w:t>
            </w:r>
          </w:p>
        </w:tc>
        <w:tc>
          <w:tcPr>
            <w:tcW w:w="0" w:type="auto"/>
            <w:tcBorders>
              <w:top w:val="nil"/>
              <w:left w:val="nil"/>
              <w:bottom w:val="single" w:sz="8" w:space="0" w:color="auto"/>
              <w:right w:val="single" w:sz="8" w:space="0" w:color="auto"/>
            </w:tcBorders>
            <w:shd w:val="clear" w:color="000000" w:fill="D8E4BC"/>
            <w:noWrap/>
            <w:vAlign w:val="center"/>
            <w:hideMark/>
          </w:tcPr>
          <w:p w14:paraId="6256704C" w14:textId="77777777" w:rsidR="00E03650" w:rsidRPr="009C5ECD" w:rsidRDefault="00E03650" w:rsidP="00666827">
            <w:pPr>
              <w:jc w:val="center"/>
              <w:rPr>
                <w:color w:val="000000"/>
                <w:sz w:val="20"/>
                <w:szCs w:val="20"/>
              </w:rPr>
            </w:pPr>
            <w:r w:rsidRPr="009C5ECD">
              <w:rPr>
                <w:color w:val="000000"/>
                <w:sz w:val="20"/>
                <w:szCs w:val="20"/>
              </w:rPr>
              <w:t>7,810</w:t>
            </w:r>
          </w:p>
        </w:tc>
        <w:tc>
          <w:tcPr>
            <w:tcW w:w="0" w:type="auto"/>
            <w:tcBorders>
              <w:top w:val="nil"/>
              <w:left w:val="nil"/>
              <w:bottom w:val="single" w:sz="8" w:space="0" w:color="auto"/>
              <w:right w:val="single" w:sz="8" w:space="0" w:color="auto"/>
            </w:tcBorders>
            <w:shd w:val="clear" w:color="000000" w:fill="D8E4BC"/>
            <w:noWrap/>
            <w:vAlign w:val="center"/>
            <w:hideMark/>
          </w:tcPr>
          <w:p w14:paraId="291EF432" w14:textId="77777777" w:rsidR="00E03650" w:rsidRPr="009C5ECD" w:rsidRDefault="00E03650" w:rsidP="00666827">
            <w:pPr>
              <w:jc w:val="center"/>
              <w:rPr>
                <w:color w:val="000000"/>
                <w:sz w:val="20"/>
                <w:szCs w:val="20"/>
              </w:rPr>
            </w:pPr>
            <w:r w:rsidRPr="009C5ECD">
              <w:rPr>
                <w:color w:val="000000"/>
                <w:sz w:val="20"/>
                <w:szCs w:val="20"/>
              </w:rPr>
              <w:t>84</w:t>
            </w:r>
          </w:p>
        </w:tc>
      </w:tr>
      <w:tr w:rsidR="001129C8" w:rsidRPr="009C5ECD" w14:paraId="6C3EC0A7"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0F91D54" w14:textId="77777777" w:rsidR="00E03650" w:rsidRPr="009C5ECD" w:rsidRDefault="00E03650" w:rsidP="00666827">
            <w:pPr>
              <w:jc w:val="center"/>
              <w:rPr>
                <w:color w:val="000000"/>
                <w:sz w:val="20"/>
                <w:szCs w:val="20"/>
              </w:rPr>
            </w:pPr>
            <w:r w:rsidRPr="009C5ECD">
              <w:rPr>
                <w:color w:val="000000"/>
                <w:sz w:val="20"/>
                <w:szCs w:val="20"/>
              </w:rPr>
              <w:t>Knobbed porgy</w:t>
            </w:r>
          </w:p>
        </w:tc>
        <w:tc>
          <w:tcPr>
            <w:tcW w:w="0" w:type="auto"/>
            <w:tcBorders>
              <w:top w:val="nil"/>
              <w:left w:val="nil"/>
              <w:bottom w:val="single" w:sz="8" w:space="0" w:color="auto"/>
              <w:right w:val="single" w:sz="8" w:space="0" w:color="auto"/>
            </w:tcBorders>
            <w:shd w:val="clear" w:color="000000" w:fill="B7DEE8"/>
            <w:noWrap/>
            <w:vAlign w:val="center"/>
            <w:hideMark/>
          </w:tcPr>
          <w:p w14:paraId="0FE6E919" w14:textId="77777777" w:rsidR="00E03650" w:rsidRPr="009C5ECD" w:rsidRDefault="00E03650" w:rsidP="00666827">
            <w:pPr>
              <w:jc w:val="center"/>
              <w:rPr>
                <w:color w:val="000000"/>
                <w:sz w:val="20"/>
                <w:szCs w:val="20"/>
              </w:rPr>
            </w:pPr>
            <w:r w:rsidRPr="009C5ECD">
              <w:rPr>
                <w:color w:val="000000"/>
                <w:sz w:val="20"/>
                <w:szCs w:val="20"/>
              </w:rPr>
              <w:t>6,242</w:t>
            </w:r>
          </w:p>
        </w:tc>
        <w:tc>
          <w:tcPr>
            <w:tcW w:w="0" w:type="auto"/>
            <w:tcBorders>
              <w:top w:val="nil"/>
              <w:left w:val="nil"/>
              <w:bottom w:val="single" w:sz="8" w:space="0" w:color="auto"/>
              <w:right w:val="single" w:sz="8" w:space="0" w:color="auto"/>
            </w:tcBorders>
            <w:shd w:val="clear" w:color="000000" w:fill="B7DEE8"/>
            <w:noWrap/>
            <w:vAlign w:val="center"/>
            <w:hideMark/>
          </w:tcPr>
          <w:p w14:paraId="288925CC" w14:textId="77777777" w:rsidR="00E03650" w:rsidRPr="009C5ECD" w:rsidRDefault="00E03650" w:rsidP="00666827">
            <w:pPr>
              <w:jc w:val="center"/>
              <w:rPr>
                <w:color w:val="000000"/>
                <w:sz w:val="20"/>
                <w:szCs w:val="20"/>
              </w:rPr>
            </w:pPr>
            <w:r w:rsidRPr="009C5ECD">
              <w:rPr>
                <w:color w:val="000000"/>
                <w:sz w:val="20"/>
                <w:szCs w:val="20"/>
              </w:rPr>
              <w:t>473</w:t>
            </w:r>
          </w:p>
        </w:tc>
        <w:tc>
          <w:tcPr>
            <w:tcW w:w="0" w:type="auto"/>
            <w:tcBorders>
              <w:top w:val="nil"/>
              <w:left w:val="nil"/>
              <w:bottom w:val="single" w:sz="8" w:space="0" w:color="auto"/>
              <w:right w:val="single" w:sz="8" w:space="0" w:color="auto"/>
            </w:tcBorders>
            <w:shd w:val="clear" w:color="000000" w:fill="B7DEE8"/>
            <w:noWrap/>
            <w:vAlign w:val="center"/>
            <w:hideMark/>
          </w:tcPr>
          <w:p w14:paraId="307BC20D" w14:textId="77777777" w:rsidR="00E03650" w:rsidRPr="009C5ECD" w:rsidRDefault="00E03650" w:rsidP="00666827">
            <w:pPr>
              <w:jc w:val="center"/>
              <w:rPr>
                <w:color w:val="000000"/>
                <w:sz w:val="20"/>
                <w:szCs w:val="20"/>
              </w:rPr>
            </w:pPr>
            <w:r w:rsidRPr="009C5ECD">
              <w:rPr>
                <w:color w:val="000000"/>
                <w:sz w:val="20"/>
                <w:szCs w:val="20"/>
              </w:rPr>
              <w:t>8%</w:t>
            </w:r>
          </w:p>
        </w:tc>
        <w:tc>
          <w:tcPr>
            <w:tcW w:w="0" w:type="auto"/>
            <w:tcBorders>
              <w:top w:val="nil"/>
              <w:left w:val="nil"/>
              <w:bottom w:val="single" w:sz="8" w:space="0" w:color="auto"/>
              <w:right w:val="single" w:sz="8" w:space="0" w:color="auto"/>
            </w:tcBorders>
            <w:shd w:val="clear" w:color="000000" w:fill="C5D9F1"/>
            <w:noWrap/>
            <w:vAlign w:val="center"/>
            <w:hideMark/>
          </w:tcPr>
          <w:p w14:paraId="16D03661" w14:textId="77777777" w:rsidR="00E03650" w:rsidRPr="009C5ECD" w:rsidRDefault="00E03650" w:rsidP="00666827">
            <w:pPr>
              <w:jc w:val="center"/>
              <w:rPr>
                <w:color w:val="000000"/>
                <w:sz w:val="20"/>
                <w:szCs w:val="20"/>
              </w:rPr>
            </w:pPr>
            <w:r w:rsidRPr="009C5ECD">
              <w:rPr>
                <w:color w:val="000000"/>
                <w:sz w:val="20"/>
                <w:szCs w:val="20"/>
              </w:rPr>
              <w:t>585</w:t>
            </w:r>
          </w:p>
        </w:tc>
        <w:tc>
          <w:tcPr>
            <w:tcW w:w="0" w:type="auto"/>
            <w:tcBorders>
              <w:top w:val="nil"/>
              <w:left w:val="nil"/>
              <w:bottom w:val="single" w:sz="8" w:space="0" w:color="auto"/>
              <w:right w:val="single" w:sz="8" w:space="0" w:color="auto"/>
            </w:tcBorders>
            <w:shd w:val="clear" w:color="000000" w:fill="C5D9F1"/>
            <w:noWrap/>
            <w:vAlign w:val="center"/>
            <w:hideMark/>
          </w:tcPr>
          <w:p w14:paraId="4CC2EFEB"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6D7AEB8D"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1FAB709E" w14:textId="77777777" w:rsidR="00E03650" w:rsidRPr="009C5ECD" w:rsidRDefault="00E03650" w:rsidP="00666827">
            <w:pPr>
              <w:jc w:val="center"/>
              <w:rPr>
                <w:color w:val="000000"/>
                <w:sz w:val="20"/>
                <w:szCs w:val="20"/>
              </w:rPr>
            </w:pPr>
            <w:r w:rsidRPr="009C5ECD">
              <w:rPr>
                <w:color w:val="000000"/>
                <w:sz w:val="20"/>
                <w:szCs w:val="20"/>
              </w:rPr>
              <w:t>6,917</w:t>
            </w:r>
          </w:p>
        </w:tc>
        <w:tc>
          <w:tcPr>
            <w:tcW w:w="0" w:type="auto"/>
            <w:tcBorders>
              <w:top w:val="nil"/>
              <w:left w:val="nil"/>
              <w:bottom w:val="single" w:sz="8" w:space="0" w:color="auto"/>
              <w:right w:val="single" w:sz="8" w:space="0" w:color="auto"/>
            </w:tcBorders>
            <w:shd w:val="clear" w:color="000000" w:fill="F2DCDB"/>
            <w:noWrap/>
            <w:vAlign w:val="center"/>
            <w:hideMark/>
          </w:tcPr>
          <w:p w14:paraId="0F0C2290" w14:textId="77777777" w:rsidR="00E03650" w:rsidRPr="009C5ECD" w:rsidRDefault="00E03650" w:rsidP="00666827">
            <w:pPr>
              <w:jc w:val="center"/>
              <w:rPr>
                <w:color w:val="000000"/>
                <w:sz w:val="20"/>
                <w:szCs w:val="20"/>
              </w:rPr>
            </w:pPr>
            <w:r w:rsidRPr="009C5ECD">
              <w:rPr>
                <w:color w:val="000000"/>
                <w:sz w:val="20"/>
                <w:szCs w:val="20"/>
              </w:rPr>
              <w:t>497</w:t>
            </w:r>
          </w:p>
        </w:tc>
        <w:tc>
          <w:tcPr>
            <w:tcW w:w="0" w:type="auto"/>
            <w:tcBorders>
              <w:top w:val="nil"/>
              <w:left w:val="nil"/>
              <w:bottom w:val="single" w:sz="8" w:space="0" w:color="auto"/>
              <w:right w:val="single" w:sz="8" w:space="0" w:color="auto"/>
            </w:tcBorders>
            <w:shd w:val="clear" w:color="000000" w:fill="F2DCDB"/>
            <w:noWrap/>
            <w:vAlign w:val="center"/>
            <w:hideMark/>
          </w:tcPr>
          <w:p w14:paraId="5F969486" w14:textId="77777777" w:rsidR="00E03650" w:rsidRPr="009C5ECD" w:rsidRDefault="00E03650" w:rsidP="00666827">
            <w:pPr>
              <w:jc w:val="center"/>
              <w:rPr>
                <w:color w:val="000000"/>
                <w:sz w:val="20"/>
                <w:szCs w:val="20"/>
              </w:rPr>
            </w:pPr>
            <w:r w:rsidRPr="009C5ECD">
              <w:rPr>
                <w:color w:val="000000"/>
                <w:sz w:val="20"/>
                <w:szCs w:val="20"/>
              </w:rPr>
              <w:t>7%</w:t>
            </w:r>
          </w:p>
        </w:tc>
        <w:tc>
          <w:tcPr>
            <w:tcW w:w="0" w:type="auto"/>
            <w:tcBorders>
              <w:top w:val="nil"/>
              <w:left w:val="nil"/>
              <w:bottom w:val="single" w:sz="8" w:space="0" w:color="auto"/>
              <w:right w:val="single" w:sz="8" w:space="0" w:color="auto"/>
            </w:tcBorders>
            <w:shd w:val="clear" w:color="000000" w:fill="D8E4BC"/>
            <w:noWrap/>
            <w:vAlign w:val="center"/>
            <w:hideMark/>
          </w:tcPr>
          <w:p w14:paraId="2ECCCAF2" w14:textId="77777777" w:rsidR="00E03650" w:rsidRPr="009C5ECD" w:rsidRDefault="00E03650" w:rsidP="00666827">
            <w:pPr>
              <w:jc w:val="center"/>
              <w:rPr>
                <w:color w:val="000000"/>
                <w:sz w:val="20"/>
                <w:szCs w:val="20"/>
              </w:rPr>
            </w:pPr>
            <w:r w:rsidRPr="009C5ECD">
              <w:rPr>
                <w:color w:val="000000"/>
                <w:sz w:val="20"/>
                <w:szCs w:val="20"/>
              </w:rPr>
              <w:t>22,756</w:t>
            </w:r>
          </w:p>
        </w:tc>
        <w:tc>
          <w:tcPr>
            <w:tcW w:w="0" w:type="auto"/>
            <w:tcBorders>
              <w:top w:val="nil"/>
              <w:left w:val="nil"/>
              <w:bottom w:val="single" w:sz="8" w:space="0" w:color="auto"/>
              <w:right w:val="single" w:sz="8" w:space="0" w:color="auto"/>
            </w:tcBorders>
            <w:shd w:val="clear" w:color="000000" w:fill="D8E4BC"/>
            <w:noWrap/>
            <w:vAlign w:val="center"/>
            <w:hideMark/>
          </w:tcPr>
          <w:p w14:paraId="01927FD5" w14:textId="77777777" w:rsidR="00E03650" w:rsidRPr="009C5ECD" w:rsidRDefault="00E03650" w:rsidP="00666827">
            <w:pPr>
              <w:jc w:val="center"/>
              <w:rPr>
                <w:color w:val="000000"/>
                <w:sz w:val="20"/>
                <w:szCs w:val="20"/>
              </w:rPr>
            </w:pPr>
            <w:r w:rsidRPr="009C5ECD">
              <w:rPr>
                <w:color w:val="000000"/>
                <w:sz w:val="20"/>
                <w:szCs w:val="20"/>
              </w:rPr>
              <w:t>2</w:t>
            </w:r>
          </w:p>
        </w:tc>
      </w:tr>
      <w:tr w:rsidR="001129C8" w:rsidRPr="009C5ECD" w14:paraId="46940693"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E71C24D" w14:textId="77777777" w:rsidR="00E03650" w:rsidRPr="009C5ECD" w:rsidRDefault="00E03650" w:rsidP="00666827">
            <w:pPr>
              <w:jc w:val="center"/>
              <w:rPr>
                <w:color w:val="000000"/>
                <w:sz w:val="20"/>
                <w:szCs w:val="20"/>
              </w:rPr>
            </w:pPr>
            <w:r w:rsidRPr="009C5ECD">
              <w:rPr>
                <w:color w:val="000000"/>
                <w:sz w:val="20"/>
                <w:szCs w:val="20"/>
              </w:rPr>
              <w:t>Lane snapper</w:t>
            </w:r>
          </w:p>
        </w:tc>
        <w:tc>
          <w:tcPr>
            <w:tcW w:w="0" w:type="auto"/>
            <w:tcBorders>
              <w:top w:val="nil"/>
              <w:left w:val="nil"/>
              <w:bottom w:val="single" w:sz="8" w:space="0" w:color="auto"/>
              <w:right w:val="single" w:sz="8" w:space="0" w:color="auto"/>
            </w:tcBorders>
            <w:shd w:val="clear" w:color="000000" w:fill="B7DEE8"/>
            <w:noWrap/>
            <w:vAlign w:val="center"/>
            <w:hideMark/>
          </w:tcPr>
          <w:p w14:paraId="2D37DE1D" w14:textId="77777777" w:rsidR="00E03650" w:rsidRPr="009C5ECD" w:rsidRDefault="00E03650" w:rsidP="00666827">
            <w:pPr>
              <w:jc w:val="center"/>
              <w:rPr>
                <w:color w:val="000000"/>
                <w:sz w:val="20"/>
                <w:szCs w:val="20"/>
              </w:rPr>
            </w:pPr>
            <w:r w:rsidRPr="009C5ECD">
              <w:rPr>
                <w:color w:val="000000"/>
                <w:sz w:val="20"/>
                <w:szCs w:val="20"/>
              </w:rPr>
              <w:t>23,369</w:t>
            </w:r>
          </w:p>
        </w:tc>
        <w:tc>
          <w:tcPr>
            <w:tcW w:w="0" w:type="auto"/>
            <w:tcBorders>
              <w:top w:val="nil"/>
              <w:left w:val="nil"/>
              <w:bottom w:val="single" w:sz="8" w:space="0" w:color="auto"/>
              <w:right w:val="single" w:sz="8" w:space="0" w:color="auto"/>
            </w:tcBorders>
            <w:shd w:val="clear" w:color="000000" w:fill="B7DEE8"/>
            <w:noWrap/>
            <w:vAlign w:val="center"/>
            <w:hideMark/>
          </w:tcPr>
          <w:p w14:paraId="5350C5B7" w14:textId="77777777" w:rsidR="00E03650" w:rsidRPr="009C5ECD" w:rsidRDefault="00E03650" w:rsidP="00666827">
            <w:pPr>
              <w:jc w:val="center"/>
              <w:rPr>
                <w:color w:val="000000"/>
                <w:sz w:val="20"/>
                <w:szCs w:val="20"/>
              </w:rPr>
            </w:pPr>
            <w:r w:rsidRPr="009C5ECD">
              <w:rPr>
                <w:color w:val="000000"/>
                <w:sz w:val="20"/>
                <w:szCs w:val="20"/>
              </w:rPr>
              <w:t>2,572</w:t>
            </w:r>
          </w:p>
        </w:tc>
        <w:tc>
          <w:tcPr>
            <w:tcW w:w="0" w:type="auto"/>
            <w:tcBorders>
              <w:top w:val="nil"/>
              <w:left w:val="nil"/>
              <w:bottom w:val="single" w:sz="8" w:space="0" w:color="auto"/>
              <w:right w:val="single" w:sz="8" w:space="0" w:color="auto"/>
            </w:tcBorders>
            <w:shd w:val="clear" w:color="000000" w:fill="B7DEE8"/>
            <w:noWrap/>
            <w:vAlign w:val="center"/>
            <w:hideMark/>
          </w:tcPr>
          <w:p w14:paraId="5CBDECBF" w14:textId="77777777" w:rsidR="00E03650" w:rsidRPr="009C5ECD" w:rsidRDefault="00E03650" w:rsidP="00666827">
            <w:pPr>
              <w:jc w:val="center"/>
              <w:rPr>
                <w:color w:val="000000"/>
                <w:sz w:val="20"/>
                <w:szCs w:val="20"/>
              </w:rPr>
            </w:pPr>
            <w:r w:rsidRPr="009C5ECD">
              <w:rPr>
                <w:color w:val="000000"/>
                <w:sz w:val="20"/>
                <w:szCs w:val="20"/>
              </w:rPr>
              <w:t>11%</w:t>
            </w:r>
          </w:p>
        </w:tc>
        <w:tc>
          <w:tcPr>
            <w:tcW w:w="0" w:type="auto"/>
            <w:tcBorders>
              <w:top w:val="nil"/>
              <w:left w:val="nil"/>
              <w:bottom w:val="single" w:sz="8" w:space="0" w:color="auto"/>
              <w:right w:val="single" w:sz="8" w:space="0" w:color="auto"/>
            </w:tcBorders>
            <w:shd w:val="clear" w:color="000000" w:fill="C5D9F1"/>
            <w:noWrap/>
            <w:vAlign w:val="center"/>
            <w:hideMark/>
          </w:tcPr>
          <w:p w14:paraId="7D305178" w14:textId="77777777" w:rsidR="00E03650" w:rsidRPr="009C5ECD" w:rsidRDefault="00E03650" w:rsidP="00666827">
            <w:pPr>
              <w:jc w:val="center"/>
              <w:rPr>
                <w:color w:val="000000"/>
                <w:sz w:val="20"/>
                <w:szCs w:val="20"/>
              </w:rPr>
            </w:pPr>
            <w:r w:rsidRPr="009C5ECD">
              <w:rPr>
                <w:color w:val="000000"/>
                <w:sz w:val="20"/>
                <w:szCs w:val="20"/>
              </w:rPr>
              <w:t>12,996</w:t>
            </w:r>
          </w:p>
        </w:tc>
        <w:tc>
          <w:tcPr>
            <w:tcW w:w="0" w:type="auto"/>
            <w:tcBorders>
              <w:top w:val="nil"/>
              <w:left w:val="nil"/>
              <w:bottom w:val="single" w:sz="8" w:space="0" w:color="auto"/>
              <w:right w:val="single" w:sz="8" w:space="0" w:color="auto"/>
            </w:tcBorders>
            <w:shd w:val="clear" w:color="000000" w:fill="C5D9F1"/>
            <w:noWrap/>
            <w:vAlign w:val="center"/>
            <w:hideMark/>
          </w:tcPr>
          <w:p w14:paraId="41B272FD" w14:textId="77777777" w:rsidR="00E03650" w:rsidRPr="009C5ECD" w:rsidRDefault="00E03650" w:rsidP="00666827">
            <w:pPr>
              <w:jc w:val="center"/>
              <w:rPr>
                <w:color w:val="000000"/>
                <w:sz w:val="20"/>
                <w:szCs w:val="20"/>
              </w:rPr>
            </w:pPr>
            <w:r w:rsidRPr="009C5ECD">
              <w:rPr>
                <w:color w:val="000000"/>
                <w:sz w:val="20"/>
                <w:szCs w:val="20"/>
              </w:rPr>
              <w:t>4,221</w:t>
            </w:r>
          </w:p>
        </w:tc>
        <w:tc>
          <w:tcPr>
            <w:tcW w:w="0" w:type="auto"/>
            <w:tcBorders>
              <w:top w:val="nil"/>
              <w:left w:val="nil"/>
              <w:bottom w:val="single" w:sz="8" w:space="0" w:color="auto"/>
              <w:right w:val="single" w:sz="8" w:space="0" w:color="auto"/>
            </w:tcBorders>
            <w:shd w:val="clear" w:color="000000" w:fill="C5D9F1"/>
            <w:noWrap/>
            <w:vAlign w:val="center"/>
            <w:hideMark/>
          </w:tcPr>
          <w:p w14:paraId="75F21A44" w14:textId="77777777" w:rsidR="00E03650" w:rsidRPr="009C5ECD" w:rsidRDefault="00E03650" w:rsidP="00666827">
            <w:pPr>
              <w:jc w:val="center"/>
              <w:rPr>
                <w:color w:val="000000"/>
                <w:sz w:val="20"/>
                <w:szCs w:val="20"/>
              </w:rPr>
            </w:pPr>
            <w:r w:rsidRPr="009C5ECD">
              <w:rPr>
                <w:color w:val="000000"/>
                <w:sz w:val="20"/>
                <w:szCs w:val="20"/>
              </w:rPr>
              <w:t>32%</w:t>
            </w:r>
          </w:p>
        </w:tc>
        <w:tc>
          <w:tcPr>
            <w:tcW w:w="0" w:type="auto"/>
            <w:tcBorders>
              <w:top w:val="nil"/>
              <w:left w:val="nil"/>
              <w:bottom w:val="single" w:sz="8" w:space="0" w:color="auto"/>
              <w:right w:val="single" w:sz="8" w:space="0" w:color="auto"/>
            </w:tcBorders>
            <w:shd w:val="clear" w:color="000000" w:fill="F2DCDB"/>
            <w:noWrap/>
            <w:vAlign w:val="center"/>
            <w:hideMark/>
          </w:tcPr>
          <w:p w14:paraId="63E6920B" w14:textId="77777777" w:rsidR="00E03650" w:rsidRPr="009C5ECD" w:rsidRDefault="00E03650" w:rsidP="00666827">
            <w:pPr>
              <w:jc w:val="center"/>
              <w:rPr>
                <w:color w:val="000000"/>
                <w:sz w:val="20"/>
                <w:szCs w:val="20"/>
              </w:rPr>
            </w:pPr>
            <w:r w:rsidRPr="009C5ECD">
              <w:rPr>
                <w:color w:val="000000"/>
                <w:sz w:val="20"/>
                <w:szCs w:val="20"/>
              </w:rPr>
              <w:t>68,592</w:t>
            </w:r>
          </w:p>
        </w:tc>
        <w:tc>
          <w:tcPr>
            <w:tcW w:w="0" w:type="auto"/>
            <w:tcBorders>
              <w:top w:val="nil"/>
              <w:left w:val="nil"/>
              <w:bottom w:val="single" w:sz="8" w:space="0" w:color="auto"/>
              <w:right w:val="single" w:sz="8" w:space="0" w:color="auto"/>
            </w:tcBorders>
            <w:shd w:val="clear" w:color="000000" w:fill="F2DCDB"/>
            <w:noWrap/>
            <w:vAlign w:val="center"/>
            <w:hideMark/>
          </w:tcPr>
          <w:p w14:paraId="1F7DAD34" w14:textId="77777777" w:rsidR="00E03650" w:rsidRPr="009C5ECD" w:rsidRDefault="00E03650" w:rsidP="00666827">
            <w:pPr>
              <w:jc w:val="center"/>
              <w:rPr>
                <w:color w:val="000000"/>
                <w:sz w:val="20"/>
                <w:szCs w:val="20"/>
              </w:rPr>
            </w:pPr>
            <w:r w:rsidRPr="009C5ECD">
              <w:rPr>
                <w:color w:val="000000"/>
                <w:sz w:val="20"/>
                <w:szCs w:val="20"/>
              </w:rPr>
              <w:t>148,357</w:t>
            </w:r>
          </w:p>
        </w:tc>
        <w:tc>
          <w:tcPr>
            <w:tcW w:w="0" w:type="auto"/>
            <w:tcBorders>
              <w:top w:val="nil"/>
              <w:left w:val="nil"/>
              <w:bottom w:val="single" w:sz="8" w:space="0" w:color="auto"/>
              <w:right w:val="single" w:sz="8" w:space="0" w:color="auto"/>
            </w:tcBorders>
            <w:shd w:val="clear" w:color="000000" w:fill="F2DCDB"/>
            <w:noWrap/>
            <w:vAlign w:val="center"/>
            <w:hideMark/>
          </w:tcPr>
          <w:p w14:paraId="336A6B60" w14:textId="77777777" w:rsidR="00E03650" w:rsidRPr="009C5ECD" w:rsidRDefault="00E03650" w:rsidP="00666827">
            <w:pPr>
              <w:jc w:val="center"/>
              <w:rPr>
                <w:color w:val="000000"/>
                <w:sz w:val="20"/>
                <w:szCs w:val="20"/>
              </w:rPr>
            </w:pPr>
            <w:r w:rsidRPr="009C5ECD">
              <w:rPr>
                <w:color w:val="000000"/>
                <w:sz w:val="20"/>
                <w:szCs w:val="20"/>
              </w:rPr>
              <w:t>216%</w:t>
            </w:r>
          </w:p>
        </w:tc>
        <w:tc>
          <w:tcPr>
            <w:tcW w:w="0" w:type="auto"/>
            <w:tcBorders>
              <w:top w:val="nil"/>
              <w:left w:val="nil"/>
              <w:bottom w:val="single" w:sz="8" w:space="0" w:color="auto"/>
              <w:right w:val="single" w:sz="8" w:space="0" w:color="auto"/>
            </w:tcBorders>
            <w:shd w:val="clear" w:color="000000" w:fill="D8E4BC"/>
            <w:noWrap/>
            <w:vAlign w:val="center"/>
            <w:hideMark/>
          </w:tcPr>
          <w:p w14:paraId="14A6004B" w14:textId="77777777" w:rsidR="00E03650" w:rsidRPr="009C5ECD" w:rsidRDefault="00E03650" w:rsidP="00666827">
            <w:pPr>
              <w:jc w:val="center"/>
              <w:rPr>
                <w:color w:val="000000"/>
                <w:sz w:val="20"/>
                <w:szCs w:val="20"/>
              </w:rPr>
            </w:pPr>
            <w:r w:rsidRPr="009C5ECD">
              <w:rPr>
                <w:color w:val="000000"/>
                <w:sz w:val="20"/>
                <w:szCs w:val="20"/>
              </w:rPr>
              <w:t>2,664</w:t>
            </w:r>
          </w:p>
        </w:tc>
        <w:tc>
          <w:tcPr>
            <w:tcW w:w="0" w:type="auto"/>
            <w:tcBorders>
              <w:top w:val="nil"/>
              <w:left w:val="nil"/>
              <w:bottom w:val="single" w:sz="8" w:space="0" w:color="auto"/>
              <w:right w:val="single" w:sz="8" w:space="0" w:color="auto"/>
            </w:tcBorders>
            <w:shd w:val="clear" w:color="000000" w:fill="D8E4BC"/>
            <w:noWrap/>
            <w:vAlign w:val="center"/>
            <w:hideMark/>
          </w:tcPr>
          <w:p w14:paraId="3F65FC7C" w14:textId="77777777" w:rsidR="00E03650" w:rsidRPr="009C5ECD" w:rsidRDefault="00E03650" w:rsidP="00666827">
            <w:pPr>
              <w:jc w:val="center"/>
              <w:rPr>
                <w:color w:val="000000"/>
                <w:sz w:val="20"/>
                <w:szCs w:val="20"/>
              </w:rPr>
            </w:pPr>
            <w:r w:rsidRPr="009C5ECD">
              <w:rPr>
                <w:color w:val="000000"/>
                <w:sz w:val="20"/>
                <w:szCs w:val="20"/>
              </w:rPr>
              <w:t>267</w:t>
            </w:r>
          </w:p>
        </w:tc>
      </w:tr>
      <w:tr w:rsidR="001129C8" w:rsidRPr="009C5ECD" w14:paraId="3F564B73"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7CD13F6" w14:textId="77777777" w:rsidR="00E03650" w:rsidRPr="009C5ECD" w:rsidRDefault="00E03650" w:rsidP="00666827">
            <w:pPr>
              <w:jc w:val="center"/>
              <w:rPr>
                <w:color w:val="000000"/>
                <w:sz w:val="20"/>
                <w:szCs w:val="20"/>
              </w:rPr>
            </w:pPr>
            <w:r w:rsidRPr="009C5ECD">
              <w:rPr>
                <w:color w:val="000000"/>
                <w:sz w:val="20"/>
                <w:szCs w:val="20"/>
              </w:rPr>
              <w:t>Lesser amberjack</w:t>
            </w:r>
          </w:p>
        </w:tc>
        <w:tc>
          <w:tcPr>
            <w:tcW w:w="0" w:type="auto"/>
            <w:tcBorders>
              <w:top w:val="nil"/>
              <w:left w:val="nil"/>
              <w:bottom w:val="single" w:sz="8" w:space="0" w:color="auto"/>
              <w:right w:val="single" w:sz="8" w:space="0" w:color="auto"/>
            </w:tcBorders>
            <w:shd w:val="clear" w:color="000000" w:fill="B7DEE8"/>
            <w:noWrap/>
            <w:vAlign w:val="center"/>
            <w:hideMark/>
          </w:tcPr>
          <w:p w14:paraId="5183A70C" w14:textId="77777777" w:rsidR="00E03650" w:rsidRPr="009C5ECD" w:rsidRDefault="00E03650" w:rsidP="00666827">
            <w:pPr>
              <w:jc w:val="center"/>
              <w:rPr>
                <w:color w:val="000000"/>
                <w:sz w:val="20"/>
                <w:szCs w:val="20"/>
              </w:rPr>
            </w:pPr>
            <w:r w:rsidRPr="009C5ECD">
              <w:rPr>
                <w:color w:val="000000"/>
                <w:sz w:val="20"/>
                <w:szCs w:val="20"/>
              </w:rPr>
              <w:t>449</w:t>
            </w:r>
          </w:p>
        </w:tc>
        <w:tc>
          <w:tcPr>
            <w:tcW w:w="0" w:type="auto"/>
            <w:tcBorders>
              <w:top w:val="nil"/>
              <w:left w:val="nil"/>
              <w:bottom w:val="single" w:sz="8" w:space="0" w:color="auto"/>
              <w:right w:val="single" w:sz="8" w:space="0" w:color="auto"/>
            </w:tcBorders>
            <w:shd w:val="clear" w:color="000000" w:fill="B7DEE8"/>
            <w:noWrap/>
            <w:vAlign w:val="center"/>
            <w:hideMark/>
          </w:tcPr>
          <w:p w14:paraId="42AC59AA" w14:textId="77777777" w:rsidR="00E03650" w:rsidRPr="009C5ECD" w:rsidRDefault="00E03650" w:rsidP="00666827">
            <w:pPr>
              <w:jc w:val="center"/>
              <w:rPr>
                <w:color w:val="000000"/>
                <w:sz w:val="20"/>
                <w:szCs w:val="20"/>
              </w:rPr>
            </w:pPr>
            <w:r w:rsidRPr="009C5ECD">
              <w:rPr>
                <w:color w:val="000000"/>
                <w:sz w:val="20"/>
                <w:szCs w:val="20"/>
              </w:rPr>
              <w:t>99</w:t>
            </w:r>
          </w:p>
        </w:tc>
        <w:tc>
          <w:tcPr>
            <w:tcW w:w="0" w:type="auto"/>
            <w:tcBorders>
              <w:top w:val="nil"/>
              <w:left w:val="nil"/>
              <w:bottom w:val="single" w:sz="8" w:space="0" w:color="auto"/>
              <w:right w:val="single" w:sz="8" w:space="0" w:color="auto"/>
            </w:tcBorders>
            <w:shd w:val="clear" w:color="000000" w:fill="B7DEE8"/>
            <w:noWrap/>
            <w:vAlign w:val="center"/>
            <w:hideMark/>
          </w:tcPr>
          <w:p w14:paraId="68F8B495" w14:textId="77777777" w:rsidR="00E03650" w:rsidRPr="009C5ECD" w:rsidRDefault="00E03650" w:rsidP="00666827">
            <w:pPr>
              <w:jc w:val="center"/>
              <w:rPr>
                <w:color w:val="000000"/>
                <w:sz w:val="20"/>
                <w:szCs w:val="20"/>
              </w:rPr>
            </w:pPr>
            <w:r w:rsidRPr="009C5ECD">
              <w:rPr>
                <w:color w:val="000000"/>
                <w:sz w:val="20"/>
                <w:szCs w:val="20"/>
              </w:rPr>
              <w:t>22%</w:t>
            </w:r>
          </w:p>
        </w:tc>
        <w:tc>
          <w:tcPr>
            <w:tcW w:w="0" w:type="auto"/>
            <w:tcBorders>
              <w:top w:val="nil"/>
              <w:left w:val="nil"/>
              <w:bottom w:val="single" w:sz="8" w:space="0" w:color="auto"/>
              <w:right w:val="single" w:sz="8" w:space="0" w:color="auto"/>
            </w:tcBorders>
            <w:shd w:val="clear" w:color="000000" w:fill="C5D9F1"/>
            <w:noWrap/>
            <w:vAlign w:val="center"/>
            <w:hideMark/>
          </w:tcPr>
          <w:p w14:paraId="2834B290" w14:textId="77777777" w:rsidR="00E03650" w:rsidRPr="009C5ECD" w:rsidRDefault="00E03650" w:rsidP="00666827">
            <w:pPr>
              <w:jc w:val="center"/>
              <w:rPr>
                <w:color w:val="000000"/>
                <w:sz w:val="20"/>
                <w:szCs w:val="20"/>
              </w:rPr>
            </w:pPr>
            <w:r w:rsidRPr="009C5ECD">
              <w:rPr>
                <w:color w:val="000000"/>
                <w:sz w:val="20"/>
                <w:szCs w:val="20"/>
              </w:rPr>
              <w:t>15</w:t>
            </w:r>
          </w:p>
        </w:tc>
        <w:tc>
          <w:tcPr>
            <w:tcW w:w="0" w:type="auto"/>
            <w:tcBorders>
              <w:top w:val="nil"/>
              <w:left w:val="nil"/>
              <w:bottom w:val="single" w:sz="8" w:space="0" w:color="auto"/>
              <w:right w:val="single" w:sz="8" w:space="0" w:color="auto"/>
            </w:tcBorders>
            <w:shd w:val="clear" w:color="000000" w:fill="C5D9F1"/>
            <w:noWrap/>
            <w:vAlign w:val="center"/>
            <w:hideMark/>
          </w:tcPr>
          <w:p w14:paraId="08B31083"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588D2F08"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3B521DA6" w14:textId="77777777" w:rsidR="00E03650" w:rsidRPr="009C5ECD" w:rsidRDefault="00E03650" w:rsidP="00666827">
            <w:pPr>
              <w:jc w:val="center"/>
              <w:rPr>
                <w:color w:val="000000"/>
                <w:sz w:val="20"/>
                <w:szCs w:val="20"/>
              </w:rPr>
            </w:pPr>
            <w:r w:rsidRPr="009C5ECD">
              <w:rPr>
                <w:color w:val="000000"/>
                <w:sz w:val="20"/>
                <w:szCs w:val="20"/>
              </w:rPr>
              <w:t>149</w:t>
            </w:r>
          </w:p>
        </w:tc>
        <w:tc>
          <w:tcPr>
            <w:tcW w:w="0" w:type="auto"/>
            <w:tcBorders>
              <w:top w:val="nil"/>
              <w:left w:val="nil"/>
              <w:bottom w:val="single" w:sz="8" w:space="0" w:color="auto"/>
              <w:right w:val="single" w:sz="8" w:space="0" w:color="auto"/>
            </w:tcBorders>
            <w:shd w:val="clear" w:color="000000" w:fill="F2DCDB"/>
            <w:noWrap/>
            <w:vAlign w:val="center"/>
            <w:hideMark/>
          </w:tcPr>
          <w:p w14:paraId="584837AE"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658CE7E6"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D8E4BC"/>
            <w:noWrap/>
            <w:vAlign w:val="center"/>
            <w:hideMark/>
          </w:tcPr>
          <w:p w14:paraId="69A94CA7" w14:textId="77777777" w:rsidR="00E03650" w:rsidRPr="009C5ECD" w:rsidRDefault="00E03650" w:rsidP="00666827">
            <w:pPr>
              <w:jc w:val="center"/>
              <w:rPr>
                <w:color w:val="000000"/>
                <w:sz w:val="20"/>
                <w:szCs w:val="20"/>
              </w:rPr>
            </w:pPr>
            <w:r w:rsidRPr="009C5ECD">
              <w:rPr>
                <w:color w:val="000000"/>
                <w:sz w:val="20"/>
                <w:szCs w:val="20"/>
              </w:rPr>
              <w:t>14,133</w:t>
            </w:r>
          </w:p>
        </w:tc>
        <w:tc>
          <w:tcPr>
            <w:tcW w:w="0" w:type="auto"/>
            <w:tcBorders>
              <w:top w:val="nil"/>
              <w:left w:val="nil"/>
              <w:bottom w:val="single" w:sz="8" w:space="0" w:color="auto"/>
              <w:right w:val="single" w:sz="8" w:space="0" w:color="auto"/>
            </w:tcBorders>
            <w:shd w:val="clear" w:color="000000" w:fill="D8E4BC"/>
            <w:noWrap/>
            <w:vAlign w:val="center"/>
            <w:hideMark/>
          </w:tcPr>
          <w:p w14:paraId="1EEE844D" w14:textId="77777777" w:rsidR="00E03650" w:rsidRPr="009C5ECD" w:rsidRDefault="00E03650" w:rsidP="00666827">
            <w:pPr>
              <w:jc w:val="center"/>
              <w:rPr>
                <w:color w:val="000000"/>
                <w:sz w:val="20"/>
                <w:szCs w:val="20"/>
              </w:rPr>
            </w:pPr>
            <w:r w:rsidRPr="009C5ECD">
              <w:rPr>
                <w:color w:val="000000"/>
                <w:sz w:val="20"/>
                <w:szCs w:val="20"/>
              </w:rPr>
              <w:t>21</w:t>
            </w:r>
          </w:p>
        </w:tc>
      </w:tr>
      <w:tr w:rsidR="001129C8" w:rsidRPr="009C5ECD" w14:paraId="7E6FA6AB"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C994D92" w14:textId="77777777" w:rsidR="00E03650" w:rsidRPr="009C5ECD" w:rsidRDefault="00E03650" w:rsidP="00666827">
            <w:pPr>
              <w:jc w:val="center"/>
              <w:rPr>
                <w:color w:val="000000"/>
                <w:sz w:val="20"/>
                <w:szCs w:val="20"/>
              </w:rPr>
            </w:pPr>
            <w:r w:rsidRPr="009C5ECD">
              <w:rPr>
                <w:color w:val="000000"/>
                <w:sz w:val="20"/>
                <w:szCs w:val="20"/>
              </w:rPr>
              <w:t>Margate</w:t>
            </w:r>
          </w:p>
        </w:tc>
        <w:tc>
          <w:tcPr>
            <w:tcW w:w="0" w:type="auto"/>
            <w:tcBorders>
              <w:top w:val="nil"/>
              <w:left w:val="nil"/>
              <w:bottom w:val="single" w:sz="8" w:space="0" w:color="auto"/>
              <w:right w:val="single" w:sz="8" w:space="0" w:color="auto"/>
            </w:tcBorders>
            <w:shd w:val="clear" w:color="000000" w:fill="B7DEE8"/>
            <w:noWrap/>
            <w:vAlign w:val="center"/>
            <w:hideMark/>
          </w:tcPr>
          <w:p w14:paraId="5041CF3A" w14:textId="77777777" w:rsidR="00E03650" w:rsidRPr="009C5ECD" w:rsidRDefault="00E03650" w:rsidP="00666827">
            <w:pPr>
              <w:jc w:val="center"/>
              <w:rPr>
                <w:color w:val="000000"/>
                <w:sz w:val="20"/>
                <w:szCs w:val="20"/>
              </w:rPr>
            </w:pPr>
            <w:r w:rsidRPr="009C5ECD">
              <w:rPr>
                <w:color w:val="000000"/>
                <w:sz w:val="20"/>
                <w:szCs w:val="20"/>
              </w:rPr>
              <w:t>969</w:t>
            </w:r>
          </w:p>
        </w:tc>
        <w:tc>
          <w:tcPr>
            <w:tcW w:w="0" w:type="auto"/>
            <w:tcBorders>
              <w:top w:val="nil"/>
              <w:left w:val="nil"/>
              <w:bottom w:val="single" w:sz="8" w:space="0" w:color="auto"/>
              <w:right w:val="single" w:sz="8" w:space="0" w:color="auto"/>
            </w:tcBorders>
            <w:shd w:val="clear" w:color="000000" w:fill="B7DEE8"/>
            <w:noWrap/>
            <w:vAlign w:val="center"/>
            <w:hideMark/>
          </w:tcPr>
          <w:p w14:paraId="07B7C136" w14:textId="77777777" w:rsidR="00E03650" w:rsidRPr="009C5ECD" w:rsidRDefault="00E03650" w:rsidP="00666827">
            <w:pPr>
              <w:jc w:val="center"/>
              <w:rPr>
                <w:color w:val="000000"/>
                <w:sz w:val="20"/>
                <w:szCs w:val="20"/>
              </w:rPr>
            </w:pPr>
            <w:r w:rsidRPr="009C5ECD">
              <w:rPr>
                <w:color w:val="000000"/>
                <w:sz w:val="20"/>
                <w:szCs w:val="20"/>
              </w:rPr>
              <w:t>259</w:t>
            </w:r>
          </w:p>
        </w:tc>
        <w:tc>
          <w:tcPr>
            <w:tcW w:w="0" w:type="auto"/>
            <w:tcBorders>
              <w:top w:val="nil"/>
              <w:left w:val="nil"/>
              <w:bottom w:val="single" w:sz="8" w:space="0" w:color="auto"/>
              <w:right w:val="single" w:sz="8" w:space="0" w:color="auto"/>
            </w:tcBorders>
            <w:shd w:val="clear" w:color="000000" w:fill="B7DEE8"/>
            <w:noWrap/>
            <w:vAlign w:val="center"/>
            <w:hideMark/>
          </w:tcPr>
          <w:p w14:paraId="2F7BDFA1" w14:textId="77777777" w:rsidR="00E03650" w:rsidRPr="009C5ECD" w:rsidRDefault="00E03650" w:rsidP="00666827">
            <w:pPr>
              <w:jc w:val="center"/>
              <w:rPr>
                <w:color w:val="000000"/>
                <w:sz w:val="20"/>
                <w:szCs w:val="20"/>
              </w:rPr>
            </w:pPr>
            <w:r w:rsidRPr="009C5ECD">
              <w:rPr>
                <w:color w:val="000000"/>
                <w:sz w:val="20"/>
                <w:szCs w:val="20"/>
              </w:rPr>
              <w:t>27%</w:t>
            </w:r>
          </w:p>
        </w:tc>
        <w:tc>
          <w:tcPr>
            <w:tcW w:w="0" w:type="auto"/>
            <w:tcBorders>
              <w:top w:val="nil"/>
              <w:left w:val="nil"/>
              <w:bottom w:val="single" w:sz="8" w:space="0" w:color="auto"/>
              <w:right w:val="single" w:sz="8" w:space="0" w:color="auto"/>
            </w:tcBorders>
            <w:shd w:val="clear" w:color="000000" w:fill="C5D9F1"/>
            <w:noWrap/>
            <w:vAlign w:val="center"/>
            <w:hideMark/>
          </w:tcPr>
          <w:p w14:paraId="3E3EE101" w14:textId="77777777" w:rsidR="00E03650" w:rsidRPr="009C5ECD" w:rsidRDefault="00E03650" w:rsidP="00666827">
            <w:pPr>
              <w:jc w:val="center"/>
              <w:rPr>
                <w:color w:val="000000"/>
                <w:sz w:val="20"/>
                <w:szCs w:val="20"/>
              </w:rPr>
            </w:pPr>
            <w:r w:rsidRPr="009C5ECD">
              <w:rPr>
                <w:color w:val="000000"/>
                <w:sz w:val="20"/>
                <w:szCs w:val="20"/>
              </w:rPr>
              <w:t>188</w:t>
            </w:r>
          </w:p>
        </w:tc>
        <w:tc>
          <w:tcPr>
            <w:tcW w:w="0" w:type="auto"/>
            <w:tcBorders>
              <w:top w:val="nil"/>
              <w:left w:val="nil"/>
              <w:bottom w:val="single" w:sz="8" w:space="0" w:color="auto"/>
              <w:right w:val="single" w:sz="8" w:space="0" w:color="auto"/>
            </w:tcBorders>
            <w:shd w:val="clear" w:color="000000" w:fill="C5D9F1"/>
            <w:noWrap/>
            <w:vAlign w:val="center"/>
            <w:hideMark/>
          </w:tcPr>
          <w:p w14:paraId="0D4AC213" w14:textId="77777777" w:rsidR="00E03650" w:rsidRPr="009C5ECD" w:rsidRDefault="00E03650" w:rsidP="00666827">
            <w:pPr>
              <w:jc w:val="center"/>
              <w:rPr>
                <w:color w:val="000000"/>
                <w:sz w:val="20"/>
                <w:szCs w:val="20"/>
              </w:rPr>
            </w:pPr>
            <w:r w:rsidRPr="009C5ECD">
              <w:rPr>
                <w:color w:val="000000"/>
                <w:sz w:val="20"/>
                <w:szCs w:val="20"/>
              </w:rPr>
              <w:t>63</w:t>
            </w:r>
          </w:p>
        </w:tc>
        <w:tc>
          <w:tcPr>
            <w:tcW w:w="0" w:type="auto"/>
            <w:tcBorders>
              <w:top w:val="nil"/>
              <w:left w:val="nil"/>
              <w:bottom w:val="single" w:sz="8" w:space="0" w:color="auto"/>
              <w:right w:val="single" w:sz="8" w:space="0" w:color="auto"/>
            </w:tcBorders>
            <w:shd w:val="clear" w:color="000000" w:fill="C5D9F1"/>
            <w:noWrap/>
            <w:vAlign w:val="center"/>
            <w:hideMark/>
          </w:tcPr>
          <w:p w14:paraId="08041D29" w14:textId="77777777" w:rsidR="00E03650" w:rsidRPr="009C5ECD" w:rsidRDefault="00E03650" w:rsidP="00666827">
            <w:pPr>
              <w:jc w:val="center"/>
              <w:rPr>
                <w:color w:val="000000"/>
                <w:sz w:val="20"/>
                <w:szCs w:val="20"/>
              </w:rPr>
            </w:pPr>
            <w:r w:rsidRPr="009C5ECD">
              <w:rPr>
                <w:color w:val="000000"/>
                <w:sz w:val="20"/>
                <w:szCs w:val="20"/>
              </w:rPr>
              <w:t>34%</w:t>
            </w:r>
          </w:p>
        </w:tc>
        <w:tc>
          <w:tcPr>
            <w:tcW w:w="0" w:type="auto"/>
            <w:tcBorders>
              <w:top w:val="nil"/>
              <w:left w:val="nil"/>
              <w:bottom w:val="single" w:sz="8" w:space="0" w:color="auto"/>
              <w:right w:val="single" w:sz="8" w:space="0" w:color="auto"/>
            </w:tcBorders>
            <w:shd w:val="clear" w:color="000000" w:fill="F2DCDB"/>
            <w:noWrap/>
            <w:vAlign w:val="center"/>
            <w:hideMark/>
          </w:tcPr>
          <w:p w14:paraId="20DF6199" w14:textId="77777777" w:rsidR="00E03650" w:rsidRPr="009C5ECD" w:rsidRDefault="00E03650" w:rsidP="00666827">
            <w:pPr>
              <w:jc w:val="center"/>
              <w:rPr>
                <w:color w:val="000000"/>
                <w:sz w:val="20"/>
                <w:szCs w:val="20"/>
              </w:rPr>
            </w:pPr>
            <w:r w:rsidRPr="009C5ECD">
              <w:rPr>
                <w:color w:val="000000"/>
                <w:sz w:val="20"/>
                <w:szCs w:val="20"/>
              </w:rPr>
              <w:t>2,574</w:t>
            </w:r>
          </w:p>
        </w:tc>
        <w:tc>
          <w:tcPr>
            <w:tcW w:w="0" w:type="auto"/>
            <w:tcBorders>
              <w:top w:val="nil"/>
              <w:left w:val="nil"/>
              <w:bottom w:val="single" w:sz="8" w:space="0" w:color="auto"/>
              <w:right w:val="single" w:sz="8" w:space="0" w:color="auto"/>
            </w:tcBorders>
            <w:shd w:val="clear" w:color="000000" w:fill="F2DCDB"/>
            <w:noWrap/>
            <w:vAlign w:val="center"/>
            <w:hideMark/>
          </w:tcPr>
          <w:p w14:paraId="34AFEACC" w14:textId="77777777" w:rsidR="00E03650" w:rsidRPr="009C5ECD" w:rsidRDefault="00E03650" w:rsidP="00666827">
            <w:pPr>
              <w:jc w:val="center"/>
              <w:rPr>
                <w:color w:val="000000"/>
                <w:sz w:val="20"/>
                <w:szCs w:val="20"/>
              </w:rPr>
            </w:pPr>
            <w:r w:rsidRPr="009C5ECD">
              <w:rPr>
                <w:color w:val="000000"/>
                <w:sz w:val="20"/>
                <w:szCs w:val="20"/>
              </w:rPr>
              <w:t>1,135</w:t>
            </w:r>
          </w:p>
        </w:tc>
        <w:tc>
          <w:tcPr>
            <w:tcW w:w="0" w:type="auto"/>
            <w:tcBorders>
              <w:top w:val="nil"/>
              <w:left w:val="nil"/>
              <w:bottom w:val="single" w:sz="8" w:space="0" w:color="auto"/>
              <w:right w:val="single" w:sz="8" w:space="0" w:color="auto"/>
            </w:tcBorders>
            <w:shd w:val="clear" w:color="000000" w:fill="F2DCDB"/>
            <w:noWrap/>
            <w:vAlign w:val="center"/>
            <w:hideMark/>
          </w:tcPr>
          <w:p w14:paraId="5BCF6122" w14:textId="77777777" w:rsidR="00E03650" w:rsidRPr="009C5ECD" w:rsidRDefault="00E03650" w:rsidP="00666827">
            <w:pPr>
              <w:jc w:val="center"/>
              <w:rPr>
                <w:color w:val="000000"/>
                <w:sz w:val="20"/>
                <w:szCs w:val="20"/>
              </w:rPr>
            </w:pPr>
            <w:r w:rsidRPr="009C5ECD">
              <w:rPr>
                <w:color w:val="000000"/>
                <w:sz w:val="20"/>
                <w:szCs w:val="20"/>
              </w:rPr>
              <w:t>44%</w:t>
            </w:r>
          </w:p>
        </w:tc>
        <w:tc>
          <w:tcPr>
            <w:tcW w:w="0" w:type="auto"/>
            <w:tcBorders>
              <w:top w:val="nil"/>
              <w:left w:val="nil"/>
              <w:bottom w:val="single" w:sz="8" w:space="0" w:color="auto"/>
              <w:right w:val="single" w:sz="8" w:space="0" w:color="auto"/>
            </w:tcBorders>
            <w:shd w:val="clear" w:color="000000" w:fill="D8E4BC"/>
            <w:noWrap/>
            <w:vAlign w:val="center"/>
            <w:hideMark/>
          </w:tcPr>
          <w:p w14:paraId="3DCE4B10" w14:textId="77777777" w:rsidR="00E03650" w:rsidRPr="009C5ECD" w:rsidRDefault="00E03650" w:rsidP="00666827">
            <w:pPr>
              <w:jc w:val="center"/>
              <w:rPr>
                <w:color w:val="000000"/>
                <w:sz w:val="20"/>
                <w:szCs w:val="20"/>
              </w:rPr>
            </w:pPr>
            <w:r w:rsidRPr="009C5ECD">
              <w:rPr>
                <w:color w:val="000000"/>
                <w:sz w:val="20"/>
                <w:szCs w:val="20"/>
              </w:rPr>
              <w:t>2,498</w:t>
            </w:r>
          </w:p>
        </w:tc>
        <w:tc>
          <w:tcPr>
            <w:tcW w:w="0" w:type="auto"/>
            <w:tcBorders>
              <w:top w:val="nil"/>
              <w:left w:val="nil"/>
              <w:bottom w:val="single" w:sz="8" w:space="0" w:color="auto"/>
              <w:right w:val="single" w:sz="8" w:space="0" w:color="auto"/>
            </w:tcBorders>
            <w:shd w:val="clear" w:color="000000" w:fill="D8E4BC"/>
            <w:noWrap/>
            <w:vAlign w:val="center"/>
            <w:hideMark/>
          </w:tcPr>
          <w:p w14:paraId="2E228C5D" w14:textId="77777777" w:rsidR="00E03650" w:rsidRPr="009C5ECD" w:rsidRDefault="00E03650" w:rsidP="00666827">
            <w:pPr>
              <w:jc w:val="center"/>
              <w:rPr>
                <w:color w:val="000000"/>
                <w:sz w:val="20"/>
                <w:szCs w:val="20"/>
              </w:rPr>
            </w:pPr>
            <w:r w:rsidRPr="009C5ECD">
              <w:rPr>
                <w:color w:val="000000"/>
                <w:sz w:val="20"/>
                <w:szCs w:val="20"/>
              </w:rPr>
              <w:t>22</w:t>
            </w:r>
          </w:p>
        </w:tc>
      </w:tr>
      <w:tr w:rsidR="001129C8" w:rsidRPr="009C5ECD" w14:paraId="3C1EE86B" w14:textId="77777777" w:rsidTr="001129C8">
        <w:trPr>
          <w:trHeight w:val="324"/>
        </w:trPr>
        <w:tc>
          <w:tcPr>
            <w:tcW w:w="0" w:type="auto"/>
            <w:vMerge w:val="restart"/>
            <w:tcBorders>
              <w:top w:val="single" w:sz="8" w:space="0" w:color="auto"/>
              <w:left w:val="single" w:sz="8" w:space="0" w:color="auto"/>
              <w:bottom w:val="single" w:sz="8" w:space="0" w:color="000000"/>
              <w:right w:val="single" w:sz="8" w:space="0" w:color="000000"/>
            </w:tcBorders>
            <w:shd w:val="clear" w:color="000000" w:fill="D8D8D8"/>
            <w:noWrap/>
            <w:vAlign w:val="center"/>
            <w:hideMark/>
          </w:tcPr>
          <w:p w14:paraId="356024A3" w14:textId="77777777" w:rsidR="001129C8" w:rsidRPr="009C5ECD" w:rsidRDefault="001129C8" w:rsidP="001129C8">
            <w:pPr>
              <w:jc w:val="center"/>
              <w:rPr>
                <w:b/>
                <w:bCs/>
                <w:color w:val="000000"/>
                <w:sz w:val="20"/>
                <w:szCs w:val="20"/>
              </w:rPr>
            </w:pPr>
            <w:r w:rsidRPr="009C5ECD">
              <w:rPr>
                <w:b/>
                <w:bCs/>
                <w:color w:val="000000"/>
                <w:sz w:val="20"/>
                <w:szCs w:val="20"/>
              </w:rPr>
              <w:lastRenderedPageBreak/>
              <w:t>Species</w:t>
            </w:r>
          </w:p>
        </w:tc>
        <w:tc>
          <w:tcPr>
            <w:tcW w:w="0" w:type="auto"/>
            <w:gridSpan w:val="3"/>
            <w:tcBorders>
              <w:top w:val="single" w:sz="8" w:space="0" w:color="auto"/>
              <w:left w:val="nil"/>
              <w:bottom w:val="single" w:sz="8" w:space="0" w:color="auto"/>
              <w:right w:val="single" w:sz="8" w:space="0" w:color="000000"/>
            </w:tcBorders>
            <w:shd w:val="clear" w:color="000000" w:fill="B7DEE8"/>
            <w:noWrap/>
            <w:vAlign w:val="center"/>
            <w:hideMark/>
          </w:tcPr>
          <w:p w14:paraId="446A4327" w14:textId="77777777" w:rsidR="001129C8" w:rsidRPr="009C5ECD" w:rsidRDefault="001129C8" w:rsidP="001129C8">
            <w:pPr>
              <w:jc w:val="center"/>
              <w:rPr>
                <w:b/>
                <w:bCs/>
                <w:color w:val="000000"/>
              </w:rPr>
            </w:pPr>
            <w:r w:rsidRPr="009C5ECD">
              <w:rPr>
                <w:b/>
                <w:bCs/>
                <w:color w:val="000000"/>
              </w:rPr>
              <w:t>HEADBOAT</w:t>
            </w:r>
          </w:p>
        </w:tc>
        <w:tc>
          <w:tcPr>
            <w:tcW w:w="0" w:type="auto"/>
            <w:gridSpan w:val="3"/>
            <w:tcBorders>
              <w:top w:val="single" w:sz="8" w:space="0" w:color="auto"/>
              <w:left w:val="nil"/>
              <w:bottom w:val="single" w:sz="8" w:space="0" w:color="auto"/>
              <w:right w:val="single" w:sz="8" w:space="0" w:color="000000"/>
            </w:tcBorders>
            <w:shd w:val="clear" w:color="000000" w:fill="C5D9F1"/>
            <w:noWrap/>
            <w:vAlign w:val="center"/>
            <w:hideMark/>
          </w:tcPr>
          <w:p w14:paraId="3B9F0303" w14:textId="77777777" w:rsidR="001129C8" w:rsidRPr="009C5ECD" w:rsidRDefault="001129C8" w:rsidP="001129C8">
            <w:pPr>
              <w:jc w:val="center"/>
              <w:rPr>
                <w:b/>
                <w:bCs/>
                <w:color w:val="000000"/>
              </w:rPr>
            </w:pPr>
            <w:r w:rsidRPr="009C5ECD">
              <w:rPr>
                <w:b/>
                <w:bCs/>
                <w:color w:val="000000"/>
              </w:rPr>
              <w:t>CHARTER</w:t>
            </w:r>
          </w:p>
        </w:tc>
        <w:tc>
          <w:tcPr>
            <w:tcW w:w="0" w:type="auto"/>
            <w:gridSpan w:val="3"/>
            <w:tcBorders>
              <w:top w:val="single" w:sz="8" w:space="0" w:color="auto"/>
              <w:left w:val="nil"/>
              <w:bottom w:val="single" w:sz="8" w:space="0" w:color="auto"/>
              <w:right w:val="single" w:sz="8" w:space="0" w:color="000000"/>
            </w:tcBorders>
            <w:shd w:val="clear" w:color="000000" w:fill="F2DCDB"/>
            <w:noWrap/>
            <w:vAlign w:val="center"/>
            <w:hideMark/>
          </w:tcPr>
          <w:p w14:paraId="5E436DBE" w14:textId="77777777" w:rsidR="001129C8" w:rsidRPr="009C5ECD" w:rsidRDefault="001129C8" w:rsidP="001129C8">
            <w:pPr>
              <w:jc w:val="center"/>
              <w:rPr>
                <w:b/>
                <w:bCs/>
                <w:color w:val="000000"/>
              </w:rPr>
            </w:pPr>
            <w:r w:rsidRPr="009C5ECD">
              <w:rPr>
                <w:b/>
                <w:bCs/>
                <w:color w:val="000000"/>
              </w:rPr>
              <w:t>PRIVATE</w:t>
            </w:r>
          </w:p>
        </w:tc>
        <w:tc>
          <w:tcPr>
            <w:tcW w:w="0" w:type="auto"/>
            <w:gridSpan w:val="2"/>
            <w:tcBorders>
              <w:top w:val="single" w:sz="8" w:space="0" w:color="auto"/>
              <w:left w:val="nil"/>
              <w:bottom w:val="single" w:sz="8" w:space="0" w:color="auto"/>
              <w:right w:val="single" w:sz="8" w:space="0" w:color="000000"/>
            </w:tcBorders>
            <w:shd w:val="clear" w:color="000000" w:fill="D8E4BC"/>
            <w:noWrap/>
            <w:vAlign w:val="center"/>
            <w:hideMark/>
          </w:tcPr>
          <w:p w14:paraId="5BD60231" w14:textId="77777777" w:rsidR="001129C8" w:rsidRPr="009C5ECD" w:rsidRDefault="001129C8" w:rsidP="001129C8">
            <w:pPr>
              <w:jc w:val="center"/>
              <w:rPr>
                <w:b/>
                <w:bCs/>
                <w:color w:val="000000"/>
              </w:rPr>
            </w:pPr>
            <w:r w:rsidRPr="009C5ECD">
              <w:rPr>
                <w:b/>
                <w:bCs/>
                <w:color w:val="000000"/>
              </w:rPr>
              <w:t>COMMERCIAL</w:t>
            </w:r>
          </w:p>
        </w:tc>
      </w:tr>
      <w:tr w:rsidR="001129C8" w:rsidRPr="009C5ECD" w14:paraId="2C6CB057" w14:textId="77777777" w:rsidTr="001129C8">
        <w:trPr>
          <w:trHeight w:val="540"/>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08C729D1" w14:textId="77777777" w:rsidR="001129C8" w:rsidRPr="009C5ECD" w:rsidRDefault="001129C8" w:rsidP="001129C8">
            <w:pPr>
              <w:rPr>
                <w:b/>
                <w:bCs/>
                <w:color w:val="000000"/>
                <w:sz w:val="20"/>
                <w:szCs w:val="20"/>
              </w:rPr>
            </w:pPr>
          </w:p>
        </w:tc>
        <w:tc>
          <w:tcPr>
            <w:tcW w:w="0" w:type="auto"/>
            <w:tcBorders>
              <w:top w:val="nil"/>
              <w:left w:val="nil"/>
              <w:bottom w:val="single" w:sz="8" w:space="0" w:color="auto"/>
              <w:right w:val="single" w:sz="8" w:space="0" w:color="auto"/>
            </w:tcBorders>
            <w:shd w:val="clear" w:color="000000" w:fill="B7DEE8"/>
            <w:vAlign w:val="center"/>
            <w:hideMark/>
          </w:tcPr>
          <w:p w14:paraId="5B9BDB57" w14:textId="77777777" w:rsidR="001129C8" w:rsidRPr="009C5ECD" w:rsidRDefault="001129C8" w:rsidP="001129C8">
            <w:pPr>
              <w:jc w:val="center"/>
              <w:rPr>
                <w:b/>
                <w:bCs/>
                <w:color w:val="000000"/>
                <w:sz w:val="20"/>
                <w:szCs w:val="20"/>
              </w:rPr>
            </w:pPr>
            <w:r w:rsidRPr="009C5ECD">
              <w:rPr>
                <w:b/>
                <w:bCs/>
                <w:color w:val="000000"/>
                <w:sz w:val="20"/>
                <w:szCs w:val="20"/>
              </w:rPr>
              <w:t>Landings (N)</w:t>
            </w:r>
          </w:p>
        </w:tc>
        <w:tc>
          <w:tcPr>
            <w:tcW w:w="0" w:type="auto"/>
            <w:tcBorders>
              <w:top w:val="nil"/>
              <w:left w:val="nil"/>
              <w:bottom w:val="single" w:sz="8" w:space="0" w:color="auto"/>
              <w:right w:val="single" w:sz="8" w:space="0" w:color="auto"/>
            </w:tcBorders>
            <w:shd w:val="clear" w:color="000000" w:fill="B7DEE8"/>
            <w:vAlign w:val="center"/>
            <w:hideMark/>
          </w:tcPr>
          <w:p w14:paraId="053A7D17" w14:textId="77777777" w:rsidR="001129C8" w:rsidRPr="009C5ECD" w:rsidRDefault="001129C8" w:rsidP="001129C8">
            <w:pPr>
              <w:jc w:val="center"/>
              <w:rPr>
                <w:b/>
                <w:bCs/>
                <w:color w:val="000000"/>
                <w:sz w:val="20"/>
                <w:szCs w:val="20"/>
              </w:rPr>
            </w:pPr>
            <w:r w:rsidRPr="009C5ECD">
              <w:rPr>
                <w:b/>
                <w:bCs/>
                <w:color w:val="000000"/>
                <w:sz w:val="20"/>
                <w:szCs w:val="20"/>
              </w:rPr>
              <w:t>Discards (N)</w:t>
            </w:r>
          </w:p>
        </w:tc>
        <w:tc>
          <w:tcPr>
            <w:tcW w:w="0" w:type="auto"/>
            <w:tcBorders>
              <w:top w:val="nil"/>
              <w:left w:val="nil"/>
              <w:bottom w:val="single" w:sz="8" w:space="0" w:color="auto"/>
              <w:right w:val="single" w:sz="8" w:space="0" w:color="auto"/>
            </w:tcBorders>
            <w:shd w:val="clear" w:color="000000" w:fill="B7DEE8"/>
            <w:vAlign w:val="center"/>
            <w:hideMark/>
          </w:tcPr>
          <w:p w14:paraId="2FDD7EB9" w14:textId="77777777" w:rsidR="001129C8" w:rsidRPr="009C5ECD" w:rsidRDefault="001129C8" w:rsidP="001129C8">
            <w:pPr>
              <w:jc w:val="center"/>
              <w:rPr>
                <w:b/>
                <w:bCs/>
                <w:color w:val="000000"/>
                <w:sz w:val="20"/>
                <w:szCs w:val="20"/>
              </w:rPr>
            </w:pPr>
            <w:r w:rsidRPr="009C5ECD">
              <w:rPr>
                <w:b/>
                <w:bCs/>
                <w:color w:val="000000"/>
                <w:sz w:val="20"/>
                <w:szCs w:val="20"/>
              </w:rPr>
              <w:t>Ratio (D:L)</w:t>
            </w:r>
          </w:p>
        </w:tc>
        <w:tc>
          <w:tcPr>
            <w:tcW w:w="0" w:type="auto"/>
            <w:tcBorders>
              <w:top w:val="nil"/>
              <w:left w:val="nil"/>
              <w:bottom w:val="single" w:sz="8" w:space="0" w:color="auto"/>
              <w:right w:val="single" w:sz="8" w:space="0" w:color="auto"/>
            </w:tcBorders>
            <w:shd w:val="clear" w:color="000000" w:fill="C5D9F1"/>
            <w:vAlign w:val="center"/>
            <w:hideMark/>
          </w:tcPr>
          <w:p w14:paraId="5F534EDB" w14:textId="77777777" w:rsidR="001129C8" w:rsidRPr="009C5ECD" w:rsidRDefault="001129C8" w:rsidP="001129C8">
            <w:pPr>
              <w:jc w:val="center"/>
              <w:rPr>
                <w:b/>
                <w:bCs/>
                <w:color w:val="000000"/>
                <w:sz w:val="20"/>
                <w:szCs w:val="20"/>
              </w:rPr>
            </w:pPr>
            <w:r w:rsidRPr="009C5ECD">
              <w:rPr>
                <w:b/>
                <w:bCs/>
                <w:color w:val="000000"/>
                <w:sz w:val="20"/>
                <w:szCs w:val="20"/>
              </w:rPr>
              <w:t>Landings (N)</w:t>
            </w:r>
          </w:p>
        </w:tc>
        <w:tc>
          <w:tcPr>
            <w:tcW w:w="0" w:type="auto"/>
            <w:tcBorders>
              <w:top w:val="nil"/>
              <w:left w:val="nil"/>
              <w:bottom w:val="single" w:sz="8" w:space="0" w:color="auto"/>
              <w:right w:val="single" w:sz="8" w:space="0" w:color="auto"/>
            </w:tcBorders>
            <w:shd w:val="clear" w:color="000000" w:fill="C5D9F1"/>
            <w:vAlign w:val="center"/>
            <w:hideMark/>
          </w:tcPr>
          <w:p w14:paraId="1A05049F" w14:textId="77777777" w:rsidR="001129C8" w:rsidRPr="009C5ECD" w:rsidRDefault="001129C8" w:rsidP="001129C8">
            <w:pPr>
              <w:jc w:val="center"/>
              <w:rPr>
                <w:b/>
                <w:bCs/>
                <w:color w:val="000000"/>
                <w:sz w:val="20"/>
                <w:szCs w:val="20"/>
              </w:rPr>
            </w:pPr>
            <w:r w:rsidRPr="009C5ECD">
              <w:rPr>
                <w:b/>
                <w:bCs/>
                <w:color w:val="000000"/>
                <w:sz w:val="20"/>
                <w:szCs w:val="20"/>
              </w:rPr>
              <w:t>Discards (N)</w:t>
            </w:r>
          </w:p>
        </w:tc>
        <w:tc>
          <w:tcPr>
            <w:tcW w:w="0" w:type="auto"/>
            <w:tcBorders>
              <w:top w:val="nil"/>
              <w:left w:val="nil"/>
              <w:bottom w:val="single" w:sz="8" w:space="0" w:color="auto"/>
              <w:right w:val="single" w:sz="8" w:space="0" w:color="auto"/>
            </w:tcBorders>
            <w:shd w:val="clear" w:color="000000" w:fill="C5D9F1"/>
            <w:vAlign w:val="center"/>
            <w:hideMark/>
          </w:tcPr>
          <w:p w14:paraId="4D8F122A" w14:textId="77777777" w:rsidR="001129C8" w:rsidRPr="009C5ECD" w:rsidRDefault="001129C8" w:rsidP="001129C8">
            <w:pPr>
              <w:jc w:val="center"/>
              <w:rPr>
                <w:b/>
                <w:bCs/>
                <w:color w:val="000000"/>
                <w:sz w:val="20"/>
                <w:szCs w:val="20"/>
              </w:rPr>
            </w:pPr>
            <w:r w:rsidRPr="009C5ECD">
              <w:rPr>
                <w:b/>
                <w:bCs/>
                <w:color w:val="000000"/>
                <w:sz w:val="20"/>
                <w:szCs w:val="20"/>
              </w:rPr>
              <w:t>Ratio (D:L)</w:t>
            </w:r>
          </w:p>
        </w:tc>
        <w:tc>
          <w:tcPr>
            <w:tcW w:w="0" w:type="auto"/>
            <w:tcBorders>
              <w:top w:val="nil"/>
              <w:left w:val="nil"/>
              <w:bottom w:val="single" w:sz="8" w:space="0" w:color="auto"/>
              <w:right w:val="single" w:sz="8" w:space="0" w:color="auto"/>
            </w:tcBorders>
            <w:shd w:val="clear" w:color="000000" w:fill="F2DCDB"/>
            <w:vAlign w:val="center"/>
            <w:hideMark/>
          </w:tcPr>
          <w:p w14:paraId="04B8BD43" w14:textId="77777777" w:rsidR="001129C8" w:rsidRPr="009C5ECD" w:rsidRDefault="001129C8" w:rsidP="001129C8">
            <w:pPr>
              <w:jc w:val="center"/>
              <w:rPr>
                <w:b/>
                <w:bCs/>
                <w:color w:val="000000"/>
                <w:sz w:val="20"/>
                <w:szCs w:val="20"/>
              </w:rPr>
            </w:pPr>
            <w:r w:rsidRPr="009C5ECD">
              <w:rPr>
                <w:b/>
                <w:bCs/>
                <w:color w:val="000000"/>
                <w:sz w:val="20"/>
                <w:szCs w:val="20"/>
              </w:rPr>
              <w:t>Landings (N)</w:t>
            </w:r>
          </w:p>
        </w:tc>
        <w:tc>
          <w:tcPr>
            <w:tcW w:w="0" w:type="auto"/>
            <w:tcBorders>
              <w:top w:val="nil"/>
              <w:left w:val="nil"/>
              <w:bottom w:val="single" w:sz="8" w:space="0" w:color="auto"/>
              <w:right w:val="single" w:sz="8" w:space="0" w:color="auto"/>
            </w:tcBorders>
            <w:shd w:val="clear" w:color="000000" w:fill="F2DCDB"/>
            <w:vAlign w:val="center"/>
            <w:hideMark/>
          </w:tcPr>
          <w:p w14:paraId="3E416B50" w14:textId="77777777" w:rsidR="001129C8" w:rsidRPr="009C5ECD" w:rsidRDefault="001129C8" w:rsidP="001129C8">
            <w:pPr>
              <w:jc w:val="center"/>
              <w:rPr>
                <w:b/>
                <w:bCs/>
                <w:color w:val="000000"/>
                <w:sz w:val="20"/>
                <w:szCs w:val="20"/>
              </w:rPr>
            </w:pPr>
            <w:r w:rsidRPr="009C5ECD">
              <w:rPr>
                <w:b/>
                <w:bCs/>
                <w:color w:val="000000"/>
                <w:sz w:val="20"/>
                <w:szCs w:val="20"/>
              </w:rPr>
              <w:t>Discards (N)</w:t>
            </w:r>
          </w:p>
        </w:tc>
        <w:tc>
          <w:tcPr>
            <w:tcW w:w="0" w:type="auto"/>
            <w:tcBorders>
              <w:top w:val="nil"/>
              <w:left w:val="nil"/>
              <w:bottom w:val="single" w:sz="8" w:space="0" w:color="auto"/>
              <w:right w:val="single" w:sz="8" w:space="0" w:color="auto"/>
            </w:tcBorders>
            <w:shd w:val="clear" w:color="000000" w:fill="F2DCDB"/>
            <w:vAlign w:val="center"/>
            <w:hideMark/>
          </w:tcPr>
          <w:p w14:paraId="6EBEA9D6" w14:textId="77777777" w:rsidR="001129C8" w:rsidRPr="009C5ECD" w:rsidRDefault="001129C8" w:rsidP="001129C8">
            <w:pPr>
              <w:jc w:val="center"/>
              <w:rPr>
                <w:b/>
                <w:bCs/>
                <w:color w:val="000000"/>
                <w:sz w:val="20"/>
                <w:szCs w:val="20"/>
              </w:rPr>
            </w:pPr>
            <w:r w:rsidRPr="009C5ECD">
              <w:rPr>
                <w:b/>
                <w:bCs/>
                <w:color w:val="000000"/>
                <w:sz w:val="20"/>
                <w:szCs w:val="20"/>
              </w:rPr>
              <w:t>Ratio (D:L)</w:t>
            </w:r>
          </w:p>
        </w:tc>
        <w:tc>
          <w:tcPr>
            <w:tcW w:w="0" w:type="auto"/>
            <w:tcBorders>
              <w:top w:val="nil"/>
              <w:left w:val="nil"/>
              <w:bottom w:val="single" w:sz="8" w:space="0" w:color="auto"/>
              <w:right w:val="single" w:sz="8" w:space="0" w:color="auto"/>
            </w:tcBorders>
            <w:shd w:val="clear" w:color="000000" w:fill="D8E4BC"/>
            <w:vAlign w:val="center"/>
            <w:hideMark/>
          </w:tcPr>
          <w:p w14:paraId="2386656A" w14:textId="77777777" w:rsidR="001129C8" w:rsidRPr="009C5ECD" w:rsidRDefault="001129C8" w:rsidP="001129C8">
            <w:pPr>
              <w:jc w:val="center"/>
              <w:rPr>
                <w:b/>
                <w:bCs/>
                <w:color w:val="000000"/>
                <w:sz w:val="20"/>
                <w:szCs w:val="20"/>
              </w:rPr>
            </w:pPr>
            <w:r w:rsidRPr="009C5ECD">
              <w:rPr>
                <w:b/>
                <w:bCs/>
                <w:color w:val="000000"/>
                <w:sz w:val="20"/>
                <w:szCs w:val="20"/>
              </w:rPr>
              <w:t>Landings (lbs)</w:t>
            </w:r>
          </w:p>
        </w:tc>
        <w:tc>
          <w:tcPr>
            <w:tcW w:w="0" w:type="auto"/>
            <w:tcBorders>
              <w:top w:val="nil"/>
              <w:left w:val="nil"/>
              <w:bottom w:val="single" w:sz="8" w:space="0" w:color="auto"/>
              <w:right w:val="single" w:sz="8" w:space="0" w:color="auto"/>
            </w:tcBorders>
            <w:shd w:val="clear" w:color="000000" w:fill="D8E4BC"/>
            <w:vAlign w:val="center"/>
            <w:hideMark/>
          </w:tcPr>
          <w:p w14:paraId="75ED51EC" w14:textId="77777777" w:rsidR="001129C8" w:rsidRPr="009C5ECD" w:rsidRDefault="001129C8" w:rsidP="001129C8">
            <w:pPr>
              <w:jc w:val="center"/>
              <w:rPr>
                <w:b/>
                <w:bCs/>
                <w:color w:val="000000"/>
                <w:sz w:val="20"/>
                <w:szCs w:val="20"/>
              </w:rPr>
            </w:pPr>
            <w:r w:rsidRPr="009C5ECD">
              <w:rPr>
                <w:b/>
                <w:bCs/>
                <w:color w:val="000000"/>
                <w:sz w:val="20"/>
                <w:szCs w:val="20"/>
              </w:rPr>
              <w:t>Discards (N)</w:t>
            </w:r>
          </w:p>
        </w:tc>
      </w:tr>
      <w:tr w:rsidR="001129C8" w:rsidRPr="009C5ECD" w14:paraId="7B3872D3"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C59FAFD" w14:textId="77777777" w:rsidR="00E03650" w:rsidRPr="009C5ECD" w:rsidRDefault="00E03650" w:rsidP="00666827">
            <w:pPr>
              <w:jc w:val="center"/>
              <w:rPr>
                <w:color w:val="000000"/>
                <w:sz w:val="20"/>
                <w:szCs w:val="20"/>
              </w:rPr>
            </w:pPr>
            <w:r w:rsidRPr="009C5ECD">
              <w:rPr>
                <w:color w:val="000000"/>
                <w:sz w:val="20"/>
                <w:szCs w:val="20"/>
              </w:rPr>
              <w:t>Misty grouper</w:t>
            </w:r>
          </w:p>
        </w:tc>
        <w:tc>
          <w:tcPr>
            <w:tcW w:w="0" w:type="auto"/>
            <w:tcBorders>
              <w:top w:val="nil"/>
              <w:left w:val="nil"/>
              <w:bottom w:val="single" w:sz="8" w:space="0" w:color="auto"/>
              <w:right w:val="single" w:sz="8" w:space="0" w:color="auto"/>
            </w:tcBorders>
            <w:shd w:val="clear" w:color="000000" w:fill="B7DEE8"/>
            <w:noWrap/>
            <w:vAlign w:val="center"/>
            <w:hideMark/>
          </w:tcPr>
          <w:p w14:paraId="42FE81F8" w14:textId="77777777" w:rsidR="00E03650" w:rsidRPr="009C5ECD" w:rsidRDefault="00E03650" w:rsidP="00666827">
            <w:pPr>
              <w:jc w:val="center"/>
              <w:rPr>
                <w:color w:val="000000"/>
                <w:sz w:val="20"/>
                <w:szCs w:val="20"/>
              </w:rPr>
            </w:pPr>
            <w:r w:rsidRPr="009C5ECD">
              <w:rPr>
                <w:color w:val="000000"/>
                <w:sz w:val="20"/>
                <w:szCs w:val="20"/>
              </w:rPr>
              <w:t>4</w:t>
            </w:r>
          </w:p>
        </w:tc>
        <w:tc>
          <w:tcPr>
            <w:tcW w:w="0" w:type="auto"/>
            <w:tcBorders>
              <w:top w:val="nil"/>
              <w:left w:val="nil"/>
              <w:bottom w:val="single" w:sz="8" w:space="0" w:color="auto"/>
              <w:right w:val="single" w:sz="8" w:space="0" w:color="auto"/>
            </w:tcBorders>
            <w:shd w:val="clear" w:color="000000" w:fill="B7DEE8"/>
            <w:noWrap/>
            <w:vAlign w:val="center"/>
            <w:hideMark/>
          </w:tcPr>
          <w:p w14:paraId="38CCDA91"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B7DEE8"/>
            <w:noWrap/>
            <w:vAlign w:val="center"/>
            <w:hideMark/>
          </w:tcPr>
          <w:p w14:paraId="25E9AD7E" w14:textId="77777777" w:rsidR="00E03650" w:rsidRPr="009C5ECD" w:rsidRDefault="00E03650" w:rsidP="00666827">
            <w:pPr>
              <w:jc w:val="center"/>
              <w:rPr>
                <w:color w:val="000000"/>
                <w:sz w:val="20"/>
                <w:szCs w:val="20"/>
              </w:rPr>
            </w:pPr>
            <w:r w:rsidRPr="009C5ECD">
              <w:rPr>
                <w:color w:val="000000"/>
                <w:sz w:val="20"/>
                <w:szCs w:val="20"/>
              </w:rPr>
              <w:t>6%</w:t>
            </w:r>
          </w:p>
        </w:tc>
        <w:tc>
          <w:tcPr>
            <w:tcW w:w="0" w:type="auto"/>
            <w:tcBorders>
              <w:top w:val="nil"/>
              <w:left w:val="nil"/>
              <w:bottom w:val="single" w:sz="8" w:space="0" w:color="auto"/>
              <w:right w:val="single" w:sz="8" w:space="0" w:color="auto"/>
            </w:tcBorders>
            <w:shd w:val="clear" w:color="000000" w:fill="C5D9F1"/>
            <w:noWrap/>
            <w:vAlign w:val="center"/>
            <w:hideMark/>
          </w:tcPr>
          <w:p w14:paraId="10B172D3"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028EB709"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38109875" w14:textId="77777777" w:rsidR="00E03650" w:rsidRPr="009C5ECD" w:rsidRDefault="00E03650" w:rsidP="00666827">
            <w:pPr>
              <w:jc w:val="center"/>
              <w:rPr>
                <w:color w:val="000000"/>
                <w:sz w:val="20"/>
                <w:szCs w:val="20"/>
              </w:rPr>
            </w:pPr>
            <w:r w:rsidRPr="009C5ECD">
              <w:rPr>
                <w:color w:val="000000"/>
                <w:sz w:val="20"/>
                <w:szCs w:val="20"/>
              </w:rPr>
              <w:t> </w:t>
            </w:r>
          </w:p>
        </w:tc>
        <w:tc>
          <w:tcPr>
            <w:tcW w:w="0" w:type="auto"/>
            <w:tcBorders>
              <w:top w:val="nil"/>
              <w:left w:val="nil"/>
              <w:bottom w:val="single" w:sz="8" w:space="0" w:color="auto"/>
              <w:right w:val="single" w:sz="8" w:space="0" w:color="auto"/>
            </w:tcBorders>
            <w:shd w:val="clear" w:color="000000" w:fill="F2DCDB"/>
            <w:noWrap/>
            <w:vAlign w:val="center"/>
            <w:hideMark/>
          </w:tcPr>
          <w:p w14:paraId="6FB57F38"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20DE7976"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11E66FEC" w14:textId="77777777" w:rsidR="00E03650" w:rsidRPr="009C5ECD" w:rsidRDefault="00E03650" w:rsidP="00666827">
            <w:pPr>
              <w:jc w:val="center"/>
              <w:rPr>
                <w:color w:val="000000"/>
                <w:sz w:val="20"/>
                <w:szCs w:val="20"/>
              </w:rPr>
            </w:pPr>
            <w:r w:rsidRPr="009C5ECD">
              <w:rPr>
                <w:color w:val="000000"/>
                <w:sz w:val="20"/>
                <w:szCs w:val="20"/>
              </w:rPr>
              <w:t> </w:t>
            </w:r>
          </w:p>
        </w:tc>
        <w:tc>
          <w:tcPr>
            <w:tcW w:w="0" w:type="auto"/>
            <w:tcBorders>
              <w:top w:val="nil"/>
              <w:left w:val="nil"/>
              <w:bottom w:val="single" w:sz="8" w:space="0" w:color="auto"/>
              <w:right w:val="single" w:sz="8" w:space="0" w:color="auto"/>
            </w:tcBorders>
            <w:shd w:val="clear" w:color="000000" w:fill="D8E4BC"/>
            <w:noWrap/>
            <w:vAlign w:val="center"/>
            <w:hideMark/>
          </w:tcPr>
          <w:p w14:paraId="50607239" w14:textId="77777777" w:rsidR="00E03650" w:rsidRPr="009C5ECD" w:rsidRDefault="00E03650" w:rsidP="00666827">
            <w:pPr>
              <w:jc w:val="center"/>
              <w:rPr>
                <w:color w:val="000000"/>
                <w:sz w:val="20"/>
                <w:szCs w:val="20"/>
              </w:rPr>
            </w:pPr>
            <w:r w:rsidRPr="009C5ECD">
              <w:rPr>
                <w:color w:val="000000"/>
                <w:sz w:val="20"/>
                <w:szCs w:val="20"/>
              </w:rPr>
              <w:t>98</w:t>
            </w:r>
          </w:p>
        </w:tc>
        <w:tc>
          <w:tcPr>
            <w:tcW w:w="0" w:type="auto"/>
            <w:tcBorders>
              <w:top w:val="nil"/>
              <w:left w:val="nil"/>
              <w:bottom w:val="single" w:sz="8" w:space="0" w:color="auto"/>
              <w:right w:val="single" w:sz="8" w:space="0" w:color="auto"/>
            </w:tcBorders>
            <w:shd w:val="clear" w:color="000000" w:fill="D8E4BC"/>
            <w:noWrap/>
            <w:vAlign w:val="center"/>
            <w:hideMark/>
          </w:tcPr>
          <w:p w14:paraId="1F0AC51C" w14:textId="77777777" w:rsidR="00E03650" w:rsidRPr="009C5ECD" w:rsidRDefault="00E03650" w:rsidP="00666827">
            <w:pPr>
              <w:jc w:val="center"/>
              <w:rPr>
                <w:color w:val="000000"/>
                <w:sz w:val="20"/>
                <w:szCs w:val="20"/>
              </w:rPr>
            </w:pPr>
            <w:r w:rsidRPr="009C5ECD">
              <w:rPr>
                <w:color w:val="000000"/>
                <w:sz w:val="20"/>
                <w:szCs w:val="20"/>
              </w:rPr>
              <w:t>1</w:t>
            </w:r>
          </w:p>
        </w:tc>
      </w:tr>
      <w:tr w:rsidR="001129C8" w:rsidRPr="009C5ECD" w14:paraId="195E914D"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F99F693" w14:textId="77777777" w:rsidR="00E03650" w:rsidRPr="009C5ECD" w:rsidRDefault="00E03650" w:rsidP="00666827">
            <w:pPr>
              <w:jc w:val="center"/>
              <w:rPr>
                <w:color w:val="000000"/>
                <w:sz w:val="20"/>
                <w:szCs w:val="20"/>
              </w:rPr>
            </w:pPr>
            <w:r w:rsidRPr="009C5ECD">
              <w:rPr>
                <w:color w:val="000000"/>
                <w:sz w:val="20"/>
                <w:szCs w:val="20"/>
              </w:rPr>
              <w:t>Mutton snapper</w:t>
            </w:r>
          </w:p>
        </w:tc>
        <w:tc>
          <w:tcPr>
            <w:tcW w:w="0" w:type="auto"/>
            <w:tcBorders>
              <w:top w:val="nil"/>
              <w:left w:val="nil"/>
              <w:bottom w:val="single" w:sz="8" w:space="0" w:color="auto"/>
              <w:right w:val="single" w:sz="8" w:space="0" w:color="auto"/>
            </w:tcBorders>
            <w:shd w:val="clear" w:color="000000" w:fill="B7DEE8"/>
            <w:noWrap/>
            <w:vAlign w:val="center"/>
            <w:hideMark/>
          </w:tcPr>
          <w:p w14:paraId="10952ADD" w14:textId="77777777" w:rsidR="00E03650" w:rsidRPr="009C5ECD" w:rsidRDefault="00E03650" w:rsidP="00666827">
            <w:pPr>
              <w:jc w:val="center"/>
              <w:rPr>
                <w:color w:val="000000"/>
                <w:sz w:val="20"/>
                <w:szCs w:val="20"/>
              </w:rPr>
            </w:pPr>
            <w:r w:rsidRPr="009C5ECD">
              <w:rPr>
                <w:color w:val="000000"/>
                <w:sz w:val="20"/>
                <w:szCs w:val="20"/>
              </w:rPr>
              <w:t>14,000</w:t>
            </w:r>
          </w:p>
        </w:tc>
        <w:tc>
          <w:tcPr>
            <w:tcW w:w="0" w:type="auto"/>
            <w:tcBorders>
              <w:top w:val="nil"/>
              <w:left w:val="nil"/>
              <w:bottom w:val="single" w:sz="8" w:space="0" w:color="auto"/>
              <w:right w:val="single" w:sz="8" w:space="0" w:color="auto"/>
            </w:tcBorders>
            <w:shd w:val="clear" w:color="000000" w:fill="B7DEE8"/>
            <w:noWrap/>
            <w:vAlign w:val="center"/>
            <w:hideMark/>
          </w:tcPr>
          <w:p w14:paraId="459A225F" w14:textId="77777777" w:rsidR="00E03650" w:rsidRPr="009C5ECD" w:rsidRDefault="00E03650" w:rsidP="00666827">
            <w:pPr>
              <w:jc w:val="center"/>
              <w:rPr>
                <w:color w:val="000000"/>
                <w:sz w:val="20"/>
                <w:szCs w:val="20"/>
              </w:rPr>
            </w:pPr>
            <w:r w:rsidRPr="009C5ECD">
              <w:rPr>
                <w:color w:val="000000"/>
                <w:sz w:val="20"/>
                <w:szCs w:val="20"/>
              </w:rPr>
              <w:t>6,001</w:t>
            </w:r>
          </w:p>
        </w:tc>
        <w:tc>
          <w:tcPr>
            <w:tcW w:w="0" w:type="auto"/>
            <w:tcBorders>
              <w:top w:val="nil"/>
              <w:left w:val="nil"/>
              <w:bottom w:val="single" w:sz="8" w:space="0" w:color="auto"/>
              <w:right w:val="single" w:sz="8" w:space="0" w:color="auto"/>
            </w:tcBorders>
            <w:shd w:val="clear" w:color="000000" w:fill="B7DEE8"/>
            <w:noWrap/>
            <w:vAlign w:val="center"/>
            <w:hideMark/>
          </w:tcPr>
          <w:p w14:paraId="4525784B" w14:textId="77777777" w:rsidR="00E03650" w:rsidRPr="009C5ECD" w:rsidRDefault="00E03650" w:rsidP="00666827">
            <w:pPr>
              <w:jc w:val="center"/>
              <w:rPr>
                <w:color w:val="000000"/>
                <w:sz w:val="20"/>
                <w:szCs w:val="20"/>
              </w:rPr>
            </w:pPr>
            <w:r w:rsidRPr="009C5ECD">
              <w:rPr>
                <w:color w:val="000000"/>
                <w:sz w:val="20"/>
                <w:szCs w:val="20"/>
              </w:rPr>
              <w:t>43%</w:t>
            </w:r>
          </w:p>
        </w:tc>
        <w:tc>
          <w:tcPr>
            <w:tcW w:w="0" w:type="auto"/>
            <w:tcBorders>
              <w:top w:val="nil"/>
              <w:left w:val="nil"/>
              <w:bottom w:val="single" w:sz="8" w:space="0" w:color="auto"/>
              <w:right w:val="single" w:sz="8" w:space="0" w:color="auto"/>
            </w:tcBorders>
            <w:shd w:val="clear" w:color="000000" w:fill="C5D9F1"/>
            <w:noWrap/>
            <w:vAlign w:val="center"/>
            <w:hideMark/>
          </w:tcPr>
          <w:p w14:paraId="4984B0A9" w14:textId="77777777" w:rsidR="00E03650" w:rsidRPr="009C5ECD" w:rsidRDefault="00E03650" w:rsidP="00666827">
            <w:pPr>
              <w:jc w:val="center"/>
              <w:rPr>
                <w:color w:val="000000"/>
                <w:sz w:val="20"/>
                <w:szCs w:val="20"/>
              </w:rPr>
            </w:pPr>
            <w:r w:rsidRPr="009C5ECD">
              <w:rPr>
                <w:color w:val="000000"/>
                <w:sz w:val="20"/>
                <w:szCs w:val="20"/>
              </w:rPr>
              <w:t>22,714</w:t>
            </w:r>
          </w:p>
        </w:tc>
        <w:tc>
          <w:tcPr>
            <w:tcW w:w="0" w:type="auto"/>
            <w:tcBorders>
              <w:top w:val="nil"/>
              <w:left w:val="nil"/>
              <w:bottom w:val="single" w:sz="8" w:space="0" w:color="auto"/>
              <w:right w:val="single" w:sz="8" w:space="0" w:color="auto"/>
            </w:tcBorders>
            <w:shd w:val="clear" w:color="000000" w:fill="C5D9F1"/>
            <w:noWrap/>
            <w:vAlign w:val="center"/>
            <w:hideMark/>
          </w:tcPr>
          <w:p w14:paraId="027A0DF4" w14:textId="77777777" w:rsidR="00E03650" w:rsidRPr="009C5ECD" w:rsidRDefault="00E03650" w:rsidP="00666827">
            <w:pPr>
              <w:jc w:val="center"/>
              <w:rPr>
                <w:color w:val="000000"/>
                <w:sz w:val="20"/>
                <w:szCs w:val="20"/>
              </w:rPr>
            </w:pPr>
            <w:r w:rsidRPr="009C5ECD">
              <w:rPr>
                <w:color w:val="000000"/>
                <w:sz w:val="20"/>
                <w:szCs w:val="20"/>
              </w:rPr>
              <w:t>12,425</w:t>
            </w:r>
          </w:p>
        </w:tc>
        <w:tc>
          <w:tcPr>
            <w:tcW w:w="0" w:type="auto"/>
            <w:tcBorders>
              <w:top w:val="nil"/>
              <w:left w:val="nil"/>
              <w:bottom w:val="single" w:sz="8" w:space="0" w:color="auto"/>
              <w:right w:val="single" w:sz="8" w:space="0" w:color="auto"/>
            </w:tcBorders>
            <w:shd w:val="clear" w:color="000000" w:fill="C5D9F1"/>
            <w:noWrap/>
            <w:vAlign w:val="center"/>
            <w:hideMark/>
          </w:tcPr>
          <w:p w14:paraId="1F75F2DA" w14:textId="77777777" w:rsidR="00E03650" w:rsidRPr="009C5ECD" w:rsidRDefault="00E03650" w:rsidP="00666827">
            <w:pPr>
              <w:jc w:val="center"/>
              <w:rPr>
                <w:color w:val="000000"/>
                <w:sz w:val="20"/>
                <w:szCs w:val="20"/>
              </w:rPr>
            </w:pPr>
            <w:r w:rsidRPr="009C5ECD">
              <w:rPr>
                <w:color w:val="000000"/>
                <w:sz w:val="20"/>
                <w:szCs w:val="20"/>
              </w:rPr>
              <w:t>55%</w:t>
            </w:r>
          </w:p>
        </w:tc>
        <w:tc>
          <w:tcPr>
            <w:tcW w:w="0" w:type="auto"/>
            <w:tcBorders>
              <w:top w:val="nil"/>
              <w:left w:val="nil"/>
              <w:bottom w:val="single" w:sz="8" w:space="0" w:color="auto"/>
              <w:right w:val="single" w:sz="8" w:space="0" w:color="auto"/>
            </w:tcBorders>
            <w:shd w:val="clear" w:color="000000" w:fill="F2DCDB"/>
            <w:noWrap/>
            <w:vAlign w:val="center"/>
            <w:hideMark/>
          </w:tcPr>
          <w:p w14:paraId="0AF26B4B" w14:textId="77777777" w:rsidR="00E03650" w:rsidRPr="009C5ECD" w:rsidRDefault="00E03650" w:rsidP="00666827">
            <w:pPr>
              <w:jc w:val="center"/>
              <w:rPr>
                <w:color w:val="000000"/>
                <w:sz w:val="20"/>
                <w:szCs w:val="20"/>
              </w:rPr>
            </w:pPr>
            <w:r w:rsidRPr="009C5ECD">
              <w:rPr>
                <w:color w:val="000000"/>
                <w:sz w:val="20"/>
                <w:szCs w:val="20"/>
              </w:rPr>
              <w:t>81,701</w:t>
            </w:r>
          </w:p>
        </w:tc>
        <w:tc>
          <w:tcPr>
            <w:tcW w:w="0" w:type="auto"/>
            <w:tcBorders>
              <w:top w:val="nil"/>
              <w:left w:val="nil"/>
              <w:bottom w:val="single" w:sz="8" w:space="0" w:color="auto"/>
              <w:right w:val="single" w:sz="8" w:space="0" w:color="auto"/>
            </w:tcBorders>
            <w:shd w:val="clear" w:color="000000" w:fill="F2DCDB"/>
            <w:noWrap/>
            <w:vAlign w:val="center"/>
            <w:hideMark/>
          </w:tcPr>
          <w:p w14:paraId="110ADB6A" w14:textId="77777777" w:rsidR="00E03650" w:rsidRPr="009C5ECD" w:rsidRDefault="00E03650" w:rsidP="00666827">
            <w:pPr>
              <w:jc w:val="center"/>
              <w:rPr>
                <w:color w:val="000000"/>
                <w:sz w:val="20"/>
                <w:szCs w:val="20"/>
              </w:rPr>
            </w:pPr>
            <w:r w:rsidRPr="009C5ECD">
              <w:rPr>
                <w:color w:val="000000"/>
                <w:sz w:val="20"/>
                <w:szCs w:val="20"/>
              </w:rPr>
              <w:t>193,674</w:t>
            </w:r>
          </w:p>
        </w:tc>
        <w:tc>
          <w:tcPr>
            <w:tcW w:w="0" w:type="auto"/>
            <w:tcBorders>
              <w:top w:val="nil"/>
              <w:left w:val="nil"/>
              <w:bottom w:val="single" w:sz="8" w:space="0" w:color="auto"/>
              <w:right w:val="single" w:sz="8" w:space="0" w:color="auto"/>
            </w:tcBorders>
            <w:shd w:val="clear" w:color="000000" w:fill="F2DCDB"/>
            <w:noWrap/>
            <w:vAlign w:val="center"/>
            <w:hideMark/>
          </w:tcPr>
          <w:p w14:paraId="689029B4" w14:textId="77777777" w:rsidR="00E03650" w:rsidRPr="009C5ECD" w:rsidRDefault="00E03650" w:rsidP="00666827">
            <w:pPr>
              <w:jc w:val="center"/>
              <w:rPr>
                <w:color w:val="000000"/>
                <w:sz w:val="20"/>
                <w:szCs w:val="20"/>
              </w:rPr>
            </w:pPr>
            <w:r w:rsidRPr="009C5ECD">
              <w:rPr>
                <w:color w:val="000000"/>
                <w:sz w:val="20"/>
                <w:szCs w:val="20"/>
              </w:rPr>
              <w:t>237%</w:t>
            </w:r>
          </w:p>
        </w:tc>
        <w:tc>
          <w:tcPr>
            <w:tcW w:w="0" w:type="auto"/>
            <w:tcBorders>
              <w:top w:val="nil"/>
              <w:left w:val="nil"/>
              <w:bottom w:val="single" w:sz="8" w:space="0" w:color="auto"/>
              <w:right w:val="single" w:sz="8" w:space="0" w:color="auto"/>
            </w:tcBorders>
            <w:shd w:val="clear" w:color="000000" w:fill="D8E4BC"/>
            <w:noWrap/>
            <w:vAlign w:val="center"/>
            <w:hideMark/>
          </w:tcPr>
          <w:p w14:paraId="7D9CC111" w14:textId="77777777" w:rsidR="00E03650" w:rsidRPr="009C5ECD" w:rsidRDefault="00E03650" w:rsidP="00666827">
            <w:pPr>
              <w:jc w:val="center"/>
              <w:rPr>
                <w:color w:val="000000"/>
                <w:sz w:val="20"/>
                <w:szCs w:val="20"/>
              </w:rPr>
            </w:pPr>
            <w:r w:rsidRPr="009C5ECD">
              <w:rPr>
                <w:color w:val="000000"/>
                <w:sz w:val="20"/>
                <w:szCs w:val="20"/>
              </w:rPr>
              <w:t>80,281</w:t>
            </w:r>
          </w:p>
        </w:tc>
        <w:tc>
          <w:tcPr>
            <w:tcW w:w="0" w:type="auto"/>
            <w:tcBorders>
              <w:top w:val="nil"/>
              <w:left w:val="nil"/>
              <w:bottom w:val="single" w:sz="8" w:space="0" w:color="auto"/>
              <w:right w:val="single" w:sz="8" w:space="0" w:color="auto"/>
            </w:tcBorders>
            <w:shd w:val="clear" w:color="000000" w:fill="D8E4BC"/>
            <w:noWrap/>
            <w:vAlign w:val="center"/>
            <w:hideMark/>
          </w:tcPr>
          <w:p w14:paraId="01A7B1D9" w14:textId="77777777" w:rsidR="00E03650" w:rsidRPr="009C5ECD" w:rsidRDefault="00E03650" w:rsidP="00666827">
            <w:pPr>
              <w:jc w:val="center"/>
              <w:rPr>
                <w:color w:val="000000"/>
                <w:sz w:val="20"/>
                <w:szCs w:val="20"/>
              </w:rPr>
            </w:pPr>
            <w:r w:rsidRPr="009C5ECD">
              <w:rPr>
                <w:color w:val="000000"/>
                <w:sz w:val="20"/>
                <w:szCs w:val="20"/>
              </w:rPr>
              <w:t>437</w:t>
            </w:r>
          </w:p>
        </w:tc>
      </w:tr>
      <w:tr w:rsidR="001129C8" w:rsidRPr="009C5ECD" w14:paraId="453D4992"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BF8E4AE" w14:textId="77777777" w:rsidR="00E03650" w:rsidRPr="009C5ECD" w:rsidRDefault="00E03650" w:rsidP="00666827">
            <w:pPr>
              <w:jc w:val="center"/>
              <w:rPr>
                <w:color w:val="000000"/>
                <w:sz w:val="20"/>
                <w:szCs w:val="20"/>
              </w:rPr>
            </w:pPr>
            <w:r w:rsidRPr="009C5ECD">
              <w:rPr>
                <w:color w:val="000000"/>
                <w:sz w:val="20"/>
                <w:szCs w:val="20"/>
              </w:rPr>
              <w:t>Queen snapper</w:t>
            </w:r>
          </w:p>
        </w:tc>
        <w:tc>
          <w:tcPr>
            <w:tcW w:w="0" w:type="auto"/>
            <w:tcBorders>
              <w:top w:val="nil"/>
              <w:left w:val="nil"/>
              <w:bottom w:val="single" w:sz="8" w:space="0" w:color="auto"/>
              <w:right w:val="single" w:sz="8" w:space="0" w:color="auto"/>
            </w:tcBorders>
            <w:shd w:val="clear" w:color="000000" w:fill="B7DEE8"/>
            <w:noWrap/>
            <w:vAlign w:val="center"/>
            <w:hideMark/>
          </w:tcPr>
          <w:p w14:paraId="7669C4E8" w14:textId="77777777" w:rsidR="00E03650" w:rsidRPr="009C5ECD" w:rsidRDefault="00E03650" w:rsidP="00666827">
            <w:pPr>
              <w:jc w:val="center"/>
              <w:rPr>
                <w:color w:val="000000"/>
                <w:sz w:val="20"/>
                <w:szCs w:val="20"/>
              </w:rPr>
            </w:pPr>
            <w:r w:rsidRPr="009C5ECD">
              <w:rPr>
                <w:color w:val="000000"/>
                <w:sz w:val="20"/>
                <w:szCs w:val="20"/>
              </w:rPr>
              <w:t>139</w:t>
            </w:r>
          </w:p>
        </w:tc>
        <w:tc>
          <w:tcPr>
            <w:tcW w:w="0" w:type="auto"/>
            <w:tcBorders>
              <w:top w:val="nil"/>
              <w:left w:val="nil"/>
              <w:bottom w:val="single" w:sz="8" w:space="0" w:color="auto"/>
              <w:right w:val="single" w:sz="8" w:space="0" w:color="auto"/>
            </w:tcBorders>
            <w:shd w:val="clear" w:color="000000" w:fill="B7DEE8"/>
            <w:noWrap/>
            <w:vAlign w:val="center"/>
            <w:hideMark/>
          </w:tcPr>
          <w:p w14:paraId="52B3EAC5"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B7DEE8"/>
            <w:noWrap/>
            <w:vAlign w:val="center"/>
            <w:hideMark/>
          </w:tcPr>
          <w:p w14:paraId="5B427662"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1FC4803E"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5078A0EA"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3EC21B68" w14:textId="77777777" w:rsidR="00E03650" w:rsidRPr="009C5ECD" w:rsidRDefault="00E03650" w:rsidP="00666827">
            <w:pPr>
              <w:jc w:val="center"/>
              <w:rPr>
                <w:color w:val="000000"/>
                <w:sz w:val="20"/>
                <w:szCs w:val="20"/>
              </w:rPr>
            </w:pPr>
            <w:r w:rsidRPr="009C5ECD">
              <w:rPr>
                <w:color w:val="000000"/>
                <w:sz w:val="20"/>
                <w:szCs w:val="20"/>
              </w:rPr>
              <w:t> </w:t>
            </w:r>
          </w:p>
        </w:tc>
        <w:tc>
          <w:tcPr>
            <w:tcW w:w="0" w:type="auto"/>
            <w:tcBorders>
              <w:top w:val="nil"/>
              <w:left w:val="nil"/>
              <w:bottom w:val="single" w:sz="8" w:space="0" w:color="auto"/>
              <w:right w:val="single" w:sz="8" w:space="0" w:color="auto"/>
            </w:tcBorders>
            <w:shd w:val="clear" w:color="000000" w:fill="F2DCDB"/>
            <w:noWrap/>
            <w:vAlign w:val="center"/>
            <w:hideMark/>
          </w:tcPr>
          <w:p w14:paraId="37A23BEC"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65E1B016"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1E2D36A7" w14:textId="77777777" w:rsidR="00E03650" w:rsidRPr="009C5ECD" w:rsidRDefault="00E03650" w:rsidP="00666827">
            <w:pPr>
              <w:jc w:val="center"/>
              <w:rPr>
                <w:color w:val="000000"/>
                <w:sz w:val="20"/>
                <w:szCs w:val="20"/>
              </w:rPr>
            </w:pPr>
            <w:r w:rsidRPr="009C5ECD">
              <w:rPr>
                <w:color w:val="000000"/>
                <w:sz w:val="20"/>
                <w:szCs w:val="20"/>
              </w:rPr>
              <w:t> </w:t>
            </w:r>
          </w:p>
        </w:tc>
        <w:tc>
          <w:tcPr>
            <w:tcW w:w="0" w:type="auto"/>
            <w:tcBorders>
              <w:top w:val="nil"/>
              <w:left w:val="nil"/>
              <w:bottom w:val="single" w:sz="8" w:space="0" w:color="auto"/>
              <w:right w:val="single" w:sz="8" w:space="0" w:color="auto"/>
            </w:tcBorders>
            <w:shd w:val="clear" w:color="000000" w:fill="D8E4BC"/>
            <w:noWrap/>
            <w:vAlign w:val="center"/>
            <w:hideMark/>
          </w:tcPr>
          <w:p w14:paraId="47966568" w14:textId="77777777" w:rsidR="00E03650" w:rsidRPr="009C5ECD" w:rsidRDefault="00E03650" w:rsidP="00666827">
            <w:pPr>
              <w:jc w:val="center"/>
              <w:rPr>
                <w:color w:val="000000"/>
                <w:sz w:val="20"/>
                <w:szCs w:val="20"/>
              </w:rPr>
            </w:pPr>
            <w:r w:rsidRPr="009C5ECD">
              <w:rPr>
                <w:color w:val="000000"/>
                <w:sz w:val="20"/>
                <w:szCs w:val="20"/>
              </w:rPr>
              <w:t>2,165</w:t>
            </w:r>
          </w:p>
        </w:tc>
        <w:tc>
          <w:tcPr>
            <w:tcW w:w="0" w:type="auto"/>
            <w:tcBorders>
              <w:top w:val="nil"/>
              <w:left w:val="nil"/>
              <w:bottom w:val="single" w:sz="8" w:space="0" w:color="auto"/>
              <w:right w:val="single" w:sz="8" w:space="0" w:color="auto"/>
            </w:tcBorders>
            <w:shd w:val="clear" w:color="000000" w:fill="D8E4BC"/>
            <w:noWrap/>
            <w:vAlign w:val="center"/>
            <w:hideMark/>
          </w:tcPr>
          <w:p w14:paraId="6FBD1E38" w14:textId="77777777" w:rsidR="00E03650" w:rsidRPr="009C5ECD" w:rsidRDefault="00E03650" w:rsidP="00666827">
            <w:pPr>
              <w:jc w:val="center"/>
              <w:rPr>
                <w:color w:val="000000"/>
                <w:sz w:val="20"/>
                <w:szCs w:val="20"/>
              </w:rPr>
            </w:pPr>
            <w:r w:rsidRPr="009C5ECD">
              <w:rPr>
                <w:color w:val="000000"/>
                <w:sz w:val="20"/>
                <w:szCs w:val="20"/>
              </w:rPr>
              <w:t>82</w:t>
            </w:r>
          </w:p>
        </w:tc>
      </w:tr>
      <w:tr w:rsidR="001129C8" w:rsidRPr="009C5ECD" w14:paraId="708FED8C"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B3C505C" w14:textId="77777777" w:rsidR="00E03650" w:rsidRPr="009C5ECD" w:rsidRDefault="00E03650" w:rsidP="00666827">
            <w:pPr>
              <w:jc w:val="center"/>
              <w:rPr>
                <w:color w:val="000000"/>
                <w:sz w:val="20"/>
                <w:szCs w:val="20"/>
              </w:rPr>
            </w:pPr>
            <w:r w:rsidRPr="009C5ECD">
              <w:rPr>
                <w:color w:val="000000"/>
                <w:sz w:val="20"/>
                <w:szCs w:val="20"/>
              </w:rPr>
              <w:t>Red grouper</w:t>
            </w:r>
          </w:p>
        </w:tc>
        <w:tc>
          <w:tcPr>
            <w:tcW w:w="0" w:type="auto"/>
            <w:tcBorders>
              <w:top w:val="nil"/>
              <w:left w:val="nil"/>
              <w:bottom w:val="single" w:sz="8" w:space="0" w:color="auto"/>
              <w:right w:val="single" w:sz="8" w:space="0" w:color="auto"/>
            </w:tcBorders>
            <w:shd w:val="clear" w:color="000000" w:fill="B7DEE8"/>
            <w:noWrap/>
            <w:vAlign w:val="center"/>
            <w:hideMark/>
          </w:tcPr>
          <w:p w14:paraId="33E3CFF6" w14:textId="77777777" w:rsidR="00E03650" w:rsidRPr="009C5ECD" w:rsidRDefault="00E03650" w:rsidP="00666827">
            <w:pPr>
              <w:jc w:val="center"/>
              <w:rPr>
                <w:color w:val="000000"/>
                <w:sz w:val="20"/>
                <w:szCs w:val="20"/>
              </w:rPr>
            </w:pPr>
            <w:r w:rsidRPr="009C5ECD">
              <w:rPr>
                <w:color w:val="000000"/>
                <w:sz w:val="20"/>
                <w:szCs w:val="20"/>
              </w:rPr>
              <w:t>1,549</w:t>
            </w:r>
          </w:p>
        </w:tc>
        <w:tc>
          <w:tcPr>
            <w:tcW w:w="0" w:type="auto"/>
            <w:tcBorders>
              <w:top w:val="nil"/>
              <w:left w:val="nil"/>
              <w:bottom w:val="single" w:sz="8" w:space="0" w:color="auto"/>
              <w:right w:val="single" w:sz="8" w:space="0" w:color="auto"/>
            </w:tcBorders>
            <w:shd w:val="clear" w:color="000000" w:fill="B7DEE8"/>
            <w:noWrap/>
            <w:vAlign w:val="center"/>
            <w:hideMark/>
          </w:tcPr>
          <w:p w14:paraId="45ADD17B" w14:textId="77777777" w:rsidR="00E03650" w:rsidRPr="009C5ECD" w:rsidRDefault="00E03650" w:rsidP="00666827">
            <w:pPr>
              <w:jc w:val="center"/>
              <w:rPr>
                <w:color w:val="000000"/>
                <w:sz w:val="20"/>
                <w:szCs w:val="20"/>
              </w:rPr>
            </w:pPr>
            <w:r w:rsidRPr="009C5ECD">
              <w:rPr>
                <w:color w:val="000000"/>
                <w:sz w:val="20"/>
                <w:szCs w:val="20"/>
              </w:rPr>
              <w:t>7,512</w:t>
            </w:r>
          </w:p>
        </w:tc>
        <w:tc>
          <w:tcPr>
            <w:tcW w:w="0" w:type="auto"/>
            <w:tcBorders>
              <w:top w:val="nil"/>
              <w:left w:val="nil"/>
              <w:bottom w:val="single" w:sz="8" w:space="0" w:color="auto"/>
              <w:right w:val="single" w:sz="8" w:space="0" w:color="auto"/>
            </w:tcBorders>
            <w:shd w:val="clear" w:color="000000" w:fill="B7DEE8"/>
            <w:noWrap/>
            <w:vAlign w:val="center"/>
            <w:hideMark/>
          </w:tcPr>
          <w:p w14:paraId="384A2F9B" w14:textId="77777777" w:rsidR="00E03650" w:rsidRPr="009C5ECD" w:rsidRDefault="00E03650" w:rsidP="00666827">
            <w:pPr>
              <w:jc w:val="center"/>
              <w:rPr>
                <w:color w:val="000000"/>
                <w:sz w:val="20"/>
                <w:szCs w:val="20"/>
              </w:rPr>
            </w:pPr>
            <w:r w:rsidRPr="009C5ECD">
              <w:rPr>
                <w:color w:val="000000"/>
                <w:sz w:val="20"/>
                <w:szCs w:val="20"/>
              </w:rPr>
              <w:t>485%</w:t>
            </w:r>
          </w:p>
        </w:tc>
        <w:tc>
          <w:tcPr>
            <w:tcW w:w="0" w:type="auto"/>
            <w:tcBorders>
              <w:top w:val="nil"/>
              <w:left w:val="nil"/>
              <w:bottom w:val="single" w:sz="8" w:space="0" w:color="auto"/>
              <w:right w:val="single" w:sz="8" w:space="0" w:color="auto"/>
            </w:tcBorders>
            <w:shd w:val="clear" w:color="000000" w:fill="C5D9F1"/>
            <w:noWrap/>
            <w:vAlign w:val="center"/>
            <w:hideMark/>
          </w:tcPr>
          <w:p w14:paraId="11111192" w14:textId="77777777" w:rsidR="00E03650" w:rsidRPr="009C5ECD" w:rsidRDefault="00E03650" w:rsidP="00666827">
            <w:pPr>
              <w:jc w:val="center"/>
              <w:rPr>
                <w:color w:val="000000"/>
                <w:sz w:val="20"/>
                <w:szCs w:val="20"/>
              </w:rPr>
            </w:pPr>
            <w:r w:rsidRPr="009C5ECD">
              <w:rPr>
                <w:color w:val="000000"/>
                <w:sz w:val="20"/>
                <w:szCs w:val="20"/>
              </w:rPr>
              <w:t>561</w:t>
            </w:r>
          </w:p>
        </w:tc>
        <w:tc>
          <w:tcPr>
            <w:tcW w:w="0" w:type="auto"/>
            <w:tcBorders>
              <w:top w:val="nil"/>
              <w:left w:val="nil"/>
              <w:bottom w:val="single" w:sz="8" w:space="0" w:color="auto"/>
              <w:right w:val="single" w:sz="8" w:space="0" w:color="auto"/>
            </w:tcBorders>
            <w:shd w:val="clear" w:color="000000" w:fill="C5D9F1"/>
            <w:noWrap/>
            <w:vAlign w:val="center"/>
            <w:hideMark/>
          </w:tcPr>
          <w:p w14:paraId="56DBD3B9" w14:textId="77777777" w:rsidR="00E03650" w:rsidRPr="009C5ECD" w:rsidRDefault="00E03650" w:rsidP="00666827">
            <w:pPr>
              <w:jc w:val="center"/>
              <w:rPr>
                <w:color w:val="000000"/>
                <w:sz w:val="20"/>
                <w:szCs w:val="20"/>
              </w:rPr>
            </w:pPr>
            <w:r w:rsidRPr="009C5ECD">
              <w:rPr>
                <w:color w:val="000000"/>
                <w:sz w:val="20"/>
                <w:szCs w:val="20"/>
              </w:rPr>
              <w:t>2,062</w:t>
            </w:r>
          </w:p>
        </w:tc>
        <w:tc>
          <w:tcPr>
            <w:tcW w:w="0" w:type="auto"/>
            <w:tcBorders>
              <w:top w:val="nil"/>
              <w:left w:val="nil"/>
              <w:bottom w:val="single" w:sz="8" w:space="0" w:color="auto"/>
              <w:right w:val="single" w:sz="8" w:space="0" w:color="auto"/>
            </w:tcBorders>
            <w:shd w:val="clear" w:color="000000" w:fill="C5D9F1"/>
            <w:noWrap/>
            <w:vAlign w:val="center"/>
            <w:hideMark/>
          </w:tcPr>
          <w:p w14:paraId="4A563733" w14:textId="77777777" w:rsidR="00E03650" w:rsidRPr="009C5ECD" w:rsidRDefault="00E03650" w:rsidP="00666827">
            <w:pPr>
              <w:jc w:val="center"/>
              <w:rPr>
                <w:color w:val="000000"/>
                <w:sz w:val="20"/>
                <w:szCs w:val="20"/>
              </w:rPr>
            </w:pPr>
            <w:r w:rsidRPr="009C5ECD">
              <w:rPr>
                <w:color w:val="000000"/>
                <w:sz w:val="20"/>
                <w:szCs w:val="20"/>
              </w:rPr>
              <w:t>368%</w:t>
            </w:r>
          </w:p>
        </w:tc>
        <w:tc>
          <w:tcPr>
            <w:tcW w:w="0" w:type="auto"/>
            <w:tcBorders>
              <w:top w:val="nil"/>
              <w:left w:val="nil"/>
              <w:bottom w:val="single" w:sz="8" w:space="0" w:color="auto"/>
              <w:right w:val="single" w:sz="8" w:space="0" w:color="auto"/>
            </w:tcBorders>
            <w:shd w:val="clear" w:color="000000" w:fill="F2DCDB"/>
            <w:noWrap/>
            <w:vAlign w:val="center"/>
            <w:hideMark/>
          </w:tcPr>
          <w:p w14:paraId="689074F2" w14:textId="77777777" w:rsidR="00E03650" w:rsidRPr="009C5ECD" w:rsidRDefault="00E03650" w:rsidP="00666827">
            <w:pPr>
              <w:jc w:val="center"/>
              <w:rPr>
                <w:color w:val="000000"/>
                <w:sz w:val="20"/>
                <w:szCs w:val="20"/>
              </w:rPr>
            </w:pPr>
            <w:r w:rsidRPr="009C5ECD">
              <w:rPr>
                <w:color w:val="000000"/>
                <w:sz w:val="20"/>
                <w:szCs w:val="20"/>
              </w:rPr>
              <w:t>10,144</w:t>
            </w:r>
          </w:p>
        </w:tc>
        <w:tc>
          <w:tcPr>
            <w:tcW w:w="0" w:type="auto"/>
            <w:tcBorders>
              <w:top w:val="nil"/>
              <w:left w:val="nil"/>
              <w:bottom w:val="single" w:sz="8" w:space="0" w:color="auto"/>
              <w:right w:val="single" w:sz="8" w:space="0" w:color="auto"/>
            </w:tcBorders>
            <w:shd w:val="clear" w:color="000000" w:fill="F2DCDB"/>
            <w:noWrap/>
            <w:vAlign w:val="center"/>
            <w:hideMark/>
          </w:tcPr>
          <w:p w14:paraId="08E34474" w14:textId="77777777" w:rsidR="00E03650" w:rsidRPr="009C5ECD" w:rsidRDefault="00E03650" w:rsidP="00666827">
            <w:pPr>
              <w:jc w:val="center"/>
              <w:rPr>
                <w:color w:val="000000"/>
                <w:sz w:val="20"/>
                <w:szCs w:val="20"/>
              </w:rPr>
            </w:pPr>
            <w:r w:rsidRPr="009C5ECD">
              <w:rPr>
                <w:color w:val="000000"/>
                <w:sz w:val="20"/>
                <w:szCs w:val="20"/>
              </w:rPr>
              <w:t>38,733</w:t>
            </w:r>
          </w:p>
        </w:tc>
        <w:tc>
          <w:tcPr>
            <w:tcW w:w="0" w:type="auto"/>
            <w:tcBorders>
              <w:top w:val="nil"/>
              <w:left w:val="nil"/>
              <w:bottom w:val="single" w:sz="8" w:space="0" w:color="auto"/>
              <w:right w:val="single" w:sz="8" w:space="0" w:color="auto"/>
            </w:tcBorders>
            <w:shd w:val="clear" w:color="000000" w:fill="F2DCDB"/>
            <w:noWrap/>
            <w:vAlign w:val="center"/>
            <w:hideMark/>
          </w:tcPr>
          <w:p w14:paraId="11C5D622" w14:textId="77777777" w:rsidR="00E03650" w:rsidRPr="009C5ECD" w:rsidRDefault="00E03650" w:rsidP="00666827">
            <w:pPr>
              <w:jc w:val="center"/>
              <w:rPr>
                <w:color w:val="000000"/>
                <w:sz w:val="20"/>
                <w:szCs w:val="20"/>
              </w:rPr>
            </w:pPr>
            <w:r w:rsidRPr="009C5ECD">
              <w:rPr>
                <w:color w:val="000000"/>
                <w:sz w:val="20"/>
                <w:szCs w:val="20"/>
              </w:rPr>
              <w:t>382%</w:t>
            </w:r>
          </w:p>
        </w:tc>
        <w:tc>
          <w:tcPr>
            <w:tcW w:w="0" w:type="auto"/>
            <w:tcBorders>
              <w:top w:val="nil"/>
              <w:left w:val="nil"/>
              <w:bottom w:val="single" w:sz="8" w:space="0" w:color="auto"/>
              <w:right w:val="single" w:sz="8" w:space="0" w:color="auto"/>
            </w:tcBorders>
            <w:shd w:val="clear" w:color="000000" w:fill="D8E4BC"/>
            <w:noWrap/>
            <w:vAlign w:val="center"/>
            <w:hideMark/>
          </w:tcPr>
          <w:p w14:paraId="6DB48E78" w14:textId="77777777" w:rsidR="00E03650" w:rsidRPr="009C5ECD" w:rsidRDefault="00E03650" w:rsidP="00666827">
            <w:pPr>
              <w:jc w:val="center"/>
              <w:rPr>
                <w:color w:val="000000"/>
                <w:sz w:val="20"/>
                <w:szCs w:val="20"/>
              </w:rPr>
            </w:pPr>
            <w:r w:rsidRPr="009C5ECD">
              <w:rPr>
                <w:color w:val="000000"/>
                <w:sz w:val="20"/>
                <w:szCs w:val="20"/>
              </w:rPr>
              <w:t>156,775</w:t>
            </w:r>
          </w:p>
        </w:tc>
        <w:tc>
          <w:tcPr>
            <w:tcW w:w="0" w:type="auto"/>
            <w:tcBorders>
              <w:top w:val="nil"/>
              <w:left w:val="nil"/>
              <w:bottom w:val="single" w:sz="8" w:space="0" w:color="auto"/>
              <w:right w:val="single" w:sz="8" w:space="0" w:color="auto"/>
            </w:tcBorders>
            <w:shd w:val="clear" w:color="000000" w:fill="D8E4BC"/>
            <w:noWrap/>
            <w:vAlign w:val="center"/>
            <w:hideMark/>
          </w:tcPr>
          <w:p w14:paraId="42CA93AB" w14:textId="77777777" w:rsidR="00E03650" w:rsidRPr="009C5ECD" w:rsidRDefault="00E03650" w:rsidP="00666827">
            <w:pPr>
              <w:jc w:val="center"/>
              <w:rPr>
                <w:color w:val="000000"/>
                <w:sz w:val="20"/>
                <w:szCs w:val="20"/>
              </w:rPr>
            </w:pPr>
            <w:r w:rsidRPr="009C5ECD">
              <w:rPr>
                <w:color w:val="000000"/>
                <w:sz w:val="20"/>
                <w:szCs w:val="20"/>
              </w:rPr>
              <w:t>1,658</w:t>
            </w:r>
          </w:p>
        </w:tc>
      </w:tr>
      <w:tr w:rsidR="001129C8" w:rsidRPr="009C5ECD" w14:paraId="09C834CF"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C98F950" w14:textId="77777777" w:rsidR="00E03650" w:rsidRPr="009C5ECD" w:rsidRDefault="00E03650" w:rsidP="00666827">
            <w:pPr>
              <w:jc w:val="center"/>
              <w:rPr>
                <w:color w:val="000000"/>
                <w:sz w:val="20"/>
                <w:szCs w:val="20"/>
              </w:rPr>
            </w:pPr>
            <w:r w:rsidRPr="009C5ECD">
              <w:rPr>
                <w:color w:val="000000"/>
                <w:sz w:val="20"/>
                <w:szCs w:val="20"/>
              </w:rPr>
              <w:t>Red hind</w:t>
            </w:r>
          </w:p>
        </w:tc>
        <w:tc>
          <w:tcPr>
            <w:tcW w:w="0" w:type="auto"/>
            <w:tcBorders>
              <w:top w:val="nil"/>
              <w:left w:val="nil"/>
              <w:bottom w:val="single" w:sz="8" w:space="0" w:color="auto"/>
              <w:right w:val="single" w:sz="8" w:space="0" w:color="auto"/>
            </w:tcBorders>
            <w:shd w:val="clear" w:color="000000" w:fill="B7DEE8"/>
            <w:noWrap/>
            <w:vAlign w:val="center"/>
            <w:hideMark/>
          </w:tcPr>
          <w:p w14:paraId="73A149CD" w14:textId="77777777" w:rsidR="00E03650" w:rsidRPr="009C5ECD" w:rsidRDefault="00E03650" w:rsidP="00666827">
            <w:pPr>
              <w:jc w:val="center"/>
              <w:rPr>
                <w:color w:val="000000"/>
                <w:sz w:val="20"/>
                <w:szCs w:val="20"/>
              </w:rPr>
            </w:pPr>
            <w:r w:rsidRPr="009C5ECD">
              <w:rPr>
                <w:color w:val="000000"/>
                <w:sz w:val="20"/>
                <w:szCs w:val="20"/>
              </w:rPr>
              <w:t>158</w:t>
            </w:r>
          </w:p>
        </w:tc>
        <w:tc>
          <w:tcPr>
            <w:tcW w:w="0" w:type="auto"/>
            <w:tcBorders>
              <w:top w:val="nil"/>
              <w:left w:val="nil"/>
              <w:bottom w:val="single" w:sz="8" w:space="0" w:color="auto"/>
              <w:right w:val="single" w:sz="8" w:space="0" w:color="auto"/>
            </w:tcBorders>
            <w:shd w:val="clear" w:color="000000" w:fill="B7DEE8"/>
            <w:noWrap/>
            <w:vAlign w:val="center"/>
            <w:hideMark/>
          </w:tcPr>
          <w:p w14:paraId="0D993237" w14:textId="77777777" w:rsidR="00E03650" w:rsidRPr="009C5ECD" w:rsidRDefault="00E03650" w:rsidP="00666827">
            <w:pPr>
              <w:jc w:val="center"/>
              <w:rPr>
                <w:color w:val="000000"/>
                <w:sz w:val="20"/>
                <w:szCs w:val="20"/>
              </w:rPr>
            </w:pPr>
            <w:r w:rsidRPr="009C5ECD">
              <w:rPr>
                <w:color w:val="000000"/>
                <w:sz w:val="20"/>
                <w:szCs w:val="20"/>
              </w:rPr>
              <w:t>106</w:t>
            </w:r>
          </w:p>
        </w:tc>
        <w:tc>
          <w:tcPr>
            <w:tcW w:w="0" w:type="auto"/>
            <w:tcBorders>
              <w:top w:val="nil"/>
              <w:left w:val="nil"/>
              <w:bottom w:val="single" w:sz="8" w:space="0" w:color="auto"/>
              <w:right w:val="single" w:sz="8" w:space="0" w:color="auto"/>
            </w:tcBorders>
            <w:shd w:val="clear" w:color="000000" w:fill="B7DEE8"/>
            <w:noWrap/>
            <w:vAlign w:val="center"/>
            <w:hideMark/>
          </w:tcPr>
          <w:p w14:paraId="49281B75" w14:textId="77777777" w:rsidR="00E03650" w:rsidRPr="009C5ECD" w:rsidRDefault="00E03650" w:rsidP="00666827">
            <w:pPr>
              <w:jc w:val="center"/>
              <w:rPr>
                <w:color w:val="000000"/>
                <w:sz w:val="20"/>
                <w:szCs w:val="20"/>
              </w:rPr>
            </w:pPr>
            <w:r w:rsidRPr="009C5ECD">
              <w:rPr>
                <w:color w:val="000000"/>
                <w:sz w:val="20"/>
                <w:szCs w:val="20"/>
              </w:rPr>
              <w:t>67%</w:t>
            </w:r>
          </w:p>
        </w:tc>
        <w:tc>
          <w:tcPr>
            <w:tcW w:w="0" w:type="auto"/>
            <w:tcBorders>
              <w:top w:val="nil"/>
              <w:left w:val="nil"/>
              <w:bottom w:val="single" w:sz="8" w:space="0" w:color="auto"/>
              <w:right w:val="single" w:sz="8" w:space="0" w:color="auto"/>
            </w:tcBorders>
            <w:shd w:val="clear" w:color="000000" w:fill="C5D9F1"/>
            <w:noWrap/>
            <w:vAlign w:val="center"/>
            <w:hideMark/>
          </w:tcPr>
          <w:p w14:paraId="22B2292E" w14:textId="77777777" w:rsidR="00E03650" w:rsidRPr="009C5ECD" w:rsidRDefault="00E03650" w:rsidP="00666827">
            <w:pPr>
              <w:jc w:val="center"/>
              <w:rPr>
                <w:color w:val="000000"/>
                <w:sz w:val="20"/>
                <w:szCs w:val="20"/>
              </w:rPr>
            </w:pPr>
            <w:r w:rsidRPr="009C5ECD">
              <w:rPr>
                <w:color w:val="000000"/>
                <w:sz w:val="20"/>
                <w:szCs w:val="20"/>
              </w:rPr>
              <w:t>152</w:t>
            </w:r>
          </w:p>
        </w:tc>
        <w:tc>
          <w:tcPr>
            <w:tcW w:w="0" w:type="auto"/>
            <w:tcBorders>
              <w:top w:val="nil"/>
              <w:left w:val="nil"/>
              <w:bottom w:val="single" w:sz="8" w:space="0" w:color="auto"/>
              <w:right w:val="single" w:sz="8" w:space="0" w:color="auto"/>
            </w:tcBorders>
            <w:shd w:val="clear" w:color="000000" w:fill="C5D9F1"/>
            <w:noWrap/>
            <w:vAlign w:val="center"/>
            <w:hideMark/>
          </w:tcPr>
          <w:p w14:paraId="27E27CBD" w14:textId="77777777" w:rsidR="00E03650" w:rsidRPr="009C5ECD" w:rsidRDefault="00E03650" w:rsidP="00666827">
            <w:pPr>
              <w:jc w:val="center"/>
              <w:rPr>
                <w:color w:val="000000"/>
                <w:sz w:val="20"/>
                <w:szCs w:val="20"/>
              </w:rPr>
            </w:pPr>
            <w:r w:rsidRPr="009C5ECD">
              <w:rPr>
                <w:color w:val="000000"/>
                <w:sz w:val="20"/>
                <w:szCs w:val="20"/>
              </w:rPr>
              <w:t>43</w:t>
            </w:r>
          </w:p>
        </w:tc>
        <w:tc>
          <w:tcPr>
            <w:tcW w:w="0" w:type="auto"/>
            <w:tcBorders>
              <w:top w:val="nil"/>
              <w:left w:val="nil"/>
              <w:bottom w:val="single" w:sz="8" w:space="0" w:color="auto"/>
              <w:right w:val="single" w:sz="8" w:space="0" w:color="auto"/>
            </w:tcBorders>
            <w:shd w:val="clear" w:color="000000" w:fill="C5D9F1"/>
            <w:noWrap/>
            <w:vAlign w:val="center"/>
            <w:hideMark/>
          </w:tcPr>
          <w:p w14:paraId="36D82CE3" w14:textId="77777777" w:rsidR="00E03650" w:rsidRPr="009C5ECD" w:rsidRDefault="00E03650" w:rsidP="00666827">
            <w:pPr>
              <w:jc w:val="center"/>
              <w:rPr>
                <w:color w:val="000000"/>
                <w:sz w:val="20"/>
                <w:szCs w:val="20"/>
              </w:rPr>
            </w:pPr>
            <w:r w:rsidRPr="009C5ECD">
              <w:rPr>
                <w:color w:val="000000"/>
                <w:sz w:val="20"/>
                <w:szCs w:val="20"/>
              </w:rPr>
              <w:t>28%</w:t>
            </w:r>
          </w:p>
        </w:tc>
        <w:tc>
          <w:tcPr>
            <w:tcW w:w="0" w:type="auto"/>
            <w:tcBorders>
              <w:top w:val="nil"/>
              <w:left w:val="nil"/>
              <w:bottom w:val="single" w:sz="8" w:space="0" w:color="auto"/>
              <w:right w:val="single" w:sz="8" w:space="0" w:color="auto"/>
            </w:tcBorders>
            <w:shd w:val="clear" w:color="000000" w:fill="F2DCDB"/>
            <w:noWrap/>
            <w:vAlign w:val="center"/>
            <w:hideMark/>
          </w:tcPr>
          <w:p w14:paraId="1E3ECC38" w14:textId="77777777" w:rsidR="00E03650" w:rsidRPr="009C5ECD" w:rsidRDefault="00E03650" w:rsidP="00666827">
            <w:pPr>
              <w:jc w:val="center"/>
              <w:rPr>
                <w:color w:val="000000"/>
                <w:sz w:val="20"/>
                <w:szCs w:val="20"/>
              </w:rPr>
            </w:pPr>
            <w:r w:rsidRPr="009C5ECD">
              <w:rPr>
                <w:color w:val="000000"/>
                <w:sz w:val="20"/>
                <w:szCs w:val="20"/>
              </w:rPr>
              <w:t>466</w:t>
            </w:r>
          </w:p>
        </w:tc>
        <w:tc>
          <w:tcPr>
            <w:tcW w:w="0" w:type="auto"/>
            <w:tcBorders>
              <w:top w:val="nil"/>
              <w:left w:val="nil"/>
              <w:bottom w:val="single" w:sz="8" w:space="0" w:color="auto"/>
              <w:right w:val="single" w:sz="8" w:space="0" w:color="auto"/>
            </w:tcBorders>
            <w:shd w:val="clear" w:color="000000" w:fill="F2DCDB"/>
            <w:noWrap/>
            <w:vAlign w:val="center"/>
            <w:hideMark/>
          </w:tcPr>
          <w:p w14:paraId="6A2D4C52" w14:textId="77777777" w:rsidR="00E03650" w:rsidRPr="009C5ECD" w:rsidRDefault="00E03650" w:rsidP="00666827">
            <w:pPr>
              <w:jc w:val="center"/>
              <w:rPr>
                <w:color w:val="000000"/>
                <w:sz w:val="20"/>
                <w:szCs w:val="20"/>
              </w:rPr>
            </w:pPr>
            <w:r w:rsidRPr="009C5ECD">
              <w:rPr>
                <w:color w:val="000000"/>
                <w:sz w:val="20"/>
                <w:szCs w:val="20"/>
              </w:rPr>
              <w:t>185</w:t>
            </w:r>
          </w:p>
        </w:tc>
        <w:tc>
          <w:tcPr>
            <w:tcW w:w="0" w:type="auto"/>
            <w:tcBorders>
              <w:top w:val="nil"/>
              <w:left w:val="nil"/>
              <w:bottom w:val="single" w:sz="8" w:space="0" w:color="auto"/>
              <w:right w:val="single" w:sz="8" w:space="0" w:color="auto"/>
            </w:tcBorders>
            <w:shd w:val="clear" w:color="000000" w:fill="F2DCDB"/>
            <w:noWrap/>
            <w:vAlign w:val="center"/>
            <w:hideMark/>
          </w:tcPr>
          <w:p w14:paraId="66D5C6AB" w14:textId="77777777" w:rsidR="00E03650" w:rsidRPr="009C5ECD" w:rsidRDefault="00E03650" w:rsidP="00666827">
            <w:pPr>
              <w:jc w:val="center"/>
              <w:rPr>
                <w:color w:val="000000"/>
                <w:sz w:val="20"/>
                <w:szCs w:val="20"/>
              </w:rPr>
            </w:pPr>
            <w:r w:rsidRPr="009C5ECD">
              <w:rPr>
                <w:color w:val="000000"/>
                <w:sz w:val="20"/>
                <w:szCs w:val="20"/>
              </w:rPr>
              <w:t>40%</w:t>
            </w:r>
          </w:p>
        </w:tc>
        <w:tc>
          <w:tcPr>
            <w:tcW w:w="0" w:type="auto"/>
            <w:tcBorders>
              <w:top w:val="nil"/>
              <w:left w:val="nil"/>
              <w:bottom w:val="single" w:sz="8" w:space="0" w:color="auto"/>
              <w:right w:val="single" w:sz="8" w:space="0" w:color="auto"/>
            </w:tcBorders>
            <w:shd w:val="clear" w:color="000000" w:fill="D8E4BC"/>
            <w:noWrap/>
            <w:vAlign w:val="center"/>
            <w:hideMark/>
          </w:tcPr>
          <w:p w14:paraId="32338901" w14:textId="77777777" w:rsidR="00E03650" w:rsidRPr="009C5ECD" w:rsidRDefault="00E03650" w:rsidP="00666827">
            <w:pPr>
              <w:jc w:val="center"/>
              <w:rPr>
                <w:color w:val="000000"/>
                <w:sz w:val="20"/>
                <w:szCs w:val="20"/>
              </w:rPr>
            </w:pPr>
            <w:r w:rsidRPr="009C5ECD">
              <w:rPr>
                <w:color w:val="000000"/>
                <w:sz w:val="20"/>
                <w:szCs w:val="20"/>
              </w:rPr>
              <w:t>4,981</w:t>
            </w:r>
          </w:p>
        </w:tc>
        <w:tc>
          <w:tcPr>
            <w:tcW w:w="0" w:type="auto"/>
            <w:tcBorders>
              <w:top w:val="nil"/>
              <w:left w:val="nil"/>
              <w:bottom w:val="single" w:sz="8" w:space="0" w:color="auto"/>
              <w:right w:val="single" w:sz="8" w:space="0" w:color="auto"/>
            </w:tcBorders>
            <w:shd w:val="clear" w:color="000000" w:fill="D8E4BC"/>
            <w:noWrap/>
            <w:vAlign w:val="center"/>
            <w:hideMark/>
          </w:tcPr>
          <w:p w14:paraId="7E1BC101" w14:textId="77777777" w:rsidR="00E03650" w:rsidRPr="009C5ECD" w:rsidRDefault="00E03650" w:rsidP="00666827">
            <w:pPr>
              <w:jc w:val="center"/>
              <w:rPr>
                <w:color w:val="000000"/>
                <w:sz w:val="20"/>
                <w:szCs w:val="20"/>
              </w:rPr>
            </w:pPr>
            <w:r w:rsidRPr="009C5ECD">
              <w:rPr>
                <w:color w:val="000000"/>
                <w:sz w:val="20"/>
                <w:szCs w:val="20"/>
              </w:rPr>
              <w:t>50</w:t>
            </w:r>
          </w:p>
        </w:tc>
      </w:tr>
      <w:tr w:rsidR="001129C8" w:rsidRPr="009C5ECD" w14:paraId="247CA7B4"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09E9CF9" w14:textId="77777777" w:rsidR="00E03650" w:rsidRPr="009C5ECD" w:rsidRDefault="00E03650" w:rsidP="00666827">
            <w:pPr>
              <w:jc w:val="center"/>
              <w:rPr>
                <w:color w:val="000000"/>
                <w:sz w:val="20"/>
                <w:szCs w:val="20"/>
              </w:rPr>
            </w:pPr>
            <w:r w:rsidRPr="009C5ECD">
              <w:rPr>
                <w:color w:val="000000"/>
                <w:sz w:val="20"/>
                <w:szCs w:val="20"/>
              </w:rPr>
              <w:t>Red porgy</w:t>
            </w:r>
          </w:p>
        </w:tc>
        <w:tc>
          <w:tcPr>
            <w:tcW w:w="0" w:type="auto"/>
            <w:tcBorders>
              <w:top w:val="nil"/>
              <w:left w:val="nil"/>
              <w:bottom w:val="single" w:sz="8" w:space="0" w:color="auto"/>
              <w:right w:val="single" w:sz="8" w:space="0" w:color="auto"/>
            </w:tcBorders>
            <w:shd w:val="clear" w:color="000000" w:fill="B7DEE8"/>
            <w:noWrap/>
            <w:vAlign w:val="center"/>
            <w:hideMark/>
          </w:tcPr>
          <w:p w14:paraId="3FF8EA01" w14:textId="77777777" w:rsidR="00E03650" w:rsidRPr="009C5ECD" w:rsidRDefault="00E03650" w:rsidP="00666827">
            <w:pPr>
              <w:jc w:val="center"/>
              <w:rPr>
                <w:color w:val="000000"/>
                <w:sz w:val="20"/>
                <w:szCs w:val="20"/>
              </w:rPr>
            </w:pPr>
            <w:r w:rsidRPr="009C5ECD">
              <w:rPr>
                <w:color w:val="000000"/>
                <w:sz w:val="20"/>
                <w:szCs w:val="20"/>
              </w:rPr>
              <w:t>18,948</w:t>
            </w:r>
          </w:p>
        </w:tc>
        <w:tc>
          <w:tcPr>
            <w:tcW w:w="0" w:type="auto"/>
            <w:tcBorders>
              <w:top w:val="nil"/>
              <w:left w:val="nil"/>
              <w:bottom w:val="single" w:sz="8" w:space="0" w:color="auto"/>
              <w:right w:val="single" w:sz="8" w:space="0" w:color="auto"/>
            </w:tcBorders>
            <w:shd w:val="clear" w:color="000000" w:fill="B7DEE8"/>
            <w:noWrap/>
            <w:vAlign w:val="center"/>
            <w:hideMark/>
          </w:tcPr>
          <w:p w14:paraId="4B35F145" w14:textId="77777777" w:rsidR="00E03650" w:rsidRPr="009C5ECD" w:rsidRDefault="00E03650" w:rsidP="00666827">
            <w:pPr>
              <w:jc w:val="center"/>
              <w:rPr>
                <w:color w:val="000000"/>
                <w:sz w:val="20"/>
                <w:szCs w:val="20"/>
              </w:rPr>
            </w:pPr>
            <w:r w:rsidRPr="009C5ECD">
              <w:rPr>
                <w:color w:val="000000"/>
                <w:sz w:val="20"/>
                <w:szCs w:val="20"/>
              </w:rPr>
              <w:t>16,470</w:t>
            </w:r>
          </w:p>
        </w:tc>
        <w:tc>
          <w:tcPr>
            <w:tcW w:w="0" w:type="auto"/>
            <w:tcBorders>
              <w:top w:val="nil"/>
              <w:left w:val="nil"/>
              <w:bottom w:val="single" w:sz="8" w:space="0" w:color="auto"/>
              <w:right w:val="single" w:sz="8" w:space="0" w:color="auto"/>
            </w:tcBorders>
            <w:shd w:val="clear" w:color="000000" w:fill="B7DEE8"/>
            <w:noWrap/>
            <w:vAlign w:val="center"/>
            <w:hideMark/>
          </w:tcPr>
          <w:p w14:paraId="6F75B3CA" w14:textId="77777777" w:rsidR="00E03650" w:rsidRPr="009C5ECD" w:rsidRDefault="00E03650" w:rsidP="00666827">
            <w:pPr>
              <w:jc w:val="center"/>
              <w:rPr>
                <w:color w:val="000000"/>
                <w:sz w:val="20"/>
                <w:szCs w:val="20"/>
              </w:rPr>
            </w:pPr>
            <w:r w:rsidRPr="009C5ECD">
              <w:rPr>
                <w:color w:val="000000"/>
                <w:sz w:val="20"/>
                <w:szCs w:val="20"/>
              </w:rPr>
              <w:t>87%</w:t>
            </w:r>
          </w:p>
        </w:tc>
        <w:tc>
          <w:tcPr>
            <w:tcW w:w="0" w:type="auto"/>
            <w:tcBorders>
              <w:top w:val="nil"/>
              <w:left w:val="nil"/>
              <w:bottom w:val="single" w:sz="8" w:space="0" w:color="auto"/>
              <w:right w:val="single" w:sz="8" w:space="0" w:color="auto"/>
            </w:tcBorders>
            <w:shd w:val="clear" w:color="000000" w:fill="C5D9F1"/>
            <w:noWrap/>
            <w:vAlign w:val="center"/>
            <w:hideMark/>
          </w:tcPr>
          <w:p w14:paraId="117F306A" w14:textId="77777777" w:rsidR="00E03650" w:rsidRPr="009C5ECD" w:rsidRDefault="00E03650" w:rsidP="00666827">
            <w:pPr>
              <w:jc w:val="center"/>
              <w:rPr>
                <w:color w:val="000000"/>
                <w:sz w:val="20"/>
                <w:szCs w:val="20"/>
              </w:rPr>
            </w:pPr>
            <w:r w:rsidRPr="009C5ECD">
              <w:rPr>
                <w:color w:val="000000"/>
                <w:sz w:val="20"/>
                <w:szCs w:val="20"/>
              </w:rPr>
              <w:t>13,765</w:t>
            </w:r>
          </w:p>
        </w:tc>
        <w:tc>
          <w:tcPr>
            <w:tcW w:w="0" w:type="auto"/>
            <w:tcBorders>
              <w:top w:val="nil"/>
              <w:left w:val="nil"/>
              <w:bottom w:val="single" w:sz="8" w:space="0" w:color="auto"/>
              <w:right w:val="single" w:sz="8" w:space="0" w:color="auto"/>
            </w:tcBorders>
            <w:shd w:val="clear" w:color="000000" w:fill="C5D9F1"/>
            <w:noWrap/>
            <w:vAlign w:val="center"/>
            <w:hideMark/>
          </w:tcPr>
          <w:p w14:paraId="577118DD" w14:textId="77777777" w:rsidR="00E03650" w:rsidRPr="009C5ECD" w:rsidRDefault="00E03650" w:rsidP="00666827">
            <w:pPr>
              <w:jc w:val="center"/>
              <w:rPr>
                <w:color w:val="000000"/>
                <w:sz w:val="20"/>
                <w:szCs w:val="20"/>
              </w:rPr>
            </w:pPr>
            <w:r w:rsidRPr="009C5ECD">
              <w:rPr>
                <w:color w:val="000000"/>
                <w:sz w:val="20"/>
                <w:szCs w:val="20"/>
              </w:rPr>
              <w:t>9,338</w:t>
            </w:r>
          </w:p>
        </w:tc>
        <w:tc>
          <w:tcPr>
            <w:tcW w:w="0" w:type="auto"/>
            <w:tcBorders>
              <w:top w:val="nil"/>
              <w:left w:val="nil"/>
              <w:bottom w:val="single" w:sz="8" w:space="0" w:color="auto"/>
              <w:right w:val="single" w:sz="8" w:space="0" w:color="auto"/>
            </w:tcBorders>
            <w:shd w:val="clear" w:color="000000" w:fill="C5D9F1"/>
            <w:noWrap/>
            <w:vAlign w:val="center"/>
            <w:hideMark/>
          </w:tcPr>
          <w:p w14:paraId="28D3C5A1" w14:textId="77777777" w:rsidR="00E03650" w:rsidRPr="009C5ECD" w:rsidRDefault="00E03650" w:rsidP="00666827">
            <w:pPr>
              <w:jc w:val="center"/>
              <w:rPr>
                <w:color w:val="000000"/>
                <w:sz w:val="20"/>
                <w:szCs w:val="20"/>
              </w:rPr>
            </w:pPr>
            <w:r w:rsidRPr="009C5ECD">
              <w:rPr>
                <w:color w:val="000000"/>
                <w:sz w:val="20"/>
                <w:szCs w:val="20"/>
              </w:rPr>
              <w:t>68%</w:t>
            </w:r>
          </w:p>
        </w:tc>
        <w:tc>
          <w:tcPr>
            <w:tcW w:w="0" w:type="auto"/>
            <w:tcBorders>
              <w:top w:val="nil"/>
              <w:left w:val="nil"/>
              <w:bottom w:val="single" w:sz="8" w:space="0" w:color="auto"/>
              <w:right w:val="single" w:sz="8" w:space="0" w:color="auto"/>
            </w:tcBorders>
            <w:shd w:val="clear" w:color="000000" w:fill="F2DCDB"/>
            <w:noWrap/>
            <w:vAlign w:val="center"/>
            <w:hideMark/>
          </w:tcPr>
          <w:p w14:paraId="5F51882E" w14:textId="77777777" w:rsidR="00E03650" w:rsidRPr="009C5ECD" w:rsidRDefault="00E03650" w:rsidP="00666827">
            <w:pPr>
              <w:jc w:val="center"/>
              <w:rPr>
                <w:color w:val="000000"/>
                <w:sz w:val="20"/>
                <w:szCs w:val="20"/>
              </w:rPr>
            </w:pPr>
            <w:r w:rsidRPr="009C5ECD">
              <w:rPr>
                <w:color w:val="000000"/>
                <w:sz w:val="20"/>
                <w:szCs w:val="20"/>
              </w:rPr>
              <w:t>10,505</w:t>
            </w:r>
          </w:p>
        </w:tc>
        <w:tc>
          <w:tcPr>
            <w:tcW w:w="0" w:type="auto"/>
            <w:tcBorders>
              <w:top w:val="nil"/>
              <w:left w:val="nil"/>
              <w:bottom w:val="single" w:sz="8" w:space="0" w:color="auto"/>
              <w:right w:val="single" w:sz="8" w:space="0" w:color="auto"/>
            </w:tcBorders>
            <w:shd w:val="clear" w:color="000000" w:fill="F2DCDB"/>
            <w:noWrap/>
            <w:vAlign w:val="center"/>
            <w:hideMark/>
          </w:tcPr>
          <w:p w14:paraId="55E22C9E" w14:textId="77777777" w:rsidR="00E03650" w:rsidRPr="009C5ECD" w:rsidRDefault="00E03650" w:rsidP="00666827">
            <w:pPr>
              <w:jc w:val="center"/>
              <w:rPr>
                <w:color w:val="000000"/>
                <w:sz w:val="20"/>
                <w:szCs w:val="20"/>
              </w:rPr>
            </w:pPr>
            <w:r w:rsidRPr="009C5ECD">
              <w:rPr>
                <w:color w:val="000000"/>
                <w:sz w:val="20"/>
                <w:szCs w:val="20"/>
              </w:rPr>
              <w:t>7,733</w:t>
            </w:r>
          </w:p>
        </w:tc>
        <w:tc>
          <w:tcPr>
            <w:tcW w:w="0" w:type="auto"/>
            <w:tcBorders>
              <w:top w:val="nil"/>
              <w:left w:val="nil"/>
              <w:bottom w:val="single" w:sz="8" w:space="0" w:color="auto"/>
              <w:right w:val="single" w:sz="8" w:space="0" w:color="auto"/>
            </w:tcBorders>
            <w:shd w:val="clear" w:color="000000" w:fill="F2DCDB"/>
            <w:noWrap/>
            <w:vAlign w:val="center"/>
            <w:hideMark/>
          </w:tcPr>
          <w:p w14:paraId="60D6966B" w14:textId="77777777" w:rsidR="00E03650" w:rsidRPr="009C5ECD" w:rsidRDefault="00E03650" w:rsidP="00666827">
            <w:pPr>
              <w:jc w:val="center"/>
              <w:rPr>
                <w:color w:val="000000"/>
                <w:sz w:val="20"/>
                <w:szCs w:val="20"/>
              </w:rPr>
            </w:pPr>
            <w:r w:rsidRPr="009C5ECD">
              <w:rPr>
                <w:color w:val="000000"/>
                <w:sz w:val="20"/>
                <w:szCs w:val="20"/>
              </w:rPr>
              <w:t>74%</w:t>
            </w:r>
          </w:p>
        </w:tc>
        <w:tc>
          <w:tcPr>
            <w:tcW w:w="0" w:type="auto"/>
            <w:tcBorders>
              <w:top w:val="nil"/>
              <w:left w:val="nil"/>
              <w:bottom w:val="single" w:sz="8" w:space="0" w:color="auto"/>
              <w:right w:val="single" w:sz="8" w:space="0" w:color="auto"/>
            </w:tcBorders>
            <w:shd w:val="clear" w:color="000000" w:fill="D8E4BC"/>
            <w:noWrap/>
            <w:vAlign w:val="center"/>
            <w:hideMark/>
          </w:tcPr>
          <w:p w14:paraId="23556BBA" w14:textId="77777777" w:rsidR="00E03650" w:rsidRPr="009C5ECD" w:rsidRDefault="00E03650" w:rsidP="00666827">
            <w:pPr>
              <w:jc w:val="center"/>
              <w:rPr>
                <w:color w:val="000000"/>
                <w:sz w:val="20"/>
                <w:szCs w:val="20"/>
              </w:rPr>
            </w:pPr>
            <w:r w:rsidRPr="009C5ECD">
              <w:rPr>
                <w:color w:val="000000"/>
                <w:sz w:val="20"/>
                <w:szCs w:val="20"/>
              </w:rPr>
              <w:t>165,716</w:t>
            </w:r>
          </w:p>
        </w:tc>
        <w:tc>
          <w:tcPr>
            <w:tcW w:w="0" w:type="auto"/>
            <w:tcBorders>
              <w:top w:val="nil"/>
              <w:left w:val="nil"/>
              <w:bottom w:val="single" w:sz="8" w:space="0" w:color="auto"/>
              <w:right w:val="single" w:sz="8" w:space="0" w:color="auto"/>
            </w:tcBorders>
            <w:shd w:val="clear" w:color="000000" w:fill="D8E4BC"/>
            <w:noWrap/>
            <w:vAlign w:val="center"/>
            <w:hideMark/>
          </w:tcPr>
          <w:p w14:paraId="1F1284C8" w14:textId="77777777" w:rsidR="00E03650" w:rsidRPr="009C5ECD" w:rsidRDefault="00E03650" w:rsidP="00666827">
            <w:pPr>
              <w:jc w:val="center"/>
              <w:rPr>
                <w:color w:val="000000"/>
                <w:sz w:val="20"/>
                <w:szCs w:val="20"/>
              </w:rPr>
            </w:pPr>
            <w:r w:rsidRPr="009C5ECD">
              <w:rPr>
                <w:color w:val="000000"/>
                <w:sz w:val="20"/>
                <w:szCs w:val="20"/>
              </w:rPr>
              <w:t>10,120</w:t>
            </w:r>
          </w:p>
        </w:tc>
      </w:tr>
      <w:tr w:rsidR="001129C8" w:rsidRPr="009C5ECD" w14:paraId="63CB3AC6"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D3A5CF6" w14:textId="77777777" w:rsidR="00E03650" w:rsidRPr="009C5ECD" w:rsidRDefault="00E03650" w:rsidP="00666827">
            <w:pPr>
              <w:jc w:val="center"/>
              <w:rPr>
                <w:color w:val="000000"/>
                <w:sz w:val="20"/>
                <w:szCs w:val="20"/>
              </w:rPr>
            </w:pPr>
            <w:r w:rsidRPr="009C5ECD">
              <w:rPr>
                <w:color w:val="000000"/>
                <w:sz w:val="20"/>
                <w:szCs w:val="20"/>
              </w:rPr>
              <w:t>Red snapper</w:t>
            </w:r>
          </w:p>
        </w:tc>
        <w:tc>
          <w:tcPr>
            <w:tcW w:w="0" w:type="auto"/>
            <w:tcBorders>
              <w:top w:val="nil"/>
              <w:left w:val="nil"/>
              <w:bottom w:val="single" w:sz="8" w:space="0" w:color="auto"/>
              <w:right w:val="single" w:sz="8" w:space="0" w:color="auto"/>
            </w:tcBorders>
            <w:shd w:val="clear" w:color="000000" w:fill="B7DEE8"/>
            <w:noWrap/>
            <w:vAlign w:val="center"/>
            <w:hideMark/>
          </w:tcPr>
          <w:p w14:paraId="230D2887" w14:textId="77777777" w:rsidR="00E03650" w:rsidRPr="009C5ECD" w:rsidRDefault="00E03650" w:rsidP="00666827">
            <w:pPr>
              <w:jc w:val="center"/>
              <w:rPr>
                <w:color w:val="000000"/>
                <w:sz w:val="20"/>
                <w:szCs w:val="20"/>
              </w:rPr>
            </w:pPr>
            <w:r w:rsidRPr="009C5ECD">
              <w:rPr>
                <w:color w:val="000000"/>
                <w:sz w:val="20"/>
                <w:szCs w:val="20"/>
              </w:rPr>
              <w:t>1,743</w:t>
            </w:r>
          </w:p>
        </w:tc>
        <w:tc>
          <w:tcPr>
            <w:tcW w:w="0" w:type="auto"/>
            <w:tcBorders>
              <w:top w:val="nil"/>
              <w:left w:val="nil"/>
              <w:bottom w:val="single" w:sz="8" w:space="0" w:color="auto"/>
              <w:right w:val="single" w:sz="8" w:space="0" w:color="auto"/>
            </w:tcBorders>
            <w:shd w:val="clear" w:color="000000" w:fill="B7DEE8"/>
            <w:noWrap/>
            <w:vAlign w:val="center"/>
            <w:hideMark/>
          </w:tcPr>
          <w:p w14:paraId="4AD890BE" w14:textId="77777777" w:rsidR="00E03650" w:rsidRPr="009C5ECD" w:rsidRDefault="00E03650" w:rsidP="00666827">
            <w:pPr>
              <w:jc w:val="center"/>
              <w:rPr>
                <w:color w:val="000000"/>
                <w:sz w:val="20"/>
                <w:szCs w:val="20"/>
              </w:rPr>
            </w:pPr>
            <w:r w:rsidRPr="009C5ECD">
              <w:rPr>
                <w:color w:val="000000"/>
                <w:sz w:val="20"/>
                <w:szCs w:val="20"/>
              </w:rPr>
              <w:t>47,409</w:t>
            </w:r>
          </w:p>
        </w:tc>
        <w:tc>
          <w:tcPr>
            <w:tcW w:w="0" w:type="auto"/>
            <w:tcBorders>
              <w:top w:val="nil"/>
              <w:left w:val="nil"/>
              <w:bottom w:val="single" w:sz="8" w:space="0" w:color="auto"/>
              <w:right w:val="single" w:sz="8" w:space="0" w:color="auto"/>
            </w:tcBorders>
            <w:shd w:val="clear" w:color="000000" w:fill="B7DEE8"/>
            <w:noWrap/>
            <w:vAlign w:val="center"/>
            <w:hideMark/>
          </w:tcPr>
          <w:p w14:paraId="7135B0B9" w14:textId="77777777" w:rsidR="00E03650" w:rsidRPr="009C5ECD" w:rsidRDefault="00E03650" w:rsidP="00666827">
            <w:pPr>
              <w:jc w:val="center"/>
              <w:rPr>
                <w:color w:val="000000"/>
                <w:sz w:val="20"/>
                <w:szCs w:val="20"/>
              </w:rPr>
            </w:pPr>
            <w:r w:rsidRPr="009C5ECD">
              <w:rPr>
                <w:color w:val="000000"/>
                <w:sz w:val="20"/>
                <w:szCs w:val="20"/>
              </w:rPr>
              <w:t>2,719%</w:t>
            </w:r>
          </w:p>
        </w:tc>
        <w:tc>
          <w:tcPr>
            <w:tcW w:w="0" w:type="auto"/>
            <w:tcBorders>
              <w:top w:val="nil"/>
              <w:left w:val="nil"/>
              <w:bottom w:val="single" w:sz="8" w:space="0" w:color="auto"/>
              <w:right w:val="single" w:sz="8" w:space="0" w:color="auto"/>
            </w:tcBorders>
            <w:shd w:val="clear" w:color="000000" w:fill="C5D9F1"/>
            <w:noWrap/>
            <w:vAlign w:val="center"/>
            <w:hideMark/>
          </w:tcPr>
          <w:p w14:paraId="33C99208" w14:textId="77777777" w:rsidR="00E03650" w:rsidRPr="009C5ECD" w:rsidRDefault="00E03650" w:rsidP="00666827">
            <w:pPr>
              <w:jc w:val="center"/>
              <w:rPr>
                <w:color w:val="000000"/>
                <w:sz w:val="20"/>
                <w:szCs w:val="20"/>
              </w:rPr>
            </w:pPr>
            <w:r w:rsidRPr="009C5ECD">
              <w:rPr>
                <w:color w:val="000000"/>
                <w:sz w:val="20"/>
                <w:szCs w:val="20"/>
              </w:rPr>
              <w:t>1,987</w:t>
            </w:r>
          </w:p>
        </w:tc>
        <w:tc>
          <w:tcPr>
            <w:tcW w:w="0" w:type="auto"/>
            <w:tcBorders>
              <w:top w:val="nil"/>
              <w:left w:val="nil"/>
              <w:bottom w:val="single" w:sz="8" w:space="0" w:color="auto"/>
              <w:right w:val="single" w:sz="8" w:space="0" w:color="auto"/>
            </w:tcBorders>
            <w:shd w:val="clear" w:color="000000" w:fill="C5D9F1"/>
            <w:noWrap/>
            <w:vAlign w:val="center"/>
            <w:hideMark/>
          </w:tcPr>
          <w:p w14:paraId="56F41B3D" w14:textId="77777777" w:rsidR="00E03650" w:rsidRPr="009C5ECD" w:rsidRDefault="00E03650" w:rsidP="00666827">
            <w:pPr>
              <w:jc w:val="center"/>
              <w:rPr>
                <w:color w:val="000000"/>
                <w:sz w:val="20"/>
                <w:szCs w:val="20"/>
              </w:rPr>
            </w:pPr>
            <w:r w:rsidRPr="009C5ECD">
              <w:rPr>
                <w:color w:val="000000"/>
                <w:sz w:val="20"/>
                <w:szCs w:val="20"/>
              </w:rPr>
              <w:t>34,682</w:t>
            </w:r>
          </w:p>
        </w:tc>
        <w:tc>
          <w:tcPr>
            <w:tcW w:w="0" w:type="auto"/>
            <w:tcBorders>
              <w:top w:val="nil"/>
              <w:left w:val="nil"/>
              <w:bottom w:val="single" w:sz="8" w:space="0" w:color="auto"/>
              <w:right w:val="single" w:sz="8" w:space="0" w:color="auto"/>
            </w:tcBorders>
            <w:shd w:val="clear" w:color="000000" w:fill="C5D9F1"/>
            <w:noWrap/>
            <w:vAlign w:val="center"/>
            <w:hideMark/>
          </w:tcPr>
          <w:p w14:paraId="6DC5E74C" w14:textId="77777777" w:rsidR="00E03650" w:rsidRPr="009C5ECD" w:rsidRDefault="00E03650" w:rsidP="00666827">
            <w:pPr>
              <w:jc w:val="center"/>
              <w:rPr>
                <w:color w:val="000000"/>
                <w:sz w:val="20"/>
                <w:szCs w:val="20"/>
              </w:rPr>
            </w:pPr>
            <w:r w:rsidRPr="009C5ECD">
              <w:rPr>
                <w:color w:val="000000"/>
                <w:sz w:val="20"/>
                <w:szCs w:val="20"/>
              </w:rPr>
              <w:t>1,745%</w:t>
            </w:r>
          </w:p>
        </w:tc>
        <w:tc>
          <w:tcPr>
            <w:tcW w:w="0" w:type="auto"/>
            <w:tcBorders>
              <w:top w:val="nil"/>
              <w:left w:val="nil"/>
              <w:bottom w:val="single" w:sz="8" w:space="0" w:color="auto"/>
              <w:right w:val="single" w:sz="8" w:space="0" w:color="auto"/>
            </w:tcBorders>
            <w:shd w:val="clear" w:color="000000" w:fill="F2DCDB"/>
            <w:noWrap/>
            <w:vAlign w:val="center"/>
            <w:hideMark/>
          </w:tcPr>
          <w:p w14:paraId="5C473D47" w14:textId="77777777" w:rsidR="00E03650" w:rsidRPr="009C5ECD" w:rsidRDefault="00E03650" w:rsidP="00666827">
            <w:pPr>
              <w:jc w:val="center"/>
              <w:rPr>
                <w:color w:val="000000"/>
                <w:sz w:val="20"/>
                <w:szCs w:val="20"/>
              </w:rPr>
            </w:pPr>
            <w:r w:rsidRPr="009C5ECD">
              <w:rPr>
                <w:color w:val="000000"/>
                <w:sz w:val="20"/>
                <w:szCs w:val="20"/>
              </w:rPr>
              <w:t>21,316</w:t>
            </w:r>
          </w:p>
        </w:tc>
        <w:tc>
          <w:tcPr>
            <w:tcW w:w="0" w:type="auto"/>
            <w:tcBorders>
              <w:top w:val="nil"/>
              <w:left w:val="nil"/>
              <w:bottom w:val="single" w:sz="8" w:space="0" w:color="auto"/>
              <w:right w:val="single" w:sz="8" w:space="0" w:color="auto"/>
            </w:tcBorders>
            <w:shd w:val="clear" w:color="000000" w:fill="F2DCDB"/>
            <w:noWrap/>
            <w:vAlign w:val="center"/>
            <w:hideMark/>
          </w:tcPr>
          <w:p w14:paraId="3406B193" w14:textId="77777777" w:rsidR="00E03650" w:rsidRPr="009C5ECD" w:rsidRDefault="00E03650" w:rsidP="00666827">
            <w:pPr>
              <w:jc w:val="center"/>
              <w:rPr>
                <w:color w:val="000000"/>
                <w:sz w:val="20"/>
                <w:szCs w:val="20"/>
              </w:rPr>
            </w:pPr>
            <w:r w:rsidRPr="009C5ECD">
              <w:rPr>
                <w:color w:val="000000"/>
                <w:sz w:val="20"/>
                <w:szCs w:val="20"/>
              </w:rPr>
              <w:t>173,302</w:t>
            </w:r>
          </w:p>
        </w:tc>
        <w:tc>
          <w:tcPr>
            <w:tcW w:w="0" w:type="auto"/>
            <w:tcBorders>
              <w:top w:val="nil"/>
              <w:left w:val="nil"/>
              <w:bottom w:val="single" w:sz="8" w:space="0" w:color="auto"/>
              <w:right w:val="single" w:sz="8" w:space="0" w:color="auto"/>
            </w:tcBorders>
            <w:shd w:val="clear" w:color="000000" w:fill="F2DCDB"/>
            <w:noWrap/>
            <w:vAlign w:val="center"/>
            <w:hideMark/>
          </w:tcPr>
          <w:p w14:paraId="7FD713A3" w14:textId="77777777" w:rsidR="00E03650" w:rsidRPr="009C5ECD" w:rsidRDefault="00E03650" w:rsidP="00666827">
            <w:pPr>
              <w:jc w:val="center"/>
              <w:rPr>
                <w:color w:val="000000"/>
                <w:sz w:val="20"/>
                <w:szCs w:val="20"/>
              </w:rPr>
            </w:pPr>
            <w:r w:rsidRPr="009C5ECD">
              <w:rPr>
                <w:color w:val="000000"/>
                <w:sz w:val="20"/>
                <w:szCs w:val="20"/>
              </w:rPr>
              <w:t>813%</w:t>
            </w:r>
          </w:p>
        </w:tc>
        <w:tc>
          <w:tcPr>
            <w:tcW w:w="0" w:type="auto"/>
            <w:tcBorders>
              <w:top w:val="nil"/>
              <w:left w:val="nil"/>
              <w:bottom w:val="single" w:sz="8" w:space="0" w:color="auto"/>
              <w:right w:val="single" w:sz="8" w:space="0" w:color="auto"/>
            </w:tcBorders>
            <w:shd w:val="clear" w:color="000000" w:fill="D8E4BC"/>
            <w:noWrap/>
            <w:vAlign w:val="center"/>
            <w:hideMark/>
          </w:tcPr>
          <w:p w14:paraId="7919601A" w14:textId="77777777" w:rsidR="00E03650" w:rsidRPr="009C5ECD" w:rsidRDefault="00E03650" w:rsidP="00666827">
            <w:pPr>
              <w:jc w:val="center"/>
              <w:rPr>
                <w:color w:val="000000"/>
                <w:sz w:val="20"/>
                <w:szCs w:val="20"/>
              </w:rPr>
            </w:pPr>
            <w:r w:rsidRPr="009C5ECD">
              <w:rPr>
                <w:color w:val="000000"/>
                <w:sz w:val="20"/>
                <w:szCs w:val="20"/>
              </w:rPr>
              <w:t>20,695</w:t>
            </w:r>
          </w:p>
        </w:tc>
        <w:tc>
          <w:tcPr>
            <w:tcW w:w="0" w:type="auto"/>
            <w:tcBorders>
              <w:top w:val="nil"/>
              <w:left w:val="nil"/>
              <w:bottom w:val="single" w:sz="8" w:space="0" w:color="auto"/>
              <w:right w:val="single" w:sz="8" w:space="0" w:color="auto"/>
            </w:tcBorders>
            <w:shd w:val="clear" w:color="000000" w:fill="D8E4BC"/>
            <w:noWrap/>
            <w:vAlign w:val="center"/>
            <w:hideMark/>
          </w:tcPr>
          <w:p w14:paraId="5D88CA71" w14:textId="77777777" w:rsidR="00E03650" w:rsidRPr="009C5ECD" w:rsidRDefault="00E03650" w:rsidP="00666827">
            <w:pPr>
              <w:jc w:val="center"/>
              <w:rPr>
                <w:color w:val="000000"/>
                <w:sz w:val="20"/>
                <w:szCs w:val="20"/>
              </w:rPr>
            </w:pPr>
            <w:r w:rsidRPr="009C5ECD">
              <w:rPr>
                <w:color w:val="000000"/>
                <w:sz w:val="20"/>
                <w:szCs w:val="20"/>
              </w:rPr>
              <w:t>14,100</w:t>
            </w:r>
          </w:p>
        </w:tc>
      </w:tr>
      <w:tr w:rsidR="001129C8" w:rsidRPr="009C5ECD" w14:paraId="76B81203"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69AA316" w14:textId="77777777" w:rsidR="00E03650" w:rsidRPr="009C5ECD" w:rsidRDefault="00E03650" w:rsidP="00666827">
            <w:pPr>
              <w:jc w:val="center"/>
              <w:rPr>
                <w:color w:val="000000"/>
                <w:sz w:val="20"/>
                <w:szCs w:val="20"/>
              </w:rPr>
            </w:pPr>
            <w:r w:rsidRPr="009C5ECD">
              <w:rPr>
                <w:color w:val="000000"/>
                <w:sz w:val="20"/>
                <w:szCs w:val="20"/>
              </w:rPr>
              <w:t>Rock hind</w:t>
            </w:r>
          </w:p>
        </w:tc>
        <w:tc>
          <w:tcPr>
            <w:tcW w:w="0" w:type="auto"/>
            <w:tcBorders>
              <w:top w:val="nil"/>
              <w:left w:val="nil"/>
              <w:bottom w:val="single" w:sz="8" w:space="0" w:color="auto"/>
              <w:right w:val="single" w:sz="8" w:space="0" w:color="auto"/>
            </w:tcBorders>
            <w:shd w:val="clear" w:color="000000" w:fill="B7DEE8"/>
            <w:noWrap/>
            <w:vAlign w:val="center"/>
            <w:hideMark/>
          </w:tcPr>
          <w:p w14:paraId="756F3EB5" w14:textId="77777777" w:rsidR="00E03650" w:rsidRPr="009C5ECD" w:rsidRDefault="00E03650" w:rsidP="00666827">
            <w:pPr>
              <w:jc w:val="center"/>
              <w:rPr>
                <w:color w:val="000000"/>
                <w:sz w:val="20"/>
                <w:szCs w:val="20"/>
              </w:rPr>
            </w:pPr>
            <w:r w:rsidRPr="009C5ECD">
              <w:rPr>
                <w:color w:val="000000"/>
                <w:sz w:val="20"/>
                <w:szCs w:val="20"/>
              </w:rPr>
              <w:t>1,411</w:t>
            </w:r>
          </w:p>
        </w:tc>
        <w:tc>
          <w:tcPr>
            <w:tcW w:w="0" w:type="auto"/>
            <w:tcBorders>
              <w:top w:val="nil"/>
              <w:left w:val="nil"/>
              <w:bottom w:val="single" w:sz="8" w:space="0" w:color="auto"/>
              <w:right w:val="single" w:sz="8" w:space="0" w:color="auto"/>
            </w:tcBorders>
            <w:shd w:val="clear" w:color="000000" w:fill="B7DEE8"/>
            <w:noWrap/>
            <w:vAlign w:val="center"/>
            <w:hideMark/>
          </w:tcPr>
          <w:p w14:paraId="47C59D0A" w14:textId="77777777" w:rsidR="00E03650" w:rsidRPr="009C5ECD" w:rsidRDefault="00E03650" w:rsidP="00666827">
            <w:pPr>
              <w:jc w:val="center"/>
              <w:rPr>
                <w:color w:val="000000"/>
                <w:sz w:val="20"/>
                <w:szCs w:val="20"/>
              </w:rPr>
            </w:pPr>
            <w:r w:rsidRPr="009C5ECD">
              <w:rPr>
                <w:color w:val="000000"/>
                <w:sz w:val="20"/>
                <w:szCs w:val="20"/>
              </w:rPr>
              <w:t>1,042</w:t>
            </w:r>
          </w:p>
        </w:tc>
        <w:tc>
          <w:tcPr>
            <w:tcW w:w="0" w:type="auto"/>
            <w:tcBorders>
              <w:top w:val="nil"/>
              <w:left w:val="nil"/>
              <w:bottom w:val="single" w:sz="8" w:space="0" w:color="auto"/>
              <w:right w:val="single" w:sz="8" w:space="0" w:color="auto"/>
            </w:tcBorders>
            <w:shd w:val="clear" w:color="000000" w:fill="B7DEE8"/>
            <w:noWrap/>
            <w:vAlign w:val="center"/>
            <w:hideMark/>
          </w:tcPr>
          <w:p w14:paraId="03266912" w14:textId="77777777" w:rsidR="00E03650" w:rsidRPr="009C5ECD" w:rsidRDefault="00E03650" w:rsidP="00666827">
            <w:pPr>
              <w:jc w:val="center"/>
              <w:rPr>
                <w:color w:val="000000"/>
                <w:sz w:val="20"/>
                <w:szCs w:val="20"/>
              </w:rPr>
            </w:pPr>
            <w:r w:rsidRPr="009C5ECD">
              <w:rPr>
                <w:color w:val="000000"/>
                <w:sz w:val="20"/>
                <w:szCs w:val="20"/>
              </w:rPr>
              <w:t>74%</w:t>
            </w:r>
          </w:p>
        </w:tc>
        <w:tc>
          <w:tcPr>
            <w:tcW w:w="0" w:type="auto"/>
            <w:tcBorders>
              <w:top w:val="nil"/>
              <w:left w:val="nil"/>
              <w:bottom w:val="single" w:sz="8" w:space="0" w:color="auto"/>
              <w:right w:val="single" w:sz="8" w:space="0" w:color="auto"/>
            </w:tcBorders>
            <w:shd w:val="clear" w:color="000000" w:fill="C5D9F1"/>
            <w:noWrap/>
            <w:vAlign w:val="center"/>
            <w:hideMark/>
          </w:tcPr>
          <w:p w14:paraId="7399823F" w14:textId="77777777" w:rsidR="00E03650" w:rsidRPr="009C5ECD" w:rsidRDefault="00E03650" w:rsidP="00666827">
            <w:pPr>
              <w:jc w:val="center"/>
              <w:rPr>
                <w:color w:val="000000"/>
                <w:sz w:val="20"/>
                <w:szCs w:val="20"/>
              </w:rPr>
            </w:pPr>
            <w:r w:rsidRPr="009C5ECD">
              <w:rPr>
                <w:color w:val="000000"/>
                <w:sz w:val="20"/>
                <w:szCs w:val="20"/>
              </w:rPr>
              <w:t>100</w:t>
            </w:r>
          </w:p>
        </w:tc>
        <w:tc>
          <w:tcPr>
            <w:tcW w:w="0" w:type="auto"/>
            <w:tcBorders>
              <w:top w:val="nil"/>
              <w:left w:val="nil"/>
              <w:bottom w:val="single" w:sz="8" w:space="0" w:color="auto"/>
              <w:right w:val="single" w:sz="8" w:space="0" w:color="auto"/>
            </w:tcBorders>
            <w:shd w:val="clear" w:color="000000" w:fill="C5D9F1"/>
            <w:noWrap/>
            <w:vAlign w:val="center"/>
            <w:hideMark/>
          </w:tcPr>
          <w:p w14:paraId="63269942" w14:textId="77777777" w:rsidR="00E03650" w:rsidRPr="009C5ECD" w:rsidRDefault="00E03650" w:rsidP="00666827">
            <w:pPr>
              <w:jc w:val="center"/>
              <w:rPr>
                <w:color w:val="000000"/>
                <w:sz w:val="20"/>
                <w:szCs w:val="20"/>
              </w:rPr>
            </w:pPr>
            <w:r w:rsidRPr="009C5ECD">
              <w:rPr>
                <w:color w:val="000000"/>
                <w:sz w:val="20"/>
                <w:szCs w:val="20"/>
              </w:rPr>
              <w:t>18</w:t>
            </w:r>
          </w:p>
        </w:tc>
        <w:tc>
          <w:tcPr>
            <w:tcW w:w="0" w:type="auto"/>
            <w:tcBorders>
              <w:top w:val="nil"/>
              <w:left w:val="nil"/>
              <w:bottom w:val="single" w:sz="8" w:space="0" w:color="auto"/>
              <w:right w:val="single" w:sz="8" w:space="0" w:color="auto"/>
            </w:tcBorders>
            <w:shd w:val="clear" w:color="000000" w:fill="C5D9F1"/>
            <w:noWrap/>
            <w:vAlign w:val="center"/>
            <w:hideMark/>
          </w:tcPr>
          <w:p w14:paraId="5AD258CF" w14:textId="77777777" w:rsidR="00E03650" w:rsidRPr="009C5ECD" w:rsidRDefault="00E03650" w:rsidP="00666827">
            <w:pPr>
              <w:jc w:val="center"/>
              <w:rPr>
                <w:color w:val="000000"/>
                <w:sz w:val="20"/>
                <w:szCs w:val="20"/>
              </w:rPr>
            </w:pPr>
            <w:r w:rsidRPr="009C5ECD">
              <w:rPr>
                <w:color w:val="000000"/>
                <w:sz w:val="20"/>
                <w:szCs w:val="20"/>
              </w:rPr>
              <w:t>18%</w:t>
            </w:r>
          </w:p>
        </w:tc>
        <w:tc>
          <w:tcPr>
            <w:tcW w:w="0" w:type="auto"/>
            <w:tcBorders>
              <w:top w:val="nil"/>
              <w:left w:val="nil"/>
              <w:bottom w:val="single" w:sz="8" w:space="0" w:color="auto"/>
              <w:right w:val="single" w:sz="8" w:space="0" w:color="auto"/>
            </w:tcBorders>
            <w:shd w:val="clear" w:color="000000" w:fill="F2DCDB"/>
            <w:noWrap/>
            <w:vAlign w:val="center"/>
            <w:hideMark/>
          </w:tcPr>
          <w:p w14:paraId="52A5E340" w14:textId="77777777" w:rsidR="00E03650" w:rsidRPr="009C5ECD" w:rsidRDefault="00E03650" w:rsidP="00666827">
            <w:pPr>
              <w:jc w:val="center"/>
              <w:rPr>
                <w:color w:val="000000"/>
                <w:sz w:val="20"/>
                <w:szCs w:val="20"/>
              </w:rPr>
            </w:pPr>
            <w:r w:rsidRPr="009C5ECD">
              <w:rPr>
                <w:color w:val="000000"/>
                <w:sz w:val="20"/>
                <w:szCs w:val="20"/>
              </w:rPr>
              <w:t>798</w:t>
            </w:r>
          </w:p>
        </w:tc>
        <w:tc>
          <w:tcPr>
            <w:tcW w:w="0" w:type="auto"/>
            <w:tcBorders>
              <w:top w:val="nil"/>
              <w:left w:val="nil"/>
              <w:bottom w:val="single" w:sz="8" w:space="0" w:color="auto"/>
              <w:right w:val="single" w:sz="8" w:space="0" w:color="auto"/>
            </w:tcBorders>
            <w:shd w:val="clear" w:color="000000" w:fill="F2DCDB"/>
            <w:noWrap/>
            <w:vAlign w:val="center"/>
            <w:hideMark/>
          </w:tcPr>
          <w:p w14:paraId="410BF73A" w14:textId="77777777" w:rsidR="00E03650" w:rsidRPr="009C5ECD" w:rsidRDefault="00E03650" w:rsidP="00666827">
            <w:pPr>
              <w:jc w:val="center"/>
              <w:rPr>
                <w:color w:val="000000"/>
                <w:sz w:val="20"/>
                <w:szCs w:val="20"/>
              </w:rPr>
            </w:pPr>
            <w:r w:rsidRPr="009C5ECD">
              <w:rPr>
                <w:color w:val="000000"/>
                <w:sz w:val="20"/>
                <w:szCs w:val="20"/>
              </w:rPr>
              <w:t>2,595</w:t>
            </w:r>
          </w:p>
        </w:tc>
        <w:tc>
          <w:tcPr>
            <w:tcW w:w="0" w:type="auto"/>
            <w:tcBorders>
              <w:top w:val="nil"/>
              <w:left w:val="nil"/>
              <w:bottom w:val="single" w:sz="8" w:space="0" w:color="auto"/>
              <w:right w:val="single" w:sz="8" w:space="0" w:color="auto"/>
            </w:tcBorders>
            <w:shd w:val="clear" w:color="000000" w:fill="F2DCDB"/>
            <w:noWrap/>
            <w:vAlign w:val="center"/>
            <w:hideMark/>
          </w:tcPr>
          <w:p w14:paraId="031831E8" w14:textId="77777777" w:rsidR="00E03650" w:rsidRPr="009C5ECD" w:rsidRDefault="00E03650" w:rsidP="00666827">
            <w:pPr>
              <w:jc w:val="center"/>
              <w:rPr>
                <w:color w:val="000000"/>
                <w:sz w:val="20"/>
                <w:szCs w:val="20"/>
              </w:rPr>
            </w:pPr>
            <w:r w:rsidRPr="009C5ECD">
              <w:rPr>
                <w:color w:val="000000"/>
                <w:sz w:val="20"/>
                <w:szCs w:val="20"/>
              </w:rPr>
              <w:t>325%</w:t>
            </w:r>
          </w:p>
        </w:tc>
        <w:tc>
          <w:tcPr>
            <w:tcW w:w="0" w:type="auto"/>
            <w:tcBorders>
              <w:top w:val="nil"/>
              <w:left w:val="nil"/>
              <w:bottom w:val="single" w:sz="8" w:space="0" w:color="auto"/>
              <w:right w:val="single" w:sz="8" w:space="0" w:color="auto"/>
            </w:tcBorders>
            <w:shd w:val="clear" w:color="000000" w:fill="D8E4BC"/>
            <w:noWrap/>
            <w:vAlign w:val="center"/>
            <w:hideMark/>
          </w:tcPr>
          <w:p w14:paraId="523F4FD8" w14:textId="77777777" w:rsidR="00E03650" w:rsidRPr="009C5ECD" w:rsidRDefault="00E03650" w:rsidP="00666827">
            <w:pPr>
              <w:jc w:val="center"/>
              <w:rPr>
                <w:color w:val="000000"/>
                <w:sz w:val="20"/>
                <w:szCs w:val="20"/>
              </w:rPr>
            </w:pPr>
            <w:r w:rsidRPr="009C5ECD">
              <w:rPr>
                <w:color w:val="000000"/>
                <w:sz w:val="20"/>
                <w:szCs w:val="20"/>
              </w:rPr>
              <w:t>8,773</w:t>
            </w:r>
          </w:p>
        </w:tc>
        <w:tc>
          <w:tcPr>
            <w:tcW w:w="0" w:type="auto"/>
            <w:tcBorders>
              <w:top w:val="nil"/>
              <w:left w:val="nil"/>
              <w:bottom w:val="single" w:sz="8" w:space="0" w:color="auto"/>
              <w:right w:val="single" w:sz="8" w:space="0" w:color="auto"/>
            </w:tcBorders>
            <w:shd w:val="clear" w:color="000000" w:fill="D8E4BC"/>
            <w:noWrap/>
            <w:vAlign w:val="center"/>
            <w:hideMark/>
          </w:tcPr>
          <w:p w14:paraId="61E70502" w14:textId="77777777" w:rsidR="00E03650" w:rsidRPr="009C5ECD" w:rsidRDefault="00E03650" w:rsidP="00666827">
            <w:pPr>
              <w:jc w:val="center"/>
              <w:rPr>
                <w:color w:val="000000"/>
                <w:sz w:val="20"/>
                <w:szCs w:val="20"/>
              </w:rPr>
            </w:pPr>
            <w:r w:rsidRPr="009C5ECD">
              <w:rPr>
                <w:color w:val="000000"/>
                <w:sz w:val="20"/>
                <w:szCs w:val="20"/>
              </w:rPr>
              <w:t>24</w:t>
            </w:r>
          </w:p>
        </w:tc>
      </w:tr>
      <w:tr w:rsidR="001129C8" w:rsidRPr="009C5ECD" w14:paraId="604BB715"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E97F9B3" w14:textId="77777777" w:rsidR="00E03650" w:rsidRPr="009C5ECD" w:rsidRDefault="00E03650" w:rsidP="00666827">
            <w:pPr>
              <w:jc w:val="center"/>
              <w:rPr>
                <w:color w:val="000000"/>
                <w:sz w:val="20"/>
                <w:szCs w:val="20"/>
              </w:rPr>
            </w:pPr>
            <w:r w:rsidRPr="009C5ECD">
              <w:rPr>
                <w:color w:val="000000"/>
                <w:sz w:val="20"/>
                <w:szCs w:val="20"/>
              </w:rPr>
              <w:t>Sailors choice</w:t>
            </w:r>
          </w:p>
        </w:tc>
        <w:tc>
          <w:tcPr>
            <w:tcW w:w="0" w:type="auto"/>
            <w:tcBorders>
              <w:top w:val="nil"/>
              <w:left w:val="nil"/>
              <w:bottom w:val="single" w:sz="8" w:space="0" w:color="auto"/>
              <w:right w:val="single" w:sz="8" w:space="0" w:color="auto"/>
            </w:tcBorders>
            <w:shd w:val="clear" w:color="000000" w:fill="B7DEE8"/>
            <w:noWrap/>
            <w:vAlign w:val="center"/>
            <w:hideMark/>
          </w:tcPr>
          <w:p w14:paraId="7752FE33" w14:textId="77777777" w:rsidR="00E03650" w:rsidRPr="009C5ECD" w:rsidRDefault="00E03650" w:rsidP="00666827">
            <w:pPr>
              <w:jc w:val="center"/>
              <w:rPr>
                <w:color w:val="000000"/>
                <w:sz w:val="20"/>
                <w:szCs w:val="20"/>
              </w:rPr>
            </w:pPr>
            <w:r w:rsidRPr="009C5ECD">
              <w:rPr>
                <w:color w:val="000000"/>
                <w:sz w:val="20"/>
                <w:szCs w:val="20"/>
              </w:rPr>
              <w:t>675</w:t>
            </w:r>
          </w:p>
        </w:tc>
        <w:tc>
          <w:tcPr>
            <w:tcW w:w="0" w:type="auto"/>
            <w:tcBorders>
              <w:top w:val="nil"/>
              <w:left w:val="nil"/>
              <w:bottom w:val="single" w:sz="8" w:space="0" w:color="auto"/>
              <w:right w:val="single" w:sz="8" w:space="0" w:color="auto"/>
            </w:tcBorders>
            <w:shd w:val="clear" w:color="000000" w:fill="B7DEE8"/>
            <w:noWrap/>
            <w:vAlign w:val="center"/>
            <w:hideMark/>
          </w:tcPr>
          <w:p w14:paraId="45EED0E1" w14:textId="77777777" w:rsidR="00E03650" w:rsidRPr="009C5ECD" w:rsidRDefault="00E03650" w:rsidP="00666827">
            <w:pPr>
              <w:jc w:val="center"/>
              <w:rPr>
                <w:color w:val="000000"/>
                <w:sz w:val="20"/>
                <w:szCs w:val="20"/>
              </w:rPr>
            </w:pPr>
            <w:r w:rsidRPr="009C5ECD">
              <w:rPr>
                <w:color w:val="000000"/>
                <w:sz w:val="20"/>
                <w:szCs w:val="20"/>
              </w:rPr>
              <w:t>301</w:t>
            </w:r>
          </w:p>
        </w:tc>
        <w:tc>
          <w:tcPr>
            <w:tcW w:w="0" w:type="auto"/>
            <w:tcBorders>
              <w:top w:val="nil"/>
              <w:left w:val="nil"/>
              <w:bottom w:val="single" w:sz="8" w:space="0" w:color="auto"/>
              <w:right w:val="single" w:sz="8" w:space="0" w:color="auto"/>
            </w:tcBorders>
            <w:shd w:val="clear" w:color="000000" w:fill="B7DEE8"/>
            <w:noWrap/>
            <w:vAlign w:val="center"/>
            <w:hideMark/>
          </w:tcPr>
          <w:p w14:paraId="75D0265F" w14:textId="77777777" w:rsidR="00E03650" w:rsidRPr="009C5ECD" w:rsidRDefault="00E03650" w:rsidP="00666827">
            <w:pPr>
              <w:jc w:val="center"/>
              <w:rPr>
                <w:color w:val="000000"/>
                <w:sz w:val="20"/>
                <w:szCs w:val="20"/>
              </w:rPr>
            </w:pPr>
            <w:r w:rsidRPr="009C5ECD">
              <w:rPr>
                <w:color w:val="000000"/>
                <w:sz w:val="20"/>
                <w:szCs w:val="20"/>
              </w:rPr>
              <w:t>45%</w:t>
            </w:r>
          </w:p>
        </w:tc>
        <w:tc>
          <w:tcPr>
            <w:tcW w:w="0" w:type="auto"/>
            <w:tcBorders>
              <w:top w:val="nil"/>
              <w:left w:val="nil"/>
              <w:bottom w:val="single" w:sz="8" w:space="0" w:color="auto"/>
              <w:right w:val="single" w:sz="8" w:space="0" w:color="auto"/>
            </w:tcBorders>
            <w:shd w:val="clear" w:color="000000" w:fill="C5D9F1"/>
            <w:noWrap/>
            <w:vAlign w:val="center"/>
            <w:hideMark/>
          </w:tcPr>
          <w:p w14:paraId="4D5CF429" w14:textId="77777777" w:rsidR="00E03650" w:rsidRPr="009C5ECD" w:rsidRDefault="00E03650" w:rsidP="00666827">
            <w:pPr>
              <w:jc w:val="center"/>
              <w:rPr>
                <w:color w:val="000000"/>
                <w:sz w:val="20"/>
                <w:szCs w:val="20"/>
              </w:rPr>
            </w:pPr>
            <w:r w:rsidRPr="009C5ECD">
              <w:rPr>
                <w:color w:val="000000"/>
                <w:sz w:val="20"/>
                <w:szCs w:val="20"/>
              </w:rPr>
              <w:t>210</w:t>
            </w:r>
          </w:p>
        </w:tc>
        <w:tc>
          <w:tcPr>
            <w:tcW w:w="0" w:type="auto"/>
            <w:tcBorders>
              <w:top w:val="nil"/>
              <w:left w:val="nil"/>
              <w:bottom w:val="single" w:sz="8" w:space="0" w:color="auto"/>
              <w:right w:val="single" w:sz="8" w:space="0" w:color="auto"/>
            </w:tcBorders>
            <w:shd w:val="clear" w:color="000000" w:fill="C5D9F1"/>
            <w:noWrap/>
            <w:vAlign w:val="center"/>
            <w:hideMark/>
          </w:tcPr>
          <w:p w14:paraId="020FA73C" w14:textId="77777777" w:rsidR="00E03650" w:rsidRPr="009C5ECD" w:rsidRDefault="00E03650" w:rsidP="00666827">
            <w:pPr>
              <w:jc w:val="center"/>
              <w:rPr>
                <w:color w:val="000000"/>
                <w:sz w:val="20"/>
                <w:szCs w:val="20"/>
              </w:rPr>
            </w:pPr>
            <w:r w:rsidRPr="009C5ECD">
              <w:rPr>
                <w:color w:val="000000"/>
                <w:sz w:val="20"/>
                <w:szCs w:val="20"/>
              </w:rPr>
              <w:t>758</w:t>
            </w:r>
          </w:p>
        </w:tc>
        <w:tc>
          <w:tcPr>
            <w:tcW w:w="0" w:type="auto"/>
            <w:tcBorders>
              <w:top w:val="nil"/>
              <w:left w:val="nil"/>
              <w:bottom w:val="single" w:sz="8" w:space="0" w:color="auto"/>
              <w:right w:val="single" w:sz="8" w:space="0" w:color="auto"/>
            </w:tcBorders>
            <w:shd w:val="clear" w:color="000000" w:fill="C5D9F1"/>
            <w:noWrap/>
            <w:vAlign w:val="center"/>
            <w:hideMark/>
          </w:tcPr>
          <w:p w14:paraId="2D8F5036" w14:textId="77777777" w:rsidR="00E03650" w:rsidRPr="009C5ECD" w:rsidRDefault="00E03650" w:rsidP="00666827">
            <w:pPr>
              <w:jc w:val="center"/>
              <w:rPr>
                <w:color w:val="000000"/>
                <w:sz w:val="20"/>
                <w:szCs w:val="20"/>
              </w:rPr>
            </w:pPr>
            <w:r w:rsidRPr="009C5ECD">
              <w:rPr>
                <w:color w:val="000000"/>
                <w:sz w:val="20"/>
                <w:szCs w:val="20"/>
              </w:rPr>
              <w:t>362%</w:t>
            </w:r>
          </w:p>
        </w:tc>
        <w:tc>
          <w:tcPr>
            <w:tcW w:w="0" w:type="auto"/>
            <w:tcBorders>
              <w:top w:val="nil"/>
              <w:left w:val="nil"/>
              <w:bottom w:val="single" w:sz="8" w:space="0" w:color="auto"/>
              <w:right w:val="single" w:sz="8" w:space="0" w:color="auto"/>
            </w:tcBorders>
            <w:shd w:val="clear" w:color="000000" w:fill="F2DCDB"/>
            <w:noWrap/>
            <w:vAlign w:val="center"/>
            <w:hideMark/>
          </w:tcPr>
          <w:p w14:paraId="6E04EFEC" w14:textId="77777777" w:rsidR="00E03650" w:rsidRPr="009C5ECD" w:rsidRDefault="00E03650" w:rsidP="00666827">
            <w:pPr>
              <w:jc w:val="center"/>
              <w:rPr>
                <w:color w:val="000000"/>
                <w:sz w:val="20"/>
                <w:szCs w:val="20"/>
              </w:rPr>
            </w:pPr>
            <w:r w:rsidRPr="009C5ECD">
              <w:rPr>
                <w:color w:val="000000"/>
                <w:sz w:val="20"/>
                <w:szCs w:val="20"/>
              </w:rPr>
              <w:t>27,903</w:t>
            </w:r>
          </w:p>
        </w:tc>
        <w:tc>
          <w:tcPr>
            <w:tcW w:w="0" w:type="auto"/>
            <w:tcBorders>
              <w:top w:val="nil"/>
              <w:left w:val="nil"/>
              <w:bottom w:val="single" w:sz="8" w:space="0" w:color="auto"/>
              <w:right w:val="single" w:sz="8" w:space="0" w:color="auto"/>
            </w:tcBorders>
            <w:shd w:val="clear" w:color="000000" w:fill="F2DCDB"/>
            <w:noWrap/>
            <w:vAlign w:val="center"/>
            <w:hideMark/>
          </w:tcPr>
          <w:p w14:paraId="4E752C71" w14:textId="77777777" w:rsidR="00E03650" w:rsidRPr="009C5ECD" w:rsidRDefault="00E03650" w:rsidP="00666827">
            <w:pPr>
              <w:jc w:val="center"/>
              <w:rPr>
                <w:color w:val="000000"/>
                <w:sz w:val="20"/>
                <w:szCs w:val="20"/>
              </w:rPr>
            </w:pPr>
            <w:r w:rsidRPr="009C5ECD">
              <w:rPr>
                <w:color w:val="000000"/>
                <w:sz w:val="20"/>
                <w:szCs w:val="20"/>
              </w:rPr>
              <w:t>17,569</w:t>
            </w:r>
          </w:p>
        </w:tc>
        <w:tc>
          <w:tcPr>
            <w:tcW w:w="0" w:type="auto"/>
            <w:tcBorders>
              <w:top w:val="nil"/>
              <w:left w:val="nil"/>
              <w:bottom w:val="single" w:sz="8" w:space="0" w:color="auto"/>
              <w:right w:val="single" w:sz="8" w:space="0" w:color="auto"/>
            </w:tcBorders>
            <w:shd w:val="clear" w:color="000000" w:fill="F2DCDB"/>
            <w:noWrap/>
            <w:vAlign w:val="center"/>
            <w:hideMark/>
          </w:tcPr>
          <w:p w14:paraId="0036C0B3" w14:textId="77777777" w:rsidR="00E03650" w:rsidRPr="009C5ECD" w:rsidRDefault="00E03650" w:rsidP="00666827">
            <w:pPr>
              <w:jc w:val="center"/>
              <w:rPr>
                <w:color w:val="000000"/>
                <w:sz w:val="20"/>
                <w:szCs w:val="20"/>
              </w:rPr>
            </w:pPr>
            <w:r w:rsidRPr="009C5ECD">
              <w:rPr>
                <w:color w:val="000000"/>
                <w:sz w:val="20"/>
                <w:szCs w:val="20"/>
              </w:rPr>
              <w:t>63%</w:t>
            </w:r>
          </w:p>
        </w:tc>
        <w:tc>
          <w:tcPr>
            <w:tcW w:w="0" w:type="auto"/>
            <w:tcBorders>
              <w:top w:val="nil"/>
              <w:left w:val="nil"/>
              <w:bottom w:val="single" w:sz="8" w:space="0" w:color="auto"/>
              <w:right w:val="single" w:sz="8" w:space="0" w:color="auto"/>
            </w:tcBorders>
            <w:shd w:val="clear" w:color="000000" w:fill="D8E4BC"/>
            <w:noWrap/>
            <w:vAlign w:val="center"/>
            <w:hideMark/>
          </w:tcPr>
          <w:p w14:paraId="4F8B37BE" w14:textId="77777777" w:rsidR="00E03650" w:rsidRPr="009C5ECD" w:rsidRDefault="00E03650" w:rsidP="00666827">
            <w:pPr>
              <w:jc w:val="center"/>
              <w:rPr>
                <w:color w:val="000000"/>
                <w:sz w:val="20"/>
                <w:szCs w:val="20"/>
              </w:rPr>
            </w:pPr>
            <w:r w:rsidRPr="009C5ECD">
              <w:rPr>
                <w:color w:val="000000"/>
                <w:sz w:val="20"/>
                <w:szCs w:val="20"/>
              </w:rPr>
              <w:t>2</w:t>
            </w:r>
          </w:p>
        </w:tc>
        <w:tc>
          <w:tcPr>
            <w:tcW w:w="0" w:type="auto"/>
            <w:tcBorders>
              <w:top w:val="nil"/>
              <w:left w:val="nil"/>
              <w:bottom w:val="single" w:sz="8" w:space="0" w:color="auto"/>
              <w:right w:val="single" w:sz="8" w:space="0" w:color="auto"/>
            </w:tcBorders>
            <w:shd w:val="clear" w:color="000000" w:fill="D8E4BC"/>
            <w:noWrap/>
            <w:vAlign w:val="center"/>
            <w:hideMark/>
          </w:tcPr>
          <w:p w14:paraId="2AE64E04" w14:textId="77777777" w:rsidR="00E03650" w:rsidRPr="009C5ECD" w:rsidRDefault="00E03650" w:rsidP="00666827">
            <w:pPr>
              <w:jc w:val="center"/>
              <w:rPr>
                <w:color w:val="000000"/>
                <w:sz w:val="20"/>
                <w:szCs w:val="20"/>
              </w:rPr>
            </w:pPr>
            <w:r w:rsidRPr="009C5ECD">
              <w:rPr>
                <w:color w:val="000000"/>
                <w:sz w:val="20"/>
                <w:szCs w:val="20"/>
              </w:rPr>
              <w:t>0</w:t>
            </w:r>
          </w:p>
        </w:tc>
      </w:tr>
      <w:tr w:rsidR="001129C8" w:rsidRPr="009C5ECD" w14:paraId="1C56101D"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3BB9358" w14:textId="77777777" w:rsidR="00E03650" w:rsidRPr="009C5ECD" w:rsidRDefault="00E03650" w:rsidP="00666827">
            <w:pPr>
              <w:jc w:val="center"/>
              <w:rPr>
                <w:color w:val="000000"/>
                <w:sz w:val="20"/>
                <w:szCs w:val="20"/>
              </w:rPr>
            </w:pPr>
            <w:r w:rsidRPr="009C5ECD">
              <w:rPr>
                <w:color w:val="000000"/>
                <w:sz w:val="20"/>
                <w:szCs w:val="20"/>
              </w:rPr>
              <w:t>Sand tilefish</w:t>
            </w:r>
          </w:p>
        </w:tc>
        <w:tc>
          <w:tcPr>
            <w:tcW w:w="0" w:type="auto"/>
            <w:tcBorders>
              <w:top w:val="nil"/>
              <w:left w:val="nil"/>
              <w:bottom w:val="single" w:sz="8" w:space="0" w:color="auto"/>
              <w:right w:val="single" w:sz="8" w:space="0" w:color="auto"/>
            </w:tcBorders>
            <w:shd w:val="clear" w:color="000000" w:fill="B7DEE8"/>
            <w:noWrap/>
            <w:vAlign w:val="center"/>
            <w:hideMark/>
          </w:tcPr>
          <w:p w14:paraId="5E107454" w14:textId="77777777" w:rsidR="00E03650" w:rsidRPr="009C5ECD" w:rsidRDefault="00E03650" w:rsidP="00666827">
            <w:pPr>
              <w:jc w:val="center"/>
              <w:rPr>
                <w:color w:val="000000"/>
                <w:sz w:val="20"/>
                <w:szCs w:val="20"/>
              </w:rPr>
            </w:pPr>
            <w:r w:rsidRPr="009C5ECD">
              <w:rPr>
                <w:color w:val="000000"/>
                <w:sz w:val="20"/>
                <w:szCs w:val="20"/>
              </w:rPr>
              <w:t>1,061</w:t>
            </w:r>
          </w:p>
        </w:tc>
        <w:tc>
          <w:tcPr>
            <w:tcW w:w="0" w:type="auto"/>
            <w:tcBorders>
              <w:top w:val="nil"/>
              <w:left w:val="nil"/>
              <w:bottom w:val="single" w:sz="8" w:space="0" w:color="auto"/>
              <w:right w:val="single" w:sz="8" w:space="0" w:color="auto"/>
            </w:tcBorders>
            <w:shd w:val="clear" w:color="000000" w:fill="B7DEE8"/>
            <w:noWrap/>
            <w:vAlign w:val="center"/>
            <w:hideMark/>
          </w:tcPr>
          <w:p w14:paraId="384BA0CB" w14:textId="77777777" w:rsidR="00E03650" w:rsidRPr="009C5ECD" w:rsidRDefault="00E03650" w:rsidP="00666827">
            <w:pPr>
              <w:jc w:val="center"/>
              <w:rPr>
                <w:color w:val="000000"/>
                <w:sz w:val="20"/>
                <w:szCs w:val="20"/>
              </w:rPr>
            </w:pPr>
            <w:r w:rsidRPr="009C5ECD">
              <w:rPr>
                <w:color w:val="000000"/>
                <w:sz w:val="20"/>
                <w:szCs w:val="20"/>
              </w:rPr>
              <w:t>1,534</w:t>
            </w:r>
          </w:p>
        </w:tc>
        <w:tc>
          <w:tcPr>
            <w:tcW w:w="0" w:type="auto"/>
            <w:tcBorders>
              <w:top w:val="nil"/>
              <w:left w:val="nil"/>
              <w:bottom w:val="single" w:sz="8" w:space="0" w:color="auto"/>
              <w:right w:val="single" w:sz="8" w:space="0" w:color="auto"/>
            </w:tcBorders>
            <w:shd w:val="clear" w:color="000000" w:fill="B7DEE8"/>
            <w:noWrap/>
            <w:vAlign w:val="center"/>
            <w:hideMark/>
          </w:tcPr>
          <w:p w14:paraId="48646343" w14:textId="77777777" w:rsidR="00E03650" w:rsidRPr="009C5ECD" w:rsidRDefault="00E03650" w:rsidP="00666827">
            <w:pPr>
              <w:jc w:val="center"/>
              <w:rPr>
                <w:color w:val="000000"/>
                <w:sz w:val="20"/>
                <w:szCs w:val="20"/>
              </w:rPr>
            </w:pPr>
            <w:r w:rsidRPr="009C5ECD">
              <w:rPr>
                <w:color w:val="000000"/>
                <w:sz w:val="20"/>
                <w:szCs w:val="20"/>
              </w:rPr>
              <w:t>145%</w:t>
            </w:r>
          </w:p>
        </w:tc>
        <w:tc>
          <w:tcPr>
            <w:tcW w:w="0" w:type="auto"/>
            <w:tcBorders>
              <w:top w:val="nil"/>
              <w:left w:val="nil"/>
              <w:bottom w:val="single" w:sz="8" w:space="0" w:color="auto"/>
              <w:right w:val="single" w:sz="8" w:space="0" w:color="auto"/>
            </w:tcBorders>
            <w:shd w:val="clear" w:color="000000" w:fill="C5D9F1"/>
            <w:noWrap/>
            <w:vAlign w:val="center"/>
            <w:hideMark/>
          </w:tcPr>
          <w:p w14:paraId="4E40E12C" w14:textId="77777777" w:rsidR="00E03650" w:rsidRPr="009C5ECD" w:rsidRDefault="00E03650" w:rsidP="00666827">
            <w:pPr>
              <w:jc w:val="center"/>
              <w:rPr>
                <w:color w:val="000000"/>
                <w:sz w:val="20"/>
                <w:szCs w:val="20"/>
              </w:rPr>
            </w:pPr>
            <w:r w:rsidRPr="009C5ECD">
              <w:rPr>
                <w:color w:val="000000"/>
                <w:sz w:val="20"/>
                <w:szCs w:val="20"/>
              </w:rPr>
              <w:t>130</w:t>
            </w:r>
          </w:p>
        </w:tc>
        <w:tc>
          <w:tcPr>
            <w:tcW w:w="0" w:type="auto"/>
            <w:tcBorders>
              <w:top w:val="nil"/>
              <w:left w:val="nil"/>
              <w:bottom w:val="single" w:sz="8" w:space="0" w:color="auto"/>
              <w:right w:val="single" w:sz="8" w:space="0" w:color="auto"/>
            </w:tcBorders>
            <w:shd w:val="clear" w:color="000000" w:fill="C5D9F1"/>
            <w:noWrap/>
            <w:vAlign w:val="center"/>
            <w:hideMark/>
          </w:tcPr>
          <w:p w14:paraId="2A0B3B0A" w14:textId="77777777" w:rsidR="00E03650" w:rsidRPr="009C5ECD" w:rsidRDefault="00E03650" w:rsidP="00666827">
            <w:pPr>
              <w:jc w:val="center"/>
              <w:rPr>
                <w:color w:val="000000"/>
                <w:sz w:val="20"/>
                <w:szCs w:val="20"/>
              </w:rPr>
            </w:pPr>
            <w:r w:rsidRPr="009C5ECD">
              <w:rPr>
                <w:color w:val="000000"/>
                <w:sz w:val="20"/>
                <w:szCs w:val="20"/>
              </w:rPr>
              <w:t>3,547</w:t>
            </w:r>
          </w:p>
        </w:tc>
        <w:tc>
          <w:tcPr>
            <w:tcW w:w="0" w:type="auto"/>
            <w:tcBorders>
              <w:top w:val="nil"/>
              <w:left w:val="nil"/>
              <w:bottom w:val="single" w:sz="8" w:space="0" w:color="auto"/>
              <w:right w:val="single" w:sz="8" w:space="0" w:color="auto"/>
            </w:tcBorders>
            <w:shd w:val="clear" w:color="000000" w:fill="C5D9F1"/>
            <w:noWrap/>
            <w:vAlign w:val="center"/>
            <w:hideMark/>
          </w:tcPr>
          <w:p w14:paraId="0BE4B13F" w14:textId="77777777" w:rsidR="00E03650" w:rsidRPr="009C5ECD" w:rsidRDefault="00E03650" w:rsidP="00666827">
            <w:pPr>
              <w:jc w:val="center"/>
              <w:rPr>
                <w:color w:val="000000"/>
                <w:sz w:val="20"/>
                <w:szCs w:val="20"/>
              </w:rPr>
            </w:pPr>
            <w:r w:rsidRPr="009C5ECD">
              <w:rPr>
                <w:color w:val="000000"/>
                <w:sz w:val="20"/>
                <w:szCs w:val="20"/>
              </w:rPr>
              <w:t>2731%</w:t>
            </w:r>
          </w:p>
        </w:tc>
        <w:tc>
          <w:tcPr>
            <w:tcW w:w="0" w:type="auto"/>
            <w:tcBorders>
              <w:top w:val="nil"/>
              <w:left w:val="nil"/>
              <w:bottom w:val="single" w:sz="8" w:space="0" w:color="auto"/>
              <w:right w:val="single" w:sz="8" w:space="0" w:color="auto"/>
            </w:tcBorders>
            <w:shd w:val="clear" w:color="000000" w:fill="F2DCDB"/>
            <w:noWrap/>
            <w:vAlign w:val="center"/>
            <w:hideMark/>
          </w:tcPr>
          <w:p w14:paraId="5F7083B8" w14:textId="77777777" w:rsidR="00E03650" w:rsidRPr="009C5ECD" w:rsidRDefault="00E03650" w:rsidP="00666827">
            <w:pPr>
              <w:jc w:val="center"/>
              <w:rPr>
                <w:color w:val="000000"/>
                <w:sz w:val="20"/>
                <w:szCs w:val="20"/>
              </w:rPr>
            </w:pPr>
            <w:r w:rsidRPr="009C5ECD">
              <w:rPr>
                <w:color w:val="000000"/>
                <w:sz w:val="20"/>
                <w:szCs w:val="20"/>
              </w:rPr>
              <w:t>3,258</w:t>
            </w:r>
          </w:p>
        </w:tc>
        <w:tc>
          <w:tcPr>
            <w:tcW w:w="0" w:type="auto"/>
            <w:tcBorders>
              <w:top w:val="nil"/>
              <w:left w:val="nil"/>
              <w:bottom w:val="single" w:sz="8" w:space="0" w:color="auto"/>
              <w:right w:val="single" w:sz="8" w:space="0" w:color="auto"/>
            </w:tcBorders>
            <w:shd w:val="clear" w:color="000000" w:fill="F2DCDB"/>
            <w:noWrap/>
            <w:vAlign w:val="center"/>
            <w:hideMark/>
          </w:tcPr>
          <w:p w14:paraId="7A7A0EC5" w14:textId="77777777" w:rsidR="00E03650" w:rsidRPr="009C5ECD" w:rsidRDefault="00E03650" w:rsidP="00666827">
            <w:pPr>
              <w:jc w:val="center"/>
              <w:rPr>
                <w:color w:val="000000"/>
                <w:sz w:val="20"/>
                <w:szCs w:val="20"/>
              </w:rPr>
            </w:pPr>
            <w:r w:rsidRPr="009C5ECD">
              <w:rPr>
                <w:color w:val="000000"/>
                <w:sz w:val="20"/>
                <w:szCs w:val="20"/>
              </w:rPr>
              <w:t>23,515</w:t>
            </w:r>
          </w:p>
        </w:tc>
        <w:tc>
          <w:tcPr>
            <w:tcW w:w="0" w:type="auto"/>
            <w:tcBorders>
              <w:top w:val="nil"/>
              <w:left w:val="nil"/>
              <w:bottom w:val="single" w:sz="8" w:space="0" w:color="auto"/>
              <w:right w:val="single" w:sz="8" w:space="0" w:color="auto"/>
            </w:tcBorders>
            <w:shd w:val="clear" w:color="000000" w:fill="F2DCDB"/>
            <w:noWrap/>
            <w:vAlign w:val="center"/>
            <w:hideMark/>
          </w:tcPr>
          <w:p w14:paraId="37958F1B" w14:textId="77777777" w:rsidR="00E03650" w:rsidRPr="009C5ECD" w:rsidRDefault="00E03650" w:rsidP="00666827">
            <w:pPr>
              <w:jc w:val="center"/>
              <w:rPr>
                <w:color w:val="000000"/>
                <w:sz w:val="20"/>
                <w:szCs w:val="20"/>
              </w:rPr>
            </w:pPr>
            <w:r w:rsidRPr="009C5ECD">
              <w:rPr>
                <w:color w:val="000000"/>
                <w:sz w:val="20"/>
                <w:szCs w:val="20"/>
              </w:rPr>
              <w:t>722%</w:t>
            </w:r>
          </w:p>
        </w:tc>
        <w:tc>
          <w:tcPr>
            <w:tcW w:w="0" w:type="auto"/>
            <w:tcBorders>
              <w:top w:val="nil"/>
              <w:left w:val="nil"/>
              <w:bottom w:val="single" w:sz="8" w:space="0" w:color="auto"/>
              <w:right w:val="single" w:sz="8" w:space="0" w:color="auto"/>
            </w:tcBorders>
            <w:shd w:val="clear" w:color="000000" w:fill="D8E4BC"/>
            <w:noWrap/>
            <w:vAlign w:val="center"/>
            <w:hideMark/>
          </w:tcPr>
          <w:p w14:paraId="7F9FDC3E" w14:textId="77777777" w:rsidR="00E03650" w:rsidRPr="009C5ECD" w:rsidRDefault="00E03650" w:rsidP="00666827">
            <w:pPr>
              <w:jc w:val="center"/>
              <w:rPr>
                <w:color w:val="000000"/>
                <w:sz w:val="20"/>
                <w:szCs w:val="20"/>
              </w:rPr>
            </w:pPr>
            <w:r w:rsidRPr="009C5ECD">
              <w:rPr>
                <w:color w:val="000000"/>
                <w:sz w:val="20"/>
                <w:szCs w:val="20"/>
              </w:rPr>
              <w:t>1,195</w:t>
            </w:r>
          </w:p>
        </w:tc>
        <w:tc>
          <w:tcPr>
            <w:tcW w:w="0" w:type="auto"/>
            <w:tcBorders>
              <w:top w:val="nil"/>
              <w:left w:val="nil"/>
              <w:bottom w:val="single" w:sz="8" w:space="0" w:color="auto"/>
              <w:right w:val="single" w:sz="8" w:space="0" w:color="auto"/>
            </w:tcBorders>
            <w:shd w:val="clear" w:color="000000" w:fill="D8E4BC"/>
            <w:noWrap/>
            <w:vAlign w:val="center"/>
            <w:hideMark/>
          </w:tcPr>
          <w:p w14:paraId="32D123C5" w14:textId="77777777" w:rsidR="00E03650" w:rsidRPr="009C5ECD" w:rsidRDefault="00E03650" w:rsidP="00666827">
            <w:pPr>
              <w:jc w:val="center"/>
              <w:rPr>
                <w:color w:val="000000"/>
                <w:sz w:val="20"/>
                <w:szCs w:val="20"/>
              </w:rPr>
            </w:pPr>
            <w:r w:rsidRPr="009C5ECD">
              <w:rPr>
                <w:color w:val="000000"/>
                <w:sz w:val="20"/>
                <w:szCs w:val="20"/>
              </w:rPr>
              <w:t>13</w:t>
            </w:r>
          </w:p>
        </w:tc>
      </w:tr>
      <w:tr w:rsidR="001129C8" w:rsidRPr="009C5ECD" w14:paraId="4C06C34C"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CB4F051" w14:textId="77777777" w:rsidR="00E03650" w:rsidRPr="009C5ECD" w:rsidRDefault="00E03650" w:rsidP="00666827">
            <w:pPr>
              <w:jc w:val="center"/>
              <w:rPr>
                <w:color w:val="000000"/>
                <w:sz w:val="20"/>
                <w:szCs w:val="20"/>
              </w:rPr>
            </w:pPr>
            <w:r w:rsidRPr="009C5ECD">
              <w:rPr>
                <w:color w:val="000000"/>
                <w:sz w:val="20"/>
                <w:szCs w:val="20"/>
              </w:rPr>
              <w:t>Saucereye porgy</w:t>
            </w:r>
          </w:p>
        </w:tc>
        <w:tc>
          <w:tcPr>
            <w:tcW w:w="0" w:type="auto"/>
            <w:tcBorders>
              <w:top w:val="nil"/>
              <w:left w:val="nil"/>
              <w:bottom w:val="single" w:sz="8" w:space="0" w:color="auto"/>
              <w:right w:val="single" w:sz="8" w:space="0" w:color="auto"/>
            </w:tcBorders>
            <w:shd w:val="clear" w:color="000000" w:fill="B7DEE8"/>
            <w:noWrap/>
            <w:vAlign w:val="center"/>
            <w:hideMark/>
          </w:tcPr>
          <w:p w14:paraId="34742DB7" w14:textId="77777777" w:rsidR="00E03650" w:rsidRPr="009C5ECD" w:rsidRDefault="00E03650" w:rsidP="00666827">
            <w:pPr>
              <w:jc w:val="center"/>
              <w:rPr>
                <w:color w:val="000000"/>
                <w:sz w:val="20"/>
                <w:szCs w:val="20"/>
              </w:rPr>
            </w:pPr>
            <w:r w:rsidRPr="009C5ECD">
              <w:rPr>
                <w:color w:val="000000"/>
                <w:sz w:val="20"/>
                <w:szCs w:val="20"/>
              </w:rPr>
              <w:t>119</w:t>
            </w:r>
          </w:p>
        </w:tc>
        <w:tc>
          <w:tcPr>
            <w:tcW w:w="0" w:type="auto"/>
            <w:tcBorders>
              <w:top w:val="nil"/>
              <w:left w:val="nil"/>
              <w:bottom w:val="single" w:sz="8" w:space="0" w:color="auto"/>
              <w:right w:val="single" w:sz="8" w:space="0" w:color="auto"/>
            </w:tcBorders>
            <w:shd w:val="clear" w:color="000000" w:fill="B7DEE8"/>
            <w:noWrap/>
            <w:vAlign w:val="center"/>
            <w:hideMark/>
          </w:tcPr>
          <w:p w14:paraId="680A9A99" w14:textId="77777777" w:rsidR="00E03650" w:rsidRPr="009C5ECD" w:rsidRDefault="00E03650" w:rsidP="00666827">
            <w:pPr>
              <w:jc w:val="center"/>
              <w:rPr>
                <w:color w:val="000000"/>
                <w:sz w:val="20"/>
                <w:szCs w:val="20"/>
              </w:rPr>
            </w:pPr>
            <w:r w:rsidRPr="009C5ECD">
              <w:rPr>
                <w:color w:val="000000"/>
                <w:sz w:val="20"/>
                <w:szCs w:val="20"/>
              </w:rPr>
              <w:t>3</w:t>
            </w:r>
          </w:p>
        </w:tc>
        <w:tc>
          <w:tcPr>
            <w:tcW w:w="0" w:type="auto"/>
            <w:tcBorders>
              <w:top w:val="nil"/>
              <w:left w:val="nil"/>
              <w:bottom w:val="single" w:sz="8" w:space="0" w:color="auto"/>
              <w:right w:val="single" w:sz="8" w:space="0" w:color="auto"/>
            </w:tcBorders>
            <w:shd w:val="clear" w:color="000000" w:fill="B7DEE8"/>
            <w:noWrap/>
            <w:vAlign w:val="center"/>
            <w:hideMark/>
          </w:tcPr>
          <w:p w14:paraId="79D9C69B" w14:textId="77777777" w:rsidR="00E03650" w:rsidRPr="009C5ECD" w:rsidRDefault="00E03650" w:rsidP="00666827">
            <w:pPr>
              <w:jc w:val="center"/>
              <w:rPr>
                <w:color w:val="000000"/>
                <w:sz w:val="20"/>
                <w:szCs w:val="20"/>
              </w:rPr>
            </w:pPr>
            <w:r w:rsidRPr="009C5ECD">
              <w:rPr>
                <w:color w:val="000000"/>
                <w:sz w:val="20"/>
                <w:szCs w:val="20"/>
              </w:rPr>
              <w:t>3%</w:t>
            </w:r>
          </w:p>
        </w:tc>
        <w:tc>
          <w:tcPr>
            <w:tcW w:w="0" w:type="auto"/>
            <w:tcBorders>
              <w:top w:val="nil"/>
              <w:left w:val="nil"/>
              <w:bottom w:val="single" w:sz="8" w:space="0" w:color="auto"/>
              <w:right w:val="single" w:sz="8" w:space="0" w:color="auto"/>
            </w:tcBorders>
            <w:shd w:val="clear" w:color="000000" w:fill="C5D9F1"/>
            <w:noWrap/>
            <w:vAlign w:val="center"/>
            <w:hideMark/>
          </w:tcPr>
          <w:p w14:paraId="32A51F25"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03A8AB95"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78CB1E22" w14:textId="77777777" w:rsidR="00E03650" w:rsidRPr="009C5ECD" w:rsidRDefault="00E03650" w:rsidP="00666827">
            <w:pPr>
              <w:jc w:val="center"/>
              <w:rPr>
                <w:color w:val="000000"/>
                <w:sz w:val="20"/>
                <w:szCs w:val="20"/>
              </w:rPr>
            </w:pPr>
            <w:r w:rsidRPr="009C5ECD">
              <w:rPr>
                <w:color w:val="000000"/>
                <w:sz w:val="20"/>
                <w:szCs w:val="20"/>
              </w:rPr>
              <w:t> </w:t>
            </w:r>
          </w:p>
        </w:tc>
        <w:tc>
          <w:tcPr>
            <w:tcW w:w="0" w:type="auto"/>
            <w:tcBorders>
              <w:top w:val="nil"/>
              <w:left w:val="nil"/>
              <w:bottom w:val="single" w:sz="8" w:space="0" w:color="auto"/>
              <w:right w:val="single" w:sz="8" w:space="0" w:color="auto"/>
            </w:tcBorders>
            <w:shd w:val="clear" w:color="000000" w:fill="F2DCDB"/>
            <w:noWrap/>
            <w:vAlign w:val="center"/>
            <w:hideMark/>
          </w:tcPr>
          <w:p w14:paraId="23500899" w14:textId="77777777" w:rsidR="00E03650" w:rsidRPr="009C5ECD" w:rsidRDefault="00E03650" w:rsidP="00666827">
            <w:pPr>
              <w:jc w:val="center"/>
              <w:rPr>
                <w:color w:val="000000"/>
                <w:sz w:val="20"/>
                <w:szCs w:val="20"/>
              </w:rPr>
            </w:pPr>
            <w:r w:rsidRPr="009C5ECD">
              <w:rPr>
                <w:color w:val="000000"/>
                <w:sz w:val="20"/>
                <w:szCs w:val="20"/>
              </w:rPr>
              <w:t>1,293</w:t>
            </w:r>
          </w:p>
        </w:tc>
        <w:tc>
          <w:tcPr>
            <w:tcW w:w="0" w:type="auto"/>
            <w:tcBorders>
              <w:top w:val="nil"/>
              <w:left w:val="nil"/>
              <w:bottom w:val="single" w:sz="8" w:space="0" w:color="auto"/>
              <w:right w:val="single" w:sz="8" w:space="0" w:color="auto"/>
            </w:tcBorders>
            <w:shd w:val="clear" w:color="000000" w:fill="F2DCDB"/>
            <w:noWrap/>
            <w:vAlign w:val="center"/>
            <w:hideMark/>
          </w:tcPr>
          <w:p w14:paraId="50668E01"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09628D97"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D8E4BC"/>
            <w:noWrap/>
            <w:vAlign w:val="center"/>
            <w:hideMark/>
          </w:tcPr>
          <w:p w14:paraId="24DE8970"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D8E4BC"/>
            <w:noWrap/>
            <w:vAlign w:val="center"/>
            <w:hideMark/>
          </w:tcPr>
          <w:p w14:paraId="084B4E48" w14:textId="77777777" w:rsidR="00E03650" w:rsidRPr="009C5ECD" w:rsidRDefault="00E03650" w:rsidP="00666827">
            <w:pPr>
              <w:jc w:val="center"/>
              <w:rPr>
                <w:color w:val="000000"/>
                <w:sz w:val="20"/>
                <w:szCs w:val="20"/>
              </w:rPr>
            </w:pPr>
            <w:r w:rsidRPr="009C5ECD">
              <w:rPr>
                <w:color w:val="000000"/>
                <w:sz w:val="20"/>
                <w:szCs w:val="20"/>
              </w:rPr>
              <w:t>0</w:t>
            </w:r>
          </w:p>
        </w:tc>
      </w:tr>
      <w:tr w:rsidR="001129C8" w:rsidRPr="009C5ECD" w14:paraId="415AF032"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A7F1BB8" w14:textId="77777777" w:rsidR="00E03650" w:rsidRPr="009C5ECD" w:rsidRDefault="00E03650" w:rsidP="00666827">
            <w:pPr>
              <w:jc w:val="center"/>
              <w:rPr>
                <w:color w:val="000000"/>
                <w:sz w:val="20"/>
                <w:szCs w:val="20"/>
              </w:rPr>
            </w:pPr>
            <w:r w:rsidRPr="009C5ECD">
              <w:rPr>
                <w:color w:val="000000"/>
                <w:sz w:val="20"/>
                <w:szCs w:val="20"/>
              </w:rPr>
              <w:t>Scamp</w:t>
            </w:r>
          </w:p>
        </w:tc>
        <w:tc>
          <w:tcPr>
            <w:tcW w:w="0" w:type="auto"/>
            <w:tcBorders>
              <w:top w:val="nil"/>
              <w:left w:val="nil"/>
              <w:bottom w:val="single" w:sz="8" w:space="0" w:color="auto"/>
              <w:right w:val="single" w:sz="8" w:space="0" w:color="auto"/>
            </w:tcBorders>
            <w:shd w:val="clear" w:color="000000" w:fill="B7DEE8"/>
            <w:noWrap/>
            <w:vAlign w:val="center"/>
            <w:hideMark/>
          </w:tcPr>
          <w:p w14:paraId="395724E8" w14:textId="77777777" w:rsidR="00E03650" w:rsidRPr="009C5ECD" w:rsidRDefault="00E03650" w:rsidP="00666827">
            <w:pPr>
              <w:jc w:val="center"/>
              <w:rPr>
                <w:color w:val="000000"/>
                <w:sz w:val="20"/>
                <w:szCs w:val="20"/>
              </w:rPr>
            </w:pPr>
            <w:r w:rsidRPr="009C5ECD">
              <w:rPr>
                <w:color w:val="000000"/>
                <w:sz w:val="20"/>
                <w:szCs w:val="20"/>
              </w:rPr>
              <w:t>1,978</w:t>
            </w:r>
          </w:p>
        </w:tc>
        <w:tc>
          <w:tcPr>
            <w:tcW w:w="0" w:type="auto"/>
            <w:tcBorders>
              <w:top w:val="nil"/>
              <w:left w:val="nil"/>
              <w:bottom w:val="single" w:sz="8" w:space="0" w:color="auto"/>
              <w:right w:val="single" w:sz="8" w:space="0" w:color="auto"/>
            </w:tcBorders>
            <w:shd w:val="clear" w:color="000000" w:fill="B7DEE8"/>
            <w:noWrap/>
            <w:vAlign w:val="center"/>
            <w:hideMark/>
          </w:tcPr>
          <w:p w14:paraId="5F2FA18F" w14:textId="77777777" w:rsidR="00E03650" w:rsidRPr="009C5ECD" w:rsidRDefault="00E03650" w:rsidP="00666827">
            <w:pPr>
              <w:jc w:val="center"/>
              <w:rPr>
                <w:color w:val="000000"/>
                <w:sz w:val="20"/>
                <w:szCs w:val="20"/>
              </w:rPr>
            </w:pPr>
            <w:r w:rsidRPr="009C5ECD">
              <w:rPr>
                <w:color w:val="000000"/>
                <w:sz w:val="20"/>
                <w:szCs w:val="20"/>
              </w:rPr>
              <w:t>1,447</w:t>
            </w:r>
          </w:p>
        </w:tc>
        <w:tc>
          <w:tcPr>
            <w:tcW w:w="0" w:type="auto"/>
            <w:tcBorders>
              <w:top w:val="nil"/>
              <w:left w:val="nil"/>
              <w:bottom w:val="single" w:sz="8" w:space="0" w:color="auto"/>
              <w:right w:val="single" w:sz="8" w:space="0" w:color="auto"/>
            </w:tcBorders>
            <w:shd w:val="clear" w:color="000000" w:fill="B7DEE8"/>
            <w:noWrap/>
            <w:vAlign w:val="center"/>
            <w:hideMark/>
          </w:tcPr>
          <w:p w14:paraId="4155DD84" w14:textId="77777777" w:rsidR="00E03650" w:rsidRPr="009C5ECD" w:rsidRDefault="00E03650" w:rsidP="00666827">
            <w:pPr>
              <w:jc w:val="center"/>
              <w:rPr>
                <w:color w:val="000000"/>
                <w:sz w:val="20"/>
                <w:szCs w:val="20"/>
              </w:rPr>
            </w:pPr>
            <w:r w:rsidRPr="009C5ECD">
              <w:rPr>
                <w:color w:val="000000"/>
                <w:sz w:val="20"/>
                <w:szCs w:val="20"/>
              </w:rPr>
              <w:t>73%</w:t>
            </w:r>
          </w:p>
        </w:tc>
        <w:tc>
          <w:tcPr>
            <w:tcW w:w="0" w:type="auto"/>
            <w:tcBorders>
              <w:top w:val="nil"/>
              <w:left w:val="nil"/>
              <w:bottom w:val="single" w:sz="8" w:space="0" w:color="auto"/>
              <w:right w:val="single" w:sz="8" w:space="0" w:color="auto"/>
            </w:tcBorders>
            <w:shd w:val="clear" w:color="000000" w:fill="C5D9F1"/>
            <w:noWrap/>
            <w:vAlign w:val="center"/>
            <w:hideMark/>
          </w:tcPr>
          <w:p w14:paraId="161FE061" w14:textId="77777777" w:rsidR="00E03650" w:rsidRPr="009C5ECD" w:rsidRDefault="00E03650" w:rsidP="00666827">
            <w:pPr>
              <w:jc w:val="center"/>
              <w:rPr>
                <w:color w:val="000000"/>
                <w:sz w:val="20"/>
                <w:szCs w:val="20"/>
              </w:rPr>
            </w:pPr>
            <w:r w:rsidRPr="009C5ECD">
              <w:rPr>
                <w:color w:val="000000"/>
                <w:sz w:val="20"/>
                <w:szCs w:val="20"/>
              </w:rPr>
              <w:t>1,086</w:t>
            </w:r>
          </w:p>
        </w:tc>
        <w:tc>
          <w:tcPr>
            <w:tcW w:w="0" w:type="auto"/>
            <w:tcBorders>
              <w:top w:val="nil"/>
              <w:left w:val="nil"/>
              <w:bottom w:val="single" w:sz="8" w:space="0" w:color="auto"/>
              <w:right w:val="single" w:sz="8" w:space="0" w:color="auto"/>
            </w:tcBorders>
            <w:shd w:val="clear" w:color="000000" w:fill="C5D9F1"/>
            <w:noWrap/>
            <w:vAlign w:val="center"/>
            <w:hideMark/>
          </w:tcPr>
          <w:p w14:paraId="5FEFB165" w14:textId="77777777" w:rsidR="00E03650" w:rsidRPr="009C5ECD" w:rsidRDefault="00E03650" w:rsidP="00666827">
            <w:pPr>
              <w:jc w:val="center"/>
              <w:rPr>
                <w:color w:val="000000"/>
                <w:sz w:val="20"/>
                <w:szCs w:val="20"/>
              </w:rPr>
            </w:pPr>
            <w:r w:rsidRPr="009C5ECD">
              <w:rPr>
                <w:color w:val="000000"/>
                <w:sz w:val="20"/>
                <w:szCs w:val="20"/>
              </w:rPr>
              <w:t>373</w:t>
            </w:r>
          </w:p>
        </w:tc>
        <w:tc>
          <w:tcPr>
            <w:tcW w:w="0" w:type="auto"/>
            <w:tcBorders>
              <w:top w:val="nil"/>
              <w:left w:val="nil"/>
              <w:bottom w:val="single" w:sz="8" w:space="0" w:color="auto"/>
              <w:right w:val="single" w:sz="8" w:space="0" w:color="auto"/>
            </w:tcBorders>
            <w:shd w:val="clear" w:color="000000" w:fill="C5D9F1"/>
            <w:noWrap/>
            <w:vAlign w:val="center"/>
            <w:hideMark/>
          </w:tcPr>
          <w:p w14:paraId="09754676" w14:textId="77777777" w:rsidR="00E03650" w:rsidRPr="009C5ECD" w:rsidRDefault="00E03650" w:rsidP="00666827">
            <w:pPr>
              <w:jc w:val="center"/>
              <w:rPr>
                <w:color w:val="000000"/>
                <w:sz w:val="20"/>
                <w:szCs w:val="20"/>
              </w:rPr>
            </w:pPr>
            <w:r w:rsidRPr="009C5ECD">
              <w:rPr>
                <w:color w:val="000000"/>
                <w:sz w:val="20"/>
                <w:szCs w:val="20"/>
              </w:rPr>
              <w:t>34%</w:t>
            </w:r>
          </w:p>
        </w:tc>
        <w:tc>
          <w:tcPr>
            <w:tcW w:w="0" w:type="auto"/>
            <w:tcBorders>
              <w:top w:val="nil"/>
              <w:left w:val="nil"/>
              <w:bottom w:val="single" w:sz="8" w:space="0" w:color="auto"/>
              <w:right w:val="single" w:sz="8" w:space="0" w:color="auto"/>
            </w:tcBorders>
            <w:shd w:val="clear" w:color="000000" w:fill="F2DCDB"/>
            <w:noWrap/>
            <w:vAlign w:val="center"/>
            <w:hideMark/>
          </w:tcPr>
          <w:p w14:paraId="731CDD61" w14:textId="77777777" w:rsidR="00E03650" w:rsidRPr="009C5ECD" w:rsidRDefault="00E03650" w:rsidP="00666827">
            <w:pPr>
              <w:jc w:val="center"/>
              <w:rPr>
                <w:color w:val="000000"/>
                <w:sz w:val="20"/>
                <w:szCs w:val="20"/>
              </w:rPr>
            </w:pPr>
            <w:r w:rsidRPr="009C5ECD">
              <w:rPr>
                <w:color w:val="000000"/>
                <w:sz w:val="20"/>
                <w:szCs w:val="20"/>
              </w:rPr>
              <w:t>3,192</w:t>
            </w:r>
          </w:p>
        </w:tc>
        <w:tc>
          <w:tcPr>
            <w:tcW w:w="0" w:type="auto"/>
            <w:tcBorders>
              <w:top w:val="nil"/>
              <w:left w:val="nil"/>
              <w:bottom w:val="single" w:sz="8" w:space="0" w:color="auto"/>
              <w:right w:val="single" w:sz="8" w:space="0" w:color="auto"/>
            </w:tcBorders>
            <w:shd w:val="clear" w:color="000000" w:fill="F2DCDB"/>
            <w:noWrap/>
            <w:vAlign w:val="center"/>
            <w:hideMark/>
          </w:tcPr>
          <w:p w14:paraId="3565BB24" w14:textId="77777777" w:rsidR="00E03650" w:rsidRPr="009C5ECD" w:rsidRDefault="00E03650" w:rsidP="00666827">
            <w:pPr>
              <w:jc w:val="center"/>
              <w:rPr>
                <w:color w:val="000000"/>
                <w:sz w:val="20"/>
                <w:szCs w:val="20"/>
              </w:rPr>
            </w:pPr>
            <w:r w:rsidRPr="009C5ECD">
              <w:rPr>
                <w:color w:val="000000"/>
                <w:sz w:val="20"/>
                <w:szCs w:val="20"/>
              </w:rPr>
              <w:t>305</w:t>
            </w:r>
          </w:p>
        </w:tc>
        <w:tc>
          <w:tcPr>
            <w:tcW w:w="0" w:type="auto"/>
            <w:tcBorders>
              <w:top w:val="nil"/>
              <w:left w:val="nil"/>
              <w:bottom w:val="single" w:sz="8" w:space="0" w:color="auto"/>
              <w:right w:val="single" w:sz="8" w:space="0" w:color="auto"/>
            </w:tcBorders>
            <w:shd w:val="clear" w:color="000000" w:fill="F2DCDB"/>
            <w:noWrap/>
            <w:vAlign w:val="center"/>
            <w:hideMark/>
          </w:tcPr>
          <w:p w14:paraId="1AC912F2" w14:textId="77777777" w:rsidR="00E03650" w:rsidRPr="009C5ECD" w:rsidRDefault="00E03650" w:rsidP="00666827">
            <w:pPr>
              <w:jc w:val="center"/>
              <w:rPr>
                <w:color w:val="000000"/>
                <w:sz w:val="20"/>
                <w:szCs w:val="20"/>
              </w:rPr>
            </w:pPr>
            <w:r w:rsidRPr="009C5ECD">
              <w:rPr>
                <w:color w:val="000000"/>
                <w:sz w:val="20"/>
                <w:szCs w:val="20"/>
              </w:rPr>
              <w:t>10%</w:t>
            </w:r>
          </w:p>
        </w:tc>
        <w:tc>
          <w:tcPr>
            <w:tcW w:w="0" w:type="auto"/>
            <w:tcBorders>
              <w:top w:val="nil"/>
              <w:left w:val="nil"/>
              <w:bottom w:val="single" w:sz="8" w:space="0" w:color="auto"/>
              <w:right w:val="single" w:sz="8" w:space="0" w:color="auto"/>
            </w:tcBorders>
            <w:shd w:val="clear" w:color="000000" w:fill="D8E4BC"/>
            <w:noWrap/>
            <w:vAlign w:val="center"/>
            <w:hideMark/>
          </w:tcPr>
          <w:p w14:paraId="2EE8909A" w14:textId="77777777" w:rsidR="00E03650" w:rsidRPr="009C5ECD" w:rsidRDefault="00E03650" w:rsidP="00666827">
            <w:pPr>
              <w:jc w:val="center"/>
              <w:rPr>
                <w:color w:val="000000"/>
                <w:sz w:val="20"/>
                <w:szCs w:val="20"/>
              </w:rPr>
            </w:pPr>
            <w:r w:rsidRPr="009C5ECD">
              <w:rPr>
                <w:color w:val="000000"/>
                <w:sz w:val="20"/>
                <w:szCs w:val="20"/>
              </w:rPr>
              <w:t>160,639</w:t>
            </w:r>
          </w:p>
        </w:tc>
        <w:tc>
          <w:tcPr>
            <w:tcW w:w="0" w:type="auto"/>
            <w:tcBorders>
              <w:top w:val="nil"/>
              <w:left w:val="nil"/>
              <w:bottom w:val="single" w:sz="8" w:space="0" w:color="auto"/>
              <w:right w:val="single" w:sz="8" w:space="0" w:color="auto"/>
            </w:tcBorders>
            <w:shd w:val="clear" w:color="000000" w:fill="D8E4BC"/>
            <w:noWrap/>
            <w:vAlign w:val="center"/>
            <w:hideMark/>
          </w:tcPr>
          <w:p w14:paraId="2B0030C0" w14:textId="77777777" w:rsidR="00E03650" w:rsidRPr="009C5ECD" w:rsidRDefault="00E03650" w:rsidP="00666827">
            <w:pPr>
              <w:jc w:val="center"/>
              <w:rPr>
                <w:color w:val="000000"/>
                <w:sz w:val="20"/>
                <w:szCs w:val="20"/>
              </w:rPr>
            </w:pPr>
            <w:r w:rsidRPr="009C5ECD">
              <w:rPr>
                <w:color w:val="000000"/>
                <w:sz w:val="20"/>
                <w:szCs w:val="20"/>
              </w:rPr>
              <w:t>707</w:t>
            </w:r>
          </w:p>
        </w:tc>
      </w:tr>
      <w:tr w:rsidR="001129C8" w:rsidRPr="009C5ECD" w14:paraId="3E0BB66A"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8BD7BB7" w14:textId="77777777" w:rsidR="00E03650" w:rsidRPr="009C5ECD" w:rsidRDefault="00E03650" w:rsidP="00666827">
            <w:pPr>
              <w:jc w:val="center"/>
              <w:rPr>
                <w:color w:val="000000"/>
                <w:sz w:val="20"/>
                <w:szCs w:val="20"/>
              </w:rPr>
            </w:pPr>
            <w:r w:rsidRPr="009C5ECD">
              <w:rPr>
                <w:color w:val="000000"/>
                <w:sz w:val="20"/>
                <w:szCs w:val="20"/>
              </w:rPr>
              <w:t>Scup</w:t>
            </w:r>
          </w:p>
        </w:tc>
        <w:tc>
          <w:tcPr>
            <w:tcW w:w="0" w:type="auto"/>
            <w:tcBorders>
              <w:top w:val="nil"/>
              <w:left w:val="nil"/>
              <w:bottom w:val="single" w:sz="8" w:space="0" w:color="auto"/>
              <w:right w:val="single" w:sz="8" w:space="0" w:color="auto"/>
            </w:tcBorders>
            <w:shd w:val="clear" w:color="000000" w:fill="B7DEE8"/>
            <w:noWrap/>
            <w:vAlign w:val="center"/>
            <w:hideMark/>
          </w:tcPr>
          <w:p w14:paraId="783FF53E" w14:textId="77777777" w:rsidR="00E03650" w:rsidRPr="009C5ECD" w:rsidRDefault="00E03650" w:rsidP="00666827">
            <w:pPr>
              <w:jc w:val="center"/>
              <w:rPr>
                <w:color w:val="000000"/>
                <w:sz w:val="20"/>
                <w:szCs w:val="20"/>
              </w:rPr>
            </w:pPr>
            <w:r w:rsidRPr="009C5ECD">
              <w:rPr>
                <w:color w:val="000000"/>
                <w:sz w:val="20"/>
                <w:szCs w:val="20"/>
              </w:rPr>
              <w:t>10,385</w:t>
            </w:r>
          </w:p>
        </w:tc>
        <w:tc>
          <w:tcPr>
            <w:tcW w:w="0" w:type="auto"/>
            <w:tcBorders>
              <w:top w:val="nil"/>
              <w:left w:val="nil"/>
              <w:bottom w:val="single" w:sz="8" w:space="0" w:color="auto"/>
              <w:right w:val="single" w:sz="8" w:space="0" w:color="auto"/>
            </w:tcBorders>
            <w:shd w:val="clear" w:color="000000" w:fill="B7DEE8"/>
            <w:noWrap/>
            <w:vAlign w:val="center"/>
            <w:hideMark/>
          </w:tcPr>
          <w:p w14:paraId="48B03C97" w14:textId="77777777" w:rsidR="00E03650" w:rsidRPr="009C5ECD" w:rsidRDefault="00E03650" w:rsidP="00666827">
            <w:pPr>
              <w:jc w:val="center"/>
              <w:rPr>
                <w:color w:val="000000"/>
                <w:sz w:val="20"/>
                <w:szCs w:val="20"/>
              </w:rPr>
            </w:pPr>
            <w:r w:rsidRPr="009C5ECD">
              <w:rPr>
                <w:color w:val="000000"/>
                <w:sz w:val="20"/>
                <w:szCs w:val="20"/>
              </w:rPr>
              <w:t>2,330</w:t>
            </w:r>
          </w:p>
        </w:tc>
        <w:tc>
          <w:tcPr>
            <w:tcW w:w="0" w:type="auto"/>
            <w:tcBorders>
              <w:top w:val="nil"/>
              <w:left w:val="nil"/>
              <w:bottom w:val="single" w:sz="8" w:space="0" w:color="auto"/>
              <w:right w:val="single" w:sz="8" w:space="0" w:color="auto"/>
            </w:tcBorders>
            <w:shd w:val="clear" w:color="000000" w:fill="B7DEE8"/>
            <w:noWrap/>
            <w:vAlign w:val="center"/>
            <w:hideMark/>
          </w:tcPr>
          <w:p w14:paraId="2C114A71" w14:textId="77777777" w:rsidR="00E03650" w:rsidRPr="009C5ECD" w:rsidRDefault="00E03650" w:rsidP="00666827">
            <w:pPr>
              <w:jc w:val="center"/>
              <w:rPr>
                <w:color w:val="000000"/>
                <w:sz w:val="20"/>
                <w:szCs w:val="20"/>
              </w:rPr>
            </w:pPr>
            <w:r w:rsidRPr="009C5ECD">
              <w:rPr>
                <w:color w:val="000000"/>
                <w:sz w:val="20"/>
                <w:szCs w:val="20"/>
              </w:rPr>
              <w:t>22%</w:t>
            </w:r>
          </w:p>
        </w:tc>
        <w:tc>
          <w:tcPr>
            <w:tcW w:w="0" w:type="auto"/>
            <w:tcBorders>
              <w:top w:val="nil"/>
              <w:left w:val="nil"/>
              <w:bottom w:val="single" w:sz="8" w:space="0" w:color="auto"/>
              <w:right w:val="single" w:sz="8" w:space="0" w:color="auto"/>
            </w:tcBorders>
            <w:shd w:val="clear" w:color="000000" w:fill="C5D9F1"/>
            <w:noWrap/>
            <w:vAlign w:val="center"/>
            <w:hideMark/>
          </w:tcPr>
          <w:p w14:paraId="2E61A5DF" w14:textId="77777777" w:rsidR="00E03650" w:rsidRPr="009C5ECD" w:rsidRDefault="00E03650" w:rsidP="00666827">
            <w:pPr>
              <w:jc w:val="center"/>
              <w:rPr>
                <w:color w:val="000000"/>
                <w:sz w:val="20"/>
                <w:szCs w:val="20"/>
              </w:rPr>
            </w:pPr>
            <w:r w:rsidRPr="009C5ECD">
              <w:rPr>
                <w:color w:val="000000"/>
                <w:sz w:val="20"/>
                <w:szCs w:val="20"/>
              </w:rPr>
              <w:t>453</w:t>
            </w:r>
          </w:p>
        </w:tc>
        <w:tc>
          <w:tcPr>
            <w:tcW w:w="0" w:type="auto"/>
            <w:tcBorders>
              <w:top w:val="nil"/>
              <w:left w:val="nil"/>
              <w:bottom w:val="single" w:sz="8" w:space="0" w:color="auto"/>
              <w:right w:val="single" w:sz="8" w:space="0" w:color="auto"/>
            </w:tcBorders>
            <w:shd w:val="clear" w:color="000000" w:fill="C5D9F1"/>
            <w:noWrap/>
            <w:vAlign w:val="center"/>
            <w:hideMark/>
          </w:tcPr>
          <w:p w14:paraId="73252729"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735C5736"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388AB49E" w14:textId="77777777" w:rsidR="00E03650" w:rsidRPr="009C5ECD" w:rsidRDefault="00E03650" w:rsidP="00666827">
            <w:pPr>
              <w:jc w:val="center"/>
              <w:rPr>
                <w:color w:val="000000"/>
                <w:sz w:val="20"/>
                <w:szCs w:val="20"/>
              </w:rPr>
            </w:pPr>
            <w:r w:rsidRPr="009C5ECD">
              <w:rPr>
                <w:color w:val="000000"/>
                <w:sz w:val="20"/>
                <w:szCs w:val="20"/>
              </w:rPr>
              <w:t>809</w:t>
            </w:r>
          </w:p>
        </w:tc>
        <w:tc>
          <w:tcPr>
            <w:tcW w:w="0" w:type="auto"/>
            <w:tcBorders>
              <w:top w:val="nil"/>
              <w:left w:val="nil"/>
              <w:bottom w:val="single" w:sz="8" w:space="0" w:color="auto"/>
              <w:right w:val="single" w:sz="8" w:space="0" w:color="auto"/>
            </w:tcBorders>
            <w:shd w:val="clear" w:color="000000" w:fill="F2DCDB"/>
            <w:noWrap/>
            <w:vAlign w:val="center"/>
            <w:hideMark/>
          </w:tcPr>
          <w:p w14:paraId="3C3FF0EF" w14:textId="77777777" w:rsidR="00E03650" w:rsidRPr="009C5ECD" w:rsidRDefault="00E03650" w:rsidP="00666827">
            <w:pPr>
              <w:jc w:val="center"/>
              <w:rPr>
                <w:color w:val="000000"/>
                <w:sz w:val="20"/>
                <w:szCs w:val="20"/>
              </w:rPr>
            </w:pPr>
            <w:r w:rsidRPr="009C5ECD">
              <w:rPr>
                <w:color w:val="000000"/>
                <w:sz w:val="20"/>
                <w:szCs w:val="20"/>
              </w:rPr>
              <w:t>1,654</w:t>
            </w:r>
          </w:p>
        </w:tc>
        <w:tc>
          <w:tcPr>
            <w:tcW w:w="0" w:type="auto"/>
            <w:tcBorders>
              <w:top w:val="nil"/>
              <w:left w:val="nil"/>
              <w:bottom w:val="single" w:sz="8" w:space="0" w:color="auto"/>
              <w:right w:val="single" w:sz="8" w:space="0" w:color="auto"/>
            </w:tcBorders>
            <w:shd w:val="clear" w:color="000000" w:fill="F2DCDB"/>
            <w:noWrap/>
            <w:vAlign w:val="center"/>
            <w:hideMark/>
          </w:tcPr>
          <w:p w14:paraId="7C0ACB00" w14:textId="77777777" w:rsidR="00E03650" w:rsidRPr="009C5ECD" w:rsidRDefault="00E03650" w:rsidP="00666827">
            <w:pPr>
              <w:jc w:val="center"/>
              <w:rPr>
                <w:color w:val="000000"/>
                <w:sz w:val="20"/>
                <w:szCs w:val="20"/>
              </w:rPr>
            </w:pPr>
            <w:r w:rsidRPr="009C5ECD">
              <w:rPr>
                <w:color w:val="000000"/>
                <w:sz w:val="20"/>
                <w:szCs w:val="20"/>
              </w:rPr>
              <w:t>204%</w:t>
            </w:r>
          </w:p>
        </w:tc>
        <w:tc>
          <w:tcPr>
            <w:tcW w:w="0" w:type="auto"/>
            <w:tcBorders>
              <w:top w:val="nil"/>
              <w:left w:val="nil"/>
              <w:bottom w:val="single" w:sz="8" w:space="0" w:color="auto"/>
              <w:right w:val="single" w:sz="8" w:space="0" w:color="auto"/>
            </w:tcBorders>
            <w:shd w:val="clear" w:color="000000" w:fill="D8E4BC"/>
            <w:noWrap/>
            <w:vAlign w:val="center"/>
            <w:hideMark/>
          </w:tcPr>
          <w:p w14:paraId="451AB875" w14:textId="77777777" w:rsidR="00E03650" w:rsidRPr="009C5ECD" w:rsidRDefault="00E03650" w:rsidP="00666827">
            <w:pPr>
              <w:jc w:val="center"/>
              <w:rPr>
                <w:color w:val="000000"/>
                <w:sz w:val="20"/>
                <w:szCs w:val="20"/>
              </w:rPr>
            </w:pPr>
            <w:r w:rsidRPr="009C5ECD">
              <w:rPr>
                <w:color w:val="000000"/>
                <w:sz w:val="20"/>
                <w:szCs w:val="20"/>
              </w:rPr>
              <w:t>85,266</w:t>
            </w:r>
          </w:p>
        </w:tc>
        <w:tc>
          <w:tcPr>
            <w:tcW w:w="0" w:type="auto"/>
            <w:tcBorders>
              <w:top w:val="nil"/>
              <w:left w:val="nil"/>
              <w:bottom w:val="single" w:sz="8" w:space="0" w:color="auto"/>
              <w:right w:val="single" w:sz="8" w:space="0" w:color="auto"/>
            </w:tcBorders>
            <w:shd w:val="clear" w:color="000000" w:fill="D8E4BC"/>
            <w:noWrap/>
            <w:vAlign w:val="center"/>
            <w:hideMark/>
          </w:tcPr>
          <w:p w14:paraId="2D234B47" w14:textId="77777777" w:rsidR="00E03650" w:rsidRPr="009C5ECD" w:rsidRDefault="00E03650" w:rsidP="00666827">
            <w:pPr>
              <w:jc w:val="center"/>
              <w:rPr>
                <w:color w:val="000000"/>
                <w:sz w:val="20"/>
                <w:szCs w:val="20"/>
              </w:rPr>
            </w:pPr>
            <w:r w:rsidRPr="009C5ECD">
              <w:rPr>
                <w:color w:val="000000"/>
                <w:sz w:val="20"/>
                <w:szCs w:val="20"/>
              </w:rPr>
              <w:t>298</w:t>
            </w:r>
          </w:p>
        </w:tc>
      </w:tr>
      <w:tr w:rsidR="001129C8" w:rsidRPr="009C5ECD" w14:paraId="381E01D8"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261CF41" w14:textId="77777777" w:rsidR="00E03650" w:rsidRPr="009C5ECD" w:rsidRDefault="00E03650" w:rsidP="00666827">
            <w:pPr>
              <w:jc w:val="center"/>
              <w:rPr>
                <w:color w:val="000000"/>
                <w:sz w:val="20"/>
                <w:szCs w:val="20"/>
              </w:rPr>
            </w:pPr>
            <w:r w:rsidRPr="009C5ECD">
              <w:rPr>
                <w:color w:val="000000"/>
                <w:sz w:val="20"/>
                <w:szCs w:val="20"/>
              </w:rPr>
              <w:t>Silk Snapper</w:t>
            </w:r>
          </w:p>
        </w:tc>
        <w:tc>
          <w:tcPr>
            <w:tcW w:w="0" w:type="auto"/>
            <w:tcBorders>
              <w:top w:val="nil"/>
              <w:left w:val="nil"/>
              <w:bottom w:val="single" w:sz="8" w:space="0" w:color="auto"/>
              <w:right w:val="single" w:sz="8" w:space="0" w:color="auto"/>
            </w:tcBorders>
            <w:shd w:val="clear" w:color="000000" w:fill="B7DEE8"/>
            <w:noWrap/>
            <w:vAlign w:val="center"/>
            <w:hideMark/>
          </w:tcPr>
          <w:p w14:paraId="5D58ED25" w14:textId="77777777" w:rsidR="00E03650" w:rsidRPr="009C5ECD" w:rsidRDefault="00E03650" w:rsidP="00666827">
            <w:pPr>
              <w:jc w:val="center"/>
              <w:rPr>
                <w:color w:val="000000"/>
                <w:sz w:val="20"/>
                <w:szCs w:val="20"/>
              </w:rPr>
            </w:pPr>
            <w:r w:rsidRPr="009C5ECD">
              <w:rPr>
                <w:color w:val="000000"/>
                <w:sz w:val="20"/>
                <w:szCs w:val="20"/>
              </w:rPr>
              <w:t>1,230</w:t>
            </w:r>
          </w:p>
        </w:tc>
        <w:tc>
          <w:tcPr>
            <w:tcW w:w="0" w:type="auto"/>
            <w:tcBorders>
              <w:top w:val="nil"/>
              <w:left w:val="nil"/>
              <w:bottom w:val="single" w:sz="8" w:space="0" w:color="auto"/>
              <w:right w:val="single" w:sz="8" w:space="0" w:color="auto"/>
            </w:tcBorders>
            <w:shd w:val="clear" w:color="000000" w:fill="B7DEE8"/>
            <w:noWrap/>
            <w:vAlign w:val="center"/>
            <w:hideMark/>
          </w:tcPr>
          <w:p w14:paraId="378E79EF" w14:textId="77777777" w:rsidR="00E03650" w:rsidRPr="009C5ECD" w:rsidRDefault="00E03650" w:rsidP="00666827">
            <w:pPr>
              <w:jc w:val="center"/>
              <w:rPr>
                <w:color w:val="000000"/>
                <w:sz w:val="20"/>
                <w:szCs w:val="20"/>
              </w:rPr>
            </w:pPr>
            <w:r w:rsidRPr="009C5ECD">
              <w:rPr>
                <w:color w:val="000000"/>
                <w:sz w:val="20"/>
                <w:szCs w:val="20"/>
              </w:rPr>
              <w:t>64</w:t>
            </w:r>
          </w:p>
        </w:tc>
        <w:tc>
          <w:tcPr>
            <w:tcW w:w="0" w:type="auto"/>
            <w:tcBorders>
              <w:top w:val="nil"/>
              <w:left w:val="nil"/>
              <w:bottom w:val="single" w:sz="8" w:space="0" w:color="auto"/>
              <w:right w:val="single" w:sz="8" w:space="0" w:color="auto"/>
            </w:tcBorders>
            <w:shd w:val="clear" w:color="000000" w:fill="B7DEE8"/>
            <w:noWrap/>
            <w:vAlign w:val="center"/>
            <w:hideMark/>
          </w:tcPr>
          <w:p w14:paraId="6FE8A954" w14:textId="77777777" w:rsidR="00E03650" w:rsidRPr="009C5ECD" w:rsidRDefault="00E03650" w:rsidP="00666827">
            <w:pPr>
              <w:jc w:val="center"/>
              <w:rPr>
                <w:color w:val="000000"/>
                <w:sz w:val="20"/>
                <w:szCs w:val="20"/>
              </w:rPr>
            </w:pPr>
            <w:r w:rsidRPr="009C5ECD">
              <w:rPr>
                <w:color w:val="000000"/>
                <w:sz w:val="20"/>
                <w:szCs w:val="20"/>
              </w:rPr>
              <w:t>5%</w:t>
            </w:r>
          </w:p>
        </w:tc>
        <w:tc>
          <w:tcPr>
            <w:tcW w:w="0" w:type="auto"/>
            <w:tcBorders>
              <w:top w:val="nil"/>
              <w:left w:val="nil"/>
              <w:bottom w:val="single" w:sz="8" w:space="0" w:color="auto"/>
              <w:right w:val="single" w:sz="8" w:space="0" w:color="auto"/>
            </w:tcBorders>
            <w:shd w:val="clear" w:color="000000" w:fill="C5D9F1"/>
            <w:noWrap/>
            <w:vAlign w:val="center"/>
            <w:hideMark/>
          </w:tcPr>
          <w:p w14:paraId="4BB4DDBF" w14:textId="77777777" w:rsidR="00E03650" w:rsidRPr="009C5ECD" w:rsidRDefault="00E03650" w:rsidP="00666827">
            <w:pPr>
              <w:jc w:val="center"/>
              <w:rPr>
                <w:color w:val="000000"/>
                <w:sz w:val="20"/>
                <w:szCs w:val="20"/>
              </w:rPr>
            </w:pPr>
            <w:r w:rsidRPr="009C5ECD">
              <w:rPr>
                <w:color w:val="000000"/>
                <w:sz w:val="20"/>
                <w:szCs w:val="20"/>
              </w:rPr>
              <w:t>90</w:t>
            </w:r>
          </w:p>
        </w:tc>
        <w:tc>
          <w:tcPr>
            <w:tcW w:w="0" w:type="auto"/>
            <w:tcBorders>
              <w:top w:val="nil"/>
              <w:left w:val="nil"/>
              <w:bottom w:val="single" w:sz="8" w:space="0" w:color="auto"/>
              <w:right w:val="single" w:sz="8" w:space="0" w:color="auto"/>
            </w:tcBorders>
            <w:shd w:val="clear" w:color="000000" w:fill="C5D9F1"/>
            <w:noWrap/>
            <w:vAlign w:val="center"/>
            <w:hideMark/>
          </w:tcPr>
          <w:p w14:paraId="74ABC751" w14:textId="77777777" w:rsidR="00E03650" w:rsidRPr="009C5ECD" w:rsidRDefault="00E03650" w:rsidP="00666827">
            <w:pPr>
              <w:jc w:val="center"/>
              <w:rPr>
                <w:color w:val="000000"/>
                <w:sz w:val="20"/>
                <w:szCs w:val="20"/>
              </w:rPr>
            </w:pPr>
            <w:r w:rsidRPr="009C5ECD">
              <w:rPr>
                <w:color w:val="000000"/>
                <w:sz w:val="20"/>
                <w:szCs w:val="20"/>
              </w:rPr>
              <w:t>30</w:t>
            </w:r>
          </w:p>
        </w:tc>
        <w:tc>
          <w:tcPr>
            <w:tcW w:w="0" w:type="auto"/>
            <w:tcBorders>
              <w:top w:val="nil"/>
              <w:left w:val="nil"/>
              <w:bottom w:val="single" w:sz="8" w:space="0" w:color="auto"/>
              <w:right w:val="single" w:sz="8" w:space="0" w:color="auto"/>
            </w:tcBorders>
            <w:shd w:val="clear" w:color="000000" w:fill="C5D9F1"/>
            <w:noWrap/>
            <w:vAlign w:val="center"/>
            <w:hideMark/>
          </w:tcPr>
          <w:p w14:paraId="7D0A73F2" w14:textId="77777777" w:rsidR="00E03650" w:rsidRPr="009C5ECD" w:rsidRDefault="00E03650" w:rsidP="00666827">
            <w:pPr>
              <w:jc w:val="center"/>
              <w:rPr>
                <w:color w:val="000000"/>
                <w:sz w:val="20"/>
                <w:szCs w:val="20"/>
              </w:rPr>
            </w:pPr>
            <w:r w:rsidRPr="009C5ECD">
              <w:rPr>
                <w:color w:val="000000"/>
                <w:sz w:val="20"/>
                <w:szCs w:val="20"/>
              </w:rPr>
              <w:t>33%</w:t>
            </w:r>
          </w:p>
        </w:tc>
        <w:tc>
          <w:tcPr>
            <w:tcW w:w="0" w:type="auto"/>
            <w:tcBorders>
              <w:top w:val="nil"/>
              <w:left w:val="nil"/>
              <w:bottom w:val="single" w:sz="8" w:space="0" w:color="auto"/>
              <w:right w:val="single" w:sz="8" w:space="0" w:color="auto"/>
            </w:tcBorders>
            <w:shd w:val="clear" w:color="000000" w:fill="F2DCDB"/>
            <w:noWrap/>
            <w:vAlign w:val="center"/>
            <w:hideMark/>
          </w:tcPr>
          <w:p w14:paraId="150EFF21" w14:textId="77777777" w:rsidR="00E03650" w:rsidRPr="009C5ECD" w:rsidRDefault="00E03650" w:rsidP="00666827">
            <w:pPr>
              <w:jc w:val="center"/>
              <w:rPr>
                <w:color w:val="000000"/>
                <w:sz w:val="20"/>
                <w:szCs w:val="20"/>
              </w:rPr>
            </w:pPr>
            <w:r w:rsidRPr="009C5ECD">
              <w:rPr>
                <w:color w:val="000000"/>
                <w:sz w:val="20"/>
                <w:szCs w:val="20"/>
              </w:rPr>
              <w:t>153</w:t>
            </w:r>
          </w:p>
        </w:tc>
        <w:tc>
          <w:tcPr>
            <w:tcW w:w="0" w:type="auto"/>
            <w:tcBorders>
              <w:top w:val="nil"/>
              <w:left w:val="nil"/>
              <w:bottom w:val="single" w:sz="8" w:space="0" w:color="auto"/>
              <w:right w:val="single" w:sz="8" w:space="0" w:color="auto"/>
            </w:tcBorders>
            <w:shd w:val="clear" w:color="000000" w:fill="F2DCDB"/>
            <w:noWrap/>
            <w:vAlign w:val="center"/>
            <w:hideMark/>
          </w:tcPr>
          <w:p w14:paraId="7B5E6456" w14:textId="77777777" w:rsidR="00E03650" w:rsidRPr="009C5ECD" w:rsidRDefault="00E03650" w:rsidP="00666827">
            <w:pPr>
              <w:jc w:val="center"/>
              <w:rPr>
                <w:color w:val="000000"/>
                <w:sz w:val="20"/>
                <w:szCs w:val="20"/>
              </w:rPr>
            </w:pPr>
            <w:r w:rsidRPr="009C5ECD">
              <w:rPr>
                <w:color w:val="000000"/>
                <w:sz w:val="20"/>
                <w:szCs w:val="20"/>
              </w:rPr>
              <w:t>620</w:t>
            </w:r>
          </w:p>
        </w:tc>
        <w:tc>
          <w:tcPr>
            <w:tcW w:w="0" w:type="auto"/>
            <w:tcBorders>
              <w:top w:val="nil"/>
              <w:left w:val="nil"/>
              <w:bottom w:val="single" w:sz="8" w:space="0" w:color="auto"/>
              <w:right w:val="single" w:sz="8" w:space="0" w:color="auto"/>
            </w:tcBorders>
            <w:shd w:val="clear" w:color="000000" w:fill="F2DCDB"/>
            <w:noWrap/>
            <w:vAlign w:val="center"/>
            <w:hideMark/>
          </w:tcPr>
          <w:p w14:paraId="6F3C1ECA" w14:textId="77777777" w:rsidR="00E03650" w:rsidRPr="009C5ECD" w:rsidRDefault="00E03650" w:rsidP="00666827">
            <w:pPr>
              <w:jc w:val="center"/>
              <w:rPr>
                <w:color w:val="000000"/>
                <w:sz w:val="20"/>
                <w:szCs w:val="20"/>
              </w:rPr>
            </w:pPr>
            <w:r w:rsidRPr="009C5ECD">
              <w:rPr>
                <w:color w:val="000000"/>
                <w:sz w:val="20"/>
                <w:szCs w:val="20"/>
              </w:rPr>
              <w:t>405%</w:t>
            </w:r>
          </w:p>
        </w:tc>
        <w:tc>
          <w:tcPr>
            <w:tcW w:w="0" w:type="auto"/>
            <w:tcBorders>
              <w:top w:val="nil"/>
              <w:left w:val="nil"/>
              <w:bottom w:val="single" w:sz="8" w:space="0" w:color="auto"/>
              <w:right w:val="single" w:sz="8" w:space="0" w:color="auto"/>
            </w:tcBorders>
            <w:shd w:val="clear" w:color="000000" w:fill="D8E4BC"/>
            <w:noWrap/>
            <w:vAlign w:val="center"/>
            <w:hideMark/>
          </w:tcPr>
          <w:p w14:paraId="70762CC8" w14:textId="77777777" w:rsidR="00E03650" w:rsidRPr="009C5ECD" w:rsidRDefault="00E03650" w:rsidP="00666827">
            <w:pPr>
              <w:jc w:val="center"/>
              <w:rPr>
                <w:color w:val="000000"/>
                <w:sz w:val="20"/>
                <w:szCs w:val="20"/>
              </w:rPr>
            </w:pPr>
            <w:r w:rsidRPr="009C5ECD">
              <w:rPr>
                <w:color w:val="000000"/>
                <w:sz w:val="20"/>
                <w:szCs w:val="20"/>
              </w:rPr>
              <w:t>10,679</w:t>
            </w:r>
          </w:p>
        </w:tc>
        <w:tc>
          <w:tcPr>
            <w:tcW w:w="0" w:type="auto"/>
            <w:tcBorders>
              <w:top w:val="nil"/>
              <w:left w:val="nil"/>
              <w:bottom w:val="single" w:sz="8" w:space="0" w:color="auto"/>
              <w:right w:val="single" w:sz="8" w:space="0" w:color="auto"/>
            </w:tcBorders>
            <w:shd w:val="clear" w:color="000000" w:fill="D8E4BC"/>
            <w:noWrap/>
            <w:vAlign w:val="center"/>
            <w:hideMark/>
          </w:tcPr>
          <w:p w14:paraId="00A0E92D" w14:textId="77777777" w:rsidR="00E03650" w:rsidRPr="009C5ECD" w:rsidRDefault="00E03650" w:rsidP="00666827">
            <w:pPr>
              <w:jc w:val="center"/>
              <w:rPr>
                <w:color w:val="000000"/>
                <w:sz w:val="20"/>
                <w:szCs w:val="20"/>
              </w:rPr>
            </w:pPr>
            <w:r w:rsidRPr="009C5ECD">
              <w:rPr>
                <w:color w:val="000000"/>
                <w:sz w:val="20"/>
                <w:szCs w:val="20"/>
              </w:rPr>
              <w:t>7</w:t>
            </w:r>
          </w:p>
        </w:tc>
      </w:tr>
      <w:tr w:rsidR="001129C8" w:rsidRPr="009C5ECD" w14:paraId="005E503A"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399289" w14:textId="77777777" w:rsidR="00E03650" w:rsidRPr="009C5ECD" w:rsidRDefault="00E03650" w:rsidP="00666827">
            <w:pPr>
              <w:jc w:val="center"/>
              <w:rPr>
                <w:color w:val="000000"/>
                <w:sz w:val="20"/>
                <w:szCs w:val="20"/>
              </w:rPr>
            </w:pPr>
            <w:r w:rsidRPr="009C5ECD">
              <w:rPr>
                <w:color w:val="000000"/>
                <w:sz w:val="20"/>
                <w:szCs w:val="20"/>
              </w:rPr>
              <w:t>Snowy grouper</w:t>
            </w:r>
          </w:p>
        </w:tc>
        <w:tc>
          <w:tcPr>
            <w:tcW w:w="0" w:type="auto"/>
            <w:tcBorders>
              <w:top w:val="nil"/>
              <w:left w:val="nil"/>
              <w:bottom w:val="single" w:sz="8" w:space="0" w:color="auto"/>
              <w:right w:val="single" w:sz="8" w:space="0" w:color="auto"/>
            </w:tcBorders>
            <w:shd w:val="clear" w:color="000000" w:fill="B7DEE8"/>
            <w:noWrap/>
            <w:vAlign w:val="center"/>
            <w:hideMark/>
          </w:tcPr>
          <w:p w14:paraId="25B7799F" w14:textId="77777777" w:rsidR="00E03650" w:rsidRPr="009C5ECD" w:rsidRDefault="00E03650" w:rsidP="00666827">
            <w:pPr>
              <w:jc w:val="center"/>
              <w:rPr>
                <w:color w:val="000000"/>
                <w:sz w:val="20"/>
                <w:szCs w:val="20"/>
              </w:rPr>
            </w:pPr>
            <w:r w:rsidRPr="009C5ECD">
              <w:rPr>
                <w:color w:val="000000"/>
                <w:sz w:val="20"/>
                <w:szCs w:val="20"/>
              </w:rPr>
              <w:t>498</w:t>
            </w:r>
          </w:p>
        </w:tc>
        <w:tc>
          <w:tcPr>
            <w:tcW w:w="0" w:type="auto"/>
            <w:tcBorders>
              <w:top w:val="nil"/>
              <w:left w:val="nil"/>
              <w:bottom w:val="single" w:sz="8" w:space="0" w:color="auto"/>
              <w:right w:val="single" w:sz="8" w:space="0" w:color="auto"/>
            </w:tcBorders>
            <w:shd w:val="clear" w:color="000000" w:fill="B7DEE8"/>
            <w:noWrap/>
            <w:vAlign w:val="center"/>
            <w:hideMark/>
          </w:tcPr>
          <w:p w14:paraId="0AC19950" w14:textId="77777777" w:rsidR="00E03650" w:rsidRPr="009C5ECD" w:rsidRDefault="00E03650" w:rsidP="00666827">
            <w:pPr>
              <w:jc w:val="center"/>
              <w:rPr>
                <w:color w:val="000000"/>
                <w:sz w:val="20"/>
                <w:szCs w:val="20"/>
              </w:rPr>
            </w:pPr>
            <w:r w:rsidRPr="009C5ECD">
              <w:rPr>
                <w:color w:val="000000"/>
                <w:sz w:val="20"/>
                <w:szCs w:val="20"/>
              </w:rPr>
              <w:t>32</w:t>
            </w:r>
          </w:p>
        </w:tc>
        <w:tc>
          <w:tcPr>
            <w:tcW w:w="0" w:type="auto"/>
            <w:tcBorders>
              <w:top w:val="nil"/>
              <w:left w:val="nil"/>
              <w:bottom w:val="single" w:sz="8" w:space="0" w:color="auto"/>
              <w:right w:val="single" w:sz="8" w:space="0" w:color="auto"/>
            </w:tcBorders>
            <w:shd w:val="clear" w:color="000000" w:fill="B7DEE8"/>
            <w:noWrap/>
            <w:vAlign w:val="center"/>
            <w:hideMark/>
          </w:tcPr>
          <w:p w14:paraId="40234FA7" w14:textId="77777777" w:rsidR="00E03650" w:rsidRPr="009C5ECD" w:rsidRDefault="00E03650" w:rsidP="00666827">
            <w:pPr>
              <w:jc w:val="center"/>
              <w:rPr>
                <w:color w:val="000000"/>
                <w:sz w:val="20"/>
                <w:szCs w:val="20"/>
              </w:rPr>
            </w:pPr>
            <w:r w:rsidRPr="009C5ECD">
              <w:rPr>
                <w:color w:val="000000"/>
                <w:sz w:val="20"/>
                <w:szCs w:val="20"/>
              </w:rPr>
              <w:t>6%</w:t>
            </w:r>
          </w:p>
        </w:tc>
        <w:tc>
          <w:tcPr>
            <w:tcW w:w="0" w:type="auto"/>
            <w:tcBorders>
              <w:top w:val="nil"/>
              <w:left w:val="nil"/>
              <w:bottom w:val="single" w:sz="8" w:space="0" w:color="auto"/>
              <w:right w:val="single" w:sz="8" w:space="0" w:color="auto"/>
            </w:tcBorders>
            <w:shd w:val="clear" w:color="000000" w:fill="C5D9F1"/>
            <w:noWrap/>
            <w:vAlign w:val="center"/>
            <w:hideMark/>
          </w:tcPr>
          <w:p w14:paraId="25B39F59" w14:textId="77777777" w:rsidR="00E03650" w:rsidRPr="009C5ECD" w:rsidRDefault="00E03650" w:rsidP="00666827">
            <w:pPr>
              <w:jc w:val="center"/>
              <w:rPr>
                <w:color w:val="000000"/>
                <w:sz w:val="20"/>
                <w:szCs w:val="20"/>
              </w:rPr>
            </w:pPr>
            <w:r w:rsidRPr="009C5ECD">
              <w:rPr>
                <w:color w:val="000000"/>
                <w:sz w:val="20"/>
                <w:szCs w:val="20"/>
              </w:rPr>
              <w:t>248</w:t>
            </w:r>
          </w:p>
        </w:tc>
        <w:tc>
          <w:tcPr>
            <w:tcW w:w="0" w:type="auto"/>
            <w:tcBorders>
              <w:top w:val="nil"/>
              <w:left w:val="nil"/>
              <w:bottom w:val="single" w:sz="8" w:space="0" w:color="auto"/>
              <w:right w:val="single" w:sz="8" w:space="0" w:color="auto"/>
            </w:tcBorders>
            <w:shd w:val="clear" w:color="000000" w:fill="C5D9F1"/>
            <w:noWrap/>
            <w:vAlign w:val="center"/>
            <w:hideMark/>
          </w:tcPr>
          <w:p w14:paraId="76F4DF76" w14:textId="77777777" w:rsidR="00E03650" w:rsidRPr="009C5ECD" w:rsidRDefault="00E03650" w:rsidP="00666827">
            <w:pPr>
              <w:jc w:val="center"/>
              <w:rPr>
                <w:color w:val="000000"/>
                <w:sz w:val="20"/>
                <w:szCs w:val="20"/>
              </w:rPr>
            </w:pPr>
            <w:r w:rsidRPr="009C5ECD">
              <w:rPr>
                <w:color w:val="000000"/>
                <w:sz w:val="20"/>
                <w:szCs w:val="20"/>
              </w:rPr>
              <w:t>360</w:t>
            </w:r>
          </w:p>
        </w:tc>
        <w:tc>
          <w:tcPr>
            <w:tcW w:w="0" w:type="auto"/>
            <w:tcBorders>
              <w:top w:val="nil"/>
              <w:left w:val="nil"/>
              <w:bottom w:val="single" w:sz="8" w:space="0" w:color="auto"/>
              <w:right w:val="single" w:sz="8" w:space="0" w:color="auto"/>
            </w:tcBorders>
            <w:shd w:val="clear" w:color="000000" w:fill="C5D9F1"/>
            <w:noWrap/>
            <w:vAlign w:val="center"/>
            <w:hideMark/>
          </w:tcPr>
          <w:p w14:paraId="2B2DB2AC" w14:textId="77777777" w:rsidR="00E03650" w:rsidRPr="009C5ECD" w:rsidRDefault="00E03650" w:rsidP="00666827">
            <w:pPr>
              <w:jc w:val="center"/>
              <w:rPr>
                <w:color w:val="000000"/>
                <w:sz w:val="20"/>
                <w:szCs w:val="20"/>
              </w:rPr>
            </w:pPr>
            <w:r w:rsidRPr="009C5ECD">
              <w:rPr>
                <w:color w:val="000000"/>
                <w:sz w:val="20"/>
                <w:szCs w:val="20"/>
              </w:rPr>
              <w:t>145%</w:t>
            </w:r>
          </w:p>
        </w:tc>
        <w:tc>
          <w:tcPr>
            <w:tcW w:w="0" w:type="auto"/>
            <w:tcBorders>
              <w:top w:val="nil"/>
              <w:left w:val="nil"/>
              <w:bottom w:val="single" w:sz="8" w:space="0" w:color="auto"/>
              <w:right w:val="single" w:sz="8" w:space="0" w:color="auto"/>
            </w:tcBorders>
            <w:shd w:val="clear" w:color="000000" w:fill="F2DCDB"/>
            <w:noWrap/>
            <w:vAlign w:val="center"/>
            <w:hideMark/>
          </w:tcPr>
          <w:p w14:paraId="132C2D41" w14:textId="77777777" w:rsidR="00E03650" w:rsidRPr="009C5ECD" w:rsidRDefault="00E03650" w:rsidP="00666827">
            <w:pPr>
              <w:jc w:val="center"/>
              <w:rPr>
                <w:color w:val="000000"/>
                <w:sz w:val="20"/>
                <w:szCs w:val="20"/>
              </w:rPr>
            </w:pPr>
            <w:r w:rsidRPr="009C5ECD">
              <w:rPr>
                <w:color w:val="000000"/>
                <w:sz w:val="20"/>
                <w:szCs w:val="20"/>
              </w:rPr>
              <w:t>565</w:t>
            </w:r>
          </w:p>
        </w:tc>
        <w:tc>
          <w:tcPr>
            <w:tcW w:w="0" w:type="auto"/>
            <w:tcBorders>
              <w:top w:val="nil"/>
              <w:left w:val="nil"/>
              <w:bottom w:val="single" w:sz="8" w:space="0" w:color="auto"/>
              <w:right w:val="single" w:sz="8" w:space="0" w:color="auto"/>
            </w:tcBorders>
            <w:shd w:val="clear" w:color="000000" w:fill="F2DCDB"/>
            <w:noWrap/>
            <w:vAlign w:val="center"/>
            <w:hideMark/>
          </w:tcPr>
          <w:p w14:paraId="20D0D601" w14:textId="77777777" w:rsidR="00E03650" w:rsidRPr="009C5ECD" w:rsidRDefault="00E03650" w:rsidP="00666827">
            <w:pPr>
              <w:jc w:val="center"/>
              <w:rPr>
                <w:color w:val="000000"/>
                <w:sz w:val="20"/>
                <w:szCs w:val="20"/>
              </w:rPr>
            </w:pPr>
            <w:r w:rsidRPr="009C5ECD">
              <w:rPr>
                <w:color w:val="000000"/>
                <w:sz w:val="20"/>
                <w:szCs w:val="20"/>
              </w:rPr>
              <w:t>1,779</w:t>
            </w:r>
          </w:p>
        </w:tc>
        <w:tc>
          <w:tcPr>
            <w:tcW w:w="0" w:type="auto"/>
            <w:tcBorders>
              <w:top w:val="nil"/>
              <w:left w:val="nil"/>
              <w:bottom w:val="single" w:sz="8" w:space="0" w:color="auto"/>
              <w:right w:val="single" w:sz="8" w:space="0" w:color="auto"/>
            </w:tcBorders>
            <w:shd w:val="clear" w:color="000000" w:fill="F2DCDB"/>
            <w:noWrap/>
            <w:vAlign w:val="center"/>
            <w:hideMark/>
          </w:tcPr>
          <w:p w14:paraId="06AEB178" w14:textId="77777777" w:rsidR="00E03650" w:rsidRPr="009C5ECD" w:rsidRDefault="00E03650" w:rsidP="00666827">
            <w:pPr>
              <w:jc w:val="center"/>
              <w:rPr>
                <w:color w:val="000000"/>
                <w:sz w:val="20"/>
                <w:szCs w:val="20"/>
              </w:rPr>
            </w:pPr>
            <w:r w:rsidRPr="009C5ECD">
              <w:rPr>
                <w:color w:val="000000"/>
                <w:sz w:val="20"/>
                <w:szCs w:val="20"/>
              </w:rPr>
              <w:t>315%</w:t>
            </w:r>
          </w:p>
        </w:tc>
        <w:tc>
          <w:tcPr>
            <w:tcW w:w="0" w:type="auto"/>
            <w:tcBorders>
              <w:top w:val="nil"/>
              <w:left w:val="nil"/>
              <w:bottom w:val="single" w:sz="8" w:space="0" w:color="auto"/>
              <w:right w:val="single" w:sz="8" w:space="0" w:color="auto"/>
            </w:tcBorders>
            <w:shd w:val="clear" w:color="000000" w:fill="D8E4BC"/>
            <w:noWrap/>
            <w:vAlign w:val="center"/>
            <w:hideMark/>
          </w:tcPr>
          <w:p w14:paraId="76DAF88B" w14:textId="77777777" w:rsidR="00E03650" w:rsidRPr="009C5ECD" w:rsidRDefault="00E03650" w:rsidP="00666827">
            <w:pPr>
              <w:jc w:val="center"/>
              <w:rPr>
                <w:color w:val="000000"/>
                <w:sz w:val="20"/>
                <w:szCs w:val="20"/>
              </w:rPr>
            </w:pPr>
            <w:r w:rsidRPr="009C5ECD">
              <w:rPr>
                <w:color w:val="000000"/>
                <w:sz w:val="20"/>
                <w:szCs w:val="20"/>
              </w:rPr>
              <w:t>101,091</w:t>
            </w:r>
          </w:p>
        </w:tc>
        <w:tc>
          <w:tcPr>
            <w:tcW w:w="0" w:type="auto"/>
            <w:tcBorders>
              <w:top w:val="nil"/>
              <w:left w:val="nil"/>
              <w:bottom w:val="single" w:sz="8" w:space="0" w:color="auto"/>
              <w:right w:val="single" w:sz="8" w:space="0" w:color="auto"/>
            </w:tcBorders>
            <w:shd w:val="clear" w:color="000000" w:fill="D8E4BC"/>
            <w:noWrap/>
            <w:vAlign w:val="center"/>
            <w:hideMark/>
          </w:tcPr>
          <w:p w14:paraId="497DF64A" w14:textId="77777777" w:rsidR="00E03650" w:rsidRPr="009C5ECD" w:rsidRDefault="00E03650" w:rsidP="00666827">
            <w:pPr>
              <w:jc w:val="center"/>
              <w:rPr>
                <w:color w:val="000000"/>
                <w:sz w:val="20"/>
                <w:szCs w:val="20"/>
              </w:rPr>
            </w:pPr>
            <w:r w:rsidRPr="009C5ECD">
              <w:rPr>
                <w:color w:val="000000"/>
                <w:sz w:val="20"/>
                <w:szCs w:val="20"/>
              </w:rPr>
              <w:t>336</w:t>
            </w:r>
          </w:p>
        </w:tc>
      </w:tr>
      <w:tr w:rsidR="001129C8" w:rsidRPr="009C5ECD" w14:paraId="6E943847"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D385E4B" w14:textId="77777777" w:rsidR="00E03650" w:rsidRPr="009C5ECD" w:rsidRDefault="00E03650" w:rsidP="00666827">
            <w:pPr>
              <w:jc w:val="center"/>
              <w:rPr>
                <w:color w:val="000000"/>
                <w:sz w:val="20"/>
                <w:szCs w:val="20"/>
              </w:rPr>
            </w:pPr>
            <w:r w:rsidRPr="009C5ECD">
              <w:rPr>
                <w:color w:val="000000"/>
                <w:sz w:val="20"/>
                <w:szCs w:val="20"/>
              </w:rPr>
              <w:t>Tomtate</w:t>
            </w:r>
          </w:p>
        </w:tc>
        <w:tc>
          <w:tcPr>
            <w:tcW w:w="0" w:type="auto"/>
            <w:tcBorders>
              <w:top w:val="nil"/>
              <w:left w:val="nil"/>
              <w:bottom w:val="single" w:sz="8" w:space="0" w:color="auto"/>
              <w:right w:val="single" w:sz="8" w:space="0" w:color="auto"/>
            </w:tcBorders>
            <w:shd w:val="clear" w:color="000000" w:fill="B7DEE8"/>
            <w:noWrap/>
            <w:vAlign w:val="center"/>
            <w:hideMark/>
          </w:tcPr>
          <w:p w14:paraId="368636F2" w14:textId="77777777" w:rsidR="00E03650" w:rsidRPr="009C5ECD" w:rsidRDefault="00E03650" w:rsidP="00666827">
            <w:pPr>
              <w:jc w:val="center"/>
              <w:rPr>
                <w:color w:val="000000"/>
                <w:sz w:val="20"/>
                <w:szCs w:val="20"/>
              </w:rPr>
            </w:pPr>
            <w:r w:rsidRPr="009C5ECD">
              <w:rPr>
                <w:color w:val="000000"/>
                <w:sz w:val="20"/>
                <w:szCs w:val="20"/>
              </w:rPr>
              <w:t>54,332</w:t>
            </w:r>
          </w:p>
        </w:tc>
        <w:tc>
          <w:tcPr>
            <w:tcW w:w="0" w:type="auto"/>
            <w:tcBorders>
              <w:top w:val="nil"/>
              <w:left w:val="nil"/>
              <w:bottom w:val="single" w:sz="8" w:space="0" w:color="auto"/>
              <w:right w:val="single" w:sz="8" w:space="0" w:color="auto"/>
            </w:tcBorders>
            <w:shd w:val="clear" w:color="000000" w:fill="B7DEE8"/>
            <w:noWrap/>
            <w:vAlign w:val="center"/>
            <w:hideMark/>
          </w:tcPr>
          <w:p w14:paraId="55F69FA7" w14:textId="77777777" w:rsidR="00E03650" w:rsidRPr="009C5ECD" w:rsidRDefault="00E03650" w:rsidP="00666827">
            <w:pPr>
              <w:jc w:val="center"/>
              <w:rPr>
                <w:color w:val="000000"/>
                <w:sz w:val="20"/>
                <w:szCs w:val="20"/>
              </w:rPr>
            </w:pPr>
            <w:r w:rsidRPr="009C5ECD">
              <w:rPr>
                <w:color w:val="000000"/>
                <w:sz w:val="20"/>
                <w:szCs w:val="20"/>
              </w:rPr>
              <w:t>62,727</w:t>
            </w:r>
          </w:p>
        </w:tc>
        <w:tc>
          <w:tcPr>
            <w:tcW w:w="0" w:type="auto"/>
            <w:tcBorders>
              <w:top w:val="nil"/>
              <w:left w:val="nil"/>
              <w:bottom w:val="single" w:sz="8" w:space="0" w:color="auto"/>
              <w:right w:val="single" w:sz="8" w:space="0" w:color="auto"/>
            </w:tcBorders>
            <w:shd w:val="clear" w:color="000000" w:fill="B7DEE8"/>
            <w:noWrap/>
            <w:vAlign w:val="center"/>
            <w:hideMark/>
          </w:tcPr>
          <w:p w14:paraId="7157BD48" w14:textId="77777777" w:rsidR="00E03650" w:rsidRPr="009C5ECD" w:rsidRDefault="00E03650" w:rsidP="00666827">
            <w:pPr>
              <w:jc w:val="center"/>
              <w:rPr>
                <w:color w:val="000000"/>
                <w:sz w:val="20"/>
                <w:szCs w:val="20"/>
              </w:rPr>
            </w:pPr>
            <w:r w:rsidRPr="009C5ECD">
              <w:rPr>
                <w:color w:val="000000"/>
                <w:sz w:val="20"/>
                <w:szCs w:val="20"/>
              </w:rPr>
              <w:t>115%</w:t>
            </w:r>
          </w:p>
        </w:tc>
        <w:tc>
          <w:tcPr>
            <w:tcW w:w="0" w:type="auto"/>
            <w:tcBorders>
              <w:top w:val="nil"/>
              <w:left w:val="nil"/>
              <w:bottom w:val="single" w:sz="8" w:space="0" w:color="auto"/>
              <w:right w:val="single" w:sz="8" w:space="0" w:color="auto"/>
            </w:tcBorders>
            <w:shd w:val="clear" w:color="000000" w:fill="C5D9F1"/>
            <w:noWrap/>
            <w:vAlign w:val="center"/>
            <w:hideMark/>
          </w:tcPr>
          <w:p w14:paraId="4E055769" w14:textId="77777777" w:rsidR="00E03650" w:rsidRPr="009C5ECD" w:rsidRDefault="00E03650" w:rsidP="00666827">
            <w:pPr>
              <w:jc w:val="center"/>
              <w:rPr>
                <w:color w:val="000000"/>
                <w:sz w:val="20"/>
                <w:szCs w:val="20"/>
              </w:rPr>
            </w:pPr>
            <w:r w:rsidRPr="009C5ECD">
              <w:rPr>
                <w:color w:val="000000"/>
                <w:sz w:val="20"/>
                <w:szCs w:val="20"/>
              </w:rPr>
              <w:t>3,041</w:t>
            </w:r>
          </w:p>
        </w:tc>
        <w:tc>
          <w:tcPr>
            <w:tcW w:w="0" w:type="auto"/>
            <w:tcBorders>
              <w:top w:val="nil"/>
              <w:left w:val="nil"/>
              <w:bottom w:val="single" w:sz="8" w:space="0" w:color="auto"/>
              <w:right w:val="single" w:sz="8" w:space="0" w:color="auto"/>
            </w:tcBorders>
            <w:shd w:val="clear" w:color="000000" w:fill="C5D9F1"/>
            <w:noWrap/>
            <w:vAlign w:val="center"/>
            <w:hideMark/>
          </w:tcPr>
          <w:p w14:paraId="3DF7327C" w14:textId="77777777" w:rsidR="00E03650" w:rsidRPr="009C5ECD" w:rsidRDefault="00E03650" w:rsidP="00666827">
            <w:pPr>
              <w:jc w:val="center"/>
              <w:rPr>
                <w:color w:val="000000"/>
                <w:sz w:val="20"/>
                <w:szCs w:val="20"/>
              </w:rPr>
            </w:pPr>
            <w:r w:rsidRPr="009C5ECD">
              <w:rPr>
                <w:color w:val="000000"/>
                <w:sz w:val="20"/>
                <w:szCs w:val="20"/>
              </w:rPr>
              <w:t>23,456</w:t>
            </w:r>
          </w:p>
        </w:tc>
        <w:tc>
          <w:tcPr>
            <w:tcW w:w="0" w:type="auto"/>
            <w:tcBorders>
              <w:top w:val="nil"/>
              <w:left w:val="nil"/>
              <w:bottom w:val="single" w:sz="8" w:space="0" w:color="auto"/>
              <w:right w:val="single" w:sz="8" w:space="0" w:color="auto"/>
            </w:tcBorders>
            <w:shd w:val="clear" w:color="000000" w:fill="C5D9F1"/>
            <w:noWrap/>
            <w:vAlign w:val="center"/>
            <w:hideMark/>
          </w:tcPr>
          <w:p w14:paraId="4F5882A2" w14:textId="77777777" w:rsidR="00E03650" w:rsidRPr="009C5ECD" w:rsidRDefault="00E03650" w:rsidP="00666827">
            <w:pPr>
              <w:jc w:val="center"/>
              <w:rPr>
                <w:color w:val="000000"/>
                <w:sz w:val="20"/>
                <w:szCs w:val="20"/>
              </w:rPr>
            </w:pPr>
            <w:r w:rsidRPr="009C5ECD">
              <w:rPr>
                <w:color w:val="000000"/>
                <w:sz w:val="20"/>
                <w:szCs w:val="20"/>
              </w:rPr>
              <w:t>771%</w:t>
            </w:r>
          </w:p>
        </w:tc>
        <w:tc>
          <w:tcPr>
            <w:tcW w:w="0" w:type="auto"/>
            <w:tcBorders>
              <w:top w:val="nil"/>
              <w:left w:val="nil"/>
              <w:bottom w:val="single" w:sz="8" w:space="0" w:color="auto"/>
              <w:right w:val="single" w:sz="8" w:space="0" w:color="auto"/>
            </w:tcBorders>
            <w:shd w:val="clear" w:color="000000" w:fill="F2DCDB"/>
            <w:noWrap/>
            <w:vAlign w:val="center"/>
            <w:hideMark/>
          </w:tcPr>
          <w:p w14:paraId="1198548D" w14:textId="77777777" w:rsidR="00E03650" w:rsidRPr="009C5ECD" w:rsidRDefault="00E03650" w:rsidP="00666827">
            <w:pPr>
              <w:jc w:val="center"/>
              <w:rPr>
                <w:color w:val="000000"/>
                <w:sz w:val="20"/>
                <w:szCs w:val="20"/>
              </w:rPr>
            </w:pPr>
            <w:r w:rsidRPr="009C5ECD">
              <w:rPr>
                <w:color w:val="000000"/>
                <w:sz w:val="20"/>
                <w:szCs w:val="20"/>
              </w:rPr>
              <w:t>37,676</w:t>
            </w:r>
          </w:p>
        </w:tc>
        <w:tc>
          <w:tcPr>
            <w:tcW w:w="0" w:type="auto"/>
            <w:tcBorders>
              <w:top w:val="nil"/>
              <w:left w:val="nil"/>
              <w:bottom w:val="single" w:sz="8" w:space="0" w:color="auto"/>
              <w:right w:val="single" w:sz="8" w:space="0" w:color="auto"/>
            </w:tcBorders>
            <w:shd w:val="clear" w:color="000000" w:fill="F2DCDB"/>
            <w:noWrap/>
            <w:vAlign w:val="center"/>
            <w:hideMark/>
          </w:tcPr>
          <w:p w14:paraId="1BF05494" w14:textId="77777777" w:rsidR="00E03650" w:rsidRPr="009C5ECD" w:rsidRDefault="00E03650" w:rsidP="00666827">
            <w:pPr>
              <w:jc w:val="center"/>
              <w:rPr>
                <w:color w:val="000000"/>
                <w:sz w:val="20"/>
                <w:szCs w:val="20"/>
              </w:rPr>
            </w:pPr>
            <w:r w:rsidRPr="009C5ECD">
              <w:rPr>
                <w:color w:val="000000"/>
                <w:sz w:val="20"/>
                <w:szCs w:val="20"/>
              </w:rPr>
              <w:t>175,374</w:t>
            </w:r>
          </w:p>
        </w:tc>
        <w:tc>
          <w:tcPr>
            <w:tcW w:w="0" w:type="auto"/>
            <w:tcBorders>
              <w:top w:val="nil"/>
              <w:left w:val="nil"/>
              <w:bottom w:val="single" w:sz="8" w:space="0" w:color="auto"/>
              <w:right w:val="single" w:sz="8" w:space="0" w:color="auto"/>
            </w:tcBorders>
            <w:shd w:val="clear" w:color="000000" w:fill="F2DCDB"/>
            <w:noWrap/>
            <w:vAlign w:val="center"/>
            <w:hideMark/>
          </w:tcPr>
          <w:p w14:paraId="6DE983CF" w14:textId="77777777" w:rsidR="00E03650" w:rsidRPr="009C5ECD" w:rsidRDefault="00E03650" w:rsidP="00666827">
            <w:pPr>
              <w:jc w:val="center"/>
              <w:rPr>
                <w:color w:val="000000"/>
                <w:sz w:val="20"/>
                <w:szCs w:val="20"/>
              </w:rPr>
            </w:pPr>
            <w:r w:rsidRPr="009C5ECD">
              <w:rPr>
                <w:color w:val="000000"/>
                <w:sz w:val="20"/>
                <w:szCs w:val="20"/>
              </w:rPr>
              <w:t>465%</w:t>
            </w:r>
          </w:p>
        </w:tc>
        <w:tc>
          <w:tcPr>
            <w:tcW w:w="0" w:type="auto"/>
            <w:tcBorders>
              <w:top w:val="nil"/>
              <w:left w:val="nil"/>
              <w:bottom w:val="single" w:sz="8" w:space="0" w:color="auto"/>
              <w:right w:val="single" w:sz="8" w:space="0" w:color="auto"/>
            </w:tcBorders>
            <w:shd w:val="clear" w:color="000000" w:fill="D8E4BC"/>
            <w:noWrap/>
            <w:vAlign w:val="center"/>
            <w:hideMark/>
          </w:tcPr>
          <w:p w14:paraId="3272986E" w14:textId="77777777" w:rsidR="00E03650" w:rsidRPr="009C5ECD" w:rsidRDefault="00E03650" w:rsidP="00666827">
            <w:pPr>
              <w:jc w:val="center"/>
              <w:rPr>
                <w:color w:val="000000"/>
                <w:sz w:val="20"/>
                <w:szCs w:val="20"/>
              </w:rPr>
            </w:pPr>
            <w:r w:rsidRPr="009C5ECD">
              <w:rPr>
                <w:color w:val="000000"/>
                <w:sz w:val="20"/>
                <w:szCs w:val="20"/>
              </w:rPr>
              <w:t>270</w:t>
            </w:r>
          </w:p>
        </w:tc>
        <w:tc>
          <w:tcPr>
            <w:tcW w:w="0" w:type="auto"/>
            <w:tcBorders>
              <w:top w:val="nil"/>
              <w:left w:val="nil"/>
              <w:bottom w:val="single" w:sz="8" w:space="0" w:color="auto"/>
              <w:right w:val="single" w:sz="8" w:space="0" w:color="auto"/>
            </w:tcBorders>
            <w:shd w:val="clear" w:color="000000" w:fill="D8E4BC"/>
            <w:noWrap/>
            <w:vAlign w:val="center"/>
            <w:hideMark/>
          </w:tcPr>
          <w:p w14:paraId="714E9417" w14:textId="77777777" w:rsidR="00E03650" w:rsidRPr="009C5ECD" w:rsidRDefault="00E03650" w:rsidP="00666827">
            <w:pPr>
              <w:jc w:val="center"/>
              <w:rPr>
                <w:color w:val="000000"/>
                <w:sz w:val="20"/>
                <w:szCs w:val="20"/>
              </w:rPr>
            </w:pPr>
            <w:r w:rsidRPr="009C5ECD">
              <w:rPr>
                <w:color w:val="000000"/>
                <w:sz w:val="20"/>
                <w:szCs w:val="20"/>
              </w:rPr>
              <w:t>228</w:t>
            </w:r>
          </w:p>
        </w:tc>
      </w:tr>
      <w:tr w:rsidR="001129C8" w:rsidRPr="009C5ECD" w14:paraId="77362A62"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73FFACC" w14:textId="77777777" w:rsidR="00E03650" w:rsidRPr="009C5ECD" w:rsidRDefault="00E03650" w:rsidP="00666827">
            <w:pPr>
              <w:jc w:val="center"/>
              <w:rPr>
                <w:color w:val="000000"/>
                <w:sz w:val="20"/>
                <w:szCs w:val="20"/>
              </w:rPr>
            </w:pPr>
            <w:r w:rsidRPr="009C5ECD">
              <w:rPr>
                <w:color w:val="000000"/>
                <w:sz w:val="20"/>
                <w:szCs w:val="20"/>
              </w:rPr>
              <w:t>Vermilion snapper</w:t>
            </w:r>
          </w:p>
        </w:tc>
        <w:tc>
          <w:tcPr>
            <w:tcW w:w="0" w:type="auto"/>
            <w:tcBorders>
              <w:top w:val="nil"/>
              <w:left w:val="nil"/>
              <w:bottom w:val="single" w:sz="8" w:space="0" w:color="auto"/>
              <w:right w:val="single" w:sz="8" w:space="0" w:color="auto"/>
            </w:tcBorders>
            <w:shd w:val="clear" w:color="000000" w:fill="B7DEE8"/>
            <w:noWrap/>
            <w:vAlign w:val="center"/>
            <w:hideMark/>
          </w:tcPr>
          <w:p w14:paraId="7C853973" w14:textId="77777777" w:rsidR="00E03650" w:rsidRPr="009C5ECD" w:rsidRDefault="00E03650" w:rsidP="00666827">
            <w:pPr>
              <w:jc w:val="center"/>
              <w:rPr>
                <w:color w:val="000000"/>
                <w:sz w:val="20"/>
                <w:szCs w:val="20"/>
              </w:rPr>
            </w:pPr>
            <w:r w:rsidRPr="009C5ECD">
              <w:rPr>
                <w:color w:val="000000"/>
                <w:sz w:val="20"/>
                <w:szCs w:val="20"/>
              </w:rPr>
              <w:t>123,838</w:t>
            </w:r>
          </w:p>
        </w:tc>
        <w:tc>
          <w:tcPr>
            <w:tcW w:w="0" w:type="auto"/>
            <w:tcBorders>
              <w:top w:val="nil"/>
              <w:left w:val="nil"/>
              <w:bottom w:val="single" w:sz="8" w:space="0" w:color="auto"/>
              <w:right w:val="single" w:sz="8" w:space="0" w:color="auto"/>
            </w:tcBorders>
            <w:shd w:val="clear" w:color="000000" w:fill="B7DEE8"/>
            <w:noWrap/>
            <w:vAlign w:val="center"/>
            <w:hideMark/>
          </w:tcPr>
          <w:p w14:paraId="1DF9ECB6" w14:textId="77777777" w:rsidR="00E03650" w:rsidRPr="009C5ECD" w:rsidRDefault="00E03650" w:rsidP="00666827">
            <w:pPr>
              <w:jc w:val="center"/>
              <w:rPr>
                <w:color w:val="000000"/>
                <w:sz w:val="20"/>
                <w:szCs w:val="20"/>
              </w:rPr>
            </w:pPr>
            <w:r w:rsidRPr="009C5ECD">
              <w:rPr>
                <w:color w:val="000000"/>
                <w:sz w:val="20"/>
                <w:szCs w:val="20"/>
              </w:rPr>
              <w:t>75,864</w:t>
            </w:r>
          </w:p>
        </w:tc>
        <w:tc>
          <w:tcPr>
            <w:tcW w:w="0" w:type="auto"/>
            <w:tcBorders>
              <w:top w:val="nil"/>
              <w:left w:val="nil"/>
              <w:bottom w:val="single" w:sz="8" w:space="0" w:color="auto"/>
              <w:right w:val="single" w:sz="8" w:space="0" w:color="auto"/>
            </w:tcBorders>
            <w:shd w:val="clear" w:color="000000" w:fill="B7DEE8"/>
            <w:noWrap/>
            <w:vAlign w:val="center"/>
            <w:hideMark/>
          </w:tcPr>
          <w:p w14:paraId="17FAC661" w14:textId="77777777" w:rsidR="00E03650" w:rsidRPr="009C5ECD" w:rsidRDefault="00E03650" w:rsidP="00666827">
            <w:pPr>
              <w:jc w:val="center"/>
              <w:rPr>
                <w:color w:val="000000"/>
                <w:sz w:val="20"/>
                <w:szCs w:val="20"/>
              </w:rPr>
            </w:pPr>
            <w:r w:rsidRPr="009C5ECD">
              <w:rPr>
                <w:color w:val="000000"/>
                <w:sz w:val="20"/>
                <w:szCs w:val="20"/>
              </w:rPr>
              <w:t>61%</w:t>
            </w:r>
          </w:p>
        </w:tc>
        <w:tc>
          <w:tcPr>
            <w:tcW w:w="0" w:type="auto"/>
            <w:tcBorders>
              <w:top w:val="nil"/>
              <w:left w:val="nil"/>
              <w:bottom w:val="single" w:sz="8" w:space="0" w:color="auto"/>
              <w:right w:val="single" w:sz="8" w:space="0" w:color="auto"/>
            </w:tcBorders>
            <w:shd w:val="clear" w:color="000000" w:fill="C5D9F1"/>
            <w:noWrap/>
            <w:vAlign w:val="center"/>
            <w:hideMark/>
          </w:tcPr>
          <w:p w14:paraId="0A993CED" w14:textId="77777777" w:rsidR="00E03650" w:rsidRPr="009C5ECD" w:rsidRDefault="00E03650" w:rsidP="00666827">
            <w:pPr>
              <w:jc w:val="center"/>
              <w:rPr>
                <w:color w:val="000000"/>
                <w:sz w:val="20"/>
                <w:szCs w:val="20"/>
              </w:rPr>
            </w:pPr>
            <w:r w:rsidRPr="009C5ECD">
              <w:rPr>
                <w:color w:val="000000"/>
                <w:sz w:val="20"/>
                <w:szCs w:val="20"/>
              </w:rPr>
              <w:t>41,936</w:t>
            </w:r>
          </w:p>
        </w:tc>
        <w:tc>
          <w:tcPr>
            <w:tcW w:w="0" w:type="auto"/>
            <w:tcBorders>
              <w:top w:val="nil"/>
              <w:left w:val="nil"/>
              <w:bottom w:val="single" w:sz="8" w:space="0" w:color="auto"/>
              <w:right w:val="single" w:sz="8" w:space="0" w:color="auto"/>
            </w:tcBorders>
            <w:shd w:val="clear" w:color="000000" w:fill="C5D9F1"/>
            <w:noWrap/>
            <w:vAlign w:val="center"/>
            <w:hideMark/>
          </w:tcPr>
          <w:p w14:paraId="33C300BA" w14:textId="77777777" w:rsidR="00E03650" w:rsidRPr="009C5ECD" w:rsidRDefault="00E03650" w:rsidP="00666827">
            <w:pPr>
              <w:jc w:val="center"/>
              <w:rPr>
                <w:color w:val="000000"/>
                <w:sz w:val="20"/>
                <w:szCs w:val="20"/>
              </w:rPr>
            </w:pPr>
            <w:r w:rsidRPr="009C5ECD">
              <w:rPr>
                <w:color w:val="000000"/>
                <w:sz w:val="20"/>
                <w:szCs w:val="20"/>
              </w:rPr>
              <w:t>27,590</w:t>
            </w:r>
          </w:p>
        </w:tc>
        <w:tc>
          <w:tcPr>
            <w:tcW w:w="0" w:type="auto"/>
            <w:tcBorders>
              <w:top w:val="nil"/>
              <w:left w:val="nil"/>
              <w:bottom w:val="single" w:sz="8" w:space="0" w:color="auto"/>
              <w:right w:val="single" w:sz="8" w:space="0" w:color="auto"/>
            </w:tcBorders>
            <w:shd w:val="clear" w:color="000000" w:fill="C5D9F1"/>
            <w:noWrap/>
            <w:vAlign w:val="center"/>
            <w:hideMark/>
          </w:tcPr>
          <w:p w14:paraId="5AFFB4FD" w14:textId="77777777" w:rsidR="00E03650" w:rsidRPr="009C5ECD" w:rsidRDefault="00E03650" w:rsidP="00666827">
            <w:pPr>
              <w:jc w:val="center"/>
              <w:rPr>
                <w:color w:val="000000"/>
                <w:sz w:val="20"/>
                <w:szCs w:val="20"/>
              </w:rPr>
            </w:pPr>
            <w:r w:rsidRPr="009C5ECD">
              <w:rPr>
                <w:color w:val="000000"/>
                <w:sz w:val="20"/>
                <w:szCs w:val="20"/>
              </w:rPr>
              <w:t>66%</w:t>
            </w:r>
          </w:p>
        </w:tc>
        <w:tc>
          <w:tcPr>
            <w:tcW w:w="0" w:type="auto"/>
            <w:tcBorders>
              <w:top w:val="nil"/>
              <w:left w:val="nil"/>
              <w:bottom w:val="single" w:sz="8" w:space="0" w:color="auto"/>
              <w:right w:val="single" w:sz="8" w:space="0" w:color="auto"/>
            </w:tcBorders>
            <w:shd w:val="clear" w:color="000000" w:fill="F2DCDB"/>
            <w:noWrap/>
            <w:vAlign w:val="center"/>
            <w:hideMark/>
          </w:tcPr>
          <w:p w14:paraId="1ECF2A73" w14:textId="77777777" w:rsidR="00E03650" w:rsidRPr="009C5ECD" w:rsidRDefault="00E03650" w:rsidP="00666827">
            <w:pPr>
              <w:jc w:val="center"/>
              <w:rPr>
                <w:color w:val="000000"/>
                <w:sz w:val="20"/>
                <w:szCs w:val="20"/>
              </w:rPr>
            </w:pPr>
            <w:r w:rsidRPr="009C5ECD">
              <w:rPr>
                <w:color w:val="000000"/>
                <w:sz w:val="20"/>
                <w:szCs w:val="20"/>
              </w:rPr>
              <w:t>64,634</w:t>
            </w:r>
          </w:p>
        </w:tc>
        <w:tc>
          <w:tcPr>
            <w:tcW w:w="0" w:type="auto"/>
            <w:tcBorders>
              <w:top w:val="nil"/>
              <w:left w:val="nil"/>
              <w:bottom w:val="single" w:sz="8" w:space="0" w:color="auto"/>
              <w:right w:val="single" w:sz="8" w:space="0" w:color="auto"/>
            </w:tcBorders>
            <w:shd w:val="clear" w:color="000000" w:fill="F2DCDB"/>
            <w:noWrap/>
            <w:vAlign w:val="center"/>
            <w:hideMark/>
          </w:tcPr>
          <w:p w14:paraId="0C9C3DC5" w14:textId="77777777" w:rsidR="00E03650" w:rsidRPr="009C5ECD" w:rsidRDefault="00E03650" w:rsidP="00666827">
            <w:pPr>
              <w:jc w:val="center"/>
              <w:rPr>
                <w:color w:val="000000"/>
                <w:sz w:val="20"/>
                <w:szCs w:val="20"/>
              </w:rPr>
            </w:pPr>
            <w:r w:rsidRPr="009C5ECD">
              <w:rPr>
                <w:color w:val="000000"/>
                <w:sz w:val="20"/>
                <w:szCs w:val="20"/>
              </w:rPr>
              <w:t>74,214</w:t>
            </w:r>
          </w:p>
        </w:tc>
        <w:tc>
          <w:tcPr>
            <w:tcW w:w="0" w:type="auto"/>
            <w:tcBorders>
              <w:top w:val="nil"/>
              <w:left w:val="nil"/>
              <w:bottom w:val="single" w:sz="8" w:space="0" w:color="auto"/>
              <w:right w:val="single" w:sz="8" w:space="0" w:color="auto"/>
            </w:tcBorders>
            <w:shd w:val="clear" w:color="000000" w:fill="F2DCDB"/>
            <w:noWrap/>
            <w:vAlign w:val="center"/>
            <w:hideMark/>
          </w:tcPr>
          <w:p w14:paraId="60FA66B0" w14:textId="77777777" w:rsidR="00E03650" w:rsidRPr="009C5ECD" w:rsidRDefault="00E03650" w:rsidP="00666827">
            <w:pPr>
              <w:jc w:val="center"/>
              <w:rPr>
                <w:color w:val="000000"/>
                <w:sz w:val="20"/>
                <w:szCs w:val="20"/>
              </w:rPr>
            </w:pPr>
            <w:r w:rsidRPr="009C5ECD">
              <w:rPr>
                <w:color w:val="000000"/>
                <w:sz w:val="20"/>
                <w:szCs w:val="20"/>
              </w:rPr>
              <w:t>115%</w:t>
            </w:r>
          </w:p>
        </w:tc>
        <w:tc>
          <w:tcPr>
            <w:tcW w:w="0" w:type="auto"/>
            <w:tcBorders>
              <w:top w:val="nil"/>
              <w:left w:val="nil"/>
              <w:bottom w:val="single" w:sz="8" w:space="0" w:color="auto"/>
              <w:right w:val="single" w:sz="8" w:space="0" w:color="auto"/>
            </w:tcBorders>
            <w:shd w:val="clear" w:color="000000" w:fill="D8E4BC"/>
            <w:noWrap/>
            <w:vAlign w:val="center"/>
            <w:hideMark/>
          </w:tcPr>
          <w:p w14:paraId="014249A7" w14:textId="77777777" w:rsidR="00E03650" w:rsidRPr="009C5ECD" w:rsidRDefault="00E03650" w:rsidP="00666827">
            <w:pPr>
              <w:jc w:val="center"/>
              <w:rPr>
                <w:color w:val="000000"/>
                <w:sz w:val="20"/>
                <w:szCs w:val="20"/>
              </w:rPr>
            </w:pPr>
            <w:r w:rsidRPr="009C5ECD">
              <w:rPr>
                <w:color w:val="000000"/>
                <w:sz w:val="20"/>
                <w:szCs w:val="20"/>
              </w:rPr>
              <w:t>953,423</w:t>
            </w:r>
          </w:p>
        </w:tc>
        <w:tc>
          <w:tcPr>
            <w:tcW w:w="0" w:type="auto"/>
            <w:tcBorders>
              <w:top w:val="nil"/>
              <w:left w:val="nil"/>
              <w:bottom w:val="single" w:sz="8" w:space="0" w:color="auto"/>
              <w:right w:val="single" w:sz="8" w:space="0" w:color="auto"/>
            </w:tcBorders>
            <w:shd w:val="clear" w:color="000000" w:fill="D8E4BC"/>
            <w:noWrap/>
            <w:vAlign w:val="center"/>
            <w:hideMark/>
          </w:tcPr>
          <w:p w14:paraId="67104BBB" w14:textId="77777777" w:rsidR="00E03650" w:rsidRPr="009C5ECD" w:rsidRDefault="00E03650" w:rsidP="00666827">
            <w:pPr>
              <w:jc w:val="center"/>
              <w:rPr>
                <w:color w:val="000000"/>
                <w:sz w:val="20"/>
                <w:szCs w:val="20"/>
              </w:rPr>
            </w:pPr>
            <w:r w:rsidRPr="009C5ECD">
              <w:rPr>
                <w:color w:val="000000"/>
                <w:sz w:val="20"/>
                <w:szCs w:val="20"/>
              </w:rPr>
              <w:t>4,332</w:t>
            </w:r>
          </w:p>
        </w:tc>
      </w:tr>
      <w:tr w:rsidR="001129C8" w:rsidRPr="009C5ECD" w14:paraId="195E707D"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404FB04" w14:textId="77777777" w:rsidR="00E03650" w:rsidRPr="009C5ECD" w:rsidRDefault="00E03650" w:rsidP="00666827">
            <w:pPr>
              <w:jc w:val="center"/>
              <w:rPr>
                <w:color w:val="000000"/>
                <w:sz w:val="20"/>
                <w:szCs w:val="20"/>
              </w:rPr>
            </w:pPr>
            <w:r w:rsidRPr="009C5ECD">
              <w:rPr>
                <w:color w:val="000000"/>
                <w:sz w:val="20"/>
                <w:szCs w:val="20"/>
              </w:rPr>
              <w:t>White grunt</w:t>
            </w:r>
          </w:p>
        </w:tc>
        <w:tc>
          <w:tcPr>
            <w:tcW w:w="0" w:type="auto"/>
            <w:tcBorders>
              <w:top w:val="nil"/>
              <w:left w:val="nil"/>
              <w:bottom w:val="single" w:sz="8" w:space="0" w:color="auto"/>
              <w:right w:val="single" w:sz="8" w:space="0" w:color="auto"/>
            </w:tcBorders>
            <w:shd w:val="clear" w:color="000000" w:fill="B7DEE8"/>
            <w:noWrap/>
            <w:vAlign w:val="center"/>
            <w:hideMark/>
          </w:tcPr>
          <w:p w14:paraId="7E1ECDBF" w14:textId="77777777" w:rsidR="00E03650" w:rsidRPr="009C5ECD" w:rsidRDefault="00E03650" w:rsidP="00666827">
            <w:pPr>
              <w:jc w:val="center"/>
              <w:rPr>
                <w:color w:val="000000"/>
                <w:sz w:val="20"/>
                <w:szCs w:val="20"/>
              </w:rPr>
            </w:pPr>
            <w:r w:rsidRPr="009C5ECD">
              <w:rPr>
                <w:color w:val="000000"/>
                <w:sz w:val="20"/>
                <w:szCs w:val="20"/>
              </w:rPr>
              <w:t>156,473</w:t>
            </w:r>
          </w:p>
        </w:tc>
        <w:tc>
          <w:tcPr>
            <w:tcW w:w="0" w:type="auto"/>
            <w:tcBorders>
              <w:top w:val="nil"/>
              <w:left w:val="nil"/>
              <w:bottom w:val="single" w:sz="8" w:space="0" w:color="auto"/>
              <w:right w:val="single" w:sz="8" w:space="0" w:color="auto"/>
            </w:tcBorders>
            <w:shd w:val="clear" w:color="000000" w:fill="B7DEE8"/>
            <w:noWrap/>
            <w:vAlign w:val="center"/>
            <w:hideMark/>
          </w:tcPr>
          <w:p w14:paraId="7EC81DFB" w14:textId="77777777" w:rsidR="00E03650" w:rsidRPr="009C5ECD" w:rsidRDefault="00E03650" w:rsidP="00666827">
            <w:pPr>
              <w:jc w:val="center"/>
              <w:rPr>
                <w:color w:val="000000"/>
                <w:sz w:val="20"/>
                <w:szCs w:val="20"/>
              </w:rPr>
            </w:pPr>
            <w:r w:rsidRPr="009C5ECD">
              <w:rPr>
                <w:color w:val="000000"/>
                <w:sz w:val="20"/>
                <w:szCs w:val="20"/>
              </w:rPr>
              <w:t>50,045</w:t>
            </w:r>
          </w:p>
        </w:tc>
        <w:tc>
          <w:tcPr>
            <w:tcW w:w="0" w:type="auto"/>
            <w:tcBorders>
              <w:top w:val="nil"/>
              <w:left w:val="nil"/>
              <w:bottom w:val="single" w:sz="8" w:space="0" w:color="auto"/>
              <w:right w:val="single" w:sz="8" w:space="0" w:color="auto"/>
            </w:tcBorders>
            <w:shd w:val="clear" w:color="000000" w:fill="B7DEE8"/>
            <w:noWrap/>
            <w:vAlign w:val="center"/>
            <w:hideMark/>
          </w:tcPr>
          <w:p w14:paraId="5E33214A" w14:textId="77777777" w:rsidR="00E03650" w:rsidRPr="009C5ECD" w:rsidRDefault="00E03650" w:rsidP="00666827">
            <w:pPr>
              <w:jc w:val="center"/>
              <w:rPr>
                <w:color w:val="000000"/>
                <w:sz w:val="20"/>
                <w:szCs w:val="20"/>
              </w:rPr>
            </w:pPr>
            <w:r w:rsidRPr="009C5ECD">
              <w:rPr>
                <w:color w:val="000000"/>
                <w:sz w:val="20"/>
                <w:szCs w:val="20"/>
              </w:rPr>
              <w:t>32%</w:t>
            </w:r>
          </w:p>
        </w:tc>
        <w:tc>
          <w:tcPr>
            <w:tcW w:w="0" w:type="auto"/>
            <w:tcBorders>
              <w:top w:val="nil"/>
              <w:left w:val="nil"/>
              <w:bottom w:val="single" w:sz="8" w:space="0" w:color="auto"/>
              <w:right w:val="single" w:sz="8" w:space="0" w:color="auto"/>
            </w:tcBorders>
            <w:shd w:val="clear" w:color="000000" w:fill="C5D9F1"/>
            <w:noWrap/>
            <w:vAlign w:val="center"/>
            <w:hideMark/>
          </w:tcPr>
          <w:p w14:paraId="6A90FE81" w14:textId="77777777" w:rsidR="00E03650" w:rsidRPr="009C5ECD" w:rsidRDefault="00E03650" w:rsidP="00666827">
            <w:pPr>
              <w:jc w:val="center"/>
              <w:rPr>
                <w:color w:val="000000"/>
                <w:sz w:val="20"/>
                <w:szCs w:val="20"/>
              </w:rPr>
            </w:pPr>
            <w:r w:rsidRPr="009C5ECD">
              <w:rPr>
                <w:color w:val="000000"/>
                <w:sz w:val="20"/>
                <w:szCs w:val="20"/>
              </w:rPr>
              <w:t>24,932</w:t>
            </w:r>
          </w:p>
        </w:tc>
        <w:tc>
          <w:tcPr>
            <w:tcW w:w="0" w:type="auto"/>
            <w:tcBorders>
              <w:top w:val="nil"/>
              <w:left w:val="nil"/>
              <w:bottom w:val="single" w:sz="8" w:space="0" w:color="auto"/>
              <w:right w:val="single" w:sz="8" w:space="0" w:color="auto"/>
            </w:tcBorders>
            <w:shd w:val="clear" w:color="000000" w:fill="C5D9F1"/>
            <w:noWrap/>
            <w:vAlign w:val="center"/>
            <w:hideMark/>
          </w:tcPr>
          <w:p w14:paraId="578086E9" w14:textId="77777777" w:rsidR="00E03650" w:rsidRPr="009C5ECD" w:rsidRDefault="00E03650" w:rsidP="00666827">
            <w:pPr>
              <w:jc w:val="center"/>
              <w:rPr>
                <w:color w:val="000000"/>
                <w:sz w:val="20"/>
                <w:szCs w:val="20"/>
              </w:rPr>
            </w:pPr>
            <w:r w:rsidRPr="009C5ECD">
              <w:rPr>
                <w:color w:val="000000"/>
                <w:sz w:val="20"/>
                <w:szCs w:val="20"/>
              </w:rPr>
              <w:t>8,320</w:t>
            </w:r>
          </w:p>
        </w:tc>
        <w:tc>
          <w:tcPr>
            <w:tcW w:w="0" w:type="auto"/>
            <w:tcBorders>
              <w:top w:val="nil"/>
              <w:left w:val="nil"/>
              <w:bottom w:val="single" w:sz="8" w:space="0" w:color="auto"/>
              <w:right w:val="single" w:sz="8" w:space="0" w:color="auto"/>
            </w:tcBorders>
            <w:shd w:val="clear" w:color="000000" w:fill="C5D9F1"/>
            <w:noWrap/>
            <w:vAlign w:val="center"/>
            <w:hideMark/>
          </w:tcPr>
          <w:p w14:paraId="78C46FA2" w14:textId="77777777" w:rsidR="00E03650" w:rsidRPr="009C5ECD" w:rsidRDefault="00E03650" w:rsidP="00666827">
            <w:pPr>
              <w:jc w:val="center"/>
              <w:rPr>
                <w:color w:val="000000"/>
                <w:sz w:val="20"/>
                <w:szCs w:val="20"/>
              </w:rPr>
            </w:pPr>
            <w:r w:rsidRPr="009C5ECD">
              <w:rPr>
                <w:color w:val="000000"/>
                <w:sz w:val="20"/>
                <w:szCs w:val="20"/>
              </w:rPr>
              <w:t>33%</w:t>
            </w:r>
          </w:p>
        </w:tc>
        <w:tc>
          <w:tcPr>
            <w:tcW w:w="0" w:type="auto"/>
            <w:tcBorders>
              <w:top w:val="nil"/>
              <w:left w:val="nil"/>
              <w:bottom w:val="single" w:sz="8" w:space="0" w:color="auto"/>
              <w:right w:val="single" w:sz="8" w:space="0" w:color="auto"/>
            </w:tcBorders>
            <w:shd w:val="clear" w:color="000000" w:fill="F2DCDB"/>
            <w:noWrap/>
            <w:vAlign w:val="center"/>
            <w:hideMark/>
          </w:tcPr>
          <w:p w14:paraId="22FB95A3" w14:textId="77777777" w:rsidR="00E03650" w:rsidRPr="009C5ECD" w:rsidRDefault="00E03650" w:rsidP="00666827">
            <w:pPr>
              <w:jc w:val="center"/>
              <w:rPr>
                <w:color w:val="000000"/>
                <w:sz w:val="20"/>
                <w:szCs w:val="20"/>
              </w:rPr>
            </w:pPr>
            <w:r w:rsidRPr="009C5ECD">
              <w:rPr>
                <w:color w:val="000000"/>
                <w:sz w:val="20"/>
                <w:szCs w:val="20"/>
              </w:rPr>
              <w:t>197,508</w:t>
            </w:r>
          </w:p>
        </w:tc>
        <w:tc>
          <w:tcPr>
            <w:tcW w:w="0" w:type="auto"/>
            <w:tcBorders>
              <w:top w:val="nil"/>
              <w:left w:val="nil"/>
              <w:bottom w:val="single" w:sz="8" w:space="0" w:color="auto"/>
              <w:right w:val="single" w:sz="8" w:space="0" w:color="auto"/>
            </w:tcBorders>
            <w:shd w:val="clear" w:color="000000" w:fill="F2DCDB"/>
            <w:noWrap/>
            <w:vAlign w:val="center"/>
            <w:hideMark/>
          </w:tcPr>
          <w:p w14:paraId="28A84464" w14:textId="77777777" w:rsidR="00E03650" w:rsidRPr="009C5ECD" w:rsidRDefault="00E03650" w:rsidP="00666827">
            <w:pPr>
              <w:jc w:val="center"/>
              <w:rPr>
                <w:color w:val="000000"/>
                <w:sz w:val="20"/>
                <w:szCs w:val="20"/>
              </w:rPr>
            </w:pPr>
            <w:r w:rsidRPr="009C5ECD">
              <w:rPr>
                <w:color w:val="000000"/>
                <w:sz w:val="20"/>
                <w:szCs w:val="20"/>
              </w:rPr>
              <w:t>197,726</w:t>
            </w:r>
          </w:p>
        </w:tc>
        <w:tc>
          <w:tcPr>
            <w:tcW w:w="0" w:type="auto"/>
            <w:tcBorders>
              <w:top w:val="nil"/>
              <w:left w:val="nil"/>
              <w:bottom w:val="single" w:sz="8" w:space="0" w:color="auto"/>
              <w:right w:val="single" w:sz="8" w:space="0" w:color="auto"/>
            </w:tcBorders>
            <w:shd w:val="clear" w:color="000000" w:fill="F2DCDB"/>
            <w:noWrap/>
            <w:vAlign w:val="center"/>
            <w:hideMark/>
          </w:tcPr>
          <w:p w14:paraId="5A547051" w14:textId="77777777" w:rsidR="00E03650" w:rsidRPr="009C5ECD" w:rsidRDefault="00E03650" w:rsidP="00666827">
            <w:pPr>
              <w:jc w:val="center"/>
              <w:rPr>
                <w:color w:val="000000"/>
                <w:sz w:val="20"/>
                <w:szCs w:val="20"/>
              </w:rPr>
            </w:pPr>
            <w:r w:rsidRPr="009C5ECD">
              <w:rPr>
                <w:color w:val="000000"/>
                <w:sz w:val="20"/>
                <w:szCs w:val="20"/>
              </w:rPr>
              <w:t>100%</w:t>
            </w:r>
          </w:p>
        </w:tc>
        <w:tc>
          <w:tcPr>
            <w:tcW w:w="0" w:type="auto"/>
            <w:tcBorders>
              <w:top w:val="nil"/>
              <w:left w:val="nil"/>
              <w:bottom w:val="single" w:sz="8" w:space="0" w:color="auto"/>
              <w:right w:val="single" w:sz="8" w:space="0" w:color="auto"/>
            </w:tcBorders>
            <w:shd w:val="clear" w:color="000000" w:fill="D8E4BC"/>
            <w:noWrap/>
            <w:vAlign w:val="center"/>
            <w:hideMark/>
          </w:tcPr>
          <w:p w14:paraId="7465B1E8" w14:textId="77777777" w:rsidR="00E03650" w:rsidRPr="009C5ECD" w:rsidRDefault="00E03650" w:rsidP="00666827">
            <w:pPr>
              <w:jc w:val="center"/>
              <w:rPr>
                <w:color w:val="000000"/>
                <w:sz w:val="20"/>
                <w:szCs w:val="20"/>
              </w:rPr>
            </w:pPr>
            <w:r w:rsidRPr="009C5ECD">
              <w:rPr>
                <w:color w:val="000000"/>
                <w:sz w:val="20"/>
                <w:szCs w:val="20"/>
              </w:rPr>
              <w:t>98,323</w:t>
            </w:r>
          </w:p>
        </w:tc>
        <w:tc>
          <w:tcPr>
            <w:tcW w:w="0" w:type="auto"/>
            <w:tcBorders>
              <w:top w:val="nil"/>
              <w:left w:val="nil"/>
              <w:bottom w:val="single" w:sz="8" w:space="0" w:color="auto"/>
              <w:right w:val="single" w:sz="8" w:space="0" w:color="auto"/>
            </w:tcBorders>
            <w:shd w:val="clear" w:color="000000" w:fill="D8E4BC"/>
            <w:noWrap/>
            <w:vAlign w:val="center"/>
            <w:hideMark/>
          </w:tcPr>
          <w:p w14:paraId="7C67135A" w14:textId="77777777" w:rsidR="00E03650" w:rsidRPr="009C5ECD" w:rsidRDefault="00E03650" w:rsidP="00666827">
            <w:pPr>
              <w:jc w:val="center"/>
              <w:rPr>
                <w:color w:val="000000"/>
                <w:sz w:val="20"/>
                <w:szCs w:val="20"/>
              </w:rPr>
            </w:pPr>
            <w:r w:rsidRPr="009C5ECD">
              <w:rPr>
                <w:color w:val="000000"/>
                <w:sz w:val="20"/>
                <w:szCs w:val="20"/>
              </w:rPr>
              <w:t>453</w:t>
            </w:r>
          </w:p>
        </w:tc>
      </w:tr>
      <w:tr w:rsidR="001129C8" w:rsidRPr="009C5ECD" w14:paraId="2297AE8B"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0E2A93" w14:textId="77777777" w:rsidR="00E03650" w:rsidRPr="009C5ECD" w:rsidRDefault="00E03650" w:rsidP="00666827">
            <w:pPr>
              <w:jc w:val="center"/>
              <w:rPr>
                <w:color w:val="000000"/>
                <w:sz w:val="20"/>
                <w:szCs w:val="20"/>
              </w:rPr>
            </w:pPr>
            <w:r w:rsidRPr="009C5ECD">
              <w:rPr>
                <w:color w:val="000000"/>
                <w:sz w:val="20"/>
                <w:szCs w:val="20"/>
              </w:rPr>
              <w:t>Whitebone porgy</w:t>
            </w:r>
          </w:p>
        </w:tc>
        <w:tc>
          <w:tcPr>
            <w:tcW w:w="0" w:type="auto"/>
            <w:tcBorders>
              <w:top w:val="nil"/>
              <w:left w:val="nil"/>
              <w:bottom w:val="single" w:sz="8" w:space="0" w:color="auto"/>
              <w:right w:val="single" w:sz="8" w:space="0" w:color="auto"/>
            </w:tcBorders>
            <w:shd w:val="clear" w:color="000000" w:fill="B7DEE8"/>
            <w:noWrap/>
            <w:vAlign w:val="center"/>
            <w:hideMark/>
          </w:tcPr>
          <w:p w14:paraId="558427F6" w14:textId="77777777" w:rsidR="00E03650" w:rsidRPr="009C5ECD" w:rsidRDefault="00E03650" w:rsidP="00666827">
            <w:pPr>
              <w:jc w:val="center"/>
              <w:rPr>
                <w:color w:val="000000"/>
                <w:sz w:val="20"/>
                <w:szCs w:val="20"/>
              </w:rPr>
            </w:pPr>
            <w:r w:rsidRPr="009C5ECD">
              <w:rPr>
                <w:color w:val="000000"/>
                <w:sz w:val="20"/>
                <w:szCs w:val="20"/>
              </w:rPr>
              <w:t>5,390</w:t>
            </w:r>
          </w:p>
        </w:tc>
        <w:tc>
          <w:tcPr>
            <w:tcW w:w="0" w:type="auto"/>
            <w:tcBorders>
              <w:top w:val="nil"/>
              <w:left w:val="nil"/>
              <w:bottom w:val="single" w:sz="8" w:space="0" w:color="auto"/>
              <w:right w:val="single" w:sz="8" w:space="0" w:color="auto"/>
            </w:tcBorders>
            <w:shd w:val="clear" w:color="000000" w:fill="B7DEE8"/>
            <w:noWrap/>
            <w:vAlign w:val="center"/>
            <w:hideMark/>
          </w:tcPr>
          <w:p w14:paraId="49FDEB0C" w14:textId="77777777" w:rsidR="00E03650" w:rsidRPr="009C5ECD" w:rsidRDefault="00E03650" w:rsidP="00666827">
            <w:pPr>
              <w:jc w:val="center"/>
              <w:rPr>
                <w:color w:val="000000"/>
                <w:sz w:val="20"/>
                <w:szCs w:val="20"/>
              </w:rPr>
            </w:pPr>
            <w:r w:rsidRPr="009C5ECD">
              <w:rPr>
                <w:color w:val="000000"/>
                <w:sz w:val="20"/>
                <w:szCs w:val="20"/>
              </w:rPr>
              <w:t>491</w:t>
            </w:r>
          </w:p>
        </w:tc>
        <w:tc>
          <w:tcPr>
            <w:tcW w:w="0" w:type="auto"/>
            <w:tcBorders>
              <w:top w:val="nil"/>
              <w:left w:val="nil"/>
              <w:bottom w:val="single" w:sz="8" w:space="0" w:color="auto"/>
              <w:right w:val="single" w:sz="8" w:space="0" w:color="auto"/>
            </w:tcBorders>
            <w:shd w:val="clear" w:color="000000" w:fill="B7DEE8"/>
            <w:noWrap/>
            <w:vAlign w:val="center"/>
            <w:hideMark/>
          </w:tcPr>
          <w:p w14:paraId="2D2F0DAB" w14:textId="77777777" w:rsidR="00E03650" w:rsidRPr="009C5ECD" w:rsidRDefault="00E03650" w:rsidP="00666827">
            <w:pPr>
              <w:jc w:val="center"/>
              <w:rPr>
                <w:color w:val="000000"/>
                <w:sz w:val="20"/>
                <w:szCs w:val="20"/>
              </w:rPr>
            </w:pPr>
            <w:r w:rsidRPr="009C5ECD">
              <w:rPr>
                <w:color w:val="000000"/>
                <w:sz w:val="20"/>
                <w:szCs w:val="20"/>
              </w:rPr>
              <w:t>9%</w:t>
            </w:r>
          </w:p>
        </w:tc>
        <w:tc>
          <w:tcPr>
            <w:tcW w:w="0" w:type="auto"/>
            <w:tcBorders>
              <w:top w:val="nil"/>
              <w:left w:val="nil"/>
              <w:bottom w:val="single" w:sz="8" w:space="0" w:color="auto"/>
              <w:right w:val="single" w:sz="8" w:space="0" w:color="auto"/>
            </w:tcBorders>
            <w:shd w:val="clear" w:color="000000" w:fill="C5D9F1"/>
            <w:noWrap/>
            <w:vAlign w:val="center"/>
            <w:hideMark/>
          </w:tcPr>
          <w:p w14:paraId="012C1897" w14:textId="77777777" w:rsidR="00E03650" w:rsidRPr="009C5ECD" w:rsidRDefault="00E03650" w:rsidP="00666827">
            <w:pPr>
              <w:jc w:val="center"/>
              <w:rPr>
                <w:color w:val="000000"/>
                <w:sz w:val="20"/>
                <w:szCs w:val="20"/>
              </w:rPr>
            </w:pPr>
            <w:r w:rsidRPr="009C5ECD">
              <w:rPr>
                <w:color w:val="000000"/>
                <w:sz w:val="20"/>
                <w:szCs w:val="20"/>
              </w:rPr>
              <w:t>2,923</w:t>
            </w:r>
          </w:p>
        </w:tc>
        <w:tc>
          <w:tcPr>
            <w:tcW w:w="0" w:type="auto"/>
            <w:tcBorders>
              <w:top w:val="nil"/>
              <w:left w:val="nil"/>
              <w:bottom w:val="single" w:sz="8" w:space="0" w:color="auto"/>
              <w:right w:val="single" w:sz="8" w:space="0" w:color="auto"/>
            </w:tcBorders>
            <w:shd w:val="clear" w:color="000000" w:fill="C5D9F1"/>
            <w:noWrap/>
            <w:vAlign w:val="center"/>
            <w:hideMark/>
          </w:tcPr>
          <w:p w14:paraId="13B80691" w14:textId="77777777" w:rsidR="00E03650" w:rsidRPr="009C5ECD" w:rsidRDefault="00E03650" w:rsidP="00666827">
            <w:pPr>
              <w:jc w:val="center"/>
              <w:rPr>
                <w:color w:val="000000"/>
                <w:sz w:val="20"/>
                <w:szCs w:val="20"/>
              </w:rPr>
            </w:pPr>
            <w:r w:rsidRPr="009C5ECD">
              <w:rPr>
                <w:color w:val="000000"/>
                <w:sz w:val="20"/>
                <w:szCs w:val="20"/>
              </w:rPr>
              <w:t>119</w:t>
            </w:r>
          </w:p>
        </w:tc>
        <w:tc>
          <w:tcPr>
            <w:tcW w:w="0" w:type="auto"/>
            <w:tcBorders>
              <w:top w:val="nil"/>
              <w:left w:val="nil"/>
              <w:bottom w:val="single" w:sz="8" w:space="0" w:color="auto"/>
              <w:right w:val="single" w:sz="8" w:space="0" w:color="auto"/>
            </w:tcBorders>
            <w:shd w:val="clear" w:color="000000" w:fill="C5D9F1"/>
            <w:noWrap/>
            <w:vAlign w:val="center"/>
            <w:hideMark/>
          </w:tcPr>
          <w:p w14:paraId="15E09483" w14:textId="77777777" w:rsidR="00E03650" w:rsidRPr="009C5ECD" w:rsidRDefault="00E03650" w:rsidP="00666827">
            <w:pPr>
              <w:jc w:val="center"/>
              <w:rPr>
                <w:color w:val="000000"/>
                <w:sz w:val="20"/>
                <w:szCs w:val="20"/>
              </w:rPr>
            </w:pPr>
            <w:r w:rsidRPr="009C5ECD">
              <w:rPr>
                <w:color w:val="000000"/>
                <w:sz w:val="20"/>
                <w:szCs w:val="20"/>
              </w:rPr>
              <w:t>4%</w:t>
            </w:r>
          </w:p>
        </w:tc>
        <w:tc>
          <w:tcPr>
            <w:tcW w:w="0" w:type="auto"/>
            <w:tcBorders>
              <w:top w:val="nil"/>
              <w:left w:val="nil"/>
              <w:bottom w:val="single" w:sz="8" w:space="0" w:color="auto"/>
              <w:right w:val="single" w:sz="8" w:space="0" w:color="auto"/>
            </w:tcBorders>
            <w:shd w:val="clear" w:color="000000" w:fill="F2DCDB"/>
            <w:noWrap/>
            <w:vAlign w:val="center"/>
            <w:hideMark/>
          </w:tcPr>
          <w:p w14:paraId="63AE2E88" w14:textId="77777777" w:rsidR="00E03650" w:rsidRPr="009C5ECD" w:rsidRDefault="00E03650" w:rsidP="00666827">
            <w:pPr>
              <w:jc w:val="center"/>
              <w:rPr>
                <w:color w:val="000000"/>
                <w:sz w:val="20"/>
                <w:szCs w:val="20"/>
              </w:rPr>
            </w:pPr>
            <w:r w:rsidRPr="009C5ECD">
              <w:rPr>
                <w:color w:val="000000"/>
                <w:sz w:val="20"/>
                <w:szCs w:val="20"/>
              </w:rPr>
              <w:t>16,053</w:t>
            </w:r>
          </w:p>
        </w:tc>
        <w:tc>
          <w:tcPr>
            <w:tcW w:w="0" w:type="auto"/>
            <w:tcBorders>
              <w:top w:val="nil"/>
              <w:left w:val="nil"/>
              <w:bottom w:val="single" w:sz="8" w:space="0" w:color="auto"/>
              <w:right w:val="single" w:sz="8" w:space="0" w:color="auto"/>
            </w:tcBorders>
            <w:shd w:val="clear" w:color="000000" w:fill="F2DCDB"/>
            <w:noWrap/>
            <w:vAlign w:val="center"/>
            <w:hideMark/>
          </w:tcPr>
          <w:p w14:paraId="2C3BFDCC" w14:textId="77777777" w:rsidR="00E03650" w:rsidRPr="009C5ECD" w:rsidRDefault="00E03650" w:rsidP="00666827">
            <w:pPr>
              <w:jc w:val="center"/>
              <w:rPr>
                <w:color w:val="000000"/>
                <w:sz w:val="20"/>
                <w:szCs w:val="20"/>
              </w:rPr>
            </w:pPr>
            <w:r w:rsidRPr="009C5ECD">
              <w:rPr>
                <w:color w:val="000000"/>
                <w:sz w:val="20"/>
                <w:szCs w:val="20"/>
              </w:rPr>
              <w:t>2,570</w:t>
            </w:r>
          </w:p>
        </w:tc>
        <w:tc>
          <w:tcPr>
            <w:tcW w:w="0" w:type="auto"/>
            <w:tcBorders>
              <w:top w:val="nil"/>
              <w:left w:val="nil"/>
              <w:bottom w:val="single" w:sz="8" w:space="0" w:color="auto"/>
              <w:right w:val="single" w:sz="8" w:space="0" w:color="auto"/>
            </w:tcBorders>
            <w:shd w:val="clear" w:color="000000" w:fill="F2DCDB"/>
            <w:noWrap/>
            <w:vAlign w:val="center"/>
            <w:hideMark/>
          </w:tcPr>
          <w:p w14:paraId="148449F0" w14:textId="77777777" w:rsidR="00E03650" w:rsidRPr="009C5ECD" w:rsidRDefault="00E03650" w:rsidP="00666827">
            <w:pPr>
              <w:jc w:val="center"/>
              <w:rPr>
                <w:color w:val="000000"/>
                <w:sz w:val="20"/>
                <w:szCs w:val="20"/>
              </w:rPr>
            </w:pPr>
            <w:r w:rsidRPr="009C5ECD">
              <w:rPr>
                <w:color w:val="000000"/>
                <w:sz w:val="20"/>
                <w:szCs w:val="20"/>
              </w:rPr>
              <w:t>16%</w:t>
            </w:r>
          </w:p>
        </w:tc>
        <w:tc>
          <w:tcPr>
            <w:tcW w:w="0" w:type="auto"/>
            <w:tcBorders>
              <w:top w:val="nil"/>
              <w:left w:val="nil"/>
              <w:bottom w:val="single" w:sz="8" w:space="0" w:color="auto"/>
              <w:right w:val="single" w:sz="8" w:space="0" w:color="auto"/>
            </w:tcBorders>
            <w:shd w:val="clear" w:color="000000" w:fill="D8E4BC"/>
            <w:noWrap/>
            <w:vAlign w:val="center"/>
            <w:hideMark/>
          </w:tcPr>
          <w:p w14:paraId="321532F6" w14:textId="77777777" w:rsidR="00E03650" w:rsidRPr="009C5ECD" w:rsidRDefault="00E03650" w:rsidP="00666827">
            <w:pPr>
              <w:jc w:val="center"/>
              <w:rPr>
                <w:color w:val="000000"/>
                <w:sz w:val="20"/>
                <w:szCs w:val="20"/>
              </w:rPr>
            </w:pPr>
            <w:r w:rsidRPr="009C5ECD">
              <w:rPr>
                <w:color w:val="000000"/>
                <w:sz w:val="20"/>
                <w:szCs w:val="20"/>
              </w:rPr>
              <w:t>31</w:t>
            </w:r>
          </w:p>
        </w:tc>
        <w:tc>
          <w:tcPr>
            <w:tcW w:w="0" w:type="auto"/>
            <w:tcBorders>
              <w:top w:val="nil"/>
              <w:left w:val="nil"/>
              <w:bottom w:val="single" w:sz="8" w:space="0" w:color="auto"/>
              <w:right w:val="single" w:sz="8" w:space="0" w:color="auto"/>
            </w:tcBorders>
            <w:shd w:val="clear" w:color="000000" w:fill="D8E4BC"/>
            <w:noWrap/>
            <w:vAlign w:val="center"/>
            <w:hideMark/>
          </w:tcPr>
          <w:p w14:paraId="7250D8BD" w14:textId="77777777" w:rsidR="00E03650" w:rsidRPr="009C5ECD" w:rsidRDefault="00E03650" w:rsidP="00666827">
            <w:pPr>
              <w:jc w:val="center"/>
              <w:rPr>
                <w:color w:val="000000"/>
                <w:sz w:val="20"/>
                <w:szCs w:val="20"/>
              </w:rPr>
            </w:pPr>
            <w:r w:rsidRPr="009C5ECD">
              <w:rPr>
                <w:color w:val="000000"/>
                <w:sz w:val="20"/>
                <w:szCs w:val="20"/>
              </w:rPr>
              <w:t>0</w:t>
            </w:r>
          </w:p>
        </w:tc>
      </w:tr>
      <w:tr w:rsidR="001129C8" w:rsidRPr="009C5ECD" w14:paraId="765F7E99"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00FC2EB" w14:textId="77777777" w:rsidR="00E03650" w:rsidRPr="009C5ECD" w:rsidRDefault="00E03650" w:rsidP="00666827">
            <w:pPr>
              <w:jc w:val="center"/>
              <w:rPr>
                <w:color w:val="000000"/>
                <w:sz w:val="20"/>
                <w:szCs w:val="20"/>
              </w:rPr>
            </w:pPr>
            <w:r w:rsidRPr="009C5ECD">
              <w:rPr>
                <w:color w:val="000000"/>
                <w:sz w:val="20"/>
                <w:szCs w:val="20"/>
              </w:rPr>
              <w:t>Yellowedge grouper</w:t>
            </w:r>
          </w:p>
        </w:tc>
        <w:tc>
          <w:tcPr>
            <w:tcW w:w="0" w:type="auto"/>
            <w:tcBorders>
              <w:top w:val="nil"/>
              <w:left w:val="nil"/>
              <w:bottom w:val="single" w:sz="8" w:space="0" w:color="auto"/>
              <w:right w:val="single" w:sz="8" w:space="0" w:color="auto"/>
            </w:tcBorders>
            <w:shd w:val="clear" w:color="000000" w:fill="B7DEE8"/>
            <w:noWrap/>
            <w:vAlign w:val="center"/>
            <w:hideMark/>
          </w:tcPr>
          <w:p w14:paraId="67B58297" w14:textId="77777777" w:rsidR="00E03650" w:rsidRPr="009C5ECD" w:rsidRDefault="00E03650" w:rsidP="00666827">
            <w:pPr>
              <w:jc w:val="center"/>
              <w:rPr>
                <w:color w:val="000000"/>
                <w:sz w:val="20"/>
                <w:szCs w:val="20"/>
              </w:rPr>
            </w:pPr>
            <w:r w:rsidRPr="009C5ECD">
              <w:rPr>
                <w:color w:val="000000"/>
                <w:sz w:val="20"/>
                <w:szCs w:val="20"/>
              </w:rPr>
              <w:t>148</w:t>
            </w:r>
          </w:p>
        </w:tc>
        <w:tc>
          <w:tcPr>
            <w:tcW w:w="0" w:type="auto"/>
            <w:tcBorders>
              <w:top w:val="nil"/>
              <w:left w:val="nil"/>
              <w:bottom w:val="single" w:sz="8" w:space="0" w:color="auto"/>
              <w:right w:val="single" w:sz="8" w:space="0" w:color="auto"/>
            </w:tcBorders>
            <w:shd w:val="clear" w:color="000000" w:fill="B7DEE8"/>
            <w:noWrap/>
            <w:vAlign w:val="center"/>
            <w:hideMark/>
          </w:tcPr>
          <w:p w14:paraId="395FD72A" w14:textId="77777777" w:rsidR="00E03650" w:rsidRPr="009C5ECD" w:rsidRDefault="00E03650" w:rsidP="00666827">
            <w:pPr>
              <w:jc w:val="center"/>
              <w:rPr>
                <w:color w:val="000000"/>
                <w:sz w:val="20"/>
                <w:szCs w:val="20"/>
              </w:rPr>
            </w:pPr>
            <w:r w:rsidRPr="009C5ECD">
              <w:rPr>
                <w:color w:val="000000"/>
                <w:sz w:val="20"/>
                <w:szCs w:val="20"/>
              </w:rPr>
              <w:t>1</w:t>
            </w:r>
          </w:p>
        </w:tc>
        <w:tc>
          <w:tcPr>
            <w:tcW w:w="0" w:type="auto"/>
            <w:tcBorders>
              <w:top w:val="nil"/>
              <w:left w:val="nil"/>
              <w:bottom w:val="single" w:sz="8" w:space="0" w:color="auto"/>
              <w:right w:val="single" w:sz="8" w:space="0" w:color="auto"/>
            </w:tcBorders>
            <w:shd w:val="clear" w:color="000000" w:fill="B7DEE8"/>
            <w:noWrap/>
            <w:vAlign w:val="center"/>
            <w:hideMark/>
          </w:tcPr>
          <w:p w14:paraId="2CCE26D9"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7BB51C55" w14:textId="77777777" w:rsidR="00E03650" w:rsidRPr="009C5ECD" w:rsidRDefault="00E03650" w:rsidP="00666827">
            <w:pPr>
              <w:jc w:val="center"/>
              <w:rPr>
                <w:color w:val="000000"/>
                <w:sz w:val="20"/>
                <w:szCs w:val="20"/>
              </w:rPr>
            </w:pPr>
            <w:r w:rsidRPr="009C5ECD">
              <w:rPr>
                <w:color w:val="000000"/>
                <w:sz w:val="20"/>
                <w:szCs w:val="20"/>
              </w:rPr>
              <w:t>41</w:t>
            </w:r>
          </w:p>
        </w:tc>
        <w:tc>
          <w:tcPr>
            <w:tcW w:w="0" w:type="auto"/>
            <w:tcBorders>
              <w:top w:val="nil"/>
              <w:left w:val="nil"/>
              <w:bottom w:val="single" w:sz="8" w:space="0" w:color="auto"/>
              <w:right w:val="single" w:sz="8" w:space="0" w:color="auto"/>
            </w:tcBorders>
            <w:shd w:val="clear" w:color="000000" w:fill="C5D9F1"/>
            <w:noWrap/>
            <w:vAlign w:val="center"/>
            <w:hideMark/>
          </w:tcPr>
          <w:p w14:paraId="6E0CF059"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016D6FC3"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5E652ED4"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6AC2748C"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40FE1BFD" w14:textId="77777777" w:rsidR="00E03650" w:rsidRPr="009C5ECD" w:rsidRDefault="00E03650" w:rsidP="00666827">
            <w:pPr>
              <w:jc w:val="center"/>
              <w:rPr>
                <w:color w:val="000000"/>
                <w:sz w:val="20"/>
                <w:szCs w:val="20"/>
              </w:rPr>
            </w:pPr>
            <w:r w:rsidRPr="009C5ECD">
              <w:rPr>
                <w:color w:val="000000"/>
                <w:sz w:val="20"/>
                <w:szCs w:val="20"/>
              </w:rPr>
              <w:t> </w:t>
            </w:r>
          </w:p>
        </w:tc>
        <w:tc>
          <w:tcPr>
            <w:tcW w:w="0" w:type="auto"/>
            <w:tcBorders>
              <w:top w:val="nil"/>
              <w:left w:val="nil"/>
              <w:bottom w:val="single" w:sz="8" w:space="0" w:color="auto"/>
              <w:right w:val="single" w:sz="8" w:space="0" w:color="auto"/>
            </w:tcBorders>
            <w:shd w:val="clear" w:color="000000" w:fill="D8E4BC"/>
            <w:noWrap/>
            <w:vAlign w:val="center"/>
            <w:hideMark/>
          </w:tcPr>
          <w:p w14:paraId="6F849FC9" w14:textId="77777777" w:rsidR="00E03650" w:rsidRPr="009C5ECD" w:rsidRDefault="00E03650" w:rsidP="00666827">
            <w:pPr>
              <w:jc w:val="center"/>
              <w:rPr>
                <w:color w:val="000000"/>
                <w:sz w:val="20"/>
                <w:szCs w:val="20"/>
              </w:rPr>
            </w:pPr>
            <w:r w:rsidRPr="009C5ECD">
              <w:rPr>
                <w:color w:val="000000"/>
                <w:sz w:val="20"/>
                <w:szCs w:val="20"/>
              </w:rPr>
              <w:t>24,224</w:t>
            </w:r>
          </w:p>
        </w:tc>
        <w:tc>
          <w:tcPr>
            <w:tcW w:w="0" w:type="auto"/>
            <w:tcBorders>
              <w:top w:val="nil"/>
              <w:left w:val="nil"/>
              <w:bottom w:val="single" w:sz="8" w:space="0" w:color="auto"/>
              <w:right w:val="single" w:sz="8" w:space="0" w:color="auto"/>
            </w:tcBorders>
            <w:shd w:val="clear" w:color="000000" w:fill="D8E4BC"/>
            <w:noWrap/>
            <w:vAlign w:val="center"/>
            <w:hideMark/>
          </w:tcPr>
          <w:p w14:paraId="4DF2CAEB" w14:textId="77777777" w:rsidR="00E03650" w:rsidRPr="009C5ECD" w:rsidRDefault="00E03650" w:rsidP="00666827">
            <w:pPr>
              <w:jc w:val="center"/>
              <w:rPr>
                <w:color w:val="000000"/>
                <w:sz w:val="20"/>
                <w:szCs w:val="20"/>
              </w:rPr>
            </w:pPr>
            <w:r w:rsidRPr="009C5ECD">
              <w:rPr>
                <w:color w:val="000000"/>
                <w:sz w:val="20"/>
                <w:szCs w:val="20"/>
              </w:rPr>
              <w:t>29</w:t>
            </w:r>
          </w:p>
        </w:tc>
      </w:tr>
      <w:tr w:rsidR="001129C8" w:rsidRPr="009C5ECD" w14:paraId="6679991A"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8889CA2" w14:textId="77777777" w:rsidR="00E03650" w:rsidRPr="009C5ECD" w:rsidRDefault="00E03650" w:rsidP="00666827">
            <w:pPr>
              <w:jc w:val="center"/>
              <w:rPr>
                <w:color w:val="000000"/>
                <w:sz w:val="20"/>
                <w:szCs w:val="20"/>
              </w:rPr>
            </w:pPr>
            <w:r w:rsidRPr="009C5ECD">
              <w:rPr>
                <w:color w:val="000000"/>
                <w:sz w:val="20"/>
                <w:szCs w:val="20"/>
              </w:rPr>
              <w:t>Yellowfin grouper</w:t>
            </w:r>
          </w:p>
        </w:tc>
        <w:tc>
          <w:tcPr>
            <w:tcW w:w="0" w:type="auto"/>
            <w:tcBorders>
              <w:top w:val="nil"/>
              <w:left w:val="nil"/>
              <w:bottom w:val="single" w:sz="8" w:space="0" w:color="auto"/>
              <w:right w:val="single" w:sz="8" w:space="0" w:color="auto"/>
            </w:tcBorders>
            <w:shd w:val="clear" w:color="000000" w:fill="B7DEE8"/>
            <w:noWrap/>
            <w:vAlign w:val="center"/>
            <w:hideMark/>
          </w:tcPr>
          <w:p w14:paraId="3BEDBFCE" w14:textId="77777777" w:rsidR="00E03650" w:rsidRPr="009C5ECD" w:rsidRDefault="00E03650" w:rsidP="00666827">
            <w:pPr>
              <w:jc w:val="center"/>
              <w:rPr>
                <w:color w:val="000000"/>
                <w:sz w:val="20"/>
                <w:szCs w:val="20"/>
              </w:rPr>
            </w:pPr>
            <w:r w:rsidRPr="009C5ECD">
              <w:rPr>
                <w:color w:val="000000"/>
                <w:sz w:val="20"/>
                <w:szCs w:val="20"/>
              </w:rPr>
              <w:t>17</w:t>
            </w:r>
          </w:p>
        </w:tc>
        <w:tc>
          <w:tcPr>
            <w:tcW w:w="0" w:type="auto"/>
            <w:tcBorders>
              <w:top w:val="nil"/>
              <w:left w:val="nil"/>
              <w:bottom w:val="single" w:sz="8" w:space="0" w:color="auto"/>
              <w:right w:val="single" w:sz="8" w:space="0" w:color="auto"/>
            </w:tcBorders>
            <w:shd w:val="clear" w:color="000000" w:fill="B7DEE8"/>
            <w:noWrap/>
            <w:vAlign w:val="center"/>
            <w:hideMark/>
          </w:tcPr>
          <w:p w14:paraId="2AE40A38" w14:textId="77777777" w:rsidR="00E03650" w:rsidRPr="009C5ECD" w:rsidRDefault="00E03650" w:rsidP="00666827">
            <w:pPr>
              <w:jc w:val="center"/>
              <w:rPr>
                <w:color w:val="000000"/>
                <w:sz w:val="20"/>
                <w:szCs w:val="20"/>
              </w:rPr>
            </w:pPr>
            <w:r w:rsidRPr="009C5ECD">
              <w:rPr>
                <w:color w:val="000000"/>
                <w:sz w:val="20"/>
                <w:szCs w:val="20"/>
              </w:rPr>
              <w:t>5</w:t>
            </w:r>
          </w:p>
        </w:tc>
        <w:tc>
          <w:tcPr>
            <w:tcW w:w="0" w:type="auto"/>
            <w:tcBorders>
              <w:top w:val="nil"/>
              <w:left w:val="nil"/>
              <w:bottom w:val="single" w:sz="8" w:space="0" w:color="auto"/>
              <w:right w:val="single" w:sz="8" w:space="0" w:color="auto"/>
            </w:tcBorders>
            <w:shd w:val="clear" w:color="000000" w:fill="B7DEE8"/>
            <w:noWrap/>
            <w:vAlign w:val="center"/>
            <w:hideMark/>
          </w:tcPr>
          <w:p w14:paraId="0968CBA8" w14:textId="77777777" w:rsidR="00E03650" w:rsidRPr="009C5ECD" w:rsidRDefault="00E03650" w:rsidP="00666827">
            <w:pPr>
              <w:jc w:val="center"/>
              <w:rPr>
                <w:color w:val="000000"/>
                <w:sz w:val="20"/>
                <w:szCs w:val="20"/>
              </w:rPr>
            </w:pPr>
            <w:r w:rsidRPr="009C5ECD">
              <w:rPr>
                <w:color w:val="000000"/>
                <w:sz w:val="20"/>
                <w:szCs w:val="20"/>
              </w:rPr>
              <w:t>32%</w:t>
            </w:r>
          </w:p>
        </w:tc>
        <w:tc>
          <w:tcPr>
            <w:tcW w:w="0" w:type="auto"/>
            <w:tcBorders>
              <w:top w:val="nil"/>
              <w:left w:val="nil"/>
              <w:bottom w:val="single" w:sz="8" w:space="0" w:color="auto"/>
              <w:right w:val="single" w:sz="8" w:space="0" w:color="auto"/>
            </w:tcBorders>
            <w:shd w:val="clear" w:color="000000" w:fill="C5D9F1"/>
            <w:noWrap/>
            <w:vAlign w:val="center"/>
            <w:hideMark/>
          </w:tcPr>
          <w:p w14:paraId="1459A02F"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4D62EEBC"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676D7CF5" w14:textId="77777777" w:rsidR="00E03650" w:rsidRPr="009C5ECD" w:rsidRDefault="00E03650" w:rsidP="00666827">
            <w:pPr>
              <w:jc w:val="center"/>
              <w:rPr>
                <w:color w:val="000000"/>
                <w:sz w:val="20"/>
                <w:szCs w:val="20"/>
              </w:rPr>
            </w:pPr>
            <w:r w:rsidRPr="009C5ECD">
              <w:rPr>
                <w:color w:val="000000"/>
                <w:sz w:val="20"/>
                <w:szCs w:val="20"/>
              </w:rPr>
              <w:t> </w:t>
            </w:r>
          </w:p>
        </w:tc>
        <w:tc>
          <w:tcPr>
            <w:tcW w:w="0" w:type="auto"/>
            <w:tcBorders>
              <w:top w:val="nil"/>
              <w:left w:val="nil"/>
              <w:bottom w:val="single" w:sz="8" w:space="0" w:color="auto"/>
              <w:right w:val="single" w:sz="8" w:space="0" w:color="auto"/>
            </w:tcBorders>
            <w:shd w:val="clear" w:color="000000" w:fill="F2DCDB"/>
            <w:noWrap/>
            <w:vAlign w:val="center"/>
            <w:hideMark/>
          </w:tcPr>
          <w:p w14:paraId="6E5FBAF6" w14:textId="77777777" w:rsidR="00E03650" w:rsidRPr="009C5ECD" w:rsidRDefault="00E03650" w:rsidP="00666827">
            <w:pPr>
              <w:jc w:val="center"/>
              <w:rPr>
                <w:color w:val="000000"/>
                <w:sz w:val="20"/>
                <w:szCs w:val="20"/>
              </w:rPr>
            </w:pPr>
            <w:r w:rsidRPr="009C5ECD">
              <w:rPr>
                <w:color w:val="000000"/>
                <w:sz w:val="20"/>
                <w:szCs w:val="20"/>
              </w:rPr>
              <w:t>97</w:t>
            </w:r>
          </w:p>
        </w:tc>
        <w:tc>
          <w:tcPr>
            <w:tcW w:w="0" w:type="auto"/>
            <w:tcBorders>
              <w:top w:val="nil"/>
              <w:left w:val="nil"/>
              <w:bottom w:val="single" w:sz="8" w:space="0" w:color="auto"/>
              <w:right w:val="single" w:sz="8" w:space="0" w:color="auto"/>
            </w:tcBorders>
            <w:shd w:val="clear" w:color="000000" w:fill="F2DCDB"/>
            <w:noWrap/>
            <w:vAlign w:val="center"/>
            <w:hideMark/>
          </w:tcPr>
          <w:p w14:paraId="69946826"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7D6C7283"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D8E4BC"/>
            <w:noWrap/>
            <w:vAlign w:val="center"/>
            <w:hideMark/>
          </w:tcPr>
          <w:p w14:paraId="4471FD55" w14:textId="77777777" w:rsidR="00E03650" w:rsidRPr="009C5ECD" w:rsidRDefault="00E03650" w:rsidP="00666827">
            <w:pPr>
              <w:jc w:val="center"/>
              <w:rPr>
                <w:color w:val="000000"/>
                <w:sz w:val="20"/>
                <w:szCs w:val="20"/>
              </w:rPr>
            </w:pPr>
            <w:r w:rsidRPr="009C5ECD">
              <w:rPr>
                <w:color w:val="000000"/>
                <w:sz w:val="20"/>
                <w:szCs w:val="20"/>
              </w:rPr>
              <w:t>2,681</w:t>
            </w:r>
          </w:p>
        </w:tc>
        <w:tc>
          <w:tcPr>
            <w:tcW w:w="0" w:type="auto"/>
            <w:tcBorders>
              <w:top w:val="nil"/>
              <w:left w:val="nil"/>
              <w:bottom w:val="single" w:sz="8" w:space="0" w:color="auto"/>
              <w:right w:val="single" w:sz="8" w:space="0" w:color="auto"/>
            </w:tcBorders>
            <w:shd w:val="clear" w:color="000000" w:fill="D8E4BC"/>
            <w:noWrap/>
            <w:vAlign w:val="center"/>
            <w:hideMark/>
          </w:tcPr>
          <w:p w14:paraId="64107587" w14:textId="77777777" w:rsidR="00E03650" w:rsidRPr="009C5ECD" w:rsidRDefault="00E03650" w:rsidP="00666827">
            <w:pPr>
              <w:jc w:val="center"/>
              <w:rPr>
                <w:color w:val="000000"/>
                <w:sz w:val="20"/>
                <w:szCs w:val="20"/>
              </w:rPr>
            </w:pPr>
            <w:r w:rsidRPr="009C5ECD">
              <w:rPr>
                <w:color w:val="000000"/>
                <w:sz w:val="20"/>
                <w:szCs w:val="20"/>
              </w:rPr>
              <w:t>6</w:t>
            </w:r>
          </w:p>
        </w:tc>
      </w:tr>
      <w:tr w:rsidR="001129C8" w:rsidRPr="009C5ECD" w14:paraId="344DBBEC"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F36B36" w14:textId="77777777" w:rsidR="00E03650" w:rsidRPr="009C5ECD" w:rsidRDefault="00E03650" w:rsidP="00666827">
            <w:pPr>
              <w:jc w:val="center"/>
              <w:rPr>
                <w:color w:val="000000"/>
                <w:sz w:val="20"/>
                <w:szCs w:val="20"/>
              </w:rPr>
            </w:pPr>
            <w:r w:rsidRPr="009C5ECD">
              <w:rPr>
                <w:color w:val="000000"/>
                <w:sz w:val="20"/>
                <w:szCs w:val="20"/>
              </w:rPr>
              <w:t>Yellowmouth grouper</w:t>
            </w:r>
          </w:p>
        </w:tc>
        <w:tc>
          <w:tcPr>
            <w:tcW w:w="0" w:type="auto"/>
            <w:tcBorders>
              <w:top w:val="nil"/>
              <w:left w:val="nil"/>
              <w:bottom w:val="single" w:sz="8" w:space="0" w:color="auto"/>
              <w:right w:val="single" w:sz="8" w:space="0" w:color="auto"/>
            </w:tcBorders>
            <w:shd w:val="clear" w:color="000000" w:fill="B7DEE8"/>
            <w:noWrap/>
            <w:vAlign w:val="center"/>
            <w:hideMark/>
          </w:tcPr>
          <w:p w14:paraId="5264DE9E" w14:textId="77777777" w:rsidR="00E03650" w:rsidRPr="009C5ECD" w:rsidRDefault="00E03650" w:rsidP="00666827">
            <w:pPr>
              <w:jc w:val="center"/>
              <w:rPr>
                <w:color w:val="000000"/>
                <w:sz w:val="20"/>
                <w:szCs w:val="20"/>
              </w:rPr>
            </w:pPr>
            <w:r w:rsidRPr="009C5ECD">
              <w:rPr>
                <w:color w:val="000000"/>
                <w:sz w:val="20"/>
                <w:szCs w:val="20"/>
              </w:rPr>
              <w:t>11</w:t>
            </w:r>
          </w:p>
        </w:tc>
        <w:tc>
          <w:tcPr>
            <w:tcW w:w="0" w:type="auto"/>
            <w:tcBorders>
              <w:top w:val="nil"/>
              <w:left w:val="nil"/>
              <w:bottom w:val="single" w:sz="8" w:space="0" w:color="auto"/>
              <w:right w:val="single" w:sz="8" w:space="0" w:color="auto"/>
            </w:tcBorders>
            <w:shd w:val="clear" w:color="000000" w:fill="B7DEE8"/>
            <w:noWrap/>
            <w:vAlign w:val="center"/>
            <w:hideMark/>
          </w:tcPr>
          <w:p w14:paraId="02BD31BD" w14:textId="77777777" w:rsidR="00E03650" w:rsidRPr="009C5ECD" w:rsidRDefault="00E03650" w:rsidP="00666827">
            <w:pPr>
              <w:jc w:val="center"/>
              <w:rPr>
                <w:color w:val="000000"/>
                <w:sz w:val="20"/>
                <w:szCs w:val="20"/>
              </w:rPr>
            </w:pPr>
            <w:r w:rsidRPr="009C5ECD">
              <w:rPr>
                <w:color w:val="000000"/>
                <w:sz w:val="20"/>
                <w:szCs w:val="20"/>
              </w:rPr>
              <w:t>4</w:t>
            </w:r>
          </w:p>
        </w:tc>
        <w:tc>
          <w:tcPr>
            <w:tcW w:w="0" w:type="auto"/>
            <w:tcBorders>
              <w:top w:val="nil"/>
              <w:left w:val="nil"/>
              <w:bottom w:val="single" w:sz="8" w:space="0" w:color="auto"/>
              <w:right w:val="single" w:sz="8" w:space="0" w:color="auto"/>
            </w:tcBorders>
            <w:shd w:val="clear" w:color="000000" w:fill="B7DEE8"/>
            <w:noWrap/>
            <w:vAlign w:val="center"/>
            <w:hideMark/>
          </w:tcPr>
          <w:p w14:paraId="2F29C713" w14:textId="77777777" w:rsidR="00E03650" w:rsidRPr="009C5ECD" w:rsidRDefault="00E03650" w:rsidP="00666827">
            <w:pPr>
              <w:jc w:val="center"/>
              <w:rPr>
                <w:color w:val="000000"/>
                <w:sz w:val="20"/>
                <w:szCs w:val="20"/>
              </w:rPr>
            </w:pPr>
            <w:r w:rsidRPr="009C5ECD">
              <w:rPr>
                <w:color w:val="000000"/>
                <w:sz w:val="20"/>
                <w:szCs w:val="20"/>
              </w:rPr>
              <w:t>32%</w:t>
            </w:r>
          </w:p>
        </w:tc>
        <w:tc>
          <w:tcPr>
            <w:tcW w:w="0" w:type="auto"/>
            <w:tcBorders>
              <w:top w:val="nil"/>
              <w:left w:val="nil"/>
              <w:bottom w:val="single" w:sz="8" w:space="0" w:color="auto"/>
              <w:right w:val="single" w:sz="8" w:space="0" w:color="auto"/>
            </w:tcBorders>
            <w:shd w:val="clear" w:color="000000" w:fill="C5D9F1"/>
            <w:noWrap/>
            <w:vAlign w:val="center"/>
            <w:hideMark/>
          </w:tcPr>
          <w:p w14:paraId="70C6EC35"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1A60A8F7"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C5D9F1"/>
            <w:noWrap/>
            <w:vAlign w:val="center"/>
            <w:hideMark/>
          </w:tcPr>
          <w:p w14:paraId="093EBB04" w14:textId="77777777" w:rsidR="00E03650" w:rsidRPr="009C5ECD" w:rsidRDefault="00E03650" w:rsidP="00666827">
            <w:pPr>
              <w:jc w:val="center"/>
              <w:rPr>
                <w:color w:val="000000"/>
                <w:sz w:val="20"/>
                <w:szCs w:val="20"/>
              </w:rPr>
            </w:pPr>
            <w:r w:rsidRPr="009C5ECD">
              <w:rPr>
                <w:color w:val="000000"/>
                <w:sz w:val="20"/>
                <w:szCs w:val="20"/>
              </w:rPr>
              <w:t> </w:t>
            </w:r>
          </w:p>
        </w:tc>
        <w:tc>
          <w:tcPr>
            <w:tcW w:w="0" w:type="auto"/>
            <w:tcBorders>
              <w:top w:val="nil"/>
              <w:left w:val="nil"/>
              <w:bottom w:val="single" w:sz="8" w:space="0" w:color="auto"/>
              <w:right w:val="single" w:sz="8" w:space="0" w:color="auto"/>
            </w:tcBorders>
            <w:shd w:val="clear" w:color="000000" w:fill="F2DCDB"/>
            <w:noWrap/>
            <w:vAlign w:val="center"/>
            <w:hideMark/>
          </w:tcPr>
          <w:p w14:paraId="46992D2B"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7D66A49B" w14:textId="77777777" w:rsidR="00E03650" w:rsidRPr="009C5ECD" w:rsidRDefault="00E03650" w:rsidP="00666827">
            <w:pPr>
              <w:jc w:val="center"/>
              <w:rPr>
                <w:color w:val="000000"/>
                <w:sz w:val="20"/>
                <w:szCs w:val="20"/>
              </w:rPr>
            </w:pPr>
            <w:r w:rsidRPr="009C5ECD">
              <w:rPr>
                <w:color w:val="000000"/>
                <w:sz w:val="20"/>
                <w:szCs w:val="20"/>
              </w:rPr>
              <w:t>0</w:t>
            </w:r>
          </w:p>
        </w:tc>
        <w:tc>
          <w:tcPr>
            <w:tcW w:w="0" w:type="auto"/>
            <w:tcBorders>
              <w:top w:val="nil"/>
              <w:left w:val="nil"/>
              <w:bottom w:val="single" w:sz="8" w:space="0" w:color="auto"/>
              <w:right w:val="single" w:sz="8" w:space="0" w:color="auto"/>
            </w:tcBorders>
            <w:shd w:val="clear" w:color="000000" w:fill="F2DCDB"/>
            <w:noWrap/>
            <w:vAlign w:val="center"/>
            <w:hideMark/>
          </w:tcPr>
          <w:p w14:paraId="65C5D447" w14:textId="77777777" w:rsidR="00E03650" w:rsidRPr="009C5ECD" w:rsidRDefault="00E03650" w:rsidP="00666827">
            <w:pPr>
              <w:jc w:val="center"/>
              <w:rPr>
                <w:color w:val="000000"/>
                <w:sz w:val="20"/>
                <w:szCs w:val="20"/>
              </w:rPr>
            </w:pPr>
            <w:r w:rsidRPr="009C5ECD">
              <w:rPr>
                <w:color w:val="000000"/>
                <w:sz w:val="20"/>
                <w:szCs w:val="20"/>
              </w:rPr>
              <w:t> </w:t>
            </w:r>
          </w:p>
        </w:tc>
        <w:tc>
          <w:tcPr>
            <w:tcW w:w="0" w:type="auto"/>
            <w:tcBorders>
              <w:top w:val="nil"/>
              <w:left w:val="nil"/>
              <w:bottom w:val="single" w:sz="8" w:space="0" w:color="auto"/>
              <w:right w:val="single" w:sz="8" w:space="0" w:color="auto"/>
            </w:tcBorders>
            <w:shd w:val="clear" w:color="000000" w:fill="D8E4BC"/>
            <w:noWrap/>
            <w:vAlign w:val="center"/>
            <w:hideMark/>
          </w:tcPr>
          <w:p w14:paraId="716D9F4D" w14:textId="77777777" w:rsidR="00E03650" w:rsidRPr="009C5ECD" w:rsidRDefault="00E03650" w:rsidP="00666827">
            <w:pPr>
              <w:jc w:val="center"/>
              <w:rPr>
                <w:color w:val="000000"/>
                <w:sz w:val="20"/>
                <w:szCs w:val="20"/>
              </w:rPr>
            </w:pPr>
            <w:r w:rsidRPr="009C5ECD">
              <w:rPr>
                <w:color w:val="000000"/>
                <w:sz w:val="20"/>
                <w:szCs w:val="20"/>
              </w:rPr>
              <w:t>268</w:t>
            </w:r>
          </w:p>
        </w:tc>
        <w:tc>
          <w:tcPr>
            <w:tcW w:w="0" w:type="auto"/>
            <w:tcBorders>
              <w:top w:val="nil"/>
              <w:left w:val="nil"/>
              <w:bottom w:val="single" w:sz="8" w:space="0" w:color="auto"/>
              <w:right w:val="single" w:sz="8" w:space="0" w:color="auto"/>
            </w:tcBorders>
            <w:shd w:val="clear" w:color="000000" w:fill="D8E4BC"/>
            <w:noWrap/>
            <w:vAlign w:val="center"/>
            <w:hideMark/>
          </w:tcPr>
          <w:p w14:paraId="15854250" w14:textId="77777777" w:rsidR="00E03650" w:rsidRPr="009C5ECD" w:rsidRDefault="00E03650" w:rsidP="00666827">
            <w:pPr>
              <w:jc w:val="center"/>
              <w:rPr>
                <w:color w:val="000000"/>
                <w:sz w:val="20"/>
                <w:szCs w:val="20"/>
              </w:rPr>
            </w:pPr>
            <w:r w:rsidRPr="009C5ECD">
              <w:rPr>
                <w:color w:val="000000"/>
                <w:sz w:val="20"/>
                <w:szCs w:val="20"/>
              </w:rPr>
              <w:t>0</w:t>
            </w:r>
          </w:p>
        </w:tc>
      </w:tr>
      <w:tr w:rsidR="001129C8" w:rsidRPr="009C5ECD" w14:paraId="406DA7AB" w14:textId="77777777" w:rsidTr="001129C8">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52F23CE" w14:textId="77777777" w:rsidR="00E03650" w:rsidRPr="009C5ECD" w:rsidRDefault="00E03650" w:rsidP="00666827">
            <w:pPr>
              <w:jc w:val="center"/>
              <w:rPr>
                <w:color w:val="000000"/>
                <w:sz w:val="20"/>
                <w:szCs w:val="20"/>
              </w:rPr>
            </w:pPr>
            <w:r w:rsidRPr="009C5ECD">
              <w:rPr>
                <w:color w:val="000000"/>
                <w:sz w:val="20"/>
                <w:szCs w:val="20"/>
              </w:rPr>
              <w:t>Yellowtail snapper</w:t>
            </w:r>
          </w:p>
        </w:tc>
        <w:tc>
          <w:tcPr>
            <w:tcW w:w="0" w:type="auto"/>
            <w:tcBorders>
              <w:top w:val="nil"/>
              <w:left w:val="nil"/>
              <w:bottom w:val="single" w:sz="8" w:space="0" w:color="auto"/>
              <w:right w:val="single" w:sz="8" w:space="0" w:color="auto"/>
            </w:tcBorders>
            <w:shd w:val="clear" w:color="000000" w:fill="B7DEE8"/>
            <w:noWrap/>
            <w:vAlign w:val="center"/>
            <w:hideMark/>
          </w:tcPr>
          <w:p w14:paraId="1C7D4BDD" w14:textId="77777777" w:rsidR="00E03650" w:rsidRPr="009C5ECD" w:rsidRDefault="00E03650" w:rsidP="00666827">
            <w:pPr>
              <w:jc w:val="center"/>
              <w:rPr>
                <w:color w:val="000000"/>
                <w:sz w:val="20"/>
                <w:szCs w:val="20"/>
              </w:rPr>
            </w:pPr>
            <w:r w:rsidRPr="009C5ECD">
              <w:rPr>
                <w:color w:val="000000"/>
                <w:sz w:val="20"/>
                <w:szCs w:val="20"/>
              </w:rPr>
              <w:t>128,519</w:t>
            </w:r>
          </w:p>
        </w:tc>
        <w:tc>
          <w:tcPr>
            <w:tcW w:w="0" w:type="auto"/>
            <w:tcBorders>
              <w:top w:val="nil"/>
              <w:left w:val="nil"/>
              <w:bottom w:val="single" w:sz="8" w:space="0" w:color="auto"/>
              <w:right w:val="single" w:sz="8" w:space="0" w:color="auto"/>
            </w:tcBorders>
            <w:shd w:val="clear" w:color="000000" w:fill="B7DEE8"/>
            <w:noWrap/>
            <w:vAlign w:val="center"/>
            <w:hideMark/>
          </w:tcPr>
          <w:p w14:paraId="0DD40F57" w14:textId="77777777" w:rsidR="00E03650" w:rsidRPr="009C5ECD" w:rsidRDefault="00E03650" w:rsidP="00666827">
            <w:pPr>
              <w:jc w:val="center"/>
              <w:rPr>
                <w:color w:val="000000"/>
                <w:sz w:val="20"/>
                <w:szCs w:val="20"/>
              </w:rPr>
            </w:pPr>
            <w:r w:rsidRPr="009C5ECD">
              <w:rPr>
                <w:color w:val="000000"/>
                <w:sz w:val="20"/>
                <w:szCs w:val="20"/>
              </w:rPr>
              <w:t>44,247</w:t>
            </w:r>
          </w:p>
        </w:tc>
        <w:tc>
          <w:tcPr>
            <w:tcW w:w="0" w:type="auto"/>
            <w:tcBorders>
              <w:top w:val="nil"/>
              <w:left w:val="nil"/>
              <w:bottom w:val="single" w:sz="8" w:space="0" w:color="auto"/>
              <w:right w:val="single" w:sz="8" w:space="0" w:color="auto"/>
            </w:tcBorders>
            <w:shd w:val="clear" w:color="000000" w:fill="B7DEE8"/>
            <w:noWrap/>
            <w:vAlign w:val="center"/>
            <w:hideMark/>
          </w:tcPr>
          <w:p w14:paraId="1B5D3CF9" w14:textId="77777777" w:rsidR="00E03650" w:rsidRPr="009C5ECD" w:rsidRDefault="00E03650" w:rsidP="00666827">
            <w:pPr>
              <w:jc w:val="center"/>
              <w:rPr>
                <w:color w:val="000000"/>
                <w:sz w:val="20"/>
                <w:szCs w:val="20"/>
              </w:rPr>
            </w:pPr>
            <w:r w:rsidRPr="009C5ECD">
              <w:rPr>
                <w:color w:val="000000"/>
                <w:sz w:val="20"/>
                <w:szCs w:val="20"/>
              </w:rPr>
              <w:t>34%</w:t>
            </w:r>
          </w:p>
        </w:tc>
        <w:tc>
          <w:tcPr>
            <w:tcW w:w="0" w:type="auto"/>
            <w:tcBorders>
              <w:top w:val="nil"/>
              <w:left w:val="nil"/>
              <w:bottom w:val="single" w:sz="8" w:space="0" w:color="auto"/>
              <w:right w:val="single" w:sz="8" w:space="0" w:color="auto"/>
            </w:tcBorders>
            <w:shd w:val="clear" w:color="000000" w:fill="C5D9F1"/>
            <w:noWrap/>
            <w:vAlign w:val="center"/>
            <w:hideMark/>
          </w:tcPr>
          <w:p w14:paraId="62F8D10E" w14:textId="77777777" w:rsidR="00E03650" w:rsidRPr="009C5ECD" w:rsidRDefault="00E03650" w:rsidP="00666827">
            <w:pPr>
              <w:jc w:val="center"/>
              <w:rPr>
                <w:color w:val="000000"/>
                <w:sz w:val="20"/>
                <w:szCs w:val="20"/>
              </w:rPr>
            </w:pPr>
            <w:r w:rsidRPr="009C5ECD">
              <w:rPr>
                <w:color w:val="000000"/>
                <w:sz w:val="20"/>
                <w:szCs w:val="20"/>
              </w:rPr>
              <w:t>260,309</w:t>
            </w:r>
          </w:p>
        </w:tc>
        <w:tc>
          <w:tcPr>
            <w:tcW w:w="0" w:type="auto"/>
            <w:tcBorders>
              <w:top w:val="nil"/>
              <w:left w:val="nil"/>
              <w:bottom w:val="single" w:sz="8" w:space="0" w:color="auto"/>
              <w:right w:val="single" w:sz="8" w:space="0" w:color="auto"/>
            </w:tcBorders>
            <w:shd w:val="clear" w:color="000000" w:fill="C5D9F1"/>
            <w:noWrap/>
            <w:vAlign w:val="center"/>
            <w:hideMark/>
          </w:tcPr>
          <w:p w14:paraId="7E78F38D" w14:textId="77777777" w:rsidR="00E03650" w:rsidRPr="009C5ECD" w:rsidRDefault="00E03650" w:rsidP="00666827">
            <w:pPr>
              <w:jc w:val="center"/>
              <w:rPr>
                <w:color w:val="000000"/>
                <w:sz w:val="20"/>
                <w:szCs w:val="20"/>
              </w:rPr>
            </w:pPr>
            <w:r w:rsidRPr="009C5ECD">
              <w:rPr>
                <w:color w:val="000000"/>
                <w:sz w:val="20"/>
                <w:szCs w:val="20"/>
              </w:rPr>
              <w:t>94,080</w:t>
            </w:r>
          </w:p>
        </w:tc>
        <w:tc>
          <w:tcPr>
            <w:tcW w:w="0" w:type="auto"/>
            <w:tcBorders>
              <w:top w:val="nil"/>
              <w:left w:val="nil"/>
              <w:bottom w:val="single" w:sz="8" w:space="0" w:color="auto"/>
              <w:right w:val="single" w:sz="8" w:space="0" w:color="auto"/>
            </w:tcBorders>
            <w:shd w:val="clear" w:color="000000" w:fill="C5D9F1"/>
            <w:noWrap/>
            <w:vAlign w:val="center"/>
            <w:hideMark/>
          </w:tcPr>
          <w:p w14:paraId="012476E4" w14:textId="77777777" w:rsidR="00E03650" w:rsidRPr="009C5ECD" w:rsidRDefault="00E03650" w:rsidP="00666827">
            <w:pPr>
              <w:jc w:val="center"/>
              <w:rPr>
                <w:color w:val="000000"/>
                <w:sz w:val="20"/>
                <w:szCs w:val="20"/>
              </w:rPr>
            </w:pPr>
            <w:r w:rsidRPr="009C5ECD">
              <w:rPr>
                <w:color w:val="000000"/>
                <w:sz w:val="20"/>
                <w:szCs w:val="20"/>
              </w:rPr>
              <w:t>36%</w:t>
            </w:r>
          </w:p>
        </w:tc>
        <w:tc>
          <w:tcPr>
            <w:tcW w:w="0" w:type="auto"/>
            <w:tcBorders>
              <w:top w:val="nil"/>
              <w:left w:val="nil"/>
              <w:bottom w:val="single" w:sz="8" w:space="0" w:color="auto"/>
              <w:right w:val="single" w:sz="8" w:space="0" w:color="auto"/>
            </w:tcBorders>
            <w:shd w:val="clear" w:color="000000" w:fill="F2DCDB"/>
            <w:noWrap/>
            <w:vAlign w:val="center"/>
            <w:hideMark/>
          </w:tcPr>
          <w:p w14:paraId="6EF1B64F" w14:textId="77777777" w:rsidR="00E03650" w:rsidRPr="009C5ECD" w:rsidRDefault="00E03650" w:rsidP="00666827">
            <w:pPr>
              <w:jc w:val="center"/>
              <w:rPr>
                <w:color w:val="000000"/>
                <w:sz w:val="20"/>
                <w:szCs w:val="20"/>
              </w:rPr>
            </w:pPr>
            <w:r w:rsidRPr="009C5ECD">
              <w:rPr>
                <w:color w:val="000000"/>
                <w:sz w:val="20"/>
                <w:szCs w:val="20"/>
              </w:rPr>
              <w:t>350,663</w:t>
            </w:r>
          </w:p>
        </w:tc>
        <w:tc>
          <w:tcPr>
            <w:tcW w:w="0" w:type="auto"/>
            <w:tcBorders>
              <w:top w:val="nil"/>
              <w:left w:val="nil"/>
              <w:bottom w:val="single" w:sz="8" w:space="0" w:color="auto"/>
              <w:right w:val="single" w:sz="8" w:space="0" w:color="auto"/>
            </w:tcBorders>
            <w:shd w:val="clear" w:color="000000" w:fill="F2DCDB"/>
            <w:noWrap/>
            <w:vAlign w:val="center"/>
            <w:hideMark/>
          </w:tcPr>
          <w:p w14:paraId="49EBD85B" w14:textId="77777777" w:rsidR="00E03650" w:rsidRPr="009C5ECD" w:rsidRDefault="00E03650" w:rsidP="00666827">
            <w:pPr>
              <w:jc w:val="center"/>
              <w:rPr>
                <w:color w:val="000000"/>
                <w:sz w:val="20"/>
                <w:szCs w:val="20"/>
              </w:rPr>
            </w:pPr>
            <w:r w:rsidRPr="009C5ECD">
              <w:rPr>
                <w:color w:val="000000"/>
                <w:sz w:val="20"/>
                <w:szCs w:val="20"/>
              </w:rPr>
              <w:t>948,217</w:t>
            </w:r>
          </w:p>
        </w:tc>
        <w:tc>
          <w:tcPr>
            <w:tcW w:w="0" w:type="auto"/>
            <w:tcBorders>
              <w:top w:val="nil"/>
              <w:left w:val="nil"/>
              <w:bottom w:val="single" w:sz="8" w:space="0" w:color="auto"/>
              <w:right w:val="single" w:sz="8" w:space="0" w:color="auto"/>
            </w:tcBorders>
            <w:shd w:val="clear" w:color="000000" w:fill="F2DCDB"/>
            <w:noWrap/>
            <w:vAlign w:val="center"/>
            <w:hideMark/>
          </w:tcPr>
          <w:p w14:paraId="77D7F066" w14:textId="77777777" w:rsidR="00E03650" w:rsidRPr="009C5ECD" w:rsidRDefault="00E03650" w:rsidP="00666827">
            <w:pPr>
              <w:jc w:val="center"/>
              <w:rPr>
                <w:color w:val="000000"/>
                <w:sz w:val="20"/>
                <w:szCs w:val="20"/>
              </w:rPr>
            </w:pPr>
            <w:r w:rsidRPr="009C5ECD">
              <w:rPr>
                <w:color w:val="000000"/>
                <w:sz w:val="20"/>
                <w:szCs w:val="20"/>
              </w:rPr>
              <w:t>270%</w:t>
            </w:r>
          </w:p>
        </w:tc>
        <w:tc>
          <w:tcPr>
            <w:tcW w:w="0" w:type="auto"/>
            <w:tcBorders>
              <w:top w:val="nil"/>
              <w:left w:val="nil"/>
              <w:bottom w:val="single" w:sz="8" w:space="0" w:color="auto"/>
              <w:right w:val="single" w:sz="8" w:space="0" w:color="auto"/>
            </w:tcBorders>
            <w:shd w:val="clear" w:color="000000" w:fill="D8E4BC"/>
            <w:noWrap/>
            <w:vAlign w:val="center"/>
            <w:hideMark/>
          </w:tcPr>
          <w:p w14:paraId="322E74FD" w14:textId="77777777" w:rsidR="00E03650" w:rsidRPr="009C5ECD" w:rsidRDefault="00E03650" w:rsidP="00666827">
            <w:pPr>
              <w:jc w:val="center"/>
              <w:rPr>
                <w:color w:val="000000"/>
                <w:sz w:val="20"/>
                <w:szCs w:val="20"/>
              </w:rPr>
            </w:pPr>
            <w:r w:rsidRPr="009C5ECD">
              <w:rPr>
                <w:color w:val="000000"/>
                <w:sz w:val="20"/>
                <w:szCs w:val="20"/>
              </w:rPr>
              <w:t>1,257,708</w:t>
            </w:r>
          </w:p>
        </w:tc>
        <w:tc>
          <w:tcPr>
            <w:tcW w:w="0" w:type="auto"/>
            <w:tcBorders>
              <w:top w:val="nil"/>
              <w:left w:val="nil"/>
              <w:bottom w:val="single" w:sz="8" w:space="0" w:color="auto"/>
              <w:right w:val="single" w:sz="8" w:space="0" w:color="auto"/>
            </w:tcBorders>
            <w:shd w:val="clear" w:color="000000" w:fill="D8E4BC"/>
            <w:noWrap/>
            <w:vAlign w:val="center"/>
            <w:hideMark/>
          </w:tcPr>
          <w:p w14:paraId="3B4AD22C" w14:textId="77777777" w:rsidR="00E03650" w:rsidRPr="009C5ECD" w:rsidRDefault="00E03650" w:rsidP="00666827">
            <w:pPr>
              <w:jc w:val="center"/>
              <w:rPr>
                <w:color w:val="000000"/>
                <w:sz w:val="20"/>
                <w:szCs w:val="20"/>
              </w:rPr>
            </w:pPr>
            <w:r w:rsidRPr="009C5ECD">
              <w:rPr>
                <w:color w:val="000000"/>
                <w:sz w:val="20"/>
                <w:szCs w:val="20"/>
              </w:rPr>
              <w:t>47,271</w:t>
            </w:r>
          </w:p>
        </w:tc>
      </w:tr>
    </w:tbl>
    <w:p w14:paraId="49C6221D" w14:textId="77777777" w:rsidR="00E03650" w:rsidRPr="009C5ECD" w:rsidRDefault="00E03650" w:rsidP="00E03650">
      <w:pPr>
        <w:autoSpaceDE w:val="0"/>
        <w:autoSpaceDN w:val="0"/>
        <w:adjustRightInd w:val="0"/>
        <w:rPr>
          <w:rFonts w:ascii="TimesNewRomanPSMT" w:hAnsi="TimesNewRomanPSMT" w:cs="TimesNewRomanPSMT"/>
          <w:color w:val="000000"/>
        </w:rPr>
      </w:pPr>
      <w:r w:rsidRPr="009C5ECD">
        <w:rPr>
          <w:sz w:val="18"/>
          <w:szCs w:val="20"/>
        </w:rPr>
        <w:t>Sources: MRIP data from SEFSC Recreational ACL Dataset (October 2016); Headboat data from SEFSC Headboat Logbook CRNF files (expanded; March 2016); Commercial landings data from SEFSC Commercial ACL Dataset (September 2016) with discard estimates from expanded SEFSC Commercial Discard Logbook (April 2016);</w:t>
      </w:r>
      <w:r w:rsidRPr="009C5ECD">
        <w:rPr>
          <w:color w:val="000000"/>
          <w:sz w:val="18"/>
          <w:szCs w:val="20"/>
        </w:rPr>
        <w:t xml:space="preserve">Notes:  Commercial discard estimates are for vertical line gear only; </w:t>
      </w:r>
      <w:r w:rsidRPr="009C5ECD">
        <w:rPr>
          <w:color w:val="000000"/>
          <w:sz w:val="18"/>
          <w:szCs w:val="18"/>
        </w:rPr>
        <w:t>Estimates of commercial discards are highly uncertain;</w:t>
      </w:r>
    </w:p>
    <w:p w14:paraId="511787F4" w14:textId="77777777" w:rsidR="00E03650" w:rsidRPr="009C5ECD" w:rsidRDefault="00E03650" w:rsidP="00E03650">
      <w:pPr>
        <w:autoSpaceDE w:val="0"/>
        <w:autoSpaceDN w:val="0"/>
        <w:adjustRightInd w:val="0"/>
        <w:rPr>
          <w:rFonts w:ascii="TimesNewRomanPS-ItalicMT" w:hAnsi="TimesNewRomanPS-ItalicMT" w:cs="TimesNewRomanPS-ItalicMT"/>
          <w:i/>
          <w:iCs/>
          <w:color w:val="000000"/>
        </w:rPr>
      </w:pPr>
    </w:p>
    <w:p w14:paraId="0EC7782E" w14:textId="77777777" w:rsidR="00E03650" w:rsidRDefault="00E03650" w:rsidP="00E03650">
      <w:pPr>
        <w:autoSpaceDE w:val="0"/>
        <w:autoSpaceDN w:val="0"/>
        <w:adjustRightInd w:val="0"/>
        <w:rPr>
          <w:rFonts w:ascii="TimesNewRomanPS-BoldMT" w:hAnsi="TimesNewRomanPS-BoldMT" w:cs="TimesNewRomanPS-BoldMT"/>
          <w:b/>
          <w:bCs/>
          <w:color w:val="000000"/>
          <w:sz w:val="20"/>
          <w:szCs w:val="20"/>
        </w:rPr>
        <w:sectPr w:rsidR="00E03650" w:rsidSect="00666827">
          <w:footerReference w:type="default" r:id="rId92"/>
          <w:pgSz w:w="15840" w:h="12240" w:orient="landscape"/>
          <w:pgMar w:top="1440" w:right="1440" w:bottom="1440" w:left="1440" w:header="720" w:footer="720" w:gutter="0"/>
          <w:cols w:space="720"/>
          <w:docGrid w:linePitch="360"/>
        </w:sectPr>
      </w:pPr>
    </w:p>
    <w:p w14:paraId="155A3CB4" w14:textId="77777777" w:rsidR="00E03650" w:rsidRPr="009C5ECD" w:rsidRDefault="00E03650" w:rsidP="00E03650">
      <w:pPr>
        <w:autoSpaceDE w:val="0"/>
        <w:autoSpaceDN w:val="0"/>
        <w:adjustRightInd w:val="0"/>
        <w:rPr>
          <w:rFonts w:ascii="TimesNewRomanPS-BoldMT" w:hAnsi="TimesNewRomanPS-BoldMT" w:cs="TimesNewRomanPS-BoldMT"/>
          <w:b/>
          <w:bCs/>
          <w:color w:val="000000"/>
          <w:sz w:val="20"/>
          <w:szCs w:val="20"/>
        </w:rPr>
      </w:pPr>
    </w:p>
    <w:p w14:paraId="41D77D83" w14:textId="77777777" w:rsidR="00E03650" w:rsidRPr="009C5ECD" w:rsidRDefault="00E03650" w:rsidP="00E03650">
      <w:pPr>
        <w:autoSpaceDE w:val="0"/>
        <w:autoSpaceDN w:val="0"/>
        <w:adjustRightInd w:val="0"/>
        <w:rPr>
          <w:rFonts w:ascii="Arial-BoldMT" w:hAnsi="Arial-BoldMT" w:cs="Arial-BoldMT"/>
          <w:b/>
          <w:bCs/>
          <w:color w:val="000000"/>
        </w:rPr>
      </w:pPr>
      <w:r w:rsidRPr="009C5ECD">
        <w:rPr>
          <w:rFonts w:ascii="Arial-BoldMT" w:hAnsi="Arial-BoldMT" w:cs="Arial-BoldMT"/>
          <w:b/>
          <w:bCs/>
          <w:color w:val="000000"/>
        </w:rPr>
        <w:t>Release Mortality Rates</w:t>
      </w:r>
    </w:p>
    <w:p w14:paraId="02F6E64E" w14:textId="77777777" w:rsidR="00E03650" w:rsidRPr="009C5ECD" w:rsidRDefault="00E03650" w:rsidP="001129C8">
      <w:pPr>
        <w:autoSpaceDE w:val="0"/>
        <w:autoSpaceDN w:val="0"/>
        <w:adjustRightInd w:val="0"/>
        <w:ind w:firstLine="360"/>
        <w:rPr>
          <w:color w:val="000000"/>
        </w:rPr>
      </w:pPr>
      <w:r w:rsidRPr="009C5ECD">
        <w:rPr>
          <w:color w:val="000000"/>
        </w:rPr>
        <w:t xml:space="preserve">Release mortality rates are unknown for many managed species. Recent Southeast Data, Assessment, and Review (SEDAR) assessments include estimates of release mortality rates based on published studies.  Stock assessment reports can be found at </w:t>
      </w:r>
      <w:hyperlink r:id="rId93" w:history="1">
        <w:r w:rsidRPr="009C5ECD">
          <w:rPr>
            <w:rStyle w:val="Hyperlink"/>
          </w:rPr>
          <w:t>http://www.sefsc.noaa.gov/sedar/</w:t>
        </w:r>
      </w:hyperlink>
      <w:r w:rsidRPr="009C5ECD">
        <w:rPr>
          <w:color w:val="000000"/>
        </w:rPr>
        <w:t xml:space="preserve">.  </w:t>
      </w:r>
    </w:p>
    <w:p w14:paraId="54EDFE66" w14:textId="77777777" w:rsidR="00E03650" w:rsidRPr="009C5ECD" w:rsidRDefault="00E03650" w:rsidP="00E03650">
      <w:pPr>
        <w:autoSpaceDE w:val="0"/>
        <w:autoSpaceDN w:val="0"/>
        <w:adjustRightInd w:val="0"/>
        <w:rPr>
          <w:color w:val="000000"/>
        </w:rPr>
      </w:pPr>
    </w:p>
    <w:p w14:paraId="49457482" w14:textId="77777777" w:rsidR="00E03650" w:rsidRPr="009C5ECD" w:rsidRDefault="00E03650" w:rsidP="001129C8">
      <w:pPr>
        <w:autoSpaceDE w:val="0"/>
        <w:autoSpaceDN w:val="0"/>
        <w:adjustRightInd w:val="0"/>
        <w:ind w:firstLine="360"/>
        <w:rPr>
          <w:color w:val="000000"/>
        </w:rPr>
      </w:pPr>
      <w:r w:rsidRPr="009C5ECD">
        <w:t>SEDAR 15A (2008) assessed mutton snapper in the South Atlantic and Gulf.  The stock was determined to be neither overfished nor undergoing overfishing.  The stock was reassessed with an update assessment in 2015 (SEDAR 15A update), and again the stock was determined to be neither overfished nor undergoing overfishing.  The SEDAR 15A update assessment (2015) used a 15% discard mortality rate for both the commercial and recreational sectors.</w:t>
      </w:r>
    </w:p>
    <w:p w14:paraId="08938DD3" w14:textId="77777777" w:rsidR="00E03650" w:rsidRPr="009C5ECD" w:rsidRDefault="00E03650" w:rsidP="00E03650">
      <w:pPr>
        <w:autoSpaceDE w:val="0"/>
        <w:autoSpaceDN w:val="0"/>
        <w:adjustRightInd w:val="0"/>
        <w:rPr>
          <w:color w:val="000000"/>
        </w:rPr>
      </w:pPr>
    </w:p>
    <w:p w14:paraId="1FB48F07" w14:textId="77777777" w:rsidR="00E03650" w:rsidRPr="009C5ECD" w:rsidRDefault="00E03650" w:rsidP="001129C8">
      <w:pPr>
        <w:autoSpaceDE w:val="0"/>
        <w:autoSpaceDN w:val="0"/>
        <w:adjustRightInd w:val="0"/>
        <w:ind w:firstLine="360"/>
        <w:rPr>
          <w:color w:val="000000"/>
        </w:rPr>
      </w:pPr>
      <w:r w:rsidRPr="009C5ECD">
        <w:rPr>
          <w:color w:val="000000"/>
        </w:rPr>
        <w:t xml:space="preserve">SEDAR 10 (2006) estimated release mortality rates of 40% and 25% for gag taken by commercial and recreational fishermen, respectively.  SEDAR 15 (2008) estimated a 20% release mortality rate for greater amberjack.  SEDAR 17 (2008) recommended a release mortality rate for vermilion snapper of 41% for the commercial sector and 38% for the recreational sector.  The recent stock assessment for yellowtail snapper chose a rate of 10% release mortality as an approximation for the lower bound on release mortality for yellowtail snapper (FWRI 2012).  SEDAR 24 (2010) used release mortality rates of 48% commercial; 41% for-hire, and 39% private recreational for red snapper.  Commercial and recreational release mortality rates were estimated as 20% for black grouper and red grouper in SEDAR 19 (2010).  Snowy grouper are primarily caught in water deeper than 300 feet and golden tilefish are taken at depths greater than 540 feet; (SEDAR 4 2004, SEDAR 25 2011).  Release mortality of black sea bass is considered to be low (7% for the recreational sector and 1% for the commercial sector) (SEDAR 25 2011) indicating minimum size limits are probably an effective management tool for black sea bass.  Commercial sector discard mortality for red porgy is 35%, and 8% for the recreational sector (SEDAR Update 2012).  SEDAR 32 (2013) for the South Atlantic estimates release mortality rates of 100% for blueline tilefish, which is consistent with other deep-water species (i.e., snowy grouper, and golden tilefish); however, if new management is implemented to reduce the discard mortality rate, it might be appropriate for population projections to consider something lower than 100%.  SEDAR 32 (2013) also estimates a 12.5% release mortality rate for gray triggerfish.  </w:t>
      </w:r>
    </w:p>
    <w:p w14:paraId="6CDFBBEF" w14:textId="77777777" w:rsidR="00E03650" w:rsidRPr="009C5ECD" w:rsidRDefault="00E03650" w:rsidP="00E03650">
      <w:pPr>
        <w:autoSpaceDE w:val="0"/>
        <w:autoSpaceDN w:val="0"/>
        <w:adjustRightInd w:val="0"/>
        <w:rPr>
          <w:color w:val="000000"/>
        </w:rPr>
      </w:pPr>
    </w:p>
    <w:p w14:paraId="5E39A919" w14:textId="77777777" w:rsidR="00E03650" w:rsidRPr="009C5ECD" w:rsidRDefault="00E03650" w:rsidP="00E03650">
      <w:pPr>
        <w:autoSpaceDE w:val="0"/>
        <w:autoSpaceDN w:val="0"/>
        <w:adjustRightInd w:val="0"/>
        <w:rPr>
          <w:rFonts w:ascii="Arial-BoldMT" w:hAnsi="Arial-BoldMT" w:cs="Arial-BoldMT"/>
          <w:b/>
          <w:bCs/>
          <w:color w:val="000000"/>
          <w:sz w:val="28"/>
          <w:szCs w:val="28"/>
        </w:rPr>
      </w:pPr>
    </w:p>
    <w:p w14:paraId="651905DD" w14:textId="77777777" w:rsidR="00E03650" w:rsidRPr="009C5ECD" w:rsidRDefault="00E03650" w:rsidP="00E03650">
      <w:pPr>
        <w:autoSpaceDE w:val="0"/>
        <w:autoSpaceDN w:val="0"/>
        <w:adjustRightInd w:val="0"/>
        <w:rPr>
          <w:rFonts w:ascii="Arial-BoldMT" w:hAnsi="Arial-BoldMT" w:cs="Arial-BoldMT"/>
          <w:b/>
          <w:bCs/>
          <w:color w:val="000000"/>
          <w:sz w:val="28"/>
          <w:szCs w:val="28"/>
        </w:rPr>
      </w:pPr>
      <w:r w:rsidRPr="009C5ECD">
        <w:rPr>
          <w:rFonts w:ascii="Arial-BoldMT" w:hAnsi="Arial-BoldMT" w:cs="Arial-BoldMT"/>
          <w:b/>
          <w:bCs/>
          <w:color w:val="000000"/>
          <w:sz w:val="28"/>
          <w:szCs w:val="28"/>
        </w:rPr>
        <w:t>1.3 Practicability of Management Measures in Directed</w:t>
      </w:r>
    </w:p>
    <w:p w14:paraId="0C02CAB3" w14:textId="77777777" w:rsidR="00E03650" w:rsidRPr="009C5ECD" w:rsidRDefault="00E03650" w:rsidP="00E03650">
      <w:pPr>
        <w:autoSpaceDE w:val="0"/>
        <w:autoSpaceDN w:val="0"/>
        <w:adjustRightInd w:val="0"/>
        <w:rPr>
          <w:rFonts w:ascii="Arial-BoldMT" w:hAnsi="Arial-BoldMT" w:cs="Arial-BoldMT"/>
          <w:b/>
          <w:bCs/>
          <w:color w:val="000000"/>
          <w:sz w:val="28"/>
          <w:szCs w:val="28"/>
        </w:rPr>
      </w:pPr>
      <w:r w:rsidRPr="009C5ECD">
        <w:rPr>
          <w:rFonts w:ascii="Arial-BoldMT" w:hAnsi="Arial-BoldMT" w:cs="Arial-BoldMT"/>
          <w:b/>
          <w:bCs/>
          <w:color w:val="000000"/>
          <w:sz w:val="28"/>
          <w:szCs w:val="28"/>
        </w:rPr>
        <w:t>Fisheries Relative to their Impact on Bycatch and Bycatch</w:t>
      </w:r>
    </w:p>
    <w:p w14:paraId="6226FF94" w14:textId="77777777" w:rsidR="00E03650" w:rsidRPr="009C5ECD" w:rsidRDefault="00E03650" w:rsidP="00E03650">
      <w:pPr>
        <w:autoSpaceDE w:val="0"/>
        <w:autoSpaceDN w:val="0"/>
        <w:adjustRightInd w:val="0"/>
        <w:rPr>
          <w:rFonts w:ascii="Arial-BoldMT" w:hAnsi="Arial-BoldMT" w:cs="Arial-BoldMT"/>
          <w:b/>
          <w:bCs/>
          <w:color w:val="000000"/>
          <w:sz w:val="28"/>
          <w:szCs w:val="28"/>
        </w:rPr>
      </w:pPr>
      <w:r w:rsidRPr="009C5ECD">
        <w:rPr>
          <w:rFonts w:ascii="Arial-BoldMT" w:hAnsi="Arial-BoldMT" w:cs="Arial-BoldMT"/>
          <w:b/>
          <w:bCs/>
          <w:color w:val="000000"/>
          <w:sz w:val="28"/>
          <w:szCs w:val="28"/>
        </w:rPr>
        <w:t>Mortality</w:t>
      </w:r>
    </w:p>
    <w:p w14:paraId="0D27C6B5" w14:textId="77777777" w:rsidR="00E03650" w:rsidRPr="009C5ECD" w:rsidRDefault="00E03650" w:rsidP="00E03650">
      <w:pPr>
        <w:autoSpaceDE w:val="0"/>
        <w:autoSpaceDN w:val="0"/>
        <w:adjustRightInd w:val="0"/>
        <w:rPr>
          <w:rFonts w:ascii="Arial-BoldMT" w:hAnsi="Arial-BoldMT" w:cs="Arial-BoldMT"/>
          <w:b/>
          <w:bCs/>
          <w:color w:val="000000"/>
        </w:rPr>
      </w:pPr>
    </w:p>
    <w:p w14:paraId="49FEBD7C" w14:textId="77777777" w:rsidR="00E03650" w:rsidRPr="009C5ECD" w:rsidRDefault="00E03650" w:rsidP="00E03650">
      <w:pPr>
        <w:autoSpaceDE w:val="0"/>
        <w:autoSpaceDN w:val="0"/>
        <w:adjustRightInd w:val="0"/>
        <w:rPr>
          <w:rFonts w:ascii="Arial-BoldMT" w:hAnsi="Arial-BoldMT" w:cs="Arial-BoldMT"/>
          <w:b/>
          <w:bCs/>
          <w:color w:val="000000"/>
        </w:rPr>
      </w:pPr>
      <w:r w:rsidRPr="009C5ECD">
        <w:rPr>
          <w:rFonts w:ascii="Arial-BoldMT" w:hAnsi="Arial-BoldMT" w:cs="Arial-BoldMT"/>
          <w:b/>
          <w:bCs/>
          <w:color w:val="000000"/>
        </w:rPr>
        <w:t>Expected Impacts on Bycatch for the Proposed Actions</w:t>
      </w:r>
    </w:p>
    <w:p w14:paraId="4CB80C92" w14:textId="77777777" w:rsidR="00E03650" w:rsidRPr="009C5ECD" w:rsidRDefault="00E03650" w:rsidP="001129C8">
      <w:pPr>
        <w:autoSpaceDE w:val="0"/>
        <w:autoSpaceDN w:val="0"/>
        <w:adjustRightInd w:val="0"/>
        <w:ind w:firstLine="360"/>
      </w:pPr>
      <w:r w:rsidRPr="009C5ECD">
        <w:rPr>
          <w:color w:val="000000"/>
        </w:rPr>
        <w:t xml:space="preserve">The Council is proposing to </w:t>
      </w:r>
      <w:r w:rsidRPr="009C5ECD">
        <w:rPr>
          <w:iCs/>
        </w:rPr>
        <w:t xml:space="preserve">revise management measures, </w:t>
      </w:r>
      <w:r w:rsidRPr="009C5ECD">
        <w:t>update biological benchmarks, and modify allowable fishing levels for mutton snapper.</w:t>
      </w:r>
      <w:r w:rsidRPr="009C5ECD">
        <w:rPr>
          <w:iCs/>
        </w:rPr>
        <w:t xml:space="preserve">  </w:t>
      </w:r>
      <w:r w:rsidRPr="009C5ECD">
        <w:t xml:space="preserve">An update assessment was conducted in 2015 with data through 2013 (SEDAR 15A Update).  The update results showed that mutton snapper in the South Atlantic were neither overfished nor undergoing overfishing.  </w:t>
      </w:r>
    </w:p>
    <w:p w14:paraId="4BC724AA" w14:textId="77777777" w:rsidR="00E03650" w:rsidRPr="009C5ECD" w:rsidRDefault="00E03650" w:rsidP="00E03650">
      <w:pPr>
        <w:autoSpaceDE w:val="0"/>
        <w:autoSpaceDN w:val="0"/>
        <w:adjustRightInd w:val="0"/>
      </w:pPr>
    </w:p>
    <w:p w14:paraId="31D66F9E" w14:textId="77777777" w:rsidR="00E03650" w:rsidRPr="009C5ECD" w:rsidRDefault="00E03650" w:rsidP="001129C8">
      <w:pPr>
        <w:autoSpaceDE w:val="0"/>
        <w:autoSpaceDN w:val="0"/>
        <w:adjustRightInd w:val="0"/>
        <w:ind w:firstLine="360"/>
      </w:pPr>
      <w:r w:rsidRPr="009C5ECD">
        <w:rPr>
          <w:b/>
          <w:iCs/>
        </w:rPr>
        <w:lastRenderedPageBreak/>
        <w:t>Actions 1</w:t>
      </w:r>
      <w:r w:rsidRPr="009C5ECD">
        <w:rPr>
          <w:iCs/>
        </w:rPr>
        <w:t xml:space="preserve"> and </w:t>
      </w:r>
      <w:r w:rsidRPr="009C5ECD">
        <w:rPr>
          <w:b/>
          <w:iCs/>
        </w:rPr>
        <w:t>2</w:t>
      </w:r>
      <w:r w:rsidRPr="009C5ECD">
        <w:rPr>
          <w:iCs/>
        </w:rPr>
        <w:t xml:space="preserve"> would specify MSY and MSST.  </w:t>
      </w:r>
      <w:r w:rsidRPr="009C5ECD">
        <w:t xml:space="preserve">Bycatch and discards would not increase or decrease as a result of these actions.  </w:t>
      </w:r>
    </w:p>
    <w:p w14:paraId="0A84BC6B" w14:textId="77777777" w:rsidR="00E03650" w:rsidRPr="009C5ECD" w:rsidRDefault="00E03650" w:rsidP="00E03650">
      <w:pPr>
        <w:autoSpaceDE w:val="0"/>
        <w:autoSpaceDN w:val="0"/>
        <w:adjustRightInd w:val="0"/>
      </w:pPr>
    </w:p>
    <w:p w14:paraId="213D1B4E" w14:textId="77777777" w:rsidR="00E03650" w:rsidRPr="009C5ECD" w:rsidRDefault="00E03650" w:rsidP="001129C8">
      <w:pPr>
        <w:autoSpaceDE w:val="0"/>
        <w:autoSpaceDN w:val="0"/>
        <w:adjustRightInd w:val="0"/>
        <w:ind w:firstLine="360"/>
      </w:pPr>
      <w:r w:rsidRPr="009C5ECD">
        <w:rPr>
          <w:b/>
        </w:rPr>
        <w:t>Action 3</w:t>
      </w:r>
      <w:r w:rsidRPr="009C5ECD">
        <w:t xml:space="preserve"> would revise the annual catch limits (ACL) and optimum yield (OY).  </w:t>
      </w:r>
      <w:r w:rsidRPr="009C5ECD">
        <w:rPr>
          <w:rFonts w:eastAsia="Calibri"/>
        </w:rPr>
        <w:t>A lower ACL could result in more discards; however, other actions are considered in this amendment that could help prevent th</w:t>
      </w:r>
      <w:r>
        <w:rPr>
          <w:rFonts w:eastAsia="Calibri"/>
        </w:rPr>
        <w:t>e</w:t>
      </w:r>
      <w:r w:rsidRPr="009C5ECD">
        <w:rPr>
          <w:rFonts w:eastAsia="Calibri"/>
        </w:rPr>
        <w:t xml:space="preserve"> ACL from being exceeded (Actions 4 through 9).  Additionally, t</w:t>
      </w:r>
      <w:r w:rsidRPr="009C5ECD">
        <w:t xml:space="preserve">he Commercial Landings Monitoring System came online in June 2012 and is now being used to track commercial landings of federally managed fish species.  This system is able to track individual dealer reports, track compliance with reporting requirements, project harvest closures using five different methods, and analyze why annual catch limits are exceeded.  With vastly improved commercial monitoring mechanisms recently implemented, it is unlikely that repeated commercial annual catch limit overages would occur.  Additionally, a Joint Dealer Reporting Amendment, which was implemented on August 7, 2014 has increased the required reporting frequency for dealers to once per week, and requires a single dealer permit for all finfish dealers in the Southeast Region.  On January 27, 2014, the Generic For-Hire Reporting Amendment was implemented (78 FR 78779), which required all federally permitted headboats in the South Atlantic to report landings information electronically and on a weekly basis.  The new Commercial Landings Monitoring System and actions in the Joint Generic Dealer and Generic For-Hire Reporting amendments </w:t>
      </w:r>
      <w:r>
        <w:t xml:space="preserve">(SAFMC, 2013b) </w:t>
      </w:r>
      <w:r w:rsidRPr="009C5ECD">
        <w:t xml:space="preserve">are expected to provide more timely and accurate data reporting and would thus reduce the incidence of quota overages.  </w:t>
      </w:r>
    </w:p>
    <w:p w14:paraId="404D4F49" w14:textId="77777777" w:rsidR="00E03650" w:rsidRPr="009C5ECD" w:rsidRDefault="00E03650" w:rsidP="00E03650">
      <w:pPr>
        <w:autoSpaceDE w:val="0"/>
        <w:autoSpaceDN w:val="0"/>
        <w:adjustRightInd w:val="0"/>
      </w:pPr>
    </w:p>
    <w:p w14:paraId="70E77616" w14:textId="77777777" w:rsidR="00E03650" w:rsidRPr="009C5ECD" w:rsidRDefault="00E03650" w:rsidP="001129C8">
      <w:pPr>
        <w:autoSpaceDE w:val="0"/>
        <w:autoSpaceDN w:val="0"/>
        <w:adjustRightInd w:val="0"/>
        <w:ind w:firstLine="360"/>
        <w:rPr>
          <w:rFonts w:eastAsia="Calibri"/>
        </w:rPr>
      </w:pPr>
      <w:r w:rsidRPr="009C5ECD">
        <w:rPr>
          <w:b/>
        </w:rPr>
        <w:t>Action 4</w:t>
      </w:r>
      <w:r w:rsidRPr="009C5ECD">
        <w:t xml:space="preserve"> would revise the annual catch target (ACT).  </w:t>
      </w:r>
      <w:r w:rsidRPr="009C5ECD">
        <w:rPr>
          <w:rFonts w:eastAsia="Calibri"/>
        </w:rPr>
        <w:t xml:space="preserve">This action would not be expected to affect discards and/or bycatch, since the only consequence of reaching the ACT would be to continue to monitor the landings, which the MRIP does continually.  </w:t>
      </w:r>
    </w:p>
    <w:p w14:paraId="7AAA30A3" w14:textId="77777777" w:rsidR="00E03650" w:rsidRPr="009C5ECD" w:rsidRDefault="00E03650" w:rsidP="00E03650">
      <w:pPr>
        <w:autoSpaceDE w:val="0"/>
        <w:autoSpaceDN w:val="0"/>
        <w:adjustRightInd w:val="0"/>
        <w:rPr>
          <w:rFonts w:eastAsia="Calibri"/>
        </w:rPr>
      </w:pPr>
    </w:p>
    <w:p w14:paraId="6E18C6C9" w14:textId="77777777" w:rsidR="00E03650" w:rsidRPr="009C5ECD" w:rsidRDefault="00E03650" w:rsidP="001129C8">
      <w:pPr>
        <w:autoSpaceDE w:val="0"/>
        <w:autoSpaceDN w:val="0"/>
        <w:adjustRightInd w:val="0"/>
        <w:ind w:firstLine="360"/>
      </w:pPr>
      <w:r w:rsidRPr="009C5ECD">
        <w:rPr>
          <w:rFonts w:eastAsia="Calibri"/>
          <w:b/>
        </w:rPr>
        <w:t>Action 5</w:t>
      </w:r>
      <w:r w:rsidRPr="009C5ECD">
        <w:rPr>
          <w:rFonts w:eastAsia="Calibri"/>
        </w:rPr>
        <w:t xml:space="preserve"> would modify the minimum size limit for both sectors.  </w:t>
      </w:r>
      <w:r w:rsidRPr="009C5ECD">
        <w:t xml:space="preserve">The greater the increase in the </w:t>
      </w:r>
      <w:r w:rsidRPr="00ED2EF5">
        <w:t xml:space="preserve">minimum size limit, the greater the probability for regulatory discards because time is needed for the population to “grow into” the new minimum size limit, and therefore, both commercial and recreational fishers have to discard larger numbers of fish that are under the size limit.  However, in the commercial sector, the majority of the mutton snapper are harvested well above any of the minimum size limits being considered under </w:t>
      </w:r>
      <w:r w:rsidRPr="00ED2EF5">
        <w:rPr>
          <w:b/>
        </w:rPr>
        <w:t>Alternatives 2</w:t>
      </w:r>
      <w:r w:rsidRPr="00ED2EF5">
        <w:t xml:space="preserve"> through </w:t>
      </w:r>
      <w:r w:rsidRPr="00ED2EF5">
        <w:rPr>
          <w:b/>
        </w:rPr>
        <w:t>5</w:t>
      </w:r>
      <w:r w:rsidRPr="00ED2EF5">
        <w:t xml:space="preserve">.  In fact, 60% of the lengths are above the largest minimum size (20 inches TL) being considered in the amendment.   Therefore, the level of regulatory discards in the commercial fishery as a result of any of the alternatives considered under this action is not expected to change.   In the recreational sector, according to the SEDAR 15A Update (2015), there have been few instances of mutton snapper being discarded dead since the recreational landings survey was initiated in 1979 (initially the Marine Recreational Statistical Survey and later Marine Recreational Information Program) and recreational fishermen have reported high release survival of mutton snapper.  The SEDAR 15A Update (2015) used a 15% discard mortality rate to estimate levels of dead discards.  </w:t>
      </w:r>
      <w:r w:rsidRPr="00ED2EF5">
        <w:rPr>
          <w:rFonts w:eastAsia="Calibri"/>
        </w:rPr>
        <w:t>Increasing the minimum size limit is</w:t>
      </w:r>
      <w:r w:rsidRPr="00ED2EF5">
        <w:rPr>
          <w:color w:val="000000"/>
        </w:rPr>
        <w:t xml:space="preserve"> a management tool aimed </w:t>
      </w:r>
      <w:r w:rsidRPr="00ED2EF5">
        <w:rPr>
          <w:rFonts w:eastAsia="Calibri"/>
        </w:rPr>
        <w:t>to biologically benefit the mutton snapper stock.</w:t>
      </w:r>
      <w:r w:rsidRPr="00ED2EF5">
        <w:t xml:space="preserve">  Not only does recent scientific research support such an increase based on the reproductive biology of mutton snapper, it is also the single most effective change to current management measures (based on projected landings) to achieve the necessary reduction in harvest to keep landings below the proposed</w:t>
      </w:r>
      <w:r w:rsidRPr="009C5ECD">
        <w:t xml:space="preserve"> ACL.  </w:t>
      </w:r>
      <w:r w:rsidRPr="00ED2EF5">
        <w:t xml:space="preserve">Hence, biological effects from the expected increase in dead discards are expected to be minimal and similar across the minimum size limit alternatives considered under this action.  </w:t>
      </w:r>
    </w:p>
    <w:p w14:paraId="478F0AAD" w14:textId="77777777" w:rsidR="00E03650" w:rsidRPr="009C5ECD" w:rsidRDefault="00E03650" w:rsidP="00E03650">
      <w:pPr>
        <w:autoSpaceDE w:val="0"/>
        <w:autoSpaceDN w:val="0"/>
        <w:adjustRightInd w:val="0"/>
      </w:pPr>
    </w:p>
    <w:p w14:paraId="313871F7" w14:textId="77777777" w:rsidR="00D06628" w:rsidRDefault="00E03650" w:rsidP="001129C8">
      <w:pPr>
        <w:autoSpaceDE w:val="0"/>
        <w:autoSpaceDN w:val="0"/>
        <w:adjustRightInd w:val="0"/>
        <w:ind w:firstLine="360"/>
      </w:pPr>
      <w:r w:rsidRPr="009C5ECD">
        <w:rPr>
          <w:b/>
        </w:rPr>
        <w:t xml:space="preserve">Action 6 </w:t>
      </w:r>
      <w:r w:rsidRPr="009C5ECD">
        <w:t>would designate spawning months during which potentially stricter management measures would a</w:t>
      </w:r>
      <w:r w:rsidR="00D06628">
        <w:t>pply, but is not expected to, by</w:t>
      </w:r>
      <w:r w:rsidRPr="009C5ECD">
        <w:t xml:space="preserve"> itself, affect bycatch or regulatory discards.  </w:t>
      </w:r>
    </w:p>
    <w:p w14:paraId="01D47FD6" w14:textId="77777777" w:rsidR="00D06628" w:rsidRDefault="00D06628" w:rsidP="001129C8">
      <w:pPr>
        <w:autoSpaceDE w:val="0"/>
        <w:autoSpaceDN w:val="0"/>
        <w:adjustRightInd w:val="0"/>
        <w:ind w:firstLine="360"/>
      </w:pPr>
    </w:p>
    <w:p w14:paraId="559959DA" w14:textId="5D78E420" w:rsidR="00E03650" w:rsidRPr="009C5ECD" w:rsidRDefault="00E03650" w:rsidP="001129C8">
      <w:pPr>
        <w:autoSpaceDE w:val="0"/>
        <w:autoSpaceDN w:val="0"/>
        <w:adjustRightInd w:val="0"/>
        <w:ind w:firstLine="360"/>
      </w:pPr>
      <w:r w:rsidRPr="009C5ECD">
        <w:rPr>
          <w:b/>
        </w:rPr>
        <w:t xml:space="preserve">Actions 7 </w:t>
      </w:r>
      <w:r w:rsidRPr="009C5ECD">
        <w:t>and</w:t>
      </w:r>
      <w:r w:rsidRPr="009C5ECD">
        <w:rPr>
          <w:b/>
        </w:rPr>
        <w:t xml:space="preserve"> 8 </w:t>
      </w:r>
      <w:r w:rsidRPr="009C5ECD">
        <w:t xml:space="preserve">would modify mutton snapper recreational bag limits and commercial trip limits during the regular season and during spawning months.  Reducing recreational bag and commercial trip limits could </w:t>
      </w:r>
      <w:r w:rsidRPr="009C5ECD">
        <w:rPr>
          <w:rFonts w:eastAsia="Calibri"/>
        </w:rPr>
        <w:t xml:space="preserve">be expected to increase regulatory discards.  </w:t>
      </w:r>
      <w:r w:rsidRPr="009C5ECD">
        <w:t xml:space="preserve">Further reduced trip limits during spawning months could decrease commercial fishing activities for mutton snapper, which would reduce discards.  There </w:t>
      </w:r>
      <w:r w:rsidRPr="009C5ECD">
        <w:rPr>
          <w:rFonts w:ascii="TimesNewRomanPSMT" w:hAnsi="TimesNewRomanPSMT" w:cs="TimesNewRomanPSMT"/>
          <w:color w:val="000000"/>
        </w:rPr>
        <w:t xml:space="preserve">is also potential for discards to </w:t>
      </w:r>
      <w:r w:rsidRPr="009C5ECD">
        <w:rPr>
          <w:color w:val="000000"/>
        </w:rPr>
        <w:t>increase in other fisheries if fishermen shift effort during months with stricter mutton snapper regulations.</w:t>
      </w:r>
      <w:r w:rsidRPr="009C5ECD">
        <w:t xml:space="preserve">  However, mutton snapper have a low discard mortality rate (15%); hence, no additional negative biological effects would be expected from alternatives that allow some retention during the designated “spawning months.”</w:t>
      </w:r>
    </w:p>
    <w:p w14:paraId="7718D336" w14:textId="77777777" w:rsidR="00E03650" w:rsidRPr="009C5ECD" w:rsidRDefault="00E03650" w:rsidP="00E03650">
      <w:pPr>
        <w:autoSpaceDE w:val="0"/>
        <w:autoSpaceDN w:val="0"/>
        <w:adjustRightInd w:val="0"/>
        <w:rPr>
          <w:rFonts w:eastAsia="Calibri"/>
          <w:b/>
        </w:rPr>
      </w:pPr>
    </w:p>
    <w:p w14:paraId="0E6BC8B7" w14:textId="77777777" w:rsidR="00E03650" w:rsidRPr="009C5ECD" w:rsidRDefault="00E03650" w:rsidP="00E03650">
      <w:pPr>
        <w:autoSpaceDE w:val="0"/>
        <w:autoSpaceDN w:val="0"/>
        <w:adjustRightInd w:val="0"/>
        <w:rPr>
          <w:rFonts w:ascii="Arial-BoldMT" w:hAnsi="Arial-BoldMT" w:cs="Arial-BoldMT"/>
          <w:b/>
          <w:bCs/>
          <w:color w:val="000000"/>
        </w:rPr>
      </w:pPr>
    </w:p>
    <w:p w14:paraId="57FFBEF7" w14:textId="77777777" w:rsidR="00E03650" w:rsidRPr="009C5ECD" w:rsidRDefault="00E03650" w:rsidP="00E03650">
      <w:pPr>
        <w:autoSpaceDE w:val="0"/>
        <w:autoSpaceDN w:val="0"/>
        <w:adjustRightInd w:val="0"/>
        <w:rPr>
          <w:rFonts w:ascii="Arial-BoldMT" w:hAnsi="Arial-BoldMT" w:cs="Arial-BoldMT"/>
          <w:b/>
          <w:bCs/>
          <w:color w:val="000000"/>
        </w:rPr>
      </w:pPr>
      <w:r w:rsidRPr="009C5ECD">
        <w:rPr>
          <w:rFonts w:ascii="Arial-BoldMT" w:hAnsi="Arial-BoldMT" w:cs="Arial-BoldMT"/>
          <w:b/>
          <w:bCs/>
          <w:color w:val="000000"/>
        </w:rPr>
        <w:t>Past, Current, and Future Actions to Prevent Bycatch and Improve Monitoring of</w:t>
      </w:r>
    </w:p>
    <w:p w14:paraId="094DE333" w14:textId="77777777" w:rsidR="00E03650" w:rsidRPr="009C5ECD" w:rsidRDefault="00E03650" w:rsidP="00E03650">
      <w:pPr>
        <w:autoSpaceDE w:val="0"/>
        <w:autoSpaceDN w:val="0"/>
        <w:adjustRightInd w:val="0"/>
        <w:rPr>
          <w:rFonts w:ascii="Arial-BoldMT" w:hAnsi="Arial-BoldMT" w:cs="Arial-BoldMT"/>
          <w:b/>
          <w:bCs/>
          <w:color w:val="000000"/>
        </w:rPr>
      </w:pPr>
      <w:r w:rsidRPr="009C5ECD">
        <w:rPr>
          <w:rFonts w:ascii="Arial-BoldMT" w:hAnsi="Arial-BoldMT" w:cs="Arial-BoldMT"/>
          <w:b/>
          <w:bCs/>
          <w:color w:val="000000"/>
        </w:rPr>
        <w:t>Harvest, Discards, and Discard Mortality.</w:t>
      </w:r>
    </w:p>
    <w:p w14:paraId="0C11CA5C" w14:textId="77777777" w:rsidR="00E03650" w:rsidRPr="009C5ECD" w:rsidRDefault="00E03650" w:rsidP="00E03650">
      <w:pPr>
        <w:autoSpaceDE w:val="0"/>
        <w:autoSpaceDN w:val="0"/>
        <w:adjustRightInd w:val="0"/>
        <w:rPr>
          <w:rFonts w:ascii="Arial-BoldMT" w:hAnsi="Arial-BoldMT" w:cs="Arial-BoldMT"/>
          <w:b/>
          <w:bCs/>
          <w:color w:val="000000"/>
        </w:rPr>
      </w:pPr>
    </w:p>
    <w:p w14:paraId="218CF30E" w14:textId="77777777"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The Comprehensive Ecosystem-Based Amendment 2 (CE-BA 2; SAFMC 2011</w:t>
      </w:r>
      <w:r>
        <w:rPr>
          <w:rFonts w:ascii="TimesNewRomanPSMT" w:hAnsi="TimesNewRomanPSMT" w:cs="TimesNewRomanPSMT"/>
          <w:color w:val="000000"/>
        </w:rPr>
        <w:t>b</w:t>
      </w:r>
      <w:r w:rsidRPr="009C5ECD">
        <w:rPr>
          <w:rFonts w:ascii="TimesNewRomanPSMT" w:hAnsi="TimesNewRomanPSMT" w:cs="TimesNewRomanPSMT"/>
          <w:color w:val="000000"/>
        </w:rPr>
        <w:t xml:space="preserve">) included actions that removed harvest of octocorals off Florida from the Coral, Coral Reefs, and Live/Hard Bottom Habitat Fishery Management Plan (Coral FMP); set the octocoral ACL for Georgia, South Carolina, and North Carolina equal to 0; modified management of special management zones (SMZs) off South Carolina; revised sea turtle release gear requirements for the snapper grouper fishery that were established in Amendment 15B to the Fishery Management Plan for the Snapper Grouper Fishery of the South Atlantic Region (Snapper Grouper FMP; SAFMC 2008); and designated new essential fish habitat (EFH) and EFH-Habitat Areas of Particular Concern in the South Atlantic.  There is no bycatch associated with octocoral harvest within the management area of the Coral FMP since harvest is prohibited.  CE-BA 2 also included an action that limited harvest and possession of snapper grouper and coastal migratory pelagics (CMP) species to the bag limit in SMZs off South Carolina.  This action could reduce bycatch of regulatory discards around SMZs by restricting commercial harvest in the area, but it would probably have very little effect on the magnitude of overall bycatch of snapper grouper species in the South Atlantic. </w:t>
      </w:r>
    </w:p>
    <w:p w14:paraId="37552C70" w14:textId="77777777" w:rsidR="00E03650" w:rsidRPr="009C5ECD" w:rsidRDefault="00E03650" w:rsidP="00E03650">
      <w:pPr>
        <w:autoSpaceDE w:val="0"/>
        <w:autoSpaceDN w:val="0"/>
        <w:adjustRightInd w:val="0"/>
        <w:rPr>
          <w:rFonts w:ascii="TimesNewRomanPSMT" w:hAnsi="TimesNewRomanPSMT" w:cs="TimesNewRomanPSMT"/>
          <w:color w:val="000000"/>
        </w:rPr>
      </w:pPr>
    </w:p>
    <w:p w14:paraId="5996A20C" w14:textId="27A44B2A" w:rsidR="00E03650"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Other actions have been taken in recently implemented amendments that could reduce bycatch of and</w:t>
      </w:r>
      <w:r w:rsidR="00D06628">
        <w:rPr>
          <w:rFonts w:ascii="TimesNewRomanPSMT" w:hAnsi="TimesNewRomanPSMT" w:cs="TimesNewRomanPSMT"/>
          <w:color w:val="000000"/>
        </w:rPr>
        <w:t xml:space="preserve"> bycatch mortality of federally </w:t>
      </w:r>
      <w:r w:rsidRPr="009C5ECD">
        <w:rPr>
          <w:rFonts w:ascii="TimesNewRomanPSMT" w:hAnsi="TimesNewRomanPSMT" w:cs="TimesNewRomanPSMT"/>
          <w:color w:val="000000"/>
        </w:rPr>
        <w:t xml:space="preserve">managed species in the South Atlantic. Amendment 13C to Snapper Grouper FMP (SAFMC 2006) required the use of 2 inch mesh in the back panel of black sea bass pots, which has likely reduced the magnitude of regulatory discards.  Amendment 16 to the Snapper Grouper FMP (SAFMC 2009) required the use of dehooking devices, which could help reduce bycatch mortality of vermilion snapper, black sea bass, gag, red grouper, black grouper, and red snapper.  Dehooking devices can allow fishermen to remove hooks with greater ease and more quickly from snapper grouper species without removing the fish from the water. </w:t>
      </w:r>
      <w:r w:rsidR="00D06628">
        <w:rPr>
          <w:rFonts w:ascii="TimesNewRomanPSMT" w:hAnsi="TimesNewRomanPSMT" w:cs="TimesNewRomanPSMT"/>
          <w:color w:val="000000"/>
        </w:rPr>
        <w:t xml:space="preserve"> </w:t>
      </w:r>
      <w:r w:rsidRPr="009C5ECD">
        <w:rPr>
          <w:rFonts w:ascii="TimesNewRomanPSMT" w:hAnsi="TimesNewRomanPSMT" w:cs="TimesNewRomanPSMT"/>
          <w:color w:val="000000"/>
        </w:rPr>
        <w:t xml:space="preserve">If a fish does need to be removed from the water, dehookers could still reduce handling time in removing hooks, thus increasing survival (Cooke et al. 2001).  Furthermore, Amendment 17A to the Snapper Grouper FMP (SAFMC 2010a) required circle hooks for snapper grouper species north of 28 degrees latitude, which is expected to reduce </w:t>
      </w:r>
      <w:r w:rsidRPr="009C5ECD">
        <w:rPr>
          <w:rFonts w:ascii="TimesNewRomanPSMT" w:hAnsi="TimesNewRomanPSMT" w:cs="TimesNewRomanPSMT"/>
          <w:color w:val="000000"/>
        </w:rPr>
        <w:lastRenderedPageBreak/>
        <w:t xml:space="preserve">bycatch mortality of snapper grouper species.  Amendment 17B to the Snapper Grouper FMP (SAFMC 2010b) established ACLs and AMs and address overfishing for eight species in the snapper grouper management complex: golden tilefish, snowy grouper, speckled hind, warsaw grouper, black sea bass, gag, red grouper, black grouper, and vermilion snapper.  Overfishing is no longer occurring for golden tilefish, black sea bass, snowy grouper, red grouper, black grouper, and vermilion snapper.  </w:t>
      </w:r>
    </w:p>
    <w:p w14:paraId="64E45483" w14:textId="77777777" w:rsidR="00D06628" w:rsidRPr="009C5ECD" w:rsidRDefault="00D06628" w:rsidP="00D06628">
      <w:pPr>
        <w:autoSpaceDE w:val="0"/>
        <w:autoSpaceDN w:val="0"/>
        <w:adjustRightInd w:val="0"/>
        <w:ind w:firstLine="360"/>
        <w:rPr>
          <w:rFonts w:ascii="TimesNewRomanPSMT" w:hAnsi="TimesNewRomanPSMT" w:cs="TimesNewRomanPSMT"/>
          <w:color w:val="000000"/>
        </w:rPr>
      </w:pPr>
    </w:p>
    <w:p w14:paraId="02D38CA4" w14:textId="77777777"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The Comprehensive ACL Amendment (SAFMC 2011</w:t>
      </w:r>
      <w:r>
        <w:rPr>
          <w:rFonts w:ascii="TimesNewRomanPSMT" w:hAnsi="TimesNewRomanPSMT" w:cs="TimesNewRomanPSMT"/>
          <w:color w:val="000000"/>
        </w:rPr>
        <w:t>a</w:t>
      </w:r>
      <w:r w:rsidRPr="009C5ECD">
        <w:rPr>
          <w:rFonts w:ascii="TimesNewRomanPSMT" w:hAnsi="TimesNewRomanPSMT" w:cs="TimesNewRomanPSMT"/>
          <w:color w:val="000000"/>
        </w:rPr>
        <w:t xml:space="preserve">) implemented ACLs and AMs for species not undergoing overfishing in the Fishery Management Plans for snapper grouper, dolphin and wahoo, golden crab and </w:t>
      </w:r>
      <w:r w:rsidRPr="009C5ECD">
        <w:rPr>
          <w:rFonts w:ascii="TimesNewRomanPS-ItalicMT" w:hAnsi="TimesNewRomanPS-ItalicMT" w:cs="TimesNewRomanPS-ItalicMT"/>
          <w:i/>
          <w:iCs/>
          <w:color w:val="000000"/>
        </w:rPr>
        <w:t>Sargassum</w:t>
      </w:r>
      <w:r w:rsidRPr="009C5ECD">
        <w:rPr>
          <w:rFonts w:ascii="TimesNewRomanPSMT" w:hAnsi="TimesNewRomanPSMT" w:cs="TimesNewRomanPSMT"/>
          <w:color w:val="000000"/>
        </w:rPr>
        <w:t>, in addition to other actions such as allocations and establishing annual catch targets for the recreational sector.  The Comprehensive ACL Amendment (SAFMC 2011</w:t>
      </w:r>
      <w:r>
        <w:rPr>
          <w:rFonts w:ascii="TimesNewRomanPSMT" w:hAnsi="TimesNewRomanPSMT" w:cs="TimesNewRomanPSMT"/>
          <w:color w:val="000000"/>
        </w:rPr>
        <w:t>a</w:t>
      </w:r>
      <w:r w:rsidRPr="009C5ECD">
        <w:rPr>
          <w:rFonts w:ascii="TimesNewRomanPSMT" w:hAnsi="TimesNewRomanPSMT" w:cs="TimesNewRomanPSMT"/>
          <w:color w:val="000000"/>
        </w:rPr>
        <w:t xml:space="preserve">) also established additional measures to reduce bycatch in the snapper grouper fishery with the establishment of species complexes based on biological, geographic, economic, taxonomic, technical, social, and ecological factors. ACLs were assigned to these species complexes, and when the ACL for the complex is met or projected to be met, fishing for species included in the entire species complex is prohibited for the fishing year.  ACLs and AMs will likely reduce bycatch of target species and species complexes as well as incidentally caught species. </w:t>
      </w:r>
    </w:p>
    <w:p w14:paraId="08C720BC" w14:textId="77777777" w:rsidR="00E03650" w:rsidRPr="009C5ECD" w:rsidRDefault="00E03650" w:rsidP="00E03650">
      <w:pPr>
        <w:autoSpaceDE w:val="0"/>
        <w:autoSpaceDN w:val="0"/>
        <w:adjustRightInd w:val="0"/>
        <w:rPr>
          <w:rFonts w:ascii="TimesNewRomanPSMT" w:hAnsi="TimesNewRomanPSMT" w:cs="TimesNewRomanPSMT"/>
          <w:color w:val="000000"/>
        </w:rPr>
      </w:pPr>
    </w:p>
    <w:p w14:paraId="5A3F85C5" w14:textId="77777777"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Amendment 18A to the Snapper Grouper FMP (SAFMC 2011</w:t>
      </w:r>
      <w:r>
        <w:rPr>
          <w:rFonts w:ascii="TimesNewRomanPSMT" w:hAnsi="TimesNewRomanPSMT" w:cs="TimesNewRomanPSMT"/>
          <w:color w:val="000000"/>
        </w:rPr>
        <w:t>c</w:t>
      </w:r>
      <w:r w:rsidRPr="009C5ECD">
        <w:rPr>
          <w:rFonts w:ascii="TimesNewRomanPSMT" w:hAnsi="TimesNewRomanPSMT" w:cs="TimesNewRomanPSMT"/>
          <w:color w:val="000000"/>
        </w:rPr>
        <w:t>), included actions that could reduce bycatch of black sea bass and the potential for interactions with protected species.  Actions in Amendment 18A limited the number of participants in the black sea bass pot sector, required fishermen bring pots back to port at the completion of a trip, and limited the number of pots a fishermen can deploy.  Amendment 24 to the Snapper Grouper FMP (SAFMC 2011</w:t>
      </w:r>
      <w:r>
        <w:rPr>
          <w:rFonts w:ascii="TimesNewRomanPSMT" w:hAnsi="TimesNewRomanPSMT" w:cs="TimesNewRomanPSMT"/>
          <w:color w:val="000000"/>
        </w:rPr>
        <w:t>d</w:t>
      </w:r>
      <w:r w:rsidRPr="009C5ECD">
        <w:rPr>
          <w:rFonts w:ascii="TimesNewRomanPSMT" w:hAnsi="TimesNewRomanPSMT" w:cs="TimesNewRomanPSMT"/>
          <w:color w:val="000000"/>
        </w:rPr>
        <w:t>) established a rebuilding plan for red grouper, which was overfished and undergoing overfishing. Red grouper is no longer undergoing overfishing or overfished. Amendment 24 (SAFMC 2011</w:t>
      </w:r>
      <w:r>
        <w:rPr>
          <w:rFonts w:ascii="TimesNewRomanPSMT" w:hAnsi="TimesNewRomanPSMT" w:cs="TimesNewRomanPSMT"/>
          <w:color w:val="000000"/>
        </w:rPr>
        <w:t>d</w:t>
      </w:r>
      <w:r w:rsidRPr="009C5ECD">
        <w:rPr>
          <w:rFonts w:ascii="TimesNewRomanPSMT" w:hAnsi="TimesNewRomanPSMT" w:cs="TimesNewRomanPSMT"/>
          <w:color w:val="000000"/>
        </w:rPr>
        <w:t xml:space="preserve">) also established ACLs and AMs for red grouper, which could help to reduce bycatch of red grouper and co-occurring species.  </w:t>
      </w:r>
    </w:p>
    <w:p w14:paraId="51FBAD40" w14:textId="77777777" w:rsidR="00E03650" w:rsidRPr="009C5ECD" w:rsidRDefault="00E03650" w:rsidP="00E03650">
      <w:pPr>
        <w:autoSpaceDE w:val="0"/>
        <w:autoSpaceDN w:val="0"/>
        <w:adjustRightInd w:val="0"/>
        <w:rPr>
          <w:rFonts w:ascii="TimesNewRomanPSMT" w:hAnsi="TimesNewRomanPSMT" w:cs="TimesNewRomanPSMT"/>
          <w:color w:val="000000"/>
        </w:rPr>
      </w:pPr>
    </w:p>
    <w:p w14:paraId="3F3240E0" w14:textId="77777777" w:rsidR="00E03650" w:rsidRPr="006E67AA"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The final rule (78 FR 23858; April 23, 2013) for Amendment 18B to the Snapper</w:t>
      </w:r>
      <w:r>
        <w:rPr>
          <w:rFonts w:ascii="TimesNewRomanPSMT" w:hAnsi="TimesNewRomanPSMT" w:cs="TimesNewRomanPSMT"/>
          <w:color w:val="000000"/>
        </w:rPr>
        <w:t xml:space="preserve"> </w:t>
      </w:r>
      <w:r w:rsidRPr="009C5ECD">
        <w:rPr>
          <w:rFonts w:ascii="TimesNewRomanPSMT" w:hAnsi="TimesNewRomanPSMT" w:cs="TimesNewRomanPSMT"/>
          <w:color w:val="000000"/>
        </w:rPr>
        <w:t>Grouper FMP (SAFMC 2012), established an endorsement program for the commercial golden tilefish longline sector, which could have positive effects for habitat and protected species.  Regulatory Amendment 14 to the Snapper Grouper FMP</w:t>
      </w:r>
      <w:r>
        <w:rPr>
          <w:rFonts w:ascii="TimesNewRomanPSMT" w:hAnsi="TimesNewRomanPSMT" w:cs="TimesNewRomanPSMT"/>
          <w:color w:val="000000"/>
        </w:rPr>
        <w:t xml:space="preserve"> (</w:t>
      </w:r>
      <w:r w:rsidRPr="006E67AA">
        <w:rPr>
          <w:rFonts w:ascii="TimesNewRomanPSMT" w:hAnsi="TimesNewRomanPSMT" w:cs="TimesNewRomanPSMT"/>
          <w:color w:val="000000"/>
        </w:rPr>
        <w:t xml:space="preserve">SAFMC, 2014), which has been approved by the Council, includes actions that could adjust management measures for a number of snapper grouper species, some of which could reduce the magnitude of discards.  Regulatory Amendment 15 to the Snapper Grouper FMP included actions for yellowtail snapper and gag that are expected to reduce bycatch of snapper-grouper specie (SAFMC, 2013a).  Regulatory Amendment 17 to the Snapper Grouper FMP, which is under development, includes actions that affect marine protected areas, and could reduce bycatch of many snapper grouper species, especially speckled hind and warsaw grouper.  </w:t>
      </w:r>
    </w:p>
    <w:p w14:paraId="05EF95F0" w14:textId="77777777" w:rsidR="00E03650" w:rsidRPr="006E67AA" w:rsidRDefault="00E03650" w:rsidP="00E03650">
      <w:pPr>
        <w:autoSpaceDE w:val="0"/>
        <w:autoSpaceDN w:val="0"/>
        <w:adjustRightInd w:val="0"/>
        <w:rPr>
          <w:rFonts w:ascii="TimesNewRomanPSMT" w:hAnsi="TimesNewRomanPSMT" w:cs="TimesNewRomanPSMT"/>
          <w:color w:val="000000"/>
        </w:rPr>
      </w:pPr>
    </w:p>
    <w:p w14:paraId="5357D361" w14:textId="77777777" w:rsidR="00E03650" w:rsidRPr="009C5ECD" w:rsidRDefault="00E03650" w:rsidP="00D06628">
      <w:pPr>
        <w:autoSpaceDE w:val="0"/>
        <w:autoSpaceDN w:val="0"/>
        <w:adjustRightInd w:val="0"/>
        <w:ind w:firstLine="360"/>
        <w:rPr>
          <w:rFonts w:ascii="TimesNewRomanPSMT" w:hAnsi="TimesNewRomanPSMT" w:cs="TimesNewRomanPSMT"/>
          <w:color w:val="000000"/>
        </w:rPr>
      </w:pPr>
      <w:r w:rsidRPr="006E67AA">
        <w:rPr>
          <w:rFonts w:ascii="TimesNewRomanPSMT" w:hAnsi="TimesNewRomanPSMT" w:cs="TimesNewRomanPSMT"/>
          <w:color w:val="000000"/>
        </w:rPr>
        <w:t>The Joint Dealer Reporting Amendment (SAFMC 2013</w:t>
      </w:r>
      <w:r>
        <w:rPr>
          <w:rFonts w:ascii="TimesNewRomanPSMT" w:hAnsi="TimesNewRomanPSMT" w:cs="TimesNewRomanPSMT"/>
          <w:color w:val="000000"/>
        </w:rPr>
        <w:t>b</w:t>
      </w:r>
      <w:r w:rsidRPr="006E67AA">
        <w:rPr>
          <w:rFonts w:ascii="TimesNewRomanPSMT" w:hAnsi="TimesNewRomanPSMT" w:cs="TimesNewRomanPSMT"/>
          <w:color w:val="000000"/>
        </w:rPr>
        <w:t xml:space="preserve">), which went into effect on January 27, 2014, has changed the reporting frequency for landings by headboats from monthly to weekly, and requires that reports be submitted electronically.  The action is expected to provide more timely information on landings and discards.  Improved information on landings would help ensure ACLs are not exceeded.  Furthermore, more timely and accurate information would </w:t>
      </w:r>
      <w:r w:rsidRPr="006E67AA">
        <w:rPr>
          <w:rFonts w:ascii="TimesNewRomanPSMT" w:hAnsi="TimesNewRomanPSMT" w:cs="TimesNewRomanPSMT"/>
          <w:color w:val="000000"/>
        </w:rPr>
        <w:lastRenderedPageBreak/>
        <w:t>be expected to provide a better understanding of the composition and magnitude of catch and bycatch, enhance the quality of data provided for stock assessments, increase the quality of assessment output, and lead to better decisions regarding a</w:t>
      </w:r>
      <w:r w:rsidRPr="009C5ECD">
        <w:rPr>
          <w:rFonts w:ascii="TimesNewRomanPSMT" w:hAnsi="TimesNewRomanPSMT" w:cs="TimesNewRomanPSMT"/>
          <w:color w:val="000000"/>
        </w:rPr>
        <w:t xml:space="preserve">dditional measures to reduce bycatch. Management measures that affect gear and effort for a target species can influence fishing mortality in other species.  Therefore, enhanced catch and bycatch monitoring would provide better data that could be used in multi-species assessments.  </w:t>
      </w:r>
    </w:p>
    <w:p w14:paraId="6B551D1B" w14:textId="77777777" w:rsidR="00E03650" w:rsidRPr="009C5ECD" w:rsidRDefault="00E03650" w:rsidP="00E03650">
      <w:pPr>
        <w:autoSpaceDE w:val="0"/>
        <w:autoSpaceDN w:val="0"/>
        <w:adjustRightInd w:val="0"/>
        <w:rPr>
          <w:rFonts w:ascii="TimesNewRomanPSMT" w:hAnsi="TimesNewRomanPSMT" w:cs="TimesNewRomanPSMT"/>
          <w:color w:val="000000"/>
        </w:rPr>
      </w:pPr>
    </w:p>
    <w:p w14:paraId="3B4A9217" w14:textId="0395FE90"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The Council will develop a joint amendment with the Gulf of Mexico Fishery Management Council (Gulf of Mexico Council</w:t>
      </w:r>
      <w:r w:rsidR="00D06628">
        <w:rPr>
          <w:rFonts w:ascii="TimesNewRomanPSMT" w:hAnsi="TimesNewRomanPSMT" w:cs="TimesNewRomanPSMT"/>
          <w:color w:val="000000"/>
        </w:rPr>
        <w:t xml:space="preserve">) to require that all federally </w:t>
      </w:r>
      <w:r w:rsidRPr="009C5ECD">
        <w:rPr>
          <w:rFonts w:ascii="TimesNewRomanPSMT" w:hAnsi="TimesNewRomanPSMT" w:cs="TimesNewRomanPSMT"/>
          <w:color w:val="000000"/>
        </w:rPr>
        <w:t>permitted charter vessels reporting landings information to the SEFSC electronically.  Additionally, an amendment will be develope</w:t>
      </w:r>
      <w:r w:rsidR="00D06628">
        <w:rPr>
          <w:rFonts w:ascii="TimesNewRomanPSMT" w:hAnsi="TimesNewRomanPSMT" w:cs="TimesNewRomanPSMT"/>
          <w:color w:val="000000"/>
        </w:rPr>
        <w:t xml:space="preserve">d to require that all federally </w:t>
      </w:r>
      <w:r w:rsidRPr="009C5ECD">
        <w:rPr>
          <w:rFonts w:ascii="TimesNewRomanPSMT" w:hAnsi="TimesNewRomanPSMT" w:cs="TimesNewRomanPSMT"/>
          <w:color w:val="000000"/>
        </w:rPr>
        <w:t>permitted commercial fishing vessels in the southeast also report their logbook landings information electronically. These future actions will help to improve estimates on the composition and magnitude of catch and bycatch of snapper grouper species,</w:t>
      </w:r>
      <w:r w:rsidR="00D06628">
        <w:rPr>
          <w:rFonts w:ascii="TimesNewRomanPSMT" w:hAnsi="TimesNewRomanPSMT" w:cs="TimesNewRomanPSMT"/>
          <w:color w:val="000000"/>
        </w:rPr>
        <w:t xml:space="preserve"> as well as all other federally </w:t>
      </w:r>
      <w:r w:rsidRPr="009C5ECD">
        <w:rPr>
          <w:rFonts w:ascii="TimesNewRomanPSMT" w:hAnsi="TimesNewRomanPSMT" w:cs="TimesNewRomanPSMT"/>
          <w:color w:val="000000"/>
        </w:rPr>
        <w:t xml:space="preserve">managed species in the southeast region.  </w:t>
      </w:r>
    </w:p>
    <w:p w14:paraId="36D34ACE" w14:textId="77777777" w:rsidR="00E03650" w:rsidRPr="009C5ECD" w:rsidRDefault="00E03650" w:rsidP="00E03650">
      <w:pPr>
        <w:autoSpaceDE w:val="0"/>
        <w:autoSpaceDN w:val="0"/>
        <w:adjustRightInd w:val="0"/>
        <w:rPr>
          <w:rFonts w:ascii="TimesNewRomanPSMT" w:hAnsi="TimesNewRomanPSMT" w:cs="TimesNewRomanPSMT"/>
          <w:color w:val="000000"/>
        </w:rPr>
      </w:pPr>
    </w:p>
    <w:p w14:paraId="62E9A17E" w14:textId="77777777"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 xml:space="preserve">Additional information on fishery related actions from the past, present, and future considerations can be found in </w:t>
      </w:r>
      <w:r w:rsidRPr="009C5ECD">
        <w:rPr>
          <w:rFonts w:ascii="TimesNewRomanPS-BoldMT" w:hAnsi="TimesNewRomanPS-BoldMT" w:cs="TimesNewRomanPS-BoldMT"/>
          <w:b/>
          <w:bCs/>
          <w:color w:val="000000"/>
        </w:rPr>
        <w:t xml:space="preserve">Chapter 6 </w:t>
      </w:r>
      <w:r w:rsidRPr="009C5ECD">
        <w:rPr>
          <w:rFonts w:ascii="TimesNewRomanPSMT" w:hAnsi="TimesNewRomanPSMT" w:cs="TimesNewRomanPSMT"/>
          <w:color w:val="000000"/>
        </w:rPr>
        <w:t>(Cumulative effects) of the environmental assessment.</w:t>
      </w:r>
    </w:p>
    <w:p w14:paraId="37E544C0" w14:textId="77777777" w:rsidR="00E03650" w:rsidRPr="009C5ECD" w:rsidRDefault="00E03650" w:rsidP="00E03650">
      <w:pPr>
        <w:autoSpaceDE w:val="0"/>
        <w:autoSpaceDN w:val="0"/>
        <w:adjustRightInd w:val="0"/>
        <w:rPr>
          <w:rFonts w:ascii="TimesNewRomanPSMT" w:hAnsi="TimesNewRomanPSMT" w:cs="TimesNewRomanPSMT"/>
          <w:color w:val="000000"/>
        </w:rPr>
      </w:pPr>
    </w:p>
    <w:p w14:paraId="718B5BC1" w14:textId="77777777" w:rsidR="00E03650" w:rsidRPr="009C5ECD" w:rsidRDefault="00E03650" w:rsidP="00E03650">
      <w:pPr>
        <w:autoSpaceDE w:val="0"/>
        <w:autoSpaceDN w:val="0"/>
        <w:adjustRightInd w:val="0"/>
        <w:rPr>
          <w:rFonts w:ascii="Arial-BoldMT" w:hAnsi="Arial-BoldMT" w:cs="Arial-BoldMT"/>
          <w:b/>
          <w:bCs/>
          <w:color w:val="000000"/>
          <w:sz w:val="28"/>
          <w:szCs w:val="28"/>
        </w:rPr>
      </w:pPr>
      <w:r w:rsidRPr="009C5ECD">
        <w:rPr>
          <w:rFonts w:ascii="Arial-BoldMT" w:hAnsi="Arial-BoldMT" w:cs="Arial-BoldMT"/>
          <w:b/>
          <w:bCs/>
          <w:color w:val="000000"/>
          <w:sz w:val="28"/>
          <w:szCs w:val="28"/>
        </w:rPr>
        <w:t>1.4 Ecological Effects Due to Changes in Bycatch</w:t>
      </w:r>
    </w:p>
    <w:p w14:paraId="0A4BEB6F" w14:textId="77777777" w:rsidR="00E03650" w:rsidRPr="009C5ECD" w:rsidRDefault="00E03650" w:rsidP="00E03650">
      <w:pPr>
        <w:autoSpaceDE w:val="0"/>
        <w:autoSpaceDN w:val="0"/>
        <w:adjustRightInd w:val="0"/>
        <w:rPr>
          <w:rFonts w:ascii="TimesNewRomanPSMT" w:hAnsi="TimesNewRomanPSMT" w:cs="TimesNewRomanPSMT"/>
          <w:color w:val="000000"/>
        </w:rPr>
      </w:pPr>
    </w:p>
    <w:p w14:paraId="1D93BF98" w14:textId="77777777"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The ecological effects of bycatch mortality are the same as fishing mortality from directed fishing efforts.  If not properly managed and accounted for, either form of mortality could potentially reduce stock biomass to an unsustainable level.  As mentioned in the above section, actions have been taken, and are underway to reduce bycatch and enhance data reporting for snapper grouper species.  Better bycatch and discard data would provide a better understanding</w:t>
      </w:r>
    </w:p>
    <w:p w14:paraId="4829DB85" w14:textId="77777777" w:rsidR="00E03650" w:rsidRPr="009C5ECD" w:rsidRDefault="00E03650" w:rsidP="00E03650">
      <w:pPr>
        <w:autoSpaceDE w:val="0"/>
        <w:autoSpaceDN w:val="0"/>
        <w:adjustRightInd w:val="0"/>
        <w:rPr>
          <w:rFonts w:ascii="TimesNewRomanPSMT" w:hAnsi="TimesNewRomanPSMT" w:cs="TimesNewRomanPSMT"/>
          <w:color w:val="000000"/>
        </w:rPr>
      </w:pPr>
      <w:r w:rsidRPr="009C5ECD">
        <w:rPr>
          <w:rFonts w:ascii="TimesNewRomanPSMT" w:hAnsi="TimesNewRomanPSMT" w:cs="TimesNewRomanPSMT"/>
          <w:color w:val="000000"/>
        </w:rPr>
        <w:t xml:space="preserve">of the composition and magnitude of catch and bycatch, enhance the quality of data provided for stock assessments, increase the quality of assessment output, and lead to better decisions regarding additional measures to reduce bycatch.  </w:t>
      </w:r>
    </w:p>
    <w:p w14:paraId="08D76B17" w14:textId="77777777" w:rsidR="00E03650" w:rsidRPr="009C5ECD" w:rsidRDefault="00E03650" w:rsidP="00E03650">
      <w:pPr>
        <w:autoSpaceDE w:val="0"/>
        <w:autoSpaceDN w:val="0"/>
        <w:adjustRightInd w:val="0"/>
        <w:rPr>
          <w:rFonts w:ascii="TimesNewRomanPSMT" w:hAnsi="TimesNewRomanPSMT" w:cs="TimesNewRomanPSMT"/>
          <w:color w:val="000000"/>
        </w:rPr>
      </w:pPr>
    </w:p>
    <w:p w14:paraId="4B3408CD" w14:textId="77777777" w:rsidR="00E03650" w:rsidRPr="009C5ECD" w:rsidRDefault="00E03650" w:rsidP="00D06628">
      <w:pPr>
        <w:autoSpaceDE w:val="0"/>
        <w:autoSpaceDN w:val="0"/>
        <w:adjustRightInd w:val="0"/>
        <w:ind w:firstLine="360"/>
      </w:pPr>
      <w:r w:rsidRPr="009C5ECD">
        <w:t xml:space="preserve">As summarized in </w:t>
      </w:r>
      <w:r w:rsidRPr="009C5ECD">
        <w:rPr>
          <w:b/>
        </w:rPr>
        <w:t>Section 1.1</w:t>
      </w:r>
      <w:r w:rsidRPr="009C5ECD">
        <w:t xml:space="preserve"> of this BPA, most actions in Amendment 41 are not expected to result in significant changes in bycatch of mutton snapper.  Additionally, as stated in </w:t>
      </w:r>
      <w:r w:rsidRPr="009C5ECD">
        <w:rPr>
          <w:b/>
        </w:rPr>
        <w:t>Chapter</w:t>
      </w:r>
      <w:r w:rsidRPr="009C5ECD">
        <w:t xml:space="preserve"> </w:t>
      </w:r>
      <w:r w:rsidRPr="009C5ECD">
        <w:rPr>
          <w:b/>
        </w:rPr>
        <w:t>3,</w:t>
      </w:r>
      <w:r w:rsidRPr="009C5ECD">
        <w:t xml:space="preserve"> and analyzed in detail in </w:t>
      </w:r>
      <w:r w:rsidRPr="009C5ECD">
        <w:rPr>
          <w:b/>
        </w:rPr>
        <w:t>Chapter 4</w:t>
      </w:r>
      <w:r w:rsidRPr="009C5ECD">
        <w:t>, the biological (and consequently ecological) effects due to changes in the bycatch would likely be negligible.</w:t>
      </w:r>
    </w:p>
    <w:p w14:paraId="26428A33" w14:textId="77777777" w:rsidR="00E03650" w:rsidRPr="009C5ECD" w:rsidRDefault="00E03650" w:rsidP="00E03650">
      <w:pPr>
        <w:autoSpaceDE w:val="0"/>
        <w:autoSpaceDN w:val="0"/>
        <w:adjustRightInd w:val="0"/>
        <w:rPr>
          <w:rFonts w:ascii="Arial-BoldMT" w:hAnsi="Arial-BoldMT" w:cs="Arial-BoldMT"/>
          <w:b/>
          <w:bCs/>
          <w:color w:val="000000"/>
          <w:sz w:val="28"/>
          <w:szCs w:val="28"/>
        </w:rPr>
      </w:pPr>
    </w:p>
    <w:p w14:paraId="61BC8551" w14:textId="77777777" w:rsidR="00E03650" w:rsidRPr="009C5ECD" w:rsidRDefault="00E03650" w:rsidP="00E03650">
      <w:pPr>
        <w:autoSpaceDE w:val="0"/>
        <w:autoSpaceDN w:val="0"/>
        <w:adjustRightInd w:val="0"/>
        <w:rPr>
          <w:rFonts w:ascii="Arial-BoldMT" w:hAnsi="Arial-BoldMT" w:cs="Arial-BoldMT"/>
          <w:b/>
          <w:bCs/>
          <w:color w:val="000000"/>
          <w:sz w:val="28"/>
          <w:szCs w:val="28"/>
        </w:rPr>
      </w:pPr>
      <w:r w:rsidRPr="009C5ECD">
        <w:rPr>
          <w:rFonts w:ascii="Arial-BoldMT" w:hAnsi="Arial-BoldMT" w:cs="Arial-BoldMT"/>
          <w:b/>
          <w:bCs/>
          <w:color w:val="000000"/>
          <w:sz w:val="28"/>
          <w:szCs w:val="28"/>
        </w:rPr>
        <w:t>1.5 Changes in the Bycatch of Other Fish Species and</w:t>
      </w:r>
    </w:p>
    <w:p w14:paraId="18535682" w14:textId="77777777" w:rsidR="00E03650" w:rsidRPr="009C5ECD" w:rsidRDefault="00E03650" w:rsidP="00E03650">
      <w:pPr>
        <w:autoSpaceDE w:val="0"/>
        <w:autoSpaceDN w:val="0"/>
        <w:adjustRightInd w:val="0"/>
        <w:rPr>
          <w:rFonts w:ascii="Arial-BoldMT" w:hAnsi="Arial-BoldMT" w:cs="Arial-BoldMT"/>
          <w:b/>
          <w:bCs/>
          <w:color w:val="000000"/>
          <w:sz w:val="28"/>
          <w:szCs w:val="28"/>
        </w:rPr>
      </w:pPr>
      <w:r w:rsidRPr="009C5ECD">
        <w:rPr>
          <w:rFonts w:ascii="Arial-BoldMT" w:hAnsi="Arial-BoldMT" w:cs="Arial-BoldMT"/>
          <w:b/>
          <w:bCs/>
          <w:color w:val="000000"/>
          <w:sz w:val="28"/>
          <w:szCs w:val="28"/>
        </w:rPr>
        <w:t>Resulting Population and Ecosystem Effects</w:t>
      </w:r>
    </w:p>
    <w:p w14:paraId="502A8A26" w14:textId="77777777" w:rsidR="00E03650" w:rsidRPr="009C5ECD" w:rsidRDefault="00E03650" w:rsidP="00E03650">
      <w:pPr>
        <w:autoSpaceDE w:val="0"/>
        <w:autoSpaceDN w:val="0"/>
        <w:adjustRightInd w:val="0"/>
        <w:rPr>
          <w:rFonts w:ascii="Arial-BoldMT" w:hAnsi="Arial-BoldMT" w:cs="Arial-BoldMT"/>
          <w:b/>
          <w:bCs/>
          <w:color w:val="000000"/>
          <w:sz w:val="28"/>
          <w:szCs w:val="28"/>
        </w:rPr>
      </w:pPr>
    </w:p>
    <w:p w14:paraId="0B02B43E" w14:textId="5D0583F8" w:rsidR="00E03650" w:rsidRPr="009C5ECD" w:rsidRDefault="00E03650" w:rsidP="00D06628">
      <w:pPr>
        <w:autoSpaceDE w:val="0"/>
        <w:autoSpaceDN w:val="0"/>
        <w:adjustRightInd w:val="0"/>
        <w:ind w:firstLine="360"/>
      </w:pPr>
      <w:r w:rsidRPr="009C5ECD">
        <w:t xml:space="preserve">Amendment 41 is not expected to affect major changes in bycatch of other fish species.  Bycatch of other species is incidental in the hook-and-line fishery for mutton snapper.  Furthermore, improved data monitoring and reporting measures have been implemented, and will continue to improve in the near </w:t>
      </w:r>
      <w:r w:rsidR="00D06628" w:rsidRPr="009C5ECD">
        <w:t>future, which</w:t>
      </w:r>
      <w:r w:rsidRPr="009C5ECD">
        <w:t xml:space="preserve"> could be expected to reduce bycatch and discards. </w:t>
      </w:r>
    </w:p>
    <w:p w14:paraId="01C9593D" w14:textId="2C539A74" w:rsidR="00D06628" w:rsidRDefault="00D06628">
      <w:pPr>
        <w:rPr>
          <w:rFonts w:ascii="Arial-BoldMT" w:hAnsi="Arial-BoldMT" w:cs="Arial-BoldMT"/>
          <w:b/>
          <w:bCs/>
          <w:color w:val="000000"/>
          <w:sz w:val="28"/>
          <w:szCs w:val="28"/>
        </w:rPr>
      </w:pPr>
      <w:r>
        <w:rPr>
          <w:rFonts w:ascii="Arial-BoldMT" w:hAnsi="Arial-BoldMT" w:cs="Arial-BoldMT"/>
          <w:b/>
          <w:bCs/>
          <w:color w:val="000000"/>
          <w:sz w:val="28"/>
          <w:szCs w:val="28"/>
        </w:rPr>
        <w:br w:type="page"/>
      </w:r>
    </w:p>
    <w:p w14:paraId="1E591A33" w14:textId="77777777" w:rsidR="00E03650" w:rsidRPr="009C5ECD" w:rsidRDefault="00E03650" w:rsidP="00E03650">
      <w:pPr>
        <w:autoSpaceDE w:val="0"/>
        <w:autoSpaceDN w:val="0"/>
        <w:adjustRightInd w:val="0"/>
        <w:rPr>
          <w:rFonts w:ascii="Arial-BoldMT" w:hAnsi="Arial-BoldMT" w:cs="Arial-BoldMT"/>
          <w:b/>
          <w:bCs/>
          <w:color w:val="000000"/>
          <w:sz w:val="28"/>
          <w:szCs w:val="28"/>
        </w:rPr>
      </w:pPr>
    </w:p>
    <w:p w14:paraId="24711ACE" w14:textId="77777777" w:rsidR="00E03650" w:rsidRPr="009C5ECD" w:rsidRDefault="00E03650" w:rsidP="00E03650">
      <w:pPr>
        <w:autoSpaceDE w:val="0"/>
        <w:autoSpaceDN w:val="0"/>
        <w:adjustRightInd w:val="0"/>
        <w:rPr>
          <w:rFonts w:ascii="Arial-BoldMT" w:hAnsi="Arial-BoldMT" w:cs="Arial-BoldMT"/>
          <w:b/>
          <w:bCs/>
          <w:color w:val="000000"/>
          <w:sz w:val="28"/>
          <w:szCs w:val="28"/>
        </w:rPr>
      </w:pPr>
      <w:r w:rsidRPr="009C5ECD">
        <w:rPr>
          <w:rFonts w:ascii="Arial-BoldMT" w:hAnsi="Arial-BoldMT" w:cs="Arial-BoldMT"/>
          <w:b/>
          <w:bCs/>
          <w:color w:val="000000"/>
          <w:sz w:val="28"/>
          <w:szCs w:val="28"/>
        </w:rPr>
        <w:t>1.6 Effects on Marine Mammals and Birds</w:t>
      </w:r>
    </w:p>
    <w:p w14:paraId="37A4BC34" w14:textId="77777777" w:rsidR="00D06628" w:rsidRDefault="00D06628" w:rsidP="00E03650">
      <w:pPr>
        <w:autoSpaceDE w:val="0"/>
        <w:autoSpaceDN w:val="0"/>
        <w:adjustRightInd w:val="0"/>
        <w:rPr>
          <w:rFonts w:ascii="TimesNewRomanPSMT" w:hAnsi="TimesNewRomanPSMT" w:cs="TimesNewRomanPSMT"/>
          <w:color w:val="000000"/>
        </w:rPr>
      </w:pPr>
    </w:p>
    <w:p w14:paraId="221E19AC" w14:textId="59E812CD"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Under Section 118 of the Marine Mammal Protection Act (MMPA), NMFS must publish, at least annually, a List of Fisheries (LOF) that places all U.S. commercial fisheries into one of three categories based on the level of incidental serious injury and mortality of marine mammals that occurs in each fishery.  Of the gear utilized within the snapper grouper fishery, only the black sea bass pot is considered to pose an entanglement risk to marine mammals.  The southeast U.S. Atlantic black sea bass pot sector is included in the grouping of the Atlantic mixed species trap/pot fisheries, which the 2015, 2016</w:t>
      </w:r>
      <w:r w:rsidR="00577087">
        <w:rPr>
          <w:rFonts w:ascii="TimesNewRomanPSMT" w:hAnsi="TimesNewRomanPSMT" w:cs="TimesNewRomanPSMT"/>
          <w:color w:val="000000"/>
        </w:rPr>
        <w:t>, and proposed 2017</w:t>
      </w:r>
      <w:r w:rsidRPr="009C5ECD">
        <w:rPr>
          <w:rFonts w:ascii="TimesNewRomanPSMT" w:hAnsi="TimesNewRomanPSMT" w:cs="TimesNewRomanPSMT"/>
          <w:color w:val="000000"/>
        </w:rPr>
        <w:t xml:space="preserve"> LOF classifies as a Category II (March 14, 2014; 79 FR 77919, December 29, 2015; 81 FR 20550, April 8, 2016, </w:t>
      </w:r>
      <w:r w:rsidR="00577087">
        <w:rPr>
          <w:rFonts w:ascii="TimesNewRomanPSMT" w:hAnsi="TimesNewRomanPSMT" w:cs="TimesNewRomanPSMT"/>
          <w:color w:val="000000"/>
        </w:rPr>
        <w:t xml:space="preserve">and 81 FR 54019, August 15, 2016, </w:t>
      </w:r>
      <w:r w:rsidRPr="009C5ECD">
        <w:rPr>
          <w:rFonts w:ascii="TimesNewRomanPSMT" w:hAnsi="TimesNewRomanPSMT" w:cs="TimesNewRomanPSMT"/>
          <w:color w:val="000000"/>
        </w:rPr>
        <w:t xml:space="preserve">respectively).  Gear types used in these fisheries are determined to have occasional incidental mortality and serious injury of marine mammals.  For the South Atlantic snapper grouper fishery, the best available data on protected species interactions are from the SEFSC Supplementary Discard Data Program (SDDP) initiated in July of 2000.  The SDDP sub-samples 20% of the vessels with an active permit.  Since August 2001, only three interactions with marine mammals have been documented; each was taken by handline gear and each released alive (McCarthy SEFSC database).  The longline and hook-and-line gear components of the snapper grouper in the South Atlantic are classified in the 2014, 2015, and 2016 LOF as Category III fisheries. </w:t>
      </w:r>
    </w:p>
    <w:p w14:paraId="77CB94E0" w14:textId="77777777" w:rsidR="00E03650" w:rsidRPr="009C5ECD" w:rsidRDefault="00E03650" w:rsidP="00E03650">
      <w:pPr>
        <w:autoSpaceDE w:val="0"/>
        <w:autoSpaceDN w:val="0"/>
        <w:adjustRightInd w:val="0"/>
        <w:rPr>
          <w:rFonts w:ascii="TimesNewRomanPSMT" w:hAnsi="TimesNewRomanPSMT" w:cs="TimesNewRomanPSMT"/>
          <w:color w:val="000000"/>
        </w:rPr>
      </w:pPr>
    </w:p>
    <w:p w14:paraId="581B5AD2" w14:textId="77777777"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Although the black sea bass pot sector can pose an entanglement risk to large whales due to their distribution and occurrence, sperm, fin, sei, and blue whales are unlikely to overlap with the black sea bass pot sector operated within the snapper grouper fishery since it is executed primarily off North Carolina and South Carolina in waters ranging from 70-120 feet deep (21.3- 36.6 meters).  There are no known interactions between the black sea bass pot sector and large whales.  NMFS’ biological opinion on the continued operation of the South Atlantic snapper grouper fishery determined the possible adverse effects resulting from the fishery are extremely unlikely. Thus, the continued operation of the snapper grouper fishery in the southeast U.S. Atlantic exclusive economic zone is not likely to adversely affect sperm, fin, sei, and blue whales (NMFS 2006).</w:t>
      </w:r>
    </w:p>
    <w:p w14:paraId="2C781776" w14:textId="77777777" w:rsidR="00E03650" w:rsidRPr="009C5ECD" w:rsidRDefault="00E03650" w:rsidP="00E03650">
      <w:pPr>
        <w:autoSpaceDE w:val="0"/>
        <w:autoSpaceDN w:val="0"/>
        <w:adjustRightInd w:val="0"/>
        <w:rPr>
          <w:rFonts w:ascii="TimesNewRomanPSMT" w:hAnsi="TimesNewRomanPSMT" w:cs="TimesNewRomanPSMT"/>
          <w:color w:val="000000"/>
        </w:rPr>
      </w:pPr>
    </w:p>
    <w:p w14:paraId="1628D64C" w14:textId="77777777"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 xml:space="preserve">North Atlantic right and humpback whales may overlap both spatially and temporally with the black sea bass pot sector.  2007 Revisions to the Atlantic Large Whale Take Reduction Plan folded the Atlantic mixed species trap/pot fisheries into the plan (72 FR 193; October 5, 2007). The new requirements (78 FR 58249; September 23, 2013) to prohibit the use of black sea bass pots during November through April each year will help further reduce the likelihood of North Atlantic right and humpback whale entanglement in black sea bass pot gear.  </w:t>
      </w:r>
    </w:p>
    <w:p w14:paraId="37B1DF93" w14:textId="77777777" w:rsidR="00E03650" w:rsidRPr="009C5ECD" w:rsidRDefault="00E03650" w:rsidP="00E03650">
      <w:pPr>
        <w:autoSpaceDE w:val="0"/>
        <w:autoSpaceDN w:val="0"/>
        <w:adjustRightInd w:val="0"/>
        <w:rPr>
          <w:rFonts w:ascii="TimesNewRomanPSMT" w:hAnsi="TimesNewRomanPSMT" w:cs="TimesNewRomanPSMT"/>
          <w:color w:val="000000"/>
        </w:rPr>
      </w:pPr>
    </w:p>
    <w:p w14:paraId="3DDAEC8F" w14:textId="77777777"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 xml:space="preserve">The Bermuda petrel and roseate tern occur within the action area. Bermuda petrels are occasionally seen in the waters of the Gulf Stream off the coasts of North Carolina and South Carolina during the summer. Sightings are considered rare and only occurring in low numbers </w:t>
      </w:r>
      <w:r w:rsidRPr="00760B8E">
        <w:rPr>
          <w:rFonts w:ascii="TimesNewRomanPSMT" w:hAnsi="TimesNewRomanPSMT" w:cs="TimesNewRomanPSMT"/>
          <w:color w:val="000000"/>
        </w:rPr>
        <w:t>(Alsop 2001).  Roseate terns occur widely along the Atlantic coast during the summer but in the southeast region, they are found</w:t>
      </w:r>
      <w:r w:rsidRPr="009C5ECD">
        <w:rPr>
          <w:rFonts w:ascii="TimesNewRomanPSMT" w:hAnsi="TimesNewRomanPSMT" w:cs="TimesNewRomanPSMT"/>
          <w:color w:val="000000"/>
        </w:rPr>
        <w:t xml:space="preserve"> mainly off the Florida Keys (unpublished US Fish and Wildlife Service data).  Interaction with fisheries has not been reported as a concern for either of these species. </w:t>
      </w:r>
    </w:p>
    <w:p w14:paraId="12B201D8" w14:textId="77777777" w:rsidR="00E03650" w:rsidRPr="009C5ECD" w:rsidRDefault="00E03650" w:rsidP="00E03650">
      <w:pPr>
        <w:autoSpaceDE w:val="0"/>
        <w:autoSpaceDN w:val="0"/>
        <w:adjustRightInd w:val="0"/>
        <w:rPr>
          <w:rFonts w:ascii="TimesNewRomanPSMT" w:hAnsi="TimesNewRomanPSMT" w:cs="TimesNewRomanPSMT"/>
          <w:color w:val="000000"/>
        </w:rPr>
      </w:pPr>
    </w:p>
    <w:p w14:paraId="51FD716B" w14:textId="77777777"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Fishing effort reductions have the potential to reduce the amount of interactions between the fishery and marine mammals and birds. Although, the Bermuda petrel and roseate tern occur within the action area, these species are not commonly found and neither has been described as associating with vessels or having had interactions with the snapper grouper fishery. Thus, it is believed that the snapper grouper fishery is not likely to negatively affect the Bermuda petrel and the roseate tern.</w:t>
      </w:r>
    </w:p>
    <w:p w14:paraId="02F4E752" w14:textId="77777777" w:rsidR="00E03650" w:rsidRPr="009C5ECD" w:rsidRDefault="00E03650" w:rsidP="00E03650">
      <w:pPr>
        <w:autoSpaceDE w:val="0"/>
        <w:autoSpaceDN w:val="0"/>
        <w:adjustRightInd w:val="0"/>
        <w:rPr>
          <w:rFonts w:ascii="Arial-BoldMT" w:hAnsi="Arial-BoldMT" w:cs="Arial-BoldMT"/>
          <w:b/>
          <w:bCs/>
          <w:color w:val="000000"/>
          <w:sz w:val="28"/>
          <w:szCs w:val="28"/>
        </w:rPr>
      </w:pPr>
    </w:p>
    <w:p w14:paraId="085AF947" w14:textId="77777777" w:rsidR="00E03650" w:rsidRPr="009C5ECD" w:rsidRDefault="00E03650" w:rsidP="00E03650">
      <w:pPr>
        <w:autoSpaceDE w:val="0"/>
        <w:autoSpaceDN w:val="0"/>
        <w:adjustRightInd w:val="0"/>
        <w:rPr>
          <w:rFonts w:ascii="Arial-BoldMT" w:hAnsi="Arial-BoldMT" w:cs="Arial-BoldMT"/>
          <w:b/>
          <w:bCs/>
          <w:color w:val="000000"/>
          <w:sz w:val="28"/>
          <w:szCs w:val="28"/>
        </w:rPr>
      </w:pPr>
      <w:r w:rsidRPr="009C5ECD">
        <w:rPr>
          <w:rFonts w:ascii="Arial-BoldMT" w:hAnsi="Arial-BoldMT" w:cs="Arial-BoldMT"/>
          <w:b/>
          <w:bCs/>
          <w:color w:val="000000"/>
          <w:sz w:val="28"/>
          <w:szCs w:val="28"/>
        </w:rPr>
        <w:t>1.7 Changes in Fishing, Processing, Disposal, and Marketing</w:t>
      </w:r>
    </w:p>
    <w:p w14:paraId="2519CD06" w14:textId="77777777" w:rsidR="00E03650" w:rsidRPr="009C5ECD" w:rsidRDefault="00E03650" w:rsidP="00E03650">
      <w:pPr>
        <w:autoSpaceDE w:val="0"/>
        <w:autoSpaceDN w:val="0"/>
        <w:adjustRightInd w:val="0"/>
        <w:rPr>
          <w:rFonts w:ascii="Arial-BoldMT" w:hAnsi="Arial-BoldMT" w:cs="Arial-BoldMT"/>
          <w:b/>
          <w:bCs/>
          <w:color w:val="000000"/>
          <w:sz w:val="28"/>
          <w:szCs w:val="28"/>
        </w:rPr>
      </w:pPr>
      <w:r w:rsidRPr="009C5ECD">
        <w:rPr>
          <w:rFonts w:ascii="Arial-BoldMT" w:hAnsi="Arial-BoldMT" w:cs="Arial-BoldMT"/>
          <w:b/>
          <w:bCs/>
          <w:color w:val="000000"/>
          <w:sz w:val="28"/>
          <w:szCs w:val="28"/>
        </w:rPr>
        <w:t>Costs</w:t>
      </w:r>
    </w:p>
    <w:p w14:paraId="69DB1A70" w14:textId="77777777" w:rsidR="00E03650" w:rsidRPr="009C5ECD" w:rsidRDefault="00E03650" w:rsidP="00E03650">
      <w:pPr>
        <w:autoSpaceDE w:val="0"/>
        <w:autoSpaceDN w:val="0"/>
        <w:adjustRightInd w:val="0"/>
        <w:rPr>
          <w:rFonts w:ascii="TimesNewRomanPSMT" w:hAnsi="TimesNewRomanPSMT" w:cs="TimesNewRomanPSMT"/>
          <w:color w:val="000000"/>
        </w:rPr>
      </w:pPr>
    </w:p>
    <w:p w14:paraId="15921F48" w14:textId="11E54CFC"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Research and monitoring is ongoing to understand the effectiveness of proposed management measures and their effect on bycatch.  In 1990, the SEFSC initiated a logbook program for vessels with federal permits in the snapper grouper fishery from the Gulf of Mexico and South Atlantic.  Approximately 20% of commercial fishermen are asked to fill out discard information in logbooks; however, a greater percentage of fishermen could be selected with emphasis on individuals that dominate landings.  The SEFSC is developing electronic logbooks, which could be used to enable fishery managers to obtain information on species composition, size distribution, geographic range, disposition, and depth of fishes that are released.  Further, the Joint Commercial Logbook Reporting Amendment is being developed by the South Atlantic Council and the Gulf of Mexico Council, which would require electronic reporting of la</w:t>
      </w:r>
      <w:r w:rsidR="00D06628">
        <w:rPr>
          <w:rFonts w:ascii="TimesNewRomanPSMT" w:hAnsi="TimesNewRomanPSMT" w:cs="TimesNewRomanPSMT"/>
          <w:color w:val="000000"/>
        </w:rPr>
        <w:t xml:space="preserve">ndings information by federally </w:t>
      </w:r>
      <w:r w:rsidRPr="009C5ECD">
        <w:rPr>
          <w:rFonts w:ascii="TimesNewRomanPSMT" w:hAnsi="TimesNewRomanPSMT" w:cs="TimesNewRomanPSMT"/>
          <w:color w:val="000000"/>
        </w:rPr>
        <w:t>permitted commercial vessels to increase the timeliness and accuracy of landings and discard data.</w:t>
      </w:r>
    </w:p>
    <w:p w14:paraId="21C6CE32" w14:textId="77777777" w:rsidR="00E03650" w:rsidRPr="009C5ECD" w:rsidRDefault="00E03650" w:rsidP="00E03650">
      <w:pPr>
        <w:autoSpaceDE w:val="0"/>
        <w:autoSpaceDN w:val="0"/>
        <w:adjustRightInd w:val="0"/>
        <w:rPr>
          <w:rFonts w:ascii="TimesNewRomanPSMT" w:hAnsi="TimesNewRomanPSMT" w:cs="TimesNewRomanPSMT"/>
          <w:color w:val="000000"/>
        </w:rPr>
      </w:pPr>
    </w:p>
    <w:p w14:paraId="62E1211D" w14:textId="59378675"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Recreational discards are obtained from MRIP and logbooks from the NMFS headboat program. Additional data collection activities for the recreational sector are being considered by the South Atlantic Council that could allow for a better monitoring of snapper grouper bycatch in the future.  Some observer information has been provided by Marine Fisheries Initiative and Cooperative Research Programs (CRP), but more is desired for the snapper grouper fishery.  In December 2012, the Southeast Region Headboat Survey underwent a transition from paper logbooks to electronic logbooks, which is expected to improve the quality of data in that sector. As of January 1, 2013,</w:t>
      </w:r>
      <w:r w:rsidR="00D06628">
        <w:rPr>
          <w:rFonts w:ascii="TimesNewRomanPSMT" w:hAnsi="TimesNewRomanPSMT" w:cs="TimesNewRomanPSMT"/>
          <w:color w:val="000000"/>
        </w:rPr>
        <w:t xml:space="preserve"> a new electronic logbook replaced the paper logbook form</w:t>
      </w:r>
      <w:r w:rsidRPr="009C5ECD">
        <w:rPr>
          <w:rFonts w:ascii="TimesNewRomanPSMT" w:hAnsi="TimesNewRomanPSMT" w:cs="TimesNewRomanPSMT"/>
          <w:color w:val="000000"/>
        </w:rPr>
        <w:t>. The form is available through a pass</w:t>
      </w:r>
      <w:r w:rsidR="00D06628">
        <w:rPr>
          <w:rFonts w:ascii="TimesNewRomanPSMT" w:hAnsi="TimesNewRomanPSMT" w:cs="TimesNewRomanPSMT"/>
          <w:color w:val="000000"/>
        </w:rPr>
        <w:t>word protected Web site on the I</w:t>
      </w:r>
      <w:r w:rsidRPr="009C5ECD">
        <w:rPr>
          <w:rFonts w:ascii="TimesNewRomanPSMT" w:hAnsi="TimesNewRomanPSMT" w:cs="TimesNewRomanPSMT"/>
          <w:color w:val="000000"/>
        </w:rPr>
        <w:t>nternet, which can be accessed by personal computer, computer tablet, or “smart phone”.  The South Atlantic Council approved the For-Hire Amendment at their March 2013 meeting, which was approved and implemented in January 2014.  This amendment requires weekly electronic reporting by the headboat sector.</w:t>
      </w:r>
    </w:p>
    <w:p w14:paraId="71C04447" w14:textId="77777777" w:rsidR="00E03650" w:rsidRPr="009C5ECD" w:rsidRDefault="00E03650" w:rsidP="00E03650">
      <w:pPr>
        <w:autoSpaceDE w:val="0"/>
        <w:autoSpaceDN w:val="0"/>
        <w:adjustRightInd w:val="0"/>
        <w:rPr>
          <w:rFonts w:ascii="TimesNewRomanPSMT" w:hAnsi="TimesNewRomanPSMT" w:cs="TimesNewRomanPSMT"/>
          <w:color w:val="000000"/>
        </w:rPr>
      </w:pPr>
    </w:p>
    <w:p w14:paraId="78084376" w14:textId="77777777"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 xml:space="preserve">Cooperative research projects between science and industry are being used to a limited extent to collect bycatch information on the </w:t>
      </w:r>
      <w:r w:rsidRPr="00760B8E">
        <w:rPr>
          <w:rFonts w:ascii="TimesNewRomanPSMT" w:hAnsi="TimesNewRomanPSMT" w:cs="TimesNewRomanPSMT"/>
          <w:color w:val="000000"/>
        </w:rPr>
        <w:t>snapper grouper fishery in the South Atlantic.  For example, Harris and Stephen (2005) characterized the entire (retained and discarded) catch of reef fishes</w:t>
      </w:r>
      <w:r w:rsidRPr="009C5ECD">
        <w:rPr>
          <w:rFonts w:ascii="TimesNewRomanPSMT" w:hAnsi="TimesNewRomanPSMT" w:cs="TimesNewRomanPSMT"/>
          <w:color w:val="000000"/>
        </w:rPr>
        <w:t xml:space="preserve"> from a selected commercial fisherman in the South Atlantic including total catch composition and disposition of fishes that were released.  The Gulf and South Atlantic Fisheries Foundation, Inc. conducted a fishery observer program within the snapper grouper vertical hook-and-line (bandit rig) fishery of the South Atlantic United States.  Through contractors they randomly placed observers on cooperating vessels to collect a variety of data quantifying the participation, gear, effort, catch, and discards within the fishery.</w:t>
      </w:r>
    </w:p>
    <w:p w14:paraId="701106D1" w14:textId="77777777" w:rsidR="00E03650" w:rsidRPr="009C5ECD" w:rsidRDefault="00E03650" w:rsidP="00E03650">
      <w:pPr>
        <w:autoSpaceDE w:val="0"/>
        <w:autoSpaceDN w:val="0"/>
        <w:adjustRightInd w:val="0"/>
        <w:rPr>
          <w:rFonts w:ascii="TimesNewRomanPSMT" w:hAnsi="TimesNewRomanPSMT" w:cs="TimesNewRomanPSMT"/>
          <w:color w:val="000000"/>
        </w:rPr>
      </w:pPr>
    </w:p>
    <w:p w14:paraId="583F70FE" w14:textId="77777777"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 xml:space="preserve">In the spring 2010, Archipelago Marine Research Ltd. worked with North Carolina Sea Grant and several South Atlantic Unlimited Snapper Grouper Permit holders to test the effectiveness of electronic video monitoring to measure catch and bycatch.  A total of 93 trips were monitored with video monitoring, 34 by self-reported fishing logbooks, and 5 by observers.  Comparisons between electronic video monitoring data and observer data showed that video monitoring was a reliable source of catch and bycatch data. </w:t>
      </w:r>
    </w:p>
    <w:p w14:paraId="14DE9DDD" w14:textId="77777777" w:rsidR="00E03650" w:rsidRPr="009C5ECD" w:rsidRDefault="00E03650" w:rsidP="00E03650">
      <w:pPr>
        <w:autoSpaceDE w:val="0"/>
        <w:autoSpaceDN w:val="0"/>
        <w:adjustRightInd w:val="0"/>
        <w:rPr>
          <w:rFonts w:ascii="TimesNewRomanPSMT" w:hAnsi="TimesNewRomanPSMT" w:cs="TimesNewRomanPSMT"/>
          <w:color w:val="000000"/>
        </w:rPr>
      </w:pPr>
    </w:p>
    <w:p w14:paraId="3B5AD5BE" w14:textId="77777777"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Research funds for observer programs, as well as gear testing and testing of electronic devices are also available each year in the form of grants from the Marine Fisheries Initiative, Saltonstall-Kennedy program, and the CRP.  Efforts are made to emphasize the need for observer and logbook data in requests for proposals issued by granting agencies.  A condition of funding for these projects is that data are made available to the Councils and NMFS upon completion of a study.</w:t>
      </w:r>
    </w:p>
    <w:p w14:paraId="26C6A52E" w14:textId="77777777" w:rsidR="00E03650" w:rsidRPr="009C5ECD" w:rsidRDefault="00E03650" w:rsidP="00E03650">
      <w:pPr>
        <w:autoSpaceDE w:val="0"/>
        <w:autoSpaceDN w:val="0"/>
        <w:adjustRightInd w:val="0"/>
        <w:rPr>
          <w:rFonts w:ascii="TimesNewRomanPSMT" w:hAnsi="TimesNewRomanPSMT" w:cs="TimesNewRomanPSMT"/>
          <w:color w:val="000000"/>
        </w:rPr>
      </w:pPr>
    </w:p>
    <w:p w14:paraId="2DBB904E" w14:textId="77777777"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Additional administrative and enforcement efforts would help to implement and enforce fishery regulations.  NMFS established the South East Fishery-Independent Survey in 2010 to strengthen fishery-independent sampling efforts in southeast U.S. waters, addressing both immediate and long-term fishery-independent data needs, with an overarching goal of improving fishery independent data utility for stock assessments.  Meeting these data needs is critical to improving scientific advice to the management process, ensuring overfishing does not occur, and successfully rebuilding overfished stocks on schedule.</w:t>
      </w:r>
    </w:p>
    <w:p w14:paraId="0F9BDBD4" w14:textId="77777777" w:rsidR="00E03650" w:rsidRPr="009C5ECD" w:rsidRDefault="00E03650" w:rsidP="00E03650">
      <w:pPr>
        <w:autoSpaceDE w:val="0"/>
        <w:autoSpaceDN w:val="0"/>
        <w:adjustRightInd w:val="0"/>
        <w:rPr>
          <w:rFonts w:ascii="Arial-BoldMT" w:hAnsi="Arial-BoldMT" w:cs="Arial-BoldMT"/>
          <w:b/>
          <w:bCs/>
          <w:color w:val="000000"/>
          <w:sz w:val="28"/>
          <w:szCs w:val="28"/>
        </w:rPr>
      </w:pPr>
    </w:p>
    <w:p w14:paraId="694CFF2C" w14:textId="77777777" w:rsidR="00E03650" w:rsidRPr="009C5ECD" w:rsidRDefault="00E03650" w:rsidP="00E03650">
      <w:pPr>
        <w:autoSpaceDE w:val="0"/>
        <w:autoSpaceDN w:val="0"/>
        <w:adjustRightInd w:val="0"/>
        <w:rPr>
          <w:rFonts w:ascii="Arial-BoldMT" w:hAnsi="Arial-BoldMT" w:cs="Arial-BoldMT"/>
          <w:b/>
          <w:bCs/>
          <w:color w:val="000000"/>
          <w:sz w:val="28"/>
          <w:szCs w:val="28"/>
        </w:rPr>
      </w:pPr>
      <w:r w:rsidRPr="009C5ECD">
        <w:rPr>
          <w:rFonts w:ascii="Arial-BoldMT" w:hAnsi="Arial-BoldMT" w:cs="Arial-BoldMT"/>
          <w:b/>
          <w:bCs/>
          <w:color w:val="000000"/>
          <w:sz w:val="28"/>
          <w:szCs w:val="28"/>
        </w:rPr>
        <w:t>1.8 Changes in Fishing Practices and Behavior of Fishermen</w:t>
      </w:r>
    </w:p>
    <w:p w14:paraId="49E62CCD" w14:textId="77777777" w:rsidR="00E03650" w:rsidRPr="009C5ECD" w:rsidRDefault="00E03650" w:rsidP="00E03650">
      <w:pPr>
        <w:autoSpaceDE w:val="0"/>
        <w:autoSpaceDN w:val="0"/>
        <w:adjustRightInd w:val="0"/>
        <w:rPr>
          <w:rFonts w:ascii="TimesNewRomanPSMT" w:hAnsi="TimesNewRomanPSMT" w:cs="TimesNewRomanPSMT"/>
          <w:color w:val="000000"/>
        </w:rPr>
      </w:pPr>
    </w:p>
    <w:p w14:paraId="1E518AF1" w14:textId="77777777" w:rsidR="00E03650" w:rsidRPr="009C5ECD" w:rsidRDefault="00E03650" w:rsidP="00D06628">
      <w:pPr>
        <w:ind w:firstLine="360"/>
      </w:pPr>
      <w:r w:rsidRPr="009C5ECD">
        <w:t xml:space="preserve">Actions proposed in Amendment 41 could result in a modification of fishing practices by commercial and recreational fishermen.  However, as discussed in </w:t>
      </w:r>
      <w:r w:rsidRPr="009C5ECD">
        <w:rPr>
          <w:b/>
        </w:rPr>
        <w:t xml:space="preserve">Sections 1.0 </w:t>
      </w:r>
      <w:r w:rsidRPr="009C5ECD">
        <w:t>and</w:t>
      </w:r>
      <w:r w:rsidRPr="009C5ECD">
        <w:rPr>
          <w:b/>
        </w:rPr>
        <w:t xml:space="preserve"> 1.1</w:t>
      </w:r>
      <w:r w:rsidRPr="009C5ECD">
        <w:t xml:space="preserve"> of this BPA, the magnitude of discards is not expected to be significantly affected by the proposed actions.  It is difficult to quantify any of the measures in terms of reducing discards until bycatch has been monitored over several years.  Commercial and recreational bycatch information is collected by NMFS, and that information will continue to be analyzed to determine what changes, if any, have taken place in terms of fishing practices and fishing behavior as a result of the actions implemented through this amendment. </w:t>
      </w:r>
    </w:p>
    <w:p w14:paraId="394C0A8E" w14:textId="77777777" w:rsidR="00E03650" w:rsidRPr="009C5ECD" w:rsidRDefault="00E03650" w:rsidP="00E03650">
      <w:pPr>
        <w:ind w:firstLine="360"/>
      </w:pPr>
    </w:p>
    <w:p w14:paraId="353DBC9C" w14:textId="77777777" w:rsidR="00E03650" w:rsidRPr="009C5ECD" w:rsidRDefault="00E03650" w:rsidP="00D06628">
      <w:pPr>
        <w:ind w:firstLine="360"/>
      </w:pPr>
      <w:r w:rsidRPr="009C5ECD">
        <w:t xml:space="preserve">Social effects of actions proposed in Amendment 41 are addressed in </w:t>
      </w:r>
      <w:r w:rsidRPr="009C5ECD">
        <w:rPr>
          <w:b/>
        </w:rPr>
        <w:t>Chapter 4</w:t>
      </w:r>
      <w:r w:rsidRPr="009C5ECD">
        <w:t xml:space="preserve"> of this document.  </w:t>
      </w:r>
      <w:r w:rsidRPr="009C5ECD">
        <w:rPr>
          <w:b/>
        </w:rPr>
        <w:t>Section 3.3.3</w:t>
      </w:r>
      <w:r w:rsidRPr="009C5ECD">
        <w:t xml:space="preserve"> includes information on environmental justice.</w:t>
      </w:r>
    </w:p>
    <w:p w14:paraId="1C796A0A" w14:textId="77777777" w:rsidR="00E03650" w:rsidRPr="009C5ECD" w:rsidRDefault="00E03650" w:rsidP="00D06628">
      <w:pPr>
        <w:ind w:firstLine="360"/>
      </w:pPr>
    </w:p>
    <w:p w14:paraId="78E5D267" w14:textId="77777777"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 xml:space="preserve">Designating mutton snapper spawning months through Amendment 41 could result in a modification of fishing practices by commercial and recreational fishermen, thereby affecting the magnitude of discards during the designated timeframe.  While it is likely bycatch of species in the snapper grouper FMU will be reduced during designated mutton snapper spawning months, there is a potential for the discards to increase in other fisheries if fishermen shift effort during months with stricter mutton snapper regulations.  </w:t>
      </w:r>
    </w:p>
    <w:p w14:paraId="23C5B248" w14:textId="77777777" w:rsidR="00E03650" w:rsidRPr="009C5ECD" w:rsidRDefault="00E03650" w:rsidP="00E03650">
      <w:pPr>
        <w:autoSpaceDE w:val="0"/>
        <w:autoSpaceDN w:val="0"/>
        <w:adjustRightInd w:val="0"/>
        <w:jc w:val="center"/>
        <w:rPr>
          <w:rFonts w:ascii="TimesNewRomanPSMT" w:hAnsi="TimesNewRomanPSMT" w:cs="TimesNewRomanPSMT"/>
          <w:color w:val="000000"/>
        </w:rPr>
      </w:pPr>
    </w:p>
    <w:p w14:paraId="7255272E" w14:textId="7C8C0DC2"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 xml:space="preserve">Fishermen can be educated about methods to reduce bycatch and enhance survival of regulatory discards.  While this may be advantageous for mid-shelf species, deepwater species </w:t>
      </w:r>
      <w:r w:rsidRPr="009C5ECD">
        <w:rPr>
          <w:rFonts w:ascii="TimesNewRomanPSMT" w:hAnsi="TimesNewRomanPSMT" w:cs="TimesNewRomanPSMT"/>
          <w:color w:val="000000"/>
        </w:rPr>
        <w:lastRenderedPageBreak/>
        <w:t>experience nearly 100% mortality from depth related trauma.  Furthermore, it is not clear that changes in behavior could substantially affect the amount of bycatch incurred.  Gear changes such as hook type or hook size could have some effect on reducing bycatch mor</w:t>
      </w:r>
      <w:r w:rsidR="00D06628">
        <w:rPr>
          <w:rFonts w:ascii="TimesNewRomanPSMT" w:hAnsi="TimesNewRomanPSMT" w:cs="TimesNewRomanPSMT"/>
          <w:color w:val="000000"/>
        </w:rPr>
        <w:t xml:space="preserve">tality.  Furthermore, spawning </w:t>
      </w:r>
      <w:r w:rsidRPr="009C5ECD">
        <w:rPr>
          <w:rFonts w:ascii="TimesNewRomanPSMT" w:hAnsi="TimesNewRomanPSMT" w:cs="TimesNewRomanPSMT"/>
          <w:color w:val="000000"/>
        </w:rPr>
        <w:t xml:space="preserve">seasons with stricter regulations, new or reduced quotas, reduced bag and trip limits, and increased size limits could cause some commercial and recreational fishermen to reduce effort.  Social effects of the proposed actions are addressed in </w:t>
      </w:r>
      <w:r w:rsidRPr="009C5ECD">
        <w:rPr>
          <w:rFonts w:ascii="TimesNewRomanPS-BoldMT" w:hAnsi="TimesNewRomanPS-BoldMT" w:cs="TimesNewRomanPS-BoldMT"/>
          <w:b/>
          <w:bCs/>
          <w:color w:val="000000"/>
        </w:rPr>
        <w:t xml:space="preserve">Chapter 4 </w:t>
      </w:r>
      <w:r w:rsidRPr="009C5ECD">
        <w:rPr>
          <w:rFonts w:ascii="TimesNewRomanPSMT" w:hAnsi="TimesNewRomanPSMT" w:cs="TimesNewRomanPSMT"/>
          <w:color w:val="000000"/>
        </w:rPr>
        <w:t>of the amendment.</w:t>
      </w:r>
    </w:p>
    <w:p w14:paraId="47CD044D" w14:textId="77777777" w:rsidR="00E03650" w:rsidRPr="009C5ECD" w:rsidRDefault="00E03650" w:rsidP="00E03650">
      <w:pPr>
        <w:autoSpaceDE w:val="0"/>
        <w:autoSpaceDN w:val="0"/>
        <w:adjustRightInd w:val="0"/>
        <w:rPr>
          <w:rFonts w:ascii="Arial-BoldMT" w:hAnsi="Arial-BoldMT" w:cs="Arial-BoldMT"/>
          <w:b/>
          <w:bCs/>
          <w:color w:val="000000"/>
          <w:sz w:val="28"/>
          <w:szCs w:val="28"/>
        </w:rPr>
      </w:pPr>
    </w:p>
    <w:p w14:paraId="1F2AC9BA" w14:textId="77777777" w:rsidR="00E03650" w:rsidRPr="009C5ECD" w:rsidRDefault="00E03650" w:rsidP="00E03650">
      <w:pPr>
        <w:autoSpaceDE w:val="0"/>
        <w:autoSpaceDN w:val="0"/>
        <w:adjustRightInd w:val="0"/>
        <w:rPr>
          <w:rFonts w:ascii="Arial-BoldMT" w:hAnsi="Arial-BoldMT" w:cs="Arial-BoldMT"/>
          <w:b/>
          <w:bCs/>
          <w:color w:val="000000"/>
          <w:sz w:val="28"/>
          <w:szCs w:val="28"/>
        </w:rPr>
      </w:pPr>
      <w:r w:rsidRPr="009C5ECD">
        <w:rPr>
          <w:rFonts w:ascii="Arial-BoldMT" w:hAnsi="Arial-BoldMT" w:cs="Arial-BoldMT"/>
          <w:b/>
          <w:bCs/>
          <w:color w:val="000000"/>
          <w:sz w:val="28"/>
          <w:szCs w:val="28"/>
        </w:rPr>
        <w:t>1.9 Changes in Research, Administration, and Enforcement</w:t>
      </w:r>
    </w:p>
    <w:p w14:paraId="4789B08C" w14:textId="77777777" w:rsidR="00E03650" w:rsidRPr="009C5ECD" w:rsidRDefault="00E03650" w:rsidP="00E03650">
      <w:pPr>
        <w:autoSpaceDE w:val="0"/>
        <w:autoSpaceDN w:val="0"/>
        <w:adjustRightInd w:val="0"/>
        <w:rPr>
          <w:rFonts w:ascii="Arial-BoldMT" w:hAnsi="Arial-BoldMT" w:cs="Arial-BoldMT"/>
          <w:b/>
          <w:bCs/>
          <w:color w:val="000000"/>
          <w:sz w:val="28"/>
          <w:szCs w:val="28"/>
        </w:rPr>
      </w:pPr>
      <w:r w:rsidRPr="009C5ECD">
        <w:rPr>
          <w:rFonts w:ascii="Arial-BoldMT" w:hAnsi="Arial-BoldMT" w:cs="Arial-BoldMT"/>
          <w:b/>
          <w:bCs/>
          <w:color w:val="000000"/>
          <w:sz w:val="28"/>
          <w:szCs w:val="28"/>
        </w:rPr>
        <w:t>Costs and Management Effectiveness</w:t>
      </w:r>
    </w:p>
    <w:p w14:paraId="0846CBBF" w14:textId="77777777" w:rsidR="00E03650" w:rsidRPr="009C5ECD" w:rsidRDefault="00E03650" w:rsidP="00E03650">
      <w:pPr>
        <w:autoSpaceDE w:val="0"/>
        <w:autoSpaceDN w:val="0"/>
        <w:adjustRightInd w:val="0"/>
        <w:rPr>
          <w:rFonts w:ascii="TimesNewRomanPSMT" w:hAnsi="TimesNewRomanPSMT" w:cs="TimesNewRomanPSMT"/>
          <w:color w:val="000000"/>
        </w:rPr>
      </w:pPr>
    </w:p>
    <w:p w14:paraId="1F030C8B" w14:textId="77777777"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Research and monitoring is ongoing to understand the effectiveness of proposed management measure and their effect on bycatch.  In 1990, the SEFSC initiated a logbook program for vessels with federal permits in the snapper grouper fishery from the Gulf of Mexico and South Atlantic. In 1999, logbook reporting was initiated for vessels catching king and Spanish mackerel (Gulf of Mexico and South Atlantic Fishery Management Councils).  Approximately 20% of commercial fishermen from snapper grouper, dolphin wahoo, and CMP fisheries are asked to fill out discard information in logbooks; however, a greater percentage of fishermen could be selected with emphasis on individuals that dominate landings.  Recreational discards are obtained from the MRIP and logbooks from the NMFS headboat program.</w:t>
      </w:r>
    </w:p>
    <w:p w14:paraId="53050623" w14:textId="77777777" w:rsidR="00E03650" w:rsidRPr="009C5ECD" w:rsidRDefault="00E03650" w:rsidP="00E03650">
      <w:pPr>
        <w:autoSpaceDE w:val="0"/>
        <w:autoSpaceDN w:val="0"/>
        <w:adjustRightInd w:val="0"/>
        <w:rPr>
          <w:rFonts w:ascii="TimesNewRomanPSMT" w:hAnsi="TimesNewRomanPSMT" w:cs="TimesNewRomanPSMT"/>
          <w:color w:val="000000"/>
        </w:rPr>
      </w:pPr>
    </w:p>
    <w:p w14:paraId="02C95E29" w14:textId="77777777" w:rsidR="00E03650" w:rsidRPr="009C5ECD" w:rsidRDefault="00E03650" w:rsidP="00E03650">
      <w:pPr>
        <w:autoSpaceDE w:val="0"/>
        <w:autoSpaceDN w:val="0"/>
        <w:adjustRightInd w:val="0"/>
        <w:rPr>
          <w:rFonts w:ascii="TimesNewRomanPSMT" w:hAnsi="TimesNewRomanPSMT" w:cs="TimesNewRomanPSMT"/>
          <w:color w:val="000000"/>
        </w:rPr>
      </w:pPr>
      <w:r w:rsidRPr="009C5ECD">
        <w:rPr>
          <w:rFonts w:ascii="TimesNewRomanPSMT" w:hAnsi="TimesNewRomanPSMT" w:cs="TimesNewRomanPSMT"/>
          <w:color w:val="000000"/>
        </w:rPr>
        <w:t>Additional data collection activities for the recreational sector of the snapper grouper, dolphin wahoo, and CMP fisheries are being considered by the Council that could allow for a better monitoring of bycatch in the future.  The Council is also developing an amendment to improve commercial logbook reporting for these fisheries.  Some observer information for the snapper grouper fishery has been provided by the SEFSC, Marine Fisheries Initiative, and Cooperative Research Programs (CRP), but more is desired for the snapper grouper, dolphin wahoo, and CMP fisheries.  Currently, for the snapper grouper fishery, headboats are required to carry observers, if selected.</w:t>
      </w:r>
    </w:p>
    <w:p w14:paraId="022DFE86" w14:textId="77777777" w:rsidR="00E03650" w:rsidRPr="009C5ECD" w:rsidRDefault="00E03650" w:rsidP="00E03650">
      <w:pPr>
        <w:autoSpaceDE w:val="0"/>
        <w:autoSpaceDN w:val="0"/>
        <w:adjustRightInd w:val="0"/>
        <w:rPr>
          <w:rFonts w:ascii="TimesNewRomanPSMT" w:hAnsi="TimesNewRomanPSMT" w:cs="TimesNewRomanPSMT"/>
          <w:color w:val="000000"/>
        </w:rPr>
      </w:pPr>
    </w:p>
    <w:p w14:paraId="398A13EE" w14:textId="77777777"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 xml:space="preserve">Cooperative research projects between science and industry are being used to a limited extent to collect bycatch information on the snapper grouper fishery in the South Atlantic.  For example, Harris and Stephen (2005) characterized the entire (retained and discarded) catch of reef fishes from a selected commercial fisherman in the South Atlantic including total catch composition and disposition of fishes that were released.  The Gulf and South Atlantic Fisheries Foundation, Inc. (Foundation) conducted a fishery observer program within the snapper grouper vertical hook-and-line (bandit rig) fishery of the South Atlantic United States.  Through contractors they randomly placed observers on cooperating vessels to collect a variety of data quantifying the participation, gear, effort, catch, and discards within the fishery. </w:t>
      </w:r>
    </w:p>
    <w:p w14:paraId="012B533F" w14:textId="77777777" w:rsidR="00E03650" w:rsidRPr="009C5ECD" w:rsidRDefault="00E03650" w:rsidP="00E03650">
      <w:pPr>
        <w:autoSpaceDE w:val="0"/>
        <w:autoSpaceDN w:val="0"/>
        <w:adjustRightInd w:val="0"/>
        <w:rPr>
          <w:rFonts w:ascii="TimesNewRomanPSMT" w:hAnsi="TimesNewRomanPSMT" w:cs="TimesNewRomanPSMT"/>
          <w:color w:val="000000"/>
        </w:rPr>
      </w:pPr>
    </w:p>
    <w:p w14:paraId="76255626" w14:textId="77777777"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In the spring 2010, Archipelago Marine Research Ltd. worked with North Carolina Sea Grant and several South Atlantic Unlimited Snapper Grouper Permit holders to test the effectiveness of electronic video monitoring to measure catch and bycatch.  A total of 93 trips were monitored with video monitoring, 34 by self-reported fishing logbooks, and 5 by observers.  Comparisons between electronic video monitoring data and observer data showed that video monitoring was a reliable source of catch and bycatch data.</w:t>
      </w:r>
    </w:p>
    <w:p w14:paraId="1166EDD7" w14:textId="77777777" w:rsidR="00E03650" w:rsidRPr="009C5ECD" w:rsidRDefault="00E03650" w:rsidP="00E03650">
      <w:pPr>
        <w:autoSpaceDE w:val="0"/>
        <w:autoSpaceDN w:val="0"/>
        <w:adjustRightInd w:val="0"/>
        <w:rPr>
          <w:rFonts w:ascii="TimesNewRomanPSMT" w:hAnsi="TimesNewRomanPSMT" w:cs="TimesNewRomanPSMT"/>
          <w:color w:val="000000"/>
        </w:rPr>
      </w:pPr>
    </w:p>
    <w:p w14:paraId="34BEFDB0" w14:textId="77777777"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Research funds for observer programs, as well as gear testing and testing of electronic devices are also available each year in the form of grants from the Foundation, Marine Fisheries Initiative, Saltonstall-Kennedy program, and the CRP.  Efforts are made to emphasize the need for observer and logbook data in requests for proposals issued by granting agencies.  A condition of funding for these projects is that data are made available to the Councils and NMFS upon completion of a study.</w:t>
      </w:r>
    </w:p>
    <w:p w14:paraId="1E1725B3" w14:textId="77777777" w:rsidR="00E03650" w:rsidRPr="009C5ECD" w:rsidRDefault="00E03650" w:rsidP="00E03650">
      <w:pPr>
        <w:autoSpaceDE w:val="0"/>
        <w:autoSpaceDN w:val="0"/>
        <w:adjustRightInd w:val="0"/>
        <w:rPr>
          <w:rFonts w:ascii="TimesNewRomanPSMT" w:hAnsi="TimesNewRomanPSMT" w:cs="TimesNewRomanPSMT"/>
          <w:color w:val="000000"/>
        </w:rPr>
      </w:pPr>
    </w:p>
    <w:p w14:paraId="790E18EB" w14:textId="5F35DF91"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Stranding networks have been established in the Southeast Region.  The NMFS SEFSC is the base for the Southeast United States Marine Mammal Stranding Program (</w:t>
      </w:r>
      <w:hyperlink r:id="rId94" w:history="1">
        <w:r w:rsidR="000C5905" w:rsidRPr="00F33E7A">
          <w:rPr>
            <w:rStyle w:val="Hyperlink"/>
            <w:rFonts w:ascii="TimesNewRomanPSMT" w:hAnsi="TimesNewRomanPSMT" w:cs="TimesNewRomanPSMT"/>
          </w:rPr>
          <w:t>http://sero.nmfs.noaa.gov/protected_resources/marine_mammal_health_and_stranding_response_program/index.html</w:t>
        </w:r>
      </w:hyperlink>
      <w:r w:rsidR="000C5905" w:rsidRPr="000C5905">
        <w:rPr>
          <w:rFonts w:ascii="TimesNewRomanPSMT" w:hAnsi="TimesNewRomanPSMT" w:cs="TimesNewRomanPSMT"/>
        </w:rPr>
        <w:t>)</w:t>
      </w:r>
      <w:r w:rsidRPr="009C5ECD">
        <w:rPr>
          <w:rFonts w:ascii="TimesNewRomanPSMT" w:hAnsi="TimesNewRomanPSMT" w:cs="TimesNewRomanPSMT"/>
          <w:color w:val="000000"/>
        </w:rPr>
        <w:t>.  NMFS authorizes organizations and volunteers under the MMPA to respond to marine mammal strandings throughout the United States.  These organizations form the stranding network whose participants are trained to respond to, and collect samples from live and dead marine mammals that strand along southeastern United State beaches.  The SEFSC is responsible for: coordinating stranding events; monitoring stranding rates; monitoring human caused mortalities; maintaining a stranding database for the southeast region; and conducting investigations to determine the cause of unusual stranding events including mass strandings and mass mortalities (</w:t>
      </w:r>
      <w:hyperlink r:id="rId95" w:history="1">
        <w:r w:rsidRPr="009C5ECD">
          <w:rPr>
            <w:rStyle w:val="Hyperlink"/>
            <w:rFonts w:ascii="TimesNewRomanPSMT" w:hAnsi="TimesNewRomanPSMT" w:cs="TimesNewRomanPSMT"/>
          </w:rPr>
          <w:t>http://www.sefsc.noaa.gov/species/mammals/strandings.htm</w:t>
        </w:r>
      </w:hyperlink>
      <w:r w:rsidRPr="009C5ECD">
        <w:rPr>
          <w:rFonts w:ascii="TimesNewRomanPSMT" w:hAnsi="TimesNewRomanPSMT" w:cs="TimesNewRomanPSMT"/>
          <w:color w:val="000000"/>
        </w:rPr>
        <w:t>).  The Southeast Regional Office and the SEFSC participate in a wide range of training and outreach activities to communicate bycatch related issues.  The NMFS Southeast Regional Office issues public announcements, Southeast Fishery Bulletins, or News Releases on different topics, including use of turtle exclusion devices, bycatch reduction devices, use of methods and devices to minimize harm to turtles and sawfish, information intended to reduce harm and interactions with marine mammals, and other methods to reduce bycatch for the convenience of constituents in the southern United States. These are mailed out to various organizations, government entities, commercial interests and recreational groups.  This information is also included in newsletters and publications that are produced by NMFS and the various regional fishery management councils.  Announcements and news released are also available on the internet and broadcasted over NOAA weather radio. NMFS established the South East Fishery-Independent Survey in 2010 to strengthen fishery independent sampling efforts in southeast U.S. waters, addressing both immediate and long-term fishery-independent data needs, with an overarching goal of improving fishery-independent data utility for stock assessments.  Meeting these data needs is critical to improving scientific advice to the management process, ensuring overfishing does not occur, and successfully rebuilding overfished stocks on schedule.</w:t>
      </w:r>
    </w:p>
    <w:p w14:paraId="2CDEE7DB" w14:textId="77777777" w:rsidR="00E03650" w:rsidRPr="009C5ECD" w:rsidRDefault="00E03650" w:rsidP="00E03650">
      <w:pPr>
        <w:autoSpaceDE w:val="0"/>
        <w:autoSpaceDN w:val="0"/>
        <w:adjustRightInd w:val="0"/>
        <w:rPr>
          <w:rFonts w:ascii="Arial-BoldMT" w:hAnsi="Arial-BoldMT" w:cs="Arial-BoldMT"/>
          <w:b/>
          <w:bCs/>
          <w:color w:val="000000"/>
          <w:sz w:val="28"/>
          <w:szCs w:val="28"/>
        </w:rPr>
      </w:pPr>
    </w:p>
    <w:p w14:paraId="7E719964" w14:textId="77777777" w:rsidR="00E03650" w:rsidRPr="009C5ECD" w:rsidRDefault="00E03650" w:rsidP="00E03650">
      <w:pPr>
        <w:autoSpaceDE w:val="0"/>
        <w:autoSpaceDN w:val="0"/>
        <w:adjustRightInd w:val="0"/>
        <w:rPr>
          <w:rFonts w:ascii="Arial-BoldMT" w:hAnsi="Arial-BoldMT" w:cs="Arial-BoldMT"/>
          <w:b/>
          <w:bCs/>
          <w:color w:val="000000"/>
          <w:sz w:val="28"/>
          <w:szCs w:val="28"/>
        </w:rPr>
      </w:pPr>
      <w:r w:rsidRPr="009C5ECD">
        <w:rPr>
          <w:rFonts w:ascii="Arial-BoldMT" w:hAnsi="Arial-BoldMT" w:cs="Arial-BoldMT"/>
          <w:b/>
          <w:bCs/>
          <w:color w:val="000000"/>
          <w:sz w:val="28"/>
          <w:szCs w:val="28"/>
        </w:rPr>
        <w:t>1.10 Changes in the Economic, Social, or Cultural Value of</w:t>
      </w:r>
    </w:p>
    <w:p w14:paraId="6716938D" w14:textId="77777777" w:rsidR="00E03650" w:rsidRPr="009C5ECD" w:rsidRDefault="00E03650" w:rsidP="00E03650">
      <w:pPr>
        <w:autoSpaceDE w:val="0"/>
        <w:autoSpaceDN w:val="0"/>
        <w:adjustRightInd w:val="0"/>
        <w:rPr>
          <w:rFonts w:ascii="Arial-BoldMT" w:hAnsi="Arial-BoldMT" w:cs="Arial-BoldMT"/>
          <w:b/>
          <w:bCs/>
          <w:color w:val="000000"/>
          <w:sz w:val="28"/>
          <w:szCs w:val="28"/>
        </w:rPr>
      </w:pPr>
      <w:r w:rsidRPr="009C5ECD">
        <w:rPr>
          <w:rFonts w:ascii="Arial-BoldMT" w:hAnsi="Arial-BoldMT" w:cs="Arial-BoldMT"/>
          <w:b/>
          <w:bCs/>
          <w:color w:val="000000"/>
          <w:sz w:val="28"/>
          <w:szCs w:val="28"/>
        </w:rPr>
        <w:t>Fishing Activities and Non-Consumptive Uses of Fishery</w:t>
      </w:r>
    </w:p>
    <w:p w14:paraId="68277CBC" w14:textId="77777777" w:rsidR="00E03650" w:rsidRPr="009C5ECD" w:rsidRDefault="00E03650" w:rsidP="00E03650">
      <w:pPr>
        <w:autoSpaceDE w:val="0"/>
        <w:autoSpaceDN w:val="0"/>
        <w:adjustRightInd w:val="0"/>
        <w:rPr>
          <w:rFonts w:ascii="Arial-BoldMT" w:hAnsi="Arial-BoldMT" w:cs="Arial-BoldMT"/>
          <w:b/>
          <w:bCs/>
          <w:color w:val="000000"/>
          <w:sz w:val="28"/>
          <w:szCs w:val="28"/>
        </w:rPr>
      </w:pPr>
      <w:r w:rsidRPr="009C5ECD">
        <w:rPr>
          <w:rFonts w:ascii="Arial-BoldMT" w:hAnsi="Arial-BoldMT" w:cs="Arial-BoldMT"/>
          <w:b/>
          <w:bCs/>
          <w:color w:val="000000"/>
          <w:sz w:val="28"/>
          <w:szCs w:val="28"/>
        </w:rPr>
        <w:t>Resources</w:t>
      </w:r>
    </w:p>
    <w:p w14:paraId="4DE92372" w14:textId="77777777" w:rsidR="00E03650" w:rsidRPr="009C5ECD" w:rsidRDefault="00E03650" w:rsidP="00E03650">
      <w:pPr>
        <w:autoSpaceDE w:val="0"/>
        <w:autoSpaceDN w:val="0"/>
        <w:adjustRightInd w:val="0"/>
        <w:rPr>
          <w:rFonts w:ascii="TimesNewRomanPSMT" w:hAnsi="TimesNewRomanPSMT" w:cs="TimesNewRomanPSMT"/>
          <w:color w:val="000000"/>
        </w:rPr>
      </w:pPr>
    </w:p>
    <w:p w14:paraId="4CDE2E19" w14:textId="1951B37B" w:rsidR="00E03650"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Any changes in economic, social, or cultural values from the proposed actions are discussed in</w:t>
      </w:r>
      <w:r w:rsidR="00D06628">
        <w:rPr>
          <w:rFonts w:ascii="TimesNewRomanPSMT" w:hAnsi="TimesNewRomanPSMT" w:cs="TimesNewRomanPSMT"/>
          <w:color w:val="000000"/>
        </w:rPr>
        <w:t xml:space="preserve"> </w:t>
      </w:r>
      <w:r w:rsidRPr="009C5ECD">
        <w:rPr>
          <w:rFonts w:ascii="TimesNewRomanPS-BoldMT" w:hAnsi="TimesNewRomanPS-BoldMT" w:cs="TimesNewRomanPS-BoldMT"/>
          <w:b/>
          <w:bCs/>
          <w:color w:val="000000"/>
        </w:rPr>
        <w:t xml:space="preserve">Chapter 4 </w:t>
      </w:r>
      <w:r w:rsidRPr="009C5ECD">
        <w:rPr>
          <w:rFonts w:ascii="TimesNewRomanPSMT" w:hAnsi="TimesNewRomanPSMT" w:cs="TimesNewRomanPSMT"/>
          <w:color w:val="000000"/>
        </w:rPr>
        <w:t>of the environmental assessment.</w:t>
      </w:r>
    </w:p>
    <w:p w14:paraId="1D0CF5C1" w14:textId="153CA78F" w:rsidR="00D06628" w:rsidRDefault="00D06628">
      <w:pPr>
        <w:rPr>
          <w:rFonts w:ascii="TimesNewRomanPSMT" w:hAnsi="TimesNewRomanPSMT" w:cs="TimesNewRomanPSMT"/>
          <w:color w:val="000000"/>
        </w:rPr>
      </w:pPr>
      <w:r>
        <w:rPr>
          <w:rFonts w:ascii="TimesNewRomanPSMT" w:hAnsi="TimesNewRomanPSMT" w:cs="TimesNewRomanPSMT"/>
          <w:color w:val="000000"/>
        </w:rPr>
        <w:br w:type="page"/>
      </w:r>
    </w:p>
    <w:p w14:paraId="52F4E680" w14:textId="77777777" w:rsidR="00D06628" w:rsidRPr="009C5ECD" w:rsidRDefault="00D06628" w:rsidP="00D06628">
      <w:pPr>
        <w:autoSpaceDE w:val="0"/>
        <w:autoSpaceDN w:val="0"/>
        <w:adjustRightInd w:val="0"/>
        <w:ind w:firstLine="360"/>
        <w:rPr>
          <w:rFonts w:ascii="TimesNewRomanPSMT" w:hAnsi="TimesNewRomanPSMT" w:cs="TimesNewRomanPSMT"/>
          <w:color w:val="000000"/>
        </w:rPr>
      </w:pPr>
    </w:p>
    <w:p w14:paraId="029B4D20" w14:textId="77777777" w:rsidR="00E03650" w:rsidRPr="009C5ECD" w:rsidRDefault="00E03650" w:rsidP="00E03650">
      <w:pPr>
        <w:autoSpaceDE w:val="0"/>
        <w:autoSpaceDN w:val="0"/>
        <w:adjustRightInd w:val="0"/>
        <w:rPr>
          <w:rFonts w:ascii="TimesNewRomanPS-BoldMT" w:hAnsi="TimesNewRomanPS-BoldMT" w:cs="TimesNewRomanPS-BoldMT"/>
          <w:b/>
          <w:bCs/>
          <w:color w:val="000000"/>
          <w:sz w:val="20"/>
          <w:szCs w:val="20"/>
        </w:rPr>
      </w:pPr>
    </w:p>
    <w:p w14:paraId="1AEA8883" w14:textId="77777777" w:rsidR="00E03650" w:rsidRPr="009C5ECD" w:rsidRDefault="00E03650" w:rsidP="00E03650">
      <w:pPr>
        <w:autoSpaceDE w:val="0"/>
        <w:autoSpaceDN w:val="0"/>
        <w:adjustRightInd w:val="0"/>
        <w:rPr>
          <w:rFonts w:ascii="Arial-BoldMT" w:hAnsi="Arial-BoldMT" w:cs="Arial-BoldMT"/>
          <w:b/>
          <w:bCs/>
          <w:color w:val="000000"/>
          <w:sz w:val="28"/>
          <w:szCs w:val="28"/>
        </w:rPr>
      </w:pPr>
      <w:r w:rsidRPr="009C5ECD">
        <w:rPr>
          <w:rFonts w:ascii="Arial-BoldMT" w:hAnsi="Arial-BoldMT" w:cs="Arial-BoldMT"/>
          <w:b/>
          <w:bCs/>
          <w:color w:val="000000"/>
          <w:sz w:val="28"/>
          <w:szCs w:val="28"/>
        </w:rPr>
        <w:t>1.11 Changes in the Distribution of Benefits and Costs</w:t>
      </w:r>
    </w:p>
    <w:p w14:paraId="3283D2CC" w14:textId="77777777" w:rsidR="00E03650" w:rsidRPr="009C5ECD" w:rsidRDefault="00E03650" w:rsidP="00E03650">
      <w:pPr>
        <w:autoSpaceDE w:val="0"/>
        <w:autoSpaceDN w:val="0"/>
        <w:adjustRightInd w:val="0"/>
        <w:rPr>
          <w:rFonts w:ascii="TimesNewRomanPSMT" w:hAnsi="TimesNewRomanPSMT" w:cs="TimesNewRomanPSMT"/>
          <w:color w:val="000000"/>
        </w:rPr>
      </w:pPr>
    </w:p>
    <w:p w14:paraId="063AB85A" w14:textId="77777777"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The distribution of benefits and costs expected from proposed actions in the environmental</w:t>
      </w:r>
    </w:p>
    <w:p w14:paraId="5A5C0C2B" w14:textId="5413F78E" w:rsidR="00E03650" w:rsidRPr="009C5ECD" w:rsidRDefault="00E03650" w:rsidP="00E03650">
      <w:pPr>
        <w:autoSpaceDE w:val="0"/>
        <w:autoSpaceDN w:val="0"/>
        <w:adjustRightInd w:val="0"/>
        <w:rPr>
          <w:rFonts w:ascii="TimesNewRomanPSMT" w:hAnsi="TimesNewRomanPSMT" w:cs="TimesNewRomanPSMT"/>
          <w:color w:val="000000"/>
        </w:rPr>
      </w:pPr>
      <w:r w:rsidRPr="009C5ECD">
        <w:rPr>
          <w:rFonts w:ascii="TimesNewRomanPSMT" w:hAnsi="TimesNewRomanPSMT" w:cs="TimesNewRomanPSMT"/>
          <w:color w:val="000000"/>
        </w:rPr>
        <w:t xml:space="preserve">assessment are discussed in </w:t>
      </w:r>
      <w:r w:rsidRPr="009C5ECD">
        <w:rPr>
          <w:rFonts w:ascii="TimesNewRomanPS-BoldMT" w:hAnsi="TimesNewRomanPS-BoldMT" w:cs="TimesNewRomanPS-BoldMT"/>
          <w:b/>
          <w:bCs/>
          <w:color w:val="000000"/>
        </w:rPr>
        <w:t>Chapter 3</w:t>
      </w:r>
      <w:r w:rsidRPr="009C5ECD">
        <w:rPr>
          <w:rFonts w:ascii="TimesNewRomanPSMT" w:hAnsi="TimesNewRomanPSMT" w:cs="TimesNewRomanPSMT"/>
          <w:color w:val="000000"/>
        </w:rPr>
        <w:t>.  Economic and social effects of the proposed actions are</w:t>
      </w:r>
      <w:r w:rsidR="00D06628">
        <w:rPr>
          <w:rFonts w:ascii="TimesNewRomanPSMT" w:hAnsi="TimesNewRomanPSMT" w:cs="TimesNewRomanPSMT"/>
          <w:color w:val="000000"/>
        </w:rPr>
        <w:t xml:space="preserve"> </w:t>
      </w:r>
      <w:r w:rsidRPr="009C5ECD">
        <w:rPr>
          <w:rFonts w:ascii="TimesNewRomanPSMT" w:hAnsi="TimesNewRomanPSMT" w:cs="TimesNewRomanPSMT"/>
          <w:color w:val="000000"/>
        </w:rPr>
        <w:t xml:space="preserve">addressed in </w:t>
      </w:r>
      <w:r w:rsidRPr="009C5ECD">
        <w:rPr>
          <w:rFonts w:ascii="TimesNewRomanPS-BoldMT" w:hAnsi="TimesNewRomanPS-BoldMT" w:cs="TimesNewRomanPS-BoldMT"/>
          <w:b/>
          <w:bCs/>
          <w:color w:val="000000"/>
        </w:rPr>
        <w:t xml:space="preserve">Chapter 4 </w:t>
      </w:r>
      <w:r w:rsidRPr="009C5ECD">
        <w:rPr>
          <w:rFonts w:ascii="TimesNewRomanPSMT" w:hAnsi="TimesNewRomanPSMT" w:cs="TimesNewRomanPSMT"/>
          <w:color w:val="000000"/>
        </w:rPr>
        <w:t>of this document.</w:t>
      </w:r>
    </w:p>
    <w:p w14:paraId="184BA7D6" w14:textId="77777777" w:rsidR="00E03650" w:rsidRPr="009C5ECD" w:rsidRDefault="00E03650" w:rsidP="00E03650">
      <w:pPr>
        <w:autoSpaceDE w:val="0"/>
        <w:autoSpaceDN w:val="0"/>
        <w:adjustRightInd w:val="0"/>
        <w:rPr>
          <w:rFonts w:ascii="Arial-BoldMT" w:hAnsi="Arial-BoldMT" w:cs="Arial-BoldMT"/>
          <w:b/>
          <w:bCs/>
          <w:color w:val="000000"/>
          <w:sz w:val="28"/>
          <w:szCs w:val="28"/>
        </w:rPr>
      </w:pPr>
    </w:p>
    <w:p w14:paraId="29728AE5" w14:textId="77777777" w:rsidR="00E03650" w:rsidRPr="009C5ECD" w:rsidRDefault="00E03650" w:rsidP="00E03650">
      <w:pPr>
        <w:autoSpaceDE w:val="0"/>
        <w:autoSpaceDN w:val="0"/>
        <w:adjustRightInd w:val="0"/>
        <w:rPr>
          <w:rFonts w:ascii="Arial-BoldMT" w:hAnsi="Arial-BoldMT" w:cs="Arial-BoldMT"/>
          <w:b/>
          <w:bCs/>
          <w:color w:val="000000"/>
          <w:sz w:val="28"/>
          <w:szCs w:val="28"/>
        </w:rPr>
      </w:pPr>
      <w:r w:rsidRPr="009C5ECD">
        <w:rPr>
          <w:rFonts w:ascii="Arial-BoldMT" w:hAnsi="Arial-BoldMT" w:cs="Arial-BoldMT"/>
          <w:b/>
          <w:bCs/>
          <w:color w:val="000000"/>
          <w:sz w:val="28"/>
          <w:szCs w:val="28"/>
        </w:rPr>
        <w:t>1.12 Social Effects</w:t>
      </w:r>
    </w:p>
    <w:p w14:paraId="2A4737FA" w14:textId="77777777" w:rsidR="00E03650" w:rsidRPr="009C5ECD" w:rsidRDefault="00E03650" w:rsidP="00E03650">
      <w:pPr>
        <w:autoSpaceDE w:val="0"/>
        <w:autoSpaceDN w:val="0"/>
        <w:adjustRightInd w:val="0"/>
        <w:rPr>
          <w:rFonts w:ascii="TimesNewRomanPSMT" w:hAnsi="TimesNewRomanPSMT" w:cs="TimesNewRomanPSMT"/>
          <w:color w:val="000000"/>
        </w:rPr>
      </w:pPr>
    </w:p>
    <w:p w14:paraId="093B41EC" w14:textId="77777777" w:rsidR="00E03650" w:rsidRPr="009C5ECD" w:rsidRDefault="00E03650" w:rsidP="00D06628">
      <w:pPr>
        <w:autoSpaceDE w:val="0"/>
        <w:autoSpaceDN w:val="0"/>
        <w:adjustRightInd w:val="0"/>
        <w:ind w:firstLine="360"/>
        <w:rPr>
          <w:rFonts w:ascii="TimesNewRomanPSMT" w:hAnsi="TimesNewRomanPSMT" w:cs="TimesNewRomanPSMT"/>
          <w:color w:val="000000"/>
        </w:rPr>
      </w:pPr>
      <w:r w:rsidRPr="009C5ECD">
        <w:rPr>
          <w:rFonts w:ascii="TimesNewRomanPSMT" w:hAnsi="TimesNewRomanPSMT" w:cs="TimesNewRomanPSMT"/>
          <w:color w:val="000000"/>
        </w:rPr>
        <w:t xml:space="preserve">The social effects of all the measures are described in </w:t>
      </w:r>
      <w:r w:rsidRPr="009C5ECD">
        <w:rPr>
          <w:rFonts w:ascii="TimesNewRomanPS-BoldMT" w:hAnsi="TimesNewRomanPS-BoldMT" w:cs="TimesNewRomanPS-BoldMT"/>
          <w:b/>
          <w:bCs/>
          <w:color w:val="000000"/>
        </w:rPr>
        <w:t xml:space="preserve">Chapter 4 </w:t>
      </w:r>
      <w:r w:rsidRPr="009C5ECD">
        <w:rPr>
          <w:rFonts w:ascii="TimesNewRomanPSMT" w:hAnsi="TimesNewRomanPSMT" w:cs="TimesNewRomanPSMT"/>
          <w:color w:val="000000"/>
        </w:rPr>
        <w:t>of the environmental</w:t>
      </w:r>
    </w:p>
    <w:p w14:paraId="415CB4E1" w14:textId="77777777" w:rsidR="00E03650" w:rsidRPr="009C5ECD" w:rsidRDefault="00E03650" w:rsidP="00E03650">
      <w:pPr>
        <w:autoSpaceDE w:val="0"/>
        <w:autoSpaceDN w:val="0"/>
        <w:adjustRightInd w:val="0"/>
        <w:rPr>
          <w:rFonts w:ascii="TimesNewRomanPSMT" w:hAnsi="TimesNewRomanPSMT" w:cs="TimesNewRomanPSMT"/>
          <w:color w:val="000000"/>
        </w:rPr>
      </w:pPr>
      <w:r w:rsidRPr="009C5ECD">
        <w:rPr>
          <w:rFonts w:ascii="TimesNewRomanPSMT" w:hAnsi="TimesNewRomanPSMT" w:cs="TimesNewRomanPSMT"/>
          <w:color w:val="000000"/>
        </w:rPr>
        <w:t>assessment.</w:t>
      </w:r>
    </w:p>
    <w:p w14:paraId="1C93F3C8" w14:textId="77777777" w:rsidR="00E03650" w:rsidRPr="009C5ECD" w:rsidRDefault="00E03650" w:rsidP="00E03650">
      <w:pPr>
        <w:autoSpaceDE w:val="0"/>
        <w:autoSpaceDN w:val="0"/>
        <w:adjustRightInd w:val="0"/>
        <w:rPr>
          <w:rFonts w:ascii="Arial-BoldMT" w:hAnsi="Arial-BoldMT" w:cs="Arial-BoldMT"/>
          <w:b/>
          <w:bCs/>
          <w:color w:val="000000"/>
          <w:sz w:val="28"/>
          <w:szCs w:val="28"/>
        </w:rPr>
      </w:pPr>
    </w:p>
    <w:p w14:paraId="72FC038A" w14:textId="77777777" w:rsidR="00E03650" w:rsidRPr="009C5ECD" w:rsidRDefault="00E03650" w:rsidP="00E03650">
      <w:pPr>
        <w:autoSpaceDE w:val="0"/>
        <w:autoSpaceDN w:val="0"/>
        <w:adjustRightInd w:val="0"/>
        <w:rPr>
          <w:rFonts w:ascii="Arial-BoldMT" w:hAnsi="Arial-BoldMT" w:cs="Arial-BoldMT"/>
          <w:b/>
          <w:bCs/>
          <w:color w:val="000000"/>
          <w:sz w:val="28"/>
          <w:szCs w:val="28"/>
        </w:rPr>
      </w:pPr>
      <w:r w:rsidRPr="009C5ECD">
        <w:rPr>
          <w:rFonts w:ascii="Arial-BoldMT" w:hAnsi="Arial-BoldMT" w:cs="Arial-BoldMT"/>
          <w:b/>
          <w:bCs/>
          <w:color w:val="000000"/>
          <w:sz w:val="28"/>
          <w:szCs w:val="28"/>
        </w:rPr>
        <w:t>1.13 Conclusion</w:t>
      </w:r>
    </w:p>
    <w:p w14:paraId="4920B4B3" w14:textId="77777777" w:rsidR="00E03650" w:rsidRPr="009C5ECD" w:rsidRDefault="00E03650" w:rsidP="00E03650">
      <w:pPr>
        <w:autoSpaceDE w:val="0"/>
        <w:autoSpaceDN w:val="0"/>
        <w:adjustRightInd w:val="0"/>
        <w:rPr>
          <w:rFonts w:ascii="TimesNewRomanPSMT" w:hAnsi="TimesNewRomanPSMT" w:cs="TimesNewRomanPSMT"/>
          <w:color w:val="000000"/>
        </w:rPr>
      </w:pPr>
    </w:p>
    <w:p w14:paraId="06C122B4" w14:textId="77777777" w:rsidR="00E03650" w:rsidRPr="009C5ECD" w:rsidRDefault="00E03650" w:rsidP="00D06628">
      <w:pPr>
        <w:ind w:firstLine="360"/>
        <w:rPr>
          <w:color w:val="000000"/>
        </w:rPr>
      </w:pPr>
      <w:r w:rsidRPr="009C5ECD">
        <w:rPr>
          <w:color w:val="000000"/>
        </w:rPr>
        <w:t xml:space="preserve">This section evaluates the practicability of taking additional action to minimize bycatch and bycatch mortality using the ten factors provided at 50 CFR section 600.350(d)(3)(i). In summary, measures proposed in Amendment 41 are intended to </w:t>
      </w:r>
      <w:r w:rsidRPr="009C5ECD">
        <w:rPr>
          <w:iCs/>
        </w:rPr>
        <w:t xml:space="preserve">revise management measures, </w:t>
      </w:r>
      <w:r w:rsidRPr="009C5ECD">
        <w:t xml:space="preserve">update biological benchmarks, and modify allowable fishing levels for mutton snapper recommended by the latest stock assessment update.  </w:t>
      </w:r>
      <w:r w:rsidRPr="009C5ECD">
        <w:rPr>
          <w:iCs/>
        </w:rPr>
        <w:t xml:space="preserve">These actions are necessary to base mutton snapper management measures on the best scientific information available in order to achieve and maintain OY and to prevent overfishing while minimizing, to the extent practicable, adverse social and economic effects.  </w:t>
      </w:r>
      <w:r w:rsidRPr="009C5ECD">
        <w:t xml:space="preserve">As summarized in </w:t>
      </w:r>
      <w:r w:rsidRPr="009C5ECD">
        <w:rPr>
          <w:b/>
        </w:rPr>
        <w:t>Section 1.3</w:t>
      </w:r>
      <w:r w:rsidRPr="009C5ECD">
        <w:t xml:space="preserve"> of this BPA, the actions in Amendment 41 are not expected to result in significant changes in bycatch of mutton snapper.  In addition, the Council, NMFS, and the SEFSC have implemented and plan to implement </w:t>
      </w:r>
      <w:r w:rsidRPr="009C5ECD">
        <w:rPr>
          <w:color w:val="000000"/>
        </w:rPr>
        <w:t xml:space="preserve">numerous management measures and reporting requirements that have improved, or are likely to improve monitoring efforts of discards and discard mortality. </w:t>
      </w:r>
      <w:r>
        <w:rPr>
          <w:color w:val="000000"/>
        </w:rPr>
        <w:t xml:space="preserve"> </w:t>
      </w:r>
      <w:r w:rsidRPr="009C5ECD">
        <w:rPr>
          <w:color w:val="000000"/>
        </w:rPr>
        <w:t>Therefore, no additional action is needed to minimize bycatch or bycatch mortality within the snapper grouper fishery.</w:t>
      </w:r>
    </w:p>
    <w:p w14:paraId="3A5D078B" w14:textId="77777777" w:rsidR="00E03650" w:rsidRPr="009C5ECD" w:rsidRDefault="00E03650" w:rsidP="00E03650">
      <w:pPr>
        <w:autoSpaceDE w:val="0"/>
        <w:autoSpaceDN w:val="0"/>
        <w:adjustRightInd w:val="0"/>
        <w:rPr>
          <w:rFonts w:ascii="TimesNewRomanPS-BoldMT" w:hAnsi="TimesNewRomanPS-BoldMT" w:cs="TimesNewRomanPS-BoldMT"/>
          <w:b/>
          <w:bCs/>
          <w:color w:val="000000"/>
        </w:rPr>
      </w:pPr>
    </w:p>
    <w:p w14:paraId="1DF72329" w14:textId="77777777" w:rsidR="00E03650" w:rsidRPr="009C5ECD" w:rsidRDefault="00E03650" w:rsidP="00E03650">
      <w:pPr>
        <w:autoSpaceDE w:val="0"/>
        <w:autoSpaceDN w:val="0"/>
        <w:adjustRightInd w:val="0"/>
        <w:rPr>
          <w:rFonts w:ascii="TimesNewRomanPS-BoldMT" w:hAnsi="TimesNewRomanPS-BoldMT" w:cs="TimesNewRomanPS-BoldMT"/>
          <w:b/>
          <w:bCs/>
          <w:color w:val="000000"/>
        </w:rPr>
      </w:pPr>
    </w:p>
    <w:p w14:paraId="2D0C9032" w14:textId="77777777" w:rsidR="00E03650" w:rsidRPr="009C5ECD" w:rsidRDefault="00E03650" w:rsidP="00E03650">
      <w:pPr>
        <w:autoSpaceDE w:val="0"/>
        <w:autoSpaceDN w:val="0"/>
        <w:adjustRightInd w:val="0"/>
        <w:rPr>
          <w:rFonts w:ascii="TimesNewRomanPS-BoldMT" w:hAnsi="TimesNewRomanPS-BoldMT" w:cs="TimesNewRomanPS-BoldMT"/>
          <w:b/>
          <w:bCs/>
          <w:color w:val="000000"/>
        </w:rPr>
      </w:pPr>
    </w:p>
    <w:p w14:paraId="56049FC3" w14:textId="77777777" w:rsidR="00E03650" w:rsidRPr="009C5ECD" w:rsidRDefault="00E03650" w:rsidP="00E03650">
      <w:pPr>
        <w:autoSpaceDE w:val="0"/>
        <w:autoSpaceDN w:val="0"/>
        <w:adjustRightInd w:val="0"/>
        <w:rPr>
          <w:rFonts w:ascii="TimesNewRomanPS-BoldMT" w:hAnsi="TimesNewRomanPS-BoldMT" w:cs="TimesNewRomanPS-BoldMT"/>
          <w:b/>
          <w:bCs/>
          <w:color w:val="000000"/>
        </w:rPr>
      </w:pPr>
    </w:p>
    <w:p w14:paraId="0A71CE44" w14:textId="77777777" w:rsidR="00E03650" w:rsidRPr="009C5ECD" w:rsidRDefault="00E03650" w:rsidP="00E03650">
      <w:pPr>
        <w:autoSpaceDE w:val="0"/>
        <w:autoSpaceDN w:val="0"/>
        <w:adjustRightInd w:val="0"/>
        <w:rPr>
          <w:rFonts w:ascii="TimesNewRomanPS-BoldMT" w:hAnsi="TimesNewRomanPS-BoldMT" w:cs="TimesNewRomanPS-BoldMT"/>
          <w:b/>
          <w:bCs/>
          <w:color w:val="000000"/>
        </w:rPr>
      </w:pPr>
    </w:p>
    <w:p w14:paraId="4B02B2B0" w14:textId="77777777" w:rsidR="00E03650" w:rsidRPr="009C5ECD" w:rsidRDefault="00E03650" w:rsidP="00E03650">
      <w:pPr>
        <w:autoSpaceDE w:val="0"/>
        <w:autoSpaceDN w:val="0"/>
        <w:adjustRightInd w:val="0"/>
        <w:rPr>
          <w:rFonts w:ascii="TimesNewRomanPS-BoldMT" w:hAnsi="TimesNewRomanPS-BoldMT" w:cs="TimesNewRomanPS-BoldMT"/>
          <w:b/>
          <w:bCs/>
          <w:color w:val="000000"/>
        </w:rPr>
      </w:pPr>
      <w:r w:rsidRPr="009C5ECD">
        <w:rPr>
          <w:rFonts w:ascii="TimesNewRomanPS-BoldMT" w:hAnsi="TimesNewRomanPS-BoldMT" w:cs="TimesNewRomanPS-BoldMT"/>
          <w:b/>
          <w:bCs/>
          <w:color w:val="000000"/>
        </w:rPr>
        <w:br w:type="page"/>
      </w:r>
      <w:r w:rsidRPr="009C5ECD">
        <w:rPr>
          <w:rFonts w:ascii="TimesNewRomanPS-BoldMT" w:hAnsi="TimesNewRomanPS-BoldMT" w:cs="TimesNewRomanPS-BoldMT"/>
          <w:b/>
          <w:bCs/>
          <w:color w:val="000000"/>
        </w:rPr>
        <w:lastRenderedPageBreak/>
        <w:t>References</w:t>
      </w:r>
    </w:p>
    <w:p w14:paraId="418DD551" w14:textId="77777777" w:rsidR="00E03650" w:rsidRPr="009C5ECD" w:rsidRDefault="00E03650" w:rsidP="00E03650">
      <w:pPr>
        <w:autoSpaceDE w:val="0"/>
        <w:autoSpaceDN w:val="0"/>
        <w:adjustRightInd w:val="0"/>
        <w:rPr>
          <w:rFonts w:ascii="TimesNewRomanPSMT" w:hAnsi="TimesNewRomanPSMT" w:cs="TimesNewRomanPSMT"/>
          <w:color w:val="000000"/>
        </w:rPr>
      </w:pPr>
    </w:p>
    <w:p w14:paraId="793D53EC" w14:textId="77777777" w:rsidR="00E03650" w:rsidRPr="00180336" w:rsidRDefault="00E03650" w:rsidP="00E03650">
      <w:r w:rsidRPr="00180336">
        <w:t>Cooke, S.J., D.P. Philipp, K.M. Dunmall, and J.F.Schreer. 2001. The influence of terminal tackle on injury, handling time, and cardiac disturbance of rock bass. North American Journal of Fisheries Management. Vol. 21, no. 2, pp. 333-342.</w:t>
      </w:r>
    </w:p>
    <w:p w14:paraId="40C97A39" w14:textId="77777777" w:rsidR="00E03650" w:rsidRPr="00180336" w:rsidRDefault="00E03650" w:rsidP="00E03650"/>
    <w:p w14:paraId="0C62AF5B" w14:textId="77777777" w:rsidR="00E03650" w:rsidRPr="00180336" w:rsidRDefault="00E03650" w:rsidP="00E03650">
      <w:r w:rsidRPr="00180336">
        <w:t>Harris, P. J., and J. Stephen. 2005. Characterization of commercial reef fish catch and bycatch off the southeast coast of the United States. Final Report. Cooperative Research Program Grant No. NA03NMF4540416. SEDAR 15-RD07. July 2005..</w:t>
      </w:r>
    </w:p>
    <w:p w14:paraId="40EDF6F2" w14:textId="77777777" w:rsidR="00E03650" w:rsidRPr="00180336" w:rsidRDefault="00E03650" w:rsidP="00E03650">
      <w:pPr>
        <w:autoSpaceDE w:val="0"/>
        <w:autoSpaceDN w:val="0"/>
        <w:adjustRightInd w:val="0"/>
        <w:rPr>
          <w:b/>
          <w:bCs/>
          <w:color w:val="000000"/>
        </w:rPr>
      </w:pPr>
    </w:p>
    <w:p w14:paraId="0427874C" w14:textId="77777777" w:rsidR="00E03650" w:rsidRPr="00180336" w:rsidRDefault="00E03650" w:rsidP="00E03650">
      <w:r w:rsidRPr="00180336">
        <w:t>NMFS (National Marine Fisheries</w:t>
      </w:r>
      <w:r>
        <w:t xml:space="preserve"> </w:t>
      </w:r>
      <w:r w:rsidRPr="00180336">
        <w:t>Service). 2006. Endangered Species Act section 7 consultation on the Continued Authorization of Snapper-Grouper Fishing under the South Atlantic Snapper-Grouper Fishery Management Plan (RFFMP) and Proposed Amendment 13C. Biological Opinion. June 7.</w:t>
      </w:r>
    </w:p>
    <w:p w14:paraId="7B7E18DE" w14:textId="77777777" w:rsidR="00E03650" w:rsidRPr="00180336" w:rsidRDefault="00E03650" w:rsidP="00E03650"/>
    <w:p w14:paraId="2F8CE793" w14:textId="77777777" w:rsidR="00E03650" w:rsidRPr="00180336" w:rsidRDefault="00E03650" w:rsidP="00E03650">
      <w:pPr>
        <w:rPr>
          <w:color w:val="000000"/>
        </w:rPr>
      </w:pPr>
      <w:r w:rsidRPr="00180336">
        <w:t xml:space="preserve">SAFMC (South Atlantic Fishery Management Council).  2006.  Amendment 13C, Final Environmental Assessment, Initial Regulatory Flexibility Analysis/Regulatory Impact Review, and Social Impact Assessment/Fishery Impact Statement for the Fishery Management Plan for the Snapper Grouper Fishery of the South Atlantic Region. South Atlantic Fishery Management Council, 1 Southpark Cir., Ste 306, Charleston, S.C. 29407-4699. 631 pp. </w:t>
      </w:r>
    </w:p>
    <w:p w14:paraId="4B9CADAC" w14:textId="77777777" w:rsidR="00E03650" w:rsidRPr="00180336" w:rsidRDefault="00E03650" w:rsidP="00E03650">
      <w:pPr>
        <w:autoSpaceDE w:val="0"/>
        <w:autoSpaceDN w:val="0"/>
        <w:adjustRightInd w:val="0"/>
        <w:rPr>
          <w:color w:val="000000"/>
        </w:rPr>
      </w:pPr>
    </w:p>
    <w:p w14:paraId="54BF6CF6" w14:textId="77777777" w:rsidR="00E03650" w:rsidRPr="00180336" w:rsidRDefault="00E03650" w:rsidP="00E03650">
      <w:pPr>
        <w:autoSpaceDE w:val="0"/>
        <w:autoSpaceDN w:val="0"/>
        <w:adjustRightInd w:val="0"/>
        <w:rPr>
          <w:color w:val="000000"/>
        </w:rPr>
      </w:pPr>
      <w:r w:rsidRPr="00180336">
        <w:rPr>
          <w:color w:val="000000"/>
        </w:rPr>
        <w:t>SAFMC (South Atlantic Fishery Management Council). 2008. Amendment 15B to the Fishery Management Plan for the Snapper Grouper Fishery of the South Atlantic Region with Final Environmental Impact Statement, Biological Assessment, Initial Regulatory Flexibility Analysis, Regulatory Impact Review, and Social Impact Assessment/Fishery Impact Statement. South Atlantic Fishery Management Council, 4055 Faber Place Drive, Ste 201, Charleston, S.C. 29405. 324 pp. plus appendices.</w:t>
      </w:r>
    </w:p>
    <w:p w14:paraId="4EC3EC2A" w14:textId="77777777" w:rsidR="00E03650" w:rsidRPr="00180336" w:rsidRDefault="00E03650" w:rsidP="00E03650">
      <w:pPr>
        <w:autoSpaceDE w:val="0"/>
        <w:autoSpaceDN w:val="0"/>
        <w:adjustRightInd w:val="0"/>
        <w:rPr>
          <w:color w:val="000000"/>
        </w:rPr>
      </w:pPr>
    </w:p>
    <w:p w14:paraId="4D47D615" w14:textId="77777777" w:rsidR="00E03650" w:rsidRPr="00180336" w:rsidRDefault="00E03650" w:rsidP="00E03650">
      <w:pPr>
        <w:autoSpaceDE w:val="0"/>
        <w:autoSpaceDN w:val="0"/>
        <w:adjustRightInd w:val="0"/>
        <w:rPr>
          <w:color w:val="000000"/>
        </w:rPr>
      </w:pPr>
      <w:r w:rsidRPr="00180336">
        <w:rPr>
          <w:color w:val="000000"/>
        </w:rPr>
        <w:t>SAFMC (South Atlantic Fishery Management Council). 2009. Amendment 16 to the Fishery Management Plan for the Snapper Grouper Fishery of the South Atlantic Region with Final Environmental Impact Statement, Initial Regulatory Flexibility Analysis, Regulatory Impact Review, and Social Impact Assessment/Fishery Impact Statement. South Atlantic Fishery Management Council, 4055 Faber Place Drive, Ste 201, Charleston, S.C. 29405. 608 pp. plus appendices.</w:t>
      </w:r>
    </w:p>
    <w:p w14:paraId="57ECC0C3" w14:textId="77777777" w:rsidR="00E03650" w:rsidRPr="00180336" w:rsidRDefault="00E03650" w:rsidP="00E03650">
      <w:pPr>
        <w:autoSpaceDE w:val="0"/>
        <w:autoSpaceDN w:val="0"/>
        <w:adjustRightInd w:val="0"/>
        <w:rPr>
          <w:color w:val="000000"/>
        </w:rPr>
      </w:pPr>
    </w:p>
    <w:p w14:paraId="30ABF094" w14:textId="77777777" w:rsidR="00E03650" w:rsidRPr="00180336" w:rsidRDefault="00E03650" w:rsidP="00E03650">
      <w:r w:rsidRPr="00180336">
        <w:t>SAFMC (South Atlantic Fishery Management Council).  2010a.  Amendment 17A, Final Environmental Impact Statement, Initial Regulatory Flexibility Analysis/Regulatory Impact Review, and Social Impact Assessment/Fishery Impact Statement for the Fishery Management Plan for the Snapper Grouper Fishery of the South Atlantic Region. South Atlantic Fishery Management Council, 4055 Faber Place Drive, Ste 201, Charleston, S.C. 29405.</w:t>
      </w:r>
    </w:p>
    <w:p w14:paraId="4F391B48" w14:textId="77777777" w:rsidR="00E03650" w:rsidRPr="00180336" w:rsidRDefault="00E03650" w:rsidP="00E03650"/>
    <w:p w14:paraId="5CD877DD" w14:textId="77777777" w:rsidR="00E03650" w:rsidRPr="00180336" w:rsidRDefault="00E03650" w:rsidP="00E03650">
      <w:pPr>
        <w:autoSpaceDE w:val="0"/>
        <w:autoSpaceDN w:val="0"/>
        <w:adjustRightInd w:val="0"/>
        <w:rPr>
          <w:color w:val="000000"/>
        </w:rPr>
      </w:pPr>
      <w:r w:rsidRPr="00180336">
        <w:t>SAFMC (South Atlantic Fishery Management Council).  2010b.  Amendment 17B, Final Environmental Impact Statement, Initial Regulatory Flexibility Analysis/Regulatory Impact Review, and Social Impact Assessment/Fishery Impact Statement for the Fishery Management Plan for the Snapper Grouper Fishery of the South Atlantic Region. South Atlantic Fishery Management Council, 4055 Faber Place, Ste 201, North Charleston, S.C. 29405.</w:t>
      </w:r>
    </w:p>
    <w:p w14:paraId="777B49E6" w14:textId="77777777" w:rsidR="00E03650" w:rsidRPr="00180336" w:rsidRDefault="00E03650" w:rsidP="00E03650">
      <w:pPr>
        <w:autoSpaceDE w:val="0"/>
        <w:autoSpaceDN w:val="0"/>
        <w:adjustRightInd w:val="0"/>
        <w:rPr>
          <w:color w:val="000000"/>
        </w:rPr>
      </w:pPr>
    </w:p>
    <w:p w14:paraId="4FCEFCFB" w14:textId="77777777" w:rsidR="00E03650" w:rsidRPr="00180336" w:rsidRDefault="00E03650" w:rsidP="00E03650">
      <w:pPr>
        <w:autoSpaceDE w:val="0"/>
        <w:autoSpaceDN w:val="0"/>
        <w:adjustRightInd w:val="0"/>
        <w:rPr>
          <w:color w:val="000000"/>
        </w:rPr>
      </w:pPr>
      <w:r w:rsidRPr="00180336">
        <w:rPr>
          <w:color w:val="000000"/>
        </w:rPr>
        <w:t>SAFMC (South Atlantic Fishery Management Council). 2011a. Comprehensive Annual Catch Limit Amendment for the South Atlantic Region with Final Environmental Impact Statement, Regulatory Flexibility Analysis, Regulatory Impact Review, and Social Impact Assessment/Fishery Impact Statement. South Atlantic Fishery Management Council, 4055 Faber</w:t>
      </w:r>
    </w:p>
    <w:p w14:paraId="52CC0FE9" w14:textId="77777777" w:rsidR="00E03650" w:rsidRPr="00180336" w:rsidRDefault="00E03650" w:rsidP="00E03650">
      <w:pPr>
        <w:autoSpaceDE w:val="0"/>
        <w:autoSpaceDN w:val="0"/>
        <w:adjustRightInd w:val="0"/>
        <w:rPr>
          <w:color w:val="000000"/>
        </w:rPr>
      </w:pPr>
      <w:r w:rsidRPr="00180336">
        <w:rPr>
          <w:color w:val="000000"/>
        </w:rPr>
        <w:t xml:space="preserve">Place Drive, Ste 201, Charleston, S.C. 29405. 755 pp. plus appendices. </w:t>
      </w:r>
    </w:p>
    <w:p w14:paraId="798B389B" w14:textId="77777777" w:rsidR="00E03650" w:rsidRPr="00180336" w:rsidRDefault="00E03650" w:rsidP="00E03650">
      <w:pPr>
        <w:autoSpaceDE w:val="0"/>
        <w:autoSpaceDN w:val="0"/>
        <w:adjustRightInd w:val="0"/>
        <w:rPr>
          <w:color w:val="000000"/>
        </w:rPr>
      </w:pPr>
    </w:p>
    <w:p w14:paraId="6D077FC7" w14:textId="77777777" w:rsidR="00E03650" w:rsidRPr="00180336" w:rsidRDefault="00E03650" w:rsidP="00E03650">
      <w:pPr>
        <w:autoSpaceDE w:val="0"/>
        <w:autoSpaceDN w:val="0"/>
        <w:adjustRightInd w:val="0"/>
      </w:pPr>
      <w:r w:rsidRPr="00180336">
        <w:t>SAFMC (South Atlantic Fishery Management Council).  2011b.  Comprehensive Ecosystem Based Amendment 2, Final Environmental Assessment, Regulatory Flexibility Analysis/Regulatory Impact Review, and Social Impact Assessment/Fishery Impact Statement for the Fishery Management Plan for the Snapper Grouper Fishery of the South Atlantic Region. (Amendment 23 to the Snapper Grouper FMP). South Atlantic Fishery Management Council, 4055 Faber Place, Ste 201, North Charleston, S.C. 29405.</w:t>
      </w:r>
    </w:p>
    <w:p w14:paraId="53BDDDAB" w14:textId="77777777" w:rsidR="00E03650" w:rsidRPr="00180336" w:rsidRDefault="00E03650" w:rsidP="00E03650">
      <w:pPr>
        <w:autoSpaceDE w:val="0"/>
        <w:autoSpaceDN w:val="0"/>
        <w:adjustRightInd w:val="0"/>
      </w:pPr>
    </w:p>
    <w:p w14:paraId="35EDC403" w14:textId="77777777" w:rsidR="00E03650" w:rsidRPr="00180336" w:rsidRDefault="00E03650" w:rsidP="00E03650">
      <w:r w:rsidRPr="00180336">
        <w:t>SAFMC (South Atlantic Fishery Management Council).  201</w:t>
      </w:r>
      <w:r>
        <w:t>1c</w:t>
      </w:r>
      <w:r w:rsidRPr="00180336">
        <w:t>.  Amendment 18</w:t>
      </w:r>
      <w:r>
        <w:t>A</w:t>
      </w:r>
      <w:r w:rsidRPr="00180336">
        <w:t xml:space="preserve"> to the Fishery </w:t>
      </w:r>
    </w:p>
    <w:p w14:paraId="7D85673A" w14:textId="77777777" w:rsidR="00E03650" w:rsidRPr="00180336" w:rsidRDefault="00E03650" w:rsidP="00E03650">
      <w:r w:rsidRPr="00180336">
        <w:t xml:space="preserve">Management Plan for the Snapper Grouper Fishery of the South Atlantic Region with Final </w:t>
      </w:r>
    </w:p>
    <w:p w14:paraId="01D6087F" w14:textId="77777777" w:rsidR="00E03650" w:rsidRPr="00180336" w:rsidRDefault="00E03650" w:rsidP="00E03650">
      <w:r w:rsidRPr="00180336">
        <w:t xml:space="preserve">Environmental </w:t>
      </w:r>
      <w:r>
        <w:t xml:space="preserve">Impact Statement with </w:t>
      </w:r>
      <w:r w:rsidRPr="00180336">
        <w:t xml:space="preserve">Regulatory Flexibility </w:t>
      </w:r>
      <w:r>
        <w:t xml:space="preserve">Act </w:t>
      </w:r>
      <w:r w:rsidRPr="00180336">
        <w:t xml:space="preserve">Analysis, Regulatory Impact Review, and Fishery Impact Statement.  South Atlantic Fishery Management Council, 4055 Faber Place Drive, Ste 201, Charleston, S.C. 29405. </w:t>
      </w:r>
    </w:p>
    <w:p w14:paraId="0B109D52" w14:textId="77777777" w:rsidR="00E03650" w:rsidRDefault="00E03650" w:rsidP="00E03650"/>
    <w:p w14:paraId="17701A93" w14:textId="77777777" w:rsidR="00E03650" w:rsidRPr="00180336" w:rsidRDefault="00E03650" w:rsidP="00E03650">
      <w:r w:rsidRPr="00180336">
        <w:t xml:space="preserve">SAFMC (South Atlantic Fishery Management Council).  2011d. Amendment 24 to the Fishery Management Plan for the Snapper Grouper Fishery of the South Atlantic Region.  South Atlantic Fishery Management Council, 4055 Faber Place Drive, Ste 201, Charleston, S.C. 29405.  </w:t>
      </w:r>
    </w:p>
    <w:p w14:paraId="42B84452" w14:textId="77777777" w:rsidR="00E03650" w:rsidRPr="00180336" w:rsidRDefault="00E03650" w:rsidP="00E03650"/>
    <w:p w14:paraId="3221E0F5" w14:textId="77777777" w:rsidR="00E03650" w:rsidRPr="00180336" w:rsidRDefault="00E03650" w:rsidP="00E03650">
      <w:r w:rsidRPr="00180336">
        <w:t xml:space="preserve">SAFMC (South Atlantic Fishery Management Council).  2012. Amendment 18B to the Fishery </w:t>
      </w:r>
    </w:p>
    <w:p w14:paraId="58BFED05" w14:textId="77777777" w:rsidR="00E03650" w:rsidRPr="00180336" w:rsidRDefault="00E03650" w:rsidP="00E03650">
      <w:r w:rsidRPr="00180336">
        <w:t xml:space="preserve">Management Plan for the Snapper Grouper Fishery of the South Atlantic Region with Final </w:t>
      </w:r>
    </w:p>
    <w:p w14:paraId="55F4C6BC" w14:textId="77777777" w:rsidR="00E03650" w:rsidRPr="00180336" w:rsidRDefault="00E03650" w:rsidP="00E03650">
      <w:r w:rsidRPr="00180336">
        <w:t xml:space="preserve">Environmental Assessment, Initial Regulatory Flexibility Analysis, Regulatory Impact Review, and Social Impact Assessment/Fishery Impact Statement.  South Atlantic Fishery Management Council, 4055 Faber Place Drive, Ste 201, Charleston, S.C. 29405. </w:t>
      </w:r>
    </w:p>
    <w:p w14:paraId="2A79060C" w14:textId="77777777" w:rsidR="00E03650" w:rsidRPr="00180336" w:rsidRDefault="00E03650" w:rsidP="00E03650"/>
    <w:p w14:paraId="7FE9B579" w14:textId="77777777" w:rsidR="00E03650" w:rsidRPr="00180336" w:rsidRDefault="00E03650" w:rsidP="00E03650">
      <w:r w:rsidRPr="00180336">
        <w:t>SAFMC (South Atlantic Fishery Management Council). 2013a. Regulatory Amendment 15 to the Fishery Management Plan for the Snapper Grouper Fishery of the South Atlantic Region . South Atlantic Fishery Management Council, 4055 Faber Place Drive, Ste 201, Charleston, S.C. 29405.</w:t>
      </w:r>
    </w:p>
    <w:p w14:paraId="43E3EF39" w14:textId="77777777" w:rsidR="00E03650" w:rsidRPr="00180336" w:rsidRDefault="00E03650" w:rsidP="00E03650"/>
    <w:p w14:paraId="1A5D38BF" w14:textId="77777777" w:rsidR="00E03650" w:rsidRPr="00180336" w:rsidRDefault="00E03650" w:rsidP="00E03650">
      <w:r w:rsidRPr="00180336">
        <w:t>SAFMC (South Atlantic Fishery Management Council). 2013b. Amendment 31 to the Fishery Management Plan for the Snapper Grouper Fishery of the South Atlantic Region with Final Environmental Assessment, Regulatory Flexibility Analysis, Regulatory Impact Review, and Social Impact Assessment/Fishery Impact Statement. South Atlantic Fishery Management Council, 4055 Faber Place Drive, Ste 201, Charleston, S.C. 29405.</w:t>
      </w:r>
    </w:p>
    <w:p w14:paraId="0556C577" w14:textId="77777777" w:rsidR="00E03650" w:rsidRPr="00180336" w:rsidRDefault="00E03650" w:rsidP="00E03650"/>
    <w:p w14:paraId="6CE2240B" w14:textId="77777777" w:rsidR="00E03650" w:rsidRPr="00180336" w:rsidRDefault="00E03650" w:rsidP="00E03650">
      <w:r w:rsidRPr="00180336">
        <w:t>SAFMC (South Atlantic Fishery Management Council). 2014. Regulatory Amendment 14 to the Fishery Management Plan for the Snapper Grouper Fishery of the South Atlantic Region with Final Environmental Assessment, Regulatory Flexibility Analysis, Regulatory Impact Review, and Social Impact Assessment/Fishery Impact Statement. South Atlantic Fishery Management Council, 4055 Faber Place Drive, Ste 201, Charleston, S.C. 29405.</w:t>
      </w:r>
    </w:p>
    <w:p w14:paraId="3A8DB494" w14:textId="77777777" w:rsidR="00E03650" w:rsidRPr="00180336" w:rsidRDefault="00E03650" w:rsidP="00E03650">
      <w:pPr>
        <w:autoSpaceDE w:val="0"/>
        <w:autoSpaceDN w:val="0"/>
        <w:adjustRightInd w:val="0"/>
      </w:pPr>
    </w:p>
    <w:p w14:paraId="695571E5" w14:textId="77777777" w:rsidR="00E03650" w:rsidRPr="00180336" w:rsidRDefault="00E03650" w:rsidP="00E03650">
      <w:pPr>
        <w:autoSpaceDE w:val="0"/>
        <w:autoSpaceDN w:val="0"/>
        <w:adjustRightInd w:val="0"/>
        <w:rPr>
          <w:color w:val="0000FF"/>
        </w:rPr>
      </w:pPr>
      <w:r w:rsidRPr="00180336">
        <w:rPr>
          <w:color w:val="000000"/>
        </w:rPr>
        <w:t xml:space="preserve">SEDAR 4. 2004. Stock Assessment Report 1. Stock assessment of the deep-water snappergrouper complex in the South Atlantic. Available from the SEDAR website: </w:t>
      </w:r>
      <w:hyperlink r:id="rId96" w:history="1">
        <w:r w:rsidRPr="00180336">
          <w:rPr>
            <w:rStyle w:val="Hyperlink"/>
          </w:rPr>
          <w:t>www.sefsc.noaa.gov/sedar/</w:t>
        </w:r>
      </w:hyperlink>
    </w:p>
    <w:p w14:paraId="0DFF601F" w14:textId="77777777" w:rsidR="00E03650" w:rsidRPr="00180336" w:rsidRDefault="00E03650" w:rsidP="00E03650">
      <w:pPr>
        <w:autoSpaceDE w:val="0"/>
        <w:autoSpaceDN w:val="0"/>
        <w:adjustRightInd w:val="0"/>
        <w:rPr>
          <w:color w:val="0000FF"/>
        </w:rPr>
      </w:pPr>
    </w:p>
    <w:p w14:paraId="19173764" w14:textId="77777777" w:rsidR="00E03650" w:rsidRPr="00180336" w:rsidRDefault="00E03650" w:rsidP="00E03650">
      <w:pPr>
        <w:autoSpaceDE w:val="0"/>
        <w:autoSpaceDN w:val="0"/>
        <w:adjustRightInd w:val="0"/>
        <w:rPr>
          <w:color w:val="0000FF"/>
        </w:rPr>
      </w:pPr>
      <w:r w:rsidRPr="00180336">
        <w:rPr>
          <w:color w:val="000000"/>
        </w:rPr>
        <w:t xml:space="preserve">SEDAR 10. 2006. Stock assessment of gag in the South Atlantic. Available from the SEDAR website: </w:t>
      </w:r>
      <w:hyperlink r:id="rId97" w:history="1">
        <w:r w:rsidRPr="00180336">
          <w:rPr>
            <w:rStyle w:val="Hyperlink"/>
          </w:rPr>
          <w:t>www.sefsc.noaa.gov/sedar/</w:t>
        </w:r>
      </w:hyperlink>
    </w:p>
    <w:p w14:paraId="2AB4BEA9" w14:textId="77777777" w:rsidR="00E03650" w:rsidRPr="00180336" w:rsidRDefault="00E03650" w:rsidP="00E03650">
      <w:pPr>
        <w:autoSpaceDE w:val="0"/>
        <w:autoSpaceDN w:val="0"/>
        <w:adjustRightInd w:val="0"/>
        <w:rPr>
          <w:color w:val="0000FF"/>
        </w:rPr>
      </w:pPr>
    </w:p>
    <w:p w14:paraId="7303303C" w14:textId="77777777" w:rsidR="00E03650" w:rsidRPr="00180336" w:rsidRDefault="00E03650" w:rsidP="00E03650">
      <w:r w:rsidRPr="00180336">
        <w:t xml:space="preserve">SEDAR 15A. 2008. South Atlantic and Gulf of Mexico mutton snapper stock assessment report. Southeast Data, Assessment, and Review. North Charleston, South Carolina. </w:t>
      </w:r>
      <w:hyperlink r:id="rId98" w:history="1">
        <w:r w:rsidRPr="00180336">
          <w:rPr>
            <w:rStyle w:val="Hyperlink"/>
          </w:rPr>
          <w:t>http://sedarweb.org/docs/sar/S15A%20SAR3%20MuttonSnapper%20FINALt.pdf</w:t>
        </w:r>
      </w:hyperlink>
      <w:r w:rsidRPr="00180336">
        <w:t xml:space="preserve"> </w:t>
      </w:r>
    </w:p>
    <w:p w14:paraId="5C5E5BA4" w14:textId="77777777" w:rsidR="00E03650" w:rsidRPr="00180336" w:rsidRDefault="00E03650" w:rsidP="00E03650"/>
    <w:p w14:paraId="2AEE8782" w14:textId="77777777" w:rsidR="00E03650" w:rsidRPr="00180336" w:rsidRDefault="00E03650" w:rsidP="00E03650">
      <w:r w:rsidRPr="00180336">
        <w:t xml:space="preserve">SEDAR 15A Update. 2015. South Atlantic and Gulf of Mexico mutton snapper stock update assessment report. Southeast Data, Assessment, and Review. North Charleston, South Carolina. </w:t>
      </w:r>
      <w:hyperlink r:id="rId99" w:history="1">
        <w:r w:rsidRPr="00180336">
          <w:rPr>
            <w:rStyle w:val="Hyperlink"/>
          </w:rPr>
          <w:t>http://sedarweb.org/docs/suar/SEDAR%20Update%20Stock%20Assessment%20of%20Mutton%20Snapper%202015_FINAL.pdf</w:t>
        </w:r>
      </w:hyperlink>
    </w:p>
    <w:p w14:paraId="1BD15368" w14:textId="77777777" w:rsidR="00E03650" w:rsidRPr="00180336" w:rsidRDefault="00E03650" w:rsidP="00E03650">
      <w:pPr>
        <w:autoSpaceDE w:val="0"/>
        <w:autoSpaceDN w:val="0"/>
        <w:adjustRightInd w:val="0"/>
        <w:rPr>
          <w:color w:val="000000"/>
        </w:rPr>
      </w:pPr>
    </w:p>
    <w:p w14:paraId="487973B4" w14:textId="77777777" w:rsidR="00E03650" w:rsidRPr="00180336" w:rsidRDefault="00E03650" w:rsidP="00E03650">
      <w:pPr>
        <w:autoSpaceDE w:val="0"/>
        <w:autoSpaceDN w:val="0"/>
        <w:adjustRightInd w:val="0"/>
        <w:rPr>
          <w:color w:val="0000FF"/>
        </w:rPr>
      </w:pPr>
      <w:r w:rsidRPr="00180336">
        <w:rPr>
          <w:color w:val="000000"/>
        </w:rPr>
        <w:t>SEDAR 17. 2008. South Atlantic Stock Assessment Report of Vermilion Snapper.</w:t>
      </w:r>
      <w:r w:rsidRPr="00180336">
        <w:t xml:space="preserve"> Southeast Data, Assessment, and Review. North Charleston, South Carolina.</w:t>
      </w:r>
      <w:r w:rsidRPr="00180336">
        <w:rPr>
          <w:color w:val="000000"/>
        </w:rPr>
        <w:t xml:space="preserve"> Available from the SEDAR website: </w:t>
      </w:r>
      <w:hyperlink r:id="rId100" w:history="1">
        <w:r w:rsidRPr="00180336">
          <w:rPr>
            <w:rStyle w:val="Hyperlink"/>
          </w:rPr>
          <w:t>www.sefsc.noaa.gov/sedar/</w:t>
        </w:r>
      </w:hyperlink>
    </w:p>
    <w:p w14:paraId="76589FB2" w14:textId="77777777" w:rsidR="00E03650" w:rsidRPr="00180336" w:rsidRDefault="00E03650" w:rsidP="00E03650">
      <w:pPr>
        <w:autoSpaceDE w:val="0"/>
        <w:autoSpaceDN w:val="0"/>
        <w:adjustRightInd w:val="0"/>
        <w:rPr>
          <w:color w:val="0000FF"/>
        </w:rPr>
      </w:pPr>
    </w:p>
    <w:p w14:paraId="40F371AA" w14:textId="77777777" w:rsidR="00E03650" w:rsidRPr="00180336" w:rsidRDefault="00E03650" w:rsidP="00E03650">
      <w:pPr>
        <w:autoSpaceDE w:val="0"/>
        <w:autoSpaceDN w:val="0"/>
        <w:adjustRightInd w:val="0"/>
        <w:rPr>
          <w:color w:val="0000FF"/>
        </w:rPr>
      </w:pPr>
      <w:r w:rsidRPr="00180336">
        <w:rPr>
          <w:color w:val="000000"/>
        </w:rPr>
        <w:t xml:space="preserve">SEDAR 17 Update Assessment. 2012. Stock Assessment of Vermilion Snapper off the southeastern U.S. Available from the SEDAR website: </w:t>
      </w:r>
      <w:hyperlink r:id="rId101" w:history="1">
        <w:r w:rsidRPr="00180336">
          <w:rPr>
            <w:rStyle w:val="Hyperlink"/>
          </w:rPr>
          <w:t>www.sefsc.noaa.gov/sedar/</w:t>
        </w:r>
      </w:hyperlink>
    </w:p>
    <w:p w14:paraId="565C664A" w14:textId="77777777" w:rsidR="00E03650" w:rsidRPr="00180336" w:rsidRDefault="00E03650" w:rsidP="00E03650">
      <w:pPr>
        <w:autoSpaceDE w:val="0"/>
        <w:autoSpaceDN w:val="0"/>
        <w:adjustRightInd w:val="0"/>
        <w:rPr>
          <w:color w:val="0000FF"/>
        </w:rPr>
      </w:pPr>
    </w:p>
    <w:p w14:paraId="31CD156D" w14:textId="77777777" w:rsidR="00E03650" w:rsidRPr="00180336" w:rsidRDefault="00E03650" w:rsidP="00E03650">
      <w:pPr>
        <w:autoSpaceDE w:val="0"/>
        <w:autoSpaceDN w:val="0"/>
        <w:adjustRightInd w:val="0"/>
        <w:rPr>
          <w:color w:val="0000FF"/>
        </w:rPr>
      </w:pPr>
      <w:r w:rsidRPr="00180336">
        <w:rPr>
          <w:color w:val="000000"/>
        </w:rPr>
        <w:t xml:space="preserve">SEDAR 19. 2010. Stock Assessment Report 1 (South Atlantic and Gulf of Mexico Black Grouper); and Stock Assessment Report 2 (South Atlantic Red Grouper). Available from the SEDAR website: </w:t>
      </w:r>
      <w:hyperlink r:id="rId102" w:history="1">
        <w:r w:rsidRPr="00180336">
          <w:rPr>
            <w:rStyle w:val="Hyperlink"/>
          </w:rPr>
          <w:t>www.sefsc.noaa.gov/sedar/</w:t>
        </w:r>
      </w:hyperlink>
    </w:p>
    <w:p w14:paraId="23BBC9B2" w14:textId="77777777" w:rsidR="00E03650" w:rsidRPr="00180336" w:rsidRDefault="00E03650" w:rsidP="00E03650">
      <w:pPr>
        <w:autoSpaceDE w:val="0"/>
        <w:autoSpaceDN w:val="0"/>
        <w:adjustRightInd w:val="0"/>
        <w:rPr>
          <w:color w:val="0000FF"/>
        </w:rPr>
      </w:pPr>
    </w:p>
    <w:p w14:paraId="763575FF" w14:textId="77777777" w:rsidR="00E03650" w:rsidRPr="00180336" w:rsidRDefault="00E03650" w:rsidP="00E03650">
      <w:pPr>
        <w:autoSpaceDE w:val="0"/>
        <w:autoSpaceDN w:val="0"/>
        <w:adjustRightInd w:val="0"/>
        <w:rPr>
          <w:color w:val="0000FF"/>
        </w:rPr>
      </w:pPr>
      <w:r w:rsidRPr="00180336">
        <w:rPr>
          <w:color w:val="000000"/>
        </w:rPr>
        <w:t xml:space="preserve">SEDAR 24. 2010. Stock Assessment Report. South Atlantic Red Snapper. Available from the SEDAR website: </w:t>
      </w:r>
      <w:hyperlink r:id="rId103" w:history="1">
        <w:r w:rsidRPr="00180336">
          <w:rPr>
            <w:rStyle w:val="Hyperlink"/>
          </w:rPr>
          <w:t>www.sefsc.noaa.gov/sedar/</w:t>
        </w:r>
      </w:hyperlink>
    </w:p>
    <w:p w14:paraId="7BFCAAA6" w14:textId="77777777" w:rsidR="00E03650" w:rsidRPr="00180336" w:rsidRDefault="00E03650" w:rsidP="00E03650">
      <w:pPr>
        <w:autoSpaceDE w:val="0"/>
        <w:autoSpaceDN w:val="0"/>
        <w:adjustRightInd w:val="0"/>
        <w:rPr>
          <w:color w:val="0000FF"/>
        </w:rPr>
      </w:pPr>
    </w:p>
    <w:p w14:paraId="272B9B9E" w14:textId="77777777" w:rsidR="00E03650" w:rsidRPr="00180336" w:rsidRDefault="00E03650" w:rsidP="00E03650">
      <w:pPr>
        <w:autoSpaceDE w:val="0"/>
        <w:autoSpaceDN w:val="0"/>
        <w:adjustRightInd w:val="0"/>
        <w:rPr>
          <w:color w:val="0000FF"/>
        </w:rPr>
      </w:pPr>
      <w:r w:rsidRPr="00180336">
        <w:rPr>
          <w:color w:val="000000"/>
        </w:rPr>
        <w:t xml:space="preserve">SEDAR 25. 2011. Stock Assessment Report. South Atlantic Black Sea Bass. Available from the SEDAR website: </w:t>
      </w:r>
      <w:hyperlink r:id="rId104" w:history="1">
        <w:r w:rsidRPr="00180336">
          <w:rPr>
            <w:rStyle w:val="Hyperlink"/>
          </w:rPr>
          <w:t>www.sefsc.noaa.gov/sedar/</w:t>
        </w:r>
      </w:hyperlink>
    </w:p>
    <w:p w14:paraId="4EFDB2DF" w14:textId="77777777" w:rsidR="00E03650" w:rsidRPr="00180336" w:rsidRDefault="00E03650" w:rsidP="00E03650">
      <w:pPr>
        <w:autoSpaceDE w:val="0"/>
        <w:autoSpaceDN w:val="0"/>
        <w:adjustRightInd w:val="0"/>
        <w:rPr>
          <w:color w:val="0000FF"/>
        </w:rPr>
      </w:pPr>
    </w:p>
    <w:p w14:paraId="75C3F0DF" w14:textId="77777777" w:rsidR="00E03650" w:rsidRPr="00180336" w:rsidRDefault="00E03650" w:rsidP="00E03650">
      <w:pPr>
        <w:autoSpaceDE w:val="0"/>
        <w:autoSpaceDN w:val="0"/>
        <w:adjustRightInd w:val="0"/>
        <w:rPr>
          <w:color w:val="0000FF"/>
        </w:rPr>
      </w:pPr>
      <w:r w:rsidRPr="00180336">
        <w:rPr>
          <w:color w:val="000000"/>
        </w:rPr>
        <w:t xml:space="preserve">SEDAR Update. 2012. Stock Assessment Update Report. South Atlantic Red Porgy. Available from the SEDAR website: </w:t>
      </w:r>
      <w:hyperlink r:id="rId105" w:history="1">
        <w:r w:rsidRPr="00180336">
          <w:rPr>
            <w:rStyle w:val="Hyperlink"/>
          </w:rPr>
          <w:t>www.sefsc.noaa.gov/sedar/</w:t>
        </w:r>
      </w:hyperlink>
    </w:p>
    <w:p w14:paraId="78FC8F5F" w14:textId="77777777" w:rsidR="00E03650" w:rsidRPr="00180336" w:rsidRDefault="00E03650" w:rsidP="00E03650">
      <w:pPr>
        <w:autoSpaceDE w:val="0"/>
        <w:autoSpaceDN w:val="0"/>
        <w:adjustRightInd w:val="0"/>
        <w:rPr>
          <w:color w:val="0000FF"/>
        </w:rPr>
      </w:pPr>
    </w:p>
    <w:p w14:paraId="0C15332A" w14:textId="77777777" w:rsidR="00E03650" w:rsidRPr="00180336" w:rsidRDefault="00E03650" w:rsidP="00E03650">
      <w:pPr>
        <w:autoSpaceDE w:val="0"/>
        <w:autoSpaceDN w:val="0"/>
        <w:adjustRightInd w:val="0"/>
        <w:rPr>
          <w:color w:val="0000FF"/>
        </w:rPr>
      </w:pPr>
      <w:r w:rsidRPr="00180336">
        <w:rPr>
          <w:color w:val="000000"/>
        </w:rPr>
        <w:t xml:space="preserve">SEDAR 32. 2013. Stock Assessment Report. South Atlantic Blueline Tilefish. Available from the SEDAR website: </w:t>
      </w:r>
      <w:hyperlink r:id="rId106" w:history="1">
        <w:r w:rsidRPr="00180336">
          <w:rPr>
            <w:rStyle w:val="Hyperlink"/>
          </w:rPr>
          <w:t>www.sefsc.noaa.gov/sedar/</w:t>
        </w:r>
      </w:hyperlink>
    </w:p>
    <w:p w14:paraId="24588B48" w14:textId="77777777" w:rsidR="00E03650" w:rsidRPr="00180336" w:rsidRDefault="00E03650" w:rsidP="00E03650">
      <w:pPr>
        <w:autoSpaceDE w:val="0"/>
        <w:autoSpaceDN w:val="0"/>
        <w:adjustRightInd w:val="0"/>
        <w:rPr>
          <w:color w:val="0000FF"/>
        </w:rPr>
      </w:pPr>
    </w:p>
    <w:p w14:paraId="73E40565" w14:textId="77777777" w:rsidR="00E03650" w:rsidRPr="00180336" w:rsidRDefault="00E03650" w:rsidP="00E03650">
      <w:r w:rsidRPr="00180336">
        <w:t>Van Voorhees, D., J.W. Schlechte, D.M. Donaldson, T.R. Sminkey, K.J. Anson, J.R. O’Hop, M.D.B. Norris, J.A. Shepard, T. Van Devender, and R.F. Zales, II.  2000.  The new Marine Fisheries Statistics Survey method for estimating charter boat fishing effort.  Abstracts of the 53rd Annual Meeting of the Gulf and Caribbean Fisheries Institute.</w:t>
      </w:r>
    </w:p>
    <w:p w14:paraId="0DAFF565" w14:textId="77777777" w:rsidR="00E03650" w:rsidRPr="00AD6745" w:rsidRDefault="00E03650" w:rsidP="00E03650"/>
    <w:p w14:paraId="3EF51265" w14:textId="6120311F" w:rsidR="003E5656" w:rsidRPr="00F71004" w:rsidRDefault="003E5656" w:rsidP="003E5656"/>
    <w:p w14:paraId="72D71EDB" w14:textId="77777777" w:rsidR="003E5656" w:rsidRDefault="003E5656" w:rsidP="003E5656">
      <w:pPr>
        <w:sectPr w:rsidR="003E5656" w:rsidSect="001129C8">
          <w:footerReference w:type="default" r:id="rId107"/>
          <w:pgSz w:w="12240" w:h="15840" w:code="1"/>
          <w:pgMar w:top="1440" w:right="1440" w:bottom="1440" w:left="1440" w:header="720" w:footer="720" w:gutter="0"/>
          <w:pgNumType w:chapStyle="1"/>
          <w:cols w:space="720"/>
          <w:docGrid w:linePitch="360"/>
        </w:sectPr>
      </w:pPr>
    </w:p>
    <w:p w14:paraId="447CA143" w14:textId="15DB76EA" w:rsidR="00E760C3" w:rsidRPr="00155B9C" w:rsidRDefault="002B3E29" w:rsidP="00D71AB1">
      <w:pPr>
        <w:pStyle w:val="Heading1"/>
        <w:rPr>
          <w:rFonts w:ascii="Times New Roman" w:hAnsi="Times New Roman" w:cs="Times New Roman"/>
          <w:color w:val="548DD4"/>
          <w:sz w:val="56"/>
          <w:szCs w:val="56"/>
        </w:rPr>
      </w:pPr>
      <w:bookmarkStart w:id="402" w:name="_Toc339811834"/>
      <w:r>
        <w:rPr>
          <w:rFonts w:ascii="Times New Roman" w:hAnsi="Times New Roman" w:cs="Times New Roman"/>
          <w:color w:val="8DB3E2"/>
          <w:sz w:val="36"/>
          <w:szCs w:val="36"/>
        </w:rPr>
        <w:lastRenderedPageBreak/>
        <w:t xml:space="preserve">Appendix </w:t>
      </w:r>
      <w:r w:rsidR="00717820">
        <w:rPr>
          <w:rFonts w:ascii="Times New Roman" w:hAnsi="Times New Roman" w:cs="Times New Roman"/>
          <w:color w:val="8DB3E2"/>
          <w:sz w:val="36"/>
          <w:szCs w:val="36"/>
        </w:rPr>
        <w:t>E</w:t>
      </w:r>
      <w:r w:rsidRPr="00532ABB">
        <w:rPr>
          <w:rFonts w:ascii="Times New Roman" w:hAnsi="Times New Roman" w:cs="Times New Roman"/>
          <w:color w:val="8DB3E2"/>
          <w:sz w:val="36"/>
          <w:szCs w:val="36"/>
        </w:rPr>
        <w:t>.</w:t>
      </w:r>
      <w:r w:rsidRPr="00532ABB">
        <w:rPr>
          <w:rFonts w:ascii="Times New Roman" w:hAnsi="Times New Roman" w:cs="Times New Roman"/>
          <w:color w:val="548DD4"/>
          <w:sz w:val="56"/>
          <w:szCs w:val="56"/>
        </w:rPr>
        <w:t xml:space="preserve">  </w:t>
      </w:r>
      <w:r w:rsidRPr="003061E9">
        <w:rPr>
          <w:rFonts w:ascii="Times New Roman" w:hAnsi="Times New Roman" w:cs="Times New Roman"/>
          <w:color w:val="548DD4"/>
          <w:sz w:val="48"/>
          <w:szCs w:val="48"/>
        </w:rPr>
        <w:t>Regulatory Impact Review</w:t>
      </w:r>
      <w:bookmarkEnd w:id="400"/>
      <w:bookmarkEnd w:id="401"/>
      <w:bookmarkEnd w:id="402"/>
    </w:p>
    <w:p w14:paraId="1C43D237" w14:textId="77777777" w:rsidR="0017360D" w:rsidRDefault="0017360D" w:rsidP="0017360D">
      <w:pPr>
        <w:rPr>
          <w:b/>
          <w:color w:val="365F91" w:themeColor="accent1" w:themeShade="BF"/>
          <w:sz w:val="32"/>
          <w:szCs w:val="32"/>
        </w:rPr>
      </w:pPr>
      <w:bookmarkStart w:id="403" w:name="_Toc280789732"/>
      <w:bookmarkStart w:id="404" w:name="_Toc320010861"/>
      <w:bookmarkStart w:id="405" w:name="_Toc350432261"/>
      <w:bookmarkStart w:id="406" w:name="_Toc361040035"/>
      <w:bookmarkStart w:id="407" w:name="_Toc363119423"/>
      <w:bookmarkStart w:id="408" w:name="_Toc386199864"/>
      <w:bookmarkStart w:id="409" w:name="_Toc400358730"/>
      <w:bookmarkStart w:id="410" w:name="_Toc405909974"/>
    </w:p>
    <w:bookmarkEnd w:id="403"/>
    <w:bookmarkEnd w:id="404"/>
    <w:bookmarkEnd w:id="405"/>
    <w:bookmarkEnd w:id="406"/>
    <w:bookmarkEnd w:id="407"/>
    <w:bookmarkEnd w:id="408"/>
    <w:bookmarkEnd w:id="409"/>
    <w:bookmarkEnd w:id="410"/>
    <w:p w14:paraId="4593836F" w14:textId="2B0950E6" w:rsidR="0017360D" w:rsidRPr="00A9429B" w:rsidRDefault="0017360D" w:rsidP="0017360D"/>
    <w:p w14:paraId="47261D6E" w14:textId="183B9644" w:rsidR="0017360D" w:rsidRPr="00EC2B1C" w:rsidRDefault="00D06628" w:rsidP="0017360D">
      <w:r w:rsidRPr="00D06628">
        <w:rPr>
          <w:highlight w:val="yellow"/>
        </w:rPr>
        <w:t>To be completed</w:t>
      </w:r>
    </w:p>
    <w:p w14:paraId="7C434F31" w14:textId="77777777" w:rsidR="00155B9C" w:rsidRDefault="00155B9C" w:rsidP="00D71AB1"/>
    <w:p w14:paraId="3D42126C" w14:textId="77777777" w:rsidR="00155B9C" w:rsidRDefault="00155B9C" w:rsidP="00D71AB1"/>
    <w:p w14:paraId="5FCA4CC1" w14:textId="77777777" w:rsidR="00C3720F" w:rsidRPr="00155B9C" w:rsidRDefault="00C3720F" w:rsidP="00D71AB1">
      <w:pPr>
        <w:sectPr w:rsidR="00C3720F" w:rsidRPr="00155B9C" w:rsidSect="0038545E">
          <w:footerReference w:type="default" r:id="rId108"/>
          <w:pgSz w:w="12240" w:h="15840" w:code="1"/>
          <w:pgMar w:top="1440" w:right="1440" w:bottom="1440" w:left="1440" w:header="720" w:footer="720" w:gutter="0"/>
          <w:pgNumType w:start="1" w:chapStyle="1"/>
          <w:cols w:space="720"/>
          <w:docGrid w:linePitch="360"/>
        </w:sectPr>
      </w:pPr>
    </w:p>
    <w:p w14:paraId="1A6AC941" w14:textId="77777777" w:rsidR="00B322B7" w:rsidRPr="00BE4012" w:rsidRDefault="00B322B7" w:rsidP="00BE4012">
      <w:pPr>
        <w:pStyle w:val="Heading1"/>
        <w:rPr>
          <w:rFonts w:ascii="Times New Roman" w:hAnsi="Times New Roman" w:cs="Times New Roman"/>
          <w:color w:val="8DB3E2"/>
          <w:sz w:val="48"/>
          <w:szCs w:val="48"/>
        </w:rPr>
      </w:pPr>
      <w:bookmarkStart w:id="411" w:name="_Toc339811835"/>
      <w:bookmarkStart w:id="412" w:name="_Toc361410438"/>
      <w:bookmarkStart w:id="413" w:name="_Toc374615725"/>
      <w:bookmarkStart w:id="414" w:name="_Toc328123768"/>
      <w:bookmarkStart w:id="415" w:name="_Toc332452821"/>
      <w:bookmarkStart w:id="416" w:name="_Toc361410439"/>
      <w:bookmarkStart w:id="417" w:name="_Toc374615734"/>
      <w:r w:rsidRPr="00BE4012">
        <w:rPr>
          <w:rFonts w:ascii="Times New Roman" w:hAnsi="Times New Roman" w:cs="Times New Roman"/>
          <w:color w:val="8DB3E2"/>
          <w:sz w:val="36"/>
          <w:szCs w:val="36"/>
        </w:rPr>
        <w:lastRenderedPageBreak/>
        <w:t xml:space="preserve">Appendix F.  </w:t>
      </w:r>
      <w:r w:rsidRPr="00BE4012">
        <w:rPr>
          <w:rFonts w:ascii="Times New Roman" w:hAnsi="Times New Roman" w:cs="Times New Roman"/>
          <w:color w:val="548DD4" w:themeColor="text2" w:themeTint="99"/>
          <w:sz w:val="48"/>
          <w:szCs w:val="48"/>
        </w:rPr>
        <w:t>Regulatory Flexibility Analysis</w:t>
      </w:r>
      <w:bookmarkEnd w:id="411"/>
    </w:p>
    <w:p w14:paraId="0DB77006" w14:textId="77777777" w:rsidR="00B322B7" w:rsidRPr="00BE4012" w:rsidRDefault="00B322B7" w:rsidP="00BE4012">
      <w:bookmarkStart w:id="418" w:name="_Toc370217373"/>
      <w:bookmarkEnd w:id="412"/>
      <w:bookmarkEnd w:id="413"/>
      <w:bookmarkEnd w:id="414"/>
      <w:bookmarkEnd w:id="415"/>
    </w:p>
    <w:p w14:paraId="51514C81" w14:textId="77777777" w:rsidR="00B322B7" w:rsidRPr="00B322B7" w:rsidRDefault="00B322B7" w:rsidP="00B322B7">
      <w:pPr>
        <w:rPr>
          <w:rFonts w:ascii="Arial" w:eastAsiaTheme="majorEastAsia" w:hAnsi="Arial" w:cs="Arial"/>
          <w:b/>
          <w:sz w:val="28"/>
          <w:szCs w:val="28"/>
        </w:rPr>
      </w:pPr>
      <w:r w:rsidRPr="00B322B7">
        <w:rPr>
          <w:rFonts w:ascii="Arial" w:eastAsiaTheme="majorEastAsia" w:hAnsi="Arial" w:cs="Arial"/>
          <w:b/>
          <w:sz w:val="28"/>
          <w:szCs w:val="28"/>
        </w:rPr>
        <w:t>Introduction</w:t>
      </w:r>
      <w:bookmarkEnd w:id="418"/>
    </w:p>
    <w:p w14:paraId="36F0BECA" w14:textId="77777777" w:rsidR="00B322B7" w:rsidRDefault="00B322B7" w:rsidP="00B322B7">
      <w:pPr>
        <w:ind w:firstLine="360"/>
        <w:jc w:val="both"/>
        <w:rPr>
          <w:rFonts w:eastAsia="Calibri"/>
        </w:rPr>
      </w:pPr>
    </w:p>
    <w:p w14:paraId="4CD421A0" w14:textId="77777777" w:rsidR="00B322B7" w:rsidRPr="00A750E4" w:rsidRDefault="00B322B7" w:rsidP="00BE4012">
      <w:pPr>
        <w:ind w:firstLine="360"/>
        <w:rPr>
          <w:rFonts w:eastAsia="Calibri"/>
        </w:rPr>
      </w:pPr>
      <w:r w:rsidRPr="00A750E4">
        <w:rPr>
          <w:rFonts w:eastAsia="Calibri"/>
        </w:rPr>
        <w:t>The purpose of the Regulatory Flexibility Act (RFA) is to establish a principle of regulatory issuance that agencies shall endeavor, consistent with the objectives of the rule and applicable statutes, to fit regulatory and informational requirements to the scale of businesses, organizations, and governmental jurisdictions subject to regulation.  To achieve this principle, agencies are required to solicit and consider flexible regulatory proposals and to explain the rationale for their actions to assure that such proposals are given serious consideration.  The RFA does not contain any decision criteria; instead, the purpose of the RFA is to inform the agency, as well as the public, of the expected economic impacts of the alternatives contained in the FMP or amendment (including framework management measures and other regulatory actions) and to ensure that the agency considers alternatives that minimize the expected impacts while meeting the goals and objectives of the FMP and applicable statutes.</w:t>
      </w:r>
    </w:p>
    <w:p w14:paraId="011AD397" w14:textId="77777777" w:rsidR="00B322B7" w:rsidRPr="00A750E4" w:rsidRDefault="00B322B7" w:rsidP="00BE4012"/>
    <w:p w14:paraId="7D3400DF" w14:textId="77777777" w:rsidR="00B322B7" w:rsidRDefault="00B322B7" w:rsidP="00BE4012">
      <w:pPr>
        <w:ind w:firstLine="360"/>
        <w:rPr>
          <w:rFonts w:eastAsia="Calibri"/>
        </w:rPr>
      </w:pPr>
      <w:r w:rsidRPr="00A750E4">
        <w:rPr>
          <w:rFonts w:eastAsia="Calibri"/>
        </w:rPr>
        <w:t>With certain exceptions, the RFA requires agencies to conduct a regulatory flexibility analysis for each proposed rule.  The regulatory flexibility analysis is designed to assess the impacts various regulatory alternatives would have on small entities, including small businesses, and to determine ways to minimize those impacts.  The following regulatory flexibility analysis was conducted to determine if the proposed rule would have a significant economic impact on a substantial number of small entities or not.</w:t>
      </w:r>
    </w:p>
    <w:p w14:paraId="4F1273FB" w14:textId="77777777" w:rsidR="00B322B7" w:rsidRPr="00A750E4" w:rsidRDefault="00B322B7" w:rsidP="00B322B7">
      <w:pPr>
        <w:jc w:val="both"/>
        <w:rPr>
          <w:rFonts w:eastAsia="Calibri"/>
        </w:rPr>
      </w:pPr>
    </w:p>
    <w:p w14:paraId="11F84B10" w14:textId="77777777" w:rsidR="00B322B7" w:rsidRPr="00B322B7" w:rsidRDefault="00B322B7" w:rsidP="00B322B7">
      <w:pPr>
        <w:rPr>
          <w:rFonts w:ascii="Arial" w:eastAsiaTheme="majorEastAsia" w:hAnsi="Arial" w:cs="Arial"/>
          <w:b/>
          <w:sz w:val="28"/>
          <w:szCs w:val="28"/>
        </w:rPr>
      </w:pPr>
      <w:bookmarkStart w:id="419" w:name="_Toc370217374"/>
      <w:r w:rsidRPr="00B322B7">
        <w:rPr>
          <w:rFonts w:ascii="Arial" w:eastAsiaTheme="majorEastAsia" w:hAnsi="Arial" w:cs="Arial"/>
          <w:b/>
          <w:sz w:val="28"/>
          <w:szCs w:val="28"/>
        </w:rPr>
        <w:t>Statement of the need for, objective of, and legal basis for the proposed rule</w:t>
      </w:r>
      <w:bookmarkEnd w:id="419"/>
    </w:p>
    <w:p w14:paraId="7D646758" w14:textId="77777777" w:rsidR="00B322B7" w:rsidRPr="00A750E4" w:rsidRDefault="00B322B7" w:rsidP="00B322B7">
      <w:pPr>
        <w:rPr>
          <w:rFonts w:eastAsia="Calibri"/>
        </w:rPr>
      </w:pPr>
    </w:p>
    <w:p w14:paraId="0FDDA690" w14:textId="77777777" w:rsidR="00B322B7" w:rsidRPr="00A750E4" w:rsidRDefault="00B322B7" w:rsidP="00B322B7">
      <w:pPr>
        <w:ind w:firstLine="360"/>
        <w:rPr>
          <w:rFonts w:eastAsia="Calibri"/>
        </w:rPr>
      </w:pPr>
      <w:r w:rsidRPr="00A750E4">
        <w:rPr>
          <w:rFonts w:eastAsia="Calibri"/>
        </w:rPr>
        <w:t xml:space="preserve">The primary purpose and need, issues, problems, and objectives of the proposed action are presented in </w:t>
      </w:r>
      <w:r w:rsidRPr="00BE4012">
        <w:rPr>
          <w:rFonts w:eastAsia="Calibri"/>
          <w:b/>
        </w:rPr>
        <w:t>Section 1.2</w:t>
      </w:r>
      <w:r w:rsidRPr="00A750E4">
        <w:rPr>
          <w:rFonts w:eastAsia="Calibri"/>
        </w:rPr>
        <w:t xml:space="preserve"> and are incorporated herein by reference.  </w:t>
      </w:r>
    </w:p>
    <w:p w14:paraId="454BA513" w14:textId="77777777" w:rsidR="00B322B7" w:rsidRPr="00A750E4" w:rsidRDefault="00B322B7" w:rsidP="00B322B7">
      <w:pPr>
        <w:rPr>
          <w:rFonts w:eastAsia="Calibri"/>
        </w:rPr>
      </w:pPr>
    </w:p>
    <w:p w14:paraId="02089DAD" w14:textId="77777777" w:rsidR="00B322B7" w:rsidRPr="00B322B7" w:rsidRDefault="00B322B7" w:rsidP="00B322B7">
      <w:pPr>
        <w:rPr>
          <w:rFonts w:ascii="Arial" w:eastAsiaTheme="majorEastAsia" w:hAnsi="Arial" w:cs="Arial"/>
          <w:b/>
          <w:sz w:val="28"/>
          <w:szCs w:val="28"/>
        </w:rPr>
      </w:pPr>
      <w:bookmarkStart w:id="420" w:name="_Toc370217375"/>
      <w:r w:rsidRPr="00B322B7">
        <w:rPr>
          <w:rFonts w:ascii="Arial" w:eastAsiaTheme="majorEastAsia" w:hAnsi="Arial" w:cs="Arial"/>
          <w:b/>
          <w:sz w:val="28"/>
          <w:szCs w:val="28"/>
        </w:rPr>
        <w:t>Identification of federal rules which may duplicate, overlap or conflict with the proposed rule</w:t>
      </w:r>
      <w:bookmarkEnd w:id="420"/>
    </w:p>
    <w:p w14:paraId="1F95AC2C" w14:textId="77777777" w:rsidR="00B322B7" w:rsidRPr="00A750E4" w:rsidRDefault="00B322B7" w:rsidP="00B322B7">
      <w:pPr>
        <w:rPr>
          <w:rFonts w:eastAsia="Calibri"/>
        </w:rPr>
      </w:pPr>
    </w:p>
    <w:p w14:paraId="4BFAE1E9" w14:textId="77777777" w:rsidR="00B322B7" w:rsidRPr="00A750E4" w:rsidRDefault="00B322B7" w:rsidP="00B322B7">
      <w:pPr>
        <w:ind w:firstLine="360"/>
        <w:rPr>
          <w:rFonts w:eastAsia="Calibri"/>
        </w:rPr>
      </w:pPr>
      <w:r w:rsidRPr="00A750E4">
        <w:rPr>
          <w:rFonts w:eastAsia="Calibri"/>
        </w:rPr>
        <w:t>No federal rules have been identified that duplicate, overlap or conflict with the proposed rule.</w:t>
      </w:r>
    </w:p>
    <w:p w14:paraId="72B994E3" w14:textId="77777777" w:rsidR="00B322B7" w:rsidRPr="00A750E4" w:rsidRDefault="00B322B7" w:rsidP="00B322B7">
      <w:pPr>
        <w:rPr>
          <w:rFonts w:eastAsia="Calibri"/>
        </w:rPr>
      </w:pPr>
    </w:p>
    <w:p w14:paraId="5491C239" w14:textId="77777777" w:rsidR="00B322B7" w:rsidRPr="00B322B7" w:rsidRDefault="00B322B7" w:rsidP="00B322B7">
      <w:pPr>
        <w:rPr>
          <w:rFonts w:ascii="Arial" w:eastAsiaTheme="majorEastAsia" w:hAnsi="Arial" w:cs="Arial"/>
          <w:b/>
          <w:sz w:val="28"/>
          <w:szCs w:val="28"/>
        </w:rPr>
      </w:pPr>
      <w:bookmarkStart w:id="421" w:name="_Toc370217376"/>
      <w:r w:rsidRPr="00B322B7">
        <w:rPr>
          <w:rFonts w:ascii="Arial" w:eastAsiaTheme="majorEastAsia" w:hAnsi="Arial" w:cs="Arial"/>
          <w:b/>
          <w:sz w:val="28"/>
          <w:szCs w:val="28"/>
        </w:rPr>
        <w:t>Description and estimate of the number of small entities to which the proposed action would apply</w:t>
      </w:r>
      <w:bookmarkEnd w:id="421"/>
    </w:p>
    <w:p w14:paraId="76D4E4FD" w14:textId="77777777" w:rsidR="00B322B7" w:rsidRDefault="00B322B7" w:rsidP="00B322B7">
      <w:pPr>
        <w:ind w:firstLine="360"/>
      </w:pPr>
    </w:p>
    <w:p w14:paraId="6061A768" w14:textId="77777777" w:rsidR="00B322B7" w:rsidRPr="00A750E4" w:rsidRDefault="00B322B7" w:rsidP="00B322B7">
      <w:pPr>
        <w:ind w:firstLine="360"/>
        <w:rPr>
          <w:rFonts w:eastAsia="Calibri"/>
        </w:rPr>
      </w:pPr>
      <w:r>
        <w:t>This rule concerns commercial and recreational fishing for mutton snapper in the South Atlantic EEZ.  A</w:t>
      </w:r>
      <w:r w:rsidRPr="00A750E4">
        <w:rPr>
          <w:rFonts w:eastAsia="Calibri"/>
        </w:rPr>
        <w:t>nglers are not considered small entities as that term is defined in 5 U.S.C. 601(6), whether fishing from for-hire fishing, private or leased vessels</w:t>
      </w:r>
      <w:r>
        <w:rPr>
          <w:rFonts w:eastAsia="Calibri"/>
        </w:rPr>
        <w:t>.  Therefore, an estimate of the number of anglers directly affected by the rule is not provided here</w:t>
      </w:r>
      <w:r w:rsidRPr="00A750E4">
        <w:rPr>
          <w:rFonts w:eastAsia="Calibri"/>
        </w:rPr>
        <w:t xml:space="preserve">.  </w:t>
      </w:r>
    </w:p>
    <w:p w14:paraId="1D603765" w14:textId="77777777" w:rsidR="00B322B7" w:rsidRPr="00A750E4" w:rsidRDefault="00B322B7" w:rsidP="00B322B7">
      <w:pPr>
        <w:rPr>
          <w:rFonts w:eastAsia="Calibri"/>
        </w:rPr>
      </w:pPr>
    </w:p>
    <w:p w14:paraId="0F39E5C7" w14:textId="77777777" w:rsidR="00B322B7" w:rsidRDefault="00B322B7" w:rsidP="00B322B7">
      <w:pPr>
        <w:ind w:firstLine="360"/>
      </w:pPr>
      <w:r w:rsidRPr="00A750E4">
        <w:rPr>
          <w:rFonts w:eastAsia="Calibri"/>
        </w:rPr>
        <w:lastRenderedPageBreak/>
        <w:t xml:space="preserve">The rule would directly apply to businesses </w:t>
      </w:r>
      <w:r>
        <w:rPr>
          <w:rFonts w:eastAsia="Calibri"/>
        </w:rPr>
        <w:t xml:space="preserve">that operate commercial fishing vessels that harvest mutton snapper in the South Atlantic </w:t>
      </w:r>
      <w:r w:rsidRPr="00A750E4">
        <w:rPr>
          <w:rFonts w:eastAsia="Calibri"/>
        </w:rPr>
        <w:t xml:space="preserve">EEZ.  </w:t>
      </w:r>
      <w:r w:rsidRPr="008B7304">
        <w:t xml:space="preserve">Any commercial fishing vessel that harvests </w:t>
      </w:r>
      <w:r>
        <w:t>mutton snapper or any other species or species group of</w:t>
      </w:r>
      <w:r w:rsidRPr="0067026A">
        <w:t xml:space="preserve"> the snapper grouper fishery </w:t>
      </w:r>
      <w:r>
        <w:t xml:space="preserve">in the South Atlantic EEZ </w:t>
      </w:r>
      <w:r w:rsidRPr="0067026A">
        <w:t>must have a valid commercial snapper grouper permit</w:t>
      </w:r>
      <w:r>
        <w:t xml:space="preserve"> that is specifically assigned to that vessel.  The permit </w:t>
      </w:r>
      <w:r w:rsidRPr="0067026A">
        <w:t xml:space="preserve">is a limited access permit for either an unlimited quantity of pounds </w:t>
      </w:r>
      <w:r>
        <w:t xml:space="preserve">(of most species within the fishery) </w:t>
      </w:r>
      <w:r w:rsidRPr="0067026A">
        <w:t xml:space="preserve">per trip or no more than 225 pounds per trip.  </w:t>
      </w:r>
    </w:p>
    <w:p w14:paraId="3B30ACBB" w14:textId="77777777" w:rsidR="00B322B7" w:rsidRDefault="00B322B7" w:rsidP="00B322B7">
      <w:pPr>
        <w:ind w:firstLine="360"/>
      </w:pPr>
    </w:p>
    <w:p w14:paraId="555F4691" w14:textId="77777777" w:rsidR="00B322B7" w:rsidRDefault="00B322B7" w:rsidP="00B322B7">
      <w:pPr>
        <w:ind w:firstLine="360"/>
      </w:pPr>
      <w:r>
        <w:t>As of September 12, 2016, there are 525 valid unlimited and 104 valid 225-lb permits.  If all of the permits that are currently not valid but are renewable are included, there would be 551 unlimited and 114 225-lb permits representing a total of 665 commercial fishing vessels that may be directly affected by the rule.  Approximately 71% of the permits (and vessels) are owned by Florida residents.</w:t>
      </w:r>
    </w:p>
    <w:p w14:paraId="43231133" w14:textId="77777777" w:rsidR="00B322B7" w:rsidRDefault="00B322B7" w:rsidP="00B322B7">
      <w:pPr>
        <w:ind w:firstLine="360"/>
      </w:pPr>
    </w:p>
    <w:p w14:paraId="3357BA47" w14:textId="77777777" w:rsidR="00B322B7" w:rsidRDefault="00B322B7" w:rsidP="00B322B7">
      <w:pPr>
        <w:ind w:firstLine="360"/>
      </w:pPr>
      <w:r>
        <w:t>An estimated 557 businesses own the above snapper grouper permits and operate the 655 vessels.  Approximately 91% (506) of these businesses operate only one of the 665 permitted vessels (</w:t>
      </w:r>
      <w:r>
        <w:rPr>
          <w:b/>
        </w:rPr>
        <w:t>Table F-</w:t>
      </w:r>
      <w:r w:rsidRPr="00A64FA8">
        <w:rPr>
          <w:b/>
        </w:rPr>
        <w:t>1</w:t>
      </w:r>
      <w:r>
        <w:t>).  Half of a percent of the businesses operate approximately 5% of the vessels. Of the businesses with one permitted vessel, 106 have 225-lb permits and 400 have unlimited pounds permits.  Of the 51 businesses with multiple permitted vessels, 46 hold only unlimited pound permits.  The other five businesses with multiple permitted vessels have at least one 225-lb permit.</w:t>
      </w:r>
    </w:p>
    <w:p w14:paraId="47920D16" w14:textId="77777777" w:rsidR="00B322B7" w:rsidRDefault="00B322B7" w:rsidP="00B322B7">
      <w:pPr>
        <w:ind w:firstLine="360"/>
      </w:pPr>
      <w:r>
        <w:t xml:space="preserve"> </w:t>
      </w:r>
    </w:p>
    <w:p w14:paraId="490CCFEC" w14:textId="77777777" w:rsidR="00B322B7" w:rsidRDefault="00B322B7" w:rsidP="00B322B7">
      <w:pPr>
        <w:ind w:firstLine="360"/>
      </w:pPr>
    </w:p>
    <w:p w14:paraId="0B915CCA" w14:textId="77777777" w:rsidR="00B322B7" w:rsidRPr="00195A2E" w:rsidRDefault="00B322B7" w:rsidP="00B322B7">
      <w:pPr>
        <w:rPr>
          <w:rFonts w:ascii="Arial" w:hAnsi="Arial" w:cs="Arial"/>
          <w:sz w:val="20"/>
          <w:szCs w:val="20"/>
        </w:rPr>
      </w:pPr>
      <w:r>
        <w:rPr>
          <w:rFonts w:ascii="Arial" w:hAnsi="Arial" w:cs="Arial"/>
          <w:b/>
          <w:sz w:val="20"/>
          <w:szCs w:val="20"/>
        </w:rPr>
        <w:t>Table F-</w:t>
      </w:r>
      <w:r w:rsidRPr="004D19FB">
        <w:rPr>
          <w:rFonts w:ascii="Arial" w:hAnsi="Arial" w:cs="Arial"/>
          <w:b/>
          <w:sz w:val="20"/>
          <w:szCs w:val="20"/>
        </w:rPr>
        <w:t>1.</w:t>
      </w:r>
      <w:r w:rsidRPr="00195A2E">
        <w:rPr>
          <w:rFonts w:ascii="Arial" w:hAnsi="Arial" w:cs="Arial"/>
          <w:sz w:val="20"/>
          <w:szCs w:val="20"/>
        </w:rPr>
        <w:t xml:space="preserve">  Number of Businesses by Number of Vessels Owned/Operated with SA Snapper Grouper Permits.  </w:t>
      </w:r>
    </w:p>
    <w:tbl>
      <w:tblPr>
        <w:tblW w:w="8655" w:type="dxa"/>
        <w:tblInd w:w="93" w:type="dxa"/>
        <w:tblLook w:val="04A0" w:firstRow="1" w:lastRow="0" w:firstColumn="1" w:lastColumn="0" w:noHBand="0" w:noVBand="1"/>
      </w:tblPr>
      <w:tblGrid>
        <w:gridCol w:w="1455"/>
        <w:gridCol w:w="1620"/>
        <w:gridCol w:w="1620"/>
        <w:gridCol w:w="1530"/>
        <w:gridCol w:w="2430"/>
      </w:tblGrid>
      <w:tr w:rsidR="00B322B7" w:rsidRPr="00B322B7" w14:paraId="3432A9D1" w14:textId="77777777" w:rsidTr="005E2E4F">
        <w:trPr>
          <w:trHeight w:val="315"/>
        </w:trPr>
        <w:tc>
          <w:tcPr>
            <w:tcW w:w="469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2A172DE" w14:textId="77777777" w:rsidR="00B322B7" w:rsidRPr="00B322B7" w:rsidRDefault="00B322B7" w:rsidP="005E2E4F">
            <w:pPr>
              <w:jc w:val="center"/>
              <w:rPr>
                <w:b/>
                <w:bCs/>
                <w:color w:val="000000"/>
                <w:sz w:val="22"/>
                <w:szCs w:val="22"/>
              </w:rPr>
            </w:pPr>
            <w:r w:rsidRPr="00B322B7">
              <w:rPr>
                <w:b/>
                <w:bCs/>
                <w:color w:val="000000"/>
                <w:sz w:val="22"/>
                <w:szCs w:val="22"/>
              </w:rPr>
              <w:t>Number</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C0A568" w14:textId="77777777" w:rsidR="00B322B7" w:rsidRPr="00B322B7" w:rsidRDefault="00B322B7" w:rsidP="005E2E4F">
            <w:pPr>
              <w:jc w:val="center"/>
              <w:rPr>
                <w:b/>
                <w:bCs/>
                <w:color w:val="000000"/>
                <w:sz w:val="22"/>
                <w:szCs w:val="22"/>
              </w:rPr>
            </w:pPr>
            <w:r w:rsidRPr="00B322B7">
              <w:rPr>
                <w:b/>
                <w:bCs/>
                <w:color w:val="000000"/>
                <w:sz w:val="22"/>
                <w:szCs w:val="22"/>
              </w:rPr>
              <w:t>Percent of vessels</w:t>
            </w:r>
          </w:p>
        </w:tc>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796832A" w14:textId="77777777" w:rsidR="00B322B7" w:rsidRPr="00B322B7" w:rsidRDefault="00B322B7" w:rsidP="005E2E4F">
            <w:pPr>
              <w:jc w:val="center"/>
              <w:rPr>
                <w:b/>
                <w:bCs/>
                <w:color w:val="000000"/>
                <w:sz w:val="22"/>
                <w:szCs w:val="22"/>
              </w:rPr>
            </w:pPr>
            <w:r w:rsidRPr="00B322B7">
              <w:rPr>
                <w:b/>
                <w:bCs/>
                <w:color w:val="000000"/>
                <w:sz w:val="22"/>
                <w:szCs w:val="22"/>
              </w:rPr>
              <w:t>Percent of businesses</w:t>
            </w:r>
          </w:p>
        </w:tc>
      </w:tr>
      <w:tr w:rsidR="00B322B7" w:rsidRPr="00B322B7" w14:paraId="52D19100" w14:textId="77777777" w:rsidTr="005E2E4F">
        <w:trPr>
          <w:trHeight w:val="630"/>
        </w:trPr>
        <w:tc>
          <w:tcPr>
            <w:tcW w:w="145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6A97C50" w14:textId="77777777" w:rsidR="00B322B7" w:rsidRPr="00B322B7" w:rsidRDefault="00B322B7" w:rsidP="005E2E4F">
            <w:pPr>
              <w:jc w:val="center"/>
              <w:rPr>
                <w:b/>
                <w:bCs/>
                <w:color w:val="000000"/>
                <w:sz w:val="22"/>
                <w:szCs w:val="22"/>
              </w:rPr>
            </w:pPr>
            <w:r w:rsidRPr="00B322B7">
              <w:rPr>
                <w:b/>
                <w:bCs/>
                <w:color w:val="000000"/>
                <w:sz w:val="22"/>
                <w:szCs w:val="22"/>
              </w:rPr>
              <w:t>Permitted vessels</w:t>
            </w:r>
          </w:p>
        </w:tc>
        <w:tc>
          <w:tcPr>
            <w:tcW w:w="16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F12C42D" w14:textId="77777777" w:rsidR="00B322B7" w:rsidRPr="00B322B7" w:rsidRDefault="00B322B7" w:rsidP="005E2E4F">
            <w:pPr>
              <w:jc w:val="center"/>
              <w:rPr>
                <w:b/>
                <w:bCs/>
                <w:color w:val="000000"/>
                <w:sz w:val="22"/>
                <w:szCs w:val="22"/>
              </w:rPr>
            </w:pPr>
            <w:r w:rsidRPr="00B322B7">
              <w:rPr>
                <w:b/>
                <w:bCs/>
                <w:color w:val="000000"/>
                <w:sz w:val="22"/>
                <w:szCs w:val="22"/>
              </w:rPr>
              <w:t>Businesses</w:t>
            </w:r>
          </w:p>
        </w:tc>
        <w:tc>
          <w:tcPr>
            <w:tcW w:w="1620" w:type="dxa"/>
            <w:tcBorders>
              <w:top w:val="nil"/>
              <w:left w:val="nil"/>
              <w:bottom w:val="single" w:sz="4" w:space="0" w:color="auto"/>
              <w:right w:val="single" w:sz="4" w:space="0" w:color="auto"/>
            </w:tcBorders>
            <w:shd w:val="clear" w:color="auto" w:fill="D9D9D9" w:themeFill="background1" w:themeFillShade="D9"/>
            <w:vAlign w:val="center"/>
            <w:hideMark/>
          </w:tcPr>
          <w:p w14:paraId="0DFCFE9E" w14:textId="77777777" w:rsidR="00B322B7" w:rsidRPr="00B322B7" w:rsidRDefault="00B322B7" w:rsidP="005E2E4F">
            <w:pPr>
              <w:jc w:val="center"/>
              <w:rPr>
                <w:b/>
                <w:bCs/>
                <w:color w:val="000000"/>
                <w:sz w:val="22"/>
                <w:szCs w:val="22"/>
              </w:rPr>
            </w:pPr>
            <w:r w:rsidRPr="00B322B7">
              <w:rPr>
                <w:b/>
                <w:bCs/>
                <w:color w:val="000000"/>
                <w:sz w:val="22"/>
                <w:szCs w:val="22"/>
              </w:rPr>
              <w:t>Combined vessels</w:t>
            </w:r>
          </w:p>
        </w:tc>
        <w:tc>
          <w:tcPr>
            <w:tcW w:w="153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C0A813" w14:textId="77777777" w:rsidR="00B322B7" w:rsidRPr="00B322B7" w:rsidRDefault="00B322B7" w:rsidP="005E2E4F">
            <w:pPr>
              <w:rPr>
                <w:b/>
                <w:bCs/>
                <w:color w:val="000000"/>
                <w:sz w:val="22"/>
                <w:szCs w:val="22"/>
              </w:rPr>
            </w:pPr>
          </w:p>
        </w:tc>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2FCAEFB" w14:textId="77777777" w:rsidR="00B322B7" w:rsidRPr="00B322B7" w:rsidRDefault="00B322B7" w:rsidP="005E2E4F">
            <w:pPr>
              <w:rPr>
                <w:b/>
                <w:bCs/>
                <w:color w:val="000000"/>
                <w:sz w:val="22"/>
                <w:szCs w:val="22"/>
              </w:rPr>
            </w:pPr>
          </w:p>
        </w:tc>
      </w:tr>
      <w:tr w:rsidR="00B322B7" w:rsidRPr="00B322B7" w14:paraId="7AAF1410" w14:textId="77777777" w:rsidTr="005E2E4F">
        <w:trPr>
          <w:trHeight w:val="315"/>
        </w:trPr>
        <w:tc>
          <w:tcPr>
            <w:tcW w:w="1455"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CB48138" w14:textId="77777777" w:rsidR="00B322B7" w:rsidRPr="00B322B7" w:rsidRDefault="00B322B7" w:rsidP="005E2E4F">
            <w:pPr>
              <w:jc w:val="center"/>
              <w:rPr>
                <w:b/>
                <w:bCs/>
                <w:color w:val="000000"/>
                <w:sz w:val="22"/>
                <w:szCs w:val="22"/>
              </w:rPr>
            </w:pPr>
            <w:r w:rsidRPr="00B322B7">
              <w:rPr>
                <w:b/>
                <w:bCs/>
                <w:color w:val="000000"/>
                <w:sz w:val="22"/>
                <w:szCs w:val="22"/>
              </w:rPr>
              <w:t>1</w:t>
            </w:r>
          </w:p>
        </w:tc>
        <w:tc>
          <w:tcPr>
            <w:tcW w:w="1620" w:type="dxa"/>
            <w:tcBorders>
              <w:top w:val="nil"/>
              <w:left w:val="nil"/>
              <w:bottom w:val="single" w:sz="4" w:space="0" w:color="auto"/>
              <w:right w:val="single" w:sz="4" w:space="0" w:color="auto"/>
            </w:tcBorders>
            <w:shd w:val="clear" w:color="auto" w:fill="auto"/>
            <w:noWrap/>
            <w:vAlign w:val="bottom"/>
            <w:hideMark/>
          </w:tcPr>
          <w:p w14:paraId="43CE217A" w14:textId="77777777" w:rsidR="00B322B7" w:rsidRPr="00B322B7" w:rsidRDefault="00B322B7" w:rsidP="005E2E4F">
            <w:pPr>
              <w:jc w:val="center"/>
              <w:rPr>
                <w:color w:val="000000"/>
                <w:sz w:val="22"/>
                <w:szCs w:val="22"/>
              </w:rPr>
            </w:pPr>
            <w:r w:rsidRPr="00B322B7">
              <w:rPr>
                <w:color w:val="000000"/>
                <w:sz w:val="22"/>
                <w:szCs w:val="22"/>
              </w:rPr>
              <w:t>506</w:t>
            </w:r>
          </w:p>
        </w:tc>
        <w:tc>
          <w:tcPr>
            <w:tcW w:w="1620" w:type="dxa"/>
            <w:tcBorders>
              <w:top w:val="nil"/>
              <w:left w:val="nil"/>
              <w:bottom w:val="single" w:sz="4" w:space="0" w:color="auto"/>
              <w:right w:val="single" w:sz="4" w:space="0" w:color="auto"/>
            </w:tcBorders>
            <w:shd w:val="clear" w:color="auto" w:fill="auto"/>
            <w:noWrap/>
            <w:vAlign w:val="bottom"/>
            <w:hideMark/>
          </w:tcPr>
          <w:p w14:paraId="55E720E2" w14:textId="77777777" w:rsidR="00B322B7" w:rsidRPr="00B322B7" w:rsidRDefault="00B322B7" w:rsidP="005E2E4F">
            <w:pPr>
              <w:jc w:val="center"/>
              <w:rPr>
                <w:color w:val="000000"/>
                <w:sz w:val="22"/>
                <w:szCs w:val="22"/>
              </w:rPr>
            </w:pPr>
            <w:r w:rsidRPr="00B322B7">
              <w:rPr>
                <w:color w:val="000000"/>
                <w:sz w:val="22"/>
                <w:szCs w:val="22"/>
              </w:rPr>
              <w:t>506</w:t>
            </w:r>
          </w:p>
        </w:tc>
        <w:tc>
          <w:tcPr>
            <w:tcW w:w="1530" w:type="dxa"/>
            <w:tcBorders>
              <w:top w:val="nil"/>
              <w:left w:val="nil"/>
              <w:bottom w:val="single" w:sz="4" w:space="0" w:color="auto"/>
              <w:right w:val="single" w:sz="4" w:space="0" w:color="auto"/>
            </w:tcBorders>
            <w:shd w:val="clear" w:color="auto" w:fill="auto"/>
            <w:noWrap/>
            <w:vAlign w:val="bottom"/>
            <w:hideMark/>
          </w:tcPr>
          <w:p w14:paraId="1EE55698" w14:textId="77777777" w:rsidR="00B322B7" w:rsidRPr="00B322B7" w:rsidRDefault="00B322B7" w:rsidP="005E2E4F">
            <w:pPr>
              <w:jc w:val="center"/>
              <w:rPr>
                <w:color w:val="000000"/>
                <w:sz w:val="22"/>
                <w:szCs w:val="22"/>
              </w:rPr>
            </w:pPr>
            <w:r w:rsidRPr="00B322B7">
              <w:rPr>
                <w:color w:val="000000"/>
                <w:sz w:val="22"/>
                <w:szCs w:val="22"/>
              </w:rPr>
              <w:t>76.1%</w:t>
            </w:r>
          </w:p>
        </w:tc>
        <w:tc>
          <w:tcPr>
            <w:tcW w:w="2430" w:type="dxa"/>
            <w:tcBorders>
              <w:top w:val="nil"/>
              <w:left w:val="nil"/>
              <w:bottom w:val="single" w:sz="4" w:space="0" w:color="auto"/>
              <w:right w:val="single" w:sz="4" w:space="0" w:color="auto"/>
            </w:tcBorders>
            <w:shd w:val="clear" w:color="auto" w:fill="auto"/>
            <w:noWrap/>
            <w:vAlign w:val="bottom"/>
            <w:hideMark/>
          </w:tcPr>
          <w:p w14:paraId="5F37CC8D" w14:textId="77777777" w:rsidR="00B322B7" w:rsidRPr="00B322B7" w:rsidRDefault="00B322B7" w:rsidP="005E2E4F">
            <w:pPr>
              <w:jc w:val="center"/>
              <w:rPr>
                <w:color w:val="000000"/>
                <w:sz w:val="22"/>
                <w:szCs w:val="22"/>
              </w:rPr>
            </w:pPr>
            <w:r w:rsidRPr="00B322B7">
              <w:rPr>
                <w:color w:val="000000"/>
                <w:sz w:val="22"/>
                <w:szCs w:val="22"/>
              </w:rPr>
              <w:t>90.8%</w:t>
            </w:r>
          </w:p>
        </w:tc>
      </w:tr>
      <w:tr w:rsidR="00B322B7" w:rsidRPr="00B322B7" w14:paraId="76FCF15D" w14:textId="77777777" w:rsidTr="005E2E4F">
        <w:trPr>
          <w:trHeight w:val="315"/>
        </w:trPr>
        <w:tc>
          <w:tcPr>
            <w:tcW w:w="145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9A197A9" w14:textId="77777777" w:rsidR="00B322B7" w:rsidRPr="00B322B7" w:rsidRDefault="00B322B7" w:rsidP="005E2E4F">
            <w:pPr>
              <w:jc w:val="center"/>
              <w:rPr>
                <w:b/>
                <w:bCs/>
                <w:color w:val="000000"/>
                <w:sz w:val="22"/>
                <w:szCs w:val="22"/>
              </w:rPr>
            </w:pPr>
            <w:r w:rsidRPr="00B322B7">
              <w:rPr>
                <w:b/>
                <w:bCs/>
                <w:color w:val="000000"/>
                <w:sz w:val="22"/>
                <w:szCs w:val="22"/>
              </w:rPr>
              <w:t>2</w:t>
            </w:r>
          </w:p>
        </w:tc>
        <w:tc>
          <w:tcPr>
            <w:tcW w:w="1620" w:type="dxa"/>
            <w:tcBorders>
              <w:top w:val="nil"/>
              <w:left w:val="nil"/>
              <w:bottom w:val="single" w:sz="4" w:space="0" w:color="auto"/>
              <w:right w:val="single" w:sz="4" w:space="0" w:color="auto"/>
            </w:tcBorders>
            <w:shd w:val="clear" w:color="auto" w:fill="F2F2F2" w:themeFill="background1" w:themeFillShade="F2"/>
            <w:noWrap/>
            <w:vAlign w:val="bottom"/>
            <w:hideMark/>
          </w:tcPr>
          <w:p w14:paraId="3743ECF6" w14:textId="77777777" w:rsidR="00B322B7" w:rsidRPr="00B322B7" w:rsidRDefault="00B322B7" w:rsidP="005E2E4F">
            <w:pPr>
              <w:jc w:val="center"/>
              <w:rPr>
                <w:color w:val="000000"/>
                <w:sz w:val="22"/>
                <w:szCs w:val="22"/>
              </w:rPr>
            </w:pPr>
            <w:r w:rsidRPr="00B322B7">
              <w:rPr>
                <w:color w:val="000000"/>
                <w:sz w:val="22"/>
                <w:szCs w:val="22"/>
              </w:rPr>
              <w:t>31</w:t>
            </w:r>
          </w:p>
        </w:tc>
        <w:tc>
          <w:tcPr>
            <w:tcW w:w="1620" w:type="dxa"/>
            <w:tcBorders>
              <w:top w:val="nil"/>
              <w:left w:val="nil"/>
              <w:bottom w:val="single" w:sz="4" w:space="0" w:color="auto"/>
              <w:right w:val="single" w:sz="4" w:space="0" w:color="auto"/>
            </w:tcBorders>
            <w:shd w:val="clear" w:color="auto" w:fill="F2F2F2" w:themeFill="background1" w:themeFillShade="F2"/>
            <w:noWrap/>
            <w:vAlign w:val="bottom"/>
            <w:hideMark/>
          </w:tcPr>
          <w:p w14:paraId="43E6668B" w14:textId="77777777" w:rsidR="00B322B7" w:rsidRPr="00B322B7" w:rsidRDefault="00B322B7" w:rsidP="005E2E4F">
            <w:pPr>
              <w:jc w:val="center"/>
              <w:rPr>
                <w:color w:val="000000"/>
                <w:sz w:val="22"/>
                <w:szCs w:val="22"/>
              </w:rPr>
            </w:pPr>
            <w:r w:rsidRPr="00B322B7">
              <w:rPr>
                <w:color w:val="000000"/>
                <w:sz w:val="22"/>
                <w:szCs w:val="22"/>
              </w:rPr>
              <w:t>62</w:t>
            </w:r>
          </w:p>
        </w:tc>
        <w:tc>
          <w:tcPr>
            <w:tcW w:w="1530" w:type="dxa"/>
            <w:tcBorders>
              <w:top w:val="nil"/>
              <w:left w:val="nil"/>
              <w:bottom w:val="single" w:sz="4" w:space="0" w:color="auto"/>
              <w:right w:val="single" w:sz="4" w:space="0" w:color="auto"/>
            </w:tcBorders>
            <w:shd w:val="clear" w:color="auto" w:fill="F2F2F2" w:themeFill="background1" w:themeFillShade="F2"/>
            <w:noWrap/>
            <w:vAlign w:val="bottom"/>
            <w:hideMark/>
          </w:tcPr>
          <w:p w14:paraId="78F8BFC7" w14:textId="77777777" w:rsidR="00B322B7" w:rsidRPr="00B322B7" w:rsidRDefault="00B322B7" w:rsidP="005E2E4F">
            <w:pPr>
              <w:jc w:val="center"/>
              <w:rPr>
                <w:color w:val="000000"/>
                <w:sz w:val="22"/>
                <w:szCs w:val="22"/>
              </w:rPr>
            </w:pPr>
            <w:r w:rsidRPr="00B322B7">
              <w:rPr>
                <w:color w:val="000000"/>
                <w:sz w:val="22"/>
                <w:szCs w:val="22"/>
              </w:rPr>
              <w:t>9.3%</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14:paraId="79E23AF6" w14:textId="77777777" w:rsidR="00B322B7" w:rsidRPr="00B322B7" w:rsidRDefault="00B322B7" w:rsidP="005E2E4F">
            <w:pPr>
              <w:jc w:val="center"/>
              <w:rPr>
                <w:color w:val="000000"/>
                <w:sz w:val="22"/>
                <w:szCs w:val="22"/>
              </w:rPr>
            </w:pPr>
            <w:r w:rsidRPr="00B322B7">
              <w:rPr>
                <w:color w:val="000000"/>
                <w:sz w:val="22"/>
                <w:szCs w:val="22"/>
              </w:rPr>
              <w:t>5.6%</w:t>
            </w:r>
          </w:p>
        </w:tc>
      </w:tr>
      <w:tr w:rsidR="00B322B7" w:rsidRPr="00B322B7" w14:paraId="518CFF44" w14:textId="77777777" w:rsidTr="005E2E4F">
        <w:trPr>
          <w:trHeight w:val="315"/>
        </w:trPr>
        <w:tc>
          <w:tcPr>
            <w:tcW w:w="1455"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0C482AE" w14:textId="77777777" w:rsidR="00B322B7" w:rsidRPr="00B322B7" w:rsidRDefault="00B322B7" w:rsidP="005E2E4F">
            <w:pPr>
              <w:jc w:val="center"/>
              <w:rPr>
                <w:b/>
                <w:bCs/>
                <w:color w:val="000000"/>
                <w:sz w:val="22"/>
                <w:szCs w:val="22"/>
              </w:rPr>
            </w:pPr>
            <w:r w:rsidRPr="00B322B7">
              <w:rPr>
                <w:b/>
                <w:bCs/>
                <w:color w:val="000000"/>
                <w:sz w:val="22"/>
                <w:szCs w:val="22"/>
              </w:rPr>
              <w:t>3</w:t>
            </w:r>
          </w:p>
        </w:tc>
        <w:tc>
          <w:tcPr>
            <w:tcW w:w="1620" w:type="dxa"/>
            <w:tcBorders>
              <w:top w:val="nil"/>
              <w:left w:val="nil"/>
              <w:bottom w:val="single" w:sz="4" w:space="0" w:color="auto"/>
              <w:right w:val="single" w:sz="4" w:space="0" w:color="auto"/>
            </w:tcBorders>
            <w:shd w:val="clear" w:color="auto" w:fill="auto"/>
            <w:noWrap/>
            <w:vAlign w:val="bottom"/>
            <w:hideMark/>
          </w:tcPr>
          <w:p w14:paraId="6DD63DD3" w14:textId="77777777" w:rsidR="00B322B7" w:rsidRPr="00B322B7" w:rsidRDefault="00B322B7" w:rsidP="005E2E4F">
            <w:pPr>
              <w:jc w:val="center"/>
              <w:rPr>
                <w:color w:val="000000"/>
                <w:sz w:val="22"/>
                <w:szCs w:val="22"/>
              </w:rPr>
            </w:pPr>
            <w:r w:rsidRPr="00B322B7">
              <w:rPr>
                <w:color w:val="000000"/>
                <w:sz w:val="22"/>
                <w:szCs w:val="22"/>
              </w:rPr>
              <w:t>8</w:t>
            </w:r>
          </w:p>
        </w:tc>
        <w:tc>
          <w:tcPr>
            <w:tcW w:w="1620" w:type="dxa"/>
            <w:tcBorders>
              <w:top w:val="nil"/>
              <w:left w:val="nil"/>
              <w:bottom w:val="single" w:sz="4" w:space="0" w:color="auto"/>
              <w:right w:val="single" w:sz="4" w:space="0" w:color="auto"/>
            </w:tcBorders>
            <w:shd w:val="clear" w:color="auto" w:fill="auto"/>
            <w:noWrap/>
            <w:vAlign w:val="bottom"/>
            <w:hideMark/>
          </w:tcPr>
          <w:p w14:paraId="4F0EC814" w14:textId="77777777" w:rsidR="00B322B7" w:rsidRPr="00B322B7" w:rsidRDefault="00B322B7" w:rsidP="005E2E4F">
            <w:pPr>
              <w:jc w:val="center"/>
              <w:rPr>
                <w:color w:val="000000"/>
                <w:sz w:val="22"/>
                <w:szCs w:val="22"/>
              </w:rPr>
            </w:pPr>
            <w:r w:rsidRPr="00B322B7">
              <w:rPr>
                <w:color w:val="000000"/>
                <w:sz w:val="22"/>
                <w:szCs w:val="22"/>
              </w:rPr>
              <w:t>24</w:t>
            </w:r>
          </w:p>
        </w:tc>
        <w:tc>
          <w:tcPr>
            <w:tcW w:w="1530" w:type="dxa"/>
            <w:tcBorders>
              <w:top w:val="nil"/>
              <w:left w:val="nil"/>
              <w:bottom w:val="single" w:sz="4" w:space="0" w:color="auto"/>
              <w:right w:val="single" w:sz="4" w:space="0" w:color="auto"/>
            </w:tcBorders>
            <w:shd w:val="clear" w:color="auto" w:fill="auto"/>
            <w:noWrap/>
            <w:vAlign w:val="bottom"/>
            <w:hideMark/>
          </w:tcPr>
          <w:p w14:paraId="051E8DFF" w14:textId="77777777" w:rsidR="00B322B7" w:rsidRPr="00B322B7" w:rsidRDefault="00B322B7" w:rsidP="005E2E4F">
            <w:pPr>
              <w:jc w:val="center"/>
              <w:rPr>
                <w:color w:val="000000"/>
                <w:sz w:val="22"/>
                <w:szCs w:val="22"/>
              </w:rPr>
            </w:pPr>
            <w:r w:rsidRPr="00B322B7">
              <w:rPr>
                <w:color w:val="000000"/>
                <w:sz w:val="22"/>
                <w:szCs w:val="22"/>
              </w:rPr>
              <w:t>3.6%</w:t>
            </w:r>
          </w:p>
        </w:tc>
        <w:tc>
          <w:tcPr>
            <w:tcW w:w="2430" w:type="dxa"/>
            <w:tcBorders>
              <w:top w:val="nil"/>
              <w:left w:val="nil"/>
              <w:bottom w:val="single" w:sz="4" w:space="0" w:color="auto"/>
              <w:right w:val="single" w:sz="4" w:space="0" w:color="auto"/>
            </w:tcBorders>
            <w:shd w:val="clear" w:color="auto" w:fill="auto"/>
            <w:noWrap/>
            <w:vAlign w:val="bottom"/>
            <w:hideMark/>
          </w:tcPr>
          <w:p w14:paraId="003A243E" w14:textId="77777777" w:rsidR="00B322B7" w:rsidRPr="00B322B7" w:rsidRDefault="00B322B7" w:rsidP="005E2E4F">
            <w:pPr>
              <w:jc w:val="center"/>
              <w:rPr>
                <w:color w:val="000000"/>
                <w:sz w:val="22"/>
                <w:szCs w:val="22"/>
              </w:rPr>
            </w:pPr>
            <w:r w:rsidRPr="00B322B7">
              <w:rPr>
                <w:color w:val="000000"/>
                <w:sz w:val="22"/>
                <w:szCs w:val="22"/>
              </w:rPr>
              <w:t>1.4%</w:t>
            </w:r>
          </w:p>
        </w:tc>
      </w:tr>
      <w:tr w:rsidR="00B322B7" w:rsidRPr="00B322B7" w14:paraId="6197AA7A" w14:textId="77777777" w:rsidTr="005E2E4F">
        <w:trPr>
          <w:trHeight w:val="315"/>
        </w:trPr>
        <w:tc>
          <w:tcPr>
            <w:tcW w:w="145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929BC02" w14:textId="77777777" w:rsidR="00B322B7" w:rsidRPr="00B322B7" w:rsidRDefault="00B322B7" w:rsidP="005E2E4F">
            <w:pPr>
              <w:jc w:val="center"/>
              <w:rPr>
                <w:b/>
                <w:bCs/>
                <w:color w:val="000000"/>
                <w:sz w:val="22"/>
                <w:szCs w:val="22"/>
              </w:rPr>
            </w:pPr>
            <w:r w:rsidRPr="00B322B7">
              <w:rPr>
                <w:b/>
                <w:bCs/>
                <w:color w:val="000000"/>
                <w:sz w:val="22"/>
                <w:szCs w:val="22"/>
              </w:rPr>
              <w:t>4</w:t>
            </w:r>
          </w:p>
        </w:tc>
        <w:tc>
          <w:tcPr>
            <w:tcW w:w="1620" w:type="dxa"/>
            <w:tcBorders>
              <w:top w:val="nil"/>
              <w:left w:val="nil"/>
              <w:bottom w:val="single" w:sz="4" w:space="0" w:color="auto"/>
              <w:right w:val="single" w:sz="4" w:space="0" w:color="auto"/>
            </w:tcBorders>
            <w:shd w:val="clear" w:color="auto" w:fill="F2F2F2" w:themeFill="background1" w:themeFillShade="F2"/>
            <w:noWrap/>
            <w:vAlign w:val="bottom"/>
            <w:hideMark/>
          </w:tcPr>
          <w:p w14:paraId="411E5498" w14:textId="77777777" w:rsidR="00B322B7" w:rsidRPr="00B322B7" w:rsidRDefault="00B322B7" w:rsidP="005E2E4F">
            <w:pPr>
              <w:jc w:val="center"/>
              <w:rPr>
                <w:color w:val="000000"/>
                <w:sz w:val="22"/>
                <w:szCs w:val="22"/>
              </w:rPr>
            </w:pPr>
            <w:r w:rsidRPr="00B322B7">
              <w:rPr>
                <w:color w:val="000000"/>
                <w:sz w:val="22"/>
                <w:szCs w:val="22"/>
              </w:rPr>
              <w:t>6</w:t>
            </w:r>
          </w:p>
        </w:tc>
        <w:tc>
          <w:tcPr>
            <w:tcW w:w="1620" w:type="dxa"/>
            <w:tcBorders>
              <w:top w:val="nil"/>
              <w:left w:val="nil"/>
              <w:bottom w:val="single" w:sz="4" w:space="0" w:color="auto"/>
              <w:right w:val="single" w:sz="4" w:space="0" w:color="auto"/>
            </w:tcBorders>
            <w:shd w:val="clear" w:color="auto" w:fill="F2F2F2" w:themeFill="background1" w:themeFillShade="F2"/>
            <w:noWrap/>
            <w:vAlign w:val="bottom"/>
            <w:hideMark/>
          </w:tcPr>
          <w:p w14:paraId="43A02A14" w14:textId="77777777" w:rsidR="00B322B7" w:rsidRPr="00B322B7" w:rsidRDefault="00B322B7" w:rsidP="005E2E4F">
            <w:pPr>
              <w:jc w:val="center"/>
              <w:rPr>
                <w:color w:val="000000"/>
                <w:sz w:val="22"/>
                <w:szCs w:val="22"/>
              </w:rPr>
            </w:pPr>
            <w:r w:rsidRPr="00B322B7">
              <w:rPr>
                <w:color w:val="000000"/>
                <w:sz w:val="22"/>
                <w:szCs w:val="22"/>
              </w:rPr>
              <w:t>24</w:t>
            </w:r>
          </w:p>
        </w:tc>
        <w:tc>
          <w:tcPr>
            <w:tcW w:w="1530" w:type="dxa"/>
            <w:tcBorders>
              <w:top w:val="nil"/>
              <w:left w:val="nil"/>
              <w:bottom w:val="single" w:sz="4" w:space="0" w:color="auto"/>
              <w:right w:val="single" w:sz="4" w:space="0" w:color="auto"/>
            </w:tcBorders>
            <w:shd w:val="clear" w:color="auto" w:fill="F2F2F2" w:themeFill="background1" w:themeFillShade="F2"/>
            <w:noWrap/>
            <w:vAlign w:val="bottom"/>
            <w:hideMark/>
          </w:tcPr>
          <w:p w14:paraId="727B1974" w14:textId="77777777" w:rsidR="00B322B7" w:rsidRPr="00B322B7" w:rsidRDefault="00B322B7" w:rsidP="005E2E4F">
            <w:pPr>
              <w:jc w:val="center"/>
              <w:rPr>
                <w:color w:val="000000"/>
                <w:sz w:val="22"/>
                <w:szCs w:val="22"/>
              </w:rPr>
            </w:pPr>
            <w:r w:rsidRPr="00B322B7">
              <w:rPr>
                <w:color w:val="000000"/>
                <w:sz w:val="22"/>
                <w:szCs w:val="22"/>
              </w:rPr>
              <w:t>3.6%</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14:paraId="778C6F53" w14:textId="77777777" w:rsidR="00B322B7" w:rsidRPr="00B322B7" w:rsidRDefault="00B322B7" w:rsidP="005E2E4F">
            <w:pPr>
              <w:jc w:val="center"/>
              <w:rPr>
                <w:color w:val="000000"/>
                <w:sz w:val="22"/>
                <w:szCs w:val="22"/>
              </w:rPr>
            </w:pPr>
            <w:r w:rsidRPr="00B322B7">
              <w:rPr>
                <w:color w:val="000000"/>
                <w:sz w:val="22"/>
                <w:szCs w:val="22"/>
              </w:rPr>
              <w:t>1.1%</w:t>
            </w:r>
          </w:p>
        </w:tc>
      </w:tr>
      <w:tr w:rsidR="00B322B7" w:rsidRPr="00B322B7" w14:paraId="2E231BC3" w14:textId="77777777" w:rsidTr="005E2E4F">
        <w:trPr>
          <w:trHeight w:val="315"/>
        </w:trPr>
        <w:tc>
          <w:tcPr>
            <w:tcW w:w="1455"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273F6BF" w14:textId="77777777" w:rsidR="00B322B7" w:rsidRPr="00B322B7" w:rsidRDefault="00B322B7" w:rsidP="005E2E4F">
            <w:pPr>
              <w:jc w:val="center"/>
              <w:rPr>
                <w:b/>
                <w:bCs/>
                <w:color w:val="000000"/>
                <w:sz w:val="22"/>
                <w:szCs w:val="22"/>
              </w:rPr>
            </w:pPr>
            <w:r w:rsidRPr="00B322B7">
              <w:rPr>
                <w:b/>
                <w:bCs/>
                <w:color w:val="000000"/>
                <w:sz w:val="22"/>
                <w:szCs w:val="22"/>
              </w:rPr>
              <w:t>5</w:t>
            </w:r>
          </w:p>
        </w:tc>
        <w:tc>
          <w:tcPr>
            <w:tcW w:w="1620" w:type="dxa"/>
            <w:tcBorders>
              <w:top w:val="nil"/>
              <w:left w:val="nil"/>
              <w:bottom w:val="single" w:sz="4" w:space="0" w:color="auto"/>
              <w:right w:val="single" w:sz="4" w:space="0" w:color="auto"/>
            </w:tcBorders>
            <w:shd w:val="clear" w:color="auto" w:fill="auto"/>
            <w:noWrap/>
            <w:vAlign w:val="bottom"/>
            <w:hideMark/>
          </w:tcPr>
          <w:p w14:paraId="05CDAA7F" w14:textId="77777777" w:rsidR="00B322B7" w:rsidRPr="00B322B7" w:rsidRDefault="00B322B7" w:rsidP="005E2E4F">
            <w:pPr>
              <w:jc w:val="center"/>
              <w:rPr>
                <w:color w:val="000000"/>
                <w:sz w:val="22"/>
                <w:szCs w:val="22"/>
              </w:rPr>
            </w:pPr>
            <w:r w:rsidRPr="00B322B7">
              <w:rPr>
                <w:color w:val="000000"/>
                <w:sz w:val="22"/>
                <w:szCs w:val="22"/>
              </w:rPr>
              <w:t>3</w:t>
            </w:r>
          </w:p>
        </w:tc>
        <w:tc>
          <w:tcPr>
            <w:tcW w:w="1620" w:type="dxa"/>
            <w:tcBorders>
              <w:top w:val="nil"/>
              <w:left w:val="nil"/>
              <w:bottom w:val="single" w:sz="4" w:space="0" w:color="auto"/>
              <w:right w:val="single" w:sz="4" w:space="0" w:color="auto"/>
            </w:tcBorders>
            <w:shd w:val="clear" w:color="auto" w:fill="auto"/>
            <w:noWrap/>
            <w:vAlign w:val="bottom"/>
            <w:hideMark/>
          </w:tcPr>
          <w:p w14:paraId="3E128AF3" w14:textId="77777777" w:rsidR="00B322B7" w:rsidRPr="00B322B7" w:rsidRDefault="00B322B7" w:rsidP="005E2E4F">
            <w:pPr>
              <w:jc w:val="center"/>
              <w:rPr>
                <w:color w:val="000000"/>
                <w:sz w:val="22"/>
                <w:szCs w:val="22"/>
              </w:rPr>
            </w:pPr>
            <w:r w:rsidRPr="00B322B7">
              <w:rPr>
                <w:color w:val="000000"/>
                <w:sz w:val="22"/>
                <w:szCs w:val="22"/>
              </w:rPr>
              <w:t>15</w:t>
            </w:r>
          </w:p>
        </w:tc>
        <w:tc>
          <w:tcPr>
            <w:tcW w:w="1530" w:type="dxa"/>
            <w:tcBorders>
              <w:top w:val="nil"/>
              <w:left w:val="nil"/>
              <w:bottom w:val="single" w:sz="4" w:space="0" w:color="auto"/>
              <w:right w:val="single" w:sz="4" w:space="0" w:color="auto"/>
            </w:tcBorders>
            <w:shd w:val="clear" w:color="auto" w:fill="auto"/>
            <w:noWrap/>
            <w:vAlign w:val="bottom"/>
            <w:hideMark/>
          </w:tcPr>
          <w:p w14:paraId="68696AAF" w14:textId="77777777" w:rsidR="00B322B7" w:rsidRPr="00B322B7" w:rsidRDefault="00B322B7" w:rsidP="005E2E4F">
            <w:pPr>
              <w:jc w:val="center"/>
              <w:rPr>
                <w:color w:val="000000"/>
                <w:sz w:val="22"/>
                <w:szCs w:val="22"/>
              </w:rPr>
            </w:pPr>
            <w:r w:rsidRPr="00B322B7">
              <w:rPr>
                <w:color w:val="000000"/>
                <w:sz w:val="22"/>
                <w:szCs w:val="22"/>
              </w:rPr>
              <w:t>2.3%</w:t>
            </w:r>
          </w:p>
        </w:tc>
        <w:tc>
          <w:tcPr>
            <w:tcW w:w="2430" w:type="dxa"/>
            <w:tcBorders>
              <w:top w:val="nil"/>
              <w:left w:val="nil"/>
              <w:bottom w:val="single" w:sz="4" w:space="0" w:color="auto"/>
              <w:right w:val="single" w:sz="4" w:space="0" w:color="auto"/>
            </w:tcBorders>
            <w:shd w:val="clear" w:color="auto" w:fill="auto"/>
            <w:noWrap/>
            <w:vAlign w:val="bottom"/>
            <w:hideMark/>
          </w:tcPr>
          <w:p w14:paraId="2F2EB6AF" w14:textId="77777777" w:rsidR="00B322B7" w:rsidRPr="00B322B7" w:rsidRDefault="00B322B7" w:rsidP="005E2E4F">
            <w:pPr>
              <w:jc w:val="center"/>
              <w:rPr>
                <w:color w:val="000000"/>
                <w:sz w:val="22"/>
                <w:szCs w:val="22"/>
              </w:rPr>
            </w:pPr>
            <w:r w:rsidRPr="00B322B7">
              <w:rPr>
                <w:color w:val="000000"/>
                <w:sz w:val="22"/>
                <w:szCs w:val="22"/>
              </w:rPr>
              <w:t>0.5%</w:t>
            </w:r>
          </w:p>
        </w:tc>
      </w:tr>
      <w:tr w:rsidR="00B322B7" w:rsidRPr="00B322B7" w14:paraId="655478D9" w14:textId="77777777" w:rsidTr="005E2E4F">
        <w:trPr>
          <w:trHeight w:val="315"/>
        </w:trPr>
        <w:tc>
          <w:tcPr>
            <w:tcW w:w="145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3ECC68F" w14:textId="77777777" w:rsidR="00B322B7" w:rsidRPr="00B322B7" w:rsidRDefault="00B322B7" w:rsidP="005E2E4F">
            <w:pPr>
              <w:jc w:val="center"/>
              <w:rPr>
                <w:b/>
                <w:bCs/>
                <w:color w:val="000000"/>
                <w:sz w:val="22"/>
                <w:szCs w:val="22"/>
              </w:rPr>
            </w:pPr>
            <w:r w:rsidRPr="00B322B7">
              <w:rPr>
                <w:b/>
                <w:bCs/>
                <w:color w:val="000000"/>
                <w:sz w:val="22"/>
                <w:szCs w:val="22"/>
              </w:rPr>
              <w:t>6 and Over</w:t>
            </w:r>
          </w:p>
        </w:tc>
        <w:tc>
          <w:tcPr>
            <w:tcW w:w="1620" w:type="dxa"/>
            <w:tcBorders>
              <w:top w:val="nil"/>
              <w:left w:val="nil"/>
              <w:bottom w:val="single" w:sz="4" w:space="0" w:color="auto"/>
              <w:right w:val="single" w:sz="4" w:space="0" w:color="auto"/>
            </w:tcBorders>
            <w:shd w:val="clear" w:color="auto" w:fill="F2F2F2" w:themeFill="background1" w:themeFillShade="F2"/>
            <w:noWrap/>
            <w:vAlign w:val="bottom"/>
            <w:hideMark/>
          </w:tcPr>
          <w:p w14:paraId="7D8A10B2" w14:textId="77777777" w:rsidR="00B322B7" w:rsidRPr="00B322B7" w:rsidRDefault="00B322B7" w:rsidP="005E2E4F">
            <w:pPr>
              <w:jc w:val="center"/>
              <w:rPr>
                <w:color w:val="000000"/>
                <w:sz w:val="22"/>
                <w:szCs w:val="22"/>
              </w:rPr>
            </w:pPr>
            <w:r w:rsidRPr="00B322B7">
              <w:rPr>
                <w:color w:val="000000"/>
                <w:sz w:val="22"/>
                <w:szCs w:val="22"/>
              </w:rPr>
              <w:t>3</w:t>
            </w:r>
          </w:p>
        </w:tc>
        <w:tc>
          <w:tcPr>
            <w:tcW w:w="1620" w:type="dxa"/>
            <w:tcBorders>
              <w:top w:val="nil"/>
              <w:left w:val="nil"/>
              <w:bottom w:val="single" w:sz="4" w:space="0" w:color="auto"/>
              <w:right w:val="single" w:sz="4" w:space="0" w:color="auto"/>
            </w:tcBorders>
            <w:shd w:val="clear" w:color="auto" w:fill="F2F2F2" w:themeFill="background1" w:themeFillShade="F2"/>
            <w:noWrap/>
            <w:vAlign w:val="bottom"/>
            <w:hideMark/>
          </w:tcPr>
          <w:p w14:paraId="34AF7812" w14:textId="77777777" w:rsidR="00B322B7" w:rsidRPr="00B322B7" w:rsidRDefault="00B322B7" w:rsidP="005E2E4F">
            <w:pPr>
              <w:jc w:val="center"/>
              <w:rPr>
                <w:color w:val="000000"/>
                <w:sz w:val="22"/>
                <w:szCs w:val="22"/>
              </w:rPr>
            </w:pPr>
            <w:r w:rsidRPr="00B322B7">
              <w:rPr>
                <w:color w:val="000000"/>
                <w:sz w:val="22"/>
                <w:szCs w:val="22"/>
              </w:rPr>
              <w:t>34</w:t>
            </w:r>
          </w:p>
        </w:tc>
        <w:tc>
          <w:tcPr>
            <w:tcW w:w="1530" w:type="dxa"/>
            <w:tcBorders>
              <w:top w:val="nil"/>
              <w:left w:val="nil"/>
              <w:bottom w:val="single" w:sz="4" w:space="0" w:color="auto"/>
              <w:right w:val="single" w:sz="4" w:space="0" w:color="auto"/>
            </w:tcBorders>
            <w:shd w:val="clear" w:color="auto" w:fill="F2F2F2" w:themeFill="background1" w:themeFillShade="F2"/>
            <w:noWrap/>
            <w:vAlign w:val="bottom"/>
            <w:hideMark/>
          </w:tcPr>
          <w:p w14:paraId="4A9E2AAC" w14:textId="77777777" w:rsidR="00B322B7" w:rsidRPr="00B322B7" w:rsidRDefault="00B322B7" w:rsidP="005E2E4F">
            <w:pPr>
              <w:jc w:val="center"/>
              <w:rPr>
                <w:color w:val="000000"/>
                <w:sz w:val="22"/>
                <w:szCs w:val="22"/>
              </w:rPr>
            </w:pPr>
            <w:r w:rsidRPr="00B322B7">
              <w:rPr>
                <w:color w:val="000000"/>
                <w:sz w:val="22"/>
                <w:szCs w:val="22"/>
              </w:rPr>
              <w:t>5.1%</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14:paraId="30D7E40C" w14:textId="77777777" w:rsidR="00B322B7" w:rsidRPr="00B322B7" w:rsidRDefault="00B322B7" w:rsidP="005E2E4F">
            <w:pPr>
              <w:jc w:val="center"/>
              <w:rPr>
                <w:color w:val="000000"/>
                <w:sz w:val="22"/>
                <w:szCs w:val="22"/>
              </w:rPr>
            </w:pPr>
            <w:r w:rsidRPr="00B322B7">
              <w:rPr>
                <w:color w:val="000000"/>
                <w:sz w:val="22"/>
                <w:szCs w:val="22"/>
              </w:rPr>
              <w:t>0.5%</w:t>
            </w:r>
          </w:p>
        </w:tc>
      </w:tr>
      <w:tr w:rsidR="00B322B7" w:rsidRPr="00B322B7" w14:paraId="30B234A6" w14:textId="77777777" w:rsidTr="005E2E4F">
        <w:trPr>
          <w:trHeight w:val="315"/>
        </w:trPr>
        <w:tc>
          <w:tcPr>
            <w:tcW w:w="1455"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4AD0A86" w14:textId="77777777" w:rsidR="00B322B7" w:rsidRPr="00B322B7" w:rsidRDefault="00B322B7" w:rsidP="005E2E4F">
            <w:pPr>
              <w:jc w:val="center"/>
              <w:rPr>
                <w:b/>
                <w:bCs/>
                <w:color w:val="000000"/>
                <w:sz w:val="22"/>
                <w:szCs w:val="22"/>
              </w:rPr>
            </w:pPr>
            <w:r w:rsidRPr="00B322B7">
              <w:rPr>
                <w:b/>
                <w:bCs/>
                <w:color w:val="000000"/>
                <w:sz w:val="22"/>
                <w:szCs w:val="22"/>
              </w:rPr>
              <w:t>Total</w:t>
            </w:r>
          </w:p>
        </w:tc>
        <w:tc>
          <w:tcPr>
            <w:tcW w:w="1620" w:type="dxa"/>
            <w:tcBorders>
              <w:top w:val="nil"/>
              <w:left w:val="nil"/>
              <w:bottom w:val="single" w:sz="4" w:space="0" w:color="auto"/>
              <w:right w:val="single" w:sz="4" w:space="0" w:color="auto"/>
            </w:tcBorders>
            <w:shd w:val="clear" w:color="auto" w:fill="auto"/>
            <w:noWrap/>
            <w:vAlign w:val="bottom"/>
            <w:hideMark/>
          </w:tcPr>
          <w:p w14:paraId="2D79B3E3" w14:textId="77777777" w:rsidR="00B322B7" w:rsidRPr="00B322B7" w:rsidRDefault="00B322B7" w:rsidP="005E2E4F">
            <w:pPr>
              <w:jc w:val="center"/>
              <w:rPr>
                <w:b/>
                <w:bCs/>
                <w:color w:val="000000"/>
                <w:sz w:val="22"/>
                <w:szCs w:val="22"/>
              </w:rPr>
            </w:pPr>
            <w:r w:rsidRPr="00B322B7">
              <w:rPr>
                <w:b/>
                <w:bCs/>
                <w:color w:val="000000"/>
                <w:sz w:val="22"/>
                <w:szCs w:val="22"/>
              </w:rPr>
              <w:t>557</w:t>
            </w:r>
          </w:p>
        </w:tc>
        <w:tc>
          <w:tcPr>
            <w:tcW w:w="1620" w:type="dxa"/>
            <w:tcBorders>
              <w:top w:val="nil"/>
              <w:left w:val="nil"/>
              <w:bottom w:val="single" w:sz="4" w:space="0" w:color="auto"/>
              <w:right w:val="single" w:sz="4" w:space="0" w:color="auto"/>
            </w:tcBorders>
            <w:shd w:val="clear" w:color="auto" w:fill="auto"/>
            <w:noWrap/>
            <w:vAlign w:val="bottom"/>
            <w:hideMark/>
          </w:tcPr>
          <w:p w14:paraId="30F6D306" w14:textId="77777777" w:rsidR="00B322B7" w:rsidRPr="00B322B7" w:rsidRDefault="00B322B7" w:rsidP="005E2E4F">
            <w:pPr>
              <w:jc w:val="center"/>
              <w:rPr>
                <w:b/>
                <w:bCs/>
                <w:color w:val="000000"/>
                <w:sz w:val="22"/>
                <w:szCs w:val="22"/>
              </w:rPr>
            </w:pPr>
            <w:r w:rsidRPr="00B322B7">
              <w:rPr>
                <w:b/>
                <w:bCs/>
                <w:color w:val="000000"/>
                <w:sz w:val="22"/>
                <w:szCs w:val="22"/>
              </w:rPr>
              <w:t>665</w:t>
            </w:r>
          </w:p>
        </w:tc>
        <w:tc>
          <w:tcPr>
            <w:tcW w:w="1530" w:type="dxa"/>
            <w:tcBorders>
              <w:top w:val="nil"/>
              <w:left w:val="nil"/>
              <w:bottom w:val="single" w:sz="4" w:space="0" w:color="auto"/>
              <w:right w:val="single" w:sz="4" w:space="0" w:color="auto"/>
            </w:tcBorders>
            <w:shd w:val="clear" w:color="auto" w:fill="auto"/>
            <w:noWrap/>
            <w:vAlign w:val="bottom"/>
            <w:hideMark/>
          </w:tcPr>
          <w:p w14:paraId="080A5291" w14:textId="77777777" w:rsidR="00B322B7" w:rsidRPr="00B322B7" w:rsidRDefault="00B322B7" w:rsidP="005E2E4F">
            <w:pPr>
              <w:jc w:val="center"/>
              <w:rPr>
                <w:b/>
                <w:bCs/>
                <w:color w:val="000000"/>
                <w:sz w:val="22"/>
                <w:szCs w:val="22"/>
              </w:rPr>
            </w:pPr>
            <w:r w:rsidRPr="00B322B7">
              <w:rPr>
                <w:b/>
                <w:bCs/>
                <w:color w:val="000000"/>
                <w:sz w:val="22"/>
                <w:szCs w:val="22"/>
              </w:rPr>
              <w:t>100.0%</w:t>
            </w:r>
          </w:p>
        </w:tc>
        <w:tc>
          <w:tcPr>
            <w:tcW w:w="2430" w:type="dxa"/>
            <w:tcBorders>
              <w:top w:val="nil"/>
              <w:left w:val="nil"/>
              <w:bottom w:val="single" w:sz="4" w:space="0" w:color="auto"/>
              <w:right w:val="single" w:sz="4" w:space="0" w:color="auto"/>
            </w:tcBorders>
            <w:shd w:val="clear" w:color="auto" w:fill="auto"/>
            <w:noWrap/>
            <w:vAlign w:val="bottom"/>
            <w:hideMark/>
          </w:tcPr>
          <w:p w14:paraId="0F0E3FCC" w14:textId="77777777" w:rsidR="00B322B7" w:rsidRPr="00B322B7" w:rsidRDefault="00B322B7" w:rsidP="005E2E4F">
            <w:pPr>
              <w:jc w:val="center"/>
              <w:rPr>
                <w:b/>
                <w:bCs/>
                <w:color w:val="000000"/>
                <w:sz w:val="22"/>
                <w:szCs w:val="22"/>
              </w:rPr>
            </w:pPr>
            <w:r w:rsidRPr="00B322B7">
              <w:rPr>
                <w:b/>
                <w:bCs/>
                <w:color w:val="000000"/>
                <w:sz w:val="22"/>
                <w:szCs w:val="22"/>
              </w:rPr>
              <w:t>100.0%</w:t>
            </w:r>
          </w:p>
        </w:tc>
      </w:tr>
    </w:tbl>
    <w:p w14:paraId="3F9A9F58" w14:textId="77777777" w:rsidR="00B322B7" w:rsidRDefault="00B322B7" w:rsidP="00B322B7">
      <w:r w:rsidRPr="00195A2E">
        <w:rPr>
          <w:rFonts w:ascii="Arial" w:hAnsi="Arial" w:cs="Arial"/>
          <w:sz w:val="20"/>
          <w:szCs w:val="20"/>
        </w:rPr>
        <w:t>Source:  NMFS SERO PIMS as of September 12, 2016.</w:t>
      </w:r>
    </w:p>
    <w:p w14:paraId="29DFC10C" w14:textId="77777777" w:rsidR="00B322B7" w:rsidRDefault="00B322B7" w:rsidP="00B322B7">
      <w:pPr>
        <w:ind w:firstLine="360"/>
      </w:pPr>
    </w:p>
    <w:p w14:paraId="07FDA72E" w14:textId="77777777" w:rsidR="00B322B7" w:rsidRDefault="00B322B7" w:rsidP="00B322B7">
      <w:pPr>
        <w:ind w:firstLine="360"/>
      </w:pPr>
      <w:r>
        <w:t>A significant number of the permitted vessels do not have landings of mutton snapper in any given year and some of these vessels cannot land the species.  Permitted vessels that use longline gear are prohibited from landing (or possessing) mutton snapper in the South Atlantic EEZ (50 CFR 622.188(g)).  From 2011 through 2015, from 254  (38.2%) to 278 (41.8%) of the 665 permitted vessels landed mutton snapper in a year, and an annual average of 263 vessels landed the species (</w:t>
      </w:r>
      <w:r>
        <w:rPr>
          <w:b/>
        </w:rPr>
        <w:t>Table F-</w:t>
      </w:r>
      <w:r w:rsidRPr="00BB5C7C">
        <w:rPr>
          <w:b/>
        </w:rPr>
        <w:t>2</w:t>
      </w:r>
      <w:r>
        <w:t>).  The range of number of vessels represents a range of the number of businesses that would be directly affected annually from the rule:  from 213 to 232, with an average of 219 (39.3% of the 557 with a permitted vessel).</w:t>
      </w:r>
    </w:p>
    <w:p w14:paraId="29033D92" w14:textId="77777777" w:rsidR="00B322B7" w:rsidRDefault="00B322B7" w:rsidP="00B322B7">
      <w:pPr>
        <w:ind w:firstLine="360"/>
      </w:pPr>
    </w:p>
    <w:p w14:paraId="7C5DC3CE" w14:textId="77777777" w:rsidR="00B322B7" w:rsidRDefault="00B322B7" w:rsidP="00B322B7">
      <w:pPr>
        <w:ind w:firstLine="360"/>
      </w:pPr>
      <w:r>
        <w:lastRenderedPageBreak/>
        <w:t>The average vessel with landings of (South Atlantic) mutton snapper from 2011 through 2015 landed from 189 lbs gw to 247 lbs gw annually with a dockside value from $561 to $763 (2015 $) (</w:t>
      </w:r>
      <w:r>
        <w:rPr>
          <w:b/>
        </w:rPr>
        <w:t>Table F-</w:t>
      </w:r>
      <w:r w:rsidRPr="004400FE">
        <w:rPr>
          <w:b/>
        </w:rPr>
        <w:t>2</w:t>
      </w:r>
      <w:r>
        <w:t>).  When all landings and dockside revenues are combined, that average vessel annually harvests 17,613 lbs gw of marine species with dockside revenue (2015 $) of $47,708 (</w:t>
      </w:r>
      <w:r>
        <w:rPr>
          <w:b/>
        </w:rPr>
        <w:t>Table F-</w:t>
      </w:r>
      <w:r w:rsidRPr="0063059E">
        <w:rPr>
          <w:b/>
        </w:rPr>
        <w:t>3</w:t>
      </w:r>
      <w:r>
        <w:t xml:space="preserve">), and its mutton snapper landings account for approximately 1.4% of its total dockside revenue. </w:t>
      </w:r>
    </w:p>
    <w:p w14:paraId="58EF8C7B" w14:textId="77777777" w:rsidR="00B322B7" w:rsidRDefault="00B322B7" w:rsidP="00B322B7">
      <w:pPr>
        <w:autoSpaceDE w:val="0"/>
        <w:autoSpaceDN w:val="0"/>
        <w:adjustRightInd w:val="0"/>
        <w:ind w:firstLine="360"/>
        <w:rPr>
          <w:rFonts w:eastAsia="Calibri"/>
        </w:rPr>
      </w:pPr>
    </w:p>
    <w:p w14:paraId="78ED1FF3" w14:textId="77777777" w:rsidR="00B322B7" w:rsidRDefault="00B322B7" w:rsidP="00B322B7">
      <w:pPr>
        <w:rPr>
          <w:rFonts w:ascii="Arial" w:hAnsi="Arial" w:cs="Arial"/>
          <w:sz w:val="20"/>
          <w:szCs w:val="20"/>
        </w:rPr>
      </w:pPr>
      <w:r>
        <w:rPr>
          <w:rFonts w:ascii="Arial" w:hAnsi="Arial" w:cs="Arial"/>
          <w:b/>
          <w:sz w:val="20"/>
          <w:szCs w:val="20"/>
        </w:rPr>
        <w:t>Table F-</w:t>
      </w:r>
      <w:r w:rsidRPr="004D19FB">
        <w:rPr>
          <w:rFonts w:ascii="Arial" w:hAnsi="Arial" w:cs="Arial"/>
          <w:b/>
          <w:sz w:val="20"/>
          <w:szCs w:val="20"/>
        </w:rPr>
        <w:t>2.</w:t>
      </w:r>
      <w:r w:rsidRPr="00195A2E">
        <w:rPr>
          <w:rFonts w:ascii="Arial" w:hAnsi="Arial" w:cs="Arial"/>
          <w:sz w:val="20"/>
          <w:szCs w:val="20"/>
        </w:rPr>
        <w:t xml:space="preserve">  Number of Vessels with Mutton Snapper Landings</w:t>
      </w:r>
      <w:r>
        <w:rPr>
          <w:rFonts w:ascii="Arial" w:hAnsi="Arial" w:cs="Arial"/>
          <w:sz w:val="20"/>
          <w:szCs w:val="20"/>
        </w:rPr>
        <w:t xml:space="preserve"> and Average Landings per Vessel (by Weight and Dockside Revenue (2015 $)) in South Atlantic Region</w:t>
      </w:r>
      <w:r w:rsidRPr="00195A2E">
        <w:rPr>
          <w:rFonts w:ascii="Arial" w:hAnsi="Arial" w:cs="Arial"/>
          <w:sz w:val="20"/>
          <w:szCs w:val="20"/>
        </w:rPr>
        <w:t xml:space="preserve">, 2011-2015.  </w:t>
      </w:r>
    </w:p>
    <w:tbl>
      <w:tblPr>
        <w:tblW w:w="8884" w:type="dxa"/>
        <w:tblInd w:w="93" w:type="dxa"/>
        <w:tblLook w:val="04A0" w:firstRow="1" w:lastRow="0" w:firstColumn="1" w:lastColumn="0" w:noHBand="0" w:noVBand="1"/>
      </w:tblPr>
      <w:tblGrid>
        <w:gridCol w:w="1344"/>
        <w:gridCol w:w="1345"/>
        <w:gridCol w:w="1320"/>
        <w:gridCol w:w="1320"/>
        <w:gridCol w:w="1508"/>
        <w:gridCol w:w="2047"/>
      </w:tblGrid>
      <w:tr w:rsidR="00B322B7" w:rsidRPr="00B322B7" w14:paraId="0154227B" w14:textId="77777777" w:rsidTr="005E2E4F">
        <w:trPr>
          <w:trHeight w:val="300"/>
        </w:trPr>
        <w:tc>
          <w:tcPr>
            <w:tcW w:w="1344"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EFA23E" w14:textId="77777777" w:rsidR="00B322B7" w:rsidRPr="00B322B7" w:rsidRDefault="00B322B7" w:rsidP="005E2E4F">
            <w:pPr>
              <w:jc w:val="center"/>
              <w:rPr>
                <w:b/>
                <w:bCs/>
                <w:color w:val="000000"/>
                <w:sz w:val="22"/>
                <w:szCs w:val="22"/>
              </w:rPr>
            </w:pPr>
            <w:r w:rsidRPr="00B322B7">
              <w:rPr>
                <w:b/>
                <w:bCs/>
                <w:color w:val="000000"/>
                <w:sz w:val="22"/>
                <w:szCs w:val="22"/>
              </w:rPr>
              <w:t>Year</w:t>
            </w:r>
          </w:p>
        </w:tc>
        <w:tc>
          <w:tcPr>
            <w:tcW w:w="1345"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732FECD4" w14:textId="77777777" w:rsidR="00B322B7" w:rsidRPr="00B322B7" w:rsidRDefault="00B322B7" w:rsidP="005E2E4F">
            <w:pPr>
              <w:jc w:val="center"/>
              <w:rPr>
                <w:b/>
                <w:bCs/>
                <w:color w:val="000000"/>
                <w:sz w:val="22"/>
                <w:szCs w:val="22"/>
              </w:rPr>
            </w:pPr>
            <w:r w:rsidRPr="00B322B7">
              <w:rPr>
                <w:b/>
                <w:bCs/>
                <w:color w:val="000000"/>
                <w:sz w:val="22"/>
                <w:szCs w:val="22"/>
              </w:rPr>
              <w:t xml:space="preserve">Number of Vessels </w:t>
            </w:r>
          </w:p>
        </w:tc>
        <w:tc>
          <w:tcPr>
            <w:tcW w:w="6195"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109D65B9" w14:textId="77777777" w:rsidR="00B322B7" w:rsidRPr="00B322B7" w:rsidRDefault="00B322B7" w:rsidP="005E2E4F">
            <w:pPr>
              <w:jc w:val="center"/>
              <w:rPr>
                <w:b/>
                <w:bCs/>
                <w:color w:val="000000"/>
                <w:sz w:val="22"/>
                <w:szCs w:val="22"/>
              </w:rPr>
            </w:pPr>
            <w:r w:rsidRPr="00B322B7">
              <w:rPr>
                <w:b/>
                <w:bCs/>
                <w:color w:val="000000"/>
                <w:sz w:val="22"/>
                <w:szCs w:val="22"/>
              </w:rPr>
              <w:t>South Atlantic Region mutton snapper landings</w:t>
            </w:r>
          </w:p>
        </w:tc>
      </w:tr>
      <w:tr w:rsidR="00B322B7" w:rsidRPr="00B322B7" w14:paraId="06DBFBFC" w14:textId="77777777" w:rsidTr="005E2E4F">
        <w:trPr>
          <w:trHeight w:val="1425"/>
        </w:trPr>
        <w:tc>
          <w:tcPr>
            <w:tcW w:w="1344" w:type="dxa"/>
            <w:vMerge/>
            <w:tcBorders>
              <w:top w:val="single" w:sz="4" w:space="0" w:color="auto"/>
              <w:left w:val="single" w:sz="4" w:space="0" w:color="auto"/>
              <w:bottom w:val="single" w:sz="4" w:space="0" w:color="auto"/>
              <w:right w:val="single" w:sz="4" w:space="0" w:color="auto"/>
            </w:tcBorders>
            <w:vAlign w:val="center"/>
            <w:hideMark/>
          </w:tcPr>
          <w:p w14:paraId="13BB8BF9" w14:textId="77777777" w:rsidR="00B322B7" w:rsidRPr="00B322B7" w:rsidRDefault="00B322B7" w:rsidP="005E2E4F">
            <w:pPr>
              <w:rPr>
                <w:b/>
                <w:bCs/>
                <w:color w:val="000000"/>
                <w:sz w:val="22"/>
                <w:szCs w:val="22"/>
              </w:rPr>
            </w:pPr>
          </w:p>
        </w:tc>
        <w:tc>
          <w:tcPr>
            <w:tcW w:w="1345" w:type="dxa"/>
            <w:vMerge/>
            <w:tcBorders>
              <w:top w:val="single" w:sz="4" w:space="0" w:color="auto"/>
              <w:left w:val="single" w:sz="4" w:space="0" w:color="auto"/>
              <w:bottom w:val="single" w:sz="4" w:space="0" w:color="000000"/>
              <w:right w:val="single" w:sz="4" w:space="0" w:color="auto"/>
            </w:tcBorders>
            <w:vAlign w:val="center"/>
            <w:hideMark/>
          </w:tcPr>
          <w:p w14:paraId="1CF58748" w14:textId="77777777" w:rsidR="00B322B7" w:rsidRPr="00B322B7" w:rsidRDefault="00B322B7" w:rsidP="005E2E4F">
            <w:pPr>
              <w:rPr>
                <w:b/>
                <w:bCs/>
                <w:color w:val="000000"/>
                <w:sz w:val="22"/>
                <w:szCs w:val="22"/>
              </w:rPr>
            </w:pPr>
          </w:p>
        </w:tc>
        <w:tc>
          <w:tcPr>
            <w:tcW w:w="1320" w:type="dxa"/>
            <w:tcBorders>
              <w:top w:val="nil"/>
              <w:left w:val="nil"/>
              <w:bottom w:val="single" w:sz="4" w:space="0" w:color="auto"/>
              <w:right w:val="single" w:sz="4" w:space="0" w:color="auto"/>
            </w:tcBorders>
            <w:shd w:val="clear" w:color="000000" w:fill="D9D9D9"/>
            <w:vAlign w:val="center"/>
            <w:hideMark/>
          </w:tcPr>
          <w:p w14:paraId="1253A080" w14:textId="77777777" w:rsidR="00B322B7" w:rsidRPr="00B322B7" w:rsidRDefault="00B322B7" w:rsidP="005E2E4F">
            <w:pPr>
              <w:jc w:val="center"/>
              <w:rPr>
                <w:b/>
                <w:bCs/>
                <w:color w:val="000000"/>
                <w:sz w:val="22"/>
                <w:szCs w:val="22"/>
              </w:rPr>
            </w:pPr>
            <w:r w:rsidRPr="00B322B7">
              <w:rPr>
                <w:b/>
                <w:bCs/>
                <w:color w:val="000000"/>
                <w:sz w:val="22"/>
                <w:szCs w:val="22"/>
              </w:rPr>
              <w:t>Lbs gw</w:t>
            </w:r>
          </w:p>
        </w:tc>
        <w:tc>
          <w:tcPr>
            <w:tcW w:w="1320" w:type="dxa"/>
            <w:tcBorders>
              <w:top w:val="nil"/>
              <w:left w:val="nil"/>
              <w:bottom w:val="single" w:sz="4" w:space="0" w:color="auto"/>
              <w:right w:val="single" w:sz="4" w:space="0" w:color="auto"/>
            </w:tcBorders>
            <w:shd w:val="clear" w:color="000000" w:fill="D9D9D9"/>
            <w:vAlign w:val="center"/>
            <w:hideMark/>
          </w:tcPr>
          <w:p w14:paraId="2D410756" w14:textId="77777777" w:rsidR="00B322B7" w:rsidRPr="00B322B7" w:rsidRDefault="00B322B7" w:rsidP="005E2E4F">
            <w:pPr>
              <w:jc w:val="center"/>
              <w:rPr>
                <w:b/>
                <w:bCs/>
                <w:color w:val="000000"/>
                <w:sz w:val="22"/>
                <w:szCs w:val="22"/>
              </w:rPr>
            </w:pPr>
            <w:r w:rsidRPr="00B322B7">
              <w:rPr>
                <w:b/>
                <w:bCs/>
                <w:color w:val="000000"/>
                <w:sz w:val="22"/>
                <w:szCs w:val="22"/>
              </w:rPr>
              <w:t>Ave lbs gw per vessel</w:t>
            </w:r>
          </w:p>
        </w:tc>
        <w:tc>
          <w:tcPr>
            <w:tcW w:w="1508" w:type="dxa"/>
            <w:tcBorders>
              <w:top w:val="nil"/>
              <w:left w:val="nil"/>
              <w:bottom w:val="single" w:sz="4" w:space="0" w:color="auto"/>
              <w:right w:val="single" w:sz="4" w:space="0" w:color="auto"/>
            </w:tcBorders>
            <w:shd w:val="clear" w:color="000000" w:fill="D9D9D9"/>
            <w:vAlign w:val="center"/>
            <w:hideMark/>
          </w:tcPr>
          <w:p w14:paraId="32C32C3F" w14:textId="77777777" w:rsidR="00B322B7" w:rsidRPr="00B322B7" w:rsidRDefault="00B322B7" w:rsidP="005E2E4F">
            <w:pPr>
              <w:jc w:val="center"/>
              <w:rPr>
                <w:b/>
                <w:bCs/>
                <w:color w:val="000000"/>
                <w:sz w:val="22"/>
                <w:szCs w:val="22"/>
              </w:rPr>
            </w:pPr>
            <w:r w:rsidRPr="00B322B7">
              <w:rPr>
                <w:b/>
                <w:bCs/>
                <w:color w:val="000000"/>
                <w:sz w:val="22"/>
                <w:szCs w:val="22"/>
              </w:rPr>
              <w:t>Real dockside revenue (2015 $)</w:t>
            </w:r>
          </w:p>
        </w:tc>
        <w:tc>
          <w:tcPr>
            <w:tcW w:w="2047" w:type="dxa"/>
            <w:tcBorders>
              <w:top w:val="nil"/>
              <w:left w:val="nil"/>
              <w:bottom w:val="single" w:sz="4" w:space="0" w:color="auto"/>
              <w:right w:val="single" w:sz="4" w:space="0" w:color="auto"/>
            </w:tcBorders>
            <w:shd w:val="clear" w:color="000000" w:fill="D9D9D9"/>
            <w:vAlign w:val="center"/>
            <w:hideMark/>
          </w:tcPr>
          <w:p w14:paraId="04853F59" w14:textId="77777777" w:rsidR="00B322B7" w:rsidRPr="00B322B7" w:rsidRDefault="00B322B7" w:rsidP="005E2E4F">
            <w:pPr>
              <w:jc w:val="center"/>
              <w:rPr>
                <w:b/>
                <w:bCs/>
                <w:color w:val="000000"/>
                <w:sz w:val="22"/>
                <w:szCs w:val="22"/>
              </w:rPr>
            </w:pPr>
            <w:r w:rsidRPr="00B322B7">
              <w:rPr>
                <w:b/>
                <w:bCs/>
                <w:color w:val="000000"/>
                <w:sz w:val="22"/>
                <w:szCs w:val="22"/>
              </w:rPr>
              <w:t>Average real dockside revenue (2015 $) per vessel</w:t>
            </w:r>
          </w:p>
        </w:tc>
      </w:tr>
      <w:tr w:rsidR="00B322B7" w:rsidRPr="00B322B7" w14:paraId="732458A1" w14:textId="77777777" w:rsidTr="005E2E4F">
        <w:trPr>
          <w:trHeight w:val="300"/>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405EA8AF" w14:textId="77777777" w:rsidR="00B322B7" w:rsidRPr="00B322B7" w:rsidRDefault="00B322B7" w:rsidP="005E2E4F">
            <w:pPr>
              <w:jc w:val="center"/>
              <w:rPr>
                <w:b/>
                <w:bCs/>
                <w:color w:val="000000"/>
                <w:sz w:val="22"/>
                <w:szCs w:val="22"/>
              </w:rPr>
            </w:pPr>
            <w:r w:rsidRPr="00B322B7">
              <w:rPr>
                <w:b/>
                <w:bCs/>
                <w:color w:val="000000"/>
                <w:sz w:val="22"/>
                <w:szCs w:val="22"/>
              </w:rPr>
              <w:t>2011</w:t>
            </w:r>
          </w:p>
        </w:tc>
        <w:tc>
          <w:tcPr>
            <w:tcW w:w="1345" w:type="dxa"/>
            <w:tcBorders>
              <w:top w:val="nil"/>
              <w:left w:val="nil"/>
              <w:bottom w:val="single" w:sz="4" w:space="0" w:color="auto"/>
              <w:right w:val="single" w:sz="4" w:space="0" w:color="auto"/>
            </w:tcBorders>
            <w:shd w:val="clear" w:color="auto" w:fill="auto"/>
            <w:noWrap/>
            <w:vAlign w:val="bottom"/>
            <w:hideMark/>
          </w:tcPr>
          <w:p w14:paraId="0A7A1144" w14:textId="77777777" w:rsidR="00B322B7" w:rsidRPr="00B322B7" w:rsidRDefault="00B322B7" w:rsidP="005E2E4F">
            <w:pPr>
              <w:jc w:val="center"/>
              <w:rPr>
                <w:color w:val="000000"/>
                <w:sz w:val="22"/>
                <w:szCs w:val="22"/>
              </w:rPr>
            </w:pPr>
            <w:r w:rsidRPr="00B322B7">
              <w:rPr>
                <w:color w:val="000000"/>
                <w:sz w:val="22"/>
                <w:szCs w:val="22"/>
              </w:rPr>
              <w:t>278</w:t>
            </w:r>
          </w:p>
        </w:tc>
        <w:tc>
          <w:tcPr>
            <w:tcW w:w="1320" w:type="dxa"/>
            <w:tcBorders>
              <w:top w:val="nil"/>
              <w:left w:val="nil"/>
              <w:bottom w:val="single" w:sz="4" w:space="0" w:color="auto"/>
              <w:right w:val="single" w:sz="4" w:space="0" w:color="auto"/>
            </w:tcBorders>
            <w:shd w:val="clear" w:color="auto" w:fill="auto"/>
            <w:noWrap/>
            <w:vAlign w:val="bottom"/>
            <w:hideMark/>
          </w:tcPr>
          <w:p w14:paraId="07F504AB" w14:textId="77777777" w:rsidR="00B322B7" w:rsidRPr="00B322B7" w:rsidRDefault="00B322B7" w:rsidP="005E2E4F">
            <w:pPr>
              <w:jc w:val="center"/>
              <w:rPr>
                <w:color w:val="000000"/>
                <w:sz w:val="22"/>
                <w:szCs w:val="22"/>
              </w:rPr>
            </w:pPr>
            <w:r w:rsidRPr="00B322B7">
              <w:rPr>
                <w:color w:val="000000"/>
                <w:sz w:val="22"/>
                <w:szCs w:val="22"/>
              </w:rPr>
              <w:t>52,679</w:t>
            </w:r>
          </w:p>
        </w:tc>
        <w:tc>
          <w:tcPr>
            <w:tcW w:w="1320" w:type="dxa"/>
            <w:tcBorders>
              <w:top w:val="nil"/>
              <w:left w:val="nil"/>
              <w:bottom w:val="single" w:sz="4" w:space="0" w:color="auto"/>
              <w:right w:val="single" w:sz="4" w:space="0" w:color="auto"/>
            </w:tcBorders>
            <w:shd w:val="clear" w:color="auto" w:fill="auto"/>
            <w:noWrap/>
            <w:vAlign w:val="bottom"/>
            <w:hideMark/>
          </w:tcPr>
          <w:p w14:paraId="5DC0D8FB" w14:textId="77777777" w:rsidR="00B322B7" w:rsidRPr="00B322B7" w:rsidRDefault="00B322B7" w:rsidP="005E2E4F">
            <w:pPr>
              <w:jc w:val="center"/>
              <w:rPr>
                <w:color w:val="000000"/>
                <w:sz w:val="22"/>
                <w:szCs w:val="22"/>
              </w:rPr>
            </w:pPr>
            <w:r w:rsidRPr="00B322B7">
              <w:rPr>
                <w:color w:val="000000"/>
                <w:sz w:val="22"/>
                <w:szCs w:val="22"/>
              </w:rPr>
              <w:t>189</w:t>
            </w:r>
          </w:p>
        </w:tc>
        <w:tc>
          <w:tcPr>
            <w:tcW w:w="1508" w:type="dxa"/>
            <w:tcBorders>
              <w:top w:val="nil"/>
              <w:left w:val="nil"/>
              <w:bottom w:val="single" w:sz="4" w:space="0" w:color="auto"/>
              <w:right w:val="single" w:sz="4" w:space="0" w:color="auto"/>
            </w:tcBorders>
            <w:shd w:val="clear" w:color="auto" w:fill="auto"/>
            <w:noWrap/>
            <w:vAlign w:val="bottom"/>
            <w:hideMark/>
          </w:tcPr>
          <w:p w14:paraId="4A50EC40" w14:textId="77777777" w:rsidR="00B322B7" w:rsidRPr="00B322B7" w:rsidRDefault="00B322B7" w:rsidP="005E2E4F">
            <w:pPr>
              <w:jc w:val="center"/>
              <w:rPr>
                <w:color w:val="000000"/>
                <w:sz w:val="22"/>
                <w:szCs w:val="22"/>
              </w:rPr>
            </w:pPr>
            <w:r w:rsidRPr="00B322B7">
              <w:rPr>
                <w:color w:val="000000"/>
                <w:sz w:val="22"/>
                <w:szCs w:val="22"/>
              </w:rPr>
              <w:t xml:space="preserve">$156,068 </w:t>
            </w:r>
          </w:p>
        </w:tc>
        <w:tc>
          <w:tcPr>
            <w:tcW w:w="2047" w:type="dxa"/>
            <w:tcBorders>
              <w:top w:val="nil"/>
              <w:left w:val="nil"/>
              <w:bottom w:val="single" w:sz="4" w:space="0" w:color="auto"/>
              <w:right w:val="single" w:sz="4" w:space="0" w:color="auto"/>
            </w:tcBorders>
            <w:shd w:val="clear" w:color="auto" w:fill="auto"/>
            <w:noWrap/>
            <w:vAlign w:val="bottom"/>
            <w:hideMark/>
          </w:tcPr>
          <w:p w14:paraId="1D842FA4" w14:textId="77777777" w:rsidR="00B322B7" w:rsidRPr="00B322B7" w:rsidRDefault="00B322B7" w:rsidP="005E2E4F">
            <w:pPr>
              <w:jc w:val="center"/>
              <w:rPr>
                <w:color w:val="000000"/>
                <w:sz w:val="22"/>
                <w:szCs w:val="22"/>
              </w:rPr>
            </w:pPr>
            <w:r w:rsidRPr="00B322B7">
              <w:rPr>
                <w:color w:val="000000"/>
                <w:sz w:val="22"/>
                <w:szCs w:val="22"/>
              </w:rPr>
              <w:t xml:space="preserve">$561 </w:t>
            </w:r>
          </w:p>
        </w:tc>
      </w:tr>
      <w:tr w:rsidR="00B322B7" w:rsidRPr="00B322B7" w14:paraId="7EF24FEB" w14:textId="77777777" w:rsidTr="005E2E4F">
        <w:trPr>
          <w:trHeight w:val="300"/>
        </w:trPr>
        <w:tc>
          <w:tcPr>
            <w:tcW w:w="1344" w:type="dxa"/>
            <w:tcBorders>
              <w:top w:val="nil"/>
              <w:left w:val="single" w:sz="4" w:space="0" w:color="auto"/>
              <w:bottom w:val="single" w:sz="4" w:space="0" w:color="auto"/>
              <w:right w:val="single" w:sz="4" w:space="0" w:color="auto"/>
            </w:tcBorders>
            <w:shd w:val="clear" w:color="000000" w:fill="F2F2F2"/>
            <w:noWrap/>
            <w:vAlign w:val="bottom"/>
            <w:hideMark/>
          </w:tcPr>
          <w:p w14:paraId="5468FF37" w14:textId="77777777" w:rsidR="00B322B7" w:rsidRPr="00B322B7" w:rsidRDefault="00B322B7" w:rsidP="005E2E4F">
            <w:pPr>
              <w:jc w:val="center"/>
              <w:rPr>
                <w:b/>
                <w:bCs/>
                <w:color w:val="000000"/>
                <w:sz w:val="22"/>
                <w:szCs w:val="22"/>
              </w:rPr>
            </w:pPr>
            <w:r w:rsidRPr="00B322B7">
              <w:rPr>
                <w:b/>
                <w:bCs/>
                <w:color w:val="000000"/>
                <w:sz w:val="22"/>
                <w:szCs w:val="22"/>
              </w:rPr>
              <w:t>2012</w:t>
            </w:r>
          </w:p>
        </w:tc>
        <w:tc>
          <w:tcPr>
            <w:tcW w:w="1345" w:type="dxa"/>
            <w:tcBorders>
              <w:top w:val="nil"/>
              <w:left w:val="nil"/>
              <w:bottom w:val="single" w:sz="4" w:space="0" w:color="auto"/>
              <w:right w:val="single" w:sz="4" w:space="0" w:color="auto"/>
            </w:tcBorders>
            <w:shd w:val="clear" w:color="000000" w:fill="F2F2F2"/>
            <w:noWrap/>
            <w:vAlign w:val="bottom"/>
            <w:hideMark/>
          </w:tcPr>
          <w:p w14:paraId="5B13BC04" w14:textId="77777777" w:rsidR="00B322B7" w:rsidRPr="00B322B7" w:rsidRDefault="00B322B7" w:rsidP="005E2E4F">
            <w:pPr>
              <w:jc w:val="center"/>
              <w:rPr>
                <w:color w:val="000000"/>
                <w:sz w:val="22"/>
                <w:szCs w:val="22"/>
              </w:rPr>
            </w:pPr>
            <w:r w:rsidRPr="00B322B7">
              <w:rPr>
                <w:color w:val="000000"/>
                <w:sz w:val="22"/>
                <w:szCs w:val="22"/>
              </w:rPr>
              <w:t>258</w:t>
            </w:r>
          </w:p>
        </w:tc>
        <w:tc>
          <w:tcPr>
            <w:tcW w:w="1320" w:type="dxa"/>
            <w:tcBorders>
              <w:top w:val="nil"/>
              <w:left w:val="nil"/>
              <w:bottom w:val="single" w:sz="4" w:space="0" w:color="auto"/>
              <w:right w:val="single" w:sz="4" w:space="0" w:color="auto"/>
            </w:tcBorders>
            <w:shd w:val="clear" w:color="000000" w:fill="F2F2F2"/>
            <w:noWrap/>
            <w:vAlign w:val="bottom"/>
            <w:hideMark/>
          </w:tcPr>
          <w:p w14:paraId="1F20D9E5" w14:textId="77777777" w:rsidR="00B322B7" w:rsidRPr="00B322B7" w:rsidRDefault="00B322B7" w:rsidP="005E2E4F">
            <w:pPr>
              <w:jc w:val="center"/>
              <w:rPr>
                <w:color w:val="000000"/>
                <w:sz w:val="22"/>
                <w:szCs w:val="22"/>
              </w:rPr>
            </w:pPr>
            <w:r w:rsidRPr="00B322B7">
              <w:rPr>
                <w:color w:val="000000"/>
                <w:sz w:val="22"/>
                <w:szCs w:val="22"/>
              </w:rPr>
              <w:t>61,943</w:t>
            </w:r>
          </w:p>
        </w:tc>
        <w:tc>
          <w:tcPr>
            <w:tcW w:w="1320" w:type="dxa"/>
            <w:tcBorders>
              <w:top w:val="nil"/>
              <w:left w:val="nil"/>
              <w:bottom w:val="single" w:sz="4" w:space="0" w:color="auto"/>
              <w:right w:val="single" w:sz="4" w:space="0" w:color="auto"/>
            </w:tcBorders>
            <w:shd w:val="clear" w:color="000000" w:fill="F2F2F2"/>
            <w:noWrap/>
            <w:vAlign w:val="bottom"/>
            <w:hideMark/>
          </w:tcPr>
          <w:p w14:paraId="4A53E402" w14:textId="77777777" w:rsidR="00B322B7" w:rsidRPr="00B322B7" w:rsidRDefault="00B322B7" w:rsidP="005E2E4F">
            <w:pPr>
              <w:jc w:val="center"/>
              <w:rPr>
                <w:color w:val="000000"/>
                <w:sz w:val="22"/>
                <w:szCs w:val="22"/>
              </w:rPr>
            </w:pPr>
            <w:r w:rsidRPr="00B322B7">
              <w:rPr>
                <w:color w:val="000000"/>
                <w:sz w:val="22"/>
                <w:szCs w:val="22"/>
              </w:rPr>
              <w:t>240</w:t>
            </w:r>
          </w:p>
        </w:tc>
        <w:tc>
          <w:tcPr>
            <w:tcW w:w="1508" w:type="dxa"/>
            <w:tcBorders>
              <w:top w:val="nil"/>
              <w:left w:val="nil"/>
              <w:bottom w:val="single" w:sz="4" w:space="0" w:color="auto"/>
              <w:right w:val="single" w:sz="4" w:space="0" w:color="auto"/>
            </w:tcBorders>
            <w:shd w:val="clear" w:color="000000" w:fill="F2F2F2"/>
            <w:noWrap/>
            <w:vAlign w:val="bottom"/>
            <w:hideMark/>
          </w:tcPr>
          <w:p w14:paraId="0F5EF4F3" w14:textId="77777777" w:rsidR="00B322B7" w:rsidRPr="00B322B7" w:rsidRDefault="00B322B7" w:rsidP="005E2E4F">
            <w:pPr>
              <w:jc w:val="center"/>
              <w:rPr>
                <w:color w:val="000000"/>
                <w:sz w:val="22"/>
                <w:szCs w:val="22"/>
              </w:rPr>
            </w:pPr>
            <w:r w:rsidRPr="00B322B7">
              <w:rPr>
                <w:color w:val="000000"/>
                <w:sz w:val="22"/>
                <w:szCs w:val="22"/>
              </w:rPr>
              <w:t xml:space="preserve">$175,529 </w:t>
            </w:r>
          </w:p>
        </w:tc>
        <w:tc>
          <w:tcPr>
            <w:tcW w:w="2047" w:type="dxa"/>
            <w:tcBorders>
              <w:top w:val="nil"/>
              <w:left w:val="nil"/>
              <w:bottom w:val="single" w:sz="4" w:space="0" w:color="auto"/>
              <w:right w:val="single" w:sz="4" w:space="0" w:color="auto"/>
            </w:tcBorders>
            <w:shd w:val="clear" w:color="000000" w:fill="F2F2F2"/>
            <w:noWrap/>
            <w:vAlign w:val="bottom"/>
            <w:hideMark/>
          </w:tcPr>
          <w:p w14:paraId="48E7C80C" w14:textId="77777777" w:rsidR="00B322B7" w:rsidRPr="00B322B7" w:rsidRDefault="00B322B7" w:rsidP="005E2E4F">
            <w:pPr>
              <w:jc w:val="center"/>
              <w:rPr>
                <w:color w:val="000000"/>
                <w:sz w:val="22"/>
                <w:szCs w:val="22"/>
              </w:rPr>
            </w:pPr>
            <w:r w:rsidRPr="00B322B7">
              <w:rPr>
                <w:color w:val="000000"/>
                <w:sz w:val="22"/>
                <w:szCs w:val="22"/>
              </w:rPr>
              <w:t xml:space="preserve">$680 </w:t>
            </w:r>
          </w:p>
        </w:tc>
      </w:tr>
      <w:tr w:rsidR="00B322B7" w:rsidRPr="00B322B7" w14:paraId="5546E08B" w14:textId="77777777" w:rsidTr="005E2E4F">
        <w:trPr>
          <w:trHeight w:val="300"/>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30F0E93A" w14:textId="77777777" w:rsidR="00B322B7" w:rsidRPr="00B322B7" w:rsidRDefault="00B322B7" w:rsidP="005E2E4F">
            <w:pPr>
              <w:jc w:val="center"/>
              <w:rPr>
                <w:b/>
                <w:bCs/>
                <w:color w:val="000000"/>
                <w:sz w:val="22"/>
                <w:szCs w:val="22"/>
              </w:rPr>
            </w:pPr>
            <w:r w:rsidRPr="00B322B7">
              <w:rPr>
                <w:b/>
                <w:bCs/>
                <w:color w:val="000000"/>
                <w:sz w:val="22"/>
                <w:szCs w:val="22"/>
              </w:rPr>
              <w:t>2013</w:t>
            </w:r>
          </w:p>
        </w:tc>
        <w:tc>
          <w:tcPr>
            <w:tcW w:w="1345" w:type="dxa"/>
            <w:tcBorders>
              <w:top w:val="nil"/>
              <w:left w:val="nil"/>
              <w:bottom w:val="single" w:sz="4" w:space="0" w:color="auto"/>
              <w:right w:val="single" w:sz="4" w:space="0" w:color="auto"/>
            </w:tcBorders>
            <w:shd w:val="clear" w:color="auto" w:fill="auto"/>
            <w:noWrap/>
            <w:vAlign w:val="bottom"/>
            <w:hideMark/>
          </w:tcPr>
          <w:p w14:paraId="25301D7B" w14:textId="77777777" w:rsidR="00B322B7" w:rsidRPr="00B322B7" w:rsidRDefault="00B322B7" w:rsidP="005E2E4F">
            <w:pPr>
              <w:jc w:val="center"/>
              <w:rPr>
                <w:color w:val="000000"/>
                <w:sz w:val="22"/>
                <w:szCs w:val="22"/>
              </w:rPr>
            </w:pPr>
            <w:r w:rsidRPr="00B322B7">
              <w:rPr>
                <w:color w:val="000000"/>
                <w:sz w:val="22"/>
                <w:szCs w:val="22"/>
              </w:rPr>
              <w:t>254</w:t>
            </w:r>
          </w:p>
        </w:tc>
        <w:tc>
          <w:tcPr>
            <w:tcW w:w="1320" w:type="dxa"/>
            <w:tcBorders>
              <w:top w:val="nil"/>
              <w:left w:val="nil"/>
              <w:bottom w:val="single" w:sz="4" w:space="0" w:color="auto"/>
              <w:right w:val="single" w:sz="4" w:space="0" w:color="auto"/>
            </w:tcBorders>
            <w:shd w:val="clear" w:color="auto" w:fill="auto"/>
            <w:noWrap/>
            <w:vAlign w:val="bottom"/>
            <w:hideMark/>
          </w:tcPr>
          <w:p w14:paraId="41E7AF21" w14:textId="77777777" w:rsidR="00B322B7" w:rsidRPr="00B322B7" w:rsidRDefault="00B322B7" w:rsidP="005E2E4F">
            <w:pPr>
              <w:jc w:val="center"/>
              <w:rPr>
                <w:color w:val="000000"/>
                <w:sz w:val="22"/>
                <w:szCs w:val="22"/>
              </w:rPr>
            </w:pPr>
            <w:r w:rsidRPr="00B322B7">
              <w:rPr>
                <w:color w:val="000000"/>
                <w:sz w:val="22"/>
                <w:szCs w:val="22"/>
              </w:rPr>
              <w:t>57,471</w:t>
            </w:r>
          </w:p>
        </w:tc>
        <w:tc>
          <w:tcPr>
            <w:tcW w:w="1320" w:type="dxa"/>
            <w:tcBorders>
              <w:top w:val="nil"/>
              <w:left w:val="nil"/>
              <w:bottom w:val="single" w:sz="4" w:space="0" w:color="auto"/>
              <w:right w:val="single" w:sz="4" w:space="0" w:color="auto"/>
            </w:tcBorders>
            <w:shd w:val="clear" w:color="auto" w:fill="auto"/>
            <w:noWrap/>
            <w:vAlign w:val="bottom"/>
            <w:hideMark/>
          </w:tcPr>
          <w:p w14:paraId="70366EB6" w14:textId="77777777" w:rsidR="00B322B7" w:rsidRPr="00B322B7" w:rsidRDefault="00B322B7" w:rsidP="005E2E4F">
            <w:pPr>
              <w:jc w:val="center"/>
              <w:rPr>
                <w:color w:val="000000"/>
                <w:sz w:val="22"/>
                <w:szCs w:val="22"/>
              </w:rPr>
            </w:pPr>
            <w:r w:rsidRPr="00B322B7">
              <w:rPr>
                <w:color w:val="000000"/>
                <w:sz w:val="22"/>
                <w:szCs w:val="22"/>
              </w:rPr>
              <w:t>226</w:t>
            </w:r>
          </w:p>
        </w:tc>
        <w:tc>
          <w:tcPr>
            <w:tcW w:w="1508" w:type="dxa"/>
            <w:tcBorders>
              <w:top w:val="nil"/>
              <w:left w:val="nil"/>
              <w:bottom w:val="single" w:sz="4" w:space="0" w:color="auto"/>
              <w:right w:val="single" w:sz="4" w:space="0" w:color="auto"/>
            </w:tcBorders>
            <w:shd w:val="clear" w:color="auto" w:fill="auto"/>
            <w:noWrap/>
            <w:vAlign w:val="bottom"/>
            <w:hideMark/>
          </w:tcPr>
          <w:p w14:paraId="73422145" w14:textId="77777777" w:rsidR="00B322B7" w:rsidRPr="00B322B7" w:rsidRDefault="00B322B7" w:rsidP="005E2E4F">
            <w:pPr>
              <w:jc w:val="center"/>
              <w:rPr>
                <w:color w:val="000000"/>
                <w:sz w:val="22"/>
                <w:szCs w:val="22"/>
              </w:rPr>
            </w:pPr>
            <w:r w:rsidRPr="00B322B7">
              <w:rPr>
                <w:color w:val="000000"/>
                <w:sz w:val="22"/>
                <w:szCs w:val="22"/>
              </w:rPr>
              <w:t xml:space="preserve">$169,641 </w:t>
            </w:r>
          </w:p>
        </w:tc>
        <w:tc>
          <w:tcPr>
            <w:tcW w:w="2047" w:type="dxa"/>
            <w:tcBorders>
              <w:top w:val="nil"/>
              <w:left w:val="nil"/>
              <w:bottom w:val="single" w:sz="4" w:space="0" w:color="auto"/>
              <w:right w:val="single" w:sz="4" w:space="0" w:color="auto"/>
            </w:tcBorders>
            <w:shd w:val="clear" w:color="auto" w:fill="auto"/>
            <w:noWrap/>
            <w:vAlign w:val="bottom"/>
            <w:hideMark/>
          </w:tcPr>
          <w:p w14:paraId="4B03364C" w14:textId="77777777" w:rsidR="00B322B7" w:rsidRPr="00B322B7" w:rsidRDefault="00B322B7" w:rsidP="005E2E4F">
            <w:pPr>
              <w:jc w:val="center"/>
              <w:rPr>
                <w:color w:val="000000"/>
                <w:sz w:val="22"/>
                <w:szCs w:val="22"/>
              </w:rPr>
            </w:pPr>
            <w:r w:rsidRPr="00B322B7">
              <w:rPr>
                <w:color w:val="000000"/>
                <w:sz w:val="22"/>
                <w:szCs w:val="22"/>
              </w:rPr>
              <w:t xml:space="preserve">$668 </w:t>
            </w:r>
          </w:p>
        </w:tc>
      </w:tr>
      <w:tr w:rsidR="00B322B7" w:rsidRPr="00B322B7" w14:paraId="4D3381E4" w14:textId="77777777" w:rsidTr="005E2E4F">
        <w:trPr>
          <w:trHeight w:val="300"/>
        </w:trPr>
        <w:tc>
          <w:tcPr>
            <w:tcW w:w="1344" w:type="dxa"/>
            <w:tcBorders>
              <w:top w:val="nil"/>
              <w:left w:val="single" w:sz="4" w:space="0" w:color="auto"/>
              <w:bottom w:val="single" w:sz="4" w:space="0" w:color="auto"/>
              <w:right w:val="single" w:sz="4" w:space="0" w:color="auto"/>
            </w:tcBorders>
            <w:shd w:val="clear" w:color="000000" w:fill="F2F2F2"/>
            <w:noWrap/>
            <w:vAlign w:val="bottom"/>
            <w:hideMark/>
          </w:tcPr>
          <w:p w14:paraId="1B2113A8" w14:textId="77777777" w:rsidR="00B322B7" w:rsidRPr="00B322B7" w:rsidRDefault="00B322B7" w:rsidP="005E2E4F">
            <w:pPr>
              <w:jc w:val="center"/>
              <w:rPr>
                <w:b/>
                <w:bCs/>
                <w:color w:val="000000"/>
                <w:sz w:val="22"/>
                <w:szCs w:val="22"/>
              </w:rPr>
            </w:pPr>
            <w:r w:rsidRPr="00B322B7">
              <w:rPr>
                <w:b/>
                <w:bCs/>
                <w:color w:val="000000"/>
                <w:sz w:val="22"/>
                <w:szCs w:val="22"/>
              </w:rPr>
              <w:t>2014</w:t>
            </w:r>
          </w:p>
        </w:tc>
        <w:tc>
          <w:tcPr>
            <w:tcW w:w="1345" w:type="dxa"/>
            <w:tcBorders>
              <w:top w:val="nil"/>
              <w:left w:val="nil"/>
              <w:bottom w:val="single" w:sz="4" w:space="0" w:color="auto"/>
              <w:right w:val="single" w:sz="4" w:space="0" w:color="auto"/>
            </w:tcBorders>
            <w:shd w:val="clear" w:color="000000" w:fill="F2F2F2"/>
            <w:noWrap/>
            <w:vAlign w:val="bottom"/>
            <w:hideMark/>
          </w:tcPr>
          <w:p w14:paraId="5EFBE1BB" w14:textId="77777777" w:rsidR="00B322B7" w:rsidRPr="00B322B7" w:rsidRDefault="00B322B7" w:rsidP="005E2E4F">
            <w:pPr>
              <w:jc w:val="center"/>
              <w:rPr>
                <w:color w:val="000000"/>
                <w:sz w:val="22"/>
                <w:szCs w:val="22"/>
              </w:rPr>
            </w:pPr>
            <w:r w:rsidRPr="00B322B7">
              <w:rPr>
                <w:color w:val="000000"/>
                <w:sz w:val="22"/>
                <w:szCs w:val="22"/>
              </w:rPr>
              <w:t>257</w:t>
            </w:r>
          </w:p>
        </w:tc>
        <w:tc>
          <w:tcPr>
            <w:tcW w:w="1320" w:type="dxa"/>
            <w:tcBorders>
              <w:top w:val="nil"/>
              <w:left w:val="nil"/>
              <w:bottom w:val="single" w:sz="4" w:space="0" w:color="auto"/>
              <w:right w:val="single" w:sz="4" w:space="0" w:color="auto"/>
            </w:tcBorders>
            <w:shd w:val="clear" w:color="000000" w:fill="F2F2F2"/>
            <w:noWrap/>
            <w:vAlign w:val="bottom"/>
            <w:hideMark/>
          </w:tcPr>
          <w:p w14:paraId="000FAAA3" w14:textId="77777777" w:rsidR="00B322B7" w:rsidRPr="00B322B7" w:rsidRDefault="00B322B7" w:rsidP="005E2E4F">
            <w:pPr>
              <w:jc w:val="center"/>
              <w:rPr>
                <w:color w:val="000000"/>
                <w:sz w:val="22"/>
                <w:szCs w:val="22"/>
              </w:rPr>
            </w:pPr>
            <w:r w:rsidRPr="00B322B7">
              <w:rPr>
                <w:color w:val="000000"/>
                <w:sz w:val="22"/>
                <w:szCs w:val="22"/>
              </w:rPr>
              <w:t>59,683</w:t>
            </w:r>
          </w:p>
        </w:tc>
        <w:tc>
          <w:tcPr>
            <w:tcW w:w="1320" w:type="dxa"/>
            <w:tcBorders>
              <w:top w:val="nil"/>
              <w:left w:val="nil"/>
              <w:bottom w:val="single" w:sz="4" w:space="0" w:color="auto"/>
              <w:right w:val="single" w:sz="4" w:space="0" w:color="auto"/>
            </w:tcBorders>
            <w:shd w:val="clear" w:color="000000" w:fill="F2F2F2"/>
            <w:noWrap/>
            <w:vAlign w:val="bottom"/>
            <w:hideMark/>
          </w:tcPr>
          <w:p w14:paraId="7411F1AC" w14:textId="77777777" w:rsidR="00B322B7" w:rsidRPr="00B322B7" w:rsidRDefault="00B322B7" w:rsidP="005E2E4F">
            <w:pPr>
              <w:jc w:val="center"/>
              <w:rPr>
                <w:color w:val="000000"/>
                <w:sz w:val="22"/>
                <w:szCs w:val="22"/>
              </w:rPr>
            </w:pPr>
            <w:r w:rsidRPr="00B322B7">
              <w:rPr>
                <w:color w:val="000000"/>
                <w:sz w:val="22"/>
                <w:szCs w:val="22"/>
              </w:rPr>
              <w:t>232</w:t>
            </w:r>
          </w:p>
        </w:tc>
        <w:tc>
          <w:tcPr>
            <w:tcW w:w="1508" w:type="dxa"/>
            <w:tcBorders>
              <w:top w:val="nil"/>
              <w:left w:val="nil"/>
              <w:bottom w:val="single" w:sz="4" w:space="0" w:color="auto"/>
              <w:right w:val="single" w:sz="4" w:space="0" w:color="auto"/>
            </w:tcBorders>
            <w:shd w:val="clear" w:color="000000" w:fill="F2F2F2"/>
            <w:noWrap/>
            <w:vAlign w:val="bottom"/>
            <w:hideMark/>
          </w:tcPr>
          <w:p w14:paraId="6F71581B" w14:textId="77777777" w:rsidR="00B322B7" w:rsidRPr="00B322B7" w:rsidRDefault="00B322B7" w:rsidP="005E2E4F">
            <w:pPr>
              <w:jc w:val="center"/>
              <w:rPr>
                <w:color w:val="000000"/>
                <w:sz w:val="22"/>
                <w:szCs w:val="22"/>
              </w:rPr>
            </w:pPr>
            <w:r w:rsidRPr="00B322B7">
              <w:rPr>
                <w:color w:val="000000"/>
                <w:sz w:val="22"/>
                <w:szCs w:val="22"/>
              </w:rPr>
              <w:t xml:space="preserve">$177,059 </w:t>
            </w:r>
          </w:p>
        </w:tc>
        <w:tc>
          <w:tcPr>
            <w:tcW w:w="2047" w:type="dxa"/>
            <w:tcBorders>
              <w:top w:val="nil"/>
              <w:left w:val="nil"/>
              <w:bottom w:val="single" w:sz="4" w:space="0" w:color="auto"/>
              <w:right w:val="single" w:sz="4" w:space="0" w:color="auto"/>
            </w:tcBorders>
            <w:shd w:val="clear" w:color="000000" w:fill="F2F2F2"/>
            <w:noWrap/>
            <w:vAlign w:val="bottom"/>
            <w:hideMark/>
          </w:tcPr>
          <w:p w14:paraId="6A4DFEC3" w14:textId="77777777" w:rsidR="00B322B7" w:rsidRPr="00B322B7" w:rsidRDefault="00B322B7" w:rsidP="005E2E4F">
            <w:pPr>
              <w:jc w:val="center"/>
              <w:rPr>
                <w:color w:val="000000"/>
                <w:sz w:val="22"/>
                <w:szCs w:val="22"/>
              </w:rPr>
            </w:pPr>
            <w:r w:rsidRPr="00B322B7">
              <w:rPr>
                <w:color w:val="000000"/>
                <w:sz w:val="22"/>
                <w:szCs w:val="22"/>
              </w:rPr>
              <w:t xml:space="preserve">$689 </w:t>
            </w:r>
          </w:p>
        </w:tc>
      </w:tr>
      <w:tr w:rsidR="00B322B7" w:rsidRPr="00B322B7" w14:paraId="0031A964" w14:textId="77777777" w:rsidTr="005E2E4F">
        <w:trPr>
          <w:trHeight w:val="300"/>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4C0AD5C1" w14:textId="77777777" w:rsidR="00B322B7" w:rsidRPr="00B322B7" w:rsidRDefault="00B322B7" w:rsidP="005E2E4F">
            <w:pPr>
              <w:jc w:val="center"/>
              <w:rPr>
                <w:b/>
                <w:bCs/>
                <w:color w:val="000000"/>
                <w:sz w:val="22"/>
                <w:szCs w:val="22"/>
              </w:rPr>
            </w:pPr>
            <w:r w:rsidRPr="00B322B7">
              <w:rPr>
                <w:b/>
                <w:bCs/>
                <w:color w:val="000000"/>
                <w:sz w:val="22"/>
                <w:szCs w:val="22"/>
              </w:rPr>
              <w:t>2015</w:t>
            </w:r>
          </w:p>
        </w:tc>
        <w:tc>
          <w:tcPr>
            <w:tcW w:w="1345" w:type="dxa"/>
            <w:tcBorders>
              <w:top w:val="nil"/>
              <w:left w:val="nil"/>
              <w:bottom w:val="single" w:sz="4" w:space="0" w:color="auto"/>
              <w:right w:val="single" w:sz="4" w:space="0" w:color="auto"/>
            </w:tcBorders>
            <w:shd w:val="clear" w:color="auto" w:fill="auto"/>
            <w:noWrap/>
            <w:vAlign w:val="bottom"/>
            <w:hideMark/>
          </w:tcPr>
          <w:p w14:paraId="56B7235B" w14:textId="77777777" w:rsidR="00B322B7" w:rsidRPr="00B322B7" w:rsidRDefault="00B322B7" w:rsidP="005E2E4F">
            <w:pPr>
              <w:jc w:val="center"/>
              <w:rPr>
                <w:color w:val="000000"/>
                <w:sz w:val="22"/>
                <w:szCs w:val="22"/>
              </w:rPr>
            </w:pPr>
            <w:r w:rsidRPr="00B322B7">
              <w:rPr>
                <w:color w:val="000000"/>
                <w:sz w:val="22"/>
                <w:szCs w:val="22"/>
              </w:rPr>
              <w:t>266</w:t>
            </w:r>
          </w:p>
        </w:tc>
        <w:tc>
          <w:tcPr>
            <w:tcW w:w="1320" w:type="dxa"/>
            <w:tcBorders>
              <w:top w:val="nil"/>
              <w:left w:val="nil"/>
              <w:bottom w:val="single" w:sz="4" w:space="0" w:color="auto"/>
              <w:right w:val="single" w:sz="4" w:space="0" w:color="auto"/>
            </w:tcBorders>
            <w:shd w:val="clear" w:color="auto" w:fill="auto"/>
            <w:noWrap/>
            <w:vAlign w:val="bottom"/>
            <w:hideMark/>
          </w:tcPr>
          <w:p w14:paraId="4AD43685" w14:textId="77777777" w:rsidR="00B322B7" w:rsidRPr="00B322B7" w:rsidRDefault="00B322B7" w:rsidP="005E2E4F">
            <w:pPr>
              <w:jc w:val="center"/>
              <w:rPr>
                <w:color w:val="000000"/>
                <w:sz w:val="22"/>
                <w:szCs w:val="22"/>
              </w:rPr>
            </w:pPr>
            <w:r w:rsidRPr="00B322B7">
              <w:rPr>
                <w:color w:val="000000"/>
                <w:sz w:val="22"/>
                <w:szCs w:val="22"/>
              </w:rPr>
              <w:t>65,698</w:t>
            </w:r>
          </w:p>
        </w:tc>
        <w:tc>
          <w:tcPr>
            <w:tcW w:w="1320" w:type="dxa"/>
            <w:tcBorders>
              <w:top w:val="nil"/>
              <w:left w:val="nil"/>
              <w:bottom w:val="single" w:sz="4" w:space="0" w:color="auto"/>
              <w:right w:val="single" w:sz="4" w:space="0" w:color="auto"/>
            </w:tcBorders>
            <w:shd w:val="clear" w:color="auto" w:fill="auto"/>
            <w:noWrap/>
            <w:vAlign w:val="bottom"/>
            <w:hideMark/>
          </w:tcPr>
          <w:p w14:paraId="4A3C6BB3" w14:textId="77777777" w:rsidR="00B322B7" w:rsidRPr="00B322B7" w:rsidRDefault="00B322B7" w:rsidP="005E2E4F">
            <w:pPr>
              <w:jc w:val="center"/>
              <w:rPr>
                <w:color w:val="000000"/>
                <w:sz w:val="22"/>
                <w:szCs w:val="22"/>
              </w:rPr>
            </w:pPr>
            <w:r w:rsidRPr="00B322B7">
              <w:rPr>
                <w:color w:val="000000"/>
                <w:sz w:val="22"/>
                <w:szCs w:val="22"/>
              </w:rPr>
              <w:t>247</w:t>
            </w:r>
          </w:p>
        </w:tc>
        <w:tc>
          <w:tcPr>
            <w:tcW w:w="1508" w:type="dxa"/>
            <w:tcBorders>
              <w:top w:val="nil"/>
              <w:left w:val="nil"/>
              <w:bottom w:val="single" w:sz="4" w:space="0" w:color="auto"/>
              <w:right w:val="single" w:sz="4" w:space="0" w:color="auto"/>
            </w:tcBorders>
            <w:shd w:val="clear" w:color="auto" w:fill="auto"/>
            <w:noWrap/>
            <w:vAlign w:val="bottom"/>
            <w:hideMark/>
          </w:tcPr>
          <w:p w14:paraId="0AFC94A3" w14:textId="77777777" w:rsidR="00B322B7" w:rsidRPr="00B322B7" w:rsidRDefault="00B322B7" w:rsidP="005E2E4F">
            <w:pPr>
              <w:jc w:val="center"/>
              <w:rPr>
                <w:color w:val="000000"/>
                <w:sz w:val="22"/>
                <w:szCs w:val="22"/>
              </w:rPr>
            </w:pPr>
            <w:r w:rsidRPr="00B322B7">
              <w:rPr>
                <w:color w:val="000000"/>
                <w:sz w:val="22"/>
                <w:szCs w:val="22"/>
              </w:rPr>
              <w:t xml:space="preserve">$202,959 </w:t>
            </w:r>
          </w:p>
        </w:tc>
        <w:tc>
          <w:tcPr>
            <w:tcW w:w="2047" w:type="dxa"/>
            <w:tcBorders>
              <w:top w:val="nil"/>
              <w:left w:val="nil"/>
              <w:bottom w:val="single" w:sz="4" w:space="0" w:color="auto"/>
              <w:right w:val="single" w:sz="4" w:space="0" w:color="auto"/>
            </w:tcBorders>
            <w:shd w:val="clear" w:color="auto" w:fill="auto"/>
            <w:noWrap/>
            <w:vAlign w:val="bottom"/>
            <w:hideMark/>
          </w:tcPr>
          <w:p w14:paraId="16DEE631" w14:textId="77777777" w:rsidR="00B322B7" w:rsidRPr="00B322B7" w:rsidRDefault="00B322B7" w:rsidP="005E2E4F">
            <w:pPr>
              <w:jc w:val="center"/>
              <w:rPr>
                <w:color w:val="000000"/>
                <w:sz w:val="22"/>
                <w:szCs w:val="22"/>
              </w:rPr>
            </w:pPr>
            <w:r w:rsidRPr="00B322B7">
              <w:rPr>
                <w:color w:val="000000"/>
                <w:sz w:val="22"/>
                <w:szCs w:val="22"/>
              </w:rPr>
              <w:t xml:space="preserve">$763 </w:t>
            </w:r>
          </w:p>
        </w:tc>
      </w:tr>
      <w:tr w:rsidR="00B322B7" w:rsidRPr="00B322B7" w14:paraId="62D601C0" w14:textId="77777777" w:rsidTr="005E2E4F">
        <w:trPr>
          <w:trHeight w:val="300"/>
        </w:trPr>
        <w:tc>
          <w:tcPr>
            <w:tcW w:w="1344" w:type="dxa"/>
            <w:tcBorders>
              <w:top w:val="nil"/>
              <w:left w:val="single" w:sz="4" w:space="0" w:color="auto"/>
              <w:bottom w:val="single" w:sz="4" w:space="0" w:color="auto"/>
              <w:right w:val="single" w:sz="4" w:space="0" w:color="auto"/>
            </w:tcBorders>
            <w:shd w:val="clear" w:color="000000" w:fill="F2F2F2"/>
            <w:noWrap/>
            <w:vAlign w:val="bottom"/>
            <w:hideMark/>
          </w:tcPr>
          <w:p w14:paraId="0C3C0EAA" w14:textId="77777777" w:rsidR="00B322B7" w:rsidRPr="00B322B7" w:rsidRDefault="00B322B7" w:rsidP="005E2E4F">
            <w:pPr>
              <w:jc w:val="center"/>
              <w:rPr>
                <w:b/>
                <w:bCs/>
                <w:color w:val="000000"/>
                <w:sz w:val="22"/>
                <w:szCs w:val="22"/>
              </w:rPr>
            </w:pPr>
            <w:r w:rsidRPr="00B322B7">
              <w:rPr>
                <w:b/>
                <w:bCs/>
                <w:color w:val="000000"/>
                <w:sz w:val="22"/>
                <w:szCs w:val="22"/>
              </w:rPr>
              <w:t xml:space="preserve">Average </w:t>
            </w:r>
          </w:p>
        </w:tc>
        <w:tc>
          <w:tcPr>
            <w:tcW w:w="1345" w:type="dxa"/>
            <w:tcBorders>
              <w:top w:val="nil"/>
              <w:left w:val="nil"/>
              <w:bottom w:val="single" w:sz="4" w:space="0" w:color="auto"/>
              <w:right w:val="single" w:sz="4" w:space="0" w:color="auto"/>
            </w:tcBorders>
            <w:shd w:val="clear" w:color="000000" w:fill="F2F2F2"/>
            <w:noWrap/>
            <w:vAlign w:val="bottom"/>
            <w:hideMark/>
          </w:tcPr>
          <w:p w14:paraId="770B3F1C" w14:textId="77777777" w:rsidR="00B322B7" w:rsidRPr="00B322B7" w:rsidRDefault="00B322B7" w:rsidP="005E2E4F">
            <w:pPr>
              <w:jc w:val="center"/>
              <w:rPr>
                <w:b/>
                <w:bCs/>
                <w:color w:val="000000"/>
                <w:sz w:val="22"/>
                <w:szCs w:val="22"/>
              </w:rPr>
            </w:pPr>
            <w:r w:rsidRPr="00B322B7">
              <w:rPr>
                <w:b/>
                <w:bCs/>
                <w:color w:val="000000"/>
                <w:sz w:val="22"/>
                <w:szCs w:val="22"/>
              </w:rPr>
              <w:t>263</w:t>
            </w:r>
          </w:p>
        </w:tc>
        <w:tc>
          <w:tcPr>
            <w:tcW w:w="1320" w:type="dxa"/>
            <w:tcBorders>
              <w:top w:val="nil"/>
              <w:left w:val="nil"/>
              <w:bottom w:val="single" w:sz="4" w:space="0" w:color="auto"/>
              <w:right w:val="single" w:sz="4" w:space="0" w:color="auto"/>
            </w:tcBorders>
            <w:shd w:val="clear" w:color="000000" w:fill="F2F2F2"/>
            <w:noWrap/>
            <w:vAlign w:val="bottom"/>
            <w:hideMark/>
          </w:tcPr>
          <w:p w14:paraId="05811BF6" w14:textId="77777777" w:rsidR="00B322B7" w:rsidRPr="00B322B7" w:rsidRDefault="00B322B7" w:rsidP="005E2E4F">
            <w:pPr>
              <w:jc w:val="center"/>
              <w:rPr>
                <w:b/>
                <w:bCs/>
                <w:color w:val="000000"/>
                <w:sz w:val="22"/>
                <w:szCs w:val="22"/>
              </w:rPr>
            </w:pPr>
            <w:r w:rsidRPr="00B322B7">
              <w:rPr>
                <w:b/>
                <w:bCs/>
                <w:color w:val="000000"/>
                <w:sz w:val="22"/>
                <w:szCs w:val="22"/>
              </w:rPr>
              <w:t>59,495</w:t>
            </w:r>
          </w:p>
        </w:tc>
        <w:tc>
          <w:tcPr>
            <w:tcW w:w="1320" w:type="dxa"/>
            <w:tcBorders>
              <w:top w:val="nil"/>
              <w:left w:val="nil"/>
              <w:bottom w:val="single" w:sz="4" w:space="0" w:color="auto"/>
              <w:right w:val="single" w:sz="4" w:space="0" w:color="auto"/>
            </w:tcBorders>
            <w:shd w:val="clear" w:color="000000" w:fill="F2F2F2"/>
            <w:noWrap/>
            <w:vAlign w:val="bottom"/>
            <w:hideMark/>
          </w:tcPr>
          <w:p w14:paraId="451A6E3B" w14:textId="77777777" w:rsidR="00B322B7" w:rsidRPr="00B322B7" w:rsidRDefault="00B322B7" w:rsidP="005E2E4F">
            <w:pPr>
              <w:jc w:val="center"/>
              <w:rPr>
                <w:b/>
                <w:bCs/>
                <w:color w:val="000000"/>
                <w:sz w:val="22"/>
                <w:szCs w:val="22"/>
              </w:rPr>
            </w:pPr>
            <w:r w:rsidRPr="00B322B7">
              <w:rPr>
                <w:b/>
                <w:bCs/>
                <w:color w:val="000000"/>
                <w:sz w:val="22"/>
                <w:szCs w:val="22"/>
              </w:rPr>
              <w:t>227</w:t>
            </w:r>
          </w:p>
        </w:tc>
        <w:tc>
          <w:tcPr>
            <w:tcW w:w="1508" w:type="dxa"/>
            <w:tcBorders>
              <w:top w:val="nil"/>
              <w:left w:val="nil"/>
              <w:bottom w:val="single" w:sz="4" w:space="0" w:color="auto"/>
              <w:right w:val="single" w:sz="4" w:space="0" w:color="auto"/>
            </w:tcBorders>
            <w:shd w:val="clear" w:color="000000" w:fill="F2F2F2"/>
            <w:noWrap/>
            <w:vAlign w:val="bottom"/>
            <w:hideMark/>
          </w:tcPr>
          <w:p w14:paraId="22039A50" w14:textId="77777777" w:rsidR="00B322B7" w:rsidRPr="00B322B7" w:rsidRDefault="00B322B7" w:rsidP="005E2E4F">
            <w:pPr>
              <w:jc w:val="center"/>
              <w:rPr>
                <w:b/>
                <w:bCs/>
                <w:color w:val="000000"/>
                <w:sz w:val="22"/>
                <w:szCs w:val="22"/>
              </w:rPr>
            </w:pPr>
            <w:r w:rsidRPr="00B322B7">
              <w:rPr>
                <w:b/>
                <w:bCs/>
                <w:color w:val="000000"/>
                <w:sz w:val="22"/>
                <w:szCs w:val="22"/>
              </w:rPr>
              <w:t xml:space="preserve">$176,251 </w:t>
            </w:r>
          </w:p>
        </w:tc>
        <w:tc>
          <w:tcPr>
            <w:tcW w:w="2047" w:type="dxa"/>
            <w:tcBorders>
              <w:top w:val="nil"/>
              <w:left w:val="nil"/>
              <w:bottom w:val="single" w:sz="4" w:space="0" w:color="auto"/>
              <w:right w:val="single" w:sz="4" w:space="0" w:color="auto"/>
            </w:tcBorders>
            <w:shd w:val="clear" w:color="000000" w:fill="F2F2F2"/>
            <w:noWrap/>
            <w:vAlign w:val="bottom"/>
            <w:hideMark/>
          </w:tcPr>
          <w:p w14:paraId="7F43B079" w14:textId="77777777" w:rsidR="00B322B7" w:rsidRPr="00B322B7" w:rsidRDefault="00B322B7" w:rsidP="005E2E4F">
            <w:pPr>
              <w:jc w:val="center"/>
              <w:rPr>
                <w:b/>
                <w:bCs/>
                <w:color w:val="000000"/>
                <w:sz w:val="22"/>
                <w:szCs w:val="22"/>
              </w:rPr>
            </w:pPr>
            <w:r w:rsidRPr="00B322B7">
              <w:rPr>
                <w:b/>
                <w:bCs/>
                <w:color w:val="000000"/>
                <w:sz w:val="22"/>
                <w:szCs w:val="22"/>
              </w:rPr>
              <w:t xml:space="preserve">$672 </w:t>
            </w:r>
          </w:p>
        </w:tc>
      </w:tr>
    </w:tbl>
    <w:p w14:paraId="470DFCE3" w14:textId="77777777" w:rsidR="00B322B7" w:rsidRDefault="00B322B7" w:rsidP="00B322B7">
      <w:pPr>
        <w:rPr>
          <w:rFonts w:ascii="Arial" w:hAnsi="Arial" w:cs="Arial"/>
          <w:sz w:val="20"/>
          <w:szCs w:val="20"/>
        </w:rPr>
      </w:pPr>
      <w:r w:rsidRPr="00195A2E">
        <w:rPr>
          <w:rFonts w:ascii="Arial" w:hAnsi="Arial" w:cs="Arial"/>
          <w:sz w:val="20"/>
          <w:szCs w:val="20"/>
        </w:rPr>
        <w:t>Source:  NMFS SEFSC Online Economic Query System</w:t>
      </w:r>
      <w:r>
        <w:rPr>
          <w:rFonts w:ascii="Arial" w:hAnsi="Arial" w:cs="Arial"/>
          <w:sz w:val="20"/>
          <w:szCs w:val="20"/>
        </w:rPr>
        <w:t>, October 24, 2016</w:t>
      </w:r>
      <w:r w:rsidRPr="00195A2E">
        <w:rPr>
          <w:rFonts w:ascii="Arial" w:hAnsi="Arial" w:cs="Arial"/>
          <w:sz w:val="20"/>
          <w:szCs w:val="20"/>
        </w:rPr>
        <w:t>.</w:t>
      </w:r>
    </w:p>
    <w:p w14:paraId="7EAB7E02" w14:textId="77777777" w:rsidR="00B322B7" w:rsidRDefault="00B322B7" w:rsidP="00B322B7">
      <w:pPr>
        <w:rPr>
          <w:rFonts w:ascii="Arial" w:hAnsi="Arial" w:cs="Arial"/>
          <w:sz w:val="20"/>
          <w:szCs w:val="20"/>
        </w:rPr>
      </w:pPr>
    </w:p>
    <w:p w14:paraId="140E0200" w14:textId="77777777" w:rsidR="00B322B7" w:rsidRDefault="00B322B7" w:rsidP="00B322B7">
      <w:pPr>
        <w:rPr>
          <w:rFonts w:ascii="Arial" w:hAnsi="Arial" w:cs="Arial"/>
          <w:sz w:val="20"/>
          <w:szCs w:val="20"/>
        </w:rPr>
      </w:pPr>
    </w:p>
    <w:p w14:paraId="786F636F" w14:textId="77777777" w:rsidR="00B322B7" w:rsidRDefault="00B322B7" w:rsidP="00B322B7">
      <w:pPr>
        <w:rPr>
          <w:rFonts w:ascii="Arial" w:hAnsi="Arial" w:cs="Arial"/>
          <w:sz w:val="20"/>
          <w:szCs w:val="20"/>
        </w:rPr>
      </w:pPr>
      <w:r>
        <w:rPr>
          <w:rFonts w:ascii="Arial" w:hAnsi="Arial" w:cs="Arial"/>
          <w:b/>
          <w:sz w:val="20"/>
          <w:szCs w:val="20"/>
        </w:rPr>
        <w:t>Table F-</w:t>
      </w:r>
      <w:r w:rsidRPr="004D19FB">
        <w:rPr>
          <w:rFonts w:ascii="Arial" w:hAnsi="Arial" w:cs="Arial"/>
          <w:b/>
          <w:sz w:val="20"/>
          <w:szCs w:val="20"/>
        </w:rPr>
        <w:t>3.</w:t>
      </w:r>
      <w:r w:rsidRPr="00195A2E">
        <w:rPr>
          <w:rFonts w:ascii="Arial" w:hAnsi="Arial" w:cs="Arial"/>
          <w:sz w:val="20"/>
          <w:szCs w:val="20"/>
        </w:rPr>
        <w:t xml:space="preserve">  Average Landings </w:t>
      </w:r>
      <w:r>
        <w:rPr>
          <w:rFonts w:ascii="Arial" w:hAnsi="Arial" w:cs="Arial"/>
          <w:sz w:val="20"/>
          <w:szCs w:val="20"/>
        </w:rPr>
        <w:t xml:space="preserve">per Vessel (by Weight and Dockside Revenue (2015 $)) of All Species by Vessels with </w:t>
      </w:r>
      <w:r w:rsidRPr="00195A2E">
        <w:rPr>
          <w:rFonts w:ascii="Arial" w:hAnsi="Arial" w:cs="Arial"/>
          <w:sz w:val="20"/>
          <w:szCs w:val="20"/>
        </w:rPr>
        <w:t xml:space="preserve">Mutton Snapper </w:t>
      </w:r>
      <w:r>
        <w:rPr>
          <w:rFonts w:ascii="Arial" w:hAnsi="Arial" w:cs="Arial"/>
          <w:sz w:val="20"/>
          <w:szCs w:val="20"/>
        </w:rPr>
        <w:t>in South Atlantic Region</w:t>
      </w:r>
      <w:r w:rsidRPr="00195A2E">
        <w:rPr>
          <w:rFonts w:ascii="Arial" w:hAnsi="Arial" w:cs="Arial"/>
          <w:sz w:val="20"/>
          <w:szCs w:val="20"/>
        </w:rPr>
        <w:t xml:space="preserve">, 2011-2015. </w:t>
      </w:r>
    </w:p>
    <w:tbl>
      <w:tblPr>
        <w:tblW w:w="9403" w:type="dxa"/>
        <w:tblInd w:w="93" w:type="dxa"/>
        <w:tblLook w:val="04A0" w:firstRow="1" w:lastRow="0" w:firstColumn="1" w:lastColumn="0" w:noHBand="0" w:noVBand="1"/>
      </w:tblPr>
      <w:tblGrid>
        <w:gridCol w:w="998"/>
        <w:gridCol w:w="889"/>
        <w:gridCol w:w="1349"/>
        <w:gridCol w:w="1977"/>
        <w:gridCol w:w="2188"/>
        <w:gridCol w:w="2002"/>
      </w:tblGrid>
      <w:tr w:rsidR="00B322B7" w:rsidRPr="00B322B7" w14:paraId="2C6809DB" w14:textId="77777777" w:rsidTr="005E2E4F">
        <w:trPr>
          <w:trHeight w:val="292"/>
        </w:trPr>
        <w:tc>
          <w:tcPr>
            <w:tcW w:w="998"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468452" w14:textId="77777777" w:rsidR="00B322B7" w:rsidRPr="00B322B7" w:rsidRDefault="00B322B7" w:rsidP="005E2E4F">
            <w:pPr>
              <w:jc w:val="center"/>
              <w:rPr>
                <w:b/>
                <w:bCs/>
                <w:color w:val="000000"/>
                <w:sz w:val="22"/>
                <w:szCs w:val="22"/>
              </w:rPr>
            </w:pPr>
            <w:r w:rsidRPr="00B322B7">
              <w:rPr>
                <w:rFonts w:ascii="Arial" w:hAnsi="Arial" w:cs="Arial"/>
                <w:sz w:val="22"/>
                <w:szCs w:val="22"/>
              </w:rPr>
              <w:t xml:space="preserve"> </w:t>
            </w:r>
            <w:r w:rsidRPr="00B322B7">
              <w:rPr>
                <w:b/>
                <w:bCs/>
                <w:color w:val="000000"/>
                <w:sz w:val="22"/>
                <w:szCs w:val="22"/>
              </w:rPr>
              <w:t>Year</w:t>
            </w:r>
          </w:p>
        </w:tc>
        <w:tc>
          <w:tcPr>
            <w:tcW w:w="889"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4F2651" w14:textId="77777777" w:rsidR="00B322B7" w:rsidRPr="00B322B7" w:rsidRDefault="00B322B7" w:rsidP="005E2E4F">
            <w:pPr>
              <w:jc w:val="center"/>
              <w:rPr>
                <w:b/>
                <w:bCs/>
                <w:color w:val="000000"/>
                <w:sz w:val="22"/>
                <w:szCs w:val="22"/>
              </w:rPr>
            </w:pPr>
            <w:r w:rsidRPr="00B322B7">
              <w:rPr>
                <w:b/>
                <w:bCs/>
                <w:color w:val="000000"/>
                <w:sz w:val="22"/>
                <w:szCs w:val="22"/>
              </w:rPr>
              <w:t>Vessels</w:t>
            </w:r>
          </w:p>
        </w:tc>
        <w:tc>
          <w:tcPr>
            <w:tcW w:w="7516"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777DB3CF" w14:textId="77777777" w:rsidR="00B322B7" w:rsidRPr="00B322B7" w:rsidRDefault="00B322B7" w:rsidP="005E2E4F">
            <w:pPr>
              <w:jc w:val="center"/>
              <w:rPr>
                <w:b/>
                <w:bCs/>
                <w:color w:val="000000"/>
                <w:sz w:val="22"/>
                <w:szCs w:val="22"/>
              </w:rPr>
            </w:pPr>
            <w:r w:rsidRPr="00B322B7">
              <w:rPr>
                <w:b/>
                <w:bCs/>
                <w:color w:val="000000"/>
                <w:sz w:val="22"/>
                <w:szCs w:val="22"/>
              </w:rPr>
              <w:t>All landings by vessels with South Atlantic mutton snapper landings</w:t>
            </w:r>
          </w:p>
        </w:tc>
      </w:tr>
      <w:tr w:rsidR="00B322B7" w:rsidRPr="00B322B7" w14:paraId="1F5CE148" w14:textId="77777777" w:rsidTr="005E2E4F">
        <w:trPr>
          <w:trHeight w:val="831"/>
        </w:trPr>
        <w:tc>
          <w:tcPr>
            <w:tcW w:w="998" w:type="dxa"/>
            <w:vMerge/>
            <w:tcBorders>
              <w:top w:val="single" w:sz="4" w:space="0" w:color="auto"/>
              <w:left w:val="single" w:sz="4" w:space="0" w:color="auto"/>
              <w:bottom w:val="single" w:sz="4" w:space="0" w:color="auto"/>
              <w:right w:val="single" w:sz="4" w:space="0" w:color="auto"/>
            </w:tcBorders>
            <w:vAlign w:val="center"/>
            <w:hideMark/>
          </w:tcPr>
          <w:p w14:paraId="2E4EEFF3" w14:textId="77777777" w:rsidR="00B322B7" w:rsidRPr="00B322B7" w:rsidRDefault="00B322B7" w:rsidP="005E2E4F">
            <w:pPr>
              <w:rPr>
                <w:b/>
                <w:bCs/>
                <w:color w:val="000000"/>
                <w:sz w:val="22"/>
                <w:szCs w:val="22"/>
              </w:rPr>
            </w:pPr>
          </w:p>
        </w:tc>
        <w:tc>
          <w:tcPr>
            <w:tcW w:w="889" w:type="dxa"/>
            <w:vMerge/>
            <w:tcBorders>
              <w:top w:val="single" w:sz="4" w:space="0" w:color="auto"/>
              <w:left w:val="single" w:sz="4" w:space="0" w:color="auto"/>
              <w:bottom w:val="single" w:sz="4" w:space="0" w:color="auto"/>
              <w:right w:val="single" w:sz="4" w:space="0" w:color="auto"/>
            </w:tcBorders>
            <w:vAlign w:val="center"/>
            <w:hideMark/>
          </w:tcPr>
          <w:p w14:paraId="25580B81" w14:textId="77777777" w:rsidR="00B322B7" w:rsidRPr="00B322B7" w:rsidRDefault="00B322B7" w:rsidP="005E2E4F">
            <w:pPr>
              <w:rPr>
                <w:b/>
                <w:bCs/>
                <w:color w:val="000000"/>
                <w:sz w:val="22"/>
                <w:szCs w:val="22"/>
              </w:rPr>
            </w:pPr>
          </w:p>
        </w:tc>
        <w:tc>
          <w:tcPr>
            <w:tcW w:w="1349" w:type="dxa"/>
            <w:tcBorders>
              <w:top w:val="nil"/>
              <w:left w:val="nil"/>
              <w:bottom w:val="single" w:sz="4" w:space="0" w:color="auto"/>
              <w:right w:val="single" w:sz="4" w:space="0" w:color="auto"/>
            </w:tcBorders>
            <w:shd w:val="clear" w:color="000000" w:fill="D9D9D9"/>
            <w:noWrap/>
            <w:vAlign w:val="center"/>
            <w:hideMark/>
          </w:tcPr>
          <w:p w14:paraId="3DBE1F9E" w14:textId="77777777" w:rsidR="00B322B7" w:rsidRPr="00B322B7" w:rsidRDefault="00B322B7" w:rsidP="005E2E4F">
            <w:pPr>
              <w:jc w:val="center"/>
              <w:rPr>
                <w:b/>
                <w:bCs/>
                <w:color w:val="000000"/>
                <w:sz w:val="22"/>
                <w:szCs w:val="22"/>
              </w:rPr>
            </w:pPr>
            <w:r w:rsidRPr="00B322B7">
              <w:rPr>
                <w:b/>
                <w:bCs/>
                <w:color w:val="000000"/>
                <w:sz w:val="22"/>
                <w:szCs w:val="22"/>
              </w:rPr>
              <w:t>Lbs gw</w:t>
            </w:r>
            <w:r w:rsidRPr="00B322B7">
              <w:rPr>
                <w:b/>
                <w:bCs/>
                <w:color w:val="000000"/>
                <w:sz w:val="22"/>
                <w:szCs w:val="22"/>
                <w:vertAlign w:val="superscript"/>
              </w:rPr>
              <w:t>1</w:t>
            </w:r>
          </w:p>
        </w:tc>
        <w:tc>
          <w:tcPr>
            <w:tcW w:w="1977" w:type="dxa"/>
            <w:tcBorders>
              <w:top w:val="nil"/>
              <w:left w:val="nil"/>
              <w:bottom w:val="single" w:sz="4" w:space="0" w:color="auto"/>
              <w:right w:val="single" w:sz="4" w:space="0" w:color="auto"/>
            </w:tcBorders>
            <w:shd w:val="clear" w:color="000000" w:fill="D9D9D9"/>
            <w:vAlign w:val="center"/>
            <w:hideMark/>
          </w:tcPr>
          <w:p w14:paraId="41CFBC60" w14:textId="77777777" w:rsidR="00B322B7" w:rsidRPr="00B322B7" w:rsidRDefault="00B322B7" w:rsidP="005E2E4F">
            <w:pPr>
              <w:jc w:val="center"/>
              <w:rPr>
                <w:b/>
                <w:bCs/>
                <w:color w:val="000000"/>
                <w:sz w:val="22"/>
                <w:szCs w:val="22"/>
              </w:rPr>
            </w:pPr>
            <w:r w:rsidRPr="00B322B7">
              <w:rPr>
                <w:b/>
                <w:bCs/>
                <w:color w:val="000000"/>
                <w:sz w:val="22"/>
                <w:szCs w:val="22"/>
              </w:rPr>
              <w:t>Average lbs gw per vessel</w:t>
            </w:r>
          </w:p>
        </w:tc>
        <w:tc>
          <w:tcPr>
            <w:tcW w:w="2188" w:type="dxa"/>
            <w:tcBorders>
              <w:top w:val="nil"/>
              <w:left w:val="nil"/>
              <w:bottom w:val="single" w:sz="4" w:space="0" w:color="auto"/>
              <w:right w:val="single" w:sz="4" w:space="0" w:color="auto"/>
            </w:tcBorders>
            <w:shd w:val="clear" w:color="000000" w:fill="D9D9D9"/>
            <w:vAlign w:val="center"/>
            <w:hideMark/>
          </w:tcPr>
          <w:p w14:paraId="597A8FC2" w14:textId="77777777" w:rsidR="00B322B7" w:rsidRPr="00B322B7" w:rsidRDefault="00B322B7" w:rsidP="005E2E4F">
            <w:pPr>
              <w:jc w:val="center"/>
              <w:rPr>
                <w:b/>
                <w:bCs/>
                <w:color w:val="000000"/>
                <w:sz w:val="22"/>
                <w:szCs w:val="22"/>
              </w:rPr>
            </w:pPr>
            <w:r w:rsidRPr="00B322B7">
              <w:rPr>
                <w:b/>
                <w:bCs/>
                <w:color w:val="000000"/>
                <w:sz w:val="22"/>
                <w:szCs w:val="22"/>
              </w:rPr>
              <w:t>Real dockside revenue (2015 $)</w:t>
            </w:r>
          </w:p>
        </w:tc>
        <w:tc>
          <w:tcPr>
            <w:tcW w:w="2002" w:type="dxa"/>
            <w:tcBorders>
              <w:top w:val="nil"/>
              <w:left w:val="nil"/>
              <w:bottom w:val="single" w:sz="4" w:space="0" w:color="auto"/>
              <w:right w:val="single" w:sz="4" w:space="0" w:color="auto"/>
            </w:tcBorders>
            <w:shd w:val="clear" w:color="000000" w:fill="D9D9D9"/>
            <w:vAlign w:val="center"/>
            <w:hideMark/>
          </w:tcPr>
          <w:p w14:paraId="4DE9D9FF" w14:textId="77777777" w:rsidR="00B322B7" w:rsidRPr="00B322B7" w:rsidRDefault="00B322B7" w:rsidP="005E2E4F">
            <w:pPr>
              <w:jc w:val="center"/>
              <w:rPr>
                <w:b/>
                <w:bCs/>
                <w:color w:val="000000"/>
                <w:sz w:val="22"/>
                <w:szCs w:val="22"/>
              </w:rPr>
            </w:pPr>
            <w:r w:rsidRPr="00B322B7">
              <w:rPr>
                <w:b/>
                <w:bCs/>
                <w:color w:val="000000"/>
                <w:sz w:val="22"/>
                <w:szCs w:val="22"/>
              </w:rPr>
              <w:t>Average real dockside revenue (2015 $) per vessel</w:t>
            </w:r>
          </w:p>
        </w:tc>
      </w:tr>
      <w:tr w:rsidR="00B322B7" w:rsidRPr="00B322B7" w14:paraId="72F1D2B8" w14:textId="77777777" w:rsidTr="005E2E4F">
        <w:trPr>
          <w:trHeight w:val="292"/>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493B523C" w14:textId="77777777" w:rsidR="00B322B7" w:rsidRPr="00B322B7" w:rsidRDefault="00B322B7" w:rsidP="005E2E4F">
            <w:pPr>
              <w:jc w:val="center"/>
              <w:rPr>
                <w:b/>
                <w:bCs/>
                <w:color w:val="000000"/>
                <w:sz w:val="22"/>
                <w:szCs w:val="22"/>
              </w:rPr>
            </w:pPr>
            <w:r w:rsidRPr="00B322B7">
              <w:rPr>
                <w:b/>
                <w:bCs/>
                <w:color w:val="000000"/>
                <w:sz w:val="22"/>
                <w:szCs w:val="22"/>
              </w:rPr>
              <w:t>2011</w:t>
            </w:r>
          </w:p>
        </w:tc>
        <w:tc>
          <w:tcPr>
            <w:tcW w:w="889" w:type="dxa"/>
            <w:tcBorders>
              <w:top w:val="nil"/>
              <w:left w:val="nil"/>
              <w:bottom w:val="single" w:sz="4" w:space="0" w:color="auto"/>
              <w:right w:val="single" w:sz="4" w:space="0" w:color="auto"/>
            </w:tcBorders>
            <w:shd w:val="clear" w:color="auto" w:fill="auto"/>
            <w:noWrap/>
            <w:vAlign w:val="bottom"/>
            <w:hideMark/>
          </w:tcPr>
          <w:p w14:paraId="03CEA1CA" w14:textId="77777777" w:rsidR="00B322B7" w:rsidRPr="00B322B7" w:rsidRDefault="00B322B7" w:rsidP="005E2E4F">
            <w:pPr>
              <w:jc w:val="center"/>
              <w:rPr>
                <w:color w:val="000000"/>
                <w:sz w:val="22"/>
                <w:szCs w:val="22"/>
              </w:rPr>
            </w:pPr>
            <w:r w:rsidRPr="00B322B7">
              <w:rPr>
                <w:color w:val="000000"/>
                <w:sz w:val="22"/>
                <w:szCs w:val="22"/>
              </w:rPr>
              <w:t>278</w:t>
            </w:r>
          </w:p>
        </w:tc>
        <w:tc>
          <w:tcPr>
            <w:tcW w:w="1349" w:type="dxa"/>
            <w:tcBorders>
              <w:top w:val="nil"/>
              <w:left w:val="nil"/>
              <w:bottom w:val="single" w:sz="4" w:space="0" w:color="auto"/>
              <w:right w:val="single" w:sz="4" w:space="0" w:color="auto"/>
            </w:tcBorders>
            <w:shd w:val="clear" w:color="auto" w:fill="auto"/>
            <w:noWrap/>
            <w:vAlign w:val="bottom"/>
            <w:hideMark/>
          </w:tcPr>
          <w:p w14:paraId="29217BA1" w14:textId="77777777" w:rsidR="00B322B7" w:rsidRPr="00B322B7" w:rsidRDefault="00B322B7" w:rsidP="005E2E4F">
            <w:pPr>
              <w:jc w:val="center"/>
              <w:rPr>
                <w:color w:val="000000"/>
                <w:sz w:val="22"/>
                <w:szCs w:val="22"/>
              </w:rPr>
            </w:pPr>
            <w:r w:rsidRPr="00B322B7">
              <w:rPr>
                <w:color w:val="000000"/>
                <w:sz w:val="22"/>
                <w:szCs w:val="22"/>
              </w:rPr>
              <w:t>5,188,540</w:t>
            </w:r>
          </w:p>
        </w:tc>
        <w:tc>
          <w:tcPr>
            <w:tcW w:w="1977" w:type="dxa"/>
            <w:tcBorders>
              <w:top w:val="nil"/>
              <w:left w:val="nil"/>
              <w:bottom w:val="single" w:sz="4" w:space="0" w:color="auto"/>
              <w:right w:val="single" w:sz="4" w:space="0" w:color="auto"/>
            </w:tcBorders>
            <w:shd w:val="clear" w:color="auto" w:fill="auto"/>
            <w:noWrap/>
            <w:vAlign w:val="bottom"/>
            <w:hideMark/>
          </w:tcPr>
          <w:p w14:paraId="0490A0A4" w14:textId="77777777" w:rsidR="00B322B7" w:rsidRPr="00B322B7" w:rsidRDefault="00B322B7" w:rsidP="005E2E4F">
            <w:pPr>
              <w:jc w:val="center"/>
              <w:rPr>
                <w:color w:val="000000"/>
                <w:sz w:val="22"/>
                <w:szCs w:val="22"/>
              </w:rPr>
            </w:pPr>
            <w:r w:rsidRPr="00B322B7">
              <w:rPr>
                <w:color w:val="000000"/>
                <w:sz w:val="22"/>
                <w:szCs w:val="22"/>
              </w:rPr>
              <w:t>18,664</w:t>
            </w:r>
          </w:p>
        </w:tc>
        <w:tc>
          <w:tcPr>
            <w:tcW w:w="2188" w:type="dxa"/>
            <w:tcBorders>
              <w:top w:val="nil"/>
              <w:left w:val="nil"/>
              <w:bottom w:val="single" w:sz="4" w:space="0" w:color="auto"/>
              <w:right w:val="single" w:sz="4" w:space="0" w:color="auto"/>
            </w:tcBorders>
            <w:shd w:val="clear" w:color="auto" w:fill="auto"/>
            <w:noWrap/>
            <w:vAlign w:val="bottom"/>
            <w:hideMark/>
          </w:tcPr>
          <w:p w14:paraId="3B6F5C31" w14:textId="77777777" w:rsidR="00B322B7" w:rsidRPr="00B322B7" w:rsidRDefault="00B322B7" w:rsidP="005E2E4F">
            <w:pPr>
              <w:jc w:val="center"/>
              <w:rPr>
                <w:color w:val="000000"/>
                <w:sz w:val="22"/>
                <w:szCs w:val="22"/>
              </w:rPr>
            </w:pPr>
            <w:r w:rsidRPr="00B322B7">
              <w:rPr>
                <w:color w:val="000000"/>
                <w:sz w:val="22"/>
                <w:szCs w:val="22"/>
              </w:rPr>
              <w:t>$12,988,518</w:t>
            </w:r>
          </w:p>
        </w:tc>
        <w:tc>
          <w:tcPr>
            <w:tcW w:w="2002" w:type="dxa"/>
            <w:tcBorders>
              <w:top w:val="nil"/>
              <w:left w:val="nil"/>
              <w:bottom w:val="single" w:sz="4" w:space="0" w:color="auto"/>
              <w:right w:val="single" w:sz="4" w:space="0" w:color="auto"/>
            </w:tcBorders>
            <w:shd w:val="clear" w:color="auto" w:fill="auto"/>
            <w:noWrap/>
            <w:vAlign w:val="bottom"/>
            <w:hideMark/>
          </w:tcPr>
          <w:p w14:paraId="3A308883" w14:textId="77777777" w:rsidR="00B322B7" w:rsidRPr="00B322B7" w:rsidRDefault="00B322B7" w:rsidP="005E2E4F">
            <w:pPr>
              <w:jc w:val="center"/>
              <w:rPr>
                <w:color w:val="000000"/>
                <w:sz w:val="22"/>
                <w:szCs w:val="22"/>
              </w:rPr>
            </w:pPr>
            <w:r w:rsidRPr="00B322B7">
              <w:rPr>
                <w:color w:val="000000"/>
                <w:sz w:val="22"/>
                <w:szCs w:val="22"/>
              </w:rPr>
              <w:t>$46,721</w:t>
            </w:r>
          </w:p>
        </w:tc>
      </w:tr>
      <w:tr w:rsidR="00B322B7" w:rsidRPr="00B322B7" w14:paraId="2E4E08E4" w14:textId="77777777" w:rsidTr="005E2E4F">
        <w:trPr>
          <w:trHeight w:val="292"/>
        </w:trPr>
        <w:tc>
          <w:tcPr>
            <w:tcW w:w="998" w:type="dxa"/>
            <w:tcBorders>
              <w:top w:val="nil"/>
              <w:left w:val="single" w:sz="4" w:space="0" w:color="auto"/>
              <w:bottom w:val="single" w:sz="4" w:space="0" w:color="auto"/>
              <w:right w:val="single" w:sz="4" w:space="0" w:color="auto"/>
            </w:tcBorders>
            <w:shd w:val="clear" w:color="000000" w:fill="F2F2F2"/>
            <w:noWrap/>
            <w:vAlign w:val="bottom"/>
            <w:hideMark/>
          </w:tcPr>
          <w:p w14:paraId="422DC179" w14:textId="77777777" w:rsidR="00B322B7" w:rsidRPr="00B322B7" w:rsidRDefault="00B322B7" w:rsidP="005E2E4F">
            <w:pPr>
              <w:jc w:val="center"/>
              <w:rPr>
                <w:b/>
                <w:bCs/>
                <w:color w:val="000000"/>
                <w:sz w:val="22"/>
                <w:szCs w:val="22"/>
              </w:rPr>
            </w:pPr>
            <w:r w:rsidRPr="00B322B7">
              <w:rPr>
                <w:b/>
                <w:bCs/>
                <w:color w:val="000000"/>
                <w:sz w:val="22"/>
                <w:szCs w:val="22"/>
              </w:rPr>
              <w:t>2012</w:t>
            </w:r>
          </w:p>
        </w:tc>
        <w:tc>
          <w:tcPr>
            <w:tcW w:w="889" w:type="dxa"/>
            <w:tcBorders>
              <w:top w:val="nil"/>
              <w:left w:val="nil"/>
              <w:bottom w:val="single" w:sz="4" w:space="0" w:color="auto"/>
              <w:right w:val="single" w:sz="4" w:space="0" w:color="auto"/>
            </w:tcBorders>
            <w:shd w:val="clear" w:color="000000" w:fill="F2F2F2"/>
            <w:noWrap/>
            <w:vAlign w:val="bottom"/>
            <w:hideMark/>
          </w:tcPr>
          <w:p w14:paraId="706416B2" w14:textId="77777777" w:rsidR="00B322B7" w:rsidRPr="00B322B7" w:rsidRDefault="00B322B7" w:rsidP="005E2E4F">
            <w:pPr>
              <w:jc w:val="center"/>
              <w:rPr>
                <w:color w:val="000000"/>
                <w:sz w:val="22"/>
                <w:szCs w:val="22"/>
              </w:rPr>
            </w:pPr>
            <w:r w:rsidRPr="00B322B7">
              <w:rPr>
                <w:color w:val="000000"/>
                <w:sz w:val="22"/>
                <w:szCs w:val="22"/>
              </w:rPr>
              <w:t>258</w:t>
            </w:r>
          </w:p>
        </w:tc>
        <w:tc>
          <w:tcPr>
            <w:tcW w:w="1349" w:type="dxa"/>
            <w:tcBorders>
              <w:top w:val="nil"/>
              <w:left w:val="nil"/>
              <w:bottom w:val="single" w:sz="4" w:space="0" w:color="auto"/>
              <w:right w:val="single" w:sz="4" w:space="0" w:color="auto"/>
            </w:tcBorders>
            <w:shd w:val="clear" w:color="000000" w:fill="F2F2F2"/>
            <w:noWrap/>
            <w:vAlign w:val="bottom"/>
            <w:hideMark/>
          </w:tcPr>
          <w:p w14:paraId="4AC79F67" w14:textId="77777777" w:rsidR="00B322B7" w:rsidRPr="00B322B7" w:rsidRDefault="00B322B7" w:rsidP="005E2E4F">
            <w:pPr>
              <w:jc w:val="center"/>
              <w:rPr>
                <w:color w:val="000000"/>
                <w:sz w:val="22"/>
                <w:szCs w:val="22"/>
              </w:rPr>
            </w:pPr>
            <w:r w:rsidRPr="00B322B7">
              <w:rPr>
                <w:color w:val="000000"/>
                <w:sz w:val="22"/>
                <w:szCs w:val="22"/>
              </w:rPr>
              <w:t>4,552,000</w:t>
            </w:r>
          </w:p>
        </w:tc>
        <w:tc>
          <w:tcPr>
            <w:tcW w:w="1977" w:type="dxa"/>
            <w:tcBorders>
              <w:top w:val="nil"/>
              <w:left w:val="nil"/>
              <w:bottom w:val="single" w:sz="4" w:space="0" w:color="auto"/>
              <w:right w:val="single" w:sz="4" w:space="0" w:color="auto"/>
            </w:tcBorders>
            <w:shd w:val="clear" w:color="000000" w:fill="F2F2F2"/>
            <w:noWrap/>
            <w:vAlign w:val="bottom"/>
            <w:hideMark/>
          </w:tcPr>
          <w:p w14:paraId="673B0C41" w14:textId="77777777" w:rsidR="00B322B7" w:rsidRPr="00B322B7" w:rsidRDefault="00B322B7" w:rsidP="005E2E4F">
            <w:pPr>
              <w:jc w:val="center"/>
              <w:rPr>
                <w:color w:val="000000"/>
                <w:sz w:val="22"/>
                <w:szCs w:val="22"/>
              </w:rPr>
            </w:pPr>
            <w:r w:rsidRPr="00B322B7">
              <w:rPr>
                <w:color w:val="000000"/>
                <w:sz w:val="22"/>
                <w:szCs w:val="22"/>
              </w:rPr>
              <w:t>17,643</w:t>
            </w:r>
          </w:p>
        </w:tc>
        <w:tc>
          <w:tcPr>
            <w:tcW w:w="2188" w:type="dxa"/>
            <w:tcBorders>
              <w:top w:val="nil"/>
              <w:left w:val="nil"/>
              <w:bottom w:val="single" w:sz="4" w:space="0" w:color="auto"/>
              <w:right w:val="single" w:sz="4" w:space="0" w:color="auto"/>
            </w:tcBorders>
            <w:shd w:val="clear" w:color="000000" w:fill="F2F2F2"/>
            <w:noWrap/>
            <w:vAlign w:val="bottom"/>
            <w:hideMark/>
          </w:tcPr>
          <w:p w14:paraId="5F5211A6" w14:textId="77777777" w:rsidR="00B322B7" w:rsidRPr="00B322B7" w:rsidRDefault="00B322B7" w:rsidP="005E2E4F">
            <w:pPr>
              <w:jc w:val="center"/>
              <w:rPr>
                <w:color w:val="000000"/>
                <w:sz w:val="22"/>
                <w:szCs w:val="22"/>
              </w:rPr>
            </w:pPr>
            <w:r w:rsidRPr="00B322B7">
              <w:rPr>
                <w:color w:val="000000"/>
                <w:sz w:val="22"/>
                <w:szCs w:val="22"/>
              </w:rPr>
              <w:t>$12,025,640</w:t>
            </w:r>
          </w:p>
        </w:tc>
        <w:tc>
          <w:tcPr>
            <w:tcW w:w="2002" w:type="dxa"/>
            <w:tcBorders>
              <w:top w:val="nil"/>
              <w:left w:val="nil"/>
              <w:bottom w:val="single" w:sz="4" w:space="0" w:color="auto"/>
              <w:right w:val="single" w:sz="4" w:space="0" w:color="auto"/>
            </w:tcBorders>
            <w:shd w:val="clear" w:color="000000" w:fill="F2F2F2"/>
            <w:noWrap/>
            <w:vAlign w:val="bottom"/>
            <w:hideMark/>
          </w:tcPr>
          <w:p w14:paraId="6A7BE6B1" w14:textId="77777777" w:rsidR="00B322B7" w:rsidRPr="00B322B7" w:rsidRDefault="00B322B7" w:rsidP="005E2E4F">
            <w:pPr>
              <w:jc w:val="center"/>
              <w:rPr>
                <w:color w:val="000000"/>
                <w:sz w:val="22"/>
                <w:szCs w:val="22"/>
              </w:rPr>
            </w:pPr>
            <w:r w:rsidRPr="00B322B7">
              <w:rPr>
                <w:color w:val="000000"/>
                <w:sz w:val="22"/>
                <w:szCs w:val="22"/>
              </w:rPr>
              <w:t>$46,611</w:t>
            </w:r>
          </w:p>
        </w:tc>
      </w:tr>
      <w:tr w:rsidR="00B322B7" w:rsidRPr="00B322B7" w14:paraId="2A32263C" w14:textId="77777777" w:rsidTr="005E2E4F">
        <w:trPr>
          <w:trHeight w:val="292"/>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02B7DE96" w14:textId="77777777" w:rsidR="00B322B7" w:rsidRPr="00B322B7" w:rsidRDefault="00B322B7" w:rsidP="005E2E4F">
            <w:pPr>
              <w:jc w:val="center"/>
              <w:rPr>
                <w:b/>
                <w:bCs/>
                <w:color w:val="000000"/>
                <w:sz w:val="22"/>
                <w:szCs w:val="22"/>
              </w:rPr>
            </w:pPr>
            <w:r w:rsidRPr="00B322B7">
              <w:rPr>
                <w:b/>
                <w:bCs/>
                <w:color w:val="000000"/>
                <w:sz w:val="22"/>
                <w:szCs w:val="22"/>
              </w:rPr>
              <w:t>2013</w:t>
            </w:r>
          </w:p>
        </w:tc>
        <w:tc>
          <w:tcPr>
            <w:tcW w:w="889" w:type="dxa"/>
            <w:tcBorders>
              <w:top w:val="nil"/>
              <w:left w:val="nil"/>
              <w:bottom w:val="single" w:sz="4" w:space="0" w:color="auto"/>
              <w:right w:val="single" w:sz="4" w:space="0" w:color="auto"/>
            </w:tcBorders>
            <w:shd w:val="clear" w:color="auto" w:fill="auto"/>
            <w:noWrap/>
            <w:vAlign w:val="bottom"/>
            <w:hideMark/>
          </w:tcPr>
          <w:p w14:paraId="62E2C61B" w14:textId="77777777" w:rsidR="00B322B7" w:rsidRPr="00B322B7" w:rsidRDefault="00B322B7" w:rsidP="005E2E4F">
            <w:pPr>
              <w:jc w:val="center"/>
              <w:rPr>
                <w:color w:val="000000"/>
                <w:sz w:val="22"/>
                <w:szCs w:val="22"/>
              </w:rPr>
            </w:pPr>
            <w:r w:rsidRPr="00B322B7">
              <w:rPr>
                <w:color w:val="000000"/>
                <w:sz w:val="22"/>
                <w:szCs w:val="22"/>
              </w:rPr>
              <w:t>254</w:t>
            </w:r>
          </w:p>
        </w:tc>
        <w:tc>
          <w:tcPr>
            <w:tcW w:w="1349" w:type="dxa"/>
            <w:tcBorders>
              <w:top w:val="nil"/>
              <w:left w:val="nil"/>
              <w:bottom w:val="single" w:sz="4" w:space="0" w:color="auto"/>
              <w:right w:val="single" w:sz="4" w:space="0" w:color="auto"/>
            </w:tcBorders>
            <w:shd w:val="clear" w:color="auto" w:fill="auto"/>
            <w:noWrap/>
            <w:vAlign w:val="bottom"/>
            <w:hideMark/>
          </w:tcPr>
          <w:p w14:paraId="30D6DAB2" w14:textId="77777777" w:rsidR="00B322B7" w:rsidRPr="00B322B7" w:rsidRDefault="00B322B7" w:rsidP="005E2E4F">
            <w:pPr>
              <w:jc w:val="center"/>
              <w:rPr>
                <w:color w:val="000000"/>
                <w:sz w:val="22"/>
                <w:szCs w:val="22"/>
              </w:rPr>
            </w:pPr>
            <w:r w:rsidRPr="00B322B7">
              <w:rPr>
                <w:color w:val="000000"/>
                <w:sz w:val="22"/>
                <w:szCs w:val="22"/>
              </w:rPr>
              <w:t>4,454,238</w:t>
            </w:r>
          </w:p>
        </w:tc>
        <w:tc>
          <w:tcPr>
            <w:tcW w:w="1977" w:type="dxa"/>
            <w:tcBorders>
              <w:top w:val="nil"/>
              <w:left w:val="nil"/>
              <w:bottom w:val="single" w:sz="4" w:space="0" w:color="auto"/>
              <w:right w:val="single" w:sz="4" w:space="0" w:color="auto"/>
            </w:tcBorders>
            <w:shd w:val="clear" w:color="auto" w:fill="auto"/>
            <w:noWrap/>
            <w:vAlign w:val="bottom"/>
            <w:hideMark/>
          </w:tcPr>
          <w:p w14:paraId="3D90A3D3" w14:textId="77777777" w:rsidR="00B322B7" w:rsidRPr="00B322B7" w:rsidRDefault="00B322B7" w:rsidP="005E2E4F">
            <w:pPr>
              <w:jc w:val="center"/>
              <w:rPr>
                <w:color w:val="000000"/>
                <w:sz w:val="22"/>
                <w:szCs w:val="22"/>
              </w:rPr>
            </w:pPr>
            <w:r w:rsidRPr="00B322B7">
              <w:rPr>
                <w:color w:val="000000"/>
                <w:sz w:val="22"/>
                <w:szCs w:val="22"/>
              </w:rPr>
              <w:t>17,536</w:t>
            </w:r>
          </w:p>
        </w:tc>
        <w:tc>
          <w:tcPr>
            <w:tcW w:w="2188" w:type="dxa"/>
            <w:tcBorders>
              <w:top w:val="nil"/>
              <w:left w:val="nil"/>
              <w:bottom w:val="single" w:sz="4" w:space="0" w:color="auto"/>
              <w:right w:val="single" w:sz="4" w:space="0" w:color="auto"/>
            </w:tcBorders>
            <w:shd w:val="clear" w:color="auto" w:fill="auto"/>
            <w:noWrap/>
            <w:vAlign w:val="bottom"/>
            <w:hideMark/>
          </w:tcPr>
          <w:p w14:paraId="70E9A23A" w14:textId="77777777" w:rsidR="00B322B7" w:rsidRPr="00B322B7" w:rsidRDefault="00B322B7" w:rsidP="005E2E4F">
            <w:pPr>
              <w:jc w:val="center"/>
              <w:rPr>
                <w:color w:val="000000"/>
                <w:sz w:val="22"/>
                <w:szCs w:val="22"/>
              </w:rPr>
            </w:pPr>
            <w:r w:rsidRPr="00B322B7">
              <w:rPr>
                <w:color w:val="000000"/>
                <w:sz w:val="22"/>
                <w:szCs w:val="22"/>
              </w:rPr>
              <w:t>$12,493,017</w:t>
            </w:r>
          </w:p>
        </w:tc>
        <w:tc>
          <w:tcPr>
            <w:tcW w:w="2002" w:type="dxa"/>
            <w:tcBorders>
              <w:top w:val="nil"/>
              <w:left w:val="nil"/>
              <w:bottom w:val="single" w:sz="4" w:space="0" w:color="auto"/>
              <w:right w:val="single" w:sz="4" w:space="0" w:color="auto"/>
            </w:tcBorders>
            <w:shd w:val="clear" w:color="auto" w:fill="auto"/>
            <w:noWrap/>
            <w:vAlign w:val="bottom"/>
            <w:hideMark/>
          </w:tcPr>
          <w:p w14:paraId="4E017D56" w14:textId="77777777" w:rsidR="00B322B7" w:rsidRPr="00B322B7" w:rsidRDefault="00B322B7" w:rsidP="005E2E4F">
            <w:pPr>
              <w:jc w:val="center"/>
              <w:rPr>
                <w:color w:val="000000"/>
                <w:sz w:val="22"/>
                <w:szCs w:val="22"/>
              </w:rPr>
            </w:pPr>
            <w:r w:rsidRPr="00B322B7">
              <w:rPr>
                <w:color w:val="000000"/>
                <w:sz w:val="22"/>
                <w:szCs w:val="22"/>
              </w:rPr>
              <w:t>$49,185</w:t>
            </w:r>
          </w:p>
        </w:tc>
      </w:tr>
      <w:tr w:rsidR="00B322B7" w:rsidRPr="00B322B7" w14:paraId="476D21F9" w14:textId="77777777" w:rsidTr="005E2E4F">
        <w:trPr>
          <w:trHeight w:val="292"/>
        </w:trPr>
        <w:tc>
          <w:tcPr>
            <w:tcW w:w="998" w:type="dxa"/>
            <w:tcBorders>
              <w:top w:val="nil"/>
              <w:left w:val="single" w:sz="4" w:space="0" w:color="auto"/>
              <w:bottom w:val="single" w:sz="4" w:space="0" w:color="auto"/>
              <w:right w:val="single" w:sz="4" w:space="0" w:color="auto"/>
            </w:tcBorders>
            <w:shd w:val="clear" w:color="000000" w:fill="F2F2F2"/>
            <w:noWrap/>
            <w:vAlign w:val="bottom"/>
            <w:hideMark/>
          </w:tcPr>
          <w:p w14:paraId="60F1850A" w14:textId="77777777" w:rsidR="00B322B7" w:rsidRPr="00B322B7" w:rsidRDefault="00B322B7" w:rsidP="005E2E4F">
            <w:pPr>
              <w:jc w:val="center"/>
              <w:rPr>
                <w:b/>
                <w:bCs/>
                <w:color w:val="000000"/>
                <w:sz w:val="22"/>
                <w:szCs w:val="22"/>
              </w:rPr>
            </w:pPr>
            <w:r w:rsidRPr="00B322B7">
              <w:rPr>
                <w:b/>
                <w:bCs/>
                <w:color w:val="000000"/>
                <w:sz w:val="22"/>
                <w:szCs w:val="22"/>
              </w:rPr>
              <w:t>2014</w:t>
            </w:r>
          </w:p>
        </w:tc>
        <w:tc>
          <w:tcPr>
            <w:tcW w:w="889" w:type="dxa"/>
            <w:tcBorders>
              <w:top w:val="nil"/>
              <w:left w:val="nil"/>
              <w:bottom w:val="single" w:sz="4" w:space="0" w:color="auto"/>
              <w:right w:val="single" w:sz="4" w:space="0" w:color="auto"/>
            </w:tcBorders>
            <w:shd w:val="clear" w:color="000000" w:fill="F2F2F2"/>
            <w:noWrap/>
            <w:vAlign w:val="bottom"/>
            <w:hideMark/>
          </w:tcPr>
          <w:p w14:paraId="2C89C825" w14:textId="77777777" w:rsidR="00B322B7" w:rsidRPr="00B322B7" w:rsidRDefault="00B322B7" w:rsidP="005E2E4F">
            <w:pPr>
              <w:jc w:val="center"/>
              <w:rPr>
                <w:color w:val="000000"/>
                <w:sz w:val="22"/>
                <w:szCs w:val="22"/>
              </w:rPr>
            </w:pPr>
            <w:r w:rsidRPr="00B322B7">
              <w:rPr>
                <w:color w:val="000000"/>
                <w:sz w:val="22"/>
                <w:szCs w:val="22"/>
              </w:rPr>
              <w:t>257</w:t>
            </w:r>
          </w:p>
        </w:tc>
        <w:tc>
          <w:tcPr>
            <w:tcW w:w="1349" w:type="dxa"/>
            <w:tcBorders>
              <w:top w:val="nil"/>
              <w:left w:val="nil"/>
              <w:bottom w:val="single" w:sz="4" w:space="0" w:color="auto"/>
              <w:right w:val="single" w:sz="4" w:space="0" w:color="auto"/>
            </w:tcBorders>
            <w:shd w:val="clear" w:color="000000" w:fill="F2F2F2"/>
            <w:noWrap/>
            <w:vAlign w:val="bottom"/>
            <w:hideMark/>
          </w:tcPr>
          <w:p w14:paraId="3CD0026B" w14:textId="77777777" w:rsidR="00B322B7" w:rsidRPr="00B322B7" w:rsidRDefault="00B322B7" w:rsidP="005E2E4F">
            <w:pPr>
              <w:jc w:val="center"/>
              <w:rPr>
                <w:color w:val="000000"/>
                <w:sz w:val="22"/>
                <w:szCs w:val="22"/>
              </w:rPr>
            </w:pPr>
            <w:r w:rsidRPr="00B322B7">
              <w:rPr>
                <w:color w:val="000000"/>
                <w:sz w:val="22"/>
                <w:szCs w:val="22"/>
              </w:rPr>
              <w:t>4,678,920</w:t>
            </w:r>
          </w:p>
        </w:tc>
        <w:tc>
          <w:tcPr>
            <w:tcW w:w="1977" w:type="dxa"/>
            <w:tcBorders>
              <w:top w:val="nil"/>
              <w:left w:val="nil"/>
              <w:bottom w:val="single" w:sz="4" w:space="0" w:color="auto"/>
              <w:right w:val="single" w:sz="4" w:space="0" w:color="auto"/>
            </w:tcBorders>
            <w:shd w:val="clear" w:color="000000" w:fill="F2F2F2"/>
            <w:noWrap/>
            <w:vAlign w:val="bottom"/>
            <w:hideMark/>
          </w:tcPr>
          <w:p w14:paraId="12F98795" w14:textId="77777777" w:rsidR="00B322B7" w:rsidRPr="00B322B7" w:rsidRDefault="00B322B7" w:rsidP="005E2E4F">
            <w:pPr>
              <w:jc w:val="center"/>
              <w:rPr>
                <w:color w:val="000000"/>
                <w:sz w:val="22"/>
                <w:szCs w:val="22"/>
              </w:rPr>
            </w:pPr>
            <w:r w:rsidRPr="00B322B7">
              <w:rPr>
                <w:color w:val="000000"/>
                <w:sz w:val="22"/>
                <w:szCs w:val="22"/>
              </w:rPr>
              <w:t>18,206</w:t>
            </w:r>
          </w:p>
        </w:tc>
        <w:tc>
          <w:tcPr>
            <w:tcW w:w="2188" w:type="dxa"/>
            <w:tcBorders>
              <w:top w:val="nil"/>
              <w:left w:val="nil"/>
              <w:bottom w:val="single" w:sz="4" w:space="0" w:color="auto"/>
              <w:right w:val="single" w:sz="4" w:space="0" w:color="auto"/>
            </w:tcBorders>
            <w:shd w:val="clear" w:color="000000" w:fill="F2F2F2"/>
            <w:noWrap/>
            <w:vAlign w:val="bottom"/>
            <w:hideMark/>
          </w:tcPr>
          <w:p w14:paraId="09D32843" w14:textId="77777777" w:rsidR="00B322B7" w:rsidRPr="00B322B7" w:rsidRDefault="00B322B7" w:rsidP="005E2E4F">
            <w:pPr>
              <w:jc w:val="center"/>
              <w:rPr>
                <w:color w:val="000000"/>
                <w:sz w:val="22"/>
                <w:szCs w:val="22"/>
              </w:rPr>
            </w:pPr>
            <w:r w:rsidRPr="00B322B7">
              <w:rPr>
                <w:color w:val="000000"/>
                <w:sz w:val="22"/>
                <w:szCs w:val="22"/>
              </w:rPr>
              <w:t>$13,672,724</w:t>
            </w:r>
          </w:p>
        </w:tc>
        <w:tc>
          <w:tcPr>
            <w:tcW w:w="2002" w:type="dxa"/>
            <w:tcBorders>
              <w:top w:val="nil"/>
              <w:left w:val="nil"/>
              <w:bottom w:val="single" w:sz="4" w:space="0" w:color="auto"/>
              <w:right w:val="single" w:sz="4" w:space="0" w:color="auto"/>
            </w:tcBorders>
            <w:shd w:val="clear" w:color="000000" w:fill="F2F2F2"/>
            <w:noWrap/>
            <w:vAlign w:val="bottom"/>
            <w:hideMark/>
          </w:tcPr>
          <w:p w14:paraId="04BC509C" w14:textId="77777777" w:rsidR="00B322B7" w:rsidRPr="00B322B7" w:rsidRDefault="00B322B7" w:rsidP="005E2E4F">
            <w:pPr>
              <w:jc w:val="center"/>
              <w:rPr>
                <w:color w:val="000000"/>
                <w:sz w:val="22"/>
                <w:szCs w:val="22"/>
              </w:rPr>
            </w:pPr>
            <w:r w:rsidRPr="00B322B7">
              <w:rPr>
                <w:color w:val="000000"/>
                <w:sz w:val="22"/>
                <w:szCs w:val="22"/>
              </w:rPr>
              <w:t>$53,201</w:t>
            </w:r>
          </w:p>
        </w:tc>
      </w:tr>
      <w:tr w:rsidR="00B322B7" w:rsidRPr="00B322B7" w14:paraId="0C4547C2" w14:textId="77777777" w:rsidTr="005E2E4F">
        <w:trPr>
          <w:trHeight w:val="292"/>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40BD3B3A" w14:textId="77777777" w:rsidR="00B322B7" w:rsidRPr="00B322B7" w:rsidRDefault="00B322B7" w:rsidP="005E2E4F">
            <w:pPr>
              <w:jc w:val="center"/>
              <w:rPr>
                <w:b/>
                <w:bCs/>
                <w:color w:val="000000"/>
                <w:sz w:val="22"/>
                <w:szCs w:val="22"/>
              </w:rPr>
            </w:pPr>
            <w:r w:rsidRPr="00B322B7">
              <w:rPr>
                <w:b/>
                <w:bCs/>
                <w:color w:val="000000"/>
                <w:sz w:val="22"/>
                <w:szCs w:val="22"/>
              </w:rPr>
              <w:t>2015</w:t>
            </w:r>
          </w:p>
        </w:tc>
        <w:tc>
          <w:tcPr>
            <w:tcW w:w="889" w:type="dxa"/>
            <w:tcBorders>
              <w:top w:val="nil"/>
              <w:left w:val="nil"/>
              <w:bottom w:val="single" w:sz="4" w:space="0" w:color="auto"/>
              <w:right w:val="single" w:sz="4" w:space="0" w:color="auto"/>
            </w:tcBorders>
            <w:shd w:val="clear" w:color="auto" w:fill="auto"/>
            <w:noWrap/>
            <w:vAlign w:val="bottom"/>
            <w:hideMark/>
          </w:tcPr>
          <w:p w14:paraId="3695FDE2" w14:textId="77777777" w:rsidR="00B322B7" w:rsidRPr="00B322B7" w:rsidRDefault="00B322B7" w:rsidP="005E2E4F">
            <w:pPr>
              <w:jc w:val="center"/>
              <w:rPr>
                <w:color w:val="000000"/>
                <w:sz w:val="22"/>
                <w:szCs w:val="22"/>
              </w:rPr>
            </w:pPr>
            <w:r w:rsidRPr="00B322B7">
              <w:rPr>
                <w:color w:val="000000"/>
                <w:sz w:val="22"/>
                <w:szCs w:val="22"/>
              </w:rPr>
              <w:t>266</w:t>
            </w:r>
          </w:p>
        </w:tc>
        <w:tc>
          <w:tcPr>
            <w:tcW w:w="1349" w:type="dxa"/>
            <w:tcBorders>
              <w:top w:val="nil"/>
              <w:left w:val="nil"/>
              <w:bottom w:val="single" w:sz="4" w:space="0" w:color="auto"/>
              <w:right w:val="single" w:sz="4" w:space="0" w:color="auto"/>
            </w:tcBorders>
            <w:shd w:val="clear" w:color="auto" w:fill="auto"/>
            <w:noWrap/>
            <w:vAlign w:val="bottom"/>
            <w:hideMark/>
          </w:tcPr>
          <w:p w14:paraId="33398A77" w14:textId="77777777" w:rsidR="00B322B7" w:rsidRPr="00B322B7" w:rsidRDefault="00B322B7" w:rsidP="005E2E4F">
            <w:pPr>
              <w:jc w:val="center"/>
              <w:rPr>
                <w:color w:val="000000"/>
                <w:sz w:val="22"/>
                <w:szCs w:val="22"/>
              </w:rPr>
            </w:pPr>
            <w:r w:rsidRPr="00B322B7">
              <w:rPr>
                <w:color w:val="000000"/>
                <w:sz w:val="22"/>
                <w:szCs w:val="22"/>
              </w:rPr>
              <w:t>4,260,327</w:t>
            </w:r>
          </w:p>
        </w:tc>
        <w:tc>
          <w:tcPr>
            <w:tcW w:w="1977" w:type="dxa"/>
            <w:tcBorders>
              <w:top w:val="nil"/>
              <w:left w:val="nil"/>
              <w:bottom w:val="single" w:sz="4" w:space="0" w:color="auto"/>
              <w:right w:val="single" w:sz="4" w:space="0" w:color="auto"/>
            </w:tcBorders>
            <w:shd w:val="clear" w:color="auto" w:fill="auto"/>
            <w:noWrap/>
            <w:vAlign w:val="bottom"/>
            <w:hideMark/>
          </w:tcPr>
          <w:p w14:paraId="4181B605" w14:textId="77777777" w:rsidR="00B322B7" w:rsidRPr="00B322B7" w:rsidRDefault="00B322B7" w:rsidP="005E2E4F">
            <w:pPr>
              <w:jc w:val="center"/>
              <w:rPr>
                <w:color w:val="000000"/>
                <w:sz w:val="22"/>
                <w:szCs w:val="22"/>
              </w:rPr>
            </w:pPr>
            <w:r w:rsidRPr="00B322B7">
              <w:rPr>
                <w:color w:val="000000"/>
                <w:sz w:val="22"/>
                <w:szCs w:val="22"/>
              </w:rPr>
              <w:t>16,016</w:t>
            </w:r>
          </w:p>
        </w:tc>
        <w:tc>
          <w:tcPr>
            <w:tcW w:w="2188" w:type="dxa"/>
            <w:tcBorders>
              <w:top w:val="nil"/>
              <w:left w:val="nil"/>
              <w:bottom w:val="single" w:sz="4" w:space="0" w:color="auto"/>
              <w:right w:val="single" w:sz="4" w:space="0" w:color="auto"/>
            </w:tcBorders>
            <w:shd w:val="clear" w:color="auto" w:fill="auto"/>
            <w:noWrap/>
            <w:vAlign w:val="bottom"/>
            <w:hideMark/>
          </w:tcPr>
          <w:p w14:paraId="2830BFE6" w14:textId="77777777" w:rsidR="00B322B7" w:rsidRPr="00B322B7" w:rsidRDefault="00B322B7" w:rsidP="005E2E4F">
            <w:pPr>
              <w:jc w:val="center"/>
              <w:rPr>
                <w:color w:val="000000"/>
                <w:sz w:val="22"/>
                <w:szCs w:val="22"/>
              </w:rPr>
            </w:pPr>
            <w:r w:rsidRPr="00B322B7">
              <w:rPr>
                <w:color w:val="000000"/>
                <w:sz w:val="22"/>
                <w:szCs w:val="22"/>
              </w:rPr>
              <w:t>$11,390,383</w:t>
            </w:r>
          </w:p>
        </w:tc>
        <w:tc>
          <w:tcPr>
            <w:tcW w:w="2002" w:type="dxa"/>
            <w:tcBorders>
              <w:top w:val="nil"/>
              <w:left w:val="nil"/>
              <w:bottom w:val="single" w:sz="4" w:space="0" w:color="auto"/>
              <w:right w:val="single" w:sz="4" w:space="0" w:color="auto"/>
            </w:tcBorders>
            <w:shd w:val="clear" w:color="auto" w:fill="auto"/>
            <w:noWrap/>
            <w:vAlign w:val="bottom"/>
            <w:hideMark/>
          </w:tcPr>
          <w:p w14:paraId="713EAB79" w14:textId="77777777" w:rsidR="00B322B7" w:rsidRPr="00B322B7" w:rsidRDefault="00B322B7" w:rsidP="005E2E4F">
            <w:pPr>
              <w:jc w:val="center"/>
              <w:rPr>
                <w:color w:val="000000"/>
                <w:sz w:val="22"/>
                <w:szCs w:val="22"/>
              </w:rPr>
            </w:pPr>
            <w:r w:rsidRPr="00B322B7">
              <w:rPr>
                <w:color w:val="000000"/>
                <w:sz w:val="22"/>
                <w:szCs w:val="22"/>
              </w:rPr>
              <w:t>$42,821</w:t>
            </w:r>
          </w:p>
        </w:tc>
      </w:tr>
      <w:tr w:rsidR="00B322B7" w:rsidRPr="00B322B7" w14:paraId="2BFEAE5C" w14:textId="77777777" w:rsidTr="005E2E4F">
        <w:trPr>
          <w:trHeight w:val="292"/>
        </w:trPr>
        <w:tc>
          <w:tcPr>
            <w:tcW w:w="998" w:type="dxa"/>
            <w:tcBorders>
              <w:top w:val="nil"/>
              <w:left w:val="single" w:sz="4" w:space="0" w:color="auto"/>
              <w:bottom w:val="single" w:sz="4" w:space="0" w:color="auto"/>
              <w:right w:val="single" w:sz="4" w:space="0" w:color="auto"/>
            </w:tcBorders>
            <w:shd w:val="clear" w:color="000000" w:fill="F2F2F2"/>
            <w:noWrap/>
            <w:vAlign w:val="bottom"/>
            <w:hideMark/>
          </w:tcPr>
          <w:p w14:paraId="58DE8842" w14:textId="77777777" w:rsidR="00B322B7" w:rsidRPr="00B322B7" w:rsidRDefault="00B322B7" w:rsidP="005E2E4F">
            <w:pPr>
              <w:jc w:val="center"/>
              <w:rPr>
                <w:b/>
                <w:bCs/>
                <w:color w:val="000000"/>
                <w:sz w:val="22"/>
                <w:szCs w:val="22"/>
              </w:rPr>
            </w:pPr>
            <w:r w:rsidRPr="00B322B7">
              <w:rPr>
                <w:b/>
                <w:bCs/>
                <w:color w:val="000000"/>
                <w:sz w:val="22"/>
                <w:szCs w:val="22"/>
              </w:rPr>
              <w:t xml:space="preserve">Average </w:t>
            </w:r>
          </w:p>
        </w:tc>
        <w:tc>
          <w:tcPr>
            <w:tcW w:w="889" w:type="dxa"/>
            <w:tcBorders>
              <w:top w:val="nil"/>
              <w:left w:val="nil"/>
              <w:bottom w:val="single" w:sz="4" w:space="0" w:color="auto"/>
              <w:right w:val="single" w:sz="4" w:space="0" w:color="auto"/>
            </w:tcBorders>
            <w:shd w:val="clear" w:color="000000" w:fill="F2F2F2"/>
            <w:noWrap/>
            <w:vAlign w:val="bottom"/>
            <w:hideMark/>
          </w:tcPr>
          <w:p w14:paraId="6C1E4150" w14:textId="77777777" w:rsidR="00B322B7" w:rsidRPr="00B322B7" w:rsidRDefault="00B322B7" w:rsidP="005E2E4F">
            <w:pPr>
              <w:jc w:val="center"/>
              <w:rPr>
                <w:b/>
                <w:bCs/>
                <w:color w:val="000000"/>
                <w:sz w:val="22"/>
                <w:szCs w:val="22"/>
              </w:rPr>
            </w:pPr>
            <w:r w:rsidRPr="00B322B7">
              <w:rPr>
                <w:b/>
                <w:bCs/>
                <w:color w:val="000000"/>
                <w:sz w:val="22"/>
                <w:szCs w:val="22"/>
              </w:rPr>
              <w:t>263</w:t>
            </w:r>
          </w:p>
        </w:tc>
        <w:tc>
          <w:tcPr>
            <w:tcW w:w="1349" w:type="dxa"/>
            <w:tcBorders>
              <w:top w:val="nil"/>
              <w:left w:val="nil"/>
              <w:bottom w:val="single" w:sz="4" w:space="0" w:color="auto"/>
              <w:right w:val="single" w:sz="4" w:space="0" w:color="auto"/>
            </w:tcBorders>
            <w:shd w:val="clear" w:color="000000" w:fill="F2F2F2"/>
            <w:noWrap/>
            <w:vAlign w:val="bottom"/>
            <w:hideMark/>
          </w:tcPr>
          <w:p w14:paraId="5FBC8522" w14:textId="77777777" w:rsidR="00B322B7" w:rsidRPr="00B322B7" w:rsidRDefault="00B322B7" w:rsidP="005E2E4F">
            <w:pPr>
              <w:jc w:val="center"/>
              <w:rPr>
                <w:b/>
                <w:bCs/>
                <w:color w:val="000000"/>
                <w:sz w:val="22"/>
                <w:szCs w:val="22"/>
              </w:rPr>
            </w:pPr>
            <w:r w:rsidRPr="00B322B7">
              <w:rPr>
                <w:b/>
                <w:bCs/>
                <w:color w:val="000000"/>
                <w:sz w:val="22"/>
                <w:szCs w:val="22"/>
              </w:rPr>
              <w:t>4,626,805</w:t>
            </w:r>
          </w:p>
        </w:tc>
        <w:tc>
          <w:tcPr>
            <w:tcW w:w="1977" w:type="dxa"/>
            <w:tcBorders>
              <w:top w:val="nil"/>
              <w:left w:val="nil"/>
              <w:bottom w:val="single" w:sz="4" w:space="0" w:color="auto"/>
              <w:right w:val="single" w:sz="4" w:space="0" w:color="auto"/>
            </w:tcBorders>
            <w:shd w:val="clear" w:color="000000" w:fill="F2F2F2"/>
            <w:noWrap/>
            <w:vAlign w:val="bottom"/>
            <w:hideMark/>
          </w:tcPr>
          <w:p w14:paraId="5E4C58EB" w14:textId="77777777" w:rsidR="00B322B7" w:rsidRPr="00B322B7" w:rsidRDefault="00B322B7" w:rsidP="005E2E4F">
            <w:pPr>
              <w:jc w:val="center"/>
              <w:rPr>
                <w:b/>
                <w:bCs/>
                <w:color w:val="000000"/>
                <w:sz w:val="22"/>
                <w:szCs w:val="22"/>
              </w:rPr>
            </w:pPr>
            <w:r w:rsidRPr="00B322B7">
              <w:rPr>
                <w:b/>
                <w:bCs/>
                <w:color w:val="000000"/>
                <w:sz w:val="22"/>
                <w:szCs w:val="22"/>
              </w:rPr>
              <w:t>17,613</w:t>
            </w:r>
          </w:p>
        </w:tc>
        <w:tc>
          <w:tcPr>
            <w:tcW w:w="2188" w:type="dxa"/>
            <w:tcBorders>
              <w:top w:val="nil"/>
              <w:left w:val="nil"/>
              <w:bottom w:val="single" w:sz="4" w:space="0" w:color="auto"/>
              <w:right w:val="single" w:sz="4" w:space="0" w:color="auto"/>
            </w:tcBorders>
            <w:shd w:val="clear" w:color="000000" w:fill="F2F2F2"/>
            <w:noWrap/>
            <w:vAlign w:val="bottom"/>
            <w:hideMark/>
          </w:tcPr>
          <w:p w14:paraId="31FC1AF8" w14:textId="77777777" w:rsidR="00B322B7" w:rsidRPr="00B322B7" w:rsidRDefault="00B322B7" w:rsidP="005E2E4F">
            <w:pPr>
              <w:jc w:val="center"/>
              <w:rPr>
                <w:b/>
                <w:bCs/>
                <w:color w:val="000000"/>
                <w:sz w:val="22"/>
                <w:szCs w:val="22"/>
              </w:rPr>
            </w:pPr>
            <w:r w:rsidRPr="00B322B7">
              <w:rPr>
                <w:b/>
                <w:bCs/>
                <w:color w:val="000000"/>
                <w:sz w:val="22"/>
                <w:szCs w:val="22"/>
              </w:rPr>
              <w:t>$12,514,056</w:t>
            </w:r>
          </w:p>
        </w:tc>
        <w:tc>
          <w:tcPr>
            <w:tcW w:w="2002" w:type="dxa"/>
            <w:tcBorders>
              <w:top w:val="nil"/>
              <w:left w:val="nil"/>
              <w:bottom w:val="single" w:sz="4" w:space="0" w:color="auto"/>
              <w:right w:val="single" w:sz="4" w:space="0" w:color="auto"/>
            </w:tcBorders>
            <w:shd w:val="clear" w:color="000000" w:fill="F2F2F2"/>
            <w:noWrap/>
            <w:vAlign w:val="bottom"/>
            <w:hideMark/>
          </w:tcPr>
          <w:p w14:paraId="2FA36FA4" w14:textId="77777777" w:rsidR="00B322B7" w:rsidRPr="00B322B7" w:rsidRDefault="00B322B7" w:rsidP="005E2E4F">
            <w:pPr>
              <w:jc w:val="center"/>
              <w:rPr>
                <w:b/>
                <w:bCs/>
                <w:color w:val="000000"/>
                <w:sz w:val="22"/>
                <w:szCs w:val="22"/>
              </w:rPr>
            </w:pPr>
            <w:r w:rsidRPr="00B322B7">
              <w:rPr>
                <w:b/>
                <w:bCs/>
                <w:color w:val="000000"/>
                <w:sz w:val="22"/>
                <w:szCs w:val="22"/>
              </w:rPr>
              <w:t>$47,708</w:t>
            </w:r>
          </w:p>
        </w:tc>
      </w:tr>
    </w:tbl>
    <w:p w14:paraId="6473D9B5" w14:textId="77777777" w:rsidR="00B322B7" w:rsidRPr="009F0FCD" w:rsidRDefault="00B322B7" w:rsidP="00B322B7">
      <w:pPr>
        <w:rPr>
          <w:rFonts w:ascii="Arial" w:hAnsi="Arial" w:cs="Arial"/>
          <w:sz w:val="20"/>
          <w:szCs w:val="20"/>
        </w:rPr>
      </w:pPr>
      <w:r>
        <w:rPr>
          <w:rFonts w:ascii="Arial" w:hAnsi="Arial" w:cs="Arial"/>
          <w:sz w:val="20"/>
          <w:szCs w:val="20"/>
        </w:rPr>
        <w:t>1.</w:t>
      </w:r>
      <w:r w:rsidRPr="009F0FCD">
        <w:rPr>
          <w:rFonts w:ascii="Arial" w:hAnsi="Arial" w:cs="Arial"/>
          <w:sz w:val="20"/>
          <w:szCs w:val="20"/>
        </w:rPr>
        <w:t>Includes landings</w:t>
      </w:r>
      <w:r>
        <w:rPr>
          <w:rFonts w:ascii="Arial" w:hAnsi="Arial" w:cs="Arial"/>
          <w:sz w:val="20"/>
          <w:szCs w:val="20"/>
        </w:rPr>
        <w:t xml:space="preserve"> made by these vessels in</w:t>
      </w:r>
      <w:r w:rsidRPr="009F0FCD">
        <w:rPr>
          <w:rFonts w:ascii="Arial" w:hAnsi="Arial" w:cs="Arial"/>
          <w:sz w:val="20"/>
          <w:szCs w:val="20"/>
        </w:rPr>
        <w:t xml:space="preserve"> other regions.</w:t>
      </w:r>
    </w:p>
    <w:p w14:paraId="4B73F03C" w14:textId="77777777" w:rsidR="00B322B7" w:rsidRDefault="00B322B7" w:rsidP="00B322B7">
      <w:pPr>
        <w:rPr>
          <w:rFonts w:ascii="Arial" w:hAnsi="Arial" w:cs="Arial"/>
          <w:sz w:val="20"/>
          <w:szCs w:val="20"/>
        </w:rPr>
      </w:pPr>
      <w:r w:rsidRPr="00195A2E">
        <w:rPr>
          <w:rFonts w:ascii="Arial" w:hAnsi="Arial" w:cs="Arial"/>
          <w:sz w:val="20"/>
          <w:szCs w:val="20"/>
        </w:rPr>
        <w:t>Source:  NMFS SEFSC Online Economic Query System</w:t>
      </w:r>
      <w:r>
        <w:rPr>
          <w:rFonts w:ascii="Arial" w:hAnsi="Arial" w:cs="Arial"/>
          <w:sz w:val="20"/>
          <w:szCs w:val="20"/>
        </w:rPr>
        <w:t>, October 24, 2016</w:t>
      </w:r>
      <w:r w:rsidRPr="00195A2E">
        <w:rPr>
          <w:rFonts w:ascii="Arial" w:hAnsi="Arial" w:cs="Arial"/>
          <w:sz w:val="20"/>
          <w:szCs w:val="20"/>
        </w:rPr>
        <w:t>.</w:t>
      </w:r>
    </w:p>
    <w:p w14:paraId="39D414D3" w14:textId="77777777" w:rsidR="00B322B7" w:rsidRDefault="00B322B7" w:rsidP="00B322B7">
      <w:pPr>
        <w:rPr>
          <w:rFonts w:eastAsia="Calibri"/>
        </w:rPr>
      </w:pPr>
    </w:p>
    <w:p w14:paraId="182FB321" w14:textId="77777777" w:rsidR="00B322B7" w:rsidRDefault="00B322B7" w:rsidP="00B322B7">
      <w:pPr>
        <w:autoSpaceDE w:val="0"/>
        <w:autoSpaceDN w:val="0"/>
        <w:adjustRightInd w:val="0"/>
        <w:ind w:firstLine="360"/>
        <w:rPr>
          <w:rFonts w:eastAsia="Calibri"/>
        </w:rPr>
      </w:pPr>
      <w:r w:rsidRPr="00A750E4">
        <w:rPr>
          <w:rFonts w:eastAsia="Calibri"/>
        </w:rPr>
        <w:t xml:space="preserve">A business in the commercial fishing industry </w:t>
      </w:r>
      <w:r>
        <w:rPr>
          <w:rFonts w:eastAsia="Calibri"/>
        </w:rPr>
        <w:t xml:space="preserve">(NAICS code 11411) </w:t>
      </w:r>
      <w:r w:rsidRPr="00A750E4">
        <w:rPr>
          <w:rFonts w:eastAsia="Calibri"/>
        </w:rPr>
        <w:t>is a small business</w:t>
      </w:r>
      <w:r>
        <w:rPr>
          <w:rFonts w:eastAsia="Calibri"/>
        </w:rPr>
        <w:t xml:space="preserve"> if its annual receipts are no more</w:t>
      </w:r>
      <w:r w:rsidRPr="00A750E4">
        <w:rPr>
          <w:rFonts w:eastAsia="Calibri"/>
        </w:rPr>
        <w:t xml:space="preserve"> than $11 million.  </w:t>
      </w:r>
      <w:r>
        <w:rPr>
          <w:rFonts w:eastAsia="Calibri"/>
        </w:rPr>
        <w:t>The average vessel that landed mutton snapper from 2011 through 2015 had annual dockside revenue from all landings ranging from $46,611 to $53,201 (</w:t>
      </w:r>
      <w:r>
        <w:rPr>
          <w:rFonts w:eastAsia="Calibri"/>
          <w:b/>
        </w:rPr>
        <w:t>Table F-3</w:t>
      </w:r>
      <w:r>
        <w:rPr>
          <w:rFonts w:eastAsia="Calibri"/>
        </w:rPr>
        <w:t xml:space="preserve">).  </w:t>
      </w:r>
    </w:p>
    <w:p w14:paraId="78F7AF9C" w14:textId="77777777" w:rsidR="00B322B7" w:rsidRDefault="00B322B7" w:rsidP="00B322B7">
      <w:pPr>
        <w:autoSpaceDE w:val="0"/>
        <w:autoSpaceDN w:val="0"/>
        <w:adjustRightInd w:val="0"/>
        <w:ind w:firstLine="360"/>
        <w:rPr>
          <w:rFonts w:eastAsia="Calibri"/>
        </w:rPr>
      </w:pPr>
    </w:p>
    <w:p w14:paraId="5118DD78" w14:textId="77777777" w:rsidR="00B322B7" w:rsidRDefault="00B322B7" w:rsidP="00B322B7">
      <w:pPr>
        <w:autoSpaceDE w:val="0"/>
        <w:autoSpaceDN w:val="0"/>
        <w:adjustRightInd w:val="0"/>
        <w:ind w:firstLine="360"/>
        <w:rPr>
          <w:rFonts w:eastAsia="Calibri"/>
        </w:rPr>
      </w:pPr>
      <w:r>
        <w:rPr>
          <w:rFonts w:eastAsia="Calibri"/>
        </w:rPr>
        <w:t xml:space="preserve">Even with allowance for some businesses owning multiple vessels, it is expected that almost all to all of the commercial fishing businesses directly affected by the rule have annual revenues </w:t>
      </w:r>
      <w:r>
        <w:rPr>
          <w:rFonts w:eastAsia="Calibri"/>
        </w:rPr>
        <w:lastRenderedPageBreak/>
        <w:t xml:space="preserve">less than the size standard.  Therefore, it is concluded that from 213 to 232 small commercial fishing businesses, with an annual average of 219, would be directly affected by this rule; and approximately 85% of them are located in Florida.  </w:t>
      </w:r>
    </w:p>
    <w:p w14:paraId="41F530B7" w14:textId="77777777" w:rsidR="00B322B7" w:rsidRDefault="00B322B7" w:rsidP="00B322B7">
      <w:pPr>
        <w:autoSpaceDE w:val="0"/>
        <w:autoSpaceDN w:val="0"/>
        <w:adjustRightInd w:val="0"/>
        <w:ind w:firstLine="360"/>
        <w:rPr>
          <w:rFonts w:eastAsiaTheme="majorEastAsia"/>
          <w:b/>
          <w:bCs/>
          <w:sz w:val="32"/>
          <w:szCs w:val="32"/>
        </w:rPr>
      </w:pPr>
      <w:r>
        <w:rPr>
          <w:rFonts w:eastAsia="Calibri"/>
        </w:rPr>
        <w:t xml:space="preserve">  </w:t>
      </w:r>
      <w:bookmarkStart w:id="422" w:name="_Toc370217377"/>
    </w:p>
    <w:p w14:paraId="765ABA70" w14:textId="77777777" w:rsidR="00B322B7" w:rsidRPr="00B322B7" w:rsidRDefault="00B322B7" w:rsidP="00B322B7">
      <w:pPr>
        <w:rPr>
          <w:rFonts w:ascii="Arial" w:eastAsiaTheme="majorEastAsia" w:hAnsi="Arial" w:cs="Arial"/>
          <w:b/>
          <w:sz w:val="28"/>
          <w:szCs w:val="28"/>
        </w:rPr>
      </w:pPr>
      <w:r w:rsidRPr="00B322B7">
        <w:rPr>
          <w:rFonts w:ascii="Arial" w:eastAsiaTheme="majorEastAsia" w:hAnsi="Arial" w:cs="Arial"/>
          <w:b/>
          <w:sz w:val="28"/>
          <w:szCs w:val="28"/>
        </w:rPr>
        <w:t>Description and economic impacts of compliance requirements of the rule</w:t>
      </w:r>
      <w:bookmarkEnd w:id="422"/>
    </w:p>
    <w:p w14:paraId="11AF525A" w14:textId="77777777" w:rsidR="00B322B7" w:rsidRDefault="00B322B7" w:rsidP="00B322B7"/>
    <w:p w14:paraId="0DF6FD52" w14:textId="77777777" w:rsidR="00B322B7" w:rsidRDefault="00B322B7" w:rsidP="00B322B7">
      <w:pPr>
        <w:ind w:firstLine="360"/>
      </w:pPr>
      <w:r w:rsidRPr="004211CA">
        <w:rPr>
          <w:b/>
        </w:rPr>
        <w:t>Action 1</w:t>
      </w:r>
      <w:r w:rsidRPr="00805A92">
        <w:t xml:space="preserve"> (</w:t>
      </w:r>
      <w:r w:rsidRPr="00805A92">
        <w:rPr>
          <w:b/>
        </w:rPr>
        <w:t xml:space="preserve">Preferred Alternative </w:t>
      </w:r>
      <w:r>
        <w:rPr>
          <w:b/>
        </w:rPr>
        <w:t>2</w:t>
      </w:r>
      <w:r w:rsidRPr="00805A92">
        <w:rPr>
          <w:b/>
        </w:rPr>
        <w:t>)</w:t>
      </w:r>
      <w:r w:rsidRPr="00805A92">
        <w:t xml:space="preserve"> </w:t>
      </w:r>
      <w:r w:rsidRPr="00C93438">
        <w:t xml:space="preserve">would </w:t>
      </w:r>
      <w:r>
        <w:t xml:space="preserve">specify the MSY and </w:t>
      </w:r>
      <w:r w:rsidRPr="004211CA">
        <w:rPr>
          <w:b/>
        </w:rPr>
        <w:t>Action 2</w:t>
      </w:r>
      <w:r>
        <w:t xml:space="preserve"> (</w:t>
      </w:r>
      <w:r>
        <w:rPr>
          <w:b/>
        </w:rPr>
        <w:t>Preferred Alternative 3</w:t>
      </w:r>
      <w:r>
        <w:t>) would specify the MSST for mutton snapper.  Neither of these two actions would have a direct economic impact on any small business.  Any indirect impacts would be dependent on subsequent actions.</w:t>
      </w:r>
    </w:p>
    <w:p w14:paraId="5760F639" w14:textId="77777777" w:rsidR="00B322B7" w:rsidRDefault="00B322B7" w:rsidP="00B322B7">
      <w:pPr>
        <w:ind w:firstLine="360"/>
      </w:pPr>
    </w:p>
    <w:p w14:paraId="3DD2D4D4" w14:textId="77777777" w:rsidR="00B322B7" w:rsidRDefault="00B322B7" w:rsidP="00B322B7">
      <w:pPr>
        <w:ind w:firstLine="360"/>
      </w:pPr>
      <w:r>
        <w:rPr>
          <w:b/>
        </w:rPr>
        <w:t xml:space="preserve">Action 3 </w:t>
      </w:r>
      <w:r w:rsidRPr="00C169FC">
        <w:t>(</w:t>
      </w:r>
      <w:r>
        <w:rPr>
          <w:b/>
        </w:rPr>
        <w:t>Preferred Sub-alternative 3a</w:t>
      </w:r>
      <w:r w:rsidRPr="00C169FC">
        <w:t>)</w:t>
      </w:r>
      <w:r>
        <w:t xml:space="preserve">, </w:t>
      </w:r>
      <w:r>
        <w:rPr>
          <w:b/>
        </w:rPr>
        <w:t xml:space="preserve">Action </w:t>
      </w:r>
      <w:r w:rsidRPr="004211CA">
        <w:rPr>
          <w:b/>
        </w:rPr>
        <w:t>4</w:t>
      </w:r>
      <w:r>
        <w:t xml:space="preserve"> (</w:t>
      </w:r>
      <w:r>
        <w:rPr>
          <w:b/>
        </w:rPr>
        <w:t>Preferred Alternative 2b</w:t>
      </w:r>
      <w:r>
        <w:t xml:space="preserve">), </w:t>
      </w:r>
      <w:r w:rsidRPr="000235D8">
        <w:rPr>
          <w:b/>
        </w:rPr>
        <w:t>Action 5</w:t>
      </w:r>
      <w:r>
        <w:t xml:space="preserve"> (</w:t>
      </w:r>
      <w:r>
        <w:rPr>
          <w:b/>
        </w:rPr>
        <w:t>Preferred Alternative 3</w:t>
      </w:r>
      <w:r>
        <w:t xml:space="preserve">) and </w:t>
      </w:r>
      <w:r>
        <w:rPr>
          <w:b/>
        </w:rPr>
        <w:t>Action 7</w:t>
      </w:r>
      <w:r w:rsidRPr="006A48B0">
        <w:rPr>
          <w:b/>
        </w:rPr>
        <w:t xml:space="preserve"> </w:t>
      </w:r>
      <w:r>
        <w:t>(</w:t>
      </w:r>
      <w:r>
        <w:rPr>
          <w:b/>
        </w:rPr>
        <w:t>Preferred Alternative 4c</w:t>
      </w:r>
      <w:r>
        <w:t>) would affect anglers, and as explained previously, anglers are not small entities.  Therefore, the impacts of those actions on anglers are not evaluated here.</w:t>
      </w:r>
    </w:p>
    <w:p w14:paraId="5C3BA6F9" w14:textId="77777777" w:rsidR="00B322B7" w:rsidRDefault="00B322B7" w:rsidP="00B322B7">
      <w:pPr>
        <w:ind w:firstLine="360"/>
        <w:rPr>
          <w:b/>
        </w:rPr>
      </w:pPr>
    </w:p>
    <w:p w14:paraId="7781961D" w14:textId="77777777" w:rsidR="00B322B7" w:rsidRDefault="00B322B7" w:rsidP="00B322B7">
      <w:pPr>
        <w:ind w:firstLine="360"/>
      </w:pPr>
      <w:r w:rsidRPr="004211CA">
        <w:rPr>
          <w:b/>
        </w:rPr>
        <w:t>Action 3</w:t>
      </w:r>
      <w:r>
        <w:t xml:space="preserve"> (</w:t>
      </w:r>
      <w:r w:rsidRPr="00026A0D">
        <w:rPr>
          <w:b/>
        </w:rPr>
        <w:t>Preferred Sub-alternative 2a</w:t>
      </w:r>
      <w:r>
        <w:t xml:space="preserve">) would revise the ACL and OY for mutton snapper.  The commercial ACL was established in 2012, and since 2012, the commercial ACL for the species has been set at </w:t>
      </w:r>
      <w:r w:rsidRPr="006966F9">
        <w:t>157,743 lbs (ww)</w:t>
      </w:r>
      <w:r>
        <w:t xml:space="preserve">.  </w:t>
      </w:r>
      <w:r w:rsidRPr="001B0DA4">
        <w:rPr>
          <w:b/>
        </w:rPr>
        <w:t>Action 3</w:t>
      </w:r>
      <w:r>
        <w:t xml:space="preserve"> would reduce the commercial ACL for mutton snapper to 100,015 lbs ww in 2017 and then increase it up to 111,354 lbs ww by 2020 and beyond (</w:t>
      </w:r>
      <w:r>
        <w:rPr>
          <w:b/>
        </w:rPr>
        <w:t>Table F-4</w:t>
      </w:r>
      <w:r>
        <w:t>)</w:t>
      </w:r>
      <w:r w:rsidRPr="006966F9">
        <w:t>.</w:t>
      </w:r>
      <w:r>
        <w:t xml:space="preserve">  </w:t>
      </w:r>
    </w:p>
    <w:p w14:paraId="4168D9CF" w14:textId="77777777" w:rsidR="00B322B7" w:rsidRDefault="00B322B7" w:rsidP="00B322B7">
      <w:pPr>
        <w:ind w:firstLine="360"/>
      </w:pPr>
    </w:p>
    <w:p w14:paraId="6E78BD07" w14:textId="77777777" w:rsidR="00B322B7" w:rsidRDefault="00B322B7" w:rsidP="00B322B7">
      <w:pPr>
        <w:ind w:firstLine="360"/>
      </w:pPr>
    </w:p>
    <w:p w14:paraId="28F8A5CA" w14:textId="77777777" w:rsidR="00B322B7" w:rsidRPr="00026A0D" w:rsidRDefault="00B322B7" w:rsidP="00B322B7">
      <w:pPr>
        <w:rPr>
          <w:rFonts w:ascii="Arial" w:hAnsi="Arial" w:cs="Arial"/>
          <w:sz w:val="20"/>
          <w:szCs w:val="20"/>
        </w:rPr>
      </w:pPr>
      <w:r w:rsidRPr="00026A0D">
        <w:rPr>
          <w:rFonts w:ascii="Arial" w:hAnsi="Arial" w:cs="Arial"/>
          <w:b/>
          <w:sz w:val="20"/>
          <w:szCs w:val="20"/>
        </w:rPr>
        <w:t xml:space="preserve">Table </w:t>
      </w:r>
      <w:r>
        <w:rPr>
          <w:rFonts w:ascii="Arial" w:hAnsi="Arial" w:cs="Arial"/>
          <w:b/>
          <w:sz w:val="20"/>
          <w:szCs w:val="20"/>
        </w:rPr>
        <w:t>F-4</w:t>
      </w:r>
      <w:r w:rsidRPr="00026A0D">
        <w:rPr>
          <w:rFonts w:ascii="Arial" w:hAnsi="Arial" w:cs="Arial"/>
          <w:b/>
          <w:sz w:val="20"/>
          <w:szCs w:val="20"/>
        </w:rPr>
        <w:t>.</w:t>
      </w:r>
      <w:r w:rsidRPr="00026A0D">
        <w:rPr>
          <w:rFonts w:ascii="Arial" w:hAnsi="Arial" w:cs="Arial"/>
          <w:sz w:val="20"/>
          <w:szCs w:val="20"/>
        </w:rPr>
        <w:t xml:space="preserve">  </w:t>
      </w:r>
      <w:r>
        <w:rPr>
          <w:rFonts w:ascii="Arial" w:hAnsi="Arial" w:cs="Arial"/>
          <w:sz w:val="20"/>
          <w:szCs w:val="20"/>
        </w:rPr>
        <w:t>Comparison of Baseline and Proposed Commercial ACL for Mutton Snapper.</w:t>
      </w:r>
    </w:p>
    <w:tbl>
      <w:tblPr>
        <w:tblW w:w="7500" w:type="dxa"/>
        <w:tblInd w:w="93" w:type="dxa"/>
        <w:tblLook w:val="04A0" w:firstRow="1" w:lastRow="0" w:firstColumn="1" w:lastColumn="0" w:noHBand="0" w:noVBand="1"/>
      </w:tblPr>
      <w:tblGrid>
        <w:gridCol w:w="960"/>
        <w:gridCol w:w="2673"/>
        <w:gridCol w:w="3032"/>
        <w:gridCol w:w="938"/>
      </w:tblGrid>
      <w:tr w:rsidR="00B322B7" w:rsidRPr="00B322B7" w14:paraId="4F8118EC" w14:textId="77777777" w:rsidTr="005E2E4F">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65FCEDC1" w14:textId="77777777" w:rsidR="00B322B7" w:rsidRPr="00B322B7" w:rsidRDefault="00B322B7" w:rsidP="005E2E4F">
            <w:pPr>
              <w:jc w:val="center"/>
              <w:rPr>
                <w:b/>
                <w:bCs/>
                <w:color w:val="000000"/>
                <w:sz w:val="22"/>
                <w:szCs w:val="22"/>
              </w:rPr>
            </w:pPr>
            <w:r w:rsidRPr="00B322B7">
              <w:rPr>
                <w:b/>
                <w:bCs/>
                <w:color w:val="000000"/>
                <w:sz w:val="22"/>
                <w:szCs w:val="22"/>
              </w:rPr>
              <w:t>Year</w:t>
            </w:r>
          </w:p>
        </w:tc>
        <w:tc>
          <w:tcPr>
            <w:tcW w:w="654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339E7DF" w14:textId="77777777" w:rsidR="00B322B7" w:rsidRPr="00B322B7" w:rsidRDefault="00B322B7" w:rsidP="005E2E4F">
            <w:pPr>
              <w:jc w:val="center"/>
              <w:rPr>
                <w:b/>
                <w:bCs/>
                <w:color w:val="000000"/>
                <w:sz w:val="22"/>
                <w:szCs w:val="22"/>
              </w:rPr>
            </w:pPr>
            <w:r w:rsidRPr="00B322B7">
              <w:rPr>
                <w:b/>
                <w:bCs/>
                <w:color w:val="000000"/>
                <w:sz w:val="22"/>
                <w:szCs w:val="22"/>
              </w:rPr>
              <w:t>Commercial ACL (lbs ww)</w:t>
            </w:r>
          </w:p>
        </w:tc>
      </w:tr>
      <w:tr w:rsidR="00B322B7" w:rsidRPr="00B322B7" w14:paraId="2D096075" w14:textId="77777777" w:rsidTr="005E2E4F">
        <w:trPr>
          <w:trHeight w:val="300"/>
        </w:trPr>
        <w:tc>
          <w:tcPr>
            <w:tcW w:w="96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6A5F771" w14:textId="77777777" w:rsidR="00B322B7" w:rsidRPr="00B322B7" w:rsidRDefault="00B322B7" w:rsidP="005E2E4F">
            <w:pPr>
              <w:rPr>
                <w:b/>
                <w:bCs/>
                <w:color w:val="000000"/>
                <w:sz w:val="22"/>
                <w:szCs w:val="22"/>
              </w:rPr>
            </w:pPr>
          </w:p>
        </w:tc>
        <w:tc>
          <w:tcPr>
            <w:tcW w:w="2673" w:type="dxa"/>
            <w:tcBorders>
              <w:top w:val="nil"/>
              <w:left w:val="nil"/>
              <w:bottom w:val="single" w:sz="4" w:space="0" w:color="auto"/>
              <w:right w:val="single" w:sz="4" w:space="0" w:color="auto"/>
            </w:tcBorders>
            <w:shd w:val="clear" w:color="auto" w:fill="D9D9D9" w:themeFill="background1" w:themeFillShade="D9"/>
            <w:noWrap/>
            <w:vAlign w:val="bottom"/>
            <w:hideMark/>
          </w:tcPr>
          <w:p w14:paraId="48127E7F" w14:textId="77777777" w:rsidR="00B322B7" w:rsidRPr="00B322B7" w:rsidRDefault="00B322B7" w:rsidP="005E2E4F">
            <w:pPr>
              <w:rPr>
                <w:b/>
                <w:bCs/>
                <w:color w:val="000000"/>
                <w:sz w:val="22"/>
                <w:szCs w:val="22"/>
              </w:rPr>
            </w:pPr>
            <w:r w:rsidRPr="00B322B7">
              <w:rPr>
                <w:b/>
                <w:bCs/>
                <w:color w:val="000000"/>
                <w:sz w:val="22"/>
                <w:szCs w:val="22"/>
              </w:rPr>
              <w:t>Alternative 1 (No Action)</w:t>
            </w:r>
          </w:p>
        </w:tc>
        <w:tc>
          <w:tcPr>
            <w:tcW w:w="3032" w:type="dxa"/>
            <w:tcBorders>
              <w:top w:val="nil"/>
              <w:left w:val="nil"/>
              <w:bottom w:val="single" w:sz="4" w:space="0" w:color="auto"/>
              <w:right w:val="single" w:sz="4" w:space="0" w:color="auto"/>
            </w:tcBorders>
            <w:shd w:val="clear" w:color="auto" w:fill="D9D9D9" w:themeFill="background1" w:themeFillShade="D9"/>
            <w:noWrap/>
            <w:vAlign w:val="bottom"/>
            <w:hideMark/>
          </w:tcPr>
          <w:p w14:paraId="088B9CD1" w14:textId="77777777" w:rsidR="00B322B7" w:rsidRPr="00B322B7" w:rsidRDefault="00B322B7" w:rsidP="005E2E4F">
            <w:pPr>
              <w:rPr>
                <w:b/>
                <w:bCs/>
                <w:color w:val="000000"/>
                <w:sz w:val="22"/>
                <w:szCs w:val="22"/>
              </w:rPr>
            </w:pPr>
            <w:r w:rsidRPr="00B322B7">
              <w:rPr>
                <w:b/>
                <w:bCs/>
                <w:color w:val="000000"/>
                <w:sz w:val="22"/>
                <w:szCs w:val="22"/>
              </w:rPr>
              <w:t>Preferred Sub-alternative 2a</w:t>
            </w:r>
          </w:p>
        </w:tc>
        <w:tc>
          <w:tcPr>
            <w:tcW w:w="835" w:type="dxa"/>
            <w:tcBorders>
              <w:top w:val="nil"/>
              <w:left w:val="nil"/>
              <w:bottom w:val="single" w:sz="4" w:space="0" w:color="auto"/>
              <w:right w:val="single" w:sz="4" w:space="0" w:color="auto"/>
            </w:tcBorders>
            <w:shd w:val="clear" w:color="auto" w:fill="D9D9D9" w:themeFill="background1" w:themeFillShade="D9"/>
            <w:noWrap/>
            <w:vAlign w:val="bottom"/>
            <w:hideMark/>
          </w:tcPr>
          <w:p w14:paraId="6F0BA6C2" w14:textId="77777777" w:rsidR="00B322B7" w:rsidRPr="00B322B7" w:rsidRDefault="00B322B7" w:rsidP="005E2E4F">
            <w:pPr>
              <w:jc w:val="center"/>
              <w:rPr>
                <w:b/>
                <w:bCs/>
                <w:color w:val="000000"/>
                <w:sz w:val="22"/>
                <w:szCs w:val="22"/>
              </w:rPr>
            </w:pPr>
            <w:r w:rsidRPr="00B322B7">
              <w:rPr>
                <w:b/>
                <w:bCs/>
                <w:color w:val="000000"/>
                <w:sz w:val="22"/>
                <w:szCs w:val="22"/>
              </w:rPr>
              <w:t>Change</w:t>
            </w:r>
          </w:p>
        </w:tc>
      </w:tr>
      <w:tr w:rsidR="00B322B7" w:rsidRPr="00B322B7" w14:paraId="7D1B755E" w14:textId="77777777" w:rsidTr="005E2E4F">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BC62545" w14:textId="77777777" w:rsidR="00B322B7" w:rsidRPr="00B322B7" w:rsidRDefault="00B322B7" w:rsidP="005E2E4F">
            <w:pPr>
              <w:jc w:val="center"/>
              <w:rPr>
                <w:b/>
                <w:bCs/>
                <w:color w:val="000000"/>
                <w:sz w:val="22"/>
                <w:szCs w:val="22"/>
              </w:rPr>
            </w:pPr>
            <w:r w:rsidRPr="00B322B7">
              <w:rPr>
                <w:b/>
                <w:bCs/>
                <w:color w:val="000000"/>
                <w:sz w:val="22"/>
                <w:szCs w:val="22"/>
              </w:rPr>
              <w:t>2017</w:t>
            </w:r>
          </w:p>
        </w:tc>
        <w:tc>
          <w:tcPr>
            <w:tcW w:w="2673" w:type="dxa"/>
            <w:tcBorders>
              <w:top w:val="nil"/>
              <w:left w:val="nil"/>
              <w:bottom w:val="single" w:sz="4" w:space="0" w:color="auto"/>
              <w:right w:val="single" w:sz="4" w:space="0" w:color="auto"/>
            </w:tcBorders>
            <w:shd w:val="clear" w:color="auto" w:fill="auto"/>
            <w:noWrap/>
            <w:vAlign w:val="bottom"/>
            <w:hideMark/>
          </w:tcPr>
          <w:p w14:paraId="5B90ADD1" w14:textId="77777777" w:rsidR="00B322B7" w:rsidRPr="00B322B7" w:rsidRDefault="00B322B7" w:rsidP="005E2E4F">
            <w:pPr>
              <w:jc w:val="center"/>
              <w:rPr>
                <w:color w:val="000000"/>
                <w:sz w:val="22"/>
                <w:szCs w:val="22"/>
              </w:rPr>
            </w:pPr>
            <w:r w:rsidRPr="00B322B7">
              <w:rPr>
                <w:color w:val="000000"/>
                <w:sz w:val="22"/>
                <w:szCs w:val="22"/>
              </w:rPr>
              <w:t>157,743</w:t>
            </w:r>
          </w:p>
        </w:tc>
        <w:tc>
          <w:tcPr>
            <w:tcW w:w="3032" w:type="dxa"/>
            <w:tcBorders>
              <w:top w:val="nil"/>
              <w:left w:val="nil"/>
              <w:bottom w:val="single" w:sz="4" w:space="0" w:color="auto"/>
              <w:right w:val="single" w:sz="4" w:space="0" w:color="auto"/>
            </w:tcBorders>
            <w:shd w:val="clear" w:color="auto" w:fill="auto"/>
            <w:noWrap/>
            <w:vAlign w:val="bottom"/>
            <w:hideMark/>
          </w:tcPr>
          <w:p w14:paraId="58691E64" w14:textId="77777777" w:rsidR="00B322B7" w:rsidRPr="00B322B7" w:rsidRDefault="00B322B7" w:rsidP="005E2E4F">
            <w:pPr>
              <w:jc w:val="center"/>
              <w:rPr>
                <w:color w:val="000000"/>
                <w:sz w:val="22"/>
                <w:szCs w:val="22"/>
              </w:rPr>
            </w:pPr>
            <w:r w:rsidRPr="00B322B7">
              <w:rPr>
                <w:color w:val="000000"/>
                <w:sz w:val="22"/>
                <w:szCs w:val="22"/>
              </w:rPr>
              <w:t>100,015</w:t>
            </w:r>
          </w:p>
        </w:tc>
        <w:tc>
          <w:tcPr>
            <w:tcW w:w="835" w:type="dxa"/>
            <w:tcBorders>
              <w:top w:val="nil"/>
              <w:left w:val="nil"/>
              <w:bottom w:val="single" w:sz="4" w:space="0" w:color="auto"/>
              <w:right w:val="single" w:sz="4" w:space="0" w:color="auto"/>
            </w:tcBorders>
            <w:shd w:val="clear" w:color="auto" w:fill="auto"/>
            <w:noWrap/>
            <w:vAlign w:val="bottom"/>
            <w:hideMark/>
          </w:tcPr>
          <w:p w14:paraId="53BFB8A5" w14:textId="77777777" w:rsidR="00B322B7" w:rsidRPr="00B322B7" w:rsidRDefault="00B322B7" w:rsidP="005E2E4F">
            <w:pPr>
              <w:jc w:val="center"/>
              <w:rPr>
                <w:color w:val="000000"/>
                <w:sz w:val="22"/>
                <w:szCs w:val="22"/>
              </w:rPr>
            </w:pPr>
            <w:r w:rsidRPr="00B322B7">
              <w:rPr>
                <w:color w:val="000000"/>
                <w:sz w:val="22"/>
                <w:szCs w:val="22"/>
              </w:rPr>
              <w:t>-57,728</w:t>
            </w:r>
          </w:p>
        </w:tc>
      </w:tr>
      <w:tr w:rsidR="00B322B7" w:rsidRPr="00B322B7" w14:paraId="168FB198" w14:textId="77777777" w:rsidTr="005E2E4F">
        <w:trPr>
          <w:trHeight w:val="300"/>
        </w:trPr>
        <w:tc>
          <w:tcPr>
            <w:tcW w:w="96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17298C7" w14:textId="77777777" w:rsidR="00B322B7" w:rsidRPr="00B322B7" w:rsidRDefault="00B322B7" w:rsidP="005E2E4F">
            <w:pPr>
              <w:jc w:val="center"/>
              <w:rPr>
                <w:b/>
                <w:bCs/>
                <w:color w:val="000000"/>
                <w:sz w:val="22"/>
                <w:szCs w:val="22"/>
              </w:rPr>
            </w:pPr>
            <w:r w:rsidRPr="00B322B7">
              <w:rPr>
                <w:b/>
                <w:bCs/>
                <w:color w:val="000000"/>
                <w:sz w:val="22"/>
                <w:szCs w:val="22"/>
              </w:rPr>
              <w:t>2018</w:t>
            </w:r>
          </w:p>
        </w:tc>
        <w:tc>
          <w:tcPr>
            <w:tcW w:w="2673" w:type="dxa"/>
            <w:tcBorders>
              <w:top w:val="nil"/>
              <w:left w:val="nil"/>
              <w:bottom w:val="single" w:sz="4" w:space="0" w:color="auto"/>
              <w:right w:val="single" w:sz="4" w:space="0" w:color="auto"/>
            </w:tcBorders>
            <w:shd w:val="clear" w:color="auto" w:fill="F2F2F2" w:themeFill="background1" w:themeFillShade="F2"/>
            <w:noWrap/>
            <w:vAlign w:val="bottom"/>
            <w:hideMark/>
          </w:tcPr>
          <w:p w14:paraId="445BC70F" w14:textId="77777777" w:rsidR="00B322B7" w:rsidRPr="00B322B7" w:rsidRDefault="00B322B7" w:rsidP="005E2E4F">
            <w:pPr>
              <w:jc w:val="center"/>
              <w:rPr>
                <w:color w:val="000000"/>
                <w:sz w:val="22"/>
                <w:szCs w:val="22"/>
              </w:rPr>
            </w:pPr>
            <w:r w:rsidRPr="00B322B7">
              <w:rPr>
                <w:color w:val="000000"/>
                <w:sz w:val="22"/>
                <w:szCs w:val="22"/>
              </w:rPr>
              <w:t>157,743</w:t>
            </w:r>
          </w:p>
        </w:tc>
        <w:tc>
          <w:tcPr>
            <w:tcW w:w="3032" w:type="dxa"/>
            <w:tcBorders>
              <w:top w:val="nil"/>
              <w:left w:val="nil"/>
              <w:bottom w:val="single" w:sz="4" w:space="0" w:color="auto"/>
              <w:right w:val="single" w:sz="4" w:space="0" w:color="auto"/>
            </w:tcBorders>
            <w:shd w:val="clear" w:color="auto" w:fill="F2F2F2" w:themeFill="background1" w:themeFillShade="F2"/>
            <w:noWrap/>
            <w:vAlign w:val="bottom"/>
            <w:hideMark/>
          </w:tcPr>
          <w:p w14:paraId="0FF07035" w14:textId="77777777" w:rsidR="00B322B7" w:rsidRPr="00B322B7" w:rsidRDefault="00B322B7" w:rsidP="005E2E4F">
            <w:pPr>
              <w:jc w:val="center"/>
              <w:rPr>
                <w:color w:val="000000"/>
                <w:sz w:val="22"/>
                <w:szCs w:val="22"/>
              </w:rPr>
            </w:pPr>
            <w:r w:rsidRPr="00B322B7">
              <w:rPr>
                <w:color w:val="000000"/>
                <w:sz w:val="22"/>
                <w:szCs w:val="22"/>
              </w:rPr>
              <w:t>104,231</w:t>
            </w:r>
          </w:p>
        </w:tc>
        <w:tc>
          <w:tcPr>
            <w:tcW w:w="835" w:type="dxa"/>
            <w:tcBorders>
              <w:top w:val="nil"/>
              <w:left w:val="nil"/>
              <w:bottom w:val="single" w:sz="4" w:space="0" w:color="auto"/>
              <w:right w:val="single" w:sz="4" w:space="0" w:color="auto"/>
            </w:tcBorders>
            <w:shd w:val="clear" w:color="auto" w:fill="F2F2F2" w:themeFill="background1" w:themeFillShade="F2"/>
            <w:noWrap/>
            <w:vAlign w:val="bottom"/>
            <w:hideMark/>
          </w:tcPr>
          <w:p w14:paraId="160D47FF" w14:textId="77777777" w:rsidR="00B322B7" w:rsidRPr="00B322B7" w:rsidRDefault="00B322B7" w:rsidP="005E2E4F">
            <w:pPr>
              <w:jc w:val="center"/>
              <w:rPr>
                <w:color w:val="000000"/>
                <w:sz w:val="22"/>
                <w:szCs w:val="22"/>
              </w:rPr>
            </w:pPr>
            <w:r w:rsidRPr="00B322B7">
              <w:rPr>
                <w:color w:val="000000"/>
                <w:sz w:val="22"/>
                <w:szCs w:val="22"/>
              </w:rPr>
              <w:t>-53,512</w:t>
            </w:r>
          </w:p>
        </w:tc>
      </w:tr>
      <w:tr w:rsidR="00B322B7" w:rsidRPr="00B322B7" w14:paraId="7557A43F" w14:textId="77777777" w:rsidTr="005E2E4F">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19CD14A" w14:textId="77777777" w:rsidR="00B322B7" w:rsidRPr="00B322B7" w:rsidRDefault="00B322B7" w:rsidP="005E2E4F">
            <w:pPr>
              <w:jc w:val="center"/>
              <w:rPr>
                <w:b/>
                <w:bCs/>
                <w:color w:val="000000"/>
                <w:sz w:val="22"/>
                <w:szCs w:val="22"/>
              </w:rPr>
            </w:pPr>
            <w:r w:rsidRPr="00B322B7">
              <w:rPr>
                <w:b/>
                <w:bCs/>
                <w:color w:val="000000"/>
                <w:sz w:val="22"/>
                <w:szCs w:val="22"/>
              </w:rPr>
              <w:t>2019</w:t>
            </w:r>
          </w:p>
        </w:tc>
        <w:tc>
          <w:tcPr>
            <w:tcW w:w="2673" w:type="dxa"/>
            <w:tcBorders>
              <w:top w:val="nil"/>
              <w:left w:val="nil"/>
              <w:bottom w:val="single" w:sz="4" w:space="0" w:color="auto"/>
              <w:right w:val="single" w:sz="4" w:space="0" w:color="auto"/>
            </w:tcBorders>
            <w:shd w:val="clear" w:color="auto" w:fill="auto"/>
            <w:noWrap/>
            <w:vAlign w:val="bottom"/>
            <w:hideMark/>
          </w:tcPr>
          <w:p w14:paraId="1815B8C9" w14:textId="77777777" w:rsidR="00B322B7" w:rsidRPr="00B322B7" w:rsidRDefault="00B322B7" w:rsidP="005E2E4F">
            <w:pPr>
              <w:jc w:val="center"/>
              <w:rPr>
                <w:color w:val="000000"/>
                <w:sz w:val="22"/>
                <w:szCs w:val="22"/>
              </w:rPr>
            </w:pPr>
            <w:r w:rsidRPr="00B322B7">
              <w:rPr>
                <w:color w:val="000000"/>
                <w:sz w:val="22"/>
                <w:szCs w:val="22"/>
              </w:rPr>
              <w:t>157,743</w:t>
            </w:r>
          </w:p>
        </w:tc>
        <w:tc>
          <w:tcPr>
            <w:tcW w:w="3032" w:type="dxa"/>
            <w:tcBorders>
              <w:top w:val="nil"/>
              <w:left w:val="nil"/>
              <w:bottom w:val="single" w:sz="4" w:space="0" w:color="auto"/>
              <w:right w:val="single" w:sz="4" w:space="0" w:color="auto"/>
            </w:tcBorders>
            <w:shd w:val="clear" w:color="auto" w:fill="auto"/>
            <w:noWrap/>
            <w:vAlign w:val="bottom"/>
            <w:hideMark/>
          </w:tcPr>
          <w:p w14:paraId="145EB3A4" w14:textId="77777777" w:rsidR="00B322B7" w:rsidRPr="00B322B7" w:rsidRDefault="00B322B7" w:rsidP="005E2E4F">
            <w:pPr>
              <w:jc w:val="center"/>
              <w:rPr>
                <w:color w:val="000000"/>
                <w:sz w:val="22"/>
                <w:szCs w:val="22"/>
              </w:rPr>
            </w:pPr>
            <w:r w:rsidRPr="00B322B7">
              <w:rPr>
                <w:color w:val="000000"/>
                <w:sz w:val="22"/>
                <w:szCs w:val="22"/>
              </w:rPr>
              <w:t>107,981</w:t>
            </w:r>
          </w:p>
        </w:tc>
        <w:tc>
          <w:tcPr>
            <w:tcW w:w="835" w:type="dxa"/>
            <w:tcBorders>
              <w:top w:val="nil"/>
              <w:left w:val="nil"/>
              <w:bottom w:val="single" w:sz="4" w:space="0" w:color="auto"/>
              <w:right w:val="single" w:sz="4" w:space="0" w:color="auto"/>
            </w:tcBorders>
            <w:shd w:val="clear" w:color="auto" w:fill="auto"/>
            <w:noWrap/>
            <w:vAlign w:val="bottom"/>
            <w:hideMark/>
          </w:tcPr>
          <w:p w14:paraId="101E4C09" w14:textId="77777777" w:rsidR="00B322B7" w:rsidRPr="00B322B7" w:rsidRDefault="00B322B7" w:rsidP="005E2E4F">
            <w:pPr>
              <w:jc w:val="center"/>
              <w:rPr>
                <w:color w:val="000000"/>
                <w:sz w:val="22"/>
                <w:szCs w:val="22"/>
              </w:rPr>
            </w:pPr>
            <w:r w:rsidRPr="00B322B7">
              <w:rPr>
                <w:color w:val="000000"/>
                <w:sz w:val="22"/>
                <w:szCs w:val="22"/>
              </w:rPr>
              <w:t>-49,762</w:t>
            </w:r>
          </w:p>
        </w:tc>
      </w:tr>
      <w:tr w:rsidR="00B322B7" w:rsidRPr="00B322B7" w14:paraId="1EE82397" w14:textId="77777777" w:rsidTr="005E2E4F">
        <w:trPr>
          <w:trHeight w:val="300"/>
        </w:trPr>
        <w:tc>
          <w:tcPr>
            <w:tcW w:w="96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E4500D2" w14:textId="77777777" w:rsidR="00B322B7" w:rsidRPr="00B322B7" w:rsidRDefault="00B322B7" w:rsidP="005E2E4F">
            <w:pPr>
              <w:jc w:val="center"/>
              <w:rPr>
                <w:b/>
                <w:bCs/>
                <w:color w:val="000000"/>
                <w:sz w:val="22"/>
                <w:szCs w:val="22"/>
              </w:rPr>
            </w:pPr>
            <w:r w:rsidRPr="00B322B7">
              <w:rPr>
                <w:b/>
                <w:bCs/>
                <w:color w:val="000000"/>
                <w:sz w:val="22"/>
                <w:szCs w:val="22"/>
              </w:rPr>
              <w:t>2020+</w:t>
            </w:r>
          </w:p>
        </w:tc>
        <w:tc>
          <w:tcPr>
            <w:tcW w:w="2673" w:type="dxa"/>
            <w:tcBorders>
              <w:top w:val="nil"/>
              <w:left w:val="nil"/>
              <w:bottom w:val="single" w:sz="4" w:space="0" w:color="auto"/>
              <w:right w:val="single" w:sz="4" w:space="0" w:color="auto"/>
            </w:tcBorders>
            <w:shd w:val="clear" w:color="auto" w:fill="F2F2F2" w:themeFill="background1" w:themeFillShade="F2"/>
            <w:noWrap/>
            <w:vAlign w:val="bottom"/>
            <w:hideMark/>
          </w:tcPr>
          <w:p w14:paraId="783D3C8C" w14:textId="77777777" w:rsidR="00B322B7" w:rsidRPr="00B322B7" w:rsidRDefault="00B322B7" w:rsidP="005E2E4F">
            <w:pPr>
              <w:jc w:val="center"/>
              <w:rPr>
                <w:color w:val="000000"/>
                <w:sz w:val="22"/>
                <w:szCs w:val="22"/>
              </w:rPr>
            </w:pPr>
            <w:r w:rsidRPr="00B322B7">
              <w:rPr>
                <w:color w:val="000000"/>
                <w:sz w:val="22"/>
                <w:szCs w:val="22"/>
              </w:rPr>
              <w:t>157,743</w:t>
            </w:r>
          </w:p>
        </w:tc>
        <w:tc>
          <w:tcPr>
            <w:tcW w:w="3032" w:type="dxa"/>
            <w:tcBorders>
              <w:top w:val="nil"/>
              <w:left w:val="nil"/>
              <w:bottom w:val="single" w:sz="4" w:space="0" w:color="auto"/>
              <w:right w:val="single" w:sz="4" w:space="0" w:color="auto"/>
            </w:tcBorders>
            <w:shd w:val="clear" w:color="auto" w:fill="F2F2F2" w:themeFill="background1" w:themeFillShade="F2"/>
            <w:noWrap/>
            <w:vAlign w:val="bottom"/>
            <w:hideMark/>
          </w:tcPr>
          <w:p w14:paraId="6048B2E8" w14:textId="77777777" w:rsidR="00B322B7" w:rsidRPr="00B322B7" w:rsidRDefault="00B322B7" w:rsidP="005E2E4F">
            <w:pPr>
              <w:jc w:val="center"/>
              <w:rPr>
                <w:color w:val="000000"/>
                <w:sz w:val="22"/>
                <w:szCs w:val="22"/>
              </w:rPr>
            </w:pPr>
            <w:r w:rsidRPr="00B322B7">
              <w:rPr>
                <w:color w:val="000000"/>
                <w:sz w:val="22"/>
                <w:szCs w:val="22"/>
              </w:rPr>
              <w:t>111,354</w:t>
            </w:r>
          </w:p>
        </w:tc>
        <w:tc>
          <w:tcPr>
            <w:tcW w:w="835" w:type="dxa"/>
            <w:tcBorders>
              <w:top w:val="nil"/>
              <w:left w:val="nil"/>
              <w:bottom w:val="single" w:sz="4" w:space="0" w:color="auto"/>
              <w:right w:val="single" w:sz="4" w:space="0" w:color="auto"/>
            </w:tcBorders>
            <w:shd w:val="clear" w:color="auto" w:fill="F2F2F2" w:themeFill="background1" w:themeFillShade="F2"/>
            <w:noWrap/>
            <w:vAlign w:val="bottom"/>
            <w:hideMark/>
          </w:tcPr>
          <w:p w14:paraId="6004456C" w14:textId="77777777" w:rsidR="00B322B7" w:rsidRPr="00B322B7" w:rsidRDefault="00B322B7" w:rsidP="005E2E4F">
            <w:pPr>
              <w:jc w:val="center"/>
              <w:rPr>
                <w:color w:val="000000"/>
                <w:sz w:val="22"/>
                <w:szCs w:val="22"/>
              </w:rPr>
            </w:pPr>
            <w:r w:rsidRPr="00B322B7">
              <w:rPr>
                <w:color w:val="000000"/>
                <w:sz w:val="22"/>
                <w:szCs w:val="22"/>
              </w:rPr>
              <w:t>-46,389</w:t>
            </w:r>
          </w:p>
        </w:tc>
      </w:tr>
    </w:tbl>
    <w:p w14:paraId="4AAA2C26" w14:textId="77777777" w:rsidR="00B322B7" w:rsidRDefault="00B322B7" w:rsidP="00B322B7">
      <w:pPr>
        <w:ind w:firstLine="360"/>
      </w:pPr>
    </w:p>
    <w:p w14:paraId="7D6C94E7" w14:textId="77777777" w:rsidR="00B322B7" w:rsidRDefault="00B322B7" w:rsidP="00B322B7">
      <w:pPr>
        <w:ind w:firstLine="360"/>
      </w:pPr>
    </w:p>
    <w:p w14:paraId="49995FB9" w14:textId="77777777" w:rsidR="00B322B7" w:rsidRDefault="00B322B7" w:rsidP="00B322B7">
      <w:pPr>
        <w:ind w:firstLine="360"/>
      </w:pPr>
      <w:r>
        <w:t xml:space="preserve">The commercial fishing season for mutton snapper is from January 1 through December 31 each year.  Since 2012, if landings reach or are projected to reach the commercial ACL, the season is closed early.  The impact of </w:t>
      </w:r>
      <w:r w:rsidRPr="00E97807">
        <w:rPr>
          <w:b/>
        </w:rPr>
        <w:t>Action 3’s</w:t>
      </w:r>
      <w:r>
        <w:t xml:space="preserve"> revised commercial ACL on small businesses is dependent on baseline commercial landings relative to the revised ACL.  If baseline landings are greater than the revised ACL, an early closure would be expected each year and with that a decrease in annual landings and associated dockside revenue.  </w:t>
      </w:r>
    </w:p>
    <w:p w14:paraId="1BFA1526" w14:textId="77777777" w:rsidR="00B322B7" w:rsidRDefault="00B322B7" w:rsidP="00B322B7">
      <w:pPr>
        <w:ind w:firstLine="360"/>
      </w:pPr>
    </w:p>
    <w:p w14:paraId="640A1D95" w14:textId="77777777" w:rsidR="00B322B7" w:rsidRDefault="00B322B7" w:rsidP="00B322B7">
      <w:pPr>
        <w:ind w:firstLine="360"/>
      </w:pPr>
      <w:r>
        <w:t>From 2012 through 2015, annual commercial landings of mutton snapper never reached or were projected to reach the ACL (157,743 lbs ww) and a season never closed early.  In fact, less than 100,000 lbs ww were landed annually during those years (</w:t>
      </w:r>
      <w:r>
        <w:rPr>
          <w:b/>
        </w:rPr>
        <w:t>Table F-5</w:t>
      </w:r>
      <w:r>
        <w:t xml:space="preserve">), and preliminary data for 2016 indicate 57,247 lbs ww were landed through October 14.  At that rate, 2016 landings would also be less than 100,000 lbs ww.   Those baseline landings are less than the revised ACL </w:t>
      </w:r>
      <w:r>
        <w:lastRenderedPageBreak/>
        <w:t xml:space="preserve">of </w:t>
      </w:r>
      <w:r w:rsidRPr="00CB3CFC">
        <w:rPr>
          <w:b/>
        </w:rPr>
        <w:t>Preferred Sub-alternative 2a</w:t>
      </w:r>
      <w:r>
        <w:t xml:space="preserve"> (</w:t>
      </w:r>
      <w:r>
        <w:rPr>
          <w:b/>
        </w:rPr>
        <w:t>Table F-</w:t>
      </w:r>
      <w:r w:rsidRPr="00CB3CFC">
        <w:rPr>
          <w:b/>
        </w:rPr>
        <w:t>4</w:t>
      </w:r>
      <w:r>
        <w:t xml:space="preserve">) and therefore, it is expected that </w:t>
      </w:r>
      <w:r w:rsidRPr="004211CA">
        <w:rPr>
          <w:b/>
        </w:rPr>
        <w:t>Action 3</w:t>
      </w:r>
      <w:r>
        <w:t xml:space="preserve"> would have no economic impact on any of the small businesses.</w:t>
      </w:r>
    </w:p>
    <w:p w14:paraId="731DC19B" w14:textId="77777777" w:rsidR="00B322B7" w:rsidRDefault="00B322B7" w:rsidP="00B322B7"/>
    <w:p w14:paraId="57994766" w14:textId="77777777" w:rsidR="00B322B7" w:rsidRDefault="00B322B7" w:rsidP="00B322B7">
      <w:pPr>
        <w:rPr>
          <w:rFonts w:ascii="Arial" w:hAnsi="Arial" w:cs="Arial"/>
          <w:sz w:val="20"/>
          <w:szCs w:val="20"/>
        </w:rPr>
      </w:pPr>
      <w:r w:rsidRPr="00026A0D">
        <w:rPr>
          <w:rFonts w:ascii="Arial" w:hAnsi="Arial" w:cs="Arial"/>
          <w:b/>
          <w:sz w:val="20"/>
          <w:szCs w:val="20"/>
        </w:rPr>
        <w:t xml:space="preserve">Table </w:t>
      </w:r>
      <w:r>
        <w:rPr>
          <w:rFonts w:ascii="Arial" w:hAnsi="Arial" w:cs="Arial"/>
          <w:b/>
          <w:sz w:val="20"/>
          <w:szCs w:val="20"/>
        </w:rPr>
        <w:t>F-5</w:t>
      </w:r>
      <w:r w:rsidRPr="00026A0D">
        <w:rPr>
          <w:rFonts w:ascii="Arial" w:hAnsi="Arial" w:cs="Arial"/>
          <w:b/>
          <w:sz w:val="20"/>
          <w:szCs w:val="20"/>
        </w:rPr>
        <w:t>.</w:t>
      </w:r>
      <w:r w:rsidRPr="00026A0D">
        <w:rPr>
          <w:rFonts w:ascii="Arial" w:hAnsi="Arial" w:cs="Arial"/>
          <w:sz w:val="20"/>
          <w:szCs w:val="20"/>
        </w:rPr>
        <w:t xml:space="preserve">  </w:t>
      </w:r>
      <w:r>
        <w:rPr>
          <w:rFonts w:ascii="Arial" w:hAnsi="Arial" w:cs="Arial"/>
          <w:sz w:val="20"/>
          <w:szCs w:val="20"/>
        </w:rPr>
        <w:t>Commercial  Landings of Mutton Snapper,  2012  through  2015.</w:t>
      </w:r>
      <w:r w:rsidRPr="007B1899">
        <w:rPr>
          <w:rFonts w:ascii="Arial" w:hAnsi="Arial" w:cs="Arial"/>
          <w:sz w:val="20"/>
          <w:szCs w:val="20"/>
        </w:rPr>
        <w:t xml:space="preserve"> </w:t>
      </w:r>
      <w:r>
        <w:rPr>
          <w:rFonts w:ascii="Arial" w:hAnsi="Arial" w:cs="Arial"/>
          <w:sz w:val="20"/>
          <w:szCs w:val="20"/>
        </w:rPr>
        <w:t xml:space="preserve">  </w:t>
      </w:r>
    </w:p>
    <w:tbl>
      <w:tblPr>
        <w:tblW w:w="4155" w:type="dxa"/>
        <w:tblInd w:w="93" w:type="dxa"/>
        <w:tblLook w:val="04A0" w:firstRow="1" w:lastRow="0" w:firstColumn="1" w:lastColumn="0" w:noHBand="0" w:noVBand="1"/>
      </w:tblPr>
      <w:tblGrid>
        <w:gridCol w:w="998"/>
        <w:gridCol w:w="3157"/>
      </w:tblGrid>
      <w:tr w:rsidR="00B322B7" w:rsidRPr="00B322B7" w14:paraId="586BED90" w14:textId="77777777" w:rsidTr="005E2E4F">
        <w:trPr>
          <w:trHeight w:val="300"/>
        </w:trPr>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550A11" w14:textId="77777777" w:rsidR="00B322B7" w:rsidRPr="00B322B7" w:rsidRDefault="00B322B7" w:rsidP="005E2E4F">
            <w:pPr>
              <w:jc w:val="center"/>
              <w:rPr>
                <w:b/>
                <w:bCs/>
                <w:color w:val="000000"/>
                <w:sz w:val="22"/>
                <w:szCs w:val="22"/>
              </w:rPr>
            </w:pPr>
            <w:r w:rsidRPr="00B322B7">
              <w:rPr>
                <w:b/>
                <w:bCs/>
                <w:color w:val="000000"/>
                <w:sz w:val="22"/>
                <w:szCs w:val="22"/>
              </w:rPr>
              <w:t>Year</w:t>
            </w:r>
          </w:p>
        </w:tc>
        <w:tc>
          <w:tcPr>
            <w:tcW w:w="315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F700B3D" w14:textId="77777777" w:rsidR="00B322B7" w:rsidRPr="00B322B7" w:rsidRDefault="00B322B7" w:rsidP="005E2E4F">
            <w:pPr>
              <w:jc w:val="center"/>
              <w:rPr>
                <w:b/>
                <w:bCs/>
                <w:color w:val="000000"/>
                <w:sz w:val="22"/>
                <w:szCs w:val="22"/>
              </w:rPr>
            </w:pPr>
            <w:r w:rsidRPr="00B322B7">
              <w:rPr>
                <w:b/>
                <w:bCs/>
                <w:color w:val="000000"/>
                <w:sz w:val="22"/>
                <w:szCs w:val="22"/>
              </w:rPr>
              <w:t>Baseline landings (lbs ww)</w:t>
            </w:r>
          </w:p>
        </w:tc>
      </w:tr>
      <w:tr w:rsidR="00B322B7" w:rsidRPr="00B322B7" w14:paraId="4D88A2D4" w14:textId="77777777" w:rsidTr="005E2E4F">
        <w:trPr>
          <w:trHeight w:val="300"/>
        </w:trPr>
        <w:tc>
          <w:tcPr>
            <w:tcW w:w="99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F859550" w14:textId="77777777" w:rsidR="00B322B7" w:rsidRPr="00B322B7" w:rsidRDefault="00B322B7" w:rsidP="005E2E4F">
            <w:pPr>
              <w:jc w:val="center"/>
              <w:rPr>
                <w:b/>
                <w:bCs/>
                <w:color w:val="000000"/>
                <w:sz w:val="22"/>
                <w:szCs w:val="22"/>
              </w:rPr>
            </w:pPr>
            <w:r w:rsidRPr="00B322B7">
              <w:rPr>
                <w:b/>
                <w:bCs/>
                <w:color w:val="000000"/>
                <w:sz w:val="22"/>
                <w:szCs w:val="22"/>
              </w:rPr>
              <w:t>2012</w:t>
            </w:r>
          </w:p>
        </w:tc>
        <w:tc>
          <w:tcPr>
            <w:tcW w:w="3157" w:type="dxa"/>
            <w:tcBorders>
              <w:top w:val="nil"/>
              <w:left w:val="nil"/>
              <w:bottom w:val="single" w:sz="4" w:space="0" w:color="auto"/>
              <w:right w:val="single" w:sz="4" w:space="0" w:color="auto"/>
            </w:tcBorders>
            <w:shd w:val="clear" w:color="auto" w:fill="auto"/>
            <w:noWrap/>
            <w:vAlign w:val="bottom"/>
            <w:hideMark/>
          </w:tcPr>
          <w:p w14:paraId="02BDFC67" w14:textId="77777777" w:rsidR="00B322B7" w:rsidRPr="00B322B7" w:rsidRDefault="00B322B7" w:rsidP="005E2E4F">
            <w:pPr>
              <w:jc w:val="center"/>
              <w:rPr>
                <w:color w:val="000000"/>
                <w:sz w:val="22"/>
                <w:szCs w:val="22"/>
              </w:rPr>
            </w:pPr>
            <w:r w:rsidRPr="00B322B7">
              <w:rPr>
                <w:color w:val="000000"/>
                <w:sz w:val="22"/>
                <w:szCs w:val="22"/>
              </w:rPr>
              <w:t>77,122</w:t>
            </w:r>
          </w:p>
        </w:tc>
      </w:tr>
      <w:tr w:rsidR="00B322B7" w:rsidRPr="00B322B7" w14:paraId="75AE95B9" w14:textId="77777777" w:rsidTr="005E2E4F">
        <w:trPr>
          <w:trHeight w:val="300"/>
        </w:trPr>
        <w:tc>
          <w:tcPr>
            <w:tcW w:w="998"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DDB8DB1" w14:textId="77777777" w:rsidR="00B322B7" w:rsidRPr="00B322B7" w:rsidRDefault="00B322B7" w:rsidP="005E2E4F">
            <w:pPr>
              <w:jc w:val="center"/>
              <w:rPr>
                <w:b/>
                <w:bCs/>
                <w:color w:val="000000"/>
                <w:sz w:val="22"/>
                <w:szCs w:val="22"/>
              </w:rPr>
            </w:pPr>
            <w:r w:rsidRPr="00B322B7">
              <w:rPr>
                <w:b/>
                <w:bCs/>
                <w:color w:val="000000"/>
                <w:sz w:val="22"/>
                <w:szCs w:val="22"/>
              </w:rPr>
              <w:t>2013</w:t>
            </w:r>
          </w:p>
        </w:tc>
        <w:tc>
          <w:tcPr>
            <w:tcW w:w="3157" w:type="dxa"/>
            <w:tcBorders>
              <w:top w:val="nil"/>
              <w:left w:val="nil"/>
              <w:bottom w:val="single" w:sz="4" w:space="0" w:color="auto"/>
              <w:right w:val="single" w:sz="4" w:space="0" w:color="auto"/>
            </w:tcBorders>
            <w:shd w:val="clear" w:color="auto" w:fill="F2F2F2" w:themeFill="background1" w:themeFillShade="F2"/>
            <w:noWrap/>
            <w:vAlign w:val="bottom"/>
            <w:hideMark/>
          </w:tcPr>
          <w:p w14:paraId="3AD76E48" w14:textId="77777777" w:rsidR="00B322B7" w:rsidRPr="00B322B7" w:rsidRDefault="00B322B7" w:rsidP="005E2E4F">
            <w:pPr>
              <w:jc w:val="center"/>
              <w:rPr>
                <w:color w:val="000000"/>
                <w:sz w:val="22"/>
                <w:szCs w:val="22"/>
              </w:rPr>
            </w:pPr>
            <w:r w:rsidRPr="00B322B7">
              <w:rPr>
                <w:color w:val="000000"/>
                <w:sz w:val="22"/>
                <w:szCs w:val="22"/>
              </w:rPr>
              <w:t>74,229</w:t>
            </w:r>
          </w:p>
        </w:tc>
      </w:tr>
      <w:tr w:rsidR="00B322B7" w:rsidRPr="00B322B7" w14:paraId="301779E5" w14:textId="77777777" w:rsidTr="005E2E4F">
        <w:trPr>
          <w:trHeight w:val="300"/>
        </w:trPr>
        <w:tc>
          <w:tcPr>
            <w:tcW w:w="99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5B2C4AE" w14:textId="77777777" w:rsidR="00B322B7" w:rsidRPr="00B322B7" w:rsidRDefault="00B322B7" w:rsidP="005E2E4F">
            <w:pPr>
              <w:jc w:val="center"/>
              <w:rPr>
                <w:b/>
                <w:bCs/>
                <w:color w:val="000000"/>
                <w:sz w:val="22"/>
                <w:szCs w:val="22"/>
              </w:rPr>
            </w:pPr>
            <w:r w:rsidRPr="00B322B7">
              <w:rPr>
                <w:b/>
                <w:bCs/>
                <w:color w:val="000000"/>
                <w:sz w:val="22"/>
                <w:szCs w:val="22"/>
              </w:rPr>
              <w:t>2014</w:t>
            </w:r>
          </w:p>
        </w:tc>
        <w:tc>
          <w:tcPr>
            <w:tcW w:w="3157" w:type="dxa"/>
            <w:tcBorders>
              <w:top w:val="nil"/>
              <w:left w:val="nil"/>
              <w:bottom w:val="single" w:sz="4" w:space="0" w:color="auto"/>
              <w:right w:val="single" w:sz="4" w:space="0" w:color="auto"/>
            </w:tcBorders>
            <w:shd w:val="clear" w:color="auto" w:fill="auto"/>
            <w:noWrap/>
            <w:vAlign w:val="bottom"/>
            <w:hideMark/>
          </w:tcPr>
          <w:p w14:paraId="76302565" w14:textId="77777777" w:rsidR="00B322B7" w:rsidRPr="00B322B7" w:rsidRDefault="00B322B7" w:rsidP="005E2E4F">
            <w:pPr>
              <w:jc w:val="center"/>
              <w:rPr>
                <w:color w:val="000000"/>
                <w:sz w:val="22"/>
                <w:szCs w:val="22"/>
              </w:rPr>
            </w:pPr>
            <w:r w:rsidRPr="00B322B7">
              <w:rPr>
                <w:color w:val="000000"/>
                <w:sz w:val="22"/>
                <w:szCs w:val="22"/>
              </w:rPr>
              <w:t>87,981</w:t>
            </w:r>
          </w:p>
        </w:tc>
      </w:tr>
      <w:tr w:rsidR="00B322B7" w:rsidRPr="00B322B7" w14:paraId="5B7C50B6" w14:textId="77777777" w:rsidTr="005E2E4F">
        <w:trPr>
          <w:trHeight w:val="300"/>
        </w:trPr>
        <w:tc>
          <w:tcPr>
            <w:tcW w:w="998"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FAC16BE" w14:textId="77777777" w:rsidR="00B322B7" w:rsidRPr="00B322B7" w:rsidRDefault="00B322B7" w:rsidP="005E2E4F">
            <w:pPr>
              <w:jc w:val="center"/>
              <w:rPr>
                <w:b/>
                <w:bCs/>
                <w:color w:val="000000"/>
                <w:sz w:val="22"/>
                <w:szCs w:val="22"/>
              </w:rPr>
            </w:pPr>
            <w:r w:rsidRPr="00B322B7">
              <w:rPr>
                <w:b/>
                <w:bCs/>
                <w:color w:val="000000"/>
                <w:sz w:val="22"/>
                <w:szCs w:val="22"/>
              </w:rPr>
              <w:t>2015</w:t>
            </w:r>
          </w:p>
        </w:tc>
        <w:tc>
          <w:tcPr>
            <w:tcW w:w="3157" w:type="dxa"/>
            <w:tcBorders>
              <w:top w:val="nil"/>
              <w:left w:val="nil"/>
              <w:bottom w:val="single" w:sz="4" w:space="0" w:color="auto"/>
              <w:right w:val="single" w:sz="4" w:space="0" w:color="auto"/>
            </w:tcBorders>
            <w:shd w:val="clear" w:color="auto" w:fill="F2F2F2" w:themeFill="background1" w:themeFillShade="F2"/>
            <w:noWrap/>
            <w:vAlign w:val="bottom"/>
            <w:hideMark/>
          </w:tcPr>
          <w:p w14:paraId="57F1349D" w14:textId="77777777" w:rsidR="00B322B7" w:rsidRPr="00B322B7" w:rsidRDefault="00B322B7" w:rsidP="005E2E4F">
            <w:pPr>
              <w:jc w:val="center"/>
              <w:rPr>
                <w:color w:val="000000"/>
                <w:sz w:val="22"/>
                <w:szCs w:val="22"/>
              </w:rPr>
            </w:pPr>
            <w:r w:rsidRPr="00B322B7">
              <w:rPr>
                <w:color w:val="000000"/>
                <w:sz w:val="22"/>
                <w:szCs w:val="22"/>
              </w:rPr>
              <w:t>92,569</w:t>
            </w:r>
          </w:p>
        </w:tc>
      </w:tr>
      <w:tr w:rsidR="00B322B7" w:rsidRPr="00B322B7" w14:paraId="03231404" w14:textId="77777777" w:rsidTr="005E2E4F">
        <w:trPr>
          <w:trHeight w:val="300"/>
        </w:trPr>
        <w:tc>
          <w:tcPr>
            <w:tcW w:w="99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B31429D" w14:textId="77777777" w:rsidR="00B322B7" w:rsidRPr="00B322B7" w:rsidRDefault="00B322B7" w:rsidP="005E2E4F">
            <w:pPr>
              <w:jc w:val="center"/>
              <w:rPr>
                <w:b/>
                <w:bCs/>
                <w:color w:val="000000"/>
                <w:sz w:val="22"/>
                <w:szCs w:val="22"/>
              </w:rPr>
            </w:pPr>
            <w:r w:rsidRPr="00B322B7">
              <w:rPr>
                <w:b/>
                <w:bCs/>
                <w:color w:val="000000"/>
                <w:sz w:val="22"/>
                <w:szCs w:val="22"/>
              </w:rPr>
              <w:t>Average</w:t>
            </w:r>
          </w:p>
        </w:tc>
        <w:tc>
          <w:tcPr>
            <w:tcW w:w="3157" w:type="dxa"/>
            <w:tcBorders>
              <w:top w:val="nil"/>
              <w:left w:val="nil"/>
              <w:bottom w:val="single" w:sz="4" w:space="0" w:color="auto"/>
              <w:right w:val="single" w:sz="4" w:space="0" w:color="auto"/>
            </w:tcBorders>
            <w:shd w:val="clear" w:color="auto" w:fill="auto"/>
            <w:noWrap/>
            <w:vAlign w:val="bottom"/>
            <w:hideMark/>
          </w:tcPr>
          <w:p w14:paraId="3BD55B79" w14:textId="77777777" w:rsidR="00B322B7" w:rsidRPr="00B322B7" w:rsidRDefault="00B322B7" w:rsidP="005E2E4F">
            <w:pPr>
              <w:jc w:val="center"/>
              <w:rPr>
                <w:b/>
                <w:color w:val="000000"/>
                <w:sz w:val="22"/>
                <w:szCs w:val="22"/>
              </w:rPr>
            </w:pPr>
            <w:r w:rsidRPr="00B322B7">
              <w:rPr>
                <w:b/>
                <w:color w:val="000000"/>
                <w:sz w:val="22"/>
                <w:szCs w:val="22"/>
              </w:rPr>
              <w:t>82,975</w:t>
            </w:r>
          </w:p>
        </w:tc>
      </w:tr>
    </w:tbl>
    <w:p w14:paraId="73C395DF" w14:textId="77777777" w:rsidR="00B322B7" w:rsidRDefault="00B322B7" w:rsidP="00B322B7">
      <w:r>
        <w:rPr>
          <w:rFonts w:ascii="Arial" w:hAnsi="Arial" w:cs="Arial"/>
          <w:sz w:val="20"/>
          <w:szCs w:val="20"/>
        </w:rPr>
        <w:t>Source:  NMFS SERO ACL.</w:t>
      </w:r>
    </w:p>
    <w:p w14:paraId="3159839A" w14:textId="77777777" w:rsidR="00B322B7" w:rsidRDefault="00B322B7" w:rsidP="00B322B7">
      <w:pPr>
        <w:ind w:firstLine="360"/>
      </w:pPr>
    </w:p>
    <w:p w14:paraId="521A719A" w14:textId="77777777" w:rsidR="00B322B7" w:rsidRDefault="00B322B7" w:rsidP="00B322B7">
      <w:pPr>
        <w:ind w:firstLine="360"/>
      </w:pPr>
    </w:p>
    <w:p w14:paraId="5B8505CC" w14:textId="77777777" w:rsidR="00B322B7" w:rsidRDefault="00B322B7" w:rsidP="00B322B7">
      <w:pPr>
        <w:ind w:firstLine="360"/>
      </w:pPr>
      <w:r>
        <w:rPr>
          <w:b/>
        </w:rPr>
        <w:t>Action 5</w:t>
      </w:r>
      <w:r>
        <w:t xml:space="preserve"> (</w:t>
      </w:r>
      <w:r>
        <w:rPr>
          <w:b/>
        </w:rPr>
        <w:t>Preferred Alternative 3</w:t>
      </w:r>
      <w:r>
        <w:t xml:space="preserve">) would increase the minimum size limit of mutton snapper from 16 (406.4 mm) to 18 inches (457.2 mm) TL.  Commercial landings data for southeast Florida from 1990 through 2008 indicate an average commercial size of 520 mm, which is approximately 20.5 inches TL (Ault and Franklin, 2011, p. 65).  More recently, data from the SEFSC indicates approximately 60% of mutton snapper harvested by the commercial sector are greater than 20 inches TL, and the most frequent length was over 25 inches TL.  That suggests </w:t>
      </w:r>
      <w:r w:rsidRPr="00366111">
        <w:rPr>
          <w:b/>
        </w:rPr>
        <w:t>Action 5’s</w:t>
      </w:r>
      <w:r>
        <w:t xml:space="preserve"> 18-inch TL minimum size limit would be less than the expected length of a commercially sized mutton snapper, and there would be little adverse impact on small businesses.  SEFSC Trip Intercept Program data from 2011 through 2013 suggests an increase from 16 to 18 inches TL could reduce average annual landings by 4.2%.  With average annual landings of 227 lbs gw per vessel, a 4.2% reduction would be an average annual loss of 9.5 lbs gw.  At an average dockside price (2015 $) of $2.96 per lb gw, the average vessel would lose $28.12 annually.  That loss represents approximately 0.06% of the average vessel’s annual dockside revenue from all landings ($47,708).  </w:t>
      </w:r>
    </w:p>
    <w:p w14:paraId="193C4FAF" w14:textId="77777777" w:rsidR="00B322B7" w:rsidRDefault="00B322B7" w:rsidP="00B322B7">
      <w:pPr>
        <w:ind w:firstLine="360"/>
      </w:pPr>
    </w:p>
    <w:p w14:paraId="39C9A79E" w14:textId="77777777" w:rsidR="00B322B7" w:rsidRPr="001C1072" w:rsidRDefault="00B322B7" w:rsidP="00B322B7">
      <w:pPr>
        <w:ind w:firstLine="360"/>
      </w:pPr>
      <w:r>
        <w:t xml:space="preserve">To mitigate for a loss of dockside revenue, a vessel could either increase the length or number of trips in the EEZ or relocate to state waters where there is a smaller minimum size limit.  That is not expected, however, for two reasons.  First, because commercial vessels typically do not take trips that target mutton snapper, and landings of the species account for a very small percentage of a vessel’s annual dockside revenue from all landings. Second, Florida vessels account for approximately 95% of trips with mutton snapper landings; and beginning January 1, 2017, the minimum size limit in Florida waters will be 18 inches TL.  </w:t>
      </w:r>
    </w:p>
    <w:p w14:paraId="08303756" w14:textId="77777777" w:rsidR="00B322B7" w:rsidRDefault="00B322B7" w:rsidP="00B322B7">
      <w:pPr>
        <w:ind w:firstLine="360"/>
      </w:pPr>
    </w:p>
    <w:p w14:paraId="3CC7970A" w14:textId="77777777" w:rsidR="00B322B7" w:rsidRDefault="00B322B7" w:rsidP="00B322B7">
      <w:pPr>
        <w:ind w:firstLine="360"/>
      </w:pPr>
      <w:r>
        <w:rPr>
          <w:b/>
        </w:rPr>
        <w:t>Action 6</w:t>
      </w:r>
      <w:r>
        <w:t xml:space="preserve"> (</w:t>
      </w:r>
      <w:r w:rsidRPr="0034374D">
        <w:rPr>
          <w:b/>
        </w:rPr>
        <w:t xml:space="preserve">Preferred </w:t>
      </w:r>
      <w:r>
        <w:rPr>
          <w:b/>
        </w:rPr>
        <w:t>Sub-a</w:t>
      </w:r>
      <w:r w:rsidRPr="0034374D">
        <w:rPr>
          <w:b/>
        </w:rPr>
        <w:t>lternative</w:t>
      </w:r>
      <w:r>
        <w:rPr>
          <w:b/>
        </w:rPr>
        <w:t xml:space="preserve"> 2a</w:t>
      </w:r>
      <w:r>
        <w:t xml:space="preserve">) would designate April, May and June as spawning months.  The non-spawning months would be from January through March and from July through December.  The action has no direct economic impact on any small business and its indirect impacts are dependent on </w:t>
      </w:r>
      <w:r w:rsidRPr="007B1899">
        <w:rPr>
          <w:b/>
        </w:rPr>
        <w:t>Action 8</w:t>
      </w:r>
      <w:r>
        <w:t>.</w:t>
      </w:r>
    </w:p>
    <w:p w14:paraId="4FFA2855" w14:textId="77777777" w:rsidR="00B322B7" w:rsidRDefault="00B322B7" w:rsidP="00B322B7">
      <w:pPr>
        <w:ind w:firstLine="360"/>
      </w:pPr>
    </w:p>
    <w:p w14:paraId="4AEA2C94" w14:textId="77777777" w:rsidR="00B322B7" w:rsidRDefault="00B322B7" w:rsidP="00B322B7">
      <w:pPr>
        <w:ind w:firstLine="360"/>
      </w:pPr>
      <w:r>
        <w:rPr>
          <w:b/>
        </w:rPr>
        <w:t xml:space="preserve">Action 8 </w:t>
      </w:r>
      <w:r>
        <w:t xml:space="preserve">would establish a commercial trip limit during the spawning months of April through June and a different commercial trip limit during the other nine months of the fishing year.  Specifically, </w:t>
      </w:r>
      <w:r w:rsidRPr="003E4F34">
        <w:rPr>
          <w:b/>
        </w:rPr>
        <w:t xml:space="preserve">Preferred </w:t>
      </w:r>
      <w:r>
        <w:rPr>
          <w:b/>
        </w:rPr>
        <w:t xml:space="preserve">Alternative 3 </w:t>
      </w:r>
      <w:r>
        <w:t>(</w:t>
      </w:r>
      <w:r>
        <w:rPr>
          <w:b/>
        </w:rPr>
        <w:t>Sub-a</w:t>
      </w:r>
      <w:r w:rsidRPr="003E4F34">
        <w:rPr>
          <w:b/>
        </w:rPr>
        <w:t>lternative</w:t>
      </w:r>
      <w:r>
        <w:t xml:space="preserve"> </w:t>
      </w:r>
      <w:r>
        <w:rPr>
          <w:b/>
        </w:rPr>
        <w:t>3f</w:t>
      </w:r>
      <w:r w:rsidRPr="00A043C2">
        <w:t>)</w:t>
      </w:r>
      <w:r>
        <w:t xml:space="preserve"> of </w:t>
      </w:r>
      <w:r>
        <w:rPr>
          <w:b/>
        </w:rPr>
        <w:t xml:space="preserve">Action 8 </w:t>
      </w:r>
      <w:r>
        <w:t xml:space="preserve">would establish a possession limit of 5 mutton snapper per person per day or per trip, whichever is more restrictive, during the spawning months of April, May and June, and </w:t>
      </w:r>
      <w:r>
        <w:rPr>
          <w:b/>
        </w:rPr>
        <w:t xml:space="preserve">Preferred Alternative 2 </w:t>
      </w:r>
      <w:r>
        <w:t>(</w:t>
      </w:r>
      <w:r>
        <w:rPr>
          <w:b/>
        </w:rPr>
        <w:t>Sub-</w:t>
      </w:r>
      <w:r>
        <w:rPr>
          <w:b/>
        </w:rPr>
        <w:lastRenderedPageBreak/>
        <w:t>alternative 2c)</w:t>
      </w:r>
      <w:r>
        <w:t xml:space="preserve"> of </w:t>
      </w:r>
      <w:r w:rsidRPr="001D0430">
        <w:rPr>
          <w:b/>
        </w:rPr>
        <w:t>Action 8</w:t>
      </w:r>
      <w:r>
        <w:t xml:space="preserve"> would establish a commercial limit of 500 lbs ww per trip during the other months of the fishing year.  There is and has been a limit of 10 mutton snapper per person per day or per trip (within the aggregate snapper limit) in May and June and no trip limit during the other months.  </w:t>
      </w:r>
    </w:p>
    <w:p w14:paraId="14BD1298" w14:textId="77777777" w:rsidR="00B322B7" w:rsidRDefault="00B322B7" w:rsidP="00B322B7">
      <w:pPr>
        <w:autoSpaceDE w:val="0"/>
        <w:autoSpaceDN w:val="0"/>
        <w:adjustRightInd w:val="0"/>
        <w:ind w:firstLine="360"/>
        <w:rPr>
          <w:rFonts w:eastAsia="Calibri"/>
        </w:rPr>
      </w:pPr>
    </w:p>
    <w:p w14:paraId="347F091E" w14:textId="77777777" w:rsidR="00B322B7" w:rsidRDefault="00B322B7" w:rsidP="00B322B7">
      <w:pPr>
        <w:autoSpaceDE w:val="0"/>
        <w:autoSpaceDN w:val="0"/>
        <w:adjustRightInd w:val="0"/>
        <w:ind w:firstLine="360"/>
        <w:rPr>
          <w:rFonts w:eastAsia="Calibri"/>
        </w:rPr>
      </w:pPr>
      <w:r>
        <w:rPr>
          <w:rFonts w:eastAsia="Calibri"/>
        </w:rPr>
        <w:t xml:space="preserve">The average commercial fishing vessel that landed mutton snapper from 2011 through 2015 landed 38 lbs gw of mutton snapper per trip (for those trips that landed the species).  That average varies considerably by gear as shown in </w:t>
      </w:r>
      <w:r>
        <w:rPr>
          <w:rFonts w:eastAsia="Calibri"/>
          <w:b/>
        </w:rPr>
        <w:t>Table F-6</w:t>
      </w:r>
      <w:r>
        <w:rPr>
          <w:rFonts w:eastAsia="Calibri"/>
        </w:rPr>
        <w:t xml:space="preserve">.  While the average hook-and-line vessel landed 55 lbs gw of mutton snapper per trip, the average vessel that used troll lines landed 24 lbs gw per trip.  </w:t>
      </w:r>
    </w:p>
    <w:p w14:paraId="088D8AB6" w14:textId="77777777" w:rsidR="00B322B7" w:rsidRDefault="00B322B7" w:rsidP="00B322B7">
      <w:pPr>
        <w:autoSpaceDE w:val="0"/>
        <w:autoSpaceDN w:val="0"/>
        <w:adjustRightInd w:val="0"/>
        <w:ind w:firstLine="360"/>
        <w:rPr>
          <w:rFonts w:eastAsia="Calibri"/>
        </w:rPr>
      </w:pPr>
    </w:p>
    <w:p w14:paraId="390F0E2E" w14:textId="77777777" w:rsidR="00B322B7" w:rsidRDefault="00B322B7" w:rsidP="00B322B7">
      <w:pPr>
        <w:autoSpaceDE w:val="0"/>
        <w:autoSpaceDN w:val="0"/>
        <w:adjustRightInd w:val="0"/>
        <w:ind w:firstLine="360"/>
        <w:rPr>
          <w:rFonts w:eastAsia="Calibri"/>
        </w:rPr>
      </w:pPr>
    </w:p>
    <w:p w14:paraId="119FDF0B" w14:textId="77777777" w:rsidR="00B322B7" w:rsidRDefault="00B322B7" w:rsidP="00B322B7">
      <w:pPr>
        <w:rPr>
          <w:rFonts w:ascii="Arial" w:hAnsi="Arial" w:cs="Arial"/>
          <w:sz w:val="20"/>
          <w:szCs w:val="20"/>
        </w:rPr>
      </w:pPr>
      <w:r>
        <w:rPr>
          <w:rFonts w:ascii="Arial" w:hAnsi="Arial" w:cs="Arial"/>
          <w:b/>
          <w:sz w:val="20"/>
          <w:szCs w:val="20"/>
        </w:rPr>
        <w:t>Table F-6</w:t>
      </w:r>
      <w:r w:rsidRPr="004D19FB">
        <w:rPr>
          <w:rFonts w:ascii="Arial" w:hAnsi="Arial" w:cs="Arial"/>
          <w:b/>
          <w:sz w:val="20"/>
          <w:szCs w:val="20"/>
        </w:rPr>
        <w:t>.</w:t>
      </w:r>
      <w:r w:rsidRPr="00195A2E">
        <w:rPr>
          <w:rFonts w:ascii="Arial" w:hAnsi="Arial" w:cs="Arial"/>
          <w:sz w:val="20"/>
          <w:szCs w:val="20"/>
        </w:rPr>
        <w:t xml:space="preserve">  </w:t>
      </w:r>
      <w:r>
        <w:rPr>
          <w:rFonts w:ascii="Arial" w:hAnsi="Arial" w:cs="Arial"/>
          <w:sz w:val="20"/>
          <w:szCs w:val="20"/>
        </w:rPr>
        <w:t xml:space="preserve">Average Mutton Snapper Landings (lbs gw) per Trip </w:t>
      </w:r>
      <w:r w:rsidRPr="00195A2E">
        <w:rPr>
          <w:rFonts w:ascii="Arial" w:hAnsi="Arial" w:cs="Arial"/>
          <w:sz w:val="20"/>
          <w:szCs w:val="20"/>
        </w:rPr>
        <w:t xml:space="preserve">by Gear, 2011-2015.  </w:t>
      </w:r>
    </w:p>
    <w:tbl>
      <w:tblPr>
        <w:tblW w:w="9483" w:type="dxa"/>
        <w:tblInd w:w="93" w:type="dxa"/>
        <w:tblLook w:val="04A0" w:firstRow="1" w:lastRow="0" w:firstColumn="1" w:lastColumn="0" w:noHBand="0" w:noVBand="1"/>
      </w:tblPr>
      <w:tblGrid>
        <w:gridCol w:w="1184"/>
        <w:gridCol w:w="1039"/>
        <w:gridCol w:w="1122"/>
        <w:gridCol w:w="990"/>
        <w:gridCol w:w="1080"/>
        <w:gridCol w:w="990"/>
        <w:gridCol w:w="990"/>
        <w:gridCol w:w="990"/>
        <w:gridCol w:w="1098"/>
      </w:tblGrid>
      <w:tr w:rsidR="00B322B7" w:rsidRPr="00B322B7" w14:paraId="264D66BE" w14:textId="77777777" w:rsidTr="005E2E4F">
        <w:trPr>
          <w:trHeight w:val="302"/>
        </w:trPr>
        <w:tc>
          <w:tcPr>
            <w:tcW w:w="1184"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D3C64CA" w14:textId="77777777" w:rsidR="00B322B7" w:rsidRPr="00B322B7" w:rsidRDefault="00B322B7" w:rsidP="005E2E4F">
            <w:pPr>
              <w:jc w:val="center"/>
              <w:rPr>
                <w:b/>
                <w:bCs/>
                <w:color w:val="000000"/>
                <w:sz w:val="22"/>
                <w:szCs w:val="22"/>
              </w:rPr>
            </w:pPr>
            <w:r w:rsidRPr="00B322B7">
              <w:rPr>
                <w:b/>
                <w:bCs/>
                <w:color w:val="000000"/>
                <w:sz w:val="22"/>
                <w:szCs w:val="22"/>
              </w:rPr>
              <w:t>Year</w:t>
            </w:r>
          </w:p>
        </w:tc>
        <w:tc>
          <w:tcPr>
            <w:tcW w:w="8299" w:type="dxa"/>
            <w:gridSpan w:val="8"/>
            <w:tcBorders>
              <w:top w:val="single" w:sz="4" w:space="0" w:color="auto"/>
              <w:left w:val="nil"/>
              <w:bottom w:val="single" w:sz="4" w:space="0" w:color="auto"/>
              <w:right w:val="single" w:sz="4" w:space="0" w:color="auto"/>
            </w:tcBorders>
            <w:shd w:val="clear" w:color="000000" w:fill="D9D9D9"/>
            <w:noWrap/>
            <w:vAlign w:val="bottom"/>
            <w:hideMark/>
          </w:tcPr>
          <w:p w14:paraId="50F37146" w14:textId="77777777" w:rsidR="00B322B7" w:rsidRPr="00B322B7" w:rsidRDefault="00B322B7" w:rsidP="005E2E4F">
            <w:pPr>
              <w:jc w:val="center"/>
              <w:rPr>
                <w:b/>
                <w:bCs/>
                <w:color w:val="000000"/>
                <w:sz w:val="22"/>
                <w:szCs w:val="22"/>
              </w:rPr>
            </w:pPr>
            <w:r w:rsidRPr="00B322B7">
              <w:rPr>
                <w:b/>
                <w:bCs/>
                <w:color w:val="000000"/>
                <w:sz w:val="22"/>
                <w:szCs w:val="22"/>
              </w:rPr>
              <w:t>Average mutton snapper landings (lbs gw) per trip by gear</w:t>
            </w:r>
          </w:p>
        </w:tc>
      </w:tr>
      <w:tr w:rsidR="00B322B7" w:rsidRPr="00B322B7" w14:paraId="0C07D2C3" w14:textId="77777777" w:rsidTr="005E2E4F">
        <w:trPr>
          <w:trHeight w:val="302"/>
        </w:trPr>
        <w:tc>
          <w:tcPr>
            <w:tcW w:w="1184" w:type="dxa"/>
            <w:vMerge/>
            <w:tcBorders>
              <w:top w:val="single" w:sz="4" w:space="0" w:color="auto"/>
              <w:left w:val="single" w:sz="4" w:space="0" w:color="auto"/>
              <w:bottom w:val="single" w:sz="4" w:space="0" w:color="auto"/>
              <w:right w:val="single" w:sz="4" w:space="0" w:color="auto"/>
            </w:tcBorders>
            <w:vAlign w:val="center"/>
            <w:hideMark/>
          </w:tcPr>
          <w:p w14:paraId="026B5879" w14:textId="77777777" w:rsidR="00B322B7" w:rsidRPr="00B322B7" w:rsidRDefault="00B322B7" w:rsidP="005E2E4F">
            <w:pPr>
              <w:rPr>
                <w:b/>
                <w:bCs/>
                <w:color w:val="000000"/>
                <w:sz w:val="22"/>
                <w:szCs w:val="22"/>
              </w:rPr>
            </w:pPr>
          </w:p>
        </w:tc>
        <w:tc>
          <w:tcPr>
            <w:tcW w:w="1039" w:type="dxa"/>
            <w:tcBorders>
              <w:top w:val="nil"/>
              <w:left w:val="nil"/>
              <w:bottom w:val="single" w:sz="4" w:space="0" w:color="auto"/>
              <w:right w:val="single" w:sz="4" w:space="0" w:color="auto"/>
            </w:tcBorders>
            <w:shd w:val="clear" w:color="000000" w:fill="D9D9D9"/>
            <w:noWrap/>
            <w:vAlign w:val="center"/>
            <w:hideMark/>
          </w:tcPr>
          <w:p w14:paraId="6B2DDE70" w14:textId="77777777" w:rsidR="00B322B7" w:rsidRPr="00B322B7" w:rsidRDefault="00B322B7" w:rsidP="005E2E4F">
            <w:pPr>
              <w:jc w:val="center"/>
              <w:rPr>
                <w:b/>
                <w:bCs/>
                <w:color w:val="000000"/>
                <w:sz w:val="22"/>
                <w:szCs w:val="22"/>
              </w:rPr>
            </w:pPr>
            <w:r w:rsidRPr="00B322B7">
              <w:rPr>
                <w:b/>
                <w:bCs/>
                <w:color w:val="000000"/>
                <w:sz w:val="22"/>
                <w:szCs w:val="22"/>
              </w:rPr>
              <w:t>Diving outfits</w:t>
            </w:r>
          </w:p>
        </w:tc>
        <w:tc>
          <w:tcPr>
            <w:tcW w:w="1122" w:type="dxa"/>
            <w:tcBorders>
              <w:top w:val="nil"/>
              <w:left w:val="nil"/>
              <w:bottom w:val="single" w:sz="4" w:space="0" w:color="auto"/>
              <w:right w:val="single" w:sz="4" w:space="0" w:color="auto"/>
            </w:tcBorders>
            <w:shd w:val="clear" w:color="000000" w:fill="D9D9D9"/>
            <w:noWrap/>
            <w:vAlign w:val="center"/>
            <w:hideMark/>
          </w:tcPr>
          <w:p w14:paraId="59BB6FA4" w14:textId="77777777" w:rsidR="00B322B7" w:rsidRPr="00B322B7" w:rsidRDefault="00B322B7" w:rsidP="005E2E4F">
            <w:pPr>
              <w:jc w:val="center"/>
              <w:rPr>
                <w:b/>
                <w:bCs/>
                <w:color w:val="000000"/>
                <w:sz w:val="22"/>
                <w:szCs w:val="22"/>
              </w:rPr>
            </w:pPr>
            <w:r w:rsidRPr="00B322B7">
              <w:rPr>
                <w:b/>
                <w:bCs/>
                <w:color w:val="000000"/>
                <w:sz w:val="22"/>
                <w:szCs w:val="22"/>
              </w:rPr>
              <w:t>By hand, other</w:t>
            </w:r>
          </w:p>
        </w:tc>
        <w:tc>
          <w:tcPr>
            <w:tcW w:w="990" w:type="dxa"/>
            <w:tcBorders>
              <w:top w:val="nil"/>
              <w:left w:val="nil"/>
              <w:bottom w:val="single" w:sz="4" w:space="0" w:color="auto"/>
              <w:right w:val="single" w:sz="4" w:space="0" w:color="auto"/>
            </w:tcBorders>
            <w:shd w:val="clear" w:color="000000" w:fill="D9D9D9"/>
            <w:noWrap/>
            <w:vAlign w:val="center"/>
            <w:hideMark/>
          </w:tcPr>
          <w:p w14:paraId="06B6C837" w14:textId="77777777" w:rsidR="00B322B7" w:rsidRPr="00B322B7" w:rsidRDefault="00B322B7" w:rsidP="005E2E4F">
            <w:pPr>
              <w:jc w:val="center"/>
              <w:rPr>
                <w:b/>
                <w:bCs/>
                <w:color w:val="000000"/>
                <w:sz w:val="22"/>
                <w:szCs w:val="22"/>
              </w:rPr>
            </w:pPr>
            <w:r w:rsidRPr="00B322B7">
              <w:rPr>
                <w:b/>
                <w:bCs/>
                <w:color w:val="000000"/>
                <w:sz w:val="22"/>
                <w:szCs w:val="22"/>
              </w:rPr>
              <w:t>Hook &amp; line</w:t>
            </w:r>
          </w:p>
        </w:tc>
        <w:tc>
          <w:tcPr>
            <w:tcW w:w="1080" w:type="dxa"/>
            <w:tcBorders>
              <w:top w:val="nil"/>
              <w:left w:val="nil"/>
              <w:bottom w:val="single" w:sz="4" w:space="0" w:color="auto"/>
              <w:right w:val="single" w:sz="4" w:space="0" w:color="auto"/>
            </w:tcBorders>
            <w:shd w:val="clear" w:color="000000" w:fill="D9D9D9"/>
            <w:noWrap/>
            <w:vAlign w:val="center"/>
            <w:hideMark/>
          </w:tcPr>
          <w:p w14:paraId="2D2B8D18" w14:textId="77777777" w:rsidR="00B322B7" w:rsidRPr="00B322B7" w:rsidRDefault="00B322B7" w:rsidP="005E2E4F">
            <w:pPr>
              <w:jc w:val="center"/>
              <w:rPr>
                <w:b/>
                <w:bCs/>
                <w:color w:val="000000"/>
                <w:sz w:val="22"/>
                <w:szCs w:val="22"/>
              </w:rPr>
            </w:pPr>
            <w:r w:rsidRPr="00B322B7">
              <w:rPr>
                <w:b/>
                <w:bCs/>
                <w:color w:val="000000"/>
                <w:sz w:val="22"/>
                <w:szCs w:val="22"/>
              </w:rPr>
              <w:t>Rod &amp; reel</w:t>
            </w:r>
          </w:p>
        </w:tc>
        <w:tc>
          <w:tcPr>
            <w:tcW w:w="990" w:type="dxa"/>
            <w:tcBorders>
              <w:top w:val="nil"/>
              <w:left w:val="nil"/>
              <w:bottom w:val="single" w:sz="4" w:space="0" w:color="auto"/>
              <w:right w:val="single" w:sz="4" w:space="0" w:color="auto"/>
            </w:tcBorders>
            <w:shd w:val="clear" w:color="000000" w:fill="D9D9D9"/>
            <w:noWrap/>
            <w:vAlign w:val="center"/>
            <w:hideMark/>
          </w:tcPr>
          <w:p w14:paraId="7AD0A483" w14:textId="77777777" w:rsidR="00B322B7" w:rsidRPr="00B322B7" w:rsidRDefault="00B322B7" w:rsidP="005E2E4F">
            <w:pPr>
              <w:jc w:val="center"/>
              <w:rPr>
                <w:b/>
                <w:bCs/>
                <w:color w:val="000000"/>
                <w:sz w:val="22"/>
                <w:szCs w:val="22"/>
              </w:rPr>
            </w:pPr>
            <w:r w:rsidRPr="00B322B7">
              <w:rPr>
                <w:b/>
                <w:bCs/>
                <w:color w:val="000000"/>
                <w:sz w:val="22"/>
                <w:szCs w:val="22"/>
              </w:rPr>
              <w:t>Traps &amp; pots</w:t>
            </w:r>
          </w:p>
        </w:tc>
        <w:tc>
          <w:tcPr>
            <w:tcW w:w="990" w:type="dxa"/>
            <w:tcBorders>
              <w:top w:val="nil"/>
              <w:left w:val="nil"/>
              <w:bottom w:val="single" w:sz="4" w:space="0" w:color="auto"/>
              <w:right w:val="single" w:sz="4" w:space="0" w:color="auto"/>
            </w:tcBorders>
            <w:shd w:val="clear" w:color="000000" w:fill="D9D9D9"/>
            <w:noWrap/>
            <w:vAlign w:val="center"/>
            <w:hideMark/>
          </w:tcPr>
          <w:p w14:paraId="31442AC7" w14:textId="77777777" w:rsidR="00B322B7" w:rsidRPr="00B322B7" w:rsidRDefault="00B322B7" w:rsidP="005E2E4F">
            <w:pPr>
              <w:jc w:val="center"/>
              <w:rPr>
                <w:b/>
                <w:bCs/>
                <w:color w:val="000000"/>
                <w:sz w:val="22"/>
                <w:szCs w:val="22"/>
              </w:rPr>
            </w:pPr>
            <w:r w:rsidRPr="00B322B7">
              <w:rPr>
                <w:b/>
                <w:bCs/>
                <w:color w:val="000000"/>
                <w:sz w:val="22"/>
                <w:szCs w:val="22"/>
              </w:rPr>
              <w:t>Troll lines</w:t>
            </w:r>
          </w:p>
        </w:tc>
        <w:tc>
          <w:tcPr>
            <w:tcW w:w="990" w:type="dxa"/>
            <w:tcBorders>
              <w:top w:val="nil"/>
              <w:left w:val="nil"/>
              <w:bottom w:val="single" w:sz="4" w:space="0" w:color="auto"/>
              <w:right w:val="single" w:sz="4" w:space="0" w:color="auto"/>
            </w:tcBorders>
            <w:shd w:val="clear" w:color="000000" w:fill="D9D9D9"/>
            <w:noWrap/>
            <w:vAlign w:val="center"/>
            <w:hideMark/>
          </w:tcPr>
          <w:p w14:paraId="1F29F16E" w14:textId="77777777" w:rsidR="00B322B7" w:rsidRPr="00B322B7" w:rsidRDefault="00B322B7" w:rsidP="005E2E4F">
            <w:pPr>
              <w:jc w:val="center"/>
              <w:rPr>
                <w:b/>
                <w:bCs/>
                <w:color w:val="000000"/>
                <w:sz w:val="22"/>
                <w:szCs w:val="22"/>
              </w:rPr>
            </w:pPr>
            <w:r w:rsidRPr="00B322B7">
              <w:rPr>
                <w:b/>
                <w:bCs/>
                <w:color w:val="000000"/>
                <w:sz w:val="22"/>
                <w:szCs w:val="22"/>
              </w:rPr>
              <w:t>Other gears</w:t>
            </w:r>
          </w:p>
        </w:tc>
        <w:tc>
          <w:tcPr>
            <w:tcW w:w="1098" w:type="dxa"/>
            <w:tcBorders>
              <w:top w:val="nil"/>
              <w:left w:val="nil"/>
              <w:bottom w:val="single" w:sz="4" w:space="0" w:color="auto"/>
              <w:right w:val="single" w:sz="4" w:space="0" w:color="auto"/>
            </w:tcBorders>
            <w:shd w:val="clear" w:color="000000" w:fill="D9D9D9"/>
            <w:noWrap/>
            <w:vAlign w:val="center"/>
            <w:hideMark/>
          </w:tcPr>
          <w:p w14:paraId="271FDA56" w14:textId="77777777" w:rsidR="00B322B7" w:rsidRPr="00B322B7" w:rsidRDefault="00B322B7" w:rsidP="005E2E4F">
            <w:pPr>
              <w:jc w:val="center"/>
              <w:rPr>
                <w:b/>
                <w:bCs/>
                <w:color w:val="000000"/>
                <w:sz w:val="22"/>
                <w:szCs w:val="22"/>
              </w:rPr>
            </w:pPr>
            <w:r w:rsidRPr="00B322B7">
              <w:rPr>
                <w:b/>
                <w:bCs/>
                <w:color w:val="000000"/>
                <w:sz w:val="22"/>
                <w:szCs w:val="22"/>
              </w:rPr>
              <w:t>All</w:t>
            </w:r>
          </w:p>
        </w:tc>
      </w:tr>
      <w:tr w:rsidR="00B322B7" w:rsidRPr="00B322B7" w14:paraId="340A0735" w14:textId="77777777" w:rsidTr="005E2E4F">
        <w:trPr>
          <w:trHeight w:val="302"/>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232D3B30" w14:textId="77777777" w:rsidR="00B322B7" w:rsidRPr="00B322B7" w:rsidRDefault="00B322B7" w:rsidP="005E2E4F">
            <w:pPr>
              <w:jc w:val="center"/>
              <w:rPr>
                <w:b/>
                <w:bCs/>
                <w:color w:val="000000"/>
                <w:sz w:val="22"/>
                <w:szCs w:val="22"/>
              </w:rPr>
            </w:pPr>
            <w:r w:rsidRPr="00B322B7">
              <w:rPr>
                <w:b/>
                <w:bCs/>
                <w:color w:val="000000"/>
                <w:sz w:val="22"/>
                <w:szCs w:val="22"/>
              </w:rPr>
              <w:t>2011</w:t>
            </w:r>
          </w:p>
        </w:tc>
        <w:tc>
          <w:tcPr>
            <w:tcW w:w="1039" w:type="dxa"/>
            <w:tcBorders>
              <w:top w:val="nil"/>
              <w:left w:val="nil"/>
              <w:bottom w:val="single" w:sz="4" w:space="0" w:color="auto"/>
              <w:right w:val="single" w:sz="4" w:space="0" w:color="auto"/>
            </w:tcBorders>
            <w:shd w:val="clear" w:color="auto" w:fill="auto"/>
            <w:noWrap/>
            <w:vAlign w:val="bottom"/>
            <w:hideMark/>
          </w:tcPr>
          <w:p w14:paraId="19446AB2" w14:textId="77777777" w:rsidR="00B322B7" w:rsidRPr="00B322B7" w:rsidRDefault="00B322B7" w:rsidP="005E2E4F">
            <w:pPr>
              <w:jc w:val="center"/>
              <w:rPr>
                <w:color w:val="000000"/>
                <w:sz w:val="22"/>
                <w:szCs w:val="22"/>
              </w:rPr>
            </w:pPr>
            <w:r w:rsidRPr="00B322B7">
              <w:rPr>
                <w:color w:val="000000"/>
                <w:sz w:val="22"/>
                <w:szCs w:val="22"/>
              </w:rPr>
              <w:t>40</w:t>
            </w:r>
          </w:p>
        </w:tc>
        <w:tc>
          <w:tcPr>
            <w:tcW w:w="1122" w:type="dxa"/>
            <w:tcBorders>
              <w:top w:val="nil"/>
              <w:left w:val="nil"/>
              <w:bottom w:val="single" w:sz="4" w:space="0" w:color="auto"/>
              <w:right w:val="single" w:sz="4" w:space="0" w:color="auto"/>
            </w:tcBorders>
            <w:shd w:val="clear" w:color="auto" w:fill="auto"/>
            <w:noWrap/>
            <w:vAlign w:val="bottom"/>
            <w:hideMark/>
          </w:tcPr>
          <w:p w14:paraId="70BDE25D" w14:textId="77777777" w:rsidR="00B322B7" w:rsidRPr="00B322B7" w:rsidRDefault="00B322B7" w:rsidP="005E2E4F">
            <w:pPr>
              <w:jc w:val="center"/>
              <w:rPr>
                <w:color w:val="000000"/>
                <w:sz w:val="22"/>
                <w:szCs w:val="22"/>
              </w:rPr>
            </w:pPr>
            <w:r w:rsidRPr="00B322B7">
              <w:rPr>
                <w:color w:val="000000"/>
                <w:sz w:val="22"/>
                <w:szCs w:val="22"/>
              </w:rPr>
              <w:t>35</w:t>
            </w:r>
          </w:p>
        </w:tc>
        <w:tc>
          <w:tcPr>
            <w:tcW w:w="990" w:type="dxa"/>
            <w:tcBorders>
              <w:top w:val="nil"/>
              <w:left w:val="nil"/>
              <w:bottom w:val="single" w:sz="4" w:space="0" w:color="auto"/>
              <w:right w:val="single" w:sz="4" w:space="0" w:color="auto"/>
            </w:tcBorders>
            <w:shd w:val="clear" w:color="auto" w:fill="auto"/>
            <w:noWrap/>
            <w:vAlign w:val="bottom"/>
            <w:hideMark/>
          </w:tcPr>
          <w:p w14:paraId="3FA1F05D" w14:textId="77777777" w:rsidR="00B322B7" w:rsidRPr="00B322B7" w:rsidRDefault="00B322B7" w:rsidP="005E2E4F">
            <w:pPr>
              <w:jc w:val="center"/>
              <w:rPr>
                <w:color w:val="000000"/>
                <w:sz w:val="22"/>
                <w:szCs w:val="22"/>
              </w:rPr>
            </w:pPr>
            <w:r w:rsidRPr="00B322B7">
              <w:rPr>
                <w:color w:val="000000"/>
                <w:sz w:val="22"/>
                <w:szCs w:val="22"/>
              </w:rPr>
              <w:t>50</w:t>
            </w:r>
          </w:p>
        </w:tc>
        <w:tc>
          <w:tcPr>
            <w:tcW w:w="1080" w:type="dxa"/>
            <w:tcBorders>
              <w:top w:val="nil"/>
              <w:left w:val="nil"/>
              <w:bottom w:val="single" w:sz="4" w:space="0" w:color="auto"/>
              <w:right w:val="single" w:sz="4" w:space="0" w:color="auto"/>
            </w:tcBorders>
            <w:shd w:val="clear" w:color="auto" w:fill="auto"/>
            <w:noWrap/>
            <w:vAlign w:val="bottom"/>
            <w:hideMark/>
          </w:tcPr>
          <w:p w14:paraId="428EECE3" w14:textId="77777777" w:rsidR="00B322B7" w:rsidRPr="00B322B7" w:rsidRDefault="00B322B7" w:rsidP="005E2E4F">
            <w:pPr>
              <w:jc w:val="center"/>
              <w:rPr>
                <w:color w:val="000000"/>
                <w:sz w:val="22"/>
                <w:szCs w:val="22"/>
              </w:rPr>
            </w:pPr>
            <w:r w:rsidRPr="00B322B7">
              <w:rPr>
                <w:color w:val="000000"/>
                <w:sz w:val="22"/>
                <w:szCs w:val="22"/>
              </w:rPr>
              <w:t>32</w:t>
            </w:r>
          </w:p>
        </w:tc>
        <w:tc>
          <w:tcPr>
            <w:tcW w:w="990" w:type="dxa"/>
            <w:tcBorders>
              <w:top w:val="nil"/>
              <w:left w:val="nil"/>
              <w:bottom w:val="single" w:sz="4" w:space="0" w:color="auto"/>
              <w:right w:val="single" w:sz="4" w:space="0" w:color="auto"/>
            </w:tcBorders>
            <w:shd w:val="clear" w:color="auto" w:fill="auto"/>
            <w:noWrap/>
            <w:vAlign w:val="bottom"/>
            <w:hideMark/>
          </w:tcPr>
          <w:p w14:paraId="002296C9" w14:textId="77777777" w:rsidR="00B322B7" w:rsidRPr="00B322B7" w:rsidRDefault="00B322B7" w:rsidP="005E2E4F">
            <w:pPr>
              <w:jc w:val="center"/>
              <w:rPr>
                <w:color w:val="000000"/>
                <w:sz w:val="22"/>
                <w:szCs w:val="22"/>
              </w:rPr>
            </w:pPr>
            <w:r w:rsidRPr="00B322B7">
              <w:rPr>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49FF5A16" w14:textId="77777777" w:rsidR="00B322B7" w:rsidRPr="00B322B7" w:rsidRDefault="00B322B7" w:rsidP="005E2E4F">
            <w:pPr>
              <w:jc w:val="center"/>
              <w:rPr>
                <w:color w:val="000000"/>
                <w:sz w:val="22"/>
                <w:szCs w:val="22"/>
              </w:rPr>
            </w:pPr>
            <w:r w:rsidRPr="00B322B7">
              <w:rPr>
                <w:color w:val="000000"/>
                <w:sz w:val="22"/>
                <w:szCs w:val="22"/>
              </w:rPr>
              <w:t>21</w:t>
            </w:r>
          </w:p>
        </w:tc>
        <w:tc>
          <w:tcPr>
            <w:tcW w:w="990" w:type="dxa"/>
            <w:tcBorders>
              <w:top w:val="nil"/>
              <w:left w:val="nil"/>
              <w:bottom w:val="single" w:sz="4" w:space="0" w:color="auto"/>
              <w:right w:val="single" w:sz="4" w:space="0" w:color="auto"/>
            </w:tcBorders>
            <w:shd w:val="clear" w:color="auto" w:fill="auto"/>
            <w:noWrap/>
            <w:vAlign w:val="bottom"/>
            <w:hideMark/>
          </w:tcPr>
          <w:p w14:paraId="642FD941" w14:textId="77777777" w:rsidR="00B322B7" w:rsidRPr="00B322B7" w:rsidRDefault="00B322B7" w:rsidP="005E2E4F">
            <w:pPr>
              <w:jc w:val="center"/>
              <w:rPr>
                <w:color w:val="000000"/>
                <w:sz w:val="22"/>
                <w:szCs w:val="22"/>
              </w:rPr>
            </w:pPr>
            <w:r w:rsidRPr="00B322B7">
              <w:rPr>
                <w:color w:val="000000"/>
                <w:sz w:val="22"/>
                <w:szCs w:val="22"/>
              </w:rPr>
              <w:t>44</w:t>
            </w:r>
          </w:p>
        </w:tc>
        <w:tc>
          <w:tcPr>
            <w:tcW w:w="1098" w:type="dxa"/>
            <w:tcBorders>
              <w:top w:val="nil"/>
              <w:left w:val="nil"/>
              <w:bottom w:val="single" w:sz="4" w:space="0" w:color="auto"/>
              <w:right w:val="single" w:sz="4" w:space="0" w:color="auto"/>
            </w:tcBorders>
            <w:shd w:val="clear" w:color="auto" w:fill="auto"/>
            <w:noWrap/>
            <w:vAlign w:val="bottom"/>
            <w:hideMark/>
          </w:tcPr>
          <w:p w14:paraId="1AAE83FB" w14:textId="77777777" w:rsidR="00B322B7" w:rsidRPr="00B322B7" w:rsidRDefault="00B322B7" w:rsidP="005E2E4F">
            <w:pPr>
              <w:jc w:val="center"/>
              <w:rPr>
                <w:color w:val="000000"/>
                <w:sz w:val="22"/>
                <w:szCs w:val="22"/>
              </w:rPr>
            </w:pPr>
            <w:r w:rsidRPr="00B322B7">
              <w:rPr>
                <w:color w:val="000000"/>
                <w:sz w:val="22"/>
                <w:szCs w:val="22"/>
              </w:rPr>
              <w:t>36</w:t>
            </w:r>
          </w:p>
        </w:tc>
      </w:tr>
      <w:tr w:rsidR="00B322B7" w:rsidRPr="00B322B7" w14:paraId="7F9633BC" w14:textId="77777777" w:rsidTr="005E2E4F">
        <w:trPr>
          <w:trHeight w:val="302"/>
        </w:trPr>
        <w:tc>
          <w:tcPr>
            <w:tcW w:w="1184" w:type="dxa"/>
            <w:tcBorders>
              <w:top w:val="nil"/>
              <w:left w:val="single" w:sz="4" w:space="0" w:color="auto"/>
              <w:bottom w:val="single" w:sz="4" w:space="0" w:color="auto"/>
              <w:right w:val="single" w:sz="4" w:space="0" w:color="auto"/>
            </w:tcBorders>
            <w:shd w:val="clear" w:color="000000" w:fill="F2F2F2"/>
            <w:noWrap/>
            <w:vAlign w:val="bottom"/>
            <w:hideMark/>
          </w:tcPr>
          <w:p w14:paraId="7FC3399E" w14:textId="77777777" w:rsidR="00B322B7" w:rsidRPr="00B322B7" w:rsidRDefault="00B322B7" w:rsidP="005E2E4F">
            <w:pPr>
              <w:jc w:val="center"/>
              <w:rPr>
                <w:b/>
                <w:bCs/>
                <w:color w:val="000000"/>
                <w:sz w:val="22"/>
                <w:szCs w:val="22"/>
              </w:rPr>
            </w:pPr>
            <w:r w:rsidRPr="00B322B7">
              <w:rPr>
                <w:b/>
                <w:bCs/>
                <w:color w:val="000000"/>
                <w:sz w:val="22"/>
                <w:szCs w:val="22"/>
              </w:rPr>
              <w:t>2012</w:t>
            </w:r>
          </w:p>
        </w:tc>
        <w:tc>
          <w:tcPr>
            <w:tcW w:w="1039" w:type="dxa"/>
            <w:tcBorders>
              <w:top w:val="nil"/>
              <w:left w:val="nil"/>
              <w:bottom w:val="single" w:sz="4" w:space="0" w:color="auto"/>
              <w:right w:val="single" w:sz="4" w:space="0" w:color="auto"/>
            </w:tcBorders>
            <w:shd w:val="clear" w:color="000000" w:fill="F2F2F2"/>
            <w:noWrap/>
            <w:vAlign w:val="bottom"/>
            <w:hideMark/>
          </w:tcPr>
          <w:p w14:paraId="7F865988" w14:textId="77777777" w:rsidR="00B322B7" w:rsidRPr="00B322B7" w:rsidRDefault="00B322B7" w:rsidP="005E2E4F">
            <w:pPr>
              <w:jc w:val="center"/>
              <w:rPr>
                <w:color w:val="000000"/>
                <w:sz w:val="22"/>
                <w:szCs w:val="22"/>
              </w:rPr>
            </w:pPr>
            <w:r w:rsidRPr="00B322B7">
              <w:rPr>
                <w:color w:val="000000"/>
                <w:sz w:val="22"/>
                <w:szCs w:val="22"/>
              </w:rPr>
              <w:t>85</w:t>
            </w:r>
          </w:p>
        </w:tc>
        <w:tc>
          <w:tcPr>
            <w:tcW w:w="1122" w:type="dxa"/>
            <w:tcBorders>
              <w:top w:val="nil"/>
              <w:left w:val="nil"/>
              <w:bottom w:val="single" w:sz="4" w:space="0" w:color="auto"/>
              <w:right w:val="single" w:sz="4" w:space="0" w:color="auto"/>
            </w:tcBorders>
            <w:shd w:val="clear" w:color="000000" w:fill="F2F2F2"/>
            <w:noWrap/>
            <w:vAlign w:val="bottom"/>
            <w:hideMark/>
          </w:tcPr>
          <w:p w14:paraId="6025AF6A" w14:textId="77777777" w:rsidR="00B322B7" w:rsidRPr="00B322B7" w:rsidRDefault="00B322B7" w:rsidP="005E2E4F">
            <w:pPr>
              <w:jc w:val="center"/>
              <w:rPr>
                <w:color w:val="000000"/>
                <w:sz w:val="22"/>
                <w:szCs w:val="22"/>
              </w:rPr>
            </w:pPr>
            <w:r w:rsidRPr="00B322B7">
              <w:rPr>
                <w:color w:val="000000"/>
                <w:sz w:val="22"/>
                <w:szCs w:val="22"/>
              </w:rPr>
              <w:t>43</w:t>
            </w:r>
          </w:p>
        </w:tc>
        <w:tc>
          <w:tcPr>
            <w:tcW w:w="990" w:type="dxa"/>
            <w:tcBorders>
              <w:top w:val="nil"/>
              <w:left w:val="nil"/>
              <w:bottom w:val="single" w:sz="4" w:space="0" w:color="auto"/>
              <w:right w:val="single" w:sz="4" w:space="0" w:color="auto"/>
            </w:tcBorders>
            <w:shd w:val="clear" w:color="000000" w:fill="F2F2F2"/>
            <w:noWrap/>
            <w:vAlign w:val="bottom"/>
            <w:hideMark/>
          </w:tcPr>
          <w:p w14:paraId="20C75CD6" w14:textId="77777777" w:rsidR="00B322B7" w:rsidRPr="00B322B7" w:rsidRDefault="00B322B7" w:rsidP="005E2E4F">
            <w:pPr>
              <w:jc w:val="center"/>
              <w:rPr>
                <w:color w:val="000000"/>
                <w:sz w:val="22"/>
                <w:szCs w:val="22"/>
              </w:rPr>
            </w:pPr>
            <w:r w:rsidRPr="00B322B7">
              <w:rPr>
                <w:color w:val="000000"/>
                <w:sz w:val="22"/>
                <w:szCs w:val="22"/>
              </w:rPr>
              <w:t>61</w:t>
            </w:r>
          </w:p>
        </w:tc>
        <w:tc>
          <w:tcPr>
            <w:tcW w:w="1080" w:type="dxa"/>
            <w:tcBorders>
              <w:top w:val="nil"/>
              <w:left w:val="nil"/>
              <w:bottom w:val="single" w:sz="4" w:space="0" w:color="auto"/>
              <w:right w:val="single" w:sz="4" w:space="0" w:color="auto"/>
            </w:tcBorders>
            <w:shd w:val="clear" w:color="000000" w:fill="F2F2F2"/>
            <w:noWrap/>
            <w:vAlign w:val="bottom"/>
            <w:hideMark/>
          </w:tcPr>
          <w:p w14:paraId="1B4143BA" w14:textId="77777777" w:rsidR="00B322B7" w:rsidRPr="00B322B7" w:rsidRDefault="00B322B7" w:rsidP="005E2E4F">
            <w:pPr>
              <w:jc w:val="center"/>
              <w:rPr>
                <w:color w:val="000000"/>
                <w:sz w:val="22"/>
                <w:szCs w:val="22"/>
              </w:rPr>
            </w:pPr>
            <w:r w:rsidRPr="00B322B7">
              <w:rPr>
                <w:color w:val="000000"/>
                <w:sz w:val="22"/>
                <w:szCs w:val="22"/>
              </w:rPr>
              <w:t>40</w:t>
            </w:r>
          </w:p>
        </w:tc>
        <w:tc>
          <w:tcPr>
            <w:tcW w:w="990" w:type="dxa"/>
            <w:tcBorders>
              <w:top w:val="nil"/>
              <w:left w:val="nil"/>
              <w:bottom w:val="single" w:sz="4" w:space="0" w:color="auto"/>
              <w:right w:val="single" w:sz="4" w:space="0" w:color="auto"/>
            </w:tcBorders>
            <w:shd w:val="clear" w:color="000000" w:fill="F2F2F2"/>
            <w:noWrap/>
            <w:vAlign w:val="bottom"/>
            <w:hideMark/>
          </w:tcPr>
          <w:p w14:paraId="31D00313" w14:textId="77777777" w:rsidR="00B322B7" w:rsidRPr="00B322B7" w:rsidRDefault="00B322B7" w:rsidP="005E2E4F">
            <w:pPr>
              <w:jc w:val="center"/>
              <w:rPr>
                <w:color w:val="000000"/>
                <w:sz w:val="22"/>
                <w:szCs w:val="22"/>
              </w:rPr>
            </w:pPr>
            <w:r w:rsidRPr="00B322B7">
              <w:rPr>
                <w:color w:val="000000"/>
                <w:sz w:val="22"/>
                <w:szCs w:val="22"/>
              </w:rPr>
              <w:t> </w:t>
            </w:r>
          </w:p>
        </w:tc>
        <w:tc>
          <w:tcPr>
            <w:tcW w:w="990" w:type="dxa"/>
            <w:tcBorders>
              <w:top w:val="nil"/>
              <w:left w:val="nil"/>
              <w:bottom w:val="single" w:sz="4" w:space="0" w:color="auto"/>
              <w:right w:val="single" w:sz="4" w:space="0" w:color="auto"/>
            </w:tcBorders>
            <w:shd w:val="clear" w:color="000000" w:fill="F2F2F2"/>
            <w:noWrap/>
            <w:vAlign w:val="bottom"/>
            <w:hideMark/>
          </w:tcPr>
          <w:p w14:paraId="1412B4D7" w14:textId="77777777" w:rsidR="00B322B7" w:rsidRPr="00B322B7" w:rsidRDefault="00B322B7" w:rsidP="005E2E4F">
            <w:pPr>
              <w:jc w:val="center"/>
              <w:rPr>
                <w:color w:val="000000"/>
                <w:sz w:val="22"/>
                <w:szCs w:val="22"/>
              </w:rPr>
            </w:pPr>
            <w:r w:rsidRPr="00B322B7">
              <w:rPr>
                <w:color w:val="000000"/>
                <w:sz w:val="22"/>
                <w:szCs w:val="22"/>
              </w:rPr>
              <w:t>23</w:t>
            </w:r>
          </w:p>
        </w:tc>
        <w:tc>
          <w:tcPr>
            <w:tcW w:w="990" w:type="dxa"/>
            <w:tcBorders>
              <w:top w:val="nil"/>
              <w:left w:val="nil"/>
              <w:bottom w:val="single" w:sz="4" w:space="0" w:color="auto"/>
              <w:right w:val="single" w:sz="4" w:space="0" w:color="auto"/>
            </w:tcBorders>
            <w:shd w:val="clear" w:color="000000" w:fill="F2F2F2"/>
            <w:noWrap/>
            <w:vAlign w:val="bottom"/>
            <w:hideMark/>
          </w:tcPr>
          <w:p w14:paraId="2CB053C7" w14:textId="77777777" w:rsidR="00B322B7" w:rsidRPr="00B322B7" w:rsidRDefault="00B322B7" w:rsidP="005E2E4F">
            <w:pPr>
              <w:jc w:val="center"/>
              <w:rPr>
                <w:color w:val="000000"/>
                <w:sz w:val="22"/>
                <w:szCs w:val="22"/>
              </w:rPr>
            </w:pPr>
            <w:r w:rsidRPr="00B322B7">
              <w:rPr>
                <w:color w:val="000000"/>
                <w:sz w:val="22"/>
                <w:szCs w:val="22"/>
              </w:rPr>
              <w:t>25</w:t>
            </w:r>
          </w:p>
        </w:tc>
        <w:tc>
          <w:tcPr>
            <w:tcW w:w="1098" w:type="dxa"/>
            <w:tcBorders>
              <w:top w:val="nil"/>
              <w:left w:val="nil"/>
              <w:bottom w:val="single" w:sz="4" w:space="0" w:color="auto"/>
              <w:right w:val="single" w:sz="4" w:space="0" w:color="auto"/>
            </w:tcBorders>
            <w:shd w:val="clear" w:color="000000" w:fill="F2F2F2"/>
            <w:noWrap/>
            <w:vAlign w:val="bottom"/>
            <w:hideMark/>
          </w:tcPr>
          <w:p w14:paraId="038AD190" w14:textId="77777777" w:rsidR="00B322B7" w:rsidRPr="00B322B7" w:rsidRDefault="00B322B7" w:rsidP="005E2E4F">
            <w:pPr>
              <w:jc w:val="center"/>
              <w:rPr>
                <w:color w:val="000000"/>
                <w:sz w:val="22"/>
                <w:szCs w:val="22"/>
              </w:rPr>
            </w:pPr>
            <w:r w:rsidRPr="00B322B7">
              <w:rPr>
                <w:color w:val="000000"/>
                <w:sz w:val="22"/>
                <w:szCs w:val="22"/>
              </w:rPr>
              <w:t>44</w:t>
            </w:r>
          </w:p>
        </w:tc>
      </w:tr>
      <w:tr w:rsidR="00B322B7" w:rsidRPr="00B322B7" w14:paraId="26E21483" w14:textId="77777777" w:rsidTr="005E2E4F">
        <w:trPr>
          <w:trHeight w:val="302"/>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404BBCDE" w14:textId="77777777" w:rsidR="00B322B7" w:rsidRPr="00B322B7" w:rsidRDefault="00B322B7" w:rsidP="005E2E4F">
            <w:pPr>
              <w:jc w:val="center"/>
              <w:rPr>
                <w:b/>
                <w:bCs/>
                <w:color w:val="000000"/>
                <w:sz w:val="22"/>
                <w:szCs w:val="22"/>
              </w:rPr>
            </w:pPr>
            <w:r w:rsidRPr="00B322B7">
              <w:rPr>
                <w:b/>
                <w:bCs/>
                <w:color w:val="000000"/>
                <w:sz w:val="22"/>
                <w:szCs w:val="22"/>
              </w:rPr>
              <w:t>2013</w:t>
            </w:r>
          </w:p>
        </w:tc>
        <w:tc>
          <w:tcPr>
            <w:tcW w:w="1039" w:type="dxa"/>
            <w:tcBorders>
              <w:top w:val="nil"/>
              <w:left w:val="nil"/>
              <w:bottom w:val="single" w:sz="4" w:space="0" w:color="auto"/>
              <w:right w:val="single" w:sz="4" w:space="0" w:color="auto"/>
            </w:tcBorders>
            <w:shd w:val="clear" w:color="auto" w:fill="auto"/>
            <w:noWrap/>
            <w:vAlign w:val="bottom"/>
            <w:hideMark/>
          </w:tcPr>
          <w:p w14:paraId="34995702" w14:textId="77777777" w:rsidR="00B322B7" w:rsidRPr="00B322B7" w:rsidRDefault="00B322B7" w:rsidP="005E2E4F">
            <w:pPr>
              <w:jc w:val="center"/>
              <w:rPr>
                <w:color w:val="000000"/>
                <w:sz w:val="22"/>
                <w:szCs w:val="22"/>
              </w:rPr>
            </w:pPr>
            <w:r w:rsidRPr="00B322B7">
              <w:rPr>
                <w:color w:val="000000"/>
                <w:sz w:val="22"/>
                <w:szCs w:val="22"/>
              </w:rPr>
              <w:t>46</w:t>
            </w:r>
          </w:p>
        </w:tc>
        <w:tc>
          <w:tcPr>
            <w:tcW w:w="1122" w:type="dxa"/>
            <w:tcBorders>
              <w:top w:val="nil"/>
              <w:left w:val="nil"/>
              <w:bottom w:val="single" w:sz="4" w:space="0" w:color="auto"/>
              <w:right w:val="single" w:sz="4" w:space="0" w:color="auto"/>
            </w:tcBorders>
            <w:shd w:val="clear" w:color="auto" w:fill="auto"/>
            <w:noWrap/>
            <w:vAlign w:val="bottom"/>
            <w:hideMark/>
          </w:tcPr>
          <w:p w14:paraId="79ABB0B4" w14:textId="77777777" w:rsidR="00B322B7" w:rsidRPr="00B322B7" w:rsidRDefault="00B322B7" w:rsidP="005E2E4F">
            <w:pPr>
              <w:jc w:val="center"/>
              <w:rPr>
                <w:color w:val="000000"/>
                <w:sz w:val="22"/>
                <w:szCs w:val="22"/>
              </w:rPr>
            </w:pPr>
            <w:r w:rsidRPr="00B322B7">
              <w:rPr>
                <w:color w:val="000000"/>
                <w:sz w:val="22"/>
                <w:szCs w:val="22"/>
              </w:rPr>
              <w:t>31</w:t>
            </w:r>
          </w:p>
        </w:tc>
        <w:tc>
          <w:tcPr>
            <w:tcW w:w="990" w:type="dxa"/>
            <w:tcBorders>
              <w:top w:val="nil"/>
              <w:left w:val="nil"/>
              <w:bottom w:val="single" w:sz="4" w:space="0" w:color="auto"/>
              <w:right w:val="single" w:sz="4" w:space="0" w:color="auto"/>
            </w:tcBorders>
            <w:shd w:val="clear" w:color="auto" w:fill="auto"/>
            <w:noWrap/>
            <w:vAlign w:val="bottom"/>
            <w:hideMark/>
          </w:tcPr>
          <w:p w14:paraId="4AA6E672" w14:textId="77777777" w:rsidR="00B322B7" w:rsidRPr="00B322B7" w:rsidRDefault="00B322B7" w:rsidP="005E2E4F">
            <w:pPr>
              <w:jc w:val="center"/>
              <w:rPr>
                <w:color w:val="000000"/>
                <w:sz w:val="22"/>
                <w:szCs w:val="22"/>
              </w:rPr>
            </w:pPr>
            <w:r w:rsidRPr="00B322B7">
              <w:rPr>
                <w:color w:val="000000"/>
                <w:sz w:val="22"/>
                <w:szCs w:val="22"/>
              </w:rPr>
              <w:t>55</w:t>
            </w:r>
          </w:p>
        </w:tc>
        <w:tc>
          <w:tcPr>
            <w:tcW w:w="1080" w:type="dxa"/>
            <w:tcBorders>
              <w:top w:val="nil"/>
              <w:left w:val="nil"/>
              <w:bottom w:val="single" w:sz="4" w:space="0" w:color="auto"/>
              <w:right w:val="single" w:sz="4" w:space="0" w:color="auto"/>
            </w:tcBorders>
            <w:shd w:val="clear" w:color="auto" w:fill="auto"/>
            <w:noWrap/>
            <w:vAlign w:val="bottom"/>
            <w:hideMark/>
          </w:tcPr>
          <w:p w14:paraId="7FE38365" w14:textId="77777777" w:rsidR="00B322B7" w:rsidRPr="00B322B7" w:rsidRDefault="00B322B7" w:rsidP="005E2E4F">
            <w:pPr>
              <w:jc w:val="center"/>
              <w:rPr>
                <w:color w:val="000000"/>
                <w:sz w:val="22"/>
                <w:szCs w:val="22"/>
              </w:rPr>
            </w:pPr>
            <w:r w:rsidRPr="00B322B7">
              <w:rPr>
                <w:color w:val="000000"/>
                <w:sz w:val="22"/>
                <w:szCs w:val="22"/>
              </w:rPr>
              <w:t>39</w:t>
            </w:r>
          </w:p>
        </w:tc>
        <w:tc>
          <w:tcPr>
            <w:tcW w:w="990" w:type="dxa"/>
            <w:tcBorders>
              <w:top w:val="nil"/>
              <w:left w:val="nil"/>
              <w:bottom w:val="single" w:sz="4" w:space="0" w:color="auto"/>
              <w:right w:val="single" w:sz="4" w:space="0" w:color="auto"/>
            </w:tcBorders>
            <w:shd w:val="clear" w:color="auto" w:fill="auto"/>
            <w:noWrap/>
            <w:vAlign w:val="bottom"/>
            <w:hideMark/>
          </w:tcPr>
          <w:p w14:paraId="5634ADAE" w14:textId="77777777" w:rsidR="00B322B7" w:rsidRPr="00B322B7" w:rsidRDefault="00B322B7" w:rsidP="005E2E4F">
            <w:pPr>
              <w:jc w:val="center"/>
              <w:rPr>
                <w:color w:val="000000"/>
                <w:sz w:val="22"/>
                <w:szCs w:val="22"/>
              </w:rPr>
            </w:pPr>
            <w:r w:rsidRPr="00B322B7">
              <w:rPr>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3DF7CCF2" w14:textId="77777777" w:rsidR="00B322B7" w:rsidRPr="00B322B7" w:rsidRDefault="00B322B7" w:rsidP="005E2E4F">
            <w:pPr>
              <w:jc w:val="center"/>
              <w:rPr>
                <w:color w:val="000000"/>
                <w:sz w:val="22"/>
                <w:szCs w:val="22"/>
              </w:rPr>
            </w:pPr>
            <w:r w:rsidRPr="00B322B7">
              <w:rPr>
                <w:color w:val="000000"/>
                <w:sz w:val="22"/>
                <w:szCs w:val="22"/>
              </w:rPr>
              <w:t>37</w:t>
            </w:r>
          </w:p>
        </w:tc>
        <w:tc>
          <w:tcPr>
            <w:tcW w:w="990" w:type="dxa"/>
            <w:tcBorders>
              <w:top w:val="nil"/>
              <w:left w:val="nil"/>
              <w:bottom w:val="single" w:sz="4" w:space="0" w:color="auto"/>
              <w:right w:val="single" w:sz="4" w:space="0" w:color="auto"/>
            </w:tcBorders>
            <w:shd w:val="clear" w:color="auto" w:fill="auto"/>
            <w:noWrap/>
            <w:vAlign w:val="bottom"/>
            <w:hideMark/>
          </w:tcPr>
          <w:p w14:paraId="667E267F" w14:textId="77777777" w:rsidR="00B322B7" w:rsidRPr="00B322B7" w:rsidRDefault="00B322B7" w:rsidP="005E2E4F">
            <w:pPr>
              <w:jc w:val="center"/>
              <w:rPr>
                <w:color w:val="000000"/>
                <w:sz w:val="22"/>
                <w:szCs w:val="22"/>
              </w:rPr>
            </w:pPr>
            <w:r w:rsidRPr="00B322B7">
              <w:rPr>
                <w:color w:val="000000"/>
                <w:sz w:val="22"/>
                <w:szCs w:val="22"/>
              </w:rPr>
              <w:t>22</w:t>
            </w:r>
          </w:p>
        </w:tc>
        <w:tc>
          <w:tcPr>
            <w:tcW w:w="1098" w:type="dxa"/>
            <w:tcBorders>
              <w:top w:val="nil"/>
              <w:left w:val="nil"/>
              <w:bottom w:val="single" w:sz="4" w:space="0" w:color="auto"/>
              <w:right w:val="single" w:sz="4" w:space="0" w:color="auto"/>
            </w:tcBorders>
            <w:shd w:val="clear" w:color="auto" w:fill="auto"/>
            <w:noWrap/>
            <w:vAlign w:val="bottom"/>
            <w:hideMark/>
          </w:tcPr>
          <w:p w14:paraId="1097B406" w14:textId="77777777" w:rsidR="00B322B7" w:rsidRPr="00B322B7" w:rsidRDefault="00B322B7" w:rsidP="005E2E4F">
            <w:pPr>
              <w:jc w:val="center"/>
              <w:rPr>
                <w:color w:val="000000"/>
                <w:sz w:val="22"/>
                <w:szCs w:val="22"/>
              </w:rPr>
            </w:pPr>
            <w:r w:rsidRPr="00B322B7">
              <w:rPr>
                <w:color w:val="000000"/>
                <w:sz w:val="22"/>
                <w:szCs w:val="22"/>
              </w:rPr>
              <w:t>41</w:t>
            </w:r>
          </w:p>
        </w:tc>
      </w:tr>
      <w:tr w:rsidR="00B322B7" w:rsidRPr="00B322B7" w14:paraId="41AB8EDB" w14:textId="77777777" w:rsidTr="005E2E4F">
        <w:trPr>
          <w:trHeight w:val="302"/>
        </w:trPr>
        <w:tc>
          <w:tcPr>
            <w:tcW w:w="1184" w:type="dxa"/>
            <w:tcBorders>
              <w:top w:val="nil"/>
              <w:left w:val="single" w:sz="4" w:space="0" w:color="auto"/>
              <w:bottom w:val="single" w:sz="4" w:space="0" w:color="auto"/>
              <w:right w:val="single" w:sz="4" w:space="0" w:color="auto"/>
            </w:tcBorders>
            <w:shd w:val="clear" w:color="000000" w:fill="F2F2F2"/>
            <w:noWrap/>
            <w:vAlign w:val="bottom"/>
            <w:hideMark/>
          </w:tcPr>
          <w:p w14:paraId="4A39A042" w14:textId="77777777" w:rsidR="00B322B7" w:rsidRPr="00B322B7" w:rsidRDefault="00B322B7" w:rsidP="005E2E4F">
            <w:pPr>
              <w:jc w:val="center"/>
              <w:rPr>
                <w:b/>
                <w:bCs/>
                <w:color w:val="000000"/>
                <w:sz w:val="22"/>
                <w:szCs w:val="22"/>
              </w:rPr>
            </w:pPr>
            <w:r w:rsidRPr="00B322B7">
              <w:rPr>
                <w:b/>
                <w:bCs/>
                <w:color w:val="000000"/>
                <w:sz w:val="22"/>
                <w:szCs w:val="22"/>
              </w:rPr>
              <w:t>2014</w:t>
            </w:r>
          </w:p>
        </w:tc>
        <w:tc>
          <w:tcPr>
            <w:tcW w:w="1039" w:type="dxa"/>
            <w:tcBorders>
              <w:top w:val="nil"/>
              <w:left w:val="nil"/>
              <w:bottom w:val="single" w:sz="4" w:space="0" w:color="auto"/>
              <w:right w:val="single" w:sz="4" w:space="0" w:color="auto"/>
            </w:tcBorders>
            <w:shd w:val="clear" w:color="000000" w:fill="F2F2F2"/>
            <w:noWrap/>
            <w:vAlign w:val="bottom"/>
            <w:hideMark/>
          </w:tcPr>
          <w:p w14:paraId="1FC5E66F" w14:textId="77777777" w:rsidR="00B322B7" w:rsidRPr="00B322B7" w:rsidRDefault="00B322B7" w:rsidP="005E2E4F">
            <w:pPr>
              <w:jc w:val="center"/>
              <w:rPr>
                <w:color w:val="000000"/>
                <w:sz w:val="22"/>
                <w:szCs w:val="22"/>
              </w:rPr>
            </w:pPr>
            <w:r w:rsidRPr="00B322B7">
              <w:rPr>
                <w:color w:val="000000"/>
                <w:sz w:val="22"/>
                <w:szCs w:val="22"/>
              </w:rPr>
              <w:t>69</w:t>
            </w:r>
          </w:p>
        </w:tc>
        <w:tc>
          <w:tcPr>
            <w:tcW w:w="1122" w:type="dxa"/>
            <w:tcBorders>
              <w:top w:val="nil"/>
              <w:left w:val="nil"/>
              <w:bottom w:val="single" w:sz="4" w:space="0" w:color="auto"/>
              <w:right w:val="single" w:sz="4" w:space="0" w:color="auto"/>
            </w:tcBorders>
            <w:shd w:val="clear" w:color="000000" w:fill="F2F2F2"/>
            <w:noWrap/>
            <w:vAlign w:val="bottom"/>
            <w:hideMark/>
          </w:tcPr>
          <w:p w14:paraId="0625FDBB" w14:textId="77777777" w:rsidR="00B322B7" w:rsidRPr="00B322B7" w:rsidRDefault="00B322B7" w:rsidP="005E2E4F">
            <w:pPr>
              <w:jc w:val="center"/>
              <w:rPr>
                <w:color w:val="000000"/>
                <w:sz w:val="22"/>
                <w:szCs w:val="22"/>
              </w:rPr>
            </w:pPr>
            <w:r w:rsidRPr="00B322B7">
              <w:rPr>
                <w:color w:val="000000"/>
                <w:sz w:val="22"/>
                <w:szCs w:val="22"/>
              </w:rPr>
              <w:t>34</w:t>
            </w:r>
          </w:p>
        </w:tc>
        <w:tc>
          <w:tcPr>
            <w:tcW w:w="990" w:type="dxa"/>
            <w:tcBorders>
              <w:top w:val="nil"/>
              <w:left w:val="nil"/>
              <w:bottom w:val="single" w:sz="4" w:space="0" w:color="auto"/>
              <w:right w:val="single" w:sz="4" w:space="0" w:color="auto"/>
            </w:tcBorders>
            <w:shd w:val="clear" w:color="000000" w:fill="F2F2F2"/>
            <w:noWrap/>
            <w:vAlign w:val="bottom"/>
            <w:hideMark/>
          </w:tcPr>
          <w:p w14:paraId="7A839465" w14:textId="77777777" w:rsidR="00B322B7" w:rsidRPr="00B322B7" w:rsidRDefault="00B322B7" w:rsidP="005E2E4F">
            <w:pPr>
              <w:jc w:val="center"/>
              <w:rPr>
                <w:color w:val="000000"/>
                <w:sz w:val="22"/>
                <w:szCs w:val="22"/>
              </w:rPr>
            </w:pPr>
            <w:r w:rsidRPr="00B322B7">
              <w:rPr>
                <w:color w:val="000000"/>
                <w:sz w:val="22"/>
                <w:szCs w:val="22"/>
              </w:rPr>
              <w:t>49</w:t>
            </w:r>
          </w:p>
        </w:tc>
        <w:tc>
          <w:tcPr>
            <w:tcW w:w="1080" w:type="dxa"/>
            <w:tcBorders>
              <w:top w:val="nil"/>
              <w:left w:val="nil"/>
              <w:bottom w:val="single" w:sz="4" w:space="0" w:color="auto"/>
              <w:right w:val="single" w:sz="4" w:space="0" w:color="auto"/>
            </w:tcBorders>
            <w:shd w:val="clear" w:color="000000" w:fill="F2F2F2"/>
            <w:noWrap/>
            <w:vAlign w:val="bottom"/>
            <w:hideMark/>
          </w:tcPr>
          <w:p w14:paraId="24E0E001" w14:textId="77777777" w:rsidR="00B322B7" w:rsidRPr="00B322B7" w:rsidRDefault="00B322B7" w:rsidP="005E2E4F">
            <w:pPr>
              <w:jc w:val="center"/>
              <w:rPr>
                <w:color w:val="000000"/>
                <w:sz w:val="22"/>
                <w:szCs w:val="22"/>
              </w:rPr>
            </w:pPr>
            <w:r w:rsidRPr="00B322B7">
              <w:rPr>
                <w:color w:val="000000"/>
                <w:sz w:val="22"/>
                <w:szCs w:val="22"/>
              </w:rPr>
              <w:t>30</w:t>
            </w:r>
          </w:p>
        </w:tc>
        <w:tc>
          <w:tcPr>
            <w:tcW w:w="990" w:type="dxa"/>
            <w:tcBorders>
              <w:top w:val="nil"/>
              <w:left w:val="nil"/>
              <w:bottom w:val="single" w:sz="4" w:space="0" w:color="auto"/>
              <w:right w:val="single" w:sz="4" w:space="0" w:color="auto"/>
            </w:tcBorders>
            <w:shd w:val="clear" w:color="000000" w:fill="F2F2F2"/>
            <w:noWrap/>
            <w:vAlign w:val="bottom"/>
            <w:hideMark/>
          </w:tcPr>
          <w:p w14:paraId="61FE3CD6" w14:textId="77777777" w:rsidR="00B322B7" w:rsidRPr="00B322B7" w:rsidRDefault="00B322B7" w:rsidP="005E2E4F">
            <w:pPr>
              <w:jc w:val="center"/>
              <w:rPr>
                <w:color w:val="000000"/>
                <w:sz w:val="22"/>
                <w:szCs w:val="22"/>
              </w:rPr>
            </w:pPr>
            <w:r w:rsidRPr="00B322B7">
              <w:rPr>
                <w:color w:val="000000"/>
                <w:sz w:val="22"/>
                <w:szCs w:val="22"/>
              </w:rPr>
              <w:t>4</w:t>
            </w:r>
          </w:p>
        </w:tc>
        <w:tc>
          <w:tcPr>
            <w:tcW w:w="990" w:type="dxa"/>
            <w:tcBorders>
              <w:top w:val="nil"/>
              <w:left w:val="nil"/>
              <w:bottom w:val="single" w:sz="4" w:space="0" w:color="auto"/>
              <w:right w:val="single" w:sz="4" w:space="0" w:color="auto"/>
            </w:tcBorders>
            <w:shd w:val="clear" w:color="000000" w:fill="F2F2F2"/>
            <w:noWrap/>
            <w:vAlign w:val="bottom"/>
            <w:hideMark/>
          </w:tcPr>
          <w:p w14:paraId="7170B99A" w14:textId="77777777" w:rsidR="00B322B7" w:rsidRPr="00B322B7" w:rsidRDefault="00B322B7" w:rsidP="005E2E4F">
            <w:pPr>
              <w:jc w:val="center"/>
              <w:rPr>
                <w:color w:val="000000"/>
                <w:sz w:val="22"/>
                <w:szCs w:val="22"/>
              </w:rPr>
            </w:pPr>
            <w:r w:rsidRPr="00B322B7">
              <w:rPr>
                <w:color w:val="000000"/>
                <w:sz w:val="22"/>
                <w:szCs w:val="22"/>
              </w:rPr>
              <w:t>19</w:t>
            </w:r>
          </w:p>
        </w:tc>
        <w:tc>
          <w:tcPr>
            <w:tcW w:w="990" w:type="dxa"/>
            <w:tcBorders>
              <w:top w:val="nil"/>
              <w:left w:val="nil"/>
              <w:bottom w:val="single" w:sz="4" w:space="0" w:color="auto"/>
              <w:right w:val="single" w:sz="4" w:space="0" w:color="auto"/>
            </w:tcBorders>
            <w:shd w:val="clear" w:color="000000" w:fill="F2F2F2"/>
            <w:noWrap/>
            <w:vAlign w:val="bottom"/>
            <w:hideMark/>
          </w:tcPr>
          <w:p w14:paraId="0C8D3D50" w14:textId="77777777" w:rsidR="00B322B7" w:rsidRPr="00B322B7" w:rsidRDefault="00B322B7" w:rsidP="005E2E4F">
            <w:pPr>
              <w:jc w:val="center"/>
              <w:rPr>
                <w:color w:val="000000"/>
                <w:sz w:val="22"/>
                <w:szCs w:val="22"/>
              </w:rPr>
            </w:pPr>
            <w:r w:rsidRPr="00B322B7">
              <w:rPr>
                <w:color w:val="000000"/>
                <w:sz w:val="22"/>
                <w:szCs w:val="22"/>
              </w:rPr>
              <w:t>18</w:t>
            </w:r>
          </w:p>
        </w:tc>
        <w:tc>
          <w:tcPr>
            <w:tcW w:w="1098" w:type="dxa"/>
            <w:tcBorders>
              <w:top w:val="nil"/>
              <w:left w:val="nil"/>
              <w:bottom w:val="single" w:sz="4" w:space="0" w:color="auto"/>
              <w:right w:val="single" w:sz="4" w:space="0" w:color="auto"/>
            </w:tcBorders>
            <w:shd w:val="clear" w:color="000000" w:fill="F2F2F2"/>
            <w:noWrap/>
            <w:vAlign w:val="bottom"/>
            <w:hideMark/>
          </w:tcPr>
          <w:p w14:paraId="2175DCFD" w14:textId="77777777" w:rsidR="00B322B7" w:rsidRPr="00B322B7" w:rsidRDefault="00B322B7" w:rsidP="005E2E4F">
            <w:pPr>
              <w:jc w:val="center"/>
              <w:rPr>
                <w:color w:val="000000"/>
                <w:sz w:val="22"/>
                <w:szCs w:val="22"/>
              </w:rPr>
            </w:pPr>
            <w:r w:rsidRPr="00B322B7">
              <w:rPr>
                <w:color w:val="000000"/>
                <w:sz w:val="22"/>
                <w:szCs w:val="22"/>
              </w:rPr>
              <w:t>35</w:t>
            </w:r>
          </w:p>
        </w:tc>
      </w:tr>
      <w:tr w:rsidR="00B322B7" w:rsidRPr="00B322B7" w14:paraId="7E6E5BCB" w14:textId="77777777" w:rsidTr="005E2E4F">
        <w:trPr>
          <w:trHeight w:val="302"/>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6D944332" w14:textId="77777777" w:rsidR="00B322B7" w:rsidRPr="00B322B7" w:rsidRDefault="00B322B7" w:rsidP="005E2E4F">
            <w:pPr>
              <w:jc w:val="center"/>
              <w:rPr>
                <w:b/>
                <w:bCs/>
                <w:color w:val="000000"/>
                <w:sz w:val="22"/>
                <w:szCs w:val="22"/>
              </w:rPr>
            </w:pPr>
            <w:r w:rsidRPr="00B322B7">
              <w:rPr>
                <w:b/>
                <w:bCs/>
                <w:color w:val="000000"/>
                <w:sz w:val="22"/>
                <w:szCs w:val="22"/>
              </w:rPr>
              <w:t>2015</w:t>
            </w:r>
          </w:p>
        </w:tc>
        <w:tc>
          <w:tcPr>
            <w:tcW w:w="1039" w:type="dxa"/>
            <w:tcBorders>
              <w:top w:val="nil"/>
              <w:left w:val="nil"/>
              <w:bottom w:val="single" w:sz="4" w:space="0" w:color="auto"/>
              <w:right w:val="single" w:sz="4" w:space="0" w:color="auto"/>
            </w:tcBorders>
            <w:shd w:val="clear" w:color="auto" w:fill="auto"/>
            <w:noWrap/>
            <w:vAlign w:val="bottom"/>
            <w:hideMark/>
          </w:tcPr>
          <w:p w14:paraId="6BE2B49F" w14:textId="77777777" w:rsidR="00B322B7" w:rsidRPr="00B322B7" w:rsidRDefault="00B322B7" w:rsidP="005E2E4F">
            <w:pPr>
              <w:jc w:val="center"/>
              <w:rPr>
                <w:color w:val="000000"/>
                <w:sz w:val="22"/>
                <w:szCs w:val="22"/>
              </w:rPr>
            </w:pPr>
            <w:r w:rsidRPr="00B322B7">
              <w:rPr>
                <w:color w:val="000000"/>
                <w:sz w:val="22"/>
                <w:szCs w:val="22"/>
              </w:rPr>
              <w:t>39</w:t>
            </w:r>
          </w:p>
        </w:tc>
        <w:tc>
          <w:tcPr>
            <w:tcW w:w="1122" w:type="dxa"/>
            <w:tcBorders>
              <w:top w:val="nil"/>
              <w:left w:val="nil"/>
              <w:bottom w:val="single" w:sz="4" w:space="0" w:color="auto"/>
              <w:right w:val="single" w:sz="4" w:space="0" w:color="auto"/>
            </w:tcBorders>
            <w:shd w:val="clear" w:color="auto" w:fill="auto"/>
            <w:noWrap/>
            <w:vAlign w:val="bottom"/>
            <w:hideMark/>
          </w:tcPr>
          <w:p w14:paraId="7338217C" w14:textId="77777777" w:rsidR="00B322B7" w:rsidRPr="00B322B7" w:rsidRDefault="00B322B7" w:rsidP="005E2E4F">
            <w:pPr>
              <w:jc w:val="center"/>
              <w:rPr>
                <w:color w:val="000000"/>
                <w:sz w:val="22"/>
                <w:szCs w:val="22"/>
              </w:rPr>
            </w:pPr>
            <w:r w:rsidRPr="00B322B7">
              <w:rPr>
                <w:color w:val="000000"/>
                <w:sz w:val="22"/>
                <w:szCs w:val="22"/>
              </w:rPr>
              <w:t>22</w:t>
            </w:r>
          </w:p>
        </w:tc>
        <w:tc>
          <w:tcPr>
            <w:tcW w:w="990" w:type="dxa"/>
            <w:tcBorders>
              <w:top w:val="nil"/>
              <w:left w:val="nil"/>
              <w:bottom w:val="single" w:sz="4" w:space="0" w:color="auto"/>
              <w:right w:val="single" w:sz="4" w:space="0" w:color="auto"/>
            </w:tcBorders>
            <w:shd w:val="clear" w:color="auto" w:fill="auto"/>
            <w:noWrap/>
            <w:vAlign w:val="bottom"/>
            <w:hideMark/>
          </w:tcPr>
          <w:p w14:paraId="4B697746" w14:textId="77777777" w:rsidR="00B322B7" w:rsidRPr="00B322B7" w:rsidRDefault="00B322B7" w:rsidP="005E2E4F">
            <w:pPr>
              <w:jc w:val="center"/>
              <w:rPr>
                <w:color w:val="000000"/>
                <w:sz w:val="22"/>
                <w:szCs w:val="22"/>
              </w:rPr>
            </w:pPr>
            <w:r w:rsidRPr="00B322B7">
              <w:rPr>
                <w:color w:val="000000"/>
                <w:sz w:val="22"/>
                <w:szCs w:val="22"/>
              </w:rPr>
              <w:t>62</w:t>
            </w:r>
          </w:p>
        </w:tc>
        <w:tc>
          <w:tcPr>
            <w:tcW w:w="1080" w:type="dxa"/>
            <w:tcBorders>
              <w:top w:val="nil"/>
              <w:left w:val="nil"/>
              <w:bottom w:val="single" w:sz="4" w:space="0" w:color="auto"/>
              <w:right w:val="single" w:sz="4" w:space="0" w:color="auto"/>
            </w:tcBorders>
            <w:shd w:val="clear" w:color="auto" w:fill="auto"/>
            <w:noWrap/>
            <w:vAlign w:val="bottom"/>
            <w:hideMark/>
          </w:tcPr>
          <w:p w14:paraId="2811A18E" w14:textId="77777777" w:rsidR="00B322B7" w:rsidRPr="00B322B7" w:rsidRDefault="00B322B7" w:rsidP="005E2E4F">
            <w:pPr>
              <w:jc w:val="center"/>
              <w:rPr>
                <w:color w:val="000000"/>
                <w:sz w:val="22"/>
                <w:szCs w:val="22"/>
              </w:rPr>
            </w:pPr>
            <w:r w:rsidRPr="00B322B7">
              <w:rPr>
                <w:color w:val="000000"/>
                <w:sz w:val="22"/>
                <w:szCs w:val="22"/>
              </w:rPr>
              <w:t>30</w:t>
            </w:r>
          </w:p>
        </w:tc>
        <w:tc>
          <w:tcPr>
            <w:tcW w:w="990" w:type="dxa"/>
            <w:tcBorders>
              <w:top w:val="nil"/>
              <w:left w:val="nil"/>
              <w:bottom w:val="single" w:sz="4" w:space="0" w:color="auto"/>
              <w:right w:val="single" w:sz="4" w:space="0" w:color="auto"/>
            </w:tcBorders>
            <w:shd w:val="clear" w:color="auto" w:fill="auto"/>
            <w:noWrap/>
            <w:vAlign w:val="bottom"/>
            <w:hideMark/>
          </w:tcPr>
          <w:p w14:paraId="476F985B" w14:textId="77777777" w:rsidR="00B322B7" w:rsidRPr="00B322B7" w:rsidRDefault="00B322B7" w:rsidP="005E2E4F">
            <w:pPr>
              <w:jc w:val="center"/>
              <w:rPr>
                <w:color w:val="000000"/>
                <w:sz w:val="22"/>
                <w:szCs w:val="22"/>
              </w:rPr>
            </w:pPr>
            <w:r w:rsidRPr="00B322B7">
              <w:rPr>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1F34B7BF" w14:textId="77777777" w:rsidR="00B322B7" w:rsidRPr="00B322B7" w:rsidRDefault="00B322B7" w:rsidP="005E2E4F">
            <w:pPr>
              <w:jc w:val="center"/>
              <w:rPr>
                <w:color w:val="000000"/>
                <w:sz w:val="22"/>
                <w:szCs w:val="22"/>
              </w:rPr>
            </w:pPr>
            <w:r w:rsidRPr="00B322B7">
              <w:rPr>
                <w:color w:val="000000"/>
                <w:sz w:val="22"/>
                <w:szCs w:val="22"/>
              </w:rPr>
              <w:t>18</w:t>
            </w:r>
          </w:p>
        </w:tc>
        <w:tc>
          <w:tcPr>
            <w:tcW w:w="990" w:type="dxa"/>
            <w:tcBorders>
              <w:top w:val="nil"/>
              <w:left w:val="nil"/>
              <w:bottom w:val="single" w:sz="4" w:space="0" w:color="auto"/>
              <w:right w:val="single" w:sz="4" w:space="0" w:color="auto"/>
            </w:tcBorders>
            <w:shd w:val="clear" w:color="auto" w:fill="auto"/>
            <w:noWrap/>
            <w:vAlign w:val="bottom"/>
            <w:hideMark/>
          </w:tcPr>
          <w:p w14:paraId="4479E850" w14:textId="77777777" w:rsidR="00B322B7" w:rsidRPr="00B322B7" w:rsidRDefault="00B322B7" w:rsidP="005E2E4F">
            <w:pPr>
              <w:jc w:val="center"/>
              <w:rPr>
                <w:color w:val="000000"/>
                <w:sz w:val="22"/>
                <w:szCs w:val="22"/>
              </w:rPr>
            </w:pPr>
            <w:r w:rsidRPr="00B322B7">
              <w:rPr>
                <w:color w:val="000000"/>
                <w:sz w:val="22"/>
                <w:szCs w:val="22"/>
              </w:rPr>
              <w:t>19</w:t>
            </w:r>
          </w:p>
        </w:tc>
        <w:tc>
          <w:tcPr>
            <w:tcW w:w="1098" w:type="dxa"/>
            <w:tcBorders>
              <w:top w:val="nil"/>
              <w:left w:val="nil"/>
              <w:bottom w:val="single" w:sz="4" w:space="0" w:color="auto"/>
              <w:right w:val="single" w:sz="4" w:space="0" w:color="auto"/>
            </w:tcBorders>
            <w:shd w:val="clear" w:color="auto" w:fill="auto"/>
            <w:noWrap/>
            <w:vAlign w:val="bottom"/>
            <w:hideMark/>
          </w:tcPr>
          <w:p w14:paraId="13D21B4F" w14:textId="77777777" w:rsidR="00B322B7" w:rsidRPr="00B322B7" w:rsidRDefault="00B322B7" w:rsidP="005E2E4F">
            <w:pPr>
              <w:jc w:val="center"/>
              <w:rPr>
                <w:color w:val="000000"/>
                <w:sz w:val="22"/>
                <w:szCs w:val="22"/>
              </w:rPr>
            </w:pPr>
            <w:r w:rsidRPr="00B322B7">
              <w:rPr>
                <w:color w:val="000000"/>
                <w:sz w:val="22"/>
                <w:szCs w:val="22"/>
              </w:rPr>
              <w:t>36</w:t>
            </w:r>
          </w:p>
        </w:tc>
      </w:tr>
      <w:tr w:rsidR="00B322B7" w:rsidRPr="00B322B7" w14:paraId="53B5533B" w14:textId="77777777" w:rsidTr="005E2E4F">
        <w:trPr>
          <w:trHeight w:val="302"/>
        </w:trPr>
        <w:tc>
          <w:tcPr>
            <w:tcW w:w="1184" w:type="dxa"/>
            <w:tcBorders>
              <w:top w:val="nil"/>
              <w:left w:val="single" w:sz="4" w:space="0" w:color="auto"/>
              <w:bottom w:val="single" w:sz="4" w:space="0" w:color="auto"/>
              <w:right w:val="single" w:sz="4" w:space="0" w:color="auto"/>
            </w:tcBorders>
            <w:shd w:val="clear" w:color="000000" w:fill="F2F2F2"/>
            <w:noWrap/>
            <w:vAlign w:val="bottom"/>
            <w:hideMark/>
          </w:tcPr>
          <w:p w14:paraId="6AC4807E" w14:textId="77777777" w:rsidR="00B322B7" w:rsidRPr="00B322B7" w:rsidRDefault="00B322B7" w:rsidP="005E2E4F">
            <w:pPr>
              <w:jc w:val="center"/>
              <w:rPr>
                <w:b/>
                <w:bCs/>
                <w:color w:val="000000"/>
                <w:sz w:val="22"/>
                <w:szCs w:val="22"/>
              </w:rPr>
            </w:pPr>
            <w:r w:rsidRPr="00B322B7">
              <w:rPr>
                <w:b/>
                <w:bCs/>
                <w:color w:val="000000"/>
                <w:sz w:val="22"/>
                <w:szCs w:val="22"/>
              </w:rPr>
              <w:t>Average</w:t>
            </w:r>
          </w:p>
        </w:tc>
        <w:tc>
          <w:tcPr>
            <w:tcW w:w="1039" w:type="dxa"/>
            <w:tcBorders>
              <w:top w:val="nil"/>
              <w:left w:val="nil"/>
              <w:bottom w:val="single" w:sz="4" w:space="0" w:color="auto"/>
              <w:right w:val="single" w:sz="4" w:space="0" w:color="auto"/>
            </w:tcBorders>
            <w:shd w:val="clear" w:color="000000" w:fill="F2F2F2"/>
            <w:noWrap/>
            <w:vAlign w:val="bottom"/>
            <w:hideMark/>
          </w:tcPr>
          <w:p w14:paraId="0F824475" w14:textId="77777777" w:rsidR="00B322B7" w:rsidRPr="00B322B7" w:rsidRDefault="00B322B7" w:rsidP="005E2E4F">
            <w:pPr>
              <w:jc w:val="center"/>
              <w:rPr>
                <w:b/>
                <w:color w:val="000000"/>
                <w:sz w:val="22"/>
                <w:szCs w:val="22"/>
              </w:rPr>
            </w:pPr>
            <w:r w:rsidRPr="00B322B7">
              <w:rPr>
                <w:b/>
                <w:color w:val="000000"/>
                <w:sz w:val="22"/>
                <w:szCs w:val="22"/>
              </w:rPr>
              <w:t>56</w:t>
            </w:r>
          </w:p>
        </w:tc>
        <w:tc>
          <w:tcPr>
            <w:tcW w:w="1122" w:type="dxa"/>
            <w:tcBorders>
              <w:top w:val="nil"/>
              <w:left w:val="nil"/>
              <w:bottom w:val="single" w:sz="4" w:space="0" w:color="auto"/>
              <w:right w:val="single" w:sz="4" w:space="0" w:color="auto"/>
            </w:tcBorders>
            <w:shd w:val="clear" w:color="000000" w:fill="F2F2F2"/>
            <w:noWrap/>
            <w:vAlign w:val="bottom"/>
            <w:hideMark/>
          </w:tcPr>
          <w:p w14:paraId="1388F886" w14:textId="77777777" w:rsidR="00B322B7" w:rsidRPr="00B322B7" w:rsidRDefault="00B322B7" w:rsidP="005E2E4F">
            <w:pPr>
              <w:jc w:val="center"/>
              <w:rPr>
                <w:b/>
                <w:color w:val="000000"/>
                <w:sz w:val="22"/>
                <w:szCs w:val="22"/>
              </w:rPr>
            </w:pPr>
            <w:r w:rsidRPr="00B322B7">
              <w:rPr>
                <w:b/>
                <w:color w:val="000000"/>
                <w:sz w:val="22"/>
                <w:szCs w:val="22"/>
              </w:rPr>
              <w:t>33</w:t>
            </w:r>
          </w:p>
        </w:tc>
        <w:tc>
          <w:tcPr>
            <w:tcW w:w="990" w:type="dxa"/>
            <w:tcBorders>
              <w:top w:val="nil"/>
              <w:left w:val="nil"/>
              <w:bottom w:val="single" w:sz="4" w:space="0" w:color="auto"/>
              <w:right w:val="single" w:sz="4" w:space="0" w:color="auto"/>
            </w:tcBorders>
            <w:shd w:val="clear" w:color="000000" w:fill="F2F2F2"/>
            <w:noWrap/>
            <w:vAlign w:val="bottom"/>
            <w:hideMark/>
          </w:tcPr>
          <w:p w14:paraId="08B2F31E" w14:textId="77777777" w:rsidR="00B322B7" w:rsidRPr="00B322B7" w:rsidRDefault="00B322B7" w:rsidP="005E2E4F">
            <w:pPr>
              <w:jc w:val="center"/>
              <w:rPr>
                <w:b/>
                <w:color w:val="000000"/>
                <w:sz w:val="22"/>
                <w:szCs w:val="22"/>
              </w:rPr>
            </w:pPr>
            <w:r w:rsidRPr="00B322B7">
              <w:rPr>
                <w:b/>
                <w:color w:val="000000"/>
                <w:sz w:val="22"/>
                <w:szCs w:val="22"/>
              </w:rPr>
              <w:t>55</w:t>
            </w:r>
          </w:p>
        </w:tc>
        <w:tc>
          <w:tcPr>
            <w:tcW w:w="1080" w:type="dxa"/>
            <w:tcBorders>
              <w:top w:val="nil"/>
              <w:left w:val="nil"/>
              <w:bottom w:val="single" w:sz="4" w:space="0" w:color="auto"/>
              <w:right w:val="single" w:sz="4" w:space="0" w:color="auto"/>
            </w:tcBorders>
            <w:shd w:val="clear" w:color="000000" w:fill="F2F2F2"/>
            <w:noWrap/>
            <w:vAlign w:val="bottom"/>
            <w:hideMark/>
          </w:tcPr>
          <w:p w14:paraId="54256F7C" w14:textId="77777777" w:rsidR="00B322B7" w:rsidRPr="00B322B7" w:rsidRDefault="00B322B7" w:rsidP="005E2E4F">
            <w:pPr>
              <w:jc w:val="center"/>
              <w:rPr>
                <w:b/>
                <w:color w:val="000000"/>
                <w:sz w:val="22"/>
                <w:szCs w:val="22"/>
              </w:rPr>
            </w:pPr>
            <w:r w:rsidRPr="00B322B7">
              <w:rPr>
                <w:b/>
                <w:color w:val="000000"/>
                <w:sz w:val="22"/>
                <w:szCs w:val="22"/>
              </w:rPr>
              <w:t>34</w:t>
            </w:r>
          </w:p>
        </w:tc>
        <w:tc>
          <w:tcPr>
            <w:tcW w:w="990" w:type="dxa"/>
            <w:tcBorders>
              <w:top w:val="nil"/>
              <w:left w:val="nil"/>
              <w:bottom w:val="single" w:sz="4" w:space="0" w:color="auto"/>
              <w:right w:val="single" w:sz="4" w:space="0" w:color="auto"/>
            </w:tcBorders>
            <w:shd w:val="clear" w:color="000000" w:fill="F2F2F2"/>
            <w:noWrap/>
            <w:vAlign w:val="bottom"/>
            <w:hideMark/>
          </w:tcPr>
          <w:p w14:paraId="3B32BA9E" w14:textId="77777777" w:rsidR="00B322B7" w:rsidRPr="00B322B7" w:rsidRDefault="00B322B7" w:rsidP="005E2E4F">
            <w:pPr>
              <w:jc w:val="center"/>
              <w:rPr>
                <w:b/>
                <w:color w:val="000000"/>
                <w:sz w:val="22"/>
                <w:szCs w:val="22"/>
              </w:rPr>
            </w:pPr>
            <w:r w:rsidRPr="00B322B7">
              <w:rPr>
                <w:b/>
                <w:color w:val="000000"/>
                <w:sz w:val="22"/>
                <w:szCs w:val="22"/>
              </w:rPr>
              <w:t>4</w:t>
            </w:r>
          </w:p>
        </w:tc>
        <w:tc>
          <w:tcPr>
            <w:tcW w:w="990" w:type="dxa"/>
            <w:tcBorders>
              <w:top w:val="nil"/>
              <w:left w:val="nil"/>
              <w:bottom w:val="single" w:sz="4" w:space="0" w:color="auto"/>
              <w:right w:val="single" w:sz="4" w:space="0" w:color="auto"/>
            </w:tcBorders>
            <w:shd w:val="clear" w:color="000000" w:fill="F2F2F2"/>
            <w:noWrap/>
            <w:vAlign w:val="bottom"/>
            <w:hideMark/>
          </w:tcPr>
          <w:p w14:paraId="242E1FAF" w14:textId="77777777" w:rsidR="00B322B7" w:rsidRPr="00B322B7" w:rsidRDefault="00B322B7" w:rsidP="005E2E4F">
            <w:pPr>
              <w:jc w:val="center"/>
              <w:rPr>
                <w:b/>
                <w:color w:val="000000"/>
                <w:sz w:val="22"/>
                <w:szCs w:val="22"/>
              </w:rPr>
            </w:pPr>
            <w:r w:rsidRPr="00B322B7">
              <w:rPr>
                <w:b/>
                <w:color w:val="000000"/>
                <w:sz w:val="22"/>
                <w:szCs w:val="22"/>
              </w:rPr>
              <w:t>24</w:t>
            </w:r>
          </w:p>
        </w:tc>
        <w:tc>
          <w:tcPr>
            <w:tcW w:w="990" w:type="dxa"/>
            <w:tcBorders>
              <w:top w:val="nil"/>
              <w:left w:val="nil"/>
              <w:bottom w:val="single" w:sz="4" w:space="0" w:color="auto"/>
              <w:right w:val="single" w:sz="4" w:space="0" w:color="auto"/>
            </w:tcBorders>
            <w:shd w:val="clear" w:color="000000" w:fill="F2F2F2"/>
            <w:noWrap/>
            <w:vAlign w:val="bottom"/>
            <w:hideMark/>
          </w:tcPr>
          <w:p w14:paraId="18823FB6" w14:textId="77777777" w:rsidR="00B322B7" w:rsidRPr="00B322B7" w:rsidRDefault="00B322B7" w:rsidP="005E2E4F">
            <w:pPr>
              <w:jc w:val="center"/>
              <w:rPr>
                <w:b/>
                <w:color w:val="000000"/>
                <w:sz w:val="22"/>
                <w:szCs w:val="22"/>
              </w:rPr>
            </w:pPr>
            <w:r w:rsidRPr="00B322B7">
              <w:rPr>
                <w:b/>
                <w:color w:val="000000"/>
                <w:sz w:val="22"/>
                <w:szCs w:val="22"/>
              </w:rPr>
              <w:t>26</w:t>
            </w:r>
          </w:p>
        </w:tc>
        <w:tc>
          <w:tcPr>
            <w:tcW w:w="1098" w:type="dxa"/>
            <w:tcBorders>
              <w:top w:val="nil"/>
              <w:left w:val="nil"/>
              <w:bottom w:val="single" w:sz="4" w:space="0" w:color="auto"/>
              <w:right w:val="single" w:sz="4" w:space="0" w:color="auto"/>
            </w:tcBorders>
            <w:shd w:val="clear" w:color="auto" w:fill="auto"/>
            <w:noWrap/>
            <w:vAlign w:val="bottom"/>
            <w:hideMark/>
          </w:tcPr>
          <w:p w14:paraId="57D2F95D" w14:textId="77777777" w:rsidR="00B322B7" w:rsidRPr="00B322B7" w:rsidRDefault="00B322B7" w:rsidP="005E2E4F">
            <w:pPr>
              <w:jc w:val="center"/>
              <w:rPr>
                <w:b/>
                <w:color w:val="000000"/>
                <w:sz w:val="22"/>
                <w:szCs w:val="22"/>
              </w:rPr>
            </w:pPr>
            <w:r w:rsidRPr="00B322B7">
              <w:rPr>
                <w:b/>
                <w:color w:val="000000"/>
                <w:sz w:val="22"/>
                <w:szCs w:val="22"/>
              </w:rPr>
              <w:t>38</w:t>
            </w:r>
          </w:p>
        </w:tc>
      </w:tr>
    </w:tbl>
    <w:p w14:paraId="6E46CE3B" w14:textId="77777777" w:rsidR="00B322B7" w:rsidRDefault="00B322B7" w:rsidP="00B322B7">
      <w:pPr>
        <w:rPr>
          <w:rFonts w:ascii="Arial" w:hAnsi="Arial" w:cs="Arial"/>
          <w:sz w:val="20"/>
          <w:szCs w:val="20"/>
        </w:rPr>
      </w:pPr>
      <w:r w:rsidRPr="00195A2E">
        <w:rPr>
          <w:rFonts w:ascii="Arial" w:hAnsi="Arial" w:cs="Arial"/>
          <w:sz w:val="20"/>
          <w:szCs w:val="20"/>
        </w:rPr>
        <w:t>Source:  NMFS SEFSC Online Economic Query System</w:t>
      </w:r>
      <w:r>
        <w:rPr>
          <w:rFonts w:ascii="Arial" w:hAnsi="Arial" w:cs="Arial"/>
          <w:sz w:val="20"/>
          <w:szCs w:val="20"/>
        </w:rPr>
        <w:t>, October 13, 2016</w:t>
      </w:r>
      <w:r w:rsidRPr="00195A2E">
        <w:rPr>
          <w:rFonts w:ascii="Arial" w:hAnsi="Arial" w:cs="Arial"/>
          <w:sz w:val="20"/>
          <w:szCs w:val="20"/>
        </w:rPr>
        <w:t>.</w:t>
      </w:r>
    </w:p>
    <w:p w14:paraId="2D62986F" w14:textId="77777777" w:rsidR="00B322B7" w:rsidRDefault="00B322B7" w:rsidP="00B322B7">
      <w:pPr>
        <w:ind w:firstLine="360"/>
      </w:pPr>
    </w:p>
    <w:p w14:paraId="3A7E9C7D" w14:textId="77777777" w:rsidR="00B322B7" w:rsidRDefault="00B322B7" w:rsidP="00B322B7">
      <w:pPr>
        <w:ind w:firstLine="360"/>
      </w:pPr>
    </w:p>
    <w:p w14:paraId="264629CC" w14:textId="77777777" w:rsidR="00B322B7" w:rsidRDefault="00B322B7" w:rsidP="00B322B7">
      <w:pPr>
        <w:ind w:firstLine="360"/>
      </w:pPr>
      <w:r>
        <w:t xml:space="preserve">Under </w:t>
      </w:r>
      <w:r w:rsidRPr="003E4F34">
        <w:rPr>
          <w:b/>
        </w:rPr>
        <w:t xml:space="preserve">Preferred </w:t>
      </w:r>
      <w:r>
        <w:rPr>
          <w:b/>
        </w:rPr>
        <w:t xml:space="preserve">Alternative 3 </w:t>
      </w:r>
      <w:r>
        <w:t>(</w:t>
      </w:r>
      <w:r>
        <w:rPr>
          <w:b/>
        </w:rPr>
        <w:t>Sub-a</w:t>
      </w:r>
      <w:r w:rsidRPr="003E4F34">
        <w:rPr>
          <w:b/>
        </w:rPr>
        <w:t>lternative</w:t>
      </w:r>
      <w:r>
        <w:t xml:space="preserve"> </w:t>
      </w:r>
      <w:r>
        <w:rPr>
          <w:b/>
        </w:rPr>
        <w:t>3f</w:t>
      </w:r>
      <w:r>
        <w:t xml:space="preserve">), a vessel’s trip limit of mutton snapper landings from April through June would be dependent on the size of its crew (including its captain).  From 2011 through 2015, the average commercial vessel with mutton snapper landings had approximately two persons on board.  That would suggest that under </w:t>
      </w:r>
      <w:r w:rsidRPr="00E4713C">
        <w:rPr>
          <w:b/>
        </w:rPr>
        <w:t>Preferred Sub-alternative 3f</w:t>
      </w:r>
      <w:r>
        <w:t>, the average vessel that lands mutton snapper would be limited to landing no more than 10 mutton snapper per trip during the three spawning months.  However, the average size of a vessel’s crew varies with the gears used.  For example, while the typical vessel that uses troll line has a crew ranging from 1 to 2 persons, a typical vessel that uses hook and line has from 2 and 3 crewmembers (</w:t>
      </w:r>
      <w:r>
        <w:rPr>
          <w:b/>
        </w:rPr>
        <w:t>Table F-7</w:t>
      </w:r>
      <w:r>
        <w:t xml:space="preserve">).  </w:t>
      </w:r>
    </w:p>
    <w:p w14:paraId="6CBE4E66" w14:textId="77777777" w:rsidR="00B322B7" w:rsidRDefault="00B322B7" w:rsidP="00B322B7"/>
    <w:p w14:paraId="5BD29058" w14:textId="77777777" w:rsidR="00B322B7" w:rsidRDefault="00B322B7" w:rsidP="00B322B7">
      <w:pPr>
        <w:ind w:firstLine="360"/>
      </w:pPr>
      <w:r>
        <w:t xml:space="preserve">Using the information in </w:t>
      </w:r>
      <w:r w:rsidRPr="00340847">
        <w:rPr>
          <w:b/>
        </w:rPr>
        <w:t>Tables F-6</w:t>
      </w:r>
      <w:r>
        <w:t xml:space="preserve"> and </w:t>
      </w:r>
      <w:r w:rsidRPr="00340847">
        <w:rPr>
          <w:b/>
        </w:rPr>
        <w:t>F-7</w:t>
      </w:r>
      <w:r>
        <w:t>, the average crewmember landed from 1.3 to 23.9 lbs gw of mutton snapper per trip depending on the type of gear used.  The highest average in any given year was 28.3 lbs gw in 2012 for a crewmember of a diving-outfits vessel (</w:t>
      </w:r>
      <w:r w:rsidRPr="00340847">
        <w:rPr>
          <w:b/>
        </w:rPr>
        <w:t>Table F-8</w:t>
      </w:r>
      <w:r>
        <w:t>).</w:t>
      </w:r>
    </w:p>
    <w:p w14:paraId="37F87263" w14:textId="77777777" w:rsidR="00B322B7" w:rsidRDefault="00B322B7" w:rsidP="00B322B7"/>
    <w:p w14:paraId="51490174" w14:textId="77777777" w:rsidR="00B322B7" w:rsidRDefault="00B322B7" w:rsidP="00B322B7"/>
    <w:p w14:paraId="78C98F89" w14:textId="77777777" w:rsidR="00B322B7" w:rsidRDefault="00B322B7" w:rsidP="00B322B7"/>
    <w:p w14:paraId="3128B1EA" w14:textId="77777777" w:rsidR="00B322B7" w:rsidRDefault="00B322B7">
      <w:pPr>
        <w:rPr>
          <w:rFonts w:ascii="Arial" w:hAnsi="Arial" w:cs="Arial"/>
          <w:b/>
          <w:sz w:val="20"/>
          <w:szCs w:val="20"/>
        </w:rPr>
      </w:pPr>
      <w:r>
        <w:rPr>
          <w:rFonts w:ascii="Arial" w:hAnsi="Arial" w:cs="Arial"/>
          <w:b/>
          <w:sz w:val="20"/>
          <w:szCs w:val="20"/>
        </w:rPr>
        <w:br w:type="page"/>
      </w:r>
    </w:p>
    <w:p w14:paraId="67947726" w14:textId="2A91A9B8" w:rsidR="00B322B7" w:rsidRDefault="00B322B7" w:rsidP="00B322B7">
      <w:pPr>
        <w:rPr>
          <w:rFonts w:ascii="Arial" w:hAnsi="Arial" w:cs="Arial"/>
          <w:sz w:val="20"/>
          <w:szCs w:val="20"/>
        </w:rPr>
      </w:pPr>
      <w:r w:rsidRPr="00026A0D">
        <w:rPr>
          <w:rFonts w:ascii="Arial" w:hAnsi="Arial" w:cs="Arial"/>
          <w:b/>
          <w:sz w:val="20"/>
          <w:szCs w:val="20"/>
        </w:rPr>
        <w:lastRenderedPageBreak/>
        <w:t xml:space="preserve">Table </w:t>
      </w:r>
      <w:r>
        <w:rPr>
          <w:rFonts w:ascii="Arial" w:hAnsi="Arial" w:cs="Arial"/>
          <w:b/>
          <w:sz w:val="20"/>
          <w:szCs w:val="20"/>
        </w:rPr>
        <w:t>F-7</w:t>
      </w:r>
      <w:r w:rsidRPr="00026A0D">
        <w:rPr>
          <w:rFonts w:ascii="Arial" w:hAnsi="Arial" w:cs="Arial"/>
          <w:b/>
          <w:sz w:val="20"/>
          <w:szCs w:val="20"/>
        </w:rPr>
        <w:t>.</w:t>
      </w:r>
      <w:r w:rsidRPr="00026A0D">
        <w:rPr>
          <w:rFonts w:ascii="Arial" w:hAnsi="Arial" w:cs="Arial"/>
          <w:sz w:val="20"/>
          <w:szCs w:val="20"/>
        </w:rPr>
        <w:t xml:space="preserve">  </w:t>
      </w:r>
      <w:r>
        <w:rPr>
          <w:rFonts w:ascii="Arial" w:hAnsi="Arial" w:cs="Arial"/>
          <w:sz w:val="20"/>
          <w:szCs w:val="20"/>
        </w:rPr>
        <w:t xml:space="preserve">Average Number of Crewmembers on Mutton Snapper Trip by Gear, 2011 through  2015.  </w:t>
      </w:r>
    </w:p>
    <w:tbl>
      <w:tblPr>
        <w:tblW w:w="9483" w:type="dxa"/>
        <w:tblInd w:w="93" w:type="dxa"/>
        <w:tblLook w:val="04A0" w:firstRow="1" w:lastRow="0" w:firstColumn="1" w:lastColumn="0" w:noHBand="0" w:noVBand="1"/>
      </w:tblPr>
      <w:tblGrid>
        <w:gridCol w:w="1091"/>
        <w:gridCol w:w="1444"/>
        <w:gridCol w:w="1080"/>
        <w:gridCol w:w="810"/>
        <w:gridCol w:w="1260"/>
        <w:gridCol w:w="990"/>
        <w:gridCol w:w="990"/>
        <w:gridCol w:w="810"/>
        <w:gridCol w:w="1008"/>
      </w:tblGrid>
      <w:tr w:rsidR="00B322B7" w:rsidRPr="00B322B7" w14:paraId="3B2D301F" w14:textId="77777777" w:rsidTr="005E2E4F">
        <w:trPr>
          <w:trHeight w:val="300"/>
        </w:trPr>
        <w:tc>
          <w:tcPr>
            <w:tcW w:w="1091"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5ABDAB9" w14:textId="77777777" w:rsidR="00B322B7" w:rsidRPr="00B322B7" w:rsidRDefault="00B322B7" w:rsidP="005E2E4F">
            <w:pPr>
              <w:jc w:val="center"/>
              <w:rPr>
                <w:b/>
                <w:bCs/>
                <w:color w:val="000000"/>
                <w:sz w:val="22"/>
                <w:szCs w:val="22"/>
              </w:rPr>
            </w:pPr>
            <w:r w:rsidRPr="00B322B7">
              <w:rPr>
                <w:b/>
                <w:bCs/>
                <w:color w:val="000000"/>
                <w:sz w:val="22"/>
                <w:szCs w:val="22"/>
              </w:rPr>
              <w:t>Year</w:t>
            </w:r>
          </w:p>
        </w:tc>
        <w:tc>
          <w:tcPr>
            <w:tcW w:w="8392" w:type="dxa"/>
            <w:gridSpan w:val="8"/>
            <w:tcBorders>
              <w:top w:val="single" w:sz="4" w:space="0" w:color="auto"/>
              <w:left w:val="nil"/>
              <w:bottom w:val="single" w:sz="4" w:space="0" w:color="auto"/>
              <w:right w:val="single" w:sz="4" w:space="0" w:color="auto"/>
            </w:tcBorders>
            <w:shd w:val="clear" w:color="000000" w:fill="D9D9D9"/>
            <w:noWrap/>
            <w:vAlign w:val="bottom"/>
            <w:hideMark/>
          </w:tcPr>
          <w:p w14:paraId="6CF2D6F4" w14:textId="77777777" w:rsidR="00B322B7" w:rsidRPr="00B322B7" w:rsidRDefault="00B322B7" w:rsidP="005E2E4F">
            <w:pPr>
              <w:jc w:val="center"/>
              <w:rPr>
                <w:b/>
                <w:bCs/>
                <w:color w:val="000000"/>
                <w:sz w:val="22"/>
                <w:szCs w:val="22"/>
              </w:rPr>
            </w:pPr>
            <w:r w:rsidRPr="00B322B7">
              <w:rPr>
                <w:b/>
                <w:bCs/>
                <w:color w:val="000000"/>
                <w:sz w:val="22"/>
                <w:szCs w:val="22"/>
              </w:rPr>
              <w:t>Average number of crew per trip (all months)</w:t>
            </w:r>
          </w:p>
        </w:tc>
      </w:tr>
      <w:tr w:rsidR="00B322B7" w:rsidRPr="00B322B7" w14:paraId="3B64418E" w14:textId="77777777" w:rsidTr="005E2E4F">
        <w:trPr>
          <w:trHeight w:val="288"/>
        </w:trPr>
        <w:tc>
          <w:tcPr>
            <w:tcW w:w="1091" w:type="dxa"/>
            <w:vMerge/>
            <w:tcBorders>
              <w:top w:val="single" w:sz="4" w:space="0" w:color="auto"/>
              <w:left w:val="single" w:sz="4" w:space="0" w:color="auto"/>
              <w:bottom w:val="single" w:sz="4" w:space="0" w:color="000000"/>
              <w:right w:val="single" w:sz="4" w:space="0" w:color="auto"/>
            </w:tcBorders>
            <w:vAlign w:val="center"/>
            <w:hideMark/>
          </w:tcPr>
          <w:p w14:paraId="4F9BFB3D" w14:textId="77777777" w:rsidR="00B322B7" w:rsidRPr="00B322B7" w:rsidRDefault="00B322B7" w:rsidP="005E2E4F">
            <w:pPr>
              <w:rPr>
                <w:b/>
                <w:bCs/>
                <w:color w:val="000000"/>
                <w:sz w:val="22"/>
                <w:szCs w:val="22"/>
              </w:rPr>
            </w:pPr>
          </w:p>
        </w:tc>
        <w:tc>
          <w:tcPr>
            <w:tcW w:w="1444" w:type="dxa"/>
            <w:tcBorders>
              <w:top w:val="nil"/>
              <w:left w:val="nil"/>
              <w:bottom w:val="single" w:sz="4" w:space="0" w:color="auto"/>
              <w:right w:val="single" w:sz="4" w:space="0" w:color="auto"/>
            </w:tcBorders>
            <w:shd w:val="clear" w:color="000000" w:fill="D9D9D9"/>
            <w:noWrap/>
            <w:vAlign w:val="center"/>
            <w:hideMark/>
          </w:tcPr>
          <w:p w14:paraId="2E02352B" w14:textId="77777777" w:rsidR="00B322B7" w:rsidRPr="00B322B7" w:rsidRDefault="00B322B7" w:rsidP="005E2E4F">
            <w:pPr>
              <w:jc w:val="center"/>
              <w:rPr>
                <w:b/>
                <w:bCs/>
                <w:color w:val="000000"/>
                <w:sz w:val="22"/>
                <w:szCs w:val="22"/>
              </w:rPr>
            </w:pPr>
            <w:r w:rsidRPr="00B322B7">
              <w:rPr>
                <w:b/>
                <w:bCs/>
                <w:color w:val="000000"/>
                <w:sz w:val="22"/>
                <w:szCs w:val="22"/>
              </w:rPr>
              <w:t>Diving outfits, other</w:t>
            </w:r>
          </w:p>
        </w:tc>
        <w:tc>
          <w:tcPr>
            <w:tcW w:w="1080" w:type="dxa"/>
            <w:tcBorders>
              <w:top w:val="nil"/>
              <w:left w:val="nil"/>
              <w:bottom w:val="single" w:sz="4" w:space="0" w:color="auto"/>
              <w:right w:val="single" w:sz="4" w:space="0" w:color="auto"/>
            </w:tcBorders>
            <w:shd w:val="clear" w:color="000000" w:fill="D9D9D9"/>
            <w:noWrap/>
            <w:vAlign w:val="center"/>
            <w:hideMark/>
          </w:tcPr>
          <w:p w14:paraId="25BE7C94" w14:textId="77777777" w:rsidR="00B322B7" w:rsidRPr="00B322B7" w:rsidRDefault="00B322B7" w:rsidP="005E2E4F">
            <w:pPr>
              <w:jc w:val="center"/>
              <w:rPr>
                <w:b/>
                <w:bCs/>
                <w:color w:val="000000"/>
                <w:sz w:val="22"/>
                <w:szCs w:val="22"/>
              </w:rPr>
            </w:pPr>
            <w:r w:rsidRPr="00B322B7">
              <w:rPr>
                <w:b/>
                <w:bCs/>
                <w:color w:val="000000"/>
                <w:sz w:val="22"/>
                <w:szCs w:val="22"/>
              </w:rPr>
              <w:t>By hand, other</w:t>
            </w:r>
          </w:p>
        </w:tc>
        <w:tc>
          <w:tcPr>
            <w:tcW w:w="810" w:type="dxa"/>
            <w:tcBorders>
              <w:top w:val="nil"/>
              <w:left w:val="nil"/>
              <w:bottom w:val="single" w:sz="4" w:space="0" w:color="auto"/>
              <w:right w:val="single" w:sz="4" w:space="0" w:color="auto"/>
            </w:tcBorders>
            <w:shd w:val="clear" w:color="000000" w:fill="D9D9D9"/>
            <w:noWrap/>
            <w:vAlign w:val="center"/>
            <w:hideMark/>
          </w:tcPr>
          <w:p w14:paraId="17BDF7F5" w14:textId="77777777" w:rsidR="00B322B7" w:rsidRPr="00B322B7" w:rsidRDefault="00B322B7" w:rsidP="005E2E4F">
            <w:pPr>
              <w:jc w:val="center"/>
              <w:rPr>
                <w:b/>
                <w:bCs/>
                <w:color w:val="000000"/>
                <w:sz w:val="22"/>
                <w:szCs w:val="22"/>
              </w:rPr>
            </w:pPr>
            <w:r w:rsidRPr="00B322B7">
              <w:rPr>
                <w:b/>
                <w:bCs/>
                <w:color w:val="000000"/>
                <w:sz w:val="22"/>
                <w:szCs w:val="22"/>
              </w:rPr>
              <w:t>Hook &amp; line</w:t>
            </w:r>
          </w:p>
        </w:tc>
        <w:tc>
          <w:tcPr>
            <w:tcW w:w="1260" w:type="dxa"/>
            <w:tcBorders>
              <w:top w:val="nil"/>
              <w:left w:val="nil"/>
              <w:bottom w:val="single" w:sz="4" w:space="0" w:color="auto"/>
              <w:right w:val="single" w:sz="4" w:space="0" w:color="auto"/>
            </w:tcBorders>
            <w:shd w:val="clear" w:color="000000" w:fill="D9D9D9"/>
            <w:noWrap/>
            <w:vAlign w:val="center"/>
            <w:hideMark/>
          </w:tcPr>
          <w:p w14:paraId="6DDE42B3" w14:textId="77777777" w:rsidR="00B322B7" w:rsidRPr="00B322B7" w:rsidRDefault="00B322B7" w:rsidP="005E2E4F">
            <w:pPr>
              <w:jc w:val="center"/>
              <w:rPr>
                <w:b/>
                <w:bCs/>
                <w:color w:val="000000"/>
                <w:sz w:val="22"/>
                <w:szCs w:val="22"/>
              </w:rPr>
            </w:pPr>
            <w:r w:rsidRPr="00B322B7">
              <w:rPr>
                <w:b/>
                <w:bCs/>
                <w:color w:val="000000"/>
                <w:sz w:val="22"/>
                <w:szCs w:val="22"/>
              </w:rPr>
              <w:t>Rod &amp; reel</w:t>
            </w:r>
          </w:p>
        </w:tc>
        <w:tc>
          <w:tcPr>
            <w:tcW w:w="990" w:type="dxa"/>
            <w:tcBorders>
              <w:top w:val="nil"/>
              <w:left w:val="nil"/>
              <w:bottom w:val="single" w:sz="4" w:space="0" w:color="auto"/>
              <w:right w:val="single" w:sz="4" w:space="0" w:color="auto"/>
            </w:tcBorders>
            <w:shd w:val="clear" w:color="000000" w:fill="D9D9D9"/>
            <w:noWrap/>
            <w:vAlign w:val="center"/>
            <w:hideMark/>
          </w:tcPr>
          <w:p w14:paraId="02B1BEEC" w14:textId="77777777" w:rsidR="00B322B7" w:rsidRPr="00B322B7" w:rsidRDefault="00B322B7" w:rsidP="005E2E4F">
            <w:pPr>
              <w:jc w:val="center"/>
              <w:rPr>
                <w:b/>
                <w:bCs/>
                <w:color w:val="000000"/>
                <w:sz w:val="22"/>
                <w:szCs w:val="22"/>
              </w:rPr>
            </w:pPr>
            <w:r w:rsidRPr="00B322B7">
              <w:rPr>
                <w:b/>
                <w:bCs/>
                <w:color w:val="000000"/>
                <w:sz w:val="22"/>
                <w:szCs w:val="22"/>
              </w:rPr>
              <w:t>Traps &amp; pots</w:t>
            </w:r>
          </w:p>
        </w:tc>
        <w:tc>
          <w:tcPr>
            <w:tcW w:w="990" w:type="dxa"/>
            <w:tcBorders>
              <w:top w:val="nil"/>
              <w:left w:val="nil"/>
              <w:bottom w:val="single" w:sz="4" w:space="0" w:color="auto"/>
              <w:right w:val="single" w:sz="4" w:space="0" w:color="auto"/>
            </w:tcBorders>
            <w:shd w:val="clear" w:color="000000" w:fill="D9D9D9"/>
            <w:noWrap/>
            <w:vAlign w:val="center"/>
            <w:hideMark/>
          </w:tcPr>
          <w:p w14:paraId="77F61ACE" w14:textId="77777777" w:rsidR="00B322B7" w:rsidRPr="00B322B7" w:rsidRDefault="00B322B7" w:rsidP="005E2E4F">
            <w:pPr>
              <w:jc w:val="center"/>
              <w:rPr>
                <w:b/>
                <w:bCs/>
                <w:color w:val="000000"/>
                <w:sz w:val="22"/>
                <w:szCs w:val="22"/>
              </w:rPr>
            </w:pPr>
            <w:r w:rsidRPr="00B322B7">
              <w:rPr>
                <w:b/>
                <w:bCs/>
                <w:color w:val="000000"/>
                <w:sz w:val="22"/>
                <w:szCs w:val="22"/>
              </w:rPr>
              <w:t>Troll lines</w:t>
            </w:r>
          </w:p>
        </w:tc>
        <w:tc>
          <w:tcPr>
            <w:tcW w:w="810" w:type="dxa"/>
            <w:tcBorders>
              <w:top w:val="nil"/>
              <w:left w:val="nil"/>
              <w:bottom w:val="single" w:sz="4" w:space="0" w:color="auto"/>
              <w:right w:val="single" w:sz="4" w:space="0" w:color="auto"/>
            </w:tcBorders>
            <w:shd w:val="clear" w:color="000000" w:fill="D9D9D9"/>
            <w:noWrap/>
            <w:vAlign w:val="center"/>
            <w:hideMark/>
          </w:tcPr>
          <w:p w14:paraId="376F3E16" w14:textId="77777777" w:rsidR="00B322B7" w:rsidRPr="00B322B7" w:rsidRDefault="00B322B7" w:rsidP="005E2E4F">
            <w:pPr>
              <w:jc w:val="center"/>
              <w:rPr>
                <w:b/>
                <w:bCs/>
                <w:color w:val="000000"/>
                <w:sz w:val="22"/>
                <w:szCs w:val="22"/>
              </w:rPr>
            </w:pPr>
            <w:r w:rsidRPr="00B322B7">
              <w:rPr>
                <w:b/>
                <w:bCs/>
                <w:color w:val="000000"/>
                <w:sz w:val="22"/>
                <w:szCs w:val="22"/>
              </w:rPr>
              <w:t>Other gears</w:t>
            </w:r>
          </w:p>
        </w:tc>
        <w:tc>
          <w:tcPr>
            <w:tcW w:w="1008" w:type="dxa"/>
            <w:tcBorders>
              <w:top w:val="nil"/>
              <w:left w:val="nil"/>
              <w:bottom w:val="single" w:sz="4" w:space="0" w:color="auto"/>
              <w:right w:val="single" w:sz="4" w:space="0" w:color="auto"/>
            </w:tcBorders>
            <w:shd w:val="clear" w:color="000000" w:fill="D9D9D9"/>
            <w:noWrap/>
            <w:vAlign w:val="center"/>
            <w:hideMark/>
          </w:tcPr>
          <w:p w14:paraId="41AD961A" w14:textId="77777777" w:rsidR="00B322B7" w:rsidRPr="00B322B7" w:rsidRDefault="00B322B7" w:rsidP="005E2E4F">
            <w:pPr>
              <w:jc w:val="center"/>
              <w:rPr>
                <w:b/>
                <w:bCs/>
                <w:color w:val="000000"/>
                <w:sz w:val="22"/>
                <w:szCs w:val="22"/>
              </w:rPr>
            </w:pPr>
            <w:r w:rsidRPr="00B322B7">
              <w:rPr>
                <w:b/>
                <w:bCs/>
                <w:color w:val="000000"/>
                <w:sz w:val="22"/>
                <w:szCs w:val="22"/>
              </w:rPr>
              <w:t>All</w:t>
            </w:r>
          </w:p>
        </w:tc>
      </w:tr>
      <w:tr w:rsidR="00B322B7" w:rsidRPr="00B322B7" w14:paraId="2BB38A34" w14:textId="77777777" w:rsidTr="005E2E4F">
        <w:trPr>
          <w:trHeight w:val="300"/>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1033C3D3" w14:textId="77777777" w:rsidR="00B322B7" w:rsidRPr="00B322B7" w:rsidRDefault="00B322B7" w:rsidP="005E2E4F">
            <w:pPr>
              <w:jc w:val="center"/>
              <w:rPr>
                <w:b/>
                <w:bCs/>
                <w:color w:val="000000"/>
                <w:sz w:val="22"/>
                <w:szCs w:val="22"/>
              </w:rPr>
            </w:pPr>
            <w:r w:rsidRPr="00B322B7">
              <w:rPr>
                <w:b/>
                <w:bCs/>
                <w:color w:val="000000"/>
                <w:sz w:val="22"/>
                <w:szCs w:val="22"/>
              </w:rPr>
              <w:t>2011</w:t>
            </w:r>
          </w:p>
        </w:tc>
        <w:tc>
          <w:tcPr>
            <w:tcW w:w="1444" w:type="dxa"/>
            <w:tcBorders>
              <w:top w:val="nil"/>
              <w:left w:val="nil"/>
              <w:bottom w:val="single" w:sz="4" w:space="0" w:color="auto"/>
              <w:right w:val="single" w:sz="4" w:space="0" w:color="auto"/>
            </w:tcBorders>
            <w:shd w:val="clear" w:color="auto" w:fill="auto"/>
            <w:noWrap/>
            <w:vAlign w:val="bottom"/>
            <w:hideMark/>
          </w:tcPr>
          <w:p w14:paraId="2CEC23F6" w14:textId="77777777" w:rsidR="00B322B7" w:rsidRPr="00B322B7" w:rsidRDefault="00B322B7" w:rsidP="005E2E4F">
            <w:pPr>
              <w:jc w:val="center"/>
              <w:rPr>
                <w:color w:val="000000"/>
                <w:sz w:val="22"/>
                <w:szCs w:val="22"/>
              </w:rPr>
            </w:pPr>
            <w:r w:rsidRPr="00B322B7">
              <w:rPr>
                <w:color w:val="000000"/>
                <w:sz w:val="22"/>
                <w:szCs w:val="22"/>
              </w:rPr>
              <w:t>2.4</w:t>
            </w:r>
          </w:p>
        </w:tc>
        <w:tc>
          <w:tcPr>
            <w:tcW w:w="1080" w:type="dxa"/>
            <w:tcBorders>
              <w:top w:val="nil"/>
              <w:left w:val="nil"/>
              <w:bottom w:val="single" w:sz="4" w:space="0" w:color="auto"/>
              <w:right w:val="single" w:sz="4" w:space="0" w:color="auto"/>
            </w:tcBorders>
            <w:shd w:val="clear" w:color="auto" w:fill="auto"/>
            <w:noWrap/>
            <w:vAlign w:val="bottom"/>
            <w:hideMark/>
          </w:tcPr>
          <w:p w14:paraId="7A2C5195" w14:textId="77777777" w:rsidR="00B322B7" w:rsidRPr="00B322B7" w:rsidRDefault="00B322B7" w:rsidP="005E2E4F">
            <w:pPr>
              <w:jc w:val="center"/>
              <w:rPr>
                <w:color w:val="000000"/>
                <w:sz w:val="22"/>
                <w:szCs w:val="22"/>
              </w:rPr>
            </w:pPr>
            <w:r w:rsidRPr="00B322B7">
              <w:rPr>
                <w:color w:val="000000"/>
                <w:sz w:val="22"/>
                <w:szCs w:val="22"/>
              </w:rPr>
              <w:t>2.1</w:t>
            </w:r>
          </w:p>
        </w:tc>
        <w:tc>
          <w:tcPr>
            <w:tcW w:w="810" w:type="dxa"/>
            <w:tcBorders>
              <w:top w:val="nil"/>
              <w:left w:val="nil"/>
              <w:bottom w:val="single" w:sz="4" w:space="0" w:color="auto"/>
              <w:right w:val="single" w:sz="4" w:space="0" w:color="auto"/>
            </w:tcBorders>
            <w:shd w:val="clear" w:color="auto" w:fill="auto"/>
            <w:noWrap/>
            <w:vAlign w:val="bottom"/>
            <w:hideMark/>
          </w:tcPr>
          <w:p w14:paraId="1142AA55" w14:textId="77777777" w:rsidR="00B322B7" w:rsidRPr="00B322B7" w:rsidRDefault="00B322B7" w:rsidP="005E2E4F">
            <w:pPr>
              <w:jc w:val="center"/>
              <w:rPr>
                <w:color w:val="000000"/>
                <w:sz w:val="22"/>
                <w:szCs w:val="22"/>
              </w:rPr>
            </w:pPr>
            <w:r w:rsidRPr="00B322B7">
              <w:rPr>
                <w:color w:val="000000"/>
                <w:sz w:val="22"/>
                <w:szCs w:val="22"/>
              </w:rPr>
              <w:t>2.4</w:t>
            </w:r>
          </w:p>
        </w:tc>
        <w:tc>
          <w:tcPr>
            <w:tcW w:w="1260" w:type="dxa"/>
            <w:tcBorders>
              <w:top w:val="nil"/>
              <w:left w:val="nil"/>
              <w:bottom w:val="single" w:sz="4" w:space="0" w:color="auto"/>
              <w:right w:val="single" w:sz="4" w:space="0" w:color="auto"/>
            </w:tcBorders>
            <w:shd w:val="clear" w:color="auto" w:fill="auto"/>
            <w:noWrap/>
            <w:vAlign w:val="bottom"/>
            <w:hideMark/>
          </w:tcPr>
          <w:p w14:paraId="458D3341" w14:textId="77777777" w:rsidR="00B322B7" w:rsidRPr="00B322B7" w:rsidRDefault="00B322B7" w:rsidP="005E2E4F">
            <w:pPr>
              <w:jc w:val="center"/>
              <w:rPr>
                <w:color w:val="000000"/>
                <w:sz w:val="22"/>
                <w:szCs w:val="22"/>
              </w:rPr>
            </w:pPr>
            <w:r w:rsidRPr="00B322B7">
              <w:rPr>
                <w:color w:val="000000"/>
                <w:sz w:val="22"/>
                <w:szCs w:val="22"/>
              </w:rPr>
              <w:t>1.9</w:t>
            </w:r>
          </w:p>
        </w:tc>
        <w:tc>
          <w:tcPr>
            <w:tcW w:w="990" w:type="dxa"/>
            <w:tcBorders>
              <w:top w:val="nil"/>
              <w:left w:val="nil"/>
              <w:bottom w:val="single" w:sz="4" w:space="0" w:color="auto"/>
              <w:right w:val="single" w:sz="4" w:space="0" w:color="auto"/>
            </w:tcBorders>
            <w:shd w:val="clear" w:color="auto" w:fill="auto"/>
            <w:noWrap/>
            <w:vAlign w:val="bottom"/>
            <w:hideMark/>
          </w:tcPr>
          <w:p w14:paraId="54F41D2D" w14:textId="77777777" w:rsidR="00B322B7" w:rsidRPr="00B322B7" w:rsidRDefault="00B322B7" w:rsidP="005E2E4F">
            <w:pPr>
              <w:jc w:val="center"/>
              <w:rPr>
                <w:color w:val="000000"/>
                <w:sz w:val="22"/>
                <w:szCs w:val="22"/>
              </w:rPr>
            </w:pPr>
            <w:r w:rsidRPr="00B322B7">
              <w:rPr>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34103C03" w14:textId="77777777" w:rsidR="00B322B7" w:rsidRPr="00B322B7" w:rsidRDefault="00B322B7" w:rsidP="005E2E4F">
            <w:pPr>
              <w:jc w:val="center"/>
              <w:rPr>
                <w:color w:val="000000"/>
                <w:sz w:val="22"/>
                <w:szCs w:val="22"/>
              </w:rPr>
            </w:pPr>
            <w:r w:rsidRPr="00B322B7">
              <w:rPr>
                <w:color w:val="000000"/>
                <w:sz w:val="22"/>
                <w:szCs w:val="22"/>
              </w:rPr>
              <w:t>2.0</w:t>
            </w:r>
          </w:p>
        </w:tc>
        <w:tc>
          <w:tcPr>
            <w:tcW w:w="810" w:type="dxa"/>
            <w:tcBorders>
              <w:top w:val="nil"/>
              <w:left w:val="nil"/>
              <w:bottom w:val="single" w:sz="4" w:space="0" w:color="auto"/>
              <w:right w:val="single" w:sz="4" w:space="0" w:color="auto"/>
            </w:tcBorders>
            <w:shd w:val="clear" w:color="auto" w:fill="auto"/>
            <w:noWrap/>
            <w:vAlign w:val="bottom"/>
            <w:hideMark/>
          </w:tcPr>
          <w:p w14:paraId="6DDB11CF" w14:textId="77777777" w:rsidR="00B322B7" w:rsidRPr="00B322B7" w:rsidRDefault="00B322B7" w:rsidP="005E2E4F">
            <w:pPr>
              <w:jc w:val="center"/>
              <w:rPr>
                <w:color w:val="000000"/>
                <w:sz w:val="22"/>
                <w:szCs w:val="22"/>
              </w:rPr>
            </w:pPr>
            <w:r w:rsidRPr="00B322B7">
              <w:rPr>
                <w:color w:val="000000"/>
                <w:sz w:val="22"/>
                <w:szCs w:val="22"/>
              </w:rPr>
              <w:t>2.0</w:t>
            </w:r>
          </w:p>
        </w:tc>
        <w:tc>
          <w:tcPr>
            <w:tcW w:w="1008" w:type="dxa"/>
            <w:tcBorders>
              <w:top w:val="nil"/>
              <w:left w:val="nil"/>
              <w:bottom w:val="single" w:sz="4" w:space="0" w:color="auto"/>
              <w:right w:val="single" w:sz="4" w:space="0" w:color="auto"/>
            </w:tcBorders>
            <w:shd w:val="clear" w:color="auto" w:fill="auto"/>
            <w:noWrap/>
            <w:vAlign w:val="bottom"/>
            <w:hideMark/>
          </w:tcPr>
          <w:p w14:paraId="0847206C" w14:textId="77777777" w:rsidR="00B322B7" w:rsidRPr="00B322B7" w:rsidRDefault="00B322B7" w:rsidP="005E2E4F">
            <w:pPr>
              <w:jc w:val="center"/>
              <w:rPr>
                <w:color w:val="000000"/>
                <w:sz w:val="22"/>
                <w:szCs w:val="22"/>
              </w:rPr>
            </w:pPr>
            <w:r w:rsidRPr="00B322B7">
              <w:rPr>
                <w:color w:val="000000"/>
                <w:sz w:val="22"/>
                <w:szCs w:val="22"/>
              </w:rPr>
              <w:t>2.0</w:t>
            </w:r>
          </w:p>
        </w:tc>
      </w:tr>
      <w:tr w:rsidR="00B322B7" w:rsidRPr="00B322B7" w14:paraId="0374516A" w14:textId="77777777" w:rsidTr="005E2E4F">
        <w:trPr>
          <w:trHeight w:val="300"/>
        </w:trPr>
        <w:tc>
          <w:tcPr>
            <w:tcW w:w="1091" w:type="dxa"/>
            <w:tcBorders>
              <w:top w:val="nil"/>
              <w:left w:val="single" w:sz="4" w:space="0" w:color="auto"/>
              <w:bottom w:val="single" w:sz="4" w:space="0" w:color="auto"/>
              <w:right w:val="single" w:sz="4" w:space="0" w:color="auto"/>
            </w:tcBorders>
            <w:shd w:val="clear" w:color="000000" w:fill="F2F2F2"/>
            <w:noWrap/>
            <w:vAlign w:val="bottom"/>
            <w:hideMark/>
          </w:tcPr>
          <w:p w14:paraId="21C9C4DC" w14:textId="77777777" w:rsidR="00B322B7" w:rsidRPr="00B322B7" w:rsidRDefault="00B322B7" w:rsidP="005E2E4F">
            <w:pPr>
              <w:jc w:val="center"/>
              <w:rPr>
                <w:b/>
                <w:bCs/>
                <w:color w:val="000000"/>
                <w:sz w:val="22"/>
                <w:szCs w:val="22"/>
              </w:rPr>
            </w:pPr>
            <w:r w:rsidRPr="00B322B7">
              <w:rPr>
                <w:b/>
                <w:bCs/>
                <w:color w:val="000000"/>
                <w:sz w:val="22"/>
                <w:szCs w:val="22"/>
              </w:rPr>
              <w:t>2012</w:t>
            </w:r>
          </w:p>
        </w:tc>
        <w:tc>
          <w:tcPr>
            <w:tcW w:w="1444" w:type="dxa"/>
            <w:tcBorders>
              <w:top w:val="nil"/>
              <w:left w:val="nil"/>
              <w:bottom w:val="single" w:sz="4" w:space="0" w:color="auto"/>
              <w:right w:val="single" w:sz="4" w:space="0" w:color="auto"/>
            </w:tcBorders>
            <w:shd w:val="clear" w:color="000000" w:fill="F2F2F2"/>
            <w:noWrap/>
            <w:vAlign w:val="bottom"/>
            <w:hideMark/>
          </w:tcPr>
          <w:p w14:paraId="5491E8D6" w14:textId="77777777" w:rsidR="00B322B7" w:rsidRPr="00B322B7" w:rsidRDefault="00B322B7" w:rsidP="005E2E4F">
            <w:pPr>
              <w:jc w:val="center"/>
              <w:rPr>
                <w:color w:val="000000"/>
                <w:sz w:val="22"/>
                <w:szCs w:val="22"/>
              </w:rPr>
            </w:pPr>
            <w:r w:rsidRPr="00B322B7">
              <w:rPr>
                <w:color w:val="000000"/>
                <w:sz w:val="22"/>
                <w:szCs w:val="22"/>
              </w:rPr>
              <w:t>3.0</w:t>
            </w:r>
          </w:p>
        </w:tc>
        <w:tc>
          <w:tcPr>
            <w:tcW w:w="1080" w:type="dxa"/>
            <w:tcBorders>
              <w:top w:val="nil"/>
              <w:left w:val="nil"/>
              <w:bottom w:val="single" w:sz="4" w:space="0" w:color="auto"/>
              <w:right w:val="single" w:sz="4" w:space="0" w:color="auto"/>
            </w:tcBorders>
            <w:shd w:val="clear" w:color="000000" w:fill="F2F2F2"/>
            <w:noWrap/>
            <w:vAlign w:val="bottom"/>
            <w:hideMark/>
          </w:tcPr>
          <w:p w14:paraId="7C9E4D6E" w14:textId="77777777" w:rsidR="00B322B7" w:rsidRPr="00B322B7" w:rsidRDefault="00B322B7" w:rsidP="005E2E4F">
            <w:pPr>
              <w:jc w:val="center"/>
              <w:rPr>
                <w:color w:val="000000"/>
                <w:sz w:val="22"/>
                <w:szCs w:val="22"/>
              </w:rPr>
            </w:pPr>
            <w:r w:rsidRPr="00B322B7">
              <w:rPr>
                <w:color w:val="000000"/>
                <w:sz w:val="22"/>
                <w:szCs w:val="22"/>
              </w:rPr>
              <w:t>2.5</w:t>
            </w:r>
          </w:p>
        </w:tc>
        <w:tc>
          <w:tcPr>
            <w:tcW w:w="810" w:type="dxa"/>
            <w:tcBorders>
              <w:top w:val="nil"/>
              <w:left w:val="nil"/>
              <w:bottom w:val="single" w:sz="4" w:space="0" w:color="auto"/>
              <w:right w:val="single" w:sz="4" w:space="0" w:color="auto"/>
            </w:tcBorders>
            <w:shd w:val="clear" w:color="000000" w:fill="F2F2F2"/>
            <w:noWrap/>
            <w:vAlign w:val="bottom"/>
            <w:hideMark/>
          </w:tcPr>
          <w:p w14:paraId="600D602F" w14:textId="77777777" w:rsidR="00B322B7" w:rsidRPr="00B322B7" w:rsidRDefault="00B322B7" w:rsidP="005E2E4F">
            <w:pPr>
              <w:jc w:val="center"/>
              <w:rPr>
                <w:color w:val="000000"/>
                <w:sz w:val="22"/>
                <w:szCs w:val="22"/>
              </w:rPr>
            </w:pPr>
            <w:r w:rsidRPr="00B322B7">
              <w:rPr>
                <w:color w:val="000000"/>
                <w:sz w:val="22"/>
                <w:szCs w:val="22"/>
              </w:rPr>
              <w:t>2.4</w:t>
            </w:r>
          </w:p>
        </w:tc>
        <w:tc>
          <w:tcPr>
            <w:tcW w:w="1260" w:type="dxa"/>
            <w:tcBorders>
              <w:top w:val="nil"/>
              <w:left w:val="nil"/>
              <w:bottom w:val="single" w:sz="4" w:space="0" w:color="auto"/>
              <w:right w:val="single" w:sz="4" w:space="0" w:color="auto"/>
            </w:tcBorders>
            <w:shd w:val="clear" w:color="000000" w:fill="F2F2F2"/>
            <w:noWrap/>
            <w:vAlign w:val="bottom"/>
            <w:hideMark/>
          </w:tcPr>
          <w:p w14:paraId="7C2FC236" w14:textId="77777777" w:rsidR="00B322B7" w:rsidRPr="00B322B7" w:rsidRDefault="00B322B7" w:rsidP="005E2E4F">
            <w:pPr>
              <w:jc w:val="center"/>
              <w:rPr>
                <w:color w:val="000000"/>
                <w:sz w:val="22"/>
                <w:szCs w:val="22"/>
              </w:rPr>
            </w:pPr>
            <w:r w:rsidRPr="00B322B7">
              <w:rPr>
                <w:color w:val="000000"/>
                <w:sz w:val="22"/>
                <w:szCs w:val="22"/>
              </w:rPr>
              <w:t>1.9</w:t>
            </w:r>
          </w:p>
        </w:tc>
        <w:tc>
          <w:tcPr>
            <w:tcW w:w="990" w:type="dxa"/>
            <w:tcBorders>
              <w:top w:val="nil"/>
              <w:left w:val="nil"/>
              <w:bottom w:val="single" w:sz="4" w:space="0" w:color="auto"/>
              <w:right w:val="single" w:sz="4" w:space="0" w:color="auto"/>
            </w:tcBorders>
            <w:shd w:val="clear" w:color="000000" w:fill="F2F2F2"/>
            <w:noWrap/>
            <w:vAlign w:val="bottom"/>
            <w:hideMark/>
          </w:tcPr>
          <w:p w14:paraId="4F3A9B56" w14:textId="77777777" w:rsidR="00B322B7" w:rsidRPr="00B322B7" w:rsidRDefault="00B322B7" w:rsidP="005E2E4F">
            <w:pPr>
              <w:jc w:val="center"/>
              <w:rPr>
                <w:color w:val="000000"/>
                <w:sz w:val="22"/>
                <w:szCs w:val="22"/>
              </w:rPr>
            </w:pPr>
            <w:r w:rsidRPr="00B322B7">
              <w:rPr>
                <w:color w:val="000000"/>
                <w:sz w:val="22"/>
                <w:szCs w:val="22"/>
              </w:rPr>
              <w:t> </w:t>
            </w:r>
          </w:p>
        </w:tc>
        <w:tc>
          <w:tcPr>
            <w:tcW w:w="990" w:type="dxa"/>
            <w:tcBorders>
              <w:top w:val="nil"/>
              <w:left w:val="nil"/>
              <w:bottom w:val="single" w:sz="4" w:space="0" w:color="auto"/>
              <w:right w:val="single" w:sz="4" w:space="0" w:color="auto"/>
            </w:tcBorders>
            <w:shd w:val="clear" w:color="000000" w:fill="F2F2F2"/>
            <w:noWrap/>
            <w:vAlign w:val="bottom"/>
            <w:hideMark/>
          </w:tcPr>
          <w:p w14:paraId="166606B0" w14:textId="77777777" w:rsidR="00B322B7" w:rsidRPr="00B322B7" w:rsidRDefault="00B322B7" w:rsidP="005E2E4F">
            <w:pPr>
              <w:jc w:val="center"/>
              <w:rPr>
                <w:color w:val="000000"/>
                <w:sz w:val="22"/>
                <w:szCs w:val="22"/>
              </w:rPr>
            </w:pPr>
            <w:r w:rsidRPr="00B322B7">
              <w:rPr>
                <w:color w:val="000000"/>
                <w:sz w:val="22"/>
                <w:szCs w:val="22"/>
              </w:rPr>
              <w:t>1.5</w:t>
            </w:r>
          </w:p>
        </w:tc>
        <w:tc>
          <w:tcPr>
            <w:tcW w:w="810" w:type="dxa"/>
            <w:tcBorders>
              <w:top w:val="nil"/>
              <w:left w:val="nil"/>
              <w:bottom w:val="single" w:sz="4" w:space="0" w:color="auto"/>
              <w:right w:val="single" w:sz="4" w:space="0" w:color="auto"/>
            </w:tcBorders>
            <w:shd w:val="clear" w:color="000000" w:fill="F2F2F2"/>
            <w:noWrap/>
            <w:vAlign w:val="bottom"/>
            <w:hideMark/>
          </w:tcPr>
          <w:p w14:paraId="631B5C9C" w14:textId="77777777" w:rsidR="00B322B7" w:rsidRPr="00B322B7" w:rsidRDefault="00B322B7" w:rsidP="005E2E4F">
            <w:pPr>
              <w:jc w:val="center"/>
              <w:rPr>
                <w:color w:val="000000"/>
                <w:sz w:val="22"/>
                <w:szCs w:val="22"/>
              </w:rPr>
            </w:pPr>
            <w:r w:rsidRPr="00B322B7">
              <w:rPr>
                <w:color w:val="000000"/>
                <w:sz w:val="22"/>
                <w:szCs w:val="22"/>
              </w:rPr>
              <w:t>2.2</w:t>
            </w:r>
          </w:p>
        </w:tc>
        <w:tc>
          <w:tcPr>
            <w:tcW w:w="1008" w:type="dxa"/>
            <w:tcBorders>
              <w:top w:val="nil"/>
              <w:left w:val="nil"/>
              <w:bottom w:val="single" w:sz="4" w:space="0" w:color="auto"/>
              <w:right w:val="single" w:sz="4" w:space="0" w:color="auto"/>
            </w:tcBorders>
            <w:shd w:val="clear" w:color="000000" w:fill="F2F2F2"/>
            <w:noWrap/>
            <w:vAlign w:val="bottom"/>
            <w:hideMark/>
          </w:tcPr>
          <w:p w14:paraId="2BBCC23C" w14:textId="77777777" w:rsidR="00B322B7" w:rsidRPr="00B322B7" w:rsidRDefault="00B322B7" w:rsidP="005E2E4F">
            <w:pPr>
              <w:jc w:val="center"/>
              <w:rPr>
                <w:color w:val="000000"/>
                <w:sz w:val="22"/>
                <w:szCs w:val="22"/>
              </w:rPr>
            </w:pPr>
            <w:r w:rsidRPr="00B322B7">
              <w:rPr>
                <w:color w:val="000000"/>
                <w:sz w:val="22"/>
                <w:szCs w:val="22"/>
              </w:rPr>
              <w:t>2.1</w:t>
            </w:r>
          </w:p>
        </w:tc>
      </w:tr>
      <w:tr w:rsidR="00B322B7" w:rsidRPr="00B322B7" w14:paraId="7E16487A" w14:textId="77777777" w:rsidTr="005E2E4F">
        <w:trPr>
          <w:trHeight w:val="300"/>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20640C47" w14:textId="77777777" w:rsidR="00B322B7" w:rsidRPr="00B322B7" w:rsidRDefault="00B322B7" w:rsidP="005E2E4F">
            <w:pPr>
              <w:jc w:val="center"/>
              <w:rPr>
                <w:b/>
                <w:bCs/>
                <w:color w:val="000000"/>
                <w:sz w:val="22"/>
                <w:szCs w:val="22"/>
              </w:rPr>
            </w:pPr>
            <w:r w:rsidRPr="00B322B7">
              <w:rPr>
                <w:b/>
                <w:bCs/>
                <w:color w:val="000000"/>
                <w:sz w:val="22"/>
                <w:szCs w:val="22"/>
              </w:rPr>
              <w:t>2013</w:t>
            </w:r>
          </w:p>
        </w:tc>
        <w:tc>
          <w:tcPr>
            <w:tcW w:w="1444" w:type="dxa"/>
            <w:tcBorders>
              <w:top w:val="nil"/>
              <w:left w:val="nil"/>
              <w:bottom w:val="single" w:sz="4" w:space="0" w:color="auto"/>
              <w:right w:val="single" w:sz="4" w:space="0" w:color="auto"/>
            </w:tcBorders>
            <w:shd w:val="clear" w:color="auto" w:fill="auto"/>
            <w:noWrap/>
            <w:vAlign w:val="bottom"/>
            <w:hideMark/>
          </w:tcPr>
          <w:p w14:paraId="3937BF2F" w14:textId="77777777" w:rsidR="00B322B7" w:rsidRPr="00B322B7" w:rsidRDefault="00B322B7" w:rsidP="005E2E4F">
            <w:pPr>
              <w:jc w:val="center"/>
              <w:rPr>
                <w:color w:val="000000"/>
                <w:sz w:val="22"/>
                <w:szCs w:val="22"/>
              </w:rPr>
            </w:pPr>
            <w:r w:rsidRPr="00B322B7">
              <w:rPr>
                <w:color w:val="000000"/>
                <w:sz w:val="22"/>
                <w:szCs w:val="22"/>
              </w:rPr>
              <w:t>2.6</w:t>
            </w:r>
          </w:p>
        </w:tc>
        <w:tc>
          <w:tcPr>
            <w:tcW w:w="1080" w:type="dxa"/>
            <w:tcBorders>
              <w:top w:val="nil"/>
              <w:left w:val="nil"/>
              <w:bottom w:val="single" w:sz="4" w:space="0" w:color="auto"/>
              <w:right w:val="single" w:sz="4" w:space="0" w:color="auto"/>
            </w:tcBorders>
            <w:shd w:val="clear" w:color="auto" w:fill="auto"/>
            <w:noWrap/>
            <w:vAlign w:val="bottom"/>
            <w:hideMark/>
          </w:tcPr>
          <w:p w14:paraId="2AAE3B2D" w14:textId="77777777" w:rsidR="00B322B7" w:rsidRPr="00B322B7" w:rsidRDefault="00B322B7" w:rsidP="005E2E4F">
            <w:pPr>
              <w:jc w:val="center"/>
              <w:rPr>
                <w:color w:val="000000"/>
                <w:sz w:val="22"/>
                <w:szCs w:val="22"/>
              </w:rPr>
            </w:pPr>
            <w:r w:rsidRPr="00B322B7">
              <w:rPr>
                <w:color w:val="000000"/>
                <w:sz w:val="22"/>
                <w:szCs w:val="22"/>
              </w:rPr>
              <w:t>2.5</w:t>
            </w:r>
          </w:p>
        </w:tc>
        <w:tc>
          <w:tcPr>
            <w:tcW w:w="810" w:type="dxa"/>
            <w:tcBorders>
              <w:top w:val="nil"/>
              <w:left w:val="nil"/>
              <w:bottom w:val="single" w:sz="4" w:space="0" w:color="auto"/>
              <w:right w:val="single" w:sz="4" w:space="0" w:color="auto"/>
            </w:tcBorders>
            <w:shd w:val="clear" w:color="auto" w:fill="auto"/>
            <w:noWrap/>
            <w:vAlign w:val="bottom"/>
            <w:hideMark/>
          </w:tcPr>
          <w:p w14:paraId="792103A9" w14:textId="77777777" w:rsidR="00B322B7" w:rsidRPr="00B322B7" w:rsidRDefault="00B322B7" w:rsidP="005E2E4F">
            <w:pPr>
              <w:jc w:val="center"/>
              <w:rPr>
                <w:color w:val="000000"/>
                <w:sz w:val="22"/>
                <w:szCs w:val="22"/>
              </w:rPr>
            </w:pPr>
            <w:r w:rsidRPr="00B322B7">
              <w:rPr>
                <w:color w:val="000000"/>
                <w:sz w:val="22"/>
                <w:szCs w:val="22"/>
              </w:rPr>
              <w:t>2.3</w:t>
            </w:r>
          </w:p>
        </w:tc>
        <w:tc>
          <w:tcPr>
            <w:tcW w:w="1260" w:type="dxa"/>
            <w:tcBorders>
              <w:top w:val="nil"/>
              <w:left w:val="nil"/>
              <w:bottom w:val="single" w:sz="4" w:space="0" w:color="auto"/>
              <w:right w:val="single" w:sz="4" w:space="0" w:color="auto"/>
            </w:tcBorders>
            <w:shd w:val="clear" w:color="auto" w:fill="auto"/>
            <w:noWrap/>
            <w:vAlign w:val="bottom"/>
            <w:hideMark/>
          </w:tcPr>
          <w:p w14:paraId="02967431" w14:textId="77777777" w:rsidR="00B322B7" w:rsidRPr="00B322B7" w:rsidRDefault="00B322B7" w:rsidP="005E2E4F">
            <w:pPr>
              <w:jc w:val="center"/>
              <w:rPr>
                <w:color w:val="000000"/>
                <w:sz w:val="22"/>
                <w:szCs w:val="22"/>
              </w:rPr>
            </w:pPr>
            <w:r w:rsidRPr="00B322B7">
              <w:rPr>
                <w:color w:val="000000"/>
                <w:sz w:val="22"/>
                <w:szCs w:val="22"/>
              </w:rPr>
              <w:t>2</w:t>
            </w:r>
          </w:p>
        </w:tc>
        <w:tc>
          <w:tcPr>
            <w:tcW w:w="990" w:type="dxa"/>
            <w:tcBorders>
              <w:top w:val="nil"/>
              <w:left w:val="nil"/>
              <w:bottom w:val="single" w:sz="4" w:space="0" w:color="auto"/>
              <w:right w:val="single" w:sz="4" w:space="0" w:color="auto"/>
            </w:tcBorders>
            <w:shd w:val="clear" w:color="auto" w:fill="auto"/>
            <w:noWrap/>
            <w:vAlign w:val="bottom"/>
            <w:hideMark/>
          </w:tcPr>
          <w:p w14:paraId="60F430C6" w14:textId="77777777" w:rsidR="00B322B7" w:rsidRPr="00B322B7" w:rsidRDefault="00B322B7" w:rsidP="005E2E4F">
            <w:pPr>
              <w:jc w:val="center"/>
              <w:rPr>
                <w:color w:val="000000"/>
                <w:sz w:val="22"/>
                <w:szCs w:val="22"/>
              </w:rPr>
            </w:pPr>
            <w:r w:rsidRPr="00B322B7">
              <w:rPr>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130005E2" w14:textId="77777777" w:rsidR="00B322B7" w:rsidRPr="00B322B7" w:rsidRDefault="00B322B7" w:rsidP="005E2E4F">
            <w:pPr>
              <w:jc w:val="center"/>
              <w:rPr>
                <w:color w:val="000000"/>
                <w:sz w:val="22"/>
                <w:szCs w:val="22"/>
              </w:rPr>
            </w:pPr>
            <w:r w:rsidRPr="00B322B7">
              <w:rPr>
                <w:color w:val="000000"/>
                <w:sz w:val="22"/>
                <w:szCs w:val="22"/>
              </w:rPr>
              <w:t>1.5</w:t>
            </w:r>
          </w:p>
        </w:tc>
        <w:tc>
          <w:tcPr>
            <w:tcW w:w="810" w:type="dxa"/>
            <w:tcBorders>
              <w:top w:val="nil"/>
              <w:left w:val="nil"/>
              <w:bottom w:val="single" w:sz="4" w:space="0" w:color="auto"/>
              <w:right w:val="single" w:sz="4" w:space="0" w:color="auto"/>
            </w:tcBorders>
            <w:shd w:val="clear" w:color="auto" w:fill="auto"/>
            <w:noWrap/>
            <w:vAlign w:val="bottom"/>
            <w:hideMark/>
          </w:tcPr>
          <w:p w14:paraId="02EE7371" w14:textId="77777777" w:rsidR="00B322B7" w:rsidRPr="00B322B7" w:rsidRDefault="00B322B7" w:rsidP="005E2E4F">
            <w:pPr>
              <w:jc w:val="center"/>
              <w:rPr>
                <w:color w:val="000000"/>
                <w:sz w:val="22"/>
                <w:szCs w:val="22"/>
              </w:rPr>
            </w:pPr>
            <w:r w:rsidRPr="00B322B7">
              <w:rPr>
                <w:color w:val="000000"/>
                <w:sz w:val="22"/>
                <w:szCs w:val="22"/>
              </w:rPr>
              <w:t>2.1</w:t>
            </w:r>
          </w:p>
        </w:tc>
        <w:tc>
          <w:tcPr>
            <w:tcW w:w="1008" w:type="dxa"/>
            <w:tcBorders>
              <w:top w:val="nil"/>
              <w:left w:val="nil"/>
              <w:bottom w:val="single" w:sz="4" w:space="0" w:color="auto"/>
              <w:right w:val="single" w:sz="4" w:space="0" w:color="auto"/>
            </w:tcBorders>
            <w:shd w:val="clear" w:color="auto" w:fill="auto"/>
            <w:noWrap/>
            <w:vAlign w:val="bottom"/>
            <w:hideMark/>
          </w:tcPr>
          <w:p w14:paraId="10CF5C58" w14:textId="77777777" w:rsidR="00B322B7" w:rsidRPr="00B322B7" w:rsidRDefault="00B322B7" w:rsidP="005E2E4F">
            <w:pPr>
              <w:jc w:val="center"/>
              <w:rPr>
                <w:color w:val="000000"/>
                <w:sz w:val="22"/>
                <w:szCs w:val="22"/>
              </w:rPr>
            </w:pPr>
            <w:r w:rsidRPr="00B322B7">
              <w:rPr>
                <w:color w:val="000000"/>
                <w:sz w:val="22"/>
                <w:szCs w:val="22"/>
              </w:rPr>
              <w:t>2.2</w:t>
            </w:r>
          </w:p>
        </w:tc>
      </w:tr>
      <w:tr w:rsidR="00B322B7" w:rsidRPr="00B322B7" w14:paraId="2DD1F6FA" w14:textId="77777777" w:rsidTr="005E2E4F">
        <w:trPr>
          <w:trHeight w:val="300"/>
        </w:trPr>
        <w:tc>
          <w:tcPr>
            <w:tcW w:w="1091" w:type="dxa"/>
            <w:tcBorders>
              <w:top w:val="nil"/>
              <w:left w:val="single" w:sz="4" w:space="0" w:color="auto"/>
              <w:bottom w:val="single" w:sz="4" w:space="0" w:color="auto"/>
              <w:right w:val="single" w:sz="4" w:space="0" w:color="auto"/>
            </w:tcBorders>
            <w:shd w:val="clear" w:color="000000" w:fill="F2F2F2"/>
            <w:noWrap/>
            <w:vAlign w:val="bottom"/>
            <w:hideMark/>
          </w:tcPr>
          <w:p w14:paraId="37E75D1E" w14:textId="77777777" w:rsidR="00B322B7" w:rsidRPr="00B322B7" w:rsidRDefault="00B322B7" w:rsidP="005E2E4F">
            <w:pPr>
              <w:jc w:val="center"/>
              <w:rPr>
                <w:b/>
                <w:bCs/>
                <w:color w:val="000000"/>
                <w:sz w:val="22"/>
                <w:szCs w:val="22"/>
              </w:rPr>
            </w:pPr>
            <w:r w:rsidRPr="00B322B7">
              <w:rPr>
                <w:b/>
                <w:bCs/>
                <w:color w:val="000000"/>
                <w:sz w:val="22"/>
                <w:szCs w:val="22"/>
              </w:rPr>
              <w:t>2014</w:t>
            </w:r>
          </w:p>
        </w:tc>
        <w:tc>
          <w:tcPr>
            <w:tcW w:w="1444" w:type="dxa"/>
            <w:tcBorders>
              <w:top w:val="nil"/>
              <w:left w:val="nil"/>
              <w:bottom w:val="single" w:sz="4" w:space="0" w:color="auto"/>
              <w:right w:val="single" w:sz="4" w:space="0" w:color="auto"/>
            </w:tcBorders>
            <w:shd w:val="clear" w:color="000000" w:fill="F2F2F2"/>
            <w:noWrap/>
            <w:vAlign w:val="bottom"/>
            <w:hideMark/>
          </w:tcPr>
          <w:p w14:paraId="41EC17D9" w14:textId="77777777" w:rsidR="00B322B7" w:rsidRPr="00B322B7" w:rsidRDefault="00B322B7" w:rsidP="005E2E4F">
            <w:pPr>
              <w:jc w:val="center"/>
              <w:rPr>
                <w:color w:val="000000"/>
                <w:sz w:val="22"/>
                <w:szCs w:val="22"/>
              </w:rPr>
            </w:pPr>
            <w:r w:rsidRPr="00B322B7">
              <w:rPr>
                <w:color w:val="000000"/>
                <w:sz w:val="22"/>
                <w:szCs w:val="22"/>
              </w:rPr>
              <w:t>2.5</w:t>
            </w:r>
          </w:p>
        </w:tc>
        <w:tc>
          <w:tcPr>
            <w:tcW w:w="1080" w:type="dxa"/>
            <w:tcBorders>
              <w:top w:val="nil"/>
              <w:left w:val="nil"/>
              <w:bottom w:val="single" w:sz="4" w:space="0" w:color="auto"/>
              <w:right w:val="single" w:sz="4" w:space="0" w:color="auto"/>
            </w:tcBorders>
            <w:shd w:val="clear" w:color="000000" w:fill="F2F2F2"/>
            <w:noWrap/>
            <w:vAlign w:val="bottom"/>
            <w:hideMark/>
          </w:tcPr>
          <w:p w14:paraId="195BB268" w14:textId="77777777" w:rsidR="00B322B7" w:rsidRPr="00B322B7" w:rsidRDefault="00B322B7" w:rsidP="005E2E4F">
            <w:pPr>
              <w:jc w:val="center"/>
              <w:rPr>
                <w:color w:val="000000"/>
                <w:sz w:val="22"/>
                <w:szCs w:val="22"/>
              </w:rPr>
            </w:pPr>
            <w:r w:rsidRPr="00B322B7">
              <w:rPr>
                <w:color w:val="000000"/>
                <w:sz w:val="22"/>
                <w:szCs w:val="22"/>
              </w:rPr>
              <w:t>2.3</w:t>
            </w:r>
          </w:p>
        </w:tc>
        <w:tc>
          <w:tcPr>
            <w:tcW w:w="810" w:type="dxa"/>
            <w:tcBorders>
              <w:top w:val="nil"/>
              <w:left w:val="nil"/>
              <w:bottom w:val="single" w:sz="4" w:space="0" w:color="auto"/>
              <w:right w:val="single" w:sz="4" w:space="0" w:color="auto"/>
            </w:tcBorders>
            <w:shd w:val="clear" w:color="000000" w:fill="F2F2F2"/>
            <w:noWrap/>
            <w:vAlign w:val="bottom"/>
            <w:hideMark/>
          </w:tcPr>
          <w:p w14:paraId="6DD7F9B3" w14:textId="77777777" w:rsidR="00B322B7" w:rsidRPr="00B322B7" w:rsidRDefault="00B322B7" w:rsidP="005E2E4F">
            <w:pPr>
              <w:jc w:val="center"/>
              <w:rPr>
                <w:color w:val="000000"/>
                <w:sz w:val="22"/>
                <w:szCs w:val="22"/>
              </w:rPr>
            </w:pPr>
            <w:r w:rsidRPr="00B322B7">
              <w:rPr>
                <w:color w:val="000000"/>
                <w:sz w:val="22"/>
                <w:szCs w:val="22"/>
              </w:rPr>
              <w:t>2.2</w:t>
            </w:r>
          </w:p>
        </w:tc>
        <w:tc>
          <w:tcPr>
            <w:tcW w:w="1260" w:type="dxa"/>
            <w:tcBorders>
              <w:top w:val="nil"/>
              <w:left w:val="nil"/>
              <w:bottom w:val="single" w:sz="4" w:space="0" w:color="auto"/>
              <w:right w:val="single" w:sz="4" w:space="0" w:color="auto"/>
            </w:tcBorders>
            <w:shd w:val="clear" w:color="000000" w:fill="F2F2F2"/>
            <w:noWrap/>
            <w:vAlign w:val="bottom"/>
            <w:hideMark/>
          </w:tcPr>
          <w:p w14:paraId="11933188" w14:textId="77777777" w:rsidR="00B322B7" w:rsidRPr="00B322B7" w:rsidRDefault="00B322B7" w:rsidP="005E2E4F">
            <w:pPr>
              <w:jc w:val="center"/>
              <w:rPr>
                <w:color w:val="000000"/>
                <w:sz w:val="22"/>
                <w:szCs w:val="22"/>
              </w:rPr>
            </w:pPr>
            <w:r w:rsidRPr="00B322B7">
              <w:rPr>
                <w:color w:val="000000"/>
                <w:sz w:val="22"/>
                <w:szCs w:val="22"/>
              </w:rPr>
              <w:t>1.9</w:t>
            </w:r>
          </w:p>
        </w:tc>
        <w:tc>
          <w:tcPr>
            <w:tcW w:w="990" w:type="dxa"/>
            <w:tcBorders>
              <w:top w:val="nil"/>
              <w:left w:val="nil"/>
              <w:bottom w:val="single" w:sz="4" w:space="0" w:color="auto"/>
              <w:right w:val="single" w:sz="4" w:space="0" w:color="auto"/>
            </w:tcBorders>
            <w:shd w:val="clear" w:color="000000" w:fill="F2F2F2"/>
            <w:noWrap/>
            <w:vAlign w:val="bottom"/>
            <w:hideMark/>
          </w:tcPr>
          <w:p w14:paraId="56DFD84A" w14:textId="77777777" w:rsidR="00B322B7" w:rsidRPr="00B322B7" w:rsidRDefault="00B322B7" w:rsidP="005E2E4F">
            <w:pPr>
              <w:jc w:val="center"/>
              <w:rPr>
                <w:color w:val="000000"/>
                <w:sz w:val="22"/>
                <w:szCs w:val="22"/>
              </w:rPr>
            </w:pPr>
            <w:r w:rsidRPr="00B322B7">
              <w:rPr>
                <w:color w:val="000000"/>
                <w:sz w:val="22"/>
                <w:szCs w:val="22"/>
              </w:rPr>
              <w:t>3.0</w:t>
            </w:r>
          </w:p>
        </w:tc>
        <w:tc>
          <w:tcPr>
            <w:tcW w:w="990" w:type="dxa"/>
            <w:tcBorders>
              <w:top w:val="nil"/>
              <w:left w:val="nil"/>
              <w:bottom w:val="single" w:sz="4" w:space="0" w:color="auto"/>
              <w:right w:val="single" w:sz="4" w:space="0" w:color="auto"/>
            </w:tcBorders>
            <w:shd w:val="clear" w:color="000000" w:fill="F2F2F2"/>
            <w:noWrap/>
            <w:vAlign w:val="bottom"/>
            <w:hideMark/>
          </w:tcPr>
          <w:p w14:paraId="64797D53" w14:textId="77777777" w:rsidR="00B322B7" w:rsidRPr="00B322B7" w:rsidRDefault="00B322B7" w:rsidP="005E2E4F">
            <w:pPr>
              <w:jc w:val="center"/>
              <w:rPr>
                <w:color w:val="000000"/>
                <w:sz w:val="22"/>
                <w:szCs w:val="22"/>
              </w:rPr>
            </w:pPr>
            <w:r w:rsidRPr="00B322B7">
              <w:rPr>
                <w:color w:val="000000"/>
                <w:sz w:val="22"/>
                <w:szCs w:val="22"/>
              </w:rPr>
              <w:t>1.5</w:t>
            </w:r>
          </w:p>
        </w:tc>
        <w:tc>
          <w:tcPr>
            <w:tcW w:w="810" w:type="dxa"/>
            <w:tcBorders>
              <w:top w:val="nil"/>
              <w:left w:val="nil"/>
              <w:bottom w:val="single" w:sz="4" w:space="0" w:color="auto"/>
              <w:right w:val="single" w:sz="4" w:space="0" w:color="auto"/>
            </w:tcBorders>
            <w:shd w:val="clear" w:color="000000" w:fill="F2F2F2"/>
            <w:noWrap/>
            <w:vAlign w:val="bottom"/>
            <w:hideMark/>
          </w:tcPr>
          <w:p w14:paraId="23C9CF51" w14:textId="77777777" w:rsidR="00B322B7" w:rsidRPr="00B322B7" w:rsidRDefault="00B322B7" w:rsidP="005E2E4F">
            <w:pPr>
              <w:jc w:val="center"/>
              <w:rPr>
                <w:color w:val="000000"/>
                <w:sz w:val="22"/>
                <w:szCs w:val="22"/>
              </w:rPr>
            </w:pPr>
            <w:r w:rsidRPr="00B322B7">
              <w:rPr>
                <w:color w:val="000000"/>
                <w:sz w:val="22"/>
                <w:szCs w:val="22"/>
              </w:rPr>
              <w:t>2.3</w:t>
            </w:r>
          </w:p>
        </w:tc>
        <w:tc>
          <w:tcPr>
            <w:tcW w:w="1008" w:type="dxa"/>
            <w:tcBorders>
              <w:top w:val="nil"/>
              <w:left w:val="nil"/>
              <w:bottom w:val="single" w:sz="4" w:space="0" w:color="auto"/>
              <w:right w:val="single" w:sz="4" w:space="0" w:color="auto"/>
            </w:tcBorders>
            <w:shd w:val="clear" w:color="000000" w:fill="F2F2F2"/>
            <w:noWrap/>
            <w:vAlign w:val="bottom"/>
            <w:hideMark/>
          </w:tcPr>
          <w:p w14:paraId="10231B10" w14:textId="77777777" w:rsidR="00B322B7" w:rsidRPr="00B322B7" w:rsidRDefault="00B322B7" w:rsidP="005E2E4F">
            <w:pPr>
              <w:jc w:val="center"/>
              <w:rPr>
                <w:color w:val="000000"/>
                <w:sz w:val="22"/>
                <w:szCs w:val="22"/>
              </w:rPr>
            </w:pPr>
            <w:r w:rsidRPr="00B322B7">
              <w:rPr>
                <w:color w:val="000000"/>
                <w:sz w:val="22"/>
                <w:szCs w:val="22"/>
              </w:rPr>
              <w:t>2.1</w:t>
            </w:r>
          </w:p>
        </w:tc>
      </w:tr>
      <w:tr w:rsidR="00B322B7" w:rsidRPr="00B322B7" w14:paraId="05EAB1AD" w14:textId="77777777" w:rsidTr="005E2E4F">
        <w:trPr>
          <w:trHeight w:val="300"/>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6AFC9734" w14:textId="77777777" w:rsidR="00B322B7" w:rsidRPr="00B322B7" w:rsidRDefault="00B322B7" w:rsidP="005E2E4F">
            <w:pPr>
              <w:jc w:val="center"/>
              <w:rPr>
                <w:b/>
                <w:bCs/>
                <w:color w:val="000000"/>
                <w:sz w:val="22"/>
                <w:szCs w:val="22"/>
              </w:rPr>
            </w:pPr>
            <w:r w:rsidRPr="00B322B7">
              <w:rPr>
                <w:b/>
                <w:bCs/>
                <w:color w:val="000000"/>
                <w:sz w:val="22"/>
                <w:szCs w:val="22"/>
              </w:rPr>
              <w:t>2015</w:t>
            </w:r>
          </w:p>
        </w:tc>
        <w:tc>
          <w:tcPr>
            <w:tcW w:w="1444" w:type="dxa"/>
            <w:tcBorders>
              <w:top w:val="nil"/>
              <w:left w:val="nil"/>
              <w:bottom w:val="single" w:sz="4" w:space="0" w:color="auto"/>
              <w:right w:val="single" w:sz="4" w:space="0" w:color="auto"/>
            </w:tcBorders>
            <w:shd w:val="clear" w:color="auto" w:fill="auto"/>
            <w:noWrap/>
            <w:vAlign w:val="bottom"/>
            <w:hideMark/>
          </w:tcPr>
          <w:p w14:paraId="7741A38B" w14:textId="77777777" w:rsidR="00B322B7" w:rsidRPr="00B322B7" w:rsidRDefault="00B322B7" w:rsidP="005E2E4F">
            <w:pPr>
              <w:jc w:val="center"/>
              <w:rPr>
                <w:color w:val="000000"/>
                <w:sz w:val="22"/>
                <w:szCs w:val="22"/>
              </w:rPr>
            </w:pPr>
            <w:r w:rsidRPr="00B322B7">
              <w:rPr>
                <w:color w:val="000000"/>
                <w:sz w:val="22"/>
                <w:szCs w:val="22"/>
              </w:rPr>
              <w:t>2.3</w:t>
            </w:r>
          </w:p>
        </w:tc>
        <w:tc>
          <w:tcPr>
            <w:tcW w:w="1080" w:type="dxa"/>
            <w:tcBorders>
              <w:top w:val="nil"/>
              <w:left w:val="nil"/>
              <w:bottom w:val="single" w:sz="4" w:space="0" w:color="auto"/>
              <w:right w:val="single" w:sz="4" w:space="0" w:color="auto"/>
            </w:tcBorders>
            <w:shd w:val="clear" w:color="auto" w:fill="auto"/>
            <w:noWrap/>
            <w:vAlign w:val="bottom"/>
            <w:hideMark/>
          </w:tcPr>
          <w:p w14:paraId="2C2BFCDD" w14:textId="77777777" w:rsidR="00B322B7" w:rsidRPr="00B322B7" w:rsidRDefault="00B322B7" w:rsidP="005E2E4F">
            <w:pPr>
              <w:jc w:val="center"/>
              <w:rPr>
                <w:color w:val="000000"/>
                <w:sz w:val="22"/>
                <w:szCs w:val="22"/>
              </w:rPr>
            </w:pPr>
            <w:r w:rsidRPr="00B322B7">
              <w:rPr>
                <w:color w:val="000000"/>
                <w:sz w:val="22"/>
                <w:szCs w:val="22"/>
              </w:rPr>
              <w:t>2.6</w:t>
            </w:r>
          </w:p>
        </w:tc>
        <w:tc>
          <w:tcPr>
            <w:tcW w:w="810" w:type="dxa"/>
            <w:tcBorders>
              <w:top w:val="nil"/>
              <w:left w:val="nil"/>
              <w:bottom w:val="single" w:sz="4" w:space="0" w:color="auto"/>
              <w:right w:val="single" w:sz="4" w:space="0" w:color="auto"/>
            </w:tcBorders>
            <w:shd w:val="clear" w:color="auto" w:fill="auto"/>
            <w:noWrap/>
            <w:vAlign w:val="bottom"/>
            <w:hideMark/>
          </w:tcPr>
          <w:p w14:paraId="2E907D62" w14:textId="77777777" w:rsidR="00B322B7" w:rsidRPr="00B322B7" w:rsidRDefault="00B322B7" w:rsidP="005E2E4F">
            <w:pPr>
              <w:jc w:val="center"/>
              <w:rPr>
                <w:color w:val="000000"/>
                <w:sz w:val="22"/>
                <w:szCs w:val="22"/>
              </w:rPr>
            </w:pPr>
            <w:r w:rsidRPr="00B322B7">
              <w:rPr>
                <w:color w:val="000000"/>
                <w:sz w:val="22"/>
                <w:szCs w:val="22"/>
              </w:rPr>
              <w:t>2.3</w:t>
            </w:r>
          </w:p>
        </w:tc>
        <w:tc>
          <w:tcPr>
            <w:tcW w:w="1260" w:type="dxa"/>
            <w:tcBorders>
              <w:top w:val="nil"/>
              <w:left w:val="nil"/>
              <w:bottom w:val="single" w:sz="4" w:space="0" w:color="auto"/>
              <w:right w:val="single" w:sz="4" w:space="0" w:color="auto"/>
            </w:tcBorders>
            <w:shd w:val="clear" w:color="auto" w:fill="auto"/>
            <w:noWrap/>
            <w:vAlign w:val="bottom"/>
            <w:hideMark/>
          </w:tcPr>
          <w:p w14:paraId="7826DCEF" w14:textId="77777777" w:rsidR="00B322B7" w:rsidRPr="00B322B7" w:rsidRDefault="00B322B7" w:rsidP="005E2E4F">
            <w:pPr>
              <w:jc w:val="center"/>
              <w:rPr>
                <w:color w:val="000000"/>
                <w:sz w:val="22"/>
                <w:szCs w:val="22"/>
              </w:rPr>
            </w:pPr>
            <w:r w:rsidRPr="00B322B7">
              <w:rPr>
                <w:color w:val="000000"/>
                <w:sz w:val="22"/>
                <w:szCs w:val="22"/>
              </w:rPr>
              <w:t>2</w:t>
            </w:r>
          </w:p>
        </w:tc>
        <w:tc>
          <w:tcPr>
            <w:tcW w:w="990" w:type="dxa"/>
            <w:tcBorders>
              <w:top w:val="nil"/>
              <w:left w:val="nil"/>
              <w:bottom w:val="single" w:sz="4" w:space="0" w:color="auto"/>
              <w:right w:val="single" w:sz="4" w:space="0" w:color="auto"/>
            </w:tcBorders>
            <w:shd w:val="clear" w:color="auto" w:fill="auto"/>
            <w:noWrap/>
            <w:vAlign w:val="bottom"/>
            <w:hideMark/>
          </w:tcPr>
          <w:p w14:paraId="05F6AFD8" w14:textId="77777777" w:rsidR="00B322B7" w:rsidRPr="00B322B7" w:rsidRDefault="00B322B7" w:rsidP="005E2E4F">
            <w:pPr>
              <w:jc w:val="center"/>
              <w:rPr>
                <w:color w:val="000000"/>
                <w:sz w:val="22"/>
                <w:szCs w:val="22"/>
              </w:rPr>
            </w:pPr>
            <w:r w:rsidRPr="00B322B7">
              <w:rPr>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63C49E0D" w14:textId="77777777" w:rsidR="00B322B7" w:rsidRPr="00B322B7" w:rsidRDefault="00B322B7" w:rsidP="005E2E4F">
            <w:pPr>
              <w:jc w:val="center"/>
              <w:rPr>
                <w:color w:val="000000"/>
                <w:sz w:val="22"/>
                <w:szCs w:val="22"/>
              </w:rPr>
            </w:pPr>
            <w:r w:rsidRPr="00B322B7">
              <w:rPr>
                <w:color w:val="000000"/>
                <w:sz w:val="22"/>
                <w:szCs w:val="22"/>
              </w:rPr>
              <w:t>1.4</w:t>
            </w:r>
          </w:p>
        </w:tc>
        <w:tc>
          <w:tcPr>
            <w:tcW w:w="810" w:type="dxa"/>
            <w:tcBorders>
              <w:top w:val="nil"/>
              <w:left w:val="nil"/>
              <w:bottom w:val="single" w:sz="4" w:space="0" w:color="auto"/>
              <w:right w:val="single" w:sz="4" w:space="0" w:color="auto"/>
            </w:tcBorders>
            <w:shd w:val="clear" w:color="auto" w:fill="auto"/>
            <w:noWrap/>
            <w:vAlign w:val="bottom"/>
            <w:hideMark/>
          </w:tcPr>
          <w:p w14:paraId="08F0357D" w14:textId="77777777" w:rsidR="00B322B7" w:rsidRPr="00B322B7" w:rsidRDefault="00B322B7" w:rsidP="005E2E4F">
            <w:pPr>
              <w:jc w:val="center"/>
              <w:rPr>
                <w:color w:val="000000"/>
                <w:sz w:val="22"/>
                <w:szCs w:val="22"/>
              </w:rPr>
            </w:pPr>
            <w:r w:rsidRPr="00B322B7">
              <w:rPr>
                <w:color w:val="000000"/>
                <w:sz w:val="22"/>
                <w:szCs w:val="22"/>
              </w:rPr>
              <w:t>2.9</w:t>
            </w:r>
          </w:p>
        </w:tc>
        <w:tc>
          <w:tcPr>
            <w:tcW w:w="1008" w:type="dxa"/>
            <w:tcBorders>
              <w:top w:val="nil"/>
              <w:left w:val="nil"/>
              <w:bottom w:val="single" w:sz="4" w:space="0" w:color="auto"/>
              <w:right w:val="single" w:sz="4" w:space="0" w:color="auto"/>
            </w:tcBorders>
            <w:shd w:val="clear" w:color="auto" w:fill="auto"/>
            <w:noWrap/>
            <w:vAlign w:val="bottom"/>
            <w:hideMark/>
          </w:tcPr>
          <w:p w14:paraId="0240AAF2" w14:textId="77777777" w:rsidR="00B322B7" w:rsidRPr="00B322B7" w:rsidRDefault="00B322B7" w:rsidP="005E2E4F">
            <w:pPr>
              <w:jc w:val="center"/>
              <w:rPr>
                <w:color w:val="000000"/>
                <w:sz w:val="22"/>
                <w:szCs w:val="22"/>
              </w:rPr>
            </w:pPr>
            <w:r w:rsidRPr="00B322B7">
              <w:rPr>
                <w:color w:val="000000"/>
                <w:sz w:val="22"/>
                <w:szCs w:val="22"/>
              </w:rPr>
              <w:t>2.2</w:t>
            </w:r>
          </w:p>
        </w:tc>
      </w:tr>
      <w:tr w:rsidR="00B322B7" w:rsidRPr="00B322B7" w14:paraId="2B176F62" w14:textId="77777777" w:rsidTr="005E2E4F">
        <w:trPr>
          <w:trHeight w:val="300"/>
        </w:trPr>
        <w:tc>
          <w:tcPr>
            <w:tcW w:w="1091" w:type="dxa"/>
            <w:tcBorders>
              <w:top w:val="nil"/>
              <w:left w:val="single" w:sz="4" w:space="0" w:color="auto"/>
              <w:bottom w:val="single" w:sz="4" w:space="0" w:color="auto"/>
              <w:right w:val="single" w:sz="4" w:space="0" w:color="auto"/>
            </w:tcBorders>
            <w:shd w:val="clear" w:color="000000" w:fill="F2F2F2"/>
            <w:noWrap/>
            <w:vAlign w:val="bottom"/>
            <w:hideMark/>
          </w:tcPr>
          <w:p w14:paraId="17AEF053" w14:textId="77777777" w:rsidR="00B322B7" w:rsidRPr="00B322B7" w:rsidRDefault="00B322B7" w:rsidP="005E2E4F">
            <w:pPr>
              <w:jc w:val="center"/>
              <w:rPr>
                <w:b/>
                <w:bCs/>
                <w:color w:val="000000"/>
                <w:sz w:val="22"/>
                <w:szCs w:val="22"/>
              </w:rPr>
            </w:pPr>
            <w:r w:rsidRPr="00B322B7">
              <w:rPr>
                <w:b/>
                <w:bCs/>
                <w:color w:val="000000"/>
                <w:sz w:val="22"/>
                <w:szCs w:val="22"/>
              </w:rPr>
              <w:t>Average</w:t>
            </w:r>
          </w:p>
        </w:tc>
        <w:tc>
          <w:tcPr>
            <w:tcW w:w="1444" w:type="dxa"/>
            <w:tcBorders>
              <w:top w:val="nil"/>
              <w:left w:val="nil"/>
              <w:bottom w:val="single" w:sz="4" w:space="0" w:color="auto"/>
              <w:right w:val="single" w:sz="4" w:space="0" w:color="auto"/>
            </w:tcBorders>
            <w:shd w:val="clear" w:color="000000" w:fill="F2F2F2"/>
            <w:noWrap/>
            <w:vAlign w:val="bottom"/>
            <w:hideMark/>
          </w:tcPr>
          <w:p w14:paraId="2D466CA5" w14:textId="77777777" w:rsidR="00B322B7" w:rsidRPr="00B322B7" w:rsidRDefault="00B322B7" w:rsidP="005E2E4F">
            <w:pPr>
              <w:jc w:val="center"/>
              <w:rPr>
                <w:b/>
                <w:bCs/>
                <w:color w:val="000000"/>
                <w:sz w:val="22"/>
                <w:szCs w:val="22"/>
              </w:rPr>
            </w:pPr>
            <w:r w:rsidRPr="00B322B7">
              <w:rPr>
                <w:b/>
                <w:bCs/>
                <w:color w:val="000000"/>
                <w:sz w:val="22"/>
                <w:szCs w:val="22"/>
              </w:rPr>
              <w:t>2.6</w:t>
            </w:r>
          </w:p>
        </w:tc>
        <w:tc>
          <w:tcPr>
            <w:tcW w:w="1080" w:type="dxa"/>
            <w:tcBorders>
              <w:top w:val="nil"/>
              <w:left w:val="nil"/>
              <w:bottom w:val="single" w:sz="4" w:space="0" w:color="auto"/>
              <w:right w:val="single" w:sz="4" w:space="0" w:color="auto"/>
            </w:tcBorders>
            <w:shd w:val="clear" w:color="000000" w:fill="F2F2F2"/>
            <w:noWrap/>
            <w:vAlign w:val="bottom"/>
            <w:hideMark/>
          </w:tcPr>
          <w:p w14:paraId="01C2D1FF" w14:textId="77777777" w:rsidR="00B322B7" w:rsidRPr="00B322B7" w:rsidRDefault="00B322B7" w:rsidP="005E2E4F">
            <w:pPr>
              <w:jc w:val="center"/>
              <w:rPr>
                <w:b/>
                <w:bCs/>
                <w:color w:val="000000"/>
                <w:sz w:val="22"/>
                <w:szCs w:val="22"/>
              </w:rPr>
            </w:pPr>
            <w:r w:rsidRPr="00B322B7">
              <w:rPr>
                <w:b/>
                <w:bCs/>
                <w:color w:val="000000"/>
                <w:sz w:val="22"/>
                <w:szCs w:val="22"/>
              </w:rPr>
              <w:t>2.4</w:t>
            </w:r>
          </w:p>
        </w:tc>
        <w:tc>
          <w:tcPr>
            <w:tcW w:w="810" w:type="dxa"/>
            <w:tcBorders>
              <w:top w:val="nil"/>
              <w:left w:val="nil"/>
              <w:bottom w:val="single" w:sz="4" w:space="0" w:color="auto"/>
              <w:right w:val="single" w:sz="4" w:space="0" w:color="auto"/>
            </w:tcBorders>
            <w:shd w:val="clear" w:color="000000" w:fill="F2F2F2"/>
            <w:noWrap/>
            <w:vAlign w:val="bottom"/>
            <w:hideMark/>
          </w:tcPr>
          <w:p w14:paraId="29FEC984" w14:textId="77777777" w:rsidR="00B322B7" w:rsidRPr="00B322B7" w:rsidRDefault="00B322B7" w:rsidP="005E2E4F">
            <w:pPr>
              <w:jc w:val="center"/>
              <w:rPr>
                <w:b/>
                <w:bCs/>
                <w:color w:val="000000"/>
                <w:sz w:val="22"/>
                <w:szCs w:val="22"/>
              </w:rPr>
            </w:pPr>
            <w:r w:rsidRPr="00B322B7">
              <w:rPr>
                <w:b/>
                <w:bCs/>
                <w:color w:val="000000"/>
                <w:sz w:val="22"/>
                <w:szCs w:val="22"/>
              </w:rPr>
              <w:t>2.3</w:t>
            </w:r>
          </w:p>
        </w:tc>
        <w:tc>
          <w:tcPr>
            <w:tcW w:w="1260" w:type="dxa"/>
            <w:tcBorders>
              <w:top w:val="nil"/>
              <w:left w:val="nil"/>
              <w:bottom w:val="single" w:sz="4" w:space="0" w:color="auto"/>
              <w:right w:val="single" w:sz="4" w:space="0" w:color="auto"/>
            </w:tcBorders>
            <w:shd w:val="clear" w:color="000000" w:fill="F2F2F2"/>
            <w:noWrap/>
            <w:vAlign w:val="bottom"/>
            <w:hideMark/>
          </w:tcPr>
          <w:p w14:paraId="2E858CAF" w14:textId="77777777" w:rsidR="00B322B7" w:rsidRPr="00B322B7" w:rsidRDefault="00B322B7" w:rsidP="005E2E4F">
            <w:pPr>
              <w:jc w:val="center"/>
              <w:rPr>
                <w:b/>
                <w:bCs/>
                <w:color w:val="000000"/>
                <w:sz w:val="22"/>
                <w:szCs w:val="22"/>
              </w:rPr>
            </w:pPr>
            <w:r w:rsidRPr="00B322B7">
              <w:rPr>
                <w:b/>
                <w:bCs/>
                <w:color w:val="000000"/>
                <w:sz w:val="22"/>
                <w:szCs w:val="22"/>
              </w:rPr>
              <w:t>1.9</w:t>
            </w:r>
          </w:p>
        </w:tc>
        <w:tc>
          <w:tcPr>
            <w:tcW w:w="990" w:type="dxa"/>
            <w:tcBorders>
              <w:top w:val="nil"/>
              <w:left w:val="nil"/>
              <w:bottom w:val="single" w:sz="4" w:space="0" w:color="auto"/>
              <w:right w:val="single" w:sz="4" w:space="0" w:color="auto"/>
            </w:tcBorders>
            <w:shd w:val="clear" w:color="000000" w:fill="F2F2F2"/>
            <w:noWrap/>
            <w:vAlign w:val="bottom"/>
            <w:hideMark/>
          </w:tcPr>
          <w:p w14:paraId="5472DF7D" w14:textId="77777777" w:rsidR="00B322B7" w:rsidRPr="00B322B7" w:rsidRDefault="00B322B7" w:rsidP="005E2E4F">
            <w:pPr>
              <w:jc w:val="center"/>
              <w:rPr>
                <w:b/>
                <w:bCs/>
                <w:color w:val="000000"/>
                <w:sz w:val="22"/>
                <w:szCs w:val="22"/>
              </w:rPr>
            </w:pPr>
            <w:r w:rsidRPr="00B322B7">
              <w:rPr>
                <w:b/>
                <w:bCs/>
                <w:color w:val="000000"/>
                <w:sz w:val="22"/>
                <w:szCs w:val="22"/>
              </w:rPr>
              <w:t>3.0</w:t>
            </w:r>
          </w:p>
        </w:tc>
        <w:tc>
          <w:tcPr>
            <w:tcW w:w="990" w:type="dxa"/>
            <w:tcBorders>
              <w:top w:val="nil"/>
              <w:left w:val="nil"/>
              <w:bottom w:val="single" w:sz="4" w:space="0" w:color="auto"/>
              <w:right w:val="single" w:sz="4" w:space="0" w:color="auto"/>
            </w:tcBorders>
            <w:shd w:val="clear" w:color="000000" w:fill="F2F2F2"/>
            <w:noWrap/>
            <w:vAlign w:val="bottom"/>
            <w:hideMark/>
          </w:tcPr>
          <w:p w14:paraId="55F4B2A9" w14:textId="77777777" w:rsidR="00B322B7" w:rsidRPr="00B322B7" w:rsidRDefault="00B322B7" w:rsidP="005E2E4F">
            <w:pPr>
              <w:jc w:val="center"/>
              <w:rPr>
                <w:b/>
                <w:bCs/>
                <w:color w:val="000000"/>
                <w:sz w:val="22"/>
                <w:szCs w:val="22"/>
              </w:rPr>
            </w:pPr>
            <w:r w:rsidRPr="00B322B7">
              <w:rPr>
                <w:b/>
                <w:bCs/>
                <w:color w:val="000000"/>
                <w:sz w:val="22"/>
                <w:szCs w:val="22"/>
              </w:rPr>
              <w:t>1.6</w:t>
            </w:r>
          </w:p>
        </w:tc>
        <w:tc>
          <w:tcPr>
            <w:tcW w:w="810" w:type="dxa"/>
            <w:tcBorders>
              <w:top w:val="nil"/>
              <w:left w:val="nil"/>
              <w:bottom w:val="single" w:sz="4" w:space="0" w:color="auto"/>
              <w:right w:val="single" w:sz="4" w:space="0" w:color="auto"/>
            </w:tcBorders>
            <w:shd w:val="clear" w:color="000000" w:fill="F2F2F2"/>
            <w:noWrap/>
            <w:vAlign w:val="bottom"/>
            <w:hideMark/>
          </w:tcPr>
          <w:p w14:paraId="2776E34D" w14:textId="77777777" w:rsidR="00B322B7" w:rsidRPr="00B322B7" w:rsidRDefault="00B322B7" w:rsidP="005E2E4F">
            <w:pPr>
              <w:jc w:val="center"/>
              <w:rPr>
                <w:b/>
                <w:bCs/>
                <w:color w:val="000000"/>
                <w:sz w:val="22"/>
                <w:szCs w:val="22"/>
              </w:rPr>
            </w:pPr>
            <w:r w:rsidRPr="00B322B7">
              <w:rPr>
                <w:b/>
                <w:bCs/>
                <w:color w:val="000000"/>
                <w:sz w:val="22"/>
                <w:szCs w:val="22"/>
              </w:rPr>
              <w:t>2.3</w:t>
            </w:r>
          </w:p>
        </w:tc>
        <w:tc>
          <w:tcPr>
            <w:tcW w:w="1008" w:type="dxa"/>
            <w:tcBorders>
              <w:top w:val="nil"/>
              <w:left w:val="nil"/>
              <w:bottom w:val="single" w:sz="4" w:space="0" w:color="auto"/>
              <w:right w:val="single" w:sz="4" w:space="0" w:color="auto"/>
            </w:tcBorders>
            <w:shd w:val="clear" w:color="000000" w:fill="F2F2F2"/>
            <w:noWrap/>
            <w:vAlign w:val="bottom"/>
            <w:hideMark/>
          </w:tcPr>
          <w:p w14:paraId="16FAB5A6" w14:textId="77777777" w:rsidR="00B322B7" w:rsidRPr="00B322B7" w:rsidRDefault="00B322B7" w:rsidP="005E2E4F">
            <w:pPr>
              <w:jc w:val="center"/>
              <w:rPr>
                <w:b/>
                <w:color w:val="000000"/>
                <w:sz w:val="22"/>
                <w:szCs w:val="22"/>
              </w:rPr>
            </w:pPr>
            <w:r w:rsidRPr="00B322B7">
              <w:rPr>
                <w:b/>
                <w:color w:val="000000"/>
                <w:sz w:val="22"/>
                <w:szCs w:val="22"/>
              </w:rPr>
              <w:t>2.1</w:t>
            </w:r>
          </w:p>
        </w:tc>
      </w:tr>
    </w:tbl>
    <w:p w14:paraId="3D18C06B" w14:textId="77777777" w:rsidR="00B322B7" w:rsidRDefault="00B322B7" w:rsidP="00B322B7">
      <w:r>
        <w:rPr>
          <w:rFonts w:ascii="Arial" w:hAnsi="Arial" w:cs="Arial"/>
          <w:sz w:val="20"/>
          <w:szCs w:val="20"/>
        </w:rPr>
        <w:t>Source: SEFSC Online Economic Query System, October 13, 2016.</w:t>
      </w:r>
    </w:p>
    <w:p w14:paraId="799A9D16" w14:textId="77777777" w:rsidR="00B322B7" w:rsidRDefault="00B322B7" w:rsidP="00B322B7">
      <w:pPr>
        <w:ind w:firstLine="360"/>
      </w:pPr>
    </w:p>
    <w:p w14:paraId="3B895B7D" w14:textId="77777777" w:rsidR="00B322B7" w:rsidRDefault="00B322B7" w:rsidP="00B322B7">
      <w:pPr>
        <w:rPr>
          <w:rFonts w:ascii="Arial" w:hAnsi="Arial" w:cs="Arial"/>
          <w:sz w:val="20"/>
          <w:szCs w:val="20"/>
        </w:rPr>
      </w:pPr>
      <w:r w:rsidRPr="00026A0D">
        <w:rPr>
          <w:rFonts w:ascii="Arial" w:hAnsi="Arial" w:cs="Arial"/>
          <w:b/>
          <w:sz w:val="20"/>
          <w:szCs w:val="20"/>
        </w:rPr>
        <w:t xml:space="preserve">Table </w:t>
      </w:r>
      <w:r>
        <w:rPr>
          <w:rFonts w:ascii="Arial" w:hAnsi="Arial" w:cs="Arial"/>
          <w:b/>
          <w:sz w:val="20"/>
          <w:szCs w:val="20"/>
        </w:rPr>
        <w:t>F-8</w:t>
      </w:r>
      <w:r w:rsidRPr="00026A0D">
        <w:rPr>
          <w:rFonts w:ascii="Arial" w:hAnsi="Arial" w:cs="Arial"/>
          <w:b/>
          <w:sz w:val="20"/>
          <w:szCs w:val="20"/>
        </w:rPr>
        <w:t>.</w:t>
      </w:r>
      <w:r w:rsidRPr="00026A0D">
        <w:rPr>
          <w:rFonts w:ascii="Arial" w:hAnsi="Arial" w:cs="Arial"/>
          <w:sz w:val="20"/>
          <w:szCs w:val="20"/>
        </w:rPr>
        <w:t xml:space="preserve">  </w:t>
      </w:r>
      <w:r>
        <w:rPr>
          <w:rFonts w:ascii="Arial" w:hAnsi="Arial" w:cs="Arial"/>
          <w:sz w:val="20"/>
          <w:szCs w:val="20"/>
        </w:rPr>
        <w:t>Average Landings (lbs gw) of Mutton Snapper per Crewmember per Trip, 2011-2015.</w:t>
      </w:r>
    </w:p>
    <w:tbl>
      <w:tblPr>
        <w:tblW w:w="9698" w:type="dxa"/>
        <w:tblInd w:w="93" w:type="dxa"/>
        <w:tblLook w:val="04A0" w:firstRow="1" w:lastRow="0" w:firstColumn="1" w:lastColumn="0" w:noHBand="0" w:noVBand="1"/>
      </w:tblPr>
      <w:tblGrid>
        <w:gridCol w:w="998"/>
        <w:gridCol w:w="1447"/>
        <w:gridCol w:w="1170"/>
        <w:gridCol w:w="990"/>
        <w:gridCol w:w="1080"/>
        <w:gridCol w:w="990"/>
        <w:gridCol w:w="990"/>
        <w:gridCol w:w="990"/>
        <w:gridCol w:w="1043"/>
      </w:tblGrid>
      <w:tr w:rsidR="00B322B7" w:rsidRPr="00B322B7" w14:paraId="5DF1B080" w14:textId="77777777" w:rsidTr="005E2E4F">
        <w:trPr>
          <w:trHeight w:val="309"/>
        </w:trPr>
        <w:tc>
          <w:tcPr>
            <w:tcW w:w="998"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F87A60D" w14:textId="77777777" w:rsidR="00B322B7" w:rsidRPr="00B322B7" w:rsidRDefault="00B322B7" w:rsidP="005E2E4F">
            <w:pPr>
              <w:jc w:val="center"/>
              <w:rPr>
                <w:b/>
                <w:bCs/>
                <w:color w:val="000000"/>
                <w:sz w:val="22"/>
                <w:szCs w:val="22"/>
              </w:rPr>
            </w:pPr>
            <w:r w:rsidRPr="00B322B7">
              <w:rPr>
                <w:b/>
                <w:bCs/>
                <w:color w:val="000000"/>
                <w:sz w:val="22"/>
                <w:szCs w:val="22"/>
              </w:rPr>
              <w:t>Year</w:t>
            </w:r>
          </w:p>
        </w:tc>
        <w:tc>
          <w:tcPr>
            <w:tcW w:w="8700" w:type="dxa"/>
            <w:gridSpan w:val="8"/>
            <w:tcBorders>
              <w:top w:val="single" w:sz="4" w:space="0" w:color="auto"/>
              <w:left w:val="nil"/>
              <w:bottom w:val="single" w:sz="4" w:space="0" w:color="auto"/>
              <w:right w:val="single" w:sz="4" w:space="0" w:color="auto"/>
            </w:tcBorders>
            <w:shd w:val="clear" w:color="000000" w:fill="D9D9D9"/>
            <w:noWrap/>
            <w:vAlign w:val="bottom"/>
            <w:hideMark/>
          </w:tcPr>
          <w:p w14:paraId="31F9F9D2" w14:textId="77777777" w:rsidR="00B322B7" w:rsidRPr="00B322B7" w:rsidRDefault="00B322B7" w:rsidP="005E2E4F">
            <w:pPr>
              <w:jc w:val="center"/>
              <w:rPr>
                <w:b/>
                <w:bCs/>
                <w:color w:val="000000"/>
                <w:sz w:val="22"/>
                <w:szCs w:val="22"/>
              </w:rPr>
            </w:pPr>
            <w:r w:rsidRPr="00B322B7">
              <w:rPr>
                <w:b/>
                <w:bCs/>
                <w:color w:val="000000"/>
                <w:sz w:val="22"/>
                <w:szCs w:val="22"/>
              </w:rPr>
              <w:t>Average landings (lbs gw) of mutton snapper per crewmember per trip (all months)</w:t>
            </w:r>
          </w:p>
        </w:tc>
      </w:tr>
      <w:tr w:rsidR="00B322B7" w:rsidRPr="00B322B7" w14:paraId="78DA2A76" w14:textId="77777777" w:rsidTr="005E2E4F">
        <w:trPr>
          <w:trHeight w:val="309"/>
        </w:trPr>
        <w:tc>
          <w:tcPr>
            <w:tcW w:w="998" w:type="dxa"/>
            <w:vMerge/>
            <w:tcBorders>
              <w:top w:val="single" w:sz="4" w:space="0" w:color="auto"/>
              <w:left w:val="single" w:sz="4" w:space="0" w:color="auto"/>
              <w:bottom w:val="single" w:sz="4" w:space="0" w:color="000000"/>
              <w:right w:val="single" w:sz="4" w:space="0" w:color="auto"/>
            </w:tcBorders>
            <w:vAlign w:val="center"/>
            <w:hideMark/>
          </w:tcPr>
          <w:p w14:paraId="1C0CF5B8" w14:textId="77777777" w:rsidR="00B322B7" w:rsidRPr="00B322B7" w:rsidRDefault="00B322B7" w:rsidP="005E2E4F">
            <w:pPr>
              <w:rPr>
                <w:b/>
                <w:bCs/>
                <w:color w:val="000000"/>
                <w:sz w:val="22"/>
                <w:szCs w:val="22"/>
              </w:rPr>
            </w:pPr>
          </w:p>
        </w:tc>
        <w:tc>
          <w:tcPr>
            <w:tcW w:w="1447" w:type="dxa"/>
            <w:tcBorders>
              <w:top w:val="nil"/>
              <w:left w:val="nil"/>
              <w:bottom w:val="single" w:sz="4" w:space="0" w:color="auto"/>
              <w:right w:val="single" w:sz="4" w:space="0" w:color="auto"/>
            </w:tcBorders>
            <w:shd w:val="clear" w:color="000000" w:fill="D9D9D9"/>
            <w:noWrap/>
            <w:vAlign w:val="center"/>
            <w:hideMark/>
          </w:tcPr>
          <w:p w14:paraId="383B57CE" w14:textId="77777777" w:rsidR="00B322B7" w:rsidRPr="00B322B7" w:rsidRDefault="00B322B7" w:rsidP="005E2E4F">
            <w:pPr>
              <w:jc w:val="center"/>
              <w:rPr>
                <w:b/>
                <w:bCs/>
                <w:color w:val="000000"/>
                <w:sz w:val="22"/>
                <w:szCs w:val="22"/>
              </w:rPr>
            </w:pPr>
            <w:r w:rsidRPr="00B322B7">
              <w:rPr>
                <w:b/>
                <w:bCs/>
                <w:color w:val="000000"/>
                <w:sz w:val="22"/>
                <w:szCs w:val="22"/>
              </w:rPr>
              <w:t>Diving outfits, other</w:t>
            </w:r>
          </w:p>
        </w:tc>
        <w:tc>
          <w:tcPr>
            <w:tcW w:w="1170" w:type="dxa"/>
            <w:tcBorders>
              <w:top w:val="nil"/>
              <w:left w:val="nil"/>
              <w:bottom w:val="single" w:sz="4" w:space="0" w:color="auto"/>
              <w:right w:val="single" w:sz="4" w:space="0" w:color="auto"/>
            </w:tcBorders>
            <w:shd w:val="clear" w:color="000000" w:fill="D9D9D9"/>
            <w:noWrap/>
            <w:vAlign w:val="center"/>
            <w:hideMark/>
          </w:tcPr>
          <w:p w14:paraId="57A44A02" w14:textId="77777777" w:rsidR="00B322B7" w:rsidRPr="00B322B7" w:rsidRDefault="00B322B7" w:rsidP="005E2E4F">
            <w:pPr>
              <w:jc w:val="center"/>
              <w:rPr>
                <w:b/>
                <w:bCs/>
                <w:color w:val="000000"/>
                <w:sz w:val="22"/>
                <w:szCs w:val="22"/>
              </w:rPr>
            </w:pPr>
            <w:r w:rsidRPr="00B322B7">
              <w:rPr>
                <w:b/>
                <w:bCs/>
                <w:color w:val="000000"/>
                <w:sz w:val="22"/>
                <w:szCs w:val="22"/>
              </w:rPr>
              <w:t>By hand, other</w:t>
            </w:r>
          </w:p>
        </w:tc>
        <w:tc>
          <w:tcPr>
            <w:tcW w:w="990" w:type="dxa"/>
            <w:tcBorders>
              <w:top w:val="nil"/>
              <w:left w:val="nil"/>
              <w:bottom w:val="single" w:sz="4" w:space="0" w:color="auto"/>
              <w:right w:val="single" w:sz="4" w:space="0" w:color="auto"/>
            </w:tcBorders>
            <w:shd w:val="clear" w:color="000000" w:fill="D9D9D9"/>
            <w:noWrap/>
            <w:vAlign w:val="center"/>
            <w:hideMark/>
          </w:tcPr>
          <w:p w14:paraId="54B81634" w14:textId="77777777" w:rsidR="00B322B7" w:rsidRPr="00B322B7" w:rsidRDefault="00B322B7" w:rsidP="005E2E4F">
            <w:pPr>
              <w:jc w:val="center"/>
              <w:rPr>
                <w:b/>
                <w:bCs/>
                <w:color w:val="000000"/>
                <w:sz w:val="22"/>
                <w:szCs w:val="22"/>
              </w:rPr>
            </w:pPr>
            <w:r w:rsidRPr="00B322B7">
              <w:rPr>
                <w:b/>
                <w:bCs/>
                <w:color w:val="000000"/>
                <w:sz w:val="22"/>
                <w:szCs w:val="22"/>
              </w:rPr>
              <w:t>Hook &amp; line</w:t>
            </w:r>
          </w:p>
        </w:tc>
        <w:tc>
          <w:tcPr>
            <w:tcW w:w="1080" w:type="dxa"/>
            <w:tcBorders>
              <w:top w:val="nil"/>
              <w:left w:val="nil"/>
              <w:bottom w:val="single" w:sz="4" w:space="0" w:color="auto"/>
              <w:right w:val="single" w:sz="4" w:space="0" w:color="auto"/>
            </w:tcBorders>
            <w:shd w:val="clear" w:color="000000" w:fill="D9D9D9"/>
            <w:noWrap/>
            <w:vAlign w:val="center"/>
            <w:hideMark/>
          </w:tcPr>
          <w:p w14:paraId="35389CD0" w14:textId="77777777" w:rsidR="00B322B7" w:rsidRPr="00B322B7" w:rsidRDefault="00B322B7" w:rsidP="005E2E4F">
            <w:pPr>
              <w:jc w:val="center"/>
              <w:rPr>
                <w:b/>
                <w:bCs/>
                <w:color w:val="000000"/>
                <w:sz w:val="22"/>
                <w:szCs w:val="22"/>
              </w:rPr>
            </w:pPr>
            <w:r w:rsidRPr="00B322B7">
              <w:rPr>
                <w:b/>
                <w:bCs/>
                <w:color w:val="000000"/>
                <w:sz w:val="22"/>
                <w:szCs w:val="22"/>
              </w:rPr>
              <w:t>Rod &amp; reel</w:t>
            </w:r>
          </w:p>
        </w:tc>
        <w:tc>
          <w:tcPr>
            <w:tcW w:w="990" w:type="dxa"/>
            <w:tcBorders>
              <w:top w:val="nil"/>
              <w:left w:val="nil"/>
              <w:bottom w:val="single" w:sz="4" w:space="0" w:color="auto"/>
              <w:right w:val="single" w:sz="4" w:space="0" w:color="auto"/>
            </w:tcBorders>
            <w:shd w:val="clear" w:color="000000" w:fill="D9D9D9"/>
            <w:noWrap/>
            <w:vAlign w:val="center"/>
            <w:hideMark/>
          </w:tcPr>
          <w:p w14:paraId="57E49BD2" w14:textId="77777777" w:rsidR="00B322B7" w:rsidRPr="00B322B7" w:rsidRDefault="00B322B7" w:rsidP="005E2E4F">
            <w:pPr>
              <w:jc w:val="center"/>
              <w:rPr>
                <w:b/>
                <w:bCs/>
                <w:color w:val="000000"/>
                <w:sz w:val="22"/>
                <w:szCs w:val="22"/>
              </w:rPr>
            </w:pPr>
            <w:r w:rsidRPr="00B322B7">
              <w:rPr>
                <w:b/>
                <w:bCs/>
                <w:color w:val="000000"/>
                <w:sz w:val="22"/>
                <w:szCs w:val="22"/>
              </w:rPr>
              <w:t>Traps &amp; pots</w:t>
            </w:r>
          </w:p>
        </w:tc>
        <w:tc>
          <w:tcPr>
            <w:tcW w:w="990" w:type="dxa"/>
            <w:tcBorders>
              <w:top w:val="nil"/>
              <w:left w:val="nil"/>
              <w:bottom w:val="single" w:sz="4" w:space="0" w:color="auto"/>
              <w:right w:val="single" w:sz="4" w:space="0" w:color="auto"/>
            </w:tcBorders>
            <w:shd w:val="clear" w:color="000000" w:fill="D9D9D9"/>
            <w:noWrap/>
            <w:vAlign w:val="center"/>
            <w:hideMark/>
          </w:tcPr>
          <w:p w14:paraId="783AB355" w14:textId="77777777" w:rsidR="00B322B7" w:rsidRPr="00B322B7" w:rsidRDefault="00B322B7" w:rsidP="005E2E4F">
            <w:pPr>
              <w:jc w:val="center"/>
              <w:rPr>
                <w:b/>
                <w:bCs/>
                <w:color w:val="000000"/>
                <w:sz w:val="22"/>
                <w:szCs w:val="22"/>
              </w:rPr>
            </w:pPr>
            <w:r w:rsidRPr="00B322B7">
              <w:rPr>
                <w:b/>
                <w:bCs/>
                <w:color w:val="000000"/>
                <w:sz w:val="22"/>
                <w:szCs w:val="22"/>
              </w:rPr>
              <w:t>Troll lines</w:t>
            </w:r>
          </w:p>
        </w:tc>
        <w:tc>
          <w:tcPr>
            <w:tcW w:w="990" w:type="dxa"/>
            <w:tcBorders>
              <w:top w:val="nil"/>
              <w:left w:val="nil"/>
              <w:bottom w:val="single" w:sz="4" w:space="0" w:color="auto"/>
              <w:right w:val="single" w:sz="4" w:space="0" w:color="auto"/>
            </w:tcBorders>
            <w:shd w:val="clear" w:color="000000" w:fill="D9D9D9"/>
            <w:noWrap/>
            <w:vAlign w:val="center"/>
            <w:hideMark/>
          </w:tcPr>
          <w:p w14:paraId="7EFEC13B" w14:textId="77777777" w:rsidR="00B322B7" w:rsidRPr="00B322B7" w:rsidRDefault="00B322B7" w:rsidP="005E2E4F">
            <w:pPr>
              <w:jc w:val="center"/>
              <w:rPr>
                <w:b/>
                <w:bCs/>
                <w:color w:val="000000"/>
                <w:sz w:val="22"/>
                <w:szCs w:val="22"/>
              </w:rPr>
            </w:pPr>
            <w:r w:rsidRPr="00B322B7">
              <w:rPr>
                <w:b/>
                <w:bCs/>
                <w:color w:val="000000"/>
                <w:sz w:val="22"/>
                <w:szCs w:val="22"/>
              </w:rPr>
              <w:t>Other</w:t>
            </w:r>
          </w:p>
        </w:tc>
        <w:tc>
          <w:tcPr>
            <w:tcW w:w="1043" w:type="dxa"/>
            <w:tcBorders>
              <w:top w:val="nil"/>
              <w:left w:val="nil"/>
              <w:bottom w:val="single" w:sz="4" w:space="0" w:color="auto"/>
              <w:right w:val="single" w:sz="4" w:space="0" w:color="auto"/>
            </w:tcBorders>
            <w:shd w:val="clear" w:color="000000" w:fill="D9D9D9"/>
            <w:noWrap/>
            <w:vAlign w:val="center"/>
            <w:hideMark/>
          </w:tcPr>
          <w:p w14:paraId="0E47F04B" w14:textId="77777777" w:rsidR="00B322B7" w:rsidRPr="00B322B7" w:rsidRDefault="00B322B7" w:rsidP="005E2E4F">
            <w:pPr>
              <w:jc w:val="center"/>
              <w:rPr>
                <w:b/>
                <w:bCs/>
                <w:color w:val="000000"/>
                <w:sz w:val="22"/>
                <w:szCs w:val="22"/>
              </w:rPr>
            </w:pPr>
            <w:r w:rsidRPr="00B322B7">
              <w:rPr>
                <w:b/>
                <w:bCs/>
                <w:color w:val="000000"/>
                <w:sz w:val="22"/>
                <w:szCs w:val="22"/>
              </w:rPr>
              <w:t>All gears</w:t>
            </w:r>
          </w:p>
        </w:tc>
      </w:tr>
      <w:tr w:rsidR="00B322B7" w:rsidRPr="00B322B7" w14:paraId="587BC76B" w14:textId="77777777" w:rsidTr="005E2E4F">
        <w:trPr>
          <w:trHeight w:val="309"/>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649BDA11" w14:textId="77777777" w:rsidR="00B322B7" w:rsidRPr="00B322B7" w:rsidRDefault="00B322B7" w:rsidP="005E2E4F">
            <w:pPr>
              <w:jc w:val="center"/>
              <w:rPr>
                <w:b/>
                <w:bCs/>
                <w:color w:val="000000"/>
                <w:sz w:val="22"/>
                <w:szCs w:val="22"/>
              </w:rPr>
            </w:pPr>
            <w:r w:rsidRPr="00B322B7">
              <w:rPr>
                <w:b/>
                <w:bCs/>
                <w:color w:val="000000"/>
                <w:sz w:val="22"/>
                <w:szCs w:val="22"/>
              </w:rPr>
              <w:t>2011</w:t>
            </w:r>
          </w:p>
        </w:tc>
        <w:tc>
          <w:tcPr>
            <w:tcW w:w="1447" w:type="dxa"/>
            <w:tcBorders>
              <w:top w:val="nil"/>
              <w:left w:val="nil"/>
              <w:bottom w:val="single" w:sz="4" w:space="0" w:color="auto"/>
              <w:right w:val="single" w:sz="4" w:space="0" w:color="auto"/>
            </w:tcBorders>
            <w:shd w:val="clear" w:color="auto" w:fill="auto"/>
            <w:noWrap/>
            <w:vAlign w:val="bottom"/>
            <w:hideMark/>
          </w:tcPr>
          <w:p w14:paraId="4A0998EA" w14:textId="77777777" w:rsidR="00B322B7" w:rsidRPr="00B322B7" w:rsidRDefault="00B322B7" w:rsidP="005E2E4F">
            <w:pPr>
              <w:jc w:val="center"/>
              <w:rPr>
                <w:color w:val="000000"/>
                <w:sz w:val="22"/>
                <w:szCs w:val="22"/>
              </w:rPr>
            </w:pPr>
            <w:r w:rsidRPr="00B322B7">
              <w:rPr>
                <w:color w:val="000000"/>
                <w:sz w:val="22"/>
                <w:szCs w:val="22"/>
              </w:rPr>
              <w:t>16.7</w:t>
            </w:r>
          </w:p>
        </w:tc>
        <w:tc>
          <w:tcPr>
            <w:tcW w:w="1170" w:type="dxa"/>
            <w:tcBorders>
              <w:top w:val="nil"/>
              <w:left w:val="nil"/>
              <w:bottom w:val="single" w:sz="4" w:space="0" w:color="auto"/>
              <w:right w:val="single" w:sz="4" w:space="0" w:color="auto"/>
            </w:tcBorders>
            <w:shd w:val="clear" w:color="auto" w:fill="auto"/>
            <w:noWrap/>
            <w:vAlign w:val="bottom"/>
            <w:hideMark/>
          </w:tcPr>
          <w:p w14:paraId="6D3C2192" w14:textId="77777777" w:rsidR="00B322B7" w:rsidRPr="00B322B7" w:rsidRDefault="00B322B7" w:rsidP="005E2E4F">
            <w:pPr>
              <w:jc w:val="center"/>
              <w:rPr>
                <w:color w:val="000000"/>
                <w:sz w:val="22"/>
                <w:szCs w:val="22"/>
              </w:rPr>
            </w:pPr>
            <w:r w:rsidRPr="00B322B7">
              <w:rPr>
                <w:color w:val="000000"/>
                <w:sz w:val="22"/>
                <w:szCs w:val="22"/>
              </w:rPr>
              <w:t>16.7</w:t>
            </w:r>
          </w:p>
        </w:tc>
        <w:tc>
          <w:tcPr>
            <w:tcW w:w="990" w:type="dxa"/>
            <w:tcBorders>
              <w:top w:val="nil"/>
              <w:left w:val="nil"/>
              <w:bottom w:val="single" w:sz="4" w:space="0" w:color="auto"/>
              <w:right w:val="single" w:sz="4" w:space="0" w:color="auto"/>
            </w:tcBorders>
            <w:shd w:val="clear" w:color="auto" w:fill="auto"/>
            <w:noWrap/>
            <w:vAlign w:val="bottom"/>
            <w:hideMark/>
          </w:tcPr>
          <w:p w14:paraId="36E0D2B4" w14:textId="77777777" w:rsidR="00B322B7" w:rsidRPr="00B322B7" w:rsidRDefault="00B322B7" w:rsidP="005E2E4F">
            <w:pPr>
              <w:jc w:val="center"/>
              <w:rPr>
                <w:color w:val="000000"/>
                <w:sz w:val="22"/>
                <w:szCs w:val="22"/>
              </w:rPr>
            </w:pPr>
            <w:r w:rsidRPr="00B322B7">
              <w:rPr>
                <w:color w:val="000000"/>
                <w:sz w:val="22"/>
                <w:szCs w:val="22"/>
              </w:rPr>
              <w:t>20.8</w:t>
            </w:r>
          </w:p>
        </w:tc>
        <w:tc>
          <w:tcPr>
            <w:tcW w:w="1080" w:type="dxa"/>
            <w:tcBorders>
              <w:top w:val="nil"/>
              <w:left w:val="nil"/>
              <w:bottom w:val="single" w:sz="4" w:space="0" w:color="auto"/>
              <w:right w:val="single" w:sz="4" w:space="0" w:color="auto"/>
            </w:tcBorders>
            <w:shd w:val="clear" w:color="auto" w:fill="auto"/>
            <w:noWrap/>
            <w:vAlign w:val="bottom"/>
            <w:hideMark/>
          </w:tcPr>
          <w:p w14:paraId="6A00162F" w14:textId="77777777" w:rsidR="00B322B7" w:rsidRPr="00B322B7" w:rsidRDefault="00B322B7" w:rsidP="005E2E4F">
            <w:pPr>
              <w:jc w:val="center"/>
              <w:rPr>
                <w:color w:val="000000"/>
                <w:sz w:val="22"/>
                <w:szCs w:val="22"/>
              </w:rPr>
            </w:pPr>
            <w:r w:rsidRPr="00B322B7">
              <w:rPr>
                <w:color w:val="000000"/>
                <w:sz w:val="22"/>
                <w:szCs w:val="22"/>
              </w:rPr>
              <w:t>16.8</w:t>
            </w:r>
          </w:p>
        </w:tc>
        <w:tc>
          <w:tcPr>
            <w:tcW w:w="990" w:type="dxa"/>
            <w:tcBorders>
              <w:top w:val="nil"/>
              <w:left w:val="nil"/>
              <w:bottom w:val="single" w:sz="4" w:space="0" w:color="auto"/>
              <w:right w:val="single" w:sz="4" w:space="0" w:color="auto"/>
            </w:tcBorders>
            <w:shd w:val="clear" w:color="auto" w:fill="auto"/>
            <w:noWrap/>
            <w:vAlign w:val="bottom"/>
            <w:hideMark/>
          </w:tcPr>
          <w:p w14:paraId="205FFE44" w14:textId="77777777" w:rsidR="00B322B7" w:rsidRPr="00B322B7" w:rsidRDefault="00B322B7" w:rsidP="005E2E4F">
            <w:pPr>
              <w:jc w:val="center"/>
              <w:rPr>
                <w:color w:val="000000"/>
                <w:sz w:val="22"/>
                <w:szCs w:val="22"/>
              </w:rPr>
            </w:pPr>
            <w:r w:rsidRPr="00B322B7">
              <w:rPr>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1DAA2D7A" w14:textId="77777777" w:rsidR="00B322B7" w:rsidRPr="00B322B7" w:rsidRDefault="00B322B7" w:rsidP="005E2E4F">
            <w:pPr>
              <w:jc w:val="center"/>
              <w:rPr>
                <w:color w:val="000000"/>
                <w:sz w:val="22"/>
                <w:szCs w:val="22"/>
              </w:rPr>
            </w:pPr>
            <w:r w:rsidRPr="00B322B7">
              <w:rPr>
                <w:color w:val="000000"/>
                <w:sz w:val="22"/>
                <w:szCs w:val="22"/>
              </w:rPr>
              <w:t>10.5</w:t>
            </w:r>
          </w:p>
        </w:tc>
        <w:tc>
          <w:tcPr>
            <w:tcW w:w="990" w:type="dxa"/>
            <w:tcBorders>
              <w:top w:val="nil"/>
              <w:left w:val="nil"/>
              <w:bottom w:val="single" w:sz="4" w:space="0" w:color="auto"/>
              <w:right w:val="single" w:sz="4" w:space="0" w:color="auto"/>
            </w:tcBorders>
            <w:shd w:val="clear" w:color="auto" w:fill="auto"/>
            <w:noWrap/>
            <w:vAlign w:val="bottom"/>
            <w:hideMark/>
          </w:tcPr>
          <w:p w14:paraId="249F72B2" w14:textId="77777777" w:rsidR="00B322B7" w:rsidRPr="00B322B7" w:rsidRDefault="00B322B7" w:rsidP="005E2E4F">
            <w:pPr>
              <w:jc w:val="center"/>
              <w:rPr>
                <w:color w:val="000000"/>
                <w:sz w:val="22"/>
                <w:szCs w:val="22"/>
              </w:rPr>
            </w:pPr>
            <w:r w:rsidRPr="00B322B7">
              <w:rPr>
                <w:color w:val="000000"/>
                <w:sz w:val="22"/>
                <w:szCs w:val="22"/>
              </w:rPr>
              <w:t>22.0</w:t>
            </w:r>
          </w:p>
        </w:tc>
        <w:tc>
          <w:tcPr>
            <w:tcW w:w="1043" w:type="dxa"/>
            <w:tcBorders>
              <w:top w:val="nil"/>
              <w:left w:val="nil"/>
              <w:bottom w:val="single" w:sz="4" w:space="0" w:color="auto"/>
              <w:right w:val="single" w:sz="4" w:space="0" w:color="auto"/>
            </w:tcBorders>
            <w:shd w:val="clear" w:color="auto" w:fill="auto"/>
            <w:noWrap/>
            <w:vAlign w:val="bottom"/>
            <w:hideMark/>
          </w:tcPr>
          <w:p w14:paraId="13FFD42F" w14:textId="77777777" w:rsidR="00B322B7" w:rsidRPr="00B322B7" w:rsidRDefault="00B322B7" w:rsidP="005E2E4F">
            <w:pPr>
              <w:jc w:val="center"/>
              <w:rPr>
                <w:color w:val="000000"/>
                <w:sz w:val="22"/>
                <w:szCs w:val="22"/>
              </w:rPr>
            </w:pPr>
            <w:r w:rsidRPr="00B322B7">
              <w:rPr>
                <w:color w:val="000000"/>
                <w:sz w:val="22"/>
                <w:szCs w:val="22"/>
              </w:rPr>
              <w:t>18.0</w:t>
            </w:r>
          </w:p>
        </w:tc>
      </w:tr>
      <w:tr w:rsidR="00B322B7" w:rsidRPr="00B322B7" w14:paraId="63D38711" w14:textId="77777777" w:rsidTr="005E2E4F">
        <w:trPr>
          <w:trHeight w:val="309"/>
        </w:trPr>
        <w:tc>
          <w:tcPr>
            <w:tcW w:w="998" w:type="dxa"/>
            <w:tcBorders>
              <w:top w:val="nil"/>
              <w:left w:val="single" w:sz="4" w:space="0" w:color="auto"/>
              <w:bottom w:val="single" w:sz="4" w:space="0" w:color="auto"/>
              <w:right w:val="single" w:sz="4" w:space="0" w:color="auto"/>
            </w:tcBorders>
            <w:shd w:val="clear" w:color="000000" w:fill="F2F2F2"/>
            <w:noWrap/>
            <w:vAlign w:val="bottom"/>
            <w:hideMark/>
          </w:tcPr>
          <w:p w14:paraId="1F9E447E" w14:textId="77777777" w:rsidR="00B322B7" w:rsidRPr="00B322B7" w:rsidRDefault="00B322B7" w:rsidP="005E2E4F">
            <w:pPr>
              <w:jc w:val="center"/>
              <w:rPr>
                <w:b/>
                <w:bCs/>
                <w:color w:val="000000"/>
                <w:sz w:val="22"/>
                <w:szCs w:val="22"/>
              </w:rPr>
            </w:pPr>
            <w:r w:rsidRPr="00B322B7">
              <w:rPr>
                <w:b/>
                <w:bCs/>
                <w:color w:val="000000"/>
                <w:sz w:val="22"/>
                <w:szCs w:val="22"/>
              </w:rPr>
              <w:t>2012</w:t>
            </w:r>
          </w:p>
        </w:tc>
        <w:tc>
          <w:tcPr>
            <w:tcW w:w="1447" w:type="dxa"/>
            <w:tcBorders>
              <w:top w:val="nil"/>
              <w:left w:val="nil"/>
              <w:bottom w:val="single" w:sz="4" w:space="0" w:color="auto"/>
              <w:right w:val="single" w:sz="4" w:space="0" w:color="auto"/>
            </w:tcBorders>
            <w:shd w:val="clear" w:color="000000" w:fill="F2F2F2"/>
            <w:noWrap/>
            <w:vAlign w:val="bottom"/>
            <w:hideMark/>
          </w:tcPr>
          <w:p w14:paraId="15B6497A" w14:textId="77777777" w:rsidR="00B322B7" w:rsidRPr="00B322B7" w:rsidRDefault="00B322B7" w:rsidP="005E2E4F">
            <w:pPr>
              <w:jc w:val="center"/>
              <w:rPr>
                <w:color w:val="000000"/>
                <w:sz w:val="22"/>
                <w:szCs w:val="22"/>
              </w:rPr>
            </w:pPr>
            <w:r w:rsidRPr="00B322B7">
              <w:rPr>
                <w:color w:val="000000"/>
                <w:sz w:val="22"/>
                <w:szCs w:val="22"/>
              </w:rPr>
              <w:t>28.3</w:t>
            </w:r>
          </w:p>
        </w:tc>
        <w:tc>
          <w:tcPr>
            <w:tcW w:w="1170" w:type="dxa"/>
            <w:tcBorders>
              <w:top w:val="nil"/>
              <w:left w:val="nil"/>
              <w:bottom w:val="single" w:sz="4" w:space="0" w:color="auto"/>
              <w:right w:val="single" w:sz="4" w:space="0" w:color="auto"/>
            </w:tcBorders>
            <w:shd w:val="clear" w:color="000000" w:fill="F2F2F2"/>
            <w:noWrap/>
            <w:vAlign w:val="bottom"/>
            <w:hideMark/>
          </w:tcPr>
          <w:p w14:paraId="0D2D8D8A" w14:textId="77777777" w:rsidR="00B322B7" w:rsidRPr="00B322B7" w:rsidRDefault="00B322B7" w:rsidP="005E2E4F">
            <w:pPr>
              <w:jc w:val="center"/>
              <w:rPr>
                <w:color w:val="000000"/>
                <w:sz w:val="22"/>
                <w:szCs w:val="22"/>
              </w:rPr>
            </w:pPr>
            <w:r w:rsidRPr="00B322B7">
              <w:rPr>
                <w:color w:val="000000"/>
                <w:sz w:val="22"/>
                <w:szCs w:val="22"/>
              </w:rPr>
              <w:t>17.2</w:t>
            </w:r>
          </w:p>
        </w:tc>
        <w:tc>
          <w:tcPr>
            <w:tcW w:w="990" w:type="dxa"/>
            <w:tcBorders>
              <w:top w:val="nil"/>
              <w:left w:val="nil"/>
              <w:bottom w:val="single" w:sz="4" w:space="0" w:color="auto"/>
              <w:right w:val="single" w:sz="4" w:space="0" w:color="auto"/>
            </w:tcBorders>
            <w:shd w:val="clear" w:color="000000" w:fill="F2F2F2"/>
            <w:noWrap/>
            <w:vAlign w:val="bottom"/>
            <w:hideMark/>
          </w:tcPr>
          <w:p w14:paraId="279B8DCC" w14:textId="77777777" w:rsidR="00B322B7" w:rsidRPr="00B322B7" w:rsidRDefault="00B322B7" w:rsidP="005E2E4F">
            <w:pPr>
              <w:jc w:val="center"/>
              <w:rPr>
                <w:color w:val="000000"/>
                <w:sz w:val="22"/>
                <w:szCs w:val="22"/>
              </w:rPr>
            </w:pPr>
            <w:r w:rsidRPr="00B322B7">
              <w:rPr>
                <w:color w:val="000000"/>
                <w:sz w:val="22"/>
                <w:szCs w:val="22"/>
              </w:rPr>
              <w:t>25.4</w:t>
            </w:r>
          </w:p>
        </w:tc>
        <w:tc>
          <w:tcPr>
            <w:tcW w:w="1080" w:type="dxa"/>
            <w:tcBorders>
              <w:top w:val="nil"/>
              <w:left w:val="nil"/>
              <w:bottom w:val="single" w:sz="4" w:space="0" w:color="auto"/>
              <w:right w:val="single" w:sz="4" w:space="0" w:color="auto"/>
            </w:tcBorders>
            <w:shd w:val="clear" w:color="000000" w:fill="F2F2F2"/>
            <w:noWrap/>
            <w:vAlign w:val="bottom"/>
            <w:hideMark/>
          </w:tcPr>
          <w:p w14:paraId="159B9A76" w14:textId="77777777" w:rsidR="00B322B7" w:rsidRPr="00B322B7" w:rsidRDefault="00B322B7" w:rsidP="005E2E4F">
            <w:pPr>
              <w:jc w:val="center"/>
              <w:rPr>
                <w:color w:val="000000"/>
                <w:sz w:val="22"/>
                <w:szCs w:val="22"/>
              </w:rPr>
            </w:pPr>
            <w:r w:rsidRPr="00B322B7">
              <w:rPr>
                <w:color w:val="000000"/>
                <w:sz w:val="22"/>
                <w:szCs w:val="22"/>
              </w:rPr>
              <w:t>21.1</w:t>
            </w:r>
          </w:p>
        </w:tc>
        <w:tc>
          <w:tcPr>
            <w:tcW w:w="990" w:type="dxa"/>
            <w:tcBorders>
              <w:top w:val="nil"/>
              <w:left w:val="nil"/>
              <w:bottom w:val="single" w:sz="4" w:space="0" w:color="auto"/>
              <w:right w:val="single" w:sz="4" w:space="0" w:color="auto"/>
            </w:tcBorders>
            <w:shd w:val="clear" w:color="000000" w:fill="F2F2F2"/>
            <w:noWrap/>
            <w:vAlign w:val="bottom"/>
            <w:hideMark/>
          </w:tcPr>
          <w:p w14:paraId="0D81620F" w14:textId="77777777" w:rsidR="00B322B7" w:rsidRPr="00B322B7" w:rsidRDefault="00B322B7" w:rsidP="005E2E4F">
            <w:pPr>
              <w:jc w:val="center"/>
              <w:rPr>
                <w:color w:val="000000"/>
                <w:sz w:val="22"/>
                <w:szCs w:val="22"/>
              </w:rPr>
            </w:pPr>
            <w:r w:rsidRPr="00B322B7">
              <w:rPr>
                <w:color w:val="000000"/>
                <w:sz w:val="22"/>
                <w:szCs w:val="22"/>
              </w:rPr>
              <w:t> </w:t>
            </w:r>
          </w:p>
        </w:tc>
        <w:tc>
          <w:tcPr>
            <w:tcW w:w="990" w:type="dxa"/>
            <w:tcBorders>
              <w:top w:val="nil"/>
              <w:left w:val="nil"/>
              <w:bottom w:val="single" w:sz="4" w:space="0" w:color="auto"/>
              <w:right w:val="single" w:sz="4" w:space="0" w:color="auto"/>
            </w:tcBorders>
            <w:shd w:val="clear" w:color="000000" w:fill="F2F2F2"/>
            <w:noWrap/>
            <w:vAlign w:val="bottom"/>
            <w:hideMark/>
          </w:tcPr>
          <w:p w14:paraId="379B8DFA" w14:textId="77777777" w:rsidR="00B322B7" w:rsidRPr="00B322B7" w:rsidRDefault="00B322B7" w:rsidP="005E2E4F">
            <w:pPr>
              <w:jc w:val="center"/>
              <w:rPr>
                <w:color w:val="000000"/>
                <w:sz w:val="22"/>
                <w:szCs w:val="22"/>
              </w:rPr>
            </w:pPr>
            <w:r w:rsidRPr="00B322B7">
              <w:rPr>
                <w:color w:val="000000"/>
                <w:sz w:val="22"/>
                <w:szCs w:val="22"/>
              </w:rPr>
              <w:t>15.3</w:t>
            </w:r>
          </w:p>
        </w:tc>
        <w:tc>
          <w:tcPr>
            <w:tcW w:w="990" w:type="dxa"/>
            <w:tcBorders>
              <w:top w:val="nil"/>
              <w:left w:val="nil"/>
              <w:bottom w:val="single" w:sz="4" w:space="0" w:color="auto"/>
              <w:right w:val="single" w:sz="4" w:space="0" w:color="auto"/>
            </w:tcBorders>
            <w:shd w:val="clear" w:color="000000" w:fill="F2F2F2"/>
            <w:noWrap/>
            <w:vAlign w:val="bottom"/>
            <w:hideMark/>
          </w:tcPr>
          <w:p w14:paraId="65A26FF5" w14:textId="77777777" w:rsidR="00B322B7" w:rsidRPr="00B322B7" w:rsidRDefault="00B322B7" w:rsidP="005E2E4F">
            <w:pPr>
              <w:jc w:val="center"/>
              <w:rPr>
                <w:color w:val="000000"/>
                <w:sz w:val="22"/>
                <w:szCs w:val="22"/>
              </w:rPr>
            </w:pPr>
            <w:r w:rsidRPr="00B322B7">
              <w:rPr>
                <w:color w:val="000000"/>
                <w:sz w:val="22"/>
                <w:szCs w:val="22"/>
              </w:rPr>
              <w:t>11.4</w:t>
            </w:r>
          </w:p>
        </w:tc>
        <w:tc>
          <w:tcPr>
            <w:tcW w:w="1043" w:type="dxa"/>
            <w:tcBorders>
              <w:top w:val="nil"/>
              <w:left w:val="nil"/>
              <w:bottom w:val="single" w:sz="4" w:space="0" w:color="auto"/>
              <w:right w:val="single" w:sz="4" w:space="0" w:color="auto"/>
            </w:tcBorders>
            <w:shd w:val="clear" w:color="auto" w:fill="auto"/>
            <w:noWrap/>
            <w:vAlign w:val="bottom"/>
            <w:hideMark/>
          </w:tcPr>
          <w:p w14:paraId="23ADF66D" w14:textId="77777777" w:rsidR="00B322B7" w:rsidRPr="00B322B7" w:rsidRDefault="00B322B7" w:rsidP="005E2E4F">
            <w:pPr>
              <w:jc w:val="center"/>
              <w:rPr>
                <w:color w:val="000000"/>
                <w:sz w:val="22"/>
                <w:szCs w:val="22"/>
              </w:rPr>
            </w:pPr>
            <w:r w:rsidRPr="00B322B7">
              <w:rPr>
                <w:color w:val="000000"/>
                <w:sz w:val="22"/>
                <w:szCs w:val="22"/>
              </w:rPr>
              <w:t>21.0</w:t>
            </w:r>
          </w:p>
        </w:tc>
      </w:tr>
      <w:tr w:rsidR="00B322B7" w:rsidRPr="00B322B7" w14:paraId="2C737F25" w14:textId="77777777" w:rsidTr="005E2E4F">
        <w:trPr>
          <w:trHeight w:val="309"/>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44F17E5A" w14:textId="77777777" w:rsidR="00B322B7" w:rsidRPr="00B322B7" w:rsidRDefault="00B322B7" w:rsidP="005E2E4F">
            <w:pPr>
              <w:jc w:val="center"/>
              <w:rPr>
                <w:b/>
                <w:bCs/>
                <w:color w:val="000000"/>
                <w:sz w:val="22"/>
                <w:szCs w:val="22"/>
              </w:rPr>
            </w:pPr>
            <w:r w:rsidRPr="00B322B7">
              <w:rPr>
                <w:b/>
                <w:bCs/>
                <w:color w:val="000000"/>
                <w:sz w:val="22"/>
                <w:szCs w:val="22"/>
              </w:rPr>
              <w:t>2013</w:t>
            </w:r>
          </w:p>
        </w:tc>
        <w:tc>
          <w:tcPr>
            <w:tcW w:w="1447" w:type="dxa"/>
            <w:tcBorders>
              <w:top w:val="nil"/>
              <w:left w:val="nil"/>
              <w:bottom w:val="single" w:sz="4" w:space="0" w:color="auto"/>
              <w:right w:val="single" w:sz="4" w:space="0" w:color="auto"/>
            </w:tcBorders>
            <w:shd w:val="clear" w:color="auto" w:fill="auto"/>
            <w:noWrap/>
            <w:vAlign w:val="bottom"/>
            <w:hideMark/>
          </w:tcPr>
          <w:p w14:paraId="7F89211A" w14:textId="77777777" w:rsidR="00B322B7" w:rsidRPr="00B322B7" w:rsidRDefault="00B322B7" w:rsidP="005E2E4F">
            <w:pPr>
              <w:jc w:val="center"/>
              <w:rPr>
                <w:color w:val="000000"/>
                <w:sz w:val="22"/>
                <w:szCs w:val="22"/>
              </w:rPr>
            </w:pPr>
            <w:r w:rsidRPr="00B322B7">
              <w:rPr>
                <w:color w:val="000000"/>
                <w:sz w:val="22"/>
                <w:szCs w:val="22"/>
              </w:rPr>
              <w:t>17.7</w:t>
            </w:r>
          </w:p>
        </w:tc>
        <w:tc>
          <w:tcPr>
            <w:tcW w:w="1170" w:type="dxa"/>
            <w:tcBorders>
              <w:top w:val="nil"/>
              <w:left w:val="nil"/>
              <w:bottom w:val="single" w:sz="4" w:space="0" w:color="auto"/>
              <w:right w:val="single" w:sz="4" w:space="0" w:color="auto"/>
            </w:tcBorders>
            <w:shd w:val="clear" w:color="auto" w:fill="auto"/>
            <w:noWrap/>
            <w:vAlign w:val="bottom"/>
            <w:hideMark/>
          </w:tcPr>
          <w:p w14:paraId="4AC7DD8D" w14:textId="77777777" w:rsidR="00B322B7" w:rsidRPr="00B322B7" w:rsidRDefault="00B322B7" w:rsidP="005E2E4F">
            <w:pPr>
              <w:jc w:val="center"/>
              <w:rPr>
                <w:color w:val="000000"/>
                <w:sz w:val="22"/>
                <w:szCs w:val="22"/>
              </w:rPr>
            </w:pPr>
            <w:r w:rsidRPr="00B322B7">
              <w:rPr>
                <w:color w:val="000000"/>
                <w:sz w:val="22"/>
                <w:szCs w:val="22"/>
              </w:rPr>
              <w:t>12.4</w:t>
            </w:r>
          </w:p>
        </w:tc>
        <w:tc>
          <w:tcPr>
            <w:tcW w:w="990" w:type="dxa"/>
            <w:tcBorders>
              <w:top w:val="nil"/>
              <w:left w:val="nil"/>
              <w:bottom w:val="single" w:sz="4" w:space="0" w:color="auto"/>
              <w:right w:val="single" w:sz="4" w:space="0" w:color="auto"/>
            </w:tcBorders>
            <w:shd w:val="clear" w:color="auto" w:fill="auto"/>
            <w:noWrap/>
            <w:vAlign w:val="bottom"/>
            <w:hideMark/>
          </w:tcPr>
          <w:p w14:paraId="708B54D8" w14:textId="77777777" w:rsidR="00B322B7" w:rsidRPr="00B322B7" w:rsidRDefault="00B322B7" w:rsidP="005E2E4F">
            <w:pPr>
              <w:jc w:val="center"/>
              <w:rPr>
                <w:color w:val="000000"/>
                <w:sz w:val="22"/>
                <w:szCs w:val="22"/>
              </w:rPr>
            </w:pPr>
            <w:r w:rsidRPr="00B322B7">
              <w:rPr>
                <w:color w:val="000000"/>
                <w:sz w:val="22"/>
                <w:szCs w:val="22"/>
              </w:rPr>
              <w:t>23.9</w:t>
            </w:r>
          </w:p>
        </w:tc>
        <w:tc>
          <w:tcPr>
            <w:tcW w:w="1080" w:type="dxa"/>
            <w:tcBorders>
              <w:top w:val="nil"/>
              <w:left w:val="nil"/>
              <w:bottom w:val="single" w:sz="4" w:space="0" w:color="auto"/>
              <w:right w:val="single" w:sz="4" w:space="0" w:color="auto"/>
            </w:tcBorders>
            <w:shd w:val="clear" w:color="auto" w:fill="auto"/>
            <w:noWrap/>
            <w:vAlign w:val="bottom"/>
            <w:hideMark/>
          </w:tcPr>
          <w:p w14:paraId="2C42CE84" w14:textId="77777777" w:rsidR="00B322B7" w:rsidRPr="00B322B7" w:rsidRDefault="00B322B7" w:rsidP="005E2E4F">
            <w:pPr>
              <w:jc w:val="center"/>
              <w:rPr>
                <w:color w:val="000000"/>
                <w:sz w:val="22"/>
                <w:szCs w:val="22"/>
              </w:rPr>
            </w:pPr>
            <w:r w:rsidRPr="00B322B7">
              <w:rPr>
                <w:color w:val="000000"/>
                <w:sz w:val="22"/>
                <w:szCs w:val="22"/>
              </w:rPr>
              <w:t>19.5</w:t>
            </w:r>
          </w:p>
        </w:tc>
        <w:tc>
          <w:tcPr>
            <w:tcW w:w="990" w:type="dxa"/>
            <w:tcBorders>
              <w:top w:val="nil"/>
              <w:left w:val="nil"/>
              <w:bottom w:val="single" w:sz="4" w:space="0" w:color="auto"/>
              <w:right w:val="single" w:sz="4" w:space="0" w:color="auto"/>
            </w:tcBorders>
            <w:shd w:val="clear" w:color="auto" w:fill="auto"/>
            <w:noWrap/>
            <w:vAlign w:val="bottom"/>
            <w:hideMark/>
          </w:tcPr>
          <w:p w14:paraId="19F97519" w14:textId="77777777" w:rsidR="00B322B7" w:rsidRPr="00B322B7" w:rsidRDefault="00B322B7" w:rsidP="005E2E4F">
            <w:pPr>
              <w:jc w:val="center"/>
              <w:rPr>
                <w:color w:val="000000"/>
                <w:sz w:val="22"/>
                <w:szCs w:val="22"/>
              </w:rPr>
            </w:pPr>
            <w:r w:rsidRPr="00B322B7">
              <w:rPr>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120DFD14" w14:textId="77777777" w:rsidR="00B322B7" w:rsidRPr="00B322B7" w:rsidRDefault="00B322B7" w:rsidP="005E2E4F">
            <w:pPr>
              <w:jc w:val="center"/>
              <w:rPr>
                <w:color w:val="000000"/>
                <w:sz w:val="22"/>
                <w:szCs w:val="22"/>
              </w:rPr>
            </w:pPr>
            <w:r w:rsidRPr="00B322B7">
              <w:rPr>
                <w:color w:val="000000"/>
                <w:sz w:val="22"/>
                <w:szCs w:val="22"/>
              </w:rPr>
              <w:t>24.7</w:t>
            </w:r>
          </w:p>
        </w:tc>
        <w:tc>
          <w:tcPr>
            <w:tcW w:w="990" w:type="dxa"/>
            <w:tcBorders>
              <w:top w:val="nil"/>
              <w:left w:val="nil"/>
              <w:bottom w:val="single" w:sz="4" w:space="0" w:color="auto"/>
              <w:right w:val="single" w:sz="4" w:space="0" w:color="auto"/>
            </w:tcBorders>
            <w:shd w:val="clear" w:color="auto" w:fill="auto"/>
            <w:noWrap/>
            <w:vAlign w:val="bottom"/>
            <w:hideMark/>
          </w:tcPr>
          <w:p w14:paraId="3DB29632" w14:textId="77777777" w:rsidR="00B322B7" w:rsidRPr="00B322B7" w:rsidRDefault="00B322B7" w:rsidP="005E2E4F">
            <w:pPr>
              <w:jc w:val="center"/>
              <w:rPr>
                <w:color w:val="000000"/>
                <w:sz w:val="22"/>
                <w:szCs w:val="22"/>
              </w:rPr>
            </w:pPr>
            <w:r w:rsidRPr="00B322B7">
              <w:rPr>
                <w:color w:val="000000"/>
                <w:sz w:val="22"/>
                <w:szCs w:val="22"/>
              </w:rPr>
              <w:t>10.5</w:t>
            </w:r>
          </w:p>
        </w:tc>
        <w:tc>
          <w:tcPr>
            <w:tcW w:w="1043" w:type="dxa"/>
            <w:tcBorders>
              <w:top w:val="nil"/>
              <w:left w:val="nil"/>
              <w:bottom w:val="single" w:sz="4" w:space="0" w:color="auto"/>
              <w:right w:val="single" w:sz="4" w:space="0" w:color="auto"/>
            </w:tcBorders>
            <w:shd w:val="clear" w:color="auto" w:fill="auto"/>
            <w:noWrap/>
            <w:vAlign w:val="bottom"/>
            <w:hideMark/>
          </w:tcPr>
          <w:p w14:paraId="0738E345" w14:textId="77777777" w:rsidR="00B322B7" w:rsidRPr="00B322B7" w:rsidRDefault="00B322B7" w:rsidP="005E2E4F">
            <w:pPr>
              <w:jc w:val="center"/>
              <w:rPr>
                <w:color w:val="000000"/>
                <w:sz w:val="22"/>
                <w:szCs w:val="22"/>
              </w:rPr>
            </w:pPr>
            <w:r w:rsidRPr="00B322B7">
              <w:rPr>
                <w:color w:val="000000"/>
                <w:sz w:val="22"/>
                <w:szCs w:val="22"/>
              </w:rPr>
              <w:t>18.6</w:t>
            </w:r>
          </w:p>
        </w:tc>
      </w:tr>
      <w:tr w:rsidR="00B322B7" w:rsidRPr="00B322B7" w14:paraId="1D173DA7" w14:textId="77777777" w:rsidTr="005E2E4F">
        <w:trPr>
          <w:trHeight w:val="309"/>
        </w:trPr>
        <w:tc>
          <w:tcPr>
            <w:tcW w:w="998" w:type="dxa"/>
            <w:tcBorders>
              <w:top w:val="nil"/>
              <w:left w:val="single" w:sz="4" w:space="0" w:color="auto"/>
              <w:bottom w:val="single" w:sz="4" w:space="0" w:color="auto"/>
              <w:right w:val="single" w:sz="4" w:space="0" w:color="auto"/>
            </w:tcBorders>
            <w:shd w:val="clear" w:color="000000" w:fill="F2F2F2"/>
            <w:noWrap/>
            <w:vAlign w:val="bottom"/>
            <w:hideMark/>
          </w:tcPr>
          <w:p w14:paraId="65E1874E" w14:textId="77777777" w:rsidR="00B322B7" w:rsidRPr="00B322B7" w:rsidRDefault="00B322B7" w:rsidP="005E2E4F">
            <w:pPr>
              <w:jc w:val="center"/>
              <w:rPr>
                <w:b/>
                <w:bCs/>
                <w:color w:val="000000"/>
                <w:sz w:val="22"/>
                <w:szCs w:val="22"/>
              </w:rPr>
            </w:pPr>
            <w:r w:rsidRPr="00B322B7">
              <w:rPr>
                <w:b/>
                <w:bCs/>
                <w:color w:val="000000"/>
                <w:sz w:val="22"/>
                <w:szCs w:val="22"/>
              </w:rPr>
              <w:t>2014</w:t>
            </w:r>
          </w:p>
        </w:tc>
        <w:tc>
          <w:tcPr>
            <w:tcW w:w="1447" w:type="dxa"/>
            <w:tcBorders>
              <w:top w:val="nil"/>
              <w:left w:val="nil"/>
              <w:bottom w:val="single" w:sz="4" w:space="0" w:color="auto"/>
              <w:right w:val="single" w:sz="4" w:space="0" w:color="auto"/>
            </w:tcBorders>
            <w:shd w:val="clear" w:color="000000" w:fill="F2F2F2"/>
            <w:noWrap/>
            <w:vAlign w:val="bottom"/>
            <w:hideMark/>
          </w:tcPr>
          <w:p w14:paraId="1810A583" w14:textId="77777777" w:rsidR="00B322B7" w:rsidRPr="00B322B7" w:rsidRDefault="00B322B7" w:rsidP="005E2E4F">
            <w:pPr>
              <w:jc w:val="center"/>
              <w:rPr>
                <w:color w:val="000000"/>
                <w:sz w:val="22"/>
                <w:szCs w:val="22"/>
              </w:rPr>
            </w:pPr>
            <w:r w:rsidRPr="00B322B7">
              <w:rPr>
                <w:color w:val="000000"/>
                <w:sz w:val="22"/>
                <w:szCs w:val="22"/>
              </w:rPr>
              <w:t>27.6</w:t>
            </w:r>
          </w:p>
        </w:tc>
        <w:tc>
          <w:tcPr>
            <w:tcW w:w="1170" w:type="dxa"/>
            <w:tcBorders>
              <w:top w:val="nil"/>
              <w:left w:val="nil"/>
              <w:bottom w:val="single" w:sz="4" w:space="0" w:color="auto"/>
              <w:right w:val="single" w:sz="4" w:space="0" w:color="auto"/>
            </w:tcBorders>
            <w:shd w:val="clear" w:color="000000" w:fill="F2F2F2"/>
            <w:noWrap/>
            <w:vAlign w:val="bottom"/>
            <w:hideMark/>
          </w:tcPr>
          <w:p w14:paraId="51AA54D3" w14:textId="77777777" w:rsidR="00B322B7" w:rsidRPr="00B322B7" w:rsidRDefault="00B322B7" w:rsidP="005E2E4F">
            <w:pPr>
              <w:jc w:val="center"/>
              <w:rPr>
                <w:color w:val="000000"/>
                <w:sz w:val="22"/>
                <w:szCs w:val="22"/>
              </w:rPr>
            </w:pPr>
            <w:r w:rsidRPr="00B322B7">
              <w:rPr>
                <w:color w:val="000000"/>
                <w:sz w:val="22"/>
                <w:szCs w:val="22"/>
              </w:rPr>
              <w:t>14.8</w:t>
            </w:r>
          </w:p>
        </w:tc>
        <w:tc>
          <w:tcPr>
            <w:tcW w:w="990" w:type="dxa"/>
            <w:tcBorders>
              <w:top w:val="nil"/>
              <w:left w:val="nil"/>
              <w:bottom w:val="single" w:sz="4" w:space="0" w:color="auto"/>
              <w:right w:val="single" w:sz="4" w:space="0" w:color="auto"/>
            </w:tcBorders>
            <w:shd w:val="clear" w:color="000000" w:fill="F2F2F2"/>
            <w:noWrap/>
            <w:vAlign w:val="bottom"/>
            <w:hideMark/>
          </w:tcPr>
          <w:p w14:paraId="0E851260" w14:textId="77777777" w:rsidR="00B322B7" w:rsidRPr="00B322B7" w:rsidRDefault="00B322B7" w:rsidP="005E2E4F">
            <w:pPr>
              <w:jc w:val="center"/>
              <w:rPr>
                <w:color w:val="000000"/>
                <w:sz w:val="22"/>
                <w:szCs w:val="22"/>
              </w:rPr>
            </w:pPr>
            <w:r w:rsidRPr="00B322B7">
              <w:rPr>
                <w:color w:val="000000"/>
                <w:sz w:val="22"/>
                <w:szCs w:val="22"/>
              </w:rPr>
              <w:t>22.3</w:t>
            </w:r>
          </w:p>
        </w:tc>
        <w:tc>
          <w:tcPr>
            <w:tcW w:w="1080" w:type="dxa"/>
            <w:tcBorders>
              <w:top w:val="nil"/>
              <w:left w:val="nil"/>
              <w:bottom w:val="single" w:sz="4" w:space="0" w:color="auto"/>
              <w:right w:val="single" w:sz="4" w:space="0" w:color="auto"/>
            </w:tcBorders>
            <w:shd w:val="clear" w:color="000000" w:fill="F2F2F2"/>
            <w:noWrap/>
            <w:vAlign w:val="bottom"/>
            <w:hideMark/>
          </w:tcPr>
          <w:p w14:paraId="221E99AF" w14:textId="77777777" w:rsidR="00B322B7" w:rsidRPr="00B322B7" w:rsidRDefault="00B322B7" w:rsidP="005E2E4F">
            <w:pPr>
              <w:jc w:val="center"/>
              <w:rPr>
                <w:color w:val="000000"/>
                <w:sz w:val="22"/>
                <w:szCs w:val="22"/>
              </w:rPr>
            </w:pPr>
            <w:r w:rsidRPr="00B322B7">
              <w:rPr>
                <w:color w:val="000000"/>
                <w:sz w:val="22"/>
                <w:szCs w:val="22"/>
              </w:rPr>
              <w:t>15.8</w:t>
            </w:r>
          </w:p>
        </w:tc>
        <w:tc>
          <w:tcPr>
            <w:tcW w:w="990" w:type="dxa"/>
            <w:tcBorders>
              <w:top w:val="nil"/>
              <w:left w:val="nil"/>
              <w:bottom w:val="single" w:sz="4" w:space="0" w:color="auto"/>
              <w:right w:val="single" w:sz="4" w:space="0" w:color="auto"/>
            </w:tcBorders>
            <w:shd w:val="clear" w:color="000000" w:fill="F2F2F2"/>
            <w:noWrap/>
            <w:vAlign w:val="bottom"/>
            <w:hideMark/>
          </w:tcPr>
          <w:p w14:paraId="0AFA99E1" w14:textId="77777777" w:rsidR="00B322B7" w:rsidRPr="00B322B7" w:rsidRDefault="00B322B7" w:rsidP="005E2E4F">
            <w:pPr>
              <w:jc w:val="center"/>
              <w:rPr>
                <w:color w:val="000000"/>
                <w:sz w:val="22"/>
                <w:szCs w:val="22"/>
              </w:rPr>
            </w:pPr>
            <w:r w:rsidRPr="00B322B7">
              <w:rPr>
                <w:color w:val="000000"/>
                <w:sz w:val="22"/>
                <w:szCs w:val="22"/>
              </w:rPr>
              <w:t>1.3</w:t>
            </w:r>
          </w:p>
        </w:tc>
        <w:tc>
          <w:tcPr>
            <w:tcW w:w="990" w:type="dxa"/>
            <w:tcBorders>
              <w:top w:val="nil"/>
              <w:left w:val="nil"/>
              <w:bottom w:val="single" w:sz="4" w:space="0" w:color="auto"/>
              <w:right w:val="single" w:sz="4" w:space="0" w:color="auto"/>
            </w:tcBorders>
            <w:shd w:val="clear" w:color="000000" w:fill="F2F2F2"/>
            <w:noWrap/>
            <w:vAlign w:val="bottom"/>
            <w:hideMark/>
          </w:tcPr>
          <w:p w14:paraId="4AEE1545" w14:textId="77777777" w:rsidR="00B322B7" w:rsidRPr="00B322B7" w:rsidRDefault="00B322B7" w:rsidP="005E2E4F">
            <w:pPr>
              <w:jc w:val="center"/>
              <w:rPr>
                <w:color w:val="000000"/>
                <w:sz w:val="22"/>
                <w:szCs w:val="22"/>
              </w:rPr>
            </w:pPr>
            <w:r w:rsidRPr="00B322B7">
              <w:rPr>
                <w:color w:val="000000"/>
                <w:sz w:val="22"/>
                <w:szCs w:val="22"/>
              </w:rPr>
              <w:t>12.7</w:t>
            </w:r>
          </w:p>
        </w:tc>
        <w:tc>
          <w:tcPr>
            <w:tcW w:w="990" w:type="dxa"/>
            <w:tcBorders>
              <w:top w:val="nil"/>
              <w:left w:val="nil"/>
              <w:bottom w:val="single" w:sz="4" w:space="0" w:color="auto"/>
              <w:right w:val="single" w:sz="4" w:space="0" w:color="auto"/>
            </w:tcBorders>
            <w:shd w:val="clear" w:color="000000" w:fill="F2F2F2"/>
            <w:noWrap/>
            <w:vAlign w:val="bottom"/>
            <w:hideMark/>
          </w:tcPr>
          <w:p w14:paraId="2AB2CB50" w14:textId="77777777" w:rsidR="00B322B7" w:rsidRPr="00B322B7" w:rsidRDefault="00B322B7" w:rsidP="005E2E4F">
            <w:pPr>
              <w:jc w:val="center"/>
              <w:rPr>
                <w:color w:val="000000"/>
                <w:sz w:val="22"/>
                <w:szCs w:val="22"/>
              </w:rPr>
            </w:pPr>
            <w:r w:rsidRPr="00B322B7">
              <w:rPr>
                <w:color w:val="000000"/>
                <w:sz w:val="22"/>
                <w:szCs w:val="22"/>
              </w:rPr>
              <w:t>7.8</w:t>
            </w:r>
          </w:p>
        </w:tc>
        <w:tc>
          <w:tcPr>
            <w:tcW w:w="1043" w:type="dxa"/>
            <w:tcBorders>
              <w:top w:val="nil"/>
              <w:left w:val="nil"/>
              <w:bottom w:val="single" w:sz="4" w:space="0" w:color="auto"/>
              <w:right w:val="single" w:sz="4" w:space="0" w:color="auto"/>
            </w:tcBorders>
            <w:shd w:val="clear" w:color="000000" w:fill="F2F2F2"/>
            <w:noWrap/>
            <w:vAlign w:val="bottom"/>
            <w:hideMark/>
          </w:tcPr>
          <w:p w14:paraId="282E8E56" w14:textId="77777777" w:rsidR="00B322B7" w:rsidRPr="00B322B7" w:rsidRDefault="00B322B7" w:rsidP="005E2E4F">
            <w:pPr>
              <w:jc w:val="center"/>
              <w:rPr>
                <w:color w:val="000000"/>
                <w:sz w:val="22"/>
                <w:szCs w:val="22"/>
              </w:rPr>
            </w:pPr>
            <w:r w:rsidRPr="00B322B7">
              <w:rPr>
                <w:color w:val="000000"/>
                <w:sz w:val="22"/>
                <w:szCs w:val="22"/>
              </w:rPr>
              <w:t>16.7</w:t>
            </w:r>
          </w:p>
        </w:tc>
      </w:tr>
      <w:tr w:rsidR="00B322B7" w:rsidRPr="00B322B7" w14:paraId="7B2EBD90" w14:textId="77777777" w:rsidTr="005E2E4F">
        <w:trPr>
          <w:trHeight w:val="309"/>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1FA5034A" w14:textId="77777777" w:rsidR="00B322B7" w:rsidRPr="00B322B7" w:rsidRDefault="00B322B7" w:rsidP="005E2E4F">
            <w:pPr>
              <w:jc w:val="center"/>
              <w:rPr>
                <w:b/>
                <w:bCs/>
                <w:color w:val="000000"/>
                <w:sz w:val="22"/>
                <w:szCs w:val="22"/>
              </w:rPr>
            </w:pPr>
            <w:r w:rsidRPr="00B322B7">
              <w:rPr>
                <w:b/>
                <w:bCs/>
                <w:color w:val="000000"/>
                <w:sz w:val="22"/>
                <w:szCs w:val="22"/>
              </w:rPr>
              <w:t>2015</w:t>
            </w:r>
          </w:p>
        </w:tc>
        <w:tc>
          <w:tcPr>
            <w:tcW w:w="1447" w:type="dxa"/>
            <w:tcBorders>
              <w:top w:val="nil"/>
              <w:left w:val="nil"/>
              <w:bottom w:val="single" w:sz="4" w:space="0" w:color="auto"/>
              <w:right w:val="single" w:sz="4" w:space="0" w:color="auto"/>
            </w:tcBorders>
            <w:shd w:val="clear" w:color="auto" w:fill="auto"/>
            <w:noWrap/>
            <w:vAlign w:val="bottom"/>
            <w:hideMark/>
          </w:tcPr>
          <w:p w14:paraId="187BFCA3" w14:textId="77777777" w:rsidR="00B322B7" w:rsidRPr="00B322B7" w:rsidRDefault="00B322B7" w:rsidP="005E2E4F">
            <w:pPr>
              <w:jc w:val="center"/>
              <w:rPr>
                <w:color w:val="000000"/>
                <w:sz w:val="22"/>
                <w:szCs w:val="22"/>
              </w:rPr>
            </w:pPr>
            <w:r w:rsidRPr="00B322B7">
              <w:rPr>
                <w:color w:val="000000"/>
                <w:sz w:val="22"/>
                <w:szCs w:val="22"/>
              </w:rPr>
              <w:t>17.0</w:t>
            </w:r>
          </w:p>
        </w:tc>
        <w:tc>
          <w:tcPr>
            <w:tcW w:w="1170" w:type="dxa"/>
            <w:tcBorders>
              <w:top w:val="nil"/>
              <w:left w:val="nil"/>
              <w:bottom w:val="single" w:sz="4" w:space="0" w:color="auto"/>
              <w:right w:val="single" w:sz="4" w:space="0" w:color="auto"/>
            </w:tcBorders>
            <w:shd w:val="clear" w:color="auto" w:fill="auto"/>
            <w:noWrap/>
            <w:vAlign w:val="bottom"/>
            <w:hideMark/>
          </w:tcPr>
          <w:p w14:paraId="6797A904" w14:textId="77777777" w:rsidR="00B322B7" w:rsidRPr="00B322B7" w:rsidRDefault="00B322B7" w:rsidP="005E2E4F">
            <w:pPr>
              <w:jc w:val="center"/>
              <w:rPr>
                <w:color w:val="000000"/>
                <w:sz w:val="22"/>
                <w:szCs w:val="22"/>
              </w:rPr>
            </w:pPr>
            <w:r w:rsidRPr="00B322B7">
              <w:rPr>
                <w:color w:val="000000"/>
                <w:sz w:val="22"/>
                <w:szCs w:val="22"/>
              </w:rPr>
              <w:t>8.5</w:t>
            </w:r>
          </w:p>
        </w:tc>
        <w:tc>
          <w:tcPr>
            <w:tcW w:w="990" w:type="dxa"/>
            <w:tcBorders>
              <w:top w:val="nil"/>
              <w:left w:val="nil"/>
              <w:bottom w:val="single" w:sz="4" w:space="0" w:color="auto"/>
              <w:right w:val="single" w:sz="4" w:space="0" w:color="auto"/>
            </w:tcBorders>
            <w:shd w:val="clear" w:color="auto" w:fill="auto"/>
            <w:noWrap/>
            <w:vAlign w:val="bottom"/>
            <w:hideMark/>
          </w:tcPr>
          <w:p w14:paraId="403BFA4F" w14:textId="77777777" w:rsidR="00B322B7" w:rsidRPr="00B322B7" w:rsidRDefault="00B322B7" w:rsidP="005E2E4F">
            <w:pPr>
              <w:jc w:val="center"/>
              <w:rPr>
                <w:color w:val="000000"/>
                <w:sz w:val="22"/>
                <w:szCs w:val="22"/>
              </w:rPr>
            </w:pPr>
            <w:r w:rsidRPr="00B322B7">
              <w:rPr>
                <w:color w:val="000000"/>
                <w:sz w:val="22"/>
                <w:szCs w:val="22"/>
              </w:rPr>
              <w:t>27.0</w:t>
            </w:r>
          </w:p>
        </w:tc>
        <w:tc>
          <w:tcPr>
            <w:tcW w:w="1080" w:type="dxa"/>
            <w:tcBorders>
              <w:top w:val="nil"/>
              <w:left w:val="nil"/>
              <w:bottom w:val="single" w:sz="4" w:space="0" w:color="auto"/>
              <w:right w:val="single" w:sz="4" w:space="0" w:color="auto"/>
            </w:tcBorders>
            <w:shd w:val="clear" w:color="auto" w:fill="auto"/>
            <w:noWrap/>
            <w:vAlign w:val="bottom"/>
            <w:hideMark/>
          </w:tcPr>
          <w:p w14:paraId="57FE8C34" w14:textId="77777777" w:rsidR="00B322B7" w:rsidRPr="00B322B7" w:rsidRDefault="00B322B7" w:rsidP="005E2E4F">
            <w:pPr>
              <w:jc w:val="center"/>
              <w:rPr>
                <w:color w:val="000000"/>
                <w:sz w:val="22"/>
                <w:szCs w:val="22"/>
              </w:rPr>
            </w:pPr>
            <w:r w:rsidRPr="00B322B7">
              <w:rPr>
                <w:color w:val="000000"/>
                <w:sz w:val="22"/>
                <w:szCs w:val="22"/>
              </w:rPr>
              <w:t>15.0</w:t>
            </w:r>
          </w:p>
        </w:tc>
        <w:tc>
          <w:tcPr>
            <w:tcW w:w="990" w:type="dxa"/>
            <w:tcBorders>
              <w:top w:val="nil"/>
              <w:left w:val="nil"/>
              <w:bottom w:val="single" w:sz="4" w:space="0" w:color="auto"/>
              <w:right w:val="single" w:sz="4" w:space="0" w:color="auto"/>
            </w:tcBorders>
            <w:shd w:val="clear" w:color="auto" w:fill="auto"/>
            <w:noWrap/>
            <w:vAlign w:val="bottom"/>
            <w:hideMark/>
          </w:tcPr>
          <w:p w14:paraId="5B55891F" w14:textId="77777777" w:rsidR="00B322B7" w:rsidRPr="00B322B7" w:rsidRDefault="00B322B7" w:rsidP="005E2E4F">
            <w:pPr>
              <w:jc w:val="center"/>
              <w:rPr>
                <w:color w:val="000000"/>
                <w:sz w:val="22"/>
                <w:szCs w:val="22"/>
              </w:rPr>
            </w:pPr>
            <w:r w:rsidRPr="00B322B7">
              <w:rPr>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7B7A491E" w14:textId="77777777" w:rsidR="00B322B7" w:rsidRPr="00B322B7" w:rsidRDefault="00B322B7" w:rsidP="005E2E4F">
            <w:pPr>
              <w:jc w:val="center"/>
              <w:rPr>
                <w:color w:val="000000"/>
                <w:sz w:val="22"/>
                <w:szCs w:val="22"/>
              </w:rPr>
            </w:pPr>
            <w:r w:rsidRPr="00B322B7">
              <w:rPr>
                <w:color w:val="000000"/>
                <w:sz w:val="22"/>
                <w:szCs w:val="22"/>
              </w:rPr>
              <w:t>12.9</w:t>
            </w:r>
          </w:p>
        </w:tc>
        <w:tc>
          <w:tcPr>
            <w:tcW w:w="990" w:type="dxa"/>
            <w:tcBorders>
              <w:top w:val="nil"/>
              <w:left w:val="nil"/>
              <w:bottom w:val="single" w:sz="4" w:space="0" w:color="auto"/>
              <w:right w:val="single" w:sz="4" w:space="0" w:color="auto"/>
            </w:tcBorders>
            <w:shd w:val="clear" w:color="auto" w:fill="auto"/>
            <w:noWrap/>
            <w:vAlign w:val="bottom"/>
            <w:hideMark/>
          </w:tcPr>
          <w:p w14:paraId="1D540274" w14:textId="77777777" w:rsidR="00B322B7" w:rsidRPr="00B322B7" w:rsidRDefault="00B322B7" w:rsidP="005E2E4F">
            <w:pPr>
              <w:jc w:val="center"/>
              <w:rPr>
                <w:color w:val="000000"/>
                <w:sz w:val="22"/>
                <w:szCs w:val="22"/>
              </w:rPr>
            </w:pPr>
            <w:r w:rsidRPr="00B322B7">
              <w:rPr>
                <w:color w:val="000000"/>
                <w:sz w:val="22"/>
                <w:szCs w:val="22"/>
              </w:rPr>
              <w:t>6.6</w:t>
            </w:r>
          </w:p>
        </w:tc>
        <w:tc>
          <w:tcPr>
            <w:tcW w:w="1043" w:type="dxa"/>
            <w:tcBorders>
              <w:top w:val="nil"/>
              <w:left w:val="nil"/>
              <w:bottom w:val="single" w:sz="4" w:space="0" w:color="auto"/>
              <w:right w:val="single" w:sz="4" w:space="0" w:color="auto"/>
            </w:tcBorders>
            <w:shd w:val="clear" w:color="auto" w:fill="auto"/>
            <w:noWrap/>
            <w:vAlign w:val="bottom"/>
            <w:hideMark/>
          </w:tcPr>
          <w:p w14:paraId="3AEEEE0A" w14:textId="77777777" w:rsidR="00B322B7" w:rsidRPr="00B322B7" w:rsidRDefault="00B322B7" w:rsidP="005E2E4F">
            <w:pPr>
              <w:jc w:val="center"/>
              <w:rPr>
                <w:color w:val="000000"/>
                <w:sz w:val="22"/>
                <w:szCs w:val="22"/>
              </w:rPr>
            </w:pPr>
            <w:r w:rsidRPr="00B322B7">
              <w:rPr>
                <w:color w:val="000000"/>
                <w:sz w:val="22"/>
                <w:szCs w:val="22"/>
              </w:rPr>
              <w:t>16.4</w:t>
            </w:r>
          </w:p>
        </w:tc>
      </w:tr>
      <w:tr w:rsidR="00B322B7" w:rsidRPr="00B322B7" w14:paraId="03575C01" w14:textId="77777777" w:rsidTr="005E2E4F">
        <w:trPr>
          <w:trHeight w:val="309"/>
        </w:trPr>
        <w:tc>
          <w:tcPr>
            <w:tcW w:w="998" w:type="dxa"/>
            <w:tcBorders>
              <w:top w:val="nil"/>
              <w:left w:val="single" w:sz="4" w:space="0" w:color="auto"/>
              <w:bottom w:val="single" w:sz="4" w:space="0" w:color="auto"/>
              <w:right w:val="single" w:sz="4" w:space="0" w:color="auto"/>
            </w:tcBorders>
            <w:shd w:val="clear" w:color="000000" w:fill="F2F2F2"/>
            <w:noWrap/>
            <w:vAlign w:val="bottom"/>
            <w:hideMark/>
          </w:tcPr>
          <w:p w14:paraId="4B2B258A" w14:textId="77777777" w:rsidR="00B322B7" w:rsidRPr="00B322B7" w:rsidRDefault="00B322B7" w:rsidP="005E2E4F">
            <w:pPr>
              <w:jc w:val="center"/>
              <w:rPr>
                <w:b/>
                <w:bCs/>
                <w:color w:val="000000"/>
                <w:sz w:val="22"/>
                <w:szCs w:val="22"/>
              </w:rPr>
            </w:pPr>
            <w:r w:rsidRPr="00B322B7">
              <w:rPr>
                <w:b/>
                <w:bCs/>
                <w:color w:val="000000"/>
                <w:sz w:val="22"/>
                <w:szCs w:val="22"/>
              </w:rPr>
              <w:t>Average</w:t>
            </w:r>
          </w:p>
        </w:tc>
        <w:tc>
          <w:tcPr>
            <w:tcW w:w="1447" w:type="dxa"/>
            <w:tcBorders>
              <w:top w:val="nil"/>
              <w:left w:val="nil"/>
              <w:bottom w:val="single" w:sz="4" w:space="0" w:color="auto"/>
              <w:right w:val="single" w:sz="4" w:space="0" w:color="auto"/>
            </w:tcBorders>
            <w:shd w:val="clear" w:color="000000" w:fill="F2F2F2"/>
            <w:noWrap/>
            <w:vAlign w:val="bottom"/>
            <w:hideMark/>
          </w:tcPr>
          <w:p w14:paraId="514BEC15" w14:textId="77777777" w:rsidR="00B322B7" w:rsidRPr="00B322B7" w:rsidRDefault="00B322B7" w:rsidP="005E2E4F">
            <w:pPr>
              <w:jc w:val="center"/>
              <w:rPr>
                <w:b/>
                <w:bCs/>
                <w:color w:val="000000"/>
                <w:sz w:val="22"/>
                <w:szCs w:val="22"/>
              </w:rPr>
            </w:pPr>
            <w:r w:rsidRPr="00B322B7">
              <w:rPr>
                <w:b/>
                <w:bCs/>
                <w:color w:val="000000"/>
                <w:sz w:val="22"/>
                <w:szCs w:val="22"/>
              </w:rPr>
              <w:t>21.4</w:t>
            </w:r>
          </w:p>
        </w:tc>
        <w:tc>
          <w:tcPr>
            <w:tcW w:w="1170" w:type="dxa"/>
            <w:tcBorders>
              <w:top w:val="nil"/>
              <w:left w:val="nil"/>
              <w:bottom w:val="single" w:sz="4" w:space="0" w:color="auto"/>
              <w:right w:val="single" w:sz="4" w:space="0" w:color="auto"/>
            </w:tcBorders>
            <w:shd w:val="clear" w:color="000000" w:fill="F2F2F2"/>
            <w:noWrap/>
            <w:vAlign w:val="bottom"/>
            <w:hideMark/>
          </w:tcPr>
          <w:p w14:paraId="68ACD05F" w14:textId="77777777" w:rsidR="00B322B7" w:rsidRPr="00B322B7" w:rsidRDefault="00B322B7" w:rsidP="005E2E4F">
            <w:pPr>
              <w:jc w:val="center"/>
              <w:rPr>
                <w:b/>
                <w:bCs/>
                <w:color w:val="000000"/>
                <w:sz w:val="22"/>
                <w:szCs w:val="22"/>
              </w:rPr>
            </w:pPr>
            <w:r w:rsidRPr="00B322B7">
              <w:rPr>
                <w:b/>
                <w:bCs/>
                <w:color w:val="000000"/>
                <w:sz w:val="22"/>
                <w:szCs w:val="22"/>
              </w:rPr>
              <w:t>13.9</w:t>
            </w:r>
          </w:p>
        </w:tc>
        <w:tc>
          <w:tcPr>
            <w:tcW w:w="990" w:type="dxa"/>
            <w:tcBorders>
              <w:top w:val="nil"/>
              <w:left w:val="nil"/>
              <w:bottom w:val="single" w:sz="4" w:space="0" w:color="auto"/>
              <w:right w:val="single" w:sz="4" w:space="0" w:color="auto"/>
            </w:tcBorders>
            <w:shd w:val="clear" w:color="000000" w:fill="F2F2F2"/>
            <w:noWrap/>
            <w:vAlign w:val="bottom"/>
            <w:hideMark/>
          </w:tcPr>
          <w:p w14:paraId="48C2B82F" w14:textId="77777777" w:rsidR="00B322B7" w:rsidRPr="00B322B7" w:rsidRDefault="00B322B7" w:rsidP="005E2E4F">
            <w:pPr>
              <w:jc w:val="center"/>
              <w:rPr>
                <w:b/>
                <w:bCs/>
                <w:color w:val="000000"/>
                <w:sz w:val="22"/>
                <w:szCs w:val="22"/>
              </w:rPr>
            </w:pPr>
            <w:r w:rsidRPr="00B322B7">
              <w:rPr>
                <w:b/>
                <w:bCs/>
                <w:color w:val="000000"/>
                <w:sz w:val="22"/>
                <w:szCs w:val="22"/>
              </w:rPr>
              <w:t>23.9</w:t>
            </w:r>
          </w:p>
        </w:tc>
        <w:tc>
          <w:tcPr>
            <w:tcW w:w="1080" w:type="dxa"/>
            <w:tcBorders>
              <w:top w:val="nil"/>
              <w:left w:val="nil"/>
              <w:bottom w:val="single" w:sz="4" w:space="0" w:color="auto"/>
              <w:right w:val="single" w:sz="4" w:space="0" w:color="auto"/>
            </w:tcBorders>
            <w:shd w:val="clear" w:color="000000" w:fill="F2F2F2"/>
            <w:noWrap/>
            <w:vAlign w:val="bottom"/>
            <w:hideMark/>
          </w:tcPr>
          <w:p w14:paraId="7120BD96" w14:textId="77777777" w:rsidR="00B322B7" w:rsidRPr="00B322B7" w:rsidRDefault="00B322B7" w:rsidP="005E2E4F">
            <w:pPr>
              <w:jc w:val="center"/>
              <w:rPr>
                <w:b/>
                <w:bCs/>
                <w:color w:val="000000"/>
                <w:sz w:val="22"/>
                <w:szCs w:val="22"/>
              </w:rPr>
            </w:pPr>
            <w:r w:rsidRPr="00B322B7">
              <w:rPr>
                <w:b/>
                <w:bCs/>
                <w:color w:val="000000"/>
                <w:sz w:val="22"/>
                <w:szCs w:val="22"/>
              </w:rPr>
              <w:t>17.6</w:t>
            </w:r>
          </w:p>
        </w:tc>
        <w:tc>
          <w:tcPr>
            <w:tcW w:w="990" w:type="dxa"/>
            <w:tcBorders>
              <w:top w:val="nil"/>
              <w:left w:val="nil"/>
              <w:bottom w:val="single" w:sz="4" w:space="0" w:color="auto"/>
              <w:right w:val="single" w:sz="4" w:space="0" w:color="auto"/>
            </w:tcBorders>
            <w:shd w:val="clear" w:color="000000" w:fill="F2F2F2"/>
            <w:noWrap/>
            <w:vAlign w:val="bottom"/>
            <w:hideMark/>
          </w:tcPr>
          <w:p w14:paraId="10160D85" w14:textId="77777777" w:rsidR="00B322B7" w:rsidRPr="00B322B7" w:rsidRDefault="00B322B7" w:rsidP="005E2E4F">
            <w:pPr>
              <w:jc w:val="center"/>
              <w:rPr>
                <w:b/>
                <w:bCs/>
                <w:color w:val="000000"/>
                <w:sz w:val="22"/>
                <w:szCs w:val="22"/>
              </w:rPr>
            </w:pPr>
            <w:r w:rsidRPr="00B322B7">
              <w:rPr>
                <w:b/>
                <w:bCs/>
                <w:color w:val="000000"/>
                <w:sz w:val="22"/>
                <w:szCs w:val="22"/>
              </w:rPr>
              <w:t>1.3</w:t>
            </w:r>
          </w:p>
        </w:tc>
        <w:tc>
          <w:tcPr>
            <w:tcW w:w="990" w:type="dxa"/>
            <w:tcBorders>
              <w:top w:val="nil"/>
              <w:left w:val="nil"/>
              <w:bottom w:val="single" w:sz="4" w:space="0" w:color="auto"/>
              <w:right w:val="single" w:sz="4" w:space="0" w:color="auto"/>
            </w:tcBorders>
            <w:shd w:val="clear" w:color="000000" w:fill="F2F2F2"/>
            <w:noWrap/>
            <w:vAlign w:val="bottom"/>
            <w:hideMark/>
          </w:tcPr>
          <w:p w14:paraId="39115BB1" w14:textId="77777777" w:rsidR="00B322B7" w:rsidRPr="00B322B7" w:rsidRDefault="00B322B7" w:rsidP="005E2E4F">
            <w:pPr>
              <w:jc w:val="center"/>
              <w:rPr>
                <w:b/>
                <w:bCs/>
                <w:color w:val="000000"/>
                <w:sz w:val="22"/>
                <w:szCs w:val="22"/>
              </w:rPr>
            </w:pPr>
            <w:r w:rsidRPr="00B322B7">
              <w:rPr>
                <w:b/>
                <w:bCs/>
                <w:color w:val="000000"/>
                <w:sz w:val="22"/>
                <w:szCs w:val="22"/>
              </w:rPr>
              <w:t>15.2</w:t>
            </w:r>
          </w:p>
        </w:tc>
        <w:tc>
          <w:tcPr>
            <w:tcW w:w="990" w:type="dxa"/>
            <w:tcBorders>
              <w:top w:val="nil"/>
              <w:left w:val="nil"/>
              <w:bottom w:val="single" w:sz="4" w:space="0" w:color="auto"/>
              <w:right w:val="single" w:sz="4" w:space="0" w:color="auto"/>
            </w:tcBorders>
            <w:shd w:val="clear" w:color="000000" w:fill="F2F2F2"/>
            <w:noWrap/>
            <w:vAlign w:val="bottom"/>
            <w:hideMark/>
          </w:tcPr>
          <w:p w14:paraId="69F76DDD" w14:textId="77777777" w:rsidR="00B322B7" w:rsidRPr="00B322B7" w:rsidRDefault="00B322B7" w:rsidP="005E2E4F">
            <w:pPr>
              <w:jc w:val="center"/>
              <w:rPr>
                <w:b/>
                <w:bCs/>
                <w:color w:val="000000"/>
                <w:sz w:val="22"/>
                <w:szCs w:val="22"/>
              </w:rPr>
            </w:pPr>
            <w:r w:rsidRPr="00B322B7">
              <w:rPr>
                <w:b/>
                <w:bCs/>
                <w:color w:val="000000"/>
                <w:sz w:val="22"/>
                <w:szCs w:val="22"/>
              </w:rPr>
              <w:t>11.6</w:t>
            </w:r>
          </w:p>
        </w:tc>
        <w:tc>
          <w:tcPr>
            <w:tcW w:w="1043" w:type="dxa"/>
            <w:tcBorders>
              <w:top w:val="nil"/>
              <w:left w:val="nil"/>
              <w:bottom w:val="single" w:sz="4" w:space="0" w:color="auto"/>
              <w:right w:val="single" w:sz="4" w:space="0" w:color="auto"/>
            </w:tcBorders>
            <w:shd w:val="clear" w:color="000000" w:fill="F2F2F2"/>
            <w:noWrap/>
            <w:vAlign w:val="bottom"/>
            <w:hideMark/>
          </w:tcPr>
          <w:p w14:paraId="543EABF3" w14:textId="77777777" w:rsidR="00B322B7" w:rsidRPr="00B322B7" w:rsidRDefault="00B322B7" w:rsidP="005E2E4F">
            <w:pPr>
              <w:jc w:val="center"/>
              <w:rPr>
                <w:b/>
                <w:bCs/>
                <w:color w:val="000000"/>
                <w:sz w:val="22"/>
                <w:szCs w:val="22"/>
              </w:rPr>
            </w:pPr>
            <w:r w:rsidRPr="00B322B7">
              <w:rPr>
                <w:b/>
                <w:bCs/>
                <w:color w:val="000000"/>
                <w:sz w:val="22"/>
                <w:szCs w:val="22"/>
              </w:rPr>
              <w:t>18.1</w:t>
            </w:r>
          </w:p>
        </w:tc>
      </w:tr>
    </w:tbl>
    <w:p w14:paraId="497133DB" w14:textId="77777777" w:rsidR="00B322B7" w:rsidRDefault="00B322B7" w:rsidP="00B322B7">
      <w:pPr>
        <w:ind w:firstLine="360"/>
      </w:pPr>
    </w:p>
    <w:p w14:paraId="16DF39D1" w14:textId="77777777" w:rsidR="00B322B7" w:rsidRDefault="00B322B7" w:rsidP="00B322B7">
      <w:pPr>
        <w:ind w:firstLine="360"/>
      </w:pPr>
    </w:p>
    <w:p w14:paraId="0CB9D7ED" w14:textId="77777777" w:rsidR="00B322B7" w:rsidRDefault="00B322B7" w:rsidP="00B322B7">
      <w:pPr>
        <w:ind w:firstLine="360"/>
      </w:pPr>
      <w:r>
        <w:t>T</w:t>
      </w:r>
      <w:r w:rsidRPr="002E069A">
        <w:t xml:space="preserve">he </w:t>
      </w:r>
      <w:r>
        <w:t>a</w:t>
      </w:r>
      <w:r w:rsidRPr="003B446F">
        <w:t xml:space="preserve">verage weight </w:t>
      </w:r>
      <w:r>
        <w:t xml:space="preserve">of a commercially harvested mutton snapper </w:t>
      </w:r>
      <w:r w:rsidRPr="003B446F">
        <w:t xml:space="preserve">was determined to be 7.68 lbs ww </w:t>
      </w:r>
      <w:r>
        <w:t xml:space="preserve">(6.92 lbs gw) </w:t>
      </w:r>
      <w:r w:rsidRPr="003B446F">
        <w:t xml:space="preserve">in the most recent stock assessment (SEDAR 15A update 2015).  </w:t>
      </w:r>
      <w:r>
        <w:t>Using that average weight per fish and the average landings (lbs gw) per crewmember above (</w:t>
      </w:r>
      <w:r>
        <w:rPr>
          <w:b/>
        </w:rPr>
        <w:t>Table F-8</w:t>
      </w:r>
      <w:r>
        <w:t>), estimates of the average number of mutton snappers that are landed per crewmember per trip are derived by gear (</w:t>
      </w:r>
      <w:r>
        <w:rPr>
          <w:b/>
        </w:rPr>
        <w:t>Table F-9</w:t>
      </w:r>
      <w:r>
        <w:t xml:space="preserve">).  None of the averages are 5 or more fish per crewmember.  That suggests the 5-fish-per-person limit from April through June would not have an impact on any of the vessels or small businesses.  </w:t>
      </w:r>
    </w:p>
    <w:p w14:paraId="509D6022" w14:textId="77777777" w:rsidR="00B322B7" w:rsidRDefault="00B322B7" w:rsidP="00B322B7">
      <w:pPr>
        <w:ind w:firstLine="360"/>
      </w:pPr>
    </w:p>
    <w:p w14:paraId="407DEBAB" w14:textId="77777777" w:rsidR="00B322B7" w:rsidRDefault="00B322B7" w:rsidP="00B322B7">
      <w:pPr>
        <w:ind w:firstLine="360"/>
      </w:pPr>
    </w:p>
    <w:p w14:paraId="39C6C781" w14:textId="77777777" w:rsidR="00B322B7" w:rsidRDefault="00B322B7" w:rsidP="00B322B7">
      <w:pPr>
        <w:rPr>
          <w:rFonts w:ascii="Arial" w:hAnsi="Arial" w:cs="Arial"/>
          <w:sz w:val="20"/>
          <w:szCs w:val="20"/>
        </w:rPr>
      </w:pPr>
      <w:r>
        <w:rPr>
          <w:rFonts w:ascii="Arial" w:hAnsi="Arial" w:cs="Arial"/>
          <w:b/>
          <w:sz w:val="20"/>
          <w:szCs w:val="20"/>
        </w:rPr>
        <w:t>Table F-9</w:t>
      </w:r>
      <w:r w:rsidRPr="004D19FB">
        <w:rPr>
          <w:rFonts w:ascii="Arial" w:hAnsi="Arial" w:cs="Arial"/>
          <w:b/>
          <w:sz w:val="20"/>
          <w:szCs w:val="20"/>
        </w:rPr>
        <w:t>.</w:t>
      </w:r>
      <w:r w:rsidRPr="00195A2E">
        <w:rPr>
          <w:rFonts w:ascii="Arial" w:hAnsi="Arial" w:cs="Arial"/>
          <w:sz w:val="20"/>
          <w:szCs w:val="20"/>
        </w:rPr>
        <w:t xml:space="preserve">  </w:t>
      </w:r>
      <w:r>
        <w:rPr>
          <w:rFonts w:ascii="Arial" w:hAnsi="Arial" w:cs="Arial"/>
          <w:sz w:val="20"/>
          <w:szCs w:val="20"/>
        </w:rPr>
        <w:t xml:space="preserve">Average Number of Mutton Snapper Landed per Trip </w:t>
      </w:r>
      <w:r w:rsidRPr="00195A2E">
        <w:rPr>
          <w:rFonts w:ascii="Arial" w:hAnsi="Arial" w:cs="Arial"/>
          <w:sz w:val="20"/>
          <w:szCs w:val="20"/>
        </w:rPr>
        <w:t xml:space="preserve">by Gear, </w:t>
      </w:r>
      <w:r>
        <w:rPr>
          <w:rFonts w:ascii="Arial" w:hAnsi="Arial" w:cs="Arial"/>
          <w:sz w:val="20"/>
          <w:szCs w:val="20"/>
        </w:rPr>
        <w:t xml:space="preserve">if average weight is 6.92 lbs gw per fish, </w:t>
      </w:r>
      <w:r w:rsidRPr="00195A2E">
        <w:rPr>
          <w:rFonts w:ascii="Arial" w:hAnsi="Arial" w:cs="Arial"/>
          <w:sz w:val="20"/>
          <w:szCs w:val="20"/>
        </w:rPr>
        <w:t xml:space="preserve">2011-2015.  </w:t>
      </w:r>
    </w:p>
    <w:tbl>
      <w:tblPr>
        <w:tblW w:w="9717" w:type="dxa"/>
        <w:tblInd w:w="93" w:type="dxa"/>
        <w:tblLook w:val="04A0" w:firstRow="1" w:lastRow="0" w:firstColumn="1" w:lastColumn="0" w:noHBand="0" w:noVBand="1"/>
      </w:tblPr>
      <w:tblGrid>
        <w:gridCol w:w="998"/>
        <w:gridCol w:w="1757"/>
        <w:gridCol w:w="1310"/>
        <w:gridCol w:w="1080"/>
        <w:gridCol w:w="978"/>
        <w:gridCol w:w="1169"/>
        <w:gridCol w:w="906"/>
        <w:gridCol w:w="779"/>
        <w:gridCol w:w="795"/>
      </w:tblGrid>
      <w:tr w:rsidR="00B322B7" w:rsidRPr="00B322B7" w14:paraId="2ADCA929" w14:textId="77777777" w:rsidTr="005E2E4F">
        <w:trPr>
          <w:trHeight w:val="275"/>
        </w:trPr>
        <w:tc>
          <w:tcPr>
            <w:tcW w:w="967"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9E0652D" w14:textId="77777777" w:rsidR="00B322B7" w:rsidRPr="00B322B7" w:rsidRDefault="00B322B7" w:rsidP="005E2E4F">
            <w:pPr>
              <w:jc w:val="center"/>
              <w:rPr>
                <w:b/>
                <w:bCs/>
                <w:color w:val="000000"/>
                <w:sz w:val="22"/>
                <w:szCs w:val="22"/>
              </w:rPr>
            </w:pPr>
            <w:r w:rsidRPr="00B322B7">
              <w:rPr>
                <w:b/>
                <w:bCs/>
                <w:color w:val="000000"/>
                <w:sz w:val="22"/>
                <w:szCs w:val="22"/>
              </w:rPr>
              <w:t>Year</w:t>
            </w:r>
          </w:p>
        </w:tc>
        <w:tc>
          <w:tcPr>
            <w:tcW w:w="8749" w:type="dxa"/>
            <w:gridSpan w:val="8"/>
            <w:tcBorders>
              <w:top w:val="single" w:sz="4" w:space="0" w:color="auto"/>
              <w:left w:val="nil"/>
              <w:bottom w:val="single" w:sz="4" w:space="0" w:color="auto"/>
              <w:right w:val="single" w:sz="4" w:space="0" w:color="auto"/>
            </w:tcBorders>
            <w:shd w:val="clear" w:color="000000" w:fill="D9D9D9"/>
            <w:noWrap/>
            <w:vAlign w:val="bottom"/>
            <w:hideMark/>
          </w:tcPr>
          <w:p w14:paraId="5096237F" w14:textId="77777777" w:rsidR="00B322B7" w:rsidRPr="00B322B7" w:rsidRDefault="00B322B7" w:rsidP="005E2E4F">
            <w:pPr>
              <w:jc w:val="center"/>
              <w:rPr>
                <w:b/>
                <w:bCs/>
                <w:color w:val="000000"/>
                <w:sz w:val="22"/>
                <w:szCs w:val="22"/>
              </w:rPr>
            </w:pPr>
            <w:r w:rsidRPr="00B322B7">
              <w:rPr>
                <w:b/>
                <w:bCs/>
                <w:color w:val="000000"/>
                <w:sz w:val="22"/>
                <w:szCs w:val="22"/>
              </w:rPr>
              <w:t>Average number of mutton snapper per crewmember per trip (all months)</w:t>
            </w:r>
          </w:p>
        </w:tc>
      </w:tr>
      <w:tr w:rsidR="00B322B7" w:rsidRPr="00B322B7" w14:paraId="3F261DA0" w14:textId="77777777" w:rsidTr="005E2E4F">
        <w:trPr>
          <w:trHeight w:val="275"/>
        </w:trPr>
        <w:tc>
          <w:tcPr>
            <w:tcW w:w="967" w:type="dxa"/>
            <w:vMerge/>
            <w:tcBorders>
              <w:top w:val="single" w:sz="4" w:space="0" w:color="auto"/>
              <w:left w:val="single" w:sz="4" w:space="0" w:color="auto"/>
              <w:bottom w:val="single" w:sz="4" w:space="0" w:color="000000"/>
              <w:right w:val="single" w:sz="4" w:space="0" w:color="auto"/>
            </w:tcBorders>
            <w:vAlign w:val="center"/>
            <w:hideMark/>
          </w:tcPr>
          <w:p w14:paraId="6E52648E" w14:textId="77777777" w:rsidR="00B322B7" w:rsidRPr="00B322B7" w:rsidRDefault="00B322B7" w:rsidP="005E2E4F">
            <w:pPr>
              <w:rPr>
                <w:b/>
                <w:bCs/>
                <w:color w:val="000000"/>
                <w:sz w:val="22"/>
                <w:szCs w:val="22"/>
              </w:rPr>
            </w:pPr>
          </w:p>
        </w:tc>
        <w:tc>
          <w:tcPr>
            <w:tcW w:w="1757" w:type="dxa"/>
            <w:tcBorders>
              <w:top w:val="nil"/>
              <w:left w:val="nil"/>
              <w:bottom w:val="single" w:sz="4" w:space="0" w:color="auto"/>
              <w:right w:val="single" w:sz="4" w:space="0" w:color="auto"/>
            </w:tcBorders>
            <w:shd w:val="clear" w:color="000000" w:fill="D9D9D9"/>
            <w:noWrap/>
            <w:vAlign w:val="bottom"/>
            <w:hideMark/>
          </w:tcPr>
          <w:p w14:paraId="69E8938B" w14:textId="77777777" w:rsidR="00B322B7" w:rsidRPr="00B322B7" w:rsidRDefault="00B322B7" w:rsidP="005E2E4F">
            <w:pPr>
              <w:jc w:val="center"/>
              <w:rPr>
                <w:b/>
                <w:bCs/>
                <w:color w:val="000000"/>
                <w:sz w:val="22"/>
                <w:szCs w:val="22"/>
              </w:rPr>
            </w:pPr>
            <w:r w:rsidRPr="00B322B7">
              <w:rPr>
                <w:b/>
                <w:bCs/>
                <w:color w:val="000000"/>
                <w:sz w:val="22"/>
                <w:szCs w:val="22"/>
              </w:rPr>
              <w:t>Diving outfits, other</w:t>
            </w:r>
          </w:p>
        </w:tc>
        <w:tc>
          <w:tcPr>
            <w:tcW w:w="1310" w:type="dxa"/>
            <w:tcBorders>
              <w:top w:val="nil"/>
              <w:left w:val="nil"/>
              <w:bottom w:val="single" w:sz="4" w:space="0" w:color="auto"/>
              <w:right w:val="single" w:sz="4" w:space="0" w:color="auto"/>
            </w:tcBorders>
            <w:shd w:val="clear" w:color="000000" w:fill="D9D9D9"/>
            <w:noWrap/>
            <w:vAlign w:val="bottom"/>
            <w:hideMark/>
          </w:tcPr>
          <w:p w14:paraId="1A71345C" w14:textId="77777777" w:rsidR="00B322B7" w:rsidRPr="00B322B7" w:rsidRDefault="00B322B7" w:rsidP="005E2E4F">
            <w:pPr>
              <w:jc w:val="center"/>
              <w:rPr>
                <w:b/>
                <w:bCs/>
                <w:color w:val="000000"/>
                <w:sz w:val="22"/>
                <w:szCs w:val="22"/>
              </w:rPr>
            </w:pPr>
            <w:r w:rsidRPr="00B322B7">
              <w:rPr>
                <w:b/>
                <w:bCs/>
                <w:color w:val="000000"/>
                <w:sz w:val="22"/>
                <w:szCs w:val="22"/>
              </w:rPr>
              <w:t>By hand, other</w:t>
            </w:r>
          </w:p>
        </w:tc>
        <w:tc>
          <w:tcPr>
            <w:tcW w:w="1080" w:type="dxa"/>
            <w:tcBorders>
              <w:top w:val="nil"/>
              <w:left w:val="nil"/>
              <w:bottom w:val="single" w:sz="4" w:space="0" w:color="auto"/>
              <w:right w:val="single" w:sz="4" w:space="0" w:color="auto"/>
            </w:tcBorders>
            <w:shd w:val="clear" w:color="000000" w:fill="D9D9D9"/>
            <w:noWrap/>
            <w:vAlign w:val="bottom"/>
            <w:hideMark/>
          </w:tcPr>
          <w:p w14:paraId="03F26061" w14:textId="77777777" w:rsidR="00B322B7" w:rsidRPr="00B322B7" w:rsidRDefault="00B322B7" w:rsidP="005E2E4F">
            <w:pPr>
              <w:jc w:val="center"/>
              <w:rPr>
                <w:b/>
                <w:bCs/>
                <w:color w:val="000000"/>
                <w:sz w:val="22"/>
                <w:szCs w:val="22"/>
              </w:rPr>
            </w:pPr>
            <w:r w:rsidRPr="00B322B7">
              <w:rPr>
                <w:b/>
                <w:bCs/>
                <w:color w:val="000000"/>
                <w:sz w:val="22"/>
                <w:szCs w:val="22"/>
              </w:rPr>
              <w:t>Hook &amp; line</w:t>
            </w:r>
          </w:p>
        </w:tc>
        <w:tc>
          <w:tcPr>
            <w:tcW w:w="978" w:type="dxa"/>
            <w:tcBorders>
              <w:top w:val="nil"/>
              <w:left w:val="nil"/>
              <w:bottom w:val="single" w:sz="4" w:space="0" w:color="auto"/>
              <w:right w:val="single" w:sz="4" w:space="0" w:color="auto"/>
            </w:tcBorders>
            <w:shd w:val="clear" w:color="000000" w:fill="D9D9D9"/>
            <w:noWrap/>
            <w:vAlign w:val="bottom"/>
            <w:hideMark/>
          </w:tcPr>
          <w:p w14:paraId="04680A23" w14:textId="77777777" w:rsidR="00B322B7" w:rsidRPr="00B322B7" w:rsidRDefault="00B322B7" w:rsidP="005E2E4F">
            <w:pPr>
              <w:jc w:val="center"/>
              <w:rPr>
                <w:b/>
                <w:bCs/>
                <w:color w:val="000000"/>
                <w:sz w:val="22"/>
                <w:szCs w:val="22"/>
              </w:rPr>
            </w:pPr>
            <w:r w:rsidRPr="00B322B7">
              <w:rPr>
                <w:b/>
                <w:bCs/>
                <w:color w:val="000000"/>
                <w:sz w:val="22"/>
                <w:szCs w:val="22"/>
              </w:rPr>
              <w:t>Rod &amp; reel</w:t>
            </w:r>
          </w:p>
        </w:tc>
        <w:tc>
          <w:tcPr>
            <w:tcW w:w="1169" w:type="dxa"/>
            <w:tcBorders>
              <w:top w:val="nil"/>
              <w:left w:val="nil"/>
              <w:bottom w:val="single" w:sz="4" w:space="0" w:color="auto"/>
              <w:right w:val="single" w:sz="4" w:space="0" w:color="auto"/>
            </w:tcBorders>
            <w:shd w:val="clear" w:color="000000" w:fill="D9D9D9"/>
            <w:noWrap/>
            <w:vAlign w:val="bottom"/>
            <w:hideMark/>
          </w:tcPr>
          <w:p w14:paraId="26598A3A" w14:textId="77777777" w:rsidR="00B322B7" w:rsidRPr="00B322B7" w:rsidRDefault="00B322B7" w:rsidP="005E2E4F">
            <w:pPr>
              <w:jc w:val="center"/>
              <w:rPr>
                <w:b/>
                <w:bCs/>
                <w:color w:val="000000"/>
                <w:sz w:val="22"/>
                <w:szCs w:val="22"/>
              </w:rPr>
            </w:pPr>
            <w:r w:rsidRPr="00B322B7">
              <w:rPr>
                <w:b/>
                <w:bCs/>
                <w:color w:val="000000"/>
                <w:sz w:val="22"/>
                <w:szCs w:val="22"/>
              </w:rPr>
              <w:t>Traps &amp; pots</w:t>
            </w:r>
          </w:p>
        </w:tc>
        <w:tc>
          <w:tcPr>
            <w:tcW w:w="906" w:type="dxa"/>
            <w:tcBorders>
              <w:top w:val="nil"/>
              <w:left w:val="nil"/>
              <w:bottom w:val="single" w:sz="4" w:space="0" w:color="auto"/>
              <w:right w:val="single" w:sz="4" w:space="0" w:color="auto"/>
            </w:tcBorders>
            <w:shd w:val="clear" w:color="000000" w:fill="D9D9D9"/>
            <w:noWrap/>
            <w:vAlign w:val="bottom"/>
            <w:hideMark/>
          </w:tcPr>
          <w:p w14:paraId="54189EAC" w14:textId="77777777" w:rsidR="00B322B7" w:rsidRPr="00B322B7" w:rsidRDefault="00B322B7" w:rsidP="005E2E4F">
            <w:pPr>
              <w:jc w:val="center"/>
              <w:rPr>
                <w:b/>
                <w:bCs/>
                <w:color w:val="000000"/>
                <w:sz w:val="22"/>
                <w:szCs w:val="22"/>
              </w:rPr>
            </w:pPr>
            <w:r w:rsidRPr="00B322B7">
              <w:rPr>
                <w:b/>
                <w:bCs/>
                <w:color w:val="000000"/>
                <w:sz w:val="22"/>
                <w:szCs w:val="22"/>
              </w:rPr>
              <w:t>Troll lines</w:t>
            </w:r>
          </w:p>
        </w:tc>
        <w:tc>
          <w:tcPr>
            <w:tcW w:w="755" w:type="dxa"/>
            <w:tcBorders>
              <w:top w:val="nil"/>
              <w:left w:val="nil"/>
              <w:bottom w:val="single" w:sz="4" w:space="0" w:color="auto"/>
              <w:right w:val="single" w:sz="4" w:space="0" w:color="auto"/>
            </w:tcBorders>
            <w:shd w:val="clear" w:color="000000" w:fill="D9D9D9"/>
            <w:noWrap/>
            <w:vAlign w:val="bottom"/>
            <w:hideMark/>
          </w:tcPr>
          <w:p w14:paraId="4F8C10E3" w14:textId="77777777" w:rsidR="00B322B7" w:rsidRPr="00B322B7" w:rsidRDefault="00B322B7" w:rsidP="005E2E4F">
            <w:pPr>
              <w:jc w:val="center"/>
              <w:rPr>
                <w:b/>
                <w:bCs/>
                <w:color w:val="000000"/>
                <w:sz w:val="22"/>
                <w:szCs w:val="22"/>
              </w:rPr>
            </w:pPr>
            <w:r w:rsidRPr="00B322B7">
              <w:rPr>
                <w:b/>
                <w:bCs/>
                <w:color w:val="000000"/>
                <w:sz w:val="22"/>
                <w:szCs w:val="22"/>
              </w:rPr>
              <w:t>Other</w:t>
            </w:r>
          </w:p>
        </w:tc>
        <w:tc>
          <w:tcPr>
            <w:tcW w:w="795" w:type="dxa"/>
            <w:tcBorders>
              <w:top w:val="nil"/>
              <w:left w:val="nil"/>
              <w:bottom w:val="single" w:sz="4" w:space="0" w:color="auto"/>
              <w:right w:val="single" w:sz="4" w:space="0" w:color="auto"/>
            </w:tcBorders>
            <w:shd w:val="clear" w:color="000000" w:fill="D9D9D9"/>
            <w:noWrap/>
            <w:vAlign w:val="bottom"/>
            <w:hideMark/>
          </w:tcPr>
          <w:p w14:paraId="4B70BD97" w14:textId="77777777" w:rsidR="00B322B7" w:rsidRPr="00B322B7" w:rsidRDefault="00B322B7" w:rsidP="005E2E4F">
            <w:pPr>
              <w:jc w:val="center"/>
              <w:rPr>
                <w:b/>
                <w:bCs/>
                <w:color w:val="000000"/>
                <w:sz w:val="22"/>
                <w:szCs w:val="22"/>
              </w:rPr>
            </w:pPr>
            <w:r w:rsidRPr="00B322B7">
              <w:rPr>
                <w:b/>
                <w:bCs/>
                <w:color w:val="000000"/>
                <w:sz w:val="22"/>
                <w:szCs w:val="22"/>
              </w:rPr>
              <w:t>All gears</w:t>
            </w:r>
          </w:p>
        </w:tc>
      </w:tr>
      <w:tr w:rsidR="00B322B7" w:rsidRPr="00B322B7" w14:paraId="063B92B9" w14:textId="77777777" w:rsidTr="005E2E4F">
        <w:trPr>
          <w:trHeight w:val="27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344B5FD0" w14:textId="77777777" w:rsidR="00B322B7" w:rsidRPr="00B322B7" w:rsidRDefault="00B322B7" w:rsidP="005E2E4F">
            <w:pPr>
              <w:jc w:val="center"/>
              <w:rPr>
                <w:b/>
                <w:bCs/>
                <w:color w:val="000000"/>
                <w:sz w:val="22"/>
                <w:szCs w:val="22"/>
              </w:rPr>
            </w:pPr>
            <w:r w:rsidRPr="00B322B7">
              <w:rPr>
                <w:b/>
                <w:bCs/>
                <w:color w:val="000000"/>
                <w:sz w:val="22"/>
                <w:szCs w:val="22"/>
              </w:rPr>
              <w:t>2011</w:t>
            </w:r>
          </w:p>
        </w:tc>
        <w:tc>
          <w:tcPr>
            <w:tcW w:w="1757" w:type="dxa"/>
            <w:tcBorders>
              <w:top w:val="nil"/>
              <w:left w:val="nil"/>
              <w:bottom w:val="single" w:sz="4" w:space="0" w:color="auto"/>
              <w:right w:val="single" w:sz="4" w:space="0" w:color="auto"/>
            </w:tcBorders>
            <w:shd w:val="clear" w:color="auto" w:fill="auto"/>
            <w:noWrap/>
            <w:vAlign w:val="bottom"/>
            <w:hideMark/>
          </w:tcPr>
          <w:p w14:paraId="4AA77C7D" w14:textId="77777777" w:rsidR="00B322B7" w:rsidRPr="00B322B7" w:rsidRDefault="00B322B7" w:rsidP="005E2E4F">
            <w:pPr>
              <w:jc w:val="center"/>
              <w:rPr>
                <w:color w:val="000000"/>
                <w:sz w:val="22"/>
                <w:szCs w:val="22"/>
              </w:rPr>
            </w:pPr>
            <w:r w:rsidRPr="00B322B7">
              <w:rPr>
                <w:color w:val="000000"/>
                <w:sz w:val="22"/>
                <w:szCs w:val="22"/>
              </w:rPr>
              <w:t>2.4</w:t>
            </w:r>
          </w:p>
        </w:tc>
        <w:tc>
          <w:tcPr>
            <w:tcW w:w="1310" w:type="dxa"/>
            <w:tcBorders>
              <w:top w:val="nil"/>
              <w:left w:val="nil"/>
              <w:bottom w:val="single" w:sz="4" w:space="0" w:color="auto"/>
              <w:right w:val="single" w:sz="4" w:space="0" w:color="auto"/>
            </w:tcBorders>
            <w:shd w:val="clear" w:color="auto" w:fill="auto"/>
            <w:noWrap/>
            <w:vAlign w:val="bottom"/>
            <w:hideMark/>
          </w:tcPr>
          <w:p w14:paraId="165F9DA8" w14:textId="77777777" w:rsidR="00B322B7" w:rsidRPr="00B322B7" w:rsidRDefault="00B322B7" w:rsidP="005E2E4F">
            <w:pPr>
              <w:jc w:val="center"/>
              <w:rPr>
                <w:color w:val="000000"/>
                <w:sz w:val="22"/>
                <w:szCs w:val="22"/>
              </w:rPr>
            </w:pPr>
            <w:r w:rsidRPr="00B322B7">
              <w:rPr>
                <w:color w:val="000000"/>
                <w:sz w:val="22"/>
                <w:szCs w:val="22"/>
              </w:rPr>
              <w:t>2.4</w:t>
            </w:r>
          </w:p>
        </w:tc>
        <w:tc>
          <w:tcPr>
            <w:tcW w:w="1080" w:type="dxa"/>
            <w:tcBorders>
              <w:top w:val="nil"/>
              <w:left w:val="nil"/>
              <w:bottom w:val="single" w:sz="4" w:space="0" w:color="auto"/>
              <w:right w:val="single" w:sz="4" w:space="0" w:color="auto"/>
            </w:tcBorders>
            <w:shd w:val="clear" w:color="auto" w:fill="auto"/>
            <w:noWrap/>
            <w:vAlign w:val="bottom"/>
            <w:hideMark/>
          </w:tcPr>
          <w:p w14:paraId="6D2FEC21" w14:textId="77777777" w:rsidR="00B322B7" w:rsidRPr="00B322B7" w:rsidRDefault="00B322B7" w:rsidP="005E2E4F">
            <w:pPr>
              <w:jc w:val="center"/>
              <w:rPr>
                <w:color w:val="000000"/>
                <w:sz w:val="22"/>
                <w:szCs w:val="22"/>
              </w:rPr>
            </w:pPr>
            <w:r w:rsidRPr="00B322B7">
              <w:rPr>
                <w:color w:val="000000"/>
                <w:sz w:val="22"/>
                <w:szCs w:val="22"/>
              </w:rPr>
              <w:t>3.0</w:t>
            </w:r>
          </w:p>
        </w:tc>
        <w:tc>
          <w:tcPr>
            <w:tcW w:w="978" w:type="dxa"/>
            <w:tcBorders>
              <w:top w:val="nil"/>
              <w:left w:val="nil"/>
              <w:bottom w:val="single" w:sz="4" w:space="0" w:color="auto"/>
              <w:right w:val="single" w:sz="4" w:space="0" w:color="auto"/>
            </w:tcBorders>
            <w:shd w:val="clear" w:color="auto" w:fill="auto"/>
            <w:noWrap/>
            <w:vAlign w:val="bottom"/>
            <w:hideMark/>
          </w:tcPr>
          <w:p w14:paraId="62828D5F" w14:textId="77777777" w:rsidR="00B322B7" w:rsidRPr="00B322B7" w:rsidRDefault="00B322B7" w:rsidP="005E2E4F">
            <w:pPr>
              <w:jc w:val="center"/>
              <w:rPr>
                <w:color w:val="000000"/>
                <w:sz w:val="22"/>
                <w:szCs w:val="22"/>
              </w:rPr>
            </w:pPr>
            <w:r w:rsidRPr="00B322B7">
              <w:rPr>
                <w:color w:val="000000"/>
                <w:sz w:val="22"/>
                <w:szCs w:val="22"/>
              </w:rPr>
              <w:t>2.4</w:t>
            </w:r>
          </w:p>
        </w:tc>
        <w:tc>
          <w:tcPr>
            <w:tcW w:w="1169" w:type="dxa"/>
            <w:tcBorders>
              <w:top w:val="nil"/>
              <w:left w:val="nil"/>
              <w:bottom w:val="single" w:sz="4" w:space="0" w:color="auto"/>
              <w:right w:val="single" w:sz="4" w:space="0" w:color="auto"/>
            </w:tcBorders>
            <w:shd w:val="clear" w:color="auto" w:fill="auto"/>
            <w:noWrap/>
            <w:vAlign w:val="bottom"/>
            <w:hideMark/>
          </w:tcPr>
          <w:p w14:paraId="45765831" w14:textId="77777777" w:rsidR="00B322B7" w:rsidRPr="00B322B7" w:rsidRDefault="00B322B7" w:rsidP="005E2E4F">
            <w:pPr>
              <w:jc w:val="center"/>
              <w:rPr>
                <w:color w:val="000000"/>
                <w:sz w:val="22"/>
                <w:szCs w:val="22"/>
              </w:rPr>
            </w:pPr>
            <w:r w:rsidRPr="00B322B7">
              <w:rPr>
                <w:color w:val="000000"/>
                <w:sz w:val="22"/>
                <w:szCs w:val="22"/>
              </w:rPr>
              <w:t> </w:t>
            </w:r>
          </w:p>
        </w:tc>
        <w:tc>
          <w:tcPr>
            <w:tcW w:w="906" w:type="dxa"/>
            <w:tcBorders>
              <w:top w:val="nil"/>
              <w:left w:val="nil"/>
              <w:bottom w:val="single" w:sz="4" w:space="0" w:color="auto"/>
              <w:right w:val="single" w:sz="4" w:space="0" w:color="auto"/>
            </w:tcBorders>
            <w:shd w:val="clear" w:color="auto" w:fill="auto"/>
            <w:noWrap/>
            <w:vAlign w:val="bottom"/>
            <w:hideMark/>
          </w:tcPr>
          <w:p w14:paraId="6822321B" w14:textId="77777777" w:rsidR="00B322B7" w:rsidRPr="00B322B7" w:rsidRDefault="00B322B7" w:rsidP="005E2E4F">
            <w:pPr>
              <w:jc w:val="center"/>
              <w:rPr>
                <w:color w:val="000000"/>
                <w:sz w:val="22"/>
                <w:szCs w:val="22"/>
              </w:rPr>
            </w:pPr>
            <w:r w:rsidRPr="00B322B7">
              <w:rPr>
                <w:color w:val="000000"/>
                <w:sz w:val="22"/>
                <w:szCs w:val="22"/>
              </w:rPr>
              <w:t>1.5</w:t>
            </w:r>
          </w:p>
        </w:tc>
        <w:tc>
          <w:tcPr>
            <w:tcW w:w="755" w:type="dxa"/>
            <w:tcBorders>
              <w:top w:val="nil"/>
              <w:left w:val="nil"/>
              <w:bottom w:val="single" w:sz="4" w:space="0" w:color="auto"/>
              <w:right w:val="single" w:sz="4" w:space="0" w:color="auto"/>
            </w:tcBorders>
            <w:shd w:val="clear" w:color="auto" w:fill="auto"/>
            <w:noWrap/>
            <w:vAlign w:val="bottom"/>
            <w:hideMark/>
          </w:tcPr>
          <w:p w14:paraId="02E91BA4" w14:textId="77777777" w:rsidR="00B322B7" w:rsidRPr="00B322B7" w:rsidRDefault="00B322B7" w:rsidP="005E2E4F">
            <w:pPr>
              <w:jc w:val="center"/>
              <w:rPr>
                <w:color w:val="000000"/>
                <w:sz w:val="22"/>
                <w:szCs w:val="22"/>
              </w:rPr>
            </w:pPr>
            <w:r w:rsidRPr="00B322B7">
              <w:rPr>
                <w:color w:val="000000"/>
                <w:sz w:val="22"/>
                <w:szCs w:val="22"/>
              </w:rPr>
              <w:t>3.2</w:t>
            </w:r>
          </w:p>
        </w:tc>
        <w:tc>
          <w:tcPr>
            <w:tcW w:w="795" w:type="dxa"/>
            <w:tcBorders>
              <w:top w:val="nil"/>
              <w:left w:val="nil"/>
              <w:bottom w:val="single" w:sz="4" w:space="0" w:color="auto"/>
              <w:right w:val="single" w:sz="4" w:space="0" w:color="auto"/>
            </w:tcBorders>
            <w:shd w:val="clear" w:color="auto" w:fill="auto"/>
            <w:noWrap/>
            <w:vAlign w:val="bottom"/>
            <w:hideMark/>
          </w:tcPr>
          <w:p w14:paraId="43D61049" w14:textId="77777777" w:rsidR="00B322B7" w:rsidRPr="00B322B7" w:rsidRDefault="00B322B7" w:rsidP="005E2E4F">
            <w:pPr>
              <w:jc w:val="center"/>
              <w:rPr>
                <w:color w:val="000000"/>
                <w:sz w:val="22"/>
                <w:szCs w:val="22"/>
              </w:rPr>
            </w:pPr>
            <w:r w:rsidRPr="00B322B7">
              <w:rPr>
                <w:color w:val="000000"/>
                <w:sz w:val="22"/>
                <w:szCs w:val="22"/>
              </w:rPr>
              <w:t>2.6</w:t>
            </w:r>
          </w:p>
        </w:tc>
      </w:tr>
      <w:tr w:rsidR="00B322B7" w:rsidRPr="00B322B7" w14:paraId="39A217C9" w14:textId="77777777" w:rsidTr="005E2E4F">
        <w:trPr>
          <w:trHeight w:val="275"/>
        </w:trPr>
        <w:tc>
          <w:tcPr>
            <w:tcW w:w="967" w:type="dxa"/>
            <w:tcBorders>
              <w:top w:val="nil"/>
              <w:left w:val="single" w:sz="4" w:space="0" w:color="auto"/>
              <w:bottom w:val="single" w:sz="4" w:space="0" w:color="auto"/>
              <w:right w:val="single" w:sz="4" w:space="0" w:color="auto"/>
            </w:tcBorders>
            <w:shd w:val="clear" w:color="000000" w:fill="F2F2F2"/>
            <w:noWrap/>
            <w:vAlign w:val="bottom"/>
            <w:hideMark/>
          </w:tcPr>
          <w:p w14:paraId="3678714A" w14:textId="77777777" w:rsidR="00B322B7" w:rsidRPr="00B322B7" w:rsidRDefault="00B322B7" w:rsidP="005E2E4F">
            <w:pPr>
              <w:jc w:val="center"/>
              <w:rPr>
                <w:b/>
                <w:bCs/>
                <w:color w:val="000000"/>
                <w:sz w:val="22"/>
                <w:szCs w:val="22"/>
              </w:rPr>
            </w:pPr>
            <w:r w:rsidRPr="00B322B7">
              <w:rPr>
                <w:b/>
                <w:bCs/>
                <w:color w:val="000000"/>
                <w:sz w:val="22"/>
                <w:szCs w:val="22"/>
              </w:rPr>
              <w:t>2012</w:t>
            </w:r>
          </w:p>
        </w:tc>
        <w:tc>
          <w:tcPr>
            <w:tcW w:w="1757" w:type="dxa"/>
            <w:tcBorders>
              <w:top w:val="nil"/>
              <w:left w:val="nil"/>
              <w:bottom w:val="single" w:sz="4" w:space="0" w:color="auto"/>
              <w:right w:val="single" w:sz="4" w:space="0" w:color="auto"/>
            </w:tcBorders>
            <w:shd w:val="clear" w:color="000000" w:fill="F2F2F2"/>
            <w:noWrap/>
            <w:vAlign w:val="bottom"/>
            <w:hideMark/>
          </w:tcPr>
          <w:p w14:paraId="459EF28F" w14:textId="77777777" w:rsidR="00B322B7" w:rsidRPr="00B322B7" w:rsidRDefault="00B322B7" w:rsidP="005E2E4F">
            <w:pPr>
              <w:jc w:val="center"/>
              <w:rPr>
                <w:color w:val="000000"/>
                <w:sz w:val="22"/>
                <w:szCs w:val="22"/>
              </w:rPr>
            </w:pPr>
            <w:r w:rsidRPr="00B322B7">
              <w:rPr>
                <w:color w:val="000000"/>
                <w:sz w:val="22"/>
                <w:szCs w:val="22"/>
              </w:rPr>
              <w:t>4.1</w:t>
            </w:r>
          </w:p>
        </w:tc>
        <w:tc>
          <w:tcPr>
            <w:tcW w:w="1310" w:type="dxa"/>
            <w:tcBorders>
              <w:top w:val="nil"/>
              <w:left w:val="nil"/>
              <w:bottom w:val="single" w:sz="4" w:space="0" w:color="auto"/>
              <w:right w:val="single" w:sz="4" w:space="0" w:color="auto"/>
            </w:tcBorders>
            <w:shd w:val="clear" w:color="000000" w:fill="F2F2F2"/>
            <w:noWrap/>
            <w:vAlign w:val="bottom"/>
            <w:hideMark/>
          </w:tcPr>
          <w:p w14:paraId="7DCC2725" w14:textId="77777777" w:rsidR="00B322B7" w:rsidRPr="00B322B7" w:rsidRDefault="00B322B7" w:rsidP="005E2E4F">
            <w:pPr>
              <w:jc w:val="center"/>
              <w:rPr>
                <w:color w:val="000000"/>
                <w:sz w:val="22"/>
                <w:szCs w:val="22"/>
              </w:rPr>
            </w:pPr>
            <w:r w:rsidRPr="00B322B7">
              <w:rPr>
                <w:color w:val="000000"/>
                <w:sz w:val="22"/>
                <w:szCs w:val="22"/>
              </w:rPr>
              <w:t>2.5</w:t>
            </w:r>
          </w:p>
        </w:tc>
        <w:tc>
          <w:tcPr>
            <w:tcW w:w="1080" w:type="dxa"/>
            <w:tcBorders>
              <w:top w:val="nil"/>
              <w:left w:val="nil"/>
              <w:bottom w:val="single" w:sz="4" w:space="0" w:color="auto"/>
              <w:right w:val="single" w:sz="4" w:space="0" w:color="auto"/>
            </w:tcBorders>
            <w:shd w:val="clear" w:color="000000" w:fill="F2F2F2"/>
            <w:noWrap/>
            <w:vAlign w:val="bottom"/>
            <w:hideMark/>
          </w:tcPr>
          <w:p w14:paraId="1C06B66C" w14:textId="77777777" w:rsidR="00B322B7" w:rsidRPr="00B322B7" w:rsidRDefault="00B322B7" w:rsidP="005E2E4F">
            <w:pPr>
              <w:jc w:val="center"/>
              <w:rPr>
                <w:color w:val="000000"/>
                <w:sz w:val="22"/>
                <w:szCs w:val="22"/>
              </w:rPr>
            </w:pPr>
            <w:r w:rsidRPr="00B322B7">
              <w:rPr>
                <w:color w:val="000000"/>
                <w:sz w:val="22"/>
                <w:szCs w:val="22"/>
              </w:rPr>
              <w:t>3.7</w:t>
            </w:r>
          </w:p>
        </w:tc>
        <w:tc>
          <w:tcPr>
            <w:tcW w:w="978" w:type="dxa"/>
            <w:tcBorders>
              <w:top w:val="nil"/>
              <w:left w:val="nil"/>
              <w:bottom w:val="single" w:sz="4" w:space="0" w:color="auto"/>
              <w:right w:val="single" w:sz="4" w:space="0" w:color="auto"/>
            </w:tcBorders>
            <w:shd w:val="clear" w:color="000000" w:fill="F2F2F2"/>
            <w:noWrap/>
            <w:vAlign w:val="bottom"/>
            <w:hideMark/>
          </w:tcPr>
          <w:p w14:paraId="48910A00" w14:textId="77777777" w:rsidR="00B322B7" w:rsidRPr="00B322B7" w:rsidRDefault="00B322B7" w:rsidP="005E2E4F">
            <w:pPr>
              <w:jc w:val="center"/>
              <w:rPr>
                <w:color w:val="000000"/>
                <w:sz w:val="22"/>
                <w:szCs w:val="22"/>
              </w:rPr>
            </w:pPr>
            <w:r w:rsidRPr="00B322B7">
              <w:rPr>
                <w:color w:val="000000"/>
                <w:sz w:val="22"/>
                <w:szCs w:val="22"/>
              </w:rPr>
              <w:t>3.0</w:t>
            </w:r>
          </w:p>
        </w:tc>
        <w:tc>
          <w:tcPr>
            <w:tcW w:w="1169" w:type="dxa"/>
            <w:tcBorders>
              <w:top w:val="nil"/>
              <w:left w:val="nil"/>
              <w:bottom w:val="single" w:sz="4" w:space="0" w:color="auto"/>
              <w:right w:val="single" w:sz="4" w:space="0" w:color="auto"/>
            </w:tcBorders>
            <w:shd w:val="clear" w:color="000000" w:fill="F2F2F2"/>
            <w:noWrap/>
            <w:vAlign w:val="bottom"/>
            <w:hideMark/>
          </w:tcPr>
          <w:p w14:paraId="7F3987C0" w14:textId="77777777" w:rsidR="00B322B7" w:rsidRPr="00B322B7" w:rsidRDefault="00B322B7" w:rsidP="005E2E4F">
            <w:pPr>
              <w:jc w:val="center"/>
              <w:rPr>
                <w:color w:val="000000"/>
                <w:sz w:val="22"/>
                <w:szCs w:val="22"/>
              </w:rPr>
            </w:pPr>
            <w:r w:rsidRPr="00B322B7">
              <w:rPr>
                <w:color w:val="000000"/>
                <w:sz w:val="22"/>
                <w:szCs w:val="22"/>
              </w:rPr>
              <w:t> </w:t>
            </w:r>
          </w:p>
        </w:tc>
        <w:tc>
          <w:tcPr>
            <w:tcW w:w="906" w:type="dxa"/>
            <w:tcBorders>
              <w:top w:val="nil"/>
              <w:left w:val="nil"/>
              <w:bottom w:val="single" w:sz="4" w:space="0" w:color="auto"/>
              <w:right w:val="single" w:sz="4" w:space="0" w:color="auto"/>
            </w:tcBorders>
            <w:shd w:val="clear" w:color="000000" w:fill="F2F2F2"/>
            <w:noWrap/>
            <w:vAlign w:val="bottom"/>
            <w:hideMark/>
          </w:tcPr>
          <w:p w14:paraId="5D19C437" w14:textId="77777777" w:rsidR="00B322B7" w:rsidRPr="00B322B7" w:rsidRDefault="00B322B7" w:rsidP="005E2E4F">
            <w:pPr>
              <w:jc w:val="center"/>
              <w:rPr>
                <w:color w:val="000000"/>
                <w:sz w:val="22"/>
                <w:szCs w:val="22"/>
              </w:rPr>
            </w:pPr>
            <w:r w:rsidRPr="00B322B7">
              <w:rPr>
                <w:color w:val="000000"/>
                <w:sz w:val="22"/>
                <w:szCs w:val="22"/>
              </w:rPr>
              <w:t>2.2</w:t>
            </w:r>
          </w:p>
        </w:tc>
        <w:tc>
          <w:tcPr>
            <w:tcW w:w="755" w:type="dxa"/>
            <w:tcBorders>
              <w:top w:val="nil"/>
              <w:left w:val="nil"/>
              <w:bottom w:val="single" w:sz="4" w:space="0" w:color="auto"/>
              <w:right w:val="single" w:sz="4" w:space="0" w:color="auto"/>
            </w:tcBorders>
            <w:shd w:val="clear" w:color="000000" w:fill="F2F2F2"/>
            <w:noWrap/>
            <w:vAlign w:val="bottom"/>
            <w:hideMark/>
          </w:tcPr>
          <w:p w14:paraId="40894860" w14:textId="77777777" w:rsidR="00B322B7" w:rsidRPr="00B322B7" w:rsidRDefault="00B322B7" w:rsidP="005E2E4F">
            <w:pPr>
              <w:jc w:val="center"/>
              <w:rPr>
                <w:color w:val="000000"/>
                <w:sz w:val="22"/>
                <w:szCs w:val="22"/>
              </w:rPr>
            </w:pPr>
            <w:r w:rsidRPr="00B322B7">
              <w:rPr>
                <w:color w:val="000000"/>
                <w:sz w:val="22"/>
                <w:szCs w:val="22"/>
              </w:rPr>
              <w:t>1.6</w:t>
            </w:r>
          </w:p>
        </w:tc>
        <w:tc>
          <w:tcPr>
            <w:tcW w:w="795" w:type="dxa"/>
            <w:tcBorders>
              <w:top w:val="nil"/>
              <w:left w:val="nil"/>
              <w:bottom w:val="single" w:sz="4" w:space="0" w:color="auto"/>
              <w:right w:val="single" w:sz="4" w:space="0" w:color="auto"/>
            </w:tcBorders>
            <w:shd w:val="clear" w:color="000000" w:fill="F2F2F2"/>
            <w:noWrap/>
            <w:vAlign w:val="bottom"/>
            <w:hideMark/>
          </w:tcPr>
          <w:p w14:paraId="6DAA4EE8" w14:textId="77777777" w:rsidR="00B322B7" w:rsidRPr="00B322B7" w:rsidRDefault="00B322B7" w:rsidP="005E2E4F">
            <w:pPr>
              <w:jc w:val="center"/>
              <w:rPr>
                <w:color w:val="000000"/>
                <w:sz w:val="22"/>
                <w:szCs w:val="22"/>
              </w:rPr>
            </w:pPr>
            <w:r w:rsidRPr="00B322B7">
              <w:rPr>
                <w:color w:val="000000"/>
                <w:sz w:val="22"/>
                <w:szCs w:val="22"/>
              </w:rPr>
              <w:t>3.0</w:t>
            </w:r>
          </w:p>
        </w:tc>
      </w:tr>
      <w:tr w:rsidR="00B322B7" w:rsidRPr="00B322B7" w14:paraId="3528B7E3" w14:textId="77777777" w:rsidTr="005E2E4F">
        <w:trPr>
          <w:trHeight w:val="27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1A775D74" w14:textId="77777777" w:rsidR="00B322B7" w:rsidRPr="00B322B7" w:rsidRDefault="00B322B7" w:rsidP="005E2E4F">
            <w:pPr>
              <w:jc w:val="center"/>
              <w:rPr>
                <w:b/>
                <w:bCs/>
                <w:color w:val="000000"/>
                <w:sz w:val="22"/>
                <w:szCs w:val="22"/>
              </w:rPr>
            </w:pPr>
            <w:r w:rsidRPr="00B322B7">
              <w:rPr>
                <w:b/>
                <w:bCs/>
                <w:color w:val="000000"/>
                <w:sz w:val="22"/>
                <w:szCs w:val="22"/>
              </w:rPr>
              <w:t>2013</w:t>
            </w:r>
          </w:p>
        </w:tc>
        <w:tc>
          <w:tcPr>
            <w:tcW w:w="1757" w:type="dxa"/>
            <w:tcBorders>
              <w:top w:val="nil"/>
              <w:left w:val="nil"/>
              <w:bottom w:val="single" w:sz="4" w:space="0" w:color="auto"/>
              <w:right w:val="single" w:sz="4" w:space="0" w:color="auto"/>
            </w:tcBorders>
            <w:shd w:val="clear" w:color="auto" w:fill="auto"/>
            <w:noWrap/>
            <w:vAlign w:val="bottom"/>
            <w:hideMark/>
          </w:tcPr>
          <w:p w14:paraId="7048E00A" w14:textId="77777777" w:rsidR="00B322B7" w:rsidRPr="00B322B7" w:rsidRDefault="00B322B7" w:rsidP="005E2E4F">
            <w:pPr>
              <w:jc w:val="center"/>
              <w:rPr>
                <w:color w:val="000000"/>
                <w:sz w:val="22"/>
                <w:szCs w:val="22"/>
              </w:rPr>
            </w:pPr>
            <w:r w:rsidRPr="00B322B7">
              <w:rPr>
                <w:color w:val="000000"/>
                <w:sz w:val="22"/>
                <w:szCs w:val="22"/>
              </w:rPr>
              <w:t>2.6</w:t>
            </w:r>
          </w:p>
        </w:tc>
        <w:tc>
          <w:tcPr>
            <w:tcW w:w="1310" w:type="dxa"/>
            <w:tcBorders>
              <w:top w:val="nil"/>
              <w:left w:val="nil"/>
              <w:bottom w:val="single" w:sz="4" w:space="0" w:color="auto"/>
              <w:right w:val="single" w:sz="4" w:space="0" w:color="auto"/>
            </w:tcBorders>
            <w:shd w:val="clear" w:color="auto" w:fill="auto"/>
            <w:noWrap/>
            <w:vAlign w:val="bottom"/>
            <w:hideMark/>
          </w:tcPr>
          <w:p w14:paraId="36C7C29D" w14:textId="77777777" w:rsidR="00B322B7" w:rsidRPr="00B322B7" w:rsidRDefault="00B322B7" w:rsidP="005E2E4F">
            <w:pPr>
              <w:jc w:val="center"/>
              <w:rPr>
                <w:color w:val="000000"/>
                <w:sz w:val="22"/>
                <w:szCs w:val="22"/>
              </w:rPr>
            </w:pPr>
            <w:r w:rsidRPr="00B322B7">
              <w:rPr>
                <w:color w:val="000000"/>
                <w:sz w:val="22"/>
                <w:szCs w:val="22"/>
              </w:rPr>
              <w:t>1.8</w:t>
            </w:r>
          </w:p>
        </w:tc>
        <w:tc>
          <w:tcPr>
            <w:tcW w:w="1080" w:type="dxa"/>
            <w:tcBorders>
              <w:top w:val="nil"/>
              <w:left w:val="nil"/>
              <w:bottom w:val="single" w:sz="4" w:space="0" w:color="auto"/>
              <w:right w:val="single" w:sz="4" w:space="0" w:color="auto"/>
            </w:tcBorders>
            <w:shd w:val="clear" w:color="auto" w:fill="auto"/>
            <w:noWrap/>
            <w:vAlign w:val="bottom"/>
            <w:hideMark/>
          </w:tcPr>
          <w:p w14:paraId="2881D8EE" w14:textId="77777777" w:rsidR="00B322B7" w:rsidRPr="00B322B7" w:rsidRDefault="00B322B7" w:rsidP="005E2E4F">
            <w:pPr>
              <w:jc w:val="center"/>
              <w:rPr>
                <w:color w:val="000000"/>
                <w:sz w:val="22"/>
                <w:szCs w:val="22"/>
              </w:rPr>
            </w:pPr>
            <w:r w:rsidRPr="00B322B7">
              <w:rPr>
                <w:color w:val="000000"/>
                <w:sz w:val="22"/>
                <w:szCs w:val="22"/>
              </w:rPr>
              <w:t>3.5</w:t>
            </w:r>
          </w:p>
        </w:tc>
        <w:tc>
          <w:tcPr>
            <w:tcW w:w="978" w:type="dxa"/>
            <w:tcBorders>
              <w:top w:val="nil"/>
              <w:left w:val="nil"/>
              <w:bottom w:val="single" w:sz="4" w:space="0" w:color="auto"/>
              <w:right w:val="single" w:sz="4" w:space="0" w:color="auto"/>
            </w:tcBorders>
            <w:shd w:val="clear" w:color="auto" w:fill="auto"/>
            <w:noWrap/>
            <w:vAlign w:val="bottom"/>
            <w:hideMark/>
          </w:tcPr>
          <w:p w14:paraId="186BD869" w14:textId="77777777" w:rsidR="00B322B7" w:rsidRPr="00B322B7" w:rsidRDefault="00B322B7" w:rsidP="005E2E4F">
            <w:pPr>
              <w:jc w:val="center"/>
              <w:rPr>
                <w:color w:val="000000"/>
                <w:sz w:val="22"/>
                <w:szCs w:val="22"/>
              </w:rPr>
            </w:pPr>
            <w:r w:rsidRPr="00B322B7">
              <w:rPr>
                <w:color w:val="000000"/>
                <w:sz w:val="22"/>
                <w:szCs w:val="22"/>
              </w:rPr>
              <w:t>2.8</w:t>
            </w:r>
          </w:p>
        </w:tc>
        <w:tc>
          <w:tcPr>
            <w:tcW w:w="1169" w:type="dxa"/>
            <w:tcBorders>
              <w:top w:val="nil"/>
              <w:left w:val="nil"/>
              <w:bottom w:val="single" w:sz="4" w:space="0" w:color="auto"/>
              <w:right w:val="single" w:sz="4" w:space="0" w:color="auto"/>
            </w:tcBorders>
            <w:shd w:val="clear" w:color="auto" w:fill="auto"/>
            <w:noWrap/>
            <w:vAlign w:val="bottom"/>
            <w:hideMark/>
          </w:tcPr>
          <w:p w14:paraId="7C5A0597" w14:textId="77777777" w:rsidR="00B322B7" w:rsidRPr="00B322B7" w:rsidRDefault="00B322B7" w:rsidP="005E2E4F">
            <w:pPr>
              <w:jc w:val="center"/>
              <w:rPr>
                <w:color w:val="000000"/>
                <w:sz w:val="22"/>
                <w:szCs w:val="22"/>
              </w:rPr>
            </w:pPr>
            <w:r w:rsidRPr="00B322B7">
              <w:rPr>
                <w:color w:val="000000"/>
                <w:sz w:val="22"/>
                <w:szCs w:val="22"/>
              </w:rPr>
              <w:t> </w:t>
            </w:r>
          </w:p>
        </w:tc>
        <w:tc>
          <w:tcPr>
            <w:tcW w:w="906" w:type="dxa"/>
            <w:tcBorders>
              <w:top w:val="nil"/>
              <w:left w:val="nil"/>
              <w:bottom w:val="single" w:sz="4" w:space="0" w:color="auto"/>
              <w:right w:val="single" w:sz="4" w:space="0" w:color="auto"/>
            </w:tcBorders>
            <w:shd w:val="clear" w:color="auto" w:fill="auto"/>
            <w:noWrap/>
            <w:vAlign w:val="bottom"/>
            <w:hideMark/>
          </w:tcPr>
          <w:p w14:paraId="24955CB5" w14:textId="77777777" w:rsidR="00B322B7" w:rsidRPr="00B322B7" w:rsidRDefault="00B322B7" w:rsidP="005E2E4F">
            <w:pPr>
              <w:jc w:val="center"/>
              <w:rPr>
                <w:color w:val="000000"/>
                <w:sz w:val="22"/>
                <w:szCs w:val="22"/>
              </w:rPr>
            </w:pPr>
            <w:r w:rsidRPr="00B322B7">
              <w:rPr>
                <w:color w:val="000000"/>
                <w:sz w:val="22"/>
                <w:szCs w:val="22"/>
              </w:rPr>
              <w:t>3.6</w:t>
            </w:r>
          </w:p>
        </w:tc>
        <w:tc>
          <w:tcPr>
            <w:tcW w:w="755" w:type="dxa"/>
            <w:tcBorders>
              <w:top w:val="nil"/>
              <w:left w:val="nil"/>
              <w:bottom w:val="single" w:sz="4" w:space="0" w:color="auto"/>
              <w:right w:val="single" w:sz="4" w:space="0" w:color="auto"/>
            </w:tcBorders>
            <w:shd w:val="clear" w:color="auto" w:fill="auto"/>
            <w:noWrap/>
            <w:vAlign w:val="bottom"/>
            <w:hideMark/>
          </w:tcPr>
          <w:p w14:paraId="11124022" w14:textId="77777777" w:rsidR="00B322B7" w:rsidRPr="00B322B7" w:rsidRDefault="00B322B7" w:rsidP="005E2E4F">
            <w:pPr>
              <w:jc w:val="center"/>
              <w:rPr>
                <w:color w:val="000000"/>
                <w:sz w:val="22"/>
                <w:szCs w:val="22"/>
              </w:rPr>
            </w:pPr>
            <w:r w:rsidRPr="00B322B7">
              <w:rPr>
                <w:color w:val="000000"/>
                <w:sz w:val="22"/>
                <w:szCs w:val="22"/>
              </w:rPr>
              <w:t>1.5</w:t>
            </w:r>
          </w:p>
        </w:tc>
        <w:tc>
          <w:tcPr>
            <w:tcW w:w="795" w:type="dxa"/>
            <w:tcBorders>
              <w:top w:val="nil"/>
              <w:left w:val="nil"/>
              <w:bottom w:val="single" w:sz="4" w:space="0" w:color="auto"/>
              <w:right w:val="single" w:sz="4" w:space="0" w:color="auto"/>
            </w:tcBorders>
            <w:shd w:val="clear" w:color="auto" w:fill="auto"/>
            <w:noWrap/>
            <w:vAlign w:val="bottom"/>
            <w:hideMark/>
          </w:tcPr>
          <w:p w14:paraId="04330A8F" w14:textId="77777777" w:rsidR="00B322B7" w:rsidRPr="00B322B7" w:rsidRDefault="00B322B7" w:rsidP="005E2E4F">
            <w:pPr>
              <w:jc w:val="center"/>
              <w:rPr>
                <w:color w:val="000000"/>
                <w:sz w:val="22"/>
                <w:szCs w:val="22"/>
              </w:rPr>
            </w:pPr>
            <w:r w:rsidRPr="00B322B7">
              <w:rPr>
                <w:color w:val="000000"/>
                <w:sz w:val="22"/>
                <w:szCs w:val="22"/>
              </w:rPr>
              <w:t>2.7</w:t>
            </w:r>
          </w:p>
        </w:tc>
      </w:tr>
      <w:tr w:rsidR="00B322B7" w:rsidRPr="00B322B7" w14:paraId="168C9156" w14:textId="77777777" w:rsidTr="005E2E4F">
        <w:trPr>
          <w:trHeight w:val="275"/>
        </w:trPr>
        <w:tc>
          <w:tcPr>
            <w:tcW w:w="967" w:type="dxa"/>
            <w:tcBorders>
              <w:top w:val="nil"/>
              <w:left w:val="single" w:sz="4" w:space="0" w:color="auto"/>
              <w:bottom w:val="single" w:sz="4" w:space="0" w:color="auto"/>
              <w:right w:val="single" w:sz="4" w:space="0" w:color="auto"/>
            </w:tcBorders>
            <w:shd w:val="clear" w:color="000000" w:fill="F2F2F2"/>
            <w:noWrap/>
            <w:vAlign w:val="bottom"/>
            <w:hideMark/>
          </w:tcPr>
          <w:p w14:paraId="7623522F" w14:textId="77777777" w:rsidR="00B322B7" w:rsidRPr="00B322B7" w:rsidRDefault="00B322B7" w:rsidP="005E2E4F">
            <w:pPr>
              <w:jc w:val="center"/>
              <w:rPr>
                <w:b/>
                <w:bCs/>
                <w:color w:val="000000"/>
                <w:sz w:val="22"/>
                <w:szCs w:val="22"/>
              </w:rPr>
            </w:pPr>
            <w:r w:rsidRPr="00B322B7">
              <w:rPr>
                <w:b/>
                <w:bCs/>
                <w:color w:val="000000"/>
                <w:sz w:val="22"/>
                <w:szCs w:val="22"/>
              </w:rPr>
              <w:t>2014</w:t>
            </w:r>
          </w:p>
        </w:tc>
        <w:tc>
          <w:tcPr>
            <w:tcW w:w="1757" w:type="dxa"/>
            <w:tcBorders>
              <w:top w:val="nil"/>
              <w:left w:val="nil"/>
              <w:bottom w:val="single" w:sz="4" w:space="0" w:color="auto"/>
              <w:right w:val="single" w:sz="4" w:space="0" w:color="auto"/>
            </w:tcBorders>
            <w:shd w:val="clear" w:color="000000" w:fill="F2F2F2"/>
            <w:noWrap/>
            <w:vAlign w:val="bottom"/>
            <w:hideMark/>
          </w:tcPr>
          <w:p w14:paraId="4414C34B" w14:textId="77777777" w:rsidR="00B322B7" w:rsidRPr="00B322B7" w:rsidRDefault="00B322B7" w:rsidP="005E2E4F">
            <w:pPr>
              <w:jc w:val="center"/>
              <w:rPr>
                <w:color w:val="000000"/>
                <w:sz w:val="22"/>
                <w:szCs w:val="22"/>
              </w:rPr>
            </w:pPr>
            <w:r w:rsidRPr="00B322B7">
              <w:rPr>
                <w:color w:val="000000"/>
                <w:sz w:val="22"/>
                <w:szCs w:val="22"/>
              </w:rPr>
              <w:t>4.0</w:t>
            </w:r>
          </w:p>
        </w:tc>
        <w:tc>
          <w:tcPr>
            <w:tcW w:w="1310" w:type="dxa"/>
            <w:tcBorders>
              <w:top w:val="nil"/>
              <w:left w:val="nil"/>
              <w:bottom w:val="single" w:sz="4" w:space="0" w:color="auto"/>
              <w:right w:val="single" w:sz="4" w:space="0" w:color="auto"/>
            </w:tcBorders>
            <w:shd w:val="clear" w:color="000000" w:fill="F2F2F2"/>
            <w:noWrap/>
            <w:vAlign w:val="bottom"/>
            <w:hideMark/>
          </w:tcPr>
          <w:p w14:paraId="6B94F593" w14:textId="77777777" w:rsidR="00B322B7" w:rsidRPr="00B322B7" w:rsidRDefault="00B322B7" w:rsidP="005E2E4F">
            <w:pPr>
              <w:jc w:val="center"/>
              <w:rPr>
                <w:color w:val="000000"/>
                <w:sz w:val="22"/>
                <w:szCs w:val="22"/>
              </w:rPr>
            </w:pPr>
            <w:r w:rsidRPr="00B322B7">
              <w:rPr>
                <w:color w:val="000000"/>
                <w:sz w:val="22"/>
                <w:szCs w:val="22"/>
              </w:rPr>
              <w:t>2.1</w:t>
            </w:r>
          </w:p>
        </w:tc>
        <w:tc>
          <w:tcPr>
            <w:tcW w:w="1080" w:type="dxa"/>
            <w:tcBorders>
              <w:top w:val="nil"/>
              <w:left w:val="nil"/>
              <w:bottom w:val="single" w:sz="4" w:space="0" w:color="auto"/>
              <w:right w:val="single" w:sz="4" w:space="0" w:color="auto"/>
            </w:tcBorders>
            <w:shd w:val="clear" w:color="000000" w:fill="F2F2F2"/>
            <w:noWrap/>
            <w:vAlign w:val="bottom"/>
            <w:hideMark/>
          </w:tcPr>
          <w:p w14:paraId="4C9E06BB" w14:textId="77777777" w:rsidR="00B322B7" w:rsidRPr="00B322B7" w:rsidRDefault="00B322B7" w:rsidP="005E2E4F">
            <w:pPr>
              <w:jc w:val="center"/>
              <w:rPr>
                <w:color w:val="000000"/>
                <w:sz w:val="22"/>
                <w:szCs w:val="22"/>
              </w:rPr>
            </w:pPr>
            <w:r w:rsidRPr="00B322B7">
              <w:rPr>
                <w:color w:val="000000"/>
                <w:sz w:val="22"/>
                <w:szCs w:val="22"/>
              </w:rPr>
              <w:t>3.2</w:t>
            </w:r>
          </w:p>
        </w:tc>
        <w:tc>
          <w:tcPr>
            <w:tcW w:w="978" w:type="dxa"/>
            <w:tcBorders>
              <w:top w:val="nil"/>
              <w:left w:val="nil"/>
              <w:bottom w:val="single" w:sz="4" w:space="0" w:color="auto"/>
              <w:right w:val="single" w:sz="4" w:space="0" w:color="auto"/>
            </w:tcBorders>
            <w:shd w:val="clear" w:color="000000" w:fill="F2F2F2"/>
            <w:noWrap/>
            <w:vAlign w:val="bottom"/>
            <w:hideMark/>
          </w:tcPr>
          <w:p w14:paraId="6575175D" w14:textId="77777777" w:rsidR="00B322B7" w:rsidRPr="00B322B7" w:rsidRDefault="00B322B7" w:rsidP="005E2E4F">
            <w:pPr>
              <w:jc w:val="center"/>
              <w:rPr>
                <w:color w:val="000000"/>
                <w:sz w:val="22"/>
                <w:szCs w:val="22"/>
              </w:rPr>
            </w:pPr>
            <w:r w:rsidRPr="00B322B7">
              <w:rPr>
                <w:color w:val="000000"/>
                <w:sz w:val="22"/>
                <w:szCs w:val="22"/>
              </w:rPr>
              <w:t>2.3</w:t>
            </w:r>
          </w:p>
        </w:tc>
        <w:tc>
          <w:tcPr>
            <w:tcW w:w="1169" w:type="dxa"/>
            <w:tcBorders>
              <w:top w:val="nil"/>
              <w:left w:val="nil"/>
              <w:bottom w:val="single" w:sz="4" w:space="0" w:color="auto"/>
              <w:right w:val="single" w:sz="4" w:space="0" w:color="auto"/>
            </w:tcBorders>
            <w:shd w:val="clear" w:color="000000" w:fill="F2F2F2"/>
            <w:noWrap/>
            <w:vAlign w:val="bottom"/>
            <w:hideMark/>
          </w:tcPr>
          <w:p w14:paraId="580E260C" w14:textId="77777777" w:rsidR="00B322B7" w:rsidRPr="00B322B7" w:rsidRDefault="00B322B7" w:rsidP="005E2E4F">
            <w:pPr>
              <w:jc w:val="center"/>
              <w:rPr>
                <w:color w:val="000000"/>
                <w:sz w:val="22"/>
                <w:szCs w:val="22"/>
              </w:rPr>
            </w:pPr>
            <w:r w:rsidRPr="00B322B7">
              <w:rPr>
                <w:color w:val="000000"/>
                <w:sz w:val="22"/>
                <w:szCs w:val="22"/>
              </w:rPr>
              <w:t>0.2</w:t>
            </w:r>
          </w:p>
        </w:tc>
        <w:tc>
          <w:tcPr>
            <w:tcW w:w="906" w:type="dxa"/>
            <w:tcBorders>
              <w:top w:val="nil"/>
              <w:left w:val="nil"/>
              <w:bottom w:val="single" w:sz="4" w:space="0" w:color="auto"/>
              <w:right w:val="single" w:sz="4" w:space="0" w:color="auto"/>
            </w:tcBorders>
            <w:shd w:val="clear" w:color="000000" w:fill="F2F2F2"/>
            <w:noWrap/>
            <w:vAlign w:val="bottom"/>
            <w:hideMark/>
          </w:tcPr>
          <w:p w14:paraId="31D67D57" w14:textId="77777777" w:rsidR="00B322B7" w:rsidRPr="00B322B7" w:rsidRDefault="00B322B7" w:rsidP="005E2E4F">
            <w:pPr>
              <w:jc w:val="center"/>
              <w:rPr>
                <w:color w:val="000000"/>
                <w:sz w:val="22"/>
                <w:szCs w:val="22"/>
              </w:rPr>
            </w:pPr>
            <w:r w:rsidRPr="00B322B7">
              <w:rPr>
                <w:color w:val="000000"/>
                <w:sz w:val="22"/>
                <w:szCs w:val="22"/>
              </w:rPr>
              <w:t>1.8</w:t>
            </w:r>
          </w:p>
        </w:tc>
        <w:tc>
          <w:tcPr>
            <w:tcW w:w="755" w:type="dxa"/>
            <w:tcBorders>
              <w:top w:val="nil"/>
              <w:left w:val="nil"/>
              <w:bottom w:val="single" w:sz="4" w:space="0" w:color="auto"/>
              <w:right w:val="single" w:sz="4" w:space="0" w:color="auto"/>
            </w:tcBorders>
            <w:shd w:val="clear" w:color="000000" w:fill="F2F2F2"/>
            <w:noWrap/>
            <w:vAlign w:val="bottom"/>
            <w:hideMark/>
          </w:tcPr>
          <w:p w14:paraId="0C934A6D" w14:textId="77777777" w:rsidR="00B322B7" w:rsidRPr="00B322B7" w:rsidRDefault="00B322B7" w:rsidP="005E2E4F">
            <w:pPr>
              <w:jc w:val="center"/>
              <w:rPr>
                <w:color w:val="000000"/>
                <w:sz w:val="22"/>
                <w:szCs w:val="22"/>
              </w:rPr>
            </w:pPr>
            <w:r w:rsidRPr="00B322B7">
              <w:rPr>
                <w:color w:val="000000"/>
                <w:sz w:val="22"/>
                <w:szCs w:val="22"/>
              </w:rPr>
              <w:t>1.1</w:t>
            </w:r>
          </w:p>
        </w:tc>
        <w:tc>
          <w:tcPr>
            <w:tcW w:w="795" w:type="dxa"/>
            <w:tcBorders>
              <w:top w:val="nil"/>
              <w:left w:val="nil"/>
              <w:bottom w:val="single" w:sz="4" w:space="0" w:color="auto"/>
              <w:right w:val="single" w:sz="4" w:space="0" w:color="auto"/>
            </w:tcBorders>
            <w:shd w:val="clear" w:color="000000" w:fill="F2F2F2"/>
            <w:noWrap/>
            <w:vAlign w:val="bottom"/>
            <w:hideMark/>
          </w:tcPr>
          <w:p w14:paraId="099AE695" w14:textId="77777777" w:rsidR="00B322B7" w:rsidRPr="00B322B7" w:rsidRDefault="00B322B7" w:rsidP="005E2E4F">
            <w:pPr>
              <w:jc w:val="center"/>
              <w:rPr>
                <w:color w:val="000000"/>
                <w:sz w:val="22"/>
                <w:szCs w:val="22"/>
              </w:rPr>
            </w:pPr>
            <w:r w:rsidRPr="00B322B7">
              <w:rPr>
                <w:color w:val="000000"/>
                <w:sz w:val="22"/>
                <w:szCs w:val="22"/>
              </w:rPr>
              <w:t>2.4</w:t>
            </w:r>
          </w:p>
        </w:tc>
      </w:tr>
      <w:tr w:rsidR="00B322B7" w:rsidRPr="00B322B7" w14:paraId="3862FA1F" w14:textId="77777777" w:rsidTr="005E2E4F">
        <w:trPr>
          <w:trHeight w:val="27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29B0545B" w14:textId="77777777" w:rsidR="00B322B7" w:rsidRPr="00B322B7" w:rsidRDefault="00B322B7" w:rsidP="005E2E4F">
            <w:pPr>
              <w:jc w:val="center"/>
              <w:rPr>
                <w:b/>
                <w:bCs/>
                <w:color w:val="000000"/>
                <w:sz w:val="22"/>
                <w:szCs w:val="22"/>
              </w:rPr>
            </w:pPr>
            <w:r w:rsidRPr="00B322B7">
              <w:rPr>
                <w:b/>
                <w:bCs/>
                <w:color w:val="000000"/>
                <w:sz w:val="22"/>
                <w:szCs w:val="22"/>
              </w:rPr>
              <w:t>2015</w:t>
            </w:r>
          </w:p>
        </w:tc>
        <w:tc>
          <w:tcPr>
            <w:tcW w:w="1757" w:type="dxa"/>
            <w:tcBorders>
              <w:top w:val="nil"/>
              <w:left w:val="nil"/>
              <w:bottom w:val="single" w:sz="4" w:space="0" w:color="auto"/>
              <w:right w:val="single" w:sz="4" w:space="0" w:color="auto"/>
            </w:tcBorders>
            <w:shd w:val="clear" w:color="auto" w:fill="auto"/>
            <w:noWrap/>
            <w:vAlign w:val="bottom"/>
            <w:hideMark/>
          </w:tcPr>
          <w:p w14:paraId="6CA0DECE" w14:textId="77777777" w:rsidR="00B322B7" w:rsidRPr="00B322B7" w:rsidRDefault="00B322B7" w:rsidP="005E2E4F">
            <w:pPr>
              <w:jc w:val="center"/>
              <w:rPr>
                <w:color w:val="000000"/>
                <w:sz w:val="22"/>
                <w:szCs w:val="22"/>
              </w:rPr>
            </w:pPr>
            <w:r w:rsidRPr="00B322B7">
              <w:rPr>
                <w:color w:val="000000"/>
                <w:sz w:val="22"/>
                <w:szCs w:val="22"/>
              </w:rPr>
              <w:t>2.5</w:t>
            </w:r>
          </w:p>
        </w:tc>
        <w:tc>
          <w:tcPr>
            <w:tcW w:w="1310" w:type="dxa"/>
            <w:tcBorders>
              <w:top w:val="nil"/>
              <w:left w:val="nil"/>
              <w:bottom w:val="single" w:sz="4" w:space="0" w:color="auto"/>
              <w:right w:val="single" w:sz="4" w:space="0" w:color="auto"/>
            </w:tcBorders>
            <w:shd w:val="clear" w:color="auto" w:fill="auto"/>
            <w:noWrap/>
            <w:vAlign w:val="bottom"/>
            <w:hideMark/>
          </w:tcPr>
          <w:p w14:paraId="72906411" w14:textId="77777777" w:rsidR="00B322B7" w:rsidRPr="00B322B7" w:rsidRDefault="00B322B7" w:rsidP="005E2E4F">
            <w:pPr>
              <w:jc w:val="center"/>
              <w:rPr>
                <w:color w:val="000000"/>
                <w:sz w:val="22"/>
                <w:szCs w:val="22"/>
              </w:rPr>
            </w:pPr>
            <w:r w:rsidRPr="00B322B7">
              <w:rPr>
                <w:color w:val="000000"/>
                <w:sz w:val="22"/>
                <w:szCs w:val="22"/>
              </w:rPr>
              <w:t>1.2</w:t>
            </w:r>
          </w:p>
        </w:tc>
        <w:tc>
          <w:tcPr>
            <w:tcW w:w="1080" w:type="dxa"/>
            <w:tcBorders>
              <w:top w:val="nil"/>
              <w:left w:val="nil"/>
              <w:bottom w:val="single" w:sz="4" w:space="0" w:color="auto"/>
              <w:right w:val="single" w:sz="4" w:space="0" w:color="auto"/>
            </w:tcBorders>
            <w:shd w:val="clear" w:color="auto" w:fill="auto"/>
            <w:noWrap/>
            <w:vAlign w:val="bottom"/>
            <w:hideMark/>
          </w:tcPr>
          <w:p w14:paraId="285BDB49" w14:textId="77777777" w:rsidR="00B322B7" w:rsidRPr="00B322B7" w:rsidRDefault="00B322B7" w:rsidP="005E2E4F">
            <w:pPr>
              <w:jc w:val="center"/>
              <w:rPr>
                <w:color w:val="000000"/>
                <w:sz w:val="22"/>
                <w:szCs w:val="22"/>
              </w:rPr>
            </w:pPr>
            <w:r w:rsidRPr="00B322B7">
              <w:rPr>
                <w:color w:val="000000"/>
                <w:sz w:val="22"/>
                <w:szCs w:val="22"/>
              </w:rPr>
              <w:t>3.9</w:t>
            </w:r>
          </w:p>
        </w:tc>
        <w:tc>
          <w:tcPr>
            <w:tcW w:w="978" w:type="dxa"/>
            <w:tcBorders>
              <w:top w:val="nil"/>
              <w:left w:val="nil"/>
              <w:bottom w:val="single" w:sz="4" w:space="0" w:color="auto"/>
              <w:right w:val="single" w:sz="4" w:space="0" w:color="auto"/>
            </w:tcBorders>
            <w:shd w:val="clear" w:color="auto" w:fill="auto"/>
            <w:noWrap/>
            <w:vAlign w:val="bottom"/>
            <w:hideMark/>
          </w:tcPr>
          <w:p w14:paraId="66F843C7" w14:textId="77777777" w:rsidR="00B322B7" w:rsidRPr="00B322B7" w:rsidRDefault="00B322B7" w:rsidP="005E2E4F">
            <w:pPr>
              <w:jc w:val="center"/>
              <w:rPr>
                <w:color w:val="000000"/>
                <w:sz w:val="22"/>
                <w:szCs w:val="22"/>
              </w:rPr>
            </w:pPr>
            <w:r w:rsidRPr="00B322B7">
              <w:rPr>
                <w:color w:val="000000"/>
                <w:sz w:val="22"/>
                <w:szCs w:val="22"/>
              </w:rPr>
              <w:t>2.2</w:t>
            </w:r>
          </w:p>
        </w:tc>
        <w:tc>
          <w:tcPr>
            <w:tcW w:w="1169" w:type="dxa"/>
            <w:tcBorders>
              <w:top w:val="nil"/>
              <w:left w:val="nil"/>
              <w:bottom w:val="single" w:sz="4" w:space="0" w:color="auto"/>
              <w:right w:val="single" w:sz="4" w:space="0" w:color="auto"/>
            </w:tcBorders>
            <w:shd w:val="clear" w:color="auto" w:fill="auto"/>
            <w:noWrap/>
            <w:vAlign w:val="bottom"/>
            <w:hideMark/>
          </w:tcPr>
          <w:p w14:paraId="5D4D1557" w14:textId="77777777" w:rsidR="00B322B7" w:rsidRPr="00B322B7" w:rsidRDefault="00B322B7" w:rsidP="005E2E4F">
            <w:pPr>
              <w:jc w:val="center"/>
              <w:rPr>
                <w:color w:val="000000"/>
                <w:sz w:val="22"/>
                <w:szCs w:val="22"/>
              </w:rPr>
            </w:pPr>
            <w:r w:rsidRPr="00B322B7">
              <w:rPr>
                <w:color w:val="000000"/>
                <w:sz w:val="22"/>
                <w:szCs w:val="22"/>
              </w:rPr>
              <w:t> </w:t>
            </w:r>
          </w:p>
        </w:tc>
        <w:tc>
          <w:tcPr>
            <w:tcW w:w="906" w:type="dxa"/>
            <w:tcBorders>
              <w:top w:val="nil"/>
              <w:left w:val="nil"/>
              <w:bottom w:val="single" w:sz="4" w:space="0" w:color="auto"/>
              <w:right w:val="single" w:sz="4" w:space="0" w:color="auto"/>
            </w:tcBorders>
            <w:shd w:val="clear" w:color="auto" w:fill="auto"/>
            <w:noWrap/>
            <w:vAlign w:val="bottom"/>
            <w:hideMark/>
          </w:tcPr>
          <w:p w14:paraId="71388198" w14:textId="77777777" w:rsidR="00B322B7" w:rsidRPr="00B322B7" w:rsidRDefault="00B322B7" w:rsidP="005E2E4F">
            <w:pPr>
              <w:jc w:val="center"/>
              <w:rPr>
                <w:color w:val="000000"/>
                <w:sz w:val="22"/>
                <w:szCs w:val="22"/>
              </w:rPr>
            </w:pPr>
            <w:r w:rsidRPr="00B322B7">
              <w:rPr>
                <w:color w:val="000000"/>
                <w:sz w:val="22"/>
                <w:szCs w:val="22"/>
              </w:rPr>
              <w:t>1.9</w:t>
            </w:r>
          </w:p>
        </w:tc>
        <w:tc>
          <w:tcPr>
            <w:tcW w:w="755" w:type="dxa"/>
            <w:tcBorders>
              <w:top w:val="nil"/>
              <w:left w:val="nil"/>
              <w:bottom w:val="single" w:sz="4" w:space="0" w:color="auto"/>
              <w:right w:val="single" w:sz="4" w:space="0" w:color="auto"/>
            </w:tcBorders>
            <w:shd w:val="clear" w:color="auto" w:fill="auto"/>
            <w:noWrap/>
            <w:vAlign w:val="bottom"/>
            <w:hideMark/>
          </w:tcPr>
          <w:p w14:paraId="1FD0A001" w14:textId="77777777" w:rsidR="00B322B7" w:rsidRPr="00B322B7" w:rsidRDefault="00B322B7" w:rsidP="005E2E4F">
            <w:pPr>
              <w:jc w:val="center"/>
              <w:rPr>
                <w:color w:val="000000"/>
                <w:sz w:val="22"/>
                <w:szCs w:val="22"/>
              </w:rPr>
            </w:pPr>
            <w:r w:rsidRPr="00B322B7">
              <w:rPr>
                <w:color w:val="000000"/>
                <w:sz w:val="22"/>
                <w:szCs w:val="22"/>
              </w:rPr>
              <w:t>0.9</w:t>
            </w:r>
          </w:p>
        </w:tc>
        <w:tc>
          <w:tcPr>
            <w:tcW w:w="795" w:type="dxa"/>
            <w:tcBorders>
              <w:top w:val="nil"/>
              <w:left w:val="nil"/>
              <w:bottom w:val="single" w:sz="4" w:space="0" w:color="auto"/>
              <w:right w:val="single" w:sz="4" w:space="0" w:color="auto"/>
            </w:tcBorders>
            <w:shd w:val="clear" w:color="auto" w:fill="auto"/>
            <w:noWrap/>
            <w:vAlign w:val="bottom"/>
            <w:hideMark/>
          </w:tcPr>
          <w:p w14:paraId="2196FC8A" w14:textId="77777777" w:rsidR="00B322B7" w:rsidRPr="00B322B7" w:rsidRDefault="00B322B7" w:rsidP="005E2E4F">
            <w:pPr>
              <w:jc w:val="center"/>
              <w:rPr>
                <w:color w:val="000000"/>
                <w:sz w:val="22"/>
                <w:szCs w:val="22"/>
              </w:rPr>
            </w:pPr>
            <w:r w:rsidRPr="00B322B7">
              <w:rPr>
                <w:color w:val="000000"/>
                <w:sz w:val="22"/>
                <w:szCs w:val="22"/>
              </w:rPr>
              <w:t>2.4</w:t>
            </w:r>
          </w:p>
        </w:tc>
      </w:tr>
      <w:tr w:rsidR="00B322B7" w:rsidRPr="00B322B7" w14:paraId="1681BB38" w14:textId="77777777" w:rsidTr="005E2E4F">
        <w:trPr>
          <w:trHeight w:val="312"/>
        </w:trPr>
        <w:tc>
          <w:tcPr>
            <w:tcW w:w="967" w:type="dxa"/>
            <w:tcBorders>
              <w:top w:val="nil"/>
              <w:left w:val="single" w:sz="4" w:space="0" w:color="auto"/>
              <w:bottom w:val="single" w:sz="4" w:space="0" w:color="auto"/>
              <w:right w:val="single" w:sz="4" w:space="0" w:color="auto"/>
            </w:tcBorders>
            <w:shd w:val="clear" w:color="000000" w:fill="F2F2F2"/>
            <w:noWrap/>
            <w:vAlign w:val="bottom"/>
            <w:hideMark/>
          </w:tcPr>
          <w:p w14:paraId="482255BF" w14:textId="77777777" w:rsidR="00B322B7" w:rsidRPr="00B322B7" w:rsidRDefault="00B322B7" w:rsidP="005E2E4F">
            <w:pPr>
              <w:jc w:val="center"/>
              <w:rPr>
                <w:b/>
                <w:bCs/>
                <w:color w:val="000000"/>
                <w:sz w:val="22"/>
                <w:szCs w:val="22"/>
              </w:rPr>
            </w:pPr>
            <w:r w:rsidRPr="00B322B7">
              <w:rPr>
                <w:b/>
                <w:bCs/>
                <w:color w:val="000000"/>
                <w:sz w:val="22"/>
                <w:szCs w:val="22"/>
              </w:rPr>
              <w:t>Average</w:t>
            </w:r>
          </w:p>
        </w:tc>
        <w:tc>
          <w:tcPr>
            <w:tcW w:w="1757" w:type="dxa"/>
            <w:tcBorders>
              <w:top w:val="nil"/>
              <w:left w:val="nil"/>
              <w:bottom w:val="single" w:sz="4" w:space="0" w:color="auto"/>
              <w:right w:val="single" w:sz="4" w:space="0" w:color="auto"/>
            </w:tcBorders>
            <w:shd w:val="clear" w:color="000000" w:fill="F2F2F2"/>
            <w:noWrap/>
            <w:vAlign w:val="bottom"/>
            <w:hideMark/>
          </w:tcPr>
          <w:p w14:paraId="68405C19" w14:textId="77777777" w:rsidR="00B322B7" w:rsidRPr="00B322B7" w:rsidRDefault="00B322B7" w:rsidP="005E2E4F">
            <w:pPr>
              <w:jc w:val="center"/>
              <w:rPr>
                <w:b/>
                <w:bCs/>
                <w:color w:val="000000"/>
                <w:sz w:val="22"/>
                <w:szCs w:val="22"/>
              </w:rPr>
            </w:pPr>
            <w:r w:rsidRPr="00B322B7">
              <w:rPr>
                <w:b/>
                <w:bCs/>
                <w:color w:val="000000"/>
                <w:sz w:val="22"/>
                <w:szCs w:val="22"/>
              </w:rPr>
              <w:t>3.1</w:t>
            </w:r>
          </w:p>
        </w:tc>
        <w:tc>
          <w:tcPr>
            <w:tcW w:w="1310" w:type="dxa"/>
            <w:tcBorders>
              <w:top w:val="nil"/>
              <w:left w:val="nil"/>
              <w:bottom w:val="single" w:sz="4" w:space="0" w:color="auto"/>
              <w:right w:val="single" w:sz="4" w:space="0" w:color="auto"/>
            </w:tcBorders>
            <w:shd w:val="clear" w:color="000000" w:fill="F2F2F2"/>
            <w:noWrap/>
            <w:vAlign w:val="bottom"/>
            <w:hideMark/>
          </w:tcPr>
          <w:p w14:paraId="081A1183" w14:textId="77777777" w:rsidR="00B322B7" w:rsidRPr="00B322B7" w:rsidRDefault="00B322B7" w:rsidP="005E2E4F">
            <w:pPr>
              <w:jc w:val="center"/>
              <w:rPr>
                <w:b/>
                <w:bCs/>
                <w:color w:val="000000"/>
                <w:sz w:val="22"/>
                <w:szCs w:val="22"/>
              </w:rPr>
            </w:pPr>
            <w:r w:rsidRPr="00B322B7">
              <w:rPr>
                <w:b/>
                <w:bCs/>
                <w:color w:val="000000"/>
                <w:sz w:val="22"/>
                <w:szCs w:val="22"/>
              </w:rPr>
              <w:t>2.0</w:t>
            </w:r>
          </w:p>
        </w:tc>
        <w:tc>
          <w:tcPr>
            <w:tcW w:w="1080" w:type="dxa"/>
            <w:tcBorders>
              <w:top w:val="nil"/>
              <w:left w:val="nil"/>
              <w:bottom w:val="single" w:sz="4" w:space="0" w:color="auto"/>
              <w:right w:val="single" w:sz="4" w:space="0" w:color="auto"/>
            </w:tcBorders>
            <w:shd w:val="clear" w:color="000000" w:fill="F2F2F2"/>
            <w:noWrap/>
            <w:vAlign w:val="bottom"/>
            <w:hideMark/>
          </w:tcPr>
          <w:p w14:paraId="6B1E8DAD" w14:textId="77777777" w:rsidR="00B322B7" w:rsidRPr="00B322B7" w:rsidRDefault="00B322B7" w:rsidP="005E2E4F">
            <w:pPr>
              <w:jc w:val="center"/>
              <w:rPr>
                <w:b/>
                <w:bCs/>
                <w:color w:val="000000"/>
                <w:sz w:val="22"/>
                <w:szCs w:val="22"/>
              </w:rPr>
            </w:pPr>
            <w:r w:rsidRPr="00B322B7">
              <w:rPr>
                <w:b/>
                <w:bCs/>
                <w:color w:val="000000"/>
                <w:sz w:val="22"/>
                <w:szCs w:val="22"/>
              </w:rPr>
              <w:t>3.5</w:t>
            </w:r>
          </w:p>
        </w:tc>
        <w:tc>
          <w:tcPr>
            <w:tcW w:w="978" w:type="dxa"/>
            <w:tcBorders>
              <w:top w:val="nil"/>
              <w:left w:val="nil"/>
              <w:bottom w:val="single" w:sz="4" w:space="0" w:color="auto"/>
              <w:right w:val="single" w:sz="4" w:space="0" w:color="auto"/>
            </w:tcBorders>
            <w:shd w:val="clear" w:color="000000" w:fill="F2F2F2"/>
            <w:noWrap/>
            <w:vAlign w:val="bottom"/>
            <w:hideMark/>
          </w:tcPr>
          <w:p w14:paraId="0E2E23CE" w14:textId="77777777" w:rsidR="00B322B7" w:rsidRPr="00B322B7" w:rsidRDefault="00B322B7" w:rsidP="005E2E4F">
            <w:pPr>
              <w:jc w:val="center"/>
              <w:rPr>
                <w:b/>
                <w:bCs/>
                <w:color w:val="000000"/>
                <w:sz w:val="22"/>
                <w:szCs w:val="22"/>
              </w:rPr>
            </w:pPr>
            <w:r w:rsidRPr="00B322B7">
              <w:rPr>
                <w:b/>
                <w:bCs/>
                <w:color w:val="000000"/>
                <w:sz w:val="22"/>
                <w:szCs w:val="22"/>
              </w:rPr>
              <w:t>2.5</w:t>
            </w:r>
          </w:p>
        </w:tc>
        <w:tc>
          <w:tcPr>
            <w:tcW w:w="1169" w:type="dxa"/>
            <w:tcBorders>
              <w:top w:val="nil"/>
              <w:left w:val="nil"/>
              <w:bottom w:val="single" w:sz="4" w:space="0" w:color="auto"/>
              <w:right w:val="single" w:sz="4" w:space="0" w:color="auto"/>
            </w:tcBorders>
            <w:shd w:val="clear" w:color="000000" w:fill="F2F2F2"/>
            <w:noWrap/>
            <w:vAlign w:val="bottom"/>
            <w:hideMark/>
          </w:tcPr>
          <w:p w14:paraId="1B20565A" w14:textId="77777777" w:rsidR="00B322B7" w:rsidRPr="00B322B7" w:rsidRDefault="00B322B7" w:rsidP="005E2E4F">
            <w:pPr>
              <w:jc w:val="center"/>
              <w:rPr>
                <w:b/>
                <w:bCs/>
                <w:color w:val="000000"/>
                <w:sz w:val="22"/>
                <w:szCs w:val="22"/>
              </w:rPr>
            </w:pPr>
            <w:r w:rsidRPr="00B322B7">
              <w:rPr>
                <w:b/>
                <w:bCs/>
                <w:color w:val="000000"/>
                <w:sz w:val="22"/>
                <w:szCs w:val="22"/>
              </w:rPr>
              <w:t>0.2</w:t>
            </w:r>
          </w:p>
        </w:tc>
        <w:tc>
          <w:tcPr>
            <w:tcW w:w="906" w:type="dxa"/>
            <w:tcBorders>
              <w:top w:val="nil"/>
              <w:left w:val="nil"/>
              <w:bottom w:val="single" w:sz="4" w:space="0" w:color="auto"/>
              <w:right w:val="single" w:sz="4" w:space="0" w:color="auto"/>
            </w:tcBorders>
            <w:shd w:val="clear" w:color="000000" w:fill="F2F2F2"/>
            <w:noWrap/>
            <w:vAlign w:val="bottom"/>
            <w:hideMark/>
          </w:tcPr>
          <w:p w14:paraId="429D7D3B" w14:textId="77777777" w:rsidR="00B322B7" w:rsidRPr="00B322B7" w:rsidRDefault="00B322B7" w:rsidP="005E2E4F">
            <w:pPr>
              <w:jc w:val="center"/>
              <w:rPr>
                <w:b/>
                <w:bCs/>
                <w:color w:val="000000"/>
                <w:sz w:val="22"/>
                <w:szCs w:val="22"/>
              </w:rPr>
            </w:pPr>
            <w:r w:rsidRPr="00B322B7">
              <w:rPr>
                <w:b/>
                <w:bCs/>
                <w:color w:val="000000"/>
                <w:sz w:val="22"/>
                <w:szCs w:val="22"/>
              </w:rPr>
              <w:t>2.2</w:t>
            </w:r>
          </w:p>
        </w:tc>
        <w:tc>
          <w:tcPr>
            <w:tcW w:w="755" w:type="dxa"/>
            <w:tcBorders>
              <w:top w:val="nil"/>
              <w:left w:val="nil"/>
              <w:bottom w:val="single" w:sz="4" w:space="0" w:color="auto"/>
              <w:right w:val="single" w:sz="4" w:space="0" w:color="auto"/>
            </w:tcBorders>
            <w:shd w:val="clear" w:color="000000" w:fill="F2F2F2"/>
            <w:noWrap/>
            <w:vAlign w:val="bottom"/>
            <w:hideMark/>
          </w:tcPr>
          <w:p w14:paraId="2EDA25AA" w14:textId="77777777" w:rsidR="00B322B7" w:rsidRPr="00B322B7" w:rsidRDefault="00B322B7" w:rsidP="005E2E4F">
            <w:pPr>
              <w:jc w:val="center"/>
              <w:rPr>
                <w:b/>
                <w:bCs/>
                <w:color w:val="000000"/>
                <w:sz w:val="22"/>
                <w:szCs w:val="22"/>
              </w:rPr>
            </w:pPr>
            <w:r w:rsidRPr="00B322B7">
              <w:rPr>
                <w:b/>
                <w:bCs/>
                <w:color w:val="000000"/>
                <w:sz w:val="22"/>
                <w:szCs w:val="22"/>
              </w:rPr>
              <w:t>1.7</w:t>
            </w:r>
          </w:p>
        </w:tc>
        <w:tc>
          <w:tcPr>
            <w:tcW w:w="795" w:type="dxa"/>
            <w:tcBorders>
              <w:top w:val="nil"/>
              <w:left w:val="nil"/>
              <w:bottom w:val="single" w:sz="4" w:space="0" w:color="auto"/>
              <w:right w:val="single" w:sz="4" w:space="0" w:color="auto"/>
            </w:tcBorders>
            <w:shd w:val="clear" w:color="000000" w:fill="F2F2F2"/>
            <w:noWrap/>
            <w:vAlign w:val="bottom"/>
            <w:hideMark/>
          </w:tcPr>
          <w:p w14:paraId="01E3AD73" w14:textId="77777777" w:rsidR="00B322B7" w:rsidRPr="00B322B7" w:rsidRDefault="00B322B7" w:rsidP="005E2E4F">
            <w:pPr>
              <w:jc w:val="center"/>
              <w:rPr>
                <w:b/>
                <w:bCs/>
                <w:color w:val="000000"/>
                <w:sz w:val="22"/>
                <w:szCs w:val="22"/>
              </w:rPr>
            </w:pPr>
            <w:r w:rsidRPr="00B322B7">
              <w:rPr>
                <w:b/>
                <w:bCs/>
                <w:color w:val="000000"/>
                <w:sz w:val="22"/>
                <w:szCs w:val="22"/>
              </w:rPr>
              <w:t>2.6</w:t>
            </w:r>
          </w:p>
        </w:tc>
      </w:tr>
    </w:tbl>
    <w:p w14:paraId="09F80DCB" w14:textId="77777777" w:rsidR="00B322B7" w:rsidRDefault="00B322B7" w:rsidP="00B322B7">
      <w:pPr>
        <w:ind w:firstLine="360"/>
      </w:pPr>
    </w:p>
    <w:p w14:paraId="0C35E2F1" w14:textId="77777777" w:rsidR="00B322B7" w:rsidRDefault="00B322B7" w:rsidP="00B322B7">
      <w:pPr>
        <w:ind w:firstLine="360"/>
      </w:pPr>
      <w:r>
        <w:lastRenderedPageBreak/>
        <w:t>If the average size of a commercially harvested mutton snapper were substantially smaller, such as 30% smaller  (4.84 lbs gw ), the average crewmember of a commercial vessel that landed mutton snapper from 2011 through 2015 would continue to account for less than 5 mutton snappers per trip (</w:t>
      </w:r>
      <w:r>
        <w:rPr>
          <w:b/>
        </w:rPr>
        <w:t>Table F-10</w:t>
      </w:r>
      <w:r>
        <w:t>).  The averages for each gear are also less than 5 mutton snapper per crewmember per trip.</w:t>
      </w:r>
    </w:p>
    <w:p w14:paraId="0A4FE1E4" w14:textId="77777777" w:rsidR="00B322B7" w:rsidRDefault="00B322B7" w:rsidP="00B322B7">
      <w:pPr>
        <w:ind w:firstLine="360"/>
      </w:pPr>
    </w:p>
    <w:p w14:paraId="35998CFE" w14:textId="77777777" w:rsidR="00B322B7" w:rsidRDefault="00B322B7" w:rsidP="00B322B7">
      <w:pPr>
        <w:ind w:firstLine="360"/>
      </w:pPr>
    </w:p>
    <w:p w14:paraId="5EC2C9B5" w14:textId="77777777" w:rsidR="00B322B7" w:rsidRDefault="00B322B7" w:rsidP="00B322B7">
      <w:pPr>
        <w:rPr>
          <w:rFonts w:ascii="Arial" w:hAnsi="Arial" w:cs="Arial"/>
          <w:sz w:val="20"/>
          <w:szCs w:val="20"/>
        </w:rPr>
      </w:pPr>
      <w:r w:rsidRPr="00026A0D">
        <w:rPr>
          <w:rFonts w:ascii="Arial" w:hAnsi="Arial" w:cs="Arial"/>
          <w:b/>
          <w:sz w:val="20"/>
          <w:szCs w:val="20"/>
        </w:rPr>
        <w:t xml:space="preserve">Table </w:t>
      </w:r>
      <w:r>
        <w:rPr>
          <w:rFonts w:ascii="Arial" w:hAnsi="Arial" w:cs="Arial"/>
          <w:b/>
          <w:sz w:val="20"/>
          <w:szCs w:val="20"/>
        </w:rPr>
        <w:t>F-10</w:t>
      </w:r>
      <w:r w:rsidRPr="00026A0D">
        <w:rPr>
          <w:rFonts w:ascii="Arial" w:hAnsi="Arial" w:cs="Arial"/>
          <w:b/>
          <w:sz w:val="20"/>
          <w:szCs w:val="20"/>
        </w:rPr>
        <w:t>.</w:t>
      </w:r>
      <w:r w:rsidRPr="00026A0D">
        <w:rPr>
          <w:rFonts w:ascii="Arial" w:hAnsi="Arial" w:cs="Arial"/>
          <w:sz w:val="20"/>
          <w:szCs w:val="20"/>
        </w:rPr>
        <w:t xml:space="preserve">  </w:t>
      </w:r>
      <w:r>
        <w:rPr>
          <w:rFonts w:ascii="Arial" w:hAnsi="Arial" w:cs="Arial"/>
          <w:sz w:val="20"/>
          <w:szCs w:val="20"/>
        </w:rPr>
        <w:t xml:space="preserve">Average Numbers of Mutton Snappers Landed per Crewmember per Trip by Gear, If Average Weight is 4.84 lbs gw per Fish, 2011 through  2015. </w:t>
      </w:r>
    </w:p>
    <w:tbl>
      <w:tblPr>
        <w:tblW w:w="9386" w:type="dxa"/>
        <w:tblInd w:w="93" w:type="dxa"/>
        <w:tblLook w:val="04A0" w:firstRow="1" w:lastRow="0" w:firstColumn="1" w:lastColumn="0" w:noHBand="0" w:noVBand="1"/>
      </w:tblPr>
      <w:tblGrid>
        <w:gridCol w:w="1289"/>
        <w:gridCol w:w="962"/>
        <w:gridCol w:w="962"/>
        <w:gridCol w:w="962"/>
        <w:gridCol w:w="962"/>
        <w:gridCol w:w="962"/>
        <w:gridCol w:w="1358"/>
        <w:gridCol w:w="962"/>
        <w:gridCol w:w="967"/>
      </w:tblGrid>
      <w:tr w:rsidR="00B322B7" w:rsidRPr="00B322B7" w14:paraId="1EF7CBFA" w14:textId="77777777" w:rsidTr="005E2E4F">
        <w:trPr>
          <w:trHeight w:val="296"/>
        </w:trPr>
        <w:tc>
          <w:tcPr>
            <w:tcW w:w="1289"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71C111FF" w14:textId="77777777" w:rsidR="00B322B7" w:rsidRPr="00B322B7" w:rsidRDefault="00B322B7" w:rsidP="005E2E4F">
            <w:pPr>
              <w:jc w:val="center"/>
              <w:rPr>
                <w:b/>
                <w:bCs/>
                <w:color w:val="000000"/>
                <w:sz w:val="22"/>
                <w:szCs w:val="22"/>
              </w:rPr>
            </w:pPr>
            <w:r w:rsidRPr="00B322B7">
              <w:rPr>
                <w:b/>
                <w:bCs/>
                <w:color w:val="000000"/>
                <w:sz w:val="22"/>
                <w:szCs w:val="22"/>
              </w:rPr>
              <w:t>Year</w:t>
            </w:r>
          </w:p>
        </w:tc>
        <w:tc>
          <w:tcPr>
            <w:tcW w:w="8097" w:type="dxa"/>
            <w:gridSpan w:val="8"/>
            <w:tcBorders>
              <w:top w:val="single" w:sz="4" w:space="0" w:color="auto"/>
              <w:left w:val="nil"/>
              <w:bottom w:val="single" w:sz="4" w:space="0" w:color="auto"/>
              <w:right w:val="single" w:sz="4" w:space="0" w:color="000000"/>
            </w:tcBorders>
            <w:shd w:val="clear" w:color="000000" w:fill="D9D9D9"/>
            <w:vAlign w:val="center"/>
            <w:hideMark/>
          </w:tcPr>
          <w:p w14:paraId="16DC5D66" w14:textId="77777777" w:rsidR="00B322B7" w:rsidRPr="00B322B7" w:rsidRDefault="00B322B7" w:rsidP="005E2E4F">
            <w:pPr>
              <w:jc w:val="center"/>
              <w:rPr>
                <w:b/>
                <w:bCs/>
                <w:color w:val="000000"/>
                <w:sz w:val="22"/>
                <w:szCs w:val="22"/>
              </w:rPr>
            </w:pPr>
            <w:r w:rsidRPr="00B322B7">
              <w:rPr>
                <w:b/>
                <w:bCs/>
                <w:color w:val="000000"/>
                <w:sz w:val="22"/>
                <w:szCs w:val="22"/>
              </w:rPr>
              <w:t>Average number of mutton snapper per crewmember per trip (all months)</w:t>
            </w:r>
          </w:p>
        </w:tc>
      </w:tr>
      <w:tr w:rsidR="00B322B7" w:rsidRPr="00B322B7" w14:paraId="6CC34E25" w14:textId="77777777" w:rsidTr="005E2E4F">
        <w:trPr>
          <w:trHeight w:val="845"/>
        </w:trPr>
        <w:tc>
          <w:tcPr>
            <w:tcW w:w="1289" w:type="dxa"/>
            <w:vMerge/>
            <w:tcBorders>
              <w:top w:val="single" w:sz="4" w:space="0" w:color="auto"/>
              <w:left w:val="single" w:sz="4" w:space="0" w:color="auto"/>
              <w:bottom w:val="single" w:sz="4" w:space="0" w:color="000000"/>
              <w:right w:val="single" w:sz="4" w:space="0" w:color="auto"/>
            </w:tcBorders>
            <w:vAlign w:val="center"/>
            <w:hideMark/>
          </w:tcPr>
          <w:p w14:paraId="2358F8F5" w14:textId="77777777" w:rsidR="00B322B7" w:rsidRPr="00B322B7" w:rsidRDefault="00B322B7" w:rsidP="005E2E4F">
            <w:pPr>
              <w:rPr>
                <w:b/>
                <w:bCs/>
                <w:color w:val="000000"/>
                <w:sz w:val="22"/>
                <w:szCs w:val="22"/>
              </w:rPr>
            </w:pPr>
          </w:p>
        </w:tc>
        <w:tc>
          <w:tcPr>
            <w:tcW w:w="962" w:type="dxa"/>
            <w:tcBorders>
              <w:top w:val="nil"/>
              <w:left w:val="nil"/>
              <w:bottom w:val="single" w:sz="4" w:space="0" w:color="auto"/>
              <w:right w:val="single" w:sz="4" w:space="0" w:color="auto"/>
            </w:tcBorders>
            <w:shd w:val="clear" w:color="000000" w:fill="D9D9D9"/>
            <w:vAlign w:val="center"/>
            <w:hideMark/>
          </w:tcPr>
          <w:p w14:paraId="27539F41" w14:textId="77777777" w:rsidR="00B322B7" w:rsidRPr="00B322B7" w:rsidRDefault="00B322B7" w:rsidP="005E2E4F">
            <w:pPr>
              <w:jc w:val="center"/>
              <w:rPr>
                <w:b/>
                <w:bCs/>
                <w:color w:val="000000"/>
                <w:sz w:val="22"/>
                <w:szCs w:val="22"/>
              </w:rPr>
            </w:pPr>
            <w:r w:rsidRPr="00B322B7">
              <w:rPr>
                <w:b/>
                <w:bCs/>
                <w:color w:val="000000"/>
                <w:sz w:val="22"/>
                <w:szCs w:val="22"/>
              </w:rPr>
              <w:t>Diving outfits, other</w:t>
            </w:r>
          </w:p>
        </w:tc>
        <w:tc>
          <w:tcPr>
            <w:tcW w:w="962" w:type="dxa"/>
            <w:tcBorders>
              <w:top w:val="nil"/>
              <w:left w:val="nil"/>
              <w:bottom w:val="single" w:sz="4" w:space="0" w:color="auto"/>
              <w:right w:val="single" w:sz="4" w:space="0" w:color="auto"/>
            </w:tcBorders>
            <w:shd w:val="clear" w:color="000000" w:fill="D9D9D9"/>
            <w:vAlign w:val="center"/>
            <w:hideMark/>
          </w:tcPr>
          <w:p w14:paraId="4E1148B2" w14:textId="77777777" w:rsidR="00B322B7" w:rsidRPr="00B322B7" w:rsidRDefault="00B322B7" w:rsidP="005E2E4F">
            <w:pPr>
              <w:jc w:val="center"/>
              <w:rPr>
                <w:b/>
                <w:bCs/>
                <w:color w:val="000000"/>
                <w:sz w:val="22"/>
                <w:szCs w:val="22"/>
              </w:rPr>
            </w:pPr>
            <w:r w:rsidRPr="00B322B7">
              <w:rPr>
                <w:b/>
                <w:bCs/>
                <w:color w:val="000000"/>
                <w:sz w:val="22"/>
                <w:szCs w:val="22"/>
              </w:rPr>
              <w:t>By hand, other</w:t>
            </w:r>
          </w:p>
        </w:tc>
        <w:tc>
          <w:tcPr>
            <w:tcW w:w="962" w:type="dxa"/>
            <w:tcBorders>
              <w:top w:val="nil"/>
              <w:left w:val="nil"/>
              <w:bottom w:val="single" w:sz="4" w:space="0" w:color="auto"/>
              <w:right w:val="single" w:sz="4" w:space="0" w:color="auto"/>
            </w:tcBorders>
            <w:shd w:val="clear" w:color="000000" w:fill="D9D9D9"/>
            <w:vAlign w:val="center"/>
            <w:hideMark/>
          </w:tcPr>
          <w:p w14:paraId="081EA477" w14:textId="77777777" w:rsidR="00B322B7" w:rsidRPr="00B322B7" w:rsidRDefault="00B322B7" w:rsidP="005E2E4F">
            <w:pPr>
              <w:jc w:val="center"/>
              <w:rPr>
                <w:b/>
                <w:bCs/>
                <w:color w:val="000000"/>
                <w:sz w:val="22"/>
                <w:szCs w:val="22"/>
              </w:rPr>
            </w:pPr>
            <w:r w:rsidRPr="00B322B7">
              <w:rPr>
                <w:b/>
                <w:bCs/>
                <w:color w:val="000000"/>
                <w:sz w:val="22"/>
                <w:szCs w:val="22"/>
              </w:rPr>
              <w:t>Hook &amp; line</w:t>
            </w:r>
          </w:p>
        </w:tc>
        <w:tc>
          <w:tcPr>
            <w:tcW w:w="962" w:type="dxa"/>
            <w:tcBorders>
              <w:top w:val="nil"/>
              <w:left w:val="nil"/>
              <w:bottom w:val="single" w:sz="4" w:space="0" w:color="auto"/>
              <w:right w:val="single" w:sz="4" w:space="0" w:color="auto"/>
            </w:tcBorders>
            <w:shd w:val="clear" w:color="000000" w:fill="D9D9D9"/>
            <w:vAlign w:val="center"/>
            <w:hideMark/>
          </w:tcPr>
          <w:p w14:paraId="1A982DDE" w14:textId="77777777" w:rsidR="00B322B7" w:rsidRPr="00B322B7" w:rsidRDefault="00B322B7" w:rsidP="005E2E4F">
            <w:pPr>
              <w:jc w:val="center"/>
              <w:rPr>
                <w:b/>
                <w:bCs/>
                <w:color w:val="000000"/>
                <w:sz w:val="22"/>
                <w:szCs w:val="22"/>
              </w:rPr>
            </w:pPr>
            <w:r w:rsidRPr="00B322B7">
              <w:rPr>
                <w:b/>
                <w:bCs/>
                <w:color w:val="000000"/>
                <w:sz w:val="22"/>
                <w:szCs w:val="22"/>
              </w:rPr>
              <w:t>Rod &amp; reel</w:t>
            </w:r>
          </w:p>
        </w:tc>
        <w:tc>
          <w:tcPr>
            <w:tcW w:w="962" w:type="dxa"/>
            <w:tcBorders>
              <w:top w:val="nil"/>
              <w:left w:val="nil"/>
              <w:bottom w:val="single" w:sz="4" w:space="0" w:color="auto"/>
              <w:right w:val="single" w:sz="4" w:space="0" w:color="auto"/>
            </w:tcBorders>
            <w:shd w:val="clear" w:color="000000" w:fill="D9D9D9"/>
            <w:vAlign w:val="center"/>
            <w:hideMark/>
          </w:tcPr>
          <w:p w14:paraId="5B245FCF" w14:textId="77777777" w:rsidR="00B322B7" w:rsidRPr="00B322B7" w:rsidRDefault="00B322B7" w:rsidP="005E2E4F">
            <w:pPr>
              <w:jc w:val="center"/>
              <w:rPr>
                <w:b/>
                <w:bCs/>
                <w:color w:val="000000"/>
                <w:sz w:val="22"/>
                <w:szCs w:val="22"/>
              </w:rPr>
            </w:pPr>
            <w:r w:rsidRPr="00B322B7">
              <w:rPr>
                <w:b/>
                <w:bCs/>
                <w:color w:val="000000"/>
                <w:sz w:val="22"/>
                <w:szCs w:val="22"/>
              </w:rPr>
              <w:t>Traps &amp; pots</w:t>
            </w:r>
          </w:p>
        </w:tc>
        <w:tc>
          <w:tcPr>
            <w:tcW w:w="1358" w:type="dxa"/>
            <w:tcBorders>
              <w:top w:val="nil"/>
              <w:left w:val="nil"/>
              <w:bottom w:val="single" w:sz="4" w:space="0" w:color="auto"/>
              <w:right w:val="single" w:sz="4" w:space="0" w:color="auto"/>
            </w:tcBorders>
            <w:shd w:val="clear" w:color="000000" w:fill="D9D9D9"/>
            <w:vAlign w:val="center"/>
            <w:hideMark/>
          </w:tcPr>
          <w:p w14:paraId="1D7C70F4" w14:textId="77777777" w:rsidR="00B322B7" w:rsidRPr="00B322B7" w:rsidRDefault="00B322B7" w:rsidP="005E2E4F">
            <w:pPr>
              <w:jc w:val="center"/>
              <w:rPr>
                <w:b/>
                <w:bCs/>
                <w:color w:val="000000"/>
                <w:sz w:val="22"/>
                <w:szCs w:val="22"/>
              </w:rPr>
            </w:pPr>
            <w:r w:rsidRPr="00B322B7">
              <w:rPr>
                <w:b/>
                <w:bCs/>
                <w:color w:val="000000"/>
                <w:sz w:val="22"/>
                <w:szCs w:val="22"/>
              </w:rPr>
              <w:t>Troll lines</w:t>
            </w:r>
          </w:p>
        </w:tc>
        <w:tc>
          <w:tcPr>
            <w:tcW w:w="962" w:type="dxa"/>
            <w:tcBorders>
              <w:top w:val="nil"/>
              <w:left w:val="nil"/>
              <w:bottom w:val="single" w:sz="4" w:space="0" w:color="auto"/>
              <w:right w:val="single" w:sz="4" w:space="0" w:color="auto"/>
            </w:tcBorders>
            <w:shd w:val="clear" w:color="000000" w:fill="D9D9D9"/>
            <w:vAlign w:val="center"/>
            <w:hideMark/>
          </w:tcPr>
          <w:p w14:paraId="4A05F192" w14:textId="77777777" w:rsidR="00B322B7" w:rsidRPr="00B322B7" w:rsidRDefault="00B322B7" w:rsidP="005E2E4F">
            <w:pPr>
              <w:jc w:val="center"/>
              <w:rPr>
                <w:b/>
                <w:bCs/>
                <w:color w:val="000000"/>
                <w:sz w:val="22"/>
                <w:szCs w:val="22"/>
              </w:rPr>
            </w:pPr>
            <w:r w:rsidRPr="00B322B7">
              <w:rPr>
                <w:b/>
                <w:bCs/>
                <w:color w:val="000000"/>
                <w:sz w:val="22"/>
                <w:szCs w:val="22"/>
              </w:rPr>
              <w:t>Other</w:t>
            </w:r>
          </w:p>
        </w:tc>
        <w:tc>
          <w:tcPr>
            <w:tcW w:w="967" w:type="dxa"/>
            <w:tcBorders>
              <w:top w:val="nil"/>
              <w:left w:val="nil"/>
              <w:bottom w:val="single" w:sz="4" w:space="0" w:color="auto"/>
              <w:right w:val="single" w:sz="4" w:space="0" w:color="auto"/>
            </w:tcBorders>
            <w:shd w:val="clear" w:color="000000" w:fill="D9D9D9"/>
            <w:vAlign w:val="center"/>
            <w:hideMark/>
          </w:tcPr>
          <w:p w14:paraId="611138F7" w14:textId="77777777" w:rsidR="00B322B7" w:rsidRPr="00B322B7" w:rsidRDefault="00B322B7" w:rsidP="005E2E4F">
            <w:pPr>
              <w:jc w:val="center"/>
              <w:rPr>
                <w:b/>
                <w:bCs/>
                <w:color w:val="000000"/>
                <w:sz w:val="22"/>
                <w:szCs w:val="22"/>
              </w:rPr>
            </w:pPr>
            <w:r w:rsidRPr="00B322B7">
              <w:rPr>
                <w:b/>
                <w:bCs/>
                <w:color w:val="000000"/>
                <w:sz w:val="22"/>
                <w:szCs w:val="22"/>
              </w:rPr>
              <w:t>All gears</w:t>
            </w:r>
          </w:p>
        </w:tc>
      </w:tr>
      <w:tr w:rsidR="00B322B7" w:rsidRPr="00B322B7" w14:paraId="5F2FBE52" w14:textId="77777777" w:rsidTr="005E2E4F">
        <w:trPr>
          <w:trHeight w:val="296"/>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14:paraId="1B99C94B" w14:textId="77777777" w:rsidR="00B322B7" w:rsidRPr="00B322B7" w:rsidRDefault="00B322B7" w:rsidP="005E2E4F">
            <w:pPr>
              <w:jc w:val="center"/>
              <w:rPr>
                <w:b/>
                <w:bCs/>
                <w:color w:val="000000"/>
                <w:sz w:val="22"/>
                <w:szCs w:val="22"/>
              </w:rPr>
            </w:pPr>
            <w:r w:rsidRPr="00B322B7">
              <w:rPr>
                <w:b/>
                <w:bCs/>
                <w:color w:val="000000"/>
                <w:sz w:val="22"/>
                <w:szCs w:val="22"/>
              </w:rPr>
              <w:t>2011</w:t>
            </w:r>
          </w:p>
        </w:tc>
        <w:tc>
          <w:tcPr>
            <w:tcW w:w="962" w:type="dxa"/>
            <w:tcBorders>
              <w:top w:val="nil"/>
              <w:left w:val="nil"/>
              <w:bottom w:val="single" w:sz="4" w:space="0" w:color="auto"/>
              <w:right w:val="single" w:sz="4" w:space="0" w:color="auto"/>
            </w:tcBorders>
            <w:shd w:val="clear" w:color="auto" w:fill="auto"/>
            <w:noWrap/>
            <w:vAlign w:val="bottom"/>
            <w:hideMark/>
          </w:tcPr>
          <w:p w14:paraId="75CC12CB" w14:textId="77777777" w:rsidR="00B322B7" w:rsidRPr="00B322B7" w:rsidRDefault="00B322B7" w:rsidP="005E2E4F">
            <w:pPr>
              <w:jc w:val="center"/>
              <w:rPr>
                <w:color w:val="000000"/>
                <w:sz w:val="22"/>
                <w:szCs w:val="22"/>
              </w:rPr>
            </w:pPr>
            <w:r w:rsidRPr="00B322B7">
              <w:rPr>
                <w:color w:val="000000"/>
                <w:sz w:val="22"/>
                <w:szCs w:val="22"/>
              </w:rPr>
              <w:t>3.4</w:t>
            </w:r>
          </w:p>
        </w:tc>
        <w:tc>
          <w:tcPr>
            <w:tcW w:w="962" w:type="dxa"/>
            <w:tcBorders>
              <w:top w:val="nil"/>
              <w:left w:val="nil"/>
              <w:bottom w:val="single" w:sz="4" w:space="0" w:color="auto"/>
              <w:right w:val="single" w:sz="4" w:space="0" w:color="auto"/>
            </w:tcBorders>
            <w:shd w:val="clear" w:color="auto" w:fill="auto"/>
            <w:noWrap/>
            <w:vAlign w:val="bottom"/>
            <w:hideMark/>
          </w:tcPr>
          <w:p w14:paraId="30F9D9B4" w14:textId="77777777" w:rsidR="00B322B7" w:rsidRPr="00B322B7" w:rsidRDefault="00B322B7" w:rsidP="005E2E4F">
            <w:pPr>
              <w:jc w:val="center"/>
              <w:rPr>
                <w:color w:val="000000"/>
                <w:sz w:val="22"/>
                <w:szCs w:val="22"/>
              </w:rPr>
            </w:pPr>
            <w:r w:rsidRPr="00B322B7">
              <w:rPr>
                <w:color w:val="000000"/>
                <w:sz w:val="22"/>
                <w:szCs w:val="22"/>
              </w:rPr>
              <w:t>3.4</w:t>
            </w:r>
          </w:p>
        </w:tc>
        <w:tc>
          <w:tcPr>
            <w:tcW w:w="962" w:type="dxa"/>
            <w:tcBorders>
              <w:top w:val="nil"/>
              <w:left w:val="nil"/>
              <w:bottom w:val="single" w:sz="4" w:space="0" w:color="auto"/>
              <w:right w:val="single" w:sz="4" w:space="0" w:color="auto"/>
            </w:tcBorders>
            <w:shd w:val="clear" w:color="auto" w:fill="auto"/>
            <w:noWrap/>
            <w:vAlign w:val="bottom"/>
            <w:hideMark/>
          </w:tcPr>
          <w:p w14:paraId="7C218DDA" w14:textId="77777777" w:rsidR="00B322B7" w:rsidRPr="00B322B7" w:rsidRDefault="00B322B7" w:rsidP="005E2E4F">
            <w:pPr>
              <w:jc w:val="center"/>
              <w:rPr>
                <w:color w:val="000000"/>
                <w:sz w:val="22"/>
                <w:szCs w:val="22"/>
              </w:rPr>
            </w:pPr>
            <w:r w:rsidRPr="00B322B7">
              <w:rPr>
                <w:color w:val="000000"/>
                <w:sz w:val="22"/>
                <w:szCs w:val="22"/>
              </w:rPr>
              <w:t>4.3</w:t>
            </w:r>
          </w:p>
        </w:tc>
        <w:tc>
          <w:tcPr>
            <w:tcW w:w="962" w:type="dxa"/>
            <w:tcBorders>
              <w:top w:val="nil"/>
              <w:left w:val="nil"/>
              <w:bottom w:val="single" w:sz="4" w:space="0" w:color="auto"/>
              <w:right w:val="single" w:sz="4" w:space="0" w:color="auto"/>
            </w:tcBorders>
            <w:shd w:val="clear" w:color="auto" w:fill="auto"/>
            <w:noWrap/>
            <w:vAlign w:val="bottom"/>
            <w:hideMark/>
          </w:tcPr>
          <w:p w14:paraId="2E4BDEA1" w14:textId="77777777" w:rsidR="00B322B7" w:rsidRPr="00B322B7" w:rsidRDefault="00B322B7" w:rsidP="005E2E4F">
            <w:pPr>
              <w:jc w:val="center"/>
              <w:rPr>
                <w:color w:val="000000"/>
                <w:sz w:val="22"/>
                <w:szCs w:val="22"/>
              </w:rPr>
            </w:pPr>
            <w:r w:rsidRPr="00B322B7">
              <w:rPr>
                <w:color w:val="000000"/>
                <w:sz w:val="22"/>
                <w:szCs w:val="22"/>
              </w:rPr>
              <w:t>3.5</w:t>
            </w:r>
          </w:p>
        </w:tc>
        <w:tc>
          <w:tcPr>
            <w:tcW w:w="962" w:type="dxa"/>
            <w:tcBorders>
              <w:top w:val="nil"/>
              <w:left w:val="nil"/>
              <w:bottom w:val="single" w:sz="4" w:space="0" w:color="auto"/>
              <w:right w:val="single" w:sz="4" w:space="0" w:color="auto"/>
            </w:tcBorders>
            <w:shd w:val="clear" w:color="auto" w:fill="auto"/>
            <w:noWrap/>
            <w:vAlign w:val="bottom"/>
            <w:hideMark/>
          </w:tcPr>
          <w:p w14:paraId="2FA898D6" w14:textId="77777777" w:rsidR="00B322B7" w:rsidRPr="00B322B7" w:rsidRDefault="00B322B7" w:rsidP="005E2E4F">
            <w:pPr>
              <w:jc w:val="center"/>
              <w:rPr>
                <w:color w:val="000000"/>
                <w:sz w:val="22"/>
                <w:szCs w:val="22"/>
              </w:rPr>
            </w:pPr>
            <w:r w:rsidRPr="00B322B7">
              <w:rPr>
                <w:color w:val="000000"/>
                <w:sz w:val="22"/>
                <w:szCs w:val="22"/>
              </w:rPr>
              <w:t> </w:t>
            </w:r>
          </w:p>
        </w:tc>
        <w:tc>
          <w:tcPr>
            <w:tcW w:w="1358" w:type="dxa"/>
            <w:tcBorders>
              <w:top w:val="nil"/>
              <w:left w:val="nil"/>
              <w:bottom w:val="single" w:sz="4" w:space="0" w:color="auto"/>
              <w:right w:val="single" w:sz="4" w:space="0" w:color="auto"/>
            </w:tcBorders>
            <w:shd w:val="clear" w:color="auto" w:fill="auto"/>
            <w:noWrap/>
            <w:vAlign w:val="bottom"/>
            <w:hideMark/>
          </w:tcPr>
          <w:p w14:paraId="71FC151E" w14:textId="77777777" w:rsidR="00B322B7" w:rsidRPr="00B322B7" w:rsidRDefault="00B322B7" w:rsidP="005E2E4F">
            <w:pPr>
              <w:jc w:val="center"/>
              <w:rPr>
                <w:color w:val="000000"/>
                <w:sz w:val="22"/>
                <w:szCs w:val="22"/>
              </w:rPr>
            </w:pPr>
            <w:r w:rsidRPr="00B322B7">
              <w:rPr>
                <w:color w:val="000000"/>
                <w:sz w:val="22"/>
                <w:szCs w:val="22"/>
              </w:rPr>
              <w:t>2.2</w:t>
            </w:r>
          </w:p>
        </w:tc>
        <w:tc>
          <w:tcPr>
            <w:tcW w:w="962" w:type="dxa"/>
            <w:tcBorders>
              <w:top w:val="nil"/>
              <w:left w:val="nil"/>
              <w:bottom w:val="single" w:sz="4" w:space="0" w:color="auto"/>
              <w:right w:val="single" w:sz="4" w:space="0" w:color="auto"/>
            </w:tcBorders>
            <w:shd w:val="clear" w:color="auto" w:fill="auto"/>
            <w:noWrap/>
            <w:vAlign w:val="bottom"/>
            <w:hideMark/>
          </w:tcPr>
          <w:p w14:paraId="6EC315C2" w14:textId="77777777" w:rsidR="00B322B7" w:rsidRPr="00B322B7" w:rsidRDefault="00B322B7" w:rsidP="005E2E4F">
            <w:pPr>
              <w:jc w:val="center"/>
              <w:rPr>
                <w:color w:val="000000"/>
                <w:sz w:val="22"/>
                <w:szCs w:val="22"/>
              </w:rPr>
            </w:pPr>
            <w:r w:rsidRPr="00B322B7">
              <w:rPr>
                <w:color w:val="000000"/>
                <w:sz w:val="22"/>
                <w:szCs w:val="22"/>
              </w:rPr>
              <w:t>4.5</w:t>
            </w:r>
          </w:p>
        </w:tc>
        <w:tc>
          <w:tcPr>
            <w:tcW w:w="967" w:type="dxa"/>
            <w:tcBorders>
              <w:top w:val="nil"/>
              <w:left w:val="nil"/>
              <w:bottom w:val="single" w:sz="4" w:space="0" w:color="auto"/>
              <w:right w:val="single" w:sz="4" w:space="0" w:color="auto"/>
            </w:tcBorders>
            <w:shd w:val="clear" w:color="auto" w:fill="auto"/>
            <w:noWrap/>
            <w:vAlign w:val="bottom"/>
            <w:hideMark/>
          </w:tcPr>
          <w:p w14:paraId="4D26A90A" w14:textId="77777777" w:rsidR="00B322B7" w:rsidRPr="00B322B7" w:rsidRDefault="00B322B7" w:rsidP="005E2E4F">
            <w:pPr>
              <w:jc w:val="center"/>
              <w:rPr>
                <w:color w:val="000000"/>
                <w:sz w:val="22"/>
                <w:szCs w:val="22"/>
              </w:rPr>
            </w:pPr>
            <w:r w:rsidRPr="00B322B7">
              <w:rPr>
                <w:color w:val="000000"/>
                <w:sz w:val="22"/>
                <w:szCs w:val="22"/>
              </w:rPr>
              <w:t>3.7</w:t>
            </w:r>
          </w:p>
        </w:tc>
      </w:tr>
      <w:tr w:rsidR="00B322B7" w:rsidRPr="00B322B7" w14:paraId="77A2F3A1" w14:textId="77777777" w:rsidTr="005E2E4F">
        <w:trPr>
          <w:trHeight w:val="296"/>
        </w:trPr>
        <w:tc>
          <w:tcPr>
            <w:tcW w:w="1289" w:type="dxa"/>
            <w:tcBorders>
              <w:top w:val="nil"/>
              <w:left w:val="single" w:sz="4" w:space="0" w:color="auto"/>
              <w:bottom w:val="single" w:sz="4" w:space="0" w:color="auto"/>
              <w:right w:val="single" w:sz="4" w:space="0" w:color="auto"/>
            </w:tcBorders>
            <w:shd w:val="clear" w:color="000000" w:fill="F2F2F2"/>
            <w:noWrap/>
            <w:vAlign w:val="bottom"/>
            <w:hideMark/>
          </w:tcPr>
          <w:p w14:paraId="45A539E3" w14:textId="77777777" w:rsidR="00B322B7" w:rsidRPr="00B322B7" w:rsidRDefault="00B322B7" w:rsidP="005E2E4F">
            <w:pPr>
              <w:jc w:val="center"/>
              <w:rPr>
                <w:b/>
                <w:bCs/>
                <w:color w:val="000000"/>
                <w:sz w:val="22"/>
                <w:szCs w:val="22"/>
              </w:rPr>
            </w:pPr>
            <w:r w:rsidRPr="00B322B7">
              <w:rPr>
                <w:b/>
                <w:bCs/>
                <w:color w:val="000000"/>
                <w:sz w:val="22"/>
                <w:szCs w:val="22"/>
              </w:rPr>
              <w:t>2012</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6EAA9B18" w14:textId="77777777" w:rsidR="00B322B7" w:rsidRPr="00B322B7" w:rsidRDefault="00B322B7" w:rsidP="005E2E4F">
            <w:pPr>
              <w:jc w:val="center"/>
              <w:rPr>
                <w:color w:val="000000"/>
                <w:sz w:val="22"/>
                <w:szCs w:val="22"/>
              </w:rPr>
            </w:pPr>
            <w:r w:rsidRPr="00B322B7">
              <w:rPr>
                <w:color w:val="000000"/>
                <w:sz w:val="22"/>
                <w:szCs w:val="22"/>
              </w:rPr>
              <w:t>5.9</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220CDB8F" w14:textId="77777777" w:rsidR="00B322B7" w:rsidRPr="00B322B7" w:rsidRDefault="00B322B7" w:rsidP="005E2E4F">
            <w:pPr>
              <w:jc w:val="center"/>
              <w:rPr>
                <w:color w:val="000000"/>
                <w:sz w:val="22"/>
                <w:szCs w:val="22"/>
              </w:rPr>
            </w:pPr>
            <w:r w:rsidRPr="00B322B7">
              <w:rPr>
                <w:color w:val="000000"/>
                <w:sz w:val="22"/>
                <w:szCs w:val="22"/>
              </w:rPr>
              <w:t>3.6</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624FCFE5" w14:textId="77777777" w:rsidR="00B322B7" w:rsidRPr="00B322B7" w:rsidRDefault="00B322B7" w:rsidP="005E2E4F">
            <w:pPr>
              <w:jc w:val="center"/>
              <w:rPr>
                <w:color w:val="000000"/>
                <w:sz w:val="22"/>
                <w:szCs w:val="22"/>
              </w:rPr>
            </w:pPr>
            <w:r w:rsidRPr="00B322B7">
              <w:rPr>
                <w:color w:val="000000"/>
                <w:sz w:val="22"/>
                <w:szCs w:val="22"/>
              </w:rPr>
              <w:t>5.3</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2AE760F4" w14:textId="77777777" w:rsidR="00B322B7" w:rsidRPr="00B322B7" w:rsidRDefault="00B322B7" w:rsidP="005E2E4F">
            <w:pPr>
              <w:jc w:val="center"/>
              <w:rPr>
                <w:color w:val="000000"/>
                <w:sz w:val="22"/>
                <w:szCs w:val="22"/>
              </w:rPr>
            </w:pPr>
            <w:r w:rsidRPr="00B322B7">
              <w:rPr>
                <w:color w:val="000000"/>
                <w:sz w:val="22"/>
                <w:szCs w:val="22"/>
              </w:rPr>
              <w:t>4.3</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097F458A" w14:textId="77777777" w:rsidR="00B322B7" w:rsidRPr="00B322B7" w:rsidRDefault="00B322B7" w:rsidP="005E2E4F">
            <w:pPr>
              <w:jc w:val="center"/>
              <w:rPr>
                <w:color w:val="000000"/>
                <w:sz w:val="22"/>
                <w:szCs w:val="22"/>
              </w:rPr>
            </w:pPr>
            <w:r w:rsidRPr="00B322B7">
              <w:rPr>
                <w:color w:val="000000"/>
                <w:sz w:val="22"/>
                <w:szCs w:val="22"/>
              </w:rPr>
              <w:t> </w:t>
            </w:r>
          </w:p>
        </w:tc>
        <w:tc>
          <w:tcPr>
            <w:tcW w:w="1358" w:type="dxa"/>
            <w:tcBorders>
              <w:top w:val="nil"/>
              <w:left w:val="nil"/>
              <w:bottom w:val="single" w:sz="4" w:space="0" w:color="auto"/>
              <w:right w:val="single" w:sz="4" w:space="0" w:color="auto"/>
            </w:tcBorders>
            <w:shd w:val="clear" w:color="auto" w:fill="F2F2F2" w:themeFill="background1" w:themeFillShade="F2"/>
            <w:noWrap/>
            <w:vAlign w:val="bottom"/>
            <w:hideMark/>
          </w:tcPr>
          <w:p w14:paraId="729B6AE3" w14:textId="77777777" w:rsidR="00B322B7" w:rsidRPr="00B322B7" w:rsidRDefault="00B322B7" w:rsidP="005E2E4F">
            <w:pPr>
              <w:jc w:val="center"/>
              <w:rPr>
                <w:color w:val="000000"/>
                <w:sz w:val="22"/>
                <w:szCs w:val="22"/>
              </w:rPr>
            </w:pPr>
            <w:r w:rsidRPr="00B322B7">
              <w:rPr>
                <w:color w:val="000000"/>
                <w:sz w:val="22"/>
                <w:szCs w:val="22"/>
              </w:rPr>
              <w:t>3.2</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4F6089AA" w14:textId="77777777" w:rsidR="00B322B7" w:rsidRPr="00B322B7" w:rsidRDefault="00B322B7" w:rsidP="005E2E4F">
            <w:pPr>
              <w:jc w:val="center"/>
              <w:rPr>
                <w:color w:val="000000"/>
                <w:sz w:val="22"/>
                <w:szCs w:val="22"/>
              </w:rPr>
            </w:pPr>
            <w:r w:rsidRPr="00B322B7">
              <w:rPr>
                <w:color w:val="000000"/>
                <w:sz w:val="22"/>
                <w:szCs w:val="22"/>
              </w:rPr>
              <w:t>2.3</w:t>
            </w:r>
          </w:p>
        </w:tc>
        <w:tc>
          <w:tcPr>
            <w:tcW w:w="967" w:type="dxa"/>
            <w:tcBorders>
              <w:top w:val="nil"/>
              <w:left w:val="nil"/>
              <w:bottom w:val="single" w:sz="4" w:space="0" w:color="auto"/>
              <w:right w:val="single" w:sz="4" w:space="0" w:color="auto"/>
            </w:tcBorders>
            <w:shd w:val="clear" w:color="auto" w:fill="F2F2F2" w:themeFill="background1" w:themeFillShade="F2"/>
            <w:noWrap/>
            <w:vAlign w:val="bottom"/>
            <w:hideMark/>
          </w:tcPr>
          <w:p w14:paraId="458E1AB2" w14:textId="77777777" w:rsidR="00B322B7" w:rsidRPr="00B322B7" w:rsidRDefault="00B322B7" w:rsidP="005E2E4F">
            <w:pPr>
              <w:jc w:val="center"/>
              <w:rPr>
                <w:color w:val="000000"/>
                <w:sz w:val="22"/>
                <w:szCs w:val="22"/>
              </w:rPr>
            </w:pPr>
            <w:r w:rsidRPr="00B322B7">
              <w:rPr>
                <w:color w:val="000000"/>
                <w:sz w:val="22"/>
                <w:szCs w:val="22"/>
              </w:rPr>
              <w:t>4.3</w:t>
            </w:r>
          </w:p>
        </w:tc>
      </w:tr>
      <w:tr w:rsidR="00B322B7" w:rsidRPr="00B322B7" w14:paraId="0848F74D" w14:textId="77777777" w:rsidTr="005E2E4F">
        <w:trPr>
          <w:trHeight w:val="296"/>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14:paraId="416966F1" w14:textId="77777777" w:rsidR="00B322B7" w:rsidRPr="00B322B7" w:rsidRDefault="00B322B7" w:rsidP="005E2E4F">
            <w:pPr>
              <w:jc w:val="center"/>
              <w:rPr>
                <w:b/>
                <w:bCs/>
                <w:color w:val="000000"/>
                <w:sz w:val="22"/>
                <w:szCs w:val="22"/>
              </w:rPr>
            </w:pPr>
            <w:r w:rsidRPr="00B322B7">
              <w:rPr>
                <w:b/>
                <w:bCs/>
                <w:color w:val="000000"/>
                <w:sz w:val="22"/>
                <w:szCs w:val="22"/>
              </w:rPr>
              <w:t>2013</w:t>
            </w:r>
          </w:p>
        </w:tc>
        <w:tc>
          <w:tcPr>
            <w:tcW w:w="962" w:type="dxa"/>
            <w:tcBorders>
              <w:top w:val="nil"/>
              <w:left w:val="nil"/>
              <w:bottom w:val="single" w:sz="4" w:space="0" w:color="auto"/>
              <w:right w:val="single" w:sz="4" w:space="0" w:color="auto"/>
            </w:tcBorders>
            <w:shd w:val="clear" w:color="auto" w:fill="auto"/>
            <w:noWrap/>
            <w:vAlign w:val="bottom"/>
            <w:hideMark/>
          </w:tcPr>
          <w:p w14:paraId="039F0458" w14:textId="77777777" w:rsidR="00B322B7" w:rsidRPr="00B322B7" w:rsidRDefault="00B322B7" w:rsidP="005E2E4F">
            <w:pPr>
              <w:jc w:val="center"/>
              <w:rPr>
                <w:color w:val="000000"/>
                <w:sz w:val="22"/>
                <w:szCs w:val="22"/>
              </w:rPr>
            </w:pPr>
            <w:r w:rsidRPr="00B322B7">
              <w:rPr>
                <w:color w:val="000000"/>
                <w:sz w:val="22"/>
                <w:szCs w:val="22"/>
              </w:rPr>
              <w:t>3.7</w:t>
            </w:r>
          </w:p>
        </w:tc>
        <w:tc>
          <w:tcPr>
            <w:tcW w:w="962" w:type="dxa"/>
            <w:tcBorders>
              <w:top w:val="nil"/>
              <w:left w:val="nil"/>
              <w:bottom w:val="single" w:sz="4" w:space="0" w:color="auto"/>
              <w:right w:val="single" w:sz="4" w:space="0" w:color="auto"/>
            </w:tcBorders>
            <w:shd w:val="clear" w:color="auto" w:fill="auto"/>
            <w:noWrap/>
            <w:vAlign w:val="bottom"/>
            <w:hideMark/>
          </w:tcPr>
          <w:p w14:paraId="067660D0" w14:textId="77777777" w:rsidR="00B322B7" w:rsidRPr="00B322B7" w:rsidRDefault="00B322B7" w:rsidP="005E2E4F">
            <w:pPr>
              <w:jc w:val="center"/>
              <w:rPr>
                <w:color w:val="000000"/>
                <w:sz w:val="22"/>
                <w:szCs w:val="22"/>
              </w:rPr>
            </w:pPr>
            <w:r w:rsidRPr="00B322B7">
              <w:rPr>
                <w:color w:val="000000"/>
                <w:sz w:val="22"/>
                <w:szCs w:val="22"/>
              </w:rPr>
              <w:t>2.6</w:t>
            </w:r>
          </w:p>
        </w:tc>
        <w:tc>
          <w:tcPr>
            <w:tcW w:w="962" w:type="dxa"/>
            <w:tcBorders>
              <w:top w:val="nil"/>
              <w:left w:val="nil"/>
              <w:bottom w:val="single" w:sz="4" w:space="0" w:color="auto"/>
              <w:right w:val="single" w:sz="4" w:space="0" w:color="auto"/>
            </w:tcBorders>
            <w:shd w:val="clear" w:color="auto" w:fill="auto"/>
            <w:noWrap/>
            <w:vAlign w:val="bottom"/>
            <w:hideMark/>
          </w:tcPr>
          <w:p w14:paraId="066CD1ED" w14:textId="77777777" w:rsidR="00B322B7" w:rsidRPr="00B322B7" w:rsidRDefault="00B322B7" w:rsidP="005E2E4F">
            <w:pPr>
              <w:jc w:val="center"/>
              <w:rPr>
                <w:color w:val="000000"/>
                <w:sz w:val="22"/>
                <w:szCs w:val="22"/>
              </w:rPr>
            </w:pPr>
            <w:r w:rsidRPr="00B322B7">
              <w:rPr>
                <w:color w:val="000000"/>
                <w:sz w:val="22"/>
                <w:szCs w:val="22"/>
              </w:rPr>
              <w:t>4.9</w:t>
            </w:r>
          </w:p>
        </w:tc>
        <w:tc>
          <w:tcPr>
            <w:tcW w:w="962" w:type="dxa"/>
            <w:tcBorders>
              <w:top w:val="nil"/>
              <w:left w:val="nil"/>
              <w:bottom w:val="single" w:sz="4" w:space="0" w:color="auto"/>
              <w:right w:val="single" w:sz="4" w:space="0" w:color="auto"/>
            </w:tcBorders>
            <w:shd w:val="clear" w:color="auto" w:fill="auto"/>
            <w:noWrap/>
            <w:vAlign w:val="bottom"/>
            <w:hideMark/>
          </w:tcPr>
          <w:p w14:paraId="17BE13B8" w14:textId="77777777" w:rsidR="00B322B7" w:rsidRPr="00B322B7" w:rsidRDefault="00B322B7" w:rsidP="005E2E4F">
            <w:pPr>
              <w:jc w:val="center"/>
              <w:rPr>
                <w:color w:val="000000"/>
                <w:sz w:val="22"/>
                <w:szCs w:val="22"/>
              </w:rPr>
            </w:pPr>
            <w:r w:rsidRPr="00B322B7">
              <w:rPr>
                <w:color w:val="000000"/>
                <w:sz w:val="22"/>
                <w:szCs w:val="22"/>
              </w:rPr>
              <w:t>4.0</w:t>
            </w:r>
          </w:p>
        </w:tc>
        <w:tc>
          <w:tcPr>
            <w:tcW w:w="962" w:type="dxa"/>
            <w:tcBorders>
              <w:top w:val="nil"/>
              <w:left w:val="nil"/>
              <w:bottom w:val="single" w:sz="4" w:space="0" w:color="auto"/>
              <w:right w:val="single" w:sz="4" w:space="0" w:color="auto"/>
            </w:tcBorders>
            <w:shd w:val="clear" w:color="auto" w:fill="auto"/>
            <w:noWrap/>
            <w:vAlign w:val="bottom"/>
            <w:hideMark/>
          </w:tcPr>
          <w:p w14:paraId="72072A2B" w14:textId="77777777" w:rsidR="00B322B7" w:rsidRPr="00B322B7" w:rsidRDefault="00B322B7" w:rsidP="005E2E4F">
            <w:pPr>
              <w:jc w:val="center"/>
              <w:rPr>
                <w:color w:val="000000"/>
                <w:sz w:val="22"/>
                <w:szCs w:val="22"/>
              </w:rPr>
            </w:pPr>
            <w:r w:rsidRPr="00B322B7">
              <w:rPr>
                <w:color w:val="000000"/>
                <w:sz w:val="22"/>
                <w:szCs w:val="22"/>
              </w:rPr>
              <w:t> </w:t>
            </w:r>
          </w:p>
        </w:tc>
        <w:tc>
          <w:tcPr>
            <w:tcW w:w="1358" w:type="dxa"/>
            <w:tcBorders>
              <w:top w:val="nil"/>
              <w:left w:val="nil"/>
              <w:bottom w:val="single" w:sz="4" w:space="0" w:color="auto"/>
              <w:right w:val="single" w:sz="4" w:space="0" w:color="auto"/>
            </w:tcBorders>
            <w:shd w:val="clear" w:color="auto" w:fill="auto"/>
            <w:noWrap/>
            <w:vAlign w:val="bottom"/>
            <w:hideMark/>
          </w:tcPr>
          <w:p w14:paraId="17E9B9E5" w14:textId="77777777" w:rsidR="00B322B7" w:rsidRPr="00B322B7" w:rsidRDefault="00B322B7" w:rsidP="005E2E4F">
            <w:pPr>
              <w:jc w:val="center"/>
              <w:rPr>
                <w:color w:val="000000"/>
                <w:sz w:val="22"/>
                <w:szCs w:val="22"/>
              </w:rPr>
            </w:pPr>
            <w:r w:rsidRPr="00B322B7">
              <w:rPr>
                <w:color w:val="000000"/>
                <w:sz w:val="22"/>
                <w:szCs w:val="22"/>
              </w:rPr>
              <w:t>5.1</w:t>
            </w:r>
          </w:p>
        </w:tc>
        <w:tc>
          <w:tcPr>
            <w:tcW w:w="962" w:type="dxa"/>
            <w:tcBorders>
              <w:top w:val="nil"/>
              <w:left w:val="nil"/>
              <w:bottom w:val="single" w:sz="4" w:space="0" w:color="auto"/>
              <w:right w:val="single" w:sz="4" w:space="0" w:color="auto"/>
            </w:tcBorders>
            <w:shd w:val="clear" w:color="auto" w:fill="auto"/>
            <w:noWrap/>
            <w:vAlign w:val="bottom"/>
            <w:hideMark/>
          </w:tcPr>
          <w:p w14:paraId="7C8D4CD8" w14:textId="77777777" w:rsidR="00B322B7" w:rsidRPr="00B322B7" w:rsidRDefault="00B322B7" w:rsidP="005E2E4F">
            <w:pPr>
              <w:jc w:val="center"/>
              <w:rPr>
                <w:color w:val="000000"/>
                <w:sz w:val="22"/>
                <w:szCs w:val="22"/>
              </w:rPr>
            </w:pPr>
            <w:r w:rsidRPr="00B322B7">
              <w:rPr>
                <w:color w:val="000000"/>
                <w:sz w:val="22"/>
                <w:szCs w:val="22"/>
              </w:rPr>
              <w:t>2.2</w:t>
            </w:r>
          </w:p>
        </w:tc>
        <w:tc>
          <w:tcPr>
            <w:tcW w:w="967" w:type="dxa"/>
            <w:tcBorders>
              <w:top w:val="nil"/>
              <w:left w:val="nil"/>
              <w:bottom w:val="single" w:sz="4" w:space="0" w:color="auto"/>
              <w:right w:val="single" w:sz="4" w:space="0" w:color="auto"/>
            </w:tcBorders>
            <w:shd w:val="clear" w:color="auto" w:fill="auto"/>
            <w:noWrap/>
            <w:vAlign w:val="bottom"/>
            <w:hideMark/>
          </w:tcPr>
          <w:p w14:paraId="53CA05AF" w14:textId="77777777" w:rsidR="00B322B7" w:rsidRPr="00B322B7" w:rsidRDefault="00B322B7" w:rsidP="005E2E4F">
            <w:pPr>
              <w:jc w:val="center"/>
              <w:rPr>
                <w:color w:val="000000"/>
                <w:sz w:val="22"/>
                <w:szCs w:val="22"/>
              </w:rPr>
            </w:pPr>
            <w:r w:rsidRPr="00B322B7">
              <w:rPr>
                <w:color w:val="000000"/>
                <w:sz w:val="22"/>
                <w:szCs w:val="22"/>
              </w:rPr>
              <w:t>3.9</w:t>
            </w:r>
          </w:p>
        </w:tc>
      </w:tr>
      <w:tr w:rsidR="00B322B7" w:rsidRPr="00B322B7" w14:paraId="474482A7" w14:textId="77777777" w:rsidTr="005E2E4F">
        <w:trPr>
          <w:trHeight w:val="296"/>
        </w:trPr>
        <w:tc>
          <w:tcPr>
            <w:tcW w:w="1289" w:type="dxa"/>
            <w:tcBorders>
              <w:top w:val="nil"/>
              <w:left w:val="single" w:sz="4" w:space="0" w:color="auto"/>
              <w:bottom w:val="single" w:sz="4" w:space="0" w:color="auto"/>
              <w:right w:val="single" w:sz="4" w:space="0" w:color="auto"/>
            </w:tcBorders>
            <w:shd w:val="clear" w:color="000000" w:fill="F2F2F2"/>
            <w:noWrap/>
            <w:vAlign w:val="bottom"/>
            <w:hideMark/>
          </w:tcPr>
          <w:p w14:paraId="7243E796" w14:textId="77777777" w:rsidR="00B322B7" w:rsidRPr="00B322B7" w:rsidRDefault="00B322B7" w:rsidP="005E2E4F">
            <w:pPr>
              <w:jc w:val="center"/>
              <w:rPr>
                <w:b/>
                <w:bCs/>
                <w:color w:val="000000"/>
                <w:sz w:val="22"/>
                <w:szCs w:val="22"/>
              </w:rPr>
            </w:pPr>
            <w:r w:rsidRPr="00B322B7">
              <w:rPr>
                <w:b/>
                <w:bCs/>
                <w:color w:val="000000"/>
                <w:sz w:val="22"/>
                <w:szCs w:val="22"/>
              </w:rPr>
              <w:t>2014</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3218628C" w14:textId="77777777" w:rsidR="00B322B7" w:rsidRPr="00B322B7" w:rsidRDefault="00B322B7" w:rsidP="005E2E4F">
            <w:pPr>
              <w:jc w:val="center"/>
              <w:rPr>
                <w:color w:val="000000"/>
                <w:sz w:val="22"/>
                <w:szCs w:val="22"/>
              </w:rPr>
            </w:pPr>
            <w:r w:rsidRPr="00B322B7">
              <w:rPr>
                <w:color w:val="000000"/>
                <w:sz w:val="22"/>
                <w:szCs w:val="22"/>
              </w:rPr>
              <w:t>5.7</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6C8974D7" w14:textId="77777777" w:rsidR="00B322B7" w:rsidRPr="00B322B7" w:rsidRDefault="00B322B7" w:rsidP="005E2E4F">
            <w:pPr>
              <w:jc w:val="center"/>
              <w:rPr>
                <w:color w:val="000000"/>
                <w:sz w:val="22"/>
                <w:szCs w:val="22"/>
              </w:rPr>
            </w:pPr>
            <w:r w:rsidRPr="00B322B7">
              <w:rPr>
                <w:color w:val="000000"/>
                <w:sz w:val="22"/>
                <w:szCs w:val="22"/>
              </w:rPr>
              <w:t>3.1</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70545018" w14:textId="77777777" w:rsidR="00B322B7" w:rsidRPr="00B322B7" w:rsidRDefault="00B322B7" w:rsidP="005E2E4F">
            <w:pPr>
              <w:jc w:val="center"/>
              <w:rPr>
                <w:color w:val="000000"/>
                <w:sz w:val="22"/>
                <w:szCs w:val="22"/>
              </w:rPr>
            </w:pPr>
            <w:r w:rsidRPr="00B322B7">
              <w:rPr>
                <w:color w:val="000000"/>
                <w:sz w:val="22"/>
                <w:szCs w:val="22"/>
              </w:rPr>
              <w:t>4.6</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6D918973" w14:textId="77777777" w:rsidR="00B322B7" w:rsidRPr="00B322B7" w:rsidRDefault="00B322B7" w:rsidP="005E2E4F">
            <w:pPr>
              <w:jc w:val="center"/>
              <w:rPr>
                <w:color w:val="000000"/>
                <w:sz w:val="22"/>
                <w:szCs w:val="22"/>
              </w:rPr>
            </w:pPr>
            <w:r w:rsidRPr="00B322B7">
              <w:rPr>
                <w:color w:val="000000"/>
                <w:sz w:val="22"/>
                <w:szCs w:val="22"/>
              </w:rPr>
              <w:t>3.3</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0352EDCD" w14:textId="77777777" w:rsidR="00B322B7" w:rsidRPr="00B322B7" w:rsidRDefault="00B322B7" w:rsidP="005E2E4F">
            <w:pPr>
              <w:jc w:val="center"/>
              <w:rPr>
                <w:color w:val="000000"/>
                <w:sz w:val="22"/>
                <w:szCs w:val="22"/>
              </w:rPr>
            </w:pPr>
            <w:r w:rsidRPr="00B322B7">
              <w:rPr>
                <w:color w:val="000000"/>
                <w:sz w:val="22"/>
                <w:szCs w:val="22"/>
              </w:rPr>
              <w:t>0.3</w:t>
            </w:r>
          </w:p>
        </w:tc>
        <w:tc>
          <w:tcPr>
            <w:tcW w:w="1358" w:type="dxa"/>
            <w:tcBorders>
              <w:top w:val="nil"/>
              <w:left w:val="nil"/>
              <w:bottom w:val="single" w:sz="4" w:space="0" w:color="auto"/>
              <w:right w:val="single" w:sz="4" w:space="0" w:color="auto"/>
            </w:tcBorders>
            <w:shd w:val="clear" w:color="auto" w:fill="F2F2F2" w:themeFill="background1" w:themeFillShade="F2"/>
            <w:noWrap/>
            <w:vAlign w:val="bottom"/>
            <w:hideMark/>
          </w:tcPr>
          <w:p w14:paraId="1F79900A" w14:textId="77777777" w:rsidR="00B322B7" w:rsidRPr="00B322B7" w:rsidRDefault="00B322B7" w:rsidP="005E2E4F">
            <w:pPr>
              <w:jc w:val="center"/>
              <w:rPr>
                <w:color w:val="000000"/>
                <w:sz w:val="22"/>
                <w:szCs w:val="22"/>
              </w:rPr>
            </w:pPr>
            <w:r w:rsidRPr="00B322B7">
              <w:rPr>
                <w:color w:val="000000"/>
                <w:sz w:val="22"/>
                <w:szCs w:val="22"/>
              </w:rPr>
              <w:t>2.6</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15979CD0" w14:textId="77777777" w:rsidR="00B322B7" w:rsidRPr="00B322B7" w:rsidRDefault="00B322B7" w:rsidP="005E2E4F">
            <w:pPr>
              <w:jc w:val="center"/>
              <w:rPr>
                <w:color w:val="000000"/>
                <w:sz w:val="22"/>
                <w:szCs w:val="22"/>
              </w:rPr>
            </w:pPr>
            <w:r w:rsidRPr="00B322B7">
              <w:rPr>
                <w:color w:val="000000"/>
                <w:sz w:val="22"/>
                <w:szCs w:val="22"/>
              </w:rPr>
              <w:t>1.6</w:t>
            </w:r>
          </w:p>
        </w:tc>
        <w:tc>
          <w:tcPr>
            <w:tcW w:w="967" w:type="dxa"/>
            <w:tcBorders>
              <w:top w:val="nil"/>
              <w:left w:val="nil"/>
              <w:bottom w:val="single" w:sz="4" w:space="0" w:color="auto"/>
              <w:right w:val="single" w:sz="4" w:space="0" w:color="auto"/>
            </w:tcBorders>
            <w:shd w:val="clear" w:color="auto" w:fill="F2F2F2" w:themeFill="background1" w:themeFillShade="F2"/>
            <w:noWrap/>
            <w:vAlign w:val="bottom"/>
            <w:hideMark/>
          </w:tcPr>
          <w:p w14:paraId="7467A57C" w14:textId="77777777" w:rsidR="00B322B7" w:rsidRPr="00B322B7" w:rsidRDefault="00B322B7" w:rsidP="005E2E4F">
            <w:pPr>
              <w:jc w:val="center"/>
              <w:rPr>
                <w:color w:val="000000"/>
                <w:sz w:val="22"/>
                <w:szCs w:val="22"/>
              </w:rPr>
            </w:pPr>
            <w:r w:rsidRPr="00B322B7">
              <w:rPr>
                <w:color w:val="000000"/>
                <w:sz w:val="22"/>
                <w:szCs w:val="22"/>
              </w:rPr>
              <w:t>3.4</w:t>
            </w:r>
          </w:p>
        </w:tc>
      </w:tr>
      <w:tr w:rsidR="00B322B7" w:rsidRPr="00B322B7" w14:paraId="63683744" w14:textId="77777777" w:rsidTr="005E2E4F">
        <w:trPr>
          <w:trHeight w:val="296"/>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14:paraId="2A551D35" w14:textId="77777777" w:rsidR="00B322B7" w:rsidRPr="00B322B7" w:rsidRDefault="00B322B7" w:rsidP="005E2E4F">
            <w:pPr>
              <w:jc w:val="center"/>
              <w:rPr>
                <w:b/>
                <w:bCs/>
                <w:color w:val="000000"/>
                <w:sz w:val="22"/>
                <w:szCs w:val="22"/>
              </w:rPr>
            </w:pPr>
            <w:r w:rsidRPr="00B322B7">
              <w:rPr>
                <w:b/>
                <w:bCs/>
                <w:color w:val="000000"/>
                <w:sz w:val="22"/>
                <w:szCs w:val="22"/>
              </w:rPr>
              <w:t>2015</w:t>
            </w:r>
          </w:p>
        </w:tc>
        <w:tc>
          <w:tcPr>
            <w:tcW w:w="962" w:type="dxa"/>
            <w:tcBorders>
              <w:top w:val="nil"/>
              <w:left w:val="nil"/>
              <w:bottom w:val="single" w:sz="4" w:space="0" w:color="auto"/>
              <w:right w:val="single" w:sz="4" w:space="0" w:color="auto"/>
            </w:tcBorders>
            <w:shd w:val="clear" w:color="auto" w:fill="auto"/>
            <w:noWrap/>
            <w:vAlign w:val="bottom"/>
            <w:hideMark/>
          </w:tcPr>
          <w:p w14:paraId="1E4E3A3F" w14:textId="77777777" w:rsidR="00B322B7" w:rsidRPr="00B322B7" w:rsidRDefault="00B322B7" w:rsidP="005E2E4F">
            <w:pPr>
              <w:jc w:val="center"/>
              <w:rPr>
                <w:color w:val="000000"/>
                <w:sz w:val="22"/>
                <w:szCs w:val="22"/>
              </w:rPr>
            </w:pPr>
            <w:r w:rsidRPr="00B322B7">
              <w:rPr>
                <w:color w:val="000000"/>
                <w:sz w:val="22"/>
                <w:szCs w:val="22"/>
              </w:rPr>
              <w:t>3.5</w:t>
            </w:r>
          </w:p>
        </w:tc>
        <w:tc>
          <w:tcPr>
            <w:tcW w:w="962" w:type="dxa"/>
            <w:tcBorders>
              <w:top w:val="nil"/>
              <w:left w:val="nil"/>
              <w:bottom w:val="single" w:sz="4" w:space="0" w:color="auto"/>
              <w:right w:val="single" w:sz="4" w:space="0" w:color="auto"/>
            </w:tcBorders>
            <w:shd w:val="clear" w:color="auto" w:fill="auto"/>
            <w:noWrap/>
            <w:vAlign w:val="bottom"/>
            <w:hideMark/>
          </w:tcPr>
          <w:p w14:paraId="3A1D3B02" w14:textId="77777777" w:rsidR="00B322B7" w:rsidRPr="00B322B7" w:rsidRDefault="00B322B7" w:rsidP="005E2E4F">
            <w:pPr>
              <w:jc w:val="center"/>
              <w:rPr>
                <w:color w:val="000000"/>
                <w:sz w:val="22"/>
                <w:szCs w:val="22"/>
              </w:rPr>
            </w:pPr>
            <w:r w:rsidRPr="00B322B7">
              <w:rPr>
                <w:color w:val="000000"/>
                <w:sz w:val="22"/>
                <w:szCs w:val="22"/>
              </w:rPr>
              <w:t>1.7</w:t>
            </w:r>
          </w:p>
        </w:tc>
        <w:tc>
          <w:tcPr>
            <w:tcW w:w="962" w:type="dxa"/>
            <w:tcBorders>
              <w:top w:val="nil"/>
              <w:left w:val="nil"/>
              <w:bottom w:val="single" w:sz="4" w:space="0" w:color="auto"/>
              <w:right w:val="single" w:sz="4" w:space="0" w:color="auto"/>
            </w:tcBorders>
            <w:shd w:val="clear" w:color="auto" w:fill="auto"/>
            <w:noWrap/>
            <w:vAlign w:val="bottom"/>
            <w:hideMark/>
          </w:tcPr>
          <w:p w14:paraId="0E6D9771" w14:textId="77777777" w:rsidR="00B322B7" w:rsidRPr="00B322B7" w:rsidRDefault="00B322B7" w:rsidP="005E2E4F">
            <w:pPr>
              <w:jc w:val="center"/>
              <w:rPr>
                <w:color w:val="000000"/>
                <w:sz w:val="22"/>
                <w:szCs w:val="22"/>
              </w:rPr>
            </w:pPr>
            <w:r w:rsidRPr="00B322B7">
              <w:rPr>
                <w:color w:val="000000"/>
                <w:sz w:val="22"/>
                <w:szCs w:val="22"/>
              </w:rPr>
              <w:t>5.6</w:t>
            </w:r>
          </w:p>
        </w:tc>
        <w:tc>
          <w:tcPr>
            <w:tcW w:w="962" w:type="dxa"/>
            <w:tcBorders>
              <w:top w:val="nil"/>
              <w:left w:val="nil"/>
              <w:bottom w:val="single" w:sz="4" w:space="0" w:color="auto"/>
              <w:right w:val="single" w:sz="4" w:space="0" w:color="auto"/>
            </w:tcBorders>
            <w:shd w:val="clear" w:color="auto" w:fill="auto"/>
            <w:noWrap/>
            <w:vAlign w:val="bottom"/>
            <w:hideMark/>
          </w:tcPr>
          <w:p w14:paraId="1D578A1E" w14:textId="77777777" w:rsidR="00B322B7" w:rsidRPr="00B322B7" w:rsidRDefault="00B322B7" w:rsidP="005E2E4F">
            <w:pPr>
              <w:jc w:val="center"/>
              <w:rPr>
                <w:color w:val="000000"/>
                <w:sz w:val="22"/>
                <w:szCs w:val="22"/>
              </w:rPr>
            </w:pPr>
            <w:r w:rsidRPr="00B322B7">
              <w:rPr>
                <w:color w:val="000000"/>
                <w:sz w:val="22"/>
                <w:szCs w:val="22"/>
              </w:rPr>
              <w:t>3.1</w:t>
            </w:r>
          </w:p>
        </w:tc>
        <w:tc>
          <w:tcPr>
            <w:tcW w:w="962" w:type="dxa"/>
            <w:tcBorders>
              <w:top w:val="nil"/>
              <w:left w:val="nil"/>
              <w:bottom w:val="single" w:sz="4" w:space="0" w:color="auto"/>
              <w:right w:val="single" w:sz="4" w:space="0" w:color="auto"/>
            </w:tcBorders>
            <w:shd w:val="clear" w:color="auto" w:fill="auto"/>
            <w:noWrap/>
            <w:vAlign w:val="bottom"/>
            <w:hideMark/>
          </w:tcPr>
          <w:p w14:paraId="425A5FFD" w14:textId="77777777" w:rsidR="00B322B7" w:rsidRPr="00B322B7" w:rsidRDefault="00B322B7" w:rsidP="005E2E4F">
            <w:pPr>
              <w:jc w:val="center"/>
              <w:rPr>
                <w:color w:val="000000"/>
                <w:sz w:val="22"/>
                <w:szCs w:val="22"/>
              </w:rPr>
            </w:pPr>
            <w:r w:rsidRPr="00B322B7">
              <w:rPr>
                <w:color w:val="000000"/>
                <w:sz w:val="22"/>
                <w:szCs w:val="22"/>
              </w:rPr>
              <w:t> </w:t>
            </w:r>
          </w:p>
        </w:tc>
        <w:tc>
          <w:tcPr>
            <w:tcW w:w="1358" w:type="dxa"/>
            <w:tcBorders>
              <w:top w:val="nil"/>
              <w:left w:val="nil"/>
              <w:bottom w:val="single" w:sz="4" w:space="0" w:color="auto"/>
              <w:right w:val="single" w:sz="4" w:space="0" w:color="auto"/>
            </w:tcBorders>
            <w:shd w:val="clear" w:color="auto" w:fill="auto"/>
            <w:noWrap/>
            <w:vAlign w:val="bottom"/>
            <w:hideMark/>
          </w:tcPr>
          <w:p w14:paraId="20214481" w14:textId="77777777" w:rsidR="00B322B7" w:rsidRPr="00B322B7" w:rsidRDefault="00B322B7" w:rsidP="005E2E4F">
            <w:pPr>
              <w:jc w:val="center"/>
              <w:rPr>
                <w:color w:val="000000"/>
                <w:sz w:val="22"/>
                <w:szCs w:val="22"/>
              </w:rPr>
            </w:pPr>
            <w:r w:rsidRPr="00B322B7">
              <w:rPr>
                <w:color w:val="000000"/>
                <w:sz w:val="22"/>
                <w:szCs w:val="22"/>
              </w:rPr>
              <w:t>2.7</w:t>
            </w:r>
          </w:p>
        </w:tc>
        <w:tc>
          <w:tcPr>
            <w:tcW w:w="962" w:type="dxa"/>
            <w:tcBorders>
              <w:top w:val="nil"/>
              <w:left w:val="nil"/>
              <w:bottom w:val="single" w:sz="4" w:space="0" w:color="auto"/>
              <w:right w:val="single" w:sz="4" w:space="0" w:color="auto"/>
            </w:tcBorders>
            <w:shd w:val="clear" w:color="auto" w:fill="auto"/>
            <w:noWrap/>
            <w:vAlign w:val="bottom"/>
            <w:hideMark/>
          </w:tcPr>
          <w:p w14:paraId="374DC94D" w14:textId="77777777" w:rsidR="00B322B7" w:rsidRPr="00B322B7" w:rsidRDefault="00B322B7" w:rsidP="005E2E4F">
            <w:pPr>
              <w:jc w:val="center"/>
              <w:rPr>
                <w:color w:val="000000"/>
                <w:sz w:val="22"/>
                <w:szCs w:val="22"/>
              </w:rPr>
            </w:pPr>
            <w:r w:rsidRPr="00B322B7">
              <w:rPr>
                <w:color w:val="000000"/>
                <w:sz w:val="22"/>
                <w:szCs w:val="22"/>
              </w:rPr>
              <w:t>1.4</w:t>
            </w:r>
          </w:p>
        </w:tc>
        <w:tc>
          <w:tcPr>
            <w:tcW w:w="967" w:type="dxa"/>
            <w:tcBorders>
              <w:top w:val="nil"/>
              <w:left w:val="nil"/>
              <w:bottom w:val="single" w:sz="4" w:space="0" w:color="auto"/>
              <w:right w:val="single" w:sz="4" w:space="0" w:color="auto"/>
            </w:tcBorders>
            <w:shd w:val="clear" w:color="auto" w:fill="auto"/>
            <w:noWrap/>
            <w:vAlign w:val="bottom"/>
            <w:hideMark/>
          </w:tcPr>
          <w:p w14:paraId="3E3070E8" w14:textId="77777777" w:rsidR="00B322B7" w:rsidRPr="00B322B7" w:rsidRDefault="00B322B7" w:rsidP="005E2E4F">
            <w:pPr>
              <w:jc w:val="center"/>
              <w:rPr>
                <w:color w:val="000000"/>
                <w:sz w:val="22"/>
                <w:szCs w:val="22"/>
              </w:rPr>
            </w:pPr>
            <w:r w:rsidRPr="00B322B7">
              <w:rPr>
                <w:color w:val="000000"/>
                <w:sz w:val="22"/>
                <w:szCs w:val="22"/>
              </w:rPr>
              <w:t>3.4</w:t>
            </w:r>
          </w:p>
        </w:tc>
      </w:tr>
      <w:tr w:rsidR="00B322B7" w:rsidRPr="00B322B7" w14:paraId="7BCDB7AD" w14:textId="77777777" w:rsidTr="005E2E4F">
        <w:trPr>
          <w:trHeight w:val="296"/>
        </w:trPr>
        <w:tc>
          <w:tcPr>
            <w:tcW w:w="1289" w:type="dxa"/>
            <w:tcBorders>
              <w:top w:val="nil"/>
              <w:left w:val="single" w:sz="4" w:space="0" w:color="auto"/>
              <w:bottom w:val="single" w:sz="4" w:space="0" w:color="auto"/>
              <w:right w:val="single" w:sz="4" w:space="0" w:color="auto"/>
            </w:tcBorders>
            <w:shd w:val="clear" w:color="000000" w:fill="F2F2F2"/>
            <w:noWrap/>
            <w:vAlign w:val="bottom"/>
            <w:hideMark/>
          </w:tcPr>
          <w:p w14:paraId="301D1461" w14:textId="77777777" w:rsidR="00B322B7" w:rsidRPr="00B322B7" w:rsidRDefault="00B322B7" w:rsidP="005E2E4F">
            <w:pPr>
              <w:jc w:val="center"/>
              <w:rPr>
                <w:b/>
                <w:bCs/>
                <w:color w:val="000000"/>
                <w:sz w:val="22"/>
                <w:szCs w:val="22"/>
              </w:rPr>
            </w:pPr>
            <w:r w:rsidRPr="00B322B7">
              <w:rPr>
                <w:b/>
                <w:bCs/>
                <w:color w:val="000000"/>
                <w:sz w:val="22"/>
                <w:szCs w:val="22"/>
              </w:rPr>
              <w:t>Average</w:t>
            </w:r>
          </w:p>
        </w:tc>
        <w:tc>
          <w:tcPr>
            <w:tcW w:w="962" w:type="dxa"/>
            <w:tcBorders>
              <w:top w:val="nil"/>
              <w:left w:val="nil"/>
              <w:bottom w:val="single" w:sz="4" w:space="0" w:color="auto"/>
              <w:right w:val="single" w:sz="4" w:space="0" w:color="auto"/>
            </w:tcBorders>
            <w:shd w:val="clear" w:color="000000" w:fill="F2F2F2"/>
            <w:noWrap/>
            <w:vAlign w:val="bottom"/>
            <w:hideMark/>
          </w:tcPr>
          <w:p w14:paraId="66A39D8F" w14:textId="77777777" w:rsidR="00B322B7" w:rsidRPr="00B322B7" w:rsidRDefault="00B322B7" w:rsidP="005E2E4F">
            <w:pPr>
              <w:jc w:val="center"/>
              <w:rPr>
                <w:b/>
                <w:bCs/>
                <w:color w:val="000000"/>
                <w:sz w:val="22"/>
                <w:szCs w:val="22"/>
              </w:rPr>
            </w:pPr>
            <w:r w:rsidRPr="00B322B7">
              <w:rPr>
                <w:b/>
                <w:bCs/>
                <w:color w:val="000000"/>
                <w:sz w:val="22"/>
                <w:szCs w:val="22"/>
              </w:rPr>
              <w:t>4.4</w:t>
            </w:r>
          </w:p>
        </w:tc>
        <w:tc>
          <w:tcPr>
            <w:tcW w:w="962" w:type="dxa"/>
            <w:tcBorders>
              <w:top w:val="nil"/>
              <w:left w:val="nil"/>
              <w:bottom w:val="single" w:sz="4" w:space="0" w:color="auto"/>
              <w:right w:val="single" w:sz="4" w:space="0" w:color="auto"/>
            </w:tcBorders>
            <w:shd w:val="clear" w:color="000000" w:fill="F2F2F2"/>
            <w:noWrap/>
            <w:vAlign w:val="bottom"/>
            <w:hideMark/>
          </w:tcPr>
          <w:p w14:paraId="2DE06C5D" w14:textId="77777777" w:rsidR="00B322B7" w:rsidRPr="00B322B7" w:rsidRDefault="00B322B7" w:rsidP="005E2E4F">
            <w:pPr>
              <w:jc w:val="center"/>
              <w:rPr>
                <w:b/>
                <w:bCs/>
                <w:color w:val="000000"/>
                <w:sz w:val="22"/>
                <w:szCs w:val="22"/>
              </w:rPr>
            </w:pPr>
            <w:r w:rsidRPr="00B322B7">
              <w:rPr>
                <w:b/>
                <w:bCs/>
                <w:color w:val="000000"/>
                <w:sz w:val="22"/>
                <w:szCs w:val="22"/>
              </w:rPr>
              <w:t>2.9</w:t>
            </w:r>
          </w:p>
        </w:tc>
        <w:tc>
          <w:tcPr>
            <w:tcW w:w="962" w:type="dxa"/>
            <w:tcBorders>
              <w:top w:val="nil"/>
              <w:left w:val="nil"/>
              <w:bottom w:val="single" w:sz="4" w:space="0" w:color="auto"/>
              <w:right w:val="single" w:sz="4" w:space="0" w:color="auto"/>
            </w:tcBorders>
            <w:shd w:val="clear" w:color="000000" w:fill="F2F2F2"/>
            <w:noWrap/>
            <w:vAlign w:val="bottom"/>
            <w:hideMark/>
          </w:tcPr>
          <w:p w14:paraId="15A9F777" w14:textId="77777777" w:rsidR="00B322B7" w:rsidRPr="00B322B7" w:rsidRDefault="00B322B7" w:rsidP="005E2E4F">
            <w:pPr>
              <w:jc w:val="center"/>
              <w:rPr>
                <w:b/>
                <w:bCs/>
                <w:color w:val="000000"/>
                <w:sz w:val="22"/>
                <w:szCs w:val="22"/>
              </w:rPr>
            </w:pPr>
            <w:r w:rsidRPr="00B322B7">
              <w:rPr>
                <w:b/>
                <w:bCs/>
                <w:color w:val="000000"/>
                <w:sz w:val="22"/>
                <w:szCs w:val="22"/>
              </w:rPr>
              <w:t>4.9</w:t>
            </w:r>
          </w:p>
        </w:tc>
        <w:tc>
          <w:tcPr>
            <w:tcW w:w="962" w:type="dxa"/>
            <w:tcBorders>
              <w:top w:val="nil"/>
              <w:left w:val="nil"/>
              <w:bottom w:val="single" w:sz="4" w:space="0" w:color="auto"/>
              <w:right w:val="single" w:sz="4" w:space="0" w:color="auto"/>
            </w:tcBorders>
            <w:shd w:val="clear" w:color="000000" w:fill="F2F2F2"/>
            <w:noWrap/>
            <w:vAlign w:val="bottom"/>
            <w:hideMark/>
          </w:tcPr>
          <w:p w14:paraId="3487553E" w14:textId="77777777" w:rsidR="00B322B7" w:rsidRPr="00B322B7" w:rsidRDefault="00B322B7" w:rsidP="005E2E4F">
            <w:pPr>
              <w:jc w:val="center"/>
              <w:rPr>
                <w:b/>
                <w:bCs/>
                <w:color w:val="000000"/>
                <w:sz w:val="22"/>
                <w:szCs w:val="22"/>
              </w:rPr>
            </w:pPr>
            <w:r w:rsidRPr="00B322B7">
              <w:rPr>
                <w:b/>
                <w:bCs/>
                <w:color w:val="000000"/>
                <w:sz w:val="22"/>
                <w:szCs w:val="22"/>
              </w:rPr>
              <w:t>3.6</w:t>
            </w:r>
          </w:p>
        </w:tc>
        <w:tc>
          <w:tcPr>
            <w:tcW w:w="962" w:type="dxa"/>
            <w:tcBorders>
              <w:top w:val="nil"/>
              <w:left w:val="nil"/>
              <w:bottom w:val="single" w:sz="4" w:space="0" w:color="auto"/>
              <w:right w:val="single" w:sz="4" w:space="0" w:color="auto"/>
            </w:tcBorders>
            <w:shd w:val="clear" w:color="000000" w:fill="F2F2F2"/>
            <w:noWrap/>
            <w:vAlign w:val="bottom"/>
            <w:hideMark/>
          </w:tcPr>
          <w:p w14:paraId="46DDEA2A" w14:textId="77777777" w:rsidR="00B322B7" w:rsidRPr="00B322B7" w:rsidRDefault="00B322B7" w:rsidP="005E2E4F">
            <w:pPr>
              <w:jc w:val="center"/>
              <w:rPr>
                <w:b/>
                <w:bCs/>
                <w:color w:val="000000"/>
                <w:sz w:val="22"/>
                <w:szCs w:val="22"/>
              </w:rPr>
            </w:pPr>
            <w:r w:rsidRPr="00B322B7">
              <w:rPr>
                <w:b/>
                <w:bCs/>
                <w:color w:val="000000"/>
                <w:sz w:val="22"/>
                <w:szCs w:val="22"/>
              </w:rPr>
              <w:t>0.3</w:t>
            </w:r>
          </w:p>
        </w:tc>
        <w:tc>
          <w:tcPr>
            <w:tcW w:w="1358" w:type="dxa"/>
            <w:tcBorders>
              <w:top w:val="nil"/>
              <w:left w:val="nil"/>
              <w:bottom w:val="single" w:sz="4" w:space="0" w:color="auto"/>
              <w:right w:val="single" w:sz="4" w:space="0" w:color="auto"/>
            </w:tcBorders>
            <w:shd w:val="clear" w:color="000000" w:fill="F2F2F2"/>
            <w:noWrap/>
            <w:vAlign w:val="bottom"/>
            <w:hideMark/>
          </w:tcPr>
          <w:p w14:paraId="4A6D2167" w14:textId="77777777" w:rsidR="00B322B7" w:rsidRPr="00B322B7" w:rsidRDefault="00B322B7" w:rsidP="005E2E4F">
            <w:pPr>
              <w:jc w:val="center"/>
              <w:rPr>
                <w:b/>
                <w:bCs/>
                <w:color w:val="000000"/>
                <w:sz w:val="22"/>
                <w:szCs w:val="22"/>
              </w:rPr>
            </w:pPr>
            <w:r w:rsidRPr="00B322B7">
              <w:rPr>
                <w:b/>
                <w:bCs/>
                <w:color w:val="000000"/>
                <w:sz w:val="22"/>
                <w:szCs w:val="22"/>
              </w:rPr>
              <w:t>3.1</w:t>
            </w:r>
          </w:p>
        </w:tc>
        <w:tc>
          <w:tcPr>
            <w:tcW w:w="962" w:type="dxa"/>
            <w:tcBorders>
              <w:top w:val="nil"/>
              <w:left w:val="nil"/>
              <w:bottom w:val="single" w:sz="4" w:space="0" w:color="auto"/>
              <w:right w:val="single" w:sz="4" w:space="0" w:color="auto"/>
            </w:tcBorders>
            <w:shd w:val="clear" w:color="000000" w:fill="F2F2F2"/>
            <w:noWrap/>
            <w:vAlign w:val="bottom"/>
            <w:hideMark/>
          </w:tcPr>
          <w:p w14:paraId="57A74595" w14:textId="77777777" w:rsidR="00B322B7" w:rsidRPr="00B322B7" w:rsidRDefault="00B322B7" w:rsidP="005E2E4F">
            <w:pPr>
              <w:jc w:val="center"/>
              <w:rPr>
                <w:b/>
                <w:bCs/>
                <w:color w:val="000000"/>
                <w:sz w:val="22"/>
                <w:szCs w:val="22"/>
              </w:rPr>
            </w:pPr>
            <w:r w:rsidRPr="00B322B7">
              <w:rPr>
                <w:b/>
                <w:bCs/>
                <w:color w:val="000000"/>
                <w:sz w:val="22"/>
                <w:szCs w:val="22"/>
              </w:rPr>
              <w:t>2.4</w:t>
            </w:r>
          </w:p>
        </w:tc>
        <w:tc>
          <w:tcPr>
            <w:tcW w:w="967" w:type="dxa"/>
            <w:tcBorders>
              <w:top w:val="nil"/>
              <w:left w:val="nil"/>
              <w:bottom w:val="single" w:sz="4" w:space="0" w:color="auto"/>
              <w:right w:val="single" w:sz="4" w:space="0" w:color="auto"/>
            </w:tcBorders>
            <w:shd w:val="clear" w:color="000000" w:fill="F2F2F2"/>
            <w:noWrap/>
            <w:vAlign w:val="bottom"/>
            <w:hideMark/>
          </w:tcPr>
          <w:p w14:paraId="472544D0" w14:textId="77777777" w:rsidR="00B322B7" w:rsidRPr="00B322B7" w:rsidRDefault="00B322B7" w:rsidP="005E2E4F">
            <w:pPr>
              <w:jc w:val="center"/>
              <w:rPr>
                <w:b/>
                <w:bCs/>
                <w:color w:val="000000"/>
                <w:sz w:val="22"/>
                <w:szCs w:val="22"/>
              </w:rPr>
            </w:pPr>
            <w:r w:rsidRPr="00B322B7">
              <w:rPr>
                <w:b/>
                <w:bCs/>
                <w:color w:val="000000"/>
                <w:sz w:val="22"/>
                <w:szCs w:val="22"/>
              </w:rPr>
              <w:t>3.7</w:t>
            </w:r>
          </w:p>
        </w:tc>
      </w:tr>
    </w:tbl>
    <w:p w14:paraId="1E0C5911" w14:textId="77777777" w:rsidR="00B322B7" w:rsidRDefault="00B322B7" w:rsidP="00B322B7">
      <w:pPr>
        <w:rPr>
          <w:rFonts w:ascii="Arial" w:hAnsi="Arial" w:cs="Arial"/>
          <w:sz w:val="20"/>
          <w:szCs w:val="20"/>
        </w:rPr>
      </w:pPr>
    </w:p>
    <w:p w14:paraId="5AC1A655" w14:textId="77777777" w:rsidR="00B322B7" w:rsidRDefault="00B322B7" w:rsidP="00B322B7">
      <w:pPr>
        <w:ind w:firstLine="360"/>
        <w:rPr>
          <w:b/>
        </w:rPr>
      </w:pPr>
    </w:p>
    <w:p w14:paraId="5216FDD1" w14:textId="77777777" w:rsidR="00B322B7" w:rsidRDefault="00B322B7" w:rsidP="00B322B7">
      <w:pPr>
        <w:ind w:firstLine="360"/>
      </w:pPr>
      <w:r>
        <w:rPr>
          <w:b/>
        </w:rPr>
        <w:t xml:space="preserve">Preferred Alternative 2 </w:t>
      </w:r>
      <w:r>
        <w:t>(</w:t>
      </w:r>
      <w:r>
        <w:rPr>
          <w:b/>
        </w:rPr>
        <w:t>Sub-alternative 2c)</w:t>
      </w:r>
      <w:r>
        <w:t xml:space="preserve"> of </w:t>
      </w:r>
      <w:r w:rsidRPr="00B316CD">
        <w:rPr>
          <w:b/>
        </w:rPr>
        <w:t>Action 8</w:t>
      </w:r>
      <w:r>
        <w:t xml:space="preserve"> would establish a commercial limit of 500 lbs ww per trip from January through March and July through December every year.  There is currently no commercial limit during these months</w:t>
      </w:r>
      <w:r w:rsidRPr="00FE6FCD">
        <w:t xml:space="preserve">.  </w:t>
      </w:r>
      <w:r>
        <w:t>However, vessels with a 225-lb snapper grouper permit cannot land more than 225 lbs of snapper grouper species in a single trip.  Consequently, the 500-lb trip limit (</w:t>
      </w:r>
      <w:r w:rsidRPr="00BC0943">
        <w:rPr>
          <w:b/>
        </w:rPr>
        <w:t>Preferred Sub-alternative 2c</w:t>
      </w:r>
      <w:r>
        <w:t xml:space="preserve">) would have no impact on any of the small businesses that harvest mutton snapper with vessels that have a 225-lb permit.  </w:t>
      </w:r>
    </w:p>
    <w:p w14:paraId="57142D31" w14:textId="77777777" w:rsidR="00B322B7" w:rsidRDefault="00B322B7" w:rsidP="00B322B7">
      <w:pPr>
        <w:ind w:firstLine="360"/>
      </w:pPr>
    </w:p>
    <w:p w14:paraId="3C168AB7" w14:textId="77777777" w:rsidR="00B322B7" w:rsidRDefault="00B322B7" w:rsidP="00B322B7">
      <w:pPr>
        <w:ind w:firstLine="360"/>
      </w:pPr>
      <w:r>
        <w:t>From 2011 through 2015, approximately 98.5% of the vessels and 99.7% of the trips with mutton snapper landed no more than 500 lbs ww (450.4 lbs gw) of the species (</w:t>
      </w:r>
      <w:r w:rsidRPr="00916127">
        <w:rPr>
          <w:b/>
        </w:rPr>
        <w:t>Table F-11</w:t>
      </w:r>
      <w:r>
        <w:t xml:space="preserve">).  From that it is expected that </w:t>
      </w:r>
      <w:r w:rsidRPr="00B2330A">
        <w:rPr>
          <w:b/>
        </w:rPr>
        <w:t>Preferred Alternative 2</w:t>
      </w:r>
      <w:r>
        <w:t xml:space="preserve"> (</w:t>
      </w:r>
      <w:r w:rsidRPr="00B2330A">
        <w:rPr>
          <w:b/>
        </w:rPr>
        <w:t>Sub-alternative 2c</w:t>
      </w:r>
      <w:r>
        <w:t xml:space="preserve">) would have no impact on approximately 98% of the small businesses that annually land mutton snapper.  </w:t>
      </w:r>
    </w:p>
    <w:p w14:paraId="47D4671F" w14:textId="77777777" w:rsidR="00B322B7" w:rsidRDefault="00B322B7" w:rsidP="00B322B7">
      <w:pPr>
        <w:ind w:firstLine="360"/>
      </w:pPr>
    </w:p>
    <w:p w14:paraId="3A84E588" w14:textId="77777777" w:rsidR="00B322B7" w:rsidRDefault="00B322B7" w:rsidP="00B322B7">
      <w:pPr>
        <w:rPr>
          <w:rFonts w:ascii="Arial" w:hAnsi="Arial" w:cs="Arial"/>
          <w:sz w:val="20"/>
          <w:szCs w:val="20"/>
        </w:rPr>
      </w:pPr>
      <w:r w:rsidRPr="00026A0D">
        <w:rPr>
          <w:rFonts w:ascii="Arial" w:hAnsi="Arial" w:cs="Arial"/>
          <w:b/>
          <w:sz w:val="20"/>
          <w:szCs w:val="20"/>
        </w:rPr>
        <w:t xml:space="preserve">Table </w:t>
      </w:r>
      <w:r>
        <w:rPr>
          <w:rFonts w:ascii="Arial" w:hAnsi="Arial" w:cs="Arial"/>
          <w:b/>
          <w:sz w:val="20"/>
          <w:szCs w:val="20"/>
        </w:rPr>
        <w:t>F-11</w:t>
      </w:r>
      <w:r w:rsidRPr="00026A0D">
        <w:rPr>
          <w:rFonts w:ascii="Arial" w:hAnsi="Arial" w:cs="Arial"/>
          <w:b/>
          <w:sz w:val="20"/>
          <w:szCs w:val="20"/>
        </w:rPr>
        <w:t>.</w:t>
      </w:r>
      <w:r w:rsidRPr="00026A0D">
        <w:rPr>
          <w:rFonts w:ascii="Arial" w:hAnsi="Arial" w:cs="Arial"/>
          <w:sz w:val="20"/>
          <w:szCs w:val="20"/>
        </w:rPr>
        <w:t xml:space="preserve">  </w:t>
      </w:r>
      <w:r>
        <w:rPr>
          <w:rFonts w:ascii="Arial" w:hAnsi="Arial" w:cs="Arial"/>
          <w:sz w:val="20"/>
          <w:szCs w:val="20"/>
        </w:rPr>
        <w:t>Average number of trips and vessels with mutton snapper landings by weight, 2011-2015</w:t>
      </w:r>
    </w:p>
    <w:tbl>
      <w:tblPr>
        <w:tblW w:w="9703" w:type="dxa"/>
        <w:tblInd w:w="93" w:type="dxa"/>
        <w:tblLook w:val="04A0" w:firstRow="1" w:lastRow="0" w:firstColumn="1" w:lastColumn="0" w:noHBand="0" w:noVBand="1"/>
      </w:tblPr>
      <w:tblGrid>
        <w:gridCol w:w="1185"/>
        <w:gridCol w:w="1260"/>
        <w:gridCol w:w="1440"/>
        <w:gridCol w:w="1260"/>
        <w:gridCol w:w="1260"/>
        <w:gridCol w:w="1372"/>
        <w:gridCol w:w="886"/>
        <w:gridCol w:w="1040"/>
      </w:tblGrid>
      <w:tr w:rsidR="00B322B7" w:rsidRPr="00B322B7" w14:paraId="33E901BE" w14:textId="77777777" w:rsidTr="005E2E4F">
        <w:trPr>
          <w:trHeight w:val="287"/>
        </w:trPr>
        <w:tc>
          <w:tcPr>
            <w:tcW w:w="118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666102" w14:textId="77777777" w:rsidR="00B322B7" w:rsidRPr="00B322B7" w:rsidRDefault="00B322B7" w:rsidP="005E2E4F">
            <w:pPr>
              <w:jc w:val="center"/>
              <w:rPr>
                <w:b/>
                <w:bCs/>
                <w:color w:val="000000"/>
                <w:sz w:val="22"/>
                <w:szCs w:val="22"/>
              </w:rPr>
            </w:pPr>
            <w:r w:rsidRPr="00B322B7">
              <w:rPr>
                <w:b/>
                <w:bCs/>
                <w:color w:val="000000"/>
                <w:sz w:val="22"/>
                <w:szCs w:val="22"/>
              </w:rPr>
              <w:t>Year</w:t>
            </w:r>
          </w:p>
        </w:tc>
        <w:tc>
          <w:tcPr>
            <w:tcW w:w="8518" w:type="dxa"/>
            <w:gridSpan w:val="7"/>
            <w:tcBorders>
              <w:top w:val="single" w:sz="4" w:space="0" w:color="auto"/>
              <w:left w:val="nil"/>
              <w:bottom w:val="single" w:sz="4" w:space="0" w:color="auto"/>
              <w:right w:val="single" w:sz="4" w:space="0" w:color="auto"/>
            </w:tcBorders>
            <w:shd w:val="clear" w:color="000000" w:fill="D9D9D9"/>
            <w:noWrap/>
            <w:vAlign w:val="bottom"/>
            <w:hideMark/>
          </w:tcPr>
          <w:p w14:paraId="4DA451F5" w14:textId="77777777" w:rsidR="00B322B7" w:rsidRPr="00B322B7" w:rsidRDefault="00B322B7" w:rsidP="005E2E4F">
            <w:pPr>
              <w:jc w:val="center"/>
              <w:rPr>
                <w:b/>
                <w:bCs/>
                <w:color w:val="000000"/>
                <w:sz w:val="22"/>
                <w:szCs w:val="22"/>
              </w:rPr>
            </w:pPr>
            <w:r w:rsidRPr="00B322B7">
              <w:rPr>
                <w:b/>
                <w:bCs/>
                <w:color w:val="000000"/>
                <w:sz w:val="22"/>
                <w:szCs w:val="22"/>
              </w:rPr>
              <w:t>Annual average</w:t>
            </w:r>
          </w:p>
        </w:tc>
      </w:tr>
      <w:tr w:rsidR="00B322B7" w:rsidRPr="00B322B7" w14:paraId="0D425A86" w14:textId="77777777" w:rsidTr="005E2E4F">
        <w:trPr>
          <w:trHeight w:val="287"/>
        </w:trPr>
        <w:tc>
          <w:tcPr>
            <w:tcW w:w="1185" w:type="dxa"/>
            <w:vMerge/>
            <w:tcBorders>
              <w:top w:val="single" w:sz="4" w:space="0" w:color="auto"/>
              <w:left w:val="single" w:sz="4" w:space="0" w:color="auto"/>
              <w:bottom w:val="single" w:sz="4" w:space="0" w:color="auto"/>
              <w:right w:val="single" w:sz="4" w:space="0" w:color="auto"/>
            </w:tcBorders>
            <w:vAlign w:val="center"/>
            <w:hideMark/>
          </w:tcPr>
          <w:p w14:paraId="0CF4926B" w14:textId="77777777" w:rsidR="00B322B7" w:rsidRPr="00B322B7" w:rsidRDefault="00B322B7" w:rsidP="005E2E4F">
            <w:pPr>
              <w:rPr>
                <w:b/>
                <w:bCs/>
                <w:color w:val="000000"/>
                <w:sz w:val="22"/>
                <w:szCs w:val="22"/>
              </w:rPr>
            </w:pPr>
          </w:p>
        </w:tc>
        <w:tc>
          <w:tcPr>
            <w:tcW w:w="12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DA1D5C9" w14:textId="77777777" w:rsidR="00B322B7" w:rsidRPr="00B322B7" w:rsidRDefault="00B322B7" w:rsidP="005E2E4F">
            <w:pPr>
              <w:jc w:val="center"/>
              <w:rPr>
                <w:b/>
                <w:bCs/>
                <w:color w:val="000000"/>
                <w:sz w:val="22"/>
                <w:szCs w:val="22"/>
              </w:rPr>
            </w:pPr>
            <w:r w:rsidRPr="00B322B7">
              <w:rPr>
                <w:b/>
                <w:bCs/>
                <w:color w:val="000000"/>
                <w:sz w:val="22"/>
                <w:szCs w:val="22"/>
              </w:rPr>
              <w:t>Vessels</w:t>
            </w:r>
          </w:p>
        </w:tc>
        <w:tc>
          <w:tcPr>
            <w:tcW w:w="27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4933B5C" w14:textId="77777777" w:rsidR="00B322B7" w:rsidRPr="00B322B7" w:rsidRDefault="00B322B7" w:rsidP="005E2E4F">
            <w:pPr>
              <w:jc w:val="center"/>
              <w:rPr>
                <w:b/>
                <w:bCs/>
                <w:color w:val="000000"/>
                <w:sz w:val="22"/>
                <w:szCs w:val="22"/>
              </w:rPr>
            </w:pPr>
            <w:r w:rsidRPr="00B322B7">
              <w:rPr>
                <w:b/>
                <w:bCs/>
                <w:color w:val="000000"/>
                <w:sz w:val="22"/>
                <w:szCs w:val="22"/>
              </w:rPr>
              <w:t>Trips</w:t>
            </w:r>
          </w:p>
        </w:tc>
        <w:tc>
          <w:tcPr>
            <w:tcW w:w="2632"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7F59333A" w14:textId="77777777" w:rsidR="00B322B7" w:rsidRPr="00B322B7" w:rsidRDefault="00B322B7" w:rsidP="005E2E4F">
            <w:pPr>
              <w:jc w:val="center"/>
              <w:rPr>
                <w:b/>
                <w:bCs/>
                <w:color w:val="000000"/>
                <w:sz w:val="22"/>
                <w:szCs w:val="22"/>
              </w:rPr>
            </w:pPr>
            <w:r w:rsidRPr="00B322B7">
              <w:rPr>
                <w:b/>
                <w:bCs/>
                <w:color w:val="000000"/>
                <w:sz w:val="22"/>
                <w:szCs w:val="22"/>
              </w:rPr>
              <w:t>Vessels</w:t>
            </w:r>
          </w:p>
        </w:tc>
        <w:tc>
          <w:tcPr>
            <w:tcW w:w="1926"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1C0F2D1C" w14:textId="77777777" w:rsidR="00B322B7" w:rsidRPr="00B322B7" w:rsidRDefault="00B322B7" w:rsidP="005E2E4F">
            <w:pPr>
              <w:jc w:val="center"/>
              <w:rPr>
                <w:b/>
                <w:bCs/>
                <w:color w:val="000000"/>
                <w:sz w:val="22"/>
                <w:szCs w:val="22"/>
              </w:rPr>
            </w:pPr>
            <w:r w:rsidRPr="00B322B7">
              <w:rPr>
                <w:b/>
                <w:bCs/>
                <w:color w:val="000000"/>
                <w:sz w:val="22"/>
                <w:szCs w:val="22"/>
              </w:rPr>
              <w:t>Percentage over 500 lbs ww</w:t>
            </w:r>
          </w:p>
        </w:tc>
      </w:tr>
      <w:tr w:rsidR="00B322B7" w:rsidRPr="00B322B7" w14:paraId="424EFCBB" w14:textId="77777777" w:rsidTr="005E2E4F">
        <w:trPr>
          <w:trHeight w:val="287"/>
        </w:trPr>
        <w:tc>
          <w:tcPr>
            <w:tcW w:w="1185" w:type="dxa"/>
            <w:vMerge/>
            <w:tcBorders>
              <w:top w:val="single" w:sz="4" w:space="0" w:color="auto"/>
              <w:left w:val="single" w:sz="4" w:space="0" w:color="auto"/>
              <w:bottom w:val="single" w:sz="4" w:space="0" w:color="auto"/>
              <w:right w:val="single" w:sz="4" w:space="0" w:color="auto"/>
            </w:tcBorders>
            <w:vAlign w:val="center"/>
            <w:hideMark/>
          </w:tcPr>
          <w:p w14:paraId="459787DE" w14:textId="77777777" w:rsidR="00B322B7" w:rsidRPr="00B322B7" w:rsidRDefault="00B322B7" w:rsidP="005E2E4F">
            <w:pPr>
              <w:rPr>
                <w:b/>
                <w:bCs/>
                <w:color w:val="000000"/>
                <w:sz w:val="22"/>
                <w:szCs w:val="22"/>
              </w:rPr>
            </w:pPr>
          </w:p>
        </w:tc>
        <w:tc>
          <w:tcPr>
            <w:tcW w:w="1260" w:type="dxa"/>
            <w:vMerge/>
            <w:tcBorders>
              <w:top w:val="nil"/>
              <w:left w:val="single" w:sz="4" w:space="0" w:color="auto"/>
              <w:bottom w:val="single" w:sz="4" w:space="0" w:color="auto"/>
              <w:right w:val="single" w:sz="4" w:space="0" w:color="auto"/>
            </w:tcBorders>
            <w:vAlign w:val="center"/>
            <w:hideMark/>
          </w:tcPr>
          <w:p w14:paraId="61442A89" w14:textId="77777777" w:rsidR="00B322B7" w:rsidRPr="00B322B7" w:rsidRDefault="00B322B7" w:rsidP="005E2E4F">
            <w:pPr>
              <w:rPr>
                <w:b/>
                <w:bCs/>
                <w:color w:val="000000"/>
                <w:sz w:val="22"/>
                <w:szCs w:val="22"/>
              </w:rPr>
            </w:pPr>
          </w:p>
        </w:tc>
        <w:tc>
          <w:tcPr>
            <w:tcW w:w="1440" w:type="dxa"/>
            <w:tcBorders>
              <w:top w:val="nil"/>
              <w:left w:val="nil"/>
              <w:bottom w:val="single" w:sz="4" w:space="0" w:color="auto"/>
              <w:right w:val="single" w:sz="4" w:space="0" w:color="auto"/>
            </w:tcBorders>
            <w:shd w:val="clear" w:color="000000" w:fill="D9D9D9"/>
            <w:noWrap/>
            <w:vAlign w:val="bottom"/>
            <w:hideMark/>
          </w:tcPr>
          <w:p w14:paraId="0F20B046" w14:textId="77777777" w:rsidR="00B322B7" w:rsidRPr="00B322B7" w:rsidRDefault="00B322B7" w:rsidP="005E2E4F">
            <w:pPr>
              <w:jc w:val="center"/>
              <w:rPr>
                <w:b/>
                <w:bCs/>
                <w:color w:val="000000"/>
                <w:sz w:val="22"/>
                <w:szCs w:val="22"/>
              </w:rPr>
            </w:pPr>
            <w:r w:rsidRPr="00B322B7">
              <w:rPr>
                <w:b/>
                <w:bCs/>
                <w:color w:val="000000"/>
                <w:sz w:val="22"/>
                <w:szCs w:val="22"/>
              </w:rPr>
              <w:t>1 to 500 lbs ww</w:t>
            </w:r>
          </w:p>
        </w:tc>
        <w:tc>
          <w:tcPr>
            <w:tcW w:w="1260" w:type="dxa"/>
            <w:tcBorders>
              <w:top w:val="nil"/>
              <w:left w:val="nil"/>
              <w:bottom w:val="single" w:sz="4" w:space="0" w:color="auto"/>
              <w:right w:val="single" w:sz="4" w:space="0" w:color="auto"/>
            </w:tcBorders>
            <w:shd w:val="clear" w:color="000000" w:fill="D9D9D9"/>
            <w:noWrap/>
            <w:vAlign w:val="bottom"/>
            <w:hideMark/>
          </w:tcPr>
          <w:p w14:paraId="7417337C" w14:textId="77777777" w:rsidR="00B322B7" w:rsidRPr="00B322B7" w:rsidRDefault="00B322B7" w:rsidP="005E2E4F">
            <w:pPr>
              <w:jc w:val="center"/>
              <w:rPr>
                <w:b/>
                <w:bCs/>
                <w:color w:val="000000"/>
                <w:sz w:val="22"/>
                <w:szCs w:val="22"/>
              </w:rPr>
            </w:pPr>
            <w:r w:rsidRPr="00B322B7">
              <w:rPr>
                <w:b/>
                <w:bCs/>
                <w:color w:val="000000"/>
                <w:sz w:val="22"/>
                <w:szCs w:val="22"/>
              </w:rPr>
              <w:t>Over 500 lbs ww</w:t>
            </w:r>
          </w:p>
        </w:tc>
        <w:tc>
          <w:tcPr>
            <w:tcW w:w="1260" w:type="dxa"/>
            <w:tcBorders>
              <w:top w:val="nil"/>
              <w:left w:val="nil"/>
              <w:bottom w:val="single" w:sz="4" w:space="0" w:color="auto"/>
              <w:right w:val="single" w:sz="4" w:space="0" w:color="auto"/>
            </w:tcBorders>
            <w:shd w:val="clear" w:color="000000" w:fill="D9D9D9"/>
            <w:noWrap/>
            <w:vAlign w:val="bottom"/>
            <w:hideMark/>
          </w:tcPr>
          <w:p w14:paraId="391F15E2" w14:textId="77777777" w:rsidR="00B322B7" w:rsidRPr="00B322B7" w:rsidRDefault="00B322B7" w:rsidP="005E2E4F">
            <w:pPr>
              <w:jc w:val="center"/>
              <w:rPr>
                <w:b/>
                <w:bCs/>
                <w:color w:val="000000"/>
                <w:sz w:val="22"/>
                <w:szCs w:val="22"/>
              </w:rPr>
            </w:pPr>
            <w:r w:rsidRPr="00B322B7">
              <w:rPr>
                <w:b/>
                <w:bCs/>
                <w:color w:val="000000"/>
                <w:sz w:val="22"/>
                <w:szCs w:val="22"/>
              </w:rPr>
              <w:t>1 to 500 lbs ww</w:t>
            </w:r>
          </w:p>
        </w:tc>
        <w:tc>
          <w:tcPr>
            <w:tcW w:w="1372" w:type="dxa"/>
            <w:tcBorders>
              <w:top w:val="nil"/>
              <w:left w:val="nil"/>
              <w:bottom w:val="single" w:sz="4" w:space="0" w:color="auto"/>
              <w:right w:val="single" w:sz="4" w:space="0" w:color="auto"/>
            </w:tcBorders>
            <w:shd w:val="clear" w:color="000000" w:fill="D9D9D9"/>
            <w:noWrap/>
            <w:vAlign w:val="bottom"/>
            <w:hideMark/>
          </w:tcPr>
          <w:p w14:paraId="78974010" w14:textId="77777777" w:rsidR="00B322B7" w:rsidRPr="00B322B7" w:rsidRDefault="00B322B7" w:rsidP="005E2E4F">
            <w:pPr>
              <w:jc w:val="center"/>
              <w:rPr>
                <w:b/>
                <w:bCs/>
                <w:color w:val="000000"/>
                <w:sz w:val="22"/>
                <w:szCs w:val="22"/>
              </w:rPr>
            </w:pPr>
            <w:r w:rsidRPr="00B322B7">
              <w:rPr>
                <w:b/>
                <w:bCs/>
                <w:color w:val="000000"/>
                <w:sz w:val="22"/>
                <w:szCs w:val="22"/>
              </w:rPr>
              <w:t>Over 500 lbs ww</w:t>
            </w:r>
          </w:p>
        </w:tc>
        <w:tc>
          <w:tcPr>
            <w:tcW w:w="886" w:type="dxa"/>
            <w:tcBorders>
              <w:top w:val="nil"/>
              <w:left w:val="nil"/>
              <w:bottom w:val="single" w:sz="4" w:space="0" w:color="auto"/>
              <w:right w:val="single" w:sz="4" w:space="0" w:color="auto"/>
            </w:tcBorders>
            <w:shd w:val="clear" w:color="000000" w:fill="D9D9D9"/>
            <w:noWrap/>
            <w:vAlign w:val="bottom"/>
            <w:hideMark/>
          </w:tcPr>
          <w:p w14:paraId="5D819228" w14:textId="77777777" w:rsidR="00B322B7" w:rsidRPr="00B322B7" w:rsidRDefault="00B322B7" w:rsidP="005E2E4F">
            <w:pPr>
              <w:jc w:val="center"/>
              <w:rPr>
                <w:b/>
                <w:bCs/>
                <w:color w:val="000000"/>
                <w:sz w:val="22"/>
                <w:szCs w:val="22"/>
              </w:rPr>
            </w:pPr>
            <w:r w:rsidRPr="00B322B7">
              <w:rPr>
                <w:b/>
                <w:bCs/>
                <w:color w:val="000000"/>
                <w:sz w:val="22"/>
                <w:szCs w:val="22"/>
              </w:rPr>
              <w:t>Trips</w:t>
            </w:r>
          </w:p>
        </w:tc>
        <w:tc>
          <w:tcPr>
            <w:tcW w:w="1040" w:type="dxa"/>
            <w:tcBorders>
              <w:top w:val="nil"/>
              <w:left w:val="nil"/>
              <w:bottom w:val="single" w:sz="4" w:space="0" w:color="auto"/>
              <w:right w:val="single" w:sz="4" w:space="0" w:color="auto"/>
            </w:tcBorders>
            <w:shd w:val="clear" w:color="000000" w:fill="D9D9D9"/>
            <w:noWrap/>
            <w:vAlign w:val="bottom"/>
            <w:hideMark/>
          </w:tcPr>
          <w:p w14:paraId="4ED0FB8C" w14:textId="77777777" w:rsidR="00B322B7" w:rsidRPr="00B322B7" w:rsidRDefault="00B322B7" w:rsidP="005E2E4F">
            <w:pPr>
              <w:jc w:val="center"/>
              <w:rPr>
                <w:b/>
                <w:bCs/>
                <w:color w:val="000000"/>
                <w:sz w:val="22"/>
                <w:szCs w:val="22"/>
              </w:rPr>
            </w:pPr>
            <w:r w:rsidRPr="00B322B7">
              <w:rPr>
                <w:b/>
                <w:bCs/>
                <w:color w:val="000000"/>
                <w:sz w:val="22"/>
                <w:szCs w:val="22"/>
              </w:rPr>
              <w:t>Vessels</w:t>
            </w:r>
          </w:p>
        </w:tc>
      </w:tr>
      <w:tr w:rsidR="00B322B7" w:rsidRPr="00B322B7" w14:paraId="72A9CFA9" w14:textId="77777777" w:rsidTr="005E2E4F">
        <w:trPr>
          <w:trHeight w:val="287"/>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6B4267B9" w14:textId="77777777" w:rsidR="00B322B7" w:rsidRPr="00B322B7" w:rsidRDefault="00B322B7" w:rsidP="005E2E4F">
            <w:pPr>
              <w:rPr>
                <w:b/>
                <w:bCs/>
                <w:color w:val="000000"/>
                <w:sz w:val="22"/>
                <w:szCs w:val="22"/>
              </w:rPr>
            </w:pPr>
            <w:r w:rsidRPr="00B322B7">
              <w:rPr>
                <w:b/>
                <w:bCs/>
                <w:color w:val="000000"/>
                <w:sz w:val="22"/>
                <w:szCs w:val="22"/>
              </w:rPr>
              <w:t>2011-2015</w:t>
            </w:r>
          </w:p>
        </w:tc>
        <w:tc>
          <w:tcPr>
            <w:tcW w:w="1260" w:type="dxa"/>
            <w:tcBorders>
              <w:top w:val="nil"/>
              <w:left w:val="nil"/>
              <w:bottom w:val="single" w:sz="4" w:space="0" w:color="auto"/>
              <w:right w:val="single" w:sz="4" w:space="0" w:color="auto"/>
            </w:tcBorders>
            <w:shd w:val="clear" w:color="auto" w:fill="auto"/>
            <w:noWrap/>
            <w:vAlign w:val="center"/>
            <w:hideMark/>
          </w:tcPr>
          <w:p w14:paraId="6D922395" w14:textId="77777777" w:rsidR="00B322B7" w:rsidRPr="00B322B7" w:rsidRDefault="00B322B7" w:rsidP="005E2E4F">
            <w:pPr>
              <w:jc w:val="center"/>
              <w:rPr>
                <w:color w:val="000000"/>
                <w:sz w:val="22"/>
                <w:szCs w:val="22"/>
              </w:rPr>
            </w:pPr>
            <w:r w:rsidRPr="00B322B7">
              <w:rPr>
                <w:color w:val="000000"/>
                <w:sz w:val="22"/>
                <w:szCs w:val="22"/>
              </w:rPr>
              <w:t>263</w:t>
            </w:r>
          </w:p>
        </w:tc>
        <w:tc>
          <w:tcPr>
            <w:tcW w:w="1440" w:type="dxa"/>
            <w:tcBorders>
              <w:top w:val="nil"/>
              <w:left w:val="nil"/>
              <w:bottom w:val="single" w:sz="4" w:space="0" w:color="auto"/>
              <w:right w:val="single" w:sz="4" w:space="0" w:color="auto"/>
            </w:tcBorders>
            <w:shd w:val="clear" w:color="auto" w:fill="auto"/>
            <w:noWrap/>
            <w:vAlign w:val="center"/>
            <w:hideMark/>
          </w:tcPr>
          <w:p w14:paraId="1A6C033E" w14:textId="77777777" w:rsidR="00B322B7" w:rsidRPr="00B322B7" w:rsidRDefault="00B322B7" w:rsidP="005E2E4F">
            <w:pPr>
              <w:jc w:val="center"/>
              <w:rPr>
                <w:color w:val="000000"/>
                <w:sz w:val="22"/>
                <w:szCs w:val="22"/>
              </w:rPr>
            </w:pPr>
            <w:r w:rsidRPr="00B322B7">
              <w:rPr>
                <w:color w:val="000000"/>
                <w:sz w:val="22"/>
                <w:szCs w:val="22"/>
              </w:rPr>
              <w:t>1,561</w:t>
            </w:r>
          </w:p>
        </w:tc>
        <w:tc>
          <w:tcPr>
            <w:tcW w:w="1260" w:type="dxa"/>
            <w:tcBorders>
              <w:top w:val="nil"/>
              <w:left w:val="nil"/>
              <w:bottom w:val="single" w:sz="4" w:space="0" w:color="auto"/>
              <w:right w:val="single" w:sz="4" w:space="0" w:color="auto"/>
            </w:tcBorders>
            <w:shd w:val="clear" w:color="auto" w:fill="auto"/>
            <w:noWrap/>
            <w:vAlign w:val="center"/>
            <w:hideMark/>
          </w:tcPr>
          <w:p w14:paraId="3CC51B98" w14:textId="77777777" w:rsidR="00B322B7" w:rsidRPr="00B322B7" w:rsidRDefault="00B322B7" w:rsidP="005E2E4F">
            <w:pPr>
              <w:jc w:val="center"/>
              <w:rPr>
                <w:color w:val="000000"/>
                <w:sz w:val="22"/>
                <w:szCs w:val="22"/>
              </w:rPr>
            </w:pPr>
            <w:r w:rsidRPr="00B322B7">
              <w:rPr>
                <w:color w:val="000000"/>
                <w:sz w:val="22"/>
                <w:szCs w:val="22"/>
              </w:rPr>
              <w:t>4</w:t>
            </w:r>
          </w:p>
        </w:tc>
        <w:tc>
          <w:tcPr>
            <w:tcW w:w="1260" w:type="dxa"/>
            <w:tcBorders>
              <w:top w:val="nil"/>
              <w:left w:val="nil"/>
              <w:bottom w:val="single" w:sz="4" w:space="0" w:color="auto"/>
              <w:right w:val="single" w:sz="4" w:space="0" w:color="auto"/>
            </w:tcBorders>
            <w:shd w:val="clear" w:color="auto" w:fill="auto"/>
            <w:noWrap/>
            <w:vAlign w:val="center"/>
            <w:hideMark/>
          </w:tcPr>
          <w:p w14:paraId="70C0674A" w14:textId="77777777" w:rsidR="00B322B7" w:rsidRPr="00B322B7" w:rsidRDefault="00B322B7" w:rsidP="005E2E4F">
            <w:pPr>
              <w:jc w:val="center"/>
              <w:rPr>
                <w:color w:val="000000"/>
                <w:sz w:val="22"/>
                <w:szCs w:val="22"/>
              </w:rPr>
            </w:pPr>
            <w:r w:rsidRPr="00B322B7">
              <w:rPr>
                <w:color w:val="000000"/>
                <w:sz w:val="22"/>
                <w:szCs w:val="22"/>
              </w:rPr>
              <w:t>259</w:t>
            </w:r>
          </w:p>
        </w:tc>
        <w:tc>
          <w:tcPr>
            <w:tcW w:w="1372" w:type="dxa"/>
            <w:tcBorders>
              <w:top w:val="nil"/>
              <w:left w:val="nil"/>
              <w:bottom w:val="single" w:sz="4" w:space="0" w:color="auto"/>
              <w:right w:val="single" w:sz="4" w:space="0" w:color="auto"/>
            </w:tcBorders>
            <w:shd w:val="clear" w:color="auto" w:fill="auto"/>
            <w:noWrap/>
            <w:vAlign w:val="center"/>
            <w:hideMark/>
          </w:tcPr>
          <w:p w14:paraId="20477041" w14:textId="77777777" w:rsidR="00B322B7" w:rsidRPr="00B322B7" w:rsidRDefault="00B322B7" w:rsidP="005E2E4F">
            <w:pPr>
              <w:jc w:val="center"/>
              <w:rPr>
                <w:color w:val="000000"/>
                <w:sz w:val="22"/>
                <w:szCs w:val="22"/>
              </w:rPr>
            </w:pPr>
            <w:r w:rsidRPr="00B322B7">
              <w:rPr>
                <w:color w:val="000000"/>
                <w:sz w:val="22"/>
                <w:szCs w:val="22"/>
              </w:rPr>
              <w:t>4</w:t>
            </w:r>
          </w:p>
        </w:tc>
        <w:tc>
          <w:tcPr>
            <w:tcW w:w="886" w:type="dxa"/>
            <w:tcBorders>
              <w:top w:val="nil"/>
              <w:left w:val="nil"/>
              <w:bottom w:val="single" w:sz="4" w:space="0" w:color="auto"/>
              <w:right w:val="single" w:sz="4" w:space="0" w:color="auto"/>
            </w:tcBorders>
            <w:shd w:val="clear" w:color="auto" w:fill="auto"/>
            <w:noWrap/>
            <w:vAlign w:val="center"/>
            <w:hideMark/>
          </w:tcPr>
          <w:p w14:paraId="6FAA3684" w14:textId="77777777" w:rsidR="00B322B7" w:rsidRPr="00B322B7" w:rsidRDefault="00B322B7" w:rsidP="005E2E4F">
            <w:pPr>
              <w:jc w:val="center"/>
              <w:rPr>
                <w:color w:val="000000"/>
                <w:sz w:val="22"/>
                <w:szCs w:val="22"/>
              </w:rPr>
            </w:pPr>
            <w:r w:rsidRPr="00B322B7">
              <w:rPr>
                <w:color w:val="000000"/>
                <w:sz w:val="22"/>
                <w:szCs w:val="22"/>
              </w:rPr>
              <w:t>0.28%</w:t>
            </w:r>
          </w:p>
        </w:tc>
        <w:tc>
          <w:tcPr>
            <w:tcW w:w="1040" w:type="dxa"/>
            <w:tcBorders>
              <w:top w:val="nil"/>
              <w:left w:val="nil"/>
              <w:bottom w:val="single" w:sz="4" w:space="0" w:color="auto"/>
              <w:right w:val="single" w:sz="4" w:space="0" w:color="auto"/>
            </w:tcBorders>
            <w:shd w:val="clear" w:color="auto" w:fill="auto"/>
            <w:noWrap/>
            <w:vAlign w:val="center"/>
            <w:hideMark/>
          </w:tcPr>
          <w:p w14:paraId="6FFA5C0A" w14:textId="77777777" w:rsidR="00B322B7" w:rsidRPr="00B322B7" w:rsidRDefault="00B322B7" w:rsidP="005E2E4F">
            <w:pPr>
              <w:jc w:val="center"/>
              <w:rPr>
                <w:color w:val="000000"/>
                <w:sz w:val="22"/>
                <w:szCs w:val="22"/>
              </w:rPr>
            </w:pPr>
            <w:r w:rsidRPr="00B322B7">
              <w:rPr>
                <w:color w:val="000000"/>
                <w:sz w:val="22"/>
                <w:szCs w:val="22"/>
              </w:rPr>
              <w:t>1.52%</w:t>
            </w:r>
          </w:p>
        </w:tc>
      </w:tr>
    </w:tbl>
    <w:p w14:paraId="7790731D" w14:textId="77777777" w:rsidR="00B322B7" w:rsidRDefault="00B322B7" w:rsidP="00B322B7">
      <w:r>
        <w:rPr>
          <w:rFonts w:ascii="Arial" w:hAnsi="Arial" w:cs="Arial"/>
          <w:sz w:val="20"/>
          <w:szCs w:val="20"/>
        </w:rPr>
        <w:t>Source: SEFSC Online Economic Query System, October 13, 2016.</w:t>
      </w:r>
    </w:p>
    <w:p w14:paraId="7B9D0EF3" w14:textId="77777777" w:rsidR="00B322B7" w:rsidRDefault="00B322B7" w:rsidP="00B322B7">
      <w:pPr>
        <w:ind w:firstLine="360"/>
      </w:pPr>
    </w:p>
    <w:p w14:paraId="53538460" w14:textId="77777777" w:rsidR="00B322B7" w:rsidRDefault="00B322B7" w:rsidP="00B322B7">
      <w:pPr>
        <w:ind w:firstLine="360"/>
      </w:pPr>
    </w:p>
    <w:p w14:paraId="460A39B5" w14:textId="77777777" w:rsidR="00B322B7" w:rsidRDefault="00B322B7" w:rsidP="00B322B7">
      <w:pPr>
        <w:ind w:firstLine="360"/>
      </w:pPr>
      <w:r>
        <w:t xml:space="preserve">An average of 4 vessels made 4 trips annually that landed more than 500 lbs ww of mutton snapper from 2011 through 2015.  The average loss is estimated to be 425 lbs gw of mutton snapper per trip with a dockside value of $1,258 (2015 $).  That loss ($1,258) represents </w:t>
      </w:r>
      <w:r>
        <w:lastRenderedPageBreak/>
        <w:t xml:space="preserve">approximately 2.6% of the average vessel’s annual dockside revenue from all landings, which is $47,708.  However, those 4 vessels have annual dockside revenue much greater than the average vessel.  Some vessels landed over 1,000 lbs gw and closer to 2,000 lbs gw of mutton snapper per trip during the 5-year period from 2011 through 2015.  Whereas, the average vessel landed 38 lbs gw per trip and its annual dockside revenue (2015 $) from mutton snapper landings was $672.  </w:t>
      </w:r>
    </w:p>
    <w:p w14:paraId="11549EA3" w14:textId="77777777" w:rsidR="00B322B7" w:rsidRDefault="00B322B7" w:rsidP="00B322B7">
      <w:pPr>
        <w:ind w:firstLine="360"/>
      </w:pPr>
    </w:p>
    <w:p w14:paraId="76568A6F" w14:textId="77777777" w:rsidR="00B322B7" w:rsidRPr="00B322B7" w:rsidRDefault="00B322B7" w:rsidP="00B322B7">
      <w:pPr>
        <w:rPr>
          <w:rFonts w:ascii="Arial" w:eastAsiaTheme="majorEastAsia" w:hAnsi="Arial" w:cs="Arial"/>
          <w:b/>
          <w:sz w:val="28"/>
          <w:szCs w:val="28"/>
        </w:rPr>
      </w:pPr>
      <w:bookmarkStart w:id="423" w:name="_Toc370217378"/>
      <w:r w:rsidRPr="00B322B7">
        <w:rPr>
          <w:rFonts w:ascii="Arial" w:eastAsiaTheme="majorEastAsia" w:hAnsi="Arial" w:cs="Arial"/>
          <w:b/>
          <w:sz w:val="28"/>
          <w:szCs w:val="28"/>
        </w:rPr>
        <w:t>Significance of economic impacts on a substantial number of small entities</w:t>
      </w:r>
      <w:bookmarkEnd w:id="423"/>
    </w:p>
    <w:p w14:paraId="7109BF81" w14:textId="77777777" w:rsidR="00B322B7" w:rsidRDefault="00B322B7" w:rsidP="00B322B7">
      <w:pPr>
        <w:ind w:firstLine="360"/>
      </w:pPr>
    </w:p>
    <w:p w14:paraId="1E04A962" w14:textId="77777777" w:rsidR="00B322B7" w:rsidRDefault="00B322B7" w:rsidP="00B322B7">
      <w:pPr>
        <w:autoSpaceDE w:val="0"/>
        <w:autoSpaceDN w:val="0"/>
        <w:adjustRightInd w:val="0"/>
        <w:ind w:firstLine="360"/>
        <w:rPr>
          <w:rFonts w:eastAsia="Calibri"/>
          <w:sz w:val="23"/>
          <w:szCs w:val="23"/>
        </w:rPr>
      </w:pPr>
      <w:r>
        <w:t xml:space="preserve">The adverse impacts of the rule on small commercial fishing businesses are summarized in </w:t>
      </w:r>
      <w:r>
        <w:rPr>
          <w:b/>
        </w:rPr>
        <w:t>Table F-</w:t>
      </w:r>
      <w:r w:rsidRPr="007B435F">
        <w:rPr>
          <w:b/>
        </w:rPr>
        <w:t>1</w:t>
      </w:r>
      <w:r>
        <w:rPr>
          <w:b/>
        </w:rPr>
        <w:t>2</w:t>
      </w:r>
      <w:r>
        <w:t xml:space="preserve"> below, and it</w:t>
      </w:r>
      <w:r w:rsidRPr="00521D58">
        <w:rPr>
          <w:rFonts w:eastAsia="Calibri"/>
          <w:sz w:val="23"/>
          <w:szCs w:val="23"/>
        </w:rPr>
        <w:t xml:space="preserve"> is concluded that this rule would not have a significant economic impact on a substantial number of small entities under the RFA, 5 U.S.C. 601 et seq.  </w:t>
      </w:r>
    </w:p>
    <w:p w14:paraId="33E2CF45" w14:textId="77777777" w:rsidR="00B322B7" w:rsidRPr="00521D58" w:rsidRDefault="00B322B7" w:rsidP="00B322B7">
      <w:pPr>
        <w:autoSpaceDE w:val="0"/>
        <w:autoSpaceDN w:val="0"/>
        <w:adjustRightInd w:val="0"/>
        <w:rPr>
          <w:rFonts w:eastAsia="Calibri"/>
          <w:sz w:val="23"/>
          <w:szCs w:val="23"/>
        </w:rPr>
      </w:pPr>
    </w:p>
    <w:p w14:paraId="1F366C86" w14:textId="77777777" w:rsidR="00B322B7" w:rsidRDefault="00B322B7" w:rsidP="00B322B7">
      <w:pPr>
        <w:ind w:firstLine="360"/>
      </w:pPr>
    </w:p>
    <w:p w14:paraId="05EE1E16" w14:textId="77777777" w:rsidR="00B322B7" w:rsidRDefault="00B322B7" w:rsidP="00B322B7">
      <w:pPr>
        <w:rPr>
          <w:rFonts w:ascii="Arial" w:hAnsi="Arial" w:cs="Arial"/>
          <w:sz w:val="20"/>
          <w:szCs w:val="20"/>
        </w:rPr>
      </w:pPr>
      <w:r w:rsidRPr="00026A0D">
        <w:rPr>
          <w:rFonts w:ascii="Arial" w:hAnsi="Arial" w:cs="Arial"/>
          <w:b/>
          <w:sz w:val="20"/>
          <w:szCs w:val="20"/>
        </w:rPr>
        <w:t xml:space="preserve">Table </w:t>
      </w:r>
      <w:r>
        <w:rPr>
          <w:rFonts w:ascii="Arial" w:hAnsi="Arial" w:cs="Arial"/>
          <w:b/>
          <w:sz w:val="20"/>
          <w:szCs w:val="20"/>
        </w:rPr>
        <w:t>F-12</w:t>
      </w:r>
      <w:r w:rsidRPr="00026A0D">
        <w:rPr>
          <w:rFonts w:ascii="Arial" w:hAnsi="Arial" w:cs="Arial"/>
          <w:b/>
          <w:sz w:val="20"/>
          <w:szCs w:val="20"/>
        </w:rPr>
        <w:t>.</w:t>
      </w:r>
      <w:r w:rsidRPr="00026A0D">
        <w:rPr>
          <w:rFonts w:ascii="Arial" w:hAnsi="Arial" w:cs="Arial"/>
          <w:sz w:val="20"/>
          <w:szCs w:val="20"/>
        </w:rPr>
        <w:t xml:space="preserve">  </w:t>
      </w:r>
      <w:r>
        <w:rPr>
          <w:rFonts w:ascii="Arial" w:hAnsi="Arial" w:cs="Arial"/>
          <w:sz w:val="20"/>
          <w:szCs w:val="20"/>
        </w:rPr>
        <w:t>Average Annual Number of Small Businesses and Vessels Affected and Average Annual Cost of Action per Vessel.</w:t>
      </w:r>
    </w:p>
    <w:tbl>
      <w:tblPr>
        <w:tblW w:w="9483" w:type="dxa"/>
        <w:tblInd w:w="93" w:type="dxa"/>
        <w:tblLook w:val="04A0" w:firstRow="1" w:lastRow="0" w:firstColumn="1" w:lastColumn="0" w:noHBand="0" w:noVBand="1"/>
      </w:tblPr>
      <w:tblGrid>
        <w:gridCol w:w="783"/>
        <w:gridCol w:w="2383"/>
        <w:gridCol w:w="1252"/>
        <w:gridCol w:w="1657"/>
        <w:gridCol w:w="2154"/>
        <w:gridCol w:w="1254"/>
      </w:tblGrid>
      <w:tr w:rsidR="00B322B7" w:rsidRPr="00E00B03" w14:paraId="38EE9428" w14:textId="77777777" w:rsidTr="005E2E4F">
        <w:trPr>
          <w:trHeight w:val="559"/>
        </w:trPr>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04D775" w14:textId="77777777" w:rsidR="00B322B7" w:rsidRPr="006873E4" w:rsidRDefault="00B322B7" w:rsidP="005E2E4F">
            <w:pPr>
              <w:jc w:val="center"/>
              <w:rPr>
                <w:b/>
                <w:bCs/>
                <w:color w:val="000000"/>
                <w:sz w:val="20"/>
                <w:szCs w:val="20"/>
              </w:rPr>
            </w:pPr>
            <w:r w:rsidRPr="006873E4">
              <w:rPr>
                <w:b/>
                <w:bCs/>
                <w:color w:val="000000"/>
                <w:sz w:val="20"/>
                <w:szCs w:val="20"/>
              </w:rPr>
              <w:t>Action</w:t>
            </w:r>
          </w:p>
        </w:tc>
        <w:tc>
          <w:tcPr>
            <w:tcW w:w="23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3CA7674" w14:textId="77777777" w:rsidR="00B322B7" w:rsidRPr="006873E4" w:rsidRDefault="00B322B7" w:rsidP="005E2E4F">
            <w:pPr>
              <w:jc w:val="center"/>
              <w:rPr>
                <w:b/>
                <w:bCs/>
                <w:color w:val="000000"/>
                <w:sz w:val="20"/>
                <w:szCs w:val="20"/>
              </w:rPr>
            </w:pPr>
            <w:r>
              <w:rPr>
                <w:b/>
                <w:bCs/>
                <w:color w:val="000000"/>
                <w:sz w:val="20"/>
                <w:szCs w:val="20"/>
              </w:rPr>
              <w:t>Brief d</w:t>
            </w:r>
            <w:r w:rsidRPr="006873E4">
              <w:rPr>
                <w:b/>
                <w:bCs/>
                <w:color w:val="000000"/>
                <w:sz w:val="20"/>
                <w:szCs w:val="20"/>
              </w:rPr>
              <w:t>escription</w:t>
            </w:r>
          </w:p>
        </w:tc>
        <w:tc>
          <w:tcPr>
            <w:tcW w:w="12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2EF68A" w14:textId="77777777" w:rsidR="00B322B7" w:rsidRPr="006873E4" w:rsidRDefault="00B322B7" w:rsidP="005E2E4F">
            <w:pPr>
              <w:jc w:val="center"/>
              <w:rPr>
                <w:b/>
                <w:bCs/>
                <w:color w:val="000000"/>
                <w:sz w:val="20"/>
                <w:szCs w:val="20"/>
              </w:rPr>
            </w:pPr>
            <w:r>
              <w:rPr>
                <w:b/>
                <w:bCs/>
                <w:color w:val="000000"/>
                <w:sz w:val="20"/>
                <w:szCs w:val="20"/>
              </w:rPr>
              <w:t>Average n</w:t>
            </w:r>
            <w:r w:rsidRPr="006873E4">
              <w:rPr>
                <w:b/>
                <w:bCs/>
                <w:color w:val="000000"/>
                <w:sz w:val="20"/>
                <w:szCs w:val="20"/>
              </w:rPr>
              <w:t xml:space="preserve">umber </w:t>
            </w:r>
            <w:r>
              <w:rPr>
                <w:b/>
                <w:bCs/>
                <w:color w:val="000000"/>
                <w:sz w:val="20"/>
                <w:szCs w:val="20"/>
              </w:rPr>
              <w:t>of small b</w:t>
            </w:r>
            <w:r w:rsidRPr="006873E4">
              <w:rPr>
                <w:b/>
                <w:bCs/>
                <w:color w:val="000000"/>
                <w:sz w:val="20"/>
                <w:szCs w:val="20"/>
              </w:rPr>
              <w:t>usinesses</w:t>
            </w:r>
            <w:r>
              <w:rPr>
                <w:b/>
                <w:bCs/>
                <w:color w:val="000000"/>
                <w:sz w:val="20"/>
                <w:szCs w:val="20"/>
              </w:rPr>
              <w:t xml:space="preserve"> annually a</w:t>
            </w:r>
            <w:r w:rsidRPr="006873E4">
              <w:rPr>
                <w:b/>
                <w:bCs/>
                <w:color w:val="000000"/>
                <w:sz w:val="20"/>
                <w:szCs w:val="20"/>
              </w:rPr>
              <w:t>ffected</w:t>
            </w:r>
          </w:p>
        </w:tc>
        <w:tc>
          <w:tcPr>
            <w:tcW w:w="165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B4E108" w14:textId="77777777" w:rsidR="00B322B7" w:rsidRPr="006873E4" w:rsidRDefault="00B322B7" w:rsidP="005E2E4F">
            <w:pPr>
              <w:jc w:val="center"/>
              <w:rPr>
                <w:b/>
                <w:bCs/>
                <w:color w:val="000000"/>
                <w:sz w:val="20"/>
                <w:szCs w:val="20"/>
              </w:rPr>
            </w:pPr>
            <w:r>
              <w:rPr>
                <w:b/>
                <w:bCs/>
                <w:color w:val="000000"/>
                <w:sz w:val="20"/>
                <w:szCs w:val="20"/>
              </w:rPr>
              <w:t>Average number of vessels annually a</w:t>
            </w:r>
            <w:r w:rsidRPr="006873E4">
              <w:rPr>
                <w:b/>
                <w:bCs/>
                <w:color w:val="000000"/>
                <w:sz w:val="20"/>
                <w:szCs w:val="20"/>
              </w:rPr>
              <w:t>ffected</w:t>
            </w:r>
          </w:p>
        </w:tc>
        <w:tc>
          <w:tcPr>
            <w:tcW w:w="215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B299BA9" w14:textId="77777777" w:rsidR="00B322B7" w:rsidRPr="006873E4" w:rsidRDefault="00B322B7" w:rsidP="005E2E4F">
            <w:pPr>
              <w:jc w:val="center"/>
              <w:rPr>
                <w:b/>
                <w:bCs/>
                <w:color w:val="000000"/>
                <w:sz w:val="20"/>
                <w:szCs w:val="20"/>
              </w:rPr>
            </w:pPr>
            <w:r>
              <w:rPr>
                <w:b/>
                <w:bCs/>
                <w:color w:val="000000"/>
                <w:sz w:val="20"/>
                <w:szCs w:val="20"/>
              </w:rPr>
              <w:t>Expected average annual adverse i</w:t>
            </w:r>
            <w:r w:rsidRPr="006873E4">
              <w:rPr>
                <w:b/>
                <w:bCs/>
                <w:color w:val="000000"/>
                <w:sz w:val="20"/>
                <w:szCs w:val="20"/>
              </w:rPr>
              <w:t>mpact (2015 $)</w:t>
            </w:r>
          </w:p>
        </w:tc>
        <w:tc>
          <w:tcPr>
            <w:tcW w:w="125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645A599" w14:textId="77777777" w:rsidR="00B322B7" w:rsidRPr="006873E4" w:rsidRDefault="00B322B7" w:rsidP="005E2E4F">
            <w:pPr>
              <w:jc w:val="center"/>
              <w:rPr>
                <w:b/>
                <w:bCs/>
                <w:color w:val="000000"/>
                <w:sz w:val="20"/>
                <w:szCs w:val="20"/>
              </w:rPr>
            </w:pPr>
            <w:r>
              <w:rPr>
                <w:b/>
                <w:bCs/>
                <w:color w:val="000000"/>
                <w:sz w:val="20"/>
                <w:szCs w:val="20"/>
              </w:rPr>
              <w:t>Expected average percentage revenue l</w:t>
            </w:r>
            <w:r w:rsidRPr="006873E4">
              <w:rPr>
                <w:b/>
                <w:bCs/>
                <w:color w:val="000000"/>
                <w:sz w:val="20"/>
                <w:szCs w:val="20"/>
              </w:rPr>
              <w:t>oss</w:t>
            </w:r>
          </w:p>
        </w:tc>
      </w:tr>
      <w:tr w:rsidR="00B322B7" w:rsidRPr="00E00B03" w14:paraId="5DDB8009" w14:textId="77777777" w:rsidTr="005E2E4F">
        <w:trPr>
          <w:trHeight w:val="294"/>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14:paraId="33B69780" w14:textId="77777777" w:rsidR="00B322B7" w:rsidRPr="00E00B03" w:rsidRDefault="00B322B7" w:rsidP="005E2E4F">
            <w:pPr>
              <w:jc w:val="center"/>
              <w:rPr>
                <w:b/>
                <w:bCs/>
                <w:color w:val="000000"/>
                <w:sz w:val="20"/>
                <w:szCs w:val="20"/>
              </w:rPr>
            </w:pPr>
            <w:r w:rsidRPr="00E00B03">
              <w:rPr>
                <w:b/>
                <w:bCs/>
                <w:color w:val="000000"/>
                <w:sz w:val="20"/>
                <w:szCs w:val="20"/>
              </w:rPr>
              <w:t>1</w:t>
            </w:r>
          </w:p>
        </w:tc>
        <w:tc>
          <w:tcPr>
            <w:tcW w:w="2383" w:type="dxa"/>
            <w:tcBorders>
              <w:top w:val="nil"/>
              <w:left w:val="nil"/>
              <w:bottom w:val="single" w:sz="4" w:space="0" w:color="auto"/>
              <w:right w:val="single" w:sz="4" w:space="0" w:color="auto"/>
            </w:tcBorders>
            <w:shd w:val="clear" w:color="auto" w:fill="auto"/>
            <w:noWrap/>
            <w:vAlign w:val="center"/>
            <w:hideMark/>
          </w:tcPr>
          <w:p w14:paraId="7EDEE296" w14:textId="77777777" w:rsidR="00B322B7" w:rsidRPr="00E00B03" w:rsidRDefault="00B322B7" w:rsidP="005E2E4F">
            <w:pPr>
              <w:rPr>
                <w:color w:val="000000"/>
                <w:sz w:val="20"/>
                <w:szCs w:val="20"/>
              </w:rPr>
            </w:pPr>
            <w:r w:rsidRPr="00E00B03">
              <w:rPr>
                <w:color w:val="000000"/>
                <w:sz w:val="20"/>
                <w:szCs w:val="20"/>
              </w:rPr>
              <w:t>Specify MSY</w:t>
            </w:r>
          </w:p>
        </w:tc>
        <w:tc>
          <w:tcPr>
            <w:tcW w:w="1252" w:type="dxa"/>
            <w:tcBorders>
              <w:top w:val="nil"/>
              <w:left w:val="nil"/>
              <w:bottom w:val="single" w:sz="4" w:space="0" w:color="auto"/>
              <w:right w:val="single" w:sz="4" w:space="0" w:color="auto"/>
            </w:tcBorders>
            <w:shd w:val="clear" w:color="auto" w:fill="auto"/>
            <w:noWrap/>
            <w:vAlign w:val="center"/>
            <w:hideMark/>
          </w:tcPr>
          <w:p w14:paraId="47A79392" w14:textId="77777777" w:rsidR="00B322B7" w:rsidRPr="00E00B03" w:rsidRDefault="00B322B7" w:rsidP="005E2E4F">
            <w:pPr>
              <w:jc w:val="center"/>
              <w:rPr>
                <w:color w:val="000000"/>
                <w:sz w:val="20"/>
                <w:szCs w:val="20"/>
              </w:rPr>
            </w:pPr>
            <w:r w:rsidRPr="00E00B03">
              <w:rPr>
                <w:color w:val="000000"/>
                <w:sz w:val="20"/>
                <w:szCs w:val="20"/>
              </w:rPr>
              <w:t>219</w:t>
            </w:r>
          </w:p>
        </w:tc>
        <w:tc>
          <w:tcPr>
            <w:tcW w:w="1657" w:type="dxa"/>
            <w:tcBorders>
              <w:top w:val="nil"/>
              <w:left w:val="nil"/>
              <w:bottom w:val="single" w:sz="4" w:space="0" w:color="auto"/>
              <w:right w:val="single" w:sz="4" w:space="0" w:color="auto"/>
            </w:tcBorders>
            <w:shd w:val="clear" w:color="auto" w:fill="auto"/>
            <w:noWrap/>
            <w:vAlign w:val="center"/>
            <w:hideMark/>
          </w:tcPr>
          <w:p w14:paraId="02D52448" w14:textId="77777777" w:rsidR="00B322B7" w:rsidRPr="00E00B03" w:rsidRDefault="00B322B7" w:rsidP="005E2E4F">
            <w:pPr>
              <w:jc w:val="center"/>
              <w:rPr>
                <w:color w:val="000000"/>
                <w:sz w:val="20"/>
                <w:szCs w:val="20"/>
              </w:rPr>
            </w:pPr>
            <w:r w:rsidRPr="00E00B03">
              <w:rPr>
                <w:color w:val="000000"/>
                <w:sz w:val="20"/>
                <w:szCs w:val="20"/>
              </w:rPr>
              <w:t>263</w:t>
            </w:r>
          </w:p>
        </w:tc>
        <w:tc>
          <w:tcPr>
            <w:tcW w:w="3408" w:type="dxa"/>
            <w:gridSpan w:val="2"/>
            <w:tcBorders>
              <w:top w:val="nil"/>
              <w:left w:val="nil"/>
              <w:bottom w:val="single" w:sz="4" w:space="0" w:color="auto"/>
              <w:right w:val="single" w:sz="4" w:space="0" w:color="auto"/>
            </w:tcBorders>
            <w:shd w:val="clear" w:color="auto" w:fill="auto"/>
            <w:noWrap/>
            <w:vAlign w:val="bottom"/>
            <w:hideMark/>
          </w:tcPr>
          <w:p w14:paraId="45DD8246" w14:textId="77777777" w:rsidR="00B322B7" w:rsidRPr="00E00B03" w:rsidRDefault="00B322B7" w:rsidP="005E2E4F">
            <w:pPr>
              <w:jc w:val="center"/>
              <w:rPr>
                <w:color w:val="000000"/>
              </w:rPr>
            </w:pPr>
            <w:r w:rsidRPr="00E00B03">
              <w:rPr>
                <w:color w:val="000000"/>
              </w:rPr>
              <w:t>No direct impact</w:t>
            </w:r>
          </w:p>
        </w:tc>
      </w:tr>
      <w:tr w:rsidR="00B322B7" w:rsidRPr="00E00B03" w14:paraId="6F22E0BC" w14:textId="77777777" w:rsidTr="005E2E4F">
        <w:trPr>
          <w:trHeight w:val="294"/>
        </w:trPr>
        <w:tc>
          <w:tcPr>
            <w:tcW w:w="78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8CBCA7C" w14:textId="77777777" w:rsidR="00B322B7" w:rsidRPr="00E00B03" w:rsidRDefault="00B322B7" w:rsidP="005E2E4F">
            <w:pPr>
              <w:jc w:val="center"/>
              <w:rPr>
                <w:b/>
                <w:bCs/>
                <w:color w:val="000000"/>
                <w:sz w:val="20"/>
                <w:szCs w:val="20"/>
              </w:rPr>
            </w:pPr>
            <w:r w:rsidRPr="00E00B03">
              <w:rPr>
                <w:b/>
                <w:bCs/>
                <w:color w:val="000000"/>
                <w:sz w:val="20"/>
                <w:szCs w:val="20"/>
              </w:rPr>
              <w:t>2</w:t>
            </w:r>
          </w:p>
        </w:tc>
        <w:tc>
          <w:tcPr>
            <w:tcW w:w="2383" w:type="dxa"/>
            <w:tcBorders>
              <w:top w:val="nil"/>
              <w:left w:val="nil"/>
              <w:bottom w:val="single" w:sz="4" w:space="0" w:color="auto"/>
              <w:right w:val="single" w:sz="4" w:space="0" w:color="auto"/>
            </w:tcBorders>
            <w:shd w:val="clear" w:color="auto" w:fill="F2F2F2" w:themeFill="background1" w:themeFillShade="F2"/>
            <w:noWrap/>
            <w:vAlign w:val="center"/>
            <w:hideMark/>
          </w:tcPr>
          <w:p w14:paraId="4D23E27E" w14:textId="77777777" w:rsidR="00B322B7" w:rsidRPr="00E00B03" w:rsidRDefault="00B322B7" w:rsidP="005E2E4F">
            <w:pPr>
              <w:rPr>
                <w:color w:val="000000"/>
                <w:sz w:val="20"/>
                <w:szCs w:val="20"/>
              </w:rPr>
            </w:pPr>
            <w:r w:rsidRPr="00E00B03">
              <w:rPr>
                <w:color w:val="000000"/>
                <w:sz w:val="20"/>
                <w:szCs w:val="20"/>
              </w:rPr>
              <w:t>Specify MSST</w:t>
            </w:r>
          </w:p>
        </w:tc>
        <w:tc>
          <w:tcPr>
            <w:tcW w:w="1252" w:type="dxa"/>
            <w:tcBorders>
              <w:top w:val="nil"/>
              <w:left w:val="nil"/>
              <w:bottom w:val="single" w:sz="4" w:space="0" w:color="auto"/>
              <w:right w:val="single" w:sz="4" w:space="0" w:color="auto"/>
            </w:tcBorders>
            <w:shd w:val="clear" w:color="auto" w:fill="F2F2F2" w:themeFill="background1" w:themeFillShade="F2"/>
            <w:noWrap/>
            <w:vAlign w:val="center"/>
            <w:hideMark/>
          </w:tcPr>
          <w:p w14:paraId="74B4E7BE" w14:textId="77777777" w:rsidR="00B322B7" w:rsidRPr="00E00B03" w:rsidRDefault="00B322B7" w:rsidP="005E2E4F">
            <w:pPr>
              <w:jc w:val="center"/>
              <w:rPr>
                <w:color w:val="000000"/>
                <w:sz w:val="20"/>
                <w:szCs w:val="20"/>
              </w:rPr>
            </w:pPr>
            <w:r w:rsidRPr="00E00B03">
              <w:rPr>
                <w:color w:val="000000"/>
                <w:sz w:val="20"/>
                <w:szCs w:val="20"/>
              </w:rPr>
              <w:t>219</w:t>
            </w:r>
          </w:p>
        </w:tc>
        <w:tc>
          <w:tcPr>
            <w:tcW w:w="1657" w:type="dxa"/>
            <w:tcBorders>
              <w:top w:val="nil"/>
              <w:left w:val="nil"/>
              <w:bottom w:val="single" w:sz="4" w:space="0" w:color="auto"/>
              <w:right w:val="single" w:sz="4" w:space="0" w:color="auto"/>
            </w:tcBorders>
            <w:shd w:val="clear" w:color="auto" w:fill="F2F2F2" w:themeFill="background1" w:themeFillShade="F2"/>
            <w:noWrap/>
            <w:vAlign w:val="center"/>
            <w:hideMark/>
          </w:tcPr>
          <w:p w14:paraId="5B2B5A69" w14:textId="77777777" w:rsidR="00B322B7" w:rsidRPr="00E00B03" w:rsidRDefault="00B322B7" w:rsidP="005E2E4F">
            <w:pPr>
              <w:jc w:val="center"/>
              <w:rPr>
                <w:color w:val="000000"/>
                <w:sz w:val="20"/>
                <w:szCs w:val="20"/>
              </w:rPr>
            </w:pPr>
            <w:r w:rsidRPr="00E00B03">
              <w:rPr>
                <w:color w:val="000000"/>
                <w:sz w:val="20"/>
                <w:szCs w:val="20"/>
              </w:rPr>
              <w:t>263</w:t>
            </w:r>
          </w:p>
        </w:tc>
        <w:tc>
          <w:tcPr>
            <w:tcW w:w="3408" w:type="dxa"/>
            <w:gridSpan w:val="2"/>
            <w:tcBorders>
              <w:top w:val="nil"/>
              <w:left w:val="nil"/>
              <w:bottom w:val="single" w:sz="4" w:space="0" w:color="auto"/>
              <w:right w:val="single" w:sz="4" w:space="0" w:color="auto"/>
            </w:tcBorders>
            <w:shd w:val="clear" w:color="auto" w:fill="F2F2F2" w:themeFill="background1" w:themeFillShade="F2"/>
            <w:noWrap/>
            <w:vAlign w:val="bottom"/>
            <w:hideMark/>
          </w:tcPr>
          <w:p w14:paraId="293847B0" w14:textId="77777777" w:rsidR="00B322B7" w:rsidRPr="00E00B03" w:rsidRDefault="00B322B7" w:rsidP="005E2E4F">
            <w:pPr>
              <w:jc w:val="center"/>
              <w:rPr>
                <w:color w:val="000000"/>
              </w:rPr>
            </w:pPr>
            <w:r w:rsidRPr="00E00B03">
              <w:rPr>
                <w:color w:val="000000"/>
              </w:rPr>
              <w:t>No direct impact</w:t>
            </w:r>
          </w:p>
        </w:tc>
      </w:tr>
      <w:tr w:rsidR="00B322B7" w:rsidRPr="00E00B03" w14:paraId="3701BF84" w14:textId="77777777" w:rsidTr="005E2E4F">
        <w:trPr>
          <w:trHeight w:val="294"/>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14:paraId="2814762C" w14:textId="77777777" w:rsidR="00B322B7" w:rsidRPr="00E00B03" w:rsidRDefault="00B322B7" w:rsidP="005E2E4F">
            <w:pPr>
              <w:jc w:val="center"/>
              <w:rPr>
                <w:b/>
                <w:bCs/>
                <w:color w:val="000000"/>
                <w:sz w:val="20"/>
                <w:szCs w:val="20"/>
              </w:rPr>
            </w:pPr>
            <w:r w:rsidRPr="00E00B03">
              <w:rPr>
                <w:b/>
                <w:bCs/>
                <w:color w:val="000000"/>
                <w:sz w:val="20"/>
                <w:szCs w:val="20"/>
              </w:rPr>
              <w:t>3</w:t>
            </w:r>
          </w:p>
        </w:tc>
        <w:tc>
          <w:tcPr>
            <w:tcW w:w="2383" w:type="dxa"/>
            <w:tcBorders>
              <w:top w:val="nil"/>
              <w:left w:val="nil"/>
              <w:bottom w:val="single" w:sz="4" w:space="0" w:color="auto"/>
              <w:right w:val="single" w:sz="4" w:space="0" w:color="auto"/>
            </w:tcBorders>
            <w:shd w:val="clear" w:color="auto" w:fill="auto"/>
            <w:noWrap/>
            <w:vAlign w:val="center"/>
            <w:hideMark/>
          </w:tcPr>
          <w:p w14:paraId="340642C9" w14:textId="77777777" w:rsidR="00B322B7" w:rsidRPr="00E00B03" w:rsidRDefault="00B322B7" w:rsidP="005E2E4F">
            <w:pPr>
              <w:rPr>
                <w:color w:val="000000"/>
                <w:sz w:val="20"/>
                <w:szCs w:val="20"/>
              </w:rPr>
            </w:pPr>
            <w:r w:rsidRPr="00E00B03">
              <w:rPr>
                <w:color w:val="000000"/>
                <w:sz w:val="20"/>
                <w:szCs w:val="20"/>
              </w:rPr>
              <w:t>Revise ACL</w:t>
            </w:r>
          </w:p>
        </w:tc>
        <w:tc>
          <w:tcPr>
            <w:tcW w:w="1252" w:type="dxa"/>
            <w:tcBorders>
              <w:top w:val="nil"/>
              <w:left w:val="nil"/>
              <w:bottom w:val="single" w:sz="4" w:space="0" w:color="auto"/>
              <w:right w:val="single" w:sz="4" w:space="0" w:color="auto"/>
            </w:tcBorders>
            <w:shd w:val="clear" w:color="auto" w:fill="auto"/>
            <w:noWrap/>
            <w:vAlign w:val="center"/>
            <w:hideMark/>
          </w:tcPr>
          <w:p w14:paraId="6F3CF9D3" w14:textId="77777777" w:rsidR="00B322B7" w:rsidRPr="00E00B03" w:rsidRDefault="00B322B7" w:rsidP="005E2E4F">
            <w:pPr>
              <w:jc w:val="center"/>
              <w:rPr>
                <w:color w:val="000000"/>
                <w:sz w:val="20"/>
                <w:szCs w:val="20"/>
              </w:rPr>
            </w:pPr>
            <w:r w:rsidRPr="00E00B03">
              <w:rPr>
                <w:color w:val="000000"/>
                <w:sz w:val="20"/>
                <w:szCs w:val="20"/>
              </w:rPr>
              <w:t>219</w:t>
            </w:r>
          </w:p>
        </w:tc>
        <w:tc>
          <w:tcPr>
            <w:tcW w:w="1657" w:type="dxa"/>
            <w:tcBorders>
              <w:top w:val="nil"/>
              <w:left w:val="nil"/>
              <w:bottom w:val="single" w:sz="4" w:space="0" w:color="auto"/>
              <w:right w:val="single" w:sz="4" w:space="0" w:color="auto"/>
            </w:tcBorders>
            <w:shd w:val="clear" w:color="auto" w:fill="auto"/>
            <w:noWrap/>
            <w:vAlign w:val="center"/>
            <w:hideMark/>
          </w:tcPr>
          <w:p w14:paraId="11490792" w14:textId="77777777" w:rsidR="00B322B7" w:rsidRPr="00E00B03" w:rsidRDefault="00B322B7" w:rsidP="005E2E4F">
            <w:pPr>
              <w:jc w:val="center"/>
              <w:rPr>
                <w:color w:val="000000"/>
                <w:sz w:val="20"/>
                <w:szCs w:val="20"/>
              </w:rPr>
            </w:pPr>
            <w:r w:rsidRPr="00E00B03">
              <w:rPr>
                <w:color w:val="000000"/>
                <w:sz w:val="20"/>
                <w:szCs w:val="20"/>
              </w:rPr>
              <w:t>263</w:t>
            </w:r>
          </w:p>
        </w:tc>
        <w:tc>
          <w:tcPr>
            <w:tcW w:w="2154" w:type="dxa"/>
            <w:tcBorders>
              <w:top w:val="nil"/>
              <w:left w:val="nil"/>
              <w:bottom w:val="single" w:sz="4" w:space="0" w:color="auto"/>
              <w:right w:val="single" w:sz="4" w:space="0" w:color="auto"/>
            </w:tcBorders>
            <w:shd w:val="clear" w:color="auto" w:fill="auto"/>
            <w:noWrap/>
            <w:vAlign w:val="bottom"/>
            <w:hideMark/>
          </w:tcPr>
          <w:p w14:paraId="39B41F84" w14:textId="77777777" w:rsidR="00B322B7" w:rsidRPr="00E00B03" w:rsidRDefault="00B322B7" w:rsidP="005E2E4F">
            <w:pPr>
              <w:jc w:val="center"/>
              <w:rPr>
                <w:color w:val="000000"/>
              </w:rPr>
            </w:pPr>
            <w:r>
              <w:rPr>
                <w:color w:val="000000"/>
              </w:rPr>
              <w:t>$0</w:t>
            </w:r>
          </w:p>
        </w:tc>
        <w:tc>
          <w:tcPr>
            <w:tcW w:w="1254" w:type="dxa"/>
            <w:tcBorders>
              <w:top w:val="nil"/>
              <w:left w:val="nil"/>
              <w:bottom w:val="single" w:sz="4" w:space="0" w:color="auto"/>
              <w:right w:val="single" w:sz="4" w:space="0" w:color="auto"/>
            </w:tcBorders>
            <w:vAlign w:val="bottom"/>
          </w:tcPr>
          <w:p w14:paraId="4E29DCA0" w14:textId="77777777" w:rsidR="00B322B7" w:rsidRDefault="00B322B7" w:rsidP="005E2E4F">
            <w:pPr>
              <w:jc w:val="center"/>
              <w:rPr>
                <w:color w:val="000000"/>
              </w:rPr>
            </w:pPr>
            <w:r>
              <w:rPr>
                <w:color w:val="000000"/>
              </w:rPr>
              <w:t>0%</w:t>
            </w:r>
          </w:p>
        </w:tc>
      </w:tr>
      <w:tr w:rsidR="00B322B7" w:rsidRPr="00E00B03" w14:paraId="37995C23" w14:textId="77777777" w:rsidTr="005E2E4F">
        <w:trPr>
          <w:trHeight w:val="294"/>
        </w:trPr>
        <w:tc>
          <w:tcPr>
            <w:tcW w:w="78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91CF92D" w14:textId="77777777" w:rsidR="00B322B7" w:rsidRPr="00E00B03" w:rsidRDefault="00B322B7" w:rsidP="005E2E4F">
            <w:pPr>
              <w:jc w:val="center"/>
              <w:rPr>
                <w:b/>
                <w:bCs/>
                <w:color w:val="000000"/>
                <w:sz w:val="20"/>
                <w:szCs w:val="20"/>
              </w:rPr>
            </w:pPr>
            <w:r w:rsidRPr="00E00B03">
              <w:rPr>
                <w:b/>
                <w:bCs/>
                <w:color w:val="000000"/>
                <w:sz w:val="20"/>
                <w:szCs w:val="20"/>
              </w:rPr>
              <w:t>4</w:t>
            </w:r>
          </w:p>
        </w:tc>
        <w:tc>
          <w:tcPr>
            <w:tcW w:w="2383" w:type="dxa"/>
            <w:tcBorders>
              <w:top w:val="nil"/>
              <w:left w:val="nil"/>
              <w:bottom w:val="single" w:sz="4" w:space="0" w:color="auto"/>
              <w:right w:val="single" w:sz="4" w:space="0" w:color="auto"/>
            </w:tcBorders>
            <w:shd w:val="clear" w:color="auto" w:fill="F2F2F2" w:themeFill="background1" w:themeFillShade="F2"/>
            <w:noWrap/>
            <w:vAlign w:val="center"/>
            <w:hideMark/>
          </w:tcPr>
          <w:p w14:paraId="47902577" w14:textId="77777777" w:rsidR="00B322B7" w:rsidRPr="00E00B03" w:rsidRDefault="00B322B7" w:rsidP="005E2E4F">
            <w:pPr>
              <w:rPr>
                <w:color w:val="000000"/>
                <w:sz w:val="20"/>
                <w:szCs w:val="20"/>
              </w:rPr>
            </w:pPr>
            <w:r w:rsidRPr="00E00B03">
              <w:rPr>
                <w:color w:val="000000"/>
                <w:sz w:val="20"/>
                <w:szCs w:val="20"/>
              </w:rPr>
              <w:t>Revise recreational ACT</w:t>
            </w:r>
          </w:p>
        </w:tc>
        <w:tc>
          <w:tcPr>
            <w:tcW w:w="6317" w:type="dxa"/>
            <w:gridSpan w:val="4"/>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FFA1234" w14:textId="77777777" w:rsidR="00B322B7" w:rsidRPr="00E00B03" w:rsidRDefault="00B322B7" w:rsidP="005E2E4F">
            <w:pPr>
              <w:jc w:val="center"/>
              <w:rPr>
                <w:color w:val="000000"/>
              </w:rPr>
            </w:pPr>
            <w:r>
              <w:rPr>
                <w:color w:val="000000"/>
              </w:rPr>
              <w:t>None</w:t>
            </w:r>
          </w:p>
        </w:tc>
      </w:tr>
      <w:tr w:rsidR="00B322B7" w:rsidRPr="00E00B03" w14:paraId="299CCF4D" w14:textId="77777777" w:rsidTr="005E2E4F">
        <w:trPr>
          <w:trHeight w:val="294"/>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11707F50" w14:textId="77777777" w:rsidR="00B322B7" w:rsidRPr="00E00B03" w:rsidRDefault="00B322B7" w:rsidP="005E2E4F">
            <w:pPr>
              <w:jc w:val="center"/>
              <w:rPr>
                <w:b/>
                <w:bCs/>
                <w:color w:val="000000"/>
                <w:sz w:val="20"/>
                <w:szCs w:val="20"/>
              </w:rPr>
            </w:pPr>
            <w:r w:rsidRPr="00E00B03">
              <w:rPr>
                <w:b/>
                <w:bCs/>
                <w:color w:val="000000"/>
                <w:sz w:val="20"/>
                <w:szCs w:val="20"/>
              </w:rPr>
              <w:t>5</w:t>
            </w:r>
          </w:p>
        </w:tc>
        <w:tc>
          <w:tcPr>
            <w:tcW w:w="2383" w:type="dxa"/>
            <w:tcBorders>
              <w:top w:val="nil"/>
              <w:left w:val="nil"/>
              <w:bottom w:val="single" w:sz="4" w:space="0" w:color="auto"/>
              <w:right w:val="single" w:sz="4" w:space="0" w:color="auto"/>
            </w:tcBorders>
            <w:shd w:val="clear" w:color="auto" w:fill="auto"/>
            <w:noWrap/>
            <w:vAlign w:val="center"/>
            <w:hideMark/>
          </w:tcPr>
          <w:p w14:paraId="23D0D650" w14:textId="77777777" w:rsidR="00B322B7" w:rsidRPr="00E00B03" w:rsidRDefault="00B322B7" w:rsidP="005E2E4F">
            <w:pPr>
              <w:rPr>
                <w:color w:val="000000"/>
                <w:sz w:val="20"/>
                <w:szCs w:val="20"/>
              </w:rPr>
            </w:pPr>
            <w:r w:rsidRPr="00E00B03">
              <w:rPr>
                <w:color w:val="000000"/>
                <w:sz w:val="20"/>
                <w:szCs w:val="20"/>
              </w:rPr>
              <w:t>Modify minimum size limit</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14:paraId="1DBA8206" w14:textId="77777777" w:rsidR="00B322B7" w:rsidRPr="00E00B03" w:rsidRDefault="00B322B7" w:rsidP="005E2E4F">
            <w:pPr>
              <w:jc w:val="center"/>
              <w:rPr>
                <w:color w:val="000000"/>
                <w:sz w:val="20"/>
                <w:szCs w:val="20"/>
              </w:rPr>
            </w:pPr>
            <w:r w:rsidRPr="00E00B03">
              <w:rPr>
                <w:color w:val="000000"/>
                <w:sz w:val="20"/>
                <w:szCs w:val="20"/>
              </w:rPr>
              <w:t>219</w:t>
            </w:r>
          </w:p>
        </w:tc>
        <w:tc>
          <w:tcPr>
            <w:tcW w:w="1657" w:type="dxa"/>
            <w:tcBorders>
              <w:top w:val="single" w:sz="4" w:space="0" w:color="auto"/>
              <w:left w:val="nil"/>
              <w:bottom w:val="single" w:sz="4" w:space="0" w:color="auto"/>
              <w:right w:val="single" w:sz="4" w:space="0" w:color="auto"/>
            </w:tcBorders>
            <w:shd w:val="clear" w:color="auto" w:fill="auto"/>
            <w:noWrap/>
            <w:vAlign w:val="center"/>
            <w:hideMark/>
          </w:tcPr>
          <w:p w14:paraId="171AD42F" w14:textId="77777777" w:rsidR="00B322B7" w:rsidRPr="00E00B03" w:rsidRDefault="00B322B7" w:rsidP="005E2E4F">
            <w:pPr>
              <w:jc w:val="center"/>
              <w:rPr>
                <w:color w:val="000000"/>
                <w:sz w:val="20"/>
                <w:szCs w:val="20"/>
              </w:rPr>
            </w:pPr>
            <w:r w:rsidRPr="00E00B03">
              <w:rPr>
                <w:color w:val="000000"/>
                <w:sz w:val="20"/>
                <w:szCs w:val="20"/>
              </w:rPr>
              <w:t>263</w:t>
            </w:r>
          </w:p>
        </w:tc>
        <w:tc>
          <w:tcPr>
            <w:tcW w:w="2154" w:type="dxa"/>
            <w:tcBorders>
              <w:top w:val="nil"/>
              <w:left w:val="nil"/>
              <w:bottom w:val="single" w:sz="4" w:space="0" w:color="auto"/>
              <w:right w:val="single" w:sz="4" w:space="0" w:color="auto"/>
            </w:tcBorders>
            <w:shd w:val="clear" w:color="auto" w:fill="auto"/>
            <w:noWrap/>
            <w:vAlign w:val="center"/>
            <w:hideMark/>
          </w:tcPr>
          <w:p w14:paraId="7B4AC4CB" w14:textId="77777777" w:rsidR="00B322B7" w:rsidRPr="00E00B03" w:rsidRDefault="00B322B7" w:rsidP="005E2E4F">
            <w:pPr>
              <w:jc w:val="center"/>
              <w:rPr>
                <w:color w:val="000000"/>
              </w:rPr>
            </w:pPr>
            <w:r>
              <w:rPr>
                <w:color w:val="000000"/>
              </w:rPr>
              <w:t>$28.12 per vessel</w:t>
            </w:r>
          </w:p>
        </w:tc>
        <w:tc>
          <w:tcPr>
            <w:tcW w:w="1254" w:type="dxa"/>
            <w:tcBorders>
              <w:top w:val="nil"/>
              <w:left w:val="nil"/>
              <w:bottom w:val="single" w:sz="4" w:space="0" w:color="auto"/>
              <w:right w:val="single" w:sz="4" w:space="0" w:color="auto"/>
            </w:tcBorders>
            <w:vAlign w:val="center"/>
          </w:tcPr>
          <w:p w14:paraId="7E6CA903" w14:textId="77777777" w:rsidR="00B322B7" w:rsidRPr="00E00B03" w:rsidRDefault="00B322B7" w:rsidP="005E2E4F">
            <w:pPr>
              <w:jc w:val="center"/>
              <w:rPr>
                <w:color w:val="000000"/>
              </w:rPr>
            </w:pPr>
            <w:r>
              <w:t>0.06%</w:t>
            </w:r>
          </w:p>
        </w:tc>
      </w:tr>
      <w:tr w:rsidR="00B322B7" w:rsidRPr="00E00B03" w14:paraId="5A63523C" w14:textId="77777777" w:rsidTr="005E2E4F">
        <w:trPr>
          <w:trHeight w:val="294"/>
        </w:trPr>
        <w:tc>
          <w:tcPr>
            <w:tcW w:w="78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FC99682" w14:textId="77777777" w:rsidR="00B322B7" w:rsidRPr="00E00B03" w:rsidRDefault="00B322B7" w:rsidP="005E2E4F">
            <w:pPr>
              <w:jc w:val="center"/>
              <w:rPr>
                <w:b/>
                <w:bCs/>
                <w:color w:val="000000"/>
                <w:sz w:val="20"/>
                <w:szCs w:val="20"/>
              </w:rPr>
            </w:pPr>
            <w:r w:rsidRPr="00E00B03">
              <w:rPr>
                <w:b/>
                <w:bCs/>
                <w:color w:val="000000"/>
                <w:sz w:val="20"/>
                <w:szCs w:val="20"/>
              </w:rPr>
              <w:t>6</w:t>
            </w:r>
          </w:p>
        </w:tc>
        <w:tc>
          <w:tcPr>
            <w:tcW w:w="2383" w:type="dxa"/>
            <w:tcBorders>
              <w:top w:val="nil"/>
              <w:left w:val="nil"/>
              <w:bottom w:val="single" w:sz="4" w:space="0" w:color="auto"/>
              <w:right w:val="single" w:sz="4" w:space="0" w:color="auto"/>
            </w:tcBorders>
            <w:shd w:val="clear" w:color="auto" w:fill="F2F2F2" w:themeFill="background1" w:themeFillShade="F2"/>
            <w:noWrap/>
            <w:vAlign w:val="center"/>
            <w:hideMark/>
          </w:tcPr>
          <w:p w14:paraId="739FFBC0" w14:textId="77777777" w:rsidR="00B322B7" w:rsidRPr="00E00B03" w:rsidRDefault="00B322B7" w:rsidP="005E2E4F">
            <w:pPr>
              <w:rPr>
                <w:color w:val="000000"/>
                <w:sz w:val="20"/>
                <w:szCs w:val="20"/>
              </w:rPr>
            </w:pPr>
            <w:r w:rsidRPr="00E00B03">
              <w:rPr>
                <w:color w:val="000000"/>
                <w:sz w:val="20"/>
                <w:szCs w:val="20"/>
              </w:rPr>
              <w:t>Modify length spawning season</w:t>
            </w:r>
          </w:p>
        </w:tc>
        <w:tc>
          <w:tcPr>
            <w:tcW w:w="1252" w:type="dxa"/>
            <w:tcBorders>
              <w:top w:val="nil"/>
              <w:left w:val="nil"/>
              <w:bottom w:val="single" w:sz="4" w:space="0" w:color="auto"/>
              <w:right w:val="single" w:sz="4" w:space="0" w:color="auto"/>
            </w:tcBorders>
            <w:shd w:val="clear" w:color="auto" w:fill="F2F2F2" w:themeFill="background1" w:themeFillShade="F2"/>
            <w:noWrap/>
            <w:vAlign w:val="center"/>
            <w:hideMark/>
          </w:tcPr>
          <w:p w14:paraId="5B89DEC6" w14:textId="77777777" w:rsidR="00B322B7" w:rsidRPr="00E00B03" w:rsidRDefault="00B322B7" w:rsidP="005E2E4F">
            <w:pPr>
              <w:jc w:val="center"/>
              <w:rPr>
                <w:color w:val="000000"/>
                <w:sz w:val="20"/>
                <w:szCs w:val="20"/>
              </w:rPr>
            </w:pPr>
            <w:r w:rsidRPr="00E00B03">
              <w:rPr>
                <w:color w:val="000000"/>
                <w:sz w:val="20"/>
                <w:szCs w:val="20"/>
              </w:rPr>
              <w:t>219</w:t>
            </w:r>
          </w:p>
        </w:tc>
        <w:tc>
          <w:tcPr>
            <w:tcW w:w="1657" w:type="dxa"/>
            <w:tcBorders>
              <w:top w:val="nil"/>
              <w:left w:val="nil"/>
              <w:bottom w:val="single" w:sz="4" w:space="0" w:color="auto"/>
              <w:right w:val="single" w:sz="4" w:space="0" w:color="auto"/>
            </w:tcBorders>
            <w:shd w:val="clear" w:color="auto" w:fill="F2F2F2" w:themeFill="background1" w:themeFillShade="F2"/>
            <w:noWrap/>
            <w:vAlign w:val="center"/>
            <w:hideMark/>
          </w:tcPr>
          <w:p w14:paraId="53342CAB" w14:textId="77777777" w:rsidR="00B322B7" w:rsidRPr="00E00B03" w:rsidRDefault="00B322B7" w:rsidP="005E2E4F">
            <w:pPr>
              <w:jc w:val="center"/>
              <w:rPr>
                <w:color w:val="000000"/>
                <w:sz w:val="20"/>
                <w:szCs w:val="20"/>
              </w:rPr>
            </w:pPr>
            <w:r w:rsidRPr="00E00B03">
              <w:rPr>
                <w:color w:val="000000"/>
                <w:sz w:val="20"/>
                <w:szCs w:val="20"/>
              </w:rPr>
              <w:t>263</w:t>
            </w:r>
          </w:p>
        </w:tc>
        <w:tc>
          <w:tcPr>
            <w:tcW w:w="3408"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13A274B0" w14:textId="77777777" w:rsidR="00B322B7" w:rsidRPr="00E00B03" w:rsidRDefault="00B322B7" w:rsidP="005E2E4F">
            <w:pPr>
              <w:jc w:val="center"/>
              <w:rPr>
                <w:color w:val="000000"/>
              </w:rPr>
            </w:pPr>
            <w:r w:rsidRPr="00E00B03">
              <w:rPr>
                <w:color w:val="000000"/>
              </w:rPr>
              <w:t>No direct impact</w:t>
            </w:r>
          </w:p>
        </w:tc>
      </w:tr>
      <w:tr w:rsidR="00B322B7" w:rsidRPr="00E00B03" w14:paraId="2DCD6057" w14:textId="77777777" w:rsidTr="005E2E4F">
        <w:trPr>
          <w:trHeight w:val="294"/>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2F56C0E2" w14:textId="77777777" w:rsidR="00B322B7" w:rsidRPr="00E00B03" w:rsidRDefault="00B322B7" w:rsidP="005E2E4F">
            <w:pPr>
              <w:jc w:val="center"/>
              <w:rPr>
                <w:b/>
                <w:bCs/>
                <w:color w:val="000000"/>
                <w:sz w:val="20"/>
                <w:szCs w:val="20"/>
              </w:rPr>
            </w:pPr>
            <w:r w:rsidRPr="00E00B03">
              <w:rPr>
                <w:b/>
                <w:bCs/>
                <w:color w:val="000000"/>
                <w:sz w:val="20"/>
                <w:szCs w:val="20"/>
              </w:rPr>
              <w:t>7</w:t>
            </w:r>
          </w:p>
        </w:tc>
        <w:tc>
          <w:tcPr>
            <w:tcW w:w="2383" w:type="dxa"/>
            <w:tcBorders>
              <w:top w:val="nil"/>
              <w:left w:val="nil"/>
              <w:bottom w:val="nil"/>
              <w:right w:val="single" w:sz="4" w:space="0" w:color="auto"/>
            </w:tcBorders>
            <w:shd w:val="clear" w:color="auto" w:fill="auto"/>
            <w:noWrap/>
            <w:vAlign w:val="center"/>
            <w:hideMark/>
          </w:tcPr>
          <w:p w14:paraId="2E3265F6" w14:textId="77777777" w:rsidR="00B322B7" w:rsidRPr="00E00B03" w:rsidRDefault="00B322B7" w:rsidP="005E2E4F">
            <w:pPr>
              <w:rPr>
                <w:color w:val="000000"/>
                <w:sz w:val="20"/>
                <w:szCs w:val="20"/>
              </w:rPr>
            </w:pPr>
            <w:r>
              <w:rPr>
                <w:color w:val="000000"/>
                <w:sz w:val="20"/>
                <w:szCs w:val="20"/>
              </w:rPr>
              <w:t xml:space="preserve">Revise recreational </w:t>
            </w:r>
            <w:r w:rsidRPr="00E00B03">
              <w:rPr>
                <w:color w:val="000000"/>
                <w:sz w:val="20"/>
                <w:szCs w:val="20"/>
              </w:rPr>
              <w:t>bag limit</w:t>
            </w:r>
          </w:p>
        </w:tc>
        <w:tc>
          <w:tcPr>
            <w:tcW w:w="6317" w:type="dxa"/>
            <w:gridSpan w:val="4"/>
            <w:tcBorders>
              <w:top w:val="single" w:sz="4" w:space="0" w:color="auto"/>
              <w:left w:val="nil"/>
              <w:bottom w:val="single" w:sz="4" w:space="0" w:color="auto"/>
              <w:right w:val="single" w:sz="4" w:space="0" w:color="auto"/>
            </w:tcBorders>
            <w:shd w:val="clear" w:color="auto" w:fill="auto"/>
            <w:noWrap/>
            <w:vAlign w:val="center"/>
            <w:hideMark/>
          </w:tcPr>
          <w:p w14:paraId="5E7E4942" w14:textId="77777777" w:rsidR="00B322B7" w:rsidRPr="00E00B03" w:rsidRDefault="00B322B7" w:rsidP="005E2E4F">
            <w:pPr>
              <w:jc w:val="center"/>
              <w:rPr>
                <w:color w:val="000000"/>
              </w:rPr>
            </w:pPr>
            <w:r w:rsidRPr="00E00B03">
              <w:rPr>
                <w:color w:val="000000"/>
                <w:sz w:val="20"/>
                <w:szCs w:val="20"/>
              </w:rPr>
              <w:t>None</w:t>
            </w:r>
          </w:p>
        </w:tc>
      </w:tr>
      <w:tr w:rsidR="00B322B7" w:rsidRPr="00E00B03" w14:paraId="619DEBA8" w14:textId="77777777" w:rsidTr="005E2E4F">
        <w:trPr>
          <w:trHeight w:val="294"/>
        </w:trPr>
        <w:tc>
          <w:tcPr>
            <w:tcW w:w="7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F5AAA5" w14:textId="77777777" w:rsidR="00B322B7" w:rsidRPr="00E00B03" w:rsidRDefault="00B322B7" w:rsidP="005E2E4F">
            <w:pPr>
              <w:jc w:val="center"/>
              <w:rPr>
                <w:b/>
                <w:bCs/>
                <w:color w:val="000000"/>
                <w:sz w:val="20"/>
                <w:szCs w:val="20"/>
              </w:rPr>
            </w:pPr>
            <w:r w:rsidRPr="00E00B03">
              <w:rPr>
                <w:b/>
                <w:bCs/>
                <w:color w:val="000000"/>
                <w:sz w:val="20"/>
                <w:szCs w:val="20"/>
              </w:rPr>
              <w:t>8</w:t>
            </w:r>
          </w:p>
        </w:tc>
        <w:tc>
          <w:tcPr>
            <w:tcW w:w="2383" w:type="dxa"/>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7DA048E4" w14:textId="77777777" w:rsidR="00B322B7" w:rsidRPr="00E00B03" w:rsidRDefault="00B322B7" w:rsidP="005E2E4F">
            <w:pPr>
              <w:rPr>
                <w:color w:val="000000"/>
                <w:sz w:val="20"/>
                <w:szCs w:val="20"/>
              </w:rPr>
            </w:pPr>
            <w:r w:rsidRPr="00E00B03">
              <w:rPr>
                <w:color w:val="000000"/>
                <w:sz w:val="20"/>
                <w:szCs w:val="20"/>
              </w:rPr>
              <w:t>Modify spawning months trip limit</w:t>
            </w:r>
          </w:p>
        </w:tc>
        <w:tc>
          <w:tcPr>
            <w:tcW w:w="125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194193" w14:textId="77777777" w:rsidR="00B322B7" w:rsidRPr="004135FD" w:rsidRDefault="00B322B7" w:rsidP="005E2E4F">
            <w:pPr>
              <w:jc w:val="center"/>
              <w:rPr>
                <w:color w:val="000000"/>
                <w:sz w:val="20"/>
                <w:szCs w:val="20"/>
                <w:vertAlign w:val="superscript"/>
              </w:rPr>
            </w:pPr>
            <w:r>
              <w:rPr>
                <w:color w:val="000000"/>
                <w:sz w:val="20"/>
                <w:szCs w:val="20"/>
              </w:rPr>
              <w:t>219</w:t>
            </w:r>
          </w:p>
        </w:tc>
        <w:tc>
          <w:tcPr>
            <w:tcW w:w="165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F569DD" w14:textId="77777777" w:rsidR="00B322B7" w:rsidRPr="008E0D82" w:rsidRDefault="00B322B7" w:rsidP="005E2E4F">
            <w:pPr>
              <w:jc w:val="center"/>
              <w:rPr>
                <w:color w:val="000000"/>
                <w:sz w:val="20"/>
                <w:szCs w:val="20"/>
                <w:vertAlign w:val="superscript"/>
              </w:rPr>
            </w:pPr>
            <w:r>
              <w:rPr>
                <w:color w:val="000000"/>
                <w:sz w:val="20"/>
                <w:szCs w:val="20"/>
              </w:rPr>
              <w:t>263</w:t>
            </w:r>
          </w:p>
        </w:tc>
        <w:tc>
          <w:tcPr>
            <w:tcW w:w="215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EB055F" w14:textId="77777777" w:rsidR="00B322B7" w:rsidRPr="00E00B03" w:rsidRDefault="00B322B7" w:rsidP="005E2E4F">
            <w:pPr>
              <w:jc w:val="center"/>
              <w:rPr>
                <w:color w:val="000000"/>
              </w:rPr>
            </w:pPr>
            <w:r>
              <w:rPr>
                <w:color w:val="000000"/>
              </w:rPr>
              <w:t>$0</w:t>
            </w:r>
          </w:p>
        </w:tc>
        <w:tc>
          <w:tcPr>
            <w:tcW w:w="125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839EF4A" w14:textId="77777777" w:rsidR="00B322B7" w:rsidRDefault="00B322B7" w:rsidP="005E2E4F">
            <w:pPr>
              <w:jc w:val="center"/>
              <w:rPr>
                <w:color w:val="000000"/>
              </w:rPr>
            </w:pPr>
            <w:r>
              <w:rPr>
                <w:color w:val="000000"/>
              </w:rPr>
              <w:t>0%</w:t>
            </w:r>
          </w:p>
        </w:tc>
      </w:tr>
      <w:tr w:rsidR="00B322B7" w:rsidRPr="00E00B03" w14:paraId="44EE88D8" w14:textId="77777777" w:rsidTr="005E2E4F">
        <w:trPr>
          <w:trHeight w:val="294"/>
        </w:trPr>
        <w:tc>
          <w:tcPr>
            <w:tcW w:w="783" w:type="dxa"/>
            <w:vMerge/>
            <w:tcBorders>
              <w:top w:val="nil"/>
              <w:left w:val="single" w:sz="4" w:space="0" w:color="auto"/>
              <w:bottom w:val="single" w:sz="4" w:space="0" w:color="000000"/>
              <w:right w:val="single" w:sz="4" w:space="0" w:color="auto"/>
            </w:tcBorders>
            <w:vAlign w:val="center"/>
            <w:hideMark/>
          </w:tcPr>
          <w:p w14:paraId="02667CF4" w14:textId="77777777" w:rsidR="00B322B7" w:rsidRPr="00E00B03" w:rsidRDefault="00B322B7" w:rsidP="005E2E4F">
            <w:pPr>
              <w:rPr>
                <w:b/>
                <w:bCs/>
                <w:color w:val="000000"/>
                <w:sz w:val="20"/>
                <w:szCs w:val="20"/>
              </w:rPr>
            </w:pPr>
          </w:p>
        </w:tc>
        <w:tc>
          <w:tcPr>
            <w:tcW w:w="23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D445DA" w14:textId="77777777" w:rsidR="00B322B7" w:rsidRPr="00E00B03" w:rsidRDefault="00B322B7" w:rsidP="005E2E4F">
            <w:pPr>
              <w:rPr>
                <w:color w:val="000000"/>
                <w:sz w:val="20"/>
                <w:szCs w:val="20"/>
              </w:rPr>
            </w:pPr>
            <w:r w:rsidRPr="00E00B03">
              <w:rPr>
                <w:color w:val="000000"/>
                <w:sz w:val="20"/>
                <w:szCs w:val="20"/>
              </w:rPr>
              <w:t>Establish 500-lb trip limit</w:t>
            </w:r>
          </w:p>
        </w:tc>
        <w:tc>
          <w:tcPr>
            <w:tcW w:w="1252" w:type="dxa"/>
            <w:tcBorders>
              <w:top w:val="nil"/>
              <w:left w:val="nil"/>
              <w:bottom w:val="single" w:sz="4" w:space="0" w:color="auto"/>
              <w:right w:val="single" w:sz="4" w:space="0" w:color="auto"/>
            </w:tcBorders>
            <w:shd w:val="clear" w:color="auto" w:fill="auto"/>
            <w:noWrap/>
            <w:vAlign w:val="center"/>
            <w:hideMark/>
          </w:tcPr>
          <w:p w14:paraId="5A88924A" w14:textId="77777777" w:rsidR="00B322B7" w:rsidRPr="00E00B03" w:rsidRDefault="00B322B7" w:rsidP="005E2E4F">
            <w:pPr>
              <w:jc w:val="center"/>
              <w:rPr>
                <w:color w:val="000000"/>
                <w:sz w:val="20"/>
                <w:szCs w:val="20"/>
              </w:rPr>
            </w:pPr>
            <w:r>
              <w:rPr>
                <w:color w:val="000000"/>
                <w:sz w:val="20"/>
                <w:szCs w:val="20"/>
              </w:rPr>
              <w:t>215 to 217</w:t>
            </w:r>
          </w:p>
        </w:tc>
        <w:tc>
          <w:tcPr>
            <w:tcW w:w="1657" w:type="dxa"/>
            <w:tcBorders>
              <w:top w:val="nil"/>
              <w:left w:val="nil"/>
              <w:bottom w:val="single" w:sz="4" w:space="0" w:color="auto"/>
              <w:right w:val="single" w:sz="4" w:space="0" w:color="auto"/>
            </w:tcBorders>
            <w:shd w:val="clear" w:color="auto" w:fill="auto"/>
            <w:noWrap/>
            <w:vAlign w:val="center"/>
            <w:hideMark/>
          </w:tcPr>
          <w:p w14:paraId="44610669" w14:textId="77777777" w:rsidR="00B322B7" w:rsidRPr="00E00B03" w:rsidRDefault="00B322B7" w:rsidP="005E2E4F">
            <w:pPr>
              <w:jc w:val="center"/>
              <w:rPr>
                <w:color w:val="000000"/>
                <w:sz w:val="20"/>
                <w:szCs w:val="20"/>
              </w:rPr>
            </w:pPr>
            <w:r>
              <w:rPr>
                <w:color w:val="000000"/>
                <w:sz w:val="20"/>
                <w:szCs w:val="20"/>
              </w:rPr>
              <w:t>259 (98%)</w:t>
            </w:r>
          </w:p>
        </w:tc>
        <w:tc>
          <w:tcPr>
            <w:tcW w:w="2154" w:type="dxa"/>
            <w:tcBorders>
              <w:top w:val="nil"/>
              <w:left w:val="nil"/>
              <w:bottom w:val="single" w:sz="4" w:space="0" w:color="auto"/>
              <w:right w:val="single" w:sz="4" w:space="0" w:color="auto"/>
            </w:tcBorders>
            <w:shd w:val="clear" w:color="auto" w:fill="auto"/>
            <w:noWrap/>
            <w:vAlign w:val="bottom"/>
            <w:hideMark/>
          </w:tcPr>
          <w:p w14:paraId="593FC8B4" w14:textId="77777777" w:rsidR="00B322B7" w:rsidRPr="00E00B03" w:rsidRDefault="00B322B7" w:rsidP="005E2E4F">
            <w:pPr>
              <w:jc w:val="center"/>
              <w:rPr>
                <w:color w:val="000000"/>
              </w:rPr>
            </w:pPr>
            <w:r>
              <w:rPr>
                <w:color w:val="000000"/>
              </w:rPr>
              <w:t>$0</w:t>
            </w:r>
          </w:p>
        </w:tc>
        <w:tc>
          <w:tcPr>
            <w:tcW w:w="1254" w:type="dxa"/>
            <w:tcBorders>
              <w:top w:val="nil"/>
              <w:left w:val="nil"/>
              <w:bottom w:val="single" w:sz="4" w:space="0" w:color="auto"/>
              <w:right w:val="single" w:sz="4" w:space="0" w:color="auto"/>
            </w:tcBorders>
            <w:vAlign w:val="bottom"/>
          </w:tcPr>
          <w:p w14:paraId="7F038411" w14:textId="77777777" w:rsidR="00B322B7" w:rsidRPr="00E00B03" w:rsidRDefault="00B322B7" w:rsidP="005E2E4F">
            <w:pPr>
              <w:jc w:val="center"/>
              <w:rPr>
                <w:color w:val="000000"/>
              </w:rPr>
            </w:pPr>
            <w:r>
              <w:rPr>
                <w:color w:val="000000"/>
              </w:rPr>
              <w:t>0%</w:t>
            </w:r>
          </w:p>
        </w:tc>
      </w:tr>
      <w:tr w:rsidR="00B322B7" w:rsidRPr="00E00B03" w14:paraId="7689F8AC" w14:textId="77777777" w:rsidTr="005E2E4F">
        <w:trPr>
          <w:trHeight w:val="294"/>
        </w:trPr>
        <w:tc>
          <w:tcPr>
            <w:tcW w:w="783" w:type="dxa"/>
            <w:vMerge/>
            <w:tcBorders>
              <w:top w:val="nil"/>
              <w:left w:val="single" w:sz="4" w:space="0" w:color="auto"/>
              <w:bottom w:val="single" w:sz="4" w:space="0" w:color="000000"/>
              <w:right w:val="single" w:sz="4" w:space="0" w:color="auto"/>
            </w:tcBorders>
            <w:vAlign w:val="center"/>
            <w:hideMark/>
          </w:tcPr>
          <w:p w14:paraId="0E04AC4D" w14:textId="77777777" w:rsidR="00B322B7" w:rsidRPr="00E00B03" w:rsidRDefault="00B322B7" w:rsidP="005E2E4F">
            <w:pPr>
              <w:rPr>
                <w:b/>
                <w:bCs/>
                <w:color w:val="000000"/>
                <w:sz w:val="20"/>
                <w:szCs w:val="20"/>
              </w:rPr>
            </w:pPr>
          </w:p>
        </w:tc>
        <w:tc>
          <w:tcPr>
            <w:tcW w:w="2383" w:type="dxa"/>
            <w:vMerge/>
            <w:tcBorders>
              <w:top w:val="nil"/>
              <w:left w:val="single" w:sz="4" w:space="0" w:color="auto"/>
              <w:bottom w:val="single" w:sz="4" w:space="0" w:color="000000"/>
              <w:right w:val="single" w:sz="4" w:space="0" w:color="auto"/>
            </w:tcBorders>
            <w:vAlign w:val="center"/>
            <w:hideMark/>
          </w:tcPr>
          <w:p w14:paraId="6452B3AD" w14:textId="77777777" w:rsidR="00B322B7" w:rsidRPr="00E00B03" w:rsidRDefault="00B322B7" w:rsidP="005E2E4F">
            <w:pPr>
              <w:rPr>
                <w:color w:val="000000"/>
                <w:sz w:val="20"/>
                <w:szCs w:val="20"/>
              </w:rPr>
            </w:pPr>
          </w:p>
        </w:tc>
        <w:tc>
          <w:tcPr>
            <w:tcW w:w="1252" w:type="dxa"/>
            <w:tcBorders>
              <w:top w:val="nil"/>
              <w:left w:val="nil"/>
              <w:bottom w:val="single" w:sz="4" w:space="0" w:color="auto"/>
              <w:right w:val="single" w:sz="4" w:space="0" w:color="auto"/>
            </w:tcBorders>
            <w:shd w:val="clear" w:color="auto" w:fill="F2F2F2" w:themeFill="background1" w:themeFillShade="F2"/>
            <w:noWrap/>
            <w:vAlign w:val="center"/>
            <w:hideMark/>
          </w:tcPr>
          <w:p w14:paraId="53C3EC68" w14:textId="77777777" w:rsidR="00B322B7" w:rsidRPr="00E00B03" w:rsidRDefault="00B322B7" w:rsidP="005E2E4F">
            <w:pPr>
              <w:jc w:val="center"/>
              <w:rPr>
                <w:color w:val="000000"/>
                <w:sz w:val="20"/>
                <w:szCs w:val="20"/>
              </w:rPr>
            </w:pPr>
            <w:r w:rsidRPr="00E00B03">
              <w:rPr>
                <w:color w:val="000000"/>
                <w:sz w:val="20"/>
                <w:szCs w:val="20"/>
              </w:rPr>
              <w:t>2</w:t>
            </w:r>
            <w:r>
              <w:rPr>
                <w:color w:val="000000"/>
                <w:sz w:val="20"/>
                <w:szCs w:val="20"/>
              </w:rPr>
              <w:t xml:space="preserve"> to 4</w:t>
            </w:r>
          </w:p>
        </w:tc>
        <w:tc>
          <w:tcPr>
            <w:tcW w:w="1657" w:type="dxa"/>
            <w:tcBorders>
              <w:top w:val="nil"/>
              <w:left w:val="nil"/>
              <w:bottom w:val="single" w:sz="4" w:space="0" w:color="auto"/>
              <w:right w:val="single" w:sz="4" w:space="0" w:color="auto"/>
            </w:tcBorders>
            <w:shd w:val="clear" w:color="auto" w:fill="F2F2F2" w:themeFill="background1" w:themeFillShade="F2"/>
            <w:noWrap/>
            <w:vAlign w:val="center"/>
            <w:hideMark/>
          </w:tcPr>
          <w:p w14:paraId="1E513597" w14:textId="77777777" w:rsidR="00B322B7" w:rsidRPr="00E00B03" w:rsidRDefault="00B322B7" w:rsidP="005E2E4F">
            <w:pPr>
              <w:jc w:val="center"/>
              <w:rPr>
                <w:color w:val="000000"/>
                <w:sz w:val="20"/>
                <w:szCs w:val="20"/>
              </w:rPr>
            </w:pPr>
            <w:r>
              <w:rPr>
                <w:color w:val="000000"/>
                <w:sz w:val="20"/>
                <w:szCs w:val="20"/>
              </w:rPr>
              <w:t>4 (2%)</w:t>
            </w:r>
          </w:p>
        </w:tc>
        <w:tc>
          <w:tcPr>
            <w:tcW w:w="2154" w:type="dxa"/>
            <w:tcBorders>
              <w:top w:val="nil"/>
              <w:left w:val="nil"/>
              <w:bottom w:val="single" w:sz="4" w:space="0" w:color="auto"/>
              <w:right w:val="single" w:sz="4" w:space="0" w:color="auto"/>
            </w:tcBorders>
            <w:shd w:val="clear" w:color="auto" w:fill="F2F2F2" w:themeFill="background1" w:themeFillShade="F2"/>
            <w:noWrap/>
            <w:vAlign w:val="center"/>
            <w:hideMark/>
          </w:tcPr>
          <w:p w14:paraId="2C81933C" w14:textId="77777777" w:rsidR="00B322B7" w:rsidRPr="00E00B03" w:rsidRDefault="00B322B7" w:rsidP="005E2E4F">
            <w:pPr>
              <w:jc w:val="center"/>
              <w:rPr>
                <w:color w:val="000000"/>
              </w:rPr>
            </w:pPr>
            <w:r w:rsidRPr="00E00B03">
              <w:rPr>
                <w:color w:val="000000"/>
              </w:rPr>
              <w:t>$1,241 per vessel</w:t>
            </w:r>
          </w:p>
        </w:tc>
        <w:tc>
          <w:tcPr>
            <w:tcW w:w="1254" w:type="dxa"/>
            <w:tcBorders>
              <w:top w:val="nil"/>
              <w:left w:val="nil"/>
              <w:bottom w:val="single" w:sz="4" w:space="0" w:color="auto"/>
              <w:right w:val="single" w:sz="4" w:space="0" w:color="auto"/>
            </w:tcBorders>
            <w:shd w:val="clear" w:color="auto" w:fill="F2F2F2" w:themeFill="background1" w:themeFillShade="F2"/>
            <w:vAlign w:val="bottom"/>
          </w:tcPr>
          <w:p w14:paraId="01FA332D" w14:textId="77777777" w:rsidR="00B322B7" w:rsidRPr="00E00B03" w:rsidRDefault="00B322B7" w:rsidP="005E2E4F">
            <w:pPr>
              <w:jc w:val="center"/>
              <w:rPr>
                <w:color w:val="000000"/>
              </w:rPr>
            </w:pPr>
            <w:r>
              <w:rPr>
                <w:color w:val="000000"/>
              </w:rPr>
              <w:t>Up to 2.6% per vessel</w:t>
            </w:r>
          </w:p>
        </w:tc>
      </w:tr>
    </w:tbl>
    <w:p w14:paraId="2615C896" w14:textId="77777777" w:rsidR="00B322B7" w:rsidRDefault="00B322B7" w:rsidP="00B322B7">
      <w:pPr>
        <w:pStyle w:val="ListParagraph"/>
        <w:spacing w:after="0" w:line="240" w:lineRule="auto"/>
        <w:ind w:left="0"/>
        <w:rPr>
          <w:rFonts w:ascii="Arial" w:eastAsia="Times New Roman" w:hAnsi="Arial" w:cs="Arial"/>
          <w:sz w:val="20"/>
          <w:szCs w:val="20"/>
        </w:rPr>
      </w:pPr>
      <w:r>
        <w:rPr>
          <w:rFonts w:ascii="Arial" w:eastAsia="Times New Roman" w:hAnsi="Arial" w:cs="Arial"/>
          <w:sz w:val="20"/>
          <w:szCs w:val="20"/>
        </w:rPr>
        <w:t>1. Some small businesses operate vessels that use more than one type of gear.</w:t>
      </w:r>
    </w:p>
    <w:p w14:paraId="2CBCF4D7" w14:textId="77777777" w:rsidR="00B322B7" w:rsidRPr="00EC2EB2" w:rsidRDefault="00B322B7" w:rsidP="00B322B7">
      <w:pPr>
        <w:pStyle w:val="ListParagraph"/>
        <w:spacing w:after="0" w:line="240" w:lineRule="auto"/>
        <w:ind w:left="0"/>
        <w:rPr>
          <w:rFonts w:ascii="Arial" w:eastAsia="Times New Roman" w:hAnsi="Arial" w:cs="Arial"/>
          <w:sz w:val="20"/>
          <w:szCs w:val="20"/>
        </w:rPr>
      </w:pPr>
      <w:r>
        <w:rPr>
          <w:rFonts w:ascii="Arial" w:eastAsia="Times New Roman" w:hAnsi="Arial" w:cs="Arial"/>
          <w:sz w:val="20"/>
          <w:szCs w:val="20"/>
        </w:rPr>
        <w:t xml:space="preserve">2. Twenty-five vessels use more than one type of </w:t>
      </w:r>
      <w:r w:rsidRPr="00EC2EB2">
        <w:rPr>
          <w:rFonts w:ascii="Arial" w:eastAsia="Times New Roman" w:hAnsi="Arial" w:cs="Arial"/>
          <w:sz w:val="20"/>
          <w:szCs w:val="20"/>
        </w:rPr>
        <w:t xml:space="preserve">gear </w:t>
      </w:r>
      <w:r>
        <w:rPr>
          <w:rFonts w:ascii="Arial" w:eastAsia="Times New Roman" w:hAnsi="Arial" w:cs="Arial"/>
          <w:sz w:val="20"/>
          <w:szCs w:val="20"/>
        </w:rPr>
        <w:t xml:space="preserve">to harvest mutton snapper.  </w:t>
      </w:r>
    </w:p>
    <w:p w14:paraId="71C81054" w14:textId="77777777" w:rsidR="004053E4" w:rsidRDefault="004053E4" w:rsidP="00D71AB1">
      <w:pPr>
        <w:pStyle w:val="Heading1"/>
        <w:rPr>
          <w:rFonts w:ascii="Times New Roman" w:hAnsi="Times New Roman" w:cs="Times New Roman"/>
          <w:color w:val="8DB3E2"/>
          <w:sz w:val="36"/>
          <w:szCs w:val="36"/>
        </w:rPr>
        <w:sectPr w:rsidR="004053E4" w:rsidSect="0038545E">
          <w:footerReference w:type="default" r:id="rId109"/>
          <w:pgSz w:w="12240" w:h="15840" w:code="1"/>
          <w:pgMar w:top="1440" w:right="1440" w:bottom="1440" w:left="1440" w:header="720" w:footer="720" w:gutter="0"/>
          <w:pgNumType w:start="1" w:chapStyle="1"/>
          <w:cols w:space="720"/>
          <w:docGrid w:linePitch="360"/>
        </w:sectPr>
      </w:pPr>
    </w:p>
    <w:p w14:paraId="087B57F6" w14:textId="25D1842A" w:rsidR="002B3E29" w:rsidRDefault="002B3E29" w:rsidP="00D71AB1">
      <w:pPr>
        <w:pStyle w:val="Heading1"/>
        <w:rPr>
          <w:rFonts w:ascii="Times New Roman" w:hAnsi="Times New Roman" w:cs="Times New Roman"/>
          <w:color w:val="548DD4"/>
          <w:sz w:val="56"/>
          <w:szCs w:val="56"/>
        </w:rPr>
      </w:pPr>
      <w:bookmarkStart w:id="424" w:name="_Toc339811836"/>
      <w:r>
        <w:rPr>
          <w:rFonts w:ascii="Times New Roman" w:hAnsi="Times New Roman" w:cs="Times New Roman"/>
          <w:color w:val="8DB3E2"/>
          <w:sz w:val="36"/>
          <w:szCs w:val="36"/>
        </w:rPr>
        <w:lastRenderedPageBreak/>
        <w:t xml:space="preserve">Appendix </w:t>
      </w:r>
      <w:r w:rsidR="00717820">
        <w:rPr>
          <w:rFonts w:ascii="Times New Roman" w:hAnsi="Times New Roman" w:cs="Times New Roman"/>
          <w:color w:val="8DB3E2"/>
          <w:sz w:val="36"/>
          <w:szCs w:val="36"/>
        </w:rPr>
        <w:t>G</w:t>
      </w:r>
      <w:r w:rsidRPr="00532ABB">
        <w:rPr>
          <w:rFonts w:ascii="Times New Roman" w:hAnsi="Times New Roman" w:cs="Times New Roman"/>
          <w:color w:val="8DB3E2"/>
          <w:sz w:val="36"/>
          <w:szCs w:val="36"/>
        </w:rPr>
        <w:t>.</w:t>
      </w:r>
      <w:r w:rsidRPr="00532ABB">
        <w:rPr>
          <w:rFonts w:ascii="Times New Roman" w:hAnsi="Times New Roman" w:cs="Times New Roman"/>
          <w:color w:val="548DD4"/>
          <w:sz w:val="56"/>
          <w:szCs w:val="56"/>
        </w:rPr>
        <w:t xml:space="preserve">  </w:t>
      </w:r>
      <w:r w:rsidR="00E760C3" w:rsidRPr="003061E9">
        <w:rPr>
          <w:rFonts w:ascii="Times New Roman" w:hAnsi="Times New Roman" w:cs="Times New Roman"/>
          <w:color w:val="548DD4"/>
          <w:sz w:val="48"/>
          <w:szCs w:val="48"/>
        </w:rPr>
        <w:t>Other Applicable Law</w:t>
      </w:r>
      <w:bookmarkEnd w:id="416"/>
      <w:bookmarkEnd w:id="417"/>
      <w:r w:rsidR="006439F3" w:rsidRPr="003061E9">
        <w:rPr>
          <w:rFonts w:ascii="Times New Roman" w:hAnsi="Times New Roman" w:cs="Times New Roman"/>
          <w:color w:val="548DD4"/>
          <w:sz w:val="48"/>
          <w:szCs w:val="48"/>
        </w:rPr>
        <w:t>s</w:t>
      </w:r>
      <w:bookmarkEnd w:id="424"/>
    </w:p>
    <w:p w14:paraId="7A36355A" w14:textId="77777777" w:rsidR="00D06628" w:rsidRDefault="00D06628" w:rsidP="00A81CCF">
      <w:pPr>
        <w:rPr>
          <w:rFonts w:eastAsia="Calibri"/>
          <w:b/>
          <w:bCs/>
        </w:rPr>
      </w:pPr>
    </w:p>
    <w:p w14:paraId="22E9D6D8" w14:textId="77777777" w:rsidR="00A81CCF" w:rsidRPr="00A81CCF" w:rsidRDefault="00A81CCF" w:rsidP="00A81CCF">
      <w:pPr>
        <w:rPr>
          <w:rFonts w:eastAsia="Calibri"/>
        </w:rPr>
      </w:pPr>
      <w:r w:rsidRPr="00A81CCF">
        <w:rPr>
          <w:rFonts w:eastAsia="Calibri"/>
          <w:b/>
          <w:bCs/>
        </w:rPr>
        <w:t>1.1</w:t>
      </w:r>
      <w:r w:rsidRPr="00A81CCF">
        <w:rPr>
          <w:rFonts w:eastAsia="Calibri"/>
          <w:b/>
          <w:bCs/>
        </w:rPr>
        <w:tab/>
        <w:t>Administrative Procedure Act (APA)</w:t>
      </w:r>
    </w:p>
    <w:p w14:paraId="7FE3E825" w14:textId="77777777" w:rsidR="00A81CCF" w:rsidRPr="00A81CCF" w:rsidRDefault="00A81CCF" w:rsidP="00A81CCF">
      <w:pPr>
        <w:rPr>
          <w:rFonts w:eastAsia="Calibri"/>
        </w:rPr>
      </w:pPr>
    </w:p>
    <w:p w14:paraId="654DCA50" w14:textId="4A3E684B" w:rsidR="00A81CCF" w:rsidRPr="00A81CCF" w:rsidRDefault="00A81CCF" w:rsidP="00D06628">
      <w:pPr>
        <w:ind w:firstLine="360"/>
        <w:rPr>
          <w:rFonts w:eastAsia="Calibri"/>
        </w:rPr>
      </w:pPr>
      <w:r w:rsidRPr="00A81CCF">
        <w:rPr>
          <w:rFonts w:eastAsia="Calibri"/>
        </w:rPr>
        <w:t>All federal rulemaking is governed under the provisions of the APA (5 U.S.C. Subchapter II), which establishes a “notice and comment” procedure to enable public participation in the rulemaking process.  Among other things under the APA, the National Marine Fisheries Service</w:t>
      </w:r>
      <w:r w:rsidRPr="00A81CCF">
        <w:rPr>
          <w:rFonts w:eastAsia="Calibri"/>
        </w:rPr>
        <w:fldChar w:fldCharType="begin"/>
      </w:r>
      <w:r w:rsidRPr="00A81CCF">
        <w:instrText xml:space="preserve"> XE "National Marine Fisheries Service" </w:instrText>
      </w:r>
      <w:r w:rsidRPr="00A81CCF">
        <w:rPr>
          <w:rFonts w:eastAsia="Calibri"/>
        </w:rPr>
        <w:fldChar w:fldCharType="end"/>
      </w:r>
      <w:r w:rsidRPr="00A81CCF">
        <w:rPr>
          <w:rFonts w:eastAsia="Calibri"/>
        </w:rPr>
        <w:t xml:space="preserve"> (NMFS) is required to publish notification of proposed rules in the </w:t>
      </w:r>
      <w:r w:rsidRPr="00A81CCF">
        <w:rPr>
          <w:rFonts w:eastAsia="Calibri"/>
          <w:i/>
        </w:rPr>
        <w:t>Federal Register</w:t>
      </w:r>
      <w:r w:rsidRPr="00A81CCF">
        <w:rPr>
          <w:rFonts w:eastAsia="Calibri"/>
        </w:rPr>
        <w:t xml:space="preserve"> and to solicit, consider and respond to public comment on those rules before they are finalized.  The APA also establishes a 30-day wait period from the time a final rule is published until it takes effect, with some exceptions.  Amendment </w:t>
      </w:r>
      <w:r w:rsidR="00F5503A">
        <w:rPr>
          <w:rFonts w:eastAsia="Calibri"/>
        </w:rPr>
        <w:t>41</w:t>
      </w:r>
      <w:r w:rsidR="00F5503A" w:rsidRPr="00A81CCF">
        <w:rPr>
          <w:rFonts w:eastAsia="Calibri"/>
        </w:rPr>
        <w:t xml:space="preserve"> </w:t>
      </w:r>
      <w:r w:rsidRPr="00A81CCF">
        <w:rPr>
          <w:rFonts w:eastAsia="Calibri"/>
        </w:rPr>
        <w:t xml:space="preserve">to the Fishery Management Plan for the Snapper Grouper Fishery of the South Atlantic Region (Amendment </w:t>
      </w:r>
      <w:r w:rsidR="00F5503A">
        <w:rPr>
          <w:rFonts w:eastAsia="Calibri"/>
        </w:rPr>
        <w:t>41</w:t>
      </w:r>
      <w:r w:rsidRPr="00A81CCF">
        <w:rPr>
          <w:rFonts w:eastAsia="Calibri"/>
        </w:rPr>
        <w:t>) complies with the provisions of the APA through the South Atlantic Fishery Management Council</w:t>
      </w:r>
      <w:r w:rsidRPr="00A81CCF">
        <w:rPr>
          <w:rFonts w:eastAsia="Calibri"/>
        </w:rPr>
        <w:fldChar w:fldCharType="begin"/>
      </w:r>
      <w:r w:rsidRPr="00A81CCF">
        <w:instrText xml:space="preserve"> XE "South Atlantic Fishery Management Council" </w:instrText>
      </w:r>
      <w:r w:rsidRPr="00A81CCF">
        <w:rPr>
          <w:rFonts w:eastAsia="Calibri"/>
        </w:rPr>
        <w:fldChar w:fldCharType="end"/>
      </w:r>
      <w:r w:rsidRPr="00A81CCF">
        <w:rPr>
          <w:rFonts w:eastAsia="Calibri"/>
        </w:rPr>
        <w:t>’s (South Atlantic Council) extensive use of public meetings, requests for comments and consideration of comments.  The proposed rule associated with this amendment will have a request for public comments, which complies with the APA, and upon publication of the final rule, unless the rule falls within an APA exception, there will be a 30-day wait period before the regulations are effective.</w:t>
      </w:r>
    </w:p>
    <w:p w14:paraId="745752D3" w14:textId="77777777" w:rsidR="00A81CCF" w:rsidRPr="00A81CCF" w:rsidRDefault="00A81CCF" w:rsidP="00A81CCF">
      <w:pPr>
        <w:rPr>
          <w:rFonts w:eastAsia="Calibri"/>
          <w:b/>
          <w:bCs/>
        </w:rPr>
      </w:pPr>
    </w:p>
    <w:p w14:paraId="55115AD8" w14:textId="77777777" w:rsidR="00A81CCF" w:rsidRPr="00A81CCF" w:rsidRDefault="00A81CCF" w:rsidP="00A81CCF">
      <w:pPr>
        <w:rPr>
          <w:rFonts w:eastAsia="Calibri"/>
        </w:rPr>
      </w:pPr>
      <w:r w:rsidRPr="00A81CCF">
        <w:rPr>
          <w:rFonts w:eastAsia="Calibri"/>
          <w:b/>
          <w:bCs/>
        </w:rPr>
        <w:t>1.2</w:t>
      </w:r>
      <w:r w:rsidRPr="00A81CCF">
        <w:rPr>
          <w:rFonts w:eastAsia="Calibri"/>
          <w:b/>
          <w:bCs/>
        </w:rPr>
        <w:tab/>
        <w:t>Information Quality Act</w:t>
      </w:r>
      <w:r w:rsidRPr="00A81CCF">
        <w:rPr>
          <w:rFonts w:eastAsia="Calibri"/>
          <w:b/>
        </w:rPr>
        <w:t xml:space="preserve"> (IQA)</w:t>
      </w:r>
    </w:p>
    <w:p w14:paraId="15D6E36B" w14:textId="77777777" w:rsidR="00A81CCF" w:rsidRPr="00A81CCF" w:rsidRDefault="00A81CCF" w:rsidP="00A81CCF">
      <w:pPr>
        <w:rPr>
          <w:rFonts w:eastAsia="Calibri"/>
        </w:rPr>
      </w:pPr>
    </w:p>
    <w:p w14:paraId="6FDF3644" w14:textId="5733D318" w:rsidR="00A81CCF" w:rsidRPr="00A81CCF" w:rsidRDefault="00A81CCF" w:rsidP="00D06628">
      <w:pPr>
        <w:ind w:firstLine="360"/>
        <w:rPr>
          <w:rFonts w:eastAsia="Calibri"/>
        </w:rPr>
      </w:pPr>
      <w:r w:rsidRPr="00A81CCF">
        <w:rPr>
          <w:rFonts w:eastAsia="Calibri"/>
        </w:rPr>
        <w:t xml:space="preserve">The IQA (Section 515 of the Treasury and General Government Appropriations Act for Fiscal Year 2001 (Public Law 106-443)) which took effect October 1, 2002, directed the Office of Management and Budget (OMB) to issue government-wide guidelines that “provide policy and procedural guidelines to federal agencies for ensuring and maximizing the quality, objectivity, utility, and integrity of information disseminated by federal agencies.”  OMB directed each federal agency to issue its own guidelines, establish administrative mechanisms allowing affected persons to seek and obtain correction of information that does not comply with OMB guidelines, and report periodically to OMB on the number and nature of complaints.  The NOAA Section 515 Information Quality Guidelines require a series of actions for each new information product subject to the IQA.  Amendment </w:t>
      </w:r>
      <w:r w:rsidR="00F5503A">
        <w:rPr>
          <w:rFonts w:eastAsia="Calibri"/>
        </w:rPr>
        <w:t>41</w:t>
      </w:r>
      <w:r w:rsidRPr="00A81CCF">
        <w:rPr>
          <w:rFonts w:eastAsia="Calibri"/>
        </w:rPr>
        <w:t xml:space="preserve"> has used the best available information and made a broad presentation thereof.  The information contained in this document was developed using best available scientific information.  Therefore, this document is in compliance with the IQA. </w:t>
      </w:r>
    </w:p>
    <w:p w14:paraId="6131C9F5" w14:textId="77777777" w:rsidR="00A81CCF" w:rsidRPr="00A81CCF" w:rsidRDefault="00A81CCF" w:rsidP="00A81CCF">
      <w:pPr>
        <w:rPr>
          <w:rFonts w:eastAsia="Calibri"/>
          <w:b/>
          <w:bCs/>
        </w:rPr>
      </w:pPr>
    </w:p>
    <w:p w14:paraId="4E1DB490" w14:textId="77777777" w:rsidR="00A81CCF" w:rsidRPr="00A81CCF" w:rsidRDefault="00A81CCF" w:rsidP="00A81CCF">
      <w:pPr>
        <w:rPr>
          <w:rFonts w:eastAsia="Calibri"/>
        </w:rPr>
      </w:pPr>
      <w:r w:rsidRPr="00A81CCF">
        <w:rPr>
          <w:rFonts w:eastAsia="Calibri"/>
          <w:b/>
          <w:bCs/>
        </w:rPr>
        <w:t>1.3</w:t>
      </w:r>
      <w:r w:rsidRPr="00A81CCF">
        <w:rPr>
          <w:rFonts w:eastAsia="Calibri"/>
          <w:b/>
          <w:bCs/>
        </w:rPr>
        <w:tab/>
        <w:t>Coastal Zone Management Act</w:t>
      </w:r>
      <w:r w:rsidRPr="00A81CCF">
        <w:rPr>
          <w:rFonts w:eastAsia="Calibri"/>
          <w:b/>
        </w:rPr>
        <w:t xml:space="preserve"> (CZMA)</w:t>
      </w:r>
    </w:p>
    <w:p w14:paraId="64A4DC1D" w14:textId="77777777" w:rsidR="00A81CCF" w:rsidRPr="00A81CCF" w:rsidRDefault="00A81CCF" w:rsidP="00A81CCF">
      <w:pPr>
        <w:rPr>
          <w:rFonts w:eastAsia="Calibri"/>
        </w:rPr>
      </w:pPr>
    </w:p>
    <w:p w14:paraId="239D42A4" w14:textId="77777777" w:rsidR="00A81CCF" w:rsidRPr="00A81CCF" w:rsidRDefault="00A81CCF" w:rsidP="00D06628">
      <w:pPr>
        <w:ind w:firstLine="360"/>
        <w:rPr>
          <w:rFonts w:eastAsia="Calibri"/>
        </w:rPr>
      </w:pPr>
      <w:r w:rsidRPr="00A81CCF">
        <w:rPr>
          <w:rFonts w:eastAsia="Calibri"/>
        </w:rPr>
        <w:t xml:space="preserve">Section 307(c)(1) of the federal CZMA of 1972 requires that all federal activities that directly affect the coastal zone be consistent with approved state coastal zone management programs to the maximum extent practicable.  While it is the goal of the South Atlantic Council to have management measures that complement those of the states, federal and state administrative procedures vary and regulatory changes are unlikely to be fully instituted at the same time.  The South Atlantic Council believes the actions in this amendment are consistent to the maximum extent practicable with the Coastal Zone Management Plans of Florida, Georgia, South Carolina, and North Carolina.  Pursuant to Section 307 of the CZMA, this determination will be submitted </w:t>
      </w:r>
      <w:r w:rsidRPr="00A81CCF">
        <w:rPr>
          <w:rFonts w:eastAsia="Calibri"/>
        </w:rPr>
        <w:lastRenderedPageBreak/>
        <w:t>to the responsible state agencies who administer the approved Coastal Zone Management Programs in the States of Florida, South Carolina, Georgia, and North Carolina.</w:t>
      </w:r>
    </w:p>
    <w:p w14:paraId="63125BF4" w14:textId="77777777" w:rsidR="00A81CCF" w:rsidRPr="00A81CCF" w:rsidRDefault="00A81CCF" w:rsidP="00A81CCF">
      <w:pPr>
        <w:rPr>
          <w:rFonts w:eastAsia="Calibri"/>
        </w:rPr>
      </w:pPr>
      <w:r w:rsidRPr="00A81CCF">
        <w:rPr>
          <w:rFonts w:eastAsia="Calibri"/>
        </w:rPr>
        <w:t xml:space="preserve"> </w:t>
      </w:r>
    </w:p>
    <w:p w14:paraId="7E957715" w14:textId="77777777" w:rsidR="00950910" w:rsidRDefault="00A81CCF" w:rsidP="00A81CCF">
      <w:pPr>
        <w:rPr>
          <w:rFonts w:eastAsia="Calibri"/>
          <w:b/>
          <w:bCs/>
        </w:rPr>
      </w:pPr>
      <w:r w:rsidRPr="00A81CCF">
        <w:rPr>
          <w:rFonts w:eastAsia="Calibri"/>
          <w:b/>
          <w:bCs/>
        </w:rPr>
        <w:t>1.4</w:t>
      </w:r>
      <w:r w:rsidRPr="00A81CCF">
        <w:rPr>
          <w:rFonts w:eastAsia="Calibri"/>
          <w:b/>
          <w:bCs/>
        </w:rPr>
        <w:tab/>
        <w:t>Endangered Species Act (ESA)</w:t>
      </w:r>
    </w:p>
    <w:p w14:paraId="525E7954" w14:textId="6F644865" w:rsidR="00A81CCF" w:rsidRPr="003B41F5" w:rsidRDefault="003B41F5" w:rsidP="00A81CCF">
      <w:pPr>
        <w:rPr>
          <w:rFonts w:eastAsia="Calibri"/>
        </w:rPr>
      </w:pPr>
      <w:r w:rsidRPr="003B41F5">
        <w:rPr>
          <w:rFonts w:eastAsia="Calibri"/>
          <w:bCs/>
          <w:highlight w:val="yellow"/>
        </w:rPr>
        <w:t>To be updated when Bi-op is completed</w:t>
      </w:r>
      <w:r w:rsidRPr="003B41F5">
        <w:rPr>
          <w:rFonts w:eastAsia="Calibri"/>
          <w:bCs/>
        </w:rPr>
        <w:t xml:space="preserve"> </w:t>
      </w:r>
      <w:r w:rsidR="00A81CCF" w:rsidRPr="003B41F5">
        <w:rPr>
          <w:rFonts w:eastAsia="Calibri"/>
          <w:bCs/>
        </w:rPr>
        <w:fldChar w:fldCharType="begin"/>
      </w:r>
      <w:r w:rsidR="00A81CCF" w:rsidRPr="003B41F5">
        <w:instrText xml:space="preserve"> XE "</w:instrText>
      </w:r>
      <w:r w:rsidR="00A81CCF" w:rsidRPr="003B41F5">
        <w:rPr>
          <w:rFonts w:eastAsia="Calibri"/>
          <w:bCs/>
        </w:rPr>
        <w:instrText>Endangered Species Act (ESA)</w:instrText>
      </w:r>
      <w:r w:rsidR="00A81CCF" w:rsidRPr="003B41F5">
        <w:instrText xml:space="preserve">" </w:instrText>
      </w:r>
      <w:r w:rsidR="00A81CCF" w:rsidRPr="003B41F5">
        <w:rPr>
          <w:rFonts w:eastAsia="Calibri"/>
          <w:bCs/>
        </w:rPr>
        <w:fldChar w:fldCharType="end"/>
      </w:r>
    </w:p>
    <w:p w14:paraId="6EE9E9AA" w14:textId="67E9A6A9" w:rsidR="00A81CCF" w:rsidRPr="00A81CCF" w:rsidRDefault="00A81CCF" w:rsidP="00D06628">
      <w:pPr>
        <w:ind w:firstLine="360"/>
        <w:rPr>
          <w:rFonts w:eastAsia="Calibri"/>
        </w:rPr>
      </w:pPr>
      <w:r w:rsidRPr="00A81CCF">
        <w:rPr>
          <w:rFonts w:eastAsia="Calibri"/>
        </w:rPr>
        <w:t>The ESA of 1973 (16 U.S.C. Secti</w:t>
      </w:r>
      <w:r w:rsidR="00D06628">
        <w:rPr>
          <w:rFonts w:eastAsia="Calibri"/>
        </w:rPr>
        <w:t xml:space="preserve">on 1531 et seq.) requires that </w:t>
      </w:r>
      <w:r w:rsidRPr="00A81CCF">
        <w:rPr>
          <w:rFonts w:eastAsia="Calibri"/>
        </w:rPr>
        <w:t xml:space="preserve">federal agencies must ensure actions they authorize, fund, or carry out are not likely to jeopardize the continued existence of threatened or endangered species or the habitat designated as critical to their survival and recovery.  The ESA requires NMFS to consult with the appropriate administrative agency (itself for most marine species, and the U.S. Fish and Wildlife Service for all remaining species) when proposing an action that may affect threatened or endangered species or adversely modify critical habitat.  Consultations are necessary to determine the potential impacts of the proposed action.  They are concluded informally when proposed actions may affect but are “not likely to adversely affect” threatened or endangered species or designated critical habitat.  Formal consultations, resulting in a biological opinion, are required when proposed actions may affect and are “likely to adversely affect” threatened or endangered species or adversely modify designated critical habitat.  NMFS completed a biological opinion (NMFS 2006) in 2006 evaluating the impacts of the continued authorization of the South Atlantic snapper grouper fishery under the Fishery Management Plan for the Snapper Grouper Fishery of the South Atlantic Region (Snapper Grouper FMP) and Amendment 13C to the Snapper Grouper FMP on ESA-listed species (see </w:t>
      </w:r>
      <w:r w:rsidRPr="00A81CCF">
        <w:rPr>
          <w:rFonts w:eastAsia="Calibri"/>
          <w:b/>
          <w:bCs/>
        </w:rPr>
        <w:t>Chapter 3</w:t>
      </w:r>
      <w:r w:rsidRPr="00A81CCF">
        <w:rPr>
          <w:rFonts w:eastAsia="Calibri"/>
        </w:rPr>
        <w:t xml:space="preserve">).  The opinion stated the fishery was not likely to adversely affect North Atlantic right whale critical habitat, seabirds, or marine mammals (see NMFS 2006 for discussion on these species).  However, the opinion did state that the snapper grouper fishery would adversely affect sea turtles and smalltooth sawfish, but would not jeopardize their continued existence.  An incidental take statement was issued for green, hawksbill, Kemp’s ridley, leatherback, and loggerhead sea turtles, as well as smalltooth sawfish.  Reasonable and prudent measures to minimize the impact of these incidental takes were specified, along with terms and conditions to implement them.  See NMFS (2006) for a full discussion of impacts to smalltooth sawfish. </w:t>
      </w:r>
    </w:p>
    <w:p w14:paraId="1EB61299" w14:textId="77777777" w:rsidR="00A81CCF" w:rsidRPr="00A81CCF" w:rsidRDefault="00A81CCF" w:rsidP="00A81CCF">
      <w:pPr>
        <w:rPr>
          <w:rFonts w:eastAsia="Calibri"/>
        </w:rPr>
      </w:pPr>
    </w:p>
    <w:p w14:paraId="49F44A87" w14:textId="77777777" w:rsidR="00A81CCF" w:rsidRPr="00A81CCF" w:rsidRDefault="00A81CCF" w:rsidP="00A81CCF">
      <w:pPr>
        <w:rPr>
          <w:rFonts w:ascii="Arial" w:eastAsia="Calibri" w:hAnsi="Arial" w:cs="Arial"/>
          <w:sz w:val="20"/>
          <w:szCs w:val="20"/>
        </w:rPr>
      </w:pPr>
      <w:r w:rsidRPr="00A81CCF">
        <w:rPr>
          <w:rFonts w:ascii="Arial" w:eastAsia="Calibri" w:hAnsi="Arial" w:cs="Arial"/>
          <w:b/>
          <w:bCs/>
          <w:sz w:val="20"/>
          <w:szCs w:val="20"/>
        </w:rPr>
        <w:t xml:space="preserve">Table G-1.  </w:t>
      </w:r>
      <w:r w:rsidRPr="00A81CCF">
        <w:rPr>
          <w:rFonts w:ascii="Arial" w:eastAsia="Calibri" w:hAnsi="Arial" w:cs="Arial"/>
          <w:sz w:val="20"/>
          <w:szCs w:val="20"/>
        </w:rPr>
        <w:t xml:space="preserve">Three-year South Atlantic anticipated takes sea turtles in the snapper grouper fishery.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897"/>
        <w:gridCol w:w="763"/>
      </w:tblGrid>
      <w:tr w:rsidR="00A81CCF" w:rsidRPr="00A81CCF" w14:paraId="6F3FD5EC" w14:textId="77777777" w:rsidTr="005D1D26">
        <w:tc>
          <w:tcPr>
            <w:tcW w:w="0" w:type="auto"/>
            <w:shd w:val="clear" w:color="auto" w:fill="A6A6A6" w:themeFill="background1" w:themeFillShade="A6"/>
          </w:tcPr>
          <w:p w14:paraId="3BDBF9CE" w14:textId="77777777" w:rsidR="00A81CCF" w:rsidRPr="00A81CCF" w:rsidRDefault="00A81CCF" w:rsidP="00A81CCF">
            <w:pPr>
              <w:rPr>
                <w:rFonts w:eastAsia="Calibri"/>
                <w:b/>
                <w:bCs/>
              </w:rPr>
            </w:pPr>
            <w:r w:rsidRPr="00A81CCF">
              <w:rPr>
                <w:rFonts w:eastAsia="Calibri"/>
                <w:b/>
                <w:bCs/>
              </w:rPr>
              <w:t>Species</w:t>
            </w:r>
          </w:p>
        </w:tc>
        <w:tc>
          <w:tcPr>
            <w:tcW w:w="0" w:type="auto"/>
            <w:shd w:val="clear" w:color="auto" w:fill="A6A6A6" w:themeFill="background1" w:themeFillShade="A6"/>
          </w:tcPr>
          <w:p w14:paraId="010B28BC" w14:textId="77777777" w:rsidR="00A81CCF" w:rsidRPr="00A81CCF" w:rsidRDefault="00A81CCF" w:rsidP="00A81CCF">
            <w:pPr>
              <w:rPr>
                <w:rFonts w:eastAsia="Calibri"/>
                <w:b/>
                <w:bCs/>
              </w:rPr>
            </w:pPr>
            <w:r w:rsidRPr="00A81CCF">
              <w:rPr>
                <w:rFonts w:eastAsia="Calibri"/>
                <w:b/>
                <w:bCs/>
              </w:rPr>
              <w:t>Amount of Take</w:t>
            </w:r>
          </w:p>
        </w:tc>
        <w:tc>
          <w:tcPr>
            <w:tcW w:w="0" w:type="auto"/>
            <w:shd w:val="clear" w:color="auto" w:fill="A6A6A6" w:themeFill="background1" w:themeFillShade="A6"/>
          </w:tcPr>
          <w:p w14:paraId="2426600F" w14:textId="77777777" w:rsidR="00A81CCF" w:rsidRPr="00A81CCF" w:rsidRDefault="00A81CCF" w:rsidP="00A81CCF">
            <w:pPr>
              <w:rPr>
                <w:rFonts w:eastAsia="Calibri"/>
                <w:b/>
                <w:bCs/>
              </w:rPr>
            </w:pPr>
            <w:r w:rsidRPr="00A81CCF">
              <w:rPr>
                <w:rFonts w:eastAsia="Calibri"/>
                <w:b/>
                <w:bCs/>
              </w:rPr>
              <w:t>Total</w:t>
            </w:r>
          </w:p>
        </w:tc>
      </w:tr>
      <w:tr w:rsidR="00A81CCF" w:rsidRPr="00A81CCF" w14:paraId="27F6AFE3" w14:textId="77777777" w:rsidTr="005D1D26">
        <w:tc>
          <w:tcPr>
            <w:tcW w:w="0" w:type="auto"/>
            <w:vMerge w:val="restart"/>
          </w:tcPr>
          <w:p w14:paraId="7EFEA618" w14:textId="77777777" w:rsidR="00A81CCF" w:rsidRPr="00A81CCF" w:rsidRDefault="00A81CCF" w:rsidP="00A81CCF">
            <w:pPr>
              <w:rPr>
                <w:rFonts w:eastAsia="Calibri"/>
                <w:bCs/>
              </w:rPr>
            </w:pPr>
            <w:r w:rsidRPr="00A81CCF">
              <w:rPr>
                <w:rFonts w:eastAsia="Calibri"/>
                <w:bCs/>
              </w:rPr>
              <w:t>Green</w:t>
            </w:r>
          </w:p>
        </w:tc>
        <w:tc>
          <w:tcPr>
            <w:tcW w:w="0" w:type="auto"/>
          </w:tcPr>
          <w:p w14:paraId="0A36E9C6" w14:textId="77777777" w:rsidR="00A81CCF" w:rsidRPr="00A81CCF" w:rsidRDefault="00A81CCF" w:rsidP="005D1D26">
            <w:pPr>
              <w:jc w:val="center"/>
              <w:rPr>
                <w:rFonts w:eastAsia="Calibri"/>
                <w:bCs/>
              </w:rPr>
            </w:pPr>
            <w:r w:rsidRPr="00A81CCF">
              <w:rPr>
                <w:rFonts w:eastAsia="Calibri"/>
                <w:bCs/>
              </w:rPr>
              <w:t>Total Take</w:t>
            </w:r>
          </w:p>
        </w:tc>
        <w:tc>
          <w:tcPr>
            <w:tcW w:w="0" w:type="auto"/>
          </w:tcPr>
          <w:p w14:paraId="77B2F890" w14:textId="77777777" w:rsidR="00A81CCF" w:rsidRPr="00A81CCF" w:rsidRDefault="00A81CCF" w:rsidP="005D1D26">
            <w:pPr>
              <w:jc w:val="center"/>
              <w:rPr>
                <w:rFonts w:eastAsia="Calibri"/>
                <w:bCs/>
              </w:rPr>
            </w:pPr>
            <w:r w:rsidRPr="00A81CCF">
              <w:rPr>
                <w:rFonts w:eastAsia="Calibri"/>
                <w:bCs/>
              </w:rPr>
              <w:t>39</w:t>
            </w:r>
          </w:p>
        </w:tc>
      </w:tr>
      <w:tr w:rsidR="00A81CCF" w:rsidRPr="00A81CCF" w14:paraId="5CE61E11" w14:textId="77777777" w:rsidTr="005D1D26">
        <w:tc>
          <w:tcPr>
            <w:tcW w:w="0" w:type="auto"/>
            <w:vMerge/>
          </w:tcPr>
          <w:p w14:paraId="3DC66FCE" w14:textId="77777777" w:rsidR="00A81CCF" w:rsidRPr="00A81CCF" w:rsidRDefault="00A81CCF" w:rsidP="00A81CCF">
            <w:pPr>
              <w:rPr>
                <w:rFonts w:eastAsia="Calibri"/>
                <w:bCs/>
              </w:rPr>
            </w:pPr>
          </w:p>
        </w:tc>
        <w:tc>
          <w:tcPr>
            <w:tcW w:w="0" w:type="auto"/>
          </w:tcPr>
          <w:p w14:paraId="00BC1199" w14:textId="77777777" w:rsidR="00A81CCF" w:rsidRPr="00A81CCF" w:rsidRDefault="00A81CCF" w:rsidP="005D1D26">
            <w:pPr>
              <w:jc w:val="center"/>
              <w:rPr>
                <w:rFonts w:eastAsia="Calibri"/>
                <w:bCs/>
              </w:rPr>
            </w:pPr>
            <w:r w:rsidRPr="00A81CCF">
              <w:rPr>
                <w:rFonts w:eastAsia="Calibri"/>
                <w:bCs/>
              </w:rPr>
              <w:t>Lethal Take</w:t>
            </w:r>
          </w:p>
        </w:tc>
        <w:tc>
          <w:tcPr>
            <w:tcW w:w="0" w:type="auto"/>
          </w:tcPr>
          <w:p w14:paraId="49FBD34D" w14:textId="77777777" w:rsidR="00A81CCF" w:rsidRPr="00A81CCF" w:rsidRDefault="00A81CCF" w:rsidP="005D1D26">
            <w:pPr>
              <w:jc w:val="center"/>
              <w:rPr>
                <w:rFonts w:eastAsia="Calibri"/>
                <w:bCs/>
              </w:rPr>
            </w:pPr>
            <w:r w:rsidRPr="00A81CCF">
              <w:rPr>
                <w:rFonts w:eastAsia="Calibri"/>
                <w:bCs/>
              </w:rPr>
              <w:t>14</w:t>
            </w:r>
          </w:p>
        </w:tc>
      </w:tr>
      <w:tr w:rsidR="00A81CCF" w:rsidRPr="00A81CCF" w14:paraId="68910E71" w14:textId="77777777" w:rsidTr="005D1D26">
        <w:tc>
          <w:tcPr>
            <w:tcW w:w="0" w:type="auto"/>
            <w:vMerge w:val="restart"/>
          </w:tcPr>
          <w:p w14:paraId="031C6977" w14:textId="77777777" w:rsidR="00A81CCF" w:rsidRPr="00A81CCF" w:rsidRDefault="00A81CCF" w:rsidP="00A81CCF">
            <w:pPr>
              <w:rPr>
                <w:rFonts w:eastAsia="Calibri"/>
                <w:bCs/>
              </w:rPr>
            </w:pPr>
            <w:r w:rsidRPr="00A81CCF">
              <w:rPr>
                <w:rFonts w:eastAsia="Calibri"/>
                <w:bCs/>
              </w:rPr>
              <w:t>Hawksbill</w:t>
            </w:r>
          </w:p>
        </w:tc>
        <w:tc>
          <w:tcPr>
            <w:tcW w:w="0" w:type="auto"/>
          </w:tcPr>
          <w:p w14:paraId="7406B44C" w14:textId="77777777" w:rsidR="00A81CCF" w:rsidRPr="00A81CCF" w:rsidRDefault="00A81CCF" w:rsidP="005D1D26">
            <w:pPr>
              <w:jc w:val="center"/>
              <w:rPr>
                <w:rFonts w:eastAsia="Calibri"/>
                <w:bCs/>
              </w:rPr>
            </w:pPr>
            <w:r w:rsidRPr="00A81CCF">
              <w:rPr>
                <w:rFonts w:eastAsia="Calibri"/>
                <w:bCs/>
              </w:rPr>
              <w:t>Total Take</w:t>
            </w:r>
          </w:p>
        </w:tc>
        <w:tc>
          <w:tcPr>
            <w:tcW w:w="0" w:type="auto"/>
          </w:tcPr>
          <w:p w14:paraId="403FBF0C" w14:textId="77777777" w:rsidR="00A81CCF" w:rsidRPr="00A81CCF" w:rsidRDefault="00A81CCF" w:rsidP="005D1D26">
            <w:pPr>
              <w:jc w:val="center"/>
              <w:rPr>
                <w:rFonts w:eastAsia="Calibri"/>
                <w:bCs/>
              </w:rPr>
            </w:pPr>
            <w:r w:rsidRPr="00A81CCF">
              <w:rPr>
                <w:rFonts w:eastAsia="Calibri"/>
                <w:bCs/>
              </w:rPr>
              <w:t>4</w:t>
            </w:r>
          </w:p>
        </w:tc>
      </w:tr>
      <w:tr w:rsidR="00A81CCF" w:rsidRPr="00A81CCF" w14:paraId="314B3A2A" w14:textId="77777777" w:rsidTr="005D1D26">
        <w:tc>
          <w:tcPr>
            <w:tcW w:w="0" w:type="auto"/>
            <w:vMerge/>
          </w:tcPr>
          <w:p w14:paraId="1FE3F226" w14:textId="77777777" w:rsidR="00A81CCF" w:rsidRPr="00A81CCF" w:rsidRDefault="00A81CCF" w:rsidP="00A81CCF">
            <w:pPr>
              <w:rPr>
                <w:rFonts w:eastAsia="Calibri"/>
                <w:bCs/>
              </w:rPr>
            </w:pPr>
          </w:p>
        </w:tc>
        <w:tc>
          <w:tcPr>
            <w:tcW w:w="0" w:type="auto"/>
          </w:tcPr>
          <w:p w14:paraId="06CD6144" w14:textId="77777777" w:rsidR="00A81CCF" w:rsidRPr="00A81CCF" w:rsidRDefault="00A81CCF" w:rsidP="005D1D26">
            <w:pPr>
              <w:jc w:val="center"/>
              <w:rPr>
                <w:rFonts w:eastAsia="Calibri"/>
                <w:bCs/>
              </w:rPr>
            </w:pPr>
            <w:r w:rsidRPr="00A81CCF">
              <w:rPr>
                <w:rFonts w:eastAsia="Calibri"/>
                <w:bCs/>
              </w:rPr>
              <w:t>Lethal Take</w:t>
            </w:r>
          </w:p>
        </w:tc>
        <w:tc>
          <w:tcPr>
            <w:tcW w:w="0" w:type="auto"/>
          </w:tcPr>
          <w:p w14:paraId="10192FCB" w14:textId="77777777" w:rsidR="00A81CCF" w:rsidRPr="00A81CCF" w:rsidRDefault="00A81CCF" w:rsidP="005D1D26">
            <w:pPr>
              <w:jc w:val="center"/>
              <w:rPr>
                <w:rFonts w:eastAsia="Calibri"/>
                <w:bCs/>
              </w:rPr>
            </w:pPr>
            <w:r w:rsidRPr="00A81CCF">
              <w:rPr>
                <w:rFonts w:eastAsia="Calibri"/>
                <w:bCs/>
              </w:rPr>
              <w:t>3</w:t>
            </w:r>
          </w:p>
        </w:tc>
      </w:tr>
      <w:tr w:rsidR="00A81CCF" w:rsidRPr="00A81CCF" w14:paraId="1A266B59" w14:textId="77777777" w:rsidTr="005D1D26">
        <w:tc>
          <w:tcPr>
            <w:tcW w:w="0" w:type="auto"/>
            <w:vMerge w:val="restart"/>
          </w:tcPr>
          <w:p w14:paraId="2E0338AC" w14:textId="77777777" w:rsidR="00A81CCF" w:rsidRPr="00A81CCF" w:rsidRDefault="00A81CCF" w:rsidP="00A81CCF">
            <w:pPr>
              <w:rPr>
                <w:rFonts w:eastAsia="Calibri"/>
                <w:bCs/>
              </w:rPr>
            </w:pPr>
            <w:r w:rsidRPr="00A81CCF">
              <w:rPr>
                <w:rFonts w:eastAsia="Calibri"/>
                <w:bCs/>
              </w:rPr>
              <w:t>Kemp’s Ridley</w:t>
            </w:r>
          </w:p>
        </w:tc>
        <w:tc>
          <w:tcPr>
            <w:tcW w:w="0" w:type="auto"/>
          </w:tcPr>
          <w:p w14:paraId="4CA1E90A" w14:textId="77777777" w:rsidR="00A81CCF" w:rsidRPr="00A81CCF" w:rsidRDefault="00A81CCF" w:rsidP="005D1D26">
            <w:pPr>
              <w:jc w:val="center"/>
              <w:rPr>
                <w:rFonts w:eastAsia="Calibri"/>
                <w:bCs/>
              </w:rPr>
            </w:pPr>
            <w:r w:rsidRPr="00A81CCF">
              <w:rPr>
                <w:rFonts w:eastAsia="Calibri"/>
                <w:bCs/>
              </w:rPr>
              <w:t>Total Take</w:t>
            </w:r>
          </w:p>
        </w:tc>
        <w:tc>
          <w:tcPr>
            <w:tcW w:w="0" w:type="auto"/>
          </w:tcPr>
          <w:p w14:paraId="7A75F434" w14:textId="77777777" w:rsidR="00A81CCF" w:rsidRPr="00A81CCF" w:rsidRDefault="00A81CCF" w:rsidP="005D1D26">
            <w:pPr>
              <w:jc w:val="center"/>
              <w:rPr>
                <w:rFonts w:eastAsia="Calibri"/>
                <w:bCs/>
              </w:rPr>
            </w:pPr>
            <w:r w:rsidRPr="00A81CCF">
              <w:rPr>
                <w:rFonts w:eastAsia="Calibri"/>
                <w:bCs/>
              </w:rPr>
              <w:t>19</w:t>
            </w:r>
          </w:p>
        </w:tc>
      </w:tr>
      <w:tr w:rsidR="00A81CCF" w:rsidRPr="00A81CCF" w14:paraId="5749E90B" w14:textId="77777777" w:rsidTr="005D1D26">
        <w:tc>
          <w:tcPr>
            <w:tcW w:w="0" w:type="auto"/>
            <w:vMerge/>
          </w:tcPr>
          <w:p w14:paraId="4EF103EE" w14:textId="77777777" w:rsidR="00A81CCF" w:rsidRPr="00A81CCF" w:rsidRDefault="00A81CCF" w:rsidP="00A81CCF">
            <w:pPr>
              <w:rPr>
                <w:rFonts w:eastAsia="Calibri"/>
                <w:bCs/>
              </w:rPr>
            </w:pPr>
          </w:p>
        </w:tc>
        <w:tc>
          <w:tcPr>
            <w:tcW w:w="0" w:type="auto"/>
          </w:tcPr>
          <w:p w14:paraId="0F30B00F" w14:textId="77777777" w:rsidR="00A81CCF" w:rsidRPr="00A81CCF" w:rsidRDefault="00A81CCF" w:rsidP="005D1D26">
            <w:pPr>
              <w:jc w:val="center"/>
              <w:rPr>
                <w:rFonts w:eastAsia="Calibri"/>
                <w:bCs/>
              </w:rPr>
            </w:pPr>
            <w:r w:rsidRPr="00A81CCF">
              <w:rPr>
                <w:rFonts w:eastAsia="Calibri"/>
                <w:bCs/>
              </w:rPr>
              <w:t>Lethal Take</w:t>
            </w:r>
          </w:p>
        </w:tc>
        <w:tc>
          <w:tcPr>
            <w:tcW w:w="0" w:type="auto"/>
          </w:tcPr>
          <w:p w14:paraId="59DEE6D2" w14:textId="77777777" w:rsidR="00A81CCF" w:rsidRPr="00A81CCF" w:rsidRDefault="00A81CCF" w:rsidP="005D1D26">
            <w:pPr>
              <w:jc w:val="center"/>
              <w:rPr>
                <w:rFonts w:eastAsia="Calibri"/>
                <w:bCs/>
              </w:rPr>
            </w:pPr>
            <w:r w:rsidRPr="00A81CCF">
              <w:rPr>
                <w:rFonts w:eastAsia="Calibri"/>
                <w:bCs/>
              </w:rPr>
              <w:t>8</w:t>
            </w:r>
          </w:p>
        </w:tc>
      </w:tr>
      <w:tr w:rsidR="00A81CCF" w:rsidRPr="00A81CCF" w14:paraId="4C4FC96C" w14:textId="77777777" w:rsidTr="005D1D26">
        <w:tc>
          <w:tcPr>
            <w:tcW w:w="0" w:type="auto"/>
            <w:vMerge w:val="restart"/>
          </w:tcPr>
          <w:p w14:paraId="497E3445" w14:textId="77777777" w:rsidR="00A81CCF" w:rsidRPr="00A81CCF" w:rsidRDefault="00A81CCF" w:rsidP="00A81CCF">
            <w:pPr>
              <w:rPr>
                <w:rFonts w:eastAsia="Calibri"/>
                <w:bCs/>
              </w:rPr>
            </w:pPr>
            <w:r w:rsidRPr="00A81CCF">
              <w:rPr>
                <w:rFonts w:eastAsia="Calibri"/>
                <w:bCs/>
              </w:rPr>
              <w:t>Leatherback</w:t>
            </w:r>
          </w:p>
          <w:p w14:paraId="09A81CC7" w14:textId="77777777" w:rsidR="00A81CCF" w:rsidRPr="00A81CCF" w:rsidRDefault="00A81CCF" w:rsidP="00A81CCF">
            <w:pPr>
              <w:rPr>
                <w:rFonts w:eastAsia="Calibri"/>
                <w:bCs/>
              </w:rPr>
            </w:pPr>
          </w:p>
        </w:tc>
        <w:tc>
          <w:tcPr>
            <w:tcW w:w="0" w:type="auto"/>
          </w:tcPr>
          <w:p w14:paraId="1164AC61" w14:textId="77777777" w:rsidR="00A81CCF" w:rsidRPr="00A81CCF" w:rsidRDefault="00A81CCF" w:rsidP="005D1D26">
            <w:pPr>
              <w:jc w:val="center"/>
              <w:rPr>
                <w:rFonts w:eastAsia="Calibri"/>
                <w:bCs/>
              </w:rPr>
            </w:pPr>
            <w:r w:rsidRPr="00A81CCF">
              <w:rPr>
                <w:rFonts w:eastAsia="Calibri"/>
                <w:bCs/>
              </w:rPr>
              <w:t>Total Take</w:t>
            </w:r>
          </w:p>
        </w:tc>
        <w:tc>
          <w:tcPr>
            <w:tcW w:w="0" w:type="auto"/>
          </w:tcPr>
          <w:p w14:paraId="5E35AD8C" w14:textId="77777777" w:rsidR="00A81CCF" w:rsidRPr="00A81CCF" w:rsidRDefault="00A81CCF" w:rsidP="005D1D26">
            <w:pPr>
              <w:jc w:val="center"/>
              <w:rPr>
                <w:rFonts w:eastAsia="Calibri"/>
                <w:bCs/>
              </w:rPr>
            </w:pPr>
            <w:r w:rsidRPr="00A81CCF">
              <w:rPr>
                <w:rFonts w:eastAsia="Calibri"/>
                <w:bCs/>
              </w:rPr>
              <w:t>25</w:t>
            </w:r>
          </w:p>
        </w:tc>
      </w:tr>
      <w:tr w:rsidR="00A81CCF" w:rsidRPr="00A81CCF" w14:paraId="689B695C" w14:textId="77777777" w:rsidTr="005D1D26">
        <w:tc>
          <w:tcPr>
            <w:tcW w:w="0" w:type="auto"/>
            <w:vMerge/>
          </w:tcPr>
          <w:p w14:paraId="2BEF0DDA" w14:textId="77777777" w:rsidR="00A81CCF" w:rsidRPr="00A81CCF" w:rsidRDefault="00A81CCF" w:rsidP="00A81CCF">
            <w:pPr>
              <w:rPr>
                <w:rFonts w:eastAsia="Calibri"/>
                <w:bCs/>
              </w:rPr>
            </w:pPr>
          </w:p>
        </w:tc>
        <w:tc>
          <w:tcPr>
            <w:tcW w:w="0" w:type="auto"/>
          </w:tcPr>
          <w:p w14:paraId="0CF320F7" w14:textId="77777777" w:rsidR="00A81CCF" w:rsidRPr="00A81CCF" w:rsidRDefault="00A81CCF" w:rsidP="005D1D26">
            <w:pPr>
              <w:jc w:val="center"/>
              <w:rPr>
                <w:rFonts w:eastAsia="Calibri"/>
                <w:bCs/>
              </w:rPr>
            </w:pPr>
            <w:r w:rsidRPr="00A81CCF">
              <w:rPr>
                <w:rFonts w:eastAsia="Calibri"/>
                <w:bCs/>
              </w:rPr>
              <w:t>Lethal Take</w:t>
            </w:r>
          </w:p>
        </w:tc>
        <w:tc>
          <w:tcPr>
            <w:tcW w:w="0" w:type="auto"/>
          </w:tcPr>
          <w:p w14:paraId="6644631E" w14:textId="77777777" w:rsidR="00A81CCF" w:rsidRPr="00A81CCF" w:rsidRDefault="00A81CCF" w:rsidP="005D1D26">
            <w:pPr>
              <w:jc w:val="center"/>
              <w:rPr>
                <w:rFonts w:eastAsia="Calibri"/>
                <w:bCs/>
              </w:rPr>
            </w:pPr>
            <w:r w:rsidRPr="00A81CCF">
              <w:rPr>
                <w:rFonts w:eastAsia="Calibri"/>
                <w:bCs/>
              </w:rPr>
              <w:t>15</w:t>
            </w:r>
          </w:p>
        </w:tc>
      </w:tr>
      <w:tr w:rsidR="00A81CCF" w:rsidRPr="00A81CCF" w14:paraId="6D352B31" w14:textId="77777777" w:rsidTr="005D1D26">
        <w:tc>
          <w:tcPr>
            <w:tcW w:w="0" w:type="auto"/>
            <w:vMerge w:val="restart"/>
          </w:tcPr>
          <w:p w14:paraId="2D25EB1B" w14:textId="77777777" w:rsidR="00A81CCF" w:rsidRPr="00A81CCF" w:rsidRDefault="00A81CCF" w:rsidP="00A81CCF">
            <w:pPr>
              <w:rPr>
                <w:rFonts w:eastAsia="Calibri"/>
                <w:bCs/>
              </w:rPr>
            </w:pPr>
            <w:r w:rsidRPr="00A81CCF">
              <w:rPr>
                <w:rFonts w:eastAsia="Calibri"/>
                <w:bCs/>
              </w:rPr>
              <w:t>Loggerhead</w:t>
            </w:r>
          </w:p>
        </w:tc>
        <w:tc>
          <w:tcPr>
            <w:tcW w:w="0" w:type="auto"/>
          </w:tcPr>
          <w:p w14:paraId="22B927E1" w14:textId="77777777" w:rsidR="00A81CCF" w:rsidRPr="00A81CCF" w:rsidRDefault="00A81CCF" w:rsidP="005D1D26">
            <w:pPr>
              <w:jc w:val="center"/>
              <w:rPr>
                <w:rFonts w:eastAsia="Calibri"/>
                <w:bCs/>
              </w:rPr>
            </w:pPr>
            <w:r w:rsidRPr="00A81CCF">
              <w:rPr>
                <w:rFonts w:eastAsia="Calibri"/>
                <w:bCs/>
              </w:rPr>
              <w:t>Total Take</w:t>
            </w:r>
          </w:p>
        </w:tc>
        <w:tc>
          <w:tcPr>
            <w:tcW w:w="0" w:type="auto"/>
          </w:tcPr>
          <w:p w14:paraId="343B97A4" w14:textId="77777777" w:rsidR="00A81CCF" w:rsidRPr="00A81CCF" w:rsidRDefault="00A81CCF" w:rsidP="005D1D26">
            <w:pPr>
              <w:jc w:val="center"/>
              <w:rPr>
                <w:rFonts w:eastAsia="Calibri"/>
                <w:bCs/>
              </w:rPr>
            </w:pPr>
            <w:r w:rsidRPr="00A81CCF">
              <w:rPr>
                <w:rFonts w:eastAsia="Calibri"/>
                <w:bCs/>
              </w:rPr>
              <w:t>202</w:t>
            </w:r>
          </w:p>
        </w:tc>
      </w:tr>
      <w:tr w:rsidR="00A81CCF" w:rsidRPr="00A81CCF" w14:paraId="6ACF6125" w14:textId="77777777" w:rsidTr="005D1D26">
        <w:tc>
          <w:tcPr>
            <w:tcW w:w="0" w:type="auto"/>
            <w:vMerge/>
          </w:tcPr>
          <w:p w14:paraId="2BC6F4FB" w14:textId="77777777" w:rsidR="00A81CCF" w:rsidRPr="00A81CCF" w:rsidRDefault="00A81CCF" w:rsidP="00A81CCF">
            <w:pPr>
              <w:rPr>
                <w:rFonts w:eastAsia="Calibri"/>
                <w:bCs/>
              </w:rPr>
            </w:pPr>
          </w:p>
        </w:tc>
        <w:tc>
          <w:tcPr>
            <w:tcW w:w="0" w:type="auto"/>
          </w:tcPr>
          <w:p w14:paraId="0AB11688" w14:textId="77777777" w:rsidR="00A81CCF" w:rsidRPr="00A81CCF" w:rsidRDefault="00A81CCF" w:rsidP="005D1D26">
            <w:pPr>
              <w:jc w:val="center"/>
              <w:rPr>
                <w:rFonts w:eastAsia="Calibri"/>
                <w:bCs/>
              </w:rPr>
            </w:pPr>
            <w:r w:rsidRPr="00A81CCF">
              <w:rPr>
                <w:rFonts w:eastAsia="Calibri"/>
                <w:bCs/>
              </w:rPr>
              <w:t>Lethal Take</w:t>
            </w:r>
          </w:p>
        </w:tc>
        <w:tc>
          <w:tcPr>
            <w:tcW w:w="0" w:type="auto"/>
          </w:tcPr>
          <w:p w14:paraId="46BA0E9C" w14:textId="77777777" w:rsidR="00A81CCF" w:rsidRPr="00A81CCF" w:rsidRDefault="00A81CCF" w:rsidP="005D1D26">
            <w:pPr>
              <w:jc w:val="center"/>
              <w:rPr>
                <w:rFonts w:eastAsia="Calibri"/>
                <w:bCs/>
              </w:rPr>
            </w:pPr>
            <w:r w:rsidRPr="00A81CCF">
              <w:rPr>
                <w:rFonts w:eastAsia="Calibri"/>
                <w:bCs/>
              </w:rPr>
              <w:t>67</w:t>
            </w:r>
          </w:p>
        </w:tc>
      </w:tr>
    </w:tbl>
    <w:p w14:paraId="30CEA68D" w14:textId="77777777" w:rsidR="00A81CCF" w:rsidRPr="005D1D26" w:rsidRDefault="00A81CCF" w:rsidP="00A81CCF">
      <w:pPr>
        <w:rPr>
          <w:rFonts w:ascii="Arial" w:eastAsia="Calibri" w:hAnsi="Arial" w:cs="Arial"/>
          <w:bCs/>
          <w:sz w:val="20"/>
          <w:szCs w:val="20"/>
        </w:rPr>
      </w:pPr>
      <w:r w:rsidRPr="005D1D26">
        <w:rPr>
          <w:rFonts w:ascii="Arial" w:eastAsia="Calibri" w:hAnsi="Arial" w:cs="Arial"/>
          <w:bCs/>
          <w:sz w:val="20"/>
          <w:szCs w:val="20"/>
        </w:rPr>
        <w:t xml:space="preserve">Source:  NMFS 2006.  </w:t>
      </w:r>
      <w:r w:rsidRPr="005D1D26">
        <w:rPr>
          <w:rFonts w:ascii="Arial" w:eastAsia="Calibri" w:hAnsi="Arial" w:cs="Arial"/>
          <w:sz w:val="20"/>
          <w:szCs w:val="20"/>
        </w:rPr>
        <w:t>NMFS (National Marine Fisheries Service</w:t>
      </w:r>
      <w:r w:rsidRPr="005D1D26">
        <w:rPr>
          <w:rFonts w:ascii="Arial" w:eastAsia="Calibri" w:hAnsi="Arial" w:cs="Arial"/>
          <w:sz w:val="20"/>
          <w:szCs w:val="20"/>
        </w:rPr>
        <w:fldChar w:fldCharType="begin"/>
      </w:r>
      <w:r w:rsidRPr="005D1D26">
        <w:rPr>
          <w:rFonts w:ascii="Arial" w:hAnsi="Arial" w:cs="Arial"/>
          <w:sz w:val="20"/>
          <w:szCs w:val="20"/>
        </w:rPr>
        <w:instrText xml:space="preserve"> XE "National Marine Fisheries Service" </w:instrText>
      </w:r>
      <w:r w:rsidRPr="005D1D26">
        <w:rPr>
          <w:rFonts w:ascii="Arial" w:eastAsia="Calibri" w:hAnsi="Arial" w:cs="Arial"/>
          <w:sz w:val="20"/>
          <w:szCs w:val="20"/>
        </w:rPr>
        <w:fldChar w:fldCharType="end"/>
      </w:r>
      <w:r w:rsidRPr="005D1D26">
        <w:rPr>
          <w:rFonts w:ascii="Arial" w:eastAsia="Calibri" w:hAnsi="Arial" w:cs="Arial"/>
          <w:sz w:val="20"/>
          <w:szCs w:val="20"/>
        </w:rPr>
        <w:t>). 2006. Endangered Species Act Section 7 consultation on the continued authorization of snapper grouper fishing under the Snapper Grouper FMP and Proposed Amendment 13C.  Biological Opinion.  June 7.</w:t>
      </w:r>
    </w:p>
    <w:p w14:paraId="02D84E76" w14:textId="77777777" w:rsidR="00A81CCF" w:rsidRPr="00A81CCF" w:rsidRDefault="00A81CCF" w:rsidP="00A81CCF">
      <w:pPr>
        <w:rPr>
          <w:rFonts w:eastAsia="Calibri"/>
        </w:rPr>
      </w:pPr>
    </w:p>
    <w:p w14:paraId="59E7E8E2" w14:textId="77777777" w:rsidR="00D06628" w:rsidRDefault="00D06628">
      <w:pPr>
        <w:rPr>
          <w:rFonts w:eastAsia="Calibri"/>
        </w:rPr>
      </w:pPr>
      <w:r>
        <w:rPr>
          <w:rFonts w:eastAsia="Calibri"/>
        </w:rPr>
        <w:br w:type="page"/>
      </w:r>
    </w:p>
    <w:p w14:paraId="3F46B32C" w14:textId="15863D3C" w:rsidR="00A81CCF" w:rsidRPr="00A81CCF" w:rsidRDefault="00A81CCF" w:rsidP="00D06628">
      <w:pPr>
        <w:ind w:firstLine="360"/>
        <w:rPr>
          <w:rFonts w:eastAsia="Calibri"/>
        </w:rPr>
      </w:pPr>
      <w:r w:rsidRPr="00A81CCF">
        <w:rPr>
          <w:rFonts w:eastAsia="Calibri"/>
        </w:rPr>
        <w:lastRenderedPageBreak/>
        <w:t>Sea turtles are vulnerable to capture by bottom longline and vertical hook-and-line gear.  The magnitude of the interactions between sea turtles and the South Atlantic snapper grouper fishery was evaluated in NMFS (2006) using data from the Supplementary Discard Data Program (SDDP).  Three loggerheads and three unidentified sea turtles were caught on vertical lines; one leatherback and one loggerhead were caught on bottom longlines, all were released alive.  The effort reported in the program represented between approximately 5% and 14% of all South Atlantic snapper-grouper fishing effort.  These data were extrapolated in NMFS (2006) to better estimate the number of interactions between the entire snapper-grouper fishery and ESA-listed sea turtles.  The extrapolated estimate was used to project future interactions (</w:t>
      </w:r>
      <w:r w:rsidRPr="00A81CCF">
        <w:rPr>
          <w:rFonts w:eastAsia="Calibri"/>
          <w:b/>
          <w:bCs/>
        </w:rPr>
        <w:t>Table G-1</w:t>
      </w:r>
      <w:r w:rsidRPr="00A81CCF">
        <w:rPr>
          <w:rFonts w:eastAsia="Calibri"/>
        </w:rPr>
        <w:t xml:space="preserve">). </w:t>
      </w:r>
    </w:p>
    <w:p w14:paraId="16548292" w14:textId="77777777" w:rsidR="00A81CCF" w:rsidRPr="00A81CCF" w:rsidRDefault="00A81CCF" w:rsidP="00A81CCF">
      <w:pPr>
        <w:rPr>
          <w:rFonts w:eastAsia="Calibri"/>
        </w:rPr>
      </w:pPr>
    </w:p>
    <w:p w14:paraId="4321CE84" w14:textId="77777777" w:rsidR="00A81CCF" w:rsidRPr="00A81CCF" w:rsidRDefault="00A81CCF" w:rsidP="00D06628">
      <w:pPr>
        <w:ind w:firstLine="360"/>
        <w:rPr>
          <w:rFonts w:eastAsia="Calibri"/>
        </w:rPr>
      </w:pPr>
      <w:r w:rsidRPr="00A81CCF">
        <w:rPr>
          <w:rFonts w:eastAsia="Calibri"/>
        </w:rPr>
        <w:t>The SDDP does not provide data on recreational fishing interactions with ESA-listed sea turtle species.  However, anecdotal information indicates that recreational fishermen occasionally take sea turtles with hook-and-line gear.  The biological opinion also used the extrapolated data from the SDDP to estimate the magnitude of recreational fishing on sea turtles (</w:t>
      </w:r>
      <w:r w:rsidRPr="00A81CCF">
        <w:rPr>
          <w:rFonts w:eastAsia="Calibri"/>
          <w:b/>
          <w:bCs/>
        </w:rPr>
        <w:t>Table G-1</w:t>
      </w:r>
      <w:r w:rsidRPr="00A81CCF">
        <w:rPr>
          <w:rFonts w:eastAsia="Calibri"/>
        </w:rPr>
        <w:t xml:space="preserve">). </w:t>
      </w:r>
    </w:p>
    <w:p w14:paraId="02FC6FA1" w14:textId="77777777" w:rsidR="00A81CCF" w:rsidRPr="00A81CCF" w:rsidRDefault="00A81CCF" w:rsidP="00A81CCF">
      <w:pPr>
        <w:rPr>
          <w:rFonts w:eastAsia="Calibri"/>
        </w:rPr>
      </w:pPr>
    </w:p>
    <w:p w14:paraId="29532684" w14:textId="77777777" w:rsidR="00A81CCF" w:rsidRPr="00A81CCF" w:rsidRDefault="00A81CCF" w:rsidP="00D06628">
      <w:pPr>
        <w:ind w:firstLine="360"/>
        <w:rPr>
          <w:rFonts w:eastAsia="Calibri"/>
        </w:rPr>
      </w:pPr>
      <w:r w:rsidRPr="00A81CCF">
        <w:rPr>
          <w:rFonts w:eastAsia="Calibri"/>
        </w:rPr>
        <w:t xml:space="preserve">Regulations implemented through Amendment 15B to the Snapper Grouper FMP (74 FR 31225; June 30, 2009) required all commercial or charter/headboat vessels with a South Atlantic snapper grouper permit, carrying hook-and-line gear on board, to possess required literature and release gear to aid in the safe release of incidentally caught sea turtles and smalltooth sawfish.  These regulations are thought to decrease the mortality associated with accidental interactions with sea turtles and smalltooth sawfish. </w:t>
      </w:r>
    </w:p>
    <w:p w14:paraId="75F9642D" w14:textId="77777777" w:rsidR="00A81CCF" w:rsidRPr="00A81CCF" w:rsidRDefault="00A81CCF" w:rsidP="00A81CCF">
      <w:pPr>
        <w:rPr>
          <w:rFonts w:eastAsia="Calibri"/>
        </w:rPr>
      </w:pPr>
    </w:p>
    <w:p w14:paraId="7B851B77" w14:textId="27D8F8F5" w:rsidR="00A81CCF" w:rsidRPr="00A81CCF" w:rsidRDefault="00C817AB" w:rsidP="00D06628">
      <w:pPr>
        <w:ind w:firstLine="360"/>
        <w:rPr>
          <w:rFonts w:eastAsia="Calibri"/>
        </w:rPr>
      </w:pPr>
      <w:r>
        <w:rPr>
          <w:rFonts w:eastAsia="Calibri"/>
        </w:rPr>
        <w:t>Subsequent to the June 7, 2006</w:t>
      </w:r>
      <w:r w:rsidR="00A81CCF" w:rsidRPr="00A81CCF">
        <w:rPr>
          <w:rFonts w:eastAsia="Calibri"/>
        </w:rPr>
        <w:t xml:space="preserve"> opinion, NMFS made several modifications to the list of protected species for which they are responsible.  These changes included (1) the listing of two species of </w:t>
      </w:r>
      <w:r w:rsidR="00A81CCF" w:rsidRPr="00A81CCF">
        <w:rPr>
          <w:rFonts w:eastAsia="Calibri"/>
          <w:i/>
        </w:rPr>
        <w:t>Acropora</w:t>
      </w:r>
      <w:r w:rsidR="00A81CCF" w:rsidRPr="00A81CCF">
        <w:rPr>
          <w:rFonts w:eastAsia="Calibri"/>
        </w:rPr>
        <w:t xml:space="preserve"> coral (71 FR 26852, May 9, 2006), (2) the designation of </w:t>
      </w:r>
      <w:r w:rsidR="00A81CCF" w:rsidRPr="00A81CCF">
        <w:rPr>
          <w:rFonts w:eastAsia="Calibri"/>
          <w:i/>
        </w:rPr>
        <w:t>Acropora</w:t>
      </w:r>
      <w:r w:rsidR="00A81CCF" w:rsidRPr="00A81CCF">
        <w:rPr>
          <w:rFonts w:eastAsia="Calibri"/>
        </w:rPr>
        <w:t xml:space="preserve"> critical habitat (73 FR 72210, November 26, 2008), (3) the determination that the loggerhead sea turtle population consists of nine DPSs (76 FR 58868, September 22, 201 1), (4) the listing of five DPSs of Atlantic sturgeon (77 FR 5914, February 6, 2012, and 77 FR 5880, February 6, 2012), and (5) the listing of five additional coral species (79 FR 53851, September 10, 2014). </w:t>
      </w:r>
    </w:p>
    <w:p w14:paraId="3C7B8DA8" w14:textId="77777777" w:rsidR="00A81CCF" w:rsidRPr="00A81CCF" w:rsidRDefault="00A81CCF" w:rsidP="00A81CCF">
      <w:pPr>
        <w:rPr>
          <w:rFonts w:eastAsia="Calibri"/>
        </w:rPr>
      </w:pPr>
    </w:p>
    <w:p w14:paraId="112762A6" w14:textId="77777777" w:rsidR="00DD50E0" w:rsidRDefault="00A81CCF" w:rsidP="00DD50E0">
      <w:pPr>
        <w:ind w:firstLine="360"/>
        <w:rPr>
          <w:rFonts w:eastAsia="Calibri"/>
        </w:rPr>
      </w:pPr>
      <w:r w:rsidRPr="00A81CCF">
        <w:rPr>
          <w:rFonts w:eastAsia="Calibri"/>
        </w:rPr>
        <w:t>NMFS addressed these ESA changes in a series of consultation memoranda.  In separate memoranda, NMFS concluded the continued authorizatio</w:t>
      </w:r>
      <w:r w:rsidR="00C817AB">
        <w:rPr>
          <w:rFonts w:eastAsia="Calibri"/>
        </w:rPr>
        <w:t xml:space="preserve">n of the South Atlantic snapper </w:t>
      </w:r>
      <w:r w:rsidRPr="00A81CCF">
        <w:rPr>
          <w:rFonts w:eastAsia="Calibri"/>
        </w:rPr>
        <w:t>grouper fishery is not likely to adversely affect elkhorn or staghorn coral (</w:t>
      </w:r>
      <w:r w:rsidRPr="00A81CCF">
        <w:rPr>
          <w:rFonts w:eastAsia="Calibri"/>
          <w:i/>
        </w:rPr>
        <w:t>Acropora</w:t>
      </w:r>
      <w:r w:rsidRPr="00A81CCF">
        <w:rPr>
          <w:rFonts w:eastAsia="Calibri"/>
        </w:rPr>
        <w:t xml:space="preserve"> spp.; July 9, 2007), </w:t>
      </w:r>
      <w:r w:rsidRPr="00A81CCF">
        <w:rPr>
          <w:rFonts w:eastAsia="Calibri"/>
          <w:i/>
        </w:rPr>
        <w:t>Acropora</w:t>
      </w:r>
      <w:r w:rsidRPr="00A81CCF">
        <w:rPr>
          <w:rFonts w:eastAsia="Calibri"/>
        </w:rPr>
        <w:t xml:space="preserve"> critical habitat (December 2, 2008), and Atlantic sturgeon (February 15, 2012).  The February 15, 2012, memorandum also stated that because the 2006 biological opinion had evaluated </w:t>
      </w:r>
      <w:r w:rsidRPr="00A81CCF">
        <w:rPr>
          <w:rFonts w:eastAsia="Calibri"/>
          <w:lang w:val="en-CA"/>
        </w:rPr>
        <w:t>the impacts of the snapper-grouper fishery</w:t>
      </w:r>
      <w:r w:rsidRPr="00A81CCF">
        <w:rPr>
          <w:rFonts w:eastAsia="Calibri"/>
        </w:rPr>
        <w:t xml:space="preserve"> on the </w:t>
      </w:r>
      <w:r w:rsidRPr="00A81CCF">
        <w:rPr>
          <w:rFonts w:eastAsia="Calibri"/>
          <w:lang w:val="en-CA"/>
        </w:rPr>
        <w:t xml:space="preserve">loggerhead sea turtle </w:t>
      </w:r>
      <w:r w:rsidRPr="00A81CCF">
        <w:rPr>
          <w:rFonts w:eastAsia="Calibri"/>
        </w:rPr>
        <w:t xml:space="preserve">subpopulations now wholly contained within the Northwest Atlantic DPS, the biological opinion’s conclusion that the fishery </w:t>
      </w:r>
      <w:r w:rsidRPr="00A81CCF">
        <w:rPr>
          <w:rFonts w:eastAsia="Calibri"/>
          <w:lang w:val="en-CA"/>
        </w:rPr>
        <w:t xml:space="preserve">is not likely to jeopardize the continued existence of loggerhead sea turtles remains valid. </w:t>
      </w:r>
      <w:r w:rsidRPr="00A81CCF">
        <w:rPr>
          <w:rFonts w:eastAsia="Calibri"/>
        </w:rPr>
        <w:t xml:space="preserve"> In a memorandum dated January 23, 2013, NMFS concluded new information provided in the proposed reclassification (uplisting) of </w:t>
      </w:r>
      <w:r w:rsidRPr="00A81CCF">
        <w:rPr>
          <w:rFonts w:eastAsia="Calibri"/>
          <w:i/>
        </w:rPr>
        <w:t>Acropora</w:t>
      </w:r>
      <w:r w:rsidRPr="00A81CCF">
        <w:rPr>
          <w:rFonts w:eastAsia="Calibri"/>
        </w:rPr>
        <w:t xml:space="preserve"> did not change the previous effects determination that the fishery was not likely to adversely affect </w:t>
      </w:r>
      <w:r w:rsidRPr="00A81CCF">
        <w:rPr>
          <w:rFonts w:eastAsia="Calibri"/>
          <w:i/>
        </w:rPr>
        <w:t>Acropora</w:t>
      </w:r>
      <w:r w:rsidRPr="00A81CCF">
        <w:rPr>
          <w:rFonts w:eastAsia="Calibri"/>
        </w:rPr>
        <w:t>.  No new information was included in the final listing rule (79 FR 53851, September 10, 2014) that indicates NMFS’s previous effects determinations regarding the potential impacts of the sna</w:t>
      </w:r>
      <w:r w:rsidR="00C817AB">
        <w:rPr>
          <w:rFonts w:eastAsia="Calibri"/>
        </w:rPr>
        <w:t xml:space="preserve">pper </w:t>
      </w:r>
      <w:r w:rsidRPr="00A81CCF">
        <w:rPr>
          <w:rFonts w:eastAsia="Calibri"/>
        </w:rPr>
        <w:t xml:space="preserve">grouper fishery on </w:t>
      </w:r>
      <w:r w:rsidRPr="00A81CCF">
        <w:rPr>
          <w:rFonts w:eastAsia="Calibri"/>
          <w:i/>
        </w:rPr>
        <w:t>Acropora</w:t>
      </w:r>
      <w:r w:rsidRPr="00A81CCF">
        <w:rPr>
          <w:rFonts w:eastAsia="Calibri"/>
        </w:rPr>
        <w:t xml:space="preserve"> were incorrect.</w:t>
      </w:r>
    </w:p>
    <w:p w14:paraId="344B0A71" w14:textId="77777777" w:rsidR="00DD50E0" w:rsidRDefault="00DD50E0" w:rsidP="00DD50E0">
      <w:pPr>
        <w:ind w:firstLine="360"/>
        <w:rPr>
          <w:rFonts w:eastAsia="Calibri"/>
        </w:rPr>
      </w:pPr>
    </w:p>
    <w:p w14:paraId="5C32562B" w14:textId="2F0029A9" w:rsidR="00A81CCF" w:rsidRPr="00A81CCF" w:rsidRDefault="00A81CCF" w:rsidP="00DD50E0">
      <w:pPr>
        <w:ind w:firstLine="360"/>
        <w:rPr>
          <w:rFonts w:eastAsia="Calibri"/>
        </w:rPr>
      </w:pPr>
      <w:r w:rsidRPr="00A81CCF">
        <w:rPr>
          <w:rFonts w:eastAsia="Calibri"/>
        </w:rPr>
        <w:lastRenderedPageBreak/>
        <w:t>The final listing rule published on September 10, 2014, listed 20 new coral species under the ESA.  Five of those new species occur in the Caribbean (including Florida) and all of these are listed as threatened.  In a memorandum dated September 11, 2014, NMFS evaluated the effects of continued authorization of the snapper-grouper fishery on those newly listed coral species.  NMFS concluded that any adverse effects on</w:t>
      </w:r>
      <w:r w:rsidR="00C817AB">
        <w:rPr>
          <w:rFonts w:eastAsia="Calibri"/>
        </w:rPr>
        <w:t xml:space="preserve"> these species from the snapper </w:t>
      </w:r>
      <w:r w:rsidRPr="00A81CCF">
        <w:rPr>
          <w:rFonts w:eastAsia="Calibri"/>
        </w:rPr>
        <w:t>grouper fishery are extremely unlikely to occur and are therefore discountable.</w:t>
      </w:r>
    </w:p>
    <w:p w14:paraId="12208618" w14:textId="77777777" w:rsidR="00A81CCF" w:rsidRPr="00A81CCF" w:rsidRDefault="00A81CCF" w:rsidP="00A81CCF">
      <w:pPr>
        <w:rPr>
          <w:rFonts w:eastAsia="Calibri"/>
        </w:rPr>
      </w:pPr>
    </w:p>
    <w:p w14:paraId="04C4F6D4" w14:textId="4B65255B" w:rsidR="00A81CCF" w:rsidRPr="00A81CCF" w:rsidRDefault="00A81CCF" w:rsidP="00DD50E0">
      <w:pPr>
        <w:ind w:firstLine="360"/>
        <w:rPr>
          <w:rFonts w:eastAsia="Calibri"/>
        </w:rPr>
      </w:pPr>
      <w:r w:rsidRPr="00A81CCF">
        <w:rPr>
          <w:rFonts w:eastAsia="Calibri"/>
        </w:rPr>
        <w:t xml:space="preserve">Additionally, on July 10, 2014, NMFS designated 5 habitat types across 38 marine areas in the Gulf of Mexico and South Atlantic that encompassed the 15 primary constituent elements (PCEs) of critical habitat for the northwest Atlantic Ocean (NWA) loggerhead sea turtle DPS.  In a memorandum dated September 16, 2014, NMFS evaluated the potential impacts all federally managed fisheries in the Gulf of Mexico and South Atlantic regions may have on the NWA loggerhead sea turtle DPS critical habitat.  The evaluation concluded the snapper-grouper fishery uses fishing methods and gear types that will either have no effect or are highly unlikely to adversely affect any of the PCEs; thus, any adverse effects from this fishery are discountable. </w:t>
      </w:r>
    </w:p>
    <w:p w14:paraId="133DC7A9" w14:textId="77777777" w:rsidR="00A81CCF" w:rsidRPr="00A81CCF" w:rsidRDefault="00A81CCF" w:rsidP="00A81CCF">
      <w:pPr>
        <w:rPr>
          <w:rFonts w:eastAsia="Calibri"/>
          <w:bCs/>
        </w:rPr>
      </w:pPr>
    </w:p>
    <w:p w14:paraId="44214B0D" w14:textId="77777777" w:rsidR="00A81CCF" w:rsidRPr="00A81CCF" w:rsidRDefault="00A81CCF" w:rsidP="00A81CCF">
      <w:pPr>
        <w:rPr>
          <w:rFonts w:eastAsia="Calibri"/>
        </w:rPr>
      </w:pPr>
      <w:r w:rsidRPr="00A81CCF">
        <w:rPr>
          <w:rFonts w:eastAsia="Calibri"/>
          <w:b/>
          <w:bCs/>
        </w:rPr>
        <w:t>1.5</w:t>
      </w:r>
      <w:r w:rsidRPr="00A81CCF">
        <w:rPr>
          <w:rFonts w:eastAsia="Calibri"/>
          <w:b/>
          <w:bCs/>
        </w:rPr>
        <w:tab/>
        <w:t>Executive Order 12612: Federalism</w:t>
      </w:r>
      <w:r w:rsidRPr="00A81CCF">
        <w:rPr>
          <w:rFonts w:eastAsia="Calibri"/>
        </w:rPr>
        <w:t xml:space="preserve"> </w:t>
      </w:r>
    </w:p>
    <w:p w14:paraId="4C491574" w14:textId="77777777" w:rsidR="00A81CCF" w:rsidRPr="00A81CCF" w:rsidRDefault="00A81CCF" w:rsidP="00A81CCF">
      <w:pPr>
        <w:rPr>
          <w:rFonts w:eastAsia="Calibri"/>
        </w:rPr>
      </w:pPr>
    </w:p>
    <w:p w14:paraId="2AC8D3EA" w14:textId="77777777" w:rsidR="00A81CCF" w:rsidRPr="00A81CCF" w:rsidRDefault="00A81CCF" w:rsidP="00DD50E0">
      <w:pPr>
        <w:ind w:firstLine="360"/>
        <w:rPr>
          <w:rFonts w:eastAsia="Calibri"/>
        </w:rPr>
      </w:pPr>
      <w:r w:rsidRPr="00A81CCF">
        <w:rPr>
          <w:rFonts w:eastAsia="Calibri"/>
        </w:rPr>
        <w:t xml:space="preserve">E.O. 12612 requires agencies to be guided by the fundamental federalism principles when </w:t>
      </w:r>
    </w:p>
    <w:p w14:paraId="75768A80" w14:textId="77777777" w:rsidR="00A81CCF" w:rsidRPr="00A81CCF" w:rsidRDefault="00A81CCF" w:rsidP="00A81CCF">
      <w:pPr>
        <w:rPr>
          <w:rFonts w:eastAsia="Calibri"/>
        </w:rPr>
      </w:pPr>
      <w:r w:rsidRPr="00A81CCF">
        <w:rPr>
          <w:rFonts w:eastAsia="Calibri"/>
        </w:rPr>
        <w:t xml:space="preserve">formulating and implementing policies that have federalism implications.  The purpose of the Order is to guarantee the division of governmental responsibilities between the federal government and the states, as intended by the framers of the Constitution.  No federalism issues have been identified relative to the actions proposed in this document and associated regulations.  Therefore, preparation of a Federalism assessment under E.O. 12612 is not necessary. </w:t>
      </w:r>
    </w:p>
    <w:p w14:paraId="5FAC502D" w14:textId="77777777" w:rsidR="00A81CCF" w:rsidRPr="00A81CCF" w:rsidRDefault="00A81CCF" w:rsidP="00A81CCF">
      <w:pPr>
        <w:rPr>
          <w:rFonts w:eastAsia="Calibri"/>
        </w:rPr>
      </w:pPr>
    </w:p>
    <w:p w14:paraId="708CBBF7" w14:textId="77777777" w:rsidR="00A81CCF" w:rsidRPr="00A81CCF" w:rsidRDefault="00A81CCF" w:rsidP="00A81CCF">
      <w:pPr>
        <w:rPr>
          <w:rFonts w:eastAsia="Calibri"/>
        </w:rPr>
      </w:pPr>
      <w:r w:rsidRPr="00A81CCF">
        <w:rPr>
          <w:rFonts w:eastAsia="Calibri"/>
          <w:b/>
        </w:rPr>
        <w:t>1.6</w:t>
      </w:r>
      <w:r w:rsidRPr="00A81CCF">
        <w:rPr>
          <w:rFonts w:eastAsia="Calibri"/>
          <w:b/>
        </w:rPr>
        <w:tab/>
      </w:r>
      <w:r w:rsidRPr="00A81CCF">
        <w:rPr>
          <w:rFonts w:eastAsia="Calibri"/>
          <w:b/>
          <w:bCs/>
        </w:rPr>
        <w:t>Executive Order 12866: Regulatory Planning and Review</w:t>
      </w:r>
      <w:r w:rsidRPr="00A81CCF">
        <w:rPr>
          <w:rFonts w:eastAsia="Calibri"/>
        </w:rPr>
        <w:t xml:space="preserve"> </w:t>
      </w:r>
    </w:p>
    <w:p w14:paraId="6213E8F7" w14:textId="77777777" w:rsidR="00A81CCF" w:rsidRPr="00A81CCF" w:rsidRDefault="00A81CCF" w:rsidP="00A81CCF">
      <w:pPr>
        <w:rPr>
          <w:rFonts w:eastAsia="Calibri"/>
        </w:rPr>
      </w:pPr>
    </w:p>
    <w:p w14:paraId="30DD3DD9" w14:textId="77777777" w:rsidR="00A81CCF" w:rsidRPr="00A81CCF" w:rsidRDefault="00A81CCF" w:rsidP="00DD50E0">
      <w:pPr>
        <w:ind w:firstLine="360"/>
        <w:rPr>
          <w:rFonts w:eastAsia="Calibri"/>
        </w:rPr>
      </w:pPr>
      <w:r w:rsidRPr="00A81CCF">
        <w:rPr>
          <w:rFonts w:eastAsia="Calibri"/>
        </w:rPr>
        <w:t xml:space="preserve">E.O. 12866, signed in 1993, requires federal agencies to assess the costs and benefits of their </w:t>
      </w:r>
    </w:p>
    <w:p w14:paraId="329A79CF" w14:textId="77777777" w:rsidR="00A81CCF" w:rsidRPr="00A81CCF" w:rsidRDefault="00A81CCF" w:rsidP="00A81CCF">
      <w:pPr>
        <w:rPr>
          <w:rFonts w:eastAsia="Calibri"/>
        </w:rPr>
      </w:pPr>
      <w:r w:rsidRPr="00A81CCF">
        <w:rPr>
          <w:rFonts w:eastAsia="Calibri"/>
        </w:rPr>
        <w:t xml:space="preserve">proposed regulations, including distributional impacts, and to select alternatives that maximize net benefits to society.  To comply with E.O. 12866, NMFS prepares a Regulatory Impact Review (RIR) for all fishery regulatory actions that implement a new fishery management plan (FMP) or that significantly amend an existing plan.  RIRs provide a comprehensive analysis of the costs and benefits to society associated with proposed regulatory actions, the problems and policy objectives prompting the regulatory proposals, and the major alternatives that could be used to solve the problems.  The reviews also serve as the basis for the agency’s determinations as to whether proposed regulations are a “significant regulatory action” under the criteria provided in E.O. 12866 and whether proposed regulations will have a significant economic impact on a substantial number of small entities in compliance with the Regulatory Flexibility Act.  A regulation is significant if it is likely to result in an annual effect on the economy of at least $100,000,000 or if it has other major economic effects. </w:t>
      </w:r>
    </w:p>
    <w:p w14:paraId="6B3FDB14" w14:textId="77777777" w:rsidR="00A81CCF" w:rsidRPr="00A81CCF" w:rsidRDefault="00A81CCF" w:rsidP="00A81CCF">
      <w:pPr>
        <w:rPr>
          <w:rFonts w:eastAsia="Calibri"/>
        </w:rPr>
      </w:pPr>
    </w:p>
    <w:p w14:paraId="0BC48927" w14:textId="77777777" w:rsidR="00A81CCF" w:rsidRPr="00A81CCF" w:rsidRDefault="00A81CCF" w:rsidP="00DD50E0">
      <w:pPr>
        <w:ind w:firstLine="360"/>
        <w:rPr>
          <w:rFonts w:eastAsia="Calibri"/>
        </w:rPr>
      </w:pPr>
      <w:r w:rsidRPr="00A81CCF">
        <w:rPr>
          <w:rFonts w:eastAsia="Calibri"/>
        </w:rPr>
        <w:t xml:space="preserve">In accordance with E.O. 12866, the following is set forth by the South Atlantic Council: (1) this rule is not likely to have an annual effect on the economy of more than $100 million or to adversely affect in a material way the economy, a sector of the economy, productivity, jobs, the environment, public health or safety, or state, local, or tribal governments or communities; (2) this rule is not likely to create any serious inconsistencies or otherwise interfere with any action </w:t>
      </w:r>
      <w:r w:rsidRPr="00A81CCF">
        <w:rPr>
          <w:rFonts w:eastAsia="Calibri"/>
        </w:rPr>
        <w:lastRenderedPageBreak/>
        <w:t xml:space="preserve">taken or planned by another agency; (3) this rule is not likely to materially alter the budgetary impact of entitlements, grants, user fees, or loan programs or the rights or obligations of recipients thereof; (4) this rule is not likely to raise novel or policy issues arising out of legal mandates, or the principles set forth in the Executive Order; and (5) this rule is not controversial. </w:t>
      </w:r>
    </w:p>
    <w:p w14:paraId="0DCE4C73" w14:textId="77777777" w:rsidR="00A81CCF" w:rsidRPr="00A81CCF" w:rsidRDefault="00A81CCF" w:rsidP="00A81CCF">
      <w:pPr>
        <w:rPr>
          <w:rFonts w:eastAsia="Calibri"/>
        </w:rPr>
      </w:pPr>
    </w:p>
    <w:p w14:paraId="3E57A2DB" w14:textId="77777777" w:rsidR="00A81CCF" w:rsidRPr="00A81CCF" w:rsidRDefault="00A81CCF" w:rsidP="00A81CCF">
      <w:pPr>
        <w:rPr>
          <w:rFonts w:eastAsia="Calibri"/>
        </w:rPr>
      </w:pPr>
      <w:r w:rsidRPr="00A81CCF">
        <w:rPr>
          <w:rFonts w:eastAsia="Calibri"/>
        </w:rPr>
        <w:t xml:space="preserve">This amendment includes the RIR as </w:t>
      </w:r>
      <w:r w:rsidRPr="00A81CCF">
        <w:rPr>
          <w:rFonts w:eastAsia="Calibri"/>
          <w:b/>
        </w:rPr>
        <w:t>Appendix E</w:t>
      </w:r>
      <w:r w:rsidRPr="00A81CCF">
        <w:rPr>
          <w:rFonts w:eastAsia="Calibri"/>
        </w:rPr>
        <w:t>.</w:t>
      </w:r>
    </w:p>
    <w:p w14:paraId="430F858C" w14:textId="77777777" w:rsidR="00A81CCF" w:rsidRPr="00A81CCF" w:rsidRDefault="00A81CCF" w:rsidP="00A81CCF">
      <w:pPr>
        <w:rPr>
          <w:rFonts w:eastAsia="Calibri"/>
          <w:bCs/>
        </w:rPr>
      </w:pPr>
    </w:p>
    <w:p w14:paraId="45832B78" w14:textId="77777777" w:rsidR="00A81CCF" w:rsidRPr="00A81CCF" w:rsidRDefault="00A81CCF" w:rsidP="00A81CCF">
      <w:pPr>
        <w:rPr>
          <w:rFonts w:eastAsia="Calibri"/>
        </w:rPr>
      </w:pPr>
      <w:r w:rsidRPr="00A81CCF">
        <w:rPr>
          <w:rFonts w:eastAsia="Calibri"/>
          <w:b/>
          <w:bCs/>
        </w:rPr>
        <w:t>1.7</w:t>
      </w:r>
      <w:r w:rsidRPr="00A81CCF">
        <w:rPr>
          <w:rFonts w:eastAsia="Calibri"/>
          <w:b/>
          <w:bCs/>
        </w:rPr>
        <w:tab/>
        <w:t>Executive Order 12898: Environmental Justice</w:t>
      </w:r>
      <w:r w:rsidRPr="00A81CCF">
        <w:rPr>
          <w:rFonts w:eastAsia="Calibri"/>
        </w:rPr>
        <w:t xml:space="preserve"> </w:t>
      </w:r>
    </w:p>
    <w:p w14:paraId="54276BBD" w14:textId="77777777" w:rsidR="00A81CCF" w:rsidRPr="00A81CCF" w:rsidRDefault="00A81CCF" w:rsidP="00A81CCF">
      <w:pPr>
        <w:rPr>
          <w:rFonts w:eastAsia="Calibri"/>
        </w:rPr>
      </w:pPr>
    </w:p>
    <w:p w14:paraId="075D2700" w14:textId="5A1CD74E" w:rsidR="00A81CCF" w:rsidRPr="00A81CCF" w:rsidRDefault="00A81CCF" w:rsidP="00DD50E0">
      <w:pPr>
        <w:ind w:firstLine="360"/>
        <w:rPr>
          <w:rFonts w:eastAsia="Calibri"/>
        </w:rPr>
      </w:pPr>
      <w:r w:rsidRPr="00A81CCF">
        <w:rPr>
          <w:rFonts w:eastAsia="Calibri"/>
        </w:rPr>
        <w:t>E.O. 12898 requires that “to the greatest extent practicable and permitted by law…each federal agency shall make achieving environmental justice part of its mission by identifying and addressing, as appropriate, disproportionately high and adverse human health or environmental effects of its programs, policies and activities on minority populations and low-income populations in the United States and its territories and possessions</w:t>
      </w:r>
      <w:r w:rsidR="00F5503A">
        <w:rPr>
          <w:rFonts w:eastAsia="Calibri"/>
        </w:rPr>
        <w:t>.</w:t>
      </w:r>
      <w:r w:rsidRPr="00A81CCF">
        <w:rPr>
          <w:rFonts w:eastAsia="Calibri"/>
        </w:rPr>
        <w:t>”</w:t>
      </w:r>
    </w:p>
    <w:p w14:paraId="1BADEFB6" w14:textId="77777777" w:rsidR="00A81CCF" w:rsidRPr="00A81CCF" w:rsidRDefault="00A81CCF" w:rsidP="00A81CCF">
      <w:pPr>
        <w:rPr>
          <w:rFonts w:eastAsia="Calibri"/>
        </w:rPr>
      </w:pPr>
    </w:p>
    <w:p w14:paraId="7AD1E23E" w14:textId="77777777" w:rsidR="00A81CCF" w:rsidRPr="00A81CCF" w:rsidRDefault="00A81CCF" w:rsidP="00DD50E0">
      <w:pPr>
        <w:ind w:firstLine="360"/>
        <w:rPr>
          <w:rFonts w:eastAsia="Calibri"/>
        </w:rPr>
      </w:pPr>
      <w:r w:rsidRPr="00A81CCF">
        <w:rPr>
          <w:rFonts w:eastAsia="Calibri"/>
        </w:rPr>
        <w:t xml:space="preserve">The alternatives being considered in this document are not expected to result in any disproportionate adverse human health or environmental effects to minority populations or low-income populations of Florida, North Carolina, South Carolina, or Georgia, rather the impacts would be spread across all participants in the snapper grouper fishery regardless of race or income.  A detailed description of the communities impacted by the actions contained in this document and potential socioeconomic impacts of those actions are contained in </w:t>
      </w:r>
      <w:r w:rsidRPr="00A81CCF">
        <w:rPr>
          <w:rFonts w:eastAsia="Calibri"/>
          <w:b/>
          <w:bCs/>
        </w:rPr>
        <w:t xml:space="preserve">Chapters 3 </w:t>
      </w:r>
      <w:r w:rsidRPr="00A81CCF">
        <w:rPr>
          <w:rFonts w:eastAsia="Calibri"/>
        </w:rPr>
        <w:t xml:space="preserve">and </w:t>
      </w:r>
      <w:r w:rsidRPr="00A81CCF">
        <w:rPr>
          <w:rFonts w:eastAsia="Calibri"/>
          <w:b/>
          <w:bCs/>
        </w:rPr>
        <w:t xml:space="preserve">4 </w:t>
      </w:r>
      <w:r w:rsidRPr="00A81CCF">
        <w:rPr>
          <w:rFonts w:eastAsia="Calibri"/>
        </w:rPr>
        <w:t>of this document</w:t>
      </w:r>
    </w:p>
    <w:p w14:paraId="60E16F84" w14:textId="77777777" w:rsidR="00A81CCF" w:rsidRPr="00A81CCF" w:rsidRDefault="00A81CCF" w:rsidP="00A81CCF">
      <w:pPr>
        <w:rPr>
          <w:rFonts w:eastAsia="Calibri"/>
        </w:rPr>
      </w:pPr>
    </w:p>
    <w:p w14:paraId="437FF2B2" w14:textId="77777777" w:rsidR="00A81CCF" w:rsidRPr="00A81CCF" w:rsidRDefault="00A81CCF" w:rsidP="00A81CCF">
      <w:pPr>
        <w:rPr>
          <w:rFonts w:eastAsia="Calibri"/>
        </w:rPr>
      </w:pPr>
      <w:r w:rsidRPr="00A81CCF">
        <w:rPr>
          <w:rFonts w:eastAsia="Calibri"/>
          <w:b/>
          <w:bCs/>
        </w:rPr>
        <w:t>1.8</w:t>
      </w:r>
      <w:r w:rsidRPr="00A81CCF">
        <w:rPr>
          <w:rFonts w:eastAsia="Calibri"/>
          <w:b/>
          <w:bCs/>
        </w:rPr>
        <w:tab/>
        <w:t>Executive Order 12962: Recreational Fisheries</w:t>
      </w:r>
      <w:r w:rsidRPr="00A81CCF">
        <w:rPr>
          <w:rFonts w:eastAsia="Calibri"/>
        </w:rPr>
        <w:t xml:space="preserve"> </w:t>
      </w:r>
    </w:p>
    <w:p w14:paraId="1E8E650B" w14:textId="77777777" w:rsidR="00A81CCF" w:rsidRPr="00A81CCF" w:rsidRDefault="00A81CCF" w:rsidP="00A81CCF">
      <w:pPr>
        <w:rPr>
          <w:rFonts w:eastAsia="Calibri"/>
        </w:rPr>
      </w:pPr>
    </w:p>
    <w:p w14:paraId="57C70A52" w14:textId="77777777" w:rsidR="00A81CCF" w:rsidRPr="00A81CCF" w:rsidRDefault="00A81CCF" w:rsidP="00DD50E0">
      <w:pPr>
        <w:ind w:firstLine="360"/>
        <w:rPr>
          <w:rFonts w:eastAsia="Calibri"/>
        </w:rPr>
      </w:pPr>
      <w:r w:rsidRPr="00A81CCF">
        <w:rPr>
          <w:rFonts w:eastAsia="Calibri"/>
        </w:rPr>
        <w:t xml:space="preserve">E.O. 12962 requires federal agencies, in cooperation with states and tribes, to improve the quantity, function, sustainable productivity, and distribution of U.S. aquatic resources for increased recreational fishing opportunities through a variety of methods.  Additionally, the Order establishes a seven-member National Recreational Fisheries Coordination Council responsible for, among other things, ensuring that social and economic values of healthy aquatic systems that support recreational fisheries are considered by federal agencies in the course of their actions, sharing the latest resource information and management technologies, and reducing duplicative and cost-inefficient programs among federal agencies involved in conserving or managing recreational fisheries.  The National Recreational Fisheries Coordination Council also is responsible for developing, in cooperation with federal agencies, states and tribes, a Recreational Fishery Resource Conservation Plan - to include a five-year agenda.  Finally, the Order requires NMFS and the U.S. Fish and Wildlife Service to develop a joint agency policy for administering the ESA. </w:t>
      </w:r>
    </w:p>
    <w:p w14:paraId="09E3D5E4" w14:textId="77777777" w:rsidR="00A81CCF" w:rsidRPr="00A81CCF" w:rsidRDefault="00A81CCF" w:rsidP="00A81CCF">
      <w:pPr>
        <w:rPr>
          <w:rFonts w:eastAsia="Calibri"/>
        </w:rPr>
      </w:pPr>
      <w:r w:rsidRPr="00A81CCF">
        <w:rPr>
          <w:rFonts w:eastAsia="Calibri"/>
        </w:rPr>
        <w:t xml:space="preserve"> </w:t>
      </w:r>
    </w:p>
    <w:p w14:paraId="0491471A" w14:textId="77777777" w:rsidR="00A81CCF" w:rsidRPr="00A81CCF" w:rsidRDefault="00A81CCF" w:rsidP="00DD50E0">
      <w:pPr>
        <w:ind w:firstLine="360"/>
        <w:rPr>
          <w:rFonts w:eastAsia="Calibri"/>
        </w:rPr>
      </w:pPr>
      <w:r w:rsidRPr="00A81CCF">
        <w:rPr>
          <w:rFonts w:eastAsia="Calibri"/>
        </w:rPr>
        <w:t xml:space="preserve">The alternatives considered in this document are consistent with the directives of E.O. 12962. </w:t>
      </w:r>
    </w:p>
    <w:p w14:paraId="5461578F" w14:textId="77777777" w:rsidR="00A81CCF" w:rsidRPr="00A81CCF" w:rsidRDefault="00A81CCF" w:rsidP="00A81CCF">
      <w:pPr>
        <w:rPr>
          <w:rFonts w:eastAsia="Calibri"/>
          <w:bCs/>
        </w:rPr>
      </w:pPr>
    </w:p>
    <w:p w14:paraId="3568DBBF" w14:textId="77777777" w:rsidR="00A81CCF" w:rsidRPr="00A81CCF" w:rsidRDefault="00A81CCF" w:rsidP="00A81CCF">
      <w:pPr>
        <w:rPr>
          <w:rFonts w:eastAsia="Calibri"/>
        </w:rPr>
      </w:pPr>
      <w:r w:rsidRPr="00A81CCF">
        <w:rPr>
          <w:rFonts w:eastAsia="Calibri"/>
          <w:b/>
          <w:bCs/>
        </w:rPr>
        <w:t>1.9</w:t>
      </w:r>
      <w:r w:rsidRPr="00A81CCF">
        <w:rPr>
          <w:rFonts w:eastAsia="Calibri"/>
          <w:b/>
          <w:bCs/>
        </w:rPr>
        <w:tab/>
        <w:t>Executive Order 13089:  Coral Reef Protection</w:t>
      </w:r>
      <w:r w:rsidRPr="00A81CCF">
        <w:rPr>
          <w:rFonts w:eastAsia="Calibri"/>
        </w:rPr>
        <w:t xml:space="preserve"> </w:t>
      </w:r>
    </w:p>
    <w:p w14:paraId="12C2FD37" w14:textId="77777777" w:rsidR="00A81CCF" w:rsidRPr="00A81CCF" w:rsidRDefault="00A81CCF" w:rsidP="00A81CCF">
      <w:pPr>
        <w:rPr>
          <w:rFonts w:eastAsia="Calibri"/>
        </w:rPr>
      </w:pPr>
    </w:p>
    <w:p w14:paraId="5D78DDC0" w14:textId="77777777" w:rsidR="00A81CCF" w:rsidRPr="00A81CCF" w:rsidRDefault="00A81CCF" w:rsidP="00DD50E0">
      <w:pPr>
        <w:ind w:firstLine="360"/>
        <w:rPr>
          <w:rFonts w:eastAsia="Calibri"/>
        </w:rPr>
      </w:pPr>
      <w:r w:rsidRPr="00A81CCF">
        <w:rPr>
          <w:rFonts w:eastAsia="Calibri"/>
        </w:rPr>
        <w:t xml:space="preserve">E.O. 13089, signed by President William Clinton on June 11, 1998, recognizes the ecological, social, and economic values provided by the Nation’s coral reefs and ensures that federal agencies are protecting these ecosystems.  More specifically, the Order requires federal </w:t>
      </w:r>
      <w:r w:rsidRPr="00A81CCF">
        <w:rPr>
          <w:rFonts w:eastAsia="Calibri"/>
        </w:rPr>
        <w:lastRenderedPageBreak/>
        <w:t xml:space="preserve">agencies to identify actions that may harm U.S. coral reef ecosystems, to utilize their program and authorities to protect and enhance the conditions of such ecosystems, and to ensure that their actions do not degrade the condition of the coral reef ecosystem. </w:t>
      </w:r>
    </w:p>
    <w:p w14:paraId="00E0067D" w14:textId="77777777" w:rsidR="00A81CCF" w:rsidRPr="00A81CCF" w:rsidRDefault="00A81CCF" w:rsidP="00A81CCF">
      <w:pPr>
        <w:rPr>
          <w:rFonts w:eastAsia="Calibri"/>
        </w:rPr>
      </w:pPr>
    </w:p>
    <w:p w14:paraId="2D65A6EE" w14:textId="77777777" w:rsidR="00A81CCF" w:rsidRPr="00A81CCF" w:rsidRDefault="00A81CCF" w:rsidP="00DD50E0">
      <w:pPr>
        <w:ind w:firstLine="360"/>
        <w:rPr>
          <w:rFonts w:eastAsia="Calibri"/>
        </w:rPr>
      </w:pPr>
      <w:r w:rsidRPr="00A81CCF">
        <w:rPr>
          <w:rFonts w:eastAsia="Calibri"/>
        </w:rPr>
        <w:t xml:space="preserve">The alternatives considered in this document are consistent with the directives of E.O. 13089. </w:t>
      </w:r>
    </w:p>
    <w:p w14:paraId="2FC1B0CF" w14:textId="77777777" w:rsidR="00A81CCF" w:rsidRPr="00A81CCF" w:rsidRDefault="00A81CCF" w:rsidP="00A81CCF">
      <w:pPr>
        <w:rPr>
          <w:rFonts w:eastAsia="Calibri"/>
          <w:bCs/>
        </w:rPr>
      </w:pPr>
    </w:p>
    <w:p w14:paraId="34A8CAF5" w14:textId="77777777" w:rsidR="00A81CCF" w:rsidRPr="00A81CCF" w:rsidRDefault="00A81CCF" w:rsidP="00A81CCF">
      <w:pPr>
        <w:rPr>
          <w:rFonts w:eastAsia="Calibri"/>
        </w:rPr>
      </w:pPr>
      <w:r w:rsidRPr="00A81CCF">
        <w:rPr>
          <w:rFonts w:eastAsia="Calibri"/>
          <w:b/>
          <w:bCs/>
        </w:rPr>
        <w:t>1.10</w:t>
      </w:r>
      <w:r w:rsidRPr="00A81CCF">
        <w:rPr>
          <w:rFonts w:eastAsia="Calibri"/>
          <w:b/>
          <w:bCs/>
        </w:rPr>
        <w:tab/>
        <w:t>Executive Order 13158:  Marine Protected Areas</w:t>
      </w:r>
      <w:r w:rsidRPr="00A81CCF">
        <w:rPr>
          <w:rFonts w:eastAsia="Calibri"/>
        </w:rPr>
        <w:t xml:space="preserve"> </w:t>
      </w:r>
      <w:r w:rsidRPr="00A81CCF">
        <w:rPr>
          <w:rFonts w:eastAsia="Calibri"/>
          <w:b/>
        </w:rPr>
        <w:t>(MPAs)</w:t>
      </w:r>
    </w:p>
    <w:p w14:paraId="4A7EDB5A" w14:textId="77777777" w:rsidR="00A81CCF" w:rsidRPr="00A81CCF" w:rsidRDefault="00A81CCF" w:rsidP="00A81CCF">
      <w:pPr>
        <w:rPr>
          <w:rFonts w:eastAsia="Calibri"/>
        </w:rPr>
      </w:pPr>
    </w:p>
    <w:p w14:paraId="7FB1F2AE" w14:textId="0EB6970C" w:rsidR="00A81CCF" w:rsidRPr="00A81CCF" w:rsidRDefault="00A81CCF" w:rsidP="00DD50E0">
      <w:pPr>
        <w:ind w:firstLine="360"/>
        <w:rPr>
          <w:rFonts w:eastAsia="Calibri"/>
        </w:rPr>
      </w:pPr>
      <w:r w:rsidRPr="00A81CCF">
        <w:rPr>
          <w:rFonts w:eastAsia="Calibri"/>
        </w:rPr>
        <w:t>E.O. 13158 was signed on May 26, 2000, to strengthen the protection of U.S. ocean and coastal resources through the use of Marine Protected Areas.  The E.O. defined MPAs as “any area of the marine environment that has been reserved by federal, state, territorial, tribal, or local laws or regulations to provide lasting protection for part or all of the natural and cultural resources therein</w:t>
      </w:r>
      <w:r w:rsidR="00F5503A">
        <w:rPr>
          <w:rFonts w:eastAsia="Calibri"/>
        </w:rPr>
        <w:t>.</w:t>
      </w:r>
      <w:r w:rsidRPr="00A81CCF">
        <w:rPr>
          <w:rFonts w:eastAsia="Calibri"/>
        </w:rPr>
        <w:t>”  It directs federal agencies to work closely with state, local and non- governmental partners to create a comprehensive network of MPAs “representing diverse U.S. marine ecosystems, and the Nation’s natural and cultural resources</w:t>
      </w:r>
      <w:r w:rsidR="00F5503A">
        <w:rPr>
          <w:rFonts w:eastAsia="Calibri"/>
        </w:rPr>
        <w:t>.</w:t>
      </w:r>
      <w:r w:rsidRPr="00A81CCF">
        <w:rPr>
          <w:rFonts w:eastAsia="Calibri"/>
        </w:rPr>
        <w:t xml:space="preserve">” </w:t>
      </w:r>
    </w:p>
    <w:p w14:paraId="68B803C8" w14:textId="77777777" w:rsidR="00A81CCF" w:rsidRPr="00A81CCF" w:rsidRDefault="00A81CCF" w:rsidP="00A81CCF">
      <w:pPr>
        <w:rPr>
          <w:rFonts w:eastAsia="Calibri"/>
        </w:rPr>
      </w:pPr>
    </w:p>
    <w:p w14:paraId="7675F22F" w14:textId="77777777" w:rsidR="00A81CCF" w:rsidRPr="00A81CCF" w:rsidRDefault="00A81CCF" w:rsidP="00DD50E0">
      <w:pPr>
        <w:ind w:firstLine="360"/>
        <w:rPr>
          <w:rFonts w:eastAsia="Calibri"/>
        </w:rPr>
      </w:pPr>
      <w:r w:rsidRPr="00A81CCF">
        <w:rPr>
          <w:rFonts w:eastAsia="Calibri"/>
        </w:rPr>
        <w:t xml:space="preserve">The alternatives considered in this document are consistent with the directives of E.O. 13158. </w:t>
      </w:r>
    </w:p>
    <w:p w14:paraId="25D8EFCF" w14:textId="77777777" w:rsidR="00A81CCF" w:rsidRPr="00A81CCF" w:rsidRDefault="00A81CCF" w:rsidP="00A81CCF">
      <w:pPr>
        <w:rPr>
          <w:rFonts w:eastAsia="Calibri"/>
          <w:bCs/>
        </w:rPr>
      </w:pPr>
    </w:p>
    <w:p w14:paraId="0E74A00F" w14:textId="77777777" w:rsidR="00A81CCF" w:rsidRPr="00A81CCF" w:rsidRDefault="00A81CCF" w:rsidP="00A81CCF">
      <w:pPr>
        <w:rPr>
          <w:rFonts w:eastAsia="Calibri"/>
        </w:rPr>
      </w:pPr>
      <w:r w:rsidRPr="00A81CCF">
        <w:rPr>
          <w:rFonts w:eastAsia="Calibri"/>
          <w:b/>
          <w:bCs/>
        </w:rPr>
        <w:t>1.11</w:t>
      </w:r>
      <w:r w:rsidRPr="00A81CCF">
        <w:rPr>
          <w:rFonts w:eastAsia="Calibri"/>
          <w:b/>
          <w:bCs/>
        </w:rPr>
        <w:tab/>
        <w:t>Marine Mammal Protection Act</w:t>
      </w:r>
      <w:r w:rsidRPr="00A81CCF">
        <w:rPr>
          <w:rFonts w:eastAsia="Calibri"/>
          <w:b/>
          <w:bCs/>
        </w:rPr>
        <w:fldChar w:fldCharType="begin"/>
      </w:r>
      <w:r w:rsidRPr="00A81CCF">
        <w:instrText xml:space="preserve"> XE "Marine Mammal Protection Act" </w:instrText>
      </w:r>
      <w:r w:rsidRPr="00A81CCF">
        <w:rPr>
          <w:rFonts w:eastAsia="Calibri"/>
          <w:b/>
          <w:bCs/>
        </w:rPr>
        <w:fldChar w:fldCharType="end"/>
      </w:r>
      <w:r w:rsidRPr="00A81CCF">
        <w:rPr>
          <w:rFonts w:eastAsia="Calibri"/>
          <w:b/>
          <w:bCs/>
        </w:rPr>
        <w:t xml:space="preserve"> (MMPA)</w:t>
      </w:r>
      <w:r w:rsidRPr="00A81CCF">
        <w:rPr>
          <w:rFonts w:eastAsia="Calibri"/>
        </w:rPr>
        <w:t xml:space="preserve"> </w:t>
      </w:r>
    </w:p>
    <w:p w14:paraId="2B2D1A58" w14:textId="77777777" w:rsidR="00A81CCF" w:rsidRPr="00A81CCF" w:rsidRDefault="00A81CCF" w:rsidP="00A81CCF">
      <w:pPr>
        <w:rPr>
          <w:rFonts w:eastAsia="Calibri"/>
        </w:rPr>
      </w:pPr>
    </w:p>
    <w:p w14:paraId="7C5872F6" w14:textId="0DCD68A0" w:rsidR="00A81CCF" w:rsidRPr="00A81CCF" w:rsidRDefault="00A81CCF" w:rsidP="00DD50E0">
      <w:pPr>
        <w:ind w:firstLine="360"/>
        <w:rPr>
          <w:rFonts w:eastAsia="Calibri"/>
        </w:rPr>
      </w:pPr>
      <w:r w:rsidRPr="00A81CCF">
        <w:rPr>
          <w:rFonts w:eastAsia="Calibri"/>
        </w:rPr>
        <w:t>The MMPA established a moratorium, with certain exceptions, on the taking of marine mammals in U.S. waters and by U.S. citizens on the high seas.  It also prohibits the importing of marine mammals and marine mammal products into the United States.  Under the MMPA, the Secretary of Commerce (authority delegated to NMFS) is responsible for the conservation and management of cetaceans and pinnipeds (other than walruses).  The Secretary of the Interior is responsible for walruses, sea otters, polar bears, manatees, and dugongs.  Part of the responsibility that NMFS has under the MMPA involves monitoring populations of marine mammals to make sure that they stay at optimum levels.  If a population falls below its optimum level, it is designated as “depleted</w:t>
      </w:r>
      <w:r w:rsidR="00F5503A">
        <w:rPr>
          <w:rFonts w:eastAsia="Calibri"/>
        </w:rPr>
        <w:t>.</w:t>
      </w:r>
      <w:r w:rsidRPr="00A81CCF">
        <w:rPr>
          <w:rFonts w:eastAsia="Calibri"/>
        </w:rPr>
        <w:t xml:space="preserve">”  A conservation plan is then developed to guide research and management actions to restore the population to healthy levels. </w:t>
      </w:r>
    </w:p>
    <w:p w14:paraId="683F5521" w14:textId="77777777" w:rsidR="00A81CCF" w:rsidRPr="00A81CCF" w:rsidRDefault="00A81CCF" w:rsidP="00A81CCF">
      <w:pPr>
        <w:rPr>
          <w:rFonts w:eastAsia="Calibri"/>
        </w:rPr>
      </w:pPr>
    </w:p>
    <w:p w14:paraId="60B1C64D" w14:textId="77777777" w:rsidR="00A81CCF" w:rsidRPr="00A81CCF" w:rsidRDefault="00A81CCF" w:rsidP="00DD50E0">
      <w:pPr>
        <w:ind w:firstLine="360"/>
        <w:rPr>
          <w:rFonts w:eastAsia="Calibri"/>
        </w:rPr>
      </w:pPr>
      <w:r w:rsidRPr="00A81CCF">
        <w:rPr>
          <w:rFonts w:eastAsia="Calibri"/>
        </w:rPr>
        <w:t xml:space="preserve">In 1994, Congress amended the MMPA, to govern the taking of marine mammals incidental to commercial fishing operations.  This amendment required the preparation of stock assessments for all marine mammal stocks in waters under U.S. jurisdiction; development and implementation of take-reduction plans for stocks that may be reduced or are being maintained below their optimum sustainable population levels due to interactions with commercial fisheries; and studies of pinniped-fishery interactions.  The MMPA requires a commercial fishery to be placed in one of three categories, based on the relative frequency of incidental serious injuries and mortalities of marine mammals.  Category I designates fisheries with frequent serious injuries and mortalities incidental to commercial fishing; Category II designates fisheries with occasional serious injuries and mortalities; and Category III designates fisheries with a remote likelihood or no known serious injuries or mortalities. </w:t>
      </w:r>
    </w:p>
    <w:p w14:paraId="1F1166B8" w14:textId="77777777" w:rsidR="00A81CCF" w:rsidRPr="00A81CCF" w:rsidRDefault="00A81CCF" w:rsidP="00A81CCF">
      <w:pPr>
        <w:rPr>
          <w:rFonts w:eastAsia="Calibri"/>
        </w:rPr>
      </w:pPr>
      <w:r w:rsidRPr="00A81CCF">
        <w:rPr>
          <w:rFonts w:eastAsia="Calibri"/>
        </w:rPr>
        <w:t xml:space="preserve"> </w:t>
      </w:r>
    </w:p>
    <w:p w14:paraId="799E6626" w14:textId="1459CACC" w:rsidR="00A81CCF" w:rsidRPr="00A81CCF" w:rsidRDefault="00A81CCF" w:rsidP="00DD50E0">
      <w:pPr>
        <w:ind w:firstLine="360"/>
        <w:rPr>
          <w:rFonts w:eastAsia="Calibri"/>
        </w:rPr>
      </w:pPr>
      <w:r w:rsidRPr="00A81CCF">
        <w:rPr>
          <w:rFonts w:eastAsia="Calibri"/>
        </w:rPr>
        <w:t xml:space="preserve">Under the MMPA, to legally fish in a Category I and/or II fishery, a fisherman must take certain steps.  For example, owners of vessels or gear engaging in a Category I or II fishery, are required to obtain a marine mammal authorization by registering with the Marine Mammal </w:t>
      </w:r>
      <w:r w:rsidRPr="00A81CCF">
        <w:rPr>
          <w:rFonts w:eastAsia="Calibri"/>
        </w:rPr>
        <w:lastRenderedPageBreak/>
        <w:t xml:space="preserve">Authorization Program (50 CFR 229.4).  They are also required to accommodate an observer if requested (50 CFR 229.7(c)) and they must comply with any applicable take reduction plans.  The commercial hook-and-line components of the South Atlantic snapper grouper fishery (i.e., bottom longline, bandit gear, and handline), which targets snapper grouper species are listed as part of a Category III fishery </w:t>
      </w:r>
      <w:r w:rsidR="00FE70CA" w:rsidRPr="00A81CCF">
        <w:rPr>
          <w:rFonts w:eastAsia="Calibri"/>
        </w:rPr>
        <w:t xml:space="preserve">in the </w:t>
      </w:r>
      <w:r w:rsidR="00FE70CA">
        <w:t>proposed</w:t>
      </w:r>
      <w:r w:rsidR="00FE70CA" w:rsidRPr="000006D3">
        <w:t xml:space="preserve"> </w:t>
      </w:r>
      <w:r w:rsidR="00FE70CA">
        <w:t>List of Fisheries (LOF) for 2017</w:t>
      </w:r>
      <w:r w:rsidR="00FE70CA" w:rsidRPr="000006D3">
        <w:t xml:space="preserve"> (</w:t>
      </w:r>
      <w:r w:rsidR="00FE70CA">
        <w:t>81 FR 54019</w:t>
      </w:r>
      <w:r w:rsidR="00FE70CA" w:rsidRPr="000D064B">
        <w:t xml:space="preserve">, </w:t>
      </w:r>
      <w:r w:rsidR="00FE70CA">
        <w:t>August 15</w:t>
      </w:r>
      <w:r w:rsidR="00FE70CA" w:rsidRPr="000D064B">
        <w:t>, 2016</w:t>
      </w:r>
      <w:r w:rsidR="00FE70CA" w:rsidRPr="000006D3">
        <w:t>)</w:t>
      </w:r>
      <w:r w:rsidR="00FE70CA">
        <w:t xml:space="preserve"> </w:t>
      </w:r>
      <w:r w:rsidRPr="00A81CCF">
        <w:rPr>
          <w:rFonts w:eastAsia="Calibri"/>
        </w:rPr>
        <w:t xml:space="preserve">because there have been no documented interactions between these gear and marine mammals.  The black sea bass pot component of the South Atlantic snapper grouper fishery is part of the Atlantic mixed species trap/pot fishery, a Category II fishery, in the </w:t>
      </w:r>
      <w:r w:rsidR="00FE70CA">
        <w:t>proposed</w:t>
      </w:r>
      <w:r w:rsidR="00FE70CA" w:rsidRPr="000006D3">
        <w:t xml:space="preserve"> </w:t>
      </w:r>
      <w:r w:rsidR="00FE70CA">
        <w:t>LOF for 2017</w:t>
      </w:r>
      <w:r w:rsidR="00FE70CA" w:rsidRPr="000006D3">
        <w:t xml:space="preserve"> (</w:t>
      </w:r>
      <w:r w:rsidR="00FE70CA">
        <w:t>81 FR 54019</w:t>
      </w:r>
      <w:r w:rsidR="00FE70CA" w:rsidRPr="000D064B">
        <w:t xml:space="preserve">, </w:t>
      </w:r>
      <w:r w:rsidR="00FE70CA">
        <w:t>August 15</w:t>
      </w:r>
      <w:r w:rsidR="00FE70CA" w:rsidRPr="000D064B">
        <w:t>, 2016</w:t>
      </w:r>
      <w:r w:rsidRPr="00A81CCF">
        <w:rPr>
          <w:rFonts w:eastAsia="Calibri"/>
        </w:rPr>
        <w:t>).  The Atlantic mixed species trap/pot fishery designation was created in 2003 (68 FR 41725, July 15, 2003), by combining several separately listed trap/pot fisheries into a single group.  This group was designated Category II as a precaution because of known interactions between marine mammals and gear similar to those included in this group.  Prior to this consolidation, the black sea bass pot fishery in the South Atlantic was a part of the “U.S. Mid-Atlantic and Southeast U.S. Atlantic Black Sea Bass Trap/Pot” fishery (Category III).  There has never been a documented interaction between marine mammals and black sea bass trap/pot gear in the South Atlantic.  The actions in this EA are not expected to negatively impact the provisions of the MMPA</w:t>
      </w:r>
      <w:r w:rsidR="00F5503A">
        <w:rPr>
          <w:rFonts w:eastAsia="Calibri"/>
        </w:rPr>
        <w:t>.</w:t>
      </w:r>
      <w:r w:rsidRPr="00A81CCF">
        <w:rPr>
          <w:rFonts w:eastAsia="Calibri"/>
        </w:rPr>
        <w:t xml:space="preserve"> </w:t>
      </w:r>
    </w:p>
    <w:p w14:paraId="4CC1C0AE" w14:textId="77777777" w:rsidR="00A81CCF" w:rsidRPr="00A81CCF" w:rsidRDefault="00A81CCF" w:rsidP="00A81CCF">
      <w:pPr>
        <w:rPr>
          <w:rFonts w:eastAsia="Calibri"/>
          <w:b/>
          <w:bCs/>
        </w:rPr>
      </w:pPr>
    </w:p>
    <w:p w14:paraId="4009BD3C" w14:textId="77777777" w:rsidR="00A81CCF" w:rsidRPr="00A81CCF" w:rsidRDefault="00A81CCF" w:rsidP="00A81CCF">
      <w:pPr>
        <w:rPr>
          <w:rFonts w:eastAsia="Calibri"/>
        </w:rPr>
      </w:pPr>
      <w:r w:rsidRPr="00A81CCF">
        <w:rPr>
          <w:rFonts w:eastAsia="Calibri"/>
          <w:b/>
          <w:bCs/>
        </w:rPr>
        <w:t>1.12</w:t>
      </w:r>
      <w:r w:rsidRPr="00A81CCF">
        <w:rPr>
          <w:rFonts w:eastAsia="Calibri"/>
          <w:b/>
          <w:bCs/>
        </w:rPr>
        <w:tab/>
        <w:t>National Environmental Policy Act</w:t>
      </w:r>
      <w:r w:rsidRPr="00A81CCF">
        <w:rPr>
          <w:rFonts w:eastAsia="Calibri"/>
          <w:b/>
          <w:bCs/>
        </w:rPr>
        <w:fldChar w:fldCharType="begin"/>
      </w:r>
      <w:r w:rsidRPr="00A81CCF">
        <w:instrText xml:space="preserve"> XE "National Environmental Policy Act" </w:instrText>
      </w:r>
      <w:r w:rsidRPr="00A81CCF">
        <w:rPr>
          <w:rFonts w:eastAsia="Calibri"/>
          <w:b/>
          <w:bCs/>
        </w:rPr>
        <w:fldChar w:fldCharType="end"/>
      </w:r>
      <w:r w:rsidRPr="00A81CCF">
        <w:rPr>
          <w:rFonts w:eastAsia="Calibri"/>
          <w:b/>
        </w:rPr>
        <w:t xml:space="preserve"> (NEPA)</w:t>
      </w:r>
    </w:p>
    <w:p w14:paraId="50AD8176" w14:textId="77777777" w:rsidR="00A81CCF" w:rsidRPr="00A81CCF" w:rsidRDefault="00A81CCF" w:rsidP="00A81CCF">
      <w:pPr>
        <w:rPr>
          <w:rFonts w:eastAsia="Calibri"/>
        </w:rPr>
      </w:pPr>
    </w:p>
    <w:p w14:paraId="2B4C5D77" w14:textId="3F5970B8" w:rsidR="00A81CCF" w:rsidRPr="00A81CCF" w:rsidRDefault="00A81CCF" w:rsidP="00DD50E0">
      <w:pPr>
        <w:ind w:firstLine="360"/>
        <w:rPr>
          <w:rFonts w:eastAsia="Calibri"/>
        </w:rPr>
      </w:pPr>
      <w:r w:rsidRPr="00A81CCF">
        <w:rPr>
          <w:rFonts w:eastAsia="Calibri"/>
        </w:rPr>
        <w:t xml:space="preserve">This document has been written and organized in a manner that meets NEPA requirements, and thus is a consolidated NEPA document, including an EA, as described in NOAA Administrative Order (NAO) 216- 6, Section 6.03a.2. </w:t>
      </w:r>
    </w:p>
    <w:p w14:paraId="2BAA70A7" w14:textId="77777777" w:rsidR="00A81CCF" w:rsidRPr="00A81CCF" w:rsidRDefault="00A81CCF" w:rsidP="00A81CCF">
      <w:pPr>
        <w:rPr>
          <w:rFonts w:eastAsia="Calibri"/>
          <w:u w:val="single"/>
        </w:rPr>
      </w:pPr>
    </w:p>
    <w:p w14:paraId="44B08904" w14:textId="77777777" w:rsidR="00A81CCF" w:rsidRPr="00A81CCF" w:rsidRDefault="00A81CCF" w:rsidP="00A81CCF">
      <w:pPr>
        <w:rPr>
          <w:rFonts w:eastAsia="Calibri"/>
          <w:u w:val="single"/>
        </w:rPr>
      </w:pPr>
      <w:r w:rsidRPr="00A81CCF">
        <w:rPr>
          <w:rFonts w:eastAsia="Calibri"/>
          <w:u w:val="single"/>
        </w:rPr>
        <w:t xml:space="preserve">Purpose and Need for Action </w:t>
      </w:r>
    </w:p>
    <w:p w14:paraId="438529D5" w14:textId="77777777" w:rsidR="00A81CCF" w:rsidRPr="00A81CCF" w:rsidRDefault="00A81CCF" w:rsidP="00A81CCF">
      <w:pPr>
        <w:rPr>
          <w:rFonts w:eastAsia="Calibri"/>
        </w:rPr>
      </w:pPr>
    </w:p>
    <w:p w14:paraId="66A29FE0" w14:textId="77777777" w:rsidR="00A81CCF" w:rsidRPr="00A81CCF" w:rsidRDefault="00A81CCF" w:rsidP="00A81CCF">
      <w:pPr>
        <w:rPr>
          <w:rFonts w:eastAsia="Calibri"/>
        </w:rPr>
      </w:pPr>
      <w:r w:rsidRPr="00A81CCF">
        <w:rPr>
          <w:rFonts w:eastAsia="Calibri"/>
        </w:rPr>
        <w:t xml:space="preserve">The purpose and need for this action are described in </w:t>
      </w:r>
      <w:r w:rsidRPr="00A81CCF">
        <w:rPr>
          <w:rFonts w:eastAsia="Calibri"/>
          <w:b/>
          <w:bCs/>
        </w:rPr>
        <w:t>Chapter 1</w:t>
      </w:r>
      <w:r w:rsidRPr="00A81CCF">
        <w:rPr>
          <w:rFonts w:eastAsia="Calibri"/>
          <w:bCs/>
        </w:rPr>
        <w:t>.</w:t>
      </w:r>
      <w:r w:rsidRPr="00A81CCF">
        <w:rPr>
          <w:rFonts w:eastAsia="Calibri"/>
        </w:rPr>
        <w:t xml:space="preserve"> </w:t>
      </w:r>
    </w:p>
    <w:p w14:paraId="07DC49DE" w14:textId="77777777" w:rsidR="00A81CCF" w:rsidRPr="00A81CCF" w:rsidRDefault="00A81CCF" w:rsidP="00A81CCF">
      <w:pPr>
        <w:rPr>
          <w:rFonts w:eastAsia="Calibri"/>
        </w:rPr>
      </w:pPr>
    </w:p>
    <w:p w14:paraId="290A75EF" w14:textId="77777777" w:rsidR="00A81CCF" w:rsidRPr="00A81CCF" w:rsidRDefault="00A81CCF" w:rsidP="00A81CCF">
      <w:pPr>
        <w:rPr>
          <w:rFonts w:eastAsia="Calibri"/>
          <w:u w:val="single"/>
        </w:rPr>
      </w:pPr>
      <w:r w:rsidRPr="00A81CCF">
        <w:rPr>
          <w:rFonts w:eastAsia="Calibri"/>
          <w:u w:val="single"/>
        </w:rPr>
        <w:t xml:space="preserve">Alternatives </w:t>
      </w:r>
    </w:p>
    <w:p w14:paraId="115B12B7" w14:textId="77777777" w:rsidR="00A81CCF" w:rsidRPr="00A81CCF" w:rsidRDefault="00A81CCF" w:rsidP="00A81CCF">
      <w:pPr>
        <w:rPr>
          <w:rFonts w:eastAsia="Calibri"/>
        </w:rPr>
      </w:pPr>
    </w:p>
    <w:p w14:paraId="6DE9B57E" w14:textId="77777777" w:rsidR="00A81CCF" w:rsidRPr="00A81CCF" w:rsidRDefault="00A81CCF" w:rsidP="00A81CCF">
      <w:pPr>
        <w:rPr>
          <w:rFonts w:eastAsia="Calibri"/>
        </w:rPr>
      </w:pPr>
      <w:r w:rsidRPr="00A81CCF">
        <w:rPr>
          <w:rFonts w:eastAsia="Calibri"/>
        </w:rPr>
        <w:t xml:space="preserve">The alternatives for this action are described in </w:t>
      </w:r>
      <w:r w:rsidRPr="00A81CCF">
        <w:rPr>
          <w:rFonts w:eastAsia="Calibri"/>
          <w:b/>
          <w:bCs/>
        </w:rPr>
        <w:t>Chapter 2</w:t>
      </w:r>
      <w:r w:rsidRPr="00A81CCF">
        <w:rPr>
          <w:rFonts w:eastAsia="Calibri"/>
          <w:bCs/>
        </w:rPr>
        <w:t>.</w:t>
      </w:r>
      <w:r w:rsidRPr="00A81CCF">
        <w:rPr>
          <w:rFonts w:eastAsia="Calibri"/>
        </w:rPr>
        <w:t xml:space="preserve"> </w:t>
      </w:r>
    </w:p>
    <w:p w14:paraId="39E499C3" w14:textId="77777777" w:rsidR="00A81CCF" w:rsidRPr="00A81CCF" w:rsidRDefault="00A81CCF" w:rsidP="00A81CCF">
      <w:pPr>
        <w:rPr>
          <w:rFonts w:eastAsia="Calibri"/>
        </w:rPr>
      </w:pPr>
    </w:p>
    <w:p w14:paraId="11EB9267" w14:textId="77777777" w:rsidR="00A81CCF" w:rsidRPr="00A81CCF" w:rsidRDefault="00A81CCF" w:rsidP="00A81CCF">
      <w:pPr>
        <w:rPr>
          <w:rFonts w:eastAsia="Calibri"/>
          <w:u w:val="single"/>
        </w:rPr>
      </w:pPr>
      <w:r w:rsidRPr="00A81CCF">
        <w:rPr>
          <w:rFonts w:eastAsia="Calibri"/>
          <w:u w:val="single"/>
        </w:rPr>
        <w:t xml:space="preserve">Affected Environment </w:t>
      </w:r>
    </w:p>
    <w:p w14:paraId="155C349D" w14:textId="77777777" w:rsidR="00A81CCF" w:rsidRPr="00A81CCF" w:rsidRDefault="00A81CCF" w:rsidP="00A81CCF">
      <w:pPr>
        <w:rPr>
          <w:rFonts w:eastAsia="Calibri"/>
        </w:rPr>
      </w:pPr>
    </w:p>
    <w:p w14:paraId="0D5B318C" w14:textId="77777777" w:rsidR="00A81CCF" w:rsidRPr="00A81CCF" w:rsidRDefault="00A81CCF" w:rsidP="00A81CCF">
      <w:pPr>
        <w:rPr>
          <w:rFonts w:eastAsia="Calibri"/>
        </w:rPr>
      </w:pPr>
      <w:r w:rsidRPr="00A81CCF">
        <w:rPr>
          <w:rFonts w:eastAsia="Calibri"/>
        </w:rPr>
        <w:t xml:space="preserve">The affected environment is described in </w:t>
      </w:r>
      <w:r w:rsidRPr="00A81CCF">
        <w:rPr>
          <w:rFonts w:eastAsia="Calibri"/>
          <w:b/>
        </w:rPr>
        <w:t>Chapter 3</w:t>
      </w:r>
      <w:r w:rsidRPr="00A81CCF">
        <w:rPr>
          <w:rFonts w:eastAsia="Calibri"/>
        </w:rPr>
        <w:t xml:space="preserve">. </w:t>
      </w:r>
    </w:p>
    <w:p w14:paraId="101D256B" w14:textId="77777777" w:rsidR="00F5503A" w:rsidRDefault="00F5503A" w:rsidP="00A81CCF">
      <w:pPr>
        <w:rPr>
          <w:rFonts w:eastAsia="Calibri"/>
          <w:u w:val="single"/>
        </w:rPr>
      </w:pPr>
    </w:p>
    <w:p w14:paraId="7E887869" w14:textId="77777777" w:rsidR="00A81CCF" w:rsidRPr="00A81CCF" w:rsidRDefault="00A81CCF" w:rsidP="00A81CCF">
      <w:pPr>
        <w:rPr>
          <w:rFonts w:eastAsia="Calibri"/>
          <w:u w:val="single"/>
        </w:rPr>
      </w:pPr>
      <w:r w:rsidRPr="00A81CCF">
        <w:rPr>
          <w:rFonts w:eastAsia="Calibri"/>
          <w:u w:val="single"/>
        </w:rPr>
        <w:t xml:space="preserve">Impacts of the Alternatives </w:t>
      </w:r>
    </w:p>
    <w:p w14:paraId="548048F5" w14:textId="77777777" w:rsidR="00A81CCF" w:rsidRPr="00A81CCF" w:rsidRDefault="00A81CCF" w:rsidP="00A81CCF">
      <w:pPr>
        <w:rPr>
          <w:rFonts w:eastAsia="Calibri"/>
        </w:rPr>
      </w:pPr>
    </w:p>
    <w:p w14:paraId="587BBFBC" w14:textId="77777777" w:rsidR="00A81CCF" w:rsidRPr="00A81CCF" w:rsidRDefault="00A81CCF" w:rsidP="00A81CCF">
      <w:pPr>
        <w:rPr>
          <w:rFonts w:eastAsia="Calibri"/>
        </w:rPr>
      </w:pPr>
      <w:r w:rsidRPr="00A81CCF">
        <w:rPr>
          <w:rFonts w:eastAsia="Calibri"/>
        </w:rPr>
        <w:t xml:space="preserve">The impacts of the alternatives on the environment are described in </w:t>
      </w:r>
      <w:r w:rsidRPr="00A81CCF">
        <w:rPr>
          <w:rFonts w:eastAsia="Calibri"/>
          <w:b/>
          <w:bCs/>
        </w:rPr>
        <w:t>Chapter 4</w:t>
      </w:r>
      <w:r w:rsidRPr="00A81CCF">
        <w:rPr>
          <w:rFonts w:eastAsia="Calibri"/>
          <w:bCs/>
        </w:rPr>
        <w:t>.</w:t>
      </w:r>
      <w:r w:rsidRPr="00A81CCF">
        <w:rPr>
          <w:rFonts w:eastAsia="Calibri"/>
        </w:rPr>
        <w:t xml:space="preserve"> </w:t>
      </w:r>
    </w:p>
    <w:p w14:paraId="1E777C3F" w14:textId="77777777" w:rsidR="00A81CCF" w:rsidRPr="00A81CCF" w:rsidRDefault="00A81CCF" w:rsidP="00A81CCF">
      <w:pPr>
        <w:rPr>
          <w:rFonts w:eastAsia="Calibri"/>
        </w:rPr>
      </w:pPr>
    </w:p>
    <w:p w14:paraId="68E63468" w14:textId="77777777" w:rsidR="00A81CCF" w:rsidRPr="00A81CCF" w:rsidRDefault="00A81CCF" w:rsidP="00A81CCF">
      <w:pPr>
        <w:rPr>
          <w:rFonts w:eastAsia="Calibri"/>
          <w:b/>
          <w:bCs/>
        </w:rPr>
      </w:pPr>
      <w:r w:rsidRPr="00A81CCF">
        <w:rPr>
          <w:rFonts w:eastAsia="Calibri"/>
          <w:b/>
          <w:bCs/>
        </w:rPr>
        <w:t>1.13</w:t>
      </w:r>
      <w:r w:rsidRPr="00A81CCF">
        <w:rPr>
          <w:rFonts w:eastAsia="Calibri"/>
          <w:b/>
          <w:bCs/>
        </w:rPr>
        <w:tab/>
        <w:t>National Marine Sanctuaries Act (NMSA)</w:t>
      </w:r>
    </w:p>
    <w:p w14:paraId="62756A79" w14:textId="77777777" w:rsidR="00A81CCF" w:rsidRPr="00A81CCF" w:rsidRDefault="00A81CCF" w:rsidP="00A81CCF">
      <w:pPr>
        <w:rPr>
          <w:rFonts w:eastAsia="Calibri"/>
        </w:rPr>
      </w:pPr>
    </w:p>
    <w:p w14:paraId="4D8284FD" w14:textId="77777777" w:rsidR="00A81CCF" w:rsidRPr="00A81CCF" w:rsidRDefault="00A81CCF" w:rsidP="00DD50E0">
      <w:pPr>
        <w:ind w:firstLine="360"/>
        <w:rPr>
          <w:rFonts w:eastAsia="Calibri"/>
        </w:rPr>
      </w:pPr>
      <w:r w:rsidRPr="00A81CCF">
        <w:rPr>
          <w:rFonts w:eastAsia="Calibri"/>
        </w:rPr>
        <w:t xml:space="preserve">Under the NMSA (also known as Title III of the Marine Protection, Research and Sanctuaries Act of 1972), as amended, the U.S. Secretary of Commerce is authorized to designate National Marine Sanctuaries to protect distinctive natural and cultural resources whose protection and beneficial use requires comprehensive planning and management.  The National </w:t>
      </w:r>
      <w:r w:rsidRPr="00A81CCF">
        <w:rPr>
          <w:rFonts w:eastAsia="Calibri"/>
        </w:rPr>
        <w:lastRenderedPageBreak/>
        <w:t>Marine Sanctuary Program is administered by the Sanctuaries and Reserves Division of NOAA.  The NMSA provides authority for comprehensive and coordinated conservation and management of these marine areas.  The National Marine Sanctuary Program currently comprises 13 sanctuaries around the country, including sites in American Samoa and Hawaii.  These sites include significant coral reef and kelp forest habitats, and breeding and feeding grounds of whales, sea lions, sharks, and sea turtles.  The three sanctuaries in the South Atlantic exclusive economic zone</w:t>
      </w:r>
      <w:r w:rsidRPr="00A81CCF">
        <w:rPr>
          <w:rFonts w:eastAsia="Calibri"/>
        </w:rPr>
        <w:fldChar w:fldCharType="begin"/>
      </w:r>
      <w:r w:rsidRPr="00A81CCF">
        <w:instrText xml:space="preserve"> XE "</w:instrText>
      </w:r>
      <w:r w:rsidRPr="00A81CCF">
        <w:rPr>
          <w:sz w:val="20"/>
          <w:szCs w:val="20"/>
        </w:rPr>
        <w:instrText>exclusive economic zone</w:instrText>
      </w:r>
      <w:r w:rsidRPr="00A81CCF">
        <w:instrText xml:space="preserve">" </w:instrText>
      </w:r>
      <w:r w:rsidRPr="00A81CCF">
        <w:rPr>
          <w:rFonts w:eastAsia="Calibri"/>
        </w:rPr>
        <w:fldChar w:fldCharType="end"/>
      </w:r>
      <w:r w:rsidRPr="00A81CCF">
        <w:rPr>
          <w:rFonts w:eastAsia="Calibri"/>
        </w:rPr>
        <w:t xml:space="preserve"> are the USS Monitor, Gray’s Reef, and Florida Keys National Marine Sanctuaries. </w:t>
      </w:r>
    </w:p>
    <w:p w14:paraId="2334C05E" w14:textId="77777777" w:rsidR="00A81CCF" w:rsidRPr="00A81CCF" w:rsidRDefault="00A81CCF" w:rsidP="00A81CCF">
      <w:pPr>
        <w:rPr>
          <w:rFonts w:eastAsia="Calibri"/>
        </w:rPr>
      </w:pPr>
    </w:p>
    <w:p w14:paraId="39C4A38D" w14:textId="77777777" w:rsidR="00A81CCF" w:rsidRPr="00A81CCF" w:rsidRDefault="00A81CCF" w:rsidP="00DD50E0">
      <w:pPr>
        <w:ind w:firstLine="360"/>
        <w:rPr>
          <w:rFonts w:eastAsia="Calibri"/>
        </w:rPr>
      </w:pPr>
      <w:r w:rsidRPr="00A81CCF">
        <w:rPr>
          <w:rFonts w:eastAsia="Calibri"/>
        </w:rPr>
        <w:t xml:space="preserve">The alternatives considered in this document are not expected to have any adverse impacts on the resources managed by the National Marine Sanctuaries. </w:t>
      </w:r>
    </w:p>
    <w:p w14:paraId="47C3240D" w14:textId="77777777" w:rsidR="00A81CCF" w:rsidRPr="00A81CCF" w:rsidRDefault="00A81CCF" w:rsidP="00A81CCF">
      <w:pPr>
        <w:rPr>
          <w:rFonts w:eastAsia="Calibri"/>
          <w:b/>
          <w:bCs/>
        </w:rPr>
      </w:pPr>
    </w:p>
    <w:p w14:paraId="244AD9AC" w14:textId="77777777" w:rsidR="00A81CCF" w:rsidRPr="00A81CCF" w:rsidRDefault="00A81CCF" w:rsidP="00A81CCF">
      <w:pPr>
        <w:rPr>
          <w:rFonts w:eastAsia="Calibri"/>
        </w:rPr>
      </w:pPr>
      <w:r w:rsidRPr="00A81CCF">
        <w:rPr>
          <w:rFonts w:eastAsia="Calibri"/>
          <w:b/>
          <w:bCs/>
        </w:rPr>
        <w:t>1.14</w:t>
      </w:r>
      <w:r w:rsidRPr="00A81CCF">
        <w:rPr>
          <w:rFonts w:eastAsia="Calibri"/>
          <w:b/>
          <w:bCs/>
        </w:rPr>
        <w:tab/>
        <w:t>Paperwork Reduction Act (PRA)</w:t>
      </w:r>
    </w:p>
    <w:p w14:paraId="668D51E1" w14:textId="77777777" w:rsidR="00A81CCF" w:rsidRPr="00A81CCF" w:rsidRDefault="00A81CCF" w:rsidP="00A81CCF">
      <w:pPr>
        <w:rPr>
          <w:rFonts w:eastAsia="Calibri"/>
        </w:rPr>
      </w:pPr>
    </w:p>
    <w:p w14:paraId="568B1FFF" w14:textId="77777777" w:rsidR="00A81CCF" w:rsidRPr="00A81CCF" w:rsidRDefault="00A81CCF" w:rsidP="00DD50E0">
      <w:pPr>
        <w:ind w:firstLine="360"/>
        <w:rPr>
          <w:rFonts w:eastAsia="Calibri"/>
        </w:rPr>
      </w:pPr>
      <w:r w:rsidRPr="00A81CCF">
        <w:rPr>
          <w:rFonts w:eastAsia="Calibri"/>
        </w:rPr>
        <w:t xml:space="preserve">The purpose of the PRA is to minimize the burden on the public.  The PRA is intended to ensure that the information collected under the proposed action is needed and is collected in an efficient manner (44 U.S.C. 3501 (1)).  The authority to manage information collection and record keeping requirements is vested with the Director of the Office of Management and Budget (OMB).  This authority encompasses establishment of guidelines and policies, approval of information collection requests, and reduction of paperwork burdens and duplications.  The PRA requires NMFS to obtain approval from the OMB before requesting most types of fishery information from the public.  Actions in this document are not expected to affect PRA. </w:t>
      </w:r>
    </w:p>
    <w:p w14:paraId="32574BC2" w14:textId="77777777" w:rsidR="00A81CCF" w:rsidRPr="00A81CCF" w:rsidRDefault="00A81CCF" w:rsidP="00A81CCF">
      <w:pPr>
        <w:rPr>
          <w:rFonts w:eastAsia="Calibri"/>
        </w:rPr>
      </w:pPr>
    </w:p>
    <w:p w14:paraId="5A022E50" w14:textId="77777777" w:rsidR="00A81CCF" w:rsidRPr="00A81CCF" w:rsidRDefault="00A81CCF" w:rsidP="00A81CCF">
      <w:pPr>
        <w:rPr>
          <w:rFonts w:eastAsia="Calibri"/>
        </w:rPr>
      </w:pPr>
      <w:r w:rsidRPr="00A81CCF">
        <w:rPr>
          <w:rFonts w:eastAsia="Calibri"/>
          <w:b/>
          <w:bCs/>
        </w:rPr>
        <w:t>1.15</w:t>
      </w:r>
      <w:r w:rsidRPr="00A81CCF">
        <w:rPr>
          <w:rFonts w:eastAsia="Calibri"/>
          <w:b/>
          <w:bCs/>
        </w:rPr>
        <w:tab/>
        <w:t>Regulatory Flexibility Act (RFA)</w:t>
      </w:r>
    </w:p>
    <w:p w14:paraId="20B78EED" w14:textId="77777777" w:rsidR="00A81CCF" w:rsidRPr="00A81CCF" w:rsidRDefault="00A81CCF" w:rsidP="00A81CCF">
      <w:pPr>
        <w:rPr>
          <w:rFonts w:eastAsia="Calibri"/>
        </w:rPr>
      </w:pPr>
    </w:p>
    <w:p w14:paraId="3CF2E819" w14:textId="77777777" w:rsidR="00A81CCF" w:rsidRPr="00A81CCF" w:rsidRDefault="00A81CCF" w:rsidP="00DD50E0">
      <w:pPr>
        <w:ind w:firstLine="360"/>
        <w:rPr>
          <w:rFonts w:eastAsia="Calibri"/>
        </w:rPr>
      </w:pPr>
      <w:r w:rsidRPr="00A81CCF">
        <w:rPr>
          <w:rFonts w:eastAsia="Calibri"/>
        </w:rPr>
        <w:t xml:space="preserve">The RFA of 1980 (5 U.S.C. 601 et seq.) requires federal agencies to assess the impacts of regulatory actions implemented through notice and comment rulemaking procedures on small businesses, small organizations, and small governmental entities, with the goal of minimizing adverse impacts of burdensome regulations and record-keeping requirements on those entities.  Under the RFA, NMFS must determine whether a proposed fishery regulation would have a significant economic impact on a substantial number of small entities.  If not, a certification to this effect must be prepared and submitted to the Chief Counsel for Advocacy of the Small Business Administration.  Alternatively, if a regulation is determined to significantly impact a substantial number of small entities, the RFA requires the agency to prepare an initial and final Regulatory Flexibility Analysis to accompany the proposed and final rule, respectively.  These analyses, which describe the type and number of small businesses, affected, the nature and size of the impacts, and alternatives that minimize these impacts while accomplishing stated objectives, must be published in the </w:t>
      </w:r>
      <w:r w:rsidRPr="00A81CCF">
        <w:rPr>
          <w:rFonts w:eastAsia="Calibri"/>
          <w:i/>
        </w:rPr>
        <w:t>Federal Register</w:t>
      </w:r>
      <w:r w:rsidRPr="00A81CCF">
        <w:rPr>
          <w:rFonts w:eastAsia="Calibri"/>
        </w:rPr>
        <w:t xml:space="preserve"> in full or in summary for public comment and submitted to the chief counsel for advocacy of the Small Business Administration.  Changes to the RFA in June 1996 enable small entities to seek court review of an agency’s compliance with the RFA’s provisions. </w:t>
      </w:r>
    </w:p>
    <w:p w14:paraId="4DBEE44B" w14:textId="77777777" w:rsidR="00A81CCF" w:rsidRPr="00A81CCF" w:rsidRDefault="00A81CCF" w:rsidP="00A81CCF">
      <w:pPr>
        <w:rPr>
          <w:rFonts w:eastAsia="Calibri"/>
        </w:rPr>
      </w:pPr>
      <w:r w:rsidRPr="00A81CCF">
        <w:rPr>
          <w:rFonts w:eastAsia="Calibri"/>
        </w:rPr>
        <w:t xml:space="preserve"> </w:t>
      </w:r>
    </w:p>
    <w:p w14:paraId="2F48E997" w14:textId="77777777" w:rsidR="00A81CCF" w:rsidRPr="00A81CCF" w:rsidRDefault="00A81CCF" w:rsidP="00DD50E0">
      <w:pPr>
        <w:ind w:firstLine="360"/>
        <w:rPr>
          <w:rFonts w:eastAsia="Calibri"/>
        </w:rPr>
      </w:pPr>
      <w:r w:rsidRPr="00A81CCF">
        <w:rPr>
          <w:rFonts w:eastAsia="Calibri"/>
        </w:rPr>
        <w:t>As NMFS has determined whether a proposed fishery regulation would have a significant economic impact on a substantial number of small entities, a certification to this effect will be prepared and submitted to the Chief Counsel for Advocacy of the Small Business Administration.</w:t>
      </w:r>
    </w:p>
    <w:p w14:paraId="1B35FF41" w14:textId="77777777" w:rsidR="00A81CCF" w:rsidRPr="00A81CCF" w:rsidRDefault="00A81CCF" w:rsidP="00A81CCF">
      <w:pPr>
        <w:rPr>
          <w:rFonts w:eastAsia="Calibri"/>
        </w:rPr>
      </w:pPr>
    </w:p>
    <w:p w14:paraId="018E1957" w14:textId="77777777" w:rsidR="00A81CCF" w:rsidRPr="00A81CCF" w:rsidRDefault="00A81CCF" w:rsidP="00A81CCF">
      <w:pPr>
        <w:rPr>
          <w:rFonts w:eastAsia="Calibri"/>
        </w:rPr>
      </w:pPr>
      <w:r w:rsidRPr="00A81CCF">
        <w:rPr>
          <w:rFonts w:eastAsia="Calibri"/>
        </w:rPr>
        <w:t xml:space="preserve">This amendment includes the RFA as </w:t>
      </w:r>
      <w:r w:rsidRPr="00A81CCF">
        <w:rPr>
          <w:rFonts w:eastAsia="Calibri"/>
          <w:b/>
        </w:rPr>
        <w:t>Appendix F</w:t>
      </w:r>
      <w:r w:rsidRPr="00A81CCF">
        <w:rPr>
          <w:rFonts w:eastAsia="Calibri"/>
        </w:rPr>
        <w:t>.</w:t>
      </w:r>
    </w:p>
    <w:p w14:paraId="436EBEFA" w14:textId="77777777" w:rsidR="00A81CCF" w:rsidRPr="00A81CCF" w:rsidRDefault="00A81CCF" w:rsidP="00A81CCF">
      <w:pPr>
        <w:rPr>
          <w:rFonts w:eastAsia="Calibri"/>
        </w:rPr>
      </w:pPr>
    </w:p>
    <w:p w14:paraId="0AA14249" w14:textId="77777777" w:rsidR="00A81CCF" w:rsidRPr="00A81CCF" w:rsidRDefault="00A81CCF" w:rsidP="00A81CCF">
      <w:pPr>
        <w:rPr>
          <w:rFonts w:eastAsia="Calibri"/>
          <w:b/>
          <w:bCs/>
        </w:rPr>
      </w:pPr>
      <w:r w:rsidRPr="00A81CCF">
        <w:rPr>
          <w:rFonts w:eastAsia="Calibri"/>
          <w:b/>
          <w:bCs/>
        </w:rPr>
        <w:t xml:space="preserve">1.16 </w:t>
      </w:r>
      <w:r w:rsidRPr="00A81CCF">
        <w:rPr>
          <w:rFonts w:eastAsia="Calibri"/>
          <w:b/>
          <w:bCs/>
        </w:rPr>
        <w:tab/>
        <w:t>Small Business Act (SBA)</w:t>
      </w:r>
    </w:p>
    <w:p w14:paraId="677891B4" w14:textId="77777777" w:rsidR="00A81CCF" w:rsidRPr="00A81CCF" w:rsidRDefault="00A81CCF" w:rsidP="00A81CCF">
      <w:pPr>
        <w:rPr>
          <w:rFonts w:eastAsia="Calibri"/>
        </w:rPr>
      </w:pPr>
    </w:p>
    <w:p w14:paraId="177AA685" w14:textId="77777777" w:rsidR="00A81CCF" w:rsidRPr="00A81CCF" w:rsidRDefault="00A81CCF" w:rsidP="00DD50E0">
      <w:pPr>
        <w:ind w:firstLine="360"/>
        <w:rPr>
          <w:rFonts w:eastAsia="Calibri"/>
        </w:rPr>
      </w:pPr>
      <w:r w:rsidRPr="00A81CCF">
        <w:rPr>
          <w:rFonts w:eastAsia="Calibri"/>
        </w:rPr>
        <w:t xml:space="preserve">Enacted in 1953, the SBA requires that agencies assist and protect small-business interests to the extent possible to preserve free competitive enterprise.  The objectives of the SBA are to foster business ownership by individuals who are both socially and economically disadvantaged; and to promote the competitive viability of such firms by providing business development assistance including, but not limited to, management and technical assistance, access to capital and other forms of financial assistance, business training, and counseling, and access to sole source and limited competition federal contract opportunities, to help firms achieve competitive viability.  Because most businesses associated with fishing are considered small businesses, NMFS, in implementing regulations, must make an assessment of how those regulations will affect small businesses. </w:t>
      </w:r>
    </w:p>
    <w:p w14:paraId="57530705" w14:textId="77777777" w:rsidR="00A81CCF" w:rsidRPr="00A81CCF" w:rsidRDefault="00A81CCF" w:rsidP="00A81CCF">
      <w:pPr>
        <w:rPr>
          <w:rFonts w:eastAsia="Calibri"/>
        </w:rPr>
      </w:pPr>
    </w:p>
    <w:p w14:paraId="27412854" w14:textId="77777777" w:rsidR="00A81CCF" w:rsidRPr="00A81CCF" w:rsidRDefault="00A81CCF" w:rsidP="00A81CCF">
      <w:pPr>
        <w:rPr>
          <w:rFonts w:eastAsia="Calibri"/>
          <w:b/>
          <w:bCs/>
        </w:rPr>
      </w:pPr>
      <w:r w:rsidRPr="00A81CCF">
        <w:rPr>
          <w:rFonts w:eastAsia="Calibri"/>
          <w:b/>
          <w:bCs/>
        </w:rPr>
        <w:t xml:space="preserve">1.17 </w:t>
      </w:r>
      <w:r w:rsidRPr="00A81CCF">
        <w:rPr>
          <w:rFonts w:eastAsia="Calibri"/>
          <w:b/>
          <w:bCs/>
        </w:rPr>
        <w:tab/>
        <w:t xml:space="preserve">Public Law 99-659: Vessel Safety </w:t>
      </w:r>
    </w:p>
    <w:p w14:paraId="09B4EC5F" w14:textId="77777777" w:rsidR="00A81CCF" w:rsidRPr="00A81CCF" w:rsidRDefault="00A81CCF" w:rsidP="00A81CCF">
      <w:pPr>
        <w:rPr>
          <w:rFonts w:eastAsia="Calibri"/>
        </w:rPr>
      </w:pPr>
    </w:p>
    <w:p w14:paraId="459EA4D1" w14:textId="7CDCA16B" w:rsidR="00226194" w:rsidRDefault="00A81CCF" w:rsidP="00DD50E0">
      <w:pPr>
        <w:ind w:firstLine="360"/>
        <w:rPr>
          <w:rFonts w:eastAsia="Calibri"/>
          <w:lang w:val="en-CA"/>
        </w:rPr>
      </w:pPr>
      <w:r w:rsidRPr="00A81CCF">
        <w:rPr>
          <w:rFonts w:eastAsia="Calibri"/>
        </w:rPr>
        <w:t>Public Law 99-659 amended the Magnuson-Stevens Fishery Conservation and Management Act to require that a FMP or FMP amendment must consider, and may provide for, temporary adjustments (after consultation with the U.S. Coast Guard and persons utilizing the fishery) regarding access to a fishery for vessels that would be otherwise prevented from participating in the fishery because of safety concerns related to weather or to other ocean conditions.  No vessel would be forced to participate in South Atlantic fisheries under adverse weather or ocean conditions as a result of the imposition of management regulations proposed in this amendment.  No concerns have been raised by South Atlantic fishermen or by the U.S. Coast Guard that the proposed management measures directly or indirectly pose a hazard to crew or vessel safety under adverse weather or ocean conditions.</w:t>
      </w:r>
    </w:p>
    <w:p w14:paraId="7225B160" w14:textId="77777777" w:rsidR="00326CA9" w:rsidRDefault="00326CA9" w:rsidP="00D71AB1">
      <w:pPr>
        <w:rPr>
          <w:rFonts w:eastAsia="Calibri"/>
          <w:lang w:val="en-CA"/>
        </w:rPr>
        <w:sectPr w:rsidR="00326CA9" w:rsidSect="0038545E">
          <w:footerReference w:type="default" r:id="rId110"/>
          <w:pgSz w:w="12240" w:h="15840" w:code="1"/>
          <w:pgMar w:top="1440" w:right="1440" w:bottom="1440" w:left="1440" w:header="720" w:footer="720" w:gutter="0"/>
          <w:pgNumType w:start="1" w:chapStyle="1"/>
          <w:cols w:space="720"/>
          <w:docGrid w:linePitch="360"/>
        </w:sectPr>
      </w:pPr>
    </w:p>
    <w:p w14:paraId="2B12ACB5" w14:textId="4D6D1961" w:rsidR="00326CA9" w:rsidRDefault="00717820" w:rsidP="00326CA9">
      <w:pPr>
        <w:pStyle w:val="Heading1"/>
        <w:rPr>
          <w:rFonts w:ascii="Times New Roman" w:hAnsi="Times New Roman" w:cs="Times New Roman"/>
          <w:color w:val="548DD4"/>
          <w:sz w:val="56"/>
          <w:szCs w:val="56"/>
        </w:rPr>
      </w:pPr>
      <w:bookmarkStart w:id="425" w:name="_Toc339811837"/>
      <w:r>
        <w:rPr>
          <w:rFonts w:ascii="Times New Roman" w:hAnsi="Times New Roman" w:cs="Times New Roman"/>
          <w:color w:val="8DB3E2"/>
          <w:sz w:val="36"/>
          <w:szCs w:val="36"/>
        </w:rPr>
        <w:lastRenderedPageBreak/>
        <w:t>Appendix H</w:t>
      </w:r>
      <w:r w:rsidR="00326CA9" w:rsidRPr="00532ABB">
        <w:rPr>
          <w:rFonts w:ascii="Times New Roman" w:hAnsi="Times New Roman" w:cs="Times New Roman"/>
          <w:color w:val="8DB3E2"/>
          <w:sz w:val="36"/>
          <w:szCs w:val="36"/>
        </w:rPr>
        <w:t>.</w:t>
      </w:r>
      <w:r w:rsidR="00326CA9" w:rsidRPr="00532ABB">
        <w:rPr>
          <w:rFonts w:ascii="Times New Roman" w:hAnsi="Times New Roman" w:cs="Times New Roman"/>
          <w:color w:val="548DD4"/>
          <w:sz w:val="56"/>
          <w:szCs w:val="56"/>
        </w:rPr>
        <w:t xml:space="preserve">  </w:t>
      </w:r>
      <w:r w:rsidR="00DC4922" w:rsidRPr="003061E9">
        <w:rPr>
          <w:rFonts w:ascii="Times New Roman" w:hAnsi="Times New Roman" w:cs="Times New Roman"/>
          <w:color w:val="548DD4"/>
          <w:sz w:val="48"/>
          <w:szCs w:val="48"/>
        </w:rPr>
        <w:t>Essential Fish Habitat and Ecosystem-based Management</w:t>
      </w:r>
      <w:bookmarkEnd w:id="425"/>
    </w:p>
    <w:p w14:paraId="11C0CF07" w14:textId="77777777" w:rsidR="00DC4922" w:rsidRDefault="00DC4922" w:rsidP="00DC4922">
      <w:pPr>
        <w:widowControl w:val="0"/>
        <w:autoSpaceDE w:val="0"/>
        <w:autoSpaceDN w:val="0"/>
        <w:adjustRightInd w:val="0"/>
        <w:spacing w:before="16" w:line="260" w:lineRule="exact"/>
        <w:rPr>
          <w:rFonts w:ascii="Arial" w:hAnsi="Arial" w:cs="Arial"/>
          <w:sz w:val="26"/>
        </w:rPr>
      </w:pPr>
    </w:p>
    <w:p w14:paraId="2CD2FB56" w14:textId="77777777" w:rsidR="00DC4922" w:rsidRPr="00EB603B" w:rsidRDefault="00DC4922" w:rsidP="00DC4922">
      <w:pPr>
        <w:rPr>
          <w:b/>
        </w:rPr>
      </w:pPr>
      <w:r w:rsidRPr="00EB603B">
        <w:rPr>
          <w:b/>
          <w:spacing w:val="1"/>
        </w:rPr>
        <w:t>S</w:t>
      </w:r>
      <w:r w:rsidRPr="00EB603B">
        <w:rPr>
          <w:b/>
        </w:rPr>
        <w:t>ou</w:t>
      </w:r>
      <w:r w:rsidRPr="00EB603B">
        <w:rPr>
          <w:b/>
          <w:spacing w:val="-1"/>
        </w:rPr>
        <w:t>t</w:t>
      </w:r>
      <w:r w:rsidRPr="00EB603B">
        <w:rPr>
          <w:b/>
        </w:rPr>
        <w:t>h</w:t>
      </w:r>
      <w:r w:rsidRPr="00EB603B">
        <w:rPr>
          <w:b/>
          <w:spacing w:val="3"/>
        </w:rPr>
        <w:t xml:space="preserve"> </w:t>
      </w:r>
      <w:r w:rsidRPr="00EB603B">
        <w:rPr>
          <w:b/>
          <w:spacing w:val="-5"/>
        </w:rPr>
        <w:t>A</w:t>
      </w:r>
      <w:r w:rsidRPr="00EB603B">
        <w:rPr>
          <w:b/>
          <w:spacing w:val="-1"/>
        </w:rPr>
        <w:t>t</w:t>
      </w:r>
      <w:r w:rsidRPr="00EB603B">
        <w:rPr>
          <w:b/>
        </w:rPr>
        <w:t>l</w:t>
      </w:r>
      <w:r w:rsidRPr="00EB603B">
        <w:rPr>
          <w:b/>
          <w:spacing w:val="1"/>
        </w:rPr>
        <w:t>a</w:t>
      </w:r>
      <w:r w:rsidRPr="00EB603B">
        <w:rPr>
          <w:b/>
        </w:rPr>
        <w:t>n</w:t>
      </w:r>
      <w:r w:rsidRPr="00EB603B">
        <w:rPr>
          <w:b/>
          <w:spacing w:val="-1"/>
        </w:rPr>
        <w:t>t</w:t>
      </w:r>
      <w:r w:rsidRPr="00EB603B">
        <w:rPr>
          <w:b/>
        </w:rPr>
        <w:t>ic</w:t>
      </w:r>
      <w:r w:rsidRPr="00EB603B">
        <w:rPr>
          <w:b/>
          <w:spacing w:val="1"/>
        </w:rPr>
        <w:t xml:space="preserve"> </w:t>
      </w:r>
      <w:r w:rsidRPr="00EB603B">
        <w:rPr>
          <w:b/>
        </w:rPr>
        <w:t>Fi</w:t>
      </w:r>
      <w:r w:rsidRPr="00EB603B">
        <w:rPr>
          <w:b/>
          <w:spacing w:val="1"/>
        </w:rPr>
        <w:t>s</w:t>
      </w:r>
      <w:r w:rsidRPr="00EB603B">
        <w:rPr>
          <w:b/>
        </w:rPr>
        <w:t>h</w:t>
      </w:r>
      <w:r w:rsidRPr="00EB603B">
        <w:rPr>
          <w:b/>
          <w:spacing w:val="1"/>
        </w:rPr>
        <w:t>e</w:t>
      </w:r>
      <w:r w:rsidRPr="00EB603B">
        <w:rPr>
          <w:b/>
        </w:rPr>
        <w:t>ry</w:t>
      </w:r>
      <w:r w:rsidRPr="00EB603B">
        <w:rPr>
          <w:b/>
          <w:spacing w:val="-1"/>
        </w:rPr>
        <w:t xml:space="preserve"> M</w:t>
      </w:r>
      <w:r w:rsidRPr="00EB603B">
        <w:rPr>
          <w:b/>
          <w:spacing w:val="1"/>
        </w:rPr>
        <w:t>a</w:t>
      </w:r>
      <w:r w:rsidRPr="00EB603B">
        <w:rPr>
          <w:b/>
        </w:rPr>
        <w:t>n</w:t>
      </w:r>
      <w:r w:rsidRPr="00EB603B">
        <w:rPr>
          <w:b/>
          <w:spacing w:val="1"/>
        </w:rPr>
        <w:t>a</w:t>
      </w:r>
      <w:r w:rsidRPr="00EB603B">
        <w:rPr>
          <w:b/>
        </w:rPr>
        <w:t>g</w:t>
      </w:r>
      <w:r w:rsidRPr="00EB603B">
        <w:rPr>
          <w:b/>
          <w:spacing w:val="1"/>
        </w:rPr>
        <w:t>e</w:t>
      </w:r>
      <w:r w:rsidRPr="00EB603B">
        <w:rPr>
          <w:b/>
        </w:rPr>
        <w:t>m</w:t>
      </w:r>
      <w:r w:rsidRPr="00EB603B">
        <w:rPr>
          <w:b/>
          <w:spacing w:val="1"/>
        </w:rPr>
        <w:t>e</w:t>
      </w:r>
      <w:r w:rsidRPr="00EB603B">
        <w:rPr>
          <w:b/>
        </w:rPr>
        <w:t>nt Coun</w:t>
      </w:r>
      <w:r w:rsidRPr="00EB603B">
        <w:rPr>
          <w:b/>
          <w:spacing w:val="1"/>
        </w:rPr>
        <w:t>c</w:t>
      </w:r>
      <w:r w:rsidRPr="00EB603B">
        <w:rPr>
          <w:b/>
        </w:rPr>
        <w:t>il</w:t>
      </w:r>
      <w:r w:rsidRPr="00EB603B">
        <w:rPr>
          <w:b/>
          <w:spacing w:val="1"/>
        </w:rPr>
        <w:t xml:space="preserve"> </w:t>
      </w:r>
      <w:r w:rsidRPr="00EB603B">
        <w:rPr>
          <w:b/>
        </w:rPr>
        <w:t>H</w:t>
      </w:r>
      <w:r w:rsidRPr="00EB603B">
        <w:rPr>
          <w:b/>
          <w:spacing w:val="1"/>
        </w:rPr>
        <w:t>a</w:t>
      </w:r>
      <w:r w:rsidRPr="00EB603B">
        <w:rPr>
          <w:b/>
        </w:rPr>
        <w:t>bi</w:t>
      </w:r>
      <w:r w:rsidRPr="00EB603B">
        <w:rPr>
          <w:b/>
          <w:spacing w:val="-1"/>
        </w:rPr>
        <w:t>t</w:t>
      </w:r>
      <w:r w:rsidRPr="00EB603B">
        <w:rPr>
          <w:b/>
          <w:spacing w:val="1"/>
        </w:rPr>
        <w:t>a</w:t>
      </w:r>
      <w:r w:rsidRPr="00EB603B">
        <w:rPr>
          <w:b/>
        </w:rPr>
        <w:t>t Con</w:t>
      </w:r>
      <w:r w:rsidRPr="00EB603B">
        <w:rPr>
          <w:b/>
          <w:spacing w:val="-1"/>
        </w:rPr>
        <w:t>s</w:t>
      </w:r>
      <w:r w:rsidRPr="00EB603B">
        <w:rPr>
          <w:b/>
          <w:spacing w:val="1"/>
        </w:rPr>
        <w:t>e</w:t>
      </w:r>
      <w:r w:rsidRPr="00EB603B">
        <w:rPr>
          <w:b/>
        </w:rPr>
        <w:t>r</w:t>
      </w:r>
      <w:r w:rsidRPr="00EB603B">
        <w:rPr>
          <w:b/>
          <w:spacing w:val="-4"/>
        </w:rPr>
        <w:t>v</w:t>
      </w:r>
      <w:r w:rsidRPr="00EB603B">
        <w:rPr>
          <w:b/>
          <w:spacing w:val="1"/>
        </w:rPr>
        <w:t>a</w:t>
      </w:r>
      <w:r w:rsidRPr="00EB603B">
        <w:rPr>
          <w:b/>
          <w:spacing w:val="-1"/>
        </w:rPr>
        <w:t>t</w:t>
      </w:r>
      <w:r w:rsidRPr="00EB603B">
        <w:rPr>
          <w:b/>
          <w:spacing w:val="3"/>
        </w:rPr>
        <w:t>i</w:t>
      </w:r>
      <w:r w:rsidRPr="00EB603B">
        <w:rPr>
          <w:b/>
        </w:rPr>
        <w:t>on,</w:t>
      </w:r>
      <w:r w:rsidRPr="00EB603B">
        <w:rPr>
          <w:b/>
          <w:spacing w:val="1"/>
        </w:rPr>
        <w:t xml:space="preserve"> Ec</w:t>
      </w:r>
      <w:r w:rsidRPr="00EB603B">
        <w:rPr>
          <w:b/>
        </w:rPr>
        <w:t>o</w:t>
      </w:r>
      <w:r w:rsidRPr="00EB603B">
        <w:rPr>
          <w:b/>
          <w:spacing w:val="1"/>
        </w:rPr>
        <w:t>s</w:t>
      </w:r>
      <w:r w:rsidRPr="00EB603B">
        <w:rPr>
          <w:b/>
          <w:spacing w:val="-6"/>
        </w:rPr>
        <w:t>y</w:t>
      </w:r>
      <w:r w:rsidRPr="00EB603B">
        <w:rPr>
          <w:b/>
          <w:spacing w:val="1"/>
        </w:rPr>
        <w:t>s</w:t>
      </w:r>
      <w:r w:rsidRPr="00EB603B">
        <w:rPr>
          <w:b/>
          <w:spacing w:val="-1"/>
        </w:rPr>
        <w:t>t</w:t>
      </w:r>
      <w:r w:rsidRPr="00EB603B">
        <w:rPr>
          <w:b/>
          <w:spacing w:val="1"/>
        </w:rPr>
        <w:t>e</w:t>
      </w:r>
      <w:r w:rsidRPr="00EB603B">
        <w:rPr>
          <w:b/>
        </w:rPr>
        <w:t>m</w:t>
      </w:r>
    </w:p>
    <w:p w14:paraId="3500EA22" w14:textId="77777777" w:rsidR="00DC4922" w:rsidRPr="00EB603B" w:rsidRDefault="00DC4922" w:rsidP="00DC4922">
      <w:pPr>
        <w:rPr>
          <w:b/>
        </w:rPr>
      </w:pPr>
      <w:r w:rsidRPr="00EB603B">
        <w:rPr>
          <w:b/>
        </w:rPr>
        <w:t>Coordin</w:t>
      </w:r>
      <w:r w:rsidRPr="00EB603B">
        <w:rPr>
          <w:b/>
          <w:spacing w:val="1"/>
        </w:rPr>
        <w:t>a</w:t>
      </w:r>
      <w:r w:rsidRPr="00EB603B">
        <w:rPr>
          <w:b/>
          <w:spacing w:val="-1"/>
        </w:rPr>
        <w:t>t</w:t>
      </w:r>
      <w:r w:rsidRPr="00EB603B">
        <w:rPr>
          <w:b/>
        </w:rPr>
        <w:t xml:space="preserve">ion </w:t>
      </w:r>
      <w:r w:rsidRPr="00EB603B">
        <w:rPr>
          <w:b/>
          <w:spacing w:val="1"/>
        </w:rPr>
        <w:t>a</w:t>
      </w:r>
      <w:r w:rsidRPr="00EB603B">
        <w:rPr>
          <w:b/>
        </w:rPr>
        <w:t>nd Coll</w:t>
      </w:r>
      <w:r w:rsidRPr="00EB603B">
        <w:rPr>
          <w:b/>
          <w:spacing w:val="1"/>
        </w:rPr>
        <w:t>a</w:t>
      </w:r>
      <w:r w:rsidRPr="00EB603B">
        <w:rPr>
          <w:b/>
        </w:rPr>
        <w:t>bor</w:t>
      </w:r>
      <w:r w:rsidRPr="00EB603B">
        <w:rPr>
          <w:b/>
          <w:spacing w:val="1"/>
        </w:rPr>
        <w:t>a</w:t>
      </w:r>
      <w:r w:rsidRPr="00EB603B">
        <w:rPr>
          <w:b/>
          <w:spacing w:val="-1"/>
        </w:rPr>
        <w:t>t</w:t>
      </w:r>
      <w:r w:rsidRPr="00EB603B">
        <w:rPr>
          <w:b/>
        </w:rPr>
        <w:t>ion</w:t>
      </w:r>
    </w:p>
    <w:p w14:paraId="7F22F6A9" w14:textId="77777777" w:rsidR="00DC4922" w:rsidRDefault="00DC4922" w:rsidP="00DC4922">
      <w:pPr>
        <w:rPr>
          <w:sz w:val="10"/>
        </w:rPr>
      </w:pPr>
    </w:p>
    <w:p w14:paraId="7B5DA934" w14:textId="77777777" w:rsidR="00DC4922" w:rsidRDefault="00DC4922" w:rsidP="00DC4922">
      <w:pPr>
        <w:rPr>
          <w:sz w:val="20"/>
        </w:rPr>
      </w:pPr>
    </w:p>
    <w:p w14:paraId="53311AD0" w14:textId="2E49738B" w:rsidR="00DC4922" w:rsidRDefault="00DC4922" w:rsidP="00640526">
      <w:pPr>
        <w:ind w:firstLine="360"/>
      </w:pPr>
      <w:r>
        <w:t>The</w:t>
      </w:r>
      <w:r>
        <w:rPr>
          <w:spacing w:val="-1"/>
        </w:rPr>
        <w:t xml:space="preserve"> </w:t>
      </w:r>
      <w:r w:rsidR="00C817AB">
        <w:rPr>
          <w:spacing w:val="-1"/>
        </w:rPr>
        <w:t xml:space="preserve">South Atlantic Fishery Management </w:t>
      </w:r>
      <w:r>
        <w:rPr>
          <w:spacing w:val="1"/>
        </w:rPr>
        <w:t>C</w:t>
      </w:r>
      <w:r>
        <w:t>oun</w:t>
      </w:r>
      <w:r>
        <w:rPr>
          <w:spacing w:val="-1"/>
        </w:rPr>
        <w:t>c</w:t>
      </w:r>
      <w:r>
        <w:t>il</w:t>
      </w:r>
      <w:r w:rsidR="00C817AB">
        <w:t xml:space="preserve"> (Council)</w:t>
      </w:r>
      <w:r>
        <w:t>, using</w:t>
      </w:r>
      <w:r>
        <w:rPr>
          <w:spacing w:val="-2"/>
        </w:rPr>
        <w:t xml:space="preserve"> </w:t>
      </w:r>
      <w:r>
        <w:t>the</w:t>
      </w:r>
      <w:r>
        <w:rPr>
          <w:spacing w:val="-1"/>
        </w:rPr>
        <w:t xml:space="preserve"> </w:t>
      </w:r>
      <w:r>
        <w:rPr>
          <w:spacing w:val="2"/>
        </w:rPr>
        <w:t>E</w:t>
      </w:r>
      <w:r>
        <w:t>ss</w:t>
      </w:r>
      <w:r>
        <w:rPr>
          <w:spacing w:val="-1"/>
        </w:rPr>
        <w:t>e</w:t>
      </w:r>
      <w:r>
        <w:t>nti</w:t>
      </w:r>
      <w:r>
        <w:rPr>
          <w:spacing w:val="-1"/>
        </w:rPr>
        <w:t>a</w:t>
      </w:r>
      <w:r>
        <w:t xml:space="preserve">l </w:t>
      </w:r>
      <w:r>
        <w:rPr>
          <w:spacing w:val="-1"/>
        </w:rPr>
        <w:t>F</w:t>
      </w:r>
      <w:r>
        <w:t>ish H</w:t>
      </w:r>
      <w:r>
        <w:rPr>
          <w:spacing w:val="-1"/>
        </w:rPr>
        <w:t>a</w:t>
      </w:r>
      <w:r>
        <w:t>bit</w:t>
      </w:r>
      <w:r>
        <w:rPr>
          <w:spacing w:val="-1"/>
        </w:rPr>
        <w:t>a</w:t>
      </w:r>
      <w:r>
        <w:t xml:space="preserve">t </w:t>
      </w:r>
      <w:r>
        <w:rPr>
          <w:spacing w:val="1"/>
        </w:rPr>
        <w:t>P</w:t>
      </w:r>
      <w:r>
        <w:t>l</w:t>
      </w:r>
      <w:r>
        <w:rPr>
          <w:spacing w:val="-1"/>
        </w:rPr>
        <w:t>a</w:t>
      </w:r>
      <w:r>
        <w:t xml:space="preserve">n </w:t>
      </w:r>
      <w:r>
        <w:rPr>
          <w:spacing w:val="-1"/>
        </w:rPr>
        <w:t>a</w:t>
      </w:r>
      <w:r>
        <w:t>s the</w:t>
      </w:r>
      <w:r>
        <w:rPr>
          <w:spacing w:val="-1"/>
        </w:rPr>
        <w:t xml:space="preserve"> c</w:t>
      </w:r>
      <w:r>
        <w:t>o</w:t>
      </w:r>
      <w:r>
        <w:rPr>
          <w:spacing w:val="-1"/>
        </w:rPr>
        <w:t>r</w:t>
      </w:r>
      <w:r>
        <w:rPr>
          <w:spacing w:val="2"/>
        </w:rPr>
        <w:t>n</w:t>
      </w:r>
      <w:r>
        <w:rPr>
          <w:spacing w:val="-1"/>
        </w:rPr>
        <w:t>er</w:t>
      </w:r>
      <w:r>
        <w:t>ston</w:t>
      </w:r>
      <w:r>
        <w:rPr>
          <w:spacing w:val="-1"/>
        </w:rPr>
        <w:t>e</w:t>
      </w:r>
      <w:r>
        <w:t xml:space="preserve">, </w:t>
      </w:r>
      <w:r>
        <w:rPr>
          <w:spacing w:val="-1"/>
        </w:rPr>
        <w:t>a</w:t>
      </w:r>
      <w:r>
        <w:t>dop</w:t>
      </w:r>
      <w:r>
        <w:rPr>
          <w:spacing w:val="3"/>
        </w:rPr>
        <w:t>t</w:t>
      </w:r>
      <w:r>
        <w:rPr>
          <w:spacing w:val="-1"/>
        </w:rPr>
        <w:t>e</w:t>
      </w:r>
      <w:r>
        <w:t>d a</w:t>
      </w:r>
      <w:r>
        <w:rPr>
          <w:spacing w:val="-1"/>
        </w:rPr>
        <w:t xml:space="preserve"> </w:t>
      </w:r>
      <w:r>
        <w:t>st</w:t>
      </w:r>
      <w:r>
        <w:rPr>
          <w:spacing w:val="-1"/>
        </w:rPr>
        <w:t>ra</w:t>
      </w:r>
      <w:r>
        <w:t>t</w:t>
      </w:r>
      <w:r>
        <w:rPr>
          <w:spacing w:val="1"/>
        </w:rPr>
        <w:t>e</w:t>
      </w:r>
      <w:r>
        <w:rPr>
          <w:spacing w:val="2"/>
        </w:rPr>
        <w:t>g</w:t>
      </w:r>
      <w:r>
        <w:t>y</w:t>
      </w:r>
      <w:r>
        <w:rPr>
          <w:spacing w:val="-5"/>
        </w:rPr>
        <w:t xml:space="preserve"> </w:t>
      </w:r>
      <w:r>
        <w:t xml:space="preserve">to </w:t>
      </w:r>
      <w:r>
        <w:rPr>
          <w:spacing w:val="2"/>
        </w:rPr>
        <w:t>f</w:t>
      </w:r>
      <w:r>
        <w:rPr>
          <w:spacing w:val="-1"/>
        </w:rPr>
        <w:t>ac</w:t>
      </w:r>
      <w:r>
        <w:t>ilit</w:t>
      </w:r>
      <w:r>
        <w:rPr>
          <w:spacing w:val="-1"/>
        </w:rPr>
        <w:t>a</w:t>
      </w:r>
      <w:r>
        <w:t>te</w:t>
      </w:r>
      <w:r>
        <w:rPr>
          <w:spacing w:val="1"/>
        </w:rPr>
        <w:t xml:space="preserve"> </w:t>
      </w:r>
      <w:r>
        <w:t>the move</w:t>
      </w:r>
      <w:r>
        <w:rPr>
          <w:spacing w:val="-1"/>
        </w:rPr>
        <w:t xml:space="preserve"> </w:t>
      </w:r>
      <w:r>
        <w:t xml:space="preserve">to </w:t>
      </w:r>
      <w:r>
        <w:rPr>
          <w:spacing w:val="-1"/>
        </w:rPr>
        <w:t>a</w:t>
      </w:r>
      <w:r>
        <w:t xml:space="preserve">n </w:t>
      </w:r>
      <w:r>
        <w:rPr>
          <w:spacing w:val="-1"/>
        </w:rPr>
        <w:t>ec</w:t>
      </w:r>
      <w:r>
        <w:t>o</w:t>
      </w:r>
      <w:r>
        <w:rPr>
          <w:spacing w:val="5"/>
        </w:rPr>
        <w:t>s</w:t>
      </w:r>
      <w:r>
        <w:rPr>
          <w:spacing w:val="-5"/>
        </w:rPr>
        <w:t>y</w:t>
      </w:r>
      <w:r>
        <w:t>st</w:t>
      </w:r>
      <w:r>
        <w:rPr>
          <w:spacing w:val="-1"/>
        </w:rPr>
        <w:t>e</w:t>
      </w:r>
      <w:r>
        <w:t>m</w:t>
      </w:r>
      <w:r>
        <w:rPr>
          <w:spacing w:val="-1"/>
        </w:rPr>
        <w:t>-</w:t>
      </w:r>
      <w:r>
        <w:rPr>
          <w:spacing w:val="2"/>
        </w:rPr>
        <w:t>b</w:t>
      </w:r>
      <w:r>
        <w:rPr>
          <w:spacing w:val="1"/>
        </w:rPr>
        <w:t>a</w:t>
      </w:r>
      <w:r>
        <w:t>s</w:t>
      </w:r>
      <w:r>
        <w:rPr>
          <w:spacing w:val="-1"/>
        </w:rPr>
        <w:t>e</w:t>
      </w:r>
      <w:r>
        <w:t xml:space="preserve">d </w:t>
      </w:r>
      <w:r>
        <w:rPr>
          <w:spacing w:val="-1"/>
        </w:rPr>
        <w:t>a</w:t>
      </w:r>
      <w:r>
        <w:t>pp</w:t>
      </w:r>
      <w:r>
        <w:rPr>
          <w:spacing w:val="-1"/>
        </w:rPr>
        <w:t>r</w:t>
      </w:r>
      <w:r>
        <w:t>o</w:t>
      </w:r>
      <w:r>
        <w:rPr>
          <w:spacing w:val="1"/>
        </w:rPr>
        <w:t>a</w:t>
      </w:r>
      <w:r>
        <w:rPr>
          <w:spacing w:val="-1"/>
        </w:rPr>
        <w:t>c</w:t>
      </w:r>
      <w:r>
        <w:t xml:space="preserve">h to </w:t>
      </w:r>
      <w:r>
        <w:rPr>
          <w:spacing w:val="-1"/>
        </w:rPr>
        <w:t>f</w:t>
      </w:r>
      <w:r>
        <w:t>ish</w:t>
      </w:r>
      <w:r>
        <w:rPr>
          <w:spacing w:val="-1"/>
        </w:rPr>
        <w:t>er</w:t>
      </w:r>
      <w:r>
        <w:t>i</w:t>
      </w:r>
      <w:r>
        <w:rPr>
          <w:spacing w:val="-1"/>
        </w:rPr>
        <w:t>e</w:t>
      </w:r>
      <w:r>
        <w:t>s</w:t>
      </w:r>
      <w:r>
        <w:rPr>
          <w:spacing w:val="3"/>
        </w:rPr>
        <w:t xml:space="preserve"> </w:t>
      </w:r>
      <w:r>
        <w:t>m</w:t>
      </w:r>
      <w:r>
        <w:rPr>
          <w:spacing w:val="-1"/>
        </w:rPr>
        <w:t>a</w:t>
      </w:r>
      <w:r>
        <w:t>n</w:t>
      </w:r>
      <w:r>
        <w:rPr>
          <w:spacing w:val="1"/>
        </w:rPr>
        <w:t>a</w:t>
      </w:r>
      <w:r>
        <w:rPr>
          <w:spacing w:val="-2"/>
        </w:rPr>
        <w:t>g</w:t>
      </w:r>
      <w:r>
        <w:rPr>
          <w:spacing w:val="-1"/>
        </w:rPr>
        <w:t>e</w:t>
      </w:r>
      <w:r>
        <w:t>m</w:t>
      </w:r>
      <w:r>
        <w:rPr>
          <w:spacing w:val="-1"/>
        </w:rPr>
        <w:t>e</w:t>
      </w:r>
      <w:r>
        <w:t>nt in the</w:t>
      </w:r>
      <w:r>
        <w:rPr>
          <w:spacing w:val="-1"/>
        </w:rPr>
        <w:t xml:space="preserve"> </w:t>
      </w:r>
      <w:r>
        <w:rPr>
          <w:spacing w:val="2"/>
        </w:rPr>
        <w:t>r</w:t>
      </w:r>
      <w:r>
        <w:rPr>
          <w:spacing w:val="1"/>
        </w:rPr>
        <w:t>e</w:t>
      </w:r>
      <w:r>
        <w:rPr>
          <w:spacing w:val="-2"/>
        </w:rPr>
        <w:t>g</w:t>
      </w:r>
      <w:r>
        <w:t xml:space="preserve">ion. This </w:t>
      </w:r>
      <w:r>
        <w:rPr>
          <w:spacing w:val="-1"/>
        </w:rPr>
        <w:t>a</w:t>
      </w:r>
      <w:r>
        <w:t>pp</w:t>
      </w:r>
      <w:r>
        <w:rPr>
          <w:spacing w:val="-1"/>
        </w:rPr>
        <w:t>r</w:t>
      </w:r>
      <w:r>
        <w:t>o</w:t>
      </w:r>
      <w:r>
        <w:rPr>
          <w:spacing w:val="-1"/>
        </w:rPr>
        <w:t>ac</w:t>
      </w:r>
      <w:r>
        <w:t>h</w:t>
      </w:r>
      <w:r>
        <w:rPr>
          <w:spacing w:val="2"/>
        </w:rPr>
        <w:t xml:space="preserve"> </w:t>
      </w:r>
      <w:r>
        <w:rPr>
          <w:spacing w:val="-1"/>
        </w:rPr>
        <w:t>re</w:t>
      </w:r>
      <w:r>
        <w:t>qui</w:t>
      </w:r>
      <w:r>
        <w:rPr>
          <w:spacing w:val="-1"/>
        </w:rPr>
        <w:t>r</w:t>
      </w:r>
      <w:r>
        <w:rPr>
          <w:spacing w:val="1"/>
        </w:rPr>
        <w:t>e</w:t>
      </w:r>
      <w:r>
        <w:t xml:space="preserve">d a </w:t>
      </w:r>
      <w:r>
        <w:rPr>
          <w:spacing w:val="-2"/>
        </w:rPr>
        <w:t>g</w:t>
      </w:r>
      <w:r>
        <w:rPr>
          <w:spacing w:val="2"/>
        </w:rPr>
        <w:t>r</w:t>
      </w:r>
      <w:r>
        <w:rPr>
          <w:spacing w:val="-1"/>
        </w:rPr>
        <w:t>ea</w:t>
      </w:r>
      <w:r>
        <w:t>t</w:t>
      </w:r>
      <w:r>
        <w:rPr>
          <w:spacing w:val="1"/>
        </w:rPr>
        <w:t>e</w:t>
      </w:r>
      <w:r>
        <w:t>r</w:t>
      </w:r>
      <w:r>
        <w:rPr>
          <w:spacing w:val="-1"/>
        </w:rPr>
        <w:t xml:space="preserve"> </w:t>
      </w:r>
      <w:r>
        <w:t>und</w:t>
      </w:r>
      <w:r>
        <w:rPr>
          <w:spacing w:val="-1"/>
        </w:rPr>
        <w:t>er</w:t>
      </w:r>
      <w:r>
        <w:t>st</w:t>
      </w:r>
      <w:r>
        <w:rPr>
          <w:spacing w:val="-1"/>
        </w:rPr>
        <w:t>a</w:t>
      </w:r>
      <w:r>
        <w:t>ndi</w:t>
      </w:r>
      <w:r>
        <w:rPr>
          <w:spacing w:val="2"/>
        </w:rPr>
        <w:t>n</w:t>
      </w:r>
      <w:r>
        <w:t>g</w:t>
      </w:r>
      <w:r>
        <w:rPr>
          <w:spacing w:val="-2"/>
        </w:rPr>
        <w:t xml:space="preserve"> </w:t>
      </w:r>
      <w:r>
        <w:t>of</w:t>
      </w:r>
      <w:r>
        <w:rPr>
          <w:spacing w:val="2"/>
        </w:rPr>
        <w:t xml:space="preserve"> </w:t>
      </w:r>
      <w:r>
        <w:t>the</w:t>
      </w:r>
      <w:r>
        <w:rPr>
          <w:spacing w:val="-1"/>
        </w:rPr>
        <w:t xml:space="preserve"> </w:t>
      </w:r>
      <w:r>
        <w:rPr>
          <w:spacing w:val="1"/>
        </w:rPr>
        <w:t>S</w:t>
      </w:r>
      <w:r>
        <w:t>outh Atl</w:t>
      </w:r>
      <w:r>
        <w:rPr>
          <w:spacing w:val="-1"/>
        </w:rPr>
        <w:t>a</w:t>
      </w:r>
      <w:r>
        <w:t>ntic</w:t>
      </w:r>
      <w:r>
        <w:rPr>
          <w:spacing w:val="-1"/>
        </w:rPr>
        <w:t xml:space="preserve"> ec</w:t>
      </w:r>
      <w:r>
        <w:t>o</w:t>
      </w:r>
      <w:r>
        <w:rPr>
          <w:spacing w:val="3"/>
        </w:rPr>
        <w:t>s</w:t>
      </w:r>
      <w:r>
        <w:rPr>
          <w:spacing w:val="-5"/>
        </w:rPr>
        <w:t>y</w:t>
      </w:r>
      <w:r>
        <w:rPr>
          <w:spacing w:val="3"/>
        </w:rPr>
        <w:t>s</w:t>
      </w:r>
      <w:r>
        <w:t>t</w:t>
      </w:r>
      <w:r>
        <w:rPr>
          <w:spacing w:val="-1"/>
        </w:rPr>
        <w:t>e</w:t>
      </w:r>
      <w:r>
        <w:t xml:space="preserve">m </w:t>
      </w:r>
      <w:r>
        <w:rPr>
          <w:spacing w:val="-1"/>
        </w:rPr>
        <w:t>a</w:t>
      </w:r>
      <w:r>
        <w:t>nd the</w:t>
      </w:r>
      <w:r>
        <w:rPr>
          <w:spacing w:val="-1"/>
        </w:rPr>
        <w:t xml:space="preserve"> c</w:t>
      </w:r>
      <w:r>
        <w:t>ompl</w:t>
      </w:r>
      <w:r>
        <w:rPr>
          <w:spacing w:val="-1"/>
        </w:rPr>
        <w:t>e</w:t>
      </w:r>
      <w:r>
        <w:t>x</w:t>
      </w:r>
      <w:r>
        <w:rPr>
          <w:spacing w:val="2"/>
        </w:rPr>
        <w:t xml:space="preserve"> </w:t>
      </w:r>
      <w:r>
        <w:rPr>
          <w:spacing w:val="-1"/>
        </w:rPr>
        <w:t>re</w:t>
      </w:r>
      <w:r>
        <w:t>l</w:t>
      </w:r>
      <w:r>
        <w:rPr>
          <w:spacing w:val="1"/>
        </w:rPr>
        <w:t>a</w:t>
      </w:r>
      <w:r>
        <w:t xml:space="preserve">tionships </w:t>
      </w:r>
      <w:r>
        <w:rPr>
          <w:spacing w:val="-1"/>
        </w:rPr>
        <w:t>a</w:t>
      </w:r>
      <w:r>
        <w:t>mong</w:t>
      </w:r>
      <w:r>
        <w:rPr>
          <w:spacing w:val="-2"/>
        </w:rPr>
        <w:t xml:space="preserve"> </w:t>
      </w:r>
      <w:r>
        <w:t>hum</w:t>
      </w:r>
      <w:r>
        <w:rPr>
          <w:spacing w:val="-1"/>
        </w:rPr>
        <w:t>a</w:t>
      </w:r>
      <w:r>
        <w:t>ns, m</w:t>
      </w:r>
      <w:r>
        <w:rPr>
          <w:spacing w:val="-1"/>
        </w:rPr>
        <w:t>ar</w:t>
      </w:r>
      <w:r>
        <w:t>ine</w:t>
      </w:r>
      <w:r>
        <w:rPr>
          <w:spacing w:val="-1"/>
        </w:rPr>
        <w:t xml:space="preserve"> </w:t>
      </w:r>
      <w:r>
        <w:t>li</w:t>
      </w:r>
      <w:r>
        <w:rPr>
          <w:spacing w:val="-1"/>
        </w:rPr>
        <w:t>f</w:t>
      </w:r>
      <w:r>
        <w:t>e,</w:t>
      </w:r>
      <w:r>
        <w:rPr>
          <w:spacing w:val="-1"/>
        </w:rPr>
        <w:t xml:space="preserve"> a</w:t>
      </w:r>
      <w:r>
        <w:t>nd t</w:t>
      </w:r>
      <w:r>
        <w:rPr>
          <w:spacing w:val="2"/>
        </w:rPr>
        <w:t>h</w:t>
      </w:r>
      <w:r>
        <w:t>e</w:t>
      </w:r>
      <w:r>
        <w:rPr>
          <w:spacing w:val="-1"/>
        </w:rPr>
        <w:t xml:space="preserve"> e</w:t>
      </w:r>
      <w:r>
        <w:t>nvi</w:t>
      </w:r>
      <w:r>
        <w:rPr>
          <w:spacing w:val="2"/>
        </w:rPr>
        <w:t>r</w:t>
      </w:r>
      <w:r>
        <w:t>onm</w:t>
      </w:r>
      <w:r>
        <w:rPr>
          <w:spacing w:val="-1"/>
        </w:rPr>
        <w:t>e</w:t>
      </w:r>
      <w:r>
        <w:t>nt in</w:t>
      </w:r>
      <w:r>
        <w:rPr>
          <w:spacing w:val="-1"/>
        </w:rPr>
        <w:t>c</w:t>
      </w:r>
      <w:r>
        <w:t>luding</w:t>
      </w:r>
      <w:r>
        <w:rPr>
          <w:spacing w:val="-2"/>
        </w:rPr>
        <w:t xml:space="preserve"> </w:t>
      </w:r>
      <w:r>
        <w:rPr>
          <w:spacing w:val="-1"/>
        </w:rPr>
        <w:t>e</w:t>
      </w:r>
      <w:r>
        <w:t>ss</w:t>
      </w:r>
      <w:r>
        <w:rPr>
          <w:spacing w:val="-1"/>
        </w:rPr>
        <w:t>e</w:t>
      </w:r>
      <w:r>
        <w:t>nt</w:t>
      </w:r>
      <w:r>
        <w:rPr>
          <w:spacing w:val="3"/>
        </w:rPr>
        <w:t>i</w:t>
      </w:r>
      <w:r>
        <w:rPr>
          <w:spacing w:val="-1"/>
        </w:rPr>
        <w:t>a</w:t>
      </w:r>
      <w:r>
        <w:t xml:space="preserve">l </w:t>
      </w:r>
      <w:r>
        <w:rPr>
          <w:spacing w:val="-1"/>
        </w:rPr>
        <w:t>f</w:t>
      </w:r>
      <w:r>
        <w:t>ish h</w:t>
      </w:r>
      <w:r>
        <w:rPr>
          <w:spacing w:val="-1"/>
        </w:rPr>
        <w:t>a</w:t>
      </w:r>
      <w:r>
        <w:t>bit</w:t>
      </w:r>
      <w:r>
        <w:rPr>
          <w:spacing w:val="-1"/>
        </w:rPr>
        <w:t>a</w:t>
      </w:r>
      <w:r>
        <w:t xml:space="preserve">t. To </w:t>
      </w:r>
      <w:r>
        <w:rPr>
          <w:spacing w:val="-1"/>
        </w:rPr>
        <w:t>a</w:t>
      </w:r>
      <w:r>
        <w:rPr>
          <w:spacing w:val="1"/>
        </w:rPr>
        <w:t>c</w:t>
      </w:r>
      <w:r>
        <w:rPr>
          <w:spacing w:val="-1"/>
        </w:rPr>
        <w:t>c</w:t>
      </w:r>
      <w:r>
        <w:t>omplish this, a</w:t>
      </w:r>
      <w:r>
        <w:rPr>
          <w:spacing w:val="-1"/>
        </w:rPr>
        <w:t xml:space="preserve"> </w:t>
      </w:r>
      <w:r>
        <w:t>p</w:t>
      </w:r>
      <w:r>
        <w:rPr>
          <w:spacing w:val="-1"/>
        </w:rPr>
        <w:t>r</w:t>
      </w:r>
      <w:r>
        <w:t>o</w:t>
      </w:r>
      <w:r>
        <w:rPr>
          <w:spacing w:val="-1"/>
        </w:rPr>
        <w:t>ce</w:t>
      </w:r>
      <w:r>
        <w:t>ss w</w:t>
      </w:r>
      <w:r>
        <w:rPr>
          <w:spacing w:val="-1"/>
        </w:rPr>
        <w:t>a</w:t>
      </w:r>
      <w:r>
        <w:t>s und</w:t>
      </w:r>
      <w:r>
        <w:rPr>
          <w:spacing w:val="-1"/>
        </w:rPr>
        <w:t>er</w:t>
      </w:r>
      <w:r>
        <w:t>t</w:t>
      </w:r>
      <w:r>
        <w:rPr>
          <w:spacing w:val="-1"/>
        </w:rPr>
        <w:t>a</w:t>
      </w:r>
      <w:r>
        <w:t>k</w:t>
      </w:r>
      <w:r>
        <w:rPr>
          <w:spacing w:val="-1"/>
        </w:rPr>
        <w:t>e</w:t>
      </w:r>
      <w:r>
        <w:t xml:space="preserve">n to </w:t>
      </w:r>
      <w:r>
        <w:rPr>
          <w:spacing w:val="2"/>
        </w:rPr>
        <w:t>f</w:t>
      </w:r>
      <w:r>
        <w:rPr>
          <w:spacing w:val="-1"/>
        </w:rPr>
        <w:t>ac</w:t>
      </w:r>
      <w:r>
        <w:t>ilit</w:t>
      </w:r>
      <w:r>
        <w:rPr>
          <w:spacing w:val="-1"/>
        </w:rPr>
        <w:t>a</w:t>
      </w:r>
      <w:r>
        <w:t>te</w:t>
      </w:r>
      <w:r>
        <w:rPr>
          <w:spacing w:val="-1"/>
        </w:rPr>
        <w:t xml:space="preserve"> </w:t>
      </w:r>
      <w:r>
        <w:rPr>
          <w:spacing w:val="3"/>
        </w:rPr>
        <w:t>t</w:t>
      </w:r>
      <w:r>
        <w:t>he</w:t>
      </w:r>
      <w:r>
        <w:rPr>
          <w:spacing w:val="-1"/>
        </w:rPr>
        <w:t xml:space="preserve"> e</w:t>
      </w:r>
      <w:r>
        <w:t>volution of</w:t>
      </w:r>
      <w:r>
        <w:rPr>
          <w:spacing w:val="-1"/>
        </w:rPr>
        <w:t xml:space="preserve"> </w:t>
      </w:r>
      <w:r>
        <w:t>the</w:t>
      </w:r>
      <w:r>
        <w:rPr>
          <w:spacing w:val="-1"/>
        </w:rPr>
        <w:t xml:space="preserve"> </w:t>
      </w:r>
      <w:r>
        <w:t>H</w:t>
      </w:r>
      <w:r>
        <w:rPr>
          <w:spacing w:val="-1"/>
        </w:rPr>
        <w:t>a</w:t>
      </w:r>
      <w:r>
        <w:t>bi</w:t>
      </w:r>
      <w:r>
        <w:rPr>
          <w:spacing w:val="3"/>
        </w:rPr>
        <w:t>t</w:t>
      </w:r>
      <w:r>
        <w:rPr>
          <w:spacing w:val="-1"/>
        </w:rPr>
        <w:t>a</w:t>
      </w:r>
      <w:r>
        <w:t xml:space="preserve">t </w:t>
      </w:r>
      <w:r>
        <w:rPr>
          <w:spacing w:val="1"/>
        </w:rPr>
        <w:t>P</w:t>
      </w:r>
      <w:r>
        <w:t>l</w:t>
      </w:r>
      <w:r>
        <w:rPr>
          <w:spacing w:val="-1"/>
        </w:rPr>
        <w:t>a</w:t>
      </w:r>
      <w:r>
        <w:t>n into a</w:t>
      </w:r>
      <w:r>
        <w:rPr>
          <w:spacing w:val="-1"/>
        </w:rPr>
        <w:t xml:space="preserve"> F</w:t>
      </w:r>
      <w:r>
        <w:t>ish</w:t>
      </w:r>
      <w:r>
        <w:rPr>
          <w:spacing w:val="-1"/>
        </w:rPr>
        <w:t>e</w:t>
      </w:r>
      <w:r>
        <w:rPr>
          <w:spacing w:val="4"/>
        </w:rPr>
        <w:t>r</w:t>
      </w:r>
      <w:r>
        <w:t>y</w:t>
      </w:r>
      <w:r>
        <w:rPr>
          <w:spacing w:val="-5"/>
        </w:rPr>
        <w:t xml:space="preserve"> </w:t>
      </w:r>
      <w:r>
        <w:t>E</w:t>
      </w:r>
      <w:r>
        <w:rPr>
          <w:spacing w:val="1"/>
        </w:rPr>
        <w:t>c</w:t>
      </w:r>
      <w:r>
        <w:t>o</w:t>
      </w:r>
      <w:r>
        <w:rPr>
          <w:spacing w:val="3"/>
        </w:rPr>
        <w:t>s</w:t>
      </w:r>
      <w:r>
        <w:rPr>
          <w:spacing w:val="-5"/>
        </w:rPr>
        <w:t>y</w:t>
      </w:r>
      <w:r>
        <w:t>st</w:t>
      </w:r>
      <w:r>
        <w:rPr>
          <w:spacing w:val="-1"/>
        </w:rPr>
        <w:t>e</w:t>
      </w:r>
      <w:r>
        <w:t xml:space="preserve">m </w:t>
      </w:r>
      <w:r>
        <w:rPr>
          <w:spacing w:val="1"/>
        </w:rPr>
        <w:t>P</w:t>
      </w:r>
      <w:r>
        <w:t>l</w:t>
      </w:r>
      <w:r>
        <w:rPr>
          <w:spacing w:val="-1"/>
        </w:rPr>
        <w:t>a</w:t>
      </w:r>
      <w:r>
        <w:t xml:space="preserve">n </w:t>
      </w:r>
      <w:r>
        <w:rPr>
          <w:spacing w:val="2"/>
        </w:rPr>
        <w:t>(</w:t>
      </w:r>
      <w:r>
        <w:rPr>
          <w:spacing w:val="-1"/>
        </w:rPr>
        <w:t>F</w:t>
      </w:r>
      <w:r>
        <w:t>E</w:t>
      </w:r>
      <w:r>
        <w:rPr>
          <w:spacing w:val="1"/>
        </w:rPr>
        <w:t>P</w:t>
      </w:r>
      <w:r>
        <w:rPr>
          <w:spacing w:val="-1"/>
        </w:rPr>
        <w:t>)</w:t>
      </w:r>
      <w:r>
        <w:t>, th</w:t>
      </w:r>
      <w:r>
        <w:rPr>
          <w:spacing w:val="-1"/>
        </w:rPr>
        <w:t>e</w:t>
      </w:r>
      <w:r>
        <w:rPr>
          <w:spacing w:val="2"/>
        </w:rPr>
        <w:t>r</w:t>
      </w:r>
      <w:r>
        <w:rPr>
          <w:spacing w:val="-1"/>
        </w:rPr>
        <w:t>e</w:t>
      </w:r>
      <w:r>
        <w:rPr>
          <w:spacing w:val="2"/>
        </w:rPr>
        <w:t>b</w:t>
      </w:r>
      <w:r>
        <w:t>y p</w:t>
      </w:r>
      <w:r>
        <w:rPr>
          <w:spacing w:val="-1"/>
        </w:rPr>
        <w:t>r</w:t>
      </w:r>
      <w:r>
        <w:t>oviding</w:t>
      </w:r>
      <w:r>
        <w:rPr>
          <w:spacing w:val="-2"/>
        </w:rPr>
        <w:t xml:space="preserve"> a </w:t>
      </w:r>
      <w:r>
        <w:t>mo</w:t>
      </w:r>
      <w:r>
        <w:rPr>
          <w:spacing w:val="-1"/>
        </w:rPr>
        <w:t>r</w:t>
      </w:r>
      <w:r>
        <w:t>e</w:t>
      </w:r>
      <w:r>
        <w:rPr>
          <w:spacing w:val="1"/>
        </w:rPr>
        <w:t xml:space="preserve"> </w:t>
      </w:r>
      <w:r>
        <w:rPr>
          <w:spacing w:val="-1"/>
        </w:rPr>
        <w:t>c</w:t>
      </w:r>
      <w:r>
        <w:t>omp</w:t>
      </w:r>
      <w:r>
        <w:rPr>
          <w:spacing w:val="-1"/>
        </w:rPr>
        <w:t>re</w:t>
      </w:r>
      <w:r>
        <w:rPr>
          <w:spacing w:val="2"/>
        </w:rPr>
        <w:t>h</w:t>
      </w:r>
      <w:r>
        <w:rPr>
          <w:spacing w:val="-1"/>
        </w:rPr>
        <w:t>e</w:t>
      </w:r>
      <w:r>
        <w:t>nsive</w:t>
      </w:r>
      <w:r>
        <w:rPr>
          <w:spacing w:val="-1"/>
        </w:rPr>
        <w:t xml:space="preserve"> </w:t>
      </w:r>
      <w:r>
        <w:t>und</w:t>
      </w:r>
      <w:r>
        <w:rPr>
          <w:spacing w:val="-1"/>
        </w:rPr>
        <w:t>er</w:t>
      </w:r>
      <w:r>
        <w:t>st</w:t>
      </w:r>
      <w:r>
        <w:rPr>
          <w:spacing w:val="-1"/>
        </w:rPr>
        <w:t>a</w:t>
      </w:r>
      <w:r>
        <w:t>ndi</w:t>
      </w:r>
      <w:r>
        <w:rPr>
          <w:spacing w:val="2"/>
        </w:rPr>
        <w:t>n</w:t>
      </w:r>
      <w:r>
        <w:t>g</w:t>
      </w:r>
      <w:r>
        <w:rPr>
          <w:spacing w:val="-2"/>
        </w:rPr>
        <w:t xml:space="preserve"> </w:t>
      </w:r>
      <w:r>
        <w:t>of</w:t>
      </w:r>
      <w:r>
        <w:rPr>
          <w:spacing w:val="-1"/>
        </w:rPr>
        <w:t xml:space="preserve"> </w:t>
      </w:r>
      <w:r>
        <w:rPr>
          <w:spacing w:val="3"/>
        </w:rPr>
        <w:t>t</w:t>
      </w:r>
      <w:r>
        <w:t>he</w:t>
      </w:r>
      <w:r>
        <w:rPr>
          <w:spacing w:val="-1"/>
        </w:rPr>
        <w:t xml:space="preserve"> </w:t>
      </w:r>
      <w:r>
        <w:t>biolo</w:t>
      </w:r>
      <w:r>
        <w:rPr>
          <w:spacing w:val="-2"/>
        </w:rPr>
        <w:t>g</w:t>
      </w:r>
      <w:r>
        <w:t>i</w:t>
      </w:r>
      <w:r>
        <w:rPr>
          <w:spacing w:val="1"/>
        </w:rPr>
        <w:t>c</w:t>
      </w:r>
      <w:r>
        <w:rPr>
          <w:spacing w:val="-1"/>
        </w:rPr>
        <w:t>a</w:t>
      </w:r>
      <w:r>
        <w:t>l, so</w:t>
      </w:r>
      <w:r>
        <w:rPr>
          <w:spacing w:val="-1"/>
        </w:rPr>
        <w:t>c</w:t>
      </w:r>
      <w:r>
        <w:t>i</w:t>
      </w:r>
      <w:r>
        <w:rPr>
          <w:spacing w:val="-1"/>
        </w:rPr>
        <w:t>a</w:t>
      </w:r>
      <w:r>
        <w:t xml:space="preserve">l, </w:t>
      </w:r>
      <w:r>
        <w:rPr>
          <w:spacing w:val="-1"/>
        </w:rPr>
        <w:t>a</w:t>
      </w:r>
      <w:r>
        <w:t>nd</w:t>
      </w:r>
      <w:r>
        <w:rPr>
          <w:spacing w:val="2"/>
        </w:rPr>
        <w:t xml:space="preserve"> </w:t>
      </w:r>
      <w:r>
        <w:rPr>
          <w:spacing w:val="-1"/>
        </w:rPr>
        <w:t>ec</w:t>
      </w:r>
      <w:r>
        <w:t>onomic</w:t>
      </w:r>
      <w:r>
        <w:rPr>
          <w:spacing w:val="-1"/>
        </w:rPr>
        <w:t xml:space="preserve"> </w:t>
      </w:r>
      <w:r>
        <w:t>imp</w:t>
      </w:r>
      <w:r>
        <w:rPr>
          <w:spacing w:val="-1"/>
        </w:rPr>
        <w:t>ac</w:t>
      </w:r>
      <w:r>
        <w:t>ts of m</w:t>
      </w:r>
      <w:r>
        <w:rPr>
          <w:spacing w:val="-1"/>
        </w:rPr>
        <w:t>a</w:t>
      </w:r>
      <w:r>
        <w:t>n</w:t>
      </w:r>
      <w:r>
        <w:rPr>
          <w:spacing w:val="1"/>
        </w:rPr>
        <w:t>a</w:t>
      </w:r>
      <w:r>
        <w:rPr>
          <w:spacing w:val="-2"/>
        </w:rPr>
        <w:t>g</w:t>
      </w:r>
      <w:r>
        <w:rPr>
          <w:spacing w:val="-1"/>
        </w:rPr>
        <w:t>e</w:t>
      </w:r>
      <w:r>
        <w:t>m</w:t>
      </w:r>
      <w:r>
        <w:rPr>
          <w:spacing w:val="-1"/>
        </w:rPr>
        <w:t>e</w:t>
      </w:r>
      <w:r>
        <w:t>nt n</w:t>
      </w:r>
      <w:r>
        <w:rPr>
          <w:spacing w:val="1"/>
        </w:rPr>
        <w:t>e</w:t>
      </w:r>
      <w:r>
        <w:rPr>
          <w:spacing w:val="-1"/>
        </w:rPr>
        <w:t>ce</w:t>
      </w:r>
      <w:r>
        <w:t>ss</w:t>
      </w:r>
      <w:r>
        <w:rPr>
          <w:spacing w:val="1"/>
        </w:rPr>
        <w:t>a</w:t>
      </w:r>
      <w:r>
        <w:rPr>
          <w:spacing w:val="4"/>
        </w:rPr>
        <w:t>r</w:t>
      </w:r>
      <w:r>
        <w:t>y</w:t>
      </w:r>
      <w:r>
        <w:rPr>
          <w:spacing w:val="-5"/>
        </w:rPr>
        <w:t xml:space="preserve"> </w:t>
      </w:r>
      <w:r>
        <w:t>to initi</w:t>
      </w:r>
      <w:r>
        <w:rPr>
          <w:spacing w:val="-1"/>
        </w:rPr>
        <w:t>a</w:t>
      </w:r>
      <w:r>
        <w:t>te</w:t>
      </w:r>
      <w:r>
        <w:rPr>
          <w:spacing w:val="-1"/>
        </w:rPr>
        <w:t xml:space="preserve"> </w:t>
      </w:r>
      <w:r>
        <w:t>the</w:t>
      </w:r>
      <w:r>
        <w:rPr>
          <w:spacing w:val="-1"/>
        </w:rPr>
        <w:t xml:space="preserve"> </w:t>
      </w:r>
      <w:r>
        <w:t>t</w:t>
      </w:r>
      <w:r>
        <w:rPr>
          <w:spacing w:val="-1"/>
        </w:rPr>
        <w:t>ra</w:t>
      </w:r>
      <w:r>
        <w:t xml:space="preserve">nsition </w:t>
      </w:r>
      <w:r>
        <w:rPr>
          <w:spacing w:val="-1"/>
        </w:rPr>
        <w:t>fr</w:t>
      </w:r>
      <w:r>
        <w:t>om sin</w:t>
      </w:r>
      <w:r>
        <w:rPr>
          <w:spacing w:val="-2"/>
        </w:rPr>
        <w:t>g</w:t>
      </w:r>
      <w:r>
        <w:t>le</w:t>
      </w:r>
      <w:r>
        <w:rPr>
          <w:spacing w:val="-1"/>
        </w:rPr>
        <w:t xml:space="preserve"> </w:t>
      </w:r>
      <w:r>
        <w:t>sp</w:t>
      </w:r>
      <w:r>
        <w:rPr>
          <w:spacing w:val="-1"/>
        </w:rPr>
        <w:t>ec</w:t>
      </w:r>
      <w:r>
        <w:rPr>
          <w:spacing w:val="3"/>
        </w:rPr>
        <w:t>i</w:t>
      </w:r>
      <w:r>
        <w:rPr>
          <w:spacing w:val="-1"/>
        </w:rPr>
        <w:t>e</w:t>
      </w:r>
      <w:r>
        <w:t>s m</w:t>
      </w:r>
      <w:r>
        <w:rPr>
          <w:spacing w:val="-1"/>
        </w:rPr>
        <w:t>a</w:t>
      </w:r>
      <w:r>
        <w:t>n</w:t>
      </w:r>
      <w:r>
        <w:rPr>
          <w:spacing w:val="1"/>
        </w:rPr>
        <w:t>a</w:t>
      </w:r>
      <w:r>
        <w:t>g</w:t>
      </w:r>
      <w:r>
        <w:rPr>
          <w:spacing w:val="-1"/>
        </w:rPr>
        <w:t>e</w:t>
      </w:r>
      <w:r>
        <w:t>m</w:t>
      </w:r>
      <w:r>
        <w:rPr>
          <w:spacing w:val="-1"/>
        </w:rPr>
        <w:t>e</w:t>
      </w:r>
      <w:r>
        <w:t xml:space="preserve">nt to </w:t>
      </w:r>
      <w:r>
        <w:rPr>
          <w:spacing w:val="-1"/>
        </w:rPr>
        <w:t>ec</w:t>
      </w:r>
      <w:r>
        <w:t>o</w:t>
      </w:r>
      <w:r>
        <w:rPr>
          <w:spacing w:val="5"/>
        </w:rPr>
        <w:t>s</w:t>
      </w:r>
      <w:r>
        <w:rPr>
          <w:spacing w:val="-5"/>
        </w:rPr>
        <w:t>y</w:t>
      </w:r>
      <w:r>
        <w:t>st</w:t>
      </w:r>
      <w:r>
        <w:rPr>
          <w:spacing w:val="-1"/>
        </w:rPr>
        <w:t>e</w:t>
      </w:r>
      <w:r>
        <w:t>m</w:t>
      </w:r>
      <w:r>
        <w:rPr>
          <w:spacing w:val="-1"/>
        </w:rPr>
        <w:t>-</w:t>
      </w:r>
      <w:r>
        <w:t>b</w:t>
      </w:r>
      <w:r>
        <w:rPr>
          <w:spacing w:val="-1"/>
        </w:rPr>
        <w:t>a</w:t>
      </w:r>
      <w:r>
        <w:rPr>
          <w:spacing w:val="3"/>
        </w:rPr>
        <w:t>s</w:t>
      </w:r>
      <w:r>
        <w:rPr>
          <w:spacing w:val="1"/>
        </w:rPr>
        <w:t>e</w:t>
      </w:r>
      <w:r>
        <w:t>d m</w:t>
      </w:r>
      <w:r>
        <w:rPr>
          <w:spacing w:val="-1"/>
        </w:rPr>
        <w:t>a</w:t>
      </w:r>
      <w:r>
        <w:t>n</w:t>
      </w:r>
      <w:r>
        <w:rPr>
          <w:spacing w:val="1"/>
        </w:rPr>
        <w:t>a</w:t>
      </w:r>
      <w:r>
        <w:rPr>
          <w:spacing w:val="-2"/>
        </w:rPr>
        <w:t>g</w:t>
      </w:r>
      <w:r>
        <w:rPr>
          <w:spacing w:val="-1"/>
        </w:rPr>
        <w:t>e</w:t>
      </w:r>
      <w:r>
        <w:t>m</w:t>
      </w:r>
      <w:r>
        <w:rPr>
          <w:spacing w:val="-1"/>
        </w:rPr>
        <w:t>e</w:t>
      </w:r>
      <w:r>
        <w:t>nt in the</w:t>
      </w:r>
      <w:r>
        <w:rPr>
          <w:spacing w:val="-1"/>
        </w:rPr>
        <w:t xml:space="preserve"> </w:t>
      </w:r>
      <w:r>
        <w:rPr>
          <w:spacing w:val="2"/>
        </w:rPr>
        <w:t>r</w:t>
      </w:r>
      <w:r>
        <w:rPr>
          <w:spacing w:val="1"/>
        </w:rPr>
        <w:t>e</w:t>
      </w:r>
      <w:r>
        <w:rPr>
          <w:spacing w:val="-2"/>
        </w:rPr>
        <w:t>g</w:t>
      </w:r>
      <w:r>
        <w:t>ion.</w:t>
      </w:r>
    </w:p>
    <w:p w14:paraId="1DDE7F32" w14:textId="77777777" w:rsidR="00DC4922" w:rsidRDefault="00DC4922" w:rsidP="00DC4922">
      <w:pPr>
        <w:rPr>
          <w:sz w:val="26"/>
        </w:rPr>
      </w:pPr>
    </w:p>
    <w:p w14:paraId="7BC26EA3" w14:textId="77777777" w:rsidR="00DC4922" w:rsidRPr="00EB603B" w:rsidRDefault="00DC4922" w:rsidP="00DC4922">
      <w:pPr>
        <w:rPr>
          <w:b/>
          <w:i/>
        </w:rPr>
      </w:pPr>
      <w:r w:rsidRPr="00EB603B">
        <w:rPr>
          <w:b/>
          <w:i/>
          <w:spacing w:val="-1"/>
        </w:rPr>
        <w:t>M</w:t>
      </w:r>
      <w:r w:rsidRPr="00EB603B">
        <w:rPr>
          <w:b/>
          <w:i/>
          <w:spacing w:val="2"/>
        </w:rPr>
        <w:t>o</w:t>
      </w:r>
      <w:r w:rsidRPr="00EB603B">
        <w:rPr>
          <w:b/>
          <w:i/>
          <w:spacing w:val="-4"/>
        </w:rPr>
        <w:t>v</w:t>
      </w:r>
      <w:r w:rsidRPr="00EB603B">
        <w:rPr>
          <w:b/>
          <w:i/>
        </w:rPr>
        <w:t xml:space="preserve">ing </w:t>
      </w:r>
      <w:r w:rsidRPr="00EB603B">
        <w:rPr>
          <w:b/>
          <w:i/>
          <w:spacing w:val="-1"/>
        </w:rPr>
        <w:t>t</w:t>
      </w:r>
      <w:r w:rsidRPr="00EB603B">
        <w:rPr>
          <w:b/>
          <w:i/>
        </w:rPr>
        <w:t xml:space="preserve">o </w:t>
      </w:r>
      <w:r w:rsidRPr="00EB603B">
        <w:rPr>
          <w:b/>
          <w:i/>
          <w:spacing w:val="1"/>
        </w:rPr>
        <w:t>Ec</w:t>
      </w:r>
      <w:r w:rsidRPr="00EB603B">
        <w:rPr>
          <w:b/>
          <w:i/>
        </w:rPr>
        <w:t>o</w:t>
      </w:r>
      <w:r w:rsidRPr="00EB603B">
        <w:rPr>
          <w:b/>
          <w:i/>
          <w:spacing w:val="3"/>
        </w:rPr>
        <w:t>s</w:t>
      </w:r>
      <w:r w:rsidRPr="00EB603B">
        <w:rPr>
          <w:b/>
          <w:i/>
          <w:spacing w:val="-6"/>
        </w:rPr>
        <w:t>y</w:t>
      </w:r>
      <w:r w:rsidRPr="00EB603B">
        <w:rPr>
          <w:b/>
          <w:i/>
          <w:spacing w:val="3"/>
        </w:rPr>
        <w:t>s</w:t>
      </w:r>
      <w:r w:rsidRPr="00EB603B">
        <w:rPr>
          <w:b/>
          <w:i/>
          <w:spacing w:val="-1"/>
        </w:rPr>
        <w:t>t</w:t>
      </w:r>
      <w:r w:rsidRPr="00EB603B">
        <w:rPr>
          <w:b/>
          <w:i/>
          <w:spacing w:val="1"/>
        </w:rPr>
        <w:t>e</w:t>
      </w:r>
      <w:r w:rsidRPr="00EB603B">
        <w:rPr>
          <w:b/>
          <w:i/>
        </w:rPr>
        <w:t>m</w:t>
      </w:r>
      <w:r w:rsidRPr="00EB603B">
        <w:rPr>
          <w:b/>
          <w:i/>
          <w:spacing w:val="-1"/>
        </w:rPr>
        <w:t>-</w:t>
      </w:r>
      <w:r w:rsidRPr="00EB603B">
        <w:rPr>
          <w:b/>
          <w:i/>
        </w:rPr>
        <w:t>B</w:t>
      </w:r>
      <w:r w:rsidRPr="00EB603B">
        <w:rPr>
          <w:b/>
          <w:i/>
          <w:spacing w:val="1"/>
        </w:rPr>
        <w:t>ase</w:t>
      </w:r>
      <w:r w:rsidRPr="00EB603B">
        <w:rPr>
          <w:b/>
          <w:i/>
        </w:rPr>
        <w:t xml:space="preserve">d </w:t>
      </w:r>
      <w:r w:rsidRPr="00EB603B">
        <w:rPr>
          <w:b/>
          <w:i/>
          <w:spacing w:val="-1"/>
        </w:rPr>
        <w:t>M</w:t>
      </w:r>
      <w:r w:rsidRPr="00EB603B">
        <w:rPr>
          <w:b/>
          <w:i/>
          <w:spacing w:val="1"/>
        </w:rPr>
        <w:t>a</w:t>
      </w:r>
      <w:r w:rsidRPr="00EB603B">
        <w:rPr>
          <w:b/>
          <w:i/>
        </w:rPr>
        <w:t>n</w:t>
      </w:r>
      <w:r w:rsidRPr="00EB603B">
        <w:rPr>
          <w:b/>
          <w:i/>
          <w:spacing w:val="1"/>
        </w:rPr>
        <w:t>a</w:t>
      </w:r>
      <w:r w:rsidRPr="00EB603B">
        <w:rPr>
          <w:b/>
          <w:i/>
        </w:rPr>
        <w:t>g</w:t>
      </w:r>
      <w:r w:rsidRPr="00EB603B">
        <w:rPr>
          <w:b/>
          <w:i/>
          <w:spacing w:val="-1"/>
        </w:rPr>
        <w:t>e</w:t>
      </w:r>
      <w:r w:rsidRPr="00EB603B">
        <w:rPr>
          <w:b/>
          <w:i/>
        </w:rPr>
        <w:t>m</w:t>
      </w:r>
      <w:r w:rsidRPr="00EB603B">
        <w:rPr>
          <w:b/>
          <w:i/>
          <w:spacing w:val="-1"/>
        </w:rPr>
        <w:t>e</w:t>
      </w:r>
      <w:r w:rsidRPr="00EB603B">
        <w:rPr>
          <w:b/>
          <w:i/>
        </w:rPr>
        <w:t>nt</w:t>
      </w:r>
    </w:p>
    <w:p w14:paraId="6D1B5C5F" w14:textId="77777777" w:rsidR="00DC4922" w:rsidRDefault="00DC4922" w:rsidP="00640526">
      <w:pPr>
        <w:ind w:firstLine="360"/>
      </w:pPr>
      <w:r>
        <w:t>The</w:t>
      </w:r>
      <w:r>
        <w:rPr>
          <w:spacing w:val="-1"/>
        </w:rPr>
        <w:t xml:space="preserve"> </w:t>
      </w:r>
      <w:r>
        <w:rPr>
          <w:spacing w:val="1"/>
        </w:rPr>
        <w:t>C</w:t>
      </w:r>
      <w:r>
        <w:t>oun</w:t>
      </w:r>
      <w:r>
        <w:rPr>
          <w:spacing w:val="-1"/>
        </w:rPr>
        <w:t>c</w:t>
      </w:r>
      <w:r>
        <w:t xml:space="preserve">il </w:t>
      </w:r>
      <w:r>
        <w:rPr>
          <w:spacing w:val="-1"/>
        </w:rPr>
        <w:t>a</w:t>
      </w:r>
      <w:r>
        <w:t>dopt</w:t>
      </w:r>
      <w:r>
        <w:rPr>
          <w:spacing w:val="-1"/>
        </w:rPr>
        <w:t>e</w:t>
      </w:r>
      <w:r>
        <w:t>d b</w:t>
      </w:r>
      <w:r>
        <w:rPr>
          <w:spacing w:val="-1"/>
        </w:rPr>
        <w:t>r</w:t>
      </w:r>
      <w:r>
        <w:rPr>
          <w:spacing w:val="2"/>
        </w:rPr>
        <w:t>o</w:t>
      </w:r>
      <w:r>
        <w:rPr>
          <w:spacing w:val="-1"/>
        </w:rPr>
        <w:t>a</w:t>
      </w:r>
      <w:r>
        <w:t xml:space="preserve">d </w:t>
      </w:r>
      <w:r>
        <w:rPr>
          <w:spacing w:val="-2"/>
        </w:rPr>
        <w:t>g</w:t>
      </w:r>
      <w:r>
        <w:rPr>
          <w:spacing w:val="2"/>
        </w:rPr>
        <w:t>o</w:t>
      </w:r>
      <w:r>
        <w:rPr>
          <w:spacing w:val="-1"/>
        </w:rPr>
        <w:t>a</w:t>
      </w:r>
      <w:r>
        <w:t xml:space="preserve">ls </w:t>
      </w:r>
      <w:r>
        <w:rPr>
          <w:spacing w:val="-1"/>
        </w:rPr>
        <w:t>f</w:t>
      </w:r>
      <w:r>
        <w:t>or</w:t>
      </w:r>
      <w:r>
        <w:rPr>
          <w:spacing w:val="-1"/>
        </w:rPr>
        <w:t xml:space="preserve"> </w:t>
      </w:r>
      <w:r>
        <w:rPr>
          <w:spacing w:val="2"/>
        </w:rPr>
        <w:t>E</w:t>
      </w:r>
      <w:r>
        <w:rPr>
          <w:spacing w:val="-1"/>
        </w:rPr>
        <w:t>c</w:t>
      </w:r>
      <w:r>
        <w:t>o</w:t>
      </w:r>
      <w:r>
        <w:rPr>
          <w:spacing w:val="5"/>
        </w:rPr>
        <w:t>s</w:t>
      </w:r>
      <w:r>
        <w:rPr>
          <w:spacing w:val="-7"/>
        </w:rPr>
        <w:t>y</w:t>
      </w:r>
      <w:r>
        <w:t>s</w:t>
      </w:r>
      <w:r>
        <w:rPr>
          <w:spacing w:val="3"/>
        </w:rPr>
        <w:t>t</w:t>
      </w:r>
      <w:r>
        <w:rPr>
          <w:spacing w:val="-1"/>
        </w:rPr>
        <w:t>e</w:t>
      </w:r>
      <w:r>
        <w:t>m</w:t>
      </w:r>
      <w:r>
        <w:rPr>
          <w:spacing w:val="2"/>
        </w:rPr>
        <w:t>-</w:t>
      </w:r>
      <w:r>
        <w:rPr>
          <w:spacing w:val="-2"/>
        </w:rPr>
        <w:t>B</w:t>
      </w:r>
      <w:r>
        <w:rPr>
          <w:spacing w:val="-1"/>
        </w:rPr>
        <w:t>a</w:t>
      </w:r>
      <w:r>
        <w:t>s</w:t>
      </w:r>
      <w:r>
        <w:rPr>
          <w:spacing w:val="-1"/>
        </w:rPr>
        <w:t>e</w:t>
      </w:r>
      <w:r>
        <w:t xml:space="preserve">d </w:t>
      </w:r>
      <w:r>
        <w:rPr>
          <w:spacing w:val="3"/>
        </w:rPr>
        <w:t>M</w:t>
      </w:r>
      <w:r>
        <w:rPr>
          <w:spacing w:val="-1"/>
        </w:rPr>
        <w:t>a</w:t>
      </w:r>
      <w:r>
        <w:t>n</w:t>
      </w:r>
      <w:r>
        <w:rPr>
          <w:spacing w:val="1"/>
        </w:rPr>
        <w:t>a</w:t>
      </w:r>
      <w:r>
        <w:t>g</w:t>
      </w:r>
      <w:r>
        <w:rPr>
          <w:spacing w:val="-1"/>
        </w:rPr>
        <w:t>e</w:t>
      </w:r>
      <w:r>
        <w:t>m</w:t>
      </w:r>
      <w:r>
        <w:rPr>
          <w:spacing w:val="-1"/>
        </w:rPr>
        <w:t>e</w:t>
      </w:r>
      <w:r>
        <w:t>nt to in</w:t>
      </w:r>
      <w:r>
        <w:rPr>
          <w:spacing w:val="-1"/>
        </w:rPr>
        <w:t>c</w:t>
      </w:r>
      <w:r>
        <w:t>lude</w:t>
      </w:r>
      <w:r>
        <w:rPr>
          <w:spacing w:val="-1"/>
        </w:rPr>
        <w:t xml:space="preserve"> </w:t>
      </w:r>
      <w:r>
        <w:t>m</w:t>
      </w:r>
      <w:r>
        <w:rPr>
          <w:spacing w:val="-1"/>
        </w:rPr>
        <w:t>a</w:t>
      </w:r>
      <w:r>
        <w:t>int</w:t>
      </w:r>
      <w:r>
        <w:rPr>
          <w:spacing w:val="-1"/>
        </w:rPr>
        <w:t>a</w:t>
      </w:r>
      <w:r>
        <w:t>ining</w:t>
      </w:r>
      <w:r>
        <w:rPr>
          <w:spacing w:val="-2"/>
        </w:rPr>
        <w:t xml:space="preserve"> </w:t>
      </w:r>
      <w:r>
        <w:rPr>
          <w:spacing w:val="2"/>
        </w:rPr>
        <w:t>o</w:t>
      </w:r>
      <w:r>
        <w:t>r imp</w:t>
      </w:r>
      <w:r>
        <w:rPr>
          <w:spacing w:val="-1"/>
        </w:rPr>
        <w:t>r</w:t>
      </w:r>
      <w:r>
        <w:t>oving</w:t>
      </w:r>
      <w:r>
        <w:rPr>
          <w:spacing w:val="-2"/>
        </w:rPr>
        <w:t xml:space="preserve"> </w:t>
      </w:r>
      <w:r>
        <w:rPr>
          <w:spacing w:val="-1"/>
        </w:rPr>
        <w:t>ec</w:t>
      </w:r>
      <w:r>
        <w:t>o</w:t>
      </w:r>
      <w:r>
        <w:rPr>
          <w:spacing w:val="5"/>
        </w:rPr>
        <w:t>s</w:t>
      </w:r>
      <w:r>
        <w:rPr>
          <w:spacing w:val="-5"/>
        </w:rPr>
        <w:t>y</w:t>
      </w:r>
      <w:r>
        <w:t>st</w:t>
      </w:r>
      <w:r>
        <w:rPr>
          <w:spacing w:val="-1"/>
        </w:rPr>
        <w:t>e</w:t>
      </w:r>
      <w:r>
        <w:t>m st</w:t>
      </w:r>
      <w:r>
        <w:rPr>
          <w:spacing w:val="2"/>
        </w:rPr>
        <w:t>r</w:t>
      </w:r>
      <w:r>
        <w:t>u</w:t>
      </w:r>
      <w:r>
        <w:rPr>
          <w:spacing w:val="-1"/>
        </w:rPr>
        <w:t>c</w:t>
      </w:r>
      <w:r>
        <w:t>tu</w:t>
      </w:r>
      <w:r>
        <w:rPr>
          <w:spacing w:val="-1"/>
        </w:rPr>
        <w:t>r</w:t>
      </w:r>
      <w:r>
        <w:t>e</w:t>
      </w:r>
      <w:r>
        <w:rPr>
          <w:spacing w:val="-1"/>
        </w:rPr>
        <w:t xml:space="preserve"> a</w:t>
      </w:r>
      <w:r>
        <w:t>nd</w:t>
      </w:r>
      <w:r>
        <w:rPr>
          <w:spacing w:val="2"/>
        </w:rPr>
        <w:t xml:space="preserve"> </w:t>
      </w:r>
      <w:r>
        <w:rPr>
          <w:spacing w:val="-1"/>
        </w:rPr>
        <w:t>f</w:t>
      </w:r>
      <w:r>
        <w:t>un</w:t>
      </w:r>
      <w:r>
        <w:rPr>
          <w:spacing w:val="-1"/>
        </w:rPr>
        <w:t>c</w:t>
      </w:r>
      <w:r>
        <w:t>tion; m</w:t>
      </w:r>
      <w:r>
        <w:rPr>
          <w:spacing w:val="-1"/>
        </w:rPr>
        <w:t>a</w:t>
      </w:r>
      <w:r>
        <w:t>int</w:t>
      </w:r>
      <w:r>
        <w:rPr>
          <w:spacing w:val="-1"/>
        </w:rPr>
        <w:t>a</w:t>
      </w:r>
      <w:r>
        <w:t>ining or</w:t>
      </w:r>
      <w:r>
        <w:rPr>
          <w:spacing w:val="-1"/>
        </w:rPr>
        <w:t xml:space="preserve"> </w:t>
      </w:r>
      <w:r>
        <w:t>imp</w:t>
      </w:r>
      <w:r>
        <w:rPr>
          <w:spacing w:val="-1"/>
        </w:rPr>
        <w:t>r</w:t>
      </w:r>
      <w:r>
        <w:t>oving</w:t>
      </w:r>
      <w:r>
        <w:rPr>
          <w:spacing w:val="-2"/>
        </w:rPr>
        <w:t xml:space="preserve"> </w:t>
      </w:r>
      <w:r>
        <w:rPr>
          <w:spacing w:val="1"/>
        </w:rPr>
        <w:t>e</w:t>
      </w:r>
      <w:r>
        <w:rPr>
          <w:spacing w:val="-1"/>
        </w:rPr>
        <w:t>c</w:t>
      </w:r>
      <w:r>
        <w:t>on</w:t>
      </w:r>
      <w:r>
        <w:rPr>
          <w:spacing w:val="2"/>
        </w:rPr>
        <w:t>o</w:t>
      </w:r>
      <w:r>
        <w:t>mi</w:t>
      </w:r>
      <w:r>
        <w:rPr>
          <w:spacing w:val="-1"/>
        </w:rPr>
        <w:t>c</w:t>
      </w:r>
      <w:r>
        <w:t>, so</w:t>
      </w:r>
      <w:r>
        <w:rPr>
          <w:spacing w:val="-1"/>
        </w:rPr>
        <w:t>c</w:t>
      </w:r>
      <w:r>
        <w:t>i</w:t>
      </w:r>
      <w:r>
        <w:rPr>
          <w:spacing w:val="-1"/>
        </w:rPr>
        <w:t>a</w:t>
      </w:r>
      <w:r>
        <w:t xml:space="preserve">l, </w:t>
      </w:r>
      <w:r>
        <w:rPr>
          <w:spacing w:val="-1"/>
        </w:rPr>
        <w:t>a</w:t>
      </w:r>
      <w:r>
        <w:t xml:space="preserve">nd </w:t>
      </w:r>
      <w:r>
        <w:rPr>
          <w:spacing w:val="-1"/>
        </w:rPr>
        <w:t>c</w:t>
      </w:r>
      <w:r>
        <w:t>ultu</w:t>
      </w:r>
      <w:r>
        <w:rPr>
          <w:spacing w:val="-1"/>
        </w:rPr>
        <w:t>ra</w:t>
      </w:r>
      <w:r>
        <w:t>l b</w:t>
      </w:r>
      <w:r>
        <w:rPr>
          <w:spacing w:val="-1"/>
        </w:rPr>
        <w:t>e</w:t>
      </w:r>
      <w:r>
        <w:t>n</w:t>
      </w:r>
      <w:r>
        <w:rPr>
          <w:spacing w:val="-1"/>
        </w:rPr>
        <w:t>ef</w:t>
      </w:r>
      <w:r>
        <w:t xml:space="preserve">its </w:t>
      </w:r>
      <w:r>
        <w:rPr>
          <w:spacing w:val="-1"/>
        </w:rPr>
        <w:t>fr</w:t>
      </w:r>
      <w:r>
        <w:t xml:space="preserve">om </w:t>
      </w:r>
      <w:r>
        <w:rPr>
          <w:spacing w:val="2"/>
        </w:rPr>
        <w:t>r</w:t>
      </w:r>
      <w:r>
        <w:rPr>
          <w:spacing w:val="-1"/>
        </w:rPr>
        <w:t>e</w:t>
      </w:r>
      <w:r>
        <w:t>sou</w:t>
      </w:r>
      <w:r>
        <w:rPr>
          <w:spacing w:val="-1"/>
        </w:rPr>
        <w:t>r</w:t>
      </w:r>
      <w:r>
        <w:rPr>
          <w:spacing w:val="1"/>
        </w:rPr>
        <w:t>c</w:t>
      </w:r>
      <w:r>
        <w:rPr>
          <w:spacing w:val="-1"/>
        </w:rPr>
        <w:t>e</w:t>
      </w:r>
      <w:r>
        <w:t xml:space="preserve">s; </w:t>
      </w:r>
      <w:r>
        <w:rPr>
          <w:spacing w:val="-1"/>
        </w:rPr>
        <w:t>a</w:t>
      </w:r>
      <w:r>
        <w:t>nd m</w:t>
      </w:r>
      <w:r>
        <w:rPr>
          <w:spacing w:val="-1"/>
        </w:rPr>
        <w:t>a</w:t>
      </w:r>
      <w:r>
        <w:t>int</w:t>
      </w:r>
      <w:r>
        <w:rPr>
          <w:spacing w:val="-1"/>
        </w:rPr>
        <w:t>a</w:t>
      </w:r>
      <w:r>
        <w:t>ining</w:t>
      </w:r>
      <w:r>
        <w:rPr>
          <w:spacing w:val="-2"/>
        </w:rPr>
        <w:t xml:space="preserve"> </w:t>
      </w:r>
      <w:r>
        <w:t>or</w:t>
      </w:r>
      <w:r>
        <w:rPr>
          <w:spacing w:val="-1"/>
        </w:rPr>
        <w:t xml:space="preserve"> </w:t>
      </w:r>
      <w:r>
        <w:t>imp</w:t>
      </w:r>
      <w:r>
        <w:rPr>
          <w:spacing w:val="-1"/>
        </w:rPr>
        <w:t>r</w:t>
      </w:r>
      <w:r>
        <w:rPr>
          <w:spacing w:val="2"/>
        </w:rPr>
        <w:t>o</w:t>
      </w:r>
      <w:r>
        <w:t>ving</w:t>
      </w:r>
      <w:r>
        <w:rPr>
          <w:spacing w:val="-2"/>
        </w:rPr>
        <w:t xml:space="preserve"> </w:t>
      </w:r>
      <w:r>
        <w:t>biolo</w:t>
      </w:r>
      <w:r>
        <w:rPr>
          <w:spacing w:val="-2"/>
        </w:rPr>
        <w:t>g</w:t>
      </w:r>
      <w:r>
        <w:rPr>
          <w:spacing w:val="3"/>
        </w:rPr>
        <w:t>i</w:t>
      </w:r>
      <w:r>
        <w:rPr>
          <w:spacing w:val="-1"/>
        </w:rPr>
        <w:t>ca</w:t>
      </w:r>
      <w:r>
        <w:t xml:space="preserve">l, </w:t>
      </w:r>
      <w:r>
        <w:rPr>
          <w:spacing w:val="1"/>
        </w:rPr>
        <w:t>e</w:t>
      </w:r>
      <w:r>
        <w:rPr>
          <w:spacing w:val="-1"/>
        </w:rPr>
        <w:t>c</w:t>
      </w:r>
      <w:r>
        <w:t>onomic,</w:t>
      </w:r>
      <w:r>
        <w:rPr>
          <w:spacing w:val="-1"/>
        </w:rPr>
        <w:t xml:space="preserve"> a</w:t>
      </w:r>
      <w:r>
        <w:t xml:space="preserve">nd </w:t>
      </w:r>
      <w:r>
        <w:rPr>
          <w:spacing w:val="-1"/>
        </w:rPr>
        <w:t>c</w:t>
      </w:r>
      <w:r>
        <w:t>ultu</w:t>
      </w:r>
      <w:r>
        <w:rPr>
          <w:spacing w:val="-1"/>
        </w:rPr>
        <w:t>ra</w:t>
      </w:r>
      <w:r>
        <w:t>l div</w:t>
      </w:r>
      <w:r>
        <w:rPr>
          <w:spacing w:val="1"/>
        </w:rPr>
        <w:t>e</w:t>
      </w:r>
      <w:r>
        <w:rPr>
          <w:spacing w:val="-1"/>
        </w:rPr>
        <w:t>r</w:t>
      </w:r>
      <w:r>
        <w:t>si</w:t>
      </w:r>
      <w:r>
        <w:rPr>
          <w:spacing w:val="3"/>
        </w:rPr>
        <w:t>t</w:t>
      </w:r>
      <w:r>
        <w:rPr>
          <w:spacing w:val="-5"/>
        </w:rPr>
        <w:t>y</w:t>
      </w:r>
      <w:r>
        <w:t>. D</w:t>
      </w:r>
      <w:r>
        <w:rPr>
          <w:spacing w:val="-1"/>
        </w:rPr>
        <w:t>e</w:t>
      </w:r>
      <w:r>
        <w:t>v</w:t>
      </w:r>
      <w:r>
        <w:rPr>
          <w:spacing w:val="-1"/>
        </w:rPr>
        <w:t>e</w:t>
      </w:r>
      <w:r>
        <w:t>lopm</w:t>
      </w:r>
      <w:r>
        <w:rPr>
          <w:spacing w:val="-1"/>
        </w:rPr>
        <w:t>e</w:t>
      </w:r>
      <w:r>
        <w:t>nt of</w:t>
      </w:r>
      <w:r>
        <w:rPr>
          <w:spacing w:val="-1"/>
        </w:rPr>
        <w:t xml:space="preserve"> </w:t>
      </w:r>
      <w:r>
        <w:t>a</w:t>
      </w:r>
      <w:r>
        <w:rPr>
          <w:spacing w:val="1"/>
        </w:rPr>
        <w:t xml:space="preserve"> </w:t>
      </w:r>
      <w:r>
        <w:rPr>
          <w:spacing w:val="-1"/>
        </w:rPr>
        <w:t>r</w:t>
      </w:r>
      <w:r>
        <w:rPr>
          <w:spacing w:val="1"/>
        </w:rPr>
        <w:t>e</w:t>
      </w:r>
      <w:r>
        <w:rPr>
          <w:spacing w:val="-2"/>
        </w:rPr>
        <w:t>g</w:t>
      </w:r>
      <w:r>
        <w:t>io</w:t>
      </w:r>
      <w:r>
        <w:rPr>
          <w:spacing w:val="2"/>
        </w:rPr>
        <w:t>n</w:t>
      </w:r>
      <w:r>
        <w:rPr>
          <w:spacing w:val="-1"/>
        </w:rPr>
        <w:t>a</w:t>
      </w:r>
      <w:r>
        <w:t xml:space="preserve">l </w:t>
      </w:r>
      <w:r>
        <w:rPr>
          <w:spacing w:val="-1"/>
        </w:rPr>
        <w:t>F</w:t>
      </w:r>
      <w:r>
        <w:t>EP</w:t>
      </w:r>
      <w:r>
        <w:rPr>
          <w:spacing w:val="1"/>
        </w:rPr>
        <w:t xml:space="preserve"> </w:t>
      </w:r>
      <w:r>
        <w:rPr>
          <w:spacing w:val="-1"/>
        </w:rPr>
        <w:t>(</w:t>
      </w:r>
      <w:r>
        <w:rPr>
          <w:spacing w:val="1"/>
        </w:rPr>
        <w:t>S</w:t>
      </w:r>
      <w:r>
        <w:t>A</w:t>
      </w:r>
      <w:r>
        <w:rPr>
          <w:spacing w:val="-1"/>
        </w:rPr>
        <w:t>F</w:t>
      </w:r>
      <w:r>
        <w:t>MC</w:t>
      </w:r>
      <w:r>
        <w:rPr>
          <w:spacing w:val="1"/>
        </w:rPr>
        <w:t xml:space="preserve"> </w:t>
      </w:r>
      <w:r>
        <w:t>2009</w:t>
      </w:r>
      <w:r>
        <w:rPr>
          <w:spacing w:val="1"/>
        </w:rPr>
        <w:t>a</w:t>
      </w:r>
      <w:r>
        <w:t>)</w:t>
      </w:r>
      <w:r>
        <w:rPr>
          <w:spacing w:val="2"/>
        </w:rPr>
        <w:t xml:space="preserve"> </w:t>
      </w:r>
      <w:r>
        <w:t>p</w:t>
      </w:r>
      <w:r>
        <w:rPr>
          <w:spacing w:val="-1"/>
        </w:rPr>
        <w:t>r</w:t>
      </w:r>
      <w:r>
        <w:t>ovid</w:t>
      </w:r>
      <w:r>
        <w:rPr>
          <w:spacing w:val="-1"/>
        </w:rPr>
        <w:t>e</w:t>
      </w:r>
      <w:r>
        <w:t xml:space="preserve">d </w:t>
      </w:r>
      <w:r>
        <w:rPr>
          <w:spacing w:val="-1"/>
        </w:rPr>
        <w:t>a</w:t>
      </w:r>
      <w:r>
        <w:t>n oppo</w:t>
      </w:r>
      <w:r>
        <w:rPr>
          <w:spacing w:val="-1"/>
        </w:rPr>
        <w:t>r</w:t>
      </w:r>
      <w:r>
        <w:t>tuni</w:t>
      </w:r>
      <w:r>
        <w:rPr>
          <w:spacing w:val="5"/>
        </w:rPr>
        <w:t>t</w:t>
      </w:r>
      <w:r>
        <w:t>y</w:t>
      </w:r>
      <w:r>
        <w:rPr>
          <w:spacing w:val="-5"/>
        </w:rPr>
        <w:t xml:space="preserve"> </w:t>
      </w:r>
      <w:r>
        <w:t xml:space="preserve">to </w:t>
      </w:r>
      <w:r>
        <w:rPr>
          <w:spacing w:val="-1"/>
        </w:rPr>
        <w:t>e</w:t>
      </w:r>
      <w:r>
        <w:rPr>
          <w:spacing w:val="2"/>
        </w:rPr>
        <w:t>x</w:t>
      </w:r>
      <w:r>
        <w:t>p</w:t>
      </w:r>
      <w:r>
        <w:rPr>
          <w:spacing w:val="-1"/>
        </w:rPr>
        <w:t>a</w:t>
      </w:r>
      <w:r>
        <w:t>nd the s</w:t>
      </w:r>
      <w:r>
        <w:rPr>
          <w:spacing w:val="-1"/>
        </w:rPr>
        <w:t>c</w:t>
      </w:r>
      <w:r>
        <w:t>ope</w:t>
      </w:r>
      <w:r>
        <w:rPr>
          <w:spacing w:val="-1"/>
        </w:rPr>
        <w:t xml:space="preserve"> </w:t>
      </w:r>
      <w:r>
        <w:t>of</w:t>
      </w:r>
      <w:r>
        <w:rPr>
          <w:spacing w:val="-1"/>
        </w:rPr>
        <w:t xml:space="preserve"> </w:t>
      </w:r>
      <w:r>
        <w:t>the o</w:t>
      </w:r>
      <w:r>
        <w:rPr>
          <w:spacing w:val="-1"/>
        </w:rPr>
        <w:t>r</w:t>
      </w:r>
      <w:r>
        <w:t>i</w:t>
      </w:r>
      <w:r>
        <w:rPr>
          <w:spacing w:val="-2"/>
        </w:rPr>
        <w:t>g</w:t>
      </w:r>
      <w:r>
        <w:t>in</w:t>
      </w:r>
      <w:r>
        <w:rPr>
          <w:spacing w:val="-1"/>
        </w:rPr>
        <w:t>a</w:t>
      </w:r>
      <w:r>
        <w:t xml:space="preserve">l </w:t>
      </w:r>
      <w:r>
        <w:rPr>
          <w:spacing w:val="1"/>
        </w:rPr>
        <w:t>C</w:t>
      </w:r>
      <w:r>
        <w:t>oun</w:t>
      </w:r>
      <w:r>
        <w:rPr>
          <w:spacing w:val="-1"/>
        </w:rPr>
        <w:t>c</w:t>
      </w:r>
      <w:r>
        <w:t>il H</w:t>
      </w:r>
      <w:r>
        <w:rPr>
          <w:spacing w:val="-1"/>
        </w:rPr>
        <w:t>a</w:t>
      </w:r>
      <w:r>
        <w:t>bit</w:t>
      </w:r>
      <w:r>
        <w:rPr>
          <w:spacing w:val="-1"/>
        </w:rPr>
        <w:t>a</w:t>
      </w:r>
      <w:r>
        <w:t>t</w:t>
      </w:r>
      <w:r>
        <w:rPr>
          <w:spacing w:val="3"/>
        </w:rPr>
        <w:t xml:space="preserve"> </w:t>
      </w:r>
      <w:r>
        <w:rPr>
          <w:spacing w:val="1"/>
        </w:rPr>
        <w:t>P</w:t>
      </w:r>
      <w:r>
        <w:t>l</w:t>
      </w:r>
      <w:r>
        <w:rPr>
          <w:spacing w:val="-1"/>
        </w:rPr>
        <w:t>a</w:t>
      </w:r>
      <w:r>
        <w:t xml:space="preserve">n </w:t>
      </w:r>
      <w:r>
        <w:rPr>
          <w:spacing w:val="-1"/>
        </w:rPr>
        <w:t>a</w:t>
      </w:r>
      <w:r>
        <w:t xml:space="preserve">nd </w:t>
      </w:r>
      <w:r>
        <w:rPr>
          <w:spacing w:val="-1"/>
        </w:rPr>
        <w:t>c</w:t>
      </w:r>
      <w:r>
        <w:t>ompile</w:t>
      </w:r>
      <w:r>
        <w:rPr>
          <w:spacing w:val="-1"/>
        </w:rPr>
        <w:t xml:space="preserve"> a</w:t>
      </w:r>
      <w:r>
        <w:t xml:space="preserve">nd </w:t>
      </w:r>
      <w:r>
        <w:rPr>
          <w:spacing w:val="-1"/>
        </w:rPr>
        <w:t>re</w:t>
      </w:r>
      <w:r>
        <w:rPr>
          <w:spacing w:val="2"/>
        </w:rPr>
        <w:t>v</w:t>
      </w:r>
      <w:r>
        <w:t>i</w:t>
      </w:r>
      <w:r>
        <w:rPr>
          <w:spacing w:val="-1"/>
        </w:rPr>
        <w:t>e</w:t>
      </w:r>
      <w:r>
        <w:t xml:space="preserve">w </w:t>
      </w:r>
      <w:r>
        <w:rPr>
          <w:spacing w:val="-1"/>
        </w:rPr>
        <w:t>a</w:t>
      </w:r>
      <w:r>
        <w:t>v</w:t>
      </w:r>
      <w:r>
        <w:rPr>
          <w:spacing w:val="-1"/>
        </w:rPr>
        <w:t>a</w:t>
      </w:r>
      <w:r>
        <w:t>il</w:t>
      </w:r>
      <w:r>
        <w:rPr>
          <w:spacing w:val="-1"/>
        </w:rPr>
        <w:t>a</w:t>
      </w:r>
      <w:r>
        <w:t>ble</w:t>
      </w:r>
      <w:r>
        <w:rPr>
          <w:spacing w:val="-1"/>
        </w:rPr>
        <w:t xml:space="preserve"> </w:t>
      </w:r>
      <w:r>
        <w:rPr>
          <w:spacing w:val="2"/>
        </w:rPr>
        <w:t>h</w:t>
      </w:r>
      <w:r>
        <w:rPr>
          <w:spacing w:val="-1"/>
        </w:rPr>
        <w:t>a</w:t>
      </w:r>
      <w:r>
        <w:t>bit</w:t>
      </w:r>
      <w:r>
        <w:rPr>
          <w:spacing w:val="-1"/>
        </w:rPr>
        <w:t>a</w:t>
      </w:r>
      <w:r>
        <w:t>t, biolo</w:t>
      </w:r>
      <w:r>
        <w:rPr>
          <w:spacing w:val="-2"/>
        </w:rPr>
        <w:t>g</w:t>
      </w:r>
      <w:r>
        <w:t>i</w:t>
      </w:r>
      <w:r>
        <w:rPr>
          <w:spacing w:val="-1"/>
        </w:rPr>
        <w:t>ca</w:t>
      </w:r>
      <w:r>
        <w:t>l, so</w:t>
      </w:r>
      <w:r>
        <w:rPr>
          <w:spacing w:val="-1"/>
        </w:rPr>
        <w:t>c</w:t>
      </w:r>
      <w:r>
        <w:rPr>
          <w:spacing w:val="3"/>
        </w:rPr>
        <w:t>i</w:t>
      </w:r>
      <w:r>
        <w:rPr>
          <w:spacing w:val="-1"/>
        </w:rPr>
        <w:t>a</w:t>
      </w:r>
      <w:r>
        <w:t xml:space="preserve">l, </w:t>
      </w:r>
      <w:r>
        <w:rPr>
          <w:spacing w:val="-1"/>
        </w:rPr>
        <w:t>a</w:t>
      </w:r>
      <w:r>
        <w:t xml:space="preserve">nd </w:t>
      </w:r>
      <w:r>
        <w:rPr>
          <w:spacing w:val="1"/>
        </w:rPr>
        <w:t>e</w:t>
      </w:r>
      <w:r>
        <w:rPr>
          <w:spacing w:val="-1"/>
        </w:rPr>
        <w:t>c</w:t>
      </w:r>
      <w:r>
        <w:t>on</w:t>
      </w:r>
      <w:r>
        <w:rPr>
          <w:spacing w:val="2"/>
        </w:rPr>
        <w:t>o</w:t>
      </w:r>
      <w:r>
        <w:t xml:space="preserve">mic </w:t>
      </w:r>
      <w:r>
        <w:rPr>
          <w:spacing w:val="-1"/>
        </w:rPr>
        <w:t>f</w:t>
      </w:r>
      <w:r>
        <w:t>ish</w:t>
      </w:r>
      <w:r>
        <w:rPr>
          <w:spacing w:val="-1"/>
        </w:rPr>
        <w:t>e</w:t>
      </w:r>
      <w:r>
        <w:rPr>
          <w:spacing w:val="4"/>
        </w:rPr>
        <w:t>r</w:t>
      </w:r>
      <w:r>
        <w:t>y</w:t>
      </w:r>
      <w:r>
        <w:rPr>
          <w:spacing w:val="-5"/>
        </w:rPr>
        <w:t xml:space="preserve"> </w:t>
      </w:r>
      <w:r>
        <w:rPr>
          <w:spacing w:val="-1"/>
        </w:rPr>
        <w:t>a</w:t>
      </w:r>
      <w:r>
        <w:t xml:space="preserve">nd </w:t>
      </w:r>
      <w:r>
        <w:rPr>
          <w:spacing w:val="2"/>
        </w:rPr>
        <w:t>r</w:t>
      </w:r>
      <w:r>
        <w:rPr>
          <w:spacing w:val="-1"/>
        </w:rPr>
        <w:t>e</w:t>
      </w:r>
      <w:r>
        <w:t>sou</w:t>
      </w:r>
      <w:r>
        <w:rPr>
          <w:spacing w:val="-1"/>
        </w:rPr>
        <w:t>r</w:t>
      </w:r>
      <w:r>
        <w:rPr>
          <w:spacing w:val="1"/>
        </w:rPr>
        <w:t>c</w:t>
      </w:r>
      <w:r>
        <w:t>e</w:t>
      </w:r>
      <w:r>
        <w:rPr>
          <w:spacing w:val="-1"/>
        </w:rPr>
        <w:t xml:space="preserve"> </w:t>
      </w:r>
      <w:r>
        <w:t>in</w:t>
      </w:r>
      <w:r>
        <w:rPr>
          <w:spacing w:val="-1"/>
        </w:rPr>
        <w:t>f</w:t>
      </w:r>
      <w:r>
        <w:rPr>
          <w:spacing w:val="2"/>
        </w:rPr>
        <w:t>o</w:t>
      </w:r>
      <w:r>
        <w:rPr>
          <w:spacing w:val="-1"/>
        </w:rPr>
        <w:t>r</w:t>
      </w:r>
      <w:r>
        <w:t>m</w:t>
      </w:r>
      <w:r>
        <w:rPr>
          <w:spacing w:val="-1"/>
        </w:rPr>
        <w:t>a</w:t>
      </w:r>
      <w:r>
        <w:t xml:space="preserve">tion </w:t>
      </w:r>
      <w:r>
        <w:rPr>
          <w:spacing w:val="-1"/>
        </w:rPr>
        <w:t>f</w:t>
      </w:r>
      <w:r>
        <w:t>or</w:t>
      </w:r>
      <w:r>
        <w:rPr>
          <w:spacing w:val="-1"/>
        </w:rPr>
        <w:t xml:space="preserve"> f</w:t>
      </w:r>
      <w:r>
        <w:t>ish</w:t>
      </w:r>
      <w:r>
        <w:rPr>
          <w:spacing w:val="-1"/>
        </w:rPr>
        <w:t>er</w:t>
      </w:r>
      <w:r>
        <w:rPr>
          <w:spacing w:val="3"/>
        </w:rPr>
        <w:t>i</w:t>
      </w:r>
      <w:r>
        <w:rPr>
          <w:spacing w:val="-1"/>
        </w:rPr>
        <w:t>e</w:t>
      </w:r>
      <w:r>
        <w:t>s in the</w:t>
      </w:r>
      <w:r>
        <w:rPr>
          <w:spacing w:val="-1"/>
        </w:rPr>
        <w:t xml:space="preserve"> </w:t>
      </w:r>
      <w:r>
        <w:rPr>
          <w:spacing w:val="1"/>
        </w:rPr>
        <w:t>S</w:t>
      </w:r>
      <w:r>
        <w:t>outh Atl</w:t>
      </w:r>
      <w:r>
        <w:rPr>
          <w:spacing w:val="-1"/>
        </w:rPr>
        <w:t>a</w:t>
      </w:r>
      <w:r>
        <w:t>ntic</w:t>
      </w:r>
      <w:r>
        <w:rPr>
          <w:spacing w:val="-1"/>
        </w:rPr>
        <w:t xml:space="preserve"> ec</w:t>
      </w:r>
      <w:r>
        <w:t>o</w:t>
      </w:r>
      <w:r>
        <w:rPr>
          <w:spacing w:val="5"/>
        </w:rPr>
        <w:t>s</w:t>
      </w:r>
      <w:r>
        <w:rPr>
          <w:spacing w:val="-5"/>
        </w:rPr>
        <w:t>y</w:t>
      </w:r>
      <w:r>
        <w:t>st</w:t>
      </w:r>
      <w:r>
        <w:rPr>
          <w:spacing w:val="1"/>
        </w:rPr>
        <w:t>e</w:t>
      </w:r>
      <w:r>
        <w:t>m. The</w:t>
      </w:r>
      <w:r>
        <w:rPr>
          <w:spacing w:val="-1"/>
        </w:rPr>
        <w:t xml:space="preserve"> </w:t>
      </w:r>
      <w:r>
        <w:rPr>
          <w:spacing w:val="1"/>
        </w:rPr>
        <w:t>S</w:t>
      </w:r>
      <w:r>
        <w:t>outh Atl</w:t>
      </w:r>
      <w:r>
        <w:rPr>
          <w:spacing w:val="-1"/>
        </w:rPr>
        <w:t>a</w:t>
      </w:r>
      <w:r>
        <w:t xml:space="preserve">ntic </w:t>
      </w:r>
      <w:r>
        <w:rPr>
          <w:spacing w:val="1"/>
        </w:rPr>
        <w:t>C</w:t>
      </w:r>
      <w:r>
        <w:t>oun</w:t>
      </w:r>
      <w:r>
        <w:rPr>
          <w:spacing w:val="-1"/>
        </w:rPr>
        <w:t>c</w:t>
      </w:r>
      <w:r>
        <w:t>il vi</w:t>
      </w:r>
      <w:r>
        <w:rPr>
          <w:spacing w:val="-1"/>
        </w:rPr>
        <w:t>e</w:t>
      </w:r>
      <w:r>
        <w:t>ws h</w:t>
      </w:r>
      <w:r>
        <w:rPr>
          <w:spacing w:val="-1"/>
        </w:rPr>
        <w:t>a</w:t>
      </w:r>
      <w:r>
        <w:t>bit</w:t>
      </w:r>
      <w:r>
        <w:rPr>
          <w:spacing w:val="-1"/>
        </w:rPr>
        <w:t>a</w:t>
      </w:r>
      <w:r>
        <w:t xml:space="preserve">t </w:t>
      </w:r>
      <w:r>
        <w:rPr>
          <w:spacing w:val="-1"/>
        </w:rPr>
        <w:t>c</w:t>
      </w:r>
      <w:r>
        <w:rPr>
          <w:spacing w:val="2"/>
        </w:rPr>
        <w:t>o</w:t>
      </w:r>
      <w:r>
        <w:t>ns</w:t>
      </w:r>
      <w:r>
        <w:rPr>
          <w:spacing w:val="-1"/>
        </w:rPr>
        <w:t>er</w:t>
      </w:r>
      <w:r>
        <w:t>v</w:t>
      </w:r>
      <w:r>
        <w:rPr>
          <w:spacing w:val="-1"/>
        </w:rPr>
        <w:t>a</w:t>
      </w:r>
      <w:r>
        <w:t xml:space="preserve">tion </w:t>
      </w:r>
      <w:r>
        <w:rPr>
          <w:spacing w:val="-1"/>
        </w:rPr>
        <w:t>a</w:t>
      </w:r>
      <w:r>
        <w:t>s the</w:t>
      </w:r>
      <w:r>
        <w:rPr>
          <w:spacing w:val="-1"/>
        </w:rPr>
        <w:t xml:space="preserve"> c</w:t>
      </w:r>
      <w:r>
        <w:rPr>
          <w:spacing w:val="2"/>
        </w:rPr>
        <w:t>o</w:t>
      </w:r>
      <w:r>
        <w:rPr>
          <w:spacing w:val="-1"/>
        </w:rPr>
        <w:t>r</w:t>
      </w:r>
      <w:r>
        <w:t>e</w:t>
      </w:r>
      <w:r>
        <w:rPr>
          <w:spacing w:val="-1"/>
        </w:rPr>
        <w:t xml:space="preserve"> </w:t>
      </w:r>
      <w:r>
        <w:t>of</w:t>
      </w:r>
      <w:r>
        <w:rPr>
          <w:spacing w:val="-1"/>
        </w:rPr>
        <w:t xml:space="preserve"> </w:t>
      </w:r>
      <w:r>
        <w:rPr>
          <w:spacing w:val="3"/>
        </w:rPr>
        <w:t>t</w:t>
      </w:r>
      <w:r>
        <w:t>he</w:t>
      </w:r>
      <w:r>
        <w:rPr>
          <w:spacing w:val="-1"/>
        </w:rPr>
        <w:t xml:space="preserve"> </w:t>
      </w:r>
      <w:r>
        <w:t>move</w:t>
      </w:r>
      <w:r>
        <w:rPr>
          <w:spacing w:val="-1"/>
        </w:rPr>
        <w:t xml:space="preserve"> </w:t>
      </w:r>
      <w:r>
        <w:t>to E</w:t>
      </w:r>
      <w:r>
        <w:rPr>
          <w:spacing w:val="-2"/>
        </w:rPr>
        <w:t>B</w:t>
      </w:r>
      <w:r>
        <w:t>M in the</w:t>
      </w:r>
      <w:r>
        <w:rPr>
          <w:spacing w:val="-1"/>
        </w:rPr>
        <w:t xml:space="preserve"> </w:t>
      </w:r>
      <w:r>
        <w:rPr>
          <w:spacing w:val="2"/>
        </w:rPr>
        <w:t>r</w:t>
      </w:r>
      <w:r>
        <w:rPr>
          <w:spacing w:val="-1"/>
        </w:rPr>
        <w:t>e</w:t>
      </w:r>
      <w:r>
        <w:rPr>
          <w:spacing w:val="-2"/>
        </w:rPr>
        <w:t>g</w:t>
      </w:r>
      <w:r>
        <w:t>ion. T</w:t>
      </w:r>
      <w:r>
        <w:rPr>
          <w:spacing w:val="2"/>
        </w:rPr>
        <w:t>h</w:t>
      </w:r>
      <w:r>
        <w:rPr>
          <w:spacing w:val="-1"/>
        </w:rPr>
        <w:t>er</w:t>
      </w:r>
      <w:r>
        <w:rPr>
          <w:spacing w:val="1"/>
        </w:rPr>
        <w:t>e</w:t>
      </w:r>
      <w:r>
        <w:rPr>
          <w:spacing w:val="-1"/>
        </w:rPr>
        <w:t>f</w:t>
      </w:r>
      <w:r>
        <w:t>o</w:t>
      </w:r>
      <w:r>
        <w:rPr>
          <w:spacing w:val="-1"/>
        </w:rPr>
        <w:t>re</w:t>
      </w:r>
      <w:r>
        <w:t>, d</w:t>
      </w:r>
      <w:r>
        <w:rPr>
          <w:spacing w:val="-1"/>
        </w:rPr>
        <w:t>e</w:t>
      </w:r>
      <w:r>
        <w:t>v</w:t>
      </w:r>
      <w:r>
        <w:rPr>
          <w:spacing w:val="-1"/>
        </w:rPr>
        <w:t>e</w:t>
      </w:r>
      <w:r>
        <w:t>lopm</w:t>
      </w:r>
      <w:r>
        <w:rPr>
          <w:spacing w:val="-1"/>
        </w:rPr>
        <w:t>e</w:t>
      </w:r>
      <w:r>
        <w:t>nt of</w:t>
      </w:r>
      <w:r>
        <w:rPr>
          <w:spacing w:val="-1"/>
        </w:rPr>
        <w:t xml:space="preserve"> </w:t>
      </w:r>
      <w:r>
        <w:t>the</w:t>
      </w:r>
      <w:r>
        <w:rPr>
          <w:spacing w:val="1"/>
        </w:rPr>
        <w:t xml:space="preserve"> </w:t>
      </w:r>
      <w:r>
        <w:rPr>
          <w:spacing w:val="-1"/>
        </w:rPr>
        <w:t>F</w:t>
      </w:r>
      <w:r>
        <w:t>EP</w:t>
      </w:r>
      <w:r>
        <w:rPr>
          <w:spacing w:val="1"/>
        </w:rPr>
        <w:t xml:space="preserve"> </w:t>
      </w:r>
      <w:r>
        <w:t>w</w:t>
      </w:r>
      <w:r>
        <w:rPr>
          <w:spacing w:val="-1"/>
        </w:rPr>
        <w:t>a</w:t>
      </w:r>
      <w:r>
        <w:t>s a</w:t>
      </w:r>
      <w:r>
        <w:rPr>
          <w:spacing w:val="-1"/>
        </w:rPr>
        <w:t xml:space="preserve"> </w:t>
      </w:r>
      <w:r>
        <w:t>n</w:t>
      </w:r>
      <w:r>
        <w:rPr>
          <w:spacing w:val="-1"/>
        </w:rPr>
        <w:t>a</w:t>
      </w:r>
      <w:r>
        <w:t>tu</w:t>
      </w:r>
      <w:r>
        <w:rPr>
          <w:spacing w:val="2"/>
        </w:rPr>
        <w:t>r</w:t>
      </w:r>
      <w:r>
        <w:rPr>
          <w:spacing w:val="-1"/>
        </w:rPr>
        <w:t>a</w:t>
      </w:r>
      <w:r>
        <w:t>l n</w:t>
      </w:r>
      <w:r>
        <w:rPr>
          <w:spacing w:val="-1"/>
        </w:rPr>
        <w:t>e</w:t>
      </w:r>
      <w:r>
        <w:rPr>
          <w:spacing w:val="2"/>
        </w:rPr>
        <w:t>x</w:t>
      </w:r>
      <w:r>
        <w:t>t st</w:t>
      </w:r>
      <w:r>
        <w:rPr>
          <w:spacing w:val="-1"/>
        </w:rPr>
        <w:t>e</w:t>
      </w:r>
      <w:r>
        <w:t>p in the</w:t>
      </w:r>
      <w:r>
        <w:rPr>
          <w:spacing w:val="-1"/>
        </w:rPr>
        <w:t xml:space="preserve"> e</w:t>
      </w:r>
      <w:r>
        <w:t xml:space="preserve">volution </w:t>
      </w:r>
      <w:r>
        <w:rPr>
          <w:spacing w:val="-1"/>
        </w:rPr>
        <w:t>a</w:t>
      </w:r>
      <w:r>
        <w:t xml:space="preserve">nd </w:t>
      </w:r>
      <w:r>
        <w:rPr>
          <w:spacing w:val="-1"/>
        </w:rPr>
        <w:t>e</w:t>
      </w:r>
      <w:r>
        <w:rPr>
          <w:spacing w:val="2"/>
        </w:rPr>
        <w:t>x</w:t>
      </w:r>
      <w:r>
        <w:t>p</w:t>
      </w:r>
      <w:r>
        <w:rPr>
          <w:spacing w:val="-1"/>
        </w:rPr>
        <w:t>a</w:t>
      </w:r>
      <w:r>
        <w:t xml:space="preserve">nds </w:t>
      </w:r>
      <w:r>
        <w:rPr>
          <w:spacing w:val="-1"/>
        </w:rPr>
        <w:t>a</w:t>
      </w:r>
      <w:r>
        <w:t>nd si</w:t>
      </w:r>
      <w:r>
        <w:rPr>
          <w:spacing w:val="-2"/>
        </w:rPr>
        <w:t>g</w:t>
      </w:r>
      <w:r>
        <w:t>ni</w:t>
      </w:r>
      <w:r>
        <w:rPr>
          <w:spacing w:val="-1"/>
        </w:rPr>
        <w:t>f</w:t>
      </w:r>
      <w:r>
        <w:t>i</w:t>
      </w:r>
      <w:r>
        <w:rPr>
          <w:spacing w:val="1"/>
        </w:rPr>
        <w:t>c</w:t>
      </w:r>
      <w:r>
        <w:rPr>
          <w:spacing w:val="-1"/>
        </w:rPr>
        <w:t>a</w:t>
      </w:r>
      <w:r>
        <w:t>nt</w:t>
      </w:r>
      <w:r>
        <w:rPr>
          <w:spacing w:val="3"/>
        </w:rPr>
        <w:t>l</w:t>
      </w:r>
      <w:r>
        <w:t>y</w:t>
      </w:r>
      <w:r>
        <w:rPr>
          <w:spacing w:val="-5"/>
        </w:rPr>
        <w:t xml:space="preserve"> </w:t>
      </w:r>
      <w:r>
        <w:t>up</w:t>
      </w:r>
      <w:r>
        <w:rPr>
          <w:spacing w:val="2"/>
        </w:rPr>
        <w:t>d</w:t>
      </w:r>
      <w:r>
        <w:rPr>
          <w:spacing w:val="1"/>
        </w:rPr>
        <w:t>a</w:t>
      </w:r>
      <w:r>
        <w:t>t</w:t>
      </w:r>
      <w:r>
        <w:rPr>
          <w:spacing w:val="-1"/>
        </w:rPr>
        <w:t>e</w:t>
      </w:r>
      <w:r>
        <w:t>s the</w:t>
      </w:r>
      <w:r>
        <w:rPr>
          <w:spacing w:val="-1"/>
        </w:rPr>
        <w:t xml:space="preserve"> </w:t>
      </w:r>
      <w:r>
        <w:rPr>
          <w:spacing w:val="1"/>
        </w:rPr>
        <w:t>S</w:t>
      </w:r>
      <w:r>
        <w:t>A</w:t>
      </w:r>
      <w:r>
        <w:rPr>
          <w:spacing w:val="-1"/>
        </w:rPr>
        <w:t>F</w:t>
      </w:r>
      <w:r>
        <w:t>MC</w:t>
      </w:r>
      <w:r>
        <w:rPr>
          <w:spacing w:val="1"/>
        </w:rPr>
        <w:t xml:space="preserve"> </w:t>
      </w:r>
      <w:r>
        <w:t>H</w:t>
      </w:r>
      <w:r>
        <w:rPr>
          <w:spacing w:val="-1"/>
        </w:rPr>
        <w:t>a</w:t>
      </w:r>
      <w:r>
        <w:t>bit</w:t>
      </w:r>
      <w:r>
        <w:rPr>
          <w:spacing w:val="-1"/>
        </w:rPr>
        <w:t>a</w:t>
      </w:r>
      <w:r>
        <w:t xml:space="preserve">t </w:t>
      </w:r>
      <w:r>
        <w:rPr>
          <w:spacing w:val="1"/>
        </w:rPr>
        <w:t>P</w:t>
      </w:r>
      <w:r>
        <w:t>l</w:t>
      </w:r>
      <w:r>
        <w:rPr>
          <w:spacing w:val="-1"/>
        </w:rPr>
        <w:t>a</w:t>
      </w:r>
      <w:r>
        <w:t xml:space="preserve">n </w:t>
      </w:r>
      <w:r>
        <w:rPr>
          <w:spacing w:val="-1"/>
        </w:rPr>
        <w:t>(</w:t>
      </w:r>
      <w:r>
        <w:rPr>
          <w:spacing w:val="1"/>
        </w:rPr>
        <w:t>S</w:t>
      </w:r>
      <w:r>
        <w:t>A</w:t>
      </w:r>
      <w:r>
        <w:rPr>
          <w:spacing w:val="-1"/>
        </w:rPr>
        <w:t>F</w:t>
      </w:r>
      <w:r>
        <w:t>MC</w:t>
      </w:r>
      <w:r>
        <w:rPr>
          <w:spacing w:val="1"/>
        </w:rPr>
        <w:t xml:space="preserve"> </w:t>
      </w:r>
      <w:r>
        <w:t>1998</w:t>
      </w:r>
      <w:r>
        <w:rPr>
          <w:spacing w:val="-1"/>
        </w:rPr>
        <w:t>a</w:t>
      </w:r>
      <w:r>
        <w:t>)</w:t>
      </w:r>
      <w:r>
        <w:rPr>
          <w:spacing w:val="-1"/>
        </w:rPr>
        <w:t xml:space="preserve"> </w:t>
      </w:r>
      <w:r>
        <w:t>in</w:t>
      </w:r>
      <w:r>
        <w:rPr>
          <w:spacing w:val="-1"/>
        </w:rPr>
        <w:t>c</w:t>
      </w:r>
      <w:r>
        <w:rPr>
          <w:spacing w:val="2"/>
        </w:rPr>
        <w:t>o</w:t>
      </w:r>
      <w:r>
        <w:rPr>
          <w:spacing w:val="-1"/>
        </w:rPr>
        <w:t>r</w:t>
      </w:r>
      <w:r>
        <w:rPr>
          <w:spacing w:val="2"/>
        </w:rPr>
        <w:t>p</w:t>
      </w:r>
      <w:r>
        <w:t>o</w:t>
      </w:r>
      <w:r>
        <w:rPr>
          <w:spacing w:val="-1"/>
        </w:rPr>
        <w:t>ra</w:t>
      </w:r>
      <w:r>
        <w:t xml:space="preserve">ting </w:t>
      </w:r>
      <w:r>
        <w:rPr>
          <w:spacing w:val="-1"/>
        </w:rPr>
        <w:t>c</w:t>
      </w:r>
      <w:r>
        <w:t>omp</w:t>
      </w:r>
      <w:r>
        <w:rPr>
          <w:spacing w:val="-1"/>
        </w:rPr>
        <w:t>re</w:t>
      </w:r>
      <w:r>
        <w:rPr>
          <w:spacing w:val="2"/>
        </w:rPr>
        <w:t>h</w:t>
      </w:r>
      <w:r>
        <w:rPr>
          <w:spacing w:val="-1"/>
        </w:rPr>
        <w:t>e</w:t>
      </w:r>
      <w:r>
        <w:t>nsive</w:t>
      </w:r>
      <w:r>
        <w:rPr>
          <w:spacing w:val="-1"/>
        </w:rPr>
        <w:t xml:space="preserve"> </w:t>
      </w:r>
      <w:r>
        <w:rPr>
          <w:spacing w:val="2"/>
        </w:rPr>
        <w:t>d</w:t>
      </w:r>
      <w:r>
        <w:rPr>
          <w:spacing w:val="-1"/>
        </w:rPr>
        <w:t>e</w:t>
      </w:r>
      <w:r>
        <w:t>t</w:t>
      </w:r>
      <w:r>
        <w:rPr>
          <w:spacing w:val="-1"/>
        </w:rPr>
        <w:t>a</w:t>
      </w:r>
      <w:r>
        <w:t>ils of</w:t>
      </w:r>
      <w:r>
        <w:rPr>
          <w:spacing w:val="-1"/>
        </w:rPr>
        <w:t xml:space="preserve"> a</w:t>
      </w:r>
      <w:r>
        <w:t>ll m</w:t>
      </w:r>
      <w:r>
        <w:rPr>
          <w:spacing w:val="-1"/>
        </w:rPr>
        <w:t>a</w:t>
      </w:r>
      <w:r>
        <w:t>n</w:t>
      </w:r>
      <w:r>
        <w:rPr>
          <w:spacing w:val="1"/>
        </w:rPr>
        <w:t>a</w:t>
      </w:r>
      <w:r>
        <w:rPr>
          <w:spacing w:val="-2"/>
        </w:rPr>
        <w:t>g</w:t>
      </w:r>
      <w:r>
        <w:rPr>
          <w:spacing w:val="-1"/>
        </w:rPr>
        <w:t>e</w:t>
      </w:r>
      <w:r>
        <w:t>d s</w:t>
      </w:r>
      <w:r>
        <w:rPr>
          <w:spacing w:val="2"/>
        </w:rPr>
        <w:t>p</w:t>
      </w:r>
      <w:r>
        <w:rPr>
          <w:spacing w:val="1"/>
        </w:rPr>
        <w:t>e</w:t>
      </w:r>
      <w:r>
        <w:rPr>
          <w:spacing w:val="-1"/>
        </w:rPr>
        <w:t>c</w:t>
      </w:r>
      <w:r>
        <w:t>i</w:t>
      </w:r>
      <w:r>
        <w:rPr>
          <w:spacing w:val="-1"/>
        </w:rPr>
        <w:t>e</w:t>
      </w:r>
      <w:r>
        <w:t xml:space="preserve">s </w:t>
      </w:r>
      <w:r>
        <w:rPr>
          <w:spacing w:val="-1"/>
        </w:rPr>
        <w:t>(</w:t>
      </w:r>
      <w:r>
        <w:rPr>
          <w:spacing w:val="1"/>
        </w:rPr>
        <w:t>S</w:t>
      </w:r>
      <w:r>
        <w:t>A</w:t>
      </w:r>
      <w:r>
        <w:rPr>
          <w:spacing w:val="-1"/>
        </w:rPr>
        <w:t>F</w:t>
      </w:r>
      <w:r>
        <w:t>M</w:t>
      </w:r>
      <w:r>
        <w:rPr>
          <w:spacing w:val="1"/>
        </w:rPr>
        <w:t>C</w:t>
      </w:r>
      <w:r>
        <w:t xml:space="preserve">, </w:t>
      </w:r>
      <w:r>
        <w:rPr>
          <w:spacing w:val="1"/>
        </w:rPr>
        <w:t>S</w:t>
      </w:r>
      <w:r>
        <w:t>outh Atl</w:t>
      </w:r>
      <w:r>
        <w:rPr>
          <w:spacing w:val="-1"/>
        </w:rPr>
        <w:t>a</w:t>
      </w:r>
      <w:r>
        <w:t>ntic</w:t>
      </w:r>
      <w:r>
        <w:rPr>
          <w:spacing w:val="-1"/>
        </w:rPr>
        <w:t xml:space="preserve"> </w:t>
      </w:r>
      <w:r>
        <w:rPr>
          <w:spacing w:val="1"/>
        </w:rPr>
        <w:t>S</w:t>
      </w:r>
      <w:r>
        <w:t>t</w:t>
      </w:r>
      <w:r>
        <w:rPr>
          <w:spacing w:val="-1"/>
        </w:rPr>
        <w:t>a</w:t>
      </w:r>
      <w:r>
        <w:t>t</w:t>
      </w:r>
      <w:r>
        <w:rPr>
          <w:spacing w:val="-1"/>
        </w:rPr>
        <w:t>e</w:t>
      </w:r>
      <w:r>
        <w:t>s, A</w:t>
      </w:r>
      <w:r>
        <w:rPr>
          <w:spacing w:val="1"/>
        </w:rPr>
        <w:t>S</w:t>
      </w:r>
      <w:r>
        <w:t>M</w:t>
      </w:r>
      <w:r>
        <w:rPr>
          <w:spacing w:val="-1"/>
        </w:rPr>
        <w:t>F</w:t>
      </w:r>
      <w:r>
        <w:rPr>
          <w:spacing w:val="1"/>
        </w:rPr>
        <w:t>C</w:t>
      </w:r>
      <w:r>
        <w:t xml:space="preserve">, </w:t>
      </w:r>
      <w:r>
        <w:rPr>
          <w:spacing w:val="-1"/>
        </w:rPr>
        <w:t>a</w:t>
      </w:r>
      <w:r>
        <w:t>nd N</w:t>
      </w:r>
      <w:r>
        <w:rPr>
          <w:spacing w:val="2"/>
        </w:rPr>
        <w:t>O</w:t>
      </w:r>
      <w:r>
        <w:t xml:space="preserve">AA </w:t>
      </w:r>
      <w:r>
        <w:rPr>
          <w:spacing w:val="-1"/>
        </w:rPr>
        <w:t>F</w:t>
      </w:r>
      <w:r>
        <w:t>ish</w:t>
      </w:r>
      <w:r>
        <w:rPr>
          <w:spacing w:val="-1"/>
        </w:rPr>
        <w:t>er</w:t>
      </w:r>
      <w:r>
        <w:rPr>
          <w:spacing w:val="3"/>
        </w:rPr>
        <w:t>i</w:t>
      </w:r>
      <w:r>
        <w:rPr>
          <w:spacing w:val="-1"/>
        </w:rPr>
        <w:t>e</w:t>
      </w:r>
      <w:r>
        <w:t>s H</w:t>
      </w:r>
      <w:r>
        <w:rPr>
          <w:spacing w:val="3"/>
        </w:rPr>
        <w:t>i</w:t>
      </w:r>
      <w:r>
        <w:rPr>
          <w:spacing w:val="-2"/>
        </w:rPr>
        <w:t>g</w:t>
      </w:r>
      <w:r>
        <w:t>h</w:t>
      </w:r>
      <w:r>
        <w:rPr>
          <w:spacing w:val="3"/>
        </w:rPr>
        <w:t>l</w:t>
      </w:r>
      <w:r>
        <w:t>y</w:t>
      </w:r>
      <w:r>
        <w:rPr>
          <w:spacing w:val="-5"/>
        </w:rPr>
        <w:t xml:space="preserve"> </w:t>
      </w:r>
      <w:r>
        <w:t>M</w:t>
      </w:r>
      <w:r>
        <w:rPr>
          <w:spacing w:val="3"/>
        </w:rPr>
        <w:t>i</w:t>
      </w:r>
      <w:r>
        <w:rPr>
          <w:spacing w:val="-2"/>
        </w:rPr>
        <w:t>g</w:t>
      </w:r>
      <w:r>
        <w:rPr>
          <w:spacing w:val="2"/>
        </w:rPr>
        <w:t>r</w:t>
      </w:r>
      <w:r>
        <w:rPr>
          <w:spacing w:val="-1"/>
        </w:rPr>
        <w:t>a</w:t>
      </w:r>
      <w:r>
        <w:t>to</w:t>
      </w:r>
      <w:r>
        <w:rPr>
          <w:spacing w:val="4"/>
        </w:rPr>
        <w:t>r</w:t>
      </w:r>
      <w:r>
        <w:t>y</w:t>
      </w:r>
      <w:r>
        <w:rPr>
          <w:spacing w:val="-5"/>
        </w:rPr>
        <w:t xml:space="preserve"> </w:t>
      </w:r>
      <w:r>
        <w:rPr>
          <w:spacing w:val="1"/>
        </w:rPr>
        <w:t>S</w:t>
      </w:r>
      <w:r>
        <w:t>p</w:t>
      </w:r>
      <w:r>
        <w:rPr>
          <w:spacing w:val="-1"/>
        </w:rPr>
        <w:t>ec</w:t>
      </w:r>
      <w:r>
        <w:t>i</w:t>
      </w:r>
      <w:r>
        <w:rPr>
          <w:spacing w:val="-1"/>
        </w:rPr>
        <w:t>e</w:t>
      </w:r>
      <w:r>
        <w:t>s</w:t>
      </w:r>
      <w:r>
        <w:rPr>
          <w:spacing w:val="3"/>
        </w:rPr>
        <w:t xml:space="preserve"> </w:t>
      </w:r>
      <w:r>
        <w:rPr>
          <w:spacing w:val="-1"/>
        </w:rPr>
        <w:t>a</w:t>
      </w:r>
      <w:r>
        <w:t xml:space="preserve">nd </w:t>
      </w:r>
      <w:r>
        <w:rPr>
          <w:spacing w:val="1"/>
        </w:rPr>
        <w:t>P</w:t>
      </w:r>
      <w:r>
        <w:rPr>
          <w:spacing w:val="-1"/>
        </w:rPr>
        <w:t>r</w:t>
      </w:r>
      <w:r>
        <w:t>ot</w:t>
      </w:r>
      <w:r>
        <w:rPr>
          <w:spacing w:val="-1"/>
        </w:rPr>
        <w:t>ec</w:t>
      </w:r>
      <w:r>
        <w:t>t</w:t>
      </w:r>
      <w:r>
        <w:rPr>
          <w:spacing w:val="-1"/>
        </w:rPr>
        <w:t>e</w:t>
      </w:r>
      <w:r>
        <w:t xml:space="preserve">d </w:t>
      </w:r>
      <w:r>
        <w:rPr>
          <w:spacing w:val="1"/>
        </w:rPr>
        <w:t>S</w:t>
      </w:r>
      <w:r>
        <w:t>p</w:t>
      </w:r>
      <w:r>
        <w:rPr>
          <w:spacing w:val="-1"/>
        </w:rPr>
        <w:t>ec</w:t>
      </w:r>
      <w:r>
        <w:t>i</w:t>
      </w:r>
      <w:r>
        <w:rPr>
          <w:spacing w:val="-1"/>
        </w:rPr>
        <w:t>e</w:t>
      </w:r>
      <w:r>
        <w:t>s)</w:t>
      </w:r>
      <w:r>
        <w:rPr>
          <w:spacing w:val="-1"/>
        </w:rPr>
        <w:t xml:space="preserve"> </w:t>
      </w:r>
      <w:r>
        <w:t>in</w:t>
      </w:r>
      <w:r>
        <w:rPr>
          <w:spacing w:val="-1"/>
        </w:rPr>
        <w:t>c</w:t>
      </w:r>
      <w:r>
        <w:t>ludi</w:t>
      </w:r>
      <w:r>
        <w:rPr>
          <w:spacing w:val="2"/>
        </w:rPr>
        <w:t>n</w:t>
      </w:r>
      <w:r>
        <w:t>g</w:t>
      </w:r>
      <w:r>
        <w:rPr>
          <w:spacing w:val="-2"/>
        </w:rPr>
        <w:t xml:space="preserve"> </w:t>
      </w:r>
      <w:r>
        <w:t>th</w:t>
      </w:r>
      <w:r>
        <w:rPr>
          <w:spacing w:val="-1"/>
        </w:rPr>
        <w:t>e</w:t>
      </w:r>
      <w:r>
        <w:t>ir</w:t>
      </w:r>
      <w:r>
        <w:rPr>
          <w:spacing w:val="2"/>
        </w:rPr>
        <w:t xml:space="preserve"> </w:t>
      </w:r>
      <w:r>
        <w:t>biolo</w:t>
      </w:r>
      <w:r>
        <w:rPr>
          <w:spacing w:val="2"/>
        </w:rPr>
        <w:t>g</w:t>
      </w:r>
      <w:r>
        <w:rPr>
          <w:spacing w:val="-5"/>
        </w:rPr>
        <w:t>y</w:t>
      </w:r>
      <w:r>
        <w:t xml:space="preserve">, </w:t>
      </w:r>
      <w:r>
        <w:rPr>
          <w:spacing w:val="-1"/>
        </w:rPr>
        <w:t>f</w:t>
      </w:r>
      <w:r>
        <w:t xml:space="preserve">ood </w:t>
      </w:r>
      <w:r>
        <w:rPr>
          <w:spacing w:val="2"/>
        </w:rPr>
        <w:t>w</w:t>
      </w:r>
      <w:r>
        <w:rPr>
          <w:spacing w:val="-1"/>
        </w:rPr>
        <w:t>e</w:t>
      </w:r>
      <w:r>
        <w:t xml:space="preserve">b </w:t>
      </w:r>
      <w:r>
        <w:rPr>
          <w:spacing w:val="5"/>
        </w:rPr>
        <w:t>d</w:t>
      </w:r>
      <w:r>
        <w:rPr>
          <w:spacing w:val="-5"/>
        </w:rPr>
        <w:t>y</w:t>
      </w:r>
      <w:r>
        <w:t>n</w:t>
      </w:r>
      <w:r>
        <w:rPr>
          <w:spacing w:val="1"/>
        </w:rPr>
        <w:t>a</w:t>
      </w:r>
      <w:r>
        <w:t>mi</w:t>
      </w:r>
      <w:r>
        <w:rPr>
          <w:spacing w:val="-1"/>
        </w:rPr>
        <w:t>c</w:t>
      </w:r>
      <w:r>
        <w:t xml:space="preserve">s, </w:t>
      </w:r>
      <w:r>
        <w:rPr>
          <w:spacing w:val="-1"/>
        </w:rPr>
        <w:t>a</w:t>
      </w:r>
      <w:r>
        <w:t xml:space="preserve">nd </w:t>
      </w:r>
      <w:r>
        <w:rPr>
          <w:spacing w:val="-1"/>
        </w:rPr>
        <w:t>ec</w:t>
      </w:r>
      <w:r>
        <w:t>onomic</w:t>
      </w:r>
      <w:r>
        <w:rPr>
          <w:spacing w:val="-1"/>
        </w:rPr>
        <w:t xml:space="preserve"> a</w:t>
      </w:r>
      <w:r>
        <w:t>nd</w:t>
      </w:r>
      <w:r>
        <w:rPr>
          <w:spacing w:val="2"/>
        </w:rPr>
        <w:t xml:space="preserve"> </w:t>
      </w:r>
      <w:r>
        <w:t>so</w:t>
      </w:r>
      <w:r>
        <w:rPr>
          <w:spacing w:val="-1"/>
        </w:rPr>
        <w:t>c</w:t>
      </w:r>
      <w:r>
        <w:t>i</w:t>
      </w:r>
      <w:r>
        <w:rPr>
          <w:spacing w:val="-1"/>
        </w:rPr>
        <w:t>a</w:t>
      </w:r>
      <w:r>
        <w:t xml:space="preserve">l </w:t>
      </w:r>
      <w:r>
        <w:rPr>
          <w:spacing w:val="-1"/>
        </w:rPr>
        <w:t>c</w:t>
      </w:r>
      <w:r>
        <w:t>h</w:t>
      </w:r>
      <w:r>
        <w:rPr>
          <w:spacing w:val="-1"/>
        </w:rPr>
        <w:t>a</w:t>
      </w:r>
      <w:r>
        <w:rPr>
          <w:spacing w:val="2"/>
        </w:rPr>
        <w:t>r</w:t>
      </w:r>
      <w:r>
        <w:rPr>
          <w:spacing w:val="-1"/>
        </w:rPr>
        <w:t>ac</w:t>
      </w:r>
      <w:r>
        <w:t>t</w:t>
      </w:r>
      <w:r>
        <w:rPr>
          <w:spacing w:val="1"/>
        </w:rPr>
        <w:t>e</w:t>
      </w:r>
      <w:r>
        <w:rPr>
          <w:spacing w:val="-1"/>
        </w:rPr>
        <w:t>r</w:t>
      </w:r>
      <w:r>
        <w:t>isti</w:t>
      </w:r>
      <w:r>
        <w:rPr>
          <w:spacing w:val="-1"/>
        </w:rPr>
        <w:t>c</w:t>
      </w:r>
      <w:r>
        <w:t>s of</w:t>
      </w:r>
      <w:r>
        <w:rPr>
          <w:spacing w:val="-1"/>
        </w:rPr>
        <w:t xml:space="preserve"> </w:t>
      </w:r>
      <w:r>
        <w:t xml:space="preserve">the </w:t>
      </w:r>
      <w:r>
        <w:rPr>
          <w:spacing w:val="-1"/>
        </w:rPr>
        <w:t>f</w:t>
      </w:r>
      <w:r>
        <w:t>ish</w:t>
      </w:r>
      <w:r>
        <w:rPr>
          <w:spacing w:val="-1"/>
        </w:rPr>
        <w:t>er</w:t>
      </w:r>
      <w:r>
        <w:t>i</w:t>
      </w:r>
      <w:r>
        <w:rPr>
          <w:spacing w:val="-1"/>
        </w:rPr>
        <w:t>e</w:t>
      </w:r>
      <w:r>
        <w:t xml:space="preserve">s </w:t>
      </w:r>
      <w:r>
        <w:rPr>
          <w:spacing w:val="-1"/>
        </w:rPr>
        <w:t>a</w:t>
      </w:r>
      <w:r>
        <w:t xml:space="preserve">nd </w:t>
      </w:r>
      <w:r>
        <w:rPr>
          <w:spacing w:val="2"/>
        </w:rPr>
        <w:t>h</w:t>
      </w:r>
      <w:r>
        <w:rPr>
          <w:spacing w:val="-1"/>
        </w:rPr>
        <w:t>a</w:t>
      </w:r>
      <w:r>
        <w:t>bit</w:t>
      </w:r>
      <w:r>
        <w:rPr>
          <w:spacing w:val="-1"/>
        </w:rPr>
        <w:t>a</w:t>
      </w:r>
      <w:r>
        <w:t xml:space="preserve">ts </w:t>
      </w:r>
      <w:r>
        <w:rPr>
          <w:spacing w:val="-1"/>
        </w:rPr>
        <w:t>e</w:t>
      </w:r>
      <w:r>
        <w:t>ss</w:t>
      </w:r>
      <w:r>
        <w:rPr>
          <w:spacing w:val="-1"/>
        </w:rPr>
        <w:t>e</w:t>
      </w:r>
      <w:r>
        <w:t>nti</w:t>
      </w:r>
      <w:r>
        <w:rPr>
          <w:spacing w:val="-1"/>
        </w:rPr>
        <w:t>a</w:t>
      </w:r>
      <w:r>
        <w:t>l to th</w:t>
      </w:r>
      <w:r>
        <w:rPr>
          <w:spacing w:val="-1"/>
        </w:rPr>
        <w:t>e</w:t>
      </w:r>
      <w:r>
        <w:t>ir</w:t>
      </w:r>
      <w:r>
        <w:rPr>
          <w:spacing w:val="-1"/>
        </w:rPr>
        <w:t xml:space="preserve"> </w:t>
      </w:r>
      <w:r>
        <w:t>su</w:t>
      </w:r>
      <w:r>
        <w:rPr>
          <w:spacing w:val="-1"/>
        </w:rPr>
        <w:t>r</w:t>
      </w:r>
      <w:r>
        <w:t>viv</w:t>
      </w:r>
      <w:r>
        <w:rPr>
          <w:spacing w:val="-1"/>
        </w:rPr>
        <w:t>a</w:t>
      </w:r>
      <w:r>
        <w:t>l. The</w:t>
      </w:r>
      <w:r>
        <w:rPr>
          <w:spacing w:val="-1"/>
        </w:rPr>
        <w:t xml:space="preserve"> F</w:t>
      </w:r>
      <w:r>
        <w:t>EP</w:t>
      </w:r>
      <w:r>
        <w:rPr>
          <w:spacing w:val="1"/>
        </w:rPr>
        <w:t xml:space="preserve"> </w:t>
      </w:r>
      <w:r>
        <w:t>th</w:t>
      </w:r>
      <w:r>
        <w:rPr>
          <w:spacing w:val="-1"/>
        </w:rPr>
        <w:t>e</w:t>
      </w:r>
      <w:r>
        <w:rPr>
          <w:spacing w:val="2"/>
        </w:rPr>
        <w:t>r</w:t>
      </w:r>
      <w:r>
        <w:rPr>
          <w:spacing w:val="-1"/>
        </w:rPr>
        <w:t>ef</w:t>
      </w:r>
      <w:r>
        <w:t>o</w:t>
      </w:r>
      <w:r>
        <w:rPr>
          <w:spacing w:val="2"/>
        </w:rPr>
        <w:t>r</w:t>
      </w:r>
      <w:r>
        <w:t>e</w:t>
      </w:r>
      <w:r>
        <w:rPr>
          <w:spacing w:val="-1"/>
        </w:rPr>
        <w:t xml:space="preserve"> </w:t>
      </w:r>
      <w:r>
        <w:t>s</w:t>
      </w:r>
      <w:r>
        <w:rPr>
          <w:spacing w:val="-1"/>
        </w:rPr>
        <w:t>er</w:t>
      </w:r>
      <w:r>
        <w:rPr>
          <w:spacing w:val="2"/>
        </w:rPr>
        <w:t>v</w:t>
      </w:r>
      <w:r>
        <w:rPr>
          <w:spacing w:val="-1"/>
        </w:rPr>
        <w:t>e</w:t>
      </w:r>
      <w:r>
        <w:t xml:space="preserve">s </w:t>
      </w:r>
      <w:r>
        <w:rPr>
          <w:spacing w:val="1"/>
        </w:rPr>
        <w:t>a</w:t>
      </w:r>
      <w:r>
        <w:t>s a</w:t>
      </w:r>
      <w:r>
        <w:rPr>
          <w:spacing w:val="-1"/>
        </w:rPr>
        <w:t xml:space="preserve"> </w:t>
      </w:r>
      <w:r>
        <w:t>sou</w:t>
      </w:r>
      <w:r>
        <w:rPr>
          <w:spacing w:val="-1"/>
        </w:rPr>
        <w:t>rc</w:t>
      </w:r>
      <w:r>
        <w:t>e</w:t>
      </w:r>
      <w:r>
        <w:rPr>
          <w:spacing w:val="-1"/>
        </w:rPr>
        <w:t xml:space="preserve"> </w:t>
      </w:r>
      <w:r>
        <w:t>d</w:t>
      </w:r>
      <w:r>
        <w:rPr>
          <w:spacing w:val="2"/>
        </w:rPr>
        <w:t>o</w:t>
      </w:r>
      <w:r>
        <w:rPr>
          <w:spacing w:val="-1"/>
        </w:rPr>
        <w:t>c</w:t>
      </w:r>
      <w:r>
        <w:t>um</w:t>
      </w:r>
      <w:r>
        <w:rPr>
          <w:spacing w:val="-1"/>
        </w:rPr>
        <w:t>e</w:t>
      </w:r>
      <w:r>
        <w:t>nt and p</w:t>
      </w:r>
      <w:r>
        <w:rPr>
          <w:spacing w:val="-1"/>
        </w:rPr>
        <w:t>re</w:t>
      </w:r>
      <w:r>
        <w:rPr>
          <w:spacing w:val="3"/>
        </w:rPr>
        <w:t>s</w:t>
      </w:r>
      <w:r>
        <w:rPr>
          <w:spacing w:val="-1"/>
        </w:rPr>
        <w:t>e</w:t>
      </w:r>
      <w:r>
        <w:t>nts mo</w:t>
      </w:r>
      <w:r>
        <w:rPr>
          <w:spacing w:val="-1"/>
        </w:rPr>
        <w:t>r</w:t>
      </w:r>
      <w:r>
        <w:t>e</w:t>
      </w:r>
      <w:r>
        <w:rPr>
          <w:spacing w:val="-1"/>
        </w:rPr>
        <w:t xml:space="preserve"> c</w:t>
      </w:r>
      <w:r>
        <w:t>ompl</w:t>
      </w:r>
      <w:r>
        <w:rPr>
          <w:spacing w:val="-1"/>
        </w:rPr>
        <w:t>e</w:t>
      </w:r>
      <w:r>
        <w:t>te</w:t>
      </w:r>
      <w:r>
        <w:rPr>
          <w:spacing w:val="-1"/>
        </w:rPr>
        <w:t xml:space="preserve"> a</w:t>
      </w:r>
      <w:r>
        <w:t xml:space="preserve">nd </w:t>
      </w:r>
      <w:r>
        <w:rPr>
          <w:spacing w:val="2"/>
        </w:rPr>
        <w:t>d</w:t>
      </w:r>
      <w:r>
        <w:rPr>
          <w:spacing w:val="-1"/>
        </w:rPr>
        <w:t>e</w:t>
      </w:r>
      <w:r>
        <w:t>t</w:t>
      </w:r>
      <w:r>
        <w:rPr>
          <w:spacing w:val="-1"/>
        </w:rPr>
        <w:t>a</w:t>
      </w:r>
      <w:r>
        <w:t>i</w:t>
      </w:r>
      <w:r>
        <w:rPr>
          <w:spacing w:val="3"/>
        </w:rPr>
        <w:t>l</w:t>
      </w:r>
      <w:r>
        <w:rPr>
          <w:spacing w:val="-1"/>
        </w:rPr>
        <w:t>e</w:t>
      </w:r>
      <w:r>
        <w:t>d in</w:t>
      </w:r>
      <w:r>
        <w:rPr>
          <w:spacing w:val="-1"/>
        </w:rPr>
        <w:t>f</w:t>
      </w:r>
      <w:r>
        <w:t>o</w:t>
      </w:r>
      <w:r>
        <w:rPr>
          <w:spacing w:val="-1"/>
        </w:rPr>
        <w:t>r</w:t>
      </w:r>
      <w:r>
        <w:t>m</w:t>
      </w:r>
      <w:r>
        <w:rPr>
          <w:spacing w:val="-1"/>
        </w:rPr>
        <w:t>a</w:t>
      </w:r>
      <w:r>
        <w:t>tion d</w:t>
      </w:r>
      <w:r>
        <w:rPr>
          <w:spacing w:val="-1"/>
        </w:rPr>
        <w:t>e</w:t>
      </w:r>
      <w:r>
        <w:t>s</w:t>
      </w:r>
      <w:r>
        <w:rPr>
          <w:spacing w:val="1"/>
        </w:rPr>
        <w:t>c</w:t>
      </w:r>
      <w:r>
        <w:rPr>
          <w:spacing w:val="-1"/>
        </w:rPr>
        <w:t>r</w:t>
      </w:r>
      <w:r>
        <w:t>ibing</w:t>
      </w:r>
      <w:r>
        <w:rPr>
          <w:spacing w:val="-2"/>
        </w:rPr>
        <w:t xml:space="preserve"> </w:t>
      </w:r>
      <w:r>
        <w:t>the</w:t>
      </w:r>
      <w:r>
        <w:rPr>
          <w:spacing w:val="-1"/>
        </w:rPr>
        <w:t xml:space="preserve"> </w:t>
      </w:r>
      <w:r>
        <w:rPr>
          <w:spacing w:val="1"/>
        </w:rPr>
        <w:t>S</w:t>
      </w:r>
      <w:r>
        <w:t>outh Atl</w:t>
      </w:r>
      <w:r>
        <w:rPr>
          <w:spacing w:val="-1"/>
        </w:rPr>
        <w:t>a</w:t>
      </w:r>
      <w:r>
        <w:t>ntic</w:t>
      </w:r>
      <w:r>
        <w:rPr>
          <w:spacing w:val="-1"/>
        </w:rPr>
        <w:t xml:space="preserve"> </w:t>
      </w:r>
      <w:r>
        <w:rPr>
          <w:spacing w:val="1"/>
        </w:rPr>
        <w:t>e</w:t>
      </w:r>
      <w:r>
        <w:rPr>
          <w:spacing w:val="-1"/>
        </w:rPr>
        <w:t>c</w:t>
      </w:r>
      <w:r>
        <w:t>os</w:t>
      </w:r>
      <w:r>
        <w:rPr>
          <w:spacing w:val="-5"/>
        </w:rPr>
        <w:t>y</w:t>
      </w:r>
      <w:r>
        <w:rPr>
          <w:spacing w:val="3"/>
        </w:rPr>
        <w:t>s</w:t>
      </w:r>
      <w:r>
        <w:t>t</w:t>
      </w:r>
      <w:r>
        <w:rPr>
          <w:spacing w:val="-1"/>
        </w:rPr>
        <w:t>e</w:t>
      </w:r>
      <w:r>
        <w:t xml:space="preserve">m </w:t>
      </w:r>
      <w:r>
        <w:rPr>
          <w:spacing w:val="-1"/>
        </w:rPr>
        <w:t>a</w:t>
      </w:r>
      <w:r>
        <w:t>nd the</w:t>
      </w:r>
      <w:r>
        <w:rPr>
          <w:spacing w:val="-1"/>
        </w:rPr>
        <w:t xml:space="preserve"> </w:t>
      </w:r>
      <w:r>
        <w:t>imp</w:t>
      </w:r>
      <w:r>
        <w:rPr>
          <w:spacing w:val="1"/>
        </w:rPr>
        <w:t>a</w:t>
      </w:r>
      <w:r>
        <w:rPr>
          <w:spacing w:val="-1"/>
        </w:rPr>
        <w:t>c</w:t>
      </w:r>
      <w:r>
        <w:t>t of</w:t>
      </w:r>
      <w:r>
        <w:rPr>
          <w:spacing w:val="-1"/>
        </w:rPr>
        <w:t xml:space="preserve"> f</w:t>
      </w:r>
      <w:r>
        <w:t>ish</w:t>
      </w:r>
      <w:r>
        <w:rPr>
          <w:spacing w:val="-1"/>
        </w:rPr>
        <w:t>er</w:t>
      </w:r>
      <w:r>
        <w:t>i</w:t>
      </w:r>
      <w:r>
        <w:rPr>
          <w:spacing w:val="-1"/>
        </w:rPr>
        <w:t>e</w:t>
      </w:r>
      <w:r>
        <w:t>s on the</w:t>
      </w:r>
      <w:r>
        <w:rPr>
          <w:spacing w:val="-1"/>
        </w:rPr>
        <w:t xml:space="preserve"> e</w:t>
      </w:r>
      <w:r>
        <w:t>nvi</w:t>
      </w:r>
      <w:r>
        <w:rPr>
          <w:spacing w:val="-1"/>
        </w:rPr>
        <w:t>r</w:t>
      </w:r>
      <w:r>
        <w:t>on</w:t>
      </w:r>
      <w:r>
        <w:rPr>
          <w:spacing w:val="3"/>
        </w:rPr>
        <w:t>m</w:t>
      </w:r>
      <w:r>
        <w:rPr>
          <w:spacing w:val="-1"/>
        </w:rPr>
        <w:t>e</w:t>
      </w:r>
      <w:r>
        <w:t xml:space="preserve">nt. This </w:t>
      </w:r>
      <w:r>
        <w:rPr>
          <w:spacing w:val="-1"/>
        </w:rPr>
        <w:t>F</w:t>
      </w:r>
      <w:r>
        <w:t>EP</w:t>
      </w:r>
      <w:r>
        <w:rPr>
          <w:spacing w:val="1"/>
        </w:rPr>
        <w:t xml:space="preserve"> </w:t>
      </w:r>
      <w:r>
        <w:t>upd</w:t>
      </w:r>
      <w:r>
        <w:rPr>
          <w:spacing w:val="-1"/>
        </w:rPr>
        <w:t>a</w:t>
      </w:r>
      <w:r>
        <w:t>t</w:t>
      </w:r>
      <w:r>
        <w:rPr>
          <w:spacing w:val="-1"/>
        </w:rPr>
        <w:t>e</w:t>
      </w:r>
      <w:r>
        <w:t>d in</w:t>
      </w:r>
      <w:r>
        <w:rPr>
          <w:spacing w:val="2"/>
        </w:rPr>
        <w:t>f</w:t>
      </w:r>
      <w:r>
        <w:t>o</w:t>
      </w:r>
      <w:r>
        <w:rPr>
          <w:spacing w:val="-1"/>
        </w:rPr>
        <w:t>r</w:t>
      </w:r>
      <w:r>
        <w:t>m</w:t>
      </w:r>
      <w:r>
        <w:rPr>
          <w:spacing w:val="-1"/>
        </w:rPr>
        <w:t>a</w:t>
      </w:r>
      <w:r>
        <w:t>tion on d</w:t>
      </w:r>
      <w:r>
        <w:rPr>
          <w:spacing w:val="-1"/>
        </w:rPr>
        <w:t>e</w:t>
      </w:r>
      <w:r>
        <w:t>si</w:t>
      </w:r>
      <w:r>
        <w:rPr>
          <w:spacing w:val="-2"/>
        </w:rPr>
        <w:t>g</w:t>
      </w:r>
      <w:r>
        <w:rPr>
          <w:spacing w:val="2"/>
        </w:rPr>
        <w:t>n</w:t>
      </w:r>
      <w:r>
        <w:rPr>
          <w:spacing w:val="-1"/>
        </w:rPr>
        <w:t>a</w:t>
      </w:r>
      <w:r>
        <w:t>t</w:t>
      </w:r>
      <w:r>
        <w:rPr>
          <w:spacing w:val="-1"/>
        </w:rPr>
        <w:t>e</w:t>
      </w:r>
      <w:r>
        <w:t>d</w:t>
      </w:r>
      <w:r>
        <w:rPr>
          <w:spacing w:val="2"/>
        </w:rPr>
        <w:t xml:space="preserve"> </w:t>
      </w:r>
      <w:r>
        <w:t>Ess</w:t>
      </w:r>
      <w:r>
        <w:rPr>
          <w:spacing w:val="-1"/>
        </w:rPr>
        <w:t>e</w:t>
      </w:r>
      <w:r>
        <w:t>nti</w:t>
      </w:r>
      <w:r>
        <w:rPr>
          <w:spacing w:val="-1"/>
        </w:rPr>
        <w:t>a</w:t>
      </w:r>
      <w:r>
        <w:t xml:space="preserve">l </w:t>
      </w:r>
      <w:r>
        <w:rPr>
          <w:spacing w:val="-1"/>
        </w:rPr>
        <w:t>F</w:t>
      </w:r>
      <w:r>
        <w:t>ish H</w:t>
      </w:r>
      <w:r>
        <w:rPr>
          <w:spacing w:val="-1"/>
        </w:rPr>
        <w:t>a</w:t>
      </w:r>
      <w:r>
        <w:t>bit</w:t>
      </w:r>
      <w:r>
        <w:rPr>
          <w:spacing w:val="-1"/>
        </w:rPr>
        <w:t>a</w:t>
      </w:r>
      <w:r>
        <w:t xml:space="preserve">t </w:t>
      </w:r>
      <w:r>
        <w:rPr>
          <w:spacing w:val="-1"/>
        </w:rPr>
        <w:t>(</w:t>
      </w:r>
      <w:r>
        <w:rPr>
          <w:spacing w:val="2"/>
        </w:rPr>
        <w:t>E</w:t>
      </w:r>
      <w:r>
        <w:rPr>
          <w:spacing w:val="-1"/>
        </w:rPr>
        <w:t>F</w:t>
      </w:r>
      <w:r>
        <w:t xml:space="preserve">H) </w:t>
      </w:r>
      <w:r>
        <w:rPr>
          <w:spacing w:val="-1"/>
        </w:rPr>
        <w:t>a</w:t>
      </w:r>
      <w:r>
        <w:t>nd E</w:t>
      </w:r>
      <w:r>
        <w:rPr>
          <w:spacing w:val="-1"/>
        </w:rPr>
        <w:t>F</w:t>
      </w:r>
      <w:r>
        <w:rPr>
          <w:spacing w:val="2"/>
        </w:rPr>
        <w:t>H</w:t>
      </w:r>
      <w:r>
        <w:rPr>
          <w:spacing w:val="-1"/>
        </w:rPr>
        <w:t>-</w:t>
      </w:r>
      <w:r>
        <w:t>H</w:t>
      </w:r>
      <w:r>
        <w:rPr>
          <w:spacing w:val="-1"/>
        </w:rPr>
        <w:t>a</w:t>
      </w:r>
      <w:r>
        <w:t>bit</w:t>
      </w:r>
      <w:r>
        <w:rPr>
          <w:spacing w:val="-1"/>
        </w:rPr>
        <w:t>a</w:t>
      </w:r>
      <w:r>
        <w:t xml:space="preserve">t </w:t>
      </w:r>
      <w:r>
        <w:rPr>
          <w:spacing w:val="2"/>
        </w:rPr>
        <w:t>A</w:t>
      </w:r>
      <w:r>
        <w:rPr>
          <w:spacing w:val="-1"/>
        </w:rPr>
        <w:t>rea</w:t>
      </w:r>
      <w:r>
        <w:t xml:space="preserve">s </w:t>
      </w:r>
      <w:r>
        <w:rPr>
          <w:spacing w:val="2"/>
        </w:rPr>
        <w:t>o</w:t>
      </w:r>
      <w:r>
        <w:t>f</w:t>
      </w:r>
      <w:r>
        <w:rPr>
          <w:spacing w:val="-1"/>
        </w:rPr>
        <w:t xml:space="preserve"> </w:t>
      </w:r>
      <w:r>
        <w:rPr>
          <w:spacing w:val="1"/>
        </w:rPr>
        <w:t>P</w:t>
      </w:r>
      <w:r>
        <w:rPr>
          <w:spacing w:val="-1"/>
        </w:rPr>
        <w:t>ar</w:t>
      </w:r>
      <w:r>
        <w:t>ti</w:t>
      </w:r>
      <w:r>
        <w:rPr>
          <w:spacing w:val="-1"/>
        </w:rPr>
        <w:t>c</w:t>
      </w:r>
      <w:r>
        <w:t>ul</w:t>
      </w:r>
      <w:r>
        <w:rPr>
          <w:spacing w:val="-1"/>
        </w:rPr>
        <w:t>a</w:t>
      </w:r>
      <w:r>
        <w:t>r</w:t>
      </w:r>
      <w:r>
        <w:rPr>
          <w:spacing w:val="-1"/>
        </w:rPr>
        <w:t xml:space="preserve"> </w:t>
      </w:r>
      <w:r>
        <w:rPr>
          <w:spacing w:val="1"/>
        </w:rPr>
        <w:t>C</w:t>
      </w:r>
      <w:r>
        <w:t>on</w:t>
      </w:r>
      <w:r>
        <w:rPr>
          <w:spacing w:val="1"/>
        </w:rPr>
        <w:t>c</w:t>
      </w:r>
      <w:r>
        <w:rPr>
          <w:spacing w:val="-1"/>
        </w:rPr>
        <w:t>er</w:t>
      </w:r>
      <w:r>
        <w:t xml:space="preserve">n; </w:t>
      </w:r>
      <w:r>
        <w:rPr>
          <w:spacing w:val="-1"/>
        </w:rPr>
        <w:t>e</w:t>
      </w:r>
      <w:r>
        <w:rPr>
          <w:spacing w:val="2"/>
        </w:rPr>
        <w:t>x</w:t>
      </w:r>
      <w:r>
        <w:t>p</w:t>
      </w:r>
      <w:r>
        <w:rPr>
          <w:spacing w:val="-1"/>
        </w:rPr>
        <w:t>a</w:t>
      </w:r>
      <w:r>
        <w:t>nded d</w:t>
      </w:r>
      <w:r>
        <w:rPr>
          <w:spacing w:val="-1"/>
        </w:rPr>
        <w:t>e</w:t>
      </w:r>
      <w:r>
        <w:t>s</w:t>
      </w:r>
      <w:r>
        <w:rPr>
          <w:spacing w:val="-1"/>
        </w:rPr>
        <w:t>cr</w:t>
      </w:r>
      <w:r>
        <w:t>iptions of</w:t>
      </w:r>
      <w:r>
        <w:rPr>
          <w:spacing w:val="-1"/>
        </w:rPr>
        <w:t xml:space="preserve"> </w:t>
      </w:r>
      <w:r>
        <w:t>biolo</w:t>
      </w:r>
      <w:r>
        <w:rPr>
          <w:spacing w:val="2"/>
        </w:rPr>
        <w:t>g</w:t>
      </w:r>
      <w:r>
        <w:t>y</w:t>
      </w:r>
      <w:r>
        <w:rPr>
          <w:spacing w:val="-5"/>
        </w:rPr>
        <w:t xml:space="preserve"> </w:t>
      </w:r>
      <w:r>
        <w:rPr>
          <w:spacing w:val="-1"/>
        </w:rPr>
        <w:t>a</w:t>
      </w:r>
      <w:r>
        <w:t>nd s</w:t>
      </w:r>
      <w:r>
        <w:rPr>
          <w:spacing w:val="3"/>
        </w:rPr>
        <w:t>t</w:t>
      </w:r>
      <w:r>
        <w:rPr>
          <w:spacing w:val="-1"/>
        </w:rPr>
        <w:t>a</w:t>
      </w:r>
      <w:r>
        <w:t>tus of</w:t>
      </w:r>
      <w:r>
        <w:rPr>
          <w:spacing w:val="-1"/>
        </w:rPr>
        <w:t xml:space="preserve"> </w:t>
      </w:r>
      <w:r>
        <w:t>m</w:t>
      </w:r>
      <w:r>
        <w:rPr>
          <w:spacing w:val="-1"/>
        </w:rPr>
        <w:t>a</w:t>
      </w:r>
      <w:r>
        <w:t>n</w:t>
      </w:r>
      <w:r>
        <w:rPr>
          <w:spacing w:val="1"/>
        </w:rPr>
        <w:t>a</w:t>
      </w:r>
      <w:r>
        <w:rPr>
          <w:spacing w:val="-2"/>
        </w:rPr>
        <w:t>g</w:t>
      </w:r>
      <w:r>
        <w:rPr>
          <w:spacing w:val="1"/>
        </w:rPr>
        <w:t>e</w:t>
      </w:r>
      <w:r>
        <w:t>d sp</w:t>
      </w:r>
      <w:r>
        <w:rPr>
          <w:spacing w:val="-1"/>
        </w:rPr>
        <w:t>ec</w:t>
      </w:r>
      <w:r>
        <w:t>i</w:t>
      </w:r>
      <w:r>
        <w:rPr>
          <w:spacing w:val="-1"/>
        </w:rPr>
        <w:t>e</w:t>
      </w:r>
      <w:r>
        <w:t>s; p</w:t>
      </w:r>
      <w:r>
        <w:rPr>
          <w:spacing w:val="-1"/>
        </w:rPr>
        <w:t>re</w:t>
      </w:r>
      <w:r>
        <w:rPr>
          <w:spacing w:val="3"/>
        </w:rPr>
        <w:t>s</w:t>
      </w:r>
      <w:r>
        <w:rPr>
          <w:spacing w:val="-1"/>
        </w:rPr>
        <w:t>e</w:t>
      </w:r>
      <w:r>
        <w:t>nted in</w:t>
      </w:r>
      <w:r>
        <w:rPr>
          <w:spacing w:val="-1"/>
        </w:rPr>
        <w:t>f</w:t>
      </w:r>
      <w:r>
        <w:t>o</w:t>
      </w:r>
      <w:r>
        <w:rPr>
          <w:spacing w:val="-1"/>
        </w:rPr>
        <w:t>r</w:t>
      </w:r>
      <w:r>
        <w:t>m</w:t>
      </w:r>
      <w:r>
        <w:rPr>
          <w:spacing w:val="1"/>
        </w:rPr>
        <w:t>a</w:t>
      </w:r>
      <w:r>
        <w:t>tion th</w:t>
      </w:r>
      <w:r>
        <w:rPr>
          <w:spacing w:val="-1"/>
        </w:rPr>
        <w:t>a</w:t>
      </w:r>
      <w:r>
        <w:t>t will suppo</w:t>
      </w:r>
      <w:r>
        <w:rPr>
          <w:spacing w:val="-1"/>
        </w:rPr>
        <w:t>r</w:t>
      </w:r>
      <w:r>
        <w:t xml:space="preserve">t </w:t>
      </w:r>
      <w:r>
        <w:rPr>
          <w:spacing w:val="-1"/>
        </w:rPr>
        <w:t>ec</w:t>
      </w:r>
      <w:r>
        <w:t>o</w:t>
      </w:r>
      <w:r>
        <w:rPr>
          <w:spacing w:val="3"/>
        </w:rPr>
        <w:t>s</w:t>
      </w:r>
      <w:r>
        <w:rPr>
          <w:spacing w:val="-5"/>
        </w:rPr>
        <w:t>y</w:t>
      </w:r>
      <w:r>
        <w:t>st</w:t>
      </w:r>
      <w:r>
        <w:rPr>
          <w:spacing w:val="-1"/>
        </w:rPr>
        <w:t>e</w:t>
      </w:r>
      <w:r>
        <w:t xml:space="preserve">m </w:t>
      </w:r>
      <w:r>
        <w:rPr>
          <w:spacing w:val="-1"/>
        </w:rPr>
        <w:t>c</w:t>
      </w:r>
      <w:r>
        <w:t>onsid</w:t>
      </w:r>
      <w:r>
        <w:rPr>
          <w:spacing w:val="1"/>
        </w:rPr>
        <w:t>e</w:t>
      </w:r>
      <w:r>
        <w:rPr>
          <w:spacing w:val="-1"/>
        </w:rPr>
        <w:t>ra</w:t>
      </w:r>
      <w:r>
        <w:t xml:space="preserve">tions </w:t>
      </w:r>
      <w:r>
        <w:rPr>
          <w:spacing w:val="-1"/>
        </w:rPr>
        <w:t>f</w:t>
      </w:r>
      <w:r>
        <w:t>or</w:t>
      </w:r>
      <w:r>
        <w:rPr>
          <w:spacing w:val="2"/>
        </w:rPr>
        <w:t xml:space="preserve"> </w:t>
      </w:r>
      <w:r>
        <w:t>m</w:t>
      </w:r>
      <w:r>
        <w:rPr>
          <w:spacing w:val="-1"/>
        </w:rPr>
        <w:t>a</w:t>
      </w:r>
      <w:r>
        <w:t>n</w:t>
      </w:r>
      <w:r>
        <w:rPr>
          <w:spacing w:val="1"/>
        </w:rPr>
        <w:t>a</w:t>
      </w:r>
      <w:r>
        <w:rPr>
          <w:spacing w:val="-2"/>
        </w:rPr>
        <w:t>g</w:t>
      </w:r>
      <w:r>
        <w:rPr>
          <w:spacing w:val="-1"/>
        </w:rPr>
        <w:t>e</w:t>
      </w:r>
      <w:r>
        <w:t>d sp</w:t>
      </w:r>
      <w:r>
        <w:rPr>
          <w:spacing w:val="1"/>
        </w:rPr>
        <w:t>e</w:t>
      </w:r>
      <w:r>
        <w:rPr>
          <w:spacing w:val="-1"/>
        </w:rPr>
        <w:t>c</w:t>
      </w:r>
      <w:r>
        <w:t>i</w:t>
      </w:r>
      <w:r>
        <w:rPr>
          <w:spacing w:val="-1"/>
        </w:rPr>
        <w:t>e</w:t>
      </w:r>
      <w:r>
        <w:t xml:space="preserve">s; </w:t>
      </w:r>
      <w:r>
        <w:rPr>
          <w:spacing w:val="-1"/>
        </w:rPr>
        <w:t>a</w:t>
      </w:r>
      <w:r>
        <w:t>nd d</w:t>
      </w:r>
      <w:r>
        <w:rPr>
          <w:spacing w:val="-1"/>
        </w:rPr>
        <w:t>e</w:t>
      </w:r>
      <w:r>
        <w:t>s</w:t>
      </w:r>
      <w:r>
        <w:rPr>
          <w:spacing w:val="-1"/>
        </w:rPr>
        <w:t>cr</w:t>
      </w:r>
      <w:r>
        <w:t>ib</w:t>
      </w:r>
      <w:r>
        <w:rPr>
          <w:spacing w:val="-1"/>
        </w:rPr>
        <w:t>e</w:t>
      </w:r>
      <w:r>
        <w:t>d the</w:t>
      </w:r>
      <w:r>
        <w:rPr>
          <w:spacing w:val="-1"/>
        </w:rPr>
        <w:t xml:space="preserve"> </w:t>
      </w:r>
      <w:r>
        <w:t>s</w:t>
      </w:r>
      <w:r>
        <w:rPr>
          <w:spacing w:val="2"/>
        </w:rPr>
        <w:t>o</w:t>
      </w:r>
      <w:r>
        <w:rPr>
          <w:spacing w:val="-1"/>
        </w:rPr>
        <w:t>c</w:t>
      </w:r>
      <w:r>
        <w:t>i</w:t>
      </w:r>
      <w:r>
        <w:rPr>
          <w:spacing w:val="-1"/>
        </w:rPr>
        <w:t>a</w:t>
      </w:r>
      <w:r>
        <w:t xml:space="preserve">l </w:t>
      </w:r>
      <w:r>
        <w:rPr>
          <w:spacing w:val="-1"/>
        </w:rPr>
        <w:t>a</w:t>
      </w:r>
      <w:r>
        <w:t xml:space="preserve">nd </w:t>
      </w:r>
      <w:r>
        <w:rPr>
          <w:spacing w:val="1"/>
        </w:rPr>
        <w:t>e</w:t>
      </w:r>
      <w:r>
        <w:rPr>
          <w:spacing w:val="-1"/>
        </w:rPr>
        <w:t>c</w:t>
      </w:r>
      <w:r>
        <w:t>onomic</w:t>
      </w:r>
      <w:r>
        <w:rPr>
          <w:spacing w:val="-1"/>
        </w:rPr>
        <w:t xml:space="preserve"> c</w:t>
      </w:r>
      <w:r>
        <w:t>h</w:t>
      </w:r>
      <w:r>
        <w:rPr>
          <w:spacing w:val="-1"/>
        </w:rPr>
        <w:t>a</w:t>
      </w:r>
      <w:r>
        <w:rPr>
          <w:spacing w:val="2"/>
        </w:rPr>
        <w:t>r</w:t>
      </w:r>
      <w:r>
        <w:rPr>
          <w:spacing w:val="-1"/>
        </w:rPr>
        <w:t>ac</w:t>
      </w:r>
      <w:r>
        <w:t>t</w:t>
      </w:r>
      <w:r>
        <w:rPr>
          <w:spacing w:val="1"/>
        </w:rPr>
        <w:t>e</w:t>
      </w:r>
      <w:r>
        <w:rPr>
          <w:spacing w:val="-1"/>
        </w:rPr>
        <w:t>r</w:t>
      </w:r>
      <w:r>
        <w:t>isti</w:t>
      </w:r>
      <w:r>
        <w:rPr>
          <w:spacing w:val="-1"/>
        </w:rPr>
        <w:t>c</w:t>
      </w:r>
      <w:r>
        <w:t>s of</w:t>
      </w:r>
      <w:r>
        <w:rPr>
          <w:spacing w:val="-1"/>
        </w:rPr>
        <w:t xml:space="preserve"> </w:t>
      </w:r>
      <w:r>
        <w:t>the</w:t>
      </w:r>
      <w:r>
        <w:rPr>
          <w:spacing w:val="-1"/>
        </w:rPr>
        <w:t xml:space="preserve"> f</w:t>
      </w:r>
      <w:r>
        <w:t>ish</w:t>
      </w:r>
      <w:r>
        <w:rPr>
          <w:spacing w:val="-1"/>
        </w:rPr>
        <w:t>er</w:t>
      </w:r>
      <w:r>
        <w:t>i</w:t>
      </w:r>
      <w:r>
        <w:rPr>
          <w:spacing w:val="-1"/>
        </w:rPr>
        <w:t>e</w:t>
      </w:r>
      <w:r>
        <w:t>s in the</w:t>
      </w:r>
      <w:r>
        <w:rPr>
          <w:spacing w:val="1"/>
        </w:rPr>
        <w:t xml:space="preserve"> </w:t>
      </w:r>
      <w:r>
        <w:rPr>
          <w:spacing w:val="-1"/>
        </w:rPr>
        <w:t>r</w:t>
      </w:r>
      <w:r>
        <w:rPr>
          <w:spacing w:val="1"/>
        </w:rPr>
        <w:t>e</w:t>
      </w:r>
      <w:r>
        <w:rPr>
          <w:spacing w:val="-2"/>
        </w:rPr>
        <w:t>g</w:t>
      </w:r>
      <w:r>
        <w:rPr>
          <w:spacing w:val="3"/>
        </w:rPr>
        <w:t>i</w:t>
      </w:r>
      <w:r>
        <w:t>on.</w:t>
      </w:r>
      <w:r>
        <w:rPr>
          <w:spacing w:val="2"/>
        </w:rPr>
        <w:t xml:space="preserve"> </w:t>
      </w:r>
      <w:r>
        <w:rPr>
          <w:spacing w:val="-6"/>
        </w:rPr>
        <w:t>I</w:t>
      </w:r>
      <w:r>
        <w:t>n</w:t>
      </w:r>
      <w:r>
        <w:rPr>
          <w:spacing w:val="2"/>
        </w:rPr>
        <w:t xml:space="preserve"> </w:t>
      </w:r>
      <w:r>
        <w:rPr>
          <w:spacing w:val="-1"/>
        </w:rPr>
        <w:t>a</w:t>
      </w:r>
      <w:r>
        <w:t xml:space="preserve">ddition, it </w:t>
      </w:r>
      <w:r>
        <w:rPr>
          <w:spacing w:val="-1"/>
        </w:rPr>
        <w:t>e</w:t>
      </w:r>
      <w:r>
        <w:rPr>
          <w:spacing w:val="2"/>
        </w:rPr>
        <w:t>x</w:t>
      </w:r>
      <w:r>
        <w:t>p</w:t>
      </w:r>
      <w:r>
        <w:rPr>
          <w:spacing w:val="-1"/>
        </w:rPr>
        <w:t>a</w:t>
      </w:r>
      <w:r>
        <w:t>n</w:t>
      </w:r>
      <w:r>
        <w:rPr>
          <w:spacing w:val="-2"/>
        </w:rPr>
        <w:t>d</w:t>
      </w:r>
      <w:r>
        <w:t>ed the dis</w:t>
      </w:r>
      <w:r>
        <w:rPr>
          <w:spacing w:val="-1"/>
        </w:rPr>
        <w:t>c</w:t>
      </w:r>
      <w:r>
        <w:t xml:space="preserve">ussion </w:t>
      </w:r>
      <w:r>
        <w:rPr>
          <w:spacing w:val="-1"/>
        </w:rPr>
        <w:t>a</w:t>
      </w:r>
      <w:r>
        <w:t>nd d</w:t>
      </w:r>
      <w:r>
        <w:rPr>
          <w:spacing w:val="-1"/>
        </w:rPr>
        <w:t>e</w:t>
      </w:r>
      <w:r>
        <w:t>s</w:t>
      </w:r>
      <w:r>
        <w:rPr>
          <w:spacing w:val="-1"/>
        </w:rPr>
        <w:t>cr</w:t>
      </w:r>
      <w:r>
        <w:t>iption of</w:t>
      </w:r>
      <w:r>
        <w:rPr>
          <w:spacing w:val="-1"/>
        </w:rPr>
        <w:t xml:space="preserve"> e</w:t>
      </w:r>
      <w:r>
        <w:rPr>
          <w:spacing w:val="2"/>
        </w:rPr>
        <w:t>x</w:t>
      </w:r>
      <w:r>
        <w:t>isting</w:t>
      </w:r>
      <w:r>
        <w:rPr>
          <w:spacing w:val="-2"/>
        </w:rPr>
        <w:t xml:space="preserve"> </w:t>
      </w:r>
      <w:r>
        <w:rPr>
          <w:spacing w:val="-1"/>
        </w:rPr>
        <w:t>re</w:t>
      </w:r>
      <w:r>
        <w:t>s</w:t>
      </w:r>
      <w:r>
        <w:rPr>
          <w:spacing w:val="-1"/>
        </w:rPr>
        <w:t>e</w:t>
      </w:r>
      <w:r>
        <w:rPr>
          <w:spacing w:val="1"/>
        </w:rPr>
        <w:t>a</w:t>
      </w:r>
      <w:r>
        <w:rPr>
          <w:spacing w:val="-1"/>
        </w:rPr>
        <w:t>rc</w:t>
      </w:r>
      <w:r>
        <w:t>h p</w:t>
      </w:r>
      <w:r>
        <w:rPr>
          <w:spacing w:val="-1"/>
        </w:rPr>
        <w:t>r</w:t>
      </w:r>
      <w:r>
        <w:rPr>
          <w:spacing w:val="2"/>
        </w:rPr>
        <w:t>o</w:t>
      </w:r>
      <w:r>
        <w:rPr>
          <w:spacing w:val="-2"/>
        </w:rPr>
        <w:t>g</w:t>
      </w:r>
      <w:r>
        <w:rPr>
          <w:spacing w:val="2"/>
        </w:rPr>
        <w:t>r</w:t>
      </w:r>
      <w:r>
        <w:rPr>
          <w:spacing w:val="-1"/>
        </w:rPr>
        <w:t>a</w:t>
      </w:r>
      <w:r>
        <w:t xml:space="preserve">ms </w:t>
      </w:r>
      <w:r>
        <w:rPr>
          <w:spacing w:val="-1"/>
        </w:rPr>
        <w:t>a</w:t>
      </w:r>
      <w:r>
        <w:t>nd n</w:t>
      </w:r>
      <w:r>
        <w:rPr>
          <w:spacing w:val="1"/>
        </w:rPr>
        <w:t>e</w:t>
      </w:r>
      <w:r>
        <w:rPr>
          <w:spacing w:val="-1"/>
        </w:rPr>
        <w:t>e</w:t>
      </w:r>
      <w:r>
        <w:t>ds to id</w:t>
      </w:r>
      <w:r>
        <w:rPr>
          <w:spacing w:val="-1"/>
        </w:rPr>
        <w:t>e</w:t>
      </w:r>
      <w:r>
        <w:t>nti</w:t>
      </w:r>
      <w:r>
        <w:rPr>
          <w:spacing w:val="2"/>
        </w:rPr>
        <w:t>f</w:t>
      </w:r>
      <w:r>
        <w:t>y</w:t>
      </w:r>
      <w:r>
        <w:rPr>
          <w:spacing w:val="-5"/>
        </w:rPr>
        <w:t xml:space="preserve"> </w:t>
      </w:r>
      <w:r>
        <w:t>biol</w:t>
      </w:r>
      <w:r>
        <w:rPr>
          <w:spacing w:val="2"/>
        </w:rPr>
        <w:t>o</w:t>
      </w:r>
      <w:r>
        <w:rPr>
          <w:spacing w:val="-2"/>
        </w:rPr>
        <w:t>g</w:t>
      </w:r>
      <w:r>
        <w:t>i</w:t>
      </w:r>
      <w:r>
        <w:rPr>
          <w:spacing w:val="-1"/>
        </w:rPr>
        <w:t>ca</w:t>
      </w:r>
      <w:r>
        <w:t>l, s</w:t>
      </w:r>
      <w:r>
        <w:rPr>
          <w:spacing w:val="2"/>
        </w:rPr>
        <w:t>o</w:t>
      </w:r>
      <w:r>
        <w:rPr>
          <w:spacing w:val="-1"/>
        </w:rPr>
        <w:t>c</w:t>
      </w:r>
      <w:r>
        <w:t>i</w:t>
      </w:r>
      <w:r>
        <w:rPr>
          <w:spacing w:val="-1"/>
        </w:rPr>
        <w:t>a</w:t>
      </w:r>
      <w:r>
        <w:t xml:space="preserve">l, </w:t>
      </w:r>
      <w:r>
        <w:rPr>
          <w:spacing w:val="-1"/>
        </w:rPr>
        <w:t>a</w:t>
      </w:r>
      <w:r>
        <w:t xml:space="preserve">nd </w:t>
      </w:r>
      <w:r>
        <w:rPr>
          <w:spacing w:val="-1"/>
        </w:rPr>
        <w:t>ec</w:t>
      </w:r>
      <w:r>
        <w:t>onomic</w:t>
      </w:r>
      <w:r>
        <w:rPr>
          <w:spacing w:val="-1"/>
        </w:rPr>
        <w:t xml:space="preserve"> re</w:t>
      </w:r>
      <w:r>
        <w:rPr>
          <w:spacing w:val="3"/>
        </w:rPr>
        <w:t>s</w:t>
      </w:r>
      <w:r>
        <w:rPr>
          <w:spacing w:val="-1"/>
        </w:rPr>
        <w:t>ea</w:t>
      </w:r>
      <w:r>
        <w:rPr>
          <w:spacing w:val="2"/>
        </w:rPr>
        <w:t>r</w:t>
      </w:r>
      <w:r>
        <w:rPr>
          <w:spacing w:val="-1"/>
        </w:rPr>
        <w:t>c</w:t>
      </w:r>
      <w:r>
        <w:t>h n</w:t>
      </w:r>
      <w:r>
        <w:rPr>
          <w:spacing w:val="1"/>
        </w:rPr>
        <w:t>e</w:t>
      </w:r>
      <w:r>
        <w:rPr>
          <w:spacing w:val="-1"/>
        </w:rPr>
        <w:t>e</w:t>
      </w:r>
      <w:r>
        <w:t>d</w:t>
      </w:r>
      <w:r>
        <w:rPr>
          <w:spacing w:val="1"/>
        </w:rPr>
        <w:t>e</w:t>
      </w:r>
      <w:r>
        <w:t xml:space="preserve">d to </w:t>
      </w:r>
      <w:r>
        <w:rPr>
          <w:spacing w:val="-1"/>
        </w:rPr>
        <w:t>f</w:t>
      </w:r>
      <w:r>
        <w:t>ul</w:t>
      </w:r>
      <w:r>
        <w:rPr>
          <w:spacing w:val="3"/>
        </w:rPr>
        <w:t>l</w:t>
      </w:r>
      <w:r>
        <w:t>y</w:t>
      </w:r>
      <w:r>
        <w:rPr>
          <w:spacing w:val="-5"/>
        </w:rPr>
        <w:t xml:space="preserve"> </w:t>
      </w:r>
      <w:r>
        <w:rPr>
          <w:spacing w:val="-1"/>
        </w:rPr>
        <w:t>a</w:t>
      </w:r>
      <w:r>
        <w:t>dd</w:t>
      </w:r>
      <w:r>
        <w:rPr>
          <w:spacing w:val="2"/>
        </w:rPr>
        <w:t>r</w:t>
      </w:r>
      <w:r>
        <w:rPr>
          <w:spacing w:val="-1"/>
        </w:rPr>
        <w:t>e</w:t>
      </w:r>
      <w:r>
        <w:t xml:space="preserve">ss </w:t>
      </w:r>
      <w:r>
        <w:rPr>
          <w:spacing w:val="-1"/>
        </w:rPr>
        <w:t>ec</w:t>
      </w:r>
      <w:r>
        <w:t>o</w:t>
      </w:r>
      <w:r>
        <w:rPr>
          <w:spacing w:val="5"/>
        </w:rPr>
        <w:t>s</w:t>
      </w:r>
      <w:r>
        <w:rPr>
          <w:spacing w:val="-5"/>
        </w:rPr>
        <w:t>y</w:t>
      </w:r>
      <w:r>
        <w:t>s</w:t>
      </w:r>
      <w:r>
        <w:rPr>
          <w:spacing w:val="3"/>
        </w:rPr>
        <w:t>t</w:t>
      </w:r>
      <w:r>
        <w:rPr>
          <w:spacing w:val="-1"/>
        </w:rPr>
        <w:t>e</w:t>
      </w:r>
      <w:r>
        <w:t>m</w:t>
      </w:r>
      <w:r>
        <w:rPr>
          <w:spacing w:val="-1"/>
        </w:rPr>
        <w:t>-</w:t>
      </w:r>
      <w:r>
        <w:t>b</w:t>
      </w:r>
      <w:r>
        <w:rPr>
          <w:spacing w:val="-1"/>
        </w:rPr>
        <w:t>a</w:t>
      </w:r>
      <w:r>
        <w:t>s</w:t>
      </w:r>
      <w:r>
        <w:rPr>
          <w:spacing w:val="-1"/>
        </w:rPr>
        <w:t>e</w:t>
      </w:r>
      <w:r>
        <w:t>d m</w:t>
      </w:r>
      <w:r>
        <w:rPr>
          <w:spacing w:val="-1"/>
        </w:rPr>
        <w:t>a</w:t>
      </w:r>
      <w:r>
        <w:rPr>
          <w:spacing w:val="2"/>
        </w:rPr>
        <w:t>n</w:t>
      </w:r>
      <w:r>
        <w:rPr>
          <w:spacing w:val="1"/>
        </w:rPr>
        <w:t>a</w:t>
      </w:r>
      <w:r>
        <w:rPr>
          <w:spacing w:val="-2"/>
        </w:rPr>
        <w:t>g</w:t>
      </w:r>
      <w:r>
        <w:rPr>
          <w:spacing w:val="-1"/>
        </w:rPr>
        <w:t>e</w:t>
      </w:r>
      <w:r>
        <w:t>m</w:t>
      </w:r>
      <w:r>
        <w:rPr>
          <w:spacing w:val="-1"/>
        </w:rPr>
        <w:t>e</w:t>
      </w:r>
      <w:r>
        <w:t>nt in</w:t>
      </w:r>
      <w:r>
        <w:rPr>
          <w:spacing w:val="2"/>
        </w:rPr>
        <w:t xml:space="preserve"> </w:t>
      </w:r>
      <w:r>
        <w:t>the</w:t>
      </w:r>
      <w:r>
        <w:rPr>
          <w:spacing w:val="-1"/>
        </w:rPr>
        <w:t xml:space="preserve"> r</w:t>
      </w:r>
      <w:r>
        <w:rPr>
          <w:spacing w:val="1"/>
        </w:rPr>
        <w:t>e</w:t>
      </w:r>
      <w:r>
        <w:rPr>
          <w:spacing w:val="-2"/>
        </w:rPr>
        <w:t>g</w:t>
      </w:r>
      <w:r>
        <w:t>ion.</w:t>
      </w:r>
      <w:r>
        <w:rPr>
          <w:spacing w:val="2"/>
        </w:rPr>
        <w:t xml:space="preserve"> </w:t>
      </w:r>
      <w:r>
        <w:rPr>
          <w:spacing w:val="-3"/>
        </w:rPr>
        <w:t>I</w:t>
      </w:r>
      <w:r>
        <w:t xml:space="preserve">t is </w:t>
      </w:r>
      <w:r>
        <w:rPr>
          <w:spacing w:val="-1"/>
        </w:rPr>
        <w:t>a</w:t>
      </w:r>
      <w:r>
        <w:t>nti</w:t>
      </w:r>
      <w:r>
        <w:rPr>
          <w:spacing w:val="-1"/>
        </w:rPr>
        <w:t>c</w:t>
      </w:r>
      <w:r>
        <w:t>ip</w:t>
      </w:r>
      <w:r>
        <w:rPr>
          <w:spacing w:val="-1"/>
        </w:rPr>
        <w:t>a</w:t>
      </w:r>
      <w:r>
        <w:rPr>
          <w:spacing w:val="3"/>
        </w:rPr>
        <w:t>t</w:t>
      </w:r>
      <w:r>
        <w:rPr>
          <w:spacing w:val="-1"/>
        </w:rPr>
        <w:t>e</w:t>
      </w:r>
      <w:r>
        <w:t>d th</w:t>
      </w:r>
      <w:r>
        <w:rPr>
          <w:spacing w:val="-1"/>
        </w:rPr>
        <w:t>a</w:t>
      </w:r>
      <w:r>
        <w:t>t the</w:t>
      </w:r>
      <w:r>
        <w:rPr>
          <w:spacing w:val="-1"/>
        </w:rPr>
        <w:t xml:space="preserve"> F</w:t>
      </w:r>
      <w:r>
        <w:t>EP</w:t>
      </w:r>
      <w:r>
        <w:rPr>
          <w:spacing w:val="1"/>
        </w:rPr>
        <w:t xml:space="preserve"> </w:t>
      </w:r>
      <w:r>
        <w:t>will p</w:t>
      </w:r>
      <w:r>
        <w:rPr>
          <w:spacing w:val="-1"/>
        </w:rPr>
        <w:t>r</w:t>
      </w:r>
      <w:r>
        <w:t>ovide</w:t>
      </w:r>
      <w:r>
        <w:rPr>
          <w:spacing w:val="1"/>
        </w:rPr>
        <w:t xml:space="preserve"> </w:t>
      </w:r>
      <w:r>
        <w:t>a</w:t>
      </w:r>
      <w:r>
        <w:rPr>
          <w:spacing w:val="-1"/>
        </w:rPr>
        <w:t xml:space="preserve"> </w:t>
      </w:r>
      <w:r>
        <w:t>g</w:t>
      </w:r>
      <w:r>
        <w:rPr>
          <w:spacing w:val="-1"/>
        </w:rPr>
        <w:t>rea</w:t>
      </w:r>
      <w:r>
        <w:rPr>
          <w:spacing w:val="3"/>
        </w:rPr>
        <w:t>t</w:t>
      </w:r>
      <w:r>
        <w:rPr>
          <w:spacing w:val="-1"/>
        </w:rPr>
        <w:t>e</w:t>
      </w:r>
      <w:r>
        <w:t>r</w:t>
      </w:r>
      <w:r>
        <w:rPr>
          <w:spacing w:val="-1"/>
        </w:rPr>
        <w:t xml:space="preserve"> </w:t>
      </w:r>
      <w:r>
        <w:t>d</w:t>
      </w:r>
      <w:r>
        <w:rPr>
          <w:spacing w:val="1"/>
        </w:rPr>
        <w:t>e</w:t>
      </w:r>
      <w:r>
        <w:t>g</w:t>
      </w:r>
      <w:r>
        <w:rPr>
          <w:spacing w:val="-1"/>
        </w:rPr>
        <w:t>re</w:t>
      </w:r>
      <w:r>
        <w:t>e</w:t>
      </w:r>
      <w:r>
        <w:rPr>
          <w:spacing w:val="-1"/>
        </w:rPr>
        <w:t xml:space="preserve"> </w:t>
      </w:r>
      <w:r>
        <w:rPr>
          <w:spacing w:val="2"/>
        </w:rPr>
        <w:t>o</w:t>
      </w:r>
      <w:r>
        <w:t>f</w:t>
      </w:r>
      <w:r>
        <w:rPr>
          <w:spacing w:val="2"/>
        </w:rPr>
        <w:t xml:space="preserve"> </w:t>
      </w:r>
      <w:r>
        <w:rPr>
          <w:spacing w:val="-2"/>
        </w:rPr>
        <w:t>g</w:t>
      </w:r>
      <w:r>
        <w:t>uid</w:t>
      </w:r>
      <w:r>
        <w:rPr>
          <w:spacing w:val="1"/>
        </w:rPr>
        <w:t>a</w:t>
      </w:r>
      <w:r>
        <w:t>n</w:t>
      </w:r>
      <w:r>
        <w:rPr>
          <w:spacing w:val="-1"/>
        </w:rPr>
        <w:t>c</w:t>
      </w:r>
      <w:r>
        <w:t>e</w:t>
      </w:r>
      <w:r>
        <w:rPr>
          <w:spacing w:val="-1"/>
        </w:rPr>
        <w:t xml:space="preserve"> </w:t>
      </w:r>
      <w:r>
        <w:rPr>
          <w:spacing w:val="5"/>
        </w:rPr>
        <w:t>b</w:t>
      </w:r>
      <w:r>
        <w:t>y</w:t>
      </w:r>
      <w:r>
        <w:rPr>
          <w:spacing w:val="-5"/>
        </w:rPr>
        <w:t xml:space="preserve"> </w:t>
      </w:r>
      <w:r>
        <w:rPr>
          <w:spacing w:val="-1"/>
        </w:rPr>
        <w:t>f</w:t>
      </w:r>
      <w:r>
        <w:t>ish</w:t>
      </w:r>
      <w:r>
        <w:rPr>
          <w:spacing w:val="-1"/>
        </w:rPr>
        <w:t>e</w:t>
      </w:r>
      <w:r>
        <w:rPr>
          <w:spacing w:val="4"/>
        </w:rPr>
        <w:t>r</w:t>
      </w:r>
      <w:r>
        <w:rPr>
          <w:spacing w:val="-5"/>
        </w:rPr>
        <w:t>y</w:t>
      </w:r>
      <w:r>
        <w:t>,</w:t>
      </w:r>
      <w:r>
        <w:rPr>
          <w:spacing w:val="2"/>
        </w:rPr>
        <w:t xml:space="preserve"> </w:t>
      </w:r>
      <w:r>
        <w:t>h</w:t>
      </w:r>
      <w:r>
        <w:rPr>
          <w:spacing w:val="-1"/>
        </w:rPr>
        <w:t>a</w:t>
      </w:r>
      <w:r>
        <w:t>bit</w:t>
      </w:r>
      <w:r>
        <w:rPr>
          <w:spacing w:val="-1"/>
        </w:rPr>
        <w:t>a</w:t>
      </w:r>
      <w:r>
        <w:t>t, or</w:t>
      </w:r>
      <w:r>
        <w:rPr>
          <w:spacing w:val="2"/>
        </w:rPr>
        <w:t xml:space="preserve"> </w:t>
      </w:r>
      <w:r>
        <w:t>m</w:t>
      </w:r>
      <w:r>
        <w:rPr>
          <w:spacing w:val="-1"/>
        </w:rPr>
        <w:t>a</w:t>
      </w:r>
      <w:r>
        <w:t>jor</w:t>
      </w:r>
      <w:r>
        <w:rPr>
          <w:spacing w:val="-1"/>
        </w:rPr>
        <w:t xml:space="preserve"> ec</w:t>
      </w:r>
      <w:r>
        <w:t>o</w:t>
      </w:r>
      <w:r>
        <w:rPr>
          <w:spacing w:val="5"/>
        </w:rPr>
        <w:t>s</w:t>
      </w:r>
      <w:r>
        <w:rPr>
          <w:spacing w:val="-5"/>
        </w:rPr>
        <w:t>y</w:t>
      </w:r>
      <w:r>
        <w:t>st</w:t>
      </w:r>
      <w:r>
        <w:rPr>
          <w:spacing w:val="-1"/>
        </w:rPr>
        <w:t>e</w:t>
      </w:r>
      <w:r>
        <w:t xml:space="preserve">m </w:t>
      </w:r>
      <w:r>
        <w:rPr>
          <w:spacing w:val="-1"/>
        </w:rPr>
        <w:t>c</w:t>
      </w:r>
      <w:r>
        <w:t>onsid</w:t>
      </w:r>
      <w:r>
        <w:rPr>
          <w:spacing w:val="-1"/>
        </w:rPr>
        <w:t>era</w:t>
      </w:r>
      <w:r>
        <w:t>tion of</w:t>
      </w:r>
      <w:r>
        <w:rPr>
          <w:spacing w:val="-1"/>
        </w:rPr>
        <w:t xml:space="preserve"> </w:t>
      </w:r>
      <w:r>
        <w:rPr>
          <w:spacing w:val="5"/>
        </w:rPr>
        <w:t>b</w:t>
      </w:r>
      <w:r>
        <w:rPr>
          <w:spacing w:val="-5"/>
        </w:rPr>
        <w:t>y</w:t>
      </w:r>
      <w:r>
        <w:rPr>
          <w:spacing w:val="1"/>
        </w:rPr>
        <w:t>c</w:t>
      </w:r>
      <w:r>
        <w:rPr>
          <w:spacing w:val="-1"/>
        </w:rPr>
        <w:t>a</w:t>
      </w:r>
      <w:r>
        <w:t>t</w:t>
      </w:r>
      <w:r>
        <w:rPr>
          <w:spacing w:val="-1"/>
        </w:rPr>
        <w:t>c</w:t>
      </w:r>
      <w:r>
        <w:t>h</w:t>
      </w:r>
      <w:r>
        <w:rPr>
          <w:spacing w:val="2"/>
        </w:rPr>
        <w:t xml:space="preserve"> </w:t>
      </w:r>
      <w:r>
        <w:rPr>
          <w:spacing w:val="-1"/>
        </w:rPr>
        <w:t>re</w:t>
      </w:r>
      <w:r>
        <w:t>du</w:t>
      </w:r>
      <w:r>
        <w:rPr>
          <w:spacing w:val="-1"/>
        </w:rPr>
        <w:t>c</w:t>
      </w:r>
      <w:r>
        <w:t>tion, p</w:t>
      </w:r>
      <w:r>
        <w:rPr>
          <w:spacing w:val="-1"/>
        </w:rPr>
        <w:t>r</w:t>
      </w:r>
      <w:r>
        <w:rPr>
          <w:spacing w:val="4"/>
        </w:rPr>
        <w:t>e</w:t>
      </w:r>
      <w:r>
        <w:rPr>
          <w:spacing w:val="-5"/>
        </w:rPr>
        <w:t>y</w:t>
      </w:r>
      <w:r>
        <w:rPr>
          <w:spacing w:val="2"/>
        </w:rPr>
        <w:t>-</w:t>
      </w:r>
      <w:r>
        <w:t>p</w:t>
      </w:r>
      <w:r>
        <w:rPr>
          <w:spacing w:val="-1"/>
        </w:rPr>
        <w:t>re</w:t>
      </w:r>
      <w:r>
        <w:rPr>
          <w:spacing w:val="2"/>
        </w:rPr>
        <w:t>d</w:t>
      </w:r>
      <w:r>
        <w:rPr>
          <w:spacing w:val="-1"/>
        </w:rPr>
        <w:t>a</w:t>
      </w:r>
      <w:r>
        <w:t>tor</w:t>
      </w:r>
      <w:r>
        <w:rPr>
          <w:spacing w:val="2"/>
        </w:rPr>
        <w:t xml:space="preserve"> </w:t>
      </w:r>
      <w:r>
        <w:t>int</w:t>
      </w:r>
      <w:r>
        <w:rPr>
          <w:spacing w:val="-1"/>
        </w:rPr>
        <w:t>erac</w:t>
      </w:r>
      <w:r>
        <w:t>tions, m</w:t>
      </w:r>
      <w:r>
        <w:rPr>
          <w:spacing w:val="-1"/>
        </w:rPr>
        <w:t>a</w:t>
      </w:r>
      <w:r>
        <w:t>int</w:t>
      </w:r>
      <w:r>
        <w:rPr>
          <w:spacing w:val="-1"/>
        </w:rPr>
        <w:t>a</w:t>
      </w:r>
      <w:r>
        <w:t>ining biodiv</w:t>
      </w:r>
      <w:r>
        <w:rPr>
          <w:spacing w:val="-1"/>
        </w:rPr>
        <w:t>er</w:t>
      </w:r>
      <w:r>
        <w:t>si</w:t>
      </w:r>
      <w:r>
        <w:rPr>
          <w:spacing w:val="3"/>
        </w:rPr>
        <w:t>t</w:t>
      </w:r>
      <w:r>
        <w:rPr>
          <w:spacing w:val="-5"/>
        </w:rPr>
        <w:t>y</w:t>
      </w:r>
      <w:r>
        <w:t xml:space="preserve">, </w:t>
      </w:r>
      <w:r>
        <w:rPr>
          <w:spacing w:val="-1"/>
        </w:rPr>
        <w:t>a</w:t>
      </w:r>
      <w:r>
        <w:t>nd sp</w:t>
      </w:r>
      <w:r>
        <w:rPr>
          <w:spacing w:val="-1"/>
        </w:rPr>
        <w:t>a</w:t>
      </w:r>
      <w:r>
        <w:t>ti</w:t>
      </w:r>
      <w:r>
        <w:rPr>
          <w:spacing w:val="-1"/>
        </w:rPr>
        <w:t>a</w:t>
      </w:r>
      <w:r>
        <w:t>l m</w:t>
      </w:r>
      <w:r>
        <w:rPr>
          <w:spacing w:val="-1"/>
        </w:rPr>
        <w:t>a</w:t>
      </w:r>
      <w:r>
        <w:t>n</w:t>
      </w:r>
      <w:r>
        <w:rPr>
          <w:spacing w:val="1"/>
        </w:rPr>
        <w:t>a</w:t>
      </w:r>
      <w:r>
        <w:rPr>
          <w:spacing w:val="-2"/>
        </w:rPr>
        <w:t>g</w:t>
      </w:r>
      <w:r>
        <w:rPr>
          <w:spacing w:val="-1"/>
        </w:rPr>
        <w:t>e</w:t>
      </w:r>
      <w:r>
        <w:t>m</w:t>
      </w:r>
      <w:r>
        <w:rPr>
          <w:spacing w:val="-1"/>
        </w:rPr>
        <w:t>e</w:t>
      </w:r>
      <w:r>
        <w:t>nt n</w:t>
      </w:r>
      <w:r>
        <w:rPr>
          <w:spacing w:val="1"/>
        </w:rPr>
        <w:t>e</w:t>
      </w:r>
      <w:r>
        <w:rPr>
          <w:spacing w:val="-1"/>
        </w:rPr>
        <w:t>e</w:t>
      </w:r>
      <w:r>
        <w:t xml:space="preserve">ds. This </w:t>
      </w:r>
      <w:r>
        <w:rPr>
          <w:spacing w:val="-1"/>
        </w:rPr>
        <w:t>F</w:t>
      </w:r>
      <w:r>
        <w:t>EP</w:t>
      </w:r>
      <w:r>
        <w:rPr>
          <w:spacing w:val="1"/>
        </w:rPr>
        <w:t xml:space="preserve"> </w:t>
      </w:r>
      <w:r>
        <w:t>s</w:t>
      </w:r>
      <w:r>
        <w:rPr>
          <w:spacing w:val="-1"/>
        </w:rPr>
        <w:t>er</w:t>
      </w:r>
      <w:r>
        <w:t>v</w:t>
      </w:r>
      <w:r>
        <w:rPr>
          <w:spacing w:val="-1"/>
        </w:rPr>
        <w:t>e</w:t>
      </w:r>
      <w:r>
        <w:t>s</w:t>
      </w:r>
      <w:r>
        <w:rPr>
          <w:spacing w:val="3"/>
        </w:rPr>
        <w:t xml:space="preserve"> </w:t>
      </w:r>
      <w:r>
        <w:rPr>
          <w:spacing w:val="-1"/>
        </w:rPr>
        <w:t>a</w:t>
      </w:r>
      <w:r>
        <w:t>s a</w:t>
      </w:r>
      <w:r>
        <w:rPr>
          <w:spacing w:val="-1"/>
        </w:rPr>
        <w:t xml:space="preserve"> </w:t>
      </w:r>
      <w:r>
        <w:t>living</w:t>
      </w:r>
      <w:r>
        <w:rPr>
          <w:spacing w:val="-2"/>
        </w:rPr>
        <w:t xml:space="preserve"> </w:t>
      </w:r>
      <w:r>
        <w:t>s</w:t>
      </w:r>
      <w:r>
        <w:rPr>
          <w:spacing w:val="2"/>
        </w:rPr>
        <w:t>o</w:t>
      </w:r>
      <w:r>
        <w:t>u</w:t>
      </w:r>
      <w:r>
        <w:rPr>
          <w:spacing w:val="-1"/>
        </w:rPr>
        <w:t>rc</w:t>
      </w:r>
      <w:r>
        <w:t>e</w:t>
      </w:r>
      <w:r>
        <w:rPr>
          <w:spacing w:val="-1"/>
        </w:rPr>
        <w:t xml:space="preserve"> </w:t>
      </w:r>
      <w:r>
        <w:t>do</w:t>
      </w:r>
      <w:r>
        <w:rPr>
          <w:spacing w:val="-1"/>
        </w:rPr>
        <w:t>c</w:t>
      </w:r>
      <w:r>
        <w:t>u</w:t>
      </w:r>
      <w:r>
        <w:rPr>
          <w:spacing w:val="3"/>
        </w:rPr>
        <w:t>m</w:t>
      </w:r>
      <w:r>
        <w:rPr>
          <w:spacing w:val="-1"/>
        </w:rPr>
        <w:t>e</w:t>
      </w:r>
      <w:r>
        <w:t>nt of</w:t>
      </w:r>
      <w:r>
        <w:rPr>
          <w:spacing w:val="-1"/>
        </w:rPr>
        <w:t xml:space="preserve"> </w:t>
      </w:r>
      <w:r>
        <w:t>biolo</w:t>
      </w:r>
      <w:r>
        <w:rPr>
          <w:spacing w:val="-2"/>
        </w:rPr>
        <w:t>g</w:t>
      </w:r>
      <w:r>
        <w:rPr>
          <w:spacing w:val="3"/>
        </w:rPr>
        <w:t>i</w:t>
      </w:r>
      <w:r>
        <w:rPr>
          <w:spacing w:val="-1"/>
        </w:rPr>
        <w:t>ca</w:t>
      </w:r>
      <w:r>
        <w:t xml:space="preserve">l, </w:t>
      </w:r>
      <w:r>
        <w:rPr>
          <w:spacing w:val="-1"/>
        </w:rPr>
        <w:t>ec</w:t>
      </w:r>
      <w:r>
        <w:t>onomi</w:t>
      </w:r>
      <w:r>
        <w:rPr>
          <w:spacing w:val="-1"/>
        </w:rPr>
        <w:t>c</w:t>
      </w:r>
      <w:r>
        <w:t>,</w:t>
      </w:r>
      <w:r>
        <w:rPr>
          <w:spacing w:val="2"/>
        </w:rPr>
        <w:t xml:space="preserve"> </w:t>
      </w:r>
      <w:r>
        <w:rPr>
          <w:spacing w:val="-1"/>
        </w:rPr>
        <w:t>a</w:t>
      </w:r>
      <w:r>
        <w:t>nd so</w:t>
      </w:r>
      <w:r>
        <w:rPr>
          <w:spacing w:val="-1"/>
        </w:rPr>
        <w:t>c</w:t>
      </w:r>
      <w:r>
        <w:t>i</w:t>
      </w:r>
      <w:r>
        <w:rPr>
          <w:spacing w:val="-1"/>
        </w:rPr>
        <w:t>a</w:t>
      </w:r>
      <w:r>
        <w:t>l in</w:t>
      </w:r>
      <w:r>
        <w:rPr>
          <w:spacing w:val="-1"/>
        </w:rPr>
        <w:t>f</w:t>
      </w:r>
      <w:r>
        <w:t>o</w:t>
      </w:r>
      <w:r>
        <w:rPr>
          <w:spacing w:val="-1"/>
        </w:rPr>
        <w:t>r</w:t>
      </w:r>
      <w:r>
        <w:t>m</w:t>
      </w:r>
      <w:r>
        <w:rPr>
          <w:spacing w:val="-1"/>
        </w:rPr>
        <w:t>a</w:t>
      </w:r>
      <w:r>
        <w:t xml:space="preserve">tion </w:t>
      </w:r>
      <w:r>
        <w:rPr>
          <w:spacing w:val="-1"/>
        </w:rPr>
        <w:t>f</w:t>
      </w:r>
      <w:r>
        <w:t>or</w:t>
      </w:r>
      <w:r>
        <w:rPr>
          <w:spacing w:val="-1"/>
        </w:rPr>
        <w:t xml:space="preserve"> a</w:t>
      </w:r>
      <w:r>
        <w:t xml:space="preserve">ll </w:t>
      </w:r>
      <w:r>
        <w:rPr>
          <w:spacing w:val="-1"/>
        </w:rPr>
        <w:t>F</w:t>
      </w:r>
      <w:r>
        <w:t>ish</w:t>
      </w:r>
      <w:r>
        <w:rPr>
          <w:spacing w:val="1"/>
        </w:rPr>
        <w:t>e</w:t>
      </w:r>
      <w:r>
        <w:rPr>
          <w:spacing w:val="2"/>
        </w:rPr>
        <w:t>r</w:t>
      </w:r>
      <w:r>
        <w:t>y</w:t>
      </w:r>
      <w:r>
        <w:rPr>
          <w:spacing w:val="-2"/>
        </w:rPr>
        <w:t xml:space="preserve"> </w:t>
      </w:r>
      <w:r>
        <w:t>M</w:t>
      </w:r>
      <w:r>
        <w:rPr>
          <w:spacing w:val="-1"/>
        </w:rPr>
        <w:t>a</w:t>
      </w:r>
      <w:r>
        <w:rPr>
          <w:spacing w:val="2"/>
        </w:rPr>
        <w:t>n</w:t>
      </w:r>
      <w:r>
        <w:rPr>
          <w:spacing w:val="1"/>
        </w:rPr>
        <w:t>a</w:t>
      </w:r>
      <w:r>
        <w:rPr>
          <w:spacing w:val="-2"/>
        </w:rPr>
        <w:t>g</w:t>
      </w:r>
      <w:r>
        <w:rPr>
          <w:spacing w:val="-1"/>
        </w:rPr>
        <w:t>e</w:t>
      </w:r>
      <w:r>
        <w:t>m</w:t>
      </w:r>
      <w:r>
        <w:rPr>
          <w:spacing w:val="-1"/>
        </w:rPr>
        <w:t>e</w:t>
      </w:r>
      <w:r>
        <w:t xml:space="preserve">nt </w:t>
      </w:r>
      <w:r>
        <w:rPr>
          <w:spacing w:val="1"/>
        </w:rPr>
        <w:t>P</w:t>
      </w:r>
      <w:r>
        <w:t>l</w:t>
      </w:r>
      <w:r>
        <w:rPr>
          <w:spacing w:val="-1"/>
        </w:rPr>
        <w:t>a</w:t>
      </w:r>
      <w:r>
        <w:t xml:space="preserve">ns </w:t>
      </w:r>
      <w:r>
        <w:rPr>
          <w:spacing w:val="2"/>
        </w:rPr>
        <w:t>(</w:t>
      </w:r>
      <w:r>
        <w:rPr>
          <w:spacing w:val="1"/>
        </w:rPr>
        <w:t>F</w:t>
      </w:r>
      <w:r>
        <w:t>M</w:t>
      </w:r>
      <w:r>
        <w:rPr>
          <w:spacing w:val="1"/>
        </w:rPr>
        <w:t>P</w:t>
      </w:r>
      <w:r>
        <w:rPr>
          <w:spacing w:val="-1"/>
        </w:rPr>
        <w:t>)</w:t>
      </w:r>
      <w:r>
        <w:t xml:space="preserve">. </w:t>
      </w:r>
      <w:r>
        <w:rPr>
          <w:spacing w:val="-1"/>
        </w:rPr>
        <w:t>F</w:t>
      </w:r>
      <w:r>
        <w:t>utu</w:t>
      </w:r>
      <w:r>
        <w:rPr>
          <w:spacing w:val="-1"/>
        </w:rPr>
        <w:t>r</w:t>
      </w:r>
      <w:r>
        <w:t>e</w:t>
      </w:r>
      <w:r>
        <w:rPr>
          <w:spacing w:val="-1"/>
        </w:rPr>
        <w:t xml:space="preserve"> </w:t>
      </w:r>
      <w:r>
        <w:t>Envi</w:t>
      </w:r>
      <w:r>
        <w:rPr>
          <w:spacing w:val="-1"/>
        </w:rPr>
        <w:t>r</w:t>
      </w:r>
      <w:r>
        <w:t>onm</w:t>
      </w:r>
      <w:r>
        <w:rPr>
          <w:spacing w:val="-1"/>
        </w:rPr>
        <w:t>e</w:t>
      </w:r>
      <w:r>
        <w:rPr>
          <w:spacing w:val="2"/>
        </w:rPr>
        <w:t>n</w:t>
      </w:r>
      <w:r>
        <w:t>t</w:t>
      </w:r>
      <w:r>
        <w:rPr>
          <w:spacing w:val="-1"/>
        </w:rPr>
        <w:t>a</w:t>
      </w:r>
      <w:r>
        <w:t>l Ass</w:t>
      </w:r>
      <w:r>
        <w:rPr>
          <w:spacing w:val="-1"/>
        </w:rPr>
        <w:t>e</w:t>
      </w:r>
      <w:r>
        <w:t>ssm</w:t>
      </w:r>
      <w:r>
        <w:rPr>
          <w:spacing w:val="-1"/>
        </w:rPr>
        <w:t>e</w:t>
      </w:r>
      <w:r>
        <w:t xml:space="preserve">nts </w:t>
      </w:r>
      <w:r>
        <w:rPr>
          <w:spacing w:val="-1"/>
        </w:rPr>
        <w:t>a</w:t>
      </w:r>
      <w:r>
        <w:t>nd Envi</w:t>
      </w:r>
      <w:r>
        <w:rPr>
          <w:spacing w:val="-1"/>
        </w:rPr>
        <w:t>r</w:t>
      </w:r>
      <w:r>
        <w:t>onm</w:t>
      </w:r>
      <w:r>
        <w:rPr>
          <w:spacing w:val="-1"/>
        </w:rPr>
        <w:t>e</w:t>
      </w:r>
      <w:r>
        <w:t>nt</w:t>
      </w:r>
      <w:r>
        <w:rPr>
          <w:spacing w:val="-1"/>
        </w:rPr>
        <w:t>a</w:t>
      </w:r>
      <w:r>
        <w:t>l</w:t>
      </w:r>
      <w:r>
        <w:rPr>
          <w:spacing w:val="3"/>
        </w:rPr>
        <w:t xml:space="preserve"> </w:t>
      </w:r>
      <w:r>
        <w:rPr>
          <w:spacing w:val="-6"/>
        </w:rPr>
        <w:t>I</w:t>
      </w:r>
      <w:r>
        <w:t>m</w:t>
      </w:r>
      <w:r>
        <w:rPr>
          <w:spacing w:val="2"/>
        </w:rPr>
        <w:t>p</w:t>
      </w:r>
      <w:r>
        <w:rPr>
          <w:spacing w:val="-1"/>
        </w:rPr>
        <w:t>ac</w:t>
      </w:r>
      <w:r>
        <w:t xml:space="preserve">t </w:t>
      </w:r>
      <w:r>
        <w:rPr>
          <w:spacing w:val="1"/>
        </w:rPr>
        <w:lastRenderedPageBreak/>
        <w:t>S</w:t>
      </w:r>
      <w:r>
        <w:t>t</w:t>
      </w:r>
      <w:r>
        <w:rPr>
          <w:spacing w:val="-1"/>
        </w:rPr>
        <w:t>a</w:t>
      </w:r>
      <w:r>
        <w:t>t</w:t>
      </w:r>
      <w:r>
        <w:rPr>
          <w:spacing w:val="-1"/>
        </w:rPr>
        <w:t>e</w:t>
      </w:r>
      <w:r>
        <w:t>m</w:t>
      </w:r>
      <w:r>
        <w:rPr>
          <w:spacing w:val="-1"/>
        </w:rPr>
        <w:t>e</w:t>
      </w:r>
      <w:r>
        <w:t xml:space="preserve">nts </w:t>
      </w:r>
      <w:r>
        <w:rPr>
          <w:spacing w:val="-1"/>
        </w:rPr>
        <w:t>a</w:t>
      </w:r>
      <w:r>
        <w:t>sso</w:t>
      </w:r>
      <w:r>
        <w:rPr>
          <w:spacing w:val="-1"/>
        </w:rPr>
        <w:t>c</w:t>
      </w:r>
      <w:r>
        <w:t>i</w:t>
      </w:r>
      <w:r>
        <w:rPr>
          <w:spacing w:val="-1"/>
        </w:rPr>
        <w:t>a</w:t>
      </w:r>
      <w:r>
        <w:t>t</w:t>
      </w:r>
      <w:r>
        <w:rPr>
          <w:spacing w:val="-1"/>
        </w:rPr>
        <w:t>e</w:t>
      </w:r>
      <w:r>
        <w:t>d</w:t>
      </w:r>
      <w:r>
        <w:rPr>
          <w:spacing w:val="2"/>
        </w:rPr>
        <w:t xml:space="preserve"> </w:t>
      </w:r>
      <w:r>
        <w:t>with subs</w:t>
      </w:r>
      <w:r>
        <w:rPr>
          <w:spacing w:val="-1"/>
        </w:rPr>
        <w:t>e</w:t>
      </w:r>
      <w:r>
        <w:t>qu</w:t>
      </w:r>
      <w:r>
        <w:rPr>
          <w:spacing w:val="-1"/>
        </w:rPr>
        <w:t>e</w:t>
      </w:r>
      <w:r>
        <w:t xml:space="preserve">nt </w:t>
      </w:r>
      <w:r>
        <w:rPr>
          <w:spacing w:val="-1"/>
        </w:rPr>
        <w:t>a</w:t>
      </w:r>
      <w:r>
        <w:t>m</w:t>
      </w:r>
      <w:r>
        <w:rPr>
          <w:spacing w:val="-1"/>
        </w:rPr>
        <w:t>e</w:t>
      </w:r>
      <w:r>
        <w:t>ndm</w:t>
      </w:r>
      <w:r>
        <w:rPr>
          <w:spacing w:val="-1"/>
        </w:rPr>
        <w:t>e</w:t>
      </w:r>
      <w:r>
        <w:t>nts</w:t>
      </w:r>
      <w:r>
        <w:rPr>
          <w:spacing w:val="3"/>
        </w:rPr>
        <w:t xml:space="preserve"> </w:t>
      </w:r>
      <w:r>
        <w:t xml:space="preserve">to </w:t>
      </w:r>
      <w:r>
        <w:rPr>
          <w:spacing w:val="1"/>
        </w:rPr>
        <w:t>C</w:t>
      </w:r>
      <w:r>
        <w:t>oun</w:t>
      </w:r>
      <w:r>
        <w:rPr>
          <w:spacing w:val="-1"/>
        </w:rPr>
        <w:t>c</w:t>
      </w:r>
      <w:r>
        <w:t xml:space="preserve">il </w:t>
      </w:r>
      <w:r>
        <w:rPr>
          <w:spacing w:val="-1"/>
        </w:rPr>
        <w:t>F</w:t>
      </w:r>
      <w:r>
        <w:t>M</w:t>
      </w:r>
      <w:r>
        <w:rPr>
          <w:spacing w:val="1"/>
        </w:rPr>
        <w:t>P</w:t>
      </w:r>
      <w:r>
        <w:t>s will d</w:t>
      </w:r>
      <w:r>
        <w:rPr>
          <w:spacing w:val="-1"/>
        </w:rPr>
        <w:t>ra</w:t>
      </w:r>
      <w:r>
        <w:t xml:space="preserve">w </w:t>
      </w:r>
      <w:r>
        <w:rPr>
          <w:spacing w:val="-1"/>
        </w:rPr>
        <w:t>fr</w:t>
      </w:r>
      <w:r>
        <w:t>om or</w:t>
      </w:r>
      <w:r>
        <w:rPr>
          <w:spacing w:val="-1"/>
        </w:rPr>
        <w:t xml:space="preserve"> c</w:t>
      </w:r>
      <w:r>
        <w:t>ite</w:t>
      </w:r>
      <w:r>
        <w:rPr>
          <w:spacing w:val="-1"/>
        </w:rPr>
        <w:t xml:space="preserve"> </w:t>
      </w:r>
      <w:r>
        <w:rPr>
          <w:spacing w:val="5"/>
        </w:rPr>
        <w:t>b</w:t>
      </w:r>
      <w:r>
        <w:t>y</w:t>
      </w:r>
      <w:r>
        <w:rPr>
          <w:spacing w:val="-5"/>
        </w:rPr>
        <w:t xml:space="preserve"> </w:t>
      </w:r>
      <w:r>
        <w:rPr>
          <w:spacing w:val="2"/>
        </w:rPr>
        <w:t>r</w:t>
      </w:r>
      <w:r>
        <w:rPr>
          <w:spacing w:val="-1"/>
        </w:rPr>
        <w:t>ef</w:t>
      </w:r>
      <w:r>
        <w:rPr>
          <w:spacing w:val="1"/>
        </w:rPr>
        <w:t>e</w:t>
      </w:r>
      <w:r>
        <w:rPr>
          <w:spacing w:val="-1"/>
        </w:rPr>
        <w:t>re</w:t>
      </w:r>
      <w:r>
        <w:rPr>
          <w:spacing w:val="2"/>
        </w:rPr>
        <w:t>n</w:t>
      </w:r>
      <w:r>
        <w:rPr>
          <w:spacing w:val="-1"/>
        </w:rPr>
        <w:t>c</w:t>
      </w:r>
      <w:r>
        <w:t>e</w:t>
      </w:r>
      <w:r>
        <w:rPr>
          <w:spacing w:val="1"/>
        </w:rPr>
        <w:t xml:space="preserve"> </w:t>
      </w:r>
      <w:r>
        <w:t>the</w:t>
      </w:r>
      <w:r>
        <w:rPr>
          <w:spacing w:val="-1"/>
        </w:rPr>
        <w:t xml:space="preserve"> F</w:t>
      </w:r>
      <w:r>
        <w:t>E</w:t>
      </w:r>
      <w:r>
        <w:rPr>
          <w:spacing w:val="1"/>
        </w:rPr>
        <w:t>P</w:t>
      </w:r>
      <w:r>
        <w:t>.</w:t>
      </w:r>
    </w:p>
    <w:p w14:paraId="4DB39DC6" w14:textId="77777777" w:rsidR="00DC4922" w:rsidRDefault="00DC4922" w:rsidP="00DC4922">
      <w:pPr>
        <w:rPr>
          <w:sz w:val="26"/>
        </w:rPr>
      </w:pPr>
    </w:p>
    <w:p w14:paraId="7EB8991B" w14:textId="77777777" w:rsidR="00DC4922" w:rsidRDefault="00DC4922" w:rsidP="00640526">
      <w:pPr>
        <w:ind w:firstLine="360"/>
      </w:pPr>
      <w:r>
        <w:t>The</w:t>
      </w:r>
      <w:r>
        <w:rPr>
          <w:spacing w:val="-1"/>
        </w:rPr>
        <w:t xml:space="preserve"> F</w:t>
      </w:r>
      <w:r>
        <w:t>ish</w:t>
      </w:r>
      <w:r>
        <w:rPr>
          <w:spacing w:val="1"/>
        </w:rPr>
        <w:t>e</w:t>
      </w:r>
      <w:r>
        <w:rPr>
          <w:spacing w:val="4"/>
        </w:rPr>
        <w:t>r</w:t>
      </w:r>
      <w:r>
        <w:t>y</w:t>
      </w:r>
      <w:r>
        <w:rPr>
          <w:spacing w:val="-5"/>
        </w:rPr>
        <w:t xml:space="preserve"> </w:t>
      </w:r>
      <w:r>
        <w:t>E</w:t>
      </w:r>
      <w:r>
        <w:rPr>
          <w:spacing w:val="-1"/>
        </w:rPr>
        <w:t>c</w:t>
      </w:r>
      <w:r>
        <w:t>o</w:t>
      </w:r>
      <w:r>
        <w:rPr>
          <w:spacing w:val="5"/>
        </w:rPr>
        <w:t>s</w:t>
      </w:r>
      <w:r>
        <w:rPr>
          <w:spacing w:val="-5"/>
        </w:rPr>
        <w:t>y</w:t>
      </w:r>
      <w:r>
        <w:t>st</w:t>
      </w:r>
      <w:r>
        <w:rPr>
          <w:spacing w:val="-1"/>
        </w:rPr>
        <w:t>e</w:t>
      </w:r>
      <w:r>
        <w:t xml:space="preserve">m </w:t>
      </w:r>
      <w:r>
        <w:rPr>
          <w:spacing w:val="1"/>
        </w:rPr>
        <w:t>P</w:t>
      </w:r>
      <w:r>
        <w:t>l</w:t>
      </w:r>
      <w:r>
        <w:rPr>
          <w:spacing w:val="-1"/>
        </w:rPr>
        <w:t>a</w:t>
      </w:r>
      <w:r>
        <w:t xml:space="preserve">n </w:t>
      </w:r>
      <w:r>
        <w:rPr>
          <w:spacing w:val="-1"/>
        </w:rPr>
        <w:t>f</w:t>
      </w:r>
      <w:r>
        <w:t>or</w:t>
      </w:r>
      <w:r>
        <w:rPr>
          <w:spacing w:val="-1"/>
        </w:rPr>
        <w:t xml:space="preserve"> </w:t>
      </w:r>
      <w:r>
        <w:t>the</w:t>
      </w:r>
      <w:r>
        <w:rPr>
          <w:spacing w:val="-1"/>
        </w:rPr>
        <w:t xml:space="preserve"> </w:t>
      </w:r>
      <w:r>
        <w:rPr>
          <w:spacing w:val="1"/>
        </w:rPr>
        <w:t>S</w:t>
      </w:r>
      <w:r>
        <w:t>outh Atl</w:t>
      </w:r>
      <w:r>
        <w:rPr>
          <w:spacing w:val="-1"/>
        </w:rPr>
        <w:t>a</w:t>
      </w:r>
      <w:r>
        <w:t>ntic</w:t>
      </w:r>
      <w:r>
        <w:rPr>
          <w:spacing w:val="1"/>
        </w:rPr>
        <w:t xml:space="preserve"> R</w:t>
      </w:r>
      <w:r>
        <w:rPr>
          <w:spacing w:val="-1"/>
        </w:rPr>
        <w:t>e</w:t>
      </w:r>
      <w:r>
        <w:rPr>
          <w:spacing w:val="-2"/>
        </w:rPr>
        <w:t>g</w:t>
      </w:r>
      <w:r>
        <w:t xml:space="preserve">ion </w:t>
      </w:r>
      <w:r>
        <w:rPr>
          <w:spacing w:val="-1"/>
        </w:rPr>
        <w:t>e</w:t>
      </w:r>
      <w:r>
        <w:rPr>
          <w:spacing w:val="2"/>
        </w:rPr>
        <w:t>n</w:t>
      </w:r>
      <w:r>
        <w:rPr>
          <w:spacing w:val="-1"/>
        </w:rPr>
        <w:t>c</w:t>
      </w:r>
      <w:r>
        <w:t>omp</w:t>
      </w:r>
      <w:r>
        <w:rPr>
          <w:spacing w:val="-1"/>
        </w:rPr>
        <w:t>a</w:t>
      </w:r>
      <w:r>
        <w:t>ss</w:t>
      </w:r>
      <w:r>
        <w:rPr>
          <w:spacing w:val="-1"/>
        </w:rPr>
        <w:t>e</w:t>
      </w:r>
      <w:r>
        <w:t>s the</w:t>
      </w:r>
      <w:r>
        <w:rPr>
          <w:spacing w:val="1"/>
        </w:rPr>
        <w:t xml:space="preserve"> </w:t>
      </w:r>
      <w:r>
        <w:rPr>
          <w:spacing w:val="-1"/>
        </w:rPr>
        <w:t>f</w:t>
      </w:r>
      <w:r>
        <w:t>ollowing</w:t>
      </w:r>
      <w:r>
        <w:rPr>
          <w:spacing w:val="-2"/>
        </w:rPr>
        <w:t xml:space="preserve"> </w:t>
      </w:r>
      <w:r>
        <w:t>volume</w:t>
      </w:r>
      <w:r>
        <w:rPr>
          <w:spacing w:val="-1"/>
        </w:rPr>
        <w:t xml:space="preserve"> </w:t>
      </w:r>
      <w:r>
        <w:t>st</w:t>
      </w:r>
      <w:r>
        <w:rPr>
          <w:spacing w:val="-1"/>
        </w:rPr>
        <w:t>r</w:t>
      </w:r>
      <w:r>
        <w:t>u</w:t>
      </w:r>
      <w:r>
        <w:rPr>
          <w:spacing w:val="-1"/>
        </w:rPr>
        <w:t>c</w:t>
      </w:r>
      <w:r>
        <w:rPr>
          <w:spacing w:val="3"/>
        </w:rPr>
        <w:t>t</w:t>
      </w:r>
      <w:r>
        <w:t>u</w:t>
      </w:r>
      <w:r>
        <w:rPr>
          <w:spacing w:val="-1"/>
        </w:rPr>
        <w:t>re</w:t>
      </w:r>
      <w:r>
        <w:t xml:space="preserve">: </w:t>
      </w:r>
    </w:p>
    <w:p w14:paraId="0AD69B65" w14:textId="77777777" w:rsidR="00DC4922" w:rsidRDefault="00DC4922" w:rsidP="00DC4922">
      <w:r>
        <w:rPr>
          <w:spacing w:val="-1"/>
        </w:rPr>
        <w:t>F</w:t>
      </w:r>
      <w:r>
        <w:t>EP</w:t>
      </w:r>
      <w:r>
        <w:rPr>
          <w:spacing w:val="1"/>
        </w:rPr>
        <w:t xml:space="preserve"> </w:t>
      </w:r>
      <w:r>
        <w:t>Volume</w:t>
      </w:r>
      <w:r>
        <w:rPr>
          <w:spacing w:val="1"/>
        </w:rPr>
        <w:t xml:space="preserve"> </w:t>
      </w:r>
      <w:r>
        <w:t>I</w:t>
      </w:r>
      <w:r>
        <w:rPr>
          <w:spacing w:val="57"/>
        </w:rPr>
        <w:t xml:space="preserve"> </w:t>
      </w:r>
      <w:r>
        <w:t>-</w:t>
      </w:r>
      <w:r>
        <w:rPr>
          <w:spacing w:val="2"/>
        </w:rPr>
        <w:t xml:space="preserve"> </w:t>
      </w:r>
      <w:r>
        <w:rPr>
          <w:spacing w:val="-3"/>
        </w:rPr>
        <w:t>I</w:t>
      </w:r>
      <w:r>
        <w:t>n</w:t>
      </w:r>
      <w:r>
        <w:rPr>
          <w:spacing w:val="3"/>
        </w:rPr>
        <w:t>t</w:t>
      </w:r>
      <w:r>
        <w:rPr>
          <w:spacing w:val="-1"/>
        </w:rPr>
        <w:t>r</w:t>
      </w:r>
      <w:r>
        <w:t>od</w:t>
      </w:r>
      <w:r>
        <w:rPr>
          <w:spacing w:val="2"/>
        </w:rPr>
        <w:t>u</w:t>
      </w:r>
      <w:r>
        <w:rPr>
          <w:spacing w:val="-1"/>
        </w:rPr>
        <w:t>c</w:t>
      </w:r>
      <w:r>
        <w:t xml:space="preserve">tion </w:t>
      </w:r>
      <w:r>
        <w:rPr>
          <w:spacing w:val="-1"/>
        </w:rPr>
        <w:t>a</w:t>
      </w:r>
      <w:r>
        <w:t>nd Ov</w:t>
      </w:r>
      <w:r>
        <w:rPr>
          <w:spacing w:val="-1"/>
        </w:rPr>
        <w:t>er</w:t>
      </w:r>
      <w:r>
        <w:t>vi</w:t>
      </w:r>
      <w:r>
        <w:rPr>
          <w:spacing w:val="1"/>
        </w:rPr>
        <w:t>e</w:t>
      </w:r>
      <w:r>
        <w:t>w of</w:t>
      </w:r>
      <w:r>
        <w:rPr>
          <w:spacing w:val="2"/>
        </w:rPr>
        <w:t xml:space="preserve"> </w:t>
      </w:r>
      <w:r>
        <w:rPr>
          <w:spacing w:val="1"/>
        </w:rPr>
        <w:t>F</w:t>
      </w:r>
      <w:r>
        <w:t>EP</w:t>
      </w:r>
      <w:r>
        <w:rPr>
          <w:spacing w:val="1"/>
        </w:rPr>
        <w:t xml:space="preserve"> </w:t>
      </w:r>
      <w:r>
        <w:rPr>
          <w:spacing w:val="-1"/>
        </w:rPr>
        <w:t>f</w:t>
      </w:r>
      <w:r>
        <w:t>or</w:t>
      </w:r>
      <w:r>
        <w:rPr>
          <w:spacing w:val="-1"/>
        </w:rPr>
        <w:t xml:space="preserve"> </w:t>
      </w:r>
      <w:r>
        <w:t>the</w:t>
      </w:r>
      <w:r>
        <w:rPr>
          <w:spacing w:val="-1"/>
        </w:rPr>
        <w:t xml:space="preserve"> </w:t>
      </w:r>
      <w:r>
        <w:rPr>
          <w:spacing w:val="1"/>
        </w:rPr>
        <w:t>S</w:t>
      </w:r>
      <w:r>
        <w:t>outh Atl</w:t>
      </w:r>
      <w:r>
        <w:rPr>
          <w:spacing w:val="-1"/>
        </w:rPr>
        <w:t>a</w:t>
      </w:r>
      <w:r>
        <w:t>ntic</w:t>
      </w:r>
      <w:r>
        <w:rPr>
          <w:spacing w:val="-1"/>
        </w:rPr>
        <w:t xml:space="preserve"> </w:t>
      </w:r>
      <w:r>
        <w:rPr>
          <w:spacing w:val="1"/>
        </w:rPr>
        <w:t>R</w:t>
      </w:r>
      <w:r>
        <w:rPr>
          <w:spacing w:val="-1"/>
        </w:rPr>
        <w:t>e</w:t>
      </w:r>
      <w:r>
        <w:rPr>
          <w:spacing w:val="-2"/>
        </w:rPr>
        <w:t>g</w:t>
      </w:r>
      <w:r>
        <w:t>ion</w:t>
      </w:r>
    </w:p>
    <w:p w14:paraId="66142B76" w14:textId="77777777" w:rsidR="00DC4922" w:rsidRDefault="00DC4922" w:rsidP="00DC4922">
      <w:r>
        <w:rPr>
          <w:spacing w:val="-1"/>
        </w:rPr>
        <w:t>F</w:t>
      </w:r>
      <w:r>
        <w:t>EP</w:t>
      </w:r>
      <w:r>
        <w:rPr>
          <w:spacing w:val="1"/>
        </w:rPr>
        <w:t xml:space="preserve"> </w:t>
      </w:r>
      <w:r>
        <w:t>Volume</w:t>
      </w:r>
      <w:r>
        <w:rPr>
          <w:spacing w:val="1"/>
        </w:rPr>
        <w:t xml:space="preserve"> </w:t>
      </w:r>
      <w:r>
        <w:rPr>
          <w:spacing w:val="-1"/>
        </w:rPr>
        <w:t>I</w:t>
      </w:r>
      <w:r>
        <w:t>I</w:t>
      </w:r>
      <w:r>
        <w:rPr>
          <w:spacing w:val="-3"/>
        </w:rPr>
        <w:t xml:space="preserve"> </w:t>
      </w:r>
      <w:r>
        <w:t>-</w:t>
      </w:r>
      <w:r>
        <w:rPr>
          <w:spacing w:val="-1"/>
        </w:rPr>
        <w:t xml:space="preserve"> </w:t>
      </w:r>
      <w:r>
        <w:rPr>
          <w:spacing w:val="1"/>
        </w:rPr>
        <w:t>S</w:t>
      </w:r>
      <w:r>
        <w:t>outh</w:t>
      </w:r>
      <w:r>
        <w:rPr>
          <w:spacing w:val="2"/>
        </w:rPr>
        <w:t xml:space="preserve"> </w:t>
      </w:r>
      <w:r>
        <w:t>Atl</w:t>
      </w:r>
      <w:r>
        <w:rPr>
          <w:spacing w:val="-1"/>
        </w:rPr>
        <w:t>a</w:t>
      </w:r>
      <w:r>
        <w:t>ntic</w:t>
      </w:r>
      <w:r>
        <w:rPr>
          <w:spacing w:val="-1"/>
        </w:rPr>
        <w:t xml:space="preserve"> </w:t>
      </w:r>
      <w:r>
        <w:t>H</w:t>
      </w:r>
      <w:r>
        <w:rPr>
          <w:spacing w:val="-1"/>
        </w:rPr>
        <w:t>a</w:t>
      </w:r>
      <w:r>
        <w:t>bit</w:t>
      </w:r>
      <w:r>
        <w:rPr>
          <w:spacing w:val="-1"/>
        </w:rPr>
        <w:t>a</w:t>
      </w:r>
      <w:r>
        <w:t xml:space="preserve">ts </w:t>
      </w:r>
      <w:r>
        <w:rPr>
          <w:spacing w:val="-1"/>
        </w:rPr>
        <w:t>a</w:t>
      </w:r>
      <w:r>
        <w:t xml:space="preserve">nd </w:t>
      </w:r>
      <w:r>
        <w:rPr>
          <w:spacing w:val="1"/>
        </w:rPr>
        <w:t>S</w:t>
      </w:r>
      <w:r>
        <w:t>p</w:t>
      </w:r>
      <w:r>
        <w:rPr>
          <w:spacing w:val="-1"/>
        </w:rPr>
        <w:t>ec</w:t>
      </w:r>
      <w:r>
        <w:t>i</w:t>
      </w:r>
      <w:r>
        <w:rPr>
          <w:spacing w:val="-1"/>
        </w:rPr>
        <w:t>e</w:t>
      </w:r>
      <w:r>
        <w:t>s</w:t>
      </w:r>
    </w:p>
    <w:p w14:paraId="2ED4296E" w14:textId="77777777" w:rsidR="00DC4922" w:rsidRDefault="00DC4922" w:rsidP="00DC4922">
      <w:r>
        <w:rPr>
          <w:spacing w:val="-1"/>
        </w:rPr>
        <w:t>F</w:t>
      </w:r>
      <w:r>
        <w:t>EP</w:t>
      </w:r>
      <w:r>
        <w:rPr>
          <w:spacing w:val="1"/>
        </w:rPr>
        <w:t xml:space="preserve"> </w:t>
      </w:r>
      <w:r>
        <w:t>Volume</w:t>
      </w:r>
      <w:r>
        <w:rPr>
          <w:spacing w:val="1"/>
        </w:rPr>
        <w:t xml:space="preserve"> </w:t>
      </w:r>
      <w:r>
        <w:rPr>
          <w:spacing w:val="-1"/>
        </w:rPr>
        <w:t>II</w:t>
      </w:r>
      <w:r>
        <w:t>I</w:t>
      </w:r>
      <w:r>
        <w:rPr>
          <w:spacing w:val="-1"/>
        </w:rPr>
        <w:t xml:space="preserve"> </w:t>
      </w:r>
      <w:r>
        <w:t>-</w:t>
      </w:r>
      <w:r>
        <w:rPr>
          <w:spacing w:val="-1"/>
        </w:rPr>
        <w:t xml:space="preserve"> </w:t>
      </w:r>
      <w:r>
        <w:rPr>
          <w:spacing w:val="1"/>
        </w:rPr>
        <w:t>S</w:t>
      </w:r>
      <w:r>
        <w:t>outh Atl</w:t>
      </w:r>
      <w:r>
        <w:rPr>
          <w:spacing w:val="-1"/>
        </w:rPr>
        <w:t>a</w:t>
      </w:r>
      <w:r>
        <w:t>ntic</w:t>
      </w:r>
      <w:r>
        <w:rPr>
          <w:spacing w:val="-1"/>
        </w:rPr>
        <w:t xml:space="preserve"> </w:t>
      </w:r>
      <w:r>
        <w:t>Hum</w:t>
      </w:r>
      <w:r>
        <w:rPr>
          <w:spacing w:val="-1"/>
        </w:rPr>
        <w:t>a</w:t>
      </w:r>
      <w:r>
        <w:t xml:space="preserve">n </w:t>
      </w:r>
      <w:r>
        <w:rPr>
          <w:spacing w:val="-1"/>
        </w:rPr>
        <w:t>a</w:t>
      </w:r>
      <w:r>
        <w:t>nd</w:t>
      </w:r>
      <w:r>
        <w:rPr>
          <w:spacing w:val="2"/>
        </w:rPr>
        <w:t xml:space="preserve"> </w:t>
      </w:r>
      <w:r>
        <w:rPr>
          <w:spacing w:val="-3"/>
        </w:rPr>
        <w:t>I</w:t>
      </w:r>
      <w:r>
        <w:t>nst</w:t>
      </w:r>
      <w:r>
        <w:rPr>
          <w:spacing w:val="3"/>
        </w:rPr>
        <w:t>i</w:t>
      </w:r>
      <w:r>
        <w:t>tution</w:t>
      </w:r>
      <w:r>
        <w:rPr>
          <w:spacing w:val="-1"/>
        </w:rPr>
        <w:t>a</w:t>
      </w:r>
      <w:r>
        <w:t>l Envi</w:t>
      </w:r>
      <w:r>
        <w:rPr>
          <w:spacing w:val="-1"/>
        </w:rPr>
        <w:t>r</w:t>
      </w:r>
      <w:r>
        <w:t>onm</w:t>
      </w:r>
      <w:r>
        <w:rPr>
          <w:spacing w:val="-1"/>
        </w:rPr>
        <w:t>e</w:t>
      </w:r>
      <w:r>
        <w:t>nt</w:t>
      </w:r>
    </w:p>
    <w:p w14:paraId="1C463974" w14:textId="77777777" w:rsidR="00DC4922" w:rsidRDefault="00DC4922" w:rsidP="00DC4922">
      <w:r>
        <w:rPr>
          <w:spacing w:val="-1"/>
        </w:rPr>
        <w:t>F</w:t>
      </w:r>
      <w:r>
        <w:t>EP</w:t>
      </w:r>
      <w:r>
        <w:rPr>
          <w:spacing w:val="1"/>
        </w:rPr>
        <w:t xml:space="preserve"> </w:t>
      </w:r>
      <w:r>
        <w:t>Volume</w:t>
      </w:r>
      <w:r>
        <w:rPr>
          <w:spacing w:val="1"/>
        </w:rPr>
        <w:t xml:space="preserve"> </w:t>
      </w:r>
      <w:r>
        <w:rPr>
          <w:spacing w:val="-3"/>
        </w:rPr>
        <w:t>I</w:t>
      </w:r>
      <w:r>
        <w:t>V -</w:t>
      </w:r>
      <w:r>
        <w:rPr>
          <w:spacing w:val="-1"/>
        </w:rPr>
        <w:t xml:space="preserve"> </w:t>
      </w:r>
      <w:r>
        <w:t>T</w:t>
      </w:r>
      <w:r>
        <w:rPr>
          <w:spacing w:val="2"/>
        </w:rPr>
        <w:t>h</w:t>
      </w:r>
      <w:r>
        <w:rPr>
          <w:spacing w:val="-1"/>
        </w:rPr>
        <w:t>r</w:t>
      </w:r>
      <w:r>
        <w:rPr>
          <w:spacing w:val="1"/>
        </w:rPr>
        <w:t>e</w:t>
      </w:r>
      <w:r>
        <w:rPr>
          <w:spacing w:val="-1"/>
        </w:rPr>
        <w:t>a</w:t>
      </w:r>
      <w:r>
        <w:t xml:space="preserve">ts to </w:t>
      </w:r>
      <w:r>
        <w:rPr>
          <w:spacing w:val="1"/>
        </w:rPr>
        <w:t>S</w:t>
      </w:r>
      <w:r>
        <w:t>outh Atl</w:t>
      </w:r>
      <w:r>
        <w:rPr>
          <w:spacing w:val="-1"/>
        </w:rPr>
        <w:t>a</w:t>
      </w:r>
      <w:r>
        <w:t>ntic</w:t>
      </w:r>
      <w:r>
        <w:rPr>
          <w:spacing w:val="-1"/>
        </w:rPr>
        <w:t xml:space="preserve"> </w:t>
      </w:r>
      <w:r>
        <w:t>E</w:t>
      </w:r>
      <w:r>
        <w:rPr>
          <w:spacing w:val="-1"/>
        </w:rPr>
        <w:t>c</w:t>
      </w:r>
      <w:r>
        <w:t>o</w:t>
      </w:r>
      <w:r>
        <w:rPr>
          <w:spacing w:val="3"/>
        </w:rPr>
        <w:t>s</w:t>
      </w:r>
      <w:r>
        <w:rPr>
          <w:spacing w:val="-2"/>
        </w:rPr>
        <w:t>y</w:t>
      </w:r>
      <w:r>
        <w:t>st</w:t>
      </w:r>
      <w:r>
        <w:rPr>
          <w:spacing w:val="-1"/>
        </w:rPr>
        <w:t>e</w:t>
      </w:r>
      <w:r>
        <w:t xml:space="preserve">m </w:t>
      </w:r>
      <w:r>
        <w:rPr>
          <w:spacing w:val="-1"/>
        </w:rPr>
        <w:t>a</w:t>
      </w:r>
      <w:r>
        <w:t xml:space="preserve">nd </w:t>
      </w:r>
      <w:r>
        <w:rPr>
          <w:spacing w:val="1"/>
        </w:rPr>
        <w:t>R</w:t>
      </w:r>
      <w:r>
        <w:rPr>
          <w:spacing w:val="-1"/>
        </w:rPr>
        <w:t>ec</w:t>
      </w:r>
      <w:r>
        <w:t>omm</w:t>
      </w:r>
      <w:r>
        <w:rPr>
          <w:spacing w:val="-1"/>
        </w:rPr>
        <w:t>e</w:t>
      </w:r>
      <w:r>
        <w:t>nd</w:t>
      </w:r>
      <w:r>
        <w:rPr>
          <w:spacing w:val="-1"/>
        </w:rPr>
        <w:t>a</w:t>
      </w:r>
      <w:r>
        <w:t>t</w:t>
      </w:r>
      <w:r>
        <w:rPr>
          <w:spacing w:val="3"/>
        </w:rPr>
        <w:t>i</w:t>
      </w:r>
      <w:r>
        <w:t>ons</w:t>
      </w:r>
    </w:p>
    <w:p w14:paraId="4D16DE79" w14:textId="77777777" w:rsidR="00DC4922" w:rsidRDefault="00DC4922" w:rsidP="00DC4922">
      <w:r>
        <w:rPr>
          <w:spacing w:val="-1"/>
        </w:rPr>
        <w:t>F</w:t>
      </w:r>
      <w:r>
        <w:t>EP</w:t>
      </w:r>
      <w:r>
        <w:rPr>
          <w:spacing w:val="1"/>
        </w:rPr>
        <w:t xml:space="preserve"> </w:t>
      </w:r>
      <w:r>
        <w:t>Volume</w:t>
      </w:r>
      <w:r>
        <w:rPr>
          <w:spacing w:val="-1"/>
        </w:rPr>
        <w:t xml:space="preserve"> </w:t>
      </w:r>
      <w:r>
        <w:t>V -</w:t>
      </w:r>
      <w:r>
        <w:rPr>
          <w:spacing w:val="-1"/>
        </w:rPr>
        <w:t xml:space="preserve"> </w:t>
      </w:r>
      <w:r>
        <w:rPr>
          <w:spacing w:val="1"/>
        </w:rPr>
        <w:t>S</w:t>
      </w:r>
      <w:r>
        <w:t>outh Atl</w:t>
      </w:r>
      <w:r>
        <w:rPr>
          <w:spacing w:val="-1"/>
        </w:rPr>
        <w:t>a</w:t>
      </w:r>
      <w:r>
        <w:t>ntic</w:t>
      </w:r>
      <w:r>
        <w:rPr>
          <w:spacing w:val="-1"/>
        </w:rPr>
        <w:t xml:space="preserve"> </w:t>
      </w:r>
      <w:r>
        <w:rPr>
          <w:spacing w:val="1"/>
        </w:rPr>
        <w:t>R</w:t>
      </w:r>
      <w:r>
        <w:rPr>
          <w:spacing w:val="-1"/>
        </w:rPr>
        <w:t>e</w:t>
      </w:r>
      <w:r>
        <w:t>s</w:t>
      </w:r>
      <w:r>
        <w:rPr>
          <w:spacing w:val="-1"/>
        </w:rPr>
        <w:t>ea</w:t>
      </w:r>
      <w:r>
        <w:rPr>
          <w:spacing w:val="2"/>
        </w:rPr>
        <w:t>r</w:t>
      </w:r>
      <w:r>
        <w:rPr>
          <w:spacing w:val="-1"/>
        </w:rPr>
        <w:t>c</w:t>
      </w:r>
      <w:r>
        <w:t xml:space="preserve">h </w:t>
      </w:r>
      <w:r>
        <w:rPr>
          <w:spacing w:val="1"/>
        </w:rPr>
        <w:t>P</w:t>
      </w:r>
      <w:r>
        <w:rPr>
          <w:spacing w:val="-1"/>
        </w:rPr>
        <w:t>r</w:t>
      </w:r>
      <w:r>
        <w:rPr>
          <w:spacing w:val="2"/>
        </w:rPr>
        <w:t>o</w:t>
      </w:r>
      <w:r>
        <w:rPr>
          <w:spacing w:val="-2"/>
        </w:rPr>
        <w:t>g</w:t>
      </w:r>
      <w:r>
        <w:rPr>
          <w:spacing w:val="-1"/>
        </w:rPr>
        <w:t>r</w:t>
      </w:r>
      <w:r>
        <w:rPr>
          <w:spacing w:val="1"/>
        </w:rPr>
        <w:t>a</w:t>
      </w:r>
      <w:r>
        <w:t xml:space="preserve">ms </w:t>
      </w:r>
      <w:r>
        <w:rPr>
          <w:spacing w:val="-1"/>
        </w:rPr>
        <w:t>a</w:t>
      </w:r>
      <w:r>
        <w:t>nd D</w:t>
      </w:r>
      <w:r>
        <w:rPr>
          <w:spacing w:val="-1"/>
        </w:rPr>
        <w:t>a</w:t>
      </w:r>
      <w:r>
        <w:t>ta</w:t>
      </w:r>
      <w:r>
        <w:rPr>
          <w:spacing w:val="-1"/>
        </w:rPr>
        <w:t xml:space="preserve"> </w:t>
      </w:r>
      <w:r>
        <w:rPr>
          <w:spacing w:val="2"/>
        </w:rPr>
        <w:t>N</w:t>
      </w:r>
      <w:r>
        <w:rPr>
          <w:spacing w:val="-1"/>
        </w:rPr>
        <w:t>ee</w:t>
      </w:r>
      <w:r>
        <w:t>ds</w:t>
      </w:r>
    </w:p>
    <w:p w14:paraId="01619ECE" w14:textId="77777777" w:rsidR="00DC4922" w:rsidRDefault="00DC4922" w:rsidP="00DC4922">
      <w:r>
        <w:rPr>
          <w:spacing w:val="-1"/>
        </w:rPr>
        <w:t>F</w:t>
      </w:r>
      <w:r>
        <w:t>EP</w:t>
      </w:r>
      <w:r>
        <w:rPr>
          <w:spacing w:val="1"/>
        </w:rPr>
        <w:t xml:space="preserve"> </w:t>
      </w:r>
      <w:r>
        <w:t>Volume</w:t>
      </w:r>
      <w:r>
        <w:rPr>
          <w:spacing w:val="-1"/>
        </w:rPr>
        <w:t xml:space="preserve"> </w:t>
      </w:r>
      <w:r>
        <w:rPr>
          <w:spacing w:val="2"/>
        </w:rPr>
        <w:t>V</w:t>
      </w:r>
      <w:r>
        <w:t>I</w:t>
      </w:r>
      <w:r>
        <w:rPr>
          <w:spacing w:val="-3"/>
        </w:rPr>
        <w:t xml:space="preserve"> </w:t>
      </w:r>
      <w:r>
        <w:t>-</w:t>
      </w:r>
      <w:r>
        <w:rPr>
          <w:spacing w:val="-1"/>
        </w:rPr>
        <w:t xml:space="preserve"> </w:t>
      </w:r>
      <w:r>
        <w:rPr>
          <w:spacing w:val="1"/>
        </w:rPr>
        <w:t>Re</w:t>
      </w:r>
      <w:r>
        <w:rPr>
          <w:spacing w:val="-1"/>
        </w:rPr>
        <w:t>fe</w:t>
      </w:r>
      <w:r>
        <w:rPr>
          <w:spacing w:val="2"/>
        </w:rPr>
        <w:t>r</w:t>
      </w:r>
      <w:r>
        <w:rPr>
          <w:spacing w:val="1"/>
        </w:rPr>
        <w:t>e</w:t>
      </w:r>
      <w:r>
        <w:t>n</w:t>
      </w:r>
      <w:r>
        <w:rPr>
          <w:spacing w:val="-1"/>
        </w:rPr>
        <w:t>ce</w:t>
      </w:r>
      <w:r>
        <w:t xml:space="preserve">s </w:t>
      </w:r>
      <w:r>
        <w:rPr>
          <w:spacing w:val="-1"/>
        </w:rPr>
        <w:t>a</w:t>
      </w:r>
      <w:r>
        <w:t>nd Ap</w:t>
      </w:r>
      <w:r>
        <w:rPr>
          <w:spacing w:val="2"/>
        </w:rPr>
        <w:t>p</w:t>
      </w:r>
      <w:r>
        <w:rPr>
          <w:spacing w:val="-1"/>
        </w:rPr>
        <w:t>e</w:t>
      </w:r>
      <w:r>
        <w:t>ndi</w:t>
      </w:r>
      <w:r>
        <w:rPr>
          <w:spacing w:val="-1"/>
        </w:rPr>
        <w:t>ce</w:t>
      </w:r>
      <w:r>
        <w:t>s</w:t>
      </w:r>
    </w:p>
    <w:p w14:paraId="1915E5F5" w14:textId="77777777" w:rsidR="00DC4922" w:rsidRDefault="00DC4922" w:rsidP="00DC4922">
      <w:pPr>
        <w:rPr>
          <w:sz w:val="26"/>
        </w:rPr>
      </w:pPr>
    </w:p>
    <w:p w14:paraId="7823A66B" w14:textId="77777777" w:rsidR="00DC4922" w:rsidRDefault="00DC4922" w:rsidP="00640526">
      <w:pPr>
        <w:ind w:firstLine="360"/>
      </w:pPr>
      <w:r>
        <w:rPr>
          <w:spacing w:val="1"/>
        </w:rPr>
        <w:t>C</w:t>
      </w:r>
      <w:r>
        <w:t>omp</w:t>
      </w:r>
      <w:r>
        <w:rPr>
          <w:spacing w:val="-1"/>
        </w:rPr>
        <w:t>re</w:t>
      </w:r>
      <w:r>
        <w:t>h</w:t>
      </w:r>
      <w:r>
        <w:rPr>
          <w:spacing w:val="-1"/>
        </w:rPr>
        <w:t>e</w:t>
      </w:r>
      <w:r>
        <w:t>nsive</w:t>
      </w:r>
      <w:r>
        <w:rPr>
          <w:spacing w:val="-1"/>
        </w:rPr>
        <w:t xml:space="preserve"> </w:t>
      </w:r>
      <w:r>
        <w:t>E</w:t>
      </w:r>
      <w:r>
        <w:rPr>
          <w:spacing w:val="-1"/>
        </w:rPr>
        <w:t>c</w:t>
      </w:r>
      <w:r>
        <w:t>o</w:t>
      </w:r>
      <w:r>
        <w:rPr>
          <w:spacing w:val="5"/>
        </w:rPr>
        <w:t>s</w:t>
      </w:r>
      <w:r>
        <w:rPr>
          <w:spacing w:val="-5"/>
        </w:rPr>
        <w:t>y</w:t>
      </w:r>
      <w:r>
        <w:t>st</w:t>
      </w:r>
      <w:r>
        <w:rPr>
          <w:spacing w:val="1"/>
        </w:rPr>
        <w:t>e</w:t>
      </w:r>
      <w:r>
        <w:t>m</w:t>
      </w:r>
      <w:r>
        <w:rPr>
          <w:spacing w:val="-1"/>
        </w:rPr>
        <w:t>-</w:t>
      </w:r>
      <w:r>
        <w:rPr>
          <w:spacing w:val="-2"/>
        </w:rPr>
        <w:t>B</w:t>
      </w:r>
      <w:r>
        <w:rPr>
          <w:spacing w:val="-1"/>
        </w:rPr>
        <w:t>a</w:t>
      </w:r>
      <w:r>
        <w:t>s</w:t>
      </w:r>
      <w:r>
        <w:rPr>
          <w:spacing w:val="-1"/>
        </w:rPr>
        <w:t>e</w:t>
      </w:r>
      <w:r>
        <w:t>d</w:t>
      </w:r>
      <w:r>
        <w:rPr>
          <w:spacing w:val="2"/>
        </w:rPr>
        <w:t xml:space="preserve"> </w:t>
      </w:r>
      <w:r>
        <w:t>Am</w:t>
      </w:r>
      <w:r>
        <w:rPr>
          <w:spacing w:val="-1"/>
        </w:rPr>
        <w:t>e</w:t>
      </w:r>
      <w:r>
        <w:t>ndm</w:t>
      </w:r>
      <w:r>
        <w:rPr>
          <w:spacing w:val="-1"/>
        </w:rPr>
        <w:t>e</w:t>
      </w:r>
      <w:r>
        <w:t xml:space="preserve">nt </w:t>
      </w:r>
      <w:r>
        <w:rPr>
          <w:spacing w:val="-1"/>
        </w:rPr>
        <w:t>(</w:t>
      </w:r>
      <w:r>
        <w:rPr>
          <w:spacing w:val="3"/>
        </w:rPr>
        <w:t>C</w:t>
      </w:r>
      <w:r>
        <w:t>E</w:t>
      </w:r>
      <w:r>
        <w:rPr>
          <w:spacing w:val="-1"/>
        </w:rPr>
        <w:t>-</w:t>
      </w:r>
      <w:r>
        <w:rPr>
          <w:spacing w:val="-2"/>
        </w:rPr>
        <w:t>B</w:t>
      </w:r>
      <w:r>
        <w:rPr>
          <w:spacing w:val="2"/>
        </w:rPr>
        <w:t>A</w:t>
      </w:r>
      <w:r>
        <w:t>)</w:t>
      </w:r>
      <w:r>
        <w:rPr>
          <w:spacing w:val="-1"/>
        </w:rPr>
        <w:t xml:space="preserve"> </w:t>
      </w:r>
      <w:r>
        <w:t xml:space="preserve">1 </w:t>
      </w:r>
      <w:r>
        <w:rPr>
          <w:spacing w:val="-1"/>
        </w:rPr>
        <w:t>(</w:t>
      </w:r>
      <w:r>
        <w:rPr>
          <w:spacing w:val="1"/>
        </w:rPr>
        <w:t>S</w:t>
      </w:r>
      <w:r>
        <w:t>A</w:t>
      </w:r>
      <w:r>
        <w:rPr>
          <w:spacing w:val="-1"/>
        </w:rPr>
        <w:t>F</w:t>
      </w:r>
      <w:r>
        <w:t>MC</w:t>
      </w:r>
      <w:r>
        <w:rPr>
          <w:spacing w:val="1"/>
        </w:rPr>
        <w:t xml:space="preserve"> </w:t>
      </w:r>
      <w:r>
        <w:t>2009</w:t>
      </w:r>
      <w:r>
        <w:rPr>
          <w:spacing w:val="2"/>
        </w:rPr>
        <w:t>b</w:t>
      </w:r>
      <w:r>
        <w:t>)</w:t>
      </w:r>
      <w:r>
        <w:rPr>
          <w:spacing w:val="-1"/>
        </w:rPr>
        <w:t xml:space="preserve"> </w:t>
      </w:r>
      <w:r>
        <w:t>is suppo</w:t>
      </w:r>
      <w:r>
        <w:rPr>
          <w:spacing w:val="-1"/>
        </w:rPr>
        <w:t>r</w:t>
      </w:r>
      <w:r>
        <w:t>t</w:t>
      </w:r>
      <w:r>
        <w:rPr>
          <w:spacing w:val="-1"/>
        </w:rPr>
        <w:t>e</w:t>
      </w:r>
      <w:r>
        <w:t xml:space="preserve">d </w:t>
      </w:r>
      <w:r>
        <w:rPr>
          <w:spacing w:val="2"/>
        </w:rPr>
        <w:t>b</w:t>
      </w:r>
      <w:r>
        <w:t>y</w:t>
      </w:r>
      <w:r>
        <w:rPr>
          <w:spacing w:val="-5"/>
        </w:rPr>
        <w:t xml:space="preserve"> </w:t>
      </w:r>
      <w:r>
        <w:t>this</w:t>
      </w:r>
      <w:r>
        <w:rPr>
          <w:spacing w:val="3"/>
        </w:rPr>
        <w:t xml:space="preserve"> </w:t>
      </w:r>
      <w:r>
        <w:rPr>
          <w:spacing w:val="-1"/>
        </w:rPr>
        <w:t>F</w:t>
      </w:r>
      <w:r>
        <w:rPr>
          <w:spacing w:val="2"/>
        </w:rPr>
        <w:t>E</w:t>
      </w:r>
      <w:r>
        <w:t xml:space="preserve">P </w:t>
      </w:r>
      <w:r>
        <w:rPr>
          <w:spacing w:val="-1"/>
        </w:rPr>
        <w:t>a</w:t>
      </w:r>
      <w:r>
        <w:t>nd upd</w:t>
      </w:r>
      <w:r>
        <w:rPr>
          <w:spacing w:val="-1"/>
        </w:rPr>
        <w:t>a</w:t>
      </w:r>
      <w:r>
        <w:t>t</w:t>
      </w:r>
      <w:r>
        <w:rPr>
          <w:spacing w:val="-1"/>
        </w:rPr>
        <w:t>e</w:t>
      </w:r>
      <w:r>
        <w:t xml:space="preserve">d </w:t>
      </w:r>
      <w:r>
        <w:rPr>
          <w:spacing w:val="2"/>
        </w:rPr>
        <w:t>E</w:t>
      </w:r>
      <w:r>
        <w:rPr>
          <w:spacing w:val="-1"/>
        </w:rPr>
        <w:t>F</w:t>
      </w:r>
      <w:r>
        <w:t xml:space="preserve">H </w:t>
      </w:r>
      <w:r>
        <w:rPr>
          <w:spacing w:val="-1"/>
        </w:rPr>
        <w:t>a</w:t>
      </w:r>
      <w:r>
        <w:t xml:space="preserve">nd </w:t>
      </w:r>
      <w:r>
        <w:rPr>
          <w:spacing w:val="2"/>
        </w:rPr>
        <w:t>E</w:t>
      </w:r>
      <w:r>
        <w:rPr>
          <w:spacing w:val="1"/>
        </w:rPr>
        <w:t>F</w:t>
      </w:r>
      <w:r>
        <w:t>H</w:t>
      </w:r>
      <w:r>
        <w:rPr>
          <w:spacing w:val="-1"/>
        </w:rPr>
        <w:t>-</w:t>
      </w:r>
      <w:r>
        <w:t>HA</w:t>
      </w:r>
      <w:r>
        <w:rPr>
          <w:spacing w:val="1"/>
        </w:rPr>
        <w:t>P</w:t>
      </w:r>
      <w:r>
        <w:t>C</w:t>
      </w:r>
      <w:r>
        <w:rPr>
          <w:spacing w:val="1"/>
        </w:rPr>
        <w:t xml:space="preserve"> </w:t>
      </w:r>
      <w:r>
        <w:t>in</w:t>
      </w:r>
      <w:r>
        <w:rPr>
          <w:spacing w:val="-1"/>
        </w:rPr>
        <w:t>f</w:t>
      </w:r>
      <w:r>
        <w:t>o</w:t>
      </w:r>
      <w:r>
        <w:rPr>
          <w:spacing w:val="-1"/>
        </w:rPr>
        <w:t>r</w:t>
      </w:r>
      <w:r>
        <w:t>m</w:t>
      </w:r>
      <w:r>
        <w:rPr>
          <w:spacing w:val="-1"/>
        </w:rPr>
        <w:t>a</w:t>
      </w:r>
      <w:r>
        <w:t xml:space="preserve">tion </w:t>
      </w:r>
      <w:r>
        <w:rPr>
          <w:spacing w:val="-1"/>
        </w:rPr>
        <w:t>a</w:t>
      </w:r>
      <w:r>
        <w:rPr>
          <w:spacing w:val="2"/>
        </w:rPr>
        <w:t>n</w:t>
      </w:r>
      <w:r>
        <w:t xml:space="preserve">d </w:t>
      </w:r>
      <w:r>
        <w:rPr>
          <w:spacing w:val="-1"/>
        </w:rPr>
        <w:t>a</w:t>
      </w:r>
      <w:r>
        <w:t>dd</w:t>
      </w:r>
      <w:r>
        <w:rPr>
          <w:spacing w:val="-1"/>
        </w:rPr>
        <w:t>re</w:t>
      </w:r>
      <w:r>
        <w:t>ss</w:t>
      </w:r>
      <w:r>
        <w:rPr>
          <w:spacing w:val="-1"/>
        </w:rPr>
        <w:t>e</w:t>
      </w:r>
      <w:r>
        <w:t>d the</w:t>
      </w:r>
      <w:r>
        <w:rPr>
          <w:spacing w:val="1"/>
        </w:rPr>
        <w:t xml:space="preserve"> </w:t>
      </w:r>
      <w:r>
        <w:rPr>
          <w:spacing w:val="-1"/>
        </w:rPr>
        <w:t>F</w:t>
      </w:r>
      <w:r>
        <w:t>in</w:t>
      </w:r>
      <w:r>
        <w:rPr>
          <w:spacing w:val="-1"/>
        </w:rPr>
        <w:t>a</w:t>
      </w:r>
      <w:r>
        <w:t xml:space="preserve">l </w:t>
      </w:r>
      <w:r>
        <w:rPr>
          <w:spacing w:val="2"/>
        </w:rPr>
        <w:t>E</w:t>
      </w:r>
      <w:r>
        <w:rPr>
          <w:spacing w:val="1"/>
        </w:rPr>
        <w:t>F</w:t>
      </w:r>
      <w:r>
        <w:t xml:space="preserve">H </w:t>
      </w:r>
      <w:r>
        <w:rPr>
          <w:spacing w:val="1"/>
        </w:rPr>
        <w:t>R</w:t>
      </w:r>
      <w:r>
        <w:t>ule</w:t>
      </w:r>
      <w:r>
        <w:rPr>
          <w:spacing w:val="-1"/>
        </w:rPr>
        <w:t xml:space="preserve"> (e</w:t>
      </w:r>
      <w:r>
        <w:rPr>
          <w:spacing w:val="2"/>
        </w:rPr>
        <w:t>.</w:t>
      </w:r>
      <w:r>
        <w:rPr>
          <w:spacing w:val="-2"/>
        </w:rPr>
        <w:t>g</w:t>
      </w:r>
      <w:r>
        <w:t xml:space="preserve">., </w:t>
      </w:r>
      <w:r>
        <w:rPr>
          <w:spacing w:val="2"/>
        </w:rPr>
        <w:t>G</w:t>
      </w:r>
      <w:r>
        <w:rPr>
          <w:spacing w:val="-3"/>
        </w:rPr>
        <w:t>I</w:t>
      </w:r>
      <w:r>
        <w:t>S</w:t>
      </w:r>
      <w:r>
        <w:rPr>
          <w:spacing w:val="1"/>
        </w:rPr>
        <w:t xml:space="preserve"> </w:t>
      </w:r>
      <w:r>
        <w:t>p</w:t>
      </w:r>
      <w:r>
        <w:rPr>
          <w:spacing w:val="2"/>
        </w:rPr>
        <w:t>r</w:t>
      </w:r>
      <w:r>
        <w:rPr>
          <w:spacing w:val="-1"/>
        </w:rPr>
        <w:t>e</w:t>
      </w:r>
      <w:r>
        <w:t>s</w:t>
      </w:r>
      <w:r>
        <w:rPr>
          <w:spacing w:val="-1"/>
        </w:rPr>
        <w:t>e</w:t>
      </w:r>
      <w:r>
        <w:t>n</w:t>
      </w:r>
      <w:r>
        <w:rPr>
          <w:spacing w:val="3"/>
        </w:rPr>
        <w:t>t</w:t>
      </w:r>
      <w:r>
        <w:rPr>
          <w:spacing w:val="-1"/>
        </w:rPr>
        <w:t>e</w:t>
      </w:r>
      <w:r>
        <w:t xml:space="preserve">d </w:t>
      </w:r>
      <w:r>
        <w:rPr>
          <w:spacing w:val="-1"/>
        </w:rPr>
        <w:t>f</w:t>
      </w:r>
      <w:r>
        <w:t>or</w:t>
      </w:r>
      <w:r>
        <w:rPr>
          <w:spacing w:val="-1"/>
        </w:rPr>
        <w:t xml:space="preserve"> a</w:t>
      </w:r>
      <w:r>
        <w:t>ll E</w:t>
      </w:r>
      <w:r>
        <w:rPr>
          <w:spacing w:val="1"/>
        </w:rPr>
        <w:t>F</w:t>
      </w:r>
      <w:r>
        <w:t xml:space="preserve">H </w:t>
      </w:r>
      <w:r>
        <w:rPr>
          <w:spacing w:val="-1"/>
        </w:rPr>
        <w:t>a</w:t>
      </w:r>
      <w:r>
        <w:t xml:space="preserve">nd </w:t>
      </w:r>
      <w:r>
        <w:rPr>
          <w:spacing w:val="2"/>
        </w:rPr>
        <w:t>E</w:t>
      </w:r>
      <w:r>
        <w:rPr>
          <w:spacing w:val="-1"/>
        </w:rPr>
        <w:t>F</w:t>
      </w:r>
      <w:r>
        <w:t>H</w:t>
      </w:r>
      <w:r>
        <w:rPr>
          <w:spacing w:val="-1"/>
        </w:rPr>
        <w:t>-</w:t>
      </w:r>
      <w:r>
        <w:rPr>
          <w:spacing w:val="2"/>
        </w:rPr>
        <w:t>HA</w:t>
      </w:r>
      <w:r>
        <w:rPr>
          <w:spacing w:val="1"/>
        </w:rPr>
        <w:t>PC</w:t>
      </w:r>
      <w:r>
        <w:t>s</w:t>
      </w:r>
      <w:r>
        <w:rPr>
          <w:spacing w:val="-1"/>
        </w:rPr>
        <w:t>)</w:t>
      </w:r>
      <w:r>
        <w:t>. M</w:t>
      </w:r>
      <w:r>
        <w:rPr>
          <w:spacing w:val="-1"/>
        </w:rPr>
        <w:t>a</w:t>
      </w:r>
      <w:r>
        <w:t>n</w:t>
      </w:r>
      <w:r>
        <w:rPr>
          <w:spacing w:val="-1"/>
        </w:rPr>
        <w:t>a</w:t>
      </w:r>
      <w:r>
        <w:t>g</w:t>
      </w:r>
      <w:r>
        <w:rPr>
          <w:spacing w:val="-1"/>
        </w:rPr>
        <w:t>e</w:t>
      </w:r>
      <w:r>
        <w:t>m</w:t>
      </w:r>
      <w:r>
        <w:rPr>
          <w:spacing w:val="-1"/>
        </w:rPr>
        <w:t>e</w:t>
      </w:r>
      <w:r>
        <w:t xml:space="preserve">nt </w:t>
      </w:r>
      <w:r>
        <w:rPr>
          <w:spacing w:val="-1"/>
        </w:rPr>
        <w:t>ac</w:t>
      </w:r>
      <w:r>
        <w:t>ti</w:t>
      </w:r>
      <w:r>
        <w:rPr>
          <w:spacing w:val="2"/>
        </w:rPr>
        <w:t>o</w:t>
      </w:r>
      <w:r>
        <w:t>ns impl</w:t>
      </w:r>
      <w:r>
        <w:rPr>
          <w:spacing w:val="-1"/>
        </w:rPr>
        <w:t>e</w:t>
      </w:r>
      <w:r>
        <w:t>m</w:t>
      </w:r>
      <w:r>
        <w:rPr>
          <w:spacing w:val="-1"/>
        </w:rPr>
        <w:t>e</w:t>
      </w:r>
      <w:r>
        <w:t>nt</w:t>
      </w:r>
      <w:r>
        <w:rPr>
          <w:spacing w:val="-1"/>
        </w:rPr>
        <w:t>e</w:t>
      </w:r>
      <w:r>
        <w:t xml:space="preserve">d in </w:t>
      </w:r>
      <w:r>
        <w:rPr>
          <w:spacing w:val="1"/>
        </w:rPr>
        <w:t>C</w:t>
      </w:r>
      <w:r>
        <w:t>E</w:t>
      </w:r>
      <w:r>
        <w:rPr>
          <w:spacing w:val="-1"/>
        </w:rPr>
        <w:t>-</w:t>
      </w:r>
      <w:r>
        <w:rPr>
          <w:spacing w:val="-2"/>
        </w:rPr>
        <w:t>B</w:t>
      </w:r>
      <w:r>
        <w:t>A 1</w:t>
      </w:r>
      <w:r>
        <w:rPr>
          <w:spacing w:val="2"/>
        </w:rPr>
        <w:t xml:space="preserve"> </w:t>
      </w:r>
      <w:r>
        <w:rPr>
          <w:spacing w:val="-1"/>
        </w:rPr>
        <w:t>e</w:t>
      </w:r>
      <w:r>
        <w:t>st</w:t>
      </w:r>
      <w:r>
        <w:rPr>
          <w:spacing w:val="-1"/>
        </w:rPr>
        <w:t>a</w:t>
      </w:r>
      <w:r>
        <w:t>blished d</w:t>
      </w:r>
      <w:r>
        <w:rPr>
          <w:spacing w:val="-1"/>
        </w:rPr>
        <w:t>ee</w:t>
      </w:r>
      <w:r>
        <w:t>p</w:t>
      </w:r>
      <w:r>
        <w:rPr>
          <w:spacing w:val="2"/>
        </w:rPr>
        <w:t>w</w:t>
      </w:r>
      <w:r>
        <w:rPr>
          <w:spacing w:val="-1"/>
        </w:rPr>
        <w:t>a</w:t>
      </w:r>
      <w:r>
        <w:t>t</w:t>
      </w:r>
      <w:r>
        <w:rPr>
          <w:spacing w:val="1"/>
        </w:rPr>
        <w:t>e</w:t>
      </w:r>
      <w:r>
        <w:t xml:space="preserve">r </w:t>
      </w:r>
      <w:r>
        <w:rPr>
          <w:spacing w:val="1"/>
        </w:rPr>
        <w:t>C</w:t>
      </w:r>
      <w:r>
        <w:t>o</w:t>
      </w:r>
      <w:r>
        <w:rPr>
          <w:spacing w:val="-1"/>
        </w:rPr>
        <w:t>ra</w:t>
      </w:r>
      <w:r>
        <w:t>l HA</w:t>
      </w:r>
      <w:r>
        <w:rPr>
          <w:spacing w:val="1"/>
        </w:rPr>
        <w:t>PC</w:t>
      </w:r>
      <w:r>
        <w:t>s to p</w:t>
      </w:r>
      <w:r>
        <w:rPr>
          <w:spacing w:val="-1"/>
        </w:rPr>
        <w:t>r</w:t>
      </w:r>
      <w:r>
        <w:t>ot</w:t>
      </w:r>
      <w:r>
        <w:rPr>
          <w:spacing w:val="-1"/>
        </w:rPr>
        <w:t>ec</w:t>
      </w:r>
      <w:r>
        <w:t>t wh</w:t>
      </w:r>
      <w:r>
        <w:rPr>
          <w:spacing w:val="-1"/>
        </w:rPr>
        <w:t>a</w:t>
      </w:r>
      <w:r>
        <w:t>t is thou</w:t>
      </w:r>
      <w:r>
        <w:rPr>
          <w:spacing w:val="-2"/>
        </w:rPr>
        <w:t>g</w:t>
      </w:r>
      <w:r>
        <w:t>ht to be</w:t>
      </w:r>
      <w:r>
        <w:rPr>
          <w:spacing w:val="-1"/>
        </w:rPr>
        <w:t xml:space="preserve"> </w:t>
      </w:r>
      <w:r>
        <w:t>the</w:t>
      </w:r>
      <w:r>
        <w:rPr>
          <w:spacing w:val="1"/>
        </w:rPr>
        <w:t xml:space="preserve"> </w:t>
      </w:r>
      <w:r>
        <w:t>l</w:t>
      </w:r>
      <w:r>
        <w:rPr>
          <w:spacing w:val="-1"/>
        </w:rPr>
        <w:t>ar</w:t>
      </w:r>
      <w:r>
        <w:t>g</w:t>
      </w:r>
      <w:r>
        <w:rPr>
          <w:spacing w:val="-1"/>
        </w:rPr>
        <w:t>e</w:t>
      </w:r>
      <w:r>
        <w:t xml:space="preserve">st </w:t>
      </w:r>
      <w:r>
        <w:rPr>
          <w:spacing w:val="-1"/>
        </w:rPr>
        <w:t>c</w:t>
      </w:r>
      <w:r>
        <w:t>ontinuous dist</w:t>
      </w:r>
      <w:r>
        <w:rPr>
          <w:spacing w:val="-1"/>
        </w:rPr>
        <w:t>r</w:t>
      </w:r>
      <w:r>
        <w:t xml:space="preserve">ibution </w:t>
      </w:r>
      <w:r>
        <w:rPr>
          <w:spacing w:val="-1"/>
        </w:rPr>
        <w:t>(&gt;</w:t>
      </w:r>
      <w:r>
        <w:t>23,000 squ</w:t>
      </w:r>
      <w:r>
        <w:rPr>
          <w:spacing w:val="-1"/>
        </w:rPr>
        <w:t>ar</w:t>
      </w:r>
      <w:r>
        <w:t>e</w:t>
      </w:r>
      <w:r>
        <w:rPr>
          <w:spacing w:val="-1"/>
        </w:rPr>
        <w:t xml:space="preserve"> </w:t>
      </w:r>
      <w:r>
        <w:t>m</w:t>
      </w:r>
      <w:r>
        <w:rPr>
          <w:spacing w:val="3"/>
        </w:rPr>
        <w:t>i</w:t>
      </w:r>
      <w:r>
        <w:t>l</w:t>
      </w:r>
      <w:r>
        <w:rPr>
          <w:spacing w:val="-1"/>
        </w:rPr>
        <w:t>e</w:t>
      </w:r>
      <w:r>
        <w:t>s) of</w:t>
      </w:r>
      <w:r>
        <w:rPr>
          <w:spacing w:val="-1"/>
        </w:rPr>
        <w:t xml:space="preserve"> </w:t>
      </w:r>
      <w:r>
        <w:t>p</w:t>
      </w:r>
      <w:r>
        <w:rPr>
          <w:spacing w:val="-1"/>
        </w:rPr>
        <w:t>r</w:t>
      </w:r>
      <w:r>
        <w:t>istin</w:t>
      </w:r>
      <w:r>
        <w:rPr>
          <w:spacing w:val="-1"/>
        </w:rPr>
        <w:t>e</w:t>
      </w:r>
      <w:r>
        <w:t>, d</w:t>
      </w:r>
      <w:r>
        <w:rPr>
          <w:spacing w:val="-1"/>
        </w:rPr>
        <w:t>ee</w:t>
      </w:r>
      <w:r>
        <w:t>p</w:t>
      </w:r>
      <w:r>
        <w:rPr>
          <w:spacing w:val="2"/>
        </w:rPr>
        <w:t>w</w:t>
      </w:r>
      <w:r>
        <w:rPr>
          <w:spacing w:val="-1"/>
        </w:rPr>
        <w:t>a</w:t>
      </w:r>
      <w:r>
        <w:t>t</w:t>
      </w:r>
      <w:r>
        <w:rPr>
          <w:spacing w:val="-1"/>
        </w:rPr>
        <w:t>e</w:t>
      </w:r>
      <w:r>
        <w:t>r</w:t>
      </w:r>
      <w:r>
        <w:rPr>
          <w:spacing w:val="2"/>
        </w:rPr>
        <w:t xml:space="preserve"> </w:t>
      </w:r>
      <w:r>
        <w:rPr>
          <w:spacing w:val="-1"/>
        </w:rPr>
        <w:t>c</w:t>
      </w:r>
      <w:r>
        <w:t>o</w:t>
      </w:r>
      <w:r>
        <w:rPr>
          <w:spacing w:val="2"/>
        </w:rPr>
        <w:t>r</w:t>
      </w:r>
      <w:r>
        <w:rPr>
          <w:spacing w:val="-1"/>
        </w:rPr>
        <w:t>a</w:t>
      </w:r>
      <w:r>
        <w:t xml:space="preserve">l </w:t>
      </w:r>
      <w:r>
        <w:rPr>
          <w:spacing w:val="-1"/>
        </w:rPr>
        <w:t>ec</w:t>
      </w:r>
      <w:r>
        <w:t>o</w:t>
      </w:r>
      <w:r>
        <w:rPr>
          <w:spacing w:val="5"/>
        </w:rPr>
        <w:t>s</w:t>
      </w:r>
      <w:r>
        <w:rPr>
          <w:spacing w:val="-5"/>
        </w:rPr>
        <w:t>y</w:t>
      </w:r>
      <w:r>
        <w:t>st</w:t>
      </w:r>
      <w:r>
        <w:rPr>
          <w:spacing w:val="-1"/>
        </w:rPr>
        <w:t>e</w:t>
      </w:r>
      <w:r>
        <w:t>ms in the</w:t>
      </w:r>
      <w:r>
        <w:rPr>
          <w:spacing w:val="-1"/>
        </w:rPr>
        <w:t xml:space="preserve"> </w:t>
      </w:r>
      <w:r>
        <w:t>wo</w:t>
      </w:r>
      <w:r>
        <w:rPr>
          <w:spacing w:val="-1"/>
        </w:rPr>
        <w:t>r</w:t>
      </w:r>
      <w:r>
        <w:rPr>
          <w:spacing w:val="3"/>
        </w:rPr>
        <w:t>l</w:t>
      </w:r>
      <w:r>
        <w:t>d.</w:t>
      </w:r>
    </w:p>
    <w:p w14:paraId="0AB447FB" w14:textId="77777777" w:rsidR="00DC4922" w:rsidRDefault="00DC4922" w:rsidP="00DC4922">
      <w:pPr>
        <w:rPr>
          <w:spacing w:val="1"/>
        </w:rPr>
      </w:pPr>
    </w:p>
    <w:p w14:paraId="413A0FAC" w14:textId="77777777" w:rsidR="00DC4922" w:rsidRDefault="00DC4922" w:rsidP="00640526">
      <w:pPr>
        <w:ind w:firstLine="360"/>
        <w:rPr>
          <w:spacing w:val="1"/>
        </w:rPr>
      </w:pPr>
      <w:r>
        <w:rPr>
          <w:spacing w:val="1"/>
        </w:rPr>
        <w:t xml:space="preserve">The Fishery Ecosystem Plan, slated to be revised every 5 years, will again be the vehicle to update and refine information supporting designation and future review of EFH and EFH-HAPCs for managed species. Planning for the update is being conducted in cooperation with the Habitat Advisory Panel during the fall and winter of 2013 with initiation during 2014.  </w:t>
      </w:r>
    </w:p>
    <w:p w14:paraId="6B7808C2" w14:textId="77777777" w:rsidR="00DC4922" w:rsidRDefault="00DC4922" w:rsidP="00DC4922">
      <w:pPr>
        <w:rPr>
          <w:sz w:val="26"/>
        </w:rPr>
      </w:pPr>
    </w:p>
    <w:p w14:paraId="76F4DB0E" w14:textId="77777777" w:rsidR="00DC4922" w:rsidRPr="00EB603B" w:rsidRDefault="00DC4922" w:rsidP="00DC4922">
      <w:pPr>
        <w:rPr>
          <w:b/>
          <w:i/>
        </w:rPr>
      </w:pPr>
      <w:r w:rsidRPr="00EB603B">
        <w:rPr>
          <w:b/>
          <w:i/>
          <w:spacing w:val="1"/>
        </w:rPr>
        <w:t>Ec</w:t>
      </w:r>
      <w:r w:rsidRPr="00EB603B">
        <w:rPr>
          <w:b/>
          <w:i/>
        </w:rPr>
        <w:t>o</w:t>
      </w:r>
      <w:r w:rsidRPr="00EB603B">
        <w:rPr>
          <w:b/>
          <w:i/>
          <w:spacing w:val="3"/>
        </w:rPr>
        <w:t>s</w:t>
      </w:r>
      <w:r w:rsidRPr="00EB603B">
        <w:rPr>
          <w:b/>
          <w:i/>
          <w:spacing w:val="-6"/>
        </w:rPr>
        <w:t>y</w:t>
      </w:r>
      <w:r w:rsidRPr="00EB603B">
        <w:rPr>
          <w:b/>
          <w:i/>
          <w:spacing w:val="1"/>
        </w:rPr>
        <w:t>s</w:t>
      </w:r>
      <w:r w:rsidRPr="00EB603B">
        <w:rPr>
          <w:b/>
          <w:i/>
          <w:spacing w:val="-1"/>
        </w:rPr>
        <w:t>t</w:t>
      </w:r>
      <w:r w:rsidRPr="00EB603B">
        <w:rPr>
          <w:b/>
          <w:i/>
          <w:spacing w:val="1"/>
        </w:rPr>
        <w:t>e</w:t>
      </w:r>
      <w:r w:rsidRPr="00EB603B">
        <w:rPr>
          <w:b/>
          <w:i/>
        </w:rPr>
        <w:t>m</w:t>
      </w:r>
      <w:r w:rsidRPr="00EB603B">
        <w:rPr>
          <w:b/>
          <w:i/>
          <w:spacing w:val="3"/>
        </w:rPr>
        <w:t xml:space="preserve"> </w:t>
      </w:r>
      <w:r w:rsidRPr="00EB603B">
        <w:rPr>
          <w:b/>
          <w:i/>
          <w:spacing w:val="-5"/>
        </w:rPr>
        <w:t>A</w:t>
      </w:r>
      <w:r w:rsidRPr="00EB603B">
        <w:rPr>
          <w:b/>
          <w:i/>
        </w:rPr>
        <w:t>ppro</w:t>
      </w:r>
      <w:r w:rsidRPr="00EB603B">
        <w:rPr>
          <w:b/>
          <w:i/>
          <w:spacing w:val="1"/>
        </w:rPr>
        <w:t>ac</w:t>
      </w:r>
      <w:r w:rsidRPr="00EB603B">
        <w:rPr>
          <w:b/>
          <w:i/>
        </w:rPr>
        <w:t>h</w:t>
      </w:r>
      <w:r w:rsidRPr="00EB603B">
        <w:rPr>
          <w:b/>
          <w:i/>
          <w:spacing w:val="3"/>
        </w:rPr>
        <w:t xml:space="preserve"> </w:t>
      </w:r>
      <w:r w:rsidRPr="00EB603B">
        <w:rPr>
          <w:b/>
          <w:i/>
          <w:spacing w:val="-1"/>
        </w:rPr>
        <w:t>t</w:t>
      </w:r>
      <w:r w:rsidRPr="00EB603B">
        <w:rPr>
          <w:b/>
          <w:i/>
        </w:rPr>
        <w:t>o D</w:t>
      </w:r>
      <w:r w:rsidRPr="00EB603B">
        <w:rPr>
          <w:b/>
          <w:i/>
          <w:spacing w:val="1"/>
        </w:rPr>
        <w:t>ee</w:t>
      </w:r>
      <w:r w:rsidRPr="00EB603B">
        <w:rPr>
          <w:b/>
          <w:i/>
          <w:spacing w:val="-3"/>
        </w:rPr>
        <w:t>p</w:t>
      </w:r>
      <w:r w:rsidRPr="00EB603B">
        <w:rPr>
          <w:b/>
          <w:i/>
          <w:spacing w:val="3"/>
        </w:rPr>
        <w:t>w</w:t>
      </w:r>
      <w:r w:rsidRPr="00EB603B">
        <w:rPr>
          <w:b/>
          <w:i/>
          <w:spacing w:val="1"/>
        </w:rPr>
        <w:t>a</w:t>
      </w:r>
      <w:r w:rsidRPr="00EB603B">
        <w:rPr>
          <w:b/>
          <w:i/>
          <w:spacing w:val="-1"/>
        </w:rPr>
        <w:t>t</w:t>
      </w:r>
      <w:r w:rsidRPr="00EB603B">
        <w:rPr>
          <w:b/>
          <w:i/>
          <w:spacing w:val="1"/>
        </w:rPr>
        <w:t>e</w:t>
      </w:r>
      <w:r w:rsidRPr="00EB603B">
        <w:rPr>
          <w:b/>
          <w:i/>
        </w:rPr>
        <w:t>r</w:t>
      </w:r>
      <w:r w:rsidRPr="00EB603B">
        <w:rPr>
          <w:b/>
          <w:i/>
          <w:spacing w:val="-2"/>
        </w:rPr>
        <w:t xml:space="preserve"> </w:t>
      </w:r>
      <w:r w:rsidRPr="00EB603B">
        <w:rPr>
          <w:b/>
          <w:i/>
          <w:spacing w:val="1"/>
        </w:rPr>
        <w:t>Ec</w:t>
      </w:r>
      <w:r w:rsidRPr="00EB603B">
        <w:rPr>
          <w:b/>
          <w:i/>
        </w:rPr>
        <w:t>o</w:t>
      </w:r>
      <w:r w:rsidRPr="00EB603B">
        <w:rPr>
          <w:b/>
          <w:i/>
          <w:spacing w:val="1"/>
        </w:rPr>
        <w:t>s</w:t>
      </w:r>
      <w:r w:rsidRPr="00EB603B">
        <w:rPr>
          <w:b/>
          <w:i/>
          <w:spacing w:val="-4"/>
        </w:rPr>
        <w:t>y</w:t>
      </w:r>
      <w:r w:rsidRPr="00EB603B">
        <w:rPr>
          <w:b/>
          <w:i/>
          <w:spacing w:val="1"/>
        </w:rPr>
        <w:t>s</w:t>
      </w:r>
      <w:r w:rsidRPr="00EB603B">
        <w:rPr>
          <w:b/>
          <w:i/>
          <w:spacing w:val="-1"/>
        </w:rPr>
        <w:t>t</w:t>
      </w:r>
      <w:r w:rsidRPr="00EB603B">
        <w:rPr>
          <w:b/>
          <w:i/>
          <w:spacing w:val="1"/>
        </w:rPr>
        <w:t>e</w:t>
      </w:r>
      <w:r w:rsidRPr="00EB603B">
        <w:rPr>
          <w:b/>
          <w:i/>
        </w:rPr>
        <w:t>m</w:t>
      </w:r>
      <w:r w:rsidRPr="00EB603B">
        <w:rPr>
          <w:b/>
          <w:i/>
          <w:spacing w:val="1"/>
        </w:rPr>
        <w:t xml:space="preserve"> </w:t>
      </w:r>
      <w:r w:rsidRPr="00EB603B">
        <w:rPr>
          <w:b/>
          <w:i/>
          <w:spacing w:val="-1"/>
        </w:rPr>
        <w:t>M</w:t>
      </w:r>
      <w:r w:rsidRPr="00EB603B">
        <w:rPr>
          <w:b/>
          <w:i/>
          <w:spacing w:val="1"/>
        </w:rPr>
        <w:t>a</w:t>
      </w:r>
      <w:r w:rsidRPr="00EB603B">
        <w:rPr>
          <w:b/>
          <w:i/>
        </w:rPr>
        <w:t>n</w:t>
      </w:r>
      <w:r w:rsidRPr="00EB603B">
        <w:rPr>
          <w:b/>
          <w:i/>
          <w:spacing w:val="1"/>
        </w:rPr>
        <w:t>a</w:t>
      </w:r>
      <w:r w:rsidRPr="00EB603B">
        <w:rPr>
          <w:b/>
          <w:i/>
        </w:rPr>
        <w:t>g</w:t>
      </w:r>
      <w:r w:rsidRPr="00EB603B">
        <w:rPr>
          <w:b/>
          <w:i/>
          <w:spacing w:val="1"/>
        </w:rPr>
        <w:t>e</w:t>
      </w:r>
      <w:r w:rsidRPr="00EB603B">
        <w:rPr>
          <w:b/>
          <w:i/>
          <w:spacing w:val="-2"/>
        </w:rPr>
        <w:t>m</w:t>
      </w:r>
      <w:r w:rsidRPr="00EB603B">
        <w:rPr>
          <w:b/>
          <w:i/>
          <w:spacing w:val="1"/>
        </w:rPr>
        <w:t>e</w:t>
      </w:r>
      <w:r w:rsidRPr="00EB603B">
        <w:rPr>
          <w:b/>
          <w:i/>
        </w:rPr>
        <w:t>nt</w:t>
      </w:r>
    </w:p>
    <w:p w14:paraId="2A84AD89" w14:textId="77777777" w:rsidR="00DC4922" w:rsidRPr="008E6FF9" w:rsidRDefault="00DC4922" w:rsidP="00640526">
      <w:pPr>
        <w:ind w:firstLine="360"/>
      </w:pPr>
      <w:r>
        <w:t>The</w:t>
      </w:r>
      <w:r>
        <w:rPr>
          <w:spacing w:val="-1"/>
        </w:rPr>
        <w:t xml:space="preserve"> </w:t>
      </w:r>
      <w:r>
        <w:rPr>
          <w:spacing w:val="1"/>
        </w:rPr>
        <w:t>S</w:t>
      </w:r>
      <w:r>
        <w:t>outh Atl</w:t>
      </w:r>
      <w:r>
        <w:rPr>
          <w:spacing w:val="-1"/>
        </w:rPr>
        <w:t>a</w:t>
      </w:r>
      <w:r>
        <w:t>ntic</w:t>
      </w:r>
      <w:r>
        <w:rPr>
          <w:spacing w:val="-1"/>
        </w:rPr>
        <w:t xml:space="preserve"> </w:t>
      </w:r>
      <w:r>
        <w:rPr>
          <w:spacing w:val="1"/>
        </w:rPr>
        <w:t>C</w:t>
      </w:r>
      <w:r>
        <w:t>oun</w:t>
      </w:r>
      <w:r>
        <w:rPr>
          <w:spacing w:val="-1"/>
        </w:rPr>
        <w:t>c</w:t>
      </w:r>
      <w:r>
        <w:t>il m</w:t>
      </w:r>
      <w:r>
        <w:rPr>
          <w:spacing w:val="-1"/>
        </w:rPr>
        <w:t>a</w:t>
      </w:r>
      <w:r>
        <w:t>n</w:t>
      </w:r>
      <w:r>
        <w:rPr>
          <w:spacing w:val="1"/>
        </w:rPr>
        <w:t>a</w:t>
      </w:r>
      <w:r>
        <w:rPr>
          <w:spacing w:val="-2"/>
        </w:rPr>
        <w:t>g</w:t>
      </w:r>
      <w:r>
        <w:rPr>
          <w:spacing w:val="-1"/>
        </w:rPr>
        <w:t>e</w:t>
      </w:r>
      <w:r>
        <w:t xml:space="preserve">s </w:t>
      </w:r>
      <w:r>
        <w:rPr>
          <w:spacing w:val="-1"/>
        </w:rPr>
        <w:t>c</w:t>
      </w:r>
      <w:r>
        <w:rPr>
          <w:spacing w:val="2"/>
        </w:rPr>
        <w:t>o</w:t>
      </w:r>
      <w:r>
        <w:rPr>
          <w:spacing w:val="-1"/>
        </w:rPr>
        <w:t>ra</w:t>
      </w:r>
      <w:r>
        <w:t xml:space="preserve">l, </w:t>
      </w:r>
      <w:r>
        <w:rPr>
          <w:spacing w:val="-1"/>
        </w:rPr>
        <w:t>c</w:t>
      </w:r>
      <w:r>
        <w:t>o</w:t>
      </w:r>
      <w:r>
        <w:rPr>
          <w:spacing w:val="2"/>
        </w:rPr>
        <w:t>r</w:t>
      </w:r>
      <w:r>
        <w:rPr>
          <w:spacing w:val="-1"/>
        </w:rPr>
        <w:t>a</w:t>
      </w:r>
      <w:r>
        <w:t xml:space="preserve">l </w:t>
      </w:r>
      <w:r>
        <w:rPr>
          <w:spacing w:val="2"/>
        </w:rPr>
        <w:t>r</w:t>
      </w:r>
      <w:r>
        <w:rPr>
          <w:spacing w:val="-1"/>
        </w:rPr>
        <w:t>eef</w:t>
      </w:r>
      <w:r>
        <w:t xml:space="preserve">s </w:t>
      </w:r>
      <w:r>
        <w:rPr>
          <w:spacing w:val="-1"/>
        </w:rPr>
        <w:t>a</w:t>
      </w:r>
      <w:r>
        <w:t>nd liv</w:t>
      </w:r>
      <w:r>
        <w:rPr>
          <w:spacing w:val="-1"/>
        </w:rPr>
        <w:t>e</w:t>
      </w:r>
      <w:r>
        <w:t>/</w:t>
      </w:r>
      <w:r>
        <w:rPr>
          <w:spacing w:val="2"/>
        </w:rPr>
        <w:t>h</w:t>
      </w:r>
      <w:r>
        <w:rPr>
          <w:spacing w:val="-1"/>
        </w:rPr>
        <w:t>ar</w:t>
      </w:r>
      <w:r>
        <w:t>d bottom h</w:t>
      </w:r>
      <w:r>
        <w:rPr>
          <w:spacing w:val="-1"/>
        </w:rPr>
        <w:t>a</w:t>
      </w:r>
      <w:r>
        <w:t>bit</w:t>
      </w:r>
      <w:r>
        <w:rPr>
          <w:spacing w:val="-1"/>
        </w:rPr>
        <w:t>a</w:t>
      </w:r>
      <w:r>
        <w:t>t, in</w:t>
      </w:r>
      <w:r>
        <w:rPr>
          <w:spacing w:val="-1"/>
        </w:rPr>
        <w:t>c</w:t>
      </w:r>
      <w:r>
        <w:t>luding</w:t>
      </w:r>
      <w:r>
        <w:rPr>
          <w:spacing w:val="-2"/>
        </w:rPr>
        <w:t xml:space="preserve"> </w:t>
      </w:r>
      <w:r>
        <w:t>d</w:t>
      </w:r>
      <w:r>
        <w:rPr>
          <w:spacing w:val="1"/>
        </w:rPr>
        <w:t>e</w:t>
      </w:r>
      <w:r>
        <w:rPr>
          <w:spacing w:val="-1"/>
        </w:rPr>
        <w:t>e</w:t>
      </w:r>
      <w:r>
        <w:t>p</w:t>
      </w:r>
      <w:r>
        <w:rPr>
          <w:spacing w:val="2"/>
        </w:rPr>
        <w:t>w</w:t>
      </w:r>
      <w:r>
        <w:rPr>
          <w:spacing w:val="-1"/>
        </w:rPr>
        <w:t>a</w:t>
      </w:r>
      <w:r>
        <w:t>t</w:t>
      </w:r>
      <w:r>
        <w:rPr>
          <w:spacing w:val="-1"/>
        </w:rPr>
        <w:t>e</w:t>
      </w:r>
      <w:r>
        <w:t xml:space="preserve">r </w:t>
      </w:r>
      <w:r>
        <w:rPr>
          <w:spacing w:val="-1"/>
        </w:rPr>
        <w:t>c</w:t>
      </w:r>
      <w:r>
        <w:t>o</w:t>
      </w:r>
      <w:r>
        <w:rPr>
          <w:spacing w:val="-1"/>
        </w:rPr>
        <w:t>ra</w:t>
      </w:r>
      <w:r>
        <w:t>ls, th</w:t>
      </w:r>
      <w:r>
        <w:rPr>
          <w:spacing w:val="-1"/>
        </w:rPr>
        <w:t>r</w:t>
      </w:r>
      <w:r>
        <w:t>o</w:t>
      </w:r>
      <w:r>
        <w:rPr>
          <w:spacing w:val="2"/>
        </w:rPr>
        <w:t>u</w:t>
      </w:r>
      <w:r>
        <w:rPr>
          <w:spacing w:val="-2"/>
        </w:rPr>
        <w:t>g</w:t>
      </w:r>
      <w:r>
        <w:t>h the</w:t>
      </w:r>
      <w:r>
        <w:rPr>
          <w:spacing w:val="1"/>
        </w:rPr>
        <w:t xml:space="preserve"> </w:t>
      </w:r>
      <w:r>
        <w:rPr>
          <w:spacing w:val="-1"/>
        </w:rPr>
        <w:t>F</w:t>
      </w:r>
      <w:r>
        <w:t>ish</w:t>
      </w:r>
      <w:r>
        <w:rPr>
          <w:spacing w:val="-1"/>
        </w:rPr>
        <w:t>e</w:t>
      </w:r>
      <w:r>
        <w:rPr>
          <w:spacing w:val="2"/>
        </w:rPr>
        <w:t>r</w:t>
      </w:r>
      <w:r>
        <w:t>y</w:t>
      </w:r>
      <w:r>
        <w:rPr>
          <w:spacing w:val="-2"/>
        </w:rPr>
        <w:t xml:space="preserve"> </w:t>
      </w:r>
      <w:r>
        <w:t>M</w:t>
      </w:r>
      <w:r>
        <w:rPr>
          <w:spacing w:val="-1"/>
        </w:rPr>
        <w:t>a</w:t>
      </w:r>
      <w:r>
        <w:rPr>
          <w:spacing w:val="2"/>
        </w:rPr>
        <w:t>n</w:t>
      </w:r>
      <w:r>
        <w:rPr>
          <w:spacing w:val="1"/>
        </w:rPr>
        <w:t>a</w:t>
      </w:r>
      <w:r>
        <w:rPr>
          <w:spacing w:val="-2"/>
        </w:rPr>
        <w:t>g</w:t>
      </w:r>
      <w:r>
        <w:rPr>
          <w:spacing w:val="-1"/>
        </w:rPr>
        <w:t>e</w:t>
      </w:r>
      <w:r>
        <w:t>m</w:t>
      </w:r>
      <w:r>
        <w:rPr>
          <w:spacing w:val="-1"/>
        </w:rPr>
        <w:t>e</w:t>
      </w:r>
      <w:r>
        <w:t xml:space="preserve">nt </w:t>
      </w:r>
      <w:r>
        <w:rPr>
          <w:spacing w:val="1"/>
        </w:rPr>
        <w:t>P</w:t>
      </w:r>
      <w:r>
        <w:t>l</w:t>
      </w:r>
      <w:r>
        <w:rPr>
          <w:spacing w:val="-1"/>
        </w:rPr>
        <w:t>a</w:t>
      </w:r>
      <w:r>
        <w:t xml:space="preserve">n </w:t>
      </w:r>
      <w:r>
        <w:rPr>
          <w:spacing w:val="-1"/>
        </w:rPr>
        <w:t>f</w:t>
      </w:r>
      <w:r>
        <w:t>or</w:t>
      </w:r>
      <w:r>
        <w:rPr>
          <w:spacing w:val="2"/>
        </w:rPr>
        <w:t xml:space="preserve"> </w:t>
      </w:r>
      <w:r>
        <w:rPr>
          <w:spacing w:val="1"/>
        </w:rPr>
        <w:t>C</w:t>
      </w:r>
      <w:r>
        <w:t>o</w:t>
      </w:r>
      <w:r>
        <w:rPr>
          <w:spacing w:val="-1"/>
        </w:rPr>
        <w:t>ra</w:t>
      </w:r>
      <w:r>
        <w:t xml:space="preserve">l, </w:t>
      </w:r>
      <w:r>
        <w:rPr>
          <w:spacing w:val="1"/>
        </w:rPr>
        <w:t>C</w:t>
      </w:r>
      <w:r>
        <w:t>o</w:t>
      </w:r>
      <w:r>
        <w:rPr>
          <w:spacing w:val="-1"/>
        </w:rPr>
        <w:t>ra</w:t>
      </w:r>
      <w:r>
        <w:t xml:space="preserve">l </w:t>
      </w:r>
      <w:r>
        <w:rPr>
          <w:spacing w:val="1"/>
        </w:rPr>
        <w:t>R</w:t>
      </w:r>
      <w:r>
        <w:rPr>
          <w:spacing w:val="-1"/>
        </w:rPr>
        <w:t>eef</w:t>
      </w:r>
      <w:r>
        <w:t xml:space="preserve">s </w:t>
      </w:r>
      <w:r>
        <w:rPr>
          <w:spacing w:val="-1"/>
        </w:rPr>
        <w:t>a</w:t>
      </w:r>
      <w:r>
        <w:t>nd</w:t>
      </w:r>
      <w:r>
        <w:rPr>
          <w:spacing w:val="5"/>
        </w:rPr>
        <w:t xml:space="preserve"> </w:t>
      </w:r>
      <w:r>
        <w:t>Liv</w:t>
      </w:r>
      <w:r>
        <w:rPr>
          <w:spacing w:val="-1"/>
        </w:rPr>
        <w:t>e</w:t>
      </w:r>
      <w:r>
        <w:t>/H</w:t>
      </w:r>
      <w:r>
        <w:rPr>
          <w:spacing w:val="-1"/>
        </w:rPr>
        <w:t>ar</w:t>
      </w:r>
      <w:r>
        <w:t>d</w:t>
      </w:r>
      <w:r>
        <w:rPr>
          <w:spacing w:val="2"/>
        </w:rPr>
        <w:t xml:space="preserve"> </w:t>
      </w:r>
      <w:r>
        <w:rPr>
          <w:spacing w:val="-2"/>
        </w:rPr>
        <w:t>B</w:t>
      </w:r>
      <w:r>
        <w:t>ottom H</w:t>
      </w:r>
      <w:r>
        <w:rPr>
          <w:spacing w:val="-1"/>
        </w:rPr>
        <w:t>a</w:t>
      </w:r>
      <w:r>
        <w:t>bit</w:t>
      </w:r>
      <w:r>
        <w:rPr>
          <w:spacing w:val="-1"/>
        </w:rPr>
        <w:t>a</w:t>
      </w:r>
      <w:r>
        <w:t>t of the</w:t>
      </w:r>
      <w:r>
        <w:rPr>
          <w:spacing w:val="-1"/>
        </w:rPr>
        <w:t xml:space="preserve"> </w:t>
      </w:r>
      <w:r>
        <w:rPr>
          <w:spacing w:val="1"/>
        </w:rPr>
        <w:t>S</w:t>
      </w:r>
      <w:r>
        <w:t>outh Atl</w:t>
      </w:r>
      <w:r>
        <w:rPr>
          <w:spacing w:val="-1"/>
        </w:rPr>
        <w:t>a</w:t>
      </w:r>
      <w:r>
        <w:t>ntic</w:t>
      </w:r>
      <w:r>
        <w:rPr>
          <w:spacing w:val="-1"/>
        </w:rPr>
        <w:t xml:space="preserve"> </w:t>
      </w:r>
      <w:r>
        <w:rPr>
          <w:spacing w:val="1"/>
        </w:rPr>
        <w:t>R</w:t>
      </w:r>
      <w:r>
        <w:rPr>
          <w:spacing w:val="-1"/>
        </w:rPr>
        <w:t>e</w:t>
      </w:r>
      <w:r>
        <w:rPr>
          <w:spacing w:val="-2"/>
        </w:rPr>
        <w:t>g</w:t>
      </w:r>
      <w:r>
        <w:t>i</w:t>
      </w:r>
      <w:r>
        <w:rPr>
          <w:spacing w:val="2"/>
        </w:rPr>
        <w:t>o</w:t>
      </w:r>
      <w:r>
        <w:t xml:space="preserve">n </w:t>
      </w:r>
      <w:r>
        <w:rPr>
          <w:spacing w:val="-1"/>
        </w:rPr>
        <w:t>(</w:t>
      </w:r>
      <w:r>
        <w:rPr>
          <w:spacing w:val="1"/>
        </w:rPr>
        <w:t>C</w:t>
      </w:r>
      <w:r>
        <w:t>o</w:t>
      </w:r>
      <w:r>
        <w:rPr>
          <w:spacing w:val="-1"/>
        </w:rPr>
        <w:t>ra</w:t>
      </w:r>
      <w:r>
        <w:t xml:space="preserve">l </w:t>
      </w:r>
      <w:r>
        <w:rPr>
          <w:spacing w:val="-1"/>
        </w:rPr>
        <w:t>F</w:t>
      </w:r>
      <w:r>
        <w:t>M</w:t>
      </w:r>
      <w:r>
        <w:rPr>
          <w:spacing w:val="1"/>
        </w:rPr>
        <w:t>P</w:t>
      </w:r>
      <w:r>
        <w:rPr>
          <w:spacing w:val="-1"/>
        </w:rPr>
        <w:t>)</w:t>
      </w:r>
      <w:r>
        <w:t>. M</w:t>
      </w:r>
      <w:r>
        <w:rPr>
          <w:spacing w:val="1"/>
        </w:rPr>
        <w:t>e</w:t>
      </w:r>
      <w:r>
        <w:rPr>
          <w:spacing w:val="-1"/>
        </w:rPr>
        <w:t>c</w:t>
      </w:r>
      <w:r>
        <w:t>h</w:t>
      </w:r>
      <w:r>
        <w:rPr>
          <w:spacing w:val="-1"/>
        </w:rPr>
        <w:t>a</w:t>
      </w:r>
      <w:r>
        <w:t>n</w:t>
      </w:r>
      <w:r>
        <w:rPr>
          <w:spacing w:val="3"/>
        </w:rPr>
        <w:t>i</w:t>
      </w:r>
      <w:r>
        <w:t xml:space="preserve">sms </w:t>
      </w:r>
      <w:r>
        <w:rPr>
          <w:spacing w:val="-1"/>
        </w:rPr>
        <w:t>e</w:t>
      </w:r>
      <w:r>
        <w:rPr>
          <w:spacing w:val="2"/>
        </w:rPr>
        <w:t>x</w:t>
      </w:r>
      <w:r>
        <w:t>ist</w:t>
      </w:r>
      <w:r>
        <w:rPr>
          <w:spacing w:val="-2"/>
        </w:rPr>
        <w:t xml:space="preserve"> </w:t>
      </w:r>
      <w:r>
        <w:t>in the</w:t>
      </w:r>
      <w:r>
        <w:rPr>
          <w:spacing w:val="-1"/>
        </w:rPr>
        <w:t xml:space="preserve"> F</w:t>
      </w:r>
      <w:r>
        <w:t>M</w:t>
      </w:r>
      <w:r>
        <w:rPr>
          <w:spacing w:val="1"/>
        </w:rPr>
        <w:t>P</w:t>
      </w:r>
      <w:r>
        <w:t xml:space="preserve">, </w:t>
      </w:r>
      <w:r>
        <w:rPr>
          <w:spacing w:val="-1"/>
        </w:rPr>
        <w:t>a</w:t>
      </w:r>
      <w:r>
        <w:t xml:space="preserve">s </w:t>
      </w:r>
      <w:r>
        <w:rPr>
          <w:spacing w:val="-1"/>
        </w:rPr>
        <w:t>a</w:t>
      </w:r>
      <w:r>
        <w:t>m</w:t>
      </w:r>
      <w:r>
        <w:rPr>
          <w:spacing w:val="-1"/>
        </w:rPr>
        <w:t>e</w:t>
      </w:r>
      <w:r>
        <w:t>nd</w:t>
      </w:r>
      <w:r>
        <w:rPr>
          <w:spacing w:val="-1"/>
        </w:rPr>
        <w:t>e</w:t>
      </w:r>
      <w:r>
        <w:t xml:space="preserve">d, to </w:t>
      </w:r>
      <w:r>
        <w:rPr>
          <w:spacing w:val="-1"/>
        </w:rPr>
        <w:t>f</w:t>
      </w:r>
      <w:r>
        <w:t>u</w:t>
      </w:r>
      <w:r>
        <w:rPr>
          <w:spacing w:val="-1"/>
        </w:rPr>
        <w:t>r</w:t>
      </w:r>
      <w:r>
        <w:t>t</w:t>
      </w:r>
      <w:r>
        <w:rPr>
          <w:spacing w:val="2"/>
        </w:rPr>
        <w:t>h</w:t>
      </w:r>
      <w:r>
        <w:rPr>
          <w:spacing w:val="-1"/>
        </w:rPr>
        <w:t>e</w:t>
      </w:r>
      <w:r>
        <w:t>r</w:t>
      </w:r>
      <w:r>
        <w:rPr>
          <w:spacing w:val="-1"/>
        </w:rPr>
        <w:t xml:space="preserve"> </w:t>
      </w:r>
      <w:r>
        <w:t>p</w:t>
      </w:r>
      <w:r>
        <w:rPr>
          <w:spacing w:val="-1"/>
        </w:rPr>
        <w:t>r</w:t>
      </w:r>
      <w:r>
        <w:t>ot</w:t>
      </w:r>
      <w:r>
        <w:rPr>
          <w:spacing w:val="1"/>
        </w:rPr>
        <w:t>e</w:t>
      </w:r>
      <w:r>
        <w:rPr>
          <w:spacing w:val="-1"/>
        </w:rPr>
        <w:t>c</w:t>
      </w:r>
      <w:r>
        <w:t>t d</w:t>
      </w:r>
      <w:r>
        <w:rPr>
          <w:spacing w:val="-1"/>
        </w:rPr>
        <w:t>ee</w:t>
      </w:r>
      <w:r>
        <w:t>pw</w:t>
      </w:r>
      <w:r>
        <w:rPr>
          <w:spacing w:val="-1"/>
        </w:rPr>
        <w:t>a</w:t>
      </w:r>
      <w:r>
        <w:rPr>
          <w:spacing w:val="3"/>
        </w:rPr>
        <w:t>t</w:t>
      </w:r>
      <w:r>
        <w:rPr>
          <w:spacing w:val="-1"/>
        </w:rPr>
        <w:t>e</w:t>
      </w:r>
      <w:r>
        <w:t>r</w:t>
      </w:r>
      <w:r>
        <w:rPr>
          <w:spacing w:val="-1"/>
        </w:rPr>
        <w:t xml:space="preserve"> c</w:t>
      </w:r>
      <w:r>
        <w:rPr>
          <w:spacing w:val="2"/>
        </w:rPr>
        <w:t>o</w:t>
      </w:r>
      <w:r>
        <w:rPr>
          <w:spacing w:val="-1"/>
        </w:rPr>
        <w:t>ra</w:t>
      </w:r>
      <w:r>
        <w:t xml:space="preserve">l </w:t>
      </w:r>
      <w:r>
        <w:rPr>
          <w:spacing w:val="-1"/>
        </w:rPr>
        <w:t>a</w:t>
      </w:r>
      <w:r>
        <w:t>nd liv</w:t>
      </w:r>
      <w:r>
        <w:rPr>
          <w:spacing w:val="-1"/>
        </w:rPr>
        <w:t>e</w:t>
      </w:r>
      <w:r>
        <w:rPr>
          <w:spacing w:val="3"/>
        </w:rPr>
        <w:t>/</w:t>
      </w:r>
      <w:r>
        <w:t>h</w:t>
      </w:r>
      <w:r>
        <w:rPr>
          <w:spacing w:val="-1"/>
        </w:rPr>
        <w:t>ar</w:t>
      </w:r>
      <w:r>
        <w:t>d bottom h</w:t>
      </w:r>
      <w:r>
        <w:rPr>
          <w:spacing w:val="-1"/>
        </w:rPr>
        <w:t>a</w:t>
      </w:r>
      <w:r>
        <w:t>bit</w:t>
      </w:r>
      <w:r>
        <w:rPr>
          <w:spacing w:val="-1"/>
        </w:rPr>
        <w:t>a</w:t>
      </w:r>
      <w:r>
        <w:t>ts. The</w:t>
      </w:r>
      <w:r>
        <w:rPr>
          <w:spacing w:val="-1"/>
        </w:rPr>
        <w:t xml:space="preserve"> </w:t>
      </w:r>
      <w:r>
        <w:rPr>
          <w:spacing w:val="1"/>
        </w:rPr>
        <w:t>S</w:t>
      </w:r>
      <w:r>
        <w:t>A</w:t>
      </w:r>
      <w:r>
        <w:rPr>
          <w:spacing w:val="-1"/>
        </w:rPr>
        <w:t>F</w:t>
      </w:r>
      <w:r>
        <w:t>M</w:t>
      </w:r>
      <w:r>
        <w:rPr>
          <w:spacing w:val="1"/>
        </w:rPr>
        <w:t>C</w:t>
      </w:r>
      <w:r>
        <w:rPr>
          <w:spacing w:val="-1"/>
        </w:rPr>
        <w:t>’</w:t>
      </w:r>
      <w:r>
        <w:t>s H</w:t>
      </w:r>
      <w:r>
        <w:rPr>
          <w:spacing w:val="-1"/>
        </w:rPr>
        <w:t>a</w:t>
      </w:r>
      <w:r>
        <w:t>bit</w:t>
      </w:r>
      <w:r>
        <w:rPr>
          <w:spacing w:val="-1"/>
        </w:rPr>
        <w:t>a</w:t>
      </w:r>
      <w:r>
        <w:t xml:space="preserve">t </w:t>
      </w:r>
      <w:r>
        <w:rPr>
          <w:spacing w:val="-1"/>
        </w:rPr>
        <w:t>a</w:t>
      </w:r>
      <w:r>
        <w:t>nd</w:t>
      </w:r>
      <w:r>
        <w:rPr>
          <w:spacing w:val="2"/>
        </w:rPr>
        <w:t xml:space="preserve"> </w:t>
      </w:r>
      <w:r>
        <w:t>Envi</w:t>
      </w:r>
      <w:r>
        <w:rPr>
          <w:spacing w:val="-1"/>
        </w:rPr>
        <w:t>r</w:t>
      </w:r>
      <w:r>
        <w:t>onm</w:t>
      </w:r>
      <w:r>
        <w:rPr>
          <w:spacing w:val="-1"/>
        </w:rPr>
        <w:t>e</w:t>
      </w:r>
      <w:r>
        <w:t>nt</w:t>
      </w:r>
      <w:r>
        <w:rPr>
          <w:spacing w:val="-1"/>
        </w:rPr>
        <w:t>a</w:t>
      </w:r>
      <w:r>
        <w:t xml:space="preserve">l </w:t>
      </w:r>
      <w:r>
        <w:rPr>
          <w:spacing w:val="1"/>
        </w:rPr>
        <w:t>P</w:t>
      </w:r>
      <w:r>
        <w:rPr>
          <w:spacing w:val="-1"/>
        </w:rPr>
        <w:t>r</w:t>
      </w:r>
      <w:r>
        <w:t>ot</w:t>
      </w:r>
      <w:r>
        <w:rPr>
          <w:spacing w:val="-1"/>
        </w:rPr>
        <w:t>ec</w:t>
      </w:r>
      <w:r>
        <w:t>tion Adviso</w:t>
      </w:r>
      <w:r>
        <w:rPr>
          <w:spacing w:val="2"/>
        </w:rPr>
        <w:t>r</w:t>
      </w:r>
      <w:r>
        <w:t>y</w:t>
      </w:r>
      <w:r>
        <w:rPr>
          <w:spacing w:val="-5"/>
        </w:rPr>
        <w:t xml:space="preserve"> </w:t>
      </w:r>
      <w:r>
        <w:rPr>
          <w:spacing w:val="1"/>
        </w:rPr>
        <w:t>P</w:t>
      </w:r>
      <w:r>
        <w:rPr>
          <w:spacing w:val="-1"/>
        </w:rPr>
        <w:t>a</w:t>
      </w:r>
      <w:r>
        <w:rPr>
          <w:spacing w:val="2"/>
        </w:rPr>
        <w:t>n</w:t>
      </w:r>
      <w:r>
        <w:rPr>
          <w:spacing w:val="-1"/>
        </w:rPr>
        <w:t>e</w:t>
      </w:r>
      <w:r>
        <w:t xml:space="preserve">l </w:t>
      </w:r>
      <w:r>
        <w:rPr>
          <w:spacing w:val="-1"/>
        </w:rPr>
        <w:t>a</w:t>
      </w:r>
      <w:r>
        <w:t xml:space="preserve">nd </w:t>
      </w:r>
      <w:r>
        <w:rPr>
          <w:spacing w:val="1"/>
        </w:rPr>
        <w:t>C</w:t>
      </w:r>
      <w:r>
        <w:t>o</w:t>
      </w:r>
      <w:r>
        <w:rPr>
          <w:spacing w:val="-1"/>
        </w:rPr>
        <w:t>r</w:t>
      </w:r>
      <w:r>
        <w:rPr>
          <w:spacing w:val="1"/>
        </w:rPr>
        <w:t>a</w:t>
      </w:r>
      <w:r>
        <w:t>l Adviso</w:t>
      </w:r>
      <w:r>
        <w:rPr>
          <w:spacing w:val="2"/>
        </w:rPr>
        <w:t>r</w:t>
      </w:r>
      <w:r>
        <w:t>y</w:t>
      </w:r>
      <w:r>
        <w:rPr>
          <w:spacing w:val="-5"/>
        </w:rPr>
        <w:t xml:space="preserve"> </w:t>
      </w:r>
      <w:r>
        <w:rPr>
          <w:spacing w:val="1"/>
        </w:rPr>
        <w:t>P</w:t>
      </w:r>
      <w:r>
        <w:rPr>
          <w:spacing w:val="-1"/>
        </w:rPr>
        <w:t>a</w:t>
      </w:r>
      <w:r>
        <w:t>n</w:t>
      </w:r>
      <w:r>
        <w:rPr>
          <w:spacing w:val="-1"/>
        </w:rPr>
        <w:t>e</w:t>
      </w:r>
      <w:r>
        <w:t xml:space="preserve">l </w:t>
      </w:r>
      <w:r>
        <w:rPr>
          <w:spacing w:val="2"/>
        </w:rPr>
        <w:t>h</w:t>
      </w:r>
      <w:r>
        <w:rPr>
          <w:spacing w:val="-1"/>
        </w:rPr>
        <w:t>a</w:t>
      </w:r>
      <w:r>
        <w:t>ve</w:t>
      </w:r>
      <w:r>
        <w:rPr>
          <w:spacing w:val="-1"/>
        </w:rPr>
        <w:t xml:space="preserve"> </w:t>
      </w:r>
      <w:r>
        <w:t>s</w:t>
      </w:r>
      <w:r>
        <w:rPr>
          <w:spacing w:val="2"/>
        </w:rPr>
        <w:t>u</w:t>
      </w:r>
      <w:r>
        <w:t>ppo</w:t>
      </w:r>
      <w:r>
        <w:rPr>
          <w:spacing w:val="-1"/>
        </w:rPr>
        <w:t>r</w:t>
      </w:r>
      <w:r>
        <w:t>t</w:t>
      </w:r>
      <w:r>
        <w:rPr>
          <w:spacing w:val="-1"/>
        </w:rPr>
        <w:t>e</w:t>
      </w:r>
      <w:r>
        <w:t>d p</w:t>
      </w:r>
      <w:r>
        <w:rPr>
          <w:spacing w:val="-1"/>
        </w:rPr>
        <w:t>r</w:t>
      </w:r>
      <w:r>
        <w:t>o</w:t>
      </w:r>
      <w:r>
        <w:rPr>
          <w:spacing w:val="1"/>
        </w:rPr>
        <w:t>a</w:t>
      </w:r>
      <w:r>
        <w:rPr>
          <w:spacing w:val="-1"/>
        </w:rPr>
        <w:t>c</w:t>
      </w:r>
      <w:r>
        <w:t>tive</w:t>
      </w:r>
      <w:r>
        <w:rPr>
          <w:spacing w:val="-1"/>
        </w:rPr>
        <w:t xml:space="preserve"> e</w:t>
      </w:r>
      <w:r>
        <w:rPr>
          <w:spacing w:val="2"/>
        </w:rPr>
        <w:t>f</w:t>
      </w:r>
      <w:r>
        <w:rPr>
          <w:spacing w:val="-1"/>
        </w:rPr>
        <w:t>f</w:t>
      </w:r>
      <w:r>
        <w:t>o</w:t>
      </w:r>
      <w:r>
        <w:rPr>
          <w:spacing w:val="-1"/>
        </w:rPr>
        <w:t>r</w:t>
      </w:r>
      <w:r>
        <w:t>ts</w:t>
      </w:r>
      <w:r>
        <w:rPr>
          <w:spacing w:val="3"/>
        </w:rPr>
        <w:t xml:space="preserve"> </w:t>
      </w:r>
      <w:r>
        <w:t>to id</w:t>
      </w:r>
      <w:r>
        <w:rPr>
          <w:spacing w:val="-1"/>
        </w:rPr>
        <w:t>e</w:t>
      </w:r>
      <w:r>
        <w:t>nti</w:t>
      </w:r>
      <w:r>
        <w:rPr>
          <w:spacing w:val="2"/>
        </w:rPr>
        <w:t>f</w:t>
      </w:r>
      <w:r>
        <w:t>y</w:t>
      </w:r>
      <w:r>
        <w:rPr>
          <w:spacing w:val="-5"/>
        </w:rPr>
        <w:t xml:space="preserve"> </w:t>
      </w:r>
      <w:r>
        <w:rPr>
          <w:spacing w:val="-1"/>
        </w:rPr>
        <w:t>a</w:t>
      </w:r>
      <w:r>
        <w:t xml:space="preserve">nd </w:t>
      </w:r>
      <w:r>
        <w:rPr>
          <w:spacing w:val="2"/>
        </w:rPr>
        <w:t>p</w:t>
      </w:r>
      <w:r>
        <w:rPr>
          <w:spacing w:val="-1"/>
        </w:rPr>
        <w:t>r</w:t>
      </w:r>
      <w:r>
        <w:t>ot</w:t>
      </w:r>
      <w:r>
        <w:rPr>
          <w:spacing w:val="-1"/>
        </w:rPr>
        <w:t>ec</w:t>
      </w:r>
      <w:r>
        <w:t>t d</w:t>
      </w:r>
      <w:r>
        <w:rPr>
          <w:spacing w:val="-1"/>
        </w:rPr>
        <w:t>ee</w:t>
      </w:r>
      <w:r>
        <w:t>pw</w:t>
      </w:r>
      <w:r>
        <w:rPr>
          <w:spacing w:val="-1"/>
        </w:rPr>
        <w:t>a</w:t>
      </w:r>
      <w:r>
        <w:rPr>
          <w:spacing w:val="3"/>
        </w:rPr>
        <w:t>t</w:t>
      </w:r>
      <w:r>
        <w:rPr>
          <w:spacing w:val="-1"/>
        </w:rPr>
        <w:t>e</w:t>
      </w:r>
      <w:r>
        <w:t>r</w:t>
      </w:r>
      <w:r>
        <w:rPr>
          <w:spacing w:val="-1"/>
        </w:rPr>
        <w:t xml:space="preserve"> c</w:t>
      </w:r>
      <w:r>
        <w:rPr>
          <w:spacing w:val="2"/>
        </w:rPr>
        <w:t>o</w:t>
      </w:r>
      <w:r>
        <w:rPr>
          <w:spacing w:val="-1"/>
        </w:rPr>
        <w:t>ra</w:t>
      </w:r>
      <w:r>
        <w:t xml:space="preserve">l </w:t>
      </w:r>
      <w:r>
        <w:rPr>
          <w:spacing w:val="1"/>
        </w:rPr>
        <w:t>e</w:t>
      </w:r>
      <w:r>
        <w:rPr>
          <w:spacing w:val="-1"/>
        </w:rPr>
        <w:t>c</w:t>
      </w:r>
      <w:r>
        <w:t>o</w:t>
      </w:r>
      <w:r>
        <w:rPr>
          <w:spacing w:val="3"/>
        </w:rPr>
        <w:t>s</w:t>
      </w:r>
      <w:r>
        <w:rPr>
          <w:spacing w:val="-5"/>
        </w:rPr>
        <w:t>y</w:t>
      </w:r>
      <w:r>
        <w:t>s</w:t>
      </w:r>
      <w:r>
        <w:rPr>
          <w:spacing w:val="3"/>
        </w:rPr>
        <w:t>t</w:t>
      </w:r>
      <w:r>
        <w:rPr>
          <w:spacing w:val="1"/>
        </w:rPr>
        <w:t>e</w:t>
      </w:r>
      <w:r>
        <w:t>ms in the</w:t>
      </w:r>
      <w:r>
        <w:rPr>
          <w:spacing w:val="-1"/>
        </w:rPr>
        <w:t xml:space="preserve"> </w:t>
      </w:r>
      <w:r>
        <w:rPr>
          <w:spacing w:val="1"/>
        </w:rPr>
        <w:t>S</w:t>
      </w:r>
      <w:r>
        <w:t>outh Atl</w:t>
      </w:r>
      <w:r>
        <w:rPr>
          <w:spacing w:val="-1"/>
        </w:rPr>
        <w:t>a</w:t>
      </w:r>
      <w:r>
        <w:t>ntic</w:t>
      </w:r>
      <w:r>
        <w:rPr>
          <w:spacing w:val="-3"/>
        </w:rPr>
        <w:t xml:space="preserve"> </w:t>
      </w:r>
      <w:r>
        <w:rPr>
          <w:spacing w:val="-1"/>
        </w:rPr>
        <w:t>r</w:t>
      </w:r>
      <w:r>
        <w:rPr>
          <w:spacing w:val="1"/>
        </w:rPr>
        <w:t>e</w:t>
      </w:r>
      <w:r>
        <w:rPr>
          <w:spacing w:val="-2"/>
        </w:rPr>
        <w:t>g</w:t>
      </w:r>
      <w:r>
        <w:t>ion. M</w:t>
      </w:r>
      <w:r>
        <w:rPr>
          <w:spacing w:val="-1"/>
        </w:rPr>
        <w:t>a</w:t>
      </w:r>
      <w:r>
        <w:t>n</w:t>
      </w:r>
      <w:r>
        <w:rPr>
          <w:spacing w:val="1"/>
        </w:rPr>
        <w:t>a</w:t>
      </w:r>
      <w:r>
        <w:t>g</w:t>
      </w:r>
      <w:r>
        <w:rPr>
          <w:spacing w:val="-1"/>
        </w:rPr>
        <w:t>e</w:t>
      </w:r>
      <w:r>
        <w:t>m</w:t>
      </w:r>
      <w:r>
        <w:rPr>
          <w:spacing w:val="-1"/>
        </w:rPr>
        <w:t>e</w:t>
      </w:r>
      <w:r>
        <w:t xml:space="preserve">nt </w:t>
      </w:r>
      <w:r>
        <w:rPr>
          <w:spacing w:val="-1"/>
        </w:rPr>
        <w:t>ac</w:t>
      </w:r>
      <w:r>
        <w:t>t</w:t>
      </w:r>
      <w:r>
        <w:rPr>
          <w:spacing w:val="3"/>
        </w:rPr>
        <w:t>i</w:t>
      </w:r>
      <w:r>
        <w:t xml:space="preserve">ons in </w:t>
      </w:r>
      <w:r>
        <w:rPr>
          <w:spacing w:val="1"/>
        </w:rPr>
        <w:t>C</w:t>
      </w:r>
      <w:r>
        <w:t>omp</w:t>
      </w:r>
      <w:r>
        <w:rPr>
          <w:spacing w:val="-1"/>
        </w:rPr>
        <w:t>re</w:t>
      </w:r>
      <w:r>
        <w:t>h</w:t>
      </w:r>
      <w:r>
        <w:rPr>
          <w:spacing w:val="-1"/>
        </w:rPr>
        <w:t>e</w:t>
      </w:r>
      <w:r>
        <w:t>nsive E</w:t>
      </w:r>
      <w:r>
        <w:rPr>
          <w:spacing w:val="-1"/>
        </w:rPr>
        <w:t>c</w:t>
      </w:r>
      <w:r>
        <w:t>o</w:t>
      </w:r>
      <w:r>
        <w:rPr>
          <w:spacing w:val="3"/>
        </w:rPr>
        <w:t>s</w:t>
      </w:r>
      <w:r>
        <w:rPr>
          <w:spacing w:val="-5"/>
        </w:rPr>
        <w:t>y</w:t>
      </w:r>
      <w:r>
        <w:t>st</w:t>
      </w:r>
      <w:r>
        <w:rPr>
          <w:spacing w:val="-1"/>
        </w:rPr>
        <w:t>e</w:t>
      </w:r>
      <w:r>
        <w:rPr>
          <w:spacing w:val="3"/>
        </w:rPr>
        <w:t>m</w:t>
      </w:r>
      <w:r>
        <w:rPr>
          <w:spacing w:val="-1"/>
        </w:rPr>
        <w:t>-</w:t>
      </w:r>
      <w:r>
        <w:rPr>
          <w:spacing w:val="1"/>
        </w:rPr>
        <w:t>B</w:t>
      </w:r>
      <w:r>
        <w:rPr>
          <w:spacing w:val="-1"/>
        </w:rPr>
        <w:t>a</w:t>
      </w:r>
      <w:r>
        <w:t>s</w:t>
      </w:r>
      <w:r>
        <w:rPr>
          <w:spacing w:val="-1"/>
        </w:rPr>
        <w:t>e</w:t>
      </w:r>
      <w:r>
        <w:t>d Am</w:t>
      </w:r>
      <w:r>
        <w:rPr>
          <w:spacing w:val="-1"/>
        </w:rPr>
        <w:t>e</w:t>
      </w:r>
      <w:r>
        <w:rPr>
          <w:spacing w:val="2"/>
        </w:rPr>
        <w:t>n</w:t>
      </w:r>
      <w:r>
        <w:t>dm</w:t>
      </w:r>
      <w:r>
        <w:rPr>
          <w:spacing w:val="-1"/>
        </w:rPr>
        <w:t>e</w:t>
      </w:r>
      <w:r>
        <w:t xml:space="preserve">nt </w:t>
      </w:r>
      <w:r>
        <w:rPr>
          <w:spacing w:val="-1"/>
        </w:rPr>
        <w:t>(</w:t>
      </w:r>
      <w:r>
        <w:rPr>
          <w:spacing w:val="1"/>
        </w:rPr>
        <w:t>C</w:t>
      </w:r>
      <w:r>
        <w:t>E</w:t>
      </w:r>
      <w:r>
        <w:rPr>
          <w:spacing w:val="-1"/>
        </w:rPr>
        <w:t>-</w:t>
      </w:r>
      <w:r>
        <w:rPr>
          <w:spacing w:val="-2"/>
        </w:rPr>
        <w:t>B</w:t>
      </w:r>
      <w:r>
        <w:t xml:space="preserve">A </w:t>
      </w:r>
      <w:r>
        <w:rPr>
          <w:spacing w:val="2"/>
        </w:rPr>
        <w:t>1</w:t>
      </w:r>
      <w:r>
        <w:t>)</w:t>
      </w:r>
      <w:r>
        <w:rPr>
          <w:spacing w:val="-1"/>
        </w:rPr>
        <w:t xml:space="preserve"> (</w:t>
      </w:r>
      <w:r>
        <w:rPr>
          <w:spacing w:val="1"/>
        </w:rPr>
        <w:t>S</w:t>
      </w:r>
      <w:r>
        <w:t>A</w:t>
      </w:r>
      <w:r>
        <w:rPr>
          <w:spacing w:val="1"/>
        </w:rPr>
        <w:t>F</w:t>
      </w:r>
      <w:r>
        <w:t>MC</w:t>
      </w:r>
      <w:r>
        <w:rPr>
          <w:spacing w:val="1"/>
        </w:rPr>
        <w:t xml:space="preserve"> </w:t>
      </w:r>
      <w:r>
        <w:t>2009b</w:t>
      </w:r>
      <w:r>
        <w:rPr>
          <w:spacing w:val="-1"/>
        </w:rPr>
        <w:t>) e</w:t>
      </w:r>
      <w:r>
        <w:t>st</w:t>
      </w:r>
      <w:r>
        <w:rPr>
          <w:spacing w:val="-1"/>
        </w:rPr>
        <w:t>a</w:t>
      </w:r>
      <w:r>
        <w:t>blish</w:t>
      </w:r>
      <w:r>
        <w:rPr>
          <w:spacing w:val="-1"/>
        </w:rPr>
        <w:t>e</w:t>
      </w:r>
      <w:r>
        <w:t>d d</w:t>
      </w:r>
      <w:r>
        <w:rPr>
          <w:spacing w:val="-1"/>
        </w:rPr>
        <w:t>ee</w:t>
      </w:r>
      <w:r>
        <w:t>pw</w:t>
      </w:r>
      <w:r>
        <w:rPr>
          <w:spacing w:val="-1"/>
        </w:rPr>
        <w:t>a</w:t>
      </w:r>
      <w:r>
        <w:rPr>
          <w:spacing w:val="3"/>
        </w:rPr>
        <w:t>t</w:t>
      </w:r>
      <w:r>
        <w:rPr>
          <w:spacing w:val="-1"/>
        </w:rPr>
        <w:t>e</w:t>
      </w:r>
      <w:r>
        <w:t>r</w:t>
      </w:r>
      <w:r>
        <w:rPr>
          <w:spacing w:val="-1"/>
        </w:rPr>
        <w:t xml:space="preserve"> c</w:t>
      </w:r>
      <w:r>
        <w:rPr>
          <w:spacing w:val="2"/>
        </w:rPr>
        <w:t>o</w:t>
      </w:r>
      <w:r>
        <w:rPr>
          <w:spacing w:val="-1"/>
        </w:rPr>
        <w:t>ra</w:t>
      </w:r>
      <w:r>
        <w:t>l HA</w:t>
      </w:r>
      <w:r>
        <w:rPr>
          <w:spacing w:val="1"/>
        </w:rPr>
        <w:t>PC</w:t>
      </w:r>
      <w:r>
        <w:t xml:space="preserve">s </w:t>
      </w:r>
      <w:r>
        <w:rPr>
          <w:spacing w:val="2"/>
        </w:rPr>
        <w:t>(</w:t>
      </w:r>
      <w:r>
        <w:rPr>
          <w:spacing w:val="1"/>
        </w:rPr>
        <w:t>C</w:t>
      </w:r>
      <w:r>
        <w:t>- HA</w:t>
      </w:r>
      <w:r>
        <w:rPr>
          <w:spacing w:val="1"/>
        </w:rPr>
        <w:t>PC</w:t>
      </w:r>
      <w:r>
        <w:t>s)</w:t>
      </w:r>
      <w:r>
        <w:rPr>
          <w:spacing w:val="-1"/>
        </w:rPr>
        <w:t xml:space="preserve"> </w:t>
      </w:r>
      <w:r>
        <w:t>to p</w:t>
      </w:r>
      <w:r>
        <w:rPr>
          <w:spacing w:val="-1"/>
        </w:rPr>
        <w:t>r</w:t>
      </w:r>
      <w:r>
        <w:t>ot</w:t>
      </w:r>
      <w:r>
        <w:rPr>
          <w:spacing w:val="-1"/>
        </w:rPr>
        <w:t>ec</w:t>
      </w:r>
      <w:r>
        <w:t>t wh</w:t>
      </w:r>
      <w:r>
        <w:rPr>
          <w:spacing w:val="-1"/>
        </w:rPr>
        <w:t>a</w:t>
      </w:r>
      <w:r>
        <w:t xml:space="preserve">t </w:t>
      </w:r>
      <w:r>
        <w:rPr>
          <w:spacing w:val="3"/>
        </w:rPr>
        <w:t>i</w:t>
      </w:r>
      <w:r>
        <w:t>s thou</w:t>
      </w:r>
      <w:r>
        <w:rPr>
          <w:spacing w:val="-2"/>
        </w:rPr>
        <w:t>g</w:t>
      </w:r>
      <w:r>
        <w:t>ht to be</w:t>
      </w:r>
      <w:r>
        <w:rPr>
          <w:spacing w:val="-1"/>
        </w:rPr>
        <w:t xml:space="preserve"> </w:t>
      </w:r>
      <w:r>
        <w:t>the</w:t>
      </w:r>
      <w:r>
        <w:rPr>
          <w:spacing w:val="-1"/>
        </w:rPr>
        <w:t xml:space="preserve"> </w:t>
      </w:r>
      <w:r>
        <w:t>l</w:t>
      </w:r>
      <w:r>
        <w:rPr>
          <w:spacing w:val="-1"/>
        </w:rPr>
        <w:t>a</w:t>
      </w:r>
      <w:r>
        <w:rPr>
          <w:spacing w:val="2"/>
        </w:rPr>
        <w:t>r</w:t>
      </w:r>
      <w:r>
        <w:t>g</w:t>
      </w:r>
      <w:r>
        <w:rPr>
          <w:spacing w:val="-1"/>
        </w:rPr>
        <w:t>e</w:t>
      </w:r>
      <w:r>
        <w:rPr>
          <w:spacing w:val="3"/>
        </w:rPr>
        <w:t>s</w:t>
      </w:r>
      <w:r>
        <w:t xml:space="preserve">t </w:t>
      </w:r>
      <w:r>
        <w:rPr>
          <w:spacing w:val="-1"/>
        </w:rPr>
        <w:t>c</w:t>
      </w:r>
      <w:r>
        <w:t>ontinuous dist</w:t>
      </w:r>
      <w:r>
        <w:rPr>
          <w:spacing w:val="-1"/>
        </w:rPr>
        <w:t>r</w:t>
      </w:r>
      <w:r>
        <w:t>ibution</w:t>
      </w:r>
      <w:r>
        <w:rPr>
          <w:spacing w:val="-2"/>
        </w:rPr>
        <w:t xml:space="preserve"> </w:t>
      </w:r>
      <w:r>
        <w:rPr>
          <w:spacing w:val="-1"/>
        </w:rPr>
        <w:t>(&gt;</w:t>
      </w:r>
      <w:r>
        <w:t>23,000 squ</w:t>
      </w:r>
      <w:r>
        <w:rPr>
          <w:spacing w:val="-1"/>
        </w:rPr>
        <w:t>a</w:t>
      </w:r>
      <w:r>
        <w:rPr>
          <w:spacing w:val="2"/>
        </w:rPr>
        <w:t>r</w:t>
      </w:r>
      <w:r>
        <w:t>e</w:t>
      </w:r>
      <w:r>
        <w:rPr>
          <w:spacing w:val="-1"/>
        </w:rPr>
        <w:t xml:space="preserve"> </w:t>
      </w:r>
      <w:r>
        <w:t>mil</w:t>
      </w:r>
      <w:r>
        <w:rPr>
          <w:spacing w:val="-1"/>
        </w:rPr>
        <w:t>e</w:t>
      </w:r>
      <w:r>
        <w:t>s)</w:t>
      </w:r>
      <w:r>
        <w:rPr>
          <w:spacing w:val="-1"/>
        </w:rPr>
        <w:t xml:space="preserve"> </w:t>
      </w:r>
      <w:r>
        <w:rPr>
          <w:spacing w:val="2"/>
        </w:rPr>
        <w:t>o</w:t>
      </w:r>
      <w:r>
        <w:t>f p</w:t>
      </w:r>
      <w:r>
        <w:rPr>
          <w:spacing w:val="-1"/>
        </w:rPr>
        <w:t>r</w:t>
      </w:r>
      <w:r>
        <w:t>istine</w:t>
      </w:r>
      <w:r>
        <w:rPr>
          <w:spacing w:val="-1"/>
        </w:rPr>
        <w:t xml:space="preserve"> </w:t>
      </w:r>
      <w:r>
        <w:t>d</w:t>
      </w:r>
      <w:r>
        <w:rPr>
          <w:spacing w:val="-1"/>
        </w:rPr>
        <w:t>ee</w:t>
      </w:r>
      <w:r>
        <w:t>pw</w:t>
      </w:r>
      <w:r>
        <w:rPr>
          <w:spacing w:val="-1"/>
        </w:rPr>
        <w:t>a</w:t>
      </w:r>
      <w:r>
        <w:rPr>
          <w:spacing w:val="3"/>
        </w:rPr>
        <w:t>t</w:t>
      </w:r>
      <w:r>
        <w:rPr>
          <w:spacing w:val="-1"/>
        </w:rPr>
        <w:t>e</w:t>
      </w:r>
      <w:r>
        <w:t>r</w:t>
      </w:r>
      <w:r>
        <w:rPr>
          <w:spacing w:val="-1"/>
        </w:rPr>
        <w:t xml:space="preserve"> c</w:t>
      </w:r>
      <w:r>
        <w:rPr>
          <w:spacing w:val="2"/>
        </w:rPr>
        <w:t>o</w:t>
      </w:r>
      <w:r>
        <w:rPr>
          <w:spacing w:val="-1"/>
        </w:rPr>
        <w:t>ra</w:t>
      </w:r>
      <w:r>
        <w:t>l</w:t>
      </w:r>
      <w:r>
        <w:rPr>
          <w:spacing w:val="3"/>
        </w:rPr>
        <w:t xml:space="preserve"> </w:t>
      </w:r>
      <w:r>
        <w:rPr>
          <w:spacing w:val="-1"/>
        </w:rPr>
        <w:t>ec</w:t>
      </w:r>
      <w:r>
        <w:t>o</w:t>
      </w:r>
      <w:r>
        <w:rPr>
          <w:spacing w:val="5"/>
        </w:rPr>
        <w:t>s</w:t>
      </w:r>
      <w:r>
        <w:rPr>
          <w:spacing w:val="-5"/>
        </w:rPr>
        <w:t>y</w:t>
      </w:r>
      <w:r>
        <w:t>st</w:t>
      </w:r>
      <w:r>
        <w:rPr>
          <w:spacing w:val="-1"/>
        </w:rPr>
        <w:t>e</w:t>
      </w:r>
      <w:r>
        <w:t>ms in the</w:t>
      </w:r>
      <w:r>
        <w:rPr>
          <w:spacing w:val="-1"/>
        </w:rPr>
        <w:t xml:space="preserve"> </w:t>
      </w:r>
      <w:r>
        <w:t>wo</w:t>
      </w:r>
      <w:r>
        <w:rPr>
          <w:spacing w:val="-1"/>
        </w:rPr>
        <w:t>r</w:t>
      </w:r>
      <w:r>
        <w:t>ld.</w:t>
      </w:r>
      <w:r>
        <w:rPr>
          <w:spacing w:val="2"/>
        </w:rPr>
        <w:t xml:space="preserve"> </w:t>
      </w:r>
      <w:r>
        <w:rPr>
          <w:spacing w:val="-3"/>
        </w:rPr>
        <w:t>I</w:t>
      </w:r>
      <w:r>
        <w:t>n</w:t>
      </w:r>
      <w:r>
        <w:rPr>
          <w:spacing w:val="2"/>
        </w:rPr>
        <w:t xml:space="preserve"> </w:t>
      </w:r>
      <w:r>
        <w:rPr>
          <w:spacing w:val="-1"/>
        </w:rPr>
        <w:t>a</w:t>
      </w:r>
      <w:r>
        <w:t xml:space="preserve">ddition, </w:t>
      </w:r>
      <w:r>
        <w:rPr>
          <w:spacing w:val="1"/>
        </w:rPr>
        <w:t>C</w:t>
      </w:r>
      <w:r>
        <w:t>E</w:t>
      </w:r>
      <w:r>
        <w:rPr>
          <w:spacing w:val="-1"/>
        </w:rPr>
        <w:t>-</w:t>
      </w:r>
      <w:r>
        <w:rPr>
          <w:spacing w:val="-2"/>
        </w:rPr>
        <w:t>B</w:t>
      </w:r>
      <w:r>
        <w:t xml:space="preserve">A 1 </w:t>
      </w:r>
      <w:r>
        <w:rPr>
          <w:spacing w:val="-1"/>
        </w:rPr>
        <w:t>e</w:t>
      </w:r>
      <w:r>
        <w:t>s</w:t>
      </w:r>
      <w:r>
        <w:rPr>
          <w:spacing w:val="3"/>
        </w:rPr>
        <w:t>t</w:t>
      </w:r>
      <w:r>
        <w:rPr>
          <w:spacing w:val="-1"/>
        </w:rPr>
        <w:t>a</w:t>
      </w:r>
      <w:r>
        <w:t>blish</w:t>
      </w:r>
      <w:r>
        <w:rPr>
          <w:spacing w:val="-1"/>
        </w:rPr>
        <w:t>e</w:t>
      </w:r>
      <w:r>
        <w:t xml:space="preserve">d </w:t>
      </w:r>
      <w:r>
        <w:rPr>
          <w:spacing w:val="-1"/>
        </w:rPr>
        <w:t>ar</w:t>
      </w:r>
      <w:r>
        <w:rPr>
          <w:spacing w:val="1"/>
        </w:rPr>
        <w:t>e</w:t>
      </w:r>
      <w:r>
        <w:rPr>
          <w:spacing w:val="-1"/>
        </w:rPr>
        <w:t>a</w:t>
      </w:r>
      <w:r>
        <w:t xml:space="preserve">s within the </w:t>
      </w:r>
      <w:r>
        <w:rPr>
          <w:spacing w:val="1"/>
        </w:rPr>
        <w:t>C</w:t>
      </w:r>
      <w:r>
        <w:t>HA</w:t>
      </w:r>
      <w:r>
        <w:rPr>
          <w:spacing w:val="1"/>
        </w:rPr>
        <w:t>P</w:t>
      </w:r>
      <w:r>
        <w:t>C,</w:t>
      </w:r>
      <w:r>
        <w:rPr>
          <w:spacing w:val="1"/>
        </w:rPr>
        <w:t xml:space="preserve"> </w:t>
      </w:r>
      <w:r>
        <w:t>whi</w:t>
      </w:r>
      <w:r>
        <w:rPr>
          <w:spacing w:val="-1"/>
        </w:rPr>
        <w:t>c</w:t>
      </w:r>
      <w:r>
        <w:t>h p</w:t>
      </w:r>
      <w:r>
        <w:rPr>
          <w:spacing w:val="-1"/>
        </w:rPr>
        <w:t>r</w:t>
      </w:r>
      <w:r>
        <w:t>ovide</w:t>
      </w:r>
      <w:r>
        <w:rPr>
          <w:spacing w:val="-1"/>
        </w:rPr>
        <w:t xml:space="preserve"> </w:t>
      </w:r>
      <w:r>
        <w:rPr>
          <w:spacing w:val="2"/>
        </w:rPr>
        <w:t>f</w:t>
      </w:r>
      <w:r>
        <w:t>or</w:t>
      </w:r>
      <w:r>
        <w:rPr>
          <w:spacing w:val="-1"/>
        </w:rPr>
        <w:t xml:space="preserve"> </w:t>
      </w:r>
      <w:r>
        <w:t>t</w:t>
      </w:r>
      <w:r>
        <w:rPr>
          <w:spacing w:val="-1"/>
        </w:rPr>
        <w:t>ra</w:t>
      </w:r>
      <w:r>
        <w:t>dition</w:t>
      </w:r>
      <w:r>
        <w:rPr>
          <w:spacing w:val="-1"/>
        </w:rPr>
        <w:t>a</w:t>
      </w:r>
      <w:r>
        <w:t xml:space="preserve">l </w:t>
      </w:r>
      <w:r>
        <w:rPr>
          <w:spacing w:val="-1"/>
        </w:rPr>
        <w:t>f</w:t>
      </w:r>
      <w:r>
        <w:t>ishing</w:t>
      </w:r>
      <w:r>
        <w:rPr>
          <w:spacing w:val="-2"/>
        </w:rPr>
        <w:t xml:space="preserve"> </w:t>
      </w:r>
      <w:r>
        <w:t>in limit</w:t>
      </w:r>
      <w:r>
        <w:rPr>
          <w:spacing w:val="-1"/>
        </w:rPr>
        <w:t>e</w:t>
      </w:r>
      <w:r>
        <w:t xml:space="preserve">d </w:t>
      </w:r>
      <w:r>
        <w:rPr>
          <w:spacing w:val="-1"/>
        </w:rPr>
        <w:t>area</w:t>
      </w:r>
      <w:r>
        <w:t>s, wh</w:t>
      </w:r>
      <w:r>
        <w:rPr>
          <w:spacing w:val="3"/>
        </w:rPr>
        <w:t>i</w:t>
      </w:r>
      <w:r>
        <w:rPr>
          <w:spacing w:val="-1"/>
        </w:rPr>
        <w:t>c</w:t>
      </w:r>
      <w:r>
        <w:t>h do not imp</w:t>
      </w:r>
      <w:r>
        <w:rPr>
          <w:spacing w:val="-1"/>
        </w:rPr>
        <w:t>ac</w:t>
      </w:r>
      <w:r>
        <w:t>t d</w:t>
      </w:r>
      <w:r>
        <w:rPr>
          <w:spacing w:val="-1"/>
        </w:rPr>
        <w:t>ee</w:t>
      </w:r>
      <w:r>
        <w:t>p</w:t>
      </w:r>
      <w:r>
        <w:rPr>
          <w:spacing w:val="2"/>
        </w:rPr>
        <w:t>w</w:t>
      </w:r>
      <w:r>
        <w:rPr>
          <w:spacing w:val="-1"/>
        </w:rPr>
        <w:t>a</w:t>
      </w:r>
      <w:r>
        <w:t>t</w:t>
      </w:r>
      <w:r>
        <w:rPr>
          <w:spacing w:val="-1"/>
        </w:rPr>
        <w:t>e</w:t>
      </w:r>
      <w:r>
        <w:t>r</w:t>
      </w:r>
      <w:r>
        <w:rPr>
          <w:spacing w:val="-1"/>
        </w:rPr>
        <w:t xml:space="preserve"> c</w:t>
      </w:r>
      <w:r>
        <w:rPr>
          <w:spacing w:val="2"/>
        </w:rPr>
        <w:t>o</w:t>
      </w:r>
      <w:r>
        <w:rPr>
          <w:spacing w:val="-1"/>
        </w:rPr>
        <w:t>ra</w:t>
      </w:r>
      <w:r>
        <w:t>l h</w:t>
      </w:r>
      <w:r>
        <w:rPr>
          <w:spacing w:val="-1"/>
        </w:rPr>
        <w:t>a</w:t>
      </w:r>
      <w:r>
        <w:t>bit</w:t>
      </w:r>
      <w:r>
        <w:rPr>
          <w:spacing w:val="-1"/>
        </w:rPr>
        <w:t>a</w:t>
      </w:r>
      <w:r>
        <w:t xml:space="preserve">t. </w:t>
      </w:r>
      <w:r>
        <w:rPr>
          <w:spacing w:val="1"/>
        </w:rPr>
        <w:t>C</w:t>
      </w:r>
      <w:r>
        <w:t>E</w:t>
      </w:r>
      <w:r>
        <w:rPr>
          <w:spacing w:val="-1"/>
        </w:rPr>
        <w:t>-</w:t>
      </w:r>
      <w:r>
        <w:rPr>
          <w:spacing w:val="-2"/>
        </w:rPr>
        <w:t>B</w:t>
      </w:r>
      <w:r>
        <w:t>A 1, suppo</w:t>
      </w:r>
      <w:r>
        <w:rPr>
          <w:spacing w:val="2"/>
        </w:rPr>
        <w:t>r</w:t>
      </w:r>
      <w:r>
        <w:t>t</w:t>
      </w:r>
      <w:r>
        <w:rPr>
          <w:spacing w:val="-1"/>
        </w:rPr>
        <w:t>e</w:t>
      </w:r>
      <w:r>
        <w:t xml:space="preserve">d </w:t>
      </w:r>
      <w:r>
        <w:rPr>
          <w:spacing w:val="2"/>
        </w:rPr>
        <w:t>b</w:t>
      </w:r>
      <w:r>
        <w:t>y</w:t>
      </w:r>
      <w:r>
        <w:rPr>
          <w:spacing w:val="-5"/>
        </w:rPr>
        <w:t xml:space="preserve"> </w:t>
      </w:r>
      <w:r>
        <w:t>the</w:t>
      </w:r>
      <w:r>
        <w:rPr>
          <w:spacing w:val="1"/>
        </w:rPr>
        <w:t xml:space="preserve"> </w:t>
      </w:r>
      <w:r>
        <w:rPr>
          <w:spacing w:val="-1"/>
        </w:rPr>
        <w:t>F</w:t>
      </w:r>
      <w:r>
        <w:t>E</w:t>
      </w:r>
      <w:r>
        <w:rPr>
          <w:spacing w:val="1"/>
        </w:rPr>
        <w:t>P</w:t>
      </w:r>
      <w:r>
        <w:t xml:space="preserve">, </w:t>
      </w:r>
      <w:r>
        <w:rPr>
          <w:spacing w:val="-1"/>
        </w:rPr>
        <w:t>a</w:t>
      </w:r>
      <w:r>
        <w:t xml:space="preserve">lso </w:t>
      </w:r>
      <w:r>
        <w:rPr>
          <w:spacing w:val="-1"/>
        </w:rPr>
        <w:t>a</w:t>
      </w:r>
      <w:r>
        <w:t>dd</w:t>
      </w:r>
      <w:r>
        <w:rPr>
          <w:spacing w:val="2"/>
        </w:rPr>
        <w:t>r</w:t>
      </w:r>
      <w:r>
        <w:rPr>
          <w:spacing w:val="-1"/>
        </w:rPr>
        <w:t>e</w:t>
      </w:r>
      <w:r>
        <w:t>ss</w:t>
      </w:r>
      <w:r>
        <w:rPr>
          <w:spacing w:val="-1"/>
        </w:rPr>
        <w:t>e</w:t>
      </w:r>
      <w:r>
        <w:t>d non</w:t>
      </w:r>
      <w:r>
        <w:rPr>
          <w:spacing w:val="-1"/>
        </w:rPr>
        <w:t>-</w:t>
      </w:r>
      <w:r>
        <w:rPr>
          <w:spacing w:val="2"/>
        </w:rPr>
        <w:t>r</w:t>
      </w:r>
      <w:r>
        <w:rPr>
          <w:spacing w:val="1"/>
        </w:rPr>
        <w:t>e</w:t>
      </w:r>
      <w:r>
        <w:rPr>
          <w:spacing w:val="-2"/>
        </w:rPr>
        <w:t>g</w:t>
      </w:r>
      <w:r>
        <w:t>ul</w:t>
      </w:r>
      <w:r>
        <w:rPr>
          <w:spacing w:val="-1"/>
        </w:rPr>
        <w:t>a</w:t>
      </w:r>
      <w:r>
        <w:t>to</w:t>
      </w:r>
      <w:r>
        <w:rPr>
          <w:spacing w:val="4"/>
        </w:rPr>
        <w:t>r</w:t>
      </w:r>
      <w:r>
        <w:t>y</w:t>
      </w:r>
      <w:r>
        <w:rPr>
          <w:spacing w:val="-5"/>
        </w:rPr>
        <w:t xml:space="preserve"> </w:t>
      </w:r>
      <w:r>
        <w:t>up</w:t>
      </w:r>
      <w:r>
        <w:rPr>
          <w:spacing w:val="2"/>
        </w:rPr>
        <w:t>d</w:t>
      </w:r>
      <w:r>
        <w:rPr>
          <w:spacing w:val="-1"/>
        </w:rPr>
        <w:t>a</w:t>
      </w:r>
      <w:r>
        <w:t>t</w:t>
      </w:r>
      <w:r>
        <w:rPr>
          <w:spacing w:val="-1"/>
        </w:rPr>
        <w:t>e</w:t>
      </w:r>
      <w:r>
        <w:t xml:space="preserve">s </w:t>
      </w:r>
      <w:r>
        <w:rPr>
          <w:spacing w:val="-1"/>
        </w:rPr>
        <w:t>f</w:t>
      </w:r>
      <w:r>
        <w:t>or</w:t>
      </w:r>
      <w:r>
        <w:rPr>
          <w:spacing w:val="-1"/>
        </w:rPr>
        <w:t xml:space="preserve"> e</w:t>
      </w:r>
      <w:r>
        <w:rPr>
          <w:spacing w:val="2"/>
        </w:rPr>
        <w:t>x</w:t>
      </w:r>
      <w:r>
        <w:t>isting</w:t>
      </w:r>
      <w:r>
        <w:rPr>
          <w:spacing w:val="-2"/>
        </w:rPr>
        <w:t xml:space="preserve"> </w:t>
      </w:r>
      <w:r>
        <w:t>E</w:t>
      </w:r>
      <w:r>
        <w:rPr>
          <w:spacing w:val="1"/>
        </w:rPr>
        <w:t>F</w:t>
      </w:r>
      <w:r>
        <w:t xml:space="preserve">H </w:t>
      </w:r>
      <w:r>
        <w:rPr>
          <w:spacing w:val="-1"/>
        </w:rPr>
        <w:t>a</w:t>
      </w:r>
      <w:r>
        <w:t>nd E</w:t>
      </w:r>
      <w:r>
        <w:rPr>
          <w:spacing w:val="-1"/>
        </w:rPr>
        <w:t>F</w:t>
      </w:r>
      <w:r>
        <w:t>H-</w:t>
      </w:r>
      <w:r>
        <w:rPr>
          <w:spacing w:val="-1"/>
        </w:rPr>
        <w:t xml:space="preserve"> </w:t>
      </w:r>
      <w:r>
        <w:rPr>
          <w:spacing w:val="2"/>
        </w:rPr>
        <w:t>H</w:t>
      </w:r>
      <w:r>
        <w:t>A</w:t>
      </w:r>
      <w:r>
        <w:rPr>
          <w:spacing w:val="1"/>
        </w:rPr>
        <w:t>P</w:t>
      </w:r>
      <w:r>
        <w:t>C</w:t>
      </w:r>
      <w:r>
        <w:rPr>
          <w:spacing w:val="1"/>
        </w:rPr>
        <w:t xml:space="preserve"> </w:t>
      </w:r>
      <w:r>
        <w:t>in</w:t>
      </w:r>
      <w:r>
        <w:rPr>
          <w:spacing w:val="-1"/>
        </w:rPr>
        <w:t>f</w:t>
      </w:r>
      <w:r>
        <w:t>o</w:t>
      </w:r>
      <w:r>
        <w:rPr>
          <w:spacing w:val="-1"/>
        </w:rPr>
        <w:t>r</w:t>
      </w:r>
      <w:r>
        <w:t>m</w:t>
      </w:r>
      <w:r>
        <w:rPr>
          <w:spacing w:val="-1"/>
        </w:rPr>
        <w:t>a</w:t>
      </w:r>
      <w:r>
        <w:t xml:space="preserve">tion </w:t>
      </w:r>
      <w:r>
        <w:rPr>
          <w:spacing w:val="-1"/>
        </w:rPr>
        <w:t>a</w:t>
      </w:r>
      <w:r>
        <w:t xml:space="preserve">nd </w:t>
      </w:r>
      <w:r>
        <w:rPr>
          <w:spacing w:val="-1"/>
        </w:rPr>
        <w:t>a</w:t>
      </w:r>
      <w:r>
        <w:t>dd</w:t>
      </w:r>
      <w:r>
        <w:rPr>
          <w:spacing w:val="-1"/>
        </w:rPr>
        <w:t>re</w:t>
      </w:r>
      <w:r>
        <w:t>s</w:t>
      </w:r>
      <w:r>
        <w:rPr>
          <w:spacing w:val="3"/>
        </w:rPr>
        <w:t>s</w:t>
      </w:r>
      <w:r>
        <w:rPr>
          <w:spacing w:val="-1"/>
        </w:rPr>
        <w:t>e</w:t>
      </w:r>
      <w:r>
        <w:t>d the</w:t>
      </w:r>
      <w:r>
        <w:rPr>
          <w:spacing w:val="-1"/>
        </w:rPr>
        <w:t xml:space="preserve"> </w:t>
      </w:r>
      <w:r>
        <w:t>sp</w:t>
      </w:r>
      <w:r>
        <w:rPr>
          <w:spacing w:val="-1"/>
        </w:rPr>
        <w:t>a</w:t>
      </w:r>
      <w:r>
        <w:t>ti</w:t>
      </w:r>
      <w:r>
        <w:rPr>
          <w:spacing w:val="-1"/>
        </w:rPr>
        <w:t>a</w:t>
      </w:r>
      <w:r>
        <w:t>l</w:t>
      </w:r>
      <w:r>
        <w:rPr>
          <w:spacing w:val="3"/>
        </w:rPr>
        <w:t xml:space="preserve"> </w:t>
      </w:r>
      <w:r>
        <w:rPr>
          <w:spacing w:val="-1"/>
        </w:rPr>
        <w:t>re</w:t>
      </w:r>
      <w:r>
        <w:t>qui</w:t>
      </w:r>
      <w:r>
        <w:rPr>
          <w:spacing w:val="-1"/>
        </w:rPr>
        <w:t>re</w:t>
      </w:r>
      <w:r>
        <w:t>m</w:t>
      </w:r>
      <w:r>
        <w:rPr>
          <w:spacing w:val="-1"/>
        </w:rPr>
        <w:t>e</w:t>
      </w:r>
      <w:r>
        <w:t>nts of</w:t>
      </w:r>
      <w:r>
        <w:rPr>
          <w:spacing w:val="-1"/>
        </w:rPr>
        <w:t xml:space="preserve"> </w:t>
      </w:r>
      <w:r>
        <w:t>t</w:t>
      </w:r>
      <w:r>
        <w:rPr>
          <w:spacing w:val="2"/>
        </w:rPr>
        <w:t>h</w:t>
      </w:r>
      <w:r>
        <w:t>e</w:t>
      </w:r>
      <w:r>
        <w:rPr>
          <w:spacing w:val="-1"/>
        </w:rPr>
        <w:t xml:space="preserve"> F</w:t>
      </w:r>
      <w:r>
        <w:t>in</w:t>
      </w:r>
      <w:r>
        <w:rPr>
          <w:spacing w:val="1"/>
        </w:rPr>
        <w:t>a</w:t>
      </w:r>
      <w:r>
        <w:t>l E</w:t>
      </w:r>
      <w:r>
        <w:rPr>
          <w:spacing w:val="-1"/>
        </w:rPr>
        <w:t>F</w:t>
      </w:r>
      <w:r>
        <w:t xml:space="preserve">H </w:t>
      </w:r>
      <w:r>
        <w:rPr>
          <w:spacing w:val="1"/>
        </w:rPr>
        <w:t>R</w:t>
      </w:r>
      <w:r>
        <w:t>ule</w:t>
      </w:r>
      <w:r>
        <w:rPr>
          <w:spacing w:val="-1"/>
        </w:rPr>
        <w:t xml:space="preserve"> (</w:t>
      </w:r>
      <w:r>
        <w:t>i.</w:t>
      </w:r>
      <w:r>
        <w:rPr>
          <w:spacing w:val="-1"/>
        </w:rPr>
        <w:t>e</w:t>
      </w:r>
      <w:r>
        <w:t xml:space="preserve">., </w:t>
      </w:r>
      <w:r>
        <w:rPr>
          <w:spacing w:val="4"/>
        </w:rPr>
        <w:t>G</w:t>
      </w:r>
      <w:r>
        <w:rPr>
          <w:spacing w:val="-6"/>
        </w:rPr>
        <w:t>I</w:t>
      </w:r>
      <w:r>
        <w:t>S p</w:t>
      </w:r>
      <w:r>
        <w:rPr>
          <w:spacing w:val="-1"/>
        </w:rPr>
        <w:t>re</w:t>
      </w:r>
      <w:r>
        <w:t>s</w:t>
      </w:r>
      <w:r>
        <w:rPr>
          <w:spacing w:val="-1"/>
        </w:rPr>
        <w:t>e</w:t>
      </w:r>
      <w:r>
        <w:t>nt</w:t>
      </w:r>
      <w:r>
        <w:rPr>
          <w:spacing w:val="-1"/>
        </w:rPr>
        <w:t>e</w:t>
      </w:r>
      <w:r>
        <w:t xml:space="preserve">d </w:t>
      </w:r>
      <w:r>
        <w:rPr>
          <w:spacing w:val="-1"/>
        </w:rPr>
        <w:t>f</w:t>
      </w:r>
      <w:r>
        <w:rPr>
          <w:spacing w:val="2"/>
        </w:rPr>
        <w:t>o</w:t>
      </w:r>
      <w:r>
        <w:t>r</w:t>
      </w:r>
      <w:r>
        <w:rPr>
          <w:spacing w:val="-1"/>
        </w:rPr>
        <w:t xml:space="preserve"> a</w:t>
      </w:r>
      <w:r>
        <w:t>ll E</w:t>
      </w:r>
      <w:r>
        <w:rPr>
          <w:spacing w:val="1"/>
        </w:rPr>
        <w:t>F</w:t>
      </w:r>
      <w:r>
        <w:t xml:space="preserve">H </w:t>
      </w:r>
      <w:r>
        <w:rPr>
          <w:spacing w:val="-1"/>
        </w:rPr>
        <w:t>a</w:t>
      </w:r>
      <w:r>
        <w:rPr>
          <w:spacing w:val="2"/>
        </w:rPr>
        <w:t>n</w:t>
      </w:r>
      <w:r>
        <w:t>d E</w:t>
      </w:r>
      <w:r>
        <w:rPr>
          <w:spacing w:val="-1"/>
        </w:rPr>
        <w:t>F</w:t>
      </w:r>
      <w:r>
        <w:t>H</w:t>
      </w:r>
      <w:r>
        <w:rPr>
          <w:spacing w:val="-1"/>
        </w:rPr>
        <w:t>-</w:t>
      </w:r>
      <w:r>
        <w:rPr>
          <w:spacing w:val="2"/>
        </w:rPr>
        <w:t>H</w:t>
      </w:r>
      <w:r>
        <w:t>A</w:t>
      </w:r>
      <w:r>
        <w:rPr>
          <w:spacing w:val="1"/>
        </w:rPr>
        <w:t>PC</w:t>
      </w:r>
      <w:r>
        <w:t>s</w:t>
      </w:r>
      <w:r>
        <w:rPr>
          <w:spacing w:val="-1"/>
        </w:rPr>
        <w:t>)</w:t>
      </w:r>
      <w:r>
        <w:t>.</w:t>
      </w:r>
      <w:r w:rsidRPr="008E6FF9">
        <w:t xml:space="preserve"> Actions in this amendment include</w:t>
      </w:r>
      <w:r>
        <w:t>d</w:t>
      </w:r>
      <w:r w:rsidRPr="008E6FF9">
        <w:t xml:space="preserve"> modifications in the management of the following: octocorals; special management zones (SMZs) off the coast of South Carolina; and sea turtle release gear requirements for snapper grouper fisherme</w:t>
      </w:r>
      <w:r>
        <w:t>n. The amendment also designated</w:t>
      </w:r>
      <w:r w:rsidRPr="008E6FF9">
        <w:t xml:space="preserve"> essential fish habitat (EFH) and EFH-Habitat Areas of Particular Concern (EFH-HAPCs). </w:t>
      </w:r>
    </w:p>
    <w:p w14:paraId="3F022794" w14:textId="77777777" w:rsidR="00DC4922" w:rsidRPr="008E6FF9" w:rsidRDefault="00DC4922" w:rsidP="00DC4922"/>
    <w:p w14:paraId="50B52531" w14:textId="77777777" w:rsidR="00DC4922" w:rsidRDefault="00DC4922" w:rsidP="00640526">
      <w:pPr>
        <w:ind w:firstLine="360"/>
      </w:pPr>
      <w:r>
        <w:t>CE-BA 2 established</w:t>
      </w:r>
      <w:r w:rsidRPr="008E6FF9">
        <w:t xml:space="preserve"> annual catch limits (ACL) for octocorals in the South Atl</w:t>
      </w:r>
      <w:r>
        <w:t>antic as well as modifying</w:t>
      </w:r>
      <w:r w:rsidRPr="008E6FF9">
        <w:t xml:space="preserve"> the Fishery Management Unit (FMU) for octocorals to remove octocorals off the coast of Florida from the FMU</w:t>
      </w:r>
      <w:r>
        <w:t xml:space="preserve"> (SAFMC 2011)</w:t>
      </w:r>
      <w:r w:rsidRPr="008E6FF9">
        <w:t xml:space="preserve">. The amendment </w:t>
      </w:r>
      <w:r>
        <w:t>also limited</w:t>
      </w:r>
      <w:r w:rsidRPr="008E6FF9">
        <w:t xml:space="preserve"> the possession of </w:t>
      </w:r>
      <w:r w:rsidRPr="008E6FF9">
        <w:lastRenderedPageBreak/>
        <w:t xml:space="preserve">managed species in the </w:t>
      </w:r>
      <w:r>
        <w:t>SMZs off</w:t>
      </w:r>
      <w:r w:rsidRPr="008E6FF9">
        <w:t xml:space="preserve"> South Carolina to the recreational bag limit for snapper grouper and coastal migrator</w:t>
      </w:r>
      <w:r>
        <w:t>y pelagic species; modified</w:t>
      </w:r>
      <w:r w:rsidRPr="008E6FF9">
        <w:t xml:space="preserve"> sea turtle release gear requirements for the snapper grouper fishery based upon freeboard heigh</w:t>
      </w:r>
      <w:r>
        <w:t>t of vessels; a</w:t>
      </w:r>
      <w:r w:rsidRPr="008E6FF9">
        <w:t xml:space="preserve">mends Council fishery management plans (FMPs) to designate or modify EFH and EFH-HAPCs, including the FMP for Pelagic Sargassum Habitat; </w:t>
      </w:r>
      <w:r>
        <w:t xml:space="preserve">amended </w:t>
      </w:r>
      <w:r w:rsidRPr="008E6FF9">
        <w:t xml:space="preserve">the Coral FMP to designate EFH for deepwater Coral HAPCs designated under CE-BA 1; and </w:t>
      </w:r>
      <w:r>
        <w:t xml:space="preserve">amended </w:t>
      </w:r>
      <w:r w:rsidRPr="008E6FF9">
        <w:t>the Snapper Grouper FMP to designate EFH-HAPCs for golden and blueline tilefish and the deepwater Marine Protected Areas. The final rule was published in the federal register on December 3</w:t>
      </w:r>
      <w:r>
        <w:t>0, 2011, and regulations became</w:t>
      </w:r>
      <w:r w:rsidRPr="008E6FF9">
        <w:t xml:space="preserve"> effective on January 30, 2012.</w:t>
      </w:r>
    </w:p>
    <w:p w14:paraId="5060AD21" w14:textId="77777777" w:rsidR="00DC4922" w:rsidRDefault="00DC4922" w:rsidP="00DC4922">
      <w:pPr>
        <w:rPr>
          <w:sz w:val="26"/>
        </w:rPr>
      </w:pPr>
    </w:p>
    <w:p w14:paraId="27DEAD25" w14:textId="77777777" w:rsidR="00DC4922" w:rsidRPr="00EB603B" w:rsidRDefault="00DC4922" w:rsidP="00DC4922">
      <w:pPr>
        <w:rPr>
          <w:b/>
          <w:i/>
        </w:rPr>
      </w:pPr>
      <w:r w:rsidRPr="00EB603B">
        <w:rPr>
          <w:b/>
          <w:i/>
        </w:rPr>
        <w:t xml:space="preserve">Building </w:t>
      </w:r>
      <w:r w:rsidRPr="00EB603B">
        <w:rPr>
          <w:b/>
          <w:i/>
          <w:spacing w:val="-1"/>
        </w:rPr>
        <w:t>f</w:t>
      </w:r>
      <w:r w:rsidRPr="00EB603B">
        <w:rPr>
          <w:b/>
          <w:i/>
        </w:rPr>
        <w:t>rom</w:t>
      </w:r>
      <w:r w:rsidRPr="00EB603B">
        <w:rPr>
          <w:b/>
          <w:i/>
          <w:spacing w:val="1"/>
        </w:rPr>
        <w:t xml:space="preserve"> </w:t>
      </w:r>
      <w:r w:rsidRPr="00EB603B">
        <w:rPr>
          <w:b/>
          <w:i/>
        </w:rPr>
        <w:t>a</w:t>
      </w:r>
      <w:r w:rsidRPr="00EB603B">
        <w:rPr>
          <w:b/>
          <w:i/>
          <w:spacing w:val="1"/>
        </w:rPr>
        <w:t xml:space="preserve"> </w:t>
      </w:r>
      <w:r w:rsidRPr="00EB603B">
        <w:rPr>
          <w:b/>
          <w:i/>
        </w:rPr>
        <w:t>H</w:t>
      </w:r>
      <w:r w:rsidRPr="00EB603B">
        <w:rPr>
          <w:b/>
          <w:i/>
          <w:spacing w:val="1"/>
        </w:rPr>
        <w:t>a</w:t>
      </w:r>
      <w:r w:rsidRPr="00EB603B">
        <w:rPr>
          <w:b/>
          <w:i/>
        </w:rPr>
        <w:t>bi</w:t>
      </w:r>
      <w:r w:rsidRPr="00EB603B">
        <w:rPr>
          <w:b/>
          <w:i/>
          <w:spacing w:val="-3"/>
        </w:rPr>
        <w:t>t</w:t>
      </w:r>
      <w:r w:rsidRPr="00EB603B">
        <w:rPr>
          <w:b/>
          <w:i/>
          <w:spacing w:val="1"/>
        </w:rPr>
        <w:t>a</w:t>
      </w:r>
      <w:r w:rsidRPr="00EB603B">
        <w:rPr>
          <w:b/>
          <w:i/>
        </w:rPr>
        <w:t xml:space="preserve">t </w:t>
      </w:r>
      <w:r w:rsidRPr="00EB603B">
        <w:rPr>
          <w:b/>
          <w:i/>
          <w:spacing w:val="-1"/>
        </w:rPr>
        <w:t>t</w:t>
      </w:r>
      <w:r w:rsidRPr="00EB603B">
        <w:rPr>
          <w:b/>
          <w:i/>
        </w:rPr>
        <w:t xml:space="preserve">o </w:t>
      </w:r>
      <w:r w:rsidRPr="00EB603B">
        <w:rPr>
          <w:b/>
          <w:i/>
          <w:spacing w:val="1"/>
        </w:rPr>
        <w:t>a</w:t>
      </w:r>
      <w:r w:rsidRPr="00EB603B">
        <w:rPr>
          <w:b/>
          <w:i/>
        </w:rPr>
        <w:t xml:space="preserve">n </w:t>
      </w:r>
      <w:r w:rsidRPr="00EB603B">
        <w:rPr>
          <w:b/>
          <w:i/>
          <w:spacing w:val="1"/>
        </w:rPr>
        <w:t>Ec</w:t>
      </w:r>
      <w:r w:rsidRPr="00EB603B">
        <w:rPr>
          <w:b/>
          <w:i/>
          <w:spacing w:val="-3"/>
        </w:rPr>
        <w:t>o</w:t>
      </w:r>
      <w:r w:rsidRPr="00EB603B">
        <w:rPr>
          <w:b/>
          <w:i/>
          <w:spacing w:val="3"/>
        </w:rPr>
        <w:t>s</w:t>
      </w:r>
      <w:r w:rsidRPr="00EB603B">
        <w:rPr>
          <w:b/>
          <w:i/>
          <w:spacing w:val="-6"/>
        </w:rPr>
        <w:t>y</w:t>
      </w:r>
      <w:r w:rsidRPr="00EB603B">
        <w:rPr>
          <w:b/>
          <w:i/>
          <w:spacing w:val="1"/>
        </w:rPr>
        <w:t>s</w:t>
      </w:r>
      <w:r w:rsidRPr="00EB603B">
        <w:rPr>
          <w:b/>
          <w:i/>
          <w:spacing w:val="-1"/>
        </w:rPr>
        <w:t>t</w:t>
      </w:r>
      <w:r w:rsidRPr="00EB603B">
        <w:rPr>
          <w:b/>
          <w:i/>
          <w:spacing w:val="1"/>
        </w:rPr>
        <w:t>e</w:t>
      </w:r>
      <w:r w:rsidRPr="00EB603B">
        <w:rPr>
          <w:b/>
          <w:i/>
        </w:rPr>
        <w:t>m</w:t>
      </w:r>
      <w:r w:rsidRPr="00EB603B">
        <w:rPr>
          <w:b/>
          <w:i/>
          <w:spacing w:val="1"/>
        </w:rPr>
        <w:t xml:space="preserve"> </w:t>
      </w:r>
      <w:r w:rsidRPr="00EB603B">
        <w:rPr>
          <w:b/>
          <w:i/>
          <w:spacing w:val="2"/>
        </w:rPr>
        <w:t>N</w:t>
      </w:r>
      <w:r w:rsidRPr="00EB603B">
        <w:rPr>
          <w:b/>
          <w:i/>
          <w:spacing w:val="1"/>
        </w:rPr>
        <w:t>e</w:t>
      </w:r>
      <w:r w:rsidRPr="00EB603B">
        <w:rPr>
          <w:b/>
          <w:i/>
          <w:spacing w:val="-3"/>
        </w:rPr>
        <w:t>t</w:t>
      </w:r>
      <w:r w:rsidRPr="00EB603B">
        <w:rPr>
          <w:b/>
          <w:i/>
          <w:spacing w:val="5"/>
        </w:rPr>
        <w:t>w</w:t>
      </w:r>
      <w:r w:rsidRPr="00EB603B">
        <w:rPr>
          <w:b/>
          <w:i/>
        </w:rPr>
        <w:t>o</w:t>
      </w:r>
      <w:r w:rsidRPr="00EB603B">
        <w:rPr>
          <w:b/>
          <w:i/>
          <w:spacing w:val="-2"/>
        </w:rPr>
        <w:t>r</w:t>
      </w:r>
      <w:r w:rsidRPr="00EB603B">
        <w:rPr>
          <w:b/>
          <w:i/>
        </w:rPr>
        <w:t>k</w:t>
      </w:r>
      <w:r w:rsidRPr="00EB603B">
        <w:rPr>
          <w:b/>
          <w:i/>
          <w:spacing w:val="1"/>
        </w:rPr>
        <w:t xml:space="preserve"> </w:t>
      </w:r>
      <w:r w:rsidRPr="00EB603B">
        <w:rPr>
          <w:b/>
          <w:i/>
          <w:spacing w:val="-1"/>
        </w:rPr>
        <w:t>t</w:t>
      </w:r>
      <w:r w:rsidRPr="00EB603B">
        <w:rPr>
          <w:b/>
          <w:i/>
        </w:rPr>
        <w:t xml:space="preserve">o </w:t>
      </w:r>
      <w:r w:rsidRPr="00EB603B">
        <w:rPr>
          <w:b/>
          <w:i/>
          <w:spacing w:val="1"/>
        </w:rPr>
        <w:t>S</w:t>
      </w:r>
      <w:r w:rsidRPr="00EB603B">
        <w:rPr>
          <w:b/>
          <w:i/>
        </w:rPr>
        <w:t xml:space="preserve">upport </w:t>
      </w:r>
      <w:r w:rsidRPr="00EB603B">
        <w:rPr>
          <w:b/>
          <w:i/>
          <w:spacing w:val="-1"/>
        </w:rPr>
        <w:t>t</w:t>
      </w:r>
      <w:r w:rsidRPr="00EB603B">
        <w:rPr>
          <w:b/>
          <w:i/>
        </w:rPr>
        <w:t>he</w:t>
      </w:r>
      <w:r w:rsidRPr="00EB603B">
        <w:rPr>
          <w:b/>
          <w:i/>
          <w:spacing w:val="1"/>
        </w:rPr>
        <w:t xml:space="preserve"> E</w:t>
      </w:r>
      <w:r w:rsidRPr="00EB603B">
        <w:rPr>
          <w:b/>
          <w:i/>
          <w:spacing w:val="-4"/>
        </w:rPr>
        <w:t>v</w:t>
      </w:r>
      <w:r w:rsidRPr="00EB603B">
        <w:rPr>
          <w:b/>
          <w:i/>
        </w:rPr>
        <w:t>olu</w:t>
      </w:r>
      <w:r w:rsidRPr="00EB603B">
        <w:rPr>
          <w:b/>
          <w:i/>
          <w:spacing w:val="-1"/>
        </w:rPr>
        <w:t>t</w:t>
      </w:r>
      <w:r w:rsidRPr="00EB603B">
        <w:rPr>
          <w:b/>
          <w:i/>
        </w:rPr>
        <w:t>ion</w:t>
      </w:r>
    </w:p>
    <w:p w14:paraId="24A53C56" w14:textId="77777777" w:rsidR="00DC4922" w:rsidRDefault="00DC4922" w:rsidP="00640526">
      <w:pPr>
        <w:ind w:firstLine="360"/>
      </w:pPr>
      <w:r>
        <w:rPr>
          <w:spacing w:val="1"/>
        </w:rPr>
        <w:t>S</w:t>
      </w:r>
      <w:r>
        <w:t>t</w:t>
      </w:r>
      <w:r>
        <w:rPr>
          <w:spacing w:val="-1"/>
        </w:rPr>
        <w:t>ar</w:t>
      </w:r>
      <w:r>
        <w:t>ting</w:t>
      </w:r>
      <w:r>
        <w:rPr>
          <w:spacing w:val="-2"/>
        </w:rPr>
        <w:t xml:space="preserve"> </w:t>
      </w:r>
      <w:r>
        <w:t>with our</w:t>
      </w:r>
      <w:r>
        <w:rPr>
          <w:spacing w:val="-1"/>
        </w:rPr>
        <w:t xml:space="preserve"> </w:t>
      </w:r>
      <w:r>
        <w:t>H</w:t>
      </w:r>
      <w:r>
        <w:rPr>
          <w:spacing w:val="-1"/>
        </w:rPr>
        <w:t>a</w:t>
      </w:r>
      <w:r>
        <w:t>bit</w:t>
      </w:r>
      <w:r>
        <w:rPr>
          <w:spacing w:val="-1"/>
        </w:rPr>
        <w:t>a</w:t>
      </w:r>
      <w:r>
        <w:t>t</w:t>
      </w:r>
      <w:r>
        <w:rPr>
          <w:spacing w:val="3"/>
        </w:rPr>
        <w:t xml:space="preserve"> </w:t>
      </w:r>
      <w:r>
        <w:rPr>
          <w:spacing w:val="-1"/>
        </w:rPr>
        <w:t>a</w:t>
      </w:r>
      <w:r>
        <w:t>nd Envi</w:t>
      </w:r>
      <w:r>
        <w:rPr>
          <w:spacing w:val="-1"/>
        </w:rPr>
        <w:t>r</w:t>
      </w:r>
      <w:r>
        <w:t>onm</w:t>
      </w:r>
      <w:r>
        <w:rPr>
          <w:spacing w:val="-1"/>
        </w:rPr>
        <w:t>e</w:t>
      </w:r>
      <w:r>
        <w:t>nt</w:t>
      </w:r>
      <w:r>
        <w:rPr>
          <w:spacing w:val="-1"/>
        </w:rPr>
        <w:t>a</w:t>
      </w:r>
      <w:r>
        <w:t xml:space="preserve">l </w:t>
      </w:r>
      <w:r>
        <w:rPr>
          <w:spacing w:val="1"/>
        </w:rPr>
        <w:t>P</w:t>
      </w:r>
      <w:r>
        <w:rPr>
          <w:spacing w:val="-1"/>
        </w:rPr>
        <w:t>r</w:t>
      </w:r>
      <w:r>
        <w:t>ot</w:t>
      </w:r>
      <w:r>
        <w:rPr>
          <w:spacing w:val="1"/>
        </w:rPr>
        <w:t>e</w:t>
      </w:r>
      <w:r>
        <w:rPr>
          <w:spacing w:val="-1"/>
        </w:rPr>
        <w:t>c</w:t>
      </w:r>
      <w:r>
        <w:t>tion Adviso</w:t>
      </w:r>
      <w:r>
        <w:rPr>
          <w:spacing w:val="2"/>
        </w:rPr>
        <w:t>r</w:t>
      </w:r>
      <w:r>
        <w:t>y</w:t>
      </w:r>
      <w:r>
        <w:rPr>
          <w:spacing w:val="-5"/>
        </w:rPr>
        <w:t xml:space="preserve"> </w:t>
      </w:r>
      <w:r>
        <w:rPr>
          <w:spacing w:val="1"/>
        </w:rPr>
        <w:t>P</w:t>
      </w:r>
      <w:r>
        <w:rPr>
          <w:spacing w:val="-1"/>
        </w:rPr>
        <w:t>a</w:t>
      </w:r>
      <w:r>
        <w:rPr>
          <w:spacing w:val="2"/>
        </w:rPr>
        <w:t>n</w:t>
      </w:r>
      <w:r>
        <w:rPr>
          <w:spacing w:val="-1"/>
        </w:rPr>
        <w:t>e</w:t>
      </w:r>
      <w:r>
        <w:t>l, the</w:t>
      </w:r>
      <w:r>
        <w:rPr>
          <w:spacing w:val="1"/>
        </w:rPr>
        <w:t xml:space="preserve"> C</w:t>
      </w:r>
      <w:r>
        <w:t>oun</w:t>
      </w:r>
      <w:r>
        <w:rPr>
          <w:spacing w:val="-1"/>
        </w:rPr>
        <w:t>c</w:t>
      </w:r>
      <w:r>
        <w:t xml:space="preserve">il </w:t>
      </w:r>
      <w:r>
        <w:rPr>
          <w:spacing w:val="-1"/>
        </w:rPr>
        <w:t>e</w:t>
      </w:r>
      <w:r>
        <w:rPr>
          <w:spacing w:val="2"/>
        </w:rPr>
        <w:t>x</w:t>
      </w:r>
      <w:r>
        <w:t>p</w:t>
      </w:r>
      <w:r>
        <w:rPr>
          <w:spacing w:val="-1"/>
        </w:rPr>
        <w:t>a</w:t>
      </w:r>
      <w:r>
        <w:t>nd</w:t>
      </w:r>
      <w:r>
        <w:rPr>
          <w:spacing w:val="-1"/>
        </w:rPr>
        <w:t>e</w:t>
      </w:r>
      <w:r>
        <w:t xml:space="preserve">d </w:t>
      </w:r>
      <w:r>
        <w:rPr>
          <w:spacing w:val="-1"/>
        </w:rPr>
        <w:t>a</w:t>
      </w:r>
      <w:r>
        <w:t xml:space="preserve">nd </w:t>
      </w:r>
      <w:r>
        <w:rPr>
          <w:spacing w:val="-1"/>
        </w:rPr>
        <w:t>f</w:t>
      </w:r>
      <w:r>
        <w:t>ost</w:t>
      </w:r>
      <w:r>
        <w:rPr>
          <w:spacing w:val="-1"/>
        </w:rPr>
        <w:t>ere</w:t>
      </w:r>
      <w:r>
        <w:t>d a</w:t>
      </w:r>
      <w:r>
        <w:rPr>
          <w:spacing w:val="1"/>
        </w:rPr>
        <w:t xml:space="preserve"> </w:t>
      </w:r>
      <w:r>
        <w:rPr>
          <w:spacing w:val="-1"/>
        </w:rPr>
        <w:t>c</w:t>
      </w:r>
      <w:r>
        <w:t>omp</w:t>
      </w:r>
      <w:r>
        <w:rPr>
          <w:spacing w:val="-1"/>
        </w:rPr>
        <w:t>re</w:t>
      </w:r>
      <w:r>
        <w:rPr>
          <w:spacing w:val="2"/>
        </w:rPr>
        <w:t>h</w:t>
      </w:r>
      <w:r>
        <w:rPr>
          <w:spacing w:val="-1"/>
        </w:rPr>
        <w:t>e</w:t>
      </w:r>
      <w:r>
        <w:t>nsive</w:t>
      </w:r>
      <w:r>
        <w:rPr>
          <w:spacing w:val="1"/>
        </w:rPr>
        <w:t xml:space="preserve"> </w:t>
      </w:r>
      <w:r>
        <w:t>H</w:t>
      </w:r>
      <w:r>
        <w:rPr>
          <w:spacing w:val="-1"/>
        </w:rPr>
        <w:t>a</w:t>
      </w:r>
      <w:r>
        <w:t>bit</w:t>
      </w:r>
      <w:r>
        <w:rPr>
          <w:spacing w:val="-1"/>
        </w:rPr>
        <w:t>a</w:t>
      </w:r>
      <w:r>
        <w:t>t n</w:t>
      </w:r>
      <w:r>
        <w:rPr>
          <w:spacing w:val="-1"/>
        </w:rPr>
        <w:t>e</w:t>
      </w:r>
      <w:r>
        <w:t>two</w:t>
      </w:r>
      <w:r>
        <w:rPr>
          <w:spacing w:val="-1"/>
        </w:rPr>
        <w:t>r</w:t>
      </w:r>
      <w:r>
        <w:t>k in our</w:t>
      </w:r>
      <w:r>
        <w:rPr>
          <w:spacing w:val="-1"/>
        </w:rPr>
        <w:t xml:space="preserve"> </w:t>
      </w:r>
      <w:r>
        <w:rPr>
          <w:spacing w:val="2"/>
        </w:rPr>
        <w:t>r</w:t>
      </w:r>
      <w:r>
        <w:rPr>
          <w:spacing w:val="-1"/>
        </w:rPr>
        <w:t>e</w:t>
      </w:r>
      <w:r>
        <w:rPr>
          <w:spacing w:val="-2"/>
        </w:rPr>
        <w:t>g</w:t>
      </w:r>
      <w:r>
        <w:t>ion to d</w:t>
      </w:r>
      <w:r>
        <w:rPr>
          <w:spacing w:val="-1"/>
        </w:rPr>
        <w:t>e</w:t>
      </w:r>
      <w:r>
        <w:rPr>
          <w:spacing w:val="2"/>
        </w:rPr>
        <w:t>v</w:t>
      </w:r>
      <w:r>
        <w:rPr>
          <w:spacing w:val="-1"/>
        </w:rPr>
        <w:t>e</w:t>
      </w:r>
      <w:r>
        <w:t>lop the</w:t>
      </w:r>
      <w:r>
        <w:rPr>
          <w:spacing w:val="-1"/>
        </w:rPr>
        <w:t xml:space="preserve"> </w:t>
      </w:r>
      <w:r>
        <w:t>H</w:t>
      </w:r>
      <w:r>
        <w:rPr>
          <w:spacing w:val="-1"/>
        </w:rPr>
        <w:t>a</w:t>
      </w:r>
      <w:r>
        <w:rPr>
          <w:spacing w:val="2"/>
        </w:rPr>
        <w:t>b</w:t>
      </w:r>
      <w:r>
        <w:t>it</w:t>
      </w:r>
      <w:r>
        <w:rPr>
          <w:spacing w:val="-1"/>
        </w:rPr>
        <w:t>a</w:t>
      </w:r>
      <w:r>
        <w:t xml:space="preserve">t </w:t>
      </w:r>
      <w:r>
        <w:rPr>
          <w:spacing w:val="1"/>
        </w:rPr>
        <w:t>P</w:t>
      </w:r>
      <w:r>
        <w:t>l</w:t>
      </w:r>
      <w:r>
        <w:rPr>
          <w:spacing w:val="-1"/>
        </w:rPr>
        <w:t>a</w:t>
      </w:r>
      <w:r>
        <w:t>n of</w:t>
      </w:r>
      <w:r>
        <w:rPr>
          <w:spacing w:val="-1"/>
        </w:rPr>
        <w:t xml:space="preserve"> </w:t>
      </w:r>
      <w:r>
        <w:t>the</w:t>
      </w:r>
      <w:r>
        <w:rPr>
          <w:spacing w:val="-1"/>
        </w:rPr>
        <w:t xml:space="preserve"> </w:t>
      </w:r>
      <w:r>
        <w:rPr>
          <w:spacing w:val="1"/>
        </w:rPr>
        <w:t>S</w:t>
      </w:r>
      <w:r>
        <w:t>outh Atl</w:t>
      </w:r>
      <w:r>
        <w:rPr>
          <w:spacing w:val="-1"/>
        </w:rPr>
        <w:t>a</w:t>
      </w:r>
      <w:r>
        <w:t>ntic</w:t>
      </w:r>
      <w:r>
        <w:rPr>
          <w:spacing w:val="-1"/>
        </w:rPr>
        <w:t xml:space="preserve"> </w:t>
      </w:r>
      <w:r>
        <w:rPr>
          <w:spacing w:val="1"/>
        </w:rPr>
        <w:t>R</w:t>
      </w:r>
      <w:r>
        <w:rPr>
          <w:spacing w:val="-1"/>
        </w:rPr>
        <w:t>e</w:t>
      </w:r>
      <w:r>
        <w:rPr>
          <w:spacing w:val="-2"/>
        </w:rPr>
        <w:t>g</w:t>
      </w:r>
      <w:r>
        <w:t xml:space="preserve">ion </w:t>
      </w:r>
      <w:r>
        <w:rPr>
          <w:spacing w:val="-1"/>
        </w:rPr>
        <w:t>c</w:t>
      </w:r>
      <w:r>
        <w:t>ompl</w:t>
      </w:r>
      <w:r>
        <w:rPr>
          <w:spacing w:val="-1"/>
        </w:rPr>
        <w:t>e</w:t>
      </w:r>
      <w:r>
        <w:rPr>
          <w:spacing w:val="3"/>
        </w:rPr>
        <w:t>t</w:t>
      </w:r>
      <w:r>
        <w:rPr>
          <w:spacing w:val="-1"/>
        </w:rPr>
        <w:t>e</w:t>
      </w:r>
      <w:r>
        <w:t>d in 1998 to suppo</w:t>
      </w:r>
      <w:r>
        <w:rPr>
          <w:spacing w:val="-1"/>
        </w:rPr>
        <w:t>r</w:t>
      </w:r>
      <w:r>
        <w:t>t the</w:t>
      </w:r>
      <w:r>
        <w:rPr>
          <w:spacing w:val="-1"/>
        </w:rPr>
        <w:t xml:space="preserve"> </w:t>
      </w:r>
      <w:r>
        <w:t>E</w:t>
      </w:r>
      <w:r>
        <w:rPr>
          <w:spacing w:val="-1"/>
        </w:rPr>
        <w:t>F</w:t>
      </w:r>
      <w:r>
        <w:t xml:space="preserve">H </w:t>
      </w:r>
      <w:r>
        <w:rPr>
          <w:spacing w:val="-1"/>
        </w:rPr>
        <w:t>r</w:t>
      </w:r>
      <w:r>
        <w:t>ul</w:t>
      </w:r>
      <w:r>
        <w:rPr>
          <w:spacing w:val="-1"/>
        </w:rPr>
        <w:t>e</w:t>
      </w:r>
      <w:r>
        <w:t>.</w:t>
      </w:r>
      <w:r>
        <w:rPr>
          <w:spacing w:val="2"/>
        </w:rPr>
        <w:t xml:space="preserve"> </w:t>
      </w:r>
      <w:r>
        <w:rPr>
          <w:spacing w:val="-2"/>
        </w:rPr>
        <w:t>B</w:t>
      </w:r>
      <w:r>
        <w:t>uilding</w:t>
      </w:r>
      <w:r>
        <w:rPr>
          <w:spacing w:val="-2"/>
        </w:rPr>
        <w:t xml:space="preserve"> </w:t>
      </w:r>
      <w:r>
        <w:rPr>
          <w:spacing w:val="2"/>
        </w:rPr>
        <w:t>o</w:t>
      </w:r>
      <w:r>
        <w:t>n the</w:t>
      </w:r>
      <w:r>
        <w:rPr>
          <w:spacing w:val="-1"/>
        </w:rPr>
        <w:t xml:space="preserve"> c</w:t>
      </w:r>
      <w:r>
        <w:t>o</w:t>
      </w:r>
      <w:r>
        <w:rPr>
          <w:spacing w:val="-1"/>
        </w:rPr>
        <w:t>r</w:t>
      </w:r>
      <w:r>
        <w:t>e</w:t>
      </w:r>
      <w:r>
        <w:rPr>
          <w:spacing w:val="1"/>
        </w:rPr>
        <w:t xml:space="preserve"> </w:t>
      </w:r>
      <w:r>
        <w:rPr>
          <w:spacing w:val="-1"/>
        </w:rPr>
        <w:t>r</w:t>
      </w:r>
      <w:r>
        <w:rPr>
          <w:spacing w:val="1"/>
        </w:rPr>
        <w:t>e</w:t>
      </w:r>
      <w:r>
        <w:rPr>
          <w:spacing w:val="-2"/>
        </w:rPr>
        <w:t>g</w:t>
      </w:r>
      <w:r>
        <w:t>ion</w:t>
      </w:r>
      <w:r>
        <w:rPr>
          <w:spacing w:val="-1"/>
        </w:rPr>
        <w:t>a</w:t>
      </w:r>
      <w:r>
        <w:t xml:space="preserve">l </w:t>
      </w:r>
      <w:r>
        <w:rPr>
          <w:spacing w:val="-1"/>
        </w:rPr>
        <w:t>c</w:t>
      </w:r>
      <w:r>
        <w:t>oll</w:t>
      </w:r>
      <w:r>
        <w:rPr>
          <w:spacing w:val="-1"/>
        </w:rPr>
        <w:t>a</w:t>
      </w:r>
      <w:r>
        <w:t>bo</w:t>
      </w:r>
      <w:r>
        <w:rPr>
          <w:spacing w:val="-1"/>
        </w:rPr>
        <w:t>ra</w:t>
      </w:r>
      <w:r>
        <w:t>tions, the</w:t>
      </w:r>
      <w:r>
        <w:rPr>
          <w:spacing w:val="-1"/>
        </w:rPr>
        <w:t xml:space="preserve"> </w:t>
      </w:r>
      <w:r>
        <w:rPr>
          <w:spacing w:val="1"/>
        </w:rPr>
        <w:t>C</w:t>
      </w:r>
      <w:r>
        <w:t>oun</w:t>
      </w:r>
      <w:r>
        <w:rPr>
          <w:spacing w:val="-1"/>
        </w:rPr>
        <w:t>c</w:t>
      </w:r>
      <w:r>
        <w:t xml:space="preserve">il </w:t>
      </w:r>
      <w:r>
        <w:rPr>
          <w:spacing w:val="-1"/>
        </w:rPr>
        <w:t>fac</w:t>
      </w:r>
      <w:r>
        <w:t>ilit</w:t>
      </w:r>
      <w:r>
        <w:rPr>
          <w:spacing w:val="-1"/>
        </w:rPr>
        <w:t>a</w:t>
      </w:r>
      <w:r>
        <w:t>t</w:t>
      </w:r>
      <w:r>
        <w:rPr>
          <w:spacing w:val="-1"/>
        </w:rPr>
        <w:t>e</w:t>
      </w:r>
      <w:r>
        <w:t xml:space="preserve">d </w:t>
      </w:r>
      <w:r>
        <w:rPr>
          <w:spacing w:val="-1"/>
        </w:rPr>
        <w:t>a</w:t>
      </w:r>
      <w:r>
        <w:t>n</w:t>
      </w:r>
      <w:r>
        <w:rPr>
          <w:spacing w:val="2"/>
        </w:rPr>
        <w:t xml:space="preserve"> </w:t>
      </w:r>
      <w:r>
        <w:rPr>
          <w:spacing w:val="-1"/>
        </w:rPr>
        <w:t>e</w:t>
      </w:r>
      <w:r>
        <w:rPr>
          <w:spacing w:val="2"/>
        </w:rPr>
        <w:t>x</w:t>
      </w:r>
      <w:r>
        <w:t>p</w:t>
      </w:r>
      <w:r>
        <w:rPr>
          <w:spacing w:val="-1"/>
        </w:rPr>
        <w:t>a</w:t>
      </w:r>
      <w:r>
        <w:t>nsion to a</w:t>
      </w:r>
      <w:r>
        <w:rPr>
          <w:spacing w:val="-1"/>
        </w:rPr>
        <w:t xml:space="preserve"> </w:t>
      </w:r>
      <w:r>
        <w:t>H</w:t>
      </w:r>
      <w:r>
        <w:rPr>
          <w:spacing w:val="-1"/>
        </w:rPr>
        <w:t>a</w:t>
      </w:r>
      <w:r>
        <w:t>bit</w:t>
      </w:r>
      <w:r>
        <w:rPr>
          <w:spacing w:val="-1"/>
        </w:rPr>
        <w:t>a</w:t>
      </w:r>
      <w:r>
        <w:t xml:space="preserve">t </w:t>
      </w:r>
      <w:r>
        <w:rPr>
          <w:spacing w:val="-1"/>
        </w:rPr>
        <w:t>a</w:t>
      </w:r>
      <w:r>
        <w:t>nd E</w:t>
      </w:r>
      <w:r>
        <w:rPr>
          <w:spacing w:val="-1"/>
        </w:rPr>
        <w:t>c</w:t>
      </w:r>
      <w:r>
        <w:t>o</w:t>
      </w:r>
      <w:r>
        <w:rPr>
          <w:spacing w:val="3"/>
        </w:rPr>
        <w:t>s</w:t>
      </w:r>
      <w:r>
        <w:rPr>
          <w:spacing w:val="-5"/>
        </w:rPr>
        <w:t>y</w:t>
      </w:r>
      <w:r>
        <w:rPr>
          <w:spacing w:val="3"/>
        </w:rPr>
        <w:t>s</w:t>
      </w:r>
      <w:r>
        <w:t>t</w:t>
      </w:r>
      <w:r>
        <w:rPr>
          <w:spacing w:val="-1"/>
        </w:rPr>
        <w:t>e</w:t>
      </w:r>
      <w:r>
        <w:t>m n</w:t>
      </w:r>
      <w:r>
        <w:rPr>
          <w:spacing w:val="-1"/>
        </w:rPr>
        <w:t>e</w:t>
      </w:r>
      <w:r>
        <w:t>tw</w:t>
      </w:r>
      <w:r>
        <w:rPr>
          <w:spacing w:val="2"/>
        </w:rPr>
        <w:t>o</w:t>
      </w:r>
      <w:r>
        <w:rPr>
          <w:spacing w:val="-1"/>
        </w:rPr>
        <w:t>r</w:t>
      </w:r>
      <w:r>
        <w:t>k to suppo</w:t>
      </w:r>
      <w:r>
        <w:rPr>
          <w:spacing w:val="-1"/>
        </w:rPr>
        <w:t>r</w:t>
      </w:r>
      <w:r>
        <w:t>t d</w:t>
      </w:r>
      <w:r>
        <w:rPr>
          <w:spacing w:val="-1"/>
        </w:rPr>
        <w:t>e</w:t>
      </w:r>
      <w:r>
        <w:t>v</w:t>
      </w:r>
      <w:r>
        <w:rPr>
          <w:spacing w:val="-1"/>
        </w:rPr>
        <w:t>e</w:t>
      </w:r>
      <w:r>
        <w:t>lopm</w:t>
      </w:r>
      <w:r>
        <w:rPr>
          <w:spacing w:val="-1"/>
        </w:rPr>
        <w:t>e</w:t>
      </w:r>
      <w:r>
        <w:t>nt of</w:t>
      </w:r>
      <w:r>
        <w:rPr>
          <w:spacing w:val="-1"/>
        </w:rPr>
        <w:t xml:space="preserve"> </w:t>
      </w:r>
      <w:r>
        <w:t>the</w:t>
      </w:r>
      <w:r>
        <w:rPr>
          <w:spacing w:val="1"/>
        </w:rPr>
        <w:t xml:space="preserve"> </w:t>
      </w:r>
      <w:r>
        <w:rPr>
          <w:spacing w:val="-1"/>
        </w:rPr>
        <w:t>F</w:t>
      </w:r>
      <w:r>
        <w:t>EP</w:t>
      </w:r>
      <w:r>
        <w:rPr>
          <w:spacing w:val="1"/>
        </w:rPr>
        <w:t xml:space="preserve"> </w:t>
      </w:r>
      <w:r>
        <w:rPr>
          <w:spacing w:val="-1"/>
        </w:rPr>
        <w:t>a</w:t>
      </w:r>
      <w:r>
        <w:t xml:space="preserve">nd </w:t>
      </w:r>
      <w:r>
        <w:rPr>
          <w:spacing w:val="1"/>
        </w:rPr>
        <w:t>C</w:t>
      </w:r>
      <w:r>
        <w:t>E</w:t>
      </w:r>
      <w:r>
        <w:rPr>
          <w:spacing w:val="-1"/>
        </w:rPr>
        <w:t>-</w:t>
      </w:r>
      <w:r>
        <w:rPr>
          <w:spacing w:val="-2"/>
        </w:rPr>
        <w:t>B</w:t>
      </w:r>
      <w:r>
        <w:t>A</w:t>
      </w:r>
      <w:r>
        <w:rPr>
          <w:spacing w:val="2"/>
        </w:rPr>
        <w:t xml:space="preserve"> </w:t>
      </w:r>
      <w:r>
        <w:rPr>
          <w:spacing w:val="-1"/>
        </w:rPr>
        <w:t>a</w:t>
      </w:r>
      <w:r>
        <w:t>s w</w:t>
      </w:r>
      <w:r>
        <w:rPr>
          <w:spacing w:val="-1"/>
        </w:rPr>
        <w:t>e</w:t>
      </w:r>
      <w:r>
        <w:t xml:space="preserve">ll </w:t>
      </w:r>
      <w:r>
        <w:rPr>
          <w:spacing w:val="-1"/>
        </w:rPr>
        <w:t>a</w:t>
      </w:r>
      <w:r>
        <w:t>s</w:t>
      </w:r>
      <w:r>
        <w:rPr>
          <w:spacing w:val="3"/>
        </w:rPr>
        <w:t xml:space="preserve"> </w:t>
      </w:r>
      <w:r>
        <w:rPr>
          <w:spacing w:val="-1"/>
        </w:rPr>
        <w:t>c</w:t>
      </w:r>
      <w:r>
        <w:rPr>
          <w:spacing w:val="2"/>
        </w:rPr>
        <w:t>o</w:t>
      </w:r>
      <w:r>
        <w:t>o</w:t>
      </w:r>
      <w:r>
        <w:rPr>
          <w:spacing w:val="-1"/>
        </w:rPr>
        <w:t>r</w:t>
      </w:r>
      <w:r>
        <w:t>din</w:t>
      </w:r>
      <w:r>
        <w:rPr>
          <w:spacing w:val="-1"/>
        </w:rPr>
        <w:t>a</w:t>
      </w:r>
      <w:r>
        <w:t>te</w:t>
      </w:r>
      <w:r>
        <w:rPr>
          <w:spacing w:val="-1"/>
        </w:rPr>
        <w:t xml:space="preserve"> </w:t>
      </w:r>
      <w:r>
        <w:t>with p</w:t>
      </w:r>
      <w:r>
        <w:rPr>
          <w:spacing w:val="-1"/>
        </w:rPr>
        <w:t>ar</w:t>
      </w:r>
      <w:r>
        <w:t>tn</w:t>
      </w:r>
      <w:r>
        <w:rPr>
          <w:spacing w:val="1"/>
        </w:rPr>
        <w:t>e</w:t>
      </w:r>
      <w:r>
        <w:rPr>
          <w:spacing w:val="-1"/>
        </w:rPr>
        <w:t>r</w:t>
      </w:r>
      <w:r>
        <w:t>s on</w:t>
      </w:r>
      <w:r>
        <w:rPr>
          <w:spacing w:val="2"/>
        </w:rPr>
        <w:t xml:space="preserve"> </w:t>
      </w:r>
      <w:r>
        <w:t>oth</w:t>
      </w:r>
      <w:r>
        <w:rPr>
          <w:spacing w:val="-1"/>
        </w:rPr>
        <w:t>e</w:t>
      </w:r>
      <w:r>
        <w:t>r</w:t>
      </w:r>
      <w:r>
        <w:rPr>
          <w:spacing w:val="-1"/>
        </w:rPr>
        <w:t xml:space="preserve"> r</w:t>
      </w:r>
      <w:r>
        <w:rPr>
          <w:spacing w:val="1"/>
        </w:rPr>
        <w:t>e</w:t>
      </w:r>
      <w:r>
        <w:rPr>
          <w:spacing w:val="-2"/>
        </w:rPr>
        <w:t>g</w:t>
      </w:r>
      <w:r>
        <w:t>ion</w:t>
      </w:r>
      <w:r>
        <w:rPr>
          <w:spacing w:val="-1"/>
        </w:rPr>
        <w:t>a</w:t>
      </w:r>
      <w:r>
        <w:t>l</w:t>
      </w:r>
      <w:r>
        <w:rPr>
          <w:spacing w:val="3"/>
        </w:rPr>
        <w:t xml:space="preserve"> </w:t>
      </w:r>
      <w:r>
        <w:rPr>
          <w:spacing w:val="-1"/>
        </w:rPr>
        <w:t>eff</w:t>
      </w:r>
      <w:r>
        <w:t>o</w:t>
      </w:r>
      <w:r>
        <w:rPr>
          <w:spacing w:val="-1"/>
        </w:rPr>
        <w:t>r</w:t>
      </w:r>
      <w:r>
        <w:t>ts.</w:t>
      </w:r>
    </w:p>
    <w:p w14:paraId="72086530" w14:textId="77777777" w:rsidR="00DC4922" w:rsidRDefault="00DC4922" w:rsidP="00DC4922">
      <w:pPr>
        <w:rPr>
          <w:sz w:val="26"/>
        </w:rPr>
      </w:pPr>
    </w:p>
    <w:p w14:paraId="471EDA3F" w14:textId="77777777" w:rsidR="00DC4922" w:rsidRPr="00D50BED" w:rsidRDefault="00DC4922" w:rsidP="00DC4922">
      <w:pPr>
        <w:rPr>
          <w:i/>
          <w:sz w:val="26"/>
        </w:rPr>
      </w:pPr>
      <w:r>
        <w:rPr>
          <w:i/>
          <w:sz w:val="26"/>
        </w:rPr>
        <w:t>Integrated Ocean Observing System (IOOS) and Southeast Coastal and Ocean Observing Regional Association (</w:t>
      </w:r>
      <w:r w:rsidRPr="00D50BED">
        <w:rPr>
          <w:i/>
          <w:sz w:val="26"/>
        </w:rPr>
        <w:t>SECOORA</w:t>
      </w:r>
      <w:r>
        <w:rPr>
          <w:i/>
          <w:sz w:val="26"/>
        </w:rPr>
        <w:t>)</w:t>
      </w:r>
    </w:p>
    <w:p w14:paraId="05A78DD0" w14:textId="77777777" w:rsidR="00DC4922" w:rsidRDefault="00DC4922" w:rsidP="00640526">
      <w:pPr>
        <w:ind w:firstLine="360"/>
      </w:pPr>
      <w:r w:rsidRPr="002131D9">
        <w:t>The Integrated Ocean Observing System (IOOS®) is a partnership among federal, regional, academic</w:t>
      </w:r>
      <w:r>
        <w:t>,</w:t>
      </w:r>
      <w:r w:rsidRPr="002131D9">
        <w:t xml:space="preserve"> and private sector parties that works to provide new tools and forecasts to improve safety, enhance the econom</w:t>
      </w:r>
      <w:r>
        <w:t xml:space="preserve">y, and protect our environment.  </w:t>
      </w:r>
      <w:r w:rsidRPr="002131D9">
        <w:t>IOOS supplies critical information about our Nation’s oceans, coasts, and Great Lakes. Scientists working to understand climate change, governments adapting to changes in the Arctic, municipalities monitoring local water quality, and industries affected by coastal and marine spatial planning all have the same need: reliable, timely, and sustained access to data and informati</w:t>
      </w:r>
      <w:r>
        <w:t xml:space="preserve">on that inform decision making.  </w:t>
      </w:r>
      <w:r w:rsidRPr="002131D9">
        <w:t>Improving access to key marine data and information supports several purposes. IOOS data sustain national defense, marine commerce</w:t>
      </w:r>
      <w:r>
        <w:t>,</w:t>
      </w:r>
      <w:r w:rsidRPr="002131D9">
        <w:t xml:space="preserve"> and navigation safety. Scientists use these data to issue weather, climate</w:t>
      </w:r>
      <w:r>
        <w:t>,</w:t>
      </w:r>
      <w:r w:rsidRPr="002131D9">
        <w:t xml:space="preserve"> and marine forecasts. IOOS data are also used to make decisions for energy siting and production, economic development, and ecosystem-based resource management. Emergency managers and health officials need IOOS information to make decisions about public safety. Teachers and government officials rely on IOOS data for public outreach, training</w:t>
      </w:r>
      <w:r>
        <w:t>,</w:t>
      </w:r>
      <w:r w:rsidRPr="002131D9">
        <w:t xml:space="preserve"> and education.</w:t>
      </w:r>
    </w:p>
    <w:p w14:paraId="07F81FC2" w14:textId="77777777" w:rsidR="00DC4922" w:rsidRDefault="00DC4922" w:rsidP="00DC4922"/>
    <w:p w14:paraId="54E71BFC" w14:textId="77777777" w:rsidR="00DC4922" w:rsidRDefault="00DC4922" w:rsidP="00640526">
      <w:pPr>
        <w:ind w:firstLine="360"/>
      </w:pPr>
      <w:r w:rsidRPr="002131D9">
        <w:t xml:space="preserve">SECOORA is one of 11 Regional Associations established nationwide through the US </w:t>
      </w:r>
      <w:r>
        <w:t xml:space="preserve">IOOS whose </w:t>
      </w:r>
      <w:r w:rsidRPr="002131D9">
        <w:t xml:space="preserve">primary source of funding is through a 5-year cooperative agreement titled </w:t>
      </w:r>
      <w:r>
        <w:t>“</w:t>
      </w:r>
      <w:r w:rsidRPr="002131D9">
        <w:t>Coordinated Monitoring, Prediction</w:t>
      </w:r>
      <w:r>
        <w:t>,</w:t>
      </w:r>
      <w:r w:rsidRPr="002131D9">
        <w:t xml:space="preserve"> and Assessment to Support Decision</w:t>
      </w:r>
      <w:r w:rsidRPr="002131D9">
        <w:rPr>
          <w:rFonts w:ascii="Cambria Math" w:hAnsi="Cambria Math" w:cs="Cambria Math"/>
        </w:rPr>
        <w:t>‐</w:t>
      </w:r>
      <w:r w:rsidRPr="002131D9">
        <w:t>Makers Needs for Coastal and Ocean Data and Tools</w:t>
      </w:r>
      <w:r>
        <w:t>”.  However, SECOORA</w:t>
      </w:r>
      <w:r w:rsidRPr="002131D9">
        <w:t xml:space="preserve"> </w:t>
      </w:r>
      <w:r>
        <w:t xml:space="preserve">was </w:t>
      </w:r>
      <w:r w:rsidRPr="002131D9">
        <w:t>recently awarded funding via a NOAA Regional Ocean Partners</w:t>
      </w:r>
      <w:r>
        <w:t>hip grant through the Governors’</w:t>
      </w:r>
      <w:r w:rsidRPr="002131D9">
        <w:t xml:space="preserve"> So</w:t>
      </w:r>
      <w:r>
        <w:t>uth Atlantic Alliance</w:t>
      </w:r>
      <w:r w:rsidRPr="002131D9">
        <w:t xml:space="preserve">. </w:t>
      </w:r>
      <w:r>
        <w:t xml:space="preserve"> </w:t>
      </w:r>
      <w:r w:rsidRPr="002131D9">
        <w:t>SECOORA is the regional solution to integrating coastal and ocean observing data in the Southeast United States to inform decision makers and the general public. The SECOORA region encompasses 4 states, over 42 million people</w:t>
      </w:r>
      <w:r>
        <w:t>,</w:t>
      </w:r>
      <w:r w:rsidRPr="002131D9">
        <w:t xml:space="preserve"> and spans the coastal ocean from North Carolina to th</w:t>
      </w:r>
      <w:r>
        <w:t xml:space="preserve">e west Coast of Florida and is </w:t>
      </w:r>
      <w:r w:rsidRPr="002131D9">
        <w:t>creating customized products to address these thematic areas: Marine Operations</w:t>
      </w:r>
      <w:r>
        <w:t>; Coastal Hazards; Ecosystems, Water Quality,</w:t>
      </w:r>
      <w:r w:rsidRPr="002131D9">
        <w:t xml:space="preserve"> Living Marine Resources; and Climate Change. </w:t>
      </w:r>
      <w:r>
        <w:t>Th</w:t>
      </w:r>
      <w:r>
        <w:rPr>
          <w:spacing w:val="-1"/>
        </w:rPr>
        <w:t>e</w:t>
      </w:r>
      <w:r>
        <w:t xml:space="preserve"> Council is a</w:t>
      </w:r>
      <w:r>
        <w:rPr>
          <w:spacing w:val="-1"/>
        </w:rPr>
        <w:t xml:space="preserve"> voting </w:t>
      </w:r>
      <w:r>
        <w:t>m</w:t>
      </w:r>
      <w:r>
        <w:rPr>
          <w:spacing w:val="-1"/>
        </w:rPr>
        <w:t>e</w:t>
      </w:r>
      <w:r>
        <w:t>mb</w:t>
      </w:r>
      <w:r>
        <w:rPr>
          <w:spacing w:val="-1"/>
        </w:rPr>
        <w:t>e</w:t>
      </w:r>
      <w:r>
        <w:t>r</w:t>
      </w:r>
      <w:r>
        <w:rPr>
          <w:spacing w:val="-1"/>
        </w:rPr>
        <w:t xml:space="preserve"> and Council staff was recently re-elected to </w:t>
      </w:r>
      <w:r>
        <w:t>serve on the</w:t>
      </w:r>
      <w:r>
        <w:rPr>
          <w:spacing w:val="-1"/>
        </w:rPr>
        <w:t xml:space="preserve"> </w:t>
      </w:r>
      <w:r>
        <w:rPr>
          <w:spacing w:val="-2"/>
        </w:rPr>
        <w:lastRenderedPageBreak/>
        <w:t>B</w:t>
      </w:r>
      <w:r>
        <w:t>o</w:t>
      </w:r>
      <w:r>
        <w:rPr>
          <w:spacing w:val="1"/>
        </w:rPr>
        <w:t>a</w:t>
      </w:r>
      <w:r>
        <w:rPr>
          <w:spacing w:val="-1"/>
        </w:rPr>
        <w:t>r</w:t>
      </w:r>
      <w:r>
        <w:t>d of</w:t>
      </w:r>
      <w:r>
        <w:rPr>
          <w:spacing w:val="-1"/>
        </w:rPr>
        <w:t xml:space="preserve"> Directors for </w:t>
      </w:r>
      <w:r>
        <w:t>the</w:t>
      </w:r>
      <w:r>
        <w:rPr>
          <w:spacing w:val="-1"/>
        </w:rPr>
        <w:t xml:space="preserve"> </w:t>
      </w:r>
      <w:r>
        <w:rPr>
          <w:spacing w:val="3"/>
        </w:rPr>
        <w:t>S</w:t>
      </w:r>
      <w:r>
        <w:t>outh</w:t>
      </w:r>
      <w:r>
        <w:rPr>
          <w:spacing w:val="-1"/>
        </w:rPr>
        <w:t>ea</w:t>
      </w:r>
      <w:r>
        <w:t xml:space="preserve">st </w:t>
      </w:r>
      <w:r>
        <w:rPr>
          <w:spacing w:val="1"/>
        </w:rPr>
        <w:t>C</w:t>
      </w:r>
      <w:r>
        <w:t>o</w:t>
      </w:r>
      <w:r>
        <w:rPr>
          <w:spacing w:val="-1"/>
        </w:rPr>
        <w:t>a</w:t>
      </w:r>
      <w:r>
        <w:t>st</w:t>
      </w:r>
      <w:r>
        <w:rPr>
          <w:spacing w:val="-1"/>
        </w:rPr>
        <w:t>a</w:t>
      </w:r>
      <w:r>
        <w:t xml:space="preserve">l </w:t>
      </w:r>
      <w:r>
        <w:rPr>
          <w:spacing w:val="1"/>
        </w:rPr>
        <w:t>R</w:t>
      </w:r>
      <w:r>
        <w:rPr>
          <w:spacing w:val="-1"/>
        </w:rPr>
        <w:t>e</w:t>
      </w:r>
      <w:r>
        <w:rPr>
          <w:spacing w:val="-2"/>
        </w:rPr>
        <w:t>g</w:t>
      </w:r>
      <w:r>
        <w:t>io</w:t>
      </w:r>
      <w:r>
        <w:rPr>
          <w:spacing w:val="2"/>
        </w:rPr>
        <w:t>n</w:t>
      </w:r>
      <w:r>
        <w:rPr>
          <w:spacing w:val="1"/>
        </w:rPr>
        <w:t>a</w:t>
      </w:r>
      <w:r>
        <w:t>l O</w:t>
      </w:r>
      <w:r>
        <w:rPr>
          <w:spacing w:val="-1"/>
        </w:rPr>
        <w:t>cea</w:t>
      </w:r>
      <w:r>
        <w:t>n</w:t>
      </w:r>
      <w:r>
        <w:rPr>
          <w:spacing w:val="2"/>
        </w:rPr>
        <w:t xml:space="preserve"> </w:t>
      </w:r>
      <w:r>
        <w:t>Obs</w:t>
      </w:r>
      <w:r>
        <w:rPr>
          <w:spacing w:val="-1"/>
        </w:rPr>
        <w:t>er</w:t>
      </w:r>
      <w:r>
        <w:t>vi</w:t>
      </w:r>
      <w:r>
        <w:rPr>
          <w:spacing w:val="2"/>
        </w:rPr>
        <w:t>n</w:t>
      </w:r>
      <w:r>
        <w:t>g</w:t>
      </w:r>
      <w:r>
        <w:rPr>
          <w:spacing w:val="-2"/>
        </w:rPr>
        <w:t xml:space="preserve"> </w:t>
      </w:r>
      <w:r>
        <w:t>Asso</w:t>
      </w:r>
      <w:r>
        <w:rPr>
          <w:spacing w:val="-1"/>
        </w:rPr>
        <w:t>c</w:t>
      </w:r>
      <w:r>
        <w:rPr>
          <w:spacing w:val="3"/>
        </w:rPr>
        <w:t>i</w:t>
      </w:r>
      <w:r>
        <w:rPr>
          <w:spacing w:val="-1"/>
        </w:rPr>
        <w:t>a</w:t>
      </w:r>
      <w:r>
        <w:t xml:space="preserve">tion </w:t>
      </w:r>
      <w:r>
        <w:rPr>
          <w:spacing w:val="-1"/>
        </w:rPr>
        <w:t>(</w:t>
      </w:r>
      <w:r>
        <w:rPr>
          <w:spacing w:val="1"/>
        </w:rPr>
        <w:t>S</w:t>
      </w:r>
      <w:r>
        <w:t>E</w:t>
      </w:r>
      <w:r>
        <w:rPr>
          <w:spacing w:val="1"/>
        </w:rPr>
        <w:t>C</w:t>
      </w:r>
      <w:r>
        <w:t>OO</w:t>
      </w:r>
      <w:r>
        <w:rPr>
          <w:spacing w:val="1"/>
        </w:rPr>
        <w:t>R</w:t>
      </w:r>
      <w:r>
        <w:t>A)</w:t>
      </w:r>
      <w:r>
        <w:rPr>
          <w:spacing w:val="-1"/>
        </w:rPr>
        <w:t xml:space="preserve"> </w:t>
      </w:r>
      <w:r>
        <w:t xml:space="preserve">to </w:t>
      </w:r>
      <w:r>
        <w:rPr>
          <w:spacing w:val="-2"/>
        </w:rPr>
        <w:t>g</w:t>
      </w:r>
      <w:r>
        <w:t>u</w:t>
      </w:r>
      <w:r>
        <w:rPr>
          <w:spacing w:val="3"/>
        </w:rPr>
        <w:t>i</w:t>
      </w:r>
      <w:r>
        <w:t>de</w:t>
      </w:r>
      <w:r>
        <w:rPr>
          <w:spacing w:val="-1"/>
        </w:rPr>
        <w:t xml:space="preserve"> a</w:t>
      </w:r>
      <w:r>
        <w:t>nd di</w:t>
      </w:r>
      <w:r>
        <w:rPr>
          <w:spacing w:val="-1"/>
        </w:rPr>
        <w:t>r</w:t>
      </w:r>
      <w:r>
        <w:rPr>
          <w:spacing w:val="1"/>
        </w:rPr>
        <w:t>e</w:t>
      </w:r>
      <w:r>
        <w:rPr>
          <w:spacing w:val="-1"/>
        </w:rPr>
        <w:t>c</w:t>
      </w:r>
      <w:r>
        <w:t>t p</w:t>
      </w:r>
      <w:r>
        <w:rPr>
          <w:spacing w:val="-1"/>
        </w:rPr>
        <w:t>r</w:t>
      </w:r>
      <w:r>
        <w:t>io</w:t>
      </w:r>
      <w:r>
        <w:rPr>
          <w:spacing w:val="-1"/>
        </w:rPr>
        <w:t>r</w:t>
      </w:r>
      <w:r>
        <w:t>i</w:t>
      </w:r>
      <w:r>
        <w:rPr>
          <w:spacing w:val="3"/>
        </w:rPr>
        <w:t>t</w:t>
      </w:r>
      <w:r>
        <w:t>y</w:t>
      </w:r>
      <w:r>
        <w:rPr>
          <w:spacing w:val="-5"/>
        </w:rPr>
        <w:t xml:space="preserve"> </w:t>
      </w:r>
      <w:r>
        <w:rPr>
          <w:spacing w:val="2"/>
        </w:rPr>
        <w:t>n</w:t>
      </w:r>
      <w:r>
        <w:rPr>
          <w:spacing w:val="-1"/>
        </w:rPr>
        <w:t>e</w:t>
      </w:r>
      <w:r>
        <w:rPr>
          <w:spacing w:val="1"/>
        </w:rPr>
        <w:t>e</w:t>
      </w:r>
      <w:r>
        <w:t xml:space="preserve">ds </w:t>
      </w:r>
      <w:r>
        <w:rPr>
          <w:spacing w:val="-1"/>
        </w:rPr>
        <w:t>f</w:t>
      </w:r>
      <w:r>
        <w:t>or</w:t>
      </w:r>
      <w:r>
        <w:rPr>
          <w:spacing w:val="-1"/>
        </w:rPr>
        <w:t xml:space="preserve"> </w:t>
      </w:r>
      <w:r>
        <w:t>obs</w:t>
      </w:r>
      <w:r>
        <w:rPr>
          <w:spacing w:val="-1"/>
        </w:rPr>
        <w:t>er</w:t>
      </w:r>
      <w:r>
        <w:rPr>
          <w:spacing w:val="2"/>
        </w:rPr>
        <w:t>v</w:t>
      </w:r>
      <w:r>
        <w:rPr>
          <w:spacing w:val="-1"/>
        </w:rPr>
        <w:t>a</w:t>
      </w:r>
      <w:r>
        <w:t xml:space="preserve">tion </w:t>
      </w:r>
      <w:r>
        <w:rPr>
          <w:spacing w:val="-1"/>
        </w:rPr>
        <w:t>a</w:t>
      </w:r>
      <w:r>
        <w:t>nd mod</w:t>
      </w:r>
      <w:r>
        <w:rPr>
          <w:spacing w:val="-1"/>
        </w:rPr>
        <w:t>e</w:t>
      </w:r>
      <w:r>
        <w:t>ling</w:t>
      </w:r>
      <w:r>
        <w:rPr>
          <w:spacing w:val="-2"/>
        </w:rPr>
        <w:t xml:space="preserve"> </w:t>
      </w:r>
      <w:r>
        <w:t>to suppo</w:t>
      </w:r>
      <w:r>
        <w:rPr>
          <w:spacing w:val="-1"/>
        </w:rPr>
        <w:t>r</w:t>
      </w:r>
      <w:r>
        <w:t xml:space="preserve">t </w:t>
      </w:r>
      <w:r>
        <w:rPr>
          <w:spacing w:val="-1"/>
        </w:rPr>
        <w:t>f</w:t>
      </w:r>
      <w:r>
        <w:t>is</w:t>
      </w:r>
      <w:r>
        <w:rPr>
          <w:spacing w:val="2"/>
        </w:rPr>
        <w:t>h</w:t>
      </w:r>
      <w:r>
        <w:rPr>
          <w:spacing w:val="-1"/>
        </w:rPr>
        <w:t>er</w:t>
      </w:r>
      <w:r>
        <w:t>i</w:t>
      </w:r>
      <w:r>
        <w:rPr>
          <w:spacing w:val="-1"/>
        </w:rPr>
        <w:t>e</w:t>
      </w:r>
      <w:r>
        <w:t>s o</w:t>
      </w:r>
      <w:r>
        <w:rPr>
          <w:spacing w:val="1"/>
        </w:rPr>
        <w:t>c</w:t>
      </w:r>
      <w:r>
        <w:rPr>
          <w:spacing w:val="-1"/>
        </w:rPr>
        <w:t>ea</w:t>
      </w:r>
      <w:r>
        <w:t>n</w:t>
      </w:r>
      <w:r>
        <w:rPr>
          <w:spacing w:val="2"/>
        </w:rPr>
        <w:t>o</w:t>
      </w:r>
      <w:r>
        <w:rPr>
          <w:spacing w:val="-2"/>
        </w:rPr>
        <w:t>g</w:t>
      </w:r>
      <w:r>
        <w:rPr>
          <w:spacing w:val="2"/>
        </w:rPr>
        <w:t>r</w:t>
      </w:r>
      <w:r>
        <w:rPr>
          <w:spacing w:val="-1"/>
        </w:rPr>
        <w:t>a</w:t>
      </w:r>
      <w:r>
        <w:t>p</w:t>
      </w:r>
      <w:r>
        <w:rPr>
          <w:spacing w:val="5"/>
        </w:rPr>
        <w:t>h</w:t>
      </w:r>
      <w:r>
        <w:t>y</w:t>
      </w:r>
      <w:r>
        <w:rPr>
          <w:spacing w:val="-5"/>
        </w:rPr>
        <w:t xml:space="preserve"> </w:t>
      </w:r>
      <w:r>
        <w:rPr>
          <w:spacing w:val="-1"/>
        </w:rPr>
        <w:t>a</w:t>
      </w:r>
      <w:r>
        <w:t xml:space="preserve">nd </w:t>
      </w:r>
      <w:r>
        <w:rPr>
          <w:spacing w:val="3"/>
        </w:rPr>
        <w:t>i</w:t>
      </w:r>
      <w:r>
        <w:t>nt</w:t>
      </w:r>
      <w:r>
        <w:rPr>
          <w:spacing w:val="-1"/>
        </w:rPr>
        <w:t>e</w:t>
      </w:r>
      <w:r>
        <w:rPr>
          <w:spacing w:val="-2"/>
        </w:rPr>
        <w:t>g</w:t>
      </w:r>
      <w:r>
        <w:rPr>
          <w:spacing w:val="2"/>
        </w:rPr>
        <w:t>r</w:t>
      </w:r>
      <w:r>
        <w:rPr>
          <w:spacing w:val="-1"/>
        </w:rPr>
        <w:t>a</w:t>
      </w:r>
      <w:r>
        <w:t>tion into sto</w:t>
      </w:r>
      <w:r>
        <w:rPr>
          <w:spacing w:val="-1"/>
        </w:rPr>
        <w:t>c</w:t>
      </w:r>
      <w:r>
        <w:t xml:space="preserve">k </w:t>
      </w:r>
      <w:r>
        <w:rPr>
          <w:spacing w:val="-1"/>
        </w:rPr>
        <w:t>a</w:t>
      </w:r>
      <w:r>
        <w:t>ss</w:t>
      </w:r>
      <w:r>
        <w:rPr>
          <w:spacing w:val="1"/>
        </w:rPr>
        <w:t>e</w:t>
      </w:r>
      <w:r>
        <w:t>ssm</w:t>
      </w:r>
      <w:r>
        <w:rPr>
          <w:spacing w:val="-1"/>
        </w:rPr>
        <w:t>e</w:t>
      </w:r>
      <w:r>
        <w:t>nts th</w:t>
      </w:r>
      <w:r>
        <w:rPr>
          <w:spacing w:val="-1"/>
        </w:rPr>
        <w:t>r</w:t>
      </w:r>
      <w:r>
        <w:t>o</w:t>
      </w:r>
      <w:r>
        <w:rPr>
          <w:spacing w:val="2"/>
        </w:rPr>
        <w:t>u</w:t>
      </w:r>
      <w:r>
        <w:rPr>
          <w:spacing w:val="-2"/>
        </w:rPr>
        <w:t>g</w:t>
      </w:r>
      <w:r>
        <w:t xml:space="preserve">h </w:t>
      </w:r>
      <w:r>
        <w:rPr>
          <w:spacing w:val="1"/>
        </w:rPr>
        <w:t>S</w:t>
      </w:r>
      <w:r>
        <w:t>EDA</w:t>
      </w:r>
      <w:r>
        <w:rPr>
          <w:spacing w:val="1"/>
        </w:rPr>
        <w:t>R</w:t>
      </w:r>
      <w:r>
        <w:t xml:space="preserve">. </w:t>
      </w:r>
      <w:r>
        <w:rPr>
          <w:spacing w:val="1"/>
        </w:rPr>
        <w:t>C</w:t>
      </w:r>
      <w:r>
        <w:t>oop</w:t>
      </w:r>
      <w:r>
        <w:rPr>
          <w:spacing w:val="-1"/>
        </w:rPr>
        <w:t>era</w:t>
      </w:r>
      <w:r>
        <w:t>tion th</w:t>
      </w:r>
      <w:r>
        <w:rPr>
          <w:spacing w:val="-1"/>
        </w:rPr>
        <w:t>r</w:t>
      </w:r>
      <w:r>
        <w:t>ou</w:t>
      </w:r>
      <w:r>
        <w:rPr>
          <w:spacing w:val="-2"/>
        </w:rPr>
        <w:t>g</w:t>
      </w:r>
      <w:r>
        <w:t xml:space="preserve">h </w:t>
      </w:r>
      <w:r>
        <w:rPr>
          <w:spacing w:val="1"/>
        </w:rPr>
        <w:t>S</w:t>
      </w:r>
      <w:r>
        <w:t>E</w:t>
      </w:r>
      <w:r>
        <w:rPr>
          <w:spacing w:val="1"/>
        </w:rPr>
        <w:t>C</w:t>
      </w:r>
      <w:r>
        <w:t>OO</w:t>
      </w:r>
      <w:r>
        <w:rPr>
          <w:spacing w:val="1"/>
        </w:rPr>
        <w:t>R</w:t>
      </w:r>
      <w:r>
        <w:t xml:space="preserve">A is </w:t>
      </w:r>
      <w:r>
        <w:rPr>
          <w:spacing w:val="-1"/>
        </w:rPr>
        <w:t>e</w:t>
      </w:r>
      <w:r>
        <w:t>nvi</w:t>
      </w:r>
      <w:r>
        <w:rPr>
          <w:spacing w:val="3"/>
        </w:rPr>
        <w:t>s</w:t>
      </w:r>
      <w:r>
        <w:t>ion</w:t>
      </w:r>
      <w:r>
        <w:rPr>
          <w:spacing w:val="-1"/>
        </w:rPr>
        <w:t>e</w:t>
      </w:r>
      <w:r>
        <w:t xml:space="preserve">d to </w:t>
      </w:r>
      <w:r>
        <w:rPr>
          <w:spacing w:val="-1"/>
        </w:rPr>
        <w:t>fac</w:t>
      </w:r>
      <w:r>
        <w:t>ilit</w:t>
      </w:r>
      <w:r>
        <w:rPr>
          <w:spacing w:val="-1"/>
        </w:rPr>
        <w:t>a</w:t>
      </w:r>
      <w:r>
        <w:t>te</w:t>
      </w:r>
      <w:r>
        <w:rPr>
          <w:spacing w:val="-1"/>
        </w:rPr>
        <w:t xml:space="preserve"> </w:t>
      </w:r>
      <w:r>
        <w:t>the</w:t>
      </w:r>
      <w:r>
        <w:rPr>
          <w:spacing w:val="-1"/>
        </w:rPr>
        <w:t xml:space="preserve"> f</w:t>
      </w:r>
      <w:r>
        <w:t>ol</w:t>
      </w:r>
      <w:r>
        <w:rPr>
          <w:spacing w:val="3"/>
        </w:rPr>
        <w:t>l</w:t>
      </w:r>
      <w:r>
        <w:t>owin</w:t>
      </w:r>
      <w:r>
        <w:rPr>
          <w:spacing w:val="-2"/>
        </w:rPr>
        <w:t>g</w:t>
      </w:r>
      <w:r>
        <w:t>:</w:t>
      </w:r>
    </w:p>
    <w:p w14:paraId="41296977" w14:textId="77777777" w:rsidR="00DC4922" w:rsidRDefault="00DC4922" w:rsidP="00DC4922">
      <w:r>
        <w:t>•</w:t>
      </w:r>
      <w:r>
        <w:tab/>
      </w:r>
      <w:r>
        <w:rPr>
          <w:spacing w:val="1"/>
        </w:rPr>
        <w:t>R</w:t>
      </w:r>
      <w:r>
        <w:rPr>
          <w:spacing w:val="-1"/>
        </w:rPr>
        <w:t>ef</w:t>
      </w:r>
      <w:r>
        <w:t>ining</w:t>
      </w:r>
      <w:r>
        <w:rPr>
          <w:spacing w:val="-2"/>
        </w:rPr>
        <w:t xml:space="preserve"> </w:t>
      </w:r>
      <w:r>
        <w:rPr>
          <w:spacing w:val="-1"/>
        </w:rPr>
        <w:t>c</w:t>
      </w:r>
      <w:r>
        <w:rPr>
          <w:spacing w:val="2"/>
        </w:rPr>
        <w:t>u</w:t>
      </w:r>
      <w:r>
        <w:rPr>
          <w:spacing w:val="-1"/>
        </w:rPr>
        <w:t>rre</w:t>
      </w:r>
      <w:r>
        <w:t>nt or</w:t>
      </w:r>
      <w:r>
        <w:rPr>
          <w:spacing w:val="2"/>
        </w:rPr>
        <w:t xml:space="preserve"> </w:t>
      </w:r>
      <w:r>
        <w:t>w</w:t>
      </w:r>
      <w:r>
        <w:rPr>
          <w:spacing w:val="-1"/>
        </w:rPr>
        <w:t>a</w:t>
      </w:r>
      <w:r>
        <w:t>t</w:t>
      </w:r>
      <w:r>
        <w:rPr>
          <w:spacing w:val="1"/>
        </w:rPr>
        <w:t>e</w:t>
      </w:r>
      <w:r>
        <w:t>r</w:t>
      </w:r>
      <w:r>
        <w:rPr>
          <w:spacing w:val="2"/>
        </w:rPr>
        <w:t xml:space="preserve"> </w:t>
      </w:r>
      <w:r>
        <w:rPr>
          <w:spacing w:val="-1"/>
        </w:rPr>
        <w:t>c</w:t>
      </w:r>
      <w:r>
        <w:t>olumn d</w:t>
      </w:r>
      <w:r>
        <w:rPr>
          <w:spacing w:val="-1"/>
        </w:rPr>
        <w:t>e</w:t>
      </w:r>
      <w:r>
        <w:t>si</w:t>
      </w:r>
      <w:r>
        <w:rPr>
          <w:spacing w:val="-2"/>
        </w:rPr>
        <w:t>g</w:t>
      </w:r>
      <w:r>
        <w:t>n</w:t>
      </w:r>
      <w:r>
        <w:rPr>
          <w:spacing w:val="-1"/>
        </w:rPr>
        <w:t>a</w:t>
      </w:r>
      <w:r>
        <w:t>tions of</w:t>
      </w:r>
      <w:r>
        <w:rPr>
          <w:spacing w:val="2"/>
        </w:rPr>
        <w:t xml:space="preserve"> </w:t>
      </w:r>
      <w:r>
        <w:t>E</w:t>
      </w:r>
      <w:r>
        <w:rPr>
          <w:spacing w:val="-1"/>
        </w:rPr>
        <w:t>F</w:t>
      </w:r>
      <w:r>
        <w:t xml:space="preserve">H </w:t>
      </w:r>
      <w:r>
        <w:rPr>
          <w:spacing w:val="-1"/>
        </w:rPr>
        <w:t>a</w:t>
      </w:r>
      <w:r>
        <w:t xml:space="preserve">nd </w:t>
      </w:r>
      <w:r>
        <w:rPr>
          <w:spacing w:val="2"/>
        </w:rPr>
        <w:t>E</w:t>
      </w:r>
      <w:r>
        <w:rPr>
          <w:spacing w:val="-1"/>
        </w:rPr>
        <w:t>F</w:t>
      </w:r>
      <w:r>
        <w:rPr>
          <w:spacing w:val="2"/>
        </w:rPr>
        <w:t>H</w:t>
      </w:r>
      <w:r>
        <w:rPr>
          <w:spacing w:val="-1"/>
        </w:rPr>
        <w:t>-</w:t>
      </w:r>
      <w:r>
        <w:t>HA</w:t>
      </w:r>
      <w:r>
        <w:rPr>
          <w:spacing w:val="1"/>
        </w:rPr>
        <w:t>PC</w:t>
      </w:r>
      <w:r>
        <w:t xml:space="preserve">s </w:t>
      </w:r>
      <w:r>
        <w:rPr>
          <w:spacing w:val="-1"/>
        </w:rPr>
        <w:t>(</w:t>
      </w:r>
      <w:r>
        <w:rPr>
          <w:spacing w:val="1"/>
        </w:rPr>
        <w:t>e</w:t>
      </w:r>
      <w:r>
        <w:t>.</w:t>
      </w:r>
      <w:r>
        <w:rPr>
          <w:spacing w:val="-2"/>
        </w:rPr>
        <w:t>g</w:t>
      </w:r>
      <w:r>
        <w:t>., Gulf</w:t>
      </w:r>
      <w:r>
        <w:rPr>
          <w:spacing w:val="-1"/>
        </w:rPr>
        <w:t xml:space="preserve"> </w:t>
      </w:r>
      <w:r>
        <w:rPr>
          <w:spacing w:val="1"/>
        </w:rPr>
        <w:t>S</w:t>
      </w:r>
      <w:r>
        <w:t>t</w:t>
      </w:r>
      <w:r>
        <w:rPr>
          <w:spacing w:val="-1"/>
        </w:rPr>
        <w:t>r</w:t>
      </w:r>
      <w:r>
        <w:rPr>
          <w:spacing w:val="1"/>
        </w:rPr>
        <w:t>e</w:t>
      </w:r>
      <w:r>
        <w:rPr>
          <w:spacing w:val="-1"/>
        </w:rPr>
        <w:t>a</w:t>
      </w:r>
      <w:r>
        <w:t xml:space="preserve">m </w:t>
      </w:r>
      <w:r>
        <w:rPr>
          <w:spacing w:val="-1"/>
        </w:rPr>
        <w:t>a</w:t>
      </w:r>
      <w:r>
        <w:t xml:space="preserve">nd </w:t>
      </w:r>
      <w:r>
        <w:rPr>
          <w:spacing w:val="-1"/>
        </w:rPr>
        <w:t>F</w:t>
      </w:r>
      <w:r>
        <w:t>lo</w:t>
      </w:r>
      <w:r>
        <w:rPr>
          <w:spacing w:val="-1"/>
        </w:rPr>
        <w:t>r</w:t>
      </w:r>
      <w:r>
        <w:t>ida</w:t>
      </w:r>
      <w:r>
        <w:rPr>
          <w:spacing w:val="-1"/>
        </w:rPr>
        <w:t xml:space="preserve"> </w:t>
      </w:r>
      <w:r>
        <w:rPr>
          <w:spacing w:val="1"/>
        </w:rPr>
        <w:t>C</w:t>
      </w:r>
      <w:r>
        <w:t>u</w:t>
      </w:r>
      <w:r>
        <w:rPr>
          <w:spacing w:val="-1"/>
        </w:rPr>
        <w:t>r</w:t>
      </w:r>
      <w:r>
        <w:rPr>
          <w:spacing w:val="2"/>
        </w:rPr>
        <w:t>r</w:t>
      </w:r>
      <w:r>
        <w:rPr>
          <w:spacing w:val="-1"/>
        </w:rPr>
        <w:t>e</w:t>
      </w:r>
      <w:r>
        <w:t>nt).</w:t>
      </w:r>
    </w:p>
    <w:p w14:paraId="6CBFC8AE" w14:textId="77777777" w:rsidR="00DC4922" w:rsidRDefault="00DC4922" w:rsidP="00DC4922">
      <w:r>
        <w:t>•</w:t>
      </w:r>
      <w:r>
        <w:tab/>
      </w:r>
      <w:r>
        <w:rPr>
          <w:spacing w:val="1"/>
        </w:rPr>
        <w:t>P</w:t>
      </w:r>
      <w:r>
        <w:rPr>
          <w:spacing w:val="-1"/>
        </w:rPr>
        <w:t>r</w:t>
      </w:r>
      <w:r>
        <w:t>oviding</w:t>
      </w:r>
      <w:r>
        <w:rPr>
          <w:spacing w:val="-2"/>
        </w:rPr>
        <w:t xml:space="preserve"> </w:t>
      </w:r>
      <w:r>
        <w:t>o</w:t>
      </w:r>
      <w:r>
        <w:rPr>
          <w:spacing w:val="-1"/>
        </w:rPr>
        <w:t>c</w:t>
      </w:r>
      <w:r>
        <w:rPr>
          <w:spacing w:val="1"/>
        </w:rPr>
        <w:t>e</w:t>
      </w:r>
      <w:r>
        <w:rPr>
          <w:spacing w:val="-1"/>
        </w:rPr>
        <w:t>a</w:t>
      </w:r>
      <w:r>
        <w:t>n</w:t>
      </w:r>
      <w:r>
        <w:rPr>
          <w:spacing w:val="2"/>
        </w:rPr>
        <w:t>o</w:t>
      </w:r>
      <w:r>
        <w:rPr>
          <w:spacing w:val="-2"/>
        </w:rPr>
        <w:t>g</w:t>
      </w:r>
      <w:r>
        <w:rPr>
          <w:spacing w:val="-1"/>
        </w:rPr>
        <w:t>ra</w:t>
      </w:r>
      <w:r>
        <w:t>ph</w:t>
      </w:r>
      <w:r>
        <w:rPr>
          <w:spacing w:val="3"/>
        </w:rPr>
        <w:t>i</w:t>
      </w:r>
      <w:r>
        <w:t>c</w:t>
      </w:r>
      <w:r>
        <w:rPr>
          <w:spacing w:val="1"/>
        </w:rPr>
        <w:t xml:space="preserve"> </w:t>
      </w:r>
      <w:r>
        <w:t>mod</w:t>
      </w:r>
      <w:r>
        <w:rPr>
          <w:spacing w:val="-1"/>
        </w:rPr>
        <w:t>e</w:t>
      </w:r>
      <w:r>
        <w:t>ls linking</w:t>
      </w:r>
      <w:r>
        <w:rPr>
          <w:spacing w:val="-2"/>
        </w:rPr>
        <w:t xml:space="preserve"> </w:t>
      </w:r>
      <w:r>
        <w:t>b</w:t>
      </w:r>
      <w:r>
        <w:rPr>
          <w:spacing w:val="-1"/>
        </w:rPr>
        <w:t>e</w:t>
      </w:r>
      <w:r>
        <w:t>nthi</w:t>
      </w:r>
      <w:r>
        <w:rPr>
          <w:spacing w:val="-1"/>
        </w:rPr>
        <w:t>c</w:t>
      </w:r>
      <w:r>
        <w:t>,</w:t>
      </w:r>
      <w:r>
        <w:rPr>
          <w:spacing w:val="2"/>
        </w:rPr>
        <w:t xml:space="preserve"> </w:t>
      </w:r>
      <w:r>
        <w:t>p</w:t>
      </w:r>
      <w:r>
        <w:rPr>
          <w:spacing w:val="-1"/>
        </w:rPr>
        <w:t>e</w:t>
      </w:r>
      <w:r>
        <w:t>l</w:t>
      </w:r>
      <w:r>
        <w:rPr>
          <w:spacing w:val="1"/>
        </w:rPr>
        <w:t>a</w:t>
      </w:r>
      <w:r>
        <w:rPr>
          <w:spacing w:val="-2"/>
        </w:rPr>
        <w:t>g</w:t>
      </w:r>
      <w:r>
        <w:t>ic</w:t>
      </w:r>
      <w:r>
        <w:rPr>
          <w:spacing w:val="-1"/>
        </w:rPr>
        <w:t xml:space="preserve"> </w:t>
      </w:r>
      <w:r>
        <w:t>h</w:t>
      </w:r>
      <w:r>
        <w:rPr>
          <w:spacing w:val="-1"/>
        </w:rPr>
        <w:t>a</w:t>
      </w:r>
      <w:r>
        <w:t>bit</w:t>
      </w:r>
      <w:r>
        <w:rPr>
          <w:spacing w:val="-1"/>
        </w:rPr>
        <w:t>a</w:t>
      </w:r>
      <w:r>
        <w:t xml:space="preserve">ts, </w:t>
      </w:r>
      <w:r>
        <w:rPr>
          <w:spacing w:val="-1"/>
        </w:rPr>
        <w:t>a</w:t>
      </w:r>
      <w:r>
        <w:t>nd</w:t>
      </w:r>
      <w:r>
        <w:rPr>
          <w:spacing w:val="2"/>
        </w:rPr>
        <w:t xml:space="preserve"> </w:t>
      </w:r>
      <w:r>
        <w:rPr>
          <w:spacing w:val="-1"/>
        </w:rPr>
        <w:t>f</w:t>
      </w:r>
      <w:r>
        <w:t>ood</w:t>
      </w:r>
      <w:r>
        <w:rPr>
          <w:spacing w:val="2"/>
        </w:rPr>
        <w:t xml:space="preserve"> </w:t>
      </w:r>
      <w:r>
        <w:t>w</w:t>
      </w:r>
      <w:r>
        <w:rPr>
          <w:spacing w:val="-1"/>
        </w:rPr>
        <w:t>e</w:t>
      </w:r>
      <w:r>
        <w:t>bs.</w:t>
      </w:r>
    </w:p>
    <w:p w14:paraId="14829BDF" w14:textId="77777777" w:rsidR="00DC4922" w:rsidRDefault="00DC4922" w:rsidP="00DC4922">
      <w:r>
        <w:t>•</w:t>
      </w:r>
      <w:r>
        <w:tab/>
      </w:r>
      <w:r>
        <w:rPr>
          <w:spacing w:val="1"/>
        </w:rPr>
        <w:t>P</w:t>
      </w:r>
      <w:r>
        <w:rPr>
          <w:spacing w:val="-1"/>
        </w:rPr>
        <w:t>r</w:t>
      </w:r>
      <w:r>
        <w:t>oviding</w:t>
      </w:r>
      <w:r>
        <w:rPr>
          <w:spacing w:val="-2"/>
        </w:rPr>
        <w:t xml:space="preserve"> </w:t>
      </w:r>
      <w:r>
        <w:t>o</w:t>
      </w:r>
      <w:r>
        <w:rPr>
          <w:spacing w:val="-1"/>
        </w:rPr>
        <w:t>c</w:t>
      </w:r>
      <w:r>
        <w:rPr>
          <w:spacing w:val="1"/>
        </w:rPr>
        <w:t>e</w:t>
      </w:r>
      <w:r>
        <w:rPr>
          <w:spacing w:val="-1"/>
        </w:rPr>
        <w:t>a</w:t>
      </w:r>
      <w:r>
        <w:t>n</w:t>
      </w:r>
      <w:r>
        <w:rPr>
          <w:spacing w:val="2"/>
        </w:rPr>
        <w:t>o</w:t>
      </w:r>
      <w:r>
        <w:rPr>
          <w:spacing w:val="-2"/>
        </w:rPr>
        <w:t>g</w:t>
      </w:r>
      <w:r>
        <w:rPr>
          <w:spacing w:val="-1"/>
        </w:rPr>
        <w:t>ra</w:t>
      </w:r>
      <w:r>
        <w:t>ph</w:t>
      </w:r>
      <w:r>
        <w:rPr>
          <w:spacing w:val="3"/>
        </w:rPr>
        <w:t>i</w:t>
      </w:r>
      <w:r>
        <w:t>c</w:t>
      </w:r>
      <w:r>
        <w:rPr>
          <w:spacing w:val="1"/>
        </w:rPr>
        <w:t xml:space="preserve"> </w:t>
      </w:r>
      <w:r>
        <w:t>input p</w:t>
      </w:r>
      <w:r>
        <w:rPr>
          <w:spacing w:val="-1"/>
        </w:rPr>
        <w:t>ara</w:t>
      </w:r>
      <w:r>
        <w:t>m</w:t>
      </w:r>
      <w:r>
        <w:rPr>
          <w:spacing w:val="-1"/>
        </w:rPr>
        <w:t>e</w:t>
      </w:r>
      <w:r>
        <w:t>t</w:t>
      </w:r>
      <w:r>
        <w:rPr>
          <w:spacing w:val="-1"/>
        </w:rPr>
        <w:t>er</w:t>
      </w:r>
      <w:r>
        <w:t>s</w:t>
      </w:r>
      <w:r>
        <w:rPr>
          <w:spacing w:val="3"/>
        </w:rPr>
        <w:t xml:space="preserve"> </w:t>
      </w:r>
      <w:r>
        <w:rPr>
          <w:spacing w:val="-1"/>
        </w:rPr>
        <w:t>f</w:t>
      </w:r>
      <w:r>
        <w:t>or</w:t>
      </w:r>
      <w:r>
        <w:rPr>
          <w:spacing w:val="-1"/>
        </w:rPr>
        <w:t xml:space="preserve"> </w:t>
      </w:r>
      <w:r>
        <w:rPr>
          <w:spacing w:val="1"/>
        </w:rPr>
        <w:t>e</w:t>
      </w:r>
      <w:r>
        <w:rPr>
          <w:spacing w:val="-1"/>
        </w:rPr>
        <w:t>c</w:t>
      </w:r>
      <w:r>
        <w:rPr>
          <w:spacing w:val="2"/>
        </w:rPr>
        <w:t>o</w:t>
      </w:r>
      <w:r>
        <w:rPr>
          <w:spacing w:val="3"/>
        </w:rPr>
        <w:t>s</w:t>
      </w:r>
      <w:r>
        <w:rPr>
          <w:spacing w:val="-5"/>
        </w:rPr>
        <w:t>y</w:t>
      </w:r>
      <w:r>
        <w:t>st</w:t>
      </w:r>
      <w:r>
        <w:rPr>
          <w:spacing w:val="-1"/>
        </w:rPr>
        <w:t>e</w:t>
      </w:r>
      <w:r>
        <w:t>m mod</w:t>
      </w:r>
      <w:r>
        <w:rPr>
          <w:spacing w:val="-1"/>
        </w:rPr>
        <w:t>e</w:t>
      </w:r>
      <w:r>
        <w:t>ls.</w:t>
      </w:r>
    </w:p>
    <w:p w14:paraId="71A279C6" w14:textId="77777777" w:rsidR="00DC4922" w:rsidRDefault="00DC4922" w:rsidP="00DC4922">
      <w:r>
        <w:t>•</w:t>
      </w:r>
      <w:r>
        <w:tab/>
      </w:r>
      <w:r>
        <w:rPr>
          <w:spacing w:val="-3"/>
        </w:rPr>
        <w:t>I</w:t>
      </w:r>
      <w:r>
        <w:t>nt</w:t>
      </w:r>
      <w:r>
        <w:rPr>
          <w:spacing w:val="1"/>
        </w:rPr>
        <w:t>e</w:t>
      </w:r>
      <w:r>
        <w:t>g</w:t>
      </w:r>
      <w:r>
        <w:rPr>
          <w:spacing w:val="-1"/>
        </w:rPr>
        <w:t>ra</w:t>
      </w:r>
      <w:r>
        <w:t>tion of</w:t>
      </w:r>
      <w:r>
        <w:rPr>
          <w:spacing w:val="-1"/>
        </w:rPr>
        <w:t xml:space="preserve"> </w:t>
      </w:r>
      <w:r>
        <w:rPr>
          <w:spacing w:val="2"/>
        </w:rPr>
        <w:t>O</w:t>
      </w:r>
      <w:r>
        <w:t>OS</w:t>
      </w:r>
      <w:r>
        <w:rPr>
          <w:spacing w:val="1"/>
        </w:rPr>
        <w:t xml:space="preserve"> </w:t>
      </w:r>
      <w:r>
        <w:t>in</w:t>
      </w:r>
      <w:r>
        <w:rPr>
          <w:spacing w:val="-1"/>
        </w:rPr>
        <w:t>f</w:t>
      </w:r>
      <w:r>
        <w:t>o</w:t>
      </w:r>
      <w:r>
        <w:rPr>
          <w:spacing w:val="2"/>
        </w:rPr>
        <w:t>r</w:t>
      </w:r>
      <w:r>
        <w:t>m</w:t>
      </w:r>
      <w:r>
        <w:rPr>
          <w:spacing w:val="-1"/>
        </w:rPr>
        <w:t>a</w:t>
      </w:r>
      <w:r>
        <w:t xml:space="preserve">tion into </w:t>
      </w:r>
      <w:r>
        <w:rPr>
          <w:spacing w:val="-1"/>
        </w:rPr>
        <w:t>F</w:t>
      </w:r>
      <w:r>
        <w:t xml:space="preserve">ish </w:t>
      </w:r>
      <w:r>
        <w:rPr>
          <w:spacing w:val="1"/>
        </w:rPr>
        <w:t>S</w:t>
      </w:r>
      <w:r>
        <w:t>to</w:t>
      </w:r>
      <w:r>
        <w:rPr>
          <w:spacing w:val="-1"/>
        </w:rPr>
        <w:t>c</w:t>
      </w:r>
      <w:r>
        <w:t>k Ass</w:t>
      </w:r>
      <w:r>
        <w:rPr>
          <w:spacing w:val="-1"/>
        </w:rPr>
        <w:t>e</w:t>
      </w:r>
      <w:r>
        <w:t>ssm</w:t>
      </w:r>
      <w:r>
        <w:rPr>
          <w:spacing w:val="-1"/>
        </w:rPr>
        <w:t>e</w:t>
      </w:r>
      <w:r>
        <w:t>nt p</w:t>
      </w:r>
      <w:r>
        <w:rPr>
          <w:spacing w:val="-1"/>
        </w:rPr>
        <w:t>r</w:t>
      </w:r>
      <w:r>
        <w:t>o</w:t>
      </w:r>
      <w:r>
        <w:rPr>
          <w:spacing w:val="-1"/>
        </w:rPr>
        <w:t>ce</w:t>
      </w:r>
      <w:r>
        <w:t>ss in the</w:t>
      </w:r>
      <w:r>
        <w:rPr>
          <w:spacing w:val="1"/>
        </w:rPr>
        <w:t xml:space="preserve"> S</w:t>
      </w:r>
      <w:r>
        <w:t xml:space="preserve">A </w:t>
      </w:r>
      <w:r>
        <w:rPr>
          <w:spacing w:val="-1"/>
        </w:rPr>
        <w:t>r</w:t>
      </w:r>
      <w:r>
        <w:rPr>
          <w:spacing w:val="1"/>
        </w:rPr>
        <w:t>e</w:t>
      </w:r>
      <w:r>
        <w:rPr>
          <w:spacing w:val="-2"/>
        </w:rPr>
        <w:t>g</w:t>
      </w:r>
      <w:r>
        <w:t>ion.</w:t>
      </w:r>
    </w:p>
    <w:p w14:paraId="012690E0" w14:textId="77777777" w:rsidR="00DC4922" w:rsidRDefault="00DC4922" w:rsidP="00DC4922">
      <w:r>
        <w:t>•</w:t>
      </w:r>
      <w:r>
        <w:tab/>
      </w:r>
      <w:r>
        <w:rPr>
          <w:spacing w:val="-1"/>
        </w:rPr>
        <w:t>Fac</w:t>
      </w:r>
      <w:r>
        <w:t>ilit</w:t>
      </w:r>
      <w:r>
        <w:rPr>
          <w:spacing w:val="-1"/>
        </w:rPr>
        <w:t>a</w:t>
      </w:r>
      <w:r>
        <w:t>ti</w:t>
      </w:r>
      <w:r>
        <w:rPr>
          <w:spacing w:val="2"/>
        </w:rPr>
        <w:t>n</w:t>
      </w:r>
      <w:r>
        <w:t>g</w:t>
      </w:r>
      <w:r>
        <w:rPr>
          <w:spacing w:val="-2"/>
        </w:rPr>
        <w:t xml:space="preserve"> </w:t>
      </w:r>
      <w:r>
        <w:t>OOS</w:t>
      </w:r>
      <w:r>
        <w:rPr>
          <w:spacing w:val="1"/>
        </w:rPr>
        <w:t xml:space="preserve"> </w:t>
      </w:r>
      <w:r>
        <w:rPr>
          <w:spacing w:val="3"/>
        </w:rPr>
        <w:t>s</w:t>
      </w:r>
      <w:r>
        <w:rPr>
          <w:spacing w:val="-5"/>
        </w:rPr>
        <w:t>y</w:t>
      </w:r>
      <w:r>
        <w:t>s</w:t>
      </w:r>
      <w:r>
        <w:rPr>
          <w:spacing w:val="3"/>
        </w:rPr>
        <w:t>t</w:t>
      </w:r>
      <w:r>
        <w:rPr>
          <w:spacing w:val="-1"/>
        </w:rPr>
        <w:t>e</w:t>
      </w:r>
      <w:r>
        <w:t xml:space="preserve">m </w:t>
      </w:r>
      <w:r>
        <w:rPr>
          <w:spacing w:val="-1"/>
        </w:rPr>
        <w:t>c</w:t>
      </w:r>
      <w:r>
        <w:t>oll</w:t>
      </w:r>
      <w:r>
        <w:rPr>
          <w:spacing w:val="-1"/>
        </w:rPr>
        <w:t>ec</w:t>
      </w:r>
      <w:r>
        <w:t>tion of</w:t>
      </w:r>
      <w:r>
        <w:rPr>
          <w:spacing w:val="-1"/>
        </w:rPr>
        <w:t xml:space="preserve"> f</w:t>
      </w:r>
      <w:r>
        <w:t xml:space="preserve">ish </w:t>
      </w:r>
      <w:r>
        <w:rPr>
          <w:spacing w:val="-1"/>
        </w:rPr>
        <w:t>a</w:t>
      </w:r>
      <w:r>
        <w:t xml:space="preserve">nd </w:t>
      </w:r>
      <w:r>
        <w:rPr>
          <w:spacing w:val="-1"/>
        </w:rPr>
        <w:t>f</w:t>
      </w:r>
      <w:r>
        <w:t>is</w:t>
      </w:r>
      <w:r>
        <w:rPr>
          <w:spacing w:val="2"/>
        </w:rPr>
        <w:t>h</w:t>
      </w:r>
      <w:r>
        <w:rPr>
          <w:spacing w:val="-1"/>
        </w:rPr>
        <w:t>e</w:t>
      </w:r>
      <w:r>
        <w:rPr>
          <w:spacing w:val="4"/>
        </w:rPr>
        <w:t>r</w:t>
      </w:r>
      <w:r>
        <w:t>y</w:t>
      </w:r>
      <w:r>
        <w:rPr>
          <w:spacing w:val="-5"/>
        </w:rPr>
        <w:t xml:space="preserve"> </w:t>
      </w:r>
      <w:r>
        <w:t>d</w:t>
      </w:r>
      <w:r>
        <w:rPr>
          <w:spacing w:val="-1"/>
        </w:rPr>
        <w:t>a</w:t>
      </w:r>
      <w:r>
        <w:t>ta</w:t>
      </w:r>
      <w:r>
        <w:rPr>
          <w:spacing w:val="1"/>
        </w:rPr>
        <w:t xml:space="preserve"> </w:t>
      </w:r>
      <w:r>
        <w:rPr>
          <w:spacing w:val="-1"/>
        </w:rPr>
        <w:t>a</w:t>
      </w:r>
      <w:r>
        <w:t>nd oth</w:t>
      </w:r>
      <w:r>
        <w:rPr>
          <w:spacing w:val="-1"/>
        </w:rPr>
        <w:t>e</w:t>
      </w:r>
      <w:r>
        <w:t>r</w:t>
      </w:r>
      <w:r>
        <w:rPr>
          <w:spacing w:val="-1"/>
        </w:rPr>
        <w:t xml:space="preserve"> </w:t>
      </w:r>
      <w:r>
        <w:rPr>
          <w:spacing w:val="2"/>
        </w:rPr>
        <w:t>r</w:t>
      </w:r>
      <w:r>
        <w:rPr>
          <w:spacing w:val="-1"/>
        </w:rPr>
        <w:t>e</w:t>
      </w:r>
      <w:r>
        <w:t>s</w:t>
      </w:r>
      <w:r>
        <w:rPr>
          <w:spacing w:val="1"/>
        </w:rPr>
        <w:t>e</w:t>
      </w:r>
      <w:r>
        <w:rPr>
          <w:spacing w:val="-1"/>
        </w:rPr>
        <w:t>a</w:t>
      </w:r>
      <w:r>
        <w:rPr>
          <w:spacing w:val="2"/>
        </w:rPr>
        <w:t>r</w:t>
      </w:r>
      <w:r>
        <w:rPr>
          <w:spacing w:val="-1"/>
        </w:rPr>
        <w:t>c</w:t>
      </w:r>
      <w:r>
        <w:t>h n</w:t>
      </w:r>
      <w:r>
        <w:rPr>
          <w:spacing w:val="-1"/>
        </w:rPr>
        <w:t>e</w:t>
      </w:r>
      <w:r>
        <w:rPr>
          <w:spacing w:val="1"/>
        </w:rPr>
        <w:t>c</w:t>
      </w:r>
      <w:r>
        <w:rPr>
          <w:spacing w:val="-1"/>
        </w:rPr>
        <w:t>e</w:t>
      </w:r>
      <w:r>
        <w:t>ss</w:t>
      </w:r>
      <w:r>
        <w:rPr>
          <w:spacing w:val="-1"/>
        </w:rPr>
        <w:t>a</w:t>
      </w:r>
      <w:r>
        <w:rPr>
          <w:spacing w:val="4"/>
        </w:rPr>
        <w:t>r</w:t>
      </w:r>
      <w:r>
        <w:t>y</w:t>
      </w:r>
      <w:r>
        <w:rPr>
          <w:spacing w:val="-5"/>
        </w:rPr>
        <w:t xml:space="preserve"> </w:t>
      </w:r>
      <w:r>
        <w:t>to suppo</w:t>
      </w:r>
      <w:r>
        <w:rPr>
          <w:spacing w:val="-1"/>
        </w:rPr>
        <w:t>r</w:t>
      </w:r>
      <w:r>
        <w:t>t the</w:t>
      </w:r>
      <w:r>
        <w:rPr>
          <w:spacing w:val="-1"/>
        </w:rPr>
        <w:t xml:space="preserve"> </w:t>
      </w:r>
      <w:r>
        <w:rPr>
          <w:spacing w:val="1"/>
        </w:rPr>
        <w:t>C</w:t>
      </w:r>
      <w:r>
        <w:t>oun</w:t>
      </w:r>
      <w:r>
        <w:rPr>
          <w:spacing w:val="-1"/>
        </w:rPr>
        <w:t>c</w:t>
      </w:r>
      <w:r>
        <w:t>il</w:t>
      </w:r>
      <w:r>
        <w:rPr>
          <w:spacing w:val="-1"/>
        </w:rPr>
        <w:t>’</w:t>
      </w:r>
      <w:r>
        <w:t>s use</w:t>
      </w:r>
      <w:r>
        <w:rPr>
          <w:spacing w:val="-1"/>
        </w:rPr>
        <w:t xml:space="preserve"> </w:t>
      </w:r>
      <w:r>
        <w:t>of</w:t>
      </w:r>
      <w:r>
        <w:rPr>
          <w:spacing w:val="-1"/>
        </w:rPr>
        <w:t xml:space="preserve"> ar</w:t>
      </w:r>
      <w:r>
        <w:rPr>
          <w:spacing w:val="1"/>
        </w:rPr>
        <w:t>e</w:t>
      </w:r>
      <w:r>
        <w:rPr>
          <w:spacing w:val="-1"/>
        </w:rPr>
        <w:t>a-</w:t>
      </w:r>
      <w:r>
        <w:t>b</w:t>
      </w:r>
      <w:r>
        <w:rPr>
          <w:spacing w:val="-1"/>
        </w:rPr>
        <w:t>a</w:t>
      </w:r>
      <w:r>
        <w:rPr>
          <w:spacing w:val="3"/>
        </w:rPr>
        <w:t>s</w:t>
      </w:r>
      <w:r>
        <w:rPr>
          <w:spacing w:val="-1"/>
        </w:rPr>
        <w:t>e</w:t>
      </w:r>
      <w:r>
        <w:t>d m</w:t>
      </w:r>
      <w:r>
        <w:rPr>
          <w:spacing w:val="-1"/>
        </w:rPr>
        <w:t>a</w:t>
      </w:r>
      <w:r>
        <w:t>n</w:t>
      </w:r>
      <w:r>
        <w:rPr>
          <w:spacing w:val="1"/>
        </w:rPr>
        <w:t>a</w:t>
      </w:r>
      <w:r>
        <w:t>g</w:t>
      </w:r>
      <w:r>
        <w:rPr>
          <w:spacing w:val="-1"/>
        </w:rPr>
        <w:t>e</w:t>
      </w:r>
      <w:r>
        <w:t>m</w:t>
      </w:r>
      <w:r>
        <w:rPr>
          <w:spacing w:val="1"/>
        </w:rPr>
        <w:t>e</w:t>
      </w:r>
      <w:r>
        <w:t>nt tools in the</w:t>
      </w:r>
      <w:r>
        <w:rPr>
          <w:spacing w:val="-1"/>
        </w:rPr>
        <w:t xml:space="preserve"> </w:t>
      </w:r>
      <w:r>
        <w:rPr>
          <w:spacing w:val="1"/>
        </w:rPr>
        <w:t>S</w:t>
      </w:r>
      <w:r>
        <w:t xml:space="preserve">A </w:t>
      </w:r>
      <w:r>
        <w:rPr>
          <w:spacing w:val="1"/>
        </w:rPr>
        <w:t>R</w:t>
      </w:r>
      <w:r>
        <w:rPr>
          <w:spacing w:val="-1"/>
        </w:rPr>
        <w:t>e</w:t>
      </w:r>
      <w:r>
        <w:rPr>
          <w:spacing w:val="-2"/>
        </w:rPr>
        <w:t>g</w:t>
      </w:r>
      <w:r>
        <w:t>ion in</w:t>
      </w:r>
      <w:r>
        <w:rPr>
          <w:spacing w:val="-1"/>
        </w:rPr>
        <w:t>c</w:t>
      </w:r>
      <w:r>
        <w:t>luding</w:t>
      </w:r>
      <w:r>
        <w:rPr>
          <w:spacing w:val="-2"/>
        </w:rPr>
        <w:t xml:space="preserve"> </w:t>
      </w:r>
      <w:r>
        <w:t>but not limit</w:t>
      </w:r>
      <w:r>
        <w:rPr>
          <w:spacing w:val="-1"/>
        </w:rPr>
        <w:t>e</w:t>
      </w:r>
      <w:r>
        <w:t>d to E</w:t>
      </w:r>
      <w:r>
        <w:rPr>
          <w:spacing w:val="-1"/>
        </w:rPr>
        <w:t>F</w:t>
      </w:r>
      <w:r>
        <w:t>H, E</w:t>
      </w:r>
      <w:r>
        <w:rPr>
          <w:spacing w:val="-1"/>
        </w:rPr>
        <w:t>F</w:t>
      </w:r>
      <w:r>
        <w:t>H</w:t>
      </w:r>
      <w:r>
        <w:rPr>
          <w:spacing w:val="2"/>
        </w:rPr>
        <w:t>-</w:t>
      </w:r>
      <w:r>
        <w:t>H</w:t>
      </w:r>
      <w:r>
        <w:rPr>
          <w:spacing w:val="2"/>
        </w:rPr>
        <w:t>A</w:t>
      </w:r>
      <w:r>
        <w:rPr>
          <w:spacing w:val="1"/>
        </w:rPr>
        <w:t>PC</w:t>
      </w:r>
      <w:r>
        <w:t>s, M</w:t>
      </w:r>
      <w:r>
        <w:rPr>
          <w:spacing w:val="-1"/>
        </w:rPr>
        <w:t>ar</w:t>
      </w:r>
      <w:r>
        <w:t>ine</w:t>
      </w:r>
      <w:r>
        <w:rPr>
          <w:spacing w:val="-1"/>
        </w:rPr>
        <w:t xml:space="preserve"> </w:t>
      </w:r>
      <w:r>
        <w:rPr>
          <w:spacing w:val="1"/>
        </w:rPr>
        <w:t>P</w:t>
      </w:r>
      <w:r>
        <w:rPr>
          <w:spacing w:val="-1"/>
        </w:rPr>
        <w:t>r</w:t>
      </w:r>
      <w:r>
        <w:t>ot</w:t>
      </w:r>
      <w:r>
        <w:rPr>
          <w:spacing w:val="-1"/>
        </w:rPr>
        <w:t>ec</w:t>
      </w:r>
      <w:r>
        <w:t>t</w:t>
      </w:r>
      <w:r>
        <w:rPr>
          <w:spacing w:val="-1"/>
        </w:rPr>
        <w:t>e</w:t>
      </w:r>
      <w:r>
        <w:t xml:space="preserve">d </w:t>
      </w:r>
      <w:r>
        <w:rPr>
          <w:spacing w:val="2"/>
        </w:rPr>
        <w:t>A</w:t>
      </w:r>
      <w:r>
        <w:rPr>
          <w:spacing w:val="-1"/>
        </w:rPr>
        <w:t>rea</w:t>
      </w:r>
      <w:r>
        <w:t xml:space="preserve">s, </w:t>
      </w:r>
      <w:r>
        <w:rPr>
          <w:spacing w:val="2"/>
        </w:rPr>
        <w:t>D</w:t>
      </w:r>
      <w:r>
        <w:rPr>
          <w:spacing w:val="-1"/>
        </w:rPr>
        <w:t>ee</w:t>
      </w:r>
      <w:r>
        <w:t>p</w:t>
      </w:r>
      <w:r>
        <w:rPr>
          <w:spacing w:val="2"/>
        </w:rPr>
        <w:t>w</w:t>
      </w:r>
      <w:r>
        <w:rPr>
          <w:spacing w:val="-1"/>
        </w:rPr>
        <w:t>a</w:t>
      </w:r>
      <w:r>
        <w:t>t</w:t>
      </w:r>
      <w:r>
        <w:rPr>
          <w:spacing w:val="-1"/>
        </w:rPr>
        <w:t>e</w:t>
      </w:r>
      <w:r>
        <w:t>r</w:t>
      </w:r>
      <w:r>
        <w:rPr>
          <w:spacing w:val="-1"/>
        </w:rPr>
        <w:t xml:space="preserve"> </w:t>
      </w:r>
      <w:r>
        <w:rPr>
          <w:spacing w:val="1"/>
        </w:rPr>
        <w:t>C</w:t>
      </w:r>
      <w:r>
        <w:t>o</w:t>
      </w:r>
      <w:r>
        <w:rPr>
          <w:spacing w:val="-1"/>
        </w:rPr>
        <w:t>ra</w:t>
      </w:r>
      <w:r>
        <w:t>l</w:t>
      </w:r>
      <w:r>
        <w:rPr>
          <w:spacing w:val="3"/>
        </w:rPr>
        <w:t xml:space="preserve"> </w:t>
      </w:r>
      <w:r>
        <w:rPr>
          <w:spacing w:val="2"/>
        </w:rPr>
        <w:t>H</w:t>
      </w:r>
      <w:r>
        <w:rPr>
          <w:spacing w:val="-1"/>
        </w:rPr>
        <w:t>a</w:t>
      </w:r>
      <w:r>
        <w:t>bit</w:t>
      </w:r>
      <w:r>
        <w:rPr>
          <w:spacing w:val="-1"/>
        </w:rPr>
        <w:t>a</w:t>
      </w:r>
      <w:r>
        <w:t>t A</w:t>
      </w:r>
      <w:r>
        <w:rPr>
          <w:spacing w:val="-1"/>
        </w:rPr>
        <w:t>rea</w:t>
      </w:r>
      <w:r>
        <w:t xml:space="preserve">s </w:t>
      </w:r>
      <w:r>
        <w:rPr>
          <w:spacing w:val="2"/>
        </w:rPr>
        <w:t>o</w:t>
      </w:r>
      <w:r>
        <w:t xml:space="preserve">f </w:t>
      </w:r>
      <w:r>
        <w:rPr>
          <w:spacing w:val="1"/>
        </w:rPr>
        <w:t>P</w:t>
      </w:r>
      <w:r>
        <w:rPr>
          <w:spacing w:val="-1"/>
        </w:rPr>
        <w:t>ar</w:t>
      </w:r>
      <w:r>
        <w:t>ti</w:t>
      </w:r>
      <w:r>
        <w:rPr>
          <w:spacing w:val="-1"/>
        </w:rPr>
        <w:t>c</w:t>
      </w:r>
      <w:r>
        <w:t>ul</w:t>
      </w:r>
      <w:r>
        <w:rPr>
          <w:spacing w:val="-1"/>
        </w:rPr>
        <w:t>a</w:t>
      </w:r>
      <w:r>
        <w:t>r</w:t>
      </w:r>
      <w:r>
        <w:rPr>
          <w:spacing w:val="-1"/>
        </w:rPr>
        <w:t xml:space="preserve"> </w:t>
      </w:r>
      <w:r>
        <w:rPr>
          <w:spacing w:val="1"/>
        </w:rPr>
        <w:t>C</w:t>
      </w:r>
      <w:r>
        <w:t>on</w:t>
      </w:r>
      <w:r>
        <w:rPr>
          <w:spacing w:val="-1"/>
        </w:rPr>
        <w:t>c</w:t>
      </w:r>
      <w:r>
        <w:rPr>
          <w:spacing w:val="1"/>
        </w:rPr>
        <w:t>e</w:t>
      </w:r>
      <w:r>
        <w:rPr>
          <w:spacing w:val="-1"/>
        </w:rPr>
        <w:t>r</w:t>
      </w:r>
      <w:r>
        <w:t xml:space="preserve">n, </w:t>
      </w:r>
      <w:r>
        <w:rPr>
          <w:spacing w:val="1"/>
        </w:rPr>
        <w:t>S</w:t>
      </w:r>
      <w:r>
        <w:t>p</w:t>
      </w:r>
      <w:r>
        <w:rPr>
          <w:spacing w:val="-1"/>
        </w:rPr>
        <w:t>e</w:t>
      </w:r>
      <w:r>
        <w:rPr>
          <w:spacing w:val="1"/>
        </w:rPr>
        <w:t>c</w:t>
      </w:r>
      <w:r>
        <w:t>i</w:t>
      </w:r>
      <w:r>
        <w:rPr>
          <w:spacing w:val="-1"/>
        </w:rPr>
        <w:t>a</w:t>
      </w:r>
      <w:r>
        <w:t>l M</w:t>
      </w:r>
      <w:r>
        <w:rPr>
          <w:spacing w:val="-1"/>
        </w:rPr>
        <w:t>a</w:t>
      </w:r>
      <w:r>
        <w:t>n</w:t>
      </w:r>
      <w:r>
        <w:rPr>
          <w:spacing w:val="1"/>
        </w:rPr>
        <w:t>a</w:t>
      </w:r>
      <w:r>
        <w:rPr>
          <w:spacing w:val="-2"/>
        </w:rPr>
        <w:t>g</w:t>
      </w:r>
      <w:r>
        <w:rPr>
          <w:spacing w:val="-1"/>
        </w:rPr>
        <w:t>e</w:t>
      </w:r>
      <w:r>
        <w:t>m</w:t>
      </w:r>
      <w:r>
        <w:rPr>
          <w:spacing w:val="-1"/>
        </w:rPr>
        <w:t>e</w:t>
      </w:r>
      <w:r>
        <w:t>nt</w:t>
      </w:r>
      <w:r>
        <w:rPr>
          <w:spacing w:val="3"/>
        </w:rPr>
        <w:t xml:space="preserve"> </w:t>
      </w:r>
      <w:r>
        <w:rPr>
          <w:spacing w:val="-3"/>
        </w:rPr>
        <w:t>Z</w:t>
      </w:r>
      <w:r>
        <w:t>o</w:t>
      </w:r>
      <w:r>
        <w:rPr>
          <w:spacing w:val="2"/>
        </w:rPr>
        <w:t>n</w:t>
      </w:r>
      <w:r>
        <w:rPr>
          <w:spacing w:val="-1"/>
        </w:rPr>
        <w:t>e</w:t>
      </w:r>
      <w:r>
        <w:t xml:space="preserve">s, </w:t>
      </w:r>
      <w:r>
        <w:rPr>
          <w:spacing w:val="1"/>
        </w:rPr>
        <w:t>a</w:t>
      </w:r>
      <w:r>
        <w:t>nd Allow</w:t>
      </w:r>
      <w:r>
        <w:rPr>
          <w:spacing w:val="-1"/>
        </w:rPr>
        <w:t>a</w:t>
      </w:r>
      <w:r>
        <w:t>ble</w:t>
      </w:r>
      <w:r>
        <w:rPr>
          <w:spacing w:val="-1"/>
        </w:rPr>
        <w:t xml:space="preserve"> </w:t>
      </w:r>
      <w:r>
        <w:t>G</w:t>
      </w:r>
      <w:r>
        <w:rPr>
          <w:spacing w:val="1"/>
        </w:rPr>
        <w:t>e</w:t>
      </w:r>
      <w:r>
        <w:rPr>
          <w:spacing w:val="-1"/>
        </w:rPr>
        <w:t>a</w:t>
      </w:r>
      <w:r>
        <w:t>r</w:t>
      </w:r>
      <w:r>
        <w:rPr>
          <w:spacing w:val="-1"/>
        </w:rPr>
        <w:t xml:space="preserve"> </w:t>
      </w:r>
      <w:r>
        <w:t>A</w:t>
      </w:r>
      <w:r>
        <w:rPr>
          <w:spacing w:val="2"/>
        </w:rPr>
        <w:t>r</w:t>
      </w:r>
      <w:r>
        <w:rPr>
          <w:spacing w:val="-1"/>
        </w:rPr>
        <w:t>ea</w:t>
      </w:r>
      <w:r>
        <w:rPr>
          <w:spacing w:val="3"/>
        </w:rPr>
        <w:t>s</w:t>
      </w:r>
      <w:r>
        <w:t>.</w:t>
      </w:r>
    </w:p>
    <w:p w14:paraId="3F90A33D" w14:textId="77777777" w:rsidR="00DC4922" w:rsidRDefault="00DC4922" w:rsidP="00DC4922">
      <w:r>
        <w:t>•</w:t>
      </w:r>
      <w:r>
        <w:tab/>
      </w:r>
      <w:r>
        <w:rPr>
          <w:spacing w:val="-3"/>
        </w:rPr>
        <w:t>I</w:t>
      </w:r>
      <w:r>
        <w:t>nt</w:t>
      </w:r>
      <w:r>
        <w:rPr>
          <w:spacing w:val="1"/>
        </w:rPr>
        <w:t>e</w:t>
      </w:r>
      <w:r>
        <w:t>g</w:t>
      </w:r>
      <w:r>
        <w:rPr>
          <w:spacing w:val="-1"/>
        </w:rPr>
        <w:t>ra</w:t>
      </w:r>
      <w:r>
        <w:t>tion of</w:t>
      </w:r>
      <w:r>
        <w:rPr>
          <w:spacing w:val="-1"/>
        </w:rPr>
        <w:t xml:space="preserve"> </w:t>
      </w:r>
      <w:r>
        <w:rPr>
          <w:spacing w:val="2"/>
        </w:rPr>
        <w:t>O</w:t>
      </w:r>
      <w:r>
        <w:t>OS</w:t>
      </w:r>
      <w:r>
        <w:rPr>
          <w:spacing w:val="1"/>
        </w:rPr>
        <w:t xml:space="preserve"> </w:t>
      </w:r>
      <w:r>
        <w:t>p</w:t>
      </w:r>
      <w:r>
        <w:rPr>
          <w:spacing w:val="-1"/>
        </w:rPr>
        <w:t>r</w:t>
      </w:r>
      <w:r>
        <w:t>og</w:t>
      </w:r>
      <w:r>
        <w:rPr>
          <w:spacing w:val="2"/>
        </w:rPr>
        <w:t>r</w:t>
      </w:r>
      <w:r>
        <w:rPr>
          <w:spacing w:val="-1"/>
        </w:rPr>
        <w:t>a</w:t>
      </w:r>
      <w:r>
        <w:t xml:space="preserve">m </w:t>
      </w:r>
      <w:r>
        <w:rPr>
          <w:spacing w:val="-1"/>
        </w:rPr>
        <w:t>ca</w:t>
      </w:r>
      <w:r>
        <w:t>p</w:t>
      </w:r>
      <w:r>
        <w:rPr>
          <w:spacing w:val="-1"/>
        </w:rPr>
        <w:t>a</w:t>
      </w:r>
      <w:r>
        <w:t>biliti</w:t>
      </w:r>
      <w:r>
        <w:rPr>
          <w:spacing w:val="-1"/>
        </w:rPr>
        <w:t>e</w:t>
      </w:r>
      <w:r>
        <w:t xml:space="preserve">s </w:t>
      </w:r>
      <w:r>
        <w:rPr>
          <w:spacing w:val="-1"/>
        </w:rPr>
        <w:t>a</w:t>
      </w:r>
      <w:r>
        <w:t xml:space="preserve">nd </w:t>
      </w:r>
      <w:r>
        <w:rPr>
          <w:spacing w:val="2"/>
        </w:rPr>
        <w:t>r</w:t>
      </w:r>
      <w:r>
        <w:rPr>
          <w:spacing w:val="-1"/>
        </w:rPr>
        <w:t>e</w:t>
      </w:r>
      <w:r>
        <w:t>s</w:t>
      </w:r>
      <w:r>
        <w:rPr>
          <w:spacing w:val="-1"/>
        </w:rPr>
        <w:t>e</w:t>
      </w:r>
      <w:r>
        <w:rPr>
          <w:spacing w:val="1"/>
        </w:rPr>
        <w:t>a</w:t>
      </w:r>
      <w:r>
        <w:rPr>
          <w:spacing w:val="-1"/>
        </w:rPr>
        <w:t>rc</w:t>
      </w:r>
      <w:r>
        <w:t>h N</w:t>
      </w:r>
      <w:r>
        <w:rPr>
          <w:spacing w:val="1"/>
        </w:rPr>
        <w:t>e</w:t>
      </w:r>
      <w:r>
        <w:rPr>
          <w:spacing w:val="-1"/>
        </w:rPr>
        <w:t>e</w:t>
      </w:r>
      <w:r>
        <w:t>ds into the</w:t>
      </w:r>
      <w:r>
        <w:rPr>
          <w:spacing w:val="-1"/>
        </w:rPr>
        <w:t xml:space="preserve"> </w:t>
      </w:r>
      <w:r>
        <w:rPr>
          <w:spacing w:val="1"/>
        </w:rPr>
        <w:t>S</w:t>
      </w:r>
      <w:r>
        <w:t>outh Atl</w:t>
      </w:r>
      <w:r>
        <w:rPr>
          <w:spacing w:val="-1"/>
        </w:rPr>
        <w:t>a</w:t>
      </w:r>
      <w:r>
        <w:t>ntic</w:t>
      </w:r>
      <w:r>
        <w:rPr>
          <w:spacing w:val="-1"/>
        </w:rPr>
        <w:t xml:space="preserve"> F</w:t>
      </w:r>
      <w:r>
        <w:t>ish</w:t>
      </w:r>
      <w:r>
        <w:rPr>
          <w:spacing w:val="-1"/>
        </w:rPr>
        <w:t>e</w:t>
      </w:r>
      <w:r>
        <w:rPr>
          <w:spacing w:val="4"/>
        </w:rPr>
        <w:t>r</w:t>
      </w:r>
      <w:r>
        <w:t>y E</w:t>
      </w:r>
      <w:r>
        <w:rPr>
          <w:spacing w:val="-1"/>
        </w:rPr>
        <w:t>c</w:t>
      </w:r>
      <w:r>
        <w:t>o</w:t>
      </w:r>
      <w:r>
        <w:rPr>
          <w:spacing w:val="3"/>
        </w:rPr>
        <w:t>s</w:t>
      </w:r>
      <w:r>
        <w:rPr>
          <w:spacing w:val="-5"/>
        </w:rPr>
        <w:t>y</w:t>
      </w:r>
      <w:r>
        <w:t>st</w:t>
      </w:r>
      <w:r>
        <w:rPr>
          <w:spacing w:val="-1"/>
        </w:rPr>
        <w:t>e</w:t>
      </w:r>
      <w:r>
        <w:t xml:space="preserve">m </w:t>
      </w:r>
      <w:r>
        <w:rPr>
          <w:spacing w:val="1"/>
        </w:rPr>
        <w:t>P</w:t>
      </w:r>
      <w:r>
        <w:t>l</w:t>
      </w:r>
      <w:r>
        <w:rPr>
          <w:spacing w:val="-1"/>
        </w:rPr>
        <w:t>a</w:t>
      </w:r>
      <w:r>
        <w:t>n.</w:t>
      </w:r>
    </w:p>
    <w:p w14:paraId="2AD3280A" w14:textId="77777777" w:rsidR="00DC4922" w:rsidRDefault="00DC4922" w:rsidP="00DC4922">
      <w:r>
        <w:t>•</w:t>
      </w:r>
      <w:r>
        <w:tab/>
      </w:r>
      <w:r>
        <w:rPr>
          <w:spacing w:val="1"/>
        </w:rPr>
        <w:t>C</w:t>
      </w:r>
      <w:r>
        <w:t>oll</w:t>
      </w:r>
      <w:r>
        <w:rPr>
          <w:spacing w:val="-1"/>
        </w:rPr>
        <w:t>a</w:t>
      </w:r>
      <w:r>
        <w:t>bo</w:t>
      </w:r>
      <w:r>
        <w:rPr>
          <w:spacing w:val="-1"/>
        </w:rPr>
        <w:t>ra</w:t>
      </w:r>
      <w:r>
        <w:t xml:space="preserve">tion with </w:t>
      </w:r>
      <w:r>
        <w:rPr>
          <w:spacing w:val="1"/>
        </w:rPr>
        <w:t>S</w:t>
      </w:r>
      <w:r>
        <w:t>E</w:t>
      </w:r>
      <w:r>
        <w:rPr>
          <w:spacing w:val="-2"/>
        </w:rPr>
        <w:t>C</w:t>
      </w:r>
      <w:r>
        <w:t>OO</w:t>
      </w:r>
      <w:r>
        <w:rPr>
          <w:spacing w:val="1"/>
        </w:rPr>
        <w:t>R</w:t>
      </w:r>
      <w:r>
        <w:t>A to int</w:t>
      </w:r>
      <w:r>
        <w:rPr>
          <w:spacing w:val="-1"/>
        </w:rPr>
        <w:t>e</w:t>
      </w:r>
      <w:r>
        <w:rPr>
          <w:spacing w:val="-2"/>
        </w:rPr>
        <w:t>g</w:t>
      </w:r>
      <w:r>
        <w:rPr>
          <w:spacing w:val="2"/>
        </w:rPr>
        <w:t>r</w:t>
      </w:r>
      <w:r>
        <w:rPr>
          <w:spacing w:val="-1"/>
        </w:rPr>
        <w:t>a</w:t>
      </w:r>
      <w:r>
        <w:t>te</w:t>
      </w:r>
      <w:r>
        <w:rPr>
          <w:spacing w:val="-1"/>
        </w:rPr>
        <w:t xml:space="preserve"> </w:t>
      </w:r>
      <w:r>
        <w:t>OOS</w:t>
      </w:r>
      <w:r>
        <w:rPr>
          <w:spacing w:val="3"/>
        </w:rPr>
        <w:t xml:space="preserve"> </w:t>
      </w:r>
      <w:r>
        <w:t>p</w:t>
      </w:r>
      <w:r>
        <w:rPr>
          <w:spacing w:val="-1"/>
        </w:rPr>
        <w:t>r</w:t>
      </w:r>
      <w:r>
        <w:t>odu</w:t>
      </w:r>
      <w:r>
        <w:rPr>
          <w:spacing w:val="-1"/>
        </w:rPr>
        <w:t>c</w:t>
      </w:r>
      <w:r>
        <w:t>ts with information included in the</w:t>
      </w:r>
      <w:r>
        <w:rPr>
          <w:spacing w:val="-1"/>
        </w:rPr>
        <w:t xml:space="preserve"> </w:t>
      </w:r>
      <w:r>
        <w:rPr>
          <w:spacing w:val="1"/>
        </w:rPr>
        <w:t>C</w:t>
      </w:r>
      <w:r>
        <w:t>oun</w:t>
      </w:r>
      <w:r>
        <w:rPr>
          <w:spacing w:val="-1"/>
        </w:rPr>
        <w:t>c</w:t>
      </w:r>
      <w:r>
        <w:t>il</w:t>
      </w:r>
      <w:r>
        <w:rPr>
          <w:spacing w:val="2"/>
        </w:rPr>
        <w:t>’</w:t>
      </w:r>
      <w:r>
        <w:t>s H</w:t>
      </w:r>
      <w:r>
        <w:rPr>
          <w:spacing w:val="-1"/>
        </w:rPr>
        <w:t>a</w:t>
      </w:r>
      <w:r>
        <w:t>bit</w:t>
      </w:r>
      <w:r>
        <w:rPr>
          <w:spacing w:val="-1"/>
        </w:rPr>
        <w:t>a</w:t>
      </w:r>
      <w:r>
        <w:t xml:space="preserve">t </w:t>
      </w:r>
      <w:r>
        <w:rPr>
          <w:spacing w:val="-1"/>
        </w:rPr>
        <w:t>a</w:t>
      </w:r>
      <w:r>
        <w:t>nd E</w:t>
      </w:r>
      <w:r>
        <w:rPr>
          <w:spacing w:val="-1"/>
        </w:rPr>
        <w:t>c</w:t>
      </w:r>
      <w:r>
        <w:t>o</w:t>
      </w:r>
      <w:r>
        <w:rPr>
          <w:spacing w:val="3"/>
        </w:rPr>
        <w:t>s</w:t>
      </w:r>
      <w:r>
        <w:rPr>
          <w:spacing w:val="-5"/>
        </w:rPr>
        <w:t>y</w:t>
      </w:r>
      <w:r>
        <w:t>st</w:t>
      </w:r>
      <w:r>
        <w:rPr>
          <w:spacing w:val="-1"/>
        </w:rPr>
        <w:t>e</w:t>
      </w:r>
      <w:r>
        <w:t>m</w:t>
      </w:r>
      <w:r>
        <w:rPr>
          <w:spacing w:val="5"/>
        </w:rPr>
        <w:t xml:space="preserve"> Web Services and Atlas</w:t>
      </w:r>
      <w:r>
        <w:t xml:space="preserve"> to </w:t>
      </w:r>
      <w:r>
        <w:rPr>
          <w:spacing w:val="-1"/>
        </w:rPr>
        <w:t>fac</w:t>
      </w:r>
      <w:r>
        <w:t>ilit</w:t>
      </w:r>
      <w:r>
        <w:rPr>
          <w:spacing w:val="-1"/>
        </w:rPr>
        <w:t>a</w:t>
      </w:r>
      <w:r>
        <w:t>te</w:t>
      </w:r>
      <w:r>
        <w:rPr>
          <w:spacing w:val="1"/>
        </w:rPr>
        <w:t xml:space="preserve"> </w:t>
      </w:r>
      <w:r>
        <w:t>mod</w:t>
      </w:r>
      <w:r>
        <w:rPr>
          <w:spacing w:val="-1"/>
        </w:rPr>
        <w:t>e</w:t>
      </w:r>
      <w:r>
        <w:t xml:space="preserve">l </w:t>
      </w:r>
      <w:r>
        <w:rPr>
          <w:spacing w:val="-1"/>
        </w:rPr>
        <w:t>a</w:t>
      </w:r>
      <w:r>
        <w:t>nd tool d</w:t>
      </w:r>
      <w:r>
        <w:rPr>
          <w:spacing w:val="-1"/>
        </w:rPr>
        <w:t>e</w:t>
      </w:r>
      <w:r>
        <w:t>v</w:t>
      </w:r>
      <w:r>
        <w:rPr>
          <w:spacing w:val="-1"/>
        </w:rPr>
        <w:t>e</w:t>
      </w:r>
      <w:r>
        <w:t>lopm</w:t>
      </w:r>
      <w:r>
        <w:rPr>
          <w:spacing w:val="-1"/>
        </w:rPr>
        <w:t>e</w:t>
      </w:r>
      <w:r>
        <w:t>nt.</w:t>
      </w:r>
    </w:p>
    <w:p w14:paraId="01B3D483" w14:textId="77777777" w:rsidR="00DC4922" w:rsidRDefault="00DC4922" w:rsidP="00DC4922">
      <w:r>
        <w:t>•</w:t>
      </w:r>
      <w:r>
        <w:tab/>
        <w:t>E</w:t>
      </w:r>
      <w:r>
        <w:rPr>
          <w:spacing w:val="2"/>
        </w:rPr>
        <w:t>x</w:t>
      </w:r>
      <w:r>
        <w:t>p</w:t>
      </w:r>
      <w:r>
        <w:rPr>
          <w:spacing w:val="-1"/>
        </w:rPr>
        <w:t>a</w:t>
      </w:r>
      <w:r>
        <w:t xml:space="preserve">nding </w:t>
      </w:r>
      <w:r>
        <w:rPr>
          <w:spacing w:val="-3"/>
        </w:rPr>
        <w:t xml:space="preserve">Map </w:t>
      </w:r>
      <w:r>
        <w:rPr>
          <w:spacing w:val="1"/>
        </w:rPr>
        <w:t>S</w:t>
      </w:r>
      <w:r>
        <w:rPr>
          <w:spacing w:val="-1"/>
        </w:rPr>
        <w:t>er</w:t>
      </w:r>
      <w:r>
        <w:t>vi</w:t>
      </w:r>
      <w:r>
        <w:rPr>
          <w:spacing w:val="-1"/>
        </w:rPr>
        <w:t>ce</w:t>
      </w:r>
      <w:r>
        <w:t>s and the Regional Habitat and Ecosystem Atlas in cooperation with SECOORAs Web Services that will p</w:t>
      </w:r>
      <w:r>
        <w:rPr>
          <w:spacing w:val="-1"/>
        </w:rPr>
        <w:t>r</w:t>
      </w:r>
      <w:r>
        <w:t>ovide</w:t>
      </w:r>
      <w:r>
        <w:rPr>
          <w:spacing w:val="-1"/>
        </w:rPr>
        <w:t xml:space="preserve"> re</w:t>
      </w:r>
      <w:r>
        <w:t>s</w:t>
      </w:r>
      <w:r>
        <w:rPr>
          <w:spacing w:val="-1"/>
        </w:rPr>
        <w:t>ea</w:t>
      </w:r>
      <w:r>
        <w:rPr>
          <w:spacing w:val="2"/>
        </w:rPr>
        <w:t>r</w:t>
      </w:r>
      <w:r>
        <w:rPr>
          <w:spacing w:val="-1"/>
        </w:rPr>
        <w:t>c</w:t>
      </w:r>
      <w:r>
        <w:t>h</w:t>
      </w:r>
      <w:r>
        <w:rPr>
          <w:spacing w:val="-1"/>
        </w:rPr>
        <w:t>er</w:t>
      </w:r>
      <w:r>
        <w:t>s</w:t>
      </w:r>
      <w:r>
        <w:rPr>
          <w:spacing w:val="3"/>
        </w:rPr>
        <w:t xml:space="preserve"> </w:t>
      </w:r>
      <w:r>
        <w:rPr>
          <w:spacing w:val="-1"/>
        </w:rPr>
        <w:t>a</w:t>
      </w:r>
      <w:r>
        <w:rPr>
          <w:spacing w:val="1"/>
        </w:rPr>
        <w:t>c</w:t>
      </w:r>
      <w:r>
        <w:rPr>
          <w:spacing w:val="-1"/>
        </w:rPr>
        <w:t>ce</w:t>
      </w:r>
      <w:r>
        <w:t>ss to d</w:t>
      </w:r>
      <w:r>
        <w:rPr>
          <w:spacing w:val="-1"/>
        </w:rPr>
        <w:t>a</w:t>
      </w:r>
      <w:r>
        <w:t>ta</w:t>
      </w:r>
      <w:r>
        <w:rPr>
          <w:spacing w:val="-1"/>
        </w:rPr>
        <w:t xml:space="preserve"> </w:t>
      </w:r>
      <w:r>
        <w:t>or p</w:t>
      </w:r>
      <w:r>
        <w:rPr>
          <w:spacing w:val="-1"/>
        </w:rPr>
        <w:t>r</w:t>
      </w:r>
      <w:r>
        <w:t>odu</w:t>
      </w:r>
      <w:r>
        <w:rPr>
          <w:spacing w:val="-1"/>
        </w:rPr>
        <w:t>c</w:t>
      </w:r>
      <w:r>
        <w:t>ts in</w:t>
      </w:r>
      <w:r>
        <w:rPr>
          <w:spacing w:val="-1"/>
        </w:rPr>
        <w:t>c</w:t>
      </w:r>
      <w:r>
        <w:t>luding</w:t>
      </w:r>
      <w:r>
        <w:rPr>
          <w:spacing w:val="-2"/>
        </w:rPr>
        <w:t xml:space="preserve"> </w:t>
      </w:r>
      <w:r>
        <w:t>those</w:t>
      </w:r>
      <w:r>
        <w:rPr>
          <w:spacing w:val="1"/>
        </w:rPr>
        <w:t xml:space="preserve"> </w:t>
      </w:r>
      <w:r>
        <w:rPr>
          <w:spacing w:val="-1"/>
        </w:rPr>
        <w:t>c</w:t>
      </w:r>
      <w:r>
        <w:t>oll</w:t>
      </w:r>
      <w:r>
        <w:rPr>
          <w:spacing w:val="-1"/>
        </w:rPr>
        <w:t>ec</w:t>
      </w:r>
      <w:r>
        <w:t>t</w:t>
      </w:r>
      <w:r>
        <w:rPr>
          <w:spacing w:val="-1"/>
        </w:rPr>
        <w:t>e</w:t>
      </w:r>
      <w:r>
        <w:t>d/d</w:t>
      </w:r>
      <w:r>
        <w:rPr>
          <w:spacing w:val="-1"/>
        </w:rPr>
        <w:t>e</w:t>
      </w:r>
      <w:r>
        <w:t>v</w:t>
      </w:r>
      <w:r>
        <w:rPr>
          <w:spacing w:val="-1"/>
        </w:rPr>
        <w:t>e</w:t>
      </w:r>
      <w:r>
        <w:t>lo</w:t>
      </w:r>
      <w:r>
        <w:rPr>
          <w:spacing w:val="2"/>
        </w:rPr>
        <w:t>p</w:t>
      </w:r>
      <w:r>
        <w:rPr>
          <w:spacing w:val="-1"/>
        </w:rPr>
        <w:t>e</w:t>
      </w:r>
      <w:r>
        <w:t xml:space="preserve">d </w:t>
      </w:r>
      <w:r>
        <w:rPr>
          <w:spacing w:val="5"/>
        </w:rPr>
        <w:t>b</w:t>
      </w:r>
      <w:r>
        <w:t>y</w:t>
      </w:r>
      <w:r>
        <w:rPr>
          <w:spacing w:val="-5"/>
        </w:rPr>
        <w:t xml:space="preserve"> </w:t>
      </w:r>
      <w:r>
        <w:rPr>
          <w:spacing w:val="1"/>
        </w:rPr>
        <w:t>S</w:t>
      </w:r>
      <w:r>
        <w:t>A OOS</w:t>
      </w:r>
      <w:r>
        <w:rPr>
          <w:spacing w:val="1"/>
        </w:rPr>
        <w:t xml:space="preserve"> </w:t>
      </w:r>
      <w:r>
        <w:t>p</w:t>
      </w:r>
      <w:r>
        <w:rPr>
          <w:spacing w:val="-1"/>
        </w:rPr>
        <w:t>ar</w:t>
      </w:r>
      <w:r>
        <w:t>tn</w:t>
      </w:r>
      <w:r>
        <w:rPr>
          <w:spacing w:val="-1"/>
        </w:rPr>
        <w:t>er</w:t>
      </w:r>
      <w:r>
        <w:t>s.</w:t>
      </w:r>
    </w:p>
    <w:p w14:paraId="6AEC6700" w14:textId="77777777" w:rsidR="00DC4922" w:rsidRDefault="00DC4922" w:rsidP="00DC4922"/>
    <w:p w14:paraId="0A385ACD" w14:textId="77777777" w:rsidR="00DC4922" w:rsidRDefault="00DC4922" w:rsidP="00640526">
      <w:pPr>
        <w:ind w:firstLine="360"/>
      </w:pPr>
      <w:r w:rsidRPr="00582F78">
        <w:t>SECOORA researchers are developing a comprehensive data portal to provide discovery of, access to, and metadata about coastal ocean observations in the southeast US.  Below are various ways to access the currently available data.</w:t>
      </w:r>
    </w:p>
    <w:p w14:paraId="2F000EF7" w14:textId="77777777" w:rsidR="00DC4922" w:rsidRDefault="00DC4922" w:rsidP="00DC4922"/>
    <w:p w14:paraId="304ADED1" w14:textId="77777777" w:rsidR="00DC4922" w:rsidRDefault="00DC4922" w:rsidP="00640526">
      <w:pPr>
        <w:ind w:firstLine="360"/>
      </w:pPr>
      <w:r>
        <w:t xml:space="preserve">One project recently funded by SECOORA initiated development of species specific habitat models that integrate remotely sensed and in situ data to enhance stock assessments for species managed by the Council.  The project during 2013/2014 was initiated to address red porgy, gray triggerfish, black seabass, and vermilion snapper. Gray triggerfish and red porgy are slated for assessment through SEDAR in 2014/15 and 2015/16 respectively. </w:t>
      </w:r>
    </w:p>
    <w:p w14:paraId="4352BD89" w14:textId="77777777" w:rsidR="00DC4922" w:rsidRDefault="00DC4922" w:rsidP="00DC4922">
      <w:pPr>
        <w:rPr>
          <w:sz w:val="26"/>
        </w:rPr>
      </w:pPr>
    </w:p>
    <w:p w14:paraId="583E00CB" w14:textId="77777777" w:rsidR="00DC4922" w:rsidRPr="00D50BED" w:rsidRDefault="00DC4922" w:rsidP="00DC4922">
      <w:pPr>
        <w:rPr>
          <w:i/>
          <w:sz w:val="26"/>
        </w:rPr>
      </w:pPr>
      <w:r w:rsidRPr="00D50BED">
        <w:rPr>
          <w:i/>
          <w:sz w:val="26"/>
        </w:rPr>
        <w:t xml:space="preserve">National Fish Habitat Plan and </w:t>
      </w:r>
      <w:r>
        <w:rPr>
          <w:i/>
          <w:sz w:val="26"/>
        </w:rPr>
        <w:t>Southeast Aquatic Resource Partnership (</w:t>
      </w:r>
      <w:r w:rsidRPr="00D50BED">
        <w:rPr>
          <w:i/>
          <w:sz w:val="26"/>
        </w:rPr>
        <w:t>SARP</w:t>
      </w:r>
      <w:r>
        <w:rPr>
          <w:i/>
          <w:sz w:val="26"/>
        </w:rPr>
        <w:t>)</w:t>
      </w:r>
    </w:p>
    <w:p w14:paraId="5DB14549" w14:textId="77777777" w:rsidR="00DC4922" w:rsidRDefault="00DC4922" w:rsidP="00640526">
      <w:pPr>
        <w:ind w:firstLine="360"/>
      </w:pPr>
      <w:r>
        <w:rPr>
          <w:spacing w:val="-3"/>
        </w:rPr>
        <w:t>I</w:t>
      </w:r>
      <w:r>
        <w:t>n</w:t>
      </w:r>
      <w:r>
        <w:rPr>
          <w:spacing w:val="2"/>
        </w:rPr>
        <w:t xml:space="preserve"> </w:t>
      </w:r>
      <w:r>
        <w:rPr>
          <w:spacing w:val="-1"/>
        </w:rPr>
        <w:t>a</w:t>
      </w:r>
      <w:r>
        <w:t>ddition, the</w:t>
      </w:r>
      <w:r>
        <w:rPr>
          <w:spacing w:val="-1"/>
        </w:rPr>
        <w:t xml:space="preserve"> </w:t>
      </w:r>
      <w:r>
        <w:rPr>
          <w:spacing w:val="1"/>
        </w:rPr>
        <w:t>C</w:t>
      </w:r>
      <w:r>
        <w:t>oun</w:t>
      </w:r>
      <w:r>
        <w:rPr>
          <w:spacing w:val="-1"/>
        </w:rPr>
        <w:t>c</w:t>
      </w:r>
      <w:r>
        <w:t>il s</w:t>
      </w:r>
      <w:r>
        <w:rPr>
          <w:spacing w:val="-1"/>
        </w:rPr>
        <w:t>er</w:t>
      </w:r>
      <w:r>
        <w:t>v</w:t>
      </w:r>
      <w:r>
        <w:rPr>
          <w:spacing w:val="-1"/>
        </w:rPr>
        <w:t>e</w:t>
      </w:r>
      <w:r>
        <w:t>s on the</w:t>
      </w:r>
      <w:r>
        <w:rPr>
          <w:spacing w:val="-1"/>
        </w:rPr>
        <w:t xml:space="preserve"> </w:t>
      </w:r>
      <w:r>
        <w:rPr>
          <w:spacing w:val="2"/>
        </w:rPr>
        <w:t>N</w:t>
      </w:r>
      <w:r>
        <w:rPr>
          <w:spacing w:val="-1"/>
        </w:rPr>
        <w:t>a</w:t>
      </w:r>
      <w:r>
        <w:t>tion</w:t>
      </w:r>
      <w:r>
        <w:rPr>
          <w:spacing w:val="-1"/>
        </w:rPr>
        <w:t>a</w:t>
      </w:r>
      <w:r>
        <w:t>l H</w:t>
      </w:r>
      <w:r>
        <w:rPr>
          <w:spacing w:val="1"/>
        </w:rPr>
        <w:t>a</w:t>
      </w:r>
      <w:r>
        <w:t>bit</w:t>
      </w:r>
      <w:r>
        <w:rPr>
          <w:spacing w:val="-1"/>
        </w:rPr>
        <w:t>a</w:t>
      </w:r>
      <w:r>
        <w:t xml:space="preserve">t </w:t>
      </w:r>
      <w:r>
        <w:rPr>
          <w:spacing w:val="-2"/>
        </w:rPr>
        <w:t>B</w:t>
      </w:r>
      <w:r>
        <w:t>o</w:t>
      </w:r>
      <w:r>
        <w:rPr>
          <w:spacing w:val="-1"/>
        </w:rPr>
        <w:t>ar</w:t>
      </w:r>
      <w:r>
        <w:t>d</w:t>
      </w:r>
      <w:r>
        <w:rPr>
          <w:spacing w:val="2"/>
        </w:rPr>
        <w:t xml:space="preserve"> </w:t>
      </w:r>
      <w:r>
        <w:rPr>
          <w:spacing w:val="-1"/>
        </w:rPr>
        <w:t>a</w:t>
      </w:r>
      <w:r>
        <w:t xml:space="preserve">nd, </w:t>
      </w:r>
      <w:r>
        <w:rPr>
          <w:spacing w:val="-1"/>
        </w:rPr>
        <w:t>a</w:t>
      </w:r>
      <w:r>
        <w:t>s a</w:t>
      </w:r>
      <w:r>
        <w:rPr>
          <w:spacing w:val="-1"/>
        </w:rPr>
        <w:t xml:space="preserve"> </w:t>
      </w:r>
      <w:r>
        <w:t>m</w:t>
      </w:r>
      <w:r>
        <w:rPr>
          <w:spacing w:val="1"/>
        </w:rPr>
        <w:t>e</w:t>
      </w:r>
      <w:r>
        <w:t>mb</w:t>
      </w:r>
      <w:r>
        <w:rPr>
          <w:spacing w:val="-1"/>
        </w:rPr>
        <w:t>e</w:t>
      </w:r>
      <w:r>
        <w:t>r</w:t>
      </w:r>
      <w:r>
        <w:rPr>
          <w:spacing w:val="-1"/>
        </w:rPr>
        <w:t xml:space="preserve"> </w:t>
      </w:r>
      <w:r>
        <w:t>of</w:t>
      </w:r>
      <w:r>
        <w:rPr>
          <w:spacing w:val="-1"/>
        </w:rPr>
        <w:t xml:space="preserve"> </w:t>
      </w:r>
      <w:r>
        <w:t>the</w:t>
      </w:r>
      <w:r>
        <w:rPr>
          <w:spacing w:val="-1"/>
        </w:rPr>
        <w:t xml:space="preserve"> </w:t>
      </w:r>
      <w:r>
        <w:rPr>
          <w:spacing w:val="1"/>
        </w:rPr>
        <w:t>S</w:t>
      </w:r>
      <w:r>
        <w:t>outh</w:t>
      </w:r>
      <w:r>
        <w:rPr>
          <w:spacing w:val="-1"/>
        </w:rPr>
        <w:t>ea</w:t>
      </w:r>
      <w:r>
        <w:t>st A</w:t>
      </w:r>
      <w:r>
        <w:rPr>
          <w:spacing w:val="2"/>
        </w:rPr>
        <w:t>q</w:t>
      </w:r>
      <w:r>
        <w:t>u</w:t>
      </w:r>
      <w:r>
        <w:rPr>
          <w:spacing w:val="-1"/>
        </w:rPr>
        <w:t>a</w:t>
      </w:r>
      <w:r>
        <w:t xml:space="preserve">tic </w:t>
      </w:r>
      <w:r>
        <w:rPr>
          <w:spacing w:val="1"/>
        </w:rPr>
        <w:t>R</w:t>
      </w:r>
      <w:r>
        <w:rPr>
          <w:spacing w:val="-1"/>
        </w:rPr>
        <w:t>e</w:t>
      </w:r>
      <w:r>
        <w:t>sou</w:t>
      </w:r>
      <w:r>
        <w:rPr>
          <w:spacing w:val="-1"/>
        </w:rPr>
        <w:t>rc</w:t>
      </w:r>
      <w:r>
        <w:t>e</w:t>
      </w:r>
      <w:r>
        <w:rPr>
          <w:spacing w:val="-1"/>
        </w:rPr>
        <w:t xml:space="preserve"> </w:t>
      </w:r>
      <w:r>
        <w:rPr>
          <w:spacing w:val="1"/>
        </w:rPr>
        <w:t>P</w:t>
      </w:r>
      <w:r>
        <w:rPr>
          <w:spacing w:val="-1"/>
        </w:rPr>
        <w:t>ar</w:t>
      </w:r>
      <w:r>
        <w:t>t</w:t>
      </w:r>
      <w:r>
        <w:rPr>
          <w:spacing w:val="2"/>
        </w:rPr>
        <w:t>n</w:t>
      </w:r>
      <w:r>
        <w:rPr>
          <w:spacing w:val="-1"/>
        </w:rPr>
        <w:t>er</w:t>
      </w:r>
      <w:r>
        <w:t xml:space="preserve">ship </w:t>
      </w:r>
      <w:r>
        <w:rPr>
          <w:spacing w:val="-1"/>
        </w:rPr>
        <w:t>(</w:t>
      </w:r>
      <w:r>
        <w:rPr>
          <w:spacing w:val="3"/>
        </w:rPr>
        <w:t>S</w:t>
      </w:r>
      <w:r>
        <w:t>A</w:t>
      </w:r>
      <w:r>
        <w:rPr>
          <w:spacing w:val="1"/>
        </w:rPr>
        <w:t>RP</w:t>
      </w:r>
      <w:r>
        <w:rPr>
          <w:spacing w:val="-1"/>
        </w:rPr>
        <w:t>)</w:t>
      </w:r>
      <w:r>
        <w:t>, h</w:t>
      </w:r>
      <w:r>
        <w:rPr>
          <w:spacing w:val="-1"/>
        </w:rPr>
        <w:t>a</w:t>
      </w:r>
      <w:r>
        <w:t>s hi</w:t>
      </w:r>
      <w:r>
        <w:rPr>
          <w:spacing w:val="-2"/>
        </w:rPr>
        <w:t>g</w:t>
      </w:r>
      <w:r>
        <w:t>hl</w:t>
      </w:r>
      <w:r>
        <w:rPr>
          <w:spacing w:val="3"/>
        </w:rPr>
        <w:t>i</w:t>
      </w:r>
      <w:r>
        <w:rPr>
          <w:spacing w:val="-2"/>
        </w:rPr>
        <w:t>g</w:t>
      </w:r>
      <w:r>
        <w:t>ht</w:t>
      </w:r>
      <w:r>
        <w:rPr>
          <w:spacing w:val="-1"/>
        </w:rPr>
        <w:t>e</w:t>
      </w:r>
      <w:r>
        <w:t>d t</w:t>
      </w:r>
      <w:r>
        <w:rPr>
          <w:spacing w:val="2"/>
        </w:rPr>
        <w:t>h</w:t>
      </w:r>
      <w:r>
        <w:t>is</w:t>
      </w:r>
      <w:r>
        <w:rPr>
          <w:spacing w:val="-1"/>
        </w:rPr>
        <w:t xml:space="preserve"> c</w:t>
      </w:r>
      <w:r>
        <w:t>oll</w:t>
      </w:r>
      <w:r>
        <w:rPr>
          <w:spacing w:val="-1"/>
        </w:rPr>
        <w:t>a</w:t>
      </w:r>
      <w:r>
        <w:t>bo</w:t>
      </w:r>
      <w:r>
        <w:rPr>
          <w:spacing w:val="-1"/>
        </w:rPr>
        <w:t>ra</w:t>
      </w:r>
      <w:r>
        <w:t xml:space="preserve">tion </w:t>
      </w:r>
      <w:r>
        <w:rPr>
          <w:spacing w:val="5"/>
        </w:rPr>
        <w:t>b</w:t>
      </w:r>
      <w:r>
        <w:t>y</w:t>
      </w:r>
      <w:r>
        <w:rPr>
          <w:spacing w:val="-5"/>
        </w:rPr>
        <w:t xml:space="preserve"> </w:t>
      </w:r>
      <w:r>
        <w:t>in</w:t>
      </w:r>
      <w:r>
        <w:rPr>
          <w:spacing w:val="-1"/>
        </w:rPr>
        <w:t>c</w:t>
      </w:r>
      <w:r>
        <w:t>lu</w:t>
      </w:r>
      <w:r>
        <w:rPr>
          <w:spacing w:val="2"/>
        </w:rPr>
        <w:t>d</w:t>
      </w:r>
      <w:r>
        <w:t>ing</w:t>
      </w:r>
      <w:r>
        <w:rPr>
          <w:spacing w:val="-2"/>
        </w:rPr>
        <w:t xml:space="preserve"> </w:t>
      </w:r>
      <w:r>
        <w:t>the</w:t>
      </w:r>
      <w:r>
        <w:rPr>
          <w:spacing w:val="-1"/>
        </w:rPr>
        <w:t xml:space="preserve"> </w:t>
      </w:r>
      <w:r>
        <w:rPr>
          <w:spacing w:val="1"/>
        </w:rPr>
        <w:t>S</w:t>
      </w:r>
      <w:r>
        <w:t>outh</w:t>
      </w:r>
      <w:r>
        <w:rPr>
          <w:spacing w:val="-1"/>
        </w:rPr>
        <w:t>ea</w:t>
      </w:r>
      <w:r>
        <w:t>st Aqu</w:t>
      </w:r>
      <w:r>
        <w:rPr>
          <w:spacing w:val="-1"/>
        </w:rPr>
        <w:t>a</w:t>
      </w:r>
      <w:r>
        <w:t>t</w:t>
      </w:r>
      <w:r>
        <w:rPr>
          <w:spacing w:val="3"/>
        </w:rPr>
        <w:t>i</w:t>
      </w:r>
      <w:r>
        <w:t>c H</w:t>
      </w:r>
      <w:r>
        <w:rPr>
          <w:spacing w:val="-1"/>
        </w:rPr>
        <w:t>a</w:t>
      </w:r>
      <w:r>
        <w:t>bit</w:t>
      </w:r>
      <w:r>
        <w:rPr>
          <w:spacing w:val="-1"/>
        </w:rPr>
        <w:t>a</w:t>
      </w:r>
      <w:r>
        <w:t xml:space="preserve">t </w:t>
      </w:r>
      <w:r>
        <w:rPr>
          <w:spacing w:val="1"/>
        </w:rPr>
        <w:t>P</w:t>
      </w:r>
      <w:r>
        <w:t>l</w:t>
      </w:r>
      <w:r>
        <w:rPr>
          <w:spacing w:val="-1"/>
        </w:rPr>
        <w:t>a</w:t>
      </w:r>
      <w:r>
        <w:t xml:space="preserve">n </w:t>
      </w:r>
      <w:r w:rsidRPr="00DE5527">
        <w:t xml:space="preserve">(SAHP) </w:t>
      </w:r>
      <w:r>
        <w:rPr>
          <w:spacing w:val="-1"/>
        </w:rPr>
        <w:t>a</w:t>
      </w:r>
      <w:r>
        <w:t xml:space="preserve">nd </w:t>
      </w:r>
      <w:r>
        <w:rPr>
          <w:spacing w:val="-1"/>
        </w:rPr>
        <w:t>a</w:t>
      </w:r>
      <w:r>
        <w:t>sso</w:t>
      </w:r>
      <w:r>
        <w:rPr>
          <w:spacing w:val="-1"/>
        </w:rPr>
        <w:t>c</w:t>
      </w:r>
      <w:r>
        <w:t>i</w:t>
      </w:r>
      <w:r>
        <w:rPr>
          <w:spacing w:val="-1"/>
        </w:rPr>
        <w:t>a</w:t>
      </w:r>
      <w:r>
        <w:rPr>
          <w:spacing w:val="3"/>
        </w:rPr>
        <w:t>t</w:t>
      </w:r>
      <w:r>
        <w:rPr>
          <w:spacing w:val="-1"/>
        </w:rPr>
        <w:t>e</w:t>
      </w:r>
      <w:r>
        <w:t>d w</w:t>
      </w:r>
      <w:r>
        <w:rPr>
          <w:spacing w:val="-1"/>
        </w:rPr>
        <w:t>a</w:t>
      </w:r>
      <w:r>
        <w:t>t</w:t>
      </w:r>
      <w:r>
        <w:rPr>
          <w:spacing w:val="-1"/>
        </w:rPr>
        <w:t>er</w:t>
      </w:r>
      <w:r>
        <w:t>s</w:t>
      </w:r>
      <w:r>
        <w:rPr>
          <w:spacing w:val="2"/>
        </w:rPr>
        <w:t>h</w:t>
      </w:r>
      <w:r>
        <w:rPr>
          <w:spacing w:val="-1"/>
        </w:rPr>
        <w:t>e</w:t>
      </w:r>
      <w:r>
        <w:t xml:space="preserve">d </w:t>
      </w:r>
      <w:r>
        <w:rPr>
          <w:spacing w:val="-1"/>
        </w:rPr>
        <w:t>c</w:t>
      </w:r>
      <w:r>
        <w:t>on</w:t>
      </w:r>
      <w:r>
        <w:rPr>
          <w:spacing w:val="3"/>
        </w:rPr>
        <w:t>s</w:t>
      </w:r>
      <w:r>
        <w:rPr>
          <w:spacing w:val="-1"/>
        </w:rPr>
        <w:t>er</w:t>
      </w:r>
      <w:r>
        <w:t>v</w:t>
      </w:r>
      <w:r>
        <w:rPr>
          <w:spacing w:val="-1"/>
        </w:rPr>
        <w:t>a</w:t>
      </w:r>
      <w:r>
        <w:t>ti</w:t>
      </w:r>
      <w:r>
        <w:rPr>
          <w:spacing w:val="2"/>
        </w:rPr>
        <w:t>o</w:t>
      </w:r>
      <w:r>
        <w:t xml:space="preserve">n </w:t>
      </w:r>
      <w:r>
        <w:rPr>
          <w:spacing w:val="-1"/>
        </w:rPr>
        <w:t>re</w:t>
      </w:r>
      <w:r>
        <w:t>sto</w:t>
      </w:r>
      <w:r>
        <w:rPr>
          <w:spacing w:val="-1"/>
        </w:rPr>
        <w:t>ra</w:t>
      </w:r>
      <w:r>
        <w:t>tion t</w:t>
      </w:r>
      <w:r>
        <w:rPr>
          <w:spacing w:val="-1"/>
        </w:rPr>
        <w:t>a</w:t>
      </w:r>
      <w:r>
        <w:rPr>
          <w:spacing w:val="2"/>
        </w:rPr>
        <w:t>r</w:t>
      </w:r>
      <w:r>
        <w:t>g</w:t>
      </w:r>
      <w:r>
        <w:rPr>
          <w:spacing w:val="-1"/>
        </w:rPr>
        <w:t>e</w:t>
      </w:r>
      <w:r>
        <w:t>ts into the</w:t>
      </w:r>
      <w:r>
        <w:rPr>
          <w:spacing w:val="-1"/>
        </w:rPr>
        <w:t xml:space="preserve"> F</w:t>
      </w:r>
      <w:r>
        <w:t>E</w:t>
      </w:r>
      <w:r>
        <w:rPr>
          <w:spacing w:val="1"/>
        </w:rPr>
        <w:t>P</w:t>
      </w:r>
      <w:r>
        <w:t>. M</w:t>
      </w:r>
      <w:r>
        <w:rPr>
          <w:spacing w:val="-1"/>
        </w:rPr>
        <w:t>a</w:t>
      </w:r>
      <w:r>
        <w:rPr>
          <w:spacing w:val="5"/>
        </w:rPr>
        <w:t>n</w:t>
      </w:r>
      <w:r>
        <w:t>y</w:t>
      </w:r>
      <w:r>
        <w:rPr>
          <w:spacing w:val="-5"/>
        </w:rPr>
        <w:t xml:space="preserve"> </w:t>
      </w:r>
      <w:r>
        <w:t>of</w:t>
      </w:r>
      <w:r>
        <w:rPr>
          <w:spacing w:val="-1"/>
        </w:rPr>
        <w:t xml:space="preserve"> </w:t>
      </w:r>
      <w:r>
        <w:t>the</w:t>
      </w:r>
      <w:r>
        <w:rPr>
          <w:spacing w:val="-1"/>
        </w:rPr>
        <w:t xml:space="preserve"> </w:t>
      </w:r>
      <w:r>
        <w:rPr>
          <w:spacing w:val="2"/>
        </w:rPr>
        <w:t>h</w:t>
      </w:r>
      <w:r>
        <w:rPr>
          <w:spacing w:val="1"/>
        </w:rPr>
        <w:t>a</w:t>
      </w:r>
      <w:r>
        <w:t>bit</w:t>
      </w:r>
      <w:r>
        <w:rPr>
          <w:spacing w:val="-1"/>
        </w:rPr>
        <w:t>a</w:t>
      </w:r>
      <w:r>
        <w:t>t, w</w:t>
      </w:r>
      <w:r>
        <w:rPr>
          <w:spacing w:val="-1"/>
        </w:rPr>
        <w:t>a</w:t>
      </w:r>
      <w:r>
        <w:t>t</w:t>
      </w:r>
      <w:r>
        <w:rPr>
          <w:spacing w:val="-1"/>
        </w:rPr>
        <w:t>e</w:t>
      </w:r>
      <w:r>
        <w:t>r</w:t>
      </w:r>
      <w:r>
        <w:rPr>
          <w:spacing w:val="-1"/>
        </w:rPr>
        <w:t xml:space="preserve"> </w:t>
      </w:r>
      <w:r>
        <w:t>qu</w:t>
      </w:r>
      <w:r>
        <w:rPr>
          <w:spacing w:val="-1"/>
        </w:rPr>
        <w:t>a</w:t>
      </w:r>
      <w:r>
        <w:t>li</w:t>
      </w:r>
      <w:r>
        <w:rPr>
          <w:spacing w:val="5"/>
        </w:rPr>
        <w:t>t</w:t>
      </w:r>
      <w:r>
        <w:rPr>
          <w:spacing w:val="-5"/>
        </w:rPr>
        <w:t>y</w:t>
      </w:r>
      <w:r>
        <w:t xml:space="preserve">, </w:t>
      </w:r>
      <w:r>
        <w:rPr>
          <w:spacing w:val="-1"/>
        </w:rPr>
        <w:t>a</w:t>
      </w:r>
      <w:r>
        <w:t xml:space="preserve">nd </w:t>
      </w:r>
      <w:r>
        <w:rPr>
          <w:spacing w:val="2"/>
        </w:rPr>
        <w:t>w</w:t>
      </w:r>
      <w:r>
        <w:rPr>
          <w:spacing w:val="-1"/>
        </w:rPr>
        <w:t>a</w:t>
      </w:r>
      <w:r>
        <w:t>t</w:t>
      </w:r>
      <w:r>
        <w:rPr>
          <w:spacing w:val="-1"/>
        </w:rPr>
        <w:t>e</w:t>
      </w:r>
      <w:r>
        <w:t>r</w:t>
      </w:r>
      <w:r>
        <w:rPr>
          <w:spacing w:val="2"/>
        </w:rPr>
        <w:t xml:space="preserve"> </w:t>
      </w:r>
      <w:r>
        <w:t>qu</w:t>
      </w:r>
      <w:r>
        <w:rPr>
          <w:spacing w:val="-1"/>
        </w:rPr>
        <w:t>a</w:t>
      </w:r>
      <w:r>
        <w:t>nti</w:t>
      </w:r>
      <w:r>
        <w:rPr>
          <w:spacing w:val="3"/>
        </w:rPr>
        <w:t>t</w:t>
      </w:r>
      <w:r>
        <w:t>y</w:t>
      </w:r>
      <w:r>
        <w:rPr>
          <w:spacing w:val="-5"/>
        </w:rPr>
        <w:t xml:space="preserve"> </w:t>
      </w:r>
      <w:r>
        <w:rPr>
          <w:spacing w:val="-1"/>
        </w:rPr>
        <w:t>c</w:t>
      </w:r>
      <w:r>
        <w:t>ons</w:t>
      </w:r>
      <w:r>
        <w:rPr>
          <w:spacing w:val="1"/>
        </w:rPr>
        <w:t>e</w:t>
      </w:r>
      <w:r>
        <w:rPr>
          <w:spacing w:val="-1"/>
        </w:rPr>
        <w:t>r</w:t>
      </w:r>
      <w:r>
        <w:t>v</w:t>
      </w:r>
      <w:r>
        <w:rPr>
          <w:spacing w:val="-1"/>
        </w:rPr>
        <w:t>a</w:t>
      </w:r>
      <w:r>
        <w:t>tion n</w:t>
      </w:r>
      <w:r>
        <w:rPr>
          <w:spacing w:val="1"/>
        </w:rPr>
        <w:t>e</w:t>
      </w:r>
      <w:r>
        <w:rPr>
          <w:spacing w:val="-1"/>
        </w:rPr>
        <w:t>e</w:t>
      </w:r>
      <w:r>
        <w:t>ds id</w:t>
      </w:r>
      <w:r>
        <w:rPr>
          <w:spacing w:val="-1"/>
        </w:rPr>
        <w:t>e</w:t>
      </w:r>
      <w:r>
        <w:t>nti</w:t>
      </w:r>
      <w:r>
        <w:rPr>
          <w:spacing w:val="-1"/>
        </w:rPr>
        <w:t>f</w:t>
      </w:r>
      <w:r>
        <w:t>i</w:t>
      </w:r>
      <w:r>
        <w:rPr>
          <w:spacing w:val="-1"/>
        </w:rPr>
        <w:t>e</w:t>
      </w:r>
      <w:r>
        <w:t>d in the</w:t>
      </w:r>
      <w:r>
        <w:rPr>
          <w:spacing w:val="-1"/>
        </w:rPr>
        <w:t xml:space="preserve"> </w:t>
      </w:r>
      <w:r>
        <w:t>th</w:t>
      </w:r>
      <w:r>
        <w:rPr>
          <w:spacing w:val="-1"/>
        </w:rPr>
        <w:t>re</w:t>
      </w:r>
      <w:r>
        <w:rPr>
          <w:spacing w:val="1"/>
        </w:rPr>
        <w:t>a</w:t>
      </w:r>
      <w:r>
        <w:t xml:space="preserve">ts </w:t>
      </w:r>
      <w:r>
        <w:rPr>
          <w:spacing w:val="-1"/>
        </w:rPr>
        <w:t>a</w:t>
      </w:r>
      <w:r>
        <w:t xml:space="preserve">nd </w:t>
      </w:r>
      <w:r>
        <w:rPr>
          <w:spacing w:val="-1"/>
        </w:rPr>
        <w:t>rec</w:t>
      </w:r>
      <w:r>
        <w:t>omm</w:t>
      </w:r>
      <w:r>
        <w:rPr>
          <w:spacing w:val="-1"/>
        </w:rPr>
        <w:t>e</w:t>
      </w:r>
      <w:r>
        <w:t>n</w:t>
      </w:r>
      <w:r>
        <w:rPr>
          <w:spacing w:val="2"/>
        </w:rPr>
        <w:t>d</w:t>
      </w:r>
      <w:r>
        <w:rPr>
          <w:spacing w:val="-1"/>
        </w:rPr>
        <w:t>a</w:t>
      </w:r>
      <w:r>
        <w:t>tions Volume</w:t>
      </w:r>
      <w:r>
        <w:rPr>
          <w:spacing w:val="-1"/>
        </w:rPr>
        <w:t xml:space="preserve"> </w:t>
      </w:r>
      <w:r>
        <w:t>of</w:t>
      </w:r>
      <w:r>
        <w:rPr>
          <w:spacing w:val="-1"/>
        </w:rPr>
        <w:t xml:space="preserve"> </w:t>
      </w:r>
      <w:r>
        <w:t>the</w:t>
      </w:r>
      <w:r>
        <w:rPr>
          <w:spacing w:val="-1"/>
        </w:rPr>
        <w:t xml:space="preserve"> F</w:t>
      </w:r>
      <w:r>
        <w:t>EP</w:t>
      </w:r>
      <w:r>
        <w:rPr>
          <w:spacing w:val="1"/>
        </w:rPr>
        <w:t xml:space="preserve"> a</w:t>
      </w:r>
      <w:r>
        <w:rPr>
          <w:spacing w:val="-1"/>
        </w:rPr>
        <w:t>r</w:t>
      </w:r>
      <w:r>
        <w:t>e</w:t>
      </w:r>
      <w:r>
        <w:rPr>
          <w:spacing w:val="-1"/>
        </w:rPr>
        <w:t xml:space="preserve"> </w:t>
      </w:r>
      <w:r>
        <w:rPr>
          <w:spacing w:val="2"/>
        </w:rPr>
        <w:t>d</w:t>
      </w:r>
      <w:r>
        <w:t>i</w:t>
      </w:r>
      <w:r>
        <w:rPr>
          <w:spacing w:val="-1"/>
        </w:rPr>
        <w:t>rec</w:t>
      </w:r>
      <w:r>
        <w:t>t</w:t>
      </w:r>
      <w:r>
        <w:rPr>
          <w:spacing w:val="3"/>
        </w:rPr>
        <w:t>l</w:t>
      </w:r>
      <w:r>
        <w:t>y</w:t>
      </w:r>
      <w:r>
        <w:rPr>
          <w:spacing w:val="-2"/>
        </w:rPr>
        <w:t xml:space="preserve"> </w:t>
      </w:r>
      <w:r>
        <w:rPr>
          <w:spacing w:val="-1"/>
        </w:rPr>
        <w:t>a</w:t>
      </w:r>
      <w:r>
        <w:t>dd</w:t>
      </w:r>
      <w:r>
        <w:rPr>
          <w:spacing w:val="2"/>
        </w:rPr>
        <w:t>r</w:t>
      </w:r>
      <w:r>
        <w:rPr>
          <w:spacing w:val="-1"/>
        </w:rPr>
        <w:t>e</w:t>
      </w:r>
      <w:r>
        <w:t>ss</w:t>
      </w:r>
      <w:r>
        <w:rPr>
          <w:spacing w:val="-1"/>
        </w:rPr>
        <w:t>e</w:t>
      </w:r>
      <w:r>
        <w:t xml:space="preserve">d </w:t>
      </w:r>
      <w:r>
        <w:rPr>
          <w:spacing w:val="5"/>
        </w:rPr>
        <w:t>b</w:t>
      </w:r>
      <w:r>
        <w:t>y</w:t>
      </w:r>
      <w:r>
        <w:rPr>
          <w:spacing w:val="-5"/>
        </w:rPr>
        <w:t xml:space="preserve"> </w:t>
      </w:r>
      <w:r>
        <w:t>on</w:t>
      </w:r>
      <w:r>
        <w:rPr>
          <w:spacing w:val="-1"/>
        </w:rPr>
        <w:t>-</w:t>
      </w:r>
      <w:r>
        <w:rPr>
          <w:spacing w:val="3"/>
        </w:rPr>
        <w:t>t</w:t>
      </w:r>
      <w:r>
        <w:t>h</w:t>
      </w:r>
      <w:r>
        <w:rPr>
          <w:spacing w:val="-1"/>
        </w:rPr>
        <w:t>e</w:t>
      </w:r>
      <w:r>
        <w:rPr>
          <w:spacing w:val="2"/>
        </w:rPr>
        <w:t>-</w:t>
      </w:r>
      <w:r>
        <w:rPr>
          <w:spacing w:val="-2"/>
        </w:rPr>
        <w:t>g</w:t>
      </w:r>
      <w:r>
        <w:rPr>
          <w:spacing w:val="-1"/>
        </w:rPr>
        <w:t>r</w:t>
      </w:r>
      <w:r>
        <w:t>ound p</w:t>
      </w:r>
      <w:r>
        <w:rPr>
          <w:spacing w:val="-1"/>
        </w:rPr>
        <w:t>r</w:t>
      </w:r>
      <w:r>
        <w:t>o</w:t>
      </w:r>
      <w:r>
        <w:rPr>
          <w:spacing w:val="3"/>
        </w:rPr>
        <w:t>j</w:t>
      </w:r>
      <w:r>
        <w:rPr>
          <w:spacing w:val="-1"/>
        </w:rPr>
        <w:t>ec</w:t>
      </w:r>
      <w:r>
        <w:t>ts supp</w:t>
      </w:r>
      <w:r>
        <w:rPr>
          <w:spacing w:val="2"/>
        </w:rPr>
        <w:t>o</w:t>
      </w:r>
      <w:r>
        <w:rPr>
          <w:spacing w:val="-1"/>
        </w:rPr>
        <w:t>r</w:t>
      </w:r>
      <w:r>
        <w:t>t</w:t>
      </w:r>
      <w:r>
        <w:rPr>
          <w:spacing w:val="-1"/>
        </w:rPr>
        <w:t>e</w:t>
      </w:r>
      <w:r>
        <w:t xml:space="preserve">d </w:t>
      </w:r>
      <w:r>
        <w:rPr>
          <w:spacing w:val="2"/>
        </w:rPr>
        <w:t>b</w:t>
      </w:r>
      <w:r>
        <w:t>y</w:t>
      </w:r>
      <w:r>
        <w:rPr>
          <w:spacing w:val="-5"/>
        </w:rPr>
        <w:t xml:space="preserve"> </w:t>
      </w:r>
      <w:r>
        <w:rPr>
          <w:spacing w:val="1"/>
        </w:rPr>
        <w:t>S</w:t>
      </w:r>
      <w:r>
        <w:t>A</w:t>
      </w:r>
      <w:r>
        <w:rPr>
          <w:spacing w:val="1"/>
        </w:rPr>
        <w:t>RP</w:t>
      </w:r>
      <w:r>
        <w:t xml:space="preserve">. This </w:t>
      </w:r>
      <w:r>
        <w:rPr>
          <w:spacing w:val="-1"/>
        </w:rPr>
        <w:t>c</w:t>
      </w:r>
      <w:r>
        <w:t>oop</w:t>
      </w:r>
      <w:r>
        <w:rPr>
          <w:spacing w:val="-1"/>
        </w:rPr>
        <w:t>era</w:t>
      </w:r>
      <w:r>
        <w:t xml:space="preserve">tion </w:t>
      </w:r>
      <w:r>
        <w:rPr>
          <w:spacing w:val="2"/>
        </w:rPr>
        <w:t>r</w:t>
      </w:r>
      <w:r>
        <w:rPr>
          <w:spacing w:val="-1"/>
        </w:rPr>
        <w:t>e</w:t>
      </w:r>
      <w:r>
        <w:t xml:space="preserve">sults in </w:t>
      </w:r>
      <w:r>
        <w:rPr>
          <w:spacing w:val="-1"/>
        </w:rPr>
        <w:t>f</w:t>
      </w:r>
      <w:r>
        <w:t>unding</w:t>
      </w:r>
      <w:r>
        <w:rPr>
          <w:spacing w:val="-2"/>
        </w:rPr>
        <w:t xml:space="preserve"> </w:t>
      </w:r>
      <w:r>
        <w:rPr>
          <w:spacing w:val="-1"/>
        </w:rPr>
        <w:t>f</w:t>
      </w:r>
      <w:r>
        <w:t>ish h</w:t>
      </w:r>
      <w:r>
        <w:rPr>
          <w:spacing w:val="-1"/>
        </w:rPr>
        <w:t>a</w:t>
      </w:r>
      <w:r>
        <w:t>bit</w:t>
      </w:r>
      <w:r>
        <w:rPr>
          <w:spacing w:val="-1"/>
        </w:rPr>
        <w:t>a</w:t>
      </w:r>
      <w:r>
        <w:t xml:space="preserve">t </w:t>
      </w:r>
      <w:r>
        <w:rPr>
          <w:spacing w:val="2"/>
        </w:rPr>
        <w:t>r</w:t>
      </w:r>
      <w:r>
        <w:rPr>
          <w:spacing w:val="-1"/>
        </w:rPr>
        <w:t>e</w:t>
      </w:r>
      <w:r>
        <w:t>sto</w:t>
      </w:r>
      <w:r>
        <w:rPr>
          <w:spacing w:val="-1"/>
        </w:rPr>
        <w:t>ra</w:t>
      </w:r>
      <w:r>
        <w:t>t</w:t>
      </w:r>
      <w:r>
        <w:rPr>
          <w:spacing w:val="3"/>
        </w:rPr>
        <w:t>i</w:t>
      </w:r>
      <w:r>
        <w:t xml:space="preserve">on </w:t>
      </w:r>
      <w:r>
        <w:rPr>
          <w:spacing w:val="-1"/>
        </w:rPr>
        <w:t>a</w:t>
      </w:r>
      <w:r>
        <w:t xml:space="preserve">nd </w:t>
      </w:r>
      <w:r>
        <w:rPr>
          <w:spacing w:val="-1"/>
        </w:rPr>
        <w:t>c</w:t>
      </w:r>
      <w:r>
        <w:t>ons</w:t>
      </w:r>
      <w:r>
        <w:rPr>
          <w:spacing w:val="-1"/>
        </w:rPr>
        <w:t>er</w:t>
      </w:r>
      <w:r>
        <w:rPr>
          <w:spacing w:val="2"/>
        </w:rPr>
        <w:t>v</w:t>
      </w:r>
      <w:r>
        <w:rPr>
          <w:spacing w:val="-1"/>
        </w:rPr>
        <w:t>a</w:t>
      </w:r>
      <w:r>
        <w:t>tion int</w:t>
      </w:r>
      <w:r>
        <w:rPr>
          <w:spacing w:val="-1"/>
        </w:rPr>
        <w:t>e</w:t>
      </w:r>
      <w:r>
        <w:t>nd</w:t>
      </w:r>
      <w:r>
        <w:rPr>
          <w:spacing w:val="-1"/>
        </w:rPr>
        <w:t>e</w:t>
      </w:r>
      <w:r>
        <w:t>d to in</w:t>
      </w:r>
      <w:r>
        <w:rPr>
          <w:spacing w:val="-1"/>
        </w:rPr>
        <w:t>crea</w:t>
      </w:r>
      <w:r>
        <w:rPr>
          <w:spacing w:val="3"/>
        </w:rPr>
        <w:t>s</w:t>
      </w:r>
      <w:r>
        <w:t>e</w:t>
      </w:r>
      <w:r>
        <w:rPr>
          <w:spacing w:val="-1"/>
        </w:rPr>
        <w:t xml:space="preserve"> </w:t>
      </w:r>
      <w:r>
        <w:t>the</w:t>
      </w:r>
      <w:r>
        <w:rPr>
          <w:spacing w:val="-1"/>
        </w:rPr>
        <w:t xml:space="preserve"> </w:t>
      </w:r>
      <w:r>
        <w:t>vi</w:t>
      </w:r>
      <w:r>
        <w:rPr>
          <w:spacing w:val="-1"/>
        </w:rPr>
        <w:t>a</w:t>
      </w:r>
      <w:r>
        <w:t>b</w:t>
      </w:r>
      <w:r>
        <w:rPr>
          <w:spacing w:val="3"/>
        </w:rPr>
        <w:t>i</w:t>
      </w:r>
      <w:r>
        <w:t>li</w:t>
      </w:r>
      <w:r>
        <w:rPr>
          <w:spacing w:val="3"/>
        </w:rPr>
        <w:t>t</w:t>
      </w:r>
      <w:r>
        <w:t>y of</w:t>
      </w:r>
      <w:r>
        <w:rPr>
          <w:spacing w:val="-1"/>
        </w:rPr>
        <w:t xml:space="preserve"> f</w:t>
      </w:r>
      <w:r>
        <w:t>ish popul</w:t>
      </w:r>
      <w:r>
        <w:rPr>
          <w:spacing w:val="-1"/>
        </w:rPr>
        <w:t>a</w:t>
      </w:r>
      <w:r>
        <w:t xml:space="preserve">tions </w:t>
      </w:r>
      <w:r>
        <w:rPr>
          <w:spacing w:val="-1"/>
        </w:rPr>
        <w:t>a</w:t>
      </w:r>
      <w:r>
        <w:t xml:space="preserve">nd </w:t>
      </w:r>
      <w:r>
        <w:rPr>
          <w:spacing w:val="-1"/>
        </w:rPr>
        <w:t>f</w:t>
      </w:r>
      <w:r>
        <w:t>ishing</w:t>
      </w:r>
      <w:r>
        <w:rPr>
          <w:spacing w:val="-2"/>
        </w:rPr>
        <w:t xml:space="preserve"> </w:t>
      </w:r>
      <w:r>
        <w:t>oppo</w:t>
      </w:r>
      <w:r>
        <w:rPr>
          <w:spacing w:val="-1"/>
        </w:rPr>
        <w:t>r</w:t>
      </w:r>
      <w:r>
        <w:t>tuni</w:t>
      </w:r>
      <w:r>
        <w:rPr>
          <w:spacing w:val="3"/>
        </w:rPr>
        <w:t>t</w:t>
      </w:r>
      <w:r>
        <w:t>y,</w:t>
      </w:r>
      <w:r>
        <w:rPr>
          <w:spacing w:val="-2"/>
        </w:rPr>
        <w:t xml:space="preserve"> </w:t>
      </w:r>
      <w:r>
        <w:t>whi</w:t>
      </w:r>
      <w:r>
        <w:rPr>
          <w:spacing w:val="-1"/>
        </w:rPr>
        <w:t>c</w:t>
      </w:r>
      <w:r>
        <w:t>h</w:t>
      </w:r>
      <w:r>
        <w:rPr>
          <w:spacing w:val="2"/>
        </w:rPr>
        <w:t xml:space="preserve"> </w:t>
      </w:r>
      <w:r>
        <w:rPr>
          <w:spacing w:val="-1"/>
        </w:rPr>
        <w:t>a</w:t>
      </w:r>
      <w:r>
        <w:t>lso m</w:t>
      </w:r>
      <w:r>
        <w:rPr>
          <w:spacing w:val="-1"/>
        </w:rPr>
        <w:t>ee</w:t>
      </w:r>
      <w:r>
        <w:t>ts the</w:t>
      </w:r>
      <w:r>
        <w:rPr>
          <w:spacing w:val="-1"/>
        </w:rPr>
        <w:t xml:space="preserve"> </w:t>
      </w:r>
      <w:r>
        <w:t>n</w:t>
      </w:r>
      <w:r>
        <w:rPr>
          <w:spacing w:val="-1"/>
        </w:rPr>
        <w:t>ee</w:t>
      </w:r>
      <w:r>
        <w:t xml:space="preserve">ds to </w:t>
      </w:r>
      <w:r>
        <w:rPr>
          <w:spacing w:val="1"/>
        </w:rPr>
        <w:t>c</w:t>
      </w:r>
      <w:r>
        <w:t>ons</w:t>
      </w:r>
      <w:r>
        <w:rPr>
          <w:spacing w:val="-1"/>
        </w:rPr>
        <w:t>er</w:t>
      </w:r>
      <w:r>
        <w:t>ve</w:t>
      </w:r>
      <w:r>
        <w:rPr>
          <w:spacing w:val="-1"/>
        </w:rPr>
        <w:t xml:space="preserve"> a</w:t>
      </w:r>
      <w:r>
        <w:t xml:space="preserve">nd </w:t>
      </w:r>
      <w:r>
        <w:rPr>
          <w:spacing w:val="3"/>
        </w:rPr>
        <w:t>m</w:t>
      </w:r>
      <w:r>
        <w:rPr>
          <w:spacing w:val="-1"/>
        </w:rPr>
        <w:t>a</w:t>
      </w:r>
      <w:r>
        <w:t>n</w:t>
      </w:r>
      <w:r>
        <w:rPr>
          <w:spacing w:val="1"/>
        </w:rPr>
        <w:t>a</w:t>
      </w:r>
      <w:r>
        <w:rPr>
          <w:spacing w:val="-2"/>
        </w:rPr>
        <w:t>g</w:t>
      </w:r>
      <w:r>
        <w:t>e</w:t>
      </w:r>
    </w:p>
    <w:p w14:paraId="74BBDDAE" w14:textId="77777777" w:rsidR="00DC4922" w:rsidRDefault="00DC4922" w:rsidP="00DC4922">
      <w:r>
        <w:t>Ess</w:t>
      </w:r>
      <w:r>
        <w:rPr>
          <w:spacing w:val="-1"/>
        </w:rPr>
        <w:t>e</w:t>
      </w:r>
      <w:r>
        <w:t>nti</w:t>
      </w:r>
      <w:r>
        <w:rPr>
          <w:spacing w:val="-1"/>
        </w:rPr>
        <w:t>a</w:t>
      </w:r>
      <w:r>
        <w:t xml:space="preserve">l </w:t>
      </w:r>
      <w:r>
        <w:rPr>
          <w:spacing w:val="-1"/>
        </w:rPr>
        <w:t>F</w:t>
      </w:r>
      <w:r>
        <w:t>ish H</w:t>
      </w:r>
      <w:r>
        <w:rPr>
          <w:spacing w:val="-1"/>
        </w:rPr>
        <w:t>a</w:t>
      </w:r>
      <w:r>
        <w:t>bit</w:t>
      </w:r>
      <w:r>
        <w:rPr>
          <w:spacing w:val="-1"/>
        </w:rPr>
        <w:t>a</w:t>
      </w:r>
      <w:r>
        <w:t xml:space="preserve">t </w:t>
      </w:r>
      <w:r>
        <w:rPr>
          <w:spacing w:val="-1"/>
        </w:rPr>
        <w:t>f</w:t>
      </w:r>
      <w:r>
        <w:t>or</w:t>
      </w:r>
      <w:r>
        <w:rPr>
          <w:spacing w:val="2"/>
        </w:rPr>
        <w:t xml:space="preserve"> </w:t>
      </w:r>
      <w:r>
        <w:rPr>
          <w:spacing w:val="1"/>
        </w:rPr>
        <w:t>C</w:t>
      </w:r>
      <w:r>
        <w:t>oun</w:t>
      </w:r>
      <w:r>
        <w:rPr>
          <w:spacing w:val="-1"/>
        </w:rPr>
        <w:t>c</w:t>
      </w:r>
      <w:r>
        <w:t>il m</w:t>
      </w:r>
      <w:r>
        <w:rPr>
          <w:spacing w:val="-1"/>
        </w:rPr>
        <w:t>a</w:t>
      </w:r>
      <w:r>
        <w:t>n</w:t>
      </w:r>
      <w:r>
        <w:rPr>
          <w:spacing w:val="-1"/>
        </w:rPr>
        <w:t>a</w:t>
      </w:r>
      <w:r>
        <w:t>g</w:t>
      </w:r>
      <w:r>
        <w:rPr>
          <w:spacing w:val="-1"/>
        </w:rPr>
        <w:t>e</w:t>
      </w:r>
      <w:r>
        <w:t>d sp</w:t>
      </w:r>
      <w:r>
        <w:rPr>
          <w:spacing w:val="-1"/>
        </w:rPr>
        <w:t>ec</w:t>
      </w:r>
      <w:r>
        <w:rPr>
          <w:spacing w:val="3"/>
        </w:rPr>
        <w:t>i</w:t>
      </w:r>
      <w:r>
        <w:rPr>
          <w:spacing w:val="1"/>
        </w:rPr>
        <w:t>e</w:t>
      </w:r>
      <w:r>
        <w:t>s or</w:t>
      </w:r>
      <w:r>
        <w:rPr>
          <w:spacing w:val="-1"/>
        </w:rPr>
        <w:t xml:space="preserve"> </w:t>
      </w:r>
      <w:r>
        <w:t>h</w:t>
      </w:r>
      <w:r>
        <w:rPr>
          <w:spacing w:val="-1"/>
        </w:rPr>
        <w:t>a</w:t>
      </w:r>
      <w:r>
        <w:t>bit</w:t>
      </w:r>
      <w:r>
        <w:rPr>
          <w:spacing w:val="-1"/>
        </w:rPr>
        <w:t>a</w:t>
      </w:r>
      <w:r>
        <w:t>t impo</w:t>
      </w:r>
      <w:r>
        <w:rPr>
          <w:spacing w:val="-1"/>
        </w:rPr>
        <w:t>r</w:t>
      </w:r>
      <w:r>
        <w:t>t</w:t>
      </w:r>
      <w:r>
        <w:rPr>
          <w:spacing w:val="-1"/>
        </w:rPr>
        <w:t>a</w:t>
      </w:r>
      <w:r>
        <w:t>nt to th</w:t>
      </w:r>
      <w:r>
        <w:rPr>
          <w:spacing w:val="-1"/>
        </w:rPr>
        <w:t>e</w:t>
      </w:r>
      <w:r>
        <w:t>ir</w:t>
      </w:r>
      <w:r>
        <w:rPr>
          <w:spacing w:val="-1"/>
        </w:rPr>
        <w:t xml:space="preserve"> </w:t>
      </w:r>
      <w:r>
        <w:t>p</w:t>
      </w:r>
      <w:r>
        <w:rPr>
          <w:spacing w:val="-1"/>
        </w:rPr>
        <w:t>r</w:t>
      </w:r>
      <w:r>
        <w:rPr>
          <w:spacing w:val="4"/>
        </w:rPr>
        <w:t>e</w:t>
      </w:r>
      <w:r>
        <w:rPr>
          <w:spacing w:val="-5"/>
        </w:rPr>
        <w:t>y</w:t>
      </w:r>
      <w:r>
        <w:t>.</w:t>
      </w:r>
      <w:r w:rsidRPr="00DE5527">
        <w:t xml:space="preserve"> To date, SARP has funded 53 projects in the region through this program. This work supports conservation objectives identified in the</w:t>
      </w:r>
      <w:r>
        <w:t xml:space="preserve"> SAHP </w:t>
      </w:r>
      <w:r w:rsidRPr="00DE5527">
        <w:t>to improve, establish</w:t>
      </w:r>
      <w:r>
        <w:t>,</w:t>
      </w:r>
      <w:r w:rsidRPr="00DE5527">
        <w:t xml:space="preserve"> or maintain riparian zones, water quality, watershed connectivity, sediment flows, bottoms and shorelines, and fish passage, and addresses other key factors associated with the loss and degradation of fish habitats. SARP </w:t>
      </w:r>
      <w:r>
        <w:lastRenderedPageBreak/>
        <w:t xml:space="preserve">also </w:t>
      </w:r>
      <w:r w:rsidRPr="00DE5527">
        <w:t>developed the Southern Instream Flow Network (SIFN) to address the impacts of flow alterations in the Southeast</w:t>
      </w:r>
      <w:r>
        <w:t xml:space="preserve">ern US aquatic ecosystems which </w:t>
      </w:r>
      <w:r w:rsidRPr="00DE5527">
        <w:t>leverages policy, technical experience, and scientific resources among partners based in 15 states</w:t>
      </w:r>
      <w:r>
        <w:t>.  Maintaining appropriate flow into South Atlantic estuarine systems to support healthy inshore habitats essential to Council managed species is a major regional concern and efforts of SARP through SIFN are envisioned to enhance state and local partners ability to maintain appropriate flow rates.</w:t>
      </w:r>
    </w:p>
    <w:p w14:paraId="66344615" w14:textId="77777777" w:rsidR="00DC4922" w:rsidRDefault="00DC4922" w:rsidP="00DC4922">
      <w:pPr>
        <w:rPr>
          <w:sz w:val="26"/>
        </w:rPr>
      </w:pPr>
    </w:p>
    <w:p w14:paraId="7E7186CA" w14:textId="77777777" w:rsidR="00DC4922" w:rsidRPr="00D50BED" w:rsidRDefault="00DC4922" w:rsidP="00DC4922">
      <w:pPr>
        <w:rPr>
          <w:i/>
          <w:sz w:val="26"/>
        </w:rPr>
      </w:pPr>
      <w:r w:rsidRPr="00D50BED">
        <w:rPr>
          <w:i/>
          <w:sz w:val="26"/>
        </w:rPr>
        <w:t>Governor’</w:t>
      </w:r>
      <w:r>
        <w:rPr>
          <w:i/>
          <w:sz w:val="26"/>
        </w:rPr>
        <w:t>s South Atlantic Allian</w:t>
      </w:r>
      <w:r w:rsidRPr="00D50BED">
        <w:rPr>
          <w:i/>
          <w:sz w:val="26"/>
        </w:rPr>
        <w:t>ce</w:t>
      </w:r>
      <w:r>
        <w:rPr>
          <w:i/>
          <w:sz w:val="26"/>
        </w:rPr>
        <w:t xml:space="preserve"> (GSAA)</w:t>
      </w:r>
    </w:p>
    <w:p w14:paraId="644CFA8D" w14:textId="77777777" w:rsidR="00DC4922" w:rsidRDefault="00DC4922" w:rsidP="00640526">
      <w:pPr>
        <w:ind w:firstLine="360"/>
      </w:pPr>
      <w:r>
        <w:rPr>
          <w:spacing w:val="-3"/>
        </w:rPr>
        <w:t>I</w:t>
      </w:r>
      <w:r>
        <w:t>niti</w:t>
      </w:r>
      <w:r>
        <w:rPr>
          <w:spacing w:val="-1"/>
        </w:rPr>
        <w:t>a</w:t>
      </w:r>
      <w:r>
        <w:t>l</w:t>
      </w:r>
      <w:r>
        <w:rPr>
          <w:spacing w:val="5"/>
        </w:rPr>
        <w:t>l</w:t>
      </w:r>
      <w:r>
        <w:t>y</w:t>
      </w:r>
      <w:r>
        <w:rPr>
          <w:spacing w:val="-5"/>
        </w:rPr>
        <w:t xml:space="preserve"> </w:t>
      </w:r>
      <w:r>
        <w:t>dis</w:t>
      </w:r>
      <w:r>
        <w:rPr>
          <w:spacing w:val="-1"/>
        </w:rPr>
        <w:t>c</w:t>
      </w:r>
      <w:r>
        <w:t>uss</w:t>
      </w:r>
      <w:r>
        <w:rPr>
          <w:spacing w:val="-1"/>
        </w:rPr>
        <w:t>e</w:t>
      </w:r>
      <w:r>
        <w:t xml:space="preserve">d </w:t>
      </w:r>
      <w:r>
        <w:rPr>
          <w:spacing w:val="-1"/>
        </w:rPr>
        <w:t>a</w:t>
      </w:r>
      <w:r>
        <w:t>s</w:t>
      </w:r>
      <w:r>
        <w:rPr>
          <w:spacing w:val="3"/>
        </w:rPr>
        <w:t xml:space="preserve"> </w:t>
      </w:r>
      <w:r>
        <w:t>a</w:t>
      </w:r>
      <w:r>
        <w:rPr>
          <w:spacing w:val="-1"/>
        </w:rPr>
        <w:t xml:space="preserve"> </w:t>
      </w:r>
      <w:r>
        <w:rPr>
          <w:spacing w:val="1"/>
        </w:rPr>
        <w:t>S</w:t>
      </w:r>
      <w:r>
        <w:t>outh Atl</w:t>
      </w:r>
      <w:r>
        <w:rPr>
          <w:spacing w:val="-1"/>
        </w:rPr>
        <w:t>a</w:t>
      </w:r>
      <w:r>
        <w:t>ntic</w:t>
      </w:r>
      <w:r>
        <w:rPr>
          <w:spacing w:val="-1"/>
        </w:rPr>
        <w:t xml:space="preserve"> </w:t>
      </w:r>
      <w:r>
        <w:t>E</w:t>
      </w:r>
      <w:r>
        <w:rPr>
          <w:spacing w:val="-1"/>
        </w:rPr>
        <w:t>c</w:t>
      </w:r>
      <w:r>
        <w:t>o</w:t>
      </w:r>
      <w:r>
        <w:rPr>
          <w:spacing w:val="-1"/>
        </w:rPr>
        <w:t>-r</w:t>
      </w:r>
      <w:r>
        <w:rPr>
          <w:spacing w:val="1"/>
        </w:rPr>
        <w:t>e</w:t>
      </w:r>
      <w:r>
        <w:rPr>
          <w:spacing w:val="-2"/>
        </w:rPr>
        <w:t>g</w:t>
      </w:r>
      <w:r>
        <w:t>io</w:t>
      </w:r>
      <w:r>
        <w:rPr>
          <w:spacing w:val="2"/>
        </w:rPr>
        <w:t>n</w:t>
      </w:r>
      <w:r>
        <w:rPr>
          <w:spacing w:val="-1"/>
        </w:rPr>
        <w:t>a</w:t>
      </w:r>
      <w:r>
        <w:t xml:space="preserve">l </w:t>
      </w:r>
      <w:r>
        <w:rPr>
          <w:spacing w:val="1"/>
        </w:rPr>
        <w:t>C</w:t>
      </w:r>
      <w:r>
        <w:t>omp</w:t>
      </w:r>
      <w:r>
        <w:rPr>
          <w:spacing w:val="-1"/>
        </w:rPr>
        <w:t>ac</w:t>
      </w:r>
      <w:r>
        <w:t>t, the</w:t>
      </w:r>
      <w:r>
        <w:rPr>
          <w:spacing w:val="-1"/>
        </w:rPr>
        <w:t xml:space="preserve"> </w:t>
      </w:r>
      <w:r>
        <w:rPr>
          <w:spacing w:val="1"/>
        </w:rPr>
        <w:t>C</w:t>
      </w:r>
      <w:r>
        <w:t>oun</w:t>
      </w:r>
      <w:r>
        <w:rPr>
          <w:spacing w:val="-1"/>
        </w:rPr>
        <w:t>c</w:t>
      </w:r>
      <w:r>
        <w:t>il h</w:t>
      </w:r>
      <w:r>
        <w:rPr>
          <w:spacing w:val="-1"/>
        </w:rPr>
        <w:t>a</w:t>
      </w:r>
      <w:r>
        <w:t xml:space="preserve">s </w:t>
      </w:r>
      <w:r>
        <w:rPr>
          <w:spacing w:val="-1"/>
        </w:rPr>
        <w:t>a</w:t>
      </w:r>
      <w:r>
        <w:t xml:space="preserve">lso </w:t>
      </w:r>
      <w:r>
        <w:rPr>
          <w:spacing w:val="-1"/>
        </w:rPr>
        <w:t>c</w:t>
      </w:r>
      <w:r>
        <w:t>oop</w:t>
      </w:r>
      <w:r>
        <w:rPr>
          <w:spacing w:val="1"/>
        </w:rPr>
        <w:t>e</w:t>
      </w:r>
      <w:r>
        <w:rPr>
          <w:spacing w:val="-1"/>
        </w:rPr>
        <w:t>ra</w:t>
      </w:r>
      <w:r>
        <w:t>t</w:t>
      </w:r>
      <w:r>
        <w:rPr>
          <w:spacing w:val="-1"/>
        </w:rPr>
        <w:t>e</w:t>
      </w:r>
      <w:r>
        <w:t xml:space="preserve">d with </w:t>
      </w:r>
      <w:r>
        <w:rPr>
          <w:spacing w:val="1"/>
        </w:rPr>
        <w:t>S</w:t>
      </w:r>
      <w:r>
        <w:t>outh Atl</w:t>
      </w:r>
      <w:r>
        <w:rPr>
          <w:spacing w:val="-1"/>
        </w:rPr>
        <w:t>a</w:t>
      </w:r>
      <w:r>
        <w:t>ntic</w:t>
      </w:r>
      <w:r>
        <w:rPr>
          <w:spacing w:val="-1"/>
        </w:rPr>
        <w:t xml:space="preserve"> </w:t>
      </w:r>
      <w:r>
        <w:rPr>
          <w:spacing w:val="1"/>
        </w:rPr>
        <w:t>S</w:t>
      </w:r>
      <w:r>
        <w:t>t</w:t>
      </w:r>
      <w:r>
        <w:rPr>
          <w:spacing w:val="-1"/>
        </w:rPr>
        <w:t>a</w:t>
      </w:r>
      <w:r>
        <w:t>t</w:t>
      </w:r>
      <w:r>
        <w:rPr>
          <w:spacing w:val="-1"/>
        </w:rPr>
        <w:t>e</w:t>
      </w:r>
      <w:r>
        <w:t xml:space="preserve">s in </w:t>
      </w:r>
      <w:r>
        <w:rPr>
          <w:spacing w:val="-2"/>
        </w:rPr>
        <w:t>t</w:t>
      </w:r>
      <w:r>
        <w:t>he</w:t>
      </w:r>
      <w:r>
        <w:rPr>
          <w:spacing w:val="-1"/>
        </w:rPr>
        <w:t xml:space="preserve"> f</w:t>
      </w:r>
      <w:r>
        <w:t>o</w:t>
      </w:r>
      <w:r>
        <w:rPr>
          <w:spacing w:val="-1"/>
        </w:rPr>
        <w:t>r</w:t>
      </w:r>
      <w:r>
        <w:t>m</w:t>
      </w:r>
      <w:r>
        <w:rPr>
          <w:spacing w:val="-1"/>
        </w:rPr>
        <w:t>a</w:t>
      </w:r>
      <w:r>
        <w:t>tion of</w:t>
      </w:r>
      <w:r>
        <w:rPr>
          <w:spacing w:val="-1"/>
        </w:rPr>
        <w:t xml:space="preserve"> </w:t>
      </w:r>
      <w:r>
        <w:t>a</w:t>
      </w:r>
      <w:r>
        <w:rPr>
          <w:spacing w:val="1"/>
        </w:rPr>
        <w:t xml:space="preserve"> </w:t>
      </w:r>
      <w:r>
        <w:t>Gov</w:t>
      </w:r>
      <w:r>
        <w:rPr>
          <w:spacing w:val="-1"/>
        </w:rPr>
        <w:t>er</w:t>
      </w:r>
      <w:r>
        <w:rPr>
          <w:spacing w:val="2"/>
        </w:rPr>
        <w:t>n</w:t>
      </w:r>
      <w:r>
        <w:t>o</w:t>
      </w:r>
      <w:r>
        <w:rPr>
          <w:spacing w:val="-1"/>
        </w:rPr>
        <w:t>r’</w:t>
      </w:r>
      <w:r>
        <w:t xml:space="preserve">s </w:t>
      </w:r>
      <w:r>
        <w:rPr>
          <w:spacing w:val="1"/>
        </w:rPr>
        <w:t>S</w:t>
      </w:r>
      <w:r>
        <w:t>outh Atl</w:t>
      </w:r>
      <w:r>
        <w:rPr>
          <w:spacing w:val="-1"/>
        </w:rPr>
        <w:t>a</w:t>
      </w:r>
      <w:r>
        <w:t>ntic</w:t>
      </w:r>
      <w:r>
        <w:rPr>
          <w:spacing w:val="-1"/>
        </w:rPr>
        <w:t xml:space="preserve"> </w:t>
      </w:r>
      <w:r>
        <w:t>Alli</w:t>
      </w:r>
      <w:r>
        <w:rPr>
          <w:spacing w:val="-1"/>
        </w:rPr>
        <w:t>a</w:t>
      </w:r>
      <w:r>
        <w:t>n</w:t>
      </w:r>
      <w:r>
        <w:rPr>
          <w:spacing w:val="-1"/>
        </w:rPr>
        <w:t>c</w:t>
      </w:r>
      <w:r>
        <w:t>e</w:t>
      </w:r>
      <w:r>
        <w:rPr>
          <w:spacing w:val="-1"/>
        </w:rPr>
        <w:t xml:space="preserve"> (G</w:t>
      </w:r>
      <w:r>
        <w:rPr>
          <w:spacing w:val="1"/>
        </w:rPr>
        <w:t>S</w:t>
      </w:r>
      <w:r>
        <w:t>AA</w:t>
      </w:r>
      <w:r>
        <w:rPr>
          <w:spacing w:val="-1"/>
        </w:rPr>
        <w:t>)</w:t>
      </w:r>
      <w:r>
        <w:t>.</w:t>
      </w:r>
      <w:r>
        <w:rPr>
          <w:spacing w:val="2"/>
        </w:rPr>
        <w:t xml:space="preserve"> </w:t>
      </w:r>
      <w:r>
        <w:t xml:space="preserve">This will </w:t>
      </w:r>
      <w:r>
        <w:rPr>
          <w:spacing w:val="-1"/>
        </w:rPr>
        <w:t>a</w:t>
      </w:r>
      <w:r>
        <w:t>lso p</w:t>
      </w:r>
      <w:r>
        <w:rPr>
          <w:spacing w:val="-1"/>
        </w:rPr>
        <w:t>r</w:t>
      </w:r>
      <w:r>
        <w:t>ovide</w:t>
      </w:r>
      <w:r>
        <w:rPr>
          <w:spacing w:val="-1"/>
        </w:rPr>
        <w:t xml:space="preserve"> r</w:t>
      </w:r>
      <w:r>
        <w:rPr>
          <w:spacing w:val="1"/>
        </w:rPr>
        <w:t>e</w:t>
      </w:r>
      <w:r>
        <w:rPr>
          <w:spacing w:val="-2"/>
        </w:rPr>
        <w:t>g</w:t>
      </w:r>
      <w:r>
        <w:t>ion</w:t>
      </w:r>
      <w:r>
        <w:rPr>
          <w:spacing w:val="-1"/>
        </w:rPr>
        <w:t>a</w:t>
      </w:r>
      <w:r>
        <w:t>l</w:t>
      </w:r>
      <w:r>
        <w:rPr>
          <w:spacing w:val="3"/>
        </w:rPr>
        <w:t xml:space="preserve"> </w:t>
      </w:r>
      <w:r>
        <w:rPr>
          <w:spacing w:val="-2"/>
        </w:rPr>
        <w:t>g</w:t>
      </w:r>
      <w:r>
        <w:t>uid</w:t>
      </w:r>
      <w:r>
        <w:rPr>
          <w:spacing w:val="-1"/>
        </w:rPr>
        <w:t>a</w:t>
      </w:r>
      <w:r>
        <w:rPr>
          <w:spacing w:val="2"/>
        </w:rPr>
        <w:t>n</w:t>
      </w:r>
      <w:r>
        <w:rPr>
          <w:spacing w:val="1"/>
        </w:rPr>
        <w:t>c</w:t>
      </w:r>
      <w:r>
        <w:t>e</w:t>
      </w:r>
      <w:r>
        <w:rPr>
          <w:spacing w:val="-1"/>
        </w:rPr>
        <w:t xml:space="preserve"> a</w:t>
      </w:r>
      <w:r>
        <w:t xml:space="preserve">nd </w:t>
      </w:r>
      <w:r>
        <w:rPr>
          <w:spacing w:val="-1"/>
        </w:rPr>
        <w:t>re</w:t>
      </w:r>
      <w:r>
        <w:t>so</w:t>
      </w:r>
      <w:r>
        <w:rPr>
          <w:spacing w:val="2"/>
        </w:rPr>
        <w:t>u</w:t>
      </w:r>
      <w:r>
        <w:rPr>
          <w:spacing w:val="-1"/>
        </w:rPr>
        <w:t>rce</w:t>
      </w:r>
      <w:r>
        <w:t>s t</w:t>
      </w:r>
      <w:r>
        <w:rPr>
          <w:spacing w:val="2"/>
        </w:rPr>
        <w:t>h</w:t>
      </w:r>
      <w:r>
        <w:rPr>
          <w:spacing w:val="-1"/>
        </w:rPr>
        <w:t>a</w:t>
      </w:r>
      <w:r>
        <w:t xml:space="preserve">t will </w:t>
      </w:r>
      <w:r>
        <w:rPr>
          <w:spacing w:val="-1"/>
        </w:rPr>
        <w:t>a</w:t>
      </w:r>
      <w:r>
        <w:t>dd</w:t>
      </w:r>
      <w:r>
        <w:rPr>
          <w:spacing w:val="-1"/>
        </w:rPr>
        <w:t>re</w:t>
      </w:r>
      <w:r>
        <w:t xml:space="preserve">ss </w:t>
      </w:r>
      <w:r>
        <w:rPr>
          <w:spacing w:val="1"/>
        </w:rPr>
        <w:t>S</w:t>
      </w:r>
      <w:r>
        <w:t>t</w:t>
      </w:r>
      <w:r>
        <w:rPr>
          <w:spacing w:val="-1"/>
        </w:rPr>
        <w:t>a</w:t>
      </w:r>
      <w:r>
        <w:t>te</w:t>
      </w:r>
      <w:r>
        <w:rPr>
          <w:spacing w:val="-1"/>
        </w:rPr>
        <w:t xml:space="preserve"> a</w:t>
      </w:r>
      <w:r>
        <w:t xml:space="preserve">nd </w:t>
      </w:r>
      <w:r>
        <w:rPr>
          <w:spacing w:val="1"/>
        </w:rPr>
        <w:t>C</w:t>
      </w:r>
      <w:r>
        <w:t>oun</w:t>
      </w:r>
      <w:r>
        <w:rPr>
          <w:spacing w:val="-1"/>
        </w:rPr>
        <w:t>c</w:t>
      </w:r>
      <w:r>
        <w:rPr>
          <w:spacing w:val="3"/>
        </w:rPr>
        <w:t>i</w:t>
      </w:r>
      <w:r>
        <w:t>l b</w:t>
      </w:r>
      <w:r>
        <w:rPr>
          <w:spacing w:val="-1"/>
        </w:rPr>
        <w:t>r</w:t>
      </w:r>
      <w:r>
        <w:t>o</w:t>
      </w:r>
      <w:r>
        <w:rPr>
          <w:spacing w:val="-1"/>
        </w:rPr>
        <w:t>a</w:t>
      </w:r>
      <w:r>
        <w:t>d</w:t>
      </w:r>
      <w:r>
        <w:rPr>
          <w:spacing w:val="-1"/>
        </w:rPr>
        <w:t>e</w:t>
      </w:r>
      <w:r>
        <w:t>r</w:t>
      </w:r>
      <w:r>
        <w:rPr>
          <w:spacing w:val="-1"/>
        </w:rPr>
        <w:t xml:space="preserve"> </w:t>
      </w:r>
      <w:r>
        <w:rPr>
          <w:spacing w:val="2"/>
        </w:rPr>
        <w:t>h</w:t>
      </w:r>
      <w:r>
        <w:rPr>
          <w:spacing w:val="-1"/>
        </w:rPr>
        <w:t>a</w:t>
      </w:r>
      <w:r>
        <w:t>bit</w:t>
      </w:r>
      <w:r>
        <w:rPr>
          <w:spacing w:val="-1"/>
        </w:rPr>
        <w:t>a</w:t>
      </w:r>
      <w:r>
        <w:t xml:space="preserve">t </w:t>
      </w:r>
      <w:r>
        <w:rPr>
          <w:spacing w:val="-1"/>
        </w:rPr>
        <w:t>a</w:t>
      </w:r>
      <w:r>
        <w:t xml:space="preserve">nd </w:t>
      </w:r>
      <w:r>
        <w:rPr>
          <w:spacing w:val="-1"/>
        </w:rPr>
        <w:t>ec</w:t>
      </w:r>
      <w:r>
        <w:t>o</w:t>
      </w:r>
      <w:r>
        <w:rPr>
          <w:spacing w:val="5"/>
        </w:rPr>
        <w:t>s</w:t>
      </w:r>
      <w:r>
        <w:rPr>
          <w:spacing w:val="-5"/>
        </w:rPr>
        <w:t>y</w:t>
      </w:r>
      <w:r>
        <w:t>st</w:t>
      </w:r>
      <w:r>
        <w:rPr>
          <w:spacing w:val="-1"/>
        </w:rPr>
        <w:t>e</w:t>
      </w:r>
      <w:r>
        <w:t xml:space="preserve">m </w:t>
      </w:r>
      <w:r>
        <w:rPr>
          <w:spacing w:val="-1"/>
        </w:rPr>
        <w:t>c</w:t>
      </w:r>
      <w:r>
        <w:t>ons</w:t>
      </w:r>
      <w:r>
        <w:rPr>
          <w:spacing w:val="1"/>
        </w:rPr>
        <w:t>e</w:t>
      </w:r>
      <w:r>
        <w:rPr>
          <w:spacing w:val="-1"/>
        </w:rPr>
        <w:t>r</w:t>
      </w:r>
      <w:r>
        <w:t>v</w:t>
      </w:r>
      <w:r>
        <w:rPr>
          <w:spacing w:val="-1"/>
        </w:rPr>
        <w:t>a</w:t>
      </w:r>
      <w:r>
        <w:t>tion</w:t>
      </w:r>
      <w:r>
        <w:rPr>
          <w:spacing w:val="2"/>
        </w:rPr>
        <w:t xml:space="preserve"> </w:t>
      </w:r>
      <w:r>
        <w:rPr>
          <w:spacing w:val="-2"/>
        </w:rPr>
        <w:t>g</w:t>
      </w:r>
      <w:r>
        <w:t>o</w:t>
      </w:r>
      <w:r>
        <w:rPr>
          <w:spacing w:val="-1"/>
        </w:rPr>
        <w:t>a</w:t>
      </w:r>
      <w:r>
        <w:t>ls.  T</w:t>
      </w:r>
      <w:r>
        <w:rPr>
          <w:spacing w:val="2"/>
        </w:rPr>
        <w:t>h</w:t>
      </w:r>
      <w:r>
        <w:t>e</w:t>
      </w:r>
      <w:r>
        <w:rPr>
          <w:spacing w:val="-1"/>
        </w:rPr>
        <w:t xml:space="preserve"> G</w:t>
      </w:r>
      <w:r>
        <w:rPr>
          <w:spacing w:val="1"/>
        </w:rPr>
        <w:t>S</w:t>
      </w:r>
      <w:r>
        <w:t>AA w</w:t>
      </w:r>
      <w:r>
        <w:rPr>
          <w:spacing w:val="-1"/>
        </w:rPr>
        <w:t>a</w:t>
      </w:r>
      <w:r>
        <w:t>s ini</w:t>
      </w:r>
      <w:r>
        <w:rPr>
          <w:spacing w:val="3"/>
        </w:rPr>
        <w:t>t</w:t>
      </w:r>
      <w:r>
        <w:t>i</w:t>
      </w:r>
      <w:r>
        <w:rPr>
          <w:spacing w:val="-1"/>
        </w:rPr>
        <w:t>a</w:t>
      </w:r>
      <w:r>
        <w:t>t</w:t>
      </w:r>
      <w:r>
        <w:rPr>
          <w:spacing w:val="-1"/>
        </w:rPr>
        <w:t>e</w:t>
      </w:r>
      <w:r>
        <w:t>d in 2006. An E</w:t>
      </w:r>
      <w:r>
        <w:rPr>
          <w:spacing w:val="2"/>
        </w:rPr>
        <w:t>x</w:t>
      </w:r>
      <w:r>
        <w:rPr>
          <w:spacing w:val="-1"/>
        </w:rPr>
        <w:t>ec</w:t>
      </w:r>
      <w:r>
        <w:t>utive</w:t>
      </w:r>
      <w:r>
        <w:rPr>
          <w:spacing w:val="-1"/>
        </w:rPr>
        <w:t xml:space="preserve"> </w:t>
      </w:r>
      <w:r>
        <w:rPr>
          <w:spacing w:val="1"/>
        </w:rPr>
        <w:t>P</w:t>
      </w:r>
      <w:r>
        <w:t>l</w:t>
      </w:r>
      <w:r>
        <w:rPr>
          <w:spacing w:val="-1"/>
        </w:rPr>
        <w:t>a</w:t>
      </w:r>
      <w:r>
        <w:t>nning</w:t>
      </w:r>
      <w:r>
        <w:rPr>
          <w:spacing w:val="-2"/>
        </w:rPr>
        <w:t xml:space="preserve"> </w:t>
      </w:r>
      <w:r>
        <w:t>T</w:t>
      </w:r>
      <w:r>
        <w:rPr>
          <w:spacing w:val="1"/>
        </w:rPr>
        <w:t>e</w:t>
      </w:r>
      <w:r>
        <w:rPr>
          <w:spacing w:val="-1"/>
        </w:rPr>
        <w:t>a</w:t>
      </w:r>
      <w:r>
        <w:t xml:space="preserve">m </w:t>
      </w:r>
      <w:r>
        <w:rPr>
          <w:spacing w:val="-1"/>
        </w:rPr>
        <w:t>(</w:t>
      </w:r>
      <w:r>
        <w:t>E</w:t>
      </w:r>
      <w:r>
        <w:rPr>
          <w:spacing w:val="1"/>
        </w:rPr>
        <w:t>P</w:t>
      </w:r>
      <w:r>
        <w:rPr>
          <w:spacing w:val="2"/>
        </w:rPr>
        <w:t>T</w:t>
      </w:r>
      <w:r>
        <w:rPr>
          <w:spacing w:val="-1"/>
        </w:rPr>
        <w:t>)</w:t>
      </w:r>
      <w:r>
        <w:t xml:space="preserve">, </w:t>
      </w:r>
      <w:r>
        <w:rPr>
          <w:spacing w:val="2"/>
        </w:rPr>
        <w:t>b</w:t>
      </w:r>
      <w:r>
        <w:t>y the</w:t>
      </w:r>
      <w:r>
        <w:rPr>
          <w:spacing w:val="-1"/>
        </w:rPr>
        <w:t xml:space="preserve"> e</w:t>
      </w:r>
      <w:r>
        <w:t>nd of</w:t>
      </w:r>
      <w:r>
        <w:rPr>
          <w:spacing w:val="-1"/>
        </w:rPr>
        <w:t xml:space="preserve"> </w:t>
      </w:r>
      <w:r>
        <w:t>2007, h</w:t>
      </w:r>
      <w:r>
        <w:rPr>
          <w:spacing w:val="-1"/>
        </w:rPr>
        <w:t>a</w:t>
      </w:r>
      <w:r>
        <w:t>d</w:t>
      </w:r>
      <w:r>
        <w:rPr>
          <w:spacing w:val="2"/>
        </w:rPr>
        <w:t xml:space="preserve"> </w:t>
      </w:r>
      <w:r>
        <w:rPr>
          <w:spacing w:val="-1"/>
        </w:rPr>
        <w:t>cr</w:t>
      </w:r>
      <w:r>
        <w:rPr>
          <w:spacing w:val="1"/>
        </w:rPr>
        <w:t>ea</w:t>
      </w:r>
      <w:r>
        <w:t>t</w:t>
      </w:r>
      <w:r>
        <w:rPr>
          <w:spacing w:val="-1"/>
        </w:rPr>
        <w:t>e</w:t>
      </w:r>
      <w:r>
        <w:t>d a</w:t>
      </w:r>
      <w:r>
        <w:rPr>
          <w:spacing w:val="-1"/>
        </w:rPr>
        <w:t xml:space="preserve"> f</w:t>
      </w:r>
      <w:r>
        <w:rPr>
          <w:spacing w:val="2"/>
        </w:rPr>
        <w:t>r</w:t>
      </w:r>
      <w:r>
        <w:rPr>
          <w:spacing w:val="-1"/>
        </w:rPr>
        <w:t>a</w:t>
      </w:r>
      <w:r>
        <w:t>m</w:t>
      </w:r>
      <w:r>
        <w:rPr>
          <w:spacing w:val="-1"/>
        </w:rPr>
        <w:t>e</w:t>
      </w:r>
      <w:r>
        <w:t>wo</w:t>
      </w:r>
      <w:r>
        <w:rPr>
          <w:spacing w:val="-1"/>
        </w:rPr>
        <w:t>r</w:t>
      </w:r>
      <w:r>
        <w:t>k</w:t>
      </w:r>
      <w:r>
        <w:rPr>
          <w:spacing w:val="2"/>
        </w:rPr>
        <w:t xml:space="preserve"> </w:t>
      </w:r>
      <w:r>
        <w:rPr>
          <w:spacing w:val="-1"/>
        </w:rPr>
        <w:t>f</w:t>
      </w:r>
      <w:r>
        <w:t>or</w:t>
      </w:r>
      <w:r>
        <w:rPr>
          <w:spacing w:val="-1"/>
        </w:rPr>
        <w:t xml:space="preserve"> </w:t>
      </w:r>
      <w:r>
        <w:t>the</w:t>
      </w:r>
      <w:r>
        <w:rPr>
          <w:spacing w:val="1"/>
        </w:rPr>
        <w:t xml:space="preserve"> </w:t>
      </w:r>
      <w:r>
        <w:t>Gov</w:t>
      </w:r>
      <w:r>
        <w:rPr>
          <w:spacing w:val="-1"/>
        </w:rPr>
        <w:t>er</w:t>
      </w:r>
      <w:r>
        <w:t>no</w:t>
      </w:r>
      <w:r>
        <w:rPr>
          <w:spacing w:val="-1"/>
        </w:rPr>
        <w:t>r</w:t>
      </w:r>
      <w:r>
        <w:t xml:space="preserve">s </w:t>
      </w:r>
      <w:r>
        <w:rPr>
          <w:spacing w:val="1"/>
        </w:rPr>
        <w:t>S</w:t>
      </w:r>
      <w:r>
        <w:t>outh Atl</w:t>
      </w:r>
      <w:r>
        <w:rPr>
          <w:spacing w:val="-1"/>
        </w:rPr>
        <w:t>a</w:t>
      </w:r>
      <w:r>
        <w:t>ntic</w:t>
      </w:r>
      <w:r>
        <w:rPr>
          <w:spacing w:val="-1"/>
        </w:rPr>
        <w:t xml:space="preserve"> </w:t>
      </w:r>
      <w:r>
        <w:t>Alli</w:t>
      </w:r>
      <w:r>
        <w:rPr>
          <w:spacing w:val="-1"/>
        </w:rPr>
        <w:t>a</w:t>
      </w:r>
      <w:r>
        <w:t>n</w:t>
      </w:r>
      <w:r>
        <w:rPr>
          <w:spacing w:val="-1"/>
        </w:rPr>
        <w:t>ce</w:t>
      </w:r>
      <w:r>
        <w:t>.  T</w:t>
      </w:r>
      <w:r>
        <w:rPr>
          <w:spacing w:val="2"/>
        </w:rPr>
        <w:t>h</w:t>
      </w:r>
      <w:r>
        <w:t>e</w:t>
      </w:r>
      <w:r>
        <w:rPr>
          <w:spacing w:val="-1"/>
        </w:rPr>
        <w:t xml:space="preserve"> f</w:t>
      </w:r>
      <w:r>
        <w:t>o</w:t>
      </w:r>
      <w:r>
        <w:rPr>
          <w:spacing w:val="-1"/>
        </w:rPr>
        <w:t>r</w:t>
      </w:r>
      <w:r>
        <w:t>m</w:t>
      </w:r>
      <w:r>
        <w:rPr>
          <w:spacing w:val="-1"/>
        </w:rPr>
        <w:t>a</w:t>
      </w:r>
      <w:r>
        <w:t xml:space="preserve">l </w:t>
      </w:r>
      <w:r>
        <w:rPr>
          <w:spacing w:val="-1"/>
        </w:rPr>
        <w:t>a</w:t>
      </w:r>
      <w:r>
        <w:t>g</w:t>
      </w:r>
      <w:r>
        <w:rPr>
          <w:spacing w:val="-1"/>
        </w:rPr>
        <w:t>ree</w:t>
      </w:r>
      <w:r>
        <w:rPr>
          <w:spacing w:val="3"/>
        </w:rPr>
        <w:t>m</w:t>
      </w:r>
      <w:r>
        <w:rPr>
          <w:spacing w:val="-1"/>
        </w:rPr>
        <w:t>e</w:t>
      </w:r>
      <w:r>
        <w:t>nt b</w:t>
      </w:r>
      <w:r>
        <w:rPr>
          <w:spacing w:val="-1"/>
        </w:rPr>
        <w:t>e</w:t>
      </w:r>
      <w:r>
        <w:t>tw</w:t>
      </w:r>
      <w:r>
        <w:rPr>
          <w:spacing w:val="1"/>
        </w:rPr>
        <w:t>e</w:t>
      </w:r>
      <w:r>
        <w:rPr>
          <w:spacing w:val="-1"/>
        </w:rPr>
        <w:t>e</w:t>
      </w:r>
      <w:r>
        <w:t>n the</w:t>
      </w:r>
      <w:r>
        <w:rPr>
          <w:spacing w:val="-1"/>
        </w:rPr>
        <w:t xml:space="preserve"> </w:t>
      </w:r>
      <w:r>
        <w:rPr>
          <w:spacing w:val="2"/>
        </w:rPr>
        <w:t>f</w:t>
      </w:r>
      <w:r>
        <w:t>our</w:t>
      </w:r>
      <w:r>
        <w:rPr>
          <w:spacing w:val="-1"/>
        </w:rPr>
        <w:t xml:space="preserve"> </w:t>
      </w:r>
      <w:r>
        <w:t>st</w:t>
      </w:r>
      <w:r>
        <w:rPr>
          <w:spacing w:val="-1"/>
        </w:rPr>
        <w:t>a</w:t>
      </w:r>
      <w:r>
        <w:t>t</w:t>
      </w:r>
      <w:r>
        <w:rPr>
          <w:spacing w:val="-1"/>
        </w:rPr>
        <w:t>e</w:t>
      </w:r>
      <w:r>
        <w:t xml:space="preserve">s </w:t>
      </w:r>
      <w:r>
        <w:rPr>
          <w:spacing w:val="-1"/>
        </w:rPr>
        <w:t>(</w:t>
      </w:r>
      <w:r>
        <w:t>N</w:t>
      </w:r>
      <w:r>
        <w:rPr>
          <w:spacing w:val="1"/>
        </w:rPr>
        <w:t>C</w:t>
      </w:r>
      <w:r>
        <w:t xml:space="preserve">, </w:t>
      </w:r>
      <w:r>
        <w:rPr>
          <w:spacing w:val="1"/>
        </w:rPr>
        <w:t>SC</w:t>
      </w:r>
      <w:r>
        <w:t>, GA,</w:t>
      </w:r>
      <w:r>
        <w:rPr>
          <w:spacing w:val="2"/>
        </w:rPr>
        <w:t xml:space="preserve"> </w:t>
      </w:r>
      <w:r>
        <w:rPr>
          <w:spacing w:val="-1"/>
        </w:rPr>
        <w:t>a</w:t>
      </w:r>
      <w:r>
        <w:t xml:space="preserve">nd </w:t>
      </w:r>
      <w:r>
        <w:rPr>
          <w:spacing w:val="1"/>
        </w:rPr>
        <w:t>F</w:t>
      </w:r>
      <w:r>
        <w:rPr>
          <w:spacing w:val="-3"/>
        </w:rPr>
        <w:t>L</w:t>
      </w:r>
      <w:r>
        <w:t>)</w:t>
      </w:r>
      <w:r>
        <w:rPr>
          <w:spacing w:val="2"/>
        </w:rPr>
        <w:t xml:space="preserve"> </w:t>
      </w:r>
      <w:r>
        <w:t>w</w:t>
      </w:r>
      <w:r>
        <w:rPr>
          <w:spacing w:val="-1"/>
        </w:rPr>
        <w:t>a</w:t>
      </w:r>
      <w:r>
        <w:t xml:space="preserve">s </w:t>
      </w:r>
      <w:r>
        <w:rPr>
          <w:spacing w:val="-1"/>
        </w:rPr>
        <w:t>e</w:t>
      </w:r>
      <w:r>
        <w:rPr>
          <w:spacing w:val="2"/>
        </w:rPr>
        <w:t>x</w:t>
      </w:r>
      <w:r>
        <w:rPr>
          <w:spacing w:val="-1"/>
        </w:rPr>
        <w:t>ec</w:t>
      </w:r>
      <w:r>
        <w:t>ut</w:t>
      </w:r>
      <w:r>
        <w:rPr>
          <w:spacing w:val="-1"/>
        </w:rPr>
        <w:t>e</w:t>
      </w:r>
      <w:r>
        <w:t>d in</w:t>
      </w:r>
      <w:r>
        <w:rPr>
          <w:spacing w:val="2"/>
        </w:rPr>
        <w:t xml:space="preserve"> </w:t>
      </w:r>
      <w:r>
        <w:t>M</w:t>
      </w:r>
      <w:r>
        <w:rPr>
          <w:spacing w:val="1"/>
        </w:rPr>
        <w:t>a</w:t>
      </w:r>
      <w:r>
        <w:t>y</w:t>
      </w:r>
      <w:r>
        <w:rPr>
          <w:spacing w:val="-5"/>
        </w:rPr>
        <w:t xml:space="preserve"> </w:t>
      </w:r>
      <w:r>
        <w:t>2009.  T</w:t>
      </w:r>
      <w:r>
        <w:rPr>
          <w:spacing w:val="2"/>
        </w:rPr>
        <w:t>h</w:t>
      </w:r>
      <w:r>
        <w:t>e</w:t>
      </w:r>
      <w:r>
        <w:rPr>
          <w:spacing w:val="-1"/>
        </w:rPr>
        <w:t xml:space="preserve"> </w:t>
      </w:r>
      <w:r>
        <w:rPr>
          <w:spacing w:val="2"/>
        </w:rPr>
        <w:t>A</w:t>
      </w:r>
      <w:r>
        <w:rPr>
          <w:spacing w:val="-2"/>
        </w:rPr>
        <w:t>g</w:t>
      </w:r>
      <w:r>
        <w:rPr>
          <w:spacing w:val="2"/>
        </w:rPr>
        <w:t>r</w:t>
      </w:r>
      <w:r>
        <w:rPr>
          <w:spacing w:val="-1"/>
        </w:rPr>
        <w:t>ee</w:t>
      </w:r>
      <w:r>
        <w:rPr>
          <w:spacing w:val="3"/>
        </w:rPr>
        <w:t>m</w:t>
      </w:r>
      <w:r>
        <w:rPr>
          <w:spacing w:val="-1"/>
        </w:rPr>
        <w:t>e</w:t>
      </w:r>
      <w:r>
        <w:t>nt sp</w:t>
      </w:r>
      <w:r>
        <w:rPr>
          <w:spacing w:val="-1"/>
        </w:rPr>
        <w:t>ec</w:t>
      </w:r>
      <w:r>
        <w:t>i</w:t>
      </w:r>
      <w:r>
        <w:rPr>
          <w:spacing w:val="-1"/>
        </w:rPr>
        <w:t>f</w:t>
      </w:r>
      <w:r>
        <w:t>i</w:t>
      </w:r>
      <w:r>
        <w:rPr>
          <w:spacing w:val="-1"/>
        </w:rPr>
        <w:t>e</w:t>
      </w:r>
      <w:r>
        <w:t>s th</w:t>
      </w:r>
      <w:r>
        <w:rPr>
          <w:spacing w:val="-1"/>
        </w:rPr>
        <w:t>a</w:t>
      </w:r>
      <w:r>
        <w:t>t the</w:t>
      </w:r>
      <w:r>
        <w:rPr>
          <w:spacing w:val="-1"/>
        </w:rPr>
        <w:t xml:space="preserve"> </w:t>
      </w:r>
      <w:r>
        <w:t>Alli</w:t>
      </w:r>
      <w:r>
        <w:rPr>
          <w:spacing w:val="-1"/>
        </w:rPr>
        <w:t>a</w:t>
      </w:r>
      <w:r>
        <w:t>n</w:t>
      </w:r>
      <w:r>
        <w:rPr>
          <w:spacing w:val="1"/>
        </w:rPr>
        <w:t>c</w:t>
      </w:r>
      <w:r>
        <w:t>e</w:t>
      </w:r>
      <w:r>
        <w:rPr>
          <w:spacing w:val="-1"/>
        </w:rPr>
        <w:t xml:space="preserve"> </w:t>
      </w:r>
      <w:r>
        <w:t>will p</w:t>
      </w:r>
      <w:r>
        <w:rPr>
          <w:spacing w:val="-1"/>
        </w:rPr>
        <w:t>re</w:t>
      </w:r>
      <w:r>
        <w:t>p</w:t>
      </w:r>
      <w:r>
        <w:rPr>
          <w:spacing w:val="-1"/>
        </w:rPr>
        <w:t>a</w:t>
      </w:r>
      <w:r>
        <w:rPr>
          <w:spacing w:val="2"/>
        </w:rPr>
        <w:t>r</w:t>
      </w:r>
      <w:r>
        <w:t>e</w:t>
      </w:r>
      <w:r>
        <w:rPr>
          <w:spacing w:val="-1"/>
        </w:rPr>
        <w:t xml:space="preserve"> </w:t>
      </w:r>
      <w:r>
        <w:t>a</w:t>
      </w:r>
      <w:r>
        <w:rPr>
          <w:spacing w:val="1"/>
        </w:rPr>
        <w:t xml:space="preserve"> </w:t>
      </w:r>
      <w:r>
        <w:rPr>
          <w:spacing w:val="-1"/>
        </w:rPr>
        <w:t>“</w:t>
      </w:r>
      <w:r>
        <w:t>Gov</w:t>
      </w:r>
      <w:r>
        <w:rPr>
          <w:spacing w:val="-1"/>
        </w:rPr>
        <w:t>er</w:t>
      </w:r>
      <w:r>
        <w:rPr>
          <w:spacing w:val="2"/>
        </w:rPr>
        <w:t>n</w:t>
      </w:r>
      <w:r>
        <w:t>o</w:t>
      </w:r>
      <w:r>
        <w:rPr>
          <w:spacing w:val="-1"/>
        </w:rPr>
        <w:t>r</w:t>
      </w:r>
      <w:r>
        <w:t xml:space="preserve">s </w:t>
      </w:r>
      <w:r>
        <w:rPr>
          <w:spacing w:val="1"/>
        </w:rPr>
        <w:t>S</w:t>
      </w:r>
      <w:r>
        <w:t>outh Atl</w:t>
      </w:r>
      <w:r>
        <w:rPr>
          <w:spacing w:val="-1"/>
        </w:rPr>
        <w:t>a</w:t>
      </w:r>
      <w:r>
        <w:t>ntic</w:t>
      </w:r>
      <w:r>
        <w:rPr>
          <w:spacing w:val="-1"/>
        </w:rPr>
        <w:t xml:space="preserve"> </w:t>
      </w:r>
      <w:r>
        <w:t>Alli</w:t>
      </w:r>
      <w:r>
        <w:rPr>
          <w:spacing w:val="-1"/>
        </w:rPr>
        <w:t>a</w:t>
      </w:r>
      <w:r>
        <w:t>n</w:t>
      </w:r>
      <w:r>
        <w:rPr>
          <w:spacing w:val="-1"/>
        </w:rPr>
        <w:t>c</w:t>
      </w:r>
      <w:r>
        <w:t>e</w:t>
      </w:r>
      <w:r>
        <w:rPr>
          <w:spacing w:val="-1"/>
        </w:rPr>
        <w:t xml:space="preserve"> </w:t>
      </w:r>
      <w:r>
        <w:t>A</w:t>
      </w:r>
      <w:r>
        <w:rPr>
          <w:spacing w:val="-1"/>
        </w:rPr>
        <w:t>c</w:t>
      </w:r>
      <w:r>
        <w:t xml:space="preserve">tion </w:t>
      </w:r>
      <w:r>
        <w:rPr>
          <w:spacing w:val="1"/>
        </w:rPr>
        <w:t>P</w:t>
      </w:r>
      <w:r>
        <w:t>l</w:t>
      </w:r>
      <w:r>
        <w:rPr>
          <w:spacing w:val="-1"/>
        </w:rPr>
        <w:t>a</w:t>
      </w:r>
      <w:r>
        <w:t>n”</w:t>
      </w:r>
      <w:r>
        <w:rPr>
          <w:spacing w:val="-1"/>
        </w:rPr>
        <w:t xml:space="preserve"> </w:t>
      </w:r>
      <w:r>
        <w:t>wh</w:t>
      </w:r>
      <w:r>
        <w:rPr>
          <w:spacing w:val="3"/>
        </w:rPr>
        <w:t>i</w:t>
      </w:r>
      <w:r>
        <w:rPr>
          <w:spacing w:val="-1"/>
        </w:rPr>
        <w:t>c</w:t>
      </w:r>
      <w:r>
        <w:t xml:space="preserve">h </w:t>
      </w:r>
      <w:r>
        <w:rPr>
          <w:spacing w:val="2"/>
        </w:rPr>
        <w:t>w</w:t>
      </w:r>
      <w:r>
        <w:t xml:space="preserve">ill be </w:t>
      </w:r>
      <w:r>
        <w:rPr>
          <w:spacing w:val="-1"/>
        </w:rPr>
        <w:t>re</w:t>
      </w:r>
      <w:r>
        <w:t>vi</w:t>
      </w:r>
      <w:r>
        <w:rPr>
          <w:spacing w:val="-1"/>
        </w:rPr>
        <w:t>e</w:t>
      </w:r>
      <w:r>
        <w:t>w</w:t>
      </w:r>
      <w:r>
        <w:rPr>
          <w:spacing w:val="-1"/>
        </w:rPr>
        <w:t>e</w:t>
      </w:r>
      <w:r>
        <w:t>d</w:t>
      </w:r>
      <w:r>
        <w:rPr>
          <w:spacing w:val="2"/>
        </w:rPr>
        <w:t xml:space="preserve"> </w:t>
      </w:r>
      <w:r>
        <w:rPr>
          <w:spacing w:val="-1"/>
        </w:rPr>
        <w:t>a</w:t>
      </w:r>
      <w:r>
        <w:t>nnu</w:t>
      </w:r>
      <w:r>
        <w:rPr>
          <w:spacing w:val="-1"/>
        </w:rPr>
        <w:t>a</w:t>
      </w:r>
      <w:r>
        <w:t>l</w:t>
      </w:r>
      <w:r>
        <w:rPr>
          <w:spacing w:val="5"/>
        </w:rPr>
        <w:t>l</w:t>
      </w:r>
      <w:r>
        <w:t>y</w:t>
      </w:r>
      <w:r>
        <w:rPr>
          <w:spacing w:val="-5"/>
        </w:rPr>
        <w:t xml:space="preserve"> </w:t>
      </w:r>
      <w:r>
        <w:rPr>
          <w:spacing w:val="-1"/>
        </w:rPr>
        <w:t>f</w:t>
      </w:r>
      <w:r>
        <w:t>or</w:t>
      </w:r>
      <w:r>
        <w:rPr>
          <w:spacing w:val="-1"/>
        </w:rPr>
        <w:t xml:space="preserve"> </w:t>
      </w:r>
      <w:r>
        <w:rPr>
          <w:spacing w:val="2"/>
        </w:rPr>
        <w:t>pr</w:t>
      </w:r>
      <w:r>
        <w:t>o</w:t>
      </w:r>
      <w:r>
        <w:rPr>
          <w:spacing w:val="-2"/>
        </w:rPr>
        <w:t>g</w:t>
      </w:r>
      <w:r>
        <w:rPr>
          <w:spacing w:val="2"/>
        </w:rPr>
        <w:t>r</w:t>
      </w:r>
      <w:r>
        <w:rPr>
          <w:spacing w:val="-1"/>
        </w:rPr>
        <w:t>e</w:t>
      </w:r>
      <w:r>
        <w:t xml:space="preserve">ss </w:t>
      </w:r>
      <w:r>
        <w:rPr>
          <w:spacing w:val="-1"/>
        </w:rPr>
        <w:t>a</w:t>
      </w:r>
      <w:r>
        <w:t>nd upd</w:t>
      </w:r>
      <w:r>
        <w:rPr>
          <w:spacing w:val="-1"/>
        </w:rPr>
        <w:t>a</w:t>
      </w:r>
      <w:r>
        <w:rPr>
          <w:spacing w:val="3"/>
        </w:rPr>
        <w:t>t</w:t>
      </w:r>
      <w:r>
        <w:rPr>
          <w:spacing w:val="-1"/>
        </w:rPr>
        <w:t>e</w:t>
      </w:r>
      <w:r>
        <w:t xml:space="preserve">d </w:t>
      </w:r>
      <w:r>
        <w:rPr>
          <w:spacing w:val="-1"/>
        </w:rPr>
        <w:t>e</w:t>
      </w:r>
      <w:r>
        <w:t>v</w:t>
      </w:r>
      <w:r>
        <w:rPr>
          <w:spacing w:val="1"/>
        </w:rPr>
        <w:t>e</w:t>
      </w:r>
      <w:r>
        <w:rPr>
          <w:spacing w:val="4"/>
        </w:rPr>
        <w:t>r</w:t>
      </w:r>
      <w:r>
        <w:t>y</w:t>
      </w:r>
      <w:r>
        <w:rPr>
          <w:spacing w:val="-2"/>
        </w:rPr>
        <w:t xml:space="preserve"> </w:t>
      </w:r>
      <w:r>
        <w:rPr>
          <w:spacing w:val="-1"/>
        </w:rPr>
        <w:t>f</w:t>
      </w:r>
      <w:r>
        <w:t>ive</w:t>
      </w:r>
      <w:r>
        <w:rPr>
          <w:spacing w:val="1"/>
        </w:rPr>
        <w:t xml:space="preserve"> </w:t>
      </w:r>
      <w:r>
        <w:rPr>
          <w:spacing w:val="-5"/>
        </w:rPr>
        <w:t>y</w:t>
      </w:r>
      <w:r>
        <w:rPr>
          <w:spacing w:val="1"/>
        </w:rPr>
        <w:t>ea</w:t>
      </w:r>
      <w:r>
        <w:rPr>
          <w:spacing w:val="-1"/>
        </w:rPr>
        <w:t>r</w:t>
      </w:r>
      <w:r>
        <w:t xml:space="preserve">s </w:t>
      </w:r>
      <w:r>
        <w:rPr>
          <w:spacing w:val="-1"/>
        </w:rPr>
        <w:t>f</w:t>
      </w:r>
      <w:r>
        <w:t>or</w:t>
      </w:r>
      <w:r>
        <w:rPr>
          <w:spacing w:val="-1"/>
        </w:rPr>
        <w:t xml:space="preserve"> </w:t>
      </w:r>
      <w:r>
        <w:rPr>
          <w:spacing w:val="2"/>
        </w:rPr>
        <w:t>r</w:t>
      </w:r>
      <w:r>
        <w:rPr>
          <w:spacing w:val="-1"/>
        </w:rPr>
        <w:t>e</w:t>
      </w:r>
      <w:r>
        <w:t>l</w:t>
      </w:r>
      <w:r>
        <w:rPr>
          <w:spacing w:val="-1"/>
        </w:rPr>
        <w:t>e</w:t>
      </w:r>
      <w:r>
        <w:t>v</w:t>
      </w:r>
      <w:r>
        <w:rPr>
          <w:spacing w:val="-1"/>
        </w:rPr>
        <w:t>a</w:t>
      </w:r>
      <w:r>
        <w:rPr>
          <w:spacing w:val="2"/>
        </w:rPr>
        <w:t>n</w:t>
      </w:r>
      <w:r>
        <w:rPr>
          <w:spacing w:val="-1"/>
        </w:rPr>
        <w:t>c</w:t>
      </w:r>
      <w:r>
        <w:t>e</w:t>
      </w:r>
      <w:r>
        <w:rPr>
          <w:spacing w:val="1"/>
        </w:rPr>
        <w:t xml:space="preserve"> </w:t>
      </w:r>
      <w:r>
        <w:t>of</w:t>
      </w:r>
      <w:r>
        <w:rPr>
          <w:spacing w:val="-1"/>
        </w:rPr>
        <w:t xml:space="preserve"> c</w:t>
      </w:r>
      <w:r>
        <w:t>ont</w:t>
      </w:r>
      <w:r>
        <w:rPr>
          <w:spacing w:val="-1"/>
        </w:rPr>
        <w:t>e</w:t>
      </w:r>
      <w:r>
        <w:t>nt.  The Alli</w:t>
      </w:r>
      <w:r>
        <w:rPr>
          <w:spacing w:val="-1"/>
        </w:rPr>
        <w:t>a</w:t>
      </w:r>
      <w:r>
        <w:t>n</w:t>
      </w:r>
      <w:r>
        <w:rPr>
          <w:spacing w:val="-1"/>
        </w:rPr>
        <w:t>c</w:t>
      </w:r>
      <w:r>
        <w:t>e’s</w:t>
      </w:r>
      <w:r>
        <w:rPr>
          <w:spacing w:val="-1"/>
        </w:rPr>
        <w:t xml:space="preserve"> </w:t>
      </w:r>
      <w:r>
        <w:t>mi</w:t>
      </w:r>
      <w:r>
        <w:rPr>
          <w:spacing w:val="3"/>
        </w:rPr>
        <w:t>s</w:t>
      </w:r>
      <w:r>
        <w:t xml:space="preserve">sion </w:t>
      </w:r>
      <w:r>
        <w:rPr>
          <w:spacing w:val="-1"/>
        </w:rPr>
        <w:t>a</w:t>
      </w:r>
      <w:r>
        <w:t>nd pu</w:t>
      </w:r>
      <w:r>
        <w:rPr>
          <w:spacing w:val="-1"/>
        </w:rPr>
        <w:t>r</w:t>
      </w:r>
      <w:r>
        <w:t>pose</w:t>
      </w:r>
      <w:r>
        <w:rPr>
          <w:spacing w:val="-1"/>
        </w:rPr>
        <w:t xml:space="preserve"> </w:t>
      </w:r>
      <w:r>
        <w:t>is to p</w:t>
      </w:r>
      <w:r>
        <w:rPr>
          <w:spacing w:val="-1"/>
        </w:rPr>
        <w:t>r</w:t>
      </w:r>
      <w:r>
        <w:t>omote</w:t>
      </w:r>
      <w:r>
        <w:rPr>
          <w:spacing w:val="-1"/>
        </w:rPr>
        <w:t xml:space="preserve"> c</w:t>
      </w:r>
      <w:r>
        <w:t>oll</w:t>
      </w:r>
      <w:r>
        <w:rPr>
          <w:spacing w:val="-1"/>
        </w:rPr>
        <w:t>a</w:t>
      </w:r>
      <w:r>
        <w:t>bo</w:t>
      </w:r>
      <w:r>
        <w:rPr>
          <w:spacing w:val="-1"/>
        </w:rPr>
        <w:t>ra</w:t>
      </w:r>
      <w:r>
        <w:t xml:space="preserve">tion </w:t>
      </w:r>
      <w:r>
        <w:rPr>
          <w:spacing w:val="-1"/>
        </w:rPr>
        <w:t>a</w:t>
      </w:r>
      <w:r>
        <w:t>mo</w:t>
      </w:r>
      <w:r>
        <w:rPr>
          <w:spacing w:val="2"/>
        </w:rPr>
        <w:t>n</w:t>
      </w:r>
      <w:r>
        <w:t>g</w:t>
      </w:r>
      <w:r>
        <w:rPr>
          <w:spacing w:val="-2"/>
        </w:rPr>
        <w:t xml:space="preserve"> </w:t>
      </w:r>
      <w:r>
        <w:t>t</w:t>
      </w:r>
      <w:r>
        <w:rPr>
          <w:spacing w:val="2"/>
        </w:rPr>
        <w:t>h</w:t>
      </w:r>
      <w:r>
        <w:t>e</w:t>
      </w:r>
      <w:r>
        <w:rPr>
          <w:spacing w:val="-1"/>
        </w:rPr>
        <w:t xml:space="preserve"> f</w:t>
      </w:r>
      <w:r>
        <w:t>our</w:t>
      </w:r>
      <w:r>
        <w:rPr>
          <w:spacing w:val="-1"/>
        </w:rPr>
        <w:t xml:space="preserve"> </w:t>
      </w:r>
      <w:r>
        <w:t>st</w:t>
      </w:r>
      <w:r>
        <w:rPr>
          <w:spacing w:val="-1"/>
        </w:rPr>
        <w:t>a</w:t>
      </w:r>
      <w:r>
        <w:t>t</w:t>
      </w:r>
      <w:r>
        <w:rPr>
          <w:spacing w:val="-1"/>
        </w:rPr>
        <w:t>e</w:t>
      </w:r>
      <w:r>
        <w:t>s,</w:t>
      </w:r>
      <w:r>
        <w:rPr>
          <w:spacing w:val="2"/>
        </w:rPr>
        <w:t xml:space="preserve"> </w:t>
      </w:r>
      <w:r>
        <w:rPr>
          <w:spacing w:val="-1"/>
        </w:rPr>
        <w:t>a</w:t>
      </w:r>
      <w:r>
        <w:t>nd with the</w:t>
      </w:r>
      <w:r>
        <w:rPr>
          <w:spacing w:val="-1"/>
        </w:rPr>
        <w:t xml:space="preserve"> </w:t>
      </w:r>
      <w:r>
        <w:t>suppo</w:t>
      </w:r>
      <w:r>
        <w:rPr>
          <w:spacing w:val="-1"/>
        </w:rPr>
        <w:t>r</w:t>
      </w:r>
      <w:r>
        <w:t xml:space="preserve">t </w:t>
      </w:r>
      <w:r>
        <w:rPr>
          <w:spacing w:val="-1"/>
        </w:rPr>
        <w:t>a</w:t>
      </w:r>
      <w:r>
        <w:t>nd int</w:t>
      </w:r>
      <w:r>
        <w:rPr>
          <w:spacing w:val="-1"/>
        </w:rPr>
        <w:t>er</w:t>
      </w:r>
      <w:r>
        <w:rPr>
          <w:spacing w:val="1"/>
        </w:rPr>
        <w:t>a</w:t>
      </w:r>
      <w:r>
        <w:rPr>
          <w:spacing w:val="-1"/>
        </w:rPr>
        <w:t>c</w:t>
      </w:r>
      <w:r>
        <w:t xml:space="preserve">tion of </w:t>
      </w:r>
      <w:r>
        <w:rPr>
          <w:spacing w:val="-1"/>
        </w:rPr>
        <w:t>fe</w:t>
      </w:r>
      <w:r>
        <w:t>d</w:t>
      </w:r>
      <w:r>
        <w:rPr>
          <w:spacing w:val="-1"/>
        </w:rPr>
        <w:t>e</w:t>
      </w:r>
      <w:r>
        <w:rPr>
          <w:spacing w:val="2"/>
        </w:rPr>
        <w:t>r</w:t>
      </w:r>
      <w:r>
        <w:rPr>
          <w:spacing w:val="-1"/>
        </w:rPr>
        <w:t>a</w:t>
      </w:r>
      <w:r>
        <w:t xml:space="preserve">l </w:t>
      </w:r>
      <w:r>
        <w:rPr>
          <w:spacing w:val="1"/>
        </w:rPr>
        <w:t>a</w:t>
      </w:r>
      <w:r>
        <w:rPr>
          <w:spacing w:val="-2"/>
        </w:rPr>
        <w:t>g</w:t>
      </w:r>
      <w:r>
        <w:rPr>
          <w:spacing w:val="-1"/>
        </w:rPr>
        <w:t>e</w:t>
      </w:r>
      <w:r>
        <w:rPr>
          <w:spacing w:val="2"/>
        </w:rPr>
        <w:t>n</w:t>
      </w:r>
      <w:r>
        <w:rPr>
          <w:spacing w:val="-1"/>
        </w:rPr>
        <w:t>c</w:t>
      </w:r>
      <w:r>
        <w:t>i</w:t>
      </w:r>
      <w:r>
        <w:rPr>
          <w:spacing w:val="-1"/>
        </w:rPr>
        <w:t>e</w:t>
      </w:r>
      <w:r>
        <w:t xml:space="preserve">s, </w:t>
      </w:r>
      <w:r>
        <w:rPr>
          <w:spacing w:val="1"/>
        </w:rPr>
        <w:t>a</w:t>
      </w:r>
      <w:r>
        <w:rPr>
          <w:spacing w:val="-1"/>
        </w:rPr>
        <w:t>ca</w:t>
      </w:r>
      <w:r>
        <w:t>d</w:t>
      </w:r>
      <w:r>
        <w:rPr>
          <w:spacing w:val="-1"/>
        </w:rPr>
        <w:t>e</w:t>
      </w:r>
      <w:r>
        <w:rPr>
          <w:spacing w:val="3"/>
        </w:rPr>
        <w:t>m</w:t>
      </w:r>
      <w:r>
        <w:rPr>
          <w:spacing w:val="-1"/>
        </w:rPr>
        <w:t>e</w:t>
      </w:r>
      <w:r>
        <w:t xml:space="preserve">, </w:t>
      </w:r>
      <w:r>
        <w:rPr>
          <w:spacing w:val="-1"/>
        </w:rPr>
        <w:t>r</w:t>
      </w:r>
      <w:r>
        <w:rPr>
          <w:spacing w:val="1"/>
        </w:rPr>
        <w:t>e</w:t>
      </w:r>
      <w:r>
        <w:rPr>
          <w:spacing w:val="-2"/>
        </w:rPr>
        <w:t>g</w:t>
      </w:r>
      <w:r>
        <w:t>ion</w:t>
      </w:r>
      <w:r>
        <w:rPr>
          <w:spacing w:val="-1"/>
        </w:rPr>
        <w:t>a</w:t>
      </w:r>
      <w:r>
        <w:t>l o</w:t>
      </w:r>
      <w:r>
        <w:rPr>
          <w:spacing w:val="2"/>
        </w:rPr>
        <w:t>r</w:t>
      </w:r>
      <w:r>
        <w:t>g</w:t>
      </w:r>
      <w:r>
        <w:rPr>
          <w:spacing w:val="-1"/>
        </w:rPr>
        <w:t>a</w:t>
      </w:r>
      <w:r>
        <w:t>ni</w:t>
      </w:r>
      <w:r>
        <w:rPr>
          <w:spacing w:val="1"/>
        </w:rPr>
        <w:t>z</w:t>
      </w:r>
      <w:r>
        <w:rPr>
          <w:spacing w:val="-1"/>
        </w:rPr>
        <w:t>a</w:t>
      </w:r>
      <w:r>
        <w:t>tions, non</w:t>
      </w:r>
      <w:r>
        <w:rPr>
          <w:spacing w:val="-1"/>
        </w:rPr>
        <w:t>-</w:t>
      </w:r>
      <w:r>
        <w:rPr>
          <w:spacing w:val="-2"/>
        </w:rPr>
        <w:t>g</w:t>
      </w:r>
      <w:r>
        <w:t>o</w:t>
      </w:r>
      <w:r>
        <w:rPr>
          <w:spacing w:val="2"/>
        </w:rPr>
        <w:t>v</w:t>
      </w:r>
      <w:r>
        <w:rPr>
          <w:spacing w:val="-1"/>
        </w:rPr>
        <w:t>er</w:t>
      </w:r>
      <w:r>
        <w:t>nm</w:t>
      </w:r>
      <w:r>
        <w:rPr>
          <w:spacing w:val="-1"/>
        </w:rPr>
        <w:t>e</w:t>
      </w:r>
      <w:r>
        <w:t>nt</w:t>
      </w:r>
      <w:r>
        <w:rPr>
          <w:spacing w:val="-1"/>
        </w:rPr>
        <w:t>a</w:t>
      </w:r>
      <w:r>
        <w:t>l o</w:t>
      </w:r>
      <w:r>
        <w:rPr>
          <w:spacing w:val="2"/>
        </w:rPr>
        <w:t>r</w:t>
      </w:r>
      <w:r>
        <w:t>g</w:t>
      </w:r>
      <w:r>
        <w:rPr>
          <w:spacing w:val="-1"/>
        </w:rPr>
        <w:t>a</w:t>
      </w:r>
      <w:r>
        <w:rPr>
          <w:spacing w:val="2"/>
        </w:rPr>
        <w:t>n</w:t>
      </w:r>
      <w:r>
        <w:t>i</w:t>
      </w:r>
      <w:r>
        <w:rPr>
          <w:spacing w:val="1"/>
        </w:rPr>
        <w:t>z</w:t>
      </w:r>
      <w:r>
        <w:rPr>
          <w:spacing w:val="-1"/>
        </w:rPr>
        <w:t>a</w:t>
      </w:r>
      <w:r>
        <w:t xml:space="preserve">tions, </w:t>
      </w:r>
      <w:r>
        <w:rPr>
          <w:spacing w:val="-1"/>
        </w:rPr>
        <w:t>a</w:t>
      </w:r>
      <w:r>
        <w:t>nd the</w:t>
      </w:r>
      <w:r>
        <w:rPr>
          <w:spacing w:val="-1"/>
        </w:rPr>
        <w:t xml:space="preserve"> </w:t>
      </w:r>
      <w:r>
        <w:t>p</w:t>
      </w:r>
      <w:r>
        <w:rPr>
          <w:spacing w:val="-1"/>
        </w:rPr>
        <w:t>r</w:t>
      </w:r>
      <w:r>
        <w:t>iv</w:t>
      </w:r>
      <w:r>
        <w:rPr>
          <w:spacing w:val="-1"/>
        </w:rPr>
        <w:t>a</w:t>
      </w:r>
      <w:r>
        <w:t>te s</w:t>
      </w:r>
      <w:r>
        <w:rPr>
          <w:spacing w:val="-1"/>
        </w:rPr>
        <w:t>ec</w:t>
      </w:r>
      <w:r>
        <w:t>to</w:t>
      </w:r>
      <w:r>
        <w:rPr>
          <w:spacing w:val="-1"/>
        </w:rPr>
        <w:t>r</w:t>
      </w:r>
      <w:r>
        <w:t>, to sust</w:t>
      </w:r>
      <w:r>
        <w:rPr>
          <w:spacing w:val="-1"/>
        </w:rPr>
        <w:t>a</w:t>
      </w:r>
      <w:r>
        <w:t xml:space="preserve">in </w:t>
      </w:r>
      <w:r>
        <w:rPr>
          <w:spacing w:val="-1"/>
        </w:rPr>
        <w:t>a</w:t>
      </w:r>
      <w:r>
        <w:t xml:space="preserve">nd </w:t>
      </w:r>
      <w:r>
        <w:rPr>
          <w:spacing w:val="-1"/>
        </w:rPr>
        <w:t>e</w:t>
      </w:r>
      <w:r>
        <w:t>n</w:t>
      </w:r>
      <w:r>
        <w:rPr>
          <w:spacing w:val="2"/>
        </w:rPr>
        <w:t>h</w:t>
      </w:r>
      <w:r>
        <w:rPr>
          <w:spacing w:val="-1"/>
        </w:rPr>
        <w:t>a</w:t>
      </w:r>
      <w:r>
        <w:t>n</w:t>
      </w:r>
      <w:r>
        <w:rPr>
          <w:spacing w:val="-1"/>
        </w:rPr>
        <w:t>c</w:t>
      </w:r>
      <w:r>
        <w:t>e</w:t>
      </w:r>
      <w:r>
        <w:rPr>
          <w:spacing w:val="-1"/>
        </w:rPr>
        <w:t xml:space="preserve"> </w:t>
      </w:r>
      <w:r>
        <w:t>the</w:t>
      </w:r>
      <w:r>
        <w:rPr>
          <w:spacing w:val="1"/>
        </w:rPr>
        <w:t xml:space="preserve"> </w:t>
      </w:r>
      <w:r>
        <w:rPr>
          <w:spacing w:val="-1"/>
        </w:rPr>
        <w:t>r</w:t>
      </w:r>
      <w:r>
        <w:rPr>
          <w:spacing w:val="1"/>
        </w:rPr>
        <w:t>e</w:t>
      </w:r>
      <w:r>
        <w:rPr>
          <w:spacing w:val="-2"/>
        </w:rPr>
        <w:t>g</w:t>
      </w:r>
      <w:r>
        <w:t>ion</w:t>
      </w:r>
      <w:r>
        <w:rPr>
          <w:spacing w:val="-1"/>
        </w:rPr>
        <w:t>’</w:t>
      </w:r>
      <w:r>
        <w:t xml:space="preserve">s </w:t>
      </w:r>
      <w:r>
        <w:rPr>
          <w:spacing w:val="-1"/>
        </w:rPr>
        <w:t>c</w:t>
      </w:r>
      <w:r>
        <w:rPr>
          <w:spacing w:val="2"/>
        </w:rPr>
        <w:t>o</w:t>
      </w:r>
      <w:r>
        <w:rPr>
          <w:spacing w:val="-1"/>
        </w:rPr>
        <w:t>a</w:t>
      </w:r>
      <w:r>
        <w:t>st</w:t>
      </w:r>
      <w:r>
        <w:rPr>
          <w:spacing w:val="-1"/>
        </w:rPr>
        <w:t>a</w:t>
      </w:r>
      <w:r>
        <w:t>l</w:t>
      </w:r>
      <w:r>
        <w:rPr>
          <w:spacing w:val="3"/>
        </w:rPr>
        <w:t xml:space="preserve"> </w:t>
      </w:r>
      <w:r>
        <w:rPr>
          <w:spacing w:val="-1"/>
        </w:rPr>
        <w:t>a</w:t>
      </w:r>
      <w:r>
        <w:t>nd m</w:t>
      </w:r>
      <w:r>
        <w:rPr>
          <w:spacing w:val="-1"/>
        </w:rPr>
        <w:t>ar</w:t>
      </w:r>
      <w:r>
        <w:t>ine</w:t>
      </w:r>
      <w:r>
        <w:rPr>
          <w:spacing w:val="-1"/>
        </w:rPr>
        <w:t xml:space="preserve"> </w:t>
      </w:r>
      <w:r>
        <w:rPr>
          <w:spacing w:val="2"/>
        </w:rPr>
        <w:t>r</w:t>
      </w:r>
      <w:r>
        <w:rPr>
          <w:spacing w:val="-1"/>
        </w:rPr>
        <w:t>e</w:t>
      </w:r>
      <w:r>
        <w:t>sou</w:t>
      </w:r>
      <w:r>
        <w:rPr>
          <w:spacing w:val="-1"/>
        </w:rPr>
        <w:t>r</w:t>
      </w:r>
      <w:r>
        <w:rPr>
          <w:spacing w:val="1"/>
        </w:rPr>
        <w:t>c</w:t>
      </w:r>
      <w:r>
        <w:rPr>
          <w:spacing w:val="-1"/>
        </w:rPr>
        <w:t>e</w:t>
      </w:r>
      <w:r>
        <w:t xml:space="preserve">s.  </w:t>
      </w:r>
      <w:r>
        <w:rPr>
          <w:spacing w:val="2"/>
        </w:rPr>
        <w:t>T</w:t>
      </w:r>
      <w:r>
        <w:t>he</w:t>
      </w:r>
      <w:r>
        <w:rPr>
          <w:spacing w:val="-1"/>
        </w:rPr>
        <w:t xml:space="preserve"> </w:t>
      </w:r>
      <w:r>
        <w:t>Alli</w:t>
      </w:r>
      <w:r>
        <w:rPr>
          <w:spacing w:val="-1"/>
        </w:rPr>
        <w:t>a</w:t>
      </w:r>
      <w:r>
        <w:t>n</w:t>
      </w:r>
      <w:r>
        <w:rPr>
          <w:spacing w:val="-1"/>
        </w:rPr>
        <w:t>c</w:t>
      </w:r>
      <w:r>
        <w:t>e</w:t>
      </w:r>
      <w:r>
        <w:rPr>
          <w:spacing w:val="-1"/>
        </w:rPr>
        <w:t xml:space="preserve"> </w:t>
      </w:r>
      <w:r>
        <w:t>p</w:t>
      </w:r>
      <w:r>
        <w:rPr>
          <w:spacing w:val="-1"/>
        </w:rPr>
        <w:t>r</w:t>
      </w:r>
      <w:r>
        <w:t>opo</w:t>
      </w:r>
      <w:r>
        <w:rPr>
          <w:spacing w:val="3"/>
        </w:rPr>
        <w:t>s</w:t>
      </w:r>
      <w:r>
        <w:rPr>
          <w:spacing w:val="-1"/>
        </w:rPr>
        <w:t>e</w:t>
      </w:r>
      <w:r>
        <w:t xml:space="preserve">s to </w:t>
      </w:r>
      <w:r>
        <w:rPr>
          <w:spacing w:val="-1"/>
        </w:rPr>
        <w:t>r</w:t>
      </w:r>
      <w:r>
        <w:rPr>
          <w:spacing w:val="1"/>
        </w:rPr>
        <w:t>e</w:t>
      </w:r>
      <w:r>
        <w:rPr>
          <w:spacing w:val="-2"/>
        </w:rPr>
        <w:t>g</w:t>
      </w:r>
      <w:r>
        <w:t>ion</w:t>
      </w:r>
      <w:r>
        <w:rPr>
          <w:spacing w:val="-1"/>
        </w:rPr>
        <w:t>a</w:t>
      </w:r>
      <w:r>
        <w:t>l</w:t>
      </w:r>
      <w:r>
        <w:rPr>
          <w:spacing w:val="3"/>
        </w:rPr>
        <w:t>l</w:t>
      </w:r>
      <w:r>
        <w:t>y</w:t>
      </w:r>
      <w:r>
        <w:rPr>
          <w:spacing w:val="-5"/>
        </w:rPr>
        <w:t xml:space="preserve"> </w:t>
      </w:r>
      <w:r>
        <w:t>impl</w:t>
      </w:r>
      <w:r>
        <w:rPr>
          <w:spacing w:val="-1"/>
        </w:rPr>
        <w:t>e</w:t>
      </w:r>
      <w:r>
        <w:t>m</w:t>
      </w:r>
      <w:r>
        <w:rPr>
          <w:spacing w:val="-1"/>
        </w:rPr>
        <w:t>e</w:t>
      </w:r>
      <w:r>
        <w:t>nt s</w:t>
      </w:r>
      <w:r>
        <w:rPr>
          <w:spacing w:val="-1"/>
        </w:rPr>
        <w:t>c</w:t>
      </w:r>
      <w:r>
        <w:rPr>
          <w:spacing w:val="3"/>
        </w:rPr>
        <w:t>i</w:t>
      </w:r>
      <w:r>
        <w:rPr>
          <w:spacing w:val="-1"/>
        </w:rPr>
        <w:t>e</w:t>
      </w:r>
      <w:r>
        <w:t>n</w:t>
      </w:r>
      <w:r>
        <w:rPr>
          <w:spacing w:val="-1"/>
        </w:rPr>
        <w:t>ce-</w:t>
      </w:r>
      <w:r>
        <w:rPr>
          <w:spacing w:val="2"/>
        </w:rPr>
        <w:t>b</w:t>
      </w:r>
      <w:r>
        <w:rPr>
          <w:spacing w:val="-1"/>
        </w:rPr>
        <w:t>a</w:t>
      </w:r>
      <w:r>
        <w:t>s</w:t>
      </w:r>
      <w:r>
        <w:rPr>
          <w:spacing w:val="-1"/>
        </w:rPr>
        <w:t>e</w:t>
      </w:r>
      <w:r>
        <w:t>d</w:t>
      </w:r>
      <w:r>
        <w:rPr>
          <w:spacing w:val="2"/>
        </w:rPr>
        <w:t xml:space="preserve"> </w:t>
      </w:r>
      <w:r>
        <w:rPr>
          <w:spacing w:val="-1"/>
        </w:rPr>
        <w:t>ac</w:t>
      </w:r>
      <w:r>
        <w:t xml:space="preserve">tions </w:t>
      </w:r>
      <w:r>
        <w:rPr>
          <w:spacing w:val="-1"/>
        </w:rPr>
        <w:t>a</w:t>
      </w:r>
      <w:r>
        <w:t xml:space="preserve">nd </w:t>
      </w:r>
      <w:r>
        <w:rPr>
          <w:spacing w:val="2"/>
        </w:rPr>
        <w:t>p</w:t>
      </w:r>
      <w:r>
        <w:t>oli</w:t>
      </w:r>
      <w:r>
        <w:rPr>
          <w:spacing w:val="-1"/>
        </w:rPr>
        <w:t>c</w:t>
      </w:r>
      <w:r>
        <w:t>i</w:t>
      </w:r>
      <w:r>
        <w:rPr>
          <w:spacing w:val="-1"/>
        </w:rPr>
        <w:t>e</w:t>
      </w:r>
      <w:r>
        <w:t>s th</w:t>
      </w:r>
      <w:r>
        <w:rPr>
          <w:spacing w:val="-1"/>
        </w:rPr>
        <w:t>a</w:t>
      </w:r>
      <w:r>
        <w:t>t b</w:t>
      </w:r>
      <w:r>
        <w:rPr>
          <w:spacing w:val="-1"/>
        </w:rPr>
        <w:t>a</w:t>
      </w:r>
      <w:r>
        <w:t>l</w:t>
      </w:r>
      <w:r>
        <w:rPr>
          <w:spacing w:val="-1"/>
        </w:rPr>
        <w:t>a</w:t>
      </w:r>
      <w:r>
        <w:t>n</w:t>
      </w:r>
      <w:r>
        <w:rPr>
          <w:spacing w:val="-1"/>
        </w:rPr>
        <w:t>c</w:t>
      </w:r>
      <w:r>
        <w:t>e</w:t>
      </w:r>
      <w:r>
        <w:rPr>
          <w:spacing w:val="1"/>
        </w:rPr>
        <w:t xml:space="preserve"> </w:t>
      </w:r>
      <w:r>
        <w:rPr>
          <w:spacing w:val="-1"/>
        </w:rPr>
        <w:t>c</w:t>
      </w:r>
      <w:r>
        <w:t>o</w:t>
      </w:r>
      <w:r>
        <w:rPr>
          <w:spacing w:val="-1"/>
        </w:rPr>
        <w:t>a</w:t>
      </w:r>
      <w:r>
        <w:t>s</w:t>
      </w:r>
      <w:r>
        <w:rPr>
          <w:spacing w:val="3"/>
        </w:rPr>
        <w:t>t</w:t>
      </w:r>
      <w:r>
        <w:rPr>
          <w:spacing w:val="-1"/>
        </w:rPr>
        <w:t>a</w:t>
      </w:r>
      <w:r>
        <w:t xml:space="preserve">l </w:t>
      </w:r>
      <w:r>
        <w:rPr>
          <w:spacing w:val="-1"/>
        </w:rPr>
        <w:t>a</w:t>
      </w:r>
      <w:r>
        <w:t>nd m</w:t>
      </w:r>
      <w:r>
        <w:rPr>
          <w:spacing w:val="-1"/>
        </w:rPr>
        <w:t>ar</w:t>
      </w:r>
      <w:r>
        <w:t>ine</w:t>
      </w:r>
      <w:r>
        <w:rPr>
          <w:spacing w:val="1"/>
        </w:rPr>
        <w:t xml:space="preserve"> </w:t>
      </w:r>
      <w:r>
        <w:rPr>
          <w:spacing w:val="-1"/>
        </w:rPr>
        <w:t>ec</w:t>
      </w:r>
      <w:r>
        <w:t>o</w:t>
      </w:r>
      <w:r>
        <w:rPr>
          <w:spacing w:val="5"/>
        </w:rPr>
        <w:t>s</w:t>
      </w:r>
      <w:r>
        <w:rPr>
          <w:spacing w:val="-5"/>
        </w:rPr>
        <w:t>y</w:t>
      </w:r>
      <w:r>
        <w:t>st</w:t>
      </w:r>
      <w:r>
        <w:rPr>
          <w:spacing w:val="-1"/>
        </w:rPr>
        <w:t>e</w:t>
      </w:r>
      <w:r>
        <w:rPr>
          <w:spacing w:val="3"/>
        </w:rPr>
        <w:t>m</w:t>
      </w:r>
      <w:r>
        <w:t xml:space="preserve">s </w:t>
      </w:r>
      <w:r>
        <w:rPr>
          <w:spacing w:val="-1"/>
        </w:rPr>
        <w:t>ca</w:t>
      </w:r>
      <w:r>
        <w:t>p</w:t>
      </w:r>
      <w:r>
        <w:rPr>
          <w:spacing w:val="1"/>
        </w:rPr>
        <w:t>a</w:t>
      </w:r>
      <w:r>
        <w:rPr>
          <w:spacing w:val="-1"/>
        </w:rPr>
        <w:t>c</w:t>
      </w:r>
      <w:r>
        <w:t>iti</w:t>
      </w:r>
      <w:r>
        <w:rPr>
          <w:spacing w:val="-1"/>
        </w:rPr>
        <w:t>e</w:t>
      </w:r>
      <w:r>
        <w:t>s to suppo</w:t>
      </w:r>
      <w:r>
        <w:rPr>
          <w:spacing w:val="-1"/>
        </w:rPr>
        <w:t>r</w:t>
      </w:r>
      <w:r>
        <w:t>t both hum</w:t>
      </w:r>
      <w:r>
        <w:rPr>
          <w:spacing w:val="-1"/>
        </w:rPr>
        <w:t>a</w:t>
      </w:r>
      <w:r>
        <w:t xml:space="preserve">n </w:t>
      </w:r>
      <w:r>
        <w:rPr>
          <w:spacing w:val="-1"/>
        </w:rPr>
        <w:t>a</w:t>
      </w:r>
      <w:r>
        <w:t>nd n</w:t>
      </w:r>
      <w:r>
        <w:rPr>
          <w:spacing w:val="-1"/>
        </w:rPr>
        <w:t>a</w:t>
      </w:r>
      <w:r>
        <w:t>tu</w:t>
      </w:r>
      <w:r>
        <w:rPr>
          <w:spacing w:val="-1"/>
        </w:rPr>
        <w:t>ra</w:t>
      </w:r>
      <w:r>
        <w:t xml:space="preserve">l </w:t>
      </w:r>
      <w:r>
        <w:rPr>
          <w:spacing w:val="5"/>
        </w:rPr>
        <w:t>s</w:t>
      </w:r>
      <w:r>
        <w:rPr>
          <w:spacing w:val="-5"/>
        </w:rPr>
        <w:t>y</w:t>
      </w:r>
      <w:r>
        <w:t>s</w:t>
      </w:r>
      <w:r>
        <w:rPr>
          <w:spacing w:val="3"/>
        </w:rPr>
        <w:t>t</w:t>
      </w:r>
      <w:r>
        <w:rPr>
          <w:spacing w:val="-1"/>
        </w:rPr>
        <w:t>e</w:t>
      </w:r>
      <w:r>
        <w:t xml:space="preserve">ms. </w:t>
      </w:r>
      <w:r w:rsidRPr="00CD6C57">
        <w:t>The GSAA Action Plan was released in December 2010 and describes the four Priority Issue Areas that were identified by the Governors to be of mutual importance to the sustainabil</w:t>
      </w:r>
      <w:r>
        <w:t xml:space="preserve">ity of the region’s resources: </w:t>
      </w:r>
      <w:r w:rsidRPr="00CD6C57">
        <w:t>Healthy Ecosystems</w:t>
      </w:r>
      <w:r>
        <w:t xml:space="preserve">; Working Waterfronts; Clean Coastal and Ocean Waters; and </w:t>
      </w:r>
      <w:r w:rsidRPr="00CD6C57">
        <w:t>D</w:t>
      </w:r>
      <w:r>
        <w:t xml:space="preserve">isaster-Resilient Communities. </w:t>
      </w:r>
      <w:r w:rsidRPr="00CD6C57">
        <w:t>The goals, objectives, actions</w:t>
      </w:r>
      <w:r>
        <w:t>,</w:t>
      </w:r>
      <w:r w:rsidRPr="00CD6C57">
        <w:t xml:space="preserve"> and implementation steps for each of these priorities were further described in the GSAA Implementation Plan released in July 2011.</w:t>
      </w:r>
      <w:r w:rsidRPr="00425FD0">
        <w:t xml:space="preserve"> The final Action Plan was released on December 1, 2010 and marked the beginning of intensive work by the Alliance Issue Area Technical Teams (IATTs) to develop implementation steps for the actions and objectives. The GSAA Implementation</w:t>
      </w:r>
      <w:r>
        <w:t xml:space="preserve"> Plan was published July 6, 2011,</w:t>
      </w:r>
      <w:r w:rsidRPr="00425FD0">
        <w:t xml:space="preserve"> and the Alliance has been working to implement the Plan through the IATTs and two NOAA-fun</w:t>
      </w:r>
      <w:r>
        <w:t xml:space="preserve">ded Projects. </w:t>
      </w:r>
      <w:r w:rsidRPr="00425FD0">
        <w:t>The Alliance also partners with other federal agencies, academia, non-profits, private industry, regional organizations, and others. The Alliance support</w:t>
      </w:r>
      <w:r>
        <w:t xml:space="preserve">s both national and state-level </w:t>
      </w:r>
      <w:r w:rsidRPr="00425FD0">
        <w:t>ocean and coastal policy by coordinating federal, state</w:t>
      </w:r>
      <w:r>
        <w:t>,</w:t>
      </w:r>
      <w:r w:rsidRPr="00425FD0">
        <w:t xml:space="preserve"> and local entities to ensure the sustainability of the region’s economic, c</w:t>
      </w:r>
      <w:r>
        <w:t xml:space="preserve">ultural, and natural resources.  </w:t>
      </w:r>
      <w:r w:rsidRPr="00425FD0">
        <w:t>The Alliance has organized itself around the founding principles outlined in the GSAA Terms of Reference and detailed in the GSAA Business Plan.</w:t>
      </w:r>
      <w:r w:rsidRPr="00EE7C61">
        <w:t xml:space="preserve"> A team of natural resource managers, scientists, and information management system exper</w:t>
      </w:r>
      <w:r>
        <w:t>ts have partnered to develop a R</w:t>
      </w:r>
      <w:r w:rsidRPr="00EE7C61">
        <w:t>egional Information Management System (RIMS) and recommend decision support tools that will support regional collaboration and decision-making. In addition to regional-level stakeholders, state and local coastal managers and decision makers will also be served by this project, which will enable ready access to new and existing data and information. The collection and synthesis of spatial data into a suite of visualization tools is a critical step for long-term collaborative planning in the South Atlantic region for a wide range of coastal uses.</w:t>
      </w:r>
      <w:r>
        <w:t xml:space="preserve"> The Council’s Atlas presents the spatial representations of Essential Fish Habitat, managed areas, regional fish and fish habitat </w:t>
      </w:r>
      <w:r>
        <w:lastRenderedPageBreak/>
        <w:t>distribution, and fishery operation information and it can be linked to or drawn on as a critical part of the collaboration with the RIMS.</w:t>
      </w:r>
    </w:p>
    <w:p w14:paraId="7834E722" w14:textId="77777777" w:rsidR="00DC4922" w:rsidRDefault="00DC4922" w:rsidP="00DC4922">
      <w:pPr>
        <w:rPr>
          <w:sz w:val="26"/>
        </w:rPr>
      </w:pPr>
    </w:p>
    <w:p w14:paraId="2094037B" w14:textId="77777777" w:rsidR="00DC4922" w:rsidRPr="00D50BED" w:rsidRDefault="00DC4922" w:rsidP="00DC4922">
      <w:pPr>
        <w:rPr>
          <w:i/>
          <w:sz w:val="26"/>
        </w:rPr>
      </w:pPr>
      <w:r w:rsidRPr="00D50BED">
        <w:rPr>
          <w:i/>
          <w:sz w:val="26"/>
        </w:rPr>
        <w:t>South Atlantic Landscape Conservation Cooperative</w:t>
      </w:r>
    </w:p>
    <w:p w14:paraId="69565089" w14:textId="77777777" w:rsidR="00DC4922" w:rsidRDefault="00DC4922" w:rsidP="00640526">
      <w:pPr>
        <w:ind w:firstLine="360"/>
      </w:pPr>
      <w:r>
        <w:t>One</w:t>
      </w:r>
      <w:r>
        <w:rPr>
          <w:spacing w:val="-1"/>
        </w:rPr>
        <w:t xml:space="preserve"> </w:t>
      </w:r>
      <w:r>
        <w:t>of</w:t>
      </w:r>
      <w:r>
        <w:rPr>
          <w:spacing w:val="-1"/>
        </w:rPr>
        <w:t xml:space="preserve"> </w:t>
      </w:r>
      <w:r>
        <w:t>the</w:t>
      </w:r>
      <w:r>
        <w:rPr>
          <w:spacing w:val="-1"/>
        </w:rPr>
        <w:t xml:space="preserve"> </w:t>
      </w:r>
      <w:r>
        <w:t>mo</w:t>
      </w:r>
      <w:r>
        <w:rPr>
          <w:spacing w:val="2"/>
        </w:rPr>
        <w:t>r</w:t>
      </w:r>
      <w:r>
        <w:t>e</w:t>
      </w:r>
      <w:r>
        <w:rPr>
          <w:spacing w:val="-1"/>
        </w:rPr>
        <w:t xml:space="preserve"> r</w:t>
      </w:r>
      <w:r>
        <w:rPr>
          <w:spacing w:val="1"/>
        </w:rPr>
        <w:t>e</w:t>
      </w:r>
      <w:r>
        <w:rPr>
          <w:spacing w:val="-1"/>
        </w:rPr>
        <w:t>ce</w:t>
      </w:r>
      <w:r>
        <w:t xml:space="preserve">nt </w:t>
      </w:r>
      <w:r>
        <w:rPr>
          <w:spacing w:val="1"/>
        </w:rPr>
        <w:t>c</w:t>
      </w:r>
      <w:r>
        <w:t>oll</w:t>
      </w:r>
      <w:r>
        <w:rPr>
          <w:spacing w:val="-1"/>
        </w:rPr>
        <w:t>a</w:t>
      </w:r>
      <w:r>
        <w:t>bo</w:t>
      </w:r>
      <w:r>
        <w:rPr>
          <w:spacing w:val="-1"/>
        </w:rPr>
        <w:t>ra</w:t>
      </w:r>
      <w:r>
        <w:t>tions is the</w:t>
      </w:r>
      <w:r>
        <w:rPr>
          <w:spacing w:val="-1"/>
        </w:rPr>
        <w:t xml:space="preserve"> </w:t>
      </w:r>
      <w:r>
        <w:rPr>
          <w:spacing w:val="1"/>
        </w:rPr>
        <w:t>C</w:t>
      </w:r>
      <w:r>
        <w:t>oun</w:t>
      </w:r>
      <w:r>
        <w:rPr>
          <w:spacing w:val="-1"/>
        </w:rPr>
        <w:t>c</w:t>
      </w:r>
      <w:r>
        <w:t>il’s p</w:t>
      </w:r>
      <w:r>
        <w:rPr>
          <w:spacing w:val="-1"/>
        </w:rPr>
        <w:t>ar</w:t>
      </w:r>
      <w:r>
        <w:t>ti</w:t>
      </w:r>
      <w:r>
        <w:rPr>
          <w:spacing w:val="-1"/>
        </w:rPr>
        <w:t>c</w:t>
      </w:r>
      <w:r>
        <w:t>ip</w:t>
      </w:r>
      <w:r>
        <w:rPr>
          <w:spacing w:val="-1"/>
        </w:rPr>
        <w:t>a</w:t>
      </w:r>
      <w:r>
        <w:t xml:space="preserve">tion </w:t>
      </w:r>
      <w:r>
        <w:rPr>
          <w:spacing w:val="-1"/>
        </w:rPr>
        <w:t>a</w:t>
      </w:r>
      <w:r>
        <w:t xml:space="preserve">s </w:t>
      </w:r>
      <w:r>
        <w:rPr>
          <w:spacing w:val="1"/>
        </w:rPr>
        <w:t>S</w:t>
      </w:r>
      <w:r>
        <w:t>t</w:t>
      </w:r>
      <w:r>
        <w:rPr>
          <w:spacing w:val="-1"/>
        </w:rPr>
        <w:t>eer</w:t>
      </w:r>
      <w:r>
        <w:rPr>
          <w:spacing w:val="3"/>
        </w:rPr>
        <w:t>i</w:t>
      </w:r>
      <w:r>
        <w:t>ng</w:t>
      </w:r>
      <w:r>
        <w:rPr>
          <w:spacing w:val="-2"/>
        </w:rPr>
        <w:t xml:space="preserve"> </w:t>
      </w:r>
      <w:r>
        <w:rPr>
          <w:spacing w:val="1"/>
        </w:rPr>
        <w:t>C</w:t>
      </w:r>
      <w:r>
        <w:t>ommitt</w:t>
      </w:r>
      <w:r>
        <w:rPr>
          <w:spacing w:val="-1"/>
        </w:rPr>
        <w:t>e</w:t>
      </w:r>
      <w:r>
        <w:t>e</w:t>
      </w:r>
      <w:r>
        <w:rPr>
          <w:spacing w:val="-1"/>
        </w:rPr>
        <w:t xml:space="preserve"> </w:t>
      </w:r>
      <w:r>
        <w:t>m</w:t>
      </w:r>
      <w:r>
        <w:rPr>
          <w:spacing w:val="-1"/>
        </w:rPr>
        <w:t>e</w:t>
      </w:r>
      <w:r>
        <w:t>mb</w:t>
      </w:r>
      <w:r>
        <w:rPr>
          <w:spacing w:val="-1"/>
        </w:rPr>
        <w:t>e</w:t>
      </w:r>
      <w:r>
        <w:t>r</w:t>
      </w:r>
      <w:r>
        <w:rPr>
          <w:spacing w:val="-1"/>
        </w:rPr>
        <w:t xml:space="preserve"> </w:t>
      </w:r>
      <w:r>
        <w:rPr>
          <w:spacing w:val="2"/>
        </w:rPr>
        <w:t>f</w:t>
      </w:r>
      <w:r>
        <w:t>or the</w:t>
      </w:r>
      <w:r>
        <w:rPr>
          <w:spacing w:val="-1"/>
        </w:rPr>
        <w:t xml:space="preserve"> </w:t>
      </w:r>
      <w:r>
        <w:t>n</w:t>
      </w:r>
      <w:r>
        <w:rPr>
          <w:spacing w:val="-1"/>
        </w:rPr>
        <w:t>e</w:t>
      </w:r>
      <w:r>
        <w:t>w</w:t>
      </w:r>
      <w:r>
        <w:rPr>
          <w:spacing w:val="5"/>
        </w:rPr>
        <w:t>l</w:t>
      </w:r>
      <w:r>
        <w:t>y</w:t>
      </w:r>
      <w:r>
        <w:rPr>
          <w:spacing w:val="-5"/>
        </w:rPr>
        <w:t xml:space="preserve"> </w:t>
      </w:r>
      <w:r>
        <w:rPr>
          <w:spacing w:val="-1"/>
        </w:rPr>
        <w:t>e</w:t>
      </w:r>
      <w:r>
        <w:t>st</w:t>
      </w:r>
      <w:r>
        <w:rPr>
          <w:spacing w:val="-1"/>
        </w:rPr>
        <w:t>a</w:t>
      </w:r>
      <w:r>
        <w:t xml:space="preserve">blish </w:t>
      </w:r>
      <w:r>
        <w:rPr>
          <w:spacing w:val="1"/>
        </w:rPr>
        <w:t>S</w:t>
      </w:r>
      <w:r>
        <w:t>outh Atl</w:t>
      </w:r>
      <w:r>
        <w:rPr>
          <w:spacing w:val="-1"/>
        </w:rPr>
        <w:t>a</w:t>
      </w:r>
      <w:r>
        <w:t>ntic</w:t>
      </w:r>
      <w:r>
        <w:rPr>
          <w:spacing w:val="1"/>
        </w:rPr>
        <w:t xml:space="preserve"> </w:t>
      </w:r>
      <w:r>
        <w:rPr>
          <w:spacing w:val="-3"/>
        </w:rPr>
        <w:t>L</w:t>
      </w:r>
      <w:r>
        <w:rPr>
          <w:spacing w:val="-1"/>
        </w:rPr>
        <w:t>a</w:t>
      </w:r>
      <w:r>
        <w:t>nds</w:t>
      </w:r>
      <w:r>
        <w:rPr>
          <w:spacing w:val="-1"/>
        </w:rPr>
        <w:t>ca</w:t>
      </w:r>
      <w:r>
        <w:rPr>
          <w:spacing w:val="2"/>
        </w:rPr>
        <w:t>p</w:t>
      </w:r>
      <w:r>
        <w:t>e</w:t>
      </w:r>
      <w:r>
        <w:rPr>
          <w:spacing w:val="-1"/>
        </w:rPr>
        <w:t xml:space="preserve"> </w:t>
      </w:r>
      <w:r>
        <w:rPr>
          <w:spacing w:val="1"/>
        </w:rPr>
        <w:t>C</w:t>
      </w:r>
      <w:r>
        <w:t>ons</w:t>
      </w:r>
      <w:r>
        <w:rPr>
          <w:spacing w:val="-1"/>
        </w:rPr>
        <w:t>er</w:t>
      </w:r>
      <w:r>
        <w:t>v</w:t>
      </w:r>
      <w:r>
        <w:rPr>
          <w:spacing w:val="-1"/>
        </w:rPr>
        <w:t>a</w:t>
      </w:r>
      <w:r>
        <w:t xml:space="preserve">tion </w:t>
      </w:r>
      <w:r>
        <w:rPr>
          <w:spacing w:val="1"/>
        </w:rPr>
        <w:t>C</w:t>
      </w:r>
      <w:r>
        <w:t>oop</w:t>
      </w:r>
      <w:r>
        <w:rPr>
          <w:spacing w:val="-1"/>
        </w:rPr>
        <w:t>era</w:t>
      </w:r>
      <w:r>
        <w:t>tive</w:t>
      </w:r>
      <w:r>
        <w:rPr>
          <w:spacing w:val="1"/>
        </w:rPr>
        <w:t xml:space="preserve"> </w:t>
      </w:r>
      <w:r>
        <w:rPr>
          <w:spacing w:val="2"/>
        </w:rPr>
        <w:t>(</w:t>
      </w:r>
      <w:r>
        <w:rPr>
          <w:spacing w:val="1"/>
        </w:rPr>
        <w:t>S</w:t>
      </w:r>
      <w:r>
        <w:rPr>
          <w:spacing w:val="2"/>
        </w:rPr>
        <w:t>A</w:t>
      </w:r>
      <w:r>
        <w:rPr>
          <w:spacing w:val="-5"/>
        </w:rPr>
        <w:t>L</w:t>
      </w:r>
      <w:r>
        <w:rPr>
          <w:spacing w:val="1"/>
        </w:rPr>
        <w:t>CC</w:t>
      </w:r>
      <w:r>
        <w:rPr>
          <w:spacing w:val="-1"/>
        </w:rPr>
        <w:t>)</w:t>
      </w:r>
      <w:r>
        <w:t xml:space="preserve">. </w:t>
      </w:r>
      <w:r>
        <w:rPr>
          <w:spacing w:val="2"/>
        </w:rPr>
        <w:t xml:space="preserve"> </w:t>
      </w:r>
      <w:r>
        <w:rPr>
          <w:spacing w:val="-3"/>
        </w:rPr>
        <w:t>L</w:t>
      </w:r>
      <w:r>
        <w:rPr>
          <w:spacing w:val="-1"/>
        </w:rPr>
        <w:t>a</w:t>
      </w:r>
      <w:r>
        <w:t>nds</w:t>
      </w:r>
      <w:r>
        <w:rPr>
          <w:spacing w:val="1"/>
        </w:rPr>
        <w:t>c</w:t>
      </w:r>
      <w:r>
        <w:rPr>
          <w:spacing w:val="-1"/>
        </w:rPr>
        <w:t>a</w:t>
      </w:r>
      <w:r>
        <w:t xml:space="preserve">pe </w:t>
      </w:r>
      <w:r>
        <w:rPr>
          <w:spacing w:val="1"/>
        </w:rPr>
        <w:t>C</w:t>
      </w:r>
      <w:r>
        <w:t>ons</w:t>
      </w:r>
      <w:r>
        <w:rPr>
          <w:spacing w:val="-1"/>
        </w:rPr>
        <w:t>er</w:t>
      </w:r>
      <w:r>
        <w:t>v</w:t>
      </w:r>
      <w:r>
        <w:rPr>
          <w:spacing w:val="-1"/>
        </w:rPr>
        <w:t>a</w:t>
      </w:r>
      <w:r>
        <w:t xml:space="preserve">tion </w:t>
      </w:r>
      <w:r>
        <w:rPr>
          <w:spacing w:val="1"/>
        </w:rPr>
        <w:t>C</w:t>
      </w:r>
      <w:r>
        <w:t>oop</w:t>
      </w:r>
      <w:r>
        <w:rPr>
          <w:spacing w:val="-1"/>
        </w:rPr>
        <w:t>era</w:t>
      </w:r>
      <w:r>
        <w:t>ti</w:t>
      </w:r>
      <w:r>
        <w:rPr>
          <w:spacing w:val="2"/>
        </w:rPr>
        <w:t>v</w:t>
      </w:r>
      <w:r>
        <w:rPr>
          <w:spacing w:val="-1"/>
        </w:rPr>
        <w:t>e</w:t>
      </w:r>
      <w:r>
        <w:t xml:space="preserve">s </w:t>
      </w:r>
      <w:r>
        <w:rPr>
          <w:spacing w:val="2"/>
        </w:rPr>
        <w:t>(</w:t>
      </w:r>
      <w:r>
        <w:rPr>
          <w:spacing w:val="-5"/>
        </w:rPr>
        <w:t>L</w:t>
      </w:r>
      <w:r>
        <w:rPr>
          <w:spacing w:val="1"/>
        </w:rPr>
        <w:t>CC</w:t>
      </w:r>
      <w:r>
        <w:t>s)</w:t>
      </w:r>
      <w:r>
        <w:rPr>
          <w:spacing w:val="2"/>
        </w:rPr>
        <w:t xml:space="preserve"> </w:t>
      </w:r>
      <w:r>
        <w:rPr>
          <w:spacing w:val="-1"/>
        </w:rPr>
        <w:t>ar</w:t>
      </w:r>
      <w:r>
        <w:t>e</w:t>
      </w:r>
      <w:r>
        <w:rPr>
          <w:spacing w:val="1"/>
        </w:rPr>
        <w:t xml:space="preserve"> </w:t>
      </w:r>
      <w:r>
        <w:rPr>
          <w:spacing w:val="-1"/>
        </w:rPr>
        <w:t>a</w:t>
      </w:r>
      <w:r>
        <w:t>ppli</w:t>
      </w:r>
      <w:r>
        <w:rPr>
          <w:spacing w:val="-1"/>
        </w:rPr>
        <w:t>e</w:t>
      </w:r>
      <w:r>
        <w:t xml:space="preserve">d </w:t>
      </w:r>
      <w:r>
        <w:rPr>
          <w:spacing w:val="-1"/>
        </w:rPr>
        <w:t>c</w:t>
      </w:r>
      <w:r>
        <w:rPr>
          <w:spacing w:val="2"/>
        </w:rPr>
        <w:t>o</w:t>
      </w:r>
      <w:r>
        <w:t>ns</w:t>
      </w:r>
      <w:r>
        <w:rPr>
          <w:spacing w:val="-1"/>
        </w:rPr>
        <w:t>er</w:t>
      </w:r>
      <w:r>
        <w:t>v</w:t>
      </w:r>
      <w:r>
        <w:rPr>
          <w:spacing w:val="-1"/>
        </w:rPr>
        <w:t>a</w:t>
      </w:r>
      <w:r>
        <w:t>tion s</w:t>
      </w:r>
      <w:r>
        <w:rPr>
          <w:spacing w:val="-1"/>
        </w:rPr>
        <w:t>c</w:t>
      </w:r>
      <w:r>
        <w:t>i</w:t>
      </w:r>
      <w:r>
        <w:rPr>
          <w:spacing w:val="-1"/>
        </w:rPr>
        <w:t>e</w:t>
      </w:r>
      <w:r>
        <w:t>n</w:t>
      </w:r>
      <w:r>
        <w:rPr>
          <w:spacing w:val="1"/>
        </w:rPr>
        <w:t>c</w:t>
      </w:r>
      <w:r>
        <w:t>e</w:t>
      </w:r>
      <w:r>
        <w:rPr>
          <w:spacing w:val="-1"/>
        </w:rPr>
        <w:t xml:space="preserve"> </w:t>
      </w:r>
      <w:r>
        <w:t>p</w:t>
      </w:r>
      <w:r>
        <w:rPr>
          <w:spacing w:val="1"/>
        </w:rPr>
        <w:t>a</w:t>
      </w:r>
      <w:r>
        <w:rPr>
          <w:spacing w:val="-1"/>
        </w:rPr>
        <w:t>r</w:t>
      </w:r>
      <w:r>
        <w:t>tn</w:t>
      </w:r>
      <w:r>
        <w:rPr>
          <w:spacing w:val="1"/>
        </w:rPr>
        <w:t>e</w:t>
      </w:r>
      <w:r>
        <w:rPr>
          <w:spacing w:val="-1"/>
        </w:rPr>
        <w:t>r</w:t>
      </w:r>
      <w:r>
        <w:t xml:space="preserve">ships </w:t>
      </w:r>
      <w:r>
        <w:rPr>
          <w:spacing w:val="-1"/>
        </w:rPr>
        <w:t>f</w:t>
      </w:r>
      <w:r>
        <w:t>o</w:t>
      </w:r>
      <w:r>
        <w:rPr>
          <w:spacing w:val="-1"/>
        </w:rPr>
        <w:t>c</w:t>
      </w:r>
      <w:r>
        <w:t>us</w:t>
      </w:r>
      <w:r>
        <w:rPr>
          <w:spacing w:val="-1"/>
        </w:rPr>
        <w:t>e</w:t>
      </w:r>
      <w:r>
        <w:t>d on a</w:t>
      </w:r>
      <w:r>
        <w:rPr>
          <w:spacing w:val="-1"/>
        </w:rPr>
        <w:t xml:space="preserve"> </w:t>
      </w:r>
      <w:r>
        <w:rPr>
          <w:spacing w:val="2"/>
        </w:rPr>
        <w:t>d</w:t>
      </w:r>
      <w:r>
        <w:rPr>
          <w:spacing w:val="-1"/>
        </w:rPr>
        <w:t>ef</w:t>
      </w:r>
      <w:r>
        <w:t>i</w:t>
      </w:r>
      <w:r>
        <w:rPr>
          <w:spacing w:val="2"/>
        </w:rPr>
        <w:t>n</w:t>
      </w:r>
      <w:r>
        <w:rPr>
          <w:spacing w:val="-1"/>
        </w:rPr>
        <w:t>e</w:t>
      </w:r>
      <w:r>
        <w:t xml:space="preserve">d </w:t>
      </w:r>
      <w:r>
        <w:rPr>
          <w:spacing w:val="-2"/>
        </w:rPr>
        <w:t>g</w:t>
      </w:r>
      <w:r>
        <w:rPr>
          <w:spacing w:val="-1"/>
        </w:rPr>
        <w:t>e</w:t>
      </w:r>
      <w:r>
        <w:rPr>
          <w:spacing w:val="2"/>
        </w:rPr>
        <w:t>o</w:t>
      </w:r>
      <w:r>
        <w:t>g</w:t>
      </w:r>
      <w:r>
        <w:rPr>
          <w:spacing w:val="-1"/>
        </w:rPr>
        <w:t>ra</w:t>
      </w:r>
      <w:r>
        <w:t>phic</w:t>
      </w:r>
      <w:r>
        <w:rPr>
          <w:spacing w:val="1"/>
        </w:rPr>
        <w:t xml:space="preserve"> </w:t>
      </w:r>
      <w:r>
        <w:rPr>
          <w:spacing w:val="-1"/>
        </w:rPr>
        <w:t>ar</w:t>
      </w:r>
      <w:r>
        <w:rPr>
          <w:spacing w:val="1"/>
        </w:rPr>
        <w:t>e</w:t>
      </w:r>
      <w:r>
        <w:t>a</w:t>
      </w:r>
      <w:r>
        <w:rPr>
          <w:spacing w:val="-1"/>
        </w:rPr>
        <w:t xml:space="preserve"> </w:t>
      </w:r>
      <w:r>
        <w:t>th</w:t>
      </w:r>
      <w:r>
        <w:rPr>
          <w:spacing w:val="-1"/>
        </w:rPr>
        <w:t>a</w:t>
      </w:r>
      <w:r>
        <w:t>t in</w:t>
      </w:r>
      <w:r>
        <w:rPr>
          <w:spacing w:val="-1"/>
        </w:rPr>
        <w:t>f</w:t>
      </w:r>
      <w:r>
        <w:rPr>
          <w:spacing w:val="2"/>
        </w:rPr>
        <w:t>o</w:t>
      </w:r>
      <w:r>
        <w:rPr>
          <w:spacing w:val="-1"/>
        </w:rPr>
        <w:t>r</w:t>
      </w:r>
      <w:r>
        <w:t>ms on</w:t>
      </w:r>
      <w:r>
        <w:rPr>
          <w:spacing w:val="-1"/>
        </w:rPr>
        <w:t>-</w:t>
      </w:r>
      <w:r>
        <w:t>th</w:t>
      </w:r>
      <w:r>
        <w:rPr>
          <w:spacing w:val="-1"/>
        </w:rPr>
        <w:t>e</w:t>
      </w:r>
      <w:r>
        <w:rPr>
          <w:spacing w:val="2"/>
        </w:rPr>
        <w:t>-</w:t>
      </w:r>
      <w:r>
        <w:rPr>
          <w:spacing w:val="-2"/>
        </w:rPr>
        <w:t>g</w:t>
      </w:r>
      <w:r>
        <w:rPr>
          <w:spacing w:val="-1"/>
        </w:rPr>
        <w:t>r</w:t>
      </w:r>
      <w:r>
        <w:t>ound st</w:t>
      </w:r>
      <w:r>
        <w:rPr>
          <w:spacing w:val="2"/>
        </w:rPr>
        <w:t>r</w:t>
      </w:r>
      <w:r>
        <w:rPr>
          <w:spacing w:val="-1"/>
        </w:rPr>
        <w:t>a</w:t>
      </w:r>
      <w:r>
        <w:t>t</w:t>
      </w:r>
      <w:r>
        <w:rPr>
          <w:spacing w:val="1"/>
        </w:rPr>
        <w:t>e</w:t>
      </w:r>
      <w:r>
        <w:rPr>
          <w:spacing w:val="-2"/>
        </w:rPr>
        <w:t>g</w:t>
      </w:r>
      <w:r>
        <w:t>ic</w:t>
      </w:r>
      <w:r>
        <w:rPr>
          <w:spacing w:val="1"/>
        </w:rPr>
        <w:t xml:space="preserve"> </w:t>
      </w:r>
      <w:r>
        <w:rPr>
          <w:spacing w:val="-1"/>
        </w:rPr>
        <w:t>c</w:t>
      </w:r>
      <w:r>
        <w:t>ons</w:t>
      </w:r>
      <w:r>
        <w:rPr>
          <w:spacing w:val="-1"/>
        </w:rPr>
        <w:t>er</w:t>
      </w:r>
      <w:r>
        <w:rPr>
          <w:spacing w:val="2"/>
        </w:rPr>
        <w:t>v</w:t>
      </w:r>
      <w:r>
        <w:rPr>
          <w:spacing w:val="-1"/>
        </w:rPr>
        <w:t>a</w:t>
      </w:r>
      <w:r>
        <w:t xml:space="preserve">tion </w:t>
      </w:r>
      <w:r>
        <w:rPr>
          <w:spacing w:val="-1"/>
        </w:rPr>
        <w:t>eff</w:t>
      </w:r>
      <w:r>
        <w:t>o</w:t>
      </w:r>
      <w:r>
        <w:rPr>
          <w:spacing w:val="-1"/>
        </w:rPr>
        <w:t>r</w:t>
      </w:r>
      <w:r>
        <w:t>ts</w:t>
      </w:r>
      <w:r>
        <w:rPr>
          <w:spacing w:val="3"/>
        </w:rPr>
        <w:t xml:space="preserve"> </w:t>
      </w:r>
      <w:r>
        <w:rPr>
          <w:spacing w:val="1"/>
        </w:rPr>
        <w:t>a</w:t>
      </w:r>
      <w:r>
        <w:t>t l</w:t>
      </w:r>
      <w:r>
        <w:rPr>
          <w:spacing w:val="-1"/>
        </w:rPr>
        <w:t>a</w:t>
      </w:r>
      <w:r>
        <w:t>nds</w:t>
      </w:r>
      <w:r>
        <w:rPr>
          <w:spacing w:val="-1"/>
        </w:rPr>
        <w:t>ca</w:t>
      </w:r>
      <w:r>
        <w:t>pe</w:t>
      </w:r>
      <w:r>
        <w:rPr>
          <w:spacing w:val="-1"/>
        </w:rPr>
        <w:t xml:space="preserve"> </w:t>
      </w:r>
      <w:r>
        <w:t>s</w:t>
      </w:r>
      <w:r>
        <w:rPr>
          <w:spacing w:val="1"/>
        </w:rPr>
        <w:t>c</w:t>
      </w:r>
      <w:r>
        <w:rPr>
          <w:spacing w:val="-1"/>
        </w:rPr>
        <w:t>a</w:t>
      </w:r>
      <w:r>
        <w:t>l</w:t>
      </w:r>
      <w:r>
        <w:rPr>
          <w:spacing w:val="-1"/>
        </w:rPr>
        <w:t>e</w:t>
      </w:r>
      <w:r>
        <w:t>s.</w:t>
      </w:r>
      <w:r>
        <w:rPr>
          <w:spacing w:val="2"/>
        </w:rPr>
        <w:t xml:space="preserve"> </w:t>
      </w:r>
      <w:r>
        <w:rPr>
          <w:spacing w:val="-3"/>
        </w:rPr>
        <w:t>L</w:t>
      </w:r>
      <w:r>
        <w:rPr>
          <w:spacing w:val="1"/>
        </w:rPr>
        <w:t>C</w:t>
      </w:r>
      <w:r>
        <w:t>C p</w:t>
      </w:r>
      <w:r>
        <w:rPr>
          <w:spacing w:val="-1"/>
        </w:rPr>
        <w:t>ar</w:t>
      </w:r>
      <w:r>
        <w:t>tn</w:t>
      </w:r>
      <w:r>
        <w:rPr>
          <w:spacing w:val="-1"/>
        </w:rPr>
        <w:t>er</w:t>
      </w:r>
      <w:r>
        <w:t>s in</w:t>
      </w:r>
      <w:r>
        <w:rPr>
          <w:spacing w:val="-1"/>
        </w:rPr>
        <w:t>c</w:t>
      </w:r>
      <w:r>
        <w:t>lude</w:t>
      </w:r>
      <w:r>
        <w:rPr>
          <w:spacing w:val="1"/>
        </w:rPr>
        <w:t xml:space="preserve"> </w:t>
      </w:r>
      <w:r>
        <w:t>D</w:t>
      </w:r>
      <w:r>
        <w:rPr>
          <w:spacing w:val="2"/>
        </w:rPr>
        <w:t>O</w:t>
      </w:r>
      <w:r>
        <w:t>I</w:t>
      </w:r>
      <w:r>
        <w:rPr>
          <w:spacing w:val="-1"/>
        </w:rPr>
        <w:t xml:space="preserve"> </w:t>
      </w:r>
      <w:r>
        <w:rPr>
          <w:spacing w:val="1"/>
        </w:rPr>
        <w:t>a</w:t>
      </w:r>
      <w:r>
        <w:rPr>
          <w:spacing w:val="-2"/>
        </w:rPr>
        <w:t>g</w:t>
      </w:r>
      <w:r>
        <w:rPr>
          <w:spacing w:val="1"/>
        </w:rPr>
        <w:t>e</w:t>
      </w:r>
      <w:r>
        <w:t>n</w:t>
      </w:r>
      <w:r>
        <w:rPr>
          <w:spacing w:val="-1"/>
        </w:rPr>
        <w:t>c</w:t>
      </w:r>
      <w:r>
        <w:t>i</w:t>
      </w:r>
      <w:r>
        <w:rPr>
          <w:spacing w:val="-1"/>
        </w:rPr>
        <w:t>e</w:t>
      </w:r>
      <w:r>
        <w:t>s, oth</w:t>
      </w:r>
      <w:r>
        <w:rPr>
          <w:spacing w:val="-1"/>
        </w:rPr>
        <w:t>e</w:t>
      </w:r>
      <w:r>
        <w:t>r</w:t>
      </w:r>
      <w:r>
        <w:rPr>
          <w:spacing w:val="-1"/>
        </w:rPr>
        <w:t xml:space="preserve"> </w:t>
      </w:r>
      <w:r>
        <w:rPr>
          <w:spacing w:val="2"/>
        </w:rPr>
        <w:t>f</w:t>
      </w:r>
      <w:r>
        <w:rPr>
          <w:spacing w:val="-1"/>
        </w:rPr>
        <w:t>e</w:t>
      </w:r>
      <w:r>
        <w:t>d</w:t>
      </w:r>
      <w:r>
        <w:rPr>
          <w:spacing w:val="-1"/>
        </w:rPr>
        <w:t>e</w:t>
      </w:r>
      <w:r>
        <w:rPr>
          <w:spacing w:val="2"/>
        </w:rPr>
        <w:t>r</w:t>
      </w:r>
      <w:r>
        <w:rPr>
          <w:spacing w:val="-1"/>
        </w:rPr>
        <w:t>a</w:t>
      </w:r>
      <w:r>
        <w:t xml:space="preserve">l </w:t>
      </w:r>
      <w:r>
        <w:rPr>
          <w:spacing w:val="1"/>
        </w:rPr>
        <w:t>a</w:t>
      </w:r>
      <w:r>
        <w:rPr>
          <w:spacing w:val="-2"/>
        </w:rPr>
        <w:t>g</w:t>
      </w:r>
      <w:r>
        <w:rPr>
          <w:spacing w:val="-1"/>
        </w:rPr>
        <w:t>e</w:t>
      </w:r>
      <w:r>
        <w:rPr>
          <w:spacing w:val="2"/>
        </w:rPr>
        <w:t>n</w:t>
      </w:r>
      <w:r>
        <w:rPr>
          <w:spacing w:val="1"/>
        </w:rPr>
        <w:t>c</w:t>
      </w:r>
      <w:r>
        <w:t>i</w:t>
      </w:r>
      <w:r>
        <w:rPr>
          <w:spacing w:val="-1"/>
        </w:rPr>
        <w:t>e</w:t>
      </w:r>
      <w:r>
        <w:t>s, st</w:t>
      </w:r>
      <w:r>
        <w:rPr>
          <w:spacing w:val="-1"/>
        </w:rPr>
        <w:t>a</w:t>
      </w:r>
      <w:r>
        <w:t>t</w:t>
      </w:r>
      <w:r>
        <w:rPr>
          <w:spacing w:val="-1"/>
        </w:rPr>
        <w:t>e</w:t>
      </w:r>
      <w:r>
        <w:t>s, t</w:t>
      </w:r>
      <w:r>
        <w:rPr>
          <w:spacing w:val="-1"/>
        </w:rPr>
        <w:t>r</w:t>
      </w:r>
      <w:r>
        <w:t>ib</w:t>
      </w:r>
      <w:r>
        <w:rPr>
          <w:spacing w:val="-1"/>
        </w:rPr>
        <w:t>e</w:t>
      </w:r>
      <w:r>
        <w:t>s, non</w:t>
      </w:r>
      <w:r>
        <w:rPr>
          <w:spacing w:val="2"/>
        </w:rPr>
        <w:t>-</w:t>
      </w:r>
      <w:r>
        <w:rPr>
          <w:spacing w:val="-2"/>
        </w:rPr>
        <w:t>g</w:t>
      </w:r>
      <w:r>
        <w:rPr>
          <w:spacing w:val="2"/>
        </w:rPr>
        <w:t>o</w:t>
      </w:r>
      <w:r>
        <w:t>v</w:t>
      </w:r>
      <w:r>
        <w:rPr>
          <w:spacing w:val="-1"/>
        </w:rPr>
        <w:t>er</w:t>
      </w:r>
      <w:r>
        <w:t>nm</w:t>
      </w:r>
      <w:r>
        <w:rPr>
          <w:spacing w:val="-1"/>
        </w:rPr>
        <w:t>e</w:t>
      </w:r>
      <w:r>
        <w:t>nt</w:t>
      </w:r>
      <w:r>
        <w:rPr>
          <w:spacing w:val="-1"/>
        </w:rPr>
        <w:t>a</w:t>
      </w:r>
      <w:r>
        <w:t>l o</w:t>
      </w:r>
      <w:r>
        <w:rPr>
          <w:spacing w:val="2"/>
        </w:rPr>
        <w:t>r</w:t>
      </w:r>
      <w:r>
        <w:t>g</w:t>
      </w:r>
      <w:r>
        <w:rPr>
          <w:spacing w:val="-1"/>
        </w:rPr>
        <w:t>a</w:t>
      </w:r>
      <w:r>
        <w:t>ni</w:t>
      </w:r>
      <w:r>
        <w:rPr>
          <w:spacing w:val="1"/>
        </w:rPr>
        <w:t>z</w:t>
      </w:r>
      <w:r>
        <w:rPr>
          <w:spacing w:val="-1"/>
        </w:rPr>
        <w:t>a</w:t>
      </w:r>
      <w:r>
        <w:t>tions, univ</w:t>
      </w:r>
      <w:r>
        <w:rPr>
          <w:spacing w:val="-1"/>
        </w:rPr>
        <w:t>er</w:t>
      </w:r>
      <w:r>
        <w:t>siti</w:t>
      </w:r>
      <w:r>
        <w:rPr>
          <w:spacing w:val="-1"/>
        </w:rPr>
        <w:t>e</w:t>
      </w:r>
      <w:r>
        <w:t xml:space="preserve">s, </w:t>
      </w:r>
      <w:r>
        <w:rPr>
          <w:spacing w:val="-1"/>
        </w:rPr>
        <w:t>a</w:t>
      </w:r>
      <w:r>
        <w:t>nd oth</w:t>
      </w:r>
      <w:r>
        <w:rPr>
          <w:spacing w:val="-1"/>
        </w:rPr>
        <w:t>er</w:t>
      </w:r>
      <w:r>
        <w:t xml:space="preserve">s. </w:t>
      </w:r>
      <w:r>
        <w:rPr>
          <w:spacing w:val="2"/>
        </w:rPr>
        <w:t xml:space="preserve"> </w:t>
      </w:r>
      <w:r>
        <w:t>The</w:t>
      </w:r>
      <w:r>
        <w:rPr>
          <w:spacing w:val="-1"/>
        </w:rPr>
        <w:t xml:space="preserve"> </w:t>
      </w:r>
      <w:r>
        <w:t>n</w:t>
      </w:r>
      <w:r>
        <w:rPr>
          <w:spacing w:val="-1"/>
        </w:rPr>
        <w:t>e</w:t>
      </w:r>
      <w:r>
        <w:t>w</w:t>
      </w:r>
      <w:r>
        <w:rPr>
          <w:spacing w:val="5"/>
        </w:rPr>
        <w:t>l</w:t>
      </w:r>
      <w:r>
        <w:t>y</w:t>
      </w:r>
      <w:r>
        <w:rPr>
          <w:spacing w:val="-5"/>
        </w:rPr>
        <w:t xml:space="preserve"> </w:t>
      </w:r>
      <w:r>
        <w:rPr>
          <w:spacing w:val="-1"/>
        </w:rPr>
        <w:t>f</w:t>
      </w:r>
      <w:r>
        <w:t>o</w:t>
      </w:r>
      <w:r>
        <w:rPr>
          <w:spacing w:val="-1"/>
        </w:rPr>
        <w:t>r</w:t>
      </w:r>
      <w:r>
        <w:rPr>
          <w:spacing w:val="3"/>
        </w:rPr>
        <w:t>m</w:t>
      </w:r>
      <w:r>
        <w:rPr>
          <w:spacing w:val="-1"/>
        </w:rPr>
        <w:t>e</w:t>
      </w:r>
      <w:r>
        <w:t>d D</w:t>
      </w:r>
      <w:r>
        <w:rPr>
          <w:spacing w:val="-1"/>
        </w:rPr>
        <w:t>e</w:t>
      </w:r>
      <w:r>
        <w:rPr>
          <w:spacing w:val="2"/>
        </w:rPr>
        <w:t>p</w:t>
      </w:r>
      <w:r>
        <w:rPr>
          <w:spacing w:val="-1"/>
        </w:rPr>
        <w:t>a</w:t>
      </w:r>
      <w:r>
        <w:rPr>
          <w:spacing w:val="2"/>
        </w:rPr>
        <w:t>r</w:t>
      </w:r>
      <w:r>
        <w:t>tm</w:t>
      </w:r>
      <w:r>
        <w:rPr>
          <w:spacing w:val="-1"/>
        </w:rPr>
        <w:t>e</w:t>
      </w:r>
      <w:r>
        <w:t>nt of</w:t>
      </w:r>
      <w:r>
        <w:rPr>
          <w:spacing w:val="2"/>
        </w:rPr>
        <w:t xml:space="preserve"> </w:t>
      </w:r>
      <w:r>
        <w:rPr>
          <w:spacing w:val="-6"/>
        </w:rPr>
        <w:t>I</w:t>
      </w:r>
      <w:r>
        <w:t>n</w:t>
      </w:r>
      <w:r>
        <w:rPr>
          <w:spacing w:val="3"/>
        </w:rPr>
        <w:t>t</w:t>
      </w:r>
      <w:r>
        <w:rPr>
          <w:spacing w:val="-1"/>
        </w:rPr>
        <w:t>er</w:t>
      </w:r>
      <w:r>
        <w:t>ior</w:t>
      </w:r>
      <w:r>
        <w:rPr>
          <w:spacing w:val="-1"/>
        </w:rPr>
        <w:t xml:space="preserve"> </w:t>
      </w:r>
      <w:r>
        <w:rPr>
          <w:spacing w:val="1"/>
        </w:rPr>
        <w:t>S</w:t>
      </w:r>
      <w:r>
        <w:t>outh</w:t>
      </w:r>
      <w:r>
        <w:rPr>
          <w:spacing w:val="-1"/>
        </w:rPr>
        <w:t>e</w:t>
      </w:r>
      <w:r>
        <w:rPr>
          <w:spacing w:val="1"/>
        </w:rPr>
        <w:t>a</w:t>
      </w:r>
      <w:r>
        <w:t xml:space="preserve">st </w:t>
      </w:r>
      <w:r>
        <w:rPr>
          <w:spacing w:val="1"/>
        </w:rPr>
        <w:t>C</w:t>
      </w:r>
      <w:r>
        <w:t>lim</w:t>
      </w:r>
      <w:r>
        <w:rPr>
          <w:spacing w:val="-1"/>
        </w:rPr>
        <w:t>a</w:t>
      </w:r>
      <w:r>
        <w:t>te</w:t>
      </w:r>
      <w:r>
        <w:rPr>
          <w:spacing w:val="-1"/>
        </w:rPr>
        <w:t xml:space="preserve"> </w:t>
      </w:r>
      <w:r>
        <w:rPr>
          <w:spacing w:val="1"/>
        </w:rPr>
        <w:t>S</w:t>
      </w:r>
      <w:r>
        <w:rPr>
          <w:spacing w:val="-1"/>
        </w:rPr>
        <w:t>er</w:t>
      </w:r>
      <w:r>
        <w:t>vi</w:t>
      </w:r>
      <w:r>
        <w:rPr>
          <w:spacing w:val="-1"/>
        </w:rPr>
        <w:t>ce</w:t>
      </w:r>
      <w:r>
        <w:t xml:space="preserve">s </w:t>
      </w:r>
      <w:r>
        <w:rPr>
          <w:spacing w:val="1"/>
        </w:rPr>
        <w:t>C</w:t>
      </w:r>
      <w:r>
        <w:rPr>
          <w:spacing w:val="-1"/>
        </w:rPr>
        <w:t>e</w:t>
      </w:r>
      <w:r>
        <w:t>nt</w:t>
      </w:r>
      <w:r>
        <w:rPr>
          <w:spacing w:val="-1"/>
        </w:rPr>
        <w:t>e</w:t>
      </w:r>
      <w:r>
        <w:t xml:space="preserve">r </w:t>
      </w:r>
      <w:r>
        <w:rPr>
          <w:spacing w:val="-1"/>
        </w:rPr>
        <w:t>(</w:t>
      </w:r>
      <w:r>
        <w:rPr>
          <w:spacing w:val="1"/>
        </w:rPr>
        <w:t>CSC</w:t>
      </w:r>
      <w:r>
        <w:t>)</w:t>
      </w:r>
      <w:r>
        <w:rPr>
          <w:spacing w:val="-1"/>
        </w:rPr>
        <w:t xml:space="preserve"> </w:t>
      </w:r>
      <w:r>
        <w:t>h</w:t>
      </w:r>
      <w:r>
        <w:rPr>
          <w:spacing w:val="-1"/>
        </w:rPr>
        <w:t>a</w:t>
      </w:r>
      <w:r>
        <w:t>s the</w:t>
      </w:r>
      <w:r>
        <w:rPr>
          <w:spacing w:val="1"/>
        </w:rPr>
        <w:t xml:space="preserve"> </w:t>
      </w:r>
      <w:r>
        <w:rPr>
          <w:spacing w:val="-5"/>
        </w:rPr>
        <w:t>L</w:t>
      </w:r>
      <w:r>
        <w:rPr>
          <w:spacing w:val="1"/>
        </w:rPr>
        <w:t>CC</w:t>
      </w:r>
      <w:r>
        <w:t>s in the</w:t>
      </w:r>
      <w:r>
        <w:rPr>
          <w:spacing w:val="-1"/>
        </w:rPr>
        <w:t xml:space="preserve"> r</w:t>
      </w:r>
      <w:r>
        <w:rPr>
          <w:spacing w:val="1"/>
        </w:rPr>
        <w:t>e</w:t>
      </w:r>
      <w:r>
        <w:rPr>
          <w:spacing w:val="-2"/>
        </w:rPr>
        <w:t>g</w:t>
      </w:r>
      <w:r>
        <w:t xml:space="preserve">ion </w:t>
      </w:r>
      <w:r>
        <w:rPr>
          <w:spacing w:val="-1"/>
        </w:rPr>
        <w:t>a</w:t>
      </w:r>
      <w:r>
        <w:t>s th</w:t>
      </w:r>
      <w:r>
        <w:rPr>
          <w:spacing w:val="-1"/>
        </w:rPr>
        <w:t>e</w:t>
      </w:r>
      <w:r>
        <w:t>ir</w:t>
      </w:r>
      <w:r>
        <w:rPr>
          <w:spacing w:val="-1"/>
        </w:rPr>
        <w:t xml:space="preserve"> </w:t>
      </w:r>
      <w:r>
        <w:rPr>
          <w:spacing w:val="2"/>
        </w:rPr>
        <w:t>p</w:t>
      </w:r>
      <w:r>
        <w:rPr>
          <w:spacing w:val="-1"/>
        </w:rPr>
        <w:t>r</w:t>
      </w:r>
      <w:r>
        <w:t>im</w:t>
      </w:r>
      <w:r>
        <w:rPr>
          <w:spacing w:val="-1"/>
        </w:rPr>
        <w:t>a</w:t>
      </w:r>
      <w:r>
        <w:rPr>
          <w:spacing w:val="2"/>
        </w:rPr>
        <w:t>r</w:t>
      </w:r>
      <w:r>
        <w:t>y</w:t>
      </w:r>
      <w:r>
        <w:rPr>
          <w:spacing w:val="-2"/>
        </w:rPr>
        <w:t xml:space="preserve"> </w:t>
      </w:r>
      <w:r>
        <w:rPr>
          <w:spacing w:val="-1"/>
        </w:rPr>
        <w:t>c</w:t>
      </w:r>
      <w:r>
        <w:t>li</w:t>
      </w:r>
      <w:r>
        <w:rPr>
          <w:spacing w:val="-1"/>
        </w:rPr>
        <w:t>e</w:t>
      </w:r>
      <w:r>
        <w:t>nts.  O</w:t>
      </w:r>
      <w:r>
        <w:rPr>
          <w:spacing w:val="2"/>
        </w:rPr>
        <w:t>n</w:t>
      </w:r>
      <w:r>
        <w:t>e</w:t>
      </w:r>
      <w:r>
        <w:rPr>
          <w:spacing w:val="-1"/>
        </w:rPr>
        <w:t xml:space="preserve"> </w:t>
      </w:r>
      <w:r>
        <w:t>of</w:t>
      </w:r>
      <w:r>
        <w:rPr>
          <w:spacing w:val="-1"/>
        </w:rPr>
        <w:t xml:space="preserve"> </w:t>
      </w:r>
      <w:r>
        <w:t>the</w:t>
      </w:r>
      <w:r>
        <w:rPr>
          <w:spacing w:val="-1"/>
        </w:rPr>
        <w:t xml:space="preserve"> </w:t>
      </w:r>
      <w:r>
        <w:t>initi</w:t>
      </w:r>
      <w:r>
        <w:rPr>
          <w:spacing w:val="-1"/>
        </w:rPr>
        <w:t>a</w:t>
      </w:r>
      <w:r>
        <w:t xml:space="preserve">l </w:t>
      </w:r>
      <w:r>
        <w:rPr>
          <w:spacing w:val="-1"/>
        </w:rPr>
        <w:t>c</w:t>
      </w:r>
      <w:r>
        <w:t>h</w:t>
      </w:r>
      <w:r>
        <w:rPr>
          <w:spacing w:val="-1"/>
        </w:rPr>
        <w:t>a</w:t>
      </w:r>
      <w:r>
        <w:rPr>
          <w:spacing w:val="2"/>
        </w:rPr>
        <w:t>r</w:t>
      </w:r>
      <w:r>
        <w:t>g</w:t>
      </w:r>
      <w:r>
        <w:rPr>
          <w:spacing w:val="-1"/>
        </w:rPr>
        <w:t>e</w:t>
      </w:r>
      <w:r>
        <w:t>s of</w:t>
      </w:r>
      <w:r>
        <w:rPr>
          <w:spacing w:val="-1"/>
        </w:rPr>
        <w:t xml:space="preserve"> </w:t>
      </w:r>
      <w:r>
        <w:t>the</w:t>
      </w:r>
      <w:r>
        <w:rPr>
          <w:spacing w:val="-1"/>
        </w:rPr>
        <w:t xml:space="preserve"> </w:t>
      </w:r>
      <w:r>
        <w:rPr>
          <w:spacing w:val="1"/>
        </w:rPr>
        <w:t>CSC</w:t>
      </w:r>
      <w:r>
        <w:t>s is to downs</w:t>
      </w:r>
      <w:r>
        <w:rPr>
          <w:spacing w:val="-1"/>
        </w:rPr>
        <w:t>ca</w:t>
      </w:r>
      <w:r>
        <w:t>le</w:t>
      </w:r>
      <w:r>
        <w:rPr>
          <w:spacing w:val="-1"/>
        </w:rPr>
        <w:t xml:space="preserve"> c</w:t>
      </w:r>
      <w:r>
        <w:t>lim</w:t>
      </w:r>
      <w:r>
        <w:rPr>
          <w:spacing w:val="-1"/>
        </w:rPr>
        <w:t>a</w:t>
      </w:r>
      <w:r>
        <w:t>te</w:t>
      </w:r>
      <w:r>
        <w:rPr>
          <w:spacing w:val="-1"/>
        </w:rPr>
        <w:t xml:space="preserve"> </w:t>
      </w:r>
      <w:r>
        <w:t>mo</w:t>
      </w:r>
      <w:r>
        <w:rPr>
          <w:spacing w:val="2"/>
        </w:rPr>
        <w:t>d</w:t>
      </w:r>
      <w:r>
        <w:rPr>
          <w:spacing w:val="-1"/>
        </w:rPr>
        <w:t>e</w:t>
      </w:r>
      <w:r>
        <w:t xml:space="preserve">ls </w:t>
      </w:r>
      <w:r>
        <w:rPr>
          <w:spacing w:val="-1"/>
        </w:rPr>
        <w:t>f</w:t>
      </w:r>
      <w:r>
        <w:t>or</w:t>
      </w:r>
      <w:r>
        <w:rPr>
          <w:spacing w:val="-1"/>
        </w:rPr>
        <w:t xml:space="preserve"> </w:t>
      </w:r>
      <w:r>
        <w:t>use</w:t>
      </w:r>
      <w:r>
        <w:rPr>
          <w:spacing w:val="-1"/>
        </w:rPr>
        <w:t xml:space="preserve"> a</w:t>
      </w:r>
      <w:r>
        <w:t xml:space="preserve">t </w:t>
      </w:r>
      <w:r>
        <w:rPr>
          <w:spacing w:val="-1"/>
        </w:rPr>
        <w:t>f</w:t>
      </w:r>
      <w:r>
        <w:t>i</w:t>
      </w:r>
      <w:r>
        <w:rPr>
          <w:spacing w:val="2"/>
        </w:rPr>
        <w:t>n</w:t>
      </w:r>
      <w:r>
        <w:rPr>
          <w:spacing w:val="-1"/>
        </w:rPr>
        <w:t>e</w:t>
      </w:r>
      <w:r>
        <w:t>r</w:t>
      </w:r>
      <w:r>
        <w:rPr>
          <w:spacing w:val="-1"/>
        </w:rPr>
        <w:t xml:space="preserve"> </w:t>
      </w:r>
      <w:r>
        <w:t>s</w:t>
      </w:r>
      <w:r>
        <w:rPr>
          <w:spacing w:val="1"/>
        </w:rPr>
        <w:t>c</w:t>
      </w:r>
      <w:r>
        <w:rPr>
          <w:spacing w:val="-1"/>
        </w:rPr>
        <w:t>a</w:t>
      </w:r>
      <w:r>
        <w:t>l</w:t>
      </w:r>
      <w:r>
        <w:rPr>
          <w:spacing w:val="-1"/>
        </w:rPr>
        <w:t>e</w:t>
      </w:r>
      <w:r>
        <w:t>s.</w:t>
      </w:r>
      <w:r w:rsidRPr="002A21D2">
        <w:t xml:space="preserve"> </w:t>
      </w:r>
    </w:p>
    <w:p w14:paraId="2F5C8338" w14:textId="77777777" w:rsidR="00DC4922" w:rsidRDefault="00DC4922" w:rsidP="00DC4922"/>
    <w:p w14:paraId="0B22C0F5" w14:textId="77777777" w:rsidR="00DC4922" w:rsidRDefault="00DC4922" w:rsidP="00640526">
      <w:pPr>
        <w:ind w:firstLine="360"/>
      </w:pPr>
      <w:r w:rsidRPr="007E6726">
        <w:t xml:space="preserve">The </w:t>
      </w:r>
      <w:r>
        <w:t xml:space="preserve">SALCC developed a Strategic Plan </w:t>
      </w:r>
      <w:r w:rsidRPr="007E6726">
        <w:t>through an iterative process that began in December 2011. The plan provides a simple strategy for moving f</w:t>
      </w:r>
      <w:r>
        <w:t xml:space="preserve">orward over the next few years.  An </w:t>
      </w:r>
      <w:r w:rsidRPr="007E6726">
        <w:t xml:space="preserve">operations plan was developed </w:t>
      </w:r>
      <w:r>
        <w:t>under direction from the SALCC Steering C</w:t>
      </w:r>
      <w:r w:rsidRPr="007E6726">
        <w:t>ommittee to</w:t>
      </w:r>
      <w:r>
        <w:t xml:space="preserve"> redouble efforts to develop version</w:t>
      </w:r>
      <w:r w:rsidRPr="007E6726">
        <w:t xml:space="preserve"> 1.0 of </w:t>
      </w:r>
      <w:r>
        <w:t>a</w:t>
      </w:r>
      <w:r w:rsidRPr="007E6726">
        <w:t xml:space="preserve"> shared conservation blueprint by spring-summer of 2014.</w:t>
      </w:r>
      <w:r>
        <w:t xml:space="preserve">  The SALCC is developing the</w:t>
      </w:r>
      <w:r w:rsidRPr="007B1703">
        <w:t xml:space="preserve"> regional blueprint to address the rapid changes in the South Atlantic including but </w:t>
      </w:r>
      <w:r>
        <w:t xml:space="preserve">not </w:t>
      </w:r>
      <w:r w:rsidRPr="007B1703">
        <w:t xml:space="preserve">limited to climate change, urban growth, and increasing human demands on resources which are reshaping the landscape. While these forces cut across political and jurisdictional boundaries, the conservation community does not have a consistent cross-boundary, cross-organization plan for how to respond. The South Atlantic Conservation Blueprint will be that plan. The blueprint is envisioned to be a spatially-explicit map depicting the places and actions need to sustain South Atlantic LCC objectives in the face of future change. The steps to creating the blueprint include development of: indicators and targets (shared metrics of success); the State of the South Atlantic (past, present, and future condition of indicators); </w:t>
      </w:r>
      <w:r>
        <w:t xml:space="preserve">and </w:t>
      </w:r>
      <w:r w:rsidRPr="007B1703">
        <w:t>a Conservation Blueprint. Potential ways the blueprint could be used include: finding the best places for people and organizations to work together; raising new money to implement conservation actions; guiding infrastructure development (highways, wind, urban growth, etc.); creating incentives as an alternative to regulation; bringing a landscape perspective to local adaptation efforts; and locating places and actions to build resilience after major disasters (hurricanes, oil spills, etc.).</w:t>
      </w:r>
      <w:r>
        <w:t xml:space="preserve"> Integration of connectivity, function, and threats to river, estuarine and marine systems supporting Council managed species is supported by the SALCC and enhanced by the Council being a voting member of its Steering Committee.  In addition, the Council’s Regional Atlas presents spatial representations of Essential Fish Habitat, managed areas, regional fish and fish habitat distribution, and fishery operation information and it be linked to or drawn on as a critical part of the collaboration with the recently developed SALCC Conservation Planning Atlas.</w:t>
      </w:r>
    </w:p>
    <w:p w14:paraId="4F5120AA" w14:textId="77777777" w:rsidR="00DC4922" w:rsidRDefault="00DC4922" w:rsidP="00DC4922">
      <w:pPr>
        <w:rPr>
          <w:sz w:val="26"/>
        </w:rPr>
      </w:pPr>
    </w:p>
    <w:p w14:paraId="765EF34B" w14:textId="77777777" w:rsidR="00DC4922" w:rsidRPr="00EB603B" w:rsidRDefault="00DC4922" w:rsidP="00DC4922">
      <w:pPr>
        <w:rPr>
          <w:b/>
          <w:i/>
        </w:rPr>
      </w:pPr>
      <w:r w:rsidRPr="00EB603B">
        <w:rPr>
          <w:b/>
          <w:i/>
        </w:rPr>
        <w:t>Building Tools</w:t>
      </w:r>
      <w:r w:rsidRPr="00EB603B">
        <w:rPr>
          <w:b/>
          <w:i/>
          <w:spacing w:val="1"/>
        </w:rPr>
        <w:t xml:space="preserve"> </w:t>
      </w:r>
      <w:r w:rsidRPr="00EB603B">
        <w:rPr>
          <w:b/>
          <w:i/>
          <w:spacing w:val="-1"/>
        </w:rPr>
        <w:t>t</w:t>
      </w:r>
      <w:r w:rsidRPr="00EB603B">
        <w:rPr>
          <w:b/>
          <w:i/>
        </w:rPr>
        <w:t xml:space="preserve">o </w:t>
      </w:r>
      <w:r w:rsidRPr="00EB603B">
        <w:rPr>
          <w:b/>
          <w:i/>
          <w:spacing w:val="1"/>
        </w:rPr>
        <w:t>s</w:t>
      </w:r>
      <w:r w:rsidRPr="00EB603B">
        <w:rPr>
          <w:b/>
          <w:i/>
        </w:rPr>
        <w:t>u</w:t>
      </w:r>
      <w:r w:rsidRPr="00EB603B">
        <w:rPr>
          <w:b/>
          <w:i/>
          <w:spacing w:val="-3"/>
        </w:rPr>
        <w:t>p</w:t>
      </w:r>
      <w:r w:rsidRPr="00EB603B">
        <w:rPr>
          <w:b/>
          <w:i/>
        </w:rPr>
        <w:t xml:space="preserve">port </w:t>
      </w:r>
      <w:r w:rsidRPr="00EB603B">
        <w:rPr>
          <w:b/>
          <w:i/>
          <w:spacing w:val="1"/>
        </w:rPr>
        <w:t>E</w:t>
      </w:r>
      <w:r w:rsidRPr="00EB603B">
        <w:rPr>
          <w:b/>
          <w:i/>
        </w:rPr>
        <w:t xml:space="preserve">BM in </w:t>
      </w:r>
      <w:r w:rsidRPr="00EB603B">
        <w:rPr>
          <w:b/>
          <w:i/>
          <w:spacing w:val="-1"/>
        </w:rPr>
        <w:t>t</w:t>
      </w:r>
      <w:r w:rsidRPr="00EB603B">
        <w:rPr>
          <w:b/>
          <w:i/>
        </w:rPr>
        <w:t>he</w:t>
      </w:r>
      <w:r w:rsidRPr="00EB603B">
        <w:rPr>
          <w:b/>
          <w:i/>
          <w:spacing w:val="1"/>
        </w:rPr>
        <w:t xml:space="preserve"> S</w:t>
      </w:r>
      <w:r w:rsidRPr="00EB603B">
        <w:rPr>
          <w:b/>
          <w:i/>
        </w:rPr>
        <w:t>ou</w:t>
      </w:r>
      <w:r w:rsidRPr="00EB603B">
        <w:rPr>
          <w:b/>
          <w:i/>
          <w:spacing w:val="-1"/>
        </w:rPr>
        <w:t>t</w:t>
      </w:r>
      <w:r w:rsidRPr="00EB603B">
        <w:rPr>
          <w:b/>
          <w:i/>
        </w:rPr>
        <w:t>h</w:t>
      </w:r>
      <w:r w:rsidRPr="00EB603B">
        <w:rPr>
          <w:b/>
          <w:i/>
          <w:spacing w:val="3"/>
        </w:rPr>
        <w:t xml:space="preserve"> </w:t>
      </w:r>
      <w:r w:rsidRPr="00EB603B">
        <w:rPr>
          <w:b/>
          <w:i/>
          <w:spacing w:val="-5"/>
        </w:rPr>
        <w:t>A</w:t>
      </w:r>
      <w:r w:rsidRPr="00EB603B">
        <w:rPr>
          <w:b/>
          <w:i/>
          <w:spacing w:val="-1"/>
        </w:rPr>
        <w:t>t</w:t>
      </w:r>
      <w:r w:rsidRPr="00EB603B">
        <w:rPr>
          <w:b/>
          <w:i/>
        </w:rPr>
        <w:t>l</w:t>
      </w:r>
      <w:r w:rsidRPr="00EB603B">
        <w:rPr>
          <w:b/>
          <w:i/>
          <w:spacing w:val="1"/>
        </w:rPr>
        <w:t>a</w:t>
      </w:r>
      <w:r w:rsidRPr="00EB603B">
        <w:rPr>
          <w:b/>
          <w:i/>
        </w:rPr>
        <w:t>n</w:t>
      </w:r>
      <w:r w:rsidRPr="00EB603B">
        <w:rPr>
          <w:b/>
          <w:i/>
          <w:spacing w:val="-1"/>
        </w:rPr>
        <w:t>t</w:t>
      </w:r>
      <w:r w:rsidRPr="00EB603B">
        <w:rPr>
          <w:b/>
          <w:i/>
        </w:rPr>
        <w:t>ic</w:t>
      </w:r>
      <w:r w:rsidRPr="00EB603B">
        <w:rPr>
          <w:b/>
          <w:i/>
          <w:spacing w:val="1"/>
        </w:rPr>
        <w:t xml:space="preserve"> </w:t>
      </w:r>
      <w:r w:rsidRPr="00EB603B">
        <w:rPr>
          <w:b/>
          <w:i/>
        </w:rPr>
        <w:t>R</w:t>
      </w:r>
      <w:r w:rsidRPr="00EB603B">
        <w:rPr>
          <w:b/>
          <w:i/>
          <w:spacing w:val="1"/>
        </w:rPr>
        <w:t>e</w:t>
      </w:r>
      <w:r w:rsidRPr="00EB603B">
        <w:rPr>
          <w:b/>
          <w:i/>
        </w:rPr>
        <w:t>gion</w:t>
      </w:r>
    </w:p>
    <w:p w14:paraId="33A886C6" w14:textId="77777777" w:rsidR="00DC4922" w:rsidRDefault="00DC4922" w:rsidP="00640526">
      <w:pPr>
        <w:ind w:firstLine="360"/>
      </w:pPr>
      <w:r>
        <w:t>The</w:t>
      </w:r>
      <w:r>
        <w:rPr>
          <w:spacing w:val="-1"/>
        </w:rPr>
        <w:t xml:space="preserve"> </w:t>
      </w:r>
      <w:r>
        <w:rPr>
          <w:spacing w:val="1"/>
        </w:rPr>
        <w:t>C</w:t>
      </w:r>
      <w:r>
        <w:t>oun</w:t>
      </w:r>
      <w:r>
        <w:rPr>
          <w:spacing w:val="-1"/>
        </w:rPr>
        <w:t>c</w:t>
      </w:r>
      <w:r>
        <w:t>il h</w:t>
      </w:r>
      <w:r>
        <w:rPr>
          <w:spacing w:val="-1"/>
        </w:rPr>
        <w:t>a</w:t>
      </w:r>
      <w:r>
        <w:t>s d</w:t>
      </w:r>
      <w:r>
        <w:rPr>
          <w:spacing w:val="-1"/>
        </w:rPr>
        <w:t>e</w:t>
      </w:r>
      <w:r>
        <w:t>v</w:t>
      </w:r>
      <w:r>
        <w:rPr>
          <w:spacing w:val="-1"/>
        </w:rPr>
        <w:t>e</w:t>
      </w:r>
      <w:r>
        <w:t>lo</w:t>
      </w:r>
      <w:r>
        <w:rPr>
          <w:spacing w:val="2"/>
        </w:rPr>
        <w:t>p</w:t>
      </w:r>
      <w:r>
        <w:rPr>
          <w:spacing w:val="-1"/>
        </w:rPr>
        <w:t>e</w:t>
      </w:r>
      <w:r>
        <w:t>d a</w:t>
      </w:r>
      <w:r>
        <w:rPr>
          <w:spacing w:val="-1"/>
        </w:rPr>
        <w:t xml:space="preserve"> </w:t>
      </w:r>
      <w:r>
        <w:t>H</w:t>
      </w:r>
      <w:r>
        <w:rPr>
          <w:spacing w:val="-1"/>
        </w:rPr>
        <w:t>a</w:t>
      </w:r>
      <w:r>
        <w:t>bit</w:t>
      </w:r>
      <w:r>
        <w:rPr>
          <w:spacing w:val="-1"/>
        </w:rPr>
        <w:t>a</w:t>
      </w:r>
      <w:r>
        <w:t>t</w:t>
      </w:r>
      <w:r>
        <w:rPr>
          <w:spacing w:val="3"/>
        </w:rPr>
        <w:t xml:space="preserve"> </w:t>
      </w:r>
      <w:r>
        <w:rPr>
          <w:spacing w:val="-1"/>
        </w:rPr>
        <w:t>a</w:t>
      </w:r>
      <w:r>
        <w:t>nd E</w:t>
      </w:r>
      <w:r>
        <w:rPr>
          <w:spacing w:val="-1"/>
        </w:rPr>
        <w:t>c</w:t>
      </w:r>
      <w:r>
        <w:t>o</w:t>
      </w:r>
      <w:r>
        <w:rPr>
          <w:spacing w:val="5"/>
        </w:rPr>
        <w:t>s</w:t>
      </w:r>
      <w:r>
        <w:rPr>
          <w:spacing w:val="-5"/>
        </w:rPr>
        <w:t>y</w:t>
      </w:r>
      <w:r>
        <w:t>s</w:t>
      </w:r>
      <w:r>
        <w:rPr>
          <w:spacing w:val="3"/>
        </w:rPr>
        <w:t>t</w:t>
      </w:r>
      <w:r>
        <w:rPr>
          <w:spacing w:val="-1"/>
        </w:rPr>
        <w:t>e</w:t>
      </w:r>
      <w:r>
        <w:t xml:space="preserve">m </w:t>
      </w:r>
      <w:r>
        <w:rPr>
          <w:spacing w:val="1"/>
        </w:rPr>
        <w:t>S</w:t>
      </w:r>
      <w:r>
        <w:rPr>
          <w:spacing w:val="-1"/>
        </w:rPr>
        <w:t>ec</w:t>
      </w:r>
      <w:r>
        <w:t>tion of</w:t>
      </w:r>
      <w:r>
        <w:rPr>
          <w:spacing w:val="-1"/>
        </w:rPr>
        <w:t xml:space="preserve"> </w:t>
      </w:r>
      <w:r>
        <w:t>the</w:t>
      </w:r>
      <w:r>
        <w:rPr>
          <w:spacing w:val="-1"/>
        </w:rPr>
        <w:t xml:space="preserve"> </w:t>
      </w:r>
      <w:r>
        <w:t>w</w:t>
      </w:r>
      <w:r>
        <w:rPr>
          <w:spacing w:val="-1"/>
        </w:rPr>
        <w:t>e</w:t>
      </w:r>
      <w:r>
        <w:t>bsi</w:t>
      </w:r>
      <w:r>
        <w:rPr>
          <w:spacing w:val="3"/>
        </w:rPr>
        <w:t>t</w:t>
      </w:r>
      <w:r>
        <w:t>e</w:t>
      </w:r>
    </w:p>
    <w:p w14:paraId="63471D97" w14:textId="77777777" w:rsidR="00DC4922" w:rsidRDefault="009108B8" w:rsidP="00DC4922">
      <w:pPr>
        <w:rPr>
          <w:color w:val="000000"/>
        </w:rPr>
      </w:pPr>
      <w:hyperlink r:id="rId111" w:history="1">
        <w:r w:rsidR="00DC4922">
          <w:rPr>
            <w:color w:val="0000FF"/>
            <w:u w:val="single"/>
          </w:rPr>
          <w:t>http://www.s</w:t>
        </w:r>
        <w:r w:rsidR="00DC4922">
          <w:rPr>
            <w:color w:val="0000FF"/>
            <w:spacing w:val="-1"/>
            <w:u w:val="single"/>
          </w:rPr>
          <w:t>af</w:t>
        </w:r>
        <w:r w:rsidR="00DC4922">
          <w:rPr>
            <w:color w:val="0000FF"/>
            <w:u w:val="single"/>
          </w:rPr>
          <w:t>m</w:t>
        </w:r>
        <w:r w:rsidR="00DC4922">
          <w:rPr>
            <w:color w:val="0000FF"/>
            <w:spacing w:val="-1"/>
            <w:u w:val="single"/>
          </w:rPr>
          <w:t>c</w:t>
        </w:r>
        <w:r w:rsidR="00DC4922">
          <w:rPr>
            <w:color w:val="0000FF"/>
            <w:u w:val="single"/>
          </w:rPr>
          <w:t>.n</w:t>
        </w:r>
        <w:r w:rsidR="00DC4922">
          <w:rPr>
            <w:color w:val="0000FF"/>
            <w:spacing w:val="-1"/>
            <w:u w:val="single"/>
          </w:rPr>
          <w:t>e</w:t>
        </w:r>
        <w:r w:rsidR="00DC4922">
          <w:rPr>
            <w:color w:val="0000FF"/>
            <w:u w:val="single"/>
          </w:rPr>
          <w:t>t/</w:t>
        </w:r>
        <w:r w:rsidR="00DC4922">
          <w:rPr>
            <w:color w:val="0000FF"/>
            <w:spacing w:val="-1"/>
            <w:u w:val="single"/>
          </w:rPr>
          <w:t>e</w:t>
        </w:r>
        <w:r w:rsidR="00DC4922">
          <w:rPr>
            <w:color w:val="0000FF"/>
            <w:spacing w:val="1"/>
            <w:u w:val="single"/>
          </w:rPr>
          <w:t>c</w:t>
        </w:r>
        <w:r w:rsidR="00DC4922">
          <w:rPr>
            <w:color w:val="0000FF"/>
            <w:u w:val="single"/>
          </w:rPr>
          <w:t>o</w:t>
        </w:r>
        <w:r w:rsidR="00DC4922">
          <w:rPr>
            <w:color w:val="0000FF"/>
            <w:spacing w:val="3"/>
            <w:u w:val="single"/>
          </w:rPr>
          <w:t>s</w:t>
        </w:r>
        <w:r w:rsidR="00DC4922">
          <w:rPr>
            <w:color w:val="0000FF"/>
            <w:spacing w:val="-5"/>
            <w:u w:val="single"/>
          </w:rPr>
          <w:t>y</w:t>
        </w:r>
        <w:r w:rsidR="00DC4922">
          <w:rPr>
            <w:color w:val="0000FF"/>
            <w:u w:val="single"/>
          </w:rPr>
          <w:t>st</w:t>
        </w:r>
        <w:r w:rsidR="00DC4922">
          <w:rPr>
            <w:color w:val="0000FF"/>
            <w:spacing w:val="-1"/>
            <w:u w:val="single"/>
          </w:rPr>
          <w:t>e</w:t>
        </w:r>
        <w:r w:rsidR="00DC4922">
          <w:rPr>
            <w:color w:val="0000FF"/>
            <w:u w:val="single"/>
          </w:rPr>
          <w:t>m/Hom</w:t>
        </w:r>
        <w:r w:rsidR="00DC4922">
          <w:rPr>
            <w:color w:val="0000FF"/>
            <w:spacing w:val="-1"/>
            <w:u w:val="single"/>
          </w:rPr>
          <w:t>e</w:t>
        </w:r>
        <w:r w:rsidR="00DC4922">
          <w:rPr>
            <w:color w:val="0000FF"/>
            <w:u w:val="single"/>
          </w:rPr>
          <w:t>/E</w:t>
        </w:r>
        <w:r w:rsidR="00DC4922">
          <w:rPr>
            <w:color w:val="0000FF"/>
            <w:spacing w:val="-1"/>
            <w:u w:val="single"/>
          </w:rPr>
          <w:t>c</w:t>
        </w:r>
        <w:r w:rsidR="00DC4922">
          <w:rPr>
            <w:color w:val="0000FF"/>
            <w:u w:val="single"/>
          </w:rPr>
          <w:t>o</w:t>
        </w:r>
        <w:r w:rsidR="00DC4922">
          <w:rPr>
            <w:color w:val="0000FF"/>
            <w:spacing w:val="5"/>
            <w:u w:val="single"/>
          </w:rPr>
          <w:t>s</w:t>
        </w:r>
        <w:r w:rsidR="00DC4922">
          <w:rPr>
            <w:color w:val="0000FF"/>
            <w:spacing w:val="-5"/>
            <w:u w:val="single"/>
          </w:rPr>
          <w:t>y</w:t>
        </w:r>
        <w:r w:rsidR="00DC4922">
          <w:rPr>
            <w:color w:val="0000FF"/>
            <w:u w:val="single"/>
          </w:rPr>
          <w:t>st</w:t>
        </w:r>
        <w:r w:rsidR="00DC4922">
          <w:rPr>
            <w:color w:val="0000FF"/>
            <w:spacing w:val="1"/>
            <w:u w:val="single"/>
          </w:rPr>
          <w:t>e</w:t>
        </w:r>
        <w:r w:rsidR="00DC4922">
          <w:rPr>
            <w:color w:val="0000FF"/>
            <w:u w:val="single"/>
          </w:rPr>
          <w:t>mHom</w:t>
        </w:r>
        <w:r w:rsidR="00DC4922">
          <w:rPr>
            <w:color w:val="0000FF"/>
            <w:spacing w:val="-1"/>
            <w:u w:val="single"/>
          </w:rPr>
          <w:t>e</w:t>
        </w:r>
        <w:r w:rsidR="00DC4922">
          <w:rPr>
            <w:color w:val="0000FF"/>
            <w:u w:val="single"/>
          </w:rPr>
          <w:t>/t</w:t>
        </w:r>
        <w:r w:rsidR="00DC4922">
          <w:rPr>
            <w:color w:val="0000FF"/>
            <w:spacing w:val="-1"/>
            <w:u w:val="single"/>
          </w:rPr>
          <w:t>a</w:t>
        </w:r>
        <w:r w:rsidR="00DC4922">
          <w:rPr>
            <w:color w:val="0000FF"/>
            <w:u w:val="single"/>
          </w:rPr>
          <w:t>bid/435/D</w:t>
        </w:r>
        <w:r w:rsidR="00DC4922">
          <w:rPr>
            <w:color w:val="0000FF"/>
            <w:spacing w:val="-1"/>
            <w:u w:val="single"/>
          </w:rPr>
          <w:t>efa</w:t>
        </w:r>
        <w:r w:rsidR="00DC4922">
          <w:rPr>
            <w:color w:val="0000FF"/>
            <w:spacing w:val="2"/>
            <w:u w:val="single"/>
          </w:rPr>
          <w:t>u</w:t>
        </w:r>
        <w:r w:rsidR="00DC4922">
          <w:rPr>
            <w:color w:val="0000FF"/>
            <w:u w:val="single"/>
          </w:rPr>
          <w:t>lt.</w:t>
        </w:r>
        <w:r w:rsidR="00DC4922">
          <w:rPr>
            <w:color w:val="0000FF"/>
            <w:spacing w:val="-1"/>
            <w:u w:val="single"/>
          </w:rPr>
          <w:t>a</w:t>
        </w:r>
        <w:r w:rsidR="00DC4922">
          <w:rPr>
            <w:color w:val="0000FF"/>
            <w:u w:val="single"/>
          </w:rPr>
          <w:t>spx</w:t>
        </w:r>
        <w:r w:rsidR="00DC4922">
          <w:rPr>
            <w:color w:val="0000FF"/>
            <w:spacing w:val="2"/>
          </w:rPr>
          <w:t xml:space="preserve"> </w:t>
        </w:r>
      </w:hyperlink>
      <w:r w:rsidR="00DC4922">
        <w:rPr>
          <w:color w:val="000000"/>
          <w:spacing w:val="-1"/>
        </w:rPr>
        <w:t>a</w:t>
      </w:r>
      <w:r w:rsidR="00DC4922">
        <w:rPr>
          <w:color w:val="000000"/>
        </w:rPr>
        <w:t xml:space="preserve">nd, in </w:t>
      </w:r>
      <w:r w:rsidR="00DC4922">
        <w:rPr>
          <w:color w:val="000000"/>
          <w:spacing w:val="-1"/>
        </w:rPr>
        <w:t>c</w:t>
      </w:r>
      <w:r w:rsidR="00DC4922">
        <w:rPr>
          <w:color w:val="000000"/>
        </w:rPr>
        <w:t>oop</w:t>
      </w:r>
      <w:r w:rsidR="00DC4922">
        <w:rPr>
          <w:color w:val="000000"/>
          <w:spacing w:val="-1"/>
        </w:rPr>
        <w:t>era</w:t>
      </w:r>
      <w:r w:rsidR="00DC4922">
        <w:rPr>
          <w:color w:val="000000"/>
        </w:rPr>
        <w:t>tion with the</w:t>
      </w:r>
      <w:r w:rsidR="00DC4922">
        <w:rPr>
          <w:color w:val="000000"/>
          <w:spacing w:val="-1"/>
        </w:rPr>
        <w:t xml:space="preserve"> F</w:t>
      </w:r>
      <w:r w:rsidR="00DC4922">
        <w:rPr>
          <w:color w:val="000000"/>
        </w:rPr>
        <w:t>lo</w:t>
      </w:r>
      <w:r w:rsidR="00DC4922">
        <w:rPr>
          <w:color w:val="000000"/>
          <w:spacing w:val="-1"/>
        </w:rPr>
        <w:t>r</w:t>
      </w:r>
      <w:r w:rsidR="00DC4922">
        <w:rPr>
          <w:color w:val="000000"/>
        </w:rPr>
        <w:t>ida</w:t>
      </w:r>
      <w:r w:rsidR="00DC4922">
        <w:rPr>
          <w:color w:val="000000"/>
          <w:spacing w:val="-1"/>
        </w:rPr>
        <w:t xml:space="preserve"> </w:t>
      </w:r>
      <w:r w:rsidR="00DC4922">
        <w:rPr>
          <w:color w:val="000000"/>
          <w:spacing w:val="1"/>
        </w:rPr>
        <w:t>W</w:t>
      </w:r>
      <w:r w:rsidR="00DC4922">
        <w:rPr>
          <w:color w:val="000000"/>
        </w:rPr>
        <w:t>ildli</w:t>
      </w:r>
      <w:r w:rsidR="00DC4922">
        <w:rPr>
          <w:color w:val="000000"/>
          <w:spacing w:val="-1"/>
        </w:rPr>
        <w:t>f</w:t>
      </w:r>
      <w:r w:rsidR="00DC4922">
        <w:rPr>
          <w:color w:val="000000"/>
        </w:rPr>
        <w:t>e</w:t>
      </w:r>
      <w:r w:rsidR="00DC4922">
        <w:rPr>
          <w:color w:val="000000"/>
          <w:spacing w:val="-1"/>
        </w:rPr>
        <w:t xml:space="preserve"> </w:t>
      </w:r>
      <w:r w:rsidR="00DC4922">
        <w:rPr>
          <w:color w:val="000000"/>
          <w:spacing w:val="1"/>
        </w:rPr>
        <w:t>R</w:t>
      </w:r>
      <w:r w:rsidR="00DC4922">
        <w:rPr>
          <w:color w:val="000000"/>
          <w:spacing w:val="-1"/>
        </w:rPr>
        <w:t>e</w:t>
      </w:r>
      <w:r w:rsidR="00DC4922">
        <w:rPr>
          <w:color w:val="000000"/>
        </w:rPr>
        <w:t>s</w:t>
      </w:r>
      <w:r w:rsidR="00DC4922">
        <w:rPr>
          <w:color w:val="000000"/>
          <w:spacing w:val="-1"/>
        </w:rPr>
        <w:t>earc</w:t>
      </w:r>
      <w:r w:rsidR="00DC4922">
        <w:rPr>
          <w:color w:val="000000"/>
        </w:rPr>
        <w:t>h</w:t>
      </w:r>
      <w:r w:rsidR="00DC4922">
        <w:rPr>
          <w:color w:val="000000"/>
          <w:spacing w:val="5"/>
        </w:rPr>
        <w:t xml:space="preserve"> </w:t>
      </w:r>
      <w:r w:rsidR="00DC4922">
        <w:rPr>
          <w:color w:val="000000"/>
          <w:spacing w:val="-3"/>
        </w:rPr>
        <w:t>I</w:t>
      </w:r>
      <w:r w:rsidR="00DC4922">
        <w:rPr>
          <w:color w:val="000000"/>
        </w:rPr>
        <w:t>nstitute</w:t>
      </w:r>
      <w:r w:rsidR="00DC4922">
        <w:rPr>
          <w:color w:val="000000"/>
          <w:spacing w:val="-1"/>
        </w:rPr>
        <w:t xml:space="preserve"> (F</w:t>
      </w:r>
      <w:r w:rsidR="00DC4922">
        <w:rPr>
          <w:color w:val="000000"/>
          <w:spacing w:val="1"/>
        </w:rPr>
        <w:t>WR</w:t>
      </w:r>
      <w:r w:rsidR="00DC4922">
        <w:rPr>
          <w:color w:val="000000"/>
          <w:spacing w:val="-3"/>
        </w:rPr>
        <w:t>I</w:t>
      </w:r>
      <w:r w:rsidR="00DC4922">
        <w:rPr>
          <w:color w:val="000000"/>
          <w:spacing w:val="2"/>
        </w:rPr>
        <w:t>)</w:t>
      </w:r>
      <w:r w:rsidR="00DC4922">
        <w:rPr>
          <w:color w:val="000000"/>
        </w:rPr>
        <w:t>, d</w:t>
      </w:r>
      <w:r w:rsidR="00DC4922">
        <w:rPr>
          <w:color w:val="000000"/>
          <w:spacing w:val="-1"/>
        </w:rPr>
        <w:t>e</w:t>
      </w:r>
      <w:r w:rsidR="00DC4922">
        <w:rPr>
          <w:color w:val="000000"/>
        </w:rPr>
        <w:t>v</w:t>
      </w:r>
      <w:r w:rsidR="00DC4922">
        <w:rPr>
          <w:color w:val="000000"/>
          <w:spacing w:val="-1"/>
        </w:rPr>
        <w:t>e</w:t>
      </w:r>
      <w:r w:rsidR="00DC4922">
        <w:rPr>
          <w:color w:val="000000"/>
        </w:rPr>
        <w:t>lo</w:t>
      </w:r>
      <w:r w:rsidR="00DC4922">
        <w:rPr>
          <w:color w:val="000000"/>
          <w:spacing w:val="2"/>
        </w:rPr>
        <w:t>p</w:t>
      </w:r>
      <w:r w:rsidR="00DC4922">
        <w:rPr>
          <w:color w:val="000000"/>
          <w:spacing w:val="-1"/>
        </w:rPr>
        <w:t>e</w:t>
      </w:r>
      <w:r w:rsidR="00DC4922">
        <w:rPr>
          <w:color w:val="000000"/>
        </w:rPr>
        <w:t>d a</w:t>
      </w:r>
      <w:r w:rsidR="00DC4922">
        <w:rPr>
          <w:color w:val="000000"/>
          <w:spacing w:val="-1"/>
        </w:rPr>
        <w:t xml:space="preserve"> </w:t>
      </w:r>
      <w:r w:rsidR="00DC4922">
        <w:rPr>
          <w:color w:val="000000"/>
          <w:spacing w:val="2"/>
        </w:rPr>
        <w:t>H</w:t>
      </w:r>
      <w:r w:rsidR="00DC4922">
        <w:rPr>
          <w:color w:val="000000"/>
          <w:spacing w:val="-1"/>
        </w:rPr>
        <w:t>a</w:t>
      </w:r>
      <w:r w:rsidR="00DC4922">
        <w:rPr>
          <w:color w:val="000000"/>
        </w:rPr>
        <w:t>bit</w:t>
      </w:r>
      <w:r w:rsidR="00DC4922">
        <w:rPr>
          <w:color w:val="000000"/>
          <w:spacing w:val="-1"/>
        </w:rPr>
        <w:t>a</w:t>
      </w:r>
      <w:r w:rsidR="00DC4922">
        <w:rPr>
          <w:color w:val="000000"/>
        </w:rPr>
        <w:t xml:space="preserve">t </w:t>
      </w:r>
      <w:r w:rsidR="00DC4922">
        <w:rPr>
          <w:color w:val="000000"/>
          <w:spacing w:val="1"/>
        </w:rPr>
        <w:t>a</w:t>
      </w:r>
      <w:r w:rsidR="00DC4922">
        <w:rPr>
          <w:color w:val="000000"/>
        </w:rPr>
        <w:t>nd E</w:t>
      </w:r>
      <w:r w:rsidR="00DC4922">
        <w:rPr>
          <w:color w:val="000000"/>
          <w:spacing w:val="-1"/>
        </w:rPr>
        <w:t>c</w:t>
      </w:r>
      <w:r w:rsidR="00DC4922">
        <w:rPr>
          <w:color w:val="000000"/>
        </w:rPr>
        <w:t>o</w:t>
      </w:r>
      <w:r w:rsidR="00DC4922">
        <w:rPr>
          <w:color w:val="000000"/>
          <w:spacing w:val="3"/>
        </w:rPr>
        <w:t>s</w:t>
      </w:r>
      <w:r w:rsidR="00DC4922">
        <w:rPr>
          <w:color w:val="000000"/>
          <w:spacing w:val="-5"/>
        </w:rPr>
        <w:t>y</w:t>
      </w:r>
      <w:r w:rsidR="00DC4922">
        <w:rPr>
          <w:color w:val="000000"/>
        </w:rPr>
        <w:t>s</w:t>
      </w:r>
      <w:r w:rsidR="00DC4922">
        <w:rPr>
          <w:color w:val="000000"/>
          <w:spacing w:val="3"/>
        </w:rPr>
        <w:t>t</w:t>
      </w:r>
      <w:r w:rsidR="00DC4922">
        <w:rPr>
          <w:color w:val="000000"/>
          <w:spacing w:val="-1"/>
        </w:rPr>
        <w:t>e</w:t>
      </w:r>
      <w:r w:rsidR="00DC4922">
        <w:rPr>
          <w:color w:val="000000"/>
        </w:rPr>
        <w:t>m</w:t>
      </w:r>
      <w:r w:rsidR="00DC4922">
        <w:rPr>
          <w:color w:val="000000"/>
          <w:spacing w:val="3"/>
        </w:rPr>
        <w:t xml:space="preserve"> </w:t>
      </w:r>
      <w:r w:rsidR="00DC4922">
        <w:rPr>
          <w:color w:val="000000"/>
          <w:spacing w:val="-3"/>
        </w:rPr>
        <w:t>I</w:t>
      </w:r>
      <w:r w:rsidR="00DC4922">
        <w:rPr>
          <w:color w:val="000000"/>
        </w:rPr>
        <w:t>nt</w:t>
      </w:r>
      <w:r w:rsidR="00DC4922">
        <w:rPr>
          <w:color w:val="000000"/>
          <w:spacing w:val="-1"/>
        </w:rPr>
        <w:t>er</w:t>
      </w:r>
      <w:r w:rsidR="00DC4922">
        <w:rPr>
          <w:color w:val="000000"/>
        </w:rPr>
        <w:t>n</w:t>
      </w:r>
      <w:r w:rsidR="00DC4922">
        <w:rPr>
          <w:color w:val="000000"/>
          <w:spacing w:val="-1"/>
        </w:rPr>
        <w:t>e</w:t>
      </w:r>
      <w:r w:rsidR="00DC4922">
        <w:rPr>
          <w:color w:val="000000"/>
        </w:rPr>
        <w:t xml:space="preserve">t </w:t>
      </w:r>
      <w:r w:rsidR="00DC4922">
        <w:rPr>
          <w:color w:val="000000"/>
          <w:spacing w:val="3"/>
        </w:rPr>
        <w:t>M</w:t>
      </w:r>
      <w:r w:rsidR="00DC4922">
        <w:rPr>
          <w:color w:val="000000"/>
          <w:spacing w:val="-1"/>
        </w:rPr>
        <w:t>a</w:t>
      </w:r>
      <w:r w:rsidR="00DC4922">
        <w:rPr>
          <w:color w:val="000000"/>
        </w:rPr>
        <w:t xml:space="preserve">p </w:t>
      </w:r>
      <w:r w:rsidR="00DC4922">
        <w:rPr>
          <w:color w:val="000000"/>
          <w:spacing w:val="1"/>
        </w:rPr>
        <w:t>S</w:t>
      </w:r>
      <w:r w:rsidR="00DC4922">
        <w:rPr>
          <w:color w:val="000000"/>
          <w:spacing w:val="-1"/>
        </w:rPr>
        <w:t>er</w:t>
      </w:r>
      <w:r w:rsidR="00DC4922">
        <w:rPr>
          <w:color w:val="000000"/>
        </w:rPr>
        <w:t>v</w:t>
      </w:r>
      <w:r w:rsidR="00DC4922">
        <w:rPr>
          <w:color w:val="000000"/>
          <w:spacing w:val="-1"/>
        </w:rPr>
        <w:t>e</w:t>
      </w:r>
      <w:r w:rsidR="00DC4922">
        <w:rPr>
          <w:color w:val="000000"/>
        </w:rPr>
        <w:t>r</w:t>
      </w:r>
      <w:r w:rsidR="00DC4922">
        <w:rPr>
          <w:color w:val="000000"/>
          <w:spacing w:val="-1"/>
        </w:rPr>
        <w:t xml:space="preserve"> </w:t>
      </w:r>
      <w:r w:rsidR="00DC4922">
        <w:rPr>
          <w:color w:val="000000"/>
          <w:spacing w:val="4"/>
        </w:rPr>
        <w:t>(</w:t>
      </w:r>
      <w:r w:rsidR="00DC4922">
        <w:rPr>
          <w:color w:val="000000"/>
          <w:spacing w:val="-3"/>
        </w:rPr>
        <w:t>I</w:t>
      </w:r>
      <w:r w:rsidR="00DC4922">
        <w:rPr>
          <w:color w:val="000000"/>
        </w:rPr>
        <w:t>M</w:t>
      </w:r>
      <w:r w:rsidR="00DC4922">
        <w:rPr>
          <w:color w:val="000000"/>
          <w:spacing w:val="1"/>
        </w:rPr>
        <w:t>S</w:t>
      </w:r>
      <w:r w:rsidR="00DC4922">
        <w:rPr>
          <w:color w:val="000000"/>
        </w:rPr>
        <w:t>). The</w:t>
      </w:r>
      <w:r w:rsidR="00DC4922">
        <w:rPr>
          <w:color w:val="000000"/>
          <w:spacing w:val="1"/>
        </w:rPr>
        <w:t xml:space="preserve"> </w:t>
      </w:r>
      <w:r w:rsidR="00DC4922">
        <w:rPr>
          <w:color w:val="000000"/>
          <w:spacing w:val="-6"/>
        </w:rPr>
        <w:t>I</w:t>
      </w:r>
      <w:r w:rsidR="00DC4922">
        <w:rPr>
          <w:color w:val="000000"/>
          <w:spacing w:val="3"/>
        </w:rPr>
        <w:t>M</w:t>
      </w:r>
      <w:r w:rsidR="00DC4922">
        <w:rPr>
          <w:color w:val="000000"/>
        </w:rPr>
        <w:t>S</w:t>
      </w:r>
      <w:r w:rsidR="00DC4922">
        <w:rPr>
          <w:color w:val="000000"/>
          <w:spacing w:val="1"/>
        </w:rPr>
        <w:t xml:space="preserve"> </w:t>
      </w:r>
      <w:r w:rsidR="00DC4922">
        <w:rPr>
          <w:color w:val="000000"/>
        </w:rPr>
        <w:t>w</w:t>
      </w:r>
      <w:r w:rsidR="00DC4922">
        <w:rPr>
          <w:color w:val="000000"/>
          <w:spacing w:val="-1"/>
        </w:rPr>
        <w:t>a</w:t>
      </w:r>
      <w:r w:rsidR="00DC4922">
        <w:rPr>
          <w:color w:val="000000"/>
        </w:rPr>
        <w:t>s d</w:t>
      </w:r>
      <w:r w:rsidR="00DC4922">
        <w:rPr>
          <w:color w:val="000000"/>
          <w:spacing w:val="-1"/>
        </w:rPr>
        <w:t>e</w:t>
      </w:r>
      <w:r w:rsidR="00DC4922">
        <w:rPr>
          <w:color w:val="000000"/>
        </w:rPr>
        <w:t>v</w:t>
      </w:r>
      <w:r w:rsidR="00DC4922">
        <w:rPr>
          <w:color w:val="000000"/>
          <w:spacing w:val="-1"/>
        </w:rPr>
        <w:t>e</w:t>
      </w:r>
      <w:r w:rsidR="00DC4922">
        <w:rPr>
          <w:color w:val="000000"/>
        </w:rPr>
        <w:t>lop</w:t>
      </w:r>
      <w:r w:rsidR="00DC4922">
        <w:rPr>
          <w:color w:val="000000"/>
          <w:spacing w:val="-1"/>
        </w:rPr>
        <w:t>e</w:t>
      </w:r>
      <w:r w:rsidR="00DC4922">
        <w:rPr>
          <w:color w:val="000000"/>
        </w:rPr>
        <w:t>d to sup</w:t>
      </w:r>
      <w:r w:rsidR="00DC4922">
        <w:rPr>
          <w:color w:val="000000"/>
          <w:spacing w:val="2"/>
        </w:rPr>
        <w:t>p</w:t>
      </w:r>
      <w:r w:rsidR="00DC4922">
        <w:rPr>
          <w:color w:val="000000"/>
        </w:rPr>
        <w:t>o</w:t>
      </w:r>
      <w:r w:rsidR="00DC4922">
        <w:rPr>
          <w:color w:val="000000"/>
          <w:spacing w:val="-1"/>
        </w:rPr>
        <w:t>r</w:t>
      </w:r>
      <w:r w:rsidR="00DC4922">
        <w:rPr>
          <w:color w:val="000000"/>
        </w:rPr>
        <w:t xml:space="preserve">t </w:t>
      </w:r>
      <w:r w:rsidR="00DC4922">
        <w:rPr>
          <w:color w:val="000000"/>
          <w:spacing w:val="1"/>
        </w:rPr>
        <w:t>C</w:t>
      </w:r>
      <w:r w:rsidR="00DC4922">
        <w:rPr>
          <w:color w:val="000000"/>
        </w:rPr>
        <w:t>oun</w:t>
      </w:r>
      <w:r w:rsidR="00DC4922">
        <w:rPr>
          <w:color w:val="000000"/>
          <w:spacing w:val="-1"/>
        </w:rPr>
        <w:t>c</w:t>
      </w:r>
      <w:r w:rsidR="00DC4922">
        <w:rPr>
          <w:color w:val="000000"/>
        </w:rPr>
        <w:t xml:space="preserve">il </w:t>
      </w:r>
      <w:r w:rsidR="00DC4922">
        <w:rPr>
          <w:color w:val="000000"/>
          <w:spacing w:val="-1"/>
        </w:rPr>
        <w:t>a</w:t>
      </w:r>
      <w:r w:rsidR="00DC4922">
        <w:rPr>
          <w:color w:val="000000"/>
        </w:rPr>
        <w:t xml:space="preserve">nd </w:t>
      </w:r>
      <w:r w:rsidR="00DC4922">
        <w:rPr>
          <w:color w:val="000000"/>
          <w:spacing w:val="-1"/>
        </w:rPr>
        <w:t>r</w:t>
      </w:r>
      <w:r w:rsidR="00DC4922">
        <w:rPr>
          <w:color w:val="000000"/>
          <w:spacing w:val="1"/>
        </w:rPr>
        <w:t>e</w:t>
      </w:r>
      <w:r w:rsidR="00DC4922">
        <w:rPr>
          <w:color w:val="000000"/>
          <w:spacing w:val="-2"/>
        </w:rPr>
        <w:t>g</w:t>
      </w:r>
      <w:r w:rsidR="00DC4922">
        <w:rPr>
          <w:color w:val="000000"/>
        </w:rPr>
        <w:t>ion</w:t>
      </w:r>
      <w:r w:rsidR="00DC4922">
        <w:rPr>
          <w:color w:val="000000"/>
          <w:spacing w:val="-1"/>
        </w:rPr>
        <w:t>a</w:t>
      </w:r>
      <w:r w:rsidR="00DC4922">
        <w:rPr>
          <w:color w:val="000000"/>
        </w:rPr>
        <w:t>l</w:t>
      </w:r>
      <w:r w:rsidR="00DC4922">
        <w:rPr>
          <w:color w:val="000000"/>
          <w:spacing w:val="3"/>
        </w:rPr>
        <w:t xml:space="preserve"> </w:t>
      </w:r>
      <w:r w:rsidR="00DC4922">
        <w:rPr>
          <w:color w:val="000000"/>
        </w:rPr>
        <w:t>p</w:t>
      </w:r>
      <w:r w:rsidR="00DC4922">
        <w:rPr>
          <w:color w:val="000000"/>
          <w:spacing w:val="-1"/>
        </w:rPr>
        <w:t>ar</w:t>
      </w:r>
      <w:r w:rsidR="00DC4922">
        <w:rPr>
          <w:color w:val="000000"/>
        </w:rPr>
        <w:t>tn</w:t>
      </w:r>
      <w:r w:rsidR="00DC4922">
        <w:rPr>
          <w:color w:val="000000"/>
          <w:spacing w:val="-1"/>
        </w:rPr>
        <w:t>er</w:t>
      </w:r>
      <w:r w:rsidR="00DC4922">
        <w:rPr>
          <w:color w:val="000000"/>
        </w:rPr>
        <w:t>s’</w:t>
      </w:r>
      <w:r w:rsidR="00DC4922">
        <w:rPr>
          <w:color w:val="000000"/>
          <w:spacing w:val="2"/>
        </w:rPr>
        <w:t xml:space="preserve"> </w:t>
      </w:r>
      <w:r w:rsidR="00DC4922">
        <w:rPr>
          <w:color w:val="000000"/>
          <w:spacing w:val="-1"/>
        </w:rPr>
        <w:t>eff</w:t>
      </w:r>
      <w:r w:rsidR="00DC4922">
        <w:rPr>
          <w:color w:val="000000"/>
          <w:spacing w:val="2"/>
        </w:rPr>
        <w:t>o</w:t>
      </w:r>
      <w:r w:rsidR="00DC4922">
        <w:rPr>
          <w:color w:val="000000"/>
          <w:spacing w:val="-1"/>
        </w:rPr>
        <w:t>r</w:t>
      </w:r>
      <w:r w:rsidR="00DC4922">
        <w:rPr>
          <w:color w:val="000000"/>
        </w:rPr>
        <w:t>ts in the t</w:t>
      </w:r>
      <w:r w:rsidR="00DC4922">
        <w:rPr>
          <w:color w:val="000000"/>
          <w:spacing w:val="-1"/>
        </w:rPr>
        <w:t>ra</w:t>
      </w:r>
      <w:r w:rsidR="00DC4922">
        <w:rPr>
          <w:color w:val="000000"/>
        </w:rPr>
        <w:t>nsition to E</w:t>
      </w:r>
      <w:r w:rsidR="00DC4922">
        <w:rPr>
          <w:color w:val="000000"/>
          <w:spacing w:val="-2"/>
        </w:rPr>
        <w:t>B</w:t>
      </w:r>
      <w:r w:rsidR="00DC4922">
        <w:rPr>
          <w:color w:val="000000"/>
        </w:rPr>
        <w:t>M. Oth</w:t>
      </w:r>
      <w:r w:rsidR="00DC4922">
        <w:rPr>
          <w:color w:val="000000"/>
          <w:spacing w:val="-1"/>
        </w:rPr>
        <w:t>e</w:t>
      </w:r>
      <w:r w:rsidR="00DC4922">
        <w:rPr>
          <w:color w:val="000000"/>
        </w:rPr>
        <w:t>r</w:t>
      </w:r>
      <w:r w:rsidR="00DC4922">
        <w:rPr>
          <w:color w:val="000000"/>
          <w:spacing w:val="2"/>
        </w:rPr>
        <w:t xml:space="preserve"> </w:t>
      </w:r>
      <w:r w:rsidR="00DC4922">
        <w:rPr>
          <w:color w:val="000000"/>
          <w:spacing w:val="-1"/>
        </w:rPr>
        <w:t>r</w:t>
      </w:r>
      <w:r w:rsidR="00DC4922">
        <w:rPr>
          <w:color w:val="000000"/>
          <w:spacing w:val="1"/>
        </w:rPr>
        <w:t>e</w:t>
      </w:r>
      <w:r w:rsidR="00DC4922">
        <w:rPr>
          <w:color w:val="000000"/>
          <w:spacing w:val="-2"/>
        </w:rPr>
        <w:t>g</w:t>
      </w:r>
      <w:r w:rsidR="00DC4922">
        <w:rPr>
          <w:color w:val="000000"/>
        </w:rPr>
        <w:t>ion</w:t>
      </w:r>
      <w:r w:rsidR="00DC4922">
        <w:rPr>
          <w:color w:val="000000"/>
          <w:spacing w:val="-1"/>
        </w:rPr>
        <w:t>a</w:t>
      </w:r>
      <w:r w:rsidR="00DC4922">
        <w:rPr>
          <w:color w:val="000000"/>
        </w:rPr>
        <w:t>l p</w:t>
      </w:r>
      <w:r w:rsidR="00DC4922">
        <w:rPr>
          <w:color w:val="000000"/>
          <w:spacing w:val="-1"/>
        </w:rPr>
        <w:t>ar</w:t>
      </w:r>
      <w:r w:rsidR="00DC4922">
        <w:rPr>
          <w:color w:val="000000"/>
        </w:rPr>
        <w:t>t</w:t>
      </w:r>
      <w:r w:rsidR="00DC4922">
        <w:rPr>
          <w:color w:val="000000"/>
          <w:spacing w:val="2"/>
        </w:rPr>
        <w:t>n</w:t>
      </w:r>
      <w:r w:rsidR="00DC4922">
        <w:rPr>
          <w:color w:val="000000"/>
          <w:spacing w:val="-1"/>
        </w:rPr>
        <w:t>er</w:t>
      </w:r>
      <w:r w:rsidR="00DC4922">
        <w:rPr>
          <w:color w:val="000000"/>
        </w:rPr>
        <w:t>s in</w:t>
      </w:r>
      <w:r w:rsidR="00DC4922">
        <w:rPr>
          <w:color w:val="000000"/>
          <w:spacing w:val="-1"/>
        </w:rPr>
        <w:t>c</w:t>
      </w:r>
      <w:r w:rsidR="00DC4922">
        <w:rPr>
          <w:color w:val="000000"/>
        </w:rPr>
        <w:t>lude</w:t>
      </w:r>
      <w:r w:rsidR="00DC4922">
        <w:rPr>
          <w:color w:val="000000"/>
          <w:spacing w:val="1"/>
        </w:rPr>
        <w:t xml:space="preserve"> </w:t>
      </w:r>
      <w:r w:rsidR="00DC4922">
        <w:rPr>
          <w:color w:val="000000"/>
        </w:rPr>
        <w:t>NM</w:t>
      </w:r>
      <w:r w:rsidR="00DC4922">
        <w:rPr>
          <w:color w:val="000000"/>
          <w:spacing w:val="-1"/>
        </w:rPr>
        <w:t>F</w:t>
      </w:r>
      <w:r w:rsidR="00DC4922">
        <w:rPr>
          <w:color w:val="000000"/>
        </w:rPr>
        <w:t>S</w:t>
      </w:r>
      <w:r w:rsidR="00DC4922">
        <w:rPr>
          <w:color w:val="000000"/>
          <w:spacing w:val="1"/>
        </w:rPr>
        <w:t xml:space="preserve"> </w:t>
      </w:r>
      <w:r w:rsidR="00DC4922">
        <w:rPr>
          <w:color w:val="000000"/>
        </w:rPr>
        <w:t>H</w:t>
      </w:r>
      <w:r w:rsidR="00DC4922">
        <w:rPr>
          <w:color w:val="000000"/>
          <w:spacing w:val="-1"/>
        </w:rPr>
        <w:t>a</w:t>
      </w:r>
      <w:r w:rsidR="00DC4922">
        <w:rPr>
          <w:color w:val="000000"/>
        </w:rPr>
        <w:t>bit</w:t>
      </w:r>
      <w:r w:rsidR="00DC4922">
        <w:rPr>
          <w:color w:val="000000"/>
          <w:spacing w:val="-1"/>
        </w:rPr>
        <w:t>a</w:t>
      </w:r>
      <w:r w:rsidR="00DC4922">
        <w:rPr>
          <w:color w:val="000000"/>
        </w:rPr>
        <w:t xml:space="preserve">t </w:t>
      </w:r>
      <w:r w:rsidR="00DC4922">
        <w:rPr>
          <w:color w:val="000000"/>
          <w:spacing w:val="1"/>
        </w:rPr>
        <w:t>C</w:t>
      </w:r>
      <w:r w:rsidR="00DC4922">
        <w:rPr>
          <w:color w:val="000000"/>
        </w:rPr>
        <w:t>ons</w:t>
      </w:r>
      <w:r w:rsidR="00DC4922">
        <w:rPr>
          <w:color w:val="000000"/>
          <w:spacing w:val="-1"/>
        </w:rPr>
        <w:t>er</w:t>
      </w:r>
      <w:r w:rsidR="00DC4922">
        <w:rPr>
          <w:color w:val="000000"/>
        </w:rPr>
        <w:t>v</w:t>
      </w:r>
      <w:r w:rsidR="00DC4922">
        <w:rPr>
          <w:color w:val="000000"/>
          <w:spacing w:val="1"/>
        </w:rPr>
        <w:t>a</w:t>
      </w:r>
      <w:r w:rsidR="00DC4922">
        <w:rPr>
          <w:color w:val="000000"/>
        </w:rPr>
        <w:t xml:space="preserve">tion, </w:t>
      </w:r>
      <w:r w:rsidR="00DC4922">
        <w:rPr>
          <w:color w:val="000000"/>
          <w:spacing w:val="1"/>
        </w:rPr>
        <w:t>S</w:t>
      </w:r>
      <w:r w:rsidR="00DC4922">
        <w:rPr>
          <w:color w:val="000000"/>
        </w:rPr>
        <w:t>outh Atl</w:t>
      </w:r>
      <w:r w:rsidR="00DC4922">
        <w:rPr>
          <w:color w:val="000000"/>
          <w:spacing w:val="-1"/>
        </w:rPr>
        <w:t>a</w:t>
      </w:r>
      <w:r w:rsidR="00DC4922">
        <w:rPr>
          <w:color w:val="000000"/>
        </w:rPr>
        <w:t>ntic</w:t>
      </w:r>
      <w:r w:rsidR="00DC4922">
        <w:rPr>
          <w:color w:val="000000"/>
          <w:spacing w:val="-1"/>
        </w:rPr>
        <w:t xml:space="preserve"> </w:t>
      </w:r>
      <w:r w:rsidR="00DC4922">
        <w:rPr>
          <w:color w:val="000000"/>
          <w:spacing w:val="1"/>
        </w:rPr>
        <w:t>S</w:t>
      </w:r>
      <w:r w:rsidR="00DC4922">
        <w:rPr>
          <w:color w:val="000000"/>
        </w:rPr>
        <w:t>t</w:t>
      </w:r>
      <w:r w:rsidR="00DC4922">
        <w:rPr>
          <w:color w:val="000000"/>
          <w:spacing w:val="-1"/>
        </w:rPr>
        <w:t>a</w:t>
      </w:r>
      <w:r w:rsidR="00DC4922">
        <w:rPr>
          <w:color w:val="000000"/>
        </w:rPr>
        <w:t>t</w:t>
      </w:r>
      <w:r w:rsidR="00DC4922">
        <w:rPr>
          <w:color w:val="000000"/>
          <w:spacing w:val="-3"/>
        </w:rPr>
        <w:t>e</w:t>
      </w:r>
      <w:r w:rsidR="00DC4922">
        <w:rPr>
          <w:color w:val="000000"/>
        </w:rPr>
        <w:t>s, lo</w:t>
      </w:r>
      <w:r w:rsidR="00DC4922">
        <w:rPr>
          <w:color w:val="000000"/>
          <w:spacing w:val="-1"/>
        </w:rPr>
        <w:t>ca</w:t>
      </w:r>
      <w:r w:rsidR="00DC4922">
        <w:rPr>
          <w:color w:val="000000"/>
        </w:rPr>
        <w:t>l m</w:t>
      </w:r>
      <w:r w:rsidR="00DC4922">
        <w:rPr>
          <w:color w:val="000000"/>
          <w:spacing w:val="-1"/>
        </w:rPr>
        <w:t>a</w:t>
      </w:r>
      <w:r w:rsidR="00DC4922">
        <w:rPr>
          <w:color w:val="000000"/>
        </w:rPr>
        <w:t>n</w:t>
      </w:r>
      <w:r w:rsidR="00DC4922">
        <w:rPr>
          <w:color w:val="000000"/>
          <w:spacing w:val="1"/>
        </w:rPr>
        <w:t>a</w:t>
      </w:r>
      <w:r w:rsidR="00DC4922">
        <w:rPr>
          <w:color w:val="000000"/>
          <w:spacing w:val="-2"/>
        </w:rPr>
        <w:t>g</w:t>
      </w:r>
      <w:r w:rsidR="00DC4922">
        <w:rPr>
          <w:color w:val="000000"/>
          <w:spacing w:val="-1"/>
        </w:rPr>
        <w:t>e</w:t>
      </w:r>
      <w:r w:rsidR="00DC4922">
        <w:rPr>
          <w:color w:val="000000"/>
        </w:rPr>
        <w:t>m</w:t>
      </w:r>
      <w:r w:rsidR="00DC4922">
        <w:rPr>
          <w:color w:val="000000"/>
          <w:spacing w:val="-1"/>
        </w:rPr>
        <w:t>e</w:t>
      </w:r>
      <w:r w:rsidR="00DC4922">
        <w:rPr>
          <w:color w:val="000000"/>
        </w:rPr>
        <w:t>nt</w:t>
      </w:r>
      <w:r w:rsidR="00DC4922">
        <w:rPr>
          <w:color w:val="000000"/>
          <w:spacing w:val="3"/>
        </w:rPr>
        <w:t xml:space="preserve"> </w:t>
      </w:r>
      <w:r w:rsidR="00DC4922">
        <w:rPr>
          <w:color w:val="000000"/>
          <w:spacing w:val="-1"/>
        </w:rPr>
        <w:t>a</w:t>
      </w:r>
      <w:r w:rsidR="00DC4922">
        <w:rPr>
          <w:color w:val="000000"/>
        </w:rPr>
        <w:t>utho</w:t>
      </w:r>
      <w:r w:rsidR="00DC4922">
        <w:rPr>
          <w:color w:val="000000"/>
          <w:spacing w:val="2"/>
        </w:rPr>
        <w:t>r</w:t>
      </w:r>
      <w:r w:rsidR="00DC4922">
        <w:rPr>
          <w:color w:val="000000"/>
        </w:rPr>
        <w:t>iti</w:t>
      </w:r>
      <w:r w:rsidR="00DC4922">
        <w:rPr>
          <w:color w:val="000000"/>
          <w:spacing w:val="-1"/>
        </w:rPr>
        <w:t>e</w:t>
      </w:r>
      <w:r w:rsidR="00DC4922">
        <w:rPr>
          <w:color w:val="000000"/>
        </w:rPr>
        <w:t>s, oth</w:t>
      </w:r>
      <w:r w:rsidR="00DC4922">
        <w:rPr>
          <w:color w:val="000000"/>
          <w:spacing w:val="-1"/>
        </w:rPr>
        <w:t>e</w:t>
      </w:r>
      <w:r w:rsidR="00DC4922">
        <w:rPr>
          <w:color w:val="000000"/>
        </w:rPr>
        <w:t>r</w:t>
      </w:r>
      <w:r w:rsidR="00DC4922">
        <w:rPr>
          <w:color w:val="000000"/>
          <w:spacing w:val="-1"/>
        </w:rPr>
        <w:t xml:space="preserve"> Fe</w:t>
      </w:r>
      <w:r w:rsidR="00DC4922">
        <w:rPr>
          <w:color w:val="000000"/>
          <w:spacing w:val="2"/>
        </w:rPr>
        <w:t>d</w:t>
      </w:r>
      <w:r w:rsidR="00DC4922">
        <w:rPr>
          <w:color w:val="000000"/>
          <w:spacing w:val="-1"/>
        </w:rPr>
        <w:t>era</w:t>
      </w:r>
      <w:r w:rsidR="00DC4922">
        <w:rPr>
          <w:color w:val="000000"/>
        </w:rPr>
        <w:t>l p</w:t>
      </w:r>
      <w:r w:rsidR="00DC4922">
        <w:rPr>
          <w:color w:val="000000"/>
          <w:spacing w:val="1"/>
        </w:rPr>
        <w:t>a</w:t>
      </w:r>
      <w:r w:rsidR="00DC4922">
        <w:rPr>
          <w:color w:val="000000"/>
          <w:spacing w:val="-1"/>
        </w:rPr>
        <w:t>r</w:t>
      </w:r>
      <w:r w:rsidR="00DC4922">
        <w:rPr>
          <w:color w:val="000000"/>
        </w:rPr>
        <w:t>tn</w:t>
      </w:r>
      <w:r w:rsidR="00DC4922">
        <w:rPr>
          <w:color w:val="000000"/>
          <w:spacing w:val="1"/>
        </w:rPr>
        <w:t>e</w:t>
      </w:r>
      <w:r w:rsidR="00DC4922">
        <w:rPr>
          <w:color w:val="000000"/>
          <w:spacing w:val="-1"/>
        </w:rPr>
        <w:t>r</w:t>
      </w:r>
      <w:r w:rsidR="00DC4922">
        <w:rPr>
          <w:color w:val="000000"/>
        </w:rPr>
        <w:t xml:space="preserve">s, </w:t>
      </w:r>
      <w:r w:rsidR="00DC4922">
        <w:rPr>
          <w:color w:val="000000"/>
        </w:rPr>
        <w:lastRenderedPageBreak/>
        <w:t>univ</w:t>
      </w:r>
      <w:r w:rsidR="00DC4922">
        <w:rPr>
          <w:color w:val="000000"/>
          <w:spacing w:val="-1"/>
        </w:rPr>
        <w:t>er</w:t>
      </w:r>
      <w:r w:rsidR="00DC4922">
        <w:rPr>
          <w:color w:val="000000"/>
        </w:rPr>
        <w:t>siti</w:t>
      </w:r>
      <w:r w:rsidR="00DC4922">
        <w:rPr>
          <w:color w:val="000000"/>
          <w:spacing w:val="-1"/>
        </w:rPr>
        <w:t>e</w:t>
      </w:r>
      <w:r w:rsidR="00DC4922">
        <w:rPr>
          <w:color w:val="000000"/>
        </w:rPr>
        <w:t xml:space="preserve">s, </w:t>
      </w:r>
      <w:r w:rsidR="00DC4922">
        <w:rPr>
          <w:color w:val="000000"/>
          <w:spacing w:val="-1"/>
        </w:rPr>
        <w:t>c</w:t>
      </w:r>
      <w:r w:rsidR="00DC4922">
        <w:rPr>
          <w:color w:val="000000"/>
        </w:rPr>
        <w:t>ons</w:t>
      </w:r>
      <w:r w:rsidR="00DC4922">
        <w:rPr>
          <w:color w:val="000000"/>
          <w:spacing w:val="-1"/>
        </w:rPr>
        <w:t>er</w:t>
      </w:r>
      <w:r w:rsidR="00DC4922">
        <w:rPr>
          <w:color w:val="000000"/>
          <w:spacing w:val="2"/>
        </w:rPr>
        <w:t>v</w:t>
      </w:r>
      <w:r w:rsidR="00DC4922">
        <w:rPr>
          <w:color w:val="000000"/>
          <w:spacing w:val="-1"/>
        </w:rPr>
        <w:t>a</w:t>
      </w:r>
      <w:r w:rsidR="00DC4922">
        <w:rPr>
          <w:color w:val="000000"/>
        </w:rPr>
        <w:t>tion o</w:t>
      </w:r>
      <w:r w:rsidR="00DC4922">
        <w:rPr>
          <w:color w:val="000000"/>
          <w:spacing w:val="-1"/>
        </w:rPr>
        <w:t>r</w:t>
      </w:r>
      <w:r w:rsidR="00DC4922">
        <w:rPr>
          <w:color w:val="000000"/>
          <w:spacing w:val="-2"/>
        </w:rPr>
        <w:t>g</w:t>
      </w:r>
      <w:r w:rsidR="00DC4922">
        <w:rPr>
          <w:color w:val="000000"/>
          <w:spacing w:val="-1"/>
        </w:rPr>
        <w:t>a</w:t>
      </w:r>
      <w:r w:rsidR="00DC4922">
        <w:rPr>
          <w:color w:val="000000"/>
        </w:rPr>
        <w:t>ni</w:t>
      </w:r>
      <w:r w:rsidR="00DC4922">
        <w:rPr>
          <w:color w:val="000000"/>
          <w:spacing w:val="1"/>
        </w:rPr>
        <w:t>z</w:t>
      </w:r>
      <w:r w:rsidR="00DC4922">
        <w:rPr>
          <w:color w:val="000000"/>
          <w:spacing w:val="-1"/>
        </w:rPr>
        <w:t>a</w:t>
      </w:r>
      <w:r w:rsidR="00DC4922">
        <w:rPr>
          <w:color w:val="000000"/>
        </w:rPr>
        <w:t xml:space="preserve">tions, </w:t>
      </w:r>
      <w:r w:rsidR="00DC4922">
        <w:rPr>
          <w:color w:val="000000"/>
          <w:spacing w:val="-1"/>
        </w:rPr>
        <w:t>a</w:t>
      </w:r>
      <w:r w:rsidR="00DC4922">
        <w:rPr>
          <w:color w:val="000000"/>
        </w:rPr>
        <w:t xml:space="preserve">nd </w:t>
      </w:r>
      <w:r w:rsidR="00DC4922">
        <w:rPr>
          <w:color w:val="000000"/>
          <w:spacing w:val="-1"/>
        </w:rPr>
        <w:t>rec</w:t>
      </w:r>
      <w:r w:rsidR="00DC4922">
        <w:rPr>
          <w:color w:val="000000"/>
          <w:spacing w:val="2"/>
        </w:rPr>
        <w:t>r</w:t>
      </w:r>
      <w:r w:rsidR="00DC4922">
        <w:rPr>
          <w:color w:val="000000"/>
          <w:spacing w:val="-1"/>
        </w:rPr>
        <w:t>ea</w:t>
      </w:r>
      <w:r w:rsidR="00DC4922">
        <w:rPr>
          <w:color w:val="000000"/>
        </w:rPr>
        <w:t>tion</w:t>
      </w:r>
      <w:r w:rsidR="00DC4922">
        <w:rPr>
          <w:color w:val="000000"/>
          <w:spacing w:val="-1"/>
        </w:rPr>
        <w:t>a</w:t>
      </w:r>
      <w:r w:rsidR="00DC4922">
        <w:rPr>
          <w:color w:val="000000"/>
        </w:rPr>
        <w:t xml:space="preserve">l </w:t>
      </w:r>
      <w:r w:rsidR="00DC4922">
        <w:rPr>
          <w:color w:val="000000"/>
          <w:spacing w:val="-1"/>
        </w:rPr>
        <w:t>a</w:t>
      </w:r>
      <w:r w:rsidR="00DC4922">
        <w:rPr>
          <w:color w:val="000000"/>
        </w:rPr>
        <w:t>nd</w:t>
      </w:r>
      <w:r w:rsidR="00DC4922">
        <w:rPr>
          <w:color w:val="000000"/>
          <w:spacing w:val="2"/>
        </w:rPr>
        <w:t xml:space="preserve"> </w:t>
      </w:r>
      <w:r w:rsidR="00DC4922">
        <w:rPr>
          <w:color w:val="000000"/>
          <w:spacing w:val="-1"/>
        </w:rPr>
        <w:t>c</w:t>
      </w:r>
      <w:r w:rsidR="00DC4922">
        <w:rPr>
          <w:color w:val="000000"/>
        </w:rPr>
        <w:t>omm</w:t>
      </w:r>
      <w:r w:rsidR="00DC4922">
        <w:rPr>
          <w:color w:val="000000"/>
          <w:spacing w:val="-1"/>
        </w:rPr>
        <w:t>e</w:t>
      </w:r>
      <w:r w:rsidR="00DC4922">
        <w:rPr>
          <w:color w:val="000000"/>
          <w:spacing w:val="2"/>
        </w:rPr>
        <w:t>r</w:t>
      </w:r>
      <w:r w:rsidR="00DC4922">
        <w:rPr>
          <w:color w:val="000000"/>
          <w:spacing w:val="-1"/>
        </w:rPr>
        <w:t>c</w:t>
      </w:r>
      <w:r w:rsidR="00DC4922">
        <w:rPr>
          <w:color w:val="000000"/>
        </w:rPr>
        <w:t>i</w:t>
      </w:r>
      <w:r w:rsidR="00DC4922">
        <w:rPr>
          <w:color w:val="000000"/>
          <w:spacing w:val="-1"/>
        </w:rPr>
        <w:t>a</w:t>
      </w:r>
      <w:r w:rsidR="00DC4922">
        <w:rPr>
          <w:color w:val="000000"/>
        </w:rPr>
        <w:t xml:space="preserve">l </w:t>
      </w:r>
      <w:r w:rsidR="00DC4922">
        <w:rPr>
          <w:color w:val="000000"/>
          <w:spacing w:val="-1"/>
        </w:rPr>
        <w:t>f</w:t>
      </w:r>
      <w:r w:rsidR="00DC4922">
        <w:rPr>
          <w:color w:val="000000"/>
        </w:rPr>
        <w:t>ish</w:t>
      </w:r>
      <w:r w:rsidR="00DC4922">
        <w:rPr>
          <w:color w:val="000000"/>
          <w:spacing w:val="-1"/>
        </w:rPr>
        <w:t>er</w:t>
      </w:r>
      <w:r w:rsidR="00DC4922">
        <w:rPr>
          <w:color w:val="000000"/>
        </w:rPr>
        <w:t>m</w:t>
      </w:r>
      <w:r w:rsidR="00DC4922">
        <w:rPr>
          <w:color w:val="000000"/>
          <w:spacing w:val="-1"/>
        </w:rPr>
        <w:t>e</w:t>
      </w:r>
      <w:r w:rsidR="00DC4922">
        <w:rPr>
          <w:color w:val="000000"/>
        </w:rPr>
        <w:t xml:space="preserve">n.  As </w:t>
      </w:r>
      <w:r w:rsidR="00DC4922">
        <w:rPr>
          <w:color w:val="000000"/>
          <w:spacing w:val="3"/>
        </w:rPr>
        <w:t>t</w:t>
      </w:r>
      <w:r w:rsidR="00DC4922">
        <w:rPr>
          <w:color w:val="000000"/>
          <w:spacing w:val="-1"/>
        </w:rPr>
        <w:t>ec</w:t>
      </w:r>
      <w:r w:rsidR="00DC4922">
        <w:rPr>
          <w:color w:val="000000"/>
        </w:rPr>
        <w:t>h</w:t>
      </w:r>
      <w:r w:rsidR="00DC4922">
        <w:rPr>
          <w:color w:val="000000"/>
          <w:spacing w:val="2"/>
        </w:rPr>
        <w:t>n</w:t>
      </w:r>
      <w:r w:rsidR="00DC4922">
        <w:rPr>
          <w:color w:val="000000"/>
        </w:rPr>
        <w:t>olo</w:t>
      </w:r>
      <w:r w:rsidR="00DC4922">
        <w:rPr>
          <w:color w:val="000000"/>
          <w:spacing w:val="2"/>
        </w:rPr>
        <w:t>g</w:t>
      </w:r>
      <w:r w:rsidR="00DC4922">
        <w:rPr>
          <w:color w:val="000000"/>
        </w:rPr>
        <w:t>y</w:t>
      </w:r>
      <w:r w:rsidR="00DC4922">
        <w:rPr>
          <w:color w:val="000000"/>
          <w:spacing w:val="-5"/>
        </w:rPr>
        <w:t xml:space="preserve"> </w:t>
      </w:r>
      <w:r w:rsidR="00DC4922">
        <w:rPr>
          <w:color w:val="000000"/>
          <w:spacing w:val="-1"/>
        </w:rPr>
        <w:t>a</w:t>
      </w:r>
      <w:r w:rsidR="00DC4922">
        <w:rPr>
          <w:color w:val="000000"/>
        </w:rPr>
        <w:t>nd s</w:t>
      </w:r>
      <w:r w:rsidR="00DC4922">
        <w:rPr>
          <w:color w:val="000000"/>
          <w:spacing w:val="2"/>
        </w:rPr>
        <w:t>p</w:t>
      </w:r>
      <w:r w:rsidR="00DC4922">
        <w:rPr>
          <w:color w:val="000000"/>
          <w:spacing w:val="-1"/>
        </w:rPr>
        <w:t>a</w:t>
      </w:r>
      <w:r w:rsidR="00DC4922">
        <w:rPr>
          <w:color w:val="000000"/>
        </w:rPr>
        <w:t>ti</w:t>
      </w:r>
      <w:r w:rsidR="00DC4922">
        <w:rPr>
          <w:color w:val="000000"/>
          <w:spacing w:val="-1"/>
        </w:rPr>
        <w:t>a</w:t>
      </w:r>
      <w:r w:rsidR="00DC4922">
        <w:rPr>
          <w:color w:val="000000"/>
        </w:rPr>
        <w:t>l in</w:t>
      </w:r>
      <w:r w:rsidR="00DC4922">
        <w:rPr>
          <w:color w:val="000000"/>
          <w:spacing w:val="-1"/>
        </w:rPr>
        <w:t>f</w:t>
      </w:r>
      <w:r w:rsidR="00DC4922">
        <w:rPr>
          <w:color w:val="000000"/>
        </w:rPr>
        <w:t>o</w:t>
      </w:r>
      <w:r w:rsidR="00DC4922">
        <w:rPr>
          <w:color w:val="000000"/>
          <w:spacing w:val="-1"/>
        </w:rPr>
        <w:t>r</w:t>
      </w:r>
      <w:r w:rsidR="00DC4922">
        <w:rPr>
          <w:color w:val="000000"/>
        </w:rPr>
        <w:t>m</w:t>
      </w:r>
      <w:r w:rsidR="00DC4922">
        <w:rPr>
          <w:color w:val="000000"/>
          <w:spacing w:val="-1"/>
        </w:rPr>
        <w:t>a</w:t>
      </w:r>
      <w:r w:rsidR="00DC4922">
        <w:rPr>
          <w:color w:val="000000"/>
        </w:rPr>
        <w:t>tion n</w:t>
      </w:r>
      <w:r w:rsidR="00DC4922">
        <w:rPr>
          <w:color w:val="000000"/>
          <w:spacing w:val="-1"/>
        </w:rPr>
        <w:t>ee</w:t>
      </w:r>
      <w:r w:rsidR="00DC4922">
        <w:rPr>
          <w:color w:val="000000"/>
        </w:rPr>
        <w:t xml:space="preserve">ds </w:t>
      </w:r>
      <w:r w:rsidR="00DC4922">
        <w:rPr>
          <w:color w:val="000000"/>
          <w:spacing w:val="-1"/>
        </w:rPr>
        <w:t>e</w:t>
      </w:r>
      <w:r w:rsidR="00DC4922">
        <w:rPr>
          <w:color w:val="000000"/>
        </w:rPr>
        <w:t>volv</w:t>
      </w:r>
      <w:r w:rsidR="00DC4922">
        <w:rPr>
          <w:color w:val="000000"/>
          <w:spacing w:val="-1"/>
        </w:rPr>
        <w:t>ed</w:t>
      </w:r>
      <w:r w:rsidR="00DC4922">
        <w:rPr>
          <w:color w:val="000000"/>
        </w:rPr>
        <w:t>, the dist</w:t>
      </w:r>
      <w:r w:rsidR="00DC4922">
        <w:rPr>
          <w:color w:val="000000"/>
          <w:spacing w:val="-1"/>
        </w:rPr>
        <w:t>r</w:t>
      </w:r>
      <w:r w:rsidR="00DC4922">
        <w:rPr>
          <w:color w:val="000000"/>
        </w:rPr>
        <w:t xml:space="preserve">ibution </w:t>
      </w:r>
      <w:r w:rsidR="00DC4922">
        <w:rPr>
          <w:color w:val="000000"/>
          <w:spacing w:val="-1"/>
        </w:rPr>
        <w:t>a</w:t>
      </w:r>
      <w:r w:rsidR="00DC4922">
        <w:rPr>
          <w:color w:val="000000"/>
        </w:rPr>
        <w:t>nd use</w:t>
      </w:r>
      <w:r w:rsidR="00DC4922">
        <w:rPr>
          <w:color w:val="000000"/>
          <w:spacing w:val="-1"/>
        </w:rPr>
        <w:t xml:space="preserve"> </w:t>
      </w:r>
      <w:r w:rsidR="00DC4922">
        <w:rPr>
          <w:color w:val="000000"/>
        </w:rPr>
        <w:t>of</w:t>
      </w:r>
      <w:r w:rsidR="00DC4922">
        <w:rPr>
          <w:color w:val="000000"/>
          <w:spacing w:val="-1"/>
        </w:rPr>
        <w:t xml:space="preserve"> </w:t>
      </w:r>
      <w:r w:rsidR="00DC4922">
        <w:rPr>
          <w:color w:val="000000"/>
        </w:rPr>
        <w:t>G</w:t>
      </w:r>
      <w:r w:rsidR="00DC4922">
        <w:rPr>
          <w:color w:val="000000"/>
          <w:spacing w:val="-3"/>
        </w:rPr>
        <w:t>I</w:t>
      </w:r>
      <w:r w:rsidR="00DC4922">
        <w:rPr>
          <w:color w:val="000000"/>
        </w:rPr>
        <w:t>S</w:t>
      </w:r>
      <w:r w:rsidR="00DC4922">
        <w:rPr>
          <w:color w:val="000000"/>
          <w:spacing w:val="1"/>
        </w:rPr>
        <w:t xml:space="preserve"> </w:t>
      </w:r>
      <w:r w:rsidR="00DC4922">
        <w:rPr>
          <w:color w:val="000000"/>
        </w:rPr>
        <w:t>d</w:t>
      </w:r>
      <w:r w:rsidR="00DC4922">
        <w:rPr>
          <w:color w:val="000000"/>
          <w:spacing w:val="-1"/>
        </w:rPr>
        <w:t>e</w:t>
      </w:r>
      <w:r w:rsidR="00DC4922">
        <w:rPr>
          <w:color w:val="000000"/>
        </w:rPr>
        <w:t>m</w:t>
      </w:r>
      <w:r w:rsidR="00DC4922">
        <w:rPr>
          <w:color w:val="000000"/>
          <w:spacing w:val="-1"/>
        </w:rPr>
        <w:t>a</w:t>
      </w:r>
      <w:r w:rsidR="00DC4922">
        <w:rPr>
          <w:color w:val="000000"/>
          <w:spacing w:val="2"/>
        </w:rPr>
        <w:t>n</w:t>
      </w:r>
      <w:r w:rsidR="00DC4922">
        <w:rPr>
          <w:color w:val="000000"/>
        </w:rPr>
        <w:t>ds g</w:t>
      </w:r>
      <w:r w:rsidR="00DC4922">
        <w:rPr>
          <w:color w:val="000000"/>
          <w:spacing w:val="-1"/>
        </w:rPr>
        <w:t>r</w:t>
      </w:r>
      <w:r w:rsidR="00DC4922">
        <w:rPr>
          <w:color w:val="000000"/>
          <w:spacing w:val="1"/>
        </w:rPr>
        <w:t>e</w:t>
      </w:r>
      <w:r w:rsidR="00DC4922">
        <w:rPr>
          <w:color w:val="000000"/>
          <w:spacing w:val="-1"/>
        </w:rPr>
        <w:t>a</w:t>
      </w:r>
      <w:r w:rsidR="00DC4922">
        <w:rPr>
          <w:color w:val="000000"/>
        </w:rPr>
        <w:t>t</w:t>
      </w:r>
      <w:r w:rsidR="00DC4922">
        <w:rPr>
          <w:color w:val="000000"/>
          <w:spacing w:val="-1"/>
        </w:rPr>
        <w:t>e</w:t>
      </w:r>
      <w:r w:rsidR="00DC4922">
        <w:rPr>
          <w:color w:val="000000"/>
        </w:rPr>
        <w:t>r</w:t>
      </w:r>
      <w:r w:rsidR="00DC4922">
        <w:rPr>
          <w:color w:val="000000"/>
          <w:spacing w:val="-1"/>
        </w:rPr>
        <w:t xml:space="preserve"> </w:t>
      </w:r>
      <w:r w:rsidR="00DC4922">
        <w:rPr>
          <w:color w:val="000000"/>
          <w:spacing w:val="1"/>
        </w:rPr>
        <w:t>c</w:t>
      </w:r>
      <w:r w:rsidR="00DC4922">
        <w:rPr>
          <w:color w:val="000000"/>
          <w:spacing w:val="-1"/>
        </w:rPr>
        <w:t>a</w:t>
      </w:r>
      <w:r w:rsidR="00DC4922">
        <w:rPr>
          <w:color w:val="000000"/>
        </w:rPr>
        <w:t>p</w:t>
      </w:r>
      <w:r w:rsidR="00DC4922">
        <w:rPr>
          <w:color w:val="000000"/>
          <w:spacing w:val="1"/>
        </w:rPr>
        <w:t>a</w:t>
      </w:r>
      <w:r w:rsidR="00DC4922">
        <w:rPr>
          <w:color w:val="000000"/>
        </w:rPr>
        <w:t>biliti</w:t>
      </w:r>
      <w:r w:rsidR="00DC4922">
        <w:rPr>
          <w:color w:val="000000"/>
          <w:spacing w:val="-1"/>
        </w:rPr>
        <w:t>e</w:t>
      </w:r>
      <w:r w:rsidR="00DC4922">
        <w:rPr>
          <w:color w:val="000000"/>
        </w:rPr>
        <w:t>s.   The</w:t>
      </w:r>
      <w:r w:rsidR="00DC4922">
        <w:rPr>
          <w:color w:val="000000"/>
          <w:spacing w:val="-1"/>
        </w:rPr>
        <w:t xml:space="preserve"> </w:t>
      </w:r>
      <w:r w:rsidR="00DC4922">
        <w:rPr>
          <w:color w:val="000000"/>
          <w:spacing w:val="1"/>
        </w:rPr>
        <w:t>C</w:t>
      </w:r>
      <w:r w:rsidR="00DC4922">
        <w:rPr>
          <w:color w:val="000000"/>
        </w:rPr>
        <w:t>oun</w:t>
      </w:r>
      <w:r w:rsidR="00DC4922">
        <w:rPr>
          <w:color w:val="000000"/>
          <w:spacing w:val="-1"/>
        </w:rPr>
        <w:t>c</w:t>
      </w:r>
      <w:r w:rsidR="00DC4922">
        <w:rPr>
          <w:color w:val="000000"/>
        </w:rPr>
        <w:t>il h</w:t>
      </w:r>
      <w:r w:rsidR="00DC4922">
        <w:rPr>
          <w:color w:val="000000"/>
          <w:spacing w:val="-1"/>
        </w:rPr>
        <w:t>a</w:t>
      </w:r>
      <w:r w:rsidR="00DC4922">
        <w:rPr>
          <w:color w:val="000000"/>
        </w:rPr>
        <w:t xml:space="preserve">s </w:t>
      </w:r>
      <w:r w:rsidR="00DC4922">
        <w:rPr>
          <w:color w:val="000000"/>
          <w:spacing w:val="-1"/>
        </w:rPr>
        <w:t>c</w:t>
      </w:r>
      <w:r w:rsidR="00DC4922">
        <w:rPr>
          <w:color w:val="000000"/>
        </w:rPr>
        <w:t>ontinu</w:t>
      </w:r>
      <w:r w:rsidR="00DC4922">
        <w:rPr>
          <w:color w:val="000000"/>
          <w:spacing w:val="-1"/>
        </w:rPr>
        <w:t>e</w:t>
      </w:r>
      <w:r w:rsidR="00DC4922">
        <w:rPr>
          <w:color w:val="000000"/>
        </w:rPr>
        <w:t xml:space="preserve">d its </w:t>
      </w:r>
      <w:r w:rsidR="00DC4922">
        <w:rPr>
          <w:color w:val="000000"/>
          <w:spacing w:val="-1"/>
        </w:rPr>
        <w:t>c</w:t>
      </w:r>
      <w:r w:rsidR="00DC4922">
        <w:rPr>
          <w:color w:val="000000"/>
        </w:rPr>
        <w:t>oll</w:t>
      </w:r>
      <w:r w:rsidR="00DC4922">
        <w:rPr>
          <w:color w:val="000000"/>
          <w:spacing w:val="-1"/>
        </w:rPr>
        <w:t>a</w:t>
      </w:r>
      <w:r w:rsidR="00DC4922">
        <w:rPr>
          <w:color w:val="000000"/>
        </w:rPr>
        <w:t>bo</w:t>
      </w:r>
      <w:r w:rsidR="00DC4922">
        <w:rPr>
          <w:color w:val="000000"/>
          <w:spacing w:val="-1"/>
        </w:rPr>
        <w:t>ra</w:t>
      </w:r>
      <w:r w:rsidR="00DC4922">
        <w:rPr>
          <w:color w:val="000000"/>
          <w:spacing w:val="3"/>
        </w:rPr>
        <w:t>t</w:t>
      </w:r>
      <w:r w:rsidR="00DC4922">
        <w:rPr>
          <w:color w:val="000000"/>
        </w:rPr>
        <w:t xml:space="preserve">ion with </w:t>
      </w:r>
      <w:r w:rsidR="00DC4922">
        <w:rPr>
          <w:color w:val="000000"/>
          <w:spacing w:val="-1"/>
        </w:rPr>
        <w:t>F</w:t>
      </w:r>
      <w:r w:rsidR="00DC4922">
        <w:rPr>
          <w:color w:val="000000"/>
          <w:spacing w:val="1"/>
        </w:rPr>
        <w:t>W</w:t>
      </w:r>
      <w:r w:rsidR="00DC4922">
        <w:rPr>
          <w:color w:val="000000"/>
          <w:spacing w:val="3"/>
        </w:rPr>
        <w:t>R</w:t>
      </w:r>
      <w:r w:rsidR="00DC4922">
        <w:rPr>
          <w:color w:val="000000"/>
        </w:rPr>
        <w:t>I</w:t>
      </w:r>
      <w:r w:rsidR="00DC4922">
        <w:rPr>
          <w:color w:val="000000"/>
          <w:spacing w:val="-6"/>
        </w:rPr>
        <w:t xml:space="preserve"> </w:t>
      </w:r>
      <w:r w:rsidR="00DC4922">
        <w:rPr>
          <w:color w:val="000000"/>
        </w:rPr>
        <w:t>in the</w:t>
      </w:r>
      <w:r w:rsidR="00DC4922">
        <w:rPr>
          <w:color w:val="000000"/>
          <w:spacing w:val="-1"/>
        </w:rPr>
        <w:t xml:space="preserve"> </w:t>
      </w:r>
      <w:r w:rsidR="00DC4922">
        <w:rPr>
          <w:color w:val="000000"/>
        </w:rPr>
        <w:t xml:space="preserve">now </w:t>
      </w:r>
      <w:r w:rsidR="00DC4922">
        <w:rPr>
          <w:color w:val="000000"/>
          <w:spacing w:val="-1"/>
        </w:rPr>
        <w:t>e</w:t>
      </w:r>
      <w:r w:rsidR="00DC4922">
        <w:rPr>
          <w:color w:val="000000"/>
          <w:spacing w:val="2"/>
        </w:rPr>
        <w:t>v</w:t>
      </w:r>
      <w:r w:rsidR="00DC4922">
        <w:rPr>
          <w:color w:val="000000"/>
        </w:rPr>
        <w:t xml:space="preserve">olution to </w:t>
      </w:r>
      <w:r w:rsidR="00DC4922">
        <w:rPr>
          <w:color w:val="000000"/>
          <w:spacing w:val="1"/>
        </w:rPr>
        <w:t>Web Services provided through</w:t>
      </w:r>
      <w:r w:rsidR="00DC4922">
        <w:rPr>
          <w:color w:val="000000"/>
        </w:rPr>
        <w:t xml:space="preserve"> the regional SAFMC Habitat and Ecosystem Atlas (</w:t>
      </w:r>
      <w:hyperlink r:id="rId112" w:history="1">
        <w:r w:rsidR="00DC4922" w:rsidRPr="004F36C4">
          <w:rPr>
            <w:rStyle w:val="Hyperlink"/>
          </w:rPr>
          <w:t>http://ocean.floridamarine.org/safmc_atlas/</w:t>
        </w:r>
      </w:hyperlink>
      <w:r w:rsidR="00DC4922">
        <w:rPr>
          <w:color w:val="000000"/>
        </w:rPr>
        <w:t>) and the SAFMC Digital Dashboard (</w:t>
      </w:r>
      <w:hyperlink r:id="rId113" w:history="1">
        <w:r w:rsidR="00DC4922" w:rsidRPr="004F36C4">
          <w:rPr>
            <w:rStyle w:val="Hyperlink"/>
          </w:rPr>
          <w:t>http://ocean.floridamarine.org/safmc_dashboard/</w:t>
        </w:r>
      </w:hyperlink>
      <w:r w:rsidR="00DC4922">
        <w:rPr>
          <w:color w:val="000000"/>
        </w:rPr>
        <w:t xml:space="preserve">).  The Atlas integrates services for the following: </w:t>
      </w:r>
    </w:p>
    <w:p w14:paraId="3A470485" w14:textId="77777777" w:rsidR="00DC4922" w:rsidRDefault="00DC4922" w:rsidP="00DC4922">
      <w:pPr>
        <w:rPr>
          <w:color w:val="000000"/>
        </w:rPr>
      </w:pPr>
    </w:p>
    <w:p w14:paraId="518533EA" w14:textId="77777777" w:rsidR="00DC4922" w:rsidRDefault="00DC4922" w:rsidP="00640526">
      <w:pPr>
        <w:ind w:firstLine="360"/>
        <w:rPr>
          <w:color w:val="000000"/>
        </w:rPr>
      </w:pPr>
      <w:r>
        <w:rPr>
          <w:color w:val="000000"/>
        </w:rPr>
        <w:t>Species distribution and spatial presentation of regional fishery independent data from the SEAMAP-SA, MARMAP, and NOAA SEFIS systems; SAFMC Fisheries: (</w:t>
      </w:r>
      <w:hyperlink r:id="rId114" w:history="1">
        <w:r w:rsidRPr="004F36C4">
          <w:rPr>
            <w:rStyle w:val="Hyperlink"/>
          </w:rPr>
          <w:t>http://ocean.floridamarine.org/SA_Fisheries/</w:t>
        </w:r>
      </w:hyperlink>
      <w:r>
        <w:rPr>
          <w:color w:val="000000"/>
        </w:rPr>
        <w:t>)</w:t>
      </w:r>
    </w:p>
    <w:p w14:paraId="7E256A6D" w14:textId="77777777" w:rsidR="00DC4922" w:rsidRPr="00DF4219" w:rsidRDefault="00DC4922" w:rsidP="00DC4922">
      <w:pPr>
        <w:rPr>
          <w:color w:val="000000"/>
        </w:rPr>
      </w:pPr>
    </w:p>
    <w:p w14:paraId="7C70D04E" w14:textId="77777777" w:rsidR="00DC4922" w:rsidRDefault="00DC4922" w:rsidP="00640526">
      <w:pPr>
        <w:ind w:firstLine="360"/>
        <w:rPr>
          <w:color w:val="000000"/>
        </w:rPr>
      </w:pPr>
      <w:r>
        <w:rPr>
          <w:color w:val="000000"/>
        </w:rPr>
        <w:t>Essential Fish Habitat and Essential Fish Habitat Areas of Particular Concern; SAFMC EFH: (</w:t>
      </w:r>
      <w:hyperlink r:id="rId115" w:history="1">
        <w:r w:rsidRPr="004F36C4">
          <w:rPr>
            <w:rStyle w:val="Hyperlink"/>
          </w:rPr>
          <w:t>http://ocean.floridamarine.org/sa_efh/</w:t>
        </w:r>
      </w:hyperlink>
      <w:r>
        <w:rPr>
          <w:color w:val="000000"/>
        </w:rPr>
        <w:t>)</w:t>
      </w:r>
    </w:p>
    <w:p w14:paraId="0EF43228" w14:textId="77777777" w:rsidR="00DC4922" w:rsidRPr="00DF4219" w:rsidRDefault="00DC4922" w:rsidP="00DC4922">
      <w:pPr>
        <w:rPr>
          <w:color w:val="000000"/>
        </w:rPr>
      </w:pPr>
    </w:p>
    <w:p w14:paraId="4934D8B6" w14:textId="77777777" w:rsidR="00DC4922" w:rsidRDefault="00DC4922" w:rsidP="00640526">
      <w:pPr>
        <w:ind w:firstLine="360"/>
        <w:rPr>
          <w:color w:val="000000"/>
        </w:rPr>
      </w:pPr>
      <w:r>
        <w:rPr>
          <w:color w:val="000000"/>
        </w:rPr>
        <w:t>Spatial presentation of managed areas in the region; SAFMC Managed Areas: (</w:t>
      </w:r>
      <w:hyperlink r:id="rId116" w:history="1">
        <w:r w:rsidRPr="004F36C4">
          <w:rPr>
            <w:rStyle w:val="Hyperlink"/>
          </w:rPr>
          <w:t>http://ocean.floridamarine.org/safmc_managedareas/</w:t>
        </w:r>
      </w:hyperlink>
      <w:r>
        <w:rPr>
          <w:color w:val="000000"/>
        </w:rPr>
        <w:t>)</w:t>
      </w:r>
    </w:p>
    <w:p w14:paraId="0B6A9018" w14:textId="77777777" w:rsidR="00DC4922" w:rsidRDefault="00DC4922" w:rsidP="00DC4922">
      <w:pPr>
        <w:rPr>
          <w:color w:val="000000"/>
        </w:rPr>
      </w:pPr>
    </w:p>
    <w:p w14:paraId="12269142" w14:textId="77777777" w:rsidR="00DC4922" w:rsidRDefault="00DC4922" w:rsidP="00640526">
      <w:pPr>
        <w:ind w:firstLine="360"/>
        <w:rPr>
          <w:color w:val="000000"/>
          <w:sz w:val="26"/>
        </w:rPr>
      </w:pPr>
      <w:r>
        <w:rPr>
          <w:color w:val="000000"/>
        </w:rPr>
        <w:t>An online life history and habitat information system supporting Council managed, State managed, and other regional species was developed in cooperation with FWRI.  The Ecospecies system is considered dynamic and presents, as developed, detailed individual species life history reports and provides an interactive online query capability for all species included in the system</w:t>
      </w:r>
      <w:r>
        <w:rPr>
          <w:color w:val="000000"/>
          <w:sz w:val="26"/>
        </w:rPr>
        <w:t xml:space="preserve">: </w:t>
      </w:r>
      <w:r w:rsidRPr="00753CCF">
        <w:t xml:space="preserve"> </w:t>
      </w:r>
      <w:hyperlink r:id="rId117" w:history="1">
        <w:r w:rsidRPr="009D1D49">
          <w:rPr>
            <w:rStyle w:val="Hyperlink"/>
            <w:sz w:val="26"/>
          </w:rPr>
          <w:t>http://atoll.floridamarine.org/EcoSpecies</w:t>
        </w:r>
      </w:hyperlink>
    </w:p>
    <w:p w14:paraId="6C9F4EB7" w14:textId="77777777" w:rsidR="00DC4922" w:rsidRPr="00BE1891" w:rsidRDefault="00DC4922" w:rsidP="00DC4922">
      <w:pPr>
        <w:rPr>
          <w:color w:val="000000"/>
        </w:rPr>
      </w:pPr>
    </w:p>
    <w:p w14:paraId="12172CD6" w14:textId="77777777" w:rsidR="00DC4922" w:rsidRPr="00DB770F" w:rsidRDefault="00DC4922" w:rsidP="00DC4922">
      <w:pPr>
        <w:rPr>
          <w:color w:val="000000"/>
        </w:rPr>
      </w:pPr>
      <w:r>
        <w:rPr>
          <w:color w:val="000000"/>
        </w:rPr>
        <w:t xml:space="preserve">Web Services </w:t>
      </w:r>
      <w:r w:rsidRPr="00DB770F">
        <w:rPr>
          <w:color w:val="000000"/>
        </w:rPr>
        <w:t xml:space="preserve">System Updates: </w:t>
      </w:r>
    </w:p>
    <w:p w14:paraId="1E1FB771" w14:textId="77777777" w:rsidR="00DC4922" w:rsidRPr="00DB770F" w:rsidRDefault="00DC4922" w:rsidP="00DC4922">
      <w:pPr>
        <w:rPr>
          <w:color w:val="000000"/>
        </w:rPr>
      </w:pPr>
      <w:r w:rsidRPr="00DB770F">
        <w:rPr>
          <w:color w:val="000000"/>
        </w:rPr>
        <w:t>Essential Fish Habitat (EFH) – displays EFH and EFH-HAPCS for SAFMC managed species and NOAA Fisheries Highly Migratory Species</w:t>
      </w:r>
      <w:r>
        <w:rPr>
          <w:color w:val="000000"/>
        </w:rPr>
        <w:t>.</w:t>
      </w:r>
    </w:p>
    <w:p w14:paraId="41CD33E5" w14:textId="77777777" w:rsidR="00DC4922" w:rsidRPr="00DB770F" w:rsidRDefault="00DC4922" w:rsidP="00DC4922">
      <w:pPr>
        <w:rPr>
          <w:color w:val="000000"/>
        </w:rPr>
      </w:pPr>
      <w:r w:rsidRPr="00DB770F">
        <w:rPr>
          <w:color w:val="000000"/>
        </w:rPr>
        <w:t xml:space="preserve">Fisheries - displays Marine Resources Monitoring, Assessment, and Prediction (MARMAP) and Southeast Area Monitoring and Assessment Program South Atlantic (SEAMAP-SA) data. </w:t>
      </w:r>
    </w:p>
    <w:p w14:paraId="784C9F1C" w14:textId="77777777" w:rsidR="00DC4922" w:rsidRPr="00DB770F" w:rsidRDefault="00DC4922" w:rsidP="00DC4922">
      <w:pPr>
        <w:rPr>
          <w:color w:val="000000"/>
        </w:rPr>
      </w:pPr>
      <w:r w:rsidRPr="00DB770F">
        <w:rPr>
          <w:color w:val="000000"/>
        </w:rPr>
        <w:t xml:space="preserve">Managed Areas - displays a variety of regulatory boundaries (SAFMC and Federal) or management boundaries within </w:t>
      </w:r>
      <w:r>
        <w:rPr>
          <w:color w:val="000000"/>
        </w:rPr>
        <w:t xml:space="preserve">the </w:t>
      </w:r>
      <w:r w:rsidRPr="00DB770F">
        <w:rPr>
          <w:color w:val="000000"/>
        </w:rPr>
        <w:t>SAFMC’s jurisdiction.</w:t>
      </w:r>
    </w:p>
    <w:p w14:paraId="2E80DF46" w14:textId="77777777" w:rsidR="00DC4922" w:rsidRPr="00DB770F" w:rsidRDefault="00DC4922" w:rsidP="00DC4922">
      <w:pPr>
        <w:rPr>
          <w:color w:val="000000"/>
        </w:rPr>
      </w:pPr>
      <w:r w:rsidRPr="00DB770F">
        <w:rPr>
          <w:color w:val="000000"/>
        </w:rPr>
        <w:t>Habitat – displays habitat data collected by SEADESC, Harbor Branch Oceanographic Institute (HBOI)</w:t>
      </w:r>
      <w:r>
        <w:rPr>
          <w:color w:val="000000"/>
        </w:rPr>
        <w:t>,</w:t>
      </w:r>
      <w:r w:rsidRPr="00DB770F">
        <w:rPr>
          <w:color w:val="000000"/>
        </w:rPr>
        <w:t xml:space="preserve"> and Ocean Exploration dives, as well as the SEAMAP shallow and ESDIM deepwater bottom mapping projects, multibeam imagery, and scientific cruise data.</w:t>
      </w:r>
    </w:p>
    <w:p w14:paraId="21023BB3" w14:textId="77777777" w:rsidR="00DC4922" w:rsidRPr="00DB770F" w:rsidRDefault="00DC4922" w:rsidP="00DC4922">
      <w:pPr>
        <w:rPr>
          <w:color w:val="000000"/>
        </w:rPr>
      </w:pPr>
      <w:r w:rsidRPr="00DB770F">
        <w:rPr>
          <w:color w:val="000000"/>
        </w:rPr>
        <w:t>Multibeam Bathymetry - displays a variety of multibeam data sources and scanned bathymetry charts</w:t>
      </w:r>
      <w:r>
        <w:rPr>
          <w:color w:val="000000"/>
        </w:rPr>
        <w:t>.</w:t>
      </w:r>
    </w:p>
    <w:p w14:paraId="6DB90F80" w14:textId="77777777" w:rsidR="00DC4922" w:rsidRDefault="00DC4922" w:rsidP="00DC4922">
      <w:pPr>
        <w:rPr>
          <w:color w:val="000000"/>
        </w:rPr>
      </w:pPr>
      <w:r w:rsidRPr="00DB770F">
        <w:rPr>
          <w:color w:val="000000"/>
        </w:rPr>
        <w:t>Nautical Charts – displays coastal, general, and overview nautical charts for the SAFMC’s jurisdictional area</w:t>
      </w:r>
      <w:r>
        <w:rPr>
          <w:color w:val="000000"/>
        </w:rPr>
        <w:t>.</w:t>
      </w:r>
    </w:p>
    <w:p w14:paraId="6F949AA8" w14:textId="77777777" w:rsidR="00DC4922" w:rsidRPr="00DB770F" w:rsidRDefault="00DC4922" w:rsidP="00DC4922">
      <w:pPr>
        <w:rPr>
          <w:color w:val="000000"/>
        </w:rPr>
      </w:pPr>
    </w:p>
    <w:p w14:paraId="32FE144C" w14:textId="77777777" w:rsidR="00DC4922" w:rsidRPr="00EB603B" w:rsidRDefault="00DC4922" w:rsidP="00DC4922">
      <w:pPr>
        <w:rPr>
          <w:b/>
          <w:i/>
          <w:color w:val="000000"/>
        </w:rPr>
      </w:pPr>
      <w:r w:rsidRPr="00EB603B">
        <w:rPr>
          <w:b/>
          <w:i/>
          <w:color w:val="000000"/>
          <w:spacing w:val="1"/>
        </w:rPr>
        <w:t>Ec</w:t>
      </w:r>
      <w:r w:rsidRPr="00EB603B">
        <w:rPr>
          <w:b/>
          <w:i/>
          <w:color w:val="000000"/>
        </w:rPr>
        <w:t>o</w:t>
      </w:r>
      <w:r w:rsidRPr="00EB603B">
        <w:rPr>
          <w:b/>
          <w:i/>
          <w:color w:val="000000"/>
          <w:spacing w:val="3"/>
        </w:rPr>
        <w:t>s</w:t>
      </w:r>
      <w:r w:rsidRPr="00EB603B">
        <w:rPr>
          <w:b/>
          <w:i/>
          <w:color w:val="000000"/>
          <w:spacing w:val="-6"/>
        </w:rPr>
        <w:t>y</w:t>
      </w:r>
      <w:r w:rsidRPr="00EB603B">
        <w:rPr>
          <w:b/>
          <w:i/>
          <w:color w:val="000000"/>
          <w:spacing w:val="1"/>
        </w:rPr>
        <w:t>s</w:t>
      </w:r>
      <w:r w:rsidRPr="00EB603B">
        <w:rPr>
          <w:b/>
          <w:i/>
          <w:color w:val="000000"/>
          <w:spacing w:val="-1"/>
        </w:rPr>
        <w:t>t</w:t>
      </w:r>
      <w:r w:rsidRPr="00EB603B">
        <w:rPr>
          <w:b/>
          <w:i/>
          <w:color w:val="000000"/>
          <w:spacing w:val="1"/>
        </w:rPr>
        <w:t>e</w:t>
      </w:r>
      <w:r w:rsidRPr="00EB603B">
        <w:rPr>
          <w:b/>
          <w:i/>
          <w:color w:val="000000"/>
        </w:rPr>
        <w:t>m</w:t>
      </w:r>
      <w:r w:rsidRPr="00EB603B">
        <w:rPr>
          <w:b/>
          <w:i/>
          <w:color w:val="000000"/>
          <w:spacing w:val="1"/>
        </w:rPr>
        <w:t xml:space="preserve"> </w:t>
      </w:r>
      <w:r w:rsidRPr="00EB603B">
        <w:rPr>
          <w:b/>
          <w:i/>
          <w:color w:val="000000"/>
        </w:rPr>
        <w:t>B</w:t>
      </w:r>
      <w:r w:rsidRPr="00EB603B">
        <w:rPr>
          <w:b/>
          <w:i/>
          <w:color w:val="000000"/>
          <w:spacing w:val="1"/>
        </w:rPr>
        <w:t>ase</w:t>
      </w:r>
      <w:r w:rsidRPr="00EB603B">
        <w:rPr>
          <w:b/>
          <w:i/>
          <w:color w:val="000000"/>
        </w:rPr>
        <w:t>d</w:t>
      </w:r>
      <w:r w:rsidRPr="00EB603B">
        <w:rPr>
          <w:b/>
          <w:i/>
          <w:color w:val="000000"/>
          <w:spacing w:val="3"/>
        </w:rPr>
        <w:t xml:space="preserve"> </w:t>
      </w:r>
      <w:r w:rsidRPr="00EB603B">
        <w:rPr>
          <w:b/>
          <w:i/>
          <w:color w:val="000000"/>
          <w:spacing w:val="-8"/>
        </w:rPr>
        <w:t>A</w:t>
      </w:r>
      <w:r w:rsidRPr="00EB603B">
        <w:rPr>
          <w:b/>
          <w:i/>
          <w:color w:val="000000"/>
          <w:spacing w:val="3"/>
        </w:rPr>
        <w:t>c</w:t>
      </w:r>
      <w:r w:rsidRPr="00EB603B">
        <w:rPr>
          <w:b/>
          <w:i/>
          <w:color w:val="000000"/>
          <w:spacing w:val="-1"/>
        </w:rPr>
        <w:t>t</w:t>
      </w:r>
      <w:r w:rsidRPr="00EB603B">
        <w:rPr>
          <w:b/>
          <w:i/>
          <w:color w:val="000000"/>
        </w:rPr>
        <w:t>ion,</w:t>
      </w:r>
      <w:r w:rsidRPr="00EB603B">
        <w:rPr>
          <w:b/>
          <w:i/>
          <w:color w:val="000000"/>
          <w:spacing w:val="1"/>
        </w:rPr>
        <w:t xml:space="preserve"> </w:t>
      </w:r>
      <w:r w:rsidRPr="00EB603B">
        <w:rPr>
          <w:b/>
          <w:i/>
          <w:color w:val="000000"/>
        </w:rPr>
        <w:t>Fu</w:t>
      </w:r>
      <w:r w:rsidRPr="00EB603B">
        <w:rPr>
          <w:b/>
          <w:i/>
          <w:color w:val="000000"/>
          <w:spacing w:val="-1"/>
        </w:rPr>
        <w:t>t</w:t>
      </w:r>
      <w:r w:rsidRPr="00EB603B">
        <w:rPr>
          <w:b/>
          <w:i/>
          <w:color w:val="000000"/>
        </w:rPr>
        <w:t>ure</w:t>
      </w:r>
      <w:r w:rsidRPr="00EB603B">
        <w:rPr>
          <w:b/>
          <w:i/>
          <w:color w:val="000000"/>
          <w:spacing w:val="1"/>
        </w:rPr>
        <w:t xml:space="preserve"> </w:t>
      </w:r>
      <w:r w:rsidRPr="00EB603B">
        <w:rPr>
          <w:b/>
          <w:i/>
          <w:color w:val="000000"/>
        </w:rPr>
        <w:t>Ch</w:t>
      </w:r>
      <w:r w:rsidRPr="00EB603B">
        <w:rPr>
          <w:b/>
          <w:i/>
          <w:color w:val="000000"/>
          <w:spacing w:val="1"/>
        </w:rPr>
        <w:t>a</w:t>
      </w:r>
      <w:r w:rsidRPr="00EB603B">
        <w:rPr>
          <w:b/>
          <w:i/>
          <w:color w:val="000000"/>
        </w:rPr>
        <w:t>ll</w:t>
      </w:r>
      <w:r w:rsidRPr="00EB603B">
        <w:rPr>
          <w:b/>
          <w:i/>
          <w:color w:val="000000"/>
          <w:spacing w:val="1"/>
        </w:rPr>
        <w:t>e</w:t>
      </w:r>
      <w:r w:rsidRPr="00EB603B">
        <w:rPr>
          <w:b/>
          <w:i/>
          <w:color w:val="000000"/>
        </w:rPr>
        <w:t>n</w:t>
      </w:r>
      <w:r w:rsidRPr="00EB603B">
        <w:rPr>
          <w:b/>
          <w:i/>
          <w:color w:val="000000"/>
          <w:spacing w:val="-3"/>
        </w:rPr>
        <w:t>g</w:t>
      </w:r>
      <w:r w:rsidRPr="00EB603B">
        <w:rPr>
          <w:b/>
          <w:i/>
          <w:color w:val="000000"/>
          <w:spacing w:val="1"/>
        </w:rPr>
        <w:t>e</w:t>
      </w:r>
      <w:r w:rsidRPr="00EB603B">
        <w:rPr>
          <w:b/>
          <w:i/>
          <w:color w:val="000000"/>
        </w:rPr>
        <w:t>s</w:t>
      </w:r>
      <w:r w:rsidRPr="00EB603B">
        <w:rPr>
          <w:b/>
          <w:i/>
          <w:color w:val="000000"/>
          <w:spacing w:val="1"/>
        </w:rPr>
        <w:t xml:space="preserve"> a</w:t>
      </w:r>
      <w:r w:rsidRPr="00EB603B">
        <w:rPr>
          <w:b/>
          <w:i/>
          <w:color w:val="000000"/>
        </w:rPr>
        <w:t xml:space="preserve">nd </w:t>
      </w:r>
      <w:r w:rsidRPr="00EB603B">
        <w:rPr>
          <w:b/>
          <w:i/>
          <w:color w:val="000000"/>
          <w:spacing w:val="-3"/>
        </w:rPr>
        <w:t>N</w:t>
      </w:r>
      <w:r w:rsidRPr="00EB603B">
        <w:rPr>
          <w:b/>
          <w:i/>
          <w:color w:val="000000"/>
          <w:spacing w:val="1"/>
        </w:rPr>
        <w:t>ee</w:t>
      </w:r>
      <w:r w:rsidRPr="00EB603B">
        <w:rPr>
          <w:b/>
          <w:i/>
          <w:color w:val="000000"/>
        </w:rPr>
        <w:t>ds</w:t>
      </w:r>
    </w:p>
    <w:p w14:paraId="585D656D" w14:textId="77777777" w:rsidR="00DC4922" w:rsidRDefault="00DC4922" w:rsidP="00640526">
      <w:pPr>
        <w:ind w:firstLine="360"/>
        <w:rPr>
          <w:color w:val="000000"/>
        </w:rPr>
      </w:pPr>
      <w:r>
        <w:rPr>
          <w:color w:val="000000"/>
        </w:rPr>
        <w:t>The</w:t>
      </w:r>
      <w:r>
        <w:rPr>
          <w:color w:val="000000"/>
          <w:spacing w:val="-1"/>
        </w:rPr>
        <w:t xml:space="preserve"> </w:t>
      </w:r>
      <w:r>
        <w:rPr>
          <w:color w:val="000000"/>
          <w:spacing w:val="1"/>
        </w:rPr>
        <w:t>C</w:t>
      </w:r>
      <w:r>
        <w:rPr>
          <w:color w:val="000000"/>
        </w:rPr>
        <w:t>oun</w:t>
      </w:r>
      <w:r>
        <w:rPr>
          <w:color w:val="000000"/>
          <w:spacing w:val="-1"/>
        </w:rPr>
        <w:t>c</w:t>
      </w:r>
      <w:r>
        <w:rPr>
          <w:color w:val="000000"/>
        </w:rPr>
        <w:t>il h</w:t>
      </w:r>
      <w:r>
        <w:rPr>
          <w:color w:val="000000"/>
          <w:spacing w:val="-1"/>
        </w:rPr>
        <w:t>a</w:t>
      </w:r>
      <w:r>
        <w:rPr>
          <w:color w:val="000000"/>
        </w:rPr>
        <w:t>s impl</w:t>
      </w:r>
      <w:r>
        <w:rPr>
          <w:color w:val="000000"/>
          <w:spacing w:val="-1"/>
        </w:rPr>
        <w:t>e</w:t>
      </w:r>
      <w:r>
        <w:rPr>
          <w:color w:val="000000"/>
        </w:rPr>
        <w:t>m</w:t>
      </w:r>
      <w:r>
        <w:rPr>
          <w:color w:val="000000"/>
          <w:spacing w:val="-1"/>
        </w:rPr>
        <w:t>e</w:t>
      </w:r>
      <w:r>
        <w:rPr>
          <w:color w:val="000000"/>
        </w:rPr>
        <w:t>nt</w:t>
      </w:r>
      <w:r>
        <w:rPr>
          <w:color w:val="000000"/>
          <w:spacing w:val="-1"/>
        </w:rPr>
        <w:t>e</w:t>
      </w:r>
      <w:r>
        <w:rPr>
          <w:color w:val="000000"/>
        </w:rPr>
        <w:t xml:space="preserve">d </w:t>
      </w:r>
      <w:r>
        <w:rPr>
          <w:color w:val="000000"/>
          <w:spacing w:val="-1"/>
        </w:rPr>
        <w:t>ec</w:t>
      </w:r>
      <w:r>
        <w:rPr>
          <w:color w:val="000000"/>
        </w:rPr>
        <w:t>o</w:t>
      </w:r>
      <w:r>
        <w:rPr>
          <w:color w:val="000000"/>
          <w:spacing w:val="5"/>
        </w:rPr>
        <w:t>s</w:t>
      </w:r>
      <w:r>
        <w:rPr>
          <w:color w:val="000000"/>
          <w:spacing w:val="-5"/>
        </w:rPr>
        <w:t>y</w:t>
      </w:r>
      <w:r>
        <w:rPr>
          <w:color w:val="000000"/>
        </w:rPr>
        <w:t>st</w:t>
      </w:r>
      <w:r>
        <w:rPr>
          <w:color w:val="000000"/>
          <w:spacing w:val="-1"/>
        </w:rPr>
        <w:t>e</w:t>
      </w:r>
      <w:r>
        <w:rPr>
          <w:color w:val="000000"/>
        </w:rPr>
        <w:t>m</w:t>
      </w:r>
      <w:r>
        <w:rPr>
          <w:color w:val="000000"/>
          <w:spacing w:val="-1"/>
        </w:rPr>
        <w:t>-</w:t>
      </w:r>
      <w:r>
        <w:rPr>
          <w:color w:val="000000"/>
          <w:spacing w:val="2"/>
        </w:rPr>
        <w:t>b</w:t>
      </w:r>
      <w:r>
        <w:rPr>
          <w:color w:val="000000"/>
          <w:spacing w:val="-1"/>
        </w:rPr>
        <w:t>a</w:t>
      </w:r>
      <w:r>
        <w:rPr>
          <w:color w:val="000000"/>
        </w:rPr>
        <w:t>s</w:t>
      </w:r>
      <w:r>
        <w:rPr>
          <w:color w:val="000000"/>
          <w:spacing w:val="-1"/>
        </w:rPr>
        <w:t>e</w:t>
      </w:r>
      <w:r>
        <w:rPr>
          <w:color w:val="000000"/>
        </w:rPr>
        <w:t xml:space="preserve">d </w:t>
      </w:r>
      <w:r>
        <w:rPr>
          <w:color w:val="000000"/>
          <w:spacing w:val="2"/>
        </w:rPr>
        <w:t>p</w:t>
      </w:r>
      <w:r>
        <w:rPr>
          <w:color w:val="000000"/>
          <w:spacing w:val="-1"/>
        </w:rPr>
        <w:t>r</w:t>
      </w:r>
      <w:r>
        <w:rPr>
          <w:color w:val="000000"/>
        </w:rPr>
        <w:t>in</w:t>
      </w:r>
      <w:r>
        <w:rPr>
          <w:color w:val="000000"/>
          <w:spacing w:val="-1"/>
        </w:rPr>
        <w:t>c</w:t>
      </w:r>
      <w:r>
        <w:rPr>
          <w:color w:val="000000"/>
        </w:rPr>
        <w:t>ipl</w:t>
      </w:r>
      <w:r>
        <w:rPr>
          <w:color w:val="000000"/>
          <w:spacing w:val="-1"/>
        </w:rPr>
        <w:t>e</w:t>
      </w:r>
      <w:r>
        <w:rPr>
          <w:color w:val="000000"/>
        </w:rPr>
        <w:t>s th</w:t>
      </w:r>
      <w:r>
        <w:rPr>
          <w:color w:val="000000"/>
          <w:spacing w:val="-1"/>
        </w:rPr>
        <w:t>r</w:t>
      </w:r>
      <w:r>
        <w:rPr>
          <w:color w:val="000000"/>
        </w:rPr>
        <w:t>ou</w:t>
      </w:r>
      <w:r>
        <w:rPr>
          <w:color w:val="000000"/>
          <w:spacing w:val="-2"/>
        </w:rPr>
        <w:t>g</w:t>
      </w:r>
      <w:r>
        <w:rPr>
          <w:color w:val="000000"/>
        </w:rPr>
        <w:t xml:space="preserve">h </w:t>
      </w:r>
      <w:r>
        <w:rPr>
          <w:color w:val="000000"/>
          <w:spacing w:val="3"/>
        </w:rPr>
        <w:t>s</w:t>
      </w:r>
      <w:r>
        <w:rPr>
          <w:color w:val="000000"/>
          <w:spacing w:val="-1"/>
        </w:rPr>
        <w:t>e</w:t>
      </w:r>
      <w:r>
        <w:rPr>
          <w:color w:val="000000"/>
        </w:rPr>
        <w:t>v</w:t>
      </w:r>
      <w:r>
        <w:rPr>
          <w:color w:val="000000"/>
          <w:spacing w:val="-1"/>
        </w:rPr>
        <w:t>e</w:t>
      </w:r>
      <w:r>
        <w:rPr>
          <w:color w:val="000000"/>
          <w:spacing w:val="2"/>
        </w:rPr>
        <w:t>r</w:t>
      </w:r>
      <w:r>
        <w:rPr>
          <w:color w:val="000000"/>
          <w:spacing w:val="-1"/>
        </w:rPr>
        <w:t>a</w:t>
      </w:r>
      <w:r>
        <w:rPr>
          <w:color w:val="000000"/>
        </w:rPr>
        <w:t>l</w:t>
      </w:r>
      <w:r>
        <w:rPr>
          <w:color w:val="000000"/>
          <w:spacing w:val="3"/>
        </w:rPr>
        <w:t xml:space="preserve"> </w:t>
      </w:r>
      <w:r>
        <w:rPr>
          <w:color w:val="000000"/>
          <w:spacing w:val="-1"/>
        </w:rPr>
        <w:t>e</w:t>
      </w:r>
      <w:r>
        <w:rPr>
          <w:color w:val="000000"/>
          <w:spacing w:val="2"/>
        </w:rPr>
        <w:t>x</w:t>
      </w:r>
      <w:r>
        <w:rPr>
          <w:color w:val="000000"/>
        </w:rPr>
        <w:t>isting</w:t>
      </w:r>
      <w:r>
        <w:rPr>
          <w:color w:val="000000"/>
          <w:spacing w:val="-2"/>
        </w:rPr>
        <w:t xml:space="preserve"> </w:t>
      </w:r>
      <w:r>
        <w:rPr>
          <w:color w:val="000000"/>
          <w:spacing w:val="-1"/>
        </w:rPr>
        <w:t>f</w:t>
      </w:r>
      <w:r>
        <w:rPr>
          <w:color w:val="000000"/>
        </w:rPr>
        <w:t>ish</w:t>
      </w:r>
      <w:r>
        <w:rPr>
          <w:color w:val="000000"/>
          <w:spacing w:val="-1"/>
        </w:rPr>
        <w:t>e</w:t>
      </w:r>
      <w:r>
        <w:rPr>
          <w:color w:val="000000"/>
          <w:spacing w:val="2"/>
        </w:rPr>
        <w:t>r</w:t>
      </w:r>
      <w:r>
        <w:rPr>
          <w:color w:val="000000"/>
        </w:rPr>
        <w:t>y</w:t>
      </w:r>
      <w:r>
        <w:rPr>
          <w:color w:val="000000"/>
          <w:spacing w:val="-5"/>
        </w:rPr>
        <w:t xml:space="preserve"> </w:t>
      </w:r>
      <w:r>
        <w:rPr>
          <w:color w:val="000000"/>
          <w:spacing w:val="3"/>
        </w:rPr>
        <w:t>m</w:t>
      </w:r>
      <w:r>
        <w:rPr>
          <w:color w:val="000000"/>
          <w:spacing w:val="-1"/>
        </w:rPr>
        <w:t>a</w:t>
      </w:r>
      <w:r>
        <w:rPr>
          <w:color w:val="000000"/>
        </w:rPr>
        <w:t>n</w:t>
      </w:r>
      <w:r>
        <w:rPr>
          <w:color w:val="000000"/>
          <w:spacing w:val="1"/>
        </w:rPr>
        <w:t>a</w:t>
      </w:r>
      <w:r>
        <w:rPr>
          <w:color w:val="000000"/>
          <w:spacing w:val="-2"/>
        </w:rPr>
        <w:t>g</w:t>
      </w:r>
      <w:r>
        <w:rPr>
          <w:color w:val="000000"/>
          <w:spacing w:val="1"/>
        </w:rPr>
        <w:t>e</w:t>
      </w:r>
      <w:r>
        <w:rPr>
          <w:color w:val="000000"/>
        </w:rPr>
        <w:t>m</w:t>
      </w:r>
      <w:r>
        <w:rPr>
          <w:color w:val="000000"/>
          <w:spacing w:val="-1"/>
        </w:rPr>
        <w:t>e</w:t>
      </w:r>
      <w:r>
        <w:rPr>
          <w:color w:val="000000"/>
        </w:rPr>
        <w:t xml:space="preserve">nt </w:t>
      </w:r>
      <w:r>
        <w:rPr>
          <w:color w:val="000000"/>
          <w:spacing w:val="-1"/>
        </w:rPr>
        <w:t>ac</w:t>
      </w:r>
      <w:r>
        <w:rPr>
          <w:color w:val="000000"/>
        </w:rPr>
        <w:t>tions in</w:t>
      </w:r>
      <w:r>
        <w:rPr>
          <w:color w:val="000000"/>
          <w:spacing w:val="-1"/>
        </w:rPr>
        <w:t>c</w:t>
      </w:r>
      <w:r>
        <w:rPr>
          <w:color w:val="000000"/>
        </w:rPr>
        <w:t>luding</w:t>
      </w:r>
      <w:r>
        <w:rPr>
          <w:color w:val="000000"/>
          <w:spacing w:val="-2"/>
        </w:rPr>
        <w:t xml:space="preserve"> </w:t>
      </w:r>
      <w:r>
        <w:rPr>
          <w:color w:val="000000"/>
          <w:spacing w:val="-1"/>
        </w:rPr>
        <w:t>e</w:t>
      </w:r>
      <w:r>
        <w:rPr>
          <w:color w:val="000000"/>
        </w:rPr>
        <w:t>s</w:t>
      </w:r>
      <w:r>
        <w:rPr>
          <w:color w:val="000000"/>
          <w:spacing w:val="3"/>
        </w:rPr>
        <w:t>t</w:t>
      </w:r>
      <w:r>
        <w:rPr>
          <w:color w:val="000000"/>
          <w:spacing w:val="-1"/>
        </w:rPr>
        <w:t>a</w:t>
      </w:r>
      <w:r>
        <w:rPr>
          <w:color w:val="000000"/>
        </w:rPr>
        <w:t>blishm</w:t>
      </w:r>
      <w:r>
        <w:rPr>
          <w:color w:val="000000"/>
          <w:spacing w:val="-1"/>
        </w:rPr>
        <w:t>e</w:t>
      </w:r>
      <w:r>
        <w:rPr>
          <w:color w:val="000000"/>
        </w:rPr>
        <w:t>nt of</w:t>
      </w:r>
      <w:r>
        <w:rPr>
          <w:color w:val="000000"/>
          <w:spacing w:val="-1"/>
        </w:rPr>
        <w:t xml:space="preserve"> </w:t>
      </w:r>
      <w:r>
        <w:rPr>
          <w:color w:val="000000"/>
        </w:rPr>
        <w:t>d</w:t>
      </w:r>
      <w:r>
        <w:rPr>
          <w:color w:val="000000"/>
          <w:spacing w:val="-1"/>
        </w:rPr>
        <w:t>ee</w:t>
      </w:r>
      <w:r>
        <w:rPr>
          <w:color w:val="000000"/>
        </w:rPr>
        <w:t>p</w:t>
      </w:r>
      <w:r>
        <w:rPr>
          <w:color w:val="000000"/>
          <w:spacing w:val="2"/>
        </w:rPr>
        <w:t>w</w:t>
      </w:r>
      <w:r>
        <w:rPr>
          <w:color w:val="000000"/>
          <w:spacing w:val="-1"/>
        </w:rPr>
        <w:t>a</w:t>
      </w:r>
      <w:r>
        <w:rPr>
          <w:color w:val="000000"/>
        </w:rPr>
        <w:t>t</w:t>
      </w:r>
      <w:r>
        <w:rPr>
          <w:color w:val="000000"/>
          <w:spacing w:val="-1"/>
        </w:rPr>
        <w:t>e</w:t>
      </w:r>
      <w:r>
        <w:rPr>
          <w:color w:val="000000"/>
        </w:rPr>
        <w:t>r</w:t>
      </w:r>
      <w:r>
        <w:rPr>
          <w:color w:val="000000"/>
          <w:spacing w:val="-1"/>
        </w:rPr>
        <w:t xml:space="preserve"> </w:t>
      </w:r>
      <w:r>
        <w:rPr>
          <w:color w:val="000000"/>
        </w:rPr>
        <w:t>M</w:t>
      </w:r>
      <w:r>
        <w:rPr>
          <w:color w:val="000000"/>
          <w:spacing w:val="1"/>
        </w:rPr>
        <w:t>a</w:t>
      </w:r>
      <w:r>
        <w:rPr>
          <w:color w:val="000000"/>
          <w:spacing w:val="-1"/>
        </w:rPr>
        <w:t>r</w:t>
      </w:r>
      <w:r>
        <w:rPr>
          <w:color w:val="000000"/>
          <w:spacing w:val="3"/>
        </w:rPr>
        <w:t>i</w:t>
      </w:r>
      <w:r>
        <w:rPr>
          <w:color w:val="000000"/>
        </w:rPr>
        <w:t>ne</w:t>
      </w:r>
      <w:r>
        <w:rPr>
          <w:color w:val="000000"/>
          <w:spacing w:val="-1"/>
        </w:rPr>
        <w:t xml:space="preserve"> </w:t>
      </w:r>
      <w:r>
        <w:rPr>
          <w:color w:val="000000"/>
          <w:spacing w:val="1"/>
        </w:rPr>
        <w:t>P</w:t>
      </w:r>
      <w:r>
        <w:rPr>
          <w:color w:val="000000"/>
          <w:spacing w:val="-1"/>
        </w:rPr>
        <w:t>r</w:t>
      </w:r>
      <w:r>
        <w:rPr>
          <w:color w:val="000000"/>
        </w:rPr>
        <w:t>ot</w:t>
      </w:r>
      <w:r>
        <w:rPr>
          <w:color w:val="000000"/>
          <w:spacing w:val="-1"/>
        </w:rPr>
        <w:t>ec</w:t>
      </w:r>
      <w:r>
        <w:rPr>
          <w:color w:val="000000"/>
        </w:rPr>
        <w:t>t</w:t>
      </w:r>
      <w:r>
        <w:rPr>
          <w:color w:val="000000"/>
          <w:spacing w:val="-1"/>
        </w:rPr>
        <w:t>e</w:t>
      </w:r>
      <w:r>
        <w:rPr>
          <w:color w:val="000000"/>
        </w:rPr>
        <w:t xml:space="preserve">d </w:t>
      </w:r>
      <w:r>
        <w:rPr>
          <w:color w:val="000000"/>
          <w:spacing w:val="2"/>
        </w:rPr>
        <w:t>A</w:t>
      </w:r>
      <w:r>
        <w:rPr>
          <w:color w:val="000000"/>
          <w:spacing w:val="-1"/>
        </w:rPr>
        <w:t>rea</w:t>
      </w:r>
      <w:r>
        <w:rPr>
          <w:color w:val="000000"/>
        </w:rPr>
        <w:t>s</w:t>
      </w:r>
      <w:r>
        <w:rPr>
          <w:color w:val="000000"/>
          <w:spacing w:val="3"/>
        </w:rPr>
        <w:t xml:space="preserve"> </w:t>
      </w:r>
      <w:r>
        <w:rPr>
          <w:color w:val="000000"/>
          <w:spacing w:val="-1"/>
        </w:rPr>
        <w:t>f</w:t>
      </w:r>
      <w:r>
        <w:rPr>
          <w:color w:val="000000"/>
        </w:rPr>
        <w:t>or</w:t>
      </w:r>
      <w:r>
        <w:rPr>
          <w:color w:val="000000"/>
          <w:spacing w:val="-1"/>
        </w:rPr>
        <w:t xml:space="preserve"> </w:t>
      </w:r>
      <w:r>
        <w:rPr>
          <w:color w:val="000000"/>
        </w:rPr>
        <w:t>t</w:t>
      </w:r>
      <w:r>
        <w:rPr>
          <w:color w:val="000000"/>
          <w:spacing w:val="2"/>
        </w:rPr>
        <w:t>h</w:t>
      </w:r>
      <w:r>
        <w:rPr>
          <w:color w:val="000000"/>
        </w:rPr>
        <w:t>e</w:t>
      </w:r>
      <w:r>
        <w:rPr>
          <w:color w:val="000000"/>
          <w:spacing w:val="-1"/>
        </w:rPr>
        <w:t xml:space="preserve"> </w:t>
      </w:r>
      <w:r>
        <w:rPr>
          <w:color w:val="000000"/>
          <w:spacing w:val="1"/>
        </w:rPr>
        <w:t>S</w:t>
      </w:r>
      <w:r>
        <w:rPr>
          <w:color w:val="000000"/>
        </w:rPr>
        <w:t>n</w:t>
      </w:r>
      <w:r>
        <w:rPr>
          <w:color w:val="000000"/>
          <w:spacing w:val="-1"/>
        </w:rPr>
        <w:t>a</w:t>
      </w:r>
      <w:r>
        <w:rPr>
          <w:color w:val="000000"/>
        </w:rPr>
        <w:t>pp</w:t>
      </w:r>
      <w:r>
        <w:rPr>
          <w:color w:val="000000"/>
          <w:spacing w:val="-1"/>
        </w:rPr>
        <w:t>e</w:t>
      </w:r>
      <w:r>
        <w:rPr>
          <w:color w:val="000000"/>
        </w:rPr>
        <w:t>r</w:t>
      </w:r>
      <w:r>
        <w:rPr>
          <w:color w:val="000000"/>
          <w:spacing w:val="-1"/>
        </w:rPr>
        <w:t xml:space="preserve"> </w:t>
      </w:r>
      <w:r>
        <w:rPr>
          <w:color w:val="000000"/>
          <w:spacing w:val="2"/>
        </w:rPr>
        <w:t>G</w:t>
      </w:r>
      <w:r>
        <w:rPr>
          <w:color w:val="000000"/>
          <w:spacing w:val="-1"/>
        </w:rPr>
        <w:t>r</w:t>
      </w:r>
      <w:r>
        <w:rPr>
          <w:color w:val="000000"/>
        </w:rPr>
        <w:t>oup</w:t>
      </w:r>
      <w:r>
        <w:rPr>
          <w:color w:val="000000"/>
          <w:spacing w:val="-1"/>
        </w:rPr>
        <w:t>e</w:t>
      </w:r>
      <w:r>
        <w:rPr>
          <w:color w:val="000000"/>
        </w:rPr>
        <w:t>r</w:t>
      </w:r>
      <w:r>
        <w:rPr>
          <w:color w:val="000000"/>
          <w:spacing w:val="2"/>
        </w:rPr>
        <w:t xml:space="preserve"> </w:t>
      </w:r>
      <w:r>
        <w:rPr>
          <w:color w:val="000000"/>
          <w:spacing w:val="-1"/>
        </w:rPr>
        <w:t>f</w:t>
      </w:r>
      <w:r>
        <w:rPr>
          <w:color w:val="000000"/>
        </w:rPr>
        <w:t>ish</w:t>
      </w:r>
      <w:r>
        <w:rPr>
          <w:color w:val="000000"/>
          <w:spacing w:val="-1"/>
        </w:rPr>
        <w:t>e</w:t>
      </w:r>
      <w:r>
        <w:rPr>
          <w:color w:val="000000"/>
          <w:spacing w:val="2"/>
        </w:rPr>
        <w:t>r</w:t>
      </w:r>
      <w:r>
        <w:rPr>
          <w:color w:val="000000"/>
          <w:spacing w:val="-5"/>
        </w:rPr>
        <w:t>y</w:t>
      </w:r>
      <w:r>
        <w:rPr>
          <w:color w:val="000000"/>
        </w:rPr>
        <w:t>, p</w:t>
      </w:r>
      <w:r>
        <w:rPr>
          <w:color w:val="000000"/>
          <w:spacing w:val="-1"/>
        </w:rPr>
        <w:t>r</w:t>
      </w:r>
      <w:r>
        <w:rPr>
          <w:color w:val="000000"/>
        </w:rPr>
        <w:t>o</w:t>
      </w:r>
      <w:r>
        <w:rPr>
          <w:color w:val="000000"/>
          <w:spacing w:val="-1"/>
        </w:rPr>
        <w:t>ac</w:t>
      </w:r>
      <w:r>
        <w:rPr>
          <w:color w:val="000000"/>
        </w:rPr>
        <w:t>tive</w:t>
      </w:r>
      <w:r>
        <w:rPr>
          <w:color w:val="000000"/>
          <w:spacing w:val="-1"/>
        </w:rPr>
        <w:t xml:space="preserve"> </w:t>
      </w:r>
      <w:r>
        <w:rPr>
          <w:color w:val="000000"/>
        </w:rPr>
        <w:t>h</w:t>
      </w:r>
      <w:r>
        <w:rPr>
          <w:color w:val="000000"/>
          <w:spacing w:val="1"/>
        </w:rPr>
        <w:t>a</w:t>
      </w:r>
      <w:r>
        <w:rPr>
          <w:color w:val="000000"/>
          <w:spacing w:val="-1"/>
        </w:rPr>
        <w:t>r</w:t>
      </w:r>
      <w:r>
        <w:rPr>
          <w:color w:val="000000"/>
        </w:rPr>
        <w:t>v</w:t>
      </w:r>
      <w:r>
        <w:rPr>
          <w:color w:val="000000"/>
          <w:spacing w:val="-1"/>
        </w:rPr>
        <w:t>e</w:t>
      </w:r>
      <w:r>
        <w:rPr>
          <w:color w:val="000000"/>
        </w:rPr>
        <w:t xml:space="preserve">st </w:t>
      </w:r>
      <w:r>
        <w:rPr>
          <w:color w:val="000000"/>
          <w:spacing w:val="-1"/>
        </w:rPr>
        <w:t>c</w:t>
      </w:r>
      <w:r>
        <w:rPr>
          <w:color w:val="000000"/>
        </w:rPr>
        <w:t>ont</w:t>
      </w:r>
      <w:r>
        <w:rPr>
          <w:color w:val="000000"/>
          <w:spacing w:val="-1"/>
        </w:rPr>
        <w:t>r</w:t>
      </w:r>
      <w:r>
        <w:rPr>
          <w:color w:val="000000"/>
        </w:rPr>
        <w:t>ol</w:t>
      </w:r>
      <w:r>
        <w:rPr>
          <w:color w:val="000000"/>
          <w:spacing w:val="3"/>
        </w:rPr>
        <w:t xml:space="preserve"> </w:t>
      </w:r>
      <w:r>
        <w:rPr>
          <w:color w:val="000000"/>
          <w:spacing w:val="-1"/>
        </w:rPr>
        <w:t>r</w:t>
      </w:r>
      <w:r>
        <w:rPr>
          <w:color w:val="000000"/>
        </w:rPr>
        <w:t>ul</w:t>
      </w:r>
      <w:r>
        <w:rPr>
          <w:color w:val="000000"/>
          <w:spacing w:val="-1"/>
        </w:rPr>
        <w:t>e</w:t>
      </w:r>
      <w:r>
        <w:rPr>
          <w:color w:val="000000"/>
        </w:rPr>
        <w:t>s on sp</w:t>
      </w:r>
      <w:r>
        <w:rPr>
          <w:color w:val="000000"/>
          <w:spacing w:val="-1"/>
        </w:rPr>
        <w:t>ec</w:t>
      </w:r>
      <w:r>
        <w:rPr>
          <w:color w:val="000000"/>
        </w:rPr>
        <w:t>i</w:t>
      </w:r>
      <w:r>
        <w:rPr>
          <w:color w:val="000000"/>
          <w:spacing w:val="-1"/>
        </w:rPr>
        <w:t>e</w:t>
      </w:r>
      <w:r>
        <w:rPr>
          <w:color w:val="000000"/>
        </w:rPr>
        <w:t>s</w:t>
      </w:r>
      <w:r>
        <w:rPr>
          <w:color w:val="000000"/>
          <w:spacing w:val="3"/>
        </w:rPr>
        <w:t xml:space="preserve"> </w:t>
      </w:r>
      <w:r>
        <w:rPr>
          <w:color w:val="000000"/>
          <w:spacing w:val="-1"/>
        </w:rPr>
        <w:t>(e</w:t>
      </w:r>
      <w:r>
        <w:rPr>
          <w:color w:val="000000"/>
          <w:spacing w:val="2"/>
        </w:rPr>
        <w:t>.</w:t>
      </w:r>
      <w:r>
        <w:rPr>
          <w:color w:val="000000"/>
          <w:spacing w:val="-2"/>
        </w:rPr>
        <w:t>g</w:t>
      </w:r>
      <w:r>
        <w:rPr>
          <w:color w:val="000000"/>
        </w:rPr>
        <w:t>., do</w:t>
      </w:r>
      <w:r>
        <w:rPr>
          <w:color w:val="000000"/>
          <w:spacing w:val="3"/>
        </w:rPr>
        <w:t>l</w:t>
      </w:r>
      <w:r>
        <w:rPr>
          <w:color w:val="000000"/>
        </w:rPr>
        <w:t xml:space="preserve">phin </w:t>
      </w:r>
      <w:r>
        <w:rPr>
          <w:color w:val="000000"/>
          <w:spacing w:val="-1"/>
        </w:rPr>
        <w:t>a</w:t>
      </w:r>
      <w:r>
        <w:rPr>
          <w:color w:val="000000"/>
        </w:rPr>
        <w:t>nd w</w:t>
      </w:r>
      <w:r>
        <w:rPr>
          <w:color w:val="000000"/>
          <w:spacing w:val="-1"/>
        </w:rPr>
        <w:t>a</w:t>
      </w:r>
      <w:r>
        <w:rPr>
          <w:color w:val="000000"/>
        </w:rPr>
        <w:t>hoo)</w:t>
      </w:r>
      <w:r>
        <w:rPr>
          <w:color w:val="000000"/>
          <w:spacing w:val="-1"/>
        </w:rPr>
        <w:t xml:space="preserve"> </w:t>
      </w:r>
      <w:r>
        <w:rPr>
          <w:color w:val="000000"/>
        </w:rPr>
        <w:t>wh</w:t>
      </w:r>
      <w:r>
        <w:rPr>
          <w:color w:val="000000"/>
          <w:spacing w:val="3"/>
        </w:rPr>
        <w:t>i</w:t>
      </w:r>
      <w:r>
        <w:rPr>
          <w:color w:val="000000"/>
          <w:spacing w:val="-1"/>
        </w:rPr>
        <w:t>c</w:t>
      </w:r>
      <w:r>
        <w:rPr>
          <w:color w:val="000000"/>
        </w:rPr>
        <w:t xml:space="preserve">h </w:t>
      </w:r>
      <w:r>
        <w:rPr>
          <w:color w:val="000000"/>
          <w:spacing w:val="1"/>
        </w:rPr>
        <w:t>a</w:t>
      </w:r>
      <w:r>
        <w:rPr>
          <w:color w:val="000000"/>
          <w:spacing w:val="-1"/>
        </w:rPr>
        <w:t>r</w:t>
      </w:r>
      <w:r>
        <w:rPr>
          <w:color w:val="000000"/>
        </w:rPr>
        <w:t>e</w:t>
      </w:r>
      <w:r>
        <w:rPr>
          <w:color w:val="000000"/>
          <w:spacing w:val="-1"/>
        </w:rPr>
        <w:t xml:space="preserve"> </w:t>
      </w:r>
      <w:r>
        <w:rPr>
          <w:color w:val="000000"/>
        </w:rPr>
        <w:t>not ov</w:t>
      </w:r>
      <w:r>
        <w:rPr>
          <w:color w:val="000000"/>
          <w:spacing w:val="-1"/>
        </w:rPr>
        <w:t>erf</w:t>
      </w:r>
      <w:r>
        <w:rPr>
          <w:color w:val="000000"/>
        </w:rPr>
        <w:t>is</w:t>
      </w:r>
      <w:r>
        <w:rPr>
          <w:color w:val="000000"/>
          <w:spacing w:val="2"/>
        </w:rPr>
        <w:t>h</w:t>
      </w:r>
      <w:r>
        <w:rPr>
          <w:color w:val="000000"/>
          <w:spacing w:val="-1"/>
        </w:rPr>
        <w:t>e</w:t>
      </w:r>
      <w:r>
        <w:rPr>
          <w:color w:val="000000"/>
        </w:rPr>
        <w:t>d, impl</w:t>
      </w:r>
      <w:r>
        <w:rPr>
          <w:color w:val="000000"/>
          <w:spacing w:val="-1"/>
        </w:rPr>
        <w:t>e</w:t>
      </w:r>
      <w:r>
        <w:rPr>
          <w:color w:val="000000"/>
        </w:rPr>
        <w:t>m</w:t>
      </w:r>
      <w:r>
        <w:rPr>
          <w:color w:val="000000"/>
          <w:spacing w:val="-1"/>
        </w:rPr>
        <w:t>e</w:t>
      </w:r>
      <w:r>
        <w:rPr>
          <w:color w:val="000000"/>
        </w:rPr>
        <w:t>nting</w:t>
      </w:r>
      <w:r>
        <w:rPr>
          <w:color w:val="000000"/>
          <w:spacing w:val="-2"/>
        </w:rPr>
        <w:t xml:space="preserve"> </w:t>
      </w:r>
      <w:r>
        <w:rPr>
          <w:color w:val="000000"/>
          <w:spacing w:val="-1"/>
        </w:rPr>
        <w:t>e</w:t>
      </w:r>
      <w:r>
        <w:rPr>
          <w:color w:val="000000"/>
          <w:spacing w:val="2"/>
        </w:rPr>
        <w:t>x</w:t>
      </w:r>
      <w:r>
        <w:rPr>
          <w:color w:val="000000"/>
        </w:rPr>
        <w:t>t</w:t>
      </w:r>
      <w:r>
        <w:rPr>
          <w:color w:val="000000"/>
          <w:spacing w:val="-1"/>
        </w:rPr>
        <w:t>e</w:t>
      </w:r>
      <w:r>
        <w:rPr>
          <w:color w:val="000000"/>
        </w:rPr>
        <w:t>nsive</w:t>
      </w:r>
      <w:r>
        <w:rPr>
          <w:color w:val="000000"/>
          <w:spacing w:val="-1"/>
        </w:rPr>
        <w:t xml:space="preserve"> </w:t>
      </w:r>
      <w:r>
        <w:rPr>
          <w:color w:val="000000"/>
          <w:spacing w:val="-2"/>
        </w:rPr>
        <w:t>g</w:t>
      </w:r>
      <w:r>
        <w:rPr>
          <w:color w:val="000000"/>
          <w:spacing w:val="1"/>
        </w:rPr>
        <w:t>e</w:t>
      </w:r>
      <w:r>
        <w:rPr>
          <w:color w:val="000000"/>
          <w:spacing w:val="-1"/>
        </w:rPr>
        <w:t>a</w:t>
      </w:r>
      <w:r>
        <w:rPr>
          <w:color w:val="000000"/>
        </w:rPr>
        <w:t>r</w:t>
      </w:r>
      <w:r>
        <w:rPr>
          <w:color w:val="000000"/>
          <w:spacing w:val="-1"/>
        </w:rPr>
        <w:t xml:space="preserve"> </w:t>
      </w:r>
      <w:r>
        <w:rPr>
          <w:color w:val="000000"/>
          <w:spacing w:val="1"/>
        </w:rPr>
        <w:t>a</w:t>
      </w:r>
      <w:r>
        <w:rPr>
          <w:color w:val="000000"/>
          <w:spacing w:val="-1"/>
        </w:rPr>
        <w:t>r</w:t>
      </w:r>
      <w:r>
        <w:rPr>
          <w:color w:val="000000"/>
          <w:spacing w:val="1"/>
        </w:rPr>
        <w:t>e</w:t>
      </w:r>
      <w:r>
        <w:rPr>
          <w:color w:val="000000"/>
        </w:rPr>
        <w:t>a</w:t>
      </w:r>
      <w:r>
        <w:rPr>
          <w:color w:val="000000"/>
          <w:spacing w:val="-1"/>
        </w:rPr>
        <w:t xml:space="preserve"> c</w:t>
      </w:r>
      <w:r>
        <w:rPr>
          <w:color w:val="000000"/>
        </w:rPr>
        <w:t>losu</w:t>
      </w:r>
      <w:r>
        <w:rPr>
          <w:color w:val="000000"/>
          <w:spacing w:val="-1"/>
        </w:rPr>
        <w:t>re</w:t>
      </w:r>
      <w:r>
        <w:rPr>
          <w:color w:val="000000"/>
        </w:rPr>
        <w:t>s wh</w:t>
      </w:r>
      <w:r>
        <w:rPr>
          <w:color w:val="000000"/>
          <w:spacing w:val="3"/>
        </w:rPr>
        <w:t>i</w:t>
      </w:r>
      <w:r>
        <w:rPr>
          <w:color w:val="000000"/>
          <w:spacing w:val="-1"/>
        </w:rPr>
        <w:t>c</w:t>
      </w:r>
      <w:r>
        <w:rPr>
          <w:color w:val="000000"/>
        </w:rPr>
        <w:t>h</w:t>
      </w:r>
      <w:r>
        <w:rPr>
          <w:color w:val="000000"/>
          <w:spacing w:val="2"/>
        </w:rPr>
        <w:t xml:space="preserve"> </w:t>
      </w:r>
      <w:r>
        <w:rPr>
          <w:color w:val="000000"/>
        </w:rPr>
        <w:t xml:space="preserve">in most </w:t>
      </w:r>
      <w:r>
        <w:rPr>
          <w:color w:val="000000"/>
          <w:spacing w:val="-1"/>
        </w:rPr>
        <w:t>ca</w:t>
      </w:r>
      <w:r>
        <w:rPr>
          <w:color w:val="000000"/>
        </w:rPr>
        <w:t>s</w:t>
      </w:r>
      <w:r>
        <w:rPr>
          <w:color w:val="000000"/>
          <w:spacing w:val="-1"/>
        </w:rPr>
        <w:t>e</w:t>
      </w:r>
      <w:r>
        <w:rPr>
          <w:color w:val="000000"/>
        </w:rPr>
        <w:t xml:space="preserve">s </w:t>
      </w:r>
      <w:r>
        <w:rPr>
          <w:color w:val="000000"/>
          <w:spacing w:val="-1"/>
        </w:rPr>
        <w:t>e</w:t>
      </w:r>
      <w:r>
        <w:rPr>
          <w:color w:val="000000"/>
        </w:rPr>
        <w:t>limin</w:t>
      </w:r>
      <w:r>
        <w:rPr>
          <w:color w:val="000000"/>
          <w:spacing w:val="-1"/>
        </w:rPr>
        <w:t>a</w:t>
      </w:r>
      <w:r>
        <w:rPr>
          <w:color w:val="000000"/>
        </w:rPr>
        <w:t>te</w:t>
      </w:r>
      <w:r>
        <w:rPr>
          <w:color w:val="000000"/>
          <w:spacing w:val="-1"/>
        </w:rPr>
        <w:t xml:space="preserve"> </w:t>
      </w:r>
      <w:r>
        <w:rPr>
          <w:color w:val="000000"/>
        </w:rPr>
        <w:t>the</w:t>
      </w:r>
      <w:r>
        <w:rPr>
          <w:color w:val="000000"/>
          <w:spacing w:val="-1"/>
        </w:rPr>
        <w:t xml:space="preserve"> </w:t>
      </w:r>
      <w:r>
        <w:rPr>
          <w:color w:val="000000"/>
        </w:rPr>
        <w:t>imp</w:t>
      </w:r>
      <w:r>
        <w:rPr>
          <w:color w:val="000000"/>
          <w:spacing w:val="-1"/>
        </w:rPr>
        <w:t>ac</w:t>
      </w:r>
      <w:r>
        <w:rPr>
          <w:color w:val="000000"/>
        </w:rPr>
        <w:t>t of</w:t>
      </w:r>
      <w:r>
        <w:rPr>
          <w:color w:val="000000"/>
          <w:spacing w:val="-1"/>
        </w:rPr>
        <w:t xml:space="preserve"> f</w:t>
      </w:r>
      <w:r>
        <w:rPr>
          <w:color w:val="000000"/>
        </w:rPr>
        <w:t>ishi</w:t>
      </w:r>
      <w:r>
        <w:rPr>
          <w:color w:val="000000"/>
          <w:spacing w:val="2"/>
        </w:rPr>
        <w:t>n</w:t>
      </w:r>
      <w:r>
        <w:rPr>
          <w:color w:val="000000"/>
        </w:rPr>
        <w:t xml:space="preserve">g </w:t>
      </w:r>
      <w:r>
        <w:rPr>
          <w:color w:val="000000"/>
          <w:spacing w:val="-2"/>
        </w:rPr>
        <w:t>g</w:t>
      </w:r>
      <w:r>
        <w:rPr>
          <w:color w:val="000000"/>
          <w:spacing w:val="-1"/>
        </w:rPr>
        <w:t>e</w:t>
      </w:r>
      <w:r>
        <w:rPr>
          <w:color w:val="000000"/>
          <w:spacing w:val="1"/>
        </w:rPr>
        <w:t>a</w:t>
      </w:r>
      <w:r>
        <w:rPr>
          <w:color w:val="000000"/>
        </w:rPr>
        <w:t>r</w:t>
      </w:r>
      <w:r>
        <w:rPr>
          <w:color w:val="000000"/>
          <w:spacing w:val="2"/>
        </w:rPr>
        <w:t xml:space="preserve"> </w:t>
      </w:r>
      <w:r>
        <w:rPr>
          <w:color w:val="000000"/>
        </w:rPr>
        <w:t>on Ess</w:t>
      </w:r>
      <w:r>
        <w:rPr>
          <w:color w:val="000000"/>
          <w:spacing w:val="-1"/>
        </w:rPr>
        <w:t>e</w:t>
      </w:r>
      <w:r>
        <w:rPr>
          <w:color w:val="000000"/>
        </w:rPr>
        <w:t>nti</w:t>
      </w:r>
      <w:r>
        <w:rPr>
          <w:color w:val="000000"/>
          <w:spacing w:val="-1"/>
        </w:rPr>
        <w:t>a</w:t>
      </w:r>
      <w:r>
        <w:rPr>
          <w:color w:val="000000"/>
        </w:rPr>
        <w:t xml:space="preserve">l </w:t>
      </w:r>
      <w:r>
        <w:rPr>
          <w:color w:val="000000"/>
          <w:spacing w:val="-1"/>
        </w:rPr>
        <w:t>F</w:t>
      </w:r>
      <w:r>
        <w:rPr>
          <w:color w:val="000000"/>
        </w:rPr>
        <w:t>ish H</w:t>
      </w:r>
      <w:r>
        <w:rPr>
          <w:color w:val="000000"/>
          <w:spacing w:val="-1"/>
        </w:rPr>
        <w:t>a</w:t>
      </w:r>
      <w:r>
        <w:rPr>
          <w:color w:val="000000"/>
        </w:rPr>
        <w:t>bit</w:t>
      </w:r>
      <w:r>
        <w:rPr>
          <w:color w:val="000000"/>
          <w:spacing w:val="-1"/>
        </w:rPr>
        <w:t>a</w:t>
      </w:r>
      <w:r>
        <w:rPr>
          <w:color w:val="000000"/>
        </w:rPr>
        <w:t xml:space="preserve">t, </w:t>
      </w:r>
      <w:r>
        <w:rPr>
          <w:color w:val="000000"/>
          <w:spacing w:val="-1"/>
        </w:rPr>
        <w:t>a</w:t>
      </w:r>
      <w:r>
        <w:rPr>
          <w:color w:val="000000"/>
          <w:spacing w:val="2"/>
        </w:rPr>
        <w:t>n</w:t>
      </w:r>
      <w:r>
        <w:rPr>
          <w:color w:val="000000"/>
        </w:rPr>
        <w:t>d use</w:t>
      </w:r>
      <w:r>
        <w:rPr>
          <w:color w:val="000000"/>
          <w:spacing w:val="-1"/>
        </w:rPr>
        <w:t xml:space="preserve"> </w:t>
      </w:r>
      <w:r>
        <w:rPr>
          <w:color w:val="000000"/>
        </w:rPr>
        <w:t>of</w:t>
      </w:r>
      <w:r>
        <w:rPr>
          <w:color w:val="000000"/>
          <w:spacing w:val="-1"/>
        </w:rPr>
        <w:t xml:space="preserve"> </w:t>
      </w:r>
      <w:r>
        <w:rPr>
          <w:color w:val="000000"/>
        </w:rPr>
        <w:t>oth</w:t>
      </w:r>
      <w:r>
        <w:rPr>
          <w:color w:val="000000"/>
          <w:spacing w:val="-1"/>
        </w:rPr>
        <w:t>e</w:t>
      </w:r>
      <w:r>
        <w:rPr>
          <w:color w:val="000000"/>
        </w:rPr>
        <w:t>r</w:t>
      </w:r>
      <w:r>
        <w:rPr>
          <w:color w:val="000000"/>
          <w:spacing w:val="-1"/>
        </w:rPr>
        <w:t xml:space="preserve"> </w:t>
      </w:r>
      <w:r>
        <w:rPr>
          <w:color w:val="000000"/>
        </w:rPr>
        <w:t>sp</w:t>
      </w:r>
      <w:r>
        <w:rPr>
          <w:color w:val="000000"/>
          <w:spacing w:val="-1"/>
        </w:rPr>
        <w:t>a</w:t>
      </w:r>
      <w:r>
        <w:rPr>
          <w:color w:val="000000"/>
        </w:rPr>
        <w:t>ti</w:t>
      </w:r>
      <w:r>
        <w:rPr>
          <w:color w:val="000000"/>
          <w:spacing w:val="-1"/>
        </w:rPr>
        <w:t>a</w:t>
      </w:r>
      <w:r>
        <w:rPr>
          <w:color w:val="000000"/>
        </w:rPr>
        <w:t>l m</w:t>
      </w:r>
      <w:r>
        <w:rPr>
          <w:color w:val="000000"/>
          <w:spacing w:val="1"/>
        </w:rPr>
        <w:t>a</w:t>
      </w:r>
      <w:r>
        <w:rPr>
          <w:color w:val="000000"/>
        </w:rPr>
        <w:t>n</w:t>
      </w:r>
      <w:r>
        <w:rPr>
          <w:color w:val="000000"/>
          <w:spacing w:val="-1"/>
        </w:rPr>
        <w:t>a</w:t>
      </w:r>
      <w:r>
        <w:rPr>
          <w:color w:val="000000"/>
        </w:rPr>
        <w:t>g</w:t>
      </w:r>
      <w:r>
        <w:rPr>
          <w:color w:val="000000"/>
          <w:spacing w:val="-1"/>
        </w:rPr>
        <w:t>e</w:t>
      </w:r>
      <w:r>
        <w:rPr>
          <w:color w:val="000000"/>
        </w:rPr>
        <w:t>m</w:t>
      </w:r>
      <w:r>
        <w:rPr>
          <w:color w:val="000000"/>
          <w:spacing w:val="-1"/>
        </w:rPr>
        <w:t>e</w:t>
      </w:r>
      <w:r>
        <w:rPr>
          <w:color w:val="000000"/>
        </w:rPr>
        <w:t>nt tools in</w:t>
      </w:r>
      <w:r>
        <w:rPr>
          <w:color w:val="000000"/>
          <w:spacing w:val="-1"/>
        </w:rPr>
        <w:t>c</w:t>
      </w:r>
      <w:r>
        <w:rPr>
          <w:color w:val="000000"/>
        </w:rPr>
        <w:t>ludi</w:t>
      </w:r>
      <w:r>
        <w:rPr>
          <w:color w:val="000000"/>
          <w:spacing w:val="2"/>
        </w:rPr>
        <w:t>n</w:t>
      </w:r>
      <w:r>
        <w:rPr>
          <w:color w:val="000000"/>
        </w:rPr>
        <w:t>g</w:t>
      </w:r>
      <w:r>
        <w:rPr>
          <w:color w:val="000000"/>
          <w:spacing w:val="-2"/>
        </w:rPr>
        <w:t xml:space="preserve"> </w:t>
      </w:r>
      <w:r>
        <w:rPr>
          <w:color w:val="000000"/>
          <w:spacing w:val="1"/>
        </w:rPr>
        <w:t>S</w:t>
      </w:r>
      <w:r>
        <w:rPr>
          <w:color w:val="000000"/>
        </w:rPr>
        <w:t>p</w:t>
      </w:r>
      <w:r>
        <w:rPr>
          <w:color w:val="000000"/>
          <w:spacing w:val="-1"/>
        </w:rPr>
        <w:t>e</w:t>
      </w:r>
      <w:r>
        <w:rPr>
          <w:color w:val="000000"/>
          <w:spacing w:val="1"/>
        </w:rPr>
        <w:t>c</w:t>
      </w:r>
      <w:r>
        <w:rPr>
          <w:color w:val="000000"/>
        </w:rPr>
        <w:t>i</w:t>
      </w:r>
      <w:r>
        <w:rPr>
          <w:color w:val="000000"/>
          <w:spacing w:val="-1"/>
        </w:rPr>
        <w:t>a</w:t>
      </w:r>
      <w:r>
        <w:rPr>
          <w:color w:val="000000"/>
        </w:rPr>
        <w:t>l M</w:t>
      </w:r>
      <w:r>
        <w:rPr>
          <w:color w:val="000000"/>
          <w:spacing w:val="-1"/>
        </w:rPr>
        <w:t>a</w:t>
      </w:r>
      <w:r>
        <w:rPr>
          <w:color w:val="000000"/>
        </w:rPr>
        <w:t>n</w:t>
      </w:r>
      <w:r>
        <w:rPr>
          <w:color w:val="000000"/>
          <w:spacing w:val="1"/>
        </w:rPr>
        <w:t>a</w:t>
      </w:r>
      <w:r>
        <w:rPr>
          <w:color w:val="000000"/>
          <w:spacing w:val="-2"/>
        </w:rPr>
        <w:t>g</w:t>
      </w:r>
      <w:r>
        <w:rPr>
          <w:color w:val="000000"/>
          <w:spacing w:val="-1"/>
        </w:rPr>
        <w:t>e</w:t>
      </w:r>
      <w:r>
        <w:rPr>
          <w:color w:val="000000"/>
        </w:rPr>
        <w:t>m</w:t>
      </w:r>
      <w:r>
        <w:rPr>
          <w:color w:val="000000"/>
          <w:spacing w:val="-1"/>
        </w:rPr>
        <w:t>e</w:t>
      </w:r>
      <w:r>
        <w:rPr>
          <w:color w:val="000000"/>
        </w:rPr>
        <w:t>nt</w:t>
      </w:r>
      <w:r>
        <w:rPr>
          <w:color w:val="000000"/>
          <w:spacing w:val="3"/>
        </w:rPr>
        <w:t xml:space="preserve"> </w:t>
      </w:r>
      <w:r>
        <w:rPr>
          <w:color w:val="000000"/>
          <w:spacing w:val="-3"/>
        </w:rPr>
        <w:t>Z</w:t>
      </w:r>
      <w:r>
        <w:rPr>
          <w:color w:val="000000"/>
        </w:rPr>
        <w:t>o</w:t>
      </w:r>
      <w:r>
        <w:rPr>
          <w:color w:val="000000"/>
          <w:spacing w:val="2"/>
        </w:rPr>
        <w:t>n</w:t>
      </w:r>
      <w:r>
        <w:rPr>
          <w:color w:val="000000"/>
          <w:spacing w:val="-1"/>
        </w:rPr>
        <w:t>e</w:t>
      </w:r>
      <w:r>
        <w:rPr>
          <w:color w:val="000000"/>
        </w:rPr>
        <w:t xml:space="preserve">s. </w:t>
      </w:r>
      <w:r>
        <w:rPr>
          <w:color w:val="000000"/>
          <w:spacing w:val="1"/>
        </w:rPr>
        <w:t>P</w:t>
      </w:r>
      <w:r>
        <w:rPr>
          <w:color w:val="000000"/>
        </w:rPr>
        <w:t>u</w:t>
      </w:r>
      <w:r>
        <w:rPr>
          <w:color w:val="000000"/>
          <w:spacing w:val="-1"/>
        </w:rPr>
        <w:t>r</w:t>
      </w:r>
      <w:r>
        <w:rPr>
          <w:color w:val="000000"/>
        </w:rPr>
        <w:t>su</w:t>
      </w:r>
      <w:r>
        <w:rPr>
          <w:color w:val="000000"/>
          <w:spacing w:val="-1"/>
        </w:rPr>
        <w:t>a</w:t>
      </w:r>
      <w:r>
        <w:rPr>
          <w:color w:val="000000"/>
        </w:rPr>
        <w:t>nt to d</w:t>
      </w:r>
      <w:r>
        <w:rPr>
          <w:color w:val="000000"/>
          <w:spacing w:val="-1"/>
        </w:rPr>
        <w:t>e</w:t>
      </w:r>
      <w:r>
        <w:rPr>
          <w:color w:val="000000"/>
        </w:rPr>
        <w:t>v</w:t>
      </w:r>
      <w:r>
        <w:rPr>
          <w:color w:val="000000"/>
          <w:spacing w:val="-1"/>
        </w:rPr>
        <w:t>e</w:t>
      </w:r>
      <w:r>
        <w:rPr>
          <w:color w:val="000000"/>
        </w:rPr>
        <w:t>lopm</w:t>
      </w:r>
      <w:r>
        <w:rPr>
          <w:color w:val="000000"/>
          <w:spacing w:val="-1"/>
        </w:rPr>
        <w:t>e</w:t>
      </w:r>
      <w:r>
        <w:rPr>
          <w:color w:val="000000"/>
        </w:rPr>
        <w:t>nt of</w:t>
      </w:r>
      <w:r>
        <w:rPr>
          <w:color w:val="000000"/>
          <w:spacing w:val="-1"/>
        </w:rPr>
        <w:t xml:space="preserve"> </w:t>
      </w:r>
      <w:r>
        <w:rPr>
          <w:color w:val="000000"/>
        </w:rPr>
        <w:t>the</w:t>
      </w:r>
      <w:r>
        <w:rPr>
          <w:color w:val="000000"/>
          <w:spacing w:val="-1"/>
        </w:rPr>
        <w:t xml:space="preserve"> </w:t>
      </w:r>
      <w:r>
        <w:rPr>
          <w:color w:val="000000"/>
          <w:spacing w:val="1"/>
        </w:rPr>
        <w:lastRenderedPageBreak/>
        <w:t>C</w:t>
      </w:r>
      <w:r>
        <w:rPr>
          <w:color w:val="000000"/>
        </w:rPr>
        <w:t>omp</w:t>
      </w:r>
      <w:r>
        <w:rPr>
          <w:color w:val="000000"/>
          <w:spacing w:val="-1"/>
        </w:rPr>
        <w:t>re</w:t>
      </w:r>
      <w:r>
        <w:rPr>
          <w:color w:val="000000"/>
        </w:rPr>
        <w:t>h</w:t>
      </w:r>
      <w:r>
        <w:rPr>
          <w:color w:val="000000"/>
          <w:spacing w:val="-1"/>
        </w:rPr>
        <w:t>e</w:t>
      </w:r>
      <w:r>
        <w:rPr>
          <w:color w:val="000000"/>
        </w:rPr>
        <w:t>nsi</w:t>
      </w:r>
      <w:r>
        <w:rPr>
          <w:color w:val="000000"/>
          <w:spacing w:val="2"/>
        </w:rPr>
        <w:t>v</w:t>
      </w:r>
      <w:r>
        <w:rPr>
          <w:color w:val="000000"/>
        </w:rPr>
        <w:t>e</w:t>
      </w:r>
      <w:r>
        <w:rPr>
          <w:color w:val="000000"/>
          <w:spacing w:val="-1"/>
        </w:rPr>
        <w:t xml:space="preserve"> </w:t>
      </w:r>
      <w:r>
        <w:rPr>
          <w:color w:val="000000"/>
        </w:rPr>
        <w:t>E</w:t>
      </w:r>
      <w:r>
        <w:rPr>
          <w:color w:val="000000"/>
          <w:spacing w:val="-1"/>
        </w:rPr>
        <w:t>c</w:t>
      </w:r>
      <w:r>
        <w:rPr>
          <w:color w:val="000000"/>
        </w:rPr>
        <w:t>o</w:t>
      </w:r>
      <w:r>
        <w:rPr>
          <w:color w:val="000000"/>
          <w:spacing w:val="5"/>
        </w:rPr>
        <w:t>s</w:t>
      </w:r>
      <w:r>
        <w:rPr>
          <w:color w:val="000000"/>
          <w:spacing w:val="-5"/>
        </w:rPr>
        <w:t>y</w:t>
      </w:r>
      <w:r>
        <w:rPr>
          <w:color w:val="000000"/>
        </w:rPr>
        <w:t>st</w:t>
      </w:r>
      <w:r>
        <w:rPr>
          <w:color w:val="000000"/>
          <w:spacing w:val="-1"/>
        </w:rPr>
        <w:t>e</w:t>
      </w:r>
      <w:r>
        <w:rPr>
          <w:color w:val="000000"/>
        </w:rPr>
        <w:t>m</w:t>
      </w:r>
      <w:r>
        <w:rPr>
          <w:color w:val="000000"/>
          <w:spacing w:val="2"/>
        </w:rPr>
        <w:t>-</w:t>
      </w:r>
      <w:r>
        <w:rPr>
          <w:color w:val="000000"/>
          <w:spacing w:val="-2"/>
        </w:rPr>
        <w:t>B</w:t>
      </w:r>
      <w:r>
        <w:rPr>
          <w:color w:val="000000"/>
          <w:spacing w:val="-1"/>
        </w:rPr>
        <w:t>a</w:t>
      </w:r>
      <w:r>
        <w:rPr>
          <w:color w:val="000000"/>
        </w:rPr>
        <w:t>s</w:t>
      </w:r>
      <w:r>
        <w:rPr>
          <w:color w:val="000000"/>
          <w:spacing w:val="-1"/>
        </w:rPr>
        <w:t>e</w:t>
      </w:r>
      <w:r>
        <w:rPr>
          <w:color w:val="000000"/>
        </w:rPr>
        <w:t>d</w:t>
      </w:r>
      <w:r>
        <w:rPr>
          <w:color w:val="000000"/>
          <w:spacing w:val="2"/>
        </w:rPr>
        <w:t xml:space="preserve"> </w:t>
      </w:r>
      <w:r>
        <w:rPr>
          <w:color w:val="000000"/>
        </w:rPr>
        <w:t>Am</w:t>
      </w:r>
      <w:r>
        <w:rPr>
          <w:color w:val="000000"/>
          <w:spacing w:val="1"/>
        </w:rPr>
        <w:t>e</w:t>
      </w:r>
      <w:r>
        <w:rPr>
          <w:color w:val="000000"/>
        </w:rPr>
        <w:t>ndm</w:t>
      </w:r>
      <w:r>
        <w:rPr>
          <w:color w:val="000000"/>
          <w:spacing w:val="-1"/>
        </w:rPr>
        <w:t>e</w:t>
      </w:r>
      <w:r>
        <w:rPr>
          <w:color w:val="000000"/>
        </w:rPr>
        <w:t>nt, the</w:t>
      </w:r>
      <w:r>
        <w:rPr>
          <w:color w:val="000000"/>
          <w:spacing w:val="-1"/>
        </w:rPr>
        <w:t xml:space="preserve"> </w:t>
      </w:r>
      <w:r>
        <w:rPr>
          <w:color w:val="000000"/>
          <w:spacing w:val="1"/>
        </w:rPr>
        <w:t>C</w:t>
      </w:r>
      <w:r>
        <w:rPr>
          <w:color w:val="000000"/>
        </w:rPr>
        <w:t>oun</w:t>
      </w:r>
      <w:r>
        <w:rPr>
          <w:color w:val="000000"/>
          <w:spacing w:val="-1"/>
        </w:rPr>
        <w:t>c</w:t>
      </w:r>
      <w:r>
        <w:rPr>
          <w:color w:val="000000"/>
        </w:rPr>
        <w:t>il has t</w:t>
      </w:r>
      <w:r>
        <w:rPr>
          <w:color w:val="000000"/>
          <w:spacing w:val="-1"/>
        </w:rPr>
        <w:t>a</w:t>
      </w:r>
      <w:r>
        <w:rPr>
          <w:color w:val="000000"/>
        </w:rPr>
        <w:t xml:space="preserve">ken </w:t>
      </w:r>
      <w:r>
        <w:rPr>
          <w:color w:val="000000"/>
          <w:spacing w:val="-1"/>
        </w:rPr>
        <w:t>a</w:t>
      </w:r>
      <w:r>
        <w:rPr>
          <w:color w:val="000000"/>
        </w:rPr>
        <w:t xml:space="preserve">n </w:t>
      </w:r>
      <w:r>
        <w:rPr>
          <w:color w:val="000000"/>
          <w:spacing w:val="-1"/>
        </w:rPr>
        <w:t>ec</w:t>
      </w:r>
      <w:r>
        <w:rPr>
          <w:color w:val="000000"/>
        </w:rPr>
        <w:t>o</w:t>
      </w:r>
      <w:r>
        <w:rPr>
          <w:color w:val="000000"/>
          <w:spacing w:val="5"/>
        </w:rPr>
        <w:t>s</w:t>
      </w:r>
      <w:r>
        <w:rPr>
          <w:color w:val="000000"/>
          <w:spacing w:val="-5"/>
        </w:rPr>
        <w:t>y</w:t>
      </w:r>
      <w:r>
        <w:rPr>
          <w:color w:val="000000"/>
        </w:rPr>
        <w:t>st</w:t>
      </w:r>
      <w:r>
        <w:rPr>
          <w:color w:val="000000"/>
          <w:spacing w:val="-1"/>
        </w:rPr>
        <w:t>e</w:t>
      </w:r>
      <w:r>
        <w:rPr>
          <w:color w:val="000000"/>
        </w:rPr>
        <w:t xml:space="preserve">m </w:t>
      </w:r>
      <w:r>
        <w:rPr>
          <w:color w:val="000000"/>
          <w:spacing w:val="-1"/>
        </w:rPr>
        <w:t>a</w:t>
      </w:r>
      <w:r>
        <w:rPr>
          <w:color w:val="000000"/>
        </w:rPr>
        <w:t>p</w:t>
      </w:r>
      <w:r>
        <w:rPr>
          <w:color w:val="000000"/>
          <w:spacing w:val="2"/>
        </w:rPr>
        <w:t>p</w:t>
      </w:r>
      <w:r>
        <w:rPr>
          <w:color w:val="000000"/>
          <w:spacing w:val="-1"/>
        </w:rPr>
        <w:t>r</w:t>
      </w:r>
      <w:r>
        <w:rPr>
          <w:color w:val="000000"/>
        </w:rPr>
        <w:t>o</w:t>
      </w:r>
      <w:r>
        <w:rPr>
          <w:color w:val="000000"/>
          <w:spacing w:val="-1"/>
        </w:rPr>
        <w:t>ac</w:t>
      </w:r>
      <w:r>
        <w:rPr>
          <w:color w:val="000000"/>
        </w:rPr>
        <w:t xml:space="preserve">h </w:t>
      </w:r>
      <w:r>
        <w:rPr>
          <w:color w:val="000000"/>
          <w:spacing w:val="3"/>
        </w:rPr>
        <w:t>t</w:t>
      </w:r>
      <w:r>
        <w:rPr>
          <w:color w:val="000000"/>
        </w:rPr>
        <w:t>o p</w:t>
      </w:r>
      <w:r>
        <w:rPr>
          <w:color w:val="000000"/>
          <w:spacing w:val="-1"/>
        </w:rPr>
        <w:t>r</w:t>
      </w:r>
      <w:r>
        <w:rPr>
          <w:color w:val="000000"/>
        </w:rPr>
        <w:t>ot</w:t>
      </w:r>
      <w:r>
        <w:rPr>
          <w:color w:val="000000"/>
          <w:spacing w:val="-1"/>
        </w:rPr>
        <w:t>ec</w:t>
      </w:r>
      <w:r>
        <w:rPr>
          <w:color w:val="000000"/>
        </w:rPr>
        <w:t>t d</w:t>
      </w:r>
      <w:r>
        <w:rPr>
          <w:color w:val="000000"/>
          <w:spacing w:val="-1"/>
        </w:rPr>
        <w:t>ee</w:t>
      </w:r>
      <w:r>
        <w:rPr>
          <w:color w:val="000000"/>
          <w:spacing w:val="2"/>
        </w:rPr>
        <w:t>p</w:t>
      </w:r>
      <w:r>
        <w:rPr>
          <w:color w:val="000000"/>
        </w:rPr>
        <w:t>w</w:t>
      </w:r>
      <w:r>
        <w:rPr>
          <w:color w:val="000000"/>
          <w:spacing w:val="-1"/>
        </w:rPr>
        <w:t>a</w:t>
      </w:r>
      <w:r>
        <w:rPr>
          <w:color w:val="000000"/>
        </w:rPr>
        <w:t>t</w:t>
      </w:r>
      <w:r>
        <w:rPr>
          <w:color w:val="000000"/>
          <w:spacing w:val="1"/>
        </w:rPr>
        <w:t>e</w:t>
      </w:r>
      <w:r>
        <w:rPr>
          <w:color w:val="000000"/>
        </w:rPr>
        <w:t>r</w:t>
      </w:r>
      <w:r>
        <w:rPr>
          <w:color w:val="000000"/>
          <w:spacing w:val="-1"/>
        </w:rPr>
        <w:t xml:space="preserve"> ec</w:t>
      </w:r>
      <w:r>
        <w:rPr>
          <w:color w:val="000000"/>
        </w:rPr>
        <w:t>o</w:t>
      </w:r>
      <w:r>
        <w:rPr>
          <w:color w:val="000000"/>
          <w:spacing w:val="3"/>
        </w:rPr>
        <w:t>s</w:t>
      </w:r>
      <w:r>
        <w:rPr>
          <w:color w:val="000000"/>
          <w:spacing w:val="-5"/>
        </w:rPr>
        <w:t>y</w:t>
      </w:r>
      <w:r>
        <w:rPr>
          <w:color w:val="000000"/>
          <w:spacing w:val="3"/>
        </w:rPr>
        <w:t>s</w:t>
      </w:r>
      <w:r>
        <w:rPr>
          <w:color w:val="000000"/>
        </w:rPr>
        <w:t>t</w:t>
      </w:r>
      <w:r>
        <w:rPr>
          <w:color w:val="000000"/>
          <w:spacing w:val="-1"/>
        </w:rPr>
        <w:t>e</w:t>
      </w:r>
      <w:r>
        <w:rPr>
          <w:color w:val="000000"/>
        </w:rPr>
        <w:t>ms while</w:t>
      </w:r>
      <w:r>
        <w:rPr>
          <w:color w:val="000000"/>
          <w:spacing w:val="-1"/>
        </w:rPr>
        <w:t xml:space="preserve"> </w:t>
      </w:r>
      <w:r>
        <w:rPr>
          <w:color w:val="000000"/>
        </w:rPr>
        <w:t>p</w:t>
      </w:r>
      <w:r>
        <w:rPr>
          <w:color w:val="000000"/>
          <w:spacing w:val="-1"/>
        </w:rPr>
        <w:t>r</w:t>
      </w:r>
      <w:r>
        <w:rPr>
          <w:color w:val="000000"/>
        </w:rPr>
        <w:t>ovidi</w:t>
      </w:r>
      <w:r>
        <w:rPr>
          <w:color w:val="000000"/>
          <w:spacing w:val="2"/>
        </w:rPr>
        <w:t>n</w:t>
      </w:r>
      <w:r>
        <w:rPr>
          <w:color w:val="000000"/>
        </w:rPr>
        <w:t>g</w:t>
      </w:r>
      <w:r>
        <w:rPr>
          <w:color w:val="000000"/>
          <w:spacing w:val="-2"/>
        </w:rPr>
        <w:t xml:space="preserve"> </w:t>
      </w:r>
      <w:r>
        <w:rPr>
          <w:color w:val="000000"/>
          <w:spacing w:val="2"/>
        </w:rPr>
        <w:t>f</w:t>
      </w:r>
      <w:r>
        <w:rPr>
          <w:color w:val="000000"/>
        </w:rPr>
        <w:t>or</w:t>
      </w:r>
      <w:r>
        <w:rPr>
          <w:color w:val="000000"/>
          <w:spacing w:val="-1"/>
        </w:rPr>
        <w:t xml:space="preserve"> </w:t>
      </w:r>
      <w:r>
        <w:rPr>
          <w:color w:val="000000"/>
        </w:rPr>
        <w:t>t</w:t>
      </w:r>
      <w:r>
        <w:rPr>
          <w:color w:val="000000"/>
          <w:spacing w:val="-1"/>
        </w:rPr>
        <w:t>ra</w:t>
      </w:r>
      <w:r>
        <w:rPr>
          <w:color w:val="000000"/>
        </w:rPr>
        <w:t>dition</w:t>
      </w:r>
      <w:r>
        <w:rPr>
          <w:color w:val="000000"/>
          <w:spacing w:val="-1"/>
        </w:rPr>
        <w:t>a</w:t>
      </w:r>
      <w:r>
        <w:rPr>
          <w:color w:val="000000"/>
        </w:rPr>
        <w:t xml:space="preserve">l </w:t>
      </w:r>
      <w:r>
        <w:rPr>
          <w:color w:val="000000"/>
          <w:spacing w:val="-1"/>
        </w:rPr>
        <w:t>f</w:t>
      </w:r>
      <w:r>
        <w:rPr>
          <w:color w:val="000000"/>
        </w:rPr>
        <w:t>ish</w:t>
      </w:r>
      <w:r>
        <w:rPr>
          <w:color w:val="000000"/>
          <w:spacing w:val="-1"/>
        </w:rPr>
        <w:t>er</w:t>
      </w:r>
      <w:r>
        <w:rPr>
          <w:color w:val="000000"/>
        </w:rPr>
        <w:t>i</w:t>
      </w:r>
      <w:r>
        <w:rPr>
          <w:color w:val="000000"/>
          <w:spacing w:val="-1"/>
        </w:rPr>
        <w:t>e</w:t>
      </w:r>
      <w:r>
        <w:rPr>
          <w:color w:val="000000"/>
        </w:rPr>
        <w:t xml:space="preserve">s </w:t>
      </w:r>
      <w:r>
        <w:rPr>
          <w:color w:val="000000"/>
          <w:spacing w:val="-1"/>
        </w:rPr>
        <w:t>f</w:t>
      </w:r>
      <w:r>
        <w:rPr>
          <w:color w:val="000000"/>
          <w:spacing w:val="2"/>
        </w:rPr>
        <w:t>o</w:t>
      </w:r>
      <w:r>
        <w:rPr>
          <w:color w:val="000000"/>
        </w:rPr>
        <w:t>r</w:t>
      </w:r>
      <w:r>
        <w:rPr>
          <w:color w:val="000000"/>
          <w:spacing w:val="-1"/>
        </w:rPr>
        <w:t xml:space="preserve"> </w:t>
      </w:r>
      <w:r>
        <w:rPr>
          <w:color w:val="000000"/>
        </w:rPr>
        <w:t>the Gold</w:t>
      </w:r>
      <w:r>
        <w:rPr>
          <w:color w:val="000000"/>
          <w:spacing w:val="-1"/>
        </w:rPr>
        <w:t>e</w:t>
      </w:r>
      <w:r>
        <w:rPr>
          <w:color w:val="000000"/>
        </w:rPr>
        <w:t xml:space="preserve">n </w:t>
      </w:r>
      <w:r>
        <w:rPr>
          <w:color w:val="000000"/>
          <w:spacing w:val="1"/>
        </w:rPr>
        <w:t>C</w:t>
      </w:r>
      <w:r>
        <w:rPr>
          <w:color w:val="000000"/>
          <w:spacing w:val="-1"/>
        </w:rPr>
        <w:t>ra</w:t>
      </w:r>
      <w:r>
        <w:rPr>
          <w:color w:val="000000"/>
        </w:rPr>
        <w:t xml:space="preserve">b </w:t>
      </w:r>
      <w:r>
        <w:rPr>
          <w:color w:val="000000"/>
          <w:spacing w:val="-1"/>
        </w:rPr>
        <w:t>a</w:t>
      </w:r>
      <w:r>
        <w:rPr>
          <w:color w:val="000000"/>
        </w:rPr>
        <w:t xml:space="preserve">nd </w:t>
      </w:r>
      <w:r>
        <w:rPr>
          <w:color w:val="000000"/>
          <w:spacing w:val="1"/>
        </w:rPr>
        <w:t>R</w:t>
      </w:r>
      <w:r>
        <w:rPr>
          <w:color w:val="000000"/>
          <w:spacing w:val="5"/>
        </w:rPr>
        <w:t>o</w:t>
      </w:r>
      <w:r>
        <w:rPr>
          <w:color w:val="000000"/>
          <w:spacing w:val="-5"/>
        </w:rPr>
        <w:t>y</w:t>
      </w:r>
      <w:r>
        <w:rPr>
          <w:color w:val="000000"/>
          <w:spacing w:val="-1"/>
        </w:rPr>
        <w:t>a</w:t>
      </w:r>
      <w:r>
        <w:rPr>
          <w:color w:val="000000"/>
        </w:rPr>
        <w:t>l</w:t>
      </w:r>
      <w:r>
        <w:rPr>
          <w:color w:val="000000"/>
          <w:spacing w:val="3"/>
        </w:rPr>
        <w:t xml:space="preserve"> </w:t>
      </w:r>
      <w:r>
        <w:rPr>
          <w:color w:val="000000"/>
          <w:spacing w:val="1"/>
        </w:rPr>
        <w:t>R</w:t>
      </w:r>
      <w:r>
        <w:rPr>
          <w:color w:val="000000"/>
          <w:spacing w:val="-1"/>
        </w:rPr>
        <w:t>e</w:t>
      </w:r>
      <w:r>
        <w:rPr>
          <w:color w:val="000000"/>
        </w:rPr>
        <w:t>d sh</w:t>
      </w:r>
      <w:r>
        <w:rPr>
          <w:color w:val="000000"/>
          <w:spacing w:val="-1"/>
        </w:rPr>
        <w:t>r</w:t>
      </w:r>
      <w:r>
        <w:rPr>
          <w:color w:val="000000"/>
        </w:rPr>
        <w:t xml:space="preserve">imp in </w:t>
      </w:r>
      <w:r>
        <w:rPr>
          <w:color w:val="000000"/>
          <w:spacing w:val="-1"/>
        </w:rPr>
        <w:t>area</w:t>
      </w:r>
      <w:r>
        <w:rPr>
          <w:color w:val="000000"/>
        </w:rPr>
        <w:t>s w</w:t>
      </w:r>
      <w:r>
        <w:rPr>
          <w:color w:val="000000"/>
          <w:spacing w:val="2"/>
        </w:rPr>
        <w:t>h</w:t>
      </w:r>
      <w:r>
        <w:rPr>
          <w:color w:val="000000"/>
          <w:spacing w:val="-1"/>
        </w:rPr>
        <w:t>e</w:t>
      </w:r>
      <w:r>
        <w:rPr>
          <w:color w:val="000000"/>
          <w:spacing w:val="2"/>
        </w:rPr>
        <w:t>r</w:t>
      </w:r>
      <w:r>
        <w:rPr>
          <w:color w:val="000000"/>
        </w:rPr>
        <w:t>e</w:t>
      </w:r>
      <w:r>
        <w:rPr>
          <w:color w:val="000000"/>
          <w:spacing w:val="-1"/>
        </w:rPr>
        <w:t xml:space="preserve"> </w:t>
      </w:r>
      <w:r>
        <w:rPr>
          <w:color w:val="000000"/>
        </w:rPr>
        <w:t>th</w:t>
      </w:r>
      <w:r>
        <w:rPr>
          <w:color w:val="000000"/>
          <w:spacing w:val="4"/>
        </w:rPr>
        <w:t>e</w:t>
      </w:r>
      <w:r>
        <w:rPr>
          <w:color w:val="000000"/>
        </w:rPr>
        <w:t>y</w:t>
      </w:r>
      <w:r>
        <w:rPr>
          <w:color w:val="000000"/>
          <w:spacing w:val="-5"/>
        </w:rPr>
        <w:t xml:space="preserve"> </w:t>
      </w:r>
      <w:r>
        <w:rPr>
          <w:color w:val="000000"/>
        </w:rPr>
        <w:t>do not imp</w:t>
      </w:r>
      <w:r>
        <w:rPr>
          <w:color w:val="000000"/>
          <w:spacing w:val="-1"/>
        </w:rPr>
        <w:t>ac</w:t>
      </w:r>
      <w:r>
        <w:rPr>
          <w:color w:val="000000"/>
        </w:rPr>
        <w:t>t d</w:t>
      </w:r>
      <w:r>
        <w:rPr>
          <w:color w:val="000000"/>
          <w:spacing w:val="-1"/>
        </w:rPr>
        <w:t>e</w:t>
      </w:r>
      <w:r>
        <w:rPr>
          <w:color w:val="000000"/>
          <w:spacing w:val="1"/>
        </w:rPr>
        <w:t>e</w:t>
      </w:r>
      <w:r>
        <w:rPr>
          <w:color w:val="000000"/>
        </w:rPr>
        <w:t>pw</w:t>
      </w:r>
      <w:r>
        <w:rPr>
          <w:color w:val="000000"/>
          <w:spacing w:val="-1"/>
        </w:rPr>
        <w:t>a</w:t>
      </w:r>
      <w:r>
        <w:rPr>
          <w:color w:val="000000"/>
        </w:rPr>
        <w:t>t</w:t>
      </w:r>
      <w:r>
        <w:rPr>
          <w:color w:val="000000"/>
          <w:spacing w:val="-1"/>
        </w:rPr>
        <w:t>e</w:t>
      </w:r>
      <w:r>
        <w:rPr>
          <w:color w:val="000000"/>
        </w:rPr>
        <w:t>r</w:t>
      </w:r>
      <w:r>
        <w:rPr>
          <w:color w:val="000000"/>
          <w:spacing w:val="-1"/>
        </w:rPr>
        <w:t xml:space="preserve"> c</w:t>
      </w:r>
      <w:r>
        <w:rPr>
          <w:color w:val="000000"/>
          <w:spacing w:val="2"/>
        </w:rPr>
        <w:t>o</w:t>
      </w:r>
      <w:r>
        <w:rPr>
          <w:color w:val="000000"/>
          <w:spacing w:val="-1"/>
        </w:rPr>
        <w:t>ra</w:t>
      </w:r>
      <w:r>
        <w:rPr>
          <w:color w:val="000000"/>
        </w:rPr>
        <w:t>l h</w:t>
      </w:r>
      <w:r>
        <w:rPr>
          <w:color w:val="000000"/>
          <w:spacing w:val="-1"/>
        </w:rPr>
        <w:t>a</w:t>
      </w:r>
      <w:r>
        <w:rPr>
          <w:color w:val="000000"/>
        </w:rPr>
        <w:t>bit</w:t>
      </w:r>
      <w:r>
        <w:rPr>
          <w:color w:val="000000"/>
          <w:spacing w:val="-1"/>
        </w:rPr>
        <w:t>a</w:t>
      </w:r>
      <w:r>
        <w:rPr>
          <w:color w:val="000000"/>
        </w:rPr>
        <w:t>t. T</w:t>
      </w:r>
      <w:r>
        <w:rPr>
          <w:color w:val="000000"/>
          <w:spacing w:val="2"/>
        </w:rPr>
        <w:t>h</w:t>
      </w:r>
      <w:r>
        <w:rPr>
          <w:color w:val="000000"/>
        </w:rPr>
        <w:t>e st</w:t>
      </w:r>
      <w:r>
        <w:rPr>
          <w:color w:val="000000"/>
          <w:spacing w:val="-1"/>
        </w:rPr>
        <w:t>a</w:t>
      </w:r>
      <w:r>
        <w:rPr>
          <w:color w:val="000000"/>
        </w:rPr>
        <w:t>k</w:t>
      </w:r>
      <w:r>
        <w:rPr>
          <w:color w:val="000000"/>
          <w:spacing w:val="-1"/>
        </w:rPr>
        <w:t>e</w:t>
      </w:r>
      <w:r>
        <w:rPr>
          <w:color w:val="000000"/>
        </w:rPr>
        <w:t>hold</w:t>
      </w:r>
      <w:r>
        <w:rPr>
          <w:color w:val="000000"/>
          <w:spacing w:val="-1"/>
        </w:rPr>
        <w:t>e</w:t>
      </w:r>
      <w:r>
        <w:rPr>
          <w:color w:val="000000"/>
        </w:rPr>
        <w:t>r</w:t>
      </w:r>
      <w:r>
        <w:rPr>
          <w:color w:val="000000"/>
          <w:spacing w:val="-1"/>
        </w:rPr>
        <w:t xml:space="preserve"> </w:t>
      </w:r>
      <w:r>
        <w:rPr>
          <w:color w:val="000000"/>
        </w:rPr>
        <w:t>b</w:t>
      </w:r>
      <w:r>
        <w:rPr>
          <w:color w:val="000000"/>
          <w:spacing w:val="-1"/>
        </w:rPr>
        <w:t>a</w:t>
      </w:r>
      <w:r>
        <w:rPr>
          <w:color w:val="000000"/>
          <w:spacing w:val="3"/>
        </w:rPr>
        <w:t>s</w:t>
      </w:r>
      <w:r>
        <w:rPr>
          <w:color w:val="000000"/>
          <w:spacing w:val="-1"/>
        </w:rPr>
        <w:t>e</w:t>
      </w:r>
      <w:r>
        <w:rPr>
          <w:color w:val="000000"/>
        </w:rPr>
        <w:t>d p</w:t>
      </w:r>
      <w:r>
        <w:rPr>
          <w:color w:val="000000"/>
          <w:spacing w:val="-1"/>
        </w:rPr>
        <w:t>r</w:t>
      </w:r>
      <w:r>
        <w:rPr>
          <w:color w:val="000000"/>
        </w:rPr>
        <w:t>o</w:t>
      </w:r>
      <w:r>
        <w:rPr>
          <w:color w:val="000000"/>
          <w:spacing w:val="1"/>
        </w:rPr>
        <w:t>c</w:t>
      </w:r>
      <w:r>
        <w:rPr>
          <w:color w:val="000000"/>
          <w:spacing w:val="-1"/>
        </w:rPr>
        <w:t>e</w:t>
      </w:r>
      <w:r>
        <w:rPr>
          <w:color w:val="000000"/>
          <w:spacing w:val="3"/>
        </w:rPr>
        <w:t>s</w:t>
      </w:r>
      <w:r>
        <w:rPr>
          <w:color w:val="000000"/>
        </w:rPr>
        <w:t>s t</w:t>
      </w:r>
      <w:r>
        <w:rPr>
          <w:color w:val="000000"/>
          <w:spacing w:val="-1"/>
        </w:rPr>
        <w:t>a</w:t>
      </w:r>
      <w:r>
        <w:rPr>
          <w:color w:val="000000"/>
        </w:rPr>
        <w:t xml:space="preserve">ps in on </w:t>
      </w:r>
      <w:r>
        <w:rPr>
          <w:color w:val="000000"/>
          <w:spacing w:val="-1"/>
        </w:rPr>
        <w:t>a</w:t>
      </w:r>
      <w:r>
        <w:rPr>
          <w:color w:val="000000"/>
        </w:rPr>
        <w:t xml:space="preserve">n </w:t>
      </w:r>
      <w:r>
        <w:rPr>
          <w:color w:val="000000"/>
          <w:spacing w:val="-1"/>
        </w:rPr>
        <w:t>e</w:t>
      </w:r>
      <w:r>
        <w:rPr>
          <w:color w:val="000000"/>
          <w:spacing w:val="2"/>
        </w:rPr>
        <w:t>x</w:t>
      </w:r>
      <w:r>
        <w:rPr>
          <w:color w:val="000000"/>
        </w:rPr>
        <w:t>t</w:t>
      </w:r>
      <w:r>
        <w:rPr>
          <w:color w:val="000000"/>
          <w:spacing w:val="-1"/>
        </w:rPr>
        <w:t>e</w:t>
      </w:r>
      <w:r>
        <w:rPr>
          <w:color w:val="000000"/>
        </w:rPr>
        <w:t>nsive</w:t>
      </w:r>
      <w:r>
        <w:rPr>
          <w:color w:val="000000"/>
          <w:spacing w:val="-1"/>
        </w:rPr>
        <w:t xml:space="preserve"> r</w:t>
      </w:r>
      <w:r>
        <w:rPr>
          <w:color w:val="000000"/>
          <w:spacing w:val="1"/>
        </w:rPr>
        <w:t>e</w:t>
      </w:r>
      <w:r>
        <w:rPr>
          <w:color w:val="000000"/>
          <w:spacing w:val="-2"/>
        </w:rPr>
        <w:t>g</w:t>
      </w:r>
      <w:r>
        <w:rPr>
          <w:color w:val="000000"/>
        </w:rPr>
        <w:t>ion</w:t>
      </w:r>
      <w:r>
        <w:rPr>
          <w:color w:val="000000"/>
          <w:spacing w:val="-1"/>
        </w:rPr>
        <w:t>a</w:t>
      </w:r>
      <w:r>
        <w:rPr>
          <w:color w:val="000000"/>
        </w:rPr>
        <w:t>l H</w:t>
      </w:r>
      <w:r>
        <w:rPr>
          <w:color w:val="000000"/>
          <w:spacing w:val="-1"/>
        </w:rPr>
        <w:t>a</w:t>
      </w:r>
      <w:r>
        <w:rPr>
          <w:color w:val="000000"/>
        </w:rPr>
        <w:t>bit</w:t>
      </w:r>
      <w:r>
        <w:rPr>
          <w:color w:val="000000"/>
          <w:spacing w:val="-1"/>
        </w:rPr>
        <w:t>a</w:t>
      </w:r>
      <w:r>
        <w:rPr>
          <w:color w:val="000000"/>
        </w:rPr>
        <w:t xml:space="preserve">t </w:t>
      </w:r>
      <w:r>
        <w:rPr>
          <w:color w:val="000000"/>
          <w:spacing w:val="-1"/>
        </w:rPr>
        <w:t>a</w:t>
      </w:r>
      <w:r>
        <w:rPr>
          <w:color w:val="000000"/>
        </w:rPr>
        <w:t>nd</w:t>
      </w:r>
      <w:r>
        <w:rPr>
          <w:color w:val="000000"/>
          <w:spacing w:val="2"/>
        </w:rPr>
        <w:t xml:space="preserve"> </w:t>
      </w:r>
      <w:r>
        <w:rPr>
          <w:color w:val="000000"/>
        </w:rPr>
        <w:t>E</w:t>
      </w:r>
      <w:r>
        <w:rPr>
          <w:color w:val="000000"/>
          <w:spacing w:val="-1"/>
        </w:rPr>
        <w:t>c</w:t>
      </w:r>
      <w:r>
        <w:rPr>
          <w:color w:val="000000"/>
          <w:spacing w:val="2"/>
        </w:rPr>
        <w:t>o</w:t>
      </w:r>
      <w:r>
        <w:rPr>
          <w:color w:val="000000"/>
          <w:spacing w:val="3"/>
        </w:rPr>
        <w:t>s</w:t>
      </w:r>
      <w:r>
        <w:rPr>
          <w:color w:val="000000"/>
          <w:spacing w:val="-5"/>
        </w:rPr>
        <w:t>y</w:t>
      </w:r>
      <w:r>
        <w:rPr>
          <w:color w:val="000000"/>
        </w:rPr>
        <w:t>st</w:t>
      </w:r>
      <w:r>
        <w:rPr>
          <w:color w:val="000000"/>
          <w:spacing w:val="-1"/>
        </w:rPr>
        <w:t>e</w:t>
      </w:r>
      <w:r>
        <w:rPr>
          <w:color w:val="000000"/>
        </w:rPr>
        <w:t>m n</w:t>
      </w:r>
      <w:r>
        <w:rPr>
          <w:color w:val="000000"/>
          <w:spacing w:val="-1"/>
        </w:rPr>
        <w:t>e</w:t>
      </w:r>
      <w:r>
        <w:rPr>
          <w:color w:val="000000"/>
        </w:rPr>
        <w:t>tw</w:t>
      </w:r>
      <w:r>
        <w:rPr>
          <w:color w:val="000000"/>
          <w:spacing w:val="2"/>
        </w:rPr>
        <w:t>o</w:t>
      </w:r>
      <w:r>
        <w:rPr>
          <w:color w:val="000000"/>
          <w:spacing w:val="-1"/>
        </w:rPr>
        <w:t>r</w:t>
      </w:r>
      <w:r>
        <w:rPr>
          <w:color w:val="000000"/>
        </w:rPr>
        <w:t xml:space="preserve">k. </w:t>
      </w:r>
      <w:r>
        <w:rPr>
          <w:color w:val="000000"/>
          <w:spacing w:val="1"/>
        </w:rPr>
        <w:t>S</w:t>
      </w:r>
      <w:r>
        <w:rPr>
          <w:color w:val="000000"/>
        </w:rPr>
        <w:t>uppo</w:t>
      </w:r>
      <w:r>
        <w:rPr>
          <w:color w:val="000000"/>
          <w:spacing w:val="-1"/>
        </w:rPr>
        <w:t>r</w:t>
      </w:r>
      <w:r>
        <w:rPr>
          <w:color w:val="000000"/>
        </w:rPr>
        <w:t>t</w:t>
      </w:r>
    </w:p>
    <w:p w14:paraId="1208DAD2" w14:textId="77777777" w:rsidR="00DC4922" w:rsidRDefault="00DC4922" w:rsidP="00DC4922">
      <w:pPr>
        <w:rPr>
          <w:color w:val="000000"/>
        </w:rPr>
      </w:pPr>
      <w:r>
        <w:rPr>
          <w:color w:val="000000"/>
        </w:rPr>
        <w:t xml:space="preserve">tools </w:t>
      </w:r>
      <w:r>
        <w:rPr>
          <w:color w:val="000000"/>
          <w:spacing w:val="-1"/>
        </w:rPr>
        <w:t>fac</w:t>
      </w:r>
      <w:r>
        <w:rPr>
          <w:color w:val="000000"/>
        </w:rPr>
        <w:t>ilit</w:t>
      </w:r>
      <w:r>
        <w:rPr>
          <w:color w:val="000000"/>
          <w:spacing w:val="-1"/>
        </w:rPr>
        <w:t>a</w:t>
      </w:r>
      <w:r>
        <w:rPr>
          <w:color w:val="000000"/>
        </w:rPr>
        <w:t>te</w:t>
      </w:r>
      <w:r>
        <w:rPr>
          <w:color w:val="000000"/>
          <w:spacing w:val="-1"/>
        </w:rPr>
        <w:t xml:space="preserve"> </w:t>
      </w:r>
      <w:r>
        <w:rPr>
          <w:color w:val="000000"/>
          <w:spacing w:val="1"/>
        </w:rPr>
        <w:t>C</w:t>
      </w:r>
      <w:r>
        <w:rPr>
          <w:color w:val="000000"/>
        </w:rPr>
        <w:t>oun</w:t>
      </w:r>
      <w:r>
        <w:rPr>
          <w:color w:val="000000"/>
          <w:spacing w:val="-1"/>
        </w:rPr>
        <w:t>c</w:t>
      </w:r>
      <w:r>
        <w:rPr>
          <w:color w:val="000000"/>
        </w:rPr>
        <w:t>il d</w:t>
      </w:r>
      <w:r>
        <w:rPr>
          <w:color w:val="000000"/>
          <w:spacing w:val="-1"/>
        </w:rPr>
        <w:t>e</w:t>
      </w:r>
      <w:r>
        <w:rPr>
          <w:color w:val="000000"/>
        </w:rPr>
        <w:t>lib</w:t>
      </w:r>
      <w:r>
        <w:rPr>
          <w:color w:val="000000"/>
          <w:spacing w:val="-1"/>
        </w:rPr>
        <w:t>era</w:t>
      </w:r>
      <w:r>
        <w:rPr>
          <w:color w:val="000000"/>
        </w:rPr>
        <w:t xml:space="preserve">tions </w:t>
      </w:r>
      <w:r>
        <w:rPr>
          <w:color w:val="000000"/>
          <w:spacing w:val="-1"/>
        </w:rPr>
        <w:t>a</w:t>
      </w:r>
      <w:r>
        <w:rPr>
          <w:color w:val="000000"/>
        </w:rPr>
        <w:t>nd with the</w:t>
      </w:r>
      <w:r>
        <w:rPr>
          <w:color w:val="000000"/>
          <w:spacing w:val="1"/>
        </w:rPr>
        <w:t xml:space="preserve"> </w:t>
      </w:r>
      <w:r>
        <w:rPr>
          <w:color w:val="000000"/>
        </w:rPr>
        <w:t>h</w:t>
      </w:r>
      <w:r>
        <w:rPr>
          <w:color w:val="000000"/>
          <w:spacing w:val="-1"/>
        </w:rPr>
        <w:t>e</w:t>
      </w:r>
      <w:r>
        <w:rPr>
          <w:color w:val="000000"/>
        </w:rPr>
        <w:t>lp of</w:t>
      </w:r>
      <w:r>
        <w:rPr>
          <w:color w:val="000000"/>
          <w:spacing w:val="-1"/>
        </w:rPr>
        <w:t xml:space="preserve"> r</w:t>
      </w:r>
      <w:r>
        <w:rPr>
          <w:color w:val="000000"/>
          <w:spacing w:val="1"/>
        </w:rPr>
        <w:t>e</w:t>
      </w:r>
      <w:r>
        <w:rPr>
          <w:color w:val="000000"/>
          <w:spacing w:val="-2"/>
        </w:rPr>
        <w:t>g</w:t>
      </w:r>
      <w:r>
        <w:rPr>
          <w:color w:val="000000"/>
        </w:rPr>
        <w:t>ion</w:t>
      </w:r>
      <w:r>
        <w:rPr>
          <w:color w:val="000000"/>
          <w:spacing w:val="-1"/>
        </w:rPr>
        <w:t>a</w:t>
      </w:r>
      <w:r>
        <w:rPr>
          <w:color w:val="000000"/>
        </w:rPr>
        <w:t xml:space="preserve">l </w:t>
      </w:r>
      <w:r>
        <w:rPr>
          <w:color w:val="000000"/>
          <w:spacing w:val="2"/>
        </w:rPr>
        <w:t>p</w:t>
      </w:r>
      <w:r>
        <w:rPr>
          <w:color w:val="000000"/>
          <w:spacing w:val="-1"/>
        </w:rPr>
        <w:t>ar</w:t>
      </w:r>
      <w:r>
        <w:rPr>
          <w:color w:val="000000"/>
        </w:rPr>
        <w:t>tn</w:t>
      </w:r>
      <w:r>
        <w:rPr>
          <w:color w:val="000000"/>
          <w:spacing w:val="-1"/>
        </w:rPr>
        <w:t>er</w:t>
      </w:r>
      <w:r>
        <w:rPr>
          <w:color w:val="000000"/>
        </w:rPr>
        <w:t>s,</w:t>
      </w:r>
      <w:r>
        <w:rPr>
          <w:color w:val="000000"/>
          <w:spacing w:val="2"/>
        </w:rPr>
        <w:t xml:space="preserve"> </w:t>
      </w:r>
      <w:r>
        <w:rPr>
          <w:color w:val="000000"/>
          <w:spacing w:val="-1"/>
        </w:rPr>
        <w:t>ar</w:t>
      </w:r>
      <w:r>
        <w:rPr>
          <w:color w:val="000000"/>
        </w:rPr>
        <w:t>e</w:t>
      </w:r>
      <w:r>
        <w:rPr>
          <w:color w:val="000000"/>
          <w:spacing w:val="-1"/>
        </w:rPr>
        <w:t xml:space="preserve"> </w:t>
      </w:r>
      <w:r>
        <w:rPr>
          <w:color w:val="000000"/>
        </w:rPr>
        <w:t>b</w:t>
      </w:r>
      <w:r>
        <w:rPr>
          <w:color w:val="000000"/>
          <w:spacing w:val="-1"/>
        </w:rPr>
        <w:t>e</w:t>
      </w:r>
      <w:r>
        <w:rPr>
          <w:color w:val="000000"/>
        </w:rPr>
        <w:t>i</w:t>
      </w:r>
      <w:r>
        <w:rPr>
          <w:color w:val="000000"/>
          <w:spacing w:val="2"/>
        </w:rPr>
        <w:t>n</w:t>
      </w:r>
      <w:r>
        <w:rPr>
          <w:color w:val="000000"/>
        </w:rPr>
        <w:t xml:space="preserve">g </w:t>
      </w:r>
      <w:r>
        <w:rPr>
          <w:color w:val="000000"/>
          <w:spacing w:val="-1"/>
        </w:rPr>
        <w:t>ref</w:t>
      </w:r>
      <w:r>
        <w:rPr>
          <w:color w:val="000000"/>
        </w:rPr>
        <w:t>in</w:t>
      </w:r>
      <w:r>
        <w:rPr>
          <w:color w:val="000000"/>
          <w:spacing w:val="-1"/>
        </w:rPr>
        <w:t>e</w:t>
      </w:r>
      <w:r>
        <w:rPr>
          <w:color w:val="000000"/>
        </w:rPr>
        <w:t>d to</w:t>
      </w:r>
      <w:r>
        <w:rPr>
          <w:color w:val="000000"/>
          <w:spacing w:val="2"/>
        </w:rPr>
        <w:t xml:space="preserve"> </w:t>
      </w:r>
      <w:r>
        <w:rPr>
          <w:color w:val="000000"/>
          <w:spacing w:val="-1"/>
        </w:rPr>
        <w:t>a</w:t>
      </w:r>
      <w:r>
        <w:rPr>
          <w:color w:val="000000"/>
        </w:rPr>
        <w:t>dd</w:t>
      </w:r>
      <w:r>
        <w:rPr>
          <w:color w:val="000000"/>
          <w:spacing w:val="2"/>
        </w:rPr>
        <w:t>r</w:t>
      </w:r>
      <w:r>
        <w:rPr>
          <w:color w:val="000000"/>
          <w:spacing w:val="-1"/>
        </w:rPr>
        <w:t>e</w:t>
      </w:r>
      <w:r>
        <w:rPr>
          <w:color w:val="000000"/>
        </w:rPr>
        <w:t>ss lon</w:t>
      </w:r>
      <w:r>
        <w:rPr>
          <w:color w:val="000000"/>
          <w:spacing w:val="-2"/>
        </w:rPr>
        <w:t>g</w:t>
      </w:r>
      <w:r>
        <w:rPr>
          <w:color w:val="000000"/>
          <w:spacing w:val="-1"/>
        </w:rPr>
        <w:t>-</w:t>
      </w:r>
      <w:r>
        <w:rPr>
          <w:color w:val="000000"/>
        </w:rPr>
        <w:t>t</w:t>
      </w:r>
      <w:r>
        <w:rPr>
          <w:color w:val="000000"/>
          <w:spacing w:val="1"/>
        </w:rPr>
        <w:t>e</w:t>
      </w:r>
      <w:r>
        <w:rPr>
          <w:color w:val="000000"/>
          <w:spacing w:val="-1"/>
        </w:rPr>
        <w:t>r</w:t>
      </w:r>
      <w:r>
        <w:rPr>
          <w:color w:val="000000"/>
        </w:rPr>
        <w:t xml:space="preserve">m </w:t>
      </w:r>
      <w:r>
        <w:rPr>
          <w:color w:val="000000"/>
          <w:spacing w:val="-1"/>
        </w:rPr>
        <w:t>ec</w:t>
      </w:r>
      <w:r>
        <w:rPr>
          <w:color w:val="000000"/>
        </w:rPr>
        <w:t>o</w:t>
      </w:r>
      <w:r>
        <w:rPr>
          <w:color w:val="000000"/>
          <w:spacing w:val="5"/>
        </w:rPr>
        <w:t>s</w:t>
      </w:r>
      <w:r>
        <w:rPr>
          <w:color w:val="000000"/>
          <w:spacing w:val="-5"/>
        </w:rPr>
        <w:t>y</w:t>
      </w:r>
      <w:r>
        <w:rPr>
          <w:color w:val="000000"/>
        </w:rPr>
        <w:t>st</w:t>
      </w:r>
      <w:r>
        <w:rPr>
          <w:color w:val="000000"/>
          <w:spacing w:val="-1"/>
        </w:rPr>
        <w:t>e</w:t>
      </w:r>
      <w:r>
        <w:rPr>
          <w:color w:val="000000"/>
        </w:rPr>
        <w:t>m m</w:t>
      </w:r>
      <w:r>
        <w:rPr>
          <w:color w:val="000000"/>
          <w:spacing w:val="1"/>
        </w:rPr>
        <w:t>a</w:t>
      </w:r>
      <w:r>
        <w:rPr>
          <w:color w:val="000000"/>
        </w:rPr>
        <w:t>n</w:t>
      </w:r>
      <w:r>
        <w:rPr>
          <w:color w:val="000000"/>
          <w:spacing w:val="-1"/>
        </w:rPr>
        <w:t>a</w:t>
      </w:r>
      <w:r>
        <w:rPr>
          <w:color w:val="000000"/>
        </w:rPr>
        <w:t>g</w:t>
      </w:r>
      <w:r>
        <w:rPr>
          <w:color w:val="000000"/>
          <w:spacing w:val="-1"/>
        </w:rPr>
        <w:t>e</w:t>
      </w:r>
      <w:r>
        <w:rPr>
          <w:color w:val="000000"/>
        </w:rPr>
        <w:t>m</w:t>
      </w:r>
      <w:r>
        <w:rPr>
          <w:color w:val="000000"/>
          <w:spacing w:val="-1"/>
        </w:rPr>
        <w:t>e</w:t>
      </w:r>
      <w:r>
        <w:rPr>
          <w:color w:val="000000"/>
        </w:rPr>
        <w:t>nt n</w:t>
      </w:r>
      <w:r>
        <w:rPr>
          <w:color w:val="000000"/>
          <w:spacing w:val="1"/>
        </w:rPr>
        <w:t>e</w:t>
      </w:r>
      <w:r>
        <w:rPr>
          <w:color w:val="000000"/>
          <w:spacing w:val="-1"/>
        </w:rPr>
        <w:t>e</w:t>
      </w:r>
      <w:r>
        <w:rPr>
          <w:color w:val="000000"/>
        </w:rPr>
        <w:t>ds.</w:t>
      </w:r>
    </w:p>
    <w:p w14:paraId="78BF640E" w14:textId="77777777" w:rsidR="00DC4922" w:rsidRDefault="00DC4922" w:rsidP="00DC4922">
      <w:pPr>
        <w:rPr>
          <w:color w:val="000000"/>
          <w:sz w:val="26"/>
        </w:rPr>
      </w:pPr>
    </w:p>
    <w:p w14:paraId="616E6F03" w14:textId="77777777" w:rsidR="00DC4922" w:rsidRDefault="00DC4922" w:rsidP="00640526">
      <w:pPr>
        <w:ind w:firstLine="360"/>
        <w:rPr>
          <w:color w:val="000000"/>
        </w:rPr>
      </w:pPr>
      <w:r>
        <w:rPr>
          <w:color w:val="000000"/>
        </w:rPr>
        <w:t>One</w:t>
      </w:r>
      <w:r>
        <w:rPr>
          <w:color w:val="000000"/>
          <w:spacing w:val="-1"/>
        </w:rPr>
        <w:t xml:space="preserve"> </w:t>
      </w:r>
      <w:r>
        <w:rPr>
          <w:color w:val="000000"/>
        </w:rPr>
        <w:t>of</w:t>
      </w:r>
      <w:r>
        <w:rPr>
          <w:color w:val="000000"/>
          <w:spacing w:val="-1"/>
        </w:rPr>
        <w:t xml:space="preserve"> </w:t>
      </w:r>
      <w:r>
        <w:rPr>
          <w:color w:val="000000"/>
        </w:rPr>
        <w:t>the</w:t>
      </w:r>
      <w:r>
        <w:rPr>
          <w:color w:val="000000"/>
          <w:spacing w:val="1"/>
        </w:rPr>
        <w:t xml:space="preserve"> </w:t>
      </w:r>
      <w:r>
        <w:rPr>
          <w:color w:val="000000"/>
          <w:spacing w:val="-2"/>
        </w:rPr>
        <w:t>g</w:t>
      </w:r>
      <w:r>
        <w:rPr>
          <w:color w:val="000000"/>
          <w:spacing w:val="2"/>
        </w:rPr>
        <w:t>r</w:t>
      </w:r>
      <w:r>
        <w:rPr>
          <w:color w:val="000000"/>
          <w:spacing w:val="-1"/>
        </w:rPr>
        <w:t>ea</w:t>
      </w:r>
      <w:r>
        <w:rPr>
          <w:color w:val="000000"/>
        </w:rPr>
        <w:t>t</w:t>
      </w:r>
      <w:r>
        <w:rPr>
          <w:color w:val="000000"/>
          <w:spacing w:val="-1"/>
        </w:rPr>
        <w:t>e</w:t>
      </w:r>
      <w:r>
        <w:rPr>
          <w:color w:val="000000"/>
        </w:rPr>
        <w:t xml:space="preserve">st </w:t>
      </w:r>
      <w:r>
        <w:rPr>
          <w:color w:val="000000"/>
          <w:spacing w:val="-1"/>
        </w:rPr>
        <w:t>c</w:t>
      </w:r>
      <w:r>
        <w:rPr>
          <w:color w:val="000000"/>
          <w:spacing w:val="2"/>
        </w:rPr>
        <w:t>h</w:t>
      </w:r>
      <w:r>
        <w:rPr>
          <w:color w:val="000000"/>
          <w:spacing w:val="-1"/>
        </w:rPr>
        <w:t>a</w:t>
      </w:r>
      <w:r>
        <w:rPr>
          <w:color w:val="000000"/>
        </w:rPr>
        <w:t>ll</w:t>
      </w:r>
      <w:r>
        <w:rPr>
          <w:color w:val="000000"/>
          <w:spacing w:val="1"/>
        </w:rPr>
        <w:t>e</w:t>
      </w:r>
      <w:r>
        <w:rPr>
          <w:color w:val="000000"/>
        </w:rPr>
        <w:t>n</w:t>
      </w:r>
      <w:r>
        <w:rPr>
          <w:color w:val="000000"/>
          <w:spacing w:val="-2"/>
        </w:rPr>
        <w:t>g</w:t>
      </w:r>
      <w:r>
        <w:rPr>
          <w:color w:val="000000"/>
          <w:spacing w:val="-1"/>
        </w:rPr>
        <w:t>e</w:t>
      </w:r>
      <w:r>
        <w:rPr>
          <w:color w:val="000000"/>
        </w:rPr>
        <w:t>s to the</w:t>
      </w:r>
      <w:r>
        <w:rPr>
          <w:color w:val="000000"/>
          <w:spacing w:val="-1"/>
        </w:rPr>
        <w:t xml:space="preserve"> </w:t>
      </w:r>
      <w:r>
        <w:rPr>
          <w:color w:val="000000"/>
        </w:rPr>
        <w:t>lo</w:t>
      </w:r>
      <w:r>
        <w:rPr>
          <w:color w:val="000000"/>
          <w:spacing w:val="2"/>
        </w:rPr>
        <w:t>n</w:t>
      </w:r>
      <w:r>
        <w:rPr>
          <w:color w:val="000000"/>
          <w:spacing w:val="-2"/>
        </w:rPr>
        <w:t>g</w:t>
      </w:r>
      <w:r>
        <w:rPr>
          <w:color w:val="000000"/>
          <w:spacing w:val="-1"/>
        </w:rPr>
        <w:t>-</w:t>
      </w:r>
      <w:r>
        <w:rPr>
          <w:color w:val="000000"/>
          <w:spacing w:val="3"/>
        </w:rPr>
        <w:t>t</w:t>
      </w:r>
      <w:r>
        <w:rPr>
          <w:color w:val="000000"/>
          <w:spacing w:val="-1"/>
        </w:rPr>
        <w:t>er</w:t>
      </w:r>
      <w:r>
        <w:rPr>
          <w:color w:val="000000"/>
        </w:rPr>
        <w:t>m move</w:t>
      </w:r>
      <w:r>
        <w:rPr>
          <w:color w:val="000000"/>
          <w:spacing w:val="-1"/>
        </w:rPr>
        <w:t xml:space="preserve"> </w:t>
      </w:r>
      <w:r>
        <w:rPr>
          <w:color w:val="000000"/>
        </w:rPr>
        <w:t>to E</w:t>
      </w:r>
      <w:r>
        <w:rPr>
          <w:color w:val="000000"/>
          <w:spacing w:val="-2"/>
        </w:rPr>
        <w:t>B</w:t>
      </w:r>
      <w:r>
        <w:rPr>
          <w:color w:val="000000"/>
        </w:rPr>
        <w:t>M in the</w:t>
      </w:r>
      <w:r>
        <w:rPr>
          <w:color w:val="000000"/>
          <w:spacing w:val="-1"/>
        </w:rPr>
        <w:t xml:space="preserve"> </w:t>
      </w:r>
      <w:r>
        <w:rPr>
          <w:color w:val="000000"/>
          <w:spacing w:val="2"/>
        </w:rPr>
        <w:t>r</w:t>
      </w:r>
      <w:r>
        <w:rPr>
          <w:color w:val="000000"/>
          <w:spacing w:val="1"/>
        </w:rPr>
        <w:t>e</w:t>
      </w:r>
      <w:r>
        <w:rPr>
          <w:color w:val="000000"/>
          <w:spacing w:val="-2"/>
        </w:rPr>
        <w:t>g</w:t>
      </w:r>
      <w:r>
        <w:rPr>
          <w:color w:val="000000"/>
        </w:rPr>
        <w:t xml:space="preserve">ion is </w:t>
      </w:r>
      <w:r>
        <w:rPr>
          <w:color w:val="000000"/>
          <w:spacing w:val="-1"/>
        </w:rPr>
        <w:t>f</w:t>
      </w:r>
      <w:r>
        <w:rPr>
          <w:color w:val="000000"/>
        </w:rPr>
        <w:t>unding</w:t>
      </w:r>
      <w:r>
        <w:rPr>
          <w:color w:val="000000"/>
          <w:spacing w:val="-2"/>
        </w:rPr>
        <w:t xml:space="preserve"> </w:t>
      </w:r>
      <w:r>
        <w:rPr>
          <w:color w:val="000000"/>
        </w:rPr>
        <w:t>h</w:t>
      </w:r>
      <w:r>
        <w:rPr>
          <w:color w:val="000000"/>
          <w:spacing w:val="3"/>
        </w:rPr>
        <w:t>i</w:t>
      </w:r>
      <w:r>
        <w:rPr>
          <w:color w:val="000000"/>
          <w:spacing w:val="-2"/>
        </w:rPr>
        <w:t>g</w:t>
      </w:r>
      <w:r>
        <w:rPr>
          <w:color w:val="000000"/>
        </w:rPr>
        <w:t>h p</w:t>
      </w:r>
      <w:r>
        <w:rPr>
          <w:color w:val="000000"/>
          <w:spacing w:val="-1"/>
        </w:rPr>
        <w:t>r</w:t>
      </w:r>
      <w:r>
        <w:rPr>
          <w:color w:val="000000"/>
        </w:rPr>
        <w:t>io</w:t>
      </w:r>
      <w:r>
        <w:rPr>
          <w:color w:val="000000"/>
          <w:spacing w:val="-1"/>
        </w:rPr>
        <w:t>r</w:t>
      </w:r>
      <w:r>
        <w:rPr>
          <w:color w:val="000000"/>
        </w:rPr>
        <w:t>i</w:t>
      </w:r>
      <w:r>
        <w:rPr>
          <w:color w:val="000000"/>
          <w:spacing w:val="5"/>
        </w:rPr>
        <w:t>t</w:t>
      </w:r>
      <w:r>
        <w:rPr>
          <w:color w:val="000000"/>
        </w:rPr>
        <w:t xml:space="preserve">y </w:t>
      </w:r>
      <w:r>
        <w:rPr>
          <w:color w:val="000000"/>
          <w:spacing w:val="-1"/>
        </w:rPr>
        <w:t>re</w:t>
      </w:r>
      <w:r>
        <w:rPr>
          <w:color w:val="000000"/>
        </w:rPr>
        <w:t>s</w:t>
      </w:r>
      <w:r>
        <w:rPr>
          <w:color w:val="000000"/>
          <w:spacing w:val="-1"/>
        </w:rPr>
        <w:t>e</w:t>
      </w:r>
      <w:r>
        <w:rPr>
          <w:color w:val="000000"/>
          <w:spacing w:val="1"/>
        </w:rPr>
        <w:t>a</w:t>
      </w:r>
      <w:r>
        <w:rPr>
          <w:color w:val="000000"/>
          <w:spacing w:val="-1"/>
        </w:rPr>
        <w:t>rc</w:t>
      </w:r>
      <w:r>
        <w:rPr>
          <w:color w:val="000000"/>
        </w:rPr>
        <w:t>h, in</w:t>
      </w:r>
      <w:r>
        <w:rPr>
          <w:color w:val="000000"/>
          <w:spacing w:val="-1"/>
        </w:rPr>
        <w:t>c</w:t>
      </w:r>
      <w:r>
        <w:rPr>
          <w:color w:val="000000"/>
        </w:rPr>
        <w:t>ludi</w:t>
      </w:r>
      <w:r>
        <w:rPr>
          <w:color w:val="000000"/>
          <w:spacing w:val="2"/>
        </w:rPr>
        <w:t>n</w:t>
      </w:r>
      <w:r>
        <w:rPr>
          <w:color w:val="000000"/>
        </w:rPr>
        <w:t>g</w:t>
      </w:r>
      <w:r>
        <w:rPr>
          <w:color w:val="000000"/>
          <w:spacing w:val="-2"/>
        </w:rPr>
        <w:t xml:space="preserve"> </w:t>
      </w:r>
      <w:r>
        <w:rPr>
          <w:color w:val="000000"/>
        </w:rPr>
        <w:t xml:space="preserve">but </w:t>
      </w:r>
      <w:r>
        <w:rPr>
          <w:color w:val="000000"/>
          <w:spacing w:val="2"/>
        </w:rPr>
        <w:t>n</w:t>
      </w:r>
      <w:r>
        <w:rPr>
          <w:color w:val="000000"/>
        </w:rPr>
        <w:t>ot limit</w:t>
      </w:r>
      <w:r>
        <w:rPr>
          <w:color w:val="000000"/>
          <w:spacing w:val="-1"/>
        </w:rPr>
        <w:t>e</w:t>
      </w:r>
      <w:r>
        <w:rPr>
          <w:color w:val="000000"/>
        </w:rPr>
        <w:t xml:space="preserve">d to, </w:t>
      </w:r>
      <w:r>
        <w:rPr>
          <w:color w:val="000000"/>
          <w:spacing w:val="-1"/>
        </w:rPr>
        <w:t>c</w:t>
      </w:r>
      <w:r>
        <w:rPr>
          <w:color w:val="000000"/>
        </w:rPr>
        <w:t>omp</w:t>
      </w:r>
      <w:r>
        <w:rPr>
          <w:color w:val="000000"/>
          <w:spacing w:val="-1"/>
        </w:rPr>
        <w:t>re</w:t>
      </w:r>
      <w:r>
        <w:rPr>
          <w:color w:val="000000"/>
        </w:rPr>
        <w:t>h</w:t>
      </w:r>
      <w:r>
        <w:rPr>
          <w:color w:val="000000"/>
          <w:spacing w:val="-1"/>
        </w:rPr>
        <w:t>e</w:t>
      </w:r>
      <w:r>
        <w:rPr>
          <w:color w:val="000000"/>
        </w:rPr>
        <w:t>nsive</w:t>
      </w:r>
      <w:r>
        <w:rPr>
          <w:color w:val="000000"/>
          <w:spacing w:val="-1"/>
        </w:rPr>
        <w:t xml:space="preserve"> </w:t>
      </w:r>
      <w:r>
        <w:rPr>
          <w:color w:val="000000"/>
        </w:rPr>
        <w:t>b</w:t>
      </w:r>
      <w:r>
        <w:rPr>
          <w:color w:val="000000"/>
          <w:spacing w:val="-1"/>
        </w:rPr>
        <w:t>e</w:t>
      </w:r>
      <w:r>
        <w:rPr>
          <w:color w:val="000000"/>
        </w:rPr>
        <w:t>nthic</w:t>
      </w:r>
      <w:r>
        <w:rPr>
          <w:color w:val="000000"/>
          <w:spacing w:val="-1"/>
        </w:rPr>
        <w:t xml:space="preserve"> </w:t>
      </w:r>
      <w:r>
        <w:rPr>
          <w:color w:val="000000"/>
        </w:rPr>
        <w:t>m</w:t>
      </w:r>
      <w:r>
        <w:rPr>
          <w:color w:val="000000"/>
          <w:spacing w:val="-1"/>
        </w:rPr>
        <w:t>a</w:t>
      </w:r>
      <w:r>
        <w:rPr>
          <w:color w:val="000000"/>
        </w:rPr>
        <w:t>ppi</w:t>
      </w:r>
      <w:r>
        <w:rPr>
          <w:color w:val="000000"/>
          <w:spacing w:val="2"/>
        </w:rPr>
        <w:t>n</w:t>
      </w:r>
      <w:r>
        <w:rPr>
          <w:color w:val="000000"/>
        </w:rPr>
        <w:t>g</w:t>
      </w:r>
      <w:r>
        <w:rPr>
          <w:color w:val="000000"/>
          <w:spacing w:val="-2"/>
        </w:rPr>
        <w:t xml:space="preserve"> </w:t>
      </w:r>
      <w:r>
        <w:rPr>
          <w:color w:val="000000"/>
          <w:spacing w:val="-1"/>
        </w:rPr>
        <w:t>a</w:t>
      </w:r>
      <w:r>
        <w:rPr>
          <w:color w:val="000000"/>
        </w:rPr>
        <w:t>nd</w:t>
      </w:r>
      <w:r>
        <w:rPr>
          <w:color w:val="000000"/>
          <w:spacing w:val="2"/>
        </w:rPr>
        <w:t xml:space="preserve"> </w:t>
      </w:r>
      <w:r>
        <w:rPr>
          <w:color w:val="000000"/>
          <w:spacing w:val="-1"/>
        </w:rPr>
        <w:t>ec</w:t>
      </w:r>
      <w:r>
        <w:rPr>
          <w:color w:val="000000"/>
        </w:rPr>
        <w:t>o</w:t>
      </w:r>
      <w:r>
        <w:rPr>
          <w:color w:val="000000"/>
          <w:spacing w:val="5"/>
        </w:rPr>
        <w:t>s</w:t>
      </w:r>
      <w:r>
        <w:rPr>
          <w:color w:val="000000"/>
          <w:spacing w:val="-5"/>
        </w:rPr>
        <w:t>y</w:t>
      </w:r>
      <w:r>
        <w:rPr>
          <w:color w:val="000000"/>
        </w:rPr>
        <w:t>st</w:t>
      </w:r>
      <w:r>
        <w:rPr>
          <w:color w:val="000000"/>
          <w:spacing w:val="-1"/>
        </w:rPr>
        <w:t>e</w:t>
      </w:r>
      <w:r>
        <w:rPr>
          <w:color w:val="000000"/>
        </w:rPr>
        <w:t>m mod</w:t>
      </w:r>
      <w:r>
        <w:rPr>
          <w:color w:val="000000"/>
          <w:spacing w:val="-1"/>
        </w:rPr>
        <w:t>e</w:t>
      </w:r>
      <w:r>
        <w:rPr>
          <w:color w:val="000000"/>
        </w:rPr>
        <w:t xml:space="preserve">l </w:t>
      </w:r>
      <w:r>
        <w:rPr>
          <w:color w:val="000000"/>
          <w:spacing w:val="-1"/>
        </w:rPr>
        <w:t>a</w:t>
      </w:r>
      <w:r>
        <w:rPr>
          <w:color w:val="000000"/>
        </w:rPr>
        <w:t>nd m</w:t>
      </w:r>
      <w:r>
        <w:rPr>
          <w:color w:val="000000"/>
          <w:spacing w:val="-1"/>
        </w:rPr>
        <w:t>a</w:t>
      </w:r>
      <w:r>
        <w:rPr>
          <w:color w:val="000000"/>
        </w:rPr>
        <w:t>n</w:t>
      </w:r>
      <w:r>
        <w:rPr>
          <w:color w:val="000000"/>
          <w:spacing w:val="1"/>
        </w:rPr>
        <w:t>a</w:t>
      </w:r>
      <w:r>
        <w:rPr>
          <w:color w:val="000000"/>
          <w:spacing w:val="-2"/>
        </w:rPr>
        <w:t>g</w:t>
      </w:r>
      <w:r>
        <w:rPr>
          <w:color w:val="000000"/>
          <w:spacing w:val="-1"/>
        </w:rPr>
        <w:t>e</w:t>
      </w:r>
      <w:r>
        <w:rPr>
          <w:color w:val="000000"/>
        </w:rPr>
        <w:t>m</w:t>
      </w:r>
      <w:r>
        <w:rPr>
          <w:color w:val="000000"/>
          <w:spacing w:val="-1"/>
        </w:rPr>
        <w:t>e</w:t>
      </w:r>
      <w:r>
        <w:rPr>
          <w:color w:val="000000"/>
        </w:rPr>
        <w:t>nt tool d</w:t>
      </w:r>
      <w:r>
        <w:rPr>
          <w:color w:val="000000"/>
          <w:spacing w:val="-1"/>
        </w:rPr>
        <w:t>e</w:t>
      </w:r>
      <w:r>
        <w:rPr>
          <w:color w:val="000000"/>
        </w:rPr>
        <w:t>v</w:t>
      </w:r>
      <w:r>
        <w:rPr>
          <w:color w:val="000000"/>
          <w:spacing w:val="-1"/>
        </w:rPr>
        <w:t>e</w:t>
      </w:r>
      <w:r>
        <w:rPr>
          <w:color w:val="000000"/>
        </w:rPr>
        <w:t>l</w:t>
      </w:r>
      <w:r>
        <w:rPr>
          <w:color w:val="000000"/>
          <w:spacing w:val="2"/>
        </w:rPr>
        <w:t>o</w:t>
      </w:r>
      <w:r>
        <w:rPr>
          <w:color w:val="000000"/>
        </w:rPr>
        <w:t>pm</w:t>
      </w:r>
      <w:r>
        <w:rPr>
          <w:color w:val="000000"/>
          <w:spacing w:val="-1"/>
        </w:rPr>
        <w:t>e</w:t>
      </w:r>
      <w:r>
        <w:rPr>
          <w:color w:val="000000"/>
        </w:rPr>
        <w:t>nt.</w:t>
      </w:r>
      <w:r>
        <w:rPr>
          <w:color w:val="000000"/>
          <w:spacing w:val="2"/>
        </w:rPr>
        <w:t xml:space="preserve"> </w:t>
      </w:r>
      <w:r>
        <w:rPr>
          <w:color w:val="000000"/>
          <w:spacing w:val="-6"/>
        </w:rPr>
        <w:t>I</w:t>
      </w:r>
      <w:r>
        <w:rPr>
          <w:color w:val="000000"/>
        </w:rPr>
        <w:t>n</w:t>
      </w:r>
      <w:r>
        <w:rPr>
          <w:color w:val="000000"/>
          <w:spacing w:val="2"/>
        </w:rPr>
        <w:t xml:space="preserve"> </w:t>
      </w:r>
      <w:r>
        <w:rPr>
          <w:color w:val="000000"/>
          <w:spacing w:val="-1"/>
        </w:rPr>
        <w:t>a</w:t>
      </w:r>
      <w:r>
        <w:rPr>
          <w:color w:val="000000"/>
        </w:rPr>
        <w:t xml:space="preserve">ddition, </w:t>
      </w:r>
      <w:r>
        <w:rPr>
          <w:color w:val="000000"/>
          <w:spacing w:val="-1"/>
        </w:rPr>
        <w:t>c</w:t>
      </w:r>
      <w:r>
        <w:rPr>
          <w:color w:val="000000"/>
        </w:rPr>
        <w:t>oll</w:t>
      </w:r>
      <w:r>
        <w:rPr>
          <w:color w:val="000000"/>
          <w:spacing w:val="-1"/>
        </w:rPr>
        <w:t>ec</w:t>
      </w:r>
      <w:r>
        <w:rPr>
          <w:color w:val="000000"/>
        </w:rPr>
        <w:t>ting</w:t>
      </w:r>
      <w:r>
        <w:rPr>
          <w:color w:val="000000"/>
          <w:spacing w:val="-2"/>
        </w:rPr>
        <w:t xml:space="preserve"> </w:t>
      </w:r>
      <w:r>
        <w:rPr>
          <w:color w:val="000000"/>
        </w:rPr>
        <w:t>d</w:t>
      </w:r>
      <w:r>
        <w:rPr>
          <w:color w:val="000000"/>
          <w:spacing w:val="-1"/>
        </w:rPr>
        <w:t>e</w:t>
      </w:r>
      <w:r>
        <w:rPr>
          <w:color w:val="000000"/>
          <w:spacing w:val="3"/>
        </w:rPr>
        <w:t>t</w:t>
      </w:r>
      <w:r>
        <w:rPr>
          <w:color w:val="000000"/>
          <w:spacing w:val="-1"/>
        </w:rPr>
        <w:t>a</w:t>
      </w:r>
      <w:r>
        <w:rPr>
          <w:color w:val="000000"/>
        </w:rPr>
        <w:t>il</w:t>
      </w:r>
      <w:r>
        <w:rPr>
          <w:color w:val="000000"/>
          <w:spacing w:val="-1"/>
        </w:rPr>
        <w:t>e</w:t>
      </w:r>
      <w:r>
        <w:rPr>
          <w:color w:val="000000"/>
        </w:rPr>
        <w:t>d in</w:t>
      </w:r>
      <w:r>
        <w:rPr>
          <w:color w:val="000000"/>
          <w:spacing w:val="-1"/>
        </w:rPr>
        <w:t>f</w:t>
      </w:r>
      <w:r>
        <w:rPr>
          <w:color w:val="000000"/>
        </w:rPr>
        <w:t>o</w:t>
      </w:r>
      <w:r>
        <w:rPr>
          <w:color w:val="000000"/>
          <w:spacing w:val="-1"/>
        </w:rPr>
        <w:t>r</w:t>
      </w:r>
      <w:r>
        <w:rPr>
          <w:color w:val="000000"/>
        </w:rPr>
        <w:t>m</w:t>
      </w:r>
      <w:r>
        <w:rPr>
          <w:color w:val="000000"/>
          <w:spacing w:val="-1"/>
        </w:rPr>
        <w:t>a</w:t>
      </w:r>
      <w:r>
        <w:rPr>
          <w:color w:val="000000"/>
        </w:rPr>
        <w:t>ti</w:t>
      </w:r>
      <w:r>
        <w:rPr>
          <w:color w:val="000000"/>
          <w:spacing w:val="2"/>
        </w:rPr>
        <w:t>o</w:t>
      </w:r>
      <w:r>
        <w:rPr>
          <w:color w:val="000000"/>
        </w:rPr>
        <w:t xml:space="preserve">n on </w:t>
      </w:r>
      <w:r>
        <w:rPr>
          <w:color w:val="000000"/>
          <w:spacing w:val="-1"/>
        </w:rPr>
        <w:t>f</w:t>
      </w:r>
      <w:r>
        <w:rPr>
          <w:color w:val="000000"/>
        </w:rPr>
        <w:t>ishing</w:t>
      </w:r>
      <w:r>
        <w:rPr>
          <w:color w:val="000000"/>
          <w:spacing w:val="-2"/>
        </w:rPr>
        <w:t xml:space="preserve"> </w:t>
      </w:r>
      <w:r>
        <w:rPr>
          <w:color w:val="000000"/>
          <w:spacing w:val="-1"/>
        </w:rPr>
        <w:t>f</w:t>
      </w:r>
      <w:r>
        <w:rPr>
          <w:color w:val="000000"/>
        </w:rPr>
        <w:t>l</w:t>
      </w:r>
      <w:r>
        <w:rPr>
          <w:color w:val="000000"/>
          <w:spacing w:val="1"/>
        </w:rPr>
        <w:t>e</w:t>
      </w:r>
      <w:r>
        <w:rPr>
          <w:color w:val="000000"/>
          <w:spacing w:val="-1"/>
        </w:rPr>
        <w:t>e</w:t>
      </w:r>
      <w:r>
        <w:rPr>
          <w:color w:val="000000"/>
        </w:rPr>
        <w:t xml:space="preserve">t </w:t>
      </w:r>
      <w:r>
        <w:rPr>
          <w:color w:val="000000"/>
          <w:spacing w:val="2"/>
        </w:rPr>
        <w:t>d</w:t>
      </w:r>
      <w:r>
        <w:rPr>
          <w:color w:val="000000"/>
          <w:spacing w:val="-5"/>
        </w:rPr>
        <w:t>y</w:t>
      </w:r>
      <w:r>
        <w:rPr>
          <w:color w:val="000000"/>
          <w:spacing w:val="2"/>
        </w:rPr>
        <w:t>n</w:t>
      </w:r>
      <w:r>
        <w:rPr>
          <w:color w:val="000000"/>
          <w:spacing w:val="-1"/>
        </w:rPr>
        <w:t>a</w:t>
      </w:r>
      <w:r>
        <w:rPr>
          <w:color w:val="000000"/>
        </w:rPr>
        <w:t>mi</w:t>
      </w:r>
      <w:r>
        <w:rPr>
          <w:color w:val="000000"/>
          <w:spacing w:val="-1"/>
        </w:rPr>
        <w:t>c</w:t>
      </w:r>
      <w:r>
        <w:rPr>
          <w:color w:val="000000"/>
        </w:rPr>
        <w:t>s in</w:t>
      </w:r>
      <w:r>
        <w:rPr>
          <w:color w:val="000000"/>
          <w:spacing w:val="-1"/>
        </w:rPr>
        <w:t>c</w:t>
      </w:r>
      <w:r>
        <w:rPr>
          <w:color w:val="000000"/>
        </w:rPr>
        <w:t>luding</w:t>
      </w:r>
      <w:r>
        <w:rPr>
          <w:color w:val="000000"/>
          <w:spacing w:val="-2"/>
        </w:rPr>
        <w:t xml:space="preserve"> </w:t>
      </w:r>
      <w:r>
        <w:rPr>
          <w:color w:val="000000"/>
        </w:rPr>
        <w:t>d</w:t>
      </w:r>
      <w:r>
        <w:rPr>
          <w:color w:val="000000"/>
          <w:spacing w:val="-1"/>
        </w:rPr>
        <w:t>ef</w:t>
      </w:r>
      <w:r>
        <w:rPr>
          <w:color w:val="000000"/>
        </w:rPr>
        <w:t>ini</w:t>
      </w:r>
      <w:r>
        <w:rPr>
          <w:color w:val="000000"/>
          <w:spacing w:val="2"/>
        </w:rPr>
        <w:t>n</w:t>
      </w:r>
      <w:r>
        <w:rPr>
          <w:color w:val="000000"/>
        </w:rPr>
        <w:t>g</w:t>
      </w:r>
      <w:r>
        <w:rPr>
          <w:color w:val="000000"/>
          <w:spacing w:val="-2"/>
        </w:rPr>
        <w:t xml:space="preserve"> </w:t>
      </w:r>
      <w:r>
        <w:rPr>
          <w:color w:val="000000"/>
          <w:spacing w:val="-1"/>
        </w:rPr>
        <w:t>f</w:t>
      </w:r>
      <w:r>
        <w:rPr>
          <w:color w:val="000000"/>
        </w:rPr>
        <w:t>ishi</w:t>
      </w:r>
      <w:r>
        <w:rPr>
          <w:color w:val="000000"/>
          <w:spacing w:val="2"/>
        </w:rPr>
        <w:t>n</w:t>
      </w:r>
      <w:r>
        <w:rPr>
          <w:color w:val="000000"/>
        </w:rPr>
        <w:t>g</w:t>
      </w:r>
      <w:r>
        <w:rPr>
          <w:color w:val="000000"/>
          <w:spacing w:val="-2"/>
        </w:rPr>
        <w:t xml:space="preserve"> </w:t>
      </w:r>
      <w:r>
        <w:rPr>
          <w:color w:val="000000"/>
        </w:rPr>
        <w:t>op</w:t>
      </w:r>
      <w:r>
        <w:rPr>
          <w:color w:val="000000"/>
          <w:spacing w:val="1"/>
        </w:rPr>
        <w:t>e</w:t>
      </w:r>
      <w:r>
        <w:rPr>
          <w:color w:val="000000"/>
          <w:spacing w:val="-1"/>
        </w:rPr>
        <w:t>ra</w:t>
      </w:r>
      <w:r>
        <w:rPr>
          <w:color w:val="000000"/>
        </w:rPr>
        <w:t xml:space="preserve">tion </w:t>
      </w:r>
      <w:r>
        <w:rPr>
          <w:color w:val="000000"/>
          <w:spacing w:val="-1"/>
        </w:rPr>
        <w:t>a</w:t>
      </w:r>
      <w:r>
        <w:rPr>
          <w:color w:val="000000"/>
          <w:spacing w:val="2"/>
        </w:rPr>
        <w:t>r</w:t>
      </w:r>
      <w:r>
        <w:rPr>
          <w:color w:val="000000"/>
          <w:spacing w:val="-1"/>
        </w:rPr>
        <w:t>ea</w:t>
      </w:r>
      <w:r>
        <w:rPr>
          <w:color w:val="000000"/>
        </w:rPr>
        <w:t xml:space="preserve">s </w:t>
      </w:r>
      <w:r>
        <w:rPr>
          <w:color w:val="000000"/>
          <w:spacing w:val="5"/>
        </w:rPr>
        <w:t>b</w:t>
      </w:r>
      <w:r>
        <w:rPr>
          <w:color w:val="000000"/>
        </w:rPr>
        <w:t>y</w:t>
      </w:r>
      <w:r>
        <w:rPr>
          <w:color w:val="000000"/>
          <w:spacing w:val="-5"/>
        </w:rPr>
        <w:t xml:space="preserve"> </w:t>
      </w:r>
      <w:r>
        <w:rPr>
          <w:color w:val="000000"/>
        </w:rPr>
        <w:t>sp</w:t>
      </w:r>
      <w:r>
        <w:rPr>
          <w:color w:val="000000"/>
          <w:spacing w:val="1"/>
        </w:rPr>
        <w:t>ec</w:t>
      </w:r>
      <w:r>
        <w:rPr>
          <w:color w:val="000000"/>
        </w:rPr>
        <w:t>i</w:t>
      </w:r>
      <w:r>
        <w:rPr>
          <w:color w:val="000000"/>
          <w:spacing w:val="-1"/>
        </w:rPr>
        <w:t>e</w:t>
      </w:r>
      <w:r>
        <w:rPr>
          <w:color w:val="000000"/>
        </w:rPr>
        <w:t>s, sp</w:t>
      </w:r>
      <w:r>
        <w:rPr>
          <w:color w:val="000000"/>
          <w:spacing w:val="-1"/>
        </w:rPr>
        <w:t>ec</w:t>
      </w:r>
      <w:r>
        <w:rPr>
          <w:color w:val="000000"/>
        </w:rPr>
        <w:t>i</w:t>
      </w:r>
      <w:r>
        <w:rPr>
          <w:color w:val="000000"/>
          <w:spacing w:val="-1"/>
        </w:rPr>
        <w:t>e</w:t>
      </w:r>
      <w:r>
        <w:rPr>
          <w:color w:val="000000"/>
        </w:rPr>
        <w:t xml:space="preserve">s </w:t>
      </w:r>
      <w:r>
        <w:rPr>
          <w:color w:val="000000"/>
          <w:spacing w:val="-1"/>
        </w:rPr>
        <w:t>c</w:t>
      </w:r>
      <w:r>
        <w:rPr>
          <w:color w:val="000000"/>
        </w:rPr>
        <w:t>ompl</w:t>
      </w:r>
      <w:r>
        <w:rPr>
          <w:color w:val="000000"/>
          <w:spacing w:val="-1"/>
        </w:rPr>
        <w:t>e</w:t>
      </w:r>
      <w:r>
        <w:rPr>
          <w:color w:val="000000"/>
        </w:rPr>
        <w:t>x,</w:t>
      </w:r>
      <w:r>
        <w:rPr>
          <w:color w:val="000000"/>
          <w:spacing w:val="2"/>
        </w:rPr>
        <w:t xml:space="preserve"> </w:t>
      </w:r>
      <w:r>
        <w:rPr>
          <w:color w:val="000000"/>
          <w:spacing w:val="-1"/>
        </w:rPr>
        <w:t>a</w:t>
      </w:r>
      <w:r>
        <w:rPr>
          <w:color w:val="000000"/>
        </w:rPr>
        <w:t>nd</w:t>
      </w:r>
      <w:r>
        <w:rPr>
          <w:color w:val="000000"/>
          <w:spacing w:val="2"/>
        </w:rPr>
        <w:t xml:space="preserve"> </w:t>
      </w:r>
      <w:r>
        <w:rPr>
          <w:color w:val="000000"/>
        </w:rPr>
        <w:t>s</w:t>
      </w:r>
      <w:r>
        <w:rPr>
          <w:color w:val="000000"/>
          <w:spacing w:val="-1"/>
        </w:rPr>
        <w:t>ea</w:t>
      </w:r>
      <w:r>
        <w:rPr>
          <w:color w:val="000000"/>
        </w:rPr>
        <w:t xml:space="preserve">son, </w:t>
      </w:r>
      <w:r>
        <w:rPr>
          <w:color w:val="000000"/>
          <w:spacing w:val="-1"/>
        </w:rPr>
        <w:t>a</w:t>
      </w:r>
      <w:r>
        <w:rPr>
          <w:color w:val="000000"/>
        </w:rPr>
        <w:t xml:space="preserve">s </w:t>
      </w:r>
      <w:r>
        <w:rPr>
          <w:color w:val="000000"/>
          <w:spacing w:val="2"/>
        </w:rPr>
        <w:t>w</w:t>
      </w:r>
      <w:r>
        <w:rPr>
          <w:color w:val="000000"/>
          <w:spacing w:val="-1"/>
        </w:rPr>
        <w:t>e</w:t>
      </w:r>
      <w:r>
        <w:rPr>
          <w:color w:val="000000"/>
        </w:rPr>
        <w:t xml:space="preserve">ll </w:t>
      </w:r>
      <w:r>
        <w:rPr>
          <w:color w:val="000000"/>
          <w:spacing w:val="-1"/>
        </w:rPr>
        <w:t>a</w:t>
      </w:r>
      <w:r>
        <w:rPr>
          <w:color w:val="000000"/>
        </w:rPr>
        <w:t xml:space="preserve">s </w:t>
      </w:r>
      <w:r>
        <w:rPr>
          <w:color w:val="000000"/>
          <w:spacing w:val="-1"/>
        </w:rPr>
        <w:t>ca</w:t>
      </w:r>
      <w:r>
        <w:rPr>
          <w:color w:val="000000"/>
        </w:rPr>
        <w:t>t</w:t>
      </w:r>
      <w:r>
        <w:rPr>
          <w:color w:val="000000"/>
          <w:spacing w:val="-1"/>
        </w:rPr>
        <w:t>c</w:t>
      </w:r>
      <w:r>
        <w:rPr>
          <w:color w:val="000000"/>
        </w:rPr>
        <w:t xml:space="preserve">h </w:t>
      </w:r>
      <w:r>
        <w:rPr>
          <w:color w:val="000000"/>
          <w:spacing w:val="-1"/>
        </w:rPr>
        <w:t>re</w:t>
      </w:r>
      <w:r>
        <w:rPr>
          <w:color w:val="000000"/>
        </w:rPr>
        <w:t>l</w:t>
      </w:r>
      <w:r>
        <w:rPr>
          <w:color w:val="000000"/>
          <w:spacing w:val="-1"/>
        </w:rPr>
        <w:t>a</w:t>
      </w:r>
      <w:r>
        <w:rPr>
          <w:color w:val="000000"/>
        </w:rPr>
        <w:t>tive</w:t>
      </w:r>
      <w:r>
        <w:rPr>
          <w:color w:val="000000"/>
          <w:spacing w:val="-1"/>
        </w:rPr>
        <w:t xml:space="preserve"> </w:t>
      </w:r>
      <w:r>
        <w:rPr>
          <w:color w:val="000000"/>
        </w:rPr>
        <w:t>to h</w:t>
      </w:r>
      <w:r>
        <w:rPr>
          <w:color w:val="000000"/>
          <w:spacing w:val="-1"/>
        </w:rPr>
        <w:t>a</w:t>
      </w:r>
      <w:r>
        <w:rPr>
          <w:color w:val="000000"/>
        </w:rPr>
        <w:t>bit</w:t>
      </w:r>
      <w:r>
        <w:rPr>
          <w:color w:val="000000"/>
          <w:spacing w:val="-1"/>
        </w:rPr>
        <w:t>a</w:t>
      </w:r>
      <w:r>
        <w:rPr>
          <w:color w:val="000000"/>
        </w:rPr>
        <w:t xml:space="preserve">t is </w:t>
      </w:r>
      <w:r>
        <w:rPr>
          <w:color w:val="000000"/>
          <w:spacing w:val="-1"/>
        </w:rPr>
        <w:t>cr</w:t>
      </w:r>
      <w:r>
        <w:rPr>
          <w:color w:val="000000"/>
        </w:rPr>
        <w:t>iti</w:t>
      </w:r>
      <w:r>
        <w:rPr>
          <w:color w:val="000000"/>
          <w:spacing w:val="1"/>
        </w:rPr>
        <w:t>c</w:t>
      </w:r>
      <w:r>
        <w:rPr>
          <w:color w:val="000000"/>
          <w:spacing w:val="-1"/>
        </w:rPr>
        <w:t>a</w:t>
      </w:r>
      <w:r>
        <w:rPr>
          <w:color w:val="000000"/>
        </w:rPr>
        <w:t xml:space="preserve">l </w:t>
      </w:r>
      <w:r>
        <w:rPr>
          <w:color w:val="000000"/>
          <w:spacing w:val="-1"/>
        </w:rPr>
        <w:t>f</w:t>
      </w:r>
      <w:r>
        <w:rPr>
          <w:color w:val="000000"/>
        </w:rPr>
        <w:t>or</w:t>
      </w:r>
      <w:r>
        <w:rPr>
          <w:color w:val="000000"/>
          <w:spacing w:val="-1"/>
        </w:rPr>
        <w:t xml:space="preserve"> a</w:t>
      </w:r>
      <w:r>
        <w:rPr>
          <w:color w:val="000000"/>
        </w:rPr>
        <w:t>ss</w:t>
      </w:r>
      <w:r>
        <w:rPr>
          <w:color w:val="000000"/>
          <w:spacing w:val="-1"/>
        </w:rPr>
        <w:t>e</w:t>
      </w:r>
      <w:r>
        <w:rPr>
          <w:color w:val="000000"/>
        </w:rPr>
        <w:t>ssm</w:t>
      </w:r>
      <w:r>
        <w:rPr>
          <w:color w:val="000000"/>
          <w:spacing w:val="-1"/>
        </w:rPr>
        <w:t>e</w:t>
      </w:r>
      <w:r>
        <w:rPr>
          <w:color w:val="000000"/>
        </w:rPr>
        <w:t xml:space="preserve">nt </w:t>
      </w:r>
      <w:r>
        <w:rPr>
          <w:color w:val="000000"/>
          <w:spacing w:val="2"/>
        </w:rPr>
        <w:t>o</w:t>
      </w:r>
      <w:r>
        <w:rPr>
          <w:color w:val="000000"/>
        </w:rPr>
        <w:t>f</w:t>
      </w:r>
      <w:r>
        <w:rPr>
          <w:color w:val="000000"/>
          <w:spacing w:val="-1"/>
        </w:rPr>
        <w:t xml:space="preserve"> f</w:t>
      </w:r>
      <w:r>
        <w:rPr>
          <w:color w:val="000000"/>
        </w:rPr>
        <w:t>ish</w:t>
      </w:r>
      <w:r>
        <w:rPr>
          <w:color w:val="000000"/>
          <w:spacing w:val="1"/>
        </w:rPr>
        <w:t>e</w:t>
      </w:r>
      <w:r>
        <w:rPr>
          <w:color w:val="000000"/>
          <w:spacing w:val="2"/>
        </w:rPr>
        <w:t>r</w:t>
      </w:r>
      <w:r>
        <w:rPr>
          <w:color w:val="000000"/>
          <w:spacing w:val="-5"/>
        </w:rPr>
        <w:t>y</w:t>
      </w:r>
      <w:r>
        <w:rPr>
          <w:color w:val="000000"/>
        </w:rPr>
        <w:t>,</w:t>
      </w:r>
      <w:r>
        <w:rPr>
          <w:color w:val="000000"/>
          <w:spacing w:val="2"/>
        </w:rPr>
        <w:t xml:space="preserve"> </w:t>
      </w:r>
      <w:r>
        <w:rPr>
          <w:color w:val="000000"/>
          <w:spacing w:val="-1"/>
        </w:rPr>
        <w:t>c</w:t>
      </w:r>
      <w:r>
        <w:rPr>
          <w:color w:val="000000"/>
        </w:rPr>
        <w:t>ommuni</w:t>
      </w:r>
      <w:r>
        <w:rPr>
          <w:color w:val="000000"/>
          <w:spacing w:val="3"/>
        </w:rPr>
        <w:t>t</w:t>
      </w:r>
      <w:r>
        <w:rPr>
          <w:color w:val="000000"/>
          <w:spacing w:val="-5"/>
        </w:rPr>
        <w:t>y</w:t>
      </w:r>
      <w:r>
        <w:rPr>
          <w:color w:val="000000"/>
        </w:rPr>
        <w:t xml:space="preserve">, </w:t>
      </w:r>
      <w:r>
        <w:rPr>
          <w:color w:val="000000"/>
          <w:spacing w:val="-1"/>
        </w:rPr>
        <w:t>a</w:t>
      </w:r>
      <w:r>
        <w:rPr>
          <w:color w:val="000000"/>
        </w:rPr>
        <w:t xml:space="preserve">nd </w:t>
      </w:r>
      <w:r>
        <w:rPr>
          <w:color w:val="000000"/>
          <w:spacing w:val="2"/>
        </w:rPr>
        <w:t>h</w:t>
      </w:r>
      <w:r>
        <w:rPr>
          <w:color w:val="000000"/>
          <w:spacing w:val="-1"/>
        </w:rPr>
        <w:t>a</w:t>
      </w:r>
      <w:r>
        <w:rPr>
          <w:color w:val="000000"/>
        </w:rPr>
        <w:t>bit</w:t>
      </w:r>
      <w:r>
        <w:rPr>
          <w:color w:val="000000"/>
          <w:spacing w:val="-1"/>
        </w:rPr>
        <w:t>a</w:t>
      </w:r>
      <w:r>
        <w:rPr>
          <w:color w:val="000000"/>
        </w:rPr>
        <w:t>t imp</w:t>
      </w:r>
      <w:r>
        <w:rPr>
          <w:color w:val="000000"/>
          <w:spacing w:val="-1"/>
        </w:rPr>
        <w:t>ac</w:t>
      </w:r>
      <w:r>
        <w:rPr>
          <w:color w:val="000000"/>
        </w:rPr>
        <w:t xml:space="preserve">ts </w:t>
      </w:r>
      <w:r>
        <w:rPr>
          <w:color w:val="000000"/>
          <w:spacing w:val="-1"/>
        </w:rPr>
        <w:t>a</w:t>
      </w:r>
      <w:r>
        <w:rPr>
          <w:color w:val="000000"/>
        </w:rPr>
        <w:t xml:space="preserve">nd </w:t>
      </w:r>
      <w:r>
        <w:rPr>
          <w:color w:val="000000"/>
          <w:spacing w:val="-1"/>
        </w:rPr>
        <w:t>f</w:t>
      </w:r>
      <w:r>
        <w:rPr>
          <w:color w:val="000000"/>
        </w:rPr>
        <w:t>or</w:t>
      </w:r>
      <w:r>
        <w:rPr>
          <w:color w:val="000000"/>
          <w:spacing w:val="-1"/>
        </w:rPr>
        <w:t xml:space="preserve"> </w:t>
      </w:r>
      <w:r>
        <w:rPr>
          <w:color w:val="000000"/>
          <w:spacing w:val="1"/>
        </w:rPr>
        <w:t>C</w:t>
      </w:r>
      <w:r>
        <w:rPr>
          <w:color w:val="000000"/>
        </w:rPr>
        <w:t>oun</w:t>
      </w:r>
      <w:r>
        <w:rPr>
          <w:color w:val="000000"/>
          <w:spacing w:val="1"/>
        </w:rPr>
        <w:t>c</w:t>
      </w:r>
      <w:r>
        <w:rPr>
          <w:color w:val="000000"/>
        </w:rPr>
        <w:t>il use</w:t>
      </w:r>
      <w:r>
        <w:rPr>
          <w:color w:val="000000"/>
          <w:spacing w:val="-1"/>
        </w:rPr>
        <w:t xml:space="preserve"> </w:t>
      </w:r>
      <w:r>
        <w:rPr>
          <w:color w:val="000000"/>
        </w:rPr>
        <w:t>in pl</w:t>
      </w:r>
      <w:r>
        <w:rPr>
          <w:color w:val="000000"/>
          <w:spacing w:val="-1"/>
        </w:rPr>
        <w:t>a</w:t>
      </w:r>
      <w:r>
        <w:rPr>
          <w:color w:val="000000"/>
          <w:spacing w:val="1"/>
        </w:rPr>
        <w:t>c</w:t>
      </w:r>
      <w:r>
        <w:rPr>
          <w:color w:val="000000"/>
        </w:rPr>
        <w:t>e</w:t>
      </w:r>
      <w:r>
        <w:rPr>
          <w:color w:val="000000"/>
          <w:spacing w:val="-1"/>
        </w:rPr>
        <w:t xml:space="preserve"> </w:t>
      </w:r>
      <w:r>
        <w:rPr>
          <w:color w:val="000000"/>
        </w:rPr>
        <w:t>b</w:t>
      </w:r>
      <w:r>
        <w:rPr>
          <w:color w:val="000000"/>
          <w:spacing w:val="-1"/>
        </w:rPr>
        <w:t>a</w:t>
      </w:r>
      <w:r>
        <w:rPr>
          <w:color w:val="000000"/>
        </w:rPr>
        <w:t>s</w:t>
      </w:r>
      <w:r>
        <w:rPr>
          <w:color w:val="000000"/>
          <w:spacing w:val="-1"/>
        </w:rPr>
        <w:t>e</w:t>
      </w:r>
      <w:r>
        <w:rPr>
          <w:color w:val="000000"/>
        </w:rPr>
        <w:t>d m</w:t>
      </w:r>
      <w:r>
        <w:rPr>
          <w:color w:val="000000"/>
          <w:spacing w:val="-1"/>
        </w:rPr>
        <w:t>a</w:t>
      </w:r>
      <w:r>
        <w:rPr>
          <w:color w:val="000000"/>
          <w:spacing w:val="2"/>
        </w:rPr>
        <w:t>n</w:t>
      </w:r>
      <w:r>
        <w:rPr>
          <w:color w:val="000000"/>
          <w:spacing w:val="1"/>
        </w:rPr>
        <w:t>a</w:t>
      </w:r>
      <w:r>
        <w:rPr>
          <w:color w:val="000000"/>
        </w:rPr>
        <w:t>g</w:t>
      </w:r>
      <w:r>
        <w:rPr>
          <w:color w:val="000000"/>
          <w:spacing w:val="-1"/>
        </w:rPr>
        <w:t>e</w:t>
      </w:r>
      <w:r>
        <w:rPr>
          <w:color w:val="000000"/>
        </w:rPr>
        <w:t>m</w:t>
      </w:r>
      <w:r>
        <w:rPr>
          <w:color w:val="000000"/>
          <w:spacing w:val="-1"/>
        </w:rPr>
        <w:t>e</w:t>
      </w:r>
      <w:r>
        <w:rPr>
          <w:color w:val="000000"/>
        </w:rPr>
        <w:t>nt m</w:t>
      </w:r>
      <w:r>
        <w:rPr>
          <w:color w:val="000000"/>
          <w:spacing w:val="-1"/>
        </w:rPr>
        <w:t>ea</w:t>
      </w:r>
      <w:r>
        <w:rPr>
          <w:color w:val="000000"/>
        </w:rPr>
        <w:t>su</w:t>
      </w:r>
      <w:r>
        <w:rPr>
          <w:color w:val="000000"/>
          <w:spacing w:val="2"/>
        </w:rPr>
        <w:t>r</w:t>
      </w:r>
      <w:r>
        <w:rPr>
          <w:color w:val="000000"/>
          <w:spacing w:val="-1"/>
        </w:rPr>
        <w:t>e</w:t>
      </w:r>
      <w:r>
        <w:rPr>
          <w:color w:val="000000"/>
        </w:rPr>
        <w:t>s. Addition</w:t>
      </w:r>
      <w:r>
        <w:rPr>
          <w:color w:val="000000"/>
          <w:spacing w:val="-1"/>
        </w:rPr>
        <w:t>a</w:t>
      </w:r>
      <w:r>
        <w:rPr>
          <w:color w:val="000000"/>
        </w:rPr>
        <w:t xml:space="preserve">l </w:t>
      </w:r>
      <w:r>
        <w:rPr>
          <w:color w:val="000000"/>
          <w:spacing w:val="-1"/>
        </w:rPr>
        <w:t>re</w:t>
      </w:r>
      <w:r>
        <w:rPr>
          <w:color w:val="000000"/>
        </w:rPr>
        <w:t>sou</w:t>
      </w:r>
      <w:r>
        <w:rPr>
          <w:color w:val="000000"/>
          <w:spacing w:val="-1"/>
        </w:rPr>
        <w:t>r</w:t>
      </w:r>
      <w:r>
        <w:rPr>
          <w:color w:val="000000"/>
          <w:spacing w:val="1"/>
        </w:rPr>
        <w:t>c</w:t>
      </w:r>
      <w:r>
        <w:rPr>
          <w:color w:val="000000"/>
          <w:spacing w:val="-1"/>
        </w:rPr>
        <w:t>e</w:t>
      </w:r>
      <w:r>
        <w:rPr>
          <w:color w:val="000000"/>
        </w:rPr>
        <w:t>s n</w:t>
      </w:r>
      <w:r>
        <w:rPr>
          <w:color w:val="000000"/>
          <w:spacing w:val="1"/>
        </w:rPr>
        <w:t>e</w:t>
      </w:r>
      <w:r>
        <w:rPr>
          <w:color w:val="000000"/>
          <w:spacing w:val="-1"/>
        </w:rPr>
        <w:t>e</w:t>
      </w:r>
      <w:r>
        <w:rPr>
          <w:color w:val="000000"/>
        </w:rPr>
        <w:t>d to be</w:t>
      </w:r>
      <w:r>
        <w:rPr>
          <w:color w:val="000000"/>
          <w:spacing w:val="1"/>
        </w:rPr>
        <w:t xml:space="preserve"> </w:t>
      </w:r>
      <w:r>
        <w:rPr>
          <w:color w:val="000000"/>
        </w:rPr>
        <w:t>d</w:t>
      </w:r>
      <w:r>
        <w:rPr>
          <w:color w:val="000000"/>
          <w:spacing w:val="-1"/>
        </w:rPr>
        <w:t>e</w:t>
      </w:r>
      <w:r>
        <w:rPr>
          <w:color w:val="000000"/>
        </w:rPr>
        <w:t>di</w:t>
      </w:r>
      <w:r>
        <w:rPr>
          <w:color w:val="000000"/>
          <w:spacing w:val="-1"/>
        </w:rPr>
        <w:t>ca</w:t>
      </w:r>
      <w:r>
        <w:rPr>
          <w:color w:val="000000"/>
        </w:rPr>
        <w:t>t</w:t>
      </w:r>
      <w:r>
        <w:rPr>
          <w:color w:val="000000"/>
          <w:spacing w:val="-1"/>
        </w:rPr>
        <w:t>e</w:t>
      </w:r>
      <w:r>
        <w:rPr>
          <w:color w:val="000000"/>
        </w:rPr>
        <w:t xml:space="preserve">d to </w:t>
      </w:r>
      <w:r>
        <w:rPr>
          <w:color w:val="000000"/>
          <w:spacing w:val="-1"/>
        </w:rPr>
        <w:t>e</w:t>
      </w:r>
      <w:r>
        <w:rPr>
          <w:color w:val="000000"/>
          <w:spacing w:val="2"/>
        </w:rPr>
        <w:t>x</w:t>
      </w:r>
      <w:r>
        <w:rPr>
          <w:color w:val="000000"/>
        </w:rPr>
        <w:t>p</w:t>
      </w:r>
      <w:r>
        <w:rPr>
          <w:color w:val="000000"/>
          <w:spacing w:val="-1"/>
        </w:rPr>
        <w:t>a</w:t>
      </w:r>
      <w:r>
        <w:rPr>
          <w:color w:val="000000"/>
        </w:rPr>
        <w:t xml:space="preserve">nd </w:t>
      </w:r>
      <w:r>
        <w:rPr>
          <w:color w:val="000000"/>
          <w:spacing w:val="-1"/>
        </w:rPr>
        <w:t>r</w:t>
      </w:r>
      <w:r>
        <w:rPr>
          <w:color w:val="000000"/>
          <w:spacing w:val="1"/>
        </w:rPr>
        <w:t>e</w:t>
      </w:r>
      <w:r>
        <w:rPr>
          <w:color w:val="000000"/>
          <w:spacing w:val="-2"/>
        </w:rPr>
        <w:t>g</w:t>
      </w:r>
      <w:r>
        <w:rPr>
          <w:color w:val="000000"/>
          <w:spacing w:val="3"/>
        </w:rPr>
        <w:t>i</w:t>
      </w:r>
      <w:r>
        <w:rPr>
          <w:color w:val="000000"/>
        </w:rPr>
        <w:t>on</w:t>
      </w:r>
      <w:r>
        <w:rPr>
          <w:color w:val="000000"/>
          <w:spacing w:val="-1"/>
        </w:rPr>
        <w:t>a</w:t>
      </w:r>
      <w:r>
        <w:rPr>
          <w:color w:val="000000"/>
        </w:rPr>
        <w:t xml:space="preserve">l </w:t>
      </w:r>
      <w:r>
        <w:rPr>
          <w:color w:val="000000"/>
          <w:spacing w:val="-1"/>
        </w:rPr>
        <w:t>c</w:t>
      </w:r>
      <w:r>
        <w:rPr>
          <w:color w:val="000000"/>
        </w:rPr>
        <w:t>oo</w:t>
      </w:r>
      <w:r>
        <w:rPr>
          <w:color w:val="000000"/>
          <w:spacing w:val="-1"/>
        </w:rPr>
        <w:t>r</w:t>
      </w:r>
      <w:r>
        <w:rPr>
          <w:color w:val="000000"/>
        </w:rPr>
        <w:t>din</w:t>
      </w:r>
      <w:r>
        <w:rPr>
          <w:color w:val="000000"/>
          <w:spacing w:val="-1"/>
        </w:rPr>
        <w:t>a</w:t>
      </w:r>
      <w:r>
        <w:rPr>
          <w:color w:val="000000"/>
        </w:rPr>
        <w:t>tion of</w:t>
      </w:r>
      <w:r>
        <w:rPr>
          <w:color w:val="000000"/>
          <w:spacing w:val="-1"/>
        </w:rPr>
        <w:t xml:space="preserve"> </w:t>
      </w:r>
      <w:r>
        <w:rPr>
          <w:color w:val="000000"/>
        </w:rPr>
        <w:t>mod</w:t>
      </w:r>
      <w:r>
        <w:rPr>
          <w:color w:val="000000"/>
          <w:spacing w:val="-1"/>
        </w:rPr>
        <w:t>e</w:t>
      </w:r>
      <w:r>
        <w:rPr>
          <w:color w:val="000000"/>
        </w:rPr>
        <w:t>li</w:t>
      </w:r>
      <w:r>
        <w:rPr>
          <w:color w:val="000000"/>
          <w:spacing w:val="2"/>
        </w:rPr>
        <w:t>n</w:t>
      </w:r>
      <w:r>
        <w:rPr>
          <w:color w:val="000000"/>
        </w:rPr>
        <w:t>g, m</w:t>
      </w:r>
      <w:r>
        <w:rPr>
          <w:color w:val="000000"/>
          <w:spacing w:val="-1"/>
        </w:rPr>
        <w:t>a</w:t>
      </w:r>
      <w:r>
        <w:rPr>
          <w:color w:val="000000"/>
        </w:rPr>
        <w:t>ppin</w:t>
      </w:r>
      <w:r>
        <w:rPr>
          <w:color w:val="000000"/>
          <w:spacing w:val="-2"/>
        </w:rPr>
        <w:t>g</w:t>
      </w:r>
      <w:r>
        <w:rPr>
          <w:color w:val="000000"/>
        </w:rPr>
        <w:t xml:space="preserve">, </w:t>
      </w:r>
      <w:r>
        <w:rPr>
          <w:color w:val="000000"/>
          <w:spacing w:val="-1"/>
        </w:rPr>
        <w:t>c</w:t>
      </w:r>
      <w:r>
        <w:rPr>
          <w:color w:val="000000"/>
          <w:spacing w:val="2"/>
        </w:rPr>
        <w:t>h</w:t>
      </w:r>
      <w:r>
        <w:rPr>
          <w:color w:val="000000"/>
          <w:spacing w:val="-1"/>
        </w:rPr>
        <w:t>ar</w:t>
      </w:r>
      <w:r>
        <w:rPr>
          <w:color w:val="000000"/>
          <w:spacing w:val="1"/>
        </w:rPr>
        <w:t>a</w:t>
      </w:r>
      <w:r>
        <w:rPr>
          <w:color w:val="000000"/>
          <w:spacing w:val="-1"/>
        </w:rPr>
        <w:t>c</w:t>
      </w:r>
      <w:r>
        <w:rPr>
          <w:color w:val="000000"/>
        </w:rPr>
        <w:t>t</w:t>
      </w:r>
      <w:r>
        <w:rPr>
          <w:color w:val="000000"/>
          <w:spacing w:val="-1"/>
        </w:rPr>
        <w:t>er</w:t>
      </w:r>
      <w:r>
        <w:rPr>
          <w:color w:val="000000"/>
        </w:rPr>
        <w:t>i</w:t>
      </w:r>
      <w:r>
        <w:rPr>
          <w:color w:val="000000"/>
          <w:spacing w:val="1"/>
        </w:rPr>
        <w:t>z</w:t>
      </w:r>
      <w:r>
        <w:rPr>
          <w:color w:val="000000"/>
          <w:spacing w:val="-1"/>
        </w:rPr>
        <w:t>a</w:t>
      </w:r>
      <w:r>
        <w:rPr>
          <w:color w:val="000000"/>
        </w:rPr>
        <w:t>tion of</w:t>
      </w:r>
      <w:r>
        <w:rPr>
          <w:color w:val="000000"/>
          <w:spacing w:val="-1"/>
        </w:rPr>
        <w:t xml:space="preserve"> </w:t>
      </w:r>
      <w:r>
        <w:rPr>
          <w:color w:val="000000"/>
        </w:rPr>
        <w:t>sp</w:t>
      </w:r>
      <w:r>
        <w:rPr>
          <w:color w:val="000000"/>
          <w:spacing w:val="-1"/>
        </w:rPr>
        <w:t>ec</w:t>
      </w:r>
      <w:r>
        <w:rPr>
          <w:color w:val="000000"/>
        </w:rPr>
        <w:t>i</w:t>
      </w:r>
      <w:r>
        <w:rPr>
          <w:color w:val="000000"/>
          <w:spacing w:val="-1"/>
        </w:rPr>
        <w:t>e</w:t>
      </w:r>
      <w:r>
        <w:rPr>
          <w:color w:val="000000"/>
        </w:rPr>
        <w:t>s use</w:t>
      </w:r>
      <w:r>
        <w:rPr>
          <w:color w:val="000000"/>
          <w:spacing w:val="-1"/>
        </w:rPr>
        <w:t xml:space="preserve"> </w:t>
      </w:r>
      <w:r>
        <w:rPr>
          <w:color w:val="000000"/>
          <w:spacing w:val="2"/>
        </w:rPr>
        <w:t>o</w:t>
      </w:r>
      <w:r>
        <w:rPr>
          <w:color w:val="000000"/>
        </w:rPr>
        <w:t>f</w:t>
      </w:r>
      <w:r>
        <w:rPr>
          <w:color w:val="000000"/>
          <w:spacing w:val="-1"/>
        </w:rPr>
        <w:t xml:space="preserve"> </w:t>
      </w:r>
      <w:r>
        <w:rPr>
          <w:color w:val="000000"/>
        </w:rPr>
        <w:t>h</w:t>
      </w:r>
      <w:r>
        <w:rPr>
          <w:color w:val="000000"/>
          <w:spacing w:val="-1"/>
        </w:rPr>
        <w:t>a</w:t>
      </w:r>
      <w:r>
        <w:rPr>
          <w:color w:val="000000"/>
        </w:rPr>
        <w:t>bi</w:t>
      </w:r>
      <w:r>
        <w:rPr>
          <w:color w:val="000000"/>
          <w:spacing w:val="3"/>
        </w:rPr>
        <w:t>t</w:t>
      </w:r>
      <w:r>
        <w:rPr>
          <w:color w:val="000000"/>
          <w:spacing w:val="-1"/>
        </w:rPr>
        <w:t>a</w:t>
      </w:r>
      <w:r>
        <w:rPr>
          <w:color w:val="000000"/>
        </w:rPr>
        <w:t xml:space="preserve">ts, </w:t>
      </w:r>
      <w:r>
        <w:rPr>
          <w:color w:val="000000"/>
          <w:spacing w:val="-1"/>
        </w:rPr>
        <w:t>a</w:t>
      </w:r>
      <w:r>
        <w:rPr>
          <w:color w:val="000000"/>
        </w:rPr>
        <w:t xml:space="preserve">nd </w:t>
      </w:r>
      <w:r>
        <w:rPr>
          <w:color w:val="000000"/>
          <w:spacing w:val="-1"/>
        </w:rPr>
        <w:t>f</w:t>
      </w:r>
      <w:r>
        <w:rPr>
          <w:color w:val="000000"/>
        </w:rPr>
        <w:t xml:space="preserve">ull </w:t>
      </w:r>
      <w:r>
        <w:rPr>
          <w:color w:val="000000"/>
          <w:spacing w:val="-1"/>
        </w:rPr>
        <w:t>f</w:t>
      </w:r>
      <w:r>
        <w:rPr>
          <w:color w:val="000000"/>
        </w:rPr>
        <w:t>unding</w:t>
      </w:r>
      <w:r>
        <w:rPr>
          <w:color w:val="000000"/>
          <w:spacing w:val="-2"/>
        </w:rPr>
        <w:t xml:space="preserve"> </w:t>
      </w:r>
      <w:r>
        <w:rPr>
          <w:color w:val="000000"/>
          <w:spacing w:val="2"/>
        </w:rPr>
        <w:t>o</w:t>
      </w:r>
      <w:r>
        <w:rPr>
          <w:color w:val="000000"/>
        </w:rPr>
        <w:t xml:space="preserve">f </w:t>
      </w:r>
      <w:r>
        <w:rPr>
          <w:color w:val="000000"/>
          <w:spacing w:val="-1"/>
        </w:rPr>
        <w:t>r</w:t>
      </w:r>
      <w:r>
        <w:rPr>
          <w:color w:val="000000"/>
          <w:spacing w:val="1"/>
        </w:rPr>
        <w:t>e</w:t>
      </w:r>
      <w:r>
        <w:rPr>
          <w:color w:val="000000"/>
          <w:spacing w:val="-2"/>
        </w:rPr>
        <w:t>g</w:t>
      </w:r>
      <w:r>
        <w:rPr>
          <w:color w:val="000000"/>
        </w:rPr>
        <w:t>ion</w:t>
      </w:r>
      <w:r>
        <w:rPr>
          <w:color w:val="000000"/>
          <w:spacing w:val="-1"/>
        </w:rPr>
        <w:t>a</w:t>
      </w:r>
      <w:r>
        <w:rPr>
          <w:color w:val="000000"/>
        </w:rPr>
        <w:t xml:space="preserve">l </w:t>
      </w:r>
      <w:r>
        <w:rPr>
          <w:color w:val="000000"/>
          <w:spacing w:val="-1"/>
        </w:rPr>
        <w:t>f</w:t>
      </w:r>
      <w:r>
        <w:rPr>
          <w:color w:val="000000"/>
        </w:rPr>
        <w:t>ish</w:t>
      </w:r>
      <w:r>
        <w:rPr>
          <w:color w:val="000000"/>
          <w:spacing w:val="-1"/>
        </w:rPr>
        <w:t>e</w:t>
      </w:r>
      <w:r>
        <w:rPr>
          <w:color w:val="000000"/>
          <w:spacing w:val="4"/>
        </w:rPr>
        <w:t>r</w:t>
      </w:r>
      <w:r>
        <w:rPr>
          <w:color w:val="000000"/>
        </w:rPr>
        <w:t>y</w:t>
      </w:r>
      <w:r>
        <w:rPr>
          <w:color w:val="000000"/>
          <w:spacing w:val="-5"/>
        </w:rPr>
        <w:t xml:space="preserve"> </w:t>
      </w:r>
      <w:r>
        <w:rPr>
          <w:color w:val="000000"/>
        </w:rPr>
        <w:t>in</w:t>
      </w:r>
      <w:r>
        <w:rPr>
          <w:color w:val="000000"/>
          <w:spacing w:val="2"/>
        </w:rPr>
        <w:t>d</w:t>
      </w:r>
      <w:r>
        <w:rPr>
          <w:color w:val="000000"/>
          <w:spacing w:val="-1"/>
        </w:rPr>
        <w:t>e</w:t>
      </w:r>
      <w:r>
        <w:rPr>
          <w:color w:val="000000"/>
        </w:rPr>
        <w:t>p</w:t>
      </w:r>
      <w:r>
        <w:rPr>
          <w:color w:val="000000"/>
          <w:spacing w:val="-1"/>
        </w:rPr>
        <w:t>e</w:t>
      </w:r>
      <w:r>
        <w:rPr>
          <w:color w:val="000000"/>
        </w:rPr>
        <w:t>n</w:t>
      </w:r>
      <w:r>
        <w:rPr>
          <w:color w:val="000000"/>
          <w:spacing w:val="2"/>
        </w:rPr>
        <w:t>d</w:t>
      </w:r>
      <w:r>
        <w:rPr>
          <w:color w:val="000000"/>
          <w:spacing w:val="-1"/>
        </w:rPr>
        <w:t>e</w:t>
      </w:r>
      <w:r>
        <w:rPr>
          <w:color w:val="000000"/>
        </w:rPr>
        <w:t>nt su</w:t>
      </w:r>
      <w:r>
        <w:rPr>
          <w:color w:val="000000"/>
          <w:spacing w:val="-1"/>
        </w:rPr>
        <w:t>r</w:t>
      </w:r>
      <w:r>
        <w:rPr>
          <w:color w:val="000000"/>
        </w:rPr>
        <w:t>v</w:t>
      </w:r>
      <w:r>
        <w:rPr>
          <w:color w:val="000000"/>
          <w:spacing w:val="4"/>
        </w:rPr>
        <w:t>e</w:t>
      </w:r>
      <w:r>
        <w:rPr>
          <w:color w:val="000000"/>
          <w:spacing w:val="-5"/>
        </w:rPr>
        <w:t>y</w:t>
      </w:r>
      <w:r>
        <w:rPr>
          <w:color w:val="000000"/>
        </w:rPr>
        <w:t xml:space="preserve">s </w:t>
      </w:r>
      <w:r>
        <w:rPr>
          <w:color w:val="000000"/>
          <w:spacing w:val="-1"/>
        </w:rPr>
        <w:t>(e</w:t>
      </w:r>
      <w:r>
        <w:rPr>
          <w:color w:val="000000"/>
          <w:spacing w:val="2"/>
        </w:rPr>
        <w:t>.</w:t>
      </w:r>
      <w:r>
        <w:rPr>
          <w:color w:val="000000"/>
          <w:spacing w:val="-2"/>
        </w:rPr>
        <w:t>g</w:t>
      </w:r>
      <w:r>
        <w:rPr>
          <w:color w:val="000000"/>
        </w:rPr>
        <w:t xml:space="preserve">., </w:t>
      </w:r>
      <w:r>
        <w:rPr>
          <w:color w:val="000000"/>
          <w:spacing w:val="3"/>
        </w:rPr>
        <w:t>M</w:t>
      </w:r>
      <w:r>
        <w:rPr>
          <w:color w:val="000000"/>
        </w:rPr>
        <w:t>A</w:t>
      </w:r>
      <w:r>
        <w:rPr>
          <w:color w:val="000000"/>
          <w:spacing w:val="1"/>
        </w:rPr>
        <w:t>R</w:t>
      </w:r>
      <w:r>
        <w:rPr>
          <w:color w:val="000000"/>
        </w:rPr>
        <w:t>MA</w:t>
      </w:r>
      <w:r>
        <w:rPr>
          <w:color w:val="000000"/>
          <w:spacing w:val="1"/>
        </w:rPr>
        <w:t>P</w:t>
      </w:r>
      <w:r>
        <w:rPr>
          <w:color w:val="000000"/>
        </w:rPr>
        <w:t xml:space="preserve">, </w:t>
      </w:r>
      <w:r>
        <w:rPr>
          <w:color w:val="000000"/>
          <w:spacing w:val="1"/>
        </w:rPr>
        <w:t>S</w:t>
      </w:r>
      <w:r>
        <w:rPr>
          <w:color w:val="000000"/>
        </w:rPr>
        <w:t>EAMAP,</w:t>
      </w:r>
      <w:r>
        <w:rPr>
          <w:color w:val="000000"/>
          <w:spacing w:val="1"/>
        </w:rPr>
        <w:t xml:space="preserve"> </w:t>
      </w:r>
      <w:r>
        <w:rPr>
          <w:color w:val="000000"/>
          <w:spacing w:val="-1"/>
        </w:rPr>
        <w:t>a</w:t>
      </w:r>
      <w:r>
        <w:rPr>
          <w:color w:val="000000"/>
        </w:rPr>
        <w:t xml:space="preserve">nd </w:t>
      </w:r>
      <w:r>
        <w:rPr>
          <w:color w:val="000000"/>
          <w:spacing w:val="1"/>
        </w:rPr>
        <w:t>S</w:t>
      </w:r>
      <w:r>
        <w:rPr>
          <w:color w:val="000000"/>
        </w:rPr>
        <w:t>E</w:t>
      </w:r>
      <w:r>
        <w:rPr>
          <w:color w:val="000000"/>
          <w:spacing w:val="1"/>
        </w:rPr>
        <w:t>F</w:t>
      </w:r>
      <w:r>
        <w:rPr>
          <w:color w:val="000000"/>
          <w:spacing w:val="-1"/>
        </w:rPr>
        <w:t>I</w:t>
      </w:r>
      <w:r>
        <w:rPr>
          <w:color w:val="000000"/>
          <w:spacing w:val="1"/>
        </w:rPr>
        <w:t>S</w:t>
      </w:r>
      <w:r>
        <w:rPr>
          <w:color w:val="000000"/>
        </w:rPr>
        <w:t>)</w:t>
      </w:r>
      <w:r>
        <w:rPr>
          <w:color w:val="000000"/>
          <w:spacing w:val="-1"/>
        </w:rPr>
        <w:t xml:space="preserve"> </w:t>
      </w:r>
      <w:r>
        <w:rPr>
          <w:color w:val="000000"/>
        </w:rPr>
        <w:t>whi</w:t>
      </w:r>
      <w:r>
        <w:rPr>
          <w:color w:val="000000"/>
          <w:spacing w:val="-1"/>
        </w:rPr>
        <w:t>c</w:t>
      </w:r>
      <w:r>
        <w:rPr>
          <w:color w:val="000000"/>
        </w:rPr>
        <w:t xml:space="preserve">h </w:t>
      </w:r>
      <w:r>
        <w:rPr>
          <w:color w:val="000000"/>
          <w:spacing w:val="-1"/>
        </w:rPr>
        <w:t>ar</w:t>
      </w:r>
      <w:r>
        <w:rPr>
          <w:color w:val="000000"/>
        </w:rPr>
        <w:t>e</w:t>
      </w:r>
      <w:r>
        <w:rPr>
          <w:color w:val="000000"/>
          <w:spacing w:val="-1"/>
        </w:rPr>
        <w:t xml:space="preserve"> </w:t>
      </w:r>
      <w:r>
        <w:rPr>
          <w:color w:val="000000"/>
        </w:rPr>
        <w:t>linki</w:t>
      </w:r>
      <w:r>
        <w:rPr>
          <w:color w:val="000000"/>
          <w:spacing w:val="2"/>
        </w:rPr>
        <w:t>n</w:t>
      </w:r>
      <w:r>
        <w:rPr>
          <w:color w:val="000000"/>
        </w:rPr>
        <w:t>g</w:t>
      </w:r>
      <w:r>
        <w:rPr>
          <w:color w:val="000000"/>
          <w:spacing w:val="-2"/>
        </w:rPr>
        <w:t xml:space="preserve"> </w:t>
      </w:r>
      <w:r>
        <w:rPr>
          <w:color w:val="000000"/>
        </w:rPr>
        <w:t>di</w:t>
      </w:r>
      <w:r>
        <w:rPr>
          <w:color w:val="000000"/>
          <w:spacing w:val="-1"/>
        </w:rPr>
        <w:t>r</w:t>
      </w:r>
      <w:r>
        <w:rPr>
          <w:color w:val="000000"/>
          <w:spacing w:val="1"/>
        </w:rPr>
        <w:t>e</w:t>
      </w:r>
      <w:r>
        <w:rPr>
          <w:color w:val="000000"/>
          <w:spacing w:val="-1"/>
        </w:rPr>
        <w:t>c</w:t>
      </w:r>
      <w:r>
        <w:rPr>
          <w:color w:val="000000"/>
        </w:rPr>
        <w:t>t</w:t>
      </w:r>
      <w:r>
        <w:rPr>
          <w:color w:val="000000"/>
          <w:spacing w:val="3"/>
        </w:rPr>
        <w:t>l</w:t>
      </w:r>
      <w:r>
        <w:rPr>
          <w:color w:val="000000"/>
        </w:rPr>
        <w:t xml:space="preserve">y to </w:t>
      </w:r>
      <w:r>
        <w:rPr>
          <w:color w:val="000000"/>
          <w:spacing w:val="-1"/>
        </w:rPr>
        <w:t>a</w:t>
      </w:r>
      <w:r>
        <w:rPr>
          <w:color w:val="000000"/>
        </w:rPr>
        <w:t>dd</w:t>
      </w:r>
      <w:r>
        <w:rPr>
          <w:color w:val="000000"/>
          <w:spacing w:val="-1"/>
        </w:rPr>
        <w:t>re</w:t>
      </w:r>
      <w:r>
        <w:rPr>
          <w:color w:val="000000"/>
        </w:rPr>
        <w:t>ssi</w:t>
      </w:r>
      <w:r>
        <w:rPr>
          <w:color w:val="000000"/>
          <w:spacing w:val="2"/>
        </w:rPr>
        <w:t>n</w:t>
      </w:r>
      <w:r>
        <w:rPr>
          <w:color w:val="000000"/>
        </w:rPr>
        <w:t>g</w:t>
      </w:r>
      <w:r>
        <w:rPr>
          <w:color w:val="000000"/>
          <w:spacing w:val="-2"/>
        </w:rPr>
        <w:t xml:space="preserve"> </w:t>
      </w:r>
      <w:r>
        <w:rPr>
          <w:color w:val="000000"/>
        </w:rPr>
        <w:t>hi</w:t>
      </w:r>
      <w:r>
        <w:rPr>
          <w:color w:val="000000"/>
          <w:spacing w:val="-2"/>
        </w:rPr>
        <w:t>g</w:t>
      </w:r>
      <w:r>
        <w:rPr>
          <w:color w:val="000000"/>
        </w:rPr>
        <w:t xml:space="preserve">h </w:t>
      </w:r>
      <w:r>
        <w:rPr>
          <w:color w:val="000000"/>
          <w:spacing w:val="2"/>
        </w:rPr>
        <w:t>p</w:t>
      </w:r>
      <w:r>
        <w:rPr>
          <w:color w:val="000000"/>
          <w:spacing w:val="-1"/>
        </w:rPr>
        <w:t>r</w:t>
      </w:r>
      <w:r>
        <w:rPr>
          <w:color w:val="000000"/>
        </w:rPr>
        <w:t>io</w:t>
      </w:r>
      <w:r>
        <w:rPr>
          <w:color w:val="000000"/>
          <w:spacing w:val="-1"/>
        </w:rPr>
        <w:t>r</w:t>
      </w:r>
      <w:r>
        <w:rPr>
          <w:color w:val="000000"/>
        </w:rPr>
        <w:t>ity</w:t>
      </w:r>
      <w:r>
        <w:rPr>
          <w:color w:val="000000"/>
          <w:spacing w:val="-2"/>
        </w:rPr>
        <w:t xml:space="preserve"> </w:t>
      </w:r>
      <w:r>
        <w:rPr>
          <w:color w:val="000000"/>
        </w:rPr>
        <w:t>m</w:t>
      </w:r>
      <w:r>
        <w:rPr>
          <w:color w:val="000000"/>
          <w:spacing w:val="-1"/>
        </w:rPr>
        <w:t>a</w:t>
      </w:r>
      <w:r>
        <w:rPr>
          <w:color w:val="000000"/>
          <w:spacing w:val="2"/>
        </w:rPr>
        <w:t>n</w:t>
      </w:r>
      <w:r>
        <w:rPr>
          <w:color w:val="000000"/>
          <w:spacing w:val="1"/>
        </w:rPr>
        <w:t>a</w:t>
      </w:r>
      <w:r>
        <w:rPr>
          <w:color w:val="000000"/>
          <w:spacing w:val="-2"/>
        </w:rPr>
        <w:t>g</w:t>
      </w:r>
      <w:r>
        <w:rPr>
          <w:color w:val="000000"/>
          <w:spacing w:val="-1"/>
        </w:rPr>
        <w:t>e</w:t>
      </w:r>
      <w:r>
        <w:rPr>
          <w:color w:val="000000"/>
        </w:rPr>
        <w:t>m</w:t>
      </w:r>
      <w:r>
        <w:rPr>
          <w:color w:val="000000"/>
          <w:spacing w:val="-1"/>
        </w:rPr>
        <w:t>e</w:t>
      </w:r>
      <w:r>
        <w:rPr>
          <w:color w:val="000000"/>
        </w:rPr>
        <w:t>nt n</w:t>
      </w:r>
      <w:r>
        <w:rPr>
          <w:color w:val="000000"/>
          <w:spacing w:val="1"/>
        </w:rPr>
        <w:t>e</w:t>
      </w:r>
      <w:r>
        <w:rPr>
          <w:color w:val="000000"/>
          <w:spacing w:val="-1"/>
        </w:rPr>
        <w:t>e</w:t>
      </w:r>
      <w:r>
        <w:rPr>
          <w:color w:val="000000"/>
        </w:rPr>
        <w:t>ds. D</w:t>
      </w:r>
      <w:r>
        <w:rPr>
          <w:color w:val="000000"/>
          <w:spacing w:val="1"/>
        </w:rPr>
        <w:t>e</w:t>
      </w:r>
      <w:r>
        <w:rPr>
          <w:color w:val="000000"/>
        </w:rPr>
        <w:t>v</w:t>
      </w:r>
      <w:r>
        <w:rPr>
          <w:color w:val="000000"/>
          <w:spacing w:val="-1"/>
        </w:rPr>
        <w:t>e</w:t>
      </w:r>
      <w:r>
        <w:rPr>
          <w:color w:val="000000"/>
        </w:rPr>
        <w:t>lopm</w:t>
      </w:r>
      <w:r>
        <w:rPr>
          <w:color w:val="000000"/>
          <w:spacing w:val="-1"/>
        </w:rPr>
        <w:t>e</w:t>
      </w:r>
      <w:r>
        <w:rPr>
          <w:color w:val="000000"/>
        </w:rPr>
        <w:t>nt of</w:t>
      </w:r>
      <w:r>
        <w:rPr>
          <w:color w:val="000000"/>
          <w:spacing w:val="-1"/>
        </w:rPr>
        <w:t xml:space="preserve"> ec</w:t>
      </w:r>
      <w:r>
        <w:rPr>
          <w:color w:val="000000"/>
        </w:rPr>
        <w:t>o</w:t>
      </w:r>
      <w:r>
        <w:rPr>
          <w:color w:val="000000"/>
          <w:spacing w:val="5"/>
        </w:rPr>
        <w:t>s</w:t>
      </w:r>
      <w:r>
        <w:rPr>
          <w:color w:val="000000"/>
          <w:spacing w:val="-5"/>
        </w:rPr>
        <w:t>y</w:t>
      </w:r>
      <w:r>
        <w:rPr>
          <w:color w:val="000000"/>
        </w:rPr>
        <w:t>st</w:t>
      </w:r>
      <w:r>
        <w:rPr>
          <w:color w:val="000000"/>
          <w:spacing w:val="-1"/>
        </w:rPr>
        <w:t>e</w:t>
      </w:r>
      <w:r>
        <w:rPr>
          <w:color w:val="000000"/>
        </w:rPr>
        <w:t>m</w:t>
      </w:r>
      <w:r>
        <w:rPr>
          <w:color w:val="000000"/>
          <w:spacing w:val="3"/>
        </w:rPr>
        <w:t xml:space="preserve"> </w:t>
      </w:r>
      <w:r>
        <w:rPr>
          <w:color w:val="000000"/>
        </w:rPr>
        <w:t>in</w:t>
      </w:r>
      <w:r>
        <w:rPr>
          <w:color w:val="000000"/>
          <w:spacing w:val="-1"/>
        </w:rPr>
        <w:t>f</w:t>
      </w:r>
      <w:r>
        <w:rPr>
          <w:color w:val="000000"/>
        </w:rPr>
        <w:t>o</w:t>
      </w:r>
      <w:r>
        <w:rPr>
          <w:color w:val="000000"/>
          <w:spacing w:val="-1"/>
        </w:rPr>
        <w:t>r</w:t>
      </w:r>
      <w:r>
        <w:rPr>
          <w:color w:val="000000"/>
        </w:rPr>
        <w:t>m</w:t>
      </w:r>
      <w:r>
        <w:rPr>
          <w:color w:val="000000"/>
          <w:spacing w:val="-1"/>
        </w:rPr>
        <w:t>a</w:t>
      </w:r>
      <w:r>
        <w:rPr>
          <w:color w:val="000000"/>
        </w:rPr>
        <w:t xml:space="preserve">tion </w:t>
      </w:r>
      <w:r>
        <w:rPr>
          <w:color w:val="000000"/>
          <w:spacing w:val="3"/>
        </w:rPr>
        <w:t>s</w:t>
      </w:r>
      <w:r>
        <w:rPr>
          <w:color w:val="000000"/>
          <w:spacing w:val="-5"/>
        </w:rPr>
        <w:t>y</w:t>
      </w:r>
      <w:r>
        <w:rPr>
          <w:color w:val="000000"/>
        </w:rPr>
        <w:t>st</w:t>
      </w:r>
      <w:r>
        <w:rPr>
          <w:color w:val="000000"/>
          <w:spacing w:val="-1"/>
        </w:rPr>
        <w:t>e</w:t>
      </w:r>
      <w:r>
        <w:rPr>
          <w:color w:val="000000"/>
        </w:rPr>
        <w:t>ms to suppo</w:t>
      </w:r>
      <w:r>
        <w:rPr>
          <w:color w:val="000000"/>
          <w:spacing w:val="-1"/>
        </w:rPr>
        <w:t>r</w:t>
      </w:r>
      <w:r>
        <w:rPr>
          <w:color w:val="000000"/>
        </w:rPr>
        <w:t xml:space="preserve">t </w:t>
      </w:r>
      <w:r>
        <w:rPr>
          <w:color w:val="000000"/>
          <w:spacing w:val="1"/>
        </w:rPr>
        <w:t>C</w:t>
      </w:r>
      <w:r>
        <w:rPr>
          <w:color w:val="000000"/>
        </w:rPr>
        <w:t>oun</w:t>
      </w:r>
      <w:r>
        <w:rPr>
          <w:color w:val="000000"/>
          <w:spacing w:val="-1"/>
        </w:rPr>
        <w:t>c</w:t>
      </w:r>
      <w:r>
        <w:rPr>
          <w:color w:val="000000"/>
        </w:rPr>
        <w:t>il m</w:t>
      </w:r>
      <w:r>
        <w:rPr>
          <w:color w:val="000000"/>
          <w:spacing w:val="-1"/>
        </w:rPr>
        <w:t>a</w:t>
      </w:r>
      <w:r>
        <w:rPr>
          <w:color w:val="000000"/>
        </w:rPr>
        <w:t>n</w:t>
      </w:r>
      <w:r>
        <w:rPr>
          <w:color w:val="000000"/>
          <w:spacing w:val="-1"/>
        </w:rPr>
        <w:t>a</w:t>
      </w:r>
      <w:r>
        <w:rPr>
          <w:color w:val="000000"/>
        </w:rPr>
        <w:t>g</w:t>
      </w:r>
      <w:r>
        <w:rPr>
          <w:color w:val="000000"/>
          <w:spacing w:val="1"/>
        </w:rPr>
        <w:t>e</w:t>
      </w:r>
      <w:r>
        <w:rPr>
          <w:color w:val="000000"/>
        </w:rPr>
        <w:t>m</w:t>
      </w:r>
      <w:r>
        <w:rPr>
          <w:color w:val="000000"/>
          <w:spacing w:val="-1"/>
        </w:rPr>
        <w:t>e</w:t>
      </w:r>
      <w:r>
        <w:rPr>
          <w:color w:val="000000"/>
        </w:rPr>
        <w:t xml:space="preserve">nt should build on </w:t>
      </w:r>
      <w:r>
        <w:rPr>
          <w:color w:val="000000"/>
          <w:spacing w:val="-1"/>
        </w:rPr>
        <w:t>e</w:t>
      </w:r>
      <w:r>
        <w:rPr>
          <w:color w:val="000000"/>
        </w:rPr>
        <w:t>x</w:t>
      </w:r>
      <w:r>
        <w:rPr>
          <w:color w:val="000000"/>
          <w:spacing w:val="-2"/>
        </w:rPr>
        <w:t>i</w:t>
      </w:r>
      <w:r>
        <w:rPr>
          <w:color w:val="000000"/>
        </w:rPr>
        <w:t>sting</w:t>
      </w:r>
      <w:r>
        <w:rPr>
          <w:color w:val="000000"/>
          <w:spacing w:val="-2"/>
        </w:rPr>
        <w:t xml:space="preserve"> </w:t>
      </w:r>
      <w:r>
        <w:rPr>
          <w:color w:val="000000"/>
        </w:rPr>
        <w:t xml:space="preserve">tools </w:t>
      </w:r>
      <w:r>
        <w:rPr>
          <w:color w:val="000000"/>
          <w:spacing w:val="-1"/>
        </w:rPr>
        <w:t>(e</w:t>
      </w:r>
      <w:r>
        <w:rPr>
          <w:color w:val="000000"/>
          <w:spacing w:val="2"/>
        </w:rPr>
        <w:t>.</w:t>
      </w:r>
      <w:r>
        <w:rPr>
          <w:color w:val="000000"/>
          <w:spacing w:val="-2"/>
        </w:rPr>
        <w:t>g</w:t>
      </w:r>
      <w:r>
        <w:rPr>
          <w:color w:val="000000"/>
        </w:rPr>
        <w:t xml:space="preserve">., </w:t>
      </w:r>
      <w:r>
        <w:rPr>
          <w:color w:val="000000"/>
          <w:spacing w:val="1"/>
        </w:rPr>
        <w:t>Re</w:t>
      </w:r>
      <w:r>
        <w:rPr>
          <w:color w:val="000000"/>
          <w:spacing w:val="-2"/>
        </w:rPr>
        <w:t>g</w:t>
      </w:r>
      <w:r>
        <w:rPr>
          <w:color w:val="000000"/>
        </w:rPr>
        <w:t>ion</w:t>
      </w:r>
      <w:r>
        <w:rPr>
          <w:color w:val="000000"/>
          <w:spacing w:val="1"/>
        </w:rPr>
        <w:t>a</w:t>
      </w:r>
      <w:r>
        <w:rPr>
          <w:color w:val="000000"/>
        </w:rPr>
        <w:t>l H</w:t>
      </w:r>
      <w:r>
        <w:rPr>
          <w:color w:val="000000"/>
          <w:spacing w:val="-1"/>
        </w:rPr>
        <w:t>a</w:t>
      </w:r>
      <w:r>
        <w:rPr>
          <w:color w:val="000000"/>
        </w:rPr>
        <w:t>bit</w:t>
      </w:r>
      <w:r>
        <w:rPr>
          <w:color w:val="000000"/>
          <w:spacing w:val="-1"/>
        </w:rPr>
        <w:t>a</w:t>
      </w:r>
      <w:r>
        <w:rPr>
          <w:color w:val="000000"/>
        </w:rPr>
        <w:t xml:space="preserve">t </w:t>
      </w:r>
      <w:r>
        <w:rPr>
          <w:color w:val="000000"/>
          <w:spacing w:val="-1"/>
        </w:rPr>
        <w:t>a</w:t>
      </w:r>
      <w:r>
        <w:rPr>
          <w:color w:val="000000"/>
        </w:rPr>
        <w:t>nd E</w:t>
      </w:r>
      <w:r>
        <w:rPr>
          <w:color w:val="000000"/>
          <w:spacing w:val="-1"/>
        </w:rPr>
        <w:t>c</w:t>
      </w:r>
      <w:r>
        <w:rPr>
          <w:color w:val="000000"/>
        </w:rPr>
        <w:t>o</w:t>
      </w:r>
      <w:r>
        <w:rPr>
          <w:color w:val="000000"/>
          <w:spacing w:val="5"/>
        </w:rPr>
        <w:t>s</w:t>
      </w:r>
      <w:r>
        <w:rPr>
          <w:color w:val="000000"/>
          <w:spacing w:val="-5"/>
        </w:rPr>
        <w:t>y</w:t>
      </w:r>
      <w:r>
        <w:rPr>
          <w:color w:val="000000"/>
        </w:rPr>
        <w:t>st</w:t>
      </w:r>
      <w:r>
        <w:rPr>
          <w:color w:val="000000"/>
          <w:spacing w:val="-1"/>
        </w:rPr>
        <w:t>e</w:t>
      </w:r>
      <w:r>
        <w:rPr>
          <w:color w:val="000000"/>
        </w:rPr>
        <w:t>m</w:t>
      </w:r>
      <w:r>
        <w:rPr>
          <w:color w:val="000000"/>
          <w:spacing w:val="3"/>
        </w:rPr>
        <w:t xml:space="preserve"> </w:t>
      </w:r>
      <w:r>
        <w:rPr>
          <w:color w:val="000000"/>
          <w:spacing w:val="2"/>
        </w:rPr>
        <w:t>G</w:t>
      </w:r>
      <w:r>
        <w:rPr>
          <w:color w:val="000000"/>
          <w:spacing w:val="-6"/>
        </w:rPr>
        <w:t>I</w:t>
      </w:r>
      <w:r>
        <w:rPr>
          <w:color w:val="000000"/>
        </w:rPr>
        <w:t xml:space="preserve">S </w:t>
      </w:r>
      <w:r>
        <w:rPr>
          <w:color w:val="000000"/>
          <w:spacing w:val="-1"/>
        </w:rPr>
        <w:t>a</w:t>
      </w:r>
      <w:r>
        <w:rPr>
          <w:color w:val="000000"/>
        </w:rPr>
        <w:t>nd A</w:t>
      </w:r>
      <w:r>
        <w:rPr>
          <w:color w:val="000000"/>
          <w:spacing w:val="-1"/>
        </w:rPr>
        <w:t>r</w:t>
      </w:r>
      <w:r>
        <w:rPr>
          <w:color w:val="000000"/>
        </w:rPr>
        <w:t>c</w:t>
      </w:r>
      <w:r>
        <w:rPr>
          <w:color w:val="000000"/>
          <w:spacing w:val="-1"/>
        </w:rPr>
        <w:t xml:space="preserve"> </w:t>
      </w:r>
      <w:r>
        <w:rPr>
          <w:color w:val="000000"/>
          <w:spacing w:val="1"/>
        </w:rPr>
        <w:t>Se</w:t>
      </w:r>
      <w:r>
        <w:rPr>
          <w:color w:val="000000"/>
          <w:spacing w:val="-1"/>
        </w:rPr>
        <w:t>r</w:t>
      </w:r>
      <w:r>
        <w:rPr>
          <w:color w:val="000000"/>
        </w:rPr>
        <w:t>vi</w:t>
      </w:r>
      <w:r>
        <w:rPr>
          <w:color w:val="000000"/>
          <w:spacing w:val="-1"/>
        </w:rPr>
        <w:t>ce</w:t>
      </w:r>
      <w:r>
        <w:rPr>
          <w:color w:val="000000"/>
        </w:rPr>
        <w:t>s)</w:t>
      </w:r>
      <w:r>
        <w:rPr>
          <w:color w:val="000000"/>
          <w:spacing w:val="2"/>
        </w:rPr>
        <w:t xml:space="preserve"> </w:t>
      </w:r>
      <w:r>
        <w:rPr>
          <w:color w:val="000000"/>
          <w:spacing w:val="-1"/>
        </w:rPr>
        <w:t>a</w:t>
      </w:r>
      <w:r>
        <w:rPr>
          <w:color w:val="000000"/>
        </w:rPr>
        <w:t>nd p</w:t>
      </w:r>
      <w:r>
        <w:rPr>
          <w:color w:val="000000"/>
          <w:spacing w:val="2"/>
        </w:rPr>
        <w:t>r</w:t>
      </w:r>
      <w:r>
        <w:rPr>
          <w:color w:val="000000"/>
        </w:rPr>
        <w:t>ovide</w:t>
      </w:r>
      <w:r>
        <w:rPr>
          <w:color w:val="000000"/>
          <w:spacing w:val="-1"/>
        </w:rPr>
        <w:t xml:space="preserve"> re</w:t>
      </w:r>
      <w:r>
        <w:rPr>
          <w:color w:val="000000"/>
        </w:rPr>
        <w:t>sou</w:t>
      </w:r>
      <w:r>
        <w:rPr>
          <w:color w:val="000000"/>
          <w:spacing w:val="-1"/>
        </w:rPr>
        <w:t>r</w:t>
      </w:r>
      <w:r>
        <w:rPr>
          <w:color w:val="000000"/>
          <w:spacing w:val="1"/>
        </w:rPr>
        <w:t>c</w:t>
      </w:r>
      <w:r>
        <w:rPr>
          <w:color w:val="000000"/>
          <w:spacing w:val="-1"/>
        </w:rPr>
        <w:t>e</w:t>
      </w:r>
      <w:r>
        <w:rPr>
          <w:color w:val="000000"/>
        </w:rPr>
        <w:t xml:space="preserve">s to </w:t>
      </w:r>
      <w:r>
        <w:rPr>
          <w:color w:val="000000"/>
          <w:spacing w:val="-1"/>
        </w:rPr>
        <w:t>r</w:t>
      </w:r>
      <w:r>
        <w:rPr>
          <w:color w:val="000000"/>
          <w:spacing w:val="1"/>
        </w:rPr>
        <w:t>e</w:t>
      </w:r>
      <w:r>
        <w:rPr>
          <w:color w:val="000000"/>
          <w:spacing w:val="-2"/>
        </w:rPr>
        <w:t>g</w:t>
      </w:r>
      <w:r>
        <w:rPr>
          <w:color w:val="000000"/>
        </w:rPr>
        <w:t>io</w:t>
      </w:r>
      <w:r>
        <w:rPr>
          <w:color w:val="000000"/>
          <w:spacing w:val="2"/>
        </w:rPr>
        <w:t>n</w:t>
      </w:r>
      <w:r>
        <w:rPr>
          <w:color w:val="000000"/>
          <w:spacing w:val="-1"/>
        </w:rPr>
        <w:t>a</w:t>
      </w:r>
      <w:r>
        <w:rPr>
          <w:color w:val="000000"/>
        </w:rPr>
        <w:t xml:space="preserve">l </w:t>
      </w:r>
      <w:r>
        <w:rPr>
          <w:color w:val="000000"/>
          <w:spacing w:val="-1"/>
        </w:rPr>
        <w:t>c</w:t>
      </w:r>
      <w:r>
        <w:rPr>
          <w:color w:val="000000"/>
        </w:rPr>
        <w:t>oop</w:t>
      </w:r>
      <w:r>
        <w:rPr>
          <w:color w:val="000000"/>
          <w:spacing w:val="-1"/>
        </w:rPr>
        <w:t>e</w:t>
      </w:r>
      <w:r>
        <w:rPr>
          <w:color w:val="000000"/>
          <w:spacing w:val="2"/>
        </w:rPr>
        <w:t>r</w:t>
      </w:r>
      <w:r>
        <w:rPr>
          <w:color w:val="000000"/>
          <w:spacing w:val="-1"/>
        </w:rPr>
        <w:t>a</w:t>
      </w:r>
      <w:r>
        <w:rPr>
          <w:color w:val="000000"/>
        </w:rPr>
        <w:t>ting</w:t>
      </w:r>
      <w:r>
        <w:rPr>
          <w:color w:val="000000"/>
          <w:spacing w:val="-2"/>
        </w:rPr>
        <w:t xml:space="preserve"> </w:t>
      </w:r>
      <w:r>
        <w:rPr>
          <w:color w:val="000000"/>
          <w:spacing w:val="2"/>
        </w:rPr>
        <w:t>p</w:t>
      </w:r>
      <w:r>
        <w:rPr>
          <w:color w:val="000000"/>
          <w:spacing w:val="-1"/>
        </w:rPr>
        <w:t>ar</w:t>
      </w:r>
      <w:r>
        <w:rPr>
          <w:color w:val="000000"/>
        </w:rPr>
        <w:t>tn</w:t>
      </w:r>
      <w:r>
        <w:rPr>
          <w:color w:val="000000"/>
          <w:spacing w:val="-1"/>
        </w:rPr>
        <w:t>er</w:t>
      </w:r>
      <w:r>
        <w:rPr>
          <w:color w:val="000000"/>
        </w:rPr>
        <w:t>s</w:t>
      </w:r>
      <w:r>
        <w:rPr>
          <w:color w:val="000000"/>
          <w:spacing w:val="3"/>
        </w:rPr>
        <w:t xml:space="preserve"> </w:t>
      </w:r>
      <w:r>
        <w:rPr>
          <w:color w:val="000000"/>
          <w:spacing w:val="2"/>
        </w:rPr>
        <w:t>f</w:t>
      </w:r>
      <w:r>
        <w:rPr>
          <w:color w:val="000000"/>
        </w:rPr>
        <w:t>or</w:t>
      </w:r>
      <w:r>
        <w:rPr>
          <w:color w:val="000000"/>
          <w:spacing w:val="-1"/>
        </w:rPr>
        <w:t xml:space="preserve"> e</w:t>
      </w:r>
      <w:r>
        <w:rPr>
          <w:color w:val="000000"/>
          <w:spacing w:val="2"/>
        </w:rPr>
        <w:t>x</w:t>
      </w:r>
      <w:r>
        <w:rPr>
          <w:color w:val="000000"/>
        </w:rPr>
        <w:t>p</w:t>
      </w:r>
      <w:r>
        <w:rPr>
          <w:color w:val="000000"/>
          <w:spacing w:val="-1"/>
        </w:rPr>
        <w:t>a</w:t>
      </w:r>
      <w:r>
        <w:rPr>
          <w:color w:val="000000"/>
        </w:rPr>
        <w:t xml:space="preserve">nsion to </w:t>
      </w:r>
      <w:r>
        <w:rPr>
          <w:color w:val="000000"/>
          <w:spacing w:val="-1"/>
        </w:rPr>
        <w:t>a</w:t>
      </w:r>
      <w:r>
        <w:rPr>
          <w:color w:val="000000"/>
        </w:rPr>
        <w:t>dd</w:t>
      </w:r>
      <w:r>
        <w:rPr>
          <w:color w:val="000000"/>
          <w:spacing w:val="-1"/>
        </w:rPr>
        <w:t>re</w:t>
      </w:r>
      <w:r>
        <w:rPr>
          <w:color w:val="000000"/>
        </w:rPr>
        <w:t>ss lon</w:t>
      </w:r>
      <w:r>
        <w:rPr>
          <w:color w:val="000000"/>
          <w:spacing w:val="-2"/>
        </w:rPr>
        <w:t>g</w:t>
      </w:r>
      <w:r>
        <w:rPr>
          <w:color w:val="000000"/>
        </w:rPr>
        <w:t>- t</w:t>
      </w:r>
      <w:r>
        <w:rPr>
          <w:color w:val="000000"/>
          <w:spacing w:val="-1"/>
        </w:rPr>
        <w:t>er</w:t>
      </w:r>
      <w:r>
        <w:rPr>
          <w:color w:val="000000"/>
        </w:rPr>
        <w:t xml:space="preserve">m </w:t>
      </w:r>
      <w:r>
        <w:rPr>
          <w:color w:val="000000"/>
          <w:spacing w:val="1"/>
        </w:rPr>
        <w:t>C</w:t>
      </w:r>
      <w:r>
        <w:rPr>
          <w:color w:val="000000"/>
        </w:rPr>
        <w:t>oun</w:t>
      </w:r>
      <w:r>
        <w:rPr>
          <w:color w:val="000000"/>
          <w:spacing w:val="-1"/>
        </w:rPr>
        <w:t>c</w:t>
      </w:r>
      <w:r>
        <w:rPr>
          <w:color w:val="000000"/>
        </w:rPr>
        <w:t>il n</w:t>
      </w:r>
      <w:r>
        <w:rPr>
          <w:color w:val="000000"/>
          <w:spacing w:val="-1"/>
        </w:rPr>
        <w:t>ee</w:t>
      </w:r>
      <w:r>
        <w:rPr>
          <w:color w:val="000000"/>
        </w:rPr>
        <w:t>ds.</w:t>
      </w:r>
    </w:p>
    <w:p w14:paraId="64A59EBA" w14:textId="77777777" w:rsidR="00DC4922" w:rsidRDefault="00DC4922" w:rsidP="00DC4922">
      <w:pPr>
        <w:rPr>
          <w:color w:val="000000"/>
          <w:sz w:val="26"/>
        </w:rPr>
      </w:pPr>
    </w:p>
    <w:p w14:paraId="40C74134" w14:textId="77777777" w:rsidR="00DC4922" w:rsidRDefault="00DC4922" w:rsidP="00640526">
      <w:pPr>
        <w:ind w:firstLine="360"/>
        <w:rPr>
          <w:color w:val="000000"/>
        </w:rPr>
      </w:pPr>
      <w:r>
        <w:rPr>
          <w:color w:val="000000"/>
        </w:rPr>
        <w:t>The</w:t>
      </w:r>
      <w:r>
        <w:rPr>
          <w:color w:val="000000"/>
          <w:spacing w:val="-1"/>
        </w:rPr>
        <w:t xml:space="preserve"> F</w:t>
      </w:r>
      <w:r>
        <w:rPr>
          <w:color w:val="000000"/>
        </w:rPr>
        <w:t>EP</w:t>
      </w:r>
      <w:r>
        <w:rPr>
          <w:color w:val="000000"/>
          <w:spacing w:val="1"/>
        </w:rPr>
        <w:t xml:space="preserve"> </w:t>
      </w:r>
      <w:r>
        <w:rPr>
          <w:color w:val="000000"/>
          <w:spacing w:val="-1"/>
        </w:rPr>
        <w:t>a</w:t>
      </w:r>
      <w:r>
        <w:rPr>
          <w:color w:val="000000"/>
        </w:rPr>
        <w:t xml:space="preserve">nd </w:t>
      </w:r>
      <w:r>
        <w:rPr>
          <w:color w:val="000000"/>
          <w:spacing w:val="1"/>
        </w:rPr>
        <w:t>C</w:t>
      </w:r>
      <w:r>
        <w:rPr>
          <w:color w:val="000000"/>
        </w:rPr>
        <w:t>E</w:t>
      </w:r>
      <w:r>
        <w:rPr>
          <w:color w:val="000000"/>
          <w:spacing w:val="2"/>
        </w:rPr>
        <w:t>-</w:t>
      </w:r>
      <w:r>
        <w:rPr>
          <w:color w:val="000000"/>
          <w:spacing w:val="-2"/>
        </w:rPr>
        <w:t>B</w:t>
      </w:r>
      <w:r>
        <w:rPr>
          <w:color w:val="000000"/>
        </w:rPr>
        <w:t>A 1</w:t>
      </w:r>
      <w:r>
        <w:rPr>
          <w:color w:val="000000"/>
          <w:spacing w:val="2"/>
        </w:rPr>
        <w:t xml:space="preserve"> </w:t>
      </w:r>
      <w:r>
        <w:rPr>
          <w:color w:val="000000"/>
          <w:spacing w:val="1"/>
        </w:rPr>
        <w:t>c</w:t>
      </w:r>
      <w:r>
        <w:rPr>
          <w:color w:val="000000"/>
        </w:rPr>
        <w:t>ompl</w:t>
      </w:r>
      <w:r>
        <w:rPr>
          <w:color w:val="000000"/>
          <w:spacing w:val="-1"/>
        </w:rPr>
        <w:t>e</w:t>
      </w:r>
      <w:r>
        <w:rPr>
          <w:color w:val="000000"/>
        </w:rPr>
        <w:t>m</w:t>
      </w:r>
      <w:r>
        <w:rPr>
          <w:color w:val="000000"/>
          <w:spacing w:val="-1"/>
        </w:rPr>
        <w:t>e</w:t>
      </w:r>
      <w:r>
        <w:rPr>
          <w:color w:val="000000"/>
        </w:rPr>
        <w:t xml:space="preserve">nt, but do not </w:t>
      </w:r>
      <w:r>
        <w:rPr>
          <w:color w:val="000000"/>
          <w:spacing w:val="-1"/>
        </w:rPr>
        <w:t>re</w:t>
      </w:r>
      <w:r>
        <w:rPr>
          <w:color w:val="000000"/>
        </w:rPr>
        <w:t>pl</w:t>
      </w:r>
      <w:r>
        <w:rPr>
          <w:color w:val="000000"/>
          <w:spacing w:val="-1"/>
        </w:rPr>
        <w:t>ace</w:t>
      </w:r>
      <w:r>
        <w:rPr>
          <w:color w:val="000000"/>
        </w:rPr>
        <w:t xml:space="preserve">, </w:t>
      </w:r>
      <w:r>
        <w:rPr>
          <w:color w:val="000000"/>
          <w:spacing w:val="-1"/>
        </w:rPr>
        <w:t>e</w:t>
      </w:r>
      <w:r>
        <w:rPr>
          <w:color w:val="000000"/>
          <w:spacing w:val="2"/>
        </w:rPr>
        <w:t>x</w:t>
      </w:r>
      <w:r>
        <w:rPr>
          <w:color w:val="000000"/>
        </w:rPr>
        <w:t>isting</w:t>
      </w:r>
      <w:r>
        <w:rPr>
          <w:color w:val="000000"/>
          <w:spacing w:val="-2"/>
        </w:rPr>
        <w:t xml:space="preserve"> </w:t>
      </w:r>
      <w:r>
        <w:rPr>
          <w:color w:val="000000"/>
          <w:spacing w:val="-1"/>
        </w:rPr>
        <w:t>F</w:t>
      </w:r>
      <w:r>
        <w:rPr>
          <w:color w:val="000000"/>
        </w:rPr>
        <w:t>M</w:t>
      </w:r>
      <w:r>
        <w:rPr>
          <w:color w:val="000000"/>
          <w:spacing w:val="1"/>
        </w:rPr>
        <w:t>P</w:t>
      </w:r>
      <w:r>
        <w:rPr>
          <w:color w:val="000000"/>
        </w:rPr>
        <w:t>s.</w:t>
      </w:r>
      <w:r>
        <w:rPr>
          <w:color w:val="000000"/>
          <w:spacing w:val="2"/>
        </w:rPr>
        <w:t xml:space="preserve"> </w:t>
      </w:r>
      <w:r>
        <w:rPr>
          <w:color w:val="000000"/>
          <w:spacing w:val="-3"/>
        </w:rPr>
        <w:t>I</w:t>
      </w:r>
      <w:r>
        <w:rPr>
          <w:color w:val="000000"/>
        </w:rPr>
        <w:t>n</w:t>
      </w:r>
      <w:r>
        <w:rPr>
          <w:color w:val="000000"/>
          <w:spacing w:val="2"/>
        </w:rPr>
        <w:t xml:space="preserve"> </w:t>
      </w:r>
      <w:r>
        <w:rPr>
          <w:color w:val="000000"/>
          <w:spacing w:val="-1"/>
        </w:rPr>
        <w:t>a</w:t>
      </w:r>
      <w:r>
        <w:rPr>
          <w:color w:val="000000"/>
        </w:rPr>
        <w:t>ddition, the</w:t>
      </w:r>
      <w:r>
        <w:rPr>
          <w:color w:val="000000"/>
          <w:spacing w:val="-1"/>
        </w:rPr>
        <w:t xml:space="preserve"> F</w:t>
      </w:r>
      <w:r>
        <w:rPr>
          <w:color w:val="000000"/>
        </w:rPr>
        <w:t>EP</w:t>
      </w:r>
      <w:r>
        <w:rPr>
          <w:color w:val="000000"/>
          <w:spacing w:val="1"/>
        </w:rPr>
        <w:t xml:space="preserve"> </w:t>
      </w:r>
      <w:r>
        <w:rPr>
          <w:color w:val="000000"/>
        </w:rPr>
        <w:t>s</w:t>
      </w:r>
      <w:r>
        <w:rPr>
          <w:color w:val="000000"/>
          <w:spacing w:val="-1"/>
        </w:rPr>
        <w:t>er</w:t>
      </w:r>
      <w:r>
        <w:rPr>
          <w:color w:val="000000"/>
        </w:rPr>
        <w:t>v</w:t>
      </w:r>
      <w:r>
        <w:rPr>
          <w:color w:val="000000"/>
          <w:spacing w:val="-1"/>
        </w:rPr>
        <w:t>e</w:t>
      </w:r>
      <w:r>
        <w:rPr>
          <w:color w:val="000000"/>
        </w:rPr>
        <w:t>s</w:t>
      </w:r>
      <w:r>
        <w:rPr>
          <w:color w:val="000000"/>
          <w:spacing w:val="3"/>
        </w:rPr>
        <w:t xml:space="preserve"> </w:t>
      </w:r>
      <w:r>
        <w:rPr>
          <w:color w:val="000000"/>
          <w:spacing w:val="-1"/>
        </w:rPr>
        <w:t>a</w:t>
      </w:r>
      <w:r>
        <w:rPr>
          <w:color w:val="000000"/>
        </w:rPr>
        <w:t>s a sou</w:t>
      </w:r>
      <w:r>
        <w:rPr>
          <w:color w:val="000000"/>
          <w:spacing w:val="-1"/>
        </w:rPr>
        <w:t>rc</w:t>
      </w:r>
      <w:r>
        <w:rPr>
          <w:color w:val="000000"/>
        </w:rPr>
        <w:t>e</w:t>
      </w:r>
      <w:r>
        <w:rPr>
          <w:color w:val="000000"/>
          <w:spacing w:val="-1"/>
        </w:rPr>
        <w:t xml:space="preserve"> </w:t>
      </w:r>
      <w:r>
        <w:rPr>
          <w:color w:val="000000"/>
        </w:rPr>
        <w:t>do</w:t>
      </w:r>
      <w:r>
        <w:rPr>
          <w:color w:val="000000"/>
          <w:spacing w:val="-1"/>
        </w:rPr>
        <w:t>c</w:t>
      </w:r>
      <w:r>
        <w:rPr>
          <w:color w:val="000000"/>
        </w:rPr>
        <w:t>u</w:t>
      </w:r>
      <w:r>
        <w:rPr>
          <w:color w:val="000000"/>
          <w:spacing w:val="3"/>
        </w:rPr>
        <w:t>m</w:t>
      </w:r>
      <w:r>
        <w:rPr>
          <w:color w:val="000000"/>
          <w:spacing w:val="-1"/>
        </w:rPr>
        <w:t>e</w:t>
      </w:r>
      <w:r>
        <w:rPr>
          <w:color w:val="000000"/>
        </w:rPr>
        <w:t>nt to the</w:t>
      </w:r>
      <w:r>
        <w:rPr>
          <w:color w:val="000000"/>
          <w:spacing w:val="-1"/>
        </w:rPr>
        <w:t xml:space="preserve"> </w:t>
      </w:r>
      <w:r>
        <w:rPr>
          <w:color w:val="000000"/>
          <w:spacing w:val="1"/>
        </w:rPr>
        <w:t>C</w:t>
      </w:r>
      <w:r>
        <w:rPr>
          <w:color w:val="000000"/>
        </w:rPr>
        <w:t>E</w:t>
      </w:r>
      <w:r>
        <w:rPr>
          <w:color w:val="000000"/>
          <w:spacing w:val="-1"/>
        </w:rPr>
        <w:t>-</w:t>
      </w:r>
      <w:r>
        <w:rPr>
          <w:color w:val="000000"/>
          <w:spacing w:val="-2"/>
        </w:rPr>
        <w:t>B</w:t>
      </w:r>
      <w:r>
        <w:rPr>
          <w:color w:val="000000"/>
        </w:rPr>
        <w:t xml:space="preserve">As. </w:t>
      </w:r>
      <w:r>
        <w:rPr>
          <w:color w:val="000000"/>
          <w:spacing w:val="2"/>
        </w:rPr>
        <w:t>N</w:t>
      </w:r>
      <w:r>
        <w:rPr>
          <w:color w:val="000000"/>
        </w:rPr>
        <w:t>OAA should s</w:t>
      </w:r>
      <w:r>
        <w:rPr>
          <w:color w:val="000000"/>
          <w:spacing w:val="2"/>
        </w:rPr>
        <w:t>u</w:t>
      </w:r>
      <w:r>
        <w:rPr>
          <w:color w:val="000000"/>
        </w:rPr>
        <w:t>ppo</w:t>
      </w:r>
      <w:r>
        <w:rPr>
          <w:color w:val="000000"/>
          <w:spacing w:val="-1"/>
        </w:rPr>
        <w:t>r</w:t>
      </w:r>
      <w:r>
        <w:rPr>
          <w:color w:val="000000"/>
        </w:rPr>
        <w:t xml:space="preserve">t </w:t>
      </w:r>
      <w:r>
        <w:rPr>
          <w:color w:val="000000"/>
          <w:spacing w:val="-1"/>
        </w:rPr>
        <w:t>a</w:t>
      </w:r>
      <w:r>
        <w:rPr>
          <w:color w:val="000000"/>
        </w:rPr>
        <w:t xml:space="preserve">nd build on the </w:t>
      </w:r>
      <w:r>
        <w:rPr>
          <w:color w:val="000000"/>
          <w:spacing w:val="-1"/>
        </w:rPr>
        <w:t>r</w:t>
      </w:r>
      <w:r>
        <w:rPr>
          <w:color w:val="000000"/>
          <w:spacing w:val="1"/>
        </w:rPr>
        <w:t>e</w:t>
      </w:r>
      <w:r>
        <w:rPr>
          <w:color w:val="000000"/>
          <w:spacing w:val="-2"/>
        </w:rPr>
        <w:t>g</w:t>
      </w:r>
      <w:r>
        <w:rPr>
          <w:color w:val="000000"/>
        </w:rPr>
        <w:t>io</w:t>
      </w:r>
      <w:r>
        <w:rPr>
          <w:color w:val="000000"/>
          <w:spacing w:val="2"/>
        </w:rPr>
        <w:t>n</w:t>
      </w:r>
      <w:r>
        <w:rPr>
          <w:color w:val="000000"/>
          <w:spacing w:val="-1"/>
        </w:rPr>
        <w:t>a</w:t>
      </w:r>
      <w:r>
        <w:rPr>
          <w:color w:val="000000"/>
        </w:rPr>
        <w:t xml:space="preserve">l </w:t>
      </w:r>
      <w:r>
        <w:rPr>
          <w:color w:val="000000"/>
          <w:spacing w:val="-1"/>
        </w:rPr>
        <w:t>c</w:t>
      </w:r>
      <w:r>
        <w:rPr>
          <w:color w:val="000000"/>
        </w:rPr>
        <w:t>oo</w:t>
      </w:r>
      <w:r>
        <w:rPr>
          <w:color w:val="000000"/>
          <w:spacing w:val="-1"/>
        </w:rPr>
        <w:t>r</w:t>
      </w:r>
      <w:r>
        <w:rPr>
          <w:color w:val="000000"/>
        </w:rPr>
        <w:t>din</w:t>
      </w:r>
      <w:r>
        <w:rPr>
          <w:color w:val="000000"/>
          <w:spacing w:val="-1"/>
        </w:rPr>
        <w:t>a</w:t>
      </w:r>
      <w:r>
        <w:rPr>
          <w:color w:val="000000"/>
        </w:rPr>
        <w:t xml:space="preserve">tion </w:t>
      </w:r>
      <w:r>
        <w:rPr>
          <w:color w:val="000000"/>
          <w:spacing w:val="-1"/>
        </w:rPr>
        <w:t>e</w:t>
      </w:r>
      <w:r>
        <w:rPr>
          <w:color w:val="000000"/>
          <w:spacing w:val="2"/>
        </w:rPr>
        <w:t>f</w:t>
      </w:r>
      <w:r>
        <w:rPr>
          <w:color w:val="000000"/>
          <w:spacing w:val="-1"/>
        </w:rPr>
        <w:t>f</w:t>
      </w:r>
      <w:r>
        <w:rPr>
          <w:color w:val="000000"/>
        </w:rPr>
        <w:t>o</w:t>
      </w:r>
      <w:r>
        <w:rPr>
          <w:color w:val="000000"/>
          <w:spacing w:val="-1"/>
        </w:rPr>
        <w:t>r</w:t>
      </w:r>
      <w:r>
        <w:rPr>
          <w:color w:val="000000"/>
        </w:rPr>
        <w:t>ts of</w:t>
      </w:r>
      <w:r>
        <w:rPr>
          <w:color w:val="000000"/>
          <w:spacing w:val="2"/>
        </w:rPr>
        <w:t xml:space="preserve"> </w:t>
      </w:r>
      <w:r>
        <w:rPr>
          <w:color w:val="000000"/>
        </w:rPr>
        <w:t xml:space="preserve">the </w:t>
      </w:r>
      <w:r>
        <w:rPr>
          <w:color w:val="000000"/>
          <w:spacing w:val="1"/>
        </w:rPr>
        <w:t>C</w:t>
      </w:r>
      <w:r>
        <w:rPr>
          <w:color w:val="000000"/>
        </w:rPr>
        <w:t>oun</w:t>
      </w:r>
      <w:r>
        <w:rPr>
          <w:color w:val="000000"/>
          <w:spacing w:val="-1"/>
        </w:rPr>
        <w:t>c</w:t>
      </w:r>
      <w:r>
        <w:rPr>
          <w:color w:val="000000"/>
        </w:rPr>
        <w:t xml:space="preserve">il </w:t>
      </w:r>
      <w:r>
        <w:rPr>
          <w:color w:val="000000"/>
          <w:spacing w:val="-1"/>
        </w:rPr>
        <w:t>a</w:t>
      </w:r>
      <w:r>
        <w:rPr>
          <w:color w:val="000000"/>
        </w:rPr>
        <w:t>s it t</w:t>
      </w:r>
      <w:r>
        <w:rPr>
          <w:color w:val="000000"/>
          <w:spacing w:val="-1"/>
        </w:rPr>
        <w:t>ra</w:t>
      </w:r>
      <w:r>
        <w:rPr>
          <w:color w:val="000000"/>
        </w:rPr>
        <w:t xml:space="preserve">nsitions </w:t>
      </w:r>
      <w:r>
        <w:rPr>
          <w:color w:val="000000"/>
          <w:spacing w:val="-2"/>
        </w:rPr>
        <w:t>t</w:t>
      </w:r>
      <w:r>
        <w:rPr>
          <w:color w:val="000000"/>
        </w:rPr>
        <w:t>o a</w:t>
      </w:r>
      <w:r>
        <w:rPr>
          <w:color w:val="000000"/>
          <w:spacing w:val="-1"/>
        </w:rPr>
        <w:t xml:space="preserve"> </w:t>
      </w:r>
      <w:r>
        <w:rPr>
          <w:color w:val="000000"/>
        </w:rPr>
        <w:t>b</w:t>
      </w:r>
      <w:r>
        <w:rPr>
          <w:color w:val="000000"/>
          <w:spacing w:val="-1"/>
        </w:rPr>
        <w:t>r</w:t>
      </w:r>
      <w:r>
        <w:rPr>
          <w:color w:val="000000"/>
        </w:rPr>
        <w:t>o</w:t>
      </w:r>
      <w:r>
        <w:rPr>
          <w:color w:val="000000"/>
          <w:spacing w:val="-1"/>
        </w:rPr>
        <w:t>a</w:t>
      </w:r>
      <w:r>
        <w:rPr>
          <w:color w:val="000000"/>
        </w:rPr>
        <w:t>d</w:t>
      </w:r>
      <w:r>
        <w:rPr>
          <w:color w:val="000000"/>
          <w:spacing w:val="1"/>
        </w:rPr>
        <w:t>e</w:t>
      </w:r>
      <w:r>
        <w:rPr>
          <w:color w:val="000000"/>
        </w:rPr>
        <w:t>r</w:t>
      </w:r>
      <w:r>
        <w:rPr>
          <w:color w:val="000000"/>
          <w:spacing w:val="-1"/>
        </w:rPr>
        <w:t xml:space="preserve"> </w:t>
      </w:r>
      <w:r>
        <w:rPr>
          <w:color w:val="000000"/>
        </w:rPr>
        <w:t>m</w:t>
      </w:r>
      <w:r>
        <w:rPr>
          <w:color w:val="000000"/>
          <w:spacing w:val="-1"/>
        </w:rPr>
        <w:t>a</w:t>
      </w:r>
      <w:r>
        <w:rPr>
          <w:color w:val="000000"/>
        </w:rPr>
        <w:t>n</w:t>
      </w:r>
      <w:r>
        <w:rPr>
          <w:color w:val="000000"/>
          <w:spacing w:val="1"/>
        </w:rPr>
        <w:t>a</w:t>
      </w:r>
      <w:r>
        <w:rPr>
          <w:color w:val="000000"/>
        </w:rPr>
        <w:t>g</w:t>
      </w:r>
      <w:r>
        <w:rPr>
          <w:color w:val="000000"/>
          <w:spacing w:val="-1"/>
        </w:rPr>
        <w:t>e</w:t>
      </w:r>
      <w:r>
        <w:rPr>
          <w:color w:val="000000"/>
        </w:rPr>
        <w:t>m</w:t>
      </w:r>
      <w:r>
        <w:rPr>
          <w:color w:val="000000"/>
          <w:spacing w:val="-1"/>
        </w:rPr>
        <w:t>e</w:t>
      </w:r>
      <w:r>
        <w:rPr>
          <w:color w:val="000000"/>
        </w:rPr>
        <w:t>nt</w:t>
      </w:r>
      <w:r>
        <w:rPr>
          <w:color w:val="000000"/>
          <w:spacing w:val="3"/>
        </w:rPr>
        <w:t xml:space="preserve"> </w:t>
      </w:r>
      <w:r>
        <w:rPr>
          <w:color w:val="000000"/>
          <w:spacing w:val="-1"/>
        </w:rPr>
        <w:t>a</w:t>
      </w:r>
      <w:r>
        <w:rPr>
          <w:color w:val="000000"/>
        </w:rPr>
        <w:t>pp</w:t>
      </w:r>
      <w:r>
        <w:rPr>
          <w:color w:val="000000"/>
          <w:spacing w:val="-1"/>
        </w:rPr>
        <w:t>r</w:t>
      </w:r>
      <w:r>
        <w:rPr>
          <w:color w:val="000000"/>
        </w:rPr>
        <w:t>o</w:t>
      </w:r>
      <w:r>
        <w:rPr>
          <w:color w:val="000000"/>
          <w:spacing w:val="-1"/>
        </w:rPr>
        <w:t>ac</w:t>
      </w:r>
      <w:r>
        <w:rPr>
          <w:color w:val="000000"/>
        </w:rPr>
        <w:t xml:space="preserve">h. </w:t>
      </w:r>
      <w:r>
        <w:rPr>
          <w:color w:val="000000"/>
          <w:spacing w:val="3"/>
        </w:rPr>
        <w:t>R</w:t>
      </w:r>
      <w:r>
        <w:rPr>
          <w:color w:val="000000"/>
          <w:spacing w:val="-1"/>
        </w:rPr>
        <w:t>e</w:t>
      </w:r>
      <w:r>
        <w:rPr>
          <w:color w:val="000000"/>
        </w:rPr>
        <w:t>sou</w:t>
      </w:r>
      <w:r>
        <w:rPr>
          <w:color w:val="000000"/>
          <w:spacing w:val="-1"/>
        </w:rPr>
        <w:t>r</w:t>
      </w:r>
      <w:r>
        <w:rPr>
          <w:color w:val="000000"/>
          <w:spacing w:val="1"/>
        </w:rPr>
        <w:t>c</w:t>
      </w:r>
      <w:r>
        <w:rPr>
          <w:color w:val="000000"/>
          <w:spacing w:val="-1"/>
        </w:rPr>
        <w:t>e</w:t>
      </w:r>
      <w:r>
        <w:rPr>
          <w:color w:val="000000"/>
        </w:rPr>
        <w:t>s n</w:t>
      </w:r>
      <w:r>
        <w:rPr>
          <w:color w:val="000000"/>
          <w:spacing w:val="-1"/>
        </w:rPr>
        <w:t>e</w:t>
      </w:r>
      <w:r>
        <w:rPr>
          <w:color w:val="000000"/>
          <w:spacing w:val="1"/>
        </w:rPr>
        <w:t>e</w:t>
      </w:r>
      <w:r>
        <w:rPr>
          <w:color w:val="000000"/>
        </w:rPr>
        <w:t>d to be</w:t>
      </w:r>
      <w:r>
        <w:rPr>
          <w:color w:val="000000"/>
          <w:spacing w:val="-1"/>
        </w:rPr>
        <w:t xml:space="preserve"> </w:t>
      </w:r>
      <w:r>
        <w:rPr>
          <w:color w:val="000000"/>
        </w:rPr>
        <w:t>p</w:t>
      </w:r>
      <w:r>
        <w:rPr>
          <w:color w:val="000000"/>
          <w:spacing w:val="-1"/>
        </w:rPr>
        <w:t>r</w:t>
      </w:r>
      <w:r>
        <w:rPr>
          <w:color w:val="000000"/>
        </w:rPr>
        <w:t>ovid</w:t>
      </w:r>
      <w:r>
        <w:rPr>
          <w:color w:val="000000"/>
          <w:spacing w:val="-1"/>
        </w:rPr>
        <w:t>e</w:t>
      </w:r>
      <w:r>
        <w:rPr>
          <w:color w:val="000000"/>
        </w:rPr>
        <w:t xml:space="preserve">d to </w:t>
      </w:r>
      <w:r>
        <w:rPr>
          <w:color w:val="000000"/>
          <w:spacing w:val="-1"/>
        </w:rPr>
        <w:t>c</w:t>
      </w:r>
      <w:r>
        <w:rPr>
          <w:color w:val="000000"/>
        </w:rPr>
        <w:t>oll</w:t>
      </w:r>
      <w:r>
        <w:rPr>
          <w:color w:val="000000"/>
          <w:spacing w:val="-1"/>
        </w:rPr>
        <w:t>e</w:t>
      </w:r>
      <w:r>
        <w:rPr>
          <w:color w:val="000000"/>
          <w:spacing w:val="1"/>
        </w:rPr>
        <w:t>c</w:t>
      </w:r>
      <w:r>
        <w:rPr>
          <w:color w:val="000000"/>
        </w:rPr>
        <w:t>t in</w:t>
      </w:r>
      <w:r>
        <w:rPr>
          <w:color w:val="000000"/>
          <w:spacing w:val="-1"/>
        </w:rPr>
        <w:t>f</w:t>
      </w:r>
      <w:r>
        <w:rPr>
          <w:color w:val="000000"/>
        </w:rPr>
        <w:t>o</w:t>
      </w:r>
      <w:r>
        <w:rPr>
          <w:color w:val="000000"/>
          <w:spacing w:val="-1"/>
        </w:rPr>
        <w:t>r</w:t>
      </w:r>
      <w:r>
        <w:rPr>
          <w:color w:val="000000"/>
        </w:rPr>
        <w:t>m</w:t>
      </w:r>
      <w:r>
        <w:rPr>
          <w:color w:val="000000"/>
          <w:spacing w:val="-1"/>
        </w:rPr>
        <w:t>a</w:t>
      </w:r>
      <w:r>
        <w:rPr>
          <w:color w:val="000000"/>
        </w:rPr>
        <w:t>tion n</w:t>
      </w:r>
      <w:r>
        <w:rPr>
          <w:color w:val="000000"/>
          <w:spacing w:val="-1"/>
        </w:rPr>
        <w:t>ece</w:t>
      </w:r>
      <w:r>
        <w:rPr>
          <w:color w:val="000000"/>
        </w:rPr>
        <w:t>s</w:t>
      </w:r>
      <w:r>
        <w:rPr>
          <w:color w:val="000000"/>
          <w:spacing w:val="3"/>
        </w:rPr>
        <w:t>s</w:t>
      </w:r>
      <w:r>
        <w:rPr>
          <w:color w:val="000000"/>
          <w:spacing w:val="-1"/>
        </w:rPr>
        <w:t>a</w:t>
      </w:r>
      <w:r>
        <w:rPr>
          <w:color w:val="000000"/>
          <w:spacing w:val="4"/>
        </w:rPr>
        <w:t>r</w:t>
      </w:r>
      <w:r>
        <w:rPr>
          <w:color w:val="000000"/>
        </w:rPr>
        <w:t>y</w:t>
      </w:r>
      <w:r>
        <w:rPr>
          <w:color w:val="000000"/>
          <w:spacing w:val="-5"/>
        </w:rPr>
        <w:t xml:space="preserve"> </w:t>
      </w:r>
      <w:r>
        <w:rPr>
          <w:color w:val="000000"/>
        </w:rPr>
        <w:t>to</w:t>
      </w:r>
      <w:r>
        <w:rPr>
          <w:color w:val="000000"/>
          <w:spacing w:val="2"/>
        </w:rPr>
        <w:t xml:space="preserve"> </w:t>
      </w:r>
      <w:r>
        <w:rPr>
          <w:color w:val="000000"/>
        </w:rPr>
        <w:t>upd</w:t>
      </w:r>
      <w:r>
        <w:rPr>
          <w:color w:val="000000"/>
          <w:spacing w:val="-1"/>
        </w:rPr>
        <w:t>a</w:t>
      </w:r>
      <w:r>
        <w:rPr>
          <w:color w:val="000000"/>
        </w:rPr>
        <w:t>te</w:t>
      </w:r>
      <w:r>
        <w:rPr>
          <w:color w:val="000000"/>
          <w:spacing w:val="-1"/>
        </w:rPr>
        <w:t xml:space="preserve"> a</w:t>
      </w:r>
      <w:r>
        <w:rPr>
          <w:color w:val="000000"/>
        </w:rPr>
        <w:t xml:space="preserve">nd </w:t>
      </w:r>
      <w:r>
        <w:rPr>
          <w:color w:val="000000"/>
          <w:spacing w:val="2"/>
        </w:rPr>
        <w:t>r</w:t>
      </w:r>
      <w:r>
        <w:rPr>
          <w:color w:val="000000"/>
          <w:spacing w:val="-1"/>
        </w:rPr>
        <w:t>ef</w:t>
      </w:r>
      <w:r>
        <w:rPr>
          <w:color w:val="000000"/>
        </w:rPr>
        <w:t>ine</w:t>
      </w:r>
      <w:r>
        <w:rPr>
          <w:color w:val="000000"/>
          <w:spacing w:val="-1"/>
        </w:rPr>
        <w:t xml:space="preserve"> </w:t>
      </w:r>
      <w:r>
        <w:rPr>
          <w:color w:val="000000"/>
        </w:rPr>
        <w:t>our</w:t>
      </w:r>
      <w:r>
        <w:rPr>
          <w:color w:val="000000"/>
          <w:spacing w:val="2"/>
        </w:rPr>
        <w:t xml:space="preserve"> </w:t>
      </w:r>
      <w:r>
        <w:rPr>
          <w:color w:val="000000"/>
          <w:spacing w:val="-1"/>
        </w:rPr>
        <w:t>F</w:t>
      </w:r>
      <w:r>
        <w:rPr>
          <w:color w:val="000000"/>
          <w:spacing w:val="2"/>
        </w:rPr>
        <w:t>E</w:t>
      </w:r>
      <w:r>
        <w:rPr>
          <w:color w:val="000000"/>
        </w:rPr>
        <w:t>P</w:t>
      </w:r>
      <w:r>
        <w:rPr>
          <w:color w:val="000000"/>
          <w:spacing w:val="1"/>
        </w:rPr>
        <w:t xml:space="preserve"> </w:t>
      </w:r>
      <w:r>
        <w:rPr>
          <w:color w:val="000000"/>
          <w:spacing w:val="-1"/>
        </w:rPr>
        <w:t>a</w:t>
      </w:r>
      <w:r>
        <w:rPr>
          <w:color w:val="000000"/>
        </w:rPr>
        <w:t>nd suppo</w:t>
      </w:r>
      <w:r>
        <w:rPr>
          <w:color w:val="000000"/>
          <w:spacing w:val="-1"/>
        </w:rPr>
        <w:t>r</w:t>
      </w:r>
      <w:r>
        <w:rPr>
          <w:color w:val="000000"/>
        </w:rPr>
        <w:t xml:space="preserve">t </w:t>
      </w:r>
      <w:r>
        <w:rPr>
          <w:color w:val="000000"/>
          <w:spacing w:val="-1"/>
        </w:rPr>
        <w:t>f</w:t>
      </w:r>
      <w:r>
        <w:rPr>
          <w:color w:val="000000"/>
        </w:rPr>
        <w:t>utu</w:t>
      </w:r>
      <w:r>
        <w:rPr>
          <w:color w:val="000000"/>
          <w:spacing w:val="-1"/>
        </w:rPr>
        <w:t>r</w:t>
      </w:r>
      <w:r>
        <w:rPr>
          <w:color w:val="000000"/>
        </w:rPr>
        <w:t>e</w:t>
      </w:r>
      <w:r>
        <w:rPr>
          <w:color w:val="000000"/>
          <w:spacing w:val="-1"/>
        </w:rPr>
        <w:t xml:space="preserve"> f</w:t>
      </w:r>
      <w:r>
        <w:rPr>
          <w:color w:val="000000"/>
        </w:rPr>
        <w:t>is</w:t>
      </w:r>
      <w:r>
        <w:rPr>
          <w:color w:val="000000"/>
          <w:spacing w:val="2"/>
        </w:rPr>
        <w:t>h</w:t>
      </w:r>
      <w:r>
        <w:rPr>
          <w:color w:val="000000"/>
          <w:spacing w:val="-1"/>
        </w:rPr>
        <w:t>e</w:t>
      </w:r>
      <w:r>
        <w:rPr>
          <w:color w:val="000000"/>
          <w:spacing w:val="4"/>
        </w:rPr>
        <w:t>r</w:t>
      </w:r>
      <w:r>
        <w:rPr>
          <w:color w:val="000000"/>
        </w:rPr>
        <w:t>y</w:t>
      </w:r>
      <w:r>
        <w:rPr>
          <w:color w:val="000000"/>
          <w:spacing w:val="-5"/>
        </w:rPr>
        <w:t xml:space="preserve"> </w:t>
      </w:r>
      <w:r>
        <w:rPr>
          <w:color w:val="000000"/>
          <w:spacing w:val="-1"/>
        </w:rPr>
        <w:t>ac</w:t>
      </w:r>
      <w:r>
        <w:rPr>
          <w:color w:val="000000"/>
        </w:rPr>
        <w:t>tions in</w:t>
      </w:r>
      <w:r>
        <w:rPr>
          <w:color w:val="000000"/>
          <w:spacing w:val="-1"/>
        </w:rPr>
        <w:t>c</w:t>
      </w:r>
      <w:r>
        <w:rPr>
          <w:color w:val="000000"/>
        </w:rPr>
        <w:t>ludi</w:t>
      </w:r>
      <w:r>
        <w:rPr>
          <w:color w:val="000000"/>
          <w:spacing w:val="2"/>
        </w:rPr>
        <w:t>n</w:t>
      </w:r>
      <w:r>
        <w:rPr>
          <w:color w:val="000000"/>
        </w:rPr>
        <w:t>g</w:t>
      </w:r>
      <w:r>
        <w:rPr>
          <w:color w:val="000000"/>
          <w:spacing w:val="-2"/>
        </w:rPr>
        <w:t xml:space="preserve"> </w:t>
      </w:r>
      <w:r>
        <w:rPr>
          <w:color w:val="000000"/>
        </w:rPr>
        <w:t>but</w:t>
      </w:r>
      <w:r>
        <w:rPr>
          <w:color w:val="000000"/>
          <w:spacing w:val="3"/>
        </w:rPr>
        <w:t xml:space="preserve"> </w:t>
      </w:r>
      <w:r>
        <w:rPr>
          <w:color w:val="000000"/>
        </w:rPr>
        <w:t>not limit</w:t>
      </w:r>
      <w:r>
        <w:rPr>
          <w:color w:val="000000"/>
          <w:spacing w:val="-1"/>
        </w:rPr>
        <w:t>e</w:t>
      </w:r>
      <w:r>
        <w:rPr>
          <w:color w:val="000000"/>
        </w:rPr>
        <w:t xml:space="preserve">d to </w:t>
      </w:r>
      <w:r>
        <w:rPr>
          <w:color w:val="000000"/>
          <w:spacing w:val="-1"/>
        </w:rPr>
        <w:t>c</w:t>
      </w:r>
      <w:r>
        <w:rPr>
          <w:color w:val="000000"/>
        </w:rPr>
        <w:t>ompl</w:t>
      </w:r>
      <w:r>
        <w:rPr>
          <w:color w:val="000000"/>
          <w:spacing w:val="-1"/>
        </w:rPr>
        <w:t>e</w:t>
      </w:r>
      <w:r>
        <w:rPr>
          <w:color w:val="000000"/>
        </w:rPr>
        <w:t>ting</w:t>
      </w:r>
      <w:r>
        <w:rPr>
          <w:color w:val="000000"/>
          <w:spacing w:val="-2"/>
        </w:rPr>
        <w:t xml:space="preserve"> </w:t>
      </w:r>
      <w:r>
        <w:rPr>
          <w:color w:val="000000"/>
        </w:rPr>
        <w:t>one</w:t>
      </w:r>
      <w:r>
        <w:rPr>
          <w:color w:val="000000"/>
          <w:spacing w:val="-1"/>
        </w:rPr>
        <w:t xml:space="preserve"> </w:t>
      </w:r>
      <w:r>
        <w:rPr>
          <w:color w:val="000000"/>
        </w:rPr>
        <w:t>of</w:t>
      </w:r>
      <w:r>
        <w:rPr>
          <w:color w:val="000000"/>
          <w:spacing w:val="-1"/>
        </w:rPr>
        <w:t xml:space="preserve"> </w:t>
      </w:r>
      <w:r>
        <w:rPr>
          <w:color w:val="000000"/>
        </w:rPr>
        <w:t>the</w:t>
      </w:r>
      <w:r>
        <w:rPr>
          <w:color w:val="000000"/>
          <w:spacing w:val="-1"/>
        </w:rPr>
        <w:t xml:space="preserve"> </w:t>
      </w:r>
      <w:r>
        <w:rPr>
          <w:color w:val="000000"/>
        </w:rPr>
        <w:t>h</w:t>
      </w:r>
      <w:r>
        <w:rPr>
          <w:color w:val="000000"/>
          <w:spacing w:val="3"/>
        </w:rPr>
        <w:t>i</w:t>
      </w:r>
      <w:r>
        <w:rPr>
          <w:color w:val="000000"/>
          <w:spacing w:val="-2"/>
        </w:rPr>
        <w:t>g</w:t>
      </w:r>
      <w:r>
        <w:rPr>
          <w:color w:val="000000"/>
        </w:rPr>
        <w:t>h</w:t>
      </w:r>
      <w:r>
        <w:rPr>
          <w:color w:val="000000"/>
          <w:spacing w:val="-1"/>
        </w:rPr>
        <w:t>e</w:t>
      </w:r>
      <w:r>
        <w:rPr>
          <w:color w:val="000000"/>
        </w:rPr>
        <w:t>st p</w:t>
      </w:r>
      <w:r>
        <w:rPr>
          <w:color w:val="000000"/>
          <w:spacing w:val="-1"/>
        </w:rPr>
        <w:t>r</w:t>
      </w:r>
      <w:r>
        <w:rPr>
          <w:color w:val="000000"/>
        </w:rPr>
        <w:t>io</w:t>
      </w:r>
      <w:r>
        <w:rPr>
          <w:color w:val="000000"/>
          <w:spacing w:val="-1"/>
        </w:rPr>
        <w:t>r</w:t>
      </w:r>
      <w:r>
        <w:rPr>
          <w:color w:val="000000"/>
        </w:rPr>
        <w:t>i</w:t>
      </w:r>
      <w:r>
        <w:rPr>
          <w:color w:val="000000"/>
          <w:spacing w:val="5"/>
        </w:rPr>
        <w:t>t</w:t>
      </w:r>
      <w:r>
        <w:rPr>
          <w:color w:val="000000"/>
        </w:rPr>
        <w:t>y</w:t>
      </w:r>
      <w:r>
        <w:rPr>
          <w:color w:val="000000"/>
          <w:spacing w:val="-5"/>
        </w:rPr>
        <w:t xml:space="preserve"> </w:t>
      </w:r>
      <w:r>
        <w:rPr>
          <w:color w:val="000000"/>
          <w:spacing w:val="2"/>
        </w:rPr>
        <w:t>n</w:t>
      </w:r>
      <w:r>
        <w:rPr>
          <w:color w:val="000000"/>
          <w:spacing w:val="-1"/>
        </w:rPr>
        <w:t>ee</w:t>
      </w:r>
      <w:r>
        <w:rPr>
          <w:color w:val="000000"/>
        </w:rPr>
        <w:t>ds to suppo</w:t>
      </w:r>
      <w:r>
        <w:rPr>
          <w:color w:val="000000"/>
          <w:spacing w:val="-1"/>
        </w:rPr>
        <w:t>r</w:t>
      </w:r>
      <w:r>
        <w:rPr>
          <w:color w:val="000000"/>
        </w:rPr>
        <w:t>t E</w:t>
      </w:r>
      <w:r>
        <w:rPr>
          <w:color w:val="000000"/>
          <w:spacing w:val="-2"/>
        </w:rPr>
        <w:t>B</w:t>
      </w:r>
      <w:r>
        <w:rPr>
          <w:color w:val="000000"/>
        </w:rPr>
        <w:t>M, the</w:t>
      </w:r>
      <w:r>
        <w:rPr>
          <w:color w:val="000000"/>
          <w:spacing w:val="1"/>
        </w:rPr>
        <w:t xml:space="preserve"> </w:t>
      </w:r>
      <w:r>
        <w:rPr>
          <w:color w:val="000000"/>
          <w:spacing w:val="-1"/>
        </w:rPr>
        <w:t>c</w:t>
      </w:r>
      <w:r>
        <w:rPr>
          <w:color w:val="000000"/>
        </w:rPr>
        <w:t>ompl</w:t>
      </w:r>
      <w:r>
        <w:rPr>
          <w:color w:val="000000"/>
          <w:spacing w:val="-1"/>
        </w:rPr>
        <w:t>e</w:t>
      </w:r>
      <w:r>
        <w:rPr>
          <w:color w:val="000000"/>
        </w:rPr>
        <w:t>tion of</w:t>
      </w:r>
      <w:r>
        <w:rPr>
          <w:color w:val="000000"/>
          <w:spacing w:val="-1"/>
        </w:rPr>
        <w:t xml:space="preserve"> </w:t>
      </w:r>
      <w:r>
        <w:rPr>
          <w:color w:val="000000"/>
        </w:rPr>
        <w:t>m</w:t>
      </w:r>
      <w:r>
        <w:rPr>
          <w:color w:val="000000"/>
          <w:spacing w:val="-1"/>
        </w:rPr>
        <w:t>a</w:t>
      </w:r>
      <w:r>
        <w:rPr>
          <w:color w:val="000000"/>
        </w:rPr>
        <w:t>pping of n</w:t>
      </w:r>
      <w:r>
        <w:rPr>
          <w:color w:val="000000"/>
          <w:spacing w:val="-1"/>
        </w:rPr>
        <w:t>ear-</w:t>
      </w:r>
      <w:r>
        <w:rPr>
          <w:color w:val="000000"/>
        </w:rPr>
        <w:t>sh</w:t>
      </w:r>
      <w:r>
        <w:rPr>
          <w:color w:val="000000"/>
          <w:spacing w:val="2"/>
        </w:rPr>
        <w:t>o</w:t>
      </w:r>
      <w:r>
        <w:rPr>
          <w:color w:val="000000"/>
          <w:spacing w:val="-1"/>
        </w:rPr>
        <w:t>re</w:t>
      </w:r>
      <w:r>
        <w:rPr>
          <w:color w:val="000000"/>
        </w:rPr>
        <w:t>, mid</w:t>
      </w:r>
      <w:r>
        <w:rPr>
          <w:color w:val="000000"/>
          <w:spacing w:val="-1"/>
        </w:rPr>
        <w:t>-</w:t>
      </w:r>
      <w:r>
        <w:rPr>
          <w:color w:val="000000"/>
        </w:rPr>
        <w:t>sh</w:t>
      </w:r>
      <w:r>
        <w:rPr>
          <w:color w:val="000000"/>
          <w:spacing w:val="-1"/>
        </w:rPr>
        <w:t>e</w:t>
      </w:r>
      <w:r>
        <w:rPr>
          <w:color w:val="000000"/>
        </w:rPr>
        <w:t>l</w:t>
      </w:r>
      <w:r>
        <w:rPr>
          <w:color w:val="000000"/>
          <w:spacing w:val="-1"/>
        </w:rPr>
        <w:t>f</w:t>
      </w:r>
      <w:r>
        <w:rPr>
          <w:color w:val="000000"/>
        </w:rPr>
        <w:t>, s</w:t>
      </w:r>
      <w:r>
        <w:rPr>
          <w:color w:val="000000"/>
          <w:spacing w:val="2"/>
        </w:rPr>
        <w:t>h</w:t>
      </w:r>
      <w:r>
        <w:rPr>
          <w:color w:val="000000"/>
          <w:spacing w:val="-1"/>
        </w:rPr>
        <w:t>e</w:t>
      </w:r>
      <w:r>
        <w:rPr>
          <w:color w:val="000000"/>
        </w:rPr>
        <w:t>lf</w:t>
      </w:r>
      <w:r>
        <w:rPr>
          <w:color w:val="000000"/>
          <w:spacing w:val="-1"/>
        </w:rPr>
        <w:t xml:space="preserve"> e</w:t>
      </w:r>
      <w:r>
        <w:rPr>
          <w:color w:val="000000"/>
          <w:spacing w:val="2"/>
        </w:rPr>
        <w:t>d</w:t>
      </w:r>
      <w:r>
        <w:rPr>
          <w:color w:val="000000"/>
          <w:spacing w:val="-2"/>
        </w:rPr>
        <w:t>g</w:t>
      </w:r>
      <w:r>
        <w:rPr>
          <w:color w:val="000000"/>
        </w:rPr>
        <w:t>e,</w:t>
      </w:r>
      <w:r>
        <w:rPr>
          <w:color w:val="000000"/>
          <w:spacing w:val="1"/>
        </w:rPr>
        <w:t xml:space="preserve"> </w:t>
      </w:r>
      <w:r>
        <w:rPr>
          <w:color w:val="000000"/>
          <w:spacing w:val="-1"/>
        </w:rPr>
        <w:t>a</w:t>
      </w:r>
      <w:r>
        <w:rPr>
          <w:color w:val="000000"/>
        </w:rPr>
        <w:t>nd d</w:t>
      </w:r>
      <w:r>
        <w:rPr>
          <w:color w:val="000000"/>
          <w:spacing w:val="-1"/>
        </w:rPr>
        <w:t>ee</w:t>
      </w:r>
      <w:r>
        <w:rPr>
          <w:color w:val="000000"/>
          <w:spacing w:val="2"/>
        </w:rPr>
        <w:t>p</w:t>
      </w:r>
      <w:r>
        <w:rPr>
          <w:color w:val="000000"/>
        </w:rPr>
        <w:t>w</w:t>
      </w:r>
      <w:r>
        <w:rPr>
          <w:color w:val="000000"/>
          <w:spacing w:val="-1"/>
        </w:rPr>
        <w:t>a</w:t>
      </w:r>
      <w:r>
        <w:rPr>
          <w:color w:val="000000"/>
        </w:rPr>
        <w:t>t</w:t>
      </w:r>
      <w:r>
        <w:rPr>
          <w:color w:val="000000"/>
          <w:spacing w:val="1"/>
        </w:rPr>
        <w:t>e</w:t>
      </w:r>
      <w:r>
        <w:rPr>
          <w:color w:val="000000"/>
        </w:rPr>
        <w:t>r</w:t>
      </w:r>
      <w:r>
        <w:rPr>
          <w:color w:val="000000"/>
          <w:spacing w:val="-1"/>
        </w:rPr>
        <w:t xml:space="preserve"> </w:t>
      </w:r>
      <w:r>
        <w:rPr>
          <w:color w:val="000000"/>
          <w:spacing w:val="2"/>
        </w:rPr>
        <w:t>h</w:t>
      </w:r>
      <w:r>
        <w:rPr>
          <w:color w:val="000000"/>
          <w:spacing w:val="-1"/>
        </w:rPr>
        <w:t>a</w:t>
      </w:r>
      <w:r>
        <w:rPr>
          <w:color w:val="000000"/>
        </w:rPr>
        <w:t>bit</w:t>
      </w:r>
      <w:r>
        <w:rPr>
          <w:color w:val="000000"/>
          <w:spacing w:val="-1"/>
        </w:rPr>
        <w:t>a</w:t>
      </w:r>
      <w:r>
        <w:rPr>
          <w:color w:val="000000"/>
        </w:rPr>
        <w:t>ts in the</w:t>
      </w:r>
      <w:r>
        <w:rPr>
          <w:color w:val="000000"/>
          <w:spacing w:val="-1"/>
        </w:rPr>
        <w:t xml:space="preserve"> </w:t>
      </w:r>
      <w:r>
        <w:rPr>
          <w:color w:val="000000"/>
          <w:spacing w:val="1"/>
        </w:rPr>
        <w:t>S</w:t>
      </w:r>
      <w:r>
        <w:rPr>
          <w:color w:val="000000"/>
        </w:rPr>
        <w:t>outh Atl</w:t>
      </w:r>
      <w:r>
        <w:rPr>
          <w:color w:val="000000"/>
          <w:spacing w:val="-1"/>
        </w:rPr>
        <w:t>a</w:t>
      </w:r>
      <w:r>
        <w:rPr>
          <w:color w:val="000000"/>
        </w:rPr>
        <w:t>ntic</w:t>
      </w:r>
      <w:r>
        <w:rPr>
          <w:color w:val="000000"/>
          <w:spacing w:val="-1"/>
        </w:rPr>
        <w:t xml:space="preserve"> r</w:t>
      </w:r>
      <w:r>
        <w:rPr>
          <w:color w:val="000000"/>
          <w:spacing w:val="1"/>
        </w:rPr>
        <w:t>e</w:t>
      </w:r>
      <w:r>
        <w:rPr>
          <w:color w:val="000000"/>
          <w:spacing w:val="-2"/>
        </w:rPr>
        <w:t>g</w:t>
      </w:r>
      <w:r>
        <w:rPr>
          <w:color w:val="000000"/>
        </w:rPr>
        <w:t>ion.</w:t>
      </w:r>
      <w:r>
        <w:rPr>
          <w:color w:val="000000"/>
          <w:spacing w:val="2"/>
        </w:rPr>
        <w:t xml:space="preserve"> </w:t>
      </w:r>
      <w:r>
        <w:rPr>
          <w:color w:val="000000"/>
          <w:spacing w:val="-3"/>
        </w:rPr>
        <w:t>I</w:t>
      </w:r>
      <w:r>
        <w:rPr>
          <w:color w:val="000000"/>
        </w:rPr>
        <w:t>n d</w:t>
      </w:r>
      <w:r>
        <w:rPr>
          <w:color w:val="000000"/>
          <w:spacing w:val="-1"/>
        </w:rPr>
        <w:t>e</w:t>
      </w:r>
      <w:r>
        <w:rPr>
          <w:color w:val="000000"/>
          <w:spacing w:val="2"/>
        </w:rPr>
        <w:t>v</w:t>
      </w:r>
      <w:r>
        <w:rPr>
          <w:color w:val="000000"/>
          <w:spacing w:val="-1"/>
        </w:rPr>
        <w:t>e</w:t>
      </w:r>
      <w:r>
        <w:rPr>
          <w:color w:val="000000"/>
        </w:rPr>
        <w:t xml:space="preserve">loping </w:t>
      </w:r>
      <w:r>
        <w:rPr>
          <w:color w:val="000000"/>
          <w:spacing w:val="-1"/>
        </w:rPr>
        <w:t>f</w:t>
      </w:r>
      <w:r>
        <w:rPr>
          <w:color w:val="000000"/>
        </w:rPr>
        <w:t>utu</w:t>
      </w:r>
      <w:r>
        <w:rPr>
          <w:color w:val="000000"/>
          <w:spacing w:val="-1"/>
        </w:rPr>
        <w:t>r</w:t>
      </w:r>
      <w:r>
        <w:rPr>
          <w:color w:val="000000"/>
        </w:rPr>
        <w:t>e</w:t>
      </w:r>
      <w:r>
        <w:rPr>
          <w:color w:val="000000"/>
          <w:spacing w:val="-1"/>
        </w:rPr>
        <w:t xml:space="preserve"> F</w:t>
      </w:r>
      <w:r>
        <w:rPr>
          <w:color w:val="000000"/>
        </w:rPr>
        <w:t>E</w:t>
      </w:r>
      <w:r>
        <w:rPr>
          <w:color w:val="000000"/>
          <w:spacing w:val="1"/>
        </w:rPr>
        <w:t>P</w:t>
      </w:r>
      <w:r>
        <w:rPr>
          <w:color w:val="000000"/>
        </w:rPr>
        <w:t>s, the</w:t>
      </w:r>
      <w:r>
        <w:rPr>
          <w:color w:val="000000"/>
          <w:spacing w:val="-1"/>
        </w:rPr>
        <w:t xml:space="preserve"> </w:t>
      </w:r>
      <w:r>
        <w:rPr>
          <w:color w:val="000000"/>
          <w:spacing w:val="1"/>
        </w:rPr>
        <w:t>C</w:t>
      </w:r>
      <w:r>
        <w:rPr>
          <w:color w:val="000000"/>
        </w:rPr>
        <w:t>oun</w:t>
      </w:r>
      <w:r>
        <w:rPr>
          <w:color w:val="000000"/>
          <w:spacing w:val="-1"/>
        </w:rPr>
        <w:t>c</w:t>
      </w:r>
      <w:r>
        <w:rPr>
          <w:color w:val="000000"/>
        </w:rPr>
        <w:t>il</w:t>
      </w:r>
      <w:r>
        <w:rPr>
          <w:color w:val="000000"/>
          <w:spacing w:val="3"/>
        </w:rPr>
        <w:t xml:space="preserve"> </w:t>
      </w:r>
      <w:r>
        <w:rPr>
          <w:color w:val="000000"/>
        </w:rPr>
        <w:t>will d</w:t>
      </w:r>
      <w:r>
        <w:rPr>
          <w:color w:val="000000"/>
          <w:spacing w:val="-1"/>
        </w:rPr>
        <w:t>ra</w:t>
      </w:r>
      <w:r>
        <w:rPr>
          <w:color w:val="000000"/>
        </w:rPr>
        <w:t xml:space="preserve">w on </w:t>
      </w:r>
      <w:r>
        <w:rPr>
          <w:color w:val="000000"/>
          <w:spacing w:val="1"/>
        </w:rPr>
        <w:t>S</w:t>
      </w:r>
      <w:r>
        <w:rPr>
          <w:color w:val="000000"/>
        </w:rPr>
        <w:t>A</w:t>
      </w:r>
      <w:r>
        <w:rPr>
          <w:color w:val="000000"/>
          <w:spacing w:val="-1"/>
        </w:rPr>
        <w:t>F</w:t>
      </w:r>
      <w:r>
        <w:rPr>
          <w:color w:val="000000"/>
        </w:rPr>
        <w:t xml:space="preserve">Es </w:t>
      </w:r>
      <w:r>
        <w:rPr>
          <w:color w:val="000000"/>
          <w:spacing w:val="-1"/>
        </w:rPr>
        <w:t>(</w:t>
      </w:r>
      <w:r>
        <w:rPr>
          <w:color w:val="000000"/>
          <w:spacing w:val="1"/>
        </w:rPr>
        <w:t>S</w:t>
      </w:r>
      <w:r>
        <w:rPr>
          <w:color w:val="000000"/>
        </w:rPr>
        <w:t>t</w:t>
      </w:r>
      <w:r>
        <w:rPr>
          <w:color w:val="000000"/>
          <w:spacing w:val="2"/>
        </w:rPr>
        <w:t>o</w:t>
      </w:r>
      <w:r>
        <w:rPr>
          <w:color w:val="000000"/>
          <w:spacing w:val="-1"/>
        </w:rPr>
        <w:t>c</w:t>
      </w:r>
      <w:r>
        <w:rPr>
          <w:color w:val="000000"/>
        </w:rPr>
        <w:t>k Ass</w:t>
      </w:r>
      <w:r>
        <w:rPr>
          <w:color w:val="000000"/>
          <w:spacing w:val="-1"/>
        </w:rPr>
        <w:t>e</w:t>
      </w:r>
      <w:r>
        <w:rPr>
          <w:color w:val="000000"/>
        </w:rPr>
        <w:t>ssm</w:t>
      </w:r>
      <w:r>
        <w:rPr>
          <w:color w:val="000000"/>
          <w:spacing w:val="-1"/>
        </w:rPr>
        <w:t>e</w:t>
      </w:r>
      <w:r>
        <w:rPr>
          <w:color w:val="000000"/>
        </w:rPr>
        <w:t xml:space="preserve">nt </w:t>
      </w:r>
      <w:r>
        <w:rPr>
          <w:color w:val="000000"/>
          <w:spacing w:val="-1"/>
        </w:rPr>
        <w:t>a</w:t>
      </w:r>
      <w:r>
        <w:rPr>
          <w:color w:val="000000"/>
        </w:rPr>
        <w:t>nd</w:t>
      </w:r>
      <w:r>
        <w:rPr>
          <w:color w:val="000000"/>
          <w:spacing w:val="2"/>
        </w:rPr>
        <w:t xml:space="preserve"> </w:t>
      </w:r>
      <w:r>
        <w:rPr>
          <w:color w:val="000000"/>
          <w:spacing w:val="-1"/>
        </w:rPr>
        <w:t>F</w:t>
      </w:r>
      <w:r>
        <w:rPr>
          <w:color w:val="000000"/>
        </w:rPr>
        <w:t>ish</w:t>
      </w:r>
      <w:r>
        <w:rPr>
          <w:color w:val="000000"/>
          <w:spacing w:val="1"/>
        </w:rPr>
        <w:t>e</w:t>
      </w:r>
      <w:r>
        <w:rPr>
          <w:color w:val="000000"/>
          <w:spacing w:val="2"/>
        </w:rPr>
        <w:t>r</w:t>
      </w:r>
      <w:r>
        <w:rPr>
          <w:color w:val="000000"/>
        </w:rPr>
        <w:t>y</w:t>
      </w:r>
      <w:r>
        <w:rPr>
          <w:color w:val="000000"/>
          <w:spacing w:val="-5"/>
        </w:rPr>
        <w:t xml:space="preserve"> </w:t>
      </w:r>
      <w:r>
        <w:rPr>
          <w:color w:val="000000"/>
        </w:rPr>
        <w:t>E</w:t>
      </w:r>
      <w:r>
        <w:rPr>
          <w:color w:val="000000"/>
          <w:spacing w:val="2"/>
        </w:rPr>
        <w:t>v</w:t>
      </w:r>
      <w:r>
        <w:rPr>
          <w:color w:val="000000"/>
          <w:spacing w:val="-1"/>
        </w:rPr>
        <w:t>a</w:t>
      </w:r>
      <w:r>
        <w:rPr>
          <w:color w:val="000000"/>
        </w:rPr>
        <w:t>lu</w:t>
      </w:r>
      <w:r>
        <w:rPr>
          <w:color w:val="000000"/>
          <w:spacing w:val="-1"/>
        </w:rPr>
        <w:t>a</w:t>
      </w:r>
      <w:r>
        <w:rPr>
          <w:color w:val="000000"/>
        </w:rPr>
        <w:t xml:space="preserve">tion </w:t>
      </w:r>
      <w:r>
        <w:rPr>
          <w:color w:val="000000"/>
          <w:spacing w:val="-1"/>
        </w:rPr>
        <w:t>re</w:t>
      </w:r>
      <w:r>
        <w:rPr>
          <w:color w:val="000000"/>
        </w:rPr>
        <w:t>p</w:t>
      </w:r>
      <w:r>
        <w:rPr>
          <w:color w:val="000000"/>
          <w:spacing w:val="2"/>
        </w:rPr>
        <w:t>o</w:t>
      </w:r>
      <w:r>
        <w:rPr>
          <w:color w:val="000000"/>
          <w:spacing w:val="-1"/>
        </w:rPr>
        <w:t>r</w:t>
      </w:r>
      <w:r>
        <w:rPr>
          <w:color w:val="000000"/>
        </w:rPr>
        <w:t>ts)</w:t>
      </w:r>
      <w:r>
        <w:rPr>
          <w:color w:val="000000"/>
          <w:spacing w:val="-1"/>
        </w:rPr>
        <w:t xml:space="preserve"> </w:t>
      </w:r>
      <w:r>
        <w:rPr>
          <w:color w:val="000000"/>
          <w:spacing w:val="2"/>
        </w:rPr>
        <w:t>w</w:t>
      </w:r>
      <w:r>
        <w:rPr>
          <w:color w:val="000000"/>
        </w:rPr>
        <w:t>hi</w:t>
      </w:r>
      <w:r>
        <w:rPr>
          <w:color w:val="000000"/>
          <w:spacing w:val="-1"/>
        </w:rPr>
        <w:t>c</w:t>
      </w:r>
      <w:r>
        <w:rPr>
          <w:color w:val="000000"/>
        </w:rPr>
        <w:t>h NM</w:t>
      </w:r>
      <w:r>
        <w:rPr>
          <w:color w:val="000000"/>
          <w:spacing w:val="-1"/>
        </w:rPr>
        <w:t>F</w:t>
      </w:r>
      <w:r>
        <w:rPr>
          <w:color w:val="000000"/>
        </w:rPr>
        <w:t>S</w:t>
      </w:r>
      <w:r>
        <w:rPr>
          <w:color w:val="000000"/>
          <w:spacing w:val="1"/>
        </w:rPr>
        <w:t xml:space="preserve"> </w:t>
      </w:r>
      <w:r>
        <w:rPr>
          <w:color w:val="000000"/>
        </w:rPr>
        <w:t xml:space="preserve">is </w:t>
      </w:r>
      <w:r>
        <w:rPr>
          <w:color w:val="000000"/>
          <w:spacing w:val="-1"/>
        </w:rPr>
        <w:t>re</w:t>
      </w:r>
      <w:r>
        <w:rPr>
          <w:color w:val="000000"/>
        </w:rPr>
        <w:t>qui</w:t>
      </w:r>
      <w:r>
        <w:rPr>
          <w:color w:val="000000"/>
          <w:spacing w:val="-1"/>
        </w:rPr>
        <w:t>re</w:t>
      </w:r>
      <w:r>
        <w:rPr>
          <w:color w:val="000000"/>
        </w:rPr>
        <w:t>d to p</w:t>
      </w:r>
      <w:r>
        <w:rPr>
          <w:color w:val="000000"/>
          <w:spacing w:val="-1"/>
        </w:rPr>
        <w:t>r</w:t>
      </w:r>
      <w:r>
        <w:rPr>
          <w:color w:val="000000"/>
          <w:spacing w:val="2"/>
        </w:rPr>
        <w:t>o</w:t>
      </w:r>
      <w:r>
        <w:rPr>
          <w:color w:val="000000"/>
        </w:rPr>
        <w:t>vide</w:t>
      </w:r>
      <w:r>
        <w:rPr>
          <w:color w:val="000000"/>
          <w:spacing w:val="-1"/>
        </w:rPr>
        <w:t xml:space="preserve"> </w:t>
      </w:r>
      <w:r>
        <w:rPr>
          <w:color w:val="000000"/>
        </w:rPr>
        <w:t>the</w:t>
      </w:r>
      <w:r>
        <w:rPr>
          <w:color w:val="000000"/>
          <w:spacing w:val="-1"/>
        </w:rPr>
        <w:t xml:space="preserve"> </w:t>
      </w:r>
      <w:r>
        <w:rPr>
          <w:color w:val="000000"/>
          <w:spacing w:val="1"/>
        </w:rPr>
        <w:t>C</w:t>
      </w:r>
      <w:r>
        <w:rPr>
          <w:color w:val="000000"/>
        </w:rPr>
        <w:t>oun</w:t>
      </w:r>
      <w:r>
        <w:rPr>
          <w:color w:val="000000"/>
          <w:spacing w:val="-1"/>
        </w:rPr>
        <w:t>c</w:t>
      </w:r>
      <w:r>
        <w:rPr>
          <w:color w:val="000000"/>
        </w:rPr>
        <w:t xml:space="preserve">il </w:t>
      </w:r>
      <w:r>
        <w:rPr>
          <w:color w:val="000000"/>
          <w:spacing w:val="-1"/>
        </w:rPr>
        <w:t>f</w:t>
      </w:r>
      <w:r>
        <w:rPr>
          <w:color w:val="000000"/>
        </w:rPr>
        <w:t>or</w:t>
      </w:r>
      <w:r>
        <w:rPr>
          <w:color w:val="000000"/>
          <w:spacing w:val="-1"/>
        </w:rPr>
        <w:t xml:space="preserve"> a</w:t>
      </w:r>
      <w:r>
        <w:rPr>
          <w:color w:val="000000"/>
        </w:rPr>
        <w:t xml:space="preserve">ll </w:t>
      </w:r>
      <w:r>
        <w:rPr>
          <w:color w:val="000000"/>
          <w:spacing w:val="1"/>
        </w:rPr>
        <w:t>F</w:t>
      </w:r>
      <w:r>
        <w:rPr>
          <w:color w:val="000000"/>
        </w:rPr>
        <w:t>M</w:t>
      </w:r>
      <w:r>
        <w:rPr>
          <w:color w:val="000000"/>
          <w:spacing w:val="1"/>
        </w:rPr>
        <w:t>P</w:t>
      </w:r>
      <w:r>
        <w:rPr>
          <w:color w:val="000000"/>
        </w:rPr>
        <w:t>s impl</w:t>
      </w:r>
      <w:r>
        <w:rPr>
          <w:color w:val="000000"/>
          <w:spacing w:val="-1"/>
        </w:rPr>
        <w:t>e</w:t>
      </w:r>
      <w:r>
        <w:rPr>
          <w:color w:val="000000"/>
        </w:rPr>
        <w:t>m</w:t>
      </w:r>
      <w:r>
        <w:rPr>
          <w:color w:val="000000"/>
          <w:spacing w:val="-1"/>
        </w:rPr>
        <w:t>e</w:t>
      </w:r>
      <w:r>
        <w:rPr>
          <w:color w:val="000000"/>
        </w:rPr>
        <w:t>nt</w:t>
      </w:r>
      <w:r>
        <w:rPr>
          <w:color w:val="000000"/>
          <w:spacing w:val="-1"/>
        </w:rPr>
        <w:t>e</w:t>
      </w:r>
      <w:r>
        <w:rPr>
          <w:color w:val="000000"/>
        </w:rPr>
        <w:t>d und</w:t>
      </w:r>
      <w:r>
        <w:rPr>
          <w:color w:val="000000"/>
          <w:spacing w:val="-1"/>
        </w:rPr>
        <w:t>e</w:t>
      </w:r>
      <w:r>
        <w:rPr>
          <w:color w:val="000000"/>
        </w:rPr>
        <w:t>r</w:t>
      </w:r>
      <w:r>
        <w:rPr>
          <w:color w:val="000000"/>
          <w:spacing w:val="-1"/>
        </w:rPr>
        <w:t xml:space="preserve"> </w:t>
      </w:r>
      <w:r>
        <w:rPr>
          <w:color w:val="000000"/>
        </w:rPr>
        <w:t>the</w:t>
      </w:r>
      <w:r>
        <w:rPr>
          <w:color w:val="000000"/>
          <w:spacing w:val="-1"/>
        </w:rPr>
        <w:t xml:space="preserve"> </w:t>
      </w:r>
      <w:r>
        <w:rPr>
          <w:color w:val="000000"/>
        </w:rPr>
        <w:t>M</w:t>
      </w:r>
      <w:r>
        <w:rPr>
          <w:color w:val="000000"/>
          <w:spacing w:val="-1"/>
        </w:rPr>
        <w:t>a</w:t>
      </w:r>
      <w:r>
        <w:rPr>
          <w:color w:val="000000"/>
          <w:spacing w:val="-2"/>
        </w:rPr>
        <w:t>g</w:t>
      </w:r>
      <w:r>
        <w:rPr>
          <w:color w:val="000000"/>
          <w:spacing w:val="2"/>
        </w:rPr>
        <w:t>n</w:t>
      </w:r>
      <w:r>
        <w:rPr>
          <w:color w:val="000000"/>
        </w:rPr>
        <w:t>uson</w:t>
      </w:r>
      <w:r>
        <w:rPr>
          <w:color w:val="000000"/>
          <w:spacing w:val="-1"/>
        </w:rPr>
        <w:t>-</w:t>
      </w:r>
      <w:r>
        <w:rPr>
          <w:color w:val="000000"/>
          <w:spacing w:val="1"/>
        </w:rPr>
        <w:t>S</w:t>
      </w:r>
      <w:r>
        <w:rPr>
          <w:color w:val="000000"/>
        </w:rPr>
        <w:t>t</w:t>
      </w:r>
      <w:r>
        <w:rPr>
          <w:color w:val="000000"/>
          <w:spacing w:val="-1"/>
        </w:rPr>
        <w:t>e</w:t>
      </w:r>
      <w:r>
        <w:rPr>
          <w:color w:val="000000"/>
        </w:rPr>
        <w:t>v</w:t>
      </w:r>
      <w:r>
        <w:rPr>
          <w:color w:val="000000"/>
          <w:spacing w:val="-1"/>
        </w:rPr>
        <w:t>e</w:t>
      </w:r>
      <w:r>
        <w:rPr>
          <w:color w:val="000000"/>
        </w:rPr>
        <w:t xml:space="preserve">ns </w:t>
      </w:r>
      <w:r>
        <w:rPr>
          <w:color w:val="000000"/>
          <w:spacing w:val="2"/>
        </w:rPr>
        <w:t>A</w:t>
      </w:r>
      <w:r>
        <w:rPr>
          <w:color w:val="000000"/>
          <w:spacing w:val="-1"/>
        </w:rPr>
        <w:t>c</w:t>
      </w:r>
      <w:r>
        <w:rPr>
          <w:color w:val="000000"/>
        </w:rPr>
        <w:t>t. The</w:t>
      </w:r>
      <w:r>
        <w:rPr>
          <w:color w:val="000000"/>
          <w:spacing w:val="-1"/>
        </w:rPr>
        <w:t xml:space="preserve"> F</w:t>
      </w:r>
      <w:r>
        <w:rPr>
          <w:color w:val="000000"/>
        </w:rPr>
        <w:t>E</w:t>
      </w:r>
      <w:r>
        <w:rPr>
          <w:color w:val="000000"/>
          <w:spacing w:val="1"/>
        </w:rPr>
        <w:t>P</w:t>
      </w:r>
      <w:r>
        <w:rPr>
          <w:color w:val="000000"/>
        </w:rPr>
        <w:t>, which has s</w:t>
      </w:r>
      <w:r>
        <w:rPr>
          <w:color w:val="000000"/>
          <w:spacing w:val="-1"/>
        </w:rPr>
        <w:t>er</w:t>
      </w:r>
      <w:r>
        <w:rPr>
          <w:color w:val="000000"/>
        </w:rPr>
        <w:t xml:space="preserve">ved </w:t>
      </w:r>
      <w:r>
        <w:rPr>
          <w:color w:val="000000"/>
          <w:spacing w:val="-1"/>
        </w:rPr>
        <w:t>a</w:t>
      </w:r>
      <w:r>
        <w:rPr>
          <w:color w:val="000000"/>
        </w:rPr>
        <w:t>s the</w:t>
      </w:r>
      <w:r>
        <w:rPr>
          <w:color w:val="000000"/>
          <w:spacing w:val="-1"/>
        </w:rPr>
        <w:t xml:space="preserve"> </w:t>
      </w:r>
      <w:r>
        <w:rPr>
          <w:color w:val="000000"/>
          <w:spacing w:val="3"/>
        </w:rPr>
        <w:t>s</w:t>
      </w:r>
      <w:r>
        <w:rPr>
          <w:color w:val="000000"/>
        </w:rPr>
        <w:t>ou</w:t>
      </w:r>
      <w:r>
        <w:rPr>
          <w:color w:val="000000"/>
          <w:spacing w:val="-1"/>
        </w:rPr>
        <w:t>rc</w:t>
      </w:r>
      <w:r>
        <w:rPr>
          <w:color w:val="000000"/>
        </w:rPr>
        <w:t>e</w:t>
      </w:r>
      <w:r>
        <w:rPr>
          <w:color w:val="000000"/>
          <w:spacing w:val="-1"/>
        </w:rPr>
        <w:t xml:space="preserve"> </w:t>
      </w:r>
      <w:r>
        <w:rPr>
          <w:color w:val="000000"/>
        </w:rPr>
        <w:t>do</w:t>
      </w:r>
      <w:r>
        <w:rPr>
          <w:color w:val="000000"/>
          <w:spacing w:val="-1"/>
        </w:rPr>
        <w:t>c</w:t>
      </w:r>
      <w:r>
        <w:rPr>
          <w:color w:val="000000"/>
        </w:rPr>
        <w:t>u</w:t>
      </w:r>
      <w:r>
        <w:rPr>
          <w:color w:val="000000"/>
          <w:spacing w:val="3"/>
        </w:rPr>
        <w:t>m</w:t>
      </w:r>
      <w:r>
        <w:rPr>
          <w:color w:val="000000"/>
          <w:spacing w:val="-1"/>
        </w:rPr>
        <w:t>e</w:t>
      </w:r>
      <w:r>
        <w:rPr>
          <w:color w:val="000000"/>
        </w:rPr>
        <w:t xml:space="preserve">nt </w:t>
      </w:r>
      <w:r>
        <w:rPr>
          <w:color w:val="000000"/>
          <w:spacing w:val="-1"/>
        </w:rPr>
        <w:t>f</w:t>
      </w:r>
      <w:r>
        <w:rPr>
          <w:color w:val="000000"/>
        </w:rPr>
        <w:t>or</w:t>
      </w:r>
      <w:r>
        <w:rPr>
          <w:color w:val="000000"/>
          <w:spacing w:val="-1"/>
        </w:rPr>
        <w:t xml:space="preserve"> </w:t>
      </w:r>
      <w:r>
        <w:rPr>
          <w:color w:val="000000"/>
          <w:spacing w:val="1"/>
        </w:rPr>
        <w:t>C</w:t>
      </w:r>
      <w:r>
        <w:rPr>
          <w:color w:val="000000"/>
        </w:rPr>
        <w:t>E</w:t>
      </w:r>
      <w:r>
        <w:rPr>
          <w:color w:val="000000"/>
          <w:spacing w:val="2"/>
        </w:rPr>
        <w:t>-</w:t>
      </w:r>
      <w:r>
        <w:rPr>
          <w:color w:val="000000"/>
          <w:spacing w:val="-2"/>
        </w:rPr>
        <w:t>B</w:t>
      </w:r>
      <w:r>
        <w:rPr>
          <w:color w:val="000000"/>
        </w:rPr>
        <w:t xml:space="preserve">As, </w:t>
      </w:r>
      <w:r>
        <w:rPr>
          <w:color w:val="000000"/>
          <w:spacing w:val="-1"/>
        </w:rPr>
        <w:t>c</w:t>
      </w:r>
      <w:r>
        <w:rPr>
          <w:color w:val="000000"/>
        </w:rPr>
        <w:t xml:space="preserve">ould </w:t>
      </w:r>
      <w:r>
        <w:rPr>
          <w:color w:val="000000"/>
          <w:spacing w:val="-1"/>
        </w:rPr>
        <w:t>a</w:t>
      </w:r>
      <w:r>
        <w:rPr>
          <w:color w:val="000000"/>
        </w:rPr>
        <w:t>lso m</w:t>
      </w:r>
      <w:r>
        <w:rPr>
          <w:color w:val="000000"/>
          <w:spacing w:val="1"/>
        </w:rPr>
        <w:t>e</w:t>
      </w:r>
      <w:r>
        <w:rPr>
          <w:color w:val="000000"/>
          <w:spacing w:val="-1"/>
        </w:rPr>
        <w:t>e</w:t>
      </w:r>
      <w:r>
        <w:rPr>
          <w:color w:val="000000"/>
        </w:rPr>
        <w:t xml:space="preserve">t some of the </w:t>
      </w:r>
      <w:r>
        <w:rPr>
          <w:color w:val="000000"/>
          <w:spacing w:val="2"/>
        </w:rPr>
        <w:t>N</w:t>
      </w:r>
      <w:r>
        <w:rPr>
          <w:color w:val="000000"/>
        </w:rPr>
        <w:t>M</w:t>
      </w:r>
      <w:r>
        <w:rPr>
          <w:color w:val="000000"/>
          <w:spacing w:val="-1"/>
        </w:rPr>
        <w:t>F</w:t>
      </w:r>
      <w:r>
        <w:rPr>
          <w:color w:val="000000"/>
        </w:rPr>
        <w:t>S</w:t>
      </w:r>
      <w:r>
        <w:rPr>
          <w:color w:val="000000"/>
          <w:spacing w:val="1"/>
        </w:rPr>
        <w:t xml:space="preserve"> S</w:t>
      </w:r>
      <w:r>
        <w:rPr>
          <w:color w:val="000000"/>
        </w:rPr>
        <w:t>A</w:t>
      </w:r>
      <w:r>
        <w:rPr>
          <w:color w:val="000000"/>
          <w:spacing w:val="-1"/>
        </w:rPr>
        <w:t>F</w:t>
      </w:r>
      <w:r>
        <w:rPr>
          <w:color w:val="000000"/>
        </w:rPr>
        <w:t xml:space="preserve">E </w:t>
      </w:r>
      <w:r>
        <w:rPr>
          <w:color w:val="000000"/>
          <w:spacing w:val="-1"/>
        </w:rPr>
        <w:t>re</w:t>
      </w:r>
      <w:r>
        <w:rPr>
          <w:color w:val="000000"/>
        </w:rPr>
        <w:t>qu</w:t>
      </w:r>
      <w:r>
        <w:rPr>
          <w:color w:val="000000"/>
          <w:spacing w:val="3"/>
        </w:rPr>
        <w:t>i</w:t>
      </w:r>
      <w:r>
        <w:rPr>
          <w:color w:val="000000"/>
          <w:spacing w:val="-1"/>
        </w:rPr>
        <w:t>re</w:t>
      </w:r>
      <w:r>
        <w:rPr>
          <w:color w:val="000000"/>
        </w:rPr>
        <w:t>m</w:t>
      </w:r>
      <w:r>
        <w:rPr>
          <w:color w:val="000000"/>
          <w:spacing w:val="-1"/>
        </w:rPr>
        <w:t>e</w:t>
      </w:r>
      <w:r>
        <w:rPr>
          <w:color w:val="000000"/>
        </w:rPr>
        <w:t>nts</w:t>
      </w:r>
      <w:r>
        <w:rPr>
          <w:color w:val="000000"/>
          <w:spacing w:val="3"/>
        </w:rPr>
        <w:t xml:space="preserve"> </w:t>
      </w:r>
      <w:r>
        <w:rPr>
          <w:color w:val="000000"/>
        </w:rPr>
        <w:t>if in</w:t>
      </w:r>
      <w:r>
        <w:rPr>
          <w:color w:val="000000"/>
          <w:spacing w:val="-1"/>
        </w:rPr>
        <w:t>f</w:t>
      </w:r>
      <w:r>
        <w:rPr>
          <w:color w:val="000000"/>
        </w:rPr>
        <w:t>o</w:t>
      </w:r>
      <w:r>
        <w:rPr>
          <w:color w:val="000000"/>
          <w:spacing w:val="-1"/>
        </w:rPr>
        <w:t>r</w:t>
      </w:r>
      <w:r>
        <w:rPr>
          <w:color w:val="000000"/>
        </w:rPr>
        <w:t>m</w:t>
      </w:r>
      <w:r>
        <w:rPr>
          <w:color w:val="000000"/>
          <w:spacing w:val="-1"/>
        </w:rPr>
        <w:t>a</w:t>
      </w:r>
      <w:r>
        <w:rPr>
          <w:color w:val="000000"/>
        </w:rPr>
        <w:t>tion is p</w:t>
      </w:r>
      <w:r>
        <w:rPr>
          <w:color w:val="000000"/>
          <w:spacing w:val="-1"/>
        </w:rPr>
        <w:t>r</w:t>
      </w:r>
      <w:r>
        <w:rPr>
          <w:color w:val="000000"/>
        </w:rPr>
        <w:t>ovid</w:t>
      </w:r>
      <w:r>
        <w:rPr>
          <w:color w:val="000000"/>
          <w:spacing w:val="-1"/>
        </w:rPr>
        <w:t>e</w:t>
      </w:r>
      <w:r>
        <w:rPr>
          <w:color w:val="000000"/>
        </w:rPr>
        <w:t>d to the</w:t>
      </w:r>
      <w:r>
        <w:rPr>
          <w:color w:val="000000"/>
          <w:spacing w:val="-1"/>
        </w:rPr>
        <w:t xml:space="preserve"> </w:t>
      </w:r>
      <w:r>
        <w:rPr>
          <w:color w:val="000000"/>
          <w:spacing w:val="1"/>
        </w:rPr>
        <w:t>C</w:t>
      </w:r>
      <w:r>
        <w:rPr>
          <w:color w:val="000000"/>
        </w:rPr>
        <w:t>oun</w:t>
      </w:r>
      <w:r>
        <w:rPr>
          <w:color w:val="000000"/>
          <w:spacing w:val="-1"/>
        </w:rPr>
        <w:t>c</w:t>
      </w:r>
      <w:r>
        <w:rPr>
          <w:color w:val="000000"/>
        </w:rPr>
        <w:t>il to upd</w:t>
      </w:r>
      <w:r>
        <w:rPr>
          <w:color w:val="000000"/>
          <w:spacing w:val="-1"/>
        </w:rPr>
        <w:t>a</w:t>
      </w:r>
      <w:r>
        <w:rPr>
          <w:color w:val="000000"/>
        </w:rPr>
        <w:t>te</w:t>
      </w:r>
      <w:r>
        <w:rPr>
          <w:color w:val="000000"/>
          <w:spacing w:val="-1"/>
        </w:rPr>
        <w:t xml:space="preserve"> </w:t>
      </w:r>
      <w:r>
        <w:rPr>
          <w:color w:val="000000"/>
        </w:rPr>
        <w:t>n</w:t>
      </w:r>
      <w:r>
        <w:rPr>
          <w:color w:val="000000"/>
          <w:spacing w:val="-1"/>
        </w:rPr>
        <w:t>ece</w:t>
      </w:r>
      <w:r>
        <w:rPr>
          <w:color w:val="000000"/>
        </w:rPr>
        <w:t>ss</w:t>
      </w:r>
      <w:r>
        <w:rPr>
          <w:color w:val="000000"/>
          <w:spacing w:val="1"/>
        </w:rPr>
        <w:t>a</w:t>
      </w:r>
      <w:r>
        <w:rPr>
          <w:color w:val="000000"/>
          <w:spacing w:val="4"/>
        </w:rPr>
        <w:t>r</w:t>
      </w:r>
      <w:r>
        <w:rPr>
          <w:color w:val="000000"/>
        </w:rPr>
        <w:t>y</w:t>
      </w:r>
      <w:r>
        <w:rPr>
          <w:color w:val="000000"/>
          <w:spacing w:val="-5"/>
        </w:rPr>
        <w:t xml:space="preserve"> </w:t>
      </w:r>
      <w:r>
        <w:rPr>
          <w:color w:val="000000"/>
        </w:rPr>
        <w:t>s</w:t>
      </w:r>
      <w:r>
        <w:rPr>
          <w:color w:val="000000"/>
          <w:spacing w:val="-1"/>
        </w:rPr>
        <w:t>ec</w:t>
      </w:r>
      <w:r>
        <w:rPr>
          <w:color w:val="000000"/>
        </w:rPr>
        <w:t>tions.</w:t>
      </w:r>
    </w:p>
    <w:p w14:paraId="371D367E" w14:textId="77777777" w:rsidR="00DC4922" w:rsidRPr="00197461" w:rsidRDefault="00DC4922" w:rsidP="00DC4922">
      <w:pPr>
        <w:rPr>
          <w:color w:val="000000"/>
          <w:spacing w:val="1"/>
        </w:rPr>
      </w:pPr>
    </w:p>
    <w:p w14:paraId="76C04800" w14:textId="77777777" w:rsidR="00DC4922" w:rsidRPr="00EB603B" w:rsidRDefault="00DC4922" w:rsidP="00DC4922">
      <w:pPr>
        <w:rPr>
          <w:b/>
          <w:i/>
          <w:color w:val="000000"/>
        </w:rPr>
      </w:pPr>
      <w:r w:rsidRPr="00EB603B">
        <w:rPr>
          <w:b/>
          <w:i/>
          <w:color w:val="000000"/>
          <w:spacing w:val="1"/>
        </w:rPr>
        <w:t>E</w:t>
      </w:r>
      <w:r w:rsidRPr="00EB603B">
        <w:rPr>
          <w:b/>
          <w:i/>
          <w:color w:val="000000"/>
        </w:rPr>
        <w:t xml:space="preserve">FH </w:t>
      </w:r>
      <w:r w:rsidRPr="00EB603B">
        <w:rPr>
          <w:b/>
          <w:i/>
          <w:color w:val="000000"/>
          <w:spacing w:val="1"/>
        </w:rPr>
        <w:t>a</w:t>
      </w:r>
      <w:r w:rsidRPr="00EB603B">
        <w:rPr>
          <w:b/>
          <w:i/>
          <w:color w:val="000000"/>
        </w:rPr>
        <w:t xml:space="preserve">nd </w:t>
      </w:r>
      <w:r w:rsidRPr="00EB603B">
        <w:rPr>
          <w:b/>
          <w:i/>
          <w:color w:val="000000"/>
          <w:spacing w:val="1"/>
        </w:rPr>
        <w:t>E</w:t>
      </w:r>
      <w:r w:rsidRPr="00EB603B">
        <w:rPr>
          <w:b/>
          <w:i/>
          <w:color w:val="000000"/>
        </w:rPr>
        <w:t>FH</w:t>
      </w:r>
      <w:r w:rsidRPr="00EB603B">
        <w:rPr>
          <w:b/>
          <w:i/>
          <w:color w:val="000000"/>
          <w:spacing w:val="-1"/>
        </w:rPr>
        <w:t>-</w:t>
      </w:r>
      <w:r w:rsidRPr="00EB603B">
        <w:rPr>
          <w:b/>
          <w:i/>
          <w:color w:val="000000"/>
          <w:spacing w:val="2"/>
        </w:rPr>
        <w:t>H</w:t>
      </w:r>
      <w:r w:rsidRPr="00EB603B">
        <w:rPr>
          <w:b/>
          <w:i/>
          <w:color w:val="000000"/>
          <w:spacing w:val="-5"/>
        </w:rPr>
        <w:t>A</w:t>
      </w:r>
      <w:r w:rsidRPr="00EB603B">
        <w:rPr>
          <w:b/>
          <w:i/>
          <w:color w:val="000000"/>
          <w:spacing w:val="1"/>
        </w:rPr>
        <w:t>P</w:t>
      </w:r>
      <w:r w:rsidRPr="00EB603B">
        <w:rPr>
          <w:b/>
          <w:i/>
          <w:color w:val="000000"/>
        </w:rPr>
        <w:t>C</w:t>
      </w:r>
      <w:r w:rsidRPr="00EB603B">
        <w:rPr>
          <w:b/>
          <w:i/>
          <w:color w:val="000000"/>
          <w:spacing w:val="2"/>
        </w:rPr>
        <w:t xml:space="preserve"> </w:t>
      </w:r>
      <w:r w:rsidRPr="00EB603B">
        <w:rPr>
          <w:b/>
          <w:i/>
          <w:color w:val="000000"/>
        </w:rPr>
        <w:t>D</w:t>
      </w:r>
      <w:r w:rsidRPr="00EB603B">
        <w:rPr>
          <w:b/>
          <w:i/>
          <w:color w:val="000000"/>
          <w:spacing w:val="1"/>
        </w:rPr>
        <w:t>es</w:t>
      </w:r>
      <w:r w:rsidRPr="00EB603B">
        <w:rPr>
          <w:b/>
          <w:i/>
          <w:color w:val="000000"/>
        </w:rPr>
        <w:t>ign</w:t>
      </w:r>
      <w:r w:rsidRPr="00EB603B">
        <w:rPr>
          <w:b/>
          <w:i/>
          <w:color w:val="000000"/>
          <w:spacing w:val="1"/>
        </w:rPr>
        <w:t>a</w:t>
      </w:r>
      <w:r w:rsidRPr="00EB603B">
        <w:rPr>
          <w:b/>
          <w:i/>
          <w:color w:val="000000"/>
          <w:spacing w:val="-1"/>
        </w:rPr>
        <w:t>t</w:t>
      </w:r>
      <w:r w:rsidRPr="00EB603B">
        <w:rPr>
          <w:b/>
          <w:i/>
          <w:color w:val="000000"/>
        </w:rPr>
        <w:t>ions</w:t>
      </w:r>
      <w:r w:rsidRPr="00EB603B">
        <w:rPr>
          <w:b/>
          <w:i/>
          <w:color w:val="000000"/>
          <w:spacing w:val="1"/>
        </w:rPr>
        <w:t xml:space="preserve"> </w:t>
      </w:r>
      <w:r w:rsidRPr="00EB603B">
        <w:rPr>
          <w:b/>
          <w:i/>
          <w:color w:val="000000"/>
        </w:rPr>
        <w:t>T</w:t>
      </w:r>
      <w:r w:rsidRPr="00EB603B">
        <w:rPr>
          <w:b/>
          <w:i/>
          <w:color w:val="000000"/>
          <w:spacing w:val="-2"/>
        </w:rPr>
        <w:t>r</w:t>
      </w:r>
      <w:r w:rsidRPr="00EB603B">
        <w:rPr>
          <w:b/>
          <w:i/>
          <w:color w:val="000000"/>
          <w:spacing w:val="1"/>
        </w:rPr>
        <w:t>a</w:t>
      </w:r>
      <w:r w:rsidRPr="00EB603B">
        <w:rPr>
          <w:b/>
          <w:i/>
          <w:color w:val="000000"/>
        </w:rPr>
        <w:t>n</w:t>
      </w:r>
      <w:r w:rsidRPr="00EB603B">
        <w:rPr>
          <w:b/>
          <w:i/>
          <w:color w:val="000000"/>
          <w:spacing w:val="1"/>
        </w:rPr>
        <w:t>s</w:t>
      </w:r>
      <w:r w:rsidRPr="00EB603B">
        <w:rPr>
          <w:b/>
          <w:i/>
          <w:color w:val="000000"/>
          <w:spacing w:val="-2"/>
        </w:rPr>
        <w:t>l</w:t>
      </w:r>
      <w:r w:rsidRPr="00EB603B">
        <w:rPr>
          <w:b/>
          <w:i/>
          <w:color w:val="000000"/>
          <w:spacing w:val="-1"/>
        </w:rPr>
        <w:t>at</w:t>
      </w:r>
      <w:r w:rsidRPr="00EB603B">
        <w:rPr>
          <w:b/>
          <w:i/>
          <w:color w:val="000000"/>
          <w:spacing w:val="1"/>
        </w:rPr>
        <w:t>e</w:t>
      </w:r>
      <w:r w:rsidRPr="00EB603B">
        <w:rPr>
          <w:b/>
          <w:i/>
          <w:color w:val="000000"/>
        </w:rPr>
        <w:t xml:space="preserve">d </w:t>
      </w:r>
      <w:r w:rsidRPr="00EB603B">
        <w:rPr>
          <w:b/>
          <w:i/>
          <w:color w:val="000000"/>
          <w:spacing w:val="-1"/>
        </w:rPr>
        <w:t>t</w:t>
      </w:r>
      <w:r w:rsidRPr="00EB603B">
        <w:rPr>
          <w:b/>
          <w:i/>
          <w:color w:val="000000"/>
        </w:rPr>
        <w:t>o Coop</w:t>
      </w:r>
      <w:r w:rsidRPr="00EB603B">
        <w:rPr>
          <w:b/>
          <w:i/>
          <w:color w:val="000000"/>
          <w:spacing w:val="1"/>
        </w:rPr>
        <w:t>e</w:t>
      </w:r>
      <w:r w:rsidRPr="00EB603B">
        <w:rPr>
          <w:b/>
          <w:i/>
          <w:color w:val="000000"/>
        </w:rPr>
        <w:t>r</w:t>
      </w:r>
      <w:r w:rsidRPr="00EB603B">
        <w:rPr>
          <w:b/>
          <w:i/>
          <w:color w:val="000000"/>
          <w:spacing w:val="1"/>
        </w:rPr>
        <w:t>a</w:t>
      </w:r>
      <w:r w:rsidRPr="00EB603B">
        <w:rPr>
          <w:b/>
          <w:i/>
          <w:color w:val="000000"/>
          <w:spacing w:val="-1"/>
        </w:rPr>
        <w:t>t</w:t>
      </w:r>
      <w:r w:rsidRPr="00EB603B">
        <w:rPr>
          <w:b/>
          <w:i/>
          <w:color w:val="000000"/>
        </w:rPr>
        <w:t>i</w:t>
      </w:r>
      <w:r w:rsidRPr="00EB603B">
        <w:rPr>
          <w:b/>
          <w:i/>
          <w:color w:val="000000"/>
          <w:spacing w:val="-4"/>
        </w:rPr>
        <w:t>v</w:t>
      </w:r>
      <w:r w:rsidRPr="00EB603B">
        <w:rPr>
          <w:b/>
          <w:i/>
          <w:color w:val="000000"/>
        </w:rPr>
        <w:t>e</w:t>
      </w:r>
      <w:r w:rsidRPr="00EB603B">
        <w:rPr>
          <w:b/>
          <w:i/>
          <w:color w:val="000000"/>
          <w:spacing w:val="1"/>
        </w:rPr>
        <w:t xml:space="preserve"> </w:t>
      </w:r>
      <w:r w:rsidRPr="00EB603B">
        <w:rPr>
          <w:b/>
          <w:i/>
          <w:color w:val="000000"/>
          <w:spacing w:val="2"/>
        </w:rPr>
        <w:t>H</w:t>
      </w:r>
      <w:r w:rsidRPr="00EB603B">
        <w:rPr>
          <w:b/>
          <w:i/>
          <w:color w:val="000000"/>
          <w:spacing w:val="1"/>
        </w:rPr>
        <w:t>a</w:t>
      </w:r>
      <w:r w:rsidRPr="00EB603B">
        <w:rPr>
          <w:b/>
          <w:i/>
          <w:color w:val="000000"/>
        </w:rPr>
        <w:t>bi</w:t>
      </w:r>
      <w:r w:rsidRPr="00EB603B">
        <w:rPr>
          <w:b/>
          <w:i/>
          <w:color w:val="000000"/>
          <w:spacing w:val="-1"/>
        </w:rPr>
        <w:t>t</w:t>
      </w:r>
      <w:r w:rsidRPr="00EB603B">
        <w:rPr>
          <w:b/>
          <w:i/>
          <w:color w:val="000000"/>
          <w:spacing w:val="1"/>
        </w:rPr>
        <w:t>a</w:t>
      </w:r>
      <w:r w:rsidRPr="00EB603B">
        <w:rPr>
          <w:b/>
          <w:i/>
          <w:color w:val="000000"/>
        </w:rPr>
        <w:t xml:space="preserve">t </w:t>
      </w:r>
      <w:r w:rsidRPr="00EB603B">
        <w:rPr>
          <w:b/>
          <w:i/>
          <w:color w:val="000000"/>
          <w:spacing w:val="1"/>
        </w:rPr>
        <w:t>P</w:t>
      </w:r>
      <w:r w:rsidRPr="00EB603B">
        <w:rPr>
          <w:b/>
          <w:i/>
          <w:color w:val="000000"/>
        </w:rPr>
        <w:t>ol</w:t>
      </w:r>
      <w:r w:rsidRPr="00EB603B">
        <w:rPr>
          <w:b/>
          <w:i/>
          <w:color w:val="000000"/>
          <w:spacing w:val="-2"/>
        </w:rPr>
        <w:t>i</w:t>
      </w:r>
      <w:r w:rsidRPr="00EB603B">
        <w:rPr>
          <w:b/>
          <w:i/>
          <w:color w:val="000000"/>
          <w:spacing w:val="3"/>
        </w:rPr>
        <w:t>c</w:t>
      </w:r>
      <w:r w:rsidRPr="00EB603B">
        <w:rPr>
          <w:b/>
          <w:i/>
          <w:color w:val="000000"/>
        </w:rPr>
        <w:t>y D</w:t>
      </w:r>
      <w:r w:rsidRPr="00EB603B">
        <w:rPr>
          <w:b/>
          <w:i/>
          <w:color w:val="000000"/>
          <w:spacing w:val="1"/>
        </w:rPr>
        <w:t>e</w:t>
      </w:r>
      <w:r w:rsidRPr="00EB603B">
        <w:rPr>
          <w:b/>
          <w:i/>
          <w:color w:val="000000"/>
          <w:spacing w:val="-4"/>
        </w:rPr>
        <w:t>v</w:t>
      </w:r>
      <w:r w:rsidRPr="00EB603B">
        <w:rPr>
          <w:b/>
          <w:i/>
          <w:color w:val="000000"/>
          <w:spacing w:val="1"/>
        </w:rPr>
        <w:t>e</w:t>
      </w:r>
      <w:r w:rsidRPr="00EB603B">
        <w:rPr>
          <w:b/>
          <w:i/>
          <w:color w:val="000000"/>
        </w:rPr>
        <w:t>lopm</w:t>
      </w:r>
      <w:r w:rsidRPr="00EB603B">
        <w:rPr>
          <w:b/>
          <w:i/>
          <w:color w:val="000000"/>
          <w:spacing w:val="1"/>
        </w:rPr>
        <w:t>e</w:t>
      </w:r>
      <w:r w:rsidRPr="00EB603B">
        <w:rPr>
          <w:b/>
          <w:i/>
          <w:color w:val="000000"/>
        </w:rPr>
        <w:t xml:space="preserve">nt </w:t>
      </w:r>
      <w:r w:rsidRPr="00EB603B">
        <w:rPr>
          <w:b/>
          <w:i/>
          <w:color w:val="000000"/>
          <w:spacing w:val="1"/>
        </w:rPr>
        <w:t>a</w:t>
      </w:r>
      <w:r w:rsidRPr="00EB603B">
        <w:rPr>
          <w:b/>
          <w:i/>
          <w:color w:val="000000"/>
        </w:rPr>
        <w:t xml:space="preserve">nd </w:t>
      </w:r>
      <w:r w:rsidRPr="00EB603B">
        <w:rPr>
          <w:b/>
          <w:i/>
          <w:color w:val="000000"/>
          <w:spacing w:val="1"/>
        </w:rPr>
        <w:t>P</w:t>
      </w:r>
      <w:r w:rsidRPr="00EB603B">
        <w:rPr>
          <w:b/>
          <w:i/>
          <w:color w:val="000000"/>
        </w:rPr>
        <w:t>ro</w:t>
      </w:r>
      <w:r w:rsidRPr="00EB603B">
        <w:rPr>
          <w:b/>
          <w:i/>
          <w:color w:val="000000"/>
          <w:spacing w:val="-1"/>
        </w:rPr>
        <w:t>t</w:t>
      </w:r>
      <w:r w:rsidRPr="00EB603B">
        <w:rPr>
          <w:b/>
          <w:i/>
          <w:color w:val="000000"/>
          <w:spacing w:val="1"/>
        </w:rPr>
        <w:t>ec</w:t>
      </w:r>
      <w:r w:rsidRPr="00EB603B">
        <w:rPr>
          <w:b/>
          <w:i/>
          <w:color w:val="000000"/>
          <w:spacing w:val="-1"/>
        </w:rPr>
        <w:t>t</w:t>
      </w:r>
      <w:r w:rsidRPr="00EB603B">
        <w:rPr>
          <w:b/>
          <w:i/>
          <w:color w:val="000000"/>
        </w:rPr>
        <w:t xml:space="preserve">ion </w:t>
      </w:r>
    </w:p>
    <w:p w14:paraId="49972C19" w14:textId="77777777" w:rsidR="00DC4922" w:rsidRDefault="00DC4922" w:rsidP="00640526">
      <w:pPr>
        <w:ind w:firstLine="360"/>
        <w:rPr>
          <w:color w:val="000000"/>
        </w:rPr>
      </w:pPr>
      <w:r>
        <w:rPr>
          <w:color w:val="000000"/>
        </w:rPr>
        <w:t>The</w:t>
      </w:r>
      <w:r>
        <w:rPr>
          <w:color w:val="000000"/>
          <w:spacing w:val="-1"/>
        </w:rPr>
        <w:t xml:space="preserve"> </w:t>
      </w:r>
      <w:r>
        <w:rPr>
          <w:color w:val="000000"/>
          <w:spacing w:val="1"/>
        </w:rPr>
        <w:t>C</w:t>
      </w:r>
      <w:r>
        <w:rPr>
          <w:color w:val="000000"/>
        </w:rPr>
        <w:t>oun</w:t>
      </w:r>
      <w:r>
        <w:rPr>
          <w:color w:val="000000"/>
          <w:spacing w:val="-1"/>
        </w:rPr>
        <w:t>c</w:t>
      </w:r>
      <w:r>
        <w:rPr>
          <w:color w:val="000000"/>
        </w:rPr>
        <w:t xml:space="preserve">il </w:t>
      </w:r>
      <w:r>
        <w:rPr>
          <w:color w:val="000000"/>
          <w:spacing w:val="-1"/>
        </w:rPr>
        <w:t>ac</w:t>
      </w:r>
      <w:r>
        <w:rPr>
          <w:color w:val="000000"/>
        </w:rPr>
        <w:t>tiv</w:t>
      </w:r>
      <w:r>
        <w:rPr>
          <w:color w:val="000000"/>
          <w:spacing w:val="-1"/>
        </w:rPr>
        <w:t>e</w:t>
      </w:r>
      <w:r>
        <w:rPr>
          <w:color w:val="000000"/>
          <w:spacing w:val="3"/>
        </w:rPr>
        <w:t>l</w:t>
      </w:r>
      <w:r>
        <w:rPr>
          <w:color w:val="000000"/>
        </w:rPr>
        <w:t>y</w:t>
      </w:r>
      <w:r>
        <w:rPr>
          <w:color w:val="000000"/>
          <w:spacing w:val="-2"/>
        </w:rPr>
        <w:t xml:space="preserve"> </w:t>
      </w:r>
      <w:r>
        <w:rPr>
          <w:color w:val="000000"/>
          <w:spacing w:val="-1"/>
        </w:rPr>
        <w:t>c</w:t>
      </w:r>
      <w:r>
        <w:rPr>
          <w:color w:val="000000"/>
        </w:rPr>
        <w:t>omm</w:t>
      </w:r>
      <w:r>
        <w:rPr>
          <w:color w:val="000000"/>
          <w:spacing w:val="-1"/>
        </w:rPr>
        <w:t>e</w:t>
      </w:r>
      <w:r>
        <w:rPr>
          <w:color w:val="000000"/>
        </w:rPr>
        <w:t>nts on non</w:t>
      </w:r>
      <w:r>
        <w:rPr>
          <w:color w:val="000000"/>
          <w:spacing w:val="-1"/>
        </w:rPr>
        <w:t>-f</w:t>
      </w:r>
      <w:r>
        <w:rPr>
          <w:color w:val="000000"/>
        </w:rPr>
        <w:t>ishing</w:t>
      </w:r>
      <w:r>
        <w:rPr>
          <w:color w:val="000000"/>
          <w:spacing w:val="-2"/>
        </w:rPr>
        <w:t xml:space="preserve"> </w:t>
      </w:r>
      <w:r>
        <w:rPr>
          <w:color w:val="000000"/>
        </w:rPr>
        <w:t>p</w:t>
      </w:r>
      <w:r>
        <w:rPr>
          <w:color w:val="000000"/>
          <w:spacing w:val="-1"/>
        </w:rPr>
        <w:t>r</w:t>
      </w:r>
      <w:r>
        <w:rPr>
          <w:color w:val="000000"/>
        </w:rPr>
        <w:t>o</w:t>
      </w:r>
      <w:r>
        <w:rPr>
          <w:color w:val="000000"/>
          <w:spacing w:val="3"/>
        </w:rPr>
        <w:t>j</w:t>
      </w:r>
      <w:r>
        <w:rPr>
          <w:color w:val="000000"/>
          <w:spacing w:val="-1"/>
        </w:rPr>
        <w:t>ec</w:t>
      </w:r>
      <w:r>
        <w:rPr>
          <w:color w:val="000000"/>
        </w:rPr>
        <w:t>ts or</w:t>
      </w:r>
      <w:r>
        <w:rPr>
          <w:color w:val="000000"/>
          <w:spacing w:val="-1"/>
        </w:rPr>
        <w:t xml:space="preserve"> </w:t>
      </w:r>
      <w:r>
        <w:rPr>
          <w:color w:val="000000"/>
        </w:rPr>
        <w:t>poli</w:t>
      </w:r>
      <w:r>
        <w:rPr>
          <w:color w:val="000000"/>
          <w:spacing w:val="-1"/>
        </w:rPr>
        <w:t>c</w:t>
      </w:r>
      <w:r>
        <w:rPr>
          <w:color w:val="000000"/>
          <w:spacing w:val="3"/>
        </w:rPr>
        <w:t>i</w:t>
      </w:r>
      <w:r>
        <w:rPr>
          <w:color w:val="000000"/>
          <w:spacing w:val="-1"/>
        </w:rPr>
        <w:t>e</w:t>
      </w:r>
      <w:r>
        <w:rPr>
          <w:color w:val="000000"/>
        </w:rPr>
        <w:t>s th</w:t>
      </w:r>
      <w:r>
        <w:rPr>
          <w:color w:val="000000"/>
          <w:spacing w:val="-1"/>
        </w:rPr>
        <w:t>a</w:t>
      </w:r>
      <w:r>
        <w:rPr>
          <w:color w:val="000000"/>
        </w:rPr>
        <w:t>t m</w:t>
      </w:r>
      <w:r>
        <w:rPr>
          <w:color w:val="000000"/>
          <w:spacing w:val="1"/>
        </w:rPr>
        <w:t>a</w:t>
      </w:r>
      <w:r>
        <w:rPr>
          <w:color w:val="000000"/>
        </w:rPr>
        <w:t>y</w:t>
      </w:r>
      <w:r>
        <w:rPr>
          <w:color w:val="000000"/>
          <w:spacing w:val="-5"/>
        </w:rPr>
        <w:t xml:space="preserve"> </w:t>
      </w:r>
      <w:r>
        <w:rPr>
          <w:color w:val="000000"/>
        </w:rPr>
        <w:t>imp</w:t>
      </w:r>
      <w:r>
        <w:rPr>
          <w:color w:val="000000"/>
          <w:spacing w:val="1"/>
        </w:rPr>
        <w:t>a</w:t>
      </w:r>
      <w:r>
        <w:rPr>
          <w:color w:val="000000"/>
          <w:spacing w:val="-1"/>
        </w:rPr>
        <w:t>c</w:t>
      </w:r>
      <w:r>
        <w:rPr>
          <w:color w:val="000000"/>
        </w:rPr>
        <w:t xml:space="preserve">t </w:t>
      </w:r>
      <w:r>
        <w:rPr>
          <w:color w:val="000000"/>
          <w:spacing w:val="-1"/>
        </w:rPr>
        <w:t>f</w:t>
      </w:r>
      <w:r>
        <w:rPr>
          <w:color w:val="000000"/>
        </w:rPr>
        <w:t>ish h</w:t>
      </w:r>
      <w:r>
        <w:rPr>
          <w:color w:val="000000"/>
          <w:spacing w:val="-1"/>
        </w:rPr>
        <w:t>a</w:t>
      </w:r>
      <w:r>
        <w:rPr>
          <w:color w:val="000000"/>
        </w:rPr>
        <w:t>bit</w:t>
      </w:r>
      <w:r>
        <w:rPr>
          <w:color w:val="000000"/>
          <w:spacing w:val="-1"/>
        </w:rPr>
        <w:t>a</w:t>
      </w:r>
      <w:r>
        <w:rPr>
          <w:color w:val="000000"/>
        </w:rPr>
        <w:t xml:space="preserve">t. </w:t>
      </w:r>
      <w:r w:rsidRPr="00913523">
        <w:rPr>
          <w:color w:val="000000"/>
        </w:rPr>
        <w:t>App</w:t>
      </w:r>
      <w:r w:rsidRPr="00913523">
        <w:rPr>
          <w:color w:val="000000"/>
          <w:spacing w:val="-1"/>
        </w:rPr>
        <w:t>e</w:t>
      </w:r>
      <w:r w:rsidRPr="00913523">
        <w:rPr>
          <w:color w:val="000000"/>
        </w:rPr>
        <w:t>ndix</w:t>
      </w:r>
      <w:r w:rsidRPr="00913523">
        <w:rPr>
          <w:color w:val="000000"/>
          <w:spacing w:val="2"/>
        </w:rPr>
        <w:t xml:space="preserve"> </w:t>
      </w:r>
      <w:r w:rsidRPr="00913523">
        <w:rPr>
          <w:color w:val="000000"/>
        </w:rPr>
        <w:t>A</w:t>
      </w:r>
      <w:r>
        <w:rPr>
          <w:color w:val="000000"/>
        </w:rPr>
        <w:t xml:space="preserve"> of</w:t>
      </w:r>
      <w:r>
        <w:rPr>
          <w:color w:val="000000"/>
          <w:spacing w:val="-1"/>
        </w:rPr>
        <w:t xml:space="preserve"> </w:t>
      </w:r>
      <w:r>
        <w:rPr>
          <w:color w:val="000000"/>
        </w:rPr>
        <w:t>the</w:t>
      </w:r>
      <w:r>
        <w:rPr>
          <w:color w:val="000000"/>
          <w:spacing w:val="-1"/>
        </w:rPr>
        <w:t xml:space="preserve"> </w:t>
      </w:r>
      <w:r>
        <w:rPr>
          <w:color w:val="000000"/>
          <w:spacing w:val="1"/>
        </w:rPr>
        <w:t>C</w:t>
      </w:r>
      <w:r>
        <w:rPr>
          <w:color w:val="000000"/>
        </w:rPr>
        <w:t>omp</w:t>
      </w:r>
      <w:r>
        <w:rPr>
          <w:color w:val="000000"/>
          <w:spacing w:val="-1"/>
        </w:rPr>
        <w:t>re</w:t>
      </w:r>
      <w:r>
        <w:rPr>
          <w:color w:val="000000"/>
        </w:rPr>
        <w:t>h</w:t>
      </w:r>
      <w:r>
        <w:rPr>
          <w:color w:val="000000"/>
          <w:spacing w:val="-1"/>
        </w:rPr>
        <w:t>e</w:t>
      </w:r>
      <w:r>
        <w:rPr>
          <w:color w:val="000000"/>
        </w:rPr>
        <w:t>nsive</w:t>
      </w:r>
      <w:r>
        <w:rPr>
          <w:color w:val="000000"/>
          <w:spacing w:val="-1"/>
        </w:rPr>
        <w:t xml:space="preserve"> </w:t>
      </w:r>
      <w:r>
        <w:rPr>
          <w:color w:val="000000"/>
        </w:rPr>
        <w:t>Am</w:t>
      </w:r>
      <w:r>
        <w:rPr>
          <w:color w:val="000000"/>
          <w:spacing w:val="-1"/>
        </w:rPr>
        <w:t>e</w:t>
      </w:r>
      <w:r>
        <w:rPr>
          <w:color w:val="000000"/>
        </w:rPr>
        <w:t>nd</w:t>
      </w:r>
      <w:r>
        <w:rPr>
          <w:color w:val="000000"/>
          <w:spacing w:val="3"/>
        </w:rPr>
        <w:t>m</w:t>
      </w:r>
      <w:r>
        <w:rPr>
          <w:color w:val="000000"/>
          <w:spacing w:val="1"/>
        </w:rPr>
        <w:t>e</w:t>
      </w:r>
      <w:r>
        <w:rPr>
          <w:color w:val="000000"/>
        </w:rPr>
        <w:t>nt Add</w:t>
      </w:r>
      <w:r>
        <w:rPr>
          <w:color w:val="000000"/>
          <w:spacing w:val="-1"/>
        </w:rPr>
        <w:t>re</w:t>
      </w:r>
      <w:r>
        <w:rPr>
          <w:color w:val="000000"/>
        </w:rPr>
        <w:t>ssing</w:t>
      </w:r>
      <w:r>
        <w:rPr>
          <w:color w:val="000000"/>
          <w:spacing w:val="-2"/>
        </w:rPr>
        <w:t xml:space="preserve"> </w:t>
      </w:r>
      <w:r>
        <w:rPr>
          <w:color w:val="000000"/>
        </w:rPr>
        <w:t>Es</w:t>
      </w:r>
      <w:r>
        <w:rPr>
          <w:color w:val="000000"/>
          <w:spacing w:val="3"/>
        </w:rPr>
        <w:t>s</w:t>
      </w:r>
      <w:r>
        <w:rPr>
          <w:color w:val="000000"/>
          <w:spacing w:val="-1"/>
        </w:rPr>
        <w:t>e</w:t>
      </w:r>
      <w:r>
        <w:rPr>
          <w:color w:val="000000"/>
        </w:rPr>
        <w:t>nti</w:t>
      </w:r>
      <w:r>
        <w:rPr>
          <w:color w:val="000000"/>
          <w:spacing w:val="-1"/>
        </w:rPr>
        <w:t>a</w:t>
      </w:r>
      <w:r>
        <w:rPr>
          <w:color w:val="000000"/>
        </w:rPr>
        <w:t xml:space="preserve">l </w:t>
      </w:r>
      <w:r>
        <w:rPr>
          <w:color w:val="000000"/>
          <w:spacing w:val="-1"/>
        </w:rPr>
        <w:t>F</w:t>
      </w:r>
      <w:r>
        <w:rPr>
          <w:color w:val="000000"/>
        </w:rPr>
        <w:t>ish H</w:t>
      </w:r>
      <w:r>
        <w:rPr>
          <w:color w:val="000000"/>
          <w:spacing w:val="-1"/>
        </w:rPr>
        <w:t>a</w:t>
      </w:r>
      <w:r>
        <w:rPr>
          <w:color w:val="000000"/>
        </w:rPr>
        <w:t>bit</w:t>
      </w:r>
      <w:r>
        <w:rPr>
          <w:color w:val="000000"/>
          <w:spacing w:val="-1"/>
        </w:rPr>
        <w:t>a</w:t>
      </w:r>
      <w:r>
        <w:rPr>
          <w:color w:val="000000"/>
        </w:rPr>
        <w:t xml:space="preserve">t in </w:t>
      </w:r>
      <w:r>
        <w:rPr>
          <w:color w:val="000000"/>
          <w:spacing w:val="-1"/>
        </w:rPr>
        <w:t>F</w:t>
      </w:r>
      <w:r>
        <w:rPr>
          <w:color w:val="000000"/>
        </w:rPr>
        <w:t>ish</w:t>
      </w:r>
      <w:r>
        <w:rPr>
          <w:color w:val="000000"/>
          <w:spacing w:val="-1"/>
        </w:rPr>
        <w:t>e</w:t>
      </w:r>
      <w:r>
        <w:rPr>
          <w:color w:val="000000"/>
          <w:spacing w:val="4"/>
        </w:rPr>
        <w:t>r</w:t>
      </w:r>
      <w:r>
        <w:rPr>
          <w:color w:val="000000"/>
        </w:rPr>
        <w:t>y</w:t>
      </w:r>
      <w:r>
        <w:rPr>
          <w:color w:val="000000"/>
          <w:spacing w:val="-5"/>
        </w:rPr>
        <w:t xml:space="preserve"> </w:t>
      </w:r>
      <w:r>
        <w:rPr>
          <w:color w:val="000000"/>
        </w:rPr>
        <w:t>M</w:t>
      </w:r>
      <w:r>
        <w:rPr>
          <w:color w:val="000000"/>
          <w:spacing w:val="-1"/>
        </w:rPr>
        <w:t>a</w:t>
      </w:r>
      <w:r>
        <w:rPr>
          <w:color w:val="000000"/>
          <w:spacing w:val="2"/>
        </w:rPr>
        <w:t>n</w:t>
      </w:r>
      <w:r>
        <w:rPr>
          <w:color w:val="000000"/>
          <w:spacing w:val="1"/>
        </w:rPr>
        <w:t>a</w:t>
      </w:r>
      <w:r>
        <w:rPr>
          <w:color w:val="000000"/>
          <w:spacing w:val="-2"/>
        </w:rPr>
        <w:t>g</w:t>
      </w:r>
      <w:r>
        <w:rPr>
          <w:color w:val="000000"/>
          <w:spacing w:val="-1"/>
        </w:rPr>
        <w:t>e</w:t>
      </w:r>
      <w:r>
        <w:rPr>
          <w:color w:val="000000"/>
          <w:spacing w:val="3"/>
        </w:rPr>
        <w:t>m</w:t>
      </w:r>
      <w:r>
        <w:rPr>
          <w:color w:val="000000"/>
          <w:spacing w:val="-1"/>
        </w:rPr>
        <w:t>e</w:t>
      </w:r>
      <w:r>
        <w:rPr>
          <w:color w:val="000000"/>
        </w:rPr>
        <w:t xml:space="preserve">nt </w:t>
      </w:r>
      <w:r>
        <w:rPr>
          <w:color w:val="000000"/>
          <w:spacing w:val="1"/>
        </w:rPr>
        <w:t>P</w:t>
      </w:r>
      <w:r>
        <w:rPr>
          <w:color w:val="000000"/>
        </w:rPr>
        <w:t>l</w:t>
      </w:r>
      <w:r>
        <w:rPr>
          <w:color w:val="000000"/>
          <w:spacing w:val="-1"/>
        </w:rPr>
        <w:t>a</w:t>
      </w:r>
      <w:r>
        <w:rPr>
          <w:color w:val="000000"/>
        </w:rPr>
        <w:t>ns of</w:t>
      </w:r>
      <w:r>
        <w:rPr>
          <w:color w:val="000000"/>
          <w:spacing w:val="-1"/>
        </w:rPr>
        <w:t xml:space="preserve"> </w:t>
      </w:r>
      <w:r>
        <w:rPr>
          <w:color w:val="000000"/>
        </w:rPr>
        <w:t>the</w:t>
      </w:r>
      <w:r>
        <w:rPr>
          <w:color w:val="000000"/>
          <w:spacing w:val="-1"/>
        </w:rPr>
        <w:t xml:space="preserve"> </w:t>
      </w:r>
      <w:r>
        <w:rPr>
          <w:color w:val="000000"/>
          <w:spacing w:val="1"/>
        </w:rPr>
        <w:t>S</w:t>
      </w:r>
      <w:r>
        <w:rPr>
          <w:color w:val="000000"/>
        </w:rPr>
        <w:t>outh Atl</w:t>
      </w:r>
      <w:r>
        <w:rPr>
          <w:color w:val="000000"/>
          <w:spacing w:val="-1"/>
        </w:rPr>
        <w:t>a</w:t>
      </w:r>
      <w:r>
        <w:rPr>
          <w:color w:val="000000"/>
        </w:rPr>
        <w:t>ntic</w:t>
      </w:r>
      <w:r>
        <w:rPr>
          <w:color w:val="000000"/>
          <w:spacing w:val="-1"/>
        </w:rPr>
        <w:t xml:space="preserve"> </w:t>
      </w:r>
      <w:r>
        <w:rPr>
          <w:color w:val="000000"/>
          <w:spacing w:val="1"/>
        </w:rPr>
        <w:t>R</w:t>
      </w:r>
      <w:r>
        <w:rPr>
          <w:color w:val="000000"/>
          <w:spacing w:val="-1"/>
        </w:rPr>
        <w:t>e</w:t>
      </w:r>
      <w:r>
        <w:rPr>
          <w:color w:val="000000"/>
          <w:spacing w:val="-2"/>
        </w:rPr>
        <w:t>g</w:t>
      </w:r>
      <w:r>
        <w:rPr>
          <w:color w:val="000000"/>
        </w:rPr>
        <w:t xml:space="preserve">ion </w:t>
      </w:r>
      <w:r>
        <w:rPr>
          <w:color w:val="000000"/>
          <w:spacing w:val="-1"/>
        </w:rPr>
        <w:t>(</w:t>
      </w:r>
      <w:r>
        <w:rPr>
          <w:color w:val="000000"/>
          <w:spacing w:val="1"/>
        </w:rPr>
        <w:t>S</w:t>
      </w:r>
      <w:r>
        <w:rPr>
          <w:color w:val="000000"/>
          <w:spacing w:val="2"/>
        </w:rPr>
        <w:t>A</w:t>
      </w:r>
      <w:r>
        <w:rPr>
          <w:color w:val="000000"/>
          <w:spacing w:val="1"/>
        </w:rPr>
        <w:t>F</w:t>
      </w:r>
      <w:r>
        <w:rPr>
          <w:color w:val="000000"/>
        </w:rPr>
        <w:t>MC</w:t>
      </w:r>
      <w:r>
        <w:rPr>
          <w:color w:val="000000"/>
          <w:spacing w:val="1"/>
        </w:rPr>
        <w:t xml:space="preserve"> </w:t>
      </w:r>
      <w:r>
        <w:rPr>
          <w:color w:val="000000"/>
        </w:rPr>
        <w:t>1998b)</w:t>
      </w:r>
      <w:r>
        <w:rPr>
          <w:color w:val="000000"/>
          <w:spacing w:val="-1"/>
        </w:rPr>
        <w:t xml:space="preserve"> </w:t>
      </w:r>
      <w:r>
        <w:rPr>
          <w:color w:val="000000"/>
        </w:rPr>
        <w:t>outlin</w:t>
      </w:r>
      <w:r>
        <w:rPr>
          <w:color w:val="000000"/>
          <w:spacing w:val="-1"/>
        </w:rPr>
        <w:t>e</w:t>
      </w:r>
      <w:r>
        <w:rPr>
          <w:color w:val="000000"/>
        </w:rPr>
        <w:t xml:space="preserve">s the </w:t>
      </w:r>
      <w:r>
        <w:rPr>
          <w:color w:val="000000"/>
          <w:spacing w:val="1"/>
        </w:rPr>
        <w:t>C</w:t>
      </w:r>
      <w:r>
        <w:rPr>
          <w:color w:val="000000"/>
        </w:rPr>
        <w:t>oun</w:t>
      </w:r>
      <w:r>
        <w:rPr>
          <w:color w:val="000000"/>
          <w:spacing w:val="-1"/>
        </w:rPr>
        <w:t>c</w:t>
      </w:r>
      <w:r>
        <w:rPr>
          <w:color w:val="000000"/>
        </w:rPr>
        <w:t>il</w:t>
      </w:r>
      <w:r>
        <w:rPr>
          <w:color w:val="000000"/>
          <w:spacing w:val="-1"/>
        </w:rPr>
        <w:t>’</w:t>
      </w:r>
      <w:r>
        <w:rPr>
          <w:color w:val="000000"/>
        </w:rPr>
        <w:t xml:space="preserve">s </w:t>
      </w:r>
      <w:r>
        <w:rPr>
          <w:color w:val="000000"/>
          <w:spacing w:val="-1"/>
        </w:rPr>
        <w:t>c</w:t>
      </w:r>
      <w:r>
        <w:rPr>
          <w:color w:val="000000"/>
        </w:rPr>
        <w:t>omm</w:t>
      </w:r>
      <w:r>
        <w:rPr>
          <w:color w:val="000000"/>
          <w:spacing w:val="-1"/>
        </w:rPr>
        <w:t>e</w:t>
      </w:r>
      <w:r>
        <w:rPr>
          <w:color w:val="000000"/>
        </w:rPr>
        <w:t xml:space="preserve">nt </w:t>
      </w:r>
      <w:r>
        <w:rPr>
          <w:color w:val="000000"/>
          <w:spacing w:val="-1"/>
        </w:rPr>
        <w:t>a</w:t>
      </w:r>
      <w:r>
        <w:rPr>
          <w:color w:val="000000"/>
        </w:rPr>
        <w:t>nd poli</w:t>
      </w:r>
      <w:r>
        <w:rPr>
          <w:color w:val="000000"/>
          <w:spacing w:val="1"/>
        </w:rPr>
        <w:t>c</w:t>
      </w:r>
      <w:r>
        <w:rPr>
          <w:color w:val="000000"/>
        </w:rPr>
        <w:t>y</w:t>
      </w:r>
      <w:r>
        <w:rPr>
          <w:color w:val="000000"/>
          <w:spacing w:val="-5"/>
        </w:rPr>
        <w:t xml:space="preserve"> </w:t>
      </w:r>
      <w:r>
        <w:rPr>
          <w:color w:val="000000"/>
        </w:rPr>
        <w:t>d</w:t>
      </w:r>
      <w:r>
        <w:rPr>
          <w:color w:val="000000"/>
          <w:spacing w:val="-1"/>
        </w:rPr>
        <w:t>e</w:t>
      </w:r>
      <w:r>
        <w:rPr>
          <w:color w:val="000000"/>
          <w:spacing w:val="2"/>
        </w:rPr>
        <w:t>v</w:t>
      </w:r>
      <w:r>
        <w:rPr>
          <w:color w:val="000000"/>
          <w:spacing w:val="-1"/>
        </w:rPr>
        <w:t>e</w:t>
      </w:r>
      <w:r>
        <w:rPr>
          <w:color w:val="000000"/>
        </w:rPr>
        <w:t>lopm</w:t>
      </w:r>
      <w:r>
        <w:rPr>
          <w:color w:val="000000"/>
          <w:spacing w:val="-1"/>
        </w:rPr>
        <w:t>e</w:t>
      </w:r>
      <w:r>
        <w:rPr>
          <w:color w:val="000000"/>
        </w:rPr>
        <w:t>nt p</w:t>
      </w:r>
      <w:r>
        <w:rPr>
          <w:color w:val="000000"/>
          <w:spacing w:val="-1"/>
        </w:rPr>
        <w:t>r</w:t>
      </w:r>
      <w:r>
        <w:rPr>
          <w:color w:val="000000"/>
        </w:rPr>
        <w:t>o</w:t>
      </w:r>
      <w:r>
        <w:rPr>
          <w:color w:val="000000"/>
          <w:spacing w:val="1"/>
        </w:rPr>
        <w:t>c</w:t>
      </w:r>
      <w:r>
        <w:rPr>
          <w:color w:val="000000"/>
          <w:spacing w:val="-1"/>
        </w:rPr>
        <w:t>e</w:t>
      </w:r>
      <w:r>
        <w:rPr>
          <w:color w:val="000000"/>
        </w:rPr>
        <w:t xml:space="preserve">ss </w:t>
      </w:r>
      <w:r>
        <w:rPr>
          <w:color w:val="000000"/>
          <w:spacing w:val="-1"/>
        </w:rPr>
        <w:t>a</w:t>
      </w:r>
      <w:r>
        <w:rPr>
          <w:color w:val="000000"/>
        </w:rPr>
        <w:t>nd the</w:t>
      </w:r>
      <w:r>
        <w:rPr>
          <w:color w:val="000000"/>
          <w:spacing w:val="-1"/>
        </w:rPr>
        <w:t xml:space="preserve"> e</w:t>
      </w:r>
      <w:r>
        <w:rPr>
          <w:color w:val="000000"/>
        </w:rPr>
        <w:t>st</w:t>
      </w:r>
      <w:r>
        <w:rPr>
          <w:color w:val="000000"/>
          <w:spacing w:val="-1"/>
        </w:rPr>
        <w:t>a</w:t>
      </w:r>
      <w:r>
        <w:rPr>
          <w:color w:val="000000"/>
        </w:rPr>
        <w:t>blishm</w:t>
      </w:r>
      <w:r>
        <w:rPr>
          <w:color w:val="000000"/>
          <w:spacing w:val="-1"/>
        </w:rPr>
        <w:t>e</w:t>
      </w:r>
      <w:r>
        <w:rPr>
          <w:color w:val="000000"/>
        </w:rPr>
        <w:t>nt</w:t>
      </w:r>
      <w:r>
        <w:rPr>
          <w:color w:val="000000"/>
          <w:spacing w:val="3"/>
        </w:rPr>
        <w:t xml:space="preserve"> </w:t>
      </w:r>
      <w:r>
        <w:rPr>
          <w:color w:val="000000"/>
        </w:rPr>
        <w:t>of</w:t>
      </w:r>
      <w:r>
        <w:rPr>
          <w:color w:val="000000"/>
          <w:spacing w:val="-1"/>
        </w:rPr>
        <w:t xml:space="preserve"> </w:t>
      </w:r>
      <w:r>
        <w:rPr>
          <w:color w:val="000000"/>
        </w:rPr>
        <w:t>a</w:t>
      </w:r>
      <w:r>
        <w:rPr>
          <w:color w:val="000000"/>
          <w:spacing w:val="-1"/>
        </w:rPr>
        <w:t xml:space="preserve"> f</w:t>
      </w:r>
      <w:r>
        <w:rPr>
          <w:color w:val="000000"/>
        </w:rPr>
        <w:t>ou</w:t>
      </w:r>
      <w:r>
        <w:rPr>
          <w:color w:val="000000"/>
          <w:spacing w:val="2"/>
        </w:rPr>
        <w:t>r</w:t>
      </w:r>
      <w:r>
        <w:rPr>
          <w:color w:val="000000"/>
          <w:spacing w:val="-1"/>
        </w:rPr>
        <w:t>-</w:t>
      </w:r>
      <w:r>
        <w:rPr>
          <w:color w:val="000000"/>
        </w:rPr>
        <w:t>st</w:t>
      </w:r>
      <w:r>
        <w:rPr>
          <w:color w:val="000000"/>
          <w:spacing w:val="-1"/>
        </w:rPr>
        <w:t>a</w:t>
      </w:r>
      <w:r>
        <w:rPr>
          <w:color w:val="000000"/>
        </w:rPr>
        <w:t>te</w:t>
      </w:r>
      <w:r>
        <w:rPr>
          <w:color w:val="000000"/>
          <w:spacing w:val="-1"/>
        </w:rPr>
        <w:t xml:space="preserve"> </w:t>
      </w:r>
      <w:r>
        <w:rPr>
          <w:color w:val="000000"/>
        </w:rPr>
        <w:t>H</w:t>
      </w:r>
      <w:r>
        <w:rPr>
          <w:color w:val="000000"/>
          <w:spacing w:val="1"/>
        </w:rPr>
        <w:t>a</w:t>
      </w:r>
      <w:r>
        <w:rPr>
          <w:color w:val="000000"/>
        </w:rPr>
        <w:t>bit</w:t>
      </w:r>
      <w:r>
        <w:rPr>
          <w:color w:val="000000"/>
          <w:spacing w:val="-1"/>
        </w:rPr>
        <w:t>a</w:t>
      </w:r>
      <w:r>
        <w:rPr>
          <w:color w:val="000000"/>
        </w:rPr>
        <w:t>t Adviso</w:t>
      </w:r>
      <w:r>
        <w:rPr>
          <w:color w:val="000000"/>
          <w:spacing w:val="2"/>
        </w:rPr>
        <w:t>r</w:t>
      </w:r>
      <w:r>
        <w:rPr>
          <w:color w:val="000000"/>
        </w:rPr>
        <w:t>y</w:t>
      </w:r>
      <w:r>
        <w:rPr>
          <w:color w:val="000000"/>
          <w:spacing w:val="-5"/>
        </w:rPr>
        <w:t xml:space="preserve"> </w:t>
      </w:r>
      <w:r>
        <w:rPr>
          <w:color w:val="000000"/>
          <w:spacing w:val="1"/>
        </w:rPr>
        <w:t>P</w:t>
      </w:r>
      <w:r>
        <w:rPr>
          <w:color w:val="000000"/>
          <w:spacing w:val="-1"/>
        </w:rPr>
        <w:t>a</w:t>
      </w:r>
      <w:r>
        <w:rPr>
          <w:color w:val="000000"/>
          <w:spacing w:val="2"/>
        </w:rPr>
        <w:t>n</w:t>
      </w:r>
      <w:r>
        <w:rPr>
          <w:color w:val="000000"/>
          <w:spacing w:val="-1"/>
        </w:rPr>
        <w:t>e</w:t>
      </w:r>
      <w:r>
        <w:rPr>
          <w:color w:val="000000"/>
        </w:rPr>
        <w:t>l. M</w:t>
      </w:r>
      <w:r>
        <w:rPr>
          <w:color w:val="000000"/>
          <w:spacing w:val="-1"/>
        </w:rPr>
        <w:t>e</w:t>
      </w:r>
      <w:r>
        <w:rPr>
          <w:color w:val="000000"/>
        </w:rPr>
        <w:t>mb</w:t>
      </w:r>
      <w:r>
        <w:rPr>
          <w:color w:val="000000"/>
          <w:spacing w:val="-1"/>
        </w:rPr>
        <w:t>e</w:t>
      </w:r>
      <w:r>
        <w:rPr>
          <w:color w:val="000000"/>
          <w:spacing w:val="2"/>
        </w:rPr>
        <w:t>r</w:t>
      </w:r>
      <w:r>
        <w:rPr>
          <w:color w:val="000000"/>
        </w:rPr>
        <w:t>s of</w:t>
      </w:r>
      <w:r>
        <w:rPr>
          <w:color w:val="000000"/>
          <w:spacing w:val="-1"/>
        </w:rPr>
        <w:t xml:space="preserve"> </w:t>
      </w:r>
      <w:r>
        <w:rPr>
          <w:color w:val="000000"/>
        </w:rPr>
        <w:t>the</w:t>
      </w:r>
      <w:r>
        <w:rPr>
          <w:color w:val="000000"/>
          <w:spacing w:val="-1"/>
        </w:rPr>
        <w:t xml:space="preserve"> </w:t>
      </w:r>
      <w:r>
        <w:rPr>
          <w:color w:val="000000"/>
        </w:rPr>
        <w:t>H</w:t>
      </w:r>
      <w:r>
        <w:rPr>
          <w:color w:val="000000"/>
          <w:spacing w:val="-1"/>
        </w:rPr>
        <w:t>a</w:t>
      </w:r>
      <w:r>
        <w:rPr>
          <w:color w:val="000000"/>
        </w:rPr>
        <w:t>bit</w:t>
      </w:r>
      <w:r>
        <w:rPr>
          <w:color w:val="000000"/>
          <w:spacing w:val="-1"/>
        </w:rPr>
        <w:t>a</w:t>
      </w:r>
      <w:r>
        <w:rPr>
          <w:color w:val="000000"/>
        </w:rPr>
        <w:t>t Adviso</w:t>
      </w:r>
      <w:r>
        <w:rPr>
          <w:color w:val="000000"/>
          <w:spacing w:val="4"/>
        </w:rPr>
        <w:t>r</w:t>
      </w:r>
      <w:r>
        <w:rPr>
          <w:color w:val="000000"/>
        </w:rPr>
        <w:t>y</w:t>
      </w:r>
      <w:r>
        <w:rPr>
          <w:color w:val="000000"/>
          <w:spacing w:val="-2"/>
        </w:rPr>
        <w:t xml:space="preserve"> </w:t>
      </w:r>
      <w:r>
        <w:rPr>
          <w:color w:val="000000"/>
          <w:spacing w:val="1"/>
        </w:rPr>
        <w:t>P</w:t>
      </w:r>
      <w:r>
        <w:rPr>
          <w:color w:val="000000"/>
          <w:spacing w:val="-1"/>
        </w:rPr>
        <w:t>a</w:t>
      </w:r>
      <w:r>
        <w:rPr>
          <w:color w:val="000000"/>
        </w:rPr>
        <w:t>n</w:t>
      </w:r>
      <w:r>
        <w:rPr>
          <w:color w:val="000000"/>
          <w:spacing w:val="-1"/>
        </w:rPr>
        <w:t>e</w:t>
      </w:r>
      <w:r>
        <w:rPr>
          <w:color w:val="000000"/>
        </w:rPr>
        <w:t>l s</w:t>
      </w:r>
      <w:r>
        <w:rPr>
          <w:color w:val="000000"/>
          <w:spacing w:val="-1"/>
        </w:rPr>
        <w:t>er</w:t>
      </w:r>
      <w:r>
        <w:rPr>
          <w:color w:val="000000"/>
        </w:rPr>
        <w:t>ve</w:t>
      </w:r>
      <w:r>
        <w:rPr>
          <w:color w:val="000000"/>
          <w:spacing w:val="1"/>
        </w:rPr>
        <w:t xml:space="preserve"> </w:t>
      </w:r>
      <w:r>
        <w:rPr>
          <w:color w:val="000000"/>
          <w:spacing w:val="-1"/>
        </w:rPr>
        <w:t>a</w:t>
      </w:r>
      <w:r>
        <w:rPr>
          <w:color w:val="000000"/>
        </w:rPr>
        <w:t>s the</w:t>
      </w:r>
      <w:r>
        <w:rPr>
          <w:color w:val="000000"/>
          <w:spacing w:val="-1"/>
        </w:rPr>
        <w:t xml:space="preserve"> </w:t>
      </w:r>
      <w:r>
        <w:rPr>
          <w:color w:val="000000"/>
          <w:spacing w:val="1"/>
        </w:rPr>
        <w:t>C</w:t>
      </w:r>
      <w:r>
        <w:rPr>
          <w:color w:val="000000"/>
        </w:rPr>
        <w:t>oun</w:t>
      </w:r>
      <w:r>
        <w:rPr>
          <w:color w:val="000000"/>
          <w:spacing w:val="-1"/>
        </w:rPr>
        <w:t>c</w:t>
      </w:r>
      <w:r>
        <w:rPr>
          <w:color w:val="000000"/>
        </w:rPr>
        <w:t>il</w:t>
      </w:r>
      <w:r>
        <w:rPr>
          <w:color w:val="000000"/>
          <w:spacing w:val="-1"/>
        </w:rPr>
        <w:t>’</w:t>
      </w:r>
      <w:r>
        <w:rPr>
          <w:color w:val="000000"/>
        </w:rPr>
        <w:t>s h</w:t>
      </w:r>
      <w:r>
        <w:rPr>
          <w:color w:val="000000"/>
          <w:spacing w:val="-1"/>
        </w:rPr>
        <w:t>a</w:t>
      </w:r>
      <w:r>
        <w:rPr>
          <w:color w:val="000000"/>
        </w:rPr>
        <w:t>bit</w:t>
      </w:r>
      <w:r>
        <w:rPr>
          <w:color w:val="000000"/>
          <w:spacing w:val="-1"/>
        </w:rPr>
        <w:t>a</w:t>
      </w:r>
      <w:r>
        <w:rPr>
          <w:color w:val="000000"/>
        </w:rPr>
        <w:t xml:space="preserve">t </w:t>
      </w:r>
      <w:r>
        <w:rPr>
          <w:color w:val="000000"/>
          <w:spacing w:val="-1"/>
        </w:rPr>
        <w:t>c</w:t>
      </w:r>
      <w:r>
        <w:rPr>
          <w:color w:val="000000"/>
        </w:rPr>
        <w:t>ont</w:t>
      </w:r>
      <w:r>
        <w:rPr>
          <w:color w:val="000000"/>
          <w:spacing w:val="-1"/>
        </w:rPr>
        <w:t>ac</w:t>
      </w:r>
      <w:r>
        <w:rPr>
          <w:color w:val="000000"/>
        </w:rPr>
        <w:t xml:space="preserve">ts </w:t>
      </w:r>
      <w:r>
        <w:rPr>
          <w:color w:val="000000"/>
          <w:spacing w:val="-1"/>
        </w:rPr>
        <w:t>a</w:t>
      </w:r>
      <w:r>
        <w:rPr>
          <w:color w:val="000000"/>
        </w:rPr>
        <w:t>nd p</w:t>
      </w:r>
      <w:r>
        <w:rPr>
          <w:color w:val="000000"/>
          <w:spacing w:val="-1"/>
        </w:rPr>
        <w:t>r</w:t>
      </w:r>
      <w:r>
        <w:rPr>
          <w:color w:val="000000"/>
        </w:rPr>
        <w:t>o</w:t>
      </w:r>
      <w:r>
        <w:rPr>
          <w:color w:val="000000"/>
          <w:spacing w:val="-1"/>
        </w:rPr>
        <w:t>fe</w:t>
      </w:r>
      <w:r>
        <w:rPr>
          <w:color w:val="000000"/>
        </w:rPr>
        <w:t>ssion</w:t>
      </w:r>
      <w:r>
        <w:rPr>
          <w:color w:val="000000"/>
          <w:spacing w:val="-1"/>
        </w:rPr>
        <w:t>a</w:t>
      </w:r>
      <w:r>
        <w:rPr>
          <w:color w:val="000000"/>
        </w:rPr>
        <w:t>ls in the</w:t>
      </w:r>
      <w:r>
        <w:rPr>
          <w:color w:val="000000"/>
          <w:spacing w:val="-1"/>
        </w:rPr>
        <w:t xml:space="preserve"> f</w:t>
      </w:r>
      <w:r>
        <w:rPr>
          <w:color w:val="000000"/>
        </w:rPr>
        <w:t>i</w:t>
      </w:r>
      <w:r>
        <w:rPr>
          <w:color w:val="000000"/>
          <w:spacing w:val="-1"/>
        </w:rPr>
        <w:t>e</w:t>
      </w:r>
      <w:r>
        <w:rPr>
          <w:color w:val="000000"/>
        </w:rPr>
        <w:t>ld.</w:t>
      </w:r>
      <w:r>
        <w:rPr>
          <w:color w:val="000000"/>
          <w:spacing w:val="2"/>
        </w:rPr>
        <w:t xml:space="preserve"> </w:t>
      </w:r>
      <w:r>
        <w:rPr>
          <w:color w:val="000000"/>
        </w:rPr>
        <w:t>AP</w:t>
      </w:r>
      <w:r>
        <w:rPr>
          <w:color w:val="000000"/>
          <w:spacing w:val="1"/>
        </w:rPr>
        <w:t xml:space="preserve"> </w:t>
      </w:r>
      <w:r>
        <w:rPr>
          <w:color w:val="000000"/>
        </w:rPr>
        <w:t>m</w:t>
      </w:r>
      <w:r>
        <w:rPr>
          <w:color w:val="000000"/>
          <w:spacing w:val="-1"/>
        </w:rPr>
        <w:t>e</w:t>
      </w:r>
      <w:r>
        <w:rPr>
          <w:color w:val="000000"/>
        </w:rPr>
        <w:t>mb</w:t>
      </w:r>
      <w:r>
        <w:rPr>
          <w:color w:val="000000"/>
          <w:spacing w:val="-1"/>
        </w:rPr>
        <w:t>er</w:t>
      </w:r>
      <w:r>
        <w:rPr>
          <w:color w:val="000000"/>
        </w:rPr>
        <w:t>s b</w:t>
      </w:r>
      <w:r>
        <w:rPr>
          <w:color w:val="000000"/>
          <w:spacing w:val="-1"/>
        </w:rPr>
        <w:t>r</w:t>
      </w:r>
      <w:r>
        <w:rPr>
          <w:color w:val="000000"/>
        </w:rPr>
        <w:t>i</w:t>
      </w:r>
      <w:r>
        <w:rPr>
          <w:color w:val="000000"/>
          <w:spacing w:val="2"/>
        </w:rPr>
        <w:t>n</w:t>
      </w:r>
      <w:r>
        <w:rPr>
          <w:color w:val="000000"/>
        </w:rPr>
        <w:t>g</w:t>
      </w:r>
      <w:r>
        <w:rPr>
          <w:color w:val="000000"/>
          <w:spacing w:val="-2"/>
        </w:rPr>
        <w:t xml:space="preserve"> </w:t>
      </w:r>
      <w:r>
        <w:rPr>
          <w:color w:val="000000"/>
        </w:rPr>
        <w:t>p</w:t>
      </w:r>
      <w:r>
        <w:rPr>
          <w:color w:val="000000"/>
          <w:spacing w:val="-1"/>
        </w:rPr>
        <w:t>r</w:t>
      </w:r>
      <w:r>
        <w:rPr>
          <w:color w:val="000000"/>
        </w:rPr>
        <w:t>oj</w:t>
      </w:r>
      <w:r>
        <w:rPr>
          <w:color w:val="000000"/>
          <w:spacing w:val="1"/>
        </w:rPr>
        <w:t>e</w:t>
      </w:r>
      <w:r>
        <w:rPr>
          <w:color w:val="000000"/>
          <w:spacing w:val="-1"/>
        </w:rPr>
        <w:t>c</w:t>
      </w:r>
      <w:r>
        <w:rPr>
          <w:color w:val="000000"/>
        </w:rPr>
        <w:t>ts to the</w:t>
      </w:r>
      <w:r>
        <w:rPr>
          <w:color w:val="000000"/>
          <w:spacing w:val="-1"/>
        </w:rPr>
        <w:t xml:space="preserve"> </w:t>
      </w:r>
      <w:r>
        <w:rPr>
          <w:color w:val="000000"/>
          <w:spacing w:val="1"/>
        </w:rPr>
        <w:t>C</w:t>
      </w:r>
      <w:r>
        <w:rPr>
          <w:color w:val="000000"/>
        </w:rPr>
        <w:t>oun</w:t>
      </w:r>
      <w:r>
        <w:rPr>
          <w:color w:val="000000"/>
          <w:spacing w:val="-1"/>
        </w:rPr>
        <w:t>c</w:t>
      </w:r>
      <w:r>
        <w:rPr>
          <w:color w:val="000000"/>
        </w:rPr>
        <w:t>il</w:t>
      </w:r>
      <w:r>
        <w:rPr>
          <w:color w:val="000000"/>
          <w:spacing w:val="-1"/>
        </w:rPr>
        <w:t>’</w:t>
      </w:r>
      <w:r>
        <w:rPr>
          <w:color w:val="000000"/>
        </w:rPr>
        <w:t xml:space="preserve">s </w:t>
      </w:r>
      <w:r>
        <w:rPr>
          <w:color w:val="000000"/>
          <w:spacing w:val="-1"/>
        </w:rPr>
        <w:t>a</w:t>
      </w:r>
      <w:r>
        <w:rPr>
          <w:color w:val="000000"/>
        </w:rPr>
        <w:t>tt</w:t>
      </w:r>
      <w:r>
        <w:rPr>
          <w:color w:val="000000"/>
          <w:spacing w:val="-1"/>
        </w:rPr>
        <w:t>e</w:t>
      </w:r>
      <w:r>
        <w:rPr>
          <w:color w:val="000000"/>
        </w:rPr>
        <w:t>ntion, d</w:t>
      </w:r>
      <w:r>
        <w:rPr>
          <w:color w:val="000000"/>
          <w:spacing w:val="-1"/>
        </w:rPr>
        <w:t>raf</w:t>
      </w:r>
      <w:r>
        <w:rPr>
          <w:color w:val="000000"/>
        </w:rPr>
        <w:t xml:space="preserve">t </w:t>
      </w:r>
      <w:r>
        <w:rPr>
          <w:color w:val="000000"/>
          <w:spacing w:val="-1"/>
        </w:rPr>
        <w:t>c</w:t>
      </w:r>
      <w:r>
        <w:rPr>
          <w:color w:val="000000"/>
        </w:rPr>
        <w:t>omm</w:t>
      </w:r>
      <w:r>
        <w:rPr>
          <w:color w:val="000000"/>
          <w:spacing w:val="-1"/>
        </w:rPr>
        <w:t>e</w:t>
      </w:r>
      <w:r>
        <w:rPr>
          <w:color w:val="000000"/>
        </w:rPr>
        <w:t>nt l</w:t>
      </w:r>
      <w:r>
        <w:rPr>
          <w:color w:val="000000"/>
          <w:spacing w:val="-1"/>
        </w:rPr>
        <w:t>e</w:t>
      </w:r>
      <w:r>
        <w:rPr>
          <w:color w:val="000000"/>
        </w:rPr>
        <w:t>tt</w:t>
      </w:r>
      <w:r>
        <w:rPr>
          <w:color w:val="000000"/>
          <w:spacing w:val="-1"/>
        </w:rPr>
        <w:t>e</w:t>
      </w:r>
      <w:r>
        <w:rPr>
          <w:color w:val="000000"/>
          <w:spacing w:val="2"/>
        </w:rPr>
        <w:t>r</w:t>
      </w:r>
      <w:r>
        <w:rPr>
          <w:color w:val="000000"/>
        </w:rPr>
        <w:t xml:space="preserve">s, </w:t>
      </w:r>
      <w:r>
        <w:rPr>
          <w:color w:val="000000"/>
          <w:spacing w:val="-1"/>
        </w:rPr>
        <w:t>a</w:t>
      </w:r>
      <w:r>
        <w:rPr>
          <w:color w:val="000000"/>
        </w:rPr>
        <w:t xml:space="preserve">nd </w:t>
      </w:r>
      <w:r>
        <w:rPr>
          <w:color w:val="000000"/>
          <w:spacing w:val="-1"/>
        </w:rPr>
        <w:t>a</w:t>
      </w:r>
      <w:r>
        <w:rPr>
          <w:color w:val="000000"/>
        </w:rPr>
        <w:t>tt</w:t>
      </w:r>
      <w:r>
        <w:rPr>
          <w:color w:val="000000"/>
          <w:spacing w:val="-1"/>
        </w:rPr>
        <w:t>e</w:t>
      </w:r>
      <w:r>
        <w:rPr>
          <w:color w:val="000000"/>
        </w:rPr>
        <w:t>nd public</w:t>
      </w:r>
      <w:r>
        <w:rPr>
          <w:color w:val="000000"/>
          <w:spacing w:val="-1"/>
        </w:rPr>
        <w:t xml:space="preserve"> </w:t>
      </w:r>
      <w:r>
        <w:rPr>
          <w:color w:val="000000"/>
        </w:rPr>
        <w:t>m</w:t>
      </w:r>
      <w:r>
        <w:rPr>
          <w:color w:val="000000"/>
          <w:spacing w:val="-1"/>
        </w:rPr>
        <w:t>ee</w:t>
      </w:r>
      <w:r>
        <w:rPr>
          <w:color w:val="000000"/>
        </w:rPr>
        <w:t>ti</w:t>
      </w:r>
      <w:r>
        <w:rPr>
          <w:color w:val="000000"/>
          <w:spacing w:val="2"/>
        </w:rPr>
        <w:t>n</w:t>
      </w:r>
      <w:r>
        <w:rPr>
          <w:color w:val="000000"/>
          <w:spacing w:val="-2"/>
        </w:rPr>
        <w:t>g</w:t>
      </w:r>
      <w:r>
        <w:rPr>
          <w:color w:val="000000"/>
        </w:rPr>
        <w:t xml:space="preserve">s. </w:t>
      </w:r>
      <w:r>
        <w:rPr>
          <w:color w:val="000000"/>
          <w:spacing w:val="1"/>
        </w:rPr>
        <w:t>W</w:t>
      </w:r>
      <w:r>
        <w:rPr>
          <w:color w:val="000000"/>
        </w:rPr>
        <w:t xml:space="preserve">ith </w:t>
      </w:r>
      <w:r>
        <w:rPr>
          <w:color w:val="000000"/>
          <w:spacing w:val="-2"/>
        </w:rPr>
        <w:t>g</w:t>
      </w:r>
      <w:r>
        <w:rPr>
          <w:color w:val="000000"/>
        </w:rPr>
        <w:t>uid</w:t>
      </w:r>
      <w:r>
        <w:rPr>
          <w:color w:val="000000"/>
          <w:spacing w:val="-1"/>
        </w:rPr>
        <w:t>a</w:t>
      </w:r>
      <w:r>
        <w:rPr>
          <w:color w:val="000000"/>
        </w:rPr>
        <w:t>n</w:t>
      </w:r>
      <w:r>
        <w:rPr>
          <w:color w:val="000000"/>
          <w:spacing w:val="1"/>
        </w:rPr>
        <w:t>c</w:t>
      </w:r>
      <w:r>
        <w:rPr>
          <w:color w:val="000000"/>
        </w:rPr>
        <w:t>e</w:t>
      </w:r>
      <w:r>
        <w:rPr>
          <w:color w:val="000000"/>
          <w:spacing w:val="-1"/>
        </w:rPr>
        <w:t xml:space="preserve"> fr</w:t>
      </w:r>
      <w:r>
        <w:rPr>
          <w:color w:val="000000"/>
        </w:rPr>
        <w:t xml:space="preserve">om </w:t>
      </w:r>
      <w:r>
        <w:rPr>
          <w:color w:val="000000"/>
          <w:spacing w:val="3"/>
        </w:rPr>
        <w:t>t</w:t>
      </w:r>
      <w:r>
        <w:rPr>
          <w:color w:val="000000"/>
        </w:rPr>
        <w:t>he</w:t>
      </w:r>
      <w:r>
        <w:rPr>
          <w:color w:val="000000"/>
          <w:spacing w:val="-1"/>
        </w:rPr>
        <w:t xml:space="preserve"> </w:t>
      </w:r>
      <w:r>
        <w:rPr>
          <w:color w:val="000000"/>
        </w:rPr>
        <w:t>Adviso</w:t>
      </w:r>
      <w:r>
        <w:rPr>
          <w:color w:val="000000"/>
          <w:spacing w:val="4"/>
        </w:rPr>
        <w:t>r</w:t>
      </w:r>
      <w:r>
        <w:rPr>
          <w:color w:val="000000"/>
        </w:rPr>
        <w:t>y</w:t>
      </w:r>
      <w:r>
        <w:rPr>
          <w:color w:val="000000"/>
          <w:spacing w:val="-5"/>
        </w:rPr>
        <w:t xml:space="preserve"> </w:t>
      </w:r>
      <w:r>
        <w:rPr>
          <w:color w:val="000000"/>
          <w:spacing w:val="1"/>
        </w:rPr>
        <w:t>P</w:t>
      </w:r>
      <w:r>
        <w:rPr>
          <w:color w:val="000000"/>
          <w:spacing w:val="-1"/>
        </w:rPr>
        <w:t>a</w:t>
      </w:r>
      <w:r>
        <w:rPr>
          <w:color w:val="000000"/>
        </w:rPr>
        <w:t>n</w:t>
      </w:r>
      <w:r>
        <w:rPr>
          <w:color w:val="000000"/>
          <w:spacing w:val="-1"/>
        </w:rPr>
        <w:t>e</w:t>
      </w:r>
      <w:r>
        <w:rPr>
          <w:color w:val="000000"/>
        </w:rPr>
        <w:t>l, the</w:t>
      </w:r>
      <w:r>
        <w:rPr>
          <w:color w:val="000000"/>
          <w:spacing w:val="-1"/>
        </w:rPr>
        <w:t xml:space="preserve"> </w:t>
      </w:r>
      <w:r>
        <w:rPr>
          <w:color w:val="000000"/>
          <w:spacing w:val="3"/>
        </w:rPr>
        <w:t>C</w:t>
      </w:r>
      <w:r>
        <w:rPr>
          <w:color w:val="000000"/>
        </w:rPr>
        <w:t>oun</w:t>
      </w:r>
      <w:r>
        <w:rPr>
          <w:color w:val="000000"/>
          <w:spacing w:val="-1"/>
        </w:rPr>
        <w:t>c</w:t>
      </w:r>
      <w:r>
        <w:rPr>
          <w:color w:val="000000"/>
        </w:rPr>
        <w:t>il h</w:t>
      </w:r>
      <w:r>
        <w:rPr>
          <w:color w:val="000000"/>
          <w:spacing w:val="-1"/>
        </w:rPr>
        <w:t>a</w:t>
      </w:r>
      <w:r>
        <w:rPr>
          <w:color w:val="000000"/>
        </w:rPr>
        <w:t>s d</w:t>
      </w:r>
      <w:r>
        <w:rPr>
          <w:color w:val="000000"/>
          <w:spacing w:val="-1"/>
        </w:rPr>
        <w:t>e</w:t>
      </w:r>
      <w:r>
        <w:rPr>
          <w:color w:val="000000"/>
        </w:rPr>
        <w:t>v</w:t>
      </w:r>
      <w:r>
        <w:rPr>
          <w:color w:val="000000"/>
          <w:spacing w:val="-1"/>
        </w:rPr>
        <w:t>e</w:t>
      </w:r>
      <w:r>
        <w:rPr>
          <w:color w:val="000000"/>
        </w:rPr>
        <w:t>lop</w:t>
      </w:r>
      <w:r>
        <w:rPr>
          <w:color w:val="000000"/>
          <w:spacing w:val="-1"/>
        </w:rPr>
        <w:t>e</w:t>
      </w:r>
      <w:r>
        <w:rPr>
          <w:color w:val="000000"/>
        </w:rPr>
        <w:t>d</w:t>
      </w:r>
      <w:r>
        <w:rPr>
          <w:color w:val="000000"/>
          <w:spacing w:val="2"/>
        </w:rPr>
        <w:t xml:space="preserve"> </w:t>
      </w:r>
      <w:r>
        <w:rPr>
          <w:color w:val="000000"/>
          <w:spacing w:val="-1"/>
        </w:rPr>
        <w:t>a</w:t>
      </w:r>
      <w:r>
        <w:rPr>
          <w:color w:val="000000"/>
        </w:rPr>
        <w:t xml:space="preserve">nd </w:t>
      </w:r>
      <w:r>
        <w:rPr>
          <w:color w:val="000000"/>
          <w:spacing w:val="-1"/>
        </w:rPr>
        <w:t>a</w:t>
      </w:r>
      <w:r>
        <w:rPr>
          <w:color w:val="000000"/>
        </w:rPr>
        <w:t>pp</w:t>
      </w:r>
      <w:r>
        <w:rPr>
          <w:color w:val="000000"/>
          <w:spacing w:val="-1"/>
        </w:rPr>
        <w:t>r</w:t>
      </w:r>
      <w:r>
        <w:rPr>
          <w:color w:val="000000"/>
        </w:rPr>
        <w:t>ov</w:t>
      </w:r>
      <w:r>
        <w:rPr>
          <w:color w:val="000000"/>
          <w:spacing w:val="-1"/>
        </w:rPr>
        <w:t>e</w:t>
      </w:r>
      <w:r>
        <w:rPr>
          <w:color w:val="000000"/>
        </w:rPr>
        <w:t>d poli</w:t>
      </w:r>
      <w:r>
        <w:rPr>
          <w:color w:val="000000"/>
          <w:spacing w:val="-1"/>
        </w:rPr>
        <w:t>c</w:t>
      </w:r>
      <w:r>
        <w:rPr>
          <w:color w:val="000000"/>
        </w:rPr>
        <w:t>i</w:t>
      </w:r>
      <w:r>
        <w:rPr>
          <w:color w:val="000000"/>
          <w:spacing w:val="-1"/>
        </w:rPr>
        <w:t>e</w:t>
      </w:r>
      <w:r>
        <w:rPr>
          <w:color w:val="000000"/>
        </w:rPr>
        <w:t>s on:</w:t>
      </w:r>
    </w:p>
    <w:p w14:paraId="47839DEA" w14:textId="77777777" w:rsidR="00DC4922" w:rsidRDefault="00DC4922" w:rsidP="00DC4922">
      <w:pPr>
        <w:rPr>
          <w:color w:val="000000"/>
        </w:rPr>
      </w:pPr>
      <w:r>
        <w:rPr>
          <w:color w:val="000000"/>
        </w:rPr>
        <w:t>1.</w:t>
      </w:r>
      <w:r>
        <w:rPr>
          <w:color w:val="000000"/>
        </w:rPr>
        <w:tab/>
        <w:t>En</w:t>
      </w:r>
      <w:r>
        <w:rPr>
          <w:color w:val="000000"/>
          <w:spacing w:val="-1"/>
        </w:rPr>
        <w:t>e</w:t>
      </w:r>
      <w:r>
        <w:rPr>
          <w:color w:val="000000"/>
          <w:spacing w:val="2"/>
        </w:rPr>
        <w:t>rg</w:t>
      </w:r>
      <w:r>
        <w:rPr>
          <w:color w:val="000000"/>
        </w:rPr>
        <w:t>y</w:t>
      </w:r>
      <w:r>
        <w:rPr>
          <w:color w:val="000000"/>
          <w:spacing w:val="-5"/>
        </w:rPr>
        <w:t xml:space="preserve"> </w:t>
      </w:r>
      <w:r>
        <w:rPr>
          <w:color w:val="000000"/>
          <w:spacing w:val="-1"/>
        </w:rPr>
        <w:t>e</w:t>
      </w:r>
      <w:r>
        <w:rPr>
          <w:color w:val="000000"/>
          <w:spacing w:val="2"/>
        </w:rPr>
        <w:t>x</w:t>
      </w:r>
      <w:r>
        <w:rPr>
          <w:color w:val="000000"/>
        </w:rPr>
        <w:t>plo</w:t>
      </w:r>
      <w:r>
        <w:rPr>
          <w:color w:val="000000"/>
          <w:spacing w:val="-1"/>
        </w:rPr>
        <w:t>ra</w:t>
      </w:r>
      <w:r>
        <w:rPr>
          <w:color w:val="000000"/>
        </w:rPr>
        <w:t>tion, d</w:t>
      </w:r>
      <w:r>
        <w:rPr>
          <w:color w:val="000000"/>
          <w:spacing w:val="-1"/>
        </w:rPr>
        <w:t>e</w:t>
      </w:r>
      <w:r>
        <w:rPr>
          <w:color w:val="000000"/>
        </w:rPr>
        <w:t>v</w:t>
      </w:r>
      <w:r>
        <w:rPr>
          <w:color w:val="000000"/>
          <w:spacing w:val="1"/>
        </w:rPr>
        <w:t>e</w:t>
      </w:r>
      <w:r>
        <w:rPr>
          <w:color w:val="000000"/>
        </w:rPr>
        <w:t>lopm</w:t>
      </w:r>
      <w:r>
        <w:rPr>
          <w:color w:val="000000"/>
          <w:spacing w:val="-1"/>
        </w:rPr>
        <w:t>e</w:t>
      </w:r>
      <w:r>
        <w:rPr>
          <w:color w:val="000000"/>
        </w:rPr>
        <w:t>nt, t</w:t>
      </w:r>
      <w:r>
        <w:rPr>
          <w:color w:val="000000"/>
          <w:spacing w:val="-1"/>
        </w:rPr>
        <w:t>ra</w:t>
      </w:r>
      <w:r>
        <w:rPr>
          <w:color w:val="000000"/>
        </w:rPr>
        <w:t>nspo</w:t>
      </w:r>
      <w:r>
        <w:rPr>
          <w:color w:val="000000"/>
          <w:spacing w:val="-1"/>
        </w:rPr>
        <w:t>r</w:t>
      </w:r>
      <w:r>
        <w:rPr>
          <w:color w:val="000000"/>
        </w:rPr>
        <w:t>t</w:t>
      </w:r>
      <w:r>
        <w:rPr>
          <w:color w:val="000000"/>
          <w:spacing w:val="-1"/>
        </w:rPr>
        <w:t>a</w:t>
      </w:r>
      <w:r>
        <w:rPr>
          <w:color w:val="000000"/>
        </w:rPr>
        <w:t xml:space="preserve">tion, </w:t>
      </w:r>
      <w:r>
        <w:rPr>
          <w:color w:val="000000"/>
          <w:spacing w:val="1"/>
        </w:rPr>
        <w:t>a</w:t>
      </w:r>
      <w:r>
        <w:rPr>
          <w:color w:val="000000"/>
        </w:rPr>
        <w:t xml:space="preserve">nd </w:t>
      </w:r>
      <w:r>
        <w:rPr>
          <w:color w:val="000000"/>
          <w:spacing w:val="2"/>
        </w:rPr>
        <w:t>h</w:t>
      </w:r>
      <w:r>
        <w:rPr>
          <w:color w:val="000000"/>
          <w:spacing w:val="-5"/>
        </w:rPr>
        <w:t>y</w:t>
      </w:r>
      <w:r>
        <w:rPr>
          <w:color w:val="000000"/>
        </w:rPr>
        <w:t>d</w:t>
      </w:r>
      <w:r>
        <w:rPr>
          <w:color w:val="000000"/>
          <w:spacing w:val="-1"/>
        </w:rPr>
        <w:t>r</w:t>
      </w:r>
      <w:r>
        <w:rPr>
          <w:color w:val="000000"/>
        </w:rPr>
        <w:t>op</w:t>
      </w:r>
      <w:r>
        <w:rPr>
          <w:color w:val="000000"/>
          <w:spacing w:val="2"/>
        </w:rPr>
        <w:t>o</w:t>
      </w:r>
      <w:r>
        <w:rPr>
          <w:color w:val="000000"/>
        </w:rPr>
        <w:t>w</w:t>
      </w:r>
      <w:r>
        <w:rPr>
          <w:color w:val="000000"/>
          <w:spacing w:val="-1"/>
        </w:rPr>
        <w:t>e</w:t>
      </w:r>
      <w:r>
        <w:rPr>
          <w:color w:val="000000"/>
        </w:rPr>
        <w:t>r</w:t>
      </w:r>
      <w:r>
        <w:rPr>
          <w:color w:val="000000"/>
          <w:spacing w:val="2"/>
        </w:rPr>
        <w:t xml:space="preserve"> </w:t>
      </w:r>
      <w:r>
        <w:rPr>
          <w:color w:val="000000"/>
          <w:spacing w:val="-1"/>
        </w:rPr>
        <w:t>re-</w:t>
      </w:r>
      <w:r>
        <w:rPr>
          <w:color w:val="000000"/>
        </w:rPr>
        <w:t>li</w:t>
      </w:r>
      <w:r>
        <w:rPr>
          <w:color w:val="000000"/>
          <w:spacing w:val="1"/>
        </w:rPr>
        <w:t>c</w:t>
      </w:r>
      <w:r>
        <w:rPr>
          <w:color w:val="000000"/>
          <w:spacing w:val="-1"/>
        </w:rPr>
        <w:t>e</w:t>
      </w:r>
      <w:r>
        <w:rPr>
          <w:color w:val="000000"/>
        </w:rPr>
        <w:t>nsin</w:t>
      </w:r>
      <w:r>
        <w:rPr>
          <w:color w:val="000000"/>
          <w:spacing w:val="-2"/>
        </w:rPr>
        <w:t>g</w:t>
      </w:r>
      <w:r>
        <w:rPr>
          <w:color w:val="000000"/>
        </w:rPr>
        <w:t>;</w:t>
      </w:r>
    </w:p>
    <w:p w14:paraId="1F4DE3E4" w14:textId="77777777" w:rsidR="00DC4922" w:rsidRDefault="00DC4922" w:rsidP="00DC4922">
      <w:pPr>
        <w:rPr>
          <w:color w:val="000000"/>
        </w:rPr>
      </w:pPr>
      <w:r>
        <w:rPr>
          <w:color w:val="000000"/>
        </w:rPr>
        <w:t>2.</w:t>
      </w:r>
      <w:r>
        <w:rPr>
          <w:color w:val="000000"/>
        </w:rPr>
        <w:tab/>
      </w:r>
      <w:r>
        <w:rPr>
          <w:color w:val="000000"/>
          <w:spacing w:val="-2"/>
        </w:rPr>
        <w:t>B</w:t>
      </w:r>
      <w:r>
        <w:rPr>
          <w:color w:val="000000"/>
          <w:spacing w:val="-1"/>
        </w:rPr>
        <w:t>e</w:t>
      </w:r>
      <w:r>
        <w:rPr>
          <w:color w:val="000000"/>
          <w:spacing w:val="1"/>
        </w:rPr>
        <w:t>a</w:t>
      </w:r>
      <w:r>
        <w:rPr>
          <w:color w:val="000000"/>
          <w:spacing w:val="-1"/>
        </w:rPr>
        <w:t>c</w:t>
      </w:r>
      <w:r>
        <w:rPr>
          <w:color w:val="000000"/>
        </w:rPr>
        <w:t>h d</w:t>
      </w:r>
      <w:r>
        <w:rPr>
          <w:color w:val="000000"/>
          <w:spacing w:val="2"/>
        </w:rPr>
        <w:t>r</w:t>
      </w:r>
      <w:r>
        <w:rPr>
          <w:color w:val="000000"/>
          <w:spacing w:val="-1"/>
        </w:rPr>
        <w:t>e</w:t>
      </w:r>
      <w:r>
        <w:rPr>
          <w:color w:val="000000"/>
          <w:spacing w:val="2"/>
        </w:rPr>
        <w:t>d</w:t>
      </w:r>
      <w:r>
        <w:rPr>
          <w:color w:val="000000"/>
          <w:spacing w:val="-2"/>
        </w:rPr>
        <w:t>g</w:t>
      </w:r>
      <w:r>
        <w:rPr>
          <w:color w:val="000000"/>
        </w:rPr>
        <w:t xml:space="preserve">ing </w:t>
      </w:r>
      <w:r>
        <w:rPr>
          <w:color w:val="000000"/>
          <w:spacing w:val="-1"/>
        </w:rPr>
        <w:t>a</w:t>
      </w:r>
      <w:r>
        <w:rPr>
          <w:color w:val="000000"/>
        </w:rPr>
        <w:t xml:space="preserve">nd </w:t>
      </w:r>
      <w:r>
        <w:rPr>
          <w:color w:val="000000"/>
          <w:spacing w:val="-1"/>
        </w:rPr>
        <w:t>f</w:t>
      </w:r>
      <w:r>
        <w:rPr>
          <w:color w:val="000000"/>
        </w:rPr>
        <w:t>illing</w:t>
      </w:r>
      <w:r>
        <w:rPr>
          <w:color w:val="000000"/>
          <w:spacing w:val="-2"/>
        </w:rPr>
        <w:t xml:space="preserve"> </w:t>
      </w:r>
      <w:r>
        <w:rPr>
          <w:color w:val="000000"/>
          <w:spacing w:val="-1"/>
        </w:rPr>
        <w:t>a</w:t>
      </w:r>
      <w:r>
        <w:rPr>
          <w:color w:val="000000"/>
        </w:rPr>
        <w:t xml:space="preserve">nd </w:t>
      </w:r>
      <w:r>
        <w:rPr>
          <w:color w:val="000000"/>
          <w:spacing w:val="3"/>
        </w:rPr>
        <w:t>l</w:t>
      </w:r>
      <w:r>
        <w:rPr>
          <w:color w:val="000000"/>
          <w:spacing w:val="-1"/>
        </w:rPr>
        <w:t>a</w:t>
      </w:r>
      <w:r>
        <w:rPr>
          <w:color w:val="000000"/>
          <w:spacing w:val="2"/>
        </w:rPr>
        <w:t>r</w:t>
      </w:r>
      <w:r>
        <w:rPr>
          <w:color w:val="000000"/>
          <w:spacing w:val="-2"/>
        </w:rPr>
        <w:t>g</w:t>
      </w:r>
      <w:r>
        <w:rPr>
          <w:color w:val="000000"/>
          <w:spacing w:val="1"/>
        </w:rPr>
        <w:t>e</w:t>
      </w:r>
      <w:r>
        <w:rPr>
          <w:color w:val="000000"/>
          <w:spacing w:val="-1"/>
        </w:rPr>
        <w:t>-</w:t>
      </w:r>
      <w:r>
        <w:rPr>
          <w:color w:val="000000"/>
        </w:rPr>
        <w:t>s</w:t>
      </w:r>
      <w:r>
        <w:rPr>
          <w:color w:val="000000"/>
          <w:spacing w:val="-1"/>
        </w:rPr>
        <w:t>ca</w:t>
      </w:r>
      <w:r>
        <w:rPr>
          <w:color w:val="000000"/>
        </w:rPr>
        <w:t>le</w:t>
      </w:r>
      <w:r>
        <w:rPr>
          <w:color w:val="000000"/>
          <w:spacing w:val="1"/>
        </w:rPr>
        <w:t xml:space="preserve"> </w:t>
      </w:r>
      <w:r>
        <w:rPr>
          <w:color w:val="000000"/>
          <w:spacing w:val="-1"/>
        </w:rPr>
        <w:t>c</w:t>
      </w:r>
      <w:r>
        <w:rPr>
          <w:color w:val="000000"/>
        </w:rPr>
        <w:t>o</w:t>
      </w:r>
      <w:r>
        <w:rPr>
          <w:color w:val="000000"/>
          <w:spacing w:val="-1"/>
        </w:rPr>
        <w:t>a</w:t>
      </w:r>
      <w:r>
        <w:rPr>
          <w:color w:val="000000"/>
        </w:rPr>
        <w:t>st</w:t>
      </w:r>
      <w:r>
        <w:rPr>
          <w:color w:val="000000"/>
          <w:spacing w:val="-1"/>
        </w:rPr>
        <w:t>a</w:t>
      </w:r>
      <w:r>
        <w:rPr>
          <w:color w:val="000000"/>
        </w:rPr>
        <w:t>l</w:t>
      </w:r>
      <w:r>
        <w:rPr>
          <w:color w:val="000000"/>
          <w:spacing w:val="3"/>
        </w:rPr>
        <w:t xml:space="preserve"> </w:t>
      </w:r>
      <w:r>
        <w:rPr>
          <w:color w:val="000000"/>
          <w:spacing w:val="-1"/>
        </w:rPr>
        <w:t>e</w:t>
      </w:r>
      <w:r>
        <w:rPr>
          <w:color w:val="000000"/>
        </w:rPr>
        <w:t>n</w:t>
      </w:r>
      <w:r>
        <w:rPr>
          <w:color w:val="000000"/>
          <w:spacing w:val="-2"/>
        </w:rPr>
        <w:t>g</w:t>
      </w:r>
      <w:r>
        <w:rPr>
          <w:color w:val="000000"/>
        </w:rPr>
        <w:t>i</w:t>
      </w:r>
      <w:r>
        <w:rPr>
          <w:color w:val="000000"/>
          <w:spacing w:val="2"/>
        </w:rPr>
        <w:t>n</w:t>
      </w:r>
      <w:r>
        <w:rPr>
          <w:color w:val="000000"/>
          <w:spacing w:val="-1"/>
        </w:rPr>
        <w:t>eer</w:t>
      </w:r>
      <w:r>
        <w:rPr>
          <w:color w:val="000000"/>
        </w:rPr>
        <w:t>i</w:t>
      </w:r>
      <w:r>
        <w:rPr>
          <w:color w:val="000000"/>
          <w:spacing w:val="2"/>
        </w:rPr>
        <w:t>n</w:t>
      </w:r>
      <w:r>
        <w:rPr>
          <w:color w:val="000000"/>
          <w:spacing w:val="-2"/>
        </w:rPr>
        <w:t>g</w:t>
      </w:r>
      <w:r>
        <w:rPr>
          <w:color w:val="000000"/>
        </w:rPr>
        <w:t>;</w:t>
      </w:r>
    </w:p>
    <w:p w14:paraId="0A2C590E" w14:textId="77777777" w:rsidR="00DC4922" w:rsidRDefault="00DC4922" w:rsidP="00DC4922">
      <w:pPr>
        <w:rPr>
          <w:color w:val="000000"/>
        </w:rPr>
      </w:pPr>
      <w:r>
        <w:rPr>
          <w:color w:val="000000"/>
        </w:rPr>
        <w:t>3.</w:t>
      </w:r>
      <w:r>
        <w:rPr>
          <w:color w:val="000000"/>
        </w:rPr>
        <w:tab/>
      </w:r>
      <w:r>
        <w:rPr>
          <w:color w:val="000000"/>
          <w:spacing w:val="1"/>
        </w:rPr>
        <w:t>P</w:t>
      </w:r>
      <w:r>
        <w:rPr>
          <w:color w:val="000000"/>
          <w:spacing w:val="-1"/>
        </w:rPr>
        <w:t>r</w:t>
      </w:r>
      <w:r>
        <w:rPr>
          <w:color w:val="000000"/>
        </w:rPr>
        <w:t>ot</w:t>
      </w:r>
      <w:r>
        <w:rPr>
          <w:color w:val="000000"/>
          <w:spacing w:val="-1"/>
        </w:rPr>
        <w:t>ec</w:t>
      </w:r>
      <w:r>
        <w:rPr>
          <w:color w:val="000000"/>
        </w:rPr>
        <w:t xml:space="preserve">tion </w:t>
      </w:r>
      <w:r>
        <w:rPr>
          <w:color w:val="000000"/>
          <w:spacing w:val="-1"/>
        </w:rPr>
        <w:t>a</w:t>
      </w:r>
      <w:r>
        <w:rPr>
          <w:color w:val="000000"/>
        </w:rPr>
        <w:t xml:space="preserve">nd </w:t>
      </w:r>
      <w:r>
        <w:rPr>
          <w:color w:val="000000"/>
          <w:spacing w:val="-1"/>
        </w:rPr>
        <w:t>e</w:t>
      </w:r>
      <w:r>
        <w:rPr>
          <w:color w:val="000000"/>
        </w:rPr>
        <w:t>nh</w:t>
      </w:r>
      <w:r>
        <w:rPr>
          <w:color w:val="000000"/>
          <w:spacing w:val="-1"/>
        </w:rPr>
        <w:t>a</w:t>
      </w:r>
      <w:r>
        <w:rPr>
          <w:color w:val="000000"/>
          <w:spacing w:val="2"/>
        </w:rPr>
        <w:t>n</w:t>
      </w:r>
      <w:r>
        <w:rPr>
          <w:color w:val="000000"/>
          <w:spacing w:val="-1"/>
        </w:rPr>
        <w:t>ce</w:t>
      </w:r>
      <w:r>
        <w:rPr>
          <w:color w:val="000000"/>
          <w:spacing w:val="3"/>
        </w:rPr>
        <w:t>m</w:t>
      </w:r>
      <w:r>
        <w:rPr>
          <w:color w:val="000000"/>
          <w:spacing w:val="-1"/>
        </w:rPr>
        <w:t>e</w:t>
      </w:r>
      <w:r>
        <w:rPr>
          <w:color w:val="000000"/>
        </w:rPr>
        <w:t>nt of</w:t>
      </w:r>
      <w:r>
        <w:rPr>
          <w:color w:val="000000"/>
          <w:spacing w:val="-1"/>
        </w:rPr>
        <w:t xml:space="preserve"> </w:t>
      </w:r>
      <w:r>
        <w:rPr>
          <w:color w:val="000000"/>
        </w:rPr>
        <w:t>subm</w:t>
      </w:r>
      <w:r>
        <w:rPr>
          <w:color w:val="000000"/>
          <w:spacing w:val="-1"/>
        </w:rPr>
        <w:t>e</w:t>
      </w:r>
      <w:r>
        <w:rPr>
          <w:color w:val="000000"/>
          <w:spacing w:val="2"/>
        </w:rPr>
        <w:t>r</w:t>
      </w:r>
      <w:r>
        <w:rPr>
          <w:color w:val="000000"/>
          <w:spacing w:val="-2"/>
        </w:rPr>
        <w:t>g</w:t>
      </w:r>
      <w:r>
        <w:rPr>
          <w:color w:val="000000"/>
          <w:spacing w:val="-1"/>
        </w:rPr>
        <w:t>e</w:t>
      </w:r>
      <w:r>
        <w:rPr>
          <w:color w:val="000000"/>
        </w:rPr>
        <w:t>d</w:t>
      </w:r>
      <w:r>
        <w:rPr>
          <w:color w:val="000000"/>
          <w:spacing w:val="2"/>
        </w:rPr>
        <w:t xml:space="preserve"> </w:t>
      </w:r>
      <w:r>
        <w:rPr>
          <w:color w:val="000000"/>
          <w:spacing w:val="-1"/>
        </w:rPr>
        <w:t>a</w:t>
      </w:r>
      <w:r>
        <w:rPr>
          <w:color w:val="000000"/>
        </w:rPr>
        <w:t>qu</w:t>
      </w:r>
      <w:r>
        <w:rPr>
          <w:color w:val="000000"/>
          <w:spacing w:val="-1"/>
        </w:rPr>
        <w:t>a</w:t>
      </w:r>
      <w:r>
        <w:rPr>
          <w:color w:val="000000"/>
        </w:rPr>
        <w:t>tic</w:t>
      </w:r>
      <w:r>
        <w:rPr>
          <w:color w:val="000000"/>
          <w:spacing w:val="1"/>
        </w:rPr>
        <w:t xml:space="preserve"> </w:t>
      </w:r>
      <w:r>
        <w:rPr>
          <w:color w:val="000000"/>
        </w:rPr>
        <w:t>v</w:t>
      </w:r>
      <w:r>
        <w:rPr>
          <w:color w:val="000000"/>
          <w:spacing w:val="-1"/>
        </w:rPr>
        <w:t>e</w:t>
      </w:r>
      <w:r>
        <w:rPr>
          <w:color w:val="000000"/>
        </w:rPr>
        <w:t>g</w:t>
      </w:r>
      <w:r>
        <w:rPr>
          <w:color w:val="000000"/>
          <w:spacing w:val="-1"/>
        </w:rPr>
        <w:t>e</w:t>
      </w:r>
      <w:r>
        <w:rPr>
          <w:color w:val="000000"/>
        </w:rPr>
        <w:t>t</w:t>
      </w:r>
      <w:r>
        <w:rPr>
          <w:color w:val="000000"/>
          <w:spacing w:val="-1"/>
        </w:rPr>
        <w:t>a</w:t>
      </w:r>
      <w:r>
        <w:rPr>
          <w:color w:val="000000"/>
        </w:rPr>
        <w:t>tion;</w:t>
      </w:r>
    </w:p>
    <w:p w14:paraId="62611C8A" w14:textId="77777777" w:rsidR="00DC4922" w:rsidRDefault="00DC4922" w:rsidP="00DC4922">
      <w:pPr>
        <w:rPr>
          <w:color w:val="000000"/>
        </w:rPr>
      </w:pPr>
      <w:r>
        <w:rPr>
          <w:color w:val="000000"/>
        </w:rPr>
        <w:lastRenderedPageBreak/>
        <w:t>4.</w:t>
      </w:r>
      <w:r>
        <w:rPr>
          <w:color w:val="000000"/>
        </w:rPr>
        <w:tab/>
        <w:t>Alt</w:t>
      </w:r>
      <w:r>
        <w:rPr>
          <w:color w:val="000000"/>
          <w:spacing w:val="-1"/>
        </w:rPr>
        <w:t>era</w:t>
      </w:r>
      <w:r>
        <w:rPr>
          <w:color w:val="000000"/>
        </w:rPr>
        <w:t xml:space="preserve">tions to </w:t>
      </w:r>
      <w:r>
        <w:rPr>
          <w:color w:val="000000"/>
          <w:spacing w:val="-1"/>
        </w:rPr>
        <w:t>r</w:t>
      </w:r>
      <w:r>
        <w:rPr>
          <w:color w:val="000000"/>
        </w:rPr>
        <w:t>iv</w:t>
      </w:r>
      <w:r>
        <w:rPr>
          <w:color w:val="000000"/>
          <w:spacing w:val="-1"/>
        </w:rPr>
        <w:t>er</w:t>
      </w:r>
      <w:r>
        <w:rPr>
          <w:color w:val="000000"/>
        </w:rPr>
        <w:t>in</w:t>
      </w:r>
      <w:r>
        <w:rPr>
          <w:color w:val="000000"/>
          <w:spacing w:val="-1"/>
        </w:rPr>
        <w:t>e</w:t>
      </w:r>
      <w:r>
        <w:rPr>
          <w:color w:val="000000"/>
        </w:rPr>
        <w:t>,</w:t>
      </w:r>
      <w:r>
        <w:rPr>
          <w:color w:val="000000"/>
          <w:spacing w:val="2"/>
        </w:rPr>
        <w:t xml:space="preserve"> </w:t>
      </w:r>
      <w:r>
        <w:rPr>
          <w:color w:val="000000"/>
          <w:spacing w:val="-1"/>
        </w:rPr>
        <w:t>e</w:t>
      </w:r>
      <w:r>
        <w:rPr>
          <w:color w:val="000000"/>
        </w:rPr>
        <w:t>stu</w:t>
      </w:r>
      <w:r>
        <w:rPr>
          <w:color w:val="000000"/>
          <w:spacing w:val="-1"/>
        </w:rPr>
        <w:t>ar</w:t>
      </w:r>
      <w:r>
        <w:rPr>
          <w:color w:val="000000"/>
        </w:rPr>
        <w:t>ine,</w:t>
      </w:r>
      <w:r>
        <w:rPr>
          <w:color w:val="000000"/>
          <w:spacing w:val="-1"/>
        </w:rPr>
        <w:t xml:space="preserve"> a</w:t>
      </w:r>
      <w:r>
        <w:rPr>
          <w:color w:val="000000"/>
        </w:rPr>
        <w:t>nd n</w:t>
      </w:r>
      <w:r>
        <w:rPr>
          <w:color w:val="000000"/>
          <w:spacing w:val="1"/>
        </w:rPr>
        <w:t>e</w:t>
      </w:r>
      <w:r>
        <w:rPr>
          <w:color w:val="000000"/>
          <w:spacing w:val="-1"/>
        </w:rPr>
        <w:t>ar</w:t>
      </w:r>
      <w:r>
        <w:rPr>
          <w:color w:val="000000"/>
        </w:rPr>
        <w:t>sho</w:t>
      </w:r>
      <w:r>
        <w:rPr>
          <w:color w:val="000000"/>
          <w:spacing w:val="2"/>
        </w:rPr>
        <w:t>r</w:t>
      </w:r>
      <w:r>
        <w:rPr>
          <w:color w:val="000000"/>
        </w:rPr>
        <w:t>e</w:t>
      </w:r>
      <w:r>
        <w:rPr>
          <w:color w:val="000000"/>
          <w:spacing w:val="-1"/>
        </w:rPr>
        <w:t xml:space="preserve"> f</w:t>
      </w:r>
      <w:r>
        <w:rPr>
          <w:color w:val="000000"/>
        </w:rPr>
        <w:t>l</w:t>
      </w:r>
      <w:r>
        <w:rPr>
          <w:color w:val="000000"/>
          <w:spacing w:val="2"/>
        </w:rPr>
        <w:t>o</w:t>
      </w:r>
      <w:r>
        <w:rPr>
          <w:color w:val="000000"/>
        </w:rPr>
        <w:t>ws;</w:t>
      </w:r>
    </w:p>
    <w:p w14:paraId="4290CBA6" w14:textId="77777777" w:rsidR="00DC4922" w:rsidRDefault="00DC4922" w:rsidP="00DC4922">
      <w:pPr>
        <w:rPr>
          <w:color w:val="000000"/>
        </w:rPr>
      </w:pPr>
      <w:r>
        <w:rPr>
          <w:color w:val="000000"/>
        </w:rPr>
        <w:t>5.</w:t>
      </w:r>
      <w:r>
        <w:rPr>
          <w:color w:val="000000"/>
        </w:rPr>
        <w:tab/>
        <w:t>M</w:t>
      </w:r>
      <w:r>
        <w:rPr>
          <w:color w:val="000000"/>
          <w:spacing w:val="-1"/>
        </w:rPr>
        <w:t>ar</w:t>
      </w:r>
      <w:r>
        <w:rPr>
          <w:color w:val="000000"/>
        </w:rPr>
        <w:t>ine</w:t>
      </w:r>
      <w:r>
        <w:rPr>
          <w:color w:val="000000"/>
          <w:spacing w:val="-1"/>
        </w:rPr>
        <w:t xml:space="preserve"> a</w:t>
      </w:r>
      <w:r>
        <w:rPr>
          <w:color w:val="000000"/>
        </w:rPr>
        <w:t>q</w:t>
      </w:r>
      <w:r>
        <w:rPr>
          <w:color w:val="000000"/>
          <w:spacing w:val="2"/>
        </w:rPr>
        <w:t>u</w:t>
      </w:r>
      <w:r>
        <w:rPr>
          <w:color w:val="000000"/>
          <w:spacing w:val="-1"/>
        </w:rPr>
        <w:t>ac</w:t>
      </w:r>
      <w:r>
        <w:rPr>
          <w:color w:val="000000"/>
        </w:rPr>
        <w:t>ultu</w:t>
      </w:r>
      <w:r>
        <w:rPr>
          <w:color w:val="000000"/>
          <w:spacing w:val="-1"/>
        </w:rPr>
        <w:t>re</w:t>
      </w:r>
      <w:r>
        <w:rPr>
          <w:color w:val="000000"/>
        </w:rPr>
        <w:t>;</w:t>
      </w:r>
    </w:p>
    <w:p w14:paraId="47E18043" w14:textId="77777777" w:rsidR="00DC4922" w:rsidRDefault="00DC4922" w:rsidP="00DC4922">
      <w:pPr>
        <w:rPr>
          <w:color w:val="000000"/>
        </w:rPr>
      </w:pPr>
      <w:r>
        <w:rPr>
          <w:color w:val="000000"/>
        </w:rPr>
        <w:t>6.</w:t>
      </w:r>
      <w:r>
        <w:rPr>
          <w:color w:val="000000"/>
        </w:rPr>
        <w:tab/>
        <w:t>M</w:t>
      </w:r>
      <w:r>
        <w:rPr>
          <w:color w:val="000000"/>
          <w:spacing w:val="-1"/>
        </w:rPr>
        <w:t>ar</w:t>
      </w:r>
      <w:r>
        <w:rPr>
          <w:color w:val="000000"/>
        </w:rPr>
        <w:t>ine</w:t>
      </w:r>
      <w:r>
        <w:rPr>
          <w:color w:val="000000"/>
          <w:spacing w:val="-1"/>
        </w:rPr>
        <w:t xml:space="preserve"> </w:t>
      </w:r>
      <w:r>
        <w:rPr>
          <w:color w:val="000000"/>
        </w:rPr>
        <w:t>E</w:t>
      </w:r>
      <w:r>
        <w:rPr>
          <w:color w:val="000000"/>
          <w:spacing w:val="-1"/>
        </w:rPr>
        <w:t>c</w:t>
      </w:r>
      <w:r>
        <w:rPr>
          <w:color w:val="000000"/>
        </w:rPr>
        <w:t>o</w:t>
      </w:r>
      <w:r>
        <w:rPr>
          <w:color w:val="000000"/>
          <w:spacing w:val="5"/>
        </w:rPr>
        <w:t>s</w:t>
      </w:r>
      <w:r>
        <w:rPr>
          <w:color w:val="000000"/>
          <w:spacing w:val="-5"/>
        </w:rPr>
        <w:t>y</w:t>
      </w:r>
      <w:r>
        <w:rPr>
          <w:color w:val="000000"/>
        </w:rPr>
        <w:t>st</w:t>
      </w:r>
      <w:r>
        <w:rPr>
          <w:color w:val="000000"/>
          <w:spacing w:val="-1"/>
        </w:rPr>
        <w:t>e</w:t>
      </w:r>
      <w:r>
        <w:rPr>
          <w:color w:val="000000"/>
        </w:rPr>
        <w:t xml:space="preserve">ms </w:t>
      </w:r>
      <w:r>
        <w:rPr>
          <w:color w:val="000000"/>
          <w:spacing w:val="-1"/>
        </w:rPr>
        <w:t>a</w:t>
      </w:r>
      <w:r>
        <w:rPr>
          <w:color w:val="000000"/>
        </w:rPr>
        <w:t>nd</w:t>
      </w:r>
      <w:r>
        <w:rPr>
          <w:color w:val="000000"/>
          <w:spacing w:val="2"/>
        </w:rPr>
        <w:t xml:space="preserve"> </w:t>
      </w:r>
      <w:r>
        <w:rPr>
          <w:color w:val="000000"/>
        </w:rPr>
        <w:t>Non</w:t>
      </w:r>
      <w:r>
        <w:rPr>
          <w:color w:val="000000"/>
          <w:spacing w:val="-1"/>
        </w:rPr>
        <w:t>-</w:t>
      </w:r>
      <w:r>
        <w:rPr>
          <w:color w:val="000000"/>
        </w:rPr>
        <w:t>N</w:t>
      </w:r>
      <w:r>
        <w:rPr>
          <w:color w:val="000000"/>
          <w:spacing w:val="-1"/>
        </w:rPr>
        <w:t>a</w:t>
      </w:r>
      <w:r>
        <w:rPr>
          <w:color w:val="000000"/>
        </w:rPr>
        <w:t>tive</w:t>
      </w:r>
      <w:r>
        <w:rPr>
          <w:color w:val="000000"/>
          <w:spacing w:val="-1"/>
        </w:rPr>
        <w:t xml:space="preserve"> </w:t>
      </w:r>
      <w:r>
        <w:rPr>
          <w:color w:val="000000"/>
          <w:spacing w:val="1"/>
        </w:rPr>
        <w:t>a</w:t>
      </w:r>
      <w:r>
        <w:rPr>
          <w:color w:val="000000"/>
        </w:rPr>
        <w:t>nd</w:t>
      </w:r>
      <w:r>
        <w:rPr>
          <w:color w:val="000000"/>
          <w:spacing w:val="2"/>
        </w:rPr>
        <w:t xml:space="preserve"> </w:t>
      </w:r>
      <w:r>
        <w:rPr>
          <w:color w:val="000000"/>
          <w:spacing w:val="-3"/>
        </w:rPr>
        <w:t>I</w:t>
      </w:r>
      <w:r>
        <w:rPr>
          <w:color w:val="000000"/>
        </w:rPr>
        <w:t>nv</w:t>
      </w:r>
      <w:r>
        <w:rPr>
          <w:color w:val="000000"/>
          <w:spacing w:val="-1"/>
        </w:rPr>
        <w:t>a</w:t>
      </w:r>
      <w:r>
        <w:rPr>
          <w:color w:val="000000"/>
        </w:rPr>
        <w:t>sive</w:t>
      </w:r>
      <w:r>
        <w:rPr>
          <w:color w:val="000000"/>
          <w:spacing w:val="1"/>
        </w:rPr>
        <w:t xml:space="preserve"> S</w:t>
      </w:r>
      <w:r>
        <w:rPr>
          <w:color w:val="000000"/>
        </w:rPr>
        <w:t>p</w:t>
      </w:r>
      <w:r>
        <w:rPr>
          <w:color w:val="000000"/>
          <w:spacing w:val="-1"/>
        </w:rPr>
        <w:t>ec</w:t>
      </w:r>
      <w:r>
        <w:rPr>
          <w:color w:val="000000"/>
        </w:rPr>
        <w:t>i</w:t>
      </w:r>
      <w:r>
        <w:rPr>
          <w:color w:val="000000"/>
          <w:spacing w:val="-1"/>
        </w:rPr>
        <w:t>e</w:t>
      </w:r>
      <w:r>
        <w:rPr>
          <w:color w:val="000000"/>
        </w:rPr>
        <w:t>s: and</w:t>
      </w:r>
    </w:p>
    <w:p w14:paraId="310265D4" w14:textId="77777777" w:rsidR="00DC4922" w:rsidRDefault="00DC4922" w:rsidP="00DC4922">
      <w:pPr>
        <w:rPr>
          <w:color w:val="000000"/>
        </w:rPr>
      </w:pPr>
      <w:r>
        <w:rPr>
          <w:color w:val="000000"/>
        </w:rPr>
        <w:t>7.</w:t>
      </w:r>
      <w:r>
        <w:rPr>
          <w:color w:val="000000"/>
        </w:rPr>
        <w:tab/>
        <w:t>Estu</w:t>
      </w:r>
      <w:r>
        <w:rPr>
          <w:color w:val="000000"/>
          <w:spacing w:val="-1"/>
        </w:rPr>
        <w:t>ar</w:t>
      </w:r>
      <w:r>
        <w:rPr>
          <w:color w:val="000000"/>
        </w:rPr>
        <w:t>ine</w:t>
      </w:r>
      <w:r>
        <w:rPr>
          <w:color w:val="000000"/>
          <w:spacing w:val="-1"/>
        </w:rPr>
        <w:t xml:space="preserve"> </w:t>
      </w:r>
      <w:r>
        <w:rPr>
          <w:color w:val="000000"/>
        </w:rPr>
        <w:t>E</w:t>
      </w:r>
      <w:r>
        <w:rPr>
          <w:color w:val="000000"/>
          <w:spacing w:val="-1"/>
        </w:rPr>
        <w:t>c</w:t>
      </w:r>
      <w:r>
        <w:rPr>
          <w:color w:val="000000"/>
        </w:rPr>
        <w:t>o</w:t>
      </w:r>
      <w:r>
        <w:rPr>
          <w:color w:val="000000"/>
          <w:spacing w:val="5"/>
        </w:rPr>
        <w:t>s</w:t>
      </w:r>
      <w:r>
        <w:rPr>
          <w:color w:val="000000"/>
          <w:spacing w:val="-5"/>
        </w:rPr>
        <w:t>y</w:t>
      </w:r>
      <w:r>
        <w:rPr>
          <w:color w:val="000000"/>
        </w:rPr>
        <w:t>st</w:t>
      </w:r>
      <w:r>
        <w:rPr>
          <w:color w:val="000000"/>
          <w:spacing w:val="-1"/>
        </w:rPr>
        <w:t>e</w:t>
      </w:r>
      <w:r>
        <w:rPr>
          <w:color w:val="000000"/>
        </w:rPr>
        <w:t xml:space="preserve">ms </w:t>
      </w:r>
      <w:r>
        <w:rPr>
          <w:color w:val="000000"/>
          <w:spacing w:val="-1"/>
        </w:rPr>
        <w:t>a</w:t>
      </w:r>
      <w:r>
        <w:rPr>
          <w:color w:val="000000"/>
          <w:spacing w:val="2"/>
        </w:rPr>
        <w:t>n</w:t>
      </w:r>
      <w:r>
        <w:rPr>
          <w:color w:val="000000"/>
        </w:rPr>
        <w:t>d Non</w:t>
      </w:r>
      <w:r>
        <w:rPr>
          <w:color w:val="000000"/>
          <w:spacing w:val="-1"/>
        </w:rPr>
        <w:t>-</w:t>
      </w:r>
      <w:r>
        <w:rPr>
          <w:color w:val="000000"/>
        </w:rPr>
        <w:t>N</w:t>
      </w:r>
      <w:r>
        <w:rPr>
          <w:color w:val="000000"/>
          <w:spacing w:val="-1"/>
        </w:rPr>
        <w:t>a</w:t>
      </w:r>
      <w:r>
        <w:rPr>
          <w:color w:val="000000"/>
        </w:rPr>
        <w:t>tive</w:t>
      </w:r>
      <w:r>
        <w:rPr>
          <w:color w:val="000000"/>
          <w:spacing w:val="1"/>
        </w:rPr>
        <w:t xml:space="preserve"> </w:t>
      </w:r>
      <w:r>
        <w:rPr>
          <w:color w:val="000000"/>
          <w:spacing w:val="-1"/>
        </w:rPr>
        <w:t>a</w:t>
      </w:r>
      <w:r>
        <w:rPr>
          <w:color w:val="000000"/>
        </w:rPr>
        <w:t>nd</w:t>
      </w:r>
      <w:r>
        <w:rPr>
          <w:color w:val="000000"/>
          <w:spacing w:val="2"/>
        </w:rPr>
        <w:t xml:space="preserve"> </w:t>
      </w:r>
      <w:r>
        <w:rPr>
          <w:color w:val="000000"/>
          <w:spacing w:val="-3"/>
        </w:rPr>
        <w:t>I</w:t>
      </w:r>
      <w:r>
        <w:rPr>
          <w:color w:val="000000"/>
        </w:rPr>
        <w:t>nv</w:t>
      </w:r>
      <w:r>
        <w:rPr>
          <w:color w:val="000000"/>
          <w:spacing w:val="-1"/>
        </w:rPr>
        <w:t>a</w:t>
      </w:r>
      <w:r>
        <w:rPr>
          <w:color w:val="000000"/>
        </w:rPr>
        <w:t>s</w:t>
      </w:r>
      <w:r>
        <w:rPr>
          <w:color w:val="000000"/>
          <w:spacing w:val="3"/>
        </w:rPr>
        <w:t>i</w:t>
      </w:r>
      <w:r>
        <w:rPr>
          <w:color w:val="000000"/>
        </w:rPr>
        <w:t>ve</w:t>
      </w:r>
      <w:r>
        <w:rPr>
          <w:color w:val="000000"/>
          <w:spacing w:val="-1"/>
        </w:rPr>
        <w:t xml:space="preserve"> </w:t>
      </w:r>
      <w:r>
        <w:rPr>
          <w:color w:val="000000"/>
          <w:spacing w:val="1"/>
        </w:rPr>
        <w:t>S</w:t>
      </w:r>
      <w:r>
        <w:rPr>
          <w:color w:val="000000"/>
        </w:rPr>
        <w:t>p</w:t>
      </w:r>
      <w:r>
        <w:rPr>
          <w:color w:val="000000"/>
          <w:spacing w:val="-1"/>
        </w:rPr>
        <w:t>ec</w:t>
      </w:r>
      <w:r>
        <w:rPr>
          <w:color w:val="000000"/>
        </w:rPr>
        <w:t>i</w:t>
      </w:r>
      <w:r>
        <w:rPr>
          <w:color w:val="000000"/>
          <w:spacing w:val="-1"/>
        </w:rPr>
        <w:t>e</w:t>
      </w:r>
      <w:r>
        <w:rPr>
          <w:color w:val="000000"/>
        </w:rPr>
        <w:t>s.</w:t>
      </w:r>
    </w:p>
    <w:p w14:paraId="4409478A" w14:textId="77777777" w:rsidR="00DC4922" w:rsidRDefault="00DC4922" w:rsidP="00DC4922">
      <w:pPr>
        <w:rPr>
          <w:color w:val="000000"/>
          <w:sz w:val="26"/>
        </w:rPr>
      </w:pPr>
    </w:p>
    <w:p w14:paraId="330A4496" w14:textId="77777777" w:rsidR="00DC4922" w:rsidRDefault="00DC4922" w:rsidP="00640526">
      <w:pPr>
        <w:ind w:firstLine="360"/>
        <w:rPr>
          <w:color w:val="000000"/>
        </w:rPr>
      </w:pPr>
      <w:r>
        <w:rPr>
          <w:color w:val="000000"/>
        </w:rPr>
        <w:t>NOAA</w:t>
      </w:r>
      <w:r>
        <w:rPr>
          <w:color w:val="000000"/>
          <w:spacing w:val="2"/>
        </w:rPr>
        <w:t xml:space="preserve"> </w:t>
      </w:r>
      <w:r>
        <w:rPr>
          <w:color w:val="000000"/>
          <w:spacing w:val="-1"/>
        </w:rPr>
        <w:t>F</w:t>
      </w:r>
      <w:r>
        <w:rPr>
          <w:color w:val="000000"/>
        </w:rPr>
        <w:t>ish</w:t>
      </w:r>
      <w:r>
        <w:rPr>
          <w:color w:val="000000"/>
          <w:spacing w:val="-1"/>
        </w:rPr>
        <w:t>er</w:t>
      </w:r>
      <w:r>
        <w:rPr>
          <w:color w:val="000000"/>
        </w:rPr>
        <w:t>i</w:t>
      </w:r>
      <w:r>
        <w:rPr>
          <w:color w:val="000000"/>
          <w:spacing w:val="-1"/>
        </w:rPr>
        <w:t>e</w:t>
      </w:r>
      <w:r>
        <w:rPr>
          <w:color w:val="000000"/>
        </w:rPr>
        <w:t xml:space="preserve">s, </w:t>
      </w:r>
      <w:r>
        <w:rPr>
          <w:color w:val="000000"/>
          <w:spacing w:val="1"/>
        </w:rPr>
        <w:t>S</w:t>
      </w:r>
      <w:r>
        <w:rPr>
          <w:color w:val="000000"/>
        </w:rPr>
        <w:t>t</w:t>
      </w:r>
      <w:r>
        <w:rPr>
          <w:color w:val="000000"/>
          <w:spacing w:val="-1"/>
        </w:rPr>
        <w:t>a</w:t>
      </w:r>
      <w:r>
        <w:rPr>
          <w:color w:val="000000"/>
        </w:rPr>
        <w:t>te</w:t>
      </w:r>
      <w:r>
        <w:rPr>
          <w:color w:val="000000"/>
          <w:spacing w:val="-1"/>
        </w:rPr>
        <w:t xml:space="preserve"> </w:t>
      </w:r>
      <w:r>
        <w:rPr>
          <w:color w:val="000000"/>
          <w:spacing w:val="1"/>
        </w:rPr>
        <w:t>a</w:t>
      </w:r>
      <w:r>
        <w:rPr>
          <w:color w:val="000000"/>
        </w:rPr>
        <w:t>nd oth</w:t>
      </w:r>
      <w:r>
        <w:rPr>
          <w:color w:val="000000"/>
          <w:spacing w:val="-1"/>
        </w:rPr>
        <w:t>e</w:t>
      </w:r>
      <w:r>
        <w:rPr>
          <w:color w:val="000000"/>
        </w:rPr>
        <w:t>r</w:t>
      </w:r>
      <w:r>
        <w:rPr>
          <w:color w:val="000000"/>
          <w:spacing w:val="-1"/>
        </w:rPr>
        <w:t xml:space="preserve"> </w:t>
      </w:r>
      <w:r>
        <w:rPr>
          <w:color w:val="000000"/>
          <w:spacing w:val="1"/>
        </w:rPr>
        <w:t>F</w:t>
      </w:r>
      <w:r>
        <w:rPr>
          <w:color w:val="000000"/>
          <w:spacing w:val="-1"/>
        </w:rPr>
        <w:t>e</w:t>
      </w:r>
      <w:r>
        <w:rPr>
          <w:color w:val="000000"/>
        </w:rPr>
        <w:t>d</w:t>
      </w:r>
      <w:r>
        <w:rPr>
          <w:color w:val="000000"/>
          <w:spacing w:val="-1"/>
        </w:rPr>
        <w:t>e</w:t>
      </w:r>
      <w:r>
        <w:rPr>
          <w:color w:val="000000"/>
          <w:spacing w:val="2"/>
        </w:rPr>
        <w:t>r</w:t>
      </w:r>
      <w:r>
        <w:rPr>
          <w:color w:val="000000"/>
          <w:spacing w:val="-1"/>
        </w:rPr>
        <w:t>a</w:t>
      </w:r>
      <w:r>
        <w:rPr>
          <w:color w:val="000000"/>
        </w:rPr>
        <w:t xml:space="preserve">l </w:t>
      </w:r>
      <w:r>
        <w:rPr>
          <w:color w:val="000000"/>
          <w:spacing w:val="1"/>
        </w:rPr>
        <w:t>a</w:t>
      </w:r>
      <w:r>
        <w:rPr>
          <w:color w:val="000000"/>
          <w:spacing w:val="-2"/>
        </w:rPr>
        <w:t>g</w:t>
      </w:r>
      <w:r>
        <w:rPr>
          <w:color w:val="000000"/>
          <w:spacing w:val="-1"/>
        </w:rPr>
        <w:t>e</w:t>
      </w:r>
      <w:r>
        <w:rPr>
          <w:color w:val="000000"/>
          <w:spacing w:val="2"/>
        </w:rPr>
        <w:t>n</w:t>
      </w:r>
      <w:r>
        <w:rPr>
          <w:color w:val="000000"/>
          <w:spacing w:val="-1"/>
        </w:rPr>
        <w:t>c</w:t>
      </w:r>
      <w:r>
        <w:rPr>
          <w:color w:val="000000"/>
        </w:rPr>
        <w:t>i</w:t>
      </w:r>
      <w:r>
        <w:rPr>
          <w:color w:val="000000"/>
          <w:spacing w:val="1"/>
        </w:rPr>
        <w:t>e</w:t>
      </w:r>
      <w:r>
        <w:rPr>
          <w:color w:val="000000"/>
        </w:rPr>
        <w:t xml:space="preserve">s </w:t>
      </w:r>
      <w:r>
        <w:rPr>
          <w:color w:val="000000"/>
          <w:spacing w:val="-1"/>
        </w:rPr>
        <w:t>a</w:t>
      </w:r>
      <w:r>
        <w:rPr>
          <w:color w:val="000000"/>
        </w:rPr>
        <w:t>pp</w:t>
      </w:r>
      <w:r>
        <w:rPr>
          <w:color w:val="000000"/>
          <w:spacing w:val="3"/>
        </w:rPr>
        <w:t>l</w:t>
      </w:r>
      <w:r>
        <w:rPr>
          <w:color w:val="000000"/>
        </w:rPr>
        <w:t>y</w:t>
      </w:r>
      <w:r>
        <w:rPr>
          <w:color w:val="000000"/>
          <w:spacing w:val="-5"/>
        </w:rPr>
        <w:t xml:space="preserve"> </w:t>
      </w:r>
      <w:r>
        <w:rPr>
          <w:color w:val="000000"/>
          <w:spacing w:val="2"/>
        </w:rPr>
        <w:t>E</w:t>
      </w:r>
      <w:r>
        <w:rPr>
          <w:color w:val="000000"/>
          <w:spacing w:val="-1"/>
        </w:rPr>
        <w:t>F</w:t>
      </w:r>
      <w:r>
        <w:rPr>
          <w:color w:val="000000"/>
        </w:rPr>
        <w:t xml:space="preserve">H </w:t>
      </w:r>
      <w:r>
        <w:rPr>
          <w:color w:val="000000"/>
          <w:spacing w:val="-1"/>
        </w:rPr>
        <w:t>a</w:t>
      </w:r>
      <w:r>
        <w:rPr>
          <w:color w:val="000000"/>
        </w:rPr>
        <w:t>nd</w:t>
      </w:r>
      <w:r>
        <w:rPr>
          <w:color w:val="000000"/>
          <w:spacing w:val="2"/>
        </w:rPr>
        <w:t xml:space="preserve"> </w:t>
      </w:r>
      <w:r>
        <w:rPr>
          <w:color w:val="000000"/>
        </w:rPr>
        <w:t>E</w:t>
      </w:r>
      <w:r>
        <w:rPr>
          <w:color w:val="000000"/>
          <w:spacing w:val="-1"/>
        </w:rPr>
        <w:t>F</w:t>
      </w:r>
      <w:r>
        <w:rPr>
          <w:color w:val="000000"/>
          <w:spacing w:val="2"/>
        </w:rPr>
        <w:t>H</w:t>
      </w:r>
      <w:r>
        <w:rPr>
          <w:color w:val="000000"/>
          <w:spacing w:val="-1"/>
        </w:rPr>
        <w:t>-</w:t>
      </w:r>
      <w:r>
        <w:rPr>
          <w:color w:val="000000"/>
          <w:spacing w:val="2"/>
        </w:rPr>
        <w:t>H</w:t>
      </w:r>
      <w:r>
        <w:rPr>
          <w:color w:val="000000"/>
        </w:rPr>
        <w:t>A</w:t>
      </w:r>
      <w:r>
        <w:rPr>
          <w:color w:val="000000"/>
          <w:spacing w:val="1"/>
        </w:rPr>
        <w:t>P</w:t>
      </w:r>
      <w:r>
        <w:rPr>
          <w:color w:val="000000"/>
        </w:rPr>
        <w:t>C</w:t>
      </w:r>
      <w:r>
        <w:rPr>
          <w:color w:val="000000"/>
          <w:spacing w:val="1"/>
        </w:rPr>
        <w:t xml:space="preserve"> </w:t>
      </w:r>
      <w:r>
        <w:rPr>
          <w:color w:val="000000"/>
        </w:rPr>
        <w:t>d</w:t>
      </w:r>
      <w:r>
        <w:rPr>
          <w:color w:val="000000"/>
          <w:spacing w:val="-1"/>
        </w:rPr>
        <w:t>e</w:t>
      </w:r>
      <w:r>
        <w:rPr>
          <w:color w:val="000000"/>
        </w:rPr>
        <w:t>si</w:t>
      </w:r>
      <w:r>
        <w:rPr>
          <w:color w:val="000000"/>
          <w:spacing w:val="-2"/>
        </w:rPr>
        <w:t>g</w:t>
      </w:r>
      <w:r>
        <w:rPr>
          <w:color w:val="000000"/>
        </w:rPr>
        <w:t>n</w:t>
      </w:r>
      <w:r>
        <w:rPr>
          <w:color w:val="000000"/>
          <w:spacing w:val="-1"/>
        </w:rPr>
        <w:t>a</w:t>
      </w:r>
      <w:r>
        <w:rPr>
          <w:color w:val="000000"/>
        </w:rPr>
        <w:t xml:space="preserve">tions </w:t>
      </w:r>
      <w:r>
        <w:rPr>
          <w:color w:val="000000"/>
          <w:spacing w:val="-1"/>
        </w:rPr>
        <w:t>a</w:t>
      </w:r>
      <w:r>
        <w:rPr>
          <w:color w:val="000000"/>
        </w:rPr>
        <w:t>nd p</w:t>
      </w:r>
      <w:r>
        <w:rPr>
          <w:color w:val="000000"/>
          <w:spacing w:val="-1"/>
        </w:rPr>
        <w:t>r</w:t>
      </w:r>
      <w:r>
        <w:rPr>
          <w:color w:val="000000"/>
        </w:rPr>
        <w:t>ot</w:t>
      </w:r>
      <w:r>
        <w:rPr>
          <w:color w:val="000000"/>
          <w:spacing w:val="-1"/>
        </w:rPr>
        <w:t>ec</w:t>
      </w:r>
      <w:r>
        <w:rPr>
          <w:color w:val="000000"/>
        </w:rPr>
        <w:t>tion poli</w:t>
      </w:r>
      <w:r>
        <w:rPr>
          <w:color w:val="000000"/>
          <w:spacing w:val="-1"/>
        </w:rPr>
        <w:t>c</w:t>
      </w:r>
      <w:r>
        <w:rPr>
          <w:color w:val="000000"/>
        </w:rPr>
        <w:t>i</w:t>
      </w:r>
      <w:r>
        <w:rPr>
          <w:color w:val="000000"/>
          <w:spacing w:val="-1"/>
        </w:rPr>
        <w:t>e</w:t>
      </w:r>
      <w:r>
        <w:rPr>
          <w:color w:val="000000"/>
        </w:rPr>
        <w:t>s in the</w:t>
      </w:r>
      <w:r>
        <w:rPr>
          <w:color w:val="000000"/>
          <w:spacing w:val="-1"/>
        </w:rPr>
        <w:t xml:space="preserve"> </w:t>
      </w:r>
      <w:r>
        <w:rPr>
          <w:color w:val="000000"/>
        </w:rPr>
        <w:t>d</w:t>
      </w:r>
      <w:r>
        <w:rPr>
          <w:color w:val="000000"/>
          <w:spacing w:val="1"/>
        </w:rPr>
        <w:t>a</w:t>
      </w:r>
      <w:r>
        <w:rPr>
          <w:color w:val="000000"/>
          <w:spacing w:val="-5"/>
        </w:rPr>
        <w:t>y</w:t>
      </w:r>
      <w:r>
        <w:rPr>
          <w:color w:val="000000"/>
          <w:spacing w:val="-1"/>
        </w:rPr>
        <w:t>-</w:t>
      </w:r>
      <w:r>
        <w:rPr>
          <w:color w:val="000000"/>
        </w:rPr>
        <w:t>t</w:t>
      </w:r>
      <w:r>
        <w:rPr>
          <w:color w:val="000000"/>
          <w:spacing w:val="2"/>
        </w:rPr>
        <w:t>o</w:t>
      </w:r>
      <w:r>
        <w:rPr>
          <w:color w:val="000000"/>
          <w:spacing w:val="-1"/>
        </w:rPr>
        <w:t>-</w:t>
      </w:r>
      <w:r>
        <w:rPr>
          <w:color w:val="000000"/>
        </w:rPr>
        <w:t>d</w:t>
      </w:r>
      <w:r>
        <w:rPr>
          <w:color w:val="000000"/>
          <w:spacing w:val="4"/>
        </w:rPr>
        <w:t>a</w:t>
      </w:r>
      <w:r>
        <w:rPr>
          <w:color w:val="000000"/>
        </w:rPr>
        <w:t>y</w:t>
      </w:r>
      <w:r>
        <w:rPr>
          <w:color w:val="000000"/>
          <w:spacing w:val="-5"/>
        </w:rPr>
        <w:t xml:space="preserve"> </w:t>
      </w:r>
      <w:r>
        <w:rPr>
          <w:color w:val="000000"/>
          <w:spacing w:val="2"/>
        </w:rPr>
        <w:t>p</w:t>
      </w:r>
      <w:r>
        <w:rPr>
          <w:color w:val="000000"/>
          <w:spacing w:val="-1"/>
        </w:rPr>
        <w:t>er</w:t>
      </w:r>
      <w:r>
        <w:rPr>
          <w:color w:val="000000"/>
        </w:rPr>
        <w:t xml:space="preserve">mit </w:t>
      </w:r>
      <w:r>
        <w:rPr>
          <w:color w:val="000000"/>
          <w:spacing w:val="-1"/>
        </w:rPr>
        <w:t>re</w:t>
      </w:r>
      <w:r>
        <w:rPr>
          <w:color w:val="000000"/>
        </w:rPr>
        <w:t>vi</w:t>
      </w:r>
      <w:r>
        <w:rPr>
          <w:color w:val="000000"/>
          <w:spacing w:val="-1"/>
        </w:rPr>
        <w:t>e</w:t>
      </w:r>
      <w:r>
        <w:rPr>
          <w:color w:val="000000"/>
        </w:rPr>
        <w:t>w</w:t>
      </w:r>
      <w:r>
        <w:rPr>
          <w:color w:val="000000"/>
          <w:spacing w:val="2"/>
        </w:rPr>
        <w:t xml:space="preserve"> </w:t>
      </w:r>
      <w:r>
        <w:rPr>
          <w:color w:val="000000"/>
        </w:rPr>
        <w:t>p</w:t>
      </w:r>
      <w:r>
        <w:rPr>
          <w:color w:val="000000"/>
          <w:spacing w:val="-1"/>
        </w:rPr>
        <w:t>r</w:t>
      </w:r>
      <w:r>
        <w:rPr>
          <w:color w:val="000000"/>
        </w:rPr>
        <w:t>o</w:t>
      </w:r>
      <w:r>
        <w:rPr>
          <w:color w:val="000000"/>
          <w:spacing w:val="-1"/>
        </w:rPr>
        <w:t>ce</w:t>
      </w:r>
      <w:r>
        <w:rPr>
          <w:color w:val="000000"/>
        </w:rPr>
        <w:t>ss.</w:t>
      </w:r>
      <w:r>
        <w:rPr>
          <w:color w:val="000000"/>
          <w:spacing w:val="2"/>
        </w:rPr>
        <w:t xml:space="preserve"> </w:t>
      </w:r>
      <w:r>
        <w:rPr>
          <w:color w:val="000000"/>
          <w:spacing w:val="-3"/>
        </w:rPr>
        <w:t>T</w:t>
      </w:r>
      <w:r>
        <w:rPr>
          <w:color w:val="000000"/>
        </w:rPr>
        <w:t>he</w:t>
      </w:r>
      <w:r>
        <w:rPr>
          <w:color w:val="000000"/>
          <w:spacing w:val="-1"/>
        </w:rPr>
        <w:t xml:space="preserve"> </w:t>
      </w:r>
      <w:r>
        <w:rPr>
          <w:color w:val="000000"/>
          <w:spacing w:val="2"/>
        </w:rPr>
        <w:t>r</w:t>
      </w:r>
      <w:r>
        <w:rPr>
          <w:color w:val="000000"/>
          <w:spacing w:val="-1"/>
        </w:rPr>
        <w:t>e</w:t>
      </w:r>
      <w:r>
        <w:rPr>
          <w:color w:val="000000"/>
        </w:rPr>
        <w:t>vi</w:t>
      </w:r>
      <w:r>
        <w:rPr>
          <w:color w:val="000000"/>
          <w:spacing w:val="3"/>
        </w:rPr>
        <w:t>s</w:t>
      </w:r>
      <w:r>
        <w:rPr>
          <w:color w:val="000000"/>
        </w:rPr>
        <w:t xml:space="preserve">ion </w:t>
      </w:r>
      <w:r>
        <w:rPr>
          <w:color w:val="000000"/>
          <w:spacing w:val="-1"/>
        </w:rPr>
        <w:t>a</w:t>
      </w:r>
      <w:r>
        <w:rPr>
          <w:color w:val="000000"/>
        </w:rPr>
        <w:t>nd upd</w:t>
      </w:r>
      <w:r>
        <w:rPr>
          <w:color w:val="000000"/>
          <w:spacing w:val="-1"/>
        </w:rPr>
        <w:t>a</w:t>
      </w:r>
      <w:r>
        <w:rPr>
          <w:color w:val="000000"/>
        </w:rPr>
        <w:t>ting</w:t>
      </w:r>
      <w:r>
        <w:rPr>
          <w:color w:val="000000"/>
          <w:spacing w:val="-2"/>
        </w:rPr>
        <w:t xml:space="preserve"> </w:t>
      </w:r>
      <w:r>
        <w:rPr>
          <w:color w:val="000000"/>
        </w:rPr>
        <w:t>of</w:t>
      </w:r>
      <w:r>
        <w:rPr>
          <w:color w:val="000000"/>
          <w:spacing w:val="2"/>
        </w:rPr>
        <w:t xml:space="preserve"> </w:t>
      </w:r>
      <w:r>
        <w:rPr>
          <w:color w:val="000000"/>
          <w:spacing w:val="-1"/>
        </w:rPr>
        <w:t>e</w:t>
      </w:r>
      <w:r>
        <w:rPr>
          <w:color w:val="000000"/>
          <w:spacing w:val="2"/>
        </w:rPr>
        <w:t>x</w:t>
      </w:r>
      <w:r>
        <w:rPr>
          <w:color w:val="000000"/>
        </w:rPr>
        <w:t>ist</w:t>
      </w:r>
      <w:r>
        <w:rPr>
          <w:color w:val="000000"/>
          <w:spacing w:val="-2"/>
        </w:rPr>
        <w:t>i</w:t>
      </w:r>
      <w:r>
        <w:rPr>
          <w:color w:val="000000"/>
        </w:rPr>
        <w:t>ng</w:t>
      </w:r>
      <w:r>
        <w:rPr>
          <w:color w:val="000000"/>
          <w:spacing w:val="-2"/>
        </w:rPr>
        <w:t xml:space="preserve"> </w:t>
      </w:r>
      <w:r>
        <w:rPr>
          <w:color w:val="000000"/>
        </w:rPr>
        <w:t>h</w:t>
      </w:r>
      <w:r>
        <w:rPr>
          <w:color w:val="000000"/>
          <w:spacing w:val="-1"/>
        </w:rPr>
        <w:t>a</w:t>
      </w:r>
      <w:r>
        <w:rPr>
          <w:color w:val="000000"/>
        </w:rPr>
        <w:t>bit</w:t>
      </w:r>
      <w:r>
        <w:rPr>
          <w:color w:val="000000"/>
          <w:spacing w:val="-1"/>
        </w:rPr>
        <w:t>a</w:t>
      </w:r>
      <w:r>
        <w:rPr>
          <w:color w:val="000000"/>
        </w:rPr>
        <w:t>t poli</w:t>
      </w:r>
      <w:r>
        <w:rPr>
          <w:color w:val="000000"/>
          <w:spacing w:val="-1"/>
        </w:rPr>
        <w:t>c</w:t>
      </w:r>
      <w:r>
        <w:rPr>
          <w:color w:val="000000"/>
        </w:rPr>
        <w:t>i</w:t>
      </w:r>
      <w:r>
        <w:rPr>
          <w:color w:val="000000"/>
          <w:spacing w:val="-1"/>
        </w:rPr>
        <w:t>e</w:t>
      </w:r>
      <w:r>
        <w:rPr>
          <w:color w:val="000000"/>
        </w:rPr>
        <w:t>s</w:t>
      </w:r>
      <w:r>
        <w:rPr>
          <w:color w:val="000000"/>
          <w:spacing w:val="3"/>
        </w:rPr>
        <w:t xml:space="preserve"> </w:t>
      </w:r>
      <w:r>
        <w:rPr>
          <w:color w:val="000000"/>
          <w:spacing w:val="-1"/>
        </w:rPr>
        <w:t>a</w:t>
      </w:r>
      <w:r>
        <w:rPr>
          <w:color w:val="000000"/>
        </w:rPr>
        <w:t>nd the</w:t>
      </w:r>
      <w:r>
        <w:rPr>
          <w:color w:val="000000"/>
          <w:spacing w:val="-1"/>
        </w:rPr>
        <w:t xml:space="preserve"> </w:t>
      </w:r>
      <w:r>
        <w:rPr>
          <w:color w:val="000000"/>
        </w:rPr>
        <w:t>d</w:t>
      </w:r>
      <w:r>
        <w:rPr>
          <w:color w:val="000000"/>
          <w:spacing w:val="-1"/>
        </w:rPr>
        <w:t>e</w:t>
      </w:r>
      <w:r>
        <w:rPr>
          <w:color w:val="000000"/>
        </w:rPr>
        <w:t>v</w:t>
      </w:r>
      <w:r>
        <w:rPr>
          <w:color w:val="000000"/>
          <w:spacing w:val="-1"/>
        </w:rPr>
        <w:t>e</w:t>
      </w:r>
      <w:r>
        <w:rPr>
          <w:color w:val="000000"/>
        </w:rPr>
        <w:t>lopm</w:t>
      </w:r>
      <w:r>
        <w:rPr>
          <w:color w:val="000000"/>
          <w:spacing w:val="-1"/>
        </w:rPr>
        <w:t>e</w:t>
      </w:r>
      <w:r>
        <w:rPr>
          <w:color w:val="000000"/>
        </w:rPr>
        <w:t>nt of</w:t>
      </w:r>
      <w:r>
        <w:rPr>
          <w:color w:val="000000"/>
          <w:spacing w:val="-1"/>
        </w:rPr>
        <w:t xml:space="preserve"> </w:t>
      </w:r>
      <w:r>
        <w:rPr>
          <w:color w:val="000000"/>
          <w:spacing w:val="2"/>
        </w:rPr>
        <w:t>n</w:t>
      </w:r>
      <w:r>
        <w:rPr>
          <w:color w:val="000000"/>
          <w:spacing w:val="-1"/>
        </w:rPr>
        <w:t>e</w:t>
      </w:r>
      <w:r>
        <w:rPr>
          <w:color w:val="000000"/>
        </w:rPr>
        <w:t>w poli</w:t>
      </w:r>
      <w:r>
        <w:rPr>
          <w:color w:val="000000"/>
          <w:spacing w:val="-1"/>
        </w:rPr>
        <w:t>c</w:t>
      </w:r>
      <w:r>
        <w:rPr>
          <w:color w:val="000000"/>
        </w:rPr>
        <w:t>i</w:t>
      </w:r>
      <w:r>
        <w:rPr>
          <w:color w:val="000000"/>
          <w:spacing w:val="-1"/>
        </w:rPr>
        <w:t>e</w:t>
      </w:r>
      <w:r>
        <w:rPr>
          <w:color w:val="000000"/>
        </w:rPr>
        <w:t>s is b</w:t>
      </w:r>
      <w:r>
        <w:rPr>
          <w:color w:val="000000"/>
          <w:spacing w:val="-1"/>
        </w:rPr>
        <w:t>e</w:t>
      </w:r>
      <w:r>
        <w:rPr>
          <w:color w:val="000000"/>
        </w:rPr>
        <w:t>ing</w:t>
      </w:r>
      <w:r>
        <w:rPr>
          <w:color w:val="000000"/>
          <w:spacing w:val="-2"/>
        </w:rPr>
        <w:t xml:space="preserve"> </w:t>
      </w:r>
      <w:r>
        <w:rPr>
          <w:color w:val="000000"/>
          <w:spacing w:val="-1"/>
        </w:rPr>
        <w:t>c</w:t>
      </w:r>
      <w:r>
        <w:rPr>
          <w:color w:val="000000"/>
        </w:rPr>
        <w:t>o</w:t>
      </w:r>
      <w:r>
        <w:rPr>
          <w:color w:val="000000"/>
          <w:spacing w:val="2"/>
        </w:rPr>
        <w:t>o</w:t>
      </w:r>
      <w:r>
        <w:rPr>
          <w:color w:val="000000"/>
          <w:spacing w:val="-1"/>
        </w:rPr>
        <w:t>r</w:t>
      </w:r>
      <w:r>
        <w:rPr>
          <w:color w:val="000000"/>
        </w:rPr>
        <w:t>din</w:t>
      </w:r>
      <w:r>
        <w:rPr>
          <w:color w:val="000000"/>
          <w:spacing w:val="-1"/>
        </w:rPr>
        <w:t>a</w:t>
      </w:r>
      <w:r>
        <w:rPr>
          <w:color w:val="000000"/>
        </w:rPr>
        <w:t>t</w:t>
      </w:r>
      <w:r>
        <w:rPr>
          <w:color w:val="000000"/>
          <w:spacing w:val="-1"/>
        </w:rPr>
        <w:t>e</w:t>
      </w:r>
      <w:r>
        <w:rPr>
          <w:color w:val="000000"/>
        </w:rPr>
        <w:t xml:space="preserve">d with </w:t>
      </w:r>
      <w:r>
        <w:rPr>
          <w:color w:val="000000"/>
          <w:spacing w:val="-1"/>
        </w:rPr>
        <w:t>c</w:t>
      </w:r>
      <w:r>
        <w:rPr>
          <w:color w:val="000000"/>
        </w:rPr>
        <w:t>o</w:t>
      </w:r>
      <w:r>
        <w:rPr>
          <w:color w:val="000000"/>
          <w:spacing w:val="-1"/>
        </w:rPr>
        <w:t>r</w:t>
      </w:r>
      <w:r>
        <w:rPr>
          <w:color w:val="000000"/>
        </w:rPr>
        <w:t>e</w:t>
      </w:r>
      <w:r>
        <w:rPr>
          <w:color w:val="000000"/>
          <w:spacing w:val="1"/>
        </w:rPr>
        <w:t xml:space="preserve"> a</w:t>
      </w:r>
      <w:r>
        <w:rPr>
          <w:color w:val="000000"/>
          <w:spacing w:val="-2"/>
        </w:rPr>
        <w:t>g</w:t>
      </w:r>
      <w:r>
        <w:rPr>
          <w:color w:val="000000"/>
          <w:spacing w:val="-1"/>
        </w:rPr>
        <w:t>e</w:t>
      </w:r>
      <w:r>
        <w:rPr>
          <w:color w:val="000000"/>
          <w:spacing w:val="2"/>
        </w:rPr>
        <w:t>n</w:t>
      </w:r>
      <w:r>
        <w:rPr>
          <w:color w:val="000000"/>
          <w:spacing w:val="4"/>
        </w:rPr>
        <w:t>c</w:t>
      </w:r>
      <w:r>
        <w:rPr>
          <w:color w:val="000000"/>
        </w:rPr>
        <w:t>y</w:t>
      </w:r>
      <w:r>
        <w:rPr>
          <w:color w:val="000000"/>
          <w:spacing w:val="-5"/>
        </w:rPr>
        <w:t xml:space="preserve"> </w:t>
      </w:r>
      <w:r>
        <w:rPr>
          <w:color w:val="000000"/>
          <w:spacing w:val="-1"/>
        </w:rPr>
        <w:t>r</w:t>
      </w:r>
      <w:r>
        <w:rPr>
          <w:color w:val="000000"/>
          <w:spacing w:val="1"/>
        </w:rPr>
        <w:t>e</w:t>
      </w:r>
      <w:r>
        <w:rPr>
          <w:color w:val="000000"/>
        </w:rPr>
        <w:t>p</w:t>
      </w:r>
      <w:r>
        <w:rPr>
          <w:color w:val="000000"/>
          <w:spacing w:val="-1"/>
        </w:rPr>
        <w:t>re</w:t>
      </w:r>
      <w:r>
        <w:rPr>
          <w:color w:val="000000"/>
        </w:rPr>
        <w:t>s</w:t>
      </w:r>
      <w:r>
        <w:rPr>
          <w:color w:val="000000"/>
          <w:spacing w:val="-1"/>
        </w:rPr>
        <w:t>e</w:t>
      </w:r>
      <w:r>
        <w:rPr>
          <w:color w:val="000000"/>
        </w:rPr>
        <w:t>nt</w:t>
      </w:r>
      <w:r>
        <w:rPr>
          <w:color w:val="000000"/>
          <w:spacing w:val="-1"/>
        </w:rPr>
        <w:t>a</w:t>
      </w:r>
      <w:r>
        <w:rPr>
          <w:color w:val="000000"/>
        </w:rPr>
        <w:t>tiv</w:t>
      </w:r>
      <w:r>
        <w:rPr>
          <w:color w:val="000000"/>
          <w:spacing w:val="-1"/>
        </w:rPr>
        <w:t>e</w:t>
      </w:r>
      <w:r>
        <w:rPr>
          <w:color w:val="000000"/>
        </w:rPr>
        <w:t>s on the</w:t>
      </w:r>
      <w:r>
        <w:rPr>
          <w:color w:val="000000"/>
          <w:spacing w:val="-1"/>
        </w:rPr>
        <w:t xml:space="preserve"> </w:t>
      </w:r>
      <w:r>
        <w:rPr>
          <w:color w:val="000000"/>
          <w:spacing w:val="2"/>
        </w:rPr>
        <w:t>H</w:t>
      </w:r>
      <w:r>
        <w:rPr>
          <w:color w:val="000000"/>
          <w:spacing w:val="-1"/>
        </w:rPr>
        <w:t>a</w:t>
      </w:r>
      <w:r>
        <w:rPr>
          <w:color w:val="000000"/>
        </w:rPr>
        <w:t>b</w:t>
      </w:r>
      <w:r>
        <w:rPr>
          <w:color w:val="000000"/>
          <w:spacing w:val="3"/>
        </w:rPr>
        <w:t>i</w:t>
      </w:r>
      <w:r>
        <w:rPr>
          <w:color w:val="000000"/>
        </w:rPr>
        <w:t>t</w:t>
      </w:r>
      <w:r>
        <w:rPr>
          <w:color w:val="000000"/>
          <w:spacing w:val="-1"/>
        </w:rPr>
        <w:t>a</w:t>
      </w:r>
      <w:r>
        <w:rPr>
          <w:color w:val="000000"/>
        </w:rPr>
        <w:t xml:space="preserve">t </w:t>
      </w:r>
      <w:r>
        <w:rPr>
          <w:color w:val="000000"/>
          <w:spacing w:val="-1"/>
        </w:rPr>
        <w:t>a</w:t>
      </w:r>
      <w:r>
        <w:rPr>
          <w:color w:val="000000"/>
        </w:rPr>
        <w:t xml:space="preserve">nd </w:t>
      </w:r>
      <w:r>
        <w:rPr>
          <w:color w:val="000000"/>
          <w:spacing w:val="1"/>
        </w:rPr>
        <w:t>C</w:t>
      </w:r>
      <w:r>
        <w:rPr>
          <w:color w:val="000000"/>
        </w:rPr>
        <w:t>o</w:t>
      </w:r>
      <w:r>
        <w:rPr>
          <w:color w:val="000000"/>
          <w:spacing w:val="-1"/>
        </w:rPr>
        <w:t>ra</w:t>
      </w:r>
      <w:r>
        <w:rPr>
          <w:color w:val="000000"/>
        </w:rPr>
        <w:t>l Adviso</w:t>
      </w:r>
      <w:r>
        <w:rPr>
          <w:color w:val="000000"/>
          <w:spacing w:val="4"/>
        </w:rPr>
        <w:t>r</w:t>
      </w:r>
      <w:r>
        <w:rPr>
          <w:color w:val="000000"/>
        </w:rPr>
        <w:t>y</w:t>
      </w:r>
      <w:r>
        <w:rPr>
          <w:color w:val="000000"/>
          <w:spacing w:val="-5"/>
        </w:rPr>
        <w:t xml:space="preserve"> </w:t>
      </w:r>
      <w:r>
        <w:rPr>
          <w:color w:val="000000"/>
          <w:spacing w:val="1"/>
        </w:rPr>
        <w:t>P</w:t>
      </w:r>
      <w:r>
        <w:rPr>
          <w:color w:val="000000"/>
          <w:spacing w:val="-1"/>
        </w:rPr>
        <w:t>a</w:t>
      </w:r>
      <w:r>
        <w:rPr>
          <w:color w:val="000000"/>
        </w:rPr>
        <w:t>n</w:t>
      </w:r>
      <w:r>
        <w:rPr>
          <w:color w:val="000000"/>
          <w:spacing w:val="-1"/>
        </w:rPr>
        <w:t>e</w:t>
      </w:r>
      <w:r>
        <w:rPr>
          <w:color w:val="000000"/>
        </w:rPr>
        <w:t>ls. E</w:t>
      </w:r>
      <w:r>
        <w:rPr>
          <w:color w:val="000000"/>
          <w:spacing w:val="2"/>
        </w:rPr>
        <w:t>x</w:t>
      </w:r>
      <w:r>
        <w:rPr>
          <w:color w:val="000000"/>
        </w:rPr>
        <w:t>is</w:t>
      </w:r>
      <w:r>
        <w:rPr>
          <w:color w:val="000000"/>
          <w:spacing w:val="-2"/>
        </w:rPr>
        <w:t>t</w:t>
      </w:r>
      <w:r>
        <w:rPr>
          <w:color w:val="000000"/>
        </w:rPr>
        <w:t>ing</w:t>
      </w:r>
      <w:r>
        <w:rPr>
          <w:color w:val="000000"/>
          <w:spacing w:val="-2"/>
        </w:rPr>
        <w:t xml:space="preserve"> </w:t>
      </w:r>
      <w:r>
        <w:rPr>
          <w:color w:val="000000"/>
        </w:rPr>
        <w:t>poli</w:t>
      </w:r>
      <w:r>
        <w:rPr>
          <w:color w:val="000000"/>
          <w:spacing w:val="-1"/>
        </w:rPr>
        <w:t>c</w:t>
      </w:r>
      <w:r>
        <w:rPr>
          <w:color w:val="000000"/>
        </w:rPr>
        <w:t>i</w:t>
      </w:r>
      <w:r>
        <w:rPr>
          <w:color w:val="000000"/>
          <w:spacing w:val="-1"/>
        </w:rPr>
        <w:t>e</w:t>
      </w:r>
      <w:r>
        <w:rPr>
          <w:color w:val="000000"/>
        </w:rPr>
        <w:t xml:space="preserve">s </w:t>
      </w:r>
      <w:r>
        <w:rPr>
          <w:color w:val="000000"/>
          <w:spacing w:val="-1"/>
        </w:rPr>
        <w:t>a</w:t>
      </w:r>
      <w:r>
        <w:rPr>
          <w:color w:val="000000"/>
          <w:spacing w:val="2"/>
        </w:rPr>
        <w:t>r</w:t>
      </w:r>
      <w:r>
        <w:rPr>
          <w:color w:val="000000"/>
        </w:rPr>
        <w:t>e</w:t>
      </w:r>
      <w:r>
        <w:rPr>
          <w:color w:val="000000"/>
          <w:spacing w:val="-1"/>
        </w:rPr>
        <w:t xml:space="preserve"> </w:t>
      </w:r>
      <w:r>
        <w:rPr>
          <w:color w:val="000000"/>
        </w:rPr>
        <w:t>in</w:t>
      </w:r>
      <w:r>
        <w:rPr>
          <w:color w:val="000000"/>
          <w:spacing w:val="-1"/>
        </w:rPr>
        <w:t>c</w:t>
      </w:r>
      <w:r>
        <w:rPr>
          <w:color w:val="000000"/>
        </w:rPr>
        <w:t>lud</w:t>
      </w:r>
      <w:r>
        <w:rPr>
          <w:color w:val="000000"/>
          <w:spacing w:val="-1"/>
        </w:rPr>
        <w:t>e</w:t>
      </w:r>
      <w:r>
        <w:rPr>
          <w:color w:val="000000"/>
        </w:rPr>
        <w:t xml:space="preserve">d </w:t>
      </w:r>
      <w:r>
        <w:rPr>
          <w:color w:val="000000"/>
          <w:spacing w:val="-1"/>
        </w:rPr>
        <w:t>a</w:t>
      </w:r>
      <w:r>
        <w:rPr>
          <w:color w:val="000000"/>
        </w:rPr>
        <w:t>t the</w:t>
      </w:r>
      <w:r>
        <w:rPr>
          <w:color w:val="000000"/>
          <w:spacing w:val="-1"/>
        </w:rPr>
        <w:t xml:space="preserve"> e</w:t>
      </w:r>
      <w:r>
        <w:rPr>
          <w:color w:val="000000"/>
        </w:rPr>
        <w:t>nd of</w:t>
      </w:r>
      <w:r>
        <w:rPr>
          <w:color w:val="000000"/>
          <w:spacing w:val="-1"/>
        </w:rPr>
        <w:t xml:space="preserve"> </w:t>
      </w:r>
      <w:r>
        <w:rPr>
          <w:color w:val="000000"/>
        </w:rPr>
        <w:t xml:space="preserve">this </w:t>
      </w:r>
      <w:r>
        <w:rPr>
          <w:color w:val="000000"/>
          <w:spacing w:val="2"/>
        </w:rPr>
        <w:t>A</w:t>
      </w:r>
      <w:r>
        <w:rPr>
          <w:color w:val="000000"/>
        </w:rPr>
        <w:t>pp</w:t>
      </w:r>
      <w:r>
        <w:rPr>
          <w:color w:val="000000"/>
          <w:spacing w:val="-1"/>
        </w:rPr>
        <w:t>e</w:t>
      </w:r>
      <w:r>
        <w:rPr>
          <w:color w:val="000000"/>
        </w:rPr>
        <w:t>ndi</w:t>
      </w:r>
      <w:r>
        <w:rPr>
          <w:color w:val="000000"/>
          <w:spacing w:val="2"/>
        </w:rPr>
        <w:t>x</w:t>
      </w:r>
      <w:r>
        <w:rPr>
          <w:color w:val="000000"/>
        </w:rPr>
        <w:t>.</w:t>
      </w:r>
    </w:p>
    <w:p w14:paraId="2BF604F6" w14:textId="77777777" w:rsidR="00DC4922" w:rsidRDefault="00DC4922" w:rsidP="00DC4922">
      <w:pPr>
        <w:rPr>
          <w:color w:val="000000"/>
        </w:rPr>
      </w:pPr>
    </w:p>
    <w:p w14:paraId="18291C60" w14:textId="77777777" w:rsidR="00DC4922" w:rsidRDefault="00DC4922" w:rsidP="00640526">
      <w:pPr>
        <w:ind w:firstLine="360"/>
        <w:rPr>
          <w:color w:val="000000"/>
        </w:rPr>
      </w:pPr>
      <w:r>
        <w:rPr>
          <w:color w:val="000000"/>
        </w:rPr>
        <w:t>The Habitat and Environmental Protection Advisory Panel, as part of their role in providing continued policy guidance to the Council, is during 2013/14, reviewing and proposing revisions and updates to the existing policy statements and developing new ones for Council consideration.  The effort is intended to enhance the value of the statements and support cooperation and collaboration with NOAA Fisheries Habitat Conservation Division and State and Federal partners in better addressing the Congressional mandates to the Council associated with designation and conservation of EFH in the region.</w:t>
      </w:r>
    </w:p>
    <w:p w14:paraId="7C323B87" w14:textId="77777777" w:rsidR="00DC4922" w:rsidRPr="00197461" w:rsidRDefault="00DC4922" w:rsidP="00DC4922">
      <w:pPr>
        <w:rPr>
          <w:color w:val="000000"/>
        </w:rPr>
      </w:pPr>
    </w:p>
    <w:p w14:paraId="2E22B423" w14:textId="77777777" w:rsidR="00DC4922" w:rsidRPr="00EB603B" w:rsidRDefault="00DC4922" w:rsidP="00DC4922">
      <w:pPr>
        <w:rPr>
          <w:b/>
          <w:i/>
          <w:color w:val="000000"/>
        </w:rPr>
      </w:pPr>
      <w:r w:rsidRPr="00EB603B">
        <w:rPr>
          <w:b/>
          <w:i/>
          <w:color w:val="000000"/>
          <w:spacing w:val="1"/>
        </w:rPr>
        <w:t>S</w:t>
      </w:r>
      <w:r w:rsidRPr="00EB603B">
        <w:rPr>
          <w:b/>
          <w:i/>
          <w:color w:val="000000"/>
        </w:rPr>
        <w:t>ou</w:t>
      </w:r>
      <w:r w:rsidRPr="00EB603B">
        <w:rPr>
          <w:b/>
          <w:i/>
          <w:color w:val="000000"/>
          <w:spacing w:val="-1"/>
        </w:rPr>
        <w:t>t</w:t>
      </w:r>
      <w:r w:rsidRPr="00EB603B">
        <w:rPr>
          <w:b/>
          <w:i/>
          <w:color w:val="000000"/>
        </w:rPr>
        <w:t>h</w:t>
      </w:r>
      <w:r w:rsidRPr="00EB603B">
        <w:rPr>
          <w:b/>
          <w:i/>
          <w:color w:val="000000"/>
          <w:spacing w:val="3"/>
        </w:rPr>
        <w:t xml:space="preserve"> </w:t>
      </w:r>
      <w:r w:rsidRPr="00EB603B">
        <w:rPr>
          <w:b/>
          <w:i/>
          <w:color w:val="000000"/>
          <w:spacing w:val="-5"/>
        </w:rPr>
        <w:t>A</w:t>
      </w:r>
      <w:r w:rsidRPr="00EB603B">
        <w:rPr>
          <w:b/>
          <w:i/>
          <w:color w:val="000000"/>
          <w:spacing w:val="-1"/>
        </w:rPr>
        <w:t>t</w:t>
      </w:r>
      <w:r w:rsidRPr="00EB603B">
        <w:rPr>
          <w:b/>
          <w:i/>
          <w:color w:val="000000"/>
        </w:rPr>
        <w:t>l</w:t>
      </w:r>
      <w:r w:rsidRPr="00EB603B">
        <w:rPr>
          <w:b/>
          <w:i/>
          <w:color w:val="000000"/>
          <w:spacing w:val="1"/>
        </w:rPr>
        <w:t>a</w:t>
      </w:r>
      <w:r w:rsidRPr="00EB603B">
        <w:rPr>
          <w:b/>
          <w:i/>
          <w:color w:val="000000"/>
        </w:rPr>
        <w:t>n</w:t>
      </w:r>
      <w:r w:rsidRPr="00EB603B">
        <w:rPr>
          <w:b/>
          <w:i/>
          <w:color w:val="000000"/>
          <w:spacing w:val="-1"/>
        </w:rPr>
        <w:t>t</w:t>
      </w:r>
      <w:r w:rsidRPr="00EB603B">
        <w:rPr>
          <w:b/>
          <w:i/>
          <w:color w:val="000000"/>
        </w:rPr>
        <w:t>ic</w:t>
      </w:r>
      <w:r w:rsidRPr="00EB603B">
        <w:rPr>
          <w:b/>
          <w:i/>
          <w:color w:val="000000"/>
          <w:spacing w:val="1"/>
        </w:rPr>
        <w:t xml:space="preserve"> </w:t>
      </w:r>
      <w:r w:rsidRPr="00EB603B">
        <w:rPr>
          <w:b/>
          <w:i/>
          <w:color w:val="000000"/>
        </w:rPr>
        <w:t>Bight</w:t>
      </w:r>
      <w:r w:rsidRPr="00EB603B">
        <w:rPr>
          <w:b/>
          <w:i/>
          <w:color w:val="000000"/>
          <w:spacing w:val="2"/>
        </w:rPr>
        <w:t xml:space="preserve"> </w:t>
      </w:r>
      <w:r w:rsidRPr="00EB603B">
        <w:rPr>
          <w:b/>
          <w:i/>
          <w:color w:val="000000"/>
          <w:spacing w:val="1"/>
        </w:rPr>
        <w:t>Ec</w:t>
      </w:r>
      <w:r w:rsidRPr="00EB603B">
        <w:rPr>
          <w:b/>
          <w:i/>
          <w:color w:val="000000"/>
        </w:rPr>
        <w:t>op</w:t>
      </w:r>
      <w:r w:rsidRPr="00EB603B">
        <w:rPr>
          <w:b/>
          <w:i/>
          <w:color w:val="000000"/>
          <w:spacing w:val="1"/>
        </w:rPr>
        <w:t>a</w:t>
      </w:r>
      <w:r w:rsidRPr="00EB603B">
        <w:rPr>
          <w:b/>
          <w:i/>
          <w:color w:val="000000"/>
          <w:spacing w:val="-1"/>
        </w:rPr>
        <w:t>t</w:t>
      </w:r>
      <w:r w:rsidRPr="00EB603B">
        <w:rPr>
          <w:b/>
          <w:i/>
          <w:color w:val="000000"/>
        </w:rPr>
        <w:t xml:space="preserve">h </w:t>
      </w:r>
      <w:r w:rsidRPr="00EB603B">
        <w:rPr>
          <w:b/>
          <w:i/>
          <w:color w:val="000000"/>
          <w:spacing w:val="-1"/>
        </w:rPr>
        <w:t>M</w:t>
      </w:r>
      <w:r w:rsidRPr="00EB603B">
        <w:rPr>
          <w:b/>
          <w:i/>
          <w:color w:val="000000"/>
        </w:rPr>
        <w:t>od</w:t>
      </w:r>
      <w:r w:rsidRPr="00EB603B">
        <w:rPr>
          <w:b/>
          <w:i/>
          <w:color w:val="000000"/>
          <w:spacing w:val="1"/>
        </w:rPr>
        <w:t>e</w:t>
      </w:r>
      <w:r w:rsidRPr="00EB603B">
        <w:rPr>
          <w:b/>
          <w:i/>
          <w:color w:val="000000"/>
        </w:rPr>
        <w:t>l</w:t>
      </w:r>
    </w:p>
    <w:p w14:paraId="04657391" w14:textId="77777777" w:rsidR="00DC4922" w:rsidRDefault="00DC4922" w:rsidP="00640526">
      <w:pPr>
        <w:ind w:firstLine="360"/>
        <w:rPr>
          <w:color w:val="000000"/>
        </w:rPr>
      </w:pPr>
      <w:r>
        <w:rPr>
          <w:color w:val="000000"/>
        </w:rPr>
        <w:t>The</w:t>
      </w:r>
      <w:r>
        <w:rPr>
          <w:color w:val="000000"/>
          <w:spacing w:val="-1"/>
        </w:rPr>
        <w:t xml:space="preserve"> </w:t>
      </w:r>
      <w:r>
        <w:rPr>
          <w:color w:val="000000"/>
          <w:spacing w:val="1"/>
        </w:rPr>
        <w:t>C</w:t>
      </w:r>
      <w:r>
        <w:rPr>
          <w:color w:val="000000"/>
        </w:rPr>
        <w:t>oun</w:t>
      </w:r>
      <w:r>
        <w:rPr>
          <w:color w:val="000000"/>
          <w:spacing w:val="-1"/>
        </w:rPr>
        <w:t>c</w:t>
      </w:r>
      <w:r>
        <w:rPr>
          <w:color w:val="000000"/>
        </w:rPr>
        <w:t>il wo</w:t>
      </w:r>
      <w:r>
        <w:rPr>
          <w:color w:val="000000"/>
          <w:spacing w:val="-1"/>
        </w:rPr>
        <w:t>r</w:t>
      </w:r>
      <w:r>
        <w:rPr>
          <w:color w:val="000000"/>
        </w:rPr>
        <w:t>k</w:t>
      </w:r>
      <w:r>
        <w:rPr>
          <w:color w:val="000000"/>
          <w:spacing w:val="-1"/>
        </w:rPr>
        <w:t>e</w:t>
      </w:r>
      <w:r>
        <w:rPr>
          <w:color w:val="000000"/>
        </w:rPr>
        <w:t xml:space="preserve">d </w:t>
      </w:r>
      <w:r>
        <w:rPr>
          <w:color w:val="000000"/>
          <w:spacing w:val="-1"/>
        </w:rPr>
        <w:t>c</w:t>
      </w:r>
      <w:r>
        <w:rPr>
          <w:color w:val="000000"/>
        </w:rPr>
        <w:t>o</w:t>
      </w:r>
      <w:r>
        <w:rPr>
          <w:color w:val="000000"/>
          <w:spacing w:val="2"/>
        </w:rPr>
        <w:t>o</w:t>
      </w:r>
      <w:r>
        <w:rPr>
          <w:color w:val="000000"/>
        </w:rPr>
        <w:t>p</w:t>
      </w:r>
      <w:r>
        <w:rPr>
          <w:color w:val="000000"/>
          <w:spacing w:val="-1"/>
        </w:rPr>
        <w:t>era</w:t>
      </w:r>
      <w:r>
        <w:rPr>
          <w:color w:val="000000"/>
        </w:rPr>
        <w:t>tiv</w:t>
      </w:r>
      <w:r>
        <w:rPr>
          <w:color w:val="000000"/>
          <w:spacing w:val="-1"/>
        </w:rPr>
        <w:t>e</w:t>
      </w:r>
      <w:r>
        <w:rPr>
          <w:color w:val="000000"/>
          <w:spacing w:val="5"/>
        </w:rPr>
        <w:t>l</w:t>
      </w:r>
      <w:r>
        <w:rPr>
          <w:color w:val="000000"/>
        </w:rPr>
        <w:t>y</w:t>
      </w:r>
      <w:r>
        <w:rPr>
          <w:color w:val="000000"/>
          <w:spacing w:val="-5"/>
        </w:rPr>
        <w:t xml:space="preserve"> with </w:t>
      </w:r>
      <w:r>
        <w:rPr>
          <w:color w:val="000000"/>
        </w:rPr>
        <w:t>the</w:t>
      </w:r>
      <w:r>
        <w:rPr>
          <w:color w:val="000000"/>
          <w:spacing w:val="-1"/>
        </w:rPr>
        <w:t xml:space="preserve"> </w:t>
      </w:r>
      <w:r>
        <w:rPr>
          <w:color w:val="000000"/>
        </w:rPr>
        <w:t>Univ</w:t>
      </w:r>
      <w:r>
        <w:rPr>
          <w:color w:val="000000"/>
          <w:spacing w:val="1"/>
        </w:rPr>
        <w:t>e</w:t>
      </w:r>
      <w:r>
        <w:rPr>
          <w:color w:val="000000"/>
          <w:spacing w:val="-1"/>
        </w:rPr>
        <w:t>r</w:t>
      </w:r>
      <w:r>
        <w:rPr>
          <w:color w:val="000000"/>
        </w:rPr>
        <w:t>si</w:t>
      </w:r>
      <w:r>
        <w:rPr>
          <w:color w:val="000000"/>
          <w:spacing w:val="3"/>
        </w:rPr>
        <w:t>t</w:t>
      </w:r>
      <w:r>
        <w:rPr>
          <w:color w:val="000000"/>
        </w:rPr>
        <w:t>y</w:t>
      </w:r>
      <w:r>
        <w:rPr>
          <w:color w:val="000000"/>
          <w:spacing w:val="-2"/>
        </w:rPr>
        <w:t xml:space="preserve"> </w:t>
      </w:r>
      <w:r>
        <w:rPr>
          <w:color w:val="000000"/>
        </w:rPr>
        <w:t>of</w:t>
      </w:r>
      <w:r>
        <w:rPr>
          <w:color w:val="000000"/>
          <w:spacing w:val="-1"/>
        </w:rPr>
        <w:t xml:space="preserve"> </w:t>
      </w:r>
      <w:r>
        <w:rPr>
          <w:color w:val="000000"/>
          <w:spacing w:val="-2"/>
        </w:rPr>
        <w:t>B</w:t>
      </w:r>
      <w:r>
        <w:rPr>
          <w:color w:val="000000"/>
          <w:spacing w:val="-1"/>
        </w:rPr>
        <w:t>r</w:t>
      </w:r>
      <w:r>
        <w:rPr>
          <w:color w:val="000000"/>
        </w:rPr>
        <w:t xml:space="preserve">itish </w:t>
      </w:r>
      <w:r>
        <w:rPr>
          <w:color w:val="000000"/>
          <w:spacing w:val="1"/>
        </w:rPr>
        <w:t>C</w:t>
      </w:r>
      <w:r>
        <w:rPr>
          <w:color w:val="000000"/>
        </w:rPr>
        <w:t>olumbia</w:t>
      </w:r>
      <w:r>
        <w:rPr>
          <w:color w:val="000000"/>
          <w:spacing w:val="-1"/>
        </w:rPr>
        <w:t xml:space="preserve"> a</w:t>
      </w:r>
      <w:r>
        <w:rPr>
          <w:color w:val="000000"/>
        </w:rPr>
        <w:t>nd the</w:t>
      </w:r>
      <w:r>
        <w:rPr>
          <w:color w:val="000000"/>
          <w:spacing w:val="-1"/>
        </w:rPr>
        <w:t xml:space="preserve"> </w:t>
      </w:r>
      <w:r>
        <w:rPr>
          <w:color w:val="000000"/>
          <w:spacing w:val="1"/>
        </w:rPr>
        <w:t>S</w:t>
      </w:r>
      <w:r>
        <w:rPr>
          <w:color w:val="000000"/>
          <w:spacing w:val="-1"/>
        </w:rPr>
        <w:t>e</w:t>
      </w:r>
      <w:r>
        <w:rPr>
          <w:color w:val="000000"/>
        </w:rPr>
        <w:t>a</w:t>
      </w:r>
      <w:r>
        <w:rPr>
          <w:color w:val="000000"/>
          <w:spacing w:val="-1"/>
        </w:rPr>
        <w:t xml:space="preserve"> </w:t>
      </w:r>
      <w:r>
        <w:rPr>
          <w:color w:val="000000"/>
        </w:rPr>
        <w:t>A</w:t>
      </w:r>
      <w:r>
        <w:rPr>
          <w:color w:val="000000"/>
          <w:spacing w:val="-1"/>
        </w:rPr>
        <w:t>r</w:t>
      </w:r>
      <w:r>
        <w:rPr>
          <w:color w:val="000000"/>
        </w:rPr>
        <w:t>ound</w:t>
      </w:r>
      <w:r>
        <w:rPr>
          <w:color w:val="000000"/>
          <w:spacing w:val="2"/>
        </w:rPr>
        <w:t xml:space="preserve"> </w:t>
      </w:r>
      <w:r>
        <w:rPr>
          <w:color w:val="000000"/>
        </w:rPr>
        <w:t>Us p</w:t>
      </w:r>
      <w:r>
        <w:rPr>
          <w:color w:val="000000"/>
          <w:spacing w:val="-1"/>
        </w:rPr>
        <w:t>r</w:t>
      </w:r>
      <w:r>
        <w:rPr>
          <w:color w:val="000000"/>
        </w:rPr>
        <w:t>oj</w:t>
      </w:r>
      <w:r>
        <w:rPr>
          <w:color w:val="000000"/>
          <w:spacing w:val="-1"/>
        </w:rPr>
        <w:t>e</w:t>
      </w:r>
      <w:r>
        <w:rPr>
          <w:color w:val="000000"/>
          <w:spacing w:val="1"/>
        </w:rPr>
        <w:t>c</w:t>
      </w:r>
      <w:r>
        <w:rPr>
          <w:color w:val="000000"/>
        </w:rPr>
        <w:t>t to d</w:t>
      </w:r>
      <w:r>
        <w:rPr>
          <w:color w:val="000000"/>
          <w:spacing w:val="-1"/>
        </w:rPr>
        <w:t>e</w:t>
      </w:r>
      <w:r>
        <w:rPr>
          <w:color w:val="000000"/>
        </w:rPr>
        <w:t>v</w:t>
      </w:r>
      <w:r>
        <w:rPr>
          <w:color w:val="000000"/>
          <w:spacing w:val="-1"/>
        </w:rPr>
        <w:t>e</w:t>
      </w:r>
      <w:r>
        <w:rPr>
          <w:color w:val="000000"/>
        </w:rPr>
        <w:t>lop a</w:t>
      </w:r>
      <w:r>
        <w:rPr>
          <w:color w:val="000000"/>
          <w:spacing w:val="-1"/>
        </w:rPr>
        <w:t xml:space="preserve"> </w:t>
      </w:r>
      <w:r>
        <w:rPr>
          <w:color w:val="000000"/>
        </w:rPr>
        <w:t>st</w:t>
      </w:r>
      <w:r>
        <w:rPr>
          <w:color w:val="000000"/>
          <w:spacing w:val="-1"/>
        </w:rPr>
        <w:t>r</w:t>
      </w:r>
      <w:r>
        <w:rPr>
          <w:color w:val="000000"/>
          <w:spacing w:val="1"/>
        </w:rPr>
        <w:t>a</w:t>
      </w:r>
      <w:r>
        <w:rPr>
          <w:color w:val="000000"/>
        </w:rPr>
        <w:t>w</w:t>
      </w:r>
      <w:r>
        <w:rPr>
          <w:color w:val="000000"/>
          <w:spacing w:val="-1"/>
        </w:rPr>
        <w:t>-</w:t>
      </w:r>
      <w:r>
        <w:rPr>
          <w:color w:val="000000"/>
        </w:rPr>
        <w:t>m</w:t>
      </w:r>
      <w:r>
        <w:rPr>
          <w:color w:val="000000"/>
          <w:spacing w:val="-1"/>
        </w:rPr>
        <w:t>a</w:t>
      </w:r>
      <w:r>
        <w:rPr>
          <w:color w:val="000000"/>
        </w:rPr>
        <w:t xml:space="preserve">n </w:t>
      </w:r>
      <w:r>
        <w:rPr>
          <w:color w:val="000000"/>
          <w:spacing w:val="-1"/>
        </w:rPr>
        <w:t>a</w:t>
      </w:r>
      <w:r>
        <w:rPr>
          <w:color w:val="000000"/>
        </w:rPr>
        <w:t>nd</w:t>
      </w:r>
      <w:r>
        <w:rPr>
          <w:color w:val="000000"/>
          <w:spacing w:val="2"/>
        </w:rPr>
        <w:t xml:space="preserve"> </w:t>
      </w:r>
      <w:r>
        <w:rPr>
          <w:color w:val="000000"/>
        </w:rPr>
        <w:t>p</w:t>
      </w:r>
      <w:r>
        <w:rPr>
          <w:color w:val="000000"/>
          <w:spacing w:val="-1"/>
        </w:rPr>
        <w:t>re</w:t>
      </w:r>
      <w:r>
        <w:rPr>
          <w:color w:val="000000"/>
        </w:rPr>
        <w:t>limin</w:t>
      </w:r>
      <w:r>
        <w:rPr>
          <w:color w:val="000000"/>
          <w:spacing w:val="-1"/>
        </w:rPr>
        <w:t>a</w:t>
      </w:r>
      <w:r>
        <w:rPr>
          <w:color w:val="000000"/>
          <w:spacing w:val="4"/>
        </w:rPr>
        <w:t>r</w:t>
      </w:r>
      <w:r>
        <w:rPr>
          <w:color w:val="000000"/>
        </w:rPr>
        <w:t>y</w:t>
      </w:r>
      <w:r>
        <w:rPr>
          <w:color w:val="000000"/>
          <w:spacing w:val="-5"/>
        </w:rPr>
        <w:t xml:space="preserve"> </w:t>
      </w:r>
      <w:r>
        <w:rPr>
          <w:color w:val="000000"/>
          <w:spacing w:val="-1"/>
        </w:rPr>
        <w:t>f</w:t>
      </w:r>
      <w:r>
        <w:rPr>
          <w:color w:val="000000"/>
        </w:rPr>
        <w:t>ood w</w:t>
      </w:r>
      <w:r>
        <w:rPr>
          <w:color w:val="000000"/>
          <w:spacing w:val="-1"/>
        </w:rPr>
        <w:t>e</w:t>
      </w:r>
      <w:r>
        <w:rPr>
          <w:color w:val="000000"/>
        </w:rPr>
        <w:t xml:space="preserve">b </w:t>
      </w:r>
      <w:r>
        <w:rPr>
          <w:color w:val="000000"/>
          <w:spacing w:val="3"/>
        </w:rPr>
        <w:t>m</w:t>
      </w:r>
      <w:r>
        <w:rPr>
          <w:color w:val="000000"/>
        </w:rPr>
        <w:t>od</w:t>
      </w:r>
      <w:r>
        <w:rPr>
          <w:color w:val="000000"/>
          <w:spacing w:val="-1"/>
        </w:rPr>
        <w:t>e</w:t>
      </w:r>
      <w:r>
        <w:rPr>
          <w:color w:val="000000"/>
        </w:rPr>
        <w:t xml:space="preserve">ls </w:t>
      </w:r>
      <w:r>
        <w:rPr>
          <w:color w:val="000000"/>
          <w:spacing w:val="-1"/>
        </w:rPr>
        <w:t>(</w:t>
      </w:r>
      <w:r>
        <w:rPr>
          <w:color w:val="000000"/>
        </w:rPr>
        <w:t>E</w:t>
      </w:r>
      <w:r>
        <w:rPr>
          <w:color w:val="000000"/>
          <w:spacing w:val="-1"/>
        </w:rPr>
        <w:t>c</w:t>
      </w:r>
      <w:r>
        <w:rPr>
          <w:color w:val="000000"/>
        </w:rPr>
        <w:t>op</w:t>
      </w:r>
      <w:r>
        <w:rPr>
          <w:color w:val="000000"/>
          <w:spacing w:val="-1"/>
        </w:rPr>
        <w:t>a</w:t>
      </w:r>
      <w:r>
        <w:rPr>
          <w:color w:val="000000"/>
        </w:rPr>
        <w:t>th with E</w:t>
      </w:r>
      <w:r>
        <w:rPr>
          <w:color w:val="000000"/>
          <w:spacing w:val="-1"/>
        </w:rPr>
        <w:t>c</w:t>
      </w:r>
      <w:r>
        <w:rPr>
          <w:color w:val="000000"/>
        </w:rPr>
        <w:t>o</w:t>
      </w:r>
      <w:r>
        <w:rPr>
          <w:color w:val="000000"/>
          <w:spacing w:val="3"/>
        </w:rPr>
        <w:t>s</w:t>
      </w:r>
      <w:r>
        <w:rPr>
          <w:color w:val="000000"/>
        </w:rPr>
        <w:t>im)</w:t>
      </w:r>
      <w:r>
        <w:rPr>
          <w:color w:val="000000"/>
          <w:spacing w:val="-1"/>
        </w:rPr>
        <w:t xml:space="preserve"> </w:t>
      </w:r>
      <w:r>
        <w:rPr>
          <w:color w:val="000000"/>
        </w:rPr>
        <w:t xml:space="preserve">to </w:t>
      </w:r>
      <w:r>
        <w:rPr>
          <w:color w:val="000000"/>
          <w:spacing w:val="-1"/>
        </w:rPr>
        <w:t>c</w:t>
      </w:r>
      <w:r>
        <w:rPr>
          <w:color w:val="000000"/>
        </w:rPr>
        <w:t>h</w:t>
      </w:r>
      <w:r>
        <w:rPr>
          <w:color w:val="000000"/>
          <w:spacing w:val="-1"/>
        </w:rPr>
        <w:t>ar</w:t>
      </w:r>
      <w:r>
        <w:rPr>
          <w:color w:val="000000"/>
          <w:spacing w:val="1"/>
        </w:rPr>
        <w:t>a</w:t>
      </w:r>
      <w:r>
        <w:rPr>
          <w:color w:val="000000"/>
          <w:spacing w:val="-1"/>
        </w:rPr>
        <w:t>c</w:t>
      </w:r>
      <w:r>
        <w:rPr>
          <w:color w:val="000000"/>
        </w:rPr>
        <w:t>t</w:t>
      </w:r>
      <w:r>
        <w:rPr>
          <w:color w:val="000000"/>
          <w:spacing w:val="-1"/>
        </w:rPr>
        <w:t>er</w:t>
      </w:r>
      <w:r>
        <w:rPr>
          <w:color w:val="000000"/>
        </w:rPr>
        <w:t>i</w:t>
      </w:r>
      <w:r>
        <w:rPr>
          <w:color w:val="000000"/>
          <w:spacing w:val="1"/>
        </w:rPr>
        <w:t>z</w:t>
      </w:r>
      <w:r>
        <w:rPr>
          <w:color w:val="000000"/>
        </w:rPr>
        <w:t>e</w:t>
      </w:r>
      <w:r>
        <w:rPr>
          <w:color w:val="000000"/>
          <w:spacing w:val="-1"/>
        </w:rPr>
        <w:t xml:space="preserve"> </w:t>
      </w:r>
      <w:r>
        <w:rPr>
          <w:color w:val="000000"/>
        </w:rPr>
        <w:t xml:space="preserve">the </w:t>
      </w:r>
      <w:r>
        <w:rPr>
          <w:color w:val="000000"/>
          <w:spacing w:val="-1"/>
        </w:rPr>
        <w:t>ec</w:t>
      </w:r>
      <w:r>
        <w:rPr>
          <w:color w:val="000000"/>
        </w:rPr>
        <w:t>ol</w:t>
      </w:r>
      <w:r>
        <w:rPr>
          <w:color w:val="000000"/>
          <w:spacing w:val="2"/>
        </w:rPr>
        <w:t>o</w:t>
      </w:r>
      <w:r>
        <w:rPr>
          <w:color w:val="000000"/>
          <w:spacing w:val="-2"/>
        </w:rPr>
        <w:t>g</w:t>
      </w:r>
      <w:r>
        <w:rPr>
          <w:color w:val="000000"/>
        </w:rPr>
        <w:t>i</w:t>
      </w:r>
      <w:r>
        <w:rPr>
          <w:color w:val="000000"/>
          <w:spacing w:val="-1"/>
        </w:rPr>
        <w:t>ca</w:t>
      </w:r>
      <w:r>
        <w:rPr>
          <w:color w:val="000000"/>
        </w:rPr>
        <w:t xml:space="preserve">l </w:t>
      </w:r>
      <w:r>
        <w:rPr>
          <w:color w:val="000000"/>
          <w:spacing w:val="2"/>
        </w:rPr>
        <w:t>r</w:t>
      </w:r>
      <w:r>
        <w:rPr>
          <w:color w:val="000000"/>
          <w:spacing w:val="-1"/>
        </w:rPr>
        <w:t>e</w:t>
      </w:r>
      <w:r>
        <w:rPr>
          <w:color w:val="000000"/>
        </w:rPr>
        <w:t>l</w:t>
      </w:r>
      <w:r>
        <w:rPr>
          <w:color w:val="000000"/>
          <w:spacing w:val="-1"/>
        </w:rPr>
        <w:t>a</w:t>
      </w:r>
      <w:r>
        <w:rPr>
          <w:color w:val="000000"/>
        </w:rPr>
        <w:t>tionships of</w:t>
      </w:r>
      <w:r>
        <w:rPr>
          <w:color w:val="000000"/>
          <w:spacing w:val="-1"/>
        </w:rPr>
        <w:t xml:space="preserve"> </w:t>
      </w:r>
      <w:r>
        <w:rPr>
          <w:color w:val="000000"/>
          <w:spacing w:val="1"/>
        </w:rPr>
        <w:t>S</w:t>
      </w:r>
      <w:r>
        <w:rPr>
          <w:color w:val="000000"/>
        </w:rPr>
        <w:t>outh Atl</w:t>
      </w:r>
      <w:r>
        <w:rPr>
          <w:color w:val="000000"/>
          <w:spacing w:val="-1"/>
        </w:rPr>
        <w:t>a</w:t>
      </w:r>
      <w:r>
        <w:rPr>
          <w:color w:val="000000"/>
        </w:rPr>
        <w:t>ntic</w:t>
      </w:r>
      <w:r>
        <w:rPr>
          <w:color w:val="000000"/>
          <w:spacing w:val="-1"/>
        </w:rPr>
        <w:t xml:space="preserve"> </w:t>
      </w:r>
      <w:r>
        <w:rPr>
          <w:color w:val="000000"/>
        </w:rPr>
        <w:t>sp</w:t>
      </w:r>
      <w:r>
        <w:rPr>
          <w:color w:val="000000"/>
          <w:spacing w:val="-1"/>
        </w:rPr>
        <w:t>ec</w:t>
      </w:r>
      <w:r>
        <w:rPr>
          <w:color w:val="000000"/>
        </w:rPr>
        <w:t>i</w:t>
      </w:r>
      <w:r>
        <w:rPr>
          <w:color w:val="000000"/>
          <w:spacing w:val="-1"/>
        </w:rPr>
        <w:t>e</w:t>
      </w:r>
      <w:r>
        <w:rPr>
          <w:color w:val="000000"/>
        </w:rPr>
        <w:t>s,</w:t>
      </w:r>
      <w:r>
        <w:rPr>
          <w:color w:val="000000"/>
          <w:spacing w:val="2"/>
        </w:rPr>
        <w:t xml:space="preserve"> </w:t>
      </w:r>
      <w:r>
        <w:rPr>
          <w:color w:val="000000"/>
        </w:rPr>
        <w:t>in</w:t>
      </w:r>
      <w:r>
        <w:rPr>
          <w:color w:val="000000"/>
          <w:spacing w:val="-1"/>
        </w:rPr>
        <w:t>c</w:t>
      </w:r>
      <w:r>
        <w:rPr>
          <w:color w:val="000000"/>
        </w:rPr>
        <w:t>luding</w:t>
      </w:r>
      <w:r>
        <w:rPr>
          <w:color w:val="000000"/>
          <w:spacing w:val="-2"/>
        </w:rPr>
        <w:t xml:space="preserve"> </w:t>
      </w:r>
      <w:r>
        <w:rPr>
          <w:color w:val="000000"/>
        </w:rPr>
        <w:t>those</w:t>
      </w:r>
      <w:r>
        <w:rPr>
          <w:color w:val="000000"/>
          <w:spacing w:val="-1"/>
        </w:rPr>
        <w:t xml:space="preserve"> </w:t>
      </w:r>
      <w:r>
        <w:rPr>
          <w:color w:val="000000"/>
        </w:rPr>
        <w:t>m</w:t>
      </w:r>
      <w:r>
        <w:rPr>
          <w:color w:val="000000"/>
          <w:spacing w:val="-1"/>
        </w:rPr>
        <w:t>a</w:t>
      </w:r>
      <w:r>
        <w:rPr>
          <w:color w:val="000000"/>
        </w:rPr>
        <w:t>n</w:t>
      </w:r>
      <w:r>
        <w:rPr>
          <w:color w:val="000000"/>
          <w:spacing w:val="1"/>
        </w:rPr>
        <w:t>a</w:t>
      </w:r>
      <w:r>
        <w:rPr>
          <w:color w:val="000000"/>
        </w:rPr>
        <w:t>g</w:t>
      </w:r>
      <w:r>
        <w:rPr>
          <w:color w:val="000000"/>
          <w:spacing w:val="-1"/>
        </w:rPr>
        <w:t>e</w:t>
      </w:r>
      <w:r>
        <w:rPr>
          <w:color w:val="000000"/>
        </w:rPr>
        <w:t>d</w:t>
      </w:r>
      <w:r>
        <w:rPr>
          <w:color w:val="000000"/>
          <w:spacing w:val="2"/>
        </w:rPr>
        <w:t xml:space="preserve"> b</w:t>
      </w:r>
      <w:r>
        <w:rPr>
          <w:color w:val="000000"/>
        </w:rPr>
        <w:t>y</w:t>
      </w:r>
      <w:r>
        <w:rPr>
          <w:color w:val="000000"/>
          <w:spacing w:val="-5"/>
        </w:rPr>
        <w:t xml:space="preserve"> </w:t>
      </w:r>
      <w:r>
        <w:rPr>
          <w:color w:val="000000"/>
        </w:rPr>
        <w:t>the</w:t>
      </w:r>
      <w:r>
        <w:rPr>
          <w:color w:val="000000"/>
          <w:spacing w:val="-1"/>
        </w:rPr>
        <w:t xml:space="preserve"> </w:t>
      </w:r>
      <w:r>
        <w:rPr>
          <w:color w:val="000000"/>
          <w:spacing w:val="1"/>
        </w:rPr>
        <w:t>C</w:t>
      </w:r>
      <w:r>
        <w:rPr>
          <w:color w:val="000000"/>
        </w:rPr>
        <w:t>oun</w:t>
      </w:r>
      <w:r>
        <w:rPr>
          <w:color w:val="000000"/>
          <w:spacing w:val="-1"/>
        </w:rPr>
        <w:t>c</w:t>
      </w:r>
      <w:r>
        <w:rPr>
          <w:color w:val="000000"/>
        </w:rPr>
        <w:t xml:space="preserve">il. This </w:t>
      </w:r>
      <w:r>
        <w:rPr>
          <w:color w:val="000000"/>
          <w:spacing w:val="-1"/>
        </w:rPr>
        <w:t>e</w:t>
      </w:r>
      <w:r>
        <w:rPr>
          <w:color w:val="000000"/>
          <w:spacing w:val="2"/>
        </w:rPr>
        <w:t>ff</w:t>
      </w:r>
      <w:r>
        <w:rPr>
          <w:color w:val="000000"/>
        </w:rPr>
        <w:t>o</w:t>
      </w:r>
      <w:r>
        <w:rPr>
          <w:color w:val="000000"/>
          <w:spacing w:val="-1"/>
        </w:rPr>
        <w:t>r</w:t>
      </w:r>
      <w:r>
        <w:rPr>
          <w:color w:val="000000"/>
        </w:rPr>
        <w:t>t w</w:t>
      </w:r>
      <w:r>
        <w:rPr>
          <w:color w:val="000000"/>
          <w:spacing w:val="-1"/>
        </w:rPr>
        <w:t>a</w:t>
      </w:r>
      <w:r>
        <w:rPr>
          <w:color w:val="000000"/>
        </w:rPr>
        <w:t xml:space="preserve">s </w:t>
      </w:r>
      <w:r>
        <w:rPr>
          <w:color w:val="000000"/>
          <w:spacing w:val="-1"/>
        </w:rPr>
        <w:t>e</w:t>
      </w:r>
      <w:r>
        <w:rPr>
          <w:color w:val="000000"/>
        </w:rPr>
        <w:t>nvision</w:t>
      </w:r>
      <w:r>
        <w:rPr>
          <w:color w:val="000000"/>
          <w:spacing w:val="-1"/>
        </w:rPr>
        <w:t>e</w:t>
      </w:r>
      <w:r>
        <w:rPr>
          <w:color w:val="000000"/>
        </w:rPr>
        <w:t>d to h</w:t>
      </w:r>
      <w:r>
        <w:rPr>
          <w:color w:val="000000"/>
          <w:spacing w:val="-1"/>
        </w:rPr>
        <w:t>e</w:t>
      </w:r>
      <w:r>
        <w:rPr>
          <w:color w:val="000000"/>
        </w:rPr>
        <w:t>lp t</w:t>
      </w:r>
      <w:r>
        <w:rPr>
          <w:color w:val="000000"/>
          <w:spacing w:val="2"/>
        </w:rPr>
        <w:t>h</w:t>
      </w:r>
      <w:r>
        <w:rPr>
          <w:color w:val="000000"/>
        </w:rPr>
        <w:t>e</w:t>
      </w:r>
      <w:r>
        <w:rPr>
          <w:color w:val="000000"/>
          <w:spacing w:val="-1"/>
        </w:rPr>
        <w:t xml:space="preserve"> </w:t>
      </w:r>
      <w:r>
        <w:rPr>
          <w:color w:val="000000"/>
          <w:spacing w:val="1"/>
        </w:rPr>
        <w:t>C</w:t>
      </w:r>
      <w:r>
        <w:rPr>
          <w:color w:val="000000"/>
        </w:rPr>
        <w:t>oun</w:t>
      </w:r>
      <w:r>
        <w:rPr>
          <w:color w:val="000000"/>
          <w:spacing w:val="-1"/>
        </w:rPr>
        <w:t>c</w:t>
      </w:r>
      <w:r>
        <w:rPr>
          <w:color w:val="000000"/>
        </w:rPr>
        <w:t xml:space="preserve">il </w:t>
      </w:r>
      <w:r>
        <w:rPr>
          <w:color w:val="000000"/>
          <w:spacing w:val="-1"/>
        </w:rPr>
        <w:t>a</w:t>
      </w:r>
      <w:r>
        <w:rPr>
          <w:color w:val="000000"/>
        </w:rPr>
        <w:t xml:space="preserve">nd </w:t>
      </w:r>
      <w:r>
        <w:rPr>
          <w:color w:val="000000"/>
          <w:spacing w:val="-1"/>
        </w:rPr>
        <w:t>c</w:t>
      </w:r>
      <w:r>
        <w:rPr>
          <w:color w:val="000000"/>
        </w:rPr>
        <w:t>oop</w:t>
      </w:r>
      <w:r>
        <w:rPr>
          <w:color w:val="000000"/>
          <w:spacing w:val="1"/>
        </w:rPr>
        <w:t>e</w:t>
      </w:r>
      <w:r>
        <w:rPr>
          <w:color w:val="000000"/>
          <w:spacing w:val="-1"/>
        </w:rPr>
        <w:t>ra</w:t>
      </w:r>
      <w:r>
        <w:rPr>
          <w:color w:val="000000"/>
        </w:rPr>
        <w:t>to</w:t>
      </w:r>
      <w:r>
        <w:rPr>
          <w:color w:val="000000"/>
          <w:spacing w:val="2"/>
        </w:rPr>
        <w:t>r</w:t>
      </w:r>
      <w:r>
        <w:rPr>
          <w:color w:val="000000"/>
        </w:rPr>
        <w:t>s in id</w:t>
      </w:r>
      <w:r>
        <w:rPr>
          <w:color w:val="000000"/>
          <w:spacing w:val="-1"/>
        </w:rPr>
        <w:t>e</w:t>
      </w:r>
      <w:r>
        <w:rPr>
          <w:color w:val="000000"/>
        </w:rPr>
        <w:t>nti</w:t>
      </w:r>
      <w:r>
        <w:rPr>
          <w:color w:val="000000"/>
          <w:spacing w:val="2"/>
        </w:rPr>
        <w:t>f</w:t>
      </w:r>
      <w:r>
        <w:rPr>
          <w:color w:val="000000"/>
          <w:spacing w:val="-5"/>
        </w:rPr>
        <w:t>y</w:t>
      </w:r>
      <w:r>
        <w:rPr>
          <w:color w:val="000000"/>
        </w:rPr>
        <w:t>i</w:t>
      </w:r>
      <w:r>
        <w:rPr>
          <w:color w:val="000000"/>
          <w:spacing w:val="2"/>
        </w:rPr>
        <w:t>n</w:t>
      </w:r>
      <w:r>
        <w:rPr>
          <w:color w:val="000000"/>
        </w:rPr>
        <w:t>g</w:t>
      </w:r>
      <w:r>
        <w:rPr>
          <w:color w:val="000000"/>
          <w:spacing w:val="-2"/>
        </w:rPr>
        <w:t xml:space="preserve"> </w:t>
      </w:r>
      <w:r>
        <w:rPr>
          <w:color w:val="000000"/>
          <w:spacing w:val="-1"/>
        </w:rPr>
        <w:t>a</w:t>
      </w:r>
      <w:r>
        <w:rPr>
          <w:color w:val="000000"/>
        </w:rPr>
        <w:t>v</w:t>
      </w:r>
      <w:r>
        <w:rPr>
          <w:color w:val="000000"/>
          <w:spacing w:val="-1"/>
        </w:rPr>
        <w:t>a</w:t>
      </w:r>
      <w:r>
        <w:rPr>
          <w:color w:val="000000"/>
        </w:rPr>
        <w:t>il</w:t>
      </w:r>
      <w:r>
        <w:rPr>
          <w:color w:val="000000"/>
          <w:spacing w:val="-1"/>
        </w:rPr>
        <w:t>a</w:t>
      </w:r>
      <w:r>
        <w:rPr>
          <w:color w:val="000000"/>
        </w:rPr>
        <w:t>ble</w:t>
      </w:r>
      <w:r>
        <w:rPr>
          <w:color w:val="000000"/>
          <w:spacing w:val="1"/>
        </w:rPr>
        <w:t xml:space="preserve"> </w:t>
      </w:r>
      <w:r>
        <w:rPr>
          <w:color w:val="000000"/>
        </w:rPr>
        <w:t>in</w:t>
      </w:r>
      <w:r>
        <w:rPr>
          <w:color w:val="000000"/>
          <w:spacing w:val="-1"/>
        </w:rPr>
        <w:t>f</w:t>
      </w:r>
      <w:r>
        <w:rPr>
          <w:color w:val="000000"/>
        </w:rPr>
        <w:t>o</w:t>
      </w:r>
      <w:r>
        <w:rPr>
          <w:color w:val="000000"/>
          <w:spacing w:val="-1"/>
        </w:rPr>
        <w:t>r</w:t>
      </w:r>
      <w:r>
        <w:rPr>
          <w:color w:val="000000"/>
        </w:rPr>
        <w:t>m</w:t>
      </w:r>
      <w:r>
        <w:rPr>
          <w:color w:val="000000"/>
          <w:spacing w:val="-1"/>
        </w:rPr>
        <w:t>a</w:t>
      </w:r>
      <w:r>
        <w:rPr>
          <w:color w:val="000000"/>
        </w:rPr>
        <w:t xml:space="preserve">tion </w:t>
      </w:r>
      <w:r>
        <w:rPr>
          <w:color w:val="000000"/>
          <w:spacing w:val="-1"/>
        </w:rPr>
        <w:t>a</w:t>
      </w:r>
      <w:r>
        <w:rPr>
          <w:color w:val="000000"/>
        </w:rPr>
        <w:t>nd d</w:t>
      </w:r>
      <w:r>
        <w:rPr>
          <w:color w:val="000000"/>
          <w:spacing w:val="-1"/>
        </w:rPr>
        <w:t>a</w:t>
      </w:r>
      <w:r>
        <w:rPr>
          <w:color w:val="000000"/>
        </w:rPr>
        <w:t>ta</w:t>
      </w:r>
      <w:r>
        <w:rPr>
          <w:color w:val="000000"/>
          <w:spacing w:val="1"/>
        </w:rPr>
        <w:t xml:space="preserve"> </w:t>
      </w:r>
      <w:r>
        <w:rPr>
          <w:color w:val="000000"/>
        </w:rPr>
        <w:t>g</w:t>
      </w:r>
      <w:r>
        <w:rPr>
          <w:color w:val="000000"/>
          <w:spacing w:val="-1"/>
        </w:rPr>
        <w:t>a</w:t>
      </w:r>
      <w:r>
        <w:rPr>
          <w:color w:val="000000"/>
          <w:spacing w:val="2"/>
        </w:rPr>
        <w:t>p</w:t>
      </w:r>
      <w:r>
        <w:rPr>
          <w:color w:val="000000"/>
        </w:rPr>
        <w:t>s while</w:t>
      </w:r>
      <w:r>
        <w:rPr>
          <w:color w:val="000000"/>
          <w:spacing w:val="-1"/>
        </w:rPr>
        <w:t xml:space="preserve"> </w:t>
      </w:r>
      <w:r>
        <w:rPr>
          <w:color w:val="000000"/>
        </w:rPr>
        <w:t>p</w:t>
      </w:r>
      <w:r>
        <w:rPr>
          <w:color w:val="000000"/>
          <w:spacing w:val="-1"/>
        </w:rPr>
        <w:t>r</w:t>
      </w:r>
      <w:r>
        <w:rPr>
          <w:color w:val="000000"/>
        </w:rPr>
        <w:t>oviding</w:t>
      </w:r>
      <w:r>
        <w:rPr>
          <w:color w:val="000000"/>
          <w:spacing w:val="-2"/>
        </w:rPr>
        <w:t xml:space="preserve"> </w:t>
      </w:r>
      <w:r>
        <w:rPr>
          <w:color w:val="000000"/>
        </w:rPr>
        <w:t>ins</w:t>
      </w:r>
      <w:r>
        <w:rPr>
          <w:color w:val="000000"/>
          <w:spacing w:val="3"/>
        </w:rPr>
        <w:t>i</w:t>
      </w:r>
      <w:r>
        <w:rPr>
          <w:color w:val="000000"/>
          <w:spacing w:val="-2"/>
        </w:rPr>
        <w:t>g</w:t>
      </w:r>
      <w:r>
        <w:rPr>
          <w:color w:val="000000"/>
        </w:rPr>
        <w:t xml:space="preserve">ht into </w:t>
      </w:r>
      <w:r>
        <w:rPr>
          <w:color w:val="000000"/>
          <w:spacing w:val="-1"/>
        </w:rPr>
        <w:t>ec</w:t>
      </w:r>
      <w:r>
        <w:rPr>
          <w:color w:val="000000"/>
        </w:rPr>
        <w:t>o</w:t>
      </w:r>
      <w:r>
        <w:rPr>
          <w:color w:val="000000"/>
          <w:spacing w:val="3"/>
        </w:rPr>
        <w:t>s</w:t>
      </w:r>
      <w:r>
        <w:rPr>
          <w:color w:val="000000"/>
          <w:spacing w:val="-5"/>
        </w:rPr>
        <w:t>y</w:t>
      </w:r>
      <w:r>
        <w:rPr>
          <w:color w:val="000000"/>
        </w:rPr>
        <w:t>s</w:t>
      </w:r>
      <w:r>
        <w:rPr>
          <w:color w:val="000000"/>
          <w:spacing w:val="3"/>
        </w:rPr>
        <w:t>t</w:t>
      </w:r>
      <w:r>
        <w:rPr>
          <w:color w:val="000000"/>
          <w:spacing w:val="-1"/>
        </w:rPr>
        <w:t>e</w:t>
      </w:r>
      <w:r>
        <w:rPr>
          <w:color w:val="000000"/>
        </w:rPr>
        <w:t xml:space="preserve">m </w:t>
      </w:r>
      <w:r>
        <w:rPr>
          <w:color w:val="000000"/>
          <w:spacing w:val="-1"/>
        </w:rPr>
        <w:t>f</w:t>
      </w:r>
      <w:r>
        <w:rPr>
          <w:color w:val="000000"/>
        </w:rPr>
        <w:t>un</w:t>
      </w:r>
      <w:r>
        <w:rPr>
          <w:color w:val="000000"/>
          <w:spacing w:val="-1"/>
        </w:rPr>
        <w:t>c</w:t>
      </w:r>
      <w:r>
        <w:rPr>
          <w:color w:val="000000"/>
        </w:rPr>
        <w:t>tion.</w:t>
      </w:r>
      <w:r>
        <w:rPr>
          <w:color w:val="000000"/>
          <w:spacing w:val="2"/>
        </w:rPr>
        <w:t xml:space="preserve"> </w:t>
      </w:r>
      <w:r>
        <w:rPr>
          <w:color w:val="000000"/>
        </w:rPr>
        <w:t>Mo</w:t>
      </w:r>
      <w:r>
        <w:rPr>
          <w:color w:val="000000"/>
          <w:spacing w:val="-1"/>
        </w:rPr>
        <w:t>r</w:t>
      </w:r>
      <w:r>
        <w:rPr>
          <w:color w:val="000000"/>
        </w:rPr>
        <w:t>e</w:t>
      </w:r>
      <w:r>
        <w:rPr>
          <w:color w:val="000000"/>
          <w:spacing w:val="-1"/>
        </w:rPr>
        <w:t xml:space="preserve"> </w:t>
      </w:r>
      <w:r>
        <w:rPr>
          <w:color w:val="000000"/>
        </w:rPr>
        <w:t>impo</w:t>
      </w:r>
      <w:r>
        <w:rPr>
          <w:color w:val="000000"/>
          <w:spacing w:val="-1"/>
        </w:rPr>
        <w:t>r</w:t>
      </w:r>
      <w:r>
        <w:rPr>
          <w:color w:val="000000"/>
        </w:rPr>
        <w:t>t</w:t>
      </w:r>
      <w:r>
        <w:rPr>
          <w:color w:val="000000"/>
          <w:spacing w:val="-1"/>
        </w:rPr>
        <w:t>a</w:t>
      </w:r>
      <w:r>
        <w:rPr>
          <w:color w:val="000000"/>
        </w:rPr>
        <w:t>nt</w:t>
      </w:r>
      <w:r>
        <w:rPr>
          <w:color w:val="000000"/>
          <w:spacing w:val="3"/>
        </w:rPr>
        <w:t>l</w:t>
      </w:r>
      <w:r>
        <w:rPr>
          <w:color w:val="000000"/>
          <w:spacing w:val="-5"/>
        </w:rPr>
        <w:t>y</w:t>
      </w:r>
      <w:r>
        <w:rPr>
          <w:color w:val="000000"/>
        </w:rPr>
        <w:t>, the</w:t>
      </w:r>
      <w:r>
        <w:rPr>
          <w:color w:val="000000"/>
          <w:spacing w:val="-1"/>
        </w:rPr>
        <w:t xml:space="preserve"> </w:t>
      </w:r>
      <w:r>
        <w:rPr>
          <w:color w:val="000000"/>
          <w:spacing w:val="3"/>
        </w:rPr>
        <w:t>m</w:t>
      </w:r>
      <w:r>
        <w:rPr>
          <w:color w:val="000000"/>
        </w:rPr>
        <w:t>od</w:t>
      </w:r>
      <w:r>
        <w:rPr>
          <w:color w:val="000000"/>
          <w:spacing w:val="-1"/>
        </w:rPr>
        <w:t>e</w:t>
      </w:r>
      <w:r>
        <w:rPr>
          <w:color w:val="000000"/>
        </w:rPr>
        <w:t>l d</w:t>
      </w:r>
      <w:r>
        <w:rPr>
          <w:color w:val="000000"/>
          <w:spacing w:val="-1"/>
        </w:rPr>
        <w:t>e</w:t>
      </w:r>
      <w:r>
        <w:rPr>
          <w:color w:val="000000"/>
        </w:rPr>
        <w:t>v</w:t>
      </w:r>
      <w:r>
        <w:rPr>
          <w:color w:val="000000"/>
          <w:spacing w:val="-1"/>
        </w:rPr>
        <w:t>e</w:t>
      </w:r>
      <w:r>
        <w:rPr>
          <w:color w:val="000000"/>
        </w:rPr>
        <w:t>lopm</w:t>
      </w:r>
      <w:r>
        <w:rPr>
          <w:color w:val="000000"/>
          <w:spacing w:val="-1"/>
        </w:rPr>
        <w:t>e</w:t>
      </w:r>
      <w:r>
        <w:rPr>
          <w:color w:val="000000"/>
        </w:rPr>
        <w:t>nt p</w:t>
      </w:r>
      <w:r>
        <w:rPr>
          <w:color w:val="000000"/>
          <w:spacing w:val="-1"/>
        </w:rPr>
        <w:t>r</w:t>
      </w:r>
      <w:r>
        <w:rPr>
          <w:color w:val="000000"/>
        </w:rPr>
        <w:t>o</w:t>
      </w:r>
      <w:r>
        <w:rPr>
          <w:color w:val="000000"/>
          <w:spacing w:val="1"/>
        </w:rPr>
        <w:t>c</w:t>
      </w:r>
      <w:r>
        <w:rPr>
          <w:color w:val="000000"/>
          <w:spacing w:val="-1"/>
        </w:rPr>
        <w:t>e</w:t>
      </w:r>
      <w:r>
        <w:rPr>
          <w:color w:val="000000"/>
          <w:spacing w:val="3"/>
        </w:rPr>
        <w:t>s</w:t>
      </w:r>
      <w:r>
        <w:rPr>
          <w:color w:val="000000"/>
        </w:rPr>
        <w:t>s p</w:t>
      </w:r>
      <w:r>
        <w:rPr>
          <w:color w:val="000000"/>
          <w:spacing w:val="-1"/>
        </w:rPr>
        <w:t>r</w:t>
      </w:r>
      <w:r>
        <w:rPr>
          <w:color w:val="000000"/>
        </w:rPr>
        <w:t>ovid</w:t>
      </w:r>
      <w:r>
        <w:rPr>
          <w:color w:val="000000"/>
          <w:spacing w:val="-1"/>
        </w:rPr>
        <w:t>e</w:t>
      </w:r>
      <w:r>
        <w:rPr>
          <w:color w:val="000000"/>
        </w:rPr>
        <w:t>s a</w:t>
      </w:r>
      <w:r>
        <w:rPr>
          <w:color w:val="000000"/>
          <w:spacing w:val="-1"/>
        </w:rPr>
        <w:t xml:space="preserve"> </w:t>
      </w:r>
      <w:r>
        <w:rPr>
          <w:color w:val="000000"/>
        </w:rPr>
        <w:t>v</w:t>
      </w:r>
      <w:r>
        <w:rPr>
          <w:color w:val="000000"/>
          <w:spacing w:val="-1"/>
        </w:rPr>
        <w:t>e</w:t>
      </w:r>
      <w:r>
        <w:rPr>
          <w:color w:val="000000"/>
        </w:rPr>
        <w:t>hi</w:t>
      </w:r>
      <w:r>
        <w:rPr>
          <w:color w:val="000000"/>
          <w:spacing w:val="-1"/>
        </w:rPr>
        <w:t>c</w:t>
      </w:r>
      <w:r>
        <w:rPr>
          <w:color w:val="000000"/>
          <w:spacing w:val="3"/>
        </w:rPr>
        <w:t>l</w:t>
      </w:r>
      <w:r>
        <w:rPr>
          <w:color w:val="000000"/>
        </w:rPr>
        <w:t>e</w:t>
      </w:r>
      <w:r>
        <w:rPr>
          <w:color w:val="000000"/>
          <w:spacing w:val="-1"/>
        </w:rPr>
        <w:t xml:space="preserve"> </w:t>
      </w:r>
      <w:r>
        <w:rPr>
          <w:color w:val="000000"/>
        </w:rPr>
        <w:t>to id</w:t>
      </w:r>
      <w:r>
        <w:rPr>
          <w:color w:val="000000"/>
          <w:spacing w:val="1"/>
        </w:rPr>
        <w:t>e</w:t>
      </w:r>
      <w:r>
        <w:rPr>
          <w:color w:val="000000"/>
        </w:rPr>
        <w:t>nti</w:t>
      </w:r>
      <w:r>
        <w:rPr>
          <w:color w:val="000000"/>
          <w:spacing w:val="2"/>
        </w:rPr>
        <w:t>f</w:t>
      </w:r>
      <w:r>
        <w:rPr>
          <w:color w:val="000000"/>
        </w:rPr>
        <w:t>y</w:t>
      </w:r>
      <w:r>
        <w:rPr>
          <w:color w:val="000000"/>
          <w:spacing w:val="-5"/>
        </w:rPr>
        <w:t xml:space="preserve"> </w:t>
      </w:r>
      <w:r>
        <w:rPr>
          <w:color w:val="000000"/>
          <w:spacing w:val="2"/>
        </w:rPr>
        <w:t>r</w:t>
      </w:r>
      <w:r>
        <w:rPr>
          <w:color w:val="000000"/>
          <w:spacing w:val="-1"/>
        </w:rPr>
        <w:t>e</w:t>
      </w:r>
      <w:r>
        <w:rPr>
          <w:color w:val="000000"/>
        </w:rPr>
        <w:t>s</w:t>
      </w:r>
      <w:r>
        <w:rPr>
          <w:color w:val="000000"/>
          <w:spacing w:val="-1"/>
        </w:rPr>
        <w:t>e</w:t>
      </w:r>
      <w:r>
        <w:rPr>
          <w:color w:val="000000"/>
          <w:spacing w:val="1"/>
        </w:rPr>
        <w:t>a</w:t>
      </w:r>
      <w:r>
        <w:rPr>
          <w:color w:val="000000"/>
          <w:spacing w:val="-1"/>
        </w:rPr>
        <w:t>rc</w:t>
      </w:r>
      <w:r>
        <w:rPr>
          <w:color w:val="000000"/>
        </w:rPr>
        <w:t>h n</w:t>
      </w:r>
      <w:r>
        <w:rPr>
          <w:color w:val="000000"/>
          <w:spacing w:val="1"/>
        </w:rPr>
        <w:t>e</w:t>
      </w:r>
      <w:r>
        <w:rPr>
          <w:color w:val="000000"/>
          <w:spacing w:val="-1"/>
        </w:rPr>
        <w:t>ce</w:t>
      </w:r>
      <w:r>
        <w:rPr>
          <w:color w:val="000000"/>
        </w:rPr>
        <w:t>ss</w:t>
      </w:r>
      <w:r>
        <w:rPr>
          <w:color w:val="000000"/>
          <w:spacing w:val="1"/>
        </w:rPr>
        <w:t>a</w:t>
      </w:r>
      <w:r>
        <w:rPr>
          <w:color w:val="000000"/>
          <w:spacing w:val="4"/>
        </w:rPr>
        <w:t>r</w:t>
      </w:r>
      <w:r>
        <w:rPr>
          <w:color w:val="000000"/>
        </w:rPr>
        <w:t>y</w:t>
      </w:r>
      <w:r>
        <w:rPr>
          <w:color w:val="000000"/>
          <w:spacing w:val="-5"/>
        </w:rPr>
        <w:t xml:space="preserve"> </w:t>
      </w:r>
      <w:r>
        <w:rPr>
          <w:color w:val="000000"/>
        </w:rPr>
        <w:t>to b</w:t>
      </w:r>
      <w:r>
        <w:rPr>
          <w:color w:val="000000"/>
          <w:spacing w:val="-1"/>
        </w:rPr>
        <w:t>e</w:t>
      </w:r>
      <w:r>
        <w:rPr>
          <w:color w:val="000000"/>
        </w:rPr>
        <w:t>tt</w:t>
      </w:r>
      <w:r>
        <w:rPr>
          <w:color w:val="000000"/>
          <w:spacing w:val="-1"/>
        </w:rPr>
        <w:t>e</w:t>
      </w:r>
      <w:r>
        <w:rPr>
          <w:color w:val="000000"/>
        </w:rPr>
        <w:t>r</w:t>
      </w:r>
      <w:r>
        <w:rPr>
          <w:color w:val="000000"/>
          <w:spacing w:val="-1"/>
        </w:rPr>
        <w:t xml:space="preserve"> </w:t>
      </w:r>
      <w:r>
        <w:rPr>
          <w:color w:val="000000"/>
        </w:rPr>
        <w:t>d</w:t>
      </w:r>
      <w:r>
        <w:rPr>
          <w:color w:val="000000"/>
          <w:spacing w:val="-1"/>
        </w:rPr>
        <w:t>ef</w:t>
      </w:r>
      <w:r>
        <w:rPr>
          <w:color w:val="000000"/>
        </w:rPr>
        <w:t>i</w:t>
      </w:r>
      <w:r>
        <w:rPr>
          <w:color w:val="000000"/>
          <w:spacing w:val="2"/>
        </w:rPr>
        <w:t>n</w:t>
      </w:r>
      <w:r>
        <w:rPr>
          <w:color w:val="000000"/>
        </w:rPr>
        <w:t>e</w:t>
      </w:r>
      <w:r>
        <w:rPr>
          <w:color w:val="000000"/>
          <w:spacing w:val="-1"/>
        </w:rPr>
        <w:t xml:space="preserve"> </w:t>
      </w:r>
      <w:r>
        <w:rPr>
          <w:color w:val="000000"/>
        </w:rPr>
        <w:t>popul</w:t>
      </w:r>
      <w:r>
        <w:rPr>
          <w:color w:val="000000"/>
          <w:spacing w:val="-1"/>
        </w:rPr>
        <w:t>a</w:t>
      </w:r>
      <w:r>
        <w:rPr>
          <w:color w:val="000000"/>
        </w:rPr>
        <w:t xml:space="preserve">tions, </w:t>
      </w:r>
      <w:r>
        <w:rPr>
          <w:color w:val="000000"/>
          <w:spacing w:val="-1"/>
        </w:rPr>
        <w:t>f</w:t>
      </w:r>
      <w:r>
        <w:rPr>
          <w:color w:val="000000"/>
        </w:rPr>
        <w:t>ish</w:t>
      </w:r>
      <w:r>
        <w:rPr>
          <w:color w:val="000000"/>
          <w:spacing w:val="-1"/>
        </w:rPr>
        <w:t>er</w:t>
      </w:r>
      <w:r>
        <w:rPr>
          <w:color w:val="000000"/>
        </w:rPr>
        <w:t>i</w:t>
      </w:r>
      <w:r>
        <w:rPr>
          <w:color w:val="000000"/>
          <w:spacing w:val="-1"/>
        </w:rPr>
        <w:t>e</w:t>
      </w:r>
      <w:r>
        <w:rPr>
          <w:color w:val="000000"/>
        </w:rPr>
        <w:t xml:space="preserve">s, </w:t>
      </w:r>
      <w:r>
        <w:rPr>
          <w:color w:val="000000"/>
          <w:spacing w:val="-1"/>
        </w:rPr>
        <w:t>a</w:t>
      </w:r>
      <w:r>
        <w:rPr>
          <w:color w:val="000000"/>
        </w:rPr>
        <w:t>nd th</w:t>
      </w:r>
      <w:r>
        <w:rPr>
          <w:color w:val="000000"/>
          <w:spacing w:val="-1"/>
        </w:rPr>
        <w:t>e</w:t>
      </w:r>
      <w:r>
        <w:rPr>
          <w:color w:val="000000"/>
        </w:rPr>
        <w:t>ir int</w:t>
      </w:r>
      <w:r>
        <w:rPr>
          <w:color w:val="000000"/>
          <w:spacing w:val="-1"/>
        </w:rPr>
        <w:t>erre</w:t>
      </w:r>
      <w:r>
        <w:rPr>
          <w:color w:val="000000"/>
        </w:rPr>
        <w:t>l</w:t>
      </w:r>
      <w:r>
        <w:rPr>
          <w:color w:val="000000"/>
          <w:spacing w:val="-1"/>
        </w:rPr>
        <w:t>a</w:t>
      </w:r>
      <w:r>
        <w:rPr>
          <w:color w:val="000000"/>
        </w:rPr>
        <w:t xml:space="preserve">tionships. </w:t>
      </w:r>
      <w:r>
        <w:rPr>
          <w:color w:val="000000"/>
          <w:spacing w:val="1"/>
        </w:rPr>
        <w:t>W</w:t>
      </w:r>
      <w:r>
        <w:rPr>
          <w:color w:val="000000"/>
        </w:rPr>
        <w:t>hile</w:t>
      </w:r>
      <w:r>
        <w:rPr>
          <w:color w:val="000000"/>
          <w:spacing w:val="-1"/>
        </w:rPr>
        <w:t xml:space="preserve"> </w:t>
      </w:r>
      <w:r>
        <w:rPr>
          <w:color w:val="000000"/>
        </w:rPr>
        <w:t>individu</w:t>
      </w:r>
      <w:r>
        <w:rPr>
          <w:color w:val="000000"/>
          <w:spacing w:val="-1"/>
        </w:rPr>
        <w:t>a</w:t>
      </w:r>
      <w:r>
        <w:rPr>
          <w:color w:val="000000"/>
        </w:rPr>
        <w:t xml:space="preserve">l </w:t>
      </w:r>
      <w:r>
        <w:rPr>
          <w:color w:val="000000"/>
          <w:spacing w:val="-1"/>
        </w:rPr>
        <w:t>eff</w:t>
      </w:r>
      <w:r>
        <w:rPr>
          <w:color w:val="000000"/>
        </w:rPr>
        <w:t>o</w:t>
      </w:r>
      <w:r>
        <w:rPr>
          <w:color w:val="000000"/>
          <w:spacing w:val="-1"/>
        </w:rPr>
        <w:t>r</w:t>
      </w:r>
      <w:r>
        <w:rPr>
          <w:color w:val="000000"/>
        </w:rPr>
        <w:t xml:space="preserve">ts </w:t>
      </w:r>
      <w:r>
        <w:rPr>
          <w:color w:val="000000"/>
          <w:spacing w:val="-1"/>
        </w:rPr>
        <w:t>a</w:t>
      </w:r>
      <w:r>
        <w:rPr>
          <w:color w:val="000000"/>
          <w:spacing w:val="2"/>
        </w:rPr>
        <w:t>r</w:t>
      </w:r>
      <w:r>
        <w:rPr>
          <w:color w:val="000000"/>
        </w:rPr>
        <w:t>e</w:t>
      </w:r>
      <w:r>
        <w:rPr>
          <w:color w:val="000000"/>
          <w:spacing w:val="-1"/>
        </w:rPr>
        <w:t xml:space="preserve"> </w:t>
      </w:r>
      <w:r>
        <w:rPr>
          <w:color w:val="000000"/>
        </w:rPr>
        <w:t>still und</w:t>
      </w:r>
      <w:r>
        <w:rPr>
          <w:color w:val="000000"/>
          <w:spacing w:val="-1"/>
        </w:rPr>
        <w:t>er</w:t>
      </w:r>
      <w:r>
        <w:rPr>
          <w:color w:val="000000"/>
        </w:rPr>
        <w:t>w</w:t>
      </w:r>
      <w:r>
        <w:rPr>
          <w:color w:val="000000"/>
          <w:spacing w:val="4"/>
        </w:rPr>
        <w:t>a</w:t>
      </w:r>
      <w:r>
        <w:rPr>
          <w:color w:val="000000"/>
        </w:rPr>
        <w:t>y</w:t>
      </w:r>
      <w:r>
        <w:rPr>
          <w:color w:val="000000"/>
          <w:spacing w:val="-5"/>
        </w:rPr>
        <w:t xml:space="preserve"> </w:t>
      </w:r>
      <w:r>
        <w:rPr>
          <w:color w:val="000000"/>
        </w:rPr>
        <w:t>in the</w:t>
      </w:r>
      <w:r>
        <w:rPr>
          <w:color w:val="000000"/>
          <w:spacing w:val="-1"/>
        </w:rPr>
        <w:t xml:space="preserve"> </w:t>
      </w:r>
      <w:r>
        <w:rPr>
          <w:color w:val="000000"/>
          <w:spacing w:val="1"/>
        </w:rPr>
        <w:t>S</w:t>
      </w:r>
      <w:r>
        <w:rPr>
          <w:color w:val="000000"/>
        </w:rPr>
        <w:t>outh</w:t>
      </w:r>
      <w:r>
        <w:rPr>
          <w:color w:val="000000"/>
          <w:spacing w:val="2"/>
        </w:rPr>
        <w:t xml:space="preserve"> </w:t>
      </w:r>
      <w:r>
        <w:rPr>
          <w:color w:val="000000"/>
        </w:rPr>
        <w:t>Atl</w:t>
      </w:r>
      <w:r>
        <w:rPr>
          <w:color w:val="000000"/>
          <w:spacing w:val="-1"/>
        </w:rPr>
        <w:t>a</w:t>
      </w:r>
      <w:r>
        <w:rPr>
          <w:color w:val="000000"/>
        </w:rPr>
        <w:t>ntic, on</w:t>
      </w:r>
      <w:r>
        <w:rPr>
          <w:color w:val="000000"/>
          <w:spacing w:val="3"/>
        </w:rPr>
        <w:t>l</w:t>
      </w:r>
      <w:r>
        <w:rPr>
          <w:color w:val="000000"/>
        </w:rPr>
        <w:t>y</w:t>
      </w:r>
      <w:r>
        <w:rPr>
          <w:color w:val="000000"/>
          <w:spacing w:val="-5"/>
        </w:rPr>
        <w:t xml:space="preserve"> </w:t>
      </w:r>
      <w:r>
        <w:rPr>
          <w:color w:val="000000"/>
        </w:rPr>
        <w:t>with si</w:t>
      </w:r>
      <w:r>
        <w:rPr>
          <w:color w:val="000000"/>
          <w:spacing w:val="-2"/>
        </w:rPr>
        <w:t>g</w:t>
      </w:r>
      <w:r>
        <w:rPr>
          <w:color w:val="000000"/>
        </w:rPr>
        <w:t>ni</w:t>
      </w:r>
      <w:r>
        <w:rPr>
          <w:color w:val="000000"/>
          <w:spacing w:val="-1"/>
        </w:rPr>
        <w:t>f</w:t>
      </w:r>
      <w:r>
        <w:rPr>
          <w:color w:val="000000"/>
          <w:spacing w:val="3"/>
        </w:rPr>
        <w:t>i</w:t>
      </w:r>
      <w:r>
        <w:rPr>
          <w:color w:val="000000"/>
          <w:spacing w:val="-1"/>
        </w:rPr>
        <w:t>ca</w:t>
      </w:r>
      <w:r>
        <w:rPr>
          <w:color w:val="000000"/>
        </w:rPr>
        <w:t>nt in</w:t>
      </w:r>
      <w:r>
        <w:rPr>
          <w:color w:val="000000"/>
          <w:spacing w:val="2"/>
        </w:rPr>
        <w:t>v</w:t>
      </w:r>
      <w:r>
        <w:rPr>
          <w:color w:val="000000"/>
          <w:spacing w:val="-1"/>
        </w:rPr>
        <w:t>e</w:t>
      </w:r>
      <w:r>
        <w:rPr>
          <w:color w:val="000000"/>
        </w:rPr>
        <w:t>stm</w:t>
      </w:r>
      <w:r>
        <w:rPr>
          <w:color w:val="000000"/>
          <w:spacing w:val="-1"/>
        </w:rPr>
        <w:t>e</w:t>
      </w:r>
      <w:r>
        <w:rPr>
          <w:color w:val="000000"/>
        </w:rPr>
        <w:t>nt of</w:t>
      </w:r>
      <w:r>
        <w:rPr>
          <w:color w:val="000000"/>
          <w:spacing w:val="-1"/>
        </w:rPr>
        <w:t xml:space="preserve"> </w:t>
      </w:r>
      <w:r>
        <w:rPr>
          <w:color w:val="000000"/>
        </w:rPr>
        <w:t>n</w:t>
      </w:r>
      <w:r>
        <w:rPr>
          <w:color w:val="000000"/>
          <w:spacing w:val="-1"/>
        </w:rPr>
        <w:t>e</w:t>
      </w:r>
      <w:r>
        <w:rPr>
          <w:color w:val="000000"/>
        </w:rPr>
        <w:t xml:space="preserve">w </w:t>
      </w:r>
      <w:r>
        <w:rPr>
          <w:color w:val="000000"/>
          <w:spacing w:val="2"/>
        </w:rPr>
        <w:t>r</w:t>
      </w:r>
      <w:r>
        <w:rPr>
          <w:color w:val="000000"/>
          <w:spacing w:val="-1"/>
        </w:rPr>
        <w:t>e</w:t>
      </w:r>
      <w:r>
        <w:rPr>
          <w:color w:val="000000"/>
        </w:rPr>
        <w:t>sou</w:t>
      </w:r>
      <w:r>
        <w:rPr>
          <w:color w:val="000000"/>
          <w:spacing w:val="-1"/>
        </w:rPr>
        <w:t>r</w:t>
      </w:r>
      <w:r>
        <w:rPr>
          <w:color w:val="000000"/>
          <w:spacing w:val="1"/>
        </w:rPr>
        <w:t>c</w:t>
      </w:r>
      <w:r>
        <w:rPr>
          <w:color w:val="000000"/>
          <w:spacing w:val="-1"/>
        </w:rPr>
        <w:t>e</w:t>
      </w:r>
      <w:r>
        <w:rPr>
          <w:color w:val="000000"/>
        </w:rPr>
        <w:t>s</w:t>
      </w:r>
      <w:r>
        <w:rPr>
          <w:color w:val="000000"/>
          <w:spacing w:val="3"/>
        </w:rPr>
        <w:t xml:space="preserve"> </w:t>
      </w:r>
      <w:r>
        <w:rPr>
          <w:color w:val="000000"/>
        </w:rPr>
        <w:t>th</w:t>
      </w:r>
      <w:r>
        <w:rPr>
          <w:color w:val="000000"/>
          <w:spacing w:val="-1"/>
        </w:rPr>
        <w:t>r</w:t>
      </w:r>
      <w:r>
        <w:rPr>
          <w:color w:val="000000"/>
        </w:rPr>
        <w:t>ou</w:t>
      </w:r>
      <w:r>
        <w:rPr>
          <w:color w:val="000000"/>
          <w:spacing w:val="-2"/>
        </w:rPr>
        <w:t>g</w:t>
      </w:r>
      <w:r>
        <w:rPr>
          <w:color w:val="000000"/>
        </w:rPr>
        <w:t>h oth</w:t>
      </w:r>
      <w:r>
        <w:rPr>
          <w:color w:val="000000"/>
          <w:spacing w:val="1"/>
        </w:rPr>
        <w:t>e</w:t>
      </w:r>
      <w:r>
        <w:rPr>
          <w:color w:val="000000"/>
        </w:rPr>
        <w:t>r</w:t>
      </w:r>
      <w:r>
        <w:rPr>
          <w:color w:val="000000"/>
          <w:spacing w:val="-1"/>
        </w:rPr>
        <w:t xml:space="preserve"> </w:t>
      </w:r>
      <w:r>
        <w:rPr>
          <w:color w:val="000000"/>
        </w:rPr>
        <w:t>p</w:t>
      </w:r>
      <w:r>
        <w:rPr>
          <w:color w:val="000000"/>
          <w:spacing w:val="-1"/>
        </w:rPr>
        <w:t>r</w:t>
      </w:r>
      <w:r>
        <w:rPr>
          <w:color w:val="000000"/>
          <w:spacing w:val="2"/>
        </w:rPr>
        <w:t>o</w:t>
      </w:r>
      <w:r>
        <w:rPr>
          <w:color w:val="000000"/>
          <w:spacing w:val="-2"/>
        </w:rPr>
        <w:t>g</w:t>
      </w:r>
      <w:r>
        <w:rPr>
          <w:color w:val="000000"/>
          <w:spacing w:val="2"/>
        </w:rPr>
        <w:t>r</w:t>
      </w:r>
      <w:r>
        <w:rPr>
          <w:color w:val="000000"/>
          <w:spacing w:val="-1"/>
        </w:rPr>
        <w:t>a</w:t>
      </w:r>
      <w:r>
        <w:rPr>
          <w:color w:val="000000"/>
        </w:rPr>
        <w:t>ms will a</w:t>
      </w:r>
      <w:r>
        <w:rPr>
          <w:color w:val="000000"/>
          <w:spacing w:val="-1"/>
        </w:rPr>
        <w:t xml:space="preserve"> c</w:t>
      </w:r>
      <w:r>
        <w:rPr>
          <w:color w:val="000000"/>
        </w:rPr>
        <w:t>omp</w:t>
      </w:r>
      <w:r>
        <w:rPr>
          <w:color w:val="000000"/>
          <w:spacing w:val="-1"/>
        </w:rPr>
        <w:t>re</w:t>
      </w:r>
      <w:r>
        <w:rPr>
          <w:color w:val="000000"/>
        </w:rPr>
        <w:t>h</w:t>
      </w:r>
      <w:r>
        <w:rPr>
          <w:color w:val="000000"/>
          <w:spacing w:val="-1"/>
        </w:rPr>
        <w:t>e</w:t>
      </w:r>
      <w:r>
        <w:rPr>
          <w:color w:val="000000"/>
        </w:rPr>
        <w:t>nsive</w:t>
      </w:r>
      <w:r>
        <w:rPr>
          <w:color w:val="000000"/>
          <w:spacing w:val="1"/>
        </w:rPr>
        <w:t xml:space="preserve"> </w:t>
      </w:r>
      <w:r>
        <w:rPr>
          <w:color w:val="000000"/>
          <w:spacing w:val="-1"/>
        </w:rPr>
        <w:t>r</w:t>
      </w:r>
      <w:r>
        <w:rPr>
          <w:color w:val="000000"/>
          <w:spacing w:val="1"/>
        </w:rPr>
        <w:t>e</w:t>
      </w:r>
      <w:r>
        <w:rPr>
          <w:color w:val="000000"/>
        </w:rPr>
        <w:t>gion</w:t>
      </w:r>
      <w:r>
        <w:rPr>
          <w:color w:val="000000"/>
          <w:spacing w:val="-1"/>
        </w:rPr>
        <w:t>a</w:t>
      </w:r>
      <w:r>
        <w:rPr>
          <w:color w:val="000000"/>
        </w:rPr>
        <w:t>l mod</w:t>
      </w:r>
      <w:r>
        <w:rPr>
          <w:color w:val="000000"/>
          <w:spacing w:val="-1"/>
        </w:rPr>
        <w:t>e</w:t>
      </w:r>
      <w:r>
        <w:rPr>
          <w:color w:val="000000"/>
        </w:rPr>
        <w:t>l be</w:t>
      </w:r>
      <w:r>
        <w:rPr>
          <w:color w:val="000000"/>
          <w:spacing w:val="-1"/>
        </w:rPr>
        <w:t xml:space="preserve"> f</w:t>
      </w:r>
      <w:r>
        <w:rPr>
          <w:color w:val="000000"/>
        </w:rPr>
        <w:t>u</w:t>
      </w:r>
      <w:r>
        <w:rPr>
          <w:color w:val="000000"/>
          <w:spacing w:val="-1"/>
        </w:rPr>
        <w:t>r</w:t>
      </w:r>
      <w:r>
        <w:rPr>
          <w:color w:val="000000"/>
        </w:rPr>
        <w:t>th</w:t>
      </w:r>
      <w:r>
        <w:rPr>
          <w:color w:val="000000"/>
          <w:spacing w:val="-1"/>
        </w:rPr>
        <w:t>e</w:t>
      </w:r>
      <w:r>
        <w:rPr>
          <w:color w:val="000000"/>
        </w:rPr>
        <w:t>r</w:t>
      </w:r>
      <w:r>
        <w:rPr>
          <w:color w:val="000000"/>
          <w:spacing w:val="-1"/>
        </w:rPr>
        <w:t xml:space="preserve"> </w:t>
      </w:r>
      <w:r>
        <w:rPr>
          <w:color w:val="000000"/>
          <w:spacing w:val="2"/>
        </w:rPr>
        <w:t>d</w:t>
      </w:r>
      <w:r>
        <w:rPr>
          <w:color w:val="000000"/>
          <w:spacing w:val="-1"/>
        </w:rPr>
        <w:t>e</w:t>
      </w:r>
      <w:r>
        <w:rPr>
          <w:color w:val="000000"/>
        </w:rPr>
        <w:t>v</w:t>
      </w:r>
      <w:r>
        <w:rPr>
          <w:color w:val="000000"/>
          <w:spacing w:val="-1"/>
        </w:rPr>
        <w:t>e</w:t>
      </w:r>
      <w:r>
        <w:rPr>
          <w:color w:val="000000"/>
        </w:rPr>
        <w:t>lo</w:t>
      </w:r>
      <w:r>
        <w:rPr>
          <w:color w:val="000000"/>
          <w:spacing w:val="2"/>
        </w:rPr>
        <w:t>p</w:t>
      </w:r>
      <w:r>
        <w:rPr>
          <w:color w:val="000000"/>
          <w:spacing w:val="-1"/>
        </w:rPr>
        <w:t>e</w:t>
      </w:r>
      <w:r>
        <w:rPr>
          <w:color w:val="000000"/>
        </w:rPr>
        <w:t>d.</w:t>
      </w:r>
    </w:p>
    <w:p w14:paraId="430F34C7" w14:textId="77777777" w:rsidR="00DC4922" w:rsidRDefault="00DC4922" w:rsidP="00DC4922">
      <w:pPr>
        <w:rPr>
          <w:color w:val="000000"/>
        </w:rPr>
      </w:pPr>
    </w:p>
    <w:p w14:paraId="39688B7D" w14:textId="77777777" w:rsidR="00DC4922" w:rsidRDefault="00DC4922" w:rsidP="00640526">
      <w:pPr>
        <w:ind w:firstLine="360"/>
        <w:rPr>
          <w:color w:val="000000"/>
        </w:rPr>
      </w:pPr>
      <w:r>
        <w:rPr>
          <w:color w:val="000000"/>
        </w:rPr>
        <w:t>The latest collaboration builds on the previous Ecopath model developed through the Sea Around Us project for the South Atlantic Bight with a focus on beginning a dialogue on the implications of potential changes in forage fish populations in the region that could be associated with environmental or climate change or changes in direct exploitation of those populations.</w:t>
      </w:r>
    </w:p>
    <w:p w14:paraId="7ABC020A" w14:textId="77777777" w:rsidR="00DC4922" w:rsidRPr="00416614" w:rsidRDefault="00DC4922" w:rsidP="00DC4922">
      <w:pPr>
        <w:rPr>
          <w:color w:val="000000"/>
          <w:spacing w:val="1"/>
        </w:rPr>
      </w:pPr>
    </w:p>
    <w:p w14:paraId="19A72C5A" w14:textId="77777777" w:rsidR="00DC4922" w:rsidRPr="00EB603B" w:rsidRDefault="00DC4922" w:rsidP="00DC4922">
      <w:pPr>
        <w:rPr>
          <w:b/>
          <w:i/>
          <w:color w:val="000000"/>
        </w:rPr>
      </w:pPr>
      <w:r w:rsidRPr="00EB603B">
        <w:rPr>
          <w:b/>
          <w:i/>
          <w:color w:val="000000"/>
          <w:spacing w:val="1"/>
        </w:rPr>
        <w:t>Esse</w:t>
      </w:r>
      <w:r w:rsidRPr="00EB603B">
        <w:rPr>
          <w:b/>
          <w:i/>
          <w:color w:val="000000"/>
        </w:rPr>
        <w:t>n</w:t>
      </w:r>
      <w:r w:rsidRPr="00EB603B">
        <w:rPr>
          <w:b/>
          <w:i/>
          <w:color w:val="000000"/>
          <w:spacing w:val="-1"/>
        </w:rPr>
        <w:t>t</w:t>
      </w:r>
      <w:r w:rsidRPr="00EB603B">
        <w:rPr>
          <w:b/>
          <w:i/>
          <w:color w:val="000000"/>
          <w:spacing w:val="-2"/>
        </w:rPr>
        <w:t>i</w:t>
      </w:r>
      <w:r w:rsidRPr="00EB603B">
        <w:rPr>
          <w:b/>
          <w:i/>
          <w:color w:val="000000"/>
          <w:spacing w:val="1"/>
        </w:rPr>
        <w:t>a</w:t>
      </w:r>
      <w:r w:rsidRPr="00EB603B">
        <w:rPr>
          <w:b/>
          <w:i/>
          <w:color w:val="000000"/>
        </w:rPr>
        <w:t>l</w:t>
      </w:r>
      <w:r w:rsidRPr="00EB603B">
        <w:rPr>
          <w:b/>
          <w:i/>
          <w:color w:val="000000"/>
          <w:spacing w:val="1"/>
        </w:rPr>
        <w:t xml:space="preserve"> </w:t>
      </w:r>
      <w:r w:rsidRPr="00EB603B">
        <w:rPr>
          <w:b/>
          <w:i/>
          <w:color w:val="000000"/>
        </w:rPr>
        <w:t>F</w:t>
      </w:r>
      <w:r w:rsidRPr="00EB603B">
        <w:rPr>
          <w:b/>
          <w:i/>
          <w:color w:val="000000"/>
          <w:spacing w:val="-2"/>
        </w:rPr>
        <w:t>i</w:t>
      </w:r>
      <w:r w:rsidRPr="00EB603B">
        <w:rPr>
          <w:b/>
          <w:i/>
          <w:color w:val="000000"/>
          <w:spacing w:val="1"/>
        </w:rPr>
        <w:t>s</w:t>
      </w:r>
      <w:r w:rsidRPr="00EB603B">
        <w:rPr>
          <w:b/>
          <w:i/>
          <w:color w:val="000000"/>
        </w:rPr>
        <w:t>h H</w:t>
      </w:r>
      <w:r w:rsidRPr="00EB603B">
        <w:rPr>
          <w:b/>
          <w:i/>
          <w:color w:val="000000"/>
          <w:spacing w:val="1"/>
        </w:rPr>
        <w:t>a</w:t>
      </w:r>
      <w:r w:rsidRPr="00EB603B">
        <w:rPr>
          <w:b/>
          <w:i/>
          <w:color w:val="000000"/>
        </w:rPr>
        <w:t>bi</w:t>
      </w:r>
      <w:r w:rsidRPr="00EB603B">
        <w:rPr>
          <w:b/>
          <w:i/>
          <w:color w:val="000000"/>
          <w:spacing w:val="-1"/>
        </w:rPr>
        <w:t>ta</w:t>
      </w:r>
      <w:r w:rsidRPr="00EB603B">
        <w:rPr>
          <w:b/>
          <w:i/>
          <w:color w:val="000000"/>
        </w:rPr>
        <w:t xml:space="preserve">t </w:t>
      </w:r>
      <w:r w:rsidRPr="00EB603B">
        <w:rPr>
          <w:b/>
          <w:i/>
          <w:color w:val="000000"/>
          <w:spacing w:val="1"/>
        </w:rPr>
        <w:t>a</w:t>
      </w:r>
      <w:r w:rsidRPr="00EB603B">
        <w:rPr>
          <w:b/>
          <w:i/>
          <w:color w:val="000000"/>
        </w:rPr>
        <w:t xml:space="preserve">nd </w:t>
      </w:r>
      <w:r w:rsidRPr="00EB603B">
        <w:rPr>
          <w:b/>
          <w:i/>
          <w:color w:val="000000"/>
          <w:spacing w:val="1"/>
        </w:rPr>
        <w:t>Es</w:t>
      </w:r>
      <w:r w:rsidRPr="00EB603B">
        <w:rPr>
          <w:b/>
          <w:i/>
          <w:color w:val="000000"/>
          <w:spacing w:val="-1"/>
        </w:rPr>
        <w:t>s</w:t>
      </w:r>
      <w:r w:rsidRPr="00EB603B">
        <w:rPr>
          <w:b/>
          <w:i/>
          <w:color w:val="000000"/>
          <w:spacing w:val="1"/>
        </w:rPr>
        <w:t>e</w:t>
      </w:r>
      <w:r w:rsidRPr="00EB603B">
        <w:rPr>
          <w:b/>
          <w:i/>
          <w:color w:val="000000"/>
        </w:rPr>
        <w:t>n</w:t>
      </w:r>
      <w:r w:rsidRPr="00EB603B">
        <w:rPr>
          <w:b/>
          <w:i/>
          <w:color w:val="000000"/>
          <w:spacing w:val="-1"/>
        </w:rPr>
        <w:t>t</w:t>
      </w:r>
      <w:r w:rsidRPr="00EB603B">
        <w:rPr>
          <w:b/>
          <w:i/>
          <w:color w:val="000000"/>
        </w:rPr>
        <w:t>i</w:t>
      </w:r>
      <w:r w:rsidRPr="00EB603B">
        <w:rPr>
          <w:b/>
          <w:i/>
          <w:color w:val="000000"/>
          <w:spacing w:val="1"/>
        </w:rPr>
        <w:t>a</w:t>
      </w:r>
      <w:r w:rsidRPr="00EB603B">
        <w:rPr>
          <w:b/>
          <w:i/>
          <w:color w:val="000000"/>
        </w:rPr>
        <w:t>l</w:t>
      </w:r>
      <w:r w:rsidRPr="00EB603B">
        <w:rPr>
          <w:b/>
          <w:i/>
          <w:color w:val="000000"/>
          <w:spacing w:val="1"/>
        </w:rPr>
        <w:t xml:space="preserve"> </w:t>
      </w:r>
      <w:r w:rsidRPr="00EB603B">
        <w:rPr>
          <w:b/>
          <w:i/>
          <w:color w:val="000000"/>
          <w:spacing w:val="-3"/>
        </w:rPr>
        <w:t>F</w:t>
      </w:r>
      <w:r w:rsidRPr="00EB603B">
        <w:rPr>
          <w:b/>
          <w:i/>
          <w:color w:val="000000"/>
        </w:rPr>
        <w:t>i</w:t>
      </w:r>
      <w:r w:rsidRPr="00EB603B">
        <w:rPr>
          <w:b/>
          <w:i/>
          <w:color w:val="000000"/>
          <w:spacing w:val="1"/>
        </w:rPr>
        <w:t>s</w:t>
      </w:r>
      <w:r w:rsidRPr="00EB603B">
        <w:rPr>
          <w:b/>
          <w:i/>
          <w:color w:val="000000"/>
        </w:rPr>
        <w:t>h</w:t>
      </w:r>
      <w:r w:rsidRPr="00EB603B">
        <w:rPr>
          <w:b/>
          <w:i/>
          <w:color w:val="000000"/>
          <w:spacing w:val="-2"/>
        </w:rPr>
        <w:t xml:space="preserve"> </w:t>
      </w:r>
      <w:r w:rsidRPr="00EB603B">
        <w:rPr>
          <w:b/>
          <w:i/>
          <w:color w:val="000000"/>
        </w:rPr>
        <w:t>H</w:t>
      </w:r>
      <w:r w:rsidRPr="00EB603B">
        <w:rPr>
          <w:b/>
          <w:i/>
          <w:color w:val="000000"/>
          <w:spacing w:val="1"/>
        </w:rPr>
        <w:t>a</w:t>
      </w:r>
      <w:r w:rsidRPr="00EB603B">
        <w:rPr>
          <w:b/>
          <w:i/>
          <w:color w:val="000000"/>
        </w:rPr>
        <w:t>bi</w:t>
      </w:r>
      <w:r w:rsidRPr="00EB603B">
        <w:rPr>
          <w:b/>
          <w:i/>
          <w:color w:val="000000"/>
          <w:spacing w:val="-1"/>
        </w:rPr>
        <w:t>t</w:t>
      </w:r>
      <w:r w:rsidRPr="00EB603B">
        <w:rPr>
          <w:b/>
          <w:i/>
          <w:color w:val="000000"/>
          <w:spacing w:val="1"/>
        </w:rPr>
        <w:t>a</w:t>
      </w:r>
      <w:r w:rsidRPr="00EB603B">
        <w:rPr>
          <w:b/>
          <w:i/>
          <w:color w:val="000000"/>
        </w:rPr>
        <w:t>t</w:t>
      </w:r>
      <w:r w:rsidRPr="00EB603B">
        <w:rPr>
          <w:b/>
          <w:i/>
          <w:color w:val="000000"/>
          <w:spacing w:val="2"/>
        </w:rPr>
        <w:t xml:space="preserve"> </w:t>
      </w:r>
      <w:r w:rsidRPr="00EB603B">
        <w:rPr>
          <w:b/>
          <w:i/>
          <w:color w:val="000000"/>
          <w:spacing w:val="-5"/>
        </w:rPr>
        <w:t>A</w:t>
      </w:r>
      <w:r w:rsidRPr="00EB603B">
        <w:rPr>
          <w:b/>
          <w:i/>
          <w:color w:val="000000"/>
        </w:rPr>
        <w:t>r</w:t>
      </w:r>
      <w:r w:rsidRPr="00EB603B">
        <w:rPr>
          <w:b/>
          <w:i/>
          <w:color w:val="000000"/>
          <w:spacing w:val="1"/>
        </w:rPr>
        <w:t>ea</w:t>
      </w:r>
      <w:r w:rsidRPr="00EB603B">
        <w:rPr>
          <w:b/>
          <w:i/>
          <w:color w:val="000000"/>
        </w:rPr>
        <w:t>s</w:t>
      </w:r>
      <w:r w:rsidRPr="00EB603B">
        <w:rPr>
          <w:b/>
          <w:i/>
          <w:color w:val="000000"/>
          <w:spacing w:val="1"/>
        </w:rPr>
        <w:t xml:space="preserve"> </w:t>
      </w:r>
      <w:r w:rsidRPr="00EB603B">
        <w:rPr>
          <w:b/>
          <w:i/>
          <w:color w:val="000000"/>
        </w:rPr>
        <w:t xml:space="preserve">of </w:t>
      </w:r>
      <w:r w:rsidRPr="00EB603B">
        <w:rPr>
          <w:b/>
          <w:i/>
          <w:color w:val="000000"/>
          <w:spacing w:val="1"/>
        </w:rPr>
        <w:t>Pa</w:t>
      </w:r>
      <w:r w:rsidRPr="00EB603B">
        <w:rPr>
          <w:b/>
          <w:i/>
          <w:color w:val="000000"/>
        </w:rPr>
        <w:t>r</w:t>
      </w:r>
      <w:r w:rsidRPr="00EB603B">
        <w:rPr>
          <w:b/>
          <w:i/>
          <w:color w:val="000000"/>
          <w:spacing w:val="-1"/>
        </w:rPr>
        <w:t>t</w:t>
      </w:r>
      <w:r w:rsidRPr="00EB603B">
        <w:rPr>
          <w:b/>
          <w:i/>
          <w:color w:val="000000"/>
          <w:spacing w:val="-2"/>
        </w:rPr>
        <w:t>i</w:t>
      </w:r>
      <w:r w:rsidRPr="00EB603B">
        <w:rPr>
          <w:b/>
          <w:i/>
          <w:color w:val="000000"/>
          <w:spacing w:val="1"/>
        </w:rPr>
        <w:t>c</w:t>
      </w:r>
      <w:r w:rsidRPr="00EB603B">
        <w:rPr>
          <w:b/>
          <w:i/>
          <w:color w:val="000000"/>
        </w:rPr>
        <w:t>ul</w:t>
      </w:r>
      <w:r w:rsidRPr="00EB603B">
        <w:rPr>
          <w:b/>
          <w:i/>
          <w:color w:val="000000"/>
          <w:spacing w:val="1"/>
        </w:rPr>
        <w:t>a</w:t>
      </w:r>
      <w:r w:rsidRPr="00EB603B">
        <w:rPr>
          <w:b/>
          <w:i/>
          <w:color w:val="000000"/>
        </w:rPr>
        <w:t>r</w:t>
      </w:r>
      <w:r w:rsidRPr="00EB603B">
        <w:rPr>
          <w:b/>
          <w:i/>
          <w:color w:val="000000"/>
          <w:spacing w:val="1"/>
        </w:rPr>
        <w:t xml:space="preserve"> </w:t>
      </w:r>
      <w:r w:rsidRPr="00EB603B">
        <w:rPr>
          <w:b/>
          <w:i/>
          <w:color w:val="000000"/>
        </w:rPr>
        <w:t>Con</w:t>
      </w:r>
      <w:r w:rsidRPr="00EB603B">
        <w:rPr>
          <w:b/>
          <w:i/>
          <w:color w:val="000000"/>
          <w:spacing w:val="-1"/>
        </w:rPr>
        <w:t>c</w:t>
      </w:r>
      <w:r w:rsidRPr="00EB603B">
        <w:rPr>
          <w:b/>
          <w:i/>
          <w:color w:val="000000"/>
          <w:spacing w:val="1"/>
        </w:rPr>
        <w:t>e</w:t>
      </w:r>
      <w:r w:rsidRPr="00EB603B">
        <w:rPr>
          <w:b/>
          <w:i/>
          <w:color w:val="000000"/>
        </w:rPr>
        <w:t>rn</w:t>
      </w:r>
    </w:p>
    <w:p w14:paraId="3D5D2FC5" w14:textId="77777777" w:rsidR="00DC4922" w:rsidRPr="00AA552A" w:rsidRDefault="00DC4922" w:rsidP="00640526">
      <w:pPr>
        <w:ind w:firstLine="360"/>
        <w:rPr>
          <w:rFonts w:cs="Cambria"/>
          <w:color w:val="000000"/>
        </w:rPr>
      </w:pPr>
      <w:r w:rsidRPr="00AA552A">
        <w:rPr>
          <w:rFonts w:cs="Cambria"/>
          <w:color w:val="000000"/>
          <w:spacing w:val="1"/>
        </w:rPr>
        <w:t>F</w:t>
      </w:r>
      <w:r w:rsidRPr="00AA552A">
        <w:rPr>
          <w:rFonts w:cs="Cambria"/>
          <w:color w:val="000000"/>
        </w:rPr>
        <w:t>ollo</w:t>
      </w:r>
      <w:r w:rsidRPr="00AA552A">
        <w:rPr>
          <w:rFonts w:cs="Cambria"/>
          <w:color w:val="000000"/>
          <w:spacing w:val="-1"/>
        </w:rPr>
        <w:t>w</w:t>
      </w:r>
      <w:r w:rsidRPr="00AA552A">
        <w:rPr>
          <w:rFonts w:cs="Cambria"/>
          <w:color w:val="000000"/>
          <w:spacing w:val="1"/>
        </w:rPr>
        <w:t>i</w:t>
      </w:r>
      <w:r w:rsidRPr="00AA552A">
        <w:rPr>
          <w:rFonts w:cs="Cambria"/>
          <w:color w:val="000000"/>
        </w:rPr>
        <w:t>ng</w:t>
      </w:r>
      <w:r w:rsidRPr="00AA552A">
        <w:rPr>
          <w:rFonts w:cs="Cambria"/>
          <w:color w:val="000000"/>
          <w:spacing w:val="-5"/>
        </w:rPr>
        <w:t xml:space="preserve"> </w:t>
      </w:r>
      <w:r w:rsidRPr="00AA552A">
        <w:rPr>
          <w:rFonts w:cs="Cambria"/>
          <w:color w:val="000000"/>
          <w:spacing w:val="1"/>
        </w:rPr>
        <w:t>i</w:t>
      </w:r>
      <w:r w:rsidRPr="00AA552A">
        <w:rPr>
          <w:rFonts w:cs="Cambria"/>
          <w:color w:val="000000"/>
        </w:rPr>
        <w:t>s</w:t>
      </w:r>
      <w:r w:rsidRPr="00AA552A">
        <w:rPr>
          <w:rFonts w:cs="Cambria"/>
          <w:color w:val="000000"/>
          <w:spacing w:val="-2"/>
        </w:rPr>
        <w:t xml:space="preserve"> </w:t>
      </w:r>
      <w:r w:rsidRPr="00AA552A">
        <w:rPr>
          <w:rFonts w:cs="Cambria"/>
          <w:color w:val="000000"/>
        </w:rPr>
        <w:t>a summa</w:t>
      </w:r>
      <w:r w:rsidRPr="00AA552A">
        <w:rPr>
          <w:rFonts w:cs="Cambria"/>
          <w:color w:val="000000"/>
          <w:spacing w:val="-1"/>
        </w:rPr>
        <w:t>r</w:t>
      </w:r>
      <w:r w:rsidRPr="00AA552A">
        <w:rPr>
          <w:rFonts w:cs="Cambria"/>
          <w:color w:val="000000"/>
        </w:rPr>
        <w:t>y</w:t>
      </w:r>
      <w:r w:rsidRPr="00AA552A">
        <w:rPr>
          <w:rFonts w:cs="Cambria"/>
          <w:color w:val="000000"/>
          <w:spacing w:val="-2"/>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cu</w:t>
      </w:r>
      <w:r w:rsidRPr="00AA552A">
        <w:rPr>
          <w:rFonts w:cs="Cambria"/>
          <w:color w:val="000000"/>
          <w:spacing w:val="-1"/>
        </w:rPr>
        <w:t>rr</w:t>
      </w:r>
      <w:r w:rsidRPr="00AA552A">
        <w:rPr>
          <w:rFonts w:cs="Cambria"/>
          <w:color w:val="000000"/>
          <w:spacing w:val="1"/>
        </w:rPr>
        <w:t>e</w:t>
      </w:r>
      <w:r w:rsidRPr="00AA552A">
        <w:rPr>
          <w:rFonts w:cs="Cambria"/>
          <w:color w:val="000000"/>
        </w:rPr>
        <w:t>nt</w:t>
      </w:r>
      <w:r w:rsidRPr="00AA552A">
        <w:rPr>
          <w:rFonts w:cs="Cambria"/>
          <w:color w:val="000000"/>
          <w:spacing w:val="-6"/>
        </w:rPr>
        <w:t xml:space="preserve"> </w:t>
      </w:r>
      <w:r w:rsidRPr="00AA552A">
        <w:rPr>
          <w:rFonts w:cs="Cambria"/>
          <w:color w:val="000000"/>
          <w:spacing w:val="1"/>
        </w:rPr>
        <w:t>S</w:t>
      </w:r>
      <w:r w:rsidRPr="00AA552A">
        <w:rPr>
          <w:rFonts w:cs="Cambria"/>
          <w:color w:val="000000"/>
        </w:rPr>
        <w:t>outh</w:t>
      </w:r>
      <w:r w:rsidRPr="00AA552A">
        <w:rPr>
          <w:rFonts w:cs="Cambria"/>
          <w:color w:val="000000"/>
          <w:spacing w:val="-3"/>
        </w:rPr>
        <w:t xml:space="preserve"> </w:t>
      </w:r>
      <w:r w:rsidRPr="00AA552A">
        <w:rPr>
          <w:rFonts w:cs="Cambria"/>
          <w:color w:val="000000"/>
          <w:spacing w:val="-1"/>
        </w:rPr>
        <w:t>A</w:t>
      </w:r>
      <w:r w:rsidRPr="00AA552A">
        <w:rPr>
          <w:rFonts w:cs="Cambria"/>
          <w:color w:val="000000"/>
        </w:rPr>
        <w:t>t</w:t>
      </w:r>
      <w:r w:rsidRPr="00AA552A">
        <w:rPr>
          <w:rFonts w:cs="Cambria"/>
          <w:color w:val="000000"/>
          <w:spacing w:val="2"/>
        </w:rPr>
        <w:t>l</w:t>
      </w:r>
      <w:r w:rsidRPr="00AA552A">
        <w:rPr>
          <w:rFonts w:cs="Cambria"/>
          <w:color w:val="000000"/>
        </w:rPr>
        <w:t>ant</w:t>
      </w:r>
      <w:r w:rsidRPr="00AA552A">
        <w:rPr>
          <w:rFonts w:cs="Cambria"/>
          <w:color w:val="000000"/>
          <w:spacing w:val="1"/>
        </w:rPr>
        <w:t>i</w:t>
      </w:r>
      <w:r w:rsidRPr="00AA552A">
        <w:rPr>
          <w:rFonts w:cs="Cambria"/>
          <w:color w:val="000000"/>
        </w:rPr>
        <w:t>c</w:t>
      </w:r>
      <w:r w:rsidRPr="00AA552A">
        <w:rPr>
          <w:rFonts w:cs="Cambria"/>
          <w:color w:val="000000"/>
          <w:spacing w:val="-2"/>
        </w:rPr>
        <w:t xml:space="preserve"> </w:t>
      </w:r>
      <w:r w:rsidRPr="00AA552A">
        <w:rPr>
          <w:rFonts w:cs="Cambria"/>
          <w:color w:val="000000"/>
          <w:spacing w:val="-1"/>
        </w:rPr>
        <w:t>C</w:t>
      </w:r>
      <w:r w:rsidRPr="00AA552A">
        <w:rPr>
          <w:rFonts w:cs="Cambria"/>
          <w:color w:val="000000"/>
        </w:rPr>
        <w:t>ounc</w:t>
      </w:r>
      <w:r w:rsidRPr="00AA552A">
        <w:rPr>
          <w:rFonts w:cs="Cambria"/>
          <w:color w:val="000000"/>
          <w:spacing w:val="1"/>
        </w:rPr>
        <w:t>i</w:t>
      </w:r>
      <w:r w:rsidRPr="00AA552A">
        <w:rPr>
          <w:rFonts w:cs="Cambria"/>
          <w:color w:val="000000"/>
        </w:rPr>
        <w:t>l’s</w:t>
      </w:r>
      <w:r w:rsidRPr="00AA552A">
        <w:rPr>
          <w:rFonts w:cs="Cambria"/>
          <w:color w:val="000000"/>
          <w:spacing w:val="-5"/>
        </w:rPr>
        <w:t xml:space="preserve"> </w:t>
      </w:r>
      <w:r w:rsidRPr="00AA552A">
        <w:rPr>
          <w:rFonts w:cs="Cambria"/>
          <w:color w:val="000000"/>
          <w:spacing w:val="1"/>
        </w:rPr>
        <w:t>EF</w:t>
      </w:r>
      <w:r w:rsidRPr="00AA552A">
        <w:rPr>
          <w:rFonts w:cs="Cambria"/>
          <w:color w:val="000000"/>
        </w:rPr>
        <w:t>H</w:t>
      </w:r>
      <w:r w:rsidRPr="00AA552A">
        <w:rPr>
          <w:rFonts w:cs="Cambria"/>
          <w:color w:val="000000"/>
          <w:spacing w:val="-2"/>
        </w:rPr>
        <w:t xml:space="preserve"> a</w:t>
      </w:r>
      <w:r w:rsidRPr="00AA552A">
        <w:rPr>
          <w:rFonts w:cs="Cambria"/>
          <w:color w:val="000000"/>
        </w:rPr>
        <w:t>nd</w:t>
      </w:r>
      <w:r w:rsidRPr="00AA552A">
        <w:rPr>
          <w:rFonts w:cs="Cambria"/>
          <w:color w:val="000000"/>
          <w:spacing w:val="-2"/>
        </w:rPr>
        <w:t xml:space="preserve"> </w:t>
      </w:r>
      <w:r w:rsidRPr="00AA552A">
        <w:rPr>
          <w:rFonts w:cs="Cambria"/>
          <w:color w:val="000000"/>
          <w:spacing w:val="1"/>
        </w:rPr>
        <w:t>EFH</w:t>
      </w:r>
      <w:r w:rsidRPr="00AA552A">
        <w:rPr>
          <w:rFonts w:cs="Cambria"/>
          <w:color w:val="000000"/>
        </w:rPr>
        <w:t>-</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s.</w:t>
      </w:r>
      <w:r w:rsidRPr="00AA552A">
        <w:rPr>
          <w:rFonts w:cs="Cambria"/>
          <w:color w:val="000000"/>
          <w:spacing w:val="-7"/>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f</w:t>
      </w:r>
      <w:r w:rsidRPr="00AA552A">
        <w:rPr>
          <w:rFonts w:cs="Cambria"/>
          <w:color w:val="000000"/>
        </w:rPr>
        <w:t>o</w:t>
      </w:r>
      <w:r w:rsidRPr="00AA552A">
        <w:rPr>
          <w:rFonts w:cs="Cambria"/>
          <w:color w:val="000000"/>
          <w:spacing w:val="-1"/>
        </w:rPr>
        <w:t>r</w:t>
      </w:r>
      <w:r w:rsidRPr="00AA552A">
        <w:rPr>
          <w:rFonts w:cs="Cambria"/>
          <w:color w:val="000000"/>
        </w:rPr>
        <w:t>mat</w:t>
      </w:r>
      <w:r w:rsidRPr="00AA552A">
        <w:rPr>
          <w:rFonts w:cs="Cambria"/>
          <w:color w:val="000000"/>
          <w:spacing w:val="1"/>
        </w:rPr>
        <w:t>i</w:t>
      </w:r>
      <w:r w:rsidRPr="00AA552A">
        <w:rPr>
          <w:rFonts w:cs="Cambria"/>
          <w:color w:val="000000"/>
          <w:spacing w:val="-3"/>
        </w:rPr>
        <w:t>o</w:t>
      </w:r>
      <w:r w:rsidRPr="00AA552A">
        <w:rPr>
          <w:rFonts w:cs="Cambria"/>
          <w:color w:val="000000"/>
        </w:rPr>
        <w:t>n s</w:t>
      </w:r>
      <w:r w:rsidRPr="00AA552A">
        <w:rPr>
          <w:rFonts w:cs="Cambria"/>
          <w:color w:val="000000"/>
          <w:spacing w:val="-1"/>
        </w:rPr>
        <w:t>u</w:t>
      </w:r>
      <w:r w:rsidRPr="00AA552A">
        <w:rPr>
          <w:rFonts w:cs="Cambria"/>
          <w:color w:val="000000"/>
          <w:spacing w:val="1"/>
        </w:rPr>
        <w:t>pp</w:t>
      </w:r>
      <w:r w:rsidRPr="00AA552A">
        <w:rPr>
          <w:rFonts w:cs="Cambria"/>
          <w:color w:val="000000"/>
        </w:rPr>
        <w:t>o</w:t>
      </w:r>
      <w:r w:rsidRPr="00AA552A">
        <w:rPr>
          <w:rFonts w:cs="Cambria"/>
          <w:color w:val="000000"/>
          <w:spacing w:val="-1"/>
        </w:rPr>
        <w:t>r</w:t>
      </w:r>
      <w:r w:rsidRPr="00AA552A">
        <w:rPr>
          <w:rFonts w:cs="Cambria"/>
          <w:color w:val="000000"/>
        </w:rPr>
        <w:t>t</w:t>
      </w:r>
      <w:r w:rsidRPr="00AA552A">
        <w:rPr>
          <w:rFonts w:cs="Cambria"/>
          <w:color w:val="000000"/>
          <w:spacing w:val="1"/>
        </w:rPr>
        <w:t>i</w:t>
      </w:r>
      <w:r w:rsidRPr="00AA552A">
        <w:rPr>
          <w:rFonts w:cs="Cambria"/>
          <w:color w:val="000000"/>
        </w:rPr>
        <w:t>ng</w:t>
      </w:r>
      <w:r w:rsidRPr="00AA552A">
        <w:rPr>
          <w:rFonts w:cs="Cambria"/>
          <w:color w:val="000000"/>
          <w:spacing w:val="-5"/>
        </w:rPr>
        <w:t xml:space="preserve"> </w:t>
      </w:r>
      <w:r w:rsidRPr="00AA552A">
        <w:rPr>
          <w:rFonts w:cs="Cambria"/>
          <w:color w:val="000000"/>
        </w:rPr>
        <w:t>th</w:t>
      </w:r>
      <w:r w:rsidRPr="00AA552A">
        <w:rPr>
          <w:rFonts w:cs="Cambria"/>
          <w:color w:val="000000"/>
          <w:spacing w:val="1"/>
        </w:rPr>
        <w:t>ei</w:t>
      </w:r>
      <w:r w:rsidRPr="00AA552A">
        <w:rPr>
          <w:rFonts w:cs="Cambria"/>
          <w:color w:val="000000"/>
        </w:rPr>
        <w:t>r</w:t>
      </w:r>
      <w:r w:rsidRPr="00AA552A">
        <w:rPr>
          <w:rFonts w:cs="Cambria"/>
          <w:color w:val="000000"/>
          <w:spacing w:val="-5"/>
        </w:rPr>
        <w:t xml:space="preserve"> </w:t>
      </w:r>
      <w:r w:rsidRPr="00AA552A">
        <w:rPr>
          <w:rFonts w:cs="Cambria"/>
          <w:color w:val="000000"/>
          <w:spacing w:val="-1"/>
        </w:rPr>
        <w:t>d</w:t>
      </w:r>
      <w:r w:rsidRPr="00AA552A">
        <w:rPr>
          <w:rFonts w:cs="Cambria"/>
          <w:color w:val="000000"/>
          <w:spacing w:val="1"/>
        </w:rPr>
        <w:t>e</w:t>
      </w:r>
      <w:r w:rsidRPr="00AA552A">
        <w:rPr>
          <w:rFonts w:cs="Cambria"/>
          <w:color w:val="000000"/>
        </w:rPr>
        <w:t>s</w:t>
      </w:r>
      <w:r w:rsidRPr="00AA552A">
        <w:rPr>
          <w:rFonts w:cs="Cambria"/>
          <w:color w:val="000000"/>
          <w:spacing w:val="1"/>
        </w:rPr>
        <w:t>i</w:t>
      </w:r>
      <w:r w:rsidRPr="00AA552A">
        <w:rPr>
          <w:rFonts w:cs="Cambria"/>
          <w:color w:val="000000"/>
          <w:spacing w:val="-1"/>
        </w:rPr>
        <w:t>g</w:t>
      </w:r>
      <w:r w:rsidRPr="00AA552A">
        <w:rPr>
          <w:rFonts w:cs="Cambria"/>
          <w:color w:val="000000"/>
        </w:rPr>
        <w:t>nat</w:t>
      </w:r>
      <w:r w:rsidRPr="00AA552A">
        <w:rPr>
          <w:rFonts w:cs="Cambria"/>
          <w:color w:val="000000"/>
          <w:spacing w:val="1"/>
        </w:rPr>
        <w:t>i</w:t>
      </w:r>
      <w:r w:rsidRPr="00AA552A">
        <w:rPr>
          <w:rFonts w:cs="Cambria"/>
          <w:color w:val="000000"/>
        </w:rPr>
        <w:t>on</w:t>
      </w:r>
      <w:r>
        <w:rPr>
          <w:rFonts w:cs="Cambria"/>
          <w:color w:val="000000"/>
          <w:spacing w:val="-6"/>
        </w:rPr>
        <w:t xml:space="preserve"> was</w:t>
      </w:r>
      <w:r w:rsidRPr="00AA552A">
        <w:rPr>
          <w:rFonts w:cs="Cambria"/>
          <w:color w:val="000000"/>
          <w:spacing w:val="-3"/>
        </w:rPr>
        <w:t xml:space="preserve"> </w:t>
      </w:r>
      <w:r w:rsidRPr="00AA552A">
        <w:rPr>
          <w:rFonts w:cs="Cambria"/>
          <w:color w:val="000000"/>
          <w:spacing w:val="-1"/>
        </w:rPr>
        <w:t>u</w:t>
      </w:r>
      <w:r w:rsidRPr="00AA552A">
        <w:rPr>
          <w:rFonts w:cs="Cambria"/>
          <w:color w:val="000000"/>
          <w:spacing w:val="1"/>
        </w:rPr>
        <w:t>p</w:t>
      </w:r>
      <w:r w:rsidRPr="00AA552A">
        <w:rPr>
          <w:rFonts w:cs="Cambria"/>
          <w:color w:val="000000"/>
          <w:spacing w:val="-1"/>
        </w:rPr>
        <w:t>d</w:t>
      </w:r>
      <w:r w:rsidRPr="00AA552A">
        <w:rPr>
          <w:rFonts w:cs="Cambria"/>
          <w:color w:val="000000"/>
        </w:rPr>
        <w:t>at</w:t>
      </w:r>
      <w:r w:rsidRPr="00AA552A">
        <w:rPr>
          <w:rFonts w:cs="Cambria"/>
          <w:color w:val="000000"/>
          <w:spacing w:val="1"/>
        </w:rPr>
        <w:t>e</w:t>
      </w:r>
      <w:r w:rsidRPr="00AA552A">
        <w:rPr>
          <w:rFonts w:cs="Cambria"/>
          <w:color w:val="000000"/>
        </w:rPr>
        <w:t>d</w:t>
      </w:r>
      <w:r w:rsidRPr="00AA552A">
        <w:rPr>
          <w:rFonts w:cs="Cambria"/>
          <w:color w:val="000000"/>
          <w:spacing w:val="-5"/>
        </w:rPr>
        <w:t xml:space="preserve"> </w:t>
      </w:r>
      <w:r w:rsidRPr="00AA552A">
        <w:rPr>
          <w:rFonts w:cs="Cambria"/>
          <w:color w:val="000000"/>
        </w:rPr>
        <w:t>(</w:t>
      </w:r>
      <w:r w:rsidRPr="00AA552A">
        <w:rPr>
          <w:rFonts w:cs="Cambria"/>
          <w:color w:val="000000"/>
          <w:spacing w:val="1"/>
        </w:rPr>
        <w:t>p</w:t>
      </w:r>
      <w:r w:rsidRPr="00AA552A">
        <w:rPr>
          <w:rFonts w:cs="Cambria"/>
          <w:color w:val="000000"/>
        </w:rPr>
        <w:t>u</w:t>
      </w:r>
      <w:r w:rsidRPr="00AA552A">
        <w:rPr>
          <w:rFonts w:cs="Cambria"/>
          <w:color w:val="000000"/>
          <w:spacing w:val="-1"/>
        </w:rPr>
        <w:t>r</w:t>
      </w:r>
      <w:r w:rsidRPr="00AA552A">
        <w:rPr>
          <w:rFonts w:cs="Cambria"/>
          <w:color w:val="000000"/>
        </w:rPr>
        <w:t>suant</w:t>
      </w:r>
      <w:r w:rsidRPr="00AA552A">
        <w:rPr>
          <w:rFonts w:cs="Cambria"/>
          <w:color w:val="000000"/>
          <w:spacing w:val="-4"/>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EF</w:t>
      </w:r>
      <w:r w:rsidRPr="00AA552A">
        <w:rPr>
          <w:rFonts w:cs="Cambria"/>
          <w:color w:val="000000"/>
        </w:rPr>
        <w:t>H</w:t>
      </w:r>
      <w:r w:rsidRPr="00AA552A">
        <w:rPr>
          <w:rFonts w:cs="Cambria"/>
          <w:color w:val="000000"/>
          <w:spacing w:val="-5"/>
        </w:rPr>
        <w:t xml:space="preserve"> </w:t>
      </w:r>
      <w:r w:rsidRPr="00AA552A">
        <w:rPr>
          <w:rFonts w:cs="Cambria"/>
          <w:color w:val="000000"/>
          <w:spacing w:val="1"/>
        </w:rPr>
        <w:t>Fi</w:t>
      </w:r>
      <w:r w:rsidRPr="00AA552A">
        <w:rPr>
          <w:rFonts w:cs="Cambria"/>
          <w:color w:val="000000"/>
          <w:spacing w:val="-2"/>
        </w:rPr>
        <w:t>n</w:t>
      </w:r>
      <w:r w:rsidRPr="00AA552A">
        <w:rPr>
          <w:rFonts w:cs="Cambria"/>
          <w:color w:val="000000"/>
        </w:rPr>
        <w:t>al</w:t>
      </w:r>
      <w:r w:rsidRPr="00AA552A">
        <w:rPr>
          <w:rFonts w:cs="Cambria"/>
          <w:color w:val="000000"/>
          <w:spacing w:val="-2"/>
        </w:rPr>
        <w:t xml:space="preserve"> </w:t>
      </w:r>
      <w:r w:rsidRPr="00AA552A">
        <w:rPr>
          <w:rFonts w:cs="Cambria"/>
          <w:color w:val="000000"/>
        </w:rPr>
        <w:t>Rul</w:t>
      </w:r>
      <w:r w:rsidRPr="00AA552A">
        <w:rPr>
          <w:rFonts w:cs="Cambria"/>
          <w:color w:val="000000"/>
          <w:spacing w:val="1"/>
        </w:rPr>
        <w:t>e</w:t>
      </w:r>
      <w:r w:rsidRPr="00AA552A">
        <w:rPr>
          <w:rFonts w:cs="Cambria"/>
          <w:color w:val="000000"/>
        </w:rPr>
        <w:t>)</w:t>
      </w:r>
      <w:r w:rsidRPr="00AA552A">
        <w:rPr>
          <w:rFonts w:cs="Cambria"/>
          <w:color w:val="000000"/>
          <w:spacing w:val="-2"/>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C</w:t>
      </w:r>
      <w:r w:rsidRPr="00AA552A">
        <w:rPr>
          <w:rFonts w:cs="Cambria"/>
          <w:color w:val="000000"/>
        </w:rPr>
        <w:t>ounc</w:t>
      </w:r>
      <w:r w:rsidRPr="00AA552A">
        <w:rPr>
          <w:rFonts w:cs="Cambria"/>
          <w:color w:val="000000"/>
          <w:spacing w:val="1"/>
        </w:rPr>
        <w:t>i</w:t>
      </w:r>
      <w:r w:rsidRPr="00AA552A">
        <w:rPr>
          <w:rFonts w:cs="Cambria"/>
          <w:color w:val="000000"/>
        </w:rPr>
        <w:t xml:space="preserve">l’s </w:t>
      </w:r>
      <w:r w:rsidRPr="00AA552A">
        <w:rPr>
          <w:rFonts w:cs="Cambria"/>
          <w:color w:val="000000"/>
          <w:spacing w:val="1"/>
        </w:rPr>
        <w:t>Fi</w:t>
      </w:r>
      <w:r w:rsidRPr="00AA552A">
        <w:rPr>
          <w:rFonts w:cs="Cambria"/>
          <w:color w:val="000000"/>
        </w:rPr>
        <w:t>sh</w:t>
      </w:r>
      <w:r w:rsidRPr="00AA552A">
        <w:rPr>
          <w:rFonts w:cs="Cambria"/>
          <w:color w:val="000000"/>
          <w:spacing w:val="1"/>
        </w:rPr>
        <w:t>e</w:t>
      </w:r>
      <w:r w:rsidRPr="00AA552A">
        <w:rPr>
          <w:rFonts w:cs="Cambria"/>
          <w:color w:val="000000"/>
          <w:spacing w:val="-1"/>
        </w:rPr>
        <w:t>r</w:t>
      </w:r>
      <w:r w:rsidRPr="00AA552A">
        <w:rPr>
          <w:rFonts w:cs="Cambria"/>
          <w:color w:val="000000"/>
        </w:rPr>
        <w:t>y</w:t>
      </w:r>
      <w:r w:rsidRPr="00AA552A">
        <w:rPr>
          <w:rFonts w:cs="Cambria"/>
          <w:color w:val="000000"/>
          <w:spacing w:val="-9"/>
        </w:rPr>
        <w:t xml:space="preserve"> </w:t>
      </w:r>
      <w:r w:rsidRPr="00AA552A">
        <w:rPr>
          <w:rFonts w:cs="Cambria"/>
          <w:color w:val="000000"/>
          <w:spacing w:val="1"/>
        </w:rPr>
        <w:t>E</w:t>
      </w:r>
      <w:r w:rsidRPr="00AA552A">
        <w:rPr>
          <w:rFonts w:cs="Cambria"/>
          <w:color w:val="000000"/>
        </w:rPr>
        <w:t>cos</w:t>
      </w:r>
      <w:r w:rsidRPr="00AA552A">
        <w:rPr>
          <w:rFonts w:cs="Cambria"/>
          <w:color w:val="000000"/>
          <w:spacing w:val="-1"/>
        </w:rPr>
        <w:t>y</w:t>
      </w:r>
      <w:r w:rsidRPr="00AA552A">
        <w:rPr>
          <w:rFonts w:cs="Cambria"/>
          <w:color w:val="000000"/>
        </w:rPr>
        <w:t>st</w:t>
      </w:r>
      <w:r w:rsidRPr="00AA552A">
        <w:rPr>
          <w:rFonts w:cs="Cambria"/>
          <w:color w:val="000000"/>
          <w:spacing w:val="1"/>
        </w:rPr>
        <w:t>e</w:t>
      </w:r>
      <w:r w:rsidRPr="00AA552A">
        <w:rPr>
          <w:rFonts w:cs="Cambria"/>
          <w:color w:val="000000"/>
        </w:rPr>
        <w:t>m</w:t>
      </w:r>
      <w:r w:rsidRPr="00AA552A">
        <w:rPr>
          <w:rFonts w:cs="Cambria"/>
          <w:color w:val="000000"/>
          <w:spacing w:val="-7"/>
        </w:rPr>
        <w:t xml:space="preserve"> </w:t>
      </w:r>
      <w:r w:rsidRPr="00AA552A">
        <w:rPr>
          <w:rFonts w:cs="Cambria"/>
          <w:color w:val="000000"/>
          <w:spacing w:val="1"/>
        </w:rPr>
        <w:t>P</w:t>
      </w:r>
      <w:r w:rsidRPr="00AA552A">
        <w:rPr>
          <w:rFonts w:cs="Cambria"/>
          <w:color w:val="000000"/>
        </w:rPr>
        <w:t>lan</w:t>
      </w:r>
      <w:r w:rsidRPr="00AA552A">
        <w:rPr>
          <w:rFonts w:cs="Cambria"/>
          <w:color w:val="000000"/>
          <w:spacing w:val="-1"/>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C</w:t>
      </w:r>
      <w:r w:rsidRPr="00AA552A">
        <w:rPr>
          <w:rFonts w:cs="Cambria"/>
          <w:color w:val="000000"/>
        </w:rPr>
        <w:t>om</w:t>
      </w:r>
      <w:r w:rsidRPr="00AA552A">
        <w:rPr>
          <w:rFonts w:cs="Cambria"/>
          <w:color w:val="000000"/>
          <w:spacing w:val="1"/>
        </w:rPr>
        <w:t>p</w:t>
      </w:r>
      <w:r w:rsidRPr="00AA552A">
        <w:rPr>
          <w:rFonts w:cs="Cambria"/>
          <w:color w:val="000000"/>
          <w:spacing w:val="-1"/>
        </w:rPr>
        <w:t>r</w:t>
      </w:r>
      <w:r w:rsidRPr="00AA552A">
        <w:rPr>
          <w:rFonts w:cs="Cambria"/>
          <w:color w:val="000000"/>
          <w:spacing w:val="1"/>
        </w:rPr>
        <w:t>e</w:t>
      </w:r>
      <w:r w:rsidRPr="00AA552A">
        <w:rPr>
          <w:rFonts w:cs="Cambria"/>
          <w:color w:val="000000"/>
        </w:rPr>
        <w:t>h</w:t>
      </w:r>
      <w:r w:rsidRPr="00AA552A">
        <w:rPr>
          <w:rFonts w:cs="Cambria"/>
          <w:color w:val="000000"/>
          <w:spacing w:val="1"/>
        </w:rPr>
        <w:t>e</w:t>
      </w:r>
      <w:r w:rsidRPr="00AA552A">
        <w:rPr>
          <w:rFonts w:cs="Cambria"/>
          <w:color w:val="000000"/>
        </w:rPr>
        <w:t>ns</w:t>
      </w:r>
      <w:r w:rsidRPr="00AA552A">
        <w:rPr>
          <w:rFonts w:cs="Cambria"/>
          <w:color w:val="000000"/>
          <w:spacing w:val="1"/>
        </w:rPr>
        <w:t>i</w:t>
      </w:r>
      <w:r w:rsidRPr="00AA552A">
        <w:rPr>
          <w:rFonts w:cs="Cambria"/>
          <w:color w:val="000000"/>
          <w:spacing w:val="-1"/>
        </w:rPr>
        <w:t>v</w:t>
      </w:r>
      <w:r w:rsidRPr="00AA552A">
        <w:rPr>
          <w:rFonts w:cs="Cambria"/>
          <w:color w:val="000000"/>
        </w:rPr>
        <w:t>e</w:t>
      </w:r>
      <w:r w:rsidRPr="00AA552A">
        <w:rPr>
          <w:rFonts w:cs="Cambria"/>
          <w:color w:val="000000"/>
          <w:spacing w:val="-10"/>
        </w:rPr>
        <w:t xml:space="preserve"> </w:t>
      </w:r>
      <w:r w:rsidRPr="00AA552A">
        <w:rPr>
          <w:rFonts w:cs="Cambria"/>
          <w:color w:val="000000"/>
          <w:spacing w:val="1"/>
        </w:rPr>
        <w:t>E</w:t>
      </w:r>
      <w:r w:rsidRPr="00AA552A">
        <w:rPr>
          <w:rFonts w:cs="Cambria"/>
          <w:color w:val="000000"/>
        </w:rPr>
        <w:t>cos</w:t>
      </w:r>
      <w:r w:rsidRPr="00AA552A">
        <w:rPr>
          <w:rFonts w:cs="Cambria"/>
          <w:color w:val="000000"/>
          <w:spacing w:val="-1"/>
        </w:rPr>
        <w:t>y</w:t>
      </w:r>
      <w:r w:rsidRPr="00AA552A">
        <w:rPr>
          <w:rFonts w:cs="Cambria"/>
          <w:color w:val="000000"/>
        </w:rPr>
        <w:t>st</w:t>
      </w:r>
      <w:r w:rsidRPr="00AA552A">
        <w:rPr>
          <w:rFonts w:cs="Cambria"/>
          <w:color w:val="000000"/>
          <w:spacing w:val="1"/>
        </w:rPr>
        <w:t>e</w:t>
      </w:r>
      <w:r w:rsidRPr="00AA552A">
        <w:rPr>
          <w:rFonts w:cs="Cambria"/>
          <w:color w:val="000000"/>
        </w:rPr>
        <w:t>m</w:t>
      </w:r>
      <w:r w:rsidRPr="00AA552A">
        <w:rPr>
          <w:rFonts w:cs="Cambria"/>
          <w:color w:val="000000"/>
          <w:spacing w:val="-7"/>
        </w:rPr>
        <w:t xml:space="preserve"> </w:t>
      </w:r>
      <w:r w:rsidRPr="00AA552A">
        <w:rPr>
          <w:rFonts w:cs="Cambria"/>
          <w:color w:val="000000"/>
          <w:spacing w:val="-1"/>
        </w:rPr>
        <w:t>A</w:t>
      </w:r>
      <w:r w:rsidRPr="00AA552A">
        <w:rPr>
          <w:rFonts w:cs="Cambria"/>
          <w:color w:val="000000"/>
        </w:rPr>
        <w:t>m</w:t>
      </w:r>
      <w:r w:rsidRPr="00AA552A">
        <w:rPr>
          <w:rFonts w:cs="Cambria"/>
          <w:color w:val="000000"/>
          <w:spacing w:val="1"/>
        </w:rPr>
        <w:t>e</w:t>
      </w:r>
      <w:r w:rsidRPr="00AA552A">
        <w:rPr>
          <w:rFonts w:cs="Cambria"/>
          <w:color w:val="000000"/>
        </w:rPr>
        <w:t>n</w:t>
      </w:r>
      <w:r w:rsidRPr="00AA552A">
        <w:rPr>
          <w:rFonts w:cs="Cambria"/>
          <w:color w:val="000000"/>
          <w:spacing w:val="-1"/>
        </w:rPr>
        <w:t>d</w:t>
      </w:r>
      <w:r w:rsidRPr="00AA552A">
        <w:rPr>
          <w:rFonts w:cs="Cambria"/>
          <w:color w:val="000000"/>
        </w:rPr>
        <w:t>m</w:t>
      </w:r>
      <w:r w:rsidRPr="00AA552A">
        <w:rPr>
          <w:rFonts w:cs="Cambria"/>
          <w:color w:val="000000"/>
          <w:spacing w:val="1"/>
        </w:rPr>
        <w:t>e</w:t>
      </w:r>
      <w:r w:rsidRPr="00AA552A">
        <w:rPr>
          <w:rFonts w:cs="Cambria"/>
          <w:color w:val="000000"/>
        </w:rPr>
        <w:t>nt:</w:t>
      </w:r>
    </w:p>
    <w:p w14:paraId="3AFE5F73" w14:textId="77777777" w:rsidR="00DC4922" w:rsidRPr="00416614" w:rsidRDefault="00DC4922" w:rsidP="00DC4922">
      <w:pPr>
        <w:rPr>
          <w:color w:val="000000"/>
        </w:rPr>
      </w:pPr>
    </w:p>
    <w:p w14:paraId="4BA0922C" w14:textId="77777777" w:rsidR="00DC4922" w:rsidRPr="00EB603B" w:rsidRDefault="00DC4922" w:rsidP="00DC4922">
      <w:pPr>
        <w:rPr>
          <w:b/>
          <w:color w:val="000000"/>
        </w:rPr>
      </w:pPr>
      <w:r w:rsidRPr="00EB603B">
        <w:rPr>
          <w:b/>
          <w:color w:val="000000"/>
          <w:spacing w:val="1"/>
        </w:rPr>
        <w:t>S</w:t>
      </w:r>
      <w:r w:rsidRPr="00EB603B">
        <w:rPr>
          <w:b/>
          <w:color w:val="000000"/>
        </w:rPr>
        <w:t>n</w:t>
      </w:r>
      <w:r w:rsidRPr="00EB603B">
        <w:rPr>
          <w:b/>
          <w:color w:val="000000"/>
          <w:spacing w:val="1"/>
        </w:rPr>
        <w:t>a</w:t>
      </w:r>
      <w:r w:rsidRPr="00EB603B">
        <w:rPr>
          <w:b/>
          <w:color w:val="000000"/>
        </w:rPr>
        <w:t>pp</w:t>
      </w:r>
      <w:r w:rsidRPr="00EB603B">
        <w:rPr>
          <w:b/>
          <w:color w:val="000000"/>
          <w:spacing w:val="1"/>
        </w:rPr>
        <w:t>e</w:t>
      </w:r>
      <w:r w:rsidRPr="00EB603B">
        <w:rPr>
          <w:b/>
          <w:color w:val="000000"/>
        </w:rPr>
        <w:t>r</w:t>
      </w:r>
      <w:r w:rsidRPr="00EB603B">
        <w:rPr>
          <w:b/>
          <w:color w:val="000000"/>
          <w:spacing w:val="1"/>
        </w:rPr>
        <w:t xml:space="preserve"> </w:t>
      </w:r>
      <w:r w:rsidRPr="00EB603B">
        <w:rPr>
          <w:b/>
          <w:color w:val="000000"/>
        </w:rPr>
        <w:t>Group</w:t>
      </w:r>
      <w:r w:rsidRPr="00EB603B">
        <w:rPr>
          <w:b/>
          <w:color w:val="000000"/>
          <w:spacing w:val="-1"/>
        </w:rPr>
        <w:t>e</w:t>
      </w:r>
      <w:r w:rsidRPr="00EB603B">
        <w:rPr>
          <w:b/>
          <w:color w:val="000000"/>
        </w:rPr>
        <w:t>r</w:t>
      </w:r>
      <w:r w:rsidRPr="00EB603B">
        <w:rPr>
          <w:b/>
          <w:color w:val="000000"/>
          <w:spacing w:val="1"/>
        </w:rPr>
        <w:t xml:space="preserve"> </w:t>
      </w:r>
      <w:r w:rsidRPr="00EB603B">
        <w:rPr>
          <w:b/>
          <w:color w:val="000000"/>
        </w:rPr>
        <w:t>F</w:t>
      </w:r>
      <w:r w:rsidRPr="00EB603B">
        <w:rPr>
          <w:b/>
          <w:color w:val="000000"/>
          <w:spacing w:val="-1"/>
        </w:rPr>
        <w:t>M</w:t>
      </w:r>
      <w:r w:rsidRPr="00EB603B">
        <w:rPr>
          <w:b/>
          <w:color w:val="000000"/>
        </w:rPr>
        <w:t>P</w:t>
      </w:r>
    </w:p>
    <w:p w14:paraId="6A148231" w14:textId="77777777" w:rsidR="00DC4922" w:rsidRPr="00AA552A" w:rsidRDefault="00DC4922" w:rsidP="00640526">
      <w:pPr>
        <w:ind w:firstLine="360"/>
        <w:rPr>
          <w:rFonts w:cs="Cambria"/>
          <w:color w:val="000000"/>
        </w:rPr>
      </w:pP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nt</w:t>
      </w:r>
      <w:r w:rsidRPr="00AA552A">
        <w:rPr>
          <w:rFonts w:cs="Cambria"/>
          <w:color w:val="000000"/>
          <w:spacing w:val="1"/>
        </w:rPr>
        <w:t>i</w:t>
      </w:r>
      <w:r w:rsidRPr="00AA552A">
        <w:rPr>
          <w:rFonts w:cs="Cambria"/>
          <w:color w:val="000000"/>
        </w:rPr>
        <w:t>al</w:t>
      </w:r>
      <w:r w:rsidRPr="00AA552A">
        <w:rPr>
          <w:rFonts w:cs="Cambria"/>
          <w:color w:val="000000"/>
          <w:spacing w:val="-4"/>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ha</w:t>
      </w:r>
      <w:r w:rsidRPr="00AA552A">
        <w:rPr>
          <w:rFonts w:cs="Cambria"/>
          <w:color w:val="000000"/>
          <w:spacing w:val="-2"/>
        </w:rPr>
        <w:t>b</w:t>
      </w:r>
      <w:r w:rsidRPr="00AA552A">
        <w:rPr>
          <w:rFonts w:cs="Cambria"/>
          <w:color w:val="000000"/>
          <w:spacing w:val="1"/>
        </w:rPr>
        <w:t>i</w:t>
      </w:r>
      <w:r w:rsidRPr="00AA552A">
        <w:rPr>
          <w:rFonts w:cs="Cambria"/>
          <w:color w:val="000000"/>
        </w:rPr>
        <w:t>tat</w:t>
      </w:r>
      <w:r w:rsidRPr="00AA552A">
        <w:rPr>
          <w:rFonts w:cs="Cambria"/>
          <w:color w:val="000000"/>
          <w:spacing w:val="-2"/>
        </w:rPr>
        <w:t xml:space="preserve"> </w:t>
      </w:r>
      <w:r w:rsidRPr="00AA552A">
        <w:rPr>
          <w:rFonts w:cs="Cambria"/>
          <w:color w:val="000000"/>
          <w:spacing w:val="-1"/>
        </w:rPr>
        <w:t>f</w:t>
      </w:r>
      <w:r w:rsidRPr="00AA552A">
        <w:rPr>
          <w:rFonts w:cs="Cambria"/>
          <w:color w:val="000000"/>
          <w:spacing w:val="-3"/>
        </w:rPr>
        <w:t>o</w:t>
      </w:r>
      <w:r w:rsidRPr="00AA552A">
        <w:rPr>
          <w:rFonts w:cs="Cambria"/>
          <w:color w:val="000000"/>
        </w:rPr>
        <w:t>r</w:t>
      </w:r>
      <w:r w:rsidRPr="00AA552A">
        <w:rPr>
          <w:rFonts w:cs="Cambria"/>
          <w:color w:val="000000"/>
          <w:spacing w:val="-4"/>
        </w:rPr>
        <w:t xml:space="preserve"> </w:t>
      </w:r>
      <w:r w:rsidRPr="00AA552A">
        <w:rPr>
          <w:rFonts w:cs="Cambria"/>
          <w:color w:val="000000"/>
        </w:rPr>
        <w:t>sna</w:t>
      </w:r>
      <w:r w:rsidRPr="00AA552A">
        <w:rPr>
          <w:rFonts w:cs="Cambria"/>
          <w:color w:val="000000"/>
          <w:spacing w:val="1"/>
        </w:rPr>
        <w:t>ppe</w:t>
      </w:r>
      <w:r w:rsidRPr="00AA552A">
        <w:rPr>
          <w:rFonts w:cs="Cambria"/>
          <w:color w:val="000000"/>
          <w:spacing w:val="-1"/>
        </w:rPr>
        <w:t>r</w:t>
      </w:r>
      <w:r>
        <w:rPr>
          <w:rFonts w:cs="Cambria"/>
          <w:color w:val="000000"/>
        </w:rPr>
        <w:t xml:space="preserve"> </w:t>
      </w:r>
      <w:r w:rsidRPr="00AA552A">
        <w:rPr>
          <w:rFonts w:cs="Cambria"/>
          <w:color w:val="000000"/>
          <w:spacing w:val="-1"/>
        </w:rPr>
        <w:t>gr</w:t>
      </w:r>
      <w:r w:rsidRPr="00AA552A">
        <w:rPr>
          <w:rFonts w:cs="Cambria"/>
          <w:color w:val="000000"/>
        </w:rPr>
        <w:t>o</w:t>
      </w:r>
      <w:r w:rsidRPr="00AA552A">
        <w:rPr>
          <w:rFonts w:cs="Cambria"/>
          <w:color w:val="000000"/>
          <w:spacing w:val="-1"/>
        </w:rPr>
        <w:t>u</w:t>
      </w:r>
      <w:r w:rsidRPr="00AA552A">
        <w:rPr>
          <w:rFonts w:cs="Cambria"/>
          <w:color w:val="000000"/>
          <w:spacing w:val="1"/>
        </w:rPr>
        <w:t>pe</w:t>
      </w:r>
      <w:r w:rsidRPr="00AA552A">
        <w:rPr>
          <w:rFonts w:cs="Cambria"/>
          <w:color w:val="000000"/>
        </w:rPr>
        <w:t>r</w:t>
      </w:r>
      <w:r w:rsidRPr="00AA552A">
        <w:rPr>
          <w:rFonts w:cs="Cambria"/>
          <w:color w:val="000000"/>
          <w:spacing w:val="-9"/>
        </w:rPr>
        <w:t xml:space="preserve"> </w:t>
      </w:r>
      <w:r w:rsidRPr="00AA552A">
        <w:rPr>
          <w:rFonts w:cs="Cambria"/>
          <w:color w:val="000000"/>
        </w:rPr>
        <w:t>s</w:t>
      </w:r>
      <w:r w:rsidRPr="00AA552A">
        <w:rPr>
          <w:rFonts w:cs="Cambria"/>
          <w:color w:val="000000"/>
          <w:spacing w:val="1"/>
        </w:rPr>
        <w:t>pe</w:t>
      </w:r>
      <w:r w:rsidRPr="00AA552A">
        <w:rPr>
          <w:rFonts w:cs="Cambria"/>
          <w:color w:val="000000"/>
        </w:rPr>
        <w:t>c</w:t>
      </w:r>
      <w:r w:rsidRPr="00AA552A">
        <w:rPr>
          <w:rFonts w:cs="Cambria"/>
          <w:color w:val="000000"/>
          <w:spacing w:val="1"/>
        </w:rPr>
        <w:t>ie</w:t>
      </w:r>
      <w:r w:rsidRPr="00AA552A">
        <w:rPr>
          <w:rFonts w:cs="Cambria"/>
          <w:color w:val="000000"/>
        </w:rPr>
        <w:t>s</w:t>
      </w:r>
      <w:r w:rsidRPr="00AA552A">
        <w:rPr>
          <w:rFonts w:cs="Cambria"/>
          <w:color w:val="000000"/>
          <w:spacing w:val="-6"/>
        </w:rPr>
        <w:t xml:space="preserve"> </w:t>
      </w:r>
      <w:r w:rsidRPr="00AA552A">
        <w:rPr>
          <w:rFonts w:cs="Cambria"/>
          <w:color w:val="000000"/>
          <w:spacing w:val="1"/>
        </w:rPr>
        <w:t>i</w:t>
      </w:r>
      <w:r w:rsidRPr="00AA552A">
        <w:rPr>
          <w:rFonts w:cs="Cambria"/>
          <w:color w:val="000000"/>
        </w:rPr>
        <w:t>ncl</w:t>
      </w:r>
      <w:r w:rsidRPr="00AA552A">
        <w:rPr>
          <w:rFonts w:cs="Cambria"/>
          <w:color w:val="000000"/>
          <w:spacing w:val="-1"/>
        </w:rPr>
        <w:t>ud</w:t>
      </w:r>
      <w:r w:rsidRPr="00AA552A">
        <w:rPr>
          <w:rFonts w:cs="Cambria"/>
          <w:color w:val="000000"/>
          <w:spacing w:val="1"/>
        </w:rPr>
        <w:t>e</w:t>
      </w:r>
      <w:r w:rsidRPr="00AA552A">
        <w:rPr>
          <w:rFonts w:cs="Cambria"/>
          <w:color w:val="000000"/>
        </w:rPr>
        <w:t>s</w:t>
      </w:r>
      <w:r w:rsidRPr="00AA552A">
        <w:rPr>
          <w:rFonts w:cs="Cambria"/>
          <w:color w:val="000000"/>
          <w:spacing w:val="-5"/>
        </w:rPr>
        <w:t xml:space="preserve"> </w:t>
      </w:r>
      <w:r w:rsidRPr="00AA552A">
        <w:rPr>
          <w:rFonts w:cs="Cambria"/>
          <w:color w:val="000000"/>
        </w:rPr>
        <w:t>co</w:t>
      </w:r>
      <w:r w:rsidRPr="00AA552A">
        <w:rPr>
          <w:rFonts w:cs="Cambria"/>
          <w:color w:val="000000"/>
          <w:spacing w:val="-1"/>
        </w:rPr>
        <w:t>r</w:t>
      </w:r>
      <w:r w:rsidRPr="00AA552A">
        <w:rPr>
          <w:rFonts w:cs="Cambria"/>
          <w:color w:val="000000"/>
        </w:rPr>
        <w:t>al</w:t>
      </w:r>
      <w:r w:rsidRPr="00AA552A">
        <w:rPr>
          <w:rFonts w:cs="Cambria"/>
          <w:color w:val="000000"/>
          <w:spacing w:val="-3"/>
        </w:rPr>
        <w:t xml:space="preserve"> </w:t>
      </w:r>
      <w:r w:rsidRPr="00AA552A">
        <w:rPr>
          <w:rFonts w:cs="Cambria"/>
          <w:color w:val="000000"/>
          <w:spacing w:val="-1"/>
        </w:rPr>
        <w:t>r</w:t>
      </w:r>
      <w:r w:rsidRPr="00AA552A">
        <w:rPr>
          <w:rFonts w:cs="Cambria"/>
          <w:color w:val="000000"/>
          <w:spacing w:val="1"/>
        </w:rPr>
        <w:t>ee</w:t>
      </w:r>
      <w:r w:rsidRPr="00AA552A">
        <w:rPr>
          <w:rFonts w:cs="Cambria"/>
          <w:color w:val="000000"/>
          <w:spacing w:val="-1"/>
        </w:rPr>
        <w:t>f</w:t>
      </w:r>
      <w:r w:rsidRPr="00AA552A">
        <w:rPr>
          <w:rFonts w:cs="Cambria"/>
          <w:color w:val="000000"/>
        </w:rPr>
        <w:t>s,</w:t>
      </w:r>
      <w:r w:rsidRPr="00AA552A">
        <w:rPr>
          <w:rFonts w:cs="Cambria"/>
          <w:color w:val="000000"/>
          <w:spacing w:val="-4"/>
        </w:rPr>
        <w:t xml:space="preserve"> </w:t>
      </w:r>
      <w:r w:rsidRPr="00AA552A">
        <w:rPr>
          <w:rFonts w:cs="Cambria"/>
          <w:color w:val="000000"/>
        </w:rPr>
        <w:t>l</w:t>
      </w:r>
      <w:r w:rsidRPr="00AA552A">
        <w:rPr>
          <w:rFonts w:cs="Cambria"/>
          <w:color w:val="000000"/>
          <w:spacing w:val="1"/>
        </w:rPr>
        <w:t>i</w:t>
      </w:r>
      <w:r w:rsidRPr="00AA552A">
        <w:rPr>
          <w:rFonts w:cs="Cambria"/>
          <w:color w:val="000000"/>
          <w:spacing w:val="-1"/>
        </w:rPr>
        <w:t>v</w:t>
      </w:r>
      <w:r w:rsidRPr="00AA552A">
        <w:rPr>
          <w:rFonts w:cs="Cambria"/>
          <w:color w:val="000000"/>
          <w:spacing w:val="1"/>
        </w:rPr>
        <w:t>e</w:t>
      </w:r>
      <w:r w:rsidRPr="00AA552A">
        <w:rPr>
          <w:rFonts w:cs="Cambria"/>
          <w:color w:val="000000"/>
        </w:rPr>
        <w:t>/ha</w:t>
      </w:r>
      <w:r w:rsidRPr="00AA552A">
        <w:rPr>
          <w:rFonts w:cs="Cambria"/>
          <w:color w:val="000000"/>
          <w:spacing w:val="-1"/>
        </w:rPr>
        <w:t>r</w:t>
      </w:r>
      <w:r w:rsidRPr="00AA552A">
        <w:rPr>
          <w:rFonts w:cs="Cambria"/>
          <w:color w:val="000000"/>
        </w:rPr>
        <w:t>d</w:t>
      </w:r>
      <w:r w:rsidRPr="00AA552A">
        <w:rPr>
          <w:rFonts w:cs="Cambria"/>
          <w:color w:val="000000"/>
          <w:spacing w:val="-8"/>
        </w:rPr>
        <w:t xml:space="preserve"> </w:t>
      </w:r>
      <w:r w:rsidRPr="00AA552A">
        <w:rPr>
          <w:rFonts w:cs="Cambria"/>
          <w:color w:val="000000"/>
          <w:spacing w:val="1"/>
        </w:rPr>
        <w:t>b</w:t>
      </w:r>
      <w:r w:rsidRPr="00AA552A">
        <w:rPr>
          <w:rFonts w:cs="Cambria"/>
          <w:color w:val="000000"/>
        </w:rPr>
        <w:t>ottom, s</w:t>
      </w:r>
      <w:r w:rsidRPr="00AA552A">
        <w:rPr>
          <w:rFonts w:cs="Cambria"/>
          <w:color w:val="000000"/>
          <w:spacing w:val="-1"/>
        </w:rPr>
        <w:t>u</w:t>
      </w:r>
      <w:r w:rsidRPr="00AA552A">
        <w:rPr>
          <w:rFonts w:cs="Cambria"/>
          <w:color w:val="000000"/>
          <w:spacing w:val="1"/>
        </w:rPr>
        <w:t>b</w:t>
      </w:r>
      <w:r w:rsidRPr="00AA552A">
        <w:rPr>
          <w:rFonts w:cs="Cambria"/>
          <w:color w:val="000000"/>
        </w:rPr>
        <w:t>m</w:t>
      </w:r>
      <w:r w:rsidRPr="00AA552A">
        <w:rPr>
          <w:rFonts w:cs="Cambria"/>
          <w:color w:val="000000"/>
          <w:spacing w:val="1"/>
        </w:rPr>
        <w:t>e</w:t>
      </w:r>
      <w:r w:rsidRPr="00AA552A">
        <w:rPr>
          <w:rFonts w:cs="Cambria"/>
          <w:color w:val="000000"/>
          <w:spacing w:val="-1"/>
        </w:rPr>
        <w:t>rg</w:t>
      </w:r>
      <w:r w:rsidRPr="00AA552A">
        <w:rPr>
          <w:rFonts w:cs="Cambria"/>
          <w:color w:val="000000"/>
          <w:spacing w:val="1"/>
        </w:rPr>
        <w:t>e</w:t>
      </w:r>
      <w:r w:rsidRPr="00AA552A">
        <w:rPr>
          <w:rFonts w:cs="Cambria"/>
          <w:color w:val="000000"/>
        </w:rPr>
        <w:t>d</w:t>
      </w:r>
      <w:r w:rsidRPr="00AA552A">
        <w:rPr>
          <w:rFonts w:cs="Cambria"/>
          <w:color w:val="000000"/>
          <w:spacing w:val="-7"/>
        </w:rPr>
        <w:t xml:space="preserve"> </w:t>
      </w:r>
      <w:r w:rsidRPr="00AA552A">
        <w:rPr>
          <w:rFonts w:cs="Cambria"/>
          <w:color w:val="000000"/>
        </w:rPr>
        <w:t>a</w:t>
      </w:r>
      <w:r w:rsidRPr="00AA552A">
        <w:rPr>
          <w:rFonts w:cs="Cambria"/>
          <w:color w:val="000000"/>
          <w:spacing w:val="1"/>
        </w:rPr>
        <w:t>q</w:t>
      </w:r>
      <w:r w:rsidRPr="00AA552A">
        <w:rPr>
          <w:rFonts w:cs="Cambria"/>
          <w:color w:val="000000"/>
          <w:spacing w:val="-1"/>
        </w:rPr>
        <w:t>u</w:t>
      </w:r>
      <w:r w:rsidRPr="00AA552A">
        <w:rPr>
          <w:rFonts w:cs="Cambria"/>
          <w:color w:val="000000"/>
        </w:rPr>
        <w:t>at</w:t>
      </w:r>
      <w:r w:rsidRPr="00AA552A">
        <w:rPr>
          <w:rFonts w:cs="Cambria"/>
          <w:color w:val="000000"/>
          <w:spacing w:val="1"/>
        </w:rPr>
        <w:t>i</w:t>
      </w:r>
      <w:r w:rsidRPr="00AA552A">
        <w:rPr>
          <w:rFonts w:cs="Cambria"/>
          <w:color w:val="000000"/>
        </w:rPr>
        <w:t>c</w:t>
      </w:r>
      <w:r w:rsidRPr="00AA552A">
        <w:rPr>
          <w:rFonts w:cs="Cambria"/>
          <w:color w:val="000000"/>
          <w:spacing w:val="-3"/>
        </w:rPr>
        <w:t xml:space="preserve"> </w:t>
      </w:r>
      <w:r w:rsidRPr="00AA552A">
        <w:rPr>
          <w:rFonts w:cs="Cambria"/>
          <w:color w:val="000000"/>
          <w:spacing w:val="-1"/>
        </w:rPr>
        <w:t>v</w:t>
      </w:r>
      <w:r w:rsidRPr="00AA552A">
        <w:rPr>
          <w:rFonts w:cs="Cambria"/>
          <w:color w:val="000000"/>
          <w:spacing w:val="1"/>
        </w:rPr>
        <w:t>ege</w:t>
      </w:r>
      <w:r w:rsidRPr="00AA552A">
        <w:rPr>
          <w:rFonts w:cs="Cambria"/>
          <w:color w:val="000000"/>
        </w:rPr>
        <w:t>tat</w:t>
      </w:r>
      <w:r w:rsidRPr="00AA552A">
        <w:rPr>
          <w:rFonts w:cs="Cambria"/>
          <w:color w:val="000000"/>
          <w:spacing w:val="1"/>
        </w:rPr>
        <w:t>i</w:t>
      </w:r>
      <w:r w:rsidRPr="00AA552A">
        <w:rPr>
          <w:rFonts w:cs="Cambria"/>
          <w:color w:val="000000"/>
        </w:rPr>
        <w:t>o</w:t>
      </w:r>
      <w:r w:rsidRPr="00AA552A">
        <w:rPr>
          <w:rFonts w:cs="Cambria"/>
          <w:color w:val="000000"/>
          <w:spacing w:val="-2"/>
        </w:rPr>
        <w:t>n</w:t>
      </w:r>
      <w:r w:rsidRPr="00AA552A">
        <w:rPr>
          <w:rFonts w:cs="Cambria"/>
          <w:color w:val="000000"/>
        </w:rPr>
        <w:t>,</w:t>
      </w:r>
      <w:r w:rsidRPr="00AA552A">
        <w:rPr>
          <w:rFonts w:cs="Cambria"/>
          <w:color w:val="000000"/>
          <w:spacing w:val="-4"/>
        </w:rPr>
        <w:t xml:space="preserve"> </w:t>
      </w:r>
      <w:r w:rsidRPr="00AA552A">
        <w:rPr>
          <w:rFonts w:cs="Cambria"/>
          <w:color w:val="000000"/>
        </w:rPr>
        <w:t>a</w:t>
      </w:r>
      <w:r w:rsidRPr="00AA552A">
        <w:rPr>
          <w:rFonts w:cs="Cambria"/>
          <w:color w:val="000000"/>
          <w:spacing w:val="-1"/>
        </w:rPr>
        <w:t>r</w:t>
      </w:r>
      <w:r w:rsidRPr="00AA552A">
        <w:rPr>
          <w:rFonts w:cs="Cambria"/>
          <w:color w:val="000000"/>
        </w:rPr>
        <w:t>t</w:t>
      </w:r>
      <w:r w:rsidRPr="00AA552A">
        <w:rPr>
          <w:rFonts w:cs="Cambria"/>
          <w:color w:val="000000"/>
          <w:spacing w:val="1"/>
        </w:rPr>
        <w:t>i</w:t>
      </w:r>
      <w:r w:rsidRPr="00AA552A">
        <w:rPr>
          <w:rFonts w:cs="Cambria"/>
          <w:color w:val="000000"/>
          <w:spacing w:val="-1"/>
        </w:rPr>
        <w:t>f</w:t>
      </w:r>
      <w:r w:rsidRPr="00AA552A">
        <w:rPr>
          <w:rFonts w:cs="Cambria"/>
          <w:color w:val="000000"/>
          <w:spacing w:val="1"/>
        </w:rPr>
        <w:t>i</w:t>
      </w:r>
      <w:r w:rsidRPr="00AA552A">
        <w:rPr>
          <w:rFonts w:cs="Cambria"/>
          <w:color w:val="000000"/>
        </w:rPr>
        <w:t>c</w:t>
      </w:r>
      <w:r w:rsidRPr="00AA552A">
        <w:rPr>
          <w:rFonts w:cs="Cambria"/>
          <w:color w:val="000000"/>
          <w:spacing w:val="1"/>
        </w:rPr>
        <w:t>i</w:t>
      </w:r>
      <w:r w:rsidRPr="00AA552A">
        <w:rPr>
          <w:rFonts w:cs="Cambria"/>
          <w:color w:val="000000"/>
        </w:rPr>
        <w:t>al</w:t>
      </w:r>
      <w:r w:rsidRPr="00AA552A">
        <w:rPr>
          <w:rFonts w:cs="Cambria"/>
          <w:color w:val="000000"/>
          <w:spacing w:val="-5"/>
        </w:rPr>
        <w:t xml:space="preserve"> </w:t>
      </w:r>
      <w:r w:rsidRPr="00AA552A">
        <w:rPr>
          <w:rFonts w:cs="Cambria"/>
          <w:color w:val="000000"/>
          <w:spacing w:val="-1"/>
        </w:rPr>
        <w:t>r</w:t>
      </w:r>
      <w:r w:rsidRPr="00AA552A">
        <w:rPr>
          <w:rFonts w:cs="Cambria"/>
          <w:color w:val="000000"/>
          <w:spacing w:val="1"/>
        </w:rPr>
        <w:t>ee</w:t>
      </w:r>
      <w:r w:rsidRPr="00AA552A">
        <w:rPr>
          <w:rFonts w:cs="Cambria"/>
          <w:color w:val="000000"/>
          <w:spacing w:val="-1"/>
        </w:rPr>
        <w:t>f</w:t>
      </w:r>
      <w:r w:rsidRPr="00AA552A">
        <w:rPr>
          <w:rFonts w:cs="Cambria"/>
          <w:color w:val="000000"/>
        </w:rPr>
        <w:t>s</w:t>
      </w:r>
      <w:r>
        <w:rPr>
          <w:rFonts w:cs="Cambria"/>
          <w:color w:val="000000"/>
        </w:rPr>
        <w:t>,</w:t>
      </w:r>
      <w:r w:rsidRPr="00AA552A">
        <w:rPr>
          <w:rFonts w:cs="Cambria"/>
          <w:color w:val="000000"/>
          <w:spacing w:val="-5"/>
        </w:rPr>
        <w:t xml:space="preserve"> </w:t>
      </w:r>
      <w:r w:rsidRPr="00AA552A">
        <w:rPr>
          <w:rFonts w:cs="Cambria"/>
          <w:color w:val="000000"/>
          <w:spacing w:val="-2"/>
        </w:rPr>
        <w:t>a</w:t>
      </w:r>
      <w:r w:rsidRPr="00AA552A">
        <w:rPr>
          <w:rFonts w:cs="Cambria"/>
          <w:color w:val="000000"/>
        </w:rPr>
        <w:t>nd</w:t>
      </w:r>
      <w:r w:rsidRPr="00AA552A">
        <w:rPr>
          <w:rFonts w:cs="Cambria"/>
          <w:color w:val="000000"/>
          <w:spacing w:val="-2"/>
        </w:rPr>
        <w:t xml:space="preserve"> </w:t>
      </w:r>
      <w:r w:rsidRPr="00AA552A">
        <w:rPr>
          <w:rFonts w:cs="Cambria"/>
          <w:color w:val="000000"/>
        </w:rPr>
        <w:t>m</w:t>
      </w:r>
      <w:r w:rsidRPr="00AA552A">
        <w:rPr>
          <w:rFonts w:cs="Cambria"/>
          <w:color w:val="000000"/>
          <w:spacing w:val="1"/>
        </w:rPr>
        <w:t>e</w:t>
      </w:r>
      <w:r w:rsidRPr="00AA552A">
        <w:rPr>
          <w:rFonts w:cs="Cambria"/>
          <w:color w:val="000000"/>
          <w:spacing w:val="-1"/>
        </w:rPr>
        <w:t>d</w:t>
      </w:r>
      <w:r w:rsidRPr="00AA552A">
        <w:rPr>
          <w:rFonts w:cs="Cambria"/>
          <w:color w:val="000000"/>
          <w:spacing w:val="1"/>
        </w:rPr>
        <w:t>i</w:t>
      </w:r>
      <w:r w:rsidRPr="00AA552A">
        <w:rPr>
          <w:rFonts w:cs="Cambria"/>
          <w:color w:val="000000"/>
          <w:spacing w:val="-1"/>
        </w:rPr>
        <w:t>u</w:t>
      </w:r>
      <w:r w:rsidRPr="00AA552A">
        <w:rPr>
          <w:rFonts w:cs="Cambria"/>
          <w:color w:val="000000"/>
        </w:rPr>
        <w:t>m</w:t>
      </w:r>
      <w:r w:rsidRPr="00AA552A">
        <w:rPr>
          <w:rFonts w:cs="Cambria"/>
          <w:color w:val="000000"/>
          <w:spacing w:val="-3"/>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h</w:t>
      </w:r>
      <w:r w:rsidRPr="00AA552A">
        <w:rPr>
          <w:rFonts w:cs="Cambria"/>
          <w:color w:val="000000"/>
          <w:spacing w:val="1"/>
        </w:rPr>
        <w:t>ig</w:t>
      </w:r>
      <w:r w:rsidRPr="00AA552A">
        <w:rPr>
          <w:rFonts w:cs="Cambria"/>
          <w:color w:val="000000"/>
        </w:rPr>
        <w:t>h</w:t>
      </w:r>
      <w:r w:rsidRPr="00AA552A">
        <w:rPr>
          <w:rFonts w:cs="Cambria"/>
          <w:color w:val="000000"/>
          <w:spacing w:val="-3"/>
        </w:rPr>
        <w:t xml:space="preserve"> </w:t>
      </w:r>
      <w:r w:rsidRPr="00AA552A">
        <w:rPr>
          <w:rFonts w:cs="Cambria"/>
          <w:color w:val="000000"/>
          <w:spacing w:val="1"/>
        </w:rPr>
        <w:t>p</w:t>
      </w:r>
      <w:r w:rsidRPr="00AA552A">
        <w:rPr>
          <w:rFonts w:cs="Cambria"/>
          <w:color w:val="000000"/>
          <w:spacing w:val="-1"/>
        </w:rPr>
        <w:t>r</w:t>
      </w:r>
      <w:r w:rsidRPr="00AA552A">
        <w:rPr>
          <w:rFonts w:cs="Cambria"/>
          <w:color w:val="000000"/>
        </w:rPr>
        <w:t>o</w:t>
      </w:r>
      <w:r w:rsidRPr="00AA552A">
        <w:rPr>
          <w:rFonts w:cs="Cambria"/>
          <w:color w:val="000000"/>
          <w:spacing w:val="2"/>
        </w:rPr>
        <w:t>f</w:t>
      </w:r>
      <w:r w:rsidRPr="00AA552A">
        <w:rPr>
          <w:rFonts w:cs="Cambria"/>
          <w:color w:val="000000"/>
          <w:spacing w:val="1"/>
        </w:rPr>
        <w:t>i</w:t>
      </w:r>
      <w:r w:rsidRPr="00AA552A">
        <w:rPr>
          <w:rFonts w:cs="Cambria"/>
          <w:color w:val="000000"/>
        </w:rPr>
        <w:t>le</w:t>
      </w:r>
      <w:r w:rsidRPr="00AA552A">
        <w:rPr>
          <w:rFonts w:cs="Cambria"/>
          <w:color w:val="000000"/>
          <w:spacing w:val="-4"/>
        </w:rPr>
        <w:t xml:space="preserve"> </w:t>
      </w:r>
      <w:r w:rsidRPr="00AA552A">
        <w:rPr>
          <w:rFonts w:cs="Cambria"/>
          <w:color w:val="000000"/>
        </w:rPr>
        <w:t>o</w:t>
      </w:r>
      <w:r w:rsidRPr="00AA552A">
        <w:rPr>
          <w:rFonts w:cs="Cambria"/>
          <w:color w:val="000000"/>
          <w:spacing w:val="-1"/>
        </w:rPr>
        <w:t>u</w:t>
      </w:r>
      <w:r w:rsidRPr="00AA552A">
        <w:rPr>
          <w:rFonts w:cs="Cambria"/>
          <w:color w:val="000000"/>
        </w:rPr>
        <w:t>tc</w:t>
      </w:r>
      <w:r w:rsidRPr="00AA552A">
        <w:rPr>
          <w:rFonts w:cs="Cambria"/>
          <w:color w:val="000000"/>
          <w:spacing w:val="-1"/>
        </w:rPr>
        <w:t>r</w:t>
      </w:r>
      <w:r w:rsidRPr="00AA552A">
        <w:rPr>
          <w:rFonts w:cs="Cambria"/>
          <w:color w:val="000000"/>
        </w:rPr>
        <w:t>o</w:t>
      </w:r>
      <w:r w:rsidRPr="00AA552A">
        <w:rPr>
          <w:rFonts w:cs="Cambria"/>
          <w:color w:val="000000"/>
          <w:spacing w:val="1"/>
        </w:rPr>
        <w:t>ppi</w:t>
      </w:r>
      <w:r w:rsidRPr="00AA552A">
        <w:rPr>
          <w:rFonts w:cs="Cambria"/>
          <w:color w:val="000000"/>
        </w:rPr>
        <w:t>n</w:t>
      </w:r>
      <w:r w:rsidRPr="00AA552A">
        <w:rPr>
          <w:rFonts w:cs="Cambria"/>
          <w:color w:val="000000"/>
          <w:spacing w:val="-1"/>
        </w:rPr>
        <w:t>g</w:t>
      </w:r>
      <w:r w:rsidRPr="00AA552A">
        <w:rPr>
          <w:rFonts w:cs="Cambria"/>
          <w:color w:val="000000"/>
        </w:rPr>
        <w:t>s</w:t>
      </w:r>
      <w:r w:rsidRPr="00AA552A">
        <w:rPr>
          <w:rFonts w:cs="Cambria"/>
          <w:color w:val="000000"/>
          <w:spacing w:val="-6"/>
        </w:rPr>
        <w:t xml:space="preserve"> </w:t>
      </w:r>
      <w:r w:rsidRPr="00AA552A">
        <w:rPr>
          <w:rFonts w:cs="Cambria"/>
          <w:color w:val="000000"/>
        </w:rPr>
        <w:t>on</w:t>
      </w:r>
      <w:r w:rsidRPr="00AA552A">
        <w:rPr>
          <w:rFonts w:cs="Cambria"/>
          <w:color w:val="000000"/>
          <w:spacing w:val="-1"/>
        </w:rPr>
        <w:t xml:space="preserve"> </w:t>
      </w:r>
      <w:r w:rsidRPr="00AA552A">
        <w:rPr>
          <w:rFonts w:cs="Cambria"/>
          <w:color w:val="000000"/>
        </w:rPr>
        <w:t>and a</w:t>
      </w:r>
      <w:r w:rsidRPr="00AA552A">
        <w:rPr>
          <w:rFonts w:cs="Cambria"/>
          <w:color w:val="000000"/>
          <w:spacing w:val="-1"/>
        </w:rPr>
        <w:t>r</w:t>
      </w:r>
      <w:r w:rsidRPr="00AA552A">
        <w:rPr>
          <w:rFonts w:cs="Cambria"/>
          <w:color w:val="000000"/>
        </w:rPr>
        <w:t>ound</w:t>
      </w:r>
      <w:r w:rsidRPr="00AA552A">
        <w:rPr>
          <w:rFonts w:cs="Cambria"/>
          <w:color w:val="000000"/>
          <w:spacing w:val="-5"/>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sh</w:t>
      </w:r>
      <w:r w:rsidRPr="00AA552A">
        <w:rPr>
          <w:rFonts w:cs="Cambria"/>
          <w:color w:val="000000"/>
          <w:spacing w:val="1"/>
        </w:rPr>
        <w:t>e</w:t>
      </w:r>
      <w:r w:rsidRPr="00AA552A">
        <w:rPr>
          <w:rFonts w:cs="Cambria"/>
          <w:color w:val="000000"/>
        </w:rPr>
        <w:t>lf</w:t>
      </w:r>
      <w:r w:rsidRPr="00AA552A">
        <w:rPr>
          <w:rFonts w:cs="Cambria"/>
          <w:color w:val="000000"/>
          <w:spacing w:val="-5"/>
        </w:rPr>
        <w:t xml:space="preserve"> </w:t>
      </w:r>
      <w:r w:rsidRPr="00AA552A">
        <w:rPr>
          <w:rFonts w:cs="Cambria"/>
          <w:color w:val="000000"/>
          <w:spacing w:val="1"/>
        </w:rPr>
        <w:t>b</w:t>
      </w:r>
      <w:r w:rsidRPr="00AA552A">
        <w:rPr>
          <w:rFonts w:cs="Cambria"/>
          <w:color w:val="000000"/>
          <w:spacing w:val="-1"/>
        </w:rPr>
        <w:t>r</w:t>
      </w:r>
      <w:r w:rsidRPr="00AA552A">
        <w:rPr>
          <w:rFonts w:cs="Cambria"/>
          <w:color w:val="000000"/>
          <w:spacing w:val="1"/>
        </w:rPr>
        <w:t>e</w:t>
      </w:r>
      <w:r w:rsidRPr="00AA552A">
        <w:rPr>
          <w:rFonts w:cs="Cambria"/>
          <w:color w:val="000000"/>
        </w:rPr>
        <w:t>ak</w:t>
      </w:r>
      <w:r w:rsidRPr="00AA552A">
        <w:rPr>
          <w:rFonts w:cs="Cambria"/>
          <w:color w:val="000000"/>
          <w:spacing w:val="-1"/>
        </w:rPr>
        <w:t xml:space="preserve"> z</w:t>
      </w:r>
      <w:r w:rsidRPr="00AA552A">
        <w:rPr>
          <w:rFonts w:cs="Cambria"/>
          <w:color w:val="000000"/>
        </w:rPr>
        <w:t>one</w:t>
      </w:r>
      <w:r w:rsidRPr="00AA552A">
        <w:rPr>
          <w:rFonts w:cs="Cambria"/>
          <w:color w:val="000000"/>
          <w:spacing w:val="-3"/>
        </w:rPr>
        <w:t xml:space="preserve"> </w:t>
      </w:r>
      <w:r w:rsidRPr="00AA552A">
        <w:rPr>
          <w:rFonts w:cs="Cambria"/>
          <w:color w:val="000000"/>
          <w:spacing w:val="-1"/>
        </w:rPr>
        <w:t>fr</w:t>
      </w:r>
      <w:r w:rsidRPr="00AA552A">
        <w:rPr>
          <w:rFonts w:cs="Cambria"/>
          <w:color w:val="000000"/>
        </w:rPr>
        <w:t>om</w:t>
      </w:r>
      <w:r w:rsidRPr="00AA552A">
        <w:rPr>
          <w:rFonts w:cs="Cambria"/>
          <w:color w:val="000000"/>
          <w:spacing w:val="-3"/>
        </w:rPr>
        <w:t xml:space="preserve"> </w:t>
      </w:r>
      <w:r w:rsidRPr="00AA552A">
        <w:rPr>
          <w:rFonts w:cs="Cambria"/>
          <w:color w:val="000000"/>
        </w:rPr>
        <w:t>sh</w:t>
      </w:r>
      <w:r w:rsidRPr="00AA552A">
        <w:rPr>
          <w:rFonts w:cs="Cambria"/>
          <w:color w:val="000000"/>
          <w:spacing w:val="2"/>
        </w:rPr>
        <w:t>o</w:t>
      </w:r>
      <w:r w:rsidRPr="00AA552A">
        <w:rPr>
          <w:rFonts w:cs="Cambria"/>
          <w:color w:val="000000"/>
          <w:spacing w:val="-1"/>
        </w:rPr>
        <w:t>r</w:t>
      </w:r>
      <w:r w:rsidRPr="00AA552A">
        <w:rPr>
          <w:rFonts w:cs="Cambria"/>
          <w:color w:val="000000"/>
        </w:rPr>
        <w:t>e</w:t>
      </w:r>
      <w:r w:rsidRPr="00AA552A">
        <w:rPr>
          <w:rFonts w:cs="Cambria"/>
          <w:color w:val="000000"/>
          <w:spacing w:val="-5"/>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at l</w:t>
      </w:r>
      <w:r w:rsidRPr="00AA552A">
        <w:rPr>
          <w:rFonts w:cs="Cambria"/>
          <w:color w:val="000000"/>
          <w:spacing w:val="1"/>
        </w:rPr>
        <w:t>e</w:t>
      </w:r>
      <w:r w:rsidRPr="00AA552A">
        <w:rPr>
          <w:rFonts w:cs="Cambria"/>
          <w:color w:val="000000"/>
        </w:rPr>
        <w:t>ast</w:t>
      </w:r>
      <w:r w:rsidRPr="00AA552A">
        <w:rPr>
          <w:rFonts w:cs="Cambria"/>
          <w:color w:val="000000"/>
          <w:spacing w:val="-2"/>
        </w:rPr>
        <w:t xml:space="preserve"> </w:t>
      </w:r>
      <w:r w:rsidRPr="00AA552A">
        <w:rPr>
          <w:rFonts w:cs="Cambria"/>
          <w:color w:val="000000"/>
          <w:spacing w:val="-1"/>
        </w:rPr>
        <w:t>60</w:t>
      </w:r>
      <w:r w:rsidRPr="00AA552A">
        <w:rPr>
          <w:rFonts w:cs="Cambria"/>
          <w:color w:val="000000"/>
        </w:rPr>
        <w:t>0</w:t>
      </w:r>
      <w:r w:rsidRPr="00AA552A">
        <w:rPr>
          <w:rFonts w:cs="Cambria"/>
          <w:color w:val="000000"/>
          <w:spacing w:val="-5"/>
        </w:rPr>
        <w:t xml:space="preserve"> </w:t>
      </w:r>
      <w:r w:rsidRPr="00AA552A">
        <w:rPr>
          <w:rFonts w:cs="Cambria"/>
          <w:color w:val="000000"/>
          <w:spacing w:val="-1"/>
        </w:rPr>
        <w:t>f</w:t>
      </w:r>
      <w:r w:rsidRPr="00AA552A">
        <w:rPr>
          <w:rFonts w:cs="Cambria"/>
          <w:color w:val="000000"/>
          <w:spacing w:val="1"/>
        </w:rPr>
        <w:t>ee</w:t>
      </w:r>
      <w:r w:rsidRPr="00AA552A">
        <w:rPr>
          <w:rFonts w:cs="Cambria"/>
          <w:color w:val="000000"/>
        </w:rPr>
        <w:t>t</w:t>
      </w:r>
      <w:r w:rsidRPr="00AA552A">
        <w:rPr>
          <w:rFonts w:cs="Cambria"/>
          <w:color w:val="000000"/>
          <w:spacing w:val="-3"/>
        </w:rPr>
        <w:t xml:space="preserve"> </w:t>
      </w:r>
      <w:r w:rsidRPr="00AA552A">
        <w:rPr>
          <w:rFonts w:cs="Cambria"/>
          <w:color w:val="000000"/>
        </w:rPr>
        <w:t>(</w:t>
      </w:r>
      <w:r w:rsidRPr="00AA552A">
        <w:rPr>
          <w:rFonts w:cs="Cambria"/>
          <w:color w:val="000000"/>
          <w:spacing w:val="1"/>
        </w:rPr>
        <w:t>b</w:t>
      </w:r>
      <w:r w:rsidRPr="00AA552A">
        <w:rPr>
          <w:rFonts w:cs="Cambria"/>
          <w:color w:val="000000"/>
        </w:rPr>
        <w:t>ut to</w:t>
      </w:r>
      <w:r w:rsidRPr="00AA552A">
        <w:rPr>
          <w:rFonts w:cs="Cambria"/>
          <w:color w:val="000000"/>
          <w:spacing w:val="-1"/>
        </w:rPr>
        <w:t xml:space="preserve"> </w:t>
      </w:r>
      <w:r w:rsidRPr="00AA552A">
        <w:rPr>
          <w:rFonts w:cs="Cambria"/>
          <w:color w:val="000000"/>
        </w:rPr>
        <w:t>at l</w:t>
      </w:r>
      <w:r w:rsidRPr="00AA552A">
        <w:rPr>
          <w:rFonts w:cs="Cambria"/>
          <w:color w:val="000000"/>
          <w:spacing w:val="1"/>
        </w:rPr>
        <w:t>e</w:t>
      </w:r>
      <w:r w:rsidRPr="00AA552A">
        <w:rPr>
          <w:rFonts w:cs="Cambria"/>
          <w:color w:val="000000"/>
        </w:rPr>
        <w:t>ast</w:t>
      </w:r>
      <w:r w:rsidRPr="00AA552A">
        <w:rPr>
          <w:rFonts w:cs="Cambria"/>
          <w:color w:val="000000"/>
          <w:spacing w:val="-2"/>
        </w:rPr>
        <w:t xml:space="preserve"> </w:t>
      </w:r>
      <w:r w:rsidRPr="00AA552A">
        <w:rPr>
          <w:rFonts w:cs="Cambria"/>
          <w:color w:val="000000"/>
          <w:spacing w:val="-1"/>
        </w:rPr>
        <w:t>2</w:t>
      </w:r>
      <w:r>
        <w:rPr>
          <w:rFonts w:cs="Cambria"/>
          <w:color w:val="000000"/>
          <w:spacing w:val="-1"/>
        </w:rPr>
        <w:t>,</w:t>
      </w:r>
      <w:r w:rsidRPr="00AA552A">
        <w:rPr>
          <w:rFonts w:cs="Cambria"/>
          <w:color w:val="000000"/>
          <w:spacing w:val="-1"/>
        </w:rPr>
        <w:t>00</w:t>
      </w:r>
      <w:r w:rsidRPr="00AA552A">
        <w:rPr>
          <w:rFonts w:cs="Cambria"/>
          <w:color w:val="000000"/>
        </w:rPr>
        <w:t>0</w:t>
      </w:r>
      <w:r w:rsidRPr="00AA552A">
        <w:rPr>
          <w:rFonts w:cs="Cambria"/>
          <w:color w:val="000000"/>
          <w:spacing w:val="-6"/>
        </w:rPr>
        <w:t xml:space="preserve"> </w:t>
      </w:r>
      <w:r w:rsidRPr="00AA552A">
        <w:rPr>
          <w:rFonts w:cs="Cambria"/>
          <w:color w:val="000000"/>
          <w:spacing w:val="-1"/>
        </w:rPr>
        <w:t>f</w:t>
      </w:r>
      <w:r w:rsidRPr="00AA552A">
        <w:rPr>
          <w:rFonts w:cs="Cambria"/>
          <w:color w:val="000000"/>
          <w:spacing w:val="1"/>
        </w:rPr>
        <w:t>ee</w:t>
      </w:r>
      <w:r w:rsidRPr="00AA552A">
        <w:rPr>
          <w:rFonts w:cs="Cambria"/>
          <w:color w:val="000000"/>
        </w:rPr>
        <w:t>t</w:t>
      </w:r>
      <w:r w:rsidRPr="00AA552A">
        <w:rPr>
          <w:rFonts w:cs="Cambria"/>
          <w:color w:val="000000"/>
          <w:spacing w:val="-3"/>
        </w:rPr>
        <w:t xml:space="preserve"> </w:t>
      </w:r>
      <w:r w:rsidRPr="00AA552A">
        <w:rPr>
          <w:rFonts w:cs="Cambria"/>
          <w:color w:val="000000"/>
          <w:spacing w:val="-1"/>
        </w:rPr>
        <w:t>f</w:t>
      </w:r>
      <w:r w:rsidRPr="00AA552A">
        <w:rPr>
          <w:rFonts w:cs="Cambria"/>
          <w:color w:val="000000"/>
          <w:spacing w:val="2"/>
        </w:rPr>
        <w:t>o</w:t>
      </w:r>
      <w:r w:rsidRPr="00AA552A">
        <w:rPr>
          <w:rFonts w:cs="Cambria"/>
          <w:color w:val="000000"/>
        </w:rPr>
        <w:t>r</w:t>
      </w:r>
      <w:r w:rsidRPr="00AA552A">
        <w:rPr>
          <w:rFonts w:cs="Cambria"/>
          <w:color w:val="000000"/>
          <w:spacing w:val="-4"/>
        </w:rPr>
        <w:t xml:space="preserve"> </w:t>
      </w:r>
      <w:r w:rsidRPr="00AA552A">
        <w:rPr>
          <w:rFonts w:cs="Cambria"/>
          <w:color w:val="000000"/>
          <w:spacing w:val="-1"/>
        </w:rPr>
        <w:t>wr</w:t>
      </w:r>
      <w:r w:rsidRPr="00AA552A">
        <w:rPr>
          <w:rFonts w:cs="Cambria"/>
          <w:color w:val="000000"/>
          <w:spacing w:val="1"/>
        </w:rPr>
        <w:t>e</w:t>
      </w:r>
      <w:r w:rsidRPr="00AA552A">
        <w:rPr>
          <w:rFonts w:cs="Cambria"/>
          <w:color w:val="000000"/>
          <w:spacing w:val="2"/>
        </w:rPr>
        <w:t>c</w:t>
      </w:r>
      <w:r w:rsidRPr="00AA552A">
        <w:rPr>
          <w:rFonts w:cs="Cambria"/>
          <w:color w:val="000000"/>
          <w:spacing w:val="-1"/>
        </w:rPr>
        <w:t>k</w:t>
      </w:r>
      <w:r w:rsidRPr="00AA552A">
        <w:rPr>
          <w:rFonts w:cs="Cambria"/>
          <w:color w:val="000000"/>
          <w:spacing w:val="2"/>
        </w:rPr>
        <w:t>f</w:t>
      </w:r>
      <w:r w:rsidRPr="00AA552A">
        <w:rPr>
          <w:rFonts w:cs="Cambria"/>
          <w:color w:val="000000"/>
          <w:spacing w:val="1"/>
        </w:rPr>
        <w:t>i</w:t>
      </w:r>
      <w:r w:rsidRPr="00AA552A">
        <w:rPr>
          <w:rFonts w:cs="Cambria"/>
          <w:color w:val="000000"/>
        </w:rPr>
        <w:t xml:space="preserve">sh) </w:t>
      </w:r>
      <w:r w:rsidRPr="00AA552A">
        <w:rPr>
          <w:rFonts w:cs="Cambria"/>
          <w:color w:val="000000"/>
          <w:spacing w:val="-1"/>
        </w:rPr>
        <w:t>w</w:t>
      </w:r>
      <w:r w:rsidRPr="00AA552A">
        <w:rPr>
          <w:rFonts w:cs="Cambria"/>
          <w:color w:val="000000"/>
        </w:rPr>
        <w:t>h</w:t>
      </w:r>
      <w:r w:rsidRPr="00AA552A">
        <w:rPr>
          <w:rFonts w:cs="Cambria"/>
          <w:color w:val="000000"/>
          <w:spacing w:val="1"/>
        </w:rPr>
        <w:t>e</w:t>
      </w:r>
      <w:r w:rsidRPr="00AA552A">
        <w:rPr>
          <w:rFonts w:cs="Cambria"/>
          <w:color w:val="000000"/>
          <w:spacing w:val="-1"/>
        </w:rPr>
        <w:t>r</w:t>
      </w:r>
      <w:r w:rsidRPr="00AA552A">
        <w:rPr>
          <w:rFonts w:cs="Cambria"/>
          <w:color w:val="000000"/>
        </w:rPr>
        <w:t>e</w:t>
      </w:r>
      <w:r w:rsidRPr="00AA552A">
        <w:rPr>
          <w:rFonts w:cs="Cambria"/>
          <w:color w:val="000000"/>
          <w:spacing w:val="-4"/>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ann</w:t>
      </w:r>
      <w:r w:rsidRPr="00AA552A">
        <w:rPr>
          <w:rFonts w:cs="Cambria"/>
          <w:color w:val="000000"/>
          <w:spacing w:val="-1"/>
        </w:rPr>
        <w:t>u</w:t>
      </w:r>
      <w:r w:rsidRPr="00AA552A">
        <w:rPr>
          <w:rFonts w:cs="Cambria"/>
          <w:color w:val="000000"/>
        </w:rPr>
        <w:t xml:space="preserve">al </w:t>
      </w:r>
      <w:r w:rsidRPr="00AA552A">
        <w:rPr>
          <w:rFonts w:cs="Cambria"/>
          <w:color w:val="000000"/>
          <w:spacing w:val="-1"/>
        </w:rPr>
        <w:t>w</w:t>
      </w:r>
      <w:r w:rsidRPr="00AA552A">
        <w:rPr>
          <w:rFonts w:cs="Cambria"/>
          <w:color w:val="000000"/>
        </w:rPr>
        <w:t>at</w:t>
      </w:r>
      <w:r w:rsidRPr="00AA552A">
        <w:rPr>
          <w:rFonts w:cs="Cambria"/>
          <w:color w:val="000000"/>
          <w:spacing w:val="1"/>
        </w:rPr>
        <w:t>e</w:t>
      </w:r>
      <w:r w:rsidRPr="00AA552A">
        <w:rPr>
          <w:rFonts w:cs="Cambria"/>
          <w:color w:val="000000"/>
        </w:rPr>
        <w:t>r</w:t>
      </w:r>
      <w:r w:rsidRPr="00AA552A">
        <w:rPr>
          <w:rFonts w:cs="Cambria"/>
          <w:color w:val="000000"/>
          <w:spacing w:val="-3"/>
        </w:rPr>
        <w:t xml:space="preserve"> </w:t>
      </w:r>
      <w:r w:rsidRPr="00AA552A">
        <w:rPr>
          <w:rFonts w:cs="Cambria"/>
          <w:color w:val="000000"/>
        </w:rPr>
        <w:t>t</w:t>
      </w:r>
      <w:r w:rsidRPr="00AA552A">
        <w:rPr>
          <w:rFonts w:cs="Cambria"/>
          <w:color w:val="000000"/>
          <w:spacing w:val="1"/>
        </w:rPr>
        <w:t>e</w:t>
      </w:r>
      <w:r w:rsidRPr="00AA552A">
        <w:rPr>
          <w:rFonts w:cs="Cambria"/>
          <w:color w:val="000000"/>
        </w:rPr>
        <w:t>m</w:t>
      </w:r>
      <w:r w:rsidRPr="00AA552A">
        <w:rPr>
          <w:rFonts w:cs="Cambria"/>
          <w:color w:val="000000"/>
          <w:spacing w:val="1"/>
        </w:rPr>
        <w:t>pe</w:t>
      </w:r>
      <w:r w:rsidRPr="00AA552A">
        <w:rPr>
          <w:rFonts w:cs="Cambria"/>
          <w:color w:val="000000"/>
          <w:spacing w:val="-1"/>
        </w:rPr>
        <w:t>r</w:t>
      </w:r>
      <w:r w:rsidRPr="00AA552A">
        <w:rPr>
          <w:rFonts w:cs="Cambria"/>
          <w:color w:val="000000"/>
        </w:rPr>
        <w:t>at</w:t>
      </w:r>
      <w:r w:rsidRPr="00AA552A">
        <w:rPr>
          <w:rFonts w:cs="Cambria"/>
          <w:color w:val="000000"/>
          <w:spacing w:val="-1"/>
        </w:rPr>
        <w:t>ur</w:t>
      </w:r>
      <w:r w:rsidRPr="00AA552A">
        <w:rPr>
          <w:rFonts w:cs="Cambria"/>
          <w:color w:val="000000"/>
        </w:rPr>
        <w:t>e</w:t>
      </w:r>
      <w:r w:rsidRPr="00AA552A">
        <w:rPr>
          <w:rFonts w:cs="Cambria"/>
          <w:color w:val="000000"/>
          <w:spacing w:val="-4"/>
        </w:rPr>
        <w:t xml:space="preserve"> </w:t>
      </w:r>
      <w:r w:rsidRPr="00AA552A">
        <w:rPr>
          <w:rFonts w:cs="Cambria"/>
          <w:color w:val="000000"/>
          <w:spacing w:val="-1"/>
        </w:rPr>
        <w:t>r</w:t>
      </w:r>
      <w:r w:rsidRPr="00AA552A">
        <w:rPr>
          <w:rFonts w:cs="Cambria"/>
          <w:color w:val="000000"/>
        </w:rPr>
        <w:t>an</w:t>
      </w:r>
      <w:r w:rsidRPr="00AA552A">
        <w:rPr>
          <w:rFonts w:cs="Cambria"/>
          <w:color w:val="000000"/>
          <w:spacing w:val="-1"/>
        </w:rPr>
        <w:t>g</w:t>
      </w:r>
      <w:r w:rsidRPr="00AA552A">
        <w:rPr>
          <w:rFonts w:cs="Cambria"/>
          <w:color w:val="000000"/>
        </w:rPr>
        <w:t>e</w:t>
      </w:r>
      <w:r w:rsidRPr="00AA552A">
        <w:rPr>
          <w:rFonts w:cs="Cambria"/>
          <w:color w:val="000000"/>
          <w:spacing w:val="-1"/>
        </w:rPr>
        <w:t xml:space="preserve"> </w:t>
      </w:r>
      <w:r w:rsidRPr="00AA552A">
        <w:rPr>
          <w:rFonts w:cs="Cambria"/>
          <w:color w:val="000000"/>
          <w:spacing w:val="1"/>
        </w:rPr>
        <w:t>i</w:t>
      </w:r>
      <w:r w:rsidRPr="00AA552A">
        <w:rPr>
          <w:rFonts w:cs="Cambria"/>
          <w:color w:val="000000"/>
        </w:rPr>
        <w:t>s</w:t>
      </w:r>
      <w:r w:rsidRPr="00AA552A">
        <w:rPr>
          <w:rFonts w:cs="Cambria"/>
          <w:color w:val="000000"/>
          <w:spacing w:val="-2"/>
        </w:rPr>
        <w:t xml:space="preserve"> </w:t>
      </w:r>
      <w:r w:rsidRPr="00AA552A">
        <w:rPr>
          <w:rFonts w:cs="Cambria"/>
          <w:color w:val="000000"/>
        </w:rPr>
        <w:t>s</w:t>
      </w:r>
      <w:r w:rsidRPr="00AA552A">
        <w:rPr>
          <w:rFonts w:cs="Cambria"/>
          <w:color w:val="000000"/>
          <w:spacing w:val="-1"/>
        </w:rPr>
        <w:t>uff</w:t>
      </w:r>
      <w:r w:rsidRPr="00AA552A">
        <w:rPr>
          <w:rFonts w:cs="Cambria"/>
          <w:color w:val="000000"/>
          <w:spacing w:val="1"/>
        </w:rPr>
        <w:t>i</w:t>
      </w:r>
      <w:r w:rsidRPr="00AA552A">
        <w:rPr>
          <w:rFonts w:cs="Cambria"/>
          <w:color w:val="000000"/>
        </w:rPr>
        <w:t>c</w:t>
      </w:r>
      <w:r w:rsidRPr="00AA552A">
        <w:rPr>
          <w:rFonts w:cs="Cambria"/>
          <w:color w:val="000000"/>
          <w:spacing w:val="1"/>
        </w:rPr>
        <w:t>ie</w:t>
      </w:r>
      <w:r w:rsidRPr="00AA552A">
        <w:rPr>
          <w:rFonts w:cs="Cambria"/>
          <w:color w:val="000000"/>
        </w:rPr>
        <w:t>ntly</w:t>
      </w:r>
      <w:r w:rsidRPr="00AA552A">
        <w:rPr>
          <w:rFonts w:cs="Cambria"/>
          <w:color w:val="000000"/>
          <w:spacing w:val="-8"/>
        </w:rPr>
        <w:t xml:space="preserve"> </w:t>
      </w:r>
      <w:r w:rsidRPr="00AA552A">
        <w:rPr>
          <w:rFonts w:cs="Cambria"/>
          <w:color w:val="000000"/>
          <w:spacing w:val="-1"/>
        </w:rPr>
        <w:t>w</w:t>
      </w:r>
      <w:r w:rsidRPr="00AA552A">
        <w:rPr>
          <w:rFonts w:cs="Cambria"/>
          <w:color w:val="000000"/>
        </w:rPr>
        <w:t>a</w:t>
      </w:r>
      <w:r w:rsidRPr="00AA552A">
        <w:rPr>
          <w:rFonts w:cs="Cambria"/>
          <w:color w:val="000000"/>
          <w:spacing w:val="-1"/>
        </w:rPr>
        <w:t>r</w:t>
      </w:r>
      <w:r w:rsidRPr="00AA552A">
        <w:rPr>
          <w:rFonts w:cs="Cambria"/>
          <w:color w:val="000000"/>
        </w:rPr>
        <w:t>m</w:t>
      </w:r>
      <w:r w:rsidRPr="00AA552A">
        <w:rPr>
          <w:rFonts w:cs="Cambria"/>
          <w:color w:val="000000"/>
          <w:spacing w:val="-1"/>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ma</w:t>
      </w:r>
      <w:r w:rsidRPr="00AA552A">
        <w:rPr>
          <w:rFonts w:cs="Cambria"/>
          <w:color w:val="000000"/>
          <w:spacing w:val="3"/>
        </w:rPr>
        <w:t>i</w:t>
      </w:r>
      <w:r w:rsidRPr="00AA552A">
        <w:rPr>
          <w:rFonts w:cs="Cambria"/>
          <w:color w:val="000000"/>
        </w:rPr>
        <w:t>nta</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a</w:t>
      </w:r>
      <w:r w:rsidRPr="00AA552A">
        <w:rPr>
          <w:rFonts w:cs="Cambria"/>
          <w:color w:val="000000"/>
          <w:spacing w:val="-1"/>
        </w:rPr>
        <w:t>du</w:t>
      </w:r>
      <w:r w:rsidRPr="00AA552A">
        <w:rPr>
          <w:rFonts w:cs="Cambria"/>
          <w:color w:val="000000"/>
        </w:rPr>
        <w:t>lt</w:t>
      </w:r>
      <w:r w:rsidRPr="00AA552A">
        <w:rPr>
          <w:rFonts w:cs="Cambria"/>
          <w:color w:val="000000"/>
          <w:spacing w:val="-1"/>
        </w:rPr>
        <w:t xml:space="preserve"> </w:t>
      </w:r>
      <w:r w:rsidRPr="00AA552A">
        <w:rPr>
          <w:rFonts w:cs="Cambria"/>
          <w:color w:val="000000"/>
          <w:spacing w:val="1"/>
        </w:rPr>
        <w:t>p</w:t>
      </w:r>
      <w:r w:rsidRPr="00AA552A">
        <w:rPr>
          <w:rFonts w:cs="Cambria"/>
          <w:color w:val="000000"/>
        </w:rPr>
        <w:t>o</w:t>
      </w:r>
      <w:r w:rsidRPr="00AA552A">
        <w:rPr>
          <w:rFonts w:cs="Cambria"/>
          <w:color w:val="000000"/>
          <w:spacing w:val="1"/>
        </w:rPr>
        <w:t>p</w:t>
      </w:r>
      <w:r w:rsidRPr="00AA552A">
        <w:rPr>
          <w:rFonts w:cs="Cambria"/>
          <w:color w:val="000000"/>
          <w:spacing w:val="-1"/>
        </w:rPr>
        <w:t>u</w:t>
      </w:r>
      <w:r w:rsidRPr="00AA552A">
        <w:rPr>
          <w:rFonts w:cs="Cambria"/>
          <w:color w:val="000000"/>
        </w:rPr>
        <w:t>lat</w:t>
      </w:r>
      <w:r w:rsidRPr="00AA552A">
        <w:rPr>
          <w:rFonts w:cs="Cambria"/>
          <w:color w:val="000000"/>
          <w:spacing w:val="1"/>
        </w:rPr>
        <w:t>i</w:t>
      </w:r>
      <w:r w:rsidRPr="00AA552A">
        <w:rPr>
          <w:rFonts w:cs="Cambria"/>
          <w:color w:val="000000"/>
        </w:rPr>
        <w:t>ons</w:t>
      </w:r>
      <w:r w:rsidRPr="00AA552A">
        <w:rPr>
          <w:rFonts w:cs="Cambria"/>
          <w:color w:val="000000"/>
          <w:spacing w:val="-6"/>
        </w:rPr>
        <w:t xml:space="preserve"> </w:t>
      </w:r>
      <w:r w:rsidRPr="00AA552A">
        <w:rPr>
          <w:rFonts w:cs="Cambria"/>
          <w:color w:val="000000"/>
        </w:rPr>
        <w:t>of m</w:t>
      </w:r>
      <w:r w:rsidRPr="00AA552A">
        <w:rPr>
          <w:rFonts w:cs="Cambria"/>
          <w:color w:val="000000"/>
          <w:spacing w:val="1"/>
        </w:rPr>
        <w:t>e</w:t>
      </w:r>
      <w:r w:rsidRPr="00AA552A">
        <w:rPr>
          <w:rFonts w:cs="Cambria"/>
          <w:color w:val="000000"/>
        </w:rPr>
        <w:t>m</w:t>
      </w:r>
      <w:r w:rsidRPr="00AA552A">
        <w:rPr>
          <w:rFonts w:cs="Cambria"/>
          <w:color w:val="000000"/>
          <w:spacing w:val="1"/>
        </w:rPr>
        <w:t>be</w:t>
      </w:r>
      <w:r w:rsidRPr="00AA552A">
        <w:rPr>
          <w:rFonts w:cs="Cambria"/>
          <w:color w:val="000000"/>
          <w:spacing w:val="-1"/>
        </w:rPr>
        <w:t>r</w:t>
      </w:r>
      <w:r w:rsidRPr="00AA552A">
        <w:rPr>
          <w:rFonts w:cs="Cambria"/>
          <w:color w:val="000000"/>
        </w:rPr>
        <w:t>s</w:t>
      </w:r>
      <w:r w:rsidRPr="00AA552A">
        <w:rPr>
          <w:rFonts w:cs="Cambria"/>
          <w:color w:val="000000"/>
          <w:spacing w:val="-6"/>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th</w:t>
      </w:r>
      <w:r w:rsidRPr="00AA552A">
        <w:rPr>
          <w:rFonts w:cs="Cambria"/>
          <w:color w:val="000000"/>
          <w:spacing w:val="1"/>
        </w:rPr>
        <w:t>i</w:t>
      </w:r>
      <w:r w:rsidRPr="00AA552A">
        <w:rPr>
          <w:rFonts w:cs="Cambria"/>
          <w:color w:val="000000"/>
        </w:rPr>
        <w:t>s</w:t>
      </w:r>
      <w:r w:rsidRPr="00AA552A">
        <w:rPr>
          <w:rFonts w:cs="Cambria"/>
          <w:color w:val="000000"/>
          <w:spacing w:val="-3"/>
        </w:rPr>
        <w:t xml:space="preserve"> </w:t>
      </w:r>
      <w:r w:rsidRPr="00AA552A">
        <w:rPr>
          <w:rFonts w:cs="Cambria"/>
          <w:color w:val="000000"/>
        </w:rPr>
        <w:t>la</w:t>
      </w:r>
      <w:r w:rsidRPr="00AA552A">
        <w:rPr>
          <w:rFonts w:cs="Cambria"/>
          <w:color w:val="000000"/>
          <w:spacing w:val="-1"/>
        </w:rPr>
        <w:t>rg</w:t>
      </w:r>
      <w:r w:rsidRPr="00AA552A">
        <w:rPr>
          <w:rFonts w:cs="Cambria"/>
          <w:color w:val="000000"/>
          <w:spacing w:val="1"/>
        </w:rPr>
        <w:t>e</w:t>
      </w:r>
      <w:r w:rsidRPr="00AA552A">
        <w:rPr>
          <w:rFonts w:cs="Cambria"/>
          <w:color w:val="000000"/>
        </w:rPr>
        <w:t>ly</w:t>
      </w:r>
      <w:r w:rsidRPr="00AA552A">
        <w:rPr>
          <w:rFonts w:cs="Cambria"/>
          <w:color w:val="000000"/>
          <w:spacing w:val="-2"/>
        </w:rPr>
        <w:t xml:space="preserve"> </w:t>
      </w:r>
      <w:r w:rsidRPr="00AA552A">
        <w:rPr>
          <w:rFonts w:cs="Cambria"/>
          <w:color w:val="000000"/>
        </w:rPr>
        <w:t>t</w:t>
      </w:r>
      <w:r w:rsidRPr="00AA552A">
        <w:rPr>
          <w:rFonts w:cs="Cambria"/>
          <w:color w:val="000000"/>
          <w:spacing w:val="-1"/>
        </w:rPr>
        <w:t>r</w:t>
      </w:r>
      <w:r w:rsidRPr="00AA552A">
        <w:rPr>
          <w:rFonts w:cs="Cambria"/>
          <w:color w:val="000000"/>
        </w:rPr>
        <w:t>o</w:t>
      </w:r>
      <w:r w:rsidRPr="00AA552A">
        <w:rPr>
          <w:rFonts w:cs="Cambria"/>
          <w:color w:val="000000"/>
          <w:spacing w:val="1"/>
        </w:rPr>
        <w:t>pi</w:t>
      </w:r>
      <w:r w:rsidRPr="00AA552A">
        <w:rPr>
          <w:rFonts w:cs="Cambria"/>
          <w:color w:val="000000"/>
        </w:rPr>
        <w:t>cal</w:t>
      </w:r>
      <w:r w:rsidRPr="00AA552A">
        <w:rPr>
          <w:rFonts w:cs="Cambria"/>
          <w:color w:val="000000"/>
          <w:spacing w:val="-4"/>
        </w:rPr>
        <w:t xml:space="preserve"> </w:t>
      </w:r>
      <w:r w:rsidRPr="00AA552A">
        <w:rPr>
          <w:rFonts w:cs="Cambria"/>
          <w:color w:val="000000"/>
        </w:rPr>
        <w:t>com</w:t>
      </w:r>
      <w:r w:rsidRPr="00AA552A">
        <w:rPr>
          <w:rFonts w:cs="Cambria"/>
          <w:color w:val="000000"/>
          <w:spacing w:val="1"/>
        </w:rPr>
        <w:t>p</w:t>
      </w:r>
      <w:r w:rsidRPr="00AA552A">
        <w:rPr>
          <w:rFonts w:cs="Cambria"/>
          <w:color w:val="000000"/>
        </w:rPr>
        <w:t>l</w:t>
      </w:r>
      <w:r w:rsidRPr="00AA552A">
        <w:rPr>
          <w:rFonts w:cs="Cambria"/>
          <w:color w:val="000000"/>
          <w:spacing w:val="1"/>
        </w:rPr>
        <w:t>e</w:t>
      </w:r>
      <w:r w:rsidRPr="00AA552A">
        <w:rPr>
          <w:rFonts w:cs="Cambria"/>
          <w:color w:val="000000"/>
          <w:spacing w:val="-1"/>
        </w:rPr>
        <w:t>x</w:t>
      </w:r>
      <w:r w:rsidRPr="00AA552A">
        <w:rPr>
          <w:rFonts w:cs="Cambria"/>
          <w:color w:val="000000"/>
        </w:rPr>
        <w:t>.</w:t>
      </w:r>
      <w:r w:rsidRPr="00AA552A">
        <w:rPr>
          <w:rFonts w:cs="Cambria"/>
          <w:color w:val="000000"/>
          <w:spacing w:val="50"/>
        </w:rPr>
        <w:t xml:space="preserve"> </w:t>
      </w:r>
      <w:r w:rsidRPr="00AA552A">
        <w:rPr>
          <w:rFonts w:cs="Cambria"/>
          <w:color w:val="000000"/>
          <w:spacing w:val="1"/>
        </w:rPr>
        <w:t>E</w:t>
      </w:r>
      <w:r w:rsidRPr="00AA552A">
        <w:rPr>
          <w:rFonts w:cs="Cambria"/>
          <w:color w:val="000000"/>
          <w:spacing w:val="-2"/>
        </w:rPr>
        <w:t>F</w:t>
      </w:r>
      <w:r w:rsidRPr="00AA552A">
        <w:rPr>
          <w:rFonts w:cs="Cambria"/>
          <w:color w:val="000000"/>
        </w:rPr>
        <w:t>H</w:t>
      </w:r>
      <w:r w:rsidRPr="00AA552A">
        <w:rPr>
          <w:rFonts w:cs="Cambria"/>
          <w:color w:val="000000"/>
          <w:spacing w:val="-2"/>
        </w:rPr>
        <w:t xml:space="preserve"> </w:t>
      </w:r>
      <w:r w:rsidRPr="00AA552A">
        <w:rPr>
          <w:rFonts w:cs="Cambria"/>
          <w:color w:val="000000"/>
          <w:spacing w:val="1"/>
        </w:rPr>
        <w:t>i</w:t>
      </w:r>
      <w:r w:rsidRPr="00AA552A">
        <w:rPr>
          <w:rFonts w:cs="Cambria"/>
          <w:color w:val="000000"/>
        </w:rPr>
        <w:t>nclu</w:t>
      </w:r>
      <w:r w:rsidRPr="00AA552A">
        <w:rPr>
          <w:rFonts w:cs="Cambria"/>
          <w:color w:val="000000"/>
          <w:spacing w:val="-1"/>
        </w:rPr>
        <w:t>d</w:t>
      </w:r>
      <w:r w:rsidRPr="00AA552A">
        <w:rPr>
          <w:rFonts w:cs="Cambria"/>
          <w:color w:val="000000"/>
          <w:spacing w:val="1"/>
        </w:rPr>
        <w:t>e</w:t>
      </w:r>
      <w:r w:rsidRPr="00AA552A">
        <w:rPr>
          <w:rFonts w:cs="Cambria"/>
          <w:color w:val="000000"/>
        </w:rPr>
        <w:t>s</w:t>
      </w:r>
      <w:r w:rsidRPr="00AA552A">
        <w:rPr>
          <w:rFonts w:cs="Cambria"/>
          <w:color w:val="000000"/>
          <w:spacing w:val="-7"/>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s</w:t>
      </w:r>
      <w:r w:rsidRPr="00AA552A">
        <w:rPr>
          <w:rFonts w:cs="Cambria"/>
          <w:color w:val="000000"/>
          <w:spacing w:val="1"/>
        </w:rPr>
        <w:t>p</w:t>
      </w:r>
      <w:r w:rsidRPr="00AA552A">
        <w:rPr>
          <w:rFonts w:cs="Cambria"/>
          <w:color w:val="000000"/>
        </w:rPr>
        <w:t>a</w:t>
      </w:r>
      <w:r w:rsidRPr="00AA552A">
        <w:rPr>
          <w:rFonts w:cs="Cambria"/>
          <w:color w:val="000000"/>
          <w:spacing w:val="-1"/>
        </w:rPr>
        <w:t>w</w:t>
      </w:r>
      <w:r w:rsidRPr="00AA552A">
        <w:rPr>
          <w:rFonts w:cs="Cambria"/>
          <w:color w:val="000000"/>
        </w:rPr>
        <w:t>n</w:t>
      </w:r>
      <w:r w:rsidRPr="00AA552A">
        <w:rPr>
          <w:rFonts w:cs="Cambria"/>
          <w:color w:val="000000"/>
          <w:spacing w:val="1"/>
        </w:rPr>
        <w:t>i</w:t>
      </w:r>
      <w:r w:rsidRPr="00AA552A">
        <w:rPr>
          <w:rFonts w:cs="Cambria"/>
          <w:color w:val="000000"/>
        </w:rPr>
        <w:t>ng</w:t>
      </w:r>
      <w:r w:rsidRPr="00AA552A">
        <w:rPr>
          <w:rFonts w:cs="Cambria"/>
          <w:color w:val="000000"/>
          <w:spacing w:val="-3"/>
        </w:rPr>
        <w:t xml:space="preserve"> </w:t>
      </w:r>
      <w:r w:rsidRPr="00AA552A">
        <w:rPr>
          <w:rFonts w:cs="Cambria"/>
          <w:color w:val="000000"/>
        </w:rPr>
        <w:t>a</w:t>
      </w:r>
      <w:r w:rsidRPr="00AA552A">
        <w:rPr>
          <w:rFonts w:cs="Cambria"/>
          <w:color w:val="000000"/>
          <w:spacing w:val="-1"/>
        </w:rPr>
        <w:t>r</w:t>
      </w:r>
      <w:r w:rsidRPr="00AA552A">
        <w:rPr>
          <w:rFonts w:cs="Cambria"/>
          <w:color w:val="000000"/>
          <w:spacing w:val="1"/>
        </w:rPr>
        <w:t>e</w:t>
      </w:r>
      <w:r w:rsidRPr="00AA552A">
        <w:rPr>
          <w:rFonts w:cs="Cambria"/>
          <w:color w:val="000000"/>
        </w:rPr>
        <w:t>a</w:t>
      </w:r>
      <w:r w:rsidRPr="00AA552A">
        <w:rPr>
          <w:rFonts w:cs="Cambria"/>
          <w:color w:val="000000"/>
          <w:spacing w:val="-2"/>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lastRenderedPageBreak/>
        <w:t>w</w:t>
      </w:r>
      <w:r w:rsidRPr="00AA552A">
        <w:rPr>
          <w:rFonts w:cs="Cambria"/>
          <w:color w:val="000000"/>
        </w:rPr>
        <w:t>at</w:t>
      </w:r>
      <w:r w:rsidRPr="00AA552A">
        <w:rPr>
          <w:rFonts w:cs="Cambria"/>
          <w:color w:val="000000"/>
          <w:spacing w:val="1"/>
        </w:rPr>
        <w:t>e</w:t>
      </w:r>
      <w:r w:rsidRPr="00AA552A">
        <w:rPr>
          <w:rFonts w:cs="Cambria"/>
          <w:color w:val="000000"/>
        </w:rPr>
        <w:t>r</w:t>
      </w:r>
      <w:r w:rsidRPr="00AA552A">
        <w:rPr>
          <w:rFonts w:cs="Cambria"/>
          <w:color w:val="000000"/>
          <w:spacing w:val="-3"/>
        </w:rPr>
        <w:t xml:space="preserve"> </w:t>
      </w:r>
      <w:r w:rsidRPr="00AA552A">
        <w:rPr>
          <w:rFonts w:cs="Cambria"/>
          <w:color w:val="000000"/>
        </w:rPr>
        <w:t>column a</w:t>
      </w:r>
      <w:r w:rsidRPr="00AA552A">
        <w:rPr>
          <w:rFonts w:cs="Cambria"/>
          <w:color w:val="000000"/>
          <w:spacing w:val="1"/>
        </w:rPr>
        <w:t>b</w:t>
      </w:r>
      <w:r w:rsidRPr="00AA552A">
        <w:rPr>
          <w:rFonts w:cs="Cambria"/>
          <w:color w:val="000000"/>
        </w:rPr>
        <w:t>o</w:t>
      </w:r>
      <w:r w:rsidRPr="00AA552A">
        <w:rPr>
          <w:rFonts w:cs="Cambria"/>
          <w:color w:val="000000"/>
          <w:spacing w:val="-1"/>
        </w:rPr>
        <w:t>v</w:t>
      </w:r>
      <w:r w:rsidRPr="00AA552A">
        <w:rPr>
          <w:rFonts w:cs="Cambria"/>
          <w:color w:val="000000"/>
        </w:rPr>
        <w:t>e</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a</w:t>
      </w:r>
      <w:r w:rsidRPr="00AA552A">
        <w:rPr>
          <w:rFonts w:cs="Cambria"/>
          <w:color w:val="000000"/>
          <w:spacing w:val="-1"/>
        </w:rPr>
        <w:t>du</w:t>
      </w:r>
      <w:r w:rsidRPr="00AA552A">
        <w:rPr>
          <w:rFonts w:cs="Cambria"/>
          <w:color w:val="000000"/>
        </w:rPr>
        <w:t>lt</w:t>
      </w:r>
      <w:r w:rsidRPr="00AA552A">
        <w:rPr>
          <w:rFonts w:cs="Cambria"/>
          <w:color w:val="000000"/>
          <w:spacing w:val="-1"/>
        </w:rPr>
        <w:t xml:space="preserve"> </w:t>
      </w:r>
      <w:r w:rsidRPr="00AA552A">
        <w:rPr>
          <w:rFonts w:cs="Cambria"/>
          <w:color w:val="000000"/>
        </w:rPr>
        <w:t>ha</w:t>
      </w:r>
      <w:r w:rsidRPr="00AA552A">
        <w:rPr>
          <w:rFonts w:cs="Cambria"/>
          <w:color w:val="000000"/>
          <w:spacing w:val="1"/>
        </w:rPr>
        <w:t>bi</w:t>
      </w:r>
      <w:r w:rsidRPr="00AA552A">
        <w:rPr>
          <w:rFonts w:cs="Cambria"/>
          <w:color w:val="000000"/>
        </w:rPr>
        <w:t>tat</w:t>
      </w:r>
      <w:r w:rsidRPr="00AA552A">
        <w:rPr>
          <w:rFonts w:cs="Cambria"/>
          <w:color w:val="000000"/>
          <w:spacing w:val="-4"/>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a</w:t>
      </w:r>
      <w:r w:rsidRPr="00AA552A">
        <w:rPr>
          <w:rFonts w:cs="Cambria"/>
          <w:color w:val="000000"/>
          <w:spacing w:val="-1"/>
        </w:rPr>
        <w:t>dd</w:t>
      </w:r>
      <w:r w:rsidRPr="00AA552A">
        <w:rPr>
          <w:rFonts w:cs="Cambria"/>
          <w:color w:val="000000"/>
          <w:spacing w:val="1"/>
        </w:rPr>
        <w:t>i</w:t>
      </w:r>
      <w:r w:rsidRPr="00AA552A">
        <w:rPr>
          <w:rFonts w:cs="Cambria"/>
          <w:color w:val="000000"/>
        </w:rPr>
        <w:t>t</w:t>
      </w:r>
      <w:r w:rsidRPr="00AA552A">
        <w:rPr>
          <w:rFonts w:cs="Cambria"/>
          <w:color w:val="000000"/>
          <w:spacing w:val="1"/>
        </w:rPr>
        <w:t>i</w:t>
      </w:r>
      <w:r w:rsidRPr="00AA552A">
        <w:rPr>
          <w:rFonts w:cs="Cambria"/>
          <w:color w:val="000000"/>
        </w:rPr>
        <w:t>onal</w:t>
      </w:r>
      <w:r w:rsidRPr="00AA552A">
        <w:rPr>
          <w:rFonts w:cs="Cambria"/>
          <w:color w:val="000000"/>
          <w:spacing w:val="-5"/>
        </w:rPr>
        <w:t xml:space="preserve"> </w:t>
      </w:r>
      <w:r w:rsidRPr="00AA552A">
        <w:rPr>
          <w:rFonts w:cs="Cambria"/>
          <w:color w:val="000000"/>
          <w:spacing w:val="1"/>
        </w:rPr>
        <w:t>pe</w:t>
      </w:r>
      <w:r w:rsidRPr="00AA552A">
        <w:rPr>
          <w:rFonts w:cs="Cambria"/>
          <w:color w:val="000000"/>
        </w:rPr>
        <w:t>l</w:t>
      </w:r>
      <w:r w:rsidRPr="00AA552A">
        <w:rPr>
          <w:rFonts w:cs="Cambria"/>
          <w:color w:val="000000"/>
          <w:spacing w:val="-2"/>
        </w:rPr>
        <w:t>a</w:t>
      </w:r>
      <w:r w:rsidRPr="00AA552A">
        <w:rPr>
          <w:rFonts w:cs="Cambria"/>
          <w:color w:val="000000"/>
          <w:spacing w:val="-1"/>
        </w:rPr>
        <w:t>g</w:t>
      </w:r>
      <w:r w:rsidRPr="00AA552A">
        <w:rPr>
          <w:rFonts w:cs="Cambria"/>
          <w:color w:val="000000"/>
          <w:spacing w:val="1"/>
        </w:rPr>
        <w:t>i</w:t>
      </w:r>
      <w:r w:rsidRPr="00AA552A">
        <w:rPr>
          <w:rFonts w:cs="Cambria"/>
          <w:color w:val="000000"/>
        </w:rPr>
        <w:t>c</w:t>
      </w:r>
      <w:r w:rsidRPr="00AA552A">
        <w:rPr>
          <w:rFonts w:cs="Cambria"/>
          <w:color w:val="000000"/>
          <w:spacing w:val="-3"/>
        </w:rPr>
        <w:t xml:space="preserve"> </w:t>
      </w:r>
      <w:r w:rsidRPr="00AA552A">
        <w:rPr>
          <w:rFonts w:cs="Cambria"/>
          <w:color w:val="000000"/>
          <w:spacing w:val="1"/>
        </w:rPr>
        <w:t>e</w:t>
      </w:r>
      <w:r w:rsidRPr="00AA552A">
        <w:rPr>
          <w:rFonts w:cs="Cambria"/>
          <w:color w:val="000000"/>
        </w:rPr>
        <w:t>n</w:t>
      </w:r>
      <w:r w:rsidRPr="00AA552A">
        <w:rPr>
          <w:rFonts w:cs="Cambria"/>
          <w:color w:val="000000"/>
          <w:spacing w:val="-1"/>
        </w:rPr>
        <w:t>v</w:t>
      </w:r>
      <w:r w:rsidRPr="00AA552A">
        <w:rPr>
          <w:rFonts w:cs="Cambria"/>
          <w:color w:val="000000"/>
          <w:spacing w:val="1"/>
        </w:rPr>
        <w:t>i</w:t>
      </w:r>
      <w:r w:rsidRPr="00AA552A">
        <w:rPr>
          <w:rFonts w:cs="Cambria"/>
          <w:color w:val="000000"/>
          <w:spacing w:val="-1"/>
        </w:rPr>
        <w:t>r</w:t>
      </w:r>
      <w:r w:rsidRPr="00AA552A">
        <w:rPr>
          <w:rFonts w:cs="Cambria"/>
          <w:color w:val="000000"/>
        </w:rPr>
        <w:t>onm</w:t>
      </w:r>
      <w:r w:rsidRPr="00AA552A">
        <w:rPr>
          <w:rFonts w:cs="Cambria"/>
          <w:color w:val="000000"/>
          <w:spacing w:val="1"/>
        </w:rPr>
        <w:t>e</w:t>
      </w:r>
      <w:r w:rsidRPr="00AA552A">
        <w:rPr>
          <w:rFonts w:cs="Cambria"/>
          <w:color w:val="000000"/>
        </w:rPr>
        <w:t>nt,</w:t>
      </w:r>
      <w:r w:rsidRPr="00AA552A">
        <w:rPr>
          <w:rFonts w:cs="Cambria"/>
          <w:color w:val="000000"/>
          <w:spacing w:val="-5"/>
        </w:rPr>
        <w:t xml:space="preserve"> </w:t>
      </w:r>
      <w:r w:rsidRPr="00AA552A">
        <w:rPr>
          <w:rFonts w:cs="Cambria"/>
          <w:color w:val="000000"/>
          <w:spacing w:val="1"/>
        </w:rPr>
        <w:t>i</w:t>
      </w:r>
      <w:r w:rsidRPr="00AA552A">
        <w:rPr>
          <w:rFonts w:cs="Cambria"/>
          <w:color w:val="000000"/>
        </w:rPr>
        <w:t>ncl</w:t>
      </w:r>
      <w:r w:rsidRPr="00AA552A">
        <w:rPr>
          <w:rFonts w:cs="Cambria"/>
          <w:color w:val="000000"/>
          <w:spacing w:val="-1"/>
        </w:rPr>
        <w:t>ud</w:t>
      </w:r>
      <w:r w:rsidRPr="00AA552A">
        <w:rPr>
          <w:rFonts w:cs="Cambria"/>
          <w:color w:val="000000"/>
          <w:spacing w:val="1"/>
        </w:rPr>
        <w:t>i</w:t>
      </w:r>
      <w:r w:rsidRPr="00AA552A">
        <w:rPr>
          <w:rFonts w:cs="Cambria"/>
          <w:color w:val="000000"/>
        </w:rPr>
        <w:t>ng</w:t>
      </w:r>
      <w:r w:rsidRPr="00AA552A">
        <w:rPr>
          <w:rFonts w:cs="Cambria"/>
          <w:color w:val="000000"/>
          <w:spacing w:val="-5"/>
        </w:rPr>
        <w:t xml:space="preserve"> </w:t>
      </w:r>
      <w:r w:rsidRPr="00AA552A">
        <w:rPr>
          <w:rFonts w:cs="Cambria"/>
          <w:i/>
          <w:iCs/>
          <w:color w:val="000000"/>
        </w:rPr>
        <w:t>S</w:t>
      </w:r>
      <w:r w:rsidRPr="00AA552A">
        <w:rPr>
          <w:rFonts w:cs="Cambria"/>
          <w:i/>
          <w:iCs/>
          <w:color w:val="000000"/>
          <w:spacing w:val="1"/>
        </w:rPr>
        <w:t>ar</w:t>
      </w:r>
      <w:r w:rsidRPr="00AA552A">
        <w:rPr>
          <w:rFonts w:cs="Cambria"/>
          <w:i/>
          <w:iCs/>
          <w:color w:val="000000"/>
          <w:spacing w:val="-1"/>
        </w:rPr>
        <w:t>g</w:t>
      </w:r>
      <w:r w:rsidRPr="00AA552A">
        <w:rPr>
          <w:rFonts w:cs="Cambria"/>
          <w:i/>
          <w:iCs/>
          <w:color w:val="000000"/>
          <w:spacing w:val="1"/>
        </w:rPr>
        <w:t>a</w:t>
      </w:r>
      <w:r w:rsidRPr="00AA552A">
        <w:rPr>
          <w:rFonts w:cs="Cambria"/>
          <w:i/>
          <w:iCs/>
          <w:color w:val="000000"/>
        </w:rPr>
        <w:t>ss</w:t>
      </w:r>
      <w:r w:rsidRPr="00AA552A">
        <w:rPr>
          <w:rFonts w:cs="Cambria"/>
          <w:i/>
          <w:iCs/>
          <w:color w:val="000000"/>
          <w:spacing w:val="1"/>
        </w:rPr>
        <w:t>u</w:t>
      </w:r>
      <w:r w:rsidRPr="00AA552A">
        <w:rPr>
          <w:rFonts w:cs="Cambria"/>
          <w:i/>
          <w:iCs/>
          <w:color w:val="000000"/>
        </w:rPr>
        <w:t>m</w:t>
      </w:r>
      <w:r w:rsidRPr="00AA552A">
        <w:rPr>
          <w:rFonts w:cs="Cambria"/>
          <w:color w:val="000000"/>
        </w:rPr>
        <w:t>,</w:t>
      </w:r>
      <w:r w:rsidRPr="00AA552A">
        <w:rPr>
          <w:rFonts w:cs="Cambria"/>
          <w:color w:val="000000"/>
          <w:spacing w:val="-5"/>
        </w:rPr>
        <w:t xml:space="preserve"> </w:t>
      </w:r>
      <w:r w:rsidRPr="00AA552A">
        <w:rPr>
          <w:rFonts w:cs="Cambria"/>
          <w:color w:val="000000"/>
          <w:spacing w:val="-1"/>
        </w:rPr>
        <w:t>r</w:t>
      </w:r>
      <w:r w:rsidRPr="00AA552A">
        <w:rPr>
          <w:rFonts w:cs="Cambria"/>
          <w:color w:val="000000"/>
          <w:spacing w:val="-2"/>
        </w:rPr>
        <w:t>e</w:t>
      </w:r>
      <w:r w:rsidRPr="00AA552A">
        <w:rPr>
          <w:rFonts w:cs="Cambria"/>
          <w:color w:val="000000"/>
          <w:spacing w:val="1"/>
        </w:rPr>
        <w:t>q</w:t>
      </w:r>
      <w:r w:rsidRPr="00AA552A">
        <w:rPr>
          <w:rFonts w:cs="Cambria"/>
          <w:color w:val="000000"/>
          <w:spacing w:val="-1"/>
        </w:rPr>
        <w:t>u</w:t>
      </w:r>
      <w:r w:rsidRPr="00AA552A">
        <w:rPr>
          <w:rFonts w:cs="Cambria"/>
          <w:color w:val="000000"/>
          <w:spacing w:val="1"/>
        </w:rPr>
        <w:t>i</w:t>
      </w:r>
      <w:r w:rsidRPr="00AA552A">
        <w:rPr>
          <w:rFonts w:cs="Cambria"/>
          <w:color w:val="000000"/>
          <w:spacing w:val="-1"/>
        </w:rPr>
        <w:t>r</w:t>
      </w:r>
      <w:r w:rsidRPr="00AA552A">
        <w:rPr>
          <w:rFonts w:cs="Cambria"/>
          <w:color w:val="000000"/>
          <w:spacing w:val="1"/>
        </w:rPr>
        <w:t>e</w:t>
      </w:r>
      <w:r w:rsidRPr="00AA552A">
        <w:rPr>
          <w:rFonts w:cs="Cambria"/>
          <w:color w:val="000000"/>
        </w:rPr>
        <w:t>d</w:t>
      </w:r>
      <w:r w:rsidRPr="00AA552A">
        <w:rPr>
          <w:rFonts w:cs="Cambria"/>
          <w:color w:val="000000"/>
          <w:spacing w:val="-9"/>
        </w:rPr>
        <w:t xml:space="preserve"> </w:t>
      </w:r>
      <w:r w:rsidRPr="00AA552A">
        <w:rPr>
          <w:rFonts w:cs="Cambria"/>
          <w:color w:val="000000"/>
          <w:spacing w:val="-1"/>
        </w:rPr>
        <w:t>f</w:t>
      </w:r>
      <w:r>
        <w:rPr>
          <w:rFonts w:cs="Cambria"/>
          <w:color w:val="000000"/>
        </w:rPr>
        <w:t xml:space="preserve">or </w:t>
      </w:r>
      <w:r w:rsidRPr="00AA552A">
        <w:rPr>
          <w:rFonts w:cs="Cambria"/>
          <w:color w:val="000000"/>
        </w:rPr>
        <w:t>la</w:t>
      </w:r>
      <w:r w:rsidRPr="00AA552A">
        <w:rPr>
          <w:rFonts w:cs="Cambria"/>
          <w:color w:val="000000"/>
          <w:spacing w:val="-1"/>
        </w:rPr>
        <w:t>rv</w:t>
      </w:r>
      <w:r w:rsidRPr="00AA552A">
        <w:rPr>
          <w:rFonts w:cs="Cambria"/>
          <w:color w:val="000000"/>
        </w:rPr>
        <w:t>al</w:t>
      </w:r>
      <w:r w:rsidRPr="00AA552A">
        <w:rPr>
          <w:rFonts w:cs="Cambria"/>
          <w:color w:val="000000"/>
          <w:spacing w:val="-2"/>
        </w:rPr>
        <w:t xml:space="preserve"> </w:t>
      </w:r>
      <w:r w:rsidRPr="00AA552A">
        <w:rPr>
          <w:rFonts w:cs="Cambria"/>
          <w:color w:val="000000"/>
        </w:rPr>
        <w:t>s</w:t>
      </w:r>
      <w:r w:rsidRPr="00AA552A">
        <w:rPr>
          <w:rFonts w:cs="Cambria"/>
          <w:color w:val="000000"/>
          <w:spacing w:val="-1"/>
        </w:rPr>
        <w:t>u</w:t>
      </w:r>
      <w:r w:rsidRPr="00AA552A">
        <w:rPr>
          <w:rFonts w:cs="Cambria"/>
          <w:color w:val="000000"/>
          <w:spacing w:val="2"/>
        </w:rPr>
        <w:t>r</w:t>
      </w:r>
      <w:r w:rsidRPr="00AA552A">
        <w:rPr>
          <w:rFonts w:cs="Cambria"/>
          <w:color w:val="000000"/>
          <w:spacing w:val="-1"/>
        </w:rPr>
        <w:t>v</w:t>
      </w:r>
      <w:r w:rsidRPr="00AA552A">
        <w:rPr>
          <w:rFonts w:cs="Cambria"/>
          <w:color w:val="000000"/>
          <w:spacing w:val="1"/>
        </w:rPr>
        <w:t>i</w:t>
      </w:r>
      <w:r w:rsidRPr="00AA552A">
        <w:rPr>
          <w:rFonts w:cs="Cambria"/>
          <w:color w:val="000000"/>
          <w:spacing w:val="-1"/>
        </w:rPr>
        <w:t>v</w:t>
      </w:r>
      <w:r w:rsidRPr="00AA552A">
        <w:rPr>
          <w:rFonts w:cs="Cambria"/>
          <w:color w:val="000000"/>
        </w:rPr>
        <w:t>al</w:t>
      </w:r>
      <w:r w:rsidRPr="00AA552A">
        <w:rPr>
          <w:rFonts w:cs="Cambria"/>
          <w:color w:val="000000"/>
          <w:spacing w:val="-5"/>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g</w:t>
      </w:r>
      <w:r w:rsidRPr="00AA552A">
        <w:rPr>
          <w:rFonts w:cs="Cambria"/>
          <w:color w:val="000000"/>
          <w:spacing w:val="-1"/>
        </w:rPr>
        <w:t>r</w:t>
      </w:r>
      <w:r w:rsidRPr="00AA552A">
        <w:rPr>
          <w:rFonts w:cs="Cambria"/>
          <w:color w:val="000000"/>
          <w:spacing w:val="2"/>
        </w:rPr>
        <w:t>o</w:t>
      </w:r>
      <w:r w:rsidRPr="00AA552A">
        <w:rPr>
          <w:rFonts w:cs="Cambria"/>
          <w:color w:val="000000"/>
          <w:spacing w:val="-1"/>
        </w:rPr>
        <w:t>w</w:t>
      </w:r>
      <w:r w:rsidRPr="00AA552A">
        <w:rPr>
          <w:rFonts w:cs="Cambria"/>
          <w:color w:val="000000"/>
        </w:rPr>
        <w:t>th</w:t>
      </w:r>
      <w:r w:rsidRPr="00AA552A">
        <w:rPr>
          <w:rFonts w:cs="Cambria"/>
          <w:color w:val="000000"/>
          <w:spacing w:val="-4"/>
        </w:rPr>
        <w:t xml:space="preserve"> </w:t>
      </w:r>
      <w:r w:rsidRPr="00AA552A">
        <w:rPr>
          <w:rFonts w:cs="Cambria"/>
          <w:color w:val="000000"/>
          <w:spacing w:val="-1"/>
        </w:rPr>
        <w:t>u</w:t>
      </w:r>
      <w:r w:rsidRPr="00AA552A">
        <w:rPr>
          <w:rFonts w:cs="Cambria"/>
          <w:color w:val="000000"/>
        </w:rPr>
        <w:t>p</w:t>
      </w:r>
      <w:r w:rsidRPr="00AA552A">
        <w:rPr>
          <w:rFonts w:cs="Cambria"/>
          <w:color w:val="000000"/>
          <w:spacing w:val="1"/>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i</w:t>
      </w:r>
      <w:r w:rsidRPr="00AA552A">
        <w:rPr>
          <w:rFonts w:cs="Cambria"/>
          <w:color w:val="000000"/>
        </w:rPr>
        <w:t>ncl</w:t>
      </w:r>
      <w:r w:rsidRPr="00AA552A">
        <w:rPr>
          <w:rFonts w:cs="Cambria"/>
          <w:color w:val="000000"/>
          <w:spacing w:val="-1"/>
        </w:rPr>
        <w:t>ud</w:t>
      </w:r>
      <w:r w:rsidRPr="00AA552A">
        <w:rPr>
          <w:rFonts w:cs="Cambria"/>
          <w:color w:val="000000"/>
          <w:spacing w:val="1"/>
        </w:rPr>
        <w:t>i</w:t>
      </w:r>
      <w:r w:rsidRPr="00AA552A">
        <w:rPr>
          <w:rFonts w:cs="Cambria"/>
          <w:color w:val="000000"/>
        </w:rPr>
        <w:t>ng</w:t>
      </w:r>
      <w:r w:rsidRPr="00AA552A">
        <w:rPr>
          <w:rFonts w:cs="Cambria"/>
          <w:color w:val="000000"/>
          <w:spacing w:val="-3"/>
        </w:rPr>
        <w:t xml:space="preserve"> </w:t>
      </w:r>
      <w:r w:rsidRPr="00AA552A">
        <w:rPr>
          <w:rFonts w:cs="Cambria"/>
          <w:color w:val="000000"/>
        </w:rPr>
        <w:t>s</w:t>
      </w:r>
      <w:r w:rsidRPr="00AA552A">
        <w:rPr>
          <w:rFonts w:cs="Cambria"/>
          <w:color w:val="000000"/>
          <w:spacing w:val="1"/>
        </w:rPr>
        <w:t>e</w:t>
      </w:r>
      <w:r w:rsidRPr="00AA552A">
        <w:rPr>
          <w:rFonts w:cs="Cambria"/>
          <w:color w:val="000000"/>
        </w:rPr>
        <w:t>ttl</w:t>
      </w:r>
      <w:r w:rsidRPr="00AA552A">
        <w:rPr>
          <w:rFonts w:cs="Cambria"/>
          <w:color w:val="000000"/>
          <w:spacing w:val="1"/>
        </w:rPr>
        <w:t>e</w:t>
      </w:r>
      <w:r w:rsidRPr="00AA552A">
        <w:rPr>
          <w:rFonts w:cs="Cambria"/>
          <w:color w:val="000000"/>
        </w:rPr>
        <w:t>m</w:t>
      </w:r>
      <w:r w:rsidRPr="00AA552A">
        <w:rPr>
          <w:rFonts w:cs="Cambria"/>
          <w:color w:val="000000"/>
          <w:spacing w:val="1"/>
        </w:rPr>
        <w:t>e</w:t>
      </w:r>
      <w:r w:rsidRPr="00AA552A">
        <w:rPr>
          <w:rFonts w:cs="Cambria"/>
          <w:color w:val="000000"/>
        </w:rPr>
        <w:t>nt.</w:t>
      </w:r>
      <w:r w:rsidRPr="00AA552A">
        <w:rPr>
          <w:rFonts w:cs="Cambria"/>
          <w:color w:val="000000"/>
          <w:spacing w:val="-4"/>
        </w:rPr>
        <w:t xml:space="preserve"> </w:t>
      </w:r>
      <w:r w:rsidRPr="00AA552A">
        <w:rPr>
          <w:rFonts w:cs="Cambria"/>
          <w:color w:val="000000"/>
          <w:spacing w:val="-1"/>
        </w:rPr>
        <w:t>I</w:t>
      </w:r>
      <w:r w:rsidRPr="00AA552A">
        <w:rPr>
          <w:rFonts w:cs="Cambria"/>
          <w:color w:val="000000"/>
        </w:rPr>
        <w:t>n a</w:t>
      </w:r>
      <w:r w:rsidRPr="00AA552A">
        <w:rPr>
          <w:rFonts w:cs="Cambria"/>
          <w:color w:val="000000"/>
          <w:spacing w:val="-1"/>
        </w:rPr>
        <w:t>dd</w:t>
      </w:r>
      <w:r w:rsidRPr="00AA552A">
        <w:rPr>
          <w:rFonts w:cs="Cambria"/>
          <w:color w:val="000000"/>
          <w:spacing w:val="1"/>
        </w:rPr>
        <w:t>i</w:t>
      </w:r>
      <w:r w:rsidRPr="00AA552A">
        <w:rPr>
          <w:rFonts w:cs="Cambria"/>
          <w:color w:val="000000"/>
        </w:rPr>
        <w:t>t</w:t>
      </w:r>
      <w:r w:rsidRPr="00AA552A">
        <w:rPr>
          <w:rFonts w:cs="Cambria"/>
          <w:color w:val="000000"/>
          <w:spacing w:val="1"/>
        </w:rPr>
        <w:t>i</w:t>
      </w:r>
      <w:r w:rsidRPr="00AA552A">
        <w:rPr>
          <w:rFonts w:cs="Cambria"/>
          <w:color w:val="000000"/>
        </w:rPr>
        <w:t>on</w:t>
      </w:r>
      <w:r w:rsidRPr="00AA552A">
        <w:rPr>
          <w:rFonts w:cs="Cambria"/>
          <w:color w:val="000000"/>
          <w:spacing w:val="-7"/>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G</w:t>
      </w:r>
      <w:r w:rsidRPr="00AA552A">
        <w:rPr>
          <w:rFonts w:cs="Cambria"/>
          <w:color w:val="000000"/>
          <w:spacing w:val="-1"/>
        </w:rPr>
        <w:t>u</w:t>
      </w:r>
      <w:r w:rsidRPr="00AA552A">
        <w:rPr>
          <w:rFonts w:cs="Cambria"/>
          <w:color w:val="000000"/>
        </w:rPr>
        <w:t>lf</w:t>
      </w:r>
      <w:r w:rsidRPr="00AA552A">
        <w:rPr>
          <w:rFonts w:cs="Cambria"/>
          <w:color w:val="000000"/>
          <w:spacing w:val="-3"/>
        </w:rPr>
        <w:t xml:space="preserve"> </w:t>
      </w:r>
      <w:r w:rsidRPr="00AA552A">
        <w:rPr>
          <w:rFonts w:cs="Cambria"/>
          <w:color w:val="000000"/>
          <w:spacing w:val="1"/>
        </w:rPr>
        <w:t>S</w:t>
      </w:r>
      <w:r w:rsidRPr="00AA552A">
        <w:rPr>
          <w:rFonts w:cs="Cambria"/>
          <w:color w:val="000000"/>
        </w:rPr>
        <w:t>t</w:t>
      </w:r>
      <w:r w:rsidRPr="00AA552A">
        <w:rPr>
          <w:rFonts w:cs="Cambria"/>
          <w:color w:val="000000"/>
          <w:spacing w:val="-1"/>
        </w:rPr>
        <w:t>r</w:t>
      </w:r>
      <w:r w:rsidRPr="00AA552A">
        <w:rPr>
          <w:rFonts w:cs="Cambria"/>
          <w:color w:val="000000"/>
          <w:spacing w:val="1"/>
        </w:rPr>
        <w:t>e</w:t>
      </w:r>
      <w:r w:rsidRPr="00AA552A">
        <w:rPr>
          <w:rFonts w:cs="Cambria"/>
          <w:color w:val="000000"/>
        </w:rPr>
        <w:t>am</w:t>
      </w:r>
      <w:r w:rsidRPr="00AA552A">
        <w:rPr>
          <w:rFonts w:cs="Cambria"/>
          <w:color w:val="000000"/>
          <w:spacing w:val="-2"/>
        </w:rPr>
        <w:t xml:space="preserve"> </w:t>
      </w:r>
      <w:r w:rsidRPr="00AA552A">
        <w:rPr>
          <w:rFonts w:cs="Cambria"/>
          <w:color w:val="000000"/>
          <w:spacing w:val="1"/>
        </w:rPr>
        <w:t>i</w:t>
      </w:r>
      <w:r w:rsidRPr="00AA552A">
        <w:rPr>
          <w:rFonts w:cs="Cambria"/>
          <w:color w:val="000000"/>
        </w:rPr>
        <w:t>s</w:t>
      </w:r>
      <w:r w:rsidRPr="00AA552A">
        <w:rPr>
          <w:rFonts w:cs="Cambria"/>
          <w:color w:val="000000"/>
          <w:spacing w:val="-2"/>
        </w:rPr>
        <w:t xml:space="preserve"> </w:t>
      </w:r>
      <w:r w:rsidRPr="00AA552A">
        <w:rPr>
          <w:rFonts w:cs="Cambria"/>
          <w:color w:val="000000"/>
        </w:rPr>
        <w:t xml:space="preserve">an </w:t>
      </w: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nt</w:t>
      </w:r>
      <w:r w:rsidRPr="00AA552A">
        <w:rPr>
          <w:rFonts w:cs="Cambria"/>
          <w:color w:val="000000"/>
          <w:spacing w:val="1"/>
        </w:rPr>
        <w:t>i</w:t>
      </w:r>
      <w:r w:rsidRPr="00AA552A">
        <w:rPr>
          <w:rFonts w:cs="Cambria"/>
          <w:color w:val="000000"/>
        </w:rPr>
        <w:t>al</w:t>
      </w:r>
      <w:r w:rsidRPr="00AA552A">
        <w:rPr>
          <w:rFonts w:cs="Cambria"/>
          <w:color w:val="000000"/>
          <w:spacing w:val="-5"/>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ha</w:t>
      </w:r>
      <w:r w:rsidRPr="00AA552A">
        <w:rPr>
          <w:rFonts w:cs="Cambria"/>
          <w:color w:val="000000"/>
          <w:spacing w:val="1"/>
        </w:rPr>
        <w:t>bi</w:t>
      </w:r>
      <w:r w:rsidRPr="00AA552A">
        <w:rPr>
          <w:rFonts w:cs="Cambria"/>
          <w:color w:val="000000"/>
          <w:spacing w:val="-2"/>
        </w:rPr>
        <w:t>t</w:t>
      </w:r>
      <w:r w:rsidRPr="00AA552A">
        <w:rPr>
          <w:rFonts w:cs="Cambria"/>
          <w:color w:val="000000"/>
        </w:rPr>
        <w:t>at</w:t>
      </w:r>
      <w:r w:rsidRPr="00AA552A">
        <w:rPr>
          <w:rFonts w:cs="Cambria"/>
          <w:color w:val="000000"/>
          <w:spacing w:val="-2"/>
        </w:rPr>
        <w:t xml:space="preserve"> </w:t>
      </w:r>
      <w:r w:rsidRPr="00AA552A">
        <w:rPr>
          <w:rFonts w:cs="Cambria"/>
          <w:color w:val="000000"/>
          <w:spacing w:val="1"/>
        </w:rPr>
        <w:t>b</w:t>
      </w:r>
      <w:r w:rsidRPr="00AA552A">
        <w:rPr>
          <w:rFonts w:cs="Cambria"/>
          <w:color w:val="000000"/>
          <w:spacing w:val="-2"/>
        </w:rPr>
        <w:t>e</w:t>
      </w:r>
      <w:r w:rsidRPr="00AA552A">
        <w:rPr>
          <w:rFonts w:cs="Cambria"/>
          <w:color w:val="000000"/>
        </w:rPr>
        <w:t>ca</w:t>
      </w:r>
      <w:r w:rsidRPr="00AA552A">
        <w:rPr>
          <w:rFonts w:cs="Cambria"/>
          <w:color w:val="000000"/>
          <w:spacing w:val="-1"/>
        </w:rPr>
        <w:t>u</w:t>
      </w:r>
      <w:r w:rsidRPr="00AA552A">
        <w:rPr>
          <w:rFonts w:cs="Cambria"/>
          <w:color w:val="000000"/>
        </w:rPr>
        <w:t>se</w:t>
      </w:r>
      <w:r w:rsidRPr="00AA552A">
        <w:rPr>
          <w:rFonts w:cs="Cambria"/>
          <w:color w:val="000000"/>
          <w:spacing w:val="-3"/>
        </w:rPr>
        <w:t xml:space="preserve"> </w:t>
      </w:r>
      <w:r w:rsidRPr="00AA552A">
        <w:rPr>
          <w:rFonts w:cs="Cambria"/>
          <w:color w:val="000000"/>
          <w:spacing w:val="1"/>
        </w:rPr>
        <w:t>i</w:t>
      </w:r>
      <w:r w:rsidRPr="00AA552A">
        <w:rPr>
          <w:rFonts w:cs="Cambria"/>
          <w:color w:val="000000"/>
        </w:rPr>
        <w:t>t</w:t>
      </w:r>
      <w:r w:rsidRPr="00AA552A">
        <w:rPr>
          <w:rFonts w:cs="Cambria"/>
          <w:color w:val="000000"/>
          <w:spacing w:val="-1"/>
        </w:rPr>
        <w:t xml:space="preserve"> </w:t>
      </w:r>
      <w:r w:rsidRPr="00AA552A">
        <w:rPr>
          <w:rFonts w:cs="Cambria"/>
          <w:color w:val="000000"/>
          <w:spacing w:val="1"/>
        </w:rPr>
        <w:t>p</w:t>
      </w:r>
      <w:r w:rsidRPr="00AA552A">
        <w:rPr>
          <w:rFonts w:cs="Cambria"/>
          <w:color w:val="000000"/>
          <w:spacing w:val="-1"/>
        </w:rPr>
        <w:t>r</w:t>
      </w:r>
      <w:r w:rsidRPr="00AA552A">
        <w:rPr>
          <w:rFonts w:cs="Cambria"/>
          <w:color w:val="000000"/>
        </w:rPr>
        <w:t>o</w:t>
      </w:r>
      <w:r w:rsidRPr="00AA552A">
        <w:rPr>
          <w:rFonts w:cs="Cambria"/>
          <w:color w:val="000000"/>
          <w:spacing w:val="-1"/>
        </w:rPr>
        <w:t>v</w:t>
      </w:r>
      <w:r w:rsidRPr="00AA552A">
        <w:rPr>
          <w:rFonts w:cs="Cambria"/>
          <w:color w:val="000000"/>
          <w:spacing w:val="1"/>
        </w:rPr>
        <w:t>i</w:t>
      </w:r>
      <w:r w:rsidRPr="00AA552A">
        <w:rPr>
          <w:rFonts w:cs="Cambria"/>
          <w:color w:val="000000"/>
          <w:spacing w:val="-1"/>
        </w:rPr>
        <w:t>d</w:t>
      </w:r>
      <w:r w:rsidRPr="00AA552A">
        <w:rPr>
          <w:rFonts w:cs="Cambria"/>
          <w:color w:val="000000"/>
          <w:spacing w:val="1"/>
        </w:rPr>
        <w:t>e</w:t>
      </w:r>
      <w:r w:rsidRPr="00AA552A">
        <w:rPr>
          <w:rFonts w:cs="Cambria"/>
          <w:color w:val="000000"/>
        </w:rPr>
        <w:t>s</w:t>
      </w:r>
      <w:r w:rsidRPr="00AA552A">
        <w:rPr>
          <w:rFonts w:cs="Cambria"/>
          <w:color w:val="000000"/>
          <w:spacing w:val="-8"/>
        </w:rPr>
        <w:t xml:space="preserve"> </w:t>
      </w:r>
      <w:r w:rsidRPr="00AA552A">
        <w:rPr>
          <w:rFonts w:cs="Cambria"/>
          <w:color w:val="000000"/>
        </w:rPr>
        <w:t>a m</w:t>
      </w:r>
      <w:r w:rsidRPr="00AA552A">
        <w:rPr>
          <w:rFonts w:cs="Cambria"/>
          <w:color w:val="000000"/>
          <w:spacing w:val="1"/>
        </w:rPr>
        <w:t>e</w:t>
      </w:r>
      <w:r w:rsidRPr="00AA552A">
        <w:rPr>
          <w:rFonts w:cs="Cambria"/>
          <w:color w:val="000000"/>
        </w:rPr>
        <w:t>chan</w:t>
      </w:r>
      <w:r w:rsidRPr="00AA552A">
        <w:rPr>
          <w:rFonts w:cs="Cambria"/>
          <w:color w:val="000000"/>
          <w:spacing w:val="1"/>
        </w:rPr>
        <w:t>i</w:t>
      </w:r>
      <w:r w:rsidRPr="00AA552A">
        <w:rPr>
          <w:rFonts w:cs="Cambria"/>
          <w:color w:val="000000"/>
        </w:rPr>
        <w:t>sm</w:t>
      </w:r>
      <w:r w:rsidRPr="00AA552A">
        <w:rPr>
          <w:rFonts w:cs="Cambria"/>
          <w:color w:val="000000"/>
          <w:spacing w:val="-5"/>
        </w:rPr>
        <w:t xml:space="preserve"> </w:t>
      </w:r>
      <w:r w:rsidRPr="00AA552A">
        <w:rPr>
          <w:rFonts w:cs="Cambria"/>
          <w:color w:val="000000"/>
        </w:rPr>
        <w:t>to</w:t>
      </w:r>
      <w:r w:rsidRPr="00AA552A">
        <w:rPr>
          <w:rFonts w:cs="Cambria"/>
          <w:color w:val="000000"/>
          <w:spacing w:val="-1"/>
        </w:rPr>
        <w:t xml:space="preserve"> d</w:t>
      </w:r>
      <w:r w:rsidRPr="00AA552A">
        <w:rPr>
          <w:rFonts w:cs="Cambria"/>
          <w:color w:val="000000"/>
          <w:spacing w:val="1"/>
        </w:rPr>
        <w:t>i</w:t>
      </w:r>
      <w:r w:rsidRPr="00AA552A">
        <w:rPr>
          <w:rFonts w:cs="Cambria"/>
          <w:color w:val="000000"/>
        </w:rPr>
        <w:t>s</w:t>
      </w:r>
      <w:r w:rsidRPr="00AA552A">
        <w:rPr>
          <w:rFonts w:cs="Cambria"/>
          <w:color w:val="000000"/>
          <w:spacing w:val="1"/>
        </w:rPr>
        <w:t>pe</w:t>
      </w:r>
      <w:r w:rsidRPr="00AA552A">
        <w:rPr>
          <w:rFonts w:cs="Cambria"/>
          <w:color w:val="000000"/>
          <w:spacing w:val="-1"/>
        </w:rPr>
        <w:t>r</w:t>
      </w:r>
      <w:r w:rsidRPr="00AA552A">
        <w:rPr>
          <w:rFonts w:cs="Cambria"/>
          <w:color w:val="000000"/>
        </w:rPr>
        <w:t>se</w:t>
      </w:r>
      <w:r w:rsidRPr="00AA552A">
        <w:rPr>
          <w:rFonts w:cs="Cambria"/>
          <w:color w:val="000000"/>
          <w:spacing w:val="-6"/>
        </w:rPr>
        <w:t xml:space="preserve"> </w:t>
      </w:r>
      <w:r w:rsidRPr="00AA552A">
        <w:rPr>
          <w:rFonts w:cs="Cambria"/>
          <w:color w:val="000000"/>
        </w:rPr>
        <w:t>sn</w:t>
      </w:r>
      <w:r w:rsidRPr="00AA552A">
        <w:rPr>
          <w:rFonts w:cs="Cambria"/>
          <w:color w:val="000000"/>
          <w:spacing w:val="-2"/>
        </w:rPr>
        <w:t>a</w:t>
      </w:r>
      <w:r w:rsidRPr="00AA552A">
        <w:rPr>
          <w:rFonts w:cs="Cambria"/>
          <w:color w:val="000000"/>
          <w:spacing w:val="1"/>
        </w:rPr>
        <w:t>ppe</w:t>
      </w:r>
      <w:r w:rsidRPr="00AA552A">
        <w:rPr>
          <w:rFonts w:cs="Cambria"/>
          <w:color w:val="000000"/>
        </w:rPr>
        <w:t>r</w:t>
      </w:r>
      <w:r w:rsidRPr="00AA552A">
        <w:rPr>
          <w:rFonts w:cs="Cambria"/>
          <w:color w:val="000000"/>
          <w:spacing w:val="-4"/>
        </w:rPr>
        <w:t xml:space="preserve"> </w:t>
      </w:r>
      <w:r w:rsidRPr="00AA552A">
        <w:rPr>
          <w:rFonts w:cs="Cambria"/>
          <w:color w:val="000000"/>
          <w:spacing w:val="-1"/>
        </w:rPr>
        <w:t>gr</w:t>
      </w:r>
      <w:r w:rsidRPr="00AA552A">
        <w:rPr>
          <w:rFonts w:cs="Cambria"/>
          <w:color w:val="000000"/>
        </w:rPr>
        <w:t>o</w:t>
      </w:r>
      <w:r w:rsidRPr="00AA552A">
        <w:rPr>
          <w:rFonts w:cs="Cambria"/>
          <w:color w:val="000000"/>
          <w:spacing w:val="-1"/>
        </w:rPr>
        <w:t>u</w:t>
      </w:r>
      <w:r w:rsidRPr="00AA552A">
        <w:rPr>
          <w:rFonts w:cs="Cambria"/>
          <w:color w:val="000000"/>
          <w:spacing w:val="1"/>
        </w:rPr>
        <w:t>pe</w:t>
      </w:r>
      <w:r w:rsidRPr="00AA552A">
        <w:rPr>
          <w:rFonts w:cs="Cambria"/>
          <w:color w:val="000000"/>
        </w:rPr>
        <w:t>r</w:t>
      </w:r>
      <w:r w:rsidRPr="00AA552A">
        <w:rPr>
          <w:rFonts w:cs="Cambria"/>
          <w:color w:val="000000"/>
          <w:spacing w:val="-5"/>
        </w:rPr>
        <w:t xml:space="preserve"> </w:t>
      </w:r>
      <w:r w:rsidRPr="00AA552A">
        <w:rPr>
          <w:rFonts w:cs="Cambria"/>
          <w:color w:val="000000"/>
        </w:rPr>
        <w:t>la</w:t>
      </w:r>
      <w:r w:rsidRPr="00AA552A">
        <w:rPr>
          <w:rFonts w:cs="Cambria"/>
          <w:color w:val="000000"/>
          <w:spacing w:val="-1"/>
        </w:rPr>
        <w:t>rv</w:t>
      </w:r>
      <w:r w:rsidRPr="00AA552A">
        <w:rPr>
          <w:rFonts w:cs="Cambria"/>
          <w:color w:val="000000"/>
        </w:rPr>
        <w:t>a</w:t>
      </w:r>
      <w:r w:rsidRPr="00AA552A">
        <w:rPr>
          <w:rFonts w:cs="Cambria"/>
          <w:color w:val="000000"/>
          <w:spacing w:val="1"/>
        </w:rPr>
        <w:t>e</w:t>
      </w:r>
      <w:r w:rsidRPr="00AA552A">
        <w:rPr>
          <w:rFonts w:cs="Cambria"/>
          <w:color w:val="000000"/>
        </w:rPr>
        <w:t>.</w:t>
      </w:r>
    </w:p>
    <w:p w14:paraId="2FD37455" w14:textId="77777777" w:rsidR="00DC4922" w:rsidRPr="00AA552A" w:rsidRDefault="00DC4922" w:rsidP="00DC4922">
      <w:pPr>
        <w:rPr>
          <w:rFonts w:cs="Cambria"/>
          <w:color w:val="000000"/>
          <w:sz w:val="26"/>
        </w:rPr>
      </w:pPr>
    </w:p>
    <w:p w14:paraId="5E22B53F" w14:textId="77777777" w:rsidR="00DC4922" w:rsidRPr="00AA552A" w:rsidRDefault="00DC4922" w:rsidP="00640526">
      <w:pPr>
        <w:ind w:firstLine="360"/>
        <w:rPr>
          <w:rFonts w:cs="Cambria"/>
          <w:color w:val="000000"/>
        </w:rPr>
      </w:pPr>
      <w:r w:rsidRPr="00AA552A">
        <w:rPr>
          <w:rFonts w:cs="Cambria"/>
          <w:color w:val="000000"/>
          <w:spacing w:val="1"/>
        </w:rPr>
        <w:t>F</w:t>
      </w:r>
      <w:r w:rsidRPr="00AA552A">
        <w:rPr>
          <w:rFonts w:cs="Cambria"/>
          <w:color w:val="000000"/>
        </w:rPr>
        <w:t>or</w:t>
      </w:r>
      <w:r w:rsidRPr="00AA552A">
        <w:rPr>
          <w:rFonts w:cs="Cambria"/>
          <w:color w:val="000000"/>
          <w:spacing w:val="-5"/>
        </w:rPr>
        <w:t xml:space="preserve"> </w:t>
      </w:r>
      <w:r w:rsidRPr="00AA552A">
        <w:rPr>
          <w:rFonts w:cs="Cambria"/>
          <w:color w:val="000000"/>
        </w:rPr>
        <w:t>s</w:t>
      </w:r>
      <w:r w:rsidRPr="00AA552A">
        <w:rPr>
          <w:rFonts w:cs="Cambria"/>
          <w:color w:val="000000"/>
          <w:spacing w:val="1"/>
        </w:rPr>
        <w:t>pe</w:t>
      </w:r>
      <w:r w:rsidRPr="00AA552A">
        <w:rPr>
          <w:rFonts w:cs="Cambria"/>
          <w:color w:val="000000"/>
        </w:rPr>
        <w:t>c</w:t>
      </w:r>
      <w:r w:rsidRPr="00AA552A">
        <w:rPr>
          <w:rFonts w:cs="Cambria"/>
          <w:color w:val="000000"/>
          <w:spacing w:val="1"/>
        </w:rPr>
        <w:t>i</w:t>
      </w:r>
      <w:r w:rsidRPr="00AA552A">
        <w:rPr>
          <w:rFonts w:cs="Cambria"/>
          <w:color w:val="000000"/>
          <w:spacing w:val="-1"/>
        </w:rPr>
        <w:t>f</w:t>
      </w:r>
      <w:r w:rsidRPr="00AA552A">
        <w:rPr>
          <w:rFonts w:cs="Cambria"/>
          <w:color w:val="000000"/>
          <w:spacing w:val="1"/>
        </w:rPr>
        <w:t>i</w:t>
      </w:r>
      <w:r w:rsidRPr="00AA552A">
        <w:rPr>
          <w:rFonts w:cs="Cambria"/>
          <w:color w:val="000000"/>
        </w:rPr>
        <w:t>c</w:t>
      </w:r>
      <w:r w:rsidRPr="00AA552A">
        <w:rPr>
          <w:rFonts w:cs="Cambria"/>
          <w:color w:val="000000"/>
          <w:spacing w:val="-6"/>
        </w:rPr>
        <w:t xml:space="preserve"> </w:t>
      </w:r>
      <w:r w:rsidRPr="00AA552A">
        <w:rPr>
          <w:rFonts w:cs="Cambria"/>
          <w:color w:val="000000"/>
        </w:rPr>
        <w:t>l</w:t>
      </w:r>
      <w:r w:rsidRPr="00AA552A">
        <w:rPr>
          <w:rFonts w:cs="Cambria"/>
          <w:color w:val="000000"/>
          <w:spacing w:val="1"/>
        </w:rPr>
        <w:t>i</w:t>
      </w:r>
      <w:r w:rsidRPr="00AA552A">
        <w:rPr>
          <w:rFonts w:cs="Cambria"/>
          <w:color w:val="000000"/>
          <w:spacing w:val="-1"/>
        </w:rPr>
        <w:t>f</w:t>
      </w:r>
      <w:r w:rsidRPr="00AA552A">
        <w:rPr>
          <w:rFonts w:cs="Cambria"/>
          <w:color w:val="000000"/>
        </w:rPr>
        <w:t>e</w:t>
      </w:r>
      <w:r w:rsidRPr="00AA552A">
        <w:rPr>
          <w:rFonts w:cs="Cambria"/>
          <w:color w:val="000000"/>
          <w:spacing w:val="-2"/>
        </w:rPr>
        <w:t xml:space="preserve"> </w:t>
      </w:r>
      <w:r w:rsidRPr="00AA552A">
        <w:rPr>
          <w:rFonts w:cs="Cambria"/>
          <w:color w:val="000000"/>
        </w:rPr>
        <w:t>sta</w:t>
      </w:r>
      <w:r w:rsidRPr="00AA552A">
        <w:rPr>
          <w:rFonts w:cs="Cambria"/>
          <w:color w:val="000000"/>
          <w:spacing w:val="-1"/>
        </w:rPr>
        <w:t>g</w:t>
      </w:r>
      <w:r w:rsidRPr="00AA552A">
        <w:rPr>
          <w:rFonts w:cs="Cambria"/>
          <w:color w:val="000000"/>
          <w:spacing w:val="1"/>
        </w:rPr>
        <w:t>e</w:t>
      </w:r>
      <w:r w:rsidRPr="00AA552A">
        <w:rPr>
          <w:rFonts w:cs="Cambria"/>
          <w:color w:val="000000"/>
        </w:rPr>
        <w:t>s</w:t>
      </w:r>
      <w:r w:rsidRPr="00AA552A">
        <w:rPr>
          <w:rFonts w:cs="Cambria"/>
          <w:color w:val="000000"/>
          <w:spacing w:val="-3"/>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e</w:t>
      </w:r>
      <w:r w:rsidRPr="00AA552A">
        <w:rPr>
          <w:rFonts w:cs="Cambria"/>
          <w:color w:val="000000"/>
        </w:rPr>
        <w:t>st</w:t>
      </w:r>
      <w:r w:rsidRPr="00AA552A">
        <w:rPr>
          <w:rFonts w:cs="Cambria"/>
          <w:color w:val="000000"/>
          <w:spacing w:val="-1"/>
        </w:rPr>
        <w:t>u</w:t>
      </w:r>
      <w:r w:rsidRPr="00AA552A">
        <w:rPr>
          <w:rFonts w:cs="Cambria"/>
          <w:color w:val="000000"/>
        </w:rPr>
        <w:t>a</w:t>
      </w:r>
      <w:r w:rsidRPr="00AA552A">
        <w:rPr>
          <w:rFonts w:cs="Cambria"/>
          <w:color w:val="000000"/>
          <w:spacing w:val="-1"/>
        </w:rPr>
        <w:t>r</w:t>
      </w:r>
      <w:r w:rsidRPr="00AA552A">
        <w:rPr>
          <w:rFonts w:cs="Cambria"/>
          <w:color w:val="000000"/>
          <w:spacing w:val="1"/>
        </w:rPr>
        <w:t>i</w:t>
      </w:r>
      <w:r w:rsidRPr="00AA552A">
        <w:rPr>
          <w:rFonts w:cs="Cambria"/>
          <w:color w:val="000000"/>
        </w:rPr>
        <w:t>ne</w:t>
      </w:r>
      <w:r w:rsidRPr="00AA552A">
        <w:rPr>
          <w:rFonts w:cs="Cambria"/>
          <w:color w:val="000000"/>
          <w:spacing w:val="-4"/>
        </w:rPr>
        <w:t xml:space="preserve"> </w:t>
      </w:r>
      <w:r w:rsidRPr="00AA552A">
        <w:rPr>
          <w:rFonts w:cs="Cambria"/>
          <w:color w:val="000000"/>
          <w:spacing w:val="-1"/>
        </w:rPr>
        <w:t>d</w:t>
      </w:r>
      <w:r w:rsidRPr="00AA552A">
        <w:rPr>
          <w:rFonts w:cs="Cambria"/>
          <w:color w:val="000000"/>
          <w:spacing w:val="1"/>
        </w:rPr>
        <w:t>epe</w:t>
      </w:r>
      <w:r w:rsidRPr="00AA552A">
        <w:rPr>
          <w:rFonts w:cs="Cambria"/>
          <w:color w:val="000000"/>
        </w:rPr>
        <w:t>n</w:t>
      </w:r>
      <w:r w:rsidRPr="00AA552A">
        <w:rPr>
          <w:rFonts w:cs="Cambria"/>
          <w:color w:val="000000"/>
          <w:spacing w:val="-1"/>
        </w:rPr>
        <w:t>d</w:t>
      </w:r>
      <w:r w:rsidRPr="00AA552A">
        <w:rPr>
          <w:rFonts w:cs="Cambria"/>
          <w:color w:val="000000"/>
          <w:spacing w:val="1"/>
        </w:rPr>
        <w:t>e</w:t>
      </w:r>
      <w:r w:rsidRPr="00AA552A">
        <w:rPr>
          <w:rFonts w:cs="Cambria"/>
          <w:color w:val="000000"/>
        </w:rPr>
        <w:t>nt</w:t>
      </w:r>
      <w:r w:rsidRPr="00AA552A">
        <w:rPr>
          <w:rFonts w:cs="Cambria"/>
          <w:color w:val="000000"/>
          <w:spacing w:val="-6"/>
        </w:rPr>
        <w:t xml:space="preserve"> </w:t>
      </w:r>
      <w:r w:rsidRPr="00AA552A">
        <w:rPr>
          <w:rFonts w:cs="Cambria"/>
          <w:color w:val="000000"/>
          <w:spacing w:val="-2"/>
        </w:rPr>
        <w:t>a</w:t>
      </w:r>
      <w:r w:rsidRPr="00AA552A">
        <w:rPr>
          <w:rFonts w:cs="Cambria"/>
          <w:color w:val="000000"/>
        </w:rPr>
        <w:t>nd</w:t>
      </w:r>
      <w:r w:rsidRPr="00AA552A">
        <w:rPr>
          <w:rFonts w:cs="Cambria"/>
          <w:color w:val="000000"/>
          <w:spacing w:val="-2"/>
        </w:rPr>
        <w:t xml:space="preserve"> </w:t>
      </w:r>
      <w:r w:rsidRPr="00AA552A">
        <w:rPr>
          <w:rFonts w:cs="Cambria"/>
          <w:color w:val="000000"/>
        </w:rPr>
        <w:t>n</w:t>
      </w:r>
      <w:r w:rsidRPr="00AA552A">
        <w:rPr>
          <w:rFonts w:cs="Cambria"/>
          <w:color w:val="000000"/>
          <w:spacing w:val="1"/>
        </w:rPr>
        <w:t>e</w:t>
      </w:r>
      <w:r w:rsidRPr="00AA552A">
        <w:rPr>
          <w:rFonts w:cs="Cambria"/>
          <w:color w:val="000000"/>
        </w:rPr>
        <w:t>a</w:t>
      </w:r>
      <w:r w:rsidRPr="00AA552A">
        <w:rPr>
          <w:rFonts w:cs="Cambria"/>
          <w:color w:val="000000"/>
          <w:spacing w:val="-1"/>
        </w:rPr>
        <w:t>r</w:t>
      </w:r>
      <w:r w:rsidRPr="00AA552A">
        <w:rPr>
          <w:rFonts w:cs="Cambria"/>
          <w:color w:val="000000"/>
        </w:rPr>
        <w:t>sho</w:t>
      </w:r>
      <w:r w:rsidRPr="00AA552A">
        <w:rPr>
          <w:rFonts w:cs="Cambria"/>
          <w:color w:val="000000"/>
          <w:spacing w:val="-1"/>
        </w:rPr>
        <w:t>r</w:t>
      </w:r>
      <w:r w:rsidRPr="00AA552A">
        <w:rPr>
          <w:rFonts w:cs="Cambria"/>
          <w:color w:val="000000"/>
        </w:rPr>
        <w:t>e</w:t>
      </w:r>
      <w:r w:rsidRPr="00AA552A">
        <w:rPr>
          <w:rFonts w:cs="Cambria"/>
          <w:color w:val="000000"/>
          <w:spacing w:val="-7"/>
        </w:rPr>
        <w:t xml:space="preserve"> </w:t>
      </w:r>
      <w:r w:rsidRPr="00AA552A">
        <w:rPr>
          <w:rFonts w:cs="Cambria"/>
          <w:color w:val="000000"/>
        </w:rPr>
        <w:t>sna</w:t>
      </w:r>
      <w:r w:rsidRPr="00AA552A">
        <w:rPr>
          <w:rFonts w:cs="Cambria"/>
          <w:color w:val="000000"/>
          <w:spacing w:val="1"/>
        </w:rPr>
        <w:t>ppe</w:t>
      </w:r>
      <w:r w:rsidRPr="00AA552A">
        <w:rPr>
          <w:rFonts w:cs="Cambria"/>
          <w:color w:val="000000"/>
          <w:spacing w:val="-1"/>
        </w:rPr>
        <w:t>r</w:t>
      </w:r>
      <w:r>
        <w:rPr>
          <w:rFonts w:cs="Cambria"/>
          <w:color w:val="000000"/>
        </w:rPr>
        <w:t xml:space="preserve"> </w:t>
      </w:r>
      <w:r w:rsidRPr="00AA552A">
        <w:rPr>
          <w:rFonts w:cs="Cambria"/>
          <w:color w:val="000000"/>
          <w:spacing w:val="-1"/>
        </w:rPr>
        <w:t>gr</w:t>
      </w:r>
      <w:r w:rsidRPr="00AA552A">
        <w:rPr>
          <w:rFonts w:cs="Cambria"/>
          <w:color w:val="000000"/>
        </w:rPr>
        <w:t>o</w:t>
      </w:r>
      <w:r w:rsidRPr="00AA552A">
        <w:rPr>
          <w:rFonts w:cs="Cambria"/>
          <w:color w:val="000000"/>
          <w:spacing w:val="-1"/>
        </w:rPr>
        <w:t>u</w:t>
      </w:r>
      <w:r w:rsidRPr="00AA552A">
        <w:rPr>
          <w:rFonts w:cs="Cambria"/>
          <w:color w:val="000000"/>
          <w:spacing w:val="1"/>
        </w:rPr>
        <w:t>pe</w:t>
      </w:r>
      <w:r w:rsidRPr="00AA552A">
        <w:rPr>
          <w:rFonts w:cs="Cambria"/>
          <w:color w:val="000000"/>
        </w:rPr>
        <w:t>r</w:t>
      </w:r>
      <w:r w:rsidRPr="00AA552A">
        <w:rPr>
          <w:rFonts w:cs="Cambria"/>
          <w:color w:val="000000"/>
          <w:spacing w:val="-9"/>
        </w:rPr>
        <w:t xml:space="preserve"> </w:t>
      </w:r>
      <w:r w:rsidRPr="00AA552A">
        <w:rPr>
          <w:rFonts w:cs="Cambria"/>
          <w:color w:val="000000"/>
        </w:rPr>
        <w:t>s</w:t>
      </w:r>
      <w:r w:rsidRPr="00AA552A">
        <w:rPr>
          <w:rFonts w:cs="Cambria"/>
          <w:color w:val="000000"/>
          <w:spacing w:val="1"/>
        </w:rPr>
        <w:t>pe</w:t>
      </w:r>
      <w:r w:rsidRPr="00AA552A">
        <w:rPr>
          <w:rFonts w:cs="Cambria"/>
          <w:color w:val="000000"/>
        </w:rPr>
        <w:t>c</w:t>
      </w:r>
      <w:r w:rsidRPr="00AA552A">
        <w:rPr>
          <w:rFonts w:cs="Cambria"/>
          <w:color w:val="000000"/>
          <w:spacing w:val="1"/>
        </w:rPr>
        <w:t>ie</w:t>
      </w:r>
      <w:r w:rsidRPr="00AA552A">
        <w:rPr>
          <w:rFonts w:cs="Cambria"/>
          <w:color w:val="000000"/>
        </w:rPr>
        <w:t>s,</w:t>
      </w:r>
      <w:r w:rsidRPr="00AA552A">
        <w:rPr>
          <w:rFonts w:cs="Cambria"/>
          <w:color w:val="000000"/>
          <w:spacing w:val="-5"/>
        </w:rPr>
        <w:t xml:space="preserve"> </w:t>
      </w:r>
      <w:r w:rsidRPr="00AA552A">
        <w:rPr>
          <w:rFonts w:cs="Cambria"/>
          <w:color w:val="000000"/>
          <w:spacing w:val="1"/>
        </w:rPr>
        <w:t>e</w:t>
      </w:r>
      <w:r w:rsidRPr="00AA552A">
        <w:rPr>
          <w:rFonts w:cs="Cambria"/>
          <w:color w:val="000000"/>
        </w:rPr>
        <w:t>ss</w:t>
      </w:r>
      <w:r w:rsidRPr="00AA552A">
        <w:rPr>
          <w:rFonts w:cs="Cambria"/>
          <w:color w:val="000000"/>
          <w:spacing w:val="-2"/>
        </w:rPr>
        <w:t>e</w:t>
      </w:r>
      <w:r w:rsidRPr="00AA552A">
        <w:rPr>
          <w:rFonts w:cs="Cambria"/>
          <w:color w:val="000000"/>
        </w:rPr>
        <w:t>nt</w:t>
      </w:r>
      <w:r w:rsidRPr="00AA552A">
        <w:rPr>
          <w:rFonts w:cs="Cambria"/>
          <w:color w:val="000000"/>
          <w:spacing w:val="1"/>
        </w:rPr>
        <w:t>i</w:t>
      </w:r>
      <w:r w:rsidRPr="00AA552A">
        <w:rPr>
          <w:rFonts w:cs="Cambria"/>
          <w:color w:val="000000"/>
          <w:spacing w:val="-2"/>
        </w:rPr>
        <w:t>a</w:t>
      </w:r>
      <w:r w:rsidRPr="00AA552A">
        <w:rPr>
          <w:rFonts w:cs="Cambria"/>
          <w:color w:val="000000"/>
        </w:rPr>
        <w:t xml:space="preserve">l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ha</w:t>
      </w:r>
      <w:r w:rsidRPr="00AA552A">
        <w:rPr>
          <w:rFonts w:cs="Cambria"/>
          <w:color w:val="000000"/>
          <w:spacing w:val="1"/>
        </w:rPr>
        <w:t>bi</w:t>
      </w:r>
      <w:r w:rsidRPr="00AA552A">
        <w:rPr>
          <w:rFonts w:cs="Cambria"/>
          <w:color w:val="000000"/>
        </w:rPr>
        <w:t>tat</w:t>
      </w:r>
      <w:r w:rsidRPr="00AA552A">
        <w:rPr>
          <w:rFonts w:cs="Cambria"/>
          <w:color w:val="000000"/>
          <w:spacing w:val="-2"/>
        </w:rPr>
        <w:t xml:space="preserve"> </w:t>
      </w:r>
      <w:r w:rsidRPr="00AA552A">
        <w:rPr>
          <w:rFonts w:cs="Cambria"/>
          <w:color w:val="000000"/>
          <w:spacing w:val="1"/>
        </w:rPr>
        <w:t>i</w:t>
      </w:r>
      <w:r w:rsidRPr="00AA552A">
        <w:rPr>
          <w:rFonts w:cs="Cambria"/>
          <w:color w:val="000000"/>
        </w:rPr>
        <w:t>ncl</w:t>
      </w:r>
      <w:r w:rsidRPr="00AA552A">
        <w:rPr>
          <w:rFonts w:cs="Cambria"/>
          <w:color w:val="000000"/>
          <w:spacing w:val="-1"/>
        </w:rPr>
        <w:t>ud</w:t>
      </w:r>
      <w:r w:rsidRPr="00AA552A">
        <w:rPr>
          <w:rFonts w:cs="Cambria"/>
          <w:color w:val="000000"/>
          <w:spacing w:val="1"/>
        </w:rPr>
        <w:t>e</w:t>
      </w:r>
      <w:r w:rsidRPr="00AA552A">
        <w:rPr>
          <w:rFonts w:cs="Cambria"/>
          <w:color w:val="000000"/>
        </w:rPr>
        <w:t>s</w:t>
      </w:r>
      <w:r w:rsidRPr="00AA552A">
        <w:rPr>
          <w:rFonts w:cs="Cambria"/>
          <w:color w:val="000000"/>
          <w:spacing w:val="-5"/>
        </w:rPr>
        <w:t xml:space="preserve"> </w:t>
      </w:r>
      <w:r w:rsidRPr="00AA552A">
        <w:rPr>
          <w:rFonts w:cs="Cambria"/>
          <w:color w:val="000000"/>
        </w:rPr>
        <w:t>a</w:t>
      </w:r>
      <w:r w:rsidRPr="00AA552A">
        <w:rPr>
          <w:rFonts w:cs="Cambria"/>
          <w:color w:val="000000"/>
          <w:spacing w:val="-1"/>
        </w:rPr>
        <w:t>r</w:t>
      </w:r>
      <w:r w:rsidRPr="00AA552A">
        <w:rPr>
          <w:rFonts w:cs="Cambria"/>
          <w:color w:val="000000"/>
          <w:spacing w:val="1"/>
        </w:rPr>
        <w:t>e</w:t>
      </w:r>
      <w:r w:rsidRPr="00AA552A">
        <w:rPr>
          <w:rFonts w:cs="Cambria"/>
          <w:color w:val="000000"/>
        </w:rPr>
        <w:t>as</w:t>
      </w:r>
      <w:r w:rsidRPr="00AA552A">
        <w:rPr>
          <w:rFonts w:cs="Cambria"/>
          <w:color w:val="000000"/>
          <w:spacing w:val="-3"/>
        </w:rPr>
        <w:t xml:space="preserve"> </w:t>
      </w:r>
      <w:r w:rsidRPr="00AA552A">
        <w:rPr>
          <w:rFonts w:cs="Cambria"/>
          <w:color w:val="000000"/>
          <w:spacing w:val="1"/>
        </w:rPr>
        <w:t>i</w:t>
      </w:r>
      <w:r w:rsidRPr="00AA552A">
        <w:rPr>
          <w:rFonts w:cs="Cambria"/>
          <w:color w:val="000000"/>
        </w:rPr>
        <w:t>nsho</w:t>
      </w:r>
      <w:r w:rsidRPr="00AA552A">
        <w:rPr>
          <w:rFonts w:cs="Cambria"/>
          <w:color w:val="000000"/>
          <w:spacing w:val="-1"/>
        </w:rPr>
        <w:t>r</w:t>
      </w:r>
      <w:r w:rsidRPr="00AA552A">
        <w:rPr>
          <w:rFonts w:cs="Cambria"/>
          <w:color w:val="000000"/>
        </w:rPr>
        <w:t>e</w:t>
      </w:r>
      <w:r w:rsidRPr="00AA552A">
        <w:rPr>
          <w:rFonts w:cs="Cambria"/>
          <w:color w:val="000000"/>
          <w:spacing w:val="-5"/>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100</w:t>
      </w:r>
      <w:r w:rsidRPr="00AA552A">
        <w:rPr>
          <w:rFonts w:cs="Cambria"/>
          <w:color w:val="000000"/>
          <w:spacing w:val="2"/>
        </w:rPr>
        <w:t>-</w:t>
      </w:r>
      <w:r w:rsidRPr="00AA552A">
        <w:rPr>
          <w:rFonts w:cs="Cambria"/>
          <w:color w:val="000000"/>
          <w:spacing w:val="-1"/>
        </w:rPr>
        <w:t>f</w:t>
      </w:r>
      <w:r w:rsidRPr="00AA552A">
        <w:rPr>
          <w:rFonts w:cs="Cambria"/>
          <w:color w:val="000000"/>
          <w:spacing w:val="2"/>
        </w:rPr>
        <w:t>o</w:t>
      </w:r>
      <w:r w:rsidRPr="00AA552A">
        <w:rPr>
          <w:rFonts w:cs="Cambria"/>
          <w:color w:val="000000"/>
        </w:rPr>
        <w:t>ot</w:t>
      </w:r>
      <w:r w:rsidRPr="00AA552A">
        <w:rPr>
          <w:rFonts w:cs="Cambria"/>
          <w:color w:val="000000"/>
          <w:spacing w:val="-7"/>
        </w:rPr>
        <w:t xml:space="preserve"> </w:t>
      </w:r>
      <w:r w:rsidRPr="00AA552A">
        <w:rPr>
          <w:rFonts w:cs="Cambria"/>
          <w:color w:val="000000"/>
        </w:rPr>
        <w:t>conto</w:t>
      </w:r>
      <w:r w:rsidRPr="00AA552A">
        <w:rPr>
          <w:rFonts w:cs="Cambria"/>
          <w:color w:val="000000"/>
          <w:spacing w:val="-1"/>
        </w:rPr>
        <w:t>ur</w:t>
      </w:r>
      <w:r w:rsidRPr="00AA552A">
        <w:rPr>
          <w:rFonts w:cs="Cambria"/>
          <w:color w:val="000000"/>
        </w:rPr>
        <w:t>,</w:t>
      </w:r>
      <w:r w:rsidRPr="00AA552A">
        <w:rPr>
          <w:rFonts w:cs="Cambria"/>
          <w:color w:val="000000"/>
          <w:spacing w:val="-4"/>
        </w:rPr>
        <w:t xml:space="preserve"> </w:t>
      </w:r>
      <w:r w:rsidRPr="00AA552A">
        <w:rPr>
          <w:rFonts w:cs="Cambria"/>
          <w:color w:val="000000"/>
        </w:rPr>
        <w:t>s</w:t>
      </w:r>
      <w:r w:rsidRPr="00AA552A">
        <w:rPr>
          <w:rFonts w:cs="Cambria"/>
          <w:color w:val="000000"/>
          <w:spacing w:val="-1"/>
        </w:rPr>
        <w:t>u</w:t>
      </w:r>
      <w:r w:rsidRPr="00AA552A">
        <w:rPr>
          <w:rFonts w:cs="Cambria"/>
          <w:color w:val="000000"/>
        </w:rPr>
        <w:t>ch</w:t>
      </w:r>
      <w:r w:rsidRPr="00AA552A">
        <w:rPr>
          <w:rFonts w:cs="Cambria"/>
          <w:color w:val="000000"/>
          <w:spacing w:val="-3"/>
        </w:rPr>
        <w:t xml:space="preserve"> </w:t>
      </w:r>
      <w:r w:rsidRPr="00AA552A">
        <w:rPr>
          <w:rFonts w:cs="Cambria"/>
          <w:color w:val="000000"/>
        </w:rPr>
        <w:t>as</w:t>
      </w:r>
      <w:r w:rsidRPr="00AA552A">
        <w:rPr>
          <w:rFonts w:cs="Cambria"/>
          <w:color w:val="000000"/>
          <w:spacing w:val="-1"/>
        </w:rPr>
        <w:t xml:space="preserve"> </w:t>
      </w:r>
      <w:r w:rsidRPr="00AA552A">
        <w:rPr>
          <w:rFonts w:cs="Cambria"/>
          <w:color w:val="000000"/>
        </w:rPr>
        <w:t>attach</w:t>
      </w:r>
      <w:r w:rsidRPr="00AA552A">
        <w:rPr>
          <w:rFonts w:cs="Cambria"/>
          <w:color w:val="000000"/>
          <w:spacing w:val="1"/>
        </w:rPr>
        <w:t>e</w:t>
      </w:r>
      <w:r w:rsidRPr="00AA552A">
        <w:rPr>
          <w:rFonts w:cs="Cambria"/>
          <w:color w:val="000000"/>
        </w:rPr>
        <w:t>d</w:t>
      </w:r>
      <w:r w:rsidRPr="00AA552A">
        <w:rPr>
          <w:rFonts w:cs="Cambria"/>
          <w:color w:val="000000"/>
          <w:spacing w:val="-6"/>
        </w:rPr>
        <w:t xml:space="preserve"> </w:t>
      </w:r>
      <w:r w:rsidRPr="00AA552A">
        <w:rPr>
          <w:rFonts w:cs="Cambria"/>
          <w:color w:val="000000"/>
        </w:rPr>
        <w:t>mac</w:t>
      </w:r>
      <w:r w:rsidRPr="00AA552A">
        <w:rPr>
          <w:rFonts w:cs="Cambria"/>
          <w:color w:val="000000"/>
          <w:spacing w:val="-1"/>
        </w:rPr>
        <w:t>r</w:t>
      </w:r>
      <w:r w:rsidRPr="00AA552A">
        <w:rPr>
          <w:rFonts w:cs="Cambria"/>
          <w:color w:val="000000"/>
        </w:rPr>
        <w:t>oa</w:t>
      </w:r>
      <w:r w:rsidRPr="00AA552A">
        <w:rPr>
          <w:rFonts w:cs="Cambria"/>
          <w:color w:val="000000"/>
          <w:spacing w:val="2"/>
        </w:rPr>
        <w:t>l</w:t>
      </w:r>
      <w:r w:rsidRPr="00AA552A">
        <w:rPr>
          <w:rFonts w:cs="Cambria"/>
          <w:color w:val="000000"/>
          <w:spacing w:val="-1"/>
        </w:rPr>
        <w:t>g</w:t>
      </w:r>
      <w:r w:rsidRPr="00AA552A">
        <w:rPr>
          <w:rFonts w:cs="Cambria"/>
          <w:color w:val="000000"/>
        </w:rPr>
        <w:t>a</w:t>
      </w:r>
      <w:r w:rsidRPr="00AA552A">
        <w:rPr>
          <w:rFonts w:cs="Cambria"/>
          <w:color w:val="000000"/>
          <w:spacing w:val="1"/>
        </w:rPr>
        <w:t>e</w:t>
      </w:r>
      <w:r w:rsidRPr="00AA552A">
        <w:rPr>
          <w:rFonts w:cs="Cambria"/>
          <w:color w:val="000000"/>
        </w:rPr>
        <w:t>; s</w:t>
      </w:r>
      <w:r w:rsidRPr="00AA552A">
        <w:rPr>
          <w:rFonts w:cs="Cambria"/>
          <w:color w:val="000000"/>
          <w:spacing w:val="-1"/>
        </w:rPr>
        <w:t>u</w:t>
      </w:r>
      <w:r w:rsidRPr="00AA552A">
        <w:rPr>
          <w:rFonts w:cs="Cambria"/>
          <w:color w:val="000000"/>
          <w:spacing w:val="1"/>
        </w:rPr>
        <w:t>b</w:t>
      </w:r>
      <w:r w:rsidRPr="00AA552A">
        <w:rPr>
          <w:rFonts w:cs="Cambria"/>
          <w:color w:val="000000"/>
        </w:rPr>
        <w:t>m</w:t>
      </w:r>
      <w:r w:rsidRPr="00AA552A">
        <w:rPr>
          <w:rFonts w:cs="Cambria"/>
          <w:color w:val="000000"/>
          <w:spacing w:val="1"/>
        </w:rPr>
        <w:t>e</w:t>
      </w:r>
      <w:r w:rsidRPr="00AA552A">
        <w:rPr>
          <w:rFonts w:cs="Cambria"/>
          <w:color w:val="000000"/>
          <w:spacing w:val="-1"/>
        </w:rPr>
        <w:t>rg</w:t>
      </w:r>
      <w:r w:rsidRPr="00AA552A">
        <w:rPr>
          <w:rFonts w:cs="Cambria"/>
          <w:color w:val="000000"/>
          <w:spacing w:val="1"/>
        </w:rPr>
        <w:t>e</w:t>
      </w:r>
      <w:r w:rsidRPr="00AA552A">
        <w:rPr>
          <w:rFonts w:cs="Cambria"/>
          <w:color w:val="000000"/>
        </w:rPr>
        <w:t>d</w:t>
      </w:r>
      <w:r w:rsidRPr="00AA552A">
        <w:rPr>
          <w:rFonts w:cs="Cambria"/>
          <w:color w:val="000000"/>
          <w:spacing w:val="-7"/>
        </w:rPr>
        <w:t xml:space="preserve"> </w:t>
      </w:r>
      <w:r w:rsidRPr="00AA552A">
        <w:rPr>
          <w:rFonts w:cs="Cambria"/>
          <w:color w:val="000000"/>
          <w:spacing w:val="-1"/>
        </w:rPr>
        <w:t>r</w:t>
      </w:r>
      <w:r w:rsidRPr="00AA552A">
        <w:rPr>
          <w:rFonts w:cs="Cambria"/>
          <w:color w:val="000000"/>
          <w:spacing w:val="2"/>
        </w:rPr>
        <w:t>o</w:t>
      </w:r>
      <w:r w:rsidRPr="00AA552A">
        <w:rPr>
          <w:rFonts w:cs="Cambria"/>
          <w:color w:val="000000"/>
        </w:rPr>
        <w:t>ot</w:t>
      </w:r>
      <w:r w:rsidRPr="00AA552A">
        <w:rPr>
          <w:rFonts w:cs="Cambria"/>
          <w:color w:val="000000"/>
          <w:spacing w:val="1"/>
        </w:rPr>
        <w:t>e</w:t>
      </w:r>
      <w:r w:rsidRPr="00AA552A">
        <w:rPr>
          <w:rFonts w:cs="Cambria"/>
          <w:color w:val="000000"/>
        </w:rPr>
        <w:t>d</w:t>
      </w:r>
      <w:r w:rsidRPr="00AA552A">
        <w:rPr>
          <w:rFonts w:cs="Cambria"/>
          <w:color w:val="000000"/>
          <w:spacing w:val="-7"/>
        </w:rPr>
        <w:t xml:space="preserve"> </w:t>
      </w:r>
      <w:r w:rsidRPr="00AA552A">
        <w:rPr>
          <w:rFonts w:cs="Cambria"/>
          <w:color w:val="000000"/>
          <w:spacing w:val="-1"/>
        </w:rPr>
        <w:t>v</w:t>
      </w:r>
      <w:r w:rsidRPr="00AA552A">
        <w:rPr>
          <w:rFonts w:cs="Cambria"/>
          <w:color w:val="000000"/>
        </w:rPr>
        <w:t>as</w:t>
      </w:r>
      <w:r w:rsidRPr="00AA552A">
        <w:rPr>
          <w:rFonts w:cs="Cambria"/>
          <w:color w:val="000000"/>
          <w:spacing w:val="2"/>
        </w:rPr>
        <w:t>c</w:t>
      </w:r>
      <w:r w:rsidRPr="00AA552A">
        <w:rPr>
          <w:rFonts w:cs="Cambria"/>
          <w:color w:val="000000"/>
          <w:spacing w:val="-1"/>
        </w:rPr>
        <w:t>u</w:t>
      </w:r>
      <w:r w:rsidRPr="00AA552A">
        <w:rPr>
          <w:rFonts w:cs="Cambria"/>
          <w:color w:val="000000"/>
        </w:rPr>
        <w:t>lar</w:t>
      </w:r>
      <w:r w:rsidRPr="00AA552A">
        <w:rPr>
          <w:rFonts w:cs="Cambria"/>
          <w:color w:val="000000"/>
          <w:spacing w:val="-5"/>
        </w:rPr>
        <w:t xml:space="preserve"> </w:t>
      </w:r>
      <w:r w:rsidRPr="00AA552A">
        <w:rPr>
          <w:rFonts w:cs="Cambria"/>
          <w:color w:val="000000"/>
          <w:spacing w:val="1"/>
        </w:rPr>
        <w:t>p</w:t>
      </w:r>
      <w:r w:rsidRPr="00AA552A">
        <w:rPr>
          <w:rFonts w:cs="Cambria"/>
          <w:color w:val="000000"/>
        </w:rPr>
        <w:t>lants</w:t>
      </w:r>
      <w:r w:rsidRPr="00AA552A">
        <w:rPr>
          <w:rFonts w:cs="Cambria"/>
          <w:color w:val="000000"/>
          <w:spacing w:val="-1"/>
        </w:rPr>
        <w:t xml:space="preserve"> </w:t>
      </w:r>
      <w:r w:rsidRPr="00AA552A">
        <w:rPr>
          <w:rFonts w:cs="Cambria"/>
          <w:color w:val="000000"/>
        </w:rPr>
        <w:t>(s</w:t>
      </w:r>
      <w:r w:rsidRPr="00AA552A">
        <w:rPr>
          <w:rFonts w:cs="Cambria"/>
          <w:color w:val="000000"/>
          <w:spacing w:val="1"/>
        </w:rPr>
        <w:t>e</w:t>
      </w:r>
      <w:r w:rsidRPr="00AA552A">
        <w:rPr>
          <w:rFonts w:cs="Cambria"/>
          <w:color w:val="000000"/>
        </w:rPr>
        <w:t>a</w:t>
      </w:r>
      <w:r w:rsidRPr="00AA552A">
        <w:rPr>
          <w:rFonts w:cs="Cambria"/>
          <w:color w:val="000000"/>
          <w:spacing w:val="-1"/>
        </w:rPr>
        <w:t>gr</w:t>
      </w:r>
      <w:r w:rsidRPr="00AA552A">
        <w:rPr>
          <w:rFonts w:cs="Cambria"/>
          <w:color w:val="000000"/>
        </w:rPr>
        <w:t>ass</w:t>
      </w:r>
      <w:r w:rsidRPr="00AA552A">
        <w:rPr>
          <w:rFonts w:cs="Cambria"/>
          <w:color w:val="000000"/>
          <w:spacing w:val="1"/>
        </w:rPr>
        <w:t>e</w:t>
      </w:r>
      <w:r w:rsidRPr="00AA552A">
        <w:rPr>
          <w:rFonts w:cs="Cambria"/>
          <w:color w:val="000000"/>
        </w:rPr>
        <w:t>s);</w:t>
      </w:r>
      <w:r w:rsidRPr="00AA552A">
        <w:rPr>
          <w:rFonts w:cs="Cambria"/>
          <w:color w:val="000000"/>
          <w:spacing w:val="-11"/>
        </w:rPr>
        <w:t xml:space="preserve"> </w:t>
      </w:r>
      <w:r w:rsidRPr="00AA552A">
        <w:rPr>
          <w:rFonts w:cs="Cambria"/>
          <w:color w:val="000000"/>
          <w:spacing w:val="1"/>
        </w:rPr>
        <w:t>e</w:t>
      </w:r>
      <w:r w:rsidRPr="00AA552A">
        <w:rPr>
          <w:rFonts w:cs="Cambria"/>
          <w:color w:val="000000"/>
        </w:rPr>
        <w:t>st</w:t>
      </w:r>
      <w:r w:rsidRPr="00AA552A">
        <w:rPr>
          <w:rFonts w:cs="Cambria"/>
          <w:color w:val="000000"/>
          <w:spacing w:val="-1"/>
        </w:rPr>
        <w:t>u</w:t>
      </w:r>
      <w:r w:rsidRPr="00AA552A">
        <w:rPr>
          <w:rFonts w:cs="Cambria"/>
          <w:color w:val="000000"/>
        </w:rPr>
        <w:t>a</w:t>
      </w:r>
      <w:r w:rsidRPr="00AA552A">
        <w:rPr>
          <w:rFonts w:cs="Cambria"/>
          <w:color w:val="000000"/>
          <w:spacing w:val="-1"/>
        </w:rPr>
        <w:t>r</w:t>
      </w:r>
      <w:r w:rsidRPr="00AA552A">
        <w:rPr>
          <w:rFonts w:cs="Cambria"/>
          <w:color w:val="000000"/>
          <w:spacing w:val="1"/>
        </w:rPr>
        <w:t>i</w:t>
      </w:r>
      <w:r w:rsidRPr="00AA552A">
        <w:rPr>
          <w:rFonts w:cs="Cambria"/>
          <w:color w:val="000000"/>
        </w:rPr>
        <w:t>ne</w:t>
      </w:r>
      <w:r w:rsidRPr="00AA552A">
        <w:rPr>
          <w:rFonts w:cs="Cambria"/>
          <w:color w:val="000000"/>
          <w:spacing w:val="-4"/>
        </w:rPr>
        <w:t xml:space="preserve"> </w:t>
      </w:r>
      <w:r w:rsidRPr="00AA552A">
        <w:rPr>
          <w:rFonts w:cs="Cambria"/>
          <w:color w:val="000000"/>
          <w:spacing w:val="1"/>
        </w:rPr>
        <w:t>e</w:t>
      </w:r>
      <w:r w:rsidRPr="00AA552A">
        <w:rPr>
          <w:rFonts w:cs="Cambria"/>
          <w:color w:val="000000"/>
        </w:rPr>
        <w:t>m</w:t>
      </w:r>
      <w:r w:rsidRPr="00AA552A">
        <w:rPr>
          <w:rFonts w:cs="Cambria"/>
          <w:color w:val="000000"/>
          <w:spacing w:val="1"/>
        </w:rPr>
        <w:t>e</w:t>
      </w:r>
      <w:r w:rsidRPr="00AA552A">
        <w:rPr>
          <w:rFonts w:cs="Cambria"/>
          <w:color w:val="000000"/>
          <w:spacing w:val="-1"/>
        </w:rPr>
        <w:t>rg</w:t>
      </w:r>
      <w:r w:rsidRPr="00AA552A">
        <w:rPr>
          <w:rFonts w:cs="Cambria"/>
          <w:color w:val="000000"/>
          <w:spacing w:val="1"/>
        </w:rPr>
        <w:t>e</w:t>
      </w:r>
      <w:r w:rsidRPr="00AA552A">
        <w:rPr>
          <w:rFonts w:cs="Cambria"/>
          <w:color w:val="000000"/>
        </w:rPr>
        <w:t>nt</w:t>
      </w:r>
      <w:r w:rsidRPr="00AA552A">
        <w:rPr>
          <w:rFonts w:cs="Cambria"/>
          <w:color w:val="000000"/>
          <w:spacing w:val="-4"/>
        </w:rPr>
        <w:t xml:space="preserve"> </w:t>
      </w:r>
      <w:r w:rsidRPr="00AA552A">
        <w:rPr>
          <w:rFonts w:cs="Cambria"/>
          <w:color w:val="000000"/>
          <w:spacing w:val="-1"/>
        </w:rPr>
        <w:t>v</w:t>
      </w:r>
      <w:r w:rsidRPr="00AA552A">
        <w:rPr>
          <w:rFonts w:cs="Cambria"/>
          <w:color w:val="000000"/>
          <w:spacing w:val="1"/>
        </w:rPr>
        <w:t>e</w:t>
      </w:r>
      <w:r w:rsidRPr="00AA552A">
        <w:rPr>
          <w:rFonts w:cs="Cambria"/>
          <w:color w:val="000000"/>
          <w:spacing w:val="-1"/>
        </w:rPr>
        <w:t>g</w:t>
      </w:r>
      <w:r w:rsidRPr="00AA552A">
        <w:rPr>
          <w:rFonts w:cs="Cambria"/>
          <w:color w:val="000000"/>
          <w:spacing w:val="1"/>
        </w:rPr>
        <w:t>e</w:t>
      </w:r>
      <w:r w:rsidRPr="00AA552A">
        <w:rPr>
          <w:rFonts w:cs="Cambria"/>
          <w:color w:val="000000"/>
        </w:rPr>
        <w:t>tat</w:t>
      </w:r>
      <w:r w:rsidRPr="00AA552A">
        <w:rPr>
          <w:rFonts w:cs="Cambria"/>
          <w:color w:val="000000"/>
          <w:spacing w:val="1"/>
        </w:rPr>
        <w:t>e</w:t>
      </w:r>
      <w:r w:rsidRPr="00AA552A">
        <w:rPr>
          <w:rFonts w:cs="Cambria"/>
          <w:color w:val="000000"/>
        </w:rPr>
        <w:t>d</w:t>
      </w:r>
      <w:r w:rsidRPr="00AA552A">
        <w:rPr>
          <w:rFonts w:cs="Cambria"/>
          <w:color w:val="000000"/>
          <w:spacing w:val="-7"/>
        </w:rPr>
        <w:t xml:space="preserve"> </w:t>
      </w:r>
      <w:r w:rsidRPr="00AA552A">
        <w:rPr>
          <w:rFonts w:cs="Cambria"/>
          <w:color w:val="000000"/>
          <w:spacing w:val="-1"/>
        </w:rPr>
        <w:t>w</w:t>
      </w:r>
      <w:r w:rsidRPr="00AA552A">
        <w:rPr>
          <w:rFonts w:cs="Cambria"/>
          <w:color w:val="000000"/>
          <w:spacing w:val="1"/>
        </w:rPr>
        <w:t>e</w:t>
      </w:r>
      <w:r w:rsidRPr="00AA552A">
        <w:rPr>
          <w:rFonts w:cs="Cambria"/>
          <w:color w:val="000000"/>
        </w:rPr>
        <w:t>tlan</w:t>
      </w:r>
      <w:r w:rsidRPr="00AA552A">
        <w:rPr>
          <w:rFonts w:cs="Cambria"/>
          <w:color w:val="000000"/>
          <w:spacing w:val="-1"/>
        </w:rPr>
        <w:t>d</w:t>
      </w:r>
      <w:r w:rsidRPr="00AA552A">
        <w:rPr>
          <w:rFonts w:cs="Cambria"/>
          <w:color w:val="000000"/>
        </w:rPr>
        <w:t>s (saltma</w:t>
      </w:r>
      <w:r w:rsidRPr="00AA552A">
        <w:rPr>
          <w:rFonts w:cs="Cambria"/>
          <w:color w:val="000000"/>
          <w:spacing w:val="-1"/>
        </w:rPr>
        <w:t>r</w:t>
      </w:r>
      <w:r w:rsidRPr="00AA552A">
        <w:rPr>
          <w:rFonts w:cs="Cambria"/>
          <w:color w:val="000000"/>
        </w:rPr>
        <w:t>sh</w:t>
      </w:r>
      <w:r w:rsidRPr="00AA552A">
        <w:rPr>
          <w:rFonts w:cs="Cambria"/>
          <w:color w:val="000000"/>
          <w:spacing w:val="1"/>
        </w:rPr>
        <w:t>e</w:t>
      </w:r>
      <w:r w:rsidRPr="00AA552A">
        <w:rPr>
          <w:rFonts w:cs="Cambria"/>
          <w:color w:val="000000"/>
        </w:rPr>
        <w:t>s,</w:t>
      </w:r>
      <w:r w:rsidRPr="00AA552A">
        <w:rPr>
          <w:rFonts w:cs="Cambria"/>
          <w:color w:val="000000"/>
          <w:spacing w:val="-7"/>
        </w:rPr>
        <w:t xml:space="preserve"> </w:t>
      </w:r>
      <w:r w:rsidRPr="00AA552A">
        <w:rPr>
          <w:rFonts w:cs="Cambria"/>
          <w:color w:val="000000"/>
          <w:spacing w:val="1"/>
        </w:rPr>
        <w:t>b</w:t>
      </w:r>
      <w:r w:rsidRPr="00AA552A">
        <w:rPr>
          <w:rFonts w:cs="Cambria"/>
          <w:color w:val="000000"/>
          <w:spacing w:val="-1"/>
        </w:rPr>
        <w:t>r</w:t>
      </w:r>
      <w:r w:rsidRPr="00AA552A">
        <w:rPr>
          <w:rFonts w:cs="Cambria"/>
          <w:color w:val="000000"/>
        </w:rPr>
        <w:t>ac</w:t>
      </w:r>
      <w:r w:rsidRPr="00AA552A">
        <w:rPr>
          <w:rFonts w:cs="Cambria"/>
          <w:color w:val="000000"/>
          <w:spacing w:val="-1"/>
        </w:rPr>
        <w:t>k</w:t>
      </w:r>
      <w:r w:rsidRPr="00AA552A">
        <w:rPr>
          <w:rFonts w:cs="Cambria"/>
          <w:color w:val="000000"/>
          <w:spacing w:val="1"/>
        </w:rPr>
        <w:t>i</w:t>
      </w:r>
      <w:r w:rsidRPr="00AA552A">
        <w:rPr>
          <w:rFonts w:cs="Cambria"/>
          <w:color w:val="000000"/>
        </w:rPr>
        <w:t>sh</w:t>
      </w:r>
      <w:r w:rsidRPr="00AA552A">
        <w:rPr>
          <w:rFonts w:cs="Cambria"/>
          <w:color w:val="000000"/>
          <w:spacing w:val="-5"/>
        </w:rPr>
        <w:t xml:space="preserve"> </w:t>
      </w:r>
      <w:r w:rsidRPr="00AA552A">
        <w:rPr>
          <w:rFonts w:cs="Cambria"/>
          <w:color w:val="000000"/>
        </w:rPr>
        <w:t>ma</w:t>
      </w:r>
      <w:r w:rsidRPr="00AA552A">
        <w:rPr>
          <w:rFonts w:cs="Cambria"/>
          <w:color w:val="000000"/>
          <w:spacing w:val="-1"/>
        </w:rPr>
        <w:t>r</w:t>
      </w:r>
      <w:r w:rsidRPr="00AA552A">
        <w:rPr>
          <w:rFonts w:cs="Cambria"/>
          <w:color w:val="000000"/>
        </w:rPr>
        <w:t>sh);</w:t>
      </w:r>
      <w:r w:rsidRPr="00AA552A">
        <w:rPr>
          <w:rFonts w:cs="Cambria"/>
          <w:color w:val="000000"/>
          <w:spacing w:val="-6"/>
        </w:rPr>
        <w:t xml:space="preserve"> </w:t>
      </w:r>
      <w:r w:rsidRPr="00AA552A">
        <w:rPr>
          <w:rFonts w:cs="Cambria"/>
          <w:color w:val="000000"/>
        </w:rPr>
        <w:t>t</w:t>
      </w:r>
      <w:r w:rsidRPr="00AA552A">
        <w:rPr>
          <w:rFonts w:cs="Cambria"/>
          <w:color w:val="000000"/>
          <w:spacing w:val="1"/>
        </w:rPr>
        <w:t>i</w:t>
      </w:r>
      <w:r w:rsidRPr="00AA552A">
        <w:rPr>
          <w:rFonts w:cs="Cambria"/>
          <w:color w:val="000000"/>
          <w:spacing w:val="-1"/>
        </w:rPr>
        <w:t>d</w:t>
      </w:r>
      <w:r w:rsidRPr="00AA552A">
        <w:rPr>
          <w:rFonts w:cs="Cambria"/>
          <w:color w:val="000000"/>
        </w:rPr>
        <w:t>al</w:t>
      </w:r>
      <w:r w:rsidRPr="00AA552A">
        <w:rPr>
          <w:rFonts w:cs="Cambria"/>
          <w:color w:val="000000"/>
          <w:spacing w:val="-2"/>
        </w:rPr>
        <w:t xml:space="preserve"> </w:t>
      </w:r>
      <w:r w:rsidRPr="00AA552A">
        <w:rPr>
          <w:rFonts w:cs="Cambria"/>
          <w:color w:val="000000"/>
          <w:spacing w:val="2"/>
        </w:rPr>
        <w:t>c</w:t>
      </w:r>
      <w:r w:rsidRPr="00AA552A">
        <w:rPr>
          <w:rFonts w:cs="Cambria"/>
          <w:color w:val="000000"/>
          <w:spacing w:val="-1"/>
        </w:rPr>
        <w:t>r</w:t>
      </w:r>
      <w:r w:rsidRPr="00AA552A">
        <w:rPr>
          <w:rFonts w:cs="Cambria"/>
          <w:color w:val="000000"/>
          <w:spacing w:val="1"/>
        </w:rPr>
        <w:t>ee</w:t>
      </w:r>
      <w:r w:rsidRPr="00AA552A">
        <w:rPr>
          <w:rFonts w:cs="Cambria"/>
          <w:color w:val="000000"/>
          <w:spacing w:val="-1"/>
        </w:rPr>
        <w:t>k</w:t>
      </w:r>
      <w:r w:rsidRPr="00AA552A">
        <w:rPr>
          <w:rFonts w:cs="Cambria"/>
          <w:color w:val="000000"/>
        </w:rPr>
        <w:t>s;</w:t>
      </w:r>
      <w:r w:rsidRPr="00AA552A">
        <w:rPr>
          <w:rFonts w:cs="Cambria"/>
          <w:color w:val="000000"/>
          <w:spacing w:val="-7"/>
        </w:rPr>
        <w:t xml:space="preserve"> </w:t>
      </w:r>
      <w:r w:rsidRPr="00AA552A">
        <w:rPr>
          <w:rFonts w:cs="Cambria"/>
          <w:color w:val="000000"/>
          <w:spacing w:val="1"/>
        </w:rPr>
        <w:t>e</w:t>
      </w:r>
      <w:r w:rsidRPr="00AA552A">
        <w:rPr>
          <w:rFonts w:cs="Cambria"/>
          <w:color w:val="000000"/>
          <w:spacing w:val="2"/>
        </w:rPr>
        <w:t>s</w:t>
      </w:r>
      <w:r w:rsidRPr="00AA552A">
        <w:rPr>
          <w:rFonts w:cs="Cambria"/>
          <w:color w:val="000000"/>
        </w:rPr>
        <w:t>t</w:t>
      </w:r>
      <w:r w:rsidRPr="00AA552A">
        <w:rPr>
          <w:rFonts w:cs="Cambria"/>
          <w:color w:val="000000"/>
          <w:spacing w:val="-1"/>
        </w:rPr>
        <w:t>u</w:t>
      </w:r>
      <w:r w:rsidRPr="00AA552A">
        <w:rPr>
          <w:rFonts w:cs="Cambria"/>
          <w:color w:val="000000"/>
        </w:rPr>
        <w:t>a</w:t>
      </w:r>
      <w:r w:rsidRPr="00AA552A">
        <w:rPr>
          <w:rFonts w:cs="Cambria"/>
          <w:color w:val="000000"/>
          <w:spacing w:val="-1"/>
        </w:rPr>
        <w:t>r</w:t>
      </w:r>
      <w:r w:rsidRPr="00AA552A">
        <w:rPr>
          <w:rFonts w:cs="Cambria"/>
          <w:color w:val="000000"/>
          <w:spacing w:val="1"/>
        </w:rPr>
        <w:t>i</w:t>
      </w:r>
      <w:r w:rsidRPr="00AA552A">
        <w:rPr>
          <w:rFonts w:cs="Cambria"/>
          <w:color w:val="000000"/>
        </w:rPr>
        <w:t>ne</w:t>
      </w:r>
      <w:r w:rsidRPr="00AA552A">
        <w:rPr>
          <w:rFonts w:cs="Cambria"/>
          <w:color w:val="000000"/>
          <w:spacing w:val="-4"/>
        </w:rPr>
        <w:t xml:space="preserve"> </w:t>
      </w:r>
      <w:r w:rsidRPr="00AA552A">
        <w:rPr>
          <w:rFonts w:cs="Cambria"/>
          <w:color w:val="000000"/>
        </w:rPr>
        <w:t>sc</w:t>
      </w:r>
      <w:r w:rsidRPr="00AA552A">
        <w:rPr>
          <w:rFonts w:cs="Cambria"/>
          <w:color w:val="000000"/>
          <w:spacing w:val="-1"/>
        </w:rPr>
        <w:t>ru</w:t>
      </w:r>
      <w:r w:rsidRPr="00AA552A">
        <w:rPr>
          <w:rFonts w:cs="Cambria"/>
          <w:color w:val="000000"/>
          <w:spacing w:val="1"/>
        </w:rPr>
        <w:t>b</w:t>
      </w:r>
      <w:r w:rsidRPr="00AA552A">
        <w:rPr>
          <w:rFonts w:cs="Cambria"/>
          <w:color w:val="000000"/>
        </w:rPr>
        <w:t>/sh</w:t>
      </w:r>
      <w:r w:rsidRPr="00AA552A">
        <w:rPr>
          <w:rFonts w:cs="Cambria"/>
          <w:color w:val="000000"/>
          <w:spacing w:val="-1"/>
        </w:rPr>
        <w:t>ru</w:t>
      </w:r>
      <w:r w:rsidRPr="00AA552A">
        <w:rPr>
          <w:rFonts w:cs="Cambria"/>
          <w:color w:val="000000"/>
        </w:rPr>
        <w:t>b</w:t>
      </w:r>
      <w:r w:rsidRPr="00AA552A">
        <w:rPr>
          <w:rFonts w:cs="Cambria"/>
          <w:color w:val="000000"/>
          <w:spacing w:val="-5"/>
        </w:rPr>
        <w:t xml:space="preserve"> </w:t>
      </w:r>
      <w:r w:rsidRPr="00AA552A">
        <w:rPr>
          <w:rFonts w:cs="Cambria"/>
          <w:color w:val="000000"/>
        </w:rPr>
        <w:t>(</w:t>
      </w:r>
      <w:r w:rsidRPr="00AA552A">
        <w:rPr>
          <w:rFonts w:cs="Cambria"/>
          <w:color w:val="000000"/>
          <w:spacing w:val="2"/>
        </w:rPr>
        <w:t>m</w:t>
      </w:r>
      <w:r w:rsidRPr="00AA552A">
        <w:rPr>
          <w:rFonts w:cs="Cambria"/>
          <w:color w:val="000000"/>
        </w:rPr>
        <w:t>an</w:t>
      </w:r>
      <w:r w:rsidRPr="00AA552A">
        <w:rPr>
          <w:rFonts w:cs="Cambria"/>
          <w:color w:val="000000"/>
          <w:spacing w:val="-1"/>
        </w:rPr>
        <w:t>gr</w:t>
      </w:r>
      <w:r w:rsidRPr="00AA552A">
        <w:rPr>
          <w:rFonts w:cs="Cambria"/>
          <w:color w:val="000000"/>
        </w:rPr>
        <w:t>o</w:t>
      </w:r>
      <w:r w:rsidRPr="00AA552A">
        <w:rPr>
          <w:rFonts w:cs="Cambria"/>
          <w:color w:val="000000"/>
          <w:spacing w:val="-1"/>
        </w:rPr>
        <w:t>v</w:t>
      </w:r>
      <w:r w:rsidRPr="00AA552A">
        <w:rPr>
          <w:rFonts w:cs="Cambria"/>
          <w:color w:val="000000"/>
        </w:rPr>
        <w:t>e</w:t>
      </w:r>
      <w:r w:rsidRPr="00AA552A">
        <w:rPr>
          <w:rFonts w:cs="Cambria"/>
          <w:color w:val="000000"/>
          <w:spacing w:val="-5"/>
        </w:rPr>
        <w:t xml:space="preserve"> </w:t>
      </w:r>
      <w:r w:rsidRPr="00AA552A">
        <w:rPr>
          <w:rFonts w:cs="Cambria"/>
          <w:color w:val="000000"/>
          <w:spacing w:val="-1"/>
        </w:rPr>
        <w:t>fr</w:t>
      </w:r>
      <w:r w:rsidRPr="00AA552A">
        <w:rPr>
          <w:rFonts w:cs="Cambria"/>
          <w:color w:val="000000"/>
          <w:spacing w:val="1"/>
        </w:rPr>
        <w:t>i</w:t>
      </w:r>
      <w:r w:rsidRPr="00AA552A">
        <w:rPr>
          <w:rFonts w:cs="Cambria"/>
          <w:color w:val="000000"/>
        </w:rPr>
        <w:t>n</w:t>
      </w:r>
      <w:r w:rsidRPr="00AA552A">
        <w:rPr>
          <w:rFonts w:cs="Cambria"/>
          <w:color w:val="000000"/>
          <w:spacing w:val="-1"/>
        </w:rPr>
        <w:t>g</w:t>
      </w:r>
      <w:r w:rsidRPr="00AA552A">
        <w:rPr>
          <w:rFonts w:cs="Cambria"/>
          <w:color w:val="000000"/>
          <w:spacing w:val="1"/>
        </w:rPr>
        <w:t>e</w:t>
      </w:r>
      <w:r w:rsidRPr="00AA552A">
        <w:rPr>
          <w:rFonts w:cs="Cambria"/>
          <w:color w:val="000000"/>
          <w:spacing w:val="2"/>
        </w:rPr>
        <w:t>)</w:t>
      </w:r>
      <w:r w:rsidRPr="00AA552A">
        <w:rPr>
          <w:rFonts w:cs="Cambria"/>
          <w:color w:val="000000"/>
        </w:rPr>
        <w:t>;</w:t>
      </w:r>
      <w:r w:rsidRPr="00AA552A">
        <w:rPr>
          <w:rFonts w:cs="Cambria"/>
          <w:color w:val="000000"/>
          <w:spacing w:val="-6"/>
        </w:rPr>
        <w:t xml:space="preserve"> </w:t>
      </w:r>
      <w:r w:rsidRPr="00AA552A">
        <w:rPr>
          <w:rFonts w:cs="Cambria"/>
          <w:color w:val="000000"/>
          <w:w w:val="99"/>
        </w:rPr>
        <w:t>o</w:t>
      </w:r>
      <w:r w:rsidRPr="00AA552A">
        <w:rPr>
          <w:rFonts w:cs="Cambria"/>
          <w:color w:val="000000"/>
          <w:spacing w:val="-1"/>
          <w:w w:val="99"/>
        </w:rPr>
        <w:t>y</w:t>
      </w:r>
      <w:r w:rsidRPr="00AA552A">
        <w:rPr>
          <w:rFonts w:cs="Cambria"/>
          <w:color w:val="000000"/>
          <w:w w:val="99"/>
        </w:rPr>
        <w:t>s</w:t>
      </w:r>
      <w:r w:rsidRPr="00AA552A">
        <w:rPr>
          <w:rFonts w:cs="Cambria"/>
          <w:color w:val="000000"/>
        </w:rPr>
        <w:t>t</w:t>
      </w:r>
      <w:r w:rsidRPr="00AA552A">
        <w:rPr>
          <w:rFonts w:cs="Cambria"/>
          <w:color w:val="000000"/>
          <w:spacing w:val="1"/>
          <w:w w:val="99"/>
        </w:rPr>
        <w:t>e</w:t>
      </w:r>
      <w:r w:rsidRPr="00AA552A">
        <w:rPr>
          <w:rFonts w:cs="Cambria"/>
          <w:color w:val="000000"/>
          <w:w w:val="99"/>
        </w:rPr>
        <w:t xml:space="preserve">r </w:t>
      </w:r>
      <w:r w:rsidRPr="00AA552A">
        <w:rPr>
          <w:rFonts w:cs="Cambria"/>
          <w:color w:val="000000"/>
          <w:spacing w:val="-1"/>
          <w:w w:val="99"/>
        </w:rPr>
        <w:t>r</w:t>
      </w:r>
      <w:r w:rsidRPr="00AA552A">
        <w:rPr>
          <w:rFonts w:cs="Cambria"/>
          <w:color w:val="000000"/>
          <w:spacing w:val="1"/>
          <w:w w:val="99"/>
        </w:rPr>
        <w:t>ee</w:t>
      </w:r>
      <w:r w:rsidRPr="00AA552A">
        <w:rPr>
          <w:rFonts w:cs="Cambria"/>
          <w:color w:val="000000"/>
          <w:spacing w:val="-1"/>
          <w:w w:val="99"/>
        </w:rPr>
        <w:t>f</w:t>
      </w:r>
      <w:r w:rsidRPr="00AA552A">
        <w:rPr>
          <w:rFonts w:cs="Cambria"/>
          <w:color w:val="000000"/>
          <w:w w:val="99"/>
        </w:rPr>
        <w:t>s</w:t>
      </w:r>
      <w:r w:rsidRPr="00AA552A">
        <w:rPr>
          <w:rFonts w:cs="Cambria"/>
          <w:color w:val="000000"/>
        </w:rPr>
        <w:t xml:space="preserve"> and</w:t>
      </w:r>
      <w:r w:rsidRPr="00AA552A">
        <w:rPr>
          <w:rFonts w:cs="Cambria"/>
          <w:color w:val="000000"/>
          <w:spacing w:val="-2"/>
        </w:rPr>
        <w:t xml:space="preserve"> </w:t>
      </w:r>
      <w:r w:rsidRPr="00AA552A">
        <w:rPr>
          <w:rFonts w:cs="Cambria"/>
          <w:color w:val="000000"/>
        </w:rPr>
        <w:t>sh</w:t>
      </w:r>
      <w:r w:rsidRPr="00AA552A">
        <w:rPr>
          <w:rFonts w:cs="Cambria"/>
          <w:color w:val="000000"/>
          <w:spacing w:val="1"/>
        </w:rPr>
        <w:t>e</w:t>
      </w:r>
      <w:r w:rsidRPr="00AA552A">
        <w:rPr>
          <w:rFonts w:cs="Cambria"/>
          <w:color w:val="000000"/>
        </w:rPr>
        <w:t>ll</w:t>
      </w:r>
      <w:r w:rsidRPr="00AA552A">
        <w:rPr>
          <w:rFonts w:cs="Cambria"/>
          <w:color w:val="000000"/>
          <w:spacing w:val="-4"/>
        </w:rPr>
        <w:t xml:space="preserve"> </w:t>
      </w:r>
      <w:r w:rsidRPr="00AA552A">
        <w:rPr>
          <w:rFonts w:cs="Cambria"/>
          <w:color w:val="000000"/>
          <w:spacing w:val="1"/>
        </w:rPr>
        <w:t>b</w:t>
      </w:r>
      <w:r w:rsidRPr="00AA552A">
        <w:rPr>
          <w:rFonts w:cs="Cambria"/>
          <w:color w:val="000000"/>
        </w:rPr>
        <w:t>an</w:t>
      </w:r>
      <w:r w:rsidRPr="00AA552A">
        <w:rPr>
          <w:rFonts w:cs="Cambria"/>
          <w:color w:val="000000"/>
          <w:spacing w:val="-1"/>
        </w:rPr>
        <w:t>k</w:t>
      </w:r>
      <w:r w:rsidRPr="00AA552A">
        <w:rPr>
          <w:rFonts w:cs="Cambria"/>
          <w:color w:val="000000"/>
        </w:rPr>
        <w:t>s;</w:t>
      </w:r>
      <w:r w:rsidRPr="00AA552A">
        <w:rPr>
          <w:rFonts w:cs="Cambria"/>
          <w:color w:val="000000"/>
          <w:spacing w:val="-3"/>
        </w:rPr>
        <w:t xml:space="preserve"> </w:t>
      </w:r>
      <w:r w:rsidRPr="00AA552A">
        <w:rPr>
          <w:rFonts w:cs="Cambria"/>
          <w:color w:val="000000"/>
          <w:spacing w:val="2"/>
        </w:rPr>
        <w:t>u</w:t>
      </w:r>
      <w:r w:rsidRPr="00AA552A">
        <w:rPr>
          <w:rFonts w:cs="Cambria"/>
          <w:color w:val="000000"/>
        </w:rPr>
        <w:t>nconsol</w:t>
      </w:r>
      <w:r w:rsidRPr="00AA552A">
        <w:rPr>
          <w:rFonts w:cs="Cambria"/>
          <w:color w:val="000000"/>
          <w:spacing w:val="1"/>
        </w:rPr>
        <w:t>i</w:t>
      </w:r>
      <w:r w:rsidRPr="00AA552A">
        <w:rPr>
          <w:rFonts w:cs="Cambria"/>
          <w:color w:val="000000"/>
          <w:spacing w:val="-1"/>
        </w:rPr>
        <w:t>d</w:t>
      </w:r>
      <w:r w:rsidRPr="00AA552A">
        <w:rPr>
          <w:rFonts w:cs="Cambria"/>
          <w:color w:val="000000"/>
        </w:rPr>
        <w:t>at</w:t>
      </w:r>
      <w:r w:rsidRPr="00AA552A">
        <w:rPr>
          <w:rFonts w:cs="Cambria"/>
          <w:color w:val="000000"/>
          <w:spacing w:val="1"/>
        </w:rPr>
        <w:t>e</w:t>
      </w:r>
      <w:r w:rsidRPr="00AA552A">
        <w:rPr>
          <w:rFonts w:cs="Cambria"/>
          <w:color w:val="000000"/>
        </w:rPr>
        <w:t>d</w:t>
      </w:r>
      <w:r w:rsidRPr="00AA552A">
        <w:rPr>
          <w:rFonts w:cs="Cambria"/>
          <w:color w:val="000000"/>
          <w:spacing w:val="-10"/>
        </w:rPr>
        <w:t xml:space="preserve"> </w:t>
      </w:r>
      <w:r w:rsidRPr="00AA552A">
        <w:rPr>
          <w:rFonts w:cs="Cambria"/>
          <w:color w:val="000000"/>
          <w:spacing w:val="1"/>
        </w:rPr>
        <w:t>b</w:t>
      </w:r>
      <w:r w:rsidRPr="00AA552A">
        <w:rPr>
          <w:rFonts w:cs="Cambria"/>
          <w:color w:val="000000"/>
        </w:rPr>
        <w:t>ottom</w:t>
      </w:r>
      <w:r w:rsidRPr="00AA552A">
        <w:rPr>
          <w:rFonts w:cs="Cambria"/>
          <w:color w:val="000000"/>
          <w:spacing w:val="-3"/>
        </w:rPr>
        <w:t xml:space="preserve"> </w:t>
      </w:r>
      <w:r w:rsidRPr="00AA552A">
        <w:rPr>
          <w:rFonts w:cs="Cambria"/>
          <w:color w:val="000000"/>
        </w:rPr>
        <w:t>(so</w:t>
      </w:r>
      <w:r w:rsidRPr="00AA552A">
        <w:rPr>
          <w:rFonts w:cs="Cambria"/>
          <w:color w:val="000000"/>
          <w:spacing w:val="-1"/>
        </w:rPr>
        <w:t>f</w:t>
      </w:r>
      <w:r w:rsidRPr="00AA552A">
        <w:rPr>
          <w:rFonts w:cs="Cambria"/>
          <w:color w:val="000000"/>
        </w:rPr>
        <w:t>t</w:t>
      </w:r>
      <w:r w:rsidRPr="00AA552A">
        <w:rPr>
          <w:rFonts w:cs="Cambria"/>
          <w:color w:val="000000"/>
          <w:spacing w:val="-4"/>
        </w:rPr>
        <w:t xml:space="preserve"> </w:t>
      </w:r>
      <w:r w:rsidRPr="00AA552A">
        <w:rPr>
          <w:rFonts w:cs="Cambria"/>
          <w:color w:val="000000"/>
        </w:rPr>
        <w:t>s</w:t>
      </w:r>
      <w:r w:rsidRPr="00AA552A">
        <w:rPr>
          <w:rFonts w:cs="Cambria"/>
          <w:color w:val="000000"/>
          <w:spacing w:val="1"/>
        </w:rPr>
        <w:t>e</w:t>
      </w:r>
      <w:r w:rsidRPr="00AA552A">
        <w:rPr>
          <w:rFonts w:cs="Cambria"/>
          <w:color w:val="000000"/>
          <w:spacing w:val="-1"/>
        </w:rPr>
        <w:t>d</w:t>
      </w:r>
      <w:r w:rsidRPr="00AA552A">
        <w:rPr>
          <w:rFonts w:cs="Cambria"/>
          <w:color w:val="000000"/>
          <w:spacing w:val="1"/>
        </w:rPr>
        <w:t>i</w:t>
      </w:r>
      <w:r w:rsidRPr="00AA552A">
        <w:rPr>
          <w:rFonts w:cs="Cambria"/>
          <w:color w:val="000000"/>
        </w:rPr>
        <w:t>m</w:t>
      </w:r>
      <w:r w:rsidRPr="00AA552A">
        <w:rPr>
          <w:rFonts w:cs="Cambria"/>
          <w:color w:val="000000"/>
          <w:spacing w:val="1"/>
        </w:rPr>
        <w:t>e</w:t>
      </w:r>
      <w:r w:rsidRPr="00AA552A">
        <w:rPr>
          <w:rFonts w:cs="Cambria"/>
          <w:color w:val="000000"/>
        </w:rPr>
        <w:t>nts);</w:t>
      </w:r>
      <w:r w:rsidRPr="00AA552A">
        <w:rPr>
          <w:rFonts w:cs="Cambria"/>
          <w:color w:val="000000"/>
          <w:spacing w:val="-9"/>
        </w:rPr>
        <w:t xml:space="preserve"> </w:t>
      </w:r>
      <w:r w:rsidRPr="00AA552A">
        <w:rPr>
          <w:rFonts w:cs="Cambria"/>
          <w:color w:val="000000"/>
        </w:rPr>
        <w:t>a</w:t>
      </w:r>
      <w:r w:rsidRPr="00AA552A">
        <w:rPr>
          <w:rFonts w:cs="Cambria"/>
          <w:color w:val="000000"/>
          <w:spacing w:val="-1"/>
        </w:rPr>
        <w:t>r</w:t>
      </w:r>
      <w:r w:rsidRPr="00AA552A">
        <w:rPr>
          <w:rFonts w:cs="Cambria"/>
          <w:color w:val="000000"/>
        </w:rPr>
        <w:t>t</w:t>
      </w:r>
      <w:r w:rsidRPr="00AA552A">
        <w:rPr>
          <w:rFonts w:cs="Cambria"/>
          <w:color w:val="000000"/>
          <w:spacing w:val="1"/>
        </w:rPr>
        <w:t>i</w:t>
      </w:r>
      <w:r w:rsidRPr="00AA552A">
        <w:rPr>
          <w:rFonts w:cs="Cambria"/>
          <w:color w:val="000000"/>
          <w:spacing w:val="-1"/>
        </w:rPr>
        <w:t>f</w:t>
      </w:r>
      <w:r w:rsidRPr="00AA552A">
        <w:rPr>
          <w:rFonts w:cs="Cambria"/>
          <w:color w:val="000000"/>
          <w:spacing w:val="1"/>
        </w:rPr>
        <w:t>i</w:t>
      </w:r>
      <w:r w:rsidRPr="00AA552A">
        <w:rPr>
          <w:rFonts w:cs="Cambria"/>
          <w:color w:val="000000"/>
        </w:rPr>
        <w:t>c</w:t>
      </w:r>
      <w:r w:rsidRPr="00AA552A">
        <w:rPr>
          <w:rFonts w:cs="Cambria"/>
          <w:color w:val="000000"/>
          <w:spacing w:val="1"/>
        </w:rPr>
        <w:t>i</w:t>
      </w:r>
      <w:r w:rsidRPr="00AA552A">
        <w:rPr>
          <w:rFonts w:cs="Cambria"/>
          <w:color w:val="000000"/>
        </w:rPr>
        <w:t>al</w:t>
      </w:r>
      <w:r w:rsidRPr="00AA552A">
        <w:rPr>
          <w:rFonts w:cs="Cambria"/>
          <w:color w:val="000000"/>
          <w:spacing w:val="-5"/>
        </w:rPr>
        <w:t xml:space="preserve"> </w:t>
      </w:r>
      <w:r w:rsidRPr="00AA552A">
        <w:rPr>
          <w:rFonts w:cs="Cambria"/>
          <w:color w:val="000000"/>
          <w:spacing w:val="-1"/>
        </w:rPr>
        <w:t>r</w:t>
      </w:r>
      <w:r w:rsidRPr="00AA552A">
        <w:rPr>
          <w:rFonts w:cs="Cambria"/>
          <w:color w:val="000000"/>
          <w:spacing w:val="1"/>
        </w:rPr>
        <w:t>ee</w:t>
      </w:r>
      <w:r w:rsidRPr="00AA552A">
        <w:rPr>
          <w:rFonts w:cs="Cambria"/>
          <w:color w:val="000000"/>
          <w:spacing w:val="-1"/>
        </w:rPr>
        <w:t>f</w:t>
      </w:r>
      <w:r w:rsidRPr="00AA552A">
        <w:rPr>
          <w:rFonts w:cs="Cambria"/>
          <w:color w:val="000000"/>
        </w:rPr>
        <w:t>s;</w:t>
      </w:r>
      <w:r w:rsidRPr="00AA552A">
        <w:rPr>
          <w:rFonts w:cs="Cambria"/>
          <w:color w:val="000000"/>
          <w:spacing w:val="-7"/>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co</w:t>
      </w:r>
      <w:r w:rsidRPr="00AA552A">
        <w:rPr>
          <w:rFonts w:cs="Cambria"/>
          <w:color w:val="000000"/>
          <w:spacing w:val="-1"/>
        </w:rPr>
        <w:t>r</w:t>
      </w:r>
      <w:r w:rsidRPr="00AA552A">
        <w:rPr>
          <w:rFonts w:cs="Cambria"/>
          <w:color w:val="000000"/>
        </w:rPr>
        <w:t>al</w:t>
      </w:r>
      <w:r w:rsidRPr="00AA552A">
        <w:rPr>
          <w:rFonts w:cs="Cambria"/>
          <w:color w:val="000000"/>
          <w:spacing w:val="-1"/>
        </w:rPr>
        <w:t xml:space="preserve"> r</w:t>
      </w:r>
      <w:r w:rsidRPr="00AA552A">
        <w:rPr>
          <w:rFonts w:cs="Cambria"/>
          <w:color w:val="000000"/>
          <w:spacing w:val="1"/>
        </w:rPr>
        <w:t>ee</w:t>
      </w:r>
      <w:r w:rsidRPr="00AA552A">
        <w:rPr>
          <w:rFonts w:cs="Cambria"/>
          <w:color w:val="000000"/>
          <w:spacing w:val="-1"/>
        </w:rPr>
        <w:t>f</w:t>
      </w:r>
      <w:r w:rsidRPr="00AA552A">
        <w:rPr>
          <w:rFonts w:cs="Cambria"/>
          <w:color w:val="000000"/>
        </w:rPr>
        <w:t>s</w:t>
      </w:r>
      <w:r w:rsidRPr="00AA552A">
        <w:rPr>
          <w:rFonts w:cs="Cambria"/>
          <w:color w:val="000000"/>
          <w:spacing w:val="-5"/>
        </w:rPr>
        <w:t xml:space="preserve"> </w:t>
      </w:r>
      <w:r w:rsidRPr="00AA552A">
        <w:rPr>
          <w:rFonts w:cs="Cambria"/>
          <w:color w:val="000000"/>
        </w:rPr>
        <w:t>and l</w:t>
      </w:r>
      <w:r w:rsidRPr="00AA552A">
        <w:rPr>
          <w:rFonts w:cs="Cambria"/>
          <w:color w:val="000000"/>
          <w:spacing w:val="1"/>
        </w:rPr>
        <w:t>i</w:t>
      </w:r>
      <w:r w:rsidRPr="00AA552A">
        <w:rPr>
          <w:rFonts w:cs="Cambria"/>
          <w:color w:val="000000"/>
          <w:spacing w:val="-1"/>
        </w:rPr>
        <w:t>v</w:t>
      </w:r>
      <w:r w:rsidRPr="00AA552A">
        <w:rPr>
          <w:rFonts w:cs="Cambria"/>
          <w:color w:val="000000"/>
          <w:spacing w:val="1"/>
        </w:rPr>
        <w:t>e</w:t>
      </w:r>
      <w:r w:rsidRPr="00AA552A">
        <w:rPr>
          <w:rFonts w:cs="Cambria"/>
          <w:color w:val="000000"/>
        </w:rPr>
        <w:t>/ha</w:t>
      </w:r>
      <w:r w:rsidRPr="00AA552A">
        <w:rPr>
          <w:rFonts w:cs="Cambria"/>
          <w:color w:val="000000"/>
          <w:spacing w:val="-1"/>
        </w:rPr>
        <w:t>r</w:t>
      </w:r>
      <w:r w:rsidRPr="00AA552A">
        <w:rPr>
          <w:rFonts w:cs="Cambria"/>
          <w:color w:val="000000"/>
        </w:rPr>
        <w:t>d</w:t>
      </w:r>
      <w:r w:rsidRPr="00AA552A">
        <w:rPr>
          <w:rFonts w:cs="Cambria"/>
          <w:color w:val="000000"/>
          <w:spacing w:val="-8"/>
        </w:rPr>
        <w:t xml:space="preserve"> </w:t>
      </w:r>
      <w:r w:rsidRPr="00AA552A">
        <w:rPr>
          <w:rFonts w:cs="Cambria"/>
          <w:color w:val="000000"/>
          <w:spacing w:val="1"/>
        </w:rPr>
        <w:t>b</w:t>
      </w:r>
      <w:r w:rsidRPr="00AA552A">
        <w:rPr>
          <w:rFonts w:cs="Cambria"/>
          <w:color w:val="000000"/>
        </w:rPr>
        <w:t>ottom.</w:t>
      </w:r>
    </w:p>
    <w:p w14:paraId="74901FF4" w14:textId="77777777" w:rsidR="00DC4922" w:rsidRPr="00AA552A" w:rsidRDefault="00DC4922" w:rsidP="00DC4922">
      <w:pPr>
        <w:rPr>
          <w:rFonts w:cs="Cambria"/>
          <w:color w:val="000000"/>
          <w:sz w:val="28"/>
        </w:rPr>
      </w:pPr>
    </w:p>
    <w:p w14:paraId="5826CD53" w14:textId="77777777" w:rsidR="00DC4922" w:rsidRPr="00AA552A" w:rsidRDefault="00DC4922" w:rsidP="00640526">
      <w:pPr>
        <w:ind w:firstLine="360"/>
        <w:rPr>
          <w:rFonts w:cs="Cambria"/>
          <w:color w:val="000000"/>
        </w:rPr>
      </w:pPr>
      <w:r w:rsidRPr="00AA552A">
        <w:rPr>
          <w:rFonts w:cs="Cambria"/>
          <w:color w:val="000000"/>
          <w:spacing w:val="-1"/>
        </w:rPr>
        <w:t>Ar</w:t>
      </w:r>
      <w:r w:rsidRPr="00AA552A">
        <w:rPr>
          <w:rFonts w:cs="Cambria"/>
          <w:color w:val="000000"/>
          <w:spacing w:val="1"/>
        </w:rPr>
        <w:t>e</w:t>
      </w:r>
      <w:r w:rsidRPr="00AA552A">
        <w:rPr>
          <w:rFonts w:cs="Cambria"/>
          <w:color w:val="000000"/>
        </w:rPr>
        <w:t>as</w:t>
      </w:r>
      <w:r w:rsidRPr="00AA552A">
        <w:rPr>
          <w:rFonts w:cs="Cambria"/>
          <w:color w:val="000000"/>
          <w:spacing w:val="-3"/>
        </w:rPr>
        <w:t xml:space="preserve"> </w:t>
      </w:r>
      <w:r w:rsidRPr="00AA552A">
        <w:rPr>
          <w:rFonts w:cs="Cambria"/>
          <w:color w:val="000000"/>
          <w:spacing w:val="-1"/>
        </w:rPr>
        <w:t>w</w:t>
      </w:r>
      <w:r w:rsidRPr="00AA552A">
        <w:rPr>
          <w:rFonts w:cs="Cambria"/>
          <w:color w:val="000000"/>
        </w:rPr>
        <w:t>h</w:t>
      </w:r>
      <w:r w:rsidRPr="00AA552A">
        <w:rPr>
          <w:rFonts w:cs="Cambria"/>
          <w:color w:val="000000"/>
          <w:spacing w:val="1"/>
        </w:rPr>
        <w:t>i</w:t>
      </w:r>
      <w:r w:rsidRPr="00AA552A">
        <w:rPr>
          <w:rFonts w:cs="Cambria"/>
          <w:color w:val="000000"/>
        </w:rPr>
        <w:t>ch</w:t>
      </w:r>
      <w:r w:rsidRPr="00AA552A">
        <w:rPr>
          <w:rFonts w:cs="Cambria"/>
          <w:color w:val="000000"/>
          <w:spacing w:val="-4"/>
        </w:rPr>
        <w:t xml:space="preserve"> </w:t>
      </w:r>
      <w:r w:rsidRPr="00AA552A">
        <w:rPr>
          <w:rFonts w:cs="Cambria"/>
          <w:color w:val="000000"/>
        </w:rPr>
        <w:t>m</w:t>
      </w:r>
      <w:r w:rsidRPr="00AA552A">
        <w:rPr>
          <w:rFonts w:cs="Cambria"/>
          <w:color w:val="000000"/>
          <w:spacing w:val="1"/>
        </w:rPr>
        <w:t>ee</w:t>
      </w:r>
      <w:r w:rsidRPr="00AA552A">
        <w:rPr>
          <w:rFonts w:cs="Cambria"/>
          <w:color w:val="000000"/>
        </w:rPr>
        <w:t>t</w:t>
      </w:r>
      <w:r w:rsidRPr="00AA552A">
        <w:rPr>
          <w:rFonts w:cs="Cambria"/>
          <w:color w:val="000000"/>
          <w:spacing w:val="-2"/>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2"/>
        </w:rPr>
        <w:t>c</w:t>
      </w:r>
      <w:r w:rsidRPr="00AA552A">
        <w:rPr>
          <w:rFonts w:cs="Cambria"/>
          <w:color w:val="000000"/>
          <w:spacing w:val="-1"/>
        </w:rPr>
        <w:t>r</w:t>
      </w:r>
      <w:r w:rsidRPr="00AA552A">
        <w:rPr>
          <w:rFonts w:cs="Cambria"/>
          <w:color w:val="000000"/>
          <w:spacing w:val="1"/>
        </w:rPr>
        <w:t>i</w:t>
      </w:r>
      <w:r w:rsidRPr="00AA552A">
        <w:rPr>
          <w:rFonts w:cs="Cambria"/>
          <w:color w:val="000000"/>
        </w:rPr>
        <w:t>t</w:t>
      </w:r>
      <w:r w:rsidRPr="00AA552A">
        <w:rPr>
          <w:rFonts w:cs="Cambria"/>
          <w:color w:val="000000"/>
          <w:spacing w:val="1"/>
        </w:rPr>
        <w:t>e</w:t>
      </w:r>
      <w:r w:rsidRPr="00AA552A">
        <w:rPr>
          <w:rFonts w:cs="Cambria"/>
          <w:color w:val="000000"/>
          <w:spacing w:val="-1"/>
        </w:rPr>
        <w:t>r</w:t>
      </w:r>
      <w:r w:rsidRPr="00AA552A">
        <w:rPr>
          <w:rFonts w:cs="Cambria"/>
          <w:color w:val="000000"/>
          <w:spacing w:val="1"/>
        </w:rPr>
        <w:t>i</w:t>
      </w:r>
      <w:r w:rsidRPr="00AA552A">
        <w:rPr>
          <w:rFonts w:cs="Cambria"/>
          <w:color w:val="000000"/>
        </w:rPr>
        <w:t>a</w:t>
      </w:r>
      <w:r w:rsidRPr="00AA552A">
        <w:rPr>
          <w:rFonts w:cs="Cambria"/>
          <w:color w:val="000000"/>
          <w:spacing w:val="-6"/>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spacing w:val="1"/>
        </w:rPr>
        <w:t>EFH</w:t>
      </w:r>
      <w:r w:rsidRPr="00AA552A">
        <w:rPr>
          <w:rFonts w:cs="Cambria"/>
          <w:color w:val="000000"/>
        </w:rPr>
        <w:t>-</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s</w:t>
      </w:r>
      <w:r w:rsidRPr="00AA552A">
        <w:rPr>
          <w:rFonts w:cs="Cambria"/>
          <w:color w:val="000000"/>
          <w:spacing w:val="-8"/>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rPr>
        <w:t>s</w:t>
      </w:r>
      <w:r w:rsidRPr="00AA552A">
        <w:rPr>
          <w:rFonts w:cs="Cambria"/>
          <w:color w:val="000000"/>
          <w:spacing w:val="1"/>
        </w:rPr>
        <w:t>pe</w:t>
      </w:r>
      <w:r w:rsidRPr="00AA552A">
        <w:rPr>
          <w:rFonts w:cs="Cambria"/>
          <w:color w:val="000000"/>
        </w:rPr>
        <w:t>c</w:t>
      </w:r>
      <w:r w:rsidRPr="00AA552A">
        <w:rPr>
          <w:rFonts w:cs="Cambria"/>
          <w:color w:val="000000"/>
          <w:spacing w:val="1"/>
        </w:rPr>
        <w:t>ie</w:t>
      </w:r>
      <w:r w:rsidRPr="00AA552A">
        <w:rPr>
          <w:rFonts w:cs="Cambria"/>
          <w:color w:val="000000"/>
        </w:rPr>
        <w:t>s</w:t>
      </w:r>
      <w:r w:rsidRPr="00AA552A">
        <w:rPr>
          <w:rFonts w:cs="Cambria"/>
          <w:color w:val="000000"/>
          <w:spacing w:val="-6"/>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sn</w:t>
      </w:r>
      <w:r w:rsidRPr="00AA552A">
        <w:rPr>
          <w:rFonts w:cs="Cambria"/>
          <w:color w:val="000000"/>
          <w:spacing w:val="-2"/>
        </w:rPr>
        <w:t>a</w:t>
      </w:r>
      <w:r w:rsidRPr="00AA552A">
        <w:rPr>
          <w:rFonts w:cs="Cambria"/>
          <w:color w:val="000000"/>
          <w:spacing w:val="1"/>
        </w:rPr>
        <w:t>pp</w:t>
      </w:r>
      <w:r w:rsidRPr="00AA552A">
        <w:rPr>
          <w:rFonts w:cs="Cambria"/>
          <w:color w:val="000000"/>
          <w:spacing w:val="-2"/>
        </w:rPr>
        <w:t>e</w:t>
      </w:r>
      <w:r w:rsidRPr="00AA552A">
        <w:rPr>
          <w:rFonts w:cs="Cambria"/>
          <w:color w:val="000000"/>
          <w:spacing w:val="-1"/>
        </w:rPr>
        <w:t>r</w:t>
      </w:r>
      <w:r w:rsidRPr="00AA552A">
        <w:rPr>
          <w:rFonts w:cs="Cambria"/>
          <w:color w:val="000000"/>
        </w:rPr>
        <w:t>-</w:t>
      </w:r>
      <w:r w:rsidRPr="00AA552A">
        <w:rPr>
          <w:rFonts w:cs="Cambria"/>
          <w:color w:val="000000"/>
          <w:spacing w:val="-1"/>
        </w:rPr>
        <w:t>gr</w:t>
      </w:r>
      <w:r w:rsidRPr="00AA552A">
        <w:rPr>
          <w:rFonts w:cs="Cambria"/>
          <w:color w:val="000000"/>
          <w:spacing w:val="2"/>
        </w:rPr>
        <w:t>o</w:t>
      </w:r>
      <w:r w:rsidRPr="00AA552A">
        <w:rPr>
          <w:rFonts w:cs="Cambria"/>
          <w:color w:val="000000"/>
          <w:spacing w:val="-1"/>
        </w:rPr>
        <w:t>u</w:t>
      </w:r>
      <w:r w:rsidRPr="00AA552A">
        <w:rPr>
          <w:rFonts w:cs="Cambria"/>
          <w:color w:val="000000"/>
          <w:spacing w:val="1"/>
        </w:rPr>
        <w:t>pe</w:t>
      </w:r>
      <w:r w:rsidRPr="00AA552A">
        <w:rPr>
          <w:rFonts w:cs="Cambria"/>
          <w:color w:val="000000"/>
        </w:rPr>
        <w:t>r</w:t>
      </w:r>
      <w:r w:rsidRPr="00AA552A">
        <w:rPr>
          <w:rFonts w:cs="Cambria"/>
          <w:color w:val="000000"/>
          <w:spacing w:val="-9"/>
        </w:rPr>
        <w:t xml:space="preserve"> </w:t>
      </w:r>
      <w:r w:rsidRPr="00AA552A">
        <w:rPr>
          <w:rFonts w:cs="Cambria"/>
          <w:color w:val="000000"/>
        </w:rPr>
        <w:t>mana</w:t>
      </w:r>
      <w:r w:rsidRPr="00AA552A">
        <w:rPr>
          <w:rFonts w:cs="Cambria"/>
          <w:color w:val="000000"/>
          <w:spacing w:val="-1"/>
        </w:rPr>
        <w:t>g</w:t>
      </w:r>
      <w:r w:rsidRPr="00AA552A">
        <w:rPr>
          <w:rFonts w:cs="Cambria"/>
          <w:color w:val="000000"/>
          <w:spacing w:val="1"/>
        </w:rPr>
        <w:t>e</w:t>
      </w:r>
      <w:r w:rsidRPr="00AA552A">
        <w:rPr>
          <w:rFonts w:cs="Cambria"/>
          <w:color w:val="000000"/>
        </w:rPr>
        <w:t>m</w:t>
      </w:r>
      <w:r w:rsidRPr="00AA552A">
        <w:rPr>
          <w:rFonts w:cs="Cambria"/>
          <w:color w:val="000000"/>
          <w:spacing w:val="1"/>
        </w:rPr>
        <w:t>e</w:t>
      </w:r>
      <w:r w:rsidRPr="00AA552A">
        <w:rPr>
          <w:rFonts w:cs="Cambria"/>
          <w:color w:val="000000"/>
        </w:rPr>
        <w:t>nt</w:t>
      </w:r>
      <w:r w:rsidRPr="00AA552A">
        <w:rPr>
          <w:rFonts w:cs="Cambria"/>
          <w:color w:val="000000"/>
          <w:spacing w:val="-2"/>
        </w:rPr>
        <w:t xml:space="preserve"> </w:t>
      </w:r>
      <w:r w:rsidRPr="00AA552A">
        <w:rPr>
          <w:rFonts w:cs="Cambria"/>
          <w:color w:val="000000"/>
          <w:spacing w:val="-1"/>
        </w:rPr>
        <w:t>u</w:t>
      </w:r>
      <w:r w:rsidRPr="00AA552A">
        <w:rPr>
          <w:rFonts w:cs="Cambria"/>
          <w:color w:val="000000"/>
        </w:rPr>
        <w:t>n</w:t>
      </w:r>
      <w:r w:rsidRPr="00AA552A">
        <w:rPr>
          <w:rFonts w:cs="Cambria"/>
          <w:color w:val="000000"/>
          <w:spacing w:val="1"/>
        </w:rPr>
        <w:t>i</w:t>
      </w:r>
      <w:r w:rsidRPr="00AA552A">
        <w:rPr>
          <w:rFonts w:cs="Cambria"/>
          <w:color w:val="000000"/>
        </w:rPr>
        <w:t xml:space="preserve">t </w:t>
      </w:r>
      <w:r w:rsidRPr="00AA552A">
        <w:rPr>
          <w:rFonts w:cs="Cambria"/>
          <w:color w:val="000000"/>
          <w:spacing w:val="1"/>
        </w:rPr>
        <w:t>i</w:t>
      </w:r>
      <w:r w:rsidRPr="00AA552A">
        <w:rPr>
          <w:rFonts w:cs="Cambria"/>
          <w:color w:val="000000"/>
        </w:rPr>
        <w:t>ncl</w:t>
      </w:r>
      <w:r w:rsidRPr="00AA552A">
        <w:rPr>
          <w:rFonts w:cs="Cambria"/>
          <w:color w:val="000000"/>
          <w:spacing w:val="-1"/>
        </w:rPr>
        <w:t>ud</w:t>
      </w:r>
      <w:r w:rsidRPr="00AA552A">
        <w:rPr>
          <w:rFonts w:cs="Cambria"/>
          <w:color w:val="000000"/>
        </w:rPr>
        <w:t>e</w:t>
      </w:r>
      <w:r w:rsidRPr="00AA552A">
        <w:rPr>
          <w:rFonts w:cs="Cambria"/>
          <w:color w:val="000000"/>
          <w:spacing w:val="-3"/>
        </w:rPr>
        <w:t xml:space="preserve"> </w:t>
      </w:r>
      <w:r w:rsidRPr="00AA552A">
        <w:rPr>
          <w:rFonts w:cs="Cambria"/>
          <w:color w:val="000000"/>
        </w:rPr>
        <w:t>m</w:t>
      </w:r>
      <w:r w:rsidRPr="00AA552A">
        <w:rPr>
          <w:rFonts w:cs="Cambria"/>
          <w:color w:val="000000"/>
          <w:spacing w:val="1"/>
        </w:rPr>
        <w:t>e</w:t>
      </w:r>
      <w:r w:rsidRPr="00AA552A">
        <w:rPr>
          <w:rFonts w:cs="Cambria"/>
          <w:color w:val="000000"/>
          <w:spacing w:val="-1"/>
        </w:rPr>
        <w:t>d</w:t>
      </w:r>
      <w:r w:rsidRPr="00AA552A">
        <w:rPr>
          <w:rFonts w:cs="Cambria"/>
          <w:color w:val="000000"/>
          <w:spacing w:val="1"/>
        </w:rPr>
        <w:t>i</w:t>
      </w:r>
      <w:r w:rsidRPr="00AA552A">
        <w:rPr>
          <w:rFonts w:cs="Cambria"/>
          <w:color w:val="000000"/>
          <w:spacing w:val="-1"/>
        </w:rPr>
        <w:t>u</w:t>
      </w:r>
      <w:r w:rsidRPr="00AA552A">
        <w:rPr>
          <w:rFonts w:cs="Cambria"/>
          <w:color w:val="000000"/>
        </w:rPr>
        <w:t>m</w:t>
      </w:r>
      <w:r w:rsidRPr="00AA552A">
        <w:rPr>
          <w:rFonts w:cs="Cambria"/>
          <w:color w:val="000000"/>
          <w:spacing w:val="-3"/>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h</w:t>
      </w:r>
      <w:r w:rsidRPr="00AA552A">
        <w:rPr>
          <w:rFonts w:cs="Cambria"/>
          <w:color w:val="000000"/>
          <w:spacing w:val="1"/>
        </w:rPr>
        <w:t>ig</w:t>
      </w:r>
      <w:r w:rsidRPr="00AA552A">
        <w:rPr>
          <w:rFonts w:cs="Cambria"/>
          <w:color w:val="000000"/>
        </w:rPr>
        <w:t>h</w:t>
      </w:r>
      <w:r w:rsidRPr="00AA552A">
        <w:rPr>
          <w:rFonts w:cs="Cambria"/>
          <w:color w:val="000000"/>
          <w:spacing w:val="-1"/>
        </w:rPr>
        <w:t xml:space="preserve"> </w:t>
      </w:r>
      <w:r w:rsidRPr="00AA552A">
        <w:rPr>
          <w:rFonts w:cs="Cambria"/>
          <w:color w:val="000000"/>
          <w:spacing w:val="1"/>
        </w:rPr>
        <w:t>p</w:t>
      </w:r>
      <w:r w:rsidRPr="00AA552A">
        <w:rPr>
          <w:rFonts w:cs="Cambria"/>
          <w:color w:val="000000"/>
          <w:spacing w:val="-1"/>
        </w:rPr>
        <w:t>r</w:t>
      </w:r>
      <w:r w:rsidRPr="00AA552A">
        <w:rPr>
          <w:rFonts w:cs="Cambria"/>
          <w:color w:val="000000"/>
        </w:rPr>
        <w:t>o</w:t>
      </w:r>
      <w:r w:rsidRPr="00AA552A">
        <w:rPr>
          <w:rFonts w:cs="Cambria"/>
          <w:color w:val="000000"/>
          <w:spacing w:val="-1"/>
        </w:rPr>
        <w:t>f</w:t>
      </w:r>
      <w:r w:rsidRPr="00AA552A">
        <w:rPr>
          <w:rFonts w:cs="Cambria"/>
          <w:color w:val="000000"/>
          <w:spacing w:val="1"/>
        </w:rPr>
        <w:t>i</w:t>
      </w:r>
      <w:r w:rsidRPr="00AA552A">
        <w:rPr>
          <w:rFonts w:cs="Cambria"/>
          <w:color w:val="000000"/>
        </w:rPr>
        <w:t>le</w:t>
      </w:r>
      <w:r w:rsidRPr="00AA552A">
        <w:rPr>
          <w:rFonts w:cs="Cambria"/>
          <w:color w:val="000000"/>
          <w:spacing w:val="-4"/>
        </w:rPr>
        <w:t xml:space="preserve"> </w:t>
      </w:r>
      <w:r w:rsidRPr="00AA552A">
        <w:rPr>
          <w:rFonts w:cs="Cambria"/>
          <w:color w:val="000000"/>
        </w:rPr>
        <w:t>o</w:t>
      </w:r>
      <w:r w:rsidRPr="00AA552A">
        <w:rPr>
          <w:rFonts w:cs="Cambria"/>
          <w:color w:val="000000"/>
          <w:spacing w:val="-1"/>
        </w:rPr>
        <w:t>ff</w:t>
      </w:r>
      <w:r w:rsidRPr="00AA552A">
        <w:rPr>
          <w:rFonts w:cs="Cambria"/>
          <w:color w:val="000000"/>
        </w:rPr>
        <w:t>sho</w:t>
      </w:r>
      <w:r w:rsidRPr="00AA552A">
        <w:rPr>
          <w:rFonts w:cs="Cambria"/>
          <w:color w:val="000000"/>
          <w:spacing w:val="-1"/>
        </w:rPr>
        <w:t>r</w:t>
      </w:r>
      <w:r w:rsidRPr="00AA552A">
        <w:rPr>
          <w:rFonts w:cs="Cambria"/>
          <w:color w:val="000000"/>
        </w:rPr>
        <w:t>e</w:t>
      </w:r>
      <w:r w:rsidRPr="00AA552A">
        <w:rPr>
          <w:rFonts w:cs="Cambria"/>
          <w:color w:val="000000"/>
          <w:spacing w:val="-8"/>
        </w:rPr>
        <w:t xml:space="preserve"> </w:t>
      </w:r>
      <w:r w:rsidRPr="00AA552A">
        <w:rPr>
          <w:rFonts w:cs="Cambria"/>
          <w:color w:val="000000"/>
        </w:rPr>
        <w:t>h</w:t>
      </w:r>
      <w:r w:rsidRPr="00AA552A">
        <w:rPr>
          <w:rFonts w:cs="Cambria"/>
          <w:color w:val="000000"/>
          <w:spacing w:val="3"/>
        </w:rPr>
        <w:t>a</w:t>
      </w:r>
      <w:r w:rsidRPr="00AA552A">
        <w:rPr>
          <w:rFonts w:cs="Cambria"/>
          <w:color w:val="000000"/>
          <w:spacing w:val="-1"/>
        </w:rPr>
        <w:t>r</w:t>
      </w:r>
      <w:r w:rsidRPr="00AA552A">
        <w:rPr>
          <w:rFonts w:cs="Cambria"/>
          <w:color w:val="000000"/>
        </w:rPr>
        <w:t>d</w:t>
      </w:r>
      <w:r w:rsidRPr="00AA552A">
        <w:rPr>
          <w:rFonts w:cs="Cambria"/>
          <w:color w:val="000000"/>
          <w:spacing w:val="-5"/>
        </w:rPr>
        <w:t xml:space="preserve"> </w:t>
      </w:r>
      <w:r w:rsidRPr="00AA552A">
        <w:rPr>
          <w:rFonts w:cs="Cambria"/>
          <w:color w:val="000000"/>
          <w:spacing w:val="3"/>
        </w:rPr>
        <w:t>b</w:t>
      </w:r>
      <w:r w:rsidRPr="00AA552A">
        <w:rPr>
          <w:rFonts w:cs="Cambria"/>
          <w:color w:val="000000"/>
        </w:rPr>
        <w:t>ottoms</w:t>
      </w:r>
      <w:r w:rsidRPr="00AA552A">
        <w:rPr>
          <w:rFonts w:cs="Cambria"/>
          <w:color w:val="000000"/>
          <w:spacing w:val="-4"/>
        </w:rPr>
        <w:t xml:space="preserve"> </w:t>
      </w:r>
      <w:r w:rsidRPr="00AA552A">
        <w:rPr>
          <w:rFonts w:cs="Cambria"/>
          <w:color w:val="000000"/>
          <w:spacing w:val="-1"/>
        </w:rPr>
        <w:t>w</w:t>
      </w:r>
      <w:r w:rsidRPr="00AA552A">
        <w:rPr>
          <w:rFonts w:cs="Cambria"/>
          <w:color w:val="000000"/>
        </w:rPr>
        <w:t>h</w:t>
      </w:r>
      <w:r w:rsidRPr="00AA552A">
        <w:rPr>
          <w:rFonts w:cs="Cambria"/>
          <w:color w:val="000000"/>
          <w:spacing w:val="1"/>
        </w:rPr>
        <w:t>e</w:t>
      </w:r>
      <w:r w:rsidRPr="00AA552A">
        <w:rPr>
          <w:rFonts w:cs="Cambria"/>
          <w:color w:val="000000"/>
          <w:spacing w:val="-1"/>
        </w:rPr>
        <w:t>r</w:t>
      </w:r>
      <w:r w:rsidRPr="00AA552A">
        <w:rPr>
          <w:rFonts w:cs="Cambria"/>
          <w:color w:val="000000"/>
        </w:rPr>
        <w:t>e</w:t>
      </w:r>
      <w:r w:rsidRPr="00AA552A">
        <w:rPr>
          <w:rFonts w:cs="Cambria"/>
          <w:color w:val="000000"/>
          <w:spacing w:val="-4"/>
        </w:rPr>
        <w:t xml:space="preserve"> </w:t>
      </w:r>
      <w:r w:rsidRPr="00AA552A">
        <w:rPr>
          <w:rFonts w:cs="Cambria"/>
          <w:color w:val="000000"/>
        </w:rPr>
        <w:t>s</w:t>
      </w:r>
      <w:r w:rsidRPr="00AA552A">
        <w:rPr>
          <w:rFonts w:cs="Cambria"/>
          <w:color w:val="000000"/>
          <w:spacing w:val="1"/>
        </w:rPr>
        <w:t>p</w:t>
      </w:r>
      <w:r w:rsidRPr="00AA552A">
        <w:rPr>
          <w:rFonts w:cs="Cambria"/>
          <w:color w:val="000000"/>
        </w:rPr>
        <w:t>a</w:t>
      </w:r>
      <w:r w:rsidRPr="00AA552A">
        <w:rPr>
          <w:rFonts w:cs="Cambria"/>
          <w:color w:val="000000"/>
          <w:spacing w:val="-1"/>
        </w:rPr>
        <w:t>w</w:t>
      </w:r>
      <w:r w:rsidRPr="00AA552A">
        <w:rPr>
          <w:rFonts w:cs="Cambria"/>
          <w:color w:val="000000"/>
        </w:rPr>
        <w:t>n</w:t>
      </w:r>
      <w:r w:rsidRPr="00AA552A">
        <w:rPr>
          <w:rFonts w:cs="Cambria"/>
          <w:color w:val="000000"/>
          <w:spacing w:val="1"/>
        </w:rPr>
        <w:t>i</w:t>
      </w:r>
      <w:r w:rsidRPr="00AA552A">
        <w:rPr>
          <w:rFonts w:cs="Cambria"/>
          <w:color w:val="000000"/>
        </w:rPr>
        <w:t>ng</w:t>
      </w:r>
      <w:r w:rsidRPr="00AA552A">
        <w:rPr>
          <w:rFonts w:cs="Cambria"/>
          <w:color w:val="000000"/>
          <w:spacing w:val="-3"/>
        </w:rPr>
        <w:t xml:space="preserve"> </w:t>
      </w:r>
      <w:r w:rsidRPr="00AA552A">
        <w:rPr>
          <w:rFonts w:cs="Cambria"/>
          <w:color w:val="000000"/>
        </w:rPr>
        <w:t>no</w:t>
      </w:r>
      <w:r w:rsidRPr="00AA552A">
        <w:rPr>
          <w:rFonts w:cs="Cambria"/>
          <w:color w:val="000000"/>
          <w:spacing w:val="-1"/>
        </w:rPr>
        <w:t>r</w:t>
      </w:r>
      <w:r w:rsidRPr="00AA552A">
        <w:rPr>
          <w:rFonts w:cs="Cambria"/>
          <w:color w:val="000000"/>
        </w:rPr>
        <w:t>mally</w:t>
      </w:r>
      <w:r w:rsidRPr="00AA552A">
        <w:rPr>
          <w:rFonts w:cs="Cambria"/>
          <w:color w:val="000000"/>
          <w:spacing w:val="-2"/>
        </w:rPr>
        <w:t xml:space="preserve"> </w:t>
      </w:r>
      <w:r w:rsidRPr="00AA552A">
        <w:rPr>
          <w:rFonts w:cs="Cambria"/>
          <w:color w:val="000000"/>
        </w:rPr>
        <w:t>occ</w:t>
      </w:r>
      <w:r w:rsidRPr="00AA552A">
        <w:rPr>
          <w:rFonts w:cs="Cambria"/>
          <w:color w:val="000000"/>
          <w:spacing w:val="-1"/>
        </w:rPr>
        <w:t>ur</w:t>
      </w:r>
      <w:r w:rsidRPr="00AA552A">
        <w:rPr>
          <w:rFonts w:cs="Cambria"/>
          <w:color w:val="000000"/>
          <w:spacing w:val="2"/>
        </w:rPr>
        <w:t>s</w:t>
      </w:r>
      <w:r w:rsidRPr="00AA552A">
        <w:rPr>
          <w:rFonts w:cs="Cambria"/>
          <w:color w:val="000000"/>
        </w:rPr>
        <w:t>;</w:t>
      </w:r>
      <w:r w:rsidRPr="00AA552A">
        <w:rPr>
          <w:rFonts w:cs="Cambria"/>
          <w:color w:val="000000"/>
          <w:spacing w:val="-7"/>
        </w:rPr>
        <w:t xml:space="preserve"> </w:t>
      </w:r>
      <w:r w:rsidRPr="00AA552A">
        <w:rPr>
          <w:rFonts w:cs="Cambria"/>
          <w:color w:val="000000"/>
        </w:rPr>
        <w:t>loca</w:t>
      </w:r>
      <w:r w:rsidRPr="00AA552A">
        <w:rPr>
          <w:rFonts w:cs="Cambria"/>
          <w:color w:val="000000"/>
          <w:spacing w:val="2"/>
        </w:rPr>
        <w:t>l</w:t>
      </w:r>
      <w:r w:rsidRPr="00AA552A">
        <w:rPr>
          <w:rFonts w:cs="Cambria"/>
          <w:color w:val="000000"/>
          <w:spacing w:val="1"/>
        </w:rPr>
        <w:t>i</w:t>
      </w:r>
      <w:r w:rsidRPr="00AA552A">
        <w:rPr>
          <w:rFonts w:cs="Cambria"/>
          <w:color w:val="000000"/>
        </w:rPr>
        <w:t>t</w:t>
      </w:r>
      <w:r w:rsidRPr="00AA552A">
        <w:rPr>
          <w:rFonts w:cs="Cambria"/>
          <w:color w:val="000000"/>
          <w:spacing w:val="1"/>
        </w:rPr>
        <w:t>ie</w:t>
      </w:r>
      <w:r w:rsidRPr="00AA552A">
        <w:rPr>
          <w:rFonts w:cs="Cambria"/>
          <w:color w:val="000000"/>
        </w:rPr>
        <w:t>s of</w:t>
      </w:r>
      <w:r w:rsidRPr="00AA552A">
        <w:rPr>
          <w:rFonts w:cs="Cambria"/>
          <w:color w:val="000000"/>
          <w:spacing w:val="-3"/>
        </w:rPr>
        <w:t xml:space="preserve"> </w:t>
      </w:r>
      <w:r w:rsidRPr="00AA552A">
        <w:rPr>
          <w:rFonts w:cs="Cambria"/>
          <w:color w:val="000000"/>
          <w:spacing w:val="-1"/>
        </w:rPr>
        <w:t>k</w:t>
      </w:r>
      <w:r w:rsidRPr="00AA552A">
        <w:rPr>
          <w:rFonts w:cs="Cambria"/>
          <w:color w:val="000000"/>
        </w:rPr>
        <w:t>no</w:t>
      </w:r>
      <w:r w:rsidRPr="00AA552A">
        <w:rPr>
          <w:rFonts w:cs="Cambria"/>
          <w:color w:val="000000"/>
          <w:spacing w:val="-1"/>
        </w:rPr>
        <w:t>w</w:t>
      </w:r>
      <w:r w:rsidRPr="00AA552A">
        <w:rPr>
          <w:rFonts w:cs="Cambria"/>
          <w:color w:val="000000"/>
        </w:rPr>
        <w:t>n</w:t>
      </w:r>
      <w:r w:rsidRPr="00AA552A">
        <w:rPr>
          <w:rFonts w:cs="Cambria"/>
          <w:color w:val="000000"/>
          <w:spacing w:val="-1"/>
        </w:rPr>
        <w:t xml:space="preserve"> </w:t>
      </w:r>
      <w:r w:rsidRPr="00AA552A">
        <w:rPr>
          <w:rFonts w:cs="Cambria"/>
          <w:color w:val="000000"/>
        </w:rPr>
        <w:t>or l</w:t>
      </w:r>
      <w:r w:rsidRPr="00AA552A">
        <w:rPr>
          <w:rFonts w:cs="Cambria"/>
          <w:color w:val="000000"/>
          <w:spacing w:val="1"/>
        </w:rPr>
        <w:t>i</w:t>
      </w:r>
      <w:r w:rsidRPr="00AA552A">
        <w:rPr>
          <w:rFonts w:cs="Cambria"/>
          <w:color w:val="000000"/>
          <w:spacing w:val="-1"/>
        </w:rPr>
        <w:t>k</w:t>
      </w:r>
      <w:r w:rsidRPr="00AA552A">
        <w:rPr>
          <w:rFonts w:cs="Cambria"/>
          <w:color w:val="000000"/>
          <w:spacing w:val="1"/>
        </w:rPr>
        <w:t>e</w:t>
      </w:r>
      <w:r w:rsidRPr="00AA552A">
        <w:rPr>
          <w:rFonts w:cs="Cambria"/>
          <w:color w:val="000000"/>
        </w:rPr>
        <w:t>ly</w:t>
      </w:r>
      <w:r w:rsidRPr="00AA552A">
        <w:rPr>
          <w:rFonts w:cs="Cambria"/>
          <w:color w:val="000000"/>
          <w:spacing w:val="-4"/>
        </w:rPr>
        <w:t xml:space="preserve"> </w:t>
      </w:r>
      <w:r w:rsidRPr="00AA552A">
        <w:rPr>
          <w:rFonts w:cs="Cambria"/>
          <w:color w:val="000000"/>
          <w:spacing w:val="1"/>
        </w:rPr>
        <w:t>pe</w:t>
      </w:r>
      <w:r w:rsidRPr="00AA552A">
        <w:rPr>
          <w:rFonts w:cs="Cambria"/>
          <w:color w:val="000000"/>
          <w:spacing w:val="-1"/>
        </w:rPr>
        <w:t>r</w:t>
      </w:r>
      <w:r w:rsidRPr="00AA552A">
        <w:rPr>
          <w:rFonts w:cs="Cambria"/>
          <w:color w:val="000000"/>
          <w:spacing w:val="1"/>
        </w:rPr>
        <w:t>i</w:t>
      </w:r>
      <w:r w:rsidRPr="00AA552A">
        <w:rPr>
          <w:rFonts w:cs="Cambria"/>
          <w:color w:val="000000"/>
          <w:spacing w:val="2"/>
        </w:rPr>
        <w:t>o</w:t>
      </w:r>
      <w:r w:rsidRPr="00AA552A">
        <w:rPr>
          <w:rFonts w:cs="Cambria"/>
          <w:color w:val="000000"/>
          <w:spacing w:val="-1"/>
        </w:rPr>
        <w:t>d</w:t>
      </w:r>
      <w:r w:rsidRPr="00AA552A">
        <w:rPr>
          <w:rFonts w:cs="Cambria"/>
          <w:color w:val="000000"/>
          <w:spacing w:val="1"/>
        </w:rPr>
        <w:t>i</w:t>
      </w:r>
      <w:r w:rsidRPr="00AA552A">
        <w:rPr>
          <w:rFonts w:cs="Cambria"/>
          <w:color w:val="000000"/>
        </w:rPr>
        <w:t>c</w:t>
      </w:r>
      <w:r w:rsidRPr="00AA552A">
        <w:rPr>
          <w:rFonts w:cs="Cambria"/>
          <w:color w:val="000000"/>
          <w:spacing w:val="-7"/>
        </w:rPr>
        <w:t xml:space="preserve"> </w:t>
      </w:r>
      <w:r w:rsidRPr="00AA552A">
        <w:rPr>
          <w:rFonts w:cs="Cambria"/>
          <w:color w:val="000000"/>
        </w:rPr>
        <w:t>s</w:t>
      </w:r>
      <w:r w:rsidRPr="00AA552A">
        <w:rPr>
          <w:rFonts w:cs="Cambria"/>
          <w:color w:val="000000"/>
          <w:spacing w:val="1"/>
        </w:rPr>
        <w:t>p</w:t>
      </w:r>
      <w:r w:rsidRPr="00AA552A">
        <w:rPr>
          <w:rFonts w:cs="Cambria"/>
          <w:color w:val="000000"/>
        </w:rPr>
        <w:t>a</w:t>
      </w:r>
      <w:r w:rsidRPr="00AA552A">
        <w:rPr>
          <w:rFonts w:cs="Cambria"/>
          <w:color w:val="000000"/>
          <w:spacing w:val="-1"/>
        </w:rPr>
        <w:t>w</w:t>
      </w:r>
      <w:r w:rsidRPr="00AA552A">
        <w:rPr>
          <w:rFonts w:cs="Cambria"/>
          <w:color w:val="000000"/>
        </w:rPr>
        <w:t>n</w:t>
      </w:r>
      <w:r w:rsidRPr="00AA552A">
        <w:rPr>
          <w:rFonts w:cs="Cambria"/>
          <w:color w:val="000000"/>
          <w:spacing w:val="1"/>
        </w:rPr>
        <w:t>i</w:t>
      </w:r>
      <w:r w:rsidRPr="00AA552A">
        <w:rPr>
          <w:rFonts w:cs="Cambria"/>
          <w:color w:val="000000"/>
        </w:rPr>
        <w:t>ng</w:t>
      </w:r>
      <w:r w:rsidRPr="00AA552A">
        <w:rPr>
          <w:rFonts w:cs="Cambria"/>
          <w:color w:val="000000"/>
          <w:spacing w:val="-3"/>
        </w:rPr>
        <w:t xml:space="preserve"> </w:t>
      </w:r>
      <w:r w:rsidRPr="00AA552A">
        <w:rPr>
          <w:rFonts w:cs="Cambria"/>
          <w:color w:val="000000"/>
        </w:rPr>
        <w:t>a</w:t>
      </w:r>
      <w:r w:rsidRPr="00AA552A">
        <w:rPr>
          <w:rFonts w:cs="Cambria"/>
          <w:color w:val="000000"/>
          <w:spacing w:val="-1"/>
        </w:rPr>
        <w:t>ggr</w:t>
      </w:r>
      <w:r w:rsidRPr="00AA552A">
        <w:rPr>
          <w:rFonts w:cs="Cambria"/>
          <w:color w:val="000000"/>
          <w:spacing w:val="1"/>
        </w:rPr>
        <w:t>e</w:t>
      </w:r>
      <w:r w:rsidRPr="00AA552A">
        <w:rPr>
          <w:rFonts w:cs="Cambria"/>
          <w:color w:val="000000"/>
          <w:spacing w:val="-1"/>
        </w:rPr>
        <w:t>g</w:t>
      </w:r>
      <w:r w:rsidRPr="00AA552A">
        <w:rPr>
          <w:rFonts w:cs="Cambria"/>
          <w:color w:val="000000"/>
        </w:rPr>
        <w:t>at</w:t>
      </w:r>
      <w:r w:rsidRPr="00AA552A">
        <w:rPr>
          <w:rFonts w:cs="Cambria"/>
          <w:color w:val="000000"/>
          <w:spacing w:val="3"/>
        </w:rPr>
        <w:t>i</w:t>
      </w:r>
      <w:r w:rsidRPr="00AA552A">
        <w:rPr>
          <w:rFonts w:cs="Cambria"/>
          <w:color w:val="000000"/>
        </w:rPr>
        <w:t>ons;</w:t>
      </w:r>
      <w:r w:rsidRPr="00AA552A">
        <w:rPr>
          <w:rFonts w:cs="Cambria"/>
          <w:color w:val="000000"/>
          <w:spacing w:val="-7"/>
        </w:rPr>
        <w:t xml:space="preserve"> </w:t>
      </w:r>
      <w:r w:rsidRPr="00AA552A">
        <w:rPr>
          <w:rFonts w:cs="Cambria"/>
          <w:color w:val="000000"/>
        </w:rPr>
        <w:t>n</w:t>
      </w:r>
      <w:r w:rsidRPr="00AA552A">
        <w:rPr>
          <w:rFonts w:cs="Cambria"/>
          <w:color w:val="000000"/>
          <w:spacing w:val="1"/>
        </w:rPr>
        <w:t>e</w:t>
      </w:r>
      <w:r w:rsidRPr="00AA552A">
        <w:rPr>
          <w:rFonts w:cs="Cambria"/>
          <w:color w:val="000000"/>
        </w:rPr>
        <w:t>a</w:t>
      </w:r>
      <w:r w:rsidRPr="00AA552A">
        <w:rPr>
          <w:rFonts w:cs="Cambria"/>
          <w:color w:val="000000"/>
          <w:spacing w:val="-1"/>
        </w:rPr>
        <w:t>r</w:t>
      </w:r>
      <w:r w:rsidRPr="00AA552A">
        <w:rPr>
          <w:rFonts w:cs="Cambria"/>
          <w:color w:val="000000"/>
        </w:rPr>
        <w:t>sho</w:t>
      </w:r>
      <w:r w:rsidRPr="00AA552A">
        <w:rPr>
          <w:rFonts w:cs="Cambria"/>
          <w:color w:val="000000"/>
          <w:spacing w:val="-1"/>
        </w:rPr>
        <w:t>r</w:t>
      </w:r>
      <w:r w:rsidRPr="00AA552A">
        <w:rPr>
          <w:rFonts w:cs="Cambria"/>
          <w:color w:val="000000"/>
        </w:rPr>
        <w:t>e</w:t>
      </w:r>
      <w:r w:rsidRPr="00AA552A">
        <w:rPr>
          <w:rFonts w:cs="Cambria"/>
          <w:color w:val="000000"/>
          <w:spacing w:val="-7"/>
        </w:rPr>
        <w:t xml:space="preserve"> </w:t>
      </w:r>
      <w:r w:rsidRPr="00AA552A">
        <w:rPr>
          <w:rFonts w:cs="Cambria"/>
          <w:color w:val="000000"/>
        </w:rPr>
        <w:t>ha</w:t>
      </w:r>
      <w:r w:rsidRPr="00AA552A">
        <w:rPr>
          <w:rFonts w:cs="Cambria"/>
          <w:color w:val="000000"/>
          <w:spacing w:val="-1"/>
        </w:rPr>
        <w:t>r</w:t>
      </w:r>
      <w:r w:rsidRPr="00AA552A">
        <w:rPr>
          <w:rFonts w:cs="Cambria"/>
          <w:color w:val="000000"/>
        </w:rPr>
        <w:t>d</w:t>
      </w:r>
      <w:r w:rsidRPr="00AA552A">
        <w:rPr>
          <w:rFonts w:cs="Cambria"/>
          <w:color w:val="000000"/>
          <w:spacing w:val="-5"/>
        </w:rPr>
        <w:t xml:space="preserve"> </w:t>
      </w:r>
      <w:r w:rsidRPr="00AA552A">
        <w:rPr>
          <w:rFonts w:cs="Cambria"/>
          <w:color w:val="000000"/>
          <w:spacing w:val="1"/>
        </w:rPr>
        <w:t>b</w:t>
      </w:r>
      <w:r w:rsidRPr="00AA552A">
        <w:rPr>
          <w:rFonts w:cs="Cambria"/>
          <w:color w:val="000000"/>
        </w:rPr>
        <w:t>o</w:t>
      </w:r>
      <w:r w:rsidRPr="00AA552A">
        <w:rPr>
          <w:rFonts w:cs="Cambria"/>
          <w:color w:val="000000"/>
          <w:spacing w:val="3"/>
        </w:rPr>
        <w:t>t</w:t>
      </w:r>
      <w:r w:rsidRPr="00AA552A">
        <w:rPr>
          <w:rFonts w:cs="Cambria"/>
          <w:color w:val="000000"/>
        </w:rPr>
        <w:t>tom</w:t>
      </w:r>
      <w:r w:rsidRPr="00AA552A">
        <w:rPr>
          <w:rFonts w:cs="Cambria"/>
          <w:color w:val="000000"/>
          <w:spacing w:val="-3"/>
        </w:rPr>
        <w:t xml:space="preserve"> </w:t>
      </w:r>
      <w:r w:rsidRPr="00AA552A">
        <w:rPr>
          <w:rFonts w:cs="Cambria"/>
          <w:color w:val="000000"/>
        </w:rPr>
        <w:t>a</w:t>
      </w:r>
      <w:r w:rsidRPr="00AA552A">
        <w:rPr>
          <w:rFonts w:cs="Cambria"/>
          <w:color w:val="000000"/>
          <w:spacing w:val="-1"/>
        </w:rPr>
        <w:t>r</w:t>
      </w:r>
      <w:r w:rsidRPr="00AA552A">
        <w:rPr>
          <w:rFonts w:cs="Cambria"/>
          <w:color w:val="000000"/>
          <w:spacing w:val="1"/>
        </w:rPr>
        <w:t>e</w:t>
      </w:r>
      <w:r w:rsidRPr="00AA552A">
        <w:rPr>
          <w:rFonts w:cs="Cambria"/>
          <w:color w:val="000000"/>
        </w:rPr>
        <w:t>as;</w:t>
      </w:r>
      <w:r w:rsidRPr="00AA552A">
        <w:rPr>
          <w:rFonts w:cs="Cambria"/>
          <w:color w:val="000000"/>
          <w:spacing w:val="-5"/>
        </w:rPr>
        <w:t xml:space="preserve"> </w:t>
      </w:r>
      <w:r w:rsidRPr="00AA552A">
        <w:rPr>
          <w:rFonts w:cs="Cambria"/>
          <w:color w:val="000000"/>
          <w:spacing w:val="-1"/>
        </w:rPr>
        <w:t>T</w:t>
      </w:r>
      <w:r w:rsidRPr="00AA552A">
        <w:rPr>
          <w:rFonts w:cs="Cambria"/>
          <w:color w:val="000000"/>
        </w:rPr>
        <w:t>he</w:t>
      </w:r>
      <w:r w:rsidRPr="00AA552A">
        <w:rPr>
          <w:rFonts w:cs="Cambria"/>
          <w:color w:val="000000"/>
          <w:spacing w:val="-3"/>
        </w:rPr>
        <w:t xml:space="preserve"> </w:t>
      </w:r>
      <w:r w:rsidRPr="00AA552A">
        <w:rPr>
          <w:rFonts w:cs="Cambria"/>
          <w:color w:val="000000"/>
          <w:spacing w:val="1"/>
        </w:rPr>
        <w:t>P</w:t>
      </w:r>
      <w:r w:rsidRPr="00AA552A">
        <w:rPr>
          <w:rFonts w:cs="Cambria"/>
          <w:color w:val="000000"/>
        </w:rPr>
        <w:t>o</w:t>
      </w:r>
      <w:r w:rsidRPr="00AA552A">
        <w:rPr>
          <w:rFonts w:cs="Cambria"/>
          <w:color w:val="000000"/>
          <w:spacing w:val="1"/>
        </w:rPr>
        <w:t>i</w:t>
      </w:r>
      <w:r w:rsidRPr="00AA552A">
        <w:rPr>
          <w:rFonts w:cs="Cambria"/>
          <w:color w:val="000000"/>
        </w:rPr>
        <w:t>nt,</w:t>
      </w:r>
      <w:r w:rsidRPr="00AA552A">
        <w:rPr>
          <w:rFonts w:cs="Cambria"/>
          <w:color w:val="000000"/>
          <w:spacing w:val="-2"/>
        </w:rPr>
        <w:t xml:space="preserve"> </w:t>
      </w:r>
      <w:r w:rsidRPr="00AA552A">
        <w:rPr>
          <w:rFonts w:cs="Cambria"/>
          <w:color w:val="000000"/>
          <w:spacing w:val="-1"/>
        </w:rPr>
        <w:t>T</w:t>
      </w:r>
      <w:r w:rsidRPr="00AA552A">
        <w:rPr>
          <w:rFonts w:cs="Cambria"/>
          <w:color w:val="000000"/>
        </w:rPr>
        <w:t xml:space="preserve">he </w:t>
      </w:r>
      <w:r w:rsidRPr="00AA552A">
        <w:rPr>
          <w:rFonts w:cs="Cambria"/>
          <w:color w:val="000000"/>
          <w:spacing w:val="-1"/>
        </w:rPr>
        <w:t>T</w:t>
      </w:r>
      <w:r w:rsidRPr="00AA552A">
        <w:rPr>
          <w:rFonts w:cs="Cambria"/>
          <w:color w:val="000000"/>
          <w:spacing w:val="1"/>
        </w:rPr>
        <w:t>e</w:t>
      </w:r>
      <w:r w:rsidRPr="00AA552A">
        <w:rPr>
          <w:rFonts w:cs="Cambria"/>
          <w:color w:val="000000"/>
        </w:rPr>
        <w:t>n</w:t>
      </w:r>
      <w:r w:rsidRPr="00AA552A">
        <w:rPr>
          <w:rFonts w:cs="Cambria"/>
          <w:color w:val="000000"/>
          <w:spacing w:val="-3"/>
        </w:rPr>
        <w:t xml:space="preserve"> </w:t>
      </w:r>
      <w:r w:rsidRPr="00AA552A">
        <w:rPr>
          <w:rFonts w:cs="Cambria"/>
          <w:color w:val="000000"/>
          <w:spacing w:val="1"/>
        </w:rPr>
        <w:t>F</w:t>
      </w:r>
      <w:r w:rsidRPr="00AA552A">
        <w:rPr>
          <w:rFonts w:cs="Cambria"/>
          <w:color w:val="000000"/>
        </w:rPr>
        <w:t>athom</w:t>
      </w:r>
      <w:r w:rsidRPr="00AA552A">
        <w:rPr>
          <w:rFonts w:cs="Cambria"/>
          <w:color w:val="000000"/>
          <w:spacing w:val="-4"/>
        </w:rPr>
        <w:t xml:space="preserve"> </w:t>
      </w:r>
      <w:r w:rsidRPr="00AA552A">
        <w:rPr>
          <w:rFonts w:cs="Cambria"/>
          <w:color w:val="000000"/>
          <w:spacing w:val="1"/>
        </w:rPr>
        <w:t>Le</w:t>
      </w:r>
      <w:r w:rsidRPr="00AA552A">
        <w:rPr>
          <w:rFonts w:cs="Cambria"/>
          <w:color w:val="000000"/>
          <w:spacing w:val="-1"/>
        </w:rPr>
        <w:t>dg</w:t>
      </w:r>
      <w:r w:rsidRPr="00AA552A">
        <w:rPr>
          <w:rFonts w:cs="Cambria"/>
          <w:color w:val="000000"/>
          <w:spacing w:val="1"/>
        </w:rPr>
        <w:t>e</w:t>
      </w:r>
      <w:r w:rsidRPr="00AA552A">
        <w:rPr>
          <w:rFonts w:cs="Cambria"/>
          <w:color w:val="000000"/>
        </w:rPr>
        <w:t>,</w:t>
      </w:r>
      <w:r w:rsidRPr="00AA552A">
        <w:rPr>
          <w:rFonts w:cs="Cambria"/>
          <w:color w:val="000000"/>
          <w:spacing w:val="-4"/>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B</w:t>
      </w:r>
      <w:r w:rsidRPr="00AA552A">
        <w:rPr>
          <w:rFonts w:cs="Cambria"/>
          <w:color w:val="000000"/>
          <w:spacing w:val="1"/>
        </w:rPr>
        <w:t>i</w:t>
      </w:r>
      <w:r w:rsidRPr="00AA552A">
        <w:rPr>
          <w:rFonts w:cs="Cambria"/>
          <w:color w:val="000000"/>
        </w:rPr>
        <w:t>g</w:t>
      </w:r>
      <w:r w:rsidRPr="00AA552A">
        <w:rPr>
          <w:rFonts w:cs="Cambria"/>
          <w:color w:val="000000"/>
          <w:spacing w:val="-2"/>
        </w:rPr>
        <w:t xml:space="preserve"> </w:t>
      </w:r>
      <w:r w:rsidRPr="00AA552A">
        <w:rPr>
          <w:rFonts w:cs="Cambria"/>
          <w:color w:val="000000"/>
        </w:rPr>
        <w:t>Rock</w:t>
      </w:r>
      <w:r w:rsidRPr="00AA552A">
        <w:rPr>
          <w:rFonts w:cs="Cambria"/>
          <w:color w:val="000000"/>
          <w:spacing w:val="-3"/>
        </w:rPr>
        <w:t xml:space="preserve"> </w:t>
      </w:r>
      <w:r w:rsidRPr="00AA552A">
        <w:rPr>
          <w:rFonts w:cs="Cambria"/>
          <w:color w:val="000000"/>
        </w:rPr>
        <w:t>(N</w:t>
      </w:r>
      <w:r w:rsidRPr="00AA552A">
        <w:rPr>
          <w:rFonts w:cs="Cambria"/>
          <w:color w:val="000000"/>
          <w:spacing w:val="2"/>
        </w:rPr>
        <w:t>o</w:t>
      </w:r>
      <w:r w:rsidRPr="00AA552A">
        <w:rPr>
          <w:rFonts w:cs="Cambria"/>
          <w:color w:val="000000"/>
          <w:spacing w:val="-1"/>
        </w:rPr>
        <w:t>r</w:t>
      </w:r>
      <w:r w:rsidRPr="00AA552A">
        <w:rPr>
          <w:rFonts w:cs="Cambria"/>
          <w:color w:val="000000"/>
        </w:rPr>
        <w:t>th</w:t>
      </w:r>
      <w:r w:rsidRPr="00AA552A">
        <w:rPr>
          <w:rFonts w:cs="Cambria"/>
          <w:color w:val="000000"/>
          <w:spacing w:val="-6"/>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spacing w:val="2"/>
        </w:rPr>
        <w:t>o</w:t>
      </w:r>
      <w:r w:rsidRPr="00AA552A">
        <w:rPr>
          <w:rFonts w:cs="Cambria"/>
          <w:color w:val="000000"/>
        </w:rPr>
        <w:t>l</w:t>
      </w:r>
      <w:r w:rsidRPr="00AA552A">
        <w:rPr>
          <w:rFonts w:cs="Cambria"/>
          <w:color w:val="000000"/>
          <w:spacing w:val="1"/>
        </w:rPr>
        <w:t>i</w:t>
      </w:r>
      <w:r w:rsidRPr="00AA552A">
        <w:rPr>
          <w:rFonts w:cs="Cambria"/>
          <w:color w:val="000000"/>
        </w:rPr>
        <w:t>na);</w:t>
      </w:r>
      <w:r w:rsidRPr="00AA552A">
        <w:rPr>
          <w:rFonts w:cs="Cambria"/>
          <w:color w:val="000000"/>
          <w:spacing w:val="-7"/>
        </w:rPr>
        <w:t xml:space="preserve"> </w:t>
      </w:r>
      <w:r w:rsidRPr="00AA552A">
        <w:rPr>
          <w:rFonts w:cs="Cambria"/>
          <w:color w:val="000000"/>
          <w:spacing w:val="-1"/>
        </w:rPr>
        <w:t>T</w:t>
      </w:r>
      <w:r w:rsidRPr="00AA552A">
        <w:rPr>
          <w:rFonts w:cs="Cambria"/>
          <w:color w:val="000000"/>
        </w:rPr>
        <w:t>he</w:t>
      </w:r>
      <w:r w:rsidRPr="00AA552A">
        <w:rPr>
          <w:rFonts w:cs="Cambria"/>
          <w:color w:val="000000"/>
          <w:spacing w:val="-3"/>
        </w:rPr>
        <w:t xml:space="preserve"> </w:t>
      </w:r>
      <w:r w:rsidRPr="00AA552A">
        <w:rPr>
          <w:rFonts w:cs="Cambria"/>
          <w:color w:val="000000"/>
          <w:spacing w:val="-1"/>
        </w:rPr>
        <w:t>C</w:t>
      </w:r>
      <w:r w:rsidRPr="00AA552A">
        <w:rPr>
          <w:rFonts w:cs="Cambria"/>
          <w:color w:val="000000"/>
        </w:rPr>
        <w:t>ha</w:t>
      </w:r>
      <w:r w:rsidRPr="00AA552A">
        <w:rPr>
          <w:rFonts w:cs="Cambria"/>
          <w:color w:val="000000"/>
          <w:spacing w:val="-1"/>
        </w:rPr>
        <w:t>r</w:t>
      </w:r>
      <w:r w:rsidRPr="00AA552A">
        <w:rPr>
          <w:rFonts w:cs="Cambria"/>
          <w:color w:val="000000"/>
        </w:rPr>
        <w:t>l</w:t>
      </w:r>
      <w:r w:rsidRPr="00AA552A">
        <w:rPr>
          <w:rFonts w:cs="Cambria"/>
          <w:color w:val="000000"/>
          <w:spacing w:val="1"/>
        </w:rPr>
        <w:t>e</w:t>
      </w:r>
      <w:r w:rsidRPr="00AA552A">
        <w:rPr>
          <w:rFonts w:cs="Cambria"/>
          <w:color w:val="000000"/>
        </w:rPr>
        <w:t>ston</w:t>
      </w:r>
      <w:r w:rsidRPr="00AA552A">
        <w:rPr>
          <w:rFonts w:cs="Cambria"/>
          <w:color w:val="000000"/>
          <w:spacing w:val="-6"/>
        </w:rPr>
        <w:t xml:space="preserve"> </w:t>
      </w:r>
      <w:r w:rsidRPr="00AA552A">
        <w:rPr>
          <w:rFonts w:cs="Cambria"/>
          <w:color w:val="000000"/>
        </w:rPr>
        <w:t>B</w:t>
      </w:r>
      <w:r w:rsidRPr="00AA552A">
        <w:rPr>
          <w:rFonts w:cs="Cambria"/>
          <w:color w:val="000000"/>
          <w:spacing w:val="2"/>
        </w:rPr>
        <w:t>um</w:t>
      </w:r>
      <w:r w:rsidRPr="00AA552A">
        <w:rPr>
          <w:rFonts w:cs="Cambria"/>
          <w:color w:val="000000"/>
        </w:rPr>
        <w:t>p</w:t>
      </w:r>
      <w:r w:rsidRPr="00AA552A">
        <w:rPr>
          <w:rFonts w:cs="Cambria"/>
          <w:color w:val="000000"/>
          <w:spacing w:val="1"/>
        </w:rPr>
        <w:t xml:space="preserve"> </w:t>
      </w:r>
      <w:r w:rsidRPr="00AA552A">
        <w:rPr>
          <w:rFonts w:cs="Cambria"/>
          <w:color w:val="000000"/>
        </w:rPr>
        <w:t>(</w:t>
      </w:r>
      <w:r w:rsidRPr="00AA552A">
        <w:rPr>
          <w:rFonts w:cs="Cambria"/>
          <w:color w:val="000000"/>
          <w:spacing w:val="1"/>
        </w:rPr>
        <w:t>S</w:t>
      </w:r>
      <w:r w:rsidRPr="00AA552A">
        <w:rPr>
          <w:rFonts w:cs="Cambria"/>
          <w:color w:val="000000"/>
        </w:rPr>
        <w:t>outh</w:t>
      </w:r>
      <w:r w:rsidRPr="00AA552A">
        <w:rPr>
          <w:rFonts w:cs="Cambria"/>
          <w:color w:val="000000"/>
          <w:spacing w:val="-5"/>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rPr>
        <w:t>ol</w:t>
      </w:r>
      <w:r w:rsidRPr="00AA552A">
        <w:rPr>
          <w:rFonts w:cs="Cambria"/>
          <w:color w:val="000000"/>
          <w:spacing w:val="1"/>
        </w:rPr>
        <w:t>i</w:t>
      </w:r>
      <w:r w:rsidRPr="00AA552A">
        <w:rPr>
          <w:rFonts w:cs="Cambria"/>
          <w:color w:val="000000"/>
        </w:rPr>
        <w:t>na); man</w:t>
      </w:r>
      <w:r w:rsidRPr="00AA552A">
        <w:rPr>
          <w:rFonts w:cs="Cambria"/>
          <w:color w:val="000000"/>
          <w:spacing w:val="-1"/>
        </w:rPr>
        <w:t>gr</w:t>
      </w:r>
      <w:r w:rsidRPr="00AA552A">
        <w:rPr>
          <w:rFonts w:cs="Cambria"/>
          <w:color w:val="000000"/>
        </w:rPr>
        <w:t>o</w:t>
      </w:r>
      <w:r w:rsidRPr="00AA552A">
        <w:rPr>
          <w:rFonts w:cs="Cambria"/>
          <w:color w:val="000000"/>
          <w:spacing w:val="-1"/>
        </w:rPr>
        <w:t>v</w:t>
      </w:r>
      <w:r w:rsidRPr="00AA552A">
        <w:rPr>
          <w:rFonts w:cs="Cambria"/>
          <w:color w:val="000000"/>
        </w:rPr>
        <w:t>e</w:t>
      </w:r>
      <w:r w:rsidRPr="00AA552A">
        <w:rPr>
          <w:rFonts w:cs="Cambria"/>
          <w:color w:val="000000"/>
          <w:spacing w:val="-4"/>
        </w:rPr>
        <w:t xml:space="preserve"> </w:t>
      </w:r>
      <w:r w:rsidRPr="00AA552A">
        <w:rPr>
          <w:rFonts w:cs="Cambria"/>
          <w:color w:val="000000"/>
        </w:rPr>
        <w:t>ha</w:t>
      </w:r>
      <w:r w:rsidRPr="00AA552A">
        <w:rPr>
          <w:rFonts w:cs="Cambria"/>
          <w:color w:val="000000"/>
          <w:spacing w:val="1"/>
        </w:rPr>
        <w:t>bi</w:t>
      </w:r>
      <w:r w:rsidRPr="00AA552A">
        <w:rPr>
          <w:rFonts w:cs="Cambria"/>
          <w:color w:val="000000"/>
        </w:rPr>
        <w:t>tat;</w:t>
      </w:r>
      <w:r w:rsidRPr="00AA552A">
        <w:rPr>
          <w:rFonts w:cs="Cambria"/>
          <w:color w:val="000000"/>
          <w:spacing w:val="-4"/>
        </w:rPr>
        <w:t xml:space="preserve"> </w:t>
      </w:r>
      <w:r w:rsidRPr="00AA552A">
        <w:rPr>
          <w:rFonts w:cs="Cambria"/>
          <w:color w:val="000000"/>
        </w:rPr>
        <w:t>s</w:t>
      </w:r>
      <w:r w:rsidRPr="00AA552A">
        <w:rPr>
          <w:rFonts w:cs="Cambria"/>
          <w:color w:val="000000"/>
          <w:spacing w:val="1"/>
        </w:rPr>
        <w:t>e</w:t>
      </w:r>
      <w:r w:rsidRPr="00AA552A">
        <w:rPr>
          <w:rFonts w:cs="Cambria"/>
          <w:color w:val="000000"/>
        </w:rPr>
        <w:t>a</w:t>
      </w:r>
      <w:r w:rsidRPr="00AA552A">
        <w:rPr>
          <w:rFonts w:cs="Cambria"/>
          <w:color w:val="000000"/>
          <w:spacing w:val="-1"/>
        </w:rPr>
        <w:t>gr</w:t>
      </w:r>
      <w:r w:rsidRPr="00AA552A">
        <w:rPr>
          <w:rFonts w:cs="Cambria"/>
          <w:color w:val="000000"/>
        </w:rPr>
        <w:t>ass</w:t>
      </w:r>
      <w:r w:rsidRPr="00AA552A">
        <w:rPr>
          <w:rFonts w:cs="Cambria"/>
          <w:color w:val="000000"/>
          <w:spacing w:val="-5"/>
        </w:rPr>
        <w:t xml:space="preserve"> </w:t>
      </w:r>
      <w:r w:rsidRPr="00AA552A">
        <w:rPr>
          <w:rFonts w:cs="Cambria"/>
          <w:color w:val="000000"/>
        </w:rPr>
        <w:t>ha</w:t>
      </w:r>
      <w:r w:rsidRPr="00AA552A">
        <w:rPr>
          <w:rFonts w:cs="Cambria"/>
          <w:color w:val="000000"/>
          <w:spacing w:val="1"/>
        </w:rPr>
        <w:t>bi</w:t>
      </w:r>
      <w:r w:rsidRPr="00AA552A">
        <w:rPr>
          <w:rFonts w:cs="Cambria"/>
          <w:color w:val="000000"/>
        </w:rPr>
        <w:t>tat;</w:t>
      </w:r>
      <w:r w:rsidRPr="00AA552A">
        <w:rPr>
          <w:rFonts w:cs="Cambria"/>
          <w:color w:val="000000"/>
          <w:spacing w:val="-4"/>
        </w:rPr>
        <w:t xml:space="preserve"> </w:t>
      </w:r>
      <w:r w:rsidRPr="00AA552A">
        <w:rPr>
          <w:rFonts w:cs="Cambria"/>
          <w:color w:val="000000"/>
        </w:rPr>
        <w:t>o</w:t>
      </w:r>
      <w:r w:rsidRPr="00AA552A">
        <w:rPr>
          <w:rFonts w:cs="Cambria"/>
          <w:color w:val="000000"/>
          <w:spacing w:val="-1"/>
        </w:rPr>
        <w:t>y</w:t>
      </w:r>
      <w:r w:rsidRPr="00AA552A">
        <w:rPr>
          <w:rFonts w:cs="Cambria"/>
          <w:color w:val="000000"/>
        </w:rPr>
        <w:t>st</w:t>
      </w:r>
      <w:r w:rsidRPr="00AA552A">
        <w:rPr>
          <w:rFonts w:cs="Cambria"/>
          <w:color w:val="000000"/>
          <w:spacing w:val="1"/>
        </w:rPr>
        <w:t>e</w:t>
      </w:r>
      <w:r w:rsidRPr="00AA552A">
        <w:rPr>
          <w:rFonts w:cs="Cambria"/>
          <w:color w:val="000000"/>
          <w:spacing w:val="-1"/>
        </w:rPr>
        <w:t>r</w:t>
      </w:r>
      <w:r w:rsidRPr="00AA552A">
        <w:rPr>
          <w:rFonts w:cs="Cambria"/>
          <w:color w:val="000000"/>
        </w:rPr>
        <w:t>/sh</w:t>
      </w:r>
      <w:r w:rsidRPr="00AA552A">
        <w:rPr>
          <w:rFonts w:cs="Cambria"/>
          <w:color w:val="000000"/>
          <w:spacing w:val="1"/>
        </w:rPr>
        <w:t>e</w:t>
      </w:r>
      <w:r w:rsidRPr="00AA552A">
        <w:rPr>
          <w:rFonts w:cs="Cambria"/>
          <w:color w:val="000000"/>
        </w:rPr>
        <w:t>ll</w:t>
      </w:r>
      <w:r w:rsidRPr="00AA552A">
        <w:rPr>
          <w:rFonts w:cs="Cambria"/>
          <w:color w:val="000000"/>
          <w:spacing w:val="-9"/>
        </w:rPr>
        <w:t xml:space="preserve"> </w:t>
      </w:r>
      <w:r w:rsidRPr="00AA552A">
        <w:rPr>
          <w:rFonts w:cs="Cambria"/>
          <w:color w:val="000000"/>
        </w:rPr>
        <w:t>ha</w:t>
      </w:r>
      <w:r w:rsidRPr="00AA552A">
        <w:rPr>
          <w:rFonts w:cs="Cambria"/>
          <w:color w:val="000000"/>
          <w:spacing w:val="1"/>
        </w:rPr>
        <w:t>bi</w:t>
      </w:r>
      <w:r w:rsidRPr="00AA552A">
        <w:rPr>
          <w:rFonts w:cs="Cambria"/>
          <w:color w:val="000000"/>
        </w:rPr>
        <w:t>tat;</w:t>
      </w:r>
      <w:r w:rsidRPr="00AA552A">
        <w:rPr>
          <w:rFonts w:cs="Cambria"/>
          <w:color w:val="000000"/>
          <w:spacing w:val="-4"/>
        </w:rPr>
        <w:t xml:space="preserve"> </w:t>
      </w:r>
      <w:r w:rsidRPr="00AA552A">
        <w:rPr>
          <w:rFonts w:cs="Cambria"/>
          <w:color w:val="000000"/>
        </w:rPr>
        <w:t>all coastal</w:t>
      </w:r>
      <w:r w:rsidRPr="00AA552A">
        <w:rPr>
          <w:rFonts w:cs="Cambria"/>
          <w:color w:val="000000"/>
          <w:spacing w:val="-3"/>
        </w:rPr>
        <w:t xml:space="preserve"> </w:t>
      </w:r>
      <w:r w:rsidRPr="00AA552A">
        <w:rPr>
          <w:rFonts w:cs="Cambria"/>
          <w:color w:val="000000"/>
          <w:spacing w:val="1"/>
        </w:rPr>
        <w:t>i</w:t>
      </w:r>
      <w:r w:rsidRPr="00AA552A">
        <w:rPr>
          <w:rFonts w:cs="Cambria"/>
          <w:color w:val="000000"/>
        </w:rPr>
        <w:t>nl</w:t>
      </w:r>
      <w:r w:rsidRPr="00AA552A">
        <w:rPr>
          <w:rFonts w:cs="Cambria"/>
          <w:color w:val="000000"/>
          <w:spacing w:val="1"/>
        </w:rPr>
        <w:t>e</w:t>
      </w:r>
      <w:r w:rsidRPr="00AA552A">
        <w:rPr>
          <w:rFonts w:cs="Cambria"/>
          <w:color w:val="000000"/>
        </w:rPr>
        <w:t>ts;</w:t>
      </w:r>
      <w:r w:rsidRPr="00AA552A">
        <w:rPr>
          <w:rFonts w:cs="Cambria"/>
          <w:color w:val="000000"/>
          <w:spacing w:val="-4"/>
        </w:rPr>
        <w:t xml:space="preserve"> </w:t>
      </w:r>
      <w:r w:rsidRPr="00AA552A">
        <w:rPr>
          <w:rFonts w:cs="Cambria"/>
          <w:color w:val="000000"/>
        </w:rPr>
        <w:t>all stat</w:t>
      </w:r>
      <w:r w:rsidRPr="00AA552A">
        <w:rPr>
          <w:rFonts w:cs="Cambria"/>
          <w:color w:val="000000"/>
          <w:spacing w:val="1"/>
        </w:rPr>
        <w:t>e</w:t>
      </w:r>
      <w:r w:rsidRPr="00AA552A">
        <w:rPr>
          <w:rFonts w:cs="Cambria"/>
          <w:color w:val="000000"/>
        </w:rPr>
        <w:t>-</w:t>
      </w:r>
      <w:r w:rsidRPr="00AA552A">
        <w:rPr>
          <w:rFonts w:cs="Cambria"/>
          <w:color w:val="000000"/>
          <w:spacing w:val="-1"/>
        </w:rPr>
        <w:t>d</w:t>
      </w:r>
      <w:r w:rsidRPr="00AA552A">
        <w:rPr>
          <w:rFonts w:cs="Cambria"/>
          <w:color w:val="000000"/>
          <w:spacing w:val="1"/>
        </w:rPr>
        <w:t>e</w:t>
      </w:r>
      <w:r w:rsidRPr="00AA552A">
        <w:rPr>
          <w:rFonts w:cs="Cambria"/>
          <w:color w:val="000000"/>
        </w:rPr>
        <w:t>s</w:t>
      </w:r>
      <w:r w:rsidRPr="00AA552A">
        <w:rPr>
          <w:rFonts w:cs="Cambria"/>
          <w:color w:val="000000"/>
          <w:spacing w:val="1"/>
        </w:rPr>
        <w:t>i</w:t>
      </w:r>
      <w:r w:rsidRPr="00AA552A">
        <w:rPr>
          <w:rFonts w:cs="Cambria"/>
          <w:color w:val="000000"/>
          <w:spacing w:val="-1"/>
        </w:rPr>
        <w:t>g</w:t>
      </w:r>
      <w:r w:rsidRPr="00AA552A">
        <w:rPr>
          <w:rFonts w:cs="Cambria"/>
          <w:color w:val="000000"/>
        </w:rPr>
        <w:t>nat</w:t>
      </w:r>
      <w:r w:rsidRPr="00AA552A">
        <w:rPr>
          <w:rFonts w:cs="Cambria"/>
          <w:color w:val="000000"/>
          <w:spacing w:val="1"/>
        </w:rPr>
        <w:t>e</w:t>
      </w:r>
      <w:r w:rsidRPr="00AA552A">
        <w:rPr>
          <w:rFonts w:cs="Cambria"/>
          <w:color w:val="000000"/>
        </w:rPr>
        <w:t>d n</w:t>
      </w:r>
      <w:r w:rsidRPr="00AA552A">
        <w:rPr>
          <w:rFonts w:cs="Cambria"/>
          <w:color w:val="000000"/>
          <w:spacing w:val="-1"/>
        </w:rPr>
        <w:t>ur</w:t>
      </w:r>
      <w:r w:rsidRPr="00AA552A">
        <w:rPr>
          <w:rFonts w:cs="Cambria"/>
          <w:color w:val="000000"/>
        </w:rPr>
        <w:t>s</w:t>
      </w:r>
      <w:r w:rsidRPr="00AA552A">
        <w:rPr>
          <w:rFonts w:cs="Cambria"/>
          <w:color w:val="000000"/>
          <w:spacing w:val="1"/>
        </w:rPr>
        <w:t>e</w:t>
      </w:r>
      <w:r w:rsidRPr="00AA552A">
        <w:rPr>
          <w:rFonts w:cs="Cambria"/>
          <w:color w:val="000000"/>
          <w:spacing w:val="-1"/>
        </w:rPr>
        <w:t>r</w:t>
      </w:r>
      <w:r w:rsidRPr="00AA552A">
        <w:rPr>
          <w:rFonts w:cs="Cambria"/>
          <w:color w:val="000000"/>
        </w:rPr>
        <w:t>y</w:t>
      </w:r>
      <w:r w:rsidRPr="00AA552A">
        <w:rPr>
          <w:rFonts w:cs="Cambria"/>
          <w:color w:val="000000"/>
          <w:spacing w:val="-6"/>
        </w:rPr>
        <w:t xml:space="preserve"> </w:t>
      </w:r>
      <w:r w:rsidRPr="00AA552A">
        <w:rPr>
          <w:rFonts w:cs="Cambria"/>
          <w:color w:val="000000"/>
        </w:rPr>
        <w:t>ha</w:t>
      </w:r>
      <w:r w:rsidRPr="00AA552A">
        <w:rPr>
          <w:rFonts w:cs="Cambria"/>
          <w:color w:val="000000"/>
          <w:spacing w:val="1"/>
        </w:rPr>
        <w:t>bi</w:t>
      </w:r>
      <w:r w:rsidRPr="00AA552A">
        <w:rPr>
          <w:rFonts w:cs="Cambria"/>
          <w:color w:val="000000"/>
        </w:rPr>
        <w:t>tats</w:t>
      </w:r>
      <w:r w:rsidRPr="00AA552A">
        <w:rPr>
          <w:rFonts w:cs="Cambria"/>
          <w:color w:val="000000"/>
          <w:spacing w:val="-3"/>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p</w:t>
      </w:r>
      <w:r w:rsidRPr="00AA552A">
        <w:rPr>
          <w:rFonts w:cs="Cambria"/>
          <w:color w:val="000000"/>
        </w:rPr>
        <w:t>a</w:t>
      </w:r>
      <w:r w:rsidRPr="00AA552A">
        <w:rPr>
          <w:rFonts w:cs="Cambria"/>
          <w:color w:val="000000"/>
          <w:spacing w:val="-1"/>
        </w:rPr>
        <w:t>r</w:t>
      </w:r>
      <w:r w:rsidRPr="00AA552A">
        <w:rPr>
          <w:rFonts w:cs="Cambria"/>
          <w:color w:val="000000"/>
        </w:rPr>
        <w:t>t</w:t>
      </w:r>
      <w:r w:rsidRPr="00AA552A">
        <w:rPr>
          <w:rFonts w:cs="Cambria"/>
          <w:color w:val="000000"/>
          <w:spacing w:val="1"/>
        </w:rPr>
        <w:t>i</w:t>
      </w:r>
      <w:r w:rsidRPr="00AA552A">
        <w:rPr>
          <w:rFonts w:cs="Cambria"/>
          <w:color w:val="000000"/>
        </w:rPr>
        <w:t>c</w:t>
      </w:r>
      <w:r w:rsidRPr="00AA552A">
        <w:rPr>
          <w:rFonts w:cs="Cambria"/>
          <w:color w:val="000000"/>
          <w:spacing w:val="-1"/>
        </w:rPr>
        <w:t>u</w:t>
      </w:r>
      <w:r w:rsidRPr="00AA552A">
        <w:rPr>
          <w:rFonts w:cs="Cambria"/>
          <w:color w:val="000000"/>
        </w:rPr>
        <w:t>lar</w:t>
      </w:r>
      <w:r w:rsidRPr="00AA552A">
        <w:rPr>
          <w:rFonts w:cs="Cambria"/>
          <w:color w:val="000000"/>
          <w:spacing w:val="-5"/>
        </w:rPr>
        <w:t xml:space="preserve"> </w:t>
      </w:r>
      <w:r w:rsidRPr="00AA552A">
        <w:rPr>
          <w:rFonts w:cs="Cambria"/>
          <w:color w:val="000000"/>
          <w:spacing w:val="1"/>
        </w:rPr>
        <w:t>i</w:t>
      </w:r>
      <w:r w:rsidRPr="00AA552A">
        <w:rPr>
          <w:rFonts w:cs="Cambria"/>
          <w:color w:val="000000"/>
        </w:rPr>
        <w:t>m</w:t>
      </w:r>
      <w:r w:rsidRPr="00AA552A">
        <w:rPr>
          <w:rFonts w:cs="Cambria"/>
          <w:color w:val="000000"/>
          <w:spacing w:val="1"/>
        </w:rPr>
        <w:t>p</w:t>
      </w:r>
      <w:r w:rsidRPr="00AA552A">
        <w:rPr>
          <w:rFonts w:cs="Cambria"/>
          <w:color w:val="000000"/>
        </w:rPr>
        <w:t>o</w:t>
      </w:r>
      <w:r w:rsidRPr="00AA552A">
        <w:rPr>
          <w:rFonts w:cs="Cambria"/>
          <w:color w:val="000000"/>
          <w:spacing w:val="-1"/>
        </w:rPr>
        <w:t>r</w:t>
      </w:r>
      <w:r w:rsidRPr="00AA552A">
        <w:rPr>
          <w:rFonts w:cs="Cambria"/>
          <w:color w:val="000000"/>
        </w:rPr>
        <w:t>tance</w:t>
      </w:r>
      <w:r w:rsidRPr="00AA552A">
        <w:rPr>
          <w:rFonts w:cs="Cambria"/>
          <w:color w:val="000000"/>
          <w:spacing w:val="-4"/>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sna</w:t>
      </w:r>
      <w:r w:rsidRPr="00AA552A">
        <w:rPr>
          <w:rFonts w:cs="Cambria"/>
          <w:color w:val="000000"/>
          <w:spacing w:val="1"/>
        </w:rPr>
        <w:t>ppe</w:t>
      </w:r>
      <w:r w:rsidRPr="00AA552A">
        <w:rPr>
          <w:rFonts w:cs="Cambria"/>
          <w:color w:val="000000"/>
        </w:rPr>
        <w:t>r</w:t>
      </w:r>
      <w:r w:rsidRPr="00AA552A">
        <w:rPr>
          <w:rFonts w:cs="Cambria"/>
          <w:color w:val="000000"/>
          <w:spacing w:val="-4"/>
        </w:rPr>
        <w:t xml:space="preserve"> </w:t>
      </w:r>
      <w:r w:rsidRPr="00AA552A">
        <w:rPr>
          <w:rFonts w:cs="Cambria"/>
          <w:color w:val="000000"/>
          <w:spacing w:val="-1"/>
        </w:rPr>
        <w:t>gr</w:t>
      </w:r>
      <w:r w:rsidRPr="00AA552A">
        <w:rPr>
          <w:rFonts w:cs="Cambria"/>
          <w:color w:val="000000"/>
        </w:rPr>
        <w:t>o</w:t>
      </w:r>
      <w:r w:rsidRPr="00AA552A">
        <w:rPr>
          <w:rFonts w:cs="Cambria"/>
          <w:color w:val="000000"/>
          <w:spacing w:val="-1"/>
        </w:rPr>
        <w:t>u</w:t>
      </w:r>
      <w:r w:rsidRPr="00AA552A">
        <w:rPr>
          <w:rFonts w:cs="Cambria"/>
          <w:color w:val="000000"/>
          <w:spacing w:val="1"/>
        </w:rPr>
        <w:t>pe</w:t>
      </w:r>
      <w:r w:rsidRPr="00AA552A">
        <w:rPr>
          <w:rFonts w:cs="Cambria"/>
          <w:color w:val="000000"/>
        </w:rPr>
        <w:t>r</w:t>
      </w:r>
      <w:r w:rsidRPr="00AA552A">
        <w:rPr>
          <w:rFonts w:cs="Cambria"/>
          <w:color w:val="000000"/>
          <w:spacing w:val="-5"/>
        </w:rPr>
        <w:t xml:space="preserve"> </w:t>
      </w:r>
      <w:r w:rsidRPr="00AA552A">
        <w:rPr>
          <w:rFonts w:cs="Cambria"/>
          <w:color w:val="000000"/>
        </w:rPr>
        <w:t>(</w:t>
      </w:r>
      <w:r w:rsidRPr="00AA552A">
        <w:rPr>
          <w:rFonts w:cs="Cambria"/>
          <w:color w:val="000000"/>
          <w:spacing w:val="1"/>
        </w:rPr>
        <w:t>e.</w:t>
      </w:r>
      <w:r w:rsidRPr="00AA552A">
        <w:rPr>
          <w:rFonts w:cs="Cambria"/>
          <w:color w:val="000000"/>
          <w:spacing w:val="-1"/>
        </w:rPr>
        <w:t>g</w:t>
      </w:r>
      <w:r w:rsidRPr="00AA552A">
        <w:rPr>
          <w:rFonts w:cs="Cambria"/>
          <w:color w:val="000000"/>
          <w:spacing w:val="1"/>
        </w:rPr>
        <w:t>.</w:t>
      </w:r>
      <w:r w:rsidRPr="00AA552A">
        <w:rPr>
          <w:rFonts w:cs="Cambria"/>
          <w:color w:val="000000"/>
        </w:rPr>
        <w:t>,</w:t>
      </w:r>
      <w:r w:rsidRPr="00AA552A">
        <w:rPr>
          <w:rFonts w:cs="Cambria"/>
          <w:color w:val="000000"/>
          <w:spacing w:val="-1"/>
        </w:rPr>
        <w:t xml:space="preserve"> </w:t>
      </w:r>
      <w:r w:rsidRPr="00AA552A">
        <w:rPr>
          <w:rFonts w:cs="Cambria"/>
          <w:color w:val="000000"/>
          <w:spacing w:val="1"/>
        </w:rPr>
        <w:t>P</w:t>
      </w:r>
      <w:r w:rsidRPr="00AA552A">
        <w:rPr>
          <w:rFonts w:cs="Cambria"/>
          <w:color w:val="000000"/>
          <w:spacing w:val="-1"/>
        </w:rPr>
        <w:t>r</w:t>
      </w:r>
      <w:r w:rsidRPr="00AA552A">
        <w:rPr>
          <w:rFonts w:cs="Cambria"/>
          <w:color w:val="000000"/>
          <w:spacing w:val="-2"/>
        </w:rPr>
        <w:t>i</w:t>
      </w:r>
      <w:r w:rsidRPr="00AA552A">
        <w:rPr>
          <w:rFonts w:cs="Cambria"/>
          <w:color w:val="000000"/>
        </w:rPr>
        <w:t>ma</w:t>
      </w:r>
      <w:r w:rsidRPr="00AA552A">
        <w:rPr>
          <w:rFonts w:cs="Cambria"/>
          <w:color w:val="000000"/>
          <w:spacing w:val="-1"/>
        </w:rPr>
        <w:t>r</w:t>
      </w:r>
      <w:r w:rsidRPr="00AA552A">
        <w:rPr>
          <w:rFonts w:cs="Cambria"/>
          <w:color w:val="000000"/>
        </w:rPr>
        <w:t>y</w:t>
      </w:r>
      <w:r w:rsidRPr="00AA552A">
        <w:rPr>
          <w:rFonts w:cs="Cambria"/>
          <w:color w:val="000000"/>
          <w:spacing w:val="-6"/>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Se</w:t>
      </w:r>
      <w:r w:rsidRPr="00AA552A">
        <w:rPr>
          <w:rFonts w:cs="Cambria"/>
          <w:color w:val="000000"/>
        </w:rPr>
        <w:t>con</w:t>
      </w:r>
      <w:r w:rsidRPr="00AA552A">
        <w:rPr>
          <w:rFonts w:cs="Cambria"/>
          <w:color w:val="000000"/>
          <w:spacing w:val="-1"/>
        </w:rPr>
        <w:t>d</w:t>
      </w:r>
      <w:r w:rsidRPr="00AA552A">
        <w:rPr>
          <w:rFonts w:cs="Cambria"/>
          <w:color w:val="000000"/>
        </w:rPr>
        <w:t>a</w:t>
      </w:r>
      <w:r w:rsidRPr="00AA552A">
        <w:rPr>
          <w:rFonts w:cs="Cambria"/>
          <w:color w:val="000000"/>
          <w:spacing w:val="-1"/>
        </w:rPr>
        <w:t>r</w:t>
      </w:r>
      <w:r>
        <w:rPr>
          <w:rFonts w:cs="Cambria"/>
          <w:color w:val="000000"/>
        </w:rPr>
        <w:t xml:space="preserve">y </w:t>
      </w:r>
      <w:r w:rsidRPr="00AA552A">
        <w:rPr>
          <w:rFonts w:cs="Cambria"/>
          <w:color w:val="000000"/>
        </w:rPr>
        <w:t>N</w:t>
      </w:r>
      <w:r w:rsidRPr="00AA552A">
        <w:rPr>
          <w:rFonts w:cs="Cambria"/>
          <w:color w:val="000000"/>
          <w:spacing w:val="-1"/>
        </w:rPr>
        <w:t>ur</w:t>
      </w:r>
      <w:r w:rsidRPr="00AA552A">
        <w:rPr>
          <w:rFonts w:cs="Cambria"/>
          <w:color w:val="000000"/>
        </w:rPr>
        <w:t>s</w:t>
      </w:r>
      <w:r w:rsidRPr="00AA552A">
        <w:rPr>
          <w:rFonts w:cs="Cambria"/>
          <w:color w:val="000000"/>
          <w:spacing w:val="1"/>
        </w:rPr>
        <w:t>e</w:t>
      </w:r>
      <w:r w:rsidRPr="00AA552A">
        <w:rPr>
          <w:rFonts w:cs="Cambria"/>
          <w:color w:val="000000"/>
          <w:spacing w:val="-1"/>
        </w:rPr>
        <w:t>r</w:t>
      </w:r>
      <w:r w:rsidRPr="00AA552A">
        <w:rPr>
          <w:rFonts w:cs="Cambria"/>
          <w:color w:val="000000"/>
        </w:rPr>
        <w:t>y</w:t>
      </w:r>
      <w:r w:rsidRPr="00AA552A">
        <w:rPr>
          <w:rFonts w:cs="Cambria"/>
          <w:color w:val="000000"/>
          <w:spacing w:val="-6"/>
        </w:rPr>
        <w:t xml:space="preserve"> </w:t>
      </w:r>
      <w:r w:rsidRPr="00AA552A">
        <w:rPr>
          <w:rFonts w:cs="Cambria"/>
          <w:color w:val="000000"/>
          <w:spacing w:val="-1"/>
        </w:rPr>
        <w:t>Ar</w:t>
      </w:r>
      <w:r w:rsidRPr="00AA552A">
        <w:rPr>
          <w:rFonts w:cs="Cambria"/>
          <w:color w:val="000000"/>
          <w:spacing w:val="1"/>
        </w:rPr>
        <w:t>e</w:t>
      </w:r>
      <w:r w:rsidRPr="00AA552A">
        <w:rPr>
          <w:rFonts w:cs="Cambria"/>
          <w:color w:val="000000"/>
        </w:rPr>
        <w:t>as</w:t>
      </w:r>
      <w:r w:rsidRPr="00AA552A">
        <w:rPr>
          <w:rFonts w:cs="Cambria"/>
          <w:color w:val="000000"/>
          <w:spacing w:val="-3"/>
        </w:rPr>
        <w:t xml:space="preserve"> </w:t>
      </w:r>
      <w:r w:rsidRPr="00AA552A">
        <w:rPr>
          <w:rFonts w:cs="Cambria"/>
          <w:color w:val="000000"/>
          <w:spacing w:val="-1"/>
        </w:rPr>
        <w:t>d</w:t>
      </w:r>
      <w:r w:rsidRPr="00AA552A">
        <w:rPr>
          <w:rFonts w:cs="Cambria"/>
          <w:color w:val="000000"/>
          <w:spacing w:val="1"/>
        </w:rPr>
        <w:t>e</w:t>
      </w:r>
      <w:r w:rsidRPr="00AA552A">
        <w:rPr>
          <w:rFonts w:cs="Cambria"/>
          <w:color w:val="000000"/>
        </w:rPr>
        <w:t>s</w:t>
      </w:r>
      <w:r w:rsidRPr="00AA552A">
        <w:rPr>
          <w:rFonts w:cs="Cambria"/>
          <w:color w:val="000000"/>
          <w:spacing w:val="1"/>
        </w:rPr>
        <w:t>i</w:t>
      </w:r>
      <w:r w:rsidRPr="00AA552A">
        <w:rPr>
          <w:rFonts w:cs="Cambria"/>
          <w:color w:val="000000"/>
          <w:spacing w:val="-1"/>
        </w:rPr>
        <w:t>g</w:t>
      </w:r>
      <w:r w:rsidRPr="00AA552A">
        <w:rPr>
          <w:rFonts w:cs="Cambria"/>
          <w:color w:val="000000"/>
        </w:rPr>
        <w:t>nat</w:t>
      </w:r>
      <w:r w:rsidRPr="00AA552A">
        <w:rPr>
          <w:rFonts w:cs="Cambria"/>
          <w:color w:val="000000"/>
          <w:spacing w:val="1"/>
        </w:rPr>
        <w:t>e</w:t>
      </w:r>
      <w:r w:rsidRPr="00AA552A">
        <w:rPr>
          <w:rFonts w:cs="Cambria"/>
          <w:color w:val="000000"/>
        </w:rPr>
        <w:t>d</w:t>
      </w:r>
      <w:r w:rsidRPr="00AA552A">
        <w:rPr>
          <w:rFonts w:cs="Cambria"/>
          <w:color w:val="000000"/>
          <w:spacing w:val="-8"/>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No</w:t>
      </w:r>
      <w:r w:rsidRPr="00AA552A">
        <w:rPr>
          <w:rFonts w:cs="Cambria"/>
          <w:color w:val="000000"/>
          <w:spacing w:val="-1"/>
        </w:rPr>
        <w:t>r</w:t>
      </w:r>
      <w:r w:rsidRPr="00AA552A">
        <w:rPr>
          <w:rFonts w:cs="Cambria"/>
          <w:color w:val="000000"/>
        </w:rPr>
        <w:t>th</w:t>
      </w:r>
      <w:r w:rsidRPr="00AA552A">
        <w:rPr>
          <w:rFonts w:cs="Cambria"/>
          <w:color w:val="000000"/>
          <w:spacing w:val="-5"/>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rPr>
        <w:t>ol</w:t>
      </w:r>
      <w:r w:rsidRPr="00AA552A">
        <w:rPr>
          <w:rFonts w:cs="Cambria"/>
          <w:color w:val="000000"/>
          <w:spacing w:val="1"/>
        </w:rPr>
        <w:t>i</w:t>
      </w:r>
      <w:r w:rsidRPr="00AA552A">
        <w:rPr>
          <w:rFonts w:cs="Cambria"/>
          <w:color w:val="000000"/>
        </w:rPr>
        <w:t>na);</w:t>
      </w:r>
      <w:r w:rsidRPr="00AA552A">
        <w:rPr>
          <w:rFonts w:cs="Cambria"/>
          <w:color w:val="000000"/>
          <w:spacing w:val="-7"/>
        </w:rPr>
        <w:t xml:space="preserve"> </w:t>
      </w:r>
      <w:r w:rsidRPr="00AA552A">
        <w:rPr>
          <w:rFonts w:cs="Cambria"/>
          <w:color w:val="000000"/>
          <w:spacing w:val="3"/>
        </w:rPr>
        <w:t>p</w:t>
      </w:r>
      <w:r w:rsidRPr="00AA552A">
        <w:rPr>
          <w:rFonts w:cs="Cambria"/>
          <w:color w:val="000000"/>
          <w:spacing w:val="1"/>
        </w:rPr>
        <w:t>e</w:t>
      </w:r>
      <w:r w:rsidRPr="00AA552A">
        <w:rPr>
          <w:rFonts w:cs="Cambria"/>
          <w:color w:val="000000"/>
        </w:rPr>
        <w:t>la</w:t>
      </w:r>
      <w:r w:rsidRPr="00AA552A">
        <w:rPr>
          <w:rFonts w:cs="Cambria"/>
          <w:color w:val="000000"/>
          <w:spacing w:val="-1"/>
        </w:rPr>
        <w:t>g</w:t>
      </w:r>
      <w:r w:rsidRPr="00AA552A">
        <w:rPr>
          <w:rFonts w:cs="Cambria"/>
          <w:color w:val="000000"/>
          <w:spacing w:val="1"/>
        </w:rPr>
        <w:t>i</w:t>
      </w:r>
      <w:r w:rsidRPr="00AA552A">
        <w:rPr>
          <w:rFonts w:cs="Cambria"/>
          <w:color w:val="000000"/>
        </w:rPr>
        <w:t>c</w:t>
      </w:r>
      <w:r w:rsidRPr="00AA552A">
        <w:rPr>
          <w:rFonts w:cs="Cambria"/>
          <w:color w:val="000000"/>
          <w:spacing w:val="-3"/>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be</w:t>
      </w:r>
      <w:r w:rsidRPr="00AA552A">
        <w:rPr>
          <w:rFonts w:cs="Cambria"/>
          <w:color w:val="000000"/>
        </w:rPr>
        <w:t>nth</w:t>
      </w:r>
      <w:r w:rsidRPr="00AA552A">
        <w:rPr>
          <w:rFonts w:cs="Cambria"/>
          <w:color w:val="000000"/>
          <w:spacing w:val="1"/>
        </w:rPr>
        <w:t>i</w:t>
      </w:r>
      <w:r w:rsidRPr="00AA552A">
        <w:rPr>
          <w:rFonts w:cs="Cambria"/>
          <w:color w:val="000000"/>
        </w:rPr>
        <w:t>c</w:t>
      </w:r>
      <w:r w:rsidRPr="00AA552A">
        <w:rPr>
          <w:rFonts w:cs="Cambria"/>
          <w:color w:val="000000"/>
          <w:spacing w:val="-4"/>
        </w:rPr>
        <w:t xml:space="preserve"> </w:t>
      </w:r>
      <w:r w:rsidRPr="00AA552A">
        <w:rPr>
          <w:rFonts w:cs="Cambria"/>
          <w:i/>
          <w:iCs/>
          <w:color w:val="000000"/>
        </w:rPr>
        <w:t>S</w:t>
      </w:r>
      <w:r w:rsidRPr="00AA552A">
        <w:rPr>
          <w:rFonts w:cs="Cambria"/>
          <w:i/>
          <w:iCs/>
          <w:color w:val="000000"/>
          <w:spacing w:val="1"/>
        </w:rPr>
        <w:t>ar</w:t>
      </w:r>
      <w:r w:rsidRPr="00AA552A">
        <w:rPr>
          <w:rFonts w:cs="Cambria"/>
          <w:i/>
          <w:iCs/>
          <w:color w:val="000000"/>
          <w:spacing w:val="-3"/>
        </w:rPr>
        <w:t>g</w:t>
      </w:r>
      <w:r w:rsidRPr="00AA552A">
        <w:rPr>
          <w:rFonts w:cs="Cambria"/>
          <w:i/>
          <w:iCs/>
          <w:color w:val="000000"/>
          <w:spacing w:val="1"/>
        </w:rPr>
        <w:t>a</w:t>
      </w:r>
      <w:r w:rsidRPr="00AA552A">
        <w:rPr>
          <w:rFonts w:cs="Cambria"/>
          <w:i/>
          <w:iCs/>
          <w:color w:val="000000"/>
        </w:rPr>
        <w:t>ss</w:t>
      </w:r>
      <w:r w:rsidRPr="00AA552A">
        <w:rPr>
          <w:rFonts w:cs="Cambria"/>
          <w:i/>
          <w:iCs/>
          <w:color w:val="000000"/>
          <w:spacing w:val="1"/>
        </w:rPr>
        <w:t>u</w:t>
      </w:r>
      <w:r w:rsidRPr="00AA552A">
        <w:rPr>
          <w:rFonts w:cs="Cambria"/>
          <w:i/>
          <w:iCs/>
          <w:color w:val="000000"/>
        </w:rPr>
        <w:t>m</w:t>
      </w:r>
      <w:r w:rsidRPr="00AA552A">
        <w:rPr>
          <w:rFonts w:cs="Cambria"/>
          <w:color w:val="000000"/>
        </w:rPr>
        <w:t>;</w:t>
      </w:r>
      <w:r w:rsidRPr="00AA552A">
        <w:rPr>
          <w:rFonts w:cs="Cambria"/>
          <w:color w:val="000000"/>
          <w:spacing w:val="-8"/>
        </w:rPr>
        <w:t xml:space="preserve"> </w:t>
      </w:r>
      <w:r w:rsidRPr="00AA552A">
        <w:rPr>
          <w:rFonts w:cs="Cambria"/>
          <w:color w:val="000000"/>
          <w:spacing w:val="1"/>
        </w:rPr>
        <w:t>H</w:t>
      </w:r>
      <w:r w:rsidRPr="00AA552A">
        <w:rPr>
          <w:rFonts w:cs="Cambria"/>
          <w:color w:val="000000"/>
        </w:rPr>
        <w:t>o</w:t>
      </w:r>
      <w:r w:rsidRPr="00AA552A">
        <w:rPr>
          <w:rFonts w:cs="Cambria"/>
          <w:color w:val="000000"/>
          <w:spacing w:val="-1"/>
        </w:rPr>
        <w:t>y</w:t>
      </w:r>
      <w:r w:rsidRPr="00AA552A">
        <w:rPr>
          <w:rFonts w:cs="Cambria"/>
          <w:color w:val="000000"/>
        </w:rPr>
        <w:t>t</w:t>
      </w:r>
      <w:r w:rsidRPr="00AA552A">
        <w:rPr>
          <w:rFonts w:cs="Cambria"/>
          <w:color w:val="000000"/>
          <w:spacing w:val="-4"/>
        </w:rPr>
        <w:t xml:space="preserve"> </w:t>
      </w:r>
      <w:r w:rsidRPr="00AA552A">
        <w:rPr>
          <w:rFonts w:cs="Cambria"/>
          <w:color w:val="000000"/>
          <w:spacing w:val="1"/>
        </w:rPr>
        <w:t>Hi</w:t>
      </w:r>
      <w:r w:rsidRPr="00AA552A">
        <w:rPr>
          <w:rFonts w:cs="Cambria"/>
          <w:color w:val="000000"/>
        </w:rPr>
        <w:t>lls</w:t>
      </w:r>
      <w:r w:rsidRPr="00AA552A">
        <w:rPr>
          <w:rFonts w:cs="Cambria"/>
          <w:color w:val="000000"/>
          <w:spacing w:val="-3"/>
        </w:rPr>
        <w:t xml:space="preserve"> </w:t>
      </w:r>
      <w:r w:rsidRPr="00AA552A">
        <w:rPr>
          <w:rFonts w:cs="Cambria"/>
          <w:color w:val="000000"/>
          <w:spacing w:val="-1"/>
        </w:rPr>
        <w:t>f</w:t>
      </w:r>
      <w:r w:rsidRPr="00AA552A">
        <w:rPr>
          <w:rFonts w:cs="Cambria"/>
          <w:color w:val="000000"/>
        </w:rPr>
        <w:t xml:space="preserve">or </w:t>
      </w:r>
      <w:r w:rsidRPr="00AA552A">
        <w:rPr>
          <w:rFonts w:cs="Cambria"/>
          <w:color w:val="000000"/>
          <w:spacing w:val="-1"/>
        </w:rPr>
        <w:t>wr</w:t>
      </w:r>
      <w:r w:rsidRPr="00AA552A">
        <w:rPr>
          <w:rFonts w:cs="Cambria"/>
          <w:color w:val="000000"/>
          <w:spacing w:val="1"/>
        </w:rPr>
        <w:t>e</w:t>
      </w:r>
      <w:r w:rsidRPr="00AA552A">
        <w:rPr>
          <w:rFonts w:cs="Cambria"/>
          <w:color w:val="000000"/>
        </w:rPr>
        <w:t>c</w:t>
      </w:r>
      <w:r w:rsidRPr="00AA552A">
        <w:rPr>
          <w:rFonts w:cs="Cambria"/>
          <w:color w:val="000000"/>
          <w:spacing w:val="-1"/>
        </w:rPr>
        <w:t>kf</w:t>
      </w:r>
      <w:r w:rsidRPr="00AA552A">
        <w:rPr>
          <w:rFonts w:cs="Cambria"/>
          <w:color w:val="000000"/>
          <w:spacing w:val="1"/>
        </w:rPr>
        <w:t>i</w:t>
      </w:r>
      <w:r w:rsidRPr="00AA552A">
        <w:rPr>
          <w:rFonts w:cs="Cambria"/>
          <w:color w:val="000000"/>
        </w:rPr>
        <w:t>s</w:t>
      </w:r>
      <w:r w:rsidRPr="00AA552A">
        <w:rPr>
          <w:rFonts w:cs="Cambria"/>
          <w:color w:val="000000"/>
          <w:spacing w:val="2"/>
        </w:rPr>
        <w:t>h</w:t>
      </w:r>
      <w:r w:rsidRPr="00AA552A">
        <w:rPr>
          <w:rFonts w:cs="Cambria"/>
          <w:color w:val="000000"/>
        </w:rPr>
        <w:t>;</w:t>
      </w:r>
      <w:r w:rsidRPr="00AA552A">
        <w:rPr>
          <w:rFonts w:cs="Cambria"/>
          <w:color w:val="000000"/>
          <w:spacing w:val="-9"/>
        </w:rPr>
        <w:t xml:space="preserve"> </w:t>
      </w:r>
      <w:r w:rsidRPr="00AA552A">
        <w:rPr>
          <w:rFonts w:cs="Cambria"/>
          <w:color w:val="000000"/>
        </w:rPr>
        <w:t>the</w:t>
      </w:r>
      <w:r w:rsidRPr="00AA552A">
        <w:rPr>
          <w:rFonts w:cs="Cambria"/>
          <w:color w:val="000000"/>
          <w:spacing w:val="-1"/>
        </w:rPr>
        <w:t xml:space="preserve"> </w:t>
      </w:r>
      <w:r w:rsidRPr="00AA552A">
        <w:rPr>
          <w:rFonts w:cs="Cambria"/>
          <w:i/>
          <w:iCs/>
          <w:color w:val="000000"/>
        </w:rPr>
        <w:t>O</w:t>
      </w:r>
      <w:r w:rsidRPr="00AA552A">
        <w:rPr>
          <w:rFonts w:cs="Cambria"/>
          <w:i/>
          <w:iCs/>
          <w:color w:val="000000"/>
          <w:spacing w:val="-1"/>
        </w:rPr>
        <w:t>c</w:t>
      </w:r>
      <w:r w:rsidRPr="00AA552A">
        <w:rPr>
          <w:rFonts w:cs="Cambria"/>
          <w:i/>
          <w:iCs/>
          <w:color w:val="000000"/>
          <w:spacing w:val="1"/>
        </w:rPr>
        <w:t>ul</w:t>
      </w:r>
      <w:r w:rsidRPr="00AA552A">
        <w:rPr>
          <w:rFonts w:cs="Cambria"/>
          <w:i/>
          <w:iCs/>
          <w:color w:val="000000"/>
        </w:rPr>
        <w:t>i</w:t>
      </w:r>
      <w:r w:rsidRPr="00AA552A">
        <w:rPr>
          <w:rFonts w:cs="Cambria"/>
          <w:i/>
          <w:iCs/>
          <w:color w:val="000000"/>
          <w:spacing w:val="1"/>
        </w:rPr>
        <w:t>n</w:t>
      </w:r>
      <w:r w:rsidRPr="00AA552A">
        <w:rPr>
          <w:rFonts w:cs="Cambria"/>
          <w:i/>
          <w:iCs/>
          <w:color w:val="000000"/>
        </w:rPr>
        <w:t>a</w:t>
      </w:r>
      <w:r w:rsidRPr="00AA552A">
        <w:rPr>
          <w:rFonts w:cs="Cambria"/>
          <w:i/>
          <w:iCs/>
          <w:color w:val="000000"/>
          <w:spacing w:val="-5"/>
        </w:rPr>
        <w:t xml:space="preserve"> </w:t>
      </w:r>
      <w:r w:rsidRPr="00AA552A">
        <w:rPr>
          <w:rFonts w:cs="Cambria"/>
          <w:color w:val="000000"/>
        </w:rPr>
        <w:t>Bank</w:t>
      </w:r>
      <w:r w:rsidRPr="00AA552A">
        <w:rPr>
          <w:rFonts w:cs="Cambria"/>
          <w:color w:val="000000"/>
          <w:spacing w:val="-1"/>
        </w:rPr>
        <w:t xml:space="preserve"> </w:t>
      </w:r>
      <w:r w:rsidRPr="00AA552A">
        <w:rPr>
          <w:rFonts w:cs="Cambria"/>
          <w:color w:val="000000"/>
          <w:spacing w:val="1"/>
        </w:rPr>
        <w:t>H</w:t>
      </w:r>
      <w:r w:rsidRPr="00AA552A">
        <w:rPr>
          <w:rFonts w:cs="Cambria"/>
          <w:color w:val="000000"/>
        </w:rPr>
        <w:t>a</w:t>
      </w:r>
      <w:r w:rsidRPr="00AA552A">
        <w:rPr>
          <w:rFonts w:cs="Cambria"/>
          <w:color w:val="000000"/>
          <w:spacing w:val="1"/>
        </w:rPr>
        <w:t>bi</w:t>
      </w:r>
      <w:r w:rsidRPr="00AA552A">
        <w:rPr>
          <w:rFonts w:cs="Cambria"/>
          <w:color w:val="000000"/>
        </w:rPr>
        <w:t>tat</w:t>
      </w:r>
      <w:r w:rsidRPr="00AA552A">
        <w:rPr>
          <w:rFonts w:cs="Cambria"/>
          <w:color w:val="000000"/>
          <w:spacing w:val="-2"/>
        </w:rPr>
        <w:t xml:space="preserve"> </w:t>
      </w:r>
      <w:r w:rsidRPr="00AA552A">
        <w:rPr>
          <w:rFonts w:cs="Cambria"/>
          <w:color w:val="000000"/>
          <w:spacing w:val="-1"/>
        </w:rPr>
        <w:t>Ar</w:t>
      </w:r>
      <w:r w:rsidRPr="00AA552A">
        <w:rPr>
          <w:rFonts w:cs="Cambria"/>
          <w:color w:val="000000"/>
          <w:spacing w:val="1"/>
        </w:rPr>
        <w:t>e</w:t>
      </w:r>
      <w:r w:rsidRPr="00AA552A">
        <w:rPr>
          <w:rFonts w:cs="Cambria"/>
          <w:color w:val="000000"/>
        </w:rPr>
        <w:t>a</w:t>
      </w:r>
      <w:r w:rsidRPr="00AA552A">
        <w:rPr>
          <w:rFonts w:cs="Cambria"/>
          <w:color w:val="000000"/>
          <w:spacing w:val="-2"/>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P</w:t>
      </w:r>
      <w:r w:rsidRPr="00AA552A">
        <w:rPr>
          <w:rFonts w:cs="Cambria"/>
          <w:color w:val="000000"/>
          <w:spacing w:val="-2"/>
        </w:rPr>
        <w:t>a</w:t>
      </w:r>
      <w:r w:rsidRPr="00AA552A">
        <w:rPr>
          <w:rFonts w:cs="Cambria"/>
          <w:color w:val="000000"/>
          <w:spacing w:val="-1"/>
        </w:rPr>
        <w:t>r</w:t>
      </w:r>
      <w:r w:rsidRPr="00AA552A">
        <w:rPr>
          <w:rFonts w:cs="Cambria"/>
          <w:color w:val="000000"/>
        </w:rPr>
        <w:t>t</w:t>
      </w:r>
      <w:r w:rsidRPr="00AA552A">
        <w:rPr>
          <w:rFonts w:cs="Cambria"/>
          <w:color w:val="000000"/>
          <w:spacing w:val="1"/>
        </w:rPr>
        <w:t>i</w:t>
      </w:r>
      <w:r w:rsidRPr="00AA552A">
        <w:rPr>
          <w:rFonts w:cs="Cambria"/>
          <w:color w:val="000000"/>
        </w:rPr>
        <w:t>c</w:t>
      </w:r>
      <w:r w:rsidRPr="00AA552A">
        <w:rPr>
          <w:rFonts w:cs="Cambria"/>
          <w:color w:val="000000"/>
          <w:spacing w:val="-1"/>
        </w:rPr>
        <w:t>u</w:t>
      </w:r>
      <w:r w:rsidRPr="00AA552A">
        <w:rPr>
          <w:rFonts w:cs="Cambria"/>
          <w:color w:val="000000"/>
        </w:rPr>
        <w:t>lar</w:t>
      </w:r>
      <w:r w:rsidRPr="00AA552A">
        <w:rPr>
          <w:rFonts w:cs="Cambria"/>
          <w:color w:val="000000"/>
          <w:spacing w:val="-6"/>
        </w:rPr>
        <w:t xml:space="preserve"> </w:t>
      </w:r>
      <w:r w:rsidRPr="00AA552A">
        <w:rPr>
          <w:rFonts w:cs="Cambria"/>
          <w:color w:val="000000"/>
          <w:spacing w:val="-1"/>
        </w:rPr>
        <w:t>C</w:t>
      </w:r>
      <w:r w:rsidRPr="00AA552A">
        <w:rPr>
          <w:rFonts w:cs="Cambria"/>
          <w:color w:val="000000"/>
        </w:rPr>
        <w:t>onc</w:t>
      </w:r>
      <w:r w:rsidRPr="00AA552A">
        <w:rPr>
          <w:rFonts w:cs="Cambria"/>
          <w:color w:val="000000"/>
          <w:spacing w:val="1"/>
        </w:rPr>
        <w:t>e</w:t>
      </w:r>
      <w:r w:rsidRPr="00AA552A">
        <w:rPr>
          <w:rFonts w:cs="Cambria"/>
          <w:color w:val="000000"/>
          <w:spacing w:val="-1"/>
        </w:rPr>
        <w:t>r</w:t>
      </w:r>
      <w:r w:rsidRPr="00AA552A">
        <w:rPr>
          <w:rFonts w:cs="Cambria"/>
          <w:color w:val="000000"/>
        </w:rPr>
        <w:t>n;</w:t>
      </w:r>
      <w:r w:rsidRPr="00AA552A">
        <w:rPr>
          <w:rFonts w:cs="Cambria"/>
          <w:color w:val="000000"/>
          <w:spacing w:val="-7"/>
        </w:rPr>
        <w:t xml:space="preserve"> </w:t>
      </w:r>
      <w:r w:rsidRPr="00AA552A">
        <w:rPr>
          <w:rFonts w:cs="Cambria"/>
          <w:color w:val="000000"/>
        </w:rPr>
        <w:t>all</w:t>
      </w:r>
      <w:r w:rsidRPr="00AA552A">
        <w:rPr>
          <w:rFonts w:cs="Cambria"/>
          <w:color w:val="000000"/>
          <w:spacing w:val="2"/>
        </w:rPr>
        <w:t xml:space="preserve"> </w:t>
      </w:r>
      <w:r w:rsidRPr="00AA552A">
        <w:rPr>
          <w:rFonts w:cs="Cambria"/>
          <w:color w:val="000000"/>
        </w:rPr>
        <w:t>h</w:t>
      </w:r>
      <w:r w:rsidRPr="00AA552A">
        <w:rPr>
          <w:rFonts w:cs="Cambria"/>
          <w:color w:val="000000"/>
          <w:spacing w:val="1"/>
        </w:rPr>
        <w:t>e</w:t>
      </w:r>
      <w:r w:rsidRPr="00AA552A">
        <w:rPr>
          <w:rFonts w:cs="Cambria"/>
          <w:color w:val="000000"/>
          <w:spacing w:val="2"/>
        </w:rPr>
        <w:t>r</w:t>
      </w:r>
      <w:r w:rsidRPr="00AA552A">
        <w:rPr>
          <w:rFonts w:cs="Cambria"/>
          <w:color w:val="000000"/>
        </w:rPr>
        <w:t>mat</w:t>
      </w:r>
      <w:r w:rsidRPr="00AA552A">
        <w:rPr>
          <w:rFonts w:cs="Cambria"/>
          <w:color w:val="000000"/>
          <w:spacing w:val="-1"/>
        </w:rPr>
        <w:t>y</w:t>
      </w:r>
      <w:r w:rsidRPr="00AA552A">
        <w:rPr>
          <w:rFonts w:cs="Cambria"/>
          <w:color w:val="000000"/>
          <w:spacing w:val="1"/>
        </w:rPr>
        <w:t>pi</w:t>
      </w:r>
      <w:r w:rsidRPr="00AA552A">
        <w:rPr>
          <w:rFonts w:cs="Cambria"/>
          <w:color w:val="000000"/>
        </w:rPr>
        <w:t>c</w:t>
      </w:r>
      <w:r w:rsidRPr="00AA552A">
        <w:rPr>
          <w:rFonts w:cs="Cambria"/>
          <w:color w:val="000000"/>
          <w:spacing w:val="-6"/>
        </w:rPr>
        <w:t xml:space="preserve"> </w:t>
      </w:r>
      <w:r w:rsidRPr="00AA552A">
        <w:rPr>
          <w:rFonts w:cs="Cambria"/>
          <w:color w:val="000000"/>
        </w:rPr>
        <w:t>co</w:t>
      </w:r>
      <w:r w:rsidRPr="00AA552A">
        <w:rPr>
          <w:rFonts w:cs="Cambria"/>
          <w:color w:val="000000"/>
          <w:spacing w:val="-1"/>
        </w:rPr>
        <w:t>r</w:t>
      </w:r>
      <w:r w:rsidRPr="00AA552A">
        <w:rPr>
          <w:rFonts w:cs="Cambria"/>
          <w:color w:val="000000"/>
        </w:rPr>
        <w:t>al</w:t>
      </w:r>
      <w:r w:rsidRPr="00AA552A">
        <w:rPr>
          <w:rFonts w:cs="Cambria"/>
          <w:color w:val="000000"/>
          <w:spacing w:val="-3"/>
        </w:rPr>
        <w:t xml:space="preserve"> </w:t>
      </w:r>
      <w:r w:rsidRPr="00AA552A">
        <w:rPr>
          <w:rFonts w:cs="Cambria"/>
          <w:color w:val="000000"/>
        </w:rPr>
        <w:t>ha</w:t>
      </w:r>
      <w:r w:rsidRPr="00AA552A">
        <w:rPr>
          <w:rFonts w:cs="Cambria"/>
          <w:color w:val="000000"/>
          <w:spacing w:val="1"/>
        </w:rPr>
        <w:t>bi</w:t>
      </w:r>
      <w:r w:rsidRPr="00AA552A">
        <w:rPr>
          <w:rFonts w:cs="Cambria"/>
          <w:color w:val="000000"/>
        </w:rPr>
        <w:t>tats</w:t>
      </w:r>
      <w:r w:rsidRPr="00AA552A">
        <w:rPr>
          <w:rFonts w:cs="Cambria"/>
          <w:color w:val="000000"/>
          <w:spacing w:val="-3"/>
        </w:rPr>
        <w:t xml:space="preserve"> </w:t>
      </w:r>
      <w:r w:rsidRPr="00AA552A">
        <w:rPr>
          <w:rFonts w:cs="Cambria"/>
          <w:color w:val="000000"/>
          <w:spacing w:val="-2"/>
        </w:rPr>
        <w:t>a</w:t>
      </w:r>
      <w:r w:rsidRPr="00AA552A">
        <w:rPr>
          <w:rFonts w:cs="Cambria"/>
          <w:color w:val="000000"/>
        </w:rPr>
        <w:t xml:space="preserve">nd </w:t>
      </w:r>
      <w:r w:rsidRPr="00AA552A">
        <w:rPr>
          <w:rFonts w:cs="Cambria"/>
          <w:color w:val="000000"/>
          <w:spacing w:val="-1"/>
        </w:rPr>
        <w:t>r</w:t>
      </w:r>
      <w:r w:rsidRPr="00AA552A">
        <w:rPr>
          <w:rFonts w:cs="Cambria"/>
          <w:color w:val="000000"/>
          <w:spacing w:val="1"/>
        </w:rPr>
        <w:t>ee</w:t>
      </w:r>
      <w:r w:rsidRPr="00AA552A">
        <w:rPr>
          <w:rFonts w:cs="Cambria"/>
          <w:color w:val="000000"/>
          <w:spacing w:val="-1"/>
        </w:rPr>
        <w:t>f</w:t>
      </w:r>
      <w:r w:rsidRPr="00AA552A">
        <w:rPr>
          <w:rFonts w:cs="Cambria"/>
          <w:color w:val="000000"/>
        </w:rPr>
        <w:t>s;</w:t>
      </w:r>
      <w:r w:rsidRPr="00AA552A">
        <w:rPr>
          <w:rFonts w:cs="Cambria"/>
          <w:color w:val="000000"/>
          <w:spacing w:val="-7"/>
        </w:rPr>
        <w:t xml:space="preserve"> </w:t>
      </w:r>
      <w:r w:rsidRPr="00AA552A">
        <w:rPr>
          <w:rFonts w:cs="Cambria"/>
          <w:color w:val="000000"/>
        </w:rPr>
        <w:t>man</w:t>
      </w:r>
      <w:r w:rsidRPr="00AA552A">
        <w:rPr>
          <w:rFonts w:cs="Cambria"/>
          <w:color w:val="000000"/>
          <w:spacing w:val="-1"/>
        </w:rPr>
        <w:t>g</w:t>
      </w:r>
      <w:r w:rsidRPr="00AA552A">
        <w:rPr>
          <w:rFonts w:cs="Cambria"/>
          <w:color w:val="000000"/>
        </w:rPr>
        <w:t>an</w:t>
      </w:r>
      <w:r w:rsidRPr="00AA552A">
        <w:rPr>
          <w:rFonts w:cs="Cambria"/>
          <w:color w:val="000000"/>
          <w:spacing w:val="1"/>
        </w:rPr>
        <w:t>e</w:t>
      </w:r>
      <w:r w:rsidRPr="00AA552A">
        <w:rPr>
          <w:rFonts w:cs="Cambria"/>
          <w:color w:val="000000"/>
        </w:rPr>
        <w:t>se</w:t>
      </w:r>
      <w:r w:rsidRPr="00AA552A">
        <w:rPr>
          <w:rFonts w:cs="Cambria"/>
          <w:color w:val="000000"/>
          <w:spacing w:val="-2"/>
        </w:rPr>
        <w:t xml:space="preserve"> </w:t>
      </w:r>
      <w:r w:rsidRPr="00AA552A">
        <w:rPr>
          <w:rFonts w:cs="Cambria"/>
          <w:color w:val="000000"/>
        </w:rPr>
        <w:t>o</w:t>
      </w:r>
      <w:r w:rsidRPr="00AA552A">
        <w:rPr>
          <w:rFonts w:cs="Cambria"/>
          <w:color w:val="000000"/>
          <w:spacing w:val="-1"/>
        </w:rPr>
        <w:t>u</w:t>
      </w:r>
      <w:r w:rsidRPr="00AA552A">
        <w:rPr>
          <w:rFonts w:cs="Cambria"/>
          <w:color w:val="000000"/>
        </w:rPr>
        <w:t>tc</w:t>
      </w:r>
      <w:r w:rsidRPr="00AA552A">
        <w:rPr>
          <w:rFonts w:cs="Cambria"/>
          <w:color w:val="000000"/>
          <w:spacing w:val="2"/>
        </w:rPr>
        <w:t>r</w:t>
      </w:r>
      <w:r w:rsidRPr="00AA552A">
        <w:rPr>
          <w:rFonts w:cs="Cambria"/>
          <w:color w:val="000000"/>
        </w:rPr>
        <w:t>o</w:t>
      </w:r>
      <w:r w:rsidRPr="00AA552A">
        <w:rPr>
          <w:rFonts w:cs="Cambria"/>
          <w:color w:val="000000"/>
          <w:spacing w:val="1"/>
        </w:rPr>
        <w:t>ppi</w:t>
      </w:r>
      <w:r w:rsidRPr="00AA552A">
        <w:rPr>
          <w:rFonts w:cs="Cambria"/>
          <w:color w:val="000000"/>
        </w:rPr>
        <w:t>n</w:t>
      </w:r>
      <w:r w:rsidRPr="00AA552A">
        <w:rPr>
          <w:rFonts w:cs="Cambria"/>
          <w:color w:val="000000"/>
          <w:spacing w:val="-1"/>
        </w:rPr>
        <w:t>g</w:t>
      </w:r>
      <w:r w:rsidRPr="00AA552A">
        <w:rPr>
          <w:rFonts w:cs="Cambria"/>
          <w:color w:val="000000"/>
        </w:rPr>
        <w:t>s</w:t>
      </w:r>
      <w:r w:rsidRPr="00AA552A">
        <w:rPr>
          <w:rFonts w:cs="Cambria"/>
          <w:color w:val="000000"/>
          <w:spacing w:val="-6"/>
        </w:rPr>
        <w:t xml:space="preserve"> </w:t>
      </w:r>
      <w:r w:rsidRPr="00AA552A">
        <w:rPr>
          <w:rFonts w:cs="Cambria"/>
          <w:color w:val="000000"/>
        </w:rPr>
        <w:t>on</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Bla</w:t>
      </w:r>
      <w:r w:rsidRPr="00AA552A">
        <w:rPr>
          <w:rFonts w:cs="Cambria"/>
          <w:color w:val="000000"/>
          <w:spacing w:val="-1"/>
        </w:rPr>
        <w:t>k</w:t>
      </w:r>
      <w:r w:rsidRPr="00AA552A">
        <w:rPr>
          <w:rFonts w:cs="Cambria"/>
          <w:color w:val="000000"/>
        </w:rPr>
        <w:t xml:space="preserve">e </w:t>
      </w:r>
      <w:r w:rsidRPr="00AA552A">
        <w:rPr>
          <w:rFonts w:cs="Cambria"/>
          <w:color w:val="000000"/>
          <w:spacing w:val="1"/>
        </w:rPr>
        <w:t>P</w:t>
      </w:r>
      <w:r w:rsidRPr="00AA552A">
        <w:rPr>
          <w:rFonts w:cs="Cambria"/>
          <w:color w:val="000000"/>
          <w:spacing w:val="-3"/>
        </w:rPr>
        <w:t>l</w:t>
      </w:r>
      <w:r w:rsidRPr="00AA552A">
        <w:rPr>
          <w:rFonts w:cs="Cambria"/>
          <w:color w:val="000000"/>
        </w:rPr>
        <w:t>at</w:t>
      </w:r>
      <w:r w:rsidRPr="00AA552A">
        <w:rPr>
          <w:rFonts w:cs="Cambria"/>
          <w:color w:val="000000"/>
          <w:spacing w:val="1"/>
        </w:rPr>
        <w:t>e</w:t>
      </w:r>
      <w:r w:rsidRPr="00AA552A">
        <w:rPr>
          <w:rFonts w:cs="Cambria"/>
          <w:color w:val="000000"/>
        </w:rPr>
        <w:t>a</w:t>
      </w:r>
      <w:r w:rsidRPr="00AA552A">
        <w:rPr>
          <w:rFonts w:cs="Cambria"/>
          <w:color w:val="000000"/>
          <w:spacing w:val="-1"/>
        </w:rPr>
        <w:t>u</w:t>
      </w:r>
      <w:r w:rsidRPr="00AA552A">
        <w:rPr>
          <w:rFonts w:cs="Cambria"/>
          <w:color w:val="000000"/>
        </w:rPr>
        <w:t>;</w:t>
      </w:r>
      <w:r w:rsidRPr="00AA552A">
        <w:rPr>
          <w:rFonts w:cs="Cambria"/>
          <w:color w:val="000000"/>
          <w:spacing w:val="-4"/>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C</w:t>
      </w:r>
      <w:r w:rsidRPr="00AA552A">
        <w:rPr>
          <w:rFonts w:cs="Cambria"/>
          <w:color w:val="000000"/>
        </w:rPr>
        <w:t>o</w:t>
      </w:r>
      <w:r w:rsidRPr="00AA552A">
        <w:rPr>
          <w:rFonts w:cs="Cambria"/>
          <w:color w:val="000000"/>
          <w:spacing w:val="-1"/>
        </w:rPr>
        <w:t>u</w:t>
      </w:r>
      <w:r w:rsidRPr="00AA552A">
        <w:rPr>
          <w:rFonts w:cs="Cambria"/>
          <w:color w:val="000000"/>
        </w:rPr>
        <w:t>nc</w:t>
      </w:r>
      <w:r w:rsidRPr="00AA552A">
        <w:rPr>
          <w:rFonts w:cs="Cambria"/>
          <w:color w:val="000000"/>
          <w:spacing w:val="1"/>
        </w:rPr>
        <w:t>i</w:t>
      </w:r>
      <w:r w:rsidRPr="00AA552A">
        <w:rPr>
          <w:rFonts w:cs="Cambria"/>
          <w:color w:val="000000"/>
        </w:rPr>
        <w:t>l-</w:t>
      </w:r>
      <w:r w:rsidRPr="00AA552A">
        <w:rPr>
          <w:rFonts w:cs="Cambria"/>
          <w:color w:val="000000"/>
          <w:spacing w:val="-1"/>
        </w:rPr>
        <w:t>d</w:t>
      </w:r>
      <w:r w:rsidRPr="00AA552A">
        <w:rPr>
          <w:rFonts w:cs="Cambria"/>
          <w:color w:val="000000"/>
          <w:spacing w:val="1"/>
        </w:rPr>
        <w:t>e</w:t>
      </w:r>
      <w:r w:rsidRPr="00AA552A">
        <w:rPr>
          <w:rFonts w:cs="Cambria"/>
          <w:color w:val="000000"/>
        </w:rPr>
        <w:t>s</w:t>
      </w:r>
      <w:r w:rsidRPr="00AA552A">
        <w:rPr>
          <w:rFonts w:cs="Cambria"/>
          <w:color w:val="000000"/>
          <w:spacing w:val="3"/>
        </w:rPr>
        <w:t>i</w:t>
      </w:r>
      <w:r w:rsidRPr="00AA552A">
        <w:rPr>
          <w:rFonts w:cs="Cambria"/>
          <w:color w:val="000000"/>
          <w:spacing w:val="-1"/>
        </w:rPr>
        <w:t>g</w:t>
      </w:r>
      <w:r w:rsidRPr="00AA552A">
        <w:rPr>
          <w:rFonts w:cs="Cambria"/>
          <w:color w:val="000000"/>
        </w:rPr>
        <w:t>nat</w:t>
      </w:r>
      <w:r w:rsidRPr="00AA552A">
        <w:rPr>
          <w:rFonts w:cs="Cambria"/>
          <w:color w:val="000000"/>
          <w:spacing w:val="1"/>
        </w:rPr>
        <w:t>e</w:t>
      </w:r>
      <w:r w:rsidRPr="00AA552A">
        <w:rPr>
          <w:rFonts w:cs="Cambria"/>
          <w:color w:val="000000"/>
        </w:rPr>
        <w:t>d</w:t>
      </w:r>
      <w:r w:rsidRPr="00AA552A">
        <w:rPr>
          <w:rFonts w:cs="Cambria"/>
          <w:color w:val="000000"/>
          <w:spacing w:val="-12"/>
        </w:rPr>
        <w:t xml:space="preserve"> </w:t>
      </w:r>
      <w:r w:rsidRPr="00AA552A">
        <w:rPr>
          <w:rFonts w:cs="Cambria"/>
          <w:color w:val="000000"/>
          <w:spacing w:val="-1"/>
        </w:rPr>
        <w:t>Ar</w:t>
      </w:r>
      <w:r w:rsidRPr="00AA552A">
        <w:rPr>
          <w:rFonts w:cs="Cambria"/>
          <w:color w:val="000000"/>
        </w:rPr>
        <w:t>t</w:t>
      </w:r>
      <w:r w:rsidRPr="00AA552A">
        <w:rPr>
          <w:rFonts w:cs="Cambria"/>
          <w:color w:val="000000"/>
          <w:spacing w:val="1"/>
        </w:rPr>
        <w:t>i</w:t>
      </w:r>
      <w:r w:rsidRPr="00AA552A">
        <w:rPr>
          <w:rFonts w:cs="Cambria"/>
          <w:color w:val="000000"/>
          <w:spacing w:val="-1"/>
        </w:rPr>
        <w:t>f</w:t>
      </w:r>
      <w:r w:rsidRPr="00AA552A">
        <w:rPr>
          <w:rFonts w:cs="Cambria"/>
          <w:color w:val="000000"/>
          <w:spacing w:val="1"/>
        </w:rPr>
        <w:t>i</w:t>
      </w:r>
      <w:r w:rsidRPr="00AA552A">
        <w:rPr>
          <w:rFonts w:cs="Cambria"/>
          <w:color w:val="000000"/>
        </w:rPr>
        <w:t>c</w:t>
      </w:r>
      <w:r w:rsidRPr="00AA552A">
        <w:rPr>
          <w:rFonts w:cs="Cambria"/>
          <w:color w:val="000000"/>
          <w:spacing w:val="1"/>
        </w:rPr>
        <w:t>i</w:t>
      </w:r>
      <w:r w:rsidRPr="00AA552A">
        <w:rPr>
          <w:rFonts w:cs="Cambria"/>
          <w:color w:val="000000"/>
        </w:rPr>
        <w:t>al</w:t>
      </w:r>
      <w:r w:rsidRPr="00AA552A">
        <w:rPr>
          <w:rFonts w:cs="Cambria"/>
          <w:color w:val="000000"/>
          <w:spacing w:val="-5"/>
        </w:rPr>
        <w:t xml:space="preserve"> </w:t>
      </w:r>
      <w:r w:rsidRPr="00AA552A">
        <w:rPr>
          <w:rFonts w:cs="Cambria"/>
          <w:color w:val="000000"/>
        </w:rPr>
        <w:t>R</w:t>
      </w:r>
      <w:r w:rsidRPr="00AA552A">
        <w:rPr>
          <w:rFonts w:cs="Cambria"/>
          <w:color w:val="000000"/>
          <w:spacing w:val="1"/>
        </w:rPr>
        <w:t>ee</w:t>
      </w:r>
      <w:r w:rsidRPr="00AA552A">
        <w:rPr>
          <w:rFonts w:cs="Cambria"/>
          <w:color w:val="000000"/>
        </w:rPr>
        <w:t xml:space="preserve">f </w:t>
      </w:r>
      <w:r w:rsidRPr="00AA552A">
        <w:rPr>
          <w:rFonts w:cs="Cambria"/>
          <w:color w:val="000000"/>
          <w:spacing w:val="1"/>
        </w:rPr>
        <w:t>Spe</w:t>
      </w:r>
      <w:r w:rsidRPr="00AA552A">
        <w:rPr>
          <w:rFonts w:cs="Cambria"/>
          <w:color w:val="000000"/>
        </w:rPr>
        <w:t>c</w:t>
      </w:r>
      <w:r w:rsidRPr="00AA552A">
        <w:rPr>
          <w:rFonts w:cs="Cambria"/>
          <w:color w:val="000000"/>
          <w:spacing w:val="1"/>
        </w:rPr>
        <w:t>i</w:t>
      </w:r>
      <w:r w:rsidRPr="00AA552A">
        <w:rPr>
          <w:rFonts w:cs="Cambria"/>
          <w:color w:val="000000"/>
        </w:rPr>
        <w:t>al</w:t>
      </w:r>
      <w:r w:rsidRPr="00AA552A">
        <w:rPr>
          <w:rFonts w:cs="Cambria"/>
          <w:color w:val="000000"/>
          <w:spacing w:val="-6"/>
        </w:rPr>
        <w:t xml:space="preserve"> </w:t>
      </w:r>
      <w:r w:rsidRPr="00AA552A">
        <w:rPr>
          <w:rFonts w:cs="Cambria"/>
          <w:color w:val="000000"/>
          <w:spacing w:val="1"/>
        </w:rPr>
        <w:t>M</w:t>
      </w:r>
      <w:r w:rsidRPr="00AA552A">
        <w:rPr>
          <w:rFonts w:cs="Cambria"/>
          <w:color w:val="000000"/>
        </w:rPr>
        <w:t>ana</w:t>
      </w:r>
      <w:r w:rsidRPr="00AA552A">
        <w:rPr>
          <w:rFonts w:cs="Cambria"/>
          <w:color w:val="000000"/>
          <w:spacing w:val="-1"/>
        </w:rPr>
        <w:t>g</w:t>
      </w:r>
      <w:r w:rsidRPr="00AA552A">
        <w:rPr>
          <w:rFonts w:cs="Cambria"/>
          <w:color w:val="000000"/>
          <w:spacing w:val="1"/>
        </w:rPr>
        <w:t>e</w:t>
      </w:r>
      <w:r w:rsidRPr="00AA552A">
        <w:rPr>
          <w:rFonts w:cs="Cambria"/>
          <w:color w:val="000000"/>
        </w:rPr>
        <w:t>m</w:t>
      </w:r>
      <w:r w:rsidRPr="00AA552A">
        <w:rPr>
          <w:rFonts w:cs="Cambria"/>
          <w:color w:val="000000"/>
          <w:spacing w:val="1"/>
        </w:rPr>
        <w:t>e</w:t>
      </w:r>
      <w:r w:rsidRPr="00AA552A">
        <w:rPr>
          <w:rFonts w:cs="Cambria"/>
          <w:color w:val="000000"/>
        </w:rPr>
        <w:t>nt</w:t>
      </w:r>
      <w:r w:rsidRPr="00AA552A">
        <w:rPr>
          <w:rFonts w:cs="Cambria"/>
          <w:color w:val="000000"/>
          <w:spacing w:val="-2"/>
        </w:rPr>
        <w:t xml:space="preserve"> </w:t>
      </w:r>
      <w:r w:rsidRPr="00AA552A">
        <w:rPr>
          <w:rFonts w:cs="Cambria"/>
          <w:color w:val="000000"/>
          <w:spacing w:val="1"/>
        </w:rPr>
        <w:t>Z</w:t>
      </w:r>
      <w:r w:rsidRPr="00AA552A">
        <w:rPr>
          <w:rFonts w:cs="Cambria"/>
          <w:color w:val="000000"/>
          <w:spacing w:val="-3"/>
        </w:rPr>
        <w:t>o</w:t>
      </w:r>
      <w:r w:rsidRPr="00AA552A">
        <w:rPr>
          <w:rFonts w:cs="Cambria"/>
          <w:color w:val="000000"/>
        </w:rPr>
        <w:t>n</w:t>
      </w:r>
      <w:r w:rsidRPr="00AA552A">
        <w:rPr>
          <w:rFonts w:cs="Cambria"/>
          <w:color w:val="000000"/>
          <w:spacing w:val="1"/>
        </w:rPr>
        <w:t>e</w:t>
      </w:r>
      <w:r w:rsidRPr="00AA552A">
        <w:rPr>
          <w:rFonts w:cs="Cambria"/>
          <w:color w:val="000000"/>
        </w:rPr>
        <w:t>s</w:t>
      </w:r>
      <w:r w:rsidRPr="00AA552A">
        <w:rPr>
          <w:rFonts w:cs="Cambria"/>
          <w:color w:val="000000"/>
          <w:spacing w:val="-5"/>
        </w:rPr>
        <w:t xml:space="preserve"> </w:t>
      </w:r>
      <w:r w:rsidRPr="00AA552A">
        <w:rPr>
          <w:rFonts w:cs="Cambria"/>
          <w:color w:val="000000"/>
        </w:rPr>
        <w:t>(</w:t>
      </w:r>
      <w:r w:rsidRPr="00AA552A">
        <w:rPr>
          <w:rFonts w:cs="Cambria"/>
          <w:color w:val="000000"/>
          <w:spacing w:val="1"/>
        </w:rPr>
        <w:t>SMZ</w:t>
      </w:r>
      <w:r w:rsidRPr="00AA552A">
        <w:rPr>
          <w:rFonts w:cs="Cambria"/>
          <w:color w:val="000000"/>
        </w:rPr>
        <w:t>s</w:t>
      </w:r>
      <w:r w:rsidRPr="00AA552A">
        <w:rPr>
          <w:rFonts w:cs="Cambria"/>
          <w:color w:val="000000"/>
          <w:spacing w:val="-3"/>
        </w:rPr>
        <w:t>)</w:t>
      </w:r>
      <w:r w:rsidRPr="00AA552A">
        <w:rPr>
          <w:rFonts w:cs="Cambria"/>
          <w:color w:val="000000"/>
        </w:rPr>
        <w:t>.</w:t>
      </w:r>
      <w:r w:rsidRPr="00AA552A">
        <w:rPr>
          <w:rFonts w:cs="Cambria"/>
          <w:color w:val="000000"/>
          <w:spacing w:val="50"/>
        </w:rPr>
        <w:t xml:space="preserve"> </w:t>
      </w:r>
      <w:r w:rsidRPr="00AA552A">
        <w:rPr>
          <w:rFonts w:cs="Cambria"/>
          <w:color w:val="000000"/>
          <w:spacing w:val="-1"/>
        </w:rPr>
        <w:t>I</w:t>
      </w:r>
      <w:r w:rsidRPr="00AA552A">
        <w:rPr>
          <w:rFonts w:cs="Cambria"/>
          <w:color w:val="000000"/>
        </w:rPr>
        <w:t>n a</w:t>
      </w:r>
      <w:r w:rsidRPr="00AA552A">
        <w:rPr>
          <w:rFonts w:cs="Cambria"/>
          <w:color w:val="000000"/>
          <w:spacing w:val="-1"/>
        </w:rPr>
        <w:t>dd</w:t>
      </w:r>
      <w:r w:rsidRPr="00AA552A">
        <w:rPr>
          <w:rFonts w:cs="Cambria"/>
          <w:color w:val="000000"/>
          <w:spacing w:val="1"/>
        </w:rPr>
        <w:t>i</w:t>
      </w:r>
      <w:r w:rsidRPr="00AA552A">
        <w:rPr>
          <w:rFonts w:cs="Cambria"/>
          <w:color w:val="000000"/>
        </w:rPr>
        <w:t>t</w:t>
      </w:r>
      <w:r w:rsidRPr="00AA552A">
        <w:rPr>
          <w:rFonts w:cs="Cambria"/>
          <w:color w:val="000000"/>
          <w:spacing w:val="1"/>
        </w:rPr>
        <w:t>i</w:t>
      </w:r>
      <w:r w:rsidRPr="00AA552A">
        <w:rPr>
          <w:rFonts w:cs="Cambria"/>
          <w:color w:val="000000"/>
        </w:rPr>
        <w:t>on,</w:t>
      </w:r>
      <w:r w:rsidRPr="00AA552A">
        <w:rPr>
          <w:rFonts w:cs="Cambria"/>
          <w:color w:val="000000"/>
          <w:spacing w:val="-4"/>
        </w:rPr>
        <w:t xml:space="preserve"> </w:t>
      </w:r>
      <w:r w:rsidRPr="00AA552A">
        <w:rPr>
          <w:rFonts w:cs="Cambria"/>
          <w:color w:val="000000"/>
        </w:rPr>
        <w:t>the</w:t>
      </w:r>
      <w:r w:rsidRPr="00AA552A">
        <w:rPr>
          <w:rFonts w:cs="Cambria"/>
          <w:color w:val="000000"/>
          <w:spacing w:val="-1"/>
        </w:rPr>
        <w:t xml:space="preserve"> C</w:t>
      </w:r>
      <w:r w:rsidRPr="00AA552A">
        <w:rPr>
          <w:rFonts w:cs="Cambria"/>
          <w:color w:val="000000"/>
        </w:rPr>
        <w:t>ounc</w:t>
      </w:r>
      <w:r w:rsidRPr="00AA552A">
        <w:rPr>
          <w:rFonts w:cs="Cambria"/>
          <w:color w:val="000000"/>
          <w:spacing w:val="1"/>
        </w:rPr>
        <w:t>i</w:t>
      </w:r>
      <w:r w:rsidRPr="00AA552A">
        <w:rPr>
          <w:rFonts w:cs="Cambria"/>
          <w:color w:val="000000"/>
        </w:rPr>
        <w:t>l</w:t>
      </w:r>
      <w:r w:rsidRPr="00AA552A">
        <w:rPr>
          <w:rFonts w:cs="Cambria"/>
          <w:color w:val="000000"/>
          <w:spacing w:val="-4"/>
        </w:rPr>
        <w:t xml:space="preserve"> </w:t>
      </w:r>
      <w:r w:rsidRPr="00AA552A">
        <w:rPr>
          <w:rFonts w:cs="Cambria"/>
          <w:color w:val="000000"/>
        </w:rPr>
        <w:t>th</w:t>
      </w:r>
      <w:r w:rsidRPr="00AA552A">
        <w:rPr>
          <w:rFonts w:cs="Cambria"/>
          <w:color w:val="000000"/>
          <w:spacing w:val="-1"/>
        </w:rPr>
        <w:t>r</w:t>
      </w:r>
      <w:r w:rsidRPr="00AA552A">
        <w:rPr>
          <w:rFonts w:cs="Cambria"/>
          <w:color w:val="000000"/>
        </w:rPr>
        <w:t>ou</w:t>
      </w:r>
      <w:r w:rsidRPr="00AA552A">
        <w:rPr>
          <w:rFonts w:cs="Cambria"/>
          <w:color w:val="000000"/>
          <w:spacing w:val="-1"/>
        </w:rPr>
        <w:t>g</w:t>
      </w:r>
      <w:r w:rsidRPr="00AA552A">
        <w:rPr>
          <w:rFonts w:cs="Cambria"/>
          <w:color w:val="000000"/>
        </w:rPr>
        <w:t>h</w:t>
      </w:r>
      <w:r w:rsidRPr="00AA552A">
        <w:rPr>
          <w:rFonts w:cs="Cambria"/>
          <w:color w:val="000000"/>
          <w:spacing w:val="-5"/>
        </w:rPr>
        <w:t xml:space="preserve"> </w:t>
      </w:r>
      <w:r w:rsidRPr="00AA552A">
        <w:rPr>
          <w:rFonts w:cs="Cambria"/>
          <w:color w:val="000000"/>
          <w:spacing w:val="-1"/>
        </w:rPr>
        <w:t>C</w:t>
      </w:r>
      <w:r w:rsidRPr="00AA552A">
        <w:rPr>
          <w:rFonts w:cs="Cambria"/>
          <w:color w:val="000000"/>
          <w:spacing w:val="4"/>
        </w:rPr>
        <w:t>E</w:t>
      </w:r>
      <w:r w:rsidRPr="00AA552A">
        <w:rPr>
          <w:rFonts w:cs="Cambria"/>
          <w:color w:val="000000"/>
        </w:rPr>
        <w:t>BA</w:t>
      </w:r>
      <w:r w:rsidRPr="00AA552A">
        <w:rPr>
          <w:rFonts w:cs="Cambria"/>
          <w:color w:val="000000"/>
          <w:spacing w:val="-2"/>
        </w:rPr>
        <w:t xml:space="preserve"> </w:t>
      </w:r>
      <w:r w:rsidRPr="00AA552A">
        <w:rPr>
          <w:rFonts w:cs="Cambria"/>
          <w:color w:val="000000"/>
        </w:rPr>
        <w:t>2</w:t>
      </w:r>
      <w:r w:rsidRPr="00AA552A">
        <w:rPr>
          <w:rFonts w:cs="Cambria"/>
          <w:color w:val="000000"/>
          <w:spacing w:val="-2"/>
        </w:rPr>
        <w:t xml:space="preserve"> </w:t>
      </w:r>
      <w:r w:rsidRPr="00AA552A">
        <w:rPr>
          <w:rFonts w:cs="Cambria"/>
          <w:color w:val="000000"/>
        </w:rPr>
        <w:t>(</w:t>
      </w:r>
      <w:r w:rsidRPr="00AA552A">
        <w:rPr>
          <w:rFonts w:cs="Cambria"/>
          <w:color w:val="000000"/>
          <w:spacing w:val="1"/>
        </w:rPr>
        <w:t>S</w:t>
      </w:r>
      <w:r w:rsidRPr="00AA552A">
        <w:rPr>
          <w:rFonts w:cs="Cambria"/>
          <w:color w:val="000000"/>
          <w:spacing w:val="-1"/>
        </w:rPr>
        <w:t>A</w:t>
      </w:r>
      <w:r w:rsidRPr="00AA552A">
        <w:rPr>
          <w:rFonts w:cs="Cambria"/>
          <w:color w:val="000000"/>
          <w:spacing w:val="1"/>
        </w:rPr>
        <w:t>FM</w:t>
      </w:r>
      <w:r w:rsidRPr="00AA552A">
        <w:rPr>
          <w:rFonts w:cs="Cambria"/>
          <w:color w:val="000000"/>
        </w:rPr>
        <w:t>C</w:t>
      </w:r>
      <w:r w:rsidRPr="00AA552A">
        <w:rPr>
          <w:rFonts w:cs="Cambria"/>
          <w:color w:val="000000"/>
          <w:spacing w:val="-6"/>
        </w:rPr>
        <w:t xml:space="preserve"> </w:t>
      </w:r>
      <w:r w:rsidRPr="00AA552A">
        <w:rPr>
          <w:rFonts w:cs="Cambria"/>
          <w:color w:val="000000"/>
          <w:spacing w:val="-1"/>
        </w:rPr>
        <w:t>2</w:t>
      </w:r>
      <w:r w:rsidRPr="00AA552A">
        <w:rPr>
          <w:rFonts w:cs="Cambria"/>
          <w:color w:val="000000"/>
          <w:spacing w:val="2"/>
        </w:rPr>
        <w:t>0</w:t>
      </w:r>
      <w:r w:rsidRPr="00AA552A">
        <w:rPr>
          <w:rFonts w:cs="Cambria"/>
          <w:color w:val="000000"/>
          <w:spacing w:val="-1"/>
        </w:rPr>
        <w:t>11</w:t>
      </w:r>
      <w:r w:rsidRPr="00AA552A">
        <w:rPr>
          <w:rFonts w:cs="Cambria"/>
          <w:color w:val="000000"/>
        </w:rPr>
        <w:t>)</w:t>
      </w:r>
      <w:r w:rsidRPr="00AA552A">
        <w:rPr>
          <w:rFonts w:cs="Cambria"/>
          <w:color w:val="000000"/>
          <w:spacing w:val="-6"/>
        </w:rPr>
        <w:t xml:space="preserve"> </w:t>
      </w:r>
      <w:r>
        <w:rPr>
          <w:rFonts w:cs="Cambria"/>
          <w:color w:val="000000"/>
          <w:spacing w:val="1"/>
        </w:rPr>
        <w:t xml:space="preserve">designated </w:t>
      </w:r>
      <w:r w:rsidRPr="00AA552A">
        <w:rPr>
          <w:rFonts w:cs="Cambria"/>
          <w:color w:val="000000"/>
        </w:rPr>
        <w:t>the</w:t>
      </w:r>
      <w:r w:rsidRPr="00AA552A">
        <w:rPr>
          <w:rFonts w:cs="Cambria"/>
          <w:color w:val="000000"/>
          <w:spacing w:val="-1"/>
        </w:rPr>
        <w:t xml:space="preserve"> d</w:t>
      </w:r>
      <w:r w:rsidRPr="00AA552A">
        <w:rPr>
          <w:rFonts w:cs="Cambria"/>
          <w:color w:val="000000"/>
          <w:spacing w:val="1"/>
        </w:rPr>
        <w:t>eep</w:t>
      </w:r>
      <w:r w:rsidRPr="00AA552A">
        <w:rPr>
          <w:rFonts w:cs="Cambria"/>
          <w:color w:val="000000"/>
          <w:spacing w:val="-1"/>
        </w:rPr>
        <w:t>w</w:t>
      </w:r>
      <w:r w:rsidRPr="00AA552A">
        <w:rPr>
          <w:rFonts w:cs="Cambria"/>
          <w:color w:val="000000"/>
        </w:rPr>
        <w:t>a</w:t>
      </w:r>
      <w:r w:rsidRPr="00AA552A">
        <w:rPr>
          <w:rFonts w:cs="Cambria"/>
          <w:color w:val="000000"/>
          <w:spacing w:val="-2"/>
        </w:rPr>
        <w:t>t</w:t>
      </w:r>
      <w:r w:rsidRPr="00AA552A">
        <w:rPr>
          <w:rFonts w:cs="Cambria"/>
          <w:color w:val="000000"/>
          <w:spacing w:val="1"/>
        </w:rPr>
        <w:t>e</w:t>
      </w:r>
      <w:r w:rsidRPr="00AA552A">
        <w:rPr>
          <w:rFonts w:cs="Cambria"/>
          <w:color w:val="000000"/>
        </w:rPr>
        <w:t>r</w:t>
      </w:r>
      <w:r w:rsidRPr="00AA552A">
        <w:rPr>
          <w:rFonts w:cs="Cambria"/>
          <w:color w:val="000000"/>
          <w:spacing w:val="-7"/>
        </w:rPr>
        <w:t xml:space="preserve"> </w:t>
      </w:r>
      <w:r w:rsidRPr="00AA552A">
        <w:rPr>
          <w:rFonts w:cs="Cambria"/>
          <w:color w:val="000000"/>
        </w:rPr>
        <w:t>sna</w:t>
      </w:r>
      <w:r w:rsidRPr="00AA552A">
        <w:rPr>
          <w:rFonts w:cs="Cambria"/>
          <w:color w:val="000000"/>
          <w:spacing w:val="1"/>
        </w:rPr>
        <w:t>ppe</w:t>
      </w:r>
      <w:r w:rsidRPr="00AA552A">
        <w:rPr>
          <w:rFonts w:cs="Cambria"/>
          <w:color w:val="000000"/>
        </w:rPr>
        <w:t>r</w:t>
      </w:r>
      <w:r w:rsidRPr="00AA552A">
        <w:rPr>
          <w:rFonts w:cs="Cambria"/>
          <w:color w:val="000000"/>
          <w:spacing w:val="-4"/>
        </w:rPr>
        <w:t xml:space="preserve"> </w:t>
      </w:r>
      <w:r w:rsidRPr="00AA552A">
        <w:rPr>
          <w:rFonts w:cs="Cambria"/>
          <w:color w:val="000000"/>
          <w:spacing w:val="-1"/>
        </w:rPr>
        <w:t>gr</w:t>
      </w:r>
      <w:r w:rsidRPr="00AA552A">
        <w:rPr>
          <w:rFonts w:cs="Cambria"/>
          <w:color w:val="000000"/>
        </w:rPr>
        <w:t>o</w:t>
      </w:r>
      <w:r w:rsidRPr="00AA552A">
        <w:rPr>
          <w:rFonts w:cs="Cambria"/>
          <w:color w:val="000000"/>
          <w:spacing w:val="-1"/>
        </w:rPr>
        <w:t>u</w:t>
      </w:r>
      <w:r w:rsidRPr="00AA552A">
        <w:rPr>
          <w:rFonts w:cs="Cambria"/>
          <w:color w:val="000000"/>
          <w:spacing w:val="1"/>
        </w:rPr>
        <w:t>pe</w:t>
      </w:r>
      <w:r w:rsidRPr="00AA552A">
        <w:rPr>
          <w:rFonts w:cs="Cambria"/>
          <w:color w:val="000000"/>
        </w:rPr>
        <w:t>r</w:t>
      </w:r>
      <w:r w:rsidRPr="00AA552A">
        <w:rPr>
          <w:rFonts w:cs="Cambria"/>
          <w:color w:val="000000"/>
          <w:spacing w:val="-5"/>
        </w:rPr>
        <w:t xml:space="preserve"> </w:t>
      </w:r>
      <w:r w:rsidRPr="00AA552A">
        <w:rPr>
          <w:rFonts w:cs="Cambria"/>
          <w:color w:val="000000"/>
          <w:spacing w:val="1"/>
        </w:rPr>
        <w:t>M</w:t>
      </w:r>
      <w:r w:rsidRPr="00AA552A">
        <w:rPr>
          <w:rFonts w:cs="Cambria"/>
          <w:color w:val="000000"/>
          <w:spacing w:val="-2"/>
        </w:rPr>
        <w:t>P</w:t>
      </w:r>
      <w:r w:rsidRPr="00AA552A">
        <w:rPr>
          <w:rFonts w:cs="Cambria"/>
          <w:color w:val="000000"/>
          <w:spacing w:val="-1"/>
        </w:rPr>
        <w:t>A</w:t>
      </w:r>
      <w:r w:rsidRPr="00AA552A">
        <w:rPr>
          <w:rFonts w:cs="Cambria"/>
          <w:color w:val="000000"/>
        </w:rPr>
        <w:t>s</w:t>
      </w:r>
      <w:r w:rsidRPr="00AA552A">
        <w:rPr>
          <w:rFonts w:cs="Cambria"/>
          <w:color w:val="000000"/>
          <w:spacing w:val="-2"/>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g</w:t>
      </w:r>
      <w:r w:rsidRPr="00AA552A">
        <w:rPr>
          <w:rFonts w:cs="Cambria"/>
          <w:color w:val="000000"/>
        </w:rPr>
        <w:t>o</w:t>
      </w:r>
      <w:r w:rsidRPr="00AA552A">
        <w:rPr>
          <w:rFonts w:cs="Cambria"/>
          <w:color w:val="000000"/>
          <w:spacing w:val="2"/>
        </w:rPr>
        <w:t>l</w:t>
      </w:r>
      <w:r w:rsidRPr="00AA552A">
        <w:rPr>
          <w:rFonts w:cs="Cambria"/>
          <w:color w:val="000000"/>
          <w:spacing w:val="-1"/>
        </w:rPr>
        <w:t>d</w:t>
      </w:r>
      <w:r w:rsidRPr="00AA552A">
        <w:rPr>
          <w:rFonts w:cs="Cambria"/>
          <w:color w:val="000000"/>
          <w:spacing w:val="1"/>
        </w:rPr>
        <w:t>e</w:t>
      </w:r>
      <w:r w:rsidRPr="00AA552A">
        <w:rPr>
          <w:rFonts w:cs="Cambria"/>
          <w:color w:val="000000"/>
        </w:rPr>
        <w:t>n</w:t>
      </w:r>
      <w:r w:rsidRPr="00AA552A">
        <w:rPr>
          <w:rFonts w:cs="Cambria"/>
          <w:color w:val="000000"/>
          <w:spacing w:val="-4"/>
        </w:rPr>
        <w:t xml:space="preserve"> </w:t>
      </w:r>
      <w:r w:rsidRPr="00AA552A">
        <w:rPr>
          <w:rFonts w:cs="Cambria"/>
          <w:color w:val="000000"/>
        </w:rPr>
        <w:t>t</w:t>
      </w:r>
      <w:r w:rsidRPr="00AA552A">
        <w:rPr>
          <w:rFonts w:cs="Cambria"/>
          <w:color w:val="000000"/>
          <w:spacing w:val="1"/>
        </w:rPr>
        <w:t>i</w:t>
      </w:r>
      <w:r w:rsidRPr="00AA552A">
        <w:rPr>
          <w:rFonts w:cs="Cambria"/>
          <w:color w:val="000000"/>
        </w:rPr>
        <w:t>l</w:t>
      </w:r>
      <w:r w:rsidRPr="00AA552A">
        <w:rPr>
          <w:rFonts w:cs="Cambria"/>
          <w:color w:val="000000"/>
          <w:spacing w:val="1"/>
        </w:rPr>
        <w:t>e</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6"/>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b</w:t>
      </w:r>
      <w:r w:rsidRPr="00AA552A">
        <w:rPr>
          <w:rFonts w:cs="Cambria"/>
          <w:color w:val="000000"/>
        </w:rPr>
        <w:t>l</w:t>
      </w:r>
      <w:r w:rsidRPr="00AA552A">
        <w:rPr>
          <w:rFonts w:cs="Cambria"/>
          <w:color w:val="000000"/>
          <w:spacing w:val="-1"/>
        </w:rPr>
        <w:t>u</w:t>
      </w:r>
      <w:r w:rsidRPr="00AA552A">
        <w:rPr>
          <w:rFonts w:cs="Cambria"/>
          <w:color w:val="000000"/>
          <w:spacing w:val="1"/>
        </w:rPr>
        <w:t>e</w:t>
      </w:r>
      <w:r w:rsidRPr="00AA552A">
        <w:rPr>
          <w:rFonts w:cs="Cambria"/>
          <w:color w:val="000000"/>
        </w:rPr>
        <w:t>l</w:t>
      </w:r>
      <w:r w:rsidRPr="00AA552A">
        <w:rPr>
          <w:rFonts w:cs="Cambria"/>
          <w:color w:val="000000"/>
          <w:spacing w:val="1"/>
        </w:rPr>
        <w:t>i</w:t>
      </w:r>
      <w:r w:rsidRPr="00AA552A">
        <w:rPr>
          <w:rFonts w:cs="Cambria"/>
          <w:color w:val="000000"/>
        </w:rPr>
        <w:t>ne</w:t>
      </w:r>
      <w:r w:rsidRPr="00AA552A">
        <w:rPr>
          <w:rFonts w:cs="Cambria"/>
          <w:color w:val="000000"/>
          <w:spacing w:val="-2"/>
        </w:rPr>
        <w:t xml:space="preserve"> </w:t>
      </w:r>
      <w:r w:rsidRPr="00AA552A">
        <w:rPr>
          <w:rFonts w:cs="Cambria"/>
          <w:color w:val="000000"/>
        </w:rPr>
        <w:t>t</w:t>
      </w:r>
      <w:r w:rsidRPr="00AA552A">
        <w:rPr>
          <w:rFonts w:cs="Cambria"/>
          <w:color w:val="000000"/>
          <w:spacing w:val="1"/>
        </w:rPr>
        <w:t>i</w:t>
      </w:r>
      <w:r w:rsidRPr="00AA552A">
        <w:rPr>
          <w:rFonts w:cs="Cambria"/>
          <w:color w:val="000000"/>
        </w:rPr>
        <w:t>l</w:t>
      </w:r>
      <w:r w:rsidRPr="00AA552A">
        <w:rPr>
          <w:rFonts w:cs="Cambria"/>
          <w:color w:val="000000"/>
          <w:spacing w:val="1"/>
        </w:rPr>
        <w:t>e</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6"/>
        </w:rPr>
        <w:t xml:space="preserve"> </w:t>
      </w:r>
      <w:r w:rsidRPr="00AA552A">
        <w:rPr>
          <w:rFonts w:cs="Cambria"/>
          <w:color w:val="000000"/>
        </w:rPr>
        <w:t>ha</w:t>
      </w:r>
      <w:r w:rsidRPr="00AA552A">
        <w:rPr>
          <w:rFonts w:cs="Cambria"/>
          <w:color w:val="000000"/>
          <w:spacing w:val="1"/>
        </w:rPr>
        <w:t>b</w:t>
      </w:r>
      <w:r w:rsidRPr="00AA552A">
        <w:rPr>
          <w:rFonts w:cs="Cambria"/>
          <w:color w:val="000000"/>
          <w:spacing w:val="-2"/>
        </w:rPr>
        <w:t>i</w:t>
      </w:r>
      <w:r w:rsidRPr="00AA552A">
        <w:rPr>
          <w:rFonts w:cs="Cambria"/>
          <w:color w:val="000000"/>
        </w:rPr>
        <w:t>tat</w:t>
      </w:r>
      <w:r w:rsidRPr="00AA552A">
        <w:rPr>
          <w:rFonts w:cs="Cambria"/>
          <w:color w:val="000000"/>
          <w:spacing w:val="-2"/>
        </w:rPr>
        <w:t xml:space="preserve"> </w:t>
      </w:r>
      <w:r>
        <w:rPr>
          <w:rFonts w:cs="Cambria"/>
          <w:color w:val="000000"/>
        </w:rPr>
        <w:t xml:space="preserve">as </w:t>
      </w:r>
      <w:r w:rsidRPr="00AA552A">
        <w:rPr>
          <w:rFonts w:cs="Cambria"/>
          <w:color w:val="000000"/>
          <w:spacing w:val="1"/>
        </w:rPr>
        <w:t>EFH</w:t>
      </w:r>
      <w:r w:rsidRPr="00AA552A">
        <w:rPr>
          <w:rFonts w:cs="Cambria"/>
          <w:color w:val="000000"/>
        </w:rPr>
        <w:t>-</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s</w:t>
      </w:r>
      <w:r w:rsidRPr="00AA552A">
        <w:rPr>
          <w:rFonts w:cs="Cambria"/>
          <w:color w:val="000000"/>
          <w:spacing w:val="-8"/>
        </w:rPr>
        <w:t xml:space="preserve"> </w:t>
      </w:r>
      <w:r w:rsidRPr="00AA552A">
        <w:rPr>
          <w:rFonts w:cs="Cambria"/>
          <w:color w:val="000000"/>
        </w:rPr>
        <w:t>un</w:t>
      </w:r>
      <w:r w:rsidRPr="00AA552A">
        <w:rPr>
          <w:rFonts w:cs="Cambria"/>
          <w:color w:val="000000"/>
          <w:spacing w:val="-1"/>
        </w:rPr>
        <w:t>d</w:t>
      </w:r>
      <w:r w:rsidRPr="00AA552A">
        <w:rPr>
          <w:rFonts w:cs="Cambria"/>
          <w:color w:val="000000"/>
          <w:spacing w:val="1"/>
        </w:rPr>
        <w:t>e</w:t>
      </w:r>
      <w:r w:rsidRPr="00AA552A">
        <w:rPr>
          <w:rFonts w:cs="Cambria"/>
          <w:color w:val="000000"/>
        </w:rPr>
        <w:t>r</w:t>
      </w:r>
      <w:r w:rsidRPr="00AA552A">
        <w:rPr>
          <w:rFonts w:cs="Cambria"/>
          <w:color w:val="000000"/>
          <w:spacing w:val="-4"/>
        </w:rPr>
        <w:t xml:space="preserve"> </w:t>
      </w:r>
      <w:r w:rsidRPr="00AA552A">
        <w:rPr>
          <w:rFonts w:cs="Cambria"/>
          <w:color w:val="000000"/>
        </w:rPr>
        <w:t>the</w:t>
      </w:r>
      <w:r w:rsidRPr="00AA552A">
        <w:rPr>
          <w:rFonts w:cs="Cambria"/>
          <w:color w:val="000000"/>
          <w:spacing w:val="-1"/>
        </w:rPr>
        <w:t xml:space="preserve"> S</w:t>
      </w:r>
      <w:r w:rsidRPr="00AA552A">
        <w:rPr>
          <w:rFonts w:cs="Cambria"/>
          <w:color w:val="000000"/>
        </w:rPr>
        <w:t>na</w:t>
      </w:r>
      <w:r w:rsidRPr="00AA552A">
        <w:rPr>
          <w:rFonts w:cs="Cambria"/>
          <w:color w:val="000000"/>
          <w:spacing w:val="1"/>
        </w:rPr>
        <w:t>ppe</w:t>
      </w:r>
      <w:r w:rsidRPr="00AA552A">
        <w:rPr>
          <w:rFonts w:cs="Cambria"/>
          <w:color w:val="000000"/>
        </w:rPr>
        <w:t>r</w:t>
      </w:r>
      <w:r w:rsidRPr="00AA552A">
        <w:rPr>
          <w:rFonts w:cs="Cambria"/>
          <w:color w:val="000000"/>
          <w:spacing w:val="-3"/>
        </w:rPr>
        <w:t xml:space="preserve"> </w:t>
      </w:r>
      <w:r w:rsidRPr="00AA552A">
        <w:rPr>
          <w:rFonts w:cs="Cambria"/>
          <w:color w:val="000000"/>
        </w:rPr>
        <w:t>G</w:t>
      </w:r>
      <w:r w:rsidRPr="00AA552A">
        <w:rPr>
          <w:rFonts w:cs="Cambria"/>
          <w:color w:val="000000"/>
          <w:spacing w:val="-1"/>
        </w:rPr>
        <w:t>r</w:t>
      </w:r>
      <w:r w:rsidRPr="00AA552A">
        <w:rPr>
          <w:rFonts w:cs="Cambria"/>
          <w:color w:val="000000"/>
        </w:rPr>
        <w:t>o</w:t>
      </w:r>
      <w:r w:rsidRPr="00AA552A">
        <w:rPr>
          <w:rFonts w:cs="Cambria"/>
          <w:color w:val="000000"/>
          <w:spacing w:val="-1"/>
        </w:rPr>
        <w:t>u</w:t>
      </w:r>
      <w:r w:rsidRPr="00AA552A">
        <w:rPr>
          <w:rFonts w:cs="Cambria"/>
          <w:color w:val="000000"/>
          <w:spacing w:val="1"/>
        </w:rPr>
        <w:t>pe</w:t>
      </w:r>
      <w:r w:rsidRPr="00AA552A">
        <w:rPr>
          <w:rFonts w:cs="Cambria"/>
          <w:color w:val="000000"/>
        </w:rPr>
        <w:t>r</w:t>
      </w:r>
      <w:r w:rsidRPr="00AA552A">
        <w:rPr>
          <w:rFonts w:cs="Cambria"/>
          <w:color w:val="000000"/>
          <w:spacing w:val="-7"/>
        </w:rPr>
        <w:t xml:space="preserve"> </w:t>
      </w:r>
      <w:r w:rsidRPr="00AA552A">
        <w:rPr>
          <w:rFonts w:cs="Cambria"/>
          <w:color w:val="000000"/>
          <w:spacing w:val="1"/>
        </w:rPr>
        <w:t>FM</w:t>
      </w:r>
      <w:r w:rsidRPr="00AA552A">
        <w:rPr>
          <w:rFonts w:cs="Cambria"/>
          <w:color w:val="000000"/>
        </w:rPr>
        <w:t>P</w:t>
      </w:r>
      <w:r w:rsidRPr="00AA552A">
        <w:rPr>
          <w:rFonts w:cs="Cambria"/>
          <w:color w:val="000000"/>
          <w:spacing w:val="-5"/>
        </w:rPr>
        <w:t xml:space="preserve"> </w:t>
      </w:r>
      <w:r w:rsidRPr="00AA552A">
        <w:rPr>
          <w:rFonts w:cs="Cambria"/>
          <w:color w:val="000000"/>
        </w:rPr>
        <w:t>as</w:t>
      </w:r>
      <w:r w:rsidRPr="00AA552A">
        <w:rPr>
          <w:rFonts w:cs="Cambria"/>
          <w:color w:val="000000"/>
          <w:spacing w:val="-3"/>
        </w:rPr>
        <w:t xml:space="preserve"> </w:t>
      </w:r>
      <w:r w:rsidRPr="00AA552A">
        <w:rPr>
          <w:rFonts w:cs="Cambria"/>
          <w:color w:val="000000"/>
          <w:spacing w:val="-1"/>
        </w:rPr>
        <w:t>f</w:t>
      </w:r>
      <w:r w:rsidRPr="00AA552A">
        <w:rPr>
          <w:rFonts w:cs="Cambria"/>
          <w:color w:val="000000"/>
        </w:rPr>
        <w:t>ollo</w:t>
      </w:r>
      <w:r w:rsidRPr="00AA552A">
        <w:rPr>
          <w:rFonts w:cs="Cambria"/>
          <w:color w:val="000000"/>
          <w:spacing w:val="-1"/>
        </w:rPr>
        <w:t>w</w:t>
      </w:r>
      <w:r w:rsidRPr="00AA552A">
        <w:rPr>
          <w:rFonts w:cs="Cambria"/>
          <w:color w:val="000000"/>
          <w:spacing w:val="2"/>
        </w:rPr>
        <w:t>s</w:t>
      </w:r>
      <w:r w:rsidRPr="00AA552A">
        <w:rPr>
          <w:rFonts w:cs="Cambria"/>
          <w:color w:val="000000"/>
        </w:rPr>
        <w:t>:</w:t>
      </w:r>
    </w:p>
    <w:p w14:paraId="639FC264" w14:textId="77777777" w:rsidR="00DC4922" w:rsidRPr="00AA552A" w:rsidRDefault="00DC4922" w:rsidP="00DC4922">
      <w:pPr>
        <w:rPr>
          <w:rFonts w:cs="Cambria"/>
          <w:color w:val="000000"/>
          <w:sz w:val="28"/>
        </w:rPr>
      </w:pPr>
    </w:p>
    <w:p w14:paraId="02F15CFC" w14:textId="77777777" w:rsidR="00DC4922" w:rsidRPr="00AA552A" w:rsidRDefault="00DC4922" w:rsidP="00640526">
      <w:pPr>
        <w:ind w:firstLine="360"/>
        <w:rPr>
          <w:rFonts w:cs="Cambria"/>
          <w:color w:val="000000"/>
        </w:rPr>
      </w:pPr>
      <w:r w:rsidRPr="00AA552A">
        <w:rPr>
          <w:rFonts w:cs="Cambria"/>
          <w:color w:val="000000"/>
          <w:spacing w:val="1"/>
        </w:rPr>
        <w:t>EFH</w:t>
      </w:r>
      <w:r w:rsidRPr="00AA552A">
        <w:rPr>
          <w:rFonts w:cs="Cambria"/>
          <w:color w:val="000000"/>
        </w:rPr>
        <w:t>-</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s</w:t>
      </w:r>
      <w:r w:rsidRPr="00AA552A">
        <w:rPr>
          <w:rFonts w:cs="Cambria"/>
          <w:color w:val="000000"/>
          <w:spacing w:val="-8"/>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spacing w:val="-1"/>
        </w:rPr>
        <w:t>g</w:t>
      </w:r>
      <w:r w:rsidRPr="00AA552A">
        <w:rPr>
          <w:rFonts w:cs="Cambria"/>
          <w:color w:val="000000"/>
        </w:rPr>
        <w:t>ol</w:t>
      </w:r>
      <w:r w:rsidRPr="00AA552A">
        <w:rPr>
          <w:rFonts w:cs="Cambria"/>
          <w:color w:val="000000"/>
          <w:spacing w:val="-1"/>
        </w:rPr>
        <w:t>d</w:t>
      </w:r>
      <w:r w:rsidRPr="00AA552A">
        <w:rPr>
          <w:rFonts w:cs="Cambria"/>
          <w:color w:val="000000"/>
          <w:spacing w:val="1"/>
        </w:rPr>
        <w:t>e</w:t>
      </w:r>
      <w:r w:rsidRPr="00AA552A">
        <w:rPr>
          <w:rFonts w:cs="Cambria"/>
          <w:color w:val="000000"/>
        </w:rPr>
        <w:t>n</w:t>
      </w:r>
      <w:r w:rsidRPr="00AA552A">
        <w:rPr>
          <w:rFonts w:cs="Cambria"/>
          <w:color w:val="000000"/>
          <w:spacing w:val="-4"/>
        </w:rPr>
        <w:t xml:space="preserve"> </w:t>
      </w:r>
      <w:r w:rsidRPr="00AA552A">
        <w:rPr>
          <w:rFonts w:cs="Cambria"/>
          <w:color w:val="000000"/>
        </w:rPr>
        <w:t>t</w:t>
      </w:r>
      <w:r w:rsidRPr="00AA552A">
        <w:rPr>
          <w:rFonts w:cs="Cambria"/>
          <w:color w:val="000000"/>
          <w:spacing w:val="1"/>
        </w:rPr>
        <w:t>i</w:t>
      </w:r>
      <w:r w:rsidRPr="00AA552A">
        <w:rPr>
          <w:rFonts w:cs="Cambria"/>
          <w:color w:val="000000"/>
        </w:rPr>
        <w:t>l</w:t>
      </w:r>
      <w:r w:rsidRPr="00AA552A">
        <w:rPr>
          <w:rFonts w:cs="Cambria"/>
          <w:color w:val="000000"/>
          <w:spacing w:val="1"/>
        </w:rPr>
        <w:t>e</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6"/>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spacing w:val="1"/>
        </w:rPr>
        <w:t>i</w:t>
      </w:r>
      <w:r w:rsidRPr="00AA552A">
        <w:rPr>
          <w:rFonts w:cs="Cambria"/>
          <w:color w:val="000000"/>
        </w:rPr>
        <w:t>ncl</w:t>
      </w:r>
      <w:r w:rsidRPr="00AA552A">
        <w:rPr>
          <w:rFonts w:cs="Cambria"/>
          <w:color w:val="000000"/>
          <w:spacing w:val="-1"/>
        </w:rPr>
        <w:t>ud</w:t>
      </w:r>
      <w:r w:rsidRPr="00AA552A">
        <w:rPr>
          <w:rFonts w:cs="Cambria"/>
          <w:color w:val="000000"/>
        </w:rPr>
        <w:t>e</w:t>
      </w:r>
      <w:r w:rsidRPr="00AA552A">
        <w:rPr>
          <w:rFonts w:cs="Cambria"/>
          <w:color w:val="000000"/>
          <w:spacing w:val="-3"/>
        </w:rPr>
        <w:t xml:space="preserve"> </w:t>
      </w:r>
      <w:r w:rsidRPr="00AA552A">
        <w:rPr>
          <w:rFonts w:cs="Cambria"/>
          <w:color w:val="000000"/>
          <w:spacing w:val="1"/>
        </w:rPr>
        <w:t>i</w:t>
      </w:r>
      <w:r w:rsidRPr="00AA552A">
        <w:rPr>
          <w:rFonts w:cs="Cambria"/>
          <w:color w:val="000000"/>
          <w:spacing w:val="-1"/>
        </w:rPr>
        <w:t>rr</w:t>
      </w:r>
      <w:r w:rsidRPr="00AA552A">
        <w:rPr>
          <w:rFonts w:cs="Cambria"/>
          <w:color w:val="000000"/>
          <w:spacing w:val="1"/>
        </w:rPr>
        <w:t>e</w:t>
      </w:r>
      <w:r w:rsidRPr="00AA552A">
        <w:rPr>
          <w:rFonts w:cs="Cambria"/>
          <w:color w:val="000000"/>
          <w:spacing w:val="-1"/>
        </w:rPr>
        <w:t>gu</w:t>
      </w:r>
      <w:r w:rsidRPr="00AA552A">
        <w:rPr>
          <w:rFonts w:cs="Cambria"/>
          <w:color w:val="000000"/>
          <w:spacing w:val="2"/>
        </w:rPr>
        <w:t>l</w:t>
      </w:r>
      <w:r w:rsidRPr="00AA552A">
        <w:rPr>
          <w:rFonts w:cs="Cambria"/>
          <w:color w:val="000000"/>
        </w:rPr>
        <w:t>ar</w:t>
      </w:r>
      <w:r w:rsidRPr="00AA552A">
        <w:rPr>
          <w:rFonts w:cs="Cambria"/>
          <w:color w:val="000000"/>
          <w:spacing w:val="-6"/>
        </w:rPr>
        <w:t xml:space="preserve"> </w:t>
      </w:r>
      <w:r w:rsidRPr="00AA552A">
        <w:rPr>
          <w:rFonts w:cs="Cambria"/>
          <w:color w:val="000000"/>
          <w:spacing w:val="1"/>
        </w:rPr>
        <w:t>b</w:t>
      </w:r>
      <w:r w:rsidRPr="00AA552A">
        <w:rPr>
          <w:rFonts w:cs="Cambria"/>
          <w:color w:val="000000"/>
        </w:rPr>
        <w:t>ottom</w:t>
      </w:r>
      <w:r w:rsidRPr="00AA552A">
        <w:rPr>
          <w:rFonts w:cs="Cambria"/>
          <w:color w:val="000000"/>
          <w:spacing w:val="-3"/>
        </w:rPr>
        <w:t xml:space="preserve"> </w:t>
      </w:r>
      <w:r w:rsidRPr="00AA552A">
        <w:rPr>
          <w:rFonts w:cs="Cambria"/>
          <w:color w:val="000000"/>
        </w:rPr>
        <w:t>com</w:t>
      </w:r>
      <w:r w:rsidRPr="00AA552A">
        <w:rPr>
          <w:rFonts w:cs="Cambria"/>
          <w:color w:val="000000"/>
          <w:spacing w:val="1"/>
        </w:rPr>
        <w:t>p</w:t>
      </w:r>
      <w:r w:rsidRPr="00AA552A">
        <w:rPr>
          <w:rFonts w:cs="Cambria"/>
          <w:color w:val="000000"/>
          <w:spacing w:val="-1"/>
        </w:rPr>
        <w:t>r</w:t>
      </w:r>
      <w:r w:rsidRPr="00AA552A">
        <w:rPr>
          <w:rFonts w:cs="Cambria"/>
          <w:color w:val="000000"/>
          <w:spacing w:val="1"/>
        </w:rPr>
        <w:t>i</w:t>
      </w:r>
      <w:r w:rsidRPr="00AA552A">
        <w:rPr>
          <w:rFonts w:cs="Cambria"/>
          <w:color w:val="000000"/>
        </w:rPr>
        <w:t>s</w:t>
      </w:r>
      <w:r w:rsidRPr="00AA552A">
        <w:rPr>
          <w:rFonts w:cs="Cambria"/>
          <w:color w:val="000000"/>
          <w:spacing w:val="1"/>
        </w:rPr>
        <w:t>e</w:t>
      </w:r>
      <w:r w:rsidRPr="00AA552A">
        <w:rPr>
          <w:rFonts w:cs="Cambria"/>
          <w:color w:val="000000"/>
        </w:rPr>
        <w:t>d</w:t>
      </w:r>
      <w:r w:rsidRPr="00AA552A">
        <w:rPr>
          <w:rFonts w:cs="Cambria"/>
          <w:color w:val="000000"/>
          <w:spacing w:val="-9"/>
        </w:rPr>
        <w:t xml:space="preserve"> </w:t>
      </w:r>
      <w:r w:rsidRPr="00AA552A">
        <w:rPr>
          <w:rFonts w:cs="Cambria"/>
          <w:color w:val="000000"/>
        </w:rPr>
        <w:t>of t</w:t>
      </w:r>
      <w:r w:rsidRPr="00AA552A">
        <w:rPr>
          <w:rFonts w:cs="Cambria"/>
          <w:color w:val="000000"/>
          <w:spacing w:val="-1"/>
        </w:rPr>
        <w:t>r</w:t>
      </w:r>
      <w:r w:rsidRPr="00AA552A">
        <w:rPr>
          <w:rFonts w:cs="Cambria"/>
          <w:color w:val="000000"/>
        </w:rPr>
        <w:t>o</w:t>
      </w:r>
      <w:r w:rsidRPr="00AA552A">
        <w:rPr>
          <w:rFonts w:cs="Cambria"/>
          <w:color w:val="000000"/>
          <w:spacing w:val="-1"/>
        </w:rPr>
        <w:t>ug</w:t>
      </w:r>
      <w:r w:rsidRPr="00AA552A">
        <w:rPr>
          <w:rFonts w:cs="Cambria"/>
          <w:color w:val="000000"/>
        </w:rPr>
        <w:t>hs</w:t>
      </w:r>
      <w:r w:rsidRPr="00AA552A">
        <w:rPr>
          <w:rFonts w:cs="Cambria"/>
          <w:color w:val="000000"/>
          <w:spacing w:val="-5"/>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t</w:t>
      </w:r>
      <w:r w:rsidRPr="00AA552A">
        <w:rPr>
          <w:rFonts w:cs="Cambria"/>
          <w:color w:val="000000"/>
          <w:spacing w:val="1"/>
        </w:rPr>
        <w:t>e</w:t>
      </w:r>
      <w:r w:rsidRPr="00AA552A">
        <w:rPr>
          <w:rFonts w:cs="Cambria"/>
          <w:color w:val="000000"/>
          <w:spacing w:val="2"/>
        </w:rPr>
        <w:t>r</w:t>
      </w:r>
      <w:r w:rsidRPr="00AA552A">
        <w:rPr>
          <w:rFonts w:cs="Cambria"/>
          <w:color w:val="000000"/>
          <w:spacing w:val="-1"/>
        </w:rPr>
        <w:t>r</w:t>
      </w:r>
      <w:r w:rsidRPr="00AA552A">
        <w:rPr>
          <w:rFonts w:cs="Cambria"/>
          <w:color w:val="000000"/>
        </w:rPr>
        <w:t>ac</w:t>
      </w:r>
      <w:r w:rsidRPr="00AA552A">
        <w:rPr>
          <w:rFonts w:cs="Cambria"/>
          <w:color w:val="000000"/>
          <w:spacing w:val="1"/>
        </w:rPr>
        <w:t>e</w:t>
      </w:r>
      <w:r w:rsidRPr="00AA552A">
        <w:rPr>
          <w:rFonts w:cs="Cambria"/>
          <w:color w:val="000000"/>
        </w:rPr>
        <w:t xml:space="preserve">s </w:t>
      </w:r>
      <w:r w:rsidRPr="00AA552A">
        <w:rPr>
          <w:rFonts w:cs="Cambria"/>
          <w:color w:val="000000"/>
          <w:spacing w:val="1"/>
        </w:rPr>
        <w:t>i</w:t>
      </w:r>
      <w:r w:rsidRPr="00AA552A">
        <w:rPr>
          <w:rFonts w:cs="Cambria"/>
          <w:color w:val="000000"/>
        </w:rPr>
        <w:t>nt</w:t>
      </w:r>
      <w:r w:rsidRPr="00AA552A">
        <w:rPr>
          <w:rFonts w:cs="Cambria"/>
          <w:color w:val="000000"/>
          <w:spacing w:val="1"/>
        </w:rPr>
        <w:t>e</w:t>
      </w:r>
      <w:r w:rsidRPr="00AA552A">
        <w:rPr>
          <w:rFonts w:cs="Cambria"/>
          <w:color w:val="000000"/>
          <w:spacing w:val="-1"/>
        </w:rPr>
        <w:t>r</w:t>
      </w:r>
      <w:r w:rsidRPr="00AA552A">
        <w:rPr>
          <w:rFonts w:cs="Cambria"/>
          <w:color w:val="000000"/>
        </w:rPr>
        <w:t>-m</w:t>
      </w:r>
      <w:r w:rsidRPr="00AA552A">
        <w:rPr>
          <w:rFonts w:cs="Cambria"/>
          <w:color w:val="000000"/>
          <w:spacing w:val="1"/>
        </w:rPr>
        <w:t>i</w:t>
      </w:r>
      <w:r w:rsidRPr="00AA552A">
        <w:rPr>
          <w:rFonts w:cs="Cambria"/>
          <w:color w:val="000000"/>
        </w:rPr>
        <w:t>n</w:t>
      </w:r>
      <w:r w:rsidRPr="00AA552A">
        <w:rPr>
          <w:rFonts w:cs="Cambria"/>
          <w:color w:val="000000"/>
          <w:spacing w:val="-1"/>
        </w:rPr>
        <w:t>g</w:t>
      </w:r>
      <w:r w:rsidRPr="00AA552A">
        <w:rPr>
          <w:rFonts w:cs="Cambria"/>
          <w:color w:val="000000"/>
        </w:rPr>
        <w:t>l</w:t>
      </w:r>
      <w:r w:rsidRPr="00AA552A">
        <w:rPr>
          <w:rFonts w:cs="Cambria"/>
          <w:color w:val="000000"/>
          <w:spacing w:val="1"/>
        </w:rPr>
        <w:t>e</w:t>
      </w:r>
      <w:r w:rsidRPr="00AA552A">
        <w:rPr>
          <w:rFonts w:cs="Cambria"/>
          <w:color w:val="000000"/>
        </w:rPr>
        <w:t>d</w:t>
      </w:r>
      <w:r w:rsidRPr="00AA552A">
        <w:rPr>
          <w:rFonts w:cs="Cambria"/>
          <w:color w:val="000000"/>
          <w:spacing w:val="-9"/>
        </w:rPr>
        <w:t xml:space="preserve"> </w:t>
      </w:r>
      <w:r w:rsidRPr="00AA552A">
        <w:rPr>
          <w:rFonts w:cs="Cambria"/>
          <w:color w:val="000000"/>
          <w:spacing w:val="-1"/>
        </w:rPr>
        <w:t>w</w:t>
      </w:r>
      <w:r w:rsidRPr="00AA552A">
        <w:rPr>
          <w:rFonts w:cs="Cambria"/>
          <w:color w:val="000000"/>
          <w:spacing w:val="1"/>
        </w:rPr>
        <w:t>i</w:t>
      </w:r>
      <w:r w:rsidRPr="00AA552A">
        <w:rPr>
          <w:rFonts w:cs="Cambria"/>
          <w:color w:val="000000"/>
        </w:rPr>
        <w:t>th</w:t>
      </w:r>
      <w:r w:rsidRPr="00AA552A">
        <w:rPr>
          <w:rFonts w:cs="Cambria"/>
          <w:color w:val="000000"/>
          <w:spacing w:val="-2"/>
        </w:rPr>
        <w:t xml:space="preserve"> </w:t>
      </w:r>
      <w:r w:rsidRPr="00AA552A">
        <w:rPr>
          <w:rFonts w:cs="Cambria"/>
          <w:color w:val="000000"/>
        </w:rPr>
        <w:t>san</w:t>
      </w:r>
      <w:r w:rsidRPr="00AA552A">
        <w:rPr>
          <w:rFonts w:cs="Cambria"/>
          <w:color w:val="000000"/>
          <w:spacing w:val="-1"/>
        </w:rPr>
        <w:t>d</w:t>
      </w:r>
      <w:r w:rsidRPr="00AA552A">
        <w:rPr>
          <w:rFonts w:cs="Cambria"/>
          <w:color w:val="000000"/>
        </w:rPr>
        <w:t>,</w:t>
      </w:r>
      <w:r w:rsidRPr="00AA552A">
        <w:rPr>
          <w:rFonts w:cs="Cambria"/>
          <w:color w:val="000000"/>
          <w:spacing w:val="-1"/>
        </w:rPr>
        <w:t xml:space="preserve"> </w:t>
      </w:r>
      <w:r w:rsidRPr="00AA552A">
        <w:rPr>
          <w:rFonts w:cs="Cambria"/>
          <w:color w:val="000000"/>
        </w:rPr>
        <w:t>mu</w:t>
      </w:r>
      <w:r w:rsidRPr="00AA552A">
        <w:rPr>
          <w:rFonts w:cs="Cambria"/>
          <w:color w:val="000000"/>
          <w:spacing w:val="-1"/>
        </w:rPr>
        <w:t>d</w:t>
      </w:r>
      <w:r w:rsidRPr="00AA552A">
        <w:rPr>
          <w:rFonts w:cs="Cambria"/>
          <w:color w:val="000000"/>
        </w:rPr>
        <w:t>,</w:t>
      </w:r>
      <w:r w:rsidRPr="00AA552A">
        <w:rPr>
          <w:rFonts w:cs="Cambria"/>
          <w:color w:val="000000"/>
          <w:spacing w:val="-4"/>
        </w:rPr>
        <w:t xml:space="preserve"> </w:t>
      </w:r>
      <w:r w:rsidRPr="00AA552A">
        <w:rPr>
          <w:rFonts w:cs="Cambria"/>
          <w:color w:val="000000"/>
        </w:rPr>
        <w:t>or</w:t>
      </w:r>
      <w:r w:rsidRPr="00AA552A">
        <w:rPr>
          <w:rFonts w:cs="Cambria"/>
          <w:color w:val="000000"/>
          <w:spacing w:val="-3"/>
        </w:rPr>
        <w:t xml:space="preserve"> </w:t>
      </w:r>
      <w:r w:rsidRPr="00AA552A">
        <w:rPr>
          <w:rFonts w:cs="Cambria"/>
          <w:color w:val="000000"/>
        </w:rPr>
        <w:t>sh</w:t>
      </w:r>
      <w:r w:rsidRPr="00AA552A">
        <w:rPr>
          <w:rFonts w:cs="Cambria"/>
          <w:color w:val="000000"/>
          <w:spacing w:val="1"/>
        </w:rPr>
        <w:t>e</w:t>
      </w:r>
      <w:r w:rsidRPr="00AA552A">
        <w:rPr>
          <w:rFonts w:cs="Cambria"/>
          <w:color w:val="000000"/>
        </w:rPr>
        <w:t>ll</w:t>
      </w:r>
      <w:r w:rsidRPr="00AA552A">
        <w:rPr>
          <w:rFonts w:cs="Cambria"/>
          <w:color w:val="000000"/>
          <w:spacing w:val="-4"/>
        </w:rPr>
        <w:t xml:space="preserve"> </w:t>
      </w:r>
      <w:r w:rsidRPr="00AA552A">
        <w:rPr>
          <w:rFonts w:cs="Cambria"/>
          <w:color w:val="000000"/>
        </w:rPr>
        <w:t>hash</w:t>
      </w:r>
      <w:r w:rsidRPr="00AA552A">
        <w:rPr>
          <w:rFonts w:cs="Cambria"/>
          <w:color w:val="000000"/>
          <w:spacing w:val="-2"/>
        </w:rPr>
        <w:t xml:space="preserve"> </w:t>
      </w:r>
      <w:r w:rsidRPr="00AA552A">
        <w:rPr>
          <w:rFonts w:cs="Cambria"/>
          <w:color w:val="000000"/>
          <w:spacing w:val="1"/>
        </w:rPr>
        <w:t>b</w:t>
      </w:r>
      <w:r w:rsidRPr="00AA552A">
        <w:rPr>
          <w:rFonts w:cs="Cambria"/>
          <w:color w:val="000000"/>
          <w:spacing w:val="2"/>
        </w:rPr>
        <w:t>o</w:t>
      </w:r>
      <w:r w:rsidRPr="00AA552A">
        <w:rPr>
          <w:rFonts w:cs="Cambria"/>
          <w:color w:val="000000"/>
        </w:rPr>
        <w:t>ttom.</w:t>
      </w:r>
      <w:r w:rsidRPr="00AA552A">
        <w:rPr>
          <w:rFonts w:cs="Cambria"/>
          <w:color w:val="000000"/>
          <w:spacing w:val="51"/>
        </w:rPr>
        <w:t xml:space="preserve"> </w:t>
      </w:r>
      <w:r w:rsidRPr="00AA552A">
        <w:rPr>
          <w:rFonts w:cs="Cambria"/>
          <w:color w:val="000000"/>
          <w:spacing w:val="1"/>
        </w:rPr>
        <w:t>M</w:t>
      </w:r>
      <w:r w:rsidRPr="00AA552A">
        <w:rPr>
          <w:rFonts w:cs="Cambria"/>
          <w:color w:val="000000"/>
        </w:rPr>
        <w:t>u</w:t>
      </w:r>
      <w:r w:rsidRPr="00AA552A">
        <w:rPr>
          <w:rFonts w:cs="Cambria"/>
          <w:color w:val="000000"/>
          <w:spacing w:val="-1"/>
        </w:rPr>
        <w:t>d</w:t>
      </w:r>
      <w:r w:rsidRPr="00AA552A">
        <w:rPr>
          <w:rFonts w:cs="Cambria"/>
          <w:color w:val="000000"/>
        </w:rPr>
        <w:t>-clay</w:t>
      </w:r>
      <w:r w:rsidRPr="00AA552A">
        <w:rPr>
          <w:rFonts w:cs="Cambria"/>
          <w:color w:val="000000"/>
          <w:spacing w:val="-6"/>
        </w:rPr>
        <w:t xml:space="preserve"> </w:t>
      </w:r>
      <w:r w:rsidRPr="00AA552A">
        <w:rPr>
          <w:rFonts w:cs="Cambria"/>
          <w:color w:val="000000"/>
          <w:spacing w:val="1"/>
        </w:rPr>
        <w:t>b</w:t>
      </w:r>
      <w:r w:rsidRPr="00AA552A">
        <w:rPr>
          <w:rFonts w:cs="Cambria"/>
          <w:color w:val="000000"/>
        </w:rPr>
        <w:t>ottoms</w:t>
      </w:r>
      <w:r w:rsidRPr="00AA552A">
        <w:rPr>
          <w:rFonts w:cs="Cambria"/>
          <w:color w:val="000000"/>
          <w:spacing w:val="-6"/>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d</w:t>
      </w:r>
      <w:r w:rsidRPr="00AA552A">
        <w:rPr>
          <w:rFonts w:cs="Cambria"/>
          <w:color w:val="000000"/>
          <w:spacing w:val="1"/>
        </w:rPr>
        <w:t>ep</w:t>
      </w:r>
      <w:r w:rsidRPr="00AA552A">
        <w:rPr>
          <w:rFonts w:cs="Cambria"/>
          <w:color w:val="000000"/>
        </w:rPr>
        <w:t>ths</w:t>
      </w:r>
      <w:r w:rsidRPr="00AA552A">
        <w:rPr>
          <w:rFonts w:cs="Cambria"/>
          <w:color w:val="000000"/>
          <w:spacing w:val="-5"/>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150</w:t>
      </w:r>
      <w:r w:rsidRPr="00AA552A">
        <w:rPr>
          <w:rFonts w:cs="Cambria"/>
          <w:color w:val="000000"/>
          <w:spacing w:val="2"/>
        </w:rPr>
        <w:t>-</w:t>
      </w:r>
      <w:r w:rsidRPr="00AA552A">
        <w:rPr>
          <w:rFonts w:cs="Cambria"/>
          <w:color w:val="000000"/>
          <w:spacing w:val="-1"/>
        </w:rPr>
        <w:t>30</w:t>
      </w:r>
      <w:r w:rsidRPr="00AA552A">
        <w:rPr>
          <w:rFonts w:cs="Cambria"/>
          <w:color w:val="000000"/>
        </w:rPr>
        <w:t>0 m</w:t>
      </w:r>
      <w:r w:rsidRPr="00AA552A">
        <w:rPr>
          <w:rFonts w:cs="Cambria"/>
          <w:color w:val="000000"/>
          <w:spacing w:val="1"/>
        </w:rPr>
        <w:t>e</w:t>
      </w:r>
      <w:r w:rsidRPr="00AA552A">
        <w:rPr>
          <w:rFonts w:cs="Cambria"/>
          <w:color w:val="000000"/>
        </w:rPr>
        <w:t>t</w:t>
      </w:r>
      <w:r w:rsidRPr="00AA552A">
        <w:rPr>
          <w:rFonts w:cs="Cambria"/>
          <w:color w:val="000000"/>
          <w:spacing w:val="1"/>
        </w:rPr>
        <w:t>e</w:t>
      </w:r>
      <w:r w:rsidRPr="00AA552A">
        <w:rPr>
          <w:rFonts w:cs="Cambria"/>
          <w:color w:val="000000"/>
          <w:spacing w:val="-1"/>
        </w:rPr>
        <w:t>r</w:t>
      </w:r>
      <w:r w:rsidRPr="00AA552A">
        <w:rPr>
          <w:rFonts w:cs="Cambria"/>
          <w:color w:val="000000"/>
        </w:rPr>
        <w:t>s</w:t>
      </w:r>
      <w:r w:rsidRPr="00AA552A">
        <w:rPr>
          <w:rFonts w:cs="Cambria"/>
          <w:color w:val="000000"/>
          <w:spacing w:val="-4"/>
        </w:rPr>
        <w:t xml:space="preserve"> </w:t>
      </w:r>
      <w:r w:rsidRPr="00AA552A">
        <w:rPr>
          <w:rFonts w:cs="Cambria"/>
          <w:color w:val="000000"/>
        </w:rPr>
        <w:t>a</w:t>
      </w:r>
      <w:r w:rsidRPr="00AA552A">
        <w:rPr>
          <w:rFonts w:cs="Cambria"/>
          <w:color w:val="000000"/>
          <w:spacing w:val="-1"/>
        </w:rPr>
        <w:t>r</w:t>
      </w:r>
      <w:r w:rsidRPr="00AA552A">
        <w:rPr>
          <w:rFonts w:cs="Cambria"/>
          <w:color w:val="000000"/>
        </w:rPr>
        <w:t>e</w:t>
      </w:r>
      <w:r w:rsidRPr="00AA552A">
        <w:rPr>
          <w:rFonts w:cs="Cambria"/>
          <w:color w:val="000000"/>
          <w:spacing w:val="-1"/>
        </w:rPr>
        <w:t xml:space="preserve"> </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w:t>
      </w:r>
      <w:r w:rsidRPr="00AA552A">
        <w:rPr>
          <w:rFonts w:cs="Cambria"/>
          <w:color w:val="000000"/>
          <w:spacing w:val="49"/>
        </w:rPr>
        <w:t xml:space="preserve"> </w:t>
      </w:r>
      <w:r w:rsidRPr="00AA552A">
        <w:rPr>
          <w:rFonts w:cs="Cambria"/>
          <w:color w:val="000000"/>
        </w:rPr>
        <w:t>Gol</w:t>
      </w:r>
      <w:r w:rsidRPr="00AA552A">
        <w:rPr>
          <w:rFonts w:cs="Cambria"/>
          <w:color w:val="000000"/>
          <w:spacing w:val="-1"/>
        </w:rPr>
        <w:t>d</w:t>
      </w:r>
      <w:r w:rsidRPr="00AA552A">
        <w:rPr>
          <w:rFonts w:cs="Cambria"/>
          <w:color w:val="000000"/>
          <w:spacing w:val="1"/>
        </w:rPr>
        <w:t>e</w:t>
      </w:r>
      <w:r w:rsidRPr="00AA552A">
        <w:rPr>
          <w:rFonts w:cs="Cambria"/>
          <w:color w:val="000000"/>
        </w:rPr>
        <w:t>n</w:t>
      </w:r>
      <w:r w:rsidRPr="00AA552A">
        <w:rPr>
          <w:rFonts w:cs="Cambria"/>
          <w:color w:val="000000"/>
          <w:spacing w:val="-5"/>
        </w:rPr>
        <w:t xml:space="preserve"> </w:t>
      </w:r>
      <w:r w:rsidRPr="00AA552A">
        <w:rPr>
          <w:rFonts w:cs="Cambria"/>
          <w:color w:val="000000"/>
        </w:rPr>
        <w:t>t</w:t>
      </w:r>
      <w:r w:rsidRPr="00AA552A">
        <w:rPr>
          <w:rFonts w:cs="Cambria"/>
          <w:color w:val="000000"/>
          <w:spacing w:val="1"/>
        </w:rPr>
        <w:t>i</w:t>
      </w:r>
      <w:r w:rsidRPr="00AA552A">
        <w:rPr>
          <w:rFonts w:cs="Cambria"/>
          <w:color w:val="000000"/>
        </w:rPr>
        <w:t>l</w:t>
      </w:r>
      <w:r w:rsidRPr="00AA552A">
        <w:rPr>
          <w:rFonts w:cs="Cambria"/>
          <w:color w:val="000000"/>
          <w:spacing w:val="1"/>
        </w:rPr>
        <w:t>e</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6"/>
        </w:rPr>
        <w:t xml:space="preserve"> </w:t>
      </w:r>
      <w:r w:rsidRPr="00AA552A">
        <w:rPr>
          <w:rFonts w:cs="Cambria"/>
          <w:color w:val="000000"/>
        </w:rPr>
        <w:t>a</w:t>
      </w:r>
      <w:r w:rsidRPr="00AA552A">
        <w:rPr>
          <w:rFonts w:cs="Cambria"/>
          <w:color w:val="000000"/>
          <w:spacing w:val="-1"/>
        </w:rPr>
        <w:t>r</w:t>
      </w:r>
      <w:r w:rsidRPr="00AA552A">
        <w:rPr>
          <w:rFonts w:cs="Cambria"/>
          <w:color w:val="000000"/>
        </w:rPr>
        <w:t>e</w:t>
      </w:r>
      <w:r w:rsidRPr="00AA552A">
        <w:rPr>
          <w:rFonts w:cs="Cambria"/>
          <w:color w:val="000000"/>
          <w:spacing w:val="-1"/>
        </w:rPr>
        <w:t xml:space="preserve"> g</w:t>
      </w:r>
      <w:r w:rsidRPr="00AA552A">
        <w:rPr>
          <w:rFonts w:cs="Cambria"/>
          <w:color w:val="000000"/>
          <w:spacing w:val="1"/>
        </w:rPr>
        <w:t>e</w:t>
      </w:r>
      <w:r w:rsidRPr="00AA552A">
        <w:rPr>
          <w:rFonts w:cs="Cambria"/>
          <w:color w:val="000000"/>
        </w:rPr>
        <w:t>n</w:t>
      </w:r>
      <w:r w:rsidRPr="00AA552A">
        <w:rPr>
          <w:rFonts w:cs="Cambria"/>
          <w:color w:val="000000"/>
          <w:spacing w:val="1"/>
        </w:rPr>
        <w:t>e</w:t>
      </w:r>
      <w:r w:rsidRPr="00AA552A">
        <w:rPr>
          <w:rFonts w:cs="Cambria"/>
          <w:color w:val="000000"/>
          <w:spacing w:val="-1"/>
        </w:rPr>
        <w:t>r</w:t>
      </w:r>
      <w:r w:rsidRPr="00AA552A">
        <w:rPr>
          <w:rFonts w:cs="Cambria"/>
          <w:color w:val="000000"/>
        </w:rPr>
        <w:t>ally</w:t>
      </w:r>
      <w:r w:rsidRPr="00AA552A">
        <w:rPr>
          <w:rFonts w:cs="Cambria"/>
          <w:color w:val="000000"/>
          <w:spacing w:val="-6"/>
        </w:rPr>
        <w:t xml:space="preserve"> </w:t>
      </w:r>
      <w:r w:rsidRPr="00AA552A">
        <w:rPr>
          <w:rFonts w:cs="Cambria"/>
          <w:color w:val="000000"/>
          <w:spacing w:val="-1"/>
        </w:rPr>
        <w:t>f</w:t>
      </w:r>
      <w:r w:rsidRPr="00AA552A">
        <w:rPr>
          <w:rFonts w:cs="Cambria"/>
          <w:color w:val="000000"/>
        </w:rPr>
        <w:t>ound</w:t>
      </w:r>
      <w:r w:rsidRPr="00AA552A">
        <w:rPr>
          <w:rFonts w:cs="Cambria"/>
          <w:color w:val="000000"/>
          <w:spacing w:val="-4"/>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80</w:t>
      </w:r>
      <w:r w:rsidRPr="00AA552A">
        <w:rPr>
          <w:rFonts w:cs="Cambria"/>
          <w:color w:val="000000"/>
          <w:spacing w:val="2"/>
        </w:rPr>
        <w:t>-</w:t>
      </w:r>
      <w:r w:rsidRPr="00AA552A">
        <w:rPr>
          <w:rFonts w:cs="Cambria"/>
          <w:color w:val="000000"/>
          <w:spacing w:val="-1"/>
        </w:rPr>
        <w:t>5</w:t>
      </w:r>
      <w:r w:rsidRPr="00AA552A">
        <w:rPr>
          <w:rFonts w:cs="Cambria"/>
          <w:color w:val="000000"/>
          <w:spacing w:val="2"/>
        </w:rPr>
        <w:t>4</w:t>
      </w:r>
      <w:r w:rsidRPr="00AA552A">
        <w:rPr>
          <w:rFonts w:cs="Cambria"/>
          <w:color w:val="000000"/>
        </w:rPr>
        <w:t>0</w:t>
      </w:r>
      <w:r w:rsidRPr="00AA552A">
        <w:rPr>
          <w:rFonts w:cs="Cambria"/>
          <w:color w:val="000000"/>
          <w:spacing w:val="-8"/>
        </w:rPr>
        <w:t xml:space="preserve"> </w:t>
      </w:r>
      <w:r w:rsidRPr="00AA552A">
        <w:rPr>
          <w:rFonts w:cs="Cambria"/>
          <w:color w:val="000000"/>
        </w:rPr>
        <w:t>m</w:t>
      </w:r>
      <w:r w:rsidRPr="00AA552A">
        <w:rPr>
          <w:rFonts w:cs="Cambria"/>
          <w:color w:val="000000"/>
          <w:spacing w:val="1"/>
        </w:rPr>
        <w:t>e</w:t>
      </w:r>
      <w:r w:rsidRPr="00AA552A">
        <w:rPr>
          <w:rFonts w:cs="Cambria"/>
          <w:color w:val="000000"/>
        </w:rPr>
        <w:t>t</w:t>
      </w:r>
      <w:r w:rsidRPr="00AA552A">
        <w:rPr>
          <w:rFonts w:cs="Cambria"/>
          <w:color w:val="000000"/>
          <w:spacing w:val="1"/>
        </w:rPr>
        <w:t>e</w:t>
      </w:r>
      <w:r w:rsidRPr="00AA552A">
        <w:rPr>
          <w:rFonts w:cs="Cambria"/>
          <w:color w:val="000000"/>
          <w:spacing w:val="-1"/>
        </w:rPr>
        <w:t>r</w:t>
      </w:r>
      <w:r w:rsidRPr="00AA552A">
        <w:rPr>
          <w:rFonts w:cs="Cambria"/>
          <w:color w:val="000000"/>
          <w:spacing w:val="2"/>
        </w:rPr>
        <w:t>s</w:t>
      </w:r>
      <w:r w:rsidRPr="00AA552A">
        <w:rPr>
          <w:rFonts w:cs="Cambria"/>
          <w:color w:val="000000"/>
        </w:rPr>
        <w:t>,</w:t>
      </w:r>
      <w:r w:rsidRPr="00AA552A">
        <w:rPr>
          <w:rFonts w:cs="Cambria"/>
          <w:color w:val="000000"/>
          <w:spacing w:val="-5"/>
        </w:rPr>
        <w:t xml:space="preserve"> </w:t>
      </w:r>
      <w:r w:rsidRPr="00AA552A">
        <w:rPr>
          <w:rFonts w:cs="Cambria"/>
          <w:color w:val="000000"/>
          <w:spacing w:val="1"/>
        </w:rPr>
        <w:t>b</w:t>
      </w:r>
      <w:r w:rsidRPr="00AA552A">
        <w:rPr>
          <w:rFonts w:cs="Cambria"/>
          <w:color w:val="000000"/>
        </w:rPr>
        <w:t>ut most</w:t>
      </w:r>
      <w:r w:rsidRPr="00AA552A">
        <w:rPr>
          <w:rFonts w:cs="Cambria"/>
          <w:color w:val="000000"/>
          <w:spacing w:val="-4"/>
        </w:rPr>
        <w:t xml:space="preserve"> </w:t>
      </w:r>
      <w:r w:rsidRPr="00AA552A">
        <w:rPr>
          <w:rFonts w:cs="Cambria"/>
          <w:color w:val="000000"/>
        </w:rPr>
        <w:t>commonly</w:t>
      </w:r>
      <w:r w:rsidRPr="00AA552A">
        <w:rPr>
          <w:rFonts w:cs="Cambria"/>
          <w:color w:val="000000"/>
          <w:spacing w:val="-10"/>
        </w:rPr>
        <w:t xml:space="preserve"> </w:t>
      </w:r>
      <w:r w:rsidRPr="00AA552A">
        <w:rPr>
          <w:rFonts w:cs="Cambria"/>
          <w:color w:val="000000"/>
          <w:spacing w:val="-1"/>
        </w:rPr>
        <w:t>f</w:t>
      </w:r>
      <w:r w:rsidRPr="00AA552A">
        <w:rPr>
          <w:rFonts w:cs="Cambria"/>
          <w:color w:val="000000"/>
          <w:spacing w:val="2"/>
        </w:rPr>
        <w:t>o</w:t>
      </w:r>
      <w:r w:rsidRPr="00AA552A">
        <w:rPr>
          <w:rFonts w:cs="Cambria"/>
          <w:color w:val="000000"/>
        </w:rPr>
        <w:t xml:space="preserve">und </w:t>
      </w:r>
      <w:r w:rsidRPr="00AA552A">
        <w:rPr>
          <w:rFonts w:cs="Cambria"/>
          <w:color w:val="000000"/>
          <w:spacing w:val="1"/>
        </w:rPr>
        <w:t>i</w:t>
      </w:r>
      <w:r w:rsidRPr="00AA552A">
        <w:rPr>
          <w:rFonts w:cs="Cambria"/>
          <w:color w:val="000000"/>
        </w:rPr>
        <w:t>n</w:t>
      </w:r>
      <w:r w:rsidRPr="00AA552A">
        <w:rPr>
          <w:rFonts w:cs="Cambria"/>
          <w:color w:val="000000"/>
          <w:spacing w:val="-1"/>
        </w:rPr>
        <w:t xml:space="preserve"> 200</w:t>
      </w:r>
      <w:r w:rsidRPr="00AA552A">
        <w:rPr>
          <w:rFonts w:cs="Cambria"/>
          <w:color w:val="000000"/>
        </w:rPr>
        <w:t>-m</w:t>
      </w:r>
      <w:r w:rsidRPr="00AA552A">
        <w:rPr>
          <w:rFonts w:cs="Cambria"/>
          <w:color w:val="000000"/>
          <w:spacing w:val="1"/>
        </w:rPr>
        <w:t>e</w:t>
      </w:r>
      <w:r w:rsidRPr="00AA552A">
        <w:rPr>
          <w:rFonts w:cs="Cambria"/>
          <w:color w:val="000000"/>
        </w:rPr>
        <w:t>t</w:t>
      </w:r>
      <w:r w:rsidRPr="00AA552A">
        <w:rPr>
          <w:rFonts w:cs="Cambria"/>
          <w:color w:val="000000"/>
          <w:spacing w:val="1"/>
        </w:rPr>
        <w:t>e</w:t>
      </w:r>
      <w:r w:rsidRPr="00AA552A">
        <w:rPr>
          <w:rFonts w:cs="Cambria"/>
          <w:color w:val="000000"/>
        </w:rPr>
        <w:t>r</w:t>
      </w:r>
      <w:r w:rsidRPr="00AA552A">
        <w:rPr>
          <w:rFonts w:cs="Cambria"/>
          <w:color w:val="000000"/>
          <w:spacing w:val="-8"/>
        </w:rPr>
        <w:t xml:space="preserve"> </w:t>
      </w:r>
      <w:r w:rsidRPr="00AA552A">
        <w:rPr>
          <w:rFonts w:cs="Cambria"/>
          <w:color w:val="000000"/>
          <w:spacing w:val="-1"/>
        </w:rPr>
        <w:t>d</w:t>
      </w:r>
      <w:r w:rsidRPr="00AA552A">
        <w:rPr>
          <w:rFonts w:cs="Cambria"/>
          <w:color w:val="000000"/>
          <w:spacing w:val="1"/>
        </w:rPr>
        <w:t>ep</w:t>
      </w:r>
      <w:r w:rsidRPr="00AA552A">
        <w:rPr>
          <w:rFonts w:cs="Cambria"/>
          <w:color w:val="000000"/>
        </w:rPr>
        <w:t>ths.</w:t>
      </w:r>
    </w:p>
    <w:p w14:paraId="0088DD2F" w14:textId="77777777" w:rsidR="00DC4922" w:rsidRPr="00AA552A" w:rsidRDefault="00DC4922" w:rsidP="00DC4922">
      <w:pPr>
        <w:rPr>
          <w:rFonts w:cs="Cambria"/>
          <w:color w:val="000000"/>
          <w:sz w:val="28"/>
        </w:rPr>
      </w:pPr>
    </w:p>
    <w:p w14:paraId="1D99F8F2" w14:textId="77777777" w:rsidR="00DC4922" w:rsidRPr="00AA552A" w:rsidRDefault="00DC4922" w:rsidP="00640526">
      <w:pPr>
        <w:ind w:firstLine="360"/>
        <w:rPr>
          <w:rFonts w:cs="Cambria"/>
          <w:color w:val="000000"/>
        </w:rPr>
      </w:pPr>
      <w:r w:rsidRPr="00AA552A">
        <w:rPr>
          <w:rFonts w:cs="Cambria"/>
          <w:color w:val="000000"/>
          <w:spacing w:val="1"/>
        </w:rPr>
        <w:t>EFH</w:t>
      </w:r>
      <w:r w:rsidRPr="00AA552A">
        <w:rPr>
          <w:rFonts w:cs="Cambria"/>
          <w:color w:val="000000"/>
        </w:rPr>
        <w:t>-</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rPr>
        <w:t>C</w:t>
      </w:r>
      <w:r w:rsidRPr="00AA552A">
        <w:rPr>
          <w:rFonts w:cs="Cambria"/>
          <w:color w:val="000000"/>
          <w:spacing w:val="-8"/>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spacing w:val="1"/>
        </w:rPr>
        <w:t>b</w:t>
      </w:r>
      <w:r w:rsidRPr="00AA552A">
        <w:rPr>
          <w:rFonts w:cs="Cambria"/>
          <w:color w:val="000000"/>
        </w:rPr>
        <w:t>l</w:t>
      </w:r>
      <w:r w:rsidRPr="00AA552A">
        <w:rPr>
          <w:rFonts w:cs="Cambria"/>
          <w:color w:val="000000"/>
          <w:spacing w:val="-1"/>
        </w:rPr>
        <w:t>u</w:t>
      </w:r>
      <w:r w:rsidRPr="00AA552A">
        <w:rPr>
          <w:rFonts w:cs="Cambria"/>
          <w:color w:val="000000"/>
          <w:spacing w:val="1"/>
        </w:rPr>
        <w:t>e</w:t>
      </w:r>
      <w:r w:rsidRPr="00AA552A">
        <w:rPr>
          <w:rFonts w:cs="Cambria"/>
          <w:color w:val="000000"/>
        </w:rPr>
        <w:t>l</w:t>
      </w:r>
      <w:r w:rsidRPr="00AA552A">
        <w:rPr>
          <w:rFonts w:cs="Cambria"/>
          <w:color w:val="000000"/>
          <w:spacing w:val="1"/>
        </w:rPr>
        <w:t>i</w:t>
      </w:r>
      <w:r w:rsidRPr="00AA552A">
        <w:rPr>
          <w:rFonts w:cs="Cambria"/>
          <w:color w:val="000000"/>
        </w:rPr>
        <w:t>ne</w:t>
      </w:r>
      <w:r w:rsidRPr="00AA552A">
        <w:rPr>
          <w:rFonts w:cs="Cambria"/>
          <w:color w:val="000000"/>
          <w:spacing w:val="-5"/>
        </w:rPr>
        <w:t xml:space="preserve"> </w:t>
      </w:r>
      <w:r w:rsidRPr="00AA552A">
        <w:rPr>
          <w:rFonts w:cs="Cambria"/>
          <w:color w:val="000000"/>
        </w:rPr>
        <w:t>t</w:t>
      </w:r>
      <w:r w:rsidRPr="00AA552A">
        <w:rPr>
          <w:rFonts w:cs="Cambria"/>
          <w:color w:val="000000"/>
          <w:spacing w:val="1"/>
        </w:rPr>
        <w:t>i</w:t>
      </w:r>
      <w:r w:rsidRPr="00AA552A">
        <w:rPr>
          <w:rFonts w:cs="Cambria"/>
          <w:color w:val="000000"/>
        </w:rPr>
        <w:t>l</w:t>
      </w:r>
      <w:r w:rsidRPr="00AA552A">
        <w:rPr>
          <w:rFonts w:cs="Cambria"/>
          <w:color w:val="000000"/>
          <w:spacing w:val="1"/>
        </w:rPr>
        <w:t>e</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6"/>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spacing w:val="1"/>
        </w:rPr>
        <w:t>i</w:t>
      </w:r>
      <w:r w:rsidRPr="00AA552A">
        <w:rPr>
          <w:rFonts w:cs="Cambria"/>
          <w:color w:val="000000"/>
        </w:rPr>
        <w:t>ncl</w:t>
      </w:r>
      <w:r w:rsidRPr="00AA552A">
        <w:rPr>
          <w:rFonts w:cs="Cambria"/>
          <w:color w:val="000000"/>
          <w:spacing w:val="-1"/>
        </w:rPr>
        <w:t>ud</w:t>
      </w:r>
      <w:r w:rsidRPr="00AA552A">
        <w:rPr>
          <w:rFonts w:cs="Cambria"/>
          <w:color w:val="000000"/>
        </w:rPr>
        <w:t>e</w:t>
      </w:r>
      <w:r w:rsidRPr="00AA552A">
        <w:rPr>
          <w:rFonts w:cs="Cambria"/>
          <w:color w:val="000000"/>
          <w:spacing w:val="-3"/>
        </w:rPr>
        <w:t xml:space="preserve"> </w:t>
      </w:r>
      <w:r w:rsidRPr="00AA552A">
        <w:rPr>
          <w:rFonts w:cs="Cambria"/>
          <w:color w:val="000000"/>
          <w:spacing w:val="1"/>
        </w:rPr>
        <w:t>i</w:t>
      </w:r>
      <w:r w:rsidRPr="00AA552A">
        <w:rPr>
          <w:rFonts w:cs="Cambria"/>
          <w:color w:val="000000"/>
          <w:spacing w:val="-1"/>
        </w:rPr>
        <w:t>rr</w:t>
      </w:r>
      <w:r w:rsidRPr="00AA552A">
        <w:rPr>
          <w:rFonts w:cs="Cambria"/>
          <w:color w:val="000000"/>
          <w:spacing w:val="1"/>
        </w:rPr>
        <w:t>eg</w:t>
      </w:r>
      <w:r w:rsidRPr="00AA552A">
        <w:rPr>
          <w:rFonts w:cs="Cambria"/>
          <w:color w:val="000000"/>
          <w:spacing w:val="-1"/>
        </w:rPr>
        <w:t>u</w:t>
      </w:r>
      <w:r w:rsidRPr="00AA552A">
        <w:rPr>
          <w:rFonts w:cs="Cambria"/>
          <w:color w:val="000000"/>
        </w:rPr>
        <w:t>lar</w:t>
      </w:r>
      <w:r w:rsidRPr="00AA552A">
        <w:rPr>
          <w:rFonts w:cs="Cambria"/>
          <w:color w:val="000000"/>
          <w:spacing w:val="-6"/>
        </w:rPr>
        <w:t xml:space="preserve"> </w:t>
      </w:r>
      <w:r w:rsidRPr="00AA552A">
        <w:rPr>
          <w:rFonts w:cs="Cambria"/>
          <w:color w:val="000000"/>
          <w:spacing w:val="1"/>
        </w:rPr>
        <w:t>b</w:t>
      </w:r>
      <w:r w:rsidRPr="00AA552A">
        <w:rPr>
          <w:rFonts w:cs="Cambria"/>
          <w:color w:val="000000"/>
        </w:rPr>
        <w:t>ottom</w:t>
      </w:r>
      <w:r w:rsidRPr="00AA552A">
        <w:rPr>
          <w:rFonts w:cs="Cambria"/>
          <w:color w:val="000000"/>
          <w:spacing w:val="-3"/>
        </w:rPr>
        <w:t xml:space="preserve"> </w:t>
      </w:r>
      <w:r w:rsidRPr="00AA552A">
        <w:rPr>
          <w:rFonts w:cs="Cambria"/>
          <w:color w:val="000000"/>
        </w:rPr>
        <w:t>ha</w:t>
      </w:r>
      <w:r w:rsidRPr="00AA552A">
        <w:rPr>
          <w:rFonts w:cs="Cambria"/>
          <w:color w:val="000000"/>
          <w:spacing w:val="1"/>
        </w:rPr>
        <w:t>bi</w:t>
      </w:r>
      <w:r w:rsidRPr="00AA552A">
        <w:rPr>
          <w:rFonts w:cs="Cambria"/>
          <w:color w:val="000000"/>
        </w:rPr>
        <w:t>tats</w:t>
      </w:r>
      <w:r w:rsidRPr="00AA552A">
        <w:rPr>
          <w:rFonts w:cs="Cambria"/>
          <w:color w:val="000000"/>
          <w:spacing w:val="-3"/>
        </w:rPr>
        <w:t xml:space="preserve"> </w:t>
      </w:r>
      <w:r w:rsidRPr="00AA552A">
        <w:rPr>
          <w:rFonts w:cs="Cambria"/>
          <w:color w:val="000000"/>
        </w:rPr>
        <w:t>a</w:t>
      </w:r>
      <w:r w:rsidRPr="00AA552A">
        <w:rPr>
          <w:rFonts w:cs="Cambria"/>
          <w:color w:val="000000"/>
          <w:spacing w:val="-3"/>
        </w:rPr>
        <w:t>l</w:t>
      </w:r>
      <w:r w:rsidRPr="00AA552A">
        <w:rPr>
          <w:rFonts w:cs="Cambria"/>
          <w:color w:val="000000"/>
        </w:rPr>
        <w:t>ong</w:t>
      </w:r>
      <w:r w:rsidRPr="00AA552A">
        <w:rPr>
          <w:rFonts w:cs="Cambria"/>
          <w:color w:val="000000"/>
          <w:spacing w:val="-2"/>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sh</w:t>
      </w:r>
      <w:r w:rsidRPr="00AA552A">
        <w:rPr>
          <w:rFonts w:cs="Cambria"/>
          <w:color w:val="000000"/>
          <w:spacing w:val="1"/>
        </w:rPr>
        <w:t>e</w:t>
      </w:r>
      <w:r w:rsidRPr="00AA552A">
        <w:rPr>
          <w:rFonts w:cs="Cambria"/>
          <w:color w:val="000000"/>
        </w:rPr>
        <w:t>lf</w:t>
      </w:r>
      <w:r w:rsidRPr="00AA552A">
        <w:rPr>
          <w:rFonts w:cs="Cambria"/>
          <w:color w:val="000000"/>
          <w:spacing w:val="-5"/>
        </w:rPr>
        <w:t xml:space="preserve"> </w:t>
      </w:r>
      <w:r w:rsidRPr="00AA552A">
        <w:rPr>
          <w:rFonts w:cs="Cambria"/>
          <w:color w:val="000000"/>
          <w:spacing w:val="1"/>
        </w:rPr>
        <w:t>e</w:t>
      </w:r>
      <w:r w:rsidRPr="00AA552A">
        <w:rPr>
          <w:rFonts w:cs="Cambria"/>
          <w:color w:val="000000"/>
          <w:spacing w:val="-1"/>
        </w:rPr>
        <w:t>dg</w:t>
      </w:r>
      <w:r w:rsidRPr="00AA552A">
        <w:rPr>
          <w:rFonts w:cs="Cambria"/>
          <w:color w:val="000000"/>
        </w:rPr>
        <w:t>e</w:t>
      </w:r>
      <w:r w:rsidRPr="00AA552A">
        <w:rPr>
          <w:rFonts w:cs="Cambria"/>
          <w:color w:val="000000"/>
          <w:spacing w:val="-3"/>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4</w:t>
      </w:r>
      <w:r w:rsidRPr="00AA552A">
        <w:rPr>
          <w:rFonts w:cs="Cambria"/>
          <w:color w:val="000000"/>
          <w:spacing w:val="2"/>
        </w:rPr>
        <w:t>5</w:t>
      </w:r>
      <w:r w:rsidRPr="00AA552A">
        <w:rPr>
          <w:rFonts w:cs="Cambria"/>
          <w:color w:val="000000"/>
        </w:rPr>
        <w:t>-</w:t>
      </w:r>
      <w:r w:rsidRPr="00AA552A">
        <w:rPr>
          <w:rFonts w:cs="Cambria"/>
          <w:color w:val="000000"/>
          <w:spacing w:val="-1"/>
        </w:rPr>
        <w:t>6</w:t>
      </w:r>
      <w:r w:rsidRPr="00AA552A">
        <w:rPr>
          <w:rFonts w:cs="Cambria"/>
          <w:color w:val="000000"/>
        </w:rPr>
        <w:t>5 m</w:t>
      </w:r>
      <w:r w:rsidRPr="00AA552A">
        <w:rPr>
          <w:rFonts w:cs="Cambria"/>
          <w:color w:val="000000"/>
          <w:spacing w:val="1"/>
        </w:rPr>
        <w:t>e</w:t>
      </w:r>
      <w:r w:rsidRPr="00AA552A">
        <w:rPr>
          <w:rFonts w:cs="Cambria"/>
          <w:color w:val="000000"/>
        </w:rPr>
        <w:t>t</w:t>
      </w:r>
      <w:r w:rsidRPr="00AA552A">
        <w:rPr>
          <w:rFonts w:cs="Cambria"/>
          <w:color w:val="000000"/>
          <w:spacing w:val="1"/>
        </w:rPr>
        <w:t>e</w:t>
      </w:r>
      <w:r w:rsidRPr="00AA552A">
        <w:rPr>
          <w:rFonts w:cs="Cambria"/>
          <w:color w:val="000000"/>
          <w:spacing w:val="-1"/>
        </w:rPr>
        <w:t>r</w:t>
      </w:r>
      <w:r w:rsidRPr="00AA552A">
        <w:rPr>
          <w:rFonts w:cs="Cambria"/>
          <w:color w:val="000000"/>
        </w:rPr>
        <w:t>s</w:t>
      </w:r>
      <w:r w:rsidRPr="00AA552A">
        <w:rPr>
          <w:rFonts w:cs="Cambria"/>
          <w:color w:val="000000"/>
          <w:spacing w:val="-6"/>
        </w:rPr>
        <w:t xml:space="preserve"> </w:t>
      </w:r>
      <w:r w:rsidRPr="00AA552A">
        <w:rPr>
          <w:rFonts w:cs="Cambria"/>
          <w:color w:val="000000"/>
          <w:spacing w:val="-1"/>
        </w:rPr>
        <w:t>d</w:t>
      </w:r>
      <w:r w:rsidRPr="00AA552A">
        <w:rPr>
          <w:rFonts w:cs="Cambria"/>
          <w:color w:val="000000"/>
          <w:spacing w:val="1"/>
        </w:rPr>
        <w:t>ep</w:t>
      </w:r>
      <w:r w:rsidRPr="00AA552A">
        <w:rPr>
          <w:rFonts w:cs="Cambria"/>
          <w:color w:val="000000"/>
        </w:rPr>
        <w:t>th;</w:t>
      </w:r>
      <w:r w:rsidRPr="00AA552A">
        <w:rPr>
          <w:rFonts w:cs="Cambria"/>
          <w:color w:val="000000"/>
          <w:spacing w:val="-5"/>
        </w:rPr>
        <w:t xml:space="preserve"> </w:t>
      </w:r>
      <w:r w:rsidRPr="00AA552A">
        <w:rPr>
          <w:rFonts w:cs="Cambria"/>
          <w:color w:val="000000"/>
        </w:rPr>
        <w:t>sh</w:t>
      </w:r>
      <w:r w:rsidRPr="00AA552A">
        <w:rPr>
          <w:rFonts w:cs="Cambria"/>
          <w:color w:val="000000"/>
          <w:spacing w:val="1"/>
        </w:rPr>
        <w:t>e</w:t>
      </w:r>
      <w:r w:rsidRPr="00AA552A">
        <w:rPr>
          <w:rFonts w:cs="Cambria"/>
          <w:color w:val="000000"/>
        </w:rPr>
        <w:t>lf</w:t>
      </w:r>
      <w:r w:rsidRPr="00AA552A">
        <w:rPr>
          <w:rFonts w:cs="Cambria"/>
          <w:color w:val="000000"/>
          <w:spacing w:val="-5"/>
        </w:rPr>
        <w:t xml:space="preserve"> </w:t>
      </w:r>
      <w:r w:rsidRPr="00AA552A">
        <w:rPr>
          <w:rFonts w:cs="Cambria"/>
          <w:color w:val="000000"/>
          <w:spacing w:val="1"/>
        </w:rPr>
        <w:t>b</w:t>
      </w:r>
      <w:r w:rsidRPr="00AA552A">
        <w:rPr>
          <w:rFonts w:cs="Cambria"/>
          <w:color w:val="000000"/>
          <w:spacing w:val="-1"/>
        </w:rPr>
        <w:t>r</w:t>
      </w:r>
      <w:r w:rsidRPr="00AA552A">
        <w:rPr>
          <w:rFonts w:cs="Cambria"/>
          <w:color w:val="000000"/>
          <w:spacing w:val="3"/>
        </w:rPr>
        <w:t>e</w:t>
      </w:r>
      <w:r w:rsidRPr="00AA552A">
        <w:rPr>
          <w:rFonts w:cs="Cambria"/>
          <w:color w:val="000000"/>
        </w:rPr>
        <w:t>a</w:t>
      </w:r>
      <w:r w:rsidRPr="00AA552A">
        <w:rPr>
          <w:rFonts w:cs="Cambria"/>
          <w:color w:val="000000"/>
          <w:spacing w:val="-1"/>
        </w:rPr>
        <w:t>k</w:t>
      </w:r>
      <w:r w:rsidRPr="00AA552A">
        <w:rPr>
          <w:rFonts w:cs="Cambria"/>
          <w:color w:val="000000"/>
          <w:spacing w:val="-4"/>
        </w:rPr>
        <w:t xml:space="preserve"> </w:t>
      </w:r>
      <w:r w:rsidRPr="00AA552A">
        <w:rPr>
          <w:rFonts w:cs="Cambria"/>
          <w:color w:val="000000"/>
        </w:rPr>
        <w:t>or</w:t>
      </w:r>
      <w:r w:rsidRPr="00AA552A">
        <w:rPr>
          <w:rFonts w:cs="Cambria"/>
          <w:color w:val="000000"/>
          <w:spacing w:val="-3"/>
        </w:rPr>
        <w:t xml:space="preserve"> </w:t>
      </w:r>
      <w:r w:rsidRPr="00AA552A">
        <w:rPr>
          <w:rFonts w:cs="Cambria"/>
          <w:color w:val="000000"/>
        </w:rPr>
        <w:t>u</w:t>
      </w:r>
      <w:r w:rsidRPr="00AA552A">
        <w:rPr>
          <w:rFonts w:cs="Cambria"/>
          <w:color w:val="000000"/>
          <w:spacing w:val="1"/>
        </w:rPr>
        <w:t>ppe</w:t>
      </w:r>
      <w:r w:rsidRPr="00AA552A">
        <w:rPr>
          <w:rFonts w:cs="Cambria"/>
          <w:color w:val="000000"/>
        </w:rPr>
        <w:t>r</w:t>
      </w:r>
      <w:r w:rsidRPr="00AA552A">
        <w:rPr>
          <w:rFonts w:cs="Cambria"/>
          <w:color w:val="000000"/>
          <w:spacing w:val="-3"/>
        </w:rPr>
        <w:t xml:space="preserve"> </w:t>
      </w:r>
      <w:r w:rsidRPr="00AA552A">
        <w:rPr>
          <w:rFonts w:cs="Cambria"/>
          <w:color w:val="000000"/>
        </w:rPr>
        <w:t>slo</w:t>
      </w:r>
      <w:r w:rsidRPr="00AA552A">
        <w:rPr>
          <w:rFonts w:cs="Cambria"/>
          <w:color w:val="000000"/>
          <w:spacing w:val="1"/>
        </w:rPr>
        <w:t>p</w:t>
      </w:r>
      <w:r w:rsidRPr="00AA552A">
        <w:rPr>
          <w:rFonts w:cs="Cambria"/>
          <w:color w:val="000000"/>
        </w:rPr>
        <w:t>e</w:t>
      </w:r>
      <w:r w:rsidRPr="00AA552A">
        <w:rPr>
          <w:rFonts w:cs="Cambria"/>
          <w:color w:val="000000"/>
          <w:spacing w:val="-2"/>
        </w:rPr>
        <w:t xml:space="preserve"> </w:t>
      </w:r>
      <w:r w:rsidRPr="00AA552A">
        <w:rPr>
          <w:rFonts w:cs="Cambria"/>
          <w:color w:val="000000"/>
        </w:rPr>
        <w:t>along</w:t>
      </w:r>
      <w:r w:rsidRPr="00AA552A">
        <w:rPr>
          <w:rFonts w:cs="Cambria"/>
          <w:color w:val="000000"/>
          <w:spacing w:val="-2"/>
        </w:rPr>
        <w:t xml:space="preserve"> </w:t>
      </w:r>
      <w:r w:rsidRPr="00AA552A">
        <w:rPr>
          <w:rFonts w:cs="Cambria"/>
          <w:color w:val="000000"/>
        </w:rPr>
        <w:t>the</w:t>
      </w:r>
      <w:r w:rsidRPr="00AA552A">
        <w:rPr>
          <w:rFonts w:cs="Cambria"/>
          <w:color w:val="000000"/>
          <w:spacing w:val="-1"/>
        </w:rPr>
        <w:t xml:space="preserve"> 10</w:t>
      </w:r>
      <w:r w:rsidRPr="00AA552A">
        <w:rPr>
          <w:rFonts w:cs="Cambria"/>
          <w:color w:val="000000"/>
          <w:spacing w:val="2"/>
        </w:rPr>
        <w:t>0</w:t>
      </w:r>
      <w:r w:rsidRPr="00AA552A">
        <w:rPr>
          <w:rFonts w:cs="Cambria"/>
          <w:color w:val="000000"/>
        </w:rPr>
        <w:t>-</w:t>
      </w:r>
      <w:r w:rsidRPr="00AA552A">
        <w:rPr>
          <w:rFonts w:cs="Cambria"/>
          <w:color w:val="000000"/>
          <w:spacing w:val="-1"/>
        </w:rPr>
        <w:t>f</w:t>
      </w:r>
      <w:r w:rsidRPr="00AA552A">
        <w:rPr>
          <w:rFonts w:cs="Cambria"/>
          <w:color w:val="000000"/>
        </w:rPr>
        <w:t>athom</w:t>
      </w:r>
      <w:r w:rsidRPr="00AA552A">
        <w:rPr>
          <w:rFonts w:cs="Cambria"/>
          <w:color w:val="000000"/>
          <w:spacing w:val="-7"/>
        </w:rPr>
        <w:t xml:space="preserve"> </w:t>
      </w:r>
      <w:r w:rsidRPr="00AA552A">
        <w:rPr>
          <w:rFonts w:cs="Cambria"/>
          <w:color w:val="000000"/>
        </w:rPr>
        <w:t>cont</w:t>
      </w:r>
      <w:r w:rsidRPr="00AA552A">
        <w:rPr>
          <w:rFonts w:cs="Cambria"/>
          <w:color w:val="000000"/>
          <w:spacing w:val="2"/>
        </w:rPr>
        <w:t>o</w:t>
      </w:r>
      <w:r w:rsidRPr="00AA552A">
        <w:rPr>
          <w:rFonts w:cs="Cambria"/>
          <w:color w:val="000000"/>
          <w:spacing w:val="-1"/>
        </w:rPr>
        <w:t>u</w:t>
      </w:r>
      <w:r w:rsidRPr="00AA552A">
        <w:rPr>
          <w:rFonts w:cs="Cambria"/>
          <w:color w:val="000000"/>
        </w:rPr>
        <w:t>r</w:t>
      </w:r>
      <w:r w:rsidRPr="00AA552A">
        <w:rPr>
          <w:rFonts w:cs="Cambria"/>
          <w:color w:val="000000"/>
          <w:spacing w:val="-6"/>
        </w:rPr>
        <w:t xml:space="preserve"> </w:t>
      </w:r>
      <w:r w:rsidRPr="00AA552A">
        <w:rPr>
          <w:rFonts w:cs="Cambria"/>
          <w:color w:val="000000"/>
        </w:rPr>
        <w:t>(</w:t>
      </w:r>
      <w:r w:rsidRPr="00AA552A">
        <w:rPr>
          <w:rFonts w:cs="Cambria"/>
          <w:color w:val="000000"/>
          <w:spacing w:val="2"/>
        </w:rPr>
        <w:t>1</w:t>
      </w:r>
      <w:r w:rsidRPr="00AA552A">
        <w:rPr>
          <w:rFonts w:cs="Cambria"/>
          <w:color w:val="000000"/>
          <w:spacing w:val="-1"/>
        </w:rPr>
        <w:t>50</w:t>
      </w:r>
      <w:r w:rsidRPr="00AA552A">
        <w:rPr>
          <w:rFonts w:cs="Cambria"/>
          <w:color w:val="000000"/>
          <w:spacing w:val="2"/>
        </w:rPr>
        <w:t>-</w:t>
      </w:r>
      <w:r w:rsidRPr="00AA552A">
        <w:rPr>
          <w:rFonts w:cs="Cambria"/>
          <w:color w:val="000000"/>
          <w:spacing w:val="-1"/>
        </w:rPr>
        <w:t>22</w:t>
      </w:r>
      <w:r w:rsidRPr="00AA552A">
        <w:rPr>
          <w:rFonts w:cs="Cambria"/>
          <w:color w:val="000000"/>
        </w:rPr>
        <w:t>5</w:t>
      </w:r>
      <w:r w:rsidRPr="00AA552A">
        <w:rPr>
          <w:rFonts w:cs="Cambria"/>
          <w:color w:val="000000"/>
          <w:spacing w:val="-10"/>
        </w:rPr>
        <w:t xml:space="preserve"> </w:t>
      </w:r>
      <w:r w:rsidRPr="00AA552A">
        <w:rPr>
          <w:rFonts w:cs="Cambria"/>
          <w:color w:val="000000"/>
        </w:rPr>
        <w:t>m</w:t>
      </w:r>
      <w:r w:rsidRPr="00AA552A">
        <w:rPr>
          <w:rFonts w:cs="Cambria"/>
          <w:color w:val="000000"/>
          <w:spacing w:val="1"/>
        </w:rPr>
        <w:t>e</w:t>
      </w:r>
      <w:r w:rsidRPr="00AA552A">
        <w:rPr>
          <w:rFonts w:cs="Cambria"/>
          <w:color w:val="000000"/>
        </w:rPr>
        <w:t>t</w:t>
      </w:r>
      <w:r w:rsidRPr="00AA552A">
        <w:rPr>
          <w:rFonts w:cs="Cambria"/>
          <w:color w:val="000000"/>
          <w:spacing w:val="1"/>
        </w:rPr>
        <w:t>e</w:t>
      </w:r>
      <w:r w:rsidRPr="00AA552A">
        <w:rPr>
          <w:rFonts w:cs="Cambria"/>
          <w:color w:val="000000"/>
          <w:spacing w:val="-1"/>
        </w:rPr>
        <w:t>r</w:t>
      </w:r>
      <w:r w:rsidRPr="00AA552A">
        <w:rPr>
          <w:rFonts w:cs="Cambria"/>
          <w:color w:val="000000"/>
        </w:rPr>
        <w:t>s</w:t>
      </w:r>
      <w:r w:rsidRPr="00AA552A">
        <w:rPr>
          <w:rFonts w:cs="Cambria"/>
          <w:color w:val="000000"/>
          <w:spacing w:val="2"/>
        </w:rPr>
        <w:t>)</w:t>
      </w:r>
      <w:r w:rsidRPr="00AA552A">
        <w:rPr>
          <w:rFonts w:cs="Cambria"/>
          <w:color w:val="000000"/>
        </w:rPr>
        <w:t>; ha</w:t>
      </w:r>
      <w:r w:rsidRPr="00AA552A">
        <w:rPr>
          <w:rFonts w:cs="Cambria"/>
          <w:color w:val="000000"/>
          <w:spacing w:val="-1"/>
        </w:rPr>
        <w:t>rd</w:t>
      </w:r>
      <w:r w:rsidRPr="00AA552A">
        <w:rPr>
          <w:rFonts w:cs="Cambria"/>
          <w:color w:val="000000"/>
          <w:spacing w:val="1"/>
        </w:rPr>
        <w:t>b</w:t>
      </w:r>
      <w:r w:rsidRPr="00AA552A">
        <w:rPr>
          <w:rFonts w:cs="Cambria"/>
          <w:color w:val="000000"/>
        </w:rPr>
        <w:t>ottom</w:t>
      </w:r>
      <w:r w:rsidRPr="00AA552A">
        <w:rPr>
          <w:rFonts w:cs="Cambria"/>
          <w:color w:val="000000"/>
          <w:spacing w:val="-6"/>
        </w:rPr>
        <w:t xml:space="preserve"> </w:t>
      </w:r>
      <w:r w:rsidRPr="00AA552A">
        <w:rPr>
          <w:rFonts w:cs="Cambria"/>
          <w:color w:val="000000"/>
        </w:rPr>
        <w:t>ha</w:t>
      </w:r>
      <w:r w:rsidRPr="00AA552A">
        <w:rPr>
          <w:rFonts w:cs="Cambria"/>
          <w:color w:val="000000"/>
          <w:spacing w:val="1"/>
        </w:rPr>
        <w:t>bi</w:t>
      </w:r>
      <w:r w:rsidRPr="00AA552A">
        <w:rPr>
          <w:rFonts w:cs="Cambria"/>
          <w:color w:val="000000"/>
        </w:rPr>
        <w:t>tats</w:t>
      </w:r>
      <w:r w:rsidRPr="00AA552A">
        <w:rPr>
          <w:rFonts w:cs="Cambria"/>
          <w:color w:val="000000"/>
          <w:spacing w:val="-3"/>
        </w:rPr>
        <w:t xml:space="preserve"> </w:t>
      </w:r>
      <w:r w:rsidRPr="00AA552A">
        <w:rPr>
          <w:rFonts w:cs="Cambria"/>
          <w:color w:val="000000"/>
        </w:rPr>
        <w:t>cha</w:t>
      </w:r>
      <w:r w:rsidRPr="00AA552A">
        <w:rPr>
          <w:rFonts w:cs="Cambria"/>
          <w:color w:val="000000"/>
          <w:spacing w:val="-1"/>
        </w:rPr>
        <w:t>r</w:t>
      </w:r>
      <w:r w:rsidRPr="00AA552A">
        <w:rPr>
          <w:rFonts w:cs="Cambria"/>
          <w:color w:val="000000"/>
        </w:rPr>
        <w:t>act</w:t>
      </w:r>
      <w:r w:rsidRPr="00AA552A">
        <w:rPr>
          <w:rFonts w:cs="Cambria"/>
          <w:color w:val="000000"/>
          <w:spacing w:val="1"/>
        </w:rPr>
        <w:t>e</w:t>
      </w:r>
      <w:r w:rsidRPr="00AA552A">
        <w:rPr>
          <w:rFonts w:cs="Cambria"/>
          <w:color w:val="000000"/>
          <w:spacing w:val="-1"/>
        </w:rPr>
        <w:t>r</w:t>
      </w:r>
      <w:r w:rsidRPr="00AA552A">
        <w:rPr>
          <w:rFonts w:cs="Cambria"/>
          <w:color w:val="000000"/>
          <w:spacing w:val="1"/>
        </w:rPr>
        <w:t>i</w:t>
      </w:r>
      <w:r w:rsidRPr="00AA552A">
        <w:rPr>
          <w:rFonts w:cs="Cambria"/>
          <w:color w:val="000000"/>
          <w:spacing w:val="-1"/>
        </w:rPr>
        <w:t>z</w:t>
      </w:r>
      <w:r w:rsidRPr="00AA552A">
        <w:rPr>
          <w:rFonts w:cs="Cambria"/>
          <w:color w:val="000000"/>
          <w:spacing w:val="1"/>
        </w:rPr>
        <w:t>e</w:t>
      </w:r>
      <w:r w:rsidRPr="00AA552A">
        <w:rPr>
          <w:rFonts w:cs="Cambria"/>
          <w:color w:val="000000"/>
        </w:rPr>
        <w:t>d</w:t>
      </w:r>
      <w:r w:rsidRPr="00AA552A">
        <w:rPr>
          <w:rFonts w:cs="Cambria"/>
          <w:color w:val="000000"/>
          <w:spacing w:val="-12"/>
        </w:rPr>
        <w:t xml:space="preserve"> </w:t>
      </w:r>
      <w:r w:rsidRPr="00AA552A">
        <w:rPr>
          <w:rFonts w:cs="Cambria"/>
          <w:color w:val="000000"/>
        </w:rPr>
        <w:t>as</w:t>
      </w:r>
      <w:r w:rsidRPr="00AA552A">
        <w:rPr>
          <w:rFonts w:cs="Cambria"/>
          <w:color w:val="000000"/>
          <w:spacing w:val="-1"/>
        </w:rPr>
        <w:t xml:space="preserve"> r</w:t>
      </w:r>
      <w:r w:rsidRPr="00AA552A">
        <w:rPr>
          <w:rFonts w:cs="Cambria"/>
          <w:color w:val="000000"/>
        </w:rPr>
        <w:t>ock</w:t>
      </w:r>
      <w:r w:rsidRPr="00AA552A">
        <w:rPr>
          <w:rFonts w:cs="Cambria"/>
          <w:color w:val="000000"/>
          <w:spacing w:val="-2"/>
        </w:rPr>
        <w:t xml:space="preserve"> </w:t>
      </w:r>
      <w:r w:rsidRPr="00AA552A">
        <w:rPr>
          <w:rFonts w:cs="Cambria"/>
          <w:color w:val="000000"/>
        </w:rPr>
        <w:t>o</w:t>
      </w:r>
      <w:r w:rsidRPr="00AA552A">
        <w:rPr>
          <w:rFonts w:cs="Cambria"/>
          <w:color w:val="000000"/>
          <w:spacing w:val="-1"/>
        </w:rPr>
        <w:t>v</w:t>
      </w:r>
      <w:r w:rsidRPr="00AA552A">
        <w:rPr>
          <w:rFonts w:cs="Cambria"/>
          <w:color w:val="000000"/>
          <w:spacing w:val="3"/>
        </w:rPr>
        <w:t>e</w:t>
      </w:r>
      <w:r w:rsidRPr="00AA552A">
        <w:rPr>
          <w:rFonts w:cs="Cambria"/>
          <w:color w:val="000000"/>
          <w:spacing w:val="-1"/>
        </w:rPr>
        <w:t>r</w:t>
      </w:r>
      <w:r w:rsidRPr="00AA552A">
        <w:rPr>
          <w:rFonts w:cs="Cambria"/>
          <w:color w:val="000000"/>
        </w:rPr>
        <w:t>han</w:t>
      </w:r>
      <w:r w:rsidRPr="00AA552A">
        <w:rPr>
          <w:rFonts w:cs="Cambria"/>
          <w:color w:val="000000"/>
          <w:spacing w:val="-1"/>
        </w:rPr>
        <w:t>g</w:t>
      </w:r>
      <w:r w:rsidRPr="00AA552A">
        <w:rPr>
          <w:rFonts w:cs="Cambria"/>
          <w:color w:val="000000"/>
        </w:rPr>
        <w:t>s,</w:t>
      </w:r>
      <w:r w:rsidRPr="00AA552A">
        <w:rPr>
          <w:rFonts w:cs="Cambria"/>
          <w:color w:val="000000"/>
          <w:spacing w:val="-6"/>
        </w:rPr>
        <w:t xml:space="preserve"> </w:t>
      </w:r>
      <w:r w:rsidRPr="00AA552A">
        <w:rPr>
          <w:rFonts w:cs="Cambria"/>
          <w:color w:val="000000"/>
          <w:spacing w:val="-1"/>
        </w:rPr>
        <w:t>r</w:t>
      </w:r>
      <w:r w:rsidRPr="00AA552A">
        <w:rPr>
          <w:rFonts w:cs="Cambria"/>
          <w:color w:val="000000"/>
        </w:rPr>
        <w:t>ock</w:t>
      </w:r>
      <w:r w:rsidRPr="00AA552A">
        <w:rPr>
          <w:rFonts w:cs="Cambria"/>
          <w:color w:val="000000"/>
          <w:spacing w:val="-4"/>
        </w:rPr>
        <w:t xml:space="preserve"> </w:t>
      </w:r>
      <w:r w:rsidRPr="00AA552A">
        <w:rPr>
          <w:rFonts w:cs="Cambria"/>
          <w:color w:val="000000"/>
        </w:rPr>
        <w:t>o</w:t>
      </w:r>
      <w:r w:rsidRPr="00AA552A">
        <w:rPr>
          <w:rFonts w:cs="Cambria"/>
          <w:color w:val="000000"/>
          <w:spacing w:val="-1"/>
        </w:rPr>
        <w:t>u</w:t>
      </w:r>
      <w:r w:rsidRPr="00AA552A">
        <w:rPr>
          <w:rFonts w:cs="Cambria"/>
          <w:color w:val="000000"/>
        </w:rPr>
        <w:t>t</w:t>
      </w:r>
      <w:r w:rsidRPr="00AA552A">
        <w:rPr>
          <w:rFonts w:cs="Cambria"/>
          <w:color w:val="000000"/>
          <w:spacing w:val="2"/>
        </w:rPr>
        <w:t>c</w:t>
      </w:r>
      <w:r w:rsidRPr="00AA552A">
        <w:rPr>
          <w:rFonts w:cs="Cambria"/>
          <w:color w:val="000000"/>
          <w:spacing w:val="-1"/>
        </w:rPr>
        <w:t>r</w:t>
      </w:r>
      <w:r w:rsidRPr="00AA552A">
        <w:rPr>
          <w:rFonts w:cs="Cambria"/>
          <w:color w:val="000000"/>
        </w:rPr>
        <w:t>o</w:t>
      </w:r>
      <w:r w:rsidRPr="00AA552A">
        <w:rPr>
          <w:rFonts w:cs="Cambria"/>
          <w:color w:val="000000"/>
          <w:spacing w:val="1"/>
        </w:rPr>
        <w:t>p</w:t>
      </w:r>
      <w:r w:rsidRPr="00AA552A">
        <w:rPr>
          <w:rFonts w:cs="Cambria"/>
          <w:color w:val="000000"/>
        </w:rPr>
        <w:t>s,</w:t>
      </w:r>
      <w:r w:rsidRPr="00AA552A">
        <w:rPr>
          <w:rFonts w:cs="Cambria"/>
          <w:color w:val="000000"/>
          <w:spacing w:val="-5"/>
        </w:rPr>
        <w:t xml:space="preserve"> </w:t>
      </w:r>
      <w:r w:rsidRPr="00AA552A">
        <w:rPr>
          <w:rFonts w:cs="Cambria"/>
          <w:color w:val="000000"/>
        </w:rPr>
        <w:t>man</w:t>
      </w:r>
      <w:r w:rsidRPr="00AA552A">
        <w:rPr>
          <w:rFonts w:cs="Cambria"/>
          <w:color w:val="000000"/>
          <w:spacing w:val="-1"/>
        </w:rPr>
        <w:t>g</w:t>
      </w:r>
      <w:r w:rsidRPr="00AA552A">
        <w:rPr>
          <w:rFonts w:cs="Cambria"/>
          <w:color w:val="000000"/>
        </w:rPr>
        <w:t>an</w:t>
      </w:r>
      <w:r w:rsidRPr="00AA552A">
        <w:rPr>
          <w:rFonts w:cs="Cambria"/>
          <w:color w:val="000000"/>
          <w:spacing w:val="1"/>
        </w:rPr>
        <w:t>e</w:t>
      </w:r>
      <w:r w:rsidRPr="00AA552A">
        <w:rPr>
          <w:rFonts w:cs="Cambria"/>
          <w:color w:val="000000"/>
        </w:rPr>
        <w:t>s</w:t>
      </w:r>
      <w:r w:rsidRPr="00AA552A">
        <w:rPr>
          <w:rFonts w:cs="Cambria"/>
          <w:color w:val="000000"/>
          <w:spacing w:val="1"/>
        </w:rPr>
        <w:t>e</w:t>
      </w:r>
      <w:r w:rsidRPr="00AA552A">
        <w:rPr>
          <w:rFonts w:cs="Cambria"/>
          <w:color w:val="000000"/>
        </w:rPr>
        <w:t>-</w:t>
      </w:r>
      <w:r w:rsidRPr="00AA552A">
        <w:rPr>
          <w:rFonts w:cs="Cambria"/>
          <w:color w:val="000000"/>
          <w:spacing w:val="1"/>
        </w:rPr>
        <w:t>p</w:t>
      </w:r>
      <w:r w:rsidRPr="00AA552A">
        <w:rPr>
          <w:rFonts w:cs="Cambria"/>
          <w:color w:val="000000"/>
        </w:rPr>
        <w:t>hos</w:t>
      </w:r>
      <w:r w:rsidRPr="00AA552A">
        <w:rPr>
          <w:rFonts w:cs="Cambria"/>
          <w:color w:val="000000"/>
          <w:spacing w:val="1"/>
        </w:rPr>
        <w:t>p</w:t>
      </w:r>
      <w:r w:rsidRPr="00AA552A">
        <w:rPr>
          <w:rFonts w:cs="Cambria"/>
          <w:color w:val="000000"/>
        </w:rPr>
        <w:t>ho</w:t>
      </w:r>
      <w:r w:rsidRPr="00AA552A">
        <w:rPr>
          <w:rFonts w:cs="Cambria"/>
          <w:color w:val="000000"/>
          <w:spacing w:val="-1"/>
        </w:rPr>
        <w:t>r</w:t>
      </w:r>
      <w:r w:rsidRPr="00AA552A">
        <w:rPr>
          <w:rFonts w:cs="Cambria"/>
          <w:color w:val="000000"/>
          <w:spacing w:val="1"/>
        </w:rPr>
        <w:t>i</w:t>
      </w:r>
      <w:r w:rsidRPr="00AA552A">
        <w:rPr>
          <w:rFonts w:cs="Cambria"/>
          <w:color w:val="000000"/>
          <w:spacing w:val="-2"/>
        </w:rPr>
        <w:t>t</w:t>
      </w:r>
      <w:r w:rsidRPr="00AA552A">
        <w:rPr>
          <w:rFonts w:cs="Cambria"/>
          <w:color w:val="000000"/>
        </w:rPr>
        <w:t xml:space="preserve">e </w:t>
      </w:r>
      <w:r w:rsidRPr="00AA552A">
        <w:rPr>
          <w:rFonts w:cs="Cambria"/>
          <w:color w:val="000000"/>
          <w:spacing w:val="-1"/>
        </w:rPr>
        <w:t>r</w:t>
      </w:r>
      <w:r w:rsidRPr="00AA552A">
        <w:rPr>
          <w:rFonts w:cs="Cambria"/>
          <w:color w:val="000000"/>
        </w:rPr>
        <w:t>ock</w:t>
      </w:r>
      <w:r w:rsidRPr="00AA552A">
        <w:rPr>
          <w:rFonts w:cs="Cambria"/>
          <w:color w:val="000000"/>
          <w:spacing w:val="-4"/>
        </w:rPr>
        <w:t xml:space="preserve"> </w:t>
      </w:r>
      <w:r w:rsidRPr="00AA552A">
        <w:rPr>
          <w:rFonts w:cs="Cambria"/>
          <w:color w:val="000000"/>
        </w:rPr>
        <w:t xml:space="preserve">slab </w:t>
      </w:r>
      <w:r w:rsidRPr="00AA552A">
        <w:rPr>
          <w:rFonts w:cs="Cambria"/>
          <w:color w:val="000000"/>
          <w:spacing w:val="-1"/>
        </w:rPr>
        <w:t>f</w:t>
      </w:r>
      <w:r w:rsidRPr="00AA552A">
        <w:rPr>
          <w:rFonts w:cs="Cambria"/>
          <w:color w:val="000000"/>
        </w:rPr>
        <w:t>o</w:t>
      </w:r>
      <w:r w:rsidRPr="00AA552A">
        <w:rPr>
          <w:rFonts w:cs="Cambria"/>
          <w:color w:val="000000"/>
          <w:spacing w:val="2"/>
        </w:rPr>
        <w:t>r</w:t>
      </w:r>
      <w:r w:rsidRPr="00AA552A">
        <w:rPr>
          <w:rFonts w:cs="Cambria"/>
          <w:color w:val="000000"/>
        </w:rPr>
        <w:t>mat</w:t>
      </w:r>
      <w:r w:rsidRPr="00AA552A">
        <w:rPr>
          <w:rFonts w:cs="Cambria"/>
          <w:color w:val="000000"/>
          <w:spacing w:val="1"/>
        </w:rPr>
        <w:t>i</w:t>
      </w:r>
      <w:r w:rsidRPr="00AA552A">
        <w:rPr>
          <w:rFonts w:cs="Cambria"/>
          <w:color w:val="000000"/>
        </w:rPr>
        <w:t>ons,</w:t>
      </w:r>
      <w:r w:rsidRPr="00AA552A">
        <w:rPr>
          <w:rFonts w:cs="Cambria"/>
          <w:color w:val="000000"/>
          <w:spacing w:val="-5"/>
        </w:rPr>
        <w:t xml:space="preserve"> </w:t>
      </w:r>
      <w:r w:rsidRPr="00AA552A">
        <w:rPr>
          <w:rFonts w:cs="Cambria"/>
          <w:color w:val="000000"/>
        </w:rPr>
        <w:t>or</w:t>
      </w:r>
      <w:r w:rsidRPr="00AA552A">
        <w:rPr>
          <w:rFonts w:cs="Cambria"/>
          <w:color w:val="000000"/>
          <w:spacing w:val="-3"/>
        </w:rPr>
        <w:t xml:space="preserve"> </w:t>
      </w:r>
      <w:r w:rsidRPr="00AA552A">
        <w:rPr>
          <w:rFonts w:cs="Cambria"/>
          <w:color w:val="000000"/>
          <w:spacing w:val="-1"/>
        </w:rPr>
        <w:t>r</w:t>
      </w:r>
      <w:r w:rsidRPr="00AA552A">
        <w:rPr>
          <w:rFonts w:cs="Cambria"/>
          <w:color w:val="000000"/>
        </w:rPr>
        <w:t>oc</w:t>
      </w:r>
      <w:r w:rsidRPr="00AA552A">
        <w:rPr>
          <w:rFonts w:cs="Cambria"/>
          <w:color w:val="000000"/>
          <w:spacing w:val="-1"/>
        </w:rPr>
        <w:t>k</w:t>
      </w:r>
      <w:r w:rsidRPr="00AA552A">
        <w:rPr>
          <w:rFonts w:cs="Cambria"/>
          <w:color w:val="000000"/>
        </w:rPr>
        <w:t>y</w:t>
      </w:r>
      <w:r w:rsidRPr="00AA552A">
        <w:rPr>
          <w:rFonts w:cs="Cambria"/>
          <w:color w:val="000000"/>
          <w:spacing w:val="-4"/>
        </w:rPr>
        <w:t xml:space="preserve"> </w:t>
      </w:r>
      <w:r w:rsidRPr="00AA552A">
        <w:rPr>
          <w:rFonts w:cs="Cambria"/>
          <w:color w:val="000000"/>
          <w:spacing w:val="-1"/>
        </w:rPr>
        <w:t>r</w:t>
      </w:r>
      <w:r w:rsidRPr="00AA552A">
        <w:rPr>
          <w:rFonts w:cs="Cambria"/>
          <w:color w:val="000000"/>
          <w:spacing w:val="1"/>
        </w:rPr>
        <w:t>ee</w:t>
      </w:r>
      <w:r w:rsidRPr="00AA552A">
        <w:rPr>
          <w:rFonts w:cs="Cambria"/>
          <w:color w:val="000000"/>
          <w:spacing w:val="-1"/>
        </w:rPr>
        <w:t>f</w:t>
      </w:r>
      <w:r w:rsidRPr="00AA552A">
        <w:rPr>
          <w:rFonts w:cs="Cambria"/>
          <w:color w:val="000000"/>
        </w:rPr>
        <w:t>s</w:t>
      </w:r>
      <w:r w:rsidRPr="00AA552A">
        <w:rPr>
          <w:rFonts w:cs="Cambria"/>
          <w:color w:val="000000"/>
          <w:spacing w:val="-5"/>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S</w:t>
      </w:r>
      <w:r w:rsidRPr="00AA552A">
        <w:rPr>
          <w:rFonts w:cs="Cambria"/>
          <w:color w:val="000000"/>
        </w:rPr>
        <w:t>outh</w:t>
      </w:r>
      <w:r w:rsidRPr="00AA552A">
        <w:rPr>
          <w:rFonts w:cs="Cambria"/>
          <w:color w:val="000000"/>
          <w:spacing w:val="-3"/>
        </w:rPr>
        <w:t xml:space="preserve"> </w:t>
      </w:r>
      <w:r w:rsidRPr="00AA552A">
        <w:rPr>
          <w:rFonts w:cs="Cambria"/>
          <w:color w:val="000000"/>
          <w:spacing w:val="-1"/>
        </w:rPr>
        <w:t>A</w:t>
      </w:r>
      <w:r w:rsidRPr="00AA552A">
        <w:rPr>
          <w:rFonts w:cs="Cambria"/>
          <w:color w:val="000000"/>
        </w:rPr>
        <w:t>tlant</w:t>
      </w:r>
      <w:r w:rsidRPr="00AA552A">
        <w:rPr>
          <w:rFonts w:cs="Cambria"/>
          <w:color w:val="000000"/>
          <w:spacing w:val="1"/>
        </w:rPr>
        <w:t>i</w:t>
      </w:r>
      <w:r w:rsidRPr="00AA552A">
        <w:rPr>
          <w:rFonts w:cs="Cambria"/>
          <w:color w:val="000000"/>
        </w:rPr>
        <w:t>c</w:t>
      </w:r>
      <w:r w:rsidRPr="00AA552A">
        <w:rPr>
          <w:rFonts w:cs="Cambria"/>
          <w:color w:val="000000"/>
          <w:spacing w:val="-2"/>
        </w:rPr>
        <w:t xml:space="preserve"> </w:t>
      </w:r>
      <w:r w:rsidRPr="00AA552A">
        <w:rPr>
          <w:rFonts w:cs="Cambria"/>
          <w:color w:val="000000"/>
        </w:rPr>
        <w:t>B</w:t>
      </w:r>
      <w:r w:rsidRPr="00AA552A">
        <w:rPr>
          <w:rFonts w:cs="Cambria"/>
          <w:color w:val="000000"/>
          <w:spacing w:val="1"/>
        </w:rPr>
        <w:t>i</w:t>
      </w:r>
      <w:r w:rsidRPr="00AA552A">
        <w:rPr>
          <w:rFonts w:cs="Cambria"/>
          <w:color w:val="000000"/>
          <w:spacing w:val="-1"/>
        </w:rPr>
        <w:t>g</w:t>
      </w:r>
      <w:r w:rsidRPr="00AA552A">
        <w:rPr>
          <w:rFonts w:cs="Cambria"/>
          <w:color w:val="000000"/>
        </w:rPr>
        <w:t>ht;</w:t>
      </w:r>
      <w:r w:rsidRPr="00AA552A">
        <w:rPr>
          <w:rFonts w:cs="Cambria"/>
          <w:color w:val="000000"/>
          <w:spacing w:val="-2"/>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t</w:t>
      </w:r>
      <w:r w:rsidRPr="00AA552A">
        <w:rPr>
          <w:rFonts w:cs="Cambria"/>
          <w:color w:val="000000"/>
          <w:spacing w:val="2"/>
        </w:rPr>
        <w:t>h</w:t>
      </w:r>
      <w:r w:rsidRPr="00AA552A">
        <w:rPr>
          <w:rFonts w:cs="Cambria"/>
          <w:color w:val="000000"/>
        </w:rPr>
        <w:t>e</w:t>
      </w:r>
      <w:r w:rsidRPr="00AA552A">
        <w:rPr>
          <w:rFonts w:cs="Cambria"/>
          <w:color w:val="000000"/>
          <w:spacing w:val="-1"/>
        </w:rPr>
        <w:t xml:space="preserve"> </w:t>
      </w:r>
      <w:r w:rsidRPr="00AA552A">
        <w:rPr>
          <w:rFonts w:cs="Cambria"/>
          <w:color w:val="000000"/>
        </w:rPr>
        <w:t>G</w:t>
      </w:r>
      <w:r w:rsidRPr="00AA552A">
        <w:rPr>
          <w:rFonts w:cs="Cambria"/>
          <w:color w:val="000000"/>
          <w:spacing w:val="1"/>
        </w:rPr>
        <w:t>e</w:t>
      </w:r>
      <w:r w:rsidRPr="00AA552A">
        <w:rPr>
          <w:rFonts w:cs="Cambria"/>
          <w:color w:val="000000"/>
        </w:rPr>
        <w:t>o</w:t>
      </w:r>
      <w:r w:rsidRPr="00AA552A">
        <w:rPr>
          <w:rFonts w:cs="Cambria"/>
          <w:color w:val="000000"/>
          <w:spacing w:val="-1"/>
        </w:rPr>
        <w:t>rg</w:t>
      </w:r>
      <w:r w:rsidRPr="00AA552A">
        <w:rPr>
          <w:rFonts w:cs="Cambria"/>
          <w:color w:val="000000"/>
          <w:spacing w:val="1"/>
        </w:rPr>
        <w:t>e</w:t>
      </w:r>
      <w:r w:rsidRPr="00AA552A">
        <w:rPr>
          <w:rFonts w:cs="Cambria"/>
          <w:color w:val="000000"/>
        </w:rPr>
        <w:t>to</w:t>
      </w:r>
      <w:r w:rsidRPr="00AA552A">
        <w:rPr>
          <w:rFonts w:cs="Cambria"/>
          <w:color w:val="000000"/>
          <w:spacing w:val="-1"/>
        </w:rPr>
        <w:t>w</w:t>
      </w:r>
      <w:r w:rsidRPr="00AA552A">
        <w:rPr>
          <w:rFonts w:cs="Cambria"/>
          <w:color w:val="000000"/>
        </w:rPr>
        <w:t>n</w:t>
      </w:r>
      <w:r w:rsidRPr="00AA552A">
        <w:rPr>
          <w:rFonts w:cs="Cambria"/>
          <w:color w:val="000000"/>
          <w:spacing w:val="-7"/>
        </w:rPr>
        <w:t xml:space="preserve"> </w:t>
      </w:r>
      <w:r w:rsidRPr="00AA552A">
        <w:rPr>
          <w:rFonts w:cs="Cambria"/>
          <w:color w:val="000000"/>
          <w:spacing w:val="1"/>
        </w:rPr>
        <w:t>H</w:t>
      </w:r>
      <w:r w:rsidRPr="00AA552A">
        <w:rPr>
          <w:rFonts w:cs="Cambria"/>
          <w:color w:val="000000"/>
        </w:rPr>
        <w:t>ole (</w:t>
      </w:r>
      <w:r w:rsidRPr="00AA552A">
        <w:rPr>
          <w:rFonts w:cs="Cambria"/>
          <w:color w:val="000000"/>
          <w:spacing w:val="-1"/>
        </w:rPr>
        <w:t>C</w:t>
      </w:r>
      <w:r w:rsidRPr="00AA552A">
        <w:rPr>
          <w:rFonts w:cs="Cambria"/>
          <w:color w:val="000000"/>
        </w:rPr>
        <w:t>ha</w:t>
      </w:r>
      <w:r w:rsidRPr="00AA552A">
        <w:rPr>
          <w:rFonts w:cs="Cambria"/>
          <w:color w:val="000000"/>
          <w:spacing w:val="-1"/>
        </w:rPr>
        <w:t>r</w:t>
      </w:r>
      <w:r w:rsidRPr="00AA552A">
        <w:rPr>
          <w:rFonts w:cs="Cambria"/>
          <w:color w:val="000000"/>
        </w:rPr>
        <w:t>l</w:t>
      </w:r>
      <w:r w:rsidRPr="00AA552A">
        <w:rPr>
          <w:rFonts w:cs="Cambria"/>
          <w:color w:val="000000"/>
          <w:spacing w:val="1"/>
        </w:rPr>
        <w:t>e</w:t>
      </w:r>
      <w:r w:rsidRPr="00AA552A">
        <w:rPr>
          <w:rFonts w:cs="Cambria"/>
          <w:color w:val="000000"/>
        </w:rPr>
        <w:t>ston</w:t>
      </w:r>
      <w:r w:rsidRPr="00AA552A">
        <w:rPr>
          <w:rFonts w:cs="Cambria"/>
          <w:color w:val="000000"/>
          <w:spacing w:val="-8"/>
        </w:rPr>
        <w:t xml:space="preserve"> </w:t>
      </w:r>
      <w:r w:rsidRPr="00AA552A">
        <w:rPr>
          <w:rFonts w:cs="Cambria"/>
          <w:color w:val="000000"/>
          <w:spacing w:val="1"/>
        </w:rPr>
        <w:t>L</w:t>
      </w:r>
      <w:r w:rsidRPr="00AA552A">
        <w:rPr>
          <w:rFonts w:cs="Cambria"/>
          <w:color w:val="000000"/>
          <w:spacing w:val="-1"/>
        </w:rPr>
        <w:t>u</w:t>
      </w:r>
      <w:r w:rsidRPr="00AA552A">
        <w:rPr>
          <w:rFonts w:cs="Cambria"/>
          <w:color w:val="000000"/>
        </w:rPr>
        <w:t>m</w:t>
      </w:r>
      <w:r w:rsidRPr="00AA552A">
        <w:rPr>
          <w:rFonts w:cs="Cambria"/>
          <w:color w:val="000000"/>
          <w:spacing w:val="1"/>
        </w:rPr>
        <w:t>p</w:t>
      </w:r>
      <w:r w:rsidRPr="00AA552A">
        <w:rPr>
          <w:rFonts w:cs="Cambria"/>
          <w:color w:val="000000"/>
        </w:rPr>
        <w:t>s)</w:t>
      </w:r>
      <w:r w:rsidRPr="00AA552A">
        <w:rPr>
          <w:rFonts w:cs="Cambria"/>
          <w:color w:val="000000"/>
          <w:spacing w:val="-3"/>
        </w:rPr>
        <w:t xml:space="preserve"> </w:t>
      </w:r>
      <w:r w:rsidRPr="00AA552A">
        <w:rPr>
          <w:rFonts w:cs="Cambria"/>
          <w:color w:val="000000"/>
        </w:rPr>
        <w:t>o</w:t>
      </w:r>
      <w:r w:rsidRPr="00AA552A">
        <w:rPr>
          <w:rFonts w:cs="Cambria"/>
          <w:color w:val="000000"/>
          <w:spacing w:val="-1"/>
        </w:rPr>
        <w:t>f</w:t>
      </w:r>
      <w:r w:rsidRPr="00AA552A">
        <w:rPr>
          <w:rFonts w:cs="Cambria"/>
          <w:color w:val="000000"/>
        </w:rPr>
        <w:t>f</w:t>
      </w:r>
      <w:r w:rsidRPr="00AA552A">
        <w:rPr>
          <w:rFonts w:cs="Cambria"/>
          <w:color w:val="000000"/>
          <w:spacing w:val="-1"/>
        </w:rPr>
        <w:t xml:space="preserve"> </w:t>
      </w:r>
      <w:r w:rsidRPr="00AA552A">
        <w:rPr>
          <w:rFonts w:cs="Cambria"/>
          <w:color w:val="000000"/>
        </w:rPr>
        <w:t>G</w:t>
      </w:r>
      <w:r w:rsidRPr="00AA552A">
        <w:rPr>
          <w:rFonts w:cs="Cambria"/>
          <w:color w:val="000000"/>
          <w:spacing w:val="1"/>
        </w:rPr>
        <w:t>e</w:t>
      </w:r>
      <w:r w:rsidRPr="00AA552A">
        <w:rPr>
          <w:rFonts w:cs="Cambria"/>
          <w:color w:val="000000"/>
        </w:rPr>
        <w:t>o</w:t>
      </w:r>
      <w:r w:rsidRPr="00AA552A">
        <w:rPr>
          <w:rFonts w:cs="Cambria"/>
          <w:color w:val="000000"/>
          <w:spacing w:val="-1"/>
        </w:rPr>
        <w:t>rg</w:t>
      </w:r>
      <w:r w:rsidRPr="00AA552A">
        <w:rPr>
          <w:rFonts w:cs="Cambria"/>
          <w:color w:val="000000"/>
          <w:spacing w:val="1"/>
        </w:rPr>
        <w:t>e</w:t>
      </w:r>
      <w:r w:rsidRPr="00AA552A">
        <w:rPr>
          <w:rFonts w:cs="Cambria"/>
          <w:color w:val="000000"/>
        </w:rPr>
        <w:t>to</w:t>
      </w:r>
      <w:r w:rsidRPr="00AA552A">
        <w:rPr>
          <w:rFonts w:cs="Cambria"/>
          <w:color w:val="000000"/>
          <w:spacing w:val="-1"/>
        </w:rPr>
        <w:t>w</w:t>
      </w:r>
      <w:r w:rsidRPr="00AA552A">
        <w:rPr>
          <w:rFonts w:cs="Cambria"/>
          <w:color w:val="000000"/>
        </w:rPr>
        <w:t>n,</w:t>
      </w:r>
      <w:r w:rsidRPr="00AA552A">
        <w:rPr>
          <w:rFonts w:cs="Cambria"/>
          <w:color w:val="000000"/>
          <w:spacing w:val="-6"/>
        </w:rPr>
        <w:t xml:space="preserve"> </w:t>
      </w:r>
      <w:r w:rsidRPr="00AA552A">
        <w:rPr>
          <w:rFonts w:cs="Cambria"/>
          <w:color w:val="000000"/>
          <w:spacing w:val="1"/>
        </w:rPr>
        <w:t>S</w:t>
      </w:r>
      <w:r w:rsidRPr="00AA552A">
        <w:rPr>
          <w:rFonts w:cs="Cambria"/>
          <w:color w:val="000000"/>
          <w:spacing w:val="-1"/>
        </w:rPr>
        <w:t>C</w:t>
      </w:r>
      <w:r w:rsidRPr="00AA552A">
        <w:rPr>
          <w:rFonts w:cs="Cambria"/>
          <w:color w:val="000000"/>
        </w:rPr>
        <w:t>.</w:t>
      </w:r>
    </w:p>
    <w:p w14:paraId="36F00E1C" w14:textId="77777777" w:rsidR="00DC4922" w:rsidRPr="00AA552A" w:rsidRDefault="00DC4922" w:rsidP="00DC4922">
      <w:pPr>
        <w:rPr>
          <w:rFonts w:cs="Cambria"/>
          <w:color w:val="000000"/>
          <w:sz w:val="28"/>
        </w:rPr>
      </w:pPr>
    </w:p>
    <w:p w14:paraId="325A29B1" w14:textId="77777777" w:rsidR="00DC4922" w:rsidRDefault="00DC4922" w:rsidP="00640526">
      <w:pPr>
        <w:ind w:firstLine="360"/>
        <w:rPr>
          <w:rFonts w:cs="Cambria"/>
          <w:color w:val="000000"/>
        </w:rPr>
      </w:pPr>
      <w:r w:rsidRPr="00AA552A">
        <w:rPr>
          <w:rFonts w:cs="Cambria"/>
          <w:color w:val="000000"/>
          <w:spacing w:val="1"/>
        </w:rPr>
        <w:t>EFH</w:t>
      </w:r>
      <w:r w:rsidRPr="00AA552A">
        <w:rPr>
          <w:rFonts w:cs="Cambria"/>
          <w:color w:val="000000"/>
        </w:rPr>
        <w:t>-</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s</w:t>
      </w:r>
      <w:r w:rsidRPr="00AA552A">
        <w:rPr>
          <w:rFonts w:cs="Cambria"/>
          <w:color w:val="000000"/>
          <w:spacing w:val="-8"/>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sn</w:t>
      </w:r>
      <w:r w:rsidRPr="00AA552A">
        <w:rPr>
          <w:rFonts w:cs="Cambria"/>
          <w:color w:val="000000"/>
          <w:spacing w:val="-2"/>
        </w:rPr>
        <w:t>a</w:t>
      </w:r>
      <w:r w:rsidRPr="00AA552A">
        <w:rPr>
          <w:rFonts w:cs="Cambria"/>
          <w:color w:val="000000"/>
          <w:spacing w:val="1"/>
        </w:rPr>
        <w:t>ppe</w:t>
      </w:r>
      <w:r w:rsidRPr="00AA552A">
        <w:rPr>
          <w:rFonts w:cs="Cambria"/>
          <w:color w:val="000000"/>
        </w:rPr>
        <w:t>r</w:t>
      </w:r>
      <w:r w:rsidRPr="00AA552A">
        <w:rPr>
          <w:rFonts w:cs="Cambria"/>
          <w:color w:val="000000"/>
          <w:spacing w:val="-4"/>
        </w:rPr>
        <w:t xml:space="preserve"> </w:t>
      </w:r>
      <w:r w:rsidRPr="00AA552A">
        <w:rPr>
          <w:rFonts w:cs="Cambria"/>
          <w:color w:val="000000"/>
          <w:spacing w:val="-1"/>
        </w:rPr>
        <w:t>gr</w:t>
      </w:r>
      <w:r w:rsidRPr="00AA552A">
        <w:rPr>
          <w:rFonts w:cs="Cambria"/>
          <w:color w:val="000000"/>
        </w:rPr>
        <w:t>ou</w:t>
      </w:r>
      <w:r w:rsidRPr="00AA552A">
        <w:rPr>
          <w:rFonts w:cs="Cambria"/>
          <w:color w:val="000000"/>
          <w:spacing w:val="1"/>
        </w:rPr>
        <w:t>pe</w:t>
      </w:r>
      <w:r w:rsidRPr="00AA552A">
        <w:rPr>
          <w:rFonts w:cs="Cambria"/>
          <w:color w:val="000000"/>
        </w:rPr>
        <w:t>r</w:t>
      </w:r>
      <w:r w:rsidRPr="00AA552A">
        <w:rPr>
          <w:rFonts w:cs="Cambria"/>
          <w:color w:val="000000"/>
          <w:spacing w:val="-5"/>
        </w:rPr>
        <w:t xml:space="preserve"> </w:t>
      </w:r>
      <w:r w:rsidRPr="00AA552A">
        <w:rPr>
          <w:rFonts w:cs="Cambria"/>
          <w:color w:val="000000"/>
        </w:rPr>
        <w:t>com</w:t>
      </w:r>
      <w:r w:rsidRPr="00AA552A">
        <w:rPr>
          <w:rFonts w:cs="Cambria"/>
          <w:color w:val="000000"/>
          <w:spacing w:val="1"/>
        </w:rPr>
        <w:t>p</w:t>
      </w:r>
      <w:r w:rsidRPr="00AA552A">
        <w:rPr>
          <w:rFonts w:cs="Cambria"/>
          <w:color w:val="000000"/>
        </w:rPr>
        <w:t>l</w:t>
      </w:r>
      <w:r w:rsidRPr="00AA552A">
        <w:rPr>
          <w:rFonts w:cs="Cambria"/>
          <w:color w:val="000000"/>
          <w:spacing w:val="1"/>
        </w:rPr>
        <w:t>e</w:t>
      </w:r>
      <w:r w:rsidRPr="00AA552A">
        <w:rPr>
          <w:rFonts w:cs="Cambria"/>
          <w:color w:val="000000"/>
        </w:rPr>
        <w:t>x</w:t>
      </w:r>
      <w:r w:rsidRPr="00AA552A">
        <w:rPr>
          <w:rFonts w:cs="Cambria"/>
          <w:color w:val="000000"/>
          <w:spacing w:val="-4"/>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spacing w:val="1"/>
        </w:rPr>
        <w:t>i</w:t>
      </w:r>
      <w:r w:rsidRPr="00AA552A">
        <w:rPr>
          <w:rFonts w:cs="Cambria"/>
          <w:color w:val="000000"/>
        </w:rPr>
        <w:t>ncl</w:t>
      </w:r>
      <w:r w:rsidRPr="00AA552A">
        <w:rPr>
          <w:rFonts w:cs="Cambria"/>
          <w:color w:val="000000"/>
          <w:spacing w:val="-1"/>
        </w:rPr>
        <w:t>ud</w:t>
      </w:r>
      <w:r w:rsidRPr="00AA552A">
        <w:rPr>
          <w:rFonts w:cs="Cambria"/>
          <w:color w:val="000000"/>
        </w:rPr>
        <w:t>e</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f</w:t>
      </w:r>
      <w:r w:rsidRPr="00AA552A">
        <w:rPr>
          <w:rFonts w:cs="Cambria"/>
          <w:color w:val="000000"/>
        </w:rPr>
        <w:t>ollo</w:t>
      </w:r>
      <w:r w:rsidRPr="00AA552A">
        <w:rPr>
          <w:rFonts w:cs="Cambria"/>
          <w:color w:val="000000"/>
          <w:spacing w:val="-1"/>
        </w:rPr>
        <w:t>w</w:t>
      </w:r>
      <w:r w:rsidRPr="00AA552A">
        <w:rPr>
          <w:rFonts w:cs="Cambria"/>
          <w:color w:val="000000"/>
          <w:spacing w:val="1"/>
        </w:rPr>
        <w:t>i</w:t>
      </w:r>
      <w:r w:rsidRPr="00AA552A">
        <w:rPr>
          <w:rFonts w:cs="Cambria"/>
          <w:color w:val="000000"/>
        </w:rPr>
        <w:t xml:space="preserve">ng </w:t>
      </w:r>
      <w:r w:rsidRPr="00AA552A">
        <w:rPr>
          <w:rFonts w:cs="Cambria"/>
          <w:color w:val="000000"/>
          <w:spacing w:val="-1"/>
        </w:rPr>
        <w:t>d</w:t>
      </w:r>
      <w:r w:rsidRPr="00AA552A">
        <w:rPr>
          <w:rFonts w:cs="Cambria"/>
          <w:color w:val="000000"/>
          <w:spacing w:val="1"/>
        </w:rPr>
        <w:t>eep</w:t>
      </w:r>
      <w:r w:rsidRPr="00AA552A">
        <w:rPr>
          <w:rFonts w:cs="Cambria"/>
          <w:color w:val="000000"/>
          <w:spacing w:val="-1"/>
        </w:rPr>
        <w:t>w</w:t>
      </w:r>
      <w:r w:rsidRPr="00AA552A">
        <w:rPr>
          <w:rFonts w:cs="Cambria"/>
          <w:color w:val="000000"/>
        </w:rPr>
        <w:t>at</w:t>
      </w:r>
      <w:r w:rsidRPr="00AA552A">
        <w:rPr>
          <w:rFonts w:cs="Cambria"/>
          <w:color w:val="000000"/>
          <w:spacing w:val="1"/>
        </w:rPr>
        <w:t>e</w:t>
      </w:r>
      <w:r w:rsidRPr="00AA552A">
        <w:rPr>
          <w:rFonts w:cs="Cambria"/>
          <w:color w:val="000000"/>
        </w:rPr>
        <w:t>r</w:t>
      </w:r>
      <w:r w:rsidRPr="00AA552A">
        <w:rPr>
          <w:rFonts w:cs="Cambria"/>
          <w:color w:val="000000"/>
          <w:spacing w:val="-7"/>
        </w:rPr>
        <w:t xml:space="preserve"> </w:t>
      </w:r>
      <w:r w:rsidRPr="00AA552A">
        <w:rPr>
          <w:rFonts w:cs="Cambria"/>
          <w:color w:val="000000"/>
          <w:spacing w:val="1"/>
        </w:rPr>
        <w:t>M</w:t>
      </w:r>
      <w:r w:rsidRPr="00AA552A">
        <w:rPr>
          <w:rFonts w:cs="Cambria"/>
          <w:color w:val="000000"/>
        </w:rPr>
        <w:t>a</w:t>
      </w:r>
      <w:r w:rsidRPr="00AA552A">
        <w:rPr>
          <w:rFonts w:cs="Cambria"/>
          <w:color w:val="000000"/>
          <w:spacing w:val="-1"/>
        </w:rPr>
        <w:t>r</w:t>
      </w:r>
      <w:r w:rsidRPr="00AA552A">
        <w:rPr>
          <w:rFonts w:cs="Cambria"/>
          <w:color w:val="000000"/>
          <w:spacing w:val="1"/>
        </w:rPr>
        <w:t>i</w:t>
      </w:r>
      <w:r w:rsidRPr="00AA552A">
        <w:rPr>
          <w:rFonts w:cs="Cambria"/>
          <w:color w:val="000000"/>
        </w:rPr>
        <w:t>ne</w:t>
      </w:r>
      <w:r w:rsidRPr="00AA552A">
        <w:rPr>
          <w:rFonts w:cs="Cambria"/>
          <w:color w:val="000000"/>
          <w:spacing w:val="-2"/>
        </w:rPr>
        <w:t xml:space="preserve"> </w:t>
      </w:r>
      <w:r w:rsidRPr="00AA552A">
        <w:rPr>
          <w:rFonts w:cs="Cambria"/>
          <w:color w:val="000000"/>
          <w:spacing w:val="1"/>
        </w:rPr>
        <w:t>P</w:t>
      </w:r>
      <w:r w:rsidRPr="00AA552A">
        <w:rPr>
          <w:rFonts w:cs="Cambria"/>
          <w:color w:val="000000"/>
          <w:spacing w:val="-1"/>
        </w:rPr>
        <w:t>r</w:t>
      </w:r>
      <w:r w:rsidRPr="00AA552A">
        <w:rPr>
          <w:rFonts w:cs="Cambria"/>
          <w:color w:val="000000"/>
        </w:rPr>
        <w:t>o</w:t>
      </w:r>
      <w:r w:rsidRPr="00AA552A">
        <w:rPr>
          <w:rFonts w:cs="Cambria"/>
          <w:color w:val="000000"/>
          <w:spacing w:val="-2"/>
        </w:rPr>
        <w:t>t</w:t>
      </w:r>
      <w:r w:rsidRPr="00AA552A">
        <w:rPr>
          <w:rFonts w:cs="Cambria"/>
          <w:color w:val="000000"/>
          <w:spacing w:val="1"/>
        </w:rPr>
        <w:t>e</w:t>
      </w:r>
      <w:r w:rsidRPr="00AA552A">
        <w:rPr>
          <w:rFonts w:cs="Cambria"/>
          <w:color w:val="000000"/>
        </w:rPr>
        <w:t>ct</w:t>
      </w:r>
      <w:r w:rsidRPr="00AA552A">
        <w:rPr>
          <w:rFonts w:cs="Cambria"/>
          <w:color w:val="000000"/>
          <w:spacing w:val="1"/>
        </w:rPr>
        <w:t>e</w:t>
      </w:r>
      <w:r w:rsidRPr="00AA552A">
        <w:rPr>
          <w:rFonts w:cs="Cambria"/>
          <w:color w:val="000000"/>
        </w:rPr>
        <w:t xml:space="preserve">d </w:t>
      </w:r>
      <w:r w:rsidRPr="00AA552A">
        <w:rPr>
          <w:rFonts w:cs="Cambria"/>
          <w:color w:val="000000"/>
          <w:spacing w:val="-1"/>
        </w:rPr>
        <w:t>Ar</w:t>
      </w:r>
      <w:r w:rsidRPr="00AA552A">
        <w:rPr>
          <w:rFonts w:cs="Cambria"/>
          <w:color w:val="000000"/>
          <w:spacing w:val="1"/>
        </w:rPr>
        <w:t>e</w:t>
      </w:r>
      <w:r w:rsidRPr="00AA552A">
        <w:rPr>
          <w:rFonts w:cs="Cambria"/>
          <w:color w:val="000000"/>
        </w:rPr>
        <w:t>as</w:t>
      </w:r>
      <w:r w:rsidRPr="00AA552A">
        <w:rPr>
          <w:rFonts w:cs="Cambria"/>
          <w:color w:val="000000"/>
          <w:spacing w:val="-3"/>
        </w:rPr>
        <w:t xml:space="preserve"> </w:t>
      </w:r>
      <w:r w:rsidRPr="00AA552A">
        <w:rPr>
          <w:rFonts w:cs="Cambria"/>
          <w:color w:val="000000"/>
        </w:rPr>
        <w:t>(</w:t>
      </w:r>
      <w:r w:rsidRPr="00AA552A">
        <w:rPr>
          <w:rFonts w:cs="Cambria"/>
          <w:color w:val="000000"/>
          <w:spacing w:val="1"/>
        </w:rPr>
        <w:t>MP</w:t>
      </w:r>
      <w:r w:rsidRPr="00AA552A">
        <w:rPr>
          <w:rFonts w:cs="Cambria"/>
          <w:color w:val="000000"/>
          <w:spacing w:val="-1"/>
        </w:rPr>
        <w:t>A</w:t>
      </w:r>
      <w:r w:rsidRPr="00AA552A">
        <w:rPr>
          <w:rFonts w:cs="Cambria"/>
          <w:color w:val="000000"/>
        </w:rPr>
        <w:t>s)</w:t>
      </w:r>
      <w:r w:rsidRPr="00AA552A">
        <w:rPr>
          <w:rFonts w:cs="Cambria"/>
          <w:color w:val="000000"/>
          <w:spacing w:val="-3"/>
        </w:rPr>
        <w:t xml:space="preserve"> </w:t>
      </w:r>
      <w:r w:rsidRPr="00AA552A">
        <w:rPr>
          <w:rFonts w:cs="Cambria"/>
          <w:color w:val="000000"/>
        </w:rPr>
        <w:t>as</w:t>
      </w:r>
      <w:r w:rsidRPr="00AA552A">
        <w:rPr>
          <w:rFonts w:cs="Cambria"/>
          <w:color w:val="000000"/>
          <w:spacing w:val="-1"/>
        </w:rPr>
        <w:t xml:space="preserve"> d</w:t>
      </w:r>
      <w:r w:rsidRPr="00AA552A">
        <w:rPr>
          <w:rFonts w:cs="Cambria"/>
          <w:color w:val="000000"/>
          <w:spacing w:val="1"/>
        </w:rPr>
        <w:t>e</w:t>
      </w:r>
      <w:r w:rsidRPr="00AA552A">
        <w:rPr>
          <w:rFonts w:cs="Cambria"/>
          <w:color w:val="000000"/>
        </w:rPr>
        <w:t>s</w:t>
      </w:r>
      <w:r w:rsidRPr="00AA552A">
        <w:rPr>
          <w:rFonts w:cs="Cambria"/>
          <w:color w:val="000000"/>
          <w:spacing w:val="1"/>
        </w:rPr>
        <w:t>i</w:t>
      </w:r>
      <w:r w:rsidRPr="00AA552A">
        <w:rPr>
          <w:rFonts w:cs="Cambria"/>
          <w:color w:val="000000"/>
          <w:spacing w:val="-1"/>
        </w:rPr>
        <w:t>g</w:t>
      </w:r>
      <w:r w:rsidRPr="00AA552A">
        <w:rPr>
          <w:rFonts w:cs="Cambria"/>
          <w:color w:val="000000"/>
        </w:rPr>
        <w:t>nat</w:t>
      </w:r>
      <w:r w:rsidRPr="00AA552A">
        <w:rPr>
          <w:rFonts w:cs="Cambria"/>
          <w:color w:val="000000"/>
          <w:spacing w:val="1"/>
        </w:rPr>
        <w:t>e</w:t>
      </w:r>
      <w:r w:rsidRPr="00AA552A">
        <w:rPr>
          <w:rFonts w:cs="Cambria"/>
          <w:color w:val="000000"/>
        </w:rPr>
        <w:t>d</w:t>
      </w:r>
      <w:r w:rsidRPr="00AA552A">
        <w:rPr>
          <w:rFonts w:cs="Cambria"/>
          <w:color w:val="000000"/>
          <w:spacing w:val="-8"/>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spacing w:val="1"/>
        </w:rPr>
        <w:t>S</w:t>
      </w:r>
      <w:r w:rsidRPr="00AA552A">
        <w:rPr>
          <w:rFonts w:cs="Cambria"/>
          <w:color w:val="000000"/>
        </w:rPr>
        <w:t>n</w:t>
      </w:r>
      <w:r w:rsidRPr="00AA552A">
        <w:rPr>
          <w:rFonts w:cs="Cambria"/>
          <w:color w:val="000000"/>
          <w:spacing w:val="-2"/>
        </w:rPr>
        <w:t>a</w:t>
      </w:r>
      <w:r w:rsidRPr="00AA552A">
        <w:rPr>
          <w:rFonts w:cs="Cambria"/>
          <w:color w:val="000000"/>
          <w:spacing w:val="1"/>
        </w:rPr>
        <w:t>ppe</w:t>
      </w:r>
      <w:r w:rsidRPr="00AA552A">
        <w:rPr>
          <w:rFonts w:cs="Cambria"/>
          <w:color w:val="000000"/>
        </w:rPr>
        <w:t>r</w:t>
      </w:r>
      <w:r w:rsidRPr="00AA552A">
        <w:rPr>
          <w:rFonts w:cs="Cambria"/>
          <w:color w:val="000000"/>
          <w:spacing w:val="-3"/>
        </w:rPr>
        <w:t xml:space="preserve"> </w:t>
      </w:r>
      <w:r w:rsidRPr="00AA552A">
        <w:rPr>
          <w:rFonts w:cs="Cambria"/>
          <w:color w:val="000000"/>
        </w:rPr>
        <w:t>G</w:t>
      </w:r>
      <w:r w:rsidRPr="00AA552A">
        <w:rPr>
          <w:rFonts w:cs="Cambria"/>
          <w:color w:val="000000"/>
          <w:spacing w:val="-1"/>
        </w:rPr>
        <w:t>r</w:t>
      </w:r>
      <w:r w:rsidRPr="00AA552A">
        <w:rPr>
          <w:rFonts w:cs="Cambria"/>
          <w:color w:val="000000"/>
        </w:rPr>
        <w:t>ou</w:t>
      </w:r>
      <w:r w:rsidRPr="00AA552A">
        <w:rPr>
          <w:rFonts w:cs="Cambria"/>
          <w:color w:val="000000"/>
          <w:spacing w:val="1"/>
        </w:rPr>
        <w:t>p</w:t>
      </w:r>
      <w:r w:rsidRPr="00AA552A">
        <w:rPr>
          <w:rFonts w:cs="Cambria"/>
          <w:color w:val="000000"/>
          <w:spacing w:val="-2"/>
        </w:rPr>
        <w:t>e</w:t>
      </w:r>
      <w:r w:rsidRPr="00AA552A">
        <w:rPr>
          <w:rFonts w:cs="Cambria"/>
          <w:color w:val="000000"/>
        </w:rPr>
        <w:t>r</w:t>
      </w:r>
      <w:r w:rsidRPr="00AA552A">
        <w:rPr>
          <w:rFonts w:cs="Cambria"/>
          <w:color w:val="000000"/>
          <w:spacing w:val="-7"/>
        </w:rPr>
        <w:t xml:space="preserve"> </w:t>
      </w:r>
      <w:r w:rsidRPr="00AA552A">
        <w:rPr>
          <w:rFonts w:cs="Cambria"/>
          <w:color w:val="000000"/>
          <w:spacing w:val="-1"/>
        </w:rPr>
        <w:t>A</w:t>
      </w:r>
      <w:r w:rsidRPr="00AA552A">
        <w:rPr>
          <w:rFonts w:cs="Cambria"/>
          <w:color w:val="000000"/>
        </w:rPr>
        <w:t>m</w:t>
      </w:r>
      <w:r w:rsidRPr="00AA552A">
        <w:rPr>
          <w:rFonts w:cs="Cambria"/>
          <w:color w:val="000000"/>
          <w:spacing w:val="1"/>
        </w:rPr>
        <w:t>e</w:t>
      </w:r>
      <w:r w:rsidRPr="00AA552A">
        <w:rPr>
          <w:rFonts w:cs="Cambria"/>
          <w:color w:val="000000"/>
        </w:rPr>
        <w:t>n</w:t>
      </w:r>
      <w:r w:rsidRPr="00AA552A">
        <w:rPr>
          <w:rFonts w:cs="Cambria"/>
          <w:color w:val="000000"/>
          <w:spacing w:val="-1"/>
        </w:rPr>
        <w:t>d</w:t>
      </w:r>
      <w:r w:rsidRPr="00AA552A">
        <w:rPr>
          <w:rFonts w:cs="Cambria"/>
          <w:color w:val="000000"/>
        </w:rPr>
        <w:t>m</w:t>
      </w:r>
      <w:r w:rsidRPr="00AA552A">
        <w:rPr>
          <w:rFonts w:cs="Cambria"/>
          <w:color w:val="000000"/>
          <w:spacing w:val="1"/>
        </w:rPr>
        <w:t>e</w:t>
      </w:r>
      <w:r w:rsidRPr="00AA552A">
        <w:rPr>
          <w:rFonts w:cs="Cambria"/>
          <w:color w:val="000000"/>
        </w:rPr>
        <w:t>nt</w:t>
      </w:r>
      <w:r w:rsidRPr="00AA552A">
        <w:rPr>
          <w:rFonts w:cs="Cambria"/>
          <w:color w:val="000000"/>
          <w:spacing w:val="-8"/>
        </w:rPr>
        <w:t xml:space="preserve"> </w:t>
      </w:r>
      <w:r w:rsidRPr="00AA552A">
        <w:rPr>
          <w:rFonts w:cs="Cambria"/>
          <w:color w:val="000000"/>
          <w:spacing w:val="-1"/>
        </w:rPr>
        <w:t>1</w:t>
      </w:r>
      <w:r w:rsidRPr="00AA552A">
        <w:rPr>
          <w:rFonts w:cs="Cambria"/>
          <w:color w:val="000000"/>
          <w:spacing w:val="2"/>
        </w:rPr>
        <w:t>4</w:t>
      </w:r>
      <w:r>
        <w:rPr>
          <w:rFonts w:cs="Cambria"/>
          <w:color w:val="000000"/>
        </w:rPr>
        <w:t>:</w:t>
      </w:r>
      <w:r w:rsidRPr="00AA552A">
        <w:rPr>
          <w:rFonts w:cs="Cambria"/>
          <w:color w:val="000000"/>
          <w:spacing w:val="-4"/>
        </w:rPr>
        <w:t xml:space="preserve"> </w:t>
      </w:r>
      <w:r w:rsidRPr="00AA552A">
        <w:rPr>
          <w:rFonts w:cs="Cambria"/>
          <w:color w:val="000000"/>
          <w:spacing w:val="1"/>
        </w:rPr>
        <w:t>S</w:t>
      </w:r>
      <w:r w:rsidRPr="00AA552A">
        <w:rPr>
          <w:rFonts w:cs="Cambria"/>
          <w:color w:val="000000"/>
        </w:rPr>
        <w:t>no</w:t>
      </w:r>
      <w:r w:rsidRPr="00AA552A">
        <w:rPr>
          <w:rFonts w:cs="Cambria"/>
          <w:color w:val="000000"/>
          <w:spacing w:val="1"/>
        </w:rPr>
        <w:t>w</w:t>
      </w:r>
      <w:r w:rsidRPr="00AA552A">
        <w:rPr>
          <w:rFonts w:cs="Cambria"/>
          <w:color w:val="000000"/>
        </w:rPr>
        <w:t>y</w:t>
      </w:r>
      <w:r w:rsidRPr="00AA552A">
        <w:rPr>
          <w:rFonts w:cs="Cambria"/>
          <w:color w:val="000000"/>
          <w:spacing w:val="-3"/>
        </w:rPr>
        <w:t xml:space="preserve"> </w:t>
      </w:r>
      <w:r w:rsidRPr="00AA552A">
        <w:rPr>
          <w:rFonts w:cs="Cambria"/>
          <w:color w:val="000000"/>
        </w:rPr>
        <w:t>G</w:t>
      </w:r>
      <w:r w:rsidRPr="00AA552A">
        <w:rPr>
          <w:rFonts w:cs="Cambria"/>
          <w:color w:val="000000"/>
          <w:spacing w:val="-1"/>
        </w:rPr>
        <w:t>r</w:t>
      </w:r>
      <w:r w:rsidRPr="00AA552A">
        <w:rPr>
          <w:rFonts w:cs="Cambria"/>
          <w:color w:val="000000"/>
        </w:rPr>
        <w:t>ou</w:t>
      </w:r>
      <w:r w:rsidRPr="00AA552A">
        <w:rPr>
          <w:rFonts w:cs="Cambria"/>
          <w:color w:val="000000"/>
          <w:spacing w:val="1"/>
        </w:rPr>
        <w:t>pe</w:t>
      </w:r>
      <w:r w:rsidRPr="00AA552A">
        <w:rPr>
          <w:rFonts w:cs="Cambria"/>
          <w:color w:val="000000"/>
        </w:rPr>
        <w:t>r</w:t>
      </w:r>
      <w:r w:rsidRPr="00AA552A">
        <w:rPr>
          <w:rFonts w:cs="Cambria"/>
          <w:color w:val="000000"/>
          <w:spacing w:val="-7"/>
        </w:rPr>
        <w:t xml:space="preserve"> </w:t>
      </w:r>
      <w:r w:rsidRPr="00AA552A">
        <w:rPr>
          <w:rFonts w:cs="Cambria"/>
          <w:color w:val="000000"/>
        </w:rPr>
        <w:t>W</w:t>
      </w:r>
      <w:r w:rsidRPr="00AA552A">
        <w:rPr>
          <w:rFonts w:cs="Cambria"/>
          <w:color w:val="000000"/>
          <w:spacing w:val="-1"/>
        </w:rPr>
        <w:t>r</w:t>
      </w:r>
      <w:r w:rsidRPr="00AA552A">
        <w:rPr>
          <w:rFonts w:cs="Cambria"/>
          <w:color w:val="000000"/>
          <w:spacing w:val="1"/>
        </w:rPr>
        <w:t>e</w:t>
      </w:r>
      <w:r w:rsidRPr="00AA552A">
        <w:rPr>
          <w:rFonts w:cs="Cambria"/>
          <w:color w:val="000000"/>
          <w:spacing w:val="2"/>
        </w:rPr>
        <w:t>c</w:t>
      </w:r>
      <w:r w:rsidRPr="00AA552A">
        <w:rPr>
          <w:rFonts w:cs="Cambria"/>
          <w:color w:val="000000"/>
        </w:rPr>
        <w:t>k</w:t>
      </w:r>
      <w:r w:rsidRPr="00AA552A">
        <w:rPr>
          <w:rFonts w:cs="Cambria"/>
          <w:color w:val="000000"/>
          <w:spacing w:val="-4"/>
        </w:rPr>
        <w:t xml:space="preserve"> </w:t>
      </w:r>
      <w:r w:rsidRPr="00AA552A">
        <w:rPr>
          <w:rFonts w:cs="Cambria"/>
          <w:color w:val="000000"/>
          <w:spacing w:val="1"/>
        </w:rPr>
        <w:t>MP</w:t>
      </w:r>
      <w:r w:rsidRPr="00AA552A">
        <w:rPr>
          <w:rFonts w:cs="Cambria"/>
          <w:color w:val="000000"/>
          <w:spacing w:val="-1"/>
        </w:rPr>
        <w:t>A</w:t>
      </w:r>
      <w:r w:rsidRPr="00AA552A">
        <w:rPr>
          <w:rFonts w:cs="Cambria"/>
          <w:color w:val="000000"/>
        </w:rPr>
        <w:t>, No</w:t>
      </w:r>
      <w:r w:rsidRPr="00AA552A">
        <w:rPr>
          <w:rFonts w:cs="Cambria"/>
          <w:color w:val="000000"/>
          <w:spacing w:val="-1"/>
        </w:rPr>
        <w:t>r</w:t>
      </w:r>
      <w:r w:rsidRPr="00AA552A">
        <w:rPr>
          <w:rFonts w:cs="Cambria"/>
          <w:color w:val="000000"/>
        </w:rPr>
        <w:t>th</w:t>
      </w:r>
      <w:r w:rsidRPr="00AA552A">
        <w:rPr>
          <w:rFonts w:cs="Cambria"/>
          <w:color w:val="000000"/>
          <w:spacing w:val="1"/>
        </w:rPr>
        <w:t>e</w:t>
      </w:r>
      <w:r w:rsidRPr="00AA552A">
        <w:rPr>
          <w:rFonts w:cs="Cambria"/>
          <w:color w:val="000000"/>
          <w:spacing w:val="-1"/>
        </w:rPr>
        <w:t>r</w:t>
      </w:r>
      <w:r w:rsidRPr="00AA552A">
        <w:rPr>
          <w:rFonts w:cs="Cambria"/>
          <w:color w:val="000000"/>
        </w:rPr>
        <w:t>n</w:t>
      </w:r>
      <w:r w:rsidRPr="00AA552A">
        <w:rPr>
          <w:rFonts w:cs="Cambria"/>
          <w:color w:val="000000"/>
          <w:spacing w:val="-7"/>
        </w:rPr>
        <w:t xml:space="preserve"> </w:t>
      </w:r>
      <w:r w:rsidRPr="00AA552A">
        <w:rPr>
          <w:rFonts w:cs="Cambria"/>
          <w:color w:val="000000"/>
          <w:spacing w:val="1"/>
        </w:rPr>
        <w:t>S</w:t>
      </w:r>
      <w:r w:rsidRPr="00AA552A">
        <w:rPr>
          <w:rFonts w:cs="Cambria"/>
          <w:color w:val="000000"/>
        </w:rPr>
        <w:t>o</w:t>
      </w:r>
      <w:r w:rsidRPr="00AA552A">
        <w:rPr>
          <w:rFonts w:cs="Cambria"/>
          <w:color w:val="000000"/>
          <w:spacing w:val="-1"/>
        </w:rPr>
        <w:t>u</w:t>
      </w:r>
      <w:r w:rsidRPr="00AA552A">
        <w:rPr>
          <w:rFonts w:cs="Cambria"/>
          <w:color w:val="000000"/>
        </w:rPr>
        <w:t>th</w:t>
      </w:r>
      <w:r w:rsidRPr="00AA552A">
        <w:rPr>
          <w:rFonts w:cs="Cambria"/>
          <w:color w:val="000000"/>
          <w:spacing w:val="-3"/>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rPr>
        <w:t>ol</w:t>
      </w:r>
      <w:r w:rsidRPr="00AA552A">
        <w:rPr>
          <w:rFonts w:cs="Cambria"/>
          <w:color w:val="000000"/>
          <w:spacing w:val="1"/>
        </w:rPr>
        <w:t>i</w:t>
      </w:r>
      <w:r w:rsidRPr="00AA552A">
        <w:rPr>
          <w:rFonts w:cs="Cambria"/>
          <w:color w:val="000000"/>
          <w:spacing w:val="3"/>
        </w:rPr>
        <w:t>n</w:t>
      </w:r>
      <w:r w:rsidRPr="00AA552A">
        <w:rPr>
          <w:rFonts w:cs="Cambria"/>
          <w:color w:val="000000"/>
        </w:rPr>
        <w:t>a</w:t>
      </w:r>
      <w:r w:rsidRPr="00AA552A">
        <w:rPr>
          <w:rFonts w:cs="Cambria"/>
          <w:color w:val="000000"/>
          <w:spacing w:val="-4"/>
        </w:rPr>
        <w:t xml:space="preserve"> </w:t>
      </w:r>
      <w:r w:rsidRPr="00AA552A">
        <w:rPr>
          <w:rFonts w:cs="Cambria"/>
          <w:color w:val="000000"/>
          <w:spacing w:val="1"/>
        </w:rPr>
        <w:t>MP</w:t>
      </w:r>
      <w:r w:rsidRPr="00AA552A">
        <w:rPr>
          <w:rFonts w:cs="Cambria"/>
          <w:color w:val="000000"/>
          <w:spacing w:val="-1"/>
        </w:rPr>
        <w:t>A</w:t>
      </w:r>
      <w:r w:rsidRPr="00AA552A">
        <w:rPr>
          <w:rFonts w:cs="Cambria"/>
          <w:color w:val="000000"/>
        </w:rPr>
        <w:t xml:space="preserve">, </w:t>
      </w:r>
      <w:r w:rsidRPr="00AA552A">
        <w:rPr>
          <w:rFonts w:cs="Cambria"/>
          <w:color w:val="000000"/>
          <w:spacing w:val="1"/>
        </w:rPr>
        <w:t>E</w:t>
      </w:r>
      <w:r w:rsidRPr="00AA552A">
        <w:rPr>
          <w:rFonts w:cs="Cambria"/>
          <w:color w:val="000000"/>
          <w:spacing w:val="-1"/>
        </w:rPr>
        <w:t>d</w:t>
      </w:r>
      <w:r w:rsidRPr="00AA552A">
        <w:rPr>
          <w:rFonts w:cs="Cambria"/>
          <w:color w:val="000000"/>
          <w:spacing w:val="1"/>
        </w:rPr>
        <w:t>i</w:t>
      </w:r>
      <w:r w:rsidRPr="00AA552A">
        <w:rPr>
          <w:rFonts w:cs="Cambria"/>
          <w:color w:val="000000"/>
        </w:rPr>
        <w:t>sto</w:t>
      </w:r>
      <w:r w:rsidRPr="00AA552A">
        <w:rPr>
          <w:rFonts w:cs="Cambria"/>
          <w:color w:val="000000"/>
          <w:spacing w:val="-7"/>
        </w:rPr>
        <w:t xml:space="preserve"> </w:t>
      </w:r>
      <w:r w:rsidRPr="00AA552A">
        <w:rPr>
          <w:rFonts w:cs="Cambria"/>
          <w:color w:val="000000"/>
          <w:spacing w:val="1"/>
        </w:rPr>
        <w:t>MP</w:t>
      </w:r>
      <w:r w:rsidRPr="00AA552A">
        <w:rPr>
          <w:rFonts w:cs="Cambria"/>
          <w:color w:val="000000"/>
          <w:spacing w:val="-1"/>
        </w:rPr>
        <w:t>A</w:t>
      </w:r>
      <w:r w:rsidRPr="00AA552A">
        <w:rPr>
          <w:rFonts w:cs="Cambria"/>
          <w:color w:val="000000"/>
        </w:rPr>
        <w:t xml:space="preserve">, </w:t>
      </w:r>
      <w:r w:rsidRPr="00AA552A">
        <w:rPr>
          <w:rFonts w:cs="Cambria"/>
          <w:color w:val="000000"/>
          <w:spacing w:val="-1"/>
        </w:rPr>
        <w:t>C</w:t>
      </w:r>
      <w:r w:rsidRPr="00AA552A">
        <w:rPr>
          <w:rFonts w:cs="Cambria"/>
          <w:color w:val="000000"/>
        </w:rPr>
        <w:t>h</w:t>
      </w:r>
      <w:r w:rsidRPr="00AA552A">
        <w:rPr>
          <w:rFonts w:cs="Cambria"/>
          <w:color w:val="000000"/>
          <w:spacing w:val="-2"/>
        </w:rPr>
        <w:t>a</w:t>
      </w:r>
      <w:r w:rsidRPr="00AA552A">
        <w:rPr>
          <w:rFonts w:cs="Cambria"/>
          <w:color w:val="000000"/>
          <w:spacing w:val="-1"/>
        </w:rPr>
        <w:t>r</w:t>
      </w:r>
      <w:r w:rsidRPr="00AA552A">
        <w:rPr>
          <w:rFonts w:cs="Cambria"/>
          <w:color w:val="000000"/>
        </w:rPr>
        <w:t>l</w:t>
      </w:r>
      <w:r w:rsidRPr="00AA552A">
        <w:rPr>
          <w:rFonts w:cs="Cambria"/>
          <w:color w:val="000000"/>
          <w:spacing w:val="1"/>
        </w:rPr>
        <w:t>e</w:t>
      </w:r>
      <w:r w:rsidRPr="00AA552A">
        <w:rPr>
          <w:rFonts w:cs="Cambria"/>
          <w:color w:val="000000"/>
        </w:rPr>
        <w:t>ston</w:t>
      </w:r>
      <w:r w:rsidRPr="00AA552A">
        <w:rPr>
          <w:rFonts w:cs="Cambria"/>
          <w:color w:val="000000"/>
          <w:spacing w:val="-7"/>
        </w:rPr>
        <w:t xml:space="preserve"> </w:t>
      </w:r>
      <w:r w:rsidRPr="00AA552A">
        <w:rPr>
          <w:rFonts w:cs="Cambria"/>
          <w:color w:val="000000"/>
        </w:rPr>
        <w:t>D</w:t>
      </w:r>
      <w:r w:rsidRPr="00AA552A">
        <w:rPr>
          <w:rFonts w:cs="Cambria"/>
          <w:color w:val="000000"/>
          <w:spacing w:val="1"/>
        </w:rPr>
        <w:t>ee</w:t>
      </w:r>
      <w:r w:rsidRPr="00AA552A">
        <w:rPr>
          <w:rFonts w:cs="Cambria"/>
          <w:color w:val="000000"/>
        </w:rPr>
        <w:t>p</w:t>
      </w:r>
      <w:r w:rsidRPr="00AA552A">
        <w:rPr>
          <w:rFonts w:cs="Cambria"/>
          <w:color w:val="000000"/>
          <w:spacing w:val="-3"/>
        </w:rPr>
        <w:t xml:space="preserve"> </w:t>
      </w:r>
      <w:r w:rsidRPr="00AA552A">
        <w:rPr>
          <w:rFonts w:cs="Cambria"/>
          <w:color w:val="000000"/>
          <w:spacing w:val="-1"/>
        </w:rPr>
        <w:t>Ar</w:t>
      </w:r>
      <w:r w:rsidRPr="00AA552A">
        <w:rPr>
          <w:rFonts w:cs="Cambria"/>
          <w:color w:val="000000"/>
        </w:rPr>
        <w:t>t</w:t>
      </w:r>
      <w:r w:rsidRPr="00AA552A">
        <w:rPr>
          <w:rFonts w:cs="Cambria"/>
          <w:color w:val="000000"/>
          <w:spacing w:val="1"/>
        </w:rPr>
        <w:t>i</w:t>
      </w:r>
      <w:r w:rsidRPr="00AA552A">
        <w:rPr>
          <w:rFonts w:cs="Cambria"/>
          <w:color w:val="000000"/>
          <w:spacing w:val="-1"/>
        </w:rPr>
        <w:t>f</w:t>
      </w:r>
      <w:r w:rsidRPr="00AA552A">
        <w:rPr>
          <w:rFonts w:cs="Cambria"/>
          <w:color w:val="000000"/>
          <w:spacing w:val="1"/>
        </w:rPr>
        <w:t>i</w:t>
      </w:r>
      <w:r w:rsidRPr="00AA552A">
        <w:rPr>
          <w:rFonts w:cs="Cambria"/>
          <w:color w:val="000000"/>
        </w:rPr>
        <w:t>c</w:t>
      </w:r>
      <w:r w:rsidRPr="00AA552A">
        <w:rPr>
          <w:rFonts w:cs="Cambria"/>
          <w:color w:val="000000"/>
          <w:spacing w:val="1"/>
        </w:rPr>
        <w:t>i</w:t>
      </w:r>
      <w:r w:rsidRPr="00AA552A">
        <w:rPr>
          <w:rFonts w:cs="Cambria"/>
          <w:color w:val="000000"/>
        </w:rPr>
        <w:t>al</w:t>
      </w:r>
      <w:r w:rsidRPr="00AA552A">
        <w:rPr>
          <w:rFonts w:cs="Cambria"/>
          <w:color w:val="000000"/>
          <w:spacing w:val="-5"/>
        </w:rPr>
        <w:t xml:space="preserve"> </w:t>
      </w:r>
      <w:r w:rsidRPr="00AA552A">
        <w:rPr>
          <w:rFonts w:cs="Cambria"/>
          <w:color w:val="000000"/>
        </w:rPr>
        <w:t>R</w:t>
      </w:r>
      <w:r w:rsidRPr="00AA552A">
        <w:rPr>
          <w:rFonts w:cs="Cambria"/>
          <w:color w:val="000000"/>
          <w:spacing w:val="1"/>
        </w:rPr>
        <w:t>ee</w:t>
      </w:r>
      <w:r w:rsidRPr="00AA552A">
        <w:rPr>
          <w:rFonts w:cs="Cambria"/>
          <w:color w:val="000000"/>
        </w:rPr>
        <w:t>f</w:t>
      </w:r>
      <w:r w:rsidRPr="00AA552A">
        <w:rPr>
          <w:rFonts w:cs="Cambria"/>
          <w:color w:val="000000"/>
          <w:spacing w:val="-4"/>
        </w:rPr>
        <w:t xml:space="preserve"> </w:t>
      </w:r>
      <w:r w:rsidRPr="00AA552A">
        <w:rPr>
          <w:rFonts w:cs="Cambria"/>
          <w:color w:val="000000"/>
          <w:spacing w:val="1"/>
        </w:rPr>
        <w:t>MP</w:t>
      </w:r>
      <w:r w:rsidRPr="00AA552A">
        <w:rPr>
          <w:rFonts w:cs="Cambria"/>
          <w:color w:val="000000"/>
          <w:spacing w:val="-1"/>
        </w:rPr>
        <w:t>A</w:t>
      </w:r>
      <w:r w:rsidRPr="00AA552A">
        <w:rPr>
          <w:rFonts w:cs="Cambria"/>
          <w:color w:val="000000"/>
        </w:rPr>
        <w:t>, G</w:t>
      </w:r>
      <w:r w:rsidRPr="00AA552A">
        <w:rPr>
          <w:rFonts w:cs="Cambria"/>
          <w:color w:val="000000"/>
          <w:spacing w:val="1"/>
        </w:rPr>
        <w:t>e</w:t>
      </w:r>
      <w:r w:rsidRPr="00AA552A">
        <w:rPr>
          <w:rFonts w:cs="Cambria"/>
          <w:color w:val="000000"/>
        </w:rPr>
        <w:t>o</w:t>
      </w:r>
      <w:r w:rsidRPr="00AA552A">
        <w:rPr>
          <w:rFonts w:cs="Cambria"/>
          <w:color w:val="000000"/>
          <w:spacing w:val="-1"/>
        </w:rPr>
        <w:t>rg</w:t>
      </w:r>
      <w:r w:rsidRPr="00AA552A">
        <w:rPr>
          <w:rFonts w:cs="Cambria"/>
          <w:color w:val="000000"/>
          <w:spacing w:val="1"/>
        </w:rPr>
        <w:t>i</w:t>
      </w:r>
      <w:r w:rsidRPr="00AA552A">
        <w:rPr>
          <w:rFonts w:cs="Cambria"/>
          <w:color w:val="000000"/>
        </w:rPr>
        <w:t>a</w:t>
      </w:r>
      <w:r w:rsidRPr="00AA552A">
        <w:rPr>
          <w:rFonts w:cs="Cambria"/>
          <w:color w:val="000000"/>
          <w:spacing w:val="-6"/>
        </w:rPr>
        <w:t xml:space="preserve"> </w:t>
      </w:r>
      <w:r w:rsidRPr="00AA552A">
        <w:rPr>
          <w:rFonts w:cs="Cambria"/>
          <w:color w:val="000000"/>
          <w:spacing w:val="1"/>
        </w:rPr>
        <w:t>MP</w:t>
      </w:r>
      <w:r w:rsidRPr="00AA552A">
        <w:rPr>
          <w:rFonts w:cs="Cambria"/>
          <w:color w:val="000000"/>
          <w:spacing w:val="-1"/>
        </w:rPr>
        <w:t>A</w:t>
      </w:r>
      <w:r w:rsidRPr="00AA552A">
        <w:rPr>
          <w:rFonts w:cs="Cambria"/>
          <w:color w:val="000000"/>
        </w:rPr>
        <w:t>, No</w:t>
      </w:r>
      <w:r w:rsidRPr="00AA552A">
        <w:rPr>
          <w:rFonts w:cs="Cambria"/>
          <w:color w:val="000000"/>
          <w:spacing w:val="-1"/>
        </w:rPr>
        <w:t>r</w:t>
      </w:r>
      <w:r w:rsidRPr="00AA552A">
        <w:rPr>
          <w:rFonts w:cs="Cambria"/>
          <w:color w:val="000000"/>
        </w:rPr>
        <w:t>th</w:t>
      </w:r>
      <w:r w:rsidRPr="00AA552A">
        <w:rPr>
          <w:rFonts w:cs="Cambria"/>
          <w:color w:val="000000"/>
          <w:spacing w:val="-5"/>
        </w:rPr>
        <w:t xml:space="preserv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6"/>
        </w:rPr>
        <w:t xml:space="preserve"> </w:t>
      </w:r>
      <w:r w:rsidRPr="00AA552A">
        <w:rPr>
          <w:rFonts w:cs="Cambria"/>
          <w:color w:val="000000"/>
          <w:spacing w:val="1"/>
        </w:rPr>
        <w:t>MP</w:t>
      </w:r>
      <w:r w:rsidRPr="00AA552A">
        <w:rPr>
          <w:rFonts w:cs="Cambria"/>
          <w:color w:val="000000"/>
          <w:spacing w:val="-1"/>
        </w:rPr>
        <w:t>A</w:t>
      </w:r>
      <w:r w:rsidRPr="00AA552A">
        <w:rPr>
          <w:rFonts w:cs="Cambria"/>
          <w:color w:val="000000"/>
        </w:rPr>
        <w:t xml:space="preserve">, </w:t>
      </w:r>
      <w:r w:rsidRPr="00AA552A">
        <w:rPr>
          <w:rFonts w:cs="Cambria"/>
          <w:color w:val="000000"/>
          <w:spacing w:val="1"/>
        </w:rPr>
        <w:t>S</w:t>
      </w:r>
      <w:r w:rsidRPr="00AA552A">
        <w:rPr>
          <w:rFonts w:cs="Cambria"/>
          <w:color w:val="000000"/>
        </w:rPr>
        <w:t>t.</w:t>
      </w:r>
      <w:r w:rsidRPr="00AA552A">
        <w:rPr>
          <w:rFonts w:cs="Cambria"/>
          <w:color w:val="000000"/>
          <w:spacing w:val="-1"/>
        </w:rPr>
        <w:t xml:space="preserve"> </w:t>
      </w:r>
      <w:r w:rsidRPr="00AA552A">
        <w:rPr>
          <w:rFonts w:cs="Cambria"/>
          <w:color w:val="000000"/>
          <w:spacing w:val="1"/>
        </w:rPr>
        <w:t>L</w:t>
      </w:r>
      <w:r w:rsidRPr="00AA552A">
        <w:rPr>
          <w:rFonts w:cs="Cambria"/>
          <w:color w:val="000000"/>
        </w:rPr>
        <w:t>uc</w:t>
      </w:r>
      <w:r w:rsidRPr="00AA552A">
        <w:rPr>
          <w:rFonts w:cs="Cambria"/>
          <w:color w:val="000000"/>
          <w:spacing w:val="1"/>
        </w:rPr>
        <w:t>i</w:t>
      </w:r>
      <w:r w:rsidRPr="00AA552A">
        <w:rPr>
          <w:rFonts w:cs="Cambria"/>
          <w:color w:val="000000"/>
        </w:rPr>
        <w:t>e</w:t>
      </w:r>
      <w:r w:rsidRPr="00AA552A">
        <w:rPr>
          <w:rFonts w:cs="Cambria"/>
          <w:color w:val="000000"/>
          <w:spacing w:val="-2"/>
        </w:rPr>
        <w:t xml:space="preserve"> </w:t>
      </w:r>
      <w:r w:rsidRPr="00AA552A">
        <w:rPr>
          <w:rFonts w:cs="Cambria"/>
          <w:color w:val="000000"/>
          <w:spacing w:val="1"/>
        </w:rPr>
        <w:t>H</w:t>
      </w:r>
      <w:r w:rsidRPr="00AA552A">
        <w:rPr>
          <w:rFonts w:cs="Cambria"/>
          <w:color w:val="000000"/>
        </w:rPr>
        <w:t>ump</w:t>
      </w:r>
      <w:r w:rsidRPr="00AA552A">
        <w:rPr>
          <w:rFonts w:cs="Cambria"/>
          <w:color w:val="000000"/>
          <w:spacing w:val="-1"/>
        </w:rPr>
        <w:t xml:space="preserve"> </w:t>
      </w:r>
      <w:r w:rsidRPr="00AA552A">
        <w:rPr>
          <w:rFonts w:cs="Cambria"/>
          <w:color w:val="000000"/>
          <w:spacing w:val="1"/>
        </w:rPr>
        <w:t>MP</w:t>
      </w:r>
      <w:r w:rsidRPr="00AA552A">
        <w:rPr>
          <w:rFonts w:cs="Cambria"/>
          <w:color w:val="000000"/>
        </w:rPr>
        <w:t>A</w:t>
      </w:r>
      <w:r>
        <w:rPr>
          <w:rFonts w:cs="Cambria"/>
          <w:color w:val="000000"/>
        </w:rPr>
        <w:t>,</w:t>
      </w:r>
      <w:r w:rsidRPr="00AA552A">
        <w:rPr>
          <w:rFonts w:cs="Cambria"/>
          <w:color w:val="000000"/>
          <w:spacing w:val="-2"/>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E</w:t>
      </w:r>
      <w:r w:rsidRPr="00AA552A">
        <w:rPr>
          <w:rFonts w:cs="Cambria"/>
          <w:color w:val="000000"/>
        </w:rPr>
        <w:t>ast</w:t>
      </w:r>
      <w:r w:rsidRPr="00AA552A">
        <w:rPr>
          <w:rFonts w:cs="Cambria"/>
          <w:color w:val="000000"/>
          <w:spacing w:val="-1"/>
        </w:rPr>
        <w:t xml:space="preserve"> </w:t>
      </w:r>
      <w:r w:rsidRPr="00AA552A">
        <w:rPr>
          <w:rFonts w:cs="Cambria"/>
          <w:color w:val="000000"/>
          <w:spacing w:val="1"/>
        </w:rPr>
        <w:t>H</w:t>
      </w:r>
      <w:r w:rsidRPr="00AA552A">
        <w:rPr>
          <w:rFonts w:cs="Cambria"/>
          <w:color w:val="000000"/>
        </w:rPr>
        <w:t>ump</w:t>
      </w:r>
      <w:r w:rsidRPr="00AA552A">
        <w:rPr>
          <w:rFonts w:cs="Cambria"/>
          <w:color w:val="000000"/>
          <w:spacing w:val="-1"/>
        </w:rPr>
        <w:t xml:space="preserve"> </w:t>
      </w:r>
      <w:r w:rsidRPr="00AA552A">
        <w:rPr>
          <w:rFonts w:cs="Cambria"/>
          <w:color w:val="000000"/>
          <w:spacing w:val="1"/>
        </w:rPr>
        <w:t>MP</w:t>
      </w:r>
      <w:r w:rsidRPr="00AA552A">
        <w:rPr>
          <w:rFonts w:cs="Cambria"/>
          <w:color w:val="000000"/>
          <w:spacing w:val="-1"/>
        </w:rPr>
        <w:t>A</w:t>
      </w:r>
      <w:r w:rsidRPr="00AA552A">
        <w:rPr>
          <w:rFonts w:cs="Cambria"/>
          <w:color w:val="000000"/>
        </w:rPr>
        <w:t>.</w:t>
      </w:r>
    </w:p>
    <w:p w14:paraId="47FE4178" w14:textId="77777777" w:rsidR="00DC4922" w:rsidRDefault="00DC4922" w:rsidP="00DC4922">
      <w:pPr>
        <w:rPr>
          <w:rFonts w:cs="Cambria"/>
          <w:color w:val="000000"/>
        </w:rPr>
      </w:pPr>
    </w:p>
    <w:p w14:paraId="00226E17" w14:textId="77777777" w:rsidR="00DC4922" w:rsidRDefault="00DC4922" w:rsidP="00640526">
      <w:pPr>
        <w:ind w:firstLine="360"/>
        <w:rPr>
          <w:rFonts w:cs="Cambria"/>
          <w:color w:val="000000"/>
        </w:rPr>
      </w:pPr>
      <w:r w:rsidRPr="00AA552A">
        <w:rPr>
          <w:rFonts w:cs="Cambria"/>
          <w:color w:val="000000"/>
        </w:rPr>
        <w:t>D</w:t>
      </w:r>
      <w:r w:rsidRPr="00AA552A">
        <w:rPr>
          <w:rFonts w:cs="Cambria"/>
          <w:color w:val="000000"/>
          <w:spacing w:val="1"/>
        </w:rPr>
        <w:t>eep</w:t>
      </w:r>
      <w:r w:rsidRPr="00AA552A">
        <w:rPr>
          <w:rFonts w:cs="Cambria"/>
          <w:color w:val="000000"/>
          <w:spacing w:val="-1"/>
        </w:rPr>
        <w:t>w</w:t>
      </w:r>
      <w:r w:rsidRPr="00AA552A">
        <w:rPr>
          <w:rFonts w:cs="Cambria"/>
          <w:color w:val="000000"/>
        </w:rPr>
        <w:t>at</w:t>
      </w:r>
      <w:r w:rsidRPr="00AA552A">
        <w:rPr>
          <w:rFonts w:cs="Cambria"/>
          <w:color w:val="000000"/>
          <w:spacing w:val="1"/>
        </w:rPr>
        <w:t>e</w:t>
      </w:r>
      <w:r w:rsidRPr="00AA552A">
        <w:rPr>
          <w:rFonts w:cs="Cambria"/>
          <w:color w:val="000000"/>
        </w:rPr>
        <w:t>r</w:t>
      </w:r>
      <w:r w:rsidRPr="00AA552A">
        <w:rPr>
          <w:rFonts w:cs="Cambria"/>
          <w:color w:val="000000"/>
          <w:spacing w:val="-7"/>
        </w:rPr>
        <w:t xml:space="preserve"> </w:t>
      </w:r>
      <w:r w:rsidRPr="00AA552A">
        <w:rPr>
          <w:rFonts w:cs="Cambria"/>
          <w:color w:val="000000"/>
          <w:spacing w:val="-1"/>
        </w:rPr>
        <w:t>C</w:t>
      </w:r>
      <w:r w:rsidRPr="00AA552A">
        <w:rPr>
          <w:rFonts w:cs="Cambria"/>
          <w:color w:val="000000"/>
        </w:rPr>
        <w:t>o</w:t>
      </w:r>
      <w:r w:rsidRPr="00AA552A">
        <w:rPr>
          <w:rFonts w:cs="Cambria"/>
          <w:color w:val="000000"/>
          <w:spacing w:val="-1"/>
        </w:rPr>
        <w:t>r</w:t>
      </w:r>
      <w:r w:rsidRPr="00AA552A">
        <w:rPr>
          <w:rFonts w:cs="Cambria"/>
          <w:color w:val="000000"/>
        </w:rPr>
        <w:t>al</w:t>
      </w:r>
      <w:r w:rsidRPr="00AA552A">
        <w:rPr>
          <w:rFonts w:cs="Cambria"/>
          <w:color w:val="000000"/>
          <w:spacing w:val="-4"/>
        </w:rPr>
        <w:t xml:space="preserve"> </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s</w:t>
      </w:r>
      <w:r w:rsidRPr="00AA552A">
        <w:rPr>
          <w:rFonts w:cs="Cambria"/>
          <w:color w:val="000000"/>
          <w:spacing w:val="-5"/>
        </w:rPr>
        <w:t xml:space="preserve"> </w:t>
      </w:r>
      <w:r w:rsidRPr="00AA552A">
        <w:rPr>
          <w:rFonts w:cs="Cambria"/>
          <w:color w:val="000000"/>
          <w:spacing w:val="-1"/>
        </w:rPr>
        <w:t>d</w:t>
      </w:r>
      <w:r w:rsidRPr="00AA552A">
        <w:rPr>
          <w:rFonts w:cs="Cambria"/>
          <w:color w:val="000000"/>
          <w:spacing w:val="1"/>
        </w:rPr>
        <w:t>e</w:t>
      </w:r>
      <w:r w:rsidRPr="00AA552A">
        <w:rPr>
          <w:rFonts w:cs="Cambria"/>
          <w:color w:val="000000"/>
        </w:rPr>
        <w:t>s</w:t>
      </w:r>
      <w:r w:rsidRPr="00AA552A">
        <w:rPr>
          <w:rFonts w:cs="Cambria"/>
          <w:color w:val="000000"/>
          <w:spacing w:val="1"/>
        </w:rPr>
        <w:t>i</w:t>
      </w:r>
      <w:r w:rsidRPr="00AA552A">
        <w:rPr>
          <w:rFonts w:cs="Cambria"/>
          <w:color w:val="000000"/>
          <w:spacing w:val="-1"/>
        </w:rPr>
        <w:t>g</w:t>
      </w:r>
      <w:r w:rsidRPr="00AA552A">
        <w:rPr>
          <w:rFonts w:cs="Cambria"/>
          <w:color w:val="000000"/>
        </w:rPr>
        <w:t>nat</w:t>
      </w:r>
      <w:r w:rsidRPr="00AA552A">
        <w:rPr>
          <w:rFonts w:cs="Cambria"/>
          <w:color w:val="000000"/>
          <w:spacing w:val="1"/>
        </w:rPr>
        <w:t>e</w:t>
      </w:r>
      <w:r w:rsidRPr="00AA552A">
        <w:rPr>
          <w:rFonts w:cs="Cambria"/>
          <w:color w:val="000000"/>
        </w:rPr>
        <w:t>d</w:t>
      </w:r>
      <w:r w:rsidRPr="00AA552A">
        <w:rPr>
          <w:rFonts w:cs="Cambria"/>
          <w:color w:val="000000"/>
          <w:spacing w:val="-8"/>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C</w:t>
      </w:r>
      <w:r w:rsidRPr="00AA552A">
        <w:rPr>
          <w:rFonts w:cs="Cambria"/>
          <w:color w:val="000000"/>
        </w:rPr>
        <w:t>om</w:t>
      </w:r>
      <w:r w:rsidRPr="00AA552A">
        <w:rPr>
          <w:rFonts w:cs="Cambria"/>
          <w:color w:val="000000"/>
          <w:spacing w:val="1"/>
        </w:rPr>
        <w:t>p</w:t>
      </w:r>
      <w:r w:rsidRPr="00AA552A">
        <w:rPr>
          <w:rFonts w:cs="Cambria"/>
          <w:color w:val="000000"/>
          <w:spacing w:val="-1"/>
        </w:rPr>
        <w:t>r</w:t>
      </w:r>
      <w:r w:rsidRPr="00AA552A">
        <w:rPr>
          <w:rFonts w:cs="Cambria"/>
          <w:color w:val="000000"/>
          <w:spacing w:val="1"/>
        </w:rPr>
        <w:t>e</w:t>
      </w:r>
      <w:r w:rsidRPr="00AA552A">
        <w:rPr>
          <w:rFonts w:cs="Cambria"/>
          <w:color w:val="000000"/>
        </w:rPr>
        <w:t>h</w:t>
      </w:r>
      <w:r w:rsidRPr="00AA552A">
        <w:rPr>
          <w:rFonts w:cs="Cambria"/>
          <w:color w:val="000000"/>
          <w:spacing w:val="1"/>
        </w:rPr>
        <w:t>e</w:t>
      </w:r>
      <w:r w:rsidRPr="00AA552A">
        <w:rPr>
          <w:rFonts w:cs="Cambria"/>
          <w:color w:val="000000"/>
        </w:rPr>
        <w:t>ns</w:t>
      </w:r>
      <w:r w:rsidRPr="00AA552A">
        <w:rPr>
          <w:rFonts w:cs="Cambria"/>
          <w:color w:val="000000"/>
          <w:spacing w:val="1"/>
        </w:rPr>
        <w:t>i</w:t>
      </w:r>
      <w:r w:rsidRPr="00AA552A">
        <w:rPr>
          <w:rFonts w:cs="Cambria"/>
          <w:color w:val="000000"/>
          <w:spacing w:val="-1"/>
        </w:rPr>
        <w:t>v</w:t>
      </w:r>
      <w:r w:rsidRPr="00AA552A">
        <w:rPr>
          <w:rFonts w:cs="Cambria"/>
          <w:color w:val="000000"/>
        </w:rPr>
        <w:t>e</w:t>
      </w:r>
      <w:r w:rsidRPr="00AA552A">
        <w:rPr>
          <w:rFonts w:cs="Cambria"/>
          <w:color w:val="000000"/>
          <w:spacing w:val="-10"/>
        </w:rPr>
        <w:t xml:space="preserve"> </w:t>
      </w:r>
      <w:r w:rsidRPr="00AA552A">
        <w:rPr>
          <w:rFonts w:cs="Cambria"/>
          <w:color w:val="000000"/>
          <w:spacing w:val="1"/>
        </w:rPr>
        <w:t>E</w:t>
      </w:r>
      <w:r w:rsidRPr="00AA552A">
        <w:rPr>
          <w:rFonts w:cs="Cambria"/>
          <w:color w:val="000000"/>
        </w:rPr>
        <w:t>cos</w:t>
      </w:r>
      <w:r w:rsidRPr="00AA552A">
        <w:rPr>
          <w:rFonts w:cs="Cambria"/>
          <w:color w:val="000000"/>
          <w:spacing w:val="-1"/>
        </w:rPr>
        <w:t>y</w:t>
      </w:r>
      <w:r w:rsidRPr="00AA552A">
        <w:rPr>
          <w:rFonts w:cs="Cambria"/>
          <w:color w:val="000000"/>
        </w:rPr>
        <w:t>st</w:t>
      </w:r>
      <w:r w:rsidRPr="00AA552A">
        <w:rPr>
          <w:rFonts w:cs="Cambria"/>
          <w:color w:val="000000"/>
          <w:spacing w:val="1"/>
        </w:rPr>
        <w:t>e</w:t>
      </w:r>
      <w:r w:rsidRPr="00AA552A">
        <w:rPr>
          <w:rFonts w:cs="Cambria"/>
          <w:color w:val="000000"/>
        </w:rPr>
        <w:t>m-Bas</w:t>
      </w:r>
      <w:r w:rsidRPr="00AA552A">
        <w:rPr>
          <w:rFonts w:cs="Cambria"/>
          <w:color w:val="000000"/>
          <w:spacing w:val="1"/>
        </w:rPr>
        <w:t>e</w:t>
      </w:r>
      <w:r w:rsidRPr="00AA552A">
        <w:rPr>
          <w:rFonts w:cs="Cambria"/>
          <w:color w:val="000000"/>
        </w:rPr>
        <w:t>d</w:t>
      </w:r>
      <w:r w:rsidRPr="00AA552A">
        <w:rPr>
          <w:rFonts w:cs="Cambria"/>
          <w:color w:val="000000"/>
          <w:spacing w:val="-11"/>
        </w:rPr>
        <w:t xml:space="preserve"> </w:t>
      </w:r>
      <w:r w:rsidRPr="00AA552A">
        <w:rPr>
          <w:rFonts w:cs="Cambria"/>
          <w:color w:val="000000"/>
          <w:spacing w:val="-1"/>
        </w:rPr>
        <w:t>A</w:t>
      </w:r>
      <w:r w:rsidRPr="00AA552A">
        <w:rPr>
          <w:rFonts w:cs="Cambria"/>
          <w:color w:val="000000"/>
        </w:rPr>
        <w:t>m</w:t>
      </w:r>
      <w:r w:rsidRPr="00AA552A">
        <w:rPr>
          <w:rFonts w:cs="Cambria"/>
          <w:color w:val="000000"/>
          <w:spacing w:val="1"/>
        </w:rPr>
        <w:t>e</w:t>
      </w:r>
      <w:r w:rsidRPr="00AA552A">
        <w:rPr>
          <w:rFonts w:cs="Cambria"/>
          <w:color w:val="000000"/>
        </w:rPr>
        <w:t>n</w:t>
      </w:r>
      <w:r w:rsidRPr="00AA552A">
        <w:rPr>
          <w:rFonts w:cs="Cambria"/>
          <w:color w:val="000000"/>
          <w:spacing w:val="-1"/>
        </w:rPr>
        <w:t>d</w:t>
      </w:r>
      <w:r w:rsidRPr="00AA552A">
        <w:rPr>
          <w:rFonts w:cs="Cambria"/>
          <w:color w:val="000000"/>
        </w:rPr>
        <w:t>m</w:t>
      </w:r>
      <w:r w:rsidRPr="00AA552A">
        <w:rPr>
          <w:rFonts w:cs="Cambria"/>
          <w:color w:val="000000"/>
          <w:spacing w:val="1"/>
        </w:rPr>
        <w:t>e</w:t>
      </w:r>
      <w:r w:rsidRPr="00AA552A">
        <w:rPr>
          <w:rFonts w:cs="Cambria"/>
          <w:color w:val="000000"/>
        </w:rPr>
        <w:t>nt</w:t>
      </w:r>
      <w:r w:rsidRPr="00AA552A">
        <w:rPr>
          <w:rFonts w:cs="Cambria"/>
          <w:color w:val="000000"/>
          <w:spacing w:val="-8"/>
        </w:rPr>
        <w:t xml:space="preserve"> </w:t>
      </w:r>
      <w:r w:rsidRPr="00AA552A">
        <w:rPr>
          <w:rFonts w:cs="Cambria"/>
          <w:color w:val="000000"/>
        </w:rPr>
        <w:t>1</w:t>
      </w:r>
      <w:r w:rsidRPr="00AA552A">
        <w:rPr>
          <w:rFonts w:cs="Cambria"/>
          <w:color w:val="000000"/>
          <w:spacing w:val="-2"/>
        </w:rPr>
        <w:t xml:space="preserve"> </w:t>
      </w:r>
      <w:r>
        <w:rPr>
          <w:rFonts w:cs="Cambria"/>
          <w:color w:val="000000"/>
          <w:spacing w:val="-2"/>
        </w:rPr>
        <w:t xml:space="preserve">are designated </w:t>
      </w:r>
      <w:r w:rsidRPr="00AA552A">
        <w:rPr>
          <w:rFonts w:cs="Cambria"/>
          <w:color w:val="000000"/>
        </w:rPr>
        <w:t xml:space="preserve">as </w:t>
      </w:r>
      <w:r w:rsidRPr="00AA552A">
        <w:rPr>
          <w:rFonts w:cs="Cambria"/>
          <w:color w:val="000000"/>
          <w:spacing w:val="1"/>
        </w:rPr>
        <w:t>S</w:t>
      </w:r>
      <w:r w:rsidRPr="00AA552A">
        <w:rPr>
          <w:rFonts w:cs="Cambria"/>
          <w:color w:val="000000"/>
        </w:rPr>
        <w:t>na</w:t>
      </w:r>
      <w:r w:rsidRPr="00AA552A">
        <w:rPr>
          <w:rFonts w:cs="Cambria"/>
          <w:color w:val="000000"/>
          <w:spacing w:val="-1"/>
        </w:rPr>
        <w:t>p</w:t>
      </w:r>
      <w:r w:rsidRPr="00AA552A">
        <w:rPr>
          <w:rFonts w:cs="Cambria"/>
          <w:color w:val="000000"/>
          <w:spacing w:val="1"/>
        </w:rPr>
        <w:t>pe</w:t>
      </w:r>
      <w:r w:rsidRPr="00AA552A">
        <w:rPr>
          <w:rFonts w:cs="Cambria"/>
          <w:color w:val="000000"/>
        </w:rPr>
        <w:t>r</w:t>
      </w:r>
      <w:r w:rsidRPr="00AA552A">
        <w:rPr>
          <w:rFonts w:cs="Cambria"/>
          <w:color w:val="000000"/>
          <w:spacing w:val="-3"/>
        </w:rPr>
        <w:t xml:space="preserve"> </w:t>
      </w:r>
      <w:r w:rsidRPr="00AA552A">
        <w:rPr>
          <w:rFonts w:cs="Cambria"/>
          <w:color w:val="000000"/>
        </w:rPr>
        <w:t>G</w:t>
      </w:r>
      <w:r w:rsidRPr="00AA552A">
        <w:rPr>
          <w:rFonts w:cs="Cambria"/>
          <w:color w:val="000000"/>
          <w:spacing w:val="-1"/>
        </w:rPr>
        <w:t>r</w:t>
      </w:r>
      <w:r w:rsidRPr="00AA552A">
        <w:rPr>
          <w:rFonts w:cs="Cambria"/>
          <w:color w:val="000000"/>
        </w:rPr>
        <w:t>o</w:t>
      </w:r>
      <w:r w:rsidRPr="00AA552A">
        <w:rPr>
          <w:rFonts w:cs="Cambria"/>
          <w:color w:val="000000"/>
          <w:spacing w:val="-1"/>
        </w:rPr>
        <w:t>u</w:t>
      </w:r>
      <w:r w:rsidRPr="00AA552A">
        <w:rPr>
          <w:rFonts w:cs="Cambria"/>
          <w:color w:val="000000"/>
          <w:spacing w:val="1"/>
        </w:rPr>
        <w:t>pe</w:t>
      </w:r>
      <w:r w:rsidRPr="00AA552A">
        <w:rPr>
          <w:rFonts w:cs="Cambria"/>
          <w:color w:val="000000"/>
        </w:rPr>
        <w:t>r</w:t>
      </w:r>
      <w:r w:rsidRPr="00AA552A">
        <w:rPr>
          <w:rFonts w:cs="Cambria"/>
          <w:color w:val="000000"/>
          <w:spacing w:val="-7"/>
        </w:rPr>
        <w:t xml:space="preserve"> </w:t>
      </w:r>
      <w:r w:rsidRPr="00AA552A">
        <w:rPr>
          <w:rFonts w:cs="Cambria"/>
          <w:color w:val="000000"/>
          <w:spacing w:val="1"/>
        </w:rPr>
        <w:t>EFH</w:t>
      </w:r>
      <w:r w:rsidRPr="00AA552A">
        <w:rPr>
          <w:rFonts w:cs="Cambria"/>
          <w:color w:val="000000"/>
          <w:spacing w:val="-3"/>
        </w:rPr>
        <w:t>-</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s:</w:t>
      </w:r>
      <w:r w:rsidRPr="00AA552A">
        <w:rPr>
          <w:rFonts w:cs="Cambria"/>
          <w:color w:val="000000"/>
          <w:spacing w:val="43"/>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p</w:t>
      </w:r>
      <w:r w:rsidRPr="00AA552A">
        <w:rPr>
          <w:rFonts w:cs="Cambria"/>
          <w:color w:val="000000"/>
        </w:rPr>
        <w:t>e</w:t>
      </w:r>
      <w:r w:rsidRPr="00AA552A">
        <w:rPr>
          <w:rFonts w:cs="Cambria"/>
          <w:color w:val="000000"/>
          <w:spacing w:val="-2"/>
        </w:rPr>
        <w:t xml:space="preserve"> </w:t>
      </w:r>
      <w:r w:rsidRPr="00AA552A">
        <w:rPr>
          <w:rFonts w:cs="Cambria"/>
          <w:color w:val="000000"/>
          <w:spacing w:val="1"/>
        </w:rPr>
        <w:t>L</w:t>
      </w:r>
      <w:r w:rsidRPr="00AA552A">
        <w:rPr>
          <w:rFonts w:cs="Cambria"/>
          <w:color w:val="000000"/>
        </w:rPr>
        <w:t>oo</w:t>
      </w:r>
      <w:r w:rsidRPr="00AA552A">
        <w:rPr>
          <w:rFonts w:cs="Cambria"/>
          <w:color w:val="000000"/>
          <w:spacing w:val="-1"/>
        </w:rPr>
        <w:t>k</w:t>
      </w:r>
      <w:r w:rsidRPr="00AA552A">
        <w:rPr>
          <w:rFonts w:cs="Cambria"/>
          <w:color w:val="000000"/>
        </w:rPr>
        <w:t>out</w:t>
      </w:r>
      <w:r w:rsidRPr="00AA552A">
        <w:rPr>
          <w:rFonts w:cs="Cambria"/>
          <w:color w:val="000000"/>
          <w:spacing w:val="-5"/>
        </w:rPr>
        <w:t xml:space="preserve"> </w:t>
      </w:r>
      <w:r w:rsidRPr="00AA552A">
        <w:rPr>
          <w:rFonts w:cs="Cambria"/>
          <w:color w:val="000000"/>
          <w:spacing w:val="2"/>
        </w:rPr>
        <w:t>C</w:t>
      </w:r>
      <w:r w:rsidRPr="00AA552A">
        <w:rPr>
          <w:rFonts w:cs="Cambria"/>
          <w:color w:val="000000"/>
        </w:rPr>
        <w:t>o</w:t>
      </w:r>
      <w:r w:rsidRPr="00AA552A">
        <w:rPr>
          <w:rFonts w:cs="Cambria"/>
          <w:color w:val="000000"/>
          <w:spacing w:val="-1"/>
        </w:rPr>
        <w:t>r</w:t>
      </w:r>
      <w:r w:rsidRPr="00AA552A">
        <w:rPr>
          <w:rFonts w:cs="Cambria"/>
          <w:color w:val="000000"/>
        </w:rPr>
        <w:t>al</w:t>
      </w:r>
      <w:r w:rsidRPr="00AA552A">
        <w:rPr>
          <w:rFonts w:cs="Cambria"/>
          <w:color w:val="000000"/>
          <w:spacing w:val="-4"/>
        </w:rPr>
        <w:t xml:space="preserve"> </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w:t>
      </w:r>
      <w:r w:rsidRPr="00AA552A">
        <w:rPr>
          <w:rFonts w:cs="Cambria"/>
          <w:color w:val="000000"/>
          <w:spacing w:val="-3"/>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p</w:t>
      </w:r>
      <w:r w:rsidRPr="00AA552A">
        <w:rPr>
          <w:rFonts w:cs="Cambria"/>
          <w:color w:val="000000"/>
        </w:rPr>
        <w:t>e</w:t>
      </w:r>
      <w:r w:rsidRPr="00AA552A">
        <w:rPr>
          <w:rFonts w:cs="Cambria"/>
          <w:color w:val="000000"/>
          <w:spacing w:val="-2"/>
        </w:rPr>
        <w:t xml:space="preserve"> </w:t>
      </w:r>
      <w:r w:rsidRPr="00AA552A">
        <w:rPr>
          <w:rFonts w:cs="Cambria"/>
          <w:color w:val="000000"/>
          <w:spacing w:val="1"/>
        </w:rPr>
        <w:t>Fe</w:t>
      </w:r>
      <w:r w:rsidRPr="00AA552A">
        <w:rPr>
          <w:rFonts w:cs="Cambria"/>
          <w:color w:val="000000"/>
        </w:rPr>
        <w:t>ar</w:t>
      </w:r>
      <w:r w:rsidRPr="00AA552A">
        <w:rPr>
          <w:rFonts w:cs="Cambria"/>
          <w:color w:val="000000"/>
          <w:spacing w:val="-4"/>
        </w:rPr>
        <w:t xml:space="preserve"> </w:t>
      </w:r>
      <w:r w:rsidRPr="00AA552A">
        <w:rPr>
          <w:rFonts w:cs="Cambria"/>
          <w:color w:val="000000"/>
          <w:spacing w:val="-3"/>
        </w:rPr>
        <w:t>C</w:t>
      </w:r>
      <w:r w:rsidRPr="00AA552A">
        <w:rPr>
          <w:rFonts w:cs="Cambria"/>
          <w:color w:val="000000"/>
        </w:rPr>
        <w:t>o</w:t>
      </w:r>
      <w:r w:rsidRPr="00AA552A">
        <w:rPr>
          <w:rFonts w:cs="Cambria"/>
          <w:color w:val="000000"/>
          <w:spacing w:val="-1"/>
        </w:rPr>
        <w:t>r</w:t>
      </w:r>
      <w:r w:rsidRPr="00AA552A">
        <w:rPr>
          <w:rFonts w:cs="Cambria"/>
          <w:color w:val="000000"/>
        </w:rPr>
        <w:t>al</w:t>
      </w:r>
      <w:r w:rsidRPr="00AA552A">
        <w:rPr>
          <w:rFonts w:cs="Cambria"/>
          <w:color w:val="000000"/>
          <w:spacing w:val="-4"/>
        </w:rPr>
        <w:t xml:space="preserve"> </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w:t>
      </w:r>
      <w:r w:rsidRPr="00AA552A">
        <w:rPr>
          <w:rFonts w:cs="Cambria"/>
          <w:color w:val="000000"/>
          <w:spacing w:val="-3"/>
        </w:rPr>
        <w:t xml:space="preserve"> </w:t>
      </w:r>
      <w:r w:rsidRPr="00AA552A">
        <w:rPr>
          <w:rFonts w:cs="Cambria"/>
          <w:color w:val="000000"/>
        </w:rPr>
        <w:t>Bla</w:t>
      </w:r>
      <w:r w:rsidRPr="00AA552A">
        <w:rPr>
          <w:rFonts w:cs="Cambria"/>
          <w:color w:val="000000"/>
          <w:spacing w:val="-1"/>
        </w:rPr>
        <w:t>k</w:t>
      </w:r>
      <w:r w:rsidRPr="00AA552A">
        <w:rPr>
          <w:rFonts w:cs="Cambria"/>
          <w:color w:val="000000"/>
        </w:rPr>
        <w:t>e R</w:t>
      </w:r>
      <w:r w:rsidRPr="00AA552A">
        <w:rPr>
          <w:rFonts w:cs="Cambria"/>
          <w:color w:val="000000"/>
          <w:spacing w:val="1"/>
        </w:rPr>
        <w:t>i</w:t>
      </w:r>
      <w:r w:rsidRPr="00AA552A">
        <w:rPr>
          <w:rFonts w:cs="Cambria"/>
          <w:color w:val="000000"/>
          <w:spacing w:val="-1"/>
        </w:rPr>
        <w:t>dg</w:t>
      </w:r>
      <w:r w:rsidRPr="00AA552A">
        <w:rPr>
          <w:rFonts w:cs="Cambria"/>
          <w:color w:val="000000"/>
        </w:rPr>
        <w:t>e D</w:t>
      </w:r>
      <w:r w:rsidRPr="00AA552A">
        <w:rPr>
          <w:rFonts w:cs="Cambria"/>
          <w:color w:val="000000"/>
          <w:spacing w:val="1"/>
        </w:rPr>
        <w:t>i</w:t>
      </w:r>
      <w:r w:rsidRPr="00AA552A">
        <w:rPr>
          <w:rFonts w:cs="Cambria"/>
          <w:color w:val="000000"/>
        </w:rPr>
        <w:t>a</w:t>
      </w:r>
      <w:r w:rsidRPr="00AA552A">
        <w:rPr>
          <w:rFonts w:cs="Cambria"/>
          <w:color w:val="000000"/>
          <w:spacing w:val="1"/>
        </w:rPr>
        <w:t>pi</w:t>
      </w:r>
      <w:r w:rsidRPr="00AA552A">
        <w:rPr>
          <w:rFonts w:cs="Cambria"/>
          <w:color w:val="000000"/>
        </w:rPr>
        <w:t>r</w:t>
      </w:r>
      <w:r w:rsidRPr="00AA552A">
        <w:rPr>
          <w:rFonts w:cs="Cambria"/>
          <w:color w:val="000000"/>
          <w:spacing w:val="-5"/>
        </w:rPr>
        <w:t xml:space="preserve"> </w:t>
      </w:r>
      <w:r w:rsidRPr="00AA552A">
        <w:rPr>
          <w:rFonts w:cs="Cambria"/>
          <w:color w:val="000000"/>
          <w:spacing w:val="-1"/>
        </w:rPr>
        <w:t>C</w:t>
      </w:r>
      <w:r w:rsidRPr="00AA552A">
        <w:rPr>
          <w:rFonts w:cs="Cambria"/>
          <w:color w:val="000000"/>
        </w:rPr>
        <w:t>o</w:t>
      </w:r>
      <w:r w:rsidRPr="00AA552A">
        <w:rPr>
          <w:rFonts w:cs="Cambria"/>
          <w:color w:val="000000"/>
          <w:spacing w:val="-1"/>
        </w:rPr>
        <w:t>r</w:t>
      </w:r>
      <w:r w:rsidRPr="00AA552A">
        <w:rPr>
          <w:rFonts w:cs="Cambria"/>
          <w:color w:val="000000"/>
        </w:rPr>
        <w:t>al</w:t>
      </w:r>
      <w:r w:rsidRPr="00AA552A">
        <w:rPr>
          <w:rFonts w:cs="Cambria"/>
          <w:color w:val="000000"/>
          <w:spacing w:val="-4"/>
        </w:rPr>
        <w:t xml:space="preserve"> </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w:t>
      </w:r>
      <w:r w:rsidRPr="00AA552A">
        <w:rPr>
          <w:rFonts w:cs="Cambria"/>
          <w:color w:val="000000"/>
          <w:spacing w:val="-3"/>
        </w:rPr>
        <w:t xml:space="preserve"> </w:t>
      </w:r>
      <w:r w:rsidRPr="00AA552A">
        <w:rPr>
          <w:rFonts w:cs="Cambria"/>
          <w:color w:val="000000"/>
          <w:spacing w:val="1"/>
        </w:rPr>
        <w:t>S</w:t>
      </w:r>
      <w:r w:rsidRPr="00AA552A">
        <w:rPr>
          <w:rFonts w:cs="Cambria"/>
          <w:color w:val="000000"/>
        </w:rPr>
        <w:t>t</w:t>
      </w:r>
      <w:r w:rsidRPr="00AA552A">
        <w:rPr>
          <w:rFonts w:cs="Cambria"/>
          <w:color w:val="000000"/>
          <w:spacing w:val="1"/>
        </w:rPr>
        <w:t>e</w:t>
      </w:r>
      <w:r w:rsidRPr="00AA552A">
        <w:rPr>
          <w:rFonts w:cs="Cambria"/>
          <w:color w:val="000000"/>
          <w:spacing w:val="-2"/>
        </w:rPr>
        <w:t>t</w:t>
      </w:r>
      <w:r w:rsidRPr="00AA552A">
        <w:rPr>
          <w:rFonts w:cs="Cambria"/>
          <w:color w:val="000000"/>
        </w:rPr>
        <w:t>son-</w:t>
      </w:r>
      <w:r w:rsidRPr="00AA552A">
        <w:rPr>
          <w:rFonts w:cs="Cambria"/>
          <w:color w:val="000000"/>
          <w:spacing w:val="1"/>
        </w:rPr>
        <w:t>Mi</w:t>
      </w:r>
      <w:r w:rsidRPr="00AA552A">
        <w:rPr>
          <w:rFonts w:cs="Cambria"/>
          <w:color w:val="000000"/>
        </w:rPr>
        <w:t>ami</w:t>
      </w:r>
      <w:r w:rsidRPr="00AA552A">
        <w:rPr>
          <w:rFonts w:cs="Cambria"/>
          <w:color w:val="000000"/>
          <w:spacing w:val="-5"/>
        </w:rPr>
        <w:t xml:space="preserve"> </w:t>
      </w:r>
      <w:r w:rsidRPr="00AA552A">
        <w:rPr>
          <w:rFonts w:cs="Cambria"/>
          <w:color w:val="000000"/>
          <w:spacing w:val="-1"/>
        </w:rPr>
        <w:t>T</w:t>
      </w:r>
      <w:r w:rsidRPr="00AA552A">
        <w:rPr>
          <w:rFonts w:cs="Cambria"/>
          <w:color w:val="000000"/>
          <w:spacing w:val="1"/>
        </w:rPr>
        <w:t>e</w:t>
      </w:r>
      <w:r w:rsidRPr="00AA552A">
        <w:rPr>
          <w:rFonts w:cs="Cambria"/>
          <w:color w:val="000000"/>
          <w:spacing w:val="-1"/>
        </w:rPr>
        <w:t>rr</w:t>
      </w:r>
      <w:r w:rsidRPr="00AA552A">
        <w:rPr>
          <w:rFonts w:cs="Cambria"/>
          <w:color w:val="000000"/>
        </w:rPr>
        <w:t>ace</w:t>
      </w:r>
      <w:r w:rsidRPr="00AA552A">
        <w:rPr>
          <w:rFonts w:cs="Cambria"/>
          <w:color w:val="000000"/>
          <w:spacing w:val="-6"/>
        </w:rPr>
        <w:t xml:space="preserve"> </w:t>
      </w:r>
      <w:r w:rsidRPr="00AA552A">
        <w:rPr>
          <w:rFonts w:cs="Cambria"/>
          <w:color w:val="000000"/>
          <w:spacing w:val="-1"/>
        </w:rPr>
        <w:t>C</w:t>
      </w:r>
      <w:r w:rsidRPr="00AA552A">
        <w:rPr>
          <w:rFonts w:cs="Cambria"/>
          <w:color w:val="000000"/>
        </w:rPr>
        <w:t>o</w:t>
      </w:r>
      <w:r w:rsidRPr="00AA552A">
        <w:rPr>
          <w:rFonts w:cs="Cambria"/>
          <w:color w:val="000000"/>
          <w:spacing w:val="-1"/>
        </w:rPr>
        <w:t>r</w:t>
      </w:r>
      <w:r w:rsidRPr="00AA552A">
        <w:rPr>
          <w:rFonts w:cs="Cambria"/>
          <w:color w:val="000000"/>
        </w:rPr>
        <w:t>al</w:t>
      </w:r>
      <w:r w:rsidRPr="00AA552A">
        <w:rPr>
          <w:rFonts w:cs="Cambria"/>
          <w:color w:val="000000"/>
          <w:spacing w:val="-4"/>
        </w:rPr>
        <w:t xml:space="preserve"> </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w:t>
      </w:r>
      <w:r w:rsidRPr="00AA552A">
        <w:rPr>
          <w:rFonts w:cs="Cambria"/>
          <w:color w:val="000000"/>
          <w:spacing w:val="-3"/>
        </w:rPr>
        <w:t xml:space="preserve"> </w:t>
      </w:r>
      <w:r>
        <w:rPr>
          <w:rFonts w:cs="Cambria"/>
          <w:color w:val="000000"/>
          <w:spacing w:val="-3"/>
        </w:rPr>
        <w:t xml:space="preserve">and </w:t>
      </w:r>
      <w:r w:rsidRPr="00AA552A">
        <w:rPr>
          <w:rFonts w:cs="Cambria"/>
          <w:color w:val="000000"/>
          <w:spacing w:val="1"/>
        </w:rPr>
        <w:t>P</w:t>
      </w:r>
      <w:r w:rsidRPr="00AA552A">
        <w:rPr>
          <w:rFonts w:cs="Cambria"/>
          <w:color w:val="000000"/>
        </w:rPr>
        <w:t>o</w:t>
      </w:r>
      <w:r w:rsidRPr="00AA552A">
        <w:rPr>
          <w:rFonts w:cs="Cambria"/>
          <w:color w:val="000000"/>
          <w:spacing w:val="-1"/>
        </w:rPr>
        <w:t>ur</w:t>
      </w:r>
      <w:r w:rsidRPr="00AA552A">
        <w:rPr>
          <w:rFonts w:cs="Cambria"/>
          <w:color w:val="000000"/>
        </w:rPr>
        <w:t>tal</w:t>
      </w:r>
      <w:r w:rsidRPr="00AA552A">
        <w:rPr>
          <w:rFonts w:cs="Cambria"/>
          <w:color w:val="000000"/>
          <w:spacing w:val="1"/>
        </w:rPr>
        <w:t>é</w:t>
      </w:r>
      <w:r w:rsidRPr="00AA552A">
        <w:rPr>
          <w:rFonts w:cs="Cambria"/>
          <w:color w:val="000000"/>
        </w:rPr>
        <w:t>s</w:t>
      </w:r>
      <w:r w:rsidRPr="00AA552A">
        <w:rPr>
          <w:rFonts w:cs="Cambria"/>
          <w:color w:val="000000"/>
          <w:spacing w:val="-6"/>
        </w:rPr>
        <w:t xml:space="preserve"> </w:t>
      </w:r>
      <w:r w:rsidRPr="00AA552A">
        <w:rPr>
          <w:rFonts w:cs="Cambria"/>
          <w:color w:val="000000"/>
          <w:spacing w:val="-1"/>
        </w:rPr>
        <w:t>T</w:t>
      </w:r>
      <w:r w:rsidRPr="00AA552A">
        <w:rPr>
          <w:rFonts w:cs="Cambria"/>
          <w:color w:val="000000"/>
          <w:spacing w:val="1"/>
        </w:rPr>
        <w:t>e</w:t>
      </w:r>
      <w:r w:rsidRPr="00AA552A">
        <w:rPr>
          <w:rFonts w:cs="Cambria"/>
          <w:color w:val="000000"/>
          <w:spacing w:val="-1"/>
        </w:rPr>
        <w:t>rr</w:t>
      </w:r>
      <w:r w:rsidRPr="00AA552A">
        <w:rPr>
          <w:rFonts w:cs="Cambria"/>
          <w:color w:val="000000"/>
        </w:rPr>
        <w:t>ace</w:t>
      </w:r>
      <w:r w:rsidRPr="00AA552A">
        <w:rPr>
          <w:rFonts w:cs="Cambria"/>
          <w:color w:val="000000"/>
          <w:spacing w:val="-6"/>
        </w:rPr>
        <w:t xml:space="preserve"> </w:t>
      </w:r>
      <w:r w:rsidRPr="00AA552A">
        <w:rPr>
          <w:rFonts w:cs="Cambria"/>
          <w:color w:val="000000"/>
          <w:spacing w:val="-1"/>
        </w:rPr>
        <w:t>C</w:t>
      </w:r>
      <w:r w:rsidRPr="00AA552A">
        <w:rPr>
          <w:rFonts w:cs="Cambria"/>
          <w:color w:val="000000"/>
        </w:rPr>
        <w:t>o</w:t>
      </w:r>
      <w:r w:rsidRPr="00AA552A">
        <w:rPr>
          <w:rFonts w:cs="Cambria"/>
          <w:color w:val="000000"/>
          <w:spacing w:val="-1"/>
        </w:rPr>
        <w:t>r</w:t>
      </w:r>
      <w:r w:rsidRPr="00AA552A">
        <w:rPr>
          <w:rFonts w:cs="Cambria"/>
          <w:color w:val="000000"/>
        </w:rPr>
        <w:t>al</w:t>
      </w:r>
      <w:r w:rsidRPr="00AA552A">
        <w:rPr>
          <w:rFonts w:cs="Cambria"/>
          <w:color w:val="000000"/>
          <w:spacing w:val="-4"/>
        </w:rPr>
        <w:t xml:space="preserve"> </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w:t>
      </w:r>
    </w:p>
    <w:p w14:paraId="43E6257F" w14:textId="77777777" w:rsidR="00DC4922" w:rsidRPr="00416614" w:rsidRDefault="00DC4922" w:rsidP="00DC4922">
      <w:pPr>
        <w:rPr>
          <w:color w:val="000000"/>
        </w:rPr>
      </w:pPr>
    </w:p>
    <w:p w14:paraId="6F395B5E" w14:textId="77777777" w:rsidR="00DC4922" w:rsidRPr="00EB603B" w:rsidRDefault="00DC4922" w:rsidP="00DC4922">
      <w:pPr>
        <w:rPr>
          <w:b/>
          <w:color w:val="000000"/>
        </w:rPr>
      </w:pPr>
      <w:r w:rsidRPr="00EB603B">
        <w:rPr>
          <w:b/>
          <w:color w:val="000000"/>
          <w:spacing w:val="1"/>
        </w:rPr>
        <w:lastRenderedPageBreak/>
        <w:t>S</w:t>
      </w:r>
      <w:r w:rsidRPr="00EB603B">
        <w:rPr>
          <w:b/>
          <w:color w:val="000000"/>
        </w:rPr>
        <w:t>hrimp F</w:t>
      </w:r>
      <w:r w:rsidRPr="00EB603B">
        <w:rPr>
          <w:b/>
          <w:color w:val="000000"/>
          <w:spacing w:val="-1"/>
        </w:rPr>
        <w:t>M</w:t>
      </w:r>
      <w:r w:rsidRPr="00EB603B">
        <w:rPr>
          <w:b/>
          <w:color w:val="000000"/>
        </w:rPr>
        <w:t>P</w:t>
      </w:r>
    </w:p>
    <w:p w14:paraId="06731266" w14:textId="77777777" w:rsidR="00DC4922" w:rsidRDefault="00DC4922" w:rsidP="00640526">
      <w:pPr>
        <w:ind w:firstLine="360"/>
        <w:rPr>
          <w:color w:val="000000"/>
        </w:rPr>
      </w:pPr>
      <w:r>
        <w:rPr>
          <w:color w:val="000000"/>
          <w:spacing w:val="-1"/>
        </w:rPr>
        <w:t>F</w:t>
      </w:r>
      <w:r>
        <w:rPr>
          <w:color w:val="000000"/>
        </w:rPr>
        <w:t>or</w:t>
      </w:r>
      <w:r>
        <w:rPr>
          <w:color w:val="000000"/>
          <w:spacing w:val="-1"/>
        </w:rPr>
        <w:t xml:space="preserve"> </w:t>
      </w:r>
      <w:r>
        <w:rPr>
          <w:color w:val="000000"/>
        </w:rPr>
        <w:t>p</w:t>
      </w:r>
      <w:r>
        <w:rPr>
          <w:color w:val="000000"/>
          <w:spacing w:val="-1"/>
        </w:rPr>
        <w:t>e</w:t>
      </w:r>
      <w:r>
        <w:rPr>
          <w:color w:val="000000"/>
          <w:spacing w:val="2"/>
        </w:rPr>
        <w:t>n</w:t>
      </w:r>
      <w:r>
        <w:rPr>
          <w:color w:val="000000"/>
          <w:spacing w:val="-1"/>
        </w:rPr>
        <w:t>ae</w:t>
      </w:r>
      <w:r>
        <w:rPr>
          <w:color w:val="000000"/>
        </w:rPr>
        <w:t>id sh</w:t>
      </w:r>
      <w:r>
        <w:rPr>
          <w:color w:val="000000"/>
          <w:spacing w:val="-1"/>
        </w:rPr>
        <w:t>r</w:t>
      </w:r>
      <w:r>
        <w:rPr>
          <w:color w:val="000000"/>
        </w:rPr>
        <w:t>imp, Ess</w:t>
      </w:r>
      <w:r>
        <w:rPr>
          <w:color w:val="000000"/>
          <w:spacing w:val="1"/>
        </w:rPr>
        <w:t>e</w:t>
      </w:r>
      <w:r>
        <w:rPr>
          <w:color w:val="000000"/>
        </w:rPr>
        <w:t>nti</w:t>
      </w:r>
      <w:r>
        <w:rPr>
          <w:color w:val="000000"/>
          <w:spacing w:val="-1"/>
        </w:rPr>
        <w:t>a</w:t>
      </w:r>
      <w:r>
        <w:rPr>
          <w:color w:val="000000"/>
        </w:rPr>
        <w:t xml:space="preserve">l </w:t>
      </w:r>
      <w:r>
        <w:rPr>
          <w:color w:val="000000"/>
          <w:spacing w:val="-1"/>
        </w:rPr>
        <w:t>F</w:t>
      </w:r>
      <w:r>
        <w:rPr>
          <w:color w:val="000000"/>
        </w:rPr>
        <w:t>ish H</w:t>
      </w:r>
      <w:r>
        <w:rPr>
          <w:color w:val="000000"/>
          <w:spacing w:val="-1"/>
        </w:rPr>
        <w:t>a</w:t>
      </w:r>
      <w:r>
        <w:rPr>
          <w:color w:val="000000"/>
        </w:rPr>
        <w:t>bit</w:t>
      </w:r>
      <w:r>
        <w:rPr>
          <w:color w:val="000000"/>
          <w:spacing w:val="-1"/>
        </w:rPr>
        <w:t>a</w:t>
      </w:r>
      <w:r>
        <w:rPr>
          <w:color w:val="000000"/>
        </w:rPr>
        <w:t>t in</w:t>
      </w:r>
      <w:r>
        <w:rPr>
          <w:color w:val="000000"/>
          <w:spacing w:val="-1"/>
        </w:rPr>
        <w:t>c</w:t>
      </w:r>
      <w:r>
        <w:rPr>
          <w:color w:val="000000"/>
        </w:rPr>
        <w:t>lud</w:t>
      </w:r>
      <w:r>
        <w:rPr>
          <w:color w:val="000000"/>
          <w:spacing w:val="1"/>
        </w:rPr>
        <w:t>e</w:t>
      </w:r>
      <w:r>
        <w:rPr>
          <w:color w:val="000000"/>
        </w:rPr>
        <w:t>s insho</w:t>
      </w:r>
      <w:r>
        <w:rPr>
          <w:color w:val="000000"/>
          <w:spacing w:val="-1"/>
        </w:rPr>
        <w:t>r</w:t>
      </w:r>
      <w:r>
        <w:rPr>
          <w:color w:val="000000"/>
        </w:rPr>
        <w:t>e</w:t>
      </w:r>
      <w:r>
        <w:rPr>
          <w:color w:val="000000"/>
          <w:spacing w:val="-1"/>
        </w:rPr>
        <w:t xml:space="preserve"> e</w:t>
      </w:r>
      <w:r>
        <w:rPr>
          <w:color w:val="000000"/>
        </w:rPr>
        <w:t>stu</w:t>
      </w:r>
      <w:r>
        <w:rPr>
          <w:color w:val="000000"/>
          <w:spacing w:val="-1"/>
        </w:rPr>
        <w:t>ar</w:t>
      </w:r>
      <w:r>
        <w:rPr>
          <w:color w:val="000000"/>
        </w:rPr>
        <w:t>ine</w:t>
      </w:r>
      <w:r>
        <w:rPr>
          <w:color w:val="000000"/>
          <w:spacing w:val="-1"/>
        </w:rPr>
        <w:t xml:space="preserve"> </w:t>
      </w:r>
      <w:r>
        <w:rPr>
          <w:color w:val="000000"/>
        </w:rPr>
        <w:t>n</w:t>
      </w:r>
      <w:r>
        <w:rPr>
          <w:color w:val="000000"/>
          <w:spacing w:val="2"/>
        </w:rPr>
        <w:t>u</w:t>
      </w:r>
      <w:r>
        <w:rPr>
          <w:color w:val="000000"/>
          <w:spacing w:val="-1"/>
        </w:rPr>
        <w:t>r</w:t>
      </w:r>
      <w:r>
        <w:rPr>
          <w:color w:val="000000"/>
        </w:rPr>
        <w:t>s</w:t>
      </w:r>
      <w:r>
        <w:rPr>
          <w:color w:val="000000"/>
          <w:spacing w:val="-1"/>
        </w:rPr>
        <w:t>e</w:t>
      </w:r>
      <w:r>
        <w:rPr>
          <w:color w:val="000000"/>
          <w:spacing w:val="2"/>
        </w:rPr>
        <w:t>r</w:t>
      </w:r>
      <w:r>
        <w:rPr>
          <w:color w:val="000000"/>
        </w:rPr>
        <w:t>y</w:t>
      </w:r>
      <w:r>
        <w:rPr>
          <w:color w:val="000000"/>
          <w:spacing w:val="-2"/>
        </w:rPr>
        <w:t xml:space="preserve"> </w:t>
      </w:r>
      <w:r>
        <w:rPr>
          <w:color w:val="000000"/>
          <w:spacing w:val="1"/>
        </w:rPr>
        <w:t>a</w:t>
      </w:r>
      <w:r>
        <w:rPr>
          <w:color w:val="000000"/>
          <w:spacing w:val="-1"/>
        </w:rPr>
        <w:t>rea</w:t>
      </w:r>
      <w:r>
        <w:rPr>
          <w:color w:val="000000"/>
        </w:rPr>
        <w:t xml:space="preserve">s, </w:t>
      </w:r>
      <w:r>
        <w:rPr>
          <w:color w:val="000000"/>
          <w:spacing w:val="2"/>
        </w:rPr>
        <w:t>o</w:t>
      </w:r>
      <w:r>
        <w:rPr>
          <w:color w:val="000000"/>
          <w:spacing w:val="-1"/>
        </w:rPr>
        <w:t>ff</w:t>
      </w:r>
      <w:r>
        <w:rPr>
          <w:color w:val="000000"/>
        </w:rPr>
        <w:t>sho</w:t>
      </w:r>
      <w:r>
        <w:rPr>
          <w:color w:val="000000"/>
          <w:spacing w:val="2"/>
        </w:rPr>
        <w:t>r</w:t>
      </w:r>
      <w:r>
        <w:rPr>
          <w:color w:val="000000"/>
        </w:rPr>
        <w:t>e</w:t>
      </w:r>
      <w:r>
        <w:rPr>
          <w:color w:val="000000"/>
          <w:spacing w:val="-1"/>
        </w:rPr>
        <w:t xml:space="preserve"> </w:t>
      </w:r>
      <w:r>
        <w:rPr>
          <w:color w:val="000000"/>
        </w:rPr>
        <w:t>m</w:t>
      </w:r>
      <w:r>
        <w:rPr>
          <w:color w:val="000000"/>
          <w:spacing w:val="-1"/>
        </w:rPr>
        <w:t>ar</w:t>
      </w:r>
      <w:r>
        <w:rPr>
          <w:color w:val="000000"/>
        </w:rPr>
        <w:t>ine h</w:t>
      </w:r>
      <w:r>
        <w:rPr>
          <w:color w:val="000000"/>
          <w:spacing w:val="-1"/>
        </w:rPr>
        <w:t>a</w:t>
      </w:r>
      <w:r>
        <w:rPr>
          <w:color w:val="000000"/>
        </w:rPr>
        <w:t>bit</w:t>
      </w:r>
      <w:r>
        <w:rPr>
          <w:color w:val="000000"/>
          <w:spacing w:val="-1"/>
        </w:rPr>
        <w:t>a</w:t>
      </w:r>
      <w:r>
        <w:rPr>
          <w:color w:val="000000"/>
        </w:rPr>
        <w:t>ts us</w:t>
      </w:r>
      <w:r>
        <w:rPr>
          <w:color w:val="000000"/>
          <w:spacing w:val="-1"/>
        </w:rPr>
        <w:t>e</w:t>
      </w:r>
      <w:r>
        <w:rPr>
          <w:color w:val="000000"/>
        </w:rPr>
        <w:t xml:space="preserve">d </w:t>
      </w:r>
      <w:r>
        <w:rPr>
          <w:color w:val="000000"/>
          <w:spacing w:val="-1"/>
        </w:rPr>
        <w:t>f</w:t>
      </w:r>
      <w:r>
        <w:rPr>
          <w:color w:val="000000"/>
        </w:rPr>
        <w:t>or</w:t>
      </w:r>
      <w:r>
        <w:rPr>
          <w:color w:val="000000"/>
          <w:spacing w:val="-1"/>
        </w:rPr>
        <w:t xml:space="preserve"> </w:t>
      </w:r>
      <w:r>
        <w:rPr>
          <w:color w:val="000000"/>
        </w:rPr>
        <w:t>sp</w:t>
      </w:r>
      <w:r>
        <w:rPr>
          <w:color w:val="000000"/>
          <w:spacing w:val="1"/>
        </w:rPr>
        <w:t>a</w:t>
      </w:r>
      <w:r>
        <w:rPr>
          <w:color w:val="000000"/>
        </w:rPr>
        <w:t>wning</w:t>
      </w:r>
      <w:r>
        <w:rPr>
          <w:color w:val="000000"/>
          <w:spacing w:val="-2"/>
        </w:rPr>
        <w:t xml:space="preserve"> </w:t>
      </w:r>
      <w:r>
        <w:rPr>
          <w:color w:val="000000"/>
          <w:spacing w:val="-1"/>
        </w:rPr>
        <w:t>a</w:t>
      </w:r>
      <w:r>
        <w:rPr>
          <w:color w:val="000000"/>
        </w:rPr>
        <w:t>nd</w:t>
      </w:r>
      <w:r>
        <w:rPr>
          <w:color w:val="000000"/>
          <w:spacing w:val="2"/>
        </w:rPr>
        <w:t xml:space="preserve"> </w:t>
      </w:r>
      <w:r>
        <w:rPr>
          <w:color w:val="000000"/>
        </w:rPr>
        <w:t>g</w:t>
      </w:r>
      <w:r>
        <w:rPr>
          <w:color w:val="000000"/>
          <w:spacing w:val="-1"/>
        </w:rPr>
        <w:t>r</w:t>
      </w:r>
      <w:r>
        <w:rPr>
          <w:color w:val="000000"/>
        </w:rPr>
        <w:t>owth to m</w:t>
      </w:r>
      <w:r>
        <w:rPr>
          <w:color w:val="000000"/>
          <w:spacing w:val="-1"/>
        </w:rPr>
        <w:t>a</w:t>
      </w:r>
      <w:r>
        <w:rPr>
          <w:color w:val="000000"/>
        </w:rPr>
        <w:t>tu</w:t>
      </w:r>
      <w:r>
        <w:rPr>
          <w:color w:val="000000"/>
          <w:spacing w:val="-1"/>
        </w:rPr>
        <w:t>r</w:t>
      </w:r>
      <w:r>
        <w:rPr>
          <w:color w:val="000000"/>
        </w:rPr>
        <w:t>i</w:t>
      </w:r>
      <w:r>
        <w:rPr>
          <w:color w:val="000000"/>
          <w:spacing w:val="3"/>
        </w:rPr>
        <w:t>t</w:t>
      </w:r>
      <w:r>
        <w:rPr>
          <w:color w:val="000000"/>
          <w:spacing w:val="-5"/>
        </w:rPr>
        <w:t>y</w:t>
      </w:r>
      <w:r>
        <w:rPr>
          <w:color w:val="000000"/>
        </w:rPr>
        <w:t>,</w:t>
      </w:r>
      <w:r>
        <w:rPr>
          <w:color w:val="000000"/>
          <w:spacing w:val="2"/>
        </w:rPr>
        <w:t xml:space="preserve"> </w:t>
      </w:r>
      <w:r>
        <w:rPr>
          <w:color w:val="000000"/>
          <w:spacing w:val="-1"/>
        </w:rPr>
        <w:t>a</w:t>
      </w:r>
      <w:r>
        <w:rPr>
          <w:color w:val="000000"/>
        </w:rPr>
        <w:t xml:space="preserve">nd </w:t>
      </w:r>
      <w:r>
        <w:rPr>
          <w:color w:val="000000"/>
          <w:spacing w:val="-1"/>
        </w:rPr>
        <w:t>a</w:t>
      </w:r>
      <w:r>
        <w:rPr>
          <w:color w:val="000000"/>
        </w:rPr>
        <w:t>ll int</w:t>
      </w:r>
      <w:r>
        <w:rPr>
          <w:color w:val="000000"/>
          <w:spacing w:val="-1"/>
        </w:rPr>
        <w:t>erc</w:t>
      </w:r>
      <w:r>
        <w:rPr>
          <w:color w:val="000000"/>
        </w:rPr>
        <w:t>onn</w:t>
      </w:r>
      <w:r>
        <w:rPr>
          <w:color w:val="000000"/>
          <w:spacing w:val="1"/>
        </w:rPr>
        <w:t>e</w:t>
      </w:r>
      <w:r>
        <w:rPr>
          <w:color w:val="000000"/>
          <w:spacing w:val="-1"/>
        </w:rPr>
        <w:t>c</w:t>
      </w:r>
      <w:r>
        <w:rPr>
          <w:color w:val="000000"/>
        </w:rPr>
        <w:t>ting w</w:t>
      </w:r>
      <w:r>
        <w:rPr>
          <w:color w:val="000000"/>
          <w:spacing w:val="-1"/>
        </w:rPr>
        <w:t>a</w:t>
      </w:r>
      <w:r>
        <w:rPr>
          <w:color w:val="000000"/>
        </w:rPr>
        <w:t>t</w:t>
      </w:r>
      <w:r>
        <w:rPr>
          <w:color w:val="000000"/>
          <w:spacing w:val="-1"/>
        </w:rPr>
        <w:t>e</w:t>
      </w:r>
      <w:r>
        <w:rPr>
          <w:color w:val="000000"/>
        </w:rPr>
        <w:t>r</w:t>
      </w:r>
      <w:r>
        <w:rPr>
          <w:color w:val="000000"/>
          <w:spacing w:val="-1"/>
        </w:rPr>
        <w:t xml:space="preserve"> </w:t>
      </w:r>
      <w:r>
        <w:rPr>
          <w:color w:val="000000"/>
        </w:rPr>
        <w:t>bodi</w:t>
      </w:r>
      <w:r>
        <w:rPr>
          <w:color w:val="000000"/>
          <w:spacing w:val="-1"/>
        </w:rPr>
        <w:t>e</w:t>
      </w:r>
      <w:r>
        <w:rPr>
          <w:color w:val="000000"/>
        </w:rPr>
        <w:t>s</w:t>
      </w:r>
      <w:r>
        <w:rPr>
          <w:color w:val="000000"/>
          <w:spacing w:val="3"/>
        </w:rPr>
        <w:t xml:space="preserve"> </w:t>
      </w:r>
      <w:r>
        <w:rPr>
          <w:color w:val="000000"/>
          <w:spacing w:val="-1"/>
        </w:rPr>
        <w:t>a</w:t>
      </w:r>
      <w:r>
        <w:rPr>
          <w:color w:val="000000"/>
        </w:rPr>
        <w:t>s d</w:t>
      </w:r>
      <w:r>
        <w:rPr>
          <w:color w:val="000000"/>
          <w:spacing w:val="-1"/>
        </w:rPr>
        <w:t>e</w:t>
      </w:r>
      <w:r>
        <w:rPr>
          <w:color w:val="000000"/>
        </w:rPr>
        <w:t>s</w:t>
      </w:r>
      <w:r>
        <w:rPr>
          <w:color w:val="000000"/>
          <w:spacing w:val="1"/>
        </w:rPr>
        <w:t>c</w:t>
      </w:r>
      <w:r>
        <w:rPr>
          <w:color w:val="000000"/>
          <w:spacing w:val="-1"/>
        </w:rPr>
        <w:t>r</w:t>
      </w:r>
      <w:r>
        <w:rPr>
          <w:color w:val="000000"/>
        </w:rPr>
        <w:t>ib</w:t>
      </w:r>
      <w:r>
        <w:rPr>
          <w:color w:val="000000"/>
          <w:spacing w:val="1"/>
        </w:rPr>
        <w:t>e</w:t>
      </w:r>
      <w:r>
        <w:rPr>
          <w:color w:val="000000"/>
        </w:rPr>
        <w:t>d in the</w:t>
      </w:r>
      <w:r>
        <w:rPr>
          <w:color w:val="000000"/>
          <w:spacing w:val="-1"/>
        </w:rPr>
        <w:t xml:space="preserve"> </w:t>
      </w:r>
      <w:r>
        <w:rPr>
          <w:color w:val="000000"/>
        </w:rPr>
        <w:t>H</w:t>
      </w:r>
      <w:r>
        <w:rPr>
          <w:color w:val="000000"/>
          <w:spacing w:val="-1"/>
        </w:rPr>
        <w:t>a</w:t>
      </w:r>
      <w:r>
        <w:rPr>
          <w:color w:val="000000"/>
        </w:rPr>
        <w:t>bit</w:t>
      </w:r>
      <w:r>
        <w:rPr>
          <w:color w:val="000000"/>
          <w:spacing w:val="-1"/>
        </w:rPr>
        <w:t>a</w:t>
      </w:r>
      <w:r>
        <w:rPr>
          <w:color w:val="000000"/>
        </w:rPr>
        <w:t xml:space="preserve">t </w:t>
      </w:r>
      <w:r>
        <w:rPr>
          <w:color w:val="000000"/>
          <w:spacing w:val="1"/>
        </w:rPr>
        <w:t>P</w:t>
      </w:r>
      <w:r>
        <w:rPr>
          <w:color w:val="000000"/>
        </w:rPr>
        <w:t>l</w:t>
      </w:r>
      <w:r>
        <w:rPr>
          <w:color w:val="000000"/>
          <w:spacing w:val="-1"/>
        </w:rPr>
        <w:t>a</w:t>
      </w:r>
      <w:r>
        <w:rPr>
          <w:color w:val="000000"/>
        </w:rPr>
        <w:t xml:space="preserve">n. </w:t>
      </w:r>
      <w:r>
        <w:rPr>
          <w:color w:val="000000"/>
          <w:spacing w:val="2"/>
        </w:rPr>
        <w:t xml:space="preserve"> </w:t>
      </w:r>
      <w:r>
        <w:rPr>
          <w:color w:val="000000"/>
          <w:spacing w:val="-3"/>
        </w:rPr>
        <w:t>I</w:t>
      </w:r>
      <w:r>
        <w:rPr>
          <w:color w:val="000000"/>
        </w:rPr>
        <w:t>nsho</w:t>
      </w:r>
      <w:r>
        <w:rPr>
          <w:color w:val="000000"/>
          <w:spacing w:val="-1"/>
        </w:rPr>
        <w:t>r</w:t>
      </w:r>
      <w:r>
        <w:rPr>
          <w:color w:val="000000"/>
        </w:rPr>
        <w:t>e</w:t>
      </w:r>
      <w:r>
        <w:rPr>
          <w:color w:val="000000"/>
          <w:spacing w:val="1"/>
        </w:rPr>
        <w:t xml:space="preserve"> </w:t>
      </w:r>
      <w:r>
        <w:rPr>
          <w:color w:val="000000"/>
        </w:rPr>
        <w:t>nu</w:t>
      </w:r>
      <w:r>
        <w:rPr>
          <w:color w:val="000000"/>
          <w:spacing w:val="-1"/>
        </w:rPr>
        <w:t>r</w:t>
      </w:r>
      <w:r>
        <w:rPr>
          <w:color w:val="000000"/>
        </w:rPr>
        <w:t>s</w:t>
      </w:r>
      <w:r>
        <w:rPr>
          <w:color w:val="000000"/>
          <w:spacing w:val="-1"/>
        </w:rPr>
        <w:t>e</w:t>
      </w:r>
      <w:r>
        <w:rPr>
          <w:color w:val="000000"/>
          <w:spacing w:val="4"/>
        </w:rPr>
        <w:t>r</w:t>
      </w:r>
      <w:r>
        <w:rPr>
          <w:color w:val="000000"/>
        </w:rPr>
        <w:t>y</w:t>
      </w:r>
      <w:r>
        <w:rPr>
          <w:color w:val="000000"/>
          <w:spacing w:val="-5"/>
        </w:rPr>
        <w:t xml:space="preserve"> </w:t>
      </w:r>
      <w:r>
        <w:rPr>
          <w:color w:val="000000"/>
          <w:spacing w:val="1"/>
        </w:rPr>
        <w:t>a</w:t>
      </w:r>
      <w:r>
        <w:rPr>
          <w:color w:val="000000"/>
          <w:spacing w:val="-1"/>
        </w:rPr>
        <w:t>rea</w:t>
      </w:r>
      <w:r>
        <w:rPr>
          <w:color w:val="000000"/>
        </w:rPr>
        <w:t>s in</w:t>
      </w:r>
      <w:r>
        <w:rPr>
          <w:color w:val="000000"/>
          <w:spacing w:val="-1"/>
        </w:rPr>
        <w:t>c</w:t>
      </w:r>
      <w:r>
        <w:rPr>
          <w:color w:val="000000"/>
        </w:rPr>
        <w:t>lu</w:t>
      </w:r>
      <w:r>
        <w:rPr>
          <w:color w:val="000000"/>
          <w:spacing w:val="2"/>
        </w:rPr>
        <w:t>d</w:t>
      </w:r>
      <w:r>
        <w:rPr>
          <w:color w:val="000000"/>
        </w:rPr>
        <w:t>e</w:t>
      </w:r>
      <w:r>
        <w:rPr>
          <w:color w:val="000000"/>
          <w:spacing w:val="-1"/>
        </w:rPr>
        <w:t xml:space="preserve"> </w:t>
      </w:r>
      <w:r>
        <w:rPr>
          <w:color w:val="000000"/>
        </w:rPr>
        <w:t>tid</w:t>
      </w:r>
      <w:r>
        <w:rPr>
          <w:color w:val="000000"/>
          <w:spacing w:val="-1"/>
        </w:rPr>
        <w:t>a</w:t>
      </w:r>
      <w:r>
        <w:rPr>
          <w:color w:val="000000"/>
        </w:rPr>
        <w:t xml:space="preserve">l </w:t>
      </w:r>
      <w:r>
        <w:rPr>
          <w:color w:val="000000"/>
          <w:spacing w:val="-1"/>
        </w:rPr>
        <w:t>fre</w:t>
      </w:r>
      <w:r>
        <w:rPr>
          <w:color w:val="000000"/>
        </w:rPr>
        <w:t>sh</w:t>
      </w:r>
      <w:r>
        <w:rPr>
          <w:color w:val="000000"/>
          <w:spacing w:val="2"/>
        </w:rPr>
        <w:t>w</w:t>
      </w:r>
      <w:r>
        <w:rPr>
          <w:color w:val="000000"/>
          <w:spacing w:val="-1"/>
        </w:rPr>
        <w:t>a</w:t>
      </w:r>
      <w:r>
        <w:rPr>
          <w:color w:val="000000"/>
        </w:rPr>
        <w:t>t</w:t>
      </w:r>
      <w:r>
        <w:rPr>
          <w:color w:val="000000"/>
          <w:spacing w:val="-1"/>
        </w:rPr>
        <w:t>e</w:t>
      </w:r>
      <w:r>
        <w:rPr>
          <w:color w:val="000000"/>
        </w:rPr>
        <w:t>r</w:t>
      </w:r>
      <w:r>
        <w:rPr>
          <w:color w:val="000000"/>
          <w:spacing w:val="-1"/>
        </w:rPr>
        <w:t xml:space="preserve"> (</w:t>
      </w:r>
      <w:r>
        <w:rPr>
          <w:color w:val="000000"/>
          <w:spacing w:val="2"/>
        </w:rPr>
        <w:t>p</w:t>
      </w:r>
      <w:r>
        <w:rPr>
          <w:color w:val="000000"/>
          <w:spacing w:val="-1"/>
        </w:rPr>
        <w:t>a</w:t>
      </w:r>
      <w:r>
        <w:rPr>
          <w:color w:val="000000"/>
        </w:rPr>
        <w:t>lust</w:t>
      </w:r>
      <w:r>
        <w:rPr>
          <w:color w:val="000000"/>
          <w:spacing w:val="-1"/>
        </w:rPr>
        <w:t>r</w:t>
      </w:r>
      <w:r>
        <w:rPr>
          <w:color w:val="000000"/>
        </w:rPr>
        <w:t>in</w:t>
      </w:r>
      <w:r>
        <w:rPr>
          <w:color w:val="000000"/>
          <w:spacing w:val="-1"/>
        </w:rPr>
        <w:t>e</w:t>
      </w:r>
      <w:r>
        <w:rPr>
          <w:color w:val="000000"/>
          <w:spacing w:val="2"/>
        </w:rPr>
        <w:t>)</w:t>
      </w:r>
      <w:r>
        <w:rPr>
          <w:color w:val="000000"/>
        </w:rPr>
        <w:t xml:space="preserve">, </w:t>
      </w:r>
      <w:r>
        <w:rPr>
          <w:color w:val="000000"/>
          <w:spacing w:val="-1"/>
        </w:rPr>
        <w:t>e</w:t>
      </w:r>
      <w:r>
        <w:rPr>
          <w:color w:val="000000"/>
        </w:rPr>
        <w:t>stu</w:t>
      </w:r>
      <w:r>
        <w:rPr>
          <w:color w:val="000000"/>
          <w:spacing w:val="-1"/>
        </w:rPr>
        <w:t>ar</w:t>
      </w:r>
      <w:r>
        <w:rPr>
          <w:color w:val="000000"/>
        </w:rPr>
        <w:t>in</w:t>
      </w:r>
      <w:r>
        <w:rPr>
          <w:color w:val="000000"/>
          <w:spacing w:val="-1"/>
        </w:rPr>
        <w:t>e</w:t>
      </w:r>
      <w:r>
        <w:rPr>
          <w:color w:val="000000"/>
        </w:rPr>
        <w:t xml:space="preserve">, </w:t>
      </w:r>
      <w:r>
        <w:rPr>
          <w:color w:val="000000"/>
          <w:spacing w:val="-1"/>
        </w:rPr>
        <w:t>a</w:t>
      </w:r>
      <w:r>
        <w:rPr>
          <w:color w:val="000000"/>
        </w:rPr>
        <w:t xml:space="preserve">nd </w:t>
      </w:r>
      <w:r>
        <w:rPr>
          <w:color w:val="000000"/>
          <w:spacing w:val="3"/>
        </w:rPr>
        <w:t>m</w:t>
      </w:r>
      <w:r>
        <w:rPr>
          <w:color w:val="000000"/>
          <w:spacing w:val="-1"/>
        </w:rPr>
        <w:t>ar</w:t>
      </w:r>
      <w:r>
        <w:rPr>
          <w:color w:val="000000"/>
        </w:rPr>
        <w:t xml:space="preserve">ine </w:t>
      </w:r>
      <w:r>
        <w:rPr>
          <w:color w:val="000000"/>
          <w:spacing w:val="-1"/>
        </w:rPr>
        <w:t>e</w:t>
      </w:r>
      <w:r>
        <w:rPr>
          <w:color w:val="000000"/>
        </w:rPr>
        <w:t>m</w:t>
      </w:r>
      <w:r>
        <w:rPr>
          <w:color w:val="000000"/>
          <w:spacing w:val="-1"/>
        </w:rPr>
        <w:t>e</w:t>
      </w:r>
      <w:r>
        <w:rPr>
          <w:color w:val="000000"/>
          <w:spacing w:val="2"/>
        </w:rPr>
        <w:t>r</w:t>
      </w:r>
      <w:r>
        <w:rPr>
          <w:color w:val="000000"/>
          <w:spacing w:val="-2"/>
        </w:rPr>
        <w:t>g</w:t>
      </w:r>
      <w:r>
        <w:rPr>
          <w:color w:val="000000"/>
          <w:spacing w:val="-1"/>
        </w:rPr>
        <w:t>e</w:t>
      </w:r>
      <w:r>
        <w:rPr>
          <w:color w:val="000000"/>
        </w:rPr>
        <w:t xml:space="preserve">nt </w:t>
      </w:r>
      <w:r>
        <w:rPr>
          <w:color w:val="000000"/>
          <w:spacing w:val="2"/>
        </w:rPr>
        <w:t>w</w:t>
      </w:r>
      <w:r>
        <w:rPr>
          <w:color w:val="000000"/>
          <w:spacing w:val="-1"/>
        </w:rPr>
        <w:t>e</w:t>
      </w:r>
      <w:r>
        <w:rPr>
          <w:color w:val="000000"/>
        </w:rPr>
        <w:t>tl</w:t>
      </w:r>
      <w:r>
        <w:rPr>
          <w:color w:val="000000"/>
          <w:spacing w:val="-1"/>
        </w:rPr>
        <w:t>a</w:t>
      </w:r>
      <w:r>
        <w:rPr>
          <w:color w:val="000000"/>
        </w:rPr>
        <w:t xml:space="preserve">nds </w:t>
      </w:r>
      <w:r>
        <w:rPr>
          <w:color w:val="000000"/>
          <w:spacing w:val="-1"/>
        </w:rPr>
        <w:t>(e</w:t>
      </w:r>
      <w:r>
        <w:rPr>
          <w:color w:val="000000"/>
          <w:spacing w:val="2"/>
        </w:rPr>
        <w:t>.</w:t>
      </w:r>
      <w:r>
        <w:rPr>
          <w:color w:val="000000"/>
          <w:spacing w:val="-2"/>
        </w:rPr>
        <w:t>g</w:t>
      </w:r>
      <w:r>
        <w:rPr>
          <w:color w:val="000000"/>
        </w:rPr>
        <w:t>.,</w:t>
      </w:r>
      <w:r>
        <w:rPr>
          <w:color w:val="000000"/>
          <w:spacing w:val="2"/>
        </w:rPr>
        <w:t xml:space="preserve"> </w:t>
      </w:r>
      <w:r>
        <w:rPr>
          <w:color w:val="000000"/>
        </w:rPr>
        <w:t>int</w:t>
      </w:r>
      <w:r>
        <w:rPr>
          <w:color w:val="000000"/>
          <w:spacing w:val="-1"/>
        </w:rPr>
        <w:t>er</w:t>
      </w:r>
      <w:r>
        <w:rPr>
          <w:color w:val="000000"/>
        </w:rPr>
        <w:t>tid</w:t>
      </w:r>
      <w:r>
        <w:rPr>
          <w:color w:val="000000"/>
          <w:spacing w:val="-1"/>
        </w:rPr>
        <w:t>a</w:t>
      </w:r>
      <w:r>
        <w:rPr>
          <w:color w:val="000000"/>
        </w:rPr>
        <w:t>l m</w:t>
      </w:r>
      <w:r>
        <w:rPr>
          <w:color w:val="000000"/>
          <w:spacing w:val="-1"/>
        </w:rPr>
        <w:t>ar</w:t>
      </w:r>
      <w:r>
        <w:rPr>
          <w:color w:val="000000"/>
        </w:rPr>
        <w:t>sh</w:t>
      </w:r>
      <w:r>
        <w:rPr>
          <w:color w:val="000000"/>
          <w:spacing w:val="-1"/>
        </w:rPr>
        <w:t>e</w:t>
      </w:r>
      <w:r>
        <w:rPr>
          <w:color w:val="000000"/>
        </w:rPr>
        <w:t>s</w:t>
      </w:r>
      <w:r>
        <w:rPr>
          <w:color w:val="000000"/>
          <w:spacing w:val="-1"/>
        </w:rPr>
        <w:t>)</w:t>
      </w:r>
      <w:r>
        <w:rPr>
          <w:color w:val="000000"/>
        </w:rPr>
        <w:t>; tid</w:t>
      </w:r>
      <w:r>
        <w:rPr>
          <w:color w:val="000000"/>
          <w:spacing w:val="-1"/>
        </w:rPr>
        <w:t>a</w:t>
      </w:r>
      <w:r>
        <w:rPr>
          <w:color w:val="000000"/>
        </w:rPr>
        <w:t>l</w:t>
      </w:r>
      <w:r>
        <w:rPr>
          <w:color w:val="000000"/>
          <w:spacing w:val="3"/>
        </w:rPr>
        <w:t xml:space="preserve"> </w:t>
      </w:r>
      <w:r>
        <w:rPr>
          <w:color w:val="000000"/>
        </w:rPr>
        <w:t>p</w:t>
      </w:r>
      <w:r>
        <w:rPr>
          <w:color w:val="000000"/>
          <w:spacing w:val="-1"/>
        </w:rPr>
        <w:t>a</w:t>
      </w:r>
      <w:r>
        <w:rPr>
          <w:color w:val="000000"/>
        </w:rPr>
        <w:t>lust</w:t>
      </w:r>
      <w:r>
        <w:rPr>
          <w:color w:val="000000"/>
          <w:spacing w:val="-1"/>
        </w:rPr>
        <w:t>r</w:t>
      </w:r>
      <w:r>
        <w:rPr>
          <w:color w:val="000000"/>
        </w:rPr>
        <w:t>ine</w:t>
      </w:r>
      <w:r>
        <w:rPr>
          <w:color w:val="000000"/>
          <w:spacing w:val="-1"/>
        </w:rPr>
        <w:t xml:space="preserve"> f</w:t>
      </w:r>
      <w:r>
        <w:rPr>
          <w:color w:val="000000"/>
        </w:rPr>
        <w:t>o</w:t>
      </w:r>
      <w:r>
        <w:rPr>
          <w:color w:val="000000"/>
          <w:spacing w:val="-1"/>
        </w:rPr>
        <w:t>re</w:t>
      </w:r>
      <w:r>
        <w:rPr>
          <w:color w:val="000000"/>
        </w:rPr>
        <w:t>st</w:t>
      </w:r>
      <w:r>
        <w:rPr>
          <w:color w:val="000000"/>
          <w:spacing w:val="-1"/>
        </w:rPr>
        <w:t>e</w:t>
      </w:r>
      <w:r>
        <w:rPr>
          <w:color w:val="000000"/>
        </w:rPr>
        <w:t>d</w:t>
      </w:r>
      <w:r>
        <w:rPr>
          <w:color w:val="000000"/>
          <w:spacing w:val="2"/>
        </w:rPr>
        <w:t xml:space="preserve"> </w:t>
      </w:r>
      <w:r>
        <w:rPr>
          <w:color w:val="000000"/>
          <w:spacing w:val="-1"/>
        </w:rPr>
        <w:t>a</w:t>
      </w:r>
      <w:r>
        <w:rPr>
          <w:color w:val="000000"/>
          <w:spacing w:val="2"/>
        </w:rPr>
        <w:t>r</w:t>
      </w:r>
      <w:r>
        <w:rPr>
          <w:color w:val="000000"/>
          <w:spacing w:val="-1"/>
        </w:rPr>
        <w:t>ea</w:t>
      </w:r>
      <w:r>
        <w:rPr>
          <w:color w:val="000000"/>
        </w:rPr>
        <w:t>s;</w:t>
      </w:r>
      <w:r>
        <w:rPr>
          <w:color w:val="000000"/>
          <w:spacing w:val="3"/>
        </w:rPr>
        <w:t xml:space="preserve"> </w:t>
      </w:r>
      <w:r>
        <w:rPr>
          <w:color w:val="000000"/>
        </w:rPr>
        <w:t>m</w:t>
      </w:r>
      <w:r>
        <w:rPr>
          <w:color w:val="000000"/>
          <w:spacing w:val="-1"/>
        </w:rPr>
        <w:t>a</w:t>
      </w:r>
      <w:r>
        <w:rPr>
          <w:color w:val="000000"/>
        </w:rPr>
        <w:t>n</w:t>
      </w:r>
      <w:r>
        <w:rPr>
          <w:color w:val="000000"/>
          <w:spacing w:val="-2"/>
        </w:rPr>
        <w:t>g</w:t>
      </w:r>
      <w:r>
        <w:rPr>
          <w:color w:val="000000"/>
          <w:spacing w:val="-1"/>
        </w:rPr>
        <w:t>r</w:t>
      </w:r>
      <w:r>
        <w:rPr>
          <w:color w:val="000000"/>
        </w:rPr>
        <w:t>o</w:t>
      </w:r>
      <w:r>
        <w:rPr>
          <w:color w:val="000000"/>
          <w:spacing w:val="2"/>
        </w:rPr>
        <w:t>v</w:t>
      </w:r>
      <w:r>
        <w:rPr>
          <w:color w:val="000000"/>
          <w:spacing w:val="-1"/>
        </w:rPr>
        <w:t>e</w:t>
      </w:r>
      <w:r>
        <w:rPr>
          <w:color w:val="000000"/>
        </w:rPr>
        <w:t>s; tid</w:t>
      </w:r>
      <w:r>
        <w:rPr>
          <w:color w:val="000000"/>
          <w:spacing w:val="-1"/>
        </w:rPr>
        <w:t>a</w:t>
      </w:r>
      <w:r>
        <w:rPr>
          <w:color w:val="000000"/>
        </w:rPr>
        <w:t xml:space="preserve">l </w:t>
      </w:r>
      <w:r>
        <w:rPr>
          <w:color w:val="000000"/>
          <w:spacing w:val="-1"/>
        </w:rPr>
        <w:t>fre</w:t>
      </w:r>
      <w:r>
        <w:rPr>
          <w:color w:val="000000"/>
        </w:rPr>
        <w:t>sh</w:t>
      </w:r>
      <w:r>
        <w:rPr>
          <w:color w:val="000000"/>
          <w:spacing w:val="2"/>
        </w:rPr>
        <w:t>w</w:t>
      </w:r>
      <w:r>
        <w:rPr>
          <w:color w:val="000000"/>
          <w:spacing w:val="-1"/>
        </w:rPr>
        <w:t>a</w:t>
      </w:r>
      <w:r>
        <w:rPr>
          <w:color w:val="000000"/>
        </w:rPr>
        <w:t>t</w:t>
      </w:r>
      <w:r>
        <w:rPr>
          <w:color w:val="000000"/>
          <w:spacing w:val="-1"/>
        </w:rPr>
        <w:t>er</w:t>
      </w:r>
      <w:r>
        <w:rPr>
          <w:color w:val="000000"/>
        </w:rPr>
        <w:t xml:space="preserve">, </w:t>
      </w:r>
      <w:r>
        <w:rPr>
          <w:color w:val="000000"/>
          <w:spacing w:val="-1"/>
        </w:rPr>
        <w:t>e</w:t>
      </w:r>
      <w:r>
        <w:rPr>
          <w:color w:val="000000"/>
        </w:rPr>
        <w:t>stu</w:t>
      </w:r>
      <w:r>
        <w:rPr>
          <w:color w:val="000000"/>
          <w:spacing w:val="-1"/>
        </w:rPr>
        <w:t>ar</w:t>
      </w:r>
      <w:r>
        <w:rPr>
          <w:color w:val="000000"/>
        </w:rPr>
        <w:t>in</w:t>
      </w:r>
      <w:r>
        <w:rPr>
          <w:color w:val="000000"/>
          <w:spacing w:val="-1"/>
        </w:rPr>
        <w:t>e</w:t>
      </w:r>
      <w:r>
        <w:rPr>
          <w:color w:val="000000"/>
        </w:rPr>
        <w:t xml:space="preserve">, </w:t>
      </w:r>
      <w:r>
        <w:rPr>
          <w:color w:val="000000"/>
          <w:spacing w:val="-1"/>
        </w:rPr>
        <w:t>a</w:t>
      </w:r>
      <w:r>
        <w:rPr>
          <w:color w:val="000000"/>
        </w:rPr>
        <w:t xml:space="preserve">nd </w:t>
      </w:r>
      <w:r>
        <w:rPr>
          <w:color w:val="000000"/>
          <w:spacing w:val="3"/>
        </w:rPr>
        <w:t>m</w:t>
      </w:r>
      <w:r>
        <w:rPr>
          <w:color w:val="000000"/>
          <w:spacing w:val="-1"/>
        </w:rPr>
        <w:t>ar</w:t>
      </w:r>
      <w:r>
        <w:rPr>
          <w:color w:val="000000"/>
        </w:rPr>
        <w:t>ine</w:t>
      </w:r>
      <w:r>
        <w:rPr>
          <w:color w:val="000000"/>
          <w:spacing w:val="-1"/>
        </w:rPr>
        <w:t xml:space="preserve"> </w:t>
      </w:r>
      <w:r>
        <w:rPr>
          <w:color w:val="000000"/>
        </w:rPr>
        <w:t>su</w:t>
      </w:r>
      <w:r>
        <w:rPr>
          <w:color w:val="000000"/>
          <w:spacing w:val="2"/>
        </w:rPr>
        <w:t>b</w:t>
      </w:r>
      <w:r>
        <w:rPr>
          <w:color w:val="000000"/>
        </w:rPr>
        <w:t>m</w:t>
      </w:r>
      <w:r>
        <w:rPr>
          <w:color w:val="000000"/>
          <w:spacing w:val="-1"/>
        </w:rPr>
        <w:t>er</w:t>
      </w:r>
      <w:r>
        <w:rPr>
          <w:color w:val="000000"/>
        </w:rPr>
        <w:t>g</w:t>
      </w:r>
      <w:r>
        <w:rPr>
          <w:color w:val="000000"/>
          <w:spacing w:val="-1"/>
        </w:rPr>
        <w:t>e</w:t>
      </w:r>
      <w:r>
        <w:rPr>
          <w:color w:val="000000"/>
        </w:rPr>
        <w:t xml:space="preserve">d </w:t>
      </w:r>
      <w:r>
        <w:rPr>
          <w:color w:val="000000"/>
          <w:spacing w:val="-1"/>
        </w:rPr>
        <w:t>a</w:t>
      </w:r>
      <w:r>
        <w:rPr>
          <w:color w:val="000000"/>
        </w:rPr>
        <w:t>q</w:t>
      </w:r>
      <w:r>
        <w:rPr>
          <w:color w:val="000000"/>
          <w:spacing w:val="2"/>
        </w:rPr>
        <w:t>u</w:t>
      </w:r>
      <w:r>
        <w:rPr>
          <w:color w:val="000000"/>
          <w:spacing w:val="-1"/>
        </w:rPr>
        <w:t>a</w:t>
      </w:r>
      <w:r>
        <w:rPr>
          <w:color w:val="000000"/>
        </w:rPr>
        <w:t>tic</w:t>
      </w:r>
      <w:r>
        <w:rPr>
          <w:color w:val="000000"/>
          <w:spacing w:val="-1"/>
        </w:rPr>
        <w:t xml:space="preserve"> </w:t>
      </w:r>
      <w:r>
        <w:rPr>
          <w:color w:val="000000"/>
        </w:rPr>
        <w:t>v</w:t>
      </w:r>
      <w:r>
        <w:rPr>
          <w:color w:val="000000"/>
          <w:spacing w:val="1"/>
        </w:rPr>
        <w:t>e</w:t>
      </w:r>
      <w:r>
        <w:rPr>
          <w:color w:val="000000"/>
          <w:spacing w:val="-2"/>
        </w:rPr>
        <w:t>g</w:t>
      </w:r>
      <w:r>
        <w:rPr>
          <w:color w:val="000000"/>
          <w:spacing w:val="-1"/>
        </w:rPr>
        <w:t>e</w:t>
      </w:r>
      <w:r>
        <w:rPr>
          <w:color w:val="000000"/>
          <w:spacing w:val="3"/>
        </w:rPr>
        <w:t>t</w:t>
      </w:r>
      <w:r>
        <w:rPr>
          <w:color w:val="000000"/>
          <w:spacing w:val="-1"/>
        </w:rPr>
        <w:t>a</w:t>
      </w:r>
      <w:r>
        <w:rPr>
          <w:color w:val="000000"/>
        </w:rPr>
        <w:t xml:space="preserve">tion </w:t>
      </w:r>
      <w:r>
        <w:rPr>
          <w:color w:val="000000"/>
          <w:spacing w:val="-1"/>
        </w:rPr>
        <w:t>(e</w:t>
      </w:r>
      <w:r>
        <w:rPr>
          <w:color w:val="000000"/>
          <w:spacing w:val="2"/>
        </w:rPr>
        <w:t>.</w:t>
      </w:r>
      <w:r>
        <w:rPr>
          <w:color w:val="000000"/>
          <w:spacing w:val="-2"/>
        </w:rPr>
        <w:t>g</w:t>
      </w:r>
      <w:r>
        <w:rPr>
          <w:color w:val="000000"/>
        </w:rPr>
        <w:t>., s</w:t>
      </w:r>
      <w:r>
        <w:rPr>
          <w:color w:val="000000"/>
          <w:spacing w:val="-1"/>
        </w:rPr>
        <w:t>e</w:t>
      </w:r>
      <w:r>
        <w:rPr>
          <w:color w:val="000000"/>
          <w:spacing w:val="1"/>
        </w:rPr>
        <w:t>a</w:t>
      </w:r>
      <w:r>
        <w:rPr>
          <w:color w:val="000000"/>
        </w:rPr>
        <w:t>g</w:t>
      </w:r>
      <w:r>
        <w:rPr>
          <w:color w:val="000000"/>
          <w:spacing w:val="-1"/>
        </w:rPr>
        <w:t>ra</w:t>
      </w:r>
      <w:r>
        <w:rPr>
          <w:color w:val="000000"/>
        </w:rPr>
        <w:t>ss</w:t>
      </w:r>
      <w:r>
        <w:rPr>
          <w:color w:val="000000"/>
          <w:spacing w:val="-1"/>
        </w:rPr>
        <w:t>)</w:t>
      </w:r>
      <w:r>
        <w:rPr>
          <w:color w:val="000000"/>
        </w:rPr>
        <w:t xml:space="preserve">; </w:t>
      </w:r>
      <w:r>
        <w:rPr>
          <w:color w:val="000000"/>
          <w:spacing w:val="-1"/>
        </w:rPr>
        <w:t>a</w:t>
      </w:r>
      <w:r>
        <w:rPr>
          <w:color w:val="000000"/>
        </w:rPr>
        <w:t>nd s</w:t>
      </w:r>
      <w:r>
        <w:rPr>
          <w:color w:val="000000"/>
          <w:spacing w:val="2"/>
        </w:rPr>
        <w:t>u</w:t>
      </w:r>
      <w:r>
        <w:rPr>
          <w:color w:val="000000"/>
        </w:rPr>
        <w:t>btid</w:t>
      </w:r>
      <w:r>
        <w:rPr>
          <w:color w:val="000000"/>
          <w:spacing w:val="-1"/>
        </w:rPr>
        <w:t>a</w:t>
      </w:r>
      <w:r>
        <w:rPr>
          <w:color w:val="000000"/>
        </w:rPr>
        <w:t xml:space="preserve">l </w:t>
      </w:r>
      <w:r>
        <w:rPr>
          <w:color w:val="000000"/>
          <w:spacing w:val="-1"/>
        </w:rPr>
        <w:t>a</w:t>
      </w:r>
      <w:r>
        <w:rPr>
          <w:color w:val="000000"/>
        </w:rPr>
        <w:t>nd int</w:t>
      </w:r>
      <w:r>
        <w:rPr>
          <w:color w:val="000000"/>
          <w:spacing w:val="-1"/>
        </w:rPr>
        <w:t>er</w:t>
      </w:r>
      <w:r>
        <w:rPr>
          <w:color w:val="000000"/>
        </w:rPr>
        <w:t>tid</w:t>
      </w:r>
      <w:r>
        <w:rPr>
          <w:color w:val="000000"/>
          <w:spacing w:val="-1"/>
        </w:rPr>
        <w:t>a</w:t>
      </w:r>
      <w:r>
        <w:rPr>
          <w:color w:val="000000"/>
        </w:rPr>
        <w:t>l non- v</w:t>
      </w:r>
      <w:r>
        <w:rPr>
          <w:color w:val="000000"/>
          <w:spacing w:val="-1"/>
        </w:rPr>
        <w:t>e</w:t>
      </w:r>
      <w:r>
        <w:rPr>
          <w:color w:val="000000"/>
        </w:rPr>
        <w:t>g</w:t>
      </w:r>
      <w:r>
        <w:rPr>
          <w:color w:val="000000"/>
          <w:spacing w:val="-1"/>
        </w:rPr>
        <w:t>e</w:t>
      </w:r>
      <w:r>
        <w:rPr>
          <w:color w:val="000000"/>
        </w:rPr>
        <w:t>t</w:t>
      </w:r>
      <w:r>
        <w:rPr>
          <w:color w:val="000000"/>
          <w:spacing w:val="-1"/>
        </w:rPr>
        <w:t>a</w:t>
      </w:r>
      <w:r>
        <w:rPr>
          <w:color w:val="000000"/>
        </w:rPr>
        <w:t>t</w:t>
      </w:r>
      <w:r>
        <w:rPr>
          <w:color w:val="000000"/>
          <w:spacing w:val="-1"/>
        </w:rPr>
        <w:t>e</w:t>
      </w:r>
      <w:r>
        <w:rPr>
          <w:color w:val="000000"/>
        </w:rPr>
        <w:t xml:space="preserve">d </w:t>
      </w:r>
      <w:r>
        <w:rPr>
          <w:color w:val="000000"/>
          <w:spacing w:val="-1"/>
        </w:rPr>
        <w:t>f</w:t>
      </w:r>
      <w:r>
        <w:rPr>
          <w:color w:val="000000"/>
          <w:spacing w:val="3"/>
        </w:rPr>
        <w:t>l</w:t>
      </w:r>
      <w:r>
        <w:rPr>
          <w:color w:val="000000"/>
          <w:spacing w:val="-1"/>
        </w:rPr>
        <w:t>a</w:t>
      </w:r>
      <w:r>
        <w:rPr>
          <w:color w:val="000000"/>
        </w:rPr>
        <w:t xml:space="preserve">ts.  This </w:t>
      </w:r>
      <w:r>
        <w:rPr>
          <w:color w:val="000000"/>
          <w:spacing w:val="-1"/>
        </w:rPr>
        <w:t>a</w:t>
      </w:r>
      <w:r>
        <w:rPr>
          <w:color w:val="000000"/>
        </w:rPr>
        <w:t>p</w:t>
      </w:r>
      <w:r>
        <w:rPr>
          <w:color w:val="000000"/>
          <w:spacing w:val="2"/>
        </w:rPr>
        <w:t>p</w:t>
      </w:r>
      <w:r>
        <w:rPr>
          <w:color w:val="000000"/>
        </w:rPr>
        <w:t>li</w:t>
      </w:r>
      <w:r>
        <w:rPr>
          <w:color w:val="000000"/>
          <w:spacing w:val="-1"/>
        </w:rPr>
        <w:t>e</w:t>
      </w:r>
      <w:r>
        <w:rPr>
          <w:color w:val="000000"/>
        </w:rPr>
        <w:t xml:space="preserve">s </w:t>
      </w:r>
      <w:r>
        <w:rPr>
          <w:color w:val="000000"/>
          <w:spacing w:val="-1"/>
        </w:rPr>
        <w:t>fr</w:t>
      </w:r>
      <w:r>
        <w:rPr>
          <w:color w:val="000000"/>
        </w:rPr>
        <w:t>om No</w:t>
      </w:r>
      <w:r>
        <w:rPr>
          <w:color w:val="000000"/>
          <w:spacing w:val="-1"/>
        </w:rPr>
        <w:t>r</w:t>
      </w:r>
      <w:r>
        <w:rPr>
          <w:color w:val="000000"/>
        </w:rPr>
        <w:t xml:space="preserve">th </w:t>
      </w:r>
      <w:r>
        <w:rPr>
          <w:color w:val="000000"/>
          <w:spacing w:val="1"/>
        </w:rPr>
        <w:t>C</w:t>
      </w:r>
      <w:r>
        <w:rPr>
          <w:color w:val="000000"/>
          <w:spacing w:val="-1"/>
        </w:rPr>
        <w:t>ar</w:t>
      </w:r>
      <w:r>
        <w:rPr>
          <w:color w:val="000000"/>
        </w:rPr>
        <w:t>olina</w:t>
      </w:r>
      <w:r>
        <w:rPr>
          <w:color w:val="000000"/>
          <w:spacing w:val="1"/>
        </w:rPr>
        <w:t xml:space="preserve"> </w:t>
      </w:r>
      <w:r>
        <w:rPr>
          <w:color w:val="000000"/>
        </w:rPr>
        <w:t>th</w:t>
      </w:r>
      <w:r>
        <w:rPr>
          <w:color w:val="000000"/>
          <w:spacing w:val="-1"/>
        </w:rPr>
        <w:t>r</w:t>
      </w:r>
      <w:r>
        <w:rPr>
          <w:color w:val="000000"/>
        </w:rPr>
        <w:t>ou</w:t>
      </w:r>
      <w:r>
        <w:rPr>
          <w:color w:val="000000"/>
          <w:spacing w:val="-2"/>
        </w:rPr>
        <w:t>g</w:t>
      </w:r>
      <w:r>
        <w:rPr>
          <w:color w:val="000000"/>
        </w:rPr>
        <w:t>h the</w:t>
      </w:r>
      <w:r>
        <w:rPr>
          <w:color w:val="000000"/>
          <w:spacing w:val="1"/>
        </w:rPr>
        <w:t xml:space="preserve"> </w:t>
      </w:r>
      <w:r>
        <w:rPr>
          <w:color w:val="000000"/>
          <w:spacing w:val="-1"/>
        </w:rPr>
        <w:t>F</w:t>
      </w:r>
      <w:r>
        <w:rPr>
          <w:color w:val="000000"/>
        </w:rPr>
        <w:t>lo</w:t>
      </w:r>
      <w:r>
        <w:rPr>
          <w:color w:val="000000"/>
          <w:spacing w:val="-1"/>
        </w:rPr>
        <w:t>r</w:t>
      </w:r>
      <w:r>
        <w:rPr>
          <w:color w:val="000000"/>
        </w:rPr>
        <w:t>ida</w:t>
      </w:r>
      <w:r>
        <w:rPr>
          <w:color w:val="000000"/>
          <w:spacing w:val="-1"/>
        </w:rPr>
        <w:t xml:space="preserve"> </w:t>
      </w:r>
      <w:r>
        <w:rPr>
          <w:color w:val="000000"/>
          <w:spacing w:val="2"/>
        </w:rPr>
        <w:t>K</w:t>
      </w:r>
      <w:r>
        <w:rPr>
          <w:color w:val="000000"/>
          <w:spacing w:val="4"/>
        </w:rPr>
        <w:t>e</w:t>
      </w:r>
      <w:r>
        <w:rPr>
          <w:color w:val="000000"/>
          <w:spacing w:val="-5"/>
        </w:rPr>
        <w:t>y</w:t>
      </w:r>
      <w:r>
        <w:rPr>
          <w:color w:val="000000"/>
          <w:spacing w:val="3"/>
        </w:rPr>
        <w:t>s</w:t>
      </w:r>
      <w:r>
        <w:rPr>
          <w:color w:val="000000"/>
        </w:rPr>
        <w:t>.</w:t>
      </w:r>
    </w:p>
    <w:p w14:paraId="0795803D" w14:textId="77777777" w:rsidR="00DC4922" w:rsidRDefault="00DC4922" w:rsidP="00DC4922">
      <w:pPr>
        <w:rPr>
          <w:color w:val="000000"/>
          <w:sz w:val="28"/>
        </w:rPr>
      </w:pPr>
    </w:p>
    <w:p w14:paraId="0D656BF2" w14:textId="77777777" w:rsidR="00DC4922" w:rsidRPr="00AA552A" w:rsidRDefault="00DC4922" w:rsidP="00640526">
      <w:pPr>
        <w:ind w:firstLine="360"/>
        <w:rPr>
          <w:rFonts w:cs="Cambria"/>
          <w:color w:val="000000"/>
        </w:rPr>
      </w:pPr>
      <w:r w:rsidRPr="00AA552A">
        <w:rPr>
          <w:rFonts w:cs="Cambria"/>
          <w:color w:val="000000"/>
          <w:spacing w:val="1"/>
        </w:rPr>
        <w:t>F</w:t>
      </w:r>
      <w:r w:rsidRPr="00AA552A">
        <w:rPr>
          <w:rFonts w:cs="Cambria"/>
          <w:color w:val="000000"/>
        </w:rPr>
        <w:t>or</w:t>
      </w:r>
      <w:r w:rsidRPr="00AA552A">
        <w:rPr>
          <w:rFonts w:cs="Cambria"/>
          <w:color w:val="000000"/>
          <w:spacing w:val="-5"/>
        </w:rPr>
        <w:t xml:space="preserve"> </w:t>
      </w:r>
      <w:r w:rsidRPr="00AA552A">
        <w:rPr>
          <w:rFonts w:cs="Cambria"/>
          <w:color w:val="000000"/>
          <w:spacing w:val="-1"/>
        </w:rPr>
        <w:t>r</w:t>
      </w:r>
      <w:r w:rsidRPr="00AA552A">
        <w:rPr>
          <w:rFonts w:cs="Cambria"/>
          <w:color w:val="000000"/>
        </w:rPr>
        <w:t>ock</w:t>
      </w:r>
      <w:r w:rsidRPr="00AA552A">
        <w:rPr>
          <w:rFonts w:cs="Cambria"/>
          <w:color w:val="000000"/>
          <w:spacing w:val="-4"/>
        </w:rPr>
        <w:t xml:space="preserve"> </w:t>
      </w:r>
      <w:r w:rsidRPr="00AA552A">
        <w:rPr>
          <w:rFonts w:cs="Cambria"/>
          <w:color w:val="000000"/>
        </w:rPr>
        <w:t>s</w:t>
      </w:r>
      <w:r w:rsidRPr="00AA552A">
        <w:rPr>
          <w:rFonts w:cs="Cambria"/>
          <w:color w:val="000000"/>
          <w:spacing w:val="2"/>
        </w:rPr>
        <w:t>h</w:t>
      </w:r>
      <w:r w:rsidRPr="00AA552A">
        <w:rPr>
          <w:rFonts w:cs="Cambria"/>
          <w:color w:val="000000"/>
          <w:spacing w:val="-1"/>
        </w:rPr>
        <w:t>r</w:t>
      </w:r>
      <w:r w:rsidRPr="00AA552A">
        <w:rPr>
          <w:rFonts w:cs="Cambria"/>
          <w:color w:val="000000"/>
          <w:spacing w:val="1"/>
        </w:rPr>
        <w:t>i</w:t>
      </w:r>
      <w:r w:rsidRPr="00AA552A">
        <w:rPr>
          <w:rFonts w:cs="Cambria"/>
          <w:color w:val="000000"/>
        </w:rPr>
        <w:t>m</w:t>
      </w:r>
      <w:r w:rsidRPr="00AA552A">
        <w:rPr>
          <w:rFonts w:cs="Cambria"/>
          <w:color w:val="000000"/>
          <w:spacing w:val="1"/>
        </w:rPr>
        <w:t>p</w:t>
      </w:r>
      <w:r w:rsidRPr="00AA552A">
        <w:rPr>
          <w:rFonts w:cs="Cambria"/>
          <w:color w:val="000000"/>
        </w:rPr>
        <w:t>,</w:t>
      </w:r>
      <w:r w:rsidRPr="00AA552A">
        <w:rPr>
          <w:rFonts w:cs="Cambria"/>
          <w:color w:val="000000"/>
          <w:spacing w:val="-3"/>
        </w:rPr>
        <w:t xml:space="preserve"> </w:t>
      </w: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n</w:t>
      </w:r>
      <w:r w:rsidRPr="00AA552A">
        <w:rPr>
          <w:rFonts w:cs="Cambria"/>
          <w:color w:val="000000"/>
          <w:spacing w:val="-2"/>
        </w:rPr>
        <w:t>t</w:t>
      </w:r>
      <w:r w:rsidRPr="00AA552A">
        <w:rPr>
          <w:rFonts w:cs="Cambria"/>
          <w:color w:val="000000"/>
          <w:spacing w:val="1"/>
        </w:rPr>
        <w:t>i</w:t>
      </w:r>
      <w:r w:rsidRPr="00AA552A">
        <w:rPr>
          <w:rFonts w:cs="Cambria"/>
          <w:color w:val="000000"/>
        </w:rPr>
        <w:t>al</w:t>
      </w:r>
      <w:r w:rsidRPr="00AA552A">
        <w:rPr>
          <w:rFonts w:cs="Cambria"/>
          <w:color w:val="000000"/>
          <w:spacing w:val="-5"/>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ha</w:t>
      </w:r>
      <w:r w:rsidRPr="00AA552A">
        <w:rPr>
          <w:rFonts w:cs="Cambria"/>
          <w:color w:val="000000"/>
          <w:spacing w:val="1"/>
        </w:rPr>
        <w:t>bi</w:t>
      </w:r>
      <w:r w:rsidRPr="00AA552A">
        <w:rPr>
          <w:rFonts w:cs="Cambria"/>
          <w:color w:val="000000"/>
        </w:rPr>
        <w:t>tat</w:t>
      </w:r>
      <w:r w:rsidRPr="00AA552A">
        <w:rPr>
          <w:rFonts w:cs="Cambria"/>
          <w:color w:val="000000"/>
          <w:spacing w:val="-2"/>
        </w:rPr>
        <w:t xml:space="preserve"> </w:t>
      </w:r>
      <w:r w:rsidRPr="00AA552A">
        <w:rPr>
          <w:rFonts w:cs="Cambria"/>
          <w:color w:val="000000"/>
        </w:rPr>
        <w:t>cons</w:t>
      </w:r>
      <w:r w:rsidRPr="00AA552A">
        <w:rPr>
          <w:rFonts w:cs="Cambria"/>
          <w:color w:val="000000"/>
          <w:spacing w:val="1"/>
        </w:rPr>
        <w:t>i</w:t>
      </w:r>
      <w:r w:rsidRPr="00AA552A">
        <w:rPr>
          <w:rFonts w:cs="Cambria"/>
          <w:color w:val="000000"/>
        </w:rPr>
        <w:t>sts</w:t>
      </w:r>
      <w:r w:rsidRPr="00AA552A">
        <w:rPr>
          <w:rFonts w:cs="Cambria"/>
          <w:color w:val="000000"/>
          <w:spacing w:val="-8"/>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o</w:t>
      </w:r>
      <w:r w:rsidRPr="00AA552A">
        <w:rPr>
          <w:rFonts w:cs="Cambria"/>
          <w:color w:val="000000"/>
          <w:spacing w:val="-1"/>
        </w:rPr>
        <w:t>ff</w:t>
      </w:r>
      <w:r w:rsidRPr="00AA552A">
        <w:rPr>
          <w:rFonts w:cs="Cambria"/>
          <w:color w:val="000000"/>
        </w:rPr>
        <w:t>sh</w:t>
      </w:r>
      <w:r w:rsidRPr="00AA552A">
        <w:rPr>
          <w:rFonts w:cs="Cambria"/>
          <w:color w:val="000000"/>
          <w:spacing w:val="2"/>
        </w:rPr>
        <w:t>o</w:t>
      </w:r>
      <w:r w:rsidRPr="00AA552A">
        <w:rPr>
          <w:rFonts w:cs="Cambria"/>
          <w:color w:val="000000"/>
          <w:spacing w:val="-1"/>
        </w:rPr>
        <w:t>r</w:t>
      </w:r>
      <w:r w:rsidRPr="00AA552A">
        <w:rPr>
          <w:rFonts w:cs="Cambria"/>
          <w:color w:val="000000"/>
        </w:rPr>
        <w:t>e</w:t>
      </w:r>
      <w:r w:rsidRPr="00AA552A">
        <w:rPr>
          <w:rFonts w:cs="Cambria"/>
          <w:color w:val="000000"/>
          <w:spacing w:val="-8"/>
        </w:rPr>
        <w:t xml:space="preserve"> </w:t>
      </w:r>
      <w:r w:rsidRPr="00AA552A">
        <w:rPr>
          <w:rFonts w:cs="Cambria"/>
          <w:color w:val="000000"/>
        </w:rPr>
        <w:t>t</w:t>
      </w:r>
      <w:r w:rsidRPr="00AA552A">
        <w:rPr>
          <w:rFonts w:cs="Cambria"/>
          <w:color w:val="000000"/>
          <w:spacing w:val="1"/>
        </w:rPr>
        <w:t>e</w:t>
      </w:r>
      <w:r w:rsidRPr="00AA552A">
        <w:rPr>
          <w:rFonts w:cs="Cambria"/>
          <w:color w:val="000000"/>
          <w:spacing w:val="-1"/>
        </w:rPr>
        <w:t>rr</w:t>
      </w:r>
      <w:r w:rsidRPr="00AA552A">
        <w:rPr>
          <w:rFonts w:cs="Cambria"/>
          <w:color w:val="000000"/>
          <w:spacing w:val="1"/>
        </w:rPr>
        <w:t>i</w:t>
      </w:r>
      <w:r w:rsidRPr="00AA552A">
        <w:rPr>
          <w:rFonts w:cs="Cambria"/>
          <w:color w:val="000000"/>
          <w:spacing w:val="-1"/>
        </w:rPr>
        <w:t>g</w:t>
      </w:r>
      <w:r w:rsidRPr="00AA552A">
        <w:rPr>
          <w:rFonts w:cs="Cambria"/>
          <w:color w:val="000000"/>
          <w:spacing w:val="1"/>
        </w:rPr>
        <w:t>e</w:t>
      </w:r>
      <w:r w:rsidRPr="00AA552A">
        <w:rPr>
          <w:rFonts w:cs="Cambria"/>
          <w:color w:val="000000"/>
        </w:rPr>
        <w:t>no</w:t>
      </w:r>
      <w:r w:rsidRPr="00AA552A">
        <w:rPr>
          <w:rFonts w:cs="Cambria"/>
          <w:color w:val="000000"/>
          <w:spacing w:val="-1"/>
        </w:rPr>
        <w:t>u</w:t>
      </w:r>
      <w:r w:rsidRPr="00AA552A">
        <w:rPr>
          <w:rFonts w:cs="Cambria"/>
          <w:color w:val="000000"/>
        </w:rPr>
        <w:t>s</w:t>
      </w:r>
      <w:r w:rsidRPr="00AA552A">
        <w:rPr>
          <w:rFonts w:cs="Cambria"/>
          <w:color w:val="000000"/>
          <w:spacing w:val="-5"/>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bi</w:t>
      </w:r>
      <w:r w:rsidRPr="00AA552A">
        <w:rPr>
          <w:rFonts w:cs="Cambria"/>
          <w:color w:val="000000"/>
        </w:rPr>
        <w:t>o</w:t>
      </w:r>
      <w:r w:rsidRPr="00AA552A">
        <w:rPr>
          <w:rFonts w:cs="Cambria"/>
          <w:color w:val="000000"/>
          <w:spacing w:val="-1"/>
        </w:rPr>
        <w:t>g</w:t>
      </w:r>
      <w:r w:rsidRPr="00AA552A">
        <w:rPr>
          <w:rFonts w:cs="Cambria"/>
          <w:color w:val="000000"/>
          <w:spacing w:val="1"/>
        </w:rPr>
        <w:t>e</w:t>
      </w:r>
      <w:r w:rsidRPr="00AA552A">
        <w:rPr>
          <w:rFonts w:cs="Cambria"/>
          <w:color w:val="000000"/>
        </w:rPr>
        <w:t>n</w:t>
      </w:r>
      <w:r w:rsidRPr="00AA552A">
        <w:rPr>
          <w:rFonts w:cs="Cambria"/>
          <w:color w:val="000000"/>
          <w:spacing w:val="1"/>
        </w:rPr>
        <w:t>i</w:t>
      </w:r>
      <w:r w:rsidRPr="00AA552A">
        <w:rPr>
          <w:rFonts w:cs="Cambria"/>
          <w:color w:val="000000"/>
        </w:rPr>
        <w:t>c</w:t>
      </w:r>
      <w:r w:rsidRPr="00AA552A">
        <w:rPr>
          <w:rFonts w:cs="Cambria"/>
          <w:color w:val="000000"/>
          <w:spacing w:val="-5"/>
        </w:rPr>
        <w:t xml:space="preserve"> </w:t>
      </w:r>
      <w:r w:rsidRPr="00AA552A">
        <w:rPr>
          <w:rFonts w:cs="Cambria"/>
          <w:color w:val="000000"/>
        </w:rPr>
        <w:t>sand</w:t>
      </w:r>
      <w:r w:rsidRPr="00AA552A">
        <w:rPr>
          <w:rFonts w:cs="Cambria"/>
          <w:color w:val="000000"/>
          <w:spacing w:val="-3"/>
        </w:rPr>
        <w:t xml:space="preserve"> </w:t>
      </w:r>
      <w:r w:rsidRPr="00AA552A">
        <w:rPr>
          <w:rFonts w:cs="Cambria"/>
          <w:color w:val="000000"/>
          <w:spacing w:val="1"/>
        </w:rPr>
        <w:t>b</w:t>
      </w:r>
      <w:r w:rsidRPr="00AA552A">
        <w:rPr>
          <w:rFonts w:cs="Cambria"/>
          <w:color w:val="000000"/>
        </w:rPr>
        <w:t>ott</w:t>
      </w:r>
      <w:r w:rsidRPr="00AA552A">
        <w:rPr>
          <w:rFonts w:cs="Cambria"/>
          <w:color w:val="000000"/>
          <w:spacing w:val="-3"/>
        </w:rPr>
        <w:t>o</w:t>
      </w:r>
      <w:r w:rsidRPr="00AA552A">
        <w:rPr>
          <w:rFonts w:cs="Cambria"/>
          <w:color w:val="000000"/>
        </w:rPr>
        <w:t>m ha</w:t>
      </w:r>
      <w:r w:rsidRPr="00AA552A">
        <w:rPr>
          <w:rFonts w:cs="Cambria"/>
          <w:color w:val="000000"/>
          <w:spacing w:val="1"/>
        </w:rPr>
        <w:t>bi</w:t>
      </w:r>
      <w:r w:rsidRPr="00AA552A">
        <w:rPr>
          <w:rFonts w:cs="Cambria"/>
          <w:color w:val="000000"/>
        </w:rPr>
        <w:t>tats</w:t>
      </w:r>
      <w:r w:rsidRPr="00AA552A">
        <w:rPr>
          <w:rFonts w:cs="Cambria"/>
          <w:color w:val="000000"/>
          <w:spacing w:val="-3"/>
        </w:rPr>
        <w:t xml:space="preserve"> </w:t>
      </w:r>
      <w:r w:rsidRPr="00AA552A">
        <w:rPr>
          <w:rFonts w:cs="Cambria"/>
          <w:color w:val="000000"/>
          <w:spacing w:val="-1"/>
        </w:rPr>
        <w:t>fr</w:t>
      </w:r>
      <w:r w:rsidRPr="00AA552A">
        <w:rPr>
          <w:rFonts w:cs="Cambria"/>
          <w:color w:val="000000"/>
        </w:rPr>
        <w:t>om</w:t>
      </w:r>
      <w:r w:rsidRPr="00AA552A">
        <w:rPr>
          <w:rFonts w:cs="Cambria"/>
          <w:color w:val="000000"/>
          <w:spacing w:val="-3"/>
        </w:rPr>
        <w:t xml:space="preserve"> </w:t>
      </w:r>
      <w:r w:rsidRPr="00AA552A">
        <w:rPr>
          <w:rFonts w:cs="Cambria"/>
          <w:color w:val="000000"/>
          <w:spacing w:val="-1"/>
        </w:rPr>
        <w:t>1</w:t>
      </w:r>
      <w:r w:rsidRPr="00AA552A">
        <w:rPr>
          <w:rFonts w:cs="Cambria"/>
          <w:color w:val="000000"/>
        </w:rPr>
        <w:t>8</w:t>
      </w:r>
      <w:r w:rsidRPr="00AA552A">
        <w:rPr>
          <w:rFonts w:cs="Cambria"/>
          <w:color w:val="000000"/>
          <w:spacing w:val="-4"/>
        </w:rPr>
        <w:t xml:space="preserve"> </w:t>
      </w:r>
      <w:r w:rsidRPr="00AA552A">
        <w:rPr>
          <w:rFonts w:cs="Cambria"/>
          <w:color w:val="000000"/>
        </w:rPr>
        <w:t>to</w:t>
      </w:r>
      <w:r w:rsidRPr="00AA552A">
        <w:rPr>
          <w:rFonts w:cs="Cambria"/>
          <w:color w:val="000000"/>
          <w:spacing w:val="-1"/>
        </w:rPr>
        <w:t xml:space="preserve"> 1</w:t>
      </w:r>
      <w:r w:rsidRPr="00AA552A">
        <w:rPr>
          <w:rFonts w:cs="Cambria"/>
          <w:color w:val="000000"/>
          <w:spacing w:val="2"/>
        </w:rPr>
        <w:t>8</w:t>
      </w:r>
      <w:r w:rsidRPr="00AA552A">
        <w:rPr>
          <w:rFonts w:cs="Cambria"/>
          <w:color w:val="000000"/>
        </w:rPr>
        <w:t>2</w:t>
      </w:r>
      <w:r w:rsidRPr="00AA552A">
        <w:rPr>
          <w:rFonts w:cs="Cambria"/>
          <w:color w:val="000000"/>
          <w:spacing w:val="-2"/>
        </w:rPr>
        <w:t xml:space="preserve"> </w:t>
      </w:r>
      <w:r w:rsidRPr="00AA552A">
        <w:rPr>
          <w:rFonts w:cs="Cambria"/>
          <w:color w:val="000000"/>
        </w:rPr>
        <w:t>m</w:t>
      </w:r>
      <w:r w:rsidRPr="00AA552A">
        <w:rPr>
          <w:rFonts w:cs="Cambria"/>
          <w:color w:val="000000"/>
          <w:spacing w:val="1"/>
        </w:rPr>
        <w:t>e</w:t>
      </w:r>
      <w:r w:rsidRPr="00AA552A">
        <w:rPr>
          <w:rFonts w:cs="Cambria"/>
          <w:color w:val="000000"/>
        </w:rPr>
        <w:t>t</w:t>
      </w:r>
      <w:r w:rsidRPr="00AA552A">
        <w:rPr>
          <w:rFonts w:cs="Cambria"/>
          <w:color w:val="000000"/>
          <w:spacing w:val="1"/>
        </w:rPr>
        <w:t>e</w:t>
      </w:r>
      <w:r w:rsidRPr="00AA552A">
        <w:rPr>
          <w:rFonts w:cs="Cambria"/>
          <w:color w:val="000000"/>
          <w:spacing w:val="-1"/>
        </w:rPr>
        <w:t>r</w:t>
      </w:r>
      <w:r w:rsidRPr="00AA552A">
        <w:rPr>
          <w:rFonts w:cs="Cambria"/>
          <w:color w:val="000000"/>
        </w:rPr>
        <w:t>s</w:t>
      </w:r>
      <w:r w:rsidRPr="00AA552A">
        <w:rPr>
          <w:rFonts w:cs="Cambria"/>
          <w:color w:val="000000"/>
          <w:spacing w:val="-4"/>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d</w:t>
      </w:r>
      <w:r w:rsidRPr="00AA552A">
        <w:rPr>
          <w:rFonts w:cs="Cambria"/>
          <w:color w:val="000000"/>
          <w:spacing w:val="1"/>
        </w:rPr>
        <w:t>ep</w:t>
      </w:r>
      <w:r w:rsidRPr="00AA552A">
        <w:rPr>
          <w:rFonts w:cs="Cambria"/>
          <w:color w:val="000000"/>
        </w:rPr>
        <w:t>th</w:t>
      </w:r>
      <w:r w:rsidRPr="00AA552A">
        <w:rPr>
          <w:rFonts w:cs="Cambria"/>
          <w:color w:val="000000"/>
          <w:spacing w:val="-4"/>
        </w:rPr>
        <w:t xml:space="preserve"> </w:t>
      </w:r>
      <w:r w:rsidRPr="00AA552A">
        <w:rPr>
          <w:rFonts w:cs="Cambria"/>
          <w:color w:val="000000"/>
          <w:spacing w:val="-1"/>
        </w:rPr>
        <w:t>w</w:t>
      </w:r>
      <w:r w:rsidRPr="00AA552A">
        <w:rPr>
          <w:rFonts w:cs="Cambria"/>
          <w:color w:val="000000"/>
          <w:spacing w:val="1"/>
        </w:rPr>
        <w:t>i</w:t>
      </w:r>
      <w:r w:rsidRPr="00AA552A">
        <w:rPr>
          <w:rFonts w:cs="Cambria"/>
          <w:color w:val="000000"/>
        </w:rPr>
        <w:t>th</w:t>
      </w:r>
      <w:r w:rsidRPr="00AA552A">
        <w:rPr>
          <w:rFonts w:cs="Cambria"/>
          <w:color w:val="000000"/>
          <w:spacing w:val="-2"/>
        </w:rPr>
        <w:t xml:space="preserve"> </w:t>
      </w:r>
      <w:r w:rsidRPr="00AA552A">
        <w:rPr>
          <w:rFonts w:cs="Cambria"/>
          <w:color w:val="000000"/>
        </w:rPr>
        <w:t>h</w:t>
      </w:r>
      <w:r w:rsidRPr="00AA552A">
        <w:rPr>
          <w:rFonts w:cs="Cambria"/>
          <w:color w:val="000000"/>
          <w:spacing w:val="1"/>
        </w:rPr>
        <w:t>i</w:t>
      </w:r>
      <w:r w:rsidRPr="00AA552A">
        <w:rPr>
          <w:rFonts w:cs="Cambria"/>
          <w:color w:val="000000"/>
          <w:spacing w:val="-1"/>
        </w:rPr>
        <w:t>g</w:t>
      </w:r>
      <w:r w:rsidRPr="00AA552A">
        <w:rPr>
          <w:rFonts w:cs="Cambria"/>
          <w:color w:val="000000"/>
        </w:rPr>
        <w:t>h</w:t>
      </w:r>
      <w:r w:rsidRPr="00AA552A">
        <w:rPr>
          <w:rFonts w:cs="Cambria"/>
          <w:color w:val="000000"/>
          <w:spacing w:val="1"/>
        </w:rPr>
        <w:t>e</w:t>
      </w:r>
      <w:r w:rsidRPr="00AA552A">
        <w:rPr>
          <w:rFonts w:cs="Cambria"/>
          <w:color w:val="000000"/>
        </w:rPr>
        <w:t>st</w:t>
      </w:r>
      <w:r w:rsidRPr="00AA552A">
        <w:rPr>
          <w:rFonts w:cs="Cambria"/>
          <w:color w:val="000000"/>
          <w:spacing w:val="-6"/>
        </w:rPr>
        <w:t xml:space="preserve"> </w:t>
      </w:r>
      <w:r w:rsidRPr="00AA552A">
        <w:rPr>
          <w:rFonts w:cs="Cambria"/>
          <w:color w:val="000000"/>
        </w:rPr>
        <w:t>conc</w:t>
      </w:r>
      <w:r w:rsidRPr="00AA552A">
        <w:rPr>
          <w:rFonts w:cs="Cambria"/>
          <w:color w:val="000000"/>
          <w:spacing w:val="1"/>
        </w:rPr>
        <w:t>e</w:t>
      </w:r>
      <w:r w:rsidRPr="00AA552A">
        <w:rPr>
          <w:rFonts w:cs="Cambria"/>
          <w:color w:val="000000"/>
        </w:rPr>
        <w:t>nt</w:t>
      </w:r>
      <w:r w:rsidRPr="00AA552A">
        <w:rPr>
          <w:rFonts w:cs="Cambria"/>
          <w:color w:val="000000"/>
          <w:spacing w:val="-1"/>
        </w:rPr>
        <w:t>r</w:t>
      </w:r>
      <w:r w:rsidRPr="00AA552A">
        <w:rPr>
          <w:rFonts w:cs="Cambria"/>
          <w:color w:val="000000"/>
        </w:rPr>
        <w:t>at</w:t>
      </w:r>
      <w:r w:rsidRPr="00AA552A">
        <w:rPr>
          <w:rFonts w:cs="Cambria"/>
          <w:color w:val="000000"/>
          <w:spacing w:val="1"/>
        </w:rPr>
        <w:t>i</w:t>
      </w:r>
      <w:r w:rsidRPr="00AA552A">
        <w:rPr>
          <w:rFonts w:cs="Cambria"/>
          <w:color w:val="000000"/>
        </w:rPr>
        <w:t>ons</w:t>
      </w:r>
      <w:r w:rsidRPr="00AA552A">
        <w:rPr>
          <w:rFonts w:cs="Cambria"/>
          <w:color w:val="000000"/>
          <w:spacing w:val="-9"/>
        </w:rPr>
        <w:t xml:space="preserve"> </w:t>
      </w:r>
      <w:r w:rsidRPr="00AA552A">
        <w:rPr>
          <w:rFonts w:cs="Cambria"/>
          <w:color w:val="000000"/>
        </w:rPr>
        <w:t>occ</w:t>
      </w:r>
      <w:r w:rsidRPr="00AA552A">
        <w:rPr>
          <w:rFonts w:cs="Cambria"/>
          <w:color w:val="000000"/>
          <w:spacing w:val="-1"/>
        </w:rPr>
        <w:t>urr</w:t>
      </w:r>
      <w:r w:rsidRPr="00AA552A">
        <w:rPr>
          <w:rFonts w:cs="Cambria"/>
          <w:color w:val="000000"/>
          <w:spacing w:val="1"/>
        </w:rPr>
        <w:t>i</w:t>
      </w:r>
      <w:r w:rsidRPr="00AA552A">
        <w:rPr>
          <w:rFonts w:cs="Cambria"/>
          <w:color w:val="000000"/>
        </w:rPr>
        <w:t>ng</w:t>
      </w:r>
      <w:r w:rsidRPr="00AA552A">
        <w:rPr>
          <w:rFonts w:cs="Cambria"/>
          <w:color w:val="000000"/>
          <w:spacing w:val="-7"/>
        </w:rPr>
        <w:t xml:space="preserve"> </w:t>
      </w:r>
      <w:r w:rsidRPr="00AA552A">
        <w:rPr>
          <w:rFonts w:cs="Cambria"/>
          <w:color w:val="000000"/>
          <w:spacing w:val="1"/>
        </w:rPr>
        <w:t>be</w:t>
      </w:r>
      <w:r w:rsidRPr="00AA552A">
        <w:rPr>
          <w:rFonts w:cs="Cambria"/>
          <w:color w:val="000000"/>
        </w:rPr>
        <w:t>t</w:t>
      </w:r>
      <w:r w:rsidRPr="00AA552A">
        <w:rPr>
          <w:rFonts w:cs="Cambria"/>
          <w:color w:val="000000"/>
          <w:spacing w:val="-1"/>
        </w:rPr>
        <w:t>w</w:t>
      </w:r>
      <w:r w:rsidRPr="00AA552A">
        <w:rPr>
          <w:rFonts w:cs="Cambria"/>
          <w:color w:val="000000"/>
          <w:spacing w:val="1"/>
        </w:rPr>
        <w:t>ee</w:t>
      </w:r>
      <w:r w:rsidRPr="00AA552A">
        <w:rPr>
          <w:rFonts w:cs="Cambria"/>
          <w:color w:val="000000"/>
        </w:rPr>
        <w:t>n</w:t>
      </w:r>
      <w:r w:rsidRPr="00AA552A">
        <w:rPr>
          <w:rFonts w:cs="Cambria"/>
          <w:color w:val="000000"/>
          <w:spacing w:val="-3"/>
        </w:rPr>
        <w:t xml:space="preserve"> </w:t>
      </w:r>
      <w:r w:rsidRPr="00AA552A">
        <w:rPr>
          <w:rFonts w:cs="Cambria"/>
          <w:color w:val="000000"/>
          <w:spacing w:val="-1"/>
        </w:rPr>
        <w:t>3</w:t>
      </w:r>
      <w:r w:rsidRPr="00AA552A">
        <w:rPr>
          <w:rFonts w:cs="Cambria"/>
          <w:color w:val="000000"/>
        </w:rPr>
        <w:t>4</w:t>
      </w:r>
      <w:r w:rsidRPr="00AA552A">
        <w:rPr>
          <w:rFonts w:cs="Cambria"/>
          <w:color w:val="000000"/>
          <w:spacing w:val="-4"/>
        </w:rPr>
        <w:t xml:space="preserve"> </w:t>
      </w:r>
      <w:r w:rsidRPr="00AA552A">
        <w:rPr>
          <w:rFonts w:cs="Cambria"/>
          <w:color w:val="000000"/>
        </w:rPr>
        <w:t xml:space="preserve">and </w:t>
      </w:r>
      <w:r w:rsidRPr="00AA552A">
        <w:rPr>
          <w:rFonts w:cs="Cambria"/>
          <w:color w:val="000000"/>
          <w:spacing w:val="-1"/>
        </w:rPr>
        <w:t>5</w:t>
      </w:r>
      <w:r w:rsidRPr="00AA552A">
        <w:rPr>
          <w:rFonts w:cs="Cambria"/>
          <w:color w:val="000000"/>
        </w:rPr>
        <w:t>5 m</w:t>
      </w:r>
      <w:r w:rsidRPr="00AA552A">
        <w:rPr>
          <w:rFonts w:cs="Cambria"/>
          <w:color w:val="000000"/>
          <w:spacing w:val="1"/>
        </w:rPr>
        <w:t>e</w:t>
      </w:r>
      <w:r w:rsidRPr="00AA552A">
        <w:rPr>
          <w:rFonts w:cs="Cambria"/>
          <w:color w:val="000000"/>
        </w:rPr>
        <w:t>t</w:t>
      </w:r>
      <w:r w:rsidRPr="00AA552A">
        <w:rPr>
          <w:rFonts w:cs="Cambria"/>
          <w:color w:val="000000"/>
          <w:spacing w:val="1"/>
        </w:rPr>
        <w:t>e</w:t>
      </w:r>
      <w:r w:rsidRPr="00AA552A">
        <w:rPr>
          <w:rFonts w:cs="Cambria"/>
          <w:color w:val="000000"/>
          <w:spacing w:val="-1"/>
        </w:rPr>
        <w:t>r</w:t>
      </w:r>
      <w:r w:rsidRPr="00AA552A">
        <w:rPr>
          <w:rFonts w:cs="Cambria"/>
          <w:color w:val="000000"/>
        </w:rPr>
        <w:t>s.</w:t>
      </w:r>
      <w:r w:rsidRPr="00AA552A">
        <w:rPr>
          <w:rFonts w:cs="Cambria"/>
          <w:color w:val="000000"/>
          <w:spacing w:val="47"/>
        </w:rPr>
        <w:t xml:space="preserve"> </w:t>
      </w:r>
      <w:r w:rsidRPr="00AA552A">
        <w:rPr>
          <w:rFonts w:cs="Cambria"/>
          <w:color w:val="000000"/>
          <w:spacing w:val="-1"/>
        </w:rPr>
        <w:t>T</w:t>
      </w:r>
      <w:r w:rsidRPr="00AA552A">
        <w:rPr>
          <w:rFonts w:cs="Cambria"/>
          <w:color w:val="000000"/>
        </w:rPr>
        <w:t>h</w:t>
      </w:r>
      <w:r w:rsidRPr="00AA552A">
        <w:rPr>
          <w:rFonts w:cs="Cambria"/>
          <w:color w:val="000000"/>
          <w:spacing w:val="1"/>
        </w:rPr>
        <w:t>i</w:t>
      </w:r>
      <w:r w:rsidRPr="00AA552A">
        <w:rPr>
          <w:rFonts w:cs="Cambria"/>
          <w:color w:val="000000"/>
        </w:rPr>
        <w:t>s</w:t>
      </w:r>
      <w:r w:rsidRPr="00AA552A">
        <w:rPr>
          <w:rFonts w:cs="Cambria"/>
          <w:color w:val="000000"/>
          <w:spacing w:val="-4"/>
        </w:rPr>
        <w:t xml:space="preserve"> </w:t>
      </w:r>
      <w:r w:rsidRPr="00AA552A">
        <w:rPr>
          <w:rFonts w:cs="Cambria"/>
          <w:color w:val="000000"/>
        </w:rPr>
        <w:t>a</w:t>
      </w:r>
      <w:r w:rsidRPr="00AA552A">
        <w:rPr>
          <w:rFonts w:cs="Cambria"/>
          <w:color w:val="000000"/>
          <w:spacing w:val="1"/>
        </w:rPr>
        <w:t>pp</w:t>
      </w:r>
      <w:r w:rsidRPr="00AA552A">
        <w:rPr>
          <w:rFonts w:cs="Cambria"/>
          <w:color w:val="000000"/>
        </w:rPr>
        <w:t>l</w:t>
      </w:r>
      <w:r w:rsidRPr="00AA552A">
        <w:rPr>
          <w:rFonts w:cs="Cambria"/>
          <w:color w:val="000000"/>
          <w:spacing w:val="1"/>
        </w:rPr>
        <w:t>ie</w:t>
      </w:r>
      <w:r w:rsidRPr="00AA552A">
        <w:rPr>
          <w:rFonts w:cs="Cambria"/>
          <w:color w:val="000000"/>
        </w:rPr>
        <w:t>s</w:t>
      </w:r>
      <w:r w:rsidRPr="00AA552A">
        <w:rPr>
          <w:rFonts w:cs="Cambria"/>
          <w:color w:val="000000"/>
          <w:spacing w:val="-3"/>
        </w:rPr>
        <w:t xml:space="preserve"> </w:t>
      </w:r>
      <w:r w:rsidRPr="00AA552A">
        <w:rPr>
          <w:rFonts w:cs="Cambria"/>
          <w:color w:val="000000"/>
          <w:spacing w:val="-1"/>
        </w:rPr>
        <w:t>f</w:t>
      </w:r>
      <w:r w:rsidRPr="00AA552A">
        <w:rPr>
          <w:rFonts w:cs="Cambria"/>
          <w:color w:val="000000"/>
          <w:spacing w:val="-3"/>
        </w:rPr>
        <w:t>o</w:t>
      </w:r>
      <w:r w:rsidRPr="00AA552A">
        <w:rPr>
          <w:rFonts w:cs="Cambria"/>
          <w:color w:val="000000"/>
        </w:rPr>
        <w:t>r</w:t>
      </w:r>
      <w:r w:rsidRPr="00AA552A">
        <w:rPr>
          <w:rFonts w:cs="Cambria"/>
          <w:color w:val="000000"/>
          <w:spacing w:val="-4"/>
        </w:rPr>
        <w:t xml:space="preserve"> </w:t>
      </w:r>
      <w:r w:rsidRPr="00AA552A">
        <w:rPr>
          <w:rFonts w:cs="Cambria"/>
          <w:color w:val="000000"/>
        </w:rPr>
        <w:t>all a</w:t>
      </w:r>
      <w:r w:rsidRPr="00AA552A">
        <w:rPr>
          <w:rFonts w:cs="Cambria"/>
          <w:color w:val="000000"/>
          <w:spacing w:val="-1"/>
        </w:rPr>
        <w:t>r</w:t>
      </w:r>
      <w:r w:rsidRPr="00AA552A">
        <w:rPr>
          <w:rFonts w:cs="Cambria"/>
          <w:color w:val="000000"/>
          <w:spacing w:val="1"/>
        </w:rPr>
        <w:t>e</w:t>
      </w:r>
      <w:r w:rsidRPr="00AA552A">
        <w:rPr>
          <w:rFonts w:cs="Cambria"/>
          <w:color w:val="000000"/>
        </w:rPr>
        <w:t>as</w:t>
      </w:r>
      <w:r w:rsidRPr="00AA552A">
        <w:rPr>
          <w:rFonts w:cs="Cambria"/>
          <w:color w:val="000000"/>
          <w:spacing w:val="-3"/>
        </w:rPr>
        <w:t xml:space="preserve"> </w:t>
      </w:r>
      <w:r w:rsidRPr="00AA552A">
        <w:rPr>
          <w:rFonts w:cs="Cambria"/>
          <w:color w:val="000000"/>
          <w:spacing w:val="-1"/>
        </w:rPr>
        <w:t>fr</w:t>
      </w:r>
      <w:r w:rsidRPr="00AA552A">
        <w:rPr>
          <w:rFonts w:cs="Cambria"/>
          <w:color w:val="000000"/>
        </w:rPr>
        <w:t>om</w:t>
      </w:r>
      <w:r w:rsidRPr="00AA552A">
        <w:rPr>
          <w:rFonts w:cs="Cambria"/>
          <w:color w:val="000000"/>
          <w:spacing w:val="-3"/>
        </w:rPr>
        <w:t xml:space="preserve"> </w:t>
      </w:r>
      <w:r w:rsidRPr="00AA552A">
        <w:rPr>
          <w:rFonts w:cs="Cambria"/>
          <w:color w:val="000000"/>
        </w:rPr>
        <w:t>N</w:t>
      </w:r>
      <w:r w:rsidRPr="00AA552A">
        <w:rPr>
          <w:rFonts w:cs="Cambria"/>
          <w:color w:val="000000"/>
          <w:spacing w:val="2"/>
        </w:rPr>
        <w:t>o</w:t>
      </w:r>
      <w:r w:rsidRPr="00AA552A">
        <w:rPr>
          <w:rFonts w:cs="Cambria"/>
          <w:color w:val="000000"/>
          <w:spacing w:val="-1"/>
        </w:rPr>
        <w:t>r</w:t>
      </w:r>
      <w:r w:rsidRPr="00AA552A">
        <w:rPr>
          <w:rFonts w:cs="Cambria"/>
          <w:color w:val="000000"/>
        </w:rPr>
        <w:t>th</w:t>
      </w:r>
      <w:r w:rsidRPr="00AA552A">
        <w:rPr>
          <w:rFonts w:cs="Cambria"/>
          <w:color w:val="000000"/>
          <w:spacing w:val="-5"/>
        </w:rPr>
        <w:t xml:space="preserve"> </w:t>
      </w:r>
      <w:r w:rsidRPr="00AA552A">
        <w:rPr>
          <w:rFonts w:cs="Cambria"/>
          <w:color w:val="000000"/>
          <w:spacing w:val="2"/>
        </w:rPr>
        <w:t>C</w:t>
      </w:r>
      <w:r w:rsidRPr="00AA552A">
        <w:rPr>
          <w:rFonts w:cs="Cambria"/>
          <w:color w:val="000000"/>
        </w:rPr>
        <w:t>a</w:t>
      </w:r>
      <w:r w:rsidRPr="00AA552A">
        <w:rPr>
          <w:rFonts w:cs="Cambria"/>
          <w:color w:val="000000"/>
          <w:spacing w:val="-1"/>
        </w:rPr>
        <w:t>r</w:t>
      </w:r>
      <w:r w:rsidRPr="00AA552A">
        <w:rPr>
          <w:rFonts w:cs="Cambria"/>
          <w:color w:val="000000"/>
        </w:rPr>
        <w:t>ol</w:t>
      </w:r>
      <w:r w:rsidRPr="00AA552A">
        <w:rPr>
          <w:rFonts w:cs="Cambria"/>
          <w:color w:val="000000"/>
          <w:spacing w:val="1"/>
        </w:rPr>
        <w:t>i</w:t>
      </w:r>
      <w:r w:rsidRPr="00AA552A">
        <w:rPr>
          <w:rFonts w:cs="Cambria"/>
          <w:color w:val="000000"/>
        </w:rPr>
        <w:t>na</w:t>
      </w:r>
      <w:r w:rsidRPr="00AA552A">
        <w:rPr>
          <w:rFonts w:cs="Cambria"/>
          <w:color w:val="000000"/>
          <w:spacing w:val="-4"/>
        </w:rPr>
        <w:t xml:space="preserve"> </w:t>
      </w:r>
      <w:r w:rsidRPr="00AA552A">
        <w:rPr>
          <w:rFonts w:cs="Cambria"/>
          <w:color w:val="000000"/>
        </w:rPr>
        <w:t>th</w:t>
      </w:r>
      <w:r w:rsidRPr="00AA552A">
        <w:rPr>
          <w:rFonts w:cs="Cambria"/>
          <w:color w:val="000000"/>
          <w:spacing w:val="-1"/>
        </w:rPr>
        <w:t>r</w:t>
      </w:r>
      <w:r w:rsidRPr="00AA552A">
        <w:rPr>
          <w:rFonts w:cs="Cambria"/>
          <w:color w:val="000000"/>
        </w:rPr>
        <w:t>ou</w:t>
      </w:r>
      <w:r w:rsidRPr="00AA552A">
        <w:rPr>
          <w:rFonts w:cs="Cambria"/>
          <w:color w:val="000000"/>
          <w:spacing w:val="-1"/>
        </w:rPr>
        <w:t>g</w:t>
      </w:r>
      <w:r w:rsidRPr="00AA552A">
        <w:rPr>
          <w:rFonts w:cs="Cambria"/>
          <w:color w:val="000000"/>
        </w:rPr>
        <w:t>h</w:t>
      </w:r>
      <w:r w:rsidRPr="00AA552A">
        <w:rPr>
          <w:rFonts w:cs="Cambria"/>
          <w:color w:val="000000"/>
          <w:spacing w:val="-5"/>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F</w:t>
      </w:r>
      <w:r w:rsidRPr="00AA552A">
        <w:rPr>
          <w:rFonts w:cs="Cambria"/>
          <w:color w:val="000000"/>
        </w:rPr>
        <w:t>l</w:t>
      </w:r>
      <w:r w:rsidRPr="00AA552A">
        <w:rPr>
          <w:rFonts w:cs="Cambria"/>
          <w:color w:val="000000"/>
          <w:spacing w:val="2"/>
        </w:rPr>
        <w:t>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6"/>
        </w:rPr>
        <w:t xml:space="preserve"> </w:t>
      </w:r>
      <w:r w:rsidRPr="00AA552A">
        <w:rPr>
          <w:rFonts w:cs="Cambria"/>
          <w:color w:val="000000"/>
        </w:rPr>
        <w:t>K</w:t>
      </w:r>
      <w:r w:rsidRPr="00AA552A">
        <w:rPr>
          <w:rFonts w:cs="Cambria"/>
          <w:color w:val="000000"/>
          <w:spacing w:val="1"/>
        </w:rPr>
        <w:t>e</w:t>
      </w:r>
      <w:r w:rsidRPr="00AA552A">
        <w:rPr>
          <w:rFonts w:cs="Cambria"/>
          <w:color w:val="000000"/>
          <w:spacing w:val="-1"/>
        </w:rPr>
        <w:t>y</w:t>
      </w:r>
      <w:r w:rsidRPr="00AA552A">
        <w:rPr>
          <w:rFonts w:cs="Cambria"/>
          <w:color w:val="000000"/>
        </w:rPr>
        <w:t>s.</w:t>
      </w:r>
      <w:r w:rsidRPr="00AA552A">
        <w:rPr>
          <w:rFonts w:cs="Cambria"/>
          <w:color w:val="000000"/>
          <w:spacing w:val="50"/>
        </w:rPr>
        <w:t xml:space="preserve"> </w:t>
      </w: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nt</w:t>
      </w:r>
      <w:r w:rsidRPr="00AA552A">
        <w:rPr>
          <w:rFonts w:cs="Cambria"/>
          <w:color w:val="000000"/>
          <w:spacing w:val="1"/>
        </w:rPr>
        <w:t>i</w:t>
      </w:r>
      <w:r w:rsidRPr="00AA552A">
        <w:rPr>
          <w:rFonts w:cs="Cambria"/>
          <w:color w:val="000000"/>
        </w:rPr>
        <w:t>al</w:t>
      </w:r>
      <w:r w:rsidRPr="00AA552A">
        <w:rPr>
          <w:rFonts w:cs="Cambria"/>
          <w:color w:val="000000"/>
          <w:spacing w:val="-4"/>
        </w:rPr>
        <w:t xml:space="preserve"> </w:t>
      </w:r>
      <w:r w:rsidRPr="00AA552A">
        <w:rPr>
          <w:rFonts w:cs="Cambria"/>
          <w:color w:val="000000"/>
          <w:spacing w:val="-1"/>
        </w:rPr>
        <w:t>f</w:t>
      </w:r>
      <w:r w:rsidRPr="00AA552A">
        <w:rPr>
          <w:rFonts w:cs="Cambria"/>
          <w:color w:val="000000"/>
          <w:spacing w:val="1"/>
        </w:rPr>
        <w:t>i</w:t>
      </w:r>
      <w:r w:rsidRPr="00AA552A">
        <w:rPr>
          <w:rFonts w:cs="Cambria"/>
          <w:color w:val="000000"/>
          <w:spacing w:val="-2"/>
        </w:rPr>
        <w:t>s</w:t>
      </w:r>
      <w:r w:rsidRPr="00AA552A">
        <w:rPr>
          <w:rFonts w:cs="Cambria"/>
          <w:color w:val="000000"/>
        </w:rPr>
        <w:t>h ha</w:t>
      </w:r>
      <w:r w:rsidRPr="00AA552A">
        <w:rPr>
          <w:rFonts w:cs="Cambria"/>
          <w:color w:val="000000"/>
          <w:spacing w:val="1"/>
        </w:rPr>
        <w:t>bi</w:t>
      </w:r>
      <w:r w:rsidRPr="00AA552A">
        <w:rPr>
          <w:rFonts w:cs="Cambria"/>
          <w:color w:val="000000"/>
        </w:rPr>
        <w:t>tat</w:t>
      </w:r>
      <w:r w:rsidRPr="00AA552A">
        <w:rPr>
          <w:rFonts w:cs="Cambria"/>
          <w:color w:val="000000"/>
          <w:spacing w:val="-2"/>
        </w:rPr>
        <w:t xml:space="preserve"> </w:t>
      </w:r>
      <w:r w:rsidRPr="00AA552A">
        <w:rPr>
          <w:rFonts w:cs="Cambria"/>
          <w:color w:val="000000"/>
          <w:spacing w:val="1"/>
        </w:rPr>
        <w:t>i</w:t>
      </w:r>
      <w:r w:rsidRPr="00AA552A">
        <w:rPr>
          <w:rFonts w:cs="Cambria"/>
          <w:color w:val="000000"/>
        </w:rPr>
        <w:t>ncl</w:t>
      </w:r>
      <w:r w:rsidRPr="00AA552A">
        <w:rPr>
          <w:rFonts w:cs="Cambria"/>
          <w:color w:val="000000"/>
          <w:spacing w:val="-1"/>
        </w:rPr>
        <w:t>ud</w:t>
      </w:r>
      <w:r w:rsidRPr="00AA552A">
        <w:rPr>
          <w:rFonts w:cs="Cambria"/>
          <w:color w:val="000000"/>
          <w:spacing w:val="1"/>
        </w:rPr>
        <w:t>e</w:t>
      </w:r>
      <w:r w:rsidRPr="00AA552A">
        <w:rPr>
          <w:rFonts w:cs="Cambria"/>
          <w:color w:val="000000"/>
        </w:rPr>
        <w:t>s</w:t>
      </w:r>
      <w:r w:rsidRPr="00AA552A">
        <w:rPr>
          <w:rFonts w:cs="Cambria"/>
          <w:color w:val="000000"/>
          <w:spacing w:val="-5"/>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sh</w:t>
      </w:r>
      <w:r w:rsidRPr="00AA552A">
        <w:rPr>
          <w:rFonts w:cs="Cambria"/>
          <w:color w:val="000000"/>
          <w:spacing w:val="-2"/>
        </w:rPr>
        <w:t>e</w:t>
      </w:r>
      <w:r w:rsidRPr="00AA552A">
        <w:rPr>
          <w:rFonts w:cs="Cambria"/>
          <w:color w:val="000000"/>
        </w:rPr>
        <w:t>lf</w:t>
      </w:r>
      <w:r w:rsidRPr="00AA552A">
        <w:rPr>
          <w:rFonts w:cs="Cambria"/>
          <w:color w:val="000000"/>
          <w:spacing w:val="-5"/>
        </w:rPr>
        <w:t xml:space="preserve"> </w:t>
      </w:r>
      <w:r w:rsidRPr="00AA552A">
        <w:rPr>
          <w:rFonts w:cs="Cambria"/>
          <w:color w:val="000000"/>
        </w:rPr>
        <w:t>c</w:t>
      </w:r>
      <w:r w:rsidRPr="00AA552A">
        <w:rPr>
          <w:rFonts w:cs="Cambria"/>
          <w:color w:val="000000"/>
          <w:spacing w:val="-1"/>
        </w:rPr>
        <w:t>urr</w:t>
      </w:r>
      <w:r w:rsidRPr="00AA552A">
        <w:rPr>
          <w:rFonts w:cs="Cambria"/>
          <w:color w:val="000000"/>
          <w:spacing w:val="1"/>
        </w:rPr>
        <w:t>e</w:t>
      </w:r>
      <w:r w:rsidRPr="00AA552A">
        <w:rPr>
          <w:rFonts w:cs="Cambria"/>
          <w:color w:val="000000"/>
        </w:rPr>
        <w:t>nt</w:t>
      </w:r>
      <w:r w:rsidRPr="00AA552A">
        <w:rPr>
          <w:rFonts w:cs="Cambria"/>
          <w:color w:val="000000"/>
          <w:spacing w:val="-4"/>
        </w:rPr>
        <w:t xml:space="preserve"> </w:t>
      </w:r>
      <w:r w:rsidRPr="00AA552A">
        <w:rPr>
          <w:rFonts w:cs="Cambria"/>
          <w:color w:val="000000"/>
        </w:rPr>
        <w:t>s</w:t>
      </w:r>
      <w:r w:rsidRPr="00AA552A">
        <w:rPr>
          <w:rFonts w:cs="Cambria"/>
          <w:color w:val="000000"/>
          <w:spacing w:val="-1"/>
        </w:rPr>
        <w:t>y</w:t>
      </w:r>
      <w:r w:rsidRPr="00AA552A">
        <w:rPr>
          <w:rFonts w:cs="Cambria"/>
          <w:color w:val="000000"/>
        </w:rPr>
        <w:t>st</w:t>
      </w:r>
      <w:r w:rsidRPr="00AA552A">
        <w:rPr>
          <w:rFonts w:cs="Cambria"/>
          <w:color w:val="000000"/>
          <w:spacing w:val="1"/>
        </w:rPr>
        <w:t>e</w:t>
      </w:r>
      <w:r w:rsidRPr="00AA552A">
        <w:rPr>
          <w:rFonts w:cs="Cambria"/>
          <w:color w:val="000000"/>
        </w:rPr>
        <w:t>ms</w:t>
      </w:r>
      <w:r w:rsidRPr="00AA552A">
        <w:rPr>
          <w:rFonts w:cs="Cambria"/>
          <w:color w:val="000000"/>
          <w:spacing w:val="-5"/>
        </w:rPr>
        <w:t xml:space="preserve"> </w:t>
      </w:r>
      <w:r w:rsidRPr="00AA552A">
        <w:rPr>
          <w:rFonts w:cs="Cambria"/>
          <w:color w:val="000000"/>
        </w:rPr>
        <w:t>n</w:t>
      </w:r>
      <w:r w:rsidRPr="00AA552A">
        <w:rPr>
          <w:rFonts w:cs="Cambria"/>
          <w:color w:val="000000"/>
          <w:spacing w:val="1"/>
        </w:rPr>
        <w:t>e</w:t>
      </w:r>
      <w:r w:rsidRPr="00AA552A">
        <w:rPr>
          <w:rFonts w:cs="Cambria"/>
          <w:color w:val="000000"/>
        </w:rPr>
        <w:t xml:space="preserve">ar </w:t>
      </w:r>
      <w:r w:rsidRPr="00AA552A">
        <w:rPr>
          <w:rFonts w:cs="Cambria"/>
          <w:color w:val="000000"/>
          <w:spacing w:val="-1"/>
        </w:rPr>
        <w:t>C</w:t>
      </w:r>
      <w:r w:rsidRPr="00AA552A">
        <w:rPr>
          <w:rFonts w:cs="Cambria"/>
          <w:color w:val="000000"/>
        </w:rPr>
        <w:t>a</w:t>
      </w:r>
      <w:r w:rsidRPr="00AA552A">
        <w:rPr>
          <w:rFonts w:cs="Cambria"/>
          <w:color w:val="000000"/>
          <w:spacing w:val="1"/>
        </w:rPr>
        <w:t>p</w:t>
      </w:r>
      <w:r w:rsidRPr="00AA552A">
        <w:rPr>
          <w:rFonts w:cs="Cambria"/>
          <w:color w:val="000000"/>
        </w:rPr>
        <w:t>e</w:t>
      </w:r>
      <w:r w:rsidRPr="00AA552A">
        <w:rPr>
          <w:rFonts w:cs="Cambria"/>
          <w:color w:val="000000"/>
          <w:spacing w:val="-2"/>
        </w:rPr>
        <w:t xml:space="preserve"> </w:t>
      </w:r>
      <w:r w:rsidRPr="00AA552A">
        <w:rPr>
          <w:rFonts w:cs="Cambria"/>
          <w:color w:val="000000"/>
          <w:spacing w:val="-1"/>
        </w:rPr>
        <w:t>C</w:t>
      </w:r>
      <w:r w:rsidRPr="00AA552A">
        <w:rPr>
          <w:rFonts w:cs="Cambria"/>
          <w:color w:val="000000"/>
        </w:rPr>
        <w:t>ana</w:t>
      </w:r>
      <w:r w:rsidRPr="00AA552A">
        <w:rPr>
          <w:rFonts w:cs="Cambria"/>
          <w:color w:val="000000"/>
          <w:spacing w:val="-1"/>
        </w:rPr>
        <w:t>v</w:t>
      </w:r>
      <w:r w:rsidRPr="00AA552A">
        <w:rPr>
          <w:rFonts w:cs="Cambria"/>
          <w:color w:val="000000"/>
          <w:spacing w:val="1"/>
        </w:rPr>
        <w:t>e</w:t>
      </w:r>
      <w:r w:rsidRPr="00AA552A">
        <w:rPr>
          <w:rFonts w:cs="Cambria"/>
          <w:color w:val="000000"/>
          <w:spacing w:val="-1"/>
        </w:rPr>
        <w:t>r</w:t>
      </w:r>
      <w:r w:rsidRPr="00AA552A">
        <w:rPr>
          <w:rFonts w:cs="Cambria"/>
          <w:color w:val="000000"/>
        </w:rPr>
        <w:t>al,</w:t>
      </w:r>
      <w:r w:rsidRPr="00AA552A">
        <w:rPr>
          <w:rFonts w:cs="Cambria"/>
          <w:color w:val="000000"/>
          <w:spacing w:val="-4"/>
        </w:rPr>
        <w:t xml:space="preserv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Pr>
          <w:rFonts w:cs="Cambria"/>
          <w:color w:val="000000"/>
        </w:rPr>
        <w:t>,</w:t>
      </w:r>
      <w:r w:rsidRPr="00AA552A">
        <w:rPr>
          <w:rFonts w:cs="Cambria"/>
          <w:color w:val="000000"/>
          <w:spacing w:val="-6"/>
        </w:rPr>
        <w:t xml:space="preserve"> </w:t>
      </w:r>
      <w:r w:rsidRPr="00AA552A">
        <w:rPr>
          <w:rFonts w:cs="Cambria"/>
          <w:color w:val="000000"/>
          <w:spacing w:val="-1"/>
        </w:rPr>
        <w:t>w</w:t>
      </w:r>
      <w:r w:rsidRPr="00AA552A">
        <w:rPr>
          <w:rFonts w:cs="Cambria"/>
          <w:color w:val="000000"/>
        </w:rPr>
        <w:t>h</w:t>
      </w:r>
      <w:r w:rsidRPr="00AA552A">
        <w:rPr>
          <w:rFonts w:cs="Cambria"/>
          <w:color w:val="000000"/>
          <w:spacing w:val="1"/>
        </w:rPr>
        <w:t>i</w:t>
      </w:r>
      <w:r w:rsidRPr="00AA552A">
        <w:rPr>
          <w:rFonts w:cs="Cambria"/>
          <w:color w:val="000000"/>
        </w:rPr>
        <w:t>ch</w:t>
      </w:r>
      <w:r w:rsidRPr="00AA552A">
        <w:rPr>
          <w:rFonts w:cs="Cambria"/>
          <w:color w:val="000000"/>
          <w:spacing w:val="-4"/>
        </w:rPr>
        <w:t xml:space="preserve"> </w:t>
      </w:r>
      <w:r w:rsidRPr="00AA552A">
        <w:rPr>
          <w:rFonts w:cs="Cambria"/>
          <w:color w:val="000000"/>
          <w:spacing w:val="1"/>
        </w:rPr>
        <w:t>p</w:t>
      </w:r>
      <w:r w:rsidRPr="00AA552A">
        <w:rPr>
          <w:rFonts w:cs="Cambria"/>
          <w:color w:val="000000"/>
          <w:spacing w:val="-1"/>
        </w:rPr>
        <w:t>r</w:t>
      </w:r>
      <w:r w:rsidRPr="00AA552A">
        <w:rPr>
          <w:rFonts w:cs="Cambria"/>
          <w:color w:val="000000"/>
        </w:rPr>
        <w:t>o</w:t>
      </w:r>
      <w:r w:rsidRPr="00AA552A">
        <w:rPr>
          <w:rFonts w:cs="Cambria"/>
          <w:color w:val="000000"/>
          <w:spacing w:val="-1"/>
        </w:rPr>
        <w:t>v</w:t>
      </w:r>
      <w:r w:rsidRPr="00AA552A">
        <w:rPr>
          <w:rFonts w:cs="Cambria"/>
          <w:color w:val="000000"/>
          <w:spacing w:val="1"/>
        </w:rPr>
        <w:t>i</w:t>
      </w:r>
      <w:r w:rsidRPr="00AA552A">
        <w:rPr>
          <w:rFonts w:cs="Cambria"/>
          <w:color w:val="000000"/>
          <w:spacing w:val="-1"/>
        </w:rPr>
        <w:t>d</w:t>
      </w:r>
      <w:r w:rsidRPr="00AA552A">
        <w:rPr>
          <w:rFonts w:cs="Cambria"/>
          <w:color w:val="000000"/>
        </w:rPr>
        <w:t>e</w:t>
      </w:r>
      <w:r w:rsidRPr="00AA552A">
        <w:rPr>
          <w:rFonts w:cs="Cambria"/>
          <w:color w:val="000000"/>
          <w:spacing w:val="-6"/>
        </w:rPr>
        <w:t xml:space="preserve"> </w:t>
      </w:r>
      <w:r w:rsidRPr="00AA552A">
        <w:rPr>
          <w:rFonts w:cs="Cambria"/>
          <w:color w:val="000000"/>
        </w:rPr>
        <w:t>ma</w:t>
      </w:r>
      <w:r w:rsidRPr="00AA552A">
        <w:rPr>
          <w:rFonts w:cs="Cambria"/>
          <w:color w:val="000000"/>
          <w:spacing w:val="1"/>
        </w:rPr>
        <w:t>j</w:t>
      </w:r>
      <w:r w:rsidRPr="00AA552A">
        <w:rPr>
          <w:rFonts w:cs="Cambria"/>
          <w:color w:val="000000"/>
        </w:rPr>
        <w:t>or t</w:t>
      </w:r>
      <w:r w:rsidRPr="00AA552A">
        <w:rPr>
          <w:rFonts w:cs="Cambria"/>
          <w:color w:val="000000"/>
          <w:spacing w:val="-1"/>
        </w:rPr>
        <w:t>r</w:t>
      </w:r>
      <w:r w:rsidRPr="00AA552A">
        <w:rPr>
          <w:rFonts w:cs="Cambria"/>
          <w:color w:val="000000"/>
        </w:rPr>
        <w:t>ans</w:t>
      </w:r>
      <w:r w:rsidRPr="00AA552A">
        <w:rPr>
          <w:rFonts w:cs="Cambria"/>
          <w:color w:val="000000"/>
          <w:spacing w:val="1"/>
        </w:rPr>
        <w:t>p</w:t>
      </w:r>
      <w:r w:rsidRPr="00AA552A">
        <w:rPr>
          <w:rFonts w:cs="Cambria"/>
          <w:color w:val="000000"/>
        </w:rPr>
        <w:t>o</w:t>
      </w:r>
      <w:r w:rsidRPr="00AA552A">
        <w:rPr>
          <w:rFonts w:cs="Cambria"/>
          <w:color w:val="000000"/>
          <w:spacing w:val="-1"/>
        </w:rPr>
        <w:t>r</w:t>
      </w:r>
      <w:r w:rsidRPr="00AA552A">
        <w:rPr>
          <w:rFonts w:cs="Cambria"/>
          <w:color w:val="000000"/>
        </w:rPr>
        <w:t>t</w:t>
      </w:r>
      <w:r w:rsidRPr="00AA552A">
        <w:rPr>
          <w:rFonts w:cs="Cambria"/>
          <w:color w:val="000000"/>
          <w:spacing w:val="-4"/>
        </w:rPr>
        <w:t xml:space="preserve"> </w:t>
      </w:r>
      <w:r w:rsidRPr="00AA552A">
        <w:rPr>
          <w:rFonts w:cs="Cambria"/>
          <w:color w:val="000000"/>
        </w:rPr>
        <w:t>m</w:t>
      </w:r>
      <w:r w:rsidRPr="00AA552A">
        <w:rPr>
          <w:rFonts w:cs="Cambria"/>
          <w:color w:val="000000"/>
          <w:spacing w:val="1"/>
        </w:rPr>
        <w:t>e</w:t>
      </w:r>
      <w:r w:rsidRPr="00AA552A">
        <w:rPr>
          <w:rFonts w:cs="Cambria"/>
          <w:color w:val="000000"/>
        </w:rPr>
        <w:t>chan</w:t>
      </w:r>
      <w:r w:rsidRPr="00AA552A">
        <w:rPr>
          <w:rFonts w:cs="Cambria"/>
          <w:color w:val="000000"/>
          <w:spacing w:val="1"/>
        </w:rPr>
        <w:t>i</w:t>
      </w:r>
      <w:r w:rsidRPr="00AA552A">
        <w:rPr>
          <w:rFonts w:cs="Cambria"/>
          <w:color w:val="000000"/>
        </w:rPr>
        <w:t>sms</w:t>
      </w:r>
      <w:r w:rsidRPr="00AA552A">
        <w:rPr>
          <w:rFonts w:cs="Cambria"/>
          <w:color w:val="000000"/>
          <w:spacing w:val="-6"/>
        </w:rPr>
        <w:t xml:space="preserve"> </w:t>
      </w:r>
      <w:r w:rsidRPr="00AA552A">
        <w:rPr>
          <w:rFonts w:cs="Cambria"/>
          <w:color w:val="000000"/>
        </w:rPr>
        <w:t>a</w:t>
      </w:r>
      <w:r w:rsidRPr="00AA552A">
        <w:rPr>
          <w:rFonts w:cs="Cambria"/>
          <w:color w:val="000000"/>
          <w:spacing w:val="-1"/>
        </w:rPr>
        <w:t>ff</w:t>
      </w:r>
      <w:r w:rsidRPr="00AA552A">
        <w:rPr>
          <w:rFonts w:cs="Cambria"/>
          <w:color w:val="000000"/>
          <w:spacing w:val="1"/>
        </w:rPr>
        <w:t>e</w:t>
      </w:r>
      <w:r w:rsidRPr="00AA552A">
        <w:rPr>
          <w:rFonts w:cs="Cambria"/>
          <w:color w:val="000000"/>
        </w:rPr>
        <w:t>ct</w:t>
      </w:r>
      <w:r w:rsidRPr="00AA552A">
        <w:rPr>
          <w:rFonts w:cs="Cambria"/>
          <w:color w:val="000000"/>
          <w:spacing w:val="1"/>
        </w:rPr>
        <w:t>i</w:t>
      </w:r>
      <w:r w:rsidRPr="00AA552A">
        <w:rPr>
          <w:rFonts w:cs="Cambria"/>
          <w:color w:val="000000"/>
        </w:rPr>
        <w:t>ng</w:t>
      </w:r>
      <w:r w:rsidRPr="00AA552A">
        <w:rPr>
          <w:rFonts w:cs="Cambria"/>
          <w:color w:val="000000"/>
          <w:spacing w:val="-5"/>
        </w:rPr>
        <w:t xml:space="preserve"> </w:t>
      </w:r>
      <w:r w:rsidRPr="00AA552A">
        <w:rPr>
          <w:rFonts w:cs="Cambria"/>
          <w:color w:val="000000"/>
          <w:spacing w:val="1"/>
        </w:rPr>
        <w:t>p</w:t>
      </w:r>
      <w:r w:rsidRPr="00AA552A">
        <w:rPr>
          <w:rFonts w:cs="Cambria"/>
          <w:color w:val="000000"/>
        </w:rPr>
        <w:t>lan</w:t>
      </w:r>
      <w:r w:rsidRPr="00AA552A">
        <w:rPr>
          <w:rFonts w:cs="Cambria"/>
          <w:color w:val="000000"/>
          <w:spacing w:val="-1"/>
        </w:rPr>
        <w:t>k</w:t>
      </w:r>
      <w:r w:rsidRPr="00AA552A">
        <w:rPr>
          <w:rFonts w:cs="Cambria"/>
          <w:color w:val="000000"/>
        </w:rPr>
        <w:t>ton</w:t>
      </w:r>
      <w:r w:rsidRPr="00AA552A">
        <w:rPr>
          <w:rFonts w:cs="Cambria"/>
          <w:color w:val="000000"/>
          <w:spacing w:val="1"/>
        </w:rPr>
        <w:t>i</w:t>
      </w:r>
      <w:r w:rsidRPr="00AA552A">
        <w:rPr>
          <w:rFonts w:cs="Cambria"/>
          <w:color w:val="000000"/>
        </w:rPr>
        <w:t>c</w:t>
      </w:r>
      <w:r w:rsidRPr="00AA552A">
        <w:rPr>
          <w:rFonts w:cs="Cambria"/>
          <w:color w:val="000000"/>
          <w:spacing w:val="-3"/>
        </w:rPr>
        <w:t xml:space="preserve"> </w:t>
      </w:r>
      <w:r w:rsidRPr="00AA552A">
        <w:rPr>
          <w:rFonts w:cs="Cambria"/>
          <w:color w:val="000000"/>
        </w:rPr>
        <w:t>la</w:t>
      </w:r>
      <w:r w:rsidRPr="00AA552A">
        <w:rPr>
          <w:rFonts w:cs="Cambria"/>
          <w:color w:val="000000"/>
          <w:spacing w:val="-1"/>
        </w:rPr>
        <w:t>rv</w:t>
      </w:r>
      <w:r w:rsidRPr="00AA552A">
        <w:rPr>
          <w:rFonts w:cs="Cambria"/>
          <w:color w:val="000000"/>
        </w:rPr>
        <w:t>al</w:t>
      </w:r>
      <w:r w:rsidRPr="00AA552A">
        <w:rPr>
          <w:rFonts w:cs="Cambria"/>
          <w:color w:val="000000"/>
          <w:spacing w:val="-2"/>
        </w:rPr>
        <w:t xml:space="preserve"> </w:t>
      </w:r>
      <w:r w:rsidRPr="00AA552A">
        <w:rPr>
          <w:rFonts w:cs="Cambria"/>
          <w:color w:val="000000"/>
          <w:spacing w:val="-1"/>
        </w:rPr>
        <w:t>r</w:t>
      </w:r>
      <w:r w:rsidRPr="00AA552A">
        <w:rPr>
          <w:rFonts w:cs="Cambria"/>
          <w:color w:val="000000"/>
        </w:rPr>
        <w:t>ock</w:t>
      </w:r>
      <w:r w:rsidRPr="00AA552A">
        <w:rPr>
          <w:rFonts w:cs="Cambria"/>
          <w:color w:val="000000"/>
          <w:spacing w:val="-4"/>
        </w:rPr>
        <w:t xml:space="preserve"> </w:t>
      </w:r>
      <w:r w:rsidRPr="00AA552A">
        <w:rPr>
          <w:rFonts w:cs="Cambria"/>
          <w:color w:val="000000"/>
          <w:spacing w:val="2"/>
        </w:rPr>
        <w:t>s</w:t>
      </w:r>
      <w:r w:rsidRPr="00AA552A">
        <w:rPr>
          <w:rFonts w:cs="Cambria"/>
          <w:color w:val="000000"/>
        </w:rPr>
        <w:t>h</w:t>
      </w:r>
      <w:r w:rsidRPr="00AA552A">
        <w:rPr>
          <w:rFonts w:cs="Cambria"/>
          <w:color w:val="000000"/>
          <w:spacing w:val="-1"/>
        </w:rPr>
        <w:t>r</w:t>
      </w:r>
      <w:r w:rsidRPr="00AA552A">
        <w:rPr>
          <w:rFonts w:cs="Cambria"/>
          <w:color w:val="000000"/>
          <w:spacing w:val="1"/>
        </w:rPr>
        <w:t>i</w:t>
      </w:r>
      <w:r w:rsidRPr="00AA552A">
        <w:rPr>
          <w:rFonts w:cs="Cambria"/>
          <w:color w:val="000000"/>
        </w:rPr>
        <w:t>m</w:t>
      </w:r>
      <w:r w:rsidRPr="00AA552A">
        <w:rPr>
          <w:rFonts w:cs="Cambria"/>
          <w:color w:val="000000"/>
          <w:spacing w:val="1"/>
        </w:rPr>
        <w:t>p</w:t>
      </w:r>
      <w:r w:rsidRPr="00AA552A">
        <w:rPr>
          <w:rFonts w:cs="Cambria"/>
          <w:color w:val="000000"/>
        </w:rPr>
        <w:t>.</w:t>
      </w:r>
      <w:r w:rsidRPr="00AA552A">
        <w:rPr>
          <w:rFonts w:cs="Cambria"/>
          <w:color w:val="000000"/>
          <w:spacing w:val="50"/>
        </w:rPr>
        <w:t xml:space="preserve"> </w:t>
      </w:r>
      <w:r w:rsidRPr="00AA552A">
        <w:rPr>
          <w:rFonts w:cs="Cambria"/>
          <w:color w:val="000000"/>
          <w:spacing w:val="-1"/>
        </w:rPr>
        <w:t>T</w:t>
      </w:r>
      <w:r w:rsidRPr="00AA552A">
        <w:rPr>
          <w:rFonts w:cs="Cambria"/>
          <w:color w:val="000000"/>
        </w:rPr>
        <w:t>h</w:t>
      </w:r>
      <w:r w:rsidRPr="00AA552A">
        <w:rPr>
          <w:rFonts w:cs="Cambria"/>
          <w:color w:val="000000"/>
          <w:spacing w:val="1"/>
        </w:rPr>
        <w:t>e</w:t>
      </w:r>
      <w:r w:rsidRPr="00AA552A">
        <w:rPr>
          <w:rFonts w:cs="Cambria"/>
          <w:color w:val="000000"/>
        </w:rPr>
        <w:t>se</w:t>
      </w:r>
      <w:r w:rsidRPr="00AA552A">
        <w:rPr>
          <w:rFonts w:cs="Cambria"/>
          <w:color w:val="000000"/>
          <w:spacing w:val="-5"/>
        </w:rPr>
        <w:t xml:space="preserve"> </w:t>
      </w:r>
      <w:r w:rsidRPr="00AA552A">
        <w:rPr>
          <w:rFonts w:cs="Cambria"/>
          <w:color w:val="000000"/>
        </w:rPr>
        <w:t>c</w:t>
      </w:r>
      <w:r w:rsidRPr="00AA552A">
        <w:rPr>
          <w:rFonts w:cs="Cambria"/>
          <w:color w:val="000000"/>
          <w:spacing w:val="-1"/>
        </w:rPr>
        <w:t>urr</w:t>
      </w:r>
      <w:r w:rsidRPr="00AA552A">
        <w:rPr>
          <w:rFonts w:cs="Cambria"/>
          <w:color w:val="000000"/>
          <w:spacing w:val="1"/>
        </w:rPr>
        <w:t>e</w:t>
      </w:r>
      <w:r w:rsidRPr="00AA552A">
        <w:rPr>
          <w:rFonts w:cs="Cambria"/>
          <w:color w:val="000000"/>
        </w:rPr>
        <w:t>nts</w:t>
      </w:r>
      <w:r w:rsidRPr="00AA552A">
        <w:rPr>
          <w:rFonts w:cs="Cambria"/>
          <w:color w:val="000000"/>
          <w:spacing w:val="-5"/>
        </w:rPr>
        <w:t xml:space="preserve"> </w:t>
      </w:r>
      <w:r w:rsidRPr="00AA552A">
        <w:rPr>
          <w:rFonts w:cs="Cambria"/>
          <w:color w:val="000000"/>
          <w:spacing w:val="-1"/>
        </w:rPr>
        <w:t>k</w:t>
      </w:r>
      <w:r w:rsidRPr="00AA552A">
        <w:rPr>
          <w:rFonts w:cs="Cambria"/>
          <w:color w:val="000000"/>
          <w:spacing w:val="1"/>
        </w:rPr>
        <w:t>ee</w:t>
      </w:r>
      <w:r w:rsidRPr="00AA552A">
        <w:rPr>
          <w:rFonts w:cs="Cambria"/>
          <w:color w:val="000000"/>
        </w:rPr>
        <w:t>p</w:t>
      </w:r>
      <w:r w:rsidRPr="00AA552A">
        <w:rPr>
          <w:rFonts w:cs="Cambria"/>
          <w:color w:val="000000"/>
          <w:spacing w:val="-1"/>
        </w:rPr>
        <w:t xml:space="preserve"> </w:t>
      </w:r>
      <w:r w:rsidRPr="00AA552A">
        <w:rPr>
          <w:rFonts w:cs="Cambria"/>
          <w:color w:val="000000"/>
        </w:rPr>
        <w:t>la</w:t>
      </w:r>
      <w:r w:rsidRPr="00AA552A">
        <w:rPr>
          <w:rFonts w:cs="Cambria"/>
          <w:color w:val="000000"/>
          <w:spacing w:val="-1"/>
        </w:rPr>
        <w:t>rv</w:t>
      </w:r>
      <w:r w:rsidRPr="00AA552A">
        <w:rPr>
          <w:rFonts w:cs="Cambria"/>
          <w:color w:val="000000"/>
        </w:rPr>
        <w:t>ae</w:t>
      </w:r>
      <w:r w:rsidRPr="00AA552A">
        <w:rPr>
          <w:rFonts w:cs="Cambria"/>
          <w:color w:val="000000"/>
          <w:spacing w:val="-2"/>
        </w:rPr>
        <w:t xml:space="preserve"> </w:t>
      </w:r>
      <w:r w:rsidRPr="00AA552A">
        <w:rPr>
          <w:rFonts w:cs="Cambria"/>
          <w:color w:val="000000"/>
        </w:rPr>
        <w:t>on</w:t>
      </w:r>
      <w:r w:rsidRPr="00AA552A">
        <w:rPr>
          <w:rFonts w:cs="Cambria"/>
          <w:color w:val="000000"/>
          <w:spacing w:val="-1"/>
        </w:rPr>
        <w:t xml:space="preserve"> </w:t>
      </w:r>
      <w:r w:rsidRPr="00AA552A">
        <w:rPr>
          <w:rFonts w:cs="Cambria"/>
          <w:color w:val="000000"/>
        </w:rPr>
        <w:t xml:space="preserve">the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6"/>
        </w:rPr>
        <w:t xml:space="preserve"> </w:t>
      </w:r>
      <w:r w:rsidRPr="00AA552A">
        <w:rPr>
          <w:rFonts w:cs="Cambria"/>
          <w:color w:val="000000"/>
          <w:spacing w:val="1"/>
        </w:rPr>
        <w:t>S</w:t>
      </w:r>
      <w:r w:rsidRPr="00AA552A">
        <w:rPr>
          <w:rFonts w:cs="Cambria"/>
          <w:color w:val="000000"/>
        </w:rPr>
        <w:t>h</w:t>
      </w:r>
      <w:r w:rsidRPr="00AA552A">
        <w:rPr>
          <w:rFonts w:cs="Cambria"/>
          <w:color w:val="000000"/>
          <w:spacing w:val="1"/>
        </w:rPr>
        <w:t>e</w:t>
      </w:r>
      <w:r w:rsidRPr="00AA552A">
        <w:rPr>
          <w:rFonts w:cs="Cambria"/>
          <w:color w:val="000000"/>
        </w:rPr>
        <w:t>lf</w:t>
      </w:r>
      <w:r w:rsidRPr="00AA552A">
        <w:rPr>
          <w:rFonts w:cs="Cambria"/>
          <w:color w:val="000000"/>
          <w:spacing w:val="-4"/>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may</w:t>
      </w:r>
      <w:r w:rsidRPr="00AA552A">
        <w:rPr>
          <w:rFonts w:cs="Cambria"/>
          <w:color w:val="000000"/>
          <w:spacing w:val="-2"/>
        </w:rPr>
        <w:t xml:space="preserve"> </w:t>
      </w:r>
      <w:r w:rsidRPr="00AA552A">
        <w:rPr>
          <w:rFonts w:cs="Cambria"/>
          <w:color w:val="000000"/>
          <w:spacing w:val="3"/>
        </w:rPr>
        <w:t>t</w:t>
      </w:r>
      <w:r w:rsidRPr="00AA552A">
        <w:rPr>
          <w:rFonts w:cs="Cambria"/>
          <w:color w:val="000000"/>
          <w:spacing w:val="-1"/>
        </w:rPr>
        <w:t>r</w:t>
      </w:r>
      <w:r w:rsidRPr="00AA552A">
        <w:rPr>
          <w:rFonts w:cs="Cambria"/>
          <w:color w:val="000000"/>
        </w:rPr>
        <w:t>ans</w:t>
      </w:r>
      <w:r w:rsidRPr="00AA552A">
        <w:rPr>
          <w:rFonts w:cs="Cambria"/>
          <w:color w:val="000000"/>
          <w:spacing w:val="1"/>
        </w:rPr>
        <w:t>p</w:t>
      </w:r>
      <w:r w:rsidRPr="00AA552A">
        <w:rPr>
          <w:rFonts w:cs="Cambria"/>
          <w:color w:val="000000"/>
        </w:rPr>
        <w:t>o</w:t>
      </w:r>
      <w:r w:rsidRPr="00AA552A">
        <w:rPr>
          <w:rFonts w:cs="Cambria"/>
          <w:color w:val="000000"/>
          <w:spacing w:val="-1"/>
        </w:rPr>
        <w:t>r</w:t>
      </w:r>
      <w:r w:rsidRPr="00AA552A">
        <w:rPr>
          <w:rFonts w:cs="Cambria"/>
          <w:color w:val="000000"/>
        </w:rPr>
        <w:t>t</w:t>
      </w:r>
      <w:r w:rsidRPr="00AA552A">
        <w:rPr>
          <w:rFonts w:cs="Cambria"/>
          <w:color w:val="000000"/>
          <w:spacing w:val="-4"/>
        </w:rPr>
        <w:t xml:space="preserve"> </w:t>
      </w:r>
      <w:r w:rsidRPr="00AA552A">
        <w:rPr>
          <w:rFonts w:cs="Cambria"/>
          <w:color w:val="000000"/>
        </w:rPr>
        <w:t>th</w:t>
      </w:r>
      <w:r w:rsidRPr="00AA552A">
        <w:rPr>
          <w:rFonts w:cs="Cambria"/>
          <w:color w:val="000000"/>
          <w:spacing w:val="1"/>
        </w:rPr>
        <w:t>e</w:t>
      </w:r>
      <w:r w:rsidRPr="00AA552A">
        <w:rPr>
          <w:rFonts w:cs="Cambria"/>
          <w:color w:val="000000"/>
        </w:rPr>
        <w:t>m</w:t>
      </w:r>
      <w:r w:rsidRPr="00AA552A">
        <w:rPr>
          <w:rFonts w:cs="Cambria"/>
          <w:color w:val="000000"/>
          <w:spacing w:val="-2"/>
        </w:rPr>
        <w:t xml:space="preserve"> </w:t>
      </w:r>
      <w:r w:rsidRPr="00AA552A">
        <w:rPr>
          <w:rFonts w:cs="Cambria"/>
          <w:color w:val="000000"/>
          <w:spacing w:val="1"/>
        </w:rPr>
        <w:t>i</w:t>
      </w:r>
      <w:r w:rsidRPr="00AA552A">
        <w:rPr>
          <w:rFonts w:cs="Cambria"/>
          <w:color w:val="000000"/>
        </w:rPr>
        <w:t>nsho</w:t>
      </w:r>
      <w:r w:rsidRPr="00AA552A">
        <w:rPr>
          <w:rFonts w:cs="Cambria"/>
          <w:color w:val="000000"/>
          <w:spacing w:val="-1"/>
        </w:rPr>
        <w:t>r</w:t>
      </w:r>
      <w:r w:rsidRPr="00AA552A">
        <w:rPr>
          <w:rFonts w:cs="Cambria"/>
          <w:color w:val="000000"/>
        </w:rPr>
        <w:t>e</w:t>
      </w:r>
      <w:r w:rsidRPr="00AA552A">
        <w:rPr>
          <w:rFonts w:cs="Cambria"/>
          <w:color w:val="000000"/>
          <w:spacing w:val="-5"/>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s</w:t>
      </w:r>
      <w:r w:rsidRPr="00AA552A">
        <w:rPr>
          <w:rFonts w:cs="Cambria"/>
          <w:color w:val="000000"/>
          <w:spacing w:val="1"/>
        </w:rPr>
        <w:t>p</w:t>
      </w:r>
      <w:r w:rsidRPr="00AA552A">
        <w:rPr>
          <w:rFonts w:cs="Cambria"/>
          <w:color w:val="000000"/>
          <w:spacing w:val="-1"/>
        </w:rPr>
        <w:t>r</w:t>
      </w:r>
      <w:r w:rsidRPr="00AA552A">
        <w:rPr>
          <w:rFonts w:cs="Cambria"/>
          <w:color w:val="000000"/>
          <w:spacing w:val="1"/>
        </w:rPr>
        <w:t>i</w:t>
      </w:r>
      <w:r w:rsidRPr="00AA552A">
        <w:rPr>
          <w:rFonts w:cs="Cambria"/>
          <w:color w:val="000000"/>
        </w:rPr>
        <w:t>n</w:t>
      </w:r>
      <w:r w:rsidRPr="00AA552A">
        <w:rPr>
          <w:rFonts w:cs="Cambria"/>
          <w:color w:val="000000"/>
          <w:spacing w:val="-1"/>
        </w:rPr>
        <w:t>g</w:t>
      </w:r>
      <w:r w:rsidRPr="00AA552A">
        <w:rPr>
          <w:rFonts w:cs="Cambria"/>
          <w:color w:val="000000"/>
        </w:rPr>
        <w:t>.</w:t>
      </w:r>
      <w:r w:rsidRPr="00AA552A">
        <w:rPr>
          <w:rFonts w:cs="Cambria"/>
          <w:color w:val="000000"/>
          <w:spacing w:val="-2"/>
        </w:rPr>
        <w:t xml:space="preserve"> </w:t>
      </w:r>
      <w:r w:rsidRPr="00AA552A">
        <w:rPr>
          <w:rFonts w:cs="Cambria"/>
          <w:color w:val="000000"/>
          <w:spacing w:val="-1"/>
        </w:rPr>
        <w:t>I</w:t>
      </w:r>
      <w:r w:rsidRPr="00AA552A">
        <w:rPr>
          <w:rFonts w:cs="Cambria"/>
          <w:color w:val="000000"/>
        </w:rPr>
        <w:t>n a</w:t>
      </w:r>
      <w:r w:rsidRPr="00AA552A">
        <w:rPr>
          <w:rFonts w:cs="Cambria"/>
          <w:color w:val="000000"/>
          <w:spacing w:val="-1"/>
        </w:rPr>
        <w:t>dd</w:t>
      </w:r>
      <w:r w:rsidRPr="00AA552A">
        <w:rPr>
          <w:rFonts w:cs="Cambria"/>
          <w:color w:val="000000"/>
          <w:spacing w:val="1"/>
        </w:rPr>
        <w:t>i</w:t>
      </w:r>
      <w:r w:rsidRPr="00AA552A">
        <w:rPr>
          <w:rFonts w:cs="Cambria"/>
          <w:color w:val="000000"/>
        </w:rPr>
        <w:t>t</w:t>
      </w:r>
      <w:r w:rsidRPr="00AA552A">
        <w:rPr>
          <w:rFonts w:cs="Cambria"/>
          <w:color w:val="000000"/>
          <w:spacing w:val="1"/>
        </w:rPr>
        <w:t>i</w:t>
      </w:r>
      <w:r w:rsidRPr="00AA552A">
        <w:rPr>
          <w:rFonts w:cs="Cambria"/>
          <w:color w:val="000000"/>
        </w:rPr>
        <w:t>on</w:t>
      </w:r>
      <w:r>
        <w:rPr>
          <w:rFonts w:cs="Cambria"/>
          <w:color w:val="000000"/>
        </w:rPr>
        <w:t>,</w:t>
      </w:r>
      <w:r w:rsidRPr="00AA552A">
        <w:rPr>
          <w:rFonts w:cs="Cambria"/>
          <w:color w:val="000000"/>
          <w:spacing w:val="-5"/>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Gulf</w:t>
      </w:r>
      <w:r w:rsidRPr="00AA552A">
        <w:rPr>
          <w:rFonts w:cs="Cambria"/>
          <w:color w:val="000000"/>
          <w:spacing w:val="-3"/>
        </w:rPr>
        <w:t xml:space="preserve"> </w:t>
      </w:r>
      <w:r w:rsidRPr="00AA552A">
        <w:rPr>
          <w:rFonts w:cs="Cambria"/>
          <w:color w:val="000000"/>
          <w:spacing w:val="1"/>
        </w:rPr>
        <w:t>S</w:t>
      </w:r>
      <w:r w:rsidRPr="00AA552A">
        <w:rPr>
          <w:rFonts w:cs="Cambria"/>
          <w:color w:val="000000"/>
        </w:rPr>
        <w:t>t</w:t>
      </w:r>
      <w:r w:rsidRPr="00AA552A">
        <w:rPr>
          <w:rFonts w:cs="Cambria"/>
          <w:color w:val="000000"/>
          <w:spacing w:val="-1"/>
        </w:rPr>
        <w:t>r</w:t>
      </w:r>
      <w:r w:rsidRPr="00AA552A">
        <w:rPr>
          <w:rFonts w:cs="Cambria"/>
          <w:color w:val="000000"/>
          <w:spacing w:val="1"/>
        </w:rPr>
        <w:t>e</w:t>
      </w:r>
      <w:r w:rsidRPr="00AA552A">
        <w:rPr>
          <w:rFonts w:cs="Cambria"/>
          <w:color w:val="000000"/>
        </w:rPr>
        <w:t>am</w:t>
      </w:r>
      <w:r w:rsidRPr="00AA552A">
        <w:rPr>
          <w:rFonts w:cs="Cambria"/>
          <w:color w:val="000000"/>
          <w:spacing w:val="-2"/>
        </w:rPr>
        <w:t xml:space="preserve"> </w:t>
      </w:r>
      <w:r w:rsidRPr="00AA552A">
        <w:rPr>
          <w:rFonts w:cs="Cambria"/>
          <w:color w:val="000000"/>
          <w:spacing w:val="1"/>
        </w:rPr>
        <w:t>i</w:t>
      </w:r>
      <w:r w:rsidRPr="00AA552A">
        <w:rPr>
          <w:rFonts w:cs="Cambria"/>
          <w:color w:val="000000"/>
        </w:rPr>
        <w:t>s</w:t>
      </w:r>
      <w:r w:rsidRPr="00AA552A">
        <w:rPr>
          <w:rFonts w:cs="Cambria"/>
          <w:color w:val="000000"/>
          <w:spacing w:val="-2"/>
        </w:rPr>
        <w:t xml:space="preserve"> </w:t>
      </w:r>
      <w:r w:rsidRPr="00AA552A">
        <w:rPr>
          <w:rFonts w:cs="Cambria"/>
          <w:color w:val="000000"/>
        </w:rPr>
        <w:t xml:space="preserve">an </w:t>
      </w: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spacing w:val="-2"/>
        </w:rPr>
        <w:t>n</w:t>
      </w:r>
      <w:r w:rsidRPr="00AA552A">
        <w:rPr>
          <w:rFonts w:cs="Cambria"/>
          <w:color w:val="000000"/>
        </w:rPr>
        <w:t>t</w:t>
      </w:r>
      <w:r w:rsidRPr="00AA552A">
        <w:rPr>
          <w:rFonts w:cs="Cambria"/>
          <w:color w:val="000000"/>
          <w:spacing w:val="1"/>
        </w:rPr>
        <w:t>i</w:t>
      </w:r>
      <w:r w:rsidRPr="00AA552A">
        <w:rPr>
          <w:rFonts w:cs="Cambria"/>
          <w:color w:val="000000"/>
        </w:rPr>
        <w:t xml:space="preserve">al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ha</w:t>
      </w:r>
      <w:r w:rsidRPr="00AA552A">
        <w:rPr>
          <w:rFonts w:cs="Cambria"/>
          <w:color w:val="000000"/>
          <w:spacing w:val="1"/>
        </w:rPr>
        <w:t>bi</w:t>
      </w:r>
      <w:r w:rsidRPr="00AA552A">
        <w:rPr>
          <w:rFonts w:cs="Cambria"/>
          <w:color w:val="000000"/>
        </w:rPr>
        <w:t>tat</w:t>
      </w:r>
      <w:r w:rsidRPr="00AA552A">
        <w:rPr>
          <w:rFonts w:cs="Cambria"/>
          <w:color w:val="000000"/>
          <w:spacing w:val="-2"/>
        </w:rPr>
        <w:t xml:space="preserve"> </w:t>
      </w:r>
      <w:r w:rsidRPr="00AA552A">
        <w:rPr>
          <w:rFonts w:cs="Cambria"/>
          <w:color w:val="000000"/>
          <w:spacing w:val="1"/>
        </w:rPr>
        <w:t>be</w:t>
      </w:r>
      <w:r w:rsidRPr="00AA552A">
        <w:rPr>
          <w:rFonts w:cs="Cambria"/>
          <w:color w:val="000000"/>
        </w:rPr>
        <w:t>ca</w:t>
      </w:r>
      <w:r w:rsidRPr="00AA552A">
        <w:rPr>
          <w:rFonts w:cs="Cambria"/>
          <w:color w:val="000000"/>
          <w:spacing w:val="-1"/>
        </w:rPr>
        <w:t>u</w:t>
      </w:r>
      <w:r w:rsidRPr="00AA552A">
        <w:rPr>
          <w:rFonts w:cs="Cambria"/>
          <w:color w:val="000000"/>
        </w:rPr>
        <w:t>se</w:t>
      </w:r>
      <w:r w:rsidRPr="00AA552A">
        <w:rPr>
          <w:rFonts w:cs="Cambria"/>
          <w:color w:val="000000"/>
          <w:spacing w:val="-3"/>
        </w:rPr>
        <w:t xml:space="preserve"> </w:t>
      </w:r>
      <w:r w:rsidRPr="00AA552A">
        <w:rPr>
          <w:rFonts w:cs="Cambria"/>
          <w:color w:val="000000"/>
          <w:spacing w:val="-2"/>
        </w:rPr>
        <w:t>i</w:t>
      </w:r>
      <w:r w:rsidRPr="00AA552A">
        <w:rPr>
          <w:rFonts w:cs="Cambria"/>
          <w:color w:val="000000"/>
        </w:rPr>
        <w:t>t</w:t>
      </w:r>
      <w:r w:rsidRPr="00AA552A">
        <w:rPr>
          <w:rFonts w:cs="Cambria"/>
          <w:color w:val="000000"/>
          <w:spacing w:val="-1"/>
        </w:rPr>
        <w:t xml:space="preserve"> pr</w:t>
      </w:r>
      <w:r w:rsidRPr="00AA552A">
        <w:rPr>
          <w:rFonts w:cs="Cambria"/>
          <w:color w:val="000000"/>
        </w:rPr>
        <w:t>o</w:t>
      </w:r>
      <w:r w:rsidRPr="00AA552A">
        <w:rPr>
          <w:rFonts w:cs="Cambria"/>
          <w:color w:val="000000"/>
          <w:spacing w:val="-1"/>
        </w:rPr>
        <w:t>v</w:t>
      </w:r>
      <w:r w:rsidRPr="00AA552A">
        <w:rPr>
          <w:rFonts w:cs="Cambria"/>
          <w:color w:val="000000"/>
          <w:spacing w:val="1"/>
        </w:rPr>
        <w:t>i</w:t>
      </w:r>
      <w:r w:rsidRPr="00AA552A">
        <w:rPr>
          <w:rFonts w:cs="Cambria"/>
          <w:color w:val="000000"/>
          <w:spacing w:val="-1"/>
        </w:rPr>
        <w:t>d</w:t>
      </w:r>
      <w:r w:rsidRPr="00AA552A">
        <w:rPr>
          <w:rFonts w:cs="Cambria"/>
          <w:color w:val="000000"/>
          <w:spacing w:val="1"/>
        </w:rPr>
        <w:t>e</w:t>
      </w:r>
      <w:r w:rsidRPr="00AA552A">
        <w:rPr>
          <w:rFonts w:cs="Cambria"/>
          <w:color w:val="000000"/>
        </w:rPr>
        <w:t>s</w:t>
      </w:r>
      <w:r w:rsidRPr="00AA552A">
        <w:rPr>
          <w:rFonts w:cs="Cambria"/>
          <w:color w:val="000000"/>
          <w:spacing w:val="-8"/>
        </w:rPr>
        <w:t xml:space="preserve"> </w:t>
      </w:r>
      <w:r w:rsidRPr="00AA552A">
        <w:rPr>
          <w:rFonts w:cs="Cambria"/>
          <w:color w:val="000000"/>
        </w:rPr>
        <w:t>a m</w:t>
      </w:r>
      <w:r w:rsidRPr="00AA552A">
        <w:rPr>
          <w:rFonts w:cs="Cambria"/>
          <w:color w:val="000000"/>
          <w:spacing w:val="1"/>
        </w:rPr>
        <w:t>e</w:t>
      </w:r>
      <w:r w:rsidRPr="00AA552A">
        <w:rPr>
          <w:rFonts w:cs="Cambria"/>
          <w:color w:val="000000"/>
        </w:rPr>
        <w:t>chan</w:t>
      </w:r>
      <w:r w:rsidRPr="00AA552A">
        <w:rPr>
          <w:rFonts w:cs="Cambria"/>
          <w:color w:val="000000"/>
          <w:spacing w:val="1"/>
        </w:rPr>
        <w:t>i</w:t>
      </w:r>
      <w:r w:rsidRPr="00AA552A">
        <w:rPr>
          <w:rFonts w:cs="Cambria"/>
          <w:color w:val="000000"/>
        </w:rPr>
        <w:t>sm</w:t>
      </w:r>
      <w:r w:rsidRPr="00AA552A">
        <w:rPr>
          <w:rFonts w:cs="Cambria"/>
          <w:color w:val="000000"/>
          <w:spacing w:val="-5"/>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spacing w:val="-1"/>
        </w:rPr>
        <w:t>d</w:t>
      </w:r>
      <w:r w:rsidRPr="00AA552A">
        <w:rPr>
          <w:rFonts w:cs="Cambria"/>
          <w:color w:val="000000"/>
          <w:spacing w:val="1"/>
        </w:rPr>
        <w:t>i</w:t>
      </w:r>
      <w:r w:rsidRPr="00AA552A">
        <w:rPr>
          <w:rFonts w:cs="Cambria"/>
          <w:color w:val="000000"/>
        </w:rPr>
        <w:t>s</w:t>
      </w:r>
      <w:r w:rsidRPr="00AA552A">
        <w:rPr>
          <w:rFonts w:cs="Cambria"/>
          <w:color w:val="000000"/>
          <w:spacing w:val="1"/>
        </w:rPr>
        <w:t>pe</w:t>
      </w:r>
      <w:r w:rsidRPr="00AA552A">
        <w:rPr>
          <w:rFonts w:cs="Cambria"/>
          <w:color w:val="000000"/>
          <w:spacing w:val="-1"/>
        </w:rPr>
        <w:t>r</w:t>
      </w:r>
      <w:r w:rsidRPr="00AA552A">
        <w:rPr>
          <w:rFonts w:cs="Cambria"/>
          <w:color w:val="000000"/>
        </w:rPr>
        <w:t>se</w:t>
      </w:r>
      <w:r w:rsidRPr="00AA552A">
        <w:rPr>
          <w:rFonts w:cs="Cambria"/>
          <w:color w:val="000000"/>
          <w:spacing w:val="-6"/>
        </w:rPr>
        <w:t xml:space="preserve"> </w:t>
      </w:r>
      <w:r w:rsidRPr="00AA552A">
        <w:rPr>
          <w:rFonts w:cs="Cambria"/>
          <w:color w:val="000000"/>
          <w:spacing w:val="-1"/>
        </w:rPr>
        <w:t>r</w:t>
      </w:r>
      <w:r w:rsidRPr="00AA552A">
        <w:rPr>
          <w:rFonts w:cs="Cambria"/>
          <w:color w:val="000000"/>
        </w:rPr>
        <w:t>ock</w:t>
      </w:r>
      <w:r w:rsidRPr="00AA552A">
        <w:rPr>
          <w:rFonts w:cs="Cambria"/>
          <w:color w:val="000000"/>
          <w:spacing w:val="-4"/>
        </w:rPr>
        <w:t xml:space="preserve"> </w:t>
      </w:r>
      <w:r w:rsidRPr="00AA552A">
        <w:rPr>
          <w:rFonts w:cs="Cambria"/>
          <w:color w:val="000000"/>
        </w:rPr>
        <w:t>sh</w:t>
      </w:r>
      <w:r w:rsidRPr="00AA552A">
        <w:rPr>
          <w:rFonts w:cs="Cambria"/>
          <w:color w:val="000000"/>
          <w:spacing w:val="-1"/>
        </w:rPr>
        <w:t>r</w:t>
      </w:r>
      <w:r w:rsidRPr="00AA552A">
        <w:rPr>
          <w:rFonts w:cs="Cambria"/>
          <w:color w:val="000000"/>
          <w:spacing w:val="1"/>
        </w:rPr>
        <w:t>i</w:t>
      </w:r>
      <w:r w:rsidRPr="00AA552A">
        <w:rPr>
          <w:rFonts w:cs="Cambria"/>
          <w:color w:val="000000"/>
        </w:rPr>
        <w:t>mp</w:t>
      </w:r>
      <w:r w:rsidRPr="00AA552A">
        <w:rPr>
          <w:rFonts w:cs="Cambria"/>
          <w:color w:val="000000"/>
          <w:spacing w:val="-3"/>
        </w:rPr>
        <w:t xml:space="preserve"> </w:t>
      </w:r>
      <w:r w:rsidRPr="00AA552A">
        <w:rPr>
          <w:rFonts w:cs="Cambria"/>
          <w:color w:val="000000"/>
          <w:spacing w:val="2"/>
        </w:rPr>
        <w:t>l</w:t>
      </w:r>
      <w:r w:rsidRPr="00AA552A">
        <w:rPr>
          <w:rFonts w:cs="Cambria"/>
          <w:color w:val="000000"/>
        </w:rPr>
        <w:t>a</w:t>
      </w:r>
      <w:r w:rsidRPr="00AA552A">
        <w:rPr>
          <w:rFonts w:cs="Cambria"/>
          <w:color w:val="000000"/>
          <w:spacing w:val="-1"/>
        </w:rPr>
        <w:t>rv</w:t>
      </w:r>
      <w:r w:rsidRPr="00AA552A">
        <w:rPr>
          <w:rFonts w:cs="Cambria"/>
          <w:color w:val="000000"/>
        </w:rPr>
        <w:t>a</w:t>
      </w:r>
      <w:r w:rsidRPr="00AA552A">
        <w:rPr>
          <w:rFonts w:cs="Cambria"/>
          <w:color w:val="000000"/>
          <w:spacing w:val="1"/>
        </w:rPr>
        <w:t>e</w:t>
      </w:r>
      <w:r w:rsidRPr="00AA552A">
        <w:rPr>
          <w:rFonts w:cs="Cambria"/>
          <w:color w:val="000000"/>
        </w:rPr>
        <w:t>.</w:t>
      </w:r>
    </w:p>
    <w:p w14:paraId="06EAD6D8" w14:textId="77777777" w:rsidR="00DC4922" w:rsidRPr="00AA552A" w:rsidRDefault="00DC4922" w:rsidP="00DC4922">
      <w:pPr>
        <w:rPr>
          <w:rFonts w:cs="Cambria"/>
          <w:color w:val="000000"/>
          <w:sz w:val="26"/>
        </w:rPr>
      </w:pPr>
    </w:p>
    <w:p w14:paraId="7A40CB39" w14:textId="77777777" w:rsidR="00DC4922" w:rsidRPr="00AA552A" w:rsidRDefault="00DC4922" w:rsidP="00640526">
      <w:pPr>
        <w:ind w:firstLine="360"/>
        <w:rPr>
          <w:rFonts w:cs="Cambria"/>
          <w:color w:val="000000"/>
        </w:rPr>
      </w:pP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nt</w:t>
      </w:r>
      <w:r w:rsidRPr="00AA552A">
        <w:rPr>
          <w:rFonts w:cs="Cambria"/>
          <w:color w:val="000000"/>
          <w:spacing w:val="1"/>
        </w:rPr>
        <w:t>i</w:t>
      </w:r>
      <w:r w:rsidRPr="00AA552A">
        <w:rPr>
          <w:rFonts w:cs="Cambria"/>
          <w:color w:val="000000"/>
        </w:rPr>
        <w:t>al</w:t>
      </w:r>
      <w:r w:rsidRPr="00AA552A">
        <w:rPr>
          <w:rFonts w:cs="Cambria"/>
          <w:color w:val="000000"/>
          <w:spacing w:val="-4"/>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ha</w:t>
      </w:r>
      <w:r w:rsidRPr="00AA552A">
        <w:rPr>
          <w:rFonts w:cs="Cambria"/>
          <w:color w:val="000000"/>
          <w:spacing w:val="-2"/>
        </w:rPr>
        <w:t>b</w:t>
      </w:r>
      <w:r w:rsidRPr="00AA552A">
        <w:rPr>
          <w:rFonts w:cs="Cambria"/>
          <w:color w:val="000000"/>
          <w:spacing w:val="1"/>
        </w:rPr>
        <w:t>i</w:t>
      </w:r>
      <w:r w:rsidRPr="00AA552A">
        <w:rPr>
          <w:rFonts w:cs="Cambria"/>
          <w:color w:val="000000"/>
        </w:rPr>
        <w:t>tat</w:t>
      </w:r>
      <w:r w:rsidRPr="00AA552A">
        <w:rPr>
          <w:rFonts w:cs="Cambria"/>
          <w:color w:val="000000"/>
          <w:spacing w:val="-2"/>
        </w:rPr>
        <w:t xml:space="preserve"> </w:t>
      </w:r>
      <w:r w:rsidRPr="00AA552A">
        <w:rPr>
          <w:rFonts w:cs="Cambria"/>
          <w:color w:val="000000"/>
          <w:spacing w:val="-1"/>
        </w:rPr>
        <w:t>f</w:t>
      </w:r>
      <w:r w:rsidRPr="00AA552A">
        <w:rPr>
          <w:rFonts w:cs="Cambria"/>
          <w:color w:val="000000"/>
          <w:spacing w:val="-3"/>
        </w:rPr>
        <w:t>o</w:t>
      </w:r>
      <w:r w:rsidRPr="00AA552A">
        <w:rPr>
          <w:rFonts w:cs="Cambria"/>
          <w:color w:val="000000"/>
        </w:rPr>
        <w:t>r</w:t>
      </w:r>
      <w:r w:rsidRPr="00AA552A">
        <w:rPr>
          <w:rFonts w:cs="Cambria"/>
          <w:color w:val="000000"/>
          <w:spacing w:val="-4"/>
        </w:rPr>
        <w:t xml:space="preserve"> </w:t>
      </w:r>
      <w:r w:rsidRPr="00AA552A">
        <w:rPr>
          <w:rFonts w:cs="Cambria"/>
          <w:color w:val="000000"/>
          <w:spacing w:val="-1"/>
        </w:rPr>
        <w:t>r</w:t>
      </w:r>
      <w:r w:rsidRPr="00AA552A">
        <w:rPr>
          <w:rFonts w:cs="Cambria"/>
          <w:color w:val="000000"/>
        </w:rPr>
        <w:t>o</w:t>
      </w:r>
      <w:r w:rsidRPr="00AA552A">
        <w:rPr>
          <w:rFonts w:cs="Cambria"/>
          <w:color w:val="000000"/>
          <w:spacing w:val="-1"/>
        </w:rPr>
        <w:t>y</w:t>
      </w:r>
      <w:r w:rsidRPr="00AA552A">
        <w:rPr>
          <w:rFonts w:cs="Cambria"/>
          <w:color w:val="000000"/>
        </w:rPr>
        <w:t>al</w:t>
      </w:r>
      <w:r w:rsidRPr="00AA552A">
        <w:rPr>
          <w:rFonts w:cs="Cambria"/>
          <w:color w:val="000000"/>
          <w:spacing w:val="-1"/>
        </w:rPr>
        <w:t xml:space="preserve"> r</w:t>
      </w:r>
      <w:r w:rsidRPr="00AA552A">
        <w:rPr>
          <w:rFonts w:cs="Cambria"/>
          <w:color w:val="000000"/>
          <w:spacing w:val="1"/>
        </w:rPr>
        <w:t>e</w:t>
      </w:r>
      <w:r w:rsidRPr="00AA552A">
        <w:rPr>
          <w:rFonts w:cs="Cambria"/>
          <w:color w:val="000000"/>
        </w:rPr>
        <w:t>d</w:t>
      </w:r>
      <w:r w:rsidRPr="00AA552A">
        <w:rPr>
          <w:rFonts w:cs="Cambria"/>
          <w:color w:val="000000"/>
          <w:spacing w:val="-4"/>
        </w:rPr>
        <w:t xml:space="preserve"> </w:t>
      </w:r>
      <w:r w:rsidRPr="00AA552A">
        <w:rPr>
          <w:rFonts w:cs="Cambria"/>
          <w:color w:val="000000"/>
        </w:rPr>
        <w:t>sh</w:t>
      </w:r>
      <w:r w:rsidRPr="00AA552A">
        <w:rPr>
          <w:rFonts w:cs="Cambria"/>
          <w:color w:val="000000"/>
          <w:spacing w:val="-1"/>
        </w:rPr>
        <w:t>r</w:t>
      </w:r>
      <w:r w:rsidRPr="00AA552A">
        <w:rPr>
          <w:rFonts w:cs="Cambria"/>
          <w:color w:val="000000"/>
          <w:spacing w:val="1"/>
        </w:rPr>
        <w:t>i</w:t>
      </w:r>
      <w:r w:rsidRPr="00AA552A">
        <w:rPr>
          <w:rFonts w:cs="Cambria"/>
          <w:color w:val="000000"/>
        </w:rPr>
        <w:t>mp</w:t>
      </w:r>
      <w:r w:rsidRPr="00AA552A">
        <w:rPr>
          <w:rFonts w:cs="Cambria"/>
          <w:color w:val="000000"/>
          <w:spacing w:val="-3"/>
        </w:rPr>
        <w:t xml:space="preserve"> </w:t>
      </w:r>
      <w:r w:rsidRPr="00AA552A">
        <w:rPr>
          <w:rFonts w:cs="Cambria"/>
          <w:color w:val="000000"/>
          <w:spacing w:val="1"/>
        </w:rPr>
        <w:t>i</w:t>
      </w:r>
      <w:r w:rsidRPr="00AA552A">
        <w:rPr>
          <w:rFonts w:cs="Cambria"/>
          <w:color w:val="000000"/>
        </w:rPr>
        <w:t>ncl</w:t>
      </w:r>
      <w:r w:rsidRPr="00AA552A">
        <w:rPr>
          <w:rFonts w:cs="Cambria"/>
          <w:color w:val="000000"/>
          <w:spacing w:val="2"/>
        </w:rPr>
        <w:t>u</w:t>
      </w:r>
      <w:r w:rsidRPr="00AA552A">
        <w:rPr>
          <w:rFonts w:cs="Cambria"/>
          <w:color w:val="000000"/>
          <w:spacing w:val="-1"/>
        </w:rPr>
        <w:t>d</w:t>
      </w:r>
      <w:r w:rsidRPr="00AA552A">
        <w:rPr>
          <w:rFonts w:cs="Cambria"/>
          <w:color w:val="000000"/>
        </w:rPr>
        <w:t>e</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u</w:t>
      </w:r>
      <w:r w:rsidRPr="00AA552A">
        <w:rPr>
          <w:rFonts w:cs="Cambria"/>
          <w:color w:val="000000"/>
          <w:spacing w:val="1"/>
        </w:rPr>
        <w:t>ppe</w:t>
      </w:r>
      <w:r w:rsidRPr="00AA552A">
        <w:rPr>
          <w:rFonts w:cs="Cambria"/>
          <w:color w:val="000000"/>
        </w:rPr>
        <w:t>r</w:t>
      </w:r>
      <w:r w:rsidRPr="00AA552A">
        <w:rPr>
          <w:rFonts w:cs="Cambria"/>
          <w:color w:val="000000"/>
          <w:spacing w:val="-3"/>
        </w:rPr>
        <w:t xml:space="preserve"> </w:t>
      </w:r>
      <w:r w:rsidRPr="00AA552A">
        <w:rPr>
          <w:rFonts w:cs="Cambria"/>
          <w:color w:val="000000"/>
          <w:spacing w:val="-1"/>
        </w:rPr>
        <w:t>r</w:t>
      </w:r>
      <w:r w:rsidRPr="00AA552A">
        <w:rPr>
          <w:rFonts w:cs="Cambria"/>
          <w:color w:val="000000"/>
          <w:spacing w:val="1"/>
        </w:rPr>
        <w:t>e</w:t>
      </w:r>
      <w:r w:rsidRPr="00AA552A">
        <w:rPr>
          <w:rFonts w:cs="Cambria"/>
          <w:color w:val="000000"/>
          <w:spacing w:val="-1"/>
        </w:rPr>
        <w:t>g</w:t>
      </w:r>
      <w:r w:rsidRPr="00AA552A">
        <w:rPr>
          <w:rFonts w:cs="Cambria"/>
          <w:color w:val="000000"/>
          <w:spacing w:val="1"/>
        </w:rPr>
        <w:t>i</w:t>
      </w:r>
      <w:r w:rsidRPr="00AA552A">
        <w:rPr>
          <w:rFonts w:cs="Cambria"/>
          <w:color w:val="000000"/>
        </w:rPr>
        <w:t>ons</w:t>
      </w:r>
      <w:r w:rsidRPr="00AA552A">
        <w:rPr>
          <w:rFonts w:cs="Cambria"/>
          <w:color w:val="000000"/>
          <w:spacing w:val="-5"/>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cont</w:t>
      </w:r>
      <w:r w:rsidRPr="00AA552A">
        <w:rPr>
          <w:rFonts w:cs="Cambria"/>
          <w:color w:val="000000"/>
          <w:spacing w:val="1"/>
        </w:rPr>
        <w:t>i</w:t>
      </w:r>
      <w:r w:rsidRPr="00AA552A">
        <w:rPr>
          <w:rFonts w:cs="Cambria"/>
          <w:color w:val="000000"/>
        </w:rPr>
        <w:t>n</w:t>
      </w:r>
      <w:r w:rsidRPr="00AA552A">
        <w:rPr>
          <w:rFonts w:cs="Cambria"/>
          <w:color w:val="000000"/>
          <w:spacing w:val="1"/>
        </w:rPr>
        <w:t>e</w:t>
      </w:r>
      <w:r w:rsidRPr="00AA552A">
        <w:rPr>
          <w:rFonts w:cs="Cambria"/>
          <w:color w:val="000000"/>
        </w:rPr>
        <w:t>ntal</w:t>
      </w:r>
      <w:r w:rsidRPr="00AA552A">
        <w:rPr>
          <w:rFonts w:cs="Cambria"/>
          <w:color w:val="000000"/>
          <w:spacing w:val="-4"/>
        </w:rPr>
        <w:t xml:space="preserve"> </w:t>
      </w:r>
      <w:r w:rsidRPr="00AA552A">
        <w:rPr>
          <w:rFonts w:cs="Cambria"/>
          <w:color w:val="000000"/>
        </w:rPr>
        <w:t>slo</w:t>
      </w:r>
      <w:r w:rsidRPr="00AA552A">
        <w:rPr>
          <w:rFonts w:cs="Cambria"/>
          <w:color w:val="000000"/>
          <w:spacing w:val="-1"/>
        </w:rPr>
        <w:t>p</w:t>
      </w:r>
      <w:r w:rsidRPr="00AA552A">
        <w:rPr>
          <w:rFonts w:cs="Cambria"/>
          <w:color w:val="000000"/>
        </w:rPr>
        <w:t>e</w:t>
      </w:r>
      <w:r w:rsidRPr="00AA552A">
        <w:rPr>
          <w:rFonts w:cs="Cambria"/>
          <w:color w:val="000000"/>
          <w:spacing w:val="-2"/>
        </w:rPr>
        <w:t xml:space="preserve"> </w:t>
      </w:r>
      <w:r w:rsidRPr="00AA552A">
        <w:rPr>
          <w:rFonts w:cs="Cambria"/>
          <w:color w:val="000000"/>
          <w:spacing w:val="-1"/>
        </w:rPr>
        <w:t>fr</w:t>
      </w:r>
      <w:r>
        <w:rPr>
          <w:rFonts w:cs="Cambria"/>
          <w:color w:val="000000"/>
        </w:rPr>
        <w:t xml:space="preserve">om </w:t>
      </w:r>
      <w:r w:rsidRPr="00AA552A">
        <w:rPr>
          <w:rFonts w:cs="Cambria"/>
          <w:color w:val="000000"/>
          <w:spacing w:val="-1"/>
        </w:rPr>
        <w:t>18</w:t>
      </w:r>
      <w:r w:rsidRPr="00AA552A">
        <w:rPr>
          <w:rFonts w:cs="Cambria"/>
          <w:color w:val="000000"/>
        </w:rPr>
        <w:t>0</w:t>
      </w:r>
      <w:r w:rsidRPr="00AA552A">
        <w:rPr>
          <w:rFonts w:cs="Cambria"/>
          <w:color w:val="000000"/>
          <w:spacing w:val="-5"/>
        </w:rPr>
        <w:t xml:space="preserve"> </w:t>
      </w:r>
      <w:r w:rsidRPr="00AA552A">
        <w:rPr>
          <w:rFonts w:cs="Cambria"/>
          <w:color w:val="000000"/>
        </w:rPr>
        <w:t>m</w:t>
      </w:r>
      <w:r w:rsidRPr="00AA552A">
        <w:rPr>
          <w:rFonts w:cs="Cambria"/>
          <w:color w:val="000000"/>
          <w:spacing w:val="1"/>
        </w:rPr>
        <w:t>e</w:t>
      </w:r>
      <w:r w:rsidRPr="00AA552A">
        <w:rPr>
          <w:rFonts w:cs="Cambria"/>
          <w:color w:val="000000"/>
        </w:rPr>
        <w:t>t</w:t>
      </w:r>
      <w:r w:rsidRPr="00AA552A">
        <w:rPr>
          <w:rFonts w:cs="Cambria"/>
          <w:color w:val="000000"/>
          <w:spacing w:val="1"/>
        </w:rPr>
        <w:t>e</w:t>
      </w:r>
      <w:r w:rsidRPr="00AA552A">
        <w:rPr>
          <w:rFonts w:cs="Cambria"/>
          <w:color w:val="000000"/>
          <w:spacing w:val="-1"/>
        </w:rPr>
        <w:t>r</w:t>
      </w:r>
      <w:r w:rsidRPr="00AA552A">
        <w:rPr>
          <w:rFonts w:cs="Cambria"/>
          <w:color w:val="000000"/>
        </w:rPr>
        <w:t>s</w:t>
      </w:r>
      <w:r w:rsidRPr="00AA552A">
        <w:rPr>
          <w:rFonts w:cs="Cambria"/>
          <w:color w:val="000000"/>
          <w:spacing w:val="-6"/>
        </w:rPr>
        <w:t xml:space="preserve"> </w:t>
      </w:r>
      <w:r w:rsidRPr="00AA552A">
        <w:rPr>
          <w:rFonts w:cs="Cambria"/>
          <w:color w:val="000000"/>
          <w:spacing w:val="2"/>
        </w:rPr>
        <w:t>(</w:t>
      </w:r>
      <w:r w:rsidRPr="00AA552A">
        <w:rPr>
          <w:rFonts w:cs="Cambria"/>
          <w:color w:val="000000"/>
          <w:spacing w:val="-1"/>
        </w:rPr>
        <w:t>59</w:t>
      </w:r>
      <w:r w:rsidRPr="00AA552A">
        <w:rPr>
          <w:rFonts w:cs="Cambria"/>
          <w:color w:val="000000"/>
        </w:rPr>
        <w:t>0</w:t>
      </w:r>
      <w:r w:rsidRPr="00AA552A">
        <w:rPr>
          <w:rFonts w:cs="Cambria"/>
          <w:color w:val="000000"/>
          <w:spacing w:val="-3"/>
        </w:rPr>
        <w:t xml:space="preserve"> </w:t>
      </w:r>
      <w:r w:rsidRPr="00AA552A">
        <w:rPr>
          <w:rFonts w:cs="Cambria"/>
          <w:color w:val="000000"/>
          <w:spacing w:val="-1"/>
        </w:rPr>
        <w:t>f</w:t>
      </w:r>
      <w:r w:rsidRPr="00AA552A">
        <w:rPr>
          <w:rFonts w:cs="Cambria"/>
          <w:color w:val="000000"/>
          <w:spacing w:val="1"/>
        </w:rPr>
        <w:t>ee</w:t>
      </w:r>
      <w:r w:rsidRPr="00AA552A">
        <w:rPr>
          <w:rFonts w:cs="Cambria"/>
          <w:color w:val="000000"/>
        </w:rPr>
        <w:t>t)</w:t>
      </w:r>
      <w:r w:rsidRPr="00AA552A">
        <w:rPr>
          <w:rFonts w:cs="Cambria"/>
          <w:color w:val="000000"/>
          <w:spacing w:val="-4"/>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a</w:t>
      </w:r>
      <w:r w:rsidRPr="00AA552A">
        <w:rPr>
          <w:rFonts w:cs="Cambria"/>
          <w:color w:val="000000"/>
          <w:spacing w:val="1"/>
        </w:rPr>
        <w:t>b</w:t>
      </w:r>
      <w:r w:rsidRPr="00AA552A">
        <w:rPr>
          <w:rFonts w:cs="Cambria"/>
          <w:color w:val="000000"/>
        </w:rPr>
        <w:t>out</w:t>
      </w:r>
      <w:r w:rsidRPr="00AA552A">
        <w:rPr>
          <w:rFonts w:cs="Cambria"/>
          <w:color w:val="000000"/>
          <w:spacing w:val="-1"/>
        </w:rPr>
        <w:t xml:space="preserve"> 73</w:t>
      </w:r>
      <w:r w:rsidRPr="00AA552A">
        <w:rPr>
          <w:rFonts w:cs="Cambria"/>
          <w:color w:val="000000"/>
        </w:rPr>
        <w:t>0</w:t>
      </w:r>
      <w:r w:rsidRPr="00AA552A">
        <w:rPr>
          <w:rFonts w:cs="Cambria"/>
          <w:color w:val="000000"/>
          <w:spacing w:val="-5"/>
        </w:rPr>
        <w:t xml:space="preserve"> </w:t>
      </w:r>
      <w:r w:rsidRPr="00AA552A">
        <w:rPr>
          <w:rFonts w:cs="Cambria"/>
          <w:color w:val="000000"/>
        </w:rPr>
        <w:t>m</w:t>
      </w:r>
      <w:r w:rsidRPr="00AA552A">
        <w:rPr>
          <w:rFonts w:cs="Cambria"/>
          <w:color w:val="000000"/>
          <w:spacing w:val="1"/>
        </w:rPr>
        <w:t>e</w:t>
      </w:r>
      <w:r w:rsidRPr="00AA552A">
        <w:rPr>
          <w:rFonts w:cs="Cambria"/>
          <w:color w:val="000000"/>
        </w:rPr>
        <w:t>t</w:t>
      </w:r>
      <w:r w:rsidRPr="00AA552A">
        <w:rPr>
          <w:rFonts w:cs="Cambria"/>
          <w:color w:val="000000"/>
          <w:spacing w:val="1"/>
        </w:rPr>
        <w:t>e</w:t>
      </w:r>
      <w:r w:rsidRPr="00AA552A">
        <w:rPr>
          <w:rFonts w:cs="Cambria"/>
          <w:color w:val="000000"/>
          <w:spacing w:val="-1"/>
        </w:rPr>
        <w:t>r</w:t>
      </w:r>
      <w:r w:rsidRPr="00AA552A">
        <w:rPr>
          <w:rFonts w:cs="Cambria"/>
          <w:color w:val="000000"/>
        </w:rPr>
        <w:t>s</w:t>
      </w:r>
      <w:r w:rsidRPr="00AA552A">
        <w:rPr>
          <w:rFonts w:cs="Cambria"/>
          <w:color w:val="000000"/>
          <w:spacing w:val="-6"/>
        </w:rPr>
        <w:t xml:space="preserve"> </w:t>
      </w:r>
      <w:r w:rsidRPr="00AA552A">
        <w:rPr>
          <w:rFonts w:cs="Cambria"/>
          <w:color w:val="000000"/>
          <w:spacing w:val="2"/>
        </w:rPr>
        <w:t>(</w:t>
      </w:r>
      <w:r w:rsidRPr="00AA552A">
        <w:rPr>
          <w:rFonts w:cs="Cambria"/>
          <w:color w:val="000000"/>
          <w:spacing w:val="-1"/>
        </w:rPr>
        <w:t>2</w:t>
      </w:r>
      <w:r w:rsidRPr="00AA552A">
        <w:rPr>
          <w:rFonts w:cs="Cambria"/>
          <w:color w:val="000000"/>
          <w:spacing w:val="1"/>
        </w:rPr>
        <w:t>,</w:t>
      </w:r>
      <w:r w:rsidRPr="00AA552A">
        <w:rPr>
          <w:rFonts w:cs="Cambria"/>
          <w:color w:val="000000"/>
          <w:spacing w:val="-1"/>
        </w:rPr>
        <w:t>39</w:t>
      </w:r>
      <w:r w:rsidRPr="00AA552A">
        <w:rPr>
          <w:rFonts w:cs="Cambria"/>
          <w:color w:val="000000"/>
        </w:rPr>
        <w:t>5</w:t>
      </w:r>
      <w:r w:rsidRPr="00AA552A">
        <w:rPr>
          <w:rFonts w:cs="Cambria"/>
          <w:color w:val="000000"/>
          <w:spacing w:val="-7"/>
        </w:rPr>
        <w:t xml:space="preserve"> </w:t>
      </w:r>
      <w:r w:rsidRPr="00AA552A">
        <w:rPr>
          <w:rFonts w:cs="Cambria"/>
          <w:color w:val="000000"/>
          <w:spacing w:val="-1"/>
        </w:rPr>
        <w:t>f</w:t>
      </w:r>
      <w:r w:rsidRPr="00AA552A">
        <w:rPr>
          <w:rFonts w:cs="Cambria"/>
          <w:color w:val="000000"/>
          <w:spacing w:val="1"/>
        </w:rPr>
        <w:t>ee</w:t>
      </w:r>
      <w:r w:rsidRPr="00AA552A">
        <w:rPr>
          <w:rFonts w:cs="Cambria"/>
          <w:color w:val="000000"/>
        </w:rPr>
        <w:t>t),</w:t>
      </w:r>
      <w:r w:rsidRPr="00AA552A">
        <w:rPr>
          <w:rFonts w:cs="Cambria"/>
          <w:color w:val="000000"/>
          <w:spacing w:val="-3"/>
        </w:rPr>
        <w:t xml:space="preserve"> </w:t>
      </w:r>
      <w:r w:rsidRPr="00AA552A">
        <w:rPr>
          <w:rFonts w:cs="Cambria"/>
          <w:color w:val="000000"/>
          <w:spacing w:val="-1"/>
        </w:rPr>
        <w:t>w</w:t>
      </w:r>
      <w:r w:rsidRPr="00AA552A">
        <w:rPr>
          <w:rFonts w:cs="Cambria"/>
          <w:color w:val="000000"/>
          <w:spacing w:val="1"/>
        </w:rPr>
        <w:t>i</w:t>
      </w:r>
      <w:r w:rsidRPr="00AA552A">
        <w:rPr>
          <w:rFonts w:cs="Cambria"/>
          <w:color w:val="000000"/>
        </w:rPr>
        <w:t>th</w:t>
      </w:r>
      <w:r w:rsidRPr="00AA552A">
        <w:rPr>
          <w:rFonts w:cs="Cambria"/>
          <w:color w:val="000000"/>
          <w:spacing w:val="-2"/>
        </w:rPr>
        <w:t xml:space="preserve"> </w:t>
      </w:r>
      <w:r w:rsidRPr="00AA552A">
        <w:rPr>
          <w:rFonts w:cs="Cambria"/>
          <w:color w:val="000000"/>
        </w:rPr>
        <w:t>conc</w:t>
      </w:r>
      <w:r w:rsidRPr="00AA552A">
        <w:rPr>
          <w:rFonts w:cs="Cambria"/>
          <w:color w:val="000000"/>
          <w:spacing w:val="1"/>
        </w:rPr>
        <w:t>e</w:t>
      </w:r>
      <w:r w:rsidRPr="00AA552A">
        <w:rPr>
          <w:rFonts w:cs="Cambria"/>
          <w:color w:val="000000"/>
        </w:rPr>
        <w:t>nt</w:t>
      </w:r>
      <w:r w:rsidRPr="00AA552A">
        <w:rPr>
          <w:rFonts w:cs="Cambria"/>
          <w:color w:val="000000"/>
          <w:spacing w:val="-1"/>
        </w:rPr>
        <w:t>r</w:t>
      </w:r>
      <w:r w:rsidRPr="00AA552A">
        <w:rPr>
          <w:rFonts w:cs="Cambria"/>
          <w:color w:val="000000"/>
        </w:rPr>
        <w:t>at</w:t>
      </w:r>
      <w:r w:rsidRPr="00AA552A">
        <w:rPr>
          <w:rFonts w:cs="Cambria"/>
          <w:color w:val="000000"/>
          <w:spacing w:val="1"/>
        </w:rPr>
        <w:t>i</w:t>
      </w:r>
      <w:r w:rsidRPr="00AA552A">
        <w:rPr>
          <w:rFonts w:cs="Cambria"/>
          <w:color w:val="000000"/>
        </w:rPr>
        <w:t>ons</w:t>
      </w:r>
      <w:r w:rsidRPr="00AA552A">
        <w:rPr>
          <w:rFonts w:cs="Cambria"/>
          <w:color w:val="000000"/>
          <w:spacing w:val="-9"/>
        </w:rPr>
        <w:t xml:space="preserve"> </w:t>
      </w:r>
      <w:r w:rsidRPr="00AA552A">
        <w:rPr>
          <w:rFonts w:cs="Cambria"/>
          <w:color w:val="000000"/>
          <w:spacing w:val="-1"/>
        </w:rPr>
        <w:t>f</w:t>
      </w:r>
      <w:r w:rsidRPr="00AA552A">
        <w:rPr>
          <w:rFonts w:cs="Cambria"/>
          <w:color w:val="000000"/>
        </w:rPr>
        <w:t>ound</w:t>
      </w:r>
      <w:r w:rsidRPr="00AA552A">
        <w:rPr>
          <w:rFonts w:cs="Cambria"/>
          <w:color w:val="000000"/>
          <w:spacing w:val="-4"/>
        </w:rPr>
        <w:t xml:space="preserve"> </w:t>
      </w:r>
      <w:r w:rsidRPr="00AA552A">
        <w:rPr>
          <w:rFonts w:cs="Cambria"/>
          <w:color w:val="000000"/>
        </w:rPr>
        <w:t xml:space="preserve">at </w:t>
      </w:r>
      <w:r w:rsidRPr="00AA552A">
        <w:rPr>
          <w:rFonts w:cs="Cambria"/>
          <w:color w:val="000000"/>
          <w:spacing w:val="-1"/>
        </w:rPr>
        <w:t>d</w:t>
      </w:r>
      <w:r w:rsidRPr="00AA552A">
        <w:rPr>
          <w:rFonts w:cs="Cambria"/>
          <w:color w:val="000000"/>
          <w:spacing w:val="1"/>
        </w:rPr>
        <w:t>ep</w:t>
      </w:r>
      <w:r w:rsidRPr="00AA552A">
        <w:rPr>
          <w:rFonts w:cs="Cambria"/>
          <w:color w:val="000000"/>
        </w:rPr>
        <w:t>ths</w:t>
      </w:r>
      <w:r w:rsidRPr="00AA552A">
        <w:rPr>
          <w:rFonts w:cs="Cambria"/>
          <w:color w:val="000000"/>
          <w:spacing w:val="-5"/>
        </w:rPr>
        <w:t xml:space="preserve"> </w:t>
      </w:r>
      <w:r w:rsidRPr="00AA552A">
        <w:rPr>
          <w:rFonts w:cs="Cambria"/>
          <w:color w:val="000000"/>
        </w:rPr>
        <w:t xml:space="preserve">of </w:t>
      </w:r>
      <w:r w:rsidRPr="00AA552A">
        <w:rPr>
          <w:rFonts w:cs="Cambria"/>
          <w:color w:val="000000"/>
          <w:spacing w:val="1"/>
        </w:rPr>
        <w:t>be</w:t>
      </w:r>
      <w:r w:rsidRPr="00AA552A">
        <w:rPr>
          <w:rFonts w:cs="Cambria"/>
          <w:color w:val="000000"/>
        </w:rPr>
        <w:t>t</w:t>
      </w:r>
      <w:r w:rsidRPr="00AA552A">
        <w:rPr>
          <w:rFonts w:cs="Cambria"/>
          <w:color w:val="000000"/>
          <w:spacing w:val="-1"/>
        </w:rPr>
        <w:t>w</w:t>
      </w:r>
      <w:r w:rsidRPr="00AA552A">
        <w:rPr>
          <w:rFonts w:cs="Cambria"/>
          <w:color w:val="000000"/>
          <w:spacing w:val="1"/>
        </w:rPr>
        <w:t>ee</w:t>
      </w:r>
      <w:r w:rsidRPr="00AA552A">
        <w:rPr>
          <w:rFonts w:cs="Cambria"/>
          <w:color w:val="000000"/>
        </w:rPr>
        <w:t>n</w:t>
      </w:r>
      <w:r w:rsidRPr="00AA552A">
        <w:rPr>
          <w:rFonts w:cs="Cambria"/>
          <w:color w:val="000000"/>
          <w:spacing w:val="-3"/>
        </w:rPr>
        <w:t xml:space="preserve"> </w:t>
      </w:r>
      <w:r w:rsidRPr="00AA552A">
        <w:rPr>
          <w:rFonts w:cs="Cambria"/>
          <w:color w:val="000000"/>
          <w:spacing w:val="-1"/>
        </w:rPr>
        <w:t>25</w:t>
      </w:r>
      <w:r w:rsidRPr="00AA552A">
        <w:rPr>
          <w:rFonts w:cs="Cambria"/>
          <w:color w:val="000000"/>
        </w:rPr>
        <w:t>0</w:t>
      </w:r>
      <w:r w:rsidRPr="00AA552A">
        <w:rPr>
          <w:rFonts w:cs="Cambria"/>
          <w:color w:val="000000"/>
          <w:spacing w:val="-5"/>
        </w:rPr>
        <w:t xml:space="preserve"> </w:t>
      </w:r>
      <w:r w:rsidRPr="00AA552A">
        <w:rPr>
          <w:rFonts w:cs="Cambria"/>
          <w:color w:val="000000"/>
        </w:rPr>
        <w:t>m</w:t>
      </w:r>
      <w:r w:rsidRPr="00AA552A">
        <w:rPr>
          <w:rFonts w:cs="Cambria"/>
          <w:color w:val="000000"/>
          <w:spacing w:val="1"/>
        </w:rPr>
        <w:t>e</w:t>
      </w:r>
      <w:r w:rsidRPr="00AA552A">
        <w:rPr>
          <w:rFonts w:cs="Cambria"/>
          <w:color w:val="000000"/>
        </w:rPr>
        <w:t>t</w:t>
      </w:r>
      <w:r w:rsidRPr="00AA552A">
        <w:rPr>
          <w:rFonts w:cs="Cambria"/>
          <w:color w:val="000000"/>
          <w:spacing w:val="1"/>
        </w:rPr>
        <w:t>e</w:t>
      </w:r>
      <w:r w:rsidRPr="00AA552A">
        <w:rPr>
          <w:rFonts w:cs="Cambria"/>
          <w:color w:val="000000"/>
          <w:spacing w:val="-1"/>
        </w:rPr>
        <w:t>r</w:t>
      </w:r>
      <w:r w:rsidRPr="00AA552A">
        <w:rPr>
          <w:rFonts w:cs="Cambria"/>
          <w:color w:val="000000"/>
        </w:rPr>
        <w:t>s</w:t>
      </w:r>
      <w:r w:rsidRPr="00AA552A">
        <w:rPr>
          <w:rFonts w:cs="Cambria"/>
          <w:color w:val="000000"/>
          <w:spacing w:val="-4"/>
        </w:rPr>
        <w:t xml:space="preserve"> </w:t>
      </w:r>
      <w:r w:rsidRPr="00AA552A">
        <w:rPr>
          <w:rFonts w:cs="Cambria"/>
          <w:color w:val="000000"/>
        </w:rPr>
        <w:t>(</w:t>
      </w:r>
      <w:r w:rsidRPr="00AA552A">
        <w:rPr>
          <w:rFonts w:cs="Cambria"/>
          <w:color w:val="000000"/>
          <w:spacing w:val="2"/>
        </w:rPr>
        <w:t>8</w:t>
      </w:r>
      <w:r w:rsidRPr="00AA552A">
        <w:rPr>
          <w:rFonts w:cs="Cambria"/>
          <w:color w:val="000000"/>
          <w:spacing w:val="-1"/>
        </w:rPr>
        <w:t>2</w:t>
      </w:r>
      <w:r w:rsidRPr="00AA552A">
        <w:rPr>
          <w:rFonts w:cs="Cambria"/>
          <w:color w:val="000000"/>
        </w:rPr>
        <w:t>0</w:t>
      </w:r>
      <w:r w:rsidRPr="00AA552A">
        <w:rPr>
          <w:rFonts w:cs="Cambria"/>
          <w:color w:val="000000"/>
          <w:spacing w:val="-6"/>
        </w:rPr>
        <w:t xml:space="preserve"> </w:t>
      </w:r>
      <w:r w:rsidRPr="00AA552A">
        <w:rPr>
          <w:rFonts w:cs="Cambria"/>
          <w:color w:val="000000"/>
          <w:spacing w:val="-1"/>
        </w:rPr>
        <w:t>f</w:t>
      </w:r>
      <w:r w:rsidRPr="00AA552A">
        <w:rPr>
          <w:rFonts w:cs="Cambria"/>
          <w:color w:val="000000"/>
          <w:spacing w:val="1"/>
        </w:rPr>
        <w:t>ee</w:t>
      </w:r>
      <w:r w:rsidRPr="00AA552A">
        <w:rPr>
          <w:rFonts w:cs="Cambria"/>
          <w:color w:val="000000"/>
        </w:rPr>
        <w:t>t)</w:t>
      </w:r>
      <w:r w:rsidRPr="00AA552A">
        <w:rPr>
          <w:rFonts w:cs="Cambria"/>
          <w:color w:val="000000"/>
          <w:spacing w:val="-4"/>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2"/>
        </w:rPr>
        <w:t>4</w:t>
      </w:r>
      <w:r w:rsidRPr="00AA552A">
        <w:rPr>
          <w:rFonts w:cs="Cambria"/>
          <w:color w:val="000000"/>
          <w:spacing w:val="-1"/>
        </w:rPr>
        <w:t>7</w:t>
      </w:r>
      <w:r w:rsidRPr="00AA552A">
        <w:rPr>
          <w:rFonts w:cs="Cambria"/>
          <w:color w:val="000000"/>
        </w:rPr>
        <w:t>5</w:t>
      </w:r>
      <w:r w:rsidRPr="00AA552A">
        <w:rPr>
          <w:rFonts w:cs="Cambria"/>
          <w:color w:val="000000"/>
          <w:spacing w:val="-5"/>
        </w:rPr>
        <w:t xml:space="preserve"> </w:t>
      </w:r>
      <w:r w:rsidRPr="00AA552A">
        <w:rPr>
          <w:rFonts w:cs="Cambria"/>
          <w:color w:val="000000"/>
        </w:rPr>
        <w:t>m</w:t>
      </w:r>
      <w:r w:rsidRPr="00AA552A">
        <w:rPr>
          <w:rFonts w:cs="Cambria"/>
          <w:color w:val="000000"/>
          <w:spacing w:val="1"/>
        </w:rPr>
        <w:t>e</w:t>
      </w:r>
      <w:r w:rsidRPr="00AA552A">
        <w:rPr>
          <w:rFonts w:cs="Cambria"/>
          <w:color w:val="000000"/>
        </w:rPr>
        <w:t>t</w:t>
      </w:r>
      <w:r w:rsidRPr="00AA552A">
        <w:rPr>
          <w:rFonts w:cs="Cambria"/>
          <w:color w:val="000000"/>
          <w:spacing w:val="1"/>
        </w:rPr>
        <w:t>e</w:t>
      </w:r>
      <w:r w:rsidRPr="00AA552A">
        <w:rPr>
          <w:rFonts w:cs="Cambria"/>
          <w:color w:val="000000"/>
          <w:spacing w:val="2"/>
        </w:rPr>
        <w:t>r</w:t>
      </w:r>
      <w:r w:rsidRPr="00AA552A">
        <w:rPr>
          <w:rFonts w:cs="Cambria"/>
          <w:color w:val="000000"/>
        </w:rPr>
        <w:t>s</w:t>
      </w:r>
      <w:r w:rsidRPr="00AA552A">
        <w:rPr>
          <w:rFonts w:cs="Cambria"/>
          <w:color w:val="000000"/>
          <w:spacing w:val="-4"/>
        </w:rPr>
        <w:t xml:space="preserve"> </w:t>
      </w:r>
      <w:r w:rsidRPr="00AA552A">
        <w:rPr>
          <w:rFonts w:cs="Cambria"/>
          <w:color w:val="000000"/>
        </w:rPr>
        <w:t>(</w:t>
      </w:r>
      <w:r w:rsidRPr="00AA552A">
        <w:rPr>
          <w:rFonts w:cs="Cambria"/>
          <w:color w:val="000000"/>
          <w:spacing w:val="-1"/>
        </w:rPr>
        <w:t>1</w:t>
      </w:r>
      <w:r w:rsidRPr="00AA552A">
        <w:rPr>
          <w:rFonts w:cs="Cambria"/>
          <w:color w:val="000000"/>
          <w:spacing w:val="1"/>
        </w:rPr>
        <w:t>,</w:t>
      </w:r>
      <w:r w:rsidRPr="00AA552A">
        <w:rPr>
          <w:rFonts w:cs="Cambria"/>
          <w:color w:val="000000"/>
          <w:spacing w:val="-1"/>
        </w:rPr>
        <w:t>55</w:t>
      </w:r>
      <w:r w:rsidRPr="00AA552A">
        <w:rPr>
          <w:rFonts w:cs="Cambria"/>
          <w:color w:val="000000"/>
        </w:rPr>
        <w:t>8</w:t>
      </w:r>
      <w:r w:rsidRPr="00AA552A">
        <w:rPr>
          <w:rFonts w:cs="Cambria"/>
          <w:color w:val="000000"/>
          <w:spacing w:val="-7"/>
        </w:rPr>
        <w:t xml:space="preserve"> </w:t>
      </w:r>
      <w:r w:rsidRPr="00AA552A">
        <w:rPr>
          <w:rFonts w:cs="Cambria"/>
          <w:color w:val="000000"/>
          <w:spacing w:val="-1"/>
        </w:rPr>
        <w:t>f</w:t>
      </w:r>
      <w:r w:rsidRPr="00AA552A">
        <w:rPr>
          <w:rFonts w:cs="Cambria"/>
          <w:color w:val="000000"/>
          <w:spacing w:val="1"/>
        </w:rPr>
        <w:t>ee</w:t>
      </w:r>
      <w:r w:rsidRPr="00AA552A">
        <w:rPr>
          <w:rFonts w:cs="Cambria"/>
          <w:color w:val="000000"/>
        </w:rPr>
        <w:t>t)</w:t>
      </w:r>
      <w:r w:rsidRPr="00AA552A">
        <w:rPr>
          <w:rFonts w:cs="Cambria"/>
          <w:color w:val="000000"/>
          <w:spacing w:val="-4"/>
        </w:rPr>
        <w:t xml:space="preserve"> </w:t>
      </w:r>
      <w:r w:rsidRPr="00AA552A">
        <w:rPr>
          <w:rFonts w:cs="Cambria"/>
          <w:color w:val="000000"/>
          <w:spacing w:val="2"/>
        </w:rPr>
        <w:t>o</w:t>
      </w:r>
      <w:r w:rsidRPr="00AA552A">
        <w:rPr>
          <w:rFonts w:cs="Cambria"/>
          <w:color w:val="000000"/>
          <w:spacing w:val="-1"/>
        </w:rPr>
        <w:t>v</w:t>
      </w:r>
      <w:r w:rsidRPr="00AA552A">
        <w:rPr>
          <w:rFonts w:cs="Cambria"/>
          <w:color w:val="000000"/>
          <w:spacing w:val="1"/>
        </w:rPr>
        <w:t>e</w:t>
      </w:r>
      <w:r w:rsidRPr="00AA552A">
        <w:rPr>
          <w:rFonts w:cs="Cambria"/>
          <w:color w:val="000000"/>
        </w:rPr>
        <w:t>r</w:t>
      </w:r>
      <w:r w:rsidRPr="00AA552A">
        <w:rPr>
          <w:rFonts w:cs="Cambria"/>
          <w:color w:val="000000"/>
          <w:spacing w:val="-6"/>
        </w:rPr>
        <w:t xml:space="preserve"> </w:t>
      </w:r>
      <w:r w:rsidRPr="00AA552A">
        <w:rPr>
          <w:rFonts w:cs="Cambria"/>
          <w:color w:val="000000"/>
          <w:spacing w:val="1"/>
        </w:rPr>
        <w:t>b</w:t>
      </w:r>
      <w:r w:rsidRPr="00AA552A">
        <w:rPr>
          <w:rFonts w:cs="Cambria"/>
          <w:color w:val="000000"/>
        </w:rPr>
        <w:t>lu</w:t>
      </w:r>
      <w:r w:rsidRPr="00AA552A">
        <w:rPr>
          <w:rFonts w:cs="Cambria"/>
          <w:color w:val="000000"/>
          <w:spacing w:val="3"/>
        </w:rPr>
        <w:t>e</w:t>
      </w:r>
      <w:r w:rsidRPr="00AA552A">
        <w:rPr>
          <w:rFonts w:cs="Cambria"/>
          <w:color w:val="000000"/>
        </w:rPr>
        <w:t>/</w:t>
      </w:r>
      <w:r w:rsidRPr="00AA552A">
        <w:rPr>
          <w:rFonts w:cs="Cambria"/>
          <w:color w:val="000000"/>
          <w:spacing w:val="1"/>
        </w:rPr>
        <w:t>b</w:t>
      </w:r>
      <w:r w:rsidRPr="00AA552A">
        <w:rPr>
          <w:rFonts w:cs="Cambria"/>
          <w:color w:val="000000"/>
        </w:rPr>
        <w:t>lack</w:t>
      </w:r>
      <w:r w:rsidRPr="00AA552A">
        <w:rPr>
          <w:rFonts w:cs="Cambria"/>
          <w:color w:val="000000"/>
          <w:spacing w:val="-2"/>
        </w:rPr>
        <w:t xml:space="preserve"> </w:t>
      </w:r>
      <w:r w:rsidRPr="00AA552A">
        <w:rPr>
          <w:rFonts w:cs="Cambria"/>
          <w:color w:val="000000"/>
        </w:rPr>
        <w:t>mu</w:t>
      </w:r>
      <w:r w:rsidRPr="00AA552A">
        <w:rPr>
          <w:rFonts w:cs="Cambria"/>
          <w:color w:val="000000"/>
          <w:spacing w:val="-1"/>
        </w:rPr>
        <w:t>d</w:t>
      </w:r>
      <w:r w:rsidRPr="00AA552A">
        <w:rPr>
          <w:rFonts w:cs="Cambria"/>
          <w:color w:val="000000"/>
        </w:rPr>
        <w:t>,</w:t>
      </w:r>
      <w:r w:rsidRPr="00AA552A">
        <w:rPr>
          <w:rFonts w:cs="Cambria"/>
          <w:color w:val="000000"/>
          <w:spacing w:val="-4"/>
        </w:rPr>
        <w:t xml:space="preserve"> </w:t>
      </w:r>
      <w:r w:rsidRPr="00AA552A">
        <w:rPr>
          <w:rFonts w:cs="Cambria"/>
          <w:color w:val="000000"/>
        </w:rPr>
        <w:t>san</w:t>
      </w:r>
      <w:r w:rsidRPr="00AA552A">
        <w:rPr>
          <w:rFonts w:cs="Cambria"/>
          <w:color w:val="000000"/>
          <w:spacing w:val="-1"/>
        </w:rPr>
        <w:t>d</w:t>
      </w:r>
      <w:r w:rsidRPr="00AA552A">
        <w:rPr>
          <w:rFonts w:cs="Cambria"/>
          <w:color w:val="000000"/>
        </w:rPr>
        <w:t>,</w:t>
      </w:r>
      <w:r w:rsidRPr="00AA552A">
        <w:rPr>
          <w:rFonts w:cs="Cambria"/>
          <w:color w:val="000000"/>
          <w:spacing w:val="-1"/>
        </w:rPr>
        <w:t xml:space="preserve"> </w:t>
      </w:r>
      <w:r w:rsidRPr="00AA552A">
        <w:rPr>
          <w:rFonts w:cs="Cambria"/>
          <w:color w:val="000000"/>
        </w:rPr>
        <w:t>mu</w:t>
      </w:r>
      <w:r w:rsidRPr="00AA552A">
        <w:rPr>
          <w:rFonts w:cs="Cambria"/>
          <w:color w:val="000000"/>
          <w:spacing w:val="1"/>
        </w:rPr>
        <w:t>d</w:t>
      </w:r>
      <w:r w:rsidRPr="00AA552A">
        <w:rPr>
          <w:rFonts w:cs="Cambria"/>
          <w:color w:val="000000"/>
          <w:spacing w:val="-1"/>
        </w:rPr>
        <w:t>d</w:t>
      </w:r>
      <w:r>
        <w:rPr>
          <w:rFonts w:cs="Cambria"/>
          <w:color w:val="000000"/>
        </w:rPr>
        <w:t xml:space="preserve">y </w:t>
      </w:r>
      <w:r w:rsidRPr="00AA552A">
        <w:rPr>
          <w:rFonts w:cs="Cambria"/>
          <w:color w:val="000000"/>
        </w:rPr>
        <w:t>san</w:t>
      </w:r>
      <w:r w:rsidRPr="00AA552A">
        <w:rPr>
          <w:rFonts w:cs="Cambria"/>
          <w:color w:val="000000"/>
          <w:spacing w:val="-1"/>
        </w:rPr>
        <w:t>d</w:t>
      </w:r>
      <w:r w:rsidRPr="00AA552A">
        <w:rPr>
          <w:rFonts w:cs="Cambria"/>
          <w:color w:val="000000"/>
        </w:rPr>
        <w:t>,</w:t>
      </w:r>
      <w:r w:rsidRPr="00AA552A">
        <w:rPr>
          <w:rFonts w:cs="Cambria"/>
          <w:color w:val="000000"/>
          <w:spacing w:val="-1"/>
        </w:rPr>
        <w:t xml:space="preserve"> </w:t>
      </w:r>
      <w:r w:rsidRPr="00AA552A">
        <w:rPr>
          <w:rFonts w:cs="Cambria"/>
          <w:color w:val="000000"/>
        </w:rPr>
        <w:t>or</w:t>
      </w:r>
      <w:r w:rsidRPr="00AA552A">
        <w:rPr>
          <w:rFonts w:cs="Cambria"/>
          <w:color w:val="000000"/>
          <w:spacing w:val="-3"/>
        </w:rPr>
        <w:t xml:space="preserve"> </w:t>
      </w:r>
      <w:r w:rsidRPr="00AA552A">
        <w:rPr>
          <w:rFonts w:cs="Cambria"/>
          <w:color w:val="000000"/>
          <w:spacing w:val="-1"/>
        </w:rPr>
        <w:t>w</w:t>
      </w:r>
      <w:r w:rsidRPr="00AA552A">
        <w:rPr>
          <w:rFonts w:cs="Cambria"/>
          <w:color w:val="000000"/>
        </w:rPr>
        <w:t>h</w:t>
      </w:r>
      <w:r w:rsidRPr="00AA552A">
        <w:rPr>
          <w:rFonts w:cs="Cambria"/>
          <w:color w:val="000000"/>
          <w:spacing w:val="1"/>
        </w:rPr>
        <w:t>i</w:t>
      </w:r>
      <w:r w:rsidRPr="00AA552A">
        <w:rPr>
          <w:rFonts w:cs="Cambria"/>
          <w:color w:val="000000"/>
        </w:rPr>
        <w:t>te</w:t>
      </w:r>
      <w:r w:rsidRPr="00AA552A">
        <w:rPr>
          <w:rFonts w:cs="Cambria"/>
          <w:color w:val="000000"/>
          <w:spacing w:val="-2"/>
        </w:rPr>
        <w:t xml:space="preserve"> </w:t>
      </w:r>
      <w:r w:rsidRPr="00AA552A">
        <w:rPr>
          <w:rFonts w:cs="Cambria"/>
          <w:color w:val="000000"/>
        </w:rPr>
        <w:t>calca</w:t>
      </w:r>
      <w:r w:rsidRPr="00AA552A">
        <w:rPr>
          <w:rFonts w:cs="Cambria"/>
          <w:color w:val="000000"/>
          <w:spacing w:val="-1"/>
        </w:rPr>
        <w:t>r</w:t>
      </w:r>
      <w:r w:rsidRPr="00AA552A">
        <w:rPr>
          <w:rFonts w:cs="Cambria"/>
          <w:color w:val="000000"/>
          <w:spacing w:val="1"/>
        </w:rPr>
        <w:t>e</w:t>
      </w:r>
      <w:r w:rsidRPr="00AA552A">
        <w:rPr>
          <w:rFonts w:cs="Cambria"/>
          <w:color w:val="000000"/>
        </w:rPr>
        <w:t>o</w:t>
      </w:r>
      <w:r w:rsidRPr="00AA552A">
        <w:rPr>
          <w:rFonts w:cs="Cambria"/>
          <w:color w:val="000000"/>
          <w:spacing w:val="-1"/>
        </w:rPr>
        <w:t>u</w:t>
      </w:r>
      <w:r w:rsidRPr="00AA552A">
        <w:rPr>
          <w:rFonts w:cs="Cambria"/>
          <w:color w:val="000000"/>
        </w:rPr>
        <w:t>s</w:t>
      </w:r>
      <w:r w:rsidRPr="00AA552A">
        <w:rPr>
          <w:rFonts w:cs="Cambria"/>
          <w:color w:val="000000"/>
          <w:spacing w:val="-7"/>
        </w:rPr>
        <w:t xml:space="preserve"> </w:t>
      </w:r>
      <w:r w:rsidRPr="00AA552A">
        <w:rPr>
          <w:rFonts w:cs="Cambria"/>
          <w:color w:val="000000"/>
        </w:rPr>
        <w:t>m</w:t>
      </w:r>
      <w:r w:rsidRPr="00AA552A">
        <w:rPr>
          <w:rFonts w:cs="Cambria"/>
          <w:color w:val="000000"/>
          <w:spacing w:val="-1"/>
        </w:rPr>
        <w:t>ud</w:t>
      </w:r>
      <w:r w:rsidRPr="00AA552A">
        <w:rPr>
          <w:rFonts w:cs="Cambria"/>
          <w:color w:val="000000"/>
        </w:rPr>
        <w:t xml:space="preserve">. </w:t>
      </w:r>
      <w:r w:rsidRPr="00AA552A">
        <w:rPr>
          <w:rFonts w:cs="Cambria"/>
          <w:color w:val="000000"/>
          <w:spacing w:val="-1"/>
        </w:rPr>
        <w:t>I</w:t>
      </w:r>
      <w:r w:rsidRPr="00AA552A">
        <w:rPr>
          <w:rFonts w:cs="Cambria"/>
          <w:color w:val="000000"/>
        </w:rPr>
        <w:t>n a</w:t>
      </w:r>
      <w:r w:rsidRPr="00AA552A">
        <w:rPr>
          <w:rFonts w:cs="Cambria"/>
          <w:color w:val="000000"/>
          <w:spacing w:val="1"/>
        </w:rPr>
        <w:t>d</w:t>
      </w:r>
      <w:r w:rsidRPr="00AA552A">
        <w:rPr>
          <w:rFonts w:cs="Cambria"/>
          <w:color w:val="000000"/>
          <w:spacing w:val="-1"/>
        </w:rPr>
        <w:t>d</w:t>
      </w:r>
      <w:r w:rsidRPr="00AA552A">
        <w:rPr>
          <w:rFonts w:cs="Cambria"/>
          <w:color w:val="000000"/>
          <w:spacing w:val="1"/>
        </w:rPr>
        <w:t>i</w:t>
      </w:r>
      <w:r w:rsidRPr="00AA552A">
        <w:rPr>
          <w:rFonts w:cs="Cambria"/>
          <w:color w:val="000000"/>
        </w:rPr>
        <w:t>t</w:t>
      </w:r>
      <w:r w:rsidRPr="00AA552A">
        <w:rPr>
          <w:rFonts w:cs="Cambria"/>
          <w:color w:val="000000"/>
          <w:spacing w:val="1"/>
        </w:rPr>
        <w:t>i</w:t>
      </w:r>
      <w:r w:rsidRPr="00AA552A">
        <w:rPr>
          <w:rFonts w:cs="Cambria"/>
          <w:color w:val="000000"/>
        </w:rPr>
        <w:t>on</w:t>
      </w:r>
      <w:r>
        <w:rPr>
          <w:rFonts w:cs="Cambria"/>
          <w:color w:val="000000"/>
        </w:rPr>
        <w:t>,</w:t>
      </w:r>
      <w:r w:rsidRPr="00AA552A">
        <w:rPr>
          <w:rFonts w:cs="Cambria"/>
          <w:color w:val="000000"/>
          <w:spacing w:val="-5"/>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G</w:t>
      </w:r>
      <w:r w:rsidRPr="00AA552A">
        <w:rPr>
          <w:rFonts w:cs="Cambria"/>
          <w:color w:val="000000"/>
          <w:spacing w:val="-1"/>
        </w:rPr>
        <w:t>u</w:t>
      </w:r>
      <w:r w:rsidRPr="00AA552A">
        <w:rPr>
          <w:rFonts w:cs="Cambria"/>
          <w:color w:val="000000"/>
        </w:rPr>
        <w:t>lf</w:t>
      </w:r>
      <w:r w:rsidRPr="00AA552A">
        <w:rPr>
          <w:rFonts w:cs="Cambria"/>
          <w:color w:val="000000"/>
          <w:spacing w:val="-3"/>
        </w:rPr>
        <w:t xml:space="preserve"> </w:t>
      </w:r>
      <w:r w:rsidRPr="00AA552A">
        <w:rPr>
          <w:rFonts w:cs="Cambria"/>
          <w:color w:val="000000"/>
          <w:spacing w:val="1"/>
        </w:rPr>
        <w:t>S</w:t>
      </w:r>
      <w:r w:rsidRPr="00AA552A">
        <w:rPr>
          <w:rFonts w:cs="Cambria"/>
          <w:color w:val="000000"/>
        </w:rPr>
        <w:t>t</w:t>
      </w:r>
      <w:r w:rsidRPr="00AA552A">
        <w:rPr>
          <w:rFonts w:cs="Cambria"/>
          <w:color w:val="000000"/>
          <w:spacing w:val="-1"/>
        </w:rPr>
        <w:t>r</w:t>
      </w:r>
      <w:r w:rsidRPr="00AA552A">
        <w:rPr>
          <w:rFonts w:cs="Cambria"/>
          <w:color w:val="000000"/>
          <w:spacing w:val="1"/>
        </w:rPr>
        <w:t>e</w:t>
      </w:r>
      <w:r w:rsidRPr="00AA552A">
        <w:rPr>
          <w:rFonts w:cs="Cambria"/>
          <w:color w:val="000000"/>
        </w:rPr>
        <w:t>am</w:t>
      </w:r>
      <w:r w:rsidRPr="00AA552A">
        <w:rPr>
          <w:rFonts w:cs="Cambria"/>
          <w:color w:val="000000"/>
          <w:spacing w:val="-2"/>
        </w:rPr>
        <w:t xml:space="preserve"> </w:t>
      </w:r>
      <w:r w:rsidRPr="00AA552A">
        <w:rPr>
          <w:rFonts w:cs="Cambria"/>
          <w:color w:val="000000"/>
          <w:spacing w:val="1"/>
        </w:rPr>
        <w:t>i</w:t>
      </w:r>
      <w:r w:rsidRPr="00AA552A">
        <w:rPr>
          <w:rFonts w:cs="Cambria"/>
          <w:color w:val="000000"/>
        </w:rPr>
        <w:t>s</w:t>
      </w:r>
      <w:r w:rsidRPr="00AA552A">
        <w:rPr>
          <w:rFonts w:cs="Cambria"/>
          <w:color w:val="000000"/>
          <w:spacing w:val="-2"/>
        </w:rPr>
        <w:t xml:space="preserve"> </w:t>
      </w:r>
      <w:r w:rsidRPr="00AA552A">
        <w:rPr>
          <w:rFonts w:cs="Cambria"/>
          <w:color w:val="000000"/>
        </w:rPr>
        <w:t xml:space="preserve">an </w:t>
      </w: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n</w:t>
      </w:r>
      <w:r w:rsidRPr="00AA552A">
        <w:rPr>
          <w:rFonts w:cs="Cambria"/>
          <w:color w:val="000000"/>
          <w:spacing w:val="-2"/>
        </w:rPr>
        <w:t>t</w:t>
      </w:r>
      <w:r w:rsidRPr="00AA552A">
        <w:rPr>
          <w:rFonts w:cs="Cambria"/>
          <w:color w:val="000000"/>
          <w:spacing w:val="1"/>
        </w:rPr>
        <w:t>i</w:t>
      </w:r>
      <w:r w:rsidRPr="00AA552A">
        <w:rPr>
          <w:rFonts w:cs="Cambria"/>
          <w:color w:val="000000"/>
        </w:rPr>
        <w:t>al</w:t>
      </w:r>
      <w:r w:rsidRPr="00AA552A">
        <w:rPr>
          <w:rFonts w:cs="Cambria"/>
          <w:color w:val="000000"/>
          <w:spacing w:val="-5"/>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ha</w:t>
      </w:r>
      <w:r w:rsidRPr="00AA552A">
        <w:rPr>
          <w:rFonts w:cs="Cambria"/>
          <w:color w:val="000000"/>
          <w:spacing w:val="1"/>
        </w:rPr>
        <w:t>bi</w:t>
      </w:r>
      <w:r w:rsidRPr="00AA552A">
        <w:rPr>
          <w:rFonts w:cs="Cambria"/>
          <w:color w:val="000000"/>
        </w:rPr>
        <w:t>tat</w:t>
      </w:r>
      <w:r w:rsidRPr="00AA552A">
        <w:rPr>
          <w:rFonts w:cs="Cambria"/>
          <w:color w:val="000000"/>
          <w:spacing w:val="-2"/>
        </w:rPr>
        <w:t xml:space="preserve"> </w:t>
      </w:r>
      <w:r w:rsidRPr="00AA552A">
        <w:rPr>
          <w:rFonts w:cs="Cambria"/>
          <w:color w:val="000000"/>
          <w:spacing w:val="1"/>
        </w:rPr>
        <w:t>be</w:t>
      </w:r>
      <w:r w:rsidRPr="00AA552A">
        <w:rPr>
          <w:rFonts w:cs="Cambria"/>
          <w:color w:val="000000"/>
        </w:rPr>
        <w:t>ca</w:t>
      </w:r>
      <w:r w:rsidRPr="00AA552A">
        <w:rPr>
          <w:rFonts w:cs="Cambria"/>
          <w:color w:val="000000"/>
          <w:spacing w:val="-1"/>
        </w:rPr>
        <w:t>u</w:t>
      </w:r>
      <w:r w:rsidRPr="00AA552A">
        <w:rPr>
          <w:rFonts w:cs="Cambria"/>
          <w:color w:val="000000"/>
        </w:rPr>
        <w:t>se</w:t>
      </w:r>
      <w:r w:rsidRPr="00AA552A">
        <w:rPr>
          <w:rFonts w:cs="Cambria"/>
          <w:color w:val="000000"/>
          <w:spacing w:val="-6"/>
        </w:rPr>
        <w:t xml:space="preserve"> </w:t>
      </w:r>
      <w:r w:rsidRPr="00AA552A">
        <w:rPr>
          <w:rFonts w:cs="Cambria"/>
          <w:color w:val="000000"/>
          <w:spacing w:val="-2"/>
        </w:rPr>
        <w:t>i</w:t>
      </w:r>
      <w:r>
        <w:rPr>
          <w:rFonts w:cs="Cambria"/>
          <w:color w:val="000000"/>
        </w:rPr>
        <w:t xml:space="preserve">t </w:t>
      </w:r>
      <w:r w:rsidRPr="00AA552A">
        <w:rPr>
          <w:rFonts w:cs="Cambria"/>
          <w:color w:val="000000"/>
          <w:spacing w:val="1"/>
        </w:rPr>
        <w:t>p</w:t>
      </w:r>
      <w:r w:rsidRPr="00AA552A">
        <w:rPr>
          <w:rFonts w:cs="Cambria"/>
          <w:color w:val="000000"/>
          <w:spacing w:val="-1"/>
        </w:rPr>
        <w:t>r</w:t>
      </w:r>
      <w:r w:rsidRPr="00AA552A">
        <w:rPr>
          <w:rFonts w:cs="Cambria"/>
          <w:color w:val="000000"/>
        </w:rPr>
        <w:t>o</w:t>
      </w:r>
      <w:r w:rsidRPr="00AA552A">
        <w:rPr>
          <w:rFonts w:cs="Cambria"/>
          <w:color w:val="000000"/>
          <w:spacing w:val="-1"/>
        </w:rPr>
        <w:t>v</w:t>
      </w:r>
      <w:r w:rsidRPr="00AA552A">
        <w:rPr>
          <w:rFonts w:cs="Cambria"/>
          <w:color w:val="000000"/>
          <w:spacing w:val="1"/>
        </w:rPr>
        <w:t>i</w:t>
      </w:r>
      <w:r w:rsidRPr="00AA552A">
        <w:rPr>
          <w:rFonts w:cs="Cambria"/>
          <w:color w:val="000000"/>
          <w:spacing w:val="-1"/>
        </w:rPr>
        <w:t>d</w:t>
      </w:r>
      <w:r w:rsidRPr="00AA552A">
        <w:rPr>
          <w:rFonts w:cs="Cambria"/>
          <w:color w:val="000000"/>
          <w:spacing w:val="1"/>
        </w:rPr>
        <w:t>e</w:t>
      </w:r>
      <w:r w:rsidRPr="00AA552A">
        <w:rPr>
          <w:rFonts w:cs="Cambria"/>
          <w:color w:val="000000"/>
        </w:rPr>
        <w:t>s</w:t>
      </w:r>
      <w:r w:rsidRPr="00AA552A">
        <w:rPr>
          <w:rFonts w:cs="Cambria"/>
          <w:color w:val="000000"/>
          <w:spacing w:val="-8"/>
        </w:rPr>
        <w:t xml:space="preserve"> </w:t>
      </w:r>
      <w:r w:rsidRPr="00AA552A">
        <w:rPr>
          <w:rFonts w:cs="Cambria"/>
          <w:color w:val="000000"/>
        </w:rPr>
        <w:t>a m</w:t>
      </w:r>
      <w:r w:rsidRPr="00AA552A">
        <w:rPr>
          <w:rFonts w:cs="Cambria"/>
          <w:color w:val="000000"/>
          <w:spacing w:val="1"/>
        </w:rPr>
        <w:t>e</w:t>
      </w:r>
      <w:r w:rsidRPr="00AA552A">
        <w:rPr>
          <w:rFonts w:cs="Cambria"/>
          <w:color w:val="000000"/>
        </w:rPr>
        <w:t>chan</w:t>
      </w:r>
      <w:r w:rsidRPr="00AA552A">
        <w:rPr>
          <w:rFonts w:cs="Cambria"/>
          <w:color w:val="000000"/>
          <w:spacing w:val="1"/>
        </w:rPr>
        <w:t>i</w:t>
      </w:r>
      <w:r w:rsidRPr="00AA552A">
        <w:rPr>
          <w:rFonts w:cs="Cambria"/>
          <w:color w:val="000000"/>
        </w:rPr>
        <w:t>sm</w:t>
      </w:r>
      <w:r w:rsidRPr="00AA552A">
        <w:rPr>
          <w:rFonts w:cs="Cambria"/>
          <w:color w:val="000000"/>
          <w:spacing w:val="-5"/>
        </w:rPr>
        <w:t xml:space="preserve"> </w:t>
      </w:r>
      <w:r w:rsidRPr="00AA552A">
        <w:rPr>
          <w:rFonts w:cs="Cambria"/>
          <w:color w:val="000000"/>
        </w:rPr>
        <w:t>to</w:t>
      </w:r>
      <w:r w:rsidRPr="00AA552A">
        <w:rPr>
          <w:rFonts w:cs="Cambria"/>
          <w:color w:val="000000"/>
          <w:spacing w:val="-1"/>
        </w:rPr>
        <w:t xml:space="preserve"> d</w:t>
      </w:r>
      <w:r w:rsidRPr="00AA552A">
        <w:rPr>
          <w:rFonts w:cs="Cambria"/>
          <w:color w:val="000000"/>
          <w:spacing w:val="1"/>
        </w:rPr>
        <w:t>i</w:t>
      </w:r>
      <w:r w:rsidRPr="00AA552A">
        <w:rPr>
          <w:rFonts w:cs="Cambria"/>
          <w:color w:val="000000"/>
        </w:rPr>
        <w:t>s</w:t>
      </w:r>
      <w:r w:rsidRPr="00AA552A">
        <w:rPr>
          <w:rFonts w:cs="Cambria"/>
          <w:color w:val="000000"/>
          <w:spacing w:val="1"/>
        </w:rPr>
        <w:t>pe</w:t>
      </w:r>
      <w:r w:rsidRPr="00AA552A">
        <w:rPr>
          <w:rFonts w:cs="Cambria"/>
          <w:color w:val="000000"/>
          <w:spacing w:val="-1"/>
        </w:rPr>
        <w:t>r</w:t>
      </w:r>
      <w:r w:rsidRPr="00AA552A">
        <w:rPr>
          <w:rFonts w:cs="Cambria"/>
          <w:color w:val="000000"/>
        </w:rPr>
        <w:t>se</w:t>
      </w:r>
      <w:r w:rsidRPr="00AA552A">
        <w:rPr>
          <w:rFonts w:cs="Cambria"/>
          <w:color w:val="000000"/>
          <w:spacing w:val="-6"/>
        </w:rPr>
        <w:t xml:space="preserve"> </w:t>
      </w:r>
      <w:r w:rsidRPr="00AA552A">
        <w:rPr>
          <w:rFonts w:cs="Cambria"/>
          <w:color w:val="000000"/>
          <w:spacing w:val="-1"/>
        </w:rPr>
        <w:t>r</w:t>
      </w:r>
      <w:r w:rsidRPr="00AA552A">
        <w:rPr>
          <w:rFonts w:cs="Cambria"/>
          <w:color w:val="000000"/>
        </w:rPr>
        <w:t>o</w:t>
      </w:r>
      <w:r w:rsidRPr="00AA552A">
        <w:rPr>
          <w:rFonts w:cs="Cambria"/>
          <w:color w:val="000000"/>
          <w:spacing w:val="-1"/>
        </w:rPr>
        <w:t>y</w:t>
      </w:r>
      <w:r w:rsidRPr="00AA552A">
        <w:rPr>
          <w:rFonts w:cs="Cambria"/>
          <w:color w:val="000000"/>
        </w:rPr>
        <w:t>al</w:t>
      </w:r>
      <w:r w:rsidRPr="00AA552A">
        <w:rPr>
          <w:rFonts w:cs="Cambria"/>
          <w:color w:val="000000"/>
          <w:spacing w:val="-3"/>
        </w:rPr>
        <w:t xml:space="preserve"> </w:t>
      </w:r>
      <w:r w:rsidRPr="00AA552A">
        <w:rPr>
          <w:rFonts w:cs="Cambria"/>
          <w:color w:val="000000"/>
          <w:spacing w:val="-1"/>
        </w:rPr>
        <w:t>r</w:t>
      </w:r>
      <w:r w:rsidRPr="00AA552A">
        <w:rPr>
          <w:rFonts w:cs="Cambria"/>
          <w:color w:val="000000"/>
          <w:spacing w:val="1"/>
        </w:rPr>
        <w:t>e</w:t>
      </w:r>
      <w:r w:rsidRPr="00AA552A">
        <w:rPr>
          <w:rFonts w:cs="Cambria"/>
          <w:color w:val="000000"/>
        </w:rPr>
        <w:t>d</w:t>
      </w:r>
      <w:r w:rsidRPr="00AA552A">
        <w:rPr>
          <w:rFonts w:cs="Cambria"/>
          <w:color w:val="000000"/>
          <w:spacing w:val="-4"/>
        </w:rPr>
        <w:t xml:space="preserve"> </w:t>
      </w:r>
      <w:r w:rsidRPr="00AA552A">
        <w:rPr>
          <w:rFonts w:cs="Cambria"/>
          <w:color w:val="000000"/>
          <w:spacing w:val="2"/>
        </w:rPr>
        <w:t>s</w:t>
      </w:r>
      <w:r w:rsidRPr="00AA552A">
        <w:rPr>
          <w:rFonts w:cs="Cambria"/>
          <w:color w:val="000000"/>
        </w:rPr>
        <w:t>h</w:t>
      </w:r>
      <w:r w:rsidRPr="00AA552A">
        <w:rPr>
          <w:rFonts w:cs="Cambria"/>
          <w:color w:val="000000"/>
          <w:spacing w:val="2"/>
        </w:rPr>
        <w:t>r</w:t>
      </w:r>
      <w:r w:rsidRPr="00AA552A">
        <w:rPr>
          <w:rFonts w:cs="Cambria"/>
          <w:color w:val="000000"/>
          <w:spacing w:val="1"/>
        </w:rPr>
        <w:t>i</w:t>
      </w:r>
      <w:r w:rsidRPr="00AA552A">
        <w:rPr>
          <w:rFonts w:cs="Cambria"/>
          <w:color w:val="000000"/>
        </w:rPr>
        <w:t>mp</w:t>
      </w:r>
      <w:r w:rsidRPr="00AA552A">
        <w:rPr>
          <w:rFonts w:cs="Cambria"/>
          <w:color w:val="000000"/>
          <w:spacing w:val="-3"/>
        </w:rPr>
        <w:t xml:space="preserve"> </w:t>
      </w:r>
      <w:r w:rsidRPr="00AA552A">
        <w:rPr>
          <w:rFonts w:cs="Cambria"/>
          <w:color w:val="000000"/>
        </w:rPr>
        <w:t>la</w:t>
      </w:r>
      <w:r w:rsidRPr="00AA552A">
        <w:rPr>
          <w:rFonts w:cs="Cambria"/>
          <w:color w:val="000000"/>
          <w:spacing w:val="-1"/>
        </w:rPr>
        <w:t>rv</w:t>
      </w:r>
      <w:r w:rsidRPr="00AA552A">
        <w:rPr>
          <w:rFonts w:cs="Cambria"/>
          <w:color w:val="000000"/>
        </w:rPr>
        <w:t>a</w:t>
      </w:r>
      <w:r w:rsidRPr="00AA552A">
        <w:rPr>
          <w:rFonts w:cs="Cambria"/>
          <w:color w:val="000000"/>
          <w:spacing w:val="1"/>
        </w:rPr>
        <w:t>e</w:t>
      </w:r>
      <w:r w:rsidRPr="00AA552A">
        <w:rPr>
          <w:rFonts w:cs="Cambria"/>
          <w:color w:val="000000"/>
        </w:rPr>
        <w:t>.</w:t>
      </w:r>
    </w:p>
    <w:p w14:paraId="22C130BC" w14:textId="77777777" w:rsidR="00DC4922" w:rsidRPr="00AA552A" w:rsidRDefault="00DC4922" w:rsidP="00DC4922">
      <w:pPr>
        <w:rPr>
          <w:rFonts w:cs="Cambria"/>
          <w:color w:val="000000"/>
          <w:sz w:val="28"/>
        </w:rPr>
      </w:pPr>
    </w:p>
    <w:p w14:paraId="68776CD8" w14:textId="77777777" w:rsidR="00DC4922" w:rsidRPr="00AA552A" w:rsidRDefault="00DC4922" w:rsidP="00640526">
      <w:pPr>
        <w:ind w:firstLine="360"/>
        <w:rPr>
          <w:rFonts w:cs="Cambria"/>
          <w:color w:val="000000"/>
        </w:rPr>
      </w:pPr>
      <w:r w:rsidRPr="00AA552A">
        <w:rPr>
          <w:rFonts w:cs="Cambria"/>
          <w:color w:val="000000"/>
          <w:spacing w:val="-1"/>
        </w:rPr>
        <w:t>Ar</w:t>
      </w:r>
      <w:r w:rsidRPr="00AA552A">
        <w:rPr>
          <w:rFonts w:cs="Cambria"/>
          <w:color w:val="000000"/>
          <w:spacing w:val="1"/>
        </w:rPr>
        <w:t>e</w:t>
      </w:r>
      <w:r w:rsidRPr="00AA552A">
        <w:rPr>
          <w:rFonts w:cs="Cambria"/>
          <w:color w:val="000000"/>
        </w:rPr>
        <w:t>as</w:t>
      </w:r>
      <w:r w:rsidRPr="00AA552A">
        <w:rPr>
          <w:rFonts w:cs="Cambria"/>
          <w:color w:val="000000"/>
          <w:spacing w:val="-3"/>
        </w:rPr>
        <w:t xml:space="preserve"> </w:t>
      </w:r>
      <w:r w:rsidRPr="00AA552A">
        <w:rPr>
          <w:rFonts w:cs="Cambria"/>
          <w:color w:val="000000"/>
          <w:spacing w:val="-1"/>
        </w:rPr>
        <w:t>w</w:t>
      </w:r>
      <w:r w:rsidRPr="00AA552A">
        <w:rPr>
          <w:rFonts w:cs="Cambria"/>
          <w:color w:val="000000"/>
        </w:rPr>
        <w:t>h</w:t>
      </w:r>
      <w:r w:rsidRPr="00AA552A">
        <w:rPr>
          <w:rFonts w:cs="Cambria"/>
          <w:color w:val="000000"/>
          <w:spacing w:val="1"/>
        </w:rPr>
        <w:t>i</w:t>
      </w:r>
      <w:r w:rsidRPr="00AA552A">
        <w:rPr>
          <w:rFonts w:cs="Cambria"/>
          <w:color w:val="000000"/>
        </w:rPr>
        <w:t>ch</w:t>
      </w:r>
      <w:r w:rsidRPr="00AA552A">
        <w:rPr>
          <w:rFonts w:cs="Cambria"/>
          <w:color w:val="000000"/>
          <w:spacing w:val="-4"/>
        </w:rPr>
        <w:t xml:space="preserve"> </w:t>
      </w:r>
      <w:r w:rsidRPr="00AA552A">
        <w:rPr>
          <w:rFonts w:cs="Cambria"/>
          <w:color w:val="000000"/>
        </w:rPr>
        <w:t>m</w:t>
      </w:r>
      <w:r w:rsidRPr="00AA552A">
        <w:rPr>
          <w:rFonts w:cs="Cambria"/>
          <w:color w:val="000000"/>
          <w:spacing w:val="1"/>
        </w:rPr>
        <w:t>ee</w:t>
      </w:r>
      <w:r w:rsidRPr="00AA552A">
        <w:rPr>
          <w:rFonts w:cs="Cambria"/>
          <w:color w:val="000000"/>
        </w:rPr>
        <w:t>t</w:t>
      </w:r>
      <w:r w:rsidRPr="00AA552A">
        <w:rPr>
          <w:rFonts w:cs="Cambria"/>
          <w:color w:val="000000"/>
          <w:spacing w:val="-2"/>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2"/>
        </w:rPr>
        <w:t>c</w:t>
      </w:r>
      <w:r w:rsidRPr="00AA552A">
        <w:rPr>
          <w:rFonts w:cs="Cambria"/>
          <w:color w:val="000000"/>
          <w:spacing w:val="-1"/>
        </w:rPr>
        <w:t>r</w:t>
      </w:r>
      <w:r w:rsidRPr="00AA552A">
        <w:rPr>
          <w:rFonts w:cs="Cambria"/>
          <w:color w:val="000000"/>
          <w:spacing w:val="1"/>
        </w:rPr>
        <w:t>i</w:t>
      </w:r>
      <w:r w:rsidRPr="00AA552A">
        <w:rPr>
          <w:rFonts w:cs="Cambria"/>
          <w:color w:val="000000"/>
        </w:rPr>
        <w:t>t</w:t>
      </w:r>
      <w:r w:rsidRPr="00AA552A">
        <w:rPr>
          <w:rFonts w:cs="Cambria"/>
          <w:color w:val="000000"/>
          <w:spacing w:val="1"/>
        </w:rPr>
        <w:t>e</w:t>
      </w:r>
      <w:r w:rsidRPr="00AA552A">
        <w:rPr>
          <w:rFonts w:cs="Cambria"/>
          <w:color w:val="000000"/>
          <w:spacing w:val="-1"/>
        </w:rPr>
        <w:t>r</w:t>
      </w:r>
      <w:r w:rsidRPr="00AA552A">
        <w:rPr>
          <w:rFonts w:cs="Cambria"/>
          <w:color w:val="000000"/>
          <w:spacing w:val="1"/>
        </w:rPr>
        <w:t>i</w:t>
      </w:r>
      <w:r w:rsidRPr="00AA552A">
        <w:rPr>
          <w:rFonts w:cs="Cambria"/>
          <w:color w:val="000000"/>
        </w:rPr>
        <w:t>a</w:t>
      </w:r>
      <w:r w:rsidRPr="00AA552A">
        <w:rPr>
          <w:rFonts w:cs="Cambria"/>
          <w:color w:val="000000"/>
          <w:spacing w:val="-6"/>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spacing w:val="1"/>
        </w:rPr>
        <w:t>EFH</w:t>
      </w:r>
      <w:r w:rsidRPr="00AA552A">
        <w:rPr>
          <w:rFonts w:cs="Cambria"/>
          <w:color w:val="000000"/>
        </w:rPr>
        <w:t>-</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s</w:t>
      </w:r>
      <w:r w:rsidRPr="00AA552A">
        <w:rPr>
          <w:rFonts w:cs="Cambria"/>
          <w:color w:val="000000"/>
          <w:spacing w:val="-8"/>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spacing w:val="1"/>
        </w:rPr>
        <w:t>pe</w:t>
      </w:r>
      <w:r w:rsidRPr="00AA552A">
        <w:rPr>
          <w:rFonts w:cs="Cambria"/>
          <w:color w:val="000000"/>
        </w:rPr>
        <w:t>na</w:t>
      </w:r>
      <w:r w:rsidRPr="00AA552A">
        <w:rPr>
          <w:rFonts w:cs="Cambria"/>
          <w:color w:val="000000"/>
          <w:spacing w:val="1"/>
        </w:rPr>
        <w:t>ei</w:t>
      </w:r>
      <w:r w:rsidRPr="00AA552A">
        <w:rPr>
          <w:rFonts w:cs="Cambria"/>
          <w:color w:val="000000"/>
        </w:rPr>
        <w:t>d</w:t>
      </w:r>
      <w:r w:rsidRPr="00AA552A">
        <w:rPr>
          <w:rFonts w:cs="Cambria"/>
          <w:color w:val="000000"/>
          <w:spacing w:val="-5"/>
        </w:rPr>
        <w:t xml:space="preserve"> </w:t>
      </w:r>
      <w:r w:rsidRPr="00AA552A">
        <w:rPr>
          <w:rFonts w:cs="Cambria"/>
          <w:color w:val="000000"/>
        </w:rPr>
        <w:t>sh</w:t>
      </w:r>
      <w:r w:rsidRPr="00AA552A">
        <w:rPr>
          <w:rFonts w:cs="Cambria"/>
          <w:color w:val="000000"/>
          <w:spacing w:val="-1"/>
        </w:rPr>
        <w:t>r</w:t>
      </w:r>
      <w:r w:rsidRPr="00AA552A">
        <w:rPr>
          <w:rFonts w:cs="Cambria"/>
          <w:color w:val="000000"/>
          <w:spacing w:val="1"/>
        </w:rPr>
        <w:t>i</w:t>
      </w:r>
      <w:r w:rsidRPr="00AA552A">
        <w:rPr>
          <w:rFonts w:cs="Cambria"/>
          <w:color w:val="000000"/>
        </w:rPr>
        <w:t>mp</w:t>
      </w:r>
      <w:r w:rsidRPr="00AA552A">
        <w:rPr>
          <w:rFonts w:cs="Cambria"/>
          <w:color w:val="000000"/>
          <w:spacing w:val="-3"/>
        </w:rPr>
        <w:t xml:space="preserve"> </w:t>
      </w:r>
      <w:r w:rsidRPr="00AA552A">
        <w:rPr>
          <w:rFonts w:cs="Cambria"/>
          <w:color w:val="000000"/>
          <w:spacing w:val="1"/>
        </w:rPr>
        <w:t>i</w:t>
      </w:r>
      <w:r w:rsidRPr="00AA552A">
        <w:rPr>
          <w:rFonts w:cs="Cambria"/>
          <w:color w:val="000000"/>
        </w:rPr>
        <w:t>ncl</w:t>
      </w:r>
      <w:r w:rsidRPr="00AA552A">
        <w:rPr>
          <w:rFonts w:cs="Cambria"/>
          <w:color w:val="000000"/>
          <w:spacing w:val="-1"/>
        </w:rPr>
        <w:t>ud</w:t>
      </w:r>
      <w:r w:rsidRPr="00AA552A">
        <w:rPr>
          <w:rFonts w:cs="Cambria"/>
          <w:color w:val="000000"/>
        </w:rPr>
        <w:t>e</w:t>
      </w:r>
      <w:r w:rsidRPr="00AA552A">
        <w:rPr>
          <w:rFonts w:cs="Cambria"/>
          <w:color w:val="000000"/>
          <w:spacing w:val="-3"/>
        </w:rPr>
        <w:t xml:space="preserve"> </w:t>
      </w:r>
      <w:r w:rsidRPr="00AA552A">
        <w:rPr>
          <w:rFonts w:cs="Cambria"/>
          <w:color w:val="000000"/>
        </w:rPr>
        <w:t>all coastal</w:t>
      </w:r>
      <w:r w:rsidRPr="00AA552A">
        <w:rPr>
          <w:rFonts w:cs="Cambria"/>
          <w:color w:val="000000"/>
          <w:spacing w:val="-3"/>
        </w:rPr>
        <w:t xml:space="preserve"> </w:t>
      </w:r>
      <w:r w:rsidRPr="00AA552A">
        <w:rPr>
          <w:rFonts w:cs="Cambria"/>
          <w:color w:val="000000"/>
          <w:spacing w:val="1"/>
        </w:rPr>
        <w:t>i</w:t>
      </w:r>
      <w:r w:rsidRPr="00AA552A">
        <w:rPr>
          <w:rFonts w:cs="Cambria"/>
          <w:color w:val="000000"/>
        </w:rPr>
        <w:t>nl</w:t>
      </w:r>
      <w:r w:rsidRPr="00AA552A">
        <w:rPr>
          <w:rFonts w:cs="Cambria"/>
          <w:color w:val="000000"/>
          <w:spacing w:val="1"/>
        </w:rPr>
        <w:t>e</w:t>
      </w:r>
      <w:r w:rsidRPr="00AA552A">
        <w:rPr>
          <w:rFonts w:cs="Cambria"/>
          <w:color w:val="000000"/>
        </w:rPr>
        <w:t>ts,</w:t>
      </w:r>
      <w:r w:rsidRPr="00AA552A">
        <w:rPr>
          <w:rFonts w:cs="Cambria"/>
          <w:color w:val="000000"/>
          <w:spacing w:val="-2"/>
        </w:rPr>
        <w:t xml:space="preserve"> </w:t>
      </w:r>
      <w:r w:rsidRPr="00AA552A">
        <w:rPr>
          <w:rFonts w:cs="Cambria"/>
          <w:color w:val="000000"/>
        </w:rPr>
        <w:t>all stat</w:t>
      </w:r>
      <w:r w:rsidRPr="00AA552A">
        <w:rPr>
          <w:rFonts w:cs="Cambria"/>
          <w:color w:val="000000"/>
          <w:spacing w:val="1"/>
        </w:rPr>
        <w:t>e</w:t>
      </w:r>
      <w:r w:rsidRPr="00AA552A">
        <w:rPr>
          <w:rFonts w:cs="Cambria"/>
          <w:color w:val="000000"/>
        </w:rPr>
        <w:t>-</w:t>
      </w:r>
      <w:r w:rsidRPr="00AA552A">
        <w:rPr>
          <w:rFonts w:cs="Cambria"/>
          <w:color w:val="000000"/>
          <w:spacing w:val="-1"/>
        </w:rPr>
        <w:t>d</w:t>
      </w:r>
      <w:r w:rsidRPr="00AA552A">
        <w:rPr>
          <w:rFonts w:cs="Cambria"/>
          <w:color w:val="000000"/>
          <w:spacing w:val="1"/>
        </w:rPr>
        <w:t>e</w:t>
      </w:r>
      <w:r w:rsidRPr="00AA552A">
        <w:rPr>
          <w:rFonts w:cs="Cambria"/>
          <w:color w:val="000000"/>
        </w:rPr>
        <w:t>s</w:t>
      </w:r>
      <w:r w:rsidRPr="00AA552A">
        <w:rPr>
          <w:rFonts w:cs="Cambria"/>
          <w:color w:val="000000"/>
          <w:spacing w:val="1"/>
        </w:rPr>
        <w:t>i</w:t>
      </w:r>
      <w:r w:rsidRPr="00AA552A">
        <w:rPr>
          <w:rFonts w:cs="Cambria"/>
          <w:color w:val="000000"/>
          <w:spacing w:val="-1"/>
        </w:rPr>
        <w:t>g</w:t>
      </w:r>
      <w:r w:rsidRPr="00AA552A">
        <w:rPr>
          <w:rFonts w:cs="Cambria"/>
          <w:color w:val="000000"/>
        </w:rPr>
        <w:t>nat</w:t>
      </w:r>
      <w:r w:rsidRPr="00AA552A">
        <w:rPr>
          <w:rFonts w:cs="Cambria"/>
          <w:color w:val="000000"/>
          <w:spacing w:val="1"/>
        </w:rPr>
        <w:t>e</w:t>
      </w:r>
      <w:r w:rsidRPr="00AA552A">
        <w:rPr>
          <w:rFonts w:cs="Cambria"/>
          <w:color w:val="000000"/>
        </w:rPr>
        <w:t>d</w:t>
      </w:r>
      <w:r w:rsidRPr="00AA552A">
        <w:rPr>
          <w:rFonts w:cs="Cambria"/>
          <w:color w:val="000000"/>
          <w:spacing w:val="-10"/>
        </w:rPr>
        <w:t xml:space="preserve"> </w:t>
      </w:r>
      <w:r w:rsidRPr="00AA552A">
        <w:rPr>
          <w:rFonts w:cs="Cambria"/>
          <w:color w:val="000000"/>
        </w:rPr>
        <w:t>n</w:t>
      </w:r>
      <w:r w:rsidRPr="00AA552A">
        <w:rPr>
          <w:rFonts w:cs="Cambria"/>
          <w:color w:val="000000"/>
          <w:spacing w:val="-1"/>
        </w:rPr>
        <w:t>ur</w:t>
      </w:r>
      <w:r w:rsidRPr="00AA552A">
        <w:rPr>
          <w:rFonts w:cs="Cambria"/>
          <w:color w:val="000000"/>
        </w:rPr>
        <w:t>s</w:t>
      </w:r>
      <w:r w:rsidRPr="00AA552A">
        <w:rPr>
          <w:rFonts w:cs="Cambria"/>
          <w:color w:val="000000"/>
          <w:spacing w:val="1"/>
        </w:rPr>
        <w:t>e</w:t>
      </w:r>
      <w:r w:rsidRPr="00AA552A">
        <w:rPr>
          <w:rFonts w:cs="Cambria"/>
          <w:color w:val="000000"/>
          <w:spacing w:val="-1"/>
        </w:rPr>
        <w:t>r</w:t>
      </w:r>
      <w:r w:rsidRPr="00AA552A">
        <w:rPr>
          <w:rFonts w:cs="Cambria"/>
          <w:color w:val="000000"/>
        </w:rPr>
        <w:t>y</w:t>
      </w:r>
      <w:r w:rsidRPr="00AA552A">
        <w:rPr>
          <w:rFonts w:cs="Cambria"/>
          <w:color w:val="000000"/>
          <w:spacing w:val="-6"/>
        </w:rPr>
        <w:t xml:space="preserve"> </w:t>
      </w:r>
      <w:r w:rsidRPr="00AA552A">
        <w:rPr>
          <w:rFonts w:cs="Cambria"/>
          <w:color w:val="000000"/>
        </w:rPr>
        <w:t>ha</w:t>
      </w:r>
      <w:r w:rsidRPr="00AA552A">
        <w:rPr>
          <w:rFonts w:cs="Cambria"/>
          <w:color w:val="000000"/>
          <w:spacing w:val="1"/>
        </w:rPr>
        <w:t>bi</w:t>
      </w:r>
      <w:r w:rsidRPr="00AA552A">
        <w:rPr>
          <w:rFonts w:cs="Cambria"/>
          <w:color w:val="000000"/>
        </w:rPr>
        <w:t>tats</w:t>
      </w:r>
      <w:r w:rsidRPr="00AA552A">
        <w:rPr>
          <w:rFonts w:cs="Cambria"/>
          <w:color w:val="000000"/>
          <w:spacing w:val="-3"/>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p</w:t>
      </w:r>
      <w:r w:rsidRPr="00AA552A">
        <w:rPr>
          <w:rFonts w:cs="Cambria"/>
          <w:color w:val="000000"/>
        </w:rPr>
        <w:t>a</w:t>
      </w:r>
      <w:r w:rsidRPr="00AA552A">
        <w:rPr>
          <w:rFonts w:cs="Cambria"/>
          <w:color w:val="000000"/>
          <w:spacing w:val="-1"/>
        </w:rPr>
        <w:t>r</w:t>
      </w:r>
      <w:r w:rsidRPr="00AA552A">
        <w:rPr>
          <w:rFonts w:cs="Cambria"/>
          <w:color w:val="000000"/>
        </w:rPr>
        <w:t>t</w:t>
      </w:r>
      <w:r w:rsidRPr="00AA552A">
        <w:rPr>
          <w:rFonts w:cs="Cambria"/>
          <w:color w:val="000000"/>
          <w:spacing w:val="1"/>
        </w:rPr>
        <w:t>i</w:t>
      </w:r>
      <w:r w:rsidRPr="00AA552A">
        <w:rPr>
          <w:rFonts w:cs="Cambria"/>
          <w:color w:val="000000"/>
        </w:rPr>
        <w:t>c</w:t>
      </w:r>
      <w:r w:rsidRPr="00AA552A">
        <w:rPr>
          <w:rFonts w:cs="Cambria"/>
          <w:color w:val="000000"/>
          <w:spacing w:val="-1"/>
        </w:rPr>
        <w:t>u</w:t>
      </w:r>
      <w:r w:rsidRPr="00AA552A">
        <w:rPr>
          <w:rFonts w:cs="Cambria"/>
          <w:color w:val="000000"/>
        </w:rPr>
        <w:t>lar</w:t>
      </w:r>
      <w:r w:rsidRPr="00AA552A">
        <w:rPr>
          <w:rFonts w:cs="Cambria"/>
          <w:color w:val="000000"/>
          <w:spacing w:val="-5"/>
        </w:rPr>
        <w:t xml:space="preserve"> </w:t>
      </w:r>
      <w:r w:rsidRPr="00AA552A">
        <w:rPr>
          <w:rFonts w:cs="Cambria"/>
          <w:color w:val="000000"/>
          <w:spacing w:val="1"/>
        </w:rPr>
        <w:t>i</w:t>
      </w:r>
      <w:r w:rsidRPr="00AA552A">
        <w:rPr>
          <w:rFonts w:cs="Cambria"/>
          <w:color w:val="000000"/>
        </w:rPr>
        <w:t>m</w:t>
      </w:r>
      <w:r w:rsidRPr="00AA552A">
        <w:rPr>
          <w:rFonts w:cs="Cambria"/>
          <w:color w:val="000000"/>
          <w:spacing w:val="1"/>
        </w:rPr>
        <w:t>p</w:t>
      </w:r>
      <w:r w:rsidRPr="00AA552A">
        <w:rPr>
          <w:rFonts w:cs="Cambria"/>
          <w:color w:val="000000"/>
        </w:rPr>
        <w:t>o</w:t>
      </w:r>
      <w:r w:rsidRPr="00AA552A">
        <w:rPr>
          <w:rFonts w:cs="Cambria"/>
          <w:color w:val="000000"/>
          <w:spacing w:val="-1"/>
        </w:rPr>
        <w:t>r</w:t>
      </w:r>
      <w:r w:rsidRPr="00AA552A">
        <w:rPr>
          <w:rFonts w:cs="Cambria"/>
          <w:color w:val="000000"/>
        </w:rPr>
        <w:t>tance</w:t>
      </w:r>
      <w:r w:rsidRPr="00AA552A">
        <w:rPr>
          <w:rFonts w:cs="Cambria"/>
          <w:color w:val="000000"/>
          <w:spacing w:val="-4"/>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sh</w:t>
      </w:r>
      <w:r w:rsidRPr="00AA552A">
        <w:rPr>
          <w:rFonts w:cs="Cambria"/>
          <w:color w:val="000000"/>
          <w:spacing w:val="-1"/>
        </w:rPr>
        <w:t>r</w:t>
      </w:r>
      <w:r w:rsidRPr="00AA552A">
        <w:rPr>
          <w:rFonts w:cs="Cambria"/>
          <w:color w:val="000000"/>
          <w:spacing w:val="1"/>
        </w:rPr>
        <w:t>i</w:t>
      </w:r>
      <w:r w:rsidRPr="00AA552A">
        <w:rPr>
          <w:rFonts w:cs="Cambria"/>
          <w:color w:val="000000"/>
        </w:rPr>
        <w:t>mp</w:t>
      </w:r>
      <w:r w:rsidRPr="00AA552A">
        <w:rPr>
          <w:rFonts w:cs="Cambria"/>
          <w:color w:val="000000"/>
          <w:spacing w:val="-3"/>
        </w:rPr>
        <w:t xml:space="preserve"> </w:t>
      </w:r>
      <w:r w:rsidRPr="00AA552A">
        <w:rPr>
          <w:rFonts w:cs="Cambria"/>
          <w:color w:val="000000"/>
        </w:rPr>
        <w:t>(</w:t>
      </w:r>
      <w:r w:rsidRPr="00AA552A">
        <w:rPr>
          <w:rFonts w:cs="Cambria"/>
          <w:color w:val="000000"/>
          <w:spacing w:val="-1"/>
        </w:rPr>
        <w:t>f</w:t>
      </w:r>
      <w:r w:rsidRPr="00AA552A">
        <w:rPr>
          <w:rFonts w:cs="Cambria"/>
          <w:color w:val="000000"/>
        </w:rPr>
        <w:t>or</w:t>
      </w:r>
      <w:r w:rsidRPr="00AA552A">
        <w:rPr>
          <w:rFonts w:cs="Cambria"/>
          <w:color w:val="000000"/>
          <w:spacing w:val="-5"/>
        </w:rPr>
        <w:t xml:space="preserve"> </w:t>
      </w:r>
      <w:r w:rsidRPr="00AA552A">
        <w:rPr>
          <w:rFonts w:cs="Cambria"/>
          <w:color w:val="000000"/>
          <w:spacing w:val="1"/>
        </w:rPr>
        <w:t>e</w:t>
      </w:r>
      <w:r w:rsidRPr="00AA552A">
        <w:rPr>
          <w:rFonts w:cs="Cambria"/>
          <w:color w:val="000000"/>
          <w:spacing w:val="-1"/>
        </w:rPr>
        <w:t>x</w:t>
      </w:r>
      <w:r w:rsidRPr="00AA552A">
        <w:rPr>
          <w:rFonts w:cs="Cambria"/>
          <w:color w:val="000000"/>
        </w:rPr>
        <w:t>am</w:t>
      </w:r>
      <w:r w:rsidRPr="00AA552A">
        <w:rPr>
          <w:rFonts w:cs="Cambria"/>
          <w:color w:val="000000"/>
          <w:spacing w:val="1"/>
        </w:rPr>
        <w:t>p</w:t>
      </w:r>
      <w:r w:rsidRPr="00AA552A">
        <w:rPr>
          <w:rFonts w:cs="Cambria"/>
          <w:color w:val="000000"/>
        </w:rPr>
        <w:t>l</w:t>
      </w:r>
      <w:r w:rsidRPr="00AA552A">
        <w:rPr>
          <w:rFonts w:cs="Cambria"/>
          <w:color w:val="000000"/>
          <w:spacing w:val="1"/>
        </w:rPr>
        <w:t>e</w:t>
      </w:r>
      <w:r w:rsidRPr="00AA552A">
        <w:rPr>
          <w:rFonts w:cs="Cambria"/>
          <w:color w:val="000000"/>
        </w:rPr>
        <w:t>,</w:t>
      </w:r>
      <w:r w:rsidRPr="00AA552A">
        <w:rPr>
          <w:rFonts w:cs="Cambria"/>
          <w:color w:val="000000"/>
          <w:spacing w:val="-1"/>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No</w:t>
      </w:r>
      <w:r w:rsidRPr="00AA552A">
        <w:rPr>
          <w:rFonts w:cs="Cambria"/>
          <w:color w:val="000000"/>
          <w:spacing w:val="-1"/>
        </w:rPr>
        <w:t>r</w:t>
      </w:r>
      <w:r w:rsidRPr="00AA552A">
        <w:rPr>
          <w:rFonts w:cs="Cambria"/>
          <w:color w:val="000000"/>
        </w:rPr>
        <w:t xml:space="preserve">th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rPr>
        <w:t>ol</w:t>
      </w:r>
      <w:r w:rsidRPr="00AA552A">
        <w:rPr>
          <w:rFonts w:cs="Cambria"/>
          <w:color w:val="000000"/>
          <w:spacing w:val="1"/>
        </w:rPr>
        <w:t>i</w:t>
      </w:r>
      <w:r w:rsidRPr="00AA552A">
        <w:rPr>
          <w:rFonts w:cs="Cambria"/>
          <w:color w:val="000000"/>
        </w:rPr>
        <w:t>na</w:t>
      </w:r>
      <w:r w:rsidRPr="00AA552A">
        <w:rPr>
          <w:rFonts w:cs="Cambria"/>
          <w:color w:val="000000"/>
          <w:spacing w:val="-4"/>
        </w:rPr>
        <w:t xml:space="preserve"> </w:t>
      </w:r>
      <w:r w:rsidRPr="00AA552A">
        <w:rPr>
          <w:rFonts w:cs="Cambria"/>
          <w:color w:val="000000"/>
        </w:rPr>
        <w:t>th</w:t>
      </w:r>
      <w:r w:rsidRPr="00AA552A">
        <w:rPr>
          <w:rFonts w:cs="Cambria"/>
          <w:color w:val="000000"/>
          <w:spacing w:val="1"/>
        </w:rPr>
        <w:t>i</w:t>
      </w:r>
      <w:r w:rsidRPr="00AA552A">
        <w:rPr>
          <w:rFonts w:cs="Cambria"/>
          <w:color w:val="000000"/>
        </w:rPr>
        <w:t>s</w:t>
      </w:r>
      <w:r w:rsidRPr="00AA552A">
        <w:rPr>
          <w:rFonts w:cs="Cambria"/>
          <w:color w:val="000000"/>
          <w:spacing w:val="-3"/>
        </w:rPr>
        <w:t xml:space="preserve"> </w:t>
      </w:r>
      <w:r w:rsidRPr="00AA552A">
        <w:rPr>
          <w:rFonts w:cs="Cambria"/>
          <w:color w:val="000000"/>
          <w:spacing w:val="-1"/>
        </w:rPr>
        <w:t>w</w:t>
      </w:r>
      <w:r w:rsidRPr="00AA552A">
        <w:rPr>
          <w:rFonts w:cs="Cambria"/>
          <w:color w:val="000000"/>
        </w:rPr>
        <w:t>ould</w:t>
      </w:r>
      <w:r w:rsidRPr="00AA552A">
        <w:rPr>
          <w:rFonts w:cs="Cambria"/>
          <w:color w:val="000000"/>
          <w:spacing w:val="-4"/>
        </w:rPr>
        <w:t xml:space="preserve"> </w:t>
      </w:r>
      <w:r w:rsidRPr="00AA552A">
        <w:rPr>
          <w:rFonts w:cs="Cambria"/>
          <w:color w:val="000000"/>
          <w:spacing w:val="1"/>
        </w:rPr>
        <w:t>i</w:t>
      </w:r>
      <w:r w:rsidRPr="00AA552A">
        <w:rPr>
          <w:rFonts w:cs="Cambria"/>
          <w:color w:val="000000"/>
        </w:rPr>
        <w:t>nc</w:t>
      </w:r>
      <w:r w:rsidRPr="00AA552A">
        <w:rPr>
          <w:rFonts w:cs="Cambria"/>
          <w:color w:val="000000"/>
          <w:spacing w:val="2"/>
        </w:rPr>
        <w:t>l</w:t>
      </w:r>
      <w:r w:rsidRPr="00AA552A">
        <w:rPr>
          <w:rFonts w:cs="Cambria"/>
          <w:color w:val="000000"/>
        </w:rPr>
        <w:t>u</w:t>
      </w:r>
      <w:r w:rsidRPr="00AA552A">
        <w:rPr>
          <w:rFonts w:cs="Cambria"/>
          <w:color w:val="000000"/>
          <w:spacing w:val="-1"/>
        </w:rPr>
        <w:t>d</w:t>
      </w:r>
      <w:r w:rsidRPr="00AA552A">
        <w:rPr>
          <w:rFonts w:cs="Cambria"/>
          <w:color w:val="000000"/>
        </w:rPr>
        <w:t>e</w:t>
      </w:r>
      <w:r w:rsidRPr="00AA552A">
        <w:rPr>
          <w:rFonts w:cs="Cambria"/>
          <w:color w:val="000000"/>
          <w:spacing w:val="-5"/>
        </w:rPr>
        <w:t xml:space="preserve"> </w:t>
      </w:r>
      <w:r w:rsidRPr="00AA552A">
        <w:rPr>
          <w:rFonts w:cs="Cambria"/>
          <w:color w:val="000000"/>
        </w:rPr>
        <w:t xml:space="preserve">all </w:t>
      </w:r>
      <w:r w:rsidRPr="00AA552A">
        <w:rPr>
          <w:rFonts w:cs="Cambria"/>
          <w:color w:val="000000"/>
          <w:spacing w:val="1"/>
        </w:rPr>
        <w:t>P</w:t>
      </w:r>
      <w:r w:rsidRPr="00AA552A">
        <w:rPr>
          <w:rFonts w:cs="Cambria"/>
          <w:color w:val="000000"/>
          <w:spacing w:val="-1"/>
        </w:rPr>
        <w:t>r</w:t>
      </w:r>
      <w:r w:rsidRPr="00AA552A">
        <w:rPr>
          <w:rFonts w:cs="Cambria"/>
          <w:color w:val="000000"/>
          <w:spacing w:val="1"/>
        </w:rPr>
        <w:t>i</w:t>
      </w:r>
      <w:r w:rsidRPr="00AA552A">
        <w:rPr>
          <w:rFonts w:cs="Cambria"/>
          <w:color w:val="000000"/>
        </w:rPr>
        <w:t>ma</w:t>
      </w:r>
      <w:r w:rsidRPr="00AA552A">
        <w:rPr>
          <w:rFonts w:cs="Cambria"/>
          <w:color w:val="000000"/>
          <w:spacing w:val="-1"/>
        </w:rPr>
        <w:t>r</w:t>
      </w:r>
      <w:r w:rsidRPr="00AA552A">
        <w:rPr>
          <w:rFonts w:cs="Cambria"/>
          <w:color w:val="000000"/>
        </w:rPr>
        <w:t>y</w:t>
      </w:r>
      <w:r w:rsidRPr="00AA552A">
        <w:rPr>
          <w:rFonts w:cs="Cambria"/>
          <w:color w:val="000000"/>
          <w:spacing w:val="-6"/>
        </w:rPr>
        <w:t xml:space="preserve"> </w:t>
      </w:r>
      <w:r w:rsidRPr="00AA552A">
        <w:rPr>
          <w:rFonts w:cs="Cambria"/>
          <w:color w:val="000000"/>
          <w:spacing w:val="2"/>
        </w:rPr>
        <w:t>N</w:t>
      </w:r>
      <w:r w:rsidRPr="00AA552A">
        <w:rPr>
          <w:rFonts w:cs="Cambria"/>
          <w:color w:val="000000"/>
        </w:rPr>
        <w:t>u</w:t>
      </w:r>
      <w:r w:rsidRPr="00AA552A">
        <w:rPr>
          <w:rFonts w:cs="Cambria"/>
          <w:color w:val="000000"/>
          <w:spacing w:val="-1"/>
        </w:rPr>
        <w:t>r</w:t>
      </w:r>
      <w:r w:rsidRPr="00AA552A">
        <w:rPr>
          <w:rFonts w:cs="Cambria"/>
          <w:color w:val="000000"/>
        </w:rPr>
        <w:t>s</w:t>
      </w:r>
      <w:r w:rsidRPr="00AA552A">
        <w:rPr>
          <w:rFonts w:cs="Cambria"/>
          <w:color w:val="000000"/>
          <w:spacing w:val="1"/>
        </w:rPr>
        <w:t>e</w:t>
      </w:r>
      <w:r w:rsidRPr="00AA552A">
        <w:rPr>
          <w:rFonts w:cs="Cambria"/>
          <w:color w:val="000000"/>
          <w:spacing w:val="2"/>
        </w:rPr>
        <w:t>r</w:t>
      </w:r>
      <w:r w:rsidRPr="00AA552A">
        <w:rPr>
          <w:rFonts w:cs="Cambria"/>
          <w:color w:val="000000"/>
        </w:rPr>
        <w:t>y</w:t>
      </w:r>
      <w:r w:rsidRPr="00AA552A">
        <w:rPr>
          <w:rFonts w:cs="Cambria"/>
          <w:color w:val="000000"/>
          <w:spacing w:val="-9"/>
        </w:rPr>
        <w:t xml:space="preserve"> </w:t>
      </w:r>
      <w:r w:rsidRPr="00AA552A">
        <w:rPr>
          <w:rFonts w:cs="Cambria"/>
          <w:color w:val="000000"/>
          <w:spacing w:val="-1"/>
        </w:rPr>
        <w:t>Ar</w:t>
      </w:r>
      <w:r w:rsidRPr="00AA552A">
        <w:rPr>
          <w:rFonts w:cs="Cambria"/>
          <w:color w:val="000000"/>
          <w:spacing w:val="1"/>
        </w:rPr>
        <w:t>e</w:t>
      </w:r>
      <w:r w:rsidRPr="00AA552A">
        <w:rPr>
          <w:rFonts w:cs="Cambria"/>
          <w:color w:val="000000"/>
        </w:rPr>
        <w:t>as</w:t>
      </w:r>
      <w:r w:rsidRPr="00AA552A">
        <w:rPr>
          <w:rFonts w:cs="Cambria"/>
          <w:color w:val="000000"/>
          <w:spacing w:val="-3"/>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 xml:space="preserve">all </w:t>
      </w:r>
      <w:r w:rsidRPr="00AA552A">
        <w:rPr>
          <w:rFonts w:cs="Cambria"/>
          <w:color w:val="000000"/>
          <w:spacing w:val="1"/>
        </w:rPr>
        <w:t>Se</w:t>
      </w:r>
      <w:r w:rsidRPr="00AA552A">
        <w:rPr>
          <w:rFonts w:cs="Cambria"/>
          <w:color w:val="000000"/>
        </w:rPr>
        <w:t>con</w:t>
      </w:r>
      <w:r w:rsidRPr="00AA552A">
        <w:rPr>
          <w:rFonts w:cs="Cambria"/>
          <w:color w:val="000000"/>
          <w:spacing w:val="-1"/>
        </w:rPr>
        <w:t>d</w:t>
      </w:r>
      <w:r w:rsidRPr="00AA552A">
        <w:rPr>
          <w:rFonts w:cs="Cambria"/>
          <w:color w:val="000000"/>
          <w:spacing w:val="3"/>
        </w:rPr>
        <w:t>a</w:t>
      </w:r>
      <w:r w:rsidRPr="00AA552A">
        <w:rPr>
          <w:rFonts w:cs="Cambria"/>
          <w:color w:val="000000"/>
          <w:spacing w:val="-1"/>
        </w:rPr>
        <w:t>r</w:t>
      </w:r>
      <w:r w:rsidRPr="00AA552A">
        <w:rPr>
          <w:rFonts w:cs="Cambria"/>
          <w:color w:val="000000"/>
        </w:rPr>
        <w:t>y</w:t>
      </w:r>
      <w:r w:rsidRPr="00AA552A">
        <w:rPr>
          <w:rFonts w:cs="Cambria"/>
          <w:color w:val="000000"/>
          <w:spacing w:val="-8"/>
        </w:rPr>
        <w:t xml:space="preserve"> </w:t>
      </w:r>
      <w:r w:rsidRPr="00AA552A">
        <w:rPr>
          <w:rFonts w:cs="Cambria"/>
          <w:color w:val="000000"/>
        </w:rPr>
        <w:t>Nu</w:t>
      </w:r>
      <w:r w:rsidRPr="00AA552A">
        <w:rPr>
          <w:rFonts w:cs="Cambria"/>
          <w:color w:val="000000"/>
          <w:spacing w:val="-1"/>
        </w:rPr>
        <w:t>r</w:t>
      </w:r>
      <w:r w:rsidRPr="00AA552A">
        <w:rPr>
          <w:rFonts w:cs="Cambria"/>
          <w:color w:val="000000"/>
        </w:rPr>
        <w:t>s</w:t>
      </w:r>
      <w:r w:rsidRPr="00AA552A">
        <w:rPr>
          <w:rFonts w:cs="Cambria"/>
          <w:color w:val="000000"/>
          <w:spacing w:val="3"/>
        </w:rPr>
        <w:t>e</w:t>
      </w:r>
      <w:r w:rsidRPr="00AA552A">
        <w:rPr>
          <w:rFonts w:cs="Cambria"/>
          <w:color w:val="000000"/>
          <w:spacing w:val="-1"/>
        </w:rPr>
        <w:t>r</w:t>
      </w:r>
      <w:r w:rsidRPr="00AA552A">
        <w:rPr>
          <w:rFonts w:cs="Cambria"/>
          <w:color w:val="000000"/>
        </w:rPr>
        <w:t>y</w:t>
      </w:r>
      <w:r w:rsidRPr="00AA552A">
        <w:rPr>
          <w:rFonts w:cs="Cambria"/>
          <w:color w:val="000000"/>
          <w:spacing w:val="-9"/>
        </w:rPr>
        <w:t xml:space="preserve"> </w:t>
      </w:r>
      <w:r w:rsidRPr="00AA552A">
        <w:rPr>
          <w:rFonts w:cs="Cambria"/>
          <w:color w:val="000000"/>
          <w:spacing w:val="2"/>
        </w:rPr>
        <w:t>A</w:t>
      </w:r>
      <w:r w:rsidRPr="00AA552A">
        <w:rPr>
          <w:rFonts w:cs="Cambria"/>
          <w:color w:val="000000"/>
          <w:spacing w:val="-1"/>
        </w:rPr>
        <w:t>r</w:t>
      </w:r>
      <w:r w:rsidRPr="00AA552A">
        <w:rPr>
          <w:rFonts w:cs="Cambria"/>
          <w:color w:val="000000"/>
          <w:spacing w:val="1"/>
        </w:rPr>
        <w:t>e</w:t>
      </w:r>
      <w:r w:rsidRPr="00AA552A">
        <w:rPr>
          <w:rFonts w:cs="Cambria"/>
          <w:color w:val="000000"/>
        </w:rPr>
        <w:t>as),</w:t>
      </w:r>
      <w:r w:rsidRPr="00AA552A">
        <w:rPr>
          <w:rFonts w:cs="Cambria"/>
          <w:color w:val="000000"/>
          <w:spacing w:val="-4"/>
        </w:rPr>
        <w:t xml:space="preserve"> </w:t>
      </w:r>
      <w:r w:rsidRPr="00AA552A">
        <w:rPr>
          <w:rFonts w:cs="Cambria"/>
          <w:color w:val="000000"/>
        </w:rPr>
        <w:t>and stat</w:t>
      </w:r>
      <w:r w:rsidRPr="00AA552A">
        <w:rPr>
          <w:rFonts w:cs="Cambria"/>
          <w:color w:val="000000"/>
          <w:spacing w:val="1"/>
        </w:rPr>
        <w:t>e</w:t>
      </w:r>
      <w:r w:rsidRPr="00AA552A">
        <w:rPr>
          <w:rFonts w:cs="Cambria"/>
          <w:color w:val="000000"/>
        </w:rPr>
        <w:t>-</w:t>
      </w:r>
      <w:r w:rsidRPr="00AA552A">
        <w:rPr>
          <w:rFonts w:cs="Cambria"/>
          <w:color w:val="000000"/>
          <w:spacing w:val="1"/>
        </w:rPr>
        <w:t>i</w:t>
      </w:r>
      <w:r w:rsidRPr="00AA552A">
        <w:rPr>
          <w:rFonts w:cs="Cambria"/>
          <w:color w:val="000000"/>
          <w:spacing w:val="-1"/>
        </w:rPr>
        <w:t>d</w:t>
      </w:r>
      <w:r w:rsidRPr="00AA552A">
        <w:rPr>
          <w:rFonts w:cs="Cambria"/>
          <w:color w:val="000000"/>
          <w:spacing w:val="1"/>
        </w:rPr>
        <w:t>e</w:t>
      </w:r>
      <w:r w:rsidRPr="00AA552A">
        <w:rPr>
          <w:rFonts w:cs="Cambria"/>
          <w:color w:val="000000"/>
        </w:rPr>
        <w:t>nt</w:t>
      </w:r>
      <w:r w:rsidRPr="00AA552A">
        <w:rPr>
          <w:rFonts w:cs="Cambria"/>
          <w:color w:val="000000"/>
          <w:spacing w:val="1"/>
        </w:rPr>
        <w:t>i</w:t>
      </w:r>
      <w:r w:rsidRPr="00AA552A">
        <w:rPr>
          <w:rFonts w:cs="Cambria"/>
          <w:color w:val="000000"/>
          <w:spacing w:val="-1"/>
        </w:rPr>
        <w:t>f</w:t>
      </w:r>
      <w:r w:rsidRPr="00AA552A">
        <w:rPr>
          <w:rFonts w:cs="Cambria"/>
          <w:color w:val="000000"/>
          <w:spacing w:val="1"/>
        </w:rPr>
        <w:t>ie</w:t>
      </w:r>
      <w:r w:rsidRPr="00AA552A">
        <w:rPr>
          <w:rFonts w:cs="Cambria"/>
          <w:color w:val="000000"/>
        </w:rPr>
        <w:t>d</w:t>
      </w:r>
      <w:r w:rsidRPr="00AA552A">
        <w:rPr>
          <w:rFonts w:cs="Cambria"/>
          <w:color w:val="000000"/>
          <w:spacing w:val="-11"/>
        </w:rPr>
        <w:t xml:space="preserve"> </w:t>
      </w:r>
      <w:r w:rsidRPr="00AA552A">
        <w:rPr>
          <w:rFonts w:cs="Cambria"/>
          <w:color w:val="000000"/>
        </w:rPr>
        <w:t>o</w:t>
      </w:r>
      <w:r w:rsidRPr="00AA552A">
        <w:rPr>
          <w:rFonts w:cs="Cambria"/>
          <w:color w:val="000000"/>
          <w:spacing w:val="-1"/>
        </w:rPr>
        <w:t>v</w:t>
      </w:r>
      <w:r w:rsidRPr="00AA552A">
        <w:rPr>
          <w:rFonts w:cs="Cambria"/>
          <w:color w:val="000000"/>
          <w:spacing w:val="1"/>
        </w:rPr>
        <w:t>e</w:t>
      </w:r>
      <w:r w:rsidRPr="00AA552A">
        <w:rPr>
          <w:rFonts w:cs="Cambria"/>
          <w:color w:val="000000"/>
          <w:spacing w:val="-1"/>
        </w:rPr>
        <w:t>rw</w:t>
      </w:r>
      <w:r w:rsidRPr="00AA552A">
        <w:rPr>
          <w:rFonts w:cs="Cambria"/>
          <w:color w:val="000000"/>
          <w:spacing w:val="1"/>
        </w:rPr>
        <w:t>i</w:t>
      </w:r>
      <w:r w:rsidRPr="00AA552A">
        <w:rPr>
          <w:rFonts w:cs="Cambria"/>
          <w:color w:val="000000"/>
        </w:rPr>
        <w:t>nt</w:t>
      </w:r>
      <w:r w:rsidRPr="00AA552A">
        <w:rPr>
          <w:rFonts w:cs="Cambria"/>
          <w:color w:val="000000"/>
          <w:spacing w:val="1"/>
        </w:rPr>
        <w:t>e</w:t>
      </w:r>
      <w:r w:rsidRPr="00AA552A">
        <w:rPr>
          <w:rFonts w:cs="Cambria"/>
          <w:color w:val="000000"/>
          <w:spacing w:val="-1"/>
        </w:rPr>
        <w:t>r</w:t>
      </w:r>
      <w:r w:rsidRPr="00AA552A">
        <w:rPr>
          <w:rFonts w:cs="Cambria"/>
          <w:color w:val="000000"/>
          <w:spacing w:val="1"/>
        </w:rPr>
        <w:t>i</w:t>
      </w:r>
      <w:r w:rsidRPr="00AA552A">
        <w:rPr>
          <w:rFonts w:cs="Cambria"/>
          <w:color w:val="000000"/>
        </w:rPr>
        <w:t>ng</w:t>
      </w:r>
      <w:r w:rsidRPr="00AA552A">
        <w:rPr>
          <w:rFonts w:cs="Cambria"/>
          <w:color w:val="000000"/>
          <w:spacing w:val="-9"/>
        </w:rPr>
        <w:t xml:space="preserve"> </w:t>
      </w:r>
      <w:r w:rsidRPr="00AA552A">
        <w:rPr>
          <w:rFonts w:cs="Cambria"/>
          <w:color w:val="000000"/>
        </w:rPr>
        <w:t>a</w:t>
      </w:r>
      <w:r w:rsidRPr="00AA552A">
        <w:rPr>
          <w:rFonts w:cs="Cambria"/>
          <w:color w:val="000000"/>
          <w:spacing w:val="-1"/>
        </w:rPr>
        <w:t>r</w:t>
      </w:r>
      <w:r w:rsidRPr="00AA552A">
        <w:rPr>
          <w:rFonts w:cs="Cambria"/>
          <w:color w:val="000000"/>
          <w:spacing w:val="1"/>
        </w:rPr>
        <w:t>e</w:t>
      </w:r>
      <w:r w:rsidRPr="00AA552A">
        <w:rPr>
          <w:rFonts w:cs="Cambria"/>
          <w:color w:val="000000"/>
        </w:rPr>
        <w:t>as.</w:t>
      </w:r>
    </w:p>
    <w:p w14:paraId="48977E6C" w14:textId="77777777" w:rsidR="00DC4922" w:rsidRDefault="00DC4922" w:rsidP="00DC4922">
      <w:pPr>
        <w:rPr>
          <w:rFonts w:ascii="Cambria" w:hAnsi="Cambria" w:cs="Cambria"/>
          <w:color w:val="000000"/>
          <w:sz w:val="20"/>
        </w:rPr>
      </w:pPr>
    </w:p>
    <w:p w14:paraId="76D9DAE9" w14:textId="77777777" w:rsidR="00DC4922" w:rsidRDefault="00DC4922" w:rsidP="00DC4922">
      <w:pPr>
        <w:rPr>
          <w:rFonts w:ascii="Cambria" w:hAnsi="Cambria" w:cs="Cambria"/>
          <w:color w:val="000000"/>
          <w:sz w:val="20"/>
        </w:rPr>
      </w:pPr>
    </w:p>
    <w:p w14:paraId="1EB00925" w14:textId="77777777" w:rsidR="00DC4922" w:rsidRPr="00EB603B" w:rsidRDefault="00DC4922" w:rsidP="00DC4922">
      <w:pPr>
        <w:rPr>
          <w:b/>
          <w:color w:val="000000"/>
        </w:rPr>
      </w:pPr>
      <w:r w:rsidRPr="00EB603B">
        <w:rPr>
          <w:b/>
          <w:color w:val="000000"/>
        </w:rPr>
        <w:t>Co</w:t>
      </w:r>
      <w:r w:rsidRPr="00EB603B">
        <w:rPr>
          <w:b/>
          <w:color w:val="000000"/>
          <w:spacing w:val="1"/>
        </w:rPr>
        <w:t>as</w:t>
      </w:r>
      <w:r w:rsidRPr="00EB603B">
        <w:rPr>
          <w:b/>
          <w:color w:val="000000"/>
          <w:spacing w:val="-1"/>
        </w:rPr>
        <w:t>t</w:t>
      </w:r>
      <w:r w:rsidRPr="00EB603B">
        <w:rPr>
          <w:b/>
          <w:color w:val="000000"/>
          <w:spacing w:val="1"/>
        </w:rPr>
        <w:t>a</w:t>
      </w:r>
      <w:r w:rsidRPr="00EB603B">
        <w:rPr>
          <w:b/>
          <w:color w:val="000000"/>
        </w:rPr>
        <w:t>l</w:t>
      </w:r>
      <w:r w:rsidRPr="00EB603B">
        <w:rPr>
          <w:b/>
          <w:color w:val="000000"/>
          <w:spacing w:val="1"/>
        </w:rPr>
        <w:t xml:space="preserve"> </w:t>
      </w:r>
      <w:r w:rsidRPr="00EB603B">
        <w:rPr>
          <w:b/>
          <w:color w:val="000000"/>
          <w:spacing w:val="-1"/>
        </w:rPr>
        <w:t>M</w:t>
      </w:r>
      <w:r w:rsidRPr="00EB603B">
        <w:rPr>
          <w:b/>
          <w:color w:val="000000"/>
        </w:rPr>
        <w:t>igr</w:t>
      </w:r>
      <w:r w:rsidRPr="00EB603B">
        <w:rPr>
          <w:b/>
          <w:color w:val="000000"/>
          <w:spacing w:val="1"/>
        </w:rPr>
        <w:t>a</w:t>
      </w:r>
      <w:r w:rsidRPr="00EB603B">
        <w:rPr>
          <w:b/>
          <w:color w:val="000000"/>
          <w:spacing w:val="-1"/>
        </w:rPr>
        <w:t>t</w:t>
      </w:r>
      <w:r w:rsidRPr="00EB603B">
        <w:rPr>
          <w:b/>
          <w:color w:val="000000"/>
        </w:rPr>
        <w:t>o</w:t>
      </w:r>
      <w:r w:rsidRPr="00EB603B">
        <w:rPr>
          <w:b/>
          <w:color w:val="000000"/>
          <w:spacing w:val="3"/>
        </w:rPr>
        <w:t>r</w:t>
      </w:r>
      <w:r w:rsidRPr="00EB603B">
        <w:rPr>
          <w:b/>
          <w:color w:val="000000"/>
        </w:rPr>
        <w:t>y</w:t>
      </w:r>
      <w:r w:rsidRPr="00EB603B">
        <w:rPr>
          <w:b/>
          <w:color w:val="000000"/>
          <w:spacing w:val="-6"/>
        </w:rPr>
        <w:t xml:space="preserve"> </w:t>
      </w:r>
      <w:r w:rsidRPr="00EB603B">
        <w:rPr>
          <w:b/>
          <w:color w:val="000000"/>
          <w:spacing w:val="1"/>
        </w:rPr>
        <w:t>Pe</w:t>
      </w:r>
      <w:r w:rsidRPr="00EB603B">
        <w:rPr>
          <w:b/>
          <w:color w:val="000000"/>
        </w:rPr>
        <w:t>l</w:t>
      </w:r>
      <w:r w:rsidRPr="00EB603B">
        <w:rPr>
          <w:b/>
          <w:color w:val="000000"/>
          <w:spacing w:val="1"/>
        </w:rPr>
        <w:t>a</w:t>
      </w:r>
      <w:r w:rsidRPr="00EB603B">
        <w:rPr>
          <w:b/>
          <w:color w:val="000000"/>
        </w:rPr>
        <w:t>gi</w:t>
      </w:r>
      <w:r w:rsidRPr="00EB603B">
        <w:rPr>
          <w:b/>
          <w:color w:val="000000"/>
          <w:spacing w:val="1"/>
        </w:rPr>
        <w:t>c</w:t>
      </w:r>
      <w:r w:rsidRPr="00EB603B">
        <w:rPr>
          <w:b/>
          <w:color w:val="000000"/>
        </w:rPr>
        <w:t>s</w:t>
      </w:r>
      <w:r w:rsidRPr="00EB603B">
        <w:rPr>
          <w:b/>
          <w:color w:val="000000"/>
          <w:spacing w:val="1"/>
        </w:rPr>
        <w:t xml:space="preserve"> </w:t>
      </w:r>
      <w:r w:rsidRPr="00EB603B">
        <w:rPr>
          <w:b/>
          <w:color w:val="000000"/>
        </w:rPr>
        <w:t>F</w:t>
      </w:r>
      <w:r w:rsidRPr="00EB603B">
        <w:rPr>
          <w:b/>
          <w:color w:val="000000"/>
          <w:spacing w:val="-1"/>
        </w:rPr>
        <w:t>M</w:t>
      </w:r>
      <w:r w:rsidRPr="00EB603B">
        <w:rPr>
          <w:b/>
          <w:color w:val="000000"/>
        </w:rPr>
        <w:t>P</w:t>
      </w:r>
    </w:p>
    <w:p w14:paraId="625B8484" w14:textId="77777777" w:rsidR="00DC4922" w:rsidRPr="00AA552A" w:rsidRDefault="00DC4922" w:rsidP="00640526">
      <w:pPr>
        <w:ind w:firstLine="360"/>
        <w:rPr>
          <w:rFonts w:cs="Cambria"/>
          <w:color w:val="000000"/>
        </w:rPr>
      </w:pP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nt</w:t>
      </w:r>
      <w:r w:rsidRPr="00AA552A">
        <w:rPr>
          <w:rFonts w:cs="Cambria"/>
          <w:color w:val="000000"/>
          <w:spacing w:val="1"/>
        </w:rPr>
        <w:t>i</w:t>
      </w:r>
      <w:r w:rsidRPr="00AA552A">
        <w:rPr>
          <w:rFonts w:cs="Cambria"/>
          <w:color w:val="000000"/>
        </w:rPr>
        <w:t>al</w:t>
      </w:r>
      <w:r w:rsidRPr="00AA552A">
        <w:rPr>
          <w:rFonts w:cs="Cambria"/>
          <w:color w:val="000000"/>
          <w:spacing w:val="-4"/>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ha</w:t>
      </w:r>
      <w:r w:rsidRPr="00AA552A">
        <w:rPr>
          <w:rFonts w:cs="Cambria"/>
          <w:color w:val="000000"/>
          <w:spacing w:val="-2"/>
        </w:rPr>
        <w:t>b</w:t>
      </w:r>
      <w:r w:rsidRPr="00AA552A">
        <w:rPr>
          <w:rFonts w:cs="Cambria"/>
          <w:color w:val="000000"/>
          <w:spacing w:val="1"/>
        </w:rPr>
        <w:t>i</w:t>
      </w:r>
      <w:r w:rsidRPr="00AA552A">
        <w:rPr>
          <w:rFonts w:cs="Cambria"/>
          <w:color w:val="000000"/>
        </w:rPr>
        <w:t>tat</w:t>
      </w:r>
      <w:r w:rsidRPr="00AA552A">
        <w:rPr>
          <w:rFonts w:cs="Cambria"/>
          <w:color w:val="000000"/>
          <w:spacing w:val="-2"/>
        </w:rPr>
        <w:t xml:space="preserve"> </w:t>
      </w:r>
      <w:r w:rsidRPr="00AA552A">
        <w:rPr>
          <w:rFonts w:cs="Cambria"/>
          <w:color w:val="000000"/>
          <w:spacing w:val="-1"/>
        </w:rPr>
        <w:t>f</w:t>
      </w:r>
      <w:r w:rsidRPr="00AA552A">
        <w:rPr>
          <w:rFonts w:cs="Cambria"/>
          <w:color w:val="000000"/>
          <w:spacing w:val="-3"/>
        </w:rPr>
        <w:t>o</w:t>
      </w:r>
      <w:r w:rsidRPr="00AA552A">
        <w:rPr>
          <w:rFonts w:cs="Cambria"/>
          <w:color w:val="000000"/>
        </w:rPr>
        <w:t>r</w:t>
      </w:r>
      <w:r w:rsidRPr="00AA552A">
        <w:rPr>
          <w:rFonts w:cs="Cambria"/>
          <w:color w:val="000000"/>
          <w:spacing w:val="-4"/>
        </w:rPr>
        <w:t xml:space="preserve"> </w:t>
      </w:r>
      <w:r w:rsidRPr="00AA552A">
        <w:rPr>
          <w:rFonts w:cs="Cambria"/>
          <w:color w:val="000000"/>
        </w:rPr>
        <w:t>coastal</w:t>
      </w:r>
      <w:r w:rsidRPr="00AA552A">
        <w:rPr>
          <w:rFonts w:cs="Cambria"/>
          <w:color w:val="000000"/>
          <w:spacing w:val="-3"/>
        </w:rPr>
        <w:t xml:space="preserve"> </w:t>
      </w:r>
      <w:r w:rsidRPr="00AA552A">
        <w:rPr>
          <w:rFonts w:cs="Cambria"/>
          <w:color w:val="000000"/>
        </w:rPr>
        <w:t>m</w:t>
      </w:r>
      <w:r w:rsidRPr="00AA552A">
        <w:rPr>
          <w:rFonts w:cs="Cambria"/>
          <w:color w:val="000000"/>
          <w:spacing w:val="1"/>
        </w:rPr>
        <w:t>i</w:t>
      </w:r>
      <w:r w:rsidRPr="00AA552A">
        <w:rPr>
          <w:rFonts w:cs="Cambria"/>
          <w:color w:val="000000"/>
          <w:spacing w:val="-1"/>
        </w:rPr>
        <w:t>gr</w:t>
      </w:r>
      <w:r w:rsidRPr="00AA552A">
        <w:rPr>
          <w:rFonts w:cs="Cambria"/>
          <w:color w:val="000000"/>
        </w:rPr>
        <w:t>ato</w:t>
      </w:r>
      <w:r w:rsidRPr="00AA552A">
        <w:rPr>
          <w:rFonts w:cs="Cambria"/>
          <w:color w:val="000000"/>
          <w:spacing w:val="-1"/>
        </w:rPr>
        <w:t>r</w:t>
      </w:r>
      <w:r w:rsidRPr="00AA552A">
        <w:rPr>
          <w:rFonts w:cs="Cambria"/>
          <w:color w:val="000000"/>
        </w:rPr>
        <w:t>y</w:t>
      </w:r>
      <w:r w:rsidRPr="00AA552A">
        <w:rPr>
          <w:rFonts w:cs="Cambria"/>
          <w:color w:val="000000"/>
          <w:spacing w:val="-4"/>
        </w:rPr>
        <w:t xml:space="preserve"> </w:t>
      </w:r>
      <w:r w:rsidRPr="00AA552A">
        <w:rPr>
          <w:rFonts w:cs="Cambria"/>
          <w:color w:val="000000"/>
          <w:spacing w:val="1"/>
        </w:rPr>
        <w:t>pe</w:t>
      </w:r>
      <w:r w:rsidRPr="00AA552A">
        <w:rPr>
          <w:rFonts w:cs="Cambria"/>
          <w:color w:val="000000"/>
        </w:rPr>
        <w:t>la</w:t>
      </w:r>
      <w:r w:rsidRPr="00AA552A">
        <w:rPr>
          <w:rFonts w:cs="Cambria"/>
          <w:color w:val="000000"/>
          <w:spacing w:val="-1"/>
        </w:rPr>
        <w:t>g</w:t>
      </w:r>
      <w:r w:rsidRPr="00AA552A">
        <w:rPr>
          <w:rFonts w:cs="Cambria"/>
          <w:color w:val="000000"/>
          <w:spacing w:val="1"/>
        </w:rPr>
        <w:t>i</w:t>
      </w:r>
      <w:r w:rsidRPr="00AA552A">
        <w:rPr>
          <w:rFonts w:cs="Cambria"/>
          <w:color w:val="000000"/>
        </w:rPr>
        <w:t>c</w:t>
      </w:r>
      <w:r w:rsidRPr="00AA552A">
        <w:rPr>
          <w:rFonts w:cs="Cambria"/>
          <w:color w:val="000000"/>
          <w:spacing w:val="-3"/>
        </w:rPr>
        <w:t xml:space="preserve"> </w:t>
      </w:r>
      <w:r w:rsidRPr="00AA552A">
        <w:rPr>
          <w:rFonts w:cs="Cambria"/>
          <w:color w:val="000000"/>
        </w:rPr>
        <w:t>s</w:t>
      </w:r>
      <w:r w:rsidRPr="00AA552A">
        <w:rPr>
          <w:rFonts w:cs="Cambria"/>
          <w:color w:val="000000"/>
          <w:spacing w:val="1"/>
        </w:rPr>
        <w:t>pe</w:t>
      </w:r>
      <w:r w:rsidRPr="00AA552A">
        <w:rPr>
          <w:rFonts w:cs="Cambria"/>
          <w:color w:val="000000"/>
        </w:rPr>
        <w:t>c</w:t>
      </w:r>
      <w:r w:rsidRPr="00AA552A">
        <w:rPr>
          <w:rFonts w:cs="Cambria"/>
          <w:color w:val="000000"/>
          <w:spacing w:val="1"/>
        </w:rPr>
        <w:t>ie</w:t>
      </w:r>
      <w:r w:rsidRPr="00AA552A">
        <w:rPr>
          <w:rFonts w:cs="Cambria"/>
          <w:color w:val="000000"/>
        </w:rPr>
        <w:t>s</w:t>
      </w:r>
      <w:r w:rsidRPr="00AA552A">
        <w:rPr>
          <w:rFonts w:cs="Cambria"/>
          <w:color w:val="000000"/>
          <w:spacing w:val="-6"/>
        </w:rPr>
        <w:t xml:space="preserve"> </w:t>
      </w:r>
      <w:r w:rsidRPr="00AA552A">
        <w:rPr>
          <w:rFonts w:cs="Cambria"/>
          <w:color w:val="000000"/>
          <w:spacing w:val="1"/>
        </w:rPr>
        <w:t>i</w:t>
      </w:r>
      <w:r w:rsidRPr="00AA552A">
        <w:rPr>
          <w:rFonts w:cs="Cambria"/>
          <w:color w:val="000000"/>
        </w:rPr>
        <w:t>ncl</w:t>
      </w:r>
      <w:r w:rsidRPr="00AA552A">
        <w:rPr>
          <w:rFonts w:cs="Cambria"/>
          <w:color w:val="000000"/>
          <w:spacing w:val="-1"/>
        </w:rPr>
        <w:t>ud</w:t>
      </w:r>
      <w:r w:rsidRPr="00AA552A">
        <w:rPr>
          <w:rFonts w:cs="Cambria"/>
          <w:color w:val="000000"/>
          <w:spacing w:val="1"/>
        </w:rPr>
        <w:t>e</w:t>
      </w:r>
      <w:r w:rsidRPr="00AA552A">
        <w:rPr>
          <w:rFonts w:cs="Cambria"/>
          <w:color w:val="000000"/>
        </w:rPr>
        <w:t>s</w:t>
      </w:r>
      <w:r w:rsidRPr="00AA552A">
        <w:rPr>
          <w:rFonts w:cs="Cambria"/>
          <w:color w:val="000000"/>
          <w:spacing w:val="-5"/>
        </w:rPr>
        <w:t xml:space="preserve"> </w:t>
      </w:r>
      <w:r w:rsidRPr="00AA552A">
        <w:rPr>
          <w:rFonts w:cs="Cambria"/>
          <w:color w:val="000000"/>
        </w:rPr>
        <w:t>sa</w:t>
      </w:r>
      <w:r w:rsidRPr="00AA552A">
        <w:rPr>
          <w:rFonts w:cs="Cambria"/>
          <w:color w:val="000000"/>
          <w:spacing w:val="-2"/>
        </w:rPr>
        <w:t>n</w:t>
      </w:r>
      <w:r w:rsidRPr="00AA552A">
        <w:rPr>
          <w:rFonts w:cs="Cambria"/>
          <w:color w:val="000000"/>
          <w:spacing w:val="-1"/>
        </w:rPr>
        <w:t>d</w:t>
      </w:r>
      <w:r w:rsidRPr="00AA552A">
        <w:rPr>
          <w:rFonts w:cs="Cambria"/>
          <w:color w:val="000000"/>
        </w:rPr>
        <w:t>y</w:t>
      </w:r>
      <w:r w:rsidRPr="00AA552A">
        <w:rPr>
          <w:rFonts w:cs="Cambria"/>
          <w:color w:val="000000"/>
          <w:spacing w:val="-5"/>
        </w:rPr>
        <w:t xml:space="preserve"> </w:t>
      </w:r>
      <w:r w:rsidRPr="00AA552A">
        <w:rPr>
          <w:rFonts w:cs="Cambria"/>
          <w:color w:val="000000"/>
        </w:rPr>
        <w:t>shoals</w:t>
      </w:r>
      <w:r w:rsidRPr="00AA552A">
        <w:rPr>
          <w:rFonts w:cs="Cambria"/>
          <w:color w:val="000000"/>
          <w:spacing w:val="-5"/>
        </w:rPr>
        <w:t xml:space="preserve"> </w:t>
      </w:r>
      <w:r w:rsidRPr="00AA552A">
        <w:rPr>
          <w:rFonts w:cs="Cambria"/>
          <w:color w:val="000000"/>
        </w:rPr>
        <w:t>of ca</w:t>
      </w:r>
      <w:r w:rsidRPr="00AA552A">
        <w:rPr>
          <w:rFonts w:cs="Cambria"/>
          <w:color w:val="000000"/>
          <w:spacing w:val="1"/>
        </w:rPr>
        <w:t>pe</w:t>
      </w:r>
      <w:r w:rsidRPr="00AA552A">
        <w:rPr>
          <w:rFonts w:cs="Cambria"/>
          <w:color w:val="000000"/>
        </w:rPr>
        <w:t>s</w:t>
      </w:r>
      <w:r w:rsidRPr="00AA552A">
        <w:rPr>
          <w:rFonts w:cs="Cambria"/>
          <w:color w:val="000000"/>
          <w:spacing w:val="-3"/>
        </w:rPr>
        <w:t xml:space="preserve"> </w:t>
      </w:r>
      <w:r w:rsidRPr="00AA552A">
        <w:rPr>
          <w:rFonts w:cs="Cambria"/>
          <w:color w:val="000000"/>
        </w:rPr>
        <w:t>and o</w:t>
      </w:r>
      <w:r w:rsidRPr="00AA552A">
        <w:rPr>
          <w:rFonts w:cs="Cambria"/>
          <w:color w:val="000000"/>
          <w:spacing w:val="-1"/>
        </w:rPr>
        <w:t>ff</w:t>
      </w:r>
      <w:r w:rsidRPr="00AA552A">
        <w:rPr>
          <w:rFonts w:cs="Cambria"/>
          <w:color w:val="000000"/>
        </w:rPr>
        <w:t>sho</w:t>
      </w:r>
      <w:r w:rsidRPr="00AA552A">
        <w:rPr>
          <w:rFonts w:cs="Cambria"/>
          <w:color w:val="000000"/>
          <w:spacing w:val="-1"/>
        </w:rPr>
        <w:t>r</w:t>
      </w:r>
      <w:r w:rsidRPr="00AA552A">
        <w:rPr>
          <w:rFonts w:cs="Cambria"/>
          <w:color w:val="000000"/>
        </w:rPr>
        <w:t>e</w:t>
      </w:r>
      <w:r w:rsidRPr="00AA552A">
        <w:rPr>
          <w:rFonts w:cs="Cambria"/>
          <w:color w:val="000000"/>
          <w:spacing w:val="-8"/>
        </w:rPr>
        <w:t xml:space="preserve"> </w:t>
      </w:r>
      <w:r w:rsidRPr="00AA552A">
        <w:rPr>
          <w:rFonts w:cs="Cambria"/>
          <w:color w:val="000000"/>
          <w:spacing w:val="1"/>
        </w:rPr>
        <w:t>b</w:t>
      </w:r>
      <w:r w:rsidRPr="00AA552A">
        <w:rPr>
          <w:rFonts w:cs="Cambria"/>
          <w:color w:val="000000"/>
        </w:rPr>
        <w:t>a</w:t>
      </w:r>
      <w:r w:rsidRPr="00AA552A">
        <w:rPr>
          <w:rFonts w:cs="Cambria"/>
          <w:color w:val="000000"/>
          <w:spacing w:val="-1"/>
        </w:rPr>
        <w:t>r</w:t>
      </w:r>
      <w:r w:rsidRPr="00AA552A">
        <w:rPr>
          <w:rFonts w:cs="Cambria"/>
          <w:color w:val="000000"/>
        </w:rPr>
        <w:t>s,</w:t>
      </w:r>
      <w:r w:rsidRPr="00AA552A">
        <w:rPr>
          <w:rFonts w:cs="Cambria"/>
          <w:color w:val="000000"/>
          <w:spacing w:val="-1"/>
        </w:rPr>
        <w:t xml:space="preserve"> </w:t>
      </w:r>
      <w:r w:rsidRPr="00AA552A">
        <w:rPr>
          <w:rFonts w:cs="Cambria"/>
          <w:color w:val="000000"/>
        </w:rPr>
        <w:t>h</w:t>
      </w:r>
      <w:r w:rsidRPr="00AA552A">
        <w:rPr>
          <w:rFonts w:cs="Cambria"/>
          <w:color w:val="000000"/>
          <w:spacing w:val="1"/>
        </w:rPr>
        <w:t>i</w:t>
      </w:r>
      <w:r w:rsidRPr="00AA552A">
        <w:rPr>
          <w:rFonts w:cs="Cambria"/>
          <w:color w:val="000000"/>
          <w:spacing w:val="-1"/>
        </w:rPr>
        <w:t>g</w:t>
      </w:r>
      <w:r w:rsidRPr="00AA552A">
        <w:rPr>
          <w:rFonts w:cs="Cambria"/>
          <w:color w:val="000000"/>
        </w:rPr>
        <w:t>h</w:t>
      </w:r>
      <w:r w:rsidRPr="00AA552A">
        <w:rPr>
          <w:rFonts w:cs="Cambria"/>
          <w:color w:val="000000"/>
          <w:spacing w:val="-3"/>
        </w:rPr>
        <w:t xml:space="preserve"> </w:t>
      </w:r>
      <w:r w:rsidRPr="00AA552A">
        <w:rPr>
          <w:rFonts w:cs="Cambria"/>
          <w:color w:val="000000"/>
          <w:spacing w:val="1"/>
        </w:rPr>
        <w:t>p</w:t>
      </w:r>
      <w:r w:rsidRPr="00AA552A">
        <w:rPr>
          <w:rFonts w:cs="Cambria"/>
          <w:color w:val="000000"/>
          <w:spacing w:val="-1"/>
        </w:rPr>
        <w:t>r</w:t>
      </w:r>
      <w:r w:rsidRPr="00AA552A">
        <w:rPr>
          <w:rFonts w:cs="Cambria"/>
          <w:color w:val="000000"/>
        </w:rPr>
        <w:t>o</w:t>
      </w:r>
      <w:r w:rsidRPr="00AA552A">
        <w:rPr>
          <w:rFonts w:cs="Cambria"/>
          <w:color w:val="000000"/>
          <w:spacing w:val="2"/>
        </w:rPr>
        <w:t>f</w:t>
      </w:r>
      <w:r w:rsidRPr="00AA552A">
        <w:rPr>
          <w:rFonts w:cs="Cambria"/>
          <w:color w:val="000000"/>
          <w:spacing w:val="1"/>
        </w:rPr>
        <w:t>i</w:t>
      </w:r>
      <w:r w:rsidRPr="00AA552A">
        <w:rPr>
          <w:rFonts w:cs="Cambria"/>
          <w:color w:val="000000"/>
        </w:rPr>
        <w:t>le</w:t>
      </w:r>
      <w:r w:rsidRPr="00AA552A">
        <w:rPr>
          <w:rFonts w:cs="Cambria"/>
          <w:color w:val="000000"/>
          <w:spacing w:val="-4"/>
        </w:rPr>
        <w:t xml:space="preserve"> </w:t>
      </w:r>
      <w:r w:rsidRPr="00AA552A">
        <w:rPr>
          <w:rFonts w:cs="Cambria"/>
          <w:color w:val="000000"/>
          <w:spacing w:val="-1"/>
        </w:rPr>
        <w:t>r</w:t>
      </w:r>
      <w:r w:rsidRPr="00AA552A">
        <w:rPr>
          <w:rFonts w:cs="Cambria"/>
          <w:color w:val="000000"/>
        </w:rPr>
        <w:t>oc</w:t>
      </w:r>
      <w:r w:rsidRPr="00AA552A">
        <w:rPr>
          <w:rFonts w:cs="Cambria"/>
          <w:color w:val="000000"/>
          <w:spacing w:val="-1"/>
        </w:rPr>
        <w:t>k</w:t>
      </w:r>
      <w:r w:rsidRPr="00AA552A">
        <w:rPr>
          <w:rFonts w:cs="Cambria"/>
          <w:color w:val="000000"/>
        </w:rPr>
        <w:t>y</w:t>
      </w:r>
      <w:r w:rsidRPr="00AA552A">
        <w:rPr>
          <w:rFonts w:cs="Cambria"/>
          <w:color w:val="000000"/>
          <w:spacing w:val="-6"/>
        </w:rPr>
        <w:t xml:space="preserve"> </w:t>
      </w:r>
      <w:r w:rsidRPr="00AA552A">
        <w:rPr>
          <w:rFonts w:cs="Cambria"/>
          <w:color w:val="000000"/>
          <w:spacing w:val="1"/>
        </w:rPr>
        <w:t>b</w:t>
      </w:r>
      <w:r w:rsidRPr="00AA552A">
        <w:rPr>
          <w:rFonts w:cs="Cambria"/>
          <w:color w:val="000000"/>
        </w:rPr>
        <w:t>ottom</w:t>
      </w:r>
      <w:r>
        <w:rPr>
          <w:rFonts w:cs="Cambria"/>
          <w:color w:val="000000"/>
        </w:rPr>
        <w:t>,</w:t>
      </w:r>
      <w:r w:rsidRPr="00AA552A">
        <w:rPr>
          <w:rFonts w:cs="Cambria"/>
          <w:color w:val="000000"/>
          <w:spacing w:val="-3"/>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b</w:t>
      </w:r>
      <w:r w:rsidRPr="00AA552A">
        <w:rPr>
          <w:rFonts w:cs="Cambria"/>
          <w:color w:val="000000"/>
          <w:spacing w:val="3"/>
        </w:rPr>
        <w:t>a</w:t>
      </w:r>
      <w:r w:rsidRPr="00AA552A">
        <w:rPr>
          <w:rFonts w:cs="Cambria"/>
          <w:color w:val="000000"/>
          <w:spacing w:val="-1"/>
        </w:rPr>
        <w:t>rr</w:t>
      </w:r>
      <w:r w:rsidRPr="00AA552A">
        <w:rPr>
          <w:rFonts w:cs="Cambria"/>
          <w:color w:val="000000"/>
          <w:spacing w:val="1"/>
        </w:rPr>
        <w:t>ie</w:t>
      </w:r>
      <w:r w:rsidRPr="00AA552A">
        <w:rPr>
          <w:rFonts w:cs="Cambria"/>
          <w:color w:val="000000"/>
        </w:rPr>
        <w:t>r</w:t>
      </w:r>
      <w:r w:rsidRPr="00AA552A">
        <w:rPr>
          <w:rFonts w:cs="Cambria"/>
          <w:color w:val="000000"/>
          <w:spacing w:val="-6"/>
        </w:rPr>
        <w:t xml:space="preserve"> </w:t>
      </w:r>
      <w:r w:rsidRPr="00AA552A">
        <w:rPr>
          <w:rFonts w:cs="Cambria"/>
          <w:color w:val="000000"/>
          <w:spacing w:val="1"/>
        </w:rPr>
        <w:t>i</w:t>
      </w:r>
      <w:r w:rsidRPr="00AA552A">
        <w:rPr>
          <w:rFonts w:cs="Cambria"/>
          <w:color w:val="000000"/>
        </w:rPr>
        <w:t>sland</w:t>
      </w:r>
      <w:r w:rsidRPr="00AA552A">
        <w:rPr>
          <w:rFonts w:cs="Cambria"/>
          <w:color w:val="000000"/>
          <w:spacing w:val="-4"/>
        </w:rPr>
        <w:t xml:space="preserve"> </w:t>
      </w:r>
      <w:r w:rsidRPr="00AA552A">
        <w:rPr>
          <w:rFonts w:cs="Cambria"/>
          <w:color w:val="000000"/>
        </w:rPr>
        <w:t>oc</w:t>
      </w:r>
      <w:r w:rsidRPr="00AA552A">
        <w:rPr>
          <w:rFonts w:cs="Cambria"/>
          <w:color w:val="000000"/>
          <w:spacing w:val="1"/>
        </w:rPr>
        <w:t>e</w:t>
      </w:r>
      <w:r w:rsidRPr="00AA552A">
        <w:rPr>
          <w:rFonts w:cs="Cambria"/>
          <w:color w:val="000000"/>
        </w:rPr>
        <w:t>an-s</w:t>
      </w:r>
      <w:r w:rsidRPr="00AA552A">
        <w:rPr>
          <w:rFonts w:cs="Cambria"/>
          <w:color w:val="000000"/>
          <w:spacing w:val="1"/>
        </w:rPr>
        <w:t>i</w:t>
      </w:r>
      <w:r w:rsidRPr="00AA552A">
        <w:rPr>
          <w:rFonts w:cs="Cambria"/>
          <w:color w:val="000000"/>
          <w:spacing w:val="-1"/>
        </w:rPr>
        <w:t>d</w:t>
      </w:r>
      <w:r w:rsidRPr="00AA552A">
        <w:rPr>
          <w:rFonts w:cs="Cambria"/>
          <w:color w:val="000000"/>
        </w:rPr>
        <w:t>e</w:t>
      </w:r>
      <w:r w:rsidRPr="00AA552A">
        <w:rPr>
          <w:rFonts w:cs="Cambria"/>
          <w:color w:val="000000"/>
          <w:spacing w:val="-5"/>
        </w:rPr>
        <w:t xml:space="preserve"> </w:t>
      </w:r>
      <w:r w:rsidRPr="00AA552A">
        <w:rPr>
          <w:rFonts w:cs="Cambria"/>
          <w:color w:val="000000"/>
          <w:spacing w:val="-1"/>
        </w:rPr>
        <w:t>w</w:t>
      </w:r>
      <w:r w:rsidRPr="00AA552A">
        <w:rPr>
          <w:rFonts w:cs="Cambria"/>
          <w:color w:val="000000"/>
        </w:rPr>
        <w:t>at</w:t>
      </w:r>
      <w:r w:rsidRPr="00AA552A">
        <w:rPr>
          <w:rFonts w:cs="Cambria"/>
          <w:color w:val="000000"/>
          <w:spacing w:val="1"/>
        </w:rPr>
        <w:t>e</w:t>
      </w:r>
      <w:r w:rsidRPr="00AA552A">
        <w:rPr>
          <w:rFonts w:cs="Cambria"/>
          <w:color w:val="000000"/>
          <w:spacing w:val="-1"/>
        </w:rPr>
        <w:t>r</w:t>
      </w:r>
      <w:r w:rsidRPr="00AA552A">
        <w:rPr>
          <w:rFonts w:cs="Cambria"/>
          <w:color w:val="000000"/>
        </w:rPr>
        <w:t>s,</w:t>
      </w:r>
      <w:r w:rsidRPr="00AA552A">
        <w:rPr>
          <w:rFonts w:cs="Cambria"/>
          <w:color w:val="000000"/>
          <w:spacing w:val="-2"/>
        </w:rPr>
        <w:t xml:space="preserve"> </w:t>
      </w:r>
      <w:r w:rsidRPr="00AA552A">
        <w:rPr>
          <w:rFonts w:cs="Cambria"/>
          <w:color w:val="000000"/>
          <w:spacing w:val="-1"/>
        </w:rPr>
        <w:t>fr</w:t>
      </w:r>
      <w:r w:rsidRPr="00AA552A">
        <w:rPr>
          <w:rFonts w:cs="Cambria"/>
          <w:color w:val="000000"/>
        </w:rPr>
        <w:t>om</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su</w:t>
      </w:r>
      <w:r w:rsidRPr="00AA552A">
        <w:rPr>
          <w:rFonts w:cs="Cambria"/>
          <w:color w:val="000000"/>
          <w:spacing w:val="-1"/>
        </w:rPr>
        <w:t>r</w:t>
      </w:r>
      <w:r w:rsidRPr="00AA552A">
        <w:rPr>
          <w:rFonts w:cs="Cambria"/>
          <w:color w:val="000000"/>
        </w:rPr>
        <w:t>f</w:t>
      </w:r>
      <w:r w:rsidRPr="00AA552A">
        <w:rPr>
          <w:rFonts w:cs="Cambria"/>
          <w:color w:val="000000"/>
          <w:spacing w:val="-5"/>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the sh</w:t>
      </w:r>
      <w:r w:rsidRPr="00AA552A">
        <w:rPr>
          <w:rFonts w:cs="Cambria"/>
          <w:color w:val="000000"/>
          <w:spacing w:val="1"/>
        </w:rPr>
        <w:t>e</w:t>
      </w:r>
      <w:r w:rsidRPr="00AA552A">
        <w:rPr>
          <w:rFonts w:cs="Cambria"/>
          <w:color w:val="000000"/>
        </w:rPr>
        <w:t>lf</w:t>
      </w:r>
      <w:r w:rsidRPr="00AA552A">
        <w:rPr>
          <w:rFonts w:cs="Cambria"/>
          <w:color w:val="000000"/>
          <w:spacing w:val="-5"/>
        </w:rPr>
        <w:t xml:space="preserve"> </w:t>
      </w:r>
      <w:r w:rsidRPr="00AA552A">
        <w:rPr>
          <w:rFonts w:cs="Cambria"/>
          <w:color w:val="000000"/>
          <w:spacing w:val="1"/>
        </w:rPr>
        <w:t>b</w:t>
      </w:r>
      <w:r w:rsidRPr="00AA552A">
        <w:rPr>
          <w:rFonts w:cs="Cambria"/>
          <w:color w:val="000000"/>
          <w:spacing w:val="-1"/>
        </w:rPr>
        <w:t>r</w:t>
      </w:r>
      <w:r w:rsidRPr="00AA552A">
        <w:rPr>
          <w:rFonts w:cs="Cambria"/>
          <w:color w:val="000000"/>
          <w:spacing w:val="1"/>
        </w:rPr>
        <w:t>e</w:t>
      </w:r>
      <w:r w:rsidRPr="00AA552A">
        <w:rPr>
          <w:rFonts w:cs="Cambria"/>
          <w:color w:val="000000"/>
        </w:rPr>
        <w:t>ak</w:t>
      </w:r>
      <w:r w:rsidRPr="00AA552A">
        <w:rPr>
          <w:rFonts w:cs="Cambria"/>
          <w:color w:val="000000"/>
          <w:spacing w:val="-3"/>
        </w:rPr>
        <w:t xml:space="preserve"> </w:t>
      </w:r>
      <w:r w:rsidRPr="00AA552A">
        <w:rPr>
          <w:rFonts w:cs="Cambria"/>
          <w:color w:val="000000"/>
          <w:spacing w:val="-1"/>
        </w:rPr>
        <w:t>z</w:t>
      </w:r>
      <w:r w:rsidRPr="00AA552A">
        <w:rPr>
          <w:rFonts w:cs="Cambria"/>
          <w:color w:val="000000"/>
        </w:rPr>
        <w:t>on</w:t>
      </w:r>
      <w:r w:rsidRPr="00AA552A">
        <w:rPr>
          <w:rFonts w:cs="Cambria"/>
          <w:color w:val="000000"/>
          <w:spacing w:val="1"/>
        </w:rPr>
        <w:t>e</w:t>
      </w:r>
      <w:r w:rsidRPr="00AA552A">
        <w:rPr>
          <w:rFonts w:cs="Cambria"/>
          <w:color w:val="000000"/>
        </w:rPr>
        <w:t>,</w:t>
      </w:r>
      <w:r w:rsidRPr="00AA552A">
        <w:rPr>
          <w:rFonts w:cs="Cambria"/>
          <w:color w:val="000000"/>
          <w:spacing w:val="-3"/>
        </w:rPr>
        <w:t xml:space="preserve"> </w:t>
      </w:r>
      <w:r w:rsidRPr="00AA552A">
        <w:rPr>
          <w:rFonts w:cs="Cambria"/>
          <w:color w:val="000000"/>
          <w:spacing w:val="1"/>
        </w:rPr>
        <w:t>b</w:t>
      </w:r>
      <w:r w:rsidRPr="00AA552A">
        <w:rPr>
          <w:rFonts w:cs="Cambria"/>
          <w:color w:val="000000"/>
        </w:rPr>
        <w:t xml:space="preserve">ut </w:t>
      </w:r>
      <w:r w:rsidRPr="00AA552A">
        <w:rPr>
          <w:rFonts w:cs="Cambria"/>
          <w:color w:val="000000"/>
          <w:spacing w:val="-1"/>
        </w:rPr>
        <w:t>f</w:t>
      </w:r>
      <w:r w:rsidRPr="00AA552A">
        <w:rPr>
          <w:rFonts w:cs="Cambria"/>
          <w:color w:val="000000"/>
          <w:spacing w:val="2"/>
        </w:rPr>
        <w:t>r</w:t>
      </w:r>
      <w:r w:rsidRPr="00AA552A">
        <w:rPr>
          <w:rFonts w:cs="Cambria"/>
          <w:color w:val="000000"/>
        </w:rPr>
        <w:t>om</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Gulf</w:t>
      </w:r>
      <w:r w:rsidRPr="00AA552A">
        <w:rPr>
          <w:rFonts w:cs="Cambria"/>
          <w:color w:val="000000"/>
          <w:spacing w:val="-3"/>
        </w:rPr>
        <w:t xml:space="preserve"> </w:t>
      </w:r>
      <w:r>
        <w:rPr>
          <w:rFonts w:cs="Cambria"/>
          <w:color w:val="000000"/>
        </w:rPr>
        <w:t>S</w:t>
      </w:r>
      <w:r w:rsidRPr="00AA552A">
        <w:rPr>
          <w:rFonts w:cs="Cambria"/>
          <w:color w:val="000000"/>
        </w:rPr>
        <w:t>t</w:t>
      </w:r>
      <w:r w:rsidRPr="00AA552A">
        <w:rPr>
          <w:rFonts w:cs="Cambria"/>
          <w:color w:val="000000"/>
          <w:spacing w:val="-1"/>
        </w:rPr>
        <w:t>r</w:t>
      </w:r>
      <w:r w:rsidRPr="00AA552A">
        <w:rPr>
          <w:rFonts w:cs="Cambria"/>
          <w:color w:val="000000"/>
          <w:spacing w:val="1"/>
        </w:rPr>
        <w:t>e</w:t>
      </w:r>
      <w:r w:rsidRPr="00AA552A">
        <w:rPr>
          <w:rFonts w:cs="Cambria"/>
          <w:color w:val="000000"/>
        </w:rPr>
        <w:t>am</w:t>
      </w:r>
      <w:r w:rsidRPr="00AA552A">
        <w:rPr>
          <w:rFonts w:cs="Cambria"/>
          <w:color w:val="000000"/>
          <w:spacing w:val="-3"/>
        </w:rPr>
        <w:t xml:space="preserve"> </w:t>
      </w:r>
      <w:r w:rsidRPr="00AA552A">
        <w:rPr>
          <w:rFonts w:cs="Cambria"/>
          <w:color w:val="000000"/>
        </w:rPr>
        <w:t>sh</w:t>
      </w:r>
      <w:r w:rsidRPr="00AA552A">
        <w:rPr>
          <w:rFonts w:cs="Cambria"/>
          <w:color w:val="000000"/>
          <w:spacing w:val="2"/>
        </w:rPr>
        <w:t>o</w:t>
      </w:r>
      <w:r w:rsidRPr="00AA552A">
        <w:rPr>
          <w:rFonts w:cs="Cambria"/>
          <w:color w:val="000000"/>
          <w:spacing w:val="-1"/>
        </w:rPr>
        <w:t>r</w:t>
      </w:r>
      <w:r w:rsidRPr="00AA552A">
        <w:rPr>
          <w:rFonts w:cs="Cambria"/>
          <w:color w:val="000000"/>
          <w:spacing w:val="1"/>
        </w:rPr>
        <w:t>e</w:t>
      </w:r>
      <w:r w:rsidRPr="00AA552A">
        <w:rPr>
          <w:rFonts w:cs="Cambria"/>
          <w:color w:val="000000"/>
          <w:spacing w:val="-1"/>
        </w:rPr>
        <w:t>w</w:t>
      </w:r>
      <w:r w:rsidRPr="00AA552A">
        <w:rPr>
          <w:rFonts w:cs="Cambria"/>
          <w:color w:val="000000"/>
        </w:rPr>
        <w:t>a</w:t>
      </w:r>
      <w:r w:rsidRPr="00AA552A">
        <w:rPr>
          <w:rFonts w:cs="Cambria"/>
          <w:color w:val="000000"/>
          <w:spacing w:val="-1"/>
        </w:rPr>
        <w:t>rd</w:t>
      </w:r>
      <w:r w:rsidRPr="00AA552A">
        <w:rPr>
          <w:rFonts w:cs="Cambria"/>
          <w:color w:val="000000"/>
        </w:rPr>
        <w:t>,</w:t>
      </w:r>
      <w:r w:rsidRPr="00AA552A">
        <w:rPr>
          <w:rFonts w:cs="Cambria"/>
          <w:color w:val="000000"/>
          <w:spacing w:val="-7"/>
        </w:rPr>
        <w:t xml:space="preserve"> </w:t>
      </w:r>
      <w:r w:rsidRPr="00AA552A">
        <w:rPr>
          <w:rFonts w:cs="Cambria"/>
          <w:color w:val="000000"/>
          <w:spacing w:val="1"/>
        </w:rPr>
        <w:t>i</w:t>
      </w:r>
      <w:r w:rsidRPr="00AA552A">
        <w:rPr>
          <w:rFonts w:cs="Cambria"/>
          <w:color w:val="000000"/>
        </w:rPr>
        <w:t>nclu</w:t>
      </w:r>
      <w:r w:rsidRPr="00AA552A">
        <w:rPr>
          <w:rFonts w:cs="Cambria"/>
          <w:color w:val="000000"/>
          <w:spacing w:val="-1"/>
        </w:rPr>
        <w:t>d</w:t>
      </w:r>
      <w:r w:rsidRPr="00AA552A">
        <w:rPr>
          <w:rFonts w:cs="Cambria"/>
          <w:color w:val="000000"/>
          <w:spacing w:val="1"/>
        </w:rPr>
        <w:t>i</w:t>
      </w:r>
      <w:r w:rsidRPr="00AA552A">
        <w:rPr>
          <w:rFonts w:cs="Cambria"/>
          <w:color w:val="000000"/>
        </w:rPr>
        <w:t>ng</w:t>
      </w:r>
      <w:r w:rsidRPr="00AA552A">
        <w:rPr>
          <w:rFonts w:cs="Cambria"/>
          <w:color w:val="000000"/>
          <w:spacing w:val="-4"/>
        </w:rPr>
        <w:t xml:space="preserve"> </w:t>
      </w:r>
      <w:r w:rsidRPr="00AA552A">
        <w:rPr>
          <w:rFonts w:cs="Cambria"/>
          <w:i/>
          <w:iCs/>
          <w:color w:val="000000"/>
        </w:rPr>
        <w:t>S</w:t>
      </w:r>
      <w:r w:rsidRPr="00AA552A">
        <w:rPr>
          <w:rFonts w:cs="Cambria"/>
          <w:i/>
          <w:iCs/>
          <w:color w:val="000000"/>
          <w:spacing w:val="1"/>
        </w:rPr>
        <w:t>ar</w:t>
      </w:r>
      <w:r w:rsidRPr="00AA552A">
        <w:rPr>
          <w:rFonts w:cs="Cambria"/>
          <w:i/>
          <w:iCs/>
          <w:color w:val="000000"/>
          <w:spacing w:val="-1"/>
        </w:rPr>
        <w:t>g</w:t>
      </w:r>
      <w:r w:rsidRPr="00AA552A">
        <w:rPr>
          <w:rFonts w:cs="Cambria"/>
          <w:i/>
          <w:iCs/>
          <w:color w:val="000000"/>
          <w:spacing w:val="1"/>
        </w:rPr>
        <w:t>a</w:t>
      </w:r>
      <w:r w:rsidRPr="00AA552A">
        <w:rPr>
          <w:rFonts w:cs="Cambria"/>
          <w:i/>
          <w:iCs/>
          <w:color w:val="000000"/>
        </w:rPr>
        <w:t>ss</w:t>
      </w:r>
      <w:r w:rsidRPr="00AA552A">
        <w:rPr>
          <w:rFonts w:cs="Cambria"/>
          <w:i/>
          <w:iCs/>
          <w:color w:val="000000"/>
          <w:spacing w:val="1"/>
        </w:rPr>
        <w:t>u</w:t>
      </w:r>
      <w:r w:rsidRPr="00AA552A">
        <w:rPr>
          <w:rFonts w:cs="Cambria"/>
          <w:i/>
          <w:iCs/>
          <w:color w:val="000000"/>
        </w:rPr>
        <w:t>m</w:t>
      </w:r>
      <w:r w:rsidRPr="00AA552A">
        <w:rPr>
          <w:rFonts w:cs="Cambria"/>
          <w:color w:val="000000"/>
        </w:rPr>
        <w:t>.</w:t>
      </w:r>
      <w:r w:rsidRPr="00AA552A">
        <w:rPr>
          <w:rFonts w:cs="Cambria"/>
          <w:color w:val="000000"/>
          <w:spacing w:val="48"/>
        </w:rPr>
        <w:t xml:space="preserve"> </w:t>
      </w:r>
      <w:r w:rsidRPr="00AA552A">
        <w:rPr>
          <w:rFonts w:cs="Cambria"/>
          <w:color w:val="000000"/>
          <w:spacing w:val="-1"/>
        </w:rPr>
        <w:t>I</w:t>
      </w:r>
      <w:r w:rsidRPr="00AA552A">
        <w:rPr>
          <w:rFonts w:cs="Cambria"/>
          <w:color w:val="000000"/>
        </w:rPr>
        <w:t>n a</w:t>
      </w:r>
      <w:r w:rsidRPr="00AA552A">
        <w:rPr>
          <w:rFonts w:cs="Cambria"/>
          <w:color w:val="000000"/>
          <w:spacing w:val="-1"/>
        </w:rPr>
        <w:t>dd</w:t>
      </w:r>
      <w:r w:rsidRPr="00AA552A">
        <w:rPr>
          <w:rFonts w:cs="Cambria"/>
          <w:color w:val="000000"/>
          <w:spacing w:val="1"/>
        </w:rPr>
        <w:t>i</w:t>
      </w:r>
      <w:r w:rsidRPr="00AA552A">
        <w:rPr>
          <w:rFonts w:cs="Cambria"/>
          <w:color w:val="000000"/>
        </w:rPr>
        <w:t>t</w:t>
      </w:r>
      <w:r w:rsidRPr="00AA552A">
        <w:rPr>
          <w:rFonts w:cs="Cambria"/>
          <w:color w:val="000000"/>
          <w:spacing w:val="1"/>
        </w:rPr>
        <w:t>i</w:t>
      </w:r>
      <w:r w:rsidRPr="00AA552A">
        <w:rPr>
          <w:rFonts w:cs="Cambria"/>
          <w:color w:val="000000"/>
        </w:rPr>
        <w:t>on,</w:t>
      </w:r>
      <w:r w:rsidRPr="00AA552A">
        <w:rPr>
          <w:rFonts w:cs="Cambria"/>
          <w:color w:val="000000"/>
          <w:spacing w:val="-4"/>
        </w:rPr>
        <w:t xml:space="preserve"> </w:t>
      </w:r>
      <w:r w:rsidRPr="00AA552A">
        <w:rPr>
          <w:rFonts w:cs="Cambria"/>
          <w:color w:val="000000"/>
        </w:rPr>
        <w:t xml:space="preserve">all coastal </w:t>
      </w:r>
      <w:r w:rsidRPr="00AA552A">
        <w:rPr>
          <w:rFonts w:cs="Cambria"/>
          <w:color w:val="000000"/>
          <w:spacing w:val="1"/>
        </w:rPr>
        <w:t>i</w:t>
      </w:r>
      <w:r w:rsidRPr="00AA552A">
        <w:rPr>
          <w:rFonts w:cs="Cambria"/>
          <w:color w:val="000000"/>
        </w:rPr>
        <w:t>nl</w:t>
      </w:r>
      <w:r w:rsidRPr="00AA552A">
        <w:rPr>
          <w:rFonts w:cs="Cambria"/>
          <w:color w:val="000000"/>
          <w:spacing w:val="1"/>
        </w:rPr>
        <w:t>e</w:t>
      </w:r>
      <w:r>
        <w:rPr>
          <w:rFonts w:cs="Cambria"/>
          <w:color w:val="000000"/>
        </w:rPr>
        <w:t>ts and</w:t>
      </w:r>
      <w:r w:rsidRPr="00AA552A">
        <w:rPr>
          <w:rFonts w:cs="Cambria"/>
          <w:color w:val="000000"/>
          <w:spacing w:val="-2"/>
        </w:rPr>
        <w:t xml:space="preserve"> </w:t>
      </w:r>
      <w:r w:rsidRPr="00AA552A">
        <w:rPr>
          <w:rFonts w:cs="Cambria"/>
          <w:color w:val="000000"/>
        </w:rPr>
        <w:t>all sta</w:t>
      </w:r>
      <w:r w:rsidRPr="00AA552A">
        <w:rPr>
          <w:rFonts w:cs="Cambria"/>
          <w:color w:val="000000"/>
          <w:spacing w:val="-2"/>
        </w:rPr>
        <w:t>t</w:t>
      </w:r>
      <w:r w:rsidRPr="00AA552A">
        <w:rPr>
          <w:rFonts w:cs="Cambria"/>
          <w:color w:val="000000"/>
          <w:spacing w:val="1"/>
        </w:rPr>
        <w:t>e</w:t>
      </w:r>
      <w:r w:rsidRPr="00AA552A">
        <w:rPr>
          <w:rFonts w:cs="Cambria"/>
          <w:color w:val="000000"/>
        </w:rPr>
        <w:t>-</w:t>
      </w:r>
      <w:r w:rsidRPr="00AA552A">
        <w:rPr>
          <w:rFonts w:cs="Cambria"/>
          <w:color w:val="000000"/>
          <w:spacing w:val="-1"/>
        </w:rPr>
        <w:t>d</w:t>
      </w:r>
      <w:r w:rsidRPr="00AA552A">
        <w:rPr>
          <w:rFonts w:cs="Cambria"/>
          <w:color w:val="000000"/>
          <w:spacing w:val="1"/>
        </w:rPr>
        <w:t>e</w:t>
      </w:r>
      <w:r w:rsidRPr="00AA552A">
        <w:rPr>
          <w:rFonts w:cs="Cambria"/>
          <w:color w:val="000000"/>
        </w:rPr>
        <w:t>s</w:t>
      </w:r>
      <w:r w:rsidRPr="00AA552A">
        <w:rPr>
          <w:rFonts w:cs="Cambria"/>
          <w:color w:val="000000"/>
          <w:spacing w:val="1"/>
        </w:rPr>
        <w:t>i</w:t>
      </w:r>
      <w:r w:rsidRPr="00AA552A">
        <w:rPr>
          <w:rFonts w:cs="Cambria"/>
          <w:color w:val="000000"/>
          <w:spacing w:val="-1"/>
        </w:rPr>
        <w:t>g</w:t>
      </w:r>
      <w:r w:rsidRPr="00AA552A">
        <w:rPr>
          <w:rFonts w:cs="Cambria"/>
          <w:color w:val="000000"/>
        </w:rPr>
        <w:t>na</w:t>
      </w:r>
      <w:r w:rsidRPr="00AA552A">
        <w:rPr>
          <w:rFonts w:cs="Cambria"/>
          <w:color w:val="000000"/>
          <w:spacing w:val="-2"/>
        </w:rPr>
        <w:t>t</w:t>
      </w:r>
      <w:r w:rsidRPr="00AA552A">
        <w:rPr>
          <w:rFonts w:cs="Cambria"/>
          <w:color w:val="000000"/>
          <w:spacing w:val="1"/>
        </w:rPr>
        <w:t>e</w:t>
      </w:r>
      <w:r w:rsidRPr="00AA552A">
        <w:rPr>
          <w:rFonts w:cs="Cambria"/>
          <w:color w:val="000000"/>
        </w:rPr>
        <w:t>d</w:t>
      </w:r>
      <w:r w:rsidRPr="00AA552A">
        <w:rPr>
          <w:rFonts w:cs="Cambria"/>
          <w:color w:val="000000"/>
          <w:spacing w:val="-10"/>
        </w:rPr>
        <w:t xml:space="preserve"> </w:t>
      </w:r>
      <w:r w:rsidRPr="00AA552A">
        <w:rPr>
          <w:rFonts w:cs="Cambria"/>
          <w:color w:val="000000"/>
        </w:rPr>
        <w:t>n</w:t>
      </w:r>
      <w:r w:rsidRPr="00AA552A">
        <w:rPr>
          <w:rFonts w:cs="Cambria"/>
          <w:color w:val="000000"/>
          <w:spacing w:val="-1"/>
        </w:rPr>
        <w:t>ur</w:t>
      </w:r>
      <w:r w:rsidRPr="00AA552A">
        <w:rPr>
          <w:rFonts w:cs="Cambria"/>
          <w:color w:val="000000"/>
        </w:rPr>
        <w:t>s</w:t>
      </w:r>
      <w:r w:rsidRPr="00AA552A">
        <w:rPr>
          <w:rFonts w:cs="Cambria"/>
          <w:color w:val="000000"/>
          <w:spacing w:val="1"/>
        </w:rPr>
        <w:t>e</w:t>
      </w:r>
      <w:r w:rsidRPr="00AA552A">
        <w:rPr>
          <w:rFonts w:cs="Cambria"/>
          <w:color w:val="000000"/>
          <w:spacing w:val="-1"/>
        </w:rPr>
        <w:t>r</w:t>
      </w:r>
      <w:r w:rsidRPr="00AA552A">
        <w:rPr>
          <w:rFonts w:cs="Cambria"/>
          <w:color w:val="000000"/>
        </w:rPr>
        <w:t>y</w:t>
      </w:r>
      <w:r w:rsidRPr="00AA552A">
        <w:rPr>
          <w:rFonts w:cs="Cambria"/>
          <w:color w:val="000000"/>
          <w:spacing w:val="-6"/>
        </w:rPr>
        <w:t xml:space="preserve"> </w:t>
      </w:r>
      <w:r w:rsidRPr="00AA552A">
        <w:rPr>
          <w:rFonts w:cs="Cambria"/>
          <w:color w:val="000000"/>
        </w:rPr>
        <w:t>ha</w:t>
      </w:r>
      <w:r w:rsidRPr="00AA552A">
        <w:rPr>
          <w:rFonts w:cs="Cambria"/>
          <w:color w:val="000000"/>
          <w:spacing w:val="1"/>
        </w:rPr>
        <w:t>bi</w:t>
      </w:r>
      <w:r w:rsidRPr="00AA552A">
        <w:rPr>
          <w:rFonts w:cs="Cambria"/>
          <w:color w:val="000000"/>
        </w:rPr>
        <w:t>tats</w:t>
      </w:r>
      <w:r w:rsidRPr="00AA552A">
        <w:rPr>
          <w:rFonts w:cs="Cambria"/>
          <w:color w:val="000000"/>
          <w:spacing w:val="-3"/>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p</w:t>
      </w:r>
      <w:r w:rsidRPr="00AA552A">
        <w:rPr>
          <w:rFonts w:cs="Cambria"/>
          <w:color w:val="000000"/>
        </w:rPr>
        <w:t>a</w:t>
      </w:r>
      <w:r w:rsidRPr="00AA552A">
        <w:rPr>
          <w:rFonts w:cs="Cambria"/>
          <w:color w:val="000000"/>
          <w:spacing w:val="-1"/>
        </w:rPr>
        <w:t>r</w:t>
      </w:r>
      <w:r w:rsidRPr="00AA552A">
        <w:rPr>
          <w:rFonts w:cs="Cambria"/>
          <w:color w:val="000000"/>
        </w:rPr>
        <w:t>t</w:t>
      </w:r>
      <w:r w:rsidRPr="00AA552A">
        <w:rPr>
          <w:rFonts w:cs="Cambria"/>
          <w:color w:val="000000"/>
          <w:spacing w:val="1"/>
        </w:rPr>
        <w:t>i</w:t>
      </w:r>
      <w:r w:rsidRPr="00AA552A">
        <w:rPr>
          <w:rFonts w:cs="Cambria"/>
          <w:color w:val="000000"/>
        </w:rPr>
        <w:t>c</w:t>
      </w:r>
      <w:r w:rsidRPr="00AA552A">
        <w:rPr>
          <w:rFonts w:cs="Cambria"/>
          <w:color w:val="000000"/>
          <w:spacing w:val="-1"/>
        </w:rPr>
        <w:t>u</w:t>
      </w:r>
      <w:r w:rsidRPr="00AA552A">
        <w:rPr>
          <w:rFonts w:cs="Cambria"/>
          <w:color w:val="000000"/>
        </w:rPr>
        <w:t>lar</w:t>
      </w:r>
      <w:r w:rsidRPr="00AA552A">
        <w:rPr>
          <w:rFonts w:cs="Cambria"/>
          <w:color w:val="000000"/>
          <w:spacing w:val="-5"/>
        </w:rPr>
        <w:t xml:space="preserve"> </w:t>
      </w:r>
      <w:r w:rsidRPr="00AA552A">
        <w:rPr>
          <w:rFonts w:cs="Cambria"/>
          <w:color w:val="000000"/>
          <w:spacing w:val="1"/>
        </w:rPr>
        <w:t>i</w:t>
      </w:r>
      <w:r w:rsidRPr="00AA552A">
        <w:rPr>
          <w:rFonts w:cs="Cambria"/>
          <w:color w:val="000000"/>
        </w:rPr>
        <w:t>m</w:t>
      </w:r>
      <w:r w:rsidRPr="00AA552A">
        <w:rPr>
          <w:rFonts w:cs="Cambria"/>
          <w:color w:val="000000"/>
          <w:spacing w:val="1"/>
        </w:rPr>
        <w:t>p</w:t>
      </w:r>
      <w:r w:rsidRPr="00AA552A">
        <w:rPr>
          <w:rFonts w:cs="Cambria"/>
          <w:color w:val="000000"/>
        </w:rPr>
        <w:t>o</w:t>
      </w:r>
      <w:r w:rsidRPr="00AA552A">
        <w:rPr>
          <w:rFonts w:cs="Cambria"/>
          <w:color w:val="000000"/>
          <w:spacing w:val="-1"/>
        </w:rPr>
        <w:t>r</w:t>
      </w:r>
      <w:r w:rsidRPr="00AA552A">
        <w:rPr>
          <w:rFonts w:cs="Cambria"/>
          <w:color w:val="000000"/>
        </w:rPr>
        <w:t>tance</w:t>
      </w:r>
      <w:r w:rsidRPr="00AA552A">
        <w:rPr>
          <w:rFonts w:cs="Cambria"/>
          <w:color w:val="000000"/>
          <w:spacing w:val="-4"/>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coastal</w:t>
      </w:r>
      <w:r w:rsidRPr="00AA552A">
        <w:rPr>
          <w:rFonts w:cs="Cambria"/>
          <w:color w:val="000000"/>
          <w:spacing w:val="-3"/>
        </w:rPr>
        <w:t xml:space="preserve"> </w:t>
      </w:r>
      <w:r w:rsidRPr="00AA552A">
        <w:rPr>
          <w:rFonts w:cs="Cambria"/>
          <w:color w:val="000000"/>
        </w:rPr>
        <w:t>m</w:t>
      </w:r>
      <w:r w:rsidRPr="00AA552A">
        <w:rPr>
          <w:rFonts w:cs="Cambria"/>
          <w:color w:val="000000"/>
          <w:spacing w:val="1"/>
        </w:rPr>
        <w:t>i</w:t>
      </w:r>
      <w:r w:rsidRPr="00AA552A">
        <w:rPr>
          <w:rFonts w:cs="Cambria"/>
          <w:color w:val="000000"/>
          <w:spacing w:val="-1"/>
        </w:rPr>
        <w:t>gr</w:t>
      </w:r>
      <w:r w:rsidRPr="00AA552A">
        <w:rPr>
          <w:rFonts w:cs="Cambria"/>
          <w:color w:val="000000"/>
        </w:rPr>
        <w:t>ato</w:t>
      </w:r>
      <w:r w:rsidRPr="00AA552A">
        <w:rPr>
          <w:rFonts w:cs="Cambria"/>
          <w:color w:val="000000"/>
          <w:spacing w:val="-1"/>
        </w:rPr>
        <w:t>r</w:t>
      </w:r>
      <w:r w:rsidRPr="00AA552A">
        <w:rPr>
          <w:rFonts w:cs="Cambria"/>
          <w:color w:val="000000"/>
        </w:rPr>
        <w:t>y</w:t>
      </w:r>
      <w:r w:rsidRPr="00AA552A">
        <w:rPr>
          <w:rFonts w:cs="Cambria"/>
          <w:color w:val="000000"/>
          <w:spacing w:val="-6"/>
        </w:rPr>
        <w:t xml:space="preserve"> </w:t>
      </w:r>
      <w:r w:rsidRPr="00AA552A">
        <w:rPr>
          <w:rFonts w:cs="Cambria"/>
          <w:color w:val="000000"/>
          <w:spacing w:val="1"/>
        </w:rPr>
        <w:t>pe</w:t>
      </w:r>
      <w:r w:rsidRPr="00AA552A">
        <w:rPr>
          <w:rFonts w:cs="Cambria"/>
          <w:color w:val="000000"/>
        </w:rPr>
        <w:t>la</w:t>
      </w:r>
      <w:r w:rsidRPr="00AA552A">
        <w:rPr>
          <w:rFonts w:cs="Cambria"/>
          <w:color w:val="000000"/>
          <w:spacing w:val="1"/>
        </w:rPr>
        <w:t>gi</w:t>
      </w:r>
      <w:r w:rsidRPr="00AA552A">
        <w:rPr>
          <w:rFonts w:cs="Cambria"/>
          <w:color w:val="000000"/>
        </w:rPr>
        <w:t>cs (</w:t>
      </w:r>
      <w:r w:rsidRPr="00AA552A">
        <w:rPr>
          <w:rFonts w:cs="Cambria"/>
          <w:color w:val="000000"/>
          <w:spacing w:val="-1"/>
        </w:rPr>
        <w:t>f</w:t>
      </w:r>
      <w:r w:rsidRPr="00AA552A">
        <w:rPr>
          <w:rFonts w:cs="Cambria"/>
          <w:color w:val="000000"/>
        </w:rPr>
        <w:t>or</w:t>
      </w:r>
      <w:r w:rsidRPr="00AA552A">
        <w:rPr>
          <w:rFonts w:cs="Cambria"/>
          <w:color w:val="000000"/>
          <w:spacing w:val="-5"/>
        </w:rPr>
        <w:t xml:space="preserve"> </w:t>
      </w:r>
      <w:r w:rsidRPr="00AA552A">
        <w:rPr>
          <w:rFonts w:cs="Cambria"/>
          <w:color w:val="000000"/>
          <w:spacing w:val="1"/>
        </w:rPr>
        <w:t>e</w:t>
      </w:r>
      <w:r w:rsidRPr="00AA552A">
        <w:rPr>
          <w:rFonts w:cs="Cambria"/>
          <w:color w:val="000000"/>
          <w:spacing w:val="-1"/>
        </w:rPr>
        <w:t>x</w:t>
      </w:r>
      <w:r w:rsidRPr="00AA552A">
        <w:rPr>
          <w:rFonts w:cs="Cambria"/>
          <w:color w:val="000000"/>
        </w:rPr>
        <w:t>am</w:t>
      </w:r>
      <w:r w:rsidRPr="00AA552A">
        <w:rPr>
          <w:rFonts w:cs="Cambria"/>
          <w:color w:val="000000"/>
          <w:spacing w:val="1"/>
        </w:rPr>
        <w:t>p</w:t>
      </w:r>
      <w:r w:rsidRPr="00AA552A">
        <w:rPr>
          <w:rFonts w:cs="Cambria"/>
          <w:color w:val="000000"/>
        </w:rPr>
        <w:t>l</w:t>
      </w:r>
      <w:r w:rsidRPr="00AA552A">
        <w:rPr>
          <w:rFonts w:cs="Cambria"/>
          <w:color w:val="000000"/>
          <w:spacing w:val="1"/>
        </w:rPr>
        <w:t>e</w:t>
      </w:r>
      <w:r w:rsidRPr="00AA552A">
        <w:rPr>
          <w:rFonts w:cs="Cambria"/>
          <w:color w:val="000000"/>
        </w:rPr>
        <w:t>,</w:t>
      </w:r>
      <w:r w:rsidRPr="00AA552A">
        <w:rPr>
          <w:rFonts w:cs="Cambria"/>
          <w:color w:val="000000"/>
          <w:spacing w:val="-1"/>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No</w:t>
      </w:r>
      <w:r w:rsidRPr="00AA552A">
        <w:rPr>
          <w:rFonts w:cs="Cambria"/>
          <w:color w:val="000000"/>
          <w:spacing w:val="-1"/>
        </w:rPr>
        <w:t>r</w:t>
      </w:r>
      <w:r w:rsidRPr="00AA552A">
        <w:rPr>
          <w:rFonts w:cs="Cambria"/>
          <w:color w:val="000000"/>
        </w:rPr>
        <w:t>th</w:t>
      </w:r>
      <w:r w:rsidRPr="00AA552A">
        <w:rPr>
          <w:rFonts w:cs="Cambria"/>
          <w:color w:val="000000"/>
          <w:spacing w:val="-5"/>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rPr>
        <w:t>ol</w:t>
      </w:r>
      <w:r w:rsidRPr="00AA552A">
        <w:rPr>
          <w:rFonts w:cs="Cambria"/>
          <w:color w:val="000000"/>
          <w:spacing w:val="1"/>
        </w:rPr>
        <w:t>i</w:t>
      </w:r>
      <w:r w:rsidRPr="00AA552A">
        <w:rPr>
          <w:rFonts w:cs="Cambria"/>
          <w:color w:val="000000"/>
        </w:rPr>
        <w:t>na</w:t>
      </w:r>
      <w:r w:rsidRPr="00AA552A">
        <w:rPr>
          <w:rFonts w:cs="Cambria"/>
          <w:color w:val="000000"/>
          <w:spacing w:val="-4"/>
        </w:rPr>
        <w:t xml:space="preserve"> </w:t>
      </w:r>
      <w:r w:rsidRPr="00AA552A">
        <w:rPr>
          <w:rFonts w:cs="Cambria"/>
          <w:color w:val="000000"/>
        </w:rPr>
        <w:t>th</w:t>
      </w:r>
      <w:r w:rsidRPr="00AA552A">
        <w:rPr>
          <w:rFonts w:cs="Cambria"/>
          <w:color w:val="000000"/>
          <w:spacing w:val="1"/>
        </w:rPr>
        <w:t>i</w:t>
      </w:r>
      <w:r w:rsidRPr="00AA552A">
        <w:rPr>
          <w:rFonts w:cs="Cambria"/>
          <w:color w:val="000000"/>
        </w:rPr>
        <w:t>s</w:t>
      </w:r>
      <w:r w:rsidRPr="00AA552A">
        <w:rPr>
          <w:rFonts w:cs="Cambria"/>
          <w:color w:val="000000"/>
          <w:spacing w:val="-3"/>
        </w:rPr>
        <w:t xml:space="preserve"> </w:t>
      </w:r>
      <w:r w:rsidRPr="00AA552A">
        <w:rPr>
          <w:rFonts w:cs="Cambria"/>
          <w:color w:val="000000"/>
          <w:spacing w:val="-1"/>
        </w:rPr>
        <w:t>w</w:t>
      </w:r>
      <w:r w:rsidRPr="00AA552A">
        <w:rPr>
          <w:rFonts w:cs="Cambria"/>
          <w:color w:val="000000"/>
        </w:rPr>
        <w:t>ould</w:t>
      </w:r>
      <w:r w:rsidRPr="00AA552A">
        <w:rPr>
          <w:rFonts w:cs="Cambria"/>
          <w:color w:val="000000"/>
          <w:spacing w:val="-4"/>
        </w:rPr>
        <w:t xml:space="preserve"> </w:t>
      </w:r>
      <w:r w:rsidRPr="00AA552A">
        <w:rPr>
          <w:rFonts w:cs="Cambria"/>
          <w:color w:val="000000"/>
          <w:spacing w:val="1"/>
        </w:rPr>
        <w:t>i</w:t>
      </w:r>
      <w:r w:rsidRPr="00AA552A">
        <w:rPr>
          <w:rFonts w:cs="Cambria"/>
          <w:color w:val="000000"/>
        </w:rPr>
        <w:t>nc</w:t>
      </w:r>
      <w:r w:rsidRPr="00AA552A">
        <w:rPr>
          <w:rFonts w:cs="Cambria"/>
          <w:color w:val="000000"/>
          <w:spacing w:val="2"/>
        </w:rPr>
        <w:t>l</w:t>
      </w:r>
      <w:r w:rsidRPr="00AA552A">
        <w:rPr>
          <w:rFonts w:cs="Cambria"/>
          <w:color w:val="000000"/>
        </w:rPr>
        <w:t>u</w:t>
      </w:r>
      <w:r w:rsidRPr="00AA552A">
        <w:rPr>
          <w:rFonts w:cs="Cambria"/>
          <w:color w:val="000000"/>
          <w:spacing w:val="-1"/>
        </w:rPr>
        <w:t>d</w:t>
      </w:r>
      <w:r w:rsidRPr="00AA552A">
        <w:rPr>
          <w:rFonts w:cs="Cambria"/>
          <w:color w:val="000000"/>
        </w:rPr>
        <w:t>e</w:t>
      </w:r>
      <w:r w:rsidRPr="00AA552A">
        <w:rPr>
          <w:rFonts w:cs="Cambria"/>
          <w:color w:val="000000"/>
          <w:spacing w:val="-5"/>
        </w:rPr>
        <w:t xml:space="preserve"> </w:t>
      </w:r>
      <w:r w:rsidRPr="00AA552A">
        <w:rPr>
          <w:rFonts w:cs="Cambria"/>
          <w:color w:val="000000"/>
        </w:rPr>
        <w:t xml:space="preserve">all </w:t>
      </w:r>
      <w:r w:rsidRPr="00AA552A">
        <w:rPr>
          <w:rFonts w:cs="Cambria"/>
          <w:color w:val="000000"/>
          <w:spacing w:val="1"/>
        </w:rPr>
        <w:t>P</w:t>
      </w:r>
      <w:r w:rsidRPr="00AA552A">
        <w:rPr>
          <w:rFonts w:cs="Cambria"/>
          <w:color w:val="000000"/>
          <w:spacing w:val="-1"/>
        </w:rPr>
        <w:t>r</w:t>
      </w:r>
      <w:r w:rsidRPr="00AA552A">
        <w:rPr>
          <w:rFonts w:cs="Cambria"/>
          <w:color w:val="000000"/>
          <w:spacing w:val="1"/>
        </w:rPr>
        <w:t>i</w:t>
      </w:r>
      <w:r w:rsidRPr="00AA552A">
        <w:rPr>
          <w:rFonts w:cs="Cambria"/>
          <w:color w:val="000000"/>
        </w:rPr>
        <w:t>ma</w:t>
      </w:r>
      <w:r w:rsidRPr="00AA552A">
        <w:rPr>
          <w:rFonts w:cs="Cambria"/>
          <w:color w:val="000000"/>
          <w:spacing w:val="-1"/>
        </w:rPr>
        <w:t>r</w:t>
      </w:r>
      <w:r w:rsidRPr="00AA552A">
        <w:rPr>
          <w:rFonts w:cs="Cambria"/>
          <w:color w:val="000000"/>
        </w:rPr>
        <w:t>y</w:t>
      </w:r>
      <w:r w:rsidRPr="00AA552A">
        <w:rPr>
          <w:rFonts w:cs="Cambria"/>
          <w:color w:val="000000"/>
          <w:spacing w:val="-6"/>
        </w:rPr>
        <w:t xml:space="preserve"> </w:t>
      </w:r>
      <w:r w:rsidRPr="00AA552A">
        <w:rPr>
          <w:rFonts w:cs="Cambria"/>
          <w:color w:val="000000"/>
          <w:spacing w:val="2"/>
        </w:rPr>
        <w:t>N</w:t>
      </w:r>
      <w:r w:rsidRPr="00AA552A">
        <w:rPr>
          <w:rFonts w:cs="Cambria"/>
          <w:color w:val="000000"/>
        </w:rPr>
        <w:t>u</w:t>
      </w:r>
      <w:r w:rsidRPr="00AA552A">
        <w:rPr>
          <w:rFonts w:cs="Cambria"/>
          <w:color w:val="000000"/>
          <w:spacing w:val="-1"/>
        </w:rPr>
        <w:t>r</w:t>
      </w:r>
      <w:r w:rsidRPr="00AA552A">
        <w:rPr>
          <w:rFonts w:cs="Cambria"/>
          <w:color w:val="000000"/>
        </w:rPr>
        <w:t>s</w:t>
      </w:r>
      <w:r w:rsidRPr="00AA552A">
        <w:rPr>
          <w:rFonts w:cs="Cambria"/>
          <w:color w:val="000000"/>
          <w:spacing w:val="1"/>
        </w:rPr>
        <w:t>e</w:t>
      </w:r>
      <w:r w:rsidRPr="00AA552A">
        <w:rPr>
          <w:rFonts w:cs="Cambria"/>
          <w:color w:val="000000"/>
          <w:spacing w:val="2"/>
        </w:rPr>
        <w:t>r</w:t>
      </w:r>
      <w:r w:rsidRPr="00AA552A">
        <w:rPr>
          <w:rFonts w:cs="Cambria"/>
          <w:color w:val="000000"/>
        </w:rPr>
        <w:t>y</w:t>
      </w:r>
      <w:r w:rsidRPr="00AA552A">
        <w:rPr>
          <w:rFonts w:cs="Cambria"/>
          <w:color w:val="000000"/>
          <w:spacing w:val="-9"/>
        </w:rPr>
        <w:t xml:space="preserve"> </w:t>
      </w:r>
      <w:r w:rsidRPr="00AA552A">
        <w:rPr>
          <w:rFonts w:cs="Cambria"/>
          <w:color w:val="000000"/>
          <w:spacing w:val="-1"/>
        </w:rPr>
        <w:t>Ar</w:t>
      </w:r>
      <w:r w:rsidRPr="00AA552A">
        <w:rPr>
          <w:rFonts w:cs="Cambria"/>
          <w:color w:val="000000"/>
          <w:spacing w:val="1"/>
        </w:rPr>
        <w:t>e</w:t>
      </w:r>
      <w:r w:rsidRPr="00AA552A">
        <w:rPr>
          <w:rFonts w:cs="Cambria"/>
          <w:color w:val="000000"/>
        </w:rPr>
        <w:t>as</w:t>
      </w:r>
      <w:r w:rsidRPr="00AA552A">
        <w:rPr>
          <w:rFonts w:cs="Cambria"/>
          <w:color w:val="000000"/>
          <w:spacing w:val="-3"/>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 xml:space="preserve">all </w:t>
      </w:r>
      <w:r w:rsidRPr="00AA552A">
        <w:rPr>
          <w:rFonts w:cs="Cambria"/>
          <w:color w:val="000000"/>
          <w:spacing w:val="1"/>
        </w:rPr>
        <w:t>Se</w:t>
      </w:r>
      <w:r w:rsidRPr="00AA552A">
        <w:rPr>
          <w:rFonts w:cs="Cambria"/>
          <w:color w:val="000000"/>
        </w:rPr>
        <w:t>con</w:t>
      </w:r>
      <w:r w:rsidRPr="00AA552A">
        <w:rPr>
          <w:rFonts w:cs="Cambria"/>
          <w:color w:val="000000"/>
          <w:spacing w:val="-1"/>
        </w:rPr>
        <w:t>d</w:t>
      </w:r>
      <w:r w:rsidRPr="00AA552A">
        <w:rPr>
          <w:rFonts w:cs="Cambria"/>
          <w:color w:val="000000"/>
          <w:spacing w:val="3"/>
        </w:rPr>
        <w:t>a</w:t>
      </w:r>
      <w:r w:rsidRPr="00AA552A">
        <w:rPr>
          <w:rFonts w:cs="Cambria"/>
          <w:color w:val="000000"/>
          <w:spacing w:val="-1"/>
        </w:rPr>
        <w:t>r</w:t>
      </w:r>
      <w:r w:rsidRPr="00AA552A">
        <w:rPr>
          <w:rFonts w:cs="Cambria"/>
          <w:color w:val="000000"/>
        </w:rPr>
        <w:t>y N</w:t>
      </w:r>
      <w:r w:rsidRPr="00AA552A">
        <w:rPr>
          <w:rFonts w:cs="Cambria"/>
          <w:color w:val="000000"/>
          <w:spacing w:val="-1"/>
        </w:rPr>
        <w:t>ur</w:t>
      </w:r>
      <w:r w:rsidRPr="00AA552A">
        <w:rPr>
          <w:rFonts w:cs="Cambria"/>
          <w:color w:val="000000"/>
        </w:rPr>
        <w:t>s</w:t>
      </w:r>
      <w:r w:rsidRPr="00AA552A">
        <w:rPr>
          <w:rFonts w:cs="Cambria"/>
          <w:color w:val="000000"/>
          <w:spacing w:val="1"/>
        </w:rPr>
        <w:t>e</w:t>
      </w:r>
      <w:r w:rsidRPr="00AA552A">
        <w:rPr>
          <w:rFonts w:cs="Cambria"/>
          <w:color w:val="000000"/>
          <w:spacing w:val="-1"/>
        </w:rPr>
        <w:t>r</w:t>
      </w:r>
      <w:r w:rsidRPr="00AA552A">
        <w:rPr>
          <w:rFonts w:cs="Cambria"/>
          <w:color w:val="000000"/>
        </w:rPr>
        <w:t>y</w:t>
      </w:r>
      <w:r w:rsidRPr="00AA552A">
        <w:rPr>
          <w:rFonts w:cs="Cambria"/>
          <w:color w:val="000000"/>
          <w:spacing w:val="-6"/>
        </w:rPr>
        <w:t xml:space="preserve"> </w:t>
      </w:r>
      <w:r w:rsidRPr="00AA552A">
        <w:rPr>
          <w:rFonts w:cs="Cambria"/>
          <w:color w:val="000000"/>
          <w:spacing w:val="-1"/>
        </w:rPr>
        <w:t>Ar</w:t>
      </w:r>
      <w:r w:rsidRPr="00AA552A">
        <w:rPr>
          <w:rFonts w:cs="Cambria"/>
          <w:color w:val="000000"/>
          <w:spacing w:val="1"/>
        </w:rPr>
        <w:t>e</w:t>
      </w:r>
      <w:r w:rsidRPr="00AA552A">
        <w:rPr>
          <w:rFonts w:cs="Cambria"/>
          <w:color w:val="000000"/>
        </w:rPr>
        <w:t>as).</w:t>
      </w:r>
    </w:p>
    <w:p w14:paraId="6BF79F02" w14:textId="77777777" w:rsidR="00DC4922" w:rsidRPr="00AA552A" w:rsidRDefault="00DC4922" w:rsidP="00DC4922">
      <w:pPr>
        <w:rPr>
          <w:rFonts w:cs="Cambria"/>
          <w:color w:val="000000"/>
          <w:sz w:val="28"/>
        </w:rPr>
      </w:pPr>
    </w:p>
    <w:p w14:paraId="159BEE84" w14:textId="77777777" w:rsidR="00DC4922" w:rsidRPr="00AA552A" w:rsidRDefault="00DC4922" w:rsidP="00640526">
      <w:pPr>
        <w:ind w:firstLine="360"/>
        <w:rPr>
          <w:rFonts w:cs="Cambria"/>
          <w:color w:val="000000"/>
        </w:rPr>
      </w:pPr>
      <w:r w:rsidRPr="00AA552A">
        <w:rPr>
          <w:rFonts w:cs="Cambria"/>
          <w:color w:val="000000"/>
          <w:spacing w:val="1"/>
        </w:rPr>
        <w:t>F</w:t>
      </w:r>
      <w:r w:rsidRPr="00AA552A">
        <w:rPr>
          <w:rFonts w:cs="Cambria"/>
          <w:color w:val="000000"/>
        </w:rPr>
        <w:t>or</w:t>
      </w:r>
      <w:r w:rsidRPr="00AA552A">
        <w:rPr>
          <w:rFonts w:cs="Cambria"/>
          <w:color w:val="000000"/>
          <w:spacing w:val="-5"/>
        </w:rPr>
        <w:t xml:space="preserve"> </w:t>
      </w:r>
      <w:r w:rsidRPr="00AA552A">
        <w:rPr>
          <w:rFonts w:cs="Cambria"/>
          <w:color w:val="000000"/>
          <w:spacing w:val="-1"/>
        </w:rPr>
        <w:t>C</w:t>
      </w:r>
      <w:r w:rsidRPr="00AA552A">
        <w:rPr>
          <w:rFonts w:cs="Cambria"/>
          <w:color w:val="000000"/>
        </w:rPr>
        <w:t>o</w:t>
      </w:r>
      <w:r w:rsidRPr="00AA552A">
        <w:rPr>
          <w:rFonts w:cs="Cambria"/>
          <w:color w:val="000000"/>
          <w:spacing w:val="1"/>
        </w:rPr>
        <w:t>bi</w:t>
      </w:r>
      <w:r w:rsidRPr="00AA552A">
        <w:rPr>
          <w:rFonts w:cs="Cambria"/>
          <w:color w:val="000000"/>
        </w:rPr>
        <w:t>a</w:t>
      </w:r>
      <w:r w:rsidRPr="00AA552A">
        <w:rPr>
          <w:rFonts w:cs="Cambria"/>
          <w:color w:val="000000"/>
          <w:spacing w:val="-3"/>
        </w:rPr>
        <w:t xml:space="preserve"> </w:t>
      </w: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nt</w:t>
      </w:r>
      <w:r w:rsidRPr="00AA552A">
        <w:rPr>
          <w:rFonts w:cs="Cambria"/>
          <w:color w:val="000000"/>
          <w:spacing w:val="1"/>
        </w:rPr>
        <w:t>i</w:t>
      </w:r>
      <w:r w:rsidRPr="00AA552A">
        <w:rPr>
          <w:rFonts w:cs="Cambria"/>
          <w:color w:val="000000"/>
        </w:rPr>
        <w:t>al</w:t>
      </w:r>
      <w:r w:rsidRPr="00AA552A">
        <w:rPr>
          <w:rFonts w:cs="Cambria"/>
          <w:color w:val="000000"/>
          <w:spacing w:val="-5"/>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7"/>
        </w:rPr>
        <w:t xml:space="preserve"> </w:t>
      </w:r>
      <w:r w:rsidRPr="00AA552A">
        <w:rPr>
          <w:rFonts w:cs="Cambria"/>
          <w:color w:val="000000"/>
        </w:rPr>
        <w:t>ha</w:t>
      </w:r>
      <w:r w:rsidRPr="00AA552A">
        <w:rPr>
          <w:rFonts w:cs="Cambria"/>
          <w:color w:val="000000"/>
          <w:spacing w:val="1"/>
        </w:rPr>
        <w:t>bi</w:t>
      </w:r>
      <w:r w:rsidRPr="00AA552A">
        <w:rPr>
          <w:rFonts w:cs="Cambria"/>
          <w:color w:val="000000"/>
        </w:rPr>
        <w:t>tat</w:t>
      </w:r>
      <w:r w:rsidRPr="00AA552A">
        <w:rPr>
          <w:rFonts w:cs="Cambria"/>
          <w:color w:val="000000"/>
          <w:spacing w:val="-2"/>
        </w:rPr>
        <w:t xml:space="preserve"> </w:t>
      </w:r>
      <w:r w:rsidRPr="00AA552A">
        <w:rPr>
          <w:rFonts w:cs="Cambria"/>
          <w:color w:val="000000"/>
        </w:rPr>
        <w:t>also</w:t>
      </w:r>
      <w:r w:rsidRPr="00AA552A">
        <w:rPr>
          <w:rFonts w:cs="Cambria"/>
          <w:color w:val="000000"/>
          <w:spacing w:val="-2"/>
        </w:rPr>
        <w:t xml:space="preserve"> </w:t>
      </w:r>
      <w:r w:rsidRPr="00AA552A">
        <w:rPr>
          <w:rFonts w:cs="Cambria"/>
          <w:color w:val="000000"/>
          <w:spacing w:val="1"/>
        </w:rPr>
        <w:t>i</w:t>
      </w:r>
      <w:r w:rsidRPr="00AA552A">
        <w:rPr>
          <w:rFonts w:cs="Cambria"/>
          <w:color w:val="000000"/>
        </w:rPr>
        <w:t>ncl</w:t>
      </w:r>
      <w:r w:rsidRPr="00AA552A">
        <w:rPr>
          <w:rFonts w:cs="Cambria"/>
          <w:color w:val="000000"/>
          <w:spacing w:val="-1"/>
        </w:rPr>
        <w:t>ud</w:t>
      </w:r>
      <w:r w:rsidRPr="00AA552A">
        <w:rPr>
          <w:rFonts w:cs="Cambria"/>
          <w:color w:val="000000"/>
          <w:spacing w:val="1"/>
        </w:rPr>
        <w:t>e</w:t>
      </w:r>
      <w:r w:rsidRPr="00AA552A">
        <w:rPr>
          <w:rFonts w:cs="Cambria"/>
          <w:color w:val="000000"/>
        </w:rPr>
        <w:t>s</w:t>
      </w:r>
      <w:r w:rsidRPr="00AA552A">
        <w:rPr>
          <w:rFonts w:cs="Cambria"/>
          <w:color w:val="000000"/>
          <w:spacing w:val="-5"/>
        </w:rPr>
        <w:t xml:space="preserve"> </w:t>
      </w:r>
      <w:r w:rsidRPr="00AA552A">
        <w:rPr>
          <w:rFonts w:cs="Cambria"/>
          <w:color w:val="000000"/>
        </w:rPr>
        <w:t>h</w:t>
      </w:r>
      <w:r w:rsidRPr="00AA552A">
        <w:rPr>
          <w:rFonts w:cs="Cambria"/>
          <w:color w:val="000000"/>
          <w:spacing w:val="-2"/>
        </w:rPr>
        <w:t>i</w:t>
      </w:r>
      <w:r w:rsidRPr="00AA552A">
        <w:rPr>
          <w:rFonts w:cs="Cambria"/>
          <w:color w:val="000000"/>
          <w:spacing w:val="-1"/>
        </w:rPr>
        <w:t>g</w:t>
      </w:r>
      <w:r w:rsidRPr="00AA552A">
        <w:rPr>
          <w:rFonts w:cs="Cambria"/>
          <w:color w:val="000000"/>
        </w:rPr>
        <w:t>h</w:t>
      </w:r>
      <w:r w:rsidRPr="00AA552A">
        <w:rPr>
          <w:rFonts w:cs="Cambria"/>
          <w:color w:val="000000"/>
          <w:spacing w:val="-3"/>
        </w:rPr>
        <w:t xml:space="preserve"> </w:t>
      </w:r>
      <w:r w:rsidRPr="00AA552A">
        <w:rPr>
          <w:rFonts w:cs="Cambria"/>
          <w:color w:val="000000"/>
        </w:rPr>
        <w:t>sal</w:t>
      </w:r>
      <w:r w:rsidRPr="00AA552A">
        <w:rPr>
          <w:rFonts w:cs="Cambria"/>
          <w:color w:val="000000"/>
          <w:spacing w:val="1"/>
        </w:rPr>
        <w:t>i</w:t>
      </w:r>
      <w:r w:rsidRPr="00AA552A">
        <w:rPr>
          <w:rFonts w:cs="Cambria"/>
          <w:color w:val="000000"/>
        </w:rPr>
        <w:t>n</w:t>
      </w:r>
      <w:r w:rsidRPr="00AA552A">
        <w:rPr>
          <w:rFonts w:cs="Cambria"/>
          <w:color w:val="000000"/>
          <w:spacing w:val="1"/>
        </w:rPr>
        <w:t>i</w:t>
      </w:r>
      <w:r w:rsidRPr="00AA552A">
        <w:rPr>
          <w:rFonts w:cs="Cambria"/>
          <w:color w:val="000000"/>
        </w:rPr>
        <w:t>ty</w:t>
      </w:r>
      <w:r w:rsidRPr="00AA552A">
        <w:rPr>
          <w:rFonts w:cs="Cambria"/>
          <w:color w:val="000000"/>
          <w:spacing w:val="-5"/>
        </w:rPr>
        <w:t xml:space="preserve"> </w:t>
      </w:r>
      <w:r w:rsidRPr="00AA552A">
        <w:rPr>
          <w:rFonts w:cs="Cambria"/>
          <w:color w:val="000000"/>
          <w:spacing w:val="1"/>
        </w:rPr>
        <w:t>b</w:t>
      </w:r>
      <w:r w:rsidRPr="00AA552A">
        <w:rPr>
          <w:rFonts w:cs="Cambria"/>
          <w:color w:val="000000"/>
        </w:rPr>
        <w:t>a</w:t>
      </w:r>
      <w:r w:rsidRPr="00AA552A">
        <w:rPr>
          <w:rFonts w:cs="Cambria"/>
          <w:color w:val="000000"/>
          <w:spacing w:val="-1"/>
        </w:rPr>
        <w:t>y</w:t>
      </w:r>
      <w:r w:rsidRPr="00AA552A">
        <w:rPr>
          <w:rFonts w:cs="Cambria"/>
          <w:color w:val="000000"/>
        </w:rPr>
        <w:t>s,</w:t>
      </w:r>
      <w:r w:rsidRPr="00AA552A">
        <w:rPr>
          <w:rFonts w:cs="Cambria"/>
          <w:color w:val="000000"/>
          <w:spacing w:val="-1"/>
        </w:rPr>
        <w:t xml:space="preserve"> </w:t>
      </w:r>
      <w:r w:rsidRPr="00AA552A">
        <w:rPr>
          <w:rFonts w:cs="Cambria"/>
          <w:color w:val="000000"/>
          <w:spacing w:val="1"/>
        </w:rPr>
        <w:t>e</w:t>
      </w:r>
      <w:r w:rsidRPr="00AA552A">
        <w:rPr>
          <w:rFonts w:cs="Cambria"/>
          <w:color w:val="000000"/>
        </w:rPr>
        <w:t>st</w:t>
      </w:r>
      <w:r w:rsidRPr="00AA552A">
        <w:rPr>
          <w:rFonts w:cs="Cambria"/>
          <w:color w:val="000000"/>
          <w:spacing w:val="-1"/>
        </w:rPr>
        <w:t>u</w:t>
      </w:r>
      <w:r w:rsidRPr="00AA552A">
        <w:rPr>
          <w:rFonts w:cs="Cambria"/>
          <w:color w:val="000000"/>
        </w:rPr>
        <w:t>a</w:t>
      </w:r>
      <w:r w:rsidRPr="00AA552A">
        <w:rPr>
          <w:rFonts w:cs="Cambria"/>
          <w:color w:val="000000"/>
          <w:spacing w:val="-1"/>
        </w:rPr>
        <w:t>r</w:t>
      </w:r>
      <w:r w:rsidRPr="00AA552A">
        <w:rPr>
          <w:rFonts w:cs="Cambria"/>
          <w:color w:val="000000"/>
          <w:spacing w:val="-2"/>
        </w:rPr>
        <w:t>i</w:t>
      </w:r>
      <w:r w:rsidRPr="00AA552A">
        <w:rPr>
          <w:rFonts w:cs="Cambria"/>
          <w:color w:val="000000"/>
          <w:spacing w:val="1"/>
        </w:rPr>
        <w:t>e</w:t>
      </w:r>
      <w:r w:rsidRPr="00AA552A">
        <w:rPr>
          <w:rFonts w:cs="Cambria"/>
          <w:color w:val="000000"/>
        </w:rPr>
        <w:t>s,</w:t>
      </w:r>
      <w:r w:rsidRPr="00AA552A">
        <w:rPr>
          <w:rFonts w:cs="Cambria"/>
          <w:color w:val="000000"/>
          <w:spacing w:val="-5"/>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s</w:t>
      </w:r>
      <w:r w:rsidRPr="00AA552A">
        <w:rPr>
          <w:rFonts w:cs="Cambria"/>
          <w:color w:val="000000"/>
          <w:spacing w:val="1"/>
        </w:rPr>
        <w:t>e</w:t>
      </w:r>
      <w:r w:rsidRPr="00AA552A">
        <w:rPr>
          <w:rFonts w:cs="Cambria"/>
          <w:color w:val="000000"/>
        </w:rPr>
        <w:t>a</w:t>
      </w:r>
      <w:r w:rsidRPr="00AA552A">
        <w:rPr>
          <w:rFonts w:cs="Cambria"/>
          <w:color w:val="000000"/>
          <w:spacing w:val="-1"/>
        </w:rPr>
        <w:t>gr</w:t>
      </w:r>
      <w:r w:rsidRPr="00AA552A">
        <w:rPr>
          <w:rFonts w:cs="Cambria"/>
          <w:color w:val="000000"/>
        </w:rPr>
        <w:t>ass</w:t>
      </w:r>
      <w:r w:rsidRPr="00AA552A">
        <w:rPr>
          <w:rFonts w:cs="Cambria"/>
          <w:color w:val="000000"/>
          <w:spacing w:val="-5"/>
        </w:rPr>
        <w:t xml:space="preserve"> </w:t>
      </w:r>
      <w:r w:rsidRPr="00AA552A">
        <w:rPr>
          <w:rFonts w:cs="Cambria"/>
          <w:color w:val="000000"/>
        </w:rPr>
        <w:t>ha</w:t>
      </w:r>
      <w:r w:rsidRPr="00AA552A">
        <w:rPr>
          <w:rFonts w:cs="Cambria"/>
          <w:color w:val="000000"/>
          <w:spacing w:val="1"/>
        </w:rPr>
        <w:t>bi</w:t>
      </w:r>
      <w:r w:rsidRPr="00AA552A">
        <w:rPr>
          <w:rFonts w:cs="Cambria"/>
          <w:color w:val="000000"/>
        </w:rPr>
        <w:t>ta</w:t>
      </w:r>
      <w:r w:rsidRPr="00AA552A">
        <w:rPr>
          <w:rFonts w:cs="Cambria"/>
          <w:color w:val="000000"/>
          <w:spacing w:val="-2"/>
        </w:rPr>
        <w:t>t</w:t>
      </w:r>
      <w:r w:rsidRPr="00AA552A">
        <w:rPr>
          <w:rFonts w:cs="Cambria"/>
          <w:color w:val="000000"/>
        </w:rPr>
        <w:t>.</w:t>
      </w:r>
      <w:r w:rsidRPr="00AA552A">
        <w:rPr>
          <w:rFonts w:cs="Cambria"/>
          <w:color w:val="000000"/>
          <w:spacing w:val="-1"/>
        </w:rPr>
        <w:t xml:space="preserve"> I</w:t>
      </w:r>
      <w:r w:rsidRPr="00AA552A">
        <w:rPr>
          <w:rFonts w:cs="Cambria"/>
          <w:color w:val="000000"/>
        </w:rPr>
        <w:t>n a</w:t>
      </w:r>
      <w:r w:rsidRPr="00AA552A">
        <w:rPr>
          <w:rFonts w:cs="Cambria"/>
          <w:color w:val="000000"/>
          <w:spacing w:val="-1"/>
        </w:rPr>
        <w:t>dd</w:t>
      </w:r>
      <w:r w:rsidRPr="00AA552A">
        <w:rPr>
          <w:rFonts w:cs="Cambria"/>
          <w:color w:val="000000"/>
          <w:spacing w:val="1"/>
        </w:rPr>
        <w:t>i</w:t>
      </w:r>
      <w:r w:rsidRPr="00AA552A">
        <w:rPr>
          <w:rFonts w:cs="Cambria"/>
          <w:color w:val="000000"/>
        </w:rPr>
        <w:t>t</w:t>
      </w:r>
      <w:r w:rsidRPr="00AA552A">
        <w:rPr>
          <w:rFonts w:cs="Cambria"/>
          <w:color w:val="000000"/>
          <w:spacing w:val="1"/>
        </w:rPr>
        <w:t>i</w:t>
      </w:r>
      <w:r w:rsidRPr="00AA552A">
        <w:rPr>
          <w:rFonts w:cs="Cambria"/>
          <w:color w:val="000000"/>
        </w:rPr>
        <w:t>on,</w:t>
      </w:r>
      <w:r w:rsidRPr="00AA552A">
        <w:rPr>
          <w:rFonts w:cs="Cambria"/>
          <w:color w:val="000000"/>
          <w:spacing w:val="-4"/>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G</w:t>
      </w:r>
      <w:r w:rsidRPr="00AA552A">
        <w:rPr>
          <w:rFonts w:cs="Cambria"/>
          <w:color w:val="000000"/>
          <w:spacing w:val="-1"/>
        </w:rPr>
        <w:t>u</w:t>
      </w:r>
      <w:r w:rsidRPr="00AA552A">
        <w:rPr>
          <w:rFonts w:cs="Cambria"/>
          <w:color w:val="000000"/>
        </w:rPr>
        <w:t>lf</w:t>
      </w:r>
      <w:r w:rsidRPr="00AA552A">
        <w:rPr>
          <w:rFonts w:cs="Cambria"/>
          <w:color w:val="000000"/>
          <w:spacing w:val="-3"/>
        </w:rPr>
        <w:t xml:space="preserve"> </w:t>
      </w:r>
      <w:r w:rsidRPr="00AA552A">
        <w:rPr>
          <w:rFonts w:cs="Cambria"/>
          <w:color w:val="000000"/>
          <w:spacing w:val="1"/>
        </w:rPr>
        <w:t>S</w:t>
      </w:r>
      <w:r w:rsidRPr="00AA552A">
        <w:rPr>
          <w:rFonts w:cs="Cambria"/>
          <w:color w:val="000000"/>
        </w:rPr>
        <w:t>t</w:t>
      </w:r>
      <w:r w:rsidRPr="00AA552A">
        <w:rPr>
          <w:rFonts w:cs="Cambria"/>
          <w:color w:val="000000"/>
          <w:spacing w:val="-1"/>
        </w:rPr>
        <w:t>r</w:t>
      </w:r>
      <w:r w:rsidRPr="00AA552A">
        <w:rPr>
          <w:rFonts w:cs="Cambria"/>
          <w:color w:val="000000"/>
          <w:spacing w:val="1"/>
        </w:rPr>
        <w:t>e</w:t>
      </w:r>
      <w:r w:rsidRPr="00AA552A">
        <w:rPr>
          <w:rFonts w:cs="Cambria"/>
          <w:color w:val="000000"/>
        </w:rPr>
        <w:t>am</w:t>
      </w:r>
      <w:r w:rsidRPr="00AA552A">
        <w:rPr>
          <w:rFonts w:cs="Cambria"/>
          <w:color w:val="000000"/>
          <w:spacing w:val="-2"/>
        </w:rPr>
        <w:t xml:space="preserve"> </w:t>
      </w:r>
      <w:r w:rsidRPr="00AA552A">
        <w:rPr>
          <w:rFonts w:cs="Cambria"/>
          <w:color w:val="000000"/>
          <w:spacing w:val="1"/>
        </w:rPr>
        <w:t>i</w:t>
      </w:r>
      <w:r w:rsidRPr="00AA552A">
        <w:rPr>
          <w:rFonts w:cs="Cambria"/>
          <w:color w:val="000000"/>
        </w:rPr>
        <w:t>s</w:t>
      </w:r>
      <w:r w:rsidRPr="00AA552A">
        <w:rPr>
          <w:rFonts w:cs="Cambria"/>
          <w:color w:val="000000"/>
          <w:spacing w:val="-2"/>
        </w:rPr>
        <w:t xml:space="preserve"> </w:t>
      </w:r>
      <w:r w:rsidRPr="00AA552A">
        <w:rPr>
          <w:rFonts w:cs="Cambria"/>
          <w:color w:val="000000"/>
        </w:rPr>
        <w:t xml:space="preserve">an </w:t>
      </w: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nt</w:t>
      </w:r>
      <w:r w:rsidRPr="00AA552A">
        <w:rPr>
          <w:rFonts w:cs="Cambria"/>
          <w:color w:val="000000"/>
          <w:spacing w:val="-2"/>
        </w:rPr>
        <w:t>i</w:t>
      </w:r>
      <w:r w:rsidRPr="00AA552A">
        <w:rPr>
          <w:rFonts w:cs="Cambria"/>
          <w:color w:val="000000"/>
        </w:rPr>
        <w:t>al</w:t>
      </w:r>
      <w:r w:rsidRPr="00AA552A">
        <w:rPr>
          <w:rFonts w:cs="Cambria"/>
          <w:color w:val="000000"/>
          <w:spacing w:val="-5"/>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ha</w:t>
      </w:r>
      <w:r w:rsidRPr="00AA552A">
        <w:rPr>
          <w:rFonts w:cs="Cambria"/>
          <w:color w:val="000000"/>
          <w:spacing w:val="1"/>
        </w:rPr>
        <w:t>bi</w:t>
      </w:r>
      <w:r w:rsidRPr="00AA552A">
        <w:rPr>
          <w:rFonts w:cs="Cambria"/>
          <w:color w:val="000000"/>
        </w:rPr>
        <w:t>tat</w:t>
      </w:r>
      <w:r w:rsidRPr="00AA552A">
        <w:rPr>
          <w:rFonts w:cs="Cambria"/>
          <w:color w:val="000000"/>
          <w:spacing w:val="-2"/>
        </w:rPr>
        <w:t xml:space="preserve"> </w:t>
      </w:r>
      <w:r w:rsidRPr="00AA552A">
        <w:rPr>
          <w:rFonts w:cs="Cambria"/>
          <w:color w:val="000000"/>
          <w:spacing w:val="1"/>
        </w:rPr>
        <w:t>be</w:t>
      </w:r>
      <w:r w:rsidRPr="00AA552A">
        <w:rPr>
          <w:rFonts w:cs="Cambria"/>
          <w:color w:val="000000"/>
        </w:rPr>
        <w:t>ca</w:t>
      </w:r>
      <w:r w:rsidRPr="00AA552A">
        <w:rPr>
          <w:rFonts w:cs="Cambria"/>
          <w:color w:val="000000"/>
          <w:spacing w:val="-1"/>
        </w:rPr>
        <w:t>u</w:t>
      </w:r>
      <w:r w:rsidRPr="00AA552A">
        <w:rPr>
          <w:rFonts w:cs="Cambria"/>
          <w:color w:val="000000"/>
          <w:spacing w:val="-2"/>
        </w:rPr>
        <w:t>s</w:t>
      </w:r>
      <w:r w:rsidRPr="00AA552A">
        <w:rPr>
          <w:rFonts w:cs="Cambria"/>
          <w:color w:val="000000"/>
        </w:rPr>
        <w:t>e</w:t>
      </w:r>
      <w:r w:rsidRPr="00AA552A">
        <w:rPr>
          <w:rFonts w:cs="Cambria"/>
          <w:color w:val="000000"/>
          <w:spacing w:val="-3"/>
        </w:rPr>
        <w:t xml:space="preserve"> </w:t>
      </w:r>
      <w:r w:rsidRPr="00AA552A">
        <w:rPr>
          <w:rFonts w:cs="Cambria"/>
          <w:color w:val="000000"/>
          <w:spacing w:val="1"/>
        </w:rPr>
        <w:t>i</w:t>
      </w:r>
      <w:r w:rsidRPr="00AA552A">
        <w:rPr>
          <w:rFonts w:cs="Cambria"/>
          <w:color w:val="000000"/>
        </w:rPr>
        <w:t>t</w:t>
      </w:r>
      <w:r w:rsidRPr="00AA552A">
        <w:rPr>
          <w:rFonts w:cs="Cambria"/>
          <w:color w:val="000000"/>
          <w:spacing w:val="-1"/>
        </w:rPr>
        <w:t xml:space="preserve"> </w:t>
      </w:r>
      <w:r w:rsidRPr="00AA552A">
        <w:rPr>
          <w:rFonts w:cs="Cambria"/>
          <w:color w:val="000000"/>
          <w:spacing w:val="1"/>
        </w:rPr>
        <w:t>p</w:t>
      </w:r>
      <w:r w:rsidRPr="00AA552A">
        <w:rPr>
          <w:rFonts w:cs="Cambria"/>
          <w:color w:val="000000"/>
          <w:spacing w:val="-1"/>
        </w:rPr>
        <w:t>r</w:t>
      </w:r>
      <w:r w:rsidRPr="00AA552A">
        <w:rPr>
          <w:rFonts w:cs="Cambria"/>
          <w:color w:val="000000"/>
        </w:rPr>
        <w:t>o</w:t>
      </w:r>
      <w:r w:rsidRPr="00AA552A">
        <w:rPr>
          <w:rFonts w:cs="Cambria"/>
          <w:color w:val="000000"/>
          <w:spacing w:val="-1"/>
        </w:rPr>
        <w:t>v</w:t>
      </w:r>
      <w:r w:rsidRPr="00AA552A">
        <w:rPr>
          <w:rFonts w:cs="Cambria"/>
          <w:color w:val="000000"/>
          <w:spacing w:val="1"/>
        </w:rPr>
        <w:t>i</w:t>
      </w:r>
      <w:r w:rsidRPr="00AA552A">
        <w:rPr>
          <w:rFonts w:cs="Cambria"/>
          <w:color w:val="000000"/>
          <w:spacing w:val="-1"/>
        </w:rPr>
        <w:t>d</w:t>
      </w:r>
      <w:r w:rsidRPr="00AA552A">
        <w:rPr>
          <w:rFonts w:cs="Cambria"/>
          <w:color w:val="000000"/>
          <w:spacing w:val="1"/>
        </w:rPr>
        <w:t>e</w:t>
      </w:r>
      <w:r w:rsidRPr="00AA552A">
        <w:rPr>
          <w:rFonts w:cs="Cambria"/>
          <w:color w:val="000000"/>
        </w:rPr>
        <w:t>s</w:t>
      </w:r>
      <w:r w:rsidRPr="00AA552A">
        <w:rPr>
          <w:rFonts w:cs="Cambria"/>
          <w:color w:val="000000"/>
          <w:spacing w:val="-8"/>
        </w:rPr>
        <w:t xml:space="preserve"> </w:t>
      </w:r>
      <w:r w:rsidRPr="00AA552A">
        <w:rPr>
          <w:rFonts w:cs="Cambria"/>
          <w:color w:val="000000"/>
        </w:rPr>
        <w:t>a m</w:t>
      </w:r>
      <w:r w:rsidRPr="00AA552A">
        <w:rPr>
          <w:rFonts w:cs="Cambria"/>
          <w:color w:val="000000"/>
          <w:spacing w:val="1"/>
        </w:rPr>
        <w:t>e</w:t>
      </w:r>
      <w:r w:rsidRPr="00AA552A">
        <w:rPr>
          <w:rFonts w:cs="Cambria"/>
          <w:color w:val="000000"/>
        </w:rPr>
        <w:t>chan</w:t>
      </w:r>
      <w:r w:rsidRPr="00AA552A">
        <w:rPr>
          <w:rFonts w:cs="Cambria"/>
          <w:color w:val="000000"/>
          <w:spacing w:val="1"/>
        </w:rPr>
        <w:t>i</w:t>
      </w:r>
      <w:r w:rsidRPr="00AA552A">
        <w:rPr>
          <w:rFonts w:cs="Cambria"/>
          <w:color w:val="000000"/>
        </w:rPr>
        <w:t>sm</w:t>
      </w:r>
      <w:r w:rsidRPr="00AA552A">
        <w:rPr>
          <w:rFonts w:cs="Cambria"/>
          <w:color w:val="000000"/>
          <w:spacing w:val="-5"/>
        </w:rPr>
        <w:t xml:space="preserve"> </w:t>
      </w:r>
      <w:r w:rsidRPr="00AA552A">
        <w:rPr>
          <w:rFonts w:cs="Cambria"/>
          <w:color w:val="000000"/>
        </w:rPr>
        <w:t>to</w:t>
      </w:r>
      <w:r w:rsidRPr="00AA552A">
        <w:rPr>
          <w:rFonts w:cs="Cambria"/>
          <w:color w:val="000000"/>
          <w:spacing w:val="-1"/>
        </w:rPr>
        <w:t xml:space="preserve"> d</w:t>
      </w:r>
      <w:r w:rsidRPr="00AA552A">
        <w:rPr>
          <w:rFonts w:cs="Cambria"/>
          <w:color w:val="000000"/>
          <w:spacing w:val="1"/>
        </w:rPr>
        <w:t>i</w:t>
      </w:r>
      <w:r w:rsidRPr="00AA552A">
        <w:rPr>
          <w:rFonts w:cs="Cambria"/>
          <w:color w:val="000000"/>
        </w:rPr>
        <w:t>s</w:t>
      </w:r>
      <w:r w:rsidRPr="00AA552A">
        <w:rPr>
          <w:rFonts w:cs="Cambria"/>
          <w:color w:val="000000"/>
          <w:spacing w:val="1"/>
        </w:rPr>
        <w:t>p</w:t>
      </w:r>
      <w:r w:rsidRPr="00AA552A">
        <w:rPr>
          <w:rFonts w:cs="Cambria"/>
          <w:color w:val="000000"/>
          <w:spacing w:val="-2"/>
        </w:rPr>
        <w:t>e</w:t>
      </w:r>
      <w:r w:rsidRPr="00AA552A">
        <w:rPr>
          <w:rFonts w:cs="Cambria"/>
          <w:color w:val="000000"/>
          <w:spacing w:val="-1"/>
        </w:rPr>
        <w:t>r</w:t>
      </w:r>
      <w:r w:rsidRPr="00AA552A">
        <w:rPr>
          <w:rFonts w:cs="Cambria"/>
          <w:color w:val="000000"/>
        </w:rPr>
        <w:t>se coastal</w:t>
      </w:r>
      <w:r w:rsidRPr="00AA552A">
        <w:rPr>
          <w:rFonts w:cs="Cambria"/>
          <w:color w:val="000000"/>
          <w:spacing w:val="-3"/>
        </w:rPr>
        <w:t xml:space="preserve"> </w:t>
      </w:r>
      <w:r w:rsidRPr="00AA552A">
        <w:rPr>
          <w:rFonts w:cs="Cambria"/>
          <w:color w:val="000000"/>
        </w:rPr>
        <w:t>m</w:t>
      </w:r>
      <w:r w:rsidRPr="00AA552A">
        <w:rPr>
          <w:rFonts w:cs="Cambria"/>
          <w:color w:val="000000"/>
          <w:spacing w:val="1"/>
        </w:rPr>
        <w:t>i</w:t>
      </w:r>
      <w:r w:rsidRPr="00AA552A">
        <w:rPr>
          <w:rFonts w:cs="Cambria"/>
          <w:color w:val="000000"/>
          <w:spacing w:val="-1"/>
        </w:rPr>
        <w:t>gr</w:t>
      </w:r>
      <w:r w:rsidRPr="00AA552A">
        <w:rPr>
          <w:rFonts w:cs="Cambria"/>
          <w:color w:val="000000"/>
        </w:rPr>
        <w:t>ato</w:t>
      </w:r>
      <w:r w:rsidRPr="00AA552A">
        <w:rPr>
          <w:rFonts w:cs="Cambria"/>
          <w:color w:val="000000"/>
          <w:spacing w:val="-1"/>
        </w:rPr>
        <w:t>r</w:t>
      </w:r>
      <w:r w:rsidRPr="00AA552A">
        <w:rPr>
          <w:rFonts w:cs="Cambria"/>
          <w:color w:val="000000"/>
        </w:rPr>
        <w:t>y</w:t>
      </w:r>
      <w:r w:rsidRPr="00AA552A">
        <w:rPr>
          <w:rFonts w:cs="Cambria"/>
          <w:color w:val="000000"/>
          <w:spacing w:val="-6"/>
        </w:rPr>
        <w:t xml:space="preserve"> </w:t>
      </w:r>
      <w:r w:rsidRPr="00AA552A">
        <w:rPr>
          <w:rFonts w:cs="Cambria"/>
          <w:color w:val="000000"/>
          <w:spacing w:val="1"/>
        </w:rPr>
        <w:t>pe</w:t>
      </w:r>
      <w:r w:rsidRPr="00AA552A">
        <w:rPr>
          <w:rFonts w:cs="Cambria"/>
          <w:color w:val="000000"/>
        </w:rPr>
        <w:t>la</w:t>
      </w:r>
      <w:r w:rsidRPr="00AA552A">
        <w:rPr>
          <w:rFonts w:cs="Cambria"/>
          <w:color w:val="000000"/>
          <w:spacing w:val="1"/>
        </w:rPr>
        <w:t>gi</w:t>
      </w:r>
      <w:r w:rsidRPr="00AA552A">
        <w:rPr>
          <w:rFonts w:cs="Cambria"/>
          <w:color w:val="000000"/>
        </w:rPr>
        <w:t>c</w:t>
      </w:r>
      <w:r w:rsidRPr="00AA552A">
        <w:rPr>
          <w:rFonts w:cs="Cambria"/>
          <w:color w:val="000000"/>
          <w:spacing w:val="-3"/>
        </w:rPr>
        <w:t xml:space="preserve"> </w:t>
      </w:r>
      <w:r w:rsidRPr="00AA552A">
        <w:rPr>
          <w:rFonts w:cs="Cambria"/>
          <w:color w:val="000000"/>
        </w:rPr>
        <w:t>la</w:t>
      </w:r>
      <w:r w:rsidRPr="00AA552A">
        <w:rPr>
          <w:rFonts w:cs="Cambria"/>
          <w:color w:val="000000"/>
          <w:spacing w:val="-1"/>
        </w:rPr>
        <w:t>rv</w:t>
      </w:r>
      <w:r w:rsidRPr="00AA552A">
        <w:rPr>
          <w:rFonts w:cs="Cambria"/>
          <w:color w:val="000000"/>
        </w:rPr>
        <w:t>a</w:t>
      </w:r>
      <w:r w:rsidRPr="00AA552A">
        <w:rPr>
          <w:rFonts w:cs="Cambria"/>
          <w:color w:val="000000"/>
          <w:spacing w:val="1"/>
        </w:rPr>
        <w:t>e</w:t>
      </w:r>
      <w:r w:rsidRPr="00AA552A">
        <w:rPr>
          <w:rFonts w:cs="Cambria"/>
          <w:color w:val="000000"/>
        </w:rPr>
        <w:t>.</w:t>
      </w:r>
    </w:p>
    <w:p w14:paraId="1A19E8E4" w14:textId="77777777" w:rsidR="00DC4922" w:rsidRDefault="00DC4922" w:rsidP="00DC4922">
      <w:pPr>
        <w:rPr>
          <w:rFonts w:cs="Cambria"/>
          <w:color w:val="000000"/>
          <w:spacing w:val="1"/>
        </w:rPr>
      </w:pPr>
    </w:p>
    <w:p w14:paraId="27282AB5" w14:textId="7CFE8A5F" w:rsidR="00DC4922" w:rsidRPr="00AA552A" w:rsidRDefault="00DC4922" w:rsidP="00640526">
      <w:pPr>
        <w:ind w:firstLine="360"/>
        <w:rPr>
          <w:rFonts w:cs="Cambria"/>
          <w:color w:val="000000"/>
        </w:rPr>
      </w:pPr>
      <w:r w:rsidRPr="00AA552A">
        <w:rPr>
          <w:rFonts w:cs="Cambria"/>
          <w:color w:val="000000"/>
          <w:spacing w:val="1"/>
        </w:rPr>
        <w:t>F</w:t>
      </w:r>
      <w:r w:rsidRPr="00AA552A">
        <w:rPr>
          <w:rFonts w:cs="Cambria"/>
          <w:color w:val="000000"/>
        </w:rPr>
        <w:t>or</w:t>
      </w:r>
      <w:r w:rsidRPr="00AA552A">
        <w:rPr>
          <w:rFonts w:cs="Cambria"/>
          <w:color w:val="000000"/>
          <w:spacing w:val="-5"/>
        </w:rPr>
        <w:t xml:space="preserve"> </w:t>
      </w:r>
      <w:r w:rsidRPr="00AA552A">
        <w:rPr>
          <w:rFonts w:cs="Cambria"/>
          <w:color w:val="000000"/>
          <w:spacing w:val="-1"/>
        </w:rPr>
        <w:t>k</w:t>
      </w:r>
      <w:r w:rsidRPr="00AA552A">
        <w:rPr>
          <w:rFonts w:cs="Cambria"/>
          <w:color w:val="000000"/>
          <w:spacing w:val="1"/>
        </w:rPr>
        <w:t>i</w:t>
      </w:r>
      <w:r w:rsidRPr="00AA552A">
        <w:rPr>
          <w:rFonts w:cs="Cambria"/>
          <w:color w:val="000000"/>
        </w:rPr>
        <w:t>ng</w:t>
      </w:r>
      <w:r w:rsidRPr="00AA552A">
        <w:rPr>
          <w:rFonts w:cs="Cambria"/>
          <w:color w:val="000000"/>
          <w:spacing w:val="-2"/>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Sp</w:t>
      </w:r>
      <w:r w:rsidRPr="00AA552A">
        <w:rPr>
          <w:rFonts w:cs="Cambria"/>
          <w:color w:val="000000"/>
        </w:rPr>
        <w:t>an</w:t>
      </w:r>
      <w:r w:rsidRPr="00AA552A">
        <w:rPr>
          <w:rFonts w:cs="Cambria"/>
          <w:color w:val="000000"/>
          <w:spacing w:val="1"/>
        </w:rPr>
        <w:t>i</w:t>
      </w:r>
      <w:r w:rsidRPr="00AA552A">
        <w:rPr>
          <w:rFonts w:cs="Cambria"/>
          <w:color w:val="000000"/>
        </w:rPr>
        <w:t>sh</w:t>
      </w:r>
      <w:r w:rsidRPr="00AA552A">
        <w:rPr>
          <w:rFonts w:cs="Cambria"/>
          <w:color w:val="000000"/>
          <w:spacing w:val="-3"/>
        </w:rPr>
        <w:t xml:space="preserve"> </w:t>
      </w:r>
      <w:r w:rsidRPr="00AA552A">
        <w:rPr>
          <w:rFonts w:cs="Cambria"/>
          <w:color w:val="000000"/>
        </w:rPr>
        <w:t>mac</w:t>
      </w:r>
      <w:r w:rsidRPr="00AA552A">
        <w:rPr>
          <w:rFonts w:cs="Cambria"/>
          <w:color w:val="000000"/>
          <w:spacing w:val="-1"/>
        </w:rPr>
        <w:t>k</w:t>
      </w:r>
      <w:r w:rsidRPr="00AA552A">
        <w:rPr>
          <w:rFonts w:cs="Cambria"/>
          <w:color w:val="000000"/>
          <w:spacing w:val="1"/>
        </w:rPr>
        <w:t>e</w:t>
      </w:r>
      <w:r w:rsidRPr="00AA552A">
        <w:rPr>
          <w:rFonts w:cs="Cambria"/>
          <w:color w:val="000000"/>
          <w:spacing w:val="-1"/>
        </w:rPr>
        <w:t>r</w:t>
      </w:r>
      <w:r w:rsidRPr="00AA552A">
        <w:rPr>
          <w:rFonts w:cs="Cambria"/>
          <w:color w:val="000000"/>
          <w:spacing w:val="1"/>
        </w:rPr>
        <w:t>e</w:t>
      </w:r>
      <w:r w:rsidRPr="00AA552A">
        <w:rPr>
          <w:rFonts w:cs="Cambria"/>
          <w:color w:val="000000"/>
        </w:rPr>
        <w:t>l</w:t>
      </w:r>
      <w:r w:rsidRPr="00AA552A">
        <w:rPr>
          <w:rFonts w:cs="Cambria"/>
          <w:color w:val="000000"/>
          <w:spacing w:val="-4"/>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co</w:t>
      </w:r>
      <w:r w:rsidRPr="00AA552A">
        <w:rPr>
          <w:rFonts w:cs="Cambria"/>
          <w:color w:val="000000"/>
          <w:spacing w:val="1"/>
        </w:rPr>
        <w:t>bi</w:t>
      </w:r>
      <w:r w:rsidRPr="00AA552A">
        <w:rPr>
          <w:rFonts w:cs="Cambria"/>
          <w:color w:val="000000"/>
        </w:rPr>
        <w:t>a</w:t>
      </w:r>
      <w:r w:rsidRPr="00AA552A">
        <w:rPr>
          <w:rFonts w:cs="Cambria"/>
          <w:color w:val="000000"/>
          <w:spacing w:val="-3"/>
        </w:rPr>
        <w:t xml:space="preserve"> </w:t>
      </w: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spacing w:val="-2"/>
        </w:rPr>
        <w:t>n</w:t>
      </w:r>
      <w:r w:rsidRPr="00AA552A">
        <w:rPr>
          <w:rFonts w:cs="Cambria"/>
          <w:color w:val="000000"/>
        </w:rPr>
        <w:t>t</w:t>
      </w:r>
      <w:r w:rsidRPr="00AA552A">
        <w:rPr>
          <w:rFonts w:cs="Cambria"/>
          <w:color w:val="000000"/>
          <w:spacing w:val="1"/>
        </w:rPr>
        <w:t>i</w:t>
      </w:r>
      <w:r w:rsidRPr="00AA552A">
        <w:rPr>
          <w:rFonts w:cs="Cambria"/>
          <w:color w:val="000000"/>
        </w:rPr>
        <w:t>al</w:t>
      </w:r>
      <w:r w:rsidRPr="00AA552A">
        <w:rPr>
          <w:rFonts w:cs="Cambria"/>
          <w:color w:val="000000"/>
          <w:spacing w:val="-5"/>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ha</w:t>
      </w:r>
      <w:r w:rsidRPr="00AA552A">
        <w:rPr>
          <w:rFonts w:cs="Cambria"/>
          <w:color w:val="000000"/>
          <w:spacing w:val="1"/>
        </w:rPr>
        <w:t>bi</w:t>
      </w:r>
      <w:r w:rsidRPr="00AA552A">
        <w:rPr>
          <w:rFonts w:cs="Cambria"/>
          <w:color w:val="000000"/>
        </w:rPr>
        <w:t>tat</w:t>
      </w:r>
      <w:r w:rsidRPr="00AA552A">
        <w:rPr>
          <w:rFonts w:cs="Cambria"/>
          <w:color w:val="000000"/>
          <w:spacing w:val="-2"/>
        </w:rPr>
        <w:t xml:space="preserve"> </w:t>
      </w:r>
      <w:r w:rsidRPr="00AA552A">
        <w:rPr>
          <w:rFonts w:cs="Cambria"/>
          <w:color w:val="000000"/>
        </w:rPr>
        <w:t>occ</w:t>
      </w:r>
      <w:r w:rsidRPr="00AA552A">
        <w:rPr>
          <w:rFonts w:cs="Cambria"/>
          <w:color w:val="000000"/>
          <w:spacing w:val="-1"/>
        </w:rPr>
        <w:t>ur</w:t>
      </w:r>
      <w:r w:rsidRPr="00AA552A">
        <w:rPr>
          <w:rFonts w:cs="Cambria"/>
          <w:color w:val="000000"/>
        </w:rPr>
        <w:t>s</w:t>
      </w:r>
      <w:r w:rsidRPr="00AA552A">
        <w:rPr>
          <w:rFonts w:cs="Cambria"/>
          <w:color w:val="000000"/>
          <w:spacing w:val="-5"/>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S</w:t>
      </w:r>
      <w:r w:rsidRPr="00AA552A">
        <w:rPr>
          <w:rFonts w:cs="Cambria"/>
          <w:color w:val="000000"/>
        </w:rPr>
        <w:t>o</w:t>
      </w:r>
      <w:r w:rsidRPr="00AA552A">
        <w:rPr>
          <w:rFonts w:cs="Cambria"/>
          <w:color w:val="000000"/>
          <w:spacing w:val="-1"/>
        </w:rPr>
        <w:t>u</w:t>
      </w:r>
      <w:r w:rsidRPr="00AA552A">
        <w:rPr>
          <w:rFonts w:cs="Cambria"/>
          <w:color w:val="000000"/>
        </w:rPr>
        <w:t>th</w:t>
      </w:r>
      <w:r w:rsidRPr="00AA552A">
        <w:rPr>
          <w:rFonts w:cs="Cambria"/>
          <w:color w:val="000000"/>
          <w:spacing w:val="-3"/>
        </w:rPr>
        <w:t xml:space="preserve"> </w:t>
      </w:r>
      <w:r w:rsidRPr="00AA552A">
        <w:rPr>
          <w:rFonts w:cs="Cambria"/>
          <w:color w:val="000000"/>
          <w:spacing w:val="-1"/>
        </w:rPr>
        <w:t>A</w:t>
      </w:r>
      <w:r w:rsidRPr="00AA552A">
        <w:rPr>
          <w:rFonts w:cs="Cambria"/>
          <w:color w:val="000000"/>
        </w:rPr>
        <w:t>tlant</w:t>
      </w:r>
      <w:r w:rsidRPr="00AA552A">
        <w:rPr>
          <w:rFonts w:cs="Cambria"/>
          <w:color w:val="000000"/>
          <w:spacing w:val="1"/>
        </w:rPr>
        <w:t>i</w:t>
      </w:r>
      <w:r w:rsidRPr="00AA552A">
        <w:rPr>
          <w:rFonts w:cs="Cambria"/>
          <w:color w:val="000000"/>
        </w:rPr>
        <w:t>c</w:t>
      </w:r>
      <w:r w:rsidRPr="00AA552A">
        <w:rPr>
          <w:rFonts w:cs="Cambria"/>
          <w:color w:val="000000"/>
          <w:spacing w:val="-2"/>
        </w:rPr>
        <w:t xml:space="preserve"> </w:t>
      </w:r>
      <w:r w:rsidRPr="00AA552A">
        <w:rPr>
          <w:rFonts w:cs="Cambria"/>
          <w:color w:val="000000"/>
        </w:rPr>
        <w:t>and</w:t>
      </w:r>
      <w:r w:rsidR="00640526">
        <w:rPr>
          <w:rFonts w:cs="Cambria"/>
          <w:color w:val="000000"/>
        </w:rPr>
        <w:t xml:space="preserve"> </w:t>
      </w:r>
      <w:r w:rsidRPr="00AA552A">
        <w:rPr>
          <w:rFonts w:cs="Cambria"/>
          <w:color w:val="000000"/>
          <w:spacing w:val="1"/>
        </w:rPr>
        <w:t>Mi</w:t>
      </w:r>
      <w:r w:rsidRPr="00AA552A">
        <w:rPr>
          <w:rFonts w:cs="Cambria"/>
          <w:color w:val="000000"/>
          <w:spacing w:val="-1"/>
        </w:rPr>
        <w:t>d</w:t>
      </w:r>
      <w:r w:rsidRPr="00AA552A">
        <w:rPr>
          <w:rFonts w:cs="Cambria"/>
          <w:color w:val="000000"/>
        </w:rPr>
        <w:t>-</w:t>
      </w:r>
      <w:r w:rsidRPr="00AA552A">
        <w:rPr>
          <w:rFonts w:cs="Cambria"/>
          <w:color w:val="000000"/>
          <w:spacing w:val="-1"/>
        </w:rPr>
        <w:t>A</w:t>
      </w:r>
      <w:r w:rsidRPr="00AA552A">
        <w:rPr>
          <w:rFonts w:cs="Cambria"/>
          <w:color w:val="000000"/>
        </w:rPr>
        <w:t>tlant</w:t>
      </w:r>
      <w:r w:rsidRPr="00AA552A">
        <w:rPr>
          <w:rFonts w:cs="Cambria"/>
          <w:color w:val="000000"/>
          <w:spacing w:val="1"/>
        </w:rPr>
        <w:t>i</w:t>
      </w:r>
      <w:r w:rsidRPr="00AA552A">
        <w:rPr>
          <w:rFonts w:cs="Cambria"/>
          <w:color w:val="000000"/>
        </w:rPr>
        <w:t>c</w:t>
      </w:r>
      <w:r w:rsidRPr="00AA552A">
        <w:rPr>
          <w:rFonts w:cs="Cambria"/>
          <w:color w:val="000000"/>
          <w:spacing w:val="-4"/>
        </w:rPr>
        <w:t xml:space="preserve"> </w:t>
      </w:r>
      <w:r w:rsidRPr="00AA552A">
        <w:rPr>
          <w:rFonts w:cs="Cambria"/>
          <w:color w:val="000000"/>
        </w:rPr>
        <w:t>B</w:t>
      </w:r>
      <w:r w:rsidRPr="00AA552A">
        <w:rPr>
          <w:rFonts w:cs="Cambria"/>
          <w:color w:val="000000"/>
          <w:spacing w:val="1"/>
        </w:rPr>
        <w:t>i</w:t>
      </w:r>
      <w:r w:rsidRPr="00AA552A">
        <w:rPr>
          <w:rFonts w:cs="Cambria"/>
          <w:color w:val="000000"/>
          <w:spacing w:val="-1"/>
        </w:rPr>
        <w:t>g</w:t>
      </w:r>
      <w:r w:rsidRPr="00AA552A">
        <w:rPr>
          <w:rFonts w:cs="Cambria"/>
          <w:color w:val="000000"/>
        </w:rPr>
        <w:t>hts.</w:t>
      </w:r>
    </w:p>
    <w:p w14:paraId="4AFB2BB5" w14:textId="77777777" w:rsidR="00DC4922" w:rsidRPr="00AA552A" w:rsidRDefault="00DC4922" w:rsidP="00DC4922">
      <w:pPr>
        <w:rPr>
          <w:rFonts w:cs="Cambria"/>
          <w:color w:val="000000"/>
          <w:sz w:val="28"/>
        </w:rPr>
      </w:pPr>
    </w:p>
    <w:p w14:paraId="20C8A34F" w14:textId="7735CBE6" w:rsidR="00DC4922" w:rsidRPr="00AA552A" w:rsidRDefault="00DC4922" w:rsidP="00640526">
      <w:pPr>
        <w:ind w:firstLine="360"/>
        <w:rPr>
          <w:rFonts w:cs="Cambria"/>
          <w:color w:val="000000"/>
        </w:rPr>
      </w:pPr>
      <w:r w:rsidRPr="00AA552A">
        <w:rPr>
          <w:rFonts w:cs="Cambria"/>
          <w:color w:val="000000"/>
          <w:spacing w:val="-1"/>
        </w:rPr>
        <w:lastRenderedPageBreak/>
        <w:t>Ar</w:t>
      </w:r>
      <w:r w:rsidRPr="00AA552A">
        <w:rPr>
          <w:rFonts w:cs="Cambria"/>
          <w:color w:val="000000"/>
          <w:spacing w:val="1"/>
        </w:rPr>
        <w:t>e</w:t>
      </w:r>
      <w:r w:rsidRPr="00AA552A">
        <w:rPr>
          <w:rFonts w:cs="Cambria"/>
          <w:color w:val="000000"/>
        </w:rPr>
        <w:t>as</w:t>
      </w:r>
      <w:r w:rsidRPr="00AA552A">
        <w:rPr>
          <w:rFonts w:cs="Cambria"/>
          <w:color w:val="000000"/>
          <w:spacing w:val="-3"/>
        </w:rPr>
        <w:t xml:space="preserve"> </w:t>
      </w:r>
      <w:r w:rsidRPr="00AA552A">
        <w:rPr>
          <w:rFonts w:cs="Cambria"/>
          <w:color w:val="000000"/>
          <w:spacing w:val="-1"/>
        </w:rPr>
        <w:t>w</w:t>
      </w:r>
      <w:r w:rsidRPr="00AA552A">
        <w:rPr>
          <w:rFonts w:cs="Cambria"/>
          <w:color w:val="000000"/>
        </w:rPr>
        <w:t>h</w:t>
      </w:r>
      <w:r w:rsidRPr="00AA552A">
        <w:rPr>
          <w:rFonts w:cs="Cambria"/>
          <w:color w:val="000000"/>
          <w:spacing w:val="1"/>
        </w:rPr>
        <w:t>i</w:t>
      </w:r>
      <w:r w:rsidRPr="00AA552A">
        <w:rPr>
          <w:rFonts w:cs="Cambria"/>
          <w:color w:val="000000"/>
        </w:rPr>
        <w:t>ch</w:t>
      </w:r>
      <w:r w:rsidRPr="00AA552A">
        <w:rPr>
          <w:rFonts w:cs="Cambria"/>
          <w:color w:val="000000"/>
          <w:spacing w:val="-4"/>
        </w:rPr>
        <w:t xml:space="preserve"> </w:t>
      </w:r>
      <w:r w:rsidRPr="00AA552A">
        <w:rPr>
          <w:rFonts w:cs="Cambria"/>
          <w:color w:val="000000"/>
        </w:rPr>
        <w:t>m</w:t>
      </w:r>
      <w:r w:rsidRPr="00AA552A">
        <w:rPr>
          <w:rFonts w:cs="Cambria"/>
          <w:color w:val="000000"/>
          <w:spacing w:val="1"/>
        </w:rPr>
        <w:t>ee</w:t>
      </w:r>
      <w:r w:rsidRPr="00AA552A">
        <w:rPr>
          <w:rFonts w:cs="Cambria"/>
          <w:color w:val="000000"/>
        </w:rPr>
        <w:t>t</w:t>
      </w:r>
      <w:r w:rsidRPr="00AA552A">
        <w:rPr>
          <w:rFonts w:cs="Cambria"/>
          <w:color w:val="000000"/>
          <w:spacing w:val="-2"/>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2"/>
        </w:rPr>
        <w:t>c</w:t>
      </w:r>
      <w:r w:rsidRPr="00AA552A">
        <w:rPr>
          <w:rFonts w:cs="Cambria"/>
          <w:color w:val="000000"/>
          <w:spacing w:val="-1"/>
        </w:rPr>
        <w:t>r</w:t>
      </w:r>
      <w:r w:rsidRPr="00AA552A">
        <w:rPr>
          <w:rFonts w:cs="Cambria"/>
          <w:color w:val="000000"/>
          <w:spacing w:val="1"/>
        </w:rPr>
        <w:t>i</w:t>
      </w:r>
      <w:r w:rsidRPr="00AA552A">
        <w:rPr>
          <w:rFonts w:cs="Cambria"/>
          <w:color w:val="000000"/>
        </w:rPr>
        <w:t>t</w:t>
      </w:r>
      <w:r w:rsidRPr="00AA552A">
        <w:rPr>
          <w:rFonts w:cs="Cambria"/>
          <w:color w:val="000000"/>
          <w:spacing w:val="1"/>
        </w:rPr>
        <w:t>e</w:t>
      </w:r>
      <w:r w:rsidRPr="00AA552A">
        <w:rPr>
          <w:rFonts w:cs="Cambria"/>
          <w:color w:val="000000"/>
          <w:spacing w:val="-1"/>
        </w:rPr>
        <w:t>r</w:t>
      </w:r>
      <w:r w:rsidRPr="00AA552A">
        <w:rPr>
          <w:rFonts w:cs="Cambria"/>
          <w:color w:val="000000"/>
          <w:spacing w:val="1"/>
        </w:rPr>
        <w:t>i</w:t>
      </w:r>
      <w:r w:rsidRPr="00AA552A">
        <w:rPr>
          <w:rFonts w:cs="Cambria"/>
          <w:color w:val="000000"/>
        </w:rPr>
        <w:t>a</w:t>
      </w:r>
      <w:r w:rsidRPr="00AA552A">
        <w:rPr>
          <w:rFonts w:cs="Cambria"/>
          <w:color w:val="000000"/>
          <w:spacing w:val="-6"/>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spacing w:val="1"/>
        </w:rPr>
        <w:t>EFH</w:t>
      </w:r>
      <w:r w:rsidRPr="00AA552A">
        <w:rPr>
          <w:rFonts w:cs="Cambria"/>
          <w:color w:val="000000"/>
        </w:rPr>
        <w:t>-</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s</w:t>
      </w:r>
      <w:r w:rsidRPr="00AA552A">
        <w:rPr>
          <w:rFonts w:cs="Cambria"/>
          <w:color w:val="000000"/>
          <w:spacing w:val="-8"/>
        </w:rPr>
        <w:t xml:space="preserve"> </w:t>
      </w:r>
      <w:r w:rsidRPr="00AA552A">
        <w:rPr>
          <w:rFonts w:cs="Cambria"/>
          <w:color w:val="000000"/>
          <w:spacing w:val="-2"/>
        </w:rPr>
        <w:t>i</w:t>
      </w:r>
      <w:r w:rsidRPr="00AA552A">
        <w:rPr>
          <w:rFonts w:cs="Cambria"/>
          <w:color w:val="000000"/>
        </w:rPr>
        <w:t>nclu</w:t>
      </w:r>
      <w:r w:rsidRPr="00AA552A">
        <w:rPr>
          <w:rFonts w:cs="Cambria"/>
          <w:color w:val="000000"/>
          <w:spacing w:val="-1"/>
        </w:rPr>
        <w:t>d</w:t>
      </w:r>
      <w:r w:rsidRPr="00AA552A">
        <w:rPr>
          <w:rFonts w:cs="Cambria"/>
          <w:color w:val="000000"/>
        </w:rPr>
        <w:t>e</w:t>
      </w:r>
      <w:r w:rsidRPr="00AA552A">
        <w:rPr>
          <w:rFonts w:cs="Cambria"/>
          <w:color w:val="000000"/>
          <w:spacing w:val="-5"/>
        </w:rPr>
        <w:t xml:space="preserve"> </w:t>
      </w:r>
      <w:r w:rsidRPr="00AA552A">
        <w:rPr>
          <w:rFonts w:cs="Cambria"/>
          <w:color w:val="000000"/>
        </w:rPr>
        <w:t>san</w:t>
      </w:r>
      <w:r w:rsidRPr="00AA552A">
        <w:rPr>
          <w:rFonts w:cs="Cambria"/>
          <w:color w:val="000000"/>
          <w:spacing w:val="-1"/>
        </w:rPr>
        <w:t>d</w:t>
      </w:r>
      <w:r w:rsidRPr="00AA552A">
        <w:rPr>
          <w:rFonts w:cs="Cambria"/>
          <w:color w:val="000000"/>
        </w:rPr>
        <w:t>y</w:t>
      </w:r>
      <w:r w:rsidRPr="00AA552A">
        <w:rPr>
          <w:rFonts w:cs="Cambria"/>
          <w:color w:val="000000"/>
          <w:spacing w:val="-5"/>
        </w:rPr>
        <w:t xml:space="preserve"> </w:t>
      </w:r>
      <w:r w:rsidRPr="00AA552A">
        <w:rPr>
          <w:rFonts w:cs="Cambria"/>
          <w:color w:val="000000"/>
        </w:rPr>
        <w:t>shoals</w:t>
      </w:r>
      <w:r w:rsidRPr="00AA552A">
        <w:rPr>
          <w:rFonts w:cs="Cambria"/>
          <w:color w:val="000000"/>
          <w:spacing w:val="-5"/>
        </w:rPr>
        <w:t xml:space="preserve"> </w:t>
      </w:r>
      <w:r w:rsidRPr="00AA552A">
        <w:rPr>
          <w:rFonts w:cs="Cambria"/>
          <w:color w:val="000000"/>
          <w:spacing w:val="2"/>
        </w:rPr>
        <w:t>o</w:t>
      </w:r>
      <w:r w:rsidRPr="00AA552A">
        <w:rPr>
          <w:rFonts w:cs="Cambria"/>
          <w:color w:val="000000"/>
        </w:rPr>
        <w:t xml:space="preserve">f </w:t>
      </w:r>
      <w:r w:rsidRPr="00AA552A">
        <w:rPr>
          <w:rFonts w:cs="Cambria"/>
          <w:color w:val="000000"/>
          <w:spacing w:val="-1"/>
        </w:rPr>
        <w:t>C</w:t>
      </w:r>
      <w:r w:rsidRPr="00AA552A">
        <w:rPr>
          <w:rFonts w:cs="Cambria"/>
          <w:color w:val="000000"/>
        </w:rPr>
        <w:t>a</w:t>
      </w:r>
      <w:r w:rsidRPr="00AA552A">
        <w:rPr>
          <w:rFonts w:cs="Cambria"/>
          <w:color w:val="000000"/>
          <w:spacing w:val="1"/>
        </w:rPr>
        <w:t>pe</w:t>
      </w:r>
      <w:r w:rsidRPr="00AA552A">
        <w:rPr>
          <w:rFonts w:cs="Cambria"/>
          <w:color w:val="000000"/>
        </w:rPr>
        <w:t>s</w:t>
      </w:r>
      <w:r w:rsidRPr="00AA552A">
        <w:rPr>
          <w:rFonts w:cs="Cambria"/>
          <w:color w:val="000000"/>
          <w:spacing w:val="-4"/>
        </w:rPr>
        <w:t xml:space="preserve"> </w:t>
      </w:r>
      <w:r w:rsidRPr="00AA552A">
        <w:rPr>
          <w:rFonts w:cs="Cambria"/>
          <w:color w:val="000000"/>
          <w:spacing w:val="1"/>
        </w:rPr>
        <w:t>L</w:t>
      </w:r>
      <w:r w:rsidRPr="00AA552A">
        <w:rPr>
          <w:rFonts w:cs="Cambria"/>
          <w:color w:val="000000"/>
        </w:rPr>
        <w:t>oo</w:t>
      </w:r>
      <w:r w:rsidRPr="00AA552A">
        <w:rPr>
          <w:rFonts w:cs="Cambria"/>
          <w:color w:val="000000"/>
          <w:spacing w:val="-1"/>
        </w:rPr>
        <w:t>k</w:t>
      </w:r>
      <w:r w:rsidRPr="00AA552A">
        <w:rPr>
          <w:rFonts w:cs="Cambria"/>
          <w:color w:val="000000"/>
        </w:rPr>
        <w:t>out,</w:t>
      </w:r>
      <w:r w:rsidRPr="00AA552A">
        <w:rPr>
          <w:rFonts w:cs="Cambria"/>
          <w:color w:val="000000"/>
          <w:spacing w:val="-4"/>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p</w:t>
      </w:r>
      <w:r w:rsidRPr="00AA552A">
        <w:rPr>
          <w:rFonts w:cs="Cambria"/>
          <w:color w:val="000000"/>
        </w:rPr>
        <w:t>e</w:t>
      </w:r>
      <w:r w:rsidRPr="00AA552A">
        <w:rPr>
          <w:rFonts w:cs="Cambria"/>
          <w:color w:val="000000"/>
          <w:spacing w:val="-2"/>
        </w:rPr>
        <w:t xml:space="preserve"> Fe</w:t>
      </w:r>
      <w:r w:rsidRPr="00AA552A">
        <w:rPr>
          <w:rFonts w:cs="Cambria"/>
          <w:color w:val="000000"/>
        </w:rPr>
        <w:t>a</w:t>
      </w:r>
      <w:r w:rsidRPr="00AA552A">
        <w:rPr>
          <w:rFonts w:cs="Cambria"/>
          <w:color w:val="000000"/>
          <w:spacing w:val="-1"/>
        </w:rPr>
        <w:t>r</w:t>
      </w:r>
      <w:r w:rsidRPr="00AA552A">
        <w:rPr>
          <w:rFonts w:cs="Cambria"/>
          <w:color w:val="000000"/>
        </w:rPr>
        <w:t>, and</w:t>
      </w:r>
      <w:r w:rsidRPr="00AA552A">
        <w:rPr>
          <w:rFonts w:cs="Cambria"/>
          <w:color w:val="000000"/>
          <w:spacing w:val="-2"/>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p</w:t>
      </w:r>
      <w:r w:rsidRPr="00AA552A">
        <w:rPr>
          <w:rFonts w:cs="Cambria"/>
          <w:color w:val="000000"/>
        </w:rPr>
        <w:t>e</w:t>
      </w:r>
      <w:r w:rsidRPr="00AA552A">
        <w:rPr>
          <w:rFonts w:cs="Cambria"/>
          <w:color w:val="000000"/>
          <w:spacing w:val="-2"/>
        </w:rPr>
        <w:t xml:space="preserve"> </w:t>
      </w:r>
      <w:r w:rsidRPr="00AA552A">
        <w:rPr>
          <w:rFonts w:cs="Cambria"/>
          <w:color w:val="000000"/>
          <w:spacing w:val="1"/>
        </w:rPr>
        <w:t>H</w:t>
      </w:r>
      <w:r w:rsidRPr="00AA552A">
        <w:rPr>
          <w:rFonts w:cs="Cambria"/>
          <w:color w:val="000000"/>
        </w:rPr>
        <w:t>att</w:t>
      </w:r>
      <w:r w:rsidRPr="00AA552A">
        <w:rPr>
          <w:rFonts w:cs="Cambria"/>
          <w:color w:val="000000"/>
          <w:spacing w:val="1"/>
        </w:rPr>
        <w:t>e</w:t>
      </w:r>
      <w:r w:rsidRPr="00AA552A">
        <w:rPr>
          <w:rFonts w:cs="Cambria"/>
          <w:color w:val="000000"/>
          <w:spacing w:val="-1"/>
        </w:rPr>
        <w:t>r</w:t>
      </w:r>
      <w:r w:rsidRPr="00AA552A">
        <w:rPr>
          <w:rFonts w:cs="Cambria"/>
          <w:color w:val="000000"/>
        </w:rPr>
        <w:t>as</w:t>
      </w:r>
      <w:r w:rsidRPr="00AA552A">
        <w:rPr>
          <w:rFonts w:cs="Cambria"/>
          <w:color w:val="000000"/>
          <w:spacing w:val="-5"/>
        </w:rPr>
        <w:t xml:space="preserve"> </w:t>
      </w:r>
      <w:r w:rsidRPr="00AA552A">
        <w:rPr>
          <w:rFonts w:cs="Cambria"/>
          <w:color w:val="000000"/>
          <w:spacing w:val="-1"/>
        </w:rPr>
        <w:t>fr</w:t>
      </w:r>
      <w:r w:rsidRPr="00AA552A">
        <w:rPr>
          <w:rFonts w:cs="Cambria"/>
          <w:color w:val="000000"/>
        </w:rPr>
        <w:t>om</w:t>
      </w:r>
      <w:r w:rsidRPr="00AA552A">
        <w:rPr>
          <w:rFonts w:cs="Cambria"/>
          <w:color w:val="000000"/>
          <w:spacing w:val="-3"/>
        </w:rPr>
        <w:t xml:space="preserve"> </w:t>
      </w:r>
      <w:r w:rsidRPr="00AA552A">
        <w:rPr>
          <w:rFonts w:cs="Cambria"/>
          <w:color w:val="000000"/>
        </w:rPr>
        <w:t>sho</w:t>
      </w:r>
      <w:r w:rsidRPr="00AA552A">
        <w:rPr>
          <w:rFonts w:cs="Cambria"/>
          <w:color w:val="000000"/>
          <w:spacing w:val="-1"/>
        </w:rPr>
        <w:t>r</w:t>
      </w:r>
      <w:r w:rsidRPr="00AA552A">
        <w:rPr>
          <w:rFonts w:cs="Cambria"/>
          <w:color w:val="000000"/>
        </w:rPr>
        <w:t>e</w:t>
      </w:r>
      <w:r w:rsidRPr="00AA552A">
        <w:rPr>
          <w:rFonts w:cs="Cambria"/>
          <w:color w:val="000000"/>
          <w:spacing w:val="-5"/>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e</w:t>
      </w:r>
      <w:r w:rsidRPr="00AA552A">
        <w:rPr>
          <w:rFonts w:cs="Cambria"/>
          <w:color w:val="000000"/>
        </w:rPr>
        <w:t>n</w:t>
      </w:r>
      <w:r w:rsidRPr="00AA552A">
        <w:rPr>
          <w:rFonts w:cs="Cambria"/>
          <w:color w:val="000000"/>
          <w:spacing w:val="-1"/>
        </w:rPr>
        <w:t>d</w:t>
      </w:r>
      <w:r w:rsidRPr="00AA552A">
        <w:rPr>
          <w:rFonts w:cs="Cambria"/>
          <w:color w:val="000000"/>
        </w:rPr>
        <w:t>s</w:t>
      </w:r>
      <w:r w:rsidRPr="00AA552A">
        <w:rPr>
          <w:rFonts w:cs="Cambria"/>
          <w:color w:val="000000"/>
          <w:spacing w:val="-4"/>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r</w:t>
      </w:r>
      <w:r w:rsidRPr="00AA552A">
        <w:rPr>
          <w:rFonts w:cs="Cambria"/>
          <w:color w:val="000000"/>
          <w:spacing w:val="1"/>
        </w:rPr>
        <w:t>e</w:t>
      </w:r>
      <w:r w:rsidRPr="00AA552A">
        <w:rPr>
          <w:rFonts w:cs="Cambria"/>
          <w:color w:val="000000"/>
        </w:rPr>
        <w:t>s</w:t>
      </w:r>
      <w:r w:rsidRPr="00AA552A">
        <w:rPr>
          <w:rFonts w:cs="Cambria"/>
          <w:color w:val="000000"/>
          <w:spacing w:val="1"/>
        </w:rPr>
        <w:t>pe</w:t>
      </w:r>
      <w:r w:rsidRPr="00AA552A">
        <w:rPr>
          <w:rFonts w:cs="Cambria"/>
          <w:color w:val="000000"/>
        </w:rPr>
        <w:t>ct</w:t>
      </w:r>
      <w:r w:rsidRPr="00AA552A">
        <w:rPr>
          <w:rFonts w:cs="Cambria"/>
          <w:color w:val="000000"/>
          <w:spacing w:val="1"/>
        </w:rPr>
        <w:t>i</w:t>
      </w:r>
      <w:r w:rsidRPr="00AA552A">
        <w:rPr>
          <w:rFonts w:cs="Cambria"/>
          <w:color w:val="000000"/>
          <w:spacing w:val="-1"/>
        </w:rPr>
        <w:t>v</w:t>
      </w:r>
      <w:r w:rsidRPr="00AA552A">
        <w:rPr>
          <w:rFonts w:cs="Cambria"/>
          <w:color w:val="000000"/>
        </w:rPr>
        <w:t>e</w:t>
      </w:r>
      <w:r w:rsidRPr="00AA552A">
        <w:rPr>
          <w:rFonts w:cs="Cambria"/>
          <w:color w:val="000000"/>
          <w:spacing w:val="-7"/>
        </w:rPr>
        <w:t xml:space="preserve"> </w:t>
      </w:r>
      <w:r w:rsidRPr="00AA552A">
        <w:rPr>
          <w:rFonts w:cs="Cambria"/>
          <w:color w:val="000000"/>
        </w:rPr>
        <w:t>shoals,</w:t>
      </w:r>
      <w:r w:rsidRPr="00AA552A">
        <w:rPr>
          <w:rFonts w:cs="Cambria"/>
          <w:color w:val="000000"/>
          <w:spacing w:val="-4"/>
        </w:rPr>
        <w:t xml:space="preserve"> </w:t>
      </w:r>
      <w:r w:rsidRPr="00AA552A">
        <w:rPr>
          <w:rFonts w:cs="Cambria"/>
          <w:color w:val="000000"/>
          <w:spacing w:val="1"/>
        </w:rPr>
        <w:t>b</w:t>
      </w:r>
      <w:r w:rsidRPr="00AA552A">
        <w:rPr>
          <w:rFonts w:cs="Cambria"/>
          <w:color w:val="000000"/>
        </w:rPr>
        <w:t xml:space="preserve">ut </w:t>
      </w:r>
      <w:r w:rsidRPr="00AA552A">
        <w:rPr>
          <w:rFonts w:cs="Cambria"/>
          <w:color w:val="000000"/>
          <w:spacing w:val="-2"/>
        </w:rPr>
        <w:t>s</w:t>
      </w:r>
      <w:r w:rsidRPr="00AA552A">
        <w:rPr>
          <w:rFonts w:cs="Cambria"/>
          <w:color w:val="000000"/>
        </w:rPr>
        <w:t>ho</w:t>
      </w:r>
      <w:r w:rsidRPr="00AA552A">
        <w:rPr>
          <w:rFonts w:cs="Cambria"/>
          <w:color w:val="000000"/>
          <w:spacing w:val="-1"/>
        </w:rPr>
        <w:t>r</w:t>
      </w:r>
      <w:r w:rsidRPr="00AA552A">
        <w:rPr>
          <w:rFonts w:cs="Cambria"/>
          <w:color w:val="000000"/>
          <w:spacing w:val="1"/>
        </w:rPr>
        <w:t>e</w:t>
      </w:r>
      <w:r w:rsidRPr="00AA552A">
        <w:rPr>
          <w:rFonts w:cs="Cambria"/>
          <w:color w:val="000000"/>
          <w:spacing w:val="-1"/>
        </w:rPr>
        <w:t>w</w:t>
      </w:r>
      <w:r w:rsidRPr="00AA552A">
        <w:rPr>
          <w:rFonts w:cs="Cambria"/>
          <w:color w:val="000000"/>
        </w:rPr>
        <w:t>a</w:t>
      </w:r>
      <w:r w:rsidRPr="00AA552A">
        <w:rPr>
          <w:rFonts w:cs="Cambria"/>
          <w:color w:val="000000"/>
          <w:spacing w:val="2"/>
        </w:rPr>
        <w:t>r</w:t>
      </w:r>
      <w:r w:rsidRPr="00AA552A">
        <w:rPr>
          <w:rFonts w:cs="Cambria"/>
          <w:color w:val="000000"/>
        </w:rPr>
        <w:t>d</w:t>
      </w:r>
      <w:r w:rsidRPr="00AA552A">
        <w:rPr>
          <w:rFonts w:cs="Cambria"/>
          <w:color w:val="000000"/>
          <w:spacing w:val="-9"/>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Gulf st</w:t>
      </w:r>
      <w:r w:rsidRPr="00AA552A">
        <w:rPr>
          <w:rFonts w:cs="Cambria"/>
          <w:color w:val="000000"/>
          <w:spacing w:val="-1"/>
        </w:rPr>
        <w:t>r</w:t>
      </w:r>
      <w:r w:rsidRPr="00AA552A">
        <w:rPr>
          <w:rFonts w:cs="Cambria"/>
          <w:color w:val="000000"/>
          <w:spacing w:val="1"/>
        </w:rPr>
        <w:t>e</w:t>
      </w:r>
      <w:r w:rsidRPr="00AA552A">
        <w:rPr>
          <w:rFonts w:cs="Cambria"/>
          <w:color w:val="000000"/>
        </w:rPr>
        <w:t>am;</w:t>
      </w:r>
      <w:r w:rsidRPr="00AA552A">
        <w:rPr>
          <w:rFonts w:cs="Cambria"/>
          <w:color w:val="000000"/>
          <w:spacing w:val="-5"/>
        </w:rPr>
        <w:t xml:space="preserve"> </w:t>
      </w:r>
      <w:r w:rsidRPr="00AA552A">
        <w:rPr>
          <w:rFonts w:cs="Cambria"/>
          <w:color w:val="000000"/>
          <w:spacing w:val="-1"/>
        </w:rPr>
        <w:t>T</w:t>
      </w:r>
      <w:r w:rsidRPr="00AA552A">
        <w:rPr>
          <w:rFonts w:cs="Cambria"/>
          <w:color w:val="000000"/>
        </w:rPr>
        <w:t>he</w:t>
      </w:r>
      <w:r w:rsidRPr="00AA552A">
        <w:rPr>
          <w:rFonts w:cs="Cambria"/>
          <w:color w:val="000000"/>
          <w:spacing w:val="-3"/>
        </w:rPr>
        <w:t xml:space="preserve"> </w:t>
      </w:r>
      <w:r w:rsidRPr="00AA552A">
        <w:rPr>
          <w:rFonts w:cs="Cambria"/>
          <w:color w:val="000000"/>
          <w:spacing w:val="1"/>
        </w:rPr>
        <w:t>P</w:t>
      </w:r>
      <w:r w:rsidRPr="00AA552A">
        <w:rPr>
          <w:rFonts w:cs="Cambria"/>
          <w:color w:val="000000"/>
        </w:rPr>
        <w:t>o</w:t>
      </w:r>
      <w:r w:rsidRPr="00AA552A">
        <w:rPr>
          <w:rFonts w:cs="Cambria"/>
          <w:color w:val="000000"/>
          <w:spacing w:val="1"/>
        </w:rPr>
        <w:t>i</w:t>
      </w:r>
      <w:r w:rsidRPr="00AA552A">
        <w:rPr>
          <w:rFonts w:cs="Cambria"/>
          <w:color w:val="000000"/>
        </w:rPr>
        <w:t>nt,</w:t>
      </w:r>
      <w:r w:rsidRPr="00AA552A">
        <w:rPr>
          <w:rFonts w:cs="Cambria"/>
          <w:color w:val="000000"/>
          <w:spacing w:val="-2"/>
        </w:rPr>
        <w:t xml:space="preserve"> </w:t>
      </w:r>
      <w:r w:rsidRPr="00AA552A">
        <w:rPr>
          <w:rFonts w:cs="Cambria"/>
          <w:color w:val="000000"/>
          <w:spacing w:val="-1"/>
        </w:rPr>
        <w:t>T</w:t>
      </w:r>
      <w:r w:rsidRPr="00AA552A">
        <w:rPr>
          <w:rFonts w:cs="Cambria"/>
          <w:color w:val="000000"/>
        </w:rPr>
        <w:t>he</w:t>
      </w:r>
      <w:r w:rsidRPr="00AA552A">
        <w:rPr>
          <w:rFonts w:cs="Cambria"/>
          <w:color w:val="000000"/>
          <w:spacing w:val="-3"/>
        </w:rPr>
        <w:t xml:space="preserve"> </w:t>
      </w:r>
      <w:r w:rsidRPr="00AA552A">
        <w:rPr>
          <w:rFonts w:cs="Cambria"/>
          <w:color w:val="000000"/>
          <w:spacing w:val="-1"/>
        </w:rPr>
        <w:t>T</w:t>
      </w:r>
      <w:r w:rsidRPr="00AA552A">
        <w:rPr>
          <w:rFonts w:cs="Cambria"/>
          <w:color w:val="000000"/>
          <w:spacing w:val="1"/>
        </w:rPr>
        <w:t>e</w:t>
      </w:r>
      <w:r w:rsidRPr="00AA552A">
        <w:rPr>
          <w:rFonts w:cs="Cambria"/>
          <w:color w:val="000000"/>
        </w:rPr>
        <w:t>n-</w:t>
      </w:r>
      <w:r w:rsidRPr="00AA552A">
        <w:rPr>
          <w:rFonts w:cs="Cambria"/>
          <w:color w:val="000000"/>
          <w:spacing w:val="1"/>
        </w:rPr>
        <w:t>F</w:t>
      </w:r>
      <w:r w:rsidRPr="00AA552A">
        <w:rPr>
          <w:rFonts w:cs="Cambria"/>
          <w:color w:val="000000"/>
        </w:rPr>
        <w:t>athom</w:t>
      </w:r>
      <w:r w:rsidRPr="00AA552A">
        <w:rPr>
          <w:rFonts w:cs="Cambria"/>
          <w:color w:val="000000"/>
          <w:spacing w:val="-6"/>
        </w:rPr>
        <w:t xml:space="preserve"> </w:t>
      </w:r>
      <w:r w:rsidRPr="00AA552A">
        <w:rPr>
          <w:rFonts w:cs="Cambria"/>
          <w:color w:val="000000"/>
          <w:spacing w:val="1"/>
        </w:rPr>
        <w:t>Le</w:t>
      </w:r>
      <w:r w:rsidRPr="00AA552A">
        <w:rPr>
          <w:rFonts w:cs="Cambria"/>
          <w:color w:val="000000"/>
          <w:spacing w:val="-1"/>
        </w:rPr>
        <w:t>dg</w:t>
      </w:r>
      <w:r w:rsidRPr="00AA552A">
        <w:rPr>
          <w:rFonts w:cs="Cambria"/>
          <w:color w:val="000000"/>
          <w:spacing w:val="1"/>
        </w:rPr>
        <w:t>e</w:t>
      </w:r>
      <w:r w:rsidRPr="00AA552A">
        <w:rPr>
          <w:rFonts w:cs="Cambria"/>
          <w:color w:val="000000"/>
        </w:rPr>
        <w:t>,</w:t>
      </w:r>
      <w:r w:rsidRPr="00AA552A">
        <w:rPr>
          <w:rFonts w:cs="Cambria"/>
          <w:color w:val="000000"/>
          <w:spacing w:val="-4"/>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B</w:t>
      </w:r>
      <w:r w:rsidRPr="00AA552A">
        <w:rPr>
          <w:rFonts w:cs="Cambria"/>
          <w:color w:val="000000"/>
          <w:spacing w:val="1"/>
        </w:rPr>
        <w:t>i</w:t>
      </w:r>
      <w:r w:rsidRPr="00AA552A">
        <w:rPr>
          <w:rFonts w:cs="Cambria"/>
          <w:color w:val="000000"/>
        </w:rPr>
        <w:t>g</w:t>
      </w:r>
      <w:r w:rsidRPr="00AA552A">
        <w:rPr>
          <w:rFonts w:cs="Cambria"/>
          <w:color w:val="000000"/>
          <w:spacing w:val="-2"/>
        </w:rPr>
        <w:t xml:space="preserve"> </w:t>
      </w:r>
      <w:r w:rsidRPr="00AA552A">
        <w:rPr>
          <w:rFonts w:cs="Cambria"/>
          <w:color w:val="000000"/>
        </w:rPr>
        <w:t>Rock</w:t>
      </w:r>
      <w:r w:rsidRPr="00AA552A">
        <w:rPr>
          <w:rFonts w:cs="Cambria"/>
          <w:color w:val="000000"/>
          <w:spacing w:val="-3"/>
        </w:rPr>
        <w:t xml:space="preserve"> </w:t>
      </w:r>
      <w:r w:rsidRPr="00AA552A">
        <w:rPr>
          <w:rFonts w:cs="Cambria"/>
          <w:color w:val="000000"/>
        </w:rPr>
        <w:t>(N</w:t>
      </w:r>
      <w:r w:rsidRPr="00AA552A">
        <w:rPr>
          <w:rFonts w:cs="Cambria"/>
          <w:color w:val="000000"/>
          <w:spacing w:val="2"/>
        </w:rPr>
        <w:t>o</w:t>
      </w:r>
      <w:r w:rsidRPr="00AA552A">
        <w:rPr>
          <w:rFonts w:cs="Cambria"/>
          <w:color w:val="000000"/>
          <w:spacing w:val="-1"/>
        </w:rPr>
        <w:t>r</w:t>
      </w:r>
      <w:r w:rsidRPr="00AA552A">
        <w:rPr>
          <w:rFonts w:cs="Cambria"/>
          <w:color w:val="000000"/>
        </w:rPr>
        <w:t>th</w:t>
      </w:r>
      <w:r w:rsidRPr="00AA552A">
        <w:rPr>
          <w:rFonts w:cs="Cambria"/>
          <w:color w:val="000000"/>
          <w:spacing w:val="-6"/>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spacing w:val="2"/>
        </w:rPr>
        <w:t>o</w:t>
      </w:r>
      <w:r w:rsidRPr="00AA552A">
        <w:rPr>
          <w:rFonts w:cs="Cambria"/>
          <w:color w:val="000000"/>
        </w:rPr>
        <w:t>l</w:t>
      </w:r>
      <w:r w:rsidRPr="00AA552A">
        <w:rPr>
          <w:rFonts w:cs="Cambria"/>
          <w:color w:val="000000"/>
          <w:spacing w:val="1"/>
        </w:rPr>
        <w:t>i</w:t>
      </w:r>
      <w:r w:rsidRPr="00AA552A">
        <w:rPr>
          <w:rFonts w:cs="Cambria"/>
          <w:color w:val="000000"/>
        </w:rPr>
        <w:t>na);</w:t>
      </w:r>
      <w:r w:rsidRPr="00AA552A">
        <w:rPr>
          <w:rFonts w:cs="Cambria"/>
          <w:color w:val="000000"/>
          <w:spacing w:val="-7"/>
        </w:rPr>
        <w:t xml:space="preserve"> </w:t>
      </w:r>
      <w:r w:rsidRPr="00AA552A">
        <w:rPr>
          <w:rFonts w:cs="Cambria"/>
          <w:color w:val="000000"/>
          <w:spacing w:val="-1"/>
        </w:rPr>
        <w:t>T</w:t>
      </w:r>
      <w:r w:rsidRPr="00AA552A">
        <w:rPr>
          <w:rFonts w:cs="Cambria"/>
          <w:color w:val="000000"/>
        </w:rPr>
        <w:t>he</w:t>
      </w:r>
      <w:r w:rsidRPr="00AA552A">
        <w:rPr>
          <w:rFonts w:cs="Cambria"/>
          <w:color w:val="000000"/>
          <w:spacing w:val="-3"/>
        </w:rPr>
        <w:t xml:space="preserve"> </w:t>
      </w:r>
      <w:r w:rsidRPr="00AA552A">
        <w:rPr>
          <w:rFonts w:cs="Cambria"/>
          <w:color w:val="000000"/>
          <w:spacing w:val="-1"/>
        </w:rPr>
        <w:t>C</w:t>
      </w:r>
      <w:r w:rsidRPr="00AA552A">
        <w:rPr>
          <w:rFonts w:cs="Cambria"/>
          <w:color w:val="000000"/>
        </w:rPr>
        <w:t>ha</w:t>
      </w:r>
      <w:r w:rsidRPr="00AA552A">
        <w:rPr>
          <w:rFonts w:cs="Cambria"/>
          <w:color w:val="000000"/>
          <w:spacing w:val="-1"/>
        </w:rPr>
        <w:t>r</w:t>
      </w:r>
      <w:r w:rsidRPr="00AA552A">
        <w:rPr>
          <w:rFonts w:cs="Cambria"/>
          <w:color w:val="000000"/>
        </w:rPr>
        <w:t>l</w:t>
      </w:r>
      <w:r w:rsidRPr="00AA552A">
        <w:rPr>
          <w:rFonts w:cs="Cambria"/>
          <w:color w:val="000000"/>
          <w:spacing w:val="1"/>
        </w:rPr>
        <w:t>e</w:t>
      </w:r>
      <w:r w:rsidRPr="00AA552A">
        <w:rPr>
          <w:rFonts w:cs="Cambria"/>
          <w:color w:val="000000"/>
        </w:rPr>
        <w:t>ston</w:t>
      </w:r>
      <w:r w:rsidRPr="00AA552A">
        <w:rPr>
          <w:rFonts w:cs="Cambria"/>
          <w:color w:val="000000"/>
          <w:spacing w:val="-6"/>
        </w:rPr>
        <w:t xml:space="preserve"> </w:t>
      </w:r>
      <w:r w:rsidRPr="00AA552A">
        <w:rPr>
          <w:rFonts w:cs="Cambria"/>
          <w:color w:val="000000"/>
        </w:rPr>
        <w:t>B</w:t>
      </w:r>
      <w:r w:rsidRPr="00AA552A">
        <w:rPr>
          <w:rFonts w:cs="Cambria"/>
          <w:color w:val="000000"/>
          <w:spacing w:val="2"/>
        </w:rPr>
        <w:t>u</w:t>
      </w:r>
      <w:r w:rsidRPr="00AA552A">
        <w:rPr>
          <w:rFonts w:cs="Cambria"/>
          <w:color w:val="000000"/>
        </w:rPr>
        <w:t>mp and</w:t>
      </w:r>
      <w:r w:rsidRPr="00AA552A">
        <w:rPr>
          <w:rFonts w:cs="Cambria"/>
          <w:color w:val="000000"/>
          <w:spacing w:val="-2"/>
        </w:rPr>
        <w:t xml:space="preserve"> </w:t>
      </w:r>
      <w:r w:rsidRPr="00AA552A">
        <w:rPr>
          <w:rFonts w:cs="Cambria"/>
          <w:color w:val="000000"/>
          <w:spacing w:val="1"/>
        </w:rPr>
        <w:t>H</w:t>
      </w:r>
      <w:r w:rsidRPr="00AA552A">
        <w:rPr>
          <w:rFonts w:cs="Cambria"/>
          <w:color w:val="000000"/>
        </w:rPr>
        <w:t>u</w:t>
      </w:r>
      <w:r w:rsidRPr="00AA552A">
        <w:rPr>
          <w:rFonts w:cs="Cambria"/>
          <w:color w:val="000000"/>
          <w:spacing w:val="-1"/>
        </w:rPr>
        <w:t>r</w:t>
      </w:r>
      <w:r w:rsidRPr="00AA552A">
        <w:rPr>
          <w:rFonts w:cs="Cambria"/>
          <w:color w:val="000000"/>
        </w:rPr>
        <w:t>l</w:t>
      </w:r>
      <w:r w:rsidRPr="00AA552A">
        <w:rPr>
          <w:rFonts w:cs="Cambria"/>
          <w:color w:val="000000"/>
          <w:spacing w:val="-4"/>
        </w:rPr>
        <w:t xml:space="preserve"> </w:t>
      </w:r>
      <w:r w:rsidRPr="00AA552A">
        <w:rPr>
          <w:rFonts w:cs="Cambria"/>
          <w:color w:val="000000"/>
        </w:rPr>
        <w:t>Roc</w:t>
      </w:r>
      <w:r w:rsidRPr="00AA552A">
        <w:rPr>
          <w:rFonts w:cs="Cambria"/>
          <w:color w:val="000000"/>
          <w:spacing w:val="-1"/>
        </w:rPr>
        <w:t>k</w:t>
      </w:r>
      <w:r w:rsidRPr="00AA552A">
        <w:rPr>
          <w:rFonts w:cs="Cambria"/>
          <w:color w:val="000000"/>
        </w:rPr>
        <w:t>s</w:t>
      </w:r>
      <w:r w:rsidRPr="00AA552A">
        <w:rPr>
          <w:rFonts w:cs="Cambria"/>
          <w:color w:val="000000"/>
          <w:spacing w:val="-3"/>
        </w:rPr>
        <w:t xml:space="preserve"> </w:t>
      </w:r>
      <w:r w:rsidRPr="00AA552A">
        <w:rPr>
          <w:rFonts w:cs="Cambria"/>
          <w:color w:val="000000"/>
        </w:rPr>
        <w:t>(</w:t>
      </w:r>
      <w:r w:rsidRPr="00AA552A">
        <w:rPr>
          <w:rFonts w:cs="Cambria"/>
          <w:color w:val="000000"/>
          <w:spacing w:val="1"/>
        </w:rPr>
        <w:t>S</w:t>
      </w:r>
      <w:r w:rsidRPr="00AA552A">
        <w:rPr>
          <w:rFonts w:cs="Cambria"/>
          <w:color w:val="000000"/>
        </w:rPr>
        <w:t>outh</w:t>
      </w:r>
      <w:r w:rsidRPr="00AA552A">
        <w:rPr>
          <w:rFonts w:cs="Cambria"/>
          <w:color w:val="000000"/>
          <w:spacing w:val="-3"/>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rPr>
        <w:t>ol</w:t>
      </w:r>
      <w:r w:rsidRPr="00AA552A">
        <w:rPr>
          <w:rFonts w:cs="Cambria"/>
          <w:color w:val="000000"/>
          <w:spacing w:val="1"/>
        </w:rPr>
        <w:t>i</w:t>
      </w:r>
      <w:r w:rsidRPr="00AA552A">
        <w:rPr>
          <w:rFonts w:cs="Cambria"/>
          <w:color w:val="000000"/>
        </w:rPr>
        <w:t>na);</w:t>
      </w:r>
      <w:r w:rsidRPr="00AA552A">
        <w:rPr>
          <w:rFonts w:cs="Cambria"/>
          <w:color w:val="000000"/>
          <w:spacing w:val="-7"/>
        </w:rPr>
        <w:t xml:space="preserve"> </w:t>
      </w:r>
      <w:r w:rsidRPr="00AA552A">
        <w:rPr>
          <w:rFonts w:cs="Cambria"/>
          <w:color w:val="000000"/>
          <w:spacing w:val="-1"/>
        </w:rPr>
        <w:t>T</w:t>
      </w:r>
      <w:r w:rsidRPr="00AA552A">
        <w:rPr>
          <w:rFonts w:cs="Cambria"/>
          <w:color w:val="000000"/>
        </w:rPr>
        <w:t>he</w:t>
      </w:r>
      <w:r w:rsidRPr="00AA552A">
        <w:rPr>
          <w:rFonts w:cs="Cambria"/>
          <w:color w:val="000000"/>
          <w:spacing w:val="-3"/>
        </w:rPr>
        <w:t xml:space="preserve"> </w:t>
      </w:r>
      <w:r w:rsidRPr="00AA552A">
        <w:rPr>
          <w:rFonts w:cs="Cambria"/>
          <w:color w:val="000000"/>
          <w:spacing w:val="1"/>
        </w:rPr>
        <w:t>P</w:t>
      </w:r>
      <w:r w:rsidRPr="00AA552A">
        <w:rPr>
          <w:rFonts w:cs="Cambria"/>
          <w:color w:val="000000"/>
        </w:rPr>
        <w:t>o</w:t>
      </w:r>
      <w:r w:rsidRPr="00AA552A">
        <w:rPr>
          <w:rFonts w:cs="Cambria"/>
          <w:color w:val="000000"/>
          <w:spacing w:val="1"/>
        </w:rPr>
        <w:t>i</w:t>
      </w:r>
      <w:r w:rsidRPr="00AA552A">
        <w:rPr>
          <w:rFonts w:cs="Cambria"/>
          <w:color w:val="000000"/>
        </w:rPr>
        <w:t>nt</w:t>
      </w:r>
      <w:r w:rsidRPr="00AA552A">
        <w:rPr>
          <w:rFonts w:cs="Cambria"/>
          <w:color w:val="000000"/>
          <w:spacing w:val="-3"/>
        </w:rPr>
        <w:t xml:space="preserve"> </w:t>
      </w:r>
      <w:r w:rsidRPr="00AA552A">
        <w:rPr>
          <w:rFonts w:cs="Cambria"/>
          <w:color w:val="000000"/>
        </w:rPr>
        <w:t>o</w:t>
      </w:r>
      <w:r w:rsidRPr="00AA552A">
        <w:rPr>
          <w:rFonts w:cs="Cambria"/>
          <w:color w:val="000000"/>
          <w:spacing w:val="-1"/>
        </w:rPr>
        <w:t>f</w:t>
      </w:r>
      <w:r w:rsidRPr="00AA552A">
        <w:rPr>
          <w:rFonts w:cs="Cambria"/>
          <w:color w:val="000000"/>
        </w:rPr>
        <w:t>f</w:t>
      </w:r>
      <w:r w:rsidRPr="00AA552A">
        <w:rPr>
          <w:rFonts w:cs="Cambria"/>
          <w:color w:val="000000"/>
          <w:spacing w:val="-1"/>
        </w:rPr>
        <w:t xml:space="preserve"> </w:t>
      </w:r>
      <w:r w:rsidRPr="00AA552A">
        <w:rPr>
          <w:rFonts w:cs="Cambria"/>
          <w:color w:val="000000"/>
          <w:spacing w:val="1"/>
        </w:rPr>
        <w:t>J</w:t>
      </w:r>
      <w:r w:rsidRPr="00AA552A">
        <w:rPr>
          <w:rFonts w:cs="Cambria"/>
          <w:color w:val="000000"/>
        </w:rPr>
        <w:t>u</w:t>
      </w:r>
      <w:r w:rsidRPr="00AA552A">
        <w:rPr>
          <w:rFonts w:cs="Cambria"/>
          <w:color w:val="000000"/>
          <w:spacing w:val="1"/>
        </w:rPr>
        <w:t>pi</w:t>
      </w:r>
      <w:r w:rsidRPr="00AA552A">
        <w:rPr>
          <w:rFonts w:cs="Cambria"/>
          <w:color w:val="000000"/>
        </w:rPr>
        <w:t>t</w:t>
      </w:r>
      <w:r w:rsidRPr="00AA552A">
        <w:rPr>
          <w:rFonts w:cs="Cambria"/>
          <w:color w:val="000000"/>
          <w:spacing w:val="1"/>
        </w:rPr>
        <w:t>e</w:t>
      </w:r>
      <w:r w:rsidRPr="00AA552A">
        <w:rPr>
          <w:rFonts w:cs="Cambria"/>
          <w:color w:val="000000"/>
        </w:rPr>
        <w:t>r</w:t>
      </w:r>
      <w:r w:rsidRPr="00AA552A">
        <w:rPr>
          <w:rFonts w:cs="Cambria"/>
          <w:color w:val="000000"/>
          <w:spacing w:val="-5"/>
        </w:rPr>
        <w:t xml:space="preserve"> </w:t>
      </w:r>
      <w:r w:rsidRPr="00AA552A">
        <w:rPr>
          <w:rFonts w:cs="Cambria"/>
          <w:color w:val="000000"/>
          <w:spacing w:val="-1"/>
        </w:rPr>
        <w:t>I</w:t>
      </w:r>
      <w:r w:rsidRPr="00AA552A">
        <w:rPr>
          <w:rFonts w:cs="Cambria"/>
          <w:color w:val="000000"/>
        </w:rPr>
        <w:t>nl</w:t>
      </w:r>
      <w:r w:rsidRPr="00AA552A">
        <w:rPr>
          <w:rFonts w:cs="Cambria"/>
          <w:color w:val="000000"/>
          <w:spacing w:val="1"/>
        </w:rPr>
        <w:t>e</w:t>
      </w:r>
      <w:r w:rsidRPr="00AA552A">
        <w:rPr>
          <w:rFonts w:cs="Cambria"/>
          <w:color w:val="000000"/>
        </w:rPr>
        <w:t>t</w:t>
      </w:r>
      <w:r w:rsidRPr="00AA552A">
        <w:rPr>
          <w:rFonts w:cs="Cambria"/>
          <w:color w:val="000000"/>
          <w:spacing w:val="-1"/>
        </w:rPr>
        <w:t xml:space="preserve"> </w:t>
      </w:r>
      <w:r w:rsidRPr="00AA552A">
        <w:rPr>
          <w:rFonts w:cs="Cambria"/>
          <w:color w:val="000000"/>
        </w:rPr>
        <w:t>(</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9"/>
        </w:rPr>
        <w:t xml:space="preserve"> </w:t>
      </w:r>
      <w:r w:rsidRPr="00AA552A">
        <w:rPr>
          <w:rFonts w:cs="Cambria"/>
          <w:i/>
          <w:iCs/>
          <w:color w:val="000000"/>
          <w:spacing w:val="1"/>
        </w:rPr>
        <w:t>P</w:t>
      </w:r>
      <w:r w:rsidRPr="00AA552A">
        <w:rPr>
          <w:rFonts w:cs="Cambria"/>
          <w:i/>
          <w:iCs/>
          <w:color w:val="000000"/>
        </w:rPr>
        <w:t>h</w:t>
      </w:r>
      <w:r w:rsidRPr="00AA552A">
        <w:rPr>
          <w:rFonts w:cs="Cambria"/>
          <w:i/>
          <w:iCs/>
          <w:color w:val="000000"/>
          <w:spacing w:val="1"/>
        </w:rPr>
        <w:t>ra</w:t>
      </w:r>
      <w:r w:rsidRPr="00AA552A">
        <w:rPr>
          <w:rFonts w:cs="Cambria"/>
          <w:i/>
          <w:iCs/>
          <w:color w:val="000000"/>
          <w:spacing w:val="-1"/>
        </w:rPr>
        <w:t>g</w:t>
      </w:r>
      <w:r w:rsidRPr="00AA552A">
        <w:rPr>
          <w:rFonts w:cs="Cambria"/>
          <w:i/>
          <w:iCs/>
          <w:color w:val="000000"/>
        </w:rPr>
        <w:t>m</w:t>
      </w:r>
      <w:r w:rsidRPr="00AA552A">
        <w:rPr>
          <w:rFonts w:cs="Cambria"/>
          <w:i/>
          <w:iCs/>
          <w:color w:val="000000"/>
          <w:spacing w:val="1"/>
        </w:rPr>
        <w:t>a</w:t>
      </w:r>
      <w:r w:rsidRPr="00AA552A">
        <w:rPr>
          <w:rFonts w:cs="Cambria"/>
          <w:i/>
          <w:iCs/>
          <w:color w:val="000000"/>
          <w:spacing w:val="-1"/>
        </w:rPr>
        <w:t>t</w:t>
      </w:r>
      <w:r w:rsidRPr="00AA552A">
        <w:rPr>
          <w:rFonts w:cs="Cambria"/>
          <w:i/>
          <w:iCs/>
          <w:color w:val="000000"/>
          <w:spacing w:val="1"/>
        </w:rPr>
        <w:t>opo</w:t>
      </w:r>
      <w:r w:rsidRPr="00AA552A">
        <w:rPr>
          <w:rFonts w:cs="Cambria"/>
          <w:i/>
          <w:iCs/>
          <w:color w:val="000000"/>
          <w:spacing w:val="-2"/>
        </w:rPr>
        <w:t>m</w:t>
      </w:r>
      <w:r w:rsidRPr="00AA552A">
        <w:rPr>
          <w:rFonts w:cs="Cambria"/>
          <w:i/>
          <w:iCs/>
          <w:color w:val="000000"/>
        </w:rPr>
        <w:t>a</w:t>
      </w:r>
      <w:r w:rsidRPr="00AA552A">
        <w:rPr>
          <w:rFonts w:cs="Cambria"/>
          <w:i/>
          <w:iCs/>
          <w:color w:val="000000"/>
          <w:spacing w:val="-10"/>
        </w:rPr>
        <w:t xml:space="preserve"> </w:t>
      </w:r>
      <w:r w:rsidRPr="00AA552A">
        <w:rPr>
          <w:rFonts w:cs="Cambria"/>
          <w:color w:val="000000"/>
        </w:rPr>
        <w:t>(</w:t>
      </w:r>
      <w:r w:rsidRPr="00AA552A">
        <w:rPr>
          <w:rFonts w:cs="Cambria"/>
          <w:color w:val="000000"/>
          <w:spacing w:val="-1"/>
        </w:rPr>
        <w:t>w</w:t>
      </w:r>
      <w:r w:rsidRPr="00AA552A">
        <w:rPr>
          <w:rFonts w:cs="Cambria"/>
          <w:color w:val="000000"/>
        </w:rPr>
        <w:t>o</w:t>
      </w:r>
      <w:r w:rsidRPr="00AA552A">
        <w:rPr>
          <w:rFonts w:cs="Cambria"/>
          <w:color w:val="000000"/>
          <w:spacing w:val="-1"/>
        </w:rPr>
        <w:t>r</w:t>
      </w:r>
      <w:r w:rsidRPr="00AA552A">
        <w:rPr>
          <w:rFonts w:cs="Cambria"/>
          <w:color w:val="000000"/>
        </w:rPr>
        <w:t xml:space="preserve">m </w:t>
      </w:r>
      <w:r w:rsidRPr="00AA552A">
        <w:rPr>
          <w:rFonts w:cs="Cambria"/>
          <w:color w:val="000000"/>
          <w:spacing w:val="-1"/>
        </w:rPr>
        <w:t>r</w:t>
      </w:r>
      <w:r w:rsidRPr="00AA552A">
        <w:rPr>
          <w:rFonts w:cs="Cambria"/>
          <w:color w:val="000000"/>
          <w:spacing w:val="1"/>
        </w:rPr>
        <w:t>ee</w:t>
      </w:r>
      <w:r w:rsidRPr="00AA552A">
        <w:rPr>
          <w:rFonts w:cs="Cambria"/>
          <w:color w:val="000000"/>
          <w:spacing w:val="-1"/>
        </w:rPr>
        <w:t>f</w:t>
      </w:r>
      <w:r w:rsidRPr="00AA552A">
        <w:rPr>
          <w:rFonts w:cs="Cambria"/>
          <w:color w:val="000000"/>
        </w:rPr>
        <w:t>s)</w:t>
      </w:r>
      <w:r w:rsidRPr="00AA552A">
        <w:rPr>
          <w:rFonts w:cs="Cambria"/>
          <w:color w:val="000000"/>
          <w:spacing w:val="-6"/>
        </w:rPr>
        <w:t xml:space="preserve"> </w:t>
      </w:r>
      <w:r w:rsidRPr="00AA552A">
        <w:rPr>
          <w:rFonts w:cs="Cambria"/>
          <w:color w:val="000000"/>
          <w:spacing w:val="-1"/>
        </w:rPr>
        <w:t>r</w:t>
      </w:r>
      <w:r w:rsidRPr="00AA552A">
        <w:rPr>
          <w:rFonts w:cs="Cambria"/>
          <w:color w:val="000000"/>
          <w:spacing w:val="1"/>
        </w:rPr>
        <w:t>ee</w:t>
      </w:r>
      <w:r w:rsidRPr="00AA552A">
        <w:rPr>
          <w:rFonts w:cs="Cambria"/>
          <w:color w:val="000000"/>
          <w:spacing w:val="-1"/>
        </w:rPr>
        <w:t>f</w:t>
      </w:r>
      <w:r w:rsidRPr="00AA552A">
        <w:rPr>
          <w:rFonts w:cs="Cambria"/>
          <w:color w:val="000000"/>
        </w:rPr>
        <w:t>s</w:t>
      </w:r>
      <w:r w:rsidRPr="00AA552A">
        <w:rPr>
          <w:rFonts w:cs="Cambria"/>
          <w:color w:val="000000"/>
          <w:spacing w:val="-5"/>
        </w:rPr>
        <w:t xml:space="preserve"> </w:t>
      </w:r>
      <w:r w:rsidRPr="00AA552A">
        <w:rPr>
          <w:rFonts w:cs="Cambria"/>
          <w:color w:val="000000"/>
        </w:rPr>
        <w:t>o</w:t>
      </w:r>
      <w:r w:rsidRPr="00AA552A">
        <w:rPr>
          <w:rFonts w:cs="Cambria"/>
          <w:color w:val="000000"/>
          <w:spacing w:val="-1"/>
        </w:rPr>
        <w:t>f</w:t>
      </w:r>
      <w:r w:rsidRPr="00AA552A">
        <w:rPr>
          <w:rFonts w:cs="Cambria"/>
          <w:color w:val="000000"/>
        </w:rPr>
        <w:t>f</w:t>
      </w:r>
      <w:r w:rsidRPr="00AA552A">
        <w:rPr>
          <w:rFonts w:cs="Cambria"/>
          <w:color w:val="000000"/>
          <w:spacing w:val="-4"/>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c</w:t>
      </w:r>
      <w:r w:rsidRPr="00AA552A">
        <w:rPr>
          <w:rFonts w:cs="Cambria"/>
          <w:color w:val="000000"/>
          <w:spacing w:val="1"/>
        </w:rPr>
        <w:t>e</w:t>
      </w:r>
      <w:r w:rsidRPr="00AA552A">
        <w:rPr>
          <w:rFonts w:cs="Cambria"/>
          <w:color w:val="000000"/>
        </w:rPr>
        <w:t>n</w:t>
      </w:r>
      <w:r w:rsidRPr="00AA552A">
        <w:rPr>
          <w:rFonts w:cs="Cambria"/>
          <w:color w:val="000000"/>
          <w:spacing w:val="3"/>
        </w:rPr>
        <w:t>t</w:t>
      </w:r>
      <w:r w:rsidRPr="00AA552A">
        <w:rPr>
          <w:rFonts w:cs="Cambria"/>
          <w:color w:val="000000"/>
          <w:spacing w:val="-1"/>
        </w:rPr>
        <w:t>r</w:t>
      </w:r>
      <w:r w:rsidRPr="00AA552A">
        <w:rPr>
          <w:rFonts w:cs="Cambria"/>
          <w:color w:val="000000"/>
        </w:rPr>
        <w:t>al</w:t>
      </w:r>
      <w:r w:rsidRPr="00AA552A">
        <w:rPr>
          <w:rFonts w:cs="Cambria"/>
          <w:color w:val="000000"/>
          <w:spacing w:val="-3"/>
        </w:rPr>
        <w:t xml:space="preserve"> </w:t>
      </w:r>
      <w:r w:rsidRPr="00AA552A">
        <w:rPr>
          <w:rFonts w:cs="Cambria"/>
          <w:color w:val="000000"/>
          <w:spacing w:val="1"/>
        </w:rPr>
        <w:t>e</w:t>
      </w:r>
      <w:r w:rsidRPr="00AA552A">
        <w:rPr>
          <w:rFonts w:cs="Cambria"/>
          <w:color w:val="000000"/>
        </w:rPr>
        <w:t>ast</w:t>
      </w:r>
      <w:r w:rsidRPr="00AA552A">
        <w:rPr>
          <w:rFonts w:cs="Cambria"/>
          <w:color w:val="000000"/>
          <w:spacing w:val="-2"/>
        </w:rPr>
        <w:t xml:space="preserve"> </w:t>
      </w:r>
      <w:r w:rsidRPr="00AA552A">
        <w:rPr>
          <w:rFonts w:cs="Cambria"/>
          <w:color w:val="000000"/>
        </w:rPr>
        <w:t>coast</w:t>
      </w:r>
      <w:r w:rsidRPr="00AA552A">
        <w:rPr>
          <w:rFonts w:cs="Cambria"/>
          <w:color w:val="000000"/>
          <w:spacing w:val="-3"/>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4"/>
        </w:rPr>
        <w:t xml:space="preserve"> </w:t>
      </w:r>
      <w:r w:rsidRPr="00AA552A">
        <w:rPr>
          <w:rFonts w:cs="Cambria"/>
          <w:color w:val="000000"/>
        </w:rPr>
        <w:t>n</w:t>
      </w:r>
      <w:r w:rsidRPr="00AA552A">
        <w:rPr>
          <w:rFonts w:cs="Cambria"/>
          <w:color w:val="000000"/>
          <w:spacing w:val="1"/>
        </w:rPr>
        <w:t>e</w:t>
      </w:r>
      <w:r w:rsidRPr="00AA552A">
        <w:rPr>
          <w:rFonts w:cs="Cambria"/>
          <w:color w:val="000000"/>
        </w:rPr>
        <w:t>a</w:t>
      </w:r>
      <w:r w:rsidRPr="00AA552A">
        <w:rPr>
          <w:rFonts w:cs="Cambria"/>
          <w:color w:val="000000"/>
          <w:spacing w:val="-1"/>
        </w:rPr>
        <w:t>r</w:t>
      </w:r>
      <w:r w:rsidRPr="00AA552A">
        <w:rPr>
          <w:rFonts w:cs="Cambria"/>
          <w:color w:val="000000"/>
        </w:rPr>
        <w:t>sho</w:t>
      </w:r>
      <w:r w:rsidRPr="00AA552A">
        <w:rPr>
          <w:rFonts w:cs="Cambria"/>
          <w:color w:val="000000"/>
          <w:spacing w:val="-1"/>
        </w:rPr>
        <w:t>r</w:t>
      </w:r>
      <w:r w:rsidRPr="00AA552A">
        <w:rPr>
          <w:rFonts w:cs="Cambria"/>
          <w:color w:val="000000"/>
        </w:rPr>
        <w:t>e</w:t>
      </w:r>
      <w:r w:rsidRPr="00AA552A">
        <w:rPr>
          <w:rFonts w:cs="Cambria"/>
          <w:color w:val="000000"/>
          <w:spacing w:val="-7"/>
        </w:rPr>
        <w:t xml:space="preserve"> </w:t>
      </w:r>
      <w:r w:rsidRPr="00AA552A">
        <w:rPr>
          <w:rFonts w:cs="Cambria"/>
          <w:color w:val="000000"/>
        </w:rPr>
        <w:t>ha</w:t>
      </w:r>
      <w:r w:rsidRPr="00AA552A">
        <w:rPr>
          <w:rFonts w:cs="Cambria"/>
          <w:color w:val="000000"/>
          <w:spacing w:val="-1"/>
        </w:rPr>
        <w:t>r</w:t>
      </w:r>
      <w:r w:rsidRPr="00AA552A">
        <w:rPr>
          <w:rFonts w:cs="Cambria"/>
          <w:color w:val="000000"/>
        </w:rPr>
        <w:t>d</w:t>
      </w:r>
      <w:r w:rsidRPr="00AA552A">
        <w:rPr>
          <w:rFonts w:cs="Cambria"/>
          <w:color w:val="000000"/>
          <w:spacing w:val="-5"/>
        </w:rPr>
        <w:t xml:space="preserve"> </w:t>
      </w:r>
      <w:r w:rsidRPr="00AA552A">
        <w:rPr>
          <w:rFonts w:cs="Cambria"/>
          <w:color w:val="000000"/>
          <w:spacing w:val="1"/>
        </w:rPr>
        <w:t>b</w:t>
      </w:r>
      <w:r w:rsidRPr="00AA552A">
        <w:rPr>
          <w:rFonts w:cs="Cambria"/>
          <w:color w:val="000000"/>
        </w:rPr>
        <w:t>ottom</w:t>
      </w:r>
      <w:r w:rsidRPr="00AA552A">
        <w:rPr>
          <w:rFonts w:cs="Cambria"/>
          <w:color w:val="000000"/>
          <w:spacing w:val="-1"/>
        </w:rPr>
        <w:t xml:space="preserve"> </w:t>
      </w:r>
      <w:r w:rsidRPr="00AA552A">
        <w:rPr>
          <w:rFonts w:cs="Cambria"/>
          <w:color w:val="000000"/>
        </w:rPr>
        <w:t>so</w:t>
      </w:r>
      <w:r w:rsidRPr="00AA552A">
        <w:rPr>
          <w:rFonts w:cs="Cambria"/>
          <w:color w:val="000000"/>
          <w:spacing w:val="-1"/>
        </w:rPr>
        <w:t>u</w:t>
      </w:r>
      <w:r w:rsidRPr="00AA552A">
        <w:rPr>
          <w:rFonts w:cs="Cambria"/>
          <w:color w:val="000000"/>
        </w:rPr>
        <w:t>th</w:t>
      </w:r>
      <w:r w:rsidRPr="00AA552A">
        <w:rPr>
          <w:rFonts w:cs="Cambria"/>
          <w:color w:val="000000"/>
          <w:spacing w:val="-4"/>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p</w:t>
      </w:r>
      <w:r w:rsidRPr="00AA552A">
        <w:rPr>
          <w:rFonts w:cs="Cambria"/>
          <w:color w:val="000000"/>
        </w:rPr>
        <w:t>e</w:t>
      </w:r>
      <w:r w:rsidRPr="00AA552A">
        <w:rPr>
          <w:rFonts w:cs="Cambria"/>
          <w:color w:val="000000"/>
          <w:spacing w:val="-2"/>
        </w:rPr>
        <w:t xml:space="preserve"> </w:t>
      </w:r>
      <w:r w:rsidRPr="00AA552A">
        <w:rPr>
          <w:rFonts w:cs="Cambria"/>
          <w:color w:val="000000"/>
          <w:spacing w:val="-1"/>
        </w:rPr>
        <w:t>C</w:t>
      </w:r>
      <w:r w:rsidRPr="00AA552A">
        <w:rPr>
          <w:rFonts w:cs="Cambria"/>
          <w:color w:val="000000"/>
        </w:rPr>
        <w:t>ana</w:t>
      </w:r>
      <w:r w:rsidRPr="00AA552A">
        <w:rPr>
          <w:rFonts w:cs="Cambria"/>
          <w:color w:val="000000"/>
          <w:spacing w:val="-1"/>
        </w:rPr>
        <w:t>v</w:t>
      </w:r>
      <w:r w:rsidRPr="00AA552A">
        <w:rPr>
          <w:rFonts w:cs="Cambria"/>
          <w:color w:val="000000"/>
          <w:spacing w:val="1"/>
        </w:rPr>
        <w:t>e</w:t>
      </w:r>
      <w:r w:rsidRPr="00AA552A">
        <w:rPr>
          <w:rFonts w:cs="Cambria"/>
          <w:color w:val="000000"/>
          <w:spacing w:val="-1"/>
        </w:rPr>
        <w:t>r</w:t>
      </w:r>
      <w:r w:rsidRPr="00AA552A">
        <w:rPr>
          <w:rFonts w:cs="Cambria"/>
          <w:color w:val="000000"/>
        </w:rPr>
        <w:t xml:space="preserve">al; </w:t>
      </w:r>
      <w:r w:rsidRPr="00AA552A">
        <w:rPr>
          <w:rFonts w:cs="Cambria"/>
          <w:color w:val="000000"/>
          <w:spacing w:val="-1"/>
        </w:rPr>
        <w:t>T</w:t>
      </w:r>
      <w:r w:rsidRPr="00AA552A">
        <w:rPr>
          <w:rFonts w:cs="Cambria"/>
          <w:color w:val="000000"/>
        </w:rPr>
        <w:t>he</w:t>
      </w:r>
      <w:r w:rsidRPr="00AA552A">
        <w:rPr>
          <w:rFonts w:cs="Cambria"/>
          <w:color w:val="000000"/>
          <w:spacing w:val="-3"/>
        </w:rPr>
        <w:t xml:space="preserve"> </w:t>
      </w:r>
      <w:r w:rsidRPr="00AA552A">
        <w:rPr>
          <w:rFonts w:cs="Cambria"/>
          <w:color w:val="000000"/>
          <w:spacing w:val="1"/>
        </w:rPr>
        <w:t>H</w:t>
      </w:r>
      <w:r w:rsidRPr="00AA552A">
        <w:rPr>
          <w:rFonts w:cs="Cambria"/>
          <w:color w:val="000000"/>
        </w:rPr>
        <w:t>ump</w:t>
      </w:r>
      <w:r w:rsidRPr="00AA552A">
        <w:rPr>
          <w:rFonts w:cs="Cambria"/>
          <w:color w:val="000000"/>
          <w:spacing w:val="-1"/>
        </w:rPr>
        <w:t xml:space="preserve"> </w:t>
      </w:r>
      <w:r w:rsidRPr="00AA552A">
        <w:rPr>
          <w:rFonts w:cs="Cambria"/>
          <w:color w:val="000000"/>
        </w:rPr>
        <w:t>o</w:t>
      </w:r>
      <w:r w:rsidRPr="00AA552A">
        <w:rPr>
          <w:rFonts w:cs="Cambria"/>
          <w:color w:val="000000"/>
          <w:spacing w:val="-1"/>
        </w:rPr>
        <w:t>f</w:t>
      </w:r>
      <w:r w:rsidRPr="00AA552A">
        <w:rPr>
          <w:rFonts w:cs="Cambria"/>
          <w:color w:val="000000"/>
        </w:rPr>
        <w:t>f</w:t>
      </w:r>
      <w:r w:rsidRPr="00AA552A">
        <w:rPr>
          <w:rFonts w:cs="Cambria"/>
          <w:color w:val="000000"/>
          <w:spacing w:val="-4"/>
        </w:rPr>
        <w:t xml:space="preserve"> </w:t>
      </w:r>
      <w:r w:rsidRPr="00AA552A">
        <w:rPr>
          <w:rFonts w:cs="Cambria"/>
          <w:color w:val="000000"/>
          <w:spacing w:val="-1"/>
        </w:rPr>
        <w:t>I</w:t>
      </w:r>
      <w:r w:rsidRPr="00AA552A">
        <w:rPr>
          <w:rFonts w:cs="Cambria"/>
          <w:color w:val="000000"/>
        </w:rPr>
        <w:t>slam</w:t>
      </w:r>
      <w:r w:rsidRPr="00AA552A">
        <w:rPr>
          <w:rFonts w:cs="Cambria"/>
          <w:color w:val="000000"/>
          <w:spacing w:val="2"/>
        </w:rPr>
        <w:t>o</w:t>
      </w:r>
      <w:r w:rsidRPr="00AA552A">
        <w:rPr>
          <w:rFonts w:cs="Cambria"/>
          <w:color w:val="000000"/>
          <w:spacing w:val="-1"/>
        </w:rPr>
        <w:t>r</w:t>
      </w:r>
      <w:r w:rsidRPr="00AA552A">
        <w:rPr>
          <w:rFonts w:cs="Cambria"/>
          <w:color w:val="000000"/>
          <w:spacing w:val="3"/>
        </w:rPr>
        <w:t>a</w:t>
      </w:r>
      <w:r w:rsidRPr="00AA552A">
        <w:rPr>
          <w:rFonts w:cs="Cambria"/>
          <w:color w:val="000000"/>
          <w:spacing w:val="-1"/>
        </w:rPr>
        <w:t>d</w:t>
      </w:r>
      <w:r w:rsidRPr="00AA552A">
        <w:rPr>
          <w:rFonts w:cs="Cambria"/>
          <w:color w:val="000000"/>
        </w:rPr>
        <w:t>a,</w:t>
      </w:r>
      <w:r w:rsidRPr="00AA552A">
        <w:rPr>
          <w:rFonts w:cs="Cambria"/>
          <w:color w:val="000000"/>
          <w:spacing w:val="-6"/>
        </w:rPr>
        <w:t xml:space="preserv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7"/>
        </w:rPr>
        <w:t xml:space="preserve"> </w:t>
      </w:r>
      <w:r w:rsidRPr="00AA552A">
        <w:rPr>
          <w:rFonts w:cs="Cambria"/>
          <w:color w:val="000000"/>
          <w:spacing w:val="-1"/>
        </w:rPr>
        <w:t>T</w:t>
      </w:r>
      <w:r w:rsidRPr="00AA552A">
        <w:rPr>
          <w:rFonts w:cs="Cambria"/>
          <w:color w:val="000000"/>
        </w:rPr>
        <w:t>he</w:t>
      </w:r>
      <w:r w:rsidRPr="00AA552A">
        <w:rPr>
          <w:rFonts w:cs="Cambria"/>
          <w:color w:val="000000"/>
          <w:spacing w:val="-3"/>
        </w:rPr>
        <w:t xml:space="preserve"> </w:t>
      </w:r>
      <w:r w:rsidRPr="00AA552A">
        <w:rPr>
          <w:rFonts w:cs="Cambria"/>
          <w:color w:val="000000"/>
          <w:spacing w:val="1"/>
        </w:rPr>
        <w:t>M</w:t>
      </w:r>
      <w:r w:rsidRPr="00AA552A">
        <w:rPr>
          <w:rFonts w:cs="Cambria"/>
          <w:color w:val="000000"/>
        </w:rPr>
        <w:t>a</w:t>
      </w:r>
      <w:r w:rsidRPr="00AA552A">
        <w:rPr>
          <w:rFonts w:cs="Cambria"/>
          <w:color w:val="000000"/>
          <w:spacing w:val="-1"/>
        </w:rPr>
        <w:t>r</w:t>
      </w:r>
      <w:r w:rsidRPr="00AA552A">
        <w:rPr>
          <w:rFonts w:cs="Cambria"/>
          <w:color w:val="000000"/>
        </w:rPr>
        <w:t>athon</w:t>
      </w:r>
      <w:r w:rsidRPr="00AA552A">
        <w:rPr>
          <w:rFonts w:cs="Cambria"/>
          <w:color w:val="000000"/>
          <w:spacing w:val="-4"/>
        </w:rPr>
        <w:t xml:space="preserve"> </w:t>
      </w:r>
      <w:r w:rsidRPr="00AA552A">
        <w:rPr>
          <w:rFonts w:cs="Cambria"/>
          <w:color w:val="000000"/>
          <w:spacing w:val="1"/>
        </w:rPr>
        <w:t>H</w:t>
      </w:r>
      <w:r w:rsidRPr="00AA552A">
        <w:rPr>
          <w:rFonts w:cs="Cambria"/>
          <w:color w:val="000000"/>
        </w:rPr>
        <w:t>ump</w:t>
      </w:r>
      <w:r w:rsidRPr="00AA552A">
        <w:rPr>
          <w:rFonts w:cs="Cambria"/>
          <w:color w:val="000000"/>
          <w:spacing w:val="-1"/>
        </w:rPr>
        <w:t xml:space="preserve"> </w:t>
      </w:r>
      <w:r w:rsidRPr="00AA552A">
        <w:rPr>
          <w:rFonts w:cs="Cambria"/>
          <w:color w:val="000000"/>
        </w:rPr>
        <w:t>o</w:t>
      </w:r>
      <w:r w:rsidRPr="00AA552A">
        <w:rPr>
          <w:rFonts w:cs="Cambria"/>
          <w:color w:val="000000"/>
          <w:spacing w:val="-1"/>
        </w:rPr>
        <w:t>f</w:t>
      </w:r>
      <w:r w:rsidRPr="00AA552A">
        <w:rPr>
          <w:rFonts w:cs="Cambria"/>
          <w:color w:val="000000"/>
        </w:rPr>
        <w:t>f</w:t>
      </w:r>
      <w:r w:rsidRPr="00AA552A">
        <w:rPr>
          <w:rFonts w:cs="Cambria"/>
          <w:color w:val="000000"/>
          <w:spacing w:val="-4"/>
        </w:rPr>
        <w:t xml:space="preserve"> </w:t>
      </w:r>
      <w:r w:rsidRPr="00AA552A">
        <w:rPr>
          <w:rFonts w:cs="Cambria"/>
          <w:color w:val="000000"/>
          <w:spacing w:val="1"/>
        </w:rPr>
        <w:t>M</w:t>
      </w:r>
      <w:r w:rsidRPr="00AA552A">
        <w:rPr>
          <w:rFonts w:cs="Cambria"/>
          <w:color w:val="000000"/>
        </w:rPr>
        <w:t>a</w:t>
      </w:r>
      <w:r w:rsidRPr="00AA552A">
        <w:rPr>
          <w:rFonts w:cs="Cambria"/>
          <w:color w:val="000000"/>
          <w:spacing w:val="-1"/>
        </w:rPr>
        <w:t>r</w:t>
      </w:r>
      <w:r w:rsidRPr="00AA552A">
        <w:rPr>
          <w:rFonts w:cs="Cambria"/>
          <w:color w:val="000000"/>
        </w:rPr>
        <w:t>athon,</w:t>
      </w:r>
      <w:r w:rsidRPr="00AA552A">
        <w:rPr>
          <w:rFonts w:cs="Cambria"/>
          <w:color w:val="000000"/>
          <w:spacing w:val="-5"/>
        </w:rPr>
        <w:t xml:space="preserv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7"/>
        </w:rPr>
        <w:t xml:space="preserve"> </w:t>
      </w:r>
      <w:r w:rsidRPr="00AA552A">
        <w:rPr>
          <w:rFonts w:cs="Cambria"/>
          <w:color w:val="000000"/>
          <w:spacing w:val="-1"/>
        </w:rPr>
        <w:t>T</w:t>
      </w:r>
      <w:r w:rsidRPr="00AA552A">
        <w:rPr>
          <w:rFonts w:cs="Cambria"/>
          <w:color w:val="000000"/>
        </w:rPr>
        <w:t>he</w:t>
      </w:r>
      <w:r w:rsidRPr="00AA552A">
        <w:rPr>
          <w:rFonts w:cs="Cambria"/>
          <w:color w:val="000000"/>
          <w:spacing w:val="-3"/>
        </w:rPr>
        <w:t xml:space="preserve"> </w:t>
      </w:r>
      <w:r w:rsidRPr="00AA552A">
        <w:rPr>
          <w:rFonts w:cs="Cambria"/>
          <w:color w:val="000000"/>
          <w:spacing w:val="1"/>
        </w:rPr>
        <w:t>“</w:t>
      </w:r>
      <w:r w:rsidRPr="00AA552A">
        <w:rPr>
          <w:rFonts w:cs="Cambria"/>
          <w:color w:val="000000"/>
        </w:rPr>
        <w:t>Wall”</w:t>
      </w:r>
      <w:r w:rsidRPr="00AA552A">
        <w:rPr>
          <w:rFonts w:cs="Cambria"/>
          <w:color w:val="000000"/>
          <w:spacing w:val="1"/>
        </w:rPr>
        <w:t xml:space="preserve"> </w:t>
      </w:r>
      <w:r w:rsidRPr="00AA552A">
        <w:rPr>
          <w:rFonts w:cs="Cambria"/>
          <w:color w:val="000000"/>
        </w:rPr>
        <w:t>o</w:t>
      </w:r>
      <w:r w:rsidRPr="00AA552A">
        <w:rPr>
          <w:rFonts w:cs="Cambria"/>
          <w:color w:val="000000"/>
          <w:spacing w:val="-1"/>
        </w:rPr>
        <w:t>f</w:t>
      </w:r>
      <w:r w:rsidRPr="00AA552A">
        <w:rPr>
          <w:rFonts w:cs="Cambria"/>
          <w:color w:val="000000"/>
        </w:rPr>
        <w:t>f</w:t>
      </w:r>
      <w:r w:rsidRPr="00AA552A">
        <w:rPr>
          <w:rFonts w:cs="Cambria"/>
          <w:color w:val="000000"/>
          <w:spacing w:val="-4"/>
        </w:rPr>
        <w:t xml:space="preserve"> </w:t>
      </w:r>
      <w:r w:rsidRPr="00AA552A">
        <w:rPr>
          <w:rFonts w:cs="Cambria"/>
          <w:color w:val="000000"/>
          <w:spacing w:val="2"/>
        </w:rPr>
        <w:t>o</w:t>
      </w:r>
      <w:r w:rsidRPr="00AA552A">
        <w:rPr>
          <w:rFonts w:cs="Cambria"/>
          <w:color w:val="000000"/>
        </w:rPr>
        <w:t>f the</w:t>
      </w:r>
      <w:r w:rsidRPr="00AA552A">
        <w:rPr>
          <w:rFonts w:cs="Cambria"/>
          <w:color w:val="000000"/>
          <w:spacing w:val="-1"/>
        </w:rPr>
        <w:t xml:space="preserv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6"/>
        </w:rPr>
        <w:t xml:space="preserve"> </w:t>
      </w:r>
      <w:r w:rsidRPr="00AA552A">
        <w:rPr>
          <w:rFonts w:cs="Cambria"/>
          <w:color w:val="000000"/>
        </w:rPr>
        <w:t>K</w:t>
      </w:r>
      <w:r w:rsidRPr="00AA552A">
        <w:rPr>
          <w:rFonts w:cs="Cambria"/>
          <w:color w:val="000000"/>
          <w:spacing w:val="1"/>
        </w:rPr>
        <w:t>e</w:t>
      </w:r>
      <w:r w:rsidRPr="00AA552A">
        <w:rPr>
          <w:rFonts w:cs="Cambria"/>
          <w:color w:val="000000"/>
          <w:spacing w:val="-1"/>
        </w:rPr>
        <w:t>y</w:t>
      </w:r>
      <w:r w:rsidRPr="00AA552A">
        <w:rPr>
          <w:rFonts w:cs="Cambria"/>
          <w:color w:val="000000"/>
        </w:rPr>
        <w:t>s;</w:t>
      </w:r>
      <w:r w:rsidRPr="00AA552A">
        <w:rPr>
          <w:rFonts w:cs="Cambria"/>
          <w:color w:val="000000"/>
          <w:spacing w:val="-5"/>
        </w:rPr>
        <w:t xml:space="preserve"> </w:t>
      </w:r>
      <w:r w:rsidRPr="00AA552A">
        <w:rPr>
          <w:rFonts w:cs="Cambria"/>
          <w:color w:val="000000"/>
          <w:spacing w:val="1"/>
        </w:rPr>
        <w:t>Pe</w:t>
      </w:r>
      <w:r w:rsidRPr="00AA552A">
        <w:rPr>
          <w:rFonts w:cs="Cambria"/>
          <w:color w:val="000000"/>
        </w:rPr>
        <w:t>la</w:t>
      </w:r>
      <w:r w:rsidRPr="00AA552A">
        <w:rPr>
          <w:rFonts w:cs="Cambria"/>
          <w:color w:val="000000"/>
          <w:spacing w:val="-1"/>
        </w:rPr>
        <w:t>g</w:t>
      </w:r>
      <w:r w:rsidRPr="00AA552A">
        <w:rPr>
          <w:rFonts w:cs="Cambria"/>
          <w:color w:val="000000"/>
          <w:spacing w:val="1"/>
        </w:rPr>
        <w:t>i</w:t>
      </w:r>
      <w:r w:rsidRPr="00AA552A">
        <w:rPr>
          <w:rFonts w:cs="Cambria"/>
          <w:color w:val="000000"/>
        </w:rPr>
        <w:t>c</w:t>
      </w:r>
      <w:r w:rsidRPr="00AA552A">
        <w:rPr>
          <w:rFonts w:cs="Cambria"/>
          <w:color w:val="000000"/>
          <w:spacing w:val="-4"/>
        </w:rPr>
        <w:t xml:space="preserve"> </w:t>
      </w:r>
      <w:r w:rsidRPr="00AA552A">
        <w:rPr>
          <w:rFonts w:cs="Cambria"/>
          <w:i/>
          <w:iCs/>
          <w:color w:val="000000"/>
        </w:rPr>
        <w:t>S</w:t>
      </w:r>
      <w:r w:rsidRPr="00AA552A">
        <w:rPr>
          <w:rFonts w:cs="Cambria"/>
          <w:i/>
          <w:iCs/>
          <w:color w:val="000000"/>
          <w:spacing w:val="1"/>
        </w:rPr>
        <w:t>ar</w:t>
      </w:r>
      <w:r w:rsidRPr="00AA552A">
        <w:rPr>
          <w:rFonts w:cs="Cambria"/>
          <w:i/>
          <w:iCs/>
          <w:color w:val="000000"/>
          <w:spacing w:val="-1"/>
        </w:rPr>
        <w:t>g</w:t>
      </w:r>
      <w:r w:rsidRPr="00AA552A">
        <w:rPr>
          <w:rFonts w:cs="Cambria"/>
          <w:i/>
          <w:iCs/>
          <w:color w:val="000000"/>
          <w:spacing w:val="1"/>
        </w:rPr>
        <w:t>a</w:t>
      </w:r>
      <w:r w:rsidRPr="00AA552A">
        <w:rPr>
          <w:rFonts w:cs="Cambria"/>
          <w:i/>
          <w:iCs/>
          <w:color w:val="000000"/>
        </w:rPr>
        <w:t>ss</w:t>
      </w:r>
      <w:r w:rsidRPr="00AA552A">
        <w:rPr>
          <w:rFonts w:cs="Cambria"/>
          <w:i/>
          <w:iCs/>
          <w:color w:val="000000"/>
          <w:spacing w:val="1"/>
        </w:rPr>
        <w:t>u</w:t>
      </w:r>
      <w:r w:rsidRPr="00AA552A">
        <w:rPr>
          <w:rFonts w:cs="Cambria"/>
          <w:i/>
          <w:iCs/>
          <w:color w:val="000000"/>
        </w:rPr>
        <w:t>m</w:t>
      </w:r>
      <w:r w:rsidRPr="00AA552A">
        <w:rPr>
          <w:rFonts w:cs="Cambria"/>
          <w:color w:val="000000"/>
        </w:rPr>
        <w:t>;</w:t>
      </w:r>
      <w:r w:rsidRPr="00AA552A">
        <w:rPr>
          <w:rFonts w:cs="Cambria"/>
          <w:color w:val="000000"/>
          <w:spacing w:val="-8"/>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A</w:t>
      </w:r>
      <w:r w:rsidRPr="00AA552A">
        <w:rPr>
          <w:rFonts w:cs="Cambria"/>
          <w:color w:val="000000"/>
        </w:rPr>
        <w:t>tlant</w:t>
      </w:r>
      <w:r w:rsidRPr="00AA552A">
        <w:rPr>
          <w:rFonts w:cs="Cambria"/>
          <w:color w:val="000000"/>
          <w:spacing w:val="1"/>
        </w:rPr>
        <w:t>i</w:t>
      </w:r>
      <w:r w:rsidRPr="00AA552A">
        <w:rPr>
          <w:rFonts w:cs="Cambria"/>
          <w:color w:val="000000"/>
        </w:rPr>
        <w:t>c</w:t>
      </w:r>
      <w:r w:rsidRPr="00AA552A">
        <w:rPr>
          <w:rFonts w:cs="Cambria"/>
          <w:color w:val="000000"/>
          <w:spacing w:val="-2"/>
        </w:rPr>
        <w:t xml:space="preserve"> </w:t>
      </w:r>
      <w:r w:rsidRPr="00AA552A">
        <w:rPr>
          <w:rFonts w:cs="Cambria"/>
          <w:color w:val="000000"/>
        </w:rPr>
        <w:t>coast</w:t>
      </w:r>
      <w:r w:rsidRPr="00AA552A">
        <w:rPr>
          <w:rFonts w:cs="Cambria"/>
          <w:color w:val="000000"/>
          <w:spacing w:val="-3"/>
        </w:rPr>
        <w:t xml:space="preserve"> </w:t>
      </w:r>
      <w:r w:rsidRPr="00AA552A">
        <w:rPr>
          <w:rFonts w:cs="Cambria"/>
          <w:color w:val="000000"/>
          <w:spacing w:val="1"/>
        </w:rPr>
        <w:t>e</w:t>
      </w:r>
      <w:r w:rsidRPr="00AA552A">
        <w:rPr>
          <w:rFonts w:cs="Cambria"/>
          <w:color w:val="000000"/>
        </w:rPr>
        <w:t>st</w:t>
      </w:r>
      <w:r w:rsidRPr="00AA552A">
        <w:rPr>
          <w:rFonts w:cs="Cambria"/>
          <w:color w:val="000000"/>
          <w:spacing w:val="-1"/>
        </w:rPr>
        <w:t>u</w:t>
      </w:r>
      <w:r w:rsidRPr="00AA552A">
        <w:rPr>
          <w:rFonts w:cs="Cambria"/>
          <w:color w:val="000000"/>
        </w:rPr>
        <w:t>a</w:t>
      </w:r>
      <w:r w:rsidRPr="00AA552A">
        <w:rPr>
          <w:rFonts w:cs="Cambria"/>
          <w:color w:val="000000"/>
          <w:spacing w:val="-1"/>
        </w:rPr>
        <w:t>r</w:t>
      </w:r>
      <w:r w:rsidRPr="00AA552A">
        <w:rPr>
          <w:rFonts w:cs="Cambria"/>
          <w:color w:val="000000"/>
          <w:spacing w:val="1"/>
        </w:rPr>
        <w:t>ie</w:t>
      </w:r>
      <w:r w:rsidRPr="00AA552A">
        <w:rPr>
          <w:rFonts w:cs="Cambria"/>
          <w:color w:val="000000"/>
        </w:rPr>
        <w:t>s</w:t>
      </w:r>
      <w:r w:rsidRPr="00AA552A">
        <w:rPr>
          <w:rFonts w:cs="Cambria"/>
          <w:color w:val="000000"/>
          <w:spacing w:val="-6"/>
        </w:rPr>
        <w:t xml:space="preserve"> </w:t>
      </w:r>
      <w:r w:rsidRPr="00AA552A">
        <w:rPr>
          <w:rFonts w:cs="Cambria"/>
          <w:color w:val="000000"/>
          <w:spacing w:val="-1"/>
        </w:rPr>
        <w:t>w</w:t>
      </w:r>
      <w:r w:rsidRPr="00AA552A">
        <w:rPr>
          <w:rFonts w:cs="Cambria"/>
          <w:color w:val="000000"/>
          <w:spacing w:val="1"/>
        </w:rPr>
        <w:t>i</w:t>
      </w:r>
      <w:r w:rsidRPr="00AA552A">
        <w:rPr>
          <w:rFonts w:cs="Cambria"/>
          <w:color w:val="000000"/>
        </w:rPr>
        <w:t>th</w:t>
      </w:r>
      <w:r w:rsidRPr="00AA552A">
        <w:rPr>
          <w:rFonts w:cs="Cambria"/>
          <w:color w:val="000000"/>
          <w:spacing w:val="-2"/>
        </w:rPr>
        <w:t xml:space="preserve"> </w:t>
      </w:r>
      <w:r w:rsidRPr="00AA552A">
        <w:rPr>
          <w:rFonts w:cs="Cambria"/>
          <w:color w:val="000000"/>
        </w:rPr>
        <w:t>h</w:t>
      </w:r>
      <w:r w:rsidRPr="00AA552A">
        <w:rPr>
          <w:rFonts w:cs="Cambria"/>
          <w:color w:val="000000"/>
          <w:spacing w:val="1"/>
        </w:rPr>
        <w:t>i</w:t>
      </w:r>
      <w:r w:rsidRPr="00AA552A">
        <w:rPr>
          <w:rFonts w:cs="Cambria"/>
          <w:color w:val="000000"/>
          <w:spacing w:val="-1"/>
        </w:rPr>
        <w:t>g</w:t>
      </w:r>
      <w:r w:rsidRPr="00AA552A">
        <w:rPr>
          <w:rFonts w:cs="Cambria"/>
          <w:color w:val="000000"/>
        </w:rPr>
        <w:t>h</w:t>
      </w:r>
      <w:r w:rsidRPr="00AA552A">
        <w:rPr>
          <w:rFonts w:cs="Cambria"/>
          <w:color w:val="000000"/>
          <w:spacing w:val="-3"/>
        </w:rPr>
        <w:t xml:space="preserve"> </w:t>
      </w:r>
      <w:r w:rsidRPr="00AA552A">
        <w:rPr>
          <w:rFonts w:cs="Cambria"/>
          <w:color w:val="000000"/>
        </w:rPr>
        <w:t>n</w:t>
      </w:r>
      <w:r w:rsidRPr="00AA552A">
        <w:rPr>
          <w:rFonts w:cs="Cambria"/>
          <w:color w:val="000000"/>
          <w:spacing w:val="-1"/>
        </w:rPr>
        <w:t>u</w:t>
      </w:r>
      <w:r w:rsidRPr="00AA552A">
        <w:rPr>
          <w:rFonts w:cs="Cambria"/>
          <w:color w:val="000000"/>
        </w:rPr>
        <w:t>m</w:t>
      </w:r>
      <w:r w:rsidRPr="00AA552A">
        <w:rPr>
          <w:rFonts w:cs="Cambria"/>
          <w:color w:val="000000"/>
          <w:spacing w:val="1"/>
        </w:rPr>
        <w:t>be</w:t>
      </w:r>
      <w:r w:rsidRPr="00AA552A">
        <w:rPr>
          <w:rFonts w:cs="Cambria"/>
          <w:color w:val="000000"/>
          <w:spacing w:val="-1"/>
        </w:rPr>
        <w:t>r</w:t>
      </w:r>
      <w:r w:rsidRPr="00AA552A">
        <w:rPr>
          <w:rFonts w:cs="Cambria"/>
          <w:color w:val="000000"/>
        </w:rPr>
        <w:t>s</w:t>
      </w:r>
      <w:r w:rsidRPr="00AA552A">
        <w:rPr>
          <w:rFonts w:cs="Cambria"/>
          <w:color w:val="000000"/>
          <w:spacing w:val="-3"/>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Sp</w:t>
      </w:r>
      <w:r w:rsidRPr="00AA552A">
        <w:rPr>
          <w:rFonts w:cs="Cambria"/>
          <w:color w:val="000000"/>
        </w:rPr>
        <w:t>an</w:t>
      </w:r>
      <w:r w:rsidRPr="00AA552A">
        <w:rPr>
          <w:rFonts w:cs="Cambria"/>
          <w:color w:val="000000"/>
          <w:spacing w:val="1"/>
        </w:rPr>
        <w:t>i</w:t>
      </w:r>
      <w:r w:rsidRPr="00AA552A">
        <w:rPr>
          <w:rFonts w:cs="Cambria"/>
          <w:color w:val="000000"/>
        </w:rPr>
        <w:t>sh mac</w:t>
      </w:r>
      <w:r w:rsidRPr="00AA552A">
        <w:rPr>
          <w:rFonts w:cs="Cambria"/>
          <w:color w:val="000000"/>
          <w:spacing w:val="-1"/>
        </w:rPr>
        <w:t>k</w:t>
      </w:r>
      <w:r w:rsidRPr="00AA552A">
        <w:rPr>
          <w:rFonts w:cs="Cambria"/>
          <w:color w:val="000000"/>
          <w:spacing w:val="1"/>
        </w:rPr>
        <w:t>e</w:t>
      </w:r>
      <w:r w:rsidRPr="00AA552A">
        <w:rPr>
          <w:rFonts w:cs="Cambria"/>
          <w:color w:val="000000"/>
          <w:spacing w:val="-1"/>
        </w:rPr>
        <w:t>r</w:t>
      </w:r>
      <w:r w:rsidRPr="00AA552A">
        <w:rPr>
          <w:rFonts w:cs="Cambria"/>
          <w:color w:val="000000"/>
          <w:spacing w:val="1"/>
        </w:rPr>
        <w:t>e</w:t>
      </w:r>
      <w:r w:rsidRPr="00AA552A">
        <w:rPr>
          <w:rFonts w:cs="Cambria"/>
          <w:color w:val="000000"/>
        </w:rPr>
        <w:t>l</w:t>
      </w:r>
      <w:r w:rsidRPr="00AA552A">
        <w:rPr>
          <w:rFonts w:cs="Cambria"/>
          <w:color w:val="000000"/>
          <w:spacing w:val="-4"/>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co</w:t>
      </w:r>
      <w:r w:rsidRPr="00AA552A">
        <w:rPr>
          <w:rFonts w:cs="Cambria"/>
          <w:color w:val="000000"/>
          <w:spacing w:val="1"/>
        </w:rPr>
        <w:t>bi</w:t>
      </w:r>
      <w:r w:rsidRPr="00AA552A">
        <w:rPr>
          <w:rFonts w:cs="Cambria"/>
          <w:color w:val="000000"/>
        </w:rPr>
        <w:t>a</w:t>
      </w:r>
      <w:r w:rsidRPr="00AA552A">
        <w:rPr>
          <w:rFonts w:cs="Cambria"/>
          <w:color w:val="000000"/>
          <w:spacing w:val="-3"/>
        </w:rPr>
        <w:t xml:space="preserve"> </w:t>
      </w:r>
      <w:r w:rsidRPr="00AA552A">
        <w:rPr>
          <w:rFonts w:cs="Cambria"/>
          <w:color w:val="000000"/>
          <w:spacing w:val="1"/>
        </w:rPr>
        <w:t>b</w:t>
      </w:r>
      <w:r w:rsidRPr="00AA552A">
        <w:rPr>
          <w:rFonts w:cs="Cambria"/>
          <w:color w:val="000000"/>
        </w:rPr>
        <w:t>as</w:t>
      </w:r>
      <w:r w:rsidRPr="00AA552A">
        <w:rPr>
          <w:rFonts w:cs="Cambria"/>
          <w:color w:val="000000"/>
          <w:spacing w:val="1"/>
        </w:rPr>
        <w:t>e</w:t>
      </w:r>
      <w:r w:rsidRPr="00AA552A">
        <w:rPr>
          <w:rFonts w:cs="Cambria"/>
          <w:color w:val="000000"/>
        </w:rPr>
        <w:t>d</w:t>
      </w:r>
      <w:r w:rsidRPr="00AA552A">
        <w:rPr>
          <w:rFonts w:cs="Cambria"/>
          <w:color w:val="000000"/>
          <w:spacing w:val="-5"/>
        </w:rPr>
        <w:t xml:space="preserve"> </w:t>
      </w:r>
      <w:r w:rsidRPr="00AA552A">
        <w:rPr>
          <w:rFonts w:cs="Cambria"/>
          <w:color w:val="000000"/>
        </w:rPr>
        <w:t>on</w:t>
      </w:r>
      <w:r w:rsidRPr="00AA552A">
        <w:rPr>
          <w:rFonts w:cs="Cambria"/>
          <w:color w:val="000000"/>
          <w:spacing w:val="-1"/>
        </w:rPr>
        <w:t xml:space="preserve"> </w:t>
      </w:r>
      <w:r w:rsidRPr="00AA552A">
        <w:rPr>
          <w:rFonts w:cs="Cambria"/>
          <w:color w:val="000000"/>
        </w:rPr>
        <w:t>a</w:t>
      </w:r>
      <w:r w:rsidRPr="00AA552A">
        <w:rPr>
          <w:rFonts w:cs="Cambria"/>
          <w:color w:val="000000"/>
          <w:spacing w:val="1"/>
        </w:rPr>
        <w:t>b</w:t>
      </w:r>
      <w:r w:rsidRPr="00AA552A">
        <w:rPr>
          <w:rFonts w:cs="Cambria"/>
          <w:color w:val="000000"/>
          <w:spacing w:val="-1"/>
        </w:rPr>
        <w:t>u</w:t>
      </w:r>
      <w:r w:rsidRPr="00AA552A">
        <w:rPr>
          <w:rFonts w:cs="Cambria"/>
          <w:color w:val="000000"/>
        </w:rPr>
        <w:t>n</w:t>
      </w:r>
      <w:r w:rsidRPr="00AA552A">
        <w:rPr>
          <w:rFonts w:cs="Cambria"/>
          <w:color w:val="000000"/>
          <w:spacing w:val="-1"/>
        </w:rPr>
        <w:t>d</w:t>
      </w:r>
      <w:r w:rsidRPr="00AA552A">
        <w:rPr>
          <w:rFonts w:cs="Cambria"/>
          <w:color w:val="000000"/>
        </w:rPr>
        <w:t>ance</w:t>
      </w:r>
      <w:r w:rsidRPr="00AA552A">
        <w:rPr>
          <w:rFonts w:cs="Cambria"/>
          <w:color w:val="000000"/>
          <w:spacing w:val="-3"/>
        </w:rPr>
        <w:t xml:space="preserve"> </w:t>
      </w:r>
      <w:r w:rsidRPr="00AA552A">
        <w:rPr>
          <w:rFonts w:cs="Cambria"/>
          <w:color w:val="000000"/>
          <w:spacing w:val="-1"/>
        </w:rPr>
        <w:t>d</w:t>
      </w:r>
      <w:r w:rsidRPr="00AA552A">
        <w:rPr>
          <w:rFonts w:cs="Cambria"/>
          <w:color w:val="000000"/>
        </w:rPr>
        <w:t>ata</w:t>
      </w:r>
      <w:r w:rsidRPr="00AA552A">
        <w:rPr>
          <w:rFonts w:cs="Cambria"/>
          <w:color w:val="000000"/>
          <w:spacing w:val="-1"/>
        </w:rPr>
        <w:t xml:space="preserve"> fr</w:t>
      </w:r>
      <w:r w:rsidRPr="00AA552A">
        <w:rPr>
          <w:rFonts w:cs="Cambria"/>
          <w:color w:val="000000"/>
        </w:rPr>
        <w:t>om</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ELM</w:t>
      </w:r>
      <w:r w:rsidRPr="00AA552A">
        <w:rPr>
          <w:rFonts w:cs="Cambria"/>
          <w:color w:val="000000"/>
        </w:rPr>
        <w:t>R</w:t>
      </w:r>
      <w:r w:rsidRPr="00AA552A">
        <w:rPr>
          <w:rFonts w:cs="Cambria"/>
          <w:color w:val="000000"/>
          <w:spacing w:val="-1"/>
        </w:rPr>
        <w:t xml:space="preserve"> </w:t>
      </w:r>
      <w:r w:rsidRPr="00AA552A">
        <w:rPr>
          <w:rFonts w:cs="Cambria"/>
          <w:color w:val="000000"/>
          <w:spacing w:val="1"/>
        </w:rPr>
        <w:t>P</w:t>
      </w:r>
      <w:r w:rsidRPr="00AA552A">
        <w:rPr>
          <w:rFonts w:cs="Cambria"/>
          <w:color w:val="000000"/>
          <w:spacing w:val="-1"/>
        </w:rPr>
        <w:t>r</w:t>
      </w:r>
      <w:r w:rsidRPr="00AA552A">
        <w:rPr>
          <w:rFonts w:cs="Cambria"/>
          <w:color w:val="000000"/>
        </w:rPr>
        <w:t>o</w:t>
      </w:r>
      <w:r w:rsidRPr="00AA552A">
        <w:rPr>
          <w:rFonts w:cs="Cambria"/>
          <w:color w:val="000000"/>
          <w:spacing w:val="-1"/>
        </w:rPr>
        <w:t>gr</w:t>
      </w:r>
      <w:r w:rsidRPr="00AA552A">
        <w:rPr>
          <w:rFonts w:cs="Cambria"/>
          <w:color w:val="000000"/>
        </w:rPr>
        <w:t>am.</w:t>
      </w:r>
      <w:r w:rsidRPr="00AA552A">
        <w:rPr>
          <w:rFonts w:cs="Cambria"/>
          <w:color w:val="000000"/>
          <w:spacing w:val="49"/>
        </w:rPr>
        <w:t xml:space="preserve"> </w:t>
      </w:r>
      <w:r w:rsidRPr="00AA552A">
        <w:rPr>
          <w:rFonts w:cs="Cambria"/>
          <w:color w:val="000000"/>
          <w:spacing w:val="1"/>
        </w:rPr>
        <w:t>E</w:t>
      </w:r>
      <w:r w:rsidRPr="00AA552A">
        <w:rPr>
          <w:rFonts w:cs="Cambria"/>
          <w:color w:val="000000"/>
        </w:rPr>
        <w:t>st</w:t>
      </w:r>
      <w:r w:rsidRPr="00AA552A">
        <w:rPr>
          <w:rFonts w:cs="Cambria"/>
          <w:color w:val="000000"/>
          <w:spacing w:val="-1"/>
        </w:rPr>
        <w:t>u</w:t>
      </w:r>
      <w:r w:rsidRPr="00AA552A">
        <w:rPr>
          <w:rFonts w:cs="Cambria"/>
          <w:color w:val="000000"/>
        </w:rPr>
        <w:t>a</w:t>
      </w:r>
      <w:r w:rsidRPr="00AA552A">
        <w:rPr>
          <w:rFonts w:cs="Cambria"/>
          <w:color w:val="000000"/>
          <w:spacing w:val="-1"/>
        </w:rPr>
        <w:t>r</w:t>
      </w:r>
      <w:r w:rsidRPr="00AA552A">
        <w:rPr>
          <w:rFonts w:cs="Cambria"/>
          <w:color w:val="000000"/>
          <w:spacing w:val="1"/>
        </w:rPr>
        <w:t>ie</w:t>
      </w:r>
      <w:r w:rsidRPr="00AA552A">
        <w:rPr>
          <w:rFonts w:cs="Cambria"/>
          <w:color w:val="000000"/>
        </w:rPr>
        <w:t>s</w:t>
      </w:r>
      <w:r w:rsidRPr="00AA552A">
        <w:rPr>
          <w:rFonts w:cs="Cambria"/>
          <w:color w:val="000000"/>
          <w:spacing w:val="-5"/>
        </w:rPr>
        <w:t xml:space="preserve"> </w:t>
      </w:r>
      <w:r w:rsidRPr="00AA552A">
        <w:rPr>
          <w:rFonts w:cs="Cambria"/>
          <w:color w:val="000000"/>
        </w:rPr>
        <w:t>m</w:t>
      </w:r>
      <w:r w:rsidRPr="00AA552A">
        <w:rPr>
          <w:rFonts w:cs="Cambria"/>
          <w:color w:val="000000"/>
          <w:spacing w:val="1"/>
        </w:rPr>
        <w:t>e</w:t>
      </w:r>
      <w:r w:rsidRPr="00AA552A">
        <w:rPr>
          <w:rFonts w:cs="Cambria"/>
          <w:color w:val="000000"/>
          <w:spacing w:val="-2"/>
        </w:rPr>
        <w:t>e</w:t>
      </w:r>
      <w:r w:rsidRPr="00AA552A">
        <w:rPr>
          <w:rFonts w:cs="Cambria"/>
          <w:color w:val="000000"/>
        </w:rPr>
        <w:t>t</w:t>
      </w:r>
      <w:r w:rsidRPr="00AA552A">
        <w:rPr>
          <w:rFonts w:cs="Cambria"/>
          <w:color w:val="000000"/>
          <w:spacing w:val="1"/>
        </w:rPr>
        <w:t>i</w:t>
      </w:r>
      <w:r w:rsidRPr="00AA552A">
        <w:rPr>
          <w:rFonts w:cs="Cambria"/>
          <w:color w:val="000000"/>
        </w:rPr>
        <w:t>ng</w:t>
      </w:r>
      <w:r w:rsidRPr="00AA552A">
        <w:rPr>
          <w:rFonts w:cs="Cambria"/>
          <w:color w:val="000000"/>
          <w:spacing w:val="-4"/>
        </w:rPr>
        <w:t xml:space="preserve"> </w:t>
      </w:r>
      <w:r w:rsidRPr="00AA552A">
        <w:rPr>
          <w:rFonts w:cs="Cambria"/>
          <w:color w:val="000000"/>
        </w:rPr>
        <w:t>th</w:t>
      </w:r>
      <w:r w:rsidR="004B3243">
        <w:rPr>
          <w:rFonts w:cs="Cambria"/>
          <w:color w:val="000000"/>
        </w:rPr>
        <w:t>e</w:t>
      </w:r>
      <w:r w:rsidRPr="00AA552A">
        <w:rPr>
          <w:rFonts w:cs="Cambria"/>
          <w:color w:val="000000"/>
        </w:rPr>
        <w:t>s</w:t>
      </w:r>
      <w:r w:rsidR="004B3243">
        <w:rPr>
          <w:rFonts w:cs="Cambria"/>
          <w:color w:val="000000"/>
        </w:rPr>
        <w:t>e</w:t>
      </w:r>
      <w:r w:rsidRPr="00AA552A">
        <w:rPr>
          <w:rFonts w:cs="Cambria"/>
          <w:color w:val="000000"/>
        </w:rPr>
        <w:t xml:space="preserve"> c</w:t>
      </w:r>
      <w:r w:rsidRPr="00AA552A">
        <w:rPr>
          <w:rFonts w:cs="Cambria"/>
          <w:color w:val="000000"/>
          <w:spacing w:val="-1"/>
        </w:rPr>
        <w:t>r</w:t>
      </w:r>
      <w:r w:rsidRPr="00AA552A">
        <w:rPr>
          <w:rFonts w:cs="Cambria"/>
          <w:color w:val="000000"/>
          <w:spacing w:val="1"/>
        </w:rPr>
        <w:t>i</w:t>
      </w:r>
      <w:r w:rsidRPr="00AA552A">
        <w:rPr>
          <w:rFonts w:cs="Cambria"/>
          <w:color w:val="000000"/>
        </w:rPr>
        <w:t>t</w:t>
      </w:r>
      <w:r w:rsidRPr="00AA552A">
        <w:rPr>
          <w:rFonts w:cs="Cambria"/>
          <w:color w:val="000000"/>
          <w:spacing w:val="1"/>
        </w:rPr>
        <w:t>e</w:t>
      </w:r>
      <w:r w:rsidRPr="00AA552A">
        <w:rPr>
          <w:rFonts w:cs="Cambria"/>
          <w:color w:val="000000"/>
          <w:spacing w:val="-1"/>
        </w:rPr>
        <w:t>r</w:t>
      </w:r>
      <w:r w:rsidRPr="00AA552A">
        <w:rPr>
          <w:rFonts w:cs="Cambria"/>
          <w:color w:val="000000"/>
          <w:spacing w:val="1"/>
        </w:rPr>
        <w:t>i</w:t>
      </w:r>
      <w:r w:rsidRPr="00AA552A">
        <w:rPr>
          <w:rFonts w:cs="Cambria"/>
          <w:color w:val="000000"/>
        </w:rPr>
        <w:t>a</w:t>
      </w:r>
      <w:r w:rsidRPr="00AA552A">
        <w:rPr>
          <w:rFonts w:cs="Cambria"/>
          <w:color w:val="000000"/>
          <w:spacing w:val="-6"/>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spacing w:val="1"/>
        </w:rPr>
        <w:t>Sp</w:t>
      </w:r>
      <w:r w:rsidRPr="00AA552A">
        <w:rPr>
          <w:rFonts w:cs="Cambria"/>
          <w:color w:val="000000"/>
        </w:rPr>
        <w:t>an</w:t>
      </w:r>
      <w:r w:rsidRPr="00AA552A">
        <w:rPr>
          <w:rFonts w:cs="Cambria"/>
          <w:color w:val="000000"/>
          <w:spacing w:val="1"/>
        </w:rPr>
        <w:t>i</w:t>
      </w:r>
      <w:r w:rsidRPr="00AA552A">
        <w:rPr>
          <w:rFonts w:cs="Cambria"/>
          <w:color w:val="000000"/>
        </w:rPr>
        <w:t>sh</w:t>
      </w:r>
      <w:r w:rsidRPr="00AA552A">
        <w:rPr>
          <w:rFonts w:cs="Cambria"/>
          <w:color w:val="000000"/>
          <w:spacing w:val="-3"/>
        </w:rPr>
        <w:t xml:space="preserve"> </w:t>
      </w:r>
      <w:r w:rsidRPr="00AA552A">
        <w:rPr>
          <w:rFonts w:cs="Cambria"/>
          <w:color w:val="000000"/>
        </w:rPr>
        <w:t>mac</w:t>
      </w:r>
      <w:r w:rsidRPr="00AA552A">
        <w:rPr>
          <w:rFonts w:cs="Cambria"/>
          <w:color w:val="000000"/>
          <w:spacing w:val="-1"/>
        </w:rPr>
        <w:t>k</w:t>
      </w:r>
      <w:r w:rsidRPr="00AA552A">
        <w:rPr>
          <w:rFonts w:cs="Cambria"/>
          <w:color w:val="000000"/>
          <w:spacing w:val="1"/>
        </w:rPr>
        <w:t>e</w:t>
      </w:r>
      <w:r w:rsidRPr="00AA552A">
        <w:rPr>
          <w:rFonts w:cs="Cambria"/>
          <w:color w:val="000000"/>
          <w:spacing w:val="-1"/>
        </w:rPr>
        <w:t>r</w:t>
      </w:r>
      <w:r w:rsidRPr="00AA552A">
        <w:rPr>
          <w:rFonts w:cs="Cambria"/>
          <w:color w:val="000000"/>
          <w:spacing w:val="1"/>
        </w:rPr>
        <w:t>e</w:t>
      </w:r>
      <w:r w:rsidRPr="00AA552A">
        <w:rPr>
          <w:rFonts w:cs="Cambria"/>
          <w:color w:val="000000"/>
        </w:rPr>
        <w:t>l</w:t>
      </w:r>
      <w:r w:rsidRPr="00AA552A">
        <w:rPr>
          <w:rFonts w:cs="Cambria"/>
          <w:color w:val="000000"/>
          <w:spacing w:val="-4"/>
        </w:rPr>
        <w:t xml:space="preserve"> </w:t>
      </w:r>
      <w:r w:rsidRPr="00AA552A">
        <w:rPr>
          <w:rFonts w:cs="Cambria"/>
          <w:color w:val="000000"/>
          <w:spacing w:val="1"/>
        </w:rPr>
        <w:t>i</w:t>
      </w:r>
      <w:r w:rsidRPr="00AA552A">
        <w:rPr>
          <w:rFonts w:cs="Cambria"/>
          <w:color w:val="000000"/>
        </w:rPr>
        <w:t>nclu</w:t>
      </w:r>
      <w:r w:rsidRPr="00AA552A">
        <w:rPr>
          <w:rFonts w:cs="Cambria"/>
          <w:color w:val="000000"/>
          <w:spacing w:val="-1"/>
        </w:rPr>
        <w:t>d</w:t>
      </w:r>
      <w:r w:rsidRPr="00AA552A">
        <w:rPr>
          <w:rFonts w:cs="Cambria"/>
          <w:color w:val="000000"/>
        </w:rPr>
        <w:t>e</w:t>
      </w:r>
      <w:r w:rsidRPr="00AA552A">
        <w:rPr>
          <w:rFonts w:cs="Cambria"/>
          <w:color w:val="000000"/>
          <w:spacing w:val="-5"/>
        </w:rPr>
        <w:t xml:space="preserve"> </w:t>
      </w:r>
      <w:r w:rsidRPr="00AA552A">
        <w:rPr>
          <w:rFonts w:cs="Cambria"/>
          <w:color w:val="000000"/>
        </w:rPr>
        <w:t>B</w:t>
      </w:r>
      <w:r w:rsidRPr="00AA552A">
        <w:rPr>
          <w:rFonts w:cs="Cambria"/>
          <w:color w:val="000000"/>
          <w:spacing w:val="2"/>
        </w:rPr>
        <w:t>o</w:t>
      </w:r>
      <w:r w:rsidRPr="00AA552A">
        <w:rPr>
          <w:rFonts w:cs="Cambria"/>
          <w:color w:val="000000"/>
          <w:spacing w:val="-1"/>
        </w:rPr>
        <w:t>g</w:t>
      </w:r>
      <w:r w:rsidRPr="00AA552A">
        <w:rPr>
          <w:rFonts w:cs="Cambria"/>
          <w:color w:val="000000"/>
        </w:rPr>
        <w:t>ue</w:t>
      </w:r>
      <w:r w:rsidRPr="00AA552A">
        <w:rPr>
          <w:rFonts w:cs="Cambria"/>
          <w:color w:val="000000"/>
          <w:spacing w:val="-1"/>
        </w:rPr>
        <w:t xml:space="preserve"> </w:t>
      </w:r>
      <w:r w:rsidRPr="00AA552A">
        <w:rPr>
          <w:rFonts w:cs="Cambria"/>
          <w:color w:val="000000"/>
          <w:spacing w:val="1"/>
        </w:rPr>
        <w:t>S</w:t>
      </w:r>
      <w:r w:rsidRPr="00AA552A">
        <w:rPr>
          <w:rFonts w:cs="Cambria"/>
          <w:color w:val="000000"/>
        </w:rPr>
        <w:t>ound</w:t>
      </w:r>
      <w:r w:rsidRPr="00AA552A">
        <w:rPr>
          <w:rFonts w:cs="Cambria"/>
          <w:color w:val="000000"/>
          <w:spacing w:val="-4"/>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N</w:t>
      </w:r>
      <w:r w:rsidRPr="00AA552A">
        <w:rPr>
          <w:rFonts w:cs="Cambria"/>
          <w:color w:val="000000"/>
          <w:spacing w:val="1"/>
        </w:rPr>
        <w:t>e</w:t>
      </w:r>
      <w:r w:rsidRPr="00AA552A">
        <w:rPr>
          <w:rFonts w:cs="Cambria"/>
          <w:color w:val="000000"/>
        </w:rPr>
        <w:t>w</w:t>
      </w:r>
      <w:r w:rsidRPr="00AA552A">
        <w:rPr>
          <w:rFonts w:cs="Cambria"/>
          <w:color w:val="000000"/>
          <w:spacing w:val="-4"/>
        </w:rPr>
        <w:t xml:space="preserve"> </w:t>
      </w:r>
      <w:r w:rsidRPr="00AA552A">
        <w:rPr>
          <w:rFonts w:cs="Cambria"/>
          <w:color w:val="000000"/>
        </w:rPr>
        <w:t>R</w:t>
      </w:r>
      <w:r w:rsidRPr="00AA552A">
        <w:rPr>
          <w:rFonts w:cs="Cambria"/>
          <w:color w:val="000000"/>
          <w:spacing w:val="1"/>
        </w:rPr>
        <w:t>i</w:t>
      </w:r>
      <w:r w:rsidRPr="00AA552A">
        <w:rPr>
          <w:rFonts w:cs="Cambria"/>
          <w:color w:val="000000"/>
          <w:spacing w:val="-1"/>
        </w:rPr>
        <w:t>v</w:t>
      </w:r>
      <w:r w:rsidRPr="00AA552A">
        <w:rPr>
          <w:rFonts w:cs="Cambria"/>
          <w:color w:val="000000"/>
          <w:spacing w:val="1"/>
        </w:rPr>
        <w:t>e</w:t>
      </w:r>
      <w:r w:rsidRPr="00AA552A">
        <w:rPr>
          <w:rFonts w:cs="Cambria"/>
          <w:color w:val="000000"/>
          <w:spacing w:val="-1"/>
        </w:rPr>
        <w:t>r</w:t>
      </w:r>
      <w:r w:rsidRPr="00AA552A">
        <w:rPr>
          <w:rFonts w:cs="Cambria"/>
          <w:color w:val="000000"/>
        </w:rPr>
        <w:t>,</w:t>
      </w:r>
      <w:r w:rsidRPr="00AA552A">
        <w:rPr>
          <w:rFonts w:cs="Cambria"/>
          <w:color w:val="000000"/>
          <w:spacing w:val="-3"/>
        </w:rPr>
        <w:t xml:space="preserve"> </w:t>
      </w:r>
      <w:r w:rsidRPr="00AA552A">
        <w:rPr>
          <w:rFonts w:cs="Cambria"/>
          <w:color w:val="000000"/>
        </w:rPr>
        <w:t>No</w:t>
      </w:r>
      <w:r w:rsidRPr="00AA552A">
        <w:rPr>
          <w:rFonts w:cs="Cambria"/>
          <w:color w:val="000000"/>
          <w:spacing w:val="2"/>
        </w:rPr>
        <w:t>r</w:t>
      </w:r>
      <w:r w:rsidRPr="00AA552A">
        <w:rPr>
          <w:rFonts w:cs="Cambria"/>
          <w:color w:val="000000"/>
        </w:rPr>
        <w:t>th</w:t>
      </w:r>
      <w:r w:rsidRPr="00AA552A">
        <w:rPr>
          <w:rFonts w:cs="Cambria"/>
          <w:color w:val="000000"/>
          <w:spacing w:val="-5"/>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rPr>
        <w:t>ol</w:t>
      </w:r>
      <w:r w:rsidRPr="00AA552A">
        <w:rPr>
          <w:rFonts w:cs="Cambria"/>
          <w:color w:val="000000"/>
          <w:spacing w:val="1"/>
        </w:rPr>
        <w:t>i</w:t>
      </w:r>
      <w:r w:rsidRPr="00AA552A">
        <w:rPr>
          <w:rFonts w:cs="Cambria"/>
          <w:color w:val="000000"/>
        </w:rPr>
        <w:t>na;</w:t>
      </w:r>
      <w:r w:rsidRPr="00AA552A">
        <w:rPr>
          <w:rFonts w:cs="Cambria"/>
          <w:color w:val="000000"/>
          <w:spacing w:val="-6"/>
        </w:rPr>
        <w:t xml:space="preserve"> </w:t>
      </w:r>
      <w:r w:rsidRPr="00AA552A">
        <w:rPr>
          <w:rFonts w:cs="Cambria"/>
          <w:color w:val="000000"/>
        </w:rPr>
        <w:t>Bo</w:t>
      </w:r>
      <w:r w:rsidRPr="00AA552A">
        <w:rPr>
          <w:rFonts w:cs="Cambria"/>
          <w:color w:val="000000"/>
          <w:spacing w:val="-1"/>
        </w:rPr>
        <w:t>g</w:t>
      </w:r>
      <w:r w:rsidRPr="00AA552A">
        <w:rPr>
          <w:rFonts w:cs="Cambria"/>
          <w:color w:val="000000"/>
        </w:rPr>
        <w:t>ue</w:t>
      </w:r>
      <w:r w:rsidRPr="00AA552A">
        <w:rPr>
          <w:rFonts w:cs="Cambria"/>
          <w:color w:val="000000"/>
          <w:spacing w:val="-1"/>
        </w:rPr>
        <w:t xml:space="preserve"> </w:t>
      </w:r>
      <w:r w:rsidRPr="00AA552A">
        <w:rPr>
          <w:rFonts w:cs="Cambria"/>
          <w:color w:val="000000"/>
          <w:spacing w:val="1"/>
        </w:rPr>
        <w:t>S</w:t>
      </w:r>
      <w:r w:rsidRPr="00AA552A">
        <w:rPr>
          <w:rFonts w:cs="Cambria"/>
          <w:color w:val="000000"/>
        </w:rPr>
        <w:t>ou</w:t>
      </w:r>
      <w:r w:rsidRPr="00AA552A">
        <w:rPr>
          <w:rFonts w:cs="Cambria"/>
          <w:color w:val="000000"/>
          <w:spacing w:val="3"/>
        </w:rPr>
        <w:t>n</w:t>
      </w:r>
      <w:r w:rsidRPr="00AA552A">
        <w:rPr>
          <w:rFonts w:cs="Cambria"/>
          <w:color w:val="000000"/>
          <w:spacing w:val="-1"/>
        </w:rPr>
        <w:t>d</w:t>
      </w:r>
      <w:r>
        <w:rPr>
          <w:rFonts w:cs="Cambria"/>
          <w:color w:val="000000"/>
        </w:rPr>
        <w:t xml:space="preserve">, </w:t>
      </w:r>
      <w:r w:rsidRPr="00AA552A">
        <w:rPr>
          <w:rFonts w:cs="Cambria"/>
          <w:color w:val="000000"/>
        </w:rPr>
        <w:t>No</w:t>
      </w:r>
      <w:r w:rsidRPr="00AA552A">
        <w:rPr>
          <w:rFonts w:cs="Cambria"/>
          <w:color w:val="000000"/>
          <w:spacing w:val="-1"/>
        </w:rPr>
        <w:t>r</w:t>
      </w:r>
      <w:r w:rsidRPr="00AA552A">
        <w:rPr>
          <w:rFonts w:cs="Cambria"/>
          <w:color w:val="000000"/>
        </w:rPr>
        <w:t>th</w:t>
      </w:r>
      <w:r w:rsidRPr="00AA552A">
        <w:rPr>
          <w:rFonts w:cs="Cambria"/>
          <w:color w:val="000000"/>
          <w:spacing w:val="-5"/>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rPr>
        <w:t>ol</w:t>
      </w:r>
      <w:r w:rsidRPr="00AA552A">
        <w:rPr>
          <w:rFonts w:cs="Cambria"/>
          <w:color w:val="000000"/>
          <w:spacing w:val="1"/>
        </w:rPr>
        <w:t>i</w:t>
      </w:r>
      <w:r w:rsidRPr="00AA552A">
        <w:rPr>
          <w:rFonts w:cs="Cambria"/>
          <w:color w:val="000000"/>
        </w:rPr>
        <w:t>na</w:t>
      </w:r>
      <w:r w:rsidRPr="00AA552A">
        <w:rPr>
          <w:rFonts w:cs="Cambria"/>
          <w:color w:val="000000"/>
          <w:spacing w:val="-4"/>
        </w:rPr>
        <w:t xml:space="preserve"> </w:t>
      </w:r>
      <w:r w:rsidRPr="00AA552A">
        <w:rPr>
          <w:rFonts w:cs="Cambria"/>
          <w:color w:val="000000"/>
        </w:rPr>
        <w:t>(</w:t>
      </w:r>
      <w:r w:rsidRPr="00AA552A">
        <w:rPr>
          <w:rFonts w:cs="Cambria"/>
          <w:color w:val="000000"/>
          <w:spacing w:val="2"/>
        </w:rPr>
        <w:t>A</w:t>
      </w:r>
      <w:r w:rsidRPr="00AA552A">
        <w:rPr>
          <w:rFonts w:cs="Cambria"/>
          <w:color w:val="000000"/>
          <w:spacing w:val="-1"/>
        </w:rPr>
        <w:t>du</w:t>
      </w:r>
      <w:r w:rsidRPr="00AA552A">
        <w:rPr>
          <w:rFonts w:cs="Cambria"/>
          <w:color w:val="000000"/>
        </w:rPr>
        <w:t>lts</w:t>
      </w:r>
      <w:r w:rsidRPr="00AA552A">
        <w:rPr>
          <w:rFonts w:cs="Cambria"/>
          <w:color w:val="000000"/>
          <w:spacing w:val="-1"/>
        </w:rPr>
        <w:t xml:space="preserve"> </w:t>
      </w:r>
      <w:r w:rsidRPr="00AA552A">
        <w:rPr>
          <w:rFonts w:cs="Cambria"/>
          <w:color w:val="000000"/>
          <w:spacing w:val="1"/>
        </w:rPr>
        <w:t>M</w:t>
      </w:r>
      <w:r w:rsidRPr="00AA552A">
        <w:rPr>
          <w:rFonts w:cs="Cambria"/>
          <w:color w:val="000000"/>
        </w:rPr>
        <w:t>a</w:t>
      </w:r>
      <w:r w:rsidRPr="00AA552A">
        <w:rPr>
          <w:rFonts w:cs="Cambria"/>
          <w:color w:val="000000"/>
          <w:spacing w:val="-1"/>
        </w:rPr>
        <w:t>y</w:t>
      </w:r>
      <w:r w:rsidRPr="00AA552A">
        <w:rPr>
          <w:rFonts w:cs="Cambria"/>
          <w:color w:val="000000"/>
        </w:rPr>
        <w:t>-</w:t>
      </w:r>
      <w:r w:rsidRPr="00AA552A">
        <w:rPr>
          <w:rFonts w:cs="Cambria"/>
          <w:color w:val="000000"/>
          <w:spacing w:val="1"/>
        </w:rPr>
        <w:t>Sep</w:t>
      </w:r>
      <w:r w:rsidRPr="00AA552A">
        <w:rPr>
          <w:rFonts w:cs="Cambria"/>
          <w:color w:val="000000"/>
        </w:rPr>
        <w:t>t</w:t>
      </w:r>
      <w:r w:rsidRPr="00AA552A">
        <w:rPr>
          <w:rFonts w:cs="Cambria"/>
          <w:color w:val="000000"/>
          <w:spacing w:val="1"/>
        </w:rPr>
        <w:t>e</w:t>
      </w:r>
      <w:r w:rsidRPr="00AA552A">
        <w:rPr>
          <w:rFonts w:cs="Cambria"/>
          <w:color w:val="000000"/>
        </w:rPr>
        <w:t>m</w:t>
      </w:r>
      <w:r w:rsidRPr="00AA552A">
        <w:rPr>
          <w:rFonts w:cs="Cambria"/>
          <w:color w:val="000000"/>
          <w:spacing w:val="-2"/>
        </w:rPr>
        <w:t>b</w:t>
      </w:r>
      <w:r w:rsidRPr="00AA552A">
        <w:rPr>
          <w:rFonts w:cs="Cambria"/>
          <w:color w:val="000000"/>
          <w:spacing w:val="1"/>
        </w:rPr>
        <w:t>e</w:t>
      </w:r>
      <w:r w:rsidRPr="00AA552A">
        <w:rPr>
          <w:rFonts w:cs="Cambria"/>
          <w:color w:val="000000"/>
        </w:rPr>
        <w:t>r</w:t>
      </w:r>
      <w:r w:rsidRPr="00AA552A">
        <w:rPr>
          <w:rFonts w:cs="Cambria"/>
          <w:color w:val="000000"/>
          <w:spacing w:val="-7"/>
        </w:rPr>
        <w:t xml:space="preserve"> </w:t>
      </w:r>
      <w:r w:rsidRPr="00AA552A">
        <w:rPr>
          <w:rFonts w:cs="Cambria"/>
          <w:color w:val="000000"/>
        </w:rPr>
        <w:t>sal</w:t>
      </w:r>
      <w:r w:rsidRPr="00AA552A">
        <w:rPr>
          <w:rFonts w:cs="Cambria"/>
          <w:color w:val="000000"/>
          <w:spacing w:val="1"/>
        </w:rPr>
        <w:t>i</w:t>
      </w:r>
      <w:r w:rsidRPr="00AA552A">
        <w:rPr>
          <w:rFonts w:cs="Cambria"/>
          <w:color w:val="000000"/>
        </w:rPr>
        <w:t>n</w:t>
      </w:r>
      <w:r w:rsidRPr="00AA552A">
        <w:rPr>
          <w:rFonts w:cs="Cambria"/>
          <w:color w:val="000000"/>
          <w:spacing w:val="1"/>
        </w:rPr>
        <w:t>i</w:t>
      </w:r>
      <w:r w:rsidRPr="00AA552A">
        <w:rPr>
          <w:rFonts w:cs="Cambria"/>
          <w:color w:val="000000"/>
        </w:rPr>
        <w:t>ty</w:t>
      </w:r>
      <w:r w:rsidRPr="00AA552A">
        <w:rPr>
          <w:rFonts w:cs="Cambria"/>
          <w:color w:val="000000"/>
          <w:spacing w:val="-7"/>
        </w:rPr>
        <w:t xml:space="preserve"> </w:t>
      </w:r>
      <w:r w:rsidRPr="00AA552A">
        <w:rPr>
          <w:rFonts w:cs="Cambria"/>
          <w:color w:val="000000"/>
          <w:spacing w:val="-1"/>
        </w:rPr>
        <w:t>&gt;3</w:t>
      </w:r>
      <w:r w:rsidRPr="00AA552A">
        <w:rPr>
          <w:rFonts w:cs="Cambria"/>
          <w:color w:val="000000"/>
        </w:rPr>
        <w:t>0</w:t>
      </w:r>
      <w:r w:rsidRPr="00AA552A">
        <w:rPr>
          <w:rFonts w:cs="Cambria"/>
          <w:color w:val="000000"/>
          <w:spacing w:val="-5"/>
        </w:rPr>
        <w:t xml:space="preserve"> </w:t>
      </w:r>
      <w:r w:rsidRPr="00AA552A">
        <w:rPr>
          <w:rFonts w:cs="Cambria"/>
          <w:color w:val="000000"/>
          <w:spacing w:val="1"/>
        </w:rPr>
        <w:t>pp</w:t>
      </w:r>
      <w:r w:rsidRPr="00AA552A">
        <w:rPr>
          <w:rFonts w:cs="Cambria"/>
          <w:color w:val="000000"/>
        </w:rPr>
        <w:t>t);</w:t>
      </w:r>
      <w:r w:rsidRPr="00AA552A">
        <w:rPr>
          <w:rFonts w:cs="Cambria"/>
          <w:color w:val="000000"/>
          <w:spacing w:val="-3"/>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N</w:t>
      </w:r>
      <w:r w:rsidRPr="00AA552A">
        <w:rPr>
          <w:rFonts w:cs="Cambria"/>
          <w:color w:val="000000"/>
          <w:spacing w:val="1"/>
        </w:rPr>
        <w:t>e</w:t>
      </w:r>
      <w:r w:rsidRPr="00AA552A">
        <w:rPr>
          <w:rFonts w:cs="Cambria"/>
          <w:color w:val="000000"/>
        </w:rPr>
        <w:t>w</w:t>
      </w:r>
      <w:r w:rsidRPr="00AA552A">
        <w:rPr>
          <w:rFonts w:cs="Cambria"/>
          <w:color w:val="000000"/>
          <w:spacing w:val="-4"/>
        </w:rPr>
        <w:t xml:space="preserve"> </w:t>
      </w:r>
      <w:r w:rsidRPr="00AA552A">
        <w:rPr>
          <w:rFonts w:cs="Cambria"/>
          <w:color w:val="000000"/>
        </w:rPr>
        <w:t>R</w:t>
      </w:r>
      <w:r w:rsidRPr="00AA552A">
        <w:rPr>
          <w:rFonts w:cs="Cambria"/>
          <w:color w:val="000000"/>
          <w:spacing w:val="3"/>
        </w:rPr>
        <w:t>i</w:t>
      </w:r>
      <w:r w:rsidRPr="00AA552A">
        <w:rPr>
          <w:rFonts w:cs="Cambria"/>
          <w:color w:val="000000"/>
          <w:spacing w:val="1"/>
        </w:rPr>
        <w:t>ve</w:t>
      </w:r>
      <w:r w:rsidRPr="00AA552A">
        <w:rPr>
          <w:rFonts w:cs="Cambria"/>
          <w:color w:val="000000"/>
          <w:spacing w:val="-1"/>
        </w:rPr>
        <w:t>r</w:t>
      </w:r>
      <w:r w:rsidRPr="00AA552A">
        <w:rPr>
          <w:rFonts w:cs="Cambria"/>
          <w:color w:val="000000"/>
        </w:rPr>
        <w:t>,</w:t>
      </w:r>
      <w:r w:rsidRPr="00AA552A">
        <w:rPr>
          <w:rFonts w:cs="Cambria"/>
          <w:color w:val="000000"/>
          <w:spacing w:val="-3"/>
        </w:rPr>
        <w:t xml:space="preserve"> </w:t>
      </w:r>
      <w:r w:rsidRPr="00AA552A">
        <w:rPr>
          <w:rFonts w:cs="Cambria"/>
          <w:color w:val="000000"/>
        </w:rPr>
        <w:t>No</w:t>
      </w:r>
      <w:r w:rsidRPr="00AA552A">
        <w:rPr>
          <w:rFonts w:cs="Cambria"/>
          <w:color w:val="000000"/>
          <w:spacing w:val="-1"/>
        </w:rPr>
        <w:t>r</w:t>
      </w:r>
      <w:r w:rsidRPr="00AA552A">
        <w:rPr>
          <w:rFonts w:cs="Cambria"/>
          <w:color w:val="000000"/>
        </w:rPr>
        <w:t>th</w:t>
      </w:r>
      <w:r w:rsidRPr="00AA552A">
        <w:rPr>
          <w:rFonts w:cs="Cambria"/>
          <w:color w:val="000000"/>
          <w:spacing w:val="-5"/>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rPr>
        <w:t>ol</w:t>
      </w:r>
      <w:r w:rsidRPr="00AA552A">
        <w:rPr>
          <w:rFonts w:cs="Cambria"/>
          <w:color w:val="000000"/>
          <w:spacing w:val="1"/>
        </w:rPr>
        <w:t>i</w:t>
      </w:r>
      <w:r w:rsidRPr="00AA552A">
        <w:rPr>
          <w:rFonts w:cs="Cambria"/>
          <w:color w:val="000000"/>
        </w:rPr>
        <w:t>na</w:t>
      </w:r>
      <w:r w:rsidRPr="00AA552A">
        <w:rPr>
          <w:rFonts w:cs="Cambria"/>
          <w:color w:val="000000"/>
          <w:spacing w:val="-4"/>
        </w:rPr>
        <w:t xml:space="preserve"> </w:t>
      </w:r>
      <w:r w:rsidRPr="00AA552A">
        <w:rPr>
          <w:rFonts w:cs="Cambria"/>
          <w:color w:val="000000"/>
        </w:rPr>
        <w:t>(</w:t>
      </w:r>
      <w:r w:rsidRPr="00AA552A">
        <w:rPr>
          <w:rFonts w:cs="Cambria"/>
          <w:color w:val="000000"/>
          <w:spacing w:val="-1"/>
        </w:rPr>
        <w:t>A</w:t>
      </w:r>
      <w:r w:rsidRPr="00AA552A">
        <w:rPr>
          <w:rFonts w:cs="Cambria"/>
          <w:color w:val="000000"/>
          <w:spacing w:val="1"/>
        </w:rPr>
        <w:t>d</w:t>
      </w:r>
      <w:r w:rsidRPr="00AA552A">
        <w:rPr>
          <w:rFonts w:cs="Cambria"/>
          <w:color w:val="000000"/>
          <w:spacing w:val="2"/>
        </w:rPr>
        <w:t>u</w:t>
      </w:r>
      <w:r w:rsidRPr="00AA552A">
        <w:rPr>
          <w:rFonts w:cs="Cambria"/>
          <w:color w:val="000000"/>
        </w:rPr>
        <w:t xml:space="preserve">lts </w:t>
      </w:r>
      <w:r w:rsidRPr="00AA552A">
        <w:rPr>
          <w:rFonts w:cs="Cambria"/>
          <w:color w:val="000000"/>
          <w:spacing w:val="1"/>
        </w:rPr>
        <w:t>M</w:t>
      </w:r>
      <w:r w:rsidRPr="00AA552A">
        <w:rPr>
          <w:rFonts w:cs="Cambria"/>
          <w:color w:val="000000"/>
        </w:rPr>
        <w:t>a</w:t>
      </w:r>
      <w:r w:rsidRPr="00AA552A">
        <w:rPr>
          <w:rFonts w:cs="Cambria"/>
          <w:color w:val="000000"/>
          <w:spacing w:val="-1"/>
        </w:rPr>
        <w:t>y</w:t>
      </w:r>
      <w:r w:rsidRPr="00AA552A">
        <w:rPr>
          <w:rFonts w:cs="Cambria"/>
          <w:color w:val="000000"/>
        </w:rPr>
        <w:t>-</w:t>
      </w:r>
      <w:r w:rsidRPr="00AA552A">
        <w:rPr>
          <w:rFonts w:cs="Cambria"/>
          <w:color w:val="000000"/>
          <w:spacing w:val="-1"/>
        </w:rPr>
        <w:t>O</w:t>
      </w:r>
      <w:r w:rsidRPr="00AA552A">
        <w:rPr>
          <w:rFonts w:cs="Cambria"/>
          <w:color w:val="000000"/>
        </w:rPr>
        <w:t>cto</w:t>
      </w:r>
      <w:r w:rsidRPr="00AA552A">
        <w:rPr>
          <w:rFonts w:cs="Cambria"/>
          <w:color w:val="000000"/>
          <w:spacing w:val="1"/>
        </w:rPr>
        <w:t>be</w:t>
      </w:r>
      <w:r w:rsidRPr="00AA552A">
        <w:rPr>
          <w:rFonts w:cs="Cambria"/>
          <w:color w:val="000000"/>
        </w:rPr>
        <w:t>r</w:t>
      </w:r>
      <w:r w:rsidRPr="00AA552A">
        <w:rPr>
          <w:rFonts w:cs="Cambria"/>
          <w:color w:val="000000"/>
          <w:spacing w:val="-7"/>
        </w:rPr>
        <w:t xml:space="preserve"> </w:t>
      </w:r>
      <w:r w:rsidRPr="00AA552A">
        <w:rPr>
          <w:rFonts w:cs="Cambria"/>
          <w:color w:val="000000"/>
        </w:rPr>
        <w:t>sal</w:t>
      </w:r>
      <w:r w:rsidRPr="00AA552A">
        <w:rPr>
          <w:rFonts w:cs="Cambria"/>
          <w:color w:val="000000"/>
          <w:spacing w:val="1"/>
        </w:rPr>
        <w:t>i</w:t>
      </w:r>
      <w:r w:rsidRPr="00AA552A">
        <w:rPr>
          <w:rFonts w:cs="Cambria"/>
          <w:color w:val="000000"/>
        </w:rPr>
        <w:t>n</w:t>
      </w:r>
      <w:r w:rsidRPr="00AA552A">
        <w:rPr>
          <w:rFonts w:cs="Cambria"/>
          <w:color w:val="000000"/>
          <w:spacing w:val="1"/>
        </w:rPr>
        <w:t>i</w:t>
      </w:r>
      <w:r w:rsidRPr="00AA552A">
        <w:rPr>
          <w:rFonts w:cs="Cambria"/>
          <w:color w:val="000000"/>
        </w:rPr>
        <w:t>ty</w:t>
      </w:r>
      <w:r w:rsidRPr="00AA552A">
        <w:rPr>
          <w:rFonts w:cs="Cambria"/>
          <w:color w:val="000000"/>
          <w:spacing w:val="-5"/>
        </w:rPr>
        <w:t xml:space="preserve"> </w:t>
      </w:r>
      <w:r w:rsidRPr="00AA552A">
        <w:rPr>
          <w:rFonts w:cs="Cambria"/>
          <w:color w:val="000000"/>
          <w:spacing w:val="-1"/>
        </w:rPr>
        <w:t>&gt;3</w:t>
      </w:r>
      <w:r w:rsidRPr="00AA552A">
        <w:rPr>
          <w:rFonts w:cs="Cambria"/>
          <w:color w:val="000000"/>
        </w:rPr>
        <w:t>0</w:t>
      </w:r>
      <w:r w:rsidRPr="00AA552A">
        <w:rPr>
          <w:rFonts w:cs="Cambria"/>
          <w:color w:val="000000"/>
          <w:spacing w:val="-5"/>
        </w:rPr>
        <w:t xml:space="preserve"> </w:t>
      </w:r>
      <w:r w:rsidRPr="00AA552A">
        <w:rPr>
          <w:rFonts w:cs="Cambria"/>
          <w:color w:val="000000"/>
          <w:spacing w:val="1"/>
        </w:rPr>
        <w:t>pp</w:t>
      </w:r>
      <w:r w:rsidRPr="00AA552A">
        <w:rPr>
          <w:rFonts w:cs="Cambria"/>
          <w:color w:val="000000"/>
        </w:rPr>
        <w:t>t).</w:t>
      </w:r>
      <w:r w:rsidRPr="00AA552A">
        <w:rPr>
          <w:rFonts w:cs="Cambria"/>
          <w:color w:val="000000"/>
          <w:spacing w:val="52"/>
        </w:rPr>
        <w:t xml:space="preserve"> </w:t>
      </w:r>
      <w:r w:rsidRPr="00AA552A">
        <w:rPr>
          <w:rFonts w:cs="Cambria"/>
          <w:color w:val="000000"/>
          <w:spacing w:val="1"/>
        </w:rPr>
        <w:t>F</w:t>
      </w:r>
      <w:r w:rsidRPr="00AA552A">
        <w:rPr>
          <w:rFonts w:cs="Cambria"/>
          <w:color w:val="000000"/>
        </w:rPr>
        <w:t>or</w:t>
      </w:r>
      <w:r w:rsidRPr="00AA552A">
        <w:rPr>
          <w:rFonts w:cs="Cambria"/>
          <w:color w:val="000000"/>
          <w:spacing w:val="-5"/>
        </w:rPr>
        <w:t xml:space="preserve"> </w:t>
      </w:r>
      <w:r w:rsidRPr="00AA552A">
        <w:rPr>
          <w:rFonts w:cs="Cambria"/>
          <w:color w:val="000000"/>
          <w:spacing w:val="-1"/>
        </w:rPr>
        <w:t>C</w:t>
      </w:r>
      <w:r w:rsidRPr="00AA552A">
        <w:rPr>
          <w:rFonts w:cs="Cambria"/>
          <w:color w:val="000000"/>
        </w:rPr>
        <w:t>o</w:t>
      </w:r>
      <w:r w:rsidRPr="00AA552A">
        <w:rPr>
          <w:rFonts w:cs="Cambria"/>
          <w:color w:val="000000"/>
          <w:spacing w:val="1"/>
        </w:rPr>
        <w:t>bi</w:t>
      </w:r>
      <w:r w:rsidRPr="00AA552A">
        <w:rPr>
          <w:rFonts w:cs="Cambria"/>
          <w:color w:val="000000"/>
        </w:rPr>
        <w:t>a</w:t>
      </w:r>
      <w:r w:rsidRPr="00AA552A">
        <w:rPr>
          <w:rFonts w:cs="Cambria"/>
          <w:color w:val="000000"/>
          <w:spacing w:val="-3"/>
        </w:rPr>
        <w:t xml:space="preserve"> </w:t>
      </w:r>
      <w:r w:rsidRPr="00AA552A">
        <w:rPr>
          <w:rFonts w:cs="Cambria"/>
          <w:color w:val="000000"/>
        </w:rPr>
        <w:t>th</w:t>
      </w:r>
      <w:r w:rsidRPr="00AA552A">
        <w:rPr>
          <w:rFonts w:cs="Cambria"/>
          <w:color w:val="000000"/>
          <w:spacing w:val="1"/>
        </w:rPr>
        <w:t>e</w:t>
      </w:r>
      <w:r w:rsidRPr="00AA552A">
        <w:rPr>
          <w:rFonts w:cs="Cambria"/>
          <w:color w:val="000000"/>
        </w:rPr>
        <w:t>y</w:t>
      </w:r>
      <w:r w:rsidRPr="00AA552A">
        <w:rPr>
          <w:rFonts w:cs="Cambria"/>
          <w:color w:val="000000"/>
          <w:spacing w:val="-5"/>
        </w:rPr>
        <w:t xml:space="preserve"> </w:t>
      </w:r>
      <w:r w:rsidRPr="00AA552A">
        <w:rPr>
          <w:rFonts w:cs="Cambria"/>
          <w:color w:val="000000"/>
          <w:spacing w:val="1"/>
        </w:rPr>
        <w:t>i</w:t>
      </w:r>
      <w:r w:rsidRPr="00AA552A">
        <w:rPr>
          <w:rFonts w:cs="Cambria"/>
          <w:color w:val="000000"/>
        </w:rPr>
        <w:t>nclu</w:t>
      </w:r>
      <w:r w:rsidRPr="00AA552A">
        <w:rPr>
          <w:rFonts w:cs="Cambria"/>
          <w:color w:val="000000"/>
          <w:spacing w:val="-1"/>
        </w:rPr>
        <w:t>d</w:t>
      </w:r>
      <w:r w:rsidRPr="00AA552A">
        <w:rPr>
          <w:rFonts w:cs="Cambria"/>
          <w:color w:val="000000"/>
        </w:rPr>
        <w:t>e</w:t>
      </w:r>
      <w:r w:rsidRPr="00AA552A">
        <w:rPr>
          <w:rFonts w:cs="Cambria"/>
          <w:color w:val="000000"/>
          <w:spacing w:val="-5"/>
        </w:rPr>
        <w:t xml:space="preserve"> </w:t>
      </w:r>
      <w:r w:rsidRPr="00AA552A">
        <w:rPr>
          <w:rFonts w:cs="Cambria"/>
          <w:color w:val="000000"/>
        </w:rPr>
        <w:t>B</w:t>
      </w:r>
      <w:r w:rsidRPr="00AA552A">
        <w:rPr>
          <w:rFonts w:cs="Cambria"/>
          <w:color w:val="000000"/>
          <w:spacing w:val="-1"/>
        </w:rPr>
        <w:t>r</w:t>
      </w:r>
      <w:r w:rsidRPr="00AA552A">
        <w:rPr>
          <w:rFonts w:cs="Cambria"/>
          <w:color w:val="000000"/>
        </w:rPr>
        <w:t>oad</w:t>
      </w:r>
      <w:r w:rsidRPr="00AA552A">
        <w:rPr>
          <w:rFonts w:cs="Cambria"/>
          <w:color w:val="000000"/>
          <w:spacing w:val="-5"/>
        </w:rPr>
        <w:t xml:space="preserve"> </w:t>
      </w:r>
      <w:r w:rsidRPr="00AA552A">
        <w:rPr>
          <w:rFonts w:cs="Cambria"/>
          <w:color w:val="000000"/>
        </w:rPr>
        <w:t>R</w:t>
      </w:r>
      <w:r w:rsidRPr="00AA552A">
        <w:rPr>
          <w:rFonts w:cs="Cambria"/>
          <w:color w:val="000000"/>
          <w:spacing w:val="3"/>
        </w:rPr>
        <w:t>i</w:t>
      </w:r>
      <w:r w:rsidRPr="00AA552A">
        <w:rPr>
          <w:rFonts w:cs="Cambria"/>
          <w:color w:val="000000"/>
          <w:spacing w:val="-1"/>
        </w:rPr>
        <w:t>v</w:t>
      </w:r>
      <w:r w:rsidRPr="00AA552A">
        <w:rPr>
          <w:rFonts w:cs="Cambria"/>
          <w:color w:val="000000"/>
          <w:spacing w:val="1"/>
        </w:rPr>
        <w:t>e</w:t>
      </w:r>
      <w:r w:rsidRPr="00AA552A">
        <w:rPr>
          <w:rFonts w:cs="Cambria"/>
          <w:color w:val="000000"/>
          <w:spacing w:val="-1"/>
        </w:rPr>
        <w:t>r</w:t>
      </w:r>
      <w:r w:rsidRPr="00AA552A">
        <w:rPr>
          <w:rFonts w:cs="Cambria"/>
          <w:color w:val="000000"/>
        </w:rPr>
        <w:t>,</w:t>
      </w:r>
      <w:r w:rsidRPr="00AA552A">
        <w:rPr>
          <w:rFonts w:cs="Cambria"/>
          <w:color w:val="000000"/>
          <w:spacing w:val="-3"/>
        </w:rPr>
        <w:t xml:space="preserve"> </w:t>
      </w:r>
      <w:r w:rsidRPr="00AA552A">
        <w:rPr>
          <w:rFonts w:cs="Cambria"/>
          <w:color w:val="000000"/>
          <w:spacing w:val="1"/>
        </w:rPr>
        <w:t>S</w:t>
      </w:r>
      <w:r w:rsidRPr="00AA552A">
        <w:rPr>
          <w:rFonts w:cs="Cambria"/>
          <w:color w:val="000000"/>
        </w:rPr>
        <w:t>outh</w:t>
      </w:r>
      <w:r w:rsidRPr="00AA552A">
        <w:rPr>
          <w:rFonts w:cs="Cambria"/>
          <w:color w:val="000000"/>
          <w:spacing w:val="-3"/>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rPr>
        <w:t>ol</w:t>
      </w:r>
      <w:r w:rsidRPr="00AA552A">
        <w:rPr>
          <w:rFonts w:cs="Cambria"/>
          <w:color w:val="000000"/>
          <w:spacing w:val="1"/>
        </w:rPr>
        <w:t>i</w:t>
      </w:r>
      <w:r w:rsidRPr="00AA552A">
        <w:rPr>
          <w:rFonts w:cs="Cambria"/>
          <w:color w:val="000000"/>
        </w:rPr>
        <w:t>na;</w:t>
      </w:r>
      <w:r w:rsidRPr="00AA552A">
        <w:rPr>
          <w:rFonts w:cs="Cambria"/>
          <w:color w:val="000000"/>
          <w:spacing w:val="-6"/>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B</w:t>
      </w:r>
      <w:r w:rsidRPr="00AA552A">
        <w:rPr>
          <w:rFonts w:cs="Cambria"/>
          <w:color w:val="000000"/>
          <w:spacing w:val="-1"/>
        </w:rPr>
        <w:t>r</w:t>
      </w:r>
      <w:r w:rsidRPr="00AA552A">
        <w:rPr>
          <w:rFonts w:cs="Cambria"/>
          <w:color w:val="000000"/>
        </w:rPr>
        <w:t>o</w:t>
      </w:r>
      <w:r w:rsidRPr="00AA552A">
        <w:rPr>
          <w:rFonts w:cs="Cambria"/>
          <w:color w:val="000000"/>
          <w:spacing w:val="3"/>
        </w:rPr>
        <w:t>a</w:t>
      </w:r>
      <w:r w:rsidRPr="00AA552A">
        <w:rPr>
          <w:rFonts w:cs="Cambria"/>
          <w:color w:val="000000"/>
        </w:rPr>
        <w:t>d R</w:t>
      </w:r>
      <w:r w:rsidRPr="00AA552A">
        <w:rPr>
          <w:rFonts w:cs="Cambria"/>
          <w:color w:val="000000"/>
          <w:spacing w:val="1"/>
        </w:rPr>
        <w:t>i</w:t>
      </w:r>
      <w:r w:rsidRPr="00AA552A">
        <w:rPr>
          <w:rFonts w:cs="Cambria"/>
          <w:color w:val="000000"/>
          <w:spacing w:val="-1"/>
        </w:rPr>
        <w:t>v</w:t>
      </w:r>
      <w:r w:rsidRPr="00AA552A">
        <w:rPr>
          <w:rFonts w:cs="Cambria"/>
          <w:color w:val="000000"/>
          <w:spacing w:val="1"/>
        </w:rPr>
        <w:t>e</w:t>
      </w:r>
      <w:r w:rsidRPr="00AA552A">
        <w:rPr>
          <w:rFonts w:cs="Cambria"/>
          <w:color w:val="000000"/>
          <w:spacing w:val="-1"/>
        </w:rPr>
        <w:t>r</w:t>
      </w:r>
      <w:r w:rsidRPr="00AA552A">
        <w:rPr>
          <w:rFonts w:cs="Cambria"/>
          <w:color w:val="000000"/>
        </w:rPr>
        <w:t>,</w:t>
      </w:r>
      <w:r w:rsidRPr="00AA552A">
        <w:rPr>
          <w:rFonts w:cs="Cambria"/>
          <w:color w:val="000000"/>
          <w:spacing w:val="-3"/>
        </w:rPr>
        <w:t xml:space="preserve"> </w:t>
      </w:r>
      <w:r w:rsidRPr="00AA552A">
        <w:rPr>
          <w:rFonts w:cs="Cambria"/>
          <w:color w:val="000000"/>
          <w:spacing w:val="1"/>
        </w:rPr>
        <w:t>S</w:t>
      </w:r>
      <w:r w:rsidRPr="00AA552A">
        <w:rPr>
          <w:rFonts w:cs="Cambria"/>
          <w:color w:val="000000"/>
        </w:rPr>
        <w:t>outh</w:t>
      </w:r>
      <w:r w:rsidRPr="00AA552A">
        <w:rPr>
          <w:rFonts w:cs="Cambria"/>
          <w:color w:val="000000"/>
          <w:spacing w:val="-3"/>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rPr>
        <w:t>ol</w:t>
      </w:r>
      <w:r w:rsidRPr="00AA552A">
        <w:rPr>
          <w:rFonts w:cs="Cambria"/>
          <w:color w:val="000000"/>
          <w:spacing w:val="1"/>
        </w:rPr>
        <w:t>i</w:t>
      </w:r>
      <w:r w:rsidRPr="00AA552A">
        <w:rPr>
          <w:rFonts w:cs="Cambria"/>
          <w:color w:val="000000"/>
        </w:rPr>
        <w:t>na</w:t>
      </w:r>
      <w:r w:rsidRPr="00AA552A">
        <w:rPr>
          <w:rFonts w:cs="Cambria"/>
          <w:color w:val="000000"/>
          <w:spacing w:val="-4"/>
        </w:rPr>
        <w:t xml:space="preserve"> </w:t>
      </w:r>
      <w:r w:rsidRPr="00AA552A">
        <w:rPr>
          <w:rFonts w:cs="Cambria"/>
          <w:color w:val="000000"/>
        </w:rPr>
        <w:t>(</w:t>
      </w:r>
      <w:r w:rsidRPr="00AA552A">
        <w:rPr>
          <w:rFonts w:cs="Cambria"/>
          <w:color w:val="000000"/>
          <w:spacing w:val="-1"/>
        </w:rPr>
        <w:t>Ad</w:t>
      </w:r>
      <w:r w:rsidRPr="00AA552A">
        <w:rPr>
          <w:rFonts w:cs="Cambria"/>
          <w:color w:val="000000"/>
        </w:rPr>
        <w:t>ults</w:t>
      </w:r>
      <w:r w:rsidRPr="00AA552A">
        <w:rPr>
          <w:rFonts w:cs="Cambria"/>
          <w:color w:val="000000"/>
          <w:spacing w:val="-5"/>
        </w:rPr>
        <w:t xml:space="preserve"> </w:t>
      </w:r>
      <w:r w:rsidRPr="00AA552A">
        <w:rPr>
          <w:rFonts w:cs="Cambria"/>
          <w:color w:val="000000"/>
        </w:rPr>
        <w:t>&amp;</w:t>
      </w:r>
      <w:r w:rsidRPr="00AA552A">
        <w:rPr>
          <w:rFonts w:cs="Cambria"/>
          <w:color w:val="000000"/>
          <w:spacing w:val="-1"/>
        </w:rPr>
        <w:t xml:space="preserve"> </w:t>
      </w:r>
      <w:r w:rsidRPr="00AA552A">
        <w:rPr>
          <w:rFonts w:cs="Cambria"/>
          <w:color w:val="000000"/>
          <w:spacing w:val="1"/>
        </w:rPr>
        <w:t>j</w:t>
      </w:r>
      <w:r w:rsidRPr="00AA552A">
        <w:rPr>
          <w:rFonts w:cs="Cambria"/>
          <w:color w:val="000000"/>
        </w:rPr>
        <w:t>u</w:t>
      </w:r>
      <w:r w:rsidRPr="00AA552A">
        <w:rPr>
          <w:rFonts w:cs="Cambria"/>
          <w:color w:val="000000"/>
          <w:spacing w:val="-1"/>
        </w:rPr>
        <w:t>v</w:t>
      </w:r>
      <w:r w:rsidRPr="00AA552A">
        <w:rPr>
          <w:rFonts w:cs="Cambria"/>
          <w:color w:val="000000"/>
          <w:spacing w:val="1"/>
        </w:rPr>
        <w:t>e</w:t>
      </w:r>
      <w:r w:rsidRPr="00AA552A">
        <w:rPr>
          <w:rFonts w:cs="Cambria"/>
          <w:color w:val="000000"/>
        </w:rPr>
        <w:t>n</w:t>
      </w:r>
      <w:r w:rsidRPr="00AA552A">
        <w:rPr>
          <w:rFonts w:cs="Cambria"/>
          <w:color w:val="000000"/>
          <w:spacing w:val="1"/>
        </w:rPr>
        <w:t>i</w:t>
      </w:r>
      <w:r w:rsidRPr="00AA552A">
        <w:rPr>
          <w:rFonts w:cs="Cambria"/>
          <w:color w:val="000000"/>
        </w:rPr>
        <w:t>l</w:t>
      </w:r>
      <w:r w:rsidRPr="00AA552A">
        <w:rPr>
          <w:rFonts w:cs="Cambria"/>
          <w:color w:val="000000"/>
          <w:spacing w:val="1"/>
        </w:rPr>
        <w:t>e</w:t>
      </w:r>
      <w:r w:rsidRPr="00AA552A">
        <w:rPr>
          <w:rFonts w:cs="Cambria"/>
          <w:color w:val="000000"/>
        </w:rPr>
        <w:t>s</w:t>
      </w:r>
      <w:r w:rsidRPr="00AA552A">
        <w:rPr>
          <w:rFonts w:cs="Cambria"/>
          <w:color w:val="000000"/>
          <w:spacing w:val="-4"/>
        </w:rPr>
        <w:t xml:space="preserve"> </w:t>
      </w:r>
      <w:r w:rsidRPr="00AA552A">
        <w:rPr>
          <w:rFonts w:cs="Cambria"/>
          <w:color w:val="000000"/>
          <w:spacing w:val="1"/>
        </w:rPr>
        <w:t>M</w:t>
      </w:r>
      <w:r w:rsidRPr="00AA552A">
        <w:rPr>
          <w:rFonts w:cs="Cambria"/>
          <w:color w:val="000000"/>
        </w:rPr>
        <w:t>a</w:t>
      </w:r>
      <w:r w:rsidRPr="00AA552A">
        <w:rPr>
          <w:rFonts w:cs="Cambria"/>
          <w:color w:val="000000"/>
          <w:spacing w:val="-1"/>
        </w:rPr>
        <w:t>y</w:t>
      </w:r>
      <w:r w:rsidRPr="00AA552A">
        <w:rPr>
          <w:rFonts w:cs="Cambria"/>
          <w:color w:val="000000"/>
        </w:rPr>
        <w:t>-</w:t>
      </w:r>
      <w:r w:rsidRPr="00AA552A">
        <w:rPr>
          <w:rFonts w:cs="Cambria"/>
          <w:color w:val="000000"/>
          <w:spacing w:val="1"/>
        </w:rPr>
        <w:t>J</w:t>
      </w:r>
      <w:r w:rsidRPr="00AA552A">
        <w:rPr>
          <w:rFonts w:cs="Cambria"/>
          <w:color w:val="000000"/>
          <w:spacing w:val="-1"/>
        </w:rPr>
        <w:t>u</w:t>
      </w:r>
      <w:r w:rsidRPr="00AA552A">
        <w:rPr>
          <w:rFonts w:cs="Cambria"/>
          <w:color w:val="000000"/>
        </w:rPr>
        <w:t>ly</w:t>
      </w:r>
      <w:r w:rsidRPr="00AA552A">
        <w:rPr>
          <w:rFonts w:cs="Cambria"/>
          <w:color w:val="000000"/>
          <w:spacing w:val="-4"/>
        </w:rPr>
        <w:t xml:space="preserve"> </w:t>
      </w:r>
      <w:r w:rsidRPr="00AA552A">
        <w:rPr>
          <w:rFonts w:cs="Cambria"/>
          <w:color w:val="000000"/>
        </w:rPr>
        <w:t>sal</w:t>
      </w:r>
      <w:r w:rsidRPr="00AA552A">
        <w:rPr>
          <w:rFonts w:cs="Cambria"/>
          <w:color w:val="000000"/>
          <w:spacing w:val="1"/>
        </w:rPr>
        <w:t>i</w:t>
      </w:r>
      <w:r w:rsidRPr="00AA552A">
        <w:rPr>
          <w:rFonts w:cs="Cambria"/>
          <w:color w:val="000000"/>
        </w:rPr>
        <w:t>n</w:t>
      </w:r>
      <w:r w:rsidRPr="00AA552A">
        <w:rPr>
          <w:rFonts w:cs="Cambria"/>
          <w:color w:val="000000"/>
          <w:spacing w:val="1"/>
        </w:rPr>
        <w:t>i</w:t>
      </w:r>
      <w:r w:rsidRPr="00AA552A">
        <w:rPr>
          <w:rFonts w:cs="Cambria"/>
          <w:color w:val="000000"/>
        </w:rPr>
        <w:t>ty</w:t>
      </w:r>
      <w:r w:rsidRPr="00AA552A">
        <w:rPr>
          <w:rFonts w:cs="Cambria"/>
          <w:color w:val="000000"/>
          <w:spacing w:val="-5"/>
        </w:rPr>
        <w:t xml:space="preserve"> </w:t>
      </w:r>
      <w:r w:rsidRPr="00AA552A">
        <w:rPr>
          <w:rFonts w:cs="Cambria"/>
          <w:color w:val="000000"/>
          <w:spacing w:val="-1"/>
        </w:rPr>
        <w:t>&gt;25</w:t>
      </w:r>
      <w:r w:rsidRPr="00AA552A">
        <w:rPr>
          <w:rFonts w:cs="Cambria"/>
          <w:color w:val="000000"/>
          <w:spacing w:val="1"/>
        </w:rPr>
        <w:t>pp</w:t>
      </w:r>
      <w:r w:rsidRPr="00AA552A">
        <w:rPr>
          <w:rFonts w:cs="Cambria"/>
          <w:color w:val="000000"/>
        </w:rPr>
        <w:t>t).</w:t>
      </w:r>
    </w:p>
    <w:p w14:paraId="4C2DDE66" w14:textId="77777777" w:rsidR="00DC4922" w:rsidRPr="00416614" w:rsidRDefault="00DC4922" w:rsidP="00DC4922">
      <w:pPr>
        <w:rPr>
          <w:color w:val="000000"/>
        </w:rPr>
      </w:pPr>
    </w:p>
    <w:p w14:paraId="16B9BA96" w14:textId="77777777" w:rsidR="00DC4922" w:rsidRPr="00EB603B" w:rsidRDefault="00DC4922" w:rsidP="00DC4922">
      <w:pPr>
        <w:rPr>
          <w:b/>
          <w:color w:val="000000"/>
        </w:rPr>
      </w:pPr>
      <w:r w:rsidRPr="00EB603B">
        <w:rPr>
          <w:b/>
          <w:color w:val="000000"/>
        </w:rPr>
        <w:t>Gold</w:t>
      </w:r>
      <w:r w:rsidRPr="00EB603B">
        <w:rPr>
          <w:b/>
          <w:color w:val="000000"/>
          <w:spacing w:val="1"/>
        </w:rPr>
        <w:t>e</w:t>
      </w:r>
      <w:r w:rsidRPr="00EB603B">
        <w:rPr>
          <w:b/>
          <w:color w:val="000000"/>
        </w:rPr>
        <w:t>n Cr</w:t>
      </w:r>
      <w:r w:rsidRPr="00EB603B">
        <w:rPr>
          <w:b/>
          <w:color w:val="000000"/>
          <w:spacing w:val="1"/>
        </w:rPr>
        <w:t>a</w:t>
      </w:r>
      <w:r w:rsidRPr="00EB603B">
        <w:rPr>
          <w:b/>
          <w:color w:val="000000"/>
        </w:rPr>
        <w:t>b F</w:t>
      </w:r>
      <w:r w:rsidRPr="00EB603B">
        <w:rPr>
          <w:b/>
          <w:color w:val="000000"/>
          <w:spacing w:val="-1"/>
        </w:rPr>
        <w:t>M</w:t>
      </w:r>
      <w:r w:rsidRPr="00EB603B">
        <w:rPr>
          <w:b/>
          <w:color w:val="000000"/>
        </w:rPr>
        <w:t>P</w:t>
      </w:r>
    </w:p>
    <w:p w14:paraId="6E37C390" w14:textId="77777777" w:rsidR="00DC4922" w:rsidRPr="006C053C" w:rsidRDefault="00DC4922" w:rsidP="00640526">
      <w:pPr>
        <w:ind w:firstLine="360"/>
        <w:rPr>
          <w:rFonts w:cs="Cambria"/>
          <w:color w:val="000000"/>
        </w:rPr>
      </w:pP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nt</w:t>
      </w:r>
      <w:r w:rsidRPr="00AA552A">
        <w:rPr>
          <w:rFonts w:cs="Cambria"/>
          <w:color w:val="000000"/>
          <w:spacing w:val="1"/>
        </w:rPr>
        <w:t>i</w:t>
      </w:r>
      <w:r w:rsidRPr="00AA552A">
        <w:rPr>
          <w:rFonts w:cs="Cambria"/>
          <w:color w:val="000000"/>
        </w:rPr>
        <w:t>al</w:t>
      </w:r>
      <w:r w:rsidRPr="00AA552A">
        <w:rPr>
          <w:rFonts w:cs="Cambria"/>
          <w:color w:val="000000"/>
          <w:spacing w:val="-4"/>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ha</w:t>
      </w:r>
      <w:r w:rsidRPr="00AA552A">
        <w:rPr>
          <w:rFonts w:cs="Cambria"/>
          <w:color w:val="000000"/>
          <w:spacing w:val="-2"/>
        </w:rPr>
        <w:t>b</w:t>
      </w:r>
      <w:r w:rsidRPr="00AA552A">
        <w:rPr>
          <w:rFonts w:cs="Cambria"/>
          <w:color w:val="000000"/>
          <w:spacing w:val="1"/>
        </w:rPr>
        <w:t>i</w:t>
      </w:r>
      <w:r w:rsidRPr="00AA552A">
        <w:rPr>
          <w:rFonts w:cs="Cambria"/>
          <w:color w:val="000000"/>
        </w:rPr>
        <w:t>tat</w:t>
      </w:r>
      <w:r w:rsidRPr="00AA552A">
        <w:rPr>
          <w:rFonts w:cs="Cambria"/>
          <w:color w:val="000000"/>
          <w:spacing w:val="-2"/>
        </w:rPr>
        <w:t xml:space="preserve"> </w:t>
      </w:r>
      <w:r w:rsidRPr="00AA552A">
        <w:rPr>
          <w:rFonts w:cs="Cambria"/>
          <w:color w:val="000000"/>
          <w:spacing w:val="-1"/>
        </w:rPr>
        <w:t>f</w:t>
      </w:r>
      <w:r w:rsidRPr="00AA552A">
        <w:rPr>
          <w:rFonts w:cs="Cambria"/>
          <w:color w:val="000000"/>
          <w:spacing w:val="-3"/>
        </w:rPr>
        <w:t>o</w:t>
      </w:r>
      <w:r w:rsidRPr="00AA552A">
        <w:rPr>
          <w:rFonts w:cs="Cambria"/>
          <w:color w:val="000000"/>
        </w:rPr>
        <w:t>r</w:t>
      </w:r>
      <w:r w:rsidRPr="00AA552A">
        <w:rPr>
          <w:rFonts w:cs="Cambria"/>
          <w:color w:val="000000"/>
          <w:spacing w:val="-4"/>
        </w:rPr>
        <w:t xml:space="preserve"> </w:t>
      </w:r>
      <w:r w:rsidRPr="00AA552A">
        <w:rPr>
          <w:rFonts w:cs="Cambria"/>
          <w:color w:val="000000"/>
          <w:spacing w:val="-1"/>
        </w:rPr>
        <w:t>g</w:t>
      </w:r>
      <w:r w:rsidRPr="00AA552A">
        <w:rPr>
          <w:rFonts w:cs="Cambria"/>
          <w:color w:val="000000"/>
        </w:rPr>
        <w:t>o</w:t>
      </w:r>
      <w:r w:rsidRPr="00AA552A">
        <w:rPr>
          <w:rFonts w:cs="Cambria"/>
          <w:color w:val="000000"/>
          <w:spacing w:val="2"/>
        </w:rPr>
        <w:t>l</w:t>
      </w:r>
      <w:r w:rsidRPr="00AA552A">
        <w:rPr>
          <w:rFonts w:cs="Cambria"/>
          <w:color w:val="000000"/>
          <w:spacing w:val="-1"/>
        </w:rPr>
        <w:t>d</w:t>
      </w:r>
      <w:r w:rsidRPr="00AA552A">
        <w:rPr>
          <w:rFonts w:cs="Cambria"/>
          <w:color w:val="000000"/>
          <w:spacing w:val="1"/>
        </w:rPr>
        <w:t>e</w:t>
      </w:r>
      <w:r w:rsidRPr="00AA552A">
        <w:rPr>
          <w:rFonts w:cs="Cambria"/>
          <w:color w:val="000000"/>
        </w:rPr>
        <w:t>n</w:t>
      </w:r>
      <w:r w:rsidRPr="00AA552A">
        <w:rPr>
          <w:rFonts w:cs="Cambria"/>
          <w:color w:val="000000"/>
          <w:spacing w:val="-4"/>
        </w:rPr>
        <w:t xml:space="preserve"> </w:t>
      </w:r>
      <w:r w:rsidRPr="00AA552A">
        <w:rPr>
          <w:rFonts w:cs="Cambria"/>
          <w:color w:val="000000"/>
        </w:rPr>
        <w:t>c</w:t>
      </w:r>
      <w:r w:rsidRPr="00AA552A">
        <w:rPr>
          <w:rFonts w:cs="Cambria"/>
          <w:color w:val="000000"/>
          <w:spacing w:val="-1"/>
        </w:rPr>
        <w:t>r</w:t>
      </w:r>
      <w:r w:rsidRPr="00AA552A">
        <w:rPr>
          <w:rFonts w:cs="Cambria"/>
          <w:color w:val="000000"/>
        </w:rPr>
        <w:t>ab</w:t>
      </w:r>
      <w:r w:rsidRPr="00AA552A">
        <w:rPr>
          <w:rFonts w:cs="Cambria"/>
          <w:color w:val="000000"/>
          <w:spacing w:val="-1"/>
        </w:rPr>
        <w:t xml:space="preserve"> </w:t>
      </w:r>
      <w:r w:rsidRPr="00AA552A">
        <w:rPr>
          <w:rFonts w:cs="Cambria"/>
          <w:color w:val="000000"/>
          <w:spacing w:val="1"/>
        </w:rPr>
        <w:t>i</w:t>
      </w:r>
      <w:r w:rsidRPr="00AA552A">
        <w:rPr>
          <w:rFonts w:cs="Cambria"/>
          <w:color w:val="000000"/>
        </w:rPr>
        <w:t>ncl</w:t>
      </w:r>
      <w:r w:rsidRPr="00AA552A">
        <w:rPr>
          <w:rFonts w:cs="Cambria"/>
          <w:color w:val="000000"/>
          <w:spacing w:val="-1"/>
        </w:rPr>
        <w:t>ud</w:t>
      </w:r>
      <w:r w:rsidRPr="00AA552A">
        <w:rPr>
          <w:rFonts w:cs="Cambria"/>
          <w:color w:val="000000"/>
          <w:spacing w:val="1"/>
        </w:rPr>
        <w:t>e</w:t>
      </w:r>
      <w:r w:rsidRPr="00AA552A">
        <w:rPr>
          <w:rFonts w:cs="Cambria"/>
          <w:color w:val="000000"/>
        </w:rPr>
        <w:t>s</w:t>
      </w:r>
      <w:r w:rsidRPr="00AA552A">
        <w:rPr>
          <w:rFonts w:cs="Cambria"/>
          <w:color w:val="000000"/>
          <w:spacing w:val="-5"/>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U</w:t>
      </w:r>
      <w:r w:rsidRPr="00AA552A">
        <w:rPr>
          <w:rFonts w:cs="Cambria"/>
          <w:color w:val="000000"/>
          <w:spacing w:val="1"/>
        </w:rPr>
        <w:t>.</w:t>
      </w:r>
      <w:r w:rsidRPr="00AA552A">
        <w:rPr>
          <w:rFonts w:cs="Cambria"/>
          <w:color w:val="000000"/>
          <w:spacing w:val="-1"/>
        </w:rPr>
        <w:t>S</w:t>
      </w:r>
      <w:r w:rsidRPr="00AA552A">
        <w:rPr>
          <w:rFonts w:cs="Cambria"/>
          <w:color w:val="000000"/>
        </w:rPr>
        <w:t>.</w:t>
      </w:r>
      <w:r w:rsidRPr="00AA552A">
        <w:rPr>
          <w:rFonts w:cs="Cambria"/>
          <w:color w:val="000000"/>
          <w:spacing w:val="-1"/>
        </w:rPr>
        <w:t xml:space="preserve"> C</w:t>
      </w:r>
      <w:r w:rsidRPr="00AA552A">
        <w:rPr>
          <w:rFonts w:cs="Cambria"/>
          <w:color w:val="000000"/>
        </w:rPr>
        <w:t>ont</w:t>
      </w:r>
      <w:r w:rsidRPr="00AA552A">
        <w:rPr>
          <w:rFonts w:cs="Cambria"/>
          <w:color w:val="000000"/>
          <w:spacing w:val="1"/>
        </w:rPr>
        <w:t>i</w:t>
      </w:r>
      <w:r w:rsidRPr="00AA552A">
        <w:rPr>
          <w:rFonts w:cs="Cambria"/>
          <w:color w:val="000000"/>
        </w:rPr>
        <w:t>n</w:t>
      </w:r>
      <w:r w:rsidRPr="00AA552A">
        <w:rPr>
          <w:rFonts w:cs="Cambria"/>
          <w:color w:val="000000"/>
          <w:spacing w:val="1"/>
        </w:rPr>
        <w:t>e</w:t>
      </w:r>
      <w:r w:rsidRPr="00AA552A">
        <w:rPr>
          <w:rFonts w:cs="Cambria"/>
          <w:color w:val="000000"/>
          <w:spacing w:val="-2"/>
        </w:rPr>
        <w:t>n</w:t>
      </w:r>
      <w:r w:rsidRPr="00AA552A">
        <w:rPr>
          <w:rFonts w:cs="Cambria"/>
          <w:color w:val="000000"/>
        </w:rPr>
        <w:t>tal</w:t>
      </w:r>
      <w:r w:rsidRPr="00AA552A">
        <w:rPr>
          <w:rFonts w:cs="Cambria"/>
          <w:color w:val="000000"/>
          <w:spacing w:val="-4"/>
        </w:rPr>
        <w:t xml:space="preserve"> </w:t>
      </w:r>
      <w:r w:rsidRPr="00AA552A">
        <w:rPr>
          <w:rFonts w:cs="Cambria"/>
          <w:color w:val="000000"/>
          <w:spacing w:val="1"/>
        </w:rPr>
        <w:t>S</w:t>
      </w:r>
      <w:r w:rsidRPr="00AA552A">
        <w:rPr>
          <w:rFonts w:cs="Cambria"/>
          <w:color w:val="000000"/>
        </w:rPr>
        <w:t>h</w:t>
      </w:r>
      <w:r w:rsidRPr="00AA552A">
        <w:rPr>
          <w:rFonts w:cs="Cambria"/>
          <w:color w:val="000000"/>
          <w:spacing w:val="1"/>
        </w:rPr>
        <w:t>e</w:t>
      </w:r>
      <w:r w:rsidRPr="00AA552A">
        <w:rPr>
          <w:rFonts w:cs="Cambria"/>
          <w:color w:val="000000"/>
          <w:spacing w:val="-3"/>
        </w:rPr>
        <w:t>l</w:t>
      </w:r>
      <w:r w:rsidRPr="00AA552A">
        <w:rPr>
          <w:rFonts w:cs="Cambria"/>
          <w:color w:val="000000"/>
        </w:rPr>
        <w:t>f</w:t>
      </w:r>
      <w:r w:rsidRPr="00AA552A">
        <w:rPr>
          <w:rFonts w:cs="Cambria"/>
          <w:color w:val="000000"/>
          <w:spacing w:val="-4"/>
        </w:rPr>
        <w:t xml:space="preserve"> </w:t>
      </w:r>
      <w:r w:rsidRPr="00AA552A">
        <w:rPr>
          <w:rFonts w:cs="Cambria"/>
          <w:color w:val="000000"/>
          <w:spacing w:val="-1"/>
        </w:rPr>
        <w:t>fr</w:t>
      </w:r>
      <w:r w:rsidRPr="00AA552A">
        <w:rPr>
          <w:rFonts w:cs="Cambria"/>
          <w:color w:val="000000"/>
        </w:rPr>
        <w:t>om</w:t>
      </w:r>
      <w:r w:rsidRPr="00AA552A">
        <w:rPr>
          <w:rFonts w:cs="Cambria"/>
          <w:color w:val="000000"/>
          <w:spacing w:val="-1"/>
        </w:rPr>
        <w:t xml:space="preserve"> C</w:t>
      </w:r>
      <w:r w:rsidRPr="00AA552A">
        <w:rPr>
          <w:rFonts w:cs="Cambria"/>
          <w:color w:val="000000"/>
        </w:rPr>
        <w:t>h</w:t>
      </w:r>
      <w:r w:rsidRPr="00AA552A">
        <w:rPr>
          <w:rFonts w:cs="Cambria"/>
          <w:color w:val="000000"/>
          <w:spacing w:val="1"/>
        </w:rPr>
        <w:t>e</w:t>
      </w:r>
      <w:r w:rsidRPr="00AA552A">
        <w:rPr>
          <w:rFonts w:cs="Cambria"/>
          <w:color w:val="000000"/>
        </w:rPr>
        <w:t>sa</w:t>
      </w:r>
      <w:r w:rsidRPr="00AA552A">
        <w:rPr>
          <w:rFonts w:cs="Cambria"/>
          <w:color w:val="000000"/>
          <w:spacing w:val="1"/>
        </w:rPr>
        <w:t>pe</w:t>
      </w:r>
      <w:r w:rsidRPr="00AA552A">
        <w:rPr>
          <w:rFonts w:cs="Cambria"/>
          <w:color w:val="000000"/>
        </w:rPr>
        <w:t>a</w:t>
      </w:r>
      <w:r w:rsidRPr="00AA552A">
        <w:rPr>
          <w:rFonts w:cs="Cambria"/>
          <w:color w:val="000000"/>
          <w:spacing w:val="-1"/>
        </w:rPr>
        <w:t>k</w:t>
      </w:r>
      <w:r w:rsidRPr="00AA552A">
        <w:rPr>
          <w:rFonts w:cs="Cambria"/>
          <w:color w:val="000000"/>
        </w:rPr>
        <w:t>e</w:t>
      </w:r>
      <w:r w:rsidRPr="00AA552A">
        <w:rPr>
          <w:rFonts w:cs="Cambria"/>
          <w:color w:val="000000"/>
          <w:spacing w:val="-6"/>
        </w:rPr>
        <w:t xml:space="preserve"> </w:t>
      </w:r>
      <w:r w:rsidRPr="00AA552A">
        <w:rPr>
          <w:rFonts w:cs="Cambria"/>
          <w:color w:val="000000"/>
        </w:rPr>
        <w:t>Bay south</w:t>
      </w:r>
      <w:r w:rsidRPr="00AA552A">
        <w:rPr>
          <w:rFonts w:cs="Cambria"/>
          <w:color w:val="000000"/>
          <w:spacing w:val="-4"/>
        </w:rPr>
        <w:t xml:space="preserve"> </w:t>
      </w:r>
      <w:r w:rsidRPr="00AA552A">
        <w:rPr>
          <w:rFonts w:cs="Cambria"/>
          <w:color w:val="000000"/>
        </w:rPr>
        <w:t>th</w:t>
      </w:r>
      <w:r w:rsidRPr="00AA552A">
        <w:rPr>
          <w:rFonts w:cs="Cambria"/>
          <w:color w:val="000000"/>
          <w:spacing w:val="-1"/>
        </w:rPr>
        <w:t>r</w:t>
      </w:r>
      <w:r w:rsidRPr="00AA552A">
        <w:rPr>
          <w:rFonts w:cs="Cambria"/>
          <w:color w:val="000000"/>
        </w:rPr>
        <w:t>ou</w:t>
      </w:r>
      <w:r w:rsidRPr="00AA552A">
        <w:rPr>
          <w:rFonts w:cs="Cambria"/>
          <w:color w:val="000000"/>
          <w:spacing w:val="1"/>
        </w:rPr>
        <w:t>g</w:t>
      </w:r>
      <w:r w:rsidRPr="00AA552A">
        <w:rPr>
          <w:rFonts w:cs="Cambria"/>
          <w:color w:val="000000"/>
        </w:rPr>
        <w:t>h</w:t>
      </w:r>
      <w:r w:rsidRPr="00AA552A">
        <w:rPr>
          <w:rFonts w:cs="Cambria"/>
          <w:color w:val="000000"/>
          <w:spacing w:val="-5"/>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3"/>
        </w:rPr>
        <w:t>i</w:t>
      </w:r>
      <w:r w:rsidRPr="00AA552A">
        <w:rPr>
          <w:rFonts w:cs="Cambria"/>
          <w:color w:val="000000"/>
          <w:spacing w:val="-1"/>
        </w:rPr>
        <w:t>d</w:t>
      </w:r>
      <w:r w:rsidRPr="00AA552A">
        <w:rPr>
          <w:rFonts w:cs="Cambria"/>
          <w:color w:val="000000"/>
        </w:rPr>
        <w:t>a</w:t>
      </w:r>
      <w:r w:rsidRPr="00AA552A">
        <w:rPr>
          <w:rFonts w:cs="Cambria"/>
          <w:color w:val="000000"/>
          <w:spacing w:val="-6"/>
        </w:rPr>
        <w:t xml:space="preserve"> </w:t>
      </w:r>
      <w:r w:rsidRPr="00AA552A">
        <w:rPr>
          <w:rFonts w:cs="Cambria"/>
          <w:color w:val="000000"/>
          <w:spacing w:val="1"/>
        </w:rPr>
        <w:t>S</w:t>
      </w:r>
      <w:r w:rsidRPr="00AA552A">
        <w:rPr>
          <w:rFonts w:cs="Cambria"/>
          <w:color w:val="000000"/>
        </w:rPr>
        <w:t>t</w:t>
      </w:r>
      <w:r w:rsidRPr="00AA552A">
        <w:rPr>
          <w:rFonts w:cs="Cambria"/>
          <w:color w:val="000000"/>
          <w:spacing w:val="-1"/>
        </w:rPr>
        <w:t>r</w:t>
      </w:r>
      <w:r w:rsidRPr="00AA552A">
        <w:rPr>
          <w:rFonts w:cs="Cambria"/>
          <w:color w:val="000000"/>
        </w:rPr>
        <w:t>a</w:t>
      </w:r>
      <w:r w:rsidRPr="00AA552A">
        <w:rPr>
          <w:rFonts w:cs="Cambria"/>
          <w:color w:val="000000"/>
          <w:spacing w:val="1"/>
        </w:rPr>
        <w:t>i</w:t>
      </w:r>
      <w:r w:rsidRPr="00AA552A">
        <w:rPr>
          <w:rFonts w:cs="Cambria"/>
          <w:color w:val="000000"/>
        </w:rPr>
        <w:t>ts</w:t>
      </w:r>
      <w:r w:rsidRPr="00AA552A">
        <w:rPr>
          <w:rFonts w:cs="Cambria"/>
          <w:color w:val="000000"/>
          <w:spacing w:val="-3"/>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i</w:t>
      </w:r>
      <w:r w:rsidRPr="00AA552A">
        <w:rPr>
          <w:rFonts w:cs="Cambria"/>
          <w:color w:val="000000"/>
        </w:rPr>
        <w:t>nto</w:t>
      </w:r>
      <w:r w:rsidRPr="00AA552A">
        <w:rPr>
          <w:rFonts w:cs="Cambria"/>
          <w:color w:val="000000"/>
          <w:spacing w:val="-2"/>
        </w:rPr>
        <w:t xml:space="preserve"> </w:t>
      </w:r>
      <w:r w:rsidRPr="00AA552A">
        <w:rPr>
          <w:rFonts w:cs="Cambria"/>
          <w:color w:val="000000"/>
        </w:rPr>
        <w:t>the</w:t>
      </w:r>
      <w:r w:rsidRPr="00AA552A">
        <w:rPr>
          <w:rFonts w:cs="Cambria"/>
          <w:color w:val="000000"/>
          <w:spacing w:val="-4"/>
        </w:rPr>
        <w:t xml:space="preserve"> </w:t>
      </w:r>
      <w:r w:rsidRPr="00AA552A">
        <w:rPr>
          <w:rFonts w:cs="Cambria"/>
          <w:color w:val="000000"/>
        </w:rPr>
        <w:t>Gulf</w:t>
      </w:r>
      <w:r w:rsidRPr="00AA552A">
        <w:rPr>
          <w:rFonts w:cs="Cambria"/>
          <w:color w:val="000000"/>
          <w:spacing w:val="-3"/>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Me</w:t>
      </w:r>
      <w:r w:rsidRPr="00AA552A">
        <w:rPr>
          <w:rFonts w:cs="Cambria"/>
          <w:color w:val="000000"/>
          <w:spacing w:val="-1"/>
        </w:rPr>
        <w:t>x</w:t>
      </w:r>
      <w:r w:rsidRPr="00AA552A">
        <w:rPr>
          <w:rFonts w:cs="Cambria"/>
          <w:color w:val="000000"/>
          <w:spacing w:val="1"/>
        </w:rPr>
        <w:t>i</w:t>
      </w:r>
      <w:r w:rsidRPr="00AA552A">
        <w:rPr>
          <w:rFonts w:cs="Cambria"/>
          <w:color w:val="000000"/>
        </w:rPr>
        <w:t>co).</w:t>
      </w:r>
      <w:r w:rsidRPr="00AA552A">
        <w:rPr>
          <w:rFonts w:cs="Cambria"/>
          <w:color w:val="000000"/>
          <w:spacing w:val="48"/>
        </w:rPr>
        <w:t xml:space="preserve"> </w:t>
      </w:r>
      <w:r w:rsidRPr="00AA552A">
        <w:rPr>
          <w:rFonts w:cs="Cambria"/>
          <w:color w:val="000000"/>
          <w:spacing w:val="-1"/>
        </w:rPr>
        <w:t>I</w:t>
      </w:r>
      <w:r w:rsidRPr="00AA552A">
        <w:rPr>
          <w:rFonts w:cs="Cambria"/>
          <w:color w:val="000000"/>
        </w:rPr>
        <w:t>n a</w:t>
      </w:r>
      <w:r w:rsidRPr="00AA552A">
        <w:rPr>
          <w:rFonts w:cs="Cambria"/>
          <w:color w:val="000000"/>
          <w:spacing w:val="1"/>
        </w:rPr>
        <w:t>d</w:t>
      </w:r>
      <w:r w:rsidRPr="00AA552A">
        <w:rPr>
          <w:rFonts w:cs="Cambria"/>
          <w:color w:val="000000"/>
          <w:spacing w:val="-1"/>
        </w:rPr>
        <w:t>d</w:t>
      </w:r>
      <w:r w:rsidRPr="00AA552A">
        <w:rPr>
          <w:rFonts w:cs="Cambria"/>
          <w:color w:val="000000"/>
          <w:spacing w:val="1"/>
        </w:rPr>
        <w:t>i</w:t>
      </w:r>
      <w:r w:rsidRPr="00AA552A">
        <w:rPr>
          <w:rFonts w:cs="Cambria"/>
          <w:color w:val="000000"/>
        </w:rPr>
        <w:t>t</w:t>
      </w:r>
      <w:r w:rsidRPr="00AA552A">
        <w:rPr>
          <w:rFonts w:cs="Cambria"/>
          <w:color w:val="000000"/>
          <w:spacing w:val="1"/>
        </w:rPr>
        <w:t>i</w:t>
      </w:r>
      <w:r w:rsidRPr="00AA552A">
        <w:rPr>
          <w:rFonts w:cs="Cambria"/>
          <w:color w:val="000000"/>
        </w:rPr>
        <w:t>on,</w:t>
      </w:r>
      <w:r w:rsidRPr="00AA552A">
        <w:rPr>
          <w:rFonts w:cs="Cambria"/>
          <w:color w:val="000000"/>
          <w:spacing w:val="-4"/>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Gulf</w:t>
      </w:r>
      <w:r w:rsidRPr="00AA552A">
        <w:rPr>
          <w:rFonts w:cs="Cambria"/>
          <w:color w:val="000000"/>
          <w:spacing w:val="-3"/>
        </w:rPr>
        <w:t xml:space="preserve"> </w:t>
      </w:r>
      <w:r w:rsidRPr="00AA552A">
        <w:rPr>
          <w:rFonts w:cs="Cambria"/>
          <w:color w:val="000000"/>
          <w:spacing w:val="1"/>
        </w:rPr>
        <w:t>S</w:t>
      </w:r>
      <w:r w:rsidRPr="00AA552A">
        <w:rPr>
          <w:rFonts w:cs="Cambria"/>
          <w:color w:val="000000"/>
        </w:rPr>
        <w:t>t</w:t>
      </w:r>
      <w:r w:rsidRPr="00AA552A">
        <w:rPr>
          <w:rFonts w:cs="Cambria"/>
          <w:color w:val="000000"/>
          <w:spacing w:val="-1"/>
        </w:rPr>
        <w:t>r</w:t>
      </w:r>
      <w:r w:rsidRPr="00AA552A">
        <w:rPr>
          <w:rFonts w:cs="Cambria"/>
          <w:color w:val="000000"/>
          <w:spacing w:val="1"/>
        </w:rPr>
        <w:t>e</w:t>
      </w:r>
      <w:r w:rsidRPr="00AA552A">
        <w:rPr>
          <w:rFonts w:cs="Cambria"/>
          <w:color w:val="000000"/>
        </w:rPr>
        <w:t>am</w:t>
      </w:r>
      <w:r w:rsidRPr="00AA552A">
        <w:rPr>
          <w:rFonts w:cs="Cambria"/>
          <w:color w:val="000000"/>
          <w:spacing w:val="-2"/>
        </w:rPr>
        <w:t xml:space="preserve"> </w:t>
      </w:r>
      <w:r w:rsidRPr="00AA552A">
        <w:rPr>
          <w:rFonts w:cs="Cambria"/>
          <w:color w:val="000000"/>
          <w:spacing w:val="1"/>
        </w:rPr>
        <w:t>i</w:t>
      </w:r>
      <w:r w:rsidRPr="00AA552A">
        <w:rPr>
          <w:rFonts w:cs="Cambria"/>
          <w:color w:val="000000"/>
        </w:rPr>
        <w:t>s</w:t>
      </w:r>
      <w:r w:rsidRPr="00AA552A">
        <w:rPr>
          <w:rFonts w:cs="Cambria"/>
          <w:color w:val="000000"/>
          <w:spacing w:val="-4"/>
        </w:rPr>
        <w:t xml:space="preserve"> </w:t>
      </w:r>
      <w:r w:rsidRPr="00AA552A">
        <w:rPr>
          <w:rFonts w:cs="Cambria"/>
          <w:color w:val="000000"/>
        </w:rPr>
        <w:t xml:space="preserve">an </w:t>
      </w: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nt</w:t>
      </w:r>
      <w:r w:rsidRPr="00AA552A">
        <w:rPr>
          <w:rFonts w:cs="Cambria"/>
          <w:color w:val="000000"/>
          <w:spacing w:val="1"/>
        </w:rPr>
        <w:t>i</w:t>
      </w:r>
      <w:r w:rsidRPr="00AA552A">
        <w:rPr>
          <w:rFonts w:cs="Cambria"/>
          <w:color w:val="000000"/>
        </w:rPr>
        <w:t>al</w:t>
      </w:r>
      <w:r w:rsidRPr="00AA552A">
        <w:rPr>
          <w:rFonts w:cs="Cambria"/>
          <w:color w:val="000000"/>
          <w:spacing w:val="-5"/>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ha</w:t>
      </w:r>
      <w:r w:rsidRPr="00AA552A">
        <w:rPr>
          <w:rFonts w:cs="Cambria"/>
          <w:color w:val="000000"/>
          <w:spacing w:val="1"/>
        </w:rPr>
        <w:t>bi</w:t>
      </w:r>
      <w:r w:rsidRPr="00AA552A">
        <w:rPr>
          <w:rFonts w:cs="Cambria"/>
          <w:color w:val="000000"/>
          <w:spacing w:val="-2"/>
        </w:rPr>
        <w:t>t</w:t>
      </w:r>
      <w:r w:rsidRPr="00AA552A">
        <w:rPr>
          <w:rFonts w:cs="Cambria"/>
          <w:color w:val="000000"/>
        </w:rPr>
        <w:t>at</w:t>
      </w:r>
      <w:r w:rsidRPr="00AA552A">
        <w:rPr>
          <w:rFonts w:cs="Cambria"/>
          <w:color w:val="000000"/>
          <w:spacing w:val="-2"/>
        </w:rPr>
        <w:t xml:space="preserve"> </w:t>
      </w:r>
      <w:r w:rsidRPr="00AA552A">
        <w:rPr>
          <w:rFonts w:cs="Cambria"/>
          <w:color w:val="000000"/>
          <w:spacing w:val="1"/>
        </w:rPr>
        <w:t>b</w:t>
      </w:r>
      <w:r w:rsidRPr="00AA552A">
        <w:rPr>
          <w:rFonts w:cs="Cambria"/>
          <w:color w:val="000000"/>
          <w:spacing w:val="-2"/>
        </w:rPr>
        <w:t>e</w:t>
      </w:r>
      <w:r w:rsidRPr="00AA552A">
        <w:rPr>
          <w:rFonts w:cs="Cambria"/>
          <w:color w:val="000000"/>
        </w:rPr>
        <w:t>ca</w:t>
      </w:r>
      <w:r w:rsidRPr="00AA552A">
        <w:rPr>
          <w:rFonts w:cs="Cambria"/>
          <w:color w:val="000000"/>
          <w:spacing w:val="-1"/>
        </w:rPr>
        <w:t>u</w:t>
      </w:r>
      <w:r w:rsidRPr="00AA552A">
        <w:rPr>
          <w:rFonts w:cs="Cambria"/>
          <w:color w:val="000000"/>
        </w:rPr>
        <w:t>se</w:t>
      </w:r>
      <w:r w:rsidRPr="00AA552A">
        <w:rPr>
          <w:rFonts w:cs="Cambria"/>
          <w:color w:val="000000"/>
          <w:spacing w:val="-3"/>
        </w:rPr>
        <w:t xml:space="preserve"> </w:t>
      </w:r>
      <w:r w:rsidRPr="00AA552A">
        <w:rPr>
          <w:rFonts w:cs="Cambria"/>
          <w:color w:val="000000"/>
          <w:spacing w:val="1"/>
        </w:rPr>
        <w:t>i</w:t>
      </w:r>
      <w:r w:rsidRPr="00AA552A">
        <w:rPr>
          <w:rFonts w:cs="Cambria"/>
          <w:color w:val="000000"/>
        </w:rPr>
        <w:t>t</w:t>
      </w:r>
      <w:r w:rsidRPr="00AA552A">
        <w:rPr>
          <w:rFonts w:cs="Cambria"/>
          <w:color w:val="000000"/>
          <w:spacing w:val="-1"/>
        </w:rPr>
        <w:t xml:space="preserve"> </w:t>
      </w:r>
      <w:r w:rsidRPr="00AA552A">
        <w:rPr>
          <w:rFonts w:cs="Cambria"/>
          <w:color w:val="000000"/>
          <w:spacing w:val="1"/>
        </w:rPr>
        <w:t>p</w:t>
      </w:r>
      <w:r w:rsidRPr="00AA552A">
        <w:rPr>
          <w:rFonts w:cs="Cambria"/>
          <w:color w:val="000000"/>
          <w:spacing w:val="-1"/>
        </w:rPr>
        <w:t>r</w:t>
      </w:r>
      <w:r w:rsidRPr="00AA552A">
        <w:rPr>
          <w:rFonts w:cs="Cambria"/>
          <w:color w:val="000000"/>
        </w:rPr>
        <w:t>o</w:t>
      </w:r>
      <w:r w:rsidRPr="00AA552A">
        <w:rPr>
          <w:rFonts w:cs="Cambria"/>
          <w:color w:val="000000"/>
          <w:spacing w:val="-1"/>
        </w:rPr>
        <w:t>v</w:t>
      </w:r>
      <w:r w:rsidRPr="00AA552A">
        <w:rPr>
          <w:rFonts w:cs="Cambria"/>
          <w:color w:val="000000"/>
          <w:spacing w:val="1"/>
        </w:rPr>
        <w:t>i</w:t>
      </w:r>
      <w:r w:rsidRPr="00AA552A">
        <w:rPr>
          <w:rFonts w:cs="Cambria"/>
          <w:color w:val="000000"/>
          <w:spacing w:val="-1"/>
        </w:rPr>
        <w:t>d</w:t>
      </w:r>
      <w:r w:rsidRPr="00AA552A">
        <w:rPr>
          <w:rFonts w:cs="Cambria"/>
          <w:color w:val="000000"/>
          <w:spacing w:val="1"/>
        </w:rPr>
        <w:t>e</w:t>
      </w:r>
      <w:r w:rsidRPr="00AA552A">
        <w:rPr>
          <w:rFonts w:cs="Cambria"/>
          <w:color w:val="000000"/>
        </w:rPr>
        <w:t>s</w:t>
      </w:r>
      <w:r w:rsidRPr="00AA552A">
        <w:rPr>
          <w:rFonts w:cs="Cambria"/>
          <w:color w:val="000000"/>
          <w:spacing w:val="-8"/>
        </w:rPr>
        <w:t xml:space="preserve"> </w:t>
      </w:r>
      <w:r w:rsidRPr="00AA552A">
        <w:rPr>
          <w:rFonts w:cs="Cambria"/>
          <w:color w:val="000000"/>
        </w:rPr>
        <w:t>a m</w:t>
      </w:r>
      <w:r w:rsidRPr="00AA552A">
        <w:rPr>
          <w:rFonts w:cs="Cambria"/>
          <w:color w:val="000000"/>
          <w:spacing w:val="1"/>
        </w:rPr>
        <w:t>e</w:t>
      </w:r>
      <w:r w:rsidRPr="00AA552A">
        <w:rPr>
          <w:rFonts w:cs="Cambria"/>
          <w:color w:val="000000"/>
        </w:rPr>
        <w:t>chan</w:t>
      </w:r>
      <w:r w:rsidRPr="00AA552A">
        <w:rPr>
          <w:rFonts w:cs="Cambria"/>
          <w:color w:val="000000"/>
          <w:spacing w:val="1"/>
        </w:rPr>
        <w:t>i</w:t>
      </w:r>
      <w:r w:rsidRPr="00AA552A">
        <w:rPr>
          <w:rFonts w:cs="Cambria"/>
          <w:color w:val="000000"/>
        </w:rPr>
        <w:t>sm</w:t>
      </w:r>
      <w:r w:rsidRPr="00AA552A">
        <w:rPr>
          <w:rFonts w:cs="Cambria"/>
          <w:color w:val="000000"/>
          <w:spacing w:val="-5"/>
        </w:rPr>
        <w:t xml:space="preserve"> </w:t>
      </w:r>
      <w:r w:rsidRPr="00AA552A">
        <w:rPr>
          <w:rFonts w:cs="Cambria"/>
          <w:color w:val="000000"/>
        </w:rPr>
        <w:t>to</w:t>
      </w:r>
      <w:r w:rsidRPr="00AA552A">
        <w:rPr>
          <w:rFonts w:cs="Cambria"/>
          <w:color w:val="000000"/>
          <w:spacing w:val="-1"/>
        </w:rPr>
        <w:t xml:space="preserve"> d</w:t>
      </w:r>
      <w:r w:rsidRPr="00AA552A">
        <w:rPr>
          <w:rFonts w:cs="Cambria"/>
          <w:color w:val="000000"/>
          <w:spacing w:val="1"/>
        </w:rPr>
        <w:t>i</w:t>
      </w:r>
      <w:r w:rsidRPr="00AA552A">
        <w:rPr>
          <w:rFonts w:cs="Cambria"/>
          <w:color w:val="000000"/>
        </w:rPr>
        <w:t>s</w:t>
      </w:r>
      <w:r w:rsidRPr="00AA552A">
        <w:rPr>
          <w:rFonts w:cs="Cambria"/>
          <w:color w:val="000000"/>
          <w:spacing w:val="1"/>
        </w:rPr>
        <w:t>pe</w:t>
      </w:r>
      <w:r w:rsidRPr="00AA552A">
        <w:rPr>
          <w:rFonts w:cs="Cambria"/>
          <w:color w:val="000000"/>
          <w:spacing w:val="-1"/>
        </w:rPr>
        <w:t>r</w:t>
      </w:r>
      <w:r w:rsidRPr="00AA552A">
        <w:rPr>
          <w:rFonts w:cs="Cambria"/>
          <w:color w:val="000000"/>
        </w:rPr>
        <w:t>se</w:t>
      </w:r>
      <w:r w:rsidRPr="00AA552A">
        <w:rPr>
          <w:rFonts w:cs="Cambria"/>
          <w:color w:val="000000"/>
          <w:spacing w:val="-6"/>
        </w:rPr>
        <w:t xml:space="preserve"> </w:t>
      </w:r>
      <w:r w:rsidRPr="00AA552A">
        <w:rPr>
          <w:rFonts w:cs="Cambria"/>
          <w:color w:val="000000"/>
          <w:spacing w:val="-1"/>
        </w:rPr>
        <w:t>g</w:t>
      </w:r>
      <w:r w:rsidRPr="00AA552A">
        <w:rPr>
          <w:rFonts w:cs="Cambria"/>
          <w:color w:val="000000"/>
        </w:rPr>
        <w:t>ol</w:t>
      </w:r>
      <w:r w:rsidRPr="00AA552A">
        <w:rPr>
          <w:rFonts w:cs="Cambria"/>
          <w:color w:val="000000"/>
          <w:spacing w:val="1"/>
        </w:rPr>
        <w:t>de</w:t>
      </w:r>
      <w:r w:rsidRPr="00AA552A">
        <w:rPr>
          <w:rFonts w:cs="Cambria"/>
          <w:color w:val="000000"/>
        </w:rPr>
        <w:t>n</w:t>
      </w:r>
      <w:r w:rsidRPr="00AA552A">
        <w:rPr>
          <w:rFonts w:cs="Cambria"/>
          <w:color w:val="000000"/>
          <w:spacing w:val="-4"/>
        </w:rPr>
        <w:t xml:space="preserve"> </w:t>
      </w:r>
      <w:r w:rsidRPr="00AA552A">
        <w:rPr>
          <w:rFonts w:cs="Cambria"/>
          <w:color w:val="000000"/>
        </w:rPr>
        <w:t>c</w:t>
      </w:r>
      <w:r w:rsidRPr="00AA552A">
        <w:rPr>
          <w:rFonts w:cs="Cambria"/>
          <w:color w:val="000000"/>
          <w:spacing w:val="-1"/>
        </w:rPr>
        <w:t>r</w:t>
      </w:r>
      <w:r w:rsidRPr="00AA552A">
        <w:rPr>
          <w:rFonts w:cs="Cambria"/>
          <w:color w:val="000000"/>
        </w:rPr>
        <w:t>ab</w:t>
      </w:r>
      <w:r w:rsidRPr="00AA552A">
        <w:rPr>
          <w:rFonts w:cs="Cambria"/>
          <w:color w:val="000000"/>
          <w:spacing w:val="-1"/>
        </w:rPr>
        <w:t xml:space="preserve"> </w:t>
      </w:r>
      <w:r w:rsidRPr="00AA552A">
        <w:rPr>
          <w:rFonts w:cs="Cambria"/>
          <w:color w:val="000000"/>
        </w:rPr>
        <w:t>la</w:t>
      </w:r>
      <w:r w:rsidRPr="00AA552A">
        <w:rPr>
          <w:rFonts w:cs="Cambria"/>
          <w:color w:val="000000"/>
          <w:spacing w:val="-1"/>
        </w:rPr>
        <w:t>rv</w:t>
      </w:r>
      <w:r w:rsidRPr="00AA552A">
        <w:rPr>
          <w:rFonts w:cs="Cambria"/>
          <w:color w:val="000000"/>
        </w:rPr>
        <w:t>a</w:t>
      </w:r>
      <w:r w:rsidRPr="00AA552A">
        <w:rPr>
          <w:rFonts w:cs="Cambria"/>
          <w:color w:val="000000"/>
          <w:spacing w:val="1"/>
        </w:rPr>
        <w:t>e</w:t>
      </w:r>
      <w:r w:rsidRPr="00AA552A">
        <w:rPr>
          <w:rFonts w:cs="Cambria"/>
          <w:color w:val="000000"/>
        </w:rPr>
        <w:t>.</w:t>
      </w:r>
      <w:r w:rsidRPr="00AA552A">
        <w:rPr>
          <w:rFonts w:cs="Cambria"/>
          <w:color w:val="000000"/>
          <w:spacing w:val="50"/>
        </w:rPr>
        <w:t xml:space="preserve"> </w:t>
      </w:r>
      <w:r w:rsidRPr="00AA552A">
        <w:rPr>
          <w:rFonts w:cs="Cambria"/>
          <w:color w:val="000000"/>
          <w:spacing w:val="-1"/>
          <w:w w:val="99"/>
        </w:rPr>
        <w:t>T</w:t>
      </w:r>
      <w:r w:rsidRPr="00AA552A">
        <w:rPr>
          <w:rFonts w:cs="Cambria"/>
          <w:color w:val="000000"/>
          <w:w w:val="99"/>
        </w:rPr>
        <w:t xml:space="preserve">he </w:t>
      </w:r>
      <w:r w:rsidRPr="00AA552A">
        <w:rPr>
          <w:rFonts w:cs="Cambria"/>
          <w:color w:val="000000"/>
          <w:spacing w:val="-1"/>
          <w:w w:val="99"/>
        </w:rPr>
        <w:t>d</w:t>
      </w:r>
      <w:r w:rsidRPr="00AA552A">
        <w:rPr>
          <w:rFonts w:cs="Cambria"/>
          <w:color w:val="000000"/>
          <w:spacing w:val="1"/>
          <w:w w:val="99"/>
        </w:rPr>
        <w:t>e</w:t>
      </w:r>
      <w:r w:rsidRPr="00AA552A">
        <w:rPr>
          <w:rFonts w:cs="Cambria"/>
          <w:color w:val="000000"/>
        </w:rPr>
        <w:t>ta</w:t>
      </w:r>
      <w:r w:rsidRPr="00AA552A">
        <w:rPr>
          <w:rFonts w:cs="Cambria"/>
          <w:color w:val="000000"/>
          <w:spacing w:val="1"/>
          <w:w w:val="99"/>
        </w:rPr>
        <w:t>i</w:t>
      </w:r>
      <w:r w:rsidRPr="00AA552A">
        <w:rPr>
          <w:rFonts w:cs="Cambria"/>
          <w:color w:val="000000"/>
        </w:rPr>
        <w:t>l</w:t>
      </w:r>
      <w:r w:rsidRPr="00AA552A">
        <w:rPr>
          <w:rFonts w:cs="Cambria"/>
          <w:color w:val="000000"/>
          <w:spacing w:val="1"/>
          <w:w w:val="99"/>
        </w:rPr>
        <w:t>e</w:t>
      </w:r>
      <w:r w:rsidRPr="00AA552A">
        <w:rPr>
          <w:rFonts w:cs="Cambria"/>
          <w:color w:val="000000"/>
          <w:w w:val="99"/>
        </w:rPr>
        <w:t>d</w:t>
      </w:r>
      <w:r w:rsidRPr="00AA552A">
        <w:rPr>
          <w:rFonts w:cs="Cambria"/>
          <w:color w:val="000000"/>
          <w:spacing w:val="-1"/>
        </w:rPr>
        <w:t xml:space="preserve"> d</w:t>
      </w:r>
      <w:r w:rsidRPr="00AA552A">
        <w:rPr>
          <w:rFonts w:cs="Cambria"/>
          <w:color w:val="000000"/>
          <w:spacing w:val="1"/>
        </w:rPr>
        <w:t>e</w:t>
      </w:r>
      <w:r w:rsidRPr="00AA552A">
        <w:rPr>
          <w:rFonts w:cs="Cambria"/>
          <w:color w:val="000000"/>
        </w:rPr>
        <w:t>sc</w:t>
      </w:r>
      <w:r w:rsidRPr="00AA552A">
        <w:rPr>
          <w:rFonts w:cs="Cambria"/>
          <w:color w:val="000000"/>
          <w:spacing w:val="-1"/>
        </w:rPr>
        <w:t>r</w:t>
      </w:r>
      <w:r w:rsidRPr="00AA552A">
        <w:rPr>
          <w:rFonts w:cs="Cambria"/>
          <w:color w:val="000000"/>
          <w:spacing w:val="1"/>
        </w:rPr>
        <w:t>ip</w:t>
      </w:r>
      <w:r w:rsidRPr="00AA552A">
        <w:rPr>
          <w:rFonts w:cs="Cambria"/>
          <w:color w:val="000000"/>
        </w:rPr>
        <w:t>t</w:t>
      </w:r>
      <w:r w:rsidRPr="00AA552A">
        <w:rPr>
          <w:rFonts w:cs="Cambria"/>
          <w:color w:val="000000"/>
          <w:spacing w:val="1"/>
        </w:rPr>
        <w:t>i</w:t>
      </w:r>
      <w:r w:rsidRPr="00AA552A">
        <w:rPr>
          <w:rFonts w:cs="Cambria"/>
          <w:color w:val="000000"/>
        </w:rPr>
        <w:t>on</w:t>
      </w:r>
      <w:r w:rsidRPr="00AA552A">
        <w:rPr>
          <w:rFonts w:cs="Cambria"/>
          <w:color w:val="000000"/>
          <w:spacing w:val="-8"/>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s</w:t>
      </w:r>
      <w:r w:rsidRPr="00AA552A">
        <w:rPr>
          <w:rFonts w:cs="Cambria"/>
          <w:color w:val="000000"/>
          <w:spacing w:val="1"/>
        </w:rPr>
        <w:t>e</w:t>
      </w:r>
      <w:r w:rsidRPr="00AA552A">
        <w:rPr>
          <w:rFonts w:cs="Cambria"/>
          <w:color w:val="000000"/>
          <w:spacing w:val="-1"/>
        </w:rPr>
        <w:t>v</w:t>
      </w:r>
      <w:r w:rsidRPr="00AA552A">
        <w:rPr>
          <w:rFonts w:cs="Cambria"/>
          <w:color w:val="000000"/>
          <w:spacing w:val="1"/>
        </w:rPr>
        <w:t>e</w:t>
      </w:r>
      <w:r w:rsidRPr="00AA552A">
        <w:rPr>
          <w:rFonts w:cs="Cambria"/>
          <w:color w:val="000000"/>
        </w:rPr>
        <w:t>n</w:t>
      </w:r>
      <w:r w:rsidRPr="00AA552A">
        <w:rPr>
          <w:rFonts w:cs="Cambria"/>
          <w:color w:val="000000"/>
          <w:spacing w:val="-5"/>
        </w:rPr>
        <w:t xml:space="preserve"> </w:t>
      </w: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nt</w:t>
      </w:r>
      <w:r w:rsidRPr="00AA552A">
        <w:rPr>
          <w:rFonts w:cs="Cambria"/>
          <w:color w:val="000000"/>
          <w:spacing w:val="1"/>
        </w:rPr>
        <w:t>i</w:t>
      </w:r>
      <w:r w:rsidRPr="00AA552A">
        <w:rPr>
          <w:rFonts w:cs="Cambria"/>
          <w:color w:val="000000"/>
        </w:rPr>
        <w:t>al</w:t>
      </w:r>
      <w:r w:rsidRPr="00AA552A">
        <w:rPr>
          <w:rFonts w:cs="Cambria"/>
          <w:color w:val="000000"/>
          <w:spacing w:val="-5"/>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ha</w:t>
      </w:r>
      <w:r w:rsidRPr="00AA552A">
        <w:rPr>
          <w:rFonts w:cs="Cambria"/>
          <w:color w:val="000000"/>
          <w:spacing w:val="-2"/>
        </w:rPr>
        <w:t>b</w:t>
      </w:r>
      <w:r w:rsidRPr="00AA552A">
        <w:rPr>
          <w:rFonts w:cs="Cambria"/>
          <w:color w:val="000000"/>
          <w:spacing w:val="1"/>
        </w:rPr>
        <w:t>i</w:t>
      </w:r>
      <w:r w:rsidRPr="00AA552A">
        <w:rPr>
          <w:rFonts w:cs="Cambria"/>
          <w:color w:val="000000"/>
        </w:rPr>
        <w:t>tat</w:t>
      </w:r>
      <w:r w:rsidRPr="00AA552A">
        <w:rPr>
          <w:rFonts w:cs="Cambria"/>
          <w:color w:val="000000"/>
          <w:spacing w:val="-2"/>
        </w:rPr>
        <w:t xml:space="preserve"> </w:t>
      </w:r>
      <w:r w:rsidRPr="00AA552A">
        <w:rPr>
          <w:rFonts w:cs="Cambria"/>
          <w:color w:val="000000"/>
        </w:rPr>
        <w:t>t</w:t>
      </w:r>
      <w:r w:rsidRPr="00AA552A">
        <w:rPr>
          <w:rFonts w:cs="Cambria"/>
          <w:color w:val="000000"/>
          <w:spacing w:val="-1"/>
        </w:rPr>
        <w:t>y</w:t>
      </w:r>
      <w:r w:rsidRPr="00AA552A">
        <w:rPr>
          <w:rFonts w:cs="Cambria"/>
          <w:color w:val="000000"/>
          <w:spacing w:val="1"/>
        </w:rPr>
        <w:t>pe</w:t>
      </w:r>
      <w:r w:rsidRPr="00AA552A">
        <w:rPr>
          <w:rFonts w:cs="Cambria"/>
          <w:color w:val="000000"/>
        </w:rPr>
        <w:t>s</w:t>
      </w:r>
      <w:r w:rsidRPr="00AA552A">
        <w:rPr>
          <w:rFonts w:cs="Cambria"/>
          <w:color w:val="000000"/>
          <w:spacing w:val="-3"/>
        </w:rPr>
        <w:t xml:space="preserve"> </w:t>
      </w:r>
      <w:r w:rsidRPr="00AA552A">
        <w:rPr>
          <w:rFonts w:cs="Cambria"/>
          <w:color w:val="000000"/>
        </w:rPr>
        <w:t>(a</w:t>
      </w:r>
      <w:r w:rsidRPr="00AA552A">
        <w:rPr>
          <w:rFonts w:cs="Cambria"/>
          <w:color w:val="000000"/>
          <w:spacing w:val="-1"/>
        </w:rPr>
        <w:t xml:space="preserve"> f</w:t>
      </w:r>
      <w:r w:rsidRPr="00AA552A">
        <w:rPr>
          <w:rFonts w:cs="Cambria"/>
          <w:color w:val="000000"/>
        </w:rPr>
        <w:t>lat</w:t>
      </w:r>
      <w:r w:rsidRPr="00AA552A">
        <w:rPr>
          <w:rFonts w:cs="Cambria"/>
          <w:color w:val="000000"/>
          <w:spacing w:val="-1"/>
        </w:rPr>
        <w:t xml:space="preserve"> f</w:t>
      </w:r>
      <w:r w:rsidRPr="00AA552A">
        <w:rPr>
          <w:rFonts w:cs="Cambria"/>
          <w:color w:val="000000"/>
        </w:rPr>
        <w:t>o</w:t>
      </w:r>
      <w:r w:rsidRPr="00AA552A">
        <w:rPr>
          <w:rFonts w:cs="Cambria"/>
          <w:color w:val="000000"/>
          <w:spacing w:val="-1"/>
        </w:rPr>
        <w:t>r</w:t>
      </w:r>
      <w:r w:rsidRPr="00AA552A">
        <w:rPr>
          <w:rFonts w:cs="Cambria"/>
          <w:color w:val="000000"/>
        </w:rPr>
        <w:t>am</w:t>
      </w:r>
      <w:r w:rsidRPr="00AA552A">
        <w:rPr>
          <w:rFonts w:cs="Cambria"/>
          <w:color w:val="000000"/>
          <w:spacing w:val="1"/>
        </w:rPr>
        <w:t>i</w:t>
      </w:r>
      <w:r w:rsidRPr="00AA552A">
        <w:rPr>
          <w:rFonts w:cs="Cambria"/>
          <w:color w:val="000000"/>
        </w:rPr>
        <w:t>n</w:t>
      </w:r>
      <w:r w:rsidRPr="00AA552A">
        <w:rPr>
          <w:rFonts w:cs="Cambria"/>
          <w:color w:val="000000"/>
          <w:spacing w:val="-1"/>
        </w:rPr>
        <w:t>f</w:t>
      </w:r>
      <w:r w:rsidRPr="00AA552A">
        <w:rPr>
          <w:rFonts w:cs="Cambria"/>
          <w:color w:val="000000"/>
          <w:spacing w:val="1"/>
        </w:rPr>
        <w:t>e</w:t>
      </w:r>
      <w:r w:rsidRPr="00AA552A">
        <w:rPr>
          <w:rFonts w:cs="Cambria"/>
          <w:color w:val="000000"/>
          <w:spacing w:val="-1"/>
        </w:rPr>
        <w:t>r</w:t>
      </w:r>
      <w:r w:rsidRPr="00AA552A">
        <w:rPr>
          <w:rFonts w:cs="Cambria"/>
          <w:color w:val="000000"/>
        </w:rPr>
        <w:t>an</w:t>
      </w:r>
      <w:r w:rsidRPr="00AA552A">
        <w:rPr>
          <w:rFonts w:cs="Cambria"/>
          <w:color w:val="000000"/>
          <w:spacing w:val="-7"/>
        </w:rPr>
        <w:t xml:space="preserve"> </w:t>
      </w:r>
      <w:r w:rsidRPr="00AA552A">
        <w:rPr>
          <w:rFonts w:cs="Cambria"/>
          <w:color w:val="000000"/>
        </w:rPr>
        <w:t>oo</w:t>
      </w:r>
      <w:r w:rsidRPr="00AA552A">
        <w:rPr>
          <w:rFonts w:cs="Cambria"/>
          <w:color w:val="000000"/>
          <w:spacing w:val="-1"/>
        </w:rPr>
        <w:t>z</w:t>
      </w:r>
      <w:r w:rsidRPr="00AA552A">
        <w:rPr>
          <w:rFonts w:cs="Cambria"/>
          <w:color w:val="000000"/>
        </w:rPr>
        <w:t>e</w:t>
      </w:r>
      <w:r w:rsidRPr="00AA552A">
        <w:rPr>
          <w:rFonts w:cs="Cambria"/>
          <w:color w:val="000000"/>
          <w:spacing w:val="-4"/>
        </w:rPr>
        <w:t xml:space="preserve"> </w:t>
      </w:r>
      <w:r w:rsidRPr="00AA552A">
        <w:rPr>
          <w:rFonts w:cs="Cambria"/>
          <w:color w:val="000000"/>
        </w:rPr>
        <w:t>ha</w:t>
      </w:r>
      <w:r w:rsidRPr="00AA552A">
        <w:rPr>
          <w:rFonts w:cs="Cambria"/>
          <w:color w:val="000000"/>
          <w:spacing w:val="1"/>
        </w:rPr>
        <w:t>bi</w:t>
      </w:r>
      <w:r w:rsidRPr="00AA552A">
        <w:rPr>
          <w:rFonts w:cs="Cambria"/>
          <w:color w:val="000000"/>
        </w:rPr>
        <w:t>tat;</w:t>
      </w:r>
      <w:r w:rsidRPr="00AA552A">
        <w:rPr>
          <w:rFonts w:cs="Cambria"/>
          <w:color w:val="000000"/>
          <w:spacing w:val="-4"/>
        </w:rPr>
        <w:t xml:space="preserve"> </w:t>
      </w:r>
      <w:r w:rsidRPr="00AA552A">
        <w:rPr>
          <w:rFonts w:cs="Cambria"/>
          <w:color w:val="000000"/>
          <w:spacing w:val="-1"/>
        </w:rPr>
        <w:t>d</w:t>
      </w:r>
      <w:r w:rsidRPr="00AA552A">
        <w:rPr>
          <w:rFonts w:cs="Cambria"/>
          <w:color w:val="000000"/>
          <w:spacing w:val="1"/>
        </w:rPr>
        <w:t>i</w:t>
      </w:r>
      <w:r w:rsidRPr="00AA552A">
        <w:rPr>
          <w:rFonts w:cs="Cambria"/>
          <w:color w:val="000000"/>
        </w:rPr>
        <w:t>st</w:t>
      </w:r>
      <w:r w:rsidRPr="00AA552A">
        <w:rPr>
          <w:rFonts w:cs="Cambria"/>
          <w:color w:val="000000"/>
          <w:spacing w:val="1"/>
        </w:rPr>
        <w:t>i</w:t>
      </w:r>
      <w:r w:rsidRPr="00AA552A">
        <w:rPr>
          <w:rFonts w:cs="Cambria"/>
          <w:color w:val="000000"/>
        </w:rPr>
        <w:t>nct mo</w:t>
      </w:r>
      <w:r w:rsidRPr="00AA552A">
        <w:rPr>
          <w:rFonts w:cs="Cambria"/>
          <w:color w:val="000000"/>
          <w:spacing w:val="-1"/>
        </w:rPr>
        <w:t>u</w:t>
      </w:r>
      <w:r w:rsidRPr="00AA552A">
        <w:rPr>
          <w:rFonts w:cs="Cambria"/>
          <w:color w:val="000000"/>
        </w:rPr>
        <w:t>n</w:t>
      </w:r>
      <w:r w:rsidRPr="00AA552A">
        <w:rPr>
          <w:rFonts w:cs="Cambria"/>
          <w:color w:val="000000"/>
          <w:spacing w:val="-1"/>
        </w:rPr>
        <w:t>d</w:t>
      </w:r>
      <w:r w:rsidRPr="00AA552A">
        <w:rPr>
          <w:rFonts w:cs="Cambria"/>
          <w:color w:val="000000"/>
        </w:rPr>
        <w:t>s,</w:t>
      </w:r>
      <w:r w:rsidRPr="00AA552A">
        <w:rPr>
          <w:rFonts w:cs="Cambria"/>
          <w:color w:val="000000"/>
          <w:spacing w:val="-3"/>
        </w:rPr>
        <w:t xml:space="preserve"> </w:t>
      </w:r>
      <w:r w:rsidRPr="00AA552A">
        <w:rPr>
          <w:rFonts w:cs="Cambria"/>
          <w:color w:val="000000"/>
          <w:spacing w:val="1"/>
        </w:rPr>
        <w:t>p</w:t>
      </w:r>
      <w:r w:rsidRPr="00AA552A">
        <w:rPr>
          <w:rFonts w:cs="Cambria"/>
          <w:color w:val="000000"/>
          <w:spacing w:val="-1"/>
        </w:rPr>
        <w:t>r</w:t>
      </w:r>
      <w:r w:rsidRPr="00AA552A">
        <w:rPr>
          <w:rFonts w:cs="Cambria"/>
          <w:color w:val="000000"/>
          <w:spacing w:val="1"/>
        </w:rPr>
        <w:t>i</w:t>
      </w:r>
      <w:r w:rsidRPr="00AA552A">
        <w:rPr>
          <w:rFonts w:cs="Cambria"/>
          <w:color w:val="000000"/>
        </w:rPr>
        <w:t>ma</w:t>
      </w:r>
      <w:r w:rsidRPr="00AA552A">
        <w:rPr>
          <w:rFonts w:cs="Cambria"/>
          <w:color w:val="000000"/>
          <w:spacing w:val="-1"/>
        </w:rPr>
        <w:t>r</w:t>
      </w:r>
      <w:r w:rsidRPr="00AA552A">
        <w:rPr>
          <w:rFonts w:cs="Cambria"/>
          <w:color w:val="000000"/>
          <w:spacing w:val="1"/>
        </w:rPr>
        <w:t>i</w:t>
      </w:r>
      <w:r w:rsidRPr="00AA552A">
        <w:rPr>
          <w:rFonts w:cs="Cambria"/>
          <w:color w:val="000000"/>
        </w:rPr>
        <w:t>ly</w:t>
      </w:r>
      <w:r w:rsidRPr="00AA552A">
        <w:rPr>
          <w:rFonts w:cs="Cambria"/>
          <w:color w:val="000000"/>
          <w:spacing w:val="-6"/>
        </w:rPr>
        <w:t xml:space="preserve"> </w:t>
      </w:r>
      <w:r w:rsidRPr="00AA552A">
        <w:rPr>
          <w:rFonts w:cs="Cambria"/>
          <w:color w:val="000000"/>
        </w:rPr>
        <w:t xml:space="preserve">of </w:t>
      </w:r>
      <w:r w:rsidRPr="00AA552A">
        <w:rPr>
          <w:rFonts w:cs="Cambria"/>
          <w:color w:val="000000"/>
          <w:spacing w:val="-1"/>
        </w:rPr>
        <w:t>d</w:t>
      </w:r>
      <w:r w:rsidRPr="00AA552A">
        <w:rPr>
          <w:rFonts w:cs="Cambria"/>
          <w:color w:val="000000"/>
          <w:spacing w:val="1"/>
        </w:rPr>
        <w:t>e</w:t>
      </w:r>
      <w:r w:rsidRPr="00AA552A">
        <w:rPr>
          <w:rFonts w:cs="Cambria"/>
          <w:color w:val="000000"/>
        </w:rPr>
        <w:t>ad</w:t>
      </w:r>
      <w:r w:rsidRPr="00AA552A">
        <w:rPr>
          <w:rFonts w:cs="Cambria"/>
          <w:color w:val="000000"/>
          <w:spacing w:val="-5"/>
        </w:rPr>
        <w:t xml:space="preserve"> </w:t>
      </w:r>
      <w:r w:rsidRPr="00AA552A">
        <w:rPr>
          <w:rFonts w:cs="Cambria"/>
          <w:color w:val="000000"/>
        </w:rPr>
        <w:t>co</w:t>
      </w:r>
      <w:r w:rsidRPr="00AA552A">
        <w:rPr>
          <w:rFonts w:cs="Cambria"/>
          <w:color w:val="000000"/>
          <w:spacing w:val="-1"/>
        </w:rPr>
        <w:t>r</w:t>
      </w:r>
      <w:r w:rsidRPr="00AA552A">
        <w:rPr>
          <w:rFonts w:cs="Cambria"/>
          <w:color w:val="000000"/>
        </w:rPr>
        <w:t>al;</w:t>
      </w:r>
      <w:r w:rsidRPr="00AA552A">
        <w:rPr>
          <w:rFonts w:cs="Cambria"/>
          <w:color w:val="000000"/>
          <w:spacing w:val="-2"/>
        </w:rPr>
        <w:t xml:space="preserve"> </w:t>
      </w:r>
      <w:r w:rsidRPr="00AA552A">
        <w:rPr>
          <w:rFonts w:cs="Cambria"/>
          <w:color w:val="000000"/>
          <w:spacing w:val="-1"/>
        </w:rPr>
        <w:t>r</w:t>
      </w:r>
      <w:r w:rsidRPr="00AA552A">
        <w:rPr>
          <w:rFonts w:cs="Cambria"/>
          <w:color w:val="000000"/>
          <w:spacing w:val="1"/>
        </w:rPr>
        <w:t>ipp</w:t>
      </w:r>
      <w:r w:rsidRPr="00AA552A">
        <w:rPr>
          <w:rFonts w:cs="Cambria"/>
          <w:color w:val="000000"/>
        </w:rPr>
        <w:t>le</w:t>
      </w:r>
      <w:r w:rsidRPr="00AA552A">
        <w:rPr>
          <w:rFonts w:cs="Cambria"/>
          <w:color w:val="000000"/>
          <w:spacing w:val="-2"/>
        </w:rPr>
        <w:t xml:space="preserve"> </w:t>
      </w:r>
      <w:r w:rsidRPr="00AA552A">
        <w:rPr>
          <w:rFonts w:cs="Cambria"/>
          <w:color w:val="000000"/>
        </w:rPr>
        <w:t>ha</w:t>
      </w:r>
      <w:r w:rsidRPr="00AA552A">
        <w:rPr>
          <w:rFonts w:cs="Cambria"/>
          <w:color w:val="000000"/>
          <w:spacing w:val="1"/>
        </w:rPr>
        <w:t>bi</w:t>
      </w:r>
      <w:r w:rsidRPr="00AA552A">
        <w:rPr>
          <w:rFonts w:cs="Cambria"/>
          <w:color w:val="000000"/>
        </w:rPr>
        <w:t>tat;</w:t>
      </w:r>
      <w:r w:rsidRPr="00AA552A">
        <w:rPr>
          <w:rFonts w:cs="Cambria"/>
          <w:color w:val="000000"/>
          <w:spacing w:val="-6"/>
        </w:rPr>
        <w:t xml:space="preserve"> </w:t>
      </w:r>
      <w:r w:rsidRPr="00AA552A">
        <w:rPr>
          <w:rFonts w:cs="Cambria"/>
          <w:color w:val="000000"/>
          <w:spacing w:val="-1"/>
        </w:rPr>
        <w:t>du</w:t>
      </w:r>
      <w:r w:rsidRPr="00AA552A">
        <w:rPr>
          <w:rFonts w:cs="Cambria"/>
          <w:color w:val="000000"/>
        </w:rPr>
        <w:t>n</w:t>
      </w:r>
      <w:r w:rsidRPr="00AA552A">
        <w:rPr>
          <w:rFonts w:cs="Cambria"/>
          <w:color w:val="000000"/>
          <w:spacing w:val="1"/>
        </w:rPr>
        <w:t>e</w:t>
      </w:r>
      <w:r w:rsidRPr="00AA552A">
        <w:rPr>
          <w:rFonts w:cs="Cambria"/>
          <w:color w:val="000000"/>
        </w:rPr>
        <w:t>s;</w:t>
      </w:r>
      <w:r w:rsidRPr="00AA552A">
        <w:rPr>
          <w:rFonts w:cs="Cambria"/>
          <w:color w:val="000000"/>
          <w:spacing w:val="-5"/>
        </w:rPr>
        <w:t xml:space="preserve"> </w:t>
      </w:r>
      <w:r w:rsidRPr="00AA552A">
        <w:rPr>
          <w:rFonts w:cs="Cambria"/>
          <w:color w:val="000000"/>
          <w:spacing w:val="1"/>
        </w:rPr>
        <w:t>b</w:t>
      </w:r>
      <w:r w:rsidRPr="00AA552A">
        <w:rPr>
          <w:rFonts w:cs="Cambria"/>
          <w:color w:val="000000"/>
        </w:rPr>
        <w:t>lack</w:t>
      </w:r>
      <w:r w:rsidRPr="00AA552A">
        <w:rPr>
          <w:rFonts w:cs="Cambria"/>
          <w:color w:val="000000"/>
          <w:spacing w:val="-2"/>
        </w:rPr>
        <w:t xml:space="preserve"> </w:t>
      </w:r>
      <w:r w:rsidRPr="00AA552A">
        <w:rPr>
          <w:rFonts w:cs="Cambria"/>
          <w:color w:val="000000"/>
          <w:spacing w:val="1"/>
        </w:rPr>
        <w:t>pebb</w:t>
      </w:r>
      <w:r w:rsidRPr="00AA552A">
        <w:rPr>
          <w:rFonts w:cs="Cambria"/>
          <w:color w:val="000000"/>
        </w:rPr>
        <w:t>le</w:t>
      </w:r>
      <w:r w:rsidRPr="00AA552A">
        <w:rPr>
          <w:rFonts w:cs="Cambria"/>
          <w:color w:val="000000"/>
          <w:spacing w:val="-1"/>
        </w:rPr>
        <w:t xml:space="preserve"> </w:t>
      </w:r>
      <w:r w:rsidRPr="00AA552A">
        <w:rPr>
          <w:rFonts w:cs="Cambria"/>
          <w:color w:val="000000"/>
        </w:rPr>
        <w:t>ha</w:t>
      </w:r>
      <w:r w:rsidRPr="00AA552A">
        <w:rPr>
          <w:rFonts w:cs="Cambria"/>
          <w:color w:val="000000"/>
          <w:spacing w:val="1"/>
        </w:rPr>
        <w:t>bi</w:t>
      </w:r>
      <w:r w:rsidRPr="00AA552A">
        <w:rPr>
          <w:rFonts w:cs="Cambria"/>
          <w:color w:val="000000"/>
        </w:rPr>
        <w:t>tat;</w:t>
      </w:r>
      <w:r w:rsidRPr="00AA552A">
        <w:rPr>
          <w:rFonts w:cs="Cambria"/>
          <w:color w:val="000000"/>
          <w:spacing w:val="-4"/>
        </w:rPr>
        <w:t xml:space="preserve"> </w:t>
      </w:r>
      <w:r w:rsidRPr="00AA552A">
        <w:rPr>
          <w:rFonts w:cs="Cambria"/>
          <w:color w:val="000000"/>
        </w:rPr>
        <w:t>low</w:t>
      </w:r>
      <w:r w:rsidRPr="00AA552A">
        <w:rPr>
          <w:rFonts w:cs="Cambria"/>
          <w:color w:val="000000"/>
          <w:spacing w:val="-2"/>
        </w:rPr>
        <w:t xml:space="preserve"> </w:t>
      </w:r>
      <w:r w:rsidRPr="00AA552A">
        <w:rPr>
          <w:rFonts w:cs="Cambria"/>
          <w:color w:val="000000"/>
        </w:rPr>
        <w:t>o</w:t>
      </w:r>
      <w:r w:rsidRPr="00AA552A">
        <w:rPr>
          <w:rFonts w:cs="Cambria"/>
          <w:color w:val="000000"/>
          <w:spacing w:val="-1"/>
        </w:rPr>
        <w:t>u</w:t>
      </w:r>
      <w:r w:rsidRPr="00AA552A">
        <w:rPr>
          <w:rFonts w:cs="Cambria"/>
          <w:color w:val="000000"/>
        </w:rPr>
        <w:t>tc</w:t>
      </w:r>
      <w:r w:rsidRPr="00AA552A">
        <w:rPr>
          <w:rFonts w:cs="Cambria"/>
          <w:color w:val="000000"/>
          <w:spacing w:val="-1"/>
        </w:rPr>
        <w:t>r</w:t>
      </w:r>
      <w:r w:rsidRPr="00AA552A">
        <w:rPr>
          <w:rFonts w:cs="Cambria"/>
          <w:color w:val="000000"/>
        </w:rPr>
        <w:t>o</w:t>
      </w:r>
      <w:r w:rsidRPr="00AA552A">
        <w:rPr>
          <w:rFonts w:cs="Cambria"/>
          <w:color w:val="000000"/>
          <w:spacing w:val="1"/>
        </w:rPr>
        <w:t>p</w:t>
      </w:r>
      <w:r w:rsidRPr="00AA552A">
        <w:rPr>
          <w:rFonts w:cs="Cambria"/>
          <w:color w:val="000000"/>
        </w:rPr>
        <w:t>;</w:t>
      </w:r>
      <w:r w:rsidRPr="00AA552A">
        <w:rPr>
          <w:rFonts w:cs="Cambria"/>
          <w:color w:val="000000"/>
          <w:spacing w:val="-6"/>
        </w:rPr>
        <w:t xml:space="preserve"> </w:t>
      </w:r>
      <w:r>
        <w:rPr>
          <w:rFonts w:cs="Cambria"/>
          <w:color w:val="000000"/>
        </w:rPr>
        <w:t xml:space="preserve">and </w:t>
      </w:r>
      <w:r w:rsidRPr="00AA552A">
        <w:rPr>
          <w:rFonts w:cs="Cambria"/>
          <w:color w:val="000000"/>
        </w:rPr>
        <w:t>so</w:t>
      </w:r>
      <w:r w:rsidRPr="00AA552A">
        <w:rPr>
          <w:rFonts w:cs="Cambria"/>
          <w:color w:val="000000"/>
          <w:spacing w:val="-1"/>
        </w:rPr>
        <w:t>f</w:t>
      </w:r>
      <w:r w:rsidRPr="00AA552A">
        <w:rPr>
          <w:rFonts w:cs="Cambria"/>
          <w:color w:val="000000"/>
        </w:rPr>
        <w:t>t-</w:t>
      </w:r>
      <w:r w:rsidRPr="00AA552A">
        <w:rPr>
          <w:rFonts w:cs="Cambria"/>
          <w:color w:val="000000"/>
          <w:spacing w:val="1"/>
        </w:rPr>
        <w:t>bi</w:t>
      </w:r>
      <w:r w:rsidRPr="00AA552A">
        <w:rPr>
          <w:rFonts w:cs="Cambria"/>
          <w:color w:val="000000"/>
        </w:rPr>
        <w:t>ot</w:t>
      </w:r>
      <w:r w:rsidRPr="00AA552A">
        <w:rPr>
          <w:rFonts w:cs="Cambria"/>
          <w:color w:val="000000"/>
          <w:spacing w:val="-1"/>
        </w:rPr>
        <w:t>ur</w:t>
      </w:r>
      <w:r w:rsidRPr="00AA552A">
        <w:rPr>
          <w:rFonts w:cs="Cambria"/>
          <w:color w:val="000000"/>
          <w:spacing w:val="1"/>
        </w:rPr>
        <w:t>b</w:t>
      </w:r>
      <w:r w:rsidRPr="00AA552A">
        <w:rPr>
          <w:rFonts w:cs="Cambria"/>
          <w:color w:val="000000"/>
        </w:rPr>
        <w:t>at</w:t>
      </w:r>
      <w:r w:rsidRPr="00AA552A">
        <w:rPr>
          <w:rFonts w:cs="Cambria"/>
          <w:color w:val="000000"/>
          <w:spacing w:val="1"/>
        </w:rPr>
        <w:t>e</w:t>
      </w:r>
      <w:r w:rsidRPr="00AA552A">
        <w:rPr>
          <w:rFonts w:cs="Cambria"/>
          <w:color w:val="000000"/>
        </w:rPr>
        <w:t>d</w:t>
      </w:r>
      <w:r w:rsidRPr="00AA552A">
        <w:rPr>
          <w:rFonts w:cs="Cambria"/>
          <w:color w:val="000000"/>
          <w:spacing w:val="-9"/>
        </w:rPr>
        <w:t xml:space="preserve"> </w:t>
      </w:r>
      <w:r w:rsidRPr="00AA552A">
        <w:rPr>
          <w:rFonts w:cs="Cambria"/>
          <w:color w:val="000000"/>
        </w:rPr>
        <w:t>ha</w:t>
      </w:r>
      <w:r w:rsidRPr="00AA552A">
        <w:rPr>
          <w:rFonts w:cs="Cambria"/>
          <w:color w:val="000000"/>
          <w:spacing w:val="1"/>
        </w:rPr>
        <w:t>bi</w:t>
      </w:r>
      <w:r w:rsidRPr="00AA552A">
        <w:rPr>
          <w:rFonts w:cs="Cambria"/>
          <w:color w:val="000000"/>
        </w:rPr>
        <w:t>t</w:t>
      </w:r>
      <w:r w:rsidRPr="00AA552A">
        <w:rPr>
          <w:rFonts w:cs="Cambria"/>
          <w:color w:val="000000"/>
          <w:spacing w:val="-2"/>
        </w:rPr>
        <w:t>a</w:t>
      </w:r>
      <w:r w:rsidRPr="00AA552A">
        <w:rPr>
          <w:rFonts w:cs="Cambria"/>
          <w:color w:val="000000"/>
        </w:rPr>
        <w:t>t)</w:t>
      </w:r>
      <w:r w:rsidRPr="00AA552A">
        <w:rPr>
          <w:rFonts w:cs="Cambria"/>
          <w:color w:val="000000"/>
          <w:spacing w:val="-3"/>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spacing w:val="-1"/>
        </w:rPr>
        <w:t>g</w:t>
      </w:r>
      <w:r w:rsidRPr="00AA552A">
        <w:rPr>
          <w:rFonts w:cs="Cambria"/>
          <w:color w:val="000000"/>
        </w:rPr>
        <w:t>o</w:t>
      </w:r>
      <w:r w:rsidRPr="00AA552A">
        <w:rPr>
          <w:rFonts w:cs="Cambria"/>
          <w:color w:val="000000"/>
          <w:spacing w:val="2"/>
        </w:rPr>
        <w:t>l</w:t>
      </w:r>
      <w:r w:rsidRPr="00AA552A">
        <w:rPr>
          <w:rFonts w:cs="Cambria"/>
          <w:color w:val="000000"/>
          <w:spacing w:val="-1"/>
        </w:rPr>
        <w:t>d</w:t>
      </w:r>
      <w:r w:rsidRPr="00AA552A">
        <w:rPr>
          <w:rFonts w:cs="Cambria"/>
          <w:color w:val="000000"/>
          <w:spacing w:val="1"/>
        </w:rPr>
        <w:t>e</w:t>
      </w:r>
      <w:r w:rsidRPr="00AA552A">
        <w:rPr>
          <w:rFonts w:cs="Cambria"/>
          <w:color w:val="000000"/>
        </w:rPr>
        <w:t>n</w:t>
      </w:r>
      <w:r w:rsidRPr="00AA552A">
        <w:rPr>
          <w:rFonts w:cs="Cambria"/>
          <w:color w:val="000000"/>
          <w:spacing w:val="-4"/>
        </w:rPr>
        <w:t xml:space="preserve"> </w:t>
      </w:r>
      <w:r w:rsidRPr="00AA552A">
        <w:rPr>
          <w:rFonts w:cs="Cambria"/>
          <w:color w:val="000000"/>
        </w:rPr>
        <w:t>c</w:t>
      </w:r>
      <w:r w:rsidRPr="00AA552A">
        <w:rPr>
          <w:rFonts w:cs="Cambria"/>
          <w:color w:val="000000"/>
          <w:spacing w:val="-1"/>
        </w:rPr>
        <w:t>r</w:t>
      </w:r>
      <w:r w:rsidRPr="00AA552A">
        <w:rPr>
          <w:rFonts w:cs="Cambria"/>
          <w:color w:val="000000"/>
        </w:rPr>
        <w:t>ab</w:t>
      </w:r>
      <w:r w:rsidRPr="00AA552A">
        <w:rPr>
          <w:rFonts w:cs="Cambria"/>
          <w:color w:val="000000"/>
          <w:spacing w:val="-1"/>
        </w:rPr>
        <w:t xml:space="preserve"> </w:t>
      </w:r>
      <w:r w:rsidRPr="00AA552A">
        <w:rPr>
          <w:rFonts w:cs="Cambria"/>
          <w:color w:val="000000"/>
          <w:spacing w:val="1"/>
        </w:rPr>
        <w:t>i</w:t>
      </w:r>
      <w:r w:rsidRPr="00AA552A">
        <w:rPr>
          <w:rFonts w:cs="Cambria"/>
          <w:color w:val="000000"/>
        </w:rPr>
        <w:t>s</w:t>
      </w:r>
      <w:r w:rsidRPr="00AA552A">
        <w:rPr>
          <w:rFonts w:cs="Cambria"/>
          <w:color w:val="000000"/>
          <w:spacing w:val="-2"/>
        </w:rPr>
        <w:t xml:space="preserve"> </w:t>
      </w:r>
      <w:r w:rsidRPr="00AA552A">
        <w:rPr>
          <w:rFonts w:cs="Cambria"/>
          <w:color w:val="000000"/>
          <w:spacing w:val="1"/>
        </w:rPr>
        <w:t>p</w:t>
      </w:r>
      <w:r w:rsidRPr="00AA552A">
        <w:rPr>
          <w:rFonts w:cs="Cambria"/>
          <w:color w:val="000000"/>
          <w:spacing w:val="-1"/>
        </w:rPr>
        <w:t>r</w:t>
      </w:r>
      <w:r w:rsidRPr="00AA552A">
        <w:rPr>
          <w:rFonts w:cs="Cambria"/>
          <w:color w:val="000000"/>
        </w:rPr>
        <w:t>o</w:t>
      </w:r>
      <w:r w:rsidRPr="00AA552A">
        <w:rPr>
          <w:rFonts w:cs="Cambria"/>
          <w:color w:val="000000"/>
          <w:spacing w:val="-1"/>
        </w:rPr>
        <w:t>v</w:t>
      </w:r>
      <w:r w:rsidRPr="00AA552A">
        <w:rPr>
          <w:rFonts w:cs="Cambria"/>
          <w:color w:val="000000"/>
          <w:spacing w:val="1"/>
        </w:rPr>
        <w:t>i</w:t>
      </w:r>
      <w:r w:rsidRPr="00AA552A">
        <w:rPr>
          <w:rFonts w:cs="Cambria"/>
          <w:color w:val="000000"/>
          <w:spacing w:val="-1"/>
        </w:rPr>
        <w:t>d</w:t>
      </w:r>
      <w:r w:rsidRPr="00AA552A">
        <w:rPr>
          <w:rFonts w:cs="Cambria"/>
          <w:color w:val="000000"/>
          <w:spacing w:val="1"/>
        </w:rPr>
        <w:t>e</w:t>
      </w:r>
      <w:r w:rsidRPr="00AA552A">
        <w:rPr>
          <w:rFonts w:cs="Cambria"/>
          <w:color w:val="000000"/>
        </w:rPr>
        <w:t>d</w:t>
      </w:r>
      <w:r w:rsidRPr="00AA552A">
        <w:rPr>
          <w:rFonts w:cs="Cambria"/>
          <w:color w:val="000000"/>
          <w:spacing w:val="-9"/>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W</w:t>
      </w:r>
      <w:r w:rsidRPr="00AA552A">
        <w:rPr>
          <w:rFonts w:cs="Cambria"/>
          <w:color w:val="000000"/>
          <w:spacing w:val="1"/>
        </w:rPr>
        <w:t>e</w:t>
      </w:r>
      <w:r w:rsidRPr="00AA552A">
        <w:rPr>
          <w:rFonts w:cs="Cambria"/>
          <w:color w:val="000000"/>
        </w:rPr>
        <w:t>nn</w:t>
      </w:r>
      <w:r w:rsidRPr="00AA552A">
        <w:rPr>
          <w:rFonts w:cs="Cambria"/>
          <w:color w:val="000000"/>
          <w:spacing w:val="1"/>
        </w:rPr>
        <w:t>e</w:t>
      </w:r>
      <w:r w:rsidRPr="00AA552A">
        <w:rPr>
          <w:rFonts w:cs="Cambria"/>
          <w:color w:val="000000"/>
        </w:rPr>
        <w:t>r</w:t>
      </w:r>
      <w:r w:rsidRPr="00AA552A">
        <w:rPr>
          <w:rFonts w:cs="Cambria"/>
          <w:color w:val="000000"/>
          <w:spacing w:val="-4"/>
        </w:rPr>
        <w:t xml:space="preserve"> </w:t>
      </w:r>
      <w:r w:rsidRPr="00AA552A">
        <w:rPr>
          <w:rFonts w:cs="Cambria"/>
          <w:color w:val="000000"/>
          <w:spacing w:val="1"/>
        </w:rPr>
        <w:t>e</w:t>
      </w:r>
      <w:r w:rsidRPr="00AA552A">
        <w:rPr>
          <w:rFonts w:cs="Cambria"/>
          <w:color w:val="000000"/>
        </w:rPr>
        <w:t>t</w:t>
      </w:r>
      <w:r w:rsidRPr="00AA552A">
        <w:rPr>
          <w:rFonts w:cs="Cambria"/>
          <w:color w:val="000000"/>
          <w:spacing w:val="-1"/>
        </w:rPr>
        <w:t xml:space="preserve"> </w:t>
      </w:r>
      <w:r w:rsidRPr="00AA552A">
        <w:rPr>
          <w:rFonts w:cs="Cambria"/>
          <w:color w:val="000000"/>
        </w:rPr>
        <w:t>al.</w:t>
      </w:r>
      <w:r w:rsidRPr="00AA552A">
        <w:rPr>
          <w:rFonts w:cs="Cambria"/>
          <w:color w:val="000000"/>
          <w:spacing w:val="1"/>
        </w:rPr>
        <w:t xml:space="preserve"> </w:t>
      </w:r>
      <w:r w:rsidRPr="00AA552A">
        <w:rPr>
          <w:rFonts w:cs="Cambria"/>
          <w:color w:val="000000"/>
        </w:rPr>
        <w:t>(</w:t>
      </w:r>
      <w:r w:rsidRPr="00AA552A">
        <w:rPr>
          <w:rFonts w:cs="Cambria"/>
          <w:color w:val="000000"/>
          <w:spacing w:val="-1"/>
        </w:rPr>
        <w:t>19</w:t>
      </w:r>
      <w:r w:rsidRPr="00AA552A">
        <w:rPr>
          <w:rFonts w:cs="Cambria"/>
          <w:color w:val="000000"/>
          <w:spacing w:val="2"/>
        </w:rPr>
        <w:t>8</w:t>
      </w:r>
      <w:r w:rsidRPr="00AA552A">
        <w:rPr>
          <w:rFonts w:cs="Cambria"/>
          <w:color w:val="000000"/>
          <w:spacing w:val="-1"/>
        </w:rPr>
        <w:t>7</w:t>
      </w:r>
      <w:r w:rsidRPr="00AA552A">
        <w:rPr>
          <w:rFonts w:cs="Cambria"/>
          <w:color w:val="000000"/>
        </w:rPr>
        <w:t>).</w:t>
      </w:r>
      <w:r w:rsidRPr="00AA552A">
        <w:rPr>
          <w:rFonts w:cs="Cambria"/>
          <w:color w:val="000000"/>
          <w:spacing w:val="47"/>
        </w:rPr>
        <w:t xml:space="preserve"> </w:t>
      </w:r>
      <w:r w:rsidRPr="00AA552A">
        <w:rPr>
          <w:rFonts w:cs="Cambria"/>
          <w:color w:val="000000"/>
          <w:spacing w:val="-1"/>
        </w:rPr>
        <w:t>T</w:t>
      </w:r>
      <w:r w:rsidRPr="00AA552A">
        <w:rPr>
          <w:rFonts w:cs="Cambria"/>
          <w:color w:val="000000"/>
        </w:rPr>
        <w:t>h</w:t>
      </w:r>
      <w:r w:rsidRPr="00AA552A">
        <w:rPr>
          <w:rFonts w:cs="Cambria"/>
          <w:color w:val="000000"/>
          <w:spacing w:val="1"/>
        </w:rPr>
        <w:t>e</w:t>
      </w:r>
      <w:r w:rsidRPr="00AA552A">
        <w:rPr>
          <w:rFonts w:cs="Cambria"/>
          <w:color w:val="000000"/>
          <w:spacing w:val="-1"/>
        </w:rPr>
        <w:t>r</w:t>
      </w:r>
      <w:r w:rsidRPr="00AA552A">
        <w:rPr>
          <w:rFonts w:cs="Cambria"/>
          <w:color w:val="000000"/>
        </w:rPr>
        <w:t>e</w:t>
      </w:r>
      <w:r w:rsidRPr="00AA552A">
        <w:rPr>
          <w:rFonts w:cs="Cambria"/>
          <w:color w:val="000000"/>
          <w:spacing w:val="-5"/>
        </w:rPr>
        <w:t xml:space="preserve"> </w:t>
      </w:r>
      <w:r w:rsidRPr="00AA552A">
        <w:rPr>
          <w:rFonts w:cs="Cambria"/>
          <w:color w:val="000000"/>
          <w:spacing w:val="1"/>
        </w:rPr>
        <w:t>i</w:t>
      </w:r>
      <w:r w:rsidRPr="00AA552A">
        <w:rPr>
          <w:rFonts w:cs="Cambria"/>
          <w:color w:val="000000"/>
        </w:rPr>
        <w:t>s</w:t>
      </w:r>
      <w:r w:rsidRPr="00AA552A">
        <w:rPr>
          <w:rFonts w:cs="Cambria"/>
          <w:color w:val="000000"/>
          <w:spacing w:val="-2"/>
        </w:rPr>
        <w:t xml:space="preserve"> </w:t>
      </w:r>
      <w:r w:rsidRPr="00AA552A">
        <w:rPr>
          <w:rFonts w:cs="Cambria"/>
          <w:color w:val="000000"/>
          <w:spacing w:val="1"/>
        </w:rPr>
        <w:t>i</w:t>
      </w:r>
      <w:r w:rsidRPr="00AA552A">
        <w:rPr>
          <w:rFonts w:cs="Cambria"/>
          <w:color w:val="000000"/>
        </w:rPr>
        <w:t>ns</w:t>
      </w:r>
      <w:r w:rsidRPr="00AA552A">
        <w:rPr>
          <w:rFonts w:cs="Cambria"/>
          <w:color w:val="000000"/>
          <w:spacing w:val="-1"/>
        </w:rPr>
        <w:t>uff</w:t>
      </w:r>
      <w:r w:rsidRPr="00AA552A">
        <w:rPr>
          <w:rFonts w:cs="Cambria"/>
          <w:color w:val="000000"/>
          <w:spacing w:val="1"/>
        </w:rPr>
        <w:t>i</w:t>
      </w:r>
      <w:r w:rsidRPr="00AA552A">
        <w:rPr>
          <w:rFonts w:cs="Cambria"/>
          <w:color w:val="000000"/>
          <w:spacing w:val="2"/>
        </w:rPr>
        <w:t>c</w:t>
      </w:r>
      <w:r w:rsidRPr="00AA552A">
        <w:rPr>
          <w:rFonts w:cs="Cambria"/>
          <w:color w:val="000000"/>
          <w:spacing w:val="1"/>
        </w:rPr>
        <w:t>ie</w:t>
      </w:r>
      <w:r w:rsidRPr="00AA552A">
        <w:rPr>
          <w:rFonts w:cs="Cambria"/>
          <w:color w:val="000000"/>
        </w:rPr>
        <w:t xml:space="preserve">nt </w:t>
      </w:r>
      <w:r w:rsidRPr="00AA552A">
        <w:rPr>
          <w:rFonts w:cs="Cambria"/>
          <w:color w:val="000000"/>
          <w:spacing w:val="-1"/>
        </w:rPr>
        <w:t>k</w:t>
      </w:r>
      <w:r w:rsidRPr="00AA552A">
        <w:rPr>
          <w:rFonts w:cs="Cambria"/>
          <w:color w:val="000000"/>
        </w:rPr>
        <w:t>no</w:t>
      </w:r>
      <w:r w:rsidRPr="00AA552A">
        <w:rPr>
          <w:rFonts w:cs="Cambria"/>
          <w:color w:val="000000"/>
          <w:spacing w:val="-1"/>
        </w:rPr>
        <w:t>w</w:t>
      </w:r>
      <w:r w:rsidRPr="00AA552A">
        <w:rPr>
          <w:rFonts w:cs="Cambria"/>
          <w:color w:val="000000"/>
        </w:rPr>
        <w:t>l</w:t>
      </w:r>
      <w:r w:rsidRPr="00AA552A">
        <w:rPr>
          <w:rFonts w:cs="Cambria"/>
          <w:color w:val="000000"/>
          <w:spacing w:val="1"/>
        </w:rPr>
        <w:t>ed</w:t>
      </w:r>
      <w:r w:rsidRPr="00AA552A">
        <w:rPr>
          <w:rFonts w:cs="Cambria"/>
          <w:color w:val="000000"/>
          <w:spacing w:val="-1"/>
        </w:rPr>
        <w:t>g</w:t>
      </w:r>
      <w:r w:rsidRPr="00AA552A">
        <w:rPr>
          <w:rFonts w:cs="Cambria"/>
          <w:color w:val="000000"/>
        </w:rPr>
        <w:t>e</w:t>
      </w:r>
      <w:r w:rsidRPr="00AA552A">
        <w:rPr>
          <w:rFonts w:cs="Cambria"/>
          <w:color w:val="000000"/>
          <w:spacing w:val="-4"/>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bi</w:t>
      </w:r>
      <w:r w:rsidRPr="00AA552A">
        <w:rPr>
          <w:rFonts w:cs="Cambria"/>
          <w:color w:val="000000"/>
        </w:rPr>
        <w:t>olo</w:t>
      </w:r>
      <w:r w:rsidRPr="00AA552A">
        <w:rPr>
          <w:rFonts w:cs="Cambria"/>
          <w:color w:val="000000"/>
          <w:spacing w:val="1"/>
        </w:rPr>
        <w:t>g</w:t>
      </w:r>
      <w:r w:rsidRPr="00AA552A">
        <w:rPr>
          <w:rFonts w:cs="Cambria"/>
          <w:color w:val="000000"/>
        </w:rPr>
        <w:t>y</w:t>
      </w:r>
      <w:r w:rsidRPr="00AA552A">
        <w:rPr>
          <w:rFonts w:cs="Cambria"/>
          <w:color w:val="000000"/>
          <w:spacing w:val="-5"/>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g</w:t>
      </w:r>
      <w:r w:rsidRPr="00AA552A">
        <w:rPr>
          <w:rFonts w:cs="Cambria"/>
          <w:color w:val="000000"/>
        </w:rPr>
        <w:t>o</w:t>
      </w:r>
      <w:r w:rsidRPr="00AA552A">
        <w:rPr>
          <w:rFonts w:cs="Cambria"/>
          <w:color w:val="000000"/>
          <w:spacing w:val="2"/>
        </w:rPr>
        <w:t>l</w:t>
      </w:r>
      <w:r w:rsidRPr="00AA552A">
        <w:rPr>
          <w:rFonts w:cs="Cambria"/>
          <w:color w:val="000000"/>
          <w:spacing w:val="-1"/>
        </w:rPr>
        <w:t>d</w:t>
      </w:r>
      <w:r w:rsidRPr="00AA552A">
        <w:rPr>
          <w:rFonts w:cs="Cambria"/>
          <w:color w:val="000000"/>
          <w:spacing w:val="1"/>
        </w:rPr>
        <w:t>e</w:t>
      </w:r>
      <w:r w:rsidRPr="00AA552A">
        <w:rPr>
          <w:rFonts w:cs="Cambria"/>
          <w:color w:val="000000"/>
        </w:rPr>
        <w:t>n</w:t>
      </w:r>
      <w:r w:rsidRPr="00AA552A">
        <w:rPr>
          <w:rFonts w:cs="Cambria"/>
          <w:color w:val="000000"/>
          <w:spacing w:val="-4"/>
        </w:rPr>
        <w:t xml:space="preserve"> </w:t>
      </w:r>
      <w:r w:rsidRPr="00AA552A">
        <w:rPr>
          <w:rFonts w:cs="Cambria"/>
          <w:color w:val="000000"/>
        </w:rPr>
        <w:t>c</w:t>
      </w:r>
      <w:r w:rsidRPr="00AA552A">
        <w:rPr>
          <w:rFonts w:cs="Cambria"/>
          <w:color w:val="000000"/>
          <w:spacing w:val="-1"/>
        </w:rPr>
        <w:t>r</w:t>
      </w:r>
      <w:r w:rsidRPr="00AA552A">
        <w:rPr>
          <w:rFonts w:cs="Cambria"/>
          <w:color w:val="000000"/>
        </w:rPr>
        <w:t>a</w:t>
      </w:r>
      <w:r w:rsidRPr="00AA552A">
        <w:rPr>
          <w:rFonts w:cs="Cambria"/>
          <w:color w:val="000000"/>
          <w:spacing w:val="1"/>
        </w:rPr>
        <w:t>b</w:t>
      </w:r>
      <w:r w:rsidRPr="00AA552A">
        <w:rPr>
          <w:rFonts w:cs="Cambria"/>
          <w:color w:val="000000"/>
        </w:rPr>
        <w:t>s</w:t>
      </w:r>
      <w:r w:rsidRPr="00AA552A">
        <w:rPr>
          <w:rFonts w:cs="Cambria"/>
          <w:color w:val="000000"/>
          <w:spacing w:val="-3"/>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spacing w:val="1"/>
        </w:rPr>
        <w:t>i</w:t>
      </w:r>
      <w:r w:rsidRPr="00AA552A">
        <w:rPr>
          <w:rFonts w:cs="Cambria"/>
          <w:color w:val="000000"/>
          <w:spacing w:val="-1"/>
        </w:rPr>
        <w:t>d</w:t>
      </w:r>
      <w:r w:rsidRPr="00AA552A">
        <w:rPr>
          <w:rFonts w:cs="Cambria"/>
          <w:color w:val="000000"/>
          <w:spacing w:val="3"/>
        </w:rPr>
        <w:t>e</w:t>
      </w:r>
      <w:r w:rsidRPr="00AA552A">
        <w:rPr>
          <w:rFonts w:cs="Cambria"/>
          <w:color w:val="000000"/>
        </w:rPr>
        <w:t>nt</w:t>
      </w:r>
      <w:r w:rsidRPr="00AA552A">
        <w:rPr>
          <w:rFonts w:cs="Cambria"/>
          <w:color w:val="000000"/>
          <w:spacing w:val="1"/>
        </w:rPr>
        <w:t>i</w:t>
      </w:r>
      <w:r w:rsidRPr="00AA552A">
        <w:rPr>
          <w:rFonts w:cs="Cambria"/>
          <w:color w:val="000000"/>
          <w:spacing w:val="-1"/>
        </w:rPr>
        <w:t>f</w:t>
      </w:r>
      <w:r w:rsidRPr="00AA552A">
        <w:rPr>
          <w:rFonts w:cs="Cambria"/>
          <w:color w:val="000000"/>
        </w:rPr>
        <w:t>y</w:t>
      </w:r>
      <w:r w:rsidRPr="00AA552A">
        <w:rPr>
          <w:rFonts w:cs="Cambria"/>
          <w:color w:val="000000"/>
          <w:spacing w:val="-7"/>
        </w:rPr>
        <w:t xml:space="preserve"> </w:t>
      </w:r>
      <w:r w:rsidRPr="00AA552A">
        <w:rPr>
          <w:rFonts w:cs="Cambria"/>
          <w:color w:val="000000"/>
        </w:rPr>
        <w:t>s</w:t>
      </w:r>
      <w:r w:rsidRPr="00AA552A">
        <w:rPr>
          <w:rFonts w:cs="Cambria"/>
          <w:color w:val="000000"/>
          <w:spacing w:val="1"/>
        </w:rPr>
        <w:t>p</w:t>
      </w:r>
      <w:r w:rsidRPr="00AA552A">
        <w:rPr>
          <w:rFonts w:cs="Cambria"/>
          <w:color w:val="000000"/>
        </w:rPr>
        <w:t>a</w:t>
      </w:r>
      <w:r w:rsidRPr="00AA552A">
        <w:rPr>
          <w:rFonts w:cs="Cambria"/>
          <w:color w:val="000000"/>
          <w:spacing w:val="-1"/>
        </w:rPr>
        <w:t>w</w:t>
      </w:r>
      <w:r w:rsidRPr="00AA552A">
        <w:rPr>
          <w:rFonts w:cs="Cambria"/>
          <w:color w:val="000000"/>
        </w:rPr>
        <w:t>n</w:t>
      </w:r>
      <w:r w:rsidRPr="00AA552A">
        <w:rPr>
          <w:rFonts w:cs="Cambria"/>
          <w:color w:val="000000"/>
          <w:spacing w:val="1"/>
        </w:rPr>
        <w:t>i</w:t>
      </w:r>
      <w:r w:rsidRPr="00AA552A">
        <w:rPr>
          <w:rFonts w:cs="Cambria"/>
          <w:color w:val="000000"/>
        </w:rPr>
        <w:t>ng</w:t>
      </w:r>
      <w:r w:rsidRPr="00AA552A">
        <w:rPr>
          <w:rFonts w:cs="Cambria"/>
          <w:color w:val="000000"/>
          <w:spacing w:val="-3"/>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nu</w:t>
      </w:r>
      <w:r w:rsidRPr="00AA552A">
        <w:rPr>
          <w:rFonts w:cs="Cambria"/>
          <w:color w:val="000000"/>
          <w:spacing w:val="-1"/>
        </w:rPr>
        <w:t>r</w:t>
      </w:r>
      <w:r w:rsidRPr="00AA552A">
        <w:rPr>
          <w:rFonts w:cs="Cambria"/>
          <w:color w:val="000000"/>
        </w:rPr>
        <w:t>s</w:t>
      </w:r>
      <w:r w:rsidRPr="00AA552A">
        <w:rPr>
          <w:rFonts w:cs="Cambria"/>
          <w:color w:val="000000"/>
          <w:spacing w:val="1"/>
        </w:rPr>
        <w:t>e</w:t>
      </w:r>
      <w:r w:rsidRPr="00AA552A">
        <w:rPr>
          <w:rFonts w:cs="Cambria"/>
          <w:color w:val="000000"/>
          <w:spacing w:val="-1"/>
        </w:rPr>
        <w:t>r</w:t>
      </w:r>
      <w:r w:rsidRPr="00AA552A">
        <w:rPr>
          <w:rFonts w:cs="Cambria"/>
          <w:color w:val="000000"/>
        </w:rPr>
        <w:t>y</w:t>
      </w:r>
      <w:r w:rsidRPr="00AA552A">
        <w:rPr>
          <w:rFonts w:cs="Cambria"/>
          <w:color w:val="000000"/>
          <w:spacing w:val="-8"/>
        </w:rPr>
        <w:t xml:space="preserve"> </w:t>
      </w:r>
      <w:r w:rsidRPr="00AA552A">
        <w:rPr>
          <w:rFonts w:cs="Cambria"/>
          <w:color w:val="000000"/>
        </w:rPr>
        <w:t>a</w:t>
      </w:r>
      <w:r w:rsidRPr="00AA552A">
        <w:rPr>
          <w:rFonts w:cs="Cambria"/>
          <w:color w:val="000000"/>
          <w:spacing w:val="-1"/>
        </w:rPr>
        <w:t>r</w:t>
      </w:r>
      <w:r w:rsidRPr="00AA552A">
        <w:rPr>
          <w:rFonts w:cs="Cambria"/>
          <w:color w:val="000000"/>
          <w:spacing w:val="1"/>
        </w:rPr>
        <w:t>e</w:t>
      </w:r>
      <w:r w:rsidRPr="00AA552A">
        <w:rPr>
          <w:rFonts w:cs="Cambria"/>
          <w:color w:val="000000"/>
        </w:rPr>
        <w:t>as</w:t>
      </w:r>
      <w:r w:rsidRPr="00AA552A">
        <w:rPr>
          <w:rFonts w:cs="Cambria"/>
          <w:color w:val="000000"/>
          <w:spacing w:val="-3"/>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spacing w:val="1"/>
        </w:rPr>
        <w:t>i</w:t>
      </w:r>
      <w:r w:rsidRPr="00AA552A">
        <w:rPr>
          <w:rFonts w:cs="Cambria"/>
          <w:color w:val="000000"/>
          <w:spacing w:val="-1"/>
        </w:rPr>
        <w:t>d</w:t>
      </w:r>
      <w:r w:rsidRPr="00AA552A">
        <w:rPr>
          <w:rFonts w:cs="Cambria"/>
          <w:color w:val="000000"/>
          <w:spacing w:val="1"/>
        </w:rPr>
        <w:t>e</w:t>
      </w:r>
      <w:r w:rsidRPr="00AA552A">
        <w:rPr>
          <w:rFonts w:cs="Cambria"/>
          <w:color w:val="000000"/>
        </w:rPr>
        <w:t>nt</w:t>
      </w:r>
      <w:r w:rsidRPr="00AA552A">
        <w:rPr>
          <w:rFonts w:cs="Cambria"/>
          <w:color w:val="000000"/>
          <w:spacing w:val="1"/>
        </w:rPr>
        <w:t>i</w:t>
      </w:r>
      <w:r w:rsidRPr="00AA552A">
        <w:rPr>
          <w:rFonts w:cs="Cambria"/>
          <w:color w:val="000000"/>
          <w:spacing w:val="-1"/>
        </w:rPr>
        <w:t>f</w:t>
      </w:r>
      <w:r>
        <w:rPr>
          <w:rFonts w:cs="Cambria"/>
          <w:color w:val="000000"/>
        </w:rPr>
        <w:t xml:space="preserve">y </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s</w:t>
      </w:r>
      <w:r w:rsidRPr="00AA552A">
        <w:rPr>
          <w:rFonts w:cs="Cambria"/>
          <w:color w:val="000000"/>
          <w:spacing w:val="-5"/>
        </w:rPr>
        <w:t xml:space="preserve"> </w:t>
      </w:r>
      <w:r w:rsidRPr="00AA552A">
        <w:rPr>
          <w:rFonts w:cs="Cambria"/>
          <w:color w:val="000000"/>
        </w:rPr>
        <w:t>at th</w:t>
      </w:r>
      <w:r w:rsidRPr="00AA552A">
        <w:rPr>
          <w:rFonts w:cs="Cambria"/>
          <w:color w:val="000000"/>
          <w:spacing w:val="1"/>
        </w:rPr>
        <w:t>i</w:t>
      </w:r>
      <w:r w:rsidRPr="00AA552A">
        <w:rPr>
          <w:rFonts w:cs="Cambria"/>
          <w:color w:val="000000"/>
        </w:rPr>
        <w:t>s</w:t>
      </w:r>
      <w:r w:rsidRPr="00AA552A">
        <w:rPr>
          <w:rFonts w:cs="Cambria"/>
          <w:color w:val="000000"/>
          <w:spacing w:val="-3"/>
        </w:rPr>
        <w:t xml:space="preserve"> </w:t>
      </w:r>
      <w:r w:rsidRPr="00AA552A">
        <w:rPr>
          <w:rFonts w:cs="Cambria"/>
          <w:color w:val="000000"/>
        </w:rPr>
        <w:t>t</w:t>
      </w:r>
      <w:r w:rsidRPr="00AA552A">
        <w:rPr>
          <w:rFonts w:cs="Cambria"/>
          <w:color w:val="000000"/>
          <w:spacing w:val="1"/>
        </w:rPr>
        <w:t>i</w:t>
      </w:r>
      <w:r w:rsidRPr="00AA552A">
        <w:rPr>
          <w:rFonts w:cs="Cambria"/>
          <w:color w:val="000000"/>
        </w:rPr>
        <w:t>m</w:t>
      </w:r>
      <w:r w:rsidRPr="00AA552A">
        <w:rPr>
          <w:rFonts w:cs="Cambria"/>
          <w:color w:val="000000"/>
          <w:spacing w:val="1"/>
        </w:rPr>
        <w:t>e</w:t>
      </w:r>
      <w:r w:rsidRPr="00AA552A">
        <w:rPr>
          <w:rFonts w:cs="Cambria"/>
          <w:color w:val="000000"/>
        </w:rPr>
        <w:t>.</w:t>
      </w:r>
      <w:r w:rsidRPr="00AA552A">
        <w:rPr>
          <w:rFonts w:cs="Cambria"/>
          <w:color w:val="000000"/>
          <w:spacing w:val="52"/>
        </w:rPr>
        <w:t xml:space="preserve"> </w:t>
      </w:r>
      <w:r w:rsidRPr="00AA552A">
        <w:rPr>
          <w:rFonts w:cs="Cambria"/>
          <w:color w:val="000000"/>
          <w:spacing w:val="-1"/>
        </w:rPr>
        <w:t>A</w:t>
      </w:r>
      <w:r w:rsidRPr="00AA552A">
        <w:rPr>
          <w:rFonts w:cs="Cambria"/>
          <w:color w:val="000000"/>
        </w:rPr>
        <w:t>s</w:t>
      </w:r>
      <w:r w:rsidRPr="00AA552A">
        <w:rPr>
          <w:rFonts w:cs="Cambria"/>
          <w:color w:val="000000"/>
          <w:spacing w:val="-1"/>
        </w:rPr>
        <w:t xml:space="preserve"> </w:t>
      </w:r>
      <w:r w:rsidRPr="00AA552A">
        <w:rPr>
          <w:rFonts w:cs="Cambria"/>
          <w:color w:val="000000"/>
          <w:spacing w:val="-2"/>
        </w:rPr>
        <w:t>i</w:t>
      </w:r>
      <w:r w:rsidRPr="00AA552A">
        <w:rPr>
          <w:rFonts w:cs="Cambria"/>
          <w:color w:val="000000"/>
        </w:rPr>
        <w:t>n</w:t>
      </w:r>
      <w:r w:rsidRPr="00AA552A">
        <w:rPr>
          <w:rFonts w:cs="Cambria"/>
          <w:color w:val="000000"/>
          <w:spacing w:val="-1"/>
        </w:rPr>
        <w:t>f</w:t>
      </w:r>
      <w:r w:rsidRPr="00AA552A">
        <w:rPr>
          <w:rFonts w:cs="Cambria"/>
          <w:color w:val="000000"/>
        </w:rPr>
        <w:t>o</w:t>
      </w:r>
      <w:r w:rsidRPr="00AA552A">
        <w:rPr>
          <w:rFonts w:cs="Cambria"/>
          <w:color w:val="000000"/>
          <w:spacing w:val="-1"/>
        </w:rPr>
        <w:t>r</w:t>
      </w:r>
      <w:r w:rsidRPr="00AA552A">
        <w:rPr>
          <w:rFonts w:cs="Cambria"/>
          <w:color w:val="000000"/>
        </w:rPr>
        <w:t>mat</w:t>
      </w:r>
      <w:r w:rsidRPr="00AA552A">
        <w:rPr>
          <w:rFonts w:cs="Cambria"/>
          <w:color w:val="000000"/>
          <w:spacing w:val="1"/>
        </w:rPr>
        <w:t>i</w:t>
      </w:r>
      <w:r w:rsidRPr="00AA552A">
        <w:rPr>
          <w:rFonts w:cs="Cambria"/>
          <w:color w:val="000000"/>
        </w:rPr>
        <w:t>on</w:t>
      </w:r>
      <w:r w:rsidRPr="00AA552A">
        <w:rPr>
          <w:rFonts w:cs="Cambria"/>
          <w:color w:val="000000"/>
          <w:spacing w:val="-6"/>
        </w:rPr>
        <w:t xml:space="preserve"> </w:t>
      </w:r>
      <w:r w:rsidRPr="00AA552A">
        <w:rPr>
          <w:rFonts w:cs="Cambria"/>
          <w:color w:val="000000"/>
          <w:spacing w:val="1"/>
        </w:rPr>
        <w:t>be</w:t>
      </w:r>
      <w:r w:rsidRPr="00AA552A">
        <w:rPr>
          <w:rFonts w:cs="Cambria"/>
          <w:color w:val="000000"/>
        </w:rPr>
        <w:t>com</w:t>
      </w:r>
      <w:r w:rsidRPr="00AA552A">
        <w:rPr>
          <w:rFonts w:cs="Cambria"/>
          <w:color w:val="000000"/>
          <w:spacing w:val="1"/>
        </w:rPr>
        <w:t>e</w:t>
      </w:r>
      <w:r w:rsidRPr="00AA552A">
        <w:rPr>
          <w:rFonts w:cs="Cambria"/>
          <w:color w:val="000000"/>
        </w:rPr>
        <w:t>s</w:t>
      </w:r>
      <w:r w:rsidRPr="00AA552A">
        <w:rPr>
          <w:rFonts w:cs="Cambria"/>
          <w:color w:val="000000"/>
          <w:spacing w:val="-6"/>
        </w:rPr>
        <w:t xml:space="preserve"> </w:t>
      </w:r>
      <w:r w:rsidRPr="00AA552A">
        <w:rPr>
          <w:rFonts w:cs="Cambria"/>
          <w:color w:val="000000"/>
        </w:rPr>
        <w:t>a</w:t>
      </w:r>
      <w:r w:rsidRPr="00AA552A">
        <w:rPr>
          <w:rFonts w:cs="Cambria"/>
          <w:color w:val="000000"/>
          <w:spacing w:val="-1"/>
        </w:rPr>
        <w:t>v</w:t>
      </w:r>
      <w:r w:rsidRPr="00AA552A">
        <w:rPr>
          <w:rFonts w:cs="Cambria"/>
          <w:color w:val="000000"/>
        </w:rPr>
        <w:t>a</w:t>
      </w:r>
      <w:r w:rsidRPr="00AA552A">
        <w:rPr>
          <w:rFonts w:cs="Cambria"/>
          <w:color w:val="000000"/>
          <w:spacing w:val="1"/>
        </w:rPr>
        <w:t>i</w:t>
      </w:r>
      <w:r w:rsidRPr="00AA552A">
        <w:rPr>
          <w:rFonts w:cs="Cambria"/>
          <w:color w:val="000000"/>
        </w:rPr>
        <w:t>la</w:t>
      </w:r>
      <w:r w:rsidRPr="00AA552A">
        <w:rPr>
          <w:rFonts w:cs="Cambria"/>
          <w:color w:val="000000"/>
          <w:spacing w:val="1"/>
        </w:rPr>
        <w:t>b</w:t>
      </w:r>
      <w:r w:rsidRPr="00AA552A">
        <w:rPr>
          <w:rFonts w:cs="Cambria"/>
          <w:color w:val="000000"/>
        </w:rPr>
        <w:t>l</w:t>
      </w:r>
      <w:r w:rsidRPr="00AA552A">
        <w:rPr>
          <w:rFonts w:cs="Cambria"/>
          <w:color w:val="000000"/>
          <w:spacing w:val="1"/>
        </w:rPr>
        <w:t>e</w:t>
      </w:r>
      <w:r w:rsidRPr="00AA552A">
        <w:rPr>
          <w:rFonts w:cs="Cambria"/>
          <w:color w:val="000000"/>
        </w:rPr>
        <w:t>,</w:t>
      </w:r>
      <w:r w:rsidRPr="00AA552A">
        <w:rPr>
          <w:rFonts w:cs="Cambria"/>
          <w:color w:val="000000"/>
          <w:spacing w:val="-2"/>
        </w:rPr>
        <w:t xml:space="preserve"> </w:t>
      </w:r>
      <w:r w:rsidRPr="00AA552A">
        <w:rPr>
          <w:rFonts w:cs="Cambria"/>
          <w:color w:val="000000"/>
        </w:rPr>
        <w:t>the</w:t>
      </w:r>
      <w:r w:rsidRPr="00AA552A">
        <w:rPr>
          <w:rFonts w:cs="Cambria"/>
          <w:color w:val="000000"/>
          <w:spacing w:val="-1"/>
        </w:rPr>
        <w:t xml:space="preserve"> C</w:t>
      </w:r>
      <w:r w:rsidRPr="00AA552A">
        <w:rPr>
          <w:rFonts w:cs="Cambria"/>
          <w:color w:val="000000"/>
        </w:rPr>
        <w:t>o</w:t>
      </w:r>
      <w:r w:rsidRPr="00AA552A">
        <w:rPr>
          <w:rFonts w:cs="Cambria"/>
          <w:color w:val="000000"/>
          <w:spacing w:val="-1"/>
        </w:rPr>
        <w:t>u</w:t>
      </w:r>
      <w:r w:rsidRPr="00AA552A">
        <w:rPr>
          <w:rFonts w:cs="Cambria"/>
          <w:color w:val="000000"/>
        </w:rPr>
        <w:t>nc</w:t>
      </w:r>
      <w:r w:rsidRPr="00AA552A">
        <w:rPr>
          <w:rFonts w:cs="Cambria"/>
          <w:color w:val="000000"/>
          <w:spacing w:val="1"/>
        </w:rPr>
        <w:t>i</w:t>
      </w:r>
      <w:r w:rsidRPr="00AA552A">
        <w:rPr>
          <w:rFonts w:cs="Cambria"/>
          <w:color w:val="000000"/>
        </w:rPr>
        <w:t>l</w:t>
      </w:r>
      <w:r w:rsidRPr="00AA552A">
        <w:rPr>
          <w:rFonts w:cs="Cambria"/>
          <w:color w:val="000000"/>
          <w:spacing w:val="-4"/>
        </w:rPr>
        <w:t xml:space="preserve"> </w:t>
      </w:r>
      <w:r w:rsidRPr="00AA552A">
        <w:rPr>
          <w:rFonts w:cs="Cambria"/>
          <w:color w:val="000000"/>
          <w:spacing w:val="-1"/>
        </w:rPr>
        <w:t>w</w:t>
      </w:r>
      <w:r w:rsidRPr="00AA552A">
        <w:rPr>
          <w:rFonts w:cs="Cambria"/>
          <w:color w:val="000000"/>
          <w:spacing w:val="1"/>
        </w:rPr>
        <w:t>i</w:t>
      </w:r>
      <w:r w:rsidRPr="00AA552A">
        <w:rPr>
          <w:rFonts w:cs="Cambria"/>
          <w:color w:val="000000"/>
        </w:rPr>
        <w:t>ll</w:t>
      </w:r>
      <w:r w:rsidRPr="00AA552A">
        <w:rPr>
          <w:rFonts w:cs="Cambria"/>
          <w:color w:val="000000"/>
          <w:spacing w:val="-1"/>
        </w:rPr>
        <w:t xml:space="preserve"> </w:t>
      </w:r>
      <w:r w:rsidRPr="00AA552A">
        <w:rPr>
          <w:rFonts w:cs="Cambria"/>
          <w:color w:val="000000"/>
          <w:spacing w:val="1"/>
        </w:rPr>
        <w:t>e</w:t>
      </w:r>
      <w:r w:rsidRPr="00AA552A">
        <w:rPr>
          <w:rFonts w:cs="Cambria"/>
          <w:color w:val="000000"/>
          <w:spacing w:val="-1"/>
        </w:rPr>
        <w:t>v</w:t>
      </w:r>
      <w:r w:rsidRPr="00AA552A">
        <w:rPr>
          <w:rFonts w:cs="Cambria"/>
          <w:color w:val="000000"/>
        </w:rPr>
        <w:t>al</w:t>
      </w:r>
      <w:r w:rsidRPr="00AA552A">
        <w:rPr>
          <w:rFonts w:cs="Cambria"/>
          <w:color w:val="000000"/>
          <w:spacing w:val="-1"/>
        </w:rPr>
        <w:t>u</w:t>
      </w:r>
      <w:r w:rsidRPr="00AA552A">
        <w:rPr>
          <w:rFonts w:cs="Cambria"/>
          <w:color w:val="000000"/>
        </w:rPr>
        <w:t>ate</w:t>
      </w:r>
      <w:r w:rsidRPr="00AA552A">
        <w:rPr>
          <w:rFonts w:cs="Cambria"/>
          <w:color w:val="000000"/>
          <w:spacing w:val="-3"/>
        </w:rPr>
        <w:t xml:space="preserve"> </w:t>
      </w:r>
      <w:r w:rsidRPr="00AA552A">
        <w:rPr>
          <w:rFonts w:cs="Cambria"/>
          <w:color w:val="000000"/>
        </w:rPr>
        <w:t>s</w:t>
      </w:r>
      <w:r w:rsidRPr="00AA552A">
        <w:rPr>
          <w:rFonts w:cs="Cambria"/>
          <w:color w:val="000000"/>
          <w:spacing w:val="-1"/>
        </w:rPr>
        <w:t>u</w:t>
      </w:r>
      <w:r w:rsidRPr="00AA552A">
        <w:rPr>
          <w:rFonts w:cs="Cambria"/>
          <w:color w:val="000000"/>
        </w:rPr>
        <w:t>ch</w:t>
      </w:r>
      <w:r w:rsidRPr="00AA552A">
        <w:rPr>
          <w:rFonts w:cs="Cambria"/>
          <w:color w:val="000000"/>
          <w:spacing w:val="-3"/>
        </w:rPr>
        <w:t xml:space="preserve"> </w:t>
      </w:r>
      <w:r w:rsidRPr="00AA552A">
        <w:rPr>
          <w:rFonts w:cs="Cambria"/>
          <w:color w:val="000000"/>
          <w:spacing w:val="-1"/>
        </w:rPr>
        <w:t>d</w:t>
      </w:r>
      <w:r w:rsidRPr="00AA552A">
        <w:rPr>
          <w:rFonts w:cs="Cambria"/>
          <w:color w:val="000000"/>
        </w:rPr>
        <w:t>ata</w:t>
      </w:r>
      <w:r w:rsidRPr="00AA552A">
        <w:rPr>
          <w:rFonts w:cs="Cambria"/>
          <w:color w:val="000000"/>
          <w:spacing w:val="-1"/>
        </w:rPr>
        <w:t xml:space="preserve"> </w:t>
      </w:r>
      <w:r w:rsidRPr="00AA552A">
        <w:rPr>
          <w:rFonts w:cs="Cambria"/>
          <w:color w:val="000000"/>
        </w:rPr>
        <w:t xml:space="preserve">and </w:t>
      </w:r>
      <w:r w:rsidRPr="00AA552A">
        <w:rPr>
          <w:rFonts w:cs="Cambria"/>
          <w:color w:val="000000"/>
          <w:spacing w:val="1"/>
        </w:rPr>
        <w:t>i</w:t>
      </w:r>
      <w:r w:rsidRPr="00AA552A">
        <w:rPr>
          <w:rFonts w:cs="Cambria"/>
          <w:color w:val="000000"/>
          <w:spacing w:val="-1"/>
        </w:rPr>
        <w:t>d</w:t>
      </w:r>
      <w:r w:rsidRPr="00AA552A">
        <w:rPr>
          <w:rFonts w:cs="Cambria"/>
          <w:color w:val="000000"/>
          <w:spacing w:val="1"/>
        </w:rPr>
        <w:t>e</w:t>
      </w:r>
      <w:r w:rsidRPr="00AA552A">
        <w:rPr>
          <w:rFonts w:cs="Cambria"/>
          <w:color w:val="000000"/>
        </w:rPr>
        <w:t>nt</w:t>
      </w:r>
      <w:r w:rsidRPr="00AA552A">
        <w:rPr>
          <w:rFonts w:cs="Cambria"/>
          <w:color w:val="000000"/>
          <w:spacing w:val="1"/>
        </w:rPr>
        <w:t>i</w:t>
      </w:r>
      <w:r w:rsidRPr="00AA552A">
        <w:rPr>
          <w:rFonts w:cs="Cambria"/>
          <w:color w:val="000000"/>
          <w:spacing w:val="-1"/>
        </w:rPr>
        <w:t>f</w:t>
      </w:r>
      <w:r w:rsidRPr="00AA552A">
        <w:rPr>
          <w:rFonts w:cs="Cambria"/>
          <w:color w:val="000000"/>
        </w:rPr>
        <w:t>y</w:t>
      </w:r>
      <w:r w:rsidRPr="00AA552A">
        <w:rPr>
          <w:rFonts w:cs="Cambria"/>
          <w:color w:val="000000"/>
          <w:spacing w:val="-7"/>
        </w:rPr>
        <w:t xml:space="preserve"> </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s</w:t>
      </w:r>
      <w:r w:rsidRPr="00AA552A">
        <w:rPr>
          <w:rFonts w:cs="Cambria"/>
          <w:color w:val="000000"/>
          <w:spacing w:val="-5"/>
        </w:rPr>
        <w:t xml:space="preserve"> </w:t>
      </w:r>
      <w:r w:rsidRPr="00AA552A">
        <w:rPr>
          <w:rFonts w:cs="Cambria"/>
          <w:color w:val="000000"/>
        </w:rPr>
        <w:t>as</w:t>
      </w:r>
      <w:r w:rsidRPr="00AA552A">
        <w:rPr>
          <w:rFonts w:cs="Cambria"/>
          <w:color w:val="000000"/>
          <w:spacing w:val="-1"/>
        </w:rPr>
        <w:t xml:space="preserve"> </w:t>
      </w:r>
      <w:r w:rsidRPr="00AA552A">
        <w:rPr>
          <w:rFonts w:cs="Cambria"/>
          <w:color w:val="000000"/>
        </w:rPr>
        <w:t>a</w:t>
      </w:r>
      <w:r w:rsidRPr="00AA552A">
        <w:rPr>
          <w:rFonts w:cs="Cambria"/>
          <w:color w:val="000000"/>
          <w:spacing w:val="1"/>
        </w:rPr>
        <w:t>pp</w:t>
      </w:r>
      <w:r w:rsidRPr="00AA552A">
        <w:rPr>
          <w:rFonts w:cs="Cambria"/>
          <w:color w:val="000000"/>
          <w:spacing w:val="-3"/>
        </w:rPr>
        <w:t>r</w:t>
      </w:r>
      <w:r w:rsidRPr="00AA552A">
        <w:rPr>
          <w:rFonts w:cs="Cambria"/>
          <w:color w:val="000000"/>
        </w:rPr>
        <w:t>o</w:t>
      </w:r>
      <w:r w:rsidRPr="00AA552A">
        <w:rPr>
          <w:rFonts w:cs="Cambria"/>
          <w:color w:val="000000"/>
          <w:spacing w:val="1"/>
        </w:rPr>
        <w:t>p</w:t>
      </w:r>
      <w:r w:rsidRPr="00AA552A">
        <w:rPr>
          <w:rFonts w:cs="Cambria"/>
          <w:color w:val="000000"/>
          <w:spacing w:val="-1"/>
        </w:rPr>
        <w:t>r</w:t>
      </w:r>
      <w:r w:rsidRPr="00AA552A">
        <w:rPr>
          <w:rFonts w:cs="Cambria"/>
          <w:color w:val="000000"/>
          <w:spacing w:val="1"/>
        </w:rPr>
        <w:t>i</w:t>
      </w:r>
      <w:r w:rsidRPr="00AA552A">
        <w:rPr>
          <w:rFonts w:cs="Cambria"/>
          <w:color w:val="000000"/>
        </w:rPr>
        <w:t>ate</w:t>
      </w:r>
      <w:r w:rsidRPr="00AA552A">
        <w:rPr>
          <w:rFonts w:cs="Cambria"/>
          <w:color w:val="000000"/>
          <w:spacing w:val="-4"/>
        </w:rPr>
        <w:t xml:space="preserve"> </w:t>
      </w:r>
      <w:r w:rsidRPr="00AA552A">
        <w:rPr>
          <w:rFonts w:cs="Cambria"/>
          <w:color w:val="000000"/>
        </w:rPr>
        <w:t>th</w:t>
      </w:r>
      <w:r w:rsidRPr="00AA552A">
        <w:rPr>
          <w:rFonts w:cs="Cambria"/>
          <w:color w:val="000000"/>
          <w:spacing w:val="-1"/>
        </w:rPr>
        <w:t>r</w:t>
      </w:r>
      <w:r w:rsidRPr="00AA552A">
        <w:rPr>
          <w:rFonts w:cs="Cambria"/>
          <w:color w:val="000000"/>
        </w:rPr>
        <w:t>ou</w:t>
      </w:r>
      <w:r w:rsidRPr="00AA552A">
        <w:rPr>
          <w:rFonts w:cs="Cambria"/>
          <w:color w:val="000000"/>
          <w:spacing w:val="-1"/>
        </w:rPr>
        <w:t>g</w:t>
      </w:r>
      <w:r w:rsidRPr="00AA552A">
        <w:rPr>
          <w:rFonts w:cs="Cambria"/>
          <w:color w:val="000000"/>
        </w:rPr>
        <w:t>h</w:t>
      </w:r>
      <w:r w:rsidRPr="00AA552A">
        <w:rPr>
          <w:rFonts w:cs="Cambria"/>
          <w:color w:val="000000"/>
          <w:spacing w:val="-5"/>
        </w:rPr>
        <w:t xml:space="preserve"> </w:t>
      </w:r>
      <w:r w:rsidRPr="00AA552A">
        <w:rPr>
          <w:rFonts w:cs="Cambria"/>
          <w:color w:val="000000"/>
        </w:rPr>
        <w:t>the</w:t>
      </w:r>
      <w:r w:rsidRPr="00AA552A">
        <w:rPr>
          <w:rFonts w:cs="Cambria"/>
          <w:color w:val="000000"/>
          <w:spacing w:val="-1"/>
        </w:rPr>
        <w:t xml:space="preserve"> fr</w:t>
      </w:r>
      <w:r w:rsidRPr="00AA552A">
        <w:rPr>
          <w:rFonts w:cs="Cambria"/>
          <w:color w:val="000000"/>
          <w:spacing w:val="3"/>
        </w:rPr>
        <w:t>a</w:t>
      </w:r>
      <w:r w:rsidRPr="00AA552A">
        <w:rPr>
          <w:rFonts w:cs="Cambria"/>
          <w:color w:val="000000"/>
        </w:rPr>
        <w:t>m</w:t>
      </w:r>
      <w:r w:rsidRPr="00AA552A">
        <w:rPr>
          <w:rFonts w:cs="Cambria"/>
          <w:color w:val="000000"/>
          <w:spacing w:val="1"/>
        </w:rPr>
        <w:t>e</w:t>
      </w:r>
      <w:r w:rsidRPr="00AA552A">
        <w:rPr>
          <w:rFonts w:cs="Cambria"/>
          <w:color w:val="000000"/>
          <w:spacing w:val="-1"/>
        </w:rPr>
        <w:t>w</w:t>
      </w:r>
      <w:r w:rsidRPr="00AA552A">
        <w:rPr>
          <w:rFonts w:cs="Cambria"/>
          <w:color w:val="000000"/>
        </w:rPr>
        <w:t>o</w:t>
      </w:r>
      <w:r w:rsidRPr="00AA552A">
        <w:rPr>
          <w:rFonts w:cs="Cambria"/>
          <w:color w:val="000000"/>
          <w:spacing w:val="-1"/>
        </w:rPr>
        <w:t>r</w:t>
      </w:r>
      <w:r w:rsidRPr="00AA552A">
        <w:rPr>
          <w:rFonts w:cs="Cambria"/>
          <w:color w:val="000000"/>
        </w:rPr>
        <w:t>k</w:t>
      </w:r>
      <w:r>
        <w:rPr>
          <w:rFonts w:cs="Cambria"/>
          <w:color w:val="000000"/>
        </w:rPr>
        <w:t>.</w:t>
      </w:r>
    </w:p>
    <w:p w14:paraId="6C56588E" w14:textId="77777777" w:rsidR="00DC4922" w:rsidRPr="00416614" w:rsidRDefault="00DC4922" w:rsidP="00DC4922">
      <w:pPr>
        <w:rPr>
          <w:color w:val="000000"/>
        </w:rPr>
      </w:pPr>
    </w:p>
    <w:p w14:paraId="4790397E" w14:textId="77777777" w:rsidR="00DC4922" w:rsidRPr="00EB603B" w:rsidRDefault="00DC4922" w:rsidP="00DC4922">
      <w:pPr>
        <w:rPr>
          <w:b/>
          <w:color w:val="000000"/>
        </w:rPr>
      </w:pPr>
      <w:r w:rsidRPr="00EB603B">
        <w:rPr>
          <w:b/>
          <w:color w:val="000000"/>
          <w:spacing w:val="1"/>
        </w:rPr>
        <w:t>S</w:t>
      </w:r>
      <w:r w:rsidRPr="00EB603B">
        <w:rPr>
          <w:b/>
          <w:color w:val="000000"/>
        </w:rPr>
        <w:t>pi</w:t>
      </w:r>
      <w:r w:rsidRPr="00EB603B">
        <w:rPr>
          <w:b/>
          <w:color w:val="000000"/>
          <w:spacing w:val="2"/>
        </w:rPr>
        <w:t>n</w:t>
      </w:r>
      <w:r w:rsidRPr="00EB603B">
        <w:rPr>
          <w:b/>
          <w:color w:val="000000"/>
        </w:rPr>
        <w:t>y</w:t>
      </w:r>
      <w:r w:rsidRPr="00EB603B">
        <w:rPr>
          <w:b/>
          <w:color w:val="000000"/>
          <w:spacing w:val="-6"/>
        </w:rPr>
        <w:t xml:space="preserve"> </w:t>
      </w:r>
      <w:r w:rsidRPr="00EB603B">
        <w:rPr>
          <w:b/>
          <w:color w:val="000000"/>
        </w:rPr>
        <w:t>Lob</w:t>
      </w:r>
      <w:r w:rsidRPr="00EB603B">
        <w:rPr>
          <w:b/>
          <w:color w:val="000000"/>
          <w:spacing w:val="1"/>
        </w:rPr>
        <w:t>s</w:t>
      </w:r>
      <w:r w:rsidRPr="00EB603B">
        <w:rPr>
          <w:b/>
          <w:color w:val="000000"/>
          <w:spacing w:val="-1"/>
        </w:rPr>
        <w:t>t</w:t>
      </w:r>
      <w:r w:rsidRPr="00EB603B">
        <w:rPr>
          <w:b/>
          <w:color w:val="000000"/>
          <w:spacing w:val="1"/>
        </w:rPr>
        <w:t>e</w:t>
      </w:r>
      <w:r w:rsidRPr="00EB603B">
        <w:rPr>
          <w:b/>
          <w:color w:val="000000"/>
        </w:rPr>
        <w:t>r</w:t>
      </w:r>
      <w:r w:rsidRPr="00EB603B">
        <w:rPr>
          <w:b/>
          <w:color w:val="000000"/>
          <w:spacing w:val="1"/>
        </w:rPr>
        <w:t xml:space="preserve"> </w:t>
      </w:r>
      <w:r w:rsidRPr="00EB603B">
        <w:rPr>
          <w:b/>
          <w:color w:val="000000"/>
        </w:rPr>
        <w:t>F</w:t>
      </w:r>
      <w:r w:rsidRPr="00EB603B">
        <w:rPr>
          <w:b/>
          <w:color w:val="000000"/>
          <w:spacing w:val="-1"/>
        </w:rPr>
        <w:t>M</w:t>
      </w:r>
      <w:r w:rsidRPr="00EB603B">
        <w:rPr>
          <w:b/>
          <w:color w:val="000000"/>
        </w:rPr>
        <w:t>P</w:t>
      </w:r>
    </w:p>
    <w:p w14:paraId="02FA84FF" w14:textId="77777777" w:rsidR="00DC4922" w:rsidRPr="00AA552A" w:rsidRDefault="00DC4922" w:rsidP="00640526">
      <w:pPr>
        <w:ind w:firstLine="360"/>
        <w:rPr>
          <w:rFonts w:cs="Cambria"/>
          <w:color w:val="000000"/>
        </w:rPr>
      </w:pP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nt</w:t>
      </w:r>
      <w:r w:rsidRPr="00AA552A">
        <w:rPr>
          <w:rFonts w:cs="Cambria"/>
          <w:color w:val="000000"/>
          <w:spacing w:val="1"/>
        </w:rPr>
        <w:t>i</w:t>
      </w:r>
      <w:r w:rsidRPr="00AA552A">
        <w:rPr>
          <w:rFonts w:cs="Cambria"/>
          <w:color w:val="000000"/>
        </w:rPr>
        <w:t>al</w:t>
      </w:r>
      <w:r w:rsidRPr="00AA552A">
        <w:rPr>
          <w:rFonts w:cs="Cambria"/>
          <w:color w:val="000000"/>
          <w:spacing w:val="-4"/>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ha</w:t>
      </w:r>
      <w:r w:rsidRPr="00AA552A">
        <w:rPr>
          <w:rFonts w:cs="Cambria"/>
          <w:color w:val="000000"/>
          <w:spacing w:val="-2"/>
        </w:rPr>
        <w:t>b</w:t>
      </w:r>
      <w:r w:rsidRPr="00AA552A">
        <w:rPr>
          <w:rFonts w:cs="Cambria"/>
          <w:color w:val="000000"/>
          <w:spacing w:val="1"/>
        </w:rPr>
        <w:t>i</w:t>
      </w:r>
      <w:r w:rsidRPr="00AA552A">
        <w:rPr>
          <w:rFonts w:cs="Cambria"/>
          <w:color w:val="000000"/>
        </w:rPr>
        <w:t>tat</w:t>
      </w:r>
      <w:r w:rsidRPr="00AA552A">
        <w:rPr>
          <w:rFonts w:cs="Cambria"/>
          <w:color w:val="000000"/>
          <w:spacing w:val="-2"/>
        </w:rPr>
        <w:t xml:space="preserve"> </w:t>
      </w:r>
      <w:r w:rsidRPr="00AA552A">
        <w:rPr>
          <w:rFonts w:cs="Cambria"/>
          <w:color w:val="000000"/>
          <w:spacing w:val="-1"/>
        </w:rPr>
        <w:t>f</w:t>
      </w:r>
      <w:r w:rsidRPr="00AA552A">
        <w:rPr>
          <w:rFonts w:cs="Cambria"/>
          <w:color w:val="000000"/>
          <w:spacing w:val="-3"/>
        </w:rPr>
        <w:t>o</w:t>
      </w:r>
      <w:r w:rsidRPr="00AA552A">
        <w:rPr>
          <w:rFonts w:cs="Cambria"/>
          <w:color w:val="000000"/>
        </w:rPr>
        <w:t>r</w:t>
      </w:r>
      <w:r w:rsidRPr="00AA552A">
        <w:rPr>
          <w:rFonts w:cs="Cambria"/>
          <w:color w:val="000000"/>
          <w:spacing w:val="-4"/>
        </w:rPr>
        <w:t xml:space="preserve"> </w:t>
      </w:r>
      <w:r w:rsidRPr="00AA552A">
        <w:rPr>
          <w:rFonts w:cs="Cambria"/>
          <w:color w:val="000000"/>
        </w:rPr>
        <w:t>s</w:t>
      </w:r>
      <w:r w:rsidRPr="00AA552A">
        <w:rPr>
          <w:rFonts w:cs="Cambria"/>
          <w:color w:val="000000"/>
          <w:spacing w:val="1"/>
        </w:rPr>
        <w:t>pi</w:t>
      </w:r>
      <w:r w:rsidRPr="00AA552A">
        <w:rPr>
          <w:rFonts w:cs="Cambria"/>
          <w:color w:val="000000"/>
        </w:rPr>
        <w:t>ny</w:t>
      </w:r>
      <w:r w:rsidRPr="00AA552A">
        <w:rPr>
          <w:rFonts w:cs="Cambria"/>
          <w:color w:val="000000"/>
          <w:spacing w:val="-4"/>
        </w:rPr>
        <w:t xml:space="preserve"> </w:t>
      </w:r>
      <w:r w:rsidRPr="00AA552A">
        <w:rPr>
          <w:rFonts w:cs="Cambria"/>
          <w:color w:val="000000"/>
        </w:rPr>
        <w:t>lo</w:t>
      </w:r>
      <w:r w:rsidRPr="00AA552A">
        <w:rPr>
          <w:rFonts w:cs="Cambria"/>
          <w:color w:val="000000"/>
          <w:spacing w:val="1"/>
        </w:rPr>
        <w:t>b</w:t>
      </w:r>
      <w:r w:rsidRPr="00AA552A">
        <w:rPr>
          <w:rFonts w:cs="Cambria"/>
          <w:color w:val="000000"/>
        </w:rPr>
        <w:t>st</w:t>
      </w:r>
      <w:r w:rsidRPr="00AA552A">
        <w:rPr>
          <w:rFonts w:cs="Cambria"/>
          <w:color w:val="000000"/>
          <w:spacing w:val="1"/>
        </w:rPr>
        <w:t>e</w:t>
      </w:r>
      <w:r w:rsidRPr="00AA552A">
        <w:rPr>
          <w:rFonts w:cs="Cambria"/>
          <w:color w:val="000000"/>
        </w:rPr>
        <w:t>r</w:t>
      </w:r>
      <w:r w:rsidRPr="00AA552A">
        <w:rPr>
          <w:rFonts w:cs="Cambria"/>
          <w:color w:val="000000"/>
          <w:spacing w:val="-5"/>
        </w:rPr>
        <w:t xml:space="preserve"> </w:t>
      </w:r>
      <w:r w:rsidRPr="00AA552A">
        <w:rPr>
          <w:rFonts w:cs="Cambria"/>
          <w:color w:val="000000"/>
          <w:spacing w:val="1"/>
        </w:rPr>
        <w:t>i</w:t>
      </w:r>
      <w:r w:rsidRPr="00AA552A">
        <w:rPr>
          <w:rFonts w:cs="Cambria"/>
          <w:color w:val="000000"/>
        </w:rPr>
        <w:t>ncl</w:t>
      </w:r>
      <w:r w:rsidRPr="00AA552A">
        <w:rPr>
          <w:rFonts w:cs="Cambria"/>
          <w:color w:val="000000"/>
          <w:spacing w:val="-1"/>
        </w:rPr>
        <w:t>ud</w:t>
      </w:r>
      <w:r w:rsidRPr="00AA552A">
        <w:rPr>
          <w:rFonts w:cs="Cambria"/>
          <w:color w:val="000000"/>
          <w:spacing w:val="1"/>
        </w:rPr>
        <w:t>e</w:t>
      </w:r>
      <w:r w:rsidRPr="00AA552A">
        <w:rPr>
          <w:rFonts w:cs="Cambria"/>
          <w:color w:val="000000"/>
        </w:rPr>
        <w:t>s</w:t>
      </w:r>
      <w:r w:rsidRPr="00AA552A">
        <w:rPr>
          <w:rFonts w:cs="Cambria"/>
          <w:color w:val="000000"/>
          <w:spacing w:val="-5"/>
        </w:rPr>
        <w:t xml:space="preserve"> </w:t>
      </w:r>
      <w:r w:rsidRPr="00AA552A">
        <w:rPr>
          <w:rFonts w:cs="Cambria"/>
          <w:color w:val="000000"/>
        </w:rPr>
        <w:t>n</w:t>
      </w:r>
      <w:r w:rsidRPr="00AA552A">
        <w:rPr>
          <w:rFonts w:cs="Cambria"/>
          <w:color w:val="000000"/>
          <w:spacing w:val="1"/>
        </w:rPr>
        <w:t>e</w:t>
      </w:r>
      <w:r w:rsidRPr="00AA552A">
        <w:rPr>
          <w:rFonts w:cs="Cambria"/>
          <w:color w:val="000000"/>
        </w:rPr>
        <w:t>a</w:t>
      </w:r>
      <w:r w:rsidRPr="00AA552A">
        <w:rPr>
          <w:rFonts w:cs="Cambria"/>
          <w:color w:val="000000"/>
          <w:spacing w:val="-1"/>
        </w:rPr>
        <w:t>r</w:t>
      </w:r>
      <w:r w:rsidRPr="00AA552A">
        <w:rPr>
          <w:rFonts w:cs="Cambria"/>
          <w:color w:val="000000"/>
        </w:rPr>
        <w:t>sho</w:t>
      </w:r>
      <w:r w:rsidRPr="00AA552A">
        <w:rPr>
          <w:rFonts w:cs="Cambria"/>
          <w:color w:val="000000"/>
          <w:spacing w:val="-1"/>
        </w:rPr>
        <w:t>r</w:t>
      </w:r>
      <w:r w:rsidRPr="00AA552A">
        <w:rPr>
          <w:rFonts w:cs="Cambria"/>
          <w:color w:val="000000"/>
        </w:rPr>
        <w:t>e</w:t>
      </w:r>
      <w:r w:rsidRPr="00AA552A">
        <w:rPr>
          <w:rFonts w:cs="Cambria"/>
          <w:color w:val="000000"/>
          <w:spacing w:val="-7"/>
        </w:rPr>
        <w:t xml:space="preserve"> </w:t>
      </w:r>
      <w:r w:rsidRPr="00AA552A">
        <w:rPr>
          <w:rFonts w:cs="Cambria"/>
          <w:color w:val="000000"/>
        </w:rPr>
        <w:t>sh</w:t>
      </w:r>
      <w:r w:rsidRPr="00AA552A">
        <w:rPr>
          <w:rFonts w:cs="Cambria"/>
          <w:color w:val="000000"/>
          <w:spacing w:val="1"/>
        </w:rPr>
        <w:t>e</w:t>
      </w:r>
      <w:r w:rsidRPr="00AA552A">
        <w:rPr>
          <w:rFonts w:cs="Cambria"/>
          <w:color w:val="000000"/>
        </w:rPr>
        <w:t>l</w:t>
      </w:r>
      <w:r w:rsidRPr="00AA552A">
        <w:rPr>
          <w:rFonts w:cs="Cambria"/>
          <w:color w:val="000000"/>
          <w:spacing w:val="-1"/>
        </w:rPr>
        <w:t>f</w:t>
      </w:r>
      <w:r w:rsidRPr="00AA552A">
        <w:rPr>
          <w:rFonts w:cs="Cambria"/>
          <w:color w:val="000000"/>
        </w:rPr>
        <w:t>/oc</w:t>
      </w:r>
      <w:r w:rsidRPr="00AA552A">
        <w:rPr>
          <w:rFonts w:cs="Cambria"/>
          <w:color w:val="000000"/>
          <w:spacing w:val="1"/>
        </w:rPr>
        <w:t>e</w:t>
      </w:r>
      <w:r w:rsidRPr="00AA552A">
        <w:rPr>
          <w:rFonts w:cs="Cambria"/>
          <w:color w:val="000000"/>
        </w:rPr>
        <w:t>an</w:t>
      </w:r>
      <w:r w:rsidRPr="00AA552A">
        <w:rPr>
          <w:rFonts w:cs="Cambria"/>
          <w:color w:val="000000"/>
          <w:spacing w:val="1"/>
        </w:rPr>
        <w:t>i</w:t>
      </w:r>
      <w:r w:rsidRPr="00AA552A">
        <w:rPr>
          <w:rFonts w:cs="Cambria"/>
          <w:color w:val="000000"/>
        </w:rPr>
        <w:t>c</w:t>
      </w:r>
      <w:r w:rsidRPr="00AA552A">
        <w:rPr>
          <w:rFonts w:cs="Cambria"/>
          <w:color w:val="000000"/>
          <w:spacing w:val="-9"/>
        </w:rPr>
        <w:t xml:space="preserve"> </w:t>
      </w:r>
      <w:r w:rsidRPr="00AA552A">
        <w:rPr>
          <w:rFonts w:cs="Cambria"/>
          <w:color w:val="000000"/>
          <w:spacing w:val="-1"/>
        </w:rPr>
        <w:t>w</w:t>
      </w:r>
      <w:r w:rsidRPr="00AA552A">
        <w:rPr>
          <w:rFonts w:cs="Cambria"/>
          <w:color w:val="000000"/>
        </w:rPr>
        <w:t>at</w:t>
      </w:r>
      <w:r w:rsidRPr="00AA552A">
        <w:rPr>
          <w:rFonts w:cs="Cambria"/>
          <w:color w:val="000000"/>
          <w:spacing w:val="1"/>
        </w:rPr>
        <w:t>e</w:t>
      </w:r>
      <w:r w:rsidRPr="00AA552A">
        <w:rPr>
          <w:rFonts w:cs="Cambria"/>
          <w:color w:val="000000"/>
          <w:spacing w:val="-1"/>
        </w:rPr>
        <w:t>r</w:t>
      </w:r>
      <w:r w:rsidRPr="00AA552A">
        <w:rPr>
          <w:rFonts w:cs="Cambria"/>
          <w:color w:val="000000"/>
        </w:rPr>
        <w:t>s;</w:t>
      </w:r>
      <w:r w:rsidRPr="00AA552A">
        <w:rPr>
          <w:rFonts w:cs="Cambria"/>
          <w:color w:val="000000"/>
          <w:spacing w:val="-5"/>
        </w:rPr>
        <w:t xml:space="preserve"> </w:t>
      </w:r>
      <w:r w:rsidRPr="00AA552A">
        <w:rPr>
          <w:rFonts w:cs="Cambria"/>
          <w:color w:val="000000"/>
        </w:rPr>
        <w:t>shall</w:t>
      </w:r>
      <w:r w:rsidRPr="00AA552A">
        <w:rPr>
          <w:rFonts w:cs="Cambria"/>
          <w:color w:val="000000"/>
          <w:spacing w:val="2"/>
        </w:rPr>
        <w:t>o</w:t>
      </w:r>
      <w:r w:rsidRPr="00AA552A">
        <w:rPr>
          <w:rFonts w:cs="Cambria"/>
          <w:color w:val="000000"/>
        </w:rPr>
        <w:t>w</w:t>
      </w:r>
      <w:r w:rsidRPr="00AA552A">
        <w:rPr>
          <w:rFonts w:cs="Cambria"/>
          <w:color w:val="000000"/>
          <w:spacing w:val="-5"/>
        </w:rPr>
        <w:t xml:space="preserve"> </w:t>
      </w:r>
      <w:r w:rsidRPr="00AA552A">
        <w:rPr>
          <w:rFonts w:cs="Cambria"/>
          <w:color w:val="000000"/>
        </w:rPr>
        <w:t>s</w:t>
      </w:r>
      <w:r w:rsidRPr="00AA552A">
        <w:rPr>
          <w:rFonts w:cs="Cambria"/>
          <w:color w:val="000000"/>
          <w:spacing w:val="-1"/>
        </w:rPr>
        <w:t>u</w:t>
      </w:r>
      <w:r w:rsidRPr="00AA552A">
        <w:rPr>
          <w:rFonts w:cs="Cambria"/>
          <w:color w:val="000000"/>
          <w:spacing w:val="1"/>
        </w:rPr>
        <w:t>b</w:t>
      </w:r>
      <w:r w:rsidRPr="00AA552A">
        <w:rPr>
          <w:rFonts w:cs="Cambria"/>
          <w:color w:val="000000"/>
        </w:rPr>
        <w:t>t</w:t>
      </w:r>
      <w:r w:rsidRPr="00AA552A">
        <w:rPr>
          <w:rFonts w:cs="Cambria"/>
          <w:color w:val="000000"/>
          <w:spacing w:val="1"/>
        </w:rPr>
        <w:t>i</w:t>
      </w:r>
      <w:r w:rsidRPr="00AA552A">
        <w:rPr>
          <w:rFonts w:cs="Cambria"/>
          <w:color w:val="000000"/>
          <w:spacing w:val="-1"/>
        </w:rPr>
        <w:t>d</w:t>
      </w:r>
      <w:r w:rsidRPr="00AA552A">
        <w:rPr>
          <w:rFonts w:cs="Cambria"/>
          <w:color w:val="000000"/>
        </w:rPr>
        <w:t xml:space="preserve">al </w:t>
      </w:r>
      <w:r w:rsidRPr="00AA552A">
        <w:rPr>
          <w:rFonts w:cs="Cambria"/>
          <w:color w:val="000000"/>
          <w:spacing w:val="1"/>
        </w:rPr>
        <w:t>b</w:t>
      </w:r>
      <w:r w:rsidRPr="00AA552A">
        <w:rPr>
          <w:rFonts w:cs="Cambria"/>
          <w:color w:val="000000"/>
        </w:rPr>
        <w:t>ottom;</w:t>
      </w:r>
      <w:r w:rsidRPr="00AA552A">
        <w:rPr>
          <w:rFonts w:cs="Cambria"/>
          <w:color w:val="000000"/>
          <w:spacing w:val="-4"/>
        </w:rPr>
        <w:t xml:space="preserve"> </w:t>
      </w:r>
      <w:r w:rsidRPr="00AA552A">
        <w:rPr>
          <w:rFonts w:cs="Cambria"/>
          <w:color w:val="000000"/>
        </w:rPr>
        <w:t>s</w:t>
      </w:r>
      <w:r w:rsidRPr="00AA552A">
        <w:rPr>
          <w:rFonts w:cs="Cambria"/>
          <w:color w:val="000000"/>
          <w:spacing w:val="1"/>
        </w:rPr>
        <w:t>e</w:t>
      </w:r>
      <w:r w:rsidRPr="00AA552A">
        <w:rPr>
          <w:rFonts w:cs="Cambria"/>
          <w:color w:val="000000"/>
        </w:rPr>
        <w:t>a</w:t>
      </w:r>
      <w:r w:rsidRPr="00AA552A">
        <w:rPr>
          <w:rFonts w:cs="Cambria"/>
          <w:color w:val="000000"/>
          <w:spacing w:val="-1"/>
        </w:rPr>
        <w:t>gr</w:t>
      </w:r>
      <w:r w:rsidRPr="00AA552A">
        <w:rPr>
          <w:rFonts w:cs="Cambria"/>
          <w:color w:val="000000"/>
        </w:rPr>
        <w:t>ass</w:t>
      </w:r>
      <w:r w:rsidRPr="00AA552A">
        <w:rPr>
          <w:rFonts w:cs="Cambria"/>
          <w:color w:val="000000"/>
          <w:spacing w:val="-5"/>
        </w:rPr>
        <w:t xml:space="preserve"> </w:t>
      </w:r>
      <w:r w:rsidRPr="00AA552A">
        <w:rPr>
          <w:rFonts w:cs="Cambria"/>
          <w:color w:val="000000"/>
        </w:rPr>
        <w:t>ha</w:t>
      </w:r>
      <w:r w:rsidRPr="00AA552A">
        <w:rPr>
          <w:rFonts w:cs="Cambria"/>
          <w:color w:val="000000"/>
          <w:spacing w:val="1"/>
        </w:rPr>
        <w:t>bi</w:t>
      </w:r>
      <w:r w:rsidRPr="00AA552A">
        <w:rPr>
          <w:rFonts w:cs="Cambria"/>
          <w:color w:val="000000"/>
        </w:rPr>
        <w:t>tat;</w:t>
      </w:r>
      <w:r w:rsidRPr="00AA552A">
        <w:rPr>
          <w:rFonts w:cs="Cambria"/>
          <w:color w:val="000000"/>
          <w:spacing w:val="-4"/>
        </w:rPr>
        <w:t xml:space="preserve"> </w:t>
      </w:r>
      <w:r w:rsidRPr="00AA552A">
        <w:rPr>
          <w:rFonts w:cs="Cambria"/>
          <w:color w:val="000000"/>
          <w:spacing w:val="-1"/>
        </w:rPr>
        <w:t>u</w:t>
      </w:r>
      <w:r w:rsidRPr="00AA552A">
        <w:rPr>
          <w:rFonts w:cs="Cambria"/>
          <w:color w:val="000000"/>
        </w:rPr>
        <w:t>nconsol</w:t>
      </w:r>
      <w:r w:rsidRPr="00AA552A">
        <w:rPr>
          <w:rFonts w:cs="Cambria"/>
          <w:color w:val="000000"/>
          <w:spacing w:val="1"/>
        </w:rPr>
        <w:t>i</w:t>
      </w:r>
      <w:r w:rsidRPr="00AA552A">
        <w:rPr>
          <w:rFonts w:cs="Cambria"/>
          <w:color w:val="000000"/>
          <w:spacing w:val="-1"/>
        </w:rPr>
        <w:t>d</w:t>
      </w:r>
      <w:r w:rsidRPr="00AA552A">
        <w:rPr>
          <w:rFonts w:cs="Cambria"/>
          <w:color w:val="000000"/>
        </w:rPr>
        <w:t>at</w:t>
      </w:r>
      <w:r w:rsidRPr="00AA552A">
        <w:rPr>
          <w:rFonts w:cs="Cambria"/>
          <w:color w:val="000000"/>
          <w:spacing w:val="1"/>
        </w:rPr>
        <w:t>e</w:t>
      </w:r>
      <w:r w:rsidRPr="00AA552A">
        <w:rPr>
          <w:rFonts w:cs="Cambria"/>
          <w:color w:val="000000"/>
        </w:rPr>
        <w:t>d</w:t>
      </w:r>
      <w:r w:rsidRPr="00AA552A">
        <w:rPr>
          <w:rFonts w:cs="Cambria"/>
          <w:color w:val="000000"/>
          <w:spacing w:val="-10"/>
        </w:rPr>
        <w:t xml:space="preserve"> </w:t>
      </w:r>
      <w:r w:rsidRPr="00AA552A">
        <w:rPr>
          <w:rFonts w:cs="Cambria"/>
          <w:color w:val="000000"/>
          <w:spacing w:val="1"/>
        </w:rPr>
        <w:t>b</w:t>
      </w:r>
      <w:r w:rsidRPr="00AA552A">
        <w:rPr>
          <w:rFonts w:cs="Cambria"/>
          <w:color w:val="000000"/>
        </w:rPr>
        <w:t>ottom</w:t>
      </w:r>
      <w:r w:rsidRPr="00AA552A">
        <w:rPr>
          <w:rFonts w:cs="Cambria"/>
          <w:color w:val="000000"/>
          <w:spacing w:val="-3"/>
        </w:rPr>
        <w:t xml:space="preserve"> </w:t>
      </w:r>
      <w:r w:rsidRPr="00AA552A">
        <w:rPr>
          <w:rFonts w:cs="Cambria"/>
          <w:color w:val="000000"/>
        </w:rPr>
        <w:t>(so</w:t>
      </w:r>
      <w:r w:rsidRPr="00AA552A">
        <w:rPr>
          <w:rFonts w:cs="Cambria"/>
          <w:color w:val="000000"/>
          <w:spacing w:val="-1"/>
        </w:rPr>
        <w:t>f</w:t>
      </w:r>
      <w:r w:rsidRPr="00AA552A">
        <w:rPr>
          <w:rFonts w:cs="Cambria"/>
          <w:color w:val="000000"/>
        </w:rPr>
        <w:t>t</w:t>
      </w:r>
      <w:r w:rsidRPr="00AA552A">
        <w:rPr>
          <w:rFonts w:cs="Cambria"/>
          <w:color w:val="000000"/>
          <w:spacing w:val="-4"/>
        </w:rPr>
        <w:t xml:space="preserve"> </w:t>
      </w:r>
      <w:r w:rsidRPr="00AA552A">
        <w:rPr>
          <w:rFonts w:cs="Cambria"/>
          <w:color w:val="000000"/>
        </w:rPr>
        <w:t>s</w:t>
      </w:r>
      <w:r w:rsidRPr="00AA552A">
        <w:rPr>
          <w:rFonts w:cs="Cambria"/>
          <w:color w:val="000000"/>
          <w:spacing w:val="1"/>
        </w:rPr>
        <w:t>e</w:t>
      </w:r>
      <w:r w:rsidRPr="00AA552A">
        <w:rPr>
          <w:rFonts w:cs="Cambria"/>
          <w:color w:val="000000"/>
          <w:spacing w:val="-1"/>
        </w:rPr>
        <w:t>d</w:t>
      </w:r>
      <w:r w:rsidRPr="00AA552A">
        <w:rPr>
          <w:rFonts w:cs="Cambria"/>
          <w:color w:val="000000"/>
          <w:spacing w:val="1"/>
        </w:rPr>
        <w:t>i</w:t>
      </w:r>
      <w:r w:rsidRPr="00AA552A">
        <w:rPr>
          <w:rFonts w:cs="Cambria"/>
          <w:color w:val="000000"/>
        </w:rPr>
        <w:t>m</w:t>
      </w:r>
      <w:r w:rsidRPr="00AA552A">
        <w:rPr>
          <w:rFonts w:cs="Cambria"/>
          <w:color w:val="000000"/>
          <w:spacing w:val="1"/>
        </w:rPr>
        <w:t>e</w:t>
      </w:r>
      <w:r w:rsidRPr="00AA552A">
        <w:rPr>
          <w:rFonts w:cs="Cambria"/>
          <w:color w:val="000000"/>
        </w:rPr>
        <w:t>nts);</w:t>
      </w:r>
      <w:r w:rsidRPr="00AA552A">
        <w:rPr>
          <w:rFonts w:cs="Cambria"/>
          <w:color w:val="000000"/>
          <w:spacing w:val="-9"/>
        </w:rPr>
        <w:t xml:space="preserve"> </w:t>
      </w:r>
      <w:r w:rsidRPr="00AA552A">
        <w:rPr>
          <w:rFonts w:cs="Cambria"/>
          <w:color w:val="000000"/>
        </w:rPr>
        <w:t>co</w:t>
      </w:r>
      <w:r w:rsidRPr="00AA552A">
        <w:rPr>
          <w:rFonts w:cs="Cambria"/>
          <w:color w:val="000000"/>
          <w:spacing w:val="2"/>
        </w:rPr>
        <w:t>r</w:t>
      </w:r>
      <w:r w:rsidRPr="00AA552A">
        <w:rPr>
          <w:rFonts w:cs="Cambria"/>
          <w:color w:val="000000"/>
        </w:rPr>
        <w:t>al</w:t>
      </w:r>
      <w:r w:rsidRPr="00AA552A">
        <w:rPr>
          <w:rFonts w:cs="Cambria"/>
          <w:color w:val="000000"/>
          <w:spacing w:val="-3"/>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l</w:t>
      </w:r>
      <w:r w:rsidRPr="00AA552A">
        <w:rPr>
          <w:rFonts w:cs="Cambria"/>
          <w:color w:val="000000"/>
          <w:spacing w:val="1"/>
        </w:rPr>
        <w:t>i</w:t>
      </w:r>
      <w:r w:rsidRPr="00AA552A">
        <w:rPr>
          <w:rFonts w:cs="Cambria"/>
          <w:color w:val="000000"/>
          <w:spacing w:val="-1"/>
        </w:rPr>
        <w:t>v</w:t>
      </w:r>
      <w:r w:rsidRPr="00AA552A">
        <w:rPr>
          <w:rFonts w:cs="Cambria"/>
          <w:color w:val="000000"/>
          <w:spacing w:val="1"/>
        </w:rPr>
        <w:t>e</w:t>
      </w:r>
      <w:r w:rsidRPr="00AA552A">
        <w:rPr>
          <w:rFonts w:cs="Cambria"/>
          <w:color w:val="000000"/>
        </w:rPr>
        <w:t>/ha</w:t>
      </w:r>
      <w:r w:rsidRPr="00AA552A">
        <w:rPr>
          <w:rFonts w:cs="Cambria"/>
          <w:color w:val="000000"/>
          <w:spacing w:val="-1"/>
        </w:rPr>
        <w:t>r</w:t>
      </w:r>
      <w:r w:rsidRPr="00AA552A">
        <w:rPr>
          <w:rFonts w:cs="Cambria"/>
          <w:color w:val="000000"/>
        </w:rPr>
        <w:t>d</w:t>
      </w:r>
      <w:r w:rsidRPr="00AA552A">
        <w:rPr>
          <w:rFonts w:cs="Cambria"/>
          <w:color w:val="000000"/>
          <w:spacing w:val="-8"/>
        </w:rPr>
        <w:t xml:space="preserve"> </w:t>
      </w:r>
      <w:r w:rsidRPr="00AA552A">
        <w:rPr>
          <w:rFonts w:cs="Cambria"/>
          <w:color w:val="000000"/>
          <w:spacing w:val="1"/>
        </w:rPr>
        <w:t>b</w:t>
      </w:r>
      <w:r w:rsidRPr="00AA552A">
        <w:rPr>
          <w:rFonts w:cs="Cambria"/>
          <w:color w:val="000000"/>
        </w:rPr>
        <w:t>ottom ha</w:t>
      </w:r>
      <w:r w:rsidRPr="00AA552A">
        <w:rPr>
          <w:rFonts w:cs="Cambria"/>
          <w:color w:val="000000"/>
          <w:spacing w:val="1"/>
        </w:rPr>
        <w:t>bi</w:t>
      </w:r>
      <w:r w:rsidRPr="00AA552A">
        <w:rPr>
          <w:rFonts w:cs="Cambria"/>
          <w:color w:val="000000"/>
        </w:rPr>
        <w:t>tat;</w:t>
      </w:r>
      <w:r w:rsidRPr="00AA552A">
        <w:rPr>
          <w:rFonts w:cs="Cambria"/>
          <w:color w:val="000000"/>
          <w:spacing w:val="-4"/>
        </w:rPr>
        <w:t xml:space="preserve"> </w:t>
      </w:r>
      <w:r w:rsidRPr="00AA552A">
        <w:rPr>
          <w:rFonts w:cs="Cambria"/>
          <w:color w:val="000000"/>
        </w:rPr>
        <w:t>s</w:t>
      </w:r>
      <w:r w:rsidRPr="00AA552A">
        <w:rPr>
          <w:rFonts w:cs="Cambria"/>
          <w:color w:val="000000"/>
          <w:spacing w:val="1"/>
        </w:rPr>
        <w:t>p</w:t>
      </w:r>
      <w:r w:rsidRPr="00AA552A">
        <w:rPr>
          <w:rFonts w:cs="Cambria"/>
          <w:color w:val="000000"/>
        </w:rPr>
        <w:t>on</w:t>
      </w:r>
      <w:r w:rsidRPr="00AA552A">
        <w:rPr>
          <w:rFonts w:cs="Cambria"/>
          <w:color w:val="000000"/>
          <w:spacing w:val="-1"/>
        </w:rPr>
        <w:t>g</w:t>
      </w:r>
      <w:r w:rsidRPr="00AA552A">
        <w:rPr>
          <w:rFonts w:cs="Cambria"/>
          <w:color w:val="000000"/>
          <w:spacing w:val="1"/>
        </w:rPr>
        <w:t>e</w:t>
      </w:r>
      <w:r w:rsidRPr="00AA552A">
        <w:rPr>
          <w:rFonts w:cs="Cambria"/>
          <w:color w:val="000000"/>
        </w:rPr>
        <w:t>s;</w:t>
      </w:r>
      <w:r w:rsidRPr="00AA552A">
        <w:rPr>
          <w:rFonts w:cs="Cambria"/>
          <w:color w:val="000000"/>
          <w:spacing w:val="-6"/>
        </w:rPr>
        <w:t xml:space="preserve"> </w:t>
      </w:r>
      <w:r w:rsidRPr="00AA552A">
        <w:rPr>
          <w:rFonts w:cs="Cambria"/>
          <w:color w:val="000000"/>
        </w:rPr>
        <w:t>al</w:t>
      </w:r>
      <w:r w:rsidRPr="00AA552A">
        <w:rPr>
          <w:rFonts w:cs="Cambria"/>
          <w:color w:val="000000"/>
          <w:spacing w:val="-1"/>
        </w:rPr>
        <w:t>g</w:t>
      </w:r>
      <w:r w:rsidRPr="00AA552A">
        <w:rPr>
          <w:rFonts w:cs="Cambria"/>
          <w:color w:val="000000"/>
        </w:rPr>
        <w:t>al comm</w:t>
      </w:r>
      <w:r w:rsidRPr="00AA552A">
        <w:rPr>
          <w:rFonts w:cs="Cambria"/>
          <w:color w:val="000000"/>
          <w:spacing w:val="-1"/>
        </w:rPr>
        <w:t>u</w:t>
      </w:r>
      <w:r w:rsidRPr="00AA552A">
        <w:rPr>
          <w:rFonts w:cs="Cambria"/>
          <w:color w:val="000000"/>
        </w:rPr>
        <w:t>n</w:t>
      </w:r>
      <w:r w:rsidRPr="00AA552A">
        <w:rPr>
          <w:rFonts w:cs="Cambria"/>
          <w:color w:val="000000"/>
          <w:spacing w:val="1"/>
        </w:rPr>
        <w:t>i</w:t>
      </w:r>
      <w:r w:rsidRPr="00AA552A">
        <w:rPr>
          <w:rFonts w:cs="Cambria"/>
          <w:color w:val="000000"/>
        </w:rPr>
        <w:t>t</w:t>
      </w:r>
      <w:r w:rsidRPr="00AA552A">
        <w:rPr>
          <w:rFonts w:cs="Cambria"/>
          <w:color w:val="000000"/>
          <w:spacing w:val="1"/>
        </w:rPr>
        <w:t>ie</w:t>
      </w:r>
      <w:r w:rsidRPr="00AA552A">
        <w:rPr>
          <w:rFonts w:cs="Cambria"/>
          <w:color w:val="000000"/>
        </w:rPr>
        <w:t>s</w:t>
      </w:r>
      <w:r w:rsidRPr="00AA552A">
        <w:rPr>
          <w:rFonts w:cs="Cambria"/>
          <w:color w:val="000000"/>
          <w:spacing w:val="-6"/>
        </w:rPr>
        <w:t xml:space="preserve"> </w:t>
      </w:r>
      <w:r w:rsidRPr="00AA552A">
        <w:rPr>
          <w:rFonts w:cs="Cambria"/>
          <w:color w:val="000000"/>
        </w:rPr>
        <w:t>(</w:t>
      </w:r>
      <w:r w:rsidRPr="00AA552A">
        <w:rPr>
          <w:rFonts w:cs="Cambria"/>
          <w:i/>
          <w:iCs/>
          <w:color w:val="000000"/>
          <w:spacing w:val="-1"/>
        </w:rPr>
        <w:t>L</w:t>
      </w:r>
      <w:r w:rsidRPr="00AA552A">
        <w:rPr>
          <w:rFonts w:cs="Cambria"/>
          <w:i/>
          <w:iCs/>
          <w:color w:val="000000"/>
          <w:spacing w:val="1"/>
        </w:rPr>
        <w:t>aur</w:t>
      </w:r>
      <w:r w:rsidRPr="00AA552A">
        <w:rPr>
          <w:rFonts w:cs="Cambria"/>
          <w:i/>
          <w:iCs/>
          <w:color w:val="000000"/>
          <w:spacing w:val="-2"/>
        </w:rPr>
        <w:t>e</w:t>
      </w:r>
      <w:r w:rsidRPr="00AA552A">
        <w:rPr>
          <w:rFonts w:cs="Cambria"/>
          <w:i/>
          <w:iCs/>
          <w:color w:val="000000"/>
          <w:spacing w:val="1"/>
        </w:rPr>
        <w:t>n</w:t>
      </w:r>
      <w:r w:rsidRPr="00AA552A">
        <w:rPr>
          <w:rFonts w:cs="Cambria"/>
          <w:i/>
          <w:iCs/>
          <w:color w:val="000000"/>
          <w:spacing w:val="-1"/>
        </w:rPr>
        <w:t>c</w:t>
      </w:r>
      <w:r w:rsidRPr="00AA552A">
        <w:rPr>
          <w:rFonts w:cs="Cambria"/>
          <w:i/>
          <w:iCs/>
          <w:color w:val="000000"/>
        </w:rPr>
        <w:t>i</w:t>
      </w:r>
      <w:r w:rsidRPr="00AA552A">
        <w:rPr>
          <w:rFonts w:cs="Cambria"/>
          <w:i/>
          <w:iCs/>
          <w:color w:val="000000"/>
          <w:spacing w:val="-1"/>
        </w:rPr>
        <w:t>a</w:t>
      </w:r>
      <w:r w:rsidRPr="00AA552A">
        <w:rPr>
          <w:rFonts w:cs="Cambria"/>
          <w:color w:val="000000"/>
        </w:rPr>
        <w:t>);</w:t>
      </w:r>
      <w:r w:rsidRPr="00AA552A">
        <w:rPr>
          <w:rFonts w:cs="Cambria"/>
          <w:color w:val="000000"/>
          <w:spacing w:val="-8"/>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man</w:t>
      </w:r>
      <w:r w:rsidRPr="00AA552A">
        <w:rPr>
          <w:rFonts w:cs="Cambria"/>
          <w:color w:val="000000"/>
          <w:spacing w:val="-1"/>
        </w:rPr>
        <w:t>gr</w:t>
      </w:r>
      <w:r w:rsidRPr="00AA552A">
        <w:rPr>
          <w:rFonts w:cs="Cambria"/>
          <w:color w:val="000000"/>
          <w:spacing w:val="2"/>
        </w:rPr>
        <w:t>o</w:t>
      </w:r>
      <w:r w:rsidRPr="00AA552A">
        <w:rPr>
          <w:rFonts w:cs="Cambria"/>
          <w:color w:val="000000"/>
          <w:spacing w:val="-1"/>
        </w:rPr>
        <w:t>v</w:t>
      </w:r>
      <w:r w:rsidRPr="00AA552A">
        <w:rPr>
          <w:rFonts w:cs="Cambria"/>
          <w:color w:val="000000"/>
        </w:rPr>
        <w:t>e</w:t>
      </w:r>
      <w:r w:rsidRPr="00AA552A">
        <w:rPr>
          <w:rFonts w:cs="Cambria"/>
          <w:color w:val="000000"/>
          <w:spacing w:val="-4"/>
        </w:rPr>
        <w:t xml:space="preserve"> </w:t>
      </w:r>
      <w:r w:rsidRPr="00AA552A">
        <w:rPr>
          <w:rFonts w:cs="Cambria"/>
          <w:color w:val="000000"/>
        </w:rPr>
        <w:t>ha</w:t>
      </w:r>
      <w:r w:rsidRPr="00AA552A">
        <w:rPr>
          <w:rFonts w:cs="Cambria"/>
          <w:color w:val="000000"/>
          <w:spacing w:val="1"/>
        </w:rPr>
        <w:t>bi</w:t>
      </w:r>
      <w:r w:rsidRPr="00AA552A">
        <w:rPr>
          <w:rFonts w:cs="Cambria"/>
          <w:color w:val="000000"/>
        </w:rPr>
        <w:t>tat</w:t>
      </w:r>
      <w:r w:rsidRPr="00AA552A">
        <w:rPr>
          <w:rFonts w:cs="Cambria"/>
          <w:color w:val="000000"/>
          <w:spacing w:val="-2"/>
        </w:rPr>
        <w:t xml:space="preserve"> </w:t>
      </w:r>
      <w:r w:rsidRPr="00AA552A">
        <w:rPr>
          <w:rFonts w:cs="Cambria"/>
          <w:color w:val="000000"/>
        </w:rPr>
        <w:t>(</w:t>
      </w:r>
      <w:r w:rsidRPr="00AA552A">
        <w:rPr>
          <w:rFonts w:cs="Cambria"/>
          <w:color w:val="000000"/>
          <w:spacing w:val="1"/>
        </w:rPr>
        <w:t>p</w:t>
      </w:r>
      <w:r w:rsidRPr="00AA552A">
        <w:rPr>
          <w:rFonts w:cs="Cambria"/>
          <w:color w:val="000000"/>
          <w:spacing w:val="-1"/>
        </w:rPr>
        <w:t>r</w:t>
      </w:r>
      <w:r w:rsidRPr="00AA552A">
        <w:rPr>
          <w:rFonts w:cs="Cambria"/>
          <w:color w:val="000000"/>
        </w:rPr>
        <w:t>op</w:t>
      </w:r>
      <w:r w:rsidRPr="00AA552A">
        <w:rPr>
          <w:rFonts w:cs="Cambria"/>
          <w:color w:val="000000"/>
          <w:spacing w:val="-2"/>
        </w:rPr>
        <w:t xml:space="preserve"> </w:t>
      </w:r>
      <w:r w:rsidRPr="00AA552A">
        <w:rPr>
          <w:rFonts w:cs="Cambria"/>
          <w:color w:val="000000"/>
          <w:spacing w:val="-1"/>
        </w:rPr>
        <w:t>r</w:t>
      </w:r>
      <w:r w:rsidRPr="00AA552A">
        <w:rPr>
          <w:rFonts w:cs="Cambria"/>
          <w:color w:val="000000"/>
        </w:rPr>
        <w:t>oots).</w:t>
      </w:r>
      <w:r w:rsidRPr="00AA552A">
        <w:rPr>
          <w:rFonts w:cs="Cambria"/>
          <w:color w:val="000000"/>
          <w:spacing w:val="48"/>
        </w:rPr>
        <w:t xml:space="preserve"> </w:t>
      </w:r>
      <w:r w:rsidRPr="00AA552A">
        <w:rPr>
          <w:rFonts w:cs="Cambria"/>
          <w:color w:val="000000"/>
          <w:spacing w:val="-1"/>
        </w:rPr>
        <w:t>I</w:t>
      </w:r>
      <w:r w:rsidRPr="00AA552A">
        <w:rPr>
          <w:rFonts w:cs="Cambria"/>
          <w:color w:val="000000"/>
        </w:rPr>
        <w:t>n a</w:t>
      </w:r>
      <w:r w:rsidRPr="00AA552A">
        <w:rPr>
          <w:rFonts w:cs="Cambria"/>
          <w:color w:val="000000"/>
          <w:spacing w:val="-1"/>
        </w:rPr>
        <w:t>dd</w:t>
      </w:r>
      <w:r w:rsidRPr="00AA552A">
        <w:rPr>
          <w:rFonts w:cs="Cambria"/>
          <w:color w:val="000000"/>
          <w:spacing w:val="1"/>
        </w:rPr>
        <w:t>i</w:t>
      </w:r>
      <w:r w:rsidRPr="00AA552A">
        <w:rPr>
          <w:rFonts w:cs="Cambria"/>
          <w:color w:val="000000"/>
        </w:rPr>
        <w:t>t</w:t>
      </w:r>
      <w:r w:rsidRPr="00AA552A">
        <w:rPr>
          <w:rFonts w:cs="Cambria"/>
          <w:color w:val="000000"/>
          <w:spacing w:val="1"/>
        </w:rPr>
        <w:t>i</w:t>
      </w:r>
      <w:r w:rsidRPr="00AA552A">
        <w:rPr>
          <w:rFonts w:cs="Cambria"/>
          <w:color w:val="000000"/>
        </w:rPr>
        <w:t>on</w:t>
      </w:r>
      <w:r w:rsidR="004B3243">
        <w:rPr>
          <w:rFonts w:cs="Cambria"/>
          <w:color w:val="000000"/>
        </w:rPr>
        <w:t>,</w:t>
      </w:r>
      <w:r w:rsidRPr="00AA552A">
        <w:rPr>
          <w:rFonts w:cs="Cambria"/>
          <w:color w:val="000000"/>
        </w:rPr>
        <w:t xml:space="preserve"> the</w:t>
      </w:r>
      <w:r w:rsidRPr="00AA552A">
        <w:rPr>
          <w:rFonts w:cs="Cambria"/>
          <w:color w:val="000000"/>
          <w:spacing w:val="-1"/>
        </w:rPr>
        <w:t xml:space="preserve"> </w:t>
      </w:r>
      <w:r w:rsidRPr="00AA552A">
        <w:rPr>
          <w:rFonts w:cs="Cambria"/>
          <w:color w:val="000000"/>
        </w:rPr>
        <w:t>G</w:t>
      </w:r>
      <w:r w:rsidRPr="00AA552A">
        <w:rPr>
          <w:rFonts w:cs="Cambria"/>
          <w:color w:val="000000"/>
          <w:spacing w:val="-1"/>
        </w:rPr>
        <w:t>u</w:t>
      </w:r>
      <w:r w:rsidRPr="00AA552A">
        <w:rPr>
          <w:rFonts w:cs="Cambria"/>
          <w:color w:val="000000"/>
        </w:rPr>
        <w:t>lf</w:t>
      </w:r>
      <w:r w:rsidRPr="00AA552A">
        <w:rPr>
          <w:rFonts w:cs="Cambria"/>
          <w:color w:val="000000"/>
          <w:spacing w:val="-3"/>
        </w:rPr>
        <w:t xml:space="preserve"> </w:t>
      </w:r>
      <w:r w:rsidRPr="00AA552A">
        <w:rPr>
          <w:rFonts w:cs="Cambria"/>
          <w:color w:val="000000"/>
          <w:spacing w:val="1"/>
        </w:rPr>
        <w:t>S</w:t>
      </w:r>
      <w:r w:rsidRPr="00AA552A">
        <w:rPr>
          <w:rFonts w:cs="Cambria"/>
          <w:color w:val="000000"/>
        </w:rPr>
        <w:t>t</w:t>
      </w:r>
      <w:r w:rsidRPr="00AA552A">
        <w:rPr>
          <w:rFonts w:cs="Cambria"/>
          <w:color w:val="000000"/>
          <w:spacing w:val="-1"/>
        </w:rPr>
        <w:t>r</w:t>
      </w:r>
      <w:r w:rsidRPr="00AA552A">
        <w:rPr>
          <w:rFonts w:cs="Cambria"/>
          <w:color w:val="000000"/>
          <w:spacing w:val="1"/>
        </w:rPr>
        <w:t>e</w:t>
      </w:r>
      <w:r w:rsidRPr="00AA552A">
        <w:rPr>
          <w:rFonts w:cs="Cambria"/>
          <w:color w:val="000000"/>
        </w:rPr>
        <w:t>am</w:t>
      </w:r>
      <w:r w:rsidRPr="00AA552A">
        <w:rPr>
          <w:rFonts w:cs="Cambria"/>
          <w:color w:val="000000"/>
          <w:spacing w:val="-2"/>
        </w:rPr>
        <w:t xml:space="preserve"> </w:t>
      </w:r>
      <w:r w:rsidRPr="00AA552A">
        <w:rPr>
          <w:rFonts w:cs="Cambria"/>
          <w:color w:val="000000"/>
          <w:spacing w:val="1"/>
        </w:rPr>
        <w:t>i</w:t>
      </w:r>
      <w:r w:rsidRPr="00AA552A">
        <w:rPr>
          <w:rFonts w:cs="Cambria"/>
          <w:color w:val="000000"/>
        </w:rPr>
        <w:t>s</w:t>
      </w:r>
      <w:r w:rsidRPr="00AA552A">
        <w:rPr>
          <w:rFonts w:cs="Cambria"/>
          <w:color w:val="000000"/>
          <w:spacing w:val="-2"/>
        </w:rPr>
        <w:t xml:space="preserve"> </w:t>
      </w:r>
      <w:r w:rsidRPr="00AA552A">
        <w:rPr>
          <w:rFonts w:cs="Cambria"/>
          <w:color w:val="000000"/>
        </w:rPr>
        <w:t xml:space="preserve">an </w:t>
      </w:r>
      <w:r w:rsidRPr="00AA552A">
        <w:rPr>
          <w:rFonts w:cs="Cambria"/>
          <w:color w:val="000000"/>
          <w:spacing w:val="1"/>
        </w:rPr>
        <w:t>e</w:t>
      </w:r>
      <w:r w:rsidRPr="00AA552A">
        <w:rPr>
          <w:rFonts w:cs="Cambria"/>
          <w:color w:val="000000"/>
          <w:spacing w:val="-2"/>
        </w:rPr>
        <w:t>s</w:t>
      </w:r>
      <w:r w:rsidRPr="00AA552A">
        <w:rPr>
          <w:rFonts w:cs="Cambria"/>
          <w:color w:val="000000"/>
        </w:rPr>
        <w:t>s</w:t>
      </w:r>
      <w:r w:rsidRPr="00AA552A">
        <w:rPr>
          <w:rFonts w:cs="Cambria"/>
          <w:color w:val="000000"/>
          <w:spacing w:val="1"/>
        </w:rPr>
        <w:t>e</w:t>
      </w:r>
      <w:r w:rsidRPr="00AA552A">
        <w:rPr>
          <w:rFonts w:cs="Cambria"/>
          <w:color w:val="000000"/>
        </w:rPr>
        <w:t>nt</w:t>
      </w:r>
      <w:r w:rsidRPr="00AA552A">
        <w:rPr>
          <w:rFonts w:cs="Cambria"/>
          <w:color w:val="000000"/>
          <w:spacing w:val="1"/>
        </w:rPr>
        <w:t>i</w:t>
      </w:r>
      <w:r w:rsidRPr="00AA552A">
        <w:rPr>
          <w:rFonts w:cs="Cambria"/>
          <w:color w:val="000000"/>
        </w:rPr>
        <w:t>al</w:t>
      </w:r>
      <w:r w:rsidRPr="00AA552A">
        <w:rPr>
          <w:rFonts w:cs="Cambria"/>
          <w:color w:val="000000"/>
          <w:spacing w:val="-5"/>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ha</w:t>
      </w:r>
      <w:r w:rsidRPr="00AA552A">
        <w:rPr>
          <w:rFonts w:cs="Cambria"/>
          <w:color w:val="000000"/>
          <w:spacing w:val="1"/>
        </w:rPr>
        <w:t>bi</w:t>
      </w:r>
      <w:r w:rsidRPr="00AA552A">
        <w:rPr>
          <w:rFonts w:cs="Cambria"/>
          <w:color w:val="000000"/>
        </w:rPr>
        <w:t>t</w:t>
      </w:r>
      <w:r w:rsidRPr="00AA552A">
        <w:rPr>
          <w:rFonts w:cs="Cambria"/>
          <w:color w:val="000000"/>
          <w:spacing w:val="-2"/>
        </w:rPr>
        <w:t>a</w:t>
      </w:r>
      <w:r w:rsidRPr="00AA552A">
        <w:rPr>
          <w:rFonts w:cs="Cambria"/>
          <w:color w:val="000000"/>
        </w:rPr>
        <w:t>t</w:t>
      </w:r>
      <w:r w:rsidRPr="00AA552A">
        <w:rPr>
          <w:rFonts w:cs="Cambria"/>
          <w:color w:val="000000"/>
          <w:spacing w:val="-2"/>
        </w:rPr>
        <w:t xml:space="preserve"> </w:t>
      </w:r>
      <w:r w:rsidRPr="00AA552A">
        <w:rPr>
          <w:rFonts w:cs="Cambria"/>
          <w:color w:val="000000"/>
          <w:spacing w:val="1"/>
        </w:rPr>
        <w:t>be</w:t>
      </w:r>
      <w:r w:rsidRPr="00AA552A">
        <w:rPr>
          <w:rFonts w:cs="Cambria"/>
          <w:color w:val="000000"/>
        </w:rPr>
        <w:t>c</w:t>
      </w:r>
      <w:r w:rsidRPr="00AA552A">
        <w:rPr>
          <w:rFonts w:cs="Cambria"/>
          <w:color w:val="000000"/>
          <w:spacing w:val="-2"/>
        </w:rPr>
        <w:t>a</w:t>
      </w:r>
      <w:r w:rsidRPr="00AA552A">
        <w:rPr>
          <w:rFonts w:cs="Cambria"/>
          <w:color w:val="000000"/>
          <w:spacing w:val="-1"/>
        </w:rPr>
        <w:t>u</w:t>
      </w:r>
      <w:r w:rsidRPr="00AA552A">
        <w:rPr>
          <w:rFonts w:cs="Cambria"/>
          <w:color w:val="000000"/>
        </w:rPr>
        <w:t>se</w:t>
      </w:r>
      <w:r w:rsidRPr="00AA552A">
        <w:rPr>
          <w:rFonts w:cs="Cambria"/>
          <w:color w:val="000000"/>
          <w:spacing w:val="-3"/>
        </w:rPr>
        <w:t xml:space="preserve"> </w:t>
      </w:r>
      <w:r w:rsidRPr="00AA552A">
        <w:rPr>
          <w:rFonts w:cs="Cambria"/>
          <w:color w:val="000000"/>
          <w:spacing w:val="1"/>
        </w:rPr>
        <w:t>i</w:t>
      </w:r>
      <w:r w:rsidRPr="00AA552A">
        <w:rPr>
          <w:rFonts w:cs="Cambria"/>
          <w:color w:val="000000"/>
        </w:rPr>
        <w:t>t</w:t>
      </w:r>
      <w:r w:rsidRPr="00AA552A">
        <w:rPr>
          <w:rFonts w:cs="Cambria"/>
          <w:color w:val="000000"/>
          <w:spacing w:val="-1"/>
        </w:rPr>
        <w:t xml:space="preserve"> </w:t>
      </w:r>
      <w:r w:rsidRPr="00AA552A">
        <w:rPr>
          <w:rFonts w:cs="Cambria"/>
          <w:color w:val="000000"/>
          <w:spacing w:val="1"/>
        </w:rPr>
        <w:t>p</w:t>
      </w:r>
      <w:r w:rsidRPr="00AA552A">
        <w:rPr>
          <w:rFonts w:cs="Cambria"/>
          <w:color w:val="000000"/>
          <w:spacing w:val="-1"/>
        </w:rPr>
        <w:t>r</w:t>
      </w:r>
      <w:r w:rsidRPr="00AA552A">
        <w:rPr>
          <w:rFonts w:cs="Cambria"/>
          <w:color w:val="000000"/>
        </w:rPr>
        <w:t>o</w:t>
      </w:r>
      <w:r w:rsidRPr="00AA552A">
        <w:rPr>
          <w:rFonts w:cs="Cambria"/>
          <w:color w:val="000000"/>
          <w:spacing w:val="-1"/>
        </w:rPr>
        <w:t>v</w:t>
      </w:r>
      <w:r w:rsidRPr="00AA552A">
        <w:rPr>
          <w:rFonts w:cs="Cambria"/>
          <w:color w:val="000000"/>
          <w:spacing w:val="1"/>
        </w:rPr>
        <w:t>i</w:t>
      </w:r>
      <w:r w:rsidRPr="00AA552A">
        <w:rPr>
          <w:rFonts w:cs="Cambria"/>
          <w:color w:val="000000"/>
          <w:spacing w:val="-1"/>
        </w:rPr>
        <w:t>d</w:t>
      </w:r>
      <w:r w:rsidRPr="00AA552A">
        <w:rPr>
          <w:rFonts w:cs="Cambria"/>
          <w:color w:val="000000"/>
          <w:spacing w:val="1"/>
        </w:rPr>
        <w:t>e</w:t>
      </w:r>
      <w:r w:rsidRPr="00AA552A">
        <w:rPr>
          <w:rFonts w:cs="Cambria"/>
          <w:color w:val="000000"/>
        </w:rPr>
        <w:t>s</w:t>
      </w:r>
      <w:r w:rsidRPr="00AA552A">
        <w:rPr>
          <w:rFonts w:cs="Cambria"/>
          <w:color w:val="000000"/>
          <w:spacing w:val="-8"/>
        </w:rPr>
        <w:t xml:space="preserve"> </w:t>
      </w:r>
      <w:r w:rsidRPr="00AA552A">
        <w:rPr>
          <w:rFonts w:cs="Cambria"/>
          <w:color w:val="000000"/>
        </w:rPr>
        <w:t>a m</w:t>
      </w:r>
      <w:r w:rsidRPr="00AA552A">
        <w:rPr>
          <w:rFonts w:cs="Cambria"/>
          <w:color w:val="000000"/>
          <w:spacing w:val="1"/>
        </w:rPr>
        <w:t>e</w:t>
      </w:r>
      <w:r w:rsidRPr="00AA552A">
        <w:rPr>
          <w:rFonts w:cs="Cambria"/>
          <w:color w:val="000000"/>
        </w:rPr>
        <w:t>chan</w:t>
      </w:r>
      <w:r w:rsidRPr="00AA552A">
        <w:rPr>
          <w:rFonts w:cs="Cambria"/>
          <w:color w:val="000000"/>
          <w:spacing w:val="1"/>
        </w:rPr>
        <w:t>i</w:t>
      </w:r>
      <w:r w:rsidRPr="00AA552A">
        <w:rPr>
          <w:rFonts w:cs="Cambria"/>
          <w:color w:val="000000"/>
        </w:rPr>
        <w:t>sm</w:t>
      </w:r>
      <w:r w:rsidRPr="00AA552A">
        <w:rPr>
          <w:rFonts w:cs="Cambria"/>
          <w:color w:val="000000"/>
          <w:spacing w:val="-5"/>
        </w:rPr>
        <w:t xml:space="preserve"> </w:t>
      </w:r>
      <w:r w:rsidRPr="00AA552A">
        <w:rPr>
          <w:rFonts w:cs="Cambria"/>
          <w:color w:val="000000"/>
        </w:rPr>
        <w:t>to</w:t>
      </w:r>
      <w:r w:rsidRPr="00AA552A">
        <w:rPr>
          <w:rFonts w:cs="Cambria"/>
          <w:color w:val="000000"/>
          <w:spacing w:val="-1"/>
        </w:rPr>
        <w:t xml:space="preserve"> d</w:t>
      </w:r>
      <w:r w:rsidRPr="00AA552A">
        <w:rPr>
          <w:rFonts w:cs="Cambria"/>
          <w:color w:val="000000"/>
          <w:spacing w:val="1"/>
        </w:rPr>
        <w:t>i</w:t>
      </w:r>
      <w:r w:rsidRPr="00AA552A">
        <w:rPr>
          <w:rFonts w:cs="Cambria"/>
          <w:color w:val="000000"/>
        </w:rPr>
        <w:t>s</w:t>
      </w:r>
      <w:r w:rsidRPr="00AA552A">
        <w:rPr>
          <w:rFonts w:cs="Cambria"/>
          <w:color w:val="000000"/>
          <w:spacing w:val="1"/>
        </w:rPr>
        <w:t>pe</w:t>
      </w:r>
      <w:r w:rsidRPr="00AA552A">
        <w:rPr>
          <w:rFonts w:cs="Cambria"/>
          <w:color w:val="000000"/>
          <w:spacing w:val="-1"/>
        </w:rPr>
        <w:t>r</w:t>
      </w:r>
      <w:r w:rsidRPr="00AA552A">
        <w:rPr>
          <w:rFonts w:cs="Cambria"/>
          <w:color w:val="000000"/>
        </w:rPr>
        <w:t>se</w:t>
      </w:r>
      <w:r w:rsidRPr="00AA552A">
        <w:rPr>
          <w:rFonts w:cs="Cambria"/>
          <w:color w:val="000000"/>
          <w:spacing w:val="-6"/>
        </w:rPr>
        <w:t xml:space="preserve"> </w:t>
      </w:r>
      <w:r w:rsidRPr="00AA552A">
        <w:rPr>
          <w:rFonts w:cs="Cambria"/>
          <w:color w:val="000000"/>
        </w:rPr>
        <w:t>s</w:t>
      </w:r>
      <w:r w:rsidRPr="00AA552A">
        <w:rPr>
          <w:rFonts w:cs="Cambria"/>
          <w:color w:val="000000"/>
          <w:spacing w:val="1"/>
        </w:rPr>
        <w:t>pi</w:t>
      </w:r>
      <w:r w:rsidRPr="00AA552A">
        <w:rPr>
          <w:rFonts w:cs="Cambria"/>
          <w:color w:val="000000"/>
        </w:rPr>
        <w:t>ny lo</w:t>
      </w:r>
      <w:r w:rsidRPr="00AA552A">
        <w:rPr>
          <w:rFonts w:cs="Cambria"/>
          <w:color w:val="000000"/>
          <w:spacing w:val="1"/>
        </w:rPr>
        <w:t>b</w:t>
      </w:r>
      <w:r w:rsidRPr="00AA552A">
        <w:rPr>
          <w:rFonts w:cs="Cambria"/>
          <w:color w:val="000000"/>
        </w:rPr>
        <w:t>st</w:t>
      </w:r>
      <w:r w:rsidRPr="00AA552A">
        <w:rPr>
          <w:rFonts w:cs="Cambria"/>
          <w:color w:val="000000"/>
          <w:spacing w:val="1"/>
        </w:rPr>
        <w:t>e</w:t>
      </w:r>
      <w:r w:rsidRPr="00AA552A">
        <w:rPr>
          <w:rFonts w:cs="Cambria"/>
          <w:color w:val="000000"/>
        </w:rPr>
        <w:t>r</w:t>
      </w:r>
      <w:r w:rsidRPr="00AA552A">
        <w:rPr>
          <w:rFonts w:cs="Cambria"/>
          <w:color w:val="000000"/>
          <w:spacing w:val="-5"/>
        </w:rPr>
        <w:t xml:space="preserve"> </w:t>
      </w:r>
      <w:r w:rsidRPr="00AA552A">
        <w:rPr>
          <w:rFonts w:cs="Cambria"/>
          <w:color w:val="000000"/>
        </w:rPr>
        <w:t>la</w:t>
      </w:r>
      <w:r w:rsidRPr="00AA552A">
        <w:rPr>
          <w:rFonts w:cs="Cambria"/>
          <w:color w:val="000000"/>
          <w:spacing w:val="-1"/>
        </w:rPr>
        <w:t>rv</w:t>
      </w:r>
      <w:r w:rsidRPr="00AA552A">
        <w:rPr>
          <w:rFonts w:cs="Cambria"/>
          <w:color w:val="000000"/>
        </w:rPr>
        <w:t>a</w:t>
      </w:r>
      <w:r w:rsidRPr="00AA552A">
        <w:rPr>
          <w:rFonts w:cs="Cambria"/>
          <w:color w:val="000000"/>
          <w:spacing w:val="1"/>
        </w:rPr>
        <w:t>e</w:t>
      </w:r>
      <w:r w:rsidRPr="00AA552A">
        <w:rPr>
          <w:rFonts w:cs="Cambria"/>
          <w:color w:val="000000"/>
        </w:rPr>
        <w:t>.</w:t>
      </w:r>
    </w:p>
    <w:p w14:paraId="5FCCE587" w14:textId="77777777" w:rsidR="00DC4922" w:rsidRPr="00AA552A" w:rsidRDefault="00DC4922" w:rsidP="00DC4922">
      <w:pPr>
        <w:rPr>
          <w:rFonts w:cs="Cambria"/>
          <w:color w:val="000000"/>
          <w:sz w:val="28"/>
        </w:rPr>
      </w:pPr>
    </w:p>
    <w:p w14:paraId="528E6368" w14:textId="77777777" w:rsidR="00DC4922" w:rsidRPr="00AA552A" w:rsidRDefault="00DC4922" w:rsidP="00640526">
      <w:pPr>
        <w:ind w:firstLine="360"/>
        <w:rPr>
          <w:rFonts w:cs="Cambria"/>
          <w:color w:val="000000"/>
        </w:rPr>
      </w:pPr>
      <w:r w:rsidRPr="00AA552A">
        <w:rPr>
          <w:rFonts w:cs="Cambria"/>
          <w:color w:val="000000"/>
          <w:spacing w:val="-1"/>
        </w:rPr>
        <w:t>Ar</w:t>
      </w:r>
      <w:r w:rsidRPr="00AA552A">
        <w:rPr>
          <w:rFonts w:cs="Cambria"/>
          <w:color w:val="000000"/>
          <w:spacing w:val="1"/>
        </w:rPr>
        <w:t>e</w:t>
      </w:r>
      <w:r w:rsidRPr="00AA552A">
        <w:rPr>
          <w:rFonts w:cs="Cambria"/>
          <w:color w:val="000000"/>
        </w:rPr>
        <w:t>as</w:t>
      </w:r>
      <w:r w:rsidRPr="00AA552A">
        <w:rPr>
          <w:rFonts w:cs="Cambria"/>
          <w:color w:val="000000"/>
          <w:spacing w:val="-3"/>
        </w:rPr>
        <w:t xml:space="preserve"> </w:t>
      </w:r>
      <w:r w:rsidRPr="00AA552A">
        <w:rPr>
          <w:rFonts w:cs="Cambria"/>
          <w:color w:val="000000"/>
          <w:spacing w:val="-1"/>
        </w:rPr>
        <w:t>w</w:t>
      </w:r>
      <w:r w:rsidRPr="00AA552A">
        <w:rPr>
          <w:rFonts w:cs="Cambria"/>
          <w:color w:val="000000"/>
        </w:rPr>
        <w:t>h</w:t>
      </w:r>
      <w:r w:rsidRPr="00AA552A">
        <w:rPr>
          <w:rFonts w:cs="Cambria"/>
          <w:color w:val="000000"/>
          <w:spacing w:val="1"/>
        </w:rPr>
        <w:t>i</w:t>
      </w:r>
      <w:r w:rsidRPr="00AA552A">
        <w:rPr>
          <w:rFonts w:cs="Cambria"/>
          <w:color w:val="000000"/>
        </w:rPr>
        <w:t>ch</w:t>
      </w:r>
      <w:r w:rsidRPr="00AA552A">
        <w:rPr>
          <w:rFonts w:cs="Cambria"/>
          <w:color w:val="000000"/>
          <w:spacing w:val="-4"/>
        </w:rPr>
        <w:t xml:space="preserve"> </w:t>
      </w:r>
      <w:r w:rsidRPr="00AA552A">
        <w:rPr>
          <w:rFonts w:cs="Cambria"/>
          <w:color w:val="000000"/>
        </w:rPr>
        <w:t>m</w:t>
      </w:r>
      <w:r w:rsidRPr="00AA552A">
        <w:rPr>
          <w:rFonts w:cs="Cambria"/>
          <w:color w:val="000000"/>
          <w:spacing w:val="1"/>
        </w:rPr>
        <w:t>ee</w:t>
      </w:r>
      <w:r w:rsidRPr="00AA552A">
        <w:rPr>
          <w:rFonts w:cs="Cambria"/>
          <w:color w:val="000000"/>
        </w:rPr>
        <w:t>t</w:t>
      </w:r>
      <w:r w:rsidRPr="00AA552A">
        <w:rPr>
          <w:rFonts w:cs="Cambria"/>
          <w:color w:val="000000"/>
          <w:spacing w:val="-2"/>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2"/>
        </w:rPr>
        <w:t>c</w:t>
      </w:r>
      <w:r w:rsidRPr="00AA552A">
        <w:rPr>
          <w:rFonts w:cs="Cambria"/>
          <w:color w:val="000000"/>
          <w:spacing w:val="-1"/>
        </w:rPr>
        <w:t>r</w:t>
      </w:r>
      <w:r w:rsidRPr="00AA552A">
        <w:rPr>
          <w:rFonts w:cs="Cambria"/>
          <w:color w:val="000000"/>
          <w:spacing w:val="1"/>
        </w:rPr>
        <w:t>i</w:t>
      </w:r>
      <w:r w:rsidRPr="00AA552A">
        <w:rPr>
          <w:rFonts w:cs="Cambria"/>
          <w:color w:val="000000"/>
        </w:rPr>
        <w:t>t</w:t>
      </w:r>
      <w:r w:rsidRPr="00AA552A">
        <w:rPr>
          <w:rFonts w:cs="Cambria"/>
          <w:color w:val="000000"/>
          <w:spacing w:val="1"/>
        </w:rPr>
        <w:t>e</w:t>
      </w:r>
      <w:r w:rsidRPr="00AA552A">
        <w:rPr>
          <w:rFonts w:cs="Cambria"/>
          <w:color w:val="000000"/>
          <w:spacing w:val="-1"/>
        </w:rPr>
        <w:t>r</w:t>
      </w:r>
      <w:r w:rsidRPr="00AA552A">
        <w:rPr>
          <w:rFonts w:cs="Cambria"/>
          <w:color w:val="000000"/>
          <w:spacing w:val="1"/>
        </w:rPr>
        <w:t>i</w:t>
      </w:r>
      <w:r w:rsidRPr="00AA552A">
        <w:rPr>
          <w:rFonts w:cs="Cambria"/>
          <w:color w:val="000000"/>
        </w:rPr>
        <w:t>a</w:t>
      </w:r>
      <w:r w:rsidRPr="00AA552A">
        <w:rPr>
          <w:rFonts w:cs="Cambria"/>
          <w:color w:val="000000"/>
          <w:spacing w:val="-6"/>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spacing w:val="1"/>
        </w:rPr>
        <w:t>EFH</w:t>
      </w:r>
      <w:r w:rsidRPr="00AA552A">
        <w:rPr>
          <w:rFonts w:cs="Cambria"/>
          <w:color w:val="000000"/>
        </w:rPr>
        <w:t>-</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s</w:t>
      </w:r>
      <w:r w:rsidRPr="00AA552A">
        <w:rPr>
          <w:rFonts w:cs="Cambria"/>
          <w:color w:val="000000"/>
          <w:spacing w:val="-8"/>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rPr>
        <w:t>s</w:t>
      </w:r>
      <w:r w:rsidRPr="00AA552A">
        <w:rPr>
          <w:rFonts w:cs="Cambria"/>
          <w:color w:val="000000"/>
          <w:spacing w:val="1"/>
        </w:rPr>
        <w:t>pi</w:t>
      </w:r>
      <w:r w:rsidRPr="00AA552A">
        <w:rPr>
          <w:rFonts w:cs="Cambria"/>
          <w:color w:val="000000"/>
        </w:rPr>
        <w:t>ny</w:t>
      </w:r>
      <w:r w:rsidRPr="00AA552A">
        <w:rPr>
          <w:rFonts w:cs="Cambria"/>
          <w:color w:val="000000"/>
          <w:spacing w:val="-4"/>
        </w:rPr>
        <w:t xml:space="preserve"> </w:t>
      </w:r>
      <w:r w:rsidRPr="00AA552A">
        <w:rPr>
          <w:rFonts w:cs="Cambria"/>
          <w:color w:val="000000"/>
        </w:rPr>
        <w:t>lo</w:t>
      </w:r>
      <w:r w:rsidRPr="00AA552A">
        <w:rPr>
          <w:rFonts w:cs="Cambria"/>
          <w:color w:val="000000"/>
          <w:spacing w:val="1"/>
        </w:rPr>
        <w:t>b</w:t>
      </w:r>
      <w:r w:rsidRPr="00AA552A">
        <w:rPr>
          <w:rFonts w:cs="Cambria"/>
          <w:color w:val="000000"/>
        </w:rPr>
        <w:t>st</w:t>
      </w:r>
      <w:r w:rsidRPr="00AA552A">
        <w:rPr>
          <w:rFonts w:cs="Cambria"/>
          <w:color w:val="000000"/>
          <w:spacing w:val="1"/>
        </w:rPr>
        <w:t>e</w:t>
      </w:r>
      <w:r w:rsidRPr="00AA552A">
        <w:rPr>
          <w:rFonts w:cs="Cambria"/>
          <w:color w:val="000000"/>
        </w:rPr>
        <w:t>r</w:t>
      </w:r>
      <w:r w:rsidRPr="00AA552A">
        <w:rPr>
          <w:rFonts w:cs="Cambria"/>
          <w:color w:val="000000"/>
          <w:spacing w:val="-5"/>
        </w:rPr>
        <w:t xml:space="preserve"> </w:t>
      </w:r>
      <w:r w:rsidRPr="00AA552A">
        <w:rPr>
          <w:rFonts w:cs="Cambria"/>
          <w:color w:val="000000"/>
          <w:spacing w:val="1"/>
        </w:rPr>
        <w:t>i</w:t>
      </w:r>
      <w:r w:rsidRPr="00AA552A">
        <w:rPr>
          <w:rFonts w:cs="Cambria"/>
          <w:color w:val="000000"/>
        </w:rPr>
        <w:t>nclu</w:t>
      </w:r>
      <w:r w:rsidRPr="00AA552A">
        <w:rPr>
          <w:rFonts w:cs="Cambria"/>
          <w:color w:val="000000"/>
          <w:spacing w:val="-1"/>
        </w:rPr>
        <w:t>d</w:t>
      </w:r>
      <w:r w:rsidRPr="00AA552A">
        <w:rPr>
          <w:rFonts w:cs="Cambria"/>
          <w:color w:val="000000"/>
        </w:rPr>
        <w:t>e</w:t>
      </w:r>
      <w:r w:rsidRPr="00AA552A">
        <w:rPr>
          <w:rFonts w:cs="Cambria"/>
          <w:color w:val="000000"/>
          <w:spacing w:val="-5"/>
        </w:rPr>
        <w:t xml:space="preserv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6"/>
        </w:rPr>
        <w:t xml:space="preserve"> </w:t>
      </w:r>
      <w:r w:rsidRPr="00AA552A">
        <w:rPr>
          <w:rFonts w:cs="Cambria"/>
          <w:color w:val="000000"/>
        </w:rPr>
        <w:t>Ba</w:t>
      </w:r>
      <w:r w:rsidRPr="00AA552A">
        <w:rPr>
          <w:rFonts w:cs="Cambria"/>
          <w:color w:val="000000"/>
          <w:spacing w:val="-1"/>
        </w:rPr>
        <w:t>y</w:t>
      </w:r>
      <w:r w:rsidRPr="00AA552A">
        <w:rPr>
          <w:rFonts w:cs="Cambria"/>
          <w:color w:val="000000"/>
        </w:rPr>
        <w:t>, B</w:t>
      </w:r>
      <w:r w:rsidRPr="00AA552A">
        <w:rPr>
          <w:rFonts w:cs="Cambria"/>
          <w:color w:val="000000"/>
          <w:spacing w:val="1"/>
        </w:rPr>
        <w:t>i</w:t>
      </w:r>
      <w:r w:rsidRPr="00AA552A">
        <w:rPr>
          <w:rFonts w:cs="Cambria"/>
          <w:color w:val="000000"/>
        </w:rPr>
        <w:t>sca</w:t>
      </w:r>
      <w:r w:rsidRPr="00AA552A">
        <w:rPr>
          <w:rFonts w:cs="Cambria"/>
          <w:color w:val="000000"/>
          <w:spacing w:val="-1"/>
        </w:rPr>
        <w:t>y</w:t>
      </w:r>
      <w:r w:rsidRPr="00AA552A">
        <w:rPr>
          <w:rFonts w:cs="Cambria"/>
          <w:color w:val="000000"/>
        </w:rPr>
        <w:t>ne</w:t>
      </w:r>
      <w:r w:rsidRPr="00AA552A">
        <w:rPr>
          <w:rFonts w:cs="Cambria"/>
          <w:color w:val="000000"/>
          <w:spacing w:val="-4"/>
        </w:rPr>
        <w:t xml:space="preserve"> </w:t>
      </w:r>
      <w:r w:rsidRPr="00AA552A">
        <w:rPr>
          <w:rFonts w:cs="Cambria"/>
          <w:color w:val="000000"/>
        </w:rPr>
        <w:t>Ba</w:t>
      </w:r>
      <w:r w:rsidRPr="00AA552A">
        <w:rPr>
          <w:rFonts w:cs="Cambria"/>
          <w:color w:val="000000"/>
          <w:spacing w:val="-1"/>
        </w:rPr>
        <w:t>y</w:t>
      </w:r>
      <w:r w:rsidRPr="00AA552A">
        <w:rPr>
          <w:rFonts w:cs="Cambria"/>
          <w:color w:val="000000"/>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rPr>
        <w:t>d</w:t>
      </w:r>
      <w:r w:rsidRPr="00AA552A">
        <w:rPr>
          <w:rFonts w:cs="Cambria"/>
          <w:color w:val="000000"/>
          <w:spacing w:val="-5"/>
        </w:rPr>
        <w:t xml:space="preserve"> </w:t>
      </w:r>
      <w:r w:rsidRPr="00AA552A">
        <w:rPr>
          <w:rFonts w:cs="Cambria"/>
          <w:color w:val="000000"/>
          <w:spacing w:val="1"/>
        </w:rPr>
        <w:t>S</w:t>
      </w:r>
      <w:r w:rsidRPr="00AA552A">
        <w:rPr>
          <w:rFonts w:cs="Cambria"/>
          <w:color w:val="000000"/>
        </w:rPr>
        <w:t>o</w:t>
      </w:r>
      <w:r w:rsidRPr="00AA552A">
        <w:rPr>
          <w:rFonts w:cs="Cambria"/>
          <w:color w:val="000000"/>
          <w:spacing w:val="-1"/>
        </w:rPr>
        <w:t>u</w:t>
      </w:r>
      <w:r w:rsidRPr="00AA552A">
        <w:rPr>
          <w:rFonts w:cs="Cambria"/>
          <w:color w:val="000000"/>
        </w:rPr>
        <w:t>n</w:t>
      </w:r>
      <w:r w:rsidRPr="00AA552A">
        <w:rPr>
          <w:rFonts w:cs="Cambria"/>
          <w:color w:val="000000"/>
          <w:spacing w:val="-1"/>
        </w:rPr>
        <w:t>d</w:t>
      </w:r>
      <w:r w:rsidRPr="00AA552A">
        <w:rPr>
          <w:rFonts w:cs="Cambria"/>
          <w:color w:val="000000"/>
        </w:rPr>
        <w:t>,</w:t>
      </w:r>
      <w:r w:rsidRPr="00AA552A">
        <w:rPr>
          <w:rFonts w:cs="Cambria"/>
          <w:color w:val="000000"/>
          <w:spacing w:val="-2"/>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co</w:t>
      </w:r>
      <w:r w:rsidRPr="00AA552A">
        <w:rPr>
          <w:rFonts w:cs="Cambria"/>
          <w:color w:val="000000"/>
          <w:spacing w:val="-1"/>
        </w:rPr>
        <w:t>r</w:t>
      </w:r>
      <w:r w:rsidRPr="00AA552A">
        <w:rPr>
          <w:rFonts w:cs="Cambria"/>
          <w:color w:val="000000"/>
        </w:rPr>
        <w:t>al</w:t>
      </w:r>
      <w:r w:rsidRPr="00AA552A">
        <w:rPr>
          <w:rFonts w:cs="Cambria"/>
          <w:color w:val="000000"/>
          <w:spacing w:val="2"/>
        </w:rPr>
        <w:t>/</w:t>
      </w:r>
      <w:r w:rsidRPr="00AA552A">
        <w:rPr>
          <w:rFonts w:cs="Cambria"/>
          <w:color w:val="000000"/>
        </w:rPr>
        <w:t>ha</w:t>
      </w:r>
      <w:r w:rsidRPr="00AA552A">
        <w:rPr>
          <w:rFonts w:cs="Cambria"/>
          <w:color w:val="000000"/>
          <w:spacing w:val="-1"/>
        </w:rPr>
        <w:t>r</w:t>
      </w:r>
      <w:r w:rsidRPr="00AA552A">
        <w:rPr>
          <w:rFonts w:cs="Cambria"/>
          <w:color w:val="000000"/>
        </w:rPr>
        <w:t>d</w:t>
      </w:r>
      <w:r w:rsidRPr="00AA552A">
        <w:rPr>
          <w:rFonts w:cs="Cambria"/>
          <w:color w:val="000000"/>
          <w:spacing w:val="-8"/>
        </w:rPr>
        <w:t xml:space="preserve"> </w:t>
      </w:r>
      <w:r w:rsidRPr="00AA552A">
        <w:rPr>
          <w:rFonts w:cs="Cambria"/>
          <w:color w:val="000000"/>
          <w:spacing w:val="1"/>
        </w:rPr>
        <w:t>b</w:t>
      </w:r>
      <w:r w:rsidRPr="00AA552A">
        <w:rPr>
          <w:rFonts w:cs="Cambria"/>
          <w:color w:val="000000"/>
        </w:rPr>
        <w:t>ottom</w:t>
      </w:r>
      <w:r w:rsidRPr="00AA552A">
        <w:rPr>
          <w:rFonts w:cs="Cambria"/>
          <w:color w:val="000000"/>
          <w:spacing w:val="-3"/>
        </w:rPr>
        <w:t xml:space="preserve"> </w:t>
      </w:r>
      <w:r w:rsidRPr="00AA552A">
        <w:rPr>
          <w:rFonts w:cs="Cambria"/>
          <w:color w:val="000000"/>
        </w:rPr>
        <w:t>ha</w:t>
      </w:r>
      <w:r w:rsidRPr="00AA552A">
        <w:rPr>
          <w:rFonts w:cs="Cambria"/>
          <w:color w:val="000000"/>
          <w:spacing w:val="1"/>
        </w:rPr>
        <w:t>bi</w:t>
      </w:r>
      <w:r w:rsidRPr="00AA552A">
        <w:rPr>
          <w:rFonts w:cs="Cambria"/>
          <w:color w:val="000000"/>
        </w:rPr>
        <w:t>tat</w:t>
      </w:r>
      <w:r w:rsidRPr="00AA552A">
        <w:rPr>
          <w:rFonts w:cs="Cambria"/>
          <w:color w:val="000000"/>
          <w:spacing w:val="-2"/>
        </w:rPr>
        <w:t xml:space="preserve"> </w:t>
      </w:r>
      <w:r w:rsidRPr="00AA552A">
        <w:rPr>
          <w:rFonts w:cs="Cambria"/>
          <w:color w:val="000000"/>
          <w:spacing w:val="-1"/>
        </w:rPr>
        <w:t>fr</w:t>
      </w:r>
      <w:r w:rsidRPr="00AA552A">
        <w:rPr>
          <w:rFonts w:cs="Cambria"/>
          <w:color w:val="000000"/>
        </w:rPr>
        <w:t>om</w:t>
      </w:r>
      <w:r w:rsidRPr="00AA552A">
        <w:rPr>
          <w:rFonts w:cs="Cambria"/>
          <w:color w:val="000000"/>
          <w:spacing w:val="-3"/>
        </w:rPr>
        <w:t xml:space="preserve"> </w:t>
      </w:r>
      <w:r w:rsidRPr="00AA552A">
        <w:rPr>
          <w:rFonts w:cs="Cambria"/>
          <w:color w:val="000000"/>
          <w:spacing w:val="1"/>
        </w:rPr>
        <w:t>J</w:t>
      </w:r>
      <w:r w:rsidRPr="00AA552A">
        <w:rPr>
          <w:rFonts w:cs="Cambria"/>
          <w:color w:val="000000"/>
          <w:spacing w:val="-1"/>
        </w:rPr>
        <w:t>u</w:t>
      </w:r>
      <w:r w:rsidRPr="00AA552A">
        <w:rPr>
          <w:rFonts w:cs="Cambria"/>
          <w:color w:val="000000"/>
          <w:spacing w:val="1"/>
        </w:rPr>
        <w:t>pi</w:t>
      </w:r>
      <w:r w:rsidRPr="00AA552A">
        <w:rPr>
          <w:rFonts w:cs="Cambria"/>
          <w:color w:val="000000"/>
        </w:rPr>
        <w:t>t</w:t>
      </w:r>
      <w:r w:rsidRPr="00AA552A">
        <w:rPr>
          <w:rFonts w:cs="Cambria"/>
          <w:color w:val="000000"/>
          <w:spacing w:val="1"/>
        </w:rPr>
        <w:t>e</w:t>
      </w:r>
      <w:r w:rsidRPr="00AA552A">
        <w:rPr>
          <w:rFonts w:cs="Cambria"/>
          <w:color w:val="000000"/>
        </w:rPr>
        <w:t>r</w:t>
      </w:r>
      <w:r w:rsidRPr="00AA552A">
        <w:rPr>
          <w:rFonts w:cs="Cambria"/>
          <w:color w:val="000000"/>
          <w:spacing w:val="-5"/>
        </w:rPr>
        <w:t xml:space="preserve"> </w:t>
      </w:r>
      <w:r w:rsidRPr="00AA552A">
        <w:rPr>
          <w:rFonts w:cs="Cambria"/>
          <w:color w:val="000000"/>
          <w:spacing w:val="-1"/>
        </w:rPr>
        <w:t>I</w:t>
      </w:r>
      <w:r w:rsidRPr="00AA552A">
        <w:rPr>
          <w:rFonts w:cs="Cambria"/>
          <w:color w:val="000000"/>
        </w:rPr>
        <w:t>nl</w:t>
      </w:r>
      <w:r w:rsidRPr="00AA552A">
        <w:rPr>
          <w:rFonts w:cs="Cambria"/>
          <w:color w:val="000000"/>
          <w:spacing w:val="1"/>
        </w:rPr>
        <w:t>e</w:t>
      </w:r>
      <w:r w:rsidRPr="00AA552A">
        <w:rPr>
          <w:rFonts w:cs="Cambria"/>
          <w:color w:val="000000"/>
        </w:rPr>
        <w:t xml:space="preserve">t,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8"/>
        </w:rPr>
        <w:t xml:space="preserve"> </w:t>
      </w:r>
      <w:r w:rsidRPr="00AA552A">
        <w:rPr>
          <w:rFonts w:cs="Cambria"/>
          <w:color w:val="000000"/>
        </w:rPr>
        <w:t>th</w:t>
      </w:r>
      <w:r w:rsidRPr="00AA552A">
        <w:rPr>
          <w:rFonts w:cs="Cambria"/>
          <w:color w:val="000000"/>
          <w:spacing w:val="-1"/>
        </w:rPr>
        <w:t>r</w:t>
      </w:r>
      <w:r w:rsidRPr="00AA552A">
        <w:rPr>
          <w:rFonts w:cs="Cambria"/>
          <w:color w:val="000000"/>
        </w:rPr>
        <w:t>o</w:t>
      </w:r>
      <w:r w:rsidRPr="00AA552A">
        <w:rPr>
          <w:rFonts w:cs="Cambria"/>
          <w:color w:val="000000"/>
          <w:spacing w:val="-1"/>
        </w:rPr>
        <w:t>ug</w:t>
      </w:r>
      <w:r w:rsidRPr="00AA552A">
        <w:rPr>
          <w:rFonts w:cs="Cambria"/>
          <w:color w:val="000000"/>
        </w:rPr>
        <w:t>h</w:t>
      </w:r>
      <w:r w:rsidRPr="00AA552A">
        <w:rPr>
          <w:rFonts w:cs="Cambria"/>
          <w:color w:val="000000"/>
          <w:spacing w:val="-5"/>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2"/>
        </w:rPr>
        <w:t>D</w:t>
      </w:r>
      <w:r w:rsidRPr="00AA552A">
        <w:rPr>
          <w:rFonts w:cs="Cambria"/>
          <w:color w:val="000000"/>
          <w:spacing w:val="-1"/>
        </w:rPr>
        <w:t>r</w:t>
      </w:r>
      <w:r w:rsidRPr="00AA552A">
        <w:rPr>
          <w:rFonts w:cs="Cambria"/>
          <w:color w:val="000000"/>
        </w:rPr>
        <w:t>y</w:t>
      </w:r>
      <w:r w:rsidRPr="00AA552A">
        <w:rPr>
          <w:rFonts w:cs="Cambria"/>
          <w:color w:val="000000"/>
          <w:spacing w:val="-5"/>
        </w:rPr>
        <w:t xml:space="preserve"> </w:t>
      </w:r>
      <w:r w:rsidRPr="00AA552A">
        <w:rPr>
          <w:rFonts w:cs="Cambria"/>
          <w:color w:val="000000"/>
          <w:spacing w:val="-1"/>
        </w:rPr>
        <w:t>T</w:t>
      </w:r>
      <w:r w:rsidRPr="00AA552A">
        <w:rPr>
          <w:rFonts w:cs="Cambria"/>
          <w:color w:val="000000"/>
          <w:spacing w:val="2"/>
        </w:rPr>
        <w:t>o</w:t>
      </w:r>
      <w:r w:rsidRPr="00AA552A">
        <w:rPr>
          <w:rFonts w:cs="Cambria"/>
          <w:color w:val="000000"/>
          <w:spacing w:val="-1"/>
        </w:rPr>
        <w:t>r</w:t>
      </w:r>
      <w:r w:rsidRPr="00AA552A">
        <w:rPr>
          <w:rFonts w:cs="Cambria"/>
          <w:color w:val="000000"/>
        </w:rPr>
        <w:t>t</w:t>
      </w:r>
      <w:r w:rsidRPr="00AA552A">
        <w:rPr>
          <w:rFonts w:cs="Cambria"/>
          <w:color w:val="000000"/>
          <w:spacing w:val="-1"/>
        </w:rPr>
        <w:t>u</w:t>
      </w:r>
      <w:r w:rsidRPr="00AA552A">
        <w:rPr>
          <w:rFonts w:cs="Cambria"/>
          <w:color w:val="000000"/>
          <w:spacing w:val="1"/>
        </w:rPr>
        <w:t>g</w:t>
      </w:r>
      <w:r w:rsidRPr="00AA552A">
        <w:rPr>
          <w:rFonts w:cs="Cambria"/>
          <w:color w:val="000000"/>
        </w:rPr>
        <w:t xml:space="preserve">as,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p>
    <w:p w14:paraId="3B8864D3" w14:textId="77777777" w:rsidR="00DC4922" w:rsidRPr="00416614" w:rsidRDefault="00DC4922" w:rsidP="00DC4922">
      <w:pPr>
        <w:rPr>
          <w:color w:val="000000"/>
        </w:rPr>
      </w:pPr>
    </w:p>
    <w:p w14:paraId="7A90B689" w14:textId="77777777" w:rsidR="00DC4922" w:rsidRPr="00EB603B" w:rsidRDefault="00DC4922" w:rsidP="00DC4922">
      <w:pPr>
        <w:rPr>
          <w:b/>
          <w:color w:val="000000"/>
        </w:rPr>
      </w:pPr>
      <w:r w:rsidRPr="00EB603B">
        <w:rPr>
          <w:b/>
          <w:color w:val="000000"/>
        </w:rPr>
        <w:t>Cor</w:t>
      </w:r>
      <w:r w:rsidRPr="00EB603B">
        <w:rPr>
          <w:b/>
          <w:color w:val="000000"/>
          <w:spacing w:val="1"/>
        </w:rPr>
        <w:t>a</w:t>
      </w:r>
      <w:r w:rsidRPr="00EB603B">
        <w:rPr>
          <w:b/>
          <w:color w:val="000000"/>
        </w:rPr>
        <w:t>l,</w:t>
      </w:r>
      <w:r w:rsidRPr="00EB603B">
        <w:rPr>
          <w:b/>
          <w:color w:val="000000"/>
          <w:spacing w:val="1"/>
        </w:rPr>
        <w:t xml:space="preserve"> </w:t>
      </w:r>
      <w:r w:rsidRPr="00EB603B">
        <w:rPr>
          <w:b/>
          <w:color w:val="000000"/>
        </w:rPr>
        <w:t>Cor</w:t>
      </w:r>
      <w:r w:rsidRPr="00EB603B">
        <w:rPr>
          <w:b/>
          <w:color w:val="000000"/>
          <w:spacing w:val="1"/>
        </w:rPr>
        <w:t>a</w:t>
      </w:r>
      <w:r w:rsidRPr="00EB603B">
        <w:rPr>
          <w:b/>
          <w:color w:val="000000"/>
        </w:rPr>
        <w:t>l</w:t>
      </w:r>
      <w:r w:rsidRPr="00EB603B">
        <w:rPr>
          <w:b/>
          <w:color w:val="000000"/>
          <w:spacing w:val="1"/>
        </w:rPr>
        <w:t xml:space="preserve"> </w:t>
      </w:r>
      <w:r w:rsidRPr="00EB603B">
        <w:rPr>
          <w:b/>
          <w:color w:val="000000"/>
          <w:spacing w:val="-3"/>
        </w:rPr>
        <w:t>R</w:t>
      </w:r>
      <w:r w:rsidRPr="00EB603B">
        <w:rPr>
          <w:b/>
          <w:color w:val="000000"/>
          <w:spacing w:val="1"/>
        </w:rPr>
        <w:t>ee</w:t>
      </w:r>
      <w:r w:rsidRPr="00EB603B">
        <w:rPr>
          <w:b/>
          <w:color w:val="000000"/>
          <w:spacing w:val="-1"/>
        </w:rPr>
        <w:t>f</w:t>
      </w:r>
      <w:r w:rsidRPr="00EB603B">
        <w:rPr>
          <w:b/>
          <w:color w:val="000000"/>
          <w:spacing w:val="1"/>
        </w:rPr>
        <w:t>s</w:t>
      </w:r>
      <w:r w:rsidRPr="00EB603B">
        <w:rPr>
          <w:b/>
          <w:color w:val="000000"/>
        </w:rPr>
        <w:t>,</w:t>
      </w:r>
      <w:r w:rsidRPr="00EB603B">
        <w:rPr>
          <w:b/>
          <w:color w:val="000000"/>
          <w:spacing w:val="-1"/>
        </w:rPr>
        <w:t xml:space="preserve"> a</w:t>
      </w:r>
      <w:r w:rsidRPr="00EB603B">
        <w:rPr>
          <w:b/>
          <w:color w:val="000000"/>
        </w:rPr>
        <w:t>nd Li</w:t>
      </w:r>
      <w:r w:rsidRPr="00EB603B">
        <w:rPr>
          <w:b/>
          <w:color w:val="000000"/>
          <w:spacing w:val="-4"/>
        </w:rPr>
        <w:t>v</w:t>
      </w:r>
      <w:r w:rsidRPr="00EB603B">
        <w:rPr>
          <w:b/>
          <w:color w:val="000000"/>
          <w:spacing w:val="1"/>
        </w:rPr>
        <w:t>e</w:t>
      </w:r>
      <w:r w:rsidRPr="00EB603B">
        <w:rPr>
          <w:b/>
          <w:color w:val="000000"/>
        </w:rPr>
        <w:t>/H</w:t>
      </w:r>
      <w:r w:rsidRPr="00EB603B">
        <w:rPr>
          <w:b/>
          <w:color w:val="000000"/>
          <w:spacing w:val="1"/>
        </w:rPr>
        <w:t>a</w:t>
      </w:r>
      <w:r w:rsidRPr="00EB603B">
        <w:rPr>
          <w:b/>
          <w:color w:val="000000"/>
        </w:rPr>
        <w:t>rd Bo</w:t>
      </w:r>
      <w:r w:rsidRPr="00EB603B">
        <w:rPr>
          <w:b/>
          <w:color w:val="000000"/>
          <w:spacing w:val="-1"/>
        </w:rPr>
        <w:t>t</w:t>
      </w:r>
      <w:r w:rsidRPr="00EB603B">
        <w:rPr>
          <w:b/>
          <w:color w:val="000000"/>
          <w:spacing w:val="2"/>
        </w:rPr>
        <w:t>t</w:t>
      </w:r>
      <w:r w:rsidRPr="00EB603B">
        <w:rPr>
          <w:b/>
          <w:color w:val="000000"/>
        </w:rPr>
        <w:t>om</w:t>
      </w:r>
      <w:r w:rsidRPr="00EB603B">
        <w:rPr>
          <w:b/>
          <w:color w:val="000000"/>
          <w:spacing w:val="1"/>
        </w:rPr>
        <w:t xml:space="preserve"> </w:t>
      </w:r>
      <w:r w:rsidRPr="00EB603B">
        <w:rPr>
          <w:b/>
          <w:color w:val="000000"/>
        </w:rPr>
        <w:t>H</w:t>
      </w:r>
      <w:r w:rsidRPr="00EB603B">
        <w:rPr>
          <w:b/>
          <w:color w:val="000000"/>
          <w:spacing w:val="1"/>
        </w:rPr>
        <w:t>a</w:t>
      </w:r>
      <w:r w:rsidRPr="00EB603B">
        <w:rPr>
          <w:b/>
          <w:color w:val="000000"/>
        </w:rPr>
        <w:t>bi</w:t>
      </w:r>
      <w:r w:rsidRPr="00EB603B">
        <w:rPr>
          <w:b/>
          <w:color w:val="000000"/>
          <w:spacing w:val="-1"/>
        </w:rPr>
        <w:t>t</w:t>
      </w:r>
      <w:r w:rsidRPr="00EB603B">
        <w:rPr>
          <w:b/>
          <w:color w:val="000000"/>
          <w:spacing w:val="1"/>
        </w:rPr>
        <w:t>a</w:t>
      </w:r>
      <w:r w:rsidRPr="00EB603B">
        <w:rPr>
          <w:b/>
          <w:color w:val="000000"/>
          <w:spacing w:val="-1"/>
        </w:rPr>
        <w:t>t</w:t>
      </w:r>
      <w:r w:rsidRPr="00EB603B">
        <w:rPr>
          <w:b/>
          <w:color w:val="000000"/>
        </w:rPr>
        <w:t>s</w:t>
      </w:r>
      <w:r w:rsidRPr="00EB603B">
        <w:rPr>
          <w:b/>
          <w:color w:val="000000"/>
          <w:spacing w:val="1"/>
        </w:rPr>
        <w:t xml:space="preserve"> </w:t>
      </w:r>
      <w:r w:rsidRPr="00EB603B">
        <w:rPr>
          <w:b/>
          <w:color w:val="000000"/>
        </w:rPr>
        <w:t>F</w:t>
      </w:r>
      <w:r w:rsidRPr="00EB603B">
        <w:rPr>
          <w:b/>
          <w:color w:val="000000"/>
          <w:spacing w:val="-1"/>
        </w:rPr>
        <w:t>M</w:t>
      </w:r>
      <w:r w:rsidRPr="00EB603B">
        <w:rPr>
          <w:b/>
          <w:color w:val="000000"/>
        </w:rPr>
        <w:t>P</w:t>
      </w:r>
    </w:p>
    <w:p w14:paraId="1CB79557" w14:textId="77777777" w:rsidR="00DC4922" w:rsidRPr="00AA552A" w:rsidRDefault="00DC4922" w:rsidP="00640526">
      <w:pPr>
        <w:ind w:firstLine="360"/>
        <w:rPr>
          <w:rFonts w:cs="Cambria"/>
          <w:color w:val="000000"/>
        </w:rPr>
      </w:pP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nt</w:t>
      </w:r>
      <w:r w:rsidRPr="00AA552A">
        <w:rPr>
          <w:rFonts w:cs="Cambria"/>
          <w:color w:val="000000"/>
          <w:spacing w:val="1"/>
        </w:rPr>
        <w:t>i</w:t>
      </w:r>
      <w:r w:rsidRPr="00AA552A">
        <w:rPr>
          <w:rFonts w:cs="Cambria"/>
          <w:color w:val="000000"/>
        </w:rPr>
        <w:t>al</w:t>
      </w:r>
      <w:r w:rsidRPr="00AA552A">
        <w:rPr>
          <w:rFonts w:cs="Cambria"/>
          <w:color w:val="000000"/>
          <w:spacing w:val="-4"/>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ha</w:t>
      </w:r>
      <w:r w:rsidRPr="00AA552A">
        <w:rPr>
          <w:rFonts w:cs="Cambria"/>
          <w:color w:val="000000"/>
          <w:spacing w:val="-2"/>
        </w:rPr>
        <w:t>b</w:t>
      </w:r>
      <w:r w:rsidRPr="00AA552A">
        <w:rPr>
          <w:rFonts w:cs="Cambria"/>
          <w:color w:val="000000"/>
          <w:spacing w:val="1"/>
        </w:rPr>
        <w:t>i</w:t>
      </w:r>
      <w:r w:rsidRPr="00AA552A">
        <w:rPr>
          <w:rFonts w:cs="Cambria"/>
          <w:color w:val="000000"/>
        </w:rPr>
        <w:t>tat</w:t>
      </w:r>
      <w:r w:rsidRPr="00AA552A">
        <w:rPr>
          <w:rFonts w:cs="Cambria"/>
          <w:color w:val="000000"/>
          <w:spacing w:val="-2"/>
        </w:rPr>
        <w:t xml:space="preserve"> </w:t>
      </w:r>
      <w:r w:rsidRPr="00AA552A">
        <w:rPr>
          <w:rFonts w:cs="Cambria"/>
          <w:color w:val="000000"/>
          <w:spacing w:val="-1"/>
        </w:rPr>
        <w:t>f</w:t>
      </w:r>
      <w:r w:rsidRPr="00AA552A">
        <w:rPr>
          <w:rFonts w:cs="Cambria"/>
          <w:color w:val="000000"/>
          <w:spacing w:val="-3"/>
        </w:rPr>
        <w:t>o</w:t>
      </w:r>
      <w:r w:rsidRPr="00AA552A">
        <w:rPr>
          <w:rFonts w:cs="Cambria"/>
          <w:color w:val="000000"/>
        </w:rPr>
        <w:t>r</w:t>
      </w:r>
      <w:r w:rsidRPr="00AA552A">
        <w:rPr>
          <w:rFonts w:cs="Cambria"/>
          <w:color w:val="000000"/>
          <w:spacing w:val="-4"/>
        </w:rPr>
        <w:t xml:space="preserve"> </w:t>
      </w:r>
      <w:r w:rsidRPr="00AA552A">
        <w:rPr>
          <w:rFonts w:cs="Cambria"/>
          <w:color w:val="000000"/>
        </w:rPr>
        <w:t>co</w:t>
      </w:r>
      <w:r w:rsidRPr="00AA552A">
        <w:rPr>
          <w:rFonts w:cs="Cambria"/>
          <w:color w:val="000000"/>
          <w:spacing w:val="-1"/>
        </w:rPr>
        <w:t>r</w:t>
      </w:r>
      <w:r w:rsidRPr="00AA552A">
        <w:rPr>
          <w:rFonts w:cs="Cambria"/>
          <w:color w:val="000000"/>
        </w:rPr>
        <w:t>als</w:t>
      </w:r>
      <w:r w:rsidRPr="00AA552A">
        <w:rPr>
          <w:rFonts w:cs="Cambria"/>
          <w:color w:val="000000"/>
          <w:spacing w:val="-4"/>
        </w:rPr>
        <w:t xml:space="preserve"> </w:t>
      </w:r>
      <w:r w:rsidRPr="00AA552A">
        <w:rPr>
          <w:rFonts w:cs="Cambria"/>
          <w:color w:val="000000"/>
        </w:rPr>
        <w:t>(stony</w:t>
      </w:r>
      <w:r w:rsidRPr="00AA552A">
        <w:rPr>
          <w:rFonts w:cs="Cambria"/>
          <w:color w:val="000000"/>
          <w:spacing w:val="-5"/>
        </w:rPr>
        <w:t xml:space="preserve"> </w:t>
      </w:r>
      <w:r w:rsidRPr="00AA552A">
        <w:rPr>
          <w:rFonts w:cs="Cambria"/>
          <w:color w:val="000000"/>
        </w:rPr>
        <w:t>c</w:t>
      </w:r>
      <w:r w:rsidRPr="00AA552A">
        <w:rPr>
          <w:rFonts w:cs="Cambria"/>
          <w:color w:val="000000"/>
          <w:spacing w:val="2"/>
        </w:rPr>
        <w:t>o</w:t>
      </w:r>
      <w:r w:rsidRPr="00AA552A">
        <w:rPr>
          <w:rFonts w:cs="Cambria"/>
          <w:color w:val="000000"/>
          <w:spacing w:val="-1"/>
        </w:rPr>
        <w:t>r</w:t>
      </w:r>
      <w:r w:rsidRPr="00AA552A">
        <w:rPr>
          <w:rFonts w:cs="Cambria"/>
          <w:color w:val="000000"/>
        </w:rPr>
        <w:t>als,</w:t>
      </w:r>
      <w:r w:rsidRPr="00AA552A">
        <w:rPr>
          <w:rFonts w:cs="Cambria"/>
          <w:color w:val="000000"/>
          <w:spacing w:val="-3"/>
        </w:rPr>
        <w:t xml:space="preserve"> </w:t>
      </w:r>
      <w:r w:rsidRPr="00AA552A">
        <w:rPr>
          <w:rFonts w:cs="Cambria"/>
          <w:color w:val="000000"/>
        </w:rPr>
        <w:t>octoco</w:t>
      </w:r>
      <w:r w:rsidRPr="00AA552A">
        <w:rPr>
          <w:rFonts w:cs="Cambria"/>
          <w:color w:val="000000"/>
          <w:spacing w:val="-1"/>
        </w:rPr>
        <w:t>r</w:t>
      </w:r>
      <w:r w:rsidRPr="00AA552A">
        <w:rPr>
          <w:rFonts w:cs="Cambria"/>
          <w:color w:val="000000"/>
        </w:rPr>
        <w:t>als,</w:t>
      </w:r>
      <w:r w:rsidRPr="00AA552A">
        <w:rPr>
          <w:rFonts w:cs="Cambria"/>
          <w:color w:val="000000"/>
          <w:spacing w:val="-7"/>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b</w:t>
      </w:r>
      <w:r w:rsidRPr="00AA552A">
        <w:rPr>
          <w:rFonts w:cs="Cambria"/>
          <w:color w:val="000000"/>
        </w:rPr>
        <w:t>lack</w:t>
      </w:r>
      <w:r w:rsidRPr="00AA552A">
        <w:rPr>
          <w:rFonts w:cs="Cambria"/>
          <w:color w:val="000000"/>
          <w:spacing w:val="-2"/>
        </w:rPr>
        <w:t xml:space="preserve"> </w:t>
      </w:r>
      <w:r w:rsidRPr="00AA552A">
        <w:rPr>
          <w:rFonts w:cs="Cambria"/>
          <w:color w:val="000000"/>
        </w:rPr>
        <w:t>co</w:t>
      </w:r>
      <w:r w:rsidRPr="00AA552A">
        <w:rPr>
          <w:rFonts w:cs="Cambria"/>
          <w:color w:val="000000"/>
          <w:spacing w:val="2"/>
        </w:rPr>
        <w:t>r</w:t>
      </w:r>
      <w:r w:rsidRPr="00AA552A">
        <w:rPr>
          <w:rFonts w:cs="Cambria"/>
          <w:color w:val="000000"/>
        </w:rPr>
        <w:t>als)</w:t>
      </w:r>
      <w:r w:rsidRPr="00AA552A">
        <w:rPr>
          <w:rFonts w:cs="Cambria"/>
          <w:color w:val="000000"/>
          <w:spacing w:val="-5"/>
        </w:rPr>
        <w:t xml:space="preserve"> </w:t>
      </w:r>
      <w:r w:rsidRPr="00AA552A">
        <w:rPr>
          <w:rFonts w:cs="Cambria"/>
          <w:color w:val="000000"/>
          <w:spacing w:val="1"/>
        </w:rPr>
        <w:t>i</w:t>
      </w:r>
      <w:r w:rsidRPr="00AA552A">
        <w:rPr>
          <w:rFonts w:cs="Cambria"/>
          <w:color w:val="000000"/>
        </w:rPr>
        <w:t>nco</w:t>
      </w:r>
      <w:r w:rsidRPr="00AA552A">
        <w:rPr>
          <w:rFonts w:cs="Cambria"/>
          <w:color w:val="000000"/>
          <w:spacing w:val="-1"/>
        </w:rPr>
        <w:t>r</w:t>
      </w:r>
      <w:r w:rsidRPr="00AA552A">
        <w:rPr>
          <w:rFonts w:cs="Cambria"/>
          <w:color w:val="000000"/>
          <w:spacing w:val="1"/>
        </w:rPr>
        <w:t>p</w:t>
      </w:r>
      <w:r w:rsidRPr="00AA552A">
        <w:rPr>
          <w:rFonts w:cs="Cambria"/>
          <w:color w:val="000000"/>
        </w:rPr>
        <w:t>o</w:t>
      </w:r>
      <w:r w:rsidRPr="00AA552A">
        <w:rPr>
          <w:rFonts w:cs="Cambria"/>
          <w:color w:val="000000"/>
          <w:spacing w:val="-1"/>
        </w:rPr>
        <w:t>r</w:t>
      </w:r>
      <w:r w:rsidRPr="00AA552A">
        <w:rPr>
          <w:rFonts w:cs="Cambria"/>
          <w:color w:val="000000"/>
        </w:rPr>
        <w:t>ate ha</w:t>
      </w:r>
      <w:r w:rsidRPr="00AA552A">
        <w:rPr>
          <w:rFonts w:cs="Cambria"/>
          <w:color w:val="000000"/>
          <w:spacing w:val="1"/>
        </w:rPr>
        <w:t>bi</w:t>
      </w:r>
      <w:r w:rsidRPr="00AA552A">
        <w:rPr>
          <w:rFonts w:cs="Cambria"/>
          <w:color w:val="000000"/>
        </w:rPr>
        <w:t>tat</w:t>
      </w:r>
      <w:r w:rsidRPr="00AA552A">
        <w:rPr>
          <w:rFonts w:cs="Cambria"/>
          <w:color w:val="000000"/>
          <w:spacing w:val="-1"/>
        </w:rPr>
        <w:t xml:space="preserve"> f</w:t>
      </w:r>
      <w:r w:rsidRPr="00AA552A">
        <w:rPr>
          <w:rFonts w:cs="Cambria"/>
          <w:color w:val="000000"/>
        </w:rPr>
        <w:t>or</w:t>
      </w:r>
      <w:r w:rsidRPr="00AA552A">
        <w:rPr>
          <w:rFonts w:cs="Cambria"/>
          <w:color w:val="000000"/>
          <w:spacing w:val="-4"/>
        </w:rPr>
        <w:t xml:space="preserve"> </w:t>
      </w:r>
      <w:r w:rsidRPr="00AA552A">
        <w:rPr>
          <w:rFonts w:cs="Cambria"/>
          <w:color w:val="000000"/>
        </w:rPr>
        <w:t>o</w:t>
      </w:r>
      <w:r w:rsidRPr="00AA552A">
        <w:rPr>
          <w:rFonts w:cs="Cambria"/>
          <w:color w:val="000000"/>
          <w:spacing w:val="-1"/>
        </w:rPr>
        <w:t>v</w:t>
      </w:r>
      <w:r w:rsidRPr="00AA552A">
        <w:rPr>
          <w:rFonts w:cs="Cambria"/>
          <w:color w:val="000000"/>
          <w:spacing w:val="1"/>
        </w:rPr>
        <w:t>e</w:t>
      </w:r>
      <w:r w:rsidRPr="00AA552A">
        <w:rPr>
          <w:rFonts w:cs="Cambria"/>
          <w:color w:val="000000"/>
        </w:rPr>
        <w:t>r</w:t>
      </w:r>
      <w:r w:rsidRPr="00AA552A">
        <w:rPr>
          <w:rFonts w:cs="Cambria"/>
          <w:color w:val="000000"/>
          <w:spacing w:val="-6"/>
        </w:rPr>
        <w:t xml:space="preserve"> </w:t>
      </w:r>
      <w:r w:rsidRPr="00AA552A">
        <w:rPr>
          <w:rFonts w:cs="Cambria"/>
          <w:color w:val="000000"/>
          <w:spacing w:val="-1"/>
        </w:rPr>
        <w:t>2</w:t>
      </w:r>
      <w:r w:rsidRPr="00AA552A">
        <w:rPr>
          <w:rFonts w:cs="Cambria"/>
          <w:color w:val="000000"/>
          <w:spacing w:val="2"/>
        </w:rPr>
        <w:t>0</w:t>
      </w:r>
      <w:r w:rsidRPr="00AA552A">
        <w:rPr>
          <w:rFonts w:cs="Cambria"/>
          <w:color w:val="000000"/>
        </w:rPr>
        <w:t>0</w:t>
      </w:r>
      <w:r w:rsidRPr="00AA552A">
        <w:rPr>
          <w:rFonts w:cs="Cambria"/>
          <w:color w:val="000000"/>
          <w:spacing w:val="-5"/>
        </w:rPr>
        <w:t xml:space="preserve"> </w:t>
      </w:r>
      <w:r w:rsidRPr="00AA552A">
        <w:rPr>
          <w:rFonts w:cs="Cambria"/>
          <w:color w:val="000000"/>
        </w:rPr>
        <w:t>s</w:t>
      </w:r>
      <w:r w:rsidRPr="00AA552A">
        <w:rPr>
          <w:rFonts w:cs="Cambria"/>
          <w:color w:val="000000"/>
          <w:spacing w:val="1"/>
        </w:rPr>
        <w:t>pe</w:t>
      </w:r>
      <w:r w:rsidRPr="00AA552A">
        <w:rPr>
          <w:rFonts w:cs="Cambria"/>
          <w:color w:val="000000"/>
        </w:rPr>
        <w:t>c</w:t>
      </w:r>
      <w:r w:rsidRPr="00AA552A">
        <w:rPr>
          <w:rFonts w:cs="Cambria"/>
          <w:color w:val="000000"/>
          <w:spacing w:val="1"/>
        </w:rPr>
        <w:t>ie</w:t>
      </w:r>
      <w:r w:rsidRPr="00AA552A">
        <w:rPr>
          <w:rFonts w:cs="Cambria"/>
          <w:color w:val="000000"/>
        </w:rPr>
        <w:t>s.</w:t>
      </w:r>
      <w:r w:rsidRPr="00AA552A">
        <w:rPr>
          <w:rFonts w:cs="Cambria"/>
          <w:color w:val="000000"/>
          <w:spacing w:val="48"/>
        </w:rPr>
        <w:t xml:space="preserve"> </w:t>
      </w:r>
      <w:r w:rsidRPr="00AA552A">
        <w:rPr>
          <w:rFonts w:cs="Cambria"/>
          <w:color w:val="000000"/>
          <w:spacing w:val="-1"/>
        </w:rPr>
        <w:t>E</w:t>
      </w:r>
      <w:r w:rsidRPr="00AA552A">
        <w:rPr>
          <w:rFonts w:cs="Cambria"/>
          <w:color w:val="000000"/>
          <w:spacing w:val="1"/>
        </w:rPr>
        <w:t>F</w:t>
      </w:r>
      <w:r w:rsidRPr="00AA552A">
        <w:rPr>
          <w:rFonts w:cs="Cambria"/>
          <w:color w:val="000000"/>
        </w:rPr>
        <w:t>H</w:t>
      </w:r>
      <w:r w:rsidRPr="00AA552A">
        <w:rPr>
          <w:rFonts w:cs="Cambria"/>
          <w:color w:val="000000"/>
          <w:spacing w:val="-2"/>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rPr>
        <w:t>co</w:t>
      </w:r>
      <w:r w:rsidRPr="00AA552A">
        <w:rPr>
          <w:rFonts w:cs="Cambria"/>
          <w:color w:val="000000"/>
          <w:spacing w:val="-1"/>
        </w:rPr>
        <w:t>r</w:t>
      </w:r>
      <w:r w:rsidRPr="00AA552A">
        <w:rPr>
          <w:rFonts w:cs="Cambria"/>
          <w:color w:val="000000"/>
        </w:rPr>
        <w:t>als</w:t>
      </w:r>
      <w:r w:rsidRPr="00AA552A">
        <w:rPr>
          <w:rFonts w:cs="Cambria"/>
          <w:color w:val="000000"/>
          <w:spacing w:val="-4"/>
        </w:rPr>
        <w:t xml:space="preserve"> </w:t>
      </w:r>
      <w:r w:rsidRPr="00AA552A">
        <w:rPr>
          <w:rFonts w:cs="Cambria"/>
          <w:color w:val="000000"/>
          <w:spacing w:val="1"/>
        </w:rPr>
        <w:t>i</w:t>
      </w:r>
      <w:r w:rsidRPr="00AA552A">
        <w:rPr>
          <w:rFonts w:cs="Cambria"/>
          <w:color w:val="000000"/>
        </w:rPr>
        <w:t>nclu</w:t>
      </w:r>
      <w:r w:rsidRPr="00AA552A">
        <w:rPr>
          <w:rFonts w:cs="Cambria"/>
          <w:color w:val="000000"/>
          <w:spacing w:val="-1"/>
        </w:rPr>
        <w:t>d</w:t>
      </w:r>
      <w:r w:rsidRPr="00AA552A">
        <w:rPr>
          <w:rFonts w:cs="Cambria"/>
          <w:color w:val="000000"/>
        </w:rPr>
        <w:t>e</w:t>
      </w:r>
      <w:r w:rsidRPr="00AA552A">
        <w:rPr>
          <w:rFonts w:cs="Cambria"/>
          <w:color w:val="000000"/>
          <w:spacing w:val="-5"/>
        </w:rPr>
        <w:t xml:space="preserve"> </w:t>
      </w:r>
      <w:r w:rsidRPr="00AA552A">
        <w:rPr>
          <w:rFonts w:cs="Cambria"/>
          <w:color w:val="000000"/>
        </w:rPr>
        <w:t>the</w:t>
      </w:r>
      <w:r w:rsidRPr="00AA552A">
        <w:rPr>
          <w:rFonts w:cs="Cambria"/>
          <w:color w:val="000000"/>
          <w:spacing w:val="-1"/>
        </w:rPr>
        <w:t xml:space="preserve"> f</w:t>
      </w:r>
      <w:r w:rsidRPr="00AA552A">
        <w:rPr>
          <w:rFonts w:cs="Cambria"/>
          <w:color w:val="000000"/>
        </w:rPr>
        <w:t>oll</w:t>
      </w:r>
      <w:r w:rsidRPr="00AA552A">
        <w:rPr>
          <w:rFonts w:cs="Cambria"/>
          <w:color w:val="000000"/>
          <w:spacing w:val="2"/>
        </w:rPr>
        <w:t>o</w:t>
      </w:r>
      <w:r w:rsidRPr="00AA552A">
        <w:rPr>
          <w:rFonts w:cs="Cambria"/>
          <w:color w:val="000000"/>
          <w:spacing w:val="-1"/>
        </w:rPr>
        <w:t>w</w:t>
      </w:r>
      <w:r w:rsidRPr="00AA552A">
        <w:rPr>
          <w:rFonts w:cs="Cambria"/>
          <w:color w:val="000000"/>
          <w:spacing w:val="1"/>
        </w:rPr>
        <w:t>i</w:t>
      </w:r>
      <w:r w:rsidRPr="00AA552A">
        <w:rPr>
          <w:rFonts w:cs="Cambria"/>
          <w:color w:val="000000"/>
        </w:rPr>
        <w:t>n</w:t>
      </w:r>
      <w:r w:rsidRPr="00AA552A">
        <w:rPr>
          <w:rFonts w:cs="Cambria"/>
          <w:color w:val="000000"/>
          <w:spacing w:val="-1"/>
        </w:rPr>
        <w:t>g</w:t>
      </w:r>
      <w:r w:rsidRPr="00AA552A">
        <w:rPr>
          <w:rFonts w:cs="Cambria"/>
          <w:color w:val="000000"/>
        </w:rPr>
        <w:t>:</w:t>
      </w:r>
    </w:p>
    <w:p w14:paraId="49E8EFEA" w14:textId="77777777" w:rsidR="00DC4922" w:rsidRPr="00AA552A" w:rsidRDefault="00DC4922" w:rsidP="00DC4922">
      <w:pPr>
        <w:rPr>
          <w:rFonts w:cs="Cambria"/>
          <w:color w:val="000000"/>
          <w:sz w:val="26"/>
        </w:rPr>
      </w:pPr>
    </w:p>
    <w:p w14:paraId="0848BE86" w14:textId="77777777" w:rsidR="00DC4922" w:rsidRPr="00AA552A" w:rsidRDefault="00DC4922" w:rsidP="00DC4922">
      <w:pPr>
        <w:rPr>
          <w:rFonts w:cs="Cambria"/>
          <w:color w:val="000000"/>
        </w:rPr>
      </w:pPr>
      <w:r w:rsidRPr="00AA552A">
        <w:rPr>
          <w:rFonts w:cs="Cambria"/>
          <w:color w:val="000000"/>
          <w:spacing w:val="-1"/>
        </w:rPr>
        <w:t>A</w:t>
      </w:r>
      <w:r w:rsidRPr="00AA552A">
        <w:rPr>
          <w:rFonts w:cs="Cambria"/>
          <w:color w:val="000000"/>
        </w:rPr>
        <w:t xml:space="preserve">.  </w:t>
      </w:r>
      <w:r w:rsidRPr="00AA552A">
        <w:rPr>
          <w:rFonts w:cs="Cambria"/>
          <w:color w:val="000000"/>
          <w:spacing w:val="4"/>
        </w:rPr>
        <w:t xml:space="preserve"> </w:t>
      </w: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nt</w:t>
      </w:r>
      <w:r w:rsidRPr="00AA552A">
        <w:rPr>
          <w:rFonts w:cs="Cambria"/>
          <w:color w:val="000000"/>
          <w:spacing w:val="1"/>
        </w:rPr>
        <w:t>i</w:t>
      </w:r>
      <w:r w:rsidRPr="00AA552A">
        <w:rPr>
          <w:rFonts w:cs="Cambria"/>
          <w:color w:val="000000"/>
        </w:rPr>
        <w:t>al</w:t>
      </w:r>
      <w:r w:rsidRPr="00AA552A">
        <w:rPr>
          <w:rFonts w:cs="Cambria"/>
          <w:color w:val="000000"/>
          <w:spacing w:val="-4"/>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ha</w:t>
      </w:r>
      <w:r w:rsidRPr="00AA552A">
        <w:rPr>
          <w:rFonts w:cs="Cambria"/>
          <w:color w:val="000000"/>
          <w:spacing w:val="-2"/>
        </w:rPr>
        <w:t>b</w:t>
      </w:r>
      <w:r w:rsidRPr="00AA552A">
        <w:rPr>
          <w:rFonts w:cs="Cambria"/>
          <w:color w:val="000000"/>
          <w:spacing w:val="1"/>
        </w:rPr>
        <w:t>i</w:t>
      </w:r>
      <w:r w:rsidRPr="00AA552A">
        <w:rPr>
          <w:rFonts w:cs="Cambria"/>
          <w:color w:val="000000"/>
        </w:rPr>
        <w:t>tat</w:t>
      </w:r>
      <w:r w:rsidRPr="00AA552A">
        <w:rPr>
          <w:rFonts w:cs="Cambria"/>
          <w:color w:val="000000"/>
          <w:spacing w:val="-2"/>
        </w:rPr>
        <w:t xml:space="preserve"> </w:t>
      </w:r>
      <w:r w:rsidRPr="00AA552A">
        <w:rPr>
          <w:rFonts w:cs="Cambria"/>
          <w:color w:val="000000"/>
          <w:spacing w:val="-1"/>
        </w:rPr>
        <w:t>f</w:t>
      </w:r>
      <w:r w:rsidRPr="00AA552A">
        <w:rPr>
          <w:rFonts w:cs="Cambria"/>
          <w:color w:val="000000"/>
          <w:spacing w:val="-3"/>
        </w:rPr>
        <w:t>o</w:t>
      </w:r>
      <w:r w:rsidRPr="00AA552A">
        <w:rPr>
          <w:rFonts w:cs="Cambria"/>
          <w:color w:val="000000"/>
        </w:rPr>
        <w:t>r</w:t>
      </w:r>
      <w:r w:rsidRPr="00AA552A">
        <w:rPr>
          <w:rFonts w:cs="Cambria"/>
          <w:color w:val="000000"/>
          <w:spacing w:val="-4"/>
        </w:rPr>
        <w:t xml:space="preserve"> </w:t>
      </w:r>
      <w:r w:rsidRPr="00AA552A">
        <w:rPr>
          <w:rFonts w:cs="Cambria"/>
          <w:color w:val="000000"/>
        </w:rPr>
        <w:t>h</w:t>
      </w:r>
      <w:r w:rsidRPr="00AA552A">
        <w:rPr>
          <w:rFonts w:cs="Cambria"/>
          <w:color w:val="000000"/>
          <w:spacing w:val="1"/>
        </w:rPr>
        <w:t>e</w:t>
      </w:r>
      <w:r w:rsidRPr="00AA552A">
        <w:rPr>
          <w:rFonts w:cs="Cambria"/>
          <w:color w:val="000000"/>
          <w:spacing w:val="-1"/>
        </w:rPr>
        <w:t>r</w:t>
      </w:r>
      <w:r w:rsidRPr="00AA552A">
        <w:rPr>
          <w:rFonts w:cs="Cambria"/>
          <w:color w:val="000000"/>
        </w:rPr>
        <w:t>mat</w:t>
      </w:r>
      <w:r w:rsidRPr="00AA552A">
        <w:rPr>
          <w:rFonts w:cs="Cambria"/>
          <w:color w:val="000000"/>
          <w:spacing w:val="-1"/>
        </w:rPr>
        <w:t>y</w:t>
      </w:r>
      <w:r w:rsidRPr="00AA552A">
        <w:rPr>
          <w:rFonts w:cs="Cambria"/>
          <w:color w:val="000000"/>
          <w:spacing w:val="1"/>
        </w:rPr>
        <w:t>pi</w:t>
      </w:r>
      <w:r w:rsidRPr="00AA552A">
        <w:rPr>
          <w:rFonts w:cs="Cambria"/>
          <w:color w:val="000000"/>
        </w:rPr>
        <w:t>c</w:t>
      </w:r>
      <w:r w:rsidRPr="00AA552A">
        <w:rPr>
          <w:rFonts w:cs="Cambria"/>
          <w:color w:val="000000"/>
          <w:spacing w:val="-6"/>
        </w:rPr>
        <w:t xml:space="preserve"> </w:t>
      </w:r>
      <w:r w:rsidRPr="00AA552A">
        <w:rPr>
          <w:rFonts w:cs="Cambria"/>
          <w:color w:val="000000"/>
        </w:rPr>
        <w:t>stony</w:t>
      </w:r>
      <w:r w:rsidRPr="00AA552A">
        <w:rPr>
          <w:rFonts w:cs="Cambria"/>
          <w:color w:val="000000"/>
          <w:spacing w:val="-5"/>
        </w:rPr>
        <w:t xml:space="preserve"> </w:t>
      </w:r>
      <w:r w:rsidRPr="00AA552A">
        <w:rPr>
          <w:rFonts w:cs="Cambria"/>
          <w:color w:val="000000"/>
        </w:rPr>
        <w:t>co</w:t>
      </w:r>
      <w:r w:rsidRPr="00AA552A">
        <w:rPr>
          <w:rFonts w:cs="Cambria"/>
          <w:color w:val="000000"/>
          <w:spacing w:val="-1"/>
        </w:rPr>
        <w:t>r</w:t>
      </w:r>
      <w:r w:rsidRPr="00AA552A">
        <w:rPr>
          <w:rFonts w:cs="Cambria"/>
          <w:color w:val="000000"/>
          <w:spacing w:val="3"/>
        </w:rPr>
        <w:t>a</w:t>
      </w:r>
      <w:r w:rsidRPr="00AA552A">
        <w:rPr>
          <w:rFonts w:cs="Cambria"/>
          <w:color w:val="000000"/>
        </w:rPr>
        <w:t>ls</w:t>
      </w:r>
      <w:r w:rsidRPr="00AA552A">
        <w:rPr>
          <w:rFonts w:cs="Cambria"/>
          <w:color w:val="000000"/>
          <w:spacing w:val="-4"/>
        </w:rPr>
        <w:t xml:space="preserve"> </w:t>
      </w:r>
      <w:r w:rsidRPr="00AA552A">
        <w:rPr>
          <w:rFonts w:cs="Cambria"/>
          <w:color w:val="000000"/>
          <w:spacing w:val="1"/>
        </w:rPr>
        <w:t>i</w:t>
      </w:r>
      <w:r w:rsidRPr="00AA552A">
        <w:rPr>
          <w:rFonts w:cs="Cambria"/>
          <w:color w:val="000000"/>
        </w:rPr>
        <w:t>ncl</w:t>
      </w:r>
      <w:r w:rsidRPr="00AA552A">
        <w:rPr>
          <w:rFonts w:cs="Cambria"/>
          <w:color w:val="000000"/>
          <w:spacing w:val="-1"/>
        </w:rPr>
        <w:t>ud</w:t>
      </w:r>
      <w:r w:rsidRPr="00AA552A">
        <w:rPr>
          <w:rFonts w:cs="Cambria"/>
          <w:color w:val="000000"/>
          <w:spacing w:val="1"/>
        </w:rPr>
        <w:t>e</w:t>
      </w:r>
      <w:r w:rsidRPr="00AA552A">
        <w:rPr>
          <w:rFonts w:cs="Cambria"/>
          <w:color w:val="000000"/>
        </w:rPr>
        <w:t>s</w:t>
      </w:r>
      <w:r w:rsidRPr="00AA552A">
        <w:rPr>
          <w:rFonts w:cs="Cambria"/>
          <w:color w:val="000000"/>
          <w:spacing w:val="-5"/>
        </w:rPr>
        <w:t xml:space="preserve"> </w:t>
      </w:r>
      <w:r w:rsidRPr="00AA552A">
        <w:rPr>
          <w:rFonts w:cs="Cambria"/>
          <w:color w:val="000000"/>
          <w:spacing w:val="-1"/>
        </w:rPr>
        <w:t>r</w:t>
      </w:r>
      <w:r w:rsidRPr="00AA552A">
        <w:rPr>
          <w:rFonts w:cs="Cambria"/>
          <w:color w:val="000000"/>
        </w:rPr>
        <w:t>o</w:t>
      </w:r>
      <w:r w:rsidRPr="00AA552A">
        <w:rPr>
          <w:rFonts w:cs="Cambria"/>
          <w:color w:val="000000"/>
          <w:spacing w:val="2"/>
        </w:rPr>
        <w:t>u</w:t>
      </w:r>
      <w:r w:rsidRPr="00AA552A">
        <w:rPr>
          <w:rFonts w:cs="Cambria"/>
          <w:color w:val="000000"/>
          <w:spacing w:val="-1"/>
        </w:rPr>
        <w:t>g</w:t>
      </w:r>
      <w:r w:rsidRPr="00AA552A">
        <w:rPr>
          <w:rFonts w:cs="Cambria"/>
          <w:color w:val="000000"/>
        </w:rPr>
        <w:t>h,</w:t>
      </w:r>
      <w:r w:rsidRPr="00AA552A">
        <w:rPr>
          <w:rFonts w:cs="Cambria"/>
          <w:color w:val="000000"/>
          <w:spacing w:val="-3"/>
        </w:rPr>
        <w:t xml:space="preserve"> </w:t>
      </w:r>
      <w:r w:rsidRPr="00AA552A">
        <w:rPr>
          <w:rFonts w:cs="Cambria"/>
          <w:color w:val="000000"/>
        </w:rPr>
        <w:t>ha</w:t>
      </w:r>
      <w:r w:rsidRPr="00AA552A">
        <w:rPr>
          <w:rFonts w:cs="Cambria"/>
          <w:color w:val="000000"/>
          <w:spacing w:val="-1"/>
        </w:rPr>
        <w:t>rd</w:t>
      </w:r>
      <w:r w:rsidRPr="00AA552A">
        <w:rPr>
          <w:rFonts w:cs="Cambria"/>
          <w:color w:val="000000"/>
        </w:rPr>
        <w:t xml:space="preserve">, </w:t>
      </w:r>
      <w:r w:rsidRPr="00AA552A">
        <w:rPr>
          <w:rFonts w:cs="Cambria"/>
          <w:color w:val="000000"/>
          <w:spacing w:val="1"/>
        </w:rPr>
        <w:t>e</w:t>
      </w:r>
      <w:r w:rsidRPr="00AA552A">
        <w:rPr>
          <w:rFonts w:cs="Cambria"/>
          <w:color w:val="000000"/>
          <w:spacing w:val="-1"/>
        </w:rPr>
        <w:t>x</w:t>
      </w:r>
      <w:r w:rsidRPr="00AA552A">
        <w:rPr>
          <w:rFonts w:cs="Cambria"/>
          <w:color w:val="000000"/>
          <w:spacing w:val="1"/>
        </w:rPr>
        <w:t>p</w:t>
      </w:r>
      <w:r w:rsidRPr="00AA552A">
        <w:rPr>
          <w:rFonts w:cs="Cambria"/>
          <w:color w:val="000000"/>
        </w:rPr>
        <w:t>os</w:t>
      </w:r>
      <w:r w:rsidRPr="00AA552A">
        <w:rPr>
          <w:rFonts w:cs="Cambria"/>
          <w:color w:val="000000"/>
          <w:spacing w:val="1"/>
        </w:rPr>
        <w:t>e</w:t>
      </w:r>
      <w:r w:rsidRPr="00AA552A">
        <w:rPr>
          <w:rFonts w:cs="Cambria"/>
          <w:color w:val="000000"/>
          <w:spacing w:val="-1"/>
        </w:rPr>
        <w:t>d</w:t>
      </w:r>
      <w:r w:rsidRPr="00AA552A">
        <w:rPr>
          <w:rFonts w:cs="Cambria"/>
          <w:color w:val="000000"/>
        </w:rPr>
        <w:t>,</w:t>
      </w:r>
      <w:r w:rsidRPr="00AA552A">
        <w:rPr>
          <w:rFonts w:cs="Cambria"/>
          <w:color w:val="000000"/>
          <w:spacing w:val="-5"/>
        </w:rPr>
        <w:t xml:space="preserve"> </w:t>
      </w:r>
      <w:r w:rsidRPr="00AA552A">
        <w:rPr>
          <w:rFonts w:cs="Cambria"/>
          <w:color w:val="000000"/>
        </w:rPr>
        <w:t>sta</w:t>
      </w:r>
      <w:r w:rsidRPr="00AA552A">
        <w:rPr>
          <w:rFonts w:cs="Cambria"/>
          <w:color w:val="000000"/>
          <w:spacing w:val="1"/>
        </w:rPr>
        <w:t>b</w:t>
      </w:r>
      <w:r w:rsidRPr="00AA552A">
        <w:rPr>
          <w:rFonts w:cs="Cambria"/>
          <w:color w:val="000000"/>
        </w:rPr>
        <w:t>le su</w:t>
      </w:r>
      <w:r w:rsidRPr="00AA552A">
        <w:rPr>
          <w:rFonts w:cs="Cambria"/>
          <w:color w:val="000000"/>
          <w:spacing w:val="1"/>
        </w:rPr>
        <w:t>b</w:t>
      </w:r>
      <w:r w:rsidRPr="00AA552A">
        <w:rPr>
          <w:rFonts w:cs="Cambria"/>
          <w:color w:val="000000"/>
        </w:rPr>
        <w:t>st</w:t>
      </w:r>
      <w:r w:rsidRPr="00AA552A">
        <w:rPr>
          <w:rFonts w:cs="Cambria"/>
          <w:color w:val="000000"/>
          <w:spacing w:val="-1"/>
        </w:rPr>
        <w:t>r</w:t>
      </w:r>
      <w:r w:rsidRPr="00AA552A">
        <w:rPr>
          <w:rFonts w:cs="Cambria"/>
          <w:color w:val="000000"/>
        </w:rPr>
        <w:t>ate</w:t>
      </w:r>
      <w:r w:rsidRPr="00AA552A">
        <w:rPr>
          <w:rFonts w:cs="Cambria"/>
          <w:color w:val="000000"/>
          <w:spacing w:val="-3"/>
        </w:rPr>
        <w:t xml:space="preserve"> </w:t>
      </w:r>
      <w:r w:rsidRPr="00AA552A">
        <w:rPr>
          <w:rFonts w:cs="Cambria"/>
          <w:color w:val="000000"/>
          <w:spacing w:val="-1"/>
        </w:rPr>
        <w:t>fr</w:t>
      </w:r>
      <w:r w:rsidRPr="00AA552A">
        <w:rPr>
          <w:rFonts w:cs="Cambria"/>
          <w:color w:val="000000"/>
        </w:rPr>
        <w:t>om</w:t>
      </w:r>
      <w:r w:rsidRPr="00AA552A">
        <w:rPr>
          <w:rFonts w:cs="Cambria"/>
          <w:color w:val="000000"/>
          <w:spacing w:val="-3"/>
        </w:rPr>
        <w:t xml:space="preserve"> </w:t>
      </w:r>
      <w:r w:rsidRPr="00AA552A">
        <w:rPr>
          <w:rFonts w:cs="Cambria"/>
          <w:color w:val="000000"/>
          <w:spacing w:val="1"/>
        </w:rPr>
        <w:t>P</w:t>
      </w:r>
      <w:r w:rsidRPr="00AA552A">
        <w:rPr>
          <w:rFonts w:cs="Cambria"/>
          <w:color w:val="000000"/>
        </w:rPr>
        <w:t>alm</w:t>
      </w:r>
      <w:r w:rsidRPr="00AA552A">
        <w:rPr>
          <w:rFonts w:cs="Cambria"/>
          <w:color w:val="000000"/>
          <w:spacing w:val="-1"/>
        </w:rPr>
        <w:t xml:space="preserve"> </w:t>
      </w:r>
      <w:r w:rsidRPr="00AA552A">
        <w:rPr>
          <w:rFonts w:cs="Cambria"/>
          <w:color w:val="000000"/>
        </w:rPr>
        <w:t>B</w:t>
      </w:r>
      <w:r w:rsidRPr="00AA552A">
        <w:rPr>
          <w:rFonts w:cs="Cambria"/>
          <w:color w:val="000000"/>
          <w:spacing w:val="1"/>
        </w:rPr>
        <w:t>e</w:t>
      </w:r>
      <w:r w:rsidRPr="00AA552A">
        <w:rPr>
          <w:rFonts w:cs="Cambria"/>
          <w:color w:val="000000"/>
        </w:rPr>
        <w:t>ach</w:t>
      </w:r>
      <w:r w:rsidRPr="00AA552A">
        <w:rPr>
          <w:rFonts w:cs="Cambria"/>
          <w:color w:val="000000"/>
          <w:spacing w:val="-4"/>
        </w:rPr>
        <w:t xml:space="preserve"> </w:t>
      </w:r>
      <w:r w:rsidRPr="00AA552A">
        <w:rPr>
          <w:rFonts w:cs="Cambria"/>
          <w:color w:val="000000"/>
          <w:spacing w:val="-1"/>
        </w:rPr>
        <w:t>C</w:t>
      </w:r>
      <w:r w:rsidRPr="00AA552A">
        <w:rPr>
          <w:rFonts w:cs="Cambria"/>
          <w:color w:val="000000"/>
        </w:rPr>
        <w:t>ounty</w:t>
      </w:r>
      <w:r w:rsidRPr="00AA552A">
        <w:rPr>
          <w:rFonts w:cs="Cambria"/>
          <w:color w:val="000000"/>
          <w:spacing w:val="-5"/>
        </w:rPr>
        <w:t xml:space="preserve"> </w:t>
      </w:r>
      <w:r w:rsidRPr="00AA552A">
        <w:rPr>
          <w:rFonts w:cs="Cambria"/>
          <w:color w:val="000000"/>
        </w:rPr>
        <w:t>south</w:t>
      </w:r>
      <w:r w:rsidRPr="00AA552A">
        <w:rPr>
          <w:rFonts w:cs="Cambria"/>
          <w:color w:val="000000"/>
          <w:spacing w:val="-4"/>
        </w:rPr>
        <w:t xml:space="preserve"> </w:t>
      </w:r>
      <w:r w:rsidRPr="00AA552A">
        <w:rPr>
          <w:rFonts w:cs="Cambria"/>
          <w:color w:val="000000"/>
        </w:rPr>
        <w:t>th</w:t>
      </w:r>
      <w:r w:rsidRPr="00AA552A">
        <w:rPr>
          <w:rFonts w:cs="Cambria"/>
          <w:color w:val="000000"/>
          <w:spacing w:val="2"/>
        </w:rPr>
        <w:t>r</w:t>
      </w:r>
      <w:r w:rsidRPr="00AA552A">
        <w:rPr>
          <w:rFonts w:cs="Cambria"/>
          <w:color w:val="000000"/>
        </w:rPr>
        <w:t>o</w:t>
      </w:r>
      <w:r w:rsidRPr="00AA552A">
        <w:rPr>
          <w:rFonts w:cs="Cambria"/>
          <w:color w:val="000000"/>
          <w:spacing w:val="2"/>
        </w:rPr>
        <w:t>u</w:t>
      </w:r>
      <w:r w:rsidRPr="00AA552A">
        <w:rPr>
          <w:rFonts w:cs="Cambria"/>
          <w:color w:val="000000"/>
          <w:spacing w:val="-1"/>
        </w:rPr>
        <w:t>g</w:t>
      </w:r>
      <w:r w:rsidRPr="00AA552A">
        <w:rPr>
          <w:rFonts w:cs="Cambria"/>
          <w:color w:val="000000"/>
        </w:rPr>
        <w:t>h</w:t>
      </w:r>
      <w:r w:rsidRPr="00AA552A">
        <w:rPr>
          <w:rFonts w:cs="Cambria"/>
          <w:color w:val="000000"/>
          <w:spacing w:val="-5"/>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6"/>
        </w:rPr>
        <w:t xml:space="preserve"> </w:t>
      </w:r>
      <w:r w:rsidRPr="00AA552A">
        <w:rPr>
          <w:rFonts w:cs="Cambria"/>
          <w:color w:val="000000"/>
          <w:spacing w:val="-1"/>
        </w:rPr>
        <w:t>r</w:t>
      </w:r>
      <w:r w:rsidRPr="00AA552A">
        <w:rPr>
          <w:rFonts w:cs="Cambria"/>
          <w:color w:val="000000"/>
          <w:spacing w:val="1"/>
        </w:rPr>
        <w:t>ee</w:t>
      </w:r>
      <w:r w:rsidRPr="00AA552A">
        <w:rPr>
          <w:rFonts w:cs="Cambria"/>
          <w:color w:val="000000"/>
        </w:rPr>
        <w:t>f</w:t>
      </w:r>
      <w:r w:rsidRPr="00AA552A">
        <w:rPr>
          <w:rFonts w:cs="Cambria"/>
          <w:color w:val="000000"/>
          <w:spacing w:val="-5"/>
        </w:rPr>
        <w:t xml:space="preserve"> </w:t>
      </w:r>
      <w:r w:rsidRPr="00AA552A">
        <w:rPr>
          <w:rFonts w:cs="Cambria"/>
          <w:color w:val="000000"/>
        </w:rPr>
        <w:t>t</w:t>
      </w:r>
      <w:r w:rsidRPr="00AA552A">
        <w:rPr>
          <w:rFonts w:cs="Cambria"/>
          <w:color w:val="000000"/>
          <w:spacing w:val="-1"/>
        </w:rPr>
        <w:t>r</w:t>
      </w:r>
      <w:r w:rsidRPr="00AA552A">
        <w:rPr>
          <w:rFonts w:cs="Cambria"/>
          <w:color w:val="000000"/>
        </w:rPr>
        <w:t>act</w:t>
      </w:r>
      <w:r w:rsidRPr="00AA552A">
        <w:rPr>
          <w:rFonts w:cs="Cambria"/>
          <w:color w:val="000000"/>
          <w:spacing w:val="1"/>
        </w:rPr>
        <w:t xml:space="preserve"> i</w:t>
      </w:r>
      <w:r w:rsidRPr="00AA552A">
        <w:rPr>
          <w:rFonts w:cs="Cambria"/>
          <w:color w:val="000000"/>
        </w:rPr>
        <w:t>n</w:t>
      </w:r>
      <w:r w:rsidRPr="00AA552A">
        <w:rPr>
          <w:rFonts w:cs="Cambria"/>
          <w:color w:val="000000"/>
          <w:spacing w:val="-1"/>
        </w:rPr>
        <w:t xml:space="preserve"> </w:t>
      </w:r>
      <w:r w:rsidRPr="00AA552A">
        <w:rPr>
          <w:rFonts w:cs="Cambria"/>
          <w:color w:val="000000"/>
        </w:rPr>
        <w:t>su</w:t>
      </w:r>
      <w:r w:rsidRPr="00AA552A">
        <w:rPr>
          <w:rFonts w:cs="Cambria"/>
          <w:color w:val="000000"/>
          <w:spacing w:val="1"/>
        </w:rPr>
        <w:t>b</w:t>
      </w:r>
      <w:r w:rsidRPr="00AA552A">
        <w:rPr>
          <w:rFonts w:cs="Cambria"/>
          <w:color w:val="000000"/>
        </w:rPr>
        <w:t>t</w:t>
      </w:r>
      <w:r w:rsidRPr="00AA552A">
        <w:rPr>
          <w:rFonts w:cs="Cambria"/>
          <w:color w:val="000000"/>
          <w:spacing w:val="1"/>
        </w:rPr>
        <w:t>i</w:t>
      </w:r>
      <w:r w:rsidRPr="00AA552A">
        <w:rPr>
          <w:rFonts w:cs="Cambria"/>
          <w:color w:val="000000"/>
          <w:spacing w:val="-1"/>
        </w:rPr>
        <w:t>d</w:t>
      </w:r>
      <w:r w:rsidRPr="00AA552A">
        <w:rPr>
          <w:rFonts w:cs="Cambria"/>
          <w:color w:val="000000"/>
        </w:rPr>
        <w:t>al</w:t>
      </w:r>
      <w:r w:rsidRPr="00AA552A">
        <w:rPr>
          <w:rFonts w:cs="Cambria"/>
          <w:color w:val="000000"/>
          <w:spacing w:val="-3"/>
        </w:rPr>
        <w:t xml:space="preserve"> </w:t>
      </w:r>
      <w:r>
        <w:rPr>
          <w:rFonts w:cs="Cambria"/>
          <w:color w:val="000000"/>
          <w:spacing w:val="-3"/>
        </w:rPr>
        <w:t xml:space="preserve">waters </w:t>
      </w:r>
      <w:r w:rsidRPr="00AA552A">
        <w:rPr>
          <w:rFonts w:cs="Cambria"/>
          <w:color w:val="000000"/>
        </w:rPr>
        <w:t>to</w:t>
      </w:r>
      <w:r w:rsidRPr="00AA552A">
        <w:rPr>
          <w:rFonts w:cs="Cambria"/>
          <w:color w:val="000000"/>
          <w:spacing w:val="-1"/>
        </w:rPr>
        <w:t xml:space="preserve"> 3</w:t>
      </w:r>
      <w:r w:rsidRPr="00AA552A">
        <w:rPr>
          <w:rFonts w:cs="Cambria"/>
          <w:color w:val="000000"/>
        </w:rPr>
        <w:t>0</w:t>
      </w:r>
      <w:r w:rsidRPr="00AA552A">
        <w:rPr>
          <w:rFonts w:cs="Cambria"/>
          <w:color w:val="000000"/>
          <w:spacing w:val="-4"/>
        </w:rPr>
        <w:t xml:space="preserve"> </w:t>
      </w:r>
      <w:r w:rsidRPr="00AA552A">
        <w:rPr>
          <w:rFonts w:cs="Cambria"/>
          <w:color w:val="000000"/>
        </w:rPr>
        <w:t xml:space="preserve">m </w:t>
      </w:r>
      <w:r w:rsidRPr="00AA552A">
        <w:rPr>
          <w:rFonts w:cs="Cambria"/>
          <w:color w:val="000000"/>
          <w:spacing w:val="-1"/>
          <w:position w:val="2"/>
        </w:rPr>
        <w:t>d</w:t>
      </w:r>
      <w:r w:rsidRPr="00AA552A">
        <w:rPr>
          <w:rFonts w:cs="Cambria"/>
          <w:color w:val="000000"/>
          <w:spacing w:val="1"/>
          <w:position w:val="2"/>
        </w:rPr>
        <w:t>ep</w:t>
      </w:r>
      <w:r>
        <w:rPr>
          <w:rFonts w:cs="Cambria"/>
          <w:color w:val="000000"/>
          <w:position w:val="2"/>
        </w:rPr>
        <w:t>th;</w:t>
      </w:r>
      <w:r w:rsidRPr="00AA552A">
        <w:rPr>
          <w:rFonts w:cs="Cambria"/>
          <w:color w:val="000000"/>
          <w:spacing w:val="-3"/>
          <w:position w:val="2"/>
        </w:rPr>
        <w:t xml:space="preserve"> </w:t>
      </w:r>
      <w:r w:rsidRPr="00AA552A">
        <w:rPr>
          <w:rFonts w:cs="Cambria"/>
          <w:color w:val="000000"/>
          <w:position w:val="2"/>
        </w:rPr>
        <w:t>s</w:t>
      </w:r>
      <w:r w:rsidRPr="00AA552A">
        <w:rPr>
          <w:rFonts w:cs="Cambria"/>
          <w:color w:val="000000"/>
          <w:spacing w:val="-1"/>
          <w:position w:val="2"/>
        </w:rPr>
        <w:t>u</w:t>
      </w:r>
      <w:r w:rsidRPr="00AA552A">
        <w:rPr>
          <w:rFonts w:cs="Cambria"/>
          <w:color w:val="000000"/>
          <w:spacing w:val="1"/>
          <w:position w:val="2"/>
        </w:rPr>
        <w:t>b</w:t>
      </w:r>
      <w:r w:rsidRPr="00AA552A">
        <w:rPr>
          <w:rFonts w:cs="Cambria"/>
          <w:color w:val="000000"/>
          <w:position w:val="2"/>
        </w:rPr>
        <w:t>t</w:t>
      </w:r>
      <w:r w:rsidRPr="00AA552A">
        <w:rPr>
          <w:rFonts w:cs="Cambria"/>
          <w:color w:val="000000"/>
          <w:spacing w:val="-1"/>
          <w:position w:val="2"/>
        </w:rPr>
        <w:t>r</w:t>
      </w:r>
      <w:r w:rsidRPr="00AA552A">
        <w:rPr>
          <w:rFonts w:cs="Cambria"/>
          <w:color w:val="000000"/>
          <w:position w:val="2"/>
        </w:rPr>
        <w:t>o</w:t>
      </w:r>
      <w:r w:rsidRPr="00AA552A">
        <w:rPr>
          <w:rFonts w:cs="Cambria"/>
          <w:color w:val="000000"/>
          <w:spacing w:val="1"/>
          <w:position w:val="2"/>
        </w:rPr>
        <w:t>pi</w:t>
      </w:r>
      <w:r w:rsidRPr="00AA552A">
        <w:rPr>
          <w:rFonts w:cs="Cambria"/>
          <w:color w:val="000000"/>
          <w:position w:val="2"/>
        </w:rPr>
        <w:t>cal</w:t>
      </w:r>
      <w:r w:rsidRPr="00AA552A">
        <w:rPr>
          <w:rFonts w:cs="Cambria"/>
          <w:color w:val="000000"/>
          <w:spacing w:val="-5"/>
          <w:position w:val="2"/>
        </w:rPr>
        <w:t xml:space="preserve"> </w:t>
      </w:r>
      <w:r w:rsidRPr="00AA552A">
        <w:rPr>
          <w:rFonts w:cs="Cambria"/>
          <w:color w:val="000000"/>
          <w:position w:val="2"/>
        </w:rPr>
        <w:t>(</w:t>
      </w:r>
      <w:r w:rsidRPr="00AA552A">
        <w:rPr>
          <w:rFonts w:cs="Cambria"/>
          <w:color w:val="000000"/>
          <w:spacing w:val="-1"/>
          <w:position w:val="2"/>
        </w:rPr>
        <w:t>15</w:t>
      </w:r>
      <w:r w:rsidRPr="00AA552A">
        <w:rPr>
          <w:rFonts w:cs="Cambria"/>
          <w:color w:val="000000"/>
          <w:position w:val="2"/>
        </w:rPr>
        <w:t>°-</w:t>
      </w:r>
      <w:r w:rsidRPr="00AA552A">
        <w:rPr>
          <w:rFonts w:cs="Cambria"/>
          <w:color w:val="000000"/>
          <w:spacing w:val="-1"/>
          <w:position w:val="2"/>
        </w:rPr>
        <w:t>35</w:t>
      </w:r>
      <w:r w:rsidRPr="00AA552A">
        <w:rPr>
          <w:rFonts w:cs="Cambria"/>
          <w:color w:val="000000"/>
          <w:position w:val="2"/>
        </w:rPr>
        <w:t>°</w:t>
      </w:r>
      <w:r w:rsidRPr="00AA552A">
        <w:rPr>
          <w:rFonts w:cs="Cambria"/>
          <w:color w:val="000000"/>
          <w:spacing w:val="-8"/>
          <w:position w:val="2"/>
        </w:rPr>
        <w:t xml:space="preserve"> </w:t>
      </w:r>
      <w:r w:rsidRPr="00AA552A">
        <w:rPr>
          <w:rFonts w:cs="Cambria"/>
          <w:color w:val="000000"/>
          <w:spacing w:val="-1"/>
          <w:position w:val="2"/>
        </w:rPr>
        <w:t>C</w:t>
      </w:r>
      <w:r w:rsidRPr="00AA552A">
        <w:rPr>
          <w:rFonts w:cs="Cambria"/>
          <w:color w:val="000000"/>
          <w:position w:val="2"/>
        </w:rPr>
        <w:t>),</w:t>
      </w:r>
      <w:r w:rsidRPr="00AA552A">
        <w:rPr>
          <w:rFonts w:cs="Cambria"/>
          <w:color w:val="000000"/>
          <w:spacing w:val="-1"/>
          <w:position w:val="2"/>
        </w:rPr>
        <w:t xml:space="preserve"> </w:t>
      </w:r>
      <w:r w:rsidRPr="00AA552A">
        <w:rPr>
          <w:rFonts w:cs="Cambria"/>
          <w:color w:val="000000"/>
          <w:position w:val="2"/>
        </w:rPr>
        <w:t>ol</w:t>
      </w:r>
      <w:r w:rsidRPr="00AA552A">
        <w:rPr>
          <w:rFonts w:cs="Cambria"/>
          <w:color w:val="000000"/>
          <w:spacing w:val="1"/>
          <w:position w:val="2"/>
        </w:rPr>
        <w:t>i</w:t>
      </w:r>
      <w:r w:rsidRPr="00AA552A">
        <w:rPr>
          <w:rFonts w:cs="Cambria"/>
          <w:color w:val="000000"/>
          <w:spacing w:val="-1"/>
          <w:position w:val="2"/>
        </w:rPr>
        <w:t>g</w:t>
      </w:r>
      <w:r w:rsidRPr="00AA552A">
        <w:rPr>
          <w:rFonts w:cs="Cambria"/>
          <w:color w:val="000000"/>
          <w:position w:val="2"/>
        </w:rPr>
        <w:t>ot</w:t>
      </w:r>
      <w:r w:rsidRPr="00AA552A">
        <w:rPr>
          <w:rFonts w:cs="Cambria"/>
          <w:color w:val="000000"/>
          <w:spacing w:val="-1"/>
          <w:position w:val="2"/>
        </w:rPr>
        <w:t>r</w:t>
      </w:r>
      <w:r w:rsidRPr="00AA552A">
        <w:rPr>
          <w:rFonts w:cs="Cambria"/>
          <w:color w:val="000000"/>
          <w:position w:val="2"/>
        </w:rPr>
        <w:t>o</w:t>
      </w:r>
      <w:r w:rsidRPr="00AA552A">
        <w:rPr>
          <w:rFonts w:cs="Cambria"/>
          <w:color w:val="000000"/>
          <w:spacing w:val="1"/>
          <w:position w:val="2"/>
        </w:rPr>
        <w:t>p</w:t>
      </w:r>
      <w:r w:rsidRPr="00AA552A">
        <w:rPr>
          <w:rFonts w:cs="Cambria"/>
          <w:color w:val="000000"/>
          <w:position w:val="2"/>
        </w:rPr>
        <w:t>h</w:t>
      </w:r>
      <w:r w:rsidRPr="00AA552A">
        <w:rPr>
          <w:rFonts w:cs="Cambria"/>
          <w:color w:val="000000"/>
          <w:spacing w:val="1"/>
          <w:position w:val="2"/>
        </w:rPr>
        <w:t>i</w:t>
      </w:r>
      <w:r w:rsidRPr="00AA552A">
        <w:rPr>
          <w:rFonts w:cs="Cambria"/>
          <w:color w:val="000000"/>
          <w:position w:val="2"/>
        </w:rPr>
        <w:t>c</w:t>
      </w:r>
      <w:r w:rsidRPr="00AA552A">
        <w:rPr>
          <w:rFonts w:cs="Cambria"/>
          <w:color w:val="000000"/>
          <w:spacing w:val="-9"/>
          <w:position w:val="2"/>
        </w:rPr>
        <w:t xml:space="preserve"> </w:t>
      </w:r>
      <w:r w:rsidRPr="00AA552A">
        <w:rPr>
          <w:rFonts w:cs="Cambria"/>
          <w:color w:val="000000"/>
          <w:spacing w:val="-1"/>
          <w:position w:val="2"/>
        </w:rPr>
        <w:t>w</w:t>
      </w:r>
      <w:r w:rsidRPr="00AA552A">
        <w:rPr>
          <w:rFonts w:cs="Cambria"/>
          <w:color w:val="000000"/>
          <w:position w:val="2"/>
        </w:rPr>
        <w:t>a</w:t>
      </w:r>
      <w:r w:rsidRPr="00AA552A">
        <w:rPr>
          <w:rFonts w:cs="Cambria"/>
          <w:color w:val="000000"/>
          <w:spacing w:val="3"/>
          <w:position w:val="2"/>
        </w:rPr>
        <w:t>t</w:t>
      </w:r>
      <w:r w:rsidRPr="00AA552A">
        <w:rPr>
          <w:rFonts w:cs="Cambria"/>
          <w:color w:val="000000"/>
          <w:spacing w:val="1"/>
          <w:position w:val="2"/>
        </w:rPr>
        <w:t>e</w:t>
      </w:r>
      <w:r w:rsidRPr="00AA552A">
        <w:rPr>
          <w:rFonts w:cs="Cambria"/>
          <w:color w:val="000000"/>
          <w:spacing w:val="-1"/>
          <w:position w:val="2"/>
        </w:rPr>
        <w:t>r</w:t>
      </w:r>
      <w:r w:rsidRPr="00AA552A">
        <w:rPr>
          <w:rFonts w:cs="Cambria"/>
          <w:color w:val="000000"/>
          <w:position w:val="2"/>
        </w:rPr>
        <w:t>s</w:t>
      </w:r>
      <w:r w:rsidRPr="00AA552A">
        <w:rPr>
          <w:rFonts w:cs="Cambria"/>
          <w:color w:val="000000"/>
          <w:spacing w:val="-3"/>
          <w:position w:val="2"/>
        </w:rPr>
        <w:t xml:space="preserve"> </w:t>
      </w:r>
      <w:r w:rsidRPr="00AA552A">
        <w:rPr>
          <w:rFonts w:cs="Cambria"/>
          <w:color w:val="000000"/>
          <w:spacing w:val="-1"/>
          <w:position w:val="2"/>
        </w:rPr>
        <w:t>w</w:t>
      </w:r>
      <w:r w:rsidRPr="00AA552A">
        <w:rPr>
          <w:rFonts w:cs="Cambria"/>
          <w:color w:val="000000"/>
          <w:spacing w:val="1"/>
          <w:position w:val="2"/>
        </w:rPr>
        <w:t>i</w:t>
      </w:r>
      <w:r w:rsidRPr="00AA552A">
        <w:rPr>
          <w:rFonts w:cs="Cambria"/>
          <w:color w:val="000000"/>
          <w:position w:val="2"/>
        </w:rPr>
        <w:t>th</w:t>
      </w:r>
      <w:r w:rsidRPr="00AA552A">
        <w:rPr>
          <w:rFonts w:cs="Cambria"/>
          <w:color w:val="000000"/>
          <w:spacing w:val="-2"/>
          <w:position w:val="2"/>
        </w:rPr>
        <w:t xml:space="preserve"> </w:t>
      </w:r>
      <w:r w:rsidRPr="00AA552A">
        <w:rPr>
          <w:rFonts w:cs="Cambria"/>
          <w:color w:val="000000"/>
          <w:position w:val="2"/>
        </w:rPr>
        <w:t>h</w:t>
      </w:r>
      <w:r w:rsidRPr="00AA552A">
        <w:rPr>
          <w:rFonts w:cs="Cambria"/>
          <w:color w:val="000000"/>
          <w:spacing w:val="1"/>
          <w:position w:val="2"/>
        </w:rPr>
        <w:t>i</w:t>
      </w:r>
      <w:r w:rsidRPr="00AA552A">
        <w:rPr>
          <w:rFonts w:cs="Cambria"/>
          <w:color w:val="000000"/>
          <w:spacing w:val="-1"/>
          <w:position w:val="2"/>
        </w:rPr>
        <w:t>g</w:t>
      </w:r>
      <w:r w:rsidRPr="00AA552A">
        <w:rPr>
          <w:rFonts w:cs="Cambria"/>
          <w:color w:val="000000"/>
          <w:position w:val="2"/>
        </w:rPr>
        <w:t>h</w:t>
      </w:r>
      <w:r w:rsidRPr="00AA552A">
        <w:rPr>
          <w:rFonts w:cs="Cambria"/>
          <w:color w:val="000000"/>
          <w:spacing w:val="-3"/>
          <w:position w:val="2"/>
        </w:rPr>
        <w:t xml:space="preserve"> </w:t>
      </w:r>
      <w:r w:rsidRPr="00AA552A">
        <w:rPr>
          <w:rFonts w:cs="Cambria"/>
          <w:color w:val="000000"/>
          <w:spacing w:val="2"/>
          <w:position w:val="2"/>
        </w:rPr>
        <w:t>(</w:t>
      </w:r>
      <w:r w:rsidRPr="00AA552A">
        <w:rPr>
          <w:rFonts w:cs="Cambria"/>
          <w:color w:val="000000"/>
          <w:spacing w:val="-1"/>
          <w:position w:val="2"/>
        </w:rPr>
        <w:t>30</w:t>
      </w:r>
      <w:r w:rsidRPr="00AA552A">
        <w:rPr>
          <w:rFonts w:cs="Cambria"/>
          <w:color w:val="000000"/>
          <w:spacing w:val="2"/>
          <w:position w:val="2"/>
        </w:rPr>
        <w:t>-</w:t>
      </w:r>
      <w:r w:rsidRPr="00AA552A">
        <w:rPr>
          <w:rFonts w:cs="Cambria"/>
          <w:color w:val="000000"/>
          <w:spacing w:val="-1"/>
          <w:position w:val="2"/>
        </w:rPr>
        <w:t>35</w:t>
      </w:r>
      <w:r w:rsidRPr="00AA552A">
        <w:rPr>
          <w:rFonts w:cs="Cambria"/>
          <w:color w:val="000000"/>
          <w:spacing w:val="1"/>
          <w:position w:val="8"/>
          <w:sz w:val="16"/>
        </w:rPr>
        <w:t>o</w:t>
      </w:r>
      <w:r w:rsidRPr="00AA552A">
        <w:rPr>
          <w:rFonts w:cs="Cambria"/>
          <w:color w:val="000000"/>
          <w:position w:val="2"/>
        </w:rPr>
        <w:t>/</w:t>
      </w:r>
      <w:r w:rsidRPr="00AA552A">
        <w:rPr>
          <w:rFonts w:cs="Cambria"/>
          <w:color w:val="000000"/>
          <w:spacing w:val="1"/>
          <w:sz w:val="16"/>
        </w:rPr>
        <w:t>oo</w:t>
      </w:r>
      <w:r w:rsidRPr="00AA552A">
        <w:rPr>
          <w:rFonts w:cs="Cambria"/>
          <w:color w:val="000000"/>
          <w:position w:val="2"/>
        </w:rPr>
        <w:t>)</w:t>
      </w:r>
      <w:r w:rsidRPr="00AA552A">
        <w:rPr>
          <w:rFonts w:cs="Cambria"/>
          <w:color w:val="000000"/>
          <w:spacing w:val="-7"/>
          <w:position w:val="2"/>
        </w:rPr>
        <w:t xml:space="preserve"> </w:t>
      </w:r>
      <w:r w:rsidRPr="00AA552A">
        <w:rPr>
          <w:rFonts w:cs="Cambria"/>
          <w:color w:val="000000"/>
          <w:position w:val="2"/>
        </w:rPr>
        <w:t>sal</w:t>
      </w:r>
      <w:r w:rsidRPr="00AA552A">
        <w:rPr>
          <w:rFonts w:cs="Cambria"/>
          <w:color w:val="000000"/>
          <w:spacing w:val="1"/>
          <w:position w:val="2"/>
        </w:rPr>
        <w:t>i</w:t>
      </w:r>
      <w:r w:rsidRPr="00AA552A">
        <w:rPr>
          <w:rFonts w:cs="Cambria"/>
          <w:color w:val="000000"/>
          <w:position w:val="2"/>
        </w:rPr>
        <w:t>n</w:t>
      </w:r>
      <w:r w:rsidRPr="00AA552A">
        <w:rPr>
          <w:rFonts w:cs="Cambria"/>
          <w:color w:val="000000"/>
          <w:spacing w:val="1"/>
          <w:position w:val="2"/>
        </w:rPr>
        <w:t>i</w:t>
      </w:r>
      <w:r w:rsidRPr="00AA552A">
        <w:rPr>
          <w:rFonts w:cs="Cambria"/>
          <w:color w:val="000000"/>
          <w:position w:val="2"/>
        </w:rPr>
        <w:t>ty</w:t>
      </w:r>
      <w:r w:rsidRPr="00AA552A">
        <w:rPr>
          <w:rFonts w:cs="Cambria"/>
          <w:color w:val="000000"/>
          <w:spacing w:val="-5"/>
          <w:position w:val="2"/>
        </w:rPr>
        <w:t xml:space="preserve"> </w:t>
      </w:r>
      <w:r w:rsidRPr="00AA552A">
        <w:rPr>
          <w:rFonts w:cs="Cambria"/>
          <w:color w:val="000000"/>
          <w:position w:val="2"/>
        </w:rPr>
        <w:t>and</w:t>
      </w:r>
      <w:r w:rsidRPr="00AA552A">
        <w:rPr>
          <w:rFonts w:cs="Cambria"/>
          <w:color w:val="000000"/>
          <w:spacing w:val="-2"/>
          <w:position w:val="2"/>
        </w:rPr>
        <w:t xml:space="preserve"> </w:t>
      </w:r>
      <w:r w:rsidRPr="00AA552A">
        <w:rPr>
          <w:rFonts w:cs="Cambria"/>
          <w:color w:val="000000"/>
          <w:position w:val="2"/>
        </w:rPr>
        <w:t>t</w:t>
      </w:r>
      <w:r w:rsidRPr="00AA552A">
        <w:rPr>
          <w:rFonts w:cs="Cambria"/>
          <w:color w:val="000000"/>
          <w:spacing w:val="-1"/>
          <w:position w:val="2"/>
        </w:rPr>
        <w:t>ur</w:t>
      </w:r>
      <w:r w:rsidRPr="00AA552A">
        <w:rPr>
          <w:rFonts w:cs="Cambria"/>
          <w:color w:val="000000"/>
          <w:spacing w:val="1"/>
          <w:position w:val="2"/>
        </w:rPr>
        <w:t>bi</w:t>
      </w:r>
      <w:r w:rsidRPr="00AA552A">
        <w:rPr>
          <w:rFonts w:cs="Cambria"/>
          <w:color w:val="000000"/>
          <w:spacing w:val="-1"/>
          <w:position w:val="2"/>
        </w:rPr>
        <w:t>d</w:t>
      </w:r>
      <w:r w:rsidRPr="00AA552A">
        <w:rPr>
          <w:rFonts w:cs="Cambria"/>
          <w:color w:val="000000"/>
          <w:spacing w:val="1"/>
          <w:position w:val="2"/>
        </w:rPr>
        <w:t>i</w:t>
      </w:r>
      <w:r w:rsidRPr="00AA552A">
        <w:rPr>
          <w:rFonts w:cs="Cambria"/>
          <w:color w:val="000000"/>
          <w:position w:val="2"/>
        </w:rPr>
        <w:t xml:space="preserve">ty </w:t>
      </w:r>
      <w:r w:rsidRPr="00AA552A">
        <w:rPr>
          <w:rFonts w:cs="Cambria"/>
          <w:color w:val="000000"/>
        </w:rPr>
        <w:t>l</w:t>
      </w:r>
      <w:r w:rsidRPr="00AA552A">
        <w:rPr>
          <w:rFonts w:cs="Cambria"/>
          <w:color w:val="000000"/>
          <w:spacing w:val="1"/>
        </w:rPr>
        <w:t>e</w:t>
      </w:r>
      <w:r w:rsidRPr="00AA552A">
        <w:rPr>
          <w:rFonts w:cs="Cambria"/>
          <w:color w:val="000000"/>
          <w:spacing w:val="-1"/>
        </w:rPr>
        <w:t>v</w:t>
      </w:r>
      <w:r w:rsidRPr="00AA552A">
        <w:rPr>
          <w:rFonts w:cs="Cambria"/>
          <w:color w:val="000000"/>
          <w:spacing w:val="1"/>
        </w:rPr>
        <w:t>e</w:t>
      </w:r>
      <w:r w:rsidRPr="00AA552A">
        <w:rPr>
          <w:rFonts w:cs="Cambria"/>
          <w:color w:val="000000"/>
        </w:rPr>
        <w:t>ls</w:t>
      </w:r>
      <w:r w:rsidRPr="00AA552A">
        <w:rPr>
          <w:rFonts w:cs="Cambria"/>
          <w:color w:val="000000"/>
          <w:spacing w:val="-5"/>
        </w:rPr>
        <w:t xml:space="preserve"> </w:t>
      </w:r>
      <w:r w:rsidRPr="00AA552A">
        <w:rPr>
          <w:rFonts w:cs="Cambria"/>
          <w:color w:val="000000"/>
        </w:rPr>
        <w:t>su</w:t>
      </w:r>
      <w:r w:rsidRPr="00AA552A">
        <w:rPr>
          <w:rFonts w:cs="Cambria"/>
          <w:color w:val="000000"/>
          <w:spacing w:val="-1"/>
        </w:rPr>
        <w:t>ff</w:t>
      </w:r>
      <w:r w:rsidRPr="00AA552A">
        <w:rPr>
          <w:rFonts w:cs="Cambria"/>
          <w:color w:val="000000"/>
          <w:spacing w:val="1"/>
        </w:rPr>
        <w:t>i</w:t>
      </w:r>
      <w:r w:rsidRPr="00AA552A">
        <w:rPr>
          <w:rFonts w:cs="Cambria"/>
          <w:color w:val="000000"/>
        </w:rPr>
        <w:t>c</w:t>
      </w:r>
      <w:r w:rsidRPr="00AA552A">
        <w:rPr>
          <w:rFonts w:cs="Cambria"/>
          <w:color w:val="000000"/>
          <w:spacing w:val="1"/>
        </w:rPr>
        <w:t>ie</w:t>
      </w:r>
      <w:r w:rsidRPr="00AA552A">
        <w:rPr>
          <w:rFonts w:cs="Cambria"/>
          <w:color w:val="000000"/>
        </w:rPr>
        <w:t>ntly</w:t>
      </w:r>
      <w:r w:rsidRPr="00AA552A">
        <w:rPr>
          <w:rFonts w:cs="Cambria"/>
          <w:color w:val="000000"/>
          <w:spacing w:val="-10"/>
        </w:rPr>
        <w:t xml:space="preserve"> </w:t>
      </w:r>
      <w:r w:rsidRPr="00AA552A">
        <w:rPr>
          <w:rFonts w:cs="Cambria"/>
          <w:color w:val="000000"/>
        </w:rPr>
        <w:t>low</w:t>
      </w:r>
      <w:r w:rsidRPr="00AA552A">
        <w:rPr>
          <w:rFonts w:cs="Cambria"/>
          <w:color w:val="000000"/>
          <w:spacing w:val="-2"/>
        </w:rPr>
        <w:t xml:space="preserve"> </w:t>
      </w:r>
      <w:r w:rsidRPr="00AA552A">
        <w:rPr>
          <w:rFonts w:cs="Cambria"/>
          <w:color w:val="000000"/>
          <w:spacing w:val="3"/>
        </w:rPr>
        <w:t>e</w:t>
      </w:r>
      <w:r w:rsidRPr="00AA552A">
        <w:rPr>
          <w:rFonts w:cs="Cambria"/>
          <w:color w:val="000000"/>
        </w:rPr>
        <w:t>nou</w:t>
      </w:r>
      <w:r w:rsidRPr="00AA552A">
        <w:rPr>
          <w:rFonts w:cs="Cambria"/>
          <w:color w:val="000000"/>
          <w:spacing w:val="-1"/>
        </w:rPr>
        <w:t>g</w:t>
      </w:r>
      <w:r w:rsidRPr="00AA552A">
        <w:rPr>
          <w:rFonts w:cs="Cambria"/>
          <w:color w:val="000000"/>
        </w:rPr>
        <w:t>h</w:t>
      </w:r>
      <w:r w:rsidRPr="00AA552A">
        <w:rPr>
          <w:rFonts w:cs="Cambria"/>
          <w:color w:val="000000"/>
          <w:spacing w:val="-4"/>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spacing w:val="1"/>
        </w:rPr>
        <w:t>p</w:t>
      </w:r>
      <w:r w:rsidRPr="00AA552A">
        <w:rPr>
          <w:rFonts w:cs="Cambria"/>
          <w:color w:val="000000"/>
          <w:spacing w:val="-1"/>
        </w:rPr>
        <w:t>r</w:t>
      </w:r>
      <w:r w:rsidRPr="00AA552A">
        <w:rPr>
          <w:rFonts w:cs="Cambria"/>
          <w:color w:val="000000"/>
        </w:rPr>
        <w:t>o</w:t>
      </w:r>
      <w:r w:rsidRPr="00AA552A">
        <w:rPr>
          <w:rFonts w:cs="Cambria"/>
          <w:color w:val="000000"/>
          <w:spacing w:val="-1"/>
        </w:rPr>
        <w:t>v</w:t>
      </w:r>
      <w:r w:rsidRPr="00AA552A">
        <w:rPr>
          <w:rFonts w:cs="Cambria"/>
          <w:color w:val="000000"/>
          <w:spacing w:val="1"/>
        </w:rPr>
        <w:t>i</w:t>
      </w:r>
      <w:r w:rsidRPr="00AA552A">
        <w:rPr>
          <w:rFonts w:cs="Cambria"/>
          <w:color w:val="000000"/>
          <w:spacing w:val="-1"/>
        </w:rPr>
        <w:t>d</w:t>
      </w:r>
      <w:r w:rsidRPr="00AA552A">
        <w:rPr>
          <w:rFonts w:cs="Cambria"/>
          <w:color w:val="000000"/>
        </w:rPr>
        <w:t>e</w:t>
      </w:r>
      <w:r w:rsidRPr="00AA552A">
        <w:rPr>
          <w:rFonts w:cs="Cambria"/>
          <w:color w:val="000000"/>
          <w:spacing w:val="-6"/>
        </w:rPr>
        <w:t xml:space="preserve"> </w:t>
      </w:r>
      <w:r w:rsidRPr="00AA552A">
        <w:rPr>
          <w:rFonts w:cs="Cambria"/>
          <w:color w:val="000000"/>
        </w:rPr>
        <w:t>a</w:t>
      </w:r>
      <w:r w:rsidRPr="00AA552A">
        <w:rPr>
          <w:rFonts w:cs="Cambria"/>
          <w:color w:val="000000"/>
          <w:spacing w:val="2"/>
        </w:rPr>
        <w:t>l</w:t>
      </w:r>
      <w:r w:rsidRPr="00AA552A">
        <w:rPr>
          <w:rFonts w:cs="Cambria"/>
          <w:color w:val="000000"/>
          <w:spacing w:val="-1"/>
        </w:rPr>
        <w:t>g</w:t>
      </w:r>
      <w:r w:rsidRPr="00AA552A">
        <w:rPr>
          <w:rFonts w:cs="Cambria"/>
          <w:color w:val="000000"/>
        </w:rPr>
        <w:t xml:space="preserve">al </w:t>
      </w:r>
      <w:r w:rsidRPr="00AA552A">
        <w:rPr>
          <w:rFonts w:cs="Cambria"/>
          <w:color w:val="000000"/>
          <w:spacing w:val="2"/>
        </w:rPr>
        <w:t>s</w:t>
      </w:r>
      <w:r w:rsidRPr="00AA552A">
        <w:rPr>
          <w:rFonts w:cs="Cambria"/>
          <w:color w:val="000000"/>
          <w:spacing w:val="-1"/>
        </w:rPr>
        <w:t>y</w:t>
      </w:r>
      <w:r w:rsidRPr="00AA552A">
        <w:rPr>
          <w:rFonts w:cs="Cambria"/>
          <w:color w:val="000000"/>
        </w:rPr>
        <w:t>m</w:t>
      </w:r>
      <w:r w:rsidRPr="00AA552A">
        <w:rPr>
          <w:rFonts w:cs="Cambria"/>
          <w:color w:val="000000"/>
          <w:spacing w:val="1"/>
        </w:rPr>
        <w:t>bi</w:t>
      </w:r>
      <w:r w:rsidRPr="00AA552A">
        <w:rPr>
          <w:rFonts w:cs="Cambria"/>
          <w:color w:val="000000"/>
        </w:rPr>
        <w:t>onts</w:t>
      </w:r>
      <w:r w:rsidRPr="00AA552A">
        <w:rPr>
          <w:rFonts w:cs="Cambria"/>
          <w:color w:val="000000"/>
          <w:spacing w:val="-5"/>
        </w:rPr>
        <w:t xml:space="preserve"> </w:t>
      </w:r>
      <w:r w:rsidRPr="00AA552A">
        <w:rPr>
          <w:rFonts w:cs="Cambria"/>
          <w:color w:val="000000"/>
        </w:rPr>
        <w:t>a</w:t>
      </w:r>
      <w:r w:rsidRPr="00AA552A">
        <w:rPr>
          <w:rFonts w:cs="Cambria"/>
          <w:color w:val="000000"/>
          <w:spacing w:val="-1"/>
        </w:rPr>
        <w:t>d</w:t>
      </w:r>
      <w:r w:rsidRPr="00AA552A">
        <w:rPr>
          <w:rFonts w:cs="Cambria"/>
          <w:color w:val="000000"/>
          <w:spacing w:val="1"/>
        </w:rPr>
        <w:t>eq</w:t>
      </w:r>
      <w:r w:rsidRPr="00AA552A">
        <w:rPr>
          <w:rFonts w:cs="Cambria"/>
          <w:color w:val="000000"/>
          <w:spacing w:val="-1"/>
        </w:rPr>
        <w:t>u</w:t>
      </w:r>
      <w:r w:rsidRPr="00AA552A">
        <w:rPr>
          <w:rFonts w:cs="Cambria"/>
          <w:color w:val="000000"/>
        </w:rPr>
        <w:t>ate</w:t>
      </w:r>
      <w:r w:rsidRPr="00AA552A">
        <w:rPr>
          <w:rFonts w:cs="Cambria"/>
          <w:color w:val="000000"/>
          <w:spacing w:val="-4"/>
        </w:rPr>
        <w:t xml:space="preserve"> </w:t>
      </w:r>
      <w:r w:rsidRPr="00AA552A">
        <w:rPr>
          <w:rFonts w:cs="Cambria"/>
          <w:color w:val="000000"/>
        </w:rPr>
        <w:t>s</w:t>
      </w:r>
      <w:r w:rsidRPr="00AA552A">
        <w:rPr>
          <w:rFonts w:cs="Cambria"/>
          <w:color w:val="000000"/>
          <w:spacing w:val="-1"/>
        </w:rPr>
        <w:t>u</w:t>
      </w:r>
      <w:r w:rsidRPr="00AA552A">
        <w:rPr>
          <w:rFonts w:cs="Cambria"/>
          <w:color w:val="000000"/>
        </w:rPr>
        <w:t>nl</w:t>
      </w:r>
      <w:r w:rsidRPr="00AA552A">
        <w:rPr>
          <w:rFonts w:cs="Cambria"/>
          <w:color w:val="000000"/>
          <w:spacing w:val="1"/>
        </w:rPr>
        <w:t>i</w:t>
      </w:r>
      <w:r w:rsidRPr="00AA552A">
        <w:rPr>
          <w:rFonts w:cs="Cambria"/>
          <w:color w:val="000000"/>
          <w:spacing w:val="-1"/>
        </w:rPr>
        <w:t>g</w:t>
      </w:r>
      <w:r w:rsidRPr="00AA552A">
        <w:rPr>
          <w:rFonts w:cs="Cambria"/>
          <w:color w:val="000000"/>
        </w:rPr>
        <w:t>ht</w:t>
      </w:r>
      <w:r w:rsidRPr="00AA552A">
        <w:rPr>
          <w:rFonts w:cs="Cambria"/>
          <w:color w:val="000000"/>
          <w:spacing w:val="-3"/>
        </w:rPr>
        <w:t xml:space="preserve"> </w:t>
      </w:r>
      <w:r w:rsidRPr="00AA552A">
        <w:rPr>
          <w:rFonts w:cs="Cambria"/>
          <w:color w:val="000000"/>
          <w:spacing w:val="1"/>
        </w:rPr>
        <w:t>pe</w:t>
      </w:r>
      <w:r w:rsidRPr="00AA552A">
        <w:rPr>
          <w:rFonts w:cs="Cambria"/>
          <w:color w:val="000000"/>
        </w:rPr>
        <w:t>n</w:t>
      </w:r>
      <w:r w:rsidRPr="00AA552A">
        <w:rPr>
          <w:rFonts w:cs="Cambria"/>
          <w:color w:val="000000"/>
          <w:spacing w:val="1"/>
        </w:rPr>
        <w:t>e</w:t>
      </w:r>
      <w:r w:rsidRPr="00AA552A">
        <w:rPr>
          <w:rFonts w:cs="Cambria"/>
          <w:color w:val="000000"/>
        </w:rPr>
        <w:t>t</w:t>
      </w:r>
      <w:r w:rsidRPr="00AA552A">
        <w:rPr>
          <w:rFonts w:cs="Cambria"/>
          <w:color w:val="000000"/>
          <w:spacing w:val="-1"/>
        </w:rPr>
        <w:t>r</w:t>
      </w:r>
      <w:r w:rsidRPr="00AA552A">
        <w:rPr>
          <w:rFonts w:cs="Cambria"/>
          <w:color w:val="000000"/>
        </w:rPr>
        <w:t>at</w:t>
      </w:r>
      <w:r w:rsidRPr="00AA552A">
        <w:rPr>
          <w:rFonts w:cs="Cambria"/>
          <w:color w:val="000000"/>
          <w:spacing w:val="1"/>
        </w:rPr>
        <w:t>i</w:t>
      </w:r>
      <w:r w:rsidRPr="00AA552A">
        <w:rPr>
          <w:rFonts w:cs="Cambria"/>
          <w:color w:val="000000"/>
        </w:rPr>
        <w:t>on</w:t>
      </w:r>
      <w:r w:rsidRPr="00AA552A">
        <w:rPr>
          <w:rFonts w:cs="Cambria"/>
          <w:color w:val="000000"/>
          <w:spacing w:val="-5"/>
        </w:rPr>
        <w:t xml:space="preserve"> </w:t>
      </w:r>
      <w:r w:rsidRPr="00AA552A">
        <w:rPr>
          <w:rFonts w:cs="Cambria"/>
          <w:color w:val="000000"/>
          <w:spacing w:val="-1"/>
        </w:rPr>
        <w:t>f</w:t>
      </w:r>
      <w:r w:rsidRPr="00AA552A">
        <w:rPr>
          <w:rFonts w:cs="Cambria"/>
          <w:color w:val="000000"/>
        </w:rPr>
        <w:t xml:space="preserve">or </w:t>
      </w:r>
      <w:r w:rsidRPr="00AA552A">
        <w:rPr>
          <w:rFonts w:cs="Cambria"/>
          <w:color w:val="000000"/>
          <w:spacing w:val="1"/>
        </w:rPr>
        <w:t>p</w:t>
      </w:r>
      <w:r w:rsidRPr="00AA552A">
        <w:rPr>
          <w:rFonts w:cs="Cambria"/>
          <w:color w:val="000000"/>
        </w:rPr>
        <w:t>hotos</w:t>
      </w:r>
      <w:r w:rsidRPr="00AA552A">
        <w:rPr>
          <w:rFonts w:cs="Cambria"/>
          <w:color w:val="000000"/>
          <w:spacing w:val="-1"/>
        </w:rPr>
        <w:t>y</w:t>
      </w:r>
      <w:r w:rsidRPr="00AA552A">
        <w:rPr>
          <w:rFonts w:cs="Cambria"/>
          <w:color w:val="000000"/>
        </w:rPr>
        <w:t>nth</w:t>
      </w:r>
      <w:r w:rsidRPr="00AA552A">
        <w:rPr>
          <w:rFonts w:cs="Cambria"/>
          <w:color w:val="000000"/>
          <w:spacing w:val="1"/>
        </w:rPr>
        <w:t>e</w:t>
      </w:r>
      <w:r w:rsidRPr="00AA552A">
        <w:rPr>
          <w:rFonts w:cs="Cambria"/>
          <w:color w:val="000000"/>
        </w:rPr>
        <w:t>s</w:t>
      </w:r>
      <w:r w:rsidRPr="00AA552A">
        <w:rPr>
          <w:rFonts w:cs="Cambria"/>
          <w:color w:val="000000"/>
          <w:spacing w:val="1"/>
        </w:rPr>
        <w:t>i</w:t>
      </w:r>
      <w:r w:rsidRPr="00AA552A">
        <w:rPr>
          <w:rFonts w:cs="Cambria"/>
          <w:color w:val="000000"/>
        </w:rPr>
        <w:t>s.</w:t>
      </w:r>
      <w:r w:rsidRPr="00AA552A">
        <w:rPr>
          <w:rFonts w:cs="Cambria"/>
          <w:color w:val="000000"/>
          <w:spacing w:val="42"/>
        </w:rPr>
        <w:t xml:space="preserve"> </w:t>
      </w:r>
      <w:r w:rsidRPr="00AA552A">
        <w:rPr>
          <w:rFonts w:cs="Cambria"/>
          <w:color w:val="000000"/>
          <w:spacing w:val="-1"/>
        </w:rPr>
        <w:t>A</w:t>
      </w:r>
      <w:r w:rsidRPr="00AA552A">
        <w:rPr>
          <w:rFonts w:cs="Cambria"/>
          <w:color w:val="000000"/>
        </w:rPr>
        <w:t>h</w:t>
      </w:r>
      <w:r w:rsidRPr="00AA552A">
        <w:rPr>
          <w:rFonts w:cs="Cambria"/>
          <w:color w:val="000000"/>
          <w:spacing w:val="1"/>
        </w:rPr>
        <w:t>e</w:t>
      </w:r>
      <w:r w:rsidRPr="00AA552A">
        <w:rPr>
          <w:rFonts w:cs="Cambria"/>
          <w:color w:val="000000"/>
          <w:spacing w:val="-1"/>
        </w:rPr>
        <w:t>r</w:t>
      </w:r>
      <w:r w:rsidRPr="00AA552A">
        <w:rPr>
          <w:rFonts w:cs="Cambria"/>
          <w:color w:val="000000"/>
        </w:rPr>
        <w:t>mat</w:t>
      </w:r>
      <w:r w:rsidRPr="00AA552A">
        <w:rPr>
          <w:rFonts w:cs="Cambria"/>
          <w:color w:val="000000"/>
          <w:spacing w:val="-1"/>
        </w:rPr>
        <w:t>y</w:t>
      </w:r>
      <w:r w:rsidRPr="00AA552A">
        <w:rPr>
          <w:rFonts w:cs="Cambria"/>
          <w:color w:val="000000"/>
          <w:spacing w:val="1"/>
        </w:rPr>
        <w:t>pi</w:t>
      </w:r>
      <w:r w:rsidRPr="00AA552A">
        <w:rPr>
          <w:rFonts w:cs="Cambria"/>
          <w:color w:val="000000"/>
        </w:rPr>
        <w:t>c</w:t>
      </w:r>
      <w:r w:rsidRPr="00AA552A">
        <w:rPr>
          <w:rFonts w:cs="Cambria"/>
          <w:color w:val="000000"/>
          <w:spacing w:val="-6"/>
        </w:rPr>
        <w:t xml:space="preserve"> </w:t>
      </w:r>
      <w:r w:rsidRPr="00AA552A">
        <w:rPr>
          <w:rFonts w:cs="Cambria"/>
          <w:color w:val="000000"/>
        </w:rPr>
        <w:t>stony</w:t>
      </w:r>
      <w:r w:rsidRPr="00AA552A">
        <w:rPr>
          <w:rFonts w:cs="Cambria"/>
          <w:color w:val="000000"/>
          <w:spacing w:val="-5"/>
        </w:rPr>
        <w:t xml:space="preserve"> </w:t>
      </w:r>
      <w:r w:rsidRPr="00AA552A">
        <w:rPr>
          <w:rFonts w:cs="Cambria"/>
          <w:color w:val="000000"/>
        </w:rPr>
        <w:t>co</w:t>
      </w:r>
      <w:r w:rsidRPr="00AA552A">
        <w:rPr>
          <w:rFonts w:cs="Cambria"/>
          <w:color w:val="000000"/>
          <w:spacing w:val="-1"/>
        </w:rPr>
        <w:t>r</w:t>
      </w:r>
      <w:r w:rsidRPr="00AA552A">
        <w:rPr>
          <w:rFonts w:cs="Cambria"/>
          <w:color w:val="000000"/>
        </w:rPr>
        <w:t>als</w:t>
      </w:r>
      <w:r w:rsidRPr="00AA552A">
        <w:rPr>
          <w:rFonts w:cs="Cambria"/>
          <w:color w:val="000000"/>
          <w:spacing w:val="-4"/>
        </w:rPr>
        <w:t xml:space="preserve"> </w:t>
      </w:r>
      <w:r w:rsidRPr="00AA552A">
        <w:rPr>
          <w:rFonts w:cs="Cambria"/>
          <w:color w:val="000000"/>
        </w:rPr>
        <w:t>a</w:t>
      </w:r>
      <w:r w:rsidRPr="00AA552A">
        <w:rPr>
          <w:rFonts w:cs="Cambria"/>
          <w:color w:val="000000"/>
          <w:spacing w:val="-1"/>
        </w:rPr>
        <w:t>r</w:t>
      </w:r>
      <w:r w:rsidRPr="00AA552A">
        <w:rPr>
          <w:rFonts w:cs="Cambria"/>
          <w:color w:val="000000"/>
        </w:rPr>
        <w:t>e</w:t>
      </w:r>
      <w:r w:rsidRPr="00AA552A">
        <w:rPr>
          <w:rFonts w:cs="Cambria"/>
          <w:color w:val="000000"/>
          <w:spacing w:val="-1"/>
        </w:rPr>
        <w:t xml:space="preserve"> </w:t>
      </w:r>
      <w:r w:rsidRPr="00AA552A">
        <w:rPr>
          <w:rFonts w:cs="Cambria"/>
          <w:color w:val="000000"/>
        </w:rPr>
        <w:t>not</w:t>
      </w:r>
      <w:r w:rsidRPr="00AA552A">
        <w:rPr>
          <w:rFonts w:cs="Cambria"/>
          <w:color w:val="000000"/>
          <w:spacing w:val="-1"/>
        </w:rPr>
        <w:t xml:space="preserve"> </w:t>
      </w:r>
      <w:r w:rsidRPr="00AA552A">
        <w:rPr>
          <w:rFonts w:cs="Cambria"/>
          <w:color w:val="000000"/>
        </w:rPr>
        <w:t>l</w:t>
      </w:r>
      <w:r w:rsidRPr="00AA552A">
        <w:rPr>
          <w:rFonts w:cs="Cambria"/>
          <w:color w:val="000000"/>
          <w:spacing w:val="1"/>
        </w:rPr>
        <w:t>i</w:t>
      </w:r>
      <w:r w:rsidRPr="00AA552A">
        <w:rPr>
          <w:rFonts w:cs="Cambria"/>
          <w:color w:val="000000"/>
          <w:spacing w:val="-1"/>
        </w:rPr>
        <w:t>g</w:t>
      </w:r>
      <w:r w:rsidRPr="00AA552A">
        <w:rPr>
          <w:rFonts w:cs="Cambria"/>
          <w:color w:val="000000"/>
        </w:rPr>
        <w:t>ht</w:t>
      </w:r>
      <w:r w:rsidRPr="00AA552A">
        <w:rPr>
          <w:rFonts w:cs="Cambria"/>
          <w:color w:val="000000"/>
          <w:spacing w:val="-2"/>
        </w:rPr>
        <w:t xml:space="preserve"> </w:t>
      </w:r>
      <w:r w:rsidRPr="00AA552A">
        <w:rPr>
          <w:rFonts w:cs="Cambria"/>
          <w:color w:val="000000"/>
          <w:spacing w:val="-1"/>
        </w:rPr>
        <w:t>r</w:t>
      </w:r>
      <w:r w:rsidRPr="00AA552A">
        <w:rPr>
          <w:rFonts w:cs="Cambria"/>
          <w:color w:val="000000"/>
          <w:spacing w:val="1"/>
        </w:rPr>
        <w:t>e</w:t>
      </w:r>
      <w:r w:rsidRPr="00AA552A">
        <w:rPr>
          <w:rFonts w:cs="Cambria"/>
          <w:color w:val="000000"/>
        </w:rPr>
        <w:t>st</w:t>
      </w:r>
      <w:r w:rsidRPr="00AA552A">
        <w:rPr>
          <w:rFonts w:cs="Cambria"/>
          <w:color w:val="000000"/>
          <w:spacing w:val="-1"/>
        </w:rPr>
        <w:t>r</w:t>
      </w:r>
      <w:r w:rsidRPr="00AA552A">
        <w:rPr>
          <w:rFonts w:cs="Cambria"/>
          <w:color w:val="000000"/>
          <w:spacing w:val="1"/>
        </w:rPr>
        <w:t>i</w:t>
      </w:r>
      <w:r w:rsidRPr="00AA552A">
        <w:rPr>
          <w:rFonts w:cs="Cambria"/>
          <w:color w:val="000000"/>
        </w:rPr>
        <w:t>ct</w:t>
      </w:r>
      <w:r w:rsidRPr="00AA552A">
        <w:rPr>
          <w:rFonts w:cs="Cambria"/>
          <w:color w:val="000000"/>
          <w:spacing w:val="1"/>
        </w:rPr>
        <w:t>e</w:t>
      </w:r>
      <w:r w:rsidRPr="00AA552A">
        <w:rPr>
          <w:rFonts w:cs="Cambria"/>
          <w:color w:val="000000"/>
        </w:rPr>
        <w:t>d</w:t>
      </w:r>
      <w:r w:rsidRPr="00AA552A">
        <w:rPr>
          <w:rFonts w:cs="Cambria"/>
          <w:color w:val="000000"/>
          <w:spacing w:val="-9"/>
        </w:rPr>
        <w:t xml:space="preserve"> </w:t>
      </w:r>
      <w:r w:rsidRPr="00AA552A">
        <w:rPr>
          <w:rFonts w:cs="Cambria"/>
          <w:color w:val="000000"/>
        </w:rPr>
        <w:t>and th</w:t>
      </w:r>
      <w:r w:rsidRPr="00AA552A">
        <w:rPr>
          <w:rFonts w:cs="Cambria"/>
          <w:color w:val="000000"/>
          <w:spacing w:val="1"/>
        </w:rPr>
        <w:t>ei</w:t>
      </w:r>
      <w:r w:rsidRPr="00AA552A">
        <w:rPr>
          <w:rFonts w:cs="Cambria"/>
          <w:color w:val="000000"/>
        </w:rPr>
        <w:t>r</w:t>
      </w:r>
      <w:r w:rsidRPr="00AA552A">
        <w:rPr>
          <w:rFonts w:cs="Cambria"/>
          <w:color w:val="000000"/>
          <w:spacing w:val="-5"/>
        </w:rPr>
        <w:t xml:space="preserve"> </w:t>
      </w: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nt</w:t>
      </w:r>
      <w:r w:rsidRPr="00AA552A">
        <w:rPr>
          <w:rFonts w:cs="Cambria"/>
          <w:color w:val="000000"/>
          <w:spacing w:val="1"/>
        </w:rPr>
        <w:t>i</w:t>
      </w:r>
      <w:r w:rsidRPr="00AA552A">
        <w:rPr>
          <w:rFonts w:cs="Cambria"/>
          <w:color w:val="000000"/>
        </w:rPr>
        <w:t>al</w:t>
      </w:r>
      <w:r w:rsidRPr="00AA552A">
        <w:rPr>
          <w:rFonts w:cs="Cambria"/>
          <w:color w:val="000000"/>
          <w:spacing w:val="-5"/>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 ha</w:t>
      </w:r>
      <w:r w:rsidRPr="00AA552A">
        <w:rPr>
          <w:rFonts w:cs="Cambria"/>
          <w:color w:val="000000"/>
          <w:spacing w:val="1"/>
        </w:rPr>
        <w:t>bi</w:t>
      </w:r>
      <w:r w:rsidRPr="00AA552A">
        <w:rPr>
          <w:rFonts w:cs="Cambria"/>
          <w:color w:val="000000"/>
        </w:rPr>
        <w:t>tat</w:t>
      </w:r>
      <w:r w:rsidRPr="00AA552A">
        <w:rPr>
          <w:rFonts w:cs="Cambria"/>
          <w:color w:val="000000"/>
          <w:spacing w:val="-2"/>
        </w:rPr>
        <w:t xml:space="preserve"> </w:t>
      </w:r>
      <w:r w:rsidRPr="00AA552A">
        <w:rPr>
          <w:rFonts w:cs="Cambria"/>
          <w:color w:val="000000"/>
          <w:spacing w:val="1"/>
        </w:rPr>
        <w:t>i</w:t>
      </w:r>
      <w:r w:rsidRPr="00AA552A">
        <w:rPr>
          <w:rFonts w:cs="Cambria"/>
          <w:color w:val="000000"/>
        </w:rPr>
        <w:t>ncl</w:t>
      </w:r>
      <w:r w:rsidRPr="00AA552A">
        <w:rPr>
          <w:rFonts w:cs="Cambria"/>
          <w:color w:val="000000"/>
          <w:spacing w:val="-1"/>
        </w:rPr>
        <w:t>ud</w:t>
      </w:r>
      <w:r w:rsidRPr="00AA552A">
        <w:rPr>
          <w:rFonts w:cs="Cambria"/>
          <w:color w:val="000000"/>
          <w:spacing w:val="1"/>
        </w:rPr>
        <w:t>e</w:t>
      </w:r>
      <w:r w:rsidRPr="00AA552A">
        <w:rPr>
          <w:rFonts w:cs="Cambria"/>
          <w:color w:val="000000"/>
        </w:rPr>
        <w:t>s</w:t>
      </w:r>
      <w:r w:rsidRPr="00AA552A">
        <w:rPr>
          <w:rFonts w:cs="Cambria"/>
          <w:color w:val="000000"/>
          <w:spacing w:val="-5"/>
        </w:rPr>
        <w:t xml:space="preserve"> </w:t>
      </w:r>
      <w:r w:rsidRPr="00AA552A">
        <w:rPr>
          <w:rFonts w:cs="Cambria"/>
          <w:color w:val="000000"/>
          <w:spacing w:val="-1"/>
        </w:rPr>
        <w:t>d</w:t>
      </w:r>
      <w:r w:rsidRPr="00AA552A">
        <w:rPr>
          <w:rFonts w:cs="Cambria"/>
          <w:color w:val="000000"/>
          <w:spacing w:val="1"/>
        </w:rPr>
        <w:t>e</w:t>
      </w:r>
      <w:r w:rsidRPr="00AA552A">
        <w:rPr>
          <w:rFonts w:cs="Cambria"/>
          <w:color w:val="000000"/>
          <w:spacing w:val="-1"/>
        </w:rPr>
        <w:t>f</w:t>
      </w:r>
      <w:r w:rsidRPr="00AA552A">
        <w:rPr>
          <w:rFonts w:cs="Cambria"/>
          <w:color w:val="000000"/>
          <w:spacing w:val="1"/>
        </w:rPr>
        <w:t>i</w:t>
      </w:r>
      <w:r w:rsidRPr="00AA552A">
        <w:rPr>
          <w:rFonts w:cs="Cambria"/>
          <w:color w:val="000000"/>
        </w:rPr>
        <w:t>n</w:t>
      </w:r>
      <w:r w:rsidRPr="00AA552A">
        <w:rPr>
          <w:rFonts w:cs="Cambria"/>
          <w:color w:val="000000"/>
          <w:spacing w:val="-2"/>
        </w:rPr>
        <w:t>e</w:t>
      </w:r>
      <w:r w:rsidRPr="00AA552A">
        <w:rPr>
          <w:rFonts w:cs="Cambria"/>
          <w:color w:val="000000"/>
        </w:rPr>
        <w:t>d</w:t>
      </w:r>
      <w:r w:rsidRPr="00AA552A">
        <w:rPr>
          <w:rFonts w:cs="Cambria"/>
          <w:color w:val="000000"/>
          <w:spacing w:val="-7"/>
        </w:rPr>
        <w:t xml:space="preserve"> </w:t>
      </w:r>
      <w:r w:rsidRPr="00AA552A">
        <w:rPr>
          <w:rFonts w:cs="Cambria"/>
          <w:color w:val="000000"/>
        </w:rPr>
        <w:t>ha</w:t>
      </w:r>
      <w:r w:rsidRPr="00AA552A">
        <w:rPr>
          <w:rFonts w:cs="Cambria"/>
          <w:color w:val="000000"/>
          <w:spacing w:val="-1"/>
        </w:rPr>
        <w:t>r</w:t>
      </w:r>
      <w:r w:rsidRPr="00AA552A">
        <w:rPr>
          <w:rFonts w:cs="Cambria"/>
          <w:color w:val="000000"/>
        </w:rPr>
        <w:t>d</w:t>
      </w:r>
      <w:r w:rsidRPr="00AA552A">
        <w:rPr>
          <w:rFonts w:cs="Cambria"/>
          <w:color w:val="000000"/>
          <w:spacing w:val="-5"/>
        </w:rPr>
        <w:t xml:space="preserve"> </w:t>
      </w:r>
      <w:r w:rsidRPr="00AA552A">
        <w:rPr>
          <w:rFonts w:cs="Cambria"/>
          <w:color w:val="000000"/>
          <w:spacing w:val="2"/>
        </w:rPr>
        <w:t>s</w:t>
      </w:r>
      <w:r w:rsidRPr="00AA552A">
        <w:rPr>
          <w:rFonts w:cs="Cambria"/>
          <w:color w:val="000000"/>
          <w:spacing w:val="-1"/>
        </w:rPr>
        <w:t>u</w:t>
      </w:r>
      <w:r w:rsidRPr="00AA552A">
        <w:rPr>
          <w:rFonts w:cs="Cambria"/>
          <w:color w:val="000000"/>
          <w:spacing w:val="1"/>
        </w:rPr>
        <w:t>b</w:t>
      </w:r>
      <w:r w:rsidRPr="00AA552A">
        <w:rPr>
          <w:rFonts w:cs="Cambria"/>
          <w:color w:val="000000"/>
        </w:rPr>
        <w:t>st</w:t>
      </w:r>
      <w:r w:rsidRPr="00AA552A">
        <w:rPr>
          <w:rFonts w:cs="Cambria"/>
          <w:color w:val="000000"/>
          <w:spacing w:val="-1"/>
        </w:rPr>
        <w:t>r</w:t>
      </w:r>
      <w:r w:rsidRPr="00AA552A">
        <w:rPr>
          <w:rFonts w:cs="Cambria"/>
          <w:color w:val="000000"/>
        </w:rPr>
        <w:t>ate</w:t>
      </w:r>
      <w:r w:rsidRPr="00AA552A">
        <w:rPr>
          <w:rFonts w:cs="Cambria"/>
          <w:color w:val="000000"/>
          <w:spacing w:val="-3"/>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s</w:t>
      </w:r>
      <w:r w:rsidRPr="00AA552A">
        <w:rPr>
          <w:rFonts w:cs="Cambria"/>
          <w:color w:val="000000"/>
          <w:spacing w:val="-1"/>
        </w:rPr>
        <w:t>u</w:t>
      </w:r>
      <w:r w:rsidRPr="00AA552A">
        <w:rPr>
          <w:rFonts w:cs="Cambria"/>
          <w:color w:val="000000"/>
          <w:spacing w:val="1"/>
        </w:rPr>
        <w:t>b</w:t>
      </w:r>
      <w:r w:rsidRPr="00AA552A">
        <w:rPr>
          <w:rFonts w:cs="Cambria"/>
          <w:color w:val="000000"/>
          <w:spacing w:val="-2"/>
        </w:rPr>
        <w:t>t</w:t>
      </w:r>
      <w:r w:rsidRPr="00AA552A">
        <w:rPr>
          <w:rFonts w:cs="Cambria"/>
          <w:color w:val="000000"/>
          <w:spacing w:val="1"/>
        </w:rPr>
        <w:t>i</w:t>
      </w:r>
      <w:r w:rsidRPr="00AA552A">
        <w:rPr>
          <w:rFonts w:cs="Cambria"/>
          <w:color w:val="000000"/>
          <w:spacing w:val="-1"/>
        </w:rPr>
        <w:t>d</w:t>
      </w:r>
      <w:r w:rsidRPr="00AA552A">
        <w:rPr>
          <w:rFonts w:cs="Cambria"/>
          <w:color w:val="000000"/>
        </w:rPr>
        <w:t>al</w:t>
      </w:r>
      <w:r w:rsidRPr="00AA552A">
        <w:rPr>
          <w:rFonts w:cs="Cambria"/>
          <w:color w:val="000000"/>
          <w:spacing w:val="-3"/>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o</w:t>
      </w:r>
      <w:r w:rsidRPr="00AA552A">
        <w:rPr>
          <w:rFonts w:cs="Cambria"/>
          <w:color w:val="000000"/>
          <w:spacing w:val="-1"/>
        </w:rPr>
        <w:t>u</w:t>
      </w:r>
      <w:r w:rsidRPr="00AA552A">
        <w:rPr>
          <w:rFonts w:cs="Cambria"/>
          <w:color w:val="000000"/>
        </w:rPr>
        <w:t>t</w:t>
      </w:r>
      <w:r w:rsidRPr="00AA552A">
        <w:rPr>
          <w:rFonts w:cs="Cambria"/>
          <w:color w:val="000000"/>
          <w:spacing w:val="1"/>
        </w:rPr>
        <w:t>e</w:t>
      </w:r>
      <w:r w:rsidRPr="00AA552A">
        <w:rPr>
          <w:rFonts w:cs="Cambria"/>
          <w:color w:val="000000"/>
        </w:rPr>
        <w:t>r</w:t>
      </w:r>
      <w:r w:rsidRPr="00AA552A">
        <w:rPr>
          <w:rFonts w:cs="Cambria"/>
          <w:color w:val="000000"/>
          <w:spacing w:val="-4"/>
        </w:rPr>
        <w:t xml:space="preserve"> </w:t>
      </w:r>
      <w:r w:rsidRPr="00AA552A">
        <w:rPr>
          <w:rFonts w:cs="Cambria"/>
          <w:color w:val="000000"/>
        </w:rPr>
        <w:t>sh</w:t>
      </w:r>
      <w:r w:rsidRPr="00AA552A">
        <w:rPr>
          <w:rFonts w:cs="Cambria"/>
          <w:color w:val="000000"/>
          <w:spacing w:val="1"/>
        </w:rPr>
        <w:t>e</w:t>
      </w:r>
      <w:r w:rsidRPr="00AA552A">
        <w:rPr>
          <w:rFonts w:cs="Cambria"/>
          <w:color w:val="000000"/>
        </w:rPr>
        <w:t>lf</w:t>
      </w:r>
      <w:r w:rsidRPr="00AA552A">
        <w:rPr>
          <w:rFonts w:cs="Cambria"/>
          <w:color w:val="000000"/>
          <w:spacing w:val="-5"/>
        </w:rPr>
        <w:t xml:space="preserve"> </w:t>
      </w:r>
      <w:r w:rsidRPr="00AA552A">
        <w:rPr>
          <w:rFonts w:cs="Cambria"/>
          <w:color w:val="000000"/>
          <w:spacing w:val="-1"/>
        </w:rPr>
        <w:t>d</w:t>
      </w:r>
      <w:r w:rsidRPr="00AA552A">
        <w:rPr>
          <w:rFonts w:cs="Cambria"/>
          <w:color w:val="000000"/>
          <w:spacing w:val="1"/>
        </w:rPr>
        <w:t>ep</w:t>
      </w:r>
      <w:r w:rsidRPr="00AA552A">
        <w:rPr>
          <w:rFonts w:cs="Cambria"/>
          <w:color w:val="000000"/>
        </w:rPr>
        <w:t>t</w:t>
      </w:r>
      <w:r w:rsidRPr="00AA552A">
        <w:rPr>
          <w:rFonts w:cs="Cambria"/>
          <w:color w:val="000000"/>
          <w:spacing w:val="2"/>
        </w:rPr>
        <w:t>h</w:t>
      </w:r>
      <w:r w:rsidRPr="00AA552A">
        <w:rPr>
          <w:rFonts w:cs="Cambria"/>
          <w:color w:val="000000"/>
        </w:rPr>
        <w:t>s</w:t>
      </w:r>
      <w:r w:rsidRPr="00AA552A">
        <w:rPr>
          <w:rFonts w:cs="Cambria"/>
          <w:color w:val="000000"/>
          <w:spacing w:val="-5"/>
        </w:rPr>
        <w:t xml:space="preserve"> </w:t>
      </w:r>
      <w:r w:rsidRPr="00AA552A">
        <w:rPr>
          <w:rFonts w:cs="Cambria"/>
          <w:color w:val="000000"/>
        </w:rPr>
        <w:t>th</w:t>
      </w:r>
      <w:r w:rsidRPr="00AA552A">
        <w:rPr>
          <w:rFonts w:cs="Cambria"/>
          <w:color w:val="000000"/>
          <w:spacing w:val="-1"/>
        </w:rPr>
        <w:t>r</w:t>
      </w:r>
      <w:r w:rsidRPr="00AA552A">
        <w:rPr>
          <w:rFonts w:cs="Cambria"/>
          <w:color w:val="000000"/>
        </w:rPr>
        <w:t>o</w:t>
      </w:r>
      <w:r w:rsidRPr="00AA552A">
        <w:rPr>
          <w:rFonts w:cs="Cambria"/>
          <w:color w:val="000000"/>
          <w:spacing w:val="-1"/>
        </w:rPr>
        <w:t>ug</w:t>
      </w:r>
      <w:r w:rsidRPr="00AA552A">
        <w:rPr>
          <w:rFonts w:cs="Cambria"/>
          <w:color w:val="000000"/>
        </w:rPr>
        <w:t>h</w:t>
      </w:r>
      <w:r w:rsidRPr="00AA552A">
        <w:rPr>
          <w:rFonts w:cs="Cambria"/>
          <w:color w:val="000000"/>
          <w:spacing w:val="2"/>
        </w:rPr>
        <w:t>o</w:t>
      </w:r>
      <w:r w:rsidRPr="00AA552A">
        <w:rPr>
          <w:rFonts w:cs="Cambria"/>
          <w:color w:val="000000"/>
          <w:spacing w:val="-1"/>
        </w:rPr>
        <w:t>u</w:t>
      </w:r>
      <w:r w:rsidRPr="00AA552A">
        <w:rPr>
          <w:rFonts w:cs="Cambria"/>
          <w:color w:val="000000"/>
        </w:rPr>
        <w:t>t</w:t>
      </w:r>
      <w:r w:rsidRPr="00AA552A">
        <w:rPr>
          <w:rFonts w:cs="Cambria"/>
          <w:color w:val="000000"/>
          <w:spacing w:val="-6"/>
        </w:rPr>
        <w:t xml:space="preserve"> </w:t>
      </w:r>
      <w:r w:rsidRPr="00AA552A">
        <w:rPr>
          <w:rFonts w:cs="Cambria"/>
          <w:color w:val="000000"/>
        </w:rPr>
        <w:t>the mana</w:t>
      </w:r>
      <w:r w:rsidRPr="00AA552A">
        <w:rPr>
          <w:rFonts w:cs="Cambria"/>
          <w:color w:val="000000"/>
          <w:spacing w:val="-1"/>
        </w:rPr>
        <w:t>g</w:t>
      </w:r>
      <w:r w:rsidRPr="00AA552A">
        <w:rPr>
          <w:rFonts w:cs="Cambria"/>
          <w:color w:val="000000"/>
          <w:spacing w:val="1"/>
        </w:rPr>
        <w:t>e</w:t>
      </w:r>
      <w:r w:rsidRPr="00AA552A">
        <w:rPr>
          <w:rFonts w:cs="Cambria"/>
          <w:color w:val="000000"/>
        </w:rPr>
        <w:t>m</w:t>
      </w:r>
      <w:r w:rsidRPr="00AA552A">
        <w:rPr>
          <w:rFonts w:cs="Cambria"/>
          <w:color w:val="000000"/>
          <w:spacing w:val="1"/>
        </w:rPr>
        <w:t>e</w:t>
      </w:r>
      <w:r w:rsidRPr="00AA552A">
        <w:rPr>
          <w:rFonts w:cs="Cambria"/>
          <w:color w:val="000000"/>
        </w:rPr>
        <w:t>nt</w:t>
      </w:r>
      <w:r w:rsidRPr="00AA552A">
        <w:rPr>
          <w:rFonts w:cs="Cambria"/>
          <w:color w:val="000000"/>
          <w:spacing w:val="-2"/>
        </w:rPr>
        <w:t xml:space="preserve"> </w:t>
      </w:r>
      <w:r w:rsidRPr="00AA552A">
        <w:rPr>
          <w:rFonts w:cs="Cambria"/>
          <w:color w:val="000000"/>
        </w:rPr>
        <w:t>a</w:t>
      </w:r>
      <w:r w:rsidRPr="00AA552A">
        <w:rPr>
          <w:rFonts w:cs="Cambria"/>
          <w:color w:val="000000"/>
          <w:spacing w:val="-1"/>
        </w:rPr>
        <w:t>r</w:t>
      </w:r>
      <w:r w:rsidRPr="00AA552A">
        <w:rPr>
          <w:rFonts w:cs="Cambria"/>
          <w:color w:val="000000"/>
          <w:spacing w:val="1"/>
        </w:rPr>
        <w:t>e</w:t>
      </w:r>
      <w:r w:rsidRPr="00AA552A">
        <w:rPr>
          <w:rFonts w:cs="Cambria"/>
          <w:color w:val="000000"/>
        </w:rPr>
        <w:t>a.</w:t>
      </w:r>
    </w:p>
    <w:p w14:paraId="69C1DE56" w14:textId="77777777" w:rsidR="00DC4922" w:rsidRPr="00AA552A" w:rsidRDefault="00DC4922" w:rsidP="00DC4922">
      <w:pPr>
        <w:rPr>
          <w:rFonts w:cs="Cambria"/>
          <w:color w:val="000000"/>
          <w:sz w:val="28"/>
        </w:rPr>
      </w:pPr>
    </w:p>
    <w:p w14:paraId="4D7B8A45" w14:textId="77777777" w:rsidR="00DC4922" w:rsidRPr="00AA552A" w:rsidRDefault="00DC4922" w:rsidP="00DC4922">
      <w:pPr>
        <w:rPr>
          <w:rFonts w:cs="Cambria"/>
          <w:color w:val="000000"/>
        </w:rPr>
      </w:pPr>
      <w:r w:rsidRPr="00AA552A">
        <w:rPr>
          <w:rFonts w:cs="Cambria"/>
          <w:color w:val="000000"/>
        </w:rPr>
        <w:t xml:space="preserve">B.  </w:t>
      </w:r>
      <w:r w:rsidRPr="00AA552A">
        <w:rPr>
          <w:rFonts w:cs="Cambria"/>
          <w:color w:val="000000"/>
          <w:spacing w:val="6"/>
        </w:rPr>
        <w:t xml:space="preserve"> </w:t>
      </w: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nt</w:t>
      </w:r>
      <w:r w:rsidRPr="00AA552A">
        <w:rPr>
          <w:rFonts w:cs="Cambria"/>
          <w:color w:val="000000"/>
          <w:spacing w:val="1"/>
        </w:rPr>
        <w:t>i</w:t>
      </w:r>
      <w:r w:rsidRPr="00AA552A">
        <w:rPr>
          <w:rFonts w:cs="Cambria"/>
          <w:color w:val="000000"/>
        </w:rPr>
        <w:t>al</w:t>
      </w:r>
      <w:r w:rsidRPr="00AA552A">
        <w:rPr>
          <w:rFonts w:cs="Cambria"/>
          <w:color w:val="000000"/>
          <w:spacing w:val="-4"/>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ha</w:t>
      </w:r>
      <w:r w:rsidRPr="00AA552A">
        <w:rPr>
          <w:rFonts w:cs="Cambria"/>
          <w:color w:val="000000"/>
          <w:spacing w:val="-2"/>
        </w:rPr>
        <w:t>b</w:t>
      </w:r>
      <w:r w:rsidRPr="00AA552A">
        <w:rPr>
          <w:rFonts w:cs="Cambria"/>
          <w:color w:val="000000"/>
          <w:spacing w:val="1"/>
        </w:rPr>
        <w:t>i</w:t>
      </w:r>
      <w:r w:rsidRPr="00AA552A">
        <w:rPr>
          <w:rFonts w:cs="Cambria"/>
          <w:color w:val="000000"/>
        </w:rPr>
        <w:t>tat</w:t>
      </w:r>
      <w:r w:rsidRPr="00AA552A">
        <w:rPr>
          <w:rFonts w:cs="Cambria"/>
          <w:color w:val="000000"/>
          <w:spacing w:val="-2"/>
        </w:rPr>
        <w:t xml:space="preserve"> </w:t>
      </w:r>
      <w:r w:rsidRPr="00AA552A">
        <w:rPr>
          <w:rFonts w:cs="Cambria"/>
          <w:color w:val="000000"/>
          <w:spacing w:val="-1"/>
        </w:rPr>
        <w:t>f</w:t>
      </w:r>
      <w:r w:rsidRPr="00AA552A">
        <w:rPr>
          <w:rFonts w:cs="Cambria"/>
          <w:color w:val="000000"/>
          <w:spacing w:val="-3"/>
        </w:rPr>
        <w:t>o</w:t>
      </w:r>
      <w:r w:rsidRPr="00AA552A">
        <w:rPr>
          <w:rFonts w:cs="Cambria"/>
          <w:color w:val="000000"/>
        </w:rPr>
        <w:t>r</w:t>
      </w:r>
      <w:r w:rsidRPr="00AA552A">
        <w:rPr>
          <w:rFonts w:cs="Cambria"/>
          <w:color w:val="000000"/>
          <w:spacing w:val="-4"/>
        </w:rPr>
        <w:t xml:space="preserve"> </w:t>
      </w:r>
      <w:r w:rsidRPr="00AA552A">
        <w:rPr>
          <w:rFonts w:cs="Cambria"/>
          <w:i/>
          <w:iCs/>
          <w:color w:val="000000"/>
        </w:rPr>
        <w:t>A</w:t>
      </w:r>
      <w:r w:rsidRPr="00AA552A">
        <w:rPr>
          <w:rFonts w:cs="Cambria"/>
          <w:i/>
          <w:iCs/>
          <w:color w:val="000000"/>
          <w:spacing w:val="1"/>
        </w:rPr>
        <w:t>nt</w:t>
      </w:r>
      <w:r w:rsidRPr="00AA552A">
        <w:rPr>
          <w:rFonts w:cs="Cambria"/>
          <w:i/>
          <w:iCs/>
          <w:color w:val="000000"/>
        </w:rPr>
        <w:t>i</w:t>
      </w:r>
      <w:r w:rsidRPr="00AA552A">
        <w:rPr>
          <w:rFonts w:cs="Cambria"/>
          <w:i/>
          <w:iCs/>
          <w:color w:val="000000"/>
          <w:spacing w:val="1"/>
        </w:rPr>
        <w:t>p</w:t>
      </w:r>
      <w:r w:rsidRPr="00AA552A">
        <w:rPr>
          <w:rFonts w:cs="Cambria"/>
          <w:i/>
          <w:iCs/>
          <w:color w:val="000000"/>
          <w:spacing w:val="-1"/>
        </w:rPr>
        <w:t>a</w:t>
      </w:r>
      <w:r w:rsidRPr="00AA552A">
        <w:rPr>
          <w:rFonts w:cs="Cambria"/>
          <w:i/>
          <w:iCs/>
          <w:color w:val="000000"/>
          <w:spacing w:val="1"/>
        </w:rPr>
        <w:t>t</w:t>
      </w:r>
      <w:r w:rsidRPr="00AA552A">
        <w:rPr>
          <w:rFonts w:cs="Cambria"/>
          <w:i/>
          <w:iCs/>
          <w:color w:val="000000"/>
        </w:rPr>
        <w:t>h</w:t>
      </w:r>
      <w:r w:rsidRPr="00AA552A">
        <w:rPr>
          <w:rFonts w:cs="Cambria"/>
          <w:i/>
          <w:iCs/>
          <w:color w:val="000000"/>
          <w:spacing w:val="1"/>
        </w:rPr>
        <w:t>ar</w:t>
      </w:r>
      <w:r w:rsidRPr="00AA552A">
        <w:rPr>
          <w:rFonts w:cs="Cambria"/>
          <w:i/>
          <w:iCs/>
          <w:color w:val="000000"/>
          <w:spacing w:val="-3"/>
        </w:rPr>
        <w:t>i</w:t>
      </w:r>
      <w:r w:rsidRPr="00AA552A">
        <w:rPr>
          <w:rFonts w:cs="Cambria"/>
          <w:i/>
          <w:iCs/>
          <w:color w:val="000000"/>
        </w:rPr>
        <w:t>a</w:t>
      </w:r>
      <w:r w:rsidRPr="00AA552A">
        <w:rPr>
          <w:rFonts w:cs="Cambria"/>
          <w:i/>
          <w:iCs/>
          <w:color w:val="000000"/>
          <w:spacing w:val="-5"/>
        </w:rPr>
        <w:t xml:space="preserve"> </w:t>
      </w:r>
      <w:r w:rsidRPr="00AA552A">
        <w:rPr>
          <w:rFonts w:cs="Cambria"/>
          <w:color w:val="000000"/>
        </w:rPr>
        <w:t>(</w:t>
      </w:r>
      <w:r w:rsidRPr="00AA552A">
        <w:rPr>
          <w:rFonts w:cs="Cambria"/>
          <w:color w:val="000000"/>
          <w:spacing w:val="1"/>
        </w:rPr>
        <w:t>b</w:t>
      </w:r>
      <w:r w:rsidRPr="00AA552A">
        <w:rPr>
          <w:rFonts w:cs="Cambria"/>
          <w:color w:val="000000"/>
        </w:rPr>
        <w:t>lack</w:t>
      </w:r>
      <w:r w:rsidRPr="00AA552A">
        <w:rPr>
          <w:rFonts w:cs="Cambria"/>
          <w:color w:val="000000"/>
          <w:spacing w:val="-2"/>
        </w:rPr>
        <w:t xml:space="preserve"> </w:t>
      </w:r>
      <w:r w:rsidRPr="00AA552A">
        <w:rPr>
          <w:rFonts w:cs="Cambria"/>
          <w:color w:val="000000"/>
        </w:rPr>
        <w:t>co</w:t>
      </w:r>
      <w:r w:rsidRPr="00AA552A">
        <w:rPr>
          <w:rFonts w:cs="Cambria"/>
          <w:color w:val="000000"/>
          <w:spacing w:val="-1"/>
        </w:rPr>
        <w:t>r</w:t>
      </w:r>
      <w:r w:rsidRPr="00AA552A">
        <w:rPr>
          <w:rFonts w:cs="Cambria"/>
          <w:color w:val="000000"/>
        </w:rPr>
        <w:t>als)</w:t>
      </w:r>
      <w:r w:rsidRPr="00AA552A">
        <w:rPr>
          <w:rFonts w:cs="Cambria"/>
          <w:color w:val="000000"/>
          <w:spacing w:val="-5"/>
        </w:rPr>
        <w:t xml:space="preserve"> </w:t>
      </w:r>
      <w:r w:rsidRPr="00AA552A">
        <w:rPr>
          <w:rFonts w:cs="Cambria"/>
          <w:color w:val="000000"/>
          <w:spacing w:val="1"/>
        </w:rPr>
        <w:t>i</w:t>
      </w:r>
      <w:r w:rsidRPr="00AA552A">
        <w:rPr>
          <w:rFonts w:cs="Cambria"/>
          <w:color w:val="000000"/>
        </w:rPr>
        <w:t>nclu</w:t>
      </w:r>
      <w:r w:rsidRPr="00AA552A">
        <w:rPr>
          <w:rFonts w:cs="Cambria"/>
          <w:color w:val="000000"/>
          <w:spacing w:val="-1"/>
        </w:rPr>
        <w:t>d</w:t>
      </w:r>
      <w:r w:rsidRPr="00AA552A">
        <w:rPr>
          <w:rFonts w:cs="Cambria"/>
          <w:color w:val="000000"/>
          <w:spacing w:val="1"/>
        </w:rPr>
        <w:t>e</w:t>
      </w:r>
      <w:r w:rsidRPr="00AA552A">
        <w:rPr>
          <w:rFonts w:cs="Cambria"/>
          <w:color w:val="000000"/>
        </w:rPr>
        <w:t>s</w:t>
      </w:r>
      <w:r w:rsidRPr="00AA552A">
        <w:rPr>
          <w:rFonts w:cs="Cambria"/>
          <w:color w:val="000000"/>
          <w:spacing w:val="-7"/>
        </w:rPr>
        <w:t xml:space="preserve"> </w:t>
      </w:r>
      <w:r w:rsidRPr="00AA552A">
        <w:rPr>
          <w:rFonts w:cs="Cambria"/>
          <w:color w:val="000000"/>
          <w:spacing w:val="-1"/>
        </w:rPr>
        <w:t>r</w:t>
      </w:r>
      <w:r w:rsidRPr="00AA552A">
        <w:rPr>
          <w:rFonts w:cs="Cambria"/>
          <w:color w:val="000000"/>
          <w:spacing w:val="2"/>
        </w:rPr>
        <w:t>o</w:t>
      </w:r>
      <w:r w:rsidRPr="00AA552A">
        <w:rPr>
          <w:rFonts w:cs="Cambria"/>
          <w:color w:val="000000"/>
        </w:rPr>
        <w:t>u</w:t>
      </w:r>
      <w:r w:rsidRPr="00AA552A">
        <w:rPr>
          <w:rFonts w:cs="Cambria"/>
          <w:color w:val="000000"/>
          <w:spacing w:val="-1"/>
        </w:rPr>
        <w:t>g</w:t>
      </w:r>
      <w:r w:rsidRPr="00AA552A">
        <w:rPr>
          <w:rFonts w:cs="Cambria"/>
          <w:color w:val="000000"/>
        </w:rPr>
        <w:t>h,</w:t>
      </w:r>
      <w:r w:rsidRPr="00AA552A">
        <w:rPr>
          <w:rFonts w:cs="Cambria"/>
          <w:color w:val="000000"/>
          <w:spacing w:val="-3"/>
        </w:rPr>
        <w:t xml:space="preserve"> </w:t>
      </w:r>
      <w:r w:rsidRPr="00AA552A">
        <w:rPr>
          <w:rFonts w:cs="Cambria"/>
          <w:color w:val="000000"/>
        </w:rPr>
        <w:t>h</w:t>
      </w:r>
      <w:r w:rsidRPr="00AA552A">
        <w:rPr>
          <w:rFonts w:cs="Cambria"/>
          <w:color w:val="000000"/>
          <w:spacing w:val="3"/>
        </w:rPr>
        <w:t>a</w:t>
      </w:r>
      <w:r w:rsidRPr="00AA552A">
        <w:rPr>
          <w:rFonts w:cs="Cambria"/>
          <w:color w:val="000000"/>
          <w:spacing w:val="-1"/>
        </w:rPr>
        <w:t>rd</w:t>
      </w:r>
      <w:r w:rsidRPr="00AA552A">
        <w:rPr>
          <w:rFonts w:cs="Cambria"/>
          <w:color w:val="000000"/>
        </w:rPr>
        <w:t>,</w:t>
      </w:r>
      <w:r w:rsidRPr="00AA552A">
        <w:rPr>
          <w:rFonts w:cs="Cambria"/>
          <w:color w:val="000000"/>
          <w:spacing w:val="-1"/>
        </w:rPr>
        <w:t xml:space="preserve"> </w:t>
      </w:r>
      <w:r w:rsidRPr="00AA552A">
        <w:rPr>
          <w:rFonts w:cs="Cambria"/>
          <w:color w:val="000000"/>
          <w:spacing w:val="1"/>
        </w:rPr>
        <w:t>e</w:t>
      </w:r>
      <w:r w:rsidRPr="00AA552A">
        <w:rPr>
          <w:rFonts w:cs="Cambria"/>
          <w:color w:val="000000"/>
          <w:spacing w:val="-1"/>
        </w:rPr>
        <w:t>x</w:t>
      </w:r>
      <w:r w:rsidRPr="00AA552A">
        <w:rPr>
          <w:rFonts w:cs="Cambria"/>
          <w:color w:val="000000"/>
          <w:spacing w:val="1"/>
        </w:rPr>
        <w:t>p</w:t>
      </w:r>
      <w:r w:rsidRPr="00AA552A">
        <w:rPr>
          <w:rFonts w:cs="Cambria"/>
          <w:color w:val="000000"/>
        </w:rPr>
        <w:t>os</w:t>
      </w:r>
      <w:r w:rsidRPr="00AA552A">
        <w:rPr>
          <w:rFonts w:cs="Cambria"/>
          <w:color w:val="000000"/>
          <w:spacing w:val="1"/>
        </w:rPr>
        <w:t>e</w:t>
      </w:r>
      <w:r w:rsidRPr="00AA552A">
        <w:rPr>
          <w:rFonts w:cs="Cambria"/>
          <w:color w:val="000000"/>
          <w:spacing w:val="-1"/>
        </w:rPr>
        <w:t>d</w:t>
      </w:r>
      <w:r w:rsidRPr="00AA552A">
        <w:rPr>
          <w:rFonts w:cs="Cambria"/>
          <w:color w:val="000000"/>
        </w:rPr>
        <w:t>,</w:t>
      </w:r>
      <w:r w:rsidRPr="00AA552A">
        <w:rPr>
          <w:rFonts w:cs="Cambria"/>
          <w:color w:val="000000"/>
          <w:spacing w:val="-5"/>
        </w:rPr>
        <w:t xml:space="preserve"> </w:t>
      </w:r>
      <w:r w:rsidRPr="00AA552A">
        <w:rPr>
          <w:rFonts w:cs="Cambria"/>
          <w:color w:val="000000"/>
        </w:rPr>
        <w:t>sta</w:t>
      </w:r>
      <w:r w:rsidRPr="00AA552A">
        <w:rPr>
          <w:rFonts w:cs="Cambria"/>
          <w:color w:val="000000"/>
          <w:spacing w:val="1"/>
        </w:rPr>
        <w:t>b</w:t>
      </w:r>
      <w:r w:rsidRPr="00AA552A">
        <w:rPr>
          <w:rFonts w:cs="Cambria"/>
          <w:color w:val="000000"/>
        </w:rPr>
        <w:t xml:space="preserve">le </w:t>
      </w:r>
      <w:r w:rsidRPr="00AA552A">
        <w:rPr>
          <w:rFonts w:cs="Cambria"/>
          <w:color w:val="000000"/>
          <w:position w:val="2"/>
        </w:rPr>
        <w:t>s</w:t>
      </w:r>
      <w:r w:rsidRPr="00AA552A">
        <w:rPr>
          <w:rFonts w:cs="Cambria"/>
          <w:color w:val="000000"/>
          <w:spacing w:val="-1"/>
          <w:position w:val="2"/>
        </w:rPr>
        <w:t>u</w:t>
      </w:r>
      <w:r w:rsidRPr="00AA552A">
        <w:rPr>
          <w:rFonts w:cs="Cambria"/>
          <w:color w:val="000000"/>
          <w:spacing w:val="1"/>
          <w:position w:val="2"/>
        </w:rPr>
        <w:t>b</w:t>
      </w:r>
      <w:r w:rsidRPr="00AA552A">
        <w:rPr>
          <w:rFonts w:cs="Cambria"/>
          <w:color w:val="000000"/>
          <w:position w:val="2"/>
        </w:rPr>
        <w:t>st</w:t>
      </w:r>
      <w:r w:rsidRPr="00AA552A">
        <w:rPr>
          <w:rFonts w:cs="Cambria"/>
          <w:color w:val="000000"/>
          <w:spacing w:val="-1"/>
          <w:position w:val="2"/>
        </w:rPr>
        <w:t>r</w:t>
      </w:r>
      <w:r w:rsidRPr="00AA552A">
        <w:rPr>
          <w:rFonts w:cs="Cambria"/>
          <w:color w:val="000000"/>
          <w:position w:val="2"/>
        </w:rPr>
        <w:t>at</w:t>
      </w:r>
      <w:r w:rsidRPr="00AA552A">
        <w:rPr>
          <w:rFonts w:cs="Cambria"/>
          <w:color w:val="000000"/>
          <w:spacing w:val="1"/>
          <w:position w:val="2"/>
        </w:rPr>
        <w:t>e</w:t>
      </w:r>
      <w:r w:rsidRPr="00AA552A">
        <w:rPr>
          <w:rFonts w:cs="Cambria"/>
          <w:color w:val="000000"/>
          <w:position w:val="2"/>
        </w:rPr>
        <w:t>,</w:t>
      </w:r>
      <w:r w:rsidRPr="00AA552A">
        <w:rPr>
          <w:rFonts w:cs="Cambria"/>
          <w:color w:val="000000"/>
          <w:spacing w:val="-3"/>
          <w:position w:val="2"/>
        </w:rPr>
        <w:t xml:space="preserve"> </w:t>
      </w:r>
      <w:r w:rsidRPr="00AA552A">
        <w:rPr>
          <w:rFonts w:cs="Cambria"/>
          <w:color w:val="000000"/>
          <w:position w:val="2"/>
        </w:rPr>
        <w:t>o</w:t>
      </w:r>
      <w:r w:rsidRPr="00AA552A">
        <w:rPr>
          <w:rFonts w:cs="Cambria"/>
          <w:color w:val="000000"/>
          <w:spacing w:val="-1"/>
          <w:position w:val="2"/>
        </w:rPr>
        <w:t>ff</w:t>
      </w:r>
      <w:r w:rsidRPr="00AA552A">
        <w:rPr>
          <w:rFonts w:cs="Cambria"/>
          <w:color w:val="000000"/>
          <w:position w:val="2"/>
        </w:rPr>
        <w:t>sho</w:t>
      </w:r>
      <w:r w:rsidRPr="00AA552A">
        <w:rPr>
          <w:rFonts w:cs="Cambria"/>
          <w:color w:val="000000"/>
          <w:spacing w:val="-1"/>
          <w:position w:val="2"/>
        </w:rPr>
        <w:t>r</w:t>
      </w:r>
      <w:r w:rsidRPr="00AA552A">
        <w:rPr>
          <w:rFonts w:cs="Cambria"/>
          <w:color w:val="000000"/>
          <w:position w:val="2"/>
        </w:rPr>
        <w:t>e</w:t>
      </w:r>
      <w:r w:rsidRPr="00AA552A">
        <w:rPr>
          <w:rFonts w:cs="Cambria"/>
          <w:color w:val="000000"/>
          <w:spacing w:val="-8"/>
          <w:position w:val="2"/>
        </w:rPr>
        <w:t xml:space="preserve"> </w:t>
      </w:r>
      <w:r w:rsidRPr="00AA552A">
        <w:rPr>
          <w:rFonts w:cs="Cambria"/>
          <w:color w:val="000000"/>
          <w:spacing w:val="1"/>
          <w:position w:val="2"/>
        </w:rPr>
        <w:t>i</w:t>
      </w:r>
      <w:r w:rsidRPr="00AA552A">
        <w:rPr>
          <w:rFonts w:cs="Cambria"/>
          <w:color w:val="000000"/>
          <w:position w:val="2"/>
        </w:rPr>
        <w:t>n</w:t>
      </w:r>
      <w:r w:rsidRPr="00AA552A">
        <w:rPr>
          <w:rFonts w:cs="Cambria"/>
          <w:color w:val="000000"/>
          <w:spacing w:val="-1"/>
          <w:position w:val="2"/>
        </w:rPr>
        <w:t xml:space="preserve"> </w:t>
      </w:r>
      <w:r w:rsidRPr="00AA552A">
        <w:rPr>
          <w:rFonts w:cs="Cambria"/>
          <w:color w:val="000000"/>
          <w:position w:val="2"/>
        </w:rPr>
        <w:t>h</w:t>
      </w:r>
      <w:r w:rsidRPr="00AA552A">
        <w:rPr>
          <w:rFonts w:cs="Cambria"/>
          <w:color w:val="000000"/>
          <w:spacing w:val="1"/>
          <w:position w:val="2"/>
        </w:rPr>
        <w:t>i</w:t>
      </w:r>
      <w:r w:rsidRPr="00AA552A">
        <w:rPr>
          <w:rFonts w:cs="Cambria"/>
          <w:color w:val="000000"/>
          <w:spacing w:val="-1"/>
          <w:position w:val="2"/>
        </w:rPr>
        <w:t>g</w:t>
      </w:r>
      <w:r w:rsidRPr="00AA552A">
        <w:rPr>
          <w:rFonts w:cs="Cambria"/>
          <w:color w:val="000000"/>
          <w:position w:val="2"/>
        </w:rPr>
        <w:t>h</w:t>
      </w:r>
      <w:r w:rsidRPr="00AA552A">
        <w:rPr>
          <w:rFonts w:cs="Cambria"/>
          <w:color w:val="000000"/>
          <w:spacing w:val="-3"/>
          <w:position w:val="2"/>
        </w:rPr>
        <w:t xml:space="preserve"> </w:t>
      </w:r>
      <w:r w:rsidRPr="00AA552A">
        <w:rPr>
          <w:rFonts w:cs="Cambria"/>
          <w:color w:val="000000"/>
          <w:position w:val="2"/>
        </w:rPr>
        <w:t>(</w:t>
      </w:r>
      <w:r w:rsidRPr="00AA552A">
        <w:rPr>
          <w:rFonts w:cs="Cambria"/>
          <w:color w:val="000000"/>
          <w:spacing w:val="2"/>
          <w:position w:val="2"/>
        </w:rPr>
        <w:t>3</w:t>
      </w:r>
      <w:r w:rsidRPr="00AA552A">
        <w:rPr>
          <w:rFonts w:cs="Cambria"/>
          <w:color w:val="000000"/>
          <w:spacing w:val="-1"/>
          <w:position w:val="2"/>
        </w:rPr>
        <w:t>0</w:t>
      </w:r>
      <w:r w:rsidRPr="00AA552A">
        <w:rPr>
          <w:rFonts w:cs="Cambria"/>
          <w:color w:val="000000"/>
          <w:position w:val="2"/>
        </w:rPr>
        <w:t>-</w:t>
      </w:r>
      <w:r w:rsidRPr="00AA552A">
        <w:rPr>
          <w:rFonts w:cs="Cambria"/>
          <w:color w:val="000000"/>
          <w:spacing w:val="2"/>
          <w:position w:val="2"/>
        </w:rPr>
        <w:t>3</w:t>
      </w:r>
      <w:r w:rsidRPr="00AA552A">
        <w:rPr>
          <w:rFonts w:cs="Cambria"/>
          <w:color w:val="000000"/>
          <w:spacing w:val="-1"/>
          <w:position w:val="2"/>
        </w:rPr>
        <w:t>5</w:t>
      </w:r>
      <w:r w:rsidRPr="00AA552A">
        <w:rPr>
          <w:rFonts w:cs="Cambria"/>
          <w:color w:val="000000"/>
          <w:spacing w:val="1"/>
          <w:position w:val="8"/>
          <w:sz w:val="16"/>
        </w:rPr>
        <w:t>o</w:t>
      </w:r>
      <w:r w:rsidRPr="00AA552A">
        <w:rPr>
          <w:rFonts w:cs="Cambria"/>
          <w:color w:val="000000"/>
          <w:position w:val="2"/>
        </w:rPr>
        <w:t>/</w:t>
      </w:r>
      <w:r w:rsidRPr="00AA552A">
        <w:rPr>
          <w:rFonts w:cs="Cambria"/>
          <w:color w:val="000000"/>
          <w:spacing w:val="1"/>
          <w:sz w:val="16"/>
        </w:rPr>
        <w:t>oo</w:t>
      </w:r>
      <w:r w:rsidRPr="00AA552A">
        <w:rPr>
          <w:rFonts w:cs="Cambria"/>
          <w:color w:val="000000"/>
          <w:position w:val="2"/>
        </w:rPr>
        <w:t>)</w:t>
      </w:r>
      <w:r w:rsidRPr="00AA552A">
        <w:rPr>
          <w:rFonts w:cs="Cambria"/>
          <w:color w:val="000000"/>
          <w:spacing w:val="-7"/>
          <w:position w:val="2"/>
        </w:rPr>
        <w:t xml:space="preserve"> </w:t>
      </w:r>
      <w:r w:rsidRPr="00AA552A">
        <w:rPr>
          <w:rFonts w:cs="Cambria"/>
          <w:color w:val="000000"/>
          <w:position w:val="2"/>
        </w:rPr>
        <w:t>sal</w:t>
      </w:r>
      <w:r w:rsidRPr="00AA552A">
        <w:rPr>
          <w:rFonts w:cs="Cambria"/>
          <w:color w:val="000000"/>
          <w:spacing w:val="-2"/>
          <w:position w:val="2"/>
        </w:rPr>
        <w:t>i</w:t>
      </w:r>
      <w:r w:rsidRPr="00AA552A">
        <w:rPr>
          <w:rFonts w:cs="Cambria"/>
          <w:color w:val="000000"/>
          <w:position w:val="2"/>
        </w:rPr>
        <w:t>n</w:t>
      </w:r>
      <w:r w:rsidRPr="00AA552A">
        <w:rPr>
          <w:rFonts w:cs="Cambria"/>
          <w:color w:val="000000"/>
          <w:spacing w:val="1"/>
          <w:position w:val="2"/>
        </w:rPr>
        <w:t>i</w:t>
      </w:r>
      <w:r w:rsidRPr="00AA552A">
        <w:rPr>
          <w:rFonts w:cs="Cambria"/>
          <w:color w:val="000000"/>
          <w:position w:val="2"/>
        </w:rPr>
        <w:t>ty</w:t>
      </w:r>
      <w:r w:rsidRPr="00AA552A">
        <w:rPr>
          <w:rFonts w:cs="Cambria"/>
          <w:color w:val="000000"/>
          <w:spacing w:val="-5"/>
          <w:position w:val="2"/>
        </w:rPr>
        <w:t xml:space="preserve"> </w:t>
      </w:r>
      <w:r w:rsidRPr="00AA552A">
        <w:rPr>
          <w:rFonts w:cs="Cambria"/>
          <w:color w:val="000000"/>
          <w:spacing w:val="-1"/>
          <w:position w:val="2"/>
        </w:rPr>
        <w:t>w</w:t>
      </w:r>
      <w:r w:rsidRPr="00AA552A">
        <w:rPr>
          <w:rFonts w:cs="Cambria"/>
          <w:color w:val="000000"/>
          <w:position w:val="2"/>
        </w:rPr>
        <w:t>at</w:t>
      </w:r>
      <w:r w:rsidRPr="00AA552A">
        <w:rPr>
          <w:rFonts w:cs="Cambria"/>
          <w:color w:val="000000"/>
          <w:spacing w:val="1"/>
          <w:position w:val="2"/>
        </w:rPr>
        <w:t>e</w:t>
      </w:r>
      <w:r w:rsidRPr="00AA552A">
        <w:rPr>
          <w:rFonts w:cs="Cambria"/>
          <w:color w:val="000000"/>
          <w:spacing w:val="-1"/>
          <w:position w:val="2"/>
        </w:rPr>
        <w:t>r</w:t>
      </w:r>
      <w:r w:rsidRPr="00AA552A">
        <w:rPr>
          <w:rFonts w:cs="Cambria"/>
          <w:color w:val="000000"/>
          <w:position w:val="2"/>
        </w:rPr>
        <w:t>s</w:t>
      </w:r>
      <w:r w:rsidRPr="00AA552A">
        <w:rPr>
          <w:rFonts w:cs="Cambria"/>
          <w:color w:val="000000"/>
          <w:spacing w:val="-3"/>
          <w:position w:val="2"/>
        </w:rPr>
        <w:t xml:space="preserve"> </w:t>
      </w:r>
      <w:r w:rsidRPr="00AA552A">
        <w:rPr>
          <w:rFonts w:cs="Cambria"/>
          <w:color w:val="000000"/>
          <w:spacing w:val="1"/>
          <w:position w:val="2"/>
        </w:rPr>
        <w:t>i</w:t>
      </w:r>
      <w:r w:rsidRPr="00AA552A">
        <w:rPr>
          <w:rFonts w:cs="Cambria"/>
          <w:color w:val="000000"/>
          <w:position w:val="2"/>
        </w:rPr>
        <w:t>n</w:t>
      </w:r>
      <w:r w:rsidRPr="00AA552A">
        <w:rPr>
          <w:rFonts w:cs="Cambria"/>
          <w:color w:val="000000"/>
          <w:spacing w:val="-1"/>
          <w:position w:val="2"/>
        </w:rPr>
        <w:t xml:space="preserve"> d</w:t>
      </w:r>
      <w:r w:rsidRPr="00AA552A">
        <w:rPr>
          <w:rFonts w:cs="Cambria"/>
          <w:color w:val="000000"/>
          <w:spacing w:val="1"/>
          <w:position w:val="2"/>
        </w:rPr>
        <w:t>ep</w:t>
      </w:r>
      <w:r w:rsidRPr="00AA552A">
        <w:rPr>
          <w:rFonts w:cs="Cambria"/>
          <w:color w:val="000000"/>
          <w:position w:val="2"/>
        </w:rPr>
        <w:t>ths</w:t>
      </w:r>
      <w:r w:rsidRPr="00AA552A">
        <w:rPr>
          <w:rFonts w:cs="Cambria"/>
          <w:color w:val="000000"/>
          <w:spacing w:val="-5"/>
          <w:position w:val="2"/>
        </w:rPr>
        <w:t xml:space="preserve"> </w:t>
      </w:r>
      <w:r w:rsidRPr="00AA552A">
        <w:rPr>
          <w:rFonts w:cs="Cambria"/>
          <w:color w:val="000000"/>
          <w:spacing w:val="1"/>
          <w:position w:val="2"/>
        </w:rPr>
        <w:t>e</w:t>
      </w:r>
      <w:r w:rsidRPr="00AA552A">
        <w:rPr>
          <w:rFonts w:cs="Cambria"/>
          <w:color w:val="000000"/>
          <w:spacing w:val="-1"/>
          <w:position w:val="2"/>
        </w:rPr>
        <w:t>x</w:t>
      </w:r>
      <w:r w:rsidRPr="00AA552A">
        <w:rPr>
          <w:rFonts w:cs="Cambria"/>
          <w:color w:val="000000"/>
          <w:position w:val="2"/>
        </w:rPr>
        <w:t>c</w:t>
      </w:r>
      <w:r w:rsidRPr="00AA552A">
        <w:rPr>
          <w:rFonts w:cs="Cambria"/>
          <w:color w:val="000000"/>
          <w:spacing w:val="1"/>
          <w:position w:val="2"/>
        </w:rPr>
        <w:t>ee</w:t>
      </w:r>
      <w:r w:rsidRPr="00AA552A">
        <w:rPr>
          <w:rFonts w:cs="Cambria"/>
          <w:color w:val="000000"/>
          <w:spacing w:val="-1"/>
          <w:position w:val="2"/>
        </w:rPr>
        <w:t>d</w:t>
      </w:r>
      <w:r w:rsidRPr="00AA552A">
        <w:rPr>
          <w:rFonts w:cs="Cambria"/>
          <w:color w:val="000000"/>
          <w:spacing w:val="1"/>
          <w:position w:val="2"/>
        </w:rPr>
        <w:t>i</w:t>
      </w:r>
      <w:r w:rsidRPr="00AA552A">
        <w:rPr>
          <w:rFonts w:cs="Cambria"/>
          <w:color w:val="000000"/>
          <w:position w:val="2"/>
        </w:rPr>
        <w:t>ng</w:t>
      </w:r>
      <w:r w:rsidRPr="00AA552A">
        <w:rPr>
          <w:rFonts w:cs="Cambria"/>
          <w:color w:val="000000"/>
          <w:spacing w:val="-8"/>
          <w:position w:val="2"/>
        </w:rPr>
        <w:t xml:space="preserve"> </w:t>
      </w:r>
      <w:r w:rsidRPr="00AA552A">
        <w:rPr>
          <w:rFonts w:cs="Cambria"/>
          <w:color w:val="000000"/>
          <w:spacing w:val="-1"/>
          <w:position w:val="2"/>
        </w:rPr>
        <w:t>1</w:t>
      </w:r>
      <w:r w:rsidRPr="00AA552A">
        <w:rPr>
          <w:rFonts w:cs="Cambria"/>
          <w:color w:val="000000"/>
          <w:position w:val="2"/>
        </w:rPr>
        <w:t>8</w:t>
      </w:r>
      <w:r w:rsidRPr="00AA552A">
        <w:rPr>
          <w:rFonts w:cs="Cambria"/>
          <w:color w:val="000000"/>
          <w:spacing w:val="-4"/>
          <w:position w:val="2"/>
        </w:rPr>
        <w:t xml:space="preserve"> </w:t>
      </w:r>
      <w:r w:rsidRPr="00AA552A">
        <w:rPr>
          <w:rFonts w:cs="Cambria"/>
          <w:color w:val="000000"/>
          <w:position w:val="2"/>
        </w:rPr>
        <w:t>m</w:t>
      </w:r>
      <w:r w:rsidRPr="00AA552A">
        <w:rPr>
          <w:rFonts w:cs="Cambria"/>
          <w:color w:val="000000"/>
          <w:spacing w:val="1"/>
          <w:position w:val="2"/>
        </w:rPr>
        <w:t>e</w:t>
      </w:r>
      <w:r w:rsidRPr="00AA552A">
        <w:rPr>
          <w:rFonts w:cs="Cambria"/>
          <w:color w:val="000000"/>
          <w:position w:val="2"/>
        </w:rPr>
        <w:t>t</w:t>
      </w:r>
      <w:r w:rsidRPr="00AA552A">
        <w:rPr>
          <w:rFonts w:cs="Cambria"/>
          <w:color w:val="000000"/>
          <w:spacing w:val="1"/>
          <w:position w:val="2"/>
        </w:rPr>
        <w:t>e</w:t>
      </w:r>
      <w:r w:rsidRPr="00AA552A">
        <w:rPr>
          <w:rFonts w:cs="Cambria"/>
          <w:color w:val="000000"/>
          <w:spacing w:val="-1"/>
          <w:position w:val="2"/>
        </w:rPr>
        <w:t>r</w:t>
      </w:r>
      <w:r w:rsidRPr="00AA552A">
        <w:rPr>
          <w:rFonts w:cs="Cambria"/>
          <w:color w:val="000000"/>
          <w:position w:val="2"/>
        </w:rPr>
        <w:t>s</w:t>
      </w:r>
      <w:r w:rsidRPr="00AA552A">
        <w:rPr>
          <w:rFonts w:cs="Cambria"/>
          <w:color w:val="000000"/>
          <w:spacing w:val="-4"/>
          <w:position w:val="2"/>
        </w:rPr>
        <w:t xml:space="preserve"> </w:t>
      </w:r>
      <w:r w:rsidRPr="00AA552A">
        <w:rPr>
          <w:rFonts w:cs="Cambria"/>
          <w:color w:val="000000"/>
          <w:spacing w:val="2"/>
          <w:position w:val="2"/>
        </w:rPr>
        <w:t>(</w:t>
      </w:r>
      <w:r w:rsidRPr="00AA552A">
        <w:rPr>
          <w:rFonts w:cs="Cambria"/>
          <w:color w:val="000000"/>
          <w:spacing w:val="-1"/>
          <w:position w:val="2"/>
        </w:rPr>
        <w:t>5</w:t>
      </w:r>
      <w:r w:rsidRPr="00AA552A">
        <w:rPr>
          <w:rFonts w:cs="Cambria"/>
          <w:color w:val="000000"/>
          <w:position w:val="2"/>
        </w:rPr>
        <w:t>4</w:t>
      </w:r>
      <w:r w:rsidRPr="00AA552A">
        <w:rPr>
          <w:rFonts w:cs="Cambria"/>
          <w:color w:val="000000"/>
          <w:spacing w:val="-5"/>
          <w:position w:val="2"/>
        </w:rPr>
        <w:t xml:space="preserve"> </w:t>
      </w:r>
      <w:r w:rsidRPr="00AA552A">
        <w:rPr>
          <w:rFonts w:cs="Cambria"/>
          <w:color w:val="000000"/>
          <w:spacing w:val="-1"/>
          <w:position w:val="2"/>
        </w:rPr>
        <w:t>f</w:t>
      </w:r>
      <w:r w:rsidRPr="00AA552A">
        <w:rPr>
          <w:rFonts w:cs="Cambria"/>
          <w:color w:val="000000"/>
          <w:spacing w:val="1"/>
          <w:position w:val="2"/>
        </w:rPr>
        <w:t>ee</w:t>
      </w:r>
      <w:r w:rsidRPr="00AA552A">
        <w:rPr>
          <w:rFonts w:cs="Cambria"/>
          <w:color w:val="000000"/>
          <w:spacing w:val="3"/>
          <w:position w:val="2"/>
        </w:rPr>
        <w:t>t</w:t>
      </w:r>
      <w:r w:rsidRPr="00AA552A">
        <w:rPr>
          <w:rFonts w:cs="Cambria"/>
          <w:color w:val="000000"/>
          <w:position w:val="2"/>
        </w:rPr>
        <w:t xml:space="preserve">), </w:t>
      </w:r>
      <w:r w:rsidRPr="00AA552A">
        <w:rPr>
          <w:rFonts w:cs="Cambria"/>
          <w:color w:val="000000"/>
        </w:rPr>
        <w:t>not</w:t>
      </w:r>
      <w:r w:rsidRPr="00AA552A">
        <w:rPr>
          <w:rFonts w:cs="Cambria"/>
          <w:color w:val="000000"/>
          <w:spacing w:val="-1"/>
        </w:rPr>
        <w:t xml:space="preserve"> r</w:t>
      </w:r>
      <w:r w:rsidRPr="00AA552A">
        <w:rPr>
          <w:rFonts w:cs="Cambria"/>
          <w:color w:val="000000"/>
          <w:spacing w:val="1"/>
        </w:rPr>
        <w:t>e</w:t>
      </w:r>
      <w:r w:rsidRPr="00AA552A">
        <w:rPr>
          <w:rFonts w:cs="Cambria"/>
          <w:color w:val="000000"/>
        </w:rPr>
        <w:t>st</w:t>
      </w:r>
      <w:r w:rsidRPr="00AA552A">
        <w:rPr>
          <w:rFonts w:cs="Cambria"/>
          <w:color w:val="000000"/>
          <w:spacing w:val="-1"/>
        </w:rPr>
        <w:t>r</w:t>
      </w:r>
      <w:r w:rsidRPr="00AA552A">
        <w:rPr>
          <w:rFonts w:cs="Cambria"/>
          <w:color w:val="000000"/>
          <w:spacing w:val="1"/>
        </w:rPr>
        <w:t>i</w:t>
      </w:r>
      <w:r w:rsidRPr="00AA552A">
        <w:rPr>
          <w:rFonts w:cs="Cambria"/>
          <w:color w:val="000000"/>
        </w:rPr>
        <w:t>ct</w:t>
      </w:r>
      <w:r w:rsidRPr="00AA552A">
        <w:rPr>
          <w:rFonts w:cs="Cambria"/>
          <w:color w:val="000000"/>
          <w:spacing w:val="1"/>
        </w:rPr>
        <w:t>e</w:t>
      </w:r>
      <w:r w:rsidRPr="00AA552A">
        <w:rPr>
          <w:rFonts w:cs="Cambria"/>
          <w:color w:val="000000"/>
        </w:rPr>
        <w:t>d</w:t>
      </w:r>
      <w:r w:rsidRPr="00AA552A">
        <w:rPr>
          <w:rFonts w:cs="Cambria"/>
          <w:color w:val="000000"/>
          <w:spacing w:val="-9"/>
        </w:rPr>
        <w:t xml:space="preserve"> </w:t>
      </w:r>
      <w:r w:rsidRPr="00AA552A">
        <w:rPr>
          <w:rFonts w:cs="Cambria"/>
          <w:color w:val="000000"/>
          <w:spacing w:val="1"/>
        </w:rPr>
        <w:t>b</w:t>
      </w:r>
      <w:r w:rsidRPr="00AA552A">
        <w:rPr>
          <w:rFonts w:cs="Cambria"/>
          <w:color w:val="000000"/>
        </w:rPr>
        <w:t>y</w:t>
      </w:r>
      <w:r w:rsidRPr="00AA552A">
        <w:rPr>
          <w:rFonts w:cs="Cambria"/>
          <w:color w:val="000000"/>
          <w:spacing w:val="-2"/>
        </w:rPr>
        <w:t xml:space="preserve"> </w:t>
      </w:r>
      <w:r w:rsidRPr="00AA552A">
        <w:rPr>
          <w:rFonts w:cs="Cambria"/>
          <w:color w:val="000000"/>
        </w:rPr>
        <w:t>l</w:t>
      </w:r>
      <w:r w:rsidRPr="00AA552A">
        <w:rPr>
          <w:rFonts w:cs="Cambria"/>
          <w:color w:val="000000"/>
          <w:spacing w:val="1"/>
        </w:rPr>
        <w:t>i</w:t>
      </w:r>
      <w:r w:rsidRPr="00AA552A">
        <w:rPr>
          <w:rFonts w:cs="Cambria"/>
          <w:color w:val="000000"/>
          <w:spacing w:val="-1"/>
        </w:rPr>
        <w:t>g</w:t>
      </w:r>
      <w:r w:rsidRPr="00AA552A">
        <w:rPr>
          <w:rFonts w:cs="Cambria"/>
          <w:color w:val="000000"/>
        </w:rPr>
        <w:t>ht</w:t>
      </w:r>
      <w:r w:rsidRPr="00AA552A">
        <w:rPr>
          <w:rFonts w:cs="Cambria"/>
          <w:color w:val="000000"/>
          <w:spacing w:val="-2"/>
        </w:rPr>
        <w:t xml:space="preserve"> </w:t>
      </w:r>
      <w:r w:rsidRPr="00AA552A">
        <w:rPr>
          <w:rFonts w:cs="Cambria"/>
          <w:color w:val="000000"/>
          <w:spacing w:val="1"/>
        </w:rPr>
        <w:t>pe</w:t>
      </w:r>
      <w:r w:rsidRPr="00AA552A">
        <w:rPr>
          <w:rFonts w:cs="Cambria"/>
          <w:color w:val="000000"/>
        </w:rPr>
        <w:t>n</w:t>
      </w:r>
      <w:r w:rsidRPr="00AA552A">
        <w:rPr>
          <w:rFonts w:cs="Cambria"/>
          <w:color w:val="000000"/>
          <w:spacing w:val="1"/>
        </w:rPr>
        <w:t>e</w:t>
      </w:r>
      <w:r w:rsidRPr="00AA552A">
        <w:rPr>
          <w:rFonts w:cs="Cambria"/>
          <w:color w:val="000000"/>
        </w:rPr>
        <w:t>t</w:t>
      </w:r>
      <w:r w:rsidRPr="00AA552A">
        <w:rPr>
          <w:rFonts w:cs="Cambria"/>
          <w:color w:val="000000"/>
          <w:spacing w:val="-1"/>
        </w:rPr>
        <w:t>r</w:t>
      </w:r>
      <w:r w:rsidRPr="00AA552A">
        <w:rPr>
          <w:rFonts w:cs="Cambria"/>
          <w:color w:val="000000"/>
        </w:rPr>
        <w:t>at</w:t>
      </w:r>
      <w:r w:rsidRPr="00AA552A">
        <w:rPr>
          <w:rFonts w:cs="Cambria"/>
          <w:color w:val="000000"/>
          <w:spacing w:val="1"/>
        </w:rPr>
        <w:t>i</w:t>
      </w:r>
      <w:r w:rsidRPr="00AA552A">
        <w:rPr>
          <w:rFonts w:cs="Cambria"/>
          <w:color w:val="000000"/>
        </w:rPr>
        <w:t>on</w:t>
      </w:r>
      <w:r w:rsidRPr="00AA552A">
        <w:rPr>
          <w:rFonts w:cs="Cambria"/>
          <w:color w:val="000000"/>
          <w:spacing w:val="-5"/>
        </w:rPr>
        <w:t xml:space="preserve"> </w:t>
      </w:r>
      <w:r w:rsidRPr="00AA552A">
        <w:rPr>
          <w:rFonts w:cs="Cambria"/>
          <w:color w:val="000000"/>
        </w:rPr>
        <w:t>on</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o</w:t>
      </w:r>
      <w:r w:rsidRPr="00AA552A">
        <w:rPr>
          <w:rFonts w:cs="Cambria"/>
          <w:color w:val="000000"/>
          <w:spacing w:val="-1"/>
        </w:rPr>
        <w:t>u</w:t>
      </w:r>
      <w:r w:rsidRPr="00AA552A">
        <w:rPr>
          <w:rFonts w:cs="Cambria"/>
          <w:color w:val="000000"/>
        </w:rPr>
        <w:t>t</w:t>
      </w:r>
      <w:r w:rsidRPr="00AA552A">
        <w:rPr>
          <w:rFonts w:cs="Cambria"/>
          <w:color w:val="000000"/>
          <w:spacing w:val="1"/>
        </w:rPr>
        <w:t>e</w:t>
      </w:r>
      <w:r w:rsidRPr="00AA552A">
        <w:rPr>
          <w:rFonts w:cs="Cambria"/>
          <w:color w:val="000000"/>
        </w:rPr>
        <w:t>r</w:t>
      </w:r>
      <w:r w:rsidRPr="00AA552A">
        <w:rPr>
          <w:rFonts w:cs="Cambria"/>
          <w:color w:val="000000"/>
          <w:spacing w:val="-6"/>
        </w:rPr>
        <w:t xml:space="preserve"> </w:t>
      </w:r>
      <w:r w:rsidRPr="00AA552A">
        <w:rPr>
          <w:rFonts w:cs="Cambria"/>
          <w:color w:val="000000"/>
        </w:rPr>
        <w:t>sh</w:t>
      </w:r>
      <w:r w:rsidRPr="00AA552A">
        <w:rPr>
          <w:rFonts w:cs="Cambria"/>
          <w:color w:val="000000"/>
          <w:spacing w:val="1"/>
        </w:rPr>
        <w:t>e</w:t>
      </w:r>
      <w:r w:rsidRPr="00AA552A">
        <w:rPr>
          <w:rFonts w:cs="Cambria"/>
          <w:color w:val="000000"/>
        </w:rPr>
        <w:t>lf</w:t>
      </w:r>
      <w:r w:rsidRPr="00AA552A">
        <w:rPr>
          <w:rFonts w:cs="Cambria"/>
          <w:color w:val="000000"/>
          <w:spacing w:val="-5"/>
        </w:rPr>
        <w:t xml:space="preserve"> </w:t>
      </w:r>
      <w:r w:rsidRPr="00AA552A">
        <w:rPr>
          <w:rFonts w:cs="Cambria"/>
          <w:color w:val="000000"/>
        </w:rPr>
        <w:t>th</w:t>
      </w:r>
      <w:r w:rsidRPr="00AA552A">
        <w:rPr>
          <w:rFonts w:cs="Cambria"/>
          <w:color w:val="000000"/>
          <w:spacing w:val="-1"/>
        </w:rPr>
        <w:t>r</w:t>
      </w:r>
      <w:r w:rsidRPr="00AA552A">
        <w:rPr>
          <w:rFonts w:cs="Cambria"/>
          <w:color w:val="000000"/>
        </w:rPr>
        <w:t>o</w:t>
      </w:r>
      <w:r w:rsidRPr="00AA552A">
        <w:rPr>
          <w:rFonts w:cs="Cambria"/>
          <w:color w:val="000000"/>
          <w:spacing w:val="-1"/>
        </w:rPr>
        <w:t>u</w:t>
      </w:r>
      <w:r w:rsidRPr="00AA552A">
        <w:rPr>
          <w:rFonts w:cs="Cambria"/>
          <w:color w:val="000000"/>
          <w:spacing w:val="1"/>
        </w:rPr>
        <w:t>g</w:t>
      </w:r>
      <w:r w:rsidRPr="00AA552A">
        <w:rPr>
          <w:rFonts w:cs="Cambria"/>
          <w:color w:val="000000"/>
        </w:rPr>
        <w:t>ho</w:t>
      </w:r>
      <w:r w:rsidRPr="00AA552A">
        <w:rPr>
          <w:rFonts w:cs="Cambria"/>
          <w:color w:val="000000"/>
          <w:spacing w:val="-1"/>
        </w:rPr>
        <w:t>u</w:t>
      </w:r>
      <w:r w:rsidRPr="00AA552A">
        <w:rPr>
          <w:rFonts w:cs="Cambria"/>
          <w:color w:val="000000"/>
        </w:rPr>
        <w:t>t</w:t>
      </w:r>
      <w:r w:rsidRPr="00AA552A">
        <w:rPr>
          <w:rFonts w:cs="Cambria"/>
          <w:color w:val="000000"/>
          <w:spacing w:val="-6"/>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2"/>
        </w:rPr>
        <w:t>m</w:t>
      </w:r>
      <w:r w:rsidRPr="00AA552A">
        <w:rPr>
          <w:rFonts w:cs="Cambria"/>
          <w:color w:val="000000"/>
        </w:rPr>
        <w:t>ana</w:t>
      </w:r>
      <w:r w:rsidRPr="00AA552A">
        <w:rPr>
          <w:rFonts w:cs="Cambria"/>
          <w:color w:val="000000"/>
          <w:spacing w:val="-1"/>
        </w:rPr>
        <w:t>g</w:t>
      </w:r>
      <w:r w:rsidRPr="00AA552A">
        <w:rPr>
          <w:rFonts w:cs="Cambria"/>
          <w:color w:val="000000"/>
          <w:spacing w:val="1"/>
        </w:rPr>
        <w:t>e</w:t>
      </w:r>
      <w:r w:rsidRPr="00AA552A">
        <w:rPr>
          <w:rFonts w:cs="Cambria"/>
          <w:color w:val="000000"/>
        </w:rPr>
        <w:t>m</w:t>
      </w:r>
      <w:r w:rsidRPr="00AA552A">
        <w:rPr>
          <w:rFonts w:cs="Cambria"/>
          <w:color w:val="000000"/>
          <w:spacing w:val="1"/>
        </w:rPr>
        <w:t>e</w:t>
      </w:r>
      <w:r w:rsidRPr="00AA552A">
        <w:rPr>
          <w:rFonts w:cs="Cambria"/>
          <w:color w:val="000000"/>
        </w:rPr>
        <w:t>nt</w:t>
      </w:r>
      <w:r w:rsidRPr="00AA552A">
        <w:rPr>
          <w:rFonts w:cs="Cambria"/>
          <w:color w:val="000000"/>
          <w:spacing w:val="-2"/>
        </w:rPr>
        <w:t xml:space="preserve"> </w:t>
      </w:r>
      <w:r w:rsidRPr="00AA552A">
        <w:rPr>
          <w:rFonts w:cs="Cambria"/>
          <w:color w:val="000000"/>
        </w:rPr>
        <w:t>a</w:t>
      </w:r>
      <w:r w:rsidRPr="00AA552A">
        <w:rPr>
          <w:rFonts w:cs="Cambria"/>
          <w:color w:val="000000"/>
          <w:spacing w:val="-1"/>
        </w:rPr>
        <w:t>r</w:t>
      </w:r>
      <w:r w:rsidRPr="00AA552A">
        <w:rPr>
          <w:rFonts w:cs="Cambria"/>
          <w:color w:val="000000"/>
          <w:spacing w:val="1"/>
        </w:rPr>
        <w:t>e</w:t>
      </w:r>
      <w:r w:rsidRPr="00AA552A">
        <w:rPr>
          <w:rFonts w:cs="Cambria"/>
          <w:color w:val="000000"/>
        </w:rPr>
        <w:t>a.</w:t>
      </w:r>
    </w:p>
    <w:p w14:paraId="17744AAB" w14:textId="77777777" w:rsidR="00DC4922" w:rsidRPr="00AA552A" w:rsidRDefault="00DC4922" w:rsidP="00DC4922">
      <w:pPr>
        <w:rPr>
          <w:rFonts w:cs="Cambria"/>
          <w:color w:val="000000"/>
          <w:sz w:val="28"/>
        </w:rPr>
      </w:pPr>
    </w:p>
    <w:p w14:paraId="63612E2D" w14:textId="77777777" w:rsidR="00DC4922" w:rsidRPr="00AA552A" w:rsidRDefault="00DC4922" w:rsidP="00DC4922">
      <w:pPr>
        <w:rPr>
          <w:rFonts w:cs="Cambria"/>
          <w:color w:val="000000"/>
        </w:rPr>
      </w:pPr>
      <w:r w:rsidRPr="00AA552A">
        <w:rPr>
          <w:rFonts w:cs="Cambria"/>
          <w:color w:val="000000"/>
          <w:spacing w:val="-1"/>
        </w:rPr>
        <w:t>C</w:t>
      </w:r>
      <w:r w:rsidRPr="00AA552A">
        <w:rPr>
          <w:rFonts w:cs="Cambria"/>
          <w:color w:val="000000"/>
        </w:rPr>
        <w:t xml:space="preserve">.  </w:t>
      </w:r>
      <w:r w:rsidRPr="00AA552A">
        <w:rPr>
          <w:rFonts w:cs="Cambria"/>
          <w:color w:val="000000"/>
          <w:spacing w:val="17"/>
        </w:rPr>
        <w:t xml:space="preserve"> </w:t>
      </w: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nt</w:t>
      </w:r>
      <w:r w:rsidRPr="00AA552A">
        <w:rPr>
          <w:rFonts w:cs="Cambria"/>
          <w:color w:val="000000"/>
          <w:spacing w:val="1"/>
        </w:rPr>
        <w:t>i</w:t>
      </w:r>
      <w:r w:rsidRPr="00AA552A">
        <w:rPr>
          <w:rFonts w:cs="Cambria"/>
          <w:color w:val="000000"/>
        </w:rPr>
        <w:t>al</w:t>
      </w:r>
      <w:r w:rsidRPr="00AA552A">
        <w:rPr>
          <w:rFonts w:cs="Cambria"/>
          <w:color w:val="000000"/>
          <w:spacing w:val="-4"/>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ha</w:t>
      </w:r>
      <w:r w:rsidRPr="00AA552A">
        <w:rPr>
          <w:rFonts w:cs="Cambria"/>
          <w:color w:val="000000"/>
          <w:spacing w:val="-2"/>
        </w:rPr>
        <w:t>b</w:t>
      </w:r>
      <w:r w:rsidRPr="00AA552A">
        <w:rPr>
          <w:rFonts w:cs="Cambria"/>
          <w:color w:val="000000"/>
          <w:spacing w:val="1"/>
        </w:rPr>
        <w:t>i</w:t>
      </w:r>
      <w:r w:rsidRPr="00AA552A">
        <w:rPr>
          <w:rFonts w:cs="Cambria"/>
          <w:color w:val="000000"/>
        </w:rPr>
        <w:t>tat</w:t>
      </w:r>
      <w:r w:rsidRPr="00AA552A">
        <w:rPr>
          <w:rFonts w:cs="Cambria"/>
          <w:color w:val="000000"/>
          <w:spacing w:val="-2"/>
        </w:rPr>
        <w:t xml:space="preserve"> </w:t>
      </w:r>
      <w:r w:rsidRPr="00AA552A">
        <w:rPr>
          <w:rFonts w:cs="Cambria"/>
          <w:color w:val="000000"/>
          <w:spacing w:val="-1"/>
        </w:rPr>
        <w:t>f</w:t>
      </w:r>
      <w:r w:rsidRPr="00AA552A">
        <w:rPr>
          <w:rFonts w:cs="Cambria"/>
          <w:color w:val="000000"/>
          <w:spacing w:val="-3"/>
        </w:rPr>
        <w:t>o</w:t>
      </w:r>
      <w:r w:rsidRPr="00AA552A">
        <w:rPr>
          <w:rFonts w:cs="Cambria"/>
          <w:color w:val="000000"/>
        </w:rPr>
        <w:t>r</w:t>
      </w:r>
      <w:r w:rsidRPr="00AA552A">
        <w:rPr>
          <w:rFonts w:cs="Cambria"/>
          <w:color w:val="000000"/>
          <w:spacing w:val="-4"/>
        </w:rPr>
        <w:t xml:space="preserve"> </w:t>
      </w:r>
      <w:r w:rsidRPr="00AA552A">
        <w:rPr>
          <w:rFonts w:cs="Cambria"/>
          <w:color w:val="000000"/>
        </w:rPr>
        <w:t>octoco</w:t>
      </w:r>
      <w:r w:rsidRPr="00AA552A">
        <w:rPr>
          <w:rFonts w:cs="Cambria"/>
          <w:color w:val="000000"/>
          <w:spacing w:val="-1"/>
        </w:rPr>
        <w:t>r</w:t>
      </w:r>
      <w:r w:rsidRPr="00AA552A">
        <w:rPr>
          <w:rFonts w:cs="Cambria"/>
          <w:color w:val="000000"/>
        </w:rPr>
        <w:t>als</w:t>
      </w:r>
      <w:r w:rsidRPr="00AA552A">
        <w:rPr>
          <w:rFonts w:cs="Cambria"/>
          <w:color w:val="000000"/>
          <w:spacing w:val="-8"/>
        </w:rPr>
        <w:t xml:space="preserve"> </w:t>
      </w:r>
      <w:r w:rsidRPr="00AA552A">
        <w:rPr>
          <w:rFonts w:cs="Cambria"/>
          <w:color w:val="000000"/>
          <w:spacing w:val="1"/>
        </w:rPr>
        <w:t>e</w:t>
      </w:r>
      <w:r w:rsidRPr="00AA552A">
        <w:rPr>
          <w:rFonts w:cs="Cambria"/>
          <w:color w:val="000000"/>
          <w:spacing w:val="-1"/>
        </w:rPr>
        <w:t>x</w:t>
      </w:r>
      <w:r w:rsidRPr="00AA552A">
        <w:rPr>
          <w:rFonts w:cs="Cambria"/>
          <w:color w:val="000000"/>
        </w:rPr>
        <w:t>c</w:t>
      </w:r>
      <w:r w:rsidRPr="00AA552A">
        <w:rPr>
          <w:rFonts w:cs="Cambria"/>
          <w:color w:val="000000"/>
          <w:spacing w:val="1"/>
        </w:rPr>
        <w:t>ep</w:t>
      </w:r>
      <w:r w:rsidRPr="00AA552A">
        <w:rPr>
          <w:rFonts w:cs="Cambria"/>
          <w:color w:val="000000"/>
        </w:rPr>
        <w:t>t</w:t>
      </w:r>
      <w:r w:rsidRPr="00AA552A">
        <w:rPr>
          <w:rFonts w:cs="Cambria"/>
          <w:color w:val="000000"/>
          <w:spacing w:val="1"/>
        </w:rPr>
        <w:t>i</w:t>
      </w:r>
      <w:r w:rsidRPr="00AA552A">
        <w:rPr>
          <w:rFonts w:cs="Cambria"/>
          <w:color w:val="000000"/>
        </w:rPr>
        <w:t>ng</w:t>
      </w:r>
      <w:r w:rsidRPr="00AA552A">
        <w:rPr>
          <w:rFonts w:cs="Cambria"/>
          <w:color w:val="000000"/>
          <w:spacing w:val="-5"/>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o</w:t>
      </w:r>
      <w:r w:rsidRPr="00AA552A">
        <w:rPr>
          <w:rFonts w:cs="Cambria"/>
          <w:color w:val="000000"/>
          <w:spacing w:val="-1"/>
        </w:rPr>
        <w:t>rd</w:t>
      </w:r>
      <w:r w:rsidRPr="00AA552A">
        <w:rPr>
          <w:rFonts w:cs="Cambria"/>
          <w:color w:val="000000"/>
          <w:spacing w:val="1"/>
        </w:rPr>
        <w:t>e</w:t>
      </w:r>
      <w:r w:rsidRPr="00AA552A">
        <w:rPr>
          <w:rFonts w:cs="Cambria"/>
          <w:color w:val="000000"/>
        </w:rPr>
        <w:t>r</w:t>
      </w:r>
      <w:r w:rsidRPr="00AA552A">
        <w:rPr>
          <w:rFonts w:cs="Cambria"/>
          <w:color w:val="000000"/>
          <w:spacing w:val="-7"/>
        </w:rPr>
        <w:t xml:space="preserve"> </w:t>
      </w:r>
      <w:r w:rsidRPr="00AA552A">
        <w:rPr>
          <w:rFonts w:cs="Cambria"/>
          <w:color w:val="000000"/>
          <w:spacing w:val="1"/>
        </w:rPr>
        <w:t>Pe</w:t>
      </w:r>
      <w:r w:rsidRPr="00AA552A">
        <w:rPr>
          <w:rFonts w:cs="Cambria"/>
          <w:color w:val="000000"/>
        </w:rPr>
        <w:t>nnat</w:t>
      </w:r>
      <w:r w:rsidRPr="00AA552A">
        <w:rPr>
          <w:rFonts w:cs="Cambria"/>
          <w:color w:val="000000"/>
          <w:spacing w:val="-1"/>
        </w:rPr>
        <w:t>u</w:t>
      </w:r>
      <w:r w:rsidRPr="00AA552A">
        <w:rPr>
          <w:rFonts w:cs="Cambria"/>
          <w:color w:val="000000"/>
        </w:rPr>
        <w:t>lac</w:t>
      </w:r>
      <w:r w:rsidRPr="00AA552A">
        <w:rPr>
          <w:rFonts w:cs="Cambria"/>
          <w:color w:val="000000"/>
          <w:spacing w:val="1"/>
        </w:rPr>
        <w:t>e</w:t>
      </w:r>
      <w:r w:rsidRPr="00AA552A">
        <w:rPr>
          <w:rFonts w:cs="Cambria"/>
          <w:color w:val="000000"/>
        </w:rPr>
        <w:t>a</w:t>
      </w:r>
      <w:r w:rsidRPr="00AA552A">
        <w:rPr>
          <w:rFonts w:cs="Cambria"/>
          <w:color w:val="000000"/>
          <w:spacing w:val="-5"/>
        </w:rPr>
        <w:t xml:space="preserve"> </w:t>
      </w:r>
      <w:r w:rsidRPr="00AA552A">
        <w:rPr>
          <w:rFonts w:cs="Cambria"/>
          <w:color w:val="000000"/>
        </w:rPr>
        <w:t>(s</w:t>
      </w:r>
      <w:r w:rsidRPr="00AA552A">
        <w:rPr>
          <w:rFonts w:cs="Cambria"/>
          <w:color w:val="000000"/>
          <w:spacing w:val="1"/>
        </w:rPr>
        <w:t>e</w:t>
      </w:r>
      <w:r w:rsidRPr="00AA552A">
        <w:rPr>
          <w:rFonts w:cs="Cambria"/>
          <w:color w:val="000000"/>
        </w:rPr>
        <w:t>a</w:t>
      </w:r>
      <w:r w:rsidRPr="00AA552A">
        <w:rPr>
          <w:rFonts w:cs="Cambria"/>
          <w:color w:val="000000"/>
          <w:spacing w:val="-3"/>
        </w:rPr>
        <w:t xml:space="preserve"> </w:t>
      </w:r>
      <w:r w:rsidRPr="00AA552A">
        <w:rPr>
          <w:rFonts w:cs="Cambria"/>
          <w:color w:val="000000"/>
          <w:spacing w:val="1"/>
        </w:rPr>
        <w:t>pe</w:t>
      </w:r>
      <w:r w:rsidRPr="00AA552A">
        <w:rPr>
          <w:rFonts w:cs="Cambria"/>
          <w:color w:val="000000"/>
        </w:rPr>
        <w:t>ns</w:t>
      </w:r>
      <w:r w:rsidRPr="00AA552A">
        <w:rPr>
          <w:rFonts w:cs="Cambria"/>
          <w:color w:val="000000"/>
          <w:spacing w:val="-2"/>
        </w:rPr>
        <w:t xml:space="preserve"> a</w:t>
      </w:r>
      <w:r w:rsidRPr="00AA552A">
        <w:rPr>
          <w:rFonts w:cs="Cambria"/>
          <w:color w:val="000000"/>
        </w:rPr>
        <w:t>nd</w:t>
      </w:r>
      <w:r w:rsidRPr="00AA552A">
        <w:rPr>
          <w:rFonts w:cs="Cambria"/>
          <w:color w:val="000000"/>
          <w:spacing w:val="-2"/>
        </w:rPr>
        <w:t xml:space="preserve"> </w:t>
      </w:r>
      <w:r w:rsidRPr="00AA552A">
        <w:rPr>
          <w:rFonts w:cs="Cambria"/>
          <w:color w:val="000000"/>
        </w:rPr>
        <w:t>s</w:t>
      </w:r>
      <w:r w:rsidRPr="00AA552A">
        <w:rPr>
          <w:rFonts w:cs="Cambria"/>
          <w:color w:val="000000"/>
          <w:spacing w:val="1"/>
        </w:rPr>
        <w:t>e</w:t>
      </w:r>
      <w:r w:rsidRPr="00AA552A">
        <w:rPr>
          <w:rFonts w:cs="Cambria"/>
          <w:color w:val="000000"/>
        </w:rPr>
        <w:t xml:space="preserve">a </w:t>
      </w:r>
      <w:r w:rsidRPr="00AA552A">
        <w:rPr>
          <w:rFonts w:cs="Cambria"/>
          <w:color w:val="000000"/>
          <w:spacing w:val="1"/>
        </w:rPr>
        <w:t>p</w:t>
      </w:r>
      <w:r w:rsidRPr="00AA552A">
        <w:rPr>
          <w:rFonts w:cs="Cambria"/>
          <w:color w:val="000000"/>
        </w:rPr>
        <w:t>ans</w:t>
      </w:r>
      <w:r w:rsidRPr="00AA552A">
        <w:rPr>
          <w:rFonts w:cs="Cambria"/>
          <w:color w:val="000000"/>
          <w:spacing w:val="1"/>
        </w:rPr>
        <w:t>ie</w:t>
      </w:r>
      <w:r w:rsidRPr="00AA552A">
        <w:rPr>
          <w:rFonts w:cs="Cambria"/>
          <w:color w:val="000000"/>
        </w:rPr>
        <w:t>s)</w:t>
      </w:r>
      <w:r w:rsidRPr="00AA552A">
        <w:rPr>
          <w:rFonts w:cs="Cambria"/>
          <w:color w:val="000000"/>
          <w:spacing w:val="-5"/>
        </w:rPr>
        <w:t xml:space="preserve"> </w:t>
      </w:r>
      <w:r w:rsidRPr="00AA552A">
        <w:rPr>
          <w:rFonts w:cs="Cambria"/>
          <w:color w:val="000000"/>
          <w:spacing w:val="1"/>
        </w:rPr>
        <w:t>i</w:t>
      </w:r>
      <w:r w:rsidRPr="00AA552A">
        <w:rPr>
          <w:rFonts w:cs="Cambria"/>
          <w:color w:val="000000"/>
        </w:rPr>
        <w:t>ncl</w:t>
      </w:r>
      <w:r w:rsidRPr="00AA552A">
        <w:rPr>
          <w:rFonts w:cs="Cambria"/>
          <w:color w:val="000000"/>
          <w:spacing w:val="-1"/>
        </w:rPr>
        <w:t>ud</w:t>
      </w:r>
      <w:r w:rsidRPr="00AA552A">
        <w:rPr>
          <w:rFonts w:cs="Cambria"/>
          <w:color w:val="000000"/>
          <w:spacing w:val="1"/>
        </w:rPr>
        <w:t>e</w:t>
      </w:r>
      <w:r w:rsidRPr="00AA552A">
        <w:rPr>
          <w:rFonts w:cs="Cambria"/>
          <w:color w:val="000000"/>
        </w:rPr>
        <w:t>s</w:t>
      </w:r>
      <w:r w:rsidRPr="00AA552A">
        <w:rPr>
          <w:rFonts w:cs="Cambria"/>
          <w:color w:val="000000"/>
          <w:spacing w:val="-5"/>
        </w:rPr>
        <w:t xml:space="preserve"> </w:t>
      </w:r>
      <w:r w:rsidRPr="00AA552A">
        <w:rPr>
          <w:rFonts w:cs="Cambria"/>
          <w:color w:val="000000"/>
          <w:spacing w:val="-1"/>
        </w:rPr>
        <w:t>r</w:t>
      </w:r>
      <w:r w:rsidRPr="00AA552A">
        <w:rPr>
          <w:rFonts w:cs="Cambria"/>
          <w:color w:val="000000"/>
        </w:rPr>
        <w:t>o</w:t>
      </w:r>
      <w:r w:rsidRPr="00AA552A">
        <w:rPr>
          <w:rFonts w:cs="Cambria"/>
          <w:color w:val="000000"/>
          <w:spacing w:val="-1"/>
        </w:rPr>
        <w:t>ug</w:t>
      </w:r>
      <w:r w:rsidRPr="00AA552A">
        <w:rPr>
          <w:rFonts w:cs="Cambria"/>
          <w:color w:val="000000"/>
          <w:spacing w:val="2"/>
        </w:rPr>
        <w:t>h</w:t>
      </w:r>
      <w:r w:rsidRPr="00AA552A">
        <w:rPr>
          <w:rFonts w:cs="Cambria"/>
          <w:color w:val="000000"/>
        </w:rPr>
        <w:t>,</w:t>
      </w:r>
      <w:r w:rsidRPr="00AA552A">
        <w:rPr>
          <w:rFonts w:cs="Cambria"/>
          <w:color w:val="000000"/>
          <w:spacing w:val="-3"/>
        </w:rPr>
        <w:t xml:space="preserve"> </w:t>
      </w:r>
      <w:r w:rsidRPr="00AA552A">
        <w:rPr>
          <w:rFonts w:cs="Cambria"/>
          <w:color w:val="000000"/>
        </w:rPr>
        <w:t>ha</w:t>
      </w:r>
      <w:r w:rsidRPr="00AA552A">
        <w:rPr>
          <w:rFonts w:cs="Cambria"/>
          <w:color w:val="000000"/>
          <w:spacing w:val="-1"/>
        </w:rPr>
        <w:t>rd</w:t>
      </w:r>
      <w:r w:rsidRPr="00AA552A">
        <w:rPr>
          <w:rFonts w:cs="Cambria"/>
          <w:color w:val="000000"/>
        </w:rPr>
        <w:t>,</w:t>
      </w:r>
      <w:r w:rsidRPr="00AA552A">
        <w:rPr>
          <w:rFonts w:cs="Cambria"/>
          <w:color w:val="000000"/>
          <w:spacing w:val="-3"/>
        </w:rPr>
        <w:t xml:space="preserve"> </w:t>
      </w:r>
      <w:r w:rsidRPr="00AA552A">
        <w:rPr>
          <w:rFonts w:cs="Cambria"/>
          <w:color w:val="000000"/>
          <w:spacing w:val="1"/>
        </w:rPr>
        <w:t>e</w:t>
      </w:r>
      <w:r w:rsidRPr="00AA552A">
        <w:rPr>
          <w:rFonts w:cs="Cambria"/>
          <w:color w:val="000000"/>
          <w:spacing w:val="-1"/>
        </w:rPr>
        <w:t>x</w:t>
      </w:r>
      <w:r w:rsidRPr="00AA552A">
        <w:rPr>
          <w:rFonts w:cs="Cambria"/>
          <w:color w:val="000000"/>
          <w:spacing w:val="1"/>
        </w:rPr>
        <w:t>p</w:t>
      </w:r>
      <w:r w:rsidRPr="00AA552A">
        <w:rPr>
          <w:rFonts w:cs="Cambria"/>
          <w:color w:val="000000"/>
        </w:rPr>
        <w:t>os</w:t>
      </w:r>
      <w:r w:rsidRPr="00AA552A">
        <w:rPr>
          <w:rFonts w:cs="Cambria"/>
          <w:color w:val="000000"/>
          <w:spacing w:val="1"/>
        </w:rPr>
        <w:t>e</w:t>
      </w:r>
      <w:r w:rsidRPr="00AA552A">
        <w:rPr>
          <w:rFonts w:cs="Cambria"/>
          <w:color w:val="000000"/>
          <w:spacing w:val="-1"/>
        </w:rPr>
        <w:t>d</w:t>
      </w:r>
      <w:r w:rsidRPr="00AA552A">
        <w:rPr>
          <w:rFonts w:cs="Cambria"/>
          <w:color w:val="000000"/>
        </w:rPr>
        <w:t>,</w:t>
      </w:r>
      <w:r w:rsidRPr="00AA552A">
        <w:rPr>
          <w:rFonts w:cs="Cambria"/>
          <w:color w:val="000000"/>
          <w:spacing w:val="-5"/>
        </w:rPr>
        <w:t xml:space="preserve"> </w:t>
      </w:r>
      <w:r w:rsidRPr="00AA552A">
        <w:rPr>
          <w:rFonts w:cs="Cambria"/>
          <w:color w:val="000000"/>
        </w:rPr>
        <w:t>sta</w:t>
      </w:r>
      <w:r w:rsidRPr="00AA552A">
        <w:rPr>
          <w:rFonts w:cs="Cambria"/>
          <w:color w:val="000000"/>
          <w:spacing w:val="1"/>
        </w:rPr>
        <w:t>b</w:t>
      </w:r>
      <w:r w:rsidRPr="00AA552A">
        <w:rPr>
          <w:rFonts w:cs="Cambria"/>
          <w:color w:val="000000"/>
        </w:rPr>
        <w:t>le</w:t>
      </w:r>
      <w:r w:rsidRPr="00AA552A">
        <w:rPr>
          <w:rFonts w:cs="Cambria"/>
          <w:color w:val="000000"/>
          <w:spacing w:val="-1"/>
        </w:rPr>
        <w:t xml:space="preserve"> </w:t>
      </w:r>
      <w:r w:rsidRPr="00AA552A">
        <w:rPr>
          <w:rFonts w:cs="Cambria"/>
          <w:color w:val="000000"/>
          <w:spacing w:val="-2"/>
        </w:rPr>
        <w:t>s</w:t>
      </w:r>
      <w:r w:rsidRPr="00AA552A">
        <w:rPr>
          <w:rFonts w:cs="Cambria"/>
          <w:color w:val="000000"/>
          <w:spacing w:val="-1"/>
        </w:rPr>
        <w:t>u</w:t>
      </w:r>
      <w:r w:rsidRPr="00AA552A">
        <w:rPr>
          <w:rFonts w:cs="Cambria"/>
          <w:color w:val="000000"/>
          <w:spacing w:val="1"/>
        </w:rPr>
        <w:t>b</w:t>
      </w:r>
      <w:r w:rsidRPr="00AA552A">
        <w:rPr>
          <w:rFonts w:cs="Cambria"/>
          <w:color w:val="000000"/>
        </w:rPr>
        <w:t>st</w:t>
      </w:r>
      <w:r w:rsidRPr="00AA552A">
        <w:rPr>
          <w:rFonts w:cs="Cambria"/>
          <w:color w:val="000000"/>
          <w:spacing w:val="-1"/>
        </w:rPr>
        <w:t>r</w:t>
      </w:r>
      <w:r w:rsidRPr="00AA552A">
        <w:rPr>
          <w:rFonts w:cs="Cambria"/>
          <w:color w:val="000000"/>
        </w:rPr>
        <w:t>ate</w:t>
      </w:r>
      <w:r w:rsidRPr="00AA552A">
        <w:rPr>
          <w:rFonts w:cs="Cambria"/>
          <w:color w:val="000000"/>
          <w:spacing w:val="-3"/>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s</w:t>
      </w:r>
      <w:r w:rsidRPr="00AA552A">
        <w:rPr>
          <w:rFonts w:cs="Cambria"/>
          <w:color w:val="000000"/>
          <w:spacing w:val="-1"/>
        </w:rPr>
        <w:t>u</w:t>
      </w:r>
      <w:r w:rsidRPr="00AA552A">
        <w:rPr>
          <w:rFonts w:cs="Cambria"/>
          <w:color w:val="000000"/>
          <w:spacing w:val="1"/>
        </w:rPr>
        <w:t>b</w:t>
      </w:r>
      <w:r w:rsidRPr="00AA552A">
        <w:rPr>
          <w:rFonts w:cs="Cambria"/>
          <w:color w:val="000000"/>
        </w:rPr>
        <w:t>t</w:t>
      </w:r>
      <w:r w:rsidRPr="00AA552A">
        <w:rPr>
          <w:rFonts w:cs="Cambria"/>
          <w:color w:val="000000"/>
          <w:spacing w:val="1"/>
        </w:rPr>
        <w:t>i</w:t>
      </w:r>
      <w:r w:rsidRPr="00AA552A">
        <w:rPr>
          <w:rFonts w:cs="Cambria"/>
          <w:color w:val="000000"/>
          <w:spacing w:val="-1"/>
        </w:rPr>
        <w:t>d</w:t>
      </w:r>
      <w:r w:rsidRPr="00AA552A">
        <w:rPr>
          <w:rFonts w:cs="Cambria"/>
          <w:color w:val="000000"/>
        </w:rPr>
        <w:t>al</w:t>
      </w:r>
      <w:r w:rsidRPr="00AA552A">
        <w:rPr>
          <w:rFonts w:cs="Cambria"/>
          <w:color w:val="000000"/>
          <w:spacing w:val="-3"/>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spacing w:val="-3"/>
        </w:rPr>
        <w:t>o</w:t>
      </w:r>
      <w:r w:rsidRPr="00AA552A">
        <w:rPr>
          <w:rFonts w:cs="Cambria"/>
          <w:color w:val="000000"/>
          <w:spacing w:val="-1"/>
        </w:rPr>
        <w:t>u</w:t>
      </w:r>
      <w:r w:rsidRPr="00AA552A">
        <w:rPr>
          <w:rFonts w:cs="Cambria"/>
          <w:color w:val="000000"/>
        </w:rPr>
        <w:t>t</w:t>
      </w:r>
      <w:r w:rsidRPr="00AA552A">
        <w:rPr>
          <w:rFonts w:cs="Cambria"/>
          <w:color w:val="000000"/>
          <w:spacing w:val="1"/>
        </w:rPr>
        <w:t>e</w:t>
      </w:r>
      <w:r w:rsidRPr="00AA552A">
        <w:rPr>
          <w:rFonts w:cs="Cambria"/>
          <w:color w:val="000000"/>
        </w:rPr>
        <w:t>r</w:t>
      </w:r>
      <w:r w:rsidRPr="00AA552A">
        <w:rPr>
          <w:rFonts w:cs="Cambria"/>
          <w:color w:val="000000"/>
          <w:spacing w:val="-4"/>
        </w:rPr>
        <w:t xml:space="preserve"> </w:t>
      </w:r>
      <w:r w:rsidRPr="00AA552A">
        <w:rPr>
          <w:rFonts w:cs="Cambria"/>
          <w:color w:val="000000"/>
        </w:rPr>
        <w:t>sh</w:t>
      </w:r>
      <w:r w:rsidRPr="00AA552A">
        <w:rPr>
          <w:rFonts w:cs="Cambria"/>
          <w:color w:val="000000"/>
          <w:spacing w:val="1"/>
        </w:rPr>
        <w:t>e</w:t>
      </w:r>
      <w:r w:rsidRPr="00AA552A">
        <w:rPr>
          <w:rFonts w:cs="Cambria"/>
          <w:color w:val="000000"/>
        </w:rPr>
        <w:t>lf</w:t>
      </w:r>
      <w:r w:rsidRPr="00AA552A">
        <w:rPr>
          <w:rFonts w:cs="Cambria"/>
          <w:color w:val="000000"/>
          <w:spacing w:val="-5"/>
        </w:rPr>
        <w:t xml:space="preserve"> </w:t>
      </w:r>
      <w:r w:rsidRPr="00AA552A">
        <w:rPr>
          <w:rFonts w:cs="Cambria"/>
          <w:color w:val="000000"/>
          <w:spacing w:val="-1"/>
        </w:rPr>
        <w:t>d</w:t>
      </w:r>
      <w:r w:rsidRPr="00AA552A">
        <w:rPr>
          <w:rFonts w:cs="Cambria"/>
          <w:color w:val="000000"/>
          <w:spacing w:val="1"/>
        </w:rPr>
        <w:t>ep</w:t>
      </w:r>
      <w:r w:rsidRPr="00AA552A">
        <w:rPr>
          <w:rFonts w:cs="Cambria"/>
          <w:color w:val="000000"/>
        </w:rPr>
        <w:t xml:space="preserve">ths </w:t>
      </w:r>
      <w:r w:rsidRPr="00AA552A">
        <w:rPr>
          <w:rFonts w:cs="Cambria"/>
          <w:color w:val="000000"/>
          <w:spacing w:val="-1"/>
        </w:rPr>
        <w:t>w</w:t>
      </w:r>
      <w:r w:rsidRPr="00AA552A">
        <w:rPr>
          <w:rFonts w:cs="Cambria"/>
          <w:color w:val="000000"/>
          <w:spacing w:val="1"/>
        </w:rPr>
        <w:t>i</w:t>
      </w:r>
      <w:r w:rsidRPr="00AA552A">
        <w:rPr>
          <w:rFonts w:cs="Cambria"/>
          <w:color w:val="000000"/>
        </w:rPr>
        <w:t>th</w:t>
      </w:r>
      <w:r w:rsidRPr="00AA552A">
        <w:rPr>
          <w:rFonts w:cs="Cambria"/>
          <w:color w:val="000000"/>
          <w:spacing w:val="1"/>
        </w:rPr>
        <w:t>i</w:t>
      </w:r>
      <w:r w:rsidRPr="00AA552A">
        <w:rPr>
          <w:rFonts w:cs="Cambria"/>
          <w:color w:val="000000"/>
        </w:rPr>
        <w:t>n</w:t>
      </w:r>
      <w:r w:rsidRPr="00AA552A">
        <w:rPr>
          <w:rFonts w:cs="Cambria"/>
          <w:color w:val="000000"/>
          <w:spacing w:val="-3"/>
        </w:rPr>
        <w:t xml:space="preserve"> </w:t>
      </w:r>
      <w:r w:rsidRPr="00AA552A">
        <w:rPr>
          <w:rFonts w:cs="Cambria"/>
          <w:color w:val="000000"/>
        </w:rPr>
        <w:t xml:space="preserve">a </w:t>
      </w:r>
      <w:r w:rsidRPr="00AA552A">
        <w:rPr>
          <w:rFonts w:cs="Cambria"/>
          <w:color w:val="000000"/>
          <w:spacing w:val="-1"/>
        </w:rPr>
        <w:t>w</w:t>
      </w:r>
      <w:r w:rsidRPr="00AA552A">
        <w:rPr>
          <w:rFonts w:cs="Cambria"/>
          <w:color w:val="000000"/>
          <w:spacing w:val="1"/>
        </w:rPr>
        <w:t>i</w:t>
      </w:r>
      <w:r w:rsidRPr="00AA552A">
        <w:rPr>
          <w:rFonts w:cs="Cambria"/>
          <w:color w:val="000000"/>
          <w:spacing w:val="-1"/>
        </w:rPr>
        <w:t>d</w:t>
      </w:r>
      <w:r w:rsidRPr="00AA552A">
        <w:rPr>
          <w:rFonts w:cs="Cambria"/>
          <w:color w:val="000000"/>
        </w:rPr>
        <w:t>e</w:t>
      </w:r>
      <w:r w:rsidRPr="00AA552A">
        <w:rPr>
          <w:rFonts w:cs="Cambria"/>
          <w:color w:val="000000"/>
          <w:spacing w:val="-2"/>
        </w:rPr>
        <w:t xml:space="preserve"> </w:t>
      </w:r>
      <w:r w:rsidRPr="00AA552A">
        <w:rPr>
          <w:rFonts w:cs="Cambria"/>
          <w:color w:val="000000"/>
          <w:spacing w:val="-1"/>
        </w:rPr>
        <w:t>r</w:t>
      </w:r>
      <w:r w:rsidRPr="00AA552A">
        <w:rPr>
          <w:rFonts w:cs="Cambria"/>
          <w:color w:val="000000"/>
        </w:rPr>
        <w:t>an</w:t>
      </w:r>
      <w:r w:rsidRPr="00AA552A">
        <w:rPr>
          <w:rFonts w:cs="Cambria"/>
          <w:color w:val="000000"/>
          <w:spacing w:val="-1"/>
        </w:rPr>
        <w:t>g</w:t>
      </w:r>
      <w:r w:rsidRPr="00AA552A">
        <w:rPr>
          <w:rFonts w:cs="Cambria"/>
          <w:color w:val="000000"/>
        </w:rPr>
        <w:t>e</w:t>
      </w:r>
      <w:r w:rsidRPr="00AA552A">
        <w:rPr>
          <w:rFonts w:cs="Cambria"/>
          <w:color w:val="000000"/>
          <w:spacing w:val="-1"/>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2"/>
        </w:rPr>
        <w:t>s</w:t>
      </w:r>
      <w:r w:rsidRPr="00AA552A">
        <w:rPr>
          <w:rFonts w:cs="Cambria"/>
          <w:color w:val="000000"/>
        </w:rPr>
        <w:t>al</w:t>
      </w:r>
      <w:r w:rsidRPr="00AA552A">
        <w:rPr>
          <w:rFonts w:cs="Cambria"/>
          <w:color w:val="000000"/>
          <w:spacing w:val="1"/>
        </w:rPr>
        <w:t>i</w:t>
      </w:r>
      <w:r w:rsidRPr="00AA552A">
        <w:rPr>
          <w:rFonts w:cs="Cambria"/>
          <w:color w:val="000000"/>
        </w:rPr>
        <w:t>n</w:t>
      </w:r>
      <w:r w:rsidRPr="00AA552A">
        <w:rPr>
          <w:rFonts w:cs="Cambria"/>
          <w:color w:val="000000"/>
          <w:spacing w:val="1"/>
        </w:rPr>
        <w:t>i</w:t>
      </w:r>
      <w:r w:rsidRPr="00AA552A">
        <w:rPr>
          <w:rFonts w:cs="Cambria"/>
          <w:color w:val="000000"/>
        </w:rPr>
        <w:t>ty</w:t>
      </w:r>
      <w:r w:rsidRPr="00AA552A">
        <w:rPr>
          <w:rFonts w:cs="Cambria"/>
          <w:color w:val="000000"/>
          <w:spacing w:val="-5"/>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l</w:t>
      </w:r>
      <w:r w:rsidRPr="00AA552A">
        <w:rPr>
          <w:rFonts w:cs="Cambria"/>
          <w:color w:val="000000"/>
          <w:spacing w:val="1"/>
        </w:rPr>
        <w:t>i</w:t>
      </w:r>
      <w:r w:rsidRPr="00AA552A">
        <w:rPr>
          <w:rFonts w:cs="Cambria"/>
          <w:color w:val="000000"/>
          <w:spacing w:val="-1"/>
        </w:rPr>
        <w:t>g</w:t>
      </w:r>
      <w:r w:rsidRPr="00AA552A">
        <w:rPr>
          <w:rFonts w:cs="Cambria"/>
          <w:color w:val="000000"/>
        </w:rPr>
        <w:t>ht</w:t>
      </w:r>
      <w:r w:rsidRPr="00AA552A">
        <w:rPr>
          <w:rFonts w:cs="Cambria"/>
          <w:color w:val="000000"/>
          <w:spacing w:val="-2"/>
        </w:rPr>
        <w:t xml:space="preserve"> </w:t>
      </w:r>
      <w:r w:rsidRPr="00AA552A">
        <w:rPr>
          <w:rFonts w:cs="Cambria"/>
          <w:color w:val="000000"/>
          <w:spacing w:val="1"/>
        </w:rPr>
        <w:t>pe</w:t>
      </w:r>
      <w:r w:rsidRPr="00AA552A">
        <w:rPr>
          <w:rFonts w:cs="Cambria"/>
          <w:color w:val="000000"/>
        </w:rPr>
        <w:t>n</w:t>
      </w:r>
      <w:r w:rsidRPr="00AA552A">
        <w:rPr>
          <w:rFonts w:cs="Cambria"/>
          <w:color w:val="000000"/>
          <w:spacing w:val="1"/>
        </w:rPr>
        <w:t>e</w:t>
      </w:r>
      <w:r w:rsidRPr="00AA552A">
        <w:rPr>
          <w:rFonts w:cs="Cambria"/>
          <w:color w:val="000000"/>
        </w:rPr>
        <w:t>t</w:t>
      </w:r>
      <w:r w:rsidRPr="00AA552A">
        <w:rPr>
          <w:rFonts w:cs="Cambria"/>
          <w:color w:val="000000"/>
          <w:spacing w:val="-3"/>
        </w:rPr>
        <w:t>r</w:t>
      </w:r>
      <w:r w:rsidRPr="00AA552A">
        <w:rPr>
          <w:rFonts w:cs="Cambria"/>
          <w:color w:val="000000"/>
        </w:rPr>
        <w:t>at</w:t>
      </w:r>
      <w:r w:rsidRPr="00AA552A">
        <w:rPr>
          <w:rFonts w:cs="Cambria"/>
          <w:color w:val="000000"/>
          <w:spacing w:val="1"/>
        </w:rPr>
        <w:t>i</w:t>
      </w:r>
      <w:r w:rsidRPr="00AA552A">
        <w:rPr>
          <w:rFonts w:cs="Cambria"/>
          <w:color w:val="000000"/>
        </w:rPr>
        <w:t>on</w:t>
      </w:r>
      <w:r w:rsidRPr="00AA552A">
        <w:rPr>
          <w:rFonts w:cs="Cambria"/>
          <w:color w:val="000000"/>
          <w:spacing w:val="-5"/>
        </w:rPr>
        <w:t xml:space="preserve"> </w:t>
      </w:r>
      <w:r w:rsidRPr="00AA552A">
        <w:rPr>
          <w:rFonts w:cs="Cambria"/>
          <w:color w:val="000000"/>
        </w:rPr>
        <w:t>th</w:t>
      </w:r>
      <w:r w:rsidRPr="00AA552A">
        <w:rPr>
          <w:rFonts w:cs="Cambria"/>
          <w:color w:val="000000"/>
          <w:spacing w:val="-1"/>
        </w:rPr>
        <w:t>r</w:t>
      </w:r>
      <w:r w:rsidRPr="00AA552A">
        <w:rPr>
          <w:rFonts w:cs="Cambria"/>
          <w:color w:val="000000"/>
        </w:rPr>
        <w:t>o</w:t>
      </w:r>
      <w:r w:rsidRPr="00AA552A">
        <w:rPr>
          <w:rFonts w:cs="Cambria"/>
          <w:color w:val="000000"/>
          <w:spacing w:val="-1"/>
        </w:rPr>
        <w:t>ug</w:t>
      </w:r>
      <w:r w:rsidRPr="00AA552A">
        <w:rPr>
          <w:rFonts w:cs="Cambria"/>
          <w:color w:val="000000"/>
        </w:rPr>
        <w:t>ho</w:t>
      </w:r>
      <w:r w:rsidRPr="00AA552A">
        <w:rPr>
          <w:rFonts w:cs="Cambria"/>
          <w:color w:val="000000"/>
          <w:spacing w:val="-1"/>
        </w:rPr>
        <w:t>u</w:t>
      </w:r>
      <w:r w:rsidRPr="00AA552A">
        <w:rPr>
          <w:rFonts w:cs="Cambria"/>
          <w:color w:val="000000"/>
        </w:rPr>
        <w:t>t</w:t>
      </w:r>
      <w:r w:rsidRPr="00AA552A">
        <w:rPr>
          <w:rFonts w:cs="Cambria"/>
          <w:color w:val="000000"/>
          <w:spacing w:val="-6"/>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2"/>
        </w:rPr>
        <w:t>m</w:t>
      </w:r>
      <w:r w:rsidRPr="00AA552A">
        <w:rPr>
          <w:rFonts w:cs="Cambria"/>
          <w:color w:val="000000"/>
        </w:rPr>
        <w:t>ana</w:t>
      </w:r>
      <w:r w:rsidRPr="00AA552A">
        <w:rPr>
          <w:rFonts w:cs="Cambria"/>
          <w:color w:val="000000"/>
          <w:spacing w:val="-1"/>
        </w:rPr>
        <w:t>g</w:t>
      </w:r>
      <w:r w:rsidRPr="00AA552A">
        <w:rPr>
          <w:rFonts w:cs="Cambria"/>
          <w:color w:val="000000"/>
          <w:spacing w:val="1"/>
        </w:rPr>
        <w:t>e</w:t>
      </w:r>
      <w:r w:rsidRPr="00AA552A">
        <w:rPr>
          <w:rFonts w:cs="Cambria"/>
          <w:color w:val="000000"/>
        </w:rPr>
        <w:t>m</w:t>
      </w:r>
      <w:r w:rsidRPr="00AA552A">
        <w:rPr>
          <w:rFonts w:cs="Cambria"/>
          <w:color w:val="000000"/>
          <w:spacing w:val="1"/>
        </w:rPr>
        <w:t>e</w:t>
      </w:r>
      <w:r w:rsidRPr="00AA552A">
        <w:rPr>
          <w:rFonts w:cs="Cambria"/>
          <w:color w:val="000000"/>
        </w:rPr>
        <w:t>nt</w:t>
      </w:r>
      <w:r w:rsidRPr="00AA552A">
        <w:rPr>
          <w:rFonts w:cs="Cambria"/>
          <w:color w:val="000000"/>
          <w:spacing w:val="-2"/>
        </w:rPr>
        <w:t xml:space="preserve"> </w:t>
      </w:r>
      <w:r w:rsidRPr="00AA552A">
        <w:rPr>
          <w:rFonts w:cs="Cambria"/>
          <w:color w:val="000000"/>
        </w:rPr>
        <w:t>a</w:t>
      </w:r>
      <w:r w:rsidRPr="00AA552A">
        <w:rPr>
          <w:rFonts w:cs="Cambria"/>
          <w:color w:val="000000"/>
          <w:spacing w:val="-1"/>
        </w:rPr>
        <w:t>r</w:t>
      </w:r>
      <w:r w:rsidRPr="00AA552A">
        <w:rPr>
          <w:rFonts w:cs="Cambria"/>
          <w:color w:val="000000"/>
          <w:spacing w:val="1"/>
        </w:rPr>
        <w:t>e</w:t>
      </w:r>
      <w:r w:rsidRPr="00AA552A">
        <w:rPr>
          <w:rFonts w:cs="Cambria"/>
          <w:color w:val="000000"/>
        </w:rPr>
        <w:t>a.</w:t>
      </w:r>
    </w:p>
    <w:p w14:paraId="22356D0F" w14:textId="77777777" w:rsidR="00DC4922" w:rsidRDefault="00DC4922" w:rsidP="00DC4922">
      <w:pPr>
        <w:rPr>
          <w:rFonts w:cs="Cambria"/>
          <w:color w:val="000000"/>
        </w:rPr>
      </w:pPr>
    </w:p>
    <w:p w14:paraId="76A5A3D3" w14:textId="77777777" w:rsidR="00DC4922" w:rsidRPr="00AA552A" w:rsidRDefault="00DC4922" w:rsidP="00DC4922">
      <w:pPr>
        <w:rPr>
          <w:rFonts w:cs="Cambria"/>
          <w:color w:val="000000"/>
        </w:rPr>
      </w:pPr>
      <w:r w:rsidRPr="00AA552A">
        <w:rPr>
          <w:rFonts w:cs="Cambria"/>
          <w:color w:val="000000"/>
        </w:rPr>
        <w:t xml:space="preserve">D. </w:t>
      </w:r>
      <w:r w:rsidRPr="00AA552A">
        <w:rPr>
          <w:rFonts w:cs="Cambria"/>
          <w:color w:val="000000"/>
          <w:spacing w:val="45"/>
        </w:rPr>
        <w:t xml:space="preserve"> </w:t>
      </w: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nt</w:t>
      </w:r>
      <w:r w:rsidRPr="00AA552A">
        <w:rPr>
          <w:rFonts w:cs="Cambria"/>
          <w:color w:val="000000"/>
          <w:spacing w:val="1"/>
        </w:rPr>
        <w:t>i</w:t>
      </w:r>
      <w:r w:rsidRPr="00AA552A">
        <w:rPr>
          <w:rFonts w:cs="Cambria"/>
          <w:color w:val="000000"/>
        </w:rPr>
        <w:t>al</w:t>
      </w:r>
      <w:r w:rsidRPr="00AA552A">
        <w:rPr>
          <w:rFonts w:cs="Cambria"/>
          <w:color w:val="000000"/>
          <w:spacing w:val="-4"/>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ha</w:t>
      </w:r>
      <w:r w:rsidRPr="00AA552A">
        <w:rPr>
          <w:rFonts w:cs="Cambria"/>
          <w:color w:val="000000"/>
          <w:spacing w:val="-2"/>
        </w:rPr>
        <w:t>b</w:t>
      </w:r>
      <w:r w:rsidRPr="00AA552A">
        <w:rPr>
          <w:rFonts w:cs="Cambria"/>
          <w:color w:val="000000"/>
          <w:spacing w:val="1"/>
        </w:rPr>
        <w:t>i</w:t>
      </w:r>
      <w:r w:rsidRPr="00AA552A">
        <w:rPr>
          <w:rFonts w:cs="Cambria"/>
          <w:color w:val="000000"/>
        </w:rPr>
        <w:t>tat</w:t>
      </w:r>
      <w:r w:rsidRPr="00AA552A">
        <w:rPr>
          <w:rFonts w:cs="Cambria"/>
          <w:color w:val="000000"/>
          <w:spacing w:val="-2"/>
        </w:rPr>
        <w:t xml:space="preserve"> </w:t>
      </w:r>
      <w:r w:rsidRPr="00AA552A">
        <w:rPr>
          <w:rFonts w:cs="Cambria"/>
          <w:color w:val="000000"/>
          <w:spacing w:val="-1"/>
        </w:rPr>
        <w:t>f</w:t>
      </w:r>
      <w:r w:rsidRPr="00AA552A">
        <w:rPr>
          <w:rFonts w:cs="Cambria"/>
          <w:color w:val="000000"/>
          <w:spacing w:val="-3"/>
        </w:rPr>
        <w:t>o</w:t>
      </w:r>
      <w:r w:rsidRPr="00AA552A">
        <w:rPr>
          <w:rFonts w:cs="Cambria"/>
          <w:color w:val="000000"/>
        </w:rPr>
        <w:t>r</w:t>
      </w:r>
      <w:r w:rsidRPr="00AA552A">
        <w:rPr>
          <w:rFonts w:cs="Cambria"/>
          <w:color w:val="000000"/>
          <w:spacing w:val="-4"/>
        </w:rPr>
        <w:t xml:space="preserve"> </w:t>
      </w:r>
      <w:r w:rsidRPr="00AA552A">
        <w:rPr>
          <w:rFonts w:cs="Cambria"/>
          <w:color w:val="000000"/>
          <w:spacing w:val="1"/>
        </w:rPr>
        <w:t>Pe</w:t>
      </w:r>
      <w:r w:rsidRPr="00AA552A">
        <w:rPr>
          <w:rFonts w:cs="Cambria"/>
          <w:color w:val="000000"/>
        </w:rPr>
        <w:t>nnat</w:t>
      </w:r>
      <w:r w:rsidRPr="00AA552A">
        <w:rPr>
          <w:rFonts w:cs="Cambria"/>
          <w:color w:val="000000"/>
          <w:spacing w:val="-1"/>
        </w:rPr>
        <w:t>u</w:t>
      </w:r>
      <w:r w:rsidRPr="00AA552A">
        <w:rPr>
          <w:rFonts w:cs="Cambria"/>
          <w:color w:val="000000"/>
        </w:rPr>
        <w:t>lac</w:t>
      </w:r>
      <w:r w:rsidRPr="00AA552A">
        <w:rPr>
          <w:rFonts w:cs="Cambria"/>
          <w:color w:val="000000"/>
          <w:spacing w:val="1"/>
        </w:rPr>
        <w:t>e</w:t>
      </w:r>
      <w:r w:rsidRPr="00AA552A">
        <w:rPr>
          <w:rFonts w:cs="Cambria"/>
          <w:color w:val="000000"/>
        </w:rPr>
        <w:t>a</w:t>
      </w:r>
      <w:r w:rsidRPr="00AA552A">
        <w:rPr>
          <w:rFonts w:cs="Cambria"/>
          <w:color w:val="000000"/>
          <w:spacing w:val="-5"/>
        </w:rPr>
        <w:t xml:space="preserve"> </w:t>
      </w:r>
      <w:r w:rsidRPr="00AA552A">
        <w:rPr>
          <w:rFonts w:cs="Cambria"/>
          <w:color w:val="000000"/>
        </w:rPr>
        <w:t>(s</w:t>
      </w:r>
      <w:r w:rsidRPr="00AA552A">
        <w:rPr>
          <w:rFonts w:cs="Cambria"/>
          <w:color w:val="000000"/>
          <w:spacing w:val="1"/>
        </w:rPr>
        <w:t>e</w:t>
      </w:r>
      <w:r w:rsidRPr="00AA552A">
        <w:rPr>
          <w:rFonts w:cs="Cambria"/>
          <w:color w:val="000000"/>
        </w:rPr>
        <w:t>a</w:t>
      </w:r>
      <w:r w:rsidRPr="00AA552A">
        <w:rPr>
          <w:rFonts w:cs="Cambria"/>
          <w:color w:val="000000"/>
          <w:spacing w:val="-3"/>
        </w:rPr>
        <w:t xml:space="preserve"> </w:t>
      </w:r>
      <w:r w:rsidRPr="00AA552A">
        <w:rPr>
          <w:rFonts w:cs="Cambria"/>
          <w:color w:val="000000"/>
          <w:spacing w:val="-1"/>
        </w:rPr>
        <w:t>p</w:t>
      </w:r>
      <w:r w:rsidRPr="00AA552A">
        <w:rPr>
          <w:rFonts w:cs="Cambria"/>
          <w:color w:val="000000"/>
          <w:spacing w:val="1"/>
        </w:rPr>
        <w:t>e</w:t>
      </w:r>
      <w:r w:rsidRPr="00AA552A">
        <w:rPr>
          <w:rFonts w:cs="Cambria"/>
          <w:color w:val="000000"/>
          <w:spacing w:val="-2"/>
        </w:rPr>
        <w:t>n</w:t>
      </w:r>
      <w:r w:rsidRPr="00AA552A">
        <w:rPr>
          <w:rFonts w:cs="Cambria"/>
          <w:color w:val="000000"/>
        </w:rPr>
        <w:t>s</w:t>
      </w:r>
      <w:r w:rsidRPr="00AA552A">
        <w:rPr>
          <w:rFonts w:cs="Cambria"/>
          <w:color w:val="000000"/>
          <w:spacing w:val="-2"/>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s</w:t>
      </w:r>
      <w:r w:rsidRPr="00AA552A">
        <w:rPr>
          <w:rFonts w:cs="Cambria"/>
          <w:color w:val="000000"/>
          <w:spacing w:val="1"/>
        </w:rPr>
        <w:t>e</w:t>
      </w:r>
      <w:r w:rsidRPr="00AA552A">
        <w:rPr>
          <w:rFonts w:cs="Cambria"/>
          <w:color w:val="000000"/>
        </w:rPr>
        <w:t>a</w:t>
      </w:r>
      <w:r w:rsidRPr="00AA552A">
        <w:rPr>
          <w:rFonts w:cs="Cambria"/>
          <w:color w:val="000000"/>
          <w:spacing w:val="-2"/>
        </w:rPr>
        <w:t xml:space="preserve"> </w:t>
      </w:r>
      <w:r w:rsidRPr="00AA552A">
        <w:rPr>
          <w:rFonts w:cs="Cambria"/>
          <w:color w:val="000000"/>
          <w:spacing w:val="1"/>
        </w:rPr>
        <w:t>p</w:t>
      </w:r>
      <w:r w:rsidRPr="00AA552A">
        <w:rPr>
          <w:rFonts w:cs="Cambria"/>
          <w:color w:val="000000"/>
        </w:rPr>
        <w:t>ans</w:t>
      </w:r>
      <w:r w:rsidRPr="00AA552A">
        <w:rPr>
          <w:rFonts w:cs="Cambria"/>
          <w:color w:val="000000"/>
          <w:spacing w:val="1"/>
        </w:rPr>
        <w:t>ie</w:t>
      </w:r>
      <w:r w:rsidRPr="00AA552A">
        <w:rPr>
          <w:rFonts w:cs="Cambria"/>
          <w:color w:val="000000"/>
        </w:rPr>
        <w:t>s)</w:t>
      </w:r>
      <w:r w:rsidRPr="00AA552A">
        <w:rPr>
          <w:rFonts w:cs="Cambria"/>
          <w:color w:val="000000"/>
          <w:spacing w:val="-5"/>
        </w:rPr>
        <w:t xml:space="preserve"> </w:t>
      </w:r>
      <w:r w:rsidRPr="00AA552A">
        <w:rPr>
          <w:rFonts w:cs="Cambria"/>
          <w:color w:val="000000"/>
          <w:spacing w:val="-2"/>
        </w:rPr>
        <w:t>i</w:t>
      </w:r>
      <w:r w:rsidRPr="00AA552A">
        <w:rPr>
          <w:rFonts w:cs="Cambria"/>
          <w:color w:val="000000"/>
        </w:rPr>
        <w:t>ncl</w:t>
      </w:r>
      <w:r w:rsidRPr="00AA552A">
        <w:rPr>
          <w:rFonts w:cs="Cambria"/>
          <w:color w:val="000000"/>
          <w:spacing w:val="-1"/>
        </w:rPr>
        <w:t>ud</w:t>
      </w:r>
      <w:r w:rsidRPr="00AA552A">
        <w:rPr>
          <w:rFonts w:cs="Cambria"/>
          <w:color w:val="000000"/>
          <w:spacing w:val="1"/>
        </w:rPr>
        <w:t>e</w:t>
      </w:r>
      <w:r w:rsidRPr="00AA552A">
        <w:rPr>
          <w:rFonts w:cs="Cambria"/>
          <w:color w:val="000000"/>
        </w:rPr>
        <w:t>s</w:t>
      </w:r>
      <w:r w:rsidRPr="00AA552A">
        <w:rPr>
          <w:rFonts w:cs="Cambria"/>
          <w:color w:val="000000"/>
          <w:spacing w:val="-5"/>
        </w:rPr>
        <w:t xml:space="preserve"> </w:t>
      </w:r>
      <w:r w:rsidRPr="00AA552A">
        <w:rPr>
          <w:rFonts w:cs="Cambria"/>
          <w:color w:val="000000"/>
        </w:rPr>
        <w:t>m</w:t>
      </w:r>
      <w:r w:rsidRPr="00AA552A">
        <w:rPr>
          <w:rFonts w:cs="Cambria"/>
          <w:color w:val="000000"/>
          <w:spacing w:val="-1"/>
        </w:rPr>
        <w:t>u</w:t>
      </w:r>
      <w:r w:rsidRPr="00AA552A">
        <w:rPr>
          <w:rFonts w:cs="Cambria"/>
          <w:color w:val="000000"/>
          <w:spacing w:val="1"/>
        </w:rPr>
        <w:t>d</w:t>
      </w:r>
      <w:r w:rsidRPr="00AA552A">
        <w:rPr>
          <w:rFonts w:cs="Cambria"/>
          <w:color w:val="000000"/>
          <w:spacing w:val="-1"/>
        </w:rPr>
        <w:t>dy</w:t>
      </w:r>
      <w:r w:rsidRPr="00AA552A">
        <w:rPr>
          <w:rFonts w:cs="Cambria"/>
          <w:color w:val="000000"/>
        </w:rPr>
        <w:t>,</w:t>
      </w:r>
      <w:r w:rsidRPr="00AA552A">
        <w:rPr>
          <w:rFonts w:cs="Cambria"/>
          <w:color w:val="000000"/>
          <w:spacing w:val="-3"/>
        </w:rPr>
        <w:t xml:space="preserve"> </w:t>
      </w:r>
      <w:r w:rsidRPr="00AA552A">
        <w:rPr>
          <w:rFonts w:cs="Cambria"/>
          <w:color w:val="000000"/>
        </w:rPr>
        <w:t>s</w:t>
      </w:r>
      <w:r w:rsidRPr="00AA552A">
        <w:rPr>
          <w:rFonts w:cs="Cambria"/>
          <w:color w:val="000000"/>
          <w:spacing w:val="1"/>
        </w:rPr>
        <w:t>i</w:t>
      </w:r>
      <w:r w:rsidRPr="00AA552A">
        <w:rPr>
          <w:rFonts w:cs="Cambria"/>
          <w:color w:val="000000"/>
        </w:rPr>
        <w:t xml:space="preserve">lty </w:t>
      </w:r>
      <w:r w:rsidRPr="00AA552A">
        <w:rPr>
          <w:rFonts w:cs="Cambria"/>
          <w:color w:val="000000"/>
          <w:spacing w:val="1"/>
        </w:rPr>
        <w:t>b</w:t>
      </w:r>
      <w:r w:rsidRPr="00AA552A">
        <w:rPr>
          <w:rFonts w:cs="Cambria"/>
          <w:color w:val="000000"/>
        </w:rPr>
        <w:t>ottoms</w:t>
      </w:r>
      <w:r w:rsidRPr="00AA552A">
        <w:rPr>
          <w:rFonts w:cs="Cambria"/>
          <w:color w:val="000000"/>
          <w:spacing w:val="-4"/>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s</w:t>
      </w:r>
      <w:r w:rsidRPr="00AA552A">
        <w:rPr>
          <w:rFonts w:cs="Cambria"/>
          <w:color w:val="000000"/>
          <w:spacing w:val="-1"/>
        </w:rPr>
        <w:t>u</w:t>
      </w:r>
      <w:r w:rsidRPr="00AA552A">
        <w:rPr>
          <w:rFonts w:cs="Cambria"/>
          <w:color w:val="000000"/>
          <w:spacing w:val="1"/>
        </w:rPr>
        <w:t>b</w:t>
      </w:r>
      <w:r w:rsidRPr="00AA552A">
        <w:rPr>
          <w:rFonts w:cs="Cambria"/>
          <w:color w:val="000000"/>
        </w:rPr>
        <w:t>t</w:t>
      </w:r>
      <w:r w:rsidRPr="00AA552A">
        <w:rPr>
          <w:rFonts w:cs="Cambria"/>
          <w:color w:val="000000"/>
          <w:spacing w:val="1"/>
        </w:rPr>
        <w:t>i</w:t>
      </w:r>
      <w:r w:rsidRPr="00AA552A">
        <w:rPr>
          <w:rFonts w:cs="Cambria"/>
          <w:color w:val="000000"/>
          <w:spacing w:val="-1"/>
        </w:rPr>
        <w:t>d</w:t>
      </w:r>
      <w:r w:rsidRPr="00AA552A">
        <w:rPr>
          <w:rFonts w:cs="Cambria"/>
          <w:color w:val="000000"/>
        </w:rPr>
        <w:t>al</w:t>
      </w:r>
      <w:r w:rsidRPr="00AA552A">
        <w:rPr>
          <w:rFonts w:cs="Cambria"/>
          <w:color w:val="000000"/>
          <w:spacing w:val="-3"/>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spacing w:val="-3"/>
        </w:rPr>
        <w:t>o</w:t>
      </w:r>
      <w:r w:rsidRPr="00AA552A">
        <w:rPr>
          <w:rFonts w:cs="Cambria"/>
          <w:color w:val="000000"/>
          <w:spacing w:val="-1"/>
        </w:rPr>
        <w:t>u</w:t>
      </w:r>
      <w:r w:rsidRPr="00AA552A">
        <w:rPr>
          <w:rFonts w:cs="Cambria"/>
          <w:color w:val="000000"/>
        </w:rPr>
        <w:t>t</w:t>
      </w:r>
      <w:r w:rsidRPr="00AA552A">
        <w:rPr>
          <w:rFonts w:cs="Cambria"/>
          <w:color w:val="000000"/>
          <w:spacing w:val="1"/>
        </w:rPr>
        <w:t>e</w:t>
      </w:r>
      <w:r w:rsidRPr="00AA552A">
        <w:rPr>
          <w:rFonts w:cs="Cambria"/>
          <w:color w:val="000000"/>
        </w:rPr>
        <w:t>r</w:t>
      </w:r>
      <w:r w:rsidRPr="00AA552A">
        <w:rPr>
          <w:rFonts w:cs="Cambria"/>
          <w:color w:val="000000"/>
          <w:spacing w:val="-4"/>
        </w:rPr>
        <w:t xml:space="preserve"> </w:t>
      </w:r>
      <w:r w:rsidRPr="00AA552A">
        <w:rPr>
          <w:rFonts w:cs="Cambria"/>
          <w:color w:val="000000"/>
        </w:rPr>
        <w:t>sh</w:t>
      </w:r>
      <w:r w:rsidRPr="00AA552A">
        <w:rPr>
          <w:rFonts w:cs="Cambria"/>
          <w:color w:val="000000"/>
          <w:spacing w:val="1"/>
        </w:rPr>
        <w:t>e</w:t>
      </w:r>
      <w:r w:rsidRPr="00AA552A">
        <w:rPr>
          <w:rFonts w:cs="Cambria"/>
          <w:color w:val="000000"/>
        </w:rPr>
        <w:t>lf</w:t>
      </w:r>
      <w:r w:rsidRPr="00AA552A">
        <w:rPr>
          <w:rFonts w:cs="Cambria"/>
          <w:color w:val="000000"/>
          <w:spacing w:val="-5"/>
        </w:rPr>
        <w:t xml:space="preserve"> </w:t>
      </w:r>
      <w:r w:rsidRPr="00AA552A">
        <w:rPr>
          <w:rFonts w:cs="Cambria"/>
          <w:color w:val="000000"/>
          <w:spacing w:val="-1"/>
        </w:rPr>
        <w:t>d</w:t>
      </w:r>
      <w:r w:rsidRPr="00AA552A">
        <w:rPr>
          <w:rFonts w:cs="Cambria"/>
          <w:color w:val="000000"/>
          <w:spacing w:val="1"/>
        </w:rPr>
        <w:t>ep</w:t>
      </w:r>
      <w:r w:rsidRPr="00AA552A">
        <w:rPr>
          <w:rFonts w:cs="Cambria"/>
          <w:color w:val="000000"/>
        </w:rPr>
        <w:t>ths</w:t>
      </w:r>
      <w:r w:rsidRPr="00AA552A">
        <w:rPr>
          <w:rFonts w:cs="Cambria"/>
          <w:color w:val="000000"/>
          <w:spacing w:val="-5"/>
        </w:rPr>
        <w:t xml:space="preserve"> </w:t>
      </w:r>
      <w:r w:rsidRPr="00AA552A">
        <w:rPr>
          <w:rFonts w:cs="Cambria"/>
          <w:color w:val="000000"/>
          <w:spacing w:val="-1"/>
        </w:rPr>
        <w:t>w</w:t>
      </w:r>
      <w:r w:rsidRPr="00AA552A">
        <w:rPr>
          <w:rFonts w:cs="Cambria"/>
          <w:color w:val="000000"/>
          <w:spacing w:val="1"/>
        </w:rPr>
        <w:t>i</w:t>
      </w:r>
      <w:r w:rsidRPr="00AA552A">
        <w:rPr>
          <w:rFonts w:cs="Cambria"/>
          <w:color w:val="000000"/>
        </w:rPr>
        <w:t>th</w:t>
      </w:r>
      <w:r w:rsidRPr="00AA552A">
        <w:rPr>
          <w:rFonts w:cs="Cambria"/>
          <w:color w:val="000000"/>
          <w:spacing w:val="1"/>
        </w:rPr>
        <w:t>i</w:t>
      </w:r>
      <w:r w:rsidRPr="00AA552A">
        <w:rPr>
          <w:rFonts w:cs="Cambria"/>
          <w:color w:val="000000"/>
        </w:rPr>
        <w:t>n</w:t>
      </w:r>
      <w:r w:rsidRPr="00AA552A">
        <w:rPr>
          <w:rFonts w:cs="Cambria"/>
          <w:color w:val="000000"/>
          <w:spacing w:val="-3"/>
        </w:rPr>
        <w:t xml:space="preserve"> </w:t>
      </w:r>
      <w:r w:rsidRPr="00AA552A">
        <w:rPr>
          <w:rFonts w:cs="Cambria"/>
          <w:color w:val="000000"/>
        </w:rPr>
        <w:t xml:space="preserve">a </w:t>
      </w:r>
      <w:r w:rsidRPr="00AA552A">
        <w:rPr>
          <w:rFonts w:cs="Cambria"/>
          <w:color w:val="000000"/>
          <w:spacing w:val="-1"/>
        </w:rPr>
        <w:t>w</w:t>
      </w:r>
      <w:r w:rsidRPr="00AA552A">
        <w:rPr>
          <w:rFonts w:cs="Cambria"/>
          <w:color w:val="000000"/>
          <w:spacing w:val="1"/>
        </w:rPr>
        <w:t>i</w:t>
      </w:r>
      <w:r w:rsidRPr="00AA552A">
        <w:rPr>
          <w:rFonts w:cs="Cambria"/>
          <w:color w:val="000000"/>
          <w:spacing w:val="-1"/>
        </w:rPr>
        <w:t>d</w:t>
      </w:r>
      <w:r w:rsidRPr="00AA552A">
        <w:rPr>
          <w:rFonts w:cs="Cambria"/>
          <w:color w:val="000000"/>
        </w:rPr>
        <w:t>e</w:t>
      </w:r>
      <w:r w:rsidRPr="00AA552A">
        <w:rPr>
          <w:rFonts w:cs="Cambria"/>
          <w:color w:val="000000"/>
          <w:spacing w:val="-2"/>
        </w:rPr>
        <w:t xml:space="preserve"> </w:t>
      </w:r>
      <w:r w:rsidRPr="00AA552A">
        <w:rPr>
          <w:rFonts w:cs="Cambria"/>
          <w:color w:val="000000"/>
          <w:spacing w:val="-1"/>
        </w:rPr>
        <w:t>r</w:t>
      </w:r>
      <w:r w:rsidRPr="00AA552A">
        <w:rPr>
          <w:rFonts w:cs="Cambria"/>
          <w:color w:val="000000"/>
        </w:rPr>
        <w:t>an</w:t>
      </w:r>
      <w:r w:rsidRPr="00AA552A">
        <w:rPr>
          <w:rFonts w:cs="Cambria"/>
          <w:color w:val="000000"/>
          <w:spacing w:val="-1"/>
        </w:rPr>
        <w:t>g</w:t>
      </w:r>
      <w:r w:rsidRPr="00AA552A">
        <w:rPr>
          <w:rFonts w:cs="Cambria"/>
          <w:color w:val="000000"/>
        </w:rPr>
        <w:t>e</w:t>
      </w:r>
      <w:r w:rsidRPr="00AA552A">
        <w:rPr>
          <w:rFonts w:cs="Cambria"/>
          <w:color w:val="000000"/>
          <w:spacing w:val="-1"/>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sal</w:t>
      </w:r>
      <w:r w:rsidRPr="00AA552A">
        <w:rPr>
          <w:rFonts w:cs="Cambria"/>
          <w:color w:val="000000"/>
          <w:spacing w:val="1"/>
        </w:rPr>
        <w:t>i</w:t>
      </w:r>
      <w:r w:rsidRPr="00AA552A">
        <w:rPr>
          <w:rFonts w:cs="Cambria"/>
          <w:color w:val="000000"/>
        </w:rPr>
        <w:t>n</w:t>
      </w:r>
      <w:r w:rsidRPr="00AA552A">
        <w:rPr>
          <w:rFonts w:cs="Cambria"/>
          <w:color w:val="000000"/>
          <w:spacing w:val="1"/>
        </w:rPr>
        <w:t>i</w:t>
      </w:r>
      <w:r w:rsidRPr="00AA552A">
        <w:rPr>
          <w:rFonts w:cs="Cambria"/>
          <w:color w:val="000000"/>
        </w:rPr>
        <w:t>ty</w:t>
      </w:r>
      <w:r w:rsidRPr="00AA552A">
        <w:rPr>
          <w:rFonts w:cs="Cambria"/>
          <w:color w:val="000000"/>
          <w:spacing w:val="-3"/>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l</w:t>
      </w:r>
      <w:r w:rsidRPr="00AA552A">
        <w:rPr>
          <w:rFonts w:cs="Cambria"/>
          <w:color w:val="000000"/>
          <w:spacing w:val="1"/>
        </w:rPr>
        <w:t>i</w:t>
      </w:r>
      <w:r w:rsidRPr="00AA552A">
        <w:rPr>
          <w:rFonts w:cs="Cambria"/>
          <w:color w:val="000000"/>
          <w:spacing w:val="-1"/>
        </w:rPr>
        <w:t>g</w:t>
      </w:r>
      <w:r w:rsidRPr="00AA552A">
        <w:rPr>
          <w:rFonts w:cs="Cambria"/>
          <w:color w:val="000000"/>
        </w:rPr>
        <w:t>ht</w:t>
      </w:r>
      <w:r w:rsidRPr="00AA552A">
        <w:rPr>
          <w:rFonts w:cs="Cambria"/>
          <w:color w:val="000000"/>
          <w:spacing w:val="-2"/>
        </w:rPr>
        <w:t xml:space="preserve"> </w:t>
      </w:r>
      <w:r w:rsidRPr="00AA552A">
        <w:rPr>
          <w:rFonts w:cs="Cambria"/>
          <w:color w:val="000000"/>
          <w:spacing w:val="1"/>
        </w:rPr>
        <w:t>pe</w:t>
      </w:r>
      <w:r w:rsidRPr="00AA552A">
        <w:rPr>
          <w:rFonts w:cs="Cambria"/>
          <w:color w:val="000000"/>
        </w:rPr>
        <w:t>n</w:t>
      </w:r>
      <w:r w:rsidRPr="00AA552A">
        <w:rPr>
          <w:rFonts w:cs="Cambria"/>
          <w:color w:val="000000"/>
          <w:spacing w:val="1"/>
        </w:rPr>
        <w:t>e</w:t>
      </w:r>
      <w:r w:rsidRPr="00AA552A">
        <w:rPr>
          <w:rFonts w:cs="Cambria"/>
          <w:color w:val="000000"/>
        </w:rPr>
        <w:t>t</w:t>
      </w:r>
      <w:r w:rsidRPr="00AA552A">
        <w:rPr>
          <w:rFonts w:cs="Cambria"/>
          <w:color w:val="000000"/>
          <w:spacing w:val="-1"/>
        </w:rPr>
        <w:t>r</w:t>
      </w:r>
      <w:r w:rsidRPr="00AA552A">
        <w:rPr>
          <w:rFonts w:cs="Cambria"/>
          <w:color w:val="000000"/>
        </w:rPr>
        <w:t>at</w:t>
      </w:r>
      <w:r w:rsidRPr="00AA552A">
        <w:rPr>
          <w:rFonts w:cs="Cambria"/>
          <w:color w:val="000000"/>
          <w:spacing w:val="1"/>
        </w:rPr>
        <w:t>i</w:t>
      </w:r>
      <w:r w:rsidRPr="00AA552A">
        <w:rPr>
          <w:rFonts w:cs="Cambria"/>
          <w:color w:val="000000"/>
        </w:rPr>
        <w:t>on.</w:t>
      </w:r>
    </w:p>
    <w:p w14:paraId="4B8ACB84" w14:textId="77777777" w:rsidR="00DC4922" w:rsidRPr="00AA552A" w:rsidRDefault="00DC4922" w:rsidP="00DC4922">
      <w:pPr>
        <w:rPr>
          <w:rFonts w:cs="Cambria"/>
          <w:color w:val="000000"/>
          <w:sz w:val="26"/>
        </w:rPr>
      </w:pPr>
    </w:p>
    <w:p w14:paraId="26AE5627" w14:textId="77777777" w:rsidR="00DC4922" w:rsidRPr="00AA552A" w:rsidRDefault="00DC4922" w:rsidP="00640526">
      <w:pPr>
        <w:ind w:firstLine="360"/>
        <w:rPr>
          <w:rFonts w:cs="Cambria"/>
          <w:color w:val="000000"/>
        </w:rPr>
      </w:pPr>
      <w:r w:rsidRPr="00AA552A">
        <w:rPr>
          <w:rFonts w:cs="Cambria"/>
          <w:color w:val="000000"/>
          <w:spacing w:val="-1"/>
        </w:rPr>
        <w:t>Ar</w:t>
      </w:r>
      <w:r w:rsidRPr="00AA552A">
        <w:rPr>
          <w:rFonts w:cs="Cambria"/>
          <w:color w:val="000000"/>
          <w:spacing w:val="1"/>
        </w:rPr>
        <w:t>e</w:t>
      </w:r>
      <w:r w:rsidRPr="00AA552A">
        <w:rPr>
          <w:rFonts w:cs="Cambria"/>
          <w:color w:val="000000"/>
        </w:rPr>
        <w:t>as</w:t>
      </w:r>
      <w:r w:rsidRPr="00AA552A">
        <w:rPr>
          <w:rFonts w:cs="Cambria"/>
          <w:color w:val="000000"/>
          <w:spacing w:val="-3"/>
        </w:rPr>
        <w:t xml:space="preserve"> </w:t>
      </w:r>
      <w:r w:rsidRPr="00AA552A">
        <w:rPr>
          <w:rFonts w:cs="Cambria"/>
          <w:color w:val="000000"/>
          <w:spacing w:val="-1"/>
        </w:rPr>
        <w:t>w</w:t>
      </w:r>
      <w:r w:rsidRPr="00AA552A">
        <w:rPr>
          <w:rFonts w:cs="Cambria"/>
          <w:color w:val="000000"/>
        </w:rPr>
        <w:t>h</w:t>
      </w:r>
      <w:r w:rsidRPr="00AA552A">
        <w:rPr>
          <w:rFonts w:cs="Cambria"/>
          <w:color w:val="000000"/>
          <w:spacing w:val="1"/>
        </w:rPr>
        <w:t>i</w:t>
      </w:r>
      <w:r w:rsidRPr="00AA552A">
        <w:rPr>
          <w:rFonts w:cs="Cambria"/>
          <w:color w:val="000000"/>
        </w:rPr>
        <w:t>ch</w:t>
      </w:r>
      <w:r w:rsidRPr="00AA552A">
        <w:rPr>
          <w:rFonts w:cs="Cambria"/>
          <w:color w:val="000000"/>
          <w:spacing w:val="-4"/>
        </w:rPr>
        <w:t xml:space="preserve"> </w:t>
      </w:r>
      <w:r w:rsidRPr="00AA552A">
        <w:rPr>
          <w:rFonts w:cs="Cambria"/>
          <w:color w:val="000000"/>
        </w:rPr>
        <w:t>m</w:t>
      </w:r>
      <w:r w:rsidRPr="00AA552A">
        <w:rPr>
          <w:rFonts w:cs="Cambria"/>
          <w:color w:val="000000"/>
          <w:spacing w:val="1"/>
        </w:rPr>
        <w:t>ee</w:t>
      </w:r>
      <w:r w:rsidRPr="00AA552A">
        <w:rPr>
          <w:rFonts w:cs="Cambria"/>
          <w:color w:val="000000"/>
        </w:rPr>
        <w:t>t</w:t>
      </w:r>
      <w:r w:rsidRPr="00AA552A">
        <w:rPr>
          <w:rFonts w:cs="Cambria"/>
          <w:color w:val="000000"/>
          <w:spacing w:val="-2"/>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2"/>
        </w:rPr>
        <w:t>c</w:t>
      </w:r>
      <w:r w:rsidRPr="00AA552A">
        <w:rPr>
          <w:rFonts w:cs="Cambria"/>
          <w:color w:val="000000"/>
          <w:spacing w:val="-1"/>
        </w:rPr>
        <w:t>r</w:t>
      </w:r>
      <w:r w:rsidRPr="00AA552A">
        <w:rPr>
          <w:rFonts w:cs="Cambria"/>
          <w:color w:val="000000"/>
          <w:spacing w:val="1"/>
        </w:rPr>
        <w:t>i</w:t>
      </w:r>
      <w:r w:rsidRPr="00AA552A">
        <w:rPr>
          <w:rFonts w:cs="Cambria"/>
          <w:color w:val="000000"/>
        </w:rPr>
        <w:t>t</w:t>
      </w:r>
      <w:r w:rsidRPr="00AA552A">
        <w:rPr>
          <w:rFonts w:cs="Cambria"/>
          <w:color w:val="000000"/>
          <w:spacing w:val="1"/>
        </w:rPr>
        <w:t>e</w:t>
      </w:r>
      <w:r w:rsidRPr="00AA552A">
        <w:rPr>
          <w:rFonts w:cs="Cambria"/>
          <w:color w:val="000000"/>
          <w:spacing w:val="-1"/>
        </w:rPr>
        <w:t>r</w:t>
      </w:r>
      <w:r w:rsidRPr="00AA552A">
        <w:rPr>
          <w:rFonts w:cs="Cambria"/>
          <w:color w:val="000000"/>
          <w:spacing w:val="1"/>
        </w:rPr>
        <w:t>i</w:t>
      </w:r>
      <w:r w:rsidRPr="00AA552A">
        <w:rPr>
          <w:rFonts w:cs="Cambria"/>
          <w:color w:val="000000"/>
        </w:rPr>
        <w:t>a</w:t>
      </w:r>
      <w:r w:rsidRPr="00AA552A">
        <w:rPr>
          <w:rFonts w:cs="Cambria"/>
          <w:color w:val="000000"/>
          <w:spacing w:val="-6"/>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spacing w:val="1"/>
        </w:rPr>
        <w:t>EFH</w:t>
      </w:r>
      <w:r w:rsidRPr="00AA552A">
        <w:rPr>
          <w:rFonts w:cs="Cambria"/>
          <w:color w:val="000000"/>
        </w:rPr>
        <w:t>-</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s</w:t>
      </w:r>
      <w:r w:rsidRPr="00AA552A">
        <w:rPr>
          <w:rFonts w:cs="Cambria"/>
          <w:color w:val="000000"/>
          <w:spacing w:val="-8"/>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rPr>
        <w:t>co</w:t>
      </w:r>
      <w:r w:rsidRPr="00AA552A">
        <w:rPr>
          <w:rFonts w:cs="Cambria"/>
          <w:color w:val="000000"/>
          <w:spacing w:val="-1"/>
        </w:rPr>
        <w:t>r</w:t>
      </w:r>
      <w:r w:rsidRPr="00AA552A">
        <w:rPr>
          <w:rFonts w:cs="Cambria"/>
          <w:color w:val="000000"/>
        </w:rPr>
        <w:t>al,</w:t>
      </w:r>
      <w:r w:rsidRPr="00AA552A">
        <w:rPr>
          <w:rFonts w:cs="Cambria"/>
          <w:color w:val="000000"/>
          <w:spacing w:val="-2"/>
        </w:rPr>
        <w:t xml:space="preserve"> </w:t>
      </w:r>
      <w:r w:rsidRPr="00AA552A">
        <w:rPr>
          <w:rFonts w:cs="Cambria"/>
          <w:color w:val="000000"/>
        </w:rPr>
        <w:t>co</w:t>
      </w:r>
      <w:r w:rsidRPr="00AA552A">
        <w:rPr>
          <w:rFonts w:cs="Cambria"/>
          <w:color w:val="000000"/>
          <w:spacing w:val="-1"/>
        </w:rPr>
        <w:t>r</w:t>
      </w:r>
      <w:r w:rsidRPr="00AA552A">
        <w:rPr>
          <w:rFonts w:cs="Cambria"/>
          <w:color w:val="000000"/>
        </w:rPr>
        <w:t>al</w:t>
      </w:r>
      <w:r w:rsidRPr="00AA552A">
        <w:rPr>
          <w:rFonts w:cs="Cambria"/>
          <w:color w:val="000000"/>
          <w:spacing w:val="-3"/>
        </w:rPr>
        <w:t xml:space="preserve"> </w:t>
      </w:r>
      <w:r w:rsidRPr="00AA552A">
        <w:rPr>
          <w:rFonts w:cs="Cambria"/>
          <w:color w:val="000000"/>
          <w:spacing w:val="-1"/>
        </w:rPr>
        <w:t>r</w:t>
      </w:r>
      <w:r w:rsidRPr="00AA552A">
        <w:rPr>
          <w:rFonts w:cs="Cambria"/>
          <w:color w:val="000000"/>
          <w:spacing w:val="1"/>
        </w:rPr>
        <w:t>ee</w:t>
      </w:r>
      <w:r w:rsidRPr="00AA552A">
        <w:rPr>
          <w:rFonts w:cs="Cambria"/>
          <w:color w:val="000000"/>
          <w:spacing w:val="-1"/>
        </w:rPr>
        <w:t>f</w:t>
      </w:r>
      <w:r w:rsidRPr="00AA552A">
        <w:rPr>
          <w:rFonts w:cs="Cambria"/>
          <w:color w:val="000000"/>
        </w:rPr>
        <w:t>s,</w:t>
      </w:r>
      <w:r w:rsidRPr="00AA552A">
        <w:rPr>
          <w:rFonts w:cs="Cambria"/>
          <w:color w:val="000000"/>
          <w:spacing w:val="-4"/>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l</w:t>
      </w:r>
      <w:r w:rsidRPr="00AA552A">
        <w:rPr>
          <w:rFonts w:cs="Cambria"/>
          <w:color w:val="000000"/>
          <w:spacing w:val="1"/>
        </w:rPr>
        <w:t>i</w:t>
      </w:r>
      <w:r w:rsidRPr="00AA552A">
        <w:rPr>
          <w:rFonts w:cs="Cambria"/>
          <w:color w:val="000000"/>
          <w:spacing w:val="-1"/>
        </w:rPr>
        <w:t>v</w:t>
      </w:r>
      <w:r w:rsidRPr="00AA552A">
        <w:rPr>
          <w:rFonts w:cs="Cambria"/>
          <w:color w:val="000000"/>
          <w:spacing w:val="1"/>
        </w:rPr>
        <w:t>e</w:t>
      </w:r>
      <w:r w:rsidRPr="00AA552A">
        <w:rPr>
          <w:rFonts w:cs="Cambria"/>
          <w:color w:val="000000"/>
        </w:rPr>
        <w:t>/ha</w:t>
      </w:r>
      <w:r w:rsidRPr="00AA552A">
        <w:rPr>
          <w:rFonts w:cs="Cambria"/>
          <w:color w:val="000000"/>
          <w:spacing w:val="-1"/>
        </w:rPr>
        <w:t>r</w:t>
      </w:r>
      <w:r w:rsidRPr="00AA552A">
        <w:rPr>
          <w:rFonts w:cs="Cambria"/>
          <w:color w:val="000000"/>
        </w:rPr>
        <w:t>d</w:t>
      </w:r>
      <w:r w:rsidRPr="00AA552A">
        <w:rPr>
          <w:rFonts w:cs="Cambria"/>
          <w:color w:val="000000"/>
          <w:spacing w:val="-4"/>
        </w:rPr>
        <w:t xml:space="preserve"> </w:t>
      </w:r>
      <w:r w:rsidRPr="00AA552A">
        <w:rPr>
          <w:rFonts w:cs="Cambria"/>
          <w:color w:val="000000"/>
          <w:spacing w:val="1"/>
        </w:rPr>
        <w:t>b</w:t>
      </w:r>
      <w:r w:rsidRPr="00AA552A">
        <w:rPr>
          <w:rFonts w:cs="Cambria"/>
          <w:color w:val="000000"/>
        </w:rPr>
        <w:t xml:space="preserve">ottom </w:t>
      </w:r>
      <w:r w:rsidRPr="00AA552A">
        <w:rPr>
          <w:rFonts w:cs="Cambria"/>
          <w:color w:val="000000"/>
          <w:spacing w:val="1"/>
        </w:rPr>
        <w:t>i</w:t>
      </w:r>
      <w:r w:rsidRPr="00AA552A">
        <w:rPr>
          <w:rFonts w:cs="Cambria"/>
          <w:color w:val="000000"/>
        </w:rPr>
        <w:t>ncl</w:t>
      </w:r>
      <w:r w:rsidRPr="00AA552A">
        <w:rPr>
          <w:rFonts w:cs="Cambria"/>
          <w:color w:val="000000"/>
          <w:spacing w:val="-1"/>
        </w:rPr>
        <w:t>ud</w:t>
      </w:r>
      <w:r w:rsidRPr="00AA552A">
        <w:rPr>
          <w:rFonts w:cs="Cambria"/>
          <w:color w:val="000000"/>
          <w:spacing w:val="1"/>
        </w:rPr>
        <w:t>e</w:t>
      </w:r>
      <w:r w:rsidRPr="00AA552A">
        <w:rPr>
          <w:rFonts w:cs="Cambria"/>
          <w:color w:val="000000"/>
        </w:rPr>
        <w:t>:</w:t>
      </w:r>
      <w:r w:rsidRPr="00AA552A">
        <w:rPr>
          <w:rFonts w:cs="Cambria"/>
          <w:color w:val="000000"/>
          <w:spacing w:val="-6"/>
        </w:rPr>
        <w:t xml:space="preserve"> </w:t>
      </w:r>
      <w:r w:rsidRPr="00AA552A">
        <w:rPr>
          <w:rFonts w:cs="Cambria"/>
          <w:color w:val="000000"/>
          <w:spacing w:val="-1"/>
        </w:rPr>
        <w:t>T</w:t>
      </w:r>
      <w:r w:rsidRPr="00AA552A">
        <w:rPr>
          <w:rFonts w:cs="Cambria"/>
          <w:color w:val="000000"/>
        </w:rPr>
        <w:t>he</w:t>
      </w:r>
      <w:r w:rsidRPr="00AA552A">
        <w:rPr>
          <w:rFonts w:cs="Cambria"/>
          <w:color w:val="000000"/>
          <w:spacing w:val="-3"/>
        </w:rPr>
        <w:t xml:space="preserve"> </w:t>
      </w:r>
      <w:r w:rsidRPr="00AA552A">
        <w:rPr>
          <w:rFonts w:cs="Cambria"/>
          <w:color w:val="000000"/>
          <w:spacing w:val="2"/>
        </w:rPr>
        <w:t>1</w:t>
      </w:r>
      <w:r w:rsidRPr="00AA552A">
        <w:rPr>
          <w:rFonts w:cs="Cambria"/>
          <w:color w:val="000000"/>
          <w:spacing w:val="-1"/>
        </w:rPr>
        <w:t>0</w:t>
      </w:r>
      <w:r w:rsidRPr="00AA552A">
        <w:rPr>
          <w:rFonts w:cs="Cambria"/>
          <w:color w:val="000000"/>
        </w:rPr>
        <w:t>-</w:t>
      </w:r>
      <w:r w:rsidRPr="00AA552A">
        <w:rPr>
          <w:rFonts w:cs="Cambria"/>
          <w:color w:val="000000"/>
          <w:spacing w:val="1"/>
        </w:rPr>
        <w:t>F</w:t>
      </w:r>
      <w:r w:rsidRPr="00AA552A">
        <w:rPr>
          <w:rFonts w:cs="Cambria"/>
          <w:color w:val="000000"/>
        </w:rPr>
        <w:t>athom</w:t>
      </w:r>
      <w:r w:rsidRPr="00AA552A">
        <w:rPr>
          <w:rFonts w:cs="Cambria"/>
          <w:color w:val="000000"/>
          <w:spacing w:val="-5"/>
        </w:rPr>
        <w:t xml:space="preserve"> </w:t>
      </w:r>
      <w:r w:rsidRPr="00AA552A">
        <w:rPr>
          <w:rFonts w:cs="Cambria"/>
          <w:color w:val="000000"/>
          <w:spacing w:val="1"/>
        </w:rPr>
        <w:t>Le</w:t>
      </w:r>
      <w:r w:rsidRPr="00AA552A">
        <w:rPr>
          <w:rFonts w:cs="Cambria"/>
          <w:color w:val="000000"/>
          <w:spacing w:val="-1"/>
        </w:rPr>
        <w:t>dg</w:t>
      </w:r>
      <w:r w:rsidRPr="00AA552A">
        <w:rPr>
          <w:rFonts w:cs="Cambria"/>
          <w:color w:val="000000"/>
          <w:spacing w:val="1"/>
        </w:rPr>
        <w:t>e</w:t>
      </w:r>
      <w:r w:rsidRPr="00AA552A">
        <w:rPr>
          <w:rFonts w:cs="Cambria"/>
          <w:color w:val="000000"/>
        </w:rPr>
        <w:t>,</w:t>
      </w:r>
      <w:r w:rsidRPr="00AA552A">
        <w:rPr>
          <w:rFonts w:cs="Cambria"/>
          <w:color w:val="000000"/>
          <w:spacing w:val="-4"/>
        </w:rPr>
        <w:t xml:space="preserve"> </w:t>
      </w:r>
      <w:r w:rsidRPr="00AA552A">
        <w:rPr>
          <w:rFonts w:cs="Cambria"/>
          <w:color w:val="000000"/>
        </w:rPr>
        <w:t>B</w:t>
      </w:r>
      <w:r w:rsidRPr="00AA552A">
        <w:rPr>
          <w:rFonts w:cs="Cambria"/>
          <w:color w:val="000000"/>
          <w:spacing w:val="1"/>
        </w:rPr>
        <w:t>i</w:t>
      </w:r>
      <w:r w:rsidRPr="00AA552A">
        <w:rPr>
          <w:rFonts w:cs="Cambria"/>
          <w:color w:val="000000"/>
        </w:rPr>
        <w:t>g</w:t>
      </w:r>
      <w:r w:rsidRPr="00AA552A">
        <w:rPr>
          <w:rFonts w:cs="Cambria"/>
          <w:color w:val="000000"/>
          <w:spacing w:val="-2"/>
        </w:rPr>
        <w:t xml:space="preserve"> </w:t>
      </w:r>
      <w:r w:rsidRPr="00AA552A">
        <w:rPr>
          <w:rFonts w:cs="Cambria"/>
          <w:color w:val="000000"/>
        </w:rPr>
        <w:t>Roc</w:t>
      </w:r>
      <w:r w:rsidRPr="00AA552A">
        <w:rPr>
          <w:rFonts w:cs="Cambria"/>
          <w:color w:val="000000"/>
          <w:spacing w:val="-1"/>
        </w:rPr>
        <w:t>k</w:t>
      </w:r>
      <w:r w:rsidRPr="00AA552A">
        <w:rPr>
          <w:rFonts w:cs="Cambria"/>
          <w:color w:val="000000"/>
        </w:rPr>
        <w:t>,</w:t>
      </w:r>
      <w:r w:rsidRPr="00AA552A">
        <w:rPr>
          <w:rFonts w:cs="Cambria"/>
          <w:color w:val="000000"/>
          <w:spacing w:val="-1"/>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2"/>
        </w:rPr>
        <w:t>T</w:t>
      </w:r>
      <w:r w:rsidRPr="00AA552A">
        <w:rPr>
          <w:rFonts w:cs="Cambria"/>
          <w:color w:val="000000"/>
        </w:rPr>
        <w:t>he</w:t>
      </w:r>
      <w:r w:rsidRPr="00AA552A">
        <w:rPr>
          <w:rFonts w:cs="Cambria"/>
          <w:color w:val="000000"/>
          <w:spacing w:val="-3"/>
        </w:rPr>
        <w:t xml:space="preserve"> </w:t>
      </w:r>
      <w:r w:rsidRPr="00AA552A">
        <w:rPr>
          <w:rFonts w:cs="Cambria"/>
          <w:color w:val="000000"/>
          <w:spacing w:val="1"/>
        </w:rPr>
        <w:t>P</w:t>
      </w:r>
      <w:r w:rsidRPr="00AA552A">
        <w:rPr>
          <w:rFonts w:cs="Cambria"/>
          <w:color w:val="000000"/>
        </w:rPr>
        <w:t>o</w:t>
      </w:r>
      <w:r w:rsidRPr="00AA552A">
        <w:rPr>
          <w:rFonts w:cs="Cambria"/>
          <w:color w:val="000000"/>
          <w:spacing w:val="1"/>
        </w:rPr>
        <w:t>i</w:t>
      </w:r>
      <w:r w:rsidRPr="00AA552A">
        <w:rPr>
          <w:rFonts w:cs="Cambria"/>
          <w:color w:val="000000"/>
        </w:rPr>
        <w:t>nt</w:t>
      </w:r>
      <w:r w:rsidRPr="00AA552A">
        <w:rPr>
          <w:rFonts w:cs="Cambria"/>
          <w:color w:val="000000"/>
          <w:spacing w:val="-3"/>
        </w:rPr>
        <w:t xml:space="preserve"> </w:t>
      </w:r>
      <w:r w:rsidRPr="00AA552A">
        <w:rPr>
          <w:rFonts w:cs="Cambria"/>
          <w:color w:val="000000"/>
        </w:rPr>
        <w:t>(No</w:t>
      </w:r>
      <w:r w:rsidRPr="00AA552A">
        <w:rPr>
          <w:rFonts w:cs="Cambria"/>
          <w:color w:val="000000"/>
          <w:spacing w:val="-1"/>
        </w:rPr>
        <w:t>r</w:t>
      </w:r>
      <w:r w:rsidRPr="00AA552A">
        <w:rPr>
          <w:rFonts w:cs="Cambria"/>
          <w:color w:val="000000"/>
        </w:rPr>
        <w:t>th</w:t>
      </w:r>
      <w:r w:rsidRPr="00AA552A">
        <w:rPr>
          <w:rFonts w:cs="Cambria"/>
          <w:color w:val="000000"/>
          <w:spacing w:val="-6"/>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rPr>
        <w:t>ol</w:t>
      </w:r>
      <w:r w:rsidRPr="00AA552A">
        <w:rPr>
          <w:rFonts w:cs="Cambria"/>
          <w:color w:val="000000"/>
          <w:spacing w:val="1"/>
        </w:rPr>
        <w:t>i</w:t>
      </w:r>
      <w:r w:rsidRPr="00AA552A">
        <w:rPr>
          <w:rFonts w:cs="Cambria"/>
          <w:color w:val="000000"/>
        </w:rPr>
        <w:t>na);</w:t>
      </w:r>
      <w:r w:rsidRPr="00AA552A">
        <w:rPr>
          <w:rFonts w:cs="Cambria"/>
          <w:color w:val="000000"/>
          <w:spacing w:val="-7"/>
        </w:rPr>
        <w:t xml:space="preserve"> </w:t>
      </w:r>
      <w:r w:rsidRPr="00AA552A">
        <w:rPr>
          <w:rFonts w:cs="Cambria"/>
          <w:color w:val="000000"/>
          <w:spacing w:val="1"/>
        </w:rPr>
        <w:t>H</w:t>
      </w:r>
      <w:r w:rsidRPr="00AA552A">
        <w:rPr>
          <w:rFonts w:cs="Cambria"/>
          <w:color w:val="000000"/>
        </w:rPr>
        <w:t>u</w:t>
      </w:r>
      <w:r w:rsidRPr="00AA552A">
        <w:rPr>
          <w:rFonts w:cs="Cambria"/>
          <w:color w:val="000000"/>
          <w:spacing w:val="-1"/>
        </w:rPr>
        <w:t>r</w:t>
      </w:r>
      <w:r w:rsidRPr="00AA552A">
        <w:rPr>
          <w:rFonts w:cs="Cambria"/>
          <w:color w:val="000000"/>
        </w:rPr>
        <w:t>l</w:t>
      </w:r>
      <w:r w:rsidRPr="00AA552A">
        <w:rPr>
          <w:rFonts w:cs="Cambria"/>
          <w:color w:val="000000"/>
          <w:spacing w:val="-4"/>
        </w:rPr>
        <w:t xml:space="preserve"> </w:t>
      </w:r>
      <w:r w:rsidRPr="00AA552A">
        <w:rPr>
          <w:rFonts w:cs="Cambria"/>
          <w:color w:val="000000"/>
        </w:rPr>
        <w:t>Ro</w:t>
      </w:r>
      <w:r w:rsidRPr="00AA552A">
        <w:rPr>
          <w:rFonts w:cs="Cambria"/>
          <w:color w:val="000000"/>
          <w:spacing w:val="2"/>
        </w:rPr>
        <w:t>c</w:t>
      </w:r>
      <w:r w:rsidRPr="00AA552A">
        <w:rPr>
          <w:rFonts w:cs="Cambria"/>
          <w:color w:val="000000"/>
          <w:spacing w:val="-1"/>
        </w:rPr>
        <w:t>k</w:t>
      </w:r>
      <w:r w:rsidRPr="00AA552A">
        <w:rPr>
          <w:rFonts w:cs="Cambria"/>
          <w:color w:val="000000"/>
        </w:rPr>
        <w:t>s</w:t>
      </w:r>
      <w:r w:rsidRPr="00AA552A">
        <w:rPr>
          <w:rFonts w:cs="Cambria"/>
          <w:color w:val="000000"/>
          <w:spacing w:val="-3"/>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T</w:t>
      </w:r>
      <w:r w:rsidRPr="00AA552A">
        <w:rPr>
          <w:rFonts w:cs="Cambria"/>
          <w:color w:val="000000"/>
        </w:rPr>
        <w:t xml:space="preserve">he </w:t>
      </w:r>
      <w:r w:rsidRPr="00AA552A">
        <w:rPr>
          <w:rFonts w:cs="Cambria"/>
          <w:color w:val="000000"/>
          <w:spacing w:val="-1"/>
        </w:rPr>
        <w:t>C</w:t>
      </w:r>
      <w:r w:rsidRPr="00AA552A">
        <w:rPr>
          <w:rFonts w:cs="Cambria"/>
          <w:color w:val="000000"/>
        </w:rPr>
        <w:t>ha</w:t>
      </w:r>
      <w:r w:rsidRPr="00AA552A">
        <w:rPr>
          <w:rFonts w:cs="Cambria"/>
          <w:color w:val="000000"/>
          <w:spacing w:val="-1"/>
        </w:rPr>
        <w:t>r</w:t>
      </w:r>
      <w:r w:rsidRPr="00AA552A">
        <w:rPr>
          <w:rFonts w:cs="Cambria"/>
          <w:color w:val="000000"/>
        </w:rPr>
        <w:t>l</w:t>
      </w:r>
      <w:r w:rsidRPr="00AA552A">
        <w:rPr>
          <w:rFonts w:cs="Cambria"/>
          <w:color w:val="000000"/>
          <w:spacing w:val="1"/>
        </w:rPr>
        <w:t>e</w:t>
      </w:r>
      <w:r w:rsidRPr="00AA552A">
        <w:rPr>
          <w:rFonts w:cs="Cambria"/>
          <w:color w:val="000000"/>
        </w:rPr>
        <w:t>ston</w:t>
      </w:r>
      <w:r w:rsidRPr="00AA552A">
        <w:rPr>
          <w:rFonts w:cs="Cambria"/>
          <w:color w:val="000000"/>
          <w:spacing w:val="-7"/>
        </w:rPr>
        <w:t xml:space="preserve"> </w:t>
      </w:r>
      <w:r w:rsidRPr="00AA552A">
        <w:rPr>
          <w:rFonts w:cs="Cambria"/>
          <w:color w:val="000000"/>
        </w:rPr>
        <w:t>B</w:t>
      </w:r>
      <w:r w:rsidRPr="00AA552A">
        <w:rPr>
          <w:rFonts w:cs="Cambria"/>
          <w:color w:val="000000"/>
          <w:spacing w:val="-1"/>
        </w:rPr>
        <w:t>u</w:t>
      </w:r>
      <w:r w:rsidRPr="00AA552A">
        <w:rPr>
          <w:rFonts w:cs="Cambria"/>
          <w:color w:val="000000"/>
        </w:rPr>
        <w:t>mp</w:t>
      </w:r>
      <w:r w:rsidRPr="00AA552A">
        <w:rPr>
          <w:rFonts w:cs="Cambria"/>
          <w:color w:val="000000"/>
          <w:spacing w:val="1"/>
        </w:rPr>
        <w:t xml:space="preserve"> </w:t>
      </w:r>
      <w:r w:rsidRPr="00AA552A">
        <w:rPr>
          <w:rFonts w:cs="Cambria"/>
          <w:color w:val="000000"/>
        </w:rPr>
        <w:t>(</w:t>
      </w:r>
      <w:r w:rsidRPr="00AA552A">
        <w:rPr>
          <w:rFonts w:cs="Cambria"/>
          <w:color w:val="000000"/>
          <w:spacing w:val="1"/>
        </w:rPr>
        <w:t>S</w:t>
      </w:r>
      <w:r w:rsidRPr="00AA552A">
        <w:rPr>
          <w:rFonts w:cs="Cambria"/>
          <w:color w:val="000000"/>
        </w:rPr>
        <w:t>o</w:t>
      </w:r>
      <w:r w:rsidRPr="00AA552A">
        <w:rPr>
          <w:rFonts w:cs="Cambria"/>
          <w:color w:val="000000"/>
          <w:spacing w:val="-1"/>
        </w:rPr>
        <w:t>u</w:t>
      </w:r>
      <w:r w:rsidRPr="00AA552A">
        <w:rPr>
          <w:rFonts w:cs="Cambria"/>
          <w:color w:val="000000"/>
        </w:rPr>
        <w:t>th</w:t>
      </w:r>
      <w:r w:rsidRPr="00AA552A">
        <w:rPr>
          <w:rFonts w:cs="Cambria"/>
          <w:color w:val="000000"/>
          <w:spacing w:val="-4"/>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rPr>
        <w:t>ol</w:t>
      </w:r>
      <w:r w:rsidRPr="00AA552A">
        <w:rPr>
          <w:rFonts w:cs="Cambria"/>
          <w:color w:val="000000"/>
          <w:spacing w:val="1"/>
        </w:rPr>
        <w:t>i</w:t>
      </w:r>
      <w:r w:rsidRPr="00AA552A">
        <w:rPr>
          <w:rFonts w:cs="Cambria"/>
          <w:color w:val="000000"/>
        </w:rPr>
        <w:t>na);</w:t>
      </w:r>
      <w:r w:rsidRPr="00AA552A">
        <w:rPr>
          <w:rFonts w:cs="Cambria"/>
          <w:color w:val="000000"/>
          <w:spacing w:val="-7"/>
        </w:rPr>
        <w:t xml:space="preserve"> </w:t>
      </w:r>
      <w:r w:rsidRPr="00AA552A">
        <w:rPr>
          <w:rFonts w:cs="Cambria"/>
          <w:color w:val="000000"/>
        </w:rPr>
        <w:t>G</w:t>
      </w:r>
      <w:r w:rsidRPr="00AA552A">
        <w:rPr>
          <w:rFonts w:cs="Cambria"/>
          <w:color w:val="000000"/>
          <w:spacing w:val="-1"/>
        </w:rPr>
        <w:t>r</w:t>
      </w:r>
      <w:r w:rsidRPr="00AA552A">
        <w:rPr>
          <w:rFonts w:cs="Cambria"/>
          <w:color w:val="000000"/>
          <w:spacing w:val="3"/>
        </w:rPr>
        <w:t>a</w:t>
      </w:r>
      <w:r w:rsidRPr="00AA552A">
        <w:rPr>
          <w:rFonts w:cs="Cambria"/>
          <w:color w:val="000000"/>
          <w:spacing w:val="-1"/>
        </w:rPr>
        <w:t>y</w:t>
      </w:r>
      <w:r w:rsidRPr="00AA552A">
        <w:rPr>
          <w:rFonts w:cs="Cambria"/>
          <w:color w:val="000000"/>
        </w:rPr>
        <w:t>’s</w:t>
      </w:r>
      <w:r w:rsidRPr="00AA552A">
        <w:rPr>
          <w:rFonts w:cs="Cambria"/>
          <w:color w:val="000000"/>
          <w:spacing w:val="-5"/>
        </w:rPr>
        <w:t xml:space="preserve"> </w:t>
      </w:r>
      <w:r w:rsidRPr="00AA552A">
        <w:rPr>
          <w:rFonts w:cs="Cambria"/>
          <w:color w:val="000000"/>
        </w:rPr>
        <w:t>R</w:t>
      </w:r>
      <w:r w:rsidRPr="00AA552A">
        <w:rPr>
          <w:rFonts w:cs="Cambria"/>
          <w:color w:val="000000"/>
          <w:spacing w:val="1"/>
        </w:rPr>
        <w:t>ee</w:t>
      </w:r>
      <w:r w:rsidRPr="00AA552A">
        <w:rPr>
          <w:rFonts w:cs="Cambria"/>
          <w:color w:val="000000"/>
        </w:rPr>
        <w:t>f</w:t>
      </w:r>
      <w:r w:rsidRPr="00AA552A">
        <w:rPr>
          <w:rFonts w:cs="Cambria"/>
          <w:color w:val="000000"/>
          <w:spacing w:val="-1"/>
        </w:rPr>
        <w:t xml:space="preserve"> </w:t>
      </w:r>
      <w:r w:rsidRPr="00AA552A">
        <w:rPr>
          <w:rFonts w:cs="Cambria"/>
          <w:color w:val="000000"/>
        </w:rPr>
        <w:t>Nat</w:t>
      </w:r>
      <w:r w:rsidRPr="00AA552A">
        <w:rPr>
          <w:rFonts w:cs="Cambria"/>
          <w:color w:val="000000"/>
          <w:spacing w:val="1"/>
        </w:rPr>
        <w:t>i</w:t>
      </w:r>
      <w:r w:rsidRPr="00AA552A">
        <w:rPr>
          <w:rFonts w:cs="Cambria"/>
          <w:color w:val="000000"/>
        </w:rPr>
        <w:t>onal</w:t>
      </w:r>
      <w:r w:rsidRPr="00AA552A">
        <w:rPr>
          <w:rFonts w:cs="Cambria"/>
          <w:color w:val="000000"/>
          <w:spacing w:val="-4"/>
        </w:rPr>
        <w:t xml:space="preserve"> </w:t>
      </w:r>
      <w:r w:rsidRPr="00AA552A">
        <w:rPr>
          <w:rFonts w:cs="Cambria"/>
          <w:color w:val="000000"/>
          <w:spacing w:val="1"/>
        </w:rPr>
        <w:t>M</w:t>
      </w:r>
      <w:r w:rsidRPr="00AA552A">
        <w:rPr>
          <w:rFonts w:cs="Cambria"/>
          <w:color w:val="000000"/>
        </w:rPr>
        <w:t>a</w:t>
      </w:r>
      <w:r w:rsidRPr="00AA552A">
        <w:rPr>
          <w:rFonts w:cs="Cambria"/>
          <w:color w:val="000000"/>
          <w:spacing w:val="-1"/>
        </w:rPr>
        <w:t>r</w:t>
      </w:r>
      <w:r w:rsidRPr="00AA552A">
        <w:rPr>
          <w:rFonts w:cs="Cambria"/>
          <w:color w:val="000000"/>
          <w:spacing w:val="1"/>
        </w:rPr>
        <w:t>i</w:t>
      </w:r>
      <w:r w:rsidRPr="00AA552A">
        <w:rPr>
          <w:rFonts w:cs="Cambria"/>
          <w:color w:val="000000"/>
        </w:rPr>
        <w:t>ne</w:t>
      </w:r>
      <w:r w:rsidRPr="00AA552A">
        <w:rPr>
          <w:rFonts w:cs="Cambria"/>
          <w:color w:val="000000"/>
          <w:spacing w:val="-5"/>
        </w:rPr>
        <w:t xml:space="preserve"> </w:t>
      </w:r>
      <w:r w:rsidRPr="00AA552A">
        <w:rPr>
          <w:rFonts w:cs="Cambria"/>
          <w:color w:val="000000"/>
          <w:spacing w:val="1"/>
        </w:rPr>
        <w:t>S</w:t>
      </w:r>
      <w:r w:rsidRPr="00AA552A">
        <w:rPr>
          <w:rFonts w:cs="Cambria"/>
          <w:color w:val="000000"/>
        </w:rPr>
        <w:t>anct</w:t>
      </w:r>
      <w:r w:rsidRPr="00AA552A">
        <w:rPr>
          <w:rFonts w:cs="Cambria"/>
          <w:color w:val="000000"/>
          <w:spacing w:val="-3"/>
        </w:rPr>
        <w:t>u</w:t>
      </w:r>
      <w:r w:rsidRPr="00AA552A">
        <w:rPr>
          <w:rFonts w:cs="Cambria"/>
          <w:color w:val="000000"/>
        </w:rPr>
        <w:t>a</w:t>
      </w:r>
      <w:r w:rsidRPr="00AA552A">
        <w:rPr>
          <w:rFonts w:cs="Cambria"/>
          <w:color w:val="000000"/>
          <w:spacing w:val="-1"/>
        </w:rPr>
        <w:t>r</w:t>
      </w:r>
      <w:r w:rsidRPr="00AA552A">
        <w:rPr>
          <w:rFonts w:cs="Cambria"/>
          <w:color w:val="000000"/>
        </w:rPr>
        <w:t>y</w:t>
      </w:r>
      <w:r w:rsidRPr="00AA552A">
        <w:rPr>
          <w:rFonts w:cs="Cambria"/>
          <w:color w:val="000000"/>
          <w:spacing w:val="-4"/>
        </w:rPr>
        <w:t xml:space="preserve"> </w:t>
      </w:r>
      <w:r w:rsidRPr="00AA552A">
        <w:rPr>
          <w:rFonts w:cs="Cambria"/>
          <w:color w:val="000000"/>
        </w:rPr>
        <w:t>(G</w:t>
      </w:r>
      <w:r w:rsidRPr="00AA552A">
        <w:rPr>
          <w:rFonts w:cs="Cambria"/>
          <w:color w:val="000000"/>
          <w:spacing w:val="1"/>
        </w:rPr>
        <w:t>e</w:t>
      </w:r>
      <w:r w:rsidRPr="00AA552A">
        <w:rPr>
          <w:rFonts w:cs="Cambria"/>
          <w:color w:val="000000"/>
        </w:rPr>
        <w:t>o</w:t>
      </w:r>
      <w:r w:rsidRPr="00AA552A">
        <w:rPr>
          <w:rFonts w:cs="Cambria"/>
          <w:color w:val="000000"/>
          <w:spacing w:val="2"/>
        </w:rPr>
        <w:t>r</w:t>
      </w:r>
      <w:r w:rsidRPr="00AA552A">
        <w:rPr>
          <w:rFonts w:cs="Cambria"/>
          <w:color w:val="000000"/>
          <w:spacing w:val="-1"/>
        </w:rPr>
        <w:t>g</w:t>
      </w:r>
      <w:r w:rsidRPr="00AA552A">
        <w:rPr>
          <w:rFonts w:cs="Cambria"/>
          <w:color w:val="000000"/>
          <w:spacing w:val="1"/>
        </w:rPr>
        <w:t>i</w:t>
      </w:r>
      <w:r w:rsidRPr="00AA552A">
        <w:rPr>
          <w:rFonts w:cs="Cambria"/>
          <w:color w:val="000000"/>
        </w:rPr>
        <w:t>a);</w:t>
      </w:r>
      <w:r w:rsidRPr="00AA552A">
        <w:rPr>
          <w:rFonts w:cs="Cambria"/>
          <w:color w:val="000000"/>
          <w:spacing w:val="-9"/>
        </w:rPr>
        <w:t xml:space="preserve"> </w:t>
      </w:r>
      <w:r w:rsidRPr="00AA552A">
        <w:rPr>
          <w:rFonts w:cs="Cambria"/>
          <w:color w:val="000000"/>
          <w:spacing w:val="-1"/>
        </w:rPr>
        <w:t>T</w:t>
      </w:r>
      <w:r w:rsidRPr="00AA552A">
        <w:rPr>
          <w:rFonts w:cs="Cambria"/>
          <w:color w:val="000000"/>
        </w:rPr>
        <w:t xml:space="preserve">he </w:t>
      </w:r>
      <w:r w:rsidRPr="00AA552A">
        <w:rPr>
          <w:rFonts w:cs="Cambria"/>
          <w:i/>
          <w:iCs/>
          <w:color w:val="000000"/>
          <w:spacing w:val="1"/>
        </w:rPr>
        <w:t>P</w:t>
      </w:r>
      <w:r w:rsidRPr="00AA552A">
        <w:rPr>
          <w:rFonts w:cs="Cambria"/>
          <w:i/>
          <w:iCs/>
          <w:color w:val="000000"/>
        </w:rPr>
        <w:t>h</w:t>
      </w:r>
      <w:r w:rsidRPr="00AA552A">
        <w:rPr>
          <w:rFonts w:cs="Cambria"/>
          <w:i/>
          <w:iCs/>
          <w:color w:val="000000"/>
          <w:spacing w:val="1"/>
        </w:rPr>
        <w:t>ra</w:t>
      </w:r>
      <w:r w:rsidRPr="00AA552A">
        <w:rPr>
          <w:rFonts w:cs="Cambria"/>
          <w:i/>
          <w:iCs/>
          <w:color w:val="000000"/>
          <w:spacing w:val="-1"/>
        </w:rPr>
        <w:t>g</w:t>
      </w:r>
      <w:r w:rsidRPr="00AA552A">
        <w:rPr>
          <w:rFonts w:cs="Cambria"/>
          <w:i/>
          <w:iCs/>
          <w:color w:val="000000"/>
        </w:rPr>
        <w:t>m</w:t>
      </w:r>
      <w:r w:rsidRPr="00AA552A">
        <w:rPr>
          <w:rFonts w:cs="Cambria"/>
          <w:i/>
          <w:iCs/>
          <w:color w:val="000000"/>
          <w:spacing w:val="-1"/>
        </w:rPr>
        <w:t>a</w:t>
      </w:r>
      <w:r w:rsidRPr="00AA552A">
        <w:rPr>
          <w:rFonts w:cs="Cambria"/>
          <w:i/>
          <w:iCs/>
          <w:color w:val="000000"/>
          <w:spacing w:val="1"/>
        </w:rPr>
        <w:t>to</w:t>
      </w:r>
      <w:r w:rsidRPr="00AA552A">
        <w:rPr>
          <w:rFonts w:cs="Cambria"/>
          <w:i/>
          <w:iCs/>
          <w:color w:val="000000"/>
          <w:spacing w:val="-2"/>
        </w:rPr>
        <w:t>p</w:t>
      </w:r>
      <w:r w:rsidRPr="00AA552A">
        <w:rPr>
          <w:rFonts w:cs="Cambria"/>
          <w:i/>
          <w:iCs/>
          <w:color w:val="000000"/>
          <w:spacing w:val="1"/>
        </w:rPr>
        <w:t>o</w:t>
      </w:r>
      <w:r w:rsidRPr="00AA552A">
        <w:rPr>
          <w:rFonts w:cs="Cambria"/>
          <w:i/>
          <w:iCs/>
          <w:color w:val="000000"/>
        </w:rPr>
        <w:t>ma</w:t>
      </w:r>
      <w:r w:rsidRPr="00AA552A">
        <w:rPr>
          <w:rFonts w:cs="Cambria"/>
          <w:i/>
          <w:iCs/>
          <w:color w:val="000000"/>
          <w:spacing w:val="-10"/>
        </w:rPr>
        <w:t xml:space="preserve"> </w:t>
      </w:r>
      <w:r w:rsidRPr="00AA552A">
        <w:rPr>
          <w:rFonts w:cs="Cambria"/>
          <w:color w:val="000000"/>
        </w:rPr>
        <w:t>(</w:t>
      </w:r>
      <w:r w:rsidRPr="00AA552A">
        <w:rPr>
          <w:rFonts w:cs="Cambria"/>
          <w:color w:val="000000"/>
          <w:spacing w:val="-1"/>
        </w:rPr>
        <w:t>w</w:t>
      </w:r>
      <w:r w:rsidRPr="00AA552A">
        <w:rPr>
          <w:rFonts w:cs="Cambria"/>
          <w:color w:val="000000"/>
        </w:rPr>
        <w:t>o</w:t>
      </w:r>
      <w:r w:rsidRPr="00AA552A">
        <w:rPr>
          <w:rFonts w:cs="Cambria"/>
          <w:color w:val="000000"/>
          <w:spacing w:val="-1"/>
        </w:rPr>
        <w:t>r</w:t>
      </w:r>
      <w:r w:rsidRPr="00AA552A">
        <w:rPr>
          <w:rFonts w:cs="Cambria"/>
          <w:color w:val="000000"/>
        </w:rPr>
        <w:t>m</w:t>
      </w:r>
      <w:r w:rsidRPr="00AA552A">
        <w:rPr>
          <w:rFonts w:cs="Cambria"/>
          <w:color w:val="000000"/>
          <w:spacing w:val="-2"/>
        </w:rPr>
        <w:t xml:space="preserve"> </w:t>
      </w:r>
      <w:r w:rsidRPr="00AA552A">
        <w:rPr>
          <w:rFonts w:cs="Cambria"/>
          <w:color w:val="000000"/>
          <w:spacing w:val="-1"/>
        </w:rPr>
        <w:t>r</w:t>
      </w:r>
      <w:r w:rsidRPr="00AA552A">
        <w:rPr>
          <w:rFonts w:cs="Cambria"/>
          <w:color w:val="000000"/>
          <w:spacing w:val="1"/>
        </w:rPr>
        <w:t>ee</w:t>
      </w:r>
      <w:r w:rsidRPr="00AA552A">
        <w:rPr>
          <w:rFonts w:cs="Cambria"/>
          <w:color w:val="000000"/>
          <w:spacing w:val="-1"/>
        </w:rPr>
        <w:t>f</w:t>
      </w:r>
      <w:r w:rsidRPr="00AA552A">
        <w:rPr>
          <w:rFonts w:cs="Cambria"/>
          <w:color w:val="000000"/>
        </w:rPr>
        <w:t>s)</w:t>
      </w:r>
      <w:r w:rsidRPr="00AA552A">
        <w:rPr>
          <w:rFonts w:cs="Cambria"/>
          <w:color w:val="000000"/>
          <w:spacing w:val="-6"/>
        </w:rPr>
        <w:t xml:space="preserve"> </w:t>
      </w:r>
      <w:r w:rsidRPr="00AA552A">
        <w:rPr>
          <w:rFonts w:cs="Cambria"/>
          <w:color w:val="000000"/>
          <w:spacing w:val="-1"/>
        </w:rPr>
        <w:t>r</w:t>
      </w:r>
      <w:r w:rsidRPr="00AA552A">
        <w:rPr>
          <w:rFonts w:cs="Cambria"/>
          <w:color w:val="000000"/>
          <w:spacing w:val="1"/>
        </w:rPr>
        <w:t>ee</w:t>
      </w:r>
      <w:r w:rsidRPr="00AA552A">
        <w:rPr>
          <w:rFonts w:cs="Cambria"/>
          <w:color w:val="000000"/>
          <w:spacing w:val="-1"/>
        </w:rPr>
        <w:t>f</w:t>
      </w:r>
      <w:r w:rsidRPr="00AA552A">
        <w:rPr>
          <w:rFonts w:cs="Cambria"/>
          <w:color w:val="000000"/>
        </w:rPr>
        <w:t>s</w:t>
      </w:r>
      <w:r w:rsidRPr="00AA552A">
        <w:rPr>
          <w:rFonts w:cs="Cambria"/>
          <w:color w:val="000000"/>
          <w:spacing w:val="-5"/>
        </w:rPr>
        <w:t xml:space="preserve"> </w:t>
      </w:r>
      <w:r w:rsidRPr="00AA552A">
        <w:rPr>
          <w:rFonts w:cs="Cambria"/>
          <w:color w:val="000000"/>
        </w:rPr>
        <w:t>o</w:t>
      </w:r>
      <w:r w:rsidRPr="00AA552A">
        <w:rPr>
          <w:rFonts w:cs="Cambria"/>
          <w:color w:val="000000"/>
          <w:spacing w:val="-1"/>
        </w:rPr>
        <w:t>f</w:t>
      </w:r>
      <w:r w:rsidRPr="00AA552A">
        <w:rPr>
          <w:rFonts w:cs="Cambria"/>
          <w:color w:val="000000"/>
        </w:rPr>
        <w:t>f</w:t>
      </w:r>
      <w:r w:rsidRPr="00AA552A">
        <w:rPr>
          <w:rFonts w:cs="Cambria"/>
          <w:color w:val="000000"/>
          <w:spacing w:val="-4"/>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c</w:t>
      </w:r>
      <w:r w:rsidRPr="00AA552A">
        <w:rPr>
          <w:rFonts w:cs="Cambria"/>
          <w:color w:val="000000"/>
          <w:spacing w:val="1"/>
        </w:rPr>
        <w:t>e</w:t>
      </w:r>
      <w:r w:rsidRPr="00AA552A">
        <w:rPr>
          <w:rFonts w:cs="Cambria"/>
          <w:color w:val="000000"/>
        </w:rPr>
        <w:t>n</w:t>
      </w:r>
      <w:r w:rsidRPr="00AA552A">
        <w:rPr>
          <w:rFonts w:cs="Cambria"/>
          <w:color w:val="000000"/>
          <w:spacing w:val="3"/>
        </w:rPr>
        <w:t>t</w:t>
      </w:r>
      <w:r w:rsidRPr="00AA552A">
        <w:rPr>
          <w:rFonts w:cs="Cambria"/>
          <w:color w:val="000000"/>
          <w:spacing w:val="-1"/>
        </w:rPr>
        <w:t>r</w:t>
      </w:r>
      <w:r w:rsidRPr="00AA552A">
        <w:rPr>
          <w:rFonts w:cs="Cambria"/>
          <w:color w:val="000000"/>
        </w:rPr>
        <w:t>al</w:t>
      </w:r>
      <w:r w:rsidRPr="00AA552A">
        <w:rPr>
          <w:rFonts w:cs="Cambria"/>
          <w:color w:val="000000"/>
          <w:spacing w:val="-3"/>
        </w:rPr>
        <w:t xml:space="preserve"> </w:t>
      </w:r>
      <w:r w:rsidRPr="00AA552A">
        <w:rPr>
          <w:rFonts w:cs="Cambria"/>
          <w:color w:val="000000"/>
          <w:spacing w:val="1"/>
        </w:rPr>
        <w:t>e</w:t>
      </w:r>
      <w:r w:rsidRPr="00AA552A">
        <w:rPr>
          <w:rFonts w:cs="Cambria"/>
          <w:color w:val="000000"/>
        </w:rPr>
        <w:t>ast</w:t>
      </w:r>
      <w:r w:rsidRPr="00AA552A">
        <w:rPr>
          <w:rFonts w:cs="Cambria"/>
          <w:color w:val="000000"/>
          <w:spacing w:val="-2"/>
        </w:rPr>
        <w:t xml:space="preserve"> </w:t>
      </w:r>
      <w:r w:rsidRPr="00AA552A">
        <w:rPr>
          <w:rFonts w:cs="Cambria"/>
          <w:color w:val="000000"/>
        </w:rPr>
        <w:t>coast</w:t>
      </w:r>
      <w:r w:rsidRPr="00AA552A">
        <w:rPr>
          <w:rFonts w:cs="Cambria"/>
          <w:color w:val="000000"/>
          <w:spacing w:val="-3"/>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4"/>
        </w:rPr>
        <w:t xml:space="preserve"> </w:t>
      </w:r>
      <w:r w:rsidRPr="00AA552A">
        <w:rPr>
          <w:rFonts w:cs="Cambria"/>
          <w:color w:val="000000"/>
          <w:spacing w:val="-1"/>
        </w:rPr>
        <w:t>O</w:t>
      </w:r>
      <w:r w:rsidRPr="00AA552A">
        <w:rPr>
          <w:rFonts w:cs="Cambria"/>
          <w:color w:val="000000"/>
        </w:rPr>
        <w:t>cul</w:t>
      </w:r>
      <w:r w:rsidRPr="00AA552A">
        <w:rPr>
          <w:rFonts w:cs="Cambria"/>
          <w:color w:val="000000"/>
          <w:spacing w:val="1"/>
        </w:rPr>
        <w:t>i</w:t>
      </w:r>
      <w:r w:rsidRPr="00AA552A">
        <w:rPr>
          <w:rFonts w:cs="Cambria"/>
          <w:color w:val="000000"/>
        </w:rPr>
        <w:t>na</w:t>
      </w:r>
      <w:r w:rsidRPr="00AA552A">
        <w:rPr>
          <w:rFonts w:cs="Cambria"/>
          <w:color w:val="000000"/>
          <w:spacing w:val="-2"/>
        </w:rPr>
        <w:t xml:space="preserve"> </w:t>
      </w:r>
      <w:r w:rsidRPr="00AA552A">
        <w:rPr>
          <w:rFonts w:cs="Cambria"/>
          <w:color w:val="000000"/>
        </w:rPr>
        <w:t>Ban</w:t>
      </w:r>
      <w:r w:rsidRPr="00AA552A">
        <w:rPr>
          <w:rFonts w:cs="Cambria"/>
          <w:color w:val="000000"/>
          <w:spacing w:val="-1"/>
        </w:rPr>
        <w:t>k</w:t>
      </w:r>
      <w:r w:rsidRPr="00AA552A">
        <w:rPr>
          <w:rFonts w:cs="Cambria"/>
          <w:color w:val="000000"/>
        </w:rPr>
        <w:t>s</w:t>
      </w:r>
      <w:r w:rsidRPr="00AA552A">
        <w:rPr>
          <w:rFonts w:cs="Cambria"/>
          <w:color w:val="000000"/>
          <w:spacing w:val="-1"/>
        </w:rPr>
        <w:t xml:space="preserve"> </w:t>
      </w:r>
      <w:r w:rsidRPr="00AA552A">
        <w:rPr>
          <w:rFonts w:cs="Cambria"/>
          <w:color w:val="000000"/>
        </w:rPr>
        <w:t>o</w:t>
      </w:r>
      <w:r w:rsidRPr="00AA552A">
        <w:rPr>
          <w:rFonts w:cs="Cambria"/>
          <w:color w:val="000000"/>
          <w:spacing w:val="-1"/>
        </w:rPr>
        <w:t>f</w:t>
      </w:r>
      <w:r w:rsidRPr="00AA552A">
        <w:rPr>
          <w:rFonts w:cs="Cambria"/>
          <w:color w:val="000000"/>
        </w:rPr>
        <w:t>f</w:t>
      </w:r>
      <w:r w:rsidRPr="00AA552A">
        <w:rPr>
          <w:rFonts w:cs="Cambria"/>
          <w:color w:val="000000"/>
          <w:spacing w:val="-4"/>
        </w:rPr>
        <w:t xml:space="preserve"> </w:t>
      </w:r>
      <w:r w:rsidRPr="00AA552A">
        <w:rPr>
          <w:rFonts w:cs="Cambria"/>
          <w:color w:val="000000"/>
        </w:rPr>
        <w:t xml:space="preserve">the </w:t>
      </w:r>
      <w:r w:rsidRPr="00AA552A">
        <w:rPr>
          <w:rFonts w:cs="Cambria"/>
          <w:color w:val="000000"/>
          <w:spacing w:val="1"/>
        </w:rPr>
        <w:t>e</w:t>
      </w:r>
      <w:r w:rsidRPr="00AA552A">
        <w:rPr>
          <w:rFonts w:cs="Cambria"/>
          <w:color w:val="000000"/>
        </w:rPr>
        <w:t>ast</w:t>
      </w:r>
      <w:r w:rsidRPr="00AA552A">
        <w:rPr>
          <w:rFonts w:cs="Cambria"/>
          <w:color w:val="000000"/>
          <w:spacing w:val="-2"/>
        </w:rPr>
        <w:t xml:space="preserve"> </w:t>
      </w:r>
      <w:r w:rsidRPr="00AA552A">
        <w:rPr>
          <w:rFonts w:cs="Cambria"/>
          <w:color w:val="000000"/>
        </w:rPr>
        <w:t>coast</w:t>
      </w:r>
      <w:r w:rsidRPr="00AA552A">
        <w:rPr>
          <w:rFonts w:cs="Cambria"/>
          <w:color w:val="000000"/>
          <w:spacing w:val="-3"/>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6"/>
        </w:rPr>
        <w:t xml:space="preserve"> </w:t>
      </w:r>
      <w:r w:rsidRPr="00AA552A">
        <w:rPr>
          <w:rFonts w:cs="Cambria"/>
          <w:color w:val="000000"/>
          <w:spacing w:val="-1"/>
        </w:rPr>
        <w:t>fr</w:t>
      </w:r>
      <w:r w:rsidRPr="00AA552A">
        <w:rPr>
          <w:rFonts w:cs="Cambria"/>
          <w:color w:val="000000"/>
          <w:spacing w:val="2"/>
        </w:rPr>
        <w:t>o</w:t>
      </w:r>
      <w:r w:rsidRPr="00AA552A">
        <w:rPr>
          <w:rFonts w:cs="Cambria"/>
          <w:color w:val="000000"/>
        </w:rPr>
        <w:t>m</w:t>
      </w:r>
      <w:r w:rsidRPr="00AA552A">
        <w:rPr>
          <w:rFonts w:cs="Cambria"/>
          <w:color w:val="000000"/>
          <w:spacing w:val="-3"/>
        </w:rPr>
        <w:t xml:space="preserve"> </w:t>
      </w:r>
      <w:r w:rsidRPr="00AA552A">
        <w:rPr>
          <w:rFonts w:cs="Cambria"/>
          <w:color w:val="000000"/>
          <w:spacing w:val="1"/>
        </w:rPr>
        <w:t>F</w:t>
      </w:r>
      <w:r w:rsidRPr="00AA552A">
        <w:rPr>
          <w:rFonts w:cs="Cambria"/>
          <w:color w:val="000000"/>
        </w:rPr>
        <w:t xml:space="preserve">t. </w:t>
      </w:r>
      <w:r w:rsidRPr="00AA552A">
        <w:rPr>
          <w:rFonts w:cs="Cambria"/>
          <w:color w:val="000000"/>
          <w:spacing w:val="1"/>
        </w:rPr>
        <w:t>Pie</w:t>
      </w:r>
      <w:r w:rsidRPr="00AA552A">
        <w:rPr>
          <w:rFonts w:cs="Cambria"/>
          <w:color w:val="000000"/>
          <w:spacing w:val="-1"/>
        </w:rPr>
        <w:t>r</w:t>
      </w:r>
      <w:r w:rsidRPr="00AA552A">
        <w:rPr>
          <w:rFonts w:cs="Cambria"/>
          <w:color w:val="000000"/>
        </w:rPr>
        <w:t>ce</w:t>
      </w:r>
      <w:r w:rsidRPr="00AA552A">
        <w:rPr>
          <w:rFonts w:cs="Cambria"/>
          <w:color w:val="000000"/>
          <w:spacing w:val="-5"/>
        </w:rPr>
        <w:t xml:space="preserve"> </w:t>
      </w:r>
      <w:r w:rsidRPr="00AA552A">
        <w:rPr>
          <w:rFonts w:cs="Cambria"/>
          <w:color w:val="000000"/>
        </w:rPr>
        <w:t>to</w:t>
      </w:r>
      <w:r w:rsidRPr="00AA552A">
        <w:rPr>
          <w:rFonts w:cs="Cambria"/>
          <w:color w:val="000000"/>
          <w:spacing w:val="-1"/>
        </w:rPr>
        <w:t xml:space="preserve"> C</w:t>
      </w:r>
      <w:r w:rsidRPr="00AA552A">
        <w:rPr>
          <w:rFonts w:cs="Cambria"/>
          <w:color w:val="000000"/>
        </w:rPr>
        <w:t>a</w:t>
      </w:r>
      <w:r w:rsidRPr="00AA552A">
        <w:rPr>
          <w:rFonts w:cs="Cambria"/>
          <w:color w:val="000000"/>
          <w:spacing w:val="-1"/>
        </w:rPr>
        <w:t>p</w:t>
      </w:r>
      <w:r w:rsidRPr="00AA552A">
        <w:rPr>
          <w:rFonts w:cs="Cambria"/>
          <w:color w:val="000000"/>
        </w:rPr>
        <w:t>e</w:t>
      </w:r>
      <w:r w:rsidRPr="00AA552A">
        <w:rPr>
          <w:rFonts w:cs="Cambria"/>
          <w:color w:val="000000"/>
          <w:spacing w:val="-2"/>
        </w:rPr>
        <w:t xml:space="preserve"> </w:t>
      </w:r>
      <w:r w:rsidRPr="00AA552A">
        <w:rPr>
          <w:rFonts w:cs="Cambria"/>
          <w:color w:val="000000"/>
          <w:spacing w:val="-1"/>
        </w:rPr>
        <w:t>C</w:t>
      </w:r>
      <w:r w:rsidRPr="00AA552A">
        <w:rPr>
          <w:rFonts w:cs="Cambria"/>
          <w:color w:val="000000"/>
          <w:spacing w:val="-2"/>
        </w:rPr>
        <w:t>a</w:t>
      </w:r>
      <w:r w:rsidRPr="00AA552A">
        <w:rPr>
          <w:rFonts w:cs="Cambria"/>
          <w:color w:val="000000"/>
        </w:rPr>
        <w:t>na</w:t>
      </w:r>
      <w:r w:rsidRPr="00AA552A">
        <w:rPr>
          <w:rFonts w:cs="Cambria"/>
          <w:color w:val="000000"/>
          <w:spacing w:val="-1"/>
        </w:rPr>
        <w:t>v</w:t>
      </w:r>
      <w:r w:rsidRPr="00AA552A">
        <w:rPr>
          <w:rFonts w:cs="Cambria"/>
          <w:color w:val="000000"/>
          <w:spacing w:val="1"/>
        </w:rPr>
        <w:t>e</w:t>
      </w:r>
      <w:r w:rsidRPr="00AA552A">
        <w:rPr>
          <w:rFonts w:cs="Cambria"/>
          <w:color w:val="000000"/>
          <w:spacing w:val="-1"/>
        </w:rPr>
        <w:t>r</w:t>
      </w:r>
      <w:r w:rsidRPr="00AA552A">
        <w:rPr>
          <w:rFonts w:cs="Cambria"/>
          <w:color w:val="000000"/>
        </w:rPr>
        <w:t>al;</w:t>
      </w:r>
      <w:r w:rsidRPr="00AA552A">
        <w:rPr>
          <w:rFonts w:cs="Cambria"/>
          <w:color w:val="000000"/>
          <w:spacing w:val="-6"/>
        </w:rPr>
        <w:t xml:space="preserve"> </w:t>
      </w:r>
      <w:r w:rsidRPr="00AA552A">
        <w:rPr>
          <w:rFonts w:cs="Cambria"/>
          <w:color w:val="000000"/>
        </w:rPr>
        <w:t>n</w:t>
      </w:r>
      <w:r w:rsidRPr="00AA552A">
        <w:rPr>
          <w:rFonts w:cs="Cambria"/>
          <w:color w:val="000000"/>
          <w:spacing w:val="1"/>
        </w:rPr>
        <w:t>e</w:t>
      </w:r>
      <w:r w:rsidRPr="00AA552A">
        <w:rPr>
          <w:rFonts w:cs="Cambria"/>
          <w:color w:val="000000"/>
        </w:rPr>
        <w:t>a</w:t>
      </w:r>
      <w:r w:rsidRPr="00AA552A">
        <w:rPr>
          <w:rFonts w:cs="Cambria"/>
          <w:color w:val="000000"/>
          <w:spacing w:val="-1"/>
        </w:rPr>
        <w:t>r</w:t>
      </w:r>
      <w:r w:rsidRPr="00AA552A">
        <w:rPr>
          <w:rFonts w:cs="Cambria"/>
          <w:color w:val="000000"/>
        </w:rPr>
        <w:t>sho</w:t>
      </w:r>
      <w:r w:rsidRPr="00AA552A">
        <w:rPr>
          <w:rFonts w:cs="Cambria"/>
          <w:color w:val="000000"/>
          <w:spacing w:val="-1"/>
        </w:rPr>
        <w:t>r</w:t>
      </w:r>
      <w:r w:rsidRPr="00AA552A">
        <w:rPr>
          <w:rFonts w:cs="Cambria"/>
          <w:color w:val="000000"/>
        </w:rPr>
        <w:t>e</w:t>
      </w:r>
      <w:r w:rsidRPr="00AA552A">
        <w:rPr>
          <w:rFonts w:cs="Cambria"/>
          <w:color w:val="000000"/>
          <w:spacing w:val="-7"/>
        </w:rPr>
        <w:t xml:space="preserve"> </w:t>
      </w:r>
      <w:r w:rsidRPr="00AA552A">
        <w:rPr>
          <w:rFonts w:cs="Cambria"/>
          <w:color w:val="000000"/>
        </w:rPr>
        <w:t>(</w:t>
      </w:r>
      <w:r w:rsidRPr="00AA552A">
        <w:rPr>
          <w:rFonts w:cs="Cambria"/>
          <w:color w:val="000000"/>
          <w:spacing w:val="2"/>
        </w:rPr>
        <w:t>0</w:t>
      </w:r>
      <w:r w:rsidRPr="00AA552A">
        <w:rPr>
          <w:rFonts w:cs="Cambria"/>
          <w:color w:val="000000"/>
        </w:rPr>
        <w:t>-4</w:t>
      </w:r>
      <w:r w:rsidRPr="00AA552A">
        <w:rPr>
          <w:rFonts w:cs="Cambria"/>
          <w:color w:val="000000"/>
          <w:spacing w:val="-2"/>
        </w:rPr>
        <w:t xml:space="preserve"> </w:t>
      </w:r>
      <w:r w:rsidRPr="00AA552A">
        <w:rPr>
          <w:rFonts w:cs="Cambria"/>
          <w:color w:val="000000"/>
        </w:rPr>
        <w:t>m</w:t>
      </w:r>
      <w:r w:rsidRPr="00AA552A">
        <w:rPr>
          <w:rFonts w:cs="Cambria"/>
          <w:color w:val="000000"/>
          <w:spacing w:val="1"/>
        </w:rPr>
        <w:t>e</w:t>
      </w:r>
      <w:r w:rsidRPr="00AA552A">
        <w:rPr>
          <w:rFonts w:cs="Cambria"/>
          <w:color w:val="000000"/>
        </w:rPr>
        <w:t>t</w:t>
      </w:r>
      <w:r w:rsidRPr="00AA552A">
        <w:rPr>
          <w:rFonts w:cs="Cambria"/>
          <w:color w:val="000000"/>
          <w:spacing w:val="1"/>
        </w:rPr>
        <w:t>e</w:t>
      </w:r>
      <w:r w:rsidRPr="00AA552A">
        <w:rPr>
          <w:rFonts w:cs="Cambria"/>
          <w:color w:val="000000"/>
          <w:spacing w:val="-1"/>
        </w:rPr>
        <w:t>r</w:t>
      </w:r>
      <w:r w:rsidRPr="00AA552A">
        <w:rPr>
          <w:rFonts w:cs="Cambria"/>
          <w:color w:val="000000"/>
        </w:rPr>
        <w:t>s;</w:t>
      </w:r>
      <w:r w:rsidRPr="00AA552A">
        <w:rPr>
          <w:rFonts w:cs="Cambria"/>
          <w:color w:val="000000"/>
          <w:spacing w:val="-8"/>
        </w:rPr>
        <w:t xml:space="preserve"> </w:t>
      </w:r>
      <w:r w:rsidRPr="00AA552A">
        <w:rPr>
          <w:rFonts w:cs="Cambria"/>
          <w:color w:val="000000"/>
          <w:spacing w:val="-1"/>
        </w:rPr>
        <w:t>0</w:t>
      </w:r>
      <w:r w:rsidRPr="00AA552A">
        <w:rPr>
          <w:rFonts w:cs="Cambria"/>
          <w:color w:val="000000"/>
        </w:rPr>
        <w:t>-</w:t>
      </w:r>
      <w:r w:rsidRPr="00AA552A">
        <w:rPr>
          <w:rFonts w:cs="Cambria"/>
          <w:color w:val="000000"/>
          <w:spacing w:val="2"/>
        </w:rPr>
        <w:t>1</w:t>
      </w:r>
      <w:r w:rsidRPr="00AA552A">
        <w:rPr>
          <w:rFonts w:cs="Cambria"/>
          <w:color w:val="000000"/>
        </w:rPr>
        <w:t>2</w:t>
      </w:r>
      <w:r w:rsidRPr="00AA552A">
        <w:rPr>
          <w:rFonts w:cs="Cambria"/>
          <w:color w:val="000000"/>
          <w:spacing w:val="-5"/>
        </w:rPr>
        <w:t xml:space="preserve"> </w:t>
      </w:r>
      <w:r w:rsidRPr="00AA552A">
        <w:rPr>
          <w:rFonts w:cs="Cambria"/>
          <w:color w:val="000000"/>
          <w:spacing w:val="-1"/>
        </w:rPr>
        <w:t>f</w:t>
      </w:r>
      <w:r w:rsidRPr="00AA552A">
        <w:rPr>
          <w:rFonts w:cs="Cambria"/>
          <w:color w:val="000000"/>
          <w:spacing w:val="1"/>
        </w:rPr>
        <w:t>ee</w:t>
      </w:r>
      <w:r w:rsidRPr="00AA552A">
        <w:rPr>
          <w:rFonts w:cs="Cambria"/>
          <w:color w:val="000000"/>
        </w:rPr>
        <w:t>t)</w:t>
      </w:r>
      <w:r w:rsidRPr="00AA552A">
        <w:rPr>
          <w:rFonts w:cs="Cambria"/>
          <w:color w:val="000000"/>
          <w:spacing w:val="-4"/>
        </w:rPr>
        <w:t xml:space="preserve"> </w:t>
      </w:r>
      <w:r w:rsidRPr="00AA552A">
        <w:rPr>
          <w:rFonts w:cs="Cambria"/>
          <w:color w:val="000000"/>
        </w:rPr>
        <w:t>ha</w:t>
      </w:r>
      <w:r w:rsidRPr="00AA552A">
        <w:rPr>
          <w:rFonts w:cs="Cambria"/>
          <w:color w:val="000000"/>
          <w:spacing w:val="-1"/>
        </w:rPr>
        <w:t>r</w:t>
      </w:r>
      <w:r w:rsidRPr="00AA552A">
        <w:rPr>
          <w:rFonts w:cs="Cambria"/>
          <w:color w:val="000000"/>
        </w:rPr>
        <w:t xml:space="preserve">d </w:t>
      </w:r>
      <w:r w:rsidRPr="00AA552A">
        <w:rPr>
          <w:rFonts w:cs="Cambria"/>
          <w:color w:val="000000"/>
          <w:spacing w:val="1"/>
        </w:rPr>
        <w:t>b</w:t>
      </w:r>
      <w:r w:rsidRPr="00AA552A">
        <w:rPr>
          <w:rFonts w:cs="Cambria"/>
          <w:color w:val="000000"/>
        </w:rPr>
        <w:t>ottom</w:t>
      </w:r>
      <w:r w:rsidRPr="00AA552A">
        <w:rPr>
          <w:rFonts w:cs="Cambria"/>
          <w:color w:val="000000"/>
          <w:spacing w:val="-3"/>
        </w:rPr>
        <w:t xml:space="preserve"> </w:t>
      </w:r>
      <w:r w:rsidRPr="00AA552A">
        <w:rPr>
          <w:rFonts w:cs="Cambria"/>
          <w:color w:val="000000"/>
        </w:rPr>
        <w:t>o</w:t>
      </w:r>
      <w:r w:rsidRPr="00AA552A">
        <w:rPr>
          <w:rFonts w:cs="Cambria"/>
          <w:color w:val="000000"/>
          <w:spacing w:val="-1"/>
        </w:rPr>
        <w:t>f</w:t>
      </w:r>
      <w:r w:rsidRPr="00AA552A">
        <w:rPr>
          <w:rFonts w:cs="Cambria"/>
          <w:color w:val="000000"/>
        </w:rPr>
        <w:t>f</w:t>
      </w:r>
      <w:r w:rsidRPr="00AA552A">
        <w:rPr>
          <w:rFonts w:cs="Cambria"/>
          <w:color w:val="000000"/>
          <w:spacing w:val="-4"/>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e</w:t>
      </w:r>
      <w:r w:rsidRPr="00AA552A">
        <w:rPr>
          <w:rFonts w:cs="Cambria"/>
          <w:color w:val="000000"/>
        </w:rPr>
        <w:t>ast</w:t>
      </w:r>
      <w:r w:rsidRPr="00AA552A">
        <w:rPr>
          <w:rFonts w:cs="Cambria"/>
          <w:color w:val="000000"/>
          <w:spacing w:val="-2"/>
        </w:rPr>
        <w:t xml:space="preserve"> </w:t>
      </w:r>
      <w:r w:rsidRPr="00AA552A">
        <w:rPr>
          <w:rFonts w:cs="Cambria"/>
          <w:color w:val="000000"/>
        </w:rPr>
        <w:t>coast</w:t>
      </w:r>
      <w:r w:rsidRPr="00AA552A">
        <w:rPr>
          <w:rFonts w:cs="Cambria"/>
          <w:color w:val="000000"/>
          <w:spacing w:val="-3"/>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6"/>
        </w:rPr>
        <w:t xml:space="preserve"> </w:t>
      </w:r>
      <w:r w:rsidRPr="00AA552A">
        <w:rPr>
          <w:rFonts w:cs="Cambria"/>
          <w:color w:val="000000"/>
          <w:spacing w:val="-1"/>
        </w:rPr>
        <w:t>fr</w:t>
      </w:r>
      <w:r w:rsidRPr="00AA552A">
        <w:rPr>
          <w:rFonts w:cs="Cambria"/>
          <w:color w:val="000000"/>
          <w:spacing w:val="2"/>
        </w:rPr>
        <w:t>o</w:t>
      </w:r>
      <w:r w:rsidRPr="00AA552A">
        <w:rPr>
          <w:rFonts w:cs="Cambria"/>
          <w:color w:val="000000"/>
        </w:rPr>
        <w:t>m</w:t>
      </w:r>
      <w:r w:rsidRPr="00AA552A">
        <w:rPr>
          <w:rFonts w:cs="Cambria"/>
          <w:color w:val="000000"/>
          <w:spacing w:val="-3"/>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p</w:t>
      </w:r>
      <w:r w:rsidRPr="00AA552A">
        <w:rPr>
          <w:rFonts w:cs="Cambria"/>
          <w:color w:val="000000"/>
        </w:rPr>
        <w:t>e</w:t>
      </w:r>
      <w:r w:rsidRPr="00AA552A">
        <w:rPr>
          <w:rFonts w:cs="Cambria"/>
          <w:color w:val="000000"/>
          <w:spacing w:val="-2"/>
        </w:rPr>
        <w:t xml:space="preserve"> </w:t>
      </w:r>
      <w:r w:rsidRPr="00AA552A">
        <w:rPr>
          <w:rFonts w:cs="Cambria"/>
          <w:color w:val="000000"/>
          <w:spacing w:val="-1"/>
        </w:rPr>
        <w:t>C</w:t>
      </w:r>
      <w:r w:rsidRPr="00AA552A">
        <w:rPr>
          <w:rFonts w:cs="Cambria"/>
          <w:color w:val="000000"/>
        </w:rPr>
        <w:t>ana</w:t>
      </w:r>
      <w:r w:rsidRPr="00AA552A">
        <w:rPr>
          <w:rFonts w:cs="Cambria"/>
          <w:color w:val="000000"/>
          <w:spacing w:val="-1"/>
        </w:rPr>
        <w:t>v</w:t>
      </w:r>
      <w:r w:rsidRPr="00AA552A">
        <w:rPr>
          <w:rFonts w:cs="Cambria"/>
          <w:color w:val="000000"/>
          <w:spacing w:val="1"/>
        </w:rPr>
        <w:t>e</w:t>
      </w:r>
      <w:r w:rsidRPr="00AA552A">
        <w:rPr>
          <w:rFonts w:cs="Cambria"/>
          <w:color w:val="000000"/>
          <w:spacing w:val="-1"/>
        </w:rPr>
        <w:t>r</w:t>
      </w:r>
      <w:r w:rsidRPr="00AA552A">
        <w:rPr>
          <w:rFonts w:cs="Cambria"/>
          <w:color w:val="000000"/>
        </w:rPr>
        <w:t>al</w:t>
      </w:r>
      <w:r w:rsidRPr="00AA552A">
        <w:rPr>
          <w:rFonts w:cs="Cambria"/>
          <w:color w:val="000000"/>
          <w:spacing w:val="-5"/>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B</w:t>
      </w:r>
      <w:r w:rsidRPr="00AA552A">
        <w:rPr>
          <w:rFonts w:cs="Cambria"/>
          <w:color w:val="000000"/>
          <w:spacing w:val="-1"/>
        </w:rPr>
        <w:t>r</w:t>
      </w:r>
      <w:r w:rsidRPr="00AA552A">
        <w:rPr>
          <w:rFonts w:cs="Cambria"/>
          <w:color w:val="000000"/>
        </w:rPr>
        <w:t>o</w:t>
      </w:r>
      <w:r w:rsidRPr="00AA552A">
        <w:rPr>
          <w:rFonts w:cs="Cambria"/>
          <w:color w:val="000000"/>
          <w:spacing w:val="-1"/>
        </w:rPr>
        <w:t>w</w:t>
      </w:r>
      <w:r w:rsidRPr="00AA552A">
        <w:rPr>
          <w:rFonts w:cs="Cambria"/>
          <w:color w:val="000000"/>
        </w:rPr>
        <w:t>a</w:t>
      </w:r>
      <w:r w:rsidRPr="00AA552A">
        <w:rPr>
          <w:rFonts w:cs="Cambria"/>
          <w:color w:val="000000"/>
          <w:spacing w:val="2"/>
        </w:rPr>
        <w:t>r</w:t>
      </w:r>
      <w:r w:rsidRPr="00AA552A">
        <w:rPr>
          <w:rFonts w:cs="Cambria"/>
          <w:color w:val="000000"/>
        </w:rPr>
        <w:t>d</w:t>
      </w:r>
      <w:r w:rsidRPr="00AA552A">
        <w:rPr>
          <w:rFonts w:cs="Cambria"/>
          <w:color w:val="000000"/>
          <w:spacing w:val="-6"/>
        </w:rPr>
        <w:t xml:space="preserve"> </w:t>
      </w:r>
      <w:r w:rsidRPr="00AA552A">
        <w:rPr>
          <w:rFonts w:cs="Cambria"/>
          <w:color w:val="000000"/>
          <w:spacing w:val="-1"/>
        </w:rPr>
        <w:t>C</w:t>
      </w:r>
      <w:r w:rsidRPr="00AA552A">
        <w:rPr>
          <w:rFonts w:cs="Cambria"/>
          <w:color w:val="000000"/>
          <w:spacing w:val="2"/>
        </w:rPr>
        <w:t>o</w:t>
      </w:r>
      <w:r w:rsidRPr="00AA552A">
        <w:rPr>
          <w:rFonts w:cs="Cambria"/>
          <w:color w:val="000000"/>
        </w:rPr>
        <w:t>unt</w:t>
      </w:r>
      <w:r w:rsidRPr="00AA552A">
        <w:rPr>
          <w:rFonts w:cs="Cambria"/>
          <w:color w:val="000000"/>
          <w:spacing w:val="-1"/>
        </w:rPr>
        <w:t>y</w:t>
      </w:r>
      <w:r w:rsidRPr="00AA552A">
        <w:rPr>
          <w:rFonts w:cs="Cambria"/>
          <w:color w:val="000000"/>
        </w:rPr>
        <w:t>);</w:t>
      </w:r>
      <w:r w:rsidRPr="00AA552A">
        <w:rPr>
          <w:rFonts w:cs="Cambria"/>
          <w:color w:val="000000"/>
          <w:spacing w:val="-6"/>
        </w:rPr>
        <w:t xml:space="preserve"> </w:t>
      </w:r>
      <w:r w:rsidRPr="00AA552A">
        <w:rPr>
          <w:rFonts w:cs="Cambria"/>
          <w:color w:val="000000"/>
        </w:rPr>
        <w:t>o</w:t>
      </w:r>
      <w:r w:rsidRPr="00AA552A">
        <w:rPr>
          <w:rFonts w:cs="Cambria"/>
          <w:color w:val="000000"/>
          <w:spacing w:val="-1"/>
        </w:rPr>
        <w:t>ff</w:t>
      </w:r>
      <w:r w:rsidRPr="00AA552A">
        <w:rPr>
          <w:rFonts w:cs="Cambria"/>
          <w:color w:val="000000"/>
          <w:spacing w:val="2"/>
        </w:rPr>
        <w:t>s</w:t>
      </w:r>
      <w:r w:rsidRPr="00AA552A">
        <w:rPr>
          <w:rFonts w:cs="Cambria"/>
          <w:color w:val="000000"/>
        </w:rPr>
        <w:t>ho</w:t>
      </w:r>
      <w:r w:rsidRPr="00AA552A">
        <w:rPr>
          <w:rFonts w:cs="Cambria"/>
          <w:color w:val="000000"/>
          <w:spacing w:val="-1"/>
        </w:rPr>
        <w:t>r</w:t>
      </w:r>
      <w:r w:rsidRPr="00AA552A">
        <w:rPr>
          <w:rFonts w:cs="Cambria"/>
          <w:color w:val="000000"/>
        </w:rPr>
        <w:t>e</w:t>
      </w:r>
      <w:r w:rsidRPr="00AA552A">
        <w:rPr>
          <w:rFonts w:cs="Cambria"/>
          <w:color w:val="000000"/>
          <w:spacing w:val="-8"/>
        </w:rPr>
        <w:t xml:space="preserve"> </w:t>
      </w:r>
      <w:r w:rsidRPr="00AA552A">
        <w:rPr>
          <w:rFonts w:cs="Cambria"/>
          <w:color w:val="000000"/>
        </w:rPr>
        <w:t>(</w:t>
      </w:r>
      <w:r w:rsidRPr="00AA552A">
        <w:rPr>
          <w:rFonts w:cs="Cambria"/>
          <w:color w:val="000000"/>
          <w:spacing w:val="2"/>
        </w:rPr>
        <w:t>5</w:t>
      </w:r>
      <w:r w:rsidRPr="00AA552A">
        <w:rPr>
          <w:rFonts w:cs="Cambria"/>
          <w:color w:val="000000"/>
        </w:rPr>
        <w:t>-</w:t>
      </w:r>
      <w:r w:rsidRPr="00AA552A">
        <w:rPr>
          <w:rFonts w:cs="Cambria"/>
          <w:color w:val="000000"/>
          <w:spacing w:val="-1"/>
        </w:rPr>
        <w:t>3</w:t>
      </w:r>
      <w:r w:rsidRPr="00AA552A">
        <w:rPr>
          <w:rFonts w:cs="Cambria"/>
          <w:color w:val="000000"/>
        </w:rPr>
        <w:t>0 m</w:t>
      </w:r>
      <w:r w:rsidRPr="00AA552A">
        <w:rPr>
          <w:rFonts w:cs="Cambria"/>
          <w:color w:val="000000"/>
          <w:spacing w:val="1"/>
        </w:rPr>
        <w:t>e</w:t>
      </w:r>
      <w:r w:rsidRPr="00AA552A">
        <w:rPr>
          <w:rFonts w:cs="Cambria"/>
          <w:color w:val="000000"/>
        </w:rPr>
        <w:t>t</w:t>
      </w:r>
      <w:r w:rsidRPr="00AA552A">
        <w:rPr>
          <w:rFonts w:cs="Cambria"/>
          <w:color w:val="000000"/>
          <w:spacing w:val="1"/>
        </w:rPr>
        <w:t>e</w:t>
      </w:r>
      <w:r w:rsidRPr="00AA552A">
        <w:rPr>
          <w:rFonts w:cs="Cambria"/>
          <w:color w:val="000000"/>
          <w:spacing w:val="-1"/>
        </w:rPr>
        <w:t>r</w:t>
      </w:r>
      <w:r w:rsidRPr="00AA552A">
        <w:rPr>
          <w:rFonts w:cs="Cambria"/>
          <w:color w:val="000000"/>
        </w:rPr>
        <w:t>;</w:t>
      </w:r>
      <w:r w:rsidRPr="00AA552A">
        <w:rPr>
          <w:rFonts w:cs="Cambria"/>
          <w:color w:val="000000"/>
          <w:spacing w:val="-5"/>
        </w:rPr>
        <w:t xml:space="preserve"> </w:t>
      </w:r>
      <w:r w:rsidRPr="00AA552A">
        <w:rPr>
          <w:rFonts w:cs="Cambria"/>
          <w:color w:val="000000"/>
          <w:spacing w:val="-1"/>
        </w:rPr>
        <w:t>15</w:t>
      </w:r>
      <w:r w:rsidRPr="00AA552A">
        <w:rPr>
          <w:rFonts w:cs="Cambria"/>
          <w:color w:val="000000"/>
          <w:spacing w:val="2"/>
        </w:rPr>
        <w:t>-</w:t>
      </w:r>
      <w:r w:rsidRPr="00AA552A">
        <w:rPr>
          <w:rFonts w:cs="Cambria"/>
          <w:color w:val="000000"/>
          <w:spacing w:val="-1"/>
        </w:rPr>
        <w:t>9</w:t>
      </w:r>
      <w:r w:rsidRPr="00AA552A">
        <w:rPr>
          <w:rFonts w:cs="Cambria"/>
          <w:color w:val="000000"/>
        </w:rPr>
        <w:t>0</w:t>
      </w:r>
      <w:r w:rsidRPr="00AA552A">
        <w:rPr>
          <w:rFonts w:cs="Cambria"/>
          <w:color w:val="000000"/>
          <w:spacing w:val="-6"/>
        </w:rPr>
        <w:t xml:space="preserve"> </w:t>
      </w:r>
      <w:r w:rsidRPr="00AA552A">
        <w:rPr>
          <w:rFonts w:cs="Cambria"/>
          <w:color w:val="000000"/>
          <w:spacing w:val="-1"/>
        </w:rPr>
        <w:t>f</w:t>
      </w:r>
      <w:r w:rsidRPr="00AA552A">
        <w:rPr>
          <w:rFonts w:cs="Cambria"/>
          <w:color w:val="000000"/>
          <w:spacing w:val="1"/>
        </w:rPr>
        <w:t>ee</w:t>
      </w:r>
      <w:r w:rsidRPr="00AA552A">
        <w:rPr>
          <w:rFonts w:cs="Cambria"/>
          <w:color w:val="000000"/>
        </w:rPr>
        <w:t>t)</w:t>
      </w:r>
      <w:r w:rsidRPr="00AA552A">
        <w:rPr>
          <w:rFonts w:cs="Cambria"/>
          <w:color w:val="000000"/>
          <w:spacing w:val="-4"/>
        </w:rPr>
        <w:t xml:space="preserve"> </w:t>
      </w:r>
      <w:r w:rsidRPr="00AA552A">
        <w:rPr>
          <w:rFonts w:cs="Cambria"/>
          <w:color w:val="000000"/>
        </w:rPr>
        <w:t>ha</w:t>
      </w:r>
      <w:r w:rsidRPr="00AA552A">
        <w:rPr>
          <w:rFonts w:cs="Cambria"/>
          <w:color w:val="000000"/>
          <w:spacing w:val="2"/>
        </w:rPr>
        <w:t>r</w:t>
      </w:r>
      <w:r w:rsidRPr="00AA552A">
        <w:rPr>
          <w:rFonts w:cs="Cambria"/>
          <w:color w:val="000000"/>
        </w:rPr>
        <w:t>d</w:t>
      </w:r>
      <w:r w:rsidRPr="00AA552A">
        <w:rPr>
          <w:rFonts w:cs="Cambria"/>
          <w:color w:val="000000"/>
          <w:spacing w:val="-1"/>
        </w:rPr>
        <w:t xml:space="preserve"> </w:t>
      </w:r>
      <w:r w:rsidRPr="00AA552A">
        <w:rPr>
          <w:rFonts w:cs="Cambria"/>
          <w:color w:val="000000"/>
          <w:spacing w:val="1"/>
        </w:rPr>
        <w:t>b</w:t>
      </w:r>
      <w:r w:rsidRPr="00AA552A">
        <w:rPr>
          <w:rFonts w:cs="Cambria"/>
          <w:color w:val="000000"/>
        </w:rPr>
        <w:t>ottom</w:t>
      </w:r>
      <w:r w:rsidRPr="00AA552A">
        <w:rPr>
          <w:rFonts w:cs="Cambria"/>
          <w:color w:val="000000"/>
          <w:spacing w:val="-3"/>
        </w:rPr>
        <w:t xml:space="preserve"> </w:t>
      </w:r>
      <w:r w:rsidRPr="00AA552A">
        <w:rPr>
          <w:rFonts w:cs="Cambria"/>
          <w:color w:val="000000"/>
        </w:rPr>
        <w:t>o</w:t>
      </w:r>
      <w:r w:rsidRPr="00AA552A">
        <w:rPr>
          <w:rFonts w:cs="Cambria"/>
          <w:color w:val="000000"/>
          <w:spacing w:val="-1"/>
        </w:rPr>
        <w:t>f</w:t>
      </w:r>
      <w:r w:rsidRPr="00AA552A">
        <w:rPr>
          <w:rFonts w:cs="Cambria"/>
          <w:color w:val="000000"/>
        </w:rPr>
        <w:t>f</w:t>
      </w:r>
      <w:r w:rsidRPr="00AA552A">
        <w:rPr>
          <w:rFonts w:cs="Cambria"/>
          <w:color w:val="000000"/>
          <w:spacing w:val="-4"/>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e</w:t>
      </w:r>
      <w:r w:rsidRPr="00AA552A">
        <w:rPr>
          <w:rFonts w:cs="Cambria"/>
          <w:color w:val="000000"/>
        </w:rPr>
        <w:t>ast</w:t>
      </w:r>
      <w:r w:rsidRPr="00AA552A">
        <w:rPr>
          <w:rFonts w:cs="Cambria"/>
          <w:color w:val="000000"/>
          <w:spacing w:val="-2"/>
        </w:rPr>
        <w:t xml:space="preserve"> </w:t>
      </w:r>
      <w:r w:rsidRPr="00AA552A">
        <w:rPr>
          <w:rFonts w:cs="Cambria"/>
          <w:color w:val="000000"/>
        </w:rPr>
        <w:t>coast</w:t>
      </w:r>
      <w:r w:rsidRPr="00AA552A">
        <w:rPr>
          <w:rFonts w:cs="Cambria"/>
          <w:color w:val="000000"/>
          <w:spacing w:val="-3"/>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6"/>
        </w:rPr>
        <w:t xml:space="preserve"> </w:t>
      </w:r>
      <w:r w:rsidRPr="00AA552A">
        <w:rPr>
          <w:rFonts w:cs="Cambria"/>
          <w:color w:val="000000"/>
          <w:spacing w:val="-1"/>
        </w:rPr>
        <w:t>fr</w:t>
      </w:r>
      <w:r w:rsidRPr="00AA552A">
        <w:rPr>
          <w:rFonts w:cs="Cambria"/>
          <w:color w:val="000000"/>
          <w:spacing w:val="2"/>
        </w:rPr>
        <w:t>o</w:t>
      </w:r>
      <w:r w:rsidRPr="00AA552A">
        <w:rPr>
          <w:rFonts w:cs="Cambria"/>
          <w:color w:val="000000"/>
        </w:rPr>
        <w:t>m</w:t>
      </w:r>
      <w:r w:rsidRPr="00AA552A">
        <w:rPr>
          <w:rFonts w:cs="Cambria"/>
          <w:color w:val="000000"/>
          <w:spacing w:val="-3"/>
        </w:rPr>
        <w:t xml:space="preserve"> </w:t>
      </w:r>
      <w:r w:rsidRPr="00AA552A">
        <w:rPr>
          <w:rFonts w:cs="Cambria"/>
          <w:color w:val="000000"/>
          <w:spacing w:val="1"/>
        </w:rPr>
        <w:t>P</w:t>
      </w:r>
      <w:r w:rsidRPr="00AA552A">
        <w:rPr>
          <w:rFonts w:cs="Cambria"/>
          <w:color w:val="000000"/>
        </w:rPr>
        <w:t>alm</w:t>
      </w:r>
      <w:r w:rsidRPr="00AA552A">
        <w:rPr>
          <w:rFonts w:cs="Cambria"/>
          <w:color w:val="000000"/>
          <w:spacing w:val="1"/>
        </w:rPr>
        <w:t xml:space="preserve"> </w:t>
      </w:r>
      <w:r w:rsidRPr="00AA552A">
        <w:rPr>
          <w:rFonts w:cs="Cambria"/>
          <w:color w:val="000000"/>
        </w:rPr>
        <w:t>B</w:t>
      </w:r>
      <w:r w:rsidRPr="00AA552A">
        <w:rPr>
          <w:rFonts w:cs="Cambria"/>
          <w:color w:val="000000"/>
          <w:spacing w:val="1"/>
        </w:rPr>
        <w:t>e</w:t>
      </w:r>
      <w:r w:rsidRPr="00AA552A">
        <w:rPr>
          <w:rFonts w:cs="Cambria"/>
          <w:color w:val="000000"/>
        </w:rPr>
        <w:t>ach</w:t>
      </w:r>
      <w:r w:rsidRPr="00AA552A">
        <w:rPr>
          <w:rFonts w:cs="Cambria"/>
          <w:color w:val="000000"/>
          <w:spacing w:val="-4"/>
        </w:rPr>
        <w:t xml:space="preserve"> </w:t>
      </w:r>
      <w:r w:rsidRPr="00AA552A">
        <w:rPr>
          <w:rFonts w:cs="Cambria"/>
          <w:color w:val="000000"/>
          <w:spacing w:val="-1"/>
        </w:rPr>
        <w:t>C</w:t>
      </w:r>
      <w:r w:rsidRPr="00AA552A">
        <w:rPr>
          <w:rFonts w:cs="Cambria"/>
          <w:color w:val="000000"/>
        </w:rPr>
        <w:t>ounty</w:t>
      </w:r>
      <w:r w:rsidRPr="00AA552A">
        <w:rPr>
          <w:rFonts w:cs="Cambria"/>
          <w:color w:val="000000"/>
          <w:spacing w:val="-5"/>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spacing w:val="1"/>
        </w:rPr>
        <w:t>F</w:t>
      </w:r>
      <w:r w:rsidRPr="00AA552A">
        <w:rPr>
          <w:rFonts w:cs="Cambria"/>
          <w:color w:val="000000"/>
        </w:rPr>
        <w:t>o</w:t>
      </w:r>
      <w:r w:rsidRPr="00AA552A">
        <w:rPr>
          <w:rFonts w:cs="Cambria"/>
          <w:color w:val="000000"/>
          <w:spacing w:val="-1"/>
        </w:rPr>
        <w:t>w</w:t>
      </w:r>
      <w:r w:rsidRPr="00AA552A">
        <w:rPr>
          <w:rFonts w:cs="Cambria"/>
          <w:color w:val="000000"/>
          <w:spacing w:val="1"/>
        </w:rPr>
        <w:t>e</w:t>
      </w:r>
      <w:r w:rsidRPr="00AA552A">
        <w:rPr>
          <w:rFonts w:cs="Cambria"/>
          <w:color w:val="000000"/>
        </w:rPr>
        <w:t>y Roc</w:t>
      </w:r>
      <w:r w:rsidRPr="00AA552A">
        <w:rPr>
          <w:rFonts w:cs="Cambria"/>
          <w:color w:val="000000"/>
          <w:spacing w:val="-1"/>
        </w:rPr>
        <w:t>k</w:t>
      </w:r>
      <w:r w:rsidRPr="00AA552A">
        <w:rPr>
          <w:rFonts w:cs="Cambria"/>
          <w:color w:val="000000"/>
        </w:rPr>
        <w:t>s;</w:t>
      </w:r>
      <w:r w:rsidRPr="00AA552A">
        <w:rPr>
          <w:rFonts w:cs="Cambria"/>
          <w:color w:val="000000"/>
          <w:spacing w:val="-5"/>
        </w:rPr>
        <w:t xml:space="preserve"> </w:t>
      </w:r>
      <w:r w:rsidRPr="00AA552A">
        <w:rPr>
          <w:rFonts w:cs="Cambria"/>
          <w:color w:val="000000"/>
        </w:rPr>
        <w:t>B</w:t>
      </w:r>
      <w:r w:rsidRPr="00AA552A">
        <w:rPr>
          <w:rFonts w:cs="Cambria"/>
          <w:color w:val="000000"/>
          <w:spacing w:val="1"/>
        </w:rPr>
        <w:t>i</w:t>
      </w:r>
      <w:r w:rsidRPr="00AA552A">
        <w:rPr>
          <w:rFonts w:cs="Cambria"/>
          <w:color w:val="000000"/>
        </w:rPr>
        <w:t>sca</w:t>
      </w:r>
      <w:r w:rsidRPr="00AA552A">
        <w:rPr>
          <w:rFonts w:cs="Cambria"/>
          <w:color w:val="000000"/>
          <w:spacing w:val="-1"/>
        </w:rPr>
        <w:t>y</w:t>
      </w:r>
      <w:r w:rsidRPr="00AA552A">
        <w:rPr>
          <w:rFonts w:cs="Cambria"/>
          <w:color w:val="000000"/>
        </w:rPr>
        <w:t>ne</w:t>
      </w:r>
      <w:r w:rsidRPr="00AA552A">
        <w:rPr>
          <w:rFonts w:cs="Cambria"/>
          <w:color w:val="000000"/>
          <w:spacing w:val="-4"/>
        </w:rPr>
        <w:t xml:space="preserve"> </w:t>
      </w:r>
      <w:r w:rsidRPr="00AA552A">
        <w:rPr>
          <w:rFonts w:cs="Cambria"/>
          <w:color w:val="000000"/>
        </w:rPr>
        <w:t>Ba</w:t>
      </w:r>
      <w:r w:rsidRPr="00AA552A">
        <w:rPr>
          <w:rFonts w:cs="Cambria"/>
          <w:color w:val="000000"/>
          <w:spacing w:val="-1"/>
        </w:rPr>
        <w:t>y</w:t>
      </w:r>
      <w:r w:rsidRPr="00AA552A">
        <w:rPr>
          <w:rFonts w:cs="Cambria"/>
          <w:color w:val="000000"/>
        </w:rPr>
        <w:t xml:space="preserve">, </w:t>
      </w:r>
      <w:r w:rsidRPr="00AA552A">
        <w:rPr>
          <w:rFonts w:cs="Cambria"/>
          <w:color w:val="000000"/>
          <w:spacing w:val="1"/>
        </w:rPr>
        <w:t>F</w:t>
      </w:r>
      <w:r w:rsidRPr="00AA552A">
        <w:rPr>
          <w:rFonts w:cs="Cambria"/>
          <w:color w:val="000000"/>
          <w:spacing w:val="2"/>
        </w:rPr>
        <w:t>l</w:t>
      </w:r>
      <w:r w:rsidRPr="00AA552A">
        <w:rPr>
          <w:rFonts w:cs="Cambria"/>
          <w:color w:val="000000"/>
        </w:rPr>
        <w:t>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7"/>
        </w:rPr>
        <w:t xml:space="preserve"> </w:t>
      </w:r>
      <w:r w:rsidRPr="00AA552A">
        <w:rPr>
          <w:rFonts w:cs="Cambria"/>
          <w:color w:val="000000"/>
        </w:rPr>
        <w:t>B</w:t>
      </w:r>
      <w:r w:rsidRPr="00AA552A">
        <w:rPr>
          <w:rFonts w:cs="Cambria"/>
          <w:color w:val="000000"/>
          <w:spacing w:val="1"/>
        </w:rPr>
        <w:t>i</w:t>
      </w:r>
      <w:r w:rsidRPr="00AA552A">
        <w:rPr>
          <w:rFonts w:cs="Cambria"/>
          <w:color w:val="000000"/>
        </w:rPr>
        <w:t>sca</w:t>
      </w:r>
      <w:r w:rsidRPr="00AA552A">
        <w:rPr>
          <w:rFonts w:cs="Cambria"/>
          <w:color w:val="000000"/>
          <w:spacing w:val="-1"/>
        </w:rPr>
        <w:t>y</w:t>
      </w:r>
      <w:r w:rsidRPr="00AA552A">
        <w:rPr>
          <w:rFonts w:cs="Cambria"/>
          <w:color w:val="000000"/>
        </w:rPr>
        <w:t>ne</w:t>
      </w:r>
      <w:r w:rsidRPr="00AA552A">
        <w:rPr>
          <w:rFonts w:cs="Cambria"/>
          <w:color w:val="000000"/>
          <w:spacing w:val="-4"/>
        </w:rPr>
        <w:t xml:space="preserve"> </w:t>
      </w:r>
      <w:r w:rsidRPr="00AA552A">
        <w:rPr>
          <w:rFonts w:cs="Cambria"/>
          <w:color w:val="000000"/>
        </w:rPr>
        <w:t>Nat</w:t>
      </w:r>
      <w:r w:rsidRPr="00AA552A">
        <w:rPr>
          <w:rFonts w:cs="Cambria"/>
          <w:color w:val="000000"/>
          <w:spacing w:val="1"/>
        </w:rPr>
        <w:t>i</w:t>
      </w:r>
      <w:r w:rsidRPr="00AA552A">
        <w:rPr>
          <w:rFonts w:cs="Cambria"/>
          <w:color w:val="000000"/>
        </w:rPr>
        <w:t>onal</w:t>
      </w:r>
      <w:r w:rsidRPr="00AA552A">
        <w:rPr>
          <w:rFonts w:cs="Cambria"/>
          <w:color w:val="000000"/>
          <w:spacing w:val="-4"/>
        </w:rPr>
        <w:t xml:space="preserve"> </w:t>
      </w:r>
      <w:r w:rsidRPr="00AA552A">
        <w:rPr>
          <w:rFonts w:cs="Cambria"/>
          <w:color w:val="000000"/>
          <w:spacing w:val="1"/>
        </w:rPr>
        <w:t>P</w:t>
      </w:r>
      <w:r w:rsidRPr="00AA552A">
        <w:rPr>
          <w:rFonts w:cs="Cambria"/>
          <w:color w:val="000000"/>
        </w:rPr>
        <w:t>a</w:t>
      </w:r>
      <w:r w:rsidRPr="00AA552A">
        <w:rPr>
          <w:rFonts w:cs="Cambria"/>
          <w:color w:val="000000"/>
          <w:spacing w:val="-1"/>
        </w:rPr>
        <w:t>rk</w:t>
      </w:r>
      <w:r w:rsidRPr="00AA552A">
        <w:rPr>
          <w:rFonts w:cs="Cambria"/>
          <w:color w:val="000000"/>
        </w:rPr>
        <w:t>,</w:t>
      </w:r>
      <w:r w:rsidRPr="00AA552A">
        <w:rPr>
          <w:rFonts w:cs="Cambria"/>
          <w:color w:val="000000"/>
          <w:spacing w:val="-1"/>
        </w:rPr>
        <w:t xml:space="preserv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7"/>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 xml:space="preserve">the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6"/>
        </w:rPr>
        <w:t xml:space="preserve"> </w:t>
      </w:r>
      <w:r w:rsidRPr="00AA552A">
        <w:rPr>
          <w:rFonts w:cs="Cambria"/>
          <w:color w:val="000000"/>
        </w:rPr>
        <w:t>K</w:t>
      </w:r>
      <w:r w:rsidRPr="00AA552A">
        <w:rPr>
          <w:rFonts w:cs="Cambria"/>
          <w:color w:val="000000"/>
          <w:spacing w:val="1"/>
        </w:rPr>
        <w:t>e</w:t>
      </w:r>
      <w:r w:rsidRPr="00AA552A">
        <w:rPr>
          <w:rFonts w:cs="Cambria"/>
          <w:color w:val="000000"/>
          <w:spacing w:val="-1"/>
        </w:rPr>
        <w:t>y</w:t>
      </w:r>
      <w:r w:rsidRPr="00AA552A">
        <w:rPr>
          <w:rFonts w:cs="Cambria"/>
          <w:color w:val="000000"/>
        </w:rPr>
        <w:t>s</w:t>
      </w:r>
      <w:r w:rsidRPr="00AA552A">
        <w:rPr>
          <w:rFonts w:cs="Cambria"/>
          <w:color w:val="000000"/>
          <w:spacing w:val="-3"/>
        </w:rPr>
        <w:t xml:space="preserve"> </w:t>
      </w:r>
      <w:r w:rsidRPr="00AA552A">
        <w:rPr>
          <w:rFonts w:cs="Cambria"/>
          <w:color w:val="000000"/>
        </w:rPr>
        <w:t>Nat</w:t>
      </w:r>
      <w:r w:rsidRPr="00AA552A">
        <w:rPr>
          <w:rFonts w:cs="Cambria"/>
          <w:color w:val="000000"/>
          <w:spacing w:val="1"/>
        </w:rPr>
        <w:t>i</w:t>
      </w:r>
      <w:r w:rsidRPr="00AA552A">
        <w:rPr>
          <w:rFonts w:cs="Cambria"/>
          <w:color w:val="000000"/>
        </w:rPr>
        <w:t xml:space="preserve">onal </w:t>
      </w:r>
      <w:r w:rsidRPr="00AA552A">
        <w:rPr>
          <w:rFonts w:cs="Cambria"/>
          <w:color w:val="000000"/>
          <w:spacing w:val="1"/>
        </w:rPr>
        <w:t>M</w:t>
      </w:r>
      <w:r w:rsidRPr="00AA552A">
        <w:rPr>
          <w:rFonts w:cs="Cambria"/>
          <w:color w:val="000000"/>
        </w:rPr>
        <w:t>a</w:t>
      </w:r>
      <w:r w:rsidRPr="00AA552A">
        <w:rPr>
          <w:rFonts w:cs="Cambria"/>
          <w:color w:val="000000"/>
          <w:spacing w:val="-1"/>
        </w:rPr>
        <w:t>r</w:t>
      </w:r>
      <w:r w:rsidRPr="00AA552A">
        <w:rPr>
          <w:rFonts w:cs="Cambria"/>
          <w:color w:val="000000"/>
          <w:spacing w:val="1"/>
        </w:rPr>
        <w:t>i</w:t>
      </w:r>
      <w:r w:rsidRPr="00AA552A">
        <w:rPr>
          <w:rFonts w:cs="Cambria"/>
          <w:color w:val="000000"/>
        </w:rPr>
        <w:t>ne</w:t>
      </w:r>
      <w:r w:rsidRPr="00AA552A">
        <w:rPr>
          <w:rFonts w:cs="Cambria"/>
          <w:color w:val="000000"/>
          <w:spacing w:val="-2"/>
        </w:rPr>
        <w:t xml:space="preserve"> </w:t>
      </w:r>
      <w:r w:rsidRPr="00AA552A">
        <w:rPr>
          <w:rFonts w:cs="Cambria"/>
          <w:color w:val="000000"/>
          <w:spacing w:val="1"/>
        </w:rPr>
        <w:t>S</w:t>
      </w:r>
      <w:r w:rsidRPr="00AA552A">
        <w:rPr>
          <w:rFonts w:cs="Cambria"/>
          <w:color w:val="000000"/>
          <w:spacing w:val="-2"/>
        </w:rPr>
        <w:t>a</w:t>
      </w:r>
      <w:r w:rsidRPr="00AA552A">
        <w:rPr>
          <w:rFonts w:cs="Cambria"/>
          <w:color w:val="000000"/>
        </w:rPr>
        <w:t>nct</w:t>
      </w:r>
      <w:r w:rsidRPr="00AA552A">
        <w:rPr>
          <w:rFonts w:cs="Cambria"/>
          <w:color w:val="000000"/>
          <w:spacing w:val="-1"/>
        </w:rPr>
        <w:t>u</w:t>
      </w:r>
      <w:r w:rsidRPr="00AA552A">
        <w:rPr>
          <w:rFonts w:cs="Cambria"/>
          <w:color w:val="000000"/>
        </w:rPr>
        <w:t>a</w:t>
      </w:r>
      <w:r w:rsidRPr="00AA552A">
        <w:rPr>
          <w:rFonts w:cs="Cambria"/>
          <w:color w:val="000000"/>
          <w:spacing w:val="-1"/>
        </w:rPr>
        <w:t>ry</w:t>
      </w:r>
      <w:r w:rsidRPr="00AA552A">
        <w:rPr>
          <w:rFonts w:cs="Cambria"/>
          <w:color w:val="000000"/>
        </w:rPr>
        <w:t>.</w:t>
      </w:r>
      <w:r w:rsidRPr="00AA552A">
        <w:rPr>
          <w:rFonts w:cs="Cambria"/>
          <w:color w:val="000000"/>
          <w:spacing w:val="51"/>
        </w:rPr>
        <w:t xml:space="preserve"> </w:t>
      </w:r>
      <w:r w:rsidRPr="00AA552A">
        <w:rPr>
          <w:rFonts w:cs="Cambria"/>
          <w:color w:val="000000"/>
          <w:spacing w:val="-1"/>
        </w:rPr>
        <w:t>I</w:t>
      </w:r>
      <w:r w:rsidRPr="00AA552A">
        <w:rPr>
          <w:rFonts w:cs="Cambria"/>
          <w:color w:val="000000"/>
        </w:rPr>
        <w:t>n a</w:t>
      </w:r>
      <w:r w:rsidRPr="00AA552A">
        <w:rPr>
          <w:rFonts w:cs="Cambria"/>
          <w:color w:val="000000"/>
          <w:spacing w:val="-1"/>
        </w:rPr>
        <w:t>dd</w:t>
      </w:r>
      <w:r w:rsidRPr="00AA552A">
        <w:rPr>
          <w:rFonts w:cs="Cambria"/>
          <w:color w:val="000000"/>
          <w:spacing w:val="1"/>
        </w:rPr>
        <w:t>i</w:t>
      </w:r>
      <w:r w:rsidRPr="00AA552A">
        <w:rPr>
          <w:rFonts w:cs="Cambria"/>
          <w:color w:val="000000"/>
        </w:rPr>
        <w:t>t</w:t>
      </w:r>
      <w:r w:rsidRPr="00AA552A">
        <w:rPr>
          <w:rFonts w:cs="Cambria"/>
          <w:color w:val="000000"/>
          <w:spacing w:val="1"/>
        </w:rPr>
        <w:t>i</w:t>
      </w:r>
      <w:r w:rsidRPr="00AA552A">
        <w:rPr>
          <w:rFonts w:cs="Cambria"/>
          <w:color w:val="000000"/>
        </w:rPr>
        <w:t>on,</w:t>
      </w:r>
      <w:r w:rsidRPr="00AA552A">
        <w:rPr>
          <w:rFonts w:cs="Cambria"/>
          <w:color w:val="000000"/>
          <w:spacing w:val="-4"/>
        </w:rPr>
        <w:t xml:space="preserve"> </w:t>
      </w:r>
      <w:r w:rsidRPr="00AA552A">
        <w:rPr>
          <w:rFonts w:cs="Cambria"/>
          <w:color w:val="000000"/>
        </w:rPr>
        <w:t>the</w:t>
      </w:r>
      <w:r w:rsidRPr="00AA552A">
        <w:rPr>
          <w:rFonts w:cs="Cambria"/>
          <w:color w:val="000000"/>
          <w:spacing w:val="-1"/>
        </w:rPr>
        <w:t xml:space="preserve"> C</w:t>
      </w:r>
      <w:r w:rsidRPr="00AA552A">
        <w:rPr>
          <w:rFonts w:cs="Cambria"/>
          <w:color w:val="000000"/>
        </w:rPr>
        <w:t>ounc</w:t>
      </w:r>
      <w:r w:rsidRPr="00AA552A">
        <w:rPr>
          <w:rFonts w:cs="Cambria"/>
          <w:color w:val="000000"/>
          <w:spacing w:val="1"/>
        </w:rPr>
        <w:t>i</w:t>
      </w:r>
      <w:r w:rsidRPr="00AA552A">
        <w:rPr>
          <w:rFonts w:cs="Cambria"/>
          <w:color w:val="000000"/>
        </w:rPr>
        <w:t>l</w:t>
      </w:r>
      <w:r w:rsidRPr="00AA552A">
        <w:rPr>
          <w:rFonts w:cs="Cambria"/>
          <w:color w:val="000000"/>
          <w:spacing w:val="-4"/>
        </w:rPr>
        <w:t xml:space="preserve"> </w:t>
      </w:r>
      <w:r w:rsidRPr="00AA552A">
        <w:rPr>
          <w:rFonts w:cs="Cambria"/>
          <w:color w:val="000000"/>
        </w:rPr>
        <w:t>th</w:t>
      </w:r>
      <w:r w:rsidRPr="00AA552A">
        <w:rPr>
          <w:rFonts w:cs="Cambria"/>
          <w:color w:val="000000"/>
          <w:spacing w:val="-1"/>
        </w:rPr>
        <w:t>r</w:t>
      </w:r>
      <w:r w:rsidRPr="00AA552A">
        <w:rPr>
          <w:rFonts w:cs="Cambria"/>
          <w:color w:val="000000"/>
        </w:rPr>
        <w:t>ou</w:t>
      </w:r>
      <w:r w:rsidRPr="00AA552A">
        <w:rPr>
          <w:rFonts w:cs="Cambria"/>
          <w:color w:val="000000"/>
          <w:spacing w:val="-1"/>
        </w:rPr>
        <w:t>g</w:t>
      </w:r>
      <w:r w:rsidRPr="00AA552A">
        <w:rPr>
          <w:rFonts w:cs="Cambria"/>
          <w:color w:val="000000"/>
        </w:rPr>
        <w:t>h</w:t>
      </w:r>
      <w:r w:rsidRPr="00AA552A">
        <w:rPr>
          <w:rFonts w:cs="Cambria"/>
          <w:color w:val="000000"/>
          <w:spacing w:val="-5"/>
        </w:rPr>
        <w:t xml:space="preserve"> </w:t>
      </w:r>
      <w:r w:rsidRPr="00AA552A">
        <w:rPr>
          <w:rFonts w:cs="Cambria"/>
          <w:color w:val="000000"/>
          <w:spacing w:val="-1"/>
        </w:rPr>
        <w:t>C</w:t>
      </w:r>
      <w:r w:rsidRPr="00AA552A">
        <w:rPr>
          <w:rFonts w:cs="Cambria"/>
          <w:color w:val="000000"/>
          <w:spacing w:val="1"/>
        </w:rPr>
        <w:t>E</w:t>
      </w:r>
      <w:r w:rsidRPr="00AA552A">
        <w:rPr>
          <w:rFonts w:cs="Cambria"/>
          <w:color w:val="000000"/>
        </w:rPr>
        <w:t>BA</w:t>
      </w:r>
      <w:r w:rsidRPr="00AA552A">
        <w:rPr>
          <w:rFonts w:cs="Cambria"/>
          <w:color w:val="000000"/>
          <w:spacing w:val="1"/>
        </w:rPr>
        <w:t xml:space="preserve"> </w:t>
      </w:r>
      <w:r w:rsidRPr="00AA552A">
        <w:rPr>
          <w:rFonts w:cs="Cambria"/>
          <w:color w:val="000000"/>
        </w:rPr>
        <w:t>2</w:t>
      </w:r>
      <w:r w:rsidRPr="00AA552A">
        <w:rPr>
          <w:rFonts w:cs="Cambria"/>
          <w:color w:val="000000"/>
          <w:spacing w:val="-2"/>
        </w:rPr>
        <w:t xml:space="preserve"> </w:t>
      </w:r>
      <w:r w:rsidRPr="00AA552A">
        <w:rPr>
          <w:rFonts w:cs="Cambria"/>
          <w:color w:val="000000"/>
        </w:rPr>
        <w:t>(</w:t>
      </w:r>
      <w:r w:rsidRPr="00AA552A">
        <w:rPr>
          <w:rFonts w:cs="Cambria"/>
          <w:color w:val="000000"/>
          <w:spacing w:val="1"/>
        </w:rPr>
        <w:t>S</w:t>
      </w:r>
      <w:r w:rsidRPr="00AA552A">
        <w:rPr>
          <w:rFonts w:cs="Cambria"/>
          <w:color w:val="000000"/>
          <w:spacing w:val="-1"/>
        </w:rPr>
        <w:t>A</w:t>
      </w:r>
      <w:r w:rsidRPr="00AA552A">
        <w:rPr>
          <w:rFonts w:cs="Cambria"/>
          <w:color w:val="000000"/>
          <w:spacing w:val="1"/>
        </w:rPr>
        <w:t>FM</w:t>
      </w:r>
      <w:r w:rsidRPr="00AA552A">
        <w:rPr>
          <w:rFonts w:cs="Cambria"/>
          <w:color w:val="000000"/>
        </w:rPr>
        <w:t>C</w:t>
      </w:r>
      <w:r w:rsidRPr="00AA552A">
        <w:rPr>
          <w:rFonts w:cs="Cambria"/>
          <w:color w:val="000000"/>
          <w:spacing w:val="-6"/>
        </w:rPr>
        <w:t xml:space="preserve"> </w:t>
      </w:r>
      <w:r w:rsidRPr="00AA552A">
        <w:rPr>
          <w:rFonts w:cs="Cambria"/>
          <w:color w:val="000000"/>
          <w:spacing w:val="2"/>
        </w:rPr>
        <w:t>2</w:t>
      </w:r>
      <w:r w:rsidRPr="00AA552A">
        <w:rPr>
          <w:rFonts w:cs="Cambria"/>
          <w:color w:val="000000"/>
          <w:spacing w:val="-1"/>
        </w:rPr>
        <w:t>011</w:t>
      </w:r>
      <w:r w:rsidRPr="00AA552A">
        <w:rPr>
          <w:rFonts w:cs="Cambria"/>
          <w:color w:val="000000"/>
        </w:rPr>
        <w:t>)</w:t>
      </w:r>
      <w:r w:rsidRPr="00AA552A">
        <w:rPr>
          <w:rFonts w:cs="Cambria"/>
          <w:color w:val="000000"/>
          <w:spacing w:val="-6"/>
        </w:rPr>
        <w:t xml:space="preserve"> </w:t>
      </w:r>
      <w:r>
        <w:rPr>
          <w:rFonts w:cs="Cambria"/>
          <w:color w:val="000000"/>
          <w:spacing w:val="1"/>
        </w:rPr>
        <w:t>designated</w:t>
      </w:r>
      <w:r w:rsidRPr="00AA552A">
        <w:rPr>
          <w:rFonts w:cs="Cambria"/>
          <w:color w:val="000000"/>
          <w:spacing w:val="-6"/>
        </w:rPr>
        <w:t xml:space="preserve"> </w:t>
      </w:r>
      <w:r w:rsidRPr="00AA552A">
        <w:rPr>
          <w:rFonts w:cs="Cambria"/>
          <w:color w:val="000000"/>
        </w:rPr>
        <w:t>the D</w:t>
      </w:r>
      <w:r w:rsidRPr="00AA552A">
        <w:rPr>
          <w:rFonts w:cs="Cambria"/>
          <w:color w:val="000000"/>
          <w:spacing w:val="1"/>
        </w:rPr>
        <w:t>eep</w:t>
      </w:r>
      <w:r w:rsidRPr="00AA552A">
        <w:rPr>
          <w:rFonts w:cs="Cambria"/>
          <w:color w:val="000000"/>
          <w:spacing w:val="-1"/>
        </w:rPr>
        <w:t>w</w:t>
      </w:r>
      <w:r w:rsidRPr="00AA552A">
        <w:rPr>
          <w:rFonts w:cs="Cambria"/>
          <w:color w:val="000000"/>
        </w:rPr>
        <w:t>at</w:t>
      </w:r>
      <w:r w:rsidRPr="00AA552A">
        <w:rPr>
          <w:rFonts w:cs="Cambria"/>
          <w:color w:val="000000"/>
          <w:spacing w:val="1"/>
        </w:rPr>
        <w:t>e</w:t>
      </w:r>
      <w:r w:rsidRPr="00AA552A">
        <w:rPr>
          <w:rFonts w:cs="Cambria"/>
          <w:color w:val="000000"/>
        </w:rPr>
        <w:t>r</w:t>
      </w:r>
      <w:r w:rsidRPr="00AA552A">
        <w:rPr>
          <w:rFonts w:cs="Cambria"/>
          <w:color w:val="000000"/>
          <w:spacing w:val="-7"/>
        </w:rPr>
        <w:t xml:space="preserve"> </w:t>
      </w:r>
      <w:r w:rsidRPr="00AA552A">
        <w:rPr>
          <w:rFonts w:cs="Cambria"/>
          <w:color w:val="000000"/>
          <w:spacing w:val="-1"/>
        </w:rPr>
        <w:t>C</w:t>
      </w:r>
      <w:r w:rsidRPr="00AA552A">
        <w:rPr>
          <w:rFonts w:cs="Cambria"/>
          <w:color w:val="000000"/>
        </w:rPr>
        <w:t>o</w:t>
      </w:r>
      <w:r w:rsidRPr="00AA552A">
        <w:rPr>
          <w:rFonts w:cs="Cambria"/>
          <w:color w:val="000000"/>
          <w:spacing w:val="-1"/>
        </w:rPr>
        <w:t>r</w:t>
      </w:r>
      <w:r w:rsidRPr="00AA552A">
        <w:rPr>
          <w:rFonts w:cs="Cambria"/>
          <w:color w:val="000000"/>
        </w:rPr>
        <w:t>al</w:t>
      </w:r>
      <w:r w:rsidRPr="00AA552A">
        <w:rPr>
          <w:rFonts w:cs="Cambria"/>
          <w:color w:val="000000"/>
          <w:spacing w:val="-4"/>
        </w:rPr>
        <w:t xml:space="preserve"> </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s</w:t>
      </w:r>
      <w:r w:rsidRPr="00AA552A">
        <w:rPr>
          <w:rFonts w:cs="Cambria"/>
          <w:color w:val="000000"/>
          <w:spacing w:val="-5"/>
        </w:rPr>
        <w:t xml:space="preserve"> </w:t>
      </w:r>
      <w:r w:rsidRPr="00AA552A">
        <w:rPr>
          <w:rFonts w:cs="Cambria"/>
          <w:color w:val="000000"/>
        </w:rPr>
        <w:t>as</w:t>
      </w:r>
      <w:r w:rsidRPr="00AA552A">
        <w:rPr>
          <w:rFonts w:cs="Cambria"/>
          <w:color w:val="000000"/>
          <w:spacing w:val="-1"/>
        </w:rPr>
        <w:t xml:space="preserve"> </w:t>
      </w:r>
      <w:r w:rsidRPr="00AA552A">
        <w:rPr>
          <w:rFonts w:cs="Cambria"/>
          <w:color w:val="000000"/>
          <w:spacing w:val="1"/>
        </w:rPr>
        <w:t>EFH</w:t>
      </w:r>
      <w:r w:rsidRPr="00AA552A">
        <w:rPr>
          <w:rFonts w:cs="Cambria"/>
          <w:color w:val="000000"/>
        </w:rPr>
        <w:t>-</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s</w:t>
      </w:r>
      <w:r w:rsidRPr="00AA552A">
        <w:rPr>
          <w:rFonts w:cs="Cambria"/>
          <w:color w:val="000000"/>
          <w:spacing w:val="-8"/>
        </w:rPr>
        <w:t xml:space="preserve"> </w:t>
      </w:r>
      <w:r w:rsidRPr="00AA552A">
        <w:rPr>
          <w:rFonts w:cs="Cambria"/>
          <w:color w:val="000000"/>
        </w:rPr>
        <w:t>un</w:t>
      </w:r>
      <w:r w:rsidRPr="00AA552A">
        <w:rPr>
          <w:rFonts w:cs="Cambria"/>
          <w:color w:val="000000"/>
          <w:spacing w:val="-1"/>
        </w:rPr>
        <w:t>d</w:t>
      </w:r>
      <w:r w:rsidRPr="00AA552A">
        <w:rPr>
          <w:rFonts w:cs="Cambria"/>
          <w:color w:val="000000"/>
          <w:spacing w:val="1"/>
        </w:rPr>
        <w:t>e</w:t>
      </w:r>
      <w:r w:rsidRPr="00AA552A">
        <w:rPr>
          <w:rFonts w:cs="Cambria"/>
          <w:color w:val="000000"/>
        </w:rPr>
        <w:t>r</w:t>
      </w:r>
      <w:r w:rsidRPr="00AA552A">
        <w:rPr>
          <w:rFonts w:cs="Cambria"/>
          <w:color w:val="000000"/>
          <w:spacing w:val="-4"/>
        </w:rPr>
        <w:t xml:space="preserve"> </w:t>
      </w:r>
      <w:r w:rsidRPr="00AA552A">
        <w:rPr>
          <w:rFonts w:cs="Cambria"/>
          <w:color w:val="000000"/>
          <w:spacing w:val="-2"/>
        </w:rPr>
        <w:t>t</w:t>
      </w:r>
      <w:r w:rsidRPr="00AA552A">
        <w:rPr>
          <w:rFonts w:cs="Cambria"/>
          <w:color w:val="000000"/>
        </w:rPr>
        <w:t>he</w:t>
      </w:r>
      <w:r w:rsidRPr="00AA552A">
        <w:rPr>
          <w:rFonts w:cs="Cambria"/>
          <w:color w:val="000000"/>
          <w:spacing w:val="-1"/>
        </w:rPr>
        <w:t xml:space="preserve"> C</w:t>
      </w:r>
      <w:r w:rsidRPr="00AA552A">
        <w:rPr>
          <w:rFonts w:cs="Cambria"/>
          <w:color w:val="000000"/>
        </w:rPr>
        <w:t>o</w:t>
      </w:r>
      <w:r w:rsidRPr="00AA552A">
        <w:rPr>
          <w:rFonts w:cs="Cambria"/>
          <w:color w:val="000000"/>
          <w:spacing w:val="-1"/>
        </w:rPr>
        <w:t>r</w:t>
      </w:r>
      <w:r w:rsidRPr="00AA552A">
        <w:rPr>
          <w:rFonts w:cs="Cambria"/>
          <w:color w:val="000000"/>
        </w:rPr>
        <w:t>al</w:t>
      </w:r>
      <w:r w:rsidRPr="00AA552A">
        <w:rPr>
          <w:rFonts w:cs="Cambria"/>
          <w:color w:val="000000"/>
          <w:spacing w:val="-4"/>
        </w:rPr>
        <w:t xml:space="preserve"> </w:t>
      </w:r>
      <w:r w:rsidRPr="00AA552A">
        <w:rPr>
          <w:rFonts w:cs="Cambria"/>
          <w:color w:val="000000"/>
          <w:spacing w:val="1"/>
        </w:rPr>
        <w:t>FM</w:t>
      </w:r>
      <w:r w:rsidRPr="00AA552A">
        <w:rPr>
          <w:rFonts w:cs="Cambria"/>
          <w:color w:val="000000"/>
        </w:rPr>
        <w:t>P</w:t>
      </w:r>
      <w:r w:rsidRPr="00AA552A">
        <w:rPr>
          <w:rFonts w:cs="Cambria"/>
          <w:color w:val="000000"/>
          <w:spacing w:val="-3"/>
        </w:rPr>
        <w:t xml:space="preserve"> </w:t>
      </w:r>
      <w:r w:rsidRPr="00AA552A">
        <w:rPr>
          <w:rFonts w:cs="Cambria"/>
          <w:color w:val="000000"/>
        </w:rPr>
        <w:t>as</w:t>
      </w:r>
      <w:r w:rsidRPr="00AA552A">
        <w:rPr>
          <w:rFonts w:cs="Cambria"/>
          <w:color w:val="000000"/>
          <w:spacing w:val="-1"/>
        </w:rPr>
        <w:t xml:space="preserve"> f</w:t>
      </w:r>
      <w:r w:rsidRPr="00AA552A">
        <w:rPr>
          <w:rFonts w:cs="Cambria"/>
          <w:color w:val="000000"/>
        </w:rPr>
        <w:t>ollo</w:t>
      </w:r>
      <w:r w:rsidRPr="00AA552A">
        <w:rPr>
          <w:rFonts w:cs="Cambria"/>
          <w:color w:val="000000"/>
          <w:spacing w:val="-1"/>
        </w:rPr>
        <w:t>w</w:t>
      </w:r>
      <w:r w:rsidRPr="00AA552A">
        <w:rPr>
          <w:rFonts w:cs="Cambria"/>
          <w:color w:val="000000"/>
          <w:spacing w:val="2"/>
        </w:rPr>
        <w:t>s</w:t>
      </w:r>
      <w:r w:rsidRPr="00AA552A">
        <w:rPr>
          <w:rFonts w:cs="Cambria"/>
          <w:color w:val="000000"/>
        </w:rPr>
        <w:t>:</w:t>
      </w:r>
    </w:p>
    <w:p w14:paraId="092BEFC9" w14:textId="77777777" w:rsidR="00DC4922" w:rsidRPr="00AA552A" w:rsidRDefault="00DC4922" w:rsidP="00DC4922">
      <w:pPr>
        <w:rPr>
          <w:rFonts w:cs="Cambria"/>
          <w:color w:val="000000"/>
          <w:sz w:val="28"/>
        </w:rPr>
      </w:pPr>
    </w:p>
    <w:p w14:paraId="759AAEC9" w14:textId="77777777" w:rsidR="00DC4922" w:rsidRPr="00AA552A" w:rsidRDefault="00DC4922" w:rsidP="00640526">
      <w:pPr>
        <w:ind w:firstLine="360"/>
        <w:rPr>
          <w:rFonts w:cs="Cambria"/>
          <w:color w:val="000000"/>
        </w:rPr>
      </w:pPr>
      <w:r w:rsidRPr="00AA552A">
        <w:rPr>
          <w:rFonts w:cs="Cambria"/>
          <w:color w:val="000000"/>
        </w:rPr>
        <w:t>D</w:t>
      </w:r>
      <w:r w:rsidRPr="00AA552A">
        <w:rPr>
          <w:rFonts w:cs="Cambria"/>
          <w:color w:val="000000"/>
          <w:spacing w:val="1"/>
        </w:rPr>
        <w:t>eep</w:t>
      </w:r>
      <w:r w:rsidRPr="00AA552A">
        <w:rPr>
          <w:rFonts w:cs="Cambria"/>
          <w:color w:val="000000"/>
          <w:spacing w:val="-1"/>
        </w:rPr>
        <w:t>w</w:t>
      </w:r>
      <w:r w:rsidRPr="00AA552A">
        <w:rPr>
          <w:rFonts w:cs="Cambria"/>
          <w:color w:val="000000"/>
        </w:rPr>
        <w:t>at</w:t>
      </w:r>
      <w:r w:rsidRPr="00AA552A">
        <w:rPr>
          <w:rFonts w:cs="Cambria"/>
          <w:color w:val="000000"/>
          <w:spacing w:val="1"/>
        </w:rPr>
        <w:t>e</w:t>
      </w:r>
      <w:r w:rsidRPr="00AA552A">
        <w:rPr>
          <w:rFonts w:cs="Cambria"/>
          <w:color w:val="000000"/>
        </w:rPr>
        <w:t>r</w:t>
      </w:r>
      <w:r w:rsidRPr="00AA552A">
        <w:rPr>
          <w:rFonts w:cs="Cambria"/>
          <w:color w:val="000000"/>
          <w:spacing w:val="-7"/>
        </w:rPr>
        <w:t xml:space="preserve"> </w:t>
      </w:r>
      <w:r w:rsidRPr="00AA552A">
        <w:rPr>
          <w:rFonts w:cs="Cambria"/>
          <w:color w:val="000000"/>
          <w:spacing w:val="-1"/>
        </w:rPr>
        <w:t>C</w:t>
      </w:r>
      <w:r w:rsidRPr="00AA552A">
        <w:rPr>
          <w:rFonts w:cs="Cambria"/>
          <w:color w:val="000000"/>
        </w:rPr>
        <w:t>o</w:t>
      </w:r>
      <w:r w:rsidRPr="00AA552A">
        <w:rPr>
          <w:rFonts w:cs="Cambria"/>
          <w:color w:val="000000"/>
          <w:spacing w:val="-1"/>
        </w:rPr>
        <w:t>r</w:t>
      </w:r>
      <w:r w:rsidRPr="00AA552A">
        <w:rPr>
          <w:rFonts w:cs="Cambria"/>
          <w:color w:val="000000"/>
        </w:rPr>
        <w:t>al</w:t>
      </w:r>
      <w:r w:rsidRPr="00AA552A">
        <w:rPr>
          <w:rFonts w:cs="Cambria"/>
          <w:color w:val="000000"/>
          <w:spacing w:val="-4"/>
        </w:rPr>
        <w:t xml:space="preserve"> </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s</w:t>
      </w:r>
      <w:r w:rsidRPr="00AA552A">
        <w:rPr>
          <w:rFonts w:cs="Cambria"/>
          <w:color w:val="000000"/>
          <w:spacing w:val="-5"/>
        </w:rPr>
        <w:t xml:space="preserve"> </w:t>
      </w:r>
      <w:r w:rsidRPr="00AA552A">
        <w:rPr>
          <w:rFonts w:cs="Cambria"/>
          <w:color w:val="000000"/>
          <w:spacing w:val="-1"/>
        </w:rPr>
        <w:t>d</w:t>
      </w:r>
      <w:r w:rsidRPr="00AA552A">
        <w:rPr>
          <w:rFonts w:cs="Cambria"/>
          <w:color w:val="000000"/>
          <w:spacing w:val="1"/>
        </w:rPr>
        <w:t>e</w:t>
      </w:r>
      <w:r w:rsidRPr="00AA552A">
        <w:rPr>
          <w:rFonts w:cs="Cambria"/>
          <w:color w:val="000000"/>
        </w:rPr>
        <w:t>s</w:t>
      </w:r>
      <w:r w:rsidRPr="00AA552A">
        <w:rPr>
          <w:rFonts w:cs="Cambria"/>
          <w:color w:val="000000"/>
          <w:spacing w:val="1"/>
        </w:rPr>
        <w:t>i</w:t>
      </w:r>
      <w:r w:rsidRPr="00AA552A">
        <w:rPr>
          <w:rFonts w:cs="Cambria"/>
          <w:color w:val="000000"/>
          <w:spacing w:val="-1"/>
        </w:rPr>
        <w:t>g</w:t>
      </w:r>
      <w:r w:rsidRPr="00AA552A">
        <w:rPr>
          <w:rFonts w:cs="Cambria"/>
          <w:color w:val="000000"/>
        </w:rPr>
        <w:t>nat</w:t>
      </w:r>
      <w:r w:rsidRPr="00AA552A">
        <w:rPr>
          <w:rFonts w:cs="Cambria"/>
          <w:color w:val="000000"/>
          <w:spacing w:val="1"/>
        </w:rPr>
        <w:t>e</w:t>
      </w:r>
      <w:r w:rsidRPr="00AA552A">
        <w:rPr>
          <w:rFonts w:cs="Cambria"/>
          <w:color w:val="000000"/>
        </w:rPr>
        <w:t>d</w:t>
      </w:r>
      <w:r w:rsidRPr="00AA552A">
        <w:rPr>
          <w:rFonts w:cs="Cambria"/>
          <w:color w:val="000000"/>
          <w:spacing w:val="-8"/>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C</w:t>
      </w:r>
      <w:r w:rsidRPr="00AA552A">
        <w:rPr>
          <w:rFonts w:cs="Cambria"/>
          <w:color w:val="000000"/>
        </w:rPr>
        <w:t>om</w:t>
      </w:r>
      <w:r w:rsidRPr="00AA552A">
        <w:rPr>
          <w:rFonts w:cs="Cambria"/>
          <w:color w:val="000000"/>
          <w:spacing w:val="1"/>
        </w:rPr>
        <w:t>p</w:t>
      </w:r>
      <w:r w:rsidRPr="00AA552A">
        <w:rPr>
          <w:rFonts w:cs="Cambria"/>
          <w:color w:val="000000"/>
          <w:spacing w:val="-1"/>
        </w:rPr>
        <w:t>r</w:t>
      </w:r>
      <w:r w:rsidRPr="00AA552A">
        <w:rPr>
          <w:rFonts w:cs="Cambria"/>
          <w:color w:val="000000"/>
          <w:spacing w:val="1"/>
        </w:rPr>
        <w:t>e</w:t>
      </w:r>
      <w:r w:rsidRPr="00AA552A">
        <w:rPr>
          <w:rFonts w:cs="Cambria"/>
          <w:color w:val="000000"/>
        </w:rPr>
        <w:t>h</w:t>
      </w:r>
      <w:r w:rsidRPr="00AA552A">
        <w:rPr>
          <w:rFonts w:cs="Cambria"/>
          <w:color w:val="000000"/>
          <w:spacing w:val="1"/>
        </w:rPr>
        <w:t>e</w:t>
      </w:r>
      <w:r w:rsidRPr="00AA552A">
        <w:rPr>
          <w:rFonts w:cs="Cambria"/>
          <w:color w:val="000000"/>
        </w:rPr>
        <w:t>ns</w:t>
      </w:r>
      <w:r w:rsidRPr="00AA552A">
        <w:rPr>
          <w:rFonts w:cs="Cambria"/>
          <w:color w:val="000000"/>
          <w:spacing w:val="1"/>
        </w:rPr>
        <w:t>i</w:t>
      </w:r>
      <w:r w:rsidRPr="00AA552A">
        <w:rPr>
          <w:rFonts w:cs="Cambria"/>
          <w:color w:val="000000"/>
          <w:spacing w:val="-1"/>
        </w:rPr>
        <w:t>v</w:t>
      </w:r>
      <w:r w:rsidRPr="00AA552A">
        <w:rPr>
          <w:rFonts w:cs="Cambria"/>
          <w:color w:val="000000"/>
        </w:rPr>
        <w:t>e</w:t>
      </w:r>
      <w:r w:rsidRPr="00AA552A">
        <w:rPr>
          <w:rFonts w:cs="Cambria"/>
          <w:color w:val="000000"/>
          <w:spacing w:val="-10"/>
        </w:rPr>
        <w:t xml:space="preserve"> </w:t>
      </w:r>
      <w:r w:rsidRPr="00AA552A">
        <w:rPr>
          <w:rFonts w:cs="Cambria"/>
          <w:color w:val="000000"/>
          <w:spacing w:val="1"/>
        </w:rPr>
        <w:t>E</w:t>
      </w:r>
      <w:r w:rsidRPr="00AA552A">
        <w:rPr>
          <w:rFonts w:cs="Cambria"/>
          <w:color w:val="000000"/>
        </w:rPr>
        <w:t>cos</w:t>
      </w:r>
      <w:r w:rsidRPr="00AA552A">
        <w:rPr>
          <w:rFonts w:cs="Cambria"/>
          <w:color w:val="000000"/>
          <w:spacing w:val="-1"/>
        </w:rPr>
        <w:t>y</w:t>
      </w:r>
      <w:r w:rsidRPr="00AA552A">
        <w:rPr>
          <w:rFonts w:cs="Cambria"/>
          <w:color w:val="000000"/>
        </w:rPr>
        <w:t>st</w:t>
      </w:r>
      <w:r w:rsidRPr="00AA552A">
        <w:rPr>
          <w:rFonts w:cs="Cambria"/>
          <w:color w:val="000000"/>
          <w:spacing w:val="1"/>
        </w:rPr>
        <w:t>e</w:t>
      </w:r>
      <w:r w:rsidRPr="00AA552A">
        <w:rPr>
          <w:rFonts w:cs="Cambria"/>
          <w:color w:val="000000"/>
        </w:rPr>
        <w:t>m-Bas</w:t>
      </w:r>
      <w:r w:rsidRPr="00AA552A">
        <w:rPr>
          <w:rFonts w:cs="Cambria"/>
          <w:color w:val="000000"/>
          <w:spacing w:val="1"/>
        </w:rPr>
        <w:t>e</w:t>
      </w:r>
      <w:r w:rsidRPr="00AA552A">
        <w:rPr>
          <w:rFonts w:cs="Cambria"/>
          <w:color w:val="000000"/>
        </w:rPr>
        <w:t>d</w:t>
      </w:r>
      <w:r w:rsidRPr="00AA552A">
        <w:rPr>
          <w:rFonts w:cs="Cambria"/>
          <w:color w:val="000000"/>
          <w:spacing w:val="-11"/>
        </w:rPr>
        <w:t xml:space="preserve"> </w:t>
      </w:r>
      <w:r w:rsidRPr="00AA552A">
        <w:rPr>
          <w:rFonts w:cs="Cambria"/>
          <w:color w:val="000000"/>
          <w:spacing w:val="-1"/>
        </w:rPr>
        <w:t>A</w:t>
      </w:r>
      <w:r w:rsidRPr="00AA552A">
        <w:rPr>
          <w:rFonts w:cs="Cambria"/>
          <w:color w:val="000000"/>
        </w:rPr>
        <w:t>m</w:t>
      </w:r>
      <w:r w:rsidRPr="00AA552A">
        <w:rPr>
          <w:rFonts w:cs="Cambria"/>
          <w:color w:val="000000"/>
          <w:spacing w:val="1"/>
        </w:rPr>
        <w:t>e</w:t>
      </w:r>
      <w:r w:rsidRPr="00AA552A">
        <w:rPr>
          <w:rFonts w:cs="Cambria"/>
          <w:color w:val="000000"/>
        </w:rPr>
        <w:t>n</w:t>
      </w:r>
      <w:r w:rsidRPr="00AA552A">
        <w:rPr>
          <w:rFonts w:cs="Cambria"/>
          <w:color w:val="000000"/>
          <w:spacing w:val="-1"/>
        </w:rPr>
        <w:t>d</w:t>
      </w:r>
      <w:r w:rsidRPr="00AA552A">
        <w:rPr>
          <w:rFonts w:cs="Cambria"/>
          <w:color w:val="000000"/>
        </w:rPr>
        <w:t>m</w:t>
      </w:r>
      <w:r w:rsidRPr="00AA552A">
        <w:rPr>
          <w:rFonts w:cs="Cambria"/>
          <w:color w:val="000000"/>
          <w:spacing w:val="1"/>
        </w:rPr>
        <w:t>e</w:t>
      </w:r>
      <w:r w:rsidRPr="00AA552A">
        <w:rPr>
          <w:rFonts w:cs="Cambria"/>
          <w:color w:val="000000"/>
        </w:rPr>
        <w:t>nt</w:t>
      </w:r>
      <w:r w:rsidRPr="00AA552A">
        <w:rPr>
          <w:rFonts w:cs="Cambria"/>
          <w:color w:val="000000"/>
          <w:spacing w:val="-8"/>
        </w:rPr>
        <w:t xml:space="preserve"> </w:t>
      </w:r>
      <w:r w:rsidRPr="00AA552A">
        <w:rPr>
          <w:rFonts w:cs="Cambria"/>
          <w:color w:val="000000"/>
        </w:rPr>
        <w:t>1</w:t>
      </w:r>
      <w:r w:rsidRPr="00AA552A">
        <w:rPr>
          <w:rFonts w:cs="Cambria"/>
          <w:color w:val="000000"/>
          <w:spacing w:val="-2"/>
        </w:rPr>
        <w:t xml:space="preserve"> </w:t>
      </w:r>
      <w:r w:rsidRPr="00AA552A">
        <w:rPr>
          <w:rFonts w:cs="Cambria"/>
          <w:color w:val="000000"/>
        </w:rPr>
        <w:t xml:space="preserve">as </w:t>
      </w:r>
      <w:r w:rsidRPr="00AA552A">
        <w:rPr>
          <w:rFonts w:cs="Cambria"/>
          <w:color w:val="000000"/>
          <w:spacing w:val="1"/>
        </w:rPr>
        <w:t>S</w:t>
      </w:r>
      <w:r w:rsidRPr="00AA552A">
        <w:rPr>
          <w:rFonts w:cs="Cambria"/>
          <w:color w:val="000000"/>
        </w:rPr>
        <w:t>na</w:t>
      </w:r>
      <w:r w:rsidRPr="00AA552A">
        <w:rPr>
          <w:rFonts w:cs="Cambria"/>
          <w:color w:val="000000"/>
          <w:spacing w:val="-1"/>
        </w:rPr>
        <w:t>p</w:t>
      </w:r>
      <w:r w:rsidRPr="00AA552A">
        <w:rPr>
          <w:rFonts w:cs="Cambria"/>
          <w:color w:val="000000"/>
          <w:spacing w:val="1"/>
        </w:rPr>
        <w:t>pe</w:t>
      </w:r>
      <w:r w:rsidRPr="00AA552A">
        <w:rPr>
          <w:rFonts w:cs="Cambria"/>
          <w:color w:val="000000"/>
        </w:rPr>
        <w:t>r</w:t>
      </w:r>
      <w:r w:rsidRPr="00AA552A">
        <w:rPr>
          <w:rFonts w:cs="Cambria"/>
          <w:color w:val="000000"/>
          <w:spacing w:val="-3"/>
        </w:rPr>
        <w:t xml:space="preserve"> </w:t>
      </w:r>
      <w:r w:rsidRPr="00AA552A">
        <w:rPr>
          <w:rFonts w:cs="Cambria"/>
          <w:color w:val="000000"/>
        </w:rPr>
        <w:t>G</w:t>
      </w:r>
      <w:r w:rsidRPr="00AA552A">
        <w:rPr>
          <w:rFonts w:cs="Cambria"/>
          <w:color w:val="000000"/>
          <w:spacing w:val="-1"/>
        </w:rPr>
        <w:t>r</w:t>
      </w:r>
      <w:r w:rsidRPr="00AA552A">
        <w:rPr>
          <w:rFonts w:cs="Cambria"/>
          <w:color w:val="000000"/>
        </w:rPr>
        <w:t>o</w:t>
      </w:r>
      <w:r w:rsidRPr="00AA552A">
        <w:rPr>
          <w:rFonts w:cs="Cambria"/>
          <w:color w:val="000000"/>
          <w:spacing w:val="-1"/>
        </w:rPr>
        <w:t>u</w:t>
      </w:r>
      <w:r w:rsidRPr="00AA552A">
        <w:rPr>
          <w:rFonts w:cs="Cambria"/>
          <w:color w:val="000000"/>
          <w:spacing w:val="1"/>
        </w:rPr>
        <w:t>pe</w:t>
      </w:r>
      <w:r w:rsidRPr="00AA552A">
        <w:rPr>
          <w:rFonts w:cs="Cambria"/>
          <w:color w:val="000000"/>
        </w:rPr>
        <w:t>r</w:t>
      </w:r>
      <w:r w:rsidRPr="00AA552A">
        <w:rPr>
          <w:rFonts w:cs="Cambria"/>
          <w:color w:val="000000"/>
          <w:spacing w:val="-7"/>
        </w:rPr>
        <w:t xml:space="preserve"> </w:t>
      </w:r>
      <w:r w:rsidRPr="00AA552A">
        <w:rPr>
          <w:rFonts w:cs="Cambria"/>
          <w:color w:val="000000"/>
          <w:spacing w:val="1"/>
        </w:rPr>
        <w:t>EFH</w:t>
      </w:r>
      <w:r w:rsidRPr="00AA552A">
        <w:rPr>
          <w:rFonts w:cs="Cambria"/>
          <w:color w:val="000000"/>
          <w:spacing w:val="-3"/>
        </w:rPr>
        <w:t>-</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s:</w:t>
      </w:r>
      <w:r w:rsidRPr="00AA552A">
        <w:rPr>
          <w:rFonts w:cs="Cambria"/>
          <w:color w:val="000000"/>
          <w:spacing w:val="43"/>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p</w:t>
      </w:r>
      <w:r w:rsidRPr="00AA552A">
        <w:rPr>
          <w:rFonts w:cs="Cambria"/>
          <w:color w:val="000000"/>
        </w:rPr>
        <w:t>e</w:t>
      </w:r>
      <w:r w:rsidRPr="00AA552A">
        <w:rPr>
          <w:rFonts w:cs="Cambria"/>
          <w:color w:val="000000"/>
          <w:spacing w:val="-2"/>
        </w:rPr>
        <w:t xml:space="preserve"> </w:t>
      </w:r>
      <w:r w:rsidRPr="00AA552A">
        <w:rPr>
          <w:rFonts w:cs="Cambria"/>
          <w:color w:val="000000"/>
          <w:spacing w:val="1"/>
        </w:rPr>
        <w:t>L</w:t>
      </w:r>
      <w:r w:rsidRPr="00AA552A">
        <w:rPr>
          <w:rFonts w:cs="Cambria"/>
          <w:color w:val="000000"/>
        </w:rPr>
        <w:t>oo</w:t>
      </w:r>
      <w:r w:rsidRPr="00AA552A">
        <w:rPr>
          <w:rFonts w:cs="Cambria"/>
          <w:color w:val="000000"/>
          <w:spacing w:val="-1"/>
        </w:rPr>
        <w:t>k</w:t>
      </w:r>
      <w:r w:rsidRPr="00AA552A">
        <w:rPr>
          <w:rFonts w:cs="Cambria"/>
          <w:color w:val="000000"/>
        </w:rPr>
        <w:t>out</w:t>
      </w:r>
      <w:r w:rsidRPr="00AA552A">
        <w:rPr>
          <w:rFonts w:cs="Cambria"/>
          <w:color w:val="000000"/>
          <w:spacing w:val="-5"/>
        </w:rPr>
        <w:t xml:space="preserve"> </w:t>
      </w:r>
      <w:r w:rsidRPr="00AA552A">
        <w:rPr>
          <w:rFonts w:cs="Cambria"/>
          <w:color w:val="000000"/>
          <w:spacing w:val="2"/>
        </w:rPr>
        <w:t>C</w:t>
      </w:r>
      <w:r w:rsidRPr="00AA552A">
        <w:rPr>
          <w:rFonts w:cs="Cambria"/>
          <w:color w:val="000000"/>
        </w:rPr>
        <w:t>o</w:t>
      </w:r>
      <w:r w:rsidRPr="00AA552A">
        <w:rPr>
          <w:rFonts w:cs="Cambria"/>
          <w:color w:val="000000"/>
          <w:spacing w:val="-1"/>
        </w:rPr>
        <w:t>r</w:t>
      </w:r>
      <w:r w:rsidRPr="00AA552A">
        <w:rPr>
          <w:rFonts w:cs="Cambria"/>
          <w:color w:val="000000"/>
        </w:rPr>
        <w:t>al</w:t>
      </w:r>
      <w:r w:rsidRPr="00AA552A">
        <w:rPr>
          <w:rFonts w:cs="Cambria"/>
          <w:color w:val="000000"/>
          <w:spacing w:val="-4"/>
        </w:rPr>
        <w:t xml:space="preserve"> </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w:t>
      </w:r>
      <w:r w:rsidRPr="00AA552A">
        <w:rPr>
          <w:rFonts w:cs="Cambria"/>
          <w:color w:val="000000"/>
          <w:spacing w:val="-3"/>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p</w:t>
      </w:r>
      <w:r w:rsidRPr="00AA552A">
        <w:rPr>
          <w:rFonts w:cs="Cambria"/>
          <w:color w:val="000000"/>
        </w:rPr>
        <w:t>e</w:t>
      </w:r>
      <w:r w:rsidRPr="00AA552A">
        <w:rPr>
          <w:rFonts w:cs="Cambria"/>
          <w:color w:val="000000"/>
          <w:spacing w:val="-2"/>
        </w:rPr>
        <w:t xml:space="preserve"> </w:t>
      </w:r>
      <w:r w:rsidRPr="00AA552A">
        <w:rPr>
          <w:rFonts w:cs="Cambria"/>
          <w:color w:val="000000"/>
          <w:spacing w:val="1"/>
        </w:rPr>
        <w:t>Fe</w:t>
      </w:r>
      <w:r w:rsidRPr="00AA552A">
        <w:rPr>
          <w:rFonts w:cs="Cambria"/>
          <w:color w:val="000000"/>
        </w:rPr>
        <w:t>ar</w:t>
      </w:r>
      <w:r w:rsidRPr="00AA552A">
        <w:rPr>
          <w:rFonts w:cs="Cambria"/>
          <w:color w:val="000000"/>
          <w:spacing w:val="-4"/>
        </w:rPr>
        <w:t xml:space="preserve"> </w:t>
      </w:r>
      <w:r w:rsidRPr="00AA552A">
        <w:rPr>
          <w:rFonts w:cs="Cambria"/>
          <w:color w:val="000000"/>
          <w:spacing w:val="-3"/>
        </w:rPr>
        <w:t>C</w:t>
      </w:r>
      <w:r w:rsidRPr="00AA552A">
        <w:rPr>
          <w:rFonts w:cs="Cambria"/>
          <w:color w:val="000000"/>
        </w:rPr>
        <w:t>o</w:t>
      </w:r>
      <w:r w:rsidRPr="00AA552A">
        <w:rPr>
          <w:rFonts w:cs="Cambria"/>
          <w:color w:val="000000"/>
          <w:spacing w:val="-1"/>
        </w:rPr>
        <w:t>r</w:t>
      </w:r>
      <w:r w:rsidRPr="00AA552A">
        <w:rPr>
          <w:rFonts w:cs="Cambria"/>
          <w:color w:val="000000"/>
        </w:rPr>
        <w:t>al</w:t>
      </w:r>
      <w:r w:rsidRPr="00AA552A">
        <w:rPr>
          <w:rFonts w:cs="Cambria"/>
          <w:color w:val="000000"/>
          <w:spacing w:val="-4"/>
        </w:rPr>
        <w:t xml:space="preserve"> </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w:t>
      </w:r>
      <w:r w:rsidRPr="00AA552A">
        <w:rPr>
          <w:rFonts w:cs="Cambria"/>
          <w:color w:val="000000"/>
          <w:spacing w:val="-3"/>
        </w:rPr>
        <w:t xml:space="preserve"> </w:t>
      </w:r>
      <w:r w:rsidRPr="00AA552A">
        <w:rPr>
          <w:rFonts w:cs="Cambria"/>
          <w:color w:val="000000"/>
        </w:rPr>
        <w:t>Bla</w:t>
      </w:r>
      <w:r w:rsidRPr="00AA552A">
        <w:rPr>
          <w:rFonts w:cs="Cambria"/>
          <w:color w:val="000000"/>
          <w:spacing w:val="-1"/>
        </w:rPr>
        <w:t>k</w:t>
      </w:r>
      <w:r w:rsidRPr="00AA552A">
        <w:rPr>
          <w:rFonts w:cs="Cambria"/>
          <w:color w:val="000000"/>
        </w:rPr>
        <w:t>e R</w:t>
      </w:r>
      <w:r w:rsidRPr="00AA552A">
        <w:rPr>
          <w:rFonts w:cs="Cambria"/>
          <w:color w:val="000000"/>
          <w:spacing w:val="1"/>
        </w:rPr>
        <w:t>i</w:t>
      </w:r>
      <w:r w:rsidRPr="00AA552A">
        <w:rPr>
          <w:rFonts w:cs="Cambria"/>
          <w:color w:val="000000"/>
          <w:spacing w:val="-1"/>
        </w:rPr>
        <w:t>dg</w:t>
      </w:r>
      <w:r w:rsidRPr="00AA552A">
        <w:rPr>
          <w:rFonts w:cs="Cambria"/>
          <w:color w:val="000000"/>
        </w:rPr>
        <w:t>e D</w:t>
      </w:r>
      <w:r w:rsidRPr="00AA552A">
        <w:rPr>
          <w:rFonts w:cs="Cambria"/>
          <w:color w:val="000000"/>
          <w:spacing w:val="1"/>
        </w:rPr>
        <w:t>i</w:t>
      </w:r>
      <w:r w:rsidRPr="00AA552A">
        <w:rPr>
          <w:rFonts w:cs="Cambria"/>
          <w:color w:val="000000"/>
        </w:rPr>
        <w:t>a</w:t>
      </w:r>
      <w:r w:rsidRPr="00AA552A">
        <w:rPr>
          <w:rFonts w:cs="Cambria"/>
          <w:color w:val="000000"/>
          <w:spacing w:val="1"/>
        </w:rPr>
        <w:t>pi</w:t>
      </w:r>
      <w:r w:rsidRPr="00AA552A">
        <w:rPr>
          <w:rFonts w:cs="Cambria"/>
          <w:color w:val="000000"/>
        </w:rPr>
        <w:t>r</w:t>
      </w:r>
      <w:r w:rsidRPr="00AA552A">
        <w:rPr>
          <w:rFonts w:cs="Cambria"/>
          <w:color w:val="000000"/>
          <w:spacing w:val="-5"/>
        </w:rPr>
        <w:t xml:space="preserve"> </w:t>
      </w:r>
      <w:r w:rsidRPr="00AA552A">
        <w:rPr>
          <w:rFonts w:cs="Cambria"/>
          <w:color w:val="000000"/>
          <w:spacing w:val="-1"/>
        </w:rPr>
        <w:t>C</w:t>
      </w:r>
      <w:r w:rsidRPr="00AA552A">
        <w:rPr>
          <w:rFonts w:cs="Cambria"/>
          <w:color w:val="000000"/>
        </w:rPr>
        <w:t>o</w:t>
      </w:r>
      <w:r w:rsidRPr="00AA552A">
        <w:rPr>
          <w:rFonts w:cs="Cambria"/>
          <w:color w:val="000000"/>
          <w:spacing w:val="-1"/>
        </w:rPr>
        <w:t>r</w:t>
      </w:r>
      <w:r w:rsidRPr="00AA552A">
        <w:rPr>
          <w:rFonts w:cs="Cambria"/>
          <w:color w:val="000000"/>
        </w:rPr>
        <w:t>al</w:t>
      </w:r>
      <w:r w:rsidRPr="00AA552A">
        <w:rPr>
          <w:rFonts w:cs="Cambria"/>
          <w:color w:val="000000"/>
          <w:spacing w:val="-4"/>
        </w:rPr>
        <w:t xml:space="preserve"> </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w:t>
      </w:r>
      <w:r w:rsidRPr="00AA552A">
        <w:rPr>
          <w:rFonts w:cs="Cambria"/>
          <w:color w:val="000000"/>
          <w:spacing w:val="-3"/>
        </w:rPr>
        <w:t xml:space="preserve"> </w:t>
      </w:r>
      <w:r w:rsidRPr="00AA552A">
        <w:rPr>
          <w:rFonts w:cs="Cambria"/>
          <w:color w:val="000000"/>
          <w:spacing w:val="1"/>
        </w:rPr>
        <w:t>S</w:t>
      </w:r>
      <w:r w:rsidRPr="00AA552A">
        <w:rPr>
          <w:rFonts w:cs="Cambria"/>
          <w:color w:val="000000"/>
        </w:rPr>
        <w:t>t</w:t>
      </w:r>
      <w:r w:rsidRPr="00AA552A">
        <w:rPr>
          <w:rFonts w:cs="Cambria"/>
          <w:color w:val="000000"/>
          <w:spacing w:val="1"/>
        </w:rPr>
        <w:t>e</w:t>
      </w:r>
      <w:r w:rsidRPr="00AA552A">
        <w:rPr>
          <w:rFonts w:cs="Cambria"/>
          <w:color w:val="000000"/>
          <w:spacing w:val="-2"/>
        </w:rPr>
        <w:t>t</w:t>
      </w:r>
      <w:r w:rsidRPr="00AA552A">
        <w:rPr>
          <w:rFonts w:cs="Cambria"/>
          <w:color w:val="000000"/>
        </w:rPr>
        <w:t>son-</w:t>
      </w:r>
      <w:r w:rsidRPr="00AA552A">
        <w:rPr>
          <w:rFonts w:cs="Cambria"/>
          <w:color w:val="000000"/>
          <w:spacing w:val="1"/>
        </w:rPr>
        <w:t>Mi</w:t>
      </w:r>
      <w:r w:rsidRPr="00AA552A">
        <w:rPr>
          <w:rFonts w:cs="Cambria"/>
          <w:color w:val="000000"/>
        </w:rPr>
        <w:t>ami</w:t>
      </w:r>
      <w:r w:rsidRPr="00AA552A">
        <w:rPr>
          <w:rFonts w:cs="Cambria"/>
          <w:color w:val="000000"/>
          <w:spacing w:val="-5"/>
        </w:rPr>
        <w:t xml:space="preserve"> </w:t>
      </w:r>
      <w:r w:rsidRPr="00AA552A">
        <w:rPr>
          <w:rFonts w:cs="Cambria"/>
          <w:color w:val="000000"/>
          <w:spacing w:val="-1"/>
        </w:rPr>
        <w:t>T</w:t>
      </w:r>
      <w:r w:rsidRPr="00AA552A">
        <w:rPr>
          <w:rFonts w:cs="Cambria"/>
          <w:color w:val="000000"/>
          <w:spacing w:val="1"/>
        </w:rPr>
        <w:t>e</w:t>
      </w:r>
      <w:r w:rsidRPr="00AA552A">
        <w:rPr>
          <w:rFonts w:cs="Cambria"/>
          <w:color w:val="000000"/>
          <w:spacing w:val="-1"/>
        </w:rPr>
        <w:t>rr</w:t>
      </w:r>
      <w:r w:rsidRPr="00AA552A">
        <w:rPr>
          <w:rFonts w:cs="Cambria"/>
          <w:color w:val="000000"/>
        </w:rPr>
        <w:t>ace</w:t>
      </w:r>
      <w:r w:rsidRPr="00AA552A">
        <w:rPr>
          <w:rFonts w:cs="Cambria"/>
          <w:color w:val="000000"/>
          <w:spacing w:val="-6"/>
        </w:rPr>
        <w:t xml:space="preserve"> </w:t>
      </w:r>
      <w:r w:rsidRPr="00AA552A">
        <w:rPr>
          <w:rFonts w:cs="Cambria"/>
          <w:color w:val="000000"/>
          <w:spacing w:val="-1"/>
        </w:rPr>
        <w:t>C</w:t>
      </w:r>
      <w:r w:rsidRPr="00AA552A">
        <w:rPr>
          <w:rFonts w:cs="Cambria"/>
          <w:color w:val="000000"/>
        </w:rPr>
        <w:t>o</w:t>
      </w:r>
      <w:r w:rsidRPr="00AA552A">
        <w:rPr>
          <w:rFonts w:cs="Cambria"/>
          <w:color w:val="000000"/>
          <w:spacing w:val="-1"/>
        </w:rPr>
        <w:t>r</w:t>
      </w:r>
      <w:r w:rsidRPr="00AA552A">
        <w:rPr>
          <w:rFonts w:cs="Cambria"/>
          <w:color w:val="000000"/>
        </w:rPr>
        <w:t>al</w:t>
      </w:r>
      <w:r w:rsidRPr="00AA552A">
        <w:rPr>
          <w:rFonts w:cs="Cambria"/>
          <w:color w:val="000000"/>
          <w:spacing w:val="-4"/>
        </w:rPr>
        <w:t xml:space="preserve"> </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w:t>
      </w:r>
      <w:r w:rsidRPr="00AA552A">
        <w:rPr>
          <w:rFonts w:cs="Cambria"/>
          <w:color w:val="000000"/>
          <w:spacing w:val="-3"/>
        </w:rPr>
        <w:t xml:space="preserve"> </w:t>
      </w:r>
      <w:r>
        <w:rPr>
          <w:rFonts w:cs="Cambria"/>
          <w:color w:val="000000"/>
          <w:spacing w:val="-3"/>
        </w:rPr>
        <w:t xml:space="preserve">and </w:t>
      </w:r>
      <w:r w:rsidRPr="00AA552A">
        <w:rPr>
          <w:rFonts w:cs="Cambria"/>
          <w:color w:val="000000"/>
          <w:spacing w:val="1"/>
        </w:rPr>
        <w:t>P</w:t>
      </w:r>
      <w:r w:rsidRPr="00AA552A">
        <w:rPr>
          <w:rFonts w:cs="Cambria"/>
          <w:color w:val="000000"/>
        </w:rPr>
        <w:t>o</w:t>
      </w:r>
      <w:r w:rsidRPr="00AA552A">
        <w:rPr>
          <w:rFonts w:cs="Cambria"/>
          <w:color w:val="000000"/>
          <w:spacing w:val="-1"/>
        </w:rPr>
        <w:t>ur</w:t>
      </w:r>
      <w:r w:rsidRPr="00AA552A">
        <w:rPr>
          <w:rFonts w:cs="Cambria"/>
          <w:color w:val="000000"/>
        </w:rPr>
        <w:t>tal</w:t>
      </w:r>
      <w:r w:rsidRPr="00AA552A">
        <w:rPr>
          <w:rFonts w:cs="Cambria"/>
          <w:color w:val="000000"/>
          <w:spacing w:val="1"/>
        </w:rPr>
        <w:t>é</w:t>
      </w:r>
      <w:r w:rsidRPr="00AA552A">
        <w:rPr>
          <w:rFonts w:cs="Cambria"/>
          <w:color w:val="000000"/>
        </w:rPr>
        <w:t>s</w:t>
      </w:r>
      <w:r w:rsidRPr="00AA552A">
        <w:rPr>
          <w:rFonts w:cs="Cambria"/>
          <w:color w:val="000000"/>
          <w:spacing w:val="-6"/>
        </w:rPr>
        <w:t xml:space="preserve"> </w:t>
      </w:r>
      <w:r w:rsidRPr="00AA552A">
        <w:rPr>
          <w:rFonts w:cs="Cambria"/>
          <w:color w:val="000000"/>
          <w:spacing w:val="-1"/>
        </w:rPr>
        <w:t>T</w:t>
      </w:r>
      <w:r w:rsidRPr="00AA552A">
        <w:rPr>
          <w:rFonts w:cs="Cambria"/>
          <w:color w:val="000000"/>
          <w:spacing w:val="1"/>
        </w:rPr>
        <w:t>e</w:t>
      </w:r>
      <w:r w:rsidRPr="00AA552A">
        <w:rPr>
          <w:rFonts w:cs="Cambria"/>
          <w:color w:val="000000"/>
          <w:spacing w:val="-1"/>
        </w:rPr>
        <w:t>rr</w:t>
      </w:r>
      <w:r w:rsidRPr="00AA552A">
        <w:rPr>
          <w:rFonts w:cs="Cambria"/>
          <w:color w:val="000000"/>
        </w:rPr>
        <w:t>ace</w:t>
      </w:r>
      <w:r w:rsidRPr="00AA552A">
        <w:rPr>
          <w:rFonts w:cs="Cambria"/>
          <w:color w:val="000000"/>
          <w:spacing w:val="-6"/>
        </w:rPr>
        <w:t xml:space="preserve"> </w:t>
      </w:r>
      <w:r w:rsidRPr="00AA552A">
        <w:rPr>
          <w:rFonts w:cs="Cambria"/>
          <w:color w:val="000000"/>
          <w:spacing w:val="-1"/>
        </w:rPr>
        <w:t>C</w:t>
      </w:r>
      <w:r w:rsidRPr="00AA552A">
        <w:rPr>
          <w:rFonts w:cs="Cambria"/>
          <w:color w:val="000000"/>
        </w:rPr>
        <w:t>o</w:t>
      </w:r>
      <w:r w:rsidRPr="00AA552A">
        <w:rPr>
          <w:rFonts w:cs="Cambria"/>
          <w:color w:val="000000"/>
          <w:spacing w:val="-1"/>
        </w:rPr>
        <w:t>r</w:t>
      </w:r>
      <w:r w:rsidRPr="00AA552A">
        <w:rPr>
          <w:rFonts w:cs="Cambria"/>
          <w:color w:val="000000"/>
        </w:rPr>
        <w:t>al</w:t>
      </w:r>
      <w:r w:rsidRPr="00AA552A">
        <w:rPr>
          <w:rFonts w:cs="Cambria"/>
          <w:color w:val="000000"/>
          <w:spacing w:val="-4"/>
        </w:rPr>
        <w:t xml:space="preserve"> </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w:t>
      </w:r>
    </w:p>
    <w:p w14:paraId="4A303AC6" w14:textId="77777777" w:rsidR="00DC4922" w:rsidRPr="00416614" w:rsidRDefault="00DC4922" w:rsidP="00DC4922">
      <w:pPr>
        <w:rPr>
          <w:rFonts w:cs="Cambria"/>
          <w:color w:val="000000"/>
        </w:rPr>
      </w:pPr>
    </w:p>
    <w:p w14:paraId="374B8B2E" w14:textId="77777777" w:rsidR="00DC4922" w:rsidRPr="00EB603B" w:rsidRDefault="00DC4922" w:rsidP="00DC4922">
      <w:pPr>
        <w:rPr>
          <w:b/>
          <w:color w:val="000000"/>
        </w:rPr>
      </w:pPr>
      <w:r w:rsidRPr="00EB603B">
        <w:rPr>
          <w:b/>
          <w:color w:val="000000"/>
          <w:spacing w:val="-1"/>
        </w:rPr>
        <w:t>D</w:t>
      </w:r>
      <w:r w:rsidRPr="00EB603B">
        <w:rPr>
          <w:b/>
          <w:color w:val="000000"/>
        </w:rPr>
        <w:t>ol</w:t>
      </w:r>
      <w:r w:rsidRPr="00EB603B">
        <w:rPr>
          <w:b/>
          <w:color w:val="000000"/>
          <w:spacing w:val="1"/>
        </w:rPr>
        <w:t>ph</w:t>
      </w:r>
      <w:r w:rsidRPr="00EB603B">
        <w:rPr>
          <w:b/>
          <w:color w:val="000000"/>
          <w:spacing w:val="-1"/>
        </w:rPr>
        <w:t>i</w:t>
      </w:r>
      <w:r w:rsidRPr="00EB603B">
        <w:rPr>
          <w:b/>
          <w:color w:val="000000"/>
        </w:rPr>
        <w:t>n</w:t>
      </w:r>
      <w:r w:rsidRPr="00EB603B">
        <w:rPr>
          <w:b/>
          <w:color w:val="000000"/>
          <w:spacing w:val="-6"/>
        </w:rPr>
        <w:t xml:space="preserve"> </w:t>
      </w:r>
      <w:r w:rsidRPr="00EB603B">
        <w:rPr>
          <w:b/>
          <w:color w:val="000000"/>
          <w:spacing w:val="1"/>
        </w:rPr>
        <w:t>a</w:t>
      </w:r>
      <w:r w:rsidRPr="00EB603B">
        <w:rPr>
          <w:b/>
          <w:color w:val="000000"/>
          <w:spacing w:val="-1"/>
        </w:rPr>
        <w:t>n</w:t>
      </w:r>
      <w:r w:rsidRPr="00EB603B">
        <w:rPr>
          <w:b/>
          <w:color w:val="000000"/>
        </w:rPr>
        <w:t>d W</w:t>
      </w:r>
      <w:r w:rsidRPr="00EB603B">
        <w:rPr>
          <w:b/>
          <w:color w:val="000000"/>
          <w:spacing w:val="1"/>
        </w:rPr>
        <w:t>ah</w:t>
      </w:r>
      <w:r w:rsidRPr="00EB603B">
        <w:rPr>
          <w:b/>
          <w:color w:val="000000"/>
        </w:rPr>
        <w:t>oo</w:t>
      </w:r>
      <w:r w:rsidRPr="00EB603B">
        <w:rPr>
          <w:b/>
          <w:color w:val="000000"/>
          <w:spacing w:val="-1"/>
        </w:rPr>
        <w:t xml:space="preserve"> </w:t>
      </w:r>
      <w:r w:rsidRPr="00EB603B">
        <w:rPr>
          <w:b/>
          <w:color w:val="000000"/>
          <w:spacing w:val="-3"/>
        </w:rPr>
        <w:t>F</w:t>
      </w:r>
      <w:r w:rsidRPr="00EB603B">
        <w:rPr>
          <w:b/>
          <w:color w:val="000000"/>
          <w:spacing w:val="1"/>
        </w:rPr>
        <w:t>M</w:t>
      </w:r>
      <w:r w:rsidRPr="00EB603B">
        <w:rPr>
          <w:b/>
          <w:color w:val="000000"/>
        </w:rPr>
        <w:t>P</w:t>
      </w:r>
    </w:p>
    <w:p w14:paraId="682747F6" w14:textId="77777777" w:rsidR="00DC4922" w:rsidRPr="00AA552A" w:rsidRDefault="00DC4922" w:rsidP="00640526">
      <w:pPr>
        <w:ind w:firstLine="360"/>
        <w:rPr>
          <w:rFonts w:cs="Cambria"/>
          <w:color w:val="000000"/>
        </w:rPr>
      </w:pPr>
      <w:r w:rsidRPr="00AA552A">
        <w:rPr>
          <w:rFonts w:cs="Cambria"/>
          <w:color w:val="000000"/>
          <w:spacing w:val="1"/>
        </w:rPr>
        <w:t>EF</w:t>
      </w:r>
      <w:r w:rsidRPr="00AA552A">
        <w:rPr>
          <w:rFonts w:cs="Cambria"/>
          <w:color w:val="000000"/>
        </w:rPr>
        <w:t>H</w:t>
      </w:r>
      <w:r w:rsidRPr="00AA552A">
        <w:rPr>
          <w:rFonts w:cs="Cambria"/>
          <w:color w:val="000000"/>
          <w:spacing w:val="-2"/>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spacing w:val="-1"/>
        </w:rPr>
        <w:t>d</w:t>
      </w:r>
      <w:r w:rsidRPr="00AA552A">
        <w:rPr>
          <w:rFonts w:cs="Cambria"/>
          <w:color w:val="000000"/>
        </w:rPr>
        <w:t>ol</w:t>
      </w:r>
      <w:r w:rsidRPr="00AA552A">
        <w:rPr>
          <w:rFonts w:cs="Cambria"/>
          <w:color w:val="000000"/>
          <w:spacing w:val="1"/>
        </w:rPr>
        <w:t>p</w:t>
      </w:r>
      <w:r w:rsidRPr="00AA552A">
        <w:rPr>
          <w:rFonts w:cs="Cambria"/>
          <w:color w:val="000000"/>
        </w:rPr>
        <w:t>h</w:t>
      </w:r>
      <w:r w:rsidRPr="00AA552A">
        <w:rPr>
          <w:rFonts w:cs="Cambria"/>
          <w:color w:val="000000"/>
          <w:spacing w:val="1"/>
        </w:rPr>
        <w:t>i</w:t>
      </w:r>
      <w:r w:rsidRPr="00AA552A">
        <w:rPr>
          <w:rFonts w:cs="Cambria"/>
          <w:color w:val="000000"/>
        </w:rPr>
        <w:t>n</w:t>
      </w:r>
      <w:r w:rsidRPr="00AA552A">
        <w:rPr>
          <w:rFonts w:cs="Cambria"/>
          <w:color w:val="000000"/>
          <w:spacing w:val="-5"/>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w</w:t>
      </w:r>
      <w:r w:rsidRPr="00AA552A">
        <w:rPr>
          <w:rFonts w:cs="Cambria"/>
          <w:color w:val="000000"/>
        </w:rPr>
        <w:t>ahoo</w:t>
      </w:r>
      <w:r w:rsidRPr="00AA552A">
        <w:rPr>
          <w:rFonts w:cs="Cambria"/>
          <w:color w:val="000000"/>
          <w:spacing w:val="-4"/>
        </w:rPr>
        <w:t xml:space="preserve"> </w:t>
      </w:r>
      <w:r w:rsidRPr="00AA552A">
        <w:rPr>
          <w:rFonts w:cs="Cambria"/>
          <w:color w:val="000000"/>
          <w:spacing w:val="1"/>
        </w:rPr>
        <w:t>i</w:t>
      </w:r>
      <w:r w:rsidRPr="00AA552A">
        <w:rPr>
          <w:rFonts w:cs="Cambria"/>
          <w:color w:val="000000"/>
        </w:rPr>
        <w:t>s</w:t>
      </w:r>
      <w:r w:rsidRPr="00AA552A">
        <w:rPr>
          <w:rFonts w:cs="Cambria"/>
          <w:color w:val="000000"/>
          <w:spacing w:val="-2"/>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Gulf</w:t>
      </w:r>
      <w:r w:rsidRPr="00AA552A">
        <w:rPr>
          <w:rFonts w:cs="Cambria"/>
          <w:color w:val="000000"/>
          <w:spacing w:val="-3"/>
        </w:rPr>
        <w:t xml:space="preserve"> </w:t>
      </w:r>
      <w:r w:rsidRPr="00AA552A">
        <w:rPr>
          <w:rFonts w:cs="Cambria"/>
          <w:color w:val="000000"/>
          <w:spacing w:val="1"/>
        </w:rPr>
        <w:t>S</w:t>
      </w:r>
      <w:r w:rsidRPr="00AA552A">
        <w:rPr>
          <w:rFonts w:cs="Cambria"/>
          <w:color w:val="000000"/>
        </w:rPr>
        <w:t>t</w:t>
      </w:r>
      <w:r w:rsidRPr="00AA552A">
        <w:rPr>
          <w:rFonts w:cs="Cambria"/>
          <w:color w:val="000000"/>
          <w:spacing w:val="-1"/>
        </w:rPr>
        <w:t>r</w:t>
      </w:r>
      <w:r w:rsidRPr="00AA552A">
        <w:rPr>
          <w:rFonts w:cs="Cambria"/>
          <w:color w:val="000000"/>
          <w:spacing w:val="1"/>
        </w:rPr>
        <w:t>e</w:t>
      </w:r>
      <w:r w:rsidRPr="00AA552A">
        <w:rPr>
          <w:rFonts w:cs="Cambria"/>
          <w:color w:val="000000"/>
        </w:rPr>
        <w:t>am,</w:t>
      </w:r>
      <w:r w:rsidRPr="00AA552A">
        <w:rPr>
          <w:rFonts w:cs="Cambria"/>
          <w:color w:val="000000"/>
          <w:spacing w:val="-1"/>
        </w:rPr>
        <w:t xml:space="preserve"> C</w:t>
      </w:r>
      <w:r w:rsidRPr="00AA552A">
        <w:rPr>
          <w:rFonts w:cs="Cambria"/>
          <w:color w:val="000000"/>
        </w:rPr>
        <w:t>ha</w:t>
      </w:r>
      <w:r w:rsidRPr="00AA552A">
        <w:rPr>
          <w:rFonts w:cs="Cambria"/>
          <w:color w:val="000000"/>
          <w:spacing w:val="-1"/>
        </w:rPr>
        <w:t>r</w:t>
      </w:r>
      <w:r w:rsidRPr="00AA552A">
        <w:rPr>
          <w:rFonts w:cs="Cambria"/>
          <w:color w:val="000000"/>
        </w:rPr>
        <w:t>l</w:t>
      </w:r>
      <w:r w:rsidRPr="00AA552A">
        <w:rPr>
          <w:rFonts w:cs="Cambria"/>
          <w:color w:val="000000"/>
          <w:spacing w:val="1"/>
        </w:rPr>
        <w:t>e</w:t>
      </w:r>
      <w:r w:rsidRPr="00AA552A">
        <w:rPr>
          <w:rFonts w:cs="Cambria"/>
          <w:color w:val="000000"/>
        </w:rPr>
        <w:t>ston</w:t>
      </w:r>
      <w:r w:rsidRPr="00AA552A">
        <w:rPr>
          <w:rFonts w:cs="Cambria"/>
          <w:color w:val="000000"/>
          <w:spacing w:val="-6"/>
        </w:rPr>
        <w:t xml:space="preserve"> </w:t>
      </w:r>
      <w:r w:rsidRPr="00AA552A">
        <w:rPr>
          <w:rFonts w:cs="Cambria"/>
          <w:color w:val="000000"/>
        </w:rPr>
        <w:t>G</w:t>
      </w:r>
      <w:r w:rsidRPr="00AA552A">
        <w:rPr>
          <w:rFonts w:cs="Cambria"/>
          <w:color w:val="000000"/>
          <w:spacing w:val="-1"/>
        </w:rPr>
        <w:t>yr</w:t>
      </w:r>
      <w:r w:rsidRPr="00AA552A">
        <w:rPr>
          <w:rFonts w:cs="Cambria"/>
          <w:color w:val="000000"/>
          <w:spacing w:val="1"/>
        </w:rPr>
        <w:t>e</w:t>
      </w:r>
      <w:r w:rsidRPr="00AA552A">
        <w:rPr>
          <w:rFonts w:cs="Cambria"/>
          <w:color w:val="000000"/>
        </w:rPr>
        <w:t>,</w:t>
      </w:r>
      <w:r w:rsidRPr="00AA552A">
        <w:rPr>
          <w:rFonts w:cs="Cambria"/>
          <w:color w:val="000000"/>
          <w:spacing w:val="-4"/>
        </w:rPr>
        <w:t xml:space="preserv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id</w:t>
      </w:r>
      <w:r w:rsidRPr="00AA552A">
        <w:rPr>
          <w:rFonts w:cs="Cambria"/>
          <w:color w:val="000000"/>
        </w:rPr>
        <w:t>a</w:t>
      </w:r>
      <w:r w:rsidRPr="00AA552A">
        <w:rPr>
          <w:rFonts w:cs="Cambria"/>
          <w:color w:val="000000"/>
          <w:spacing w:val="-6"/>
        </w:rPr>
        <w:t xml:space="preserve"> </w:t>
      </w:r>
      <w:r w:rsidRPr="00AA552A">
        <w:rPr>
          <w:rFonts w:cs="Cambria"/>
          <w:color w:val="000000"/>
          <w:spacing w:val="-1"/>
        </w:rPr>
        <w:t>C</w:t>
      </w:r>
      <w:r w:rsidRPr="00AA552A">
        <w:rPr>
          <w:rFonts w:cs="Cambria"/>
          <w:color w:val="000000"/>
        </w:rPr>
        <w:t>u</w:t>
      </w:r>
      <w:r w:rsidRPr="00AA552A">
        <w:rPr>
          <w:rFonts w:cs="Cambria"/>
          <w:color w:val="000000"/>
          <w:spacing w:val="-1"/>
        </w:rPr>
        <w:t>rr</w:t>
      </w:r>
      <w:r w:rsidRPr="00AA552A">
        <w:rPr>
          <w:rFonts w:cs="Cambria"/>
          <w:color w:val="000000"/>
          <w:spacing w:val="1"/>
        </w:rPr>
        <w:t>e</w:t>
      </w:r>
      <w:r w:rsidRPr="00AA552A">
        <w:rPr>
          <w:rFonts w:cs="Cambria"/>
          <w:color w:val="000000"/>
        </w:rPr>
        <w:t>nt,</w:t>
      </w:r>
      <w:r w:rsidRPr="00AA552A">
        <w:rPr>
          <w:rFonts w:cs="Cambria"/>
          <w:color w:val="000000"/>
          <w:spacing w:val="-5"/>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pe</w:t>
      </w:r>
      <w:r w:rsidRPr="00AA552A">
        <w:rPr>
          <w:rFonts w:cs="Cambria"/>
          <w:color w:val="000000"/>
        </w:rPr>
        <w:t>la</w:t>
      </w:r>
      <w:r w:rsidRPr="00AA552A">
        <w:rPr>
          <w:rFonts w:cs="Cambria"/>
          <w:color w:val="000000"/>
          <w:spacing w:val="-1"/>
        </w:rPr>
        <w:t>g</w:t>
      </w:r>
      <w:r w:rsidRPr="00AA552A">
        <w:rPr>
          <w:rFonts w:cs="Cambria"/>
          <w:color w:val="000000"/>
          <w:spacing w:val="1"/>
        </w:rPr>
        <w:t>i</w:t>
      </w:r>
      <w:r w:rsidRPr="00AA552A">
        <w:rPr>
          <w:rFonts w:cs="Cambria"/>
          <w:color w:val="000000"/>
        </w:rPr>
        <w:t>c</w:t>
      </w:r>
    </w:p>
    <w:p w14:paraId="4600A9EB" w14:textId="77777777" w:rsidR="00DC4922" w:rsidRPr="00AA552A" w:rsidRDefault="00DC4922" w:rsidP="00DC4922">
      <w:pPr>
        <w:rPr>
          <w:rFonts w:cs="Cambria"/>
          <w:color w:val="000000"/>
        </w:rPr>
      </w:pPr>
      <w:r w:rsidRPr="00AA552A">
        <w:rPr>
          <w:rFonts w:cs="Cambria"/>
          <w:i/>
          <w:iCs/>
          <w:color w:val="000000"/>
        </w:rPr>
        <w:t>S</w:t>
      </w:r>
      <w:r w:rsidRPr="00AA552A">
        <w:rPr>
          <w:rFonts w:cs="Cambria"/>
          <w:i/>
          <w:iCs/>
          <w:color w:val="000000"/>
          <w:spacing w:val="1"/>
        </w:rPr>
        <w:t>ar</w:t>
      </w:r>
      <w:r w:rsidRPr="00AA552A">
        <w:rPr>
          <w:rFonts w:cs="Cambria"/>
          <w:i/>
          <w:iCs/>
          <w:color w:val="000000"/>
          <w:spacing w:val="-1"/>
        </w:rPr>
        <w:t>g</w:t>
      </w:r>
      <w:r w:rsidRPr="00AA552A">
        <w:rPr>
          <w:rFonts w:cs="Cambria"/>
          <w:i/>
          <w:iCs/>
          <w:color w:val="000000"/>
          <w:spacing w:val="1"/>
        </w:rPr>
        <w:t>a</w:t>
      </w:r>
      <w:r w:rsidRPr="00AA552A">
        <w:rPr>
          <w:rFonts w:cs="Cambria"/>
          <w:i/>
          <w:iCs/>
          <w:color w:val="000000"/>
        </w:rPr>
        <w:t>ss</w:t>
      </w:r>
      <w:r w:rsidRPr="00AA552A">
        <w:rPr>
          <w:rFonts w:cs="Cambria"/>
          <w:i/>
          <w:iCs/>
          <w:color w:val="000000"/>
          <w:spacing w:val="1"/>
        </w:rPr>
        <w:t>u</w:t>
      </w:r>
      <w:r w:rsidRPr="00AA552A">
        <w:rPr>
          <w:rFonts w:cs="Cambria"/>
          <w:i/>
          <w:iCs/>
          <w:color w:val="000000"/>
        </w:rPr>
        <w:t>m</w:t>
      </w:r>
      <w:r w:rsidRPr="00AA552A">
        <w:rPr>
          <w:rFonts w:cs="Cambria"/>
          <w:color w:val="000000"/>
        </w:rPr>
        <w:t>.</w:t>
      </w:r>
      <w:r w:rsidRPr="00AA552A">
        <w:rPr>
          <w:rFonts w:cs="Cambria"/>
          <w:color w:val="000000"/>
          <w:spacing w:val="48"/>
        </w:rPr>
        <w:t xml:space="preserve"> </w:t>
      </w:r>
      <w:r w:rsidRPr="00AA552A">
        <w:rPr>
          <w:rFonts w:cs="Cambria"/>
          <w:color w:val="000000"/>
          <w:spacing w:val="-1"/>
        </w:rPr>
        <w:t>T</w:t>
      </w:r>
      <w:r w:rsidRPr="00AA552A">
        <w:rPr>
          <w:rFonts w:cs="Cambria"/>
          <w:color w:val="000000"/>
        </w:rPr>
        <w:t>h</w:t>
      </w:r>
      <w:r w:rsidRPr="00AA552A">
        <w:rPr>
          <w:rFonts w:cs="Cambria"/>
          <w:color w:val="000000"/>
          <w:spacing w:val="1"/>
        </w:rPr>
        <w:t>i</w:t>
      </w:r>
      <w:r w:rsidRPr="00AA552A">
        <w:rPr>
          <w:rFonts w:cs="Cambria"/>
          <w:color w:val="000000"/>
        </w:rPr>
        <w:t>s</w:t>
      </w:r>
      <w:r w:rsidRPr="00AA552A">
        <w:rPr>
          <w:rFonts w:cs="Cambria"/>
          <w:color w:val="000000"/>
          <w:spacing w:val="-6"/>
        </w:rPr>
        <w:t xml:space="preserve"> </w:t>
      </w:r>
      <w:r w:rsidRPr="00AA552A">
        <w:rPr>
          <w:rFonts w:cs="Cambria"/>
          <w:color w:val="000000"/>
          <w:spacing w:val="1"/>
        </w:rPr>
        <w:t>EF</w:t>
      </w:r>
      <w:r w:rsidRPr="00AA552A">
        <w:rPr>
          <w:rFonts w:cs="Cambria"/>
          <w:color w:val="000000"/>
        </w:rPr>
        <w:t>H</w:t>
      </w:r>
      <w:r w:rsidRPr="00AA552A">
        <w:rPr>
          <w:rFonts w:cs="Cambria"/>
          <w:color w:val="000000"/>
          <w:spacing w:val="-2"/>
        </w:rPr>
        <w:t xml:space="preserve"> </w:t>
      </w:r>
      <w:r w:rsidRPr="00AA552A">
        <w:rPr>
          <w:rFonts w:cs="Cambria"/>
          <w:color w:val="000000"/>
          <w:spacing w:val="-4"/>
        </w:rPr>
        <w:t>d</w:t>
      </w:r>
      <w:r w:rsidRPr="00AA552A">
        <w:rPr>
          <w:rFonts w:cs="Cambria"/>
          <w:color w:val="000000"/>
          <w:spacing w:val="1"/>
        </w:rPr>
        <w:t>e</w:t>
      </w:r>
      <w:r w:rsidRPr="00AA552A">
        <w:rPr>
          <w:rFonts w:cs="Cambria"/>
          <w:color w:val="000000"/>
          <w:spacing w:val="-1"/>
        </w:rPr>
        <w:t>f</w:t>
      </w:r>
      <w:r w:rsidRPr="00AA552A">
        <w:rPr>
          <w:rFonts w:cs="Cambria"/>
          <w:color w:val="000000"/>
          <w:spacing w:val="1"/>
        </w:rPr>
        <w:t>i</w:t>
      </w:r>
      <w:r w:rsidRPr="00AA552A">
        <w:rPr>
          <w:rFonts w:cs="Cambria"/>
          <w:color w:val="000000"/>
        </w:rPr>
        <w:t>n</w:t>
      </w:r>
      <w:r w:rsidRPr="00AA552A">
        <w:rPr>
          <w:rFonts w:cs="Cambria"/>
          <w:color w:val="000000"/>
          <w:spacing w:val="1"/>
        </w:rPr>
        <w:t>i</w:t>
      </w:r>
      <w:r w:rsidRPr="00AA552A">
        <w:rPr>
          <w:rFonts w:cs="Cambria"/>
          <w:color w:val="000000"/>
        </w:rPr>
        <w:t>t</w:t>
      </w:r>
      <w:r w:rsidRPr="00AA552A">
        <w:rPr>
          <w:rFonts w:cs="Cambria"/>
          <w:color w:val="000000"/>
          <w:spacing w:val="1"/>
        </w:rPr>
        <w:t>i</w:t>
      </w:r>
      <w:r w:rsidRPr="00AA552A">
        <w:rPr>
          <w:rFonts w:cs="Cambria"/>
          <w:color w:val="000000"/>
        </w:rPr>
        <w:t>on</w:t>
      </w:r>
      <w:r w:rsidRPr="00AA552A">
        <w:rPr>
          <w:rFonts w:cs="Cambria"/>
          <w:color w:val="000000"/>
          <w:spacing w:val="-7"/>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spacing w:val="-1"/>
        </w:rPr>
        <w:t>d</w:t>
      </w:r>
      <w:r w:rsidRPr="00AA552A">
        <w:rPr>
          <w:rFonts w:cs="Cambria"/>
          <w:color w:val="000000"/>
        </w:rPr>
        <w:t>ol</w:t>
      </w:r>
      <w:r w:rsidRPr="00AA552A">
        <w:rPr>
          <w:rFonts w:cs="Cambria"/>
          <w:color w:val="000000"/>
          <w:spacing w:val="1"/>
        </w:rPr>
        <w:t>p</w:t>
      </w:r>
      <w:r w:rsidRPr="00AA552A">
        <w:rPr>
          <w:rFonts w:cs="Cambria"/>
          <w:color w:val="000000"/>
        </w:rPr>
        <w:t>h</w:t>
      </w:r>
      <w:r w:rsidRPr="00AA552A">
        <w:rPr>
          <w:rFonts w:cs="Cambria"/>
          <w:color w:val="000000"/>
          <w:spacing w:val="1"/>
        </w:rPr>
        <w:t>i</w:t>
      </w:r>
      <w:r w:rsidRPr="00AA552A">
        <w:rPr>
          <w:rFonts w:cs="Cambria"/>
          <w:color w:val="000000"/>
        </w:rPr>
        <w:t>n</w:t>
      </w:r>
      <w:r w:rsidRPr="00AA552A">
        <w:rPr>
          <w:rFonts w:cs="Cambria"/>
          <w:color w:val="000000"/>
          <w:spacing w:val="-5"/>
        </w:rPr>
        <w:t xml:space="preserve"> </w:t>
      </w:r>
      <w:r w:rsidRPr="00AA552A">
        <w:rPr>
          <w:rFonts w:cs="Cambria"/>
          <w:color w:val="000000"/>
          <w:spacing w:val="-1"/>
        </w:rPr>
        <w:t>w</w:t>
      </w:r>
      <w:r w:rsidRPr="00AA552A">
        <w:rPr>
          <w:rFonts w:cs="Cambria"/>
          <w:color w:val="000000"/>
        </w:rPr>
        <w:t>as</w:t>
      </w:r>
      <w:r w:rsidRPr="00AA552A">
        <w:rPr>
          <w:rFonts w:cs="Cambria"/>
          <w:color w:val="000000"/>
          <w:spacing w:val="-1"/>
        </w:rPr>
        <w:t xml:space="preserve"> </w:t>
      </w:r>
      <w:r w:rsidRPr="00AA552A">
        <w:rPr>
          <w:rFonts w:cs="Cambria"/>
          <w:color w:val="000000"/>
        </w:rPr>
        <w:t>a</w:t>
      </w:r>
      <w:r w:rsidRPr="00AA552A">
        <w:rPr>
          <w:rFonts w:cs="Cambria"/>
          <w:color w:val="000000"/>
          <w:spacing w:val="1"/>
        </w:rPr>
        <w:t>pp</w:t>
      </w:r>
      <w:r w:rsidRPr="00AA552A">
        <w:rPr>
          <w:rFonts w:cs="Cambria"/>
          <w:color w:val="000000"/>
          <w:spacing w:val="-1"/>
        </w:rPr>
        <w:t>r</w:t>
      </w:r>
      <w:r w:rsidRPr="00AA552A">
        <w:rPr>
          <w:rFonts w:cs="Cambria"/>
          <w:color w:val="000000"/>
        </w:rPr>
        <w:t>o</w:t>
      </w:r>
      <w:r w:rsidRPr="00AA552A">
        <w:rPr>
          <w:rFonts w:cs="Cambria"/>
          <w:color w:val="000000"/>
          <w:spacing w:val="-1"/>
        </w:rPr>
        <w:t>v</w:t>
      </w:r>
      <w:r w:rsidRPr="00AA552A">
        <w:rPr>
          <w:rFonts w:cs="Cambria"/>
          <w:color w:val="000000"/>
          <w:spacing w:val="1"/>
        </w:rPr>
        <w:t>e</w:t>
      </w:r>
      <w:r w:rsidRPr="00AA552A">
        <w:rPr>
          <w:rFonts w:cs="Cambria"/>
          <w:color w:val="000000"/>
        </w:rPr>
        <w:t>d</w:t>
      </w:r>
      <w:r w:rsidRPr="00AA552A">
        <w:rPr>
          <w:rFonts w:cs="Cambria"/>
          <w:color w:val="000000"/>
          <w:spacing w:val="-7"/>
        </w:rPr>
        <w:t xml:space="preserve"> </w:t>
      </w:r>
      <w:r w:rsidRPr="00AA552A">
        <w:rPr>
          <w:rFonts w:cs="Cambria"/>
          <w:color w:val="000000"/>
          <w:spacing w:val="1"/>
        </w:rPr>
        <w:t>b</w:t>
      </w:r>
      <w:r w:rsidRPr="00AA552A">
        <w:rPr>
          <w:rFonts w:cs="Cambria"/>
          <w:color w:val="000000"/>
        </w:rPr>
        <w:t>y</w:t>
      </w:r>
      <w:r w:rsidRPr="00AA552A">
        <w:rPr>
          <w:rFonts w:cs="Cambria"/>
          <w:color w:val="000000"/>
          <w:spacing w:val="-2"/>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Se</w:t>
      </w:r>
      <w:r w:rsidRPr="00AA552A">
        <w:rPr>
          <w:rFonts w:cs="Cambria"/>
          <w:color w:val="000000"/>
        </w:rPr>
        <w:t>c</w:t>
      </w:r>
      <w:r w:rsidRPr="00AA552A">
        <w:rPr>
          <w:rFonts w:cs="Cambria"/>
          <w:color w:val="000000"/>
          <w:spacing w:val="-1"/>
        </w:rPr>
        <w:t>r</w:t>
      </w:r>
      <w:r w:rsidRPr="00AA552A">
        <w:rPr>
          <w:rFonts w:cs="Cambria"/>
          <w:color w:val="000000"/>
          <w:spacing w:val="1"/>
        </w:rPr>
        <w:t>e</w:t>
      </w:r>
      <w:r w:rsidRPr="00AA552A">
        <w:rPr>
          <w:rFonts w:cs="Cambria"/>
          <w:color w:val="000000"/>
        </w:rPr>
        <w:t>ta</w:t>
      </w:r>
      <w:r w:rsidRPr="00AA552A">
        <w:rPr>
          <w:rFonts w:cs="Cambria"/>
          <w:color w:val="000000"/>
          <w:spacing w:val="-1"/>
        </w:rPr>
        <w:t>r</w:t>
      </w:r>
      <w:r w:rsidRPr="00AA552A">
        <w:rPr>
          <w:rFonts w:cs="Cambria"/>
          <w:color w:val="000000"/>
        </w:rPr>
        <w:t>y</w:t>
      </w:r>
      <w:r w:rsidRPr="00AA552A">
        <w:rPr>
          <w:rFonts w:cs="Cambria"/>
          <w:color w:val="000000"/>
          <w:spacing w:val="-8"/>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C</w:t>
      </w:r>
      <w:r w:rsidRPr="00AA552A">
        <w:rPr>
          <w:rFonts w:cs="Cambria"/>
          <w:color w:val="000000"/>
        </w:rPr>
        <w:t>o</w:t>
      </w:r>
      <w:r w:rsidRPr="00AA552A">
        <w:rPr>
          <w:rFonts w:cs="Cambria"/>
          <w:color w:val="000000"/>
          <w:spacing w:val="2"/>
        </w:rPr>
        <w:t>m</w:t>
      </w:r>
      <w:r w:rsidRPr="00AA552A">
        <w:rPr>
          <w:rFonts w:cs="Cambria"/>
          <w:color w:val="000000"/>
        </w:rPr>
        <w:t>m</w:t>
      </w:r>
      <w:r w:rsidRPr="00AA552A">
        <w:rPr>
          <w:rFonts w:cs="Cambria"/>
          <w:color w:val="000000"/>
          <w:spacing w:val="1"/>
        </w:rPr>
        <w:t>e</w:t>
      </w:r>
      <w:r w:rsidRPr="00AA552A">
        <w:rPr>
          <w:rFonts w:cs="Cambria"/>
          <w:color w:val="000000"/>
          <w:spacing w:val="-1"/>
        </w:rPr>
        <w:t>r</w:t>
      </w:r>
      <w:r w:rsidRPr="00AA552A">
        <w:rPr>
          <w:rFonts w:cs="Cambria"/>
          <w:color w:val="000000"/>
        </w:rPr>
        <w:t>ce</w:t>
      </w:r>
      <w:r w:rsidRPr="00AA552A">
        <w:rPr>
          <w:rFonts w:cs="Cambria"/>
          <w:color w:val="000000"/>
          <w:spacing w:val="-8"/>
        </w:rPr>
        <w:t xml:space="preserve"> </w:t>
      </w:r>
      <w:r w:rsidRPr="00AA552A">
        <w:rPr>
          <w:rFonts w:cs="Cambria"/>
          <w:color w:val="000000"/>
        </w:rPr>
        <w:t xml:space="preserve">on </w:t>
      </w:r>
      <w:r w:rsidRPr="00AA552A">
        <w:rPr>
          <w:rFonts w:cs="Cambria"/>
          <w:color w:val="000000"/>
          <w:spacing w:val="1"/>
        </w:rPr>
        <w:t>J</w:t>
      </w:r>
      <w:r w:rsidRPr="00AA552A">
        <w:rPr>
          <w:rFonts w:cs="Cambria"/>
          <w:color w:val="000000"/>
          <w:spacing w:val="-1"/>
        </w:rPr>
        <w:t>u</w:t>
      </w:r>
      <w:r w:rsidRPr="00AA552A">
        <w:rPr>
          <w:rFonts w:cs="Cambria"/>
          <w:color w:val="000000"/>
        </w:rPr>
        <w:t>ne</w:t>
      </w:r>
      <w:r w:rsidRPr="00AA552A">
        <w:rPr>
          <w:rFonts w:cs="Cambria"/>
          <w:color w:val="000000"/>
          <w:spacing w:val="-1"/>
        </w:rPr>
        <w:t xml:space="preserve"> 3</w:t>
      </w:r>
      <w:r w:rsidRPr="00AA552A">
        <w:rPr>
          <w:rFonts w:cs="Cambria"/>
          <w:color w:val="000000"/>
        </w:rPr>
        <w:t xml:space="preserve">, </w:t>
      </w:r>
      <w:r w:rsidRPr="00AA552A">
        <w:rPr>
          <w:rFonts w:cs="Cambria"/>
          <w:color w:val="000000"/>
          <w:spacing w:val="-1"/>
        </w:rPr>
        <w:t>199</w:t>
      </w:r>
      <w:r w:rsidRPr="00AA552A">
        <w:rPr>
          <w:rFonts w:cs="Cambria"/>
          <w:color w:val="000000"/>
        </w:rPr>
        <w:t>9</w:t>
      </w:r>
      <w:r w:rsidRPr="00AA552A">
        <w:rPr>
          <w:rFonts w:cs="Cambria"/>
          <w:color w:val="000000"/>
          <w:spacing w:val="-6"/>
        </w:rPr>
        <w:t xml:space="preserve"> </w:t>
      </w:r>
      <w:r w:rsidRPr="00AA552A">
        <w:rPr>
          <w:rFonts w:cs="Cambria"/>
          <w:color w:val="000000"/>
        </w:rPr>
        <w:t>as</w:t>
      </w:r>
      <w:r w:rsidRPr="00AA552A">
        <w:rPr>
          <w:rFonts w:cs="Cambria"/>
          <w:color w:val="000000"/>
          <w:spacing w:val="-1"/>
        </w:rPr>
        <w:t xml:space="preserve"> </w:t>
      </w:r>
      <w:r w:rsidRPr="00AA552A">
        <w:rPr>
          <w:rFonts w:cs="Cambria"/>
          <w:color w:val="000000"/>
        </w:rPr>
        <w:t xml:space="preserve">a </w:t>
      </w:r>
      <w:r w:rsidRPr="00AA552A">
        <w:rPr>
          <w:rFonts w:cs="Cambria"/>
          <w:color w:val="000000"/>
          <w:spacing w:val="1"/>
        </w:rPr>
        <w:t>p</w:t>
      </w:r>
      <w:r w:rsidRPr="00AA552A">
        <w:rPr>
          <w:rFonts w:cs="Cambria"/>
          <w:color w:val="000000"/>
        </w:rPr>
        <w:t>a</w:t>
      </w:r>
      <w:r w:rsidRPr="00AA552A">
        <w:rPr>
          <w:rFonts w:cs="Cambria"/>
          <w:color w:val="000000"/>
          <w:spacing w:val="-1"/>
        </w:rPr>
        <w:t>r</w:t>
      </w:r>
      <w:r w:rsidRPr="00AA552A">
        <w:rPr>
          <w:rFonts w:cs="Cambria"/>
          <w:color w:val="000000"/>
        </w:rPr>
        <w:t>t</w:t>
      </w:r>
      <w:r w:rsidRPr="00AA552A">
        <w:rPr>
          <w:rFonts w:cs="Cambria"/>
          <w:color w:val="000000"/>
          <w:spacing w:val="-1"/>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S</w:t>
      </w:r>
      <w:r w:rsidRPr="00AA552A">
        <w:rPr>
          <w:rFonts w:cs="Cambria"/>
          <w:color w:val="000000"/>
        </w:rPr>
        <w:t>o</w:t>
      </w:r>
      <w:r w:rsidRPr="00AA552A">
        <w:rPr>
          <w:rFonts w:cs="Cambria"/>
          <w:color w:val="000000"/>
          <w:spacing w:val="-1"/>
        </w:rPr>
        <w:t>u</w:t>
      </w:r>
      <w:r w:rsidRPr="00AA552A">
        <w:rPr>
          <w:rFonts w:cs="Cambria"/>
          <w:color w:val="000000"/>
        </w:rPr>
        <w:t>th</w:t>
      </w:r>
      <w:r w:rsidRPr="00AA552A">
        <w:rPr>
          <w:rFonts w:cs="Cambria"/>
          <w:color w:val="000000"/>
          <w:spacing w:val="-3"/>
        </w:rPr>
        <w:t xml:space="preserve"> </w:t>
      </w:r>
      <w:r w:rsidRPr="00AA552A">
        <w:rPr>
          <w:rFonts w:cs="Cambria"/>
          <w:color w:val="000000"/>
          <w:spacing w:val="-1"/>
        </w:rPr>
        <w:t>A</w:t>
      </w:r>
      <w:r w:rsidRPr="00AA552A">
        <w:rPr>
          <w:rFonts w:cs="Cambria"/>
          <w:color w:val="000000"/>
        </w:rPr>
        <w:t>tlant</w:t>
      </w:r>
      <w:r w:rsidRPr="00AA552A">
        <w:rPr>
          <w:rFonts w:cs="Cambria"/>
          <w:color w:val="000000"/>
          <w:spacing w:val="1"/>
        </w:rPr>
        <w:t>i</w:t>
      </w:r>
      <w:r w:rsidRPr="00AA552A">
        <w:rPr>
          <w:rFonts w:cs="Cambria"/>
          <w:color w:val="000000"/>
        </w:rPr>
        <w:t>c</w:t>
      </w:r>
      <w:r w:rsidRPr="00AA552A">
        <w:rPr>
          <w:rFonts w:cs="Cambria"/>
          <w:color w:val="000000"/>
          <w:spacing w:val="-2"/>
        </w:rPr>
        <w:t xml:space="preserve"> </w:t>
      </w:r>
      <w:r w:rsidRPr="00AA552A">
        <w:rPr>
          <w:rFonts w:cs="Cambria"/>
          <w:color w:val="000000"/>
          <w:spacing w:val="-1"/>
        </w:rPr>
        <w:t>C</w:t>
      </w:r>
      <w:r w:rsidRPr="00AA552A">
        <w:rPr>
          <w:rFonts w:cs="Cambria"/>
          <w:color w:val="000000"/>
        </w:rPr>
        <w:t>o</w:t>
      </w:r>
      <w:r w:rsidRPr="00AA552A">
        <w:rPr>
          <w:rFonts w:cs="Cambria"/>
          <w:color w:val="000000"/>
          <w:spacing w:val="-1"/>
        </w:rPr>
        <w:t>u</w:t>
      </w:r>
      <w:r w:rsidRPr="00AA552A">
        <w:rPr>
          <w:rFonts w:cs="Cambria"/>
          <w:color w:val="000000"/>
        </w:rPr>
        <w:t>nc</w:t>
      </w:r>
      <w:r w:rsidRPr="00AA552A">
        <w:rPr>
          <w:rFonts w:cs="Cambria"/>
          <w:color w:val="000000"/>
          <w:spacing w:val="1"/>
        </w:rPr>
        <w:t>i</w:t>
      </w:r>
      <w:r w:rsidRPr="00AA552A">
        <w:rPr>
          <w:rFonts w:cs="Cambria"/>
          <w:color w:val="000000"/>
        </w:rPr>
        <w:t>l’s</w:t>
      </w:r>
      <w:r w:rsidRPr="00AA552A">
        <w:rPr>
          <w:rFonts w:cs="Cambria"/>
          <w:color w:val="000000"/>
          <w:spacing w:val="-5"/>
        </w:rPr>
        <w:t xml:space="preserve"> </w:t>
      </w:r>
      <w:r w:rsidRPr="00AA552A">
        <w:rPr>
          <w:rFonts w:cs="Cambria"/>
          <w:color w:val="000000"/>
          <w:spacing w:val="-1"/>
        </w:rPr>
        <w:t>C</w:t>
      </w:r>
      <w:r w:rsidRPr="00AA552A">
        <w:rPr>
          <w:rFonts w:cs="Cambria"/>
          <w:color w:val="000000"/>
        </w:rPr>
        <w:t>om</w:t>
      </w:r>
      <w:r w:rsidRPr="00AA552A">
        <w:rPr>
          <w:rFonts w:cs="Cambria"/>
          <w:color w:val="000000"/>
          <w:spacing w:val="1"/>
        </w:rPr>
        <w:t>p</w:t>
      </w:r>
      <w:r w:rsidRPr="00AA552A">
        <w:rPr>
          <w:rFonts w:cs="Cambria"/>
          <w:color w:val="000000"/>
          <w:spacing w:val="-1"/>
        </w:rPr>
        <w:t>r</w:t>
      </w:r>
      <w:r w:rsidRPr="00AA552A">
        <w:rPr>
          <w:rFonts w:cs="Cambria"/>
          <w:color w:val="000000"/>
          <w:spacing w:val="1"/>
        </w:rPr>
        <w:t>e</w:t>
      </w:r>
      <w:r w:rsidRPr="00AA552A">
        <w:rPr>
          <w:rFonts w:cs="Cambria"/>
          <w:color w:val="000000"/>
        </w:rPr>
        <w:t>h</w:t>
      </w:r>
      <w:r w:rsidRPr="00AA552A">
        <w:rPr>
          <w:rFonts w:cs="Cambria"/>
          <w:color w:val="000000"/>
          <w:spacing w:val="1"/>
        </w:rPr>
        <w:t>e</w:t>
      </w:r>
      <w:r w:rsidRPr="00AA552A">
        <w:rPr>
          <w:rFonts w:cs="Cambria"/>
          <w:color w:val="000000"/>
        </w:rPr>
        <w:t>ns</w:t>
      </w:r>
      <w:r w:rsidRPr="00AA552A">
        <w:rPr>
          <w:rFonts w:cs="Cambria"/>
          <w:color w:val="000000"/>
          <w:spacing w:val="1"/>
        </w:rPr>
        <w:t>i</w:t>
      </w:r>
      <w:r w:rsidRPr="00AA552A">
        <w:rPr>
          <w:rFonts w:cs="Cambria"/>
          <w:color w:val="000000"/>
          <w:spacing w:val="-1"/>
        </w:rPr>
        <w:t>v</w:t>
      </w:r>
      <w:r w:rsidRPr="00AA552A">
        <w:rPr>
          <w:rFonts w:cs="Cambria"/>
          <w:color w:val="000000"/>
        </w:rPr>
        <w:t>e</w:t>
      </w:r>
      <w:r w:rsidRPr="00AA552A">
        <w:rPr>
          <w:rFonts w:cs="Cambria"/>
          <w:color w:val="000000"/>
          <w:spacing w:val="-10"/>
        </w:rPr>
        <w:t xml:space="preserve"> </w:t>
      </w:r>
      <w:r w:rsidRPr="00AA552A">
        <w:rPr>
          <w:rFonts w:cs="Cambria"/>
          <w:color w:val="000000"/>
          <w:spacing w:val="1"/>
        </w:rPr>
        <w:t>H</w:t>
      </w:r>
      <w:r w:rsidRPr="00AA552A">
        <w:rPr>
          <w:rFonts w:cs="Cambria"/>
          <w:color w:val="000000"/>
        </w:rPr>
        <w:t>a</w:t>
      </w:r>
      <w:r w:rsidRPr="00AA552A">
        <w:rPr>
          <w:rFonts w:cs="Cambria"/>
          <w:color w:val="000000"/>
          <w:spacing w:val="1"/>
        </w:rPr>
        <w:t>bi</w:t>
      </w:r>
      <w:r w:rsidRPr="00AA552A">
        <w:rPr>
          <w:rFonts w:cs="Cambria"/>
          <w:color w:val="000000"/>
        </w:rPr>
        <w:t>tat</w:t>
      </w:r>
      <w:r w:rsidRPr="00AA552A">
        <w:rPr>
          <w:rFonts w:cs="Cambria"/>
          <w:color w:val="000000"/>
          <w:spacing w:val="-2"/>
        </w:rPr>
        <w:t xml:space="preserve"> </w:t>
      </w:r>
      <w:r w:rsidRPr="00AA552A">
        <w:rPr>
          <w:rFonts w:cs="Cambria"/>
          <w:color w:val="000000"/>
          <w:spacing w:val="-1"/>
        </w:rPr>
        <w:t>A</w:t>
      </w:r>
      <w:r w:rsidRPr="00AA552A">
        <w:rPr>
          <w:rFonts w:cs="Cambria"/>
          <w:color w:val="000000"/>
        </w:rPr>
        <w:t>m</w:t>
      </w:r>
      <w:r w:rsidRPr="00AA552A">
        <w:rPr>
          <w:rFonts w:cs="Cambria"/>
          <w:color w:val="000000"/>
          <w:spacing w:val="1"/>
        </w:rPr>
        <w:t>e</w:t>
      </w:r>
      <w:r w:rsidRPr="00AA552A">
        <w:rPr>
          <w:rFonts w:cs="Cambria"/>
          <w:color w:val="000000"/>
        </w:rPr>
        <w:t>n</w:t>
      </w:r>
      <w:r w:rsidRPr="00AA552A">
        <w:rPr>
          <w:rFonts w:cs="Cambria"/>
          <w:color w:val="000000"/>
          <w:spacing w:val="-1"/>
        </w:rPr>
        <w:t>d</w:t>
      </w:r>
      <w:r w:rsidRPr="00AA552A">
        <w:rPr>
          <w:rFonts w:cs="Cambria"/>
          <w:color w:val="000000"/>
        </w:rPr>
        <w:t>m</w:t>
      </w:r>
      <w:r w:rsidRPr="00AA552A">
        <w:rPr>
          <w:rFonts w:cs="Cambria"/>
          <w:color w:val="000000"/>
          <w:spacing w:val="1"/>
        </w:rPr>
        <w:t>e</w:t>
      </w:r>
      <w:r w:rsidRPr="00AA552A">
        <w:rPr>
          <w:rFonts w:cs="Cambria"/>
          <w:color w:val="000000"/>
        </w:rPr>
        <w:t>nt (</w:t>
      </w:r>
      <w:r w:rsidRPr="00AA552A">
        <w:rPr>
          <w:rFonts w:cs="Cambria"/>
          <w:color w:val="000000"/>
          <w:spacing w:val="1"/>
        </w:rPr>
        <w:t>S</w:t>
      </w:r>
      <w:r w:rsidRPr="00AA552A">
        <w:rPr>
          <w:rFonts w:cs="Cambria"/>
          <w:color w:val="000000"/>
          <w:spacing w:val="-1"/>
        </w:rPr>
        <w:t>A</w:t>
      </w:r>
      <w:r w:rsidRPr="00AA552A">
        <w:rPr>
          <w:rFonts w:cs="Cambria"/>
          <w:color w:val="000000"/>
          <w:spacing w:val="1"/>
        </w:rPr>
        <w:t>FM</w:t>
      </w:r>
      <w:r w:rsidRPr="00AA552A">
        <w:rPr>
          <w:rFonts w:cs="Cambria"/>
          <w:color w:val="000000"/>
          <w:spacing w:val="-1"/>
        </w:rPr>
        <w:t>C</w:t>
      </w:r>
      <w:r w:rsidRPr="00AA552A">
        <w:rPr>
          <w:rFonts w:cs="Cambria"/>
          <w:color w:val="000000"/>
          <w:spacing w:val="-4"/>
        </w:rPr>
        <w:t xml:space="preserve"> </w:t>
      </w:r>
      <w:r w:rsidRPr="00AA552A">
        <w:rPr>
          <w:rFonts w:cs="Cambria"/>
          <w:color w:val="000000"/>
          <w:spacing w:val="-1"/>
        </w:rPr>
        <w:t>1998</w:t>
      </w:r>
      <w:r w:rsidRPr="00AA552A">
        <w:rPr>
          <w:rFonts w:cs="Cambria"/>
          <w:color w:val="000000"/>
          <w:spacing w:val="1"/>
        </w:rPr>
        <w:t>b</w:t>
      </w:r>
      <w:r w:rsidRPr="00AA552A">
        <w:rPr>
          <w:rFonts w:cs="Cambria"/>
          <w:color w:val="000000"/>
        </w:rPr>
        <w:t>)</w:t>
      </w:r>
      <w:r w:rsidRPr="00AA552A">
        <w:rPr>
          <w:rFonts w:cs="Cambria"/>
          <w:color w:val="000000"/>
          <w:spacing w:val="-6"/>
        </w:rPr>
        <w:t xml:space="preserve"> </w:t>
      </w:r>
      <w:r w:rsidRPr="00AA552A">
        <w:rPr>
          <w:rFonts w:cs="Cambria"/>
          <w:color w:val="000000"/>
        </w:rPr>
        <w:t>(</w:t>
      </w:r>
      <w:r w:rsidRPr="00AA552A">
        <w:rPr>
          <w:rFonts w:cs="Cambria"/>
          <w:color w:val="000000"/>
          <w:spacing w:val="-1"/>
        </w:rPr>
        <w:t>d</w:t>
      </w:r>
      <w:r w:rsidRPr="00AA552A">
        <w:rPr>
          <w:rFonts w:cs="Cambria"/>
          <w:color w:val="000000"/>
        </w:rPr>
        <w:t>ol</w:t>
      </w:r>
      <w:r w:rsidRPr="00AA552A">
        <w:rPr>
          <w:rFonts w:cs="Cambria"/>
          <w:color w:val="000000"/>
          <w:spacing w:val="1"/>
        </w:rPr>
        <w:t>p</w:t>
      </w:r>
      <w:r w:rsidRPr="00AA552A">
        <w:rPr>
          <w:rFonts w:cs="Cambria"/>
          <w:color w:val="000000"/>
          <w:spacing w:val="2"/>
        </w:rPr>
        <w:t>h</w:t>
      </w:r>
      <w:r w:rsidRPr="00AA552A">
        <w:rPr>
          <w:rFonts w:cs="Cambria"/>
          <w:color w:val="000000"/>
          <w:spacing w:val="1"/>
        </w:rPr>
        <w:t>i</w:t>
      </w:r>
      <w:r w:rsidRPr="00AA552A">
        <w:rPr>
          <w:rFonts w:cs="Cambria"/>
          <w:color w:val="000000"/>
        </w:rPr>
        <w:t>n</w:t>
      </w:r>
      <w:r w:rsidRPr="00AA552A">
        <w:rPr>
          <w:rFonts w:cs="Cambria"/>
          <w:color w:val="000000"/>
          <w:spacing w:val="-6"/>
        </w:rPr>
        <w:t xml:space="preserve"> </w:t>
      </w:r>
      <w:r w:rsidRPr="00AA552A">
        <w:rPr>
          <w:rFonts w:cs="Cambria"/>
          <w:color w:val="000000"/>
          <w:spacing w:val="-1"/>
        </w:rPr>
        <w:t>w</w:t>
      </w:r>
      <w:r w:rsidRPr="00AA552A">
        <w:rPr>
          <w:rFonts w:cs="Cambria"/>
          <w:color w:val="000000"/>
        </w:rPr>
        <w:t>as</w:t>
      </w:r>
      <w:r w:rsidRPr="00AA552A">
        <w:rPr>
          <w:rFonts w:cs="Cambria"/>
          <w:color w:val="000000"/>
          <w:spacing w:val="-1"/>
        </w:rPr>
        <w:t xml:space="preserve"> </w:t>
      </w:r>
      <w:r w:rsidRPr="00AA552A">
        <w:rPr>
          <w:rFonts w:cs="Cambria"/>
          <w:color w:val="000000"/>
          <w:spacing w:val="1"/>
        </w:rPr>
        <w:t>i</w:t>
      </w:r>
      <w:r w:rsidRPr="00AA552A">
        <w:rPr>
          <w:rFonts w:cs="Cambria"/>
          <w:color w:val="000000"/>
        </w:rPr>
        <w:t>nclu</w:t>
      </w:r>
      <w:r w:rsidRPr="00AA552A">
        <w:rPr>
          <w:rFonts w:cs="Cambria"/>
          <w:color w:val="000000"/>
          <w:spacing w:val="-1"/>
        </w:rPr>
        <w:t>d</w:t>
      </w:r>
      <w:r w:rsidRPr="00AA552A">
        <w:rPr>
          <w:rFonts w:cs="Cambria"/>
          <w:color w:val="000000"/>
          <w:spacing w:val="1"/>
        </w:rPr>
        <w:t>e</w:t>
      </w:r>
      <w:r w:rsidRPr="00AA552A">
        <w:rPr>
          <w:rFonts w:cs="Cambria"/>
          <w:color w:val="000000"/>
        </w:rPr>
        <w:t>d</w:t>
      </w:r>
      <w:r w:rsidRPr="00AA552A">
        <w:rPr>
          <w:rFonts w:cs="Cambria"/>
          <w:color w:val="000000"/>
          <w:spacing w:val="-8"/>
        </w:rPr>
        <w:t xml:space="preserve"> </w:t>
      </w:r>
      <w:r w:rsidRPr="00AA552A">
        <w:rPr>
          <w:rFonts w:cs="Cambria"/>
          <w:color w:val="000000"/>
          <w:spacing w:val="-1"/>
        </w:rPr>
        <w:t>w</w:t>
      </w:r>
      <w:r w:rsidRPr="00AA552A">
        <w:rPr>
          <w:rFonts w:cs="Cambria"/>
          <w:color w:val="000000"/>
          <w:spacing w:val="1"/>
        </w:rPr>
        <w:t>i</w:t>
      </w:r>
      <w:r w:rsidRPr="00AA552A">
        <w:rPr>
          <w:rFonts w:cs="Cambria"/>
          <w:color w:val="000000"/>
        </w:rPr>
        <w:t>th</w:t>
      </w:r>
      <w:r w:rsidRPr="00AA552A">
        <w:rPr>
          <w:rFonts w:cs="Cambria"/>
          <w:color w:val="000000"/>
          <w:spacing w:val="1"/>
        </w:rPr>
        <w:t>i</w:t>
      </w:r>
      <w:r w:rsidRPr="00AA552A">
        <w:rPr>
          <w:rFonts w:cs="Cambria"/>
          <w:color w:val="000000"/>
        </w:rPr>
        <w:t>n</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C</w:t>
      </w:r>
      <w:r w:rsidRPr="00AA552A">
        <w:rPr>
          <w:rFonts w:cs="Cambria"/>
          <w:color w:val="000000"/>
        </w:rPr>
        <w:t>oastal</w:t>
      </w:r>
      <w:r w:rsidRPr="00AA552A">
        <w:rPr>
          <w:rFonts w:cs="Cambria"/>
          <w:color w:val="000000"/>
          <w:spacing w:val="-4"/>
        </w:rPr>
        <w:t xml:space="preserve"> </w:t>
      </w:r>
      <w:r w:rsidRPr="00AA552A">
        <w:rPr>
          <w:rFonts w:cs="Cambria"/>
          <w:color w:val="000000"/>
          <w:spacing w:val="1"/>
        </w:rPr>
        <w:t>Mi</w:t>
      </w:r>
      <w:r w:rsidRPr="00AA552A">
        <w:rPr>
          <w:rFonts w:cs="Cambria"/>
          <w:color w:val="000000"/>
          <w:spacing w:val="-1"/>
        </w:rPr>
        <w:t>gr</w:t>
      </w:r>
      <w:r w:rsidRPr="00AA552A">
        <w:rPr>
          <w:rFonts w:cs="Cambria"/>
          <w:color w:val="000000"/>
        </w:rPr>
        <w:t>ato</w:t>
      </w:r>
      <w:r w:rsidRPr="00AA552A">
        <w:rPr>
          <w:rFonts w:cs="Cambria"/>
          <w:color w:val="000000"/>
          <w:spacing w:val="-1"/>
        </w:rPr>
        <w:t>r</w:t>
      </w:r>
      <w:r w:rsidRPr="00AA552A">
        <w:rPr>
          <w:rFonts w:cs="Cambria"/>
          <w:color w:val="000000"/>
        </w:rPr>
        <w:t>y</w:t>
      </w:r>
      <w:r w:rsidRPr="00AA552A">
        <w:rPr>
          <w:rFonts w:cs="Cambria"/>
          <w:color w:val="000000"/>
          <w:spacing w:val="-6"/>
        </w:rPr>
        <w:t xml:space="preserve"> </w:t>
      </w:r>
      <w:r w:rsidRPr="00AA552A">
        <w:rPr>
          <w:rFonts w:cs="Cambria"/>
          <w:color w:val="000000"/>
          <w:spacing w:val="1"/>
        </w:rPr>
        <w:t>Pe</w:t>
      </w:r>
      <w:r w:rsidRPr="00AA552A">
        <w:rPr>
          <w:rFonts w:cs="Cambria"/>
          <w:color w:val="000000"/>
        </w:rPr>
        <w:t>la</w:t>
      </w:r>
      <w:r w:rsidRPr="00AA552A">
        <w:rPr>
          <w:rFonts w:cs="Cambria"/>
          <w:color w:val="000000"/>
          <w:spacing w:val="-1"/>
        </w:rPr>
        <w:t>g</w:t>
      </w:r>
      <w:r w:rsidRPr="00AA552A">
        <w:rPr>
          <w:rFonts w:cs="Cambria"/>
          <w:color w:val="000000"/>
          <w:spacing w:val="1"/>
        </w:rPr>
        <w:t>i</w:t>
      </w:r>
      <w:r w:rsidRPr="00AA552A">
        <w:rPr>
          <w:rFonts w:cs="Cambria"/>
          <w:color w:val="000000"/>
        </w:rPr>
        <w:t>cs</w:t>
      </w:r>
      <w:r w:rsidRPr="00AA552A">
        <w:rPr>
          <w:rFonts w:cs="Cambria"/>
          <w:color w:val="000000"/>
          <w:spacing w:val="-5"/>
        </w:rPr>
        <w:t xml:space="preserve"> </w:t>
      </w:r>
      <w:r w:rsidRPr="00AA552A">
        <w:rPr>
          <w:rFonts w:cs="Cambria"/>
          <w:color w:val="000000"/>
          <w:spacing w:val="1"/>
        </w:rPr>
        <w:t>FMP</w:t>
      </w:r>
      <w:r>
        <w:rPr>
          <w:rFonts w:cs="Cambria"/>
          <w:color w:val="000000"/>
          <w:spacing w:val="1"/>
        </w:rPr>
        <w:t xml:space="preserve"> at that time</w:t>
      </w:r>
      <w:r w:rsidRPr="00AA552A">
        <w:rPr>
          <w:rFonts w:cs="Cambria"/>
          <w:color w:val="000000"/>
        </w:rPr>
        <w:t>).</w:t>
      </w:r>
    </w:p>
    <w:p w14:paraId="22837863" w14:textId="77777777" w:rsidR="00DC4922" w:rsidRPr="00AA552A" w:rsidRDefault="00DC4922" w:rsidP="00DC4922">
      <w:pPr>
        <w:rPr>
          <w:rFonts w:cs="Cambria"/>
          <w:color w:val="000000"/>
          <w:sz w:val="28"/>
        </w:rPr>
      </w:pPr>
    </w:p>
    <w:p w14:paraId="28AE238A" w14:textId="77777777" w:rsidR="00DC4922" w:rsidRPr="00AA552A" w:rsidRDefault="00DC4922" w:rsidP="00640526">
      <w:pPr>
        <w:ind w:firstLine="720"/>
        <w:rPr>
          <w:rFonts w:cs="Cambria"/>
          <w:color w:val="000000"/>
        </w:rPr>
      </w:pPr>
      <w:r w:rsidRPr="00AA552A">
        <w:rPr>
          <w:rFonts w:cs="Cambria"/>
          <w:color w:val="000000"/>
          <w:spacing w:val="-1"/>
        </w:rPr>
        <w:t>Ar</w:t>
      </w:r>
      <w:r w:rsidRPr="00AA552A">
        <w:rPr>
          <w:rFonts w:cs="Cambria"/>
          <w:color w:val="000000"/>
          <w:spacing w:val="1"/>
        </w:rPr>
        <w:t>e</w:t>
      </w:r>
      <w:r w:rsidRPr="00AA552A">
        <w:rPr>
          <w:rFonts w:cs="Cambria"/>
          <w:color w:val="000000"/>
        </w:rPr>
        <w:t>as</w:t>
      </w:r>
      <w:r w:rsidRPr="00AA552A">
        <w:rPr>
          <w:rFonts w:cs="Cambria"/>
          <w:color w:val="000000"/>
          <w:spacing w:val="-3"/>
        </w:rPr>
        <w:t xml:space="preserve"> </w:t>
      </w:r>
      <w:r w:rsidRPr="00AA552A">
        <w:rPr>
          <w:rFonts w:cs="Cambria"/>
          <w:color w:val="000000"/>
          <w:spacing w:val="-1"/>
        </w:rPr>
        <w:t>w</w:t>
      </w:r>
      <w:r w:rsidRPr="00AA552A">
        <w:rPr>
          <w:rFonts w:cs="Cambria"/>
          <w:color w:val="000000"/>
        </w:rPr>
        <w:t>h</w:t>
      </w:r>
      <w:r w:rsidRPr="00AA552A">
        <w:rPr>
          <w:rFonts w:cs="Cambria"/>
          <w:color w:val="000000"/>
          <w:spacing w:val="1"/>
        </w:rPr>
        <w:t>i</w:t>
      </w:r>
      <w:r w:rsidRPr="00AA552A">
        <w:rPr>
          <w:rFonts w:cs="Cambria"/>
          <w:color w:val="000000"/>
        </w:rPr>
        <w:t>ch</w:t>
      </w:r>
      <w:r w:rsidRPr="00AA552A">
        <w:rPr>
          <w:rFonts w:cs="Cambria"/>
          <w:color w:val="000000"/>
          <w:spacing w:val="-4"/>
        </w:rPr>
        <w:t xml:space="preserve"> </w:t>
      </w:r>
      <w:r w:rsidRPr="00AA552A">
        <w:rPr>
          <w:rFonts w:cs="Cambria"/>
          <w:color w:val="000000"/>
        </w:rPr>
        <w:t>m</w:t>
      </w:r>
      <w:r w:rsidRPr="00AA552A">
        <w:rPr>
          <w:rFonts w:cs="Cambria"/>
          <w:color w:val="000000"/>
          <w:spacing w:val="1"/>
        </w:rPr>
        <w:t>ee</w:t>
      </w:r>
      <w:r w:rsidRPr="00AA552A">
        <w:rPr>
          <w:rFonts w:cs="Cambria"/>
          <w:color w:val="000000"/>
        </w:rPr>
        <w:t>t</w:t>
      </w:r>
      <w:r w:rsidRPr="00AA552A">
        <w:rPr>
          <w:rFonts w:cs="Cambria"/>
          <w:color w:val="000000"/>
          <w:spacing w:val="-2"/>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2"/>
        </w:rPr>
        <w:t>c</w:t>
      </w:r>
      <w:r w:rsidRPr="00AA552A">
        <w:rPr>
          <w:rFonts w:cs="Cambria"/>
          <w:color w:val="000000"/>
          <w:spacing w:val="-1"/>
        </w:rPr>
        <w:t>r</w:t>
      </w:r>
      <w:r w:rsidRPr="00AA552A">
        <w:rPr>
          <w:rFonts w:cs="Cambria"/>
          <w:color w:val="000000"/>
          <w:spacing w:val="1"/>
        </w:rPr>
        <w:t>i</w:t>
      </w:r>
      <w:r w:rsidRPr="00AA552A">
        <w:rPr>
          <w:rFonts w:cs="Cambria"/>
          <w:color w:val="000000"/>
        </w:rPr>
        <w:t>t</w:t>
      </w:r>
      <w:r w:rsidRPr="00AA552A">
        <w:rPr>
          <w:rFonts w:cs="Cambria"/>
          <w:color w:val="000000"/>
          <w:spacing w:val="1"/>
        </w:rPr>
        <w:t>e</w:t>
      </w:r>
      <w:r w:rsidRPr="00AA552A">
        <w:rPr>
          <w:rFonts w:cs="Cambria"/>
          <w:color w:val="000000"/>
          <w:spacing w:val="-1"/>
        </w:rPr>
        <w:t>r</w:t>
      </w:r>
      <w:r w:rsidRPr="00AA552A">
        <w:rPr>
          <w:rFonts w:cs="Cambria"/>
          <w:color w:val="000000"/>
          <w:spacing w:val="1"/>
        </w:rPr>
        <w:t>i</w:t>
      </w:r>
      <w:r w:rsidRPr="00AA552A">
        <w:rPr>
          <w:rFonts w:cs="Cambria"/>
          <w:color w:val="000000"/>
        </w:rPr>
        <w:t>a</w:t>
      </w:r>
      <w:r w:rsidRPr="00AA552A">
        <w:rPr>
          <w:rFonts w:cs="Cambria"/>
          <w:color w:val="000000"/>
          <w:spacing w:val="-6"/>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spacing w:val="1"/>
        </w:rPr>
        <w:t>EFH</w:t>
      </w:r>
      <w:r w:rsidRPr="00AA552A">
        <w:rPr>
          <w:rFonts w:cs="Cambria"/>
          <w:color w:val="000000"/>
        </w:rPr>
        <w:t>-</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s</w:t>
      </w:r>
      <w:r w:rsidRPr="00AA552A">
        <w:rPr>
          <w:rFonts w:cs="Cambria"/>
          <w:color w:val="000000"/>
          <w:spacing w:val="-8"/>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spacing w:val="-1"/>
        </w:rPr>
        <w:t>d</w:t>
      </w:r>
      <w:r w:rsidRPr="00AA552A">
        <w:rPr>
          <w:rFonts w:cs="Cambria"/>
          <w:color w:val="000000"/>
        </w:rPr>
        <w:t>ol</w:t>
      </w:r>
      <w:r w:rsidRPr="00AA552A">
        <w:rPr>
          <w:rFonts w:cs="Cambria"/>
          <w:color w:val="000000"/>
          <w:spacing w:val="1"/>
        </w:rPr>
        <w:t>p</w:t>
      </w:r>
      <w:r w:rsidRPr="00AA552A">
        <w:rPr>
          <w:rFonts w:cs="Cambria"/>
          <w:color w:val="000000"/>
        </w:rPr>
        <w:t>h</w:t>
      </w:r>
      <w:r w:rsidRPr="00AA552A">
        <w:rPr>
          <w:rFonts w:cs="Cambria"/>
          <w:color w:val="000000"/>
          <w:spacing w:val="1"/>
        </w:rPr>
        <w:t>i</w:t>
      </w:r>
      <w:r w:rsidRPr="00AA552A">
        <w:rPr>
          <w:rFonts w:cs="Cambria"/>
          <w:color w:val="000000"/>
        </w:rPr>
        <w:t>n</w:t>
      </w:r>
      <w:r w:rsidRPr="00AA552A">
        <w:rPr>
          <w:rFonts w:cs="Cambria"/>
          <w:color w:val="000000"/>
          <w:spacing w:val="-5"/>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w</w:t>
      </w:r>
      <w:r w:rsidRPr="00AA552A">
        <w:rPr>
          <w:rFonts w:cs="Cambria"/>
          <w:color w:val="000000"/>
        </w:rPr>
        <w:t>ahoo</w:t>
      </w:r>
      <w:r w:rsidRPr="00AA552A">
        <w:rPr>
          <w:rFonts w:cs="Cambria"/>
          <w:color w:val="000000"/>
          <w:spacing w:val="-4"/>
        </w:rPr>
        <w:t xml:space="preserve"> </w:t>
      </w:r>
      <w:r w:rsidRPr="00AA552A">
        <w:rPr>
          <w:rFonts w:cs="Cambria"/>
          <w:color w:val="000000"/>
          <w:spacing w:val="3"/>
        </w:rPr>
        <w:t>i</w:t>
      </w:r>
      <w:r w:rsidRPr="00AA552A">
        <w:rPr>
          <w:rFonts w:cs="Cambria"/>
          <w:color w:val="000000"/>
        </w:rPr>
        <w:t>n</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A</w:t>
      </w:r>
      <w:r w:rsidRPr="00AA552A">
        <w:rPr>
          <w:rFonts w:cs="Cambria"/>
          <w:color w:val="000000"/>
        </w:rPr>
        <w:t>tlant</w:t>
      </w:r>
      <w:r w:rsidRPr="00AA552A">
        <w:rPr>
          <w:rFonts w:cs="Cambria"/>
          <w:color w:val="000000"/>
          <w:spacing w:val="1"/>
        </w:rPr>
        <w:t>i</w:t>
      </w:r>
      <w:r w:rsidRPr="00AA552A">
        <w:rPr>
          <w:rFonts w:cs="Cambria"/>
          <w:color w:val="000000"/>
        </w:rPr>
        <w:t>c</w:t>
      </w:r>
      <w:r w:rsidRPr="00AA552A">
        <w:rPr>
          <w:rFonts w:cs="Cambria"/>
          <w:color w:val="000000"/>
          <w:spacing w:val="-2"/>
        </w:rPr>
        <w:t xml:space="preserve"> </w:t>
      </w:r>
      <w:r w:rsidRPr="00AA552A">
        <w:rPr>
          <w:rFonts w:cs="Cambria"/>
          <w:color w:val="000000"/>
          <w:spacing w:val="1"/>
        </w:rPr>
        <w:t>i</w:t>
      </w:r>
      <w:r w:rsidRPr="00AA552A">
        <w:rPr>
          <w:rFonts w:cs="Cambria"/>
          <w:color w:val="000000"/>
        </w:rPr>
        <w:t>ncl</w:t>
      </w:r>
      <w:r w:rsidRPr="00AA552A">
        <w:rPr>
          <w:rFonts w:cs="Cambria"/>
          <w:color w:val="000000"/>
          <w:spacing w:val="-1"/>
        </w:rPr>
        <w:t>ud</w:t>
      </w:r>
      <w:r w:rsidRPr="00AA552A">
        <w:rPr>
          <w:rFonts w:cs="Cambria"/>
          <w:color w:val="000000"/>
        </w:rPr>
        <w:t xml:space="preserve">e </w:t>
      </w:r>
      <w:r w:rsidRPr="00AA552A">
        <w:rPr>
          <w:rFonts w:cs="Cambria"/>
          <w:color w:val="000000"/>
          <w:spacing w:val="-1"/>
        </w:rPr>
        <w:t>T</w:t>
      </w:r>
      <w:r w:rsidRPr="00AA552A">
        <w:rPr>
          <w:rFonts w:cs="Cambria"/>
          <w:color w:val="000000"/>
        </w:rPr>
        <w:t>he</w:t>
      </w:r>
      <w:r w:rsidRPr="00AA552A">
        <w:rPr>
          <w:rFonts w:cs="Cambria"/>
          <w:color w:val="000000"/>
          <w:spacing w:val="-3"/>
        </w:rPr>
        <w:t xml:space="preserve"> </w:t>
      </w:r>
      <w:r w:rsidRPr="00AA552A">
        <w:rPr>
          <w:rFonts w:cs="Cambria"/>
          <w:color w:val="000000"/>
          <w:spacing w:val="1"/>
        </w:rPr>
        <w:t>P</w:t>
      </w:r>
      <w:r w:rsidRPr="00AA552A">
        <w:rPr>
          <w:rFonts w:cs="Cambria"/>
          <w:color w:val="000000"/>
        </w:rPr>
        <w:t>o</w:t>
      </w:r>
      <w:r w:rsidRPr="00AA552A">
        <w:rPr>
          <w:rFonts w:cs="Cambria"/>
          <w:color w:val="000000"/>
          <w:spacing w:val="1"/>
        </w:rPr>
        <w:t>i</w:t>
      </w:r>
      <w:r w:rsidRPr="00AA552A">
        <w:rPr>
          <w:rFonts w:cs="Cambria"/>
          <w:color w:val="000000"/>
        </w:rPr>
        <w:t>nt,</w:t>
      </w:r>
      <w:r w:rsidRPr="00AA552A">
        <w:rPr>
          <w:rFonts w:cs="Cambria"/>
          <w:color w:val="000000"/>
          <w:spacing w:val="-2"/>
        </w:rPr>
        <w:t xml:space="preserve"> </w:t>
      </w:r>
      <w:r w:rsidRPr="00AA552A">
        <w:rPr>
          <w:rFonts w:cs="Cambria"/>
          <w:color w:val="000000"/>
          <w:spacing w:val="-1"/>
        </w:rPr>
        <w:t>T</w:t>
      </w:r>
      <w:r w:rsidRPr="00AA552A">
        <w:rPr>
          <w:rFonts w:cs="Cambria"/>
          <w:color w:val="000000"/>
        </w:rPr>
        <w:t>he</w:t>
      </w:r>
      <w:r w:rsidRPr="00AA552A">
        <w:rPr>
          <w:rFonts w:cs="Cambria"/>
          <w:color w:val="000000"/>
          <w:spacing w:val="-3"/>
        </w:rPr>
        <w:t xml:space="preserve"> </w:t>
      </w:r>
      <w:r w:rsidRPr="00AA552A">
        <w:rPr>
          <w:rFonts w:cs="Cambria"/>
          <w:color w:val="000000"/>
          <w:spacing w:val="-1"/>
        </w:rPr>
        <w:t>T</w:t>
      </w:r>
      <w:r w:rsidRPr="00AA552A">
        <w:rPr>
          <w:rFonts w:cs="Cambria"/>
          <w:color w:val="000000"/>
          <w:spacing w:val="1"/>
        </w:rPr>
        <w:t>e</w:t>
      </w:r>
      <w:r w:rsidRPr="00AA552A">
        <w:rPr>
          <w:rFonts w:cs="Cambria"/>
          <w:color w:val="000000"/>
        </w:rPr>
        <w:t>n-</w:t>
      </w:r>
      <w:r w:rsidRPr="00AA552A">
        <w:rPr>
          <w:rFonts w:cs="Cambria"/>
          <w:color w:val="000000"/>
          <w:spacing w:val="1"/>
        </w:rPr>
        <w:t>F</w:t>
      </w:r>
      <w:r w:rsidRPr="00AA552A">
        <w:rPr>
          <w:rFonts w:cs="Cambria"/>
          <w:color w:val="000000"/>
        </w:rPr>
        <w:t>a</w:t>
      </w:r>
      <w:r w:rsidRPr="00AA552A">
        <w:rPr>
          <w:rFonts w:cs="Cambria"/>
          <w:color w:val="000000"/>
          <w:spacing w:val="-2"/>
        </w:rPr>
        <w:t>t</w:t>
      </w:r>
      <w:r w:rsidRPr="00AA552A">
        <w:rPr>
          <w:rFonts w:cs="Cambria"/>
          <w:color w:val="000000"/>
        </w:rPr>
        <w:t>hom</w:t>
      </w:r>
      <w:r w:rsidRPr="00AA552A">
        <w:rPr>
          <w:rFonts w:cs="Cambria"/>
          <w:color w:val="000000"/>
          <w:spacing w:val="-6"/>
        </w:rPr>
        <w:t xml:space="preserve"> </w:t>
      </w:r>
      <w:r w:rsidRPr="00AA552A">
        <w:rPr>
          <w:rFonts w:cs="Cambria"/>
          <w:color w:val="000000"/>
          <w:spacing w:val="1"/>
        </w:rPr>
        <w:t>Le</w:t>
      </w:r>
      <w:r w:rsidRPr="00AA552A">
        <w:rPr>
          <w:rFonts w:cs="Cambria"/>
          <w:color w:val="000000"/>
          <w:spacing w:val="-1"/>
        </w:rPr>
        <w:t>dg</w:t>
      </w:r>
      <w:r w:rsidRPr="00AA552A">
        <w:rPr>
          <w:rFonts w:cs="Cambria"/>
          <w:color w:val="000000"/>
          <w:spacing w:val="1"/>
        </w:rPr>
        <w:t>e</w:t>
      </w:r>
      <w:r w:rsidRPr="00AA552A">
        <w:rPr>
          <w:rFonts w:cs="Cambria"/>
          <w:color w:val="000000"/>
        </w:rPr>
        <w:t>,</w:t>
      </w:r>
      <w:r w:rsidRPr="00AA552A">
        <w:rPr>
          <w:rFonts w:cs="Cambria"/>
          <w:color w:val="000000"/>
          <w:spacing w:val="-4"/>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B</w:t>
      </w:r>
      <w:r w:rsidRPr="00AA552A">
        <w:rPr>
          <w:rFonts w:cs="Cambria"/>
          <w:color w:val="000000"/>
          <w:spacing w:val="1"/>
        </w:rPr>
        <w:t>i</w:t>
      </w:r>
      <w:r w:rsidRPr="00AA552A">
        <w:rPr>
          <w:rFonts w:cs="Cambria"/>
          <w:color w:val="000000"/>
        </w:rPr>
        <w:t>g</w:t>
      </w:r>
      <w:r w:rsidRPr="00AA552A">
        <w:rPr>
          <w:rFonts w:cs="Cambria"/>
          <w:color w:val="000000"/>
          <w:spacing w:val="-2"/>
        </w:rPr>
        <w:t xml:space="preserve"> </w:t>
      </w:r>
      <w:r w:rsidRPr="00AA552A">
        <w:rPr>
          <w:rFonts w:cs="Cambria"/>
          <w:color w:val="000000"/>
        </w:rPr>
        <w:t>Ro</w:t>
      </w:r>
      <w:r w:rsidRPr="00AA552A">
        <w:rPr>
          <w:rFonts w:cs="Cambria"/>
          <w:color w:val="000000"/>
          <w:spacing w:val="2"/>
        </w:rPr>
        <w:t>c</w:t>
      </w:r>
      <w:r w:rsidRPr="00AA552A">
        <w:rPr>
          <w:rFonts w:cs="Cambria"/>
          <w:color w:val="000000"/>
        </w:rPr>
        <w:t>k</w:t>
      </w:r>
      <w:r w:rsidRPr="00AA552A">
        <w:rPr>
          <w:rFonts w:cs="Cambria"/>
          <w:color w:val="000000"/>
          <w:spacing w:val="-3"/>
        </w:rPr>
        <w:t xml:space="preserve"> </w:t>
      </w:r>
      <w:r w:rsidRPr="00AA552A">
        <w:rPr>
          <w:rFonts w:cs="Cambria"/>
          <w:color w:val="000000"/>
        </w:rPr>
        <w:t>(No</w:t>
      </w:r>
      <w:r w:rsidRPr="00AA552A">
        <w:rPr>
          <w:rFonts w:cs="Cambria"/>
          <w:color w:val="000000"/>
          <w:spacing w:val="-1"/>
        </w:rPr>
        <w:t>r</w:t>
      </w:r>
      <w:r w:rsidRPr="00AA552A">
        <w:rPr>
          <w:rFonts w:cs="Cambria"/>
          <w:color w:val="000000"/>
        </w:rPr>
        <w:t>th</w:t>
      </w:r>
      <w:r w:rsidRPr="00AA552A">
        <w:rPr>
          <w:rFonts w:cs="Cambria"/>
          <w:color w:val="000000"/>
          <w:spacing w:val="-6"/>
        </w:rPr>
        <w:t xml:space="preserve"> </w:t>
      </w:r>
      <w:r w:rsidRPr="00AA552A">
        <w:rPr>
          <w:rFonts w:cs="Cambria"/>
          <w:color w:val="000000"/>
          <w:spacing w:val="-1"/>
        </w:rPr>
        <w:t>C</w:t>
      </w:r>
      <w:r w:rsidRPr="00AA552A">
        <w:rPr>
          <w:rFonts w:cs="Cambria"/>
          <w:color w:val="000000"/>
          <w:spacing w:val="3"/>
        </w:rPr>
        <w:t>a</w:t>
      </w:r>
      <w:r w:rsidRPr="00AA552A">
        <w:rPr>
          <w:rFonts w:cs="Cambria"/>
          <w:color w:val="000000"/>
          <w:spacing w:val="-1"/>
        </w:rPr>
        <w:t>r</w:t>
      </w:r>
      <w:r w:rsidRPr="00AA552A">
        <w:rPr>
          <w:rFonts w:cs="Cambria"/>
          <w:color w:val="000000"/>
        </w:rPr>
        <w:t>ol</w:t>
      </w:r>
      <w:r w:rsidRPr="00AA552A">
        <w:rPr>
          <w:rFonts w:cs="Cambria"/>
          <w:color w:val="000000"/>
          <w:spacing w:val="1"/>
        </w:rPr>
        <w:t>i</w:t>
      </w:r>
      <w:r w:rsidRPr="00AA552A">
        <w:rPr>
          <w:rFonts w:cs="Cambria"/>
          <w:color w:val="000000"/>
        </w:rPr>
        <w:t>na);</w:t>
      </w:r>
      <w:r w:rsidRPr="00AA552A">
        <w:rPr>
          <w:rFonts w:cs="Cambria"/>
          <w:color w:val="000000"/>
          <w:spacing w:val="-7"/>
        </w:rPr>
        <w:t xml:space="preserve"> </w:t>
      </w:r>
      <w:r w:rsidRPr="00AA552A">
        <w:rPr>
          <w:rFonts w:cs="Cambria"/>
          <w:color w:val="000000"/>
          <w:spacing w:val="-1"/>
        </w:rPr>
        <w:t>T</w:t>
      </w:r>
      <w:r w:rsidRPr="00AA552A">
        <w:rPr>
          <w:rFonts w:cs="Cambria"/>
          <w:color w:val="000000"/>
        </w:rPr>
        <w:t>he</w:t>
      </w:r>
      <w:r w:rsidRPr="00AA552A">
        <w:rPr>
          <w:rFonts w:cs="Cambria"/>
          <w:color w:val="000000"/>
          <w:spacing w:val="-1"/>
        </w:rPr>
        <w:t xml:space="preserve"> C</w:t>
      </w:r>
      <w:r w:rsidRPr="00AA552A">
        <w:rPr>
          <w:rFonts w:cs="Cambria"/>
          <w:color w:val="000000"/>
        </w:rPr>
        <w:t>ha</w:t>
      </w:r>
      <w:r w:rsidRPr="00AA552A">
        <w:rPr>
          <w:rFonts w:cs="Cambria"/>
          <w:color w:val="000000"/>
          <w:spacing w:val="-1"/>
        </w:rPr>
        <w:t>r</w:t>
      </w:r>
      <w:r w:rsidRPr="00AA552A">
        <w:rPr>
          <w:rFonts w:cs="Cambria"/>
          <w:color w:val="000000"/>
        </w:rPr>
        <w:t>l</w:t>
      </w:r>
      <w:r w:rsidRPr="00AA552A">
        <w:rPr>
          <w:rFonts w:cs="Cambria"/>
          <w:color w:val="000000"/>
          <w:spacing w:val="1"/>
        </w:rPr>
        <w:t>e</w:t>
      </w:r>
      <w:r w:rsidRPr="00AA552A">
        <w:rPr>
          <w:rFonts w:cs="Cambria"/>
          <w:color w:val="000000"/>
        </w:rPr>
        <w:t>ston</w:t>
      </w:r>
      <w:r w:rsidRPr="00AA552A">
        <w:rPr>
          <w:rFonts w:cs="Cambria"/>
          <w:color w:val="000000"/>
          <w:spacing w:val="-6"/>
        </w:rPr>
        <w:t xml:space="preserve"> </w:t>
      </w:r>
      <w:r w:rsidRPr="00AA552A">
        <w:rPr>
          <w:rFonts w:cs="Cambria"/>
          <w:color w:val="000000"/>
        </w:rPr>
        <w:t>Bump</w:t>
      </w:r>
      <w:r w:rsidRPr="00AA552A">
        <w:rPr>
          <w:rFonts w:cs="Cambria"/>
          <w:color w:val="000000"/>
          <w:spacing w:val="1"/>
        </w:rPr>
        <w:t xml:space="preserve"> </w:t>
      </w:r>
      <w:r w:rsidRPr="00AA552A">
        <w:rPr>
          <w:rFonts w:cs="Cambria"/>
          <w:color w:val="000000"/>
        </w:rPr>
        <w:t xml:space="preserve">and </w:t>
      </w:r>
      <w:r w:rsidRPr="00AA552A">
        <w:rPr>
          <w:rFonts w:cs="Cambria"/>
          <w:color w:val="000000"/>
          <w:spacing w:val="-1"/>
        </w:rPr>
        <w:t>T</w:t>
      </w:r>
      <w:r w:rsidRPr="00AA552A">
        <w:rPr>
          <w:rFonts w:cs="Cambria"/>
          <w:color w:val="000000"/>
        </w:rPr>
        <w:t>he</w:t>
      </w:r>
      <w:r w:rsidRPr="00AA552A">
        <w:rPr>
          <w:rFonts w:cs="Cambria"/>
          <w:color w:val="000000"/>
          <w:spacing w:val="-3"/>
        </w:rPr>
        <w:t xml:space="preserve"> </w:t>
      </w:r>
      <w:r w:rsidRPr="00AA552A">
        <w:rPr>
          <w:rFonts w:cs="Cambria"/>
          <w:color w:val="000000"/>
        </w:rPr>
        <w:t>G</w:t>
      </w:r>
      <w:r w:rsidRPr="00AA552A">
        <w:rPr>
          <w:rFonts w:cs="Cambria"/>
          <w:color w:val="000000"/>
          <w:spacing w:val="1"/>
        </w:rPr>
        <w:t>e</w:t>
      </w:r>
      <w:r w:rsidRPr="00AA552A">
        <w:rPr>
          <w:rFonts w:cs="Cambria"/>
          <w:color w:val="000000"/>
        </w:rPr>
        <w:t>o</w:t>
      </w:r>
      <w:r w:rsidRPr="00AA552A">
        <w:rPr>
          <w:rFonts w:cs="Cambria"/>
          <w:color w:val="000000"/>
          <w:spacing w:val="-1"/>
        </w:rPr>
        <w:t>rg</w:t>
      </w:r>
      <w:r w:rsidRPr="00AA552A">
        <w:rPr>
          <w:rFonts w:cs="Cambria"/>
          <w:color w:val="000000"/>
          <w:spacing w:val="1"/>
        </w:rPr>
        <w:t>e</w:t>
      </w:r>
      <w:r w:rsidRPr="00AA552A">
        <w:rPr>
          <w:rFonts w:cs="Cambria"/>
          <w:color w:val="000000"/>
        </w:rPr>
        <w:t>to</w:t>
      </w:r>
      <w:r w:rsidRPr="00AA552A">
        <w:rPr>
          <w:rFonts w:cs="Cambria"/>
          <w:color w:val="000000"/>
          <w:spacing w:val="-1"/>
        </w:rPr>
        <w:t>w</w:t>
      </w:r>
      <w:r w:rsidRPr="00AA552A">
        <w:rPr>
          <w:rFonts w:cs="Cambria"/>
          <w:color w:val="000000"/>
        </w:rPr>
        <w:t>n</w:t>
      </w:r>
      <w:r w:rsidRPr="00AA552A">
        <w:rPr>
          <w:rFonts w:cs="Cambria"/>
          <w:color w:val="000000"/>
          <w:spacing w:val="-7"/>
        </w:rPr>
        <w:t xml:space="preserve"> </w:t>
      </w:r>
      <w:r w:rsidRPr="00AA552A">
        <w:rPr>
          <w:rFonts w:cs="Cambria"/>
          <w:color w:val="000000"/>
          <w:spacing w:val="1"/>
        </w:rPr>
        <w:t>H</w:t>
      </w:r>
      <w:r w:rsidRPr="00AA552A">
        <w:rPr>
          <w:rFonts w:cs="Cambria"/>
          <w:color w:val="000000"/>
        </w:rPr>
        <w:t>ole</w:t>
      </w:r>
      <w:r w:rsidRPr="00AA552A">
        <w:rPr>
          <w:rFonts w:cs="Cambria"/>
          <w:color w:val="000000"/>
          <w:spacing w:val="-3"/>
        </w:rPr>
        <w:t xml:space="preserve"> </w:t>
      </w:r>
      <w:r w:rsidRPr="00AA552A">
        <w:rPr>
          <w:rFonts w:cs="Cambria"/>
          <w:color w:val="000000"/>
          <w:spacing w:val="2"/>
        </w:rPr>
        <w:t>(</w:t>
      </w:r>
      <w:r w:rsidRPr="00AA552A">
        <w:rPr>
          <w:rFonts w:cs="Cambria"/>
          <w:color w:val="000000"/>
          <w:spacing w:val="1"/>
        </w:rPr>
        <w:t>S</w:t>
      </w:r>
      <w:r w:rsidRPr="00AA552A">
        <w:rPr>
          <w:rFonts w:cs="Cambria"/>
          <w:color w:val="000000"/>
        </w:rPr>
        <w:t>outh</w:t>
      </w:r>
      <w:r w:rsidRPr="00AA552A">
        <w:rPr>
          <w:rFonts w:cs="Cambria"/>
          <w:color w:val="000000"/>
          <w:spacing w:val="-4"/>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rPr>
        <w:t>ol</w:t>
      </w:r>
      <w:r w:rsidRPr="00AA552A">
        <w:rPr>
          <w:rFonts w:cs="Cambria"/>
          <w:color w:val="000000"/>
          <w:spacing w:val="1"/>
        </w:rPr>
        <w:t>i</w:t>
      </w:r>
      <w:r w:rsidRPr="00AA552A">
        <w:rPr>
          <w:rFonts w:cs="Cambria"/>
          <w:color w:val="000000"/>
        </w:rPr>
        <w:t>na);</w:t>
      </w:r>
      <w:r w:rsidRPr="00AA552A">
        <w:rPr>
          <w:rFonts w:cs="Cambria"/>
          <w:color w:val="000000"/>
          <w:spacing w:val="-7"/>
        </w:rPr>
        <w:t xml:space="preserve"> </w:t>
      </w:r>
      <w:r w:rsidRPr="00AA552A">
        <w:rPr>
          <w:rFonts w:cs="Cambria"/>
          <w:color w:val="000000"/>
          <w:spacing w:val="-1"/>
        </w:rPr>
        <w:t>T</w:t>
      </w:r>
      <w:r w:rsidRPr="00AA552A">
        <w:rPr>
          <w:rFonts w:cs="Cambria"/>
          <w:color w:val="000000"/>
        </w:rPr>
        <w:t>he</w:t>
      </w:r>
      <w:r w:rsidRPr="00AA552A">
        <w:rPr>
          <w:rFonts w:cs="Cambria"/>
          <w:color w:val="000000"/>
          <w:spacing w:val="-3"/>
        </w:rPr>
        <w:t xml:space="preserve"> </w:t>
      </w:r>
      <w:r w:rsidRPr="00AA552A">
        <w:rPr>
          <w:rFonts w:cs="Cambria"/>
          <w:color w:val="000000"/>
          <w:spacing w:val="1"/>
        </w:rPr>
        <w:t>P</w:t>
      </w:r>
      <w:r w:rsidRPr="00AA552A">
        <w:rPr>
          <w:rFonts w:cs="Cambria"/>
          <w:color w:val="000000"/>
          <w:spacing w:val="2"/>
        </w:rPr>
        <w:t>o</w:t>
      </w:r>
      <w:r w:rsidRPr="00AA552A">
        <w:rPr>
          <w:rFonts w:cs="Cambria"/>
          <w:color w:val="000000"/>
          <w:spacing w:val="1"/>
        </w:rPr>
        <w:t>i</w:t>
      </w:r>
      <w:r w:rsidRPr="00AA552A">
        <w:rPr>
          <w:rFonts w:cs="Cambria"/>
          <w:color w:val="000000"/>
        </w:rPr>
        <w:t>nt</w:t>
      </w:r>
      <w:r w:rsidRPr="00AA552A">
        <w:rPr>
          <w:rFonts w:cs="Cambria"/>
          <w:color w:val="000000"/>
          <w:spacing w:val="-3"/>
        </w:rPr>
        <w:t xml:space="preserve"> </w:t>
      </w:r>
      <w:r w:rsidRPr="00AA552A">
        <w:rPr>
          <w:rFonts w:cs="Cambria"/>
          <w:color w:val="000000"/>
        </w:rPr>
        <w:t>o</w:t>
      </w:r>
      <w:r w:rsidRPr="00AA552A">
        <w:rPr>
          <w:rFonts w:cs="Cambria"/>
          <w:color w:val="000000"/>
          <w:spacing w:val="-1"/>
        </w:rPr>
        <w:t>f</w:t>
      </w:r>
      <w:r w:rsidRPr="00AA552A">
        <w:rPr>
          <w:rFonts w:cs="Cambria"/>
          <w:color w:val="000000"/>
        </w:rPr>
        <w:t>f</w:t>
      </w:r>
      <w:r w:rsidRPr="00AA552A">
        <w:rPr>
          <w:rFonts w:cs="Cambria"/>
          <w:color w:val="000000"/>
          <w:spacing w:val="-4"/>
        </w:rPr>
        <w:t xml:space="preserve"> </w:t>
      </w:r>
      <w:r w:rsidRPr="00AA552A">
        <w:rPr>
          <w:rFonts w:cs="Cambria"/>
          <w:color w:val="000000"/>
          <w:spacing w:val="1"/>
        </w:rPr>
        <w:t>J</w:t>
      </w:r>
      <w:r w:rsidRPr="00AA552A">
        <w:rPr>
          <w:rFonts w:cs="Cambria"/>
          <w:color w:val="000000"/>
        </w:rPr>
        <w:t>u</w:t>
      </w:r>
      <w:r w:rsidRPr="00AA552A">
        <w:rPr>
          <w:rFonts w:cs="Cambria"/>
          <w:color w:val="000000"/>
          <w:spacing w:val="1"/>
        </w:rPr>
        <w:t>pi</w:t>
      </w:r>
      <w:r w:rsidRPr="00AA552A">
        <w:rPr>
          <w:rFonts w:cs="Cambria"/>
          <w:color w:val="000000"/>
        </w:rPr>
        <w:t>t</w:t>
      </w:r>
      <w:r w:rsidRPr="00AA552A">
        <w:rPr>
          <w:rFonts w:cs="Cambria"/>
          <w:color w:val="000000"/>
          <w:spacing w:val="1"/>
        </w:rPr>
        <w:t>e</w:t>
      </w:r>
      <w:r w:rsidRPr="00AA552A">
        <w:rPr>
          <w:rFonts w:cs="Cambria"/>
          <w:color w:val="000000"/>
        </w:rPr>
        <w:t>r</w:t>
      </w:r>
      <w:r w:rsidRPr="00AA552A">
        <w:rPr>
          <w:rFonts w:cs="Cambria"/>
          <w:color w:val="000000"/>
          <w:spacing w:val="-5"/>
        </w:rPr>
        <w:t xml:space="preserve"> </w:t>
      </w:r>
      <w:r w:rsidRPr="00AA552A">
        <w:rPr>
          <w:rFonts w:cs="Cambria"/>
          <w:color w:val="000000"/>
          <w:spacing w:val="-1"/>
        </w:rPr>
        <w:t>I</w:t>
      </w:r>
      <w:r w:rsidRPr="00AA552A">
        <w:rPr>
          <w:rFonts w:cs="Cambria"/>
          <w:color w:val="000000"/>
        </w:rPr>
        <w:t>nl</w:t>
      </w:r>
      <w:r w:rsidRPr="00AA552A">
        <w:rPr>
          <w:rFonts w:cs="Cambria"/>
          <w:color w:val="000000"/>
          <w:spacing w:val="1"/>
        </w:rPr>
        <w:t>e</w:t>
      </w:r>
      <w:r w:rsidRPr="00AA552A">
        <w:rPr>
          <w:rFonts w:cs="Cambria"/>
          <w:color w:val="000000"/>
        </w:rPr>
        <w:t>t</w:t>
      </w:r>
      <w:r w:rsidRPr="00AA552A">
        <w:rPr>
          <w:rFonts w:cs="Cambria"/>
          <w:color w:val="000000"/>
          <w:spacing w:val="-1"/>
        </w:rPr>
        <w:t xml:space="preserve"> </w:t>
      </w:r>
      <w:r w:rsidRPr="00AA552A">
        <w:rPr>
          <w:rFonts w:cs="Cambria"/>
          <w:color w:val="000000"/>
        </w:rPr>
        <w:t>(</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9"/>
        </w:rPr>
        <w:t xml:space="preserve"> </w:t>
      </w:r>
      <w:r w:rsidRPr="00AA552A">
        <w:rPr>
          <w:rFonts w:cs="Cambria"/>
          <w:color w:val="000000"/>
          <w:spacing w:val="-1"/>
        </w:rPr>
        <w:t>T</w:t>
      </w:r>
      <w:r w:rsidRPr="00AA552A">
        <w:rPr>
          <w:rFonts w:cs="Cambria"/>
          <w:color w:val="000000"/>
        </w:rPr>
        <w:t>he</w:t>
      </w:r>
      <w:r w:rsidRPr="00AA552A">
        <w:rPr>
          <w:rFonts w:cs="Cambria"/>
          <w:color w:val="000000"/>
          <w:spacing w:val="-3"/>
        </w:rPr>
        <w:t xml:space="preserve"> </w:t>
      </w:r>
      <w:r w:rsidRPr="00AA552A">
        <w:rPr>
          <w:rFonts w:cs="Cambria"/>
          <w:color w:val="000000"/>
          <w:spacing w:val="1"/>
        </w:rPr>
        <w:t>H</w:t>
      </w:r>
      <w:r w:rsidRPr="00AA552A">
        <w:rPr>
          <w:rFonts w:cs="Cambria"/>
          <w:color w:val="000000"/>
        </w:rPr>
        <w:t>ump</w:t>
      </w:r>
      <w:r w:rsidRPr="00AA552A">
        <w:rPr>
          <w:rFonts w:cs="Cambria"/>
          <w:color w:val="000000"/>
          <w:spacing w:val="-1"/>
        </w:rPr>
        <w:t xml:space="preserve"> </w:t>
      </w:r>
      <w:r w:rsidRPr="00AA552A">
        <w:rPr>
          <w:rFonts w:cs="Cambria"/>
          <w:color w:val="000000"/>
        </w:rPr>
        <w:t>o</w:t>
      </w:r>
      <w:r w:rsidRPr="00AA552A">
        <w:rPr>
          <w:rFonts w:cs="Cambria"/>
          <w:color w:val="000000"/>
          <w:spacing w:val="2"/>
        </w:rPr>
        <w:t>f</w:t>
      </w:r>
      <w:r w:rsidRPr="00AA552A">
        <w:rPr>
          <w:rFonts w:cs="Cambria"/>
          <w:color w:val="000000"/>
        </w:rPr>
        <w:t xml:space="preserve">f </w:t>
      </w:r>
      <w:r w:rsidRPr="00AA552A">
        <w:rPr>
          <w:rFonts w:cs="Cambria"/>
          <w:color w:val="000000"/>
          <w:spacing w:val="-1"/>
        </w:rPr>
        <w:t>I</w:t>
      </w:r>
      <w:r w:rsidRPr="00AA552A">
        <w:rPr>
          <w:rFonts w:cs="Cambria"/>
          <w:color w:val="000000"/>
        </w:rPr>
        <w:t>slamo</w:t>
      </w:r>
      <w:r w:rsidRPr="00AA552A">
        <w:rPr>
          <w:rFonts w:cs="Cambria"/>
          <w:color w:val="000000"/>
          <w:spacing w:val="-1"/>
        </w:rPr>
        <w:t>r</w:t>
      </w:r>
      <w:r w:rsidRPr="00AA552A">
        <w:rPr>
          <w:rFonts w:cs="Cambria"/>
          <w:color w:val="000000"/>
        </w:rPr>
        <w:t>a</w:t>
      </w:r>
      <w:r w:rsidRPr="00AA552A">
        <w:rPr>
          <w:rFonts w:cs="Cambria"/>
          <w:color w:val="000000"/>
          <w:spacing w:val="-1"/>
        </w:rPr>
        <w:t>d</w:t>
      </w:r>
      <w:r w:rsidRPr="00AA552A">
        <w:rPr>
          <w:rFonts w:cs="Cambria"/>
          <w:color w:val="000000"/>
        </w:rPr>
        <w:t>a,</w:t>
      </w:r>
      <w:r w:rsidRPr="00AA552A">
        <w:rPr>
          <w:rFonts w:cs="Cambria"/>
          <w:color w:val="000000"/>
          <w:spacing w:val="-4"/>
        </w:rPr>
        <w:t xml:space="preserv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4"/>
        </w:rPr>
        <w:t xml:space="preserve"> </w:t>
      </w:r>
      <w:r w:rsidRPr="00AA552A">
        <w:rPr>
          <w:rFonts w:cs="Cambria"/>
          <w:color w:val="000000"/>
          <w:spacing w:val="-1"/>
        </w:rPr>
        <w:t>T</w:t>
      </w:r>
      <w:r w:rsidRPr="00AA552A">
        <w:rPr>
          <w:rFonts w:cs="Cambria"/>
          <w:color w:val="000000"/>
          <w:spacing w:val="2"/>
        </w:rPr>
        <w:t>h</w:t>
      </w:r>
      <w:r w:rsidRPr="00AA552A">
        <w:rPr>
          <w:rFonts w:cs="Cambria"/>
          <w:color w:val="000000"/>
        </w:rPr>
        <w:t>e</w:t>
      </w:r>
      <w:r w:rsidRPr="00AA552A">
        <w:rPr>
          <w:rFonts w:cs="Cambria"/>
          <w:color w:val="000000"/>
          <w:spacing w:val="-3"/>
        </w:rPr>
        <w:t xml:space="preserve"> </w:t>
      </w:r>
      <w:r w:rsidRPr="00AA552A">
        <w:rPr>
          <w:rFonts w:cs="Cambria"/>
          <w:color w:val="000000"/>
          <w:spacing w:val="1"/>
        </w:rPr>
        <w:t>M</w:t>
      </w:r>
      <w:r w:rsidRPr="00AA552A">
        <w:rPr>
          <w:rFonts w:cs="Cambria"/>
          <w:color w:val="000000"/>
        </w:rPr>
        <w:t>a</w:t>
      </w:r>
      <w:r w:rsidRPr="00AA552A">
        <w:rPr>
          <w:rFonts w:cs="Cambria"/>
          <w:color w:val="000000"/>
          <w:spacing w:val="-1"/>
        </w:rPr>
        <w:t>r</w:t>
      </w:r>
      <w:r w:rsidRPr="00AA552A">
        <w:rPr>
          <w:rFonts w:cs="Cambria"/>
          <w:color w:val="000000"/>
        </w:rPr>
        <w:t>athon</w:t>
      </w:r>
      <w:r w:rsidRPr="00AA552A">
        <w:rPr>
          <w:rFonts w:cs="Cambria"/>
          <w:color w:val="000000"/>
          <w:spacing w:val="-4"/>
        </w:rPr>
        <w:t xml:space="preserve"> </w:t>
      </w:r>
      <w:r w:rsidRPr="00AA552A">
        <w:rPr>
          <w:rFonts w:cs="Cambria"/>
          <w:color w:val="000000"/>
          <w:spacing w:val="1"/>
        </w:rPr>
        <w:t>H</w:t>
      </w:r>
      <w:r w:rsidRPr="00AA552A">
        <w:rPr>
          <w:rFonts w:cs="Cambria"/>
          <w:color w:val="000000"/>
          <w:spacing w:val="-1"/>
        </w:rPr>
        <w:t>u</w:t>
      </w:r>
      <w:r w:rsidRPr="00AA552A">
        <w:rPr>
          <w:rFonts w:cs="Cambria"/>
          <w:color w:val="000000"/>
        </w:rPr>
        <w:t>mp</w:t>
      </w:r>
      <w:r w:rsidRPr="00AA552A">
        <w:rPr>
          <w:rFonts w:cs="Cambria"/>
          <w:color w:val="000000"/>
          <w:spacing w:val="-1"/>
        </w:rPr>
        <w:t xml:space="preserve"> </w:t>
      </w:r>
      <w:r w:rsidRPr="00AA552A">
        <w:rPr>
          <w:rFonts w:cs="Cambria"/>
          <w:color w:val="000000"/>
        </w:rPr>
        <w:t>o</w:t>
      </w:r>
      <w:r w:rsidRPr="00AA552A">
        <w:rPr>
          <w:rFonts w:cs="Cambria"/>
          <w:color w:val="000000"/>
          <w:spacing w:val="-1"/>
        </w:rPr>
        <w:t>f</w:t>
      </w:r>
      <w:r w:rsidRPr="00AA552A">
        <w:rPr>
          <w:rFonts w:cs="Cambria"/>
          <w:color w:val="000000"/>
        </w:rPr>
        <w:t>f</w:t>
      </w:r>
      <w:r w:rsidRPr="00AA552A">
        <w:rPr>
          <w:rFonts w:cs="Cambria"/>
          <w:color w:val="000000"/>
          <w:spacing w:val="-4"/>
        </w:rPr>
        <w:t xml:space="preserve"> </w:t>
      </w:r>
      <w:r w:rsidRPr="00AA552A">
        <w:rPr>
          <w:rFonts w:cs="Cambria"/>
          <w:color w:val="000000"/>
          <w:spacing w:val="-1"/>
        </w:rPr>
        <w:t>M</w:t>
      </w:r>
      <w:r w:rsidRPr="00AA552A">
        <w:rPr>
          <w:rFonts w:cs="Cambria"/>
          <w:color w:val="000000"/>
        </w:rPr>
        <w:t>a</w:t>
      </w:r>
      <w:r w:rsidRPr="00AA552A">
        <w:rPr>
          <w:rFonts w:cs="Cambria"/>
          <w:color w:val="000000"/>
          <w:spacing w:val="-1"/>
        </w:rPr>
        <w:t>r</w:t>
      </w:r>
      <w:r w:rsidRPr="00AA552A">
        <w:rPr>
          <w:rFonts w:cs="Cambria"/>
          <w:color w:val="000000"/>
        </w:rPr>
        <w:t>athon,</w:t>
      </w:r>
      <w:r w:rsidRPr="00AA552A">
        <w:rPr>
          <w:rFonts w:cs="Cambria"/>
          <w:color w:val="000000"/>
          <w:spacing w:val="-3"/>
        </w:rPr>
        <w:t xml:space="preserv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7"/>
        </w:rPr>
        <w:t xml:space="preserve"> </w:t>
      </w:r>
      <w:r w:rsidRPr="00AA552A">
        <w:rPr>
          <w:rFonts w:cs="Cambria"/>
          <w:color w:val="000000"/>
          <w:spacing w:val="-1"/>
        </w:rPr>
        <w:t>T</w:t>
      </w:r>
      <w:r w:rsidRPr="00AA552A">
        <w:rPr>
          <w:rFonts w:cs="Cambria"/>
          <w:color w:val="000000"/>
        </w:rPr>
        <w:t>he</w:t>
      </w:r>
      <w:r w:rsidRPr="00AA552A">
        <w:rPr>
          <w:rFonts w:cs="Cambria"/>
          <w:color w:val="000000"/>
          <w:spacing w:val="-3"/>
        </w:rPr>
        <w:t xml:space="preserve"> </w:t>
      </w:r>
      <w:r w:rsidRPr="00AA552A">
        <w:rPr>
          <w:rFonts w:cs="Cambria"/>
          <w:color w:val="000000"/>
          <w:spacing w:val="1"/>
        </w:rPr>
        <w:t>“</w:t>
      </w:r>
      <w:r w:rsidRPr="00AA552A">
        <w:rPr>
          <w:rFonts w:cs="Cambria"/>
          <w:color w:val="000000"/>
        </w:rPr>
        <w:t>Wall”</w:t>
      </w:r>
      <w:r w:rsidRPr="00AA552A">
        <w:rPr>
          <w:rFonts w:cs="Cambria"/>
          <w:color w:val="000000"/>
          <w:spacing w:val="1"/>
        </w:rPr>
        <w:t xml:space="preserve"> </w:t>
      </w:r>
      <w:r w:rsidRPr="00AA552A">
        <w:rPr>
          <w:rFonts w:cs="Cambria"/>
          <w:color w:val="000000"/>
        </w:rPr>
        <w:t>o</w:t>
      </w:r>
      <w:r w:rsidRPr="00AA552A">
        <w:rPr>
          <w:rFonts w:cs="Cambria"/>
          <w:color w:val="000000"/>
          <w:spacing w:val="-1"/>
        </w:rPr>
        <w:t>f</w:t>
      </w:r>
      <w:r w:rsidRPr="00AA552A">
        <w:rPr>
          <w:rFonts w:cs="Cambria"/>
          <w:color w:val="000000"/>
        </w:rPr>
        <w:t>f</w:t>
      </w:r>
      <w:r w:rsidRPr="00AA552A">
        <w:rPr>
          <w:rFonts w:cs="Cambria"/>
          <w:color w:val="000000"/>
          <w:spacing w:val="-4"/>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 K</w:t>
      </w:r>
      <w:r w:rsidRPr="00AA552A">
        <w:rPr>
          <w:rFonts w:cs="Cambria"/>
          <w:color w:val="000000"/>
          <w:spacing w:val="1"/>
        </w:rPr>
        <w:t>e</w:t>
      </w:r>
      <w:r w:rsidRPr="00AA552A">
        <w:rPr>
          <w:rFonts w:cs="Cambria"/>
          <w:color w:val="000000"/>
          <w:spacing w:val="-1"/>
        </w:rPr>
        <w:t>y</w:t>
      </w:r>
      <w:r w:rsidRPr="00AA552A">
        <w:rPr>
          <w:rFonts w:cs="Cambria"/>
          <w:color w:val="000000"/>
        </w:rPr>
        <w:t>s;</w:t>
      </w:r>
      <w:r w:rsidRPr="00AA552A">
        <w:rPr>
          <w:rFonts w:cs="Cambria"/>
          <w:color w:val="000000"/>
          <w:spacing w:val="-5"/>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Pe</w:t>
      </w:r>
      <w:r w:rsidRPr="00AA552A">
        <w:rPr>
          <w:rFonts w:cs="Cambria"/>
          <w:color w:val="000000"/>
        </w:rPr>
        <w:t>la</w:t>
      </w:r>
      <w:r w:rsidRPr="00AA552A">
        <w:rPr>
          <w:rFonts w:cs="Cambria"/>
          <w:color w:val="000000"/>
          <w:spacing w:val="-1"/>
        </w:rPr>
        <w:t>g</w:t>
      </w:r>
      <w:r w:rsidRPr="00AA552A">
        <w:rPr>
          <w:rFonts w:cs="Cambria"/>
          <w:color w:val="000000"/>
          <w:spacing w:val="1"/>
        </w:rPr>
        <w:t>i</w:t>
      </w:r>
      <w:r w:rsidRPr="00AA552A">
        <w:rPr>
          <w:rFonts w:cs="Cambria"/>
          <w:color w:val="000000"/>
        </w:rPr>
        <w:t>c</w:t>
      </w:r>
      <w:r w:rsidRPr="00AA552A">
        <w:rPr>
          <w:rFonts w:cs="Cambria"/>
          <w:color w:val="000000"/>
          <w:spacing w:val="-4"/>
        </w:rPr>
        <w:t xml:space="preserve"> </w:t>
      </w:r>
      <w:r w:rsidRPr="00AA552A">
        <w:rPr>
          <w:rFonts w:cs="Cambria"/>
          <w:i/>
          <w:iCs/>
          <w:color w:val="000000"/>
        </w:rPr>
        <w:t>S</w:t>
      </w:r>
      <w:r w:rsidRPr="00AA552A">
        <w:rPr>
          <w:rFonts w:cs="Cambria"/>
          <w:i/>
          <w:iCs/>
          <w:color w:val="000000"/>
          <w:spacing w:val="1"/>
        </w:rPr>
        <w:t>ar</w:t>
      </w:r>
      <w:r w:rsidRPr="00AA552A">
        <w:rPr>
          <w:rFonts w:cs="Cambria"/>
          <w:i/>
          <w:iCs/>
          <w:color w:val="000000"/>
          <w:spacing w:val="-1"/>
        </w:rPr>
        <w:t>g</w:t>
      </w:r>
      <w:r w:rsidRPr="00AA552A">
        <w:rPr>
          <w:rFonts w:cs="Cambria"/>
          <w:i/>
          <w:iCs/>
          <w:color w:val="000000"/>
          <w:spacing w:val="1"/>
        </w:rPr>
        <w:t>a</w:t>
      </w:r>
      <w:r w:rsidRPr="00AA552A">
        <w:rPr>
          <w:rFonts w:cs="Cambria"/>
          <w:i/>
          <w:iCs/>
          <w:color w:val="000000"/>
        </w:rPr>
        <w:t>ss</w:t>
      </w:r>
      <w:r w:rsidRPr="00AA552A">
        <w:rPr>
          <w:rFonts w:cs="Cambria"/>
          <w:i/>
          <w:iCs/>
          <w:color w:val="000000"/>
          <w:spacing w:val="1"/>
        </w:rPr>
        <w:t>u</w:t>
      </w:r>
      <w:r w:rsidRPr="00AA552A">
        <w:rPr>
          <w:rFonts w:cs="Cambria"/>
          <w:i/>
          <w:iCs/>
          <w:color w:val="000000"/>
        </w:rPr>
        <w:t>m</w:t>
      </w:r>
      <w:r w:rsidRPr="00AA552A">
        <w:rPr>
          <w:rFonts w:cs="Cambria"/>
          <w:color w:val="000000"/>
        </w:rPr>
        <w:t>.</w:t>
      </w:r>
      <w:r w:rsidRPr="00AA552A">
        <w:rPr>
          <w:rFonts w:cs="Cambria"/>
          <w:color w:val="000000"/>
          <w:spacing w:val="48"/>
        </w:rPr>
        <w:t xml:space="preserve"> </w:t>
      </w:r>
      <w:r w:rsidRPr="00AA552A">
        <w:rPr>
          <w:rFonts w:cs="Cambria"/>
          <w:color w:val="000000"/>
          <w:spacing w:val="-1"/>
        </w:rPr>
        <w:t>T</w:t>
      </w:r>
      <w:r w:rsidRPr="00AA552A">
        <w:rPr>
          <w:rFonts w:cs="Cambria"/>
          <w:color w:val="000000"/>
        </w:rPr>
        <w:t>h</w:t>
      </w:r>
      <w:r w:rsidRPr="00AA552A">
        <w:rPr>
          <w:rFonts w:cs="Cambria"/>
          <w:color w:val="000000"/>
          <w:spacing w:val="1"/>
        </w:rPr>
        <w:t>i</w:t>
      </w:r>
      <w:r w:rsidRPr="00AA552A">
        <w:rPr>
          <w:rFonts w:cs="Cambria"/>
          <w:color w:val="000000"/>
        </w:rPr>
        <w:t>s</w:t>
      </w:r>
      <w:r w:rsidRPr="00AA552A">
        <w:rPr>
          <w:rFonts w:cs="Cambria"/>
          <w:color w:val="000000"/>
          <w:spacing w:val="-4"/>
        </w:rPr>
        <w:t xml:space="preserve"> </w:t>
      </w:r>
      <w:r w:rsidRPr="00AA552A">
        <w:rPr>
          <w:rFonts w:cs="Cambria"/>
          <w:color w:val="000000"/>
          <w:spacing w:val="1"/>
        </w:rPr>
        <w:t>E</w:t>
      </w:r>
      <w:r w:rsidRPr="00AA552A">
        <w:rPr>
          <w:rFonts w:cs="Cambria"/>
          <w:color w:val="000000"/>
          <w:spacing w:val="-2"/>
        </w:rPr>
        <w:t>F</w:t>
      </w:r>
      <w:r w:rsidRPr="00AA552A">
        <w:rPr>
          <w:rFonts w:cs="Cambria"/>
          <w:color w:val="000000"/>
          <w:spacing w:val="1"/>
        </w:rPr>
        <w:t>H</w:t>
      </w:r>
      <w:r w:rsidRPr="00AA552A">
        <w:rPr>
          <w:rFonts w:cs="Cambria"/>
          <w:color w:val="000000"/>
        </w:rPr>
        <w:t>-</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rPr>
        <w:t>C</w:t>
      </w:r>
      <w:r w:rsidRPr="00AA552A">
        <w:rPr>
          <w:rFonts w:cs="Cambria"/>
          <w:color w:val="000000"/>
          <w:spacing w:val="-8"/>
        </w:rPr>
        <w:t xml:space="preserve"> </w:t>
      </w:r>
      <w:r w:rsidRPr="00AA552A">
        <w:rPr>
          <w:rFonts w:cs="Cambria"/>
          <w:color w:val="000000"/>
          <w:spacing w:val="-1"/>
        </w:rPr>
        <w:t>d</w:t>
      </w:r>
      <w:r w:rsidRPr="00AA552A">
        <w:rPr>
          <w:rFonts w:cs="Cambria"/>
          <w:color w:val="000000"/>
          <w:spacing w:val="1"/>
        </w:rPr>
        <w:t>e</w:t>
      </w:r>
      <w:r w:rsidRPr="00AA552A">
        <w:rPr>
          <w:rFonts w:cs="Cambria"/>
          <w:color w:val="000000"/>
          <w:spacing w:val="-1"/>
        </w:rPr>
        <w:t>f</w:t>
      </w:r>
      <w:r w:rsidRPr="00AA552A">
        <w:rPr>
          <w:rFonts w:cs="Cambria"/>
          <w:color w:val="000000"/>
          <w:spacing w:val="1"/>
        </w:rPr>
        <w:t>i</w:t>
      </w:r>
      <w:r w:rsidRPr="00AA552A">
        <w:rPr>
          <w:rFonts w:cs="Cambria"/>
          <w:color w:val="000000"/>
        </w:rPr>
        <w:t>n</w:t>
      </w:r>
      <w:r w:rsidRPr="00AA552A">
        <w:rPr>
          <w:rFonts w:cs="Cambria"/>
          <w:color w:val="000000"/>
          <w:spacing w:val="1"/>
        </w:rPr>
        <w:t>i</w:t>
      </w:r>
      <w:r w:rsidRPr="00AA552A">
        <w:rPr>
          <w:rFonts w:cs="Cambria"/>
          <w:color w:val="000000"/>
        </w:rPr>
        <w:t>t</w:t>
      </w:r>
      <w:r w:rsidRPr="00AA552A">
        <w:rPr>
          <w:rFonts w:cs="Cambria"/>
          <w:color w:val="000000"/>
          <w:spacing w:val="1"/>
        </w:rPr>
        <w:t>i</w:t>
      </w:r>
      <w:r w:rsidRPr="00AA552A">
        <w:rPr>
          <w:rFonts w:cs="Cambria"/>
          <w:color w:val="000000"/>
        </w:rPr>
        <w:t>on</w:t>
      </w:r>
      <w:r w:rsidRPr="00AA552A">
        <w:rPr>
          <w:rFonts w:cs="Cambria"/>
          <w:color w:val="000000"/>
          <w:spacing w:val="-7"/>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spacing w:val="-1"/>
        </w:rPr>
        <w:t>d</w:t>
      </w:r>
      <w:r w:rsidRPr="00AA552A">
        <w:rPr>
          <w:rFonts w:cs="Cambria"/>
          <w:color w:val="000000"/>
        </w:rPr>
        <w:t>ol</w:t>
      </w:r>
      <w:r w:rsidRPr="00AA552A">
        <w:rPr>
          <w:rFonts w:cs="Cambria"/>
          <w:color w:val="000000"/>
          <w:spacing w:val="1"/>
        </w:rPr>
        <w:t>p</w:t>
      </w:r>
      <w:r w:rsidRPr="00AA552A">
        <w:rPr>
          <w:rFonts w:cs="Cambria"/>
          <w:color w:val="000000"/>
        </w:rPr>
        <w:t>h</w:t>
      </w:r>
      <w:r w:rsidRPr="00AA552A">
        <w:rPr>
          <w:rFonts w:cs="Cambria"/>
          <w:color w:val="000000"/>
          <w:spacing w:val="1"/>
        </w:rPr>
        <w:t>i</w:t>
      </w:r>
      <w:r w:rsidRPr="00AA552A">
        <w:rPr>
          <w:rFonts w:cs="Cambria"/>
          <w:color w:val="000000"/>
        </w:rPr>
        <w:t>n</w:t>
      </w:r>
      <w:r w:rsidRPr="00AA552A">
        <w:rPr>
          <w:rFonts w:cs="Cambria"/>
          <w:color w:val="000000"/>
          <w:spacing w:val="-5"/>
        </w:rPr>
        <w:t xml:space="preserve"> </w:t>
      </w:r>
      <w:r w:rsidRPr="00AA552A">
        <w:rPr>
          <w:rFonts w:cs="Cambria"/>
          <w:color w:val="000000"/>
          <w:spacing w:val="-1"/>
        </w:rPr>
        <w:t>w</w:t>
      </w:r>
      <w:r w:rsidRPr="00AA552A">
        <w:rPr>
          <w:rFonts w:cs="Cambria"/>
          <w:color w:val="000000"/>
        </w:rPr>
        <w:t>as</w:t>
      </w:r>
      <w:r w:rsidRPr="00AA552A">
        <w:rPr>
          <w:rFonts w:cs="Cambria"/>
          <w:color w:val="000000"/>
          <w:spacing w:val="-1"/>
        </w:rPr>
        <w:t xml:space="preserve"> </w:t>
      </w:r>
      <w:r w:rsidRPr="00AA552A">
        <w:rPr>
          <w:rFonts w:cs="Cambria"/>
          <w:color w:val="000000"/>
        </w:rPr>
        <w:t>a</w:t>
      </w:r>
      <w:r w:rsidRPr="00AA552A">
        <w:rPr>
          <w:rFonts w:cs="Cambria"/>
          <w:color w:val="000000"/>
          <w:spacing w:val="1"/>
        </w:rPr>
        <w:t>pp</w:t>
      </w:r>
      <w:r w:rsidRPr="00AA552A">
        <w:rPr>
          <w:rFonts w:cs="Cambria"/>
          <w:color w:val="000000"/>
          <w:spacing w:val="-1"/>
        </w:rPr>
        <w:t>r</w:t>
      </w:r>
      <w:r w:rsidRPr="00AA552A">
        <w:rPr>
          <w:rFonts w:cs="Cambria"/>
          <w:color w:val="000000"/>
        </w:rPr>
        <w:t>o</w:t>
      </w:r>
      <w:r w:rsidRPr="00AA552A">
        <w:rPr>
          <w:rFonts w:cs="Cambria"/>
          <w:color w:val="000000"/>
          <w:spacing w:val="-1"/>
        </w:rPr>
        <w:t>v</w:t>
      </w:r>
      <w:r w:rsidRPr="00AA552A">
        <w:rPr>
          <w:rFonts w:cs="Cambria"/>
          <w:color w:val="000000"/>
          <w:spacing w:val="1"/>
        </w:rPr>
        <w:t>e</w:t>
      </w:r>
      <w:r w:rsidRPr="00AA552A">
        <w:rPr>
          <w:rFonts w:cs="Cambria"/>
          <w:color w:val="000000"/>
        </w:rPr>
        <w:t>d</w:t>
      </w:r>
      <w:r w:rsidRPr="00AA552A">
        <w:rPr>
          <w:rFonts w:cs="Cambria"/>
          <w:color w:val="000000"/>
          <w:spacing w:val="-7"/>
        </w:rPr>
        <w:t xml:space="preserve"> </w:t>
      </w:r>
      <w:r w:rsidRPr="00AA552A">
        <w:rPr>
          <w:rFonts w:cs="Cambria"/>
          <w:color w:val="000000"/>
          <w:spacing w:val="1"/>
        </w:rPr>
        <w:t>b</w:t>
      </w:r>
      <w:r w:rsidRPr="00AA552A">
        <w:rPr>
          <w:rFonts w:cs="Cambria"/>
          <w:color w:val="000000"/>
        </w:rPr>
        <w:t>y</w:t>
      </w:r>
      <w:r w:rsidRPr="00AA552A">
        <w:rPr>
          <w:rFonts w:cs="Cambria"/>
          <w:color w:val="000000"/>
          <w:spacing w:val="-2"/>
        </w:rPr>
        <w:t xml:space="preserve"> </w:t>
      </w:r>
      <w:r w:rsidRPr="00AA552A">
        <w:rPr>
          <w:rFonts w:cs="Cambria"/>
          <w:color w:val="000000"/>
        </w:rPr>
        <w:t xml:space="preserve">the </w:t>
      </w:r>
      <w:r w:rsidRPr="00AA552A">
        <w:rPr>
          <w:rFonts w:cs="Cambria"/>
          <w:color w:val="000000"/>
          <w:spacing w:val="1"/>
        </w:rPr>
        <w:t>Se</w:t>
      </w:r>
      <w:r w:rsidRPr="00AA552A">
        <w:rPr>
          <w:rFonts w:cs="Cambria"/>
          <w:color w:val="000000"/>
        </w:rPr>
        <w:t>c</w:t>
      </w:r>
      <w:r w:rsidRPr="00AA552A">
        <w:rPr>
          <w:rFonts w:cs="Cambria"/>
          <w:color w:val="000000"/>
          <w:spacing w:val="-1"/>
        </w:rPr>
        <w:t>r</w:t>
      </w:r>
      <w:r w:rsidRPr="00AA552A">
        <w:rPr>
          <w:rFonts w:cs="Cambria"/>
          <w:color w:val="000000"/>
          <w:spacing w:val="1"/>
        </w:rPr>
        <w:t>e</w:t>
      </w:r>
      <w:r w:rsidRPr="00AA552A">
        <w:rPr>
          <w:rFonts w:cs="Cambria"/>
          <w:color w:val="000000"/>
        </w:rPr>
        <w:t>ta</w:t>
      </w:r>
      <w:r w:rsidRPr="00AA552A">
        <w:rPr>
          <w:rFonts w:cs="Cambria"/>
          <w:color w:val="000000"/>
          <w:spacing w:val="-1"/>
        </w:rPr>
        <w:t>r</w:t>
      </w:r>
      <w:r w:rsidRPr="00AA552A">
        <w:rPr>
          <w:rFonts w:cs="Cambria"/>
          <w:color w:val="000000"/>
        </w:rPr>
        <w:t>y</w:t>
      </w:r>
      <w:r w:rsidRPr="00AA552A">
        <w:rPr>
          <w:rFonts w:cs="Cambria"/>
          <w:color w:val="000000"/>
          <w:spacing w:val="-8"/>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C</w:t>
      </w:r>
      <w:r w:rsidRPr="00AA552A">
        <w:rPr>
          <w:rFonts w:cs="Cambria"/>
          <w:color w:val="000000"/>
        </w:rPr>
        <w:t>omm</w:t>
      </w:r>
      <w:r w:rsidRPr="00AA552A">
        <w:rPr>
          <w:rFonts w:cs="Cambria"/>
          <w:color w:val="000000"/>
          <w:spacing w:val="1"/>
        </w:rPr>
        <w:t>e</w:t>
      </w:r>
      <w:r w:rsidRPr="00AA552A">
        <w:rPr>
          <w:rFonts w:cs="Cambria"/>
          <w:color w:val="000000"/>
          <w:spacing w:val="-1"/>
        </w:rPr>
        <w:t>r</w:t>
      </w:r>
      <w:r w:rsidRPr="00AA552A">
        <w:rPr>
          <w:rFonts w:cs="Cambria"/>
          <w:color w:val="000000"/>
        </w:rPr>
        <w:t>ce</w:t>
      </w:r>
      <w:r w:rsidRPr="00AA552A">
        <w:rPr>
          <w:rFonts w:cs="Cambria"/>
          <w:color w:val="000000"/>
          <w:spacing w:val="-8"/>
        </w:rPr>
        <w:t xml:space="preserve"> </w:t>
      </w:r>
      <w:r w:rsidRPr="00AA552A">
        <w:rPr>
          <w:rFonts w:cs="Cambria"/>
          <w:color w:val="000000"/>
        </w:rPr>
        <w:t>on</w:t>
      </w:r>
      <w:r w:rsidRPr="00AA552A">
        <w:rPr>
          <w:rFonts w:cs="Cambria"/>
          <w:color w:val="000000"/>
          <w:spacing w:val="-1"/>
        </w:rPr>
        <w:t xml:space="preserve"> </w:t>
      </w:r>
      <w:r w:rsidRPr="00AA552A">
        <w:rPr>
          <w:rFonts w:cs="Cambria"/>
          <w:color w:val="000000"/>
          <w:spacing w:val="1"/>
        </w:rPr>
        <w:t>J</w:t>
      </w:r>
      <w:r w:rsidRPr="00AA552A">
        <w:rPr>
          <w:rFonts w:cs="Cambria"/>
          <w:color w:val="000000"/>
        </w:rPr>
        <w:t>une</w:t>
      </w:r>
      <w:r w:rsidRPr="00AA552A">
        <w:rPr>
          <w:rFonts w:cs="Cambria"/>
          <w:color w:val="000000"/>
          <w:spacing w:val="-1"/>
        </w:rPr>
        <w:t xml:space="preserve"> 3</w:t>
      </w:r>
      <w:r w:rsidRPr="00AA552A">
        <w:rPr>
          <w:rFonts w:cs="Cambria"/>
          <w:color w:val="000000"/>
        </w:rPr>
        <w:t xml:space="preserve">, </w:t>
      </w:r>
      <w:r w:rsidRPr="00AA552A">
        <w:rPr>
          <w:rFonts w:cs="Cambria"/>
          <w:color w:val="000000"/>
          <w:spacing w:val="-1"/>
        </w:rPr>
        <w:t>199</w:t>
      </w:r>
      <w:r w:rsidRPr="00AA552A">
        <w:rPr>
          <w:rFonts w:cs="Cambria"/>
          <w:color w:val="000000"/>
        </w:rPr>
        <w:t>9</w:t>
      </w:r>
      <w:r w:rsidRPr="00AA552A">
        <w:rPr>
          <w:rFonts w:cs="Cambria"/>
          <w:color w:val="000000"/>
          <w:spacing w:val="-6"/>
        </w:rPr>
        <w:t xml:space="preserve"> </w:t>
      </w:r>
      <w:r w:rsidRPr="00AA552A">
        <w:rPr>
          <w:rFonts w:cs="Cambria"/>
          <w:color w:val="000000"/>
        </w:rPr>
        <w:t>as</w:t>
      </w:r>
      <w:r w:rsidRPr="00AA552A">
        <w:rPr>
          <w:rFonts w:cs="Cambria"/>
          <w:color w:val="000000"/>
          <w:spacing w:val="-1"/>
        </w:rPr>
        <w:t xml:space="preserve"> </w:t>
      </w:r>
      <w:r w:rsidRPr="00AA552A">
        <w:rPr>
          <w:rFonts w:cs="Cambria"/>
          <w:color w:val="000000"/>
        </w:rPr>
        <w:t xml:space="preserve">a </w:t>
      </w:r>
      <w:r w:rsidRPr="00AA552A">
        <w:rPr>
          <w:rFonts w:cs="Cambria"/>
          <w:color w:val="000000"/>
          <w:spacing w:val="1"/>
        </w:rPr>
        <w:t>p</w:t>
      </w:r>
      <w:r w:rsidRPr="00AA552A">
        <w:rPr>
          <w:rFonts w:cs="Cambria"/>
          <w:color w:val="000000"/>
        </w:rPr>
        <w:t>a</w:t>
      </w:r>
      <w:r w:rsidRPr="00AA552A">
        <w:rPr>
          <w:rFonts w:cs="Cambria"/>
          <w:color w:val="000000"/>
          <w:spacing w:val="-1"/>
        </w:rPr>
        <w:t>r</w:t>
      </w:r>
      <w:r w:rsidRPr="00AA552A">
        <w:rPr>
          <w:rFonts w:cs="Cambria"/>
          <w:color w:val="000000"/>
        </w:rPr>
        <w:t>t</w:t>
      </w:r>
      <w:r w:rsidRPr="00AA552A">
        <w:rPr>
          <w:rFonts w:cs="Cambria"/>
          <w:color w:val="000000"/>
          <w:spacing w:val="-1"/>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S</w:t>
      </w:r>
      <w:r w:rsidRPr="00AA552A">
        <w:rPr>
          <w:rFonts w:cs="Cambria"/>
          <w:color w:val="000000"/>
        </w:rPr>
        <w:t>outh</w:t>
      </w:r>
      <w:r w:rsidRPr="00AA552A">
        <w:rPr>
          <w:rFonts w:cs="Cambria"/>
          <w:color w:val="000000"/>
          <w:spacing w:val="-3"/>
        </w:rPr>
        <w:t xml:space="preserve"> </w:t>
      </w:r>
      <w:r w:rsidRPr="00AA552A">
        <w:rPr>
          <w:rFonts w:cs="Cambria"/>
          <w:color w:val="000000"/>
          <w:spacing w:val="-1"/>
        </w:rPr>
        <w:t>A</w:t>
      </w:r>
      <w:r w:rsidRPr="00AA552A">
        <w:rPr>
          <w:rFonts w:cs="Cambria"/>
          <w:color w:val="000000"/>
        </w:rPr>
        <w:t>tlant</w:t>
      </w:r>
      <w:r w:rsidRPr="00AA552A">
        <w:rPr>
          <w:rFonts w:cs="Cambria"/>
          <w:color w:val="000000"/>
          <w:spacing w:val="1"/>
        </w:rPr>
        <w:t>i</w:t>
      </w:r>
      <w:r w:rsidRPr="00AA552A">
        <w:rPr>
          <w:rFonts w:cs="Cambria"/>
          <w:color w:val="000000"/>
        </w:rPr>
        <w:t>c</w:t>
      </w:r>
      <w:r w:rsidRPr="00AA552A">
        <w:rPr>
          <w:rFonts w:cs="Cambria"/>
          <w:color w:val="000000"/>
          <w:spacing w:val="-2"/>
        </w:rPr>
        <w:t xml:space="preserve"> </w:t>
      </w:r>
      <w:r w:rsidRPr="00AA552A">
        <w:rPr>
          <w:rFonts w:cs="Cambria"/>
          <w:color w:val="000000"/>
          <w:spacing w:val="-1"/>
        </w:rPr>
        <w:t>C</w:t>
      </w:r>
      <w:r w:rsidRPr="00AA552A">
        <w:rPr>
          <w:rFonts w:cs="Cambria"/>
          <w:color w:val="000000"/>
        </w:rPr>
        <w:t>ounc</w:t>
      </w:r>
      <w:r w:rsidRPr="00AA552A">
        <w:rPr>
          <w:rFonts w:cs="Cambria"/>
          <w:color w:val="000000"/>
          <w:spacing w:val="1"/>
        </w:rPr>
        <w:t>i</w:t>
      </w:r>
      <w:r w:rsidRPr="00AA552A">
        <w:rPr>
          <w:rFonts w:cs="Cambria"/>
          <w:color w:val="000000"/>
        </w:rPr>
        <w:t xml:space="preserve">l’s </w:t>
      </w:r>
      <w:r w:rsidRPr="00AA552A">
        <w:rPr>
          <w:rFonts w:cs="Cambria"/>
          <w:color w:val="000000"/>
          <w:spacing w:val="-1"/>
        </w:rPr>
        <w:t>C</w:t>
      </w:r>
      <w:r w:rsidRPr="00AA552A">
        <w:rPr>
          <w:rFonts w:cs="Cambria"/>
          <w:color w:val="000000"/>
        </w:rPr>
        <w:t>om</w:t>
      </w:r>
      <w:r w:rsidRPr="00AA552A">
        <w:rPr>
          <w:rFonts w:cs="Cambria"/>
          <w:color w:val="000000"/>
          <w:spacing w:val="1"/>
        </w:rPr>
        <w:t>p</w:t>
      </w:r>
      <w:r w:rsidRPr="00AA552A">
        <w:rPr>
          <w:rFonts w:cs="Cambria"/>
          <w:color w:val="000000"/>
          <w:spacing w:val="-1"/>
        </w:rPr>
        <w:t>r</w:t>
      </w:r>
      <w:r w:rsidRPr="00AA552A">
        <w:rPr>
          <w:rFonts w:cs="Cambria"/>
          <w:color w:val="000000"/>
          <w:spacing w:val="1"/>
        </w:rPr>
        <w:t>e</w:t>
      </w:r>
      <w:r w:rsidRPr="00AA552A">
        <w:rPr>
          <w:rFonts w:cs="Cambria"/>
          <w:color w:val="000000"/>
        </w:rPr>
        <w:t>h</w:t>
      </w:r>
      <w:r w:rsidRPr="00AA552A">
        <w:rPr>
          <w:rFonts w:cs="Cambria"/>
          <w:color w:val="000000"/>
          <w:spacing w:val="1"/>
        </w:rPr>
        <w:t>e</w:t>
      </w:r>
      <w:r w:rsidRPr="00AA552A">
        <w:rPr>
          <w:rFonts w:cs="Cambria"/>
          <w:color w:val="000000"/>
        </w:rPr>
        <w:t>ns</w:t>
      </w:r>
      <w:r w:rsidRPr="00AA552A">
        <w:rPr>
          <w:rFonts w:cs="Cambria"/>
          <w:color w:val="000000"/>
          <w:spacing w:val="1"/>
        </w:rPr>
        <w:t>i</w:t>
      </w:r>
      <w:r w:rsidRPr="00AA552A">
        <w:rPr>
          <w:rFonts w:cs="Cambria"/>
          <w:color w:val="000000"/>
          <w:spacing w:val="-1"/>
        </w:rPr>
        <w:t>v</w:t>
      </w:r>
      <w:r w:rsidRPr="00AA552A">
        <w:rPr>
          <w:rFonts w:cs="Cambria"/>
          <w:color w:val="000000"/>
        </w:rPr>
        <w:t>e</w:t>
      </w:r>
      <w:r w:rsidRPr="00AA552A">
        <w:rPr>
          <w:rFonts w:cs="Cambria"/>
          <w:color w:val="000000"/>
          <w:spacing w:val="-10"/>
        </w:rPr>
        <w:t xml:space="preserve"> </w:t>
      </w:r>
      <w:r w:rsidRPr="00AA552A">
        <w:rPr>
          <w:rFonts w:cs="Cambria"/>
          <w:color w:val="000000"/>
          <w:spacing w:val="1"/>
        </w:rPr>
        <w:t>H</w:t>
      </w:r>
      <w:r w:rsidRPr="00AA552A">
        <w:rPr>
          <w:rFonts w:cs="Cambria"/>
          <w:color w:val="000000"/>
        </w:rPr>
        <w:t>a</w:t>
      </w:r>
      <w:r w:rsidRPr="00AA552A">
        <w:rPr>
          <w:rFonts w:cs="Cambria"/>
          <w:color w:val="000000"/>
          <w:spacing w:val="1"/>
        </w:rPr>
        <w:t>bi</w:t>
      </w:r>
      <w:r w:rsidRPr="00AA552A">
        <w:rPr>
          <w:rFonts w:cs="Cambria"/>
          <w:color w:val="000000"/>
        </w:rPr>
        <w:t>tat</w:t>
      </w:r>
      <w:r w:rsidRPr="00AA552A">
        <w:rPr>
          <w:rFonts w:cs="Cambria"/>
          <w:color w:val="000000"/>
          <w:spacing w:val="-4"/>
        </w:rPr>
        <w:t xml:space="preserve"> </w:t>
      </w:r>
      <w:r w:rsidRPr="00AA552A">
        <w:rPr>
          <w:rFonts w:cs="Cambria"/>
          <w:color w:val="000000"/>
          <w:spacing w:val="-1"/>
        </w:rPr>
        <w:t>A</w:t>
      </w:r>
      <w:r w:rsidRPr="00AA552A">
        <w:rPr>
          <w:rFonts w:cs="Cambria"/>
          <w:color w:val="000000"/>
        </w:rPr>
        <w:t>m</w:t>
      </w:r>
      <w:r w:rsidRPr="00AA552A">
        <w:rPr>
          <w:rFonts w:cs="Cambria"/>
          <w:color w:val="000000"/>
          <w:spacing w:val="1"/>
        </w:rPr>
        <w:t>e</w:t>
      </w:r>
      <w:r w:rsidRPr="00AA552A">
        <w:rPr>
          <w:rFonts w:cs="Cambria"/>
          <w:color w:val="000000"/>
        </w:rPr>
        <w:t>n</w:t>
      </w:r>
      <w:r w:rsidRPr="00AA552A">
        <w:rPr>
          <w:rFonts w:cs="Cambria"/>
          <w:color w:val="000000"/>
          <w:spacing w:val="-1"/>
        </w:rPr>
        <w:t>d</w:t>
      </w:r>
      <w:r w:rsidRPr="00AA552A">
        <w:rPr>
          <w:rFonts w:cs="Cambria"/>
          <w:color w:val="000000"/>
        </w:rPr>
        <w:t>m</w:t>
      </w:r>
      <w:r w:rsidRPr="00AA552A">
        <w:rPr>
          <w:rFonts w:cs="Cambria"/>
          <w:color w:val="000000"/>
          <w:spacing w:val="1"/>
        </w:rPr>
        <w:t>e</w:t>
      </w:r>
      <w:r w:rsidRPr="00AA552A">
        <w:rPr>
          <w:rFonts w:cs="Cambria"/>
          <w:color w:val="000000"/>
        </w:rPr>
        <w:t>nt</w:t>
      </w:r>
      <w:r w:rsidRPr="00AA552A">
        <w:rPr>
          <w:rFonts w:cs="Cambria"/>
          <w:color w:val="000000"/>
          <w:spacing w:val="-4"/>
        </w:rPr>
        <w:t xml:space="preserve"> </w:t>
      </w:r>
      <w:r w:rsidRPr="00AA552A">
        <w:rPr>
          <w:rFonts w:cs="Cambria"/>
          <w:color w:val="000000"/>
        </w:rPr>
        <w:t>(</w:t>
      </w:r>
      <w:r w:rsidRPr="00AA552A">
        <w:rPr>
          <w:rFonts w:cs="Cambria"/>
          <w:color w:val="000000"/>
          <w:spacing w:val="-1"/>
        </w:rPr>
        <w:t>d</w:t>
      </w:r>
      <w:r w:rsidRPr="00AA552A">
        <w:rPr>
          <w:rFonts w:cs="Cambria"/>
          <w:color w:val="000000"/>
        </w:rPr>
        <w:t>ol</w:t>
      </w:r>
      <w:r w:rsidRPr="00AA552A">
        <w:rPr>
          <w:rFonts w:cs="Cambria"/>
          <w:color w:val="000000"/>
          <w:spacing w:val="1"/>
        </w:rPr>
        <w:t>p</w:t>
      </w:r>
      <w:r w:rsidRPr="00AA552A">
        <w:rPr>
          <w:rFonts w:cs="Cambria"/>
          <w:color w:val="000000"/>
        </w:rPr>
        <w:t>h</w:t>
      </w:r>
      <w:r w:rsidRPr="00AA552A">
        <w:rPr>
          <w:rFonts w:cs="Cambria"/>
          <w:color w:val="000000"/>
          <w:spacing w:val="1"/>
        </w:rPr>
        <w:t>i</w:t>
      </w:r>
      <w:r w:rsidRPr="00AA552A">
        <w:rPr>
          <w:rFonts w:cs="Cambria"/>
          <w:color w:val="000000"/>
        </w:rPr>
        <w:t>n</w:t>
      </w:r>
      <w:r w:rsidRPr="00AA552A">
        <w:rPr>
          <w:rFonts w:cs="Cambria"/>
          <w:color w:val="000000"/>
          <w:spacing w:val="-3"/>
        </w:rPr>
        <w:t xml:space="preserve"> </w:t>
      </w:r>
      <w:r w:rsidRPr="00AA552A">
        <w:rPr>
          <w:rFonts w:cs="Cambria"/>
          <w:color w:val="000000"/>
          <w:spacing w:val="-1"/>
        </w:rPr>
        <w:t>w</w:t>
      </w:r>
      <w:r w:rsidRPr="00AA552A">
        <w:rPr>
          <w:rFonts w:cs="Cambria"/>
          <w:color w:val="000000"/>
        </w:rPr>
        <w:t>as</w:t>
      </w:r>
      <w:r w:rsidRPr="00AA552A">
        <w:rPr>
          <w:rFonts w:cs="Cambria"/>
          <w:color w:val="000000"/>
          <w:spacing w:val="-1"/>
        </w:rPr>
        <w:t xml:space="preserve"> </w:t>
      </w:r>
      <w:r w:rsidRPr="00AA552A">
        <w:rPr>
          <w:rFonts w:cs="Cambria"/>
          <w:color w:val="000000"/>
          <w:spacing w:val="1"/>
        </w:rPr>
        <w:t>i</w:t>
      </w:r>
      <w:r w:rsidRPr="00AA552A">
        <w:rPr>
          <w:rFonts w:cs="Cambria"/>
          <w:color w:val="000000"/>
        </w:rPr>
        <w:t>ncl</w:t>
      </w:r>
      <w:r w:rsidRPr="00AA552A">
        <w:rPr>
          <w:rFonts w:cs="Cambria"/>
          <w:color w:val="000000"/>
          <w:spacing w:val="-1"/>
        </w:rPr>
        <w:t>ud</w:t>
      </w:r>
      <w:r w:rsidRPr="00AA552A">
        <w:rPr>
          <w:rFonts w:cs="Cambria"/>
          <w:color w:val="000000"/>
          <w:spacing w:val="1"/>
        </w:rPr>
        <w:t>e</w:t>
      </w:r>
      <w:r w:rsidRPr="00AA552A">
        <w:rPr>
          <w:rFonts w:cs="Cambria"/>
          <w:color w:val="000000"/>
        </w:rPr>
        <w:t>d</w:t>
      </w:r>
      <w:r w:rsidRPr="00AA552A">
        <w:rPr>
          <w:rFonts w:cs="Cambria"/>
          <w:color w:val="000000"/>
          <w:spacing w:val="-5"/>
        </w:rPr>
        <w:t xml:space="preserve"> </w:t>
      </w:r>
      <w:r w:rsidRPr="00AA552A">
        <w:rPr>
          <w:rFonts w:cs="Cambria"/>
          <w:color w:val="000000"/>
          <w:spacing w:val="-1"/>
        </w:rPr>
        <w:t>w</w:t>
      </w:r>
      <w:r w:rsidRPr="00AA552A">
        <w:rPr>
          <w:rFonts w:cs="Cambria"/>
          <w:color w:val="000000"/>
          <w:spacing w:val="1"/>
        </w:rPr>
        <w:t>i</w:t>
      </w:r>
      <w:r w:rsidRPr="00AA552A">
        <w:rPr>
          <w:rFonts w:cs="Cambria"/>
          <w:color w:val="000000"/>
        </w:rPr>
        <w:t>th</w:t>
      </w:r>
      <w:r w:rsidRPr="00AA552A">
        <w:rPr>
          <w:rFonts w:cs="Cambria"/>
          <w:color w:val="000000"/>
          <w:spacing w:val="1"/>
        </w:rPr>
        <w:t>i</w:t>
      </w:r>
      <w:r w:rsidRPr="00AA552A">
        <w:rPr>
          <w:rFonts w:cs="Cambria"/>
          <w:color w:val="000000"/>
        </w:rPr>
        <w:t>n</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C</w:t>
      </w:r>
      <w:r w:rsidRPr="00AA552A">
        <w:rPr>
          <w:rFonts w:cs="Cambria"/>
          <w:color w:val="000000"/>
        </w:rPr>
        <w:t>oastal</w:t>
      </w:r>
      <w:r w:rsidRPr="00AA552A">
        <w:rPr>
          <w:rFonts w:cs="Cambria"/>
          <w:color w:val="000000"/>
          <w:spacing w:val="-4"/>
        </w:rPr>
        <w:t xml:space="preserve"> </w:t>
      </w:r>
      <w:r w:rsidRPr="00AA552A">
        <w:rPr>
          <w:rFonts w:cs="Cambria"/>
          <w:color w:val="000000"/>
          <w:spacing w:val="1"/>
        </w:rPr>
        <w:t>Mi</w:t>
      </w:r>
      <w:r w:rsidRPr="00AA552A">
        <w:rPr>
          <w:rFonts w:cs="Cambria"/>
          <w:color w:val="000000"/>
          <w:spacing w:val="-1"/>
        </w:rPr>
        <w:t>gr</w:t>
      </w:r>
      <w:r w:rsidRPr="00AA552A">
        <w:rPr>
          <w:rFonts w:cs="Cambria"/>
          <w:color w:val="000000"/>
        </w:rPr>
        <w:t>ato</w:t>
      </w:r>
      <w:r w:rsidRPr="00AA552A">
        <w:rPr>
          <w:rFonts w:cs="Cambria"/>
          <w:color w:val="000000"/>
          <w:spacing w:val="-1"/>
        </w:rPr>
        <w:t>r</w:t>
      </w:r>
      <w:r w:rsidRPr="00AA552A">
        <w:rPr>
          <w:rFonts w:cs="Cambria"/>
          <w:color w:val="000000"/>
        </w:rPr>
        <w:t xml:space="preserve">y </w:t>
      </w:r>
      <w:r w:rsidRPr="00AA552A">
        <w:rPr>
          <w:rFonts w:cs="Cambria"/>
          <w:color w:val="000000"/>
          <w:spacing w:val="1"/>
        </w:rPr>
        <w:t>Pe</w:t>
      </w:r>
      <w:r w:rsidRPr="00AA552A">
        <w:rPr>
          <w:rFonts w:cs="Cambria"/>
          <w:color w:val="000000"/>
        </w:rPr>
        <w:t>la</w:t>
      </w:r>
      <w:r w:rsidRPr="00AA552A">
        <w:rPr>
          <w:rFonts w:cs="Cambria"/>
          <w:color w:val="000000"/>
          <w:spacing w:val="-1"/>
        </w:rPr>
        <w:t>g</w:t>
      </w:r>
      <w:r w:rsidRPr="00AA552A">
        <w:rPr>
          <w:rFonts w:cs="Cambria"/>
          <w:color w:val="000000"/>
          <w:spacing w:val="1"/>
        </w:rPr>
        <w:t>i</w:t>
      </w:r>
      <w:r w:rsidRPr="00AA552A">
        <w:rPr>
          <w:rFonts w:cs="Cambria"/>
          <w:color w:val="000000"/>
        </w:rPr>
        <w:t>cs</w:t>
      </w:r>
      <w:r w:rsidRPr="00AA552A">
        <w:rPr>
          <w:rFonts w:cs="Cambria"/>
          <w:color w:val="000000"/>
          <w:spacing w:val="-5"/>
        </w:rPr>
        <w:t xml:space="preserve"> </w:t>
      </w:r>
      <w:r w:rsidRPr="00AA552A">
        <w:rPr>
          <w:rFonts w:cs="Cambria"/>
          <w:color w:val="000000"/>
          <w:spacing w:val="1"/>
        </w:rPr>
        <w:t>FMP</w:t>
      </w:r>
      <w:r>
        <w:rPr>
          <w:rFonts w:cs="Cambria"/>
          <w:color w:val="000000"/>
          <w:spacing w:val="1"/>
        </w:rPr>
        <w:t xml:space="preserve"> at that time</w:t>
      </w:r>
      <w:r w:rsidRPr="00AA552A">
        <w:rPr>
          <w:rFonts w:cs="Cambria"/>
          <w:color w:val="000000"/>
        </w:rPr>
        <w:t>).</w:t>
      </w:r>
    </w:p>
    <w:p w14:paraId="0D3FD08A" w14:textId="77777777" w:rsidR="00DC4922" w:rsidRDefault="00DC4922" w:rsidP="00DC4922">
      <w:pPr>
        <w:rPr>
          <w:rFonts w:ascii="Cambria" w:hAnsi="Cambria" w:cs="Cambria"/>
          <w:color w:val="000000"/>
          <w:spacing w:val="-1"/>
        </w:rPr>
      </w:pPr>
    </w:p>
    <w:p w14:paraId="642FF07C" w14:textId="77777777" w:rsidR="00DC4922" w:rsidRPr="00EB603B" w:rsidRDefault="00DC4922" w:rsidP="00DC4922">
      <w:pPr>
        <w:rPr>
          <w:b/>
          <w:color w:val="000000"/>
        </w:rPr>
      </w:pPr>
      <w:r w:rsidRPr="00EB603B">
        <w:rPr>
          <w:b/>
          <w:color w:val="000000"/>
          <w:spacing w:val="-1"/>
        </w:rPr>
        <w:t>P</w:t>
      </w:r>
      <w:r w:rsidRPr="00EB603B">
        <w:rPr>
          <w:b/>
          <w:color w:val="000000"/>
        </w:rPr>
        <w:t>el</w:t>
      </w:r>
      <w:r w:rsidRPr="00EB603B">
        <w:rPr>
          <w:b/>
          <w:color w:val="000000"/>
          <w:spacing w:val="1"/>
        </w:rPr>
        <w:t>a</w:t>
      </w:r>
      <w:r w:rsidRPr="00EB603B">
        <w:rPr>
          <w:b/>
          <w:color w:val="000000"/>
        </w:rPr>
        <w:t>g</w:t>
      </w:r>
      <w:r w:rsidRPr="00EB603B">
        <w:rPr>
          <w:b/>
          <w:color w:val="000000"/>
          <w:spacing w:val="-1"/>
        </w:rPr>
        <w:t>i</w:t>
      </w:r>
      <w:r w:rsidRPr="00EB603B">
        <w:rPr>
          <w:b/>
          <w:color w:val="000000"/>
        </w:rPr>
        <w:t>c</w:t>
      </w:r>
      <w:r w:rsidRPr="00EB603B">
        <w:rPr>
          <w:b/>
          <w:color w:val="000000"/>
          <w:spacing w:val="-4"/>
        </w:rPr>
        <w:t xml:space="preserve"> </w:t>
      </w:r>
      <w:r w:rsidRPr="00EB603B">
        <w:rPr>
          <w:b/>
          <w:i/>
          <w:iCs/>
          <w:color w:val="000000"/>
        </w:rPr>
        <w:t>Sa</w:t>
      </w:r>
      <w:r w:rsidRPr="00EB603B">
        <w:rPr>
          <w:b/>
          <w:i/>
          <w:iCs/>
          <w:color w:val="000000"/>
          <w:spacing w:val="1"/>
        </w:rPr>
        <w:t>r</w:t>
      </w:r>
      <w:r w:rsidRPr="00EB603B">
        <w:rPr>
          <w:b/>
          <w:i/>
          <w:iCs/>
          <w:color w:val="000000"/>
          <w:spacing w:val="-1"/>
        </w:rPr>
        <w:t>g</w:t>
      </w:r>
      <w:r w:rsidRPr="00EB603B">
        <w:rPr>
          <w:b/>
          <w:i/>
          <w:iCs/>
          <w:color w:val="000000"/>
        </w:rPr>
        <w:t>a</w:t>
      </w:r>
      <w:r w:rsidRPr="00EB603B">
        <w:rPr>
          <w:b/>
          <w:i/>
          <w:iCs/>
          <w:color w:val="000000"/>
          <w:spacing w:val="-1"/>
        </w:rPr>
        <w:t>ssu</w:t>
      </w:r>
      <w:r w:rsidRPr="00EB603B">
        <w:rPr>
          <w:b/>
          <w:i/>
          <w:iCs/>
          <w:color w:val="000000"/>
        </w:rPr>
        <w:t>m</w:t>
      </w:r>
      <w:r w:rsidRPr="00EB603B">
        <w:rPr>
          <w:b/>
          <w:i/>
          <w:iCs/>
          <w:color w:val="000000"/>
          <w:spacing w:val="-4"/>
        </w:rPr>
        <w:t xml:space="preserve"> </w:t>
      </w:r>
      <w:r w:rsidRPr="00EB603B">
        <w:rPr>
          <w:b/>
          <w:color w:val="000000"/>
        </w:rPr>
        <w:t>H</w:t>
      </w:r>
      <w:r w:rsidRPr="00EB603B">
        <w:rPr>
          <w:b/>
          <w:color w:val="000000"/>
          <w:spacing w:val="4"/>
        </w:rPr>
        <w:t>a</w:t>
      </w:r>
      <w:r w:rsidRPr="00EB603B">
        <w:rPr>
          <w:b/>
          <w:color w:val="000000"/>
        </w:rPr>
        <w:t>b</w:t>
      </w:r>
      <w:r w:rsidRPr="00EB603B">
        <w:rPr>
          <w:b/>
          <w:color w:val="000000"/>
          <w:spacing w:val="-1"/>
        </w:rPr>
        <w:t>i</w:t>
      </w:r>
      <w:r w:rsidRPr="00EB603B">
        <w:rPr>
          <w:b/>
          <w:color w:val="000000"/>
          <w:spacing w:val="1"/>
        </w:rPr>
        <w:t>ta</w:t>
      </w:r>
      <w:r w:rsidRPr="00EB603B">
        <w:rPr>
          <w:b/>
          <w:color w:val="000000"/>
        </w:rPr>
        <w:t>t</w:t>
      </w:r>
      <w:r w:rsidRPr="00EB603B">
        <w:rPr>
          <w:b/>
          <w:color w:val="000000"/>
          <w:spacing w:val="-1"/>
        </w:rPr>
        <w:t xml:space="preserve"> </w:t>
      </w:r>
      <w:r w:rsidRPr="00EB603B">
        <w:rPr>
          <w:b/>
          <w:color w:val="000000"/>
        </w:rPr>
        <w:t>F</w:t>
      </w:r>
      <w:r w:rsidRPr="00EB603B">
        <w:rPr>
          <w:b/>
          <w:color w:val="000000"/>
          <w:spacing w:val="1"/>
        </w:rPr>
        <w:t>M</w:t>
      </w:r>
      <w:r w:rsidRPr="00EB603B">
        <w:rPr>
          <w:b/>
          <w:color w:val="000000"/>
        </w:rPr>
        <w:t>P</w:t>
      </w:r>
    </w:p>
    <w:p w14:paraId="1E29A149" w14:textId="77777777" w:rsidR="00DC4922" w:rsidRPr="00AA552A" w:rsidRDefault="00DC4922" w:rsidP="00640526">
      <w:pPr>
        <w:ind w:firstLine="360"/>
        <w:rPr>
          <w:rFonts w:cs="Cambria"/>
          <w:color w:val="000000"/>
        </w:rPr>
      </w:pPr>
      <w:r w:rsidRPr="00AA552A">
        <w:rPr>
          <w:rFonts w:cs="Cambria"/>
          <w:color w:val="000000"/>
          <w:spacing w:val="-1"/>
        </w:rPr>
        <w:t>T</w:t>
      </w:r>
      <w:r w:rsidRPr="00AA552A">
        <w:rPr>
          <w:rFonts w:cs="Cambria"/>
          <w:color w:val="000000"/>
        </w:rPr>
        <w:t>he</w:t>
      </w:r>
      <w:r w:rsidRPr="00AA552A">
        <w:rPr>
          <w:rFonts w:cs="Cambria"/>
          <w:color w:val="000000"/>
          <w:spacing w:val="-3"/>
        </w:rPr>
        <w:t xml:space="preserve"> </w:t>
      </w:r>
      <w:r w:rsidRPr="00AA552A">
        <w:rPr>
          <w:rFonts w:cs="Cambria"/>
          <w:color w:val="000000"/>
          <w:spacing w:val="-1"/>
        </w:rPr>
        <w:t>C</w:t>
      </w:r>
      <w:r w:rsidRPr="00AA552A">
        <w:rPr>
          <w:rFonts w:cs="Cambria"/>
          <w:color w:val="000000"/>
        </w:rPr>
        <w:t>ounc</w:t>
      </w:r>
      <w:r w:rsidRPr="00AA552A">
        <w:rPr>
          <w:rFonts w:cs="Cambria"/>
          <w:color w:val="000000"/>
          <w:spacing w:val="1"/>
        </w:rPr>
        <w:t>i</w:t>
      </w:r>
      <w:r w:rsidRPr="00AA552A">
        <w:rPr>
          <w:rFonts w:cs="Cambria"/>
          <w:color w:val="000000"/>
        </w:rPr>
        <w:t>l</w:t>
      </w:r>
      <w:r w:rsidRPr="00AA552A">
        <w:rPr>
          <w:rFonts w:cs="Cambria"/>
          <w:color w:val="000000"/>
          <w:spacing w:val="-4"/>
        </w:rPr>
        <w:t xml:space="preserve"> </w:t>
      </w:r>
      <w:r w:rsidRPr="00AA552A">
        <w:rPr>
          <w:rFonts w:cs="Cambria"/>
          <w:color w:val="000000"/>
        </w:rPr>
        <w:t>th</w:t>
      </w:r>
      <w:r w:rsidRPr="00AA552A">
        <w:rPr>
          <w:rFonts w:cs="Cambria"/>
          <w:color w:val="000000"/>
          <w:spacing w:val="-1"/>
        </w:rPr>
        <w:t>r</w:t>
      </w:r>
      <w:r w:rsidRPr="00AA552A">
        <w:rPr>
          <w:rFonts w:cs="Cambria"/>
          <w:color w:val="000000"/>
        </w:rPr>
        <w:t>o</w:t>
      </w:r>
      <w:r w:rsidRPr="00AA552A">
        <w:rPr>
          <w:rFonts w:cs="Cambria"/>
          <w:color w:val="000000"/>
          <w:spacing w:val="2"/>
        </w:rPr>
        <w:t>u</w:t>
      </w:r>
      <w:r w:rsidRPr="00AA552A">
        <w:rPr>
          <w:rFonts w:cs="Cambria"/>
          <w:color w:val="000000"/>
          <w:spacing w:val="-1"/>
        </w:rPr>
        <w:t>g</w:t>
      </w:r>
      <w:r w:rsidRPr="00AA552A">
        <w:rPr>
          <w:rFonts w:cs="Cambria"/>
          <w:color w:val="000000"/>
        </w:rPr>
        <w:t>h</w:t>
      </w:r>
      <w:r w:rsidRPr="00AA552A">
        <w:rPr>
          <w:rFonts w:cs="Cambria"/>
          <w:color w:val="000000"/>
          <w:spacing w:val="-5"/>
        </w:rPr>
        <w:t xml:space="preserve"> </w:t>
      </w:r>
      <w:r w:rsidRPr="00AA552A">
        <w:rPr>
          <w:rFonts w:cs="Cambria"/>
          <w:color w:val="000000"/>
          <w:spacing w:val="-1"/>
        </w:rPr>
        <w:t>C</w:t>
      </w:r>
      <w:r w:rsidRPr="00AA552A">
        <w:rPr>
          <w:rFonts w:cs="Cambria"/>
          <w:color w:val="000000"/>
          <w:spacing w:val="4"/>
        </w:rPr>
        <w:t>E</w:t>
      </w:r>
      <w:r w:rsidRPr="00AA552A">
        <w:rPr>
          <w:rFonts w:cs="Cambria"/>
          <w:color w:val="000000"/>
        </w:rPr>
        <w:t>BA</w:t>
      </w:r>
      <w:r w:rsidRPr="00AA552A">
        <w:rPr>
          <w:rFonts w:cs="Cambria"/>
          <w:color w:val="000000"/>
          <w:spacing w:val="-2"/>
        </w:rPr>
        <w:t xml:space="preserve"> </w:t>
      </w:r>
      <w:r w:rsidRPr="00AA552A">
        <w:rPr>
          <w:rFonts w:cs="Cambria"/>
          <w:color w:val="000000"/>
        </w:rPr>
        <w:t>2</w:t>
      </w:r>
      <w:r w:rsidRPr="00AA552A">
        <w:rPr>
          <w:rFonts w:cs="Cambria"/>
          <w:color w:val="000000"/>
          <w:spacing w:val="-2"/>
        </w:rPr>
        <w:t xml:space="preserve"> </w:t>
      </w:r>
      <w:r w:rsidRPr="00AA552A">
        <w:rPr>
          <w:rFonts w:cs="Cambria"/>
          <w:color w:val="000000"/>
        </w:rPr>
        <w:t>(</w:t>
      </w:r>
      <w:r w:rsidRPr="00AA552A">
        <w:rPr>
          <w:rFonts w:cs="Cambria"/>
          <w:color w:val="000000"/>
          <w:spacing w:val="1"/>
        </w:rPr>
        <w:t>S</w:t>
      </w:r>
      <w:r w:rsidRPr="00AA552A">
        <w:rPr>
          <w:rFonts w:cs="Cambria"/>
          <w:color w:val="000000"/>
          <w:spacing w:val="-1"/>
        </w:rPr>
        <w:t>A</w:t>
      </w:r>
      <w:r w:rsidRPr="00AA552A">
        <w:rPr>
          <w:rFonts w:cs="Cambria"/>
          <w:color w:val="000000"/>
          <w:spacing w:val="1"/>
        </w:rPr>
        <w:t>FM</w:t>
      </w:r>
      <w:r w:rsidRPr="00AA552A">
        <w:rPr>
          <w:rFonts w:cs="Cambria"/>
          <w:color w:val="000000"/>
        </w:rPr>
        <w:t>C</w:t>
      </w:r>
      <w:r w:rsidRPr="00AA552A">
        <w:rPr>
          <w:rFonts w:cs="Cambria"/>
          <w:color w:val="000000"/>
          <w:spacing w:val="-6"/>
        </w:rPr>
        <w:t xml:space="preserve"> </w:t>
      </w:r>
      <w:r w:rsidRPr="00AA552A">
        <w:rPr>
          <w:rFonts w:cs="Cambria"/>
          <w:color w:val="000000"/>
          <w:spacing w:val="-1"/>
        </w:rPr>
        <w:t>2</w:t>
      </w:r>
      <w:r w:rsidRPr="00AA552A">
        <w:rPr>
          <w:rFonts w:cs="Cambria"/>
          <w:color w:val="000000"/>
          <w:spacing w:val="2"/>
        </w:rPr>
        <w:t>0</w:t>
      </w:r>
      <w:r w:rsidRPr="00AA552A">
        <w:rPr>
          <w:rFonts w:cs="Cambria"/>
          <w:color w:val="000000"/>
          <w:spacing w:val="-1"/>
        </w:rPr>
        <w:t>11</w:t>
      </w:r>
      <w:r w:rsidRPr="00AA552A">
        <w:rPr>
          <w:rFonts w:cs="Cambria"/>
          <w:color w:val="000000"/>
        </w:rPr>
        <w:t>)</w:t>
      </w:r>
      <w:r w:rsidRPr="00AA552A">
        <w:rPr>
          <w:rFonts w:cs="Cambria"/>
          <w:color w:val="000000"/>
          <w:spacing w:val="-1"/>
        </w:rPr>
        <w:t xml:space="preserve"> d</w:t>
      </w:r>
      <w:r w:rsidRPr="00AA552A">
        <w:rPr>
          <w:rFonts w:cs="Cambria"/>
          <w:color w:val="000000"/>
          <w:spacing w:val="1"/>
        </w:rPr>
        <w:t>e</w:t>
      </w:r>
      <w:r w:rsidRPr="00AA552A">
        <w:rPr>
          <w:rFonts w:cs="Cambria"/>
          <w:color w:val="000000"/>
        </w:rPr>
        <w:t>s</w:t>
      </w:r>
      <w:r w:rsidRPr="00AA552A">
        <w:rPr>
          <w:rFonts w:cs="Cambria"/>
          <w:color w:val="000000"/>
          <w:spacing w:val="1"/>
        </w:rPr>
        <w:t>i</w:t>
      </w:r>
      <w:r w:rsidRPr="00AA552A">
        <w:rPr>
          <w:rFonts w:cs="Cambria"/>
          <w:color w:val="000000"/>
          <w:spacing w:val="-1"/>
        </w:rPr>
        <w:t>g</w:t>
      </w:r>
      <w:r w:rsidRPr="00AA552A">
        <w:rPr>
          <w:rFonts w:cs="Cambria"/>
          <w:color w:val="000000"/>
        </w:rPr>
        <w:t>nate</w:t>
      </w:r>
      <w:r>
        <w:rPr>
          <w:rFonts w:cs="Cambria"/>
          <w:color w:val="000000"/>
        </w:rPr>
        <w:t>d</w:t>
      </w:r>
      <w:r w:rsidRPr="00AA552A">
        <w:rPr>
          <w:rFonts w:cs="Cambria"/>
          <w:color w:val="000000"/>
          <w:spacing w:val="-4"/>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 xml:space="preserve">top </w:t>
      </w:r>
      <w:r w:rsidRPr="00AA552A">
        <w:rPr>
          <w:rFonts w:cs="Cambria"/>
          <w:color w:val="000000"/>
          <w:spacing w:val="-1"/>
        </w:rPr>
        <w:t>1</w:t>
      </w:r>
      <w:r w:rsidRPr="00AA552A">
        <w:rPr>
          <w:rFonts w:cs="Cambria"/>
          <w:color w:val="000000"/>
        </w:rPr>
        <w:t>0</w:t>
      </w:r>
      <w:r w:rsidRPr="00AA552A">
        <w:rPr>
          <w:rFonts w:cs="Cambria"/>
          <w:color w:val="000000"/>
          <w:spacing w:val="-4"/>
        </w:rPr>
        <w:t xml:space="preserve"> </w:t>
      </w:r>
      <w:r w:rsidRPr="00AA552A">
        <w:rPr>
          <w:rFonts w:cs="Cambria"/>
          <w:color w:val="000000"/>
        </w:rPr>
        <w:t>m</w:t>
      </w:r>
      <w:r w:rsidRPr="00AA552A">
        <w:rPr>
          <w:rFonts w:cs="Cambria"/>
          <w:color w:val="000000"/>
          <w:spacing w:val="1"/>
        </w:rPr>
        <w:t>e</w:t>
      </w:r>
      <w:r w:rsidRPr="00AA552A">
        <w:rPr>
          <w:rFonts w:cs="Cambria"/>
          <w:color w:val="000000"/>
        </w:rPr>
        <w:t>t</w:t>
      </w:r>
      <w:r w:rsidRPr="00AA552A">
        <w:rPr>
          <w:rFonts w:cs="Cambria"/>
          <w:color w:val="000000"/>
          <w:spacing w:val="1"/>
        </w:rPr>
        <w:t>e</w:t>
      </w:r>
      <w:r w:rsidRPr="00AA552A">
        <w:rPr>
          <w:rFonts w:cs="Cambria"/>
          <w:color w:val="000000"/>
          <w:spacing w:val="-1"/>
        </w:rPr>
        <w:t>r</w:t>
      </w:r>
      <w:r w:rsidRPr="00AA552A">
        <w:rPr>
          <w:rFonts w:cs="Cambria"/>
          <w:color w:val="000000"/>
        </w:rPr>
        <w:t>s</w:t>
      </w:r>
      <w:r w:rsidRPr="00AA552A">
        <w:rPr>
          <w:rFonts w:cs="Cambria"/>
          <w:color w:val="000000"/>
          <w:spacing w:val="-4"/>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 xml:space="preserve">the </w:t>
      </w:r>
      <w:r w:rsidRPr="00AA552A">
        <w:rPr>
          <w:rFonts w:cs="Cambria"/>
          <w:color w:val="000000"/>
          <w:spacing w:val="-1"/>
        </w:rPr>
        <w:t>w</w:t>
      </w:r>
      <w:r w:rsidRPr="00AA552A">
        <w:rPr>
          <w:rFonts w:cs="Cambria"/>
          <w:color w:val="000000"/>
        </w:rPr>
        <w:t>at</w:t>
      </w:r>
      <w:r w:rsidRPr="00AA552A">
        <w:rPr>
          <w:rFonts w:cs="Cambria"/>
          <w:color w:val="000000"/>
          <w:spacing w:val="1"/>
        </w:rPr>
        <w:t>e</w:t>
      </w:r>
      <w:r w:rsidRPr="00AA552A">
        <w:rPr>
          <w:rFonts w:cs="Cambria"/>
          <w:color w:val="000000"/>
        </w:rPr>
        <w:t>r</w:t>
      </w:r>
      <w:r w:rsidRPr="00AA552A">
        <w:rPr>
          <w:rFonts w:cs="Cambria"/>
          <w:color w:val="000000"/>
          <w:spacing w:val="-3"/>
        </w:rPr>
        <w:t xml:space="preserve"> </w:t>
      </w:r>
      <w:r w:rsidRPr="00AA552A">
        <w:rPr>
          <w:rFonts w:cs="Cambria"/>
          <w:color w:val="000000"/>
        </w:rPr>
        <w:t>column</w:t>
      </w:r>
      <w:r w:rsidRPr="00AA552A">
        <w:rPr>
          <w:rFonts w:cs="Cambria"/>
          <w:color w:val="000000"/>
          <w:spacing w:val="-2"/>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S</w:t>
      </w:r>
      <w:r w:rsidRPr="00AA552A">
        <w:rPr>
          <w:rFonts w:cs="Cambria"/>
          <w:color w:val="000000"/>
        </w:rPr>
        <w:t>outh</w:t>
      </w:r>
      <w:r w:rsidRPr="00AA552A">
        <w:rPr>
          <w:rFonts w:cs="Cambria"/>
          <w:color w:val="000000"/>
          <w:spacing w:val="-3"/>
        </w:rPr>
        <w:t xml:space="preserve"> </w:t>
      </w:r>
      <w:r w:rsidRPr="00AA552A">
        <w:rPr>
          <w:rFonts w:cs="Cambria"/>
          <w:color w:val="000000"/>
          <w:spacing w:val="-1"/>
        </w:rPr>
        <w:t>A</w:t>
      </w:r>
      <w:r w:rsidRPr="00AA552A">
        <w:rPr>
          <w:rFonts w:cs="Cambria"/>
          <w:color w:val="000000"/>
        </w:rPr>
        <w:t>tlant</w:t>
      </w:r>
      <w:r w:rsidRPr="00AA552A">
        <w:rPr>
          <w:rFonts w:cs="Cambria"/>
          <w:color w:val="000000"/>
          <w:spacing w:val="1"/>
        </w:rPr>
        <w:t>i</w:t>
      </w:r>
      <w:r w:rsidRPr="00AA552A">
        <w:rPr>
          <w:rFonts w:cs="Cambria"/>
          <w:color w:val="000000"/>
        </w:rPr>
        <w:t>c</w:t>
      </w:r>
      <w:r w:rsidRPr="00AA552A">
        <w:rPr>
          <w:rFonts w:cs="Cambria"/>
          <w:color w:val="000000"/>
          <w:spacing w:val="-2"/>
        </w:rPr>
        <w:t xml:space="preserve"> </w:t>
      </w:r>
      <w:r w:rsidRPr="00AA552A">
        <w:rPr>
          <w:rFonts w:cs="Cambria"/>
          <w:color w:val="000000"/>
          <w:spacing w:val="1"/>
        </w:rPr>
        <w:t>EE</w:t>
      </w:r>
      <w:r w:rsidRPr="00AA552A">
        <w:rPr>
          <w:rFonts w:cs="Cambria"/>
          <w:color w:val="000000"/>
        </w:rPr>
        <w:t xml:space="preserve">Z </w:t>
      </w:r>
      <w:r w:rsidRPr="00AA552A">
        <w:rPr>
          <w:rFonts w:cs="Cambria"/>
          <w:color w:val="000000"/>
          <w:spacing w:val="1"/>
        </w:rPr>
        <w:t>b</w:t>
      </w:r>
      <w:r w:rsidRPr="00AA552A">
        <w:rPr>
          <w:rFonts w:cs="Cambria"/>
          <w:color w:val="000000"/>
        </w:rPr>
        <w:t>oun</w:t>
      </w:r>
      <w:r w:rsidRPr="00AA552A">
        <w:rPr>
          <w:rFonts w:cs="Cambria"/>
          <w:color w:val="000000"/>
          <w:spacing w:val="-4"/>
        </w:rPr>
        <w:t>d</w:t>
      </w:r>
      <w:r w:rsidRPr="00AA552A">
        <w:rPr>
          <w:rFonts w:cs="Cambria"/>
          <w:color w:val="000000"/>
          <w:spacing w:val="1"/>
        </w:rPr>
        <w:t>e</w:t>
      </w:r>
      <w:r w:rsidRPr="00AA552A">
        <w:rPr>
          <w:rFonts w:cs="Cambria"/>
          <w:color w:val="000000"/>
        </w:rPr>
        <w:t>d</w:t>
      </w:r>
      <w:r w:rsidRPr="00AA552A">
        <w:rPr>
          <w:rFonts w:cs="Cambria"/>
          <w:color w:val="000000"/>
          <w:spacing w:val="-6"/>
        </w:rPr>
        <w:t xml:space="preserve"> </w:t>
      </w:r>
      <w:r w:rsidRPr="00AA552A">
        <w:rPr>
          <w:rFonts w:cs="Cambria"/>
          <w:color w:val="000000"/>
          <w:spacing w:val="1"/>
        </w:rPr>
        <w:t>b</w:t>
      </w:r>
      <w:r w:rsidRPr="00AA552A">
        <w:rPr>
          <w:rFonts w:cs="Cambria"/>
          <w:color w:val="000000"/>
        </w:rPr>
        <w:t>y</w:t>
      </w:r>
      <w:r w:rsidRPr="00AA552A">
        <w:rPr>
          <w:rFonts w:cs="Cambria"/>
          <w:color w:val="000000"/>
          <w:spacing w:val="-2"/>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Gul</w:t>
      </w:r>
      <w:r w:rsidRPr="00AA552A">
        <w:rPr>
          <w:rFonts w:cs="Cambria"/>
          <w:color w:val="000000"/>
          <w:spacing w:val="-1"/>
        </w:rPr>
        <w:t>f</w:t>
      </w:r>
      <w:r w:rsidRPr="00AA552A">
        <w:rPr>
          <w:rFonts w:cs="Cambria"/>
          <w:color w:val="000000"/>
        </w:rPr>
        <w:t>st</w:t>
      </w:r>
      <w:r w:rsidRPr="00AA552A">
        <w:rPr>
          <w:rFonts w:cs="Cambria"/>
          <w:color w:val="000000"/>
          <w:spacing w:val="-1"/>
        </w:rPr>
        <w:t>r</w:t>
      </w:r>
      <w:r w:rsidRPr="00AA552A">
        <w:rPr>
          <w:rFonts w:cs="Cambria"/>
          <w:color w:val="000000"/>
          <w:spacing w:val="1"/>
        </w:rPr>
        <w:t>e</w:t>
      </w:r>
      <w:r w:rsidRPr="00AA552A">
        <w:rPr>
          <w:rFonts w:cs="Cambria"/>
          <w:color w:val="000000"/>
        </w:rPr>
        <w:t>am,</w:t>
      </w:r>
      <w:r w:rsidRPr="00AA552A">
        <w:rPr>
          <w:rFonts w:cs="Cambria"/>
          <w:color w:val="000000"/>
          <w:spacing w:val="-4"/>
        </w:rPr>
        <w:t xml:space="preserve"> </w:t>
      </w:r>
      <w:r w:rsidRPr="00AA552A">
        <w:rPr>
          <w:rFonts w:cs="Cambria"/>
          <w:color w:val="000000"/>
        </w:rPr>
        <w:t>as</w:t>
      </w:r>
      <w:r w:rsidRPr="00AA552A">
        <w:rPr>
          <w:rFonts w:cs="Cambria"/>
          <w:color w:val="000000"/>
          <w:spacing w:val="-1"/>
        </w:rPr>
        <w:t xml:space="preserve"> </w:t>
      </w:r>
      <w:r w:rsidRPr="00AA552A">
        <w:rPr>
          <w:rFonts w:cs="Cambria"/>
          <w:color w:val="000000"/>
          <w:spacing w:val="1"/>
        </w:rPr>
        <w:t>EF</w:t>
      </w:r>
      <w:r w:rsidRPr="00AA552A">
        <w:rPr>
          <w:rFonts w:cs="Cambria"/>
          <w:color w:val="000000"/>
        </w:rPr>
        <w:t>H</w:t>
      </w:r>
      <w:r w:rsidRPr="00AA552A">
        <w:rPr>
          <w:rFonts w:cs="Cambria"/>
          <w:color w:val="000000"/>
          <w:spacing w:val="-2"/>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spacing w:val="1"/>
        </w:rPr>
        <w:t>pe</w:t>
      </w:r>
      <w:r w:rsidRPr="00AA552A">
        <w:rPr>
          <w:rFonts w:cs="Cambria"/>
          <w:color w:val="000000"/>
        </w:rPr>
        <w:t>la</w:t>
      </w:r>
      <w:r w:rsidRPr="00AA552A">
        <w:rPr>
          <w:rFonts w:cs="Cambria"/>
          <w:color w:val="000000"/>
          <w:spacing w:val="-1"/>
        </w:rPr>
        <w:t>g</w:t>
      </w:r>
      <w:r w:rsidRPr="00AA552A">
        <w:rPr>
          <w:rFonts w:cs="Cambria"/>
          <w:color w:val="000000"/>
          <w:spacing w:val="1"/>
        </w:rPr>
        <w:t>i</w:t>
      </w:r>
      <w:r>
        <w:rPr>
          <w:rFonts w:cs="Cambria"/>
          <w:color w:val="000000"/>
        </w:rPr>
        <w:t xml:space="preserve">c </w:t>
      </w:r>
      <w:r w:rsidRPr="00AA552A">
        <w:rPr>
          <w:rFonts w:cs="Cambria"/>
          <w:color w:val="000000"/>
          <w:spacing w:val="1"/>
        </w:rPr>
        <w:t>S</w:t>
      </w:r>
      <w:r w:rsidRPr="00AA552A">
        <w:rPr>
          <w:rFonts w:cs="Cambria"/>
          <w:color w:val="000000"/>
        </w:rPr>
        <w:t>a</w:t>
      </w:r>
      <w:r w:rsidRPr="00AA552A">
        <w:rPr>
          <w:rFonts w:cs="Cambria"/>
          <w:color w:val="000000"/>
          <w:spacing w:val="-1"/>
        </w:rPr>
        <w:t>rg</w:t>
      </w:r>
      <w:r w:rsidRPr="00AA552A">
        <w:rPr>
          <w:rFonts w:cs="Cambria"/>
          <w:color w:val="000000"/>
        </w:rPr>
        <w:t>ass</w:t>
      </w:r>
      <w:r w:rsidRPr="00AA552A">
        <w:rPr>
          <w:rFonts w:cs="Cambria"/>
          <w:color w:val="000000"/>
          <w:spacing w:val="-1"/>
        </w:rPr>
        <w:t>u</w:t>
      </w:r>
      <w:r w:rsidRPr="00AA552A">
        <w:rPr>
          <w:rFonts w:cs="Cambria"/>
          <w:color w:val="000000"/>
        </w:rPr>
        <w:t>m.</w:t>
      </w:r>
    </w:p>
    <w:p w14:paraId="3E1D3800" w14:textId="77777777" w:rsidR="00DC4922" w:rsidRDefault="00DC4922" w:rsidP="00DC4922">
      <w:pPr>
        <w:rPr>
          <w:rFonts w:ascii="Cambria" w:hAnsi="Cambria" w:cs="Cambria"/>
          <w:color w:val="000000"/>
          <w:sz w:val="19"/>
        </w:rPr>
      </w:pPr>
    </w:p>
    <w:p w14:paraId="01FA209C" w14:textId="77777777" w:rsidR="00DC4922" w:rsidRDefault="00DC4922" w:rsidP="00DC4922">
      <w:pPr>
        <w:rPr>
          <w:rFonts w:ascii="Cambria" w:hAnsi="Cambria" w:cs="Cambria"/>
          <w:color w:val="000000"/>
          <w:sz w:val="20"/>
        </w:rPr>
      </w:pPr>
    </w:p>
    <w:p w14:paraId="73C1B485" w14:textId="77777777" w:rsidR="00DC4922" w:rsidRPr="00EB603B" w:rsidRDefault="00DC4922" w:rsidP="00DC4922">
      <w:pPr>
        <w:rPr>
          <w:b/>
          <w:i/>
          <w:color w:val="000000"/>
        </w:rPr>
      </w:pPr>
      <w:r w:rsidRPr="00EB603B">
        <w:rPr>
          <w:b/>
          <w:i/>
          <w:color w:val="000000"/>
          <w:spacing w:val="-5"/>
        </w:rPr>
        <w:t>A</w:t>
      </w:r>
      <w:r w:rsidRPr="00EB603B">
        <w:rPr>
          <w:b/>
          <w:i/>
          <w:color w:val="000000"/>
          <w:spacing w:val="3"/>
        </w:rPr>
        <w:t>c</w:t>
      </w:r>
      <w:r w:rsidRPr="00EB603B">
        <w:rPr>
          <w:b/>
          <w:i/>
          <w:color w:val="000000"/>
          <w:spacing w:val="-1"/>
        </w:rPr>
        <w:t>t</w:t>
      </w:r>
      <w:r w:rsidRPr="00EB603B">
        <w:rPr>
          <w:b/>
          <w:i/>
          <w:color w:val="000000"/>
        </w:rPr>
        <w:t>ions</w:t>
      </w:r>
      <w:r w:rsidRPr="00EB603B">
        <w:rPr>
          <w:b/>
          <w:i/>
          <w:color w:val="000000"/>
          <w:spacing w:val="1"/>
        </w:rPr>
        <w:t xml:space="preserve"> </w:t>
      </w:r>
      <w:r w:rsidRPr="00EB603B">
        <w:rPr>
          <w:b/>
          <w:i/>
          <w:color w:val="000000"/>
        </w:rPr>
        <w:t>Impl</w:t>
      </w:r>
      <w:r w:rsidRPr="00EB603B">
        <w:rPr>
          <w:b/>
          <w:i/>
          <w:color w:val="000000"/>
          <w:spacing w:val="1"/>
        </w:rPr>
        <w:t>e</w:t>
      </w:r>
      <w:r w:rsidRPr="00EB603B">
        <w:rPr>
          <w:b/>
          <w:i/>
          <w:color w:val="000000"/>
        </w:rPr>
        <w:t>m</w:t>
      </w:r>
      <w:r w:rsidRPr="00EB603B">
        <w:rPr>
          <w:b/>
          <w:i/>
          <w:color w:val="000000"/>
          <w:spacing w:val="1"/>
        </w:rPr>
        <w:t>e</w:t>
      </w:r>
      <w:r w:rsidRPr="00EB603B">
        <w:rPr>
          <w:b/>
          <w:i/>
          <w:color w:val="000000"/>
        </w:rPr>
        <w:t>n</w:t>
      </w:r>
      <w:r w:rsidRPr="00EB603B">
        <w:rPr>
          <w:b/>
          <w:i/>
          <w:color w:val="000000"/>
          <w:spacing w:val="-1"/>
        </w:rPr>
        <w:t>t</w:t>
      </w:r>
      <w:r w:rsidRPr="00EB603B">
        <w:rPr>
          <w:b/>
          <w:i/>
          <w:color w:val="000000"/>
          <w:spacing w:val="1"/>
        </w:rPr>
        <w:t>e</w:t>
      </w:r>
      <w:r w:rsidRPr="00EB603B">
        <w:rPr>
          <w:b/>
          <w:i/>
          <w:color w:val="000000"/>
        </w:rPr>
        <w:t>d</w:t>
      </w:r>
      <w:r w:rsidRPr="00EB603B">
        <w:rPr>
          <w:b/>
          <w:i/>
          <w:color w:val="000000"/>
          <w:spacing w:val="-2"/>
        </w:rPr>
        <w:t xml:space="preserve"> </w:t>
      </w:r>
      <w:r w:rsidRPr="00EB603B">
        <w:rPr>
          <w:b/>
          <w:i/>
          <w:color w:val="000000"/>
        </w:rPr>
        <w:t>Th</w:t>
      </w:r>
      <w:r w:rsidRPr="00EB603B">
        <w:rPr>
          <w:b/>
          <w:i/>
          <w:color w:val="000000"/>
          <w:spacing w:val="1"/>
        </w:rPr>
        <w:t>a</w:t>
      </w:r>
      <w:r w:rsidRPr="00EB603B">
        <w:rPr>
          <w:b/>
          <w:i/>
          <w:color w:val="000000"/>
        </w:rPr>
        <w:t xml:space="preserve">t </w:t>
      </w:r>
      <w:r w:rsidRPr="00EB603B">
        <w:rPr>
          <w:b/>
          <w:i/>
          <w:color w:val="000000"/>
          <w:spacing w:val="1"/>
        </w:rPr>
        <w:t>P</w:t>
      </w:r>
      <w:r w:rsidRPr="00EB603B">
        <w:rPr>
          <w:b/>
          <w:i/>
          <w:color w:val="000000"/>
        </w:rPr>
        <w:t>ro</w:t>
      </w:r>
      <w:r w:rsidRPr="00EB603B">
        <w:rPr>
          <w:b/>
          <w:i/>
          <w:color w:val="000000"/>
          <w:spacing w:val="-1"/>
        </w:rPr>
        <w:t>t</w:t>
      </w:r>
      <w:r w:rsidRPr="00EB603B">
        <w:rPr>
          <w:b/>
          <w:i/>
          <w:color w:val="000000"/>
          <w:spacing w:val="1"/>
        </w:rPr>
        <w:t>ec</w:t>
      </w:r>
      <w:r w:rsidRPr="00EB603B">
        <w:rPr>
          <w:b/>
          <w:i/>
          <w:color w:val="000000"/>
        </w:rPr>
        <w:t xml:space="preserve">t </w:t>
      </w:r>
      <w:r w:rsidRPr="00EB603B">
        <w:rPr>
          <w:b/>
          <w:i/>
          <w:color w:val="000000"/>
          <w:spacing w:val="1"/>
        </w:rPr>
        <w:t>E</w:t>
      </w:r>
      <w:r w:rsidRPr="00EB603B">
        <w:rPr>
          <w:b/>
          <w:i/>
          <w:color w:val="000000"/>
        </w:rPr>
        <w:t>FH</w:t>
      </w:r>
      <w:r w:rsidRPr="00EB603B">
        <w:rPr>
          <w:b/>
          <w:i/>
          <w:color w:val="000000"/>
          <w:spacing w:val="-2"/>
        </w:rPr>
        <w:t xml:space="preserve"> </w:t>
      </w:r>
      <w:r w:rsidRPr="00EB603B">
        <w:rPr>
          <w:b/>
          <w:i/>
          <w:color w:val="000000"/>
          <w:spacing w:val="1"/>
        </w:rPr>
        <w:t>a</w:t>
      </w:r>
      <w:r w:rsidRPr="00EB603B">
        <w:rPr>
          <w:b/>
          <w:i/>
          <w:color w:val="000000"/>
        </w:rPr>
        <w:t xml:space="preserve">nd </w:t>
      </w:r>
      <w:r w:rsidRPr="00EB603B">
        <w:rPr>
          <w:b/>
          <w:i/>
          <w:color w:val="000000"/>
          <w:spacing w:val="1"/>
        </w:rPr>
        <w:t>E</w:t>
      </w:r>
      <w:r w:rsidRPr="00EB603B">
        <w:rPr>
          <w:b/>
          <w:i/>
          <w:color w:val="000000"/>
        </w:rPr>
        <w:t>FH</w:t>
      </w:r>
      <w:r w:rsidRPr="00EB603B">
        <w:rPr>
          <w:b/>
          <w:i/>
          <w:color w:val="000000"/>
          <w:spacing w:val="-1"/>
        </w:rPr>
        <w:t>-</w:t>
      </w:r>
      <w:r w:rsidRPr="00EB603B">
        <w:rPr>
          <w:b/>
          <w:i/>
          <w:color w:val="000000"/>
          <w:spacing w:val="4"/>
        </w:rPr>
        <w:t>H</w:t>
      </w:r>
      <w:r w:rsidRPr="00EB603B">
        <w:rPr>
          <w:b/>
          <w:i/>
          <w:color w:val="000000"/>
          <w:spacing w:val="-8"/>
        </w:rPr>
        <w:t>A</w:t>
      </w:r>
      <w:r w:rsidRPr="00EB603B">
        <w:rPr>
          <w:b/>
          <w:i/>
          <w:color w:val="000000"/>
          <w:spacing w:val="3"/>
        </w:rPr>
        <w:t>P</w:t>
      </w:r>
      <w:r w:rsidRPr="00EB603B">
        <w:rPr>
          <w:b/>
          <w:i/>
          <w:color w:val="000000"/>
        </w:rPr>
        <w:t>Cs</w:t>
      </w:r>
    </w:p>
    <w:p w14:paraId="693746D4" w14:textId="77777777" w:rsidR="00DC4922" w:rsidRDefault="00DC4922" w:rsidP="00DC4922">
      <w:pPr>
        <w:rPr>
          <w:color w:val="000000"/>
          <w:sz w:val="26"/>
        </w:rPr>
      </w:pPr>
    </w:p>
    <w:p w14:paraId="08A5352B" w14:textId="77777777" w:rsidR="00DC4922" w:rsidRPr="00EB603B" w:rsidRDefault="00DC4922" w:rsidP="00DC4922">
      <w:pPr>
        <w:rPr>
          <w:b/>
          <w:color w:val="000000"/>
        </w:rPr>
      </w:pPr>
      <w:r w:rsidRPr="00EB603B">
        <w:rPr>
          <w:b/>
          <w:color w:val="000000"/>
          <w:spacing w:val="1"/>
        </w:rPr>
        <w:t>S</w:t>
      </w:r>
      <w:r w:rsidRPr="00EB603B">
        <w:rPr>
          <w:b/>
          <w:color w:val="000000"/>
        </w:rPr>
        <w:t>n</w:t>
      </w:r>
      <w:r w:rsidRPr="00EB603B">
        <w:rPr>
          <w:b/>
          <w:color w:val="000000"/>
          <w:spacing w:val="1"/>
        </w:rPr>
        <w:t>a</w:t>
      </w:r>
      <w:r w:rsidRPr="00EB603B">
        <w:rPr>
          <w:b/>
          <w:color w:val="000000"/>
        </w:rPr>
        <w:t>pp</w:t>
      </w:r>
      <w:r w:rsidRPr="00EB603B">
        <w:rPr>
          <w:b/>
          <w:color w:val="000000"/>
          <w:spacing w:val="1"/>
        </w:rPr>
        <w:t>e</w:t>
      </w:r>
      <w:r w:rsidRPr="00EB603B">
        <w:rPr>
          <w:b/>
          <w:color w:val="000000"/>
        </w:rPr>
        <w:t>r</w:t>
      </w:r>
      <w:r w:rsidRPr="00EB603B">
        <w:rPr>
          <w:b/>
          <w:color w:val="000000"/>
          <w:spacing w:val="1"/>
        </w:rPr>
        <w:t xml:space="preserve"> </w:t>
      </w:r>
      <w:r w:rsidRPr="00EB603B">
        <w:rPr>
          <w:b/>
          <w:color w:val="000000"/>
        </w:rPr>
        <w:t>Group</w:t>
      </w:r>
      <w:r w:rsidRPr="00EB603B">
        <w:rPr>
          <w:b/>
          <w:color w:val="000000"/>
          <w:spacing w:val="-1"/>
        </w:rPr>
        <w:t>e</w:t>
      </w:r>
      <w:r w:rsidRPr="00EB603B">
        <w:rPr>
          <w:b/>
          <w:color w:val="000000"/>
        </w:rPr>
        <w:t>r</w:t>
      </w:r>
      <w:r w:rsidRPr="00EB603B">
        <w:rPr>
          <w:b/>
          <w:color w:val="000000"/>
          <w:spacing w:val="1"/>
        </w:rPr>
        <w:t xml:space="preserve"> </w:t>
      </w:r>
      <w:r w:rsidRPr="00EB603B">
        <w:rPr>
          <w:b/>
          <w:color w:val="000000"/>
        </w:rPr>
        <w:t>F</w:t>
      </w:r>
      <w:r w:rsidRPr="00EB603B">
        <w:rPr>
          <w:b/>
          <w:color w:val="000000"/>
          <w:spacing w:val="-1"/>
        </w:rPr>
        <w:t>M</w:t>
      </w:r>
      <w:r w:rsidRPr="00EB603B">
        <w:rPr>
          <w:b/>
          <w:color w:val="000000"/>
        </w:rPr>
        <w:t>P</w:t>
      </w:r>
    </w:p>
    <w:p w14:paraId="44F579A7" w14:textId="77777777" w:rsidR="00DC4922" w:rsidRDefault="00DC4922" w:rsidP="00DC4922">
      <w:pPr>
        <w:rPr>
          <w:rFonts w:cs="Cambria"/>
          <w:color w:val="000000"/>
        </w:rPr>
      </w:pPr>
      <w:r>
        <w:rPr>
          <w:color w:val="000000"/>
          <w:w w:val="131"/>
        </w:rPr>
        <w:t>•</w:t>
      </w:r>
      <w:r>
        <w:rPr>
          <w:color w:val="000000"/>
        </w:rPr>
        <w:tab/>
      </w:r>
      <w:r w:rsidRPr="00AA552A">
        <w:rPr>
          <w:rFonts w:cs="Cambria"/>
          <w:color w:val="000000"/>
          <w:spacing w:val="1"/>
        </w:rPr>
        <w:t>P</w:t>
      </w:r>
      <w:r w:rsidRPr="00AA552A">
        <w:rPr>
          <w:rFonts w:cs="Cambria"/>
          <w:color w:val="000000"/>
          <w:spacing w:val="-1"/>
        </w:rPr>
        <w:t>r</w:t>
      </w:r>
      <w:r w:rsidRPr="00AA552A">
        <w:rPr>
          <w:rFonts w:cs="Cambria"/>
          <w:color w:val="000000"/>
        </w:rPr>
        <w:t>oh</w:t>
      </w:r>
      <w:r w:rsidRPr="00AA552A">
        <w:rPr>
          <w:rFonts w:cs="Cambria"/>
          <w:color w:val="000000"/>
          <w:spacing w:val="1"/>
        </w:rPr>
        <w:t>ibi</w:t>
      </w:r>
      <w:r w:rsidRPr="00AA552A">
        <w:rPr>
          <w:rFonts w:cs="Cambria"/>
          <w:color w:val="000000"/>
        </w:rPr>
        <w:t>t</w:t>
      </w:r>
      <w:r w:rsidRPr="00AA552A">
        <w:rPr>
          <w:rFonts w:cs="Cambria"/>
          <w:color w:val="000000"/>
          <w:spacing w:val="1"/>
        </w:rPr>
        <w:t>e</w:t>
      </w:r>
      <w:r w:rsidRPr="00AA552A">
        <w:rPr>
          <w:rFonts w:cs="Cambria"/>
          <w:color w:val="000000"/>
        </w:rPr>
        <w:t>d</w:t>
      </w:r>
      <w:r w:rsidRPr="00AA552A">
        <w:rPr>
          <w:rFonts w:cs="Cambria"/>
          <w:color w:val="000000"/>
          <w:spacing w:val="-10"/>
        </w:rPr>
        <w:t xml:space="preserve"> </w:t>
      </w:r>
      <w:r w:rsidRPr="00AA552A">
        <w:rPr>
          <w:rFonts w:cs="Cambria"/>
          <w:color w:val="000000"/>
        </w:rPr>
        <w:t>the</w:t>
      </w:r>
      <w:r w:rsidRPr="00AA552A">
        <w:rPr>
          <w:rFonts w:cs="Cambria"/>
          <w:color w:val="000000"/>
          <w:spacing w:val="-1"/>
        </w:rPr>
        <w:t xml:space="preserve"> u</w:t>
      </w:r>
      <w:r w:rsidRPr="00AA552A">
        <w:rPr>
          <w:rFonts w:cs="Cambria"/>
          <w:color w:val="000000"/>
        </w:rPr>
        <w:t>se</w:t>
      </w:r>
      <w:r w:rsidRPr="00AA552A">
        <w:rPr>
          <w:rFonts w:cs="Cambria"/>
          <w:color w:val="000000"/>
          <w:spacing w:val="-1"/>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f</w:t>
      </w:r>
      <w:r w:rsidRPr="00AA552A">
        <w:rPr>
          <w:rFonts w:cs="Cambria"/>
          <w:color w:val="000000"/>
        </w:rPr>
        <w:t>ollo</w:t>
      </w:r>
      <w:r w:rsidRPr="00AA552A">
        <w:rPr>
          <w:rFonts w:cs="Cambria"/>
          <w:color w:val="000000"/>
          <w:spacing w:val="-1"/>
        </w:rPr>
        <w:t>w</w:t>
      </w:r>
      <w:r w:rsidRPr="00AA552A">
        <w:rPr>
          <w:rFonts w:cs="Cambria"/>
          <w:color w:val="000000"/>
          <w:spacing w:val="1"/>
        </w:rPr>
        <w:t>i</w:t>
      </w:r>
      <w:r w:rsidRPr="00AA552A">
        <w:rPr>
          <w:rFonts w:cs="Cambria"/>
          <w:color w:val="000000"/>
        </w:rPr>
        <w:t>ng</w:t>
      </w:r>
      <w:r w:rsidRPr="00AA552A">
        <w:rPr>
          <w:rFonts w:cs="Cambria"/>
          <w:color w:val="000000"/>
          <w:spacing w:val="-5"/>
        </w:rPr>
        <w:t xml:space="preserve"> </w:t>
      </w:r>
      <w:r w:rsidRPr="00AA552A">
        <w:rPr>
          <w:rFonts w:cs="Cambria"/>
          <w:color w:val="000000"/>
          <w:spacing w:val="-1"/>
        </w:rPr>
        <w:t>g</w:t>
      </w:r>
      <w:r w:rsidRPr="00AA552A">
        <w:rPr>
          <w:rFonts w:cs="Cambria"/>
          <w:color w:val="000000"/>
          <w:spacing w:val="1"/>
        </w:rPr>
        <w:t>e</w:t>
      </w:r>
      <w:r w:rsidRPr="00AA552A">
        <w:rPr>
          <w:rFonts w:cs="Cambria"/>
          <w:color w:val="000000"/>
        </w:rPr>
        <w:t>a</w:t>
      </w:r>
      <w:r w:rsidRPr="00AA552A">
        <w:rPr>
          <w:rFonts w:cs="Cambria"/>
          <w:color w:val="000000"/>
          <w:spacing w:val="-1"/>
        </w:rPr>
        <w:t>r</w:t>
      </w:r>
      <w:r w:rsidRPr="00AA552A">
        <w:rPr>
          <w:rFonts w:cs="Cambria"/>
          <w:color w:val="000000"/>
        </w:rPr>
        <w:t>s</w:t>
      </w:r>
      <w:r w:rsidRPr="00AA552A">
        <w:rPr>
          <w:rFonts w:cs="Cambria"/>
          <w:color w:val="000000"/>
          <w:spacing w:val="-3"/>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spacing w:val="1"/>
        </w:rPr>
        <w:t>p</w:t>
      </w:r>
      <w:r w:rsidRPr="00AA552A">
        <w:rPr>
          <w:rFonts w:cs="Cambria"/>
          <w:color w:val="000000"/>
          <w:spacing w:val="-1"/>
        </w:rPr>
        <w:t>r</w:t>
      </w:r>
      <w:r w:rsidRPr="00AA552A">
        <w:rPr>
          <w:rFonts w:cs="Cambria"/>
          <w:color w:val="000000"/>
          <w:spacing w:val="2"/>
        </w:rPr>
        <w:t>o</w:t>
      </w:r>
      <w:r w:rsidRPr="00AA552A">
        <w:rPr>
          <w:rFonts w:cs="Cambria"/>
          <w:color w:val="000000"/>
        </w:rPr>
        <w:t>t</w:t>
      </w:r>
      <w:r w:rsidRPr="00AA552A">
        <w:rPr>
          <w:rFonts w:cs="Cambria"/>
          <w:color w:val="000000"/>
          <w:spacing w:val="1"/>
        </w:rPr>
        <w:t>e</w:t>
      </w:r>
      <w:r w:rsidRPr="00AA552A">
        <w:rPr>
          <w:rFonts w:cs="Cambria"/>
          <w:color w:val="000000"/>
        </w:rPr>
        <w:t>ct</w:t>
      </w:r>
      <w:r w:rsidRPr="00AA552A">
        <w:rPr>
          <w:rFonts w:cs="Cambria"/>
          <w:color w:val="000000"/>
          <w:spacing w:val="-4"/>
        </w:rPr>
        <w:t xml:space="preserve"> </w:t>
      </w:r>
      <w:r w:rsidRPr="00AA552A">
        <w:rPr>
          <w:rFonts w:cs="Cambria"/>
          <w:color w:val="000000"/>
        </w:rPr>
        <w:t>ha</w:t>
      </w:r>
      <w:r w:rsidRPr="00AA552A">
        <w:rPr>
          <w:rFonts w:cs="Cambria"/>
          <w:color w:val="000000"/>
          <w:spacing w:val="1"/>
        </w:rPr>
        <w:t>bi</w:t>
      </w:r>
      <w:r w:rsidRPr="00AA552A">
        <w:rPr>
          <w:rFonts w:cs="Cambria"/>
          <w:color w:val="000000"/>
        </w:rPr>
        <w:t>tat:</w:t>
      </w:r>
      <w:r w:rsidRPr="00AA552A">
        <w:rPr>
          <w:rFonts w:cs="Cambria"/>
          <w:color w:val="000000"/>
          <w:spacing w:val="49"/>
        </w:rPr>
        <w:t xml:space="preserve"> </w:t>
      </w:r>
      <w:r w:rsidRPr="00AA552A">
        <w:rPr>
          <w:rFonts w:cs="Cambria"/>
          <w:color w:val="000000"/>
          <w:spacing w:val="1"/>
        </w:rPr>
        <w:t>b</w:t>
      </w:r>
      <w:r w:rsidRPr="00AA552A">
        <w:rPr>
          <w:rFonts w:cs="Cambria"/>
          <w:color w:val="000000"/>
        </w:rPr>
        <w:t>ottom</w:t>
      </w:r>
      <w:r w:rsidRPr="00AA552A">
        <w:rPr>
          <w:rFonts w:cs="Cambria"/>
          <w:color w:val="000000"/>
          <w:spacing w:val="-3"/>
        </w:rPr>
        <w:t xml:space="preserve"> </w:t>
      </w:r>
      <w:r w:rsidRPr="00AA552A">
        <w:rPr>
          <w:rFonts w:cs="Cambria"/>
          <w:color w:val="000000"/>
        </w:rPr>
        <w:t>l</w:t>
      </w:r>
      <w:r w:rsidRPr="00AA552A">
        <w:rPr>
          <w:rFonts w:cs="Cambria"/>
          <w:color w:val="000000"/>
          <w:spacing w:val="-3"/>
        </w:rPr>
        <w:t>o</w:t>
      </w:r>
      <w:r w:rsidRPr="00AA552A">
        <w:rPr>
          <w:rFonts w:cs="Cambria"/>
          <w:color w:val="000000"/>
        </w:rPr>
        <w:t>n</w:t>
      </w:r>
      <w:r w:rsidRPr="00AA552A">
        <w:rPr>
          <w:rFonts w:cs="Cambria"/>
          <w:color w:val="000000"/>
          <w:spacing w:val="-1"/>
        </w:rPr>
        <w:t>g</w:t>
      </w:r>
      <w:r w:rsidRPr="00AA552A">
        <w:rPr>
          <w:rFonts w:cs="Cambria"/>
          <w:color w:val="000000"/>
        </w:rPr>
        <w:t>l</w:t>
      </w:r>
      <w:r w:rsidRPr="00AA552A">
        <w:rPr>
          <w:rFonts w:cs="Cambria"/>
          <w:color w:val="000000"/>
          <w:spacing w:val="1"/>
        </w:rPr>
        <w:t>i</w:t>
      </w:r>
      <w:r w:rsidRPr="00AA552A">
        <w:rPr>
          <w:rFonts w:cs="Cambria"/>
          <w:color w:val="000000"/>
        </w:rPr>
        <w:t>n</w:t>
      </w:r>
      <w:r w:rsidRPr="00AA552A">
        <w:rPr>
          <w:rFonts w:cs="Cambria"/>
          <w:color w:val="000000"/>
          <w:spacing w:val="1"/>
        </w:rPr>
        <w:t>e</w:t>
      </w:r>
      <w:r w:rsidRPr="00AA552A">
        <w:rPr>
          <w:rFonts w:cs="Cambria"/>
          <w:color w:val="000000"/>
        </w:rPr>
        <w:t>s</w:t>
      </w:r>
      <w:r w:rsidRPr="00AA552A">
        <w:rPr>
          <w:rFonts w:cs="Cambria"/>
          <w:color w:val="000000"/>
          <w:spacing w:val="-4"/>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E</w:t>
      </w:r>
      <w:r w:rsidRPr="00AA552A">
        <w:rPr>
          <w:rFonts w:cs="Cambria"/>
          <w:color w:val="000000"/>
          <w:spacing w:val="1"/>
        </w:rPr>
        <w:t>E</w:t>
      </w:r>
      <w:r w:rsidRPr="00AA552A">
        <w:rPr>
          <w:rFonts w:cs="Cambria"/>
          <w:color w:val="000000"/>
        </w:rPr>
        <w:t xml:space="preserve">Z </w:t>
      </w:r>
      <w:r w:rsidRPr="00AA552A">
        <w:rPr>
          <w:rFonts w:cs="Cambria"/>
          <w:color w:val="000000"/>
          <w:spacing w:val="1"/>
        </w:rPr>
        <w:t>i</w:t>
      </w:r>
      <w:r w:rsidRPr="00AA552A">
        <w:rPr>
          <w:rFonts w:cs="Cambria"/>
          <w:color w:val="000000"/>
        </w:rPr>
        <w:t>n</w:t>
      </w:r>
      <w:r w:rsidRPr="00AA552A">
        <w:rPr>
          <w:rFonts w:cs="Cambria"/>
          <w:color w:val="000000"/>
          <w:spacing w:val="-2"/>
        </w:rPr>
        <w:t>s</w:t>
      </w:r>
      <w:r w:rsidRPr="00AA552A">
        <w:rPr>
          <w:rFonts w:cs="Cambria"/>
          <w:color w:val="000000"/>
          <w:spacing w:val="1"/>
        </w:rPr>
        <w:t>i</w:t>
      </w:r>
      <w:r w:rsidRPr="00AA552A">
        <w:rPr>
          <w:rFonts w:cs="Cambria"/>
          <w:color w:val="000000"/>
          <w:spacing w:val="-1"/>
        </w:rPr>
        <w:t>d</w:t>
      </w:r>
      <w:r w:rsidRPr="00AA552A">
        <w:rPr>
          <w:rFonts w:cs="Cambria"/>
          <w:color w:val="000000"/>
        </w:rPr>
        <w:t>e of</w:t>
      </w:r>
      <w:r w:rsidRPr="00AA552A">
        <w:rPr>
          <w:rFonts w:cs="Cambria"/>
          <w:color w:val="000000"/>
          <w:spacing w:val="-3"/>
        </w:rPr>
        <w:t xml:space="preserve"> </w:t>
      </w:r>
      <w:r w:rsidRPr="00AA552A">
        <w:rPr>
          <w:rFonts w:cs="Cambria"/>
          <w:color w:val="000000"/>
          <w:spacing w:val="-1"/>
        </w:rPr>
        <w:t>5</w:t>
      </w:r>
      <w:r w:rsidRPr="00AA552A">
        <w:rPr>
          <w:rFonts w:cs="Cambria"/>
          <w:color w:val="000000"/>
        </w:rPr>
        <w:t>0</w:t>
      </w:r>
      <w:r w:rsidRPr="00AA552A">
        <w:rPr>
          <w:rFonts w:cs="Cambria"/>
          <w:color w:val="000000"/>
          <w:spacing w:val="-4"/>
        </w:rPr>
        <w:t xml:space="preserve"> </w:t>
      </w:r>
      <w:r w:rsidRPr="00AA552A">
        <w:rPr>
          <w:rFonts w:cs="Cambria"/>
          <w:color w:val="000000"/>
          <w:spacing w:val="-1"/>
        </w:rPr>
        <w:t>f</w:t>
      </w:r>
      <w:r w:rsidRPr="00AA552A">
        <w:rPr>
          <w:rFonts w:cs="Cambria"/>
          <w:color w:val="000000"/>
        </w:rPr>
        <w:t>ath</w:t>
      </w:r>
      <w:r w:rsidRPr="00AA552A">
        <w:rPr>
          <w:rFonts w:cs="Cambria"/>
          <w:color w:val="000000"/>
          <w:spacing w:val="2"/>
        </w:rPr>
        <w:t>o</w:t>
      </w:r>
      <w:r w:rsidRPr="00AA552A">
        <w:rPr>
          <w:rFonts w:cs="Cambria"/>
          <w:color w:val="000000"/>
        </w:rPr>
        <w:t>ms</w:t>
      </w:r>
      <w:r w:rsidRPr="00AA552A">
        <w:rPr>
          <w:rFonts w:cs="Cambria"/>
          <w:color w:val="000000"/>
          <w:spacing w:val="-6"/>
        </w:rPr>
        <w:t xml:space="preserve"> </w:t>
      </w:r>
      <w:r w:rsidRPr="00AA552A">
        <w:rPr>
          <w:rFonts w:cs="Cambria"/>
          <w:color w:val="000000"/>
        </w:rPr>
        <w:t>or</w:t>
      </w:r>
      <w:r w:rsidRPr="00AA552A">
        <w:rPr>
          <w:rFonts w:cs="Cambria"/>
          <w:color w:val="000000"/>
          <w:spacing w:val="-3"/>
        </w:rPr>
        <w:t xml:space="preserve"> </w:t>
      </w:r>
      <w:r w:rsidRPr="00AA552A">
        <w:rPr>
          <w:rFonts w:cs="Cambria"/>
          <w:color w:val="000000"/>
        </w:rPr>
        <w:t>an</w:t>
      </w:r>
      <w:r w:rsidRPr="00AA552A">
        <w:rPr>
          <w:rFonts w:cs="Cambria"/>
          <w:color w:val="000000"/>
          <w:spacing w:val="1"/>
        </w:rPr>
        <w:t>y</w:t>
      </w:r>
      <w:r w:rsidRPr="00AA552A">
        <w:rPr>
          <w:rFonts w:cs="Cambria"/>
          <w:color w:val="000000"/>
          <w:spacing w:val="-1"/>
        </w:rPr>
        <w:t>w</w:t>
      </w:r>
      <w:r w:rsidRPr="00AA552A">
        <w:rPr>
          <w:rFonts w:cs="Cambria"/>
          <w:color w:val="000000"/>
          <w:spacing w:val="2"/>
        </w:rPr>
        <w:t>h</w:t>
      </w:r>
      <w:r w:rsidRPr="00AA552A">
        <w:rPr>
          <w:rFonts w:cs="Cambria"/>
          <w:color w:val="000000"/>
          <w:spacing w:val="1"/>
        </w:rPr>
        <w:t>e</w:t>
      </w:r>
      <w:r w:rsidRPr="00AA552A">
        <w:rPr>
          <w:rFonts w:cs="Cambria"/>
          <w:color w:val="000000"/>
          <w:spacing w:val="-1"/>
        </w:rPr>
        <w:t>r</w:t>
      </w:r>
      <w:r w:rsidRPr="00AA552A">
        <w:rPr>
          <w:rFonts w:cs="Cambria"/>
          <w:color w:val="000000"/>
        </w:rPr>
        <w:t>e</w:t>
      </w:r>
      <w:r w:rsidRPr="00AA552A">
        <w:rPr>
          <w:rFonts w:cs="Cambria"/>
          <w:color w:val="000000"/>
          <w:spacing w:val="-5"/>
        </w:rPr>
        <w:t xml:space="preserve"> </w:t>
      </w:r>
      <w:r w:rsidRPr="00AA552A">
        <w:rPr>
          <w:rFonts w:cs="Cambria"/>
          <w:color w:val="000000"/>
        </w:rPr>
        <w:t>south</w:t>
      </w:r>
      <w:r w:rsidRPr="00AA552A">
        <w:rPr>
          <w:rFonts w:cs="Cambria"/>
          <w:color w:val="000000"/>
          <w:spacing w:val="-4"/>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S</w:t>
      </w:r>
      <w:r w:rsidRPr="00AA552A">
        <w:rPr>
          <w:rFonts w:cs="Cambria"/>
          <w:color w:val="000000"/>
        </w:rPr>
        <w:t>t.</w:t>
      </w:r>
      <w:r w:rsidRPr="00AA552A">
        <w:rPr>
          <w:rFonts w:cs="Cambria"/>
          <w:color w:val="000000"/>
          <w:spacing w:val="1"/>
        </w:rPr>
        <w:t xml:space="preserve"> L</w:t>
      </w:r>
      <w:r w:rsidRPr="00AA552A">
        <w:rPr>
          <w:rFonts w:cs="Cambria"/>
          <w:color w:val="000000"/>
        </w:rPr>
        <w:t>uc</w:t>
      </w:r>
      <w:r w:rsidRPr="00AA552A">
        <w:rPr>
          <w:rFonts w:cs="Cambria"/>
          <w:color w:val="000000"/>
          <w:spacing w:val="1"/>
        </w:rPr>
        <w:t>i</w:t>
      </w:r>
      <w:r w:rsidRPr="00AA552A">
        <w:rPr>
          <w:rFonts w:cs="Cambria"/>
          <w:color w:val="000000"/>
        </w:rPr>
        <w:t>e</w:t>
      </w:r>
      <w:r w:rsidRPr="00AA552A">
        <w:rPr>
          <w:rFonts w:cs="Cambria"/>
          <w:color w:val="000000"/>
          <w:spacing w:val="-2"/>
        </w:rPr>
        <w:t xml:space="preserve"> </w:t>
      </w:r>
      <w:r w:rsidRPr="00AA552A">
        <w:rPr>
          <w:rFonts w:cs="Cambria"/>
          <w:color w:val="000000"/>
          <w:spacing w:val="-1"/>
        </w:rPr>
        <w:t>I</w:t>
      </w:r>
      <w:r w:rsidRPr="00AA552A">
        <w:rPr>
          <w:rFonts w:cs="Cambria"/>
          <w:color w:val="000000"/>
        </w:rPr>
        <w:t>nl</w:t>
      </w:r>
      <w:r w:rsidRPr="00AA552A">
        <w:rPr>
          <w:rFonts w:cs="Cambria"/>
          <w:color w:val="000000"/>
          <w:spacing w:val="1"/>
        </w:rPr>
        <w:t>e</w:t>
      </w:r>
      <w:r w:rsidRPr="00AA552A">
        <w:rPr>
          <w:rFonts w:cs="Cambria"/>
          <w:color w:val="000000"/>
        </w:rPr>
        <w:t>t</w:t>
      </w:r>
      <w:r>
        <w:rPr>
          <w:rFonts w:cs="Cambria"/>
          <w:color w:val="000000"/>
        </w:rPr>
        <w:t>,</w:t>
      </w:r>
      <w:r w:rsidRPr="00AA552A">
        <w:rPr>
          <w:rFonts w:cs="Cambria"/>
          <w:color w:val="000000"/>
          <w:spacing w:val="-1"/>
        </w:rPr>
        <w:t xml:space="preserv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Pr>
          <w:rFonts w:cs="Cambria"/>
          <w:color w:val="000000"/>
        </w:rPr>
        <w:t>a;</w:t>
      </w:r>
      <w:r w:rsidRPr="00AA552A">
        <w:rPr>
          <w:rFonts w:cs="Cambria"/>
          <w:color w:val="000000"/>
          <w:spacing w:val="-5"/>
        </w:rPr>
        <w:t xml:space="preserve"> </w:t>
      </w:r>
      <w:r>
        <w:rPr>
          <w:rFonts w:cs="Cambria"/>
          <w:color w:val="000000"/>
          <w:spacing w:val="-5"/>
        </w:rPr>
        <w:t xml:space="preserve">bottom longlines in the wreckfish fishery;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t</w:t>
      </w:r>
      <w:r w:rsidRPr="00AA552A">
        <w:rPr>
          <w:rFonts w:cs="Cambria"/>
          <w:color w:val="000000"/>
          <w:spacing w:val="-1"/>
        </w:rPr>
        <w:t>r</w:t>
      </w:r>
      <w:r w:rsidRPr="00AA552A">
        <w:rPr>
          <w:rFonts w:cs="Cambria"/>
          <w:color w:val="000000"/>
        </w:rPr>
        <w:t>a</w:t>
      </w:r>
      <w:r w:rsidRPr="00AA552A">
        <w:rPr>
          <w:rFonts w:cs="Cambria"/>
          <w:color w:val="000000"/>
          <w:spacing w:val="1"/>
        </w:rPr>
        <w:t>p</w:t>
      </w:r>
      <w:r>
        <w:rPr>
          <w:rFonts w:cs="Cambria"/>
          <w:color w:val="000000"/>
        </w:rPr>
        <w:t>s;</w:t>
      </w:r>
      <w:r w:rsidRPr="00AA552A">
        <w:rPr>
          <w:rFonts w:cs="Cambria"/>
          <w:color w:val="000000"/>
          <w:spacing w:val="-1"/>
        </w:rPr>
        <w:t xml:space="preserve"> </w:t>
      </w:r>
      <w:r w:rsidRPr="00AA552A">
        <w:rPr>
          <w:rFonts w:cs="Cambria"/>
          <w:color w:val="000000"/>
          <w:spacing w:val="1"/>
        </w:rPr>
        <w:t>b</w:t>
      </w:r>
      <w:r w:rsidRPr="00AA552A">
        <w:rPr>
          <w:rFonts w:cs="Cambria"/>
          <w:color w:val="000000"/>
          <w:spacing w:val="-3"/>
        </w:rPr>
        <w:t>o</w:t>
      </w:r>
      <w:r w:rsidRPr="00AA552A">
        <w:rPr>
          <w:rFonts w:cs="Cambria"/>
          <w:color w:val="000000"/>
        </w:rPr>
        <w:t>ttom</w:t>
      </w:r>
      <w:r w:rsidRPr="00AA552A">
        <w:rPr>
          <w:rFonts w:cs="Cambria"/>
          <w:color w:val="000000"/>
          <w:spacing w:val="-3"/>
        </w:rPr>
        <w:t xml:space="preserve"> </w:t>
      </w:r>
      <w:r w:rsidRPr="00AA552A">
        <w:rPr>
          <w:rFonts w:cs="Cambria"/>
          <w:color w:val="000000"/>
        </w:rPr>
        <w:t>t</w:t>
      </w:r>
      <w:r w:rsidRPr="00AA552A">
        <w:rPr>
          <w:rFonts w:cs="Cambria"/>
          <w:color w:val="000000"/>
          <w:spacing w:val="1"/>
        </w:rPr>
        <w:t>e</w:t>
      </w:r>
      <w:r w:rsidRPr="00AA552A">
        <w:rPr>
          <w:rFonts w:cs="Cambria"/>
          <w:color w:val="000000"/>
        </w:rPr>
        <w:t>n</w:t>
      </w:r>
      <w:r w:rsidRPr="00AA552A">
        <w:rPr>
          <w:rFonts w:cs="Cambria"/>
          <w:color w:val="000000"/>
          <w:spacing w:val="-1"/>
        </w:rPr>
        <w:t>d</w:t>
      </w:r>
      <w:r w:rsidRPr="00AA552A">
        <w:rPr>
          <w:rFonts w:cs="Cambria"/>
          <w:color w:val="000000"/>
          <w:spacing w:val="1"/>
        </w:rPr>
        <w:t>i</w:t>
      </w:r>
      <w:r w:rsidRPr="00AA552A">
        <w:rPr>
          <w:rFonts w:cs="Cambria"/>
          <w:color w:val="000000"/>
        </w:rPr>
        <w:t>ng</w:t>
      </w:r>
      <w:r w:rsidRPr="00AA552A">
        <w:rPr>
          <w:rFonts w:cs="Cambria"/>
          <w:color w:val="000000"/>
          <w:spacing w:val="-4"/>
        </w:rPr>
        <w:t xml:space="preserve"> </w:t>
      </w:r>
      <w:r w:rsidRPr="00AA552A">
        <w:rPr>
          <w:rFonts w:cs="Cambria"/>
          <w:color w:val="000000"/>
        </w:rPr>
        <w:t>(</w:t>
      </w:r>
      <w:r w:rsidRPr="00AA552A">
        <w:rPr>
          <w:rFonts w:cs="Cambria"/>
          <w:color w:val="000000"/>
          <w:spacing w:val="-1"/>
        </w:rPr>
        <w:t>r</w:t>
      </w:r>
      <w:r w:rsidRPr="00AA552A">
        <w:rPr>
          <w:rFonts w:cs="Cambria"/>
          <w:color w:val="000000"/>
        </w:rPr>
        <w:t>oll</w:t>
      </w:r>
      <w:r w:rsidRPr="00AA552A">
        <w:rPr>
          <w:rFonts w:cs="Cambria"/>
          <w:color w:val="000000"/>
          <w:spacing w:val="1"/>
        </w:rPr>
        <w:t>e</w:t>
      </w:r>
      <w:r w:rsidRPr="00AA552A">
        <w:rPr>
          <w:rFonts w:cs="Cambria"/>
          <w:color w:val="000000"/>
          <w:spacing w:val="-1"/>
        </w:rPr>
        <w:t>r</w:t>
      </w:r>
      <w:r w:rsidRPr="00AA552A">
        <w:rPr>
          <w:rFonts w:cs="Cambria"/>
          <w:color w:val="000000"/>
        </w:rPr>
        <w:t xml:space="preserve">- </w:t>
      </w:r>
      <w:r w:rsidRPr="00AA552A">
        <w:rPr>
          <w:rFonts w:cs="Cambria"/>
          <w:color w:val="000000"/>
          <w:spacing w:val="-1"/>
        </w:rPr>
        <w:t>r</w:t>
      </w:r>
      <w:r w:rsidRPr="00AA552A">
        <w:rPr>
          <w:rFonts w:cs="Cambria"/>
          <w:color w:val="000000"/>
          <w:spacing w:val="1"/>
        </w:rPr>
        <w:t>i</w:t>
      </w:r>
      <w:r w:rsidRPr="00AA552A">
        <w:rPr>
          <w:rFonts w:cs="Cambria"/>
          <w:color w:val="000000"/>
          <w:spacing w:val="-1"/>
        </w:rPr>
        <w:t>g</w:t>
      </w:r>
      <w:r w:rsidRPr="00AA552A">
        <w:rPr>
          <w:rFonts w:cs="Cambria"/>
          <w:color w:val="000000"/>
        </w:rPr>
        <w:t>)</w:t>
      </w:r>
      <w:r w:rsidRPr="00AA552A">
        <w:rPr>
          <w:rFonts w:cs="Cambria"/>
          <w:color w:val="000000"/>
          <w:spacing w:val="-3"/>
        </w:rPr>
        <w:t xml:space="preserve"> </w:t>
      </w:r>
      <w:r w:rsidRPr="00AA552A">
        <w:rPr>
          <w:rFonts w:cs="Cambria"/>
          <w:color w:val="000000"/>
        </w:rPr>
        <w:t>t</w:t>
      </w:r>
      <w:r w:rsidRPr="00AA552A">
        <w:rPr>
          <w:rFonts w:cs="Cambria"/>
          <w:color w:val="000000"/>
          <w:spacing w:val="-1"/>
        </w:rPr>
        <w:t>r</w:t>
      </w:r>
      <w:r w:rsidRPr="00AA552A">
        <w:rPr>
          <w:rFonts w:cs="Cambria"/>
          <w:color w:val="000000"/>
        </w:rPr>
        <w:t>a</w:t>
      </w:r>
      <w:r w:rsidRPr="00AA552A">
        <w:rPr>
          <w:rFonts w:cs="Cambria"/>
          <w:color w:val="000000"/>
          <w:spacing w:val="-1"/>
        </w:rPr>
        <w:t>w</w:t>
      </w:r>
      <w:r w:rsidRPr="00AA552A">
        <w:rPr>
          <w:rFonts w:cs="Cambria"/>
          <w:color w:val="000000"/>
        </w:rPr>
        <w:t>ls</w:t>
      </w:r>
      <w:r w:rsidRPr="00AA552A">
        <w:rPr>
          <w:rFonts w:cs="Cambria"/>
          <w:color w:val="000000"/>
          <w:spacing w:val="-2"/>
        </w:rPr>
        <w:t xml:space="preserve"> </w:t>
      </w:r>
      <w:r w:rsidRPr="00AA552A">
        <w:rPr>
          <w:rFonts w:cs="Cambria"/>
          <w:color w:val="000000"/>
        </w:rPr>
        <w:t>on</w:t>
      </w:r>
      <w:r w:rsidRPr="00AA552A">
        <w:rPr>
          <w:rFonts w:cs="Cambria"/>
          <w:color w:val="000000"/>
          <w:spacing w:val="-1"/>
        </w:rPr>
        <w:t xml:space="preserve"> </w:t>
      </w:r>
      <w:r w:rsidRPr="00AA552A">
        <w:rPr>
          <w:rFonts w:cs="Cambria"/>
          <w:color w:val="000000"/>
        </w:rPr>
        <w:t>l</w:t>
      </w:r>
      <w:r w:rsidRPr="00AA552A">
        <w:rPr>
          <w:rFonts w:cs="Cambria"/>
          <w:color w:val="000000"/>
          <w:spacing w:val="3"/>
        </w:rPr>
        <w:t>i</w:t>
      </w:r>
      <w:r w:rsidRPr="00AA552A">
        <w:rPr>
          <w:rFonts w:cs="Cambria"/>
          <w:color w:val="000000"/>
          <w:spacing w:val="-1"/>
        </w:rPr>
        <w:t>v</w:t>
      </w:r>
      <w:r w:rsidRPr="00AA552A">
        <w:rPr>
          <w:rFonts w:cs="Cambria"/>
          <w:color w:val="000000"/>
        </w:rPr>
        <w:t>e</w:t>
      </w:r>
      <w:r w:rsidRPr="00AA552A">
        <w:rPr>
          <w:rFonts w:cs="Cambria"/>
          <w:color w:val="000000"/>
          <w:spacing w:val="-2"/>
        </w:rPr>
        <w:t xml:space="preserve"> </w:t>
      </w:r>
      <w:r w:rsidRPr="00AA552A">
        <w:rPr>
          <w:rFonts w:cs="Cambria"/>
          <w:color w:val="000000"/>
          <w:spacing w:val="1"/>
        </w:rPr>
        <w:t>b</w:t>
      </w:r>
      <w:r w:rsidRPr="00AA552A">
        <w:rPr>
          <w:rFonts w:cs="Cambria"/>
          <w:color w:val="000000"/>
        </w:rPr>
        <w:t>ottom</w:t>
      </w:r>
      <w:r w:rsidRPr="00AA552A">
        <w:rPr>
          <w:rFonts w:cs="Cambria"/>
          <w:color w:val="000000"/>
          <w:spacing w:val="-3"/>
        </w:rPr>
        <w:t xml:space="preserve"> </w:t>
      </w:r>
      <w:r w:rsidRPr="00AA552A">
        <w:rPr>
          <w:rFonts w:cs="Cambria"/>
          <w:color w:val="000000"/>
        </w:rPr>
        <w:t>ha</w:t>
      </w:r>
      <w:r w:rsidRPr="00AA552A">
        <w:rPr>
          <w:rFonts w:cs="Cambria"/>
          <w:color w:val="000000"/>
          <w:spacing w:val="1"/>
        </w:rPr>
        <w:t>bi</w:t>
      </w:r>
      <w:r>
        <w:rPr>
          <w:rFonts w:cs="Cambria"/>
          <w:color w:val="000000"/>
        </w:rPr>
        <w:t>tat;</w:t>
      </w:r>
      <w:r w:rsidRPr="00AA552A">
        <w:rPr>
          <w:rFonts w:cs="Cambria"/>
          <w:color w:val="000000"/>
          <w:spacing w:val="-1"/>
        </w:rPr>
        <w:t xml:space="preserve"> </w:t>
      </w:r>
      <w:r w:rsidRPr="00AA552A">
        <w:rPr>
          <w:rFonts w:cs="Cambria"/>
          <w:color w:val="000000"/>
          <w:spacing w:val="-2"/>
        </w:rPr>
        <w:t>a</w:t>
      </w:r>
      <w:r w:rsidRPr="00AA552A">
        <w:rPr>
          <w:rFonts w:cs="Cambria"/>
          <w:color w:val="000000"/>
        </w:rPr>
        <w:t>nd</w:t>
      </w:r>
      <w:r w:rsidRPr="00AA552A">
        <w:rPr>
          <w:rFonts w:cs="Cambria"/>
          <w:color w:val="000000"/>
          <w:spacing w:val="-2"/>
        </w:rPr>
        <w:t xml:space="preserve"> </w:t>
      </w:r>
      <w:r w:rsidRPr="00AA552A">
        <w:rPr>
          <w:rFonts w:cs="Cambria"/>
          <w:color w:val="000000"/>
          <w:spacing w:val="1"/>
        </w:rPr>
        <w:t>e</w:t>
      </w:r>
      <w:r w:rsidRPr="00AA552A">
        <w:rPr>
          <w:rFonts w:cs="Cambria"/>
          <w:color w:val="000000"/>
        </w:rPr>
        <w:t>ntan</w:t>
      </w:r>
      <w:r w:rsidRPr="00AA552A">
        <w:rPr>
          <w:rFonts w:cs="Cambria"/>
          <w:color w:val="000000"/>
          <w:spacing w:val="-1"/>
        </w:rPr>
        <w:t>g</w:t>
      </w:r>
      <w:r w:rsidRPr="00AA552A">
        <w:rPr>
          <w:rFonts w:cs="Cambria"/>
          <w:color w:val="000000"/>
        </w:rPr>
        <w:t>l</w:t>
      </w:r>
      <w:r w:rsidRPr="00AA552A">
        <w:rPr>
          <w:rFonts w:cs="Cambria"/>
          <w:color w:val="000000"/>
          <w:spacing w:val="-2"/>
        </w:rPr>
        <w:t>e</w:t>
      </w:r>
      <w:r w:rsidRPr="00AA552A">
        <w:rPr>
          <w:rFonts w:cs="Cambria"/>
          <w:color w:val="000000"/>
        </w:rPr>
        <w:t>m</w:t>
      </w:r>
      <w:r w:rsidRPr="00AA552A">
        <w:rPr>
          <w:rFonts w:cs="Cambria"/>
          <w:color w:val="000000"/>
          <w:spacing w:val="1"/>
        </w:rPr>
        <w:t>e</w:t>
      </w:r>
      <w:r w:rsidRPr="00AA552A">
        <w:rPr>
          <w:rFonts w:cs="Cambria"/>
          <w:color w:val="000000"/>
        </w:rPr>
        <w:t>nt</w:t>
      </w:r>
      <w:r w:rsidRPr="00AA552A">
        <w:rPr>
          <w:rFonts w:cs="Cambria"/>
          <w:color w:val="000000"/>
          <w:spacing w:val="-3"/>
        </w:rPr>
        <w:t xml:space="preserve"> </w:t>
      </w:r>
      <w:r w:rsidRPr="00AA552A">
        <w:rPr>
          <w:rFonts w:cs="Cambria"/>
          <w:color w:val="000000"/>
          <w:spacing w:val="-1"/>
        </w:rPr>
        <w:t>g</w:t>
      </w:r>
      <w:r w:rsidRPr="00AA552A">
        <w:rPr>
          <w:rFonts w:cs="Cambria"/>
          <w:color w:val="000000"/>
          <w:spacing w:val="1"/>
        </w:rPr>
        <w:t>e</w:t>
      </w:r>
      <w:r w:rsidRPr="00AA552A">
        <w:rPr>
          <w:rFonts w:cs="Cambria"/>
          <w:color w:val="000000"/>
        </w:rPr>
        <w:t>a</w:t>
      </w:r>
      <w:r w:rsidRPr="00AA552A">
        <w:rPr>
          <w:rFonts w:cs="Cambria"/>
          <w:color w:val="000000"/>
          <w:spacing w:val="-1"/>
        </w:rPr>
        <w:t>r</w:t>
      </w:r>
      <w:r>
        <w:rPr>
          <w:rFonts w:cs="Cambria"/>
          <w:color w:val="000000"/>
        </w:rPr>
        <w:t>.</w:t>
      </w:r>
    </w:p>
    <w:p w14:paraId="1848DD01" w14:textId="77777777" w:rsidR="00DC4922" w:rsidRDefault="00DC4922" w:rsidP="00DC4922">
      <w:pPr>
        <w:rPr>
          <w:rFonts w:cs="Cambria"/>
          <w:color w:val="000000"/>
        </w:rPr>
      </w:pPr>
      <w:r w:rsidRPr="00AA552A">
        <w:rPr>
          <w:color w:val="000000"/>
          <w:w w:val="131"/>
        </w:rPr>
        <w:t>•</w:t>
      </w:r>
      <w:r w:rsidRPr="00AA552A">
        <w:rPr>
          <w:color w:val="000000"/>
        </w:rPr>
        <w:tab/>
      </w:r>
      <w:r w:rsidRPr="00AA552A">
        <w:rPr>
          <w:rFonts w:cs="Cambria"/>
          <w:color w:val="000000"/>
          <w:spacing w:val="1"/>
        </w:rPr>
        <w:t>E</w:t>
      </w:r>
      <w:r w:rsidRPr="00AA552A">
        <w:rPr>
          <w:rFonts w:cs="Cambria"/>
          <w:color w:val="000000"/>
        </w:rPr>
        <w:t>sta</w:t>
      </w:r>
      <w:r w:rsidRPr="00AA552A">
        <w:rPr>
          <w:rFonts w:cs="Cambria"/>
          <w:color w:val="000000"/>
          <w:spacing w:val="1"/>
        </w:rPr>
        <w:t>b</w:t>
      </w:r>
      <w:r w:rsidRPr="00AA552A">
        <w:rPr>
          <w:rFonts w:cs="Cambria"/>
          <w:color w:val="000000"/>
        </w:rPr>
        <w:t>l</w:t>
      </w:r>
      <w:r w:rsidRPr="00AA552A">
        <w:rPr>
          <w:rFonts w:cs="Cambria"/>
          <w:color w:val="000000"/>
          <w:spacing w:val="1"/>
        </w:rPr>
        <w:t>i</w:t>
      </w:r>
      <w:r w:rsidRPr="00AA552A">
        <w:rPr>
          <w:rFonts w:cs="Cambria"/>
          <w:color w:val="000000"/>
        </w:rPr>
        <w:t>sh</w:t>
      </w:r>
      <w:r w:rsidRPr="00AA552A">
        <w:rPr>
          <w:rFonts w:cs="Cambria"/>
          <w:color w:val="000000"/>
          <w:spacing w:val="1"/>
        </w:rPr>
        <w:t>e</w:t>
      </w:r>
      <w:r w:rsidRPr="00AA552A">
        <w:rPr>
          <w:rFonts w:cs="Cambria"/>
          <w:color w:val="000000"/>
        </w:rPr>
        <w:t>d</w:t>
      </w:r>
      <w:r w:rsidRPr="00AA552A">
        <w:rPr>
          <w:rFonts w:cs="Cambria"/>
          <w:color w:val="000000"/>
          <w:spacing w:val="-8"/>
        </w:rPr>
        <w:t xml:space="preserve"> </w:t>
      </w:r>
      <w:r w:rsidRPr="00AA552A">
        <w:rPr>
          <w:rFonts w:cs="Cambria"/>
          <w:color w:val="000000"/>
        </w:rPr>
        <w:t>the</w:t>
      </w:r>
      <w:r w:rsidRPr="00AA552A">
        <w:rPr>
          <w:rFonts w:cs="Cambria"/>
          <w:color w:val="000000"/>
          <w:spacing w:val="-1"/>
        </w:rPr>
        <w:t xml:space="preserve"> </w:t>
      </w:r>
      <w:r w:rsidRPr="00AA552A">
        <w:rPr>
          <w:rFonts w:cs="Cambria"/>
          <w:i/>
          <w:iCs/>
          <w:color w:val="000000"/>
        </w:rPr>
        <w:t>O</w:t>
      </w:r>
      <w:r w:rsidRPr="00AA552A">
        <w:rPr>
          <w:rFonts w:cs="Cambria"/>
          <w:i/>
          <w:iCs/>
          <w:color w:val="000000"/>
          <w:spacing w:val="-1"/>
        </w:rPr>
        <w:t>c</w:t>
      </w:r>
      <w:r w:rsidRPr="00AA552A">
        <w:rPr>
          <w:rFonts w:cs="Cambria"/>
          <w:i/>
          <w:iCs/>
          <w:color w:val="000000"/>
          <w:spacing w:val="1"/>
        </w:rPr>
        <w:t>ul</w:t>
      </w:r>
      <w:r w:rsidRPr="00AA552A">
        <w:rPr>
          <w:rFonts w:cs="Cambria"/>
          <w:i/>
          <w:iCs/>
          <w:color w:val="000000"/>
          <w:spacing w:val="-3"/>
        </w:rPr>
        <w:t>i</w:t>
      </w:r>
      <w:r w:rsidRPr="00AA552A">
        <w:rPr>
          <w:rFonts w:cs="Cambria"/>
          <w:i/>
          <w:iCs/>
          <w:color w:val="000000"/>
          <w:spacing w:val="1"/>
        </w:rPr>
        <w:t>n</w:t>
      </w:r>
      <w:r w:rsidRPr="00AA552A">
        <w:rPr>
          <w:rFonts w:cs="Cambria"/>
          <w:i/>
          <w:iCs/>
          <w:color w:val="000000"/>
        </w:rPr>
        <w:t>a</w:t>
      </w:r>
      <w:r w:rsidRPr="00AA552A">
        <w:rPr>
          <w:rFonts w:cs="Cambria"/>
          <w:i/>
          <w:iCs/>
          <w:color w:val="000000"/>
          <w:spacing w:val="-5"/>
        </w:rPr>
        <w:t xml:space="preserve"> </w:t>
      </w:r>
      <w:r w:rsidRPr="00AA552A">
        <w:rPr>
          <w:rFonts w:cs="Cambria"/>
          <w:color w:val="000000"/>
          <w:spacing w:val="1"/>
        </w:rPr>
        <w:t>E</w:t>
      </w:r>
      <w:r w:rsidRPr="00AA552A">
        <w:rPr>
          <w:rFonts w:cs="Cambria"/>
          <w:color w:val="000000"/>
          <w:spacing w:val="-1"/>
        </w:rPr>
        <w:t>x</w:t>
      </w:r>
      <w:r w:rsidRPr="00AA552A">
        <w:rPr>
          <w:rFonts w:cs="Cambria"/>
          <w:color w:val="000000"/>
          <w:spacing w:val="1"/>
        </w:rPr>
        <w:t>pe</w:t>
      </w:r>
      <w:r w:rsidRPr="00AA552A">
        <w:rPr>
          <w:rFonts w:cs="Cambria"/>
          <w:color w:val="000000"/>
          <w:spacing w:val="-1"/>
        </w:rPr>
        <w:t>r</w:t>
      </w:r>
      <w:r w:rsidRPr="00AA552A">
        <w:rPr>
          <w:rFonts w:cs="Cambria"/>
          <w:color w:val="000000"/>
          <w:spacing w:val="1"/>
        </w:rPr>
        <w:t>i</w:t>
      </w:r>
      <w:r w:rsidRPr="00AA552A">
        <w:rPr>
          <w:rFonts w:cs="Cambria"/>
          <w:color w:val="000000"/>
        </w:rPr>
        <w:t>m</w:t>
      </w:r>
      <w:r w:rsidRPr="00AA552A">
        <w:rPr>
          <w:rFonts w:cs="Cambria"/>
          <w:color w:val="000000"/>
          <w:spacing w:val="1"/>
        </w:rPr>
        <w:t>e</w:t>
      </w:r>
      <w:r w:rsidRPr="00AA552A">
        <w:rPr>
          <w:rFonts w:cs="Cambria"/>
          <w:color w:val="000000"/>
        </w:rPr>
        <w:t>ntal</w:t>
      </w:r>
      <w:r w:rsidRPr="00AA552A">
        <w:rPr>
          <w:rFonts w:cs="Cambria"/>
          <w:color w:val="000000"/>
          <w:spacing w:val="-4"/>
        </w:rPr>
        <w:t xml:space="preserve"> </w:t>
      </w:r>
      <w:r w:rsidRPr="00AA552A">
        <w:rPr>
          <w:rFonts w:cs="Cambria"/>
          <w:color w:val="000000"/>
          <w:spacing w:val="-1"/>
        </w:rPr>
        <w:t>C</w:t>
      </w:r>
      <w:r w:rsidRPr="00AA552A">
        <w:rPr>
          <w:rFonts w:cs="Cambria"/>
          <w:color w:val="000000"/>
        </w:rPr>
        <w:t>los</w:t>
      </w:r>
      <w:r w:rsidRPr="00AA552A">
        <w:rPr>
          <w:rFonts w:cs="Cambria"/>
          <w:color w:val="000000"/>
          <w:spacing w:val="1"/>
        </w:rPr>
        <w:t>e</w:t>
      </w:r>
      <w:r w:rsidRPr="00AA552A">
        <w:rPr>
          <w:rFonts w:cs="Cambria"/>
          <w:color w:val="000000"/>
        </w:rPr>
        <w:t>d</w:t>
      </w:r>
      <w:r w:rsidRPr="00AA552A">
        <w:rPr>
          <w:rFonts w:cs="Cambria"/>
          <w:color w:val="000000"/>
          <w:spacing w:val="-7"/>
        </w:rPr>
        <w:t xml:space="preserve"> </w:t>
      </w:r>
      <w:r w:rsidRPr="00AA552A">
        <w:rPr>
          <w:rFonts w:cs="Cambria"/>
          <w:color w:val="000000"/>
          <w:spacing w:val="-1"/>
        </w:rPr>
        <w:t>Ar</w:t>
      </w:r>
      <w:r w:rsidRPr="00AA552A">
        <w:rPr>
          <w:rFonts w:cs="Cambria"/>
          <w:color w:val="000000"/>
          <w:spacing w:val="1"/>
        </w:rPr>
        <w:t>e</w:t>
      </w:r>
      <w:r w:rsidRPr="00AA552A">
        <w:rPr>
          <w:rFonts w:cs="Cambria"/>
          <w:color w:val="000000"/>
        </w:rPr>
        <w:t>a</w:t>
      </w:r>
      <w:r w:rsidRPr="00AA552A">
        <w:rPr>
          <w:rFonts w:cs="Cambria"/>
          <w:color w:val="000000"/>
          <w:spacing w:val="-2"/>
        </w:rPr>
        <w:t xml:space="preserve"> </w:t>
      </w:r>
      <w:r w:rsidRPr="00AA552A">
        <w:rPr>
          <w:rFonts w:cs="Cambria"/>
          <w:color w:val="000000"/>
          <w:spacing w:val="-1"/>
        </w:rPr>
        <w:t>w</w:t>
      </w:r>
      <w:r w:rsidRPr="00AA552A">
        <w:rPr>
          <w:rFonts w:cs="Cambria"/>
          <w:color w:val="000000"/>
        </w:rPr>
        <w:t>h</w:t>
      </w:r>
      <w:r w:rsidRPr="00AA552A">
        <w:rPr>
          <w:rFonts w:cs="Cambria"/>
          <w:color w:val="000000"/>
          <w:spacing w:val="1"/>
        </w:rPr>
        <w:t>e</w:t>
      </w:r>
      <w:r w:rsidRPr="00AA552A">
        <w:rPr>
          <w:rFonts w:cs="Cambria"/>
          <w:color w:val="000000"/>
          <w:spacing w:val="-1"/>
        </w:rPr>
        <w:t>r</w:t>
      </w:r>
      <w:r w:rsidRPr="00AA552A">
        <w:rPr>
          <w:rFonts w:cs="Cambria"/>
          <w:color w:val="000000"/>
        </w:rPr>
        <w:t>e</w:t>
      </w:r>
      <w:r w:rsidRPr="00AA552A">
        <w:rPr>
          <w:rFonts w:cs="Cambria"/>
          <w:color w:val="000000"/>
          <w:spacing w:val="-4"/>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ha</w:t>
      </w:r>
      <w:r w:rsidRPr="00AA552A">
        <w:rPr>
          <w:rFonts w:cs="Cambria"/>
          <w:color w:val="000000"/>
          <w:spacing w:val="-1"/>
        </w:rPr>
        <w:t>rv</w:t>
      </w:r>
      <w:r w:rsidRPr="00AA552A">
        <w:rPr>
          <w:rFonts w:cs="Cambria"/>
          <w:color w:val="000000"/>
          <w:spacing w:val="1"/>
        </w:rPr>
        <w:t>e</w:t>
      </w:r>
      <w:r w:rsidRPr="00AA552A">
        <w:rPr>
          <w:rFonts w:cs="Cambria"/>
          <w:color w:val="000000"/>
        </w:rPr>
        <w:t>st</w:t>
      </w:r>
      <w:r w:rsidRPr="00AA552A">
        <w:rPr>
          <w:rFonts w:cs="Cambria"/>
          <w:color w:val="000000"/>
          <w:spacing w:val="-6"/>
        </w:rPr>
        <w:t xml:space="preserve"> </w:t>
      </w:r>
      <w:r w:rsidRPr="00AA552A">
        <w:rPr>
          <w:rFonts w:cs="Cambria"/>
          <w:color w:val="000000"/>
        </w:rPr>
        <w:t xml:space="preserve">or </w:t>
      </w:r>
      <w:r w:rsidRPr="00AA552A">
        <w:rPr>
          <w:rFonts w:cs="Cambria"/>
          <w:color w:val="000000"/>
          <w:spacing w:val="1"/>
        </w:rPr>
        <w:t>p</w:t>
      </w:r>
      <w:r w:rsidRPr="00AA552A">
        <w:rPr>
          <w:rFonts w:cs="Cambria"/>
          <w:color w:val="000000"/>
        </w:rPr>
        <w:t>oss</w:t>
      </w:r>
      <w:r w:rsidRPr="00AA552A">
        <w:rPr>
          <w:rFonts w:cs="Cambria"/>
          <w:color w:val="000000"/>
          <w:spacing w:val="1"/>
        </w:rPr>
        <w:t>e</w:t>
      </w:r>
      <w:r w:rsidRPr="00AA552A">
        <w:rPr>
          <w:rFonts w:cs="Cambria"/>
          <w:color w:val="000000"/>
        </w:rPr>
        <w:t>ss</w:t>
      </w:r>
      <w:r w:rsidRPr="00AA552A">
        <w:rPr>
          <w:rFonts w:cs="Cambria"/>
          <w:color w:val="000000"/>
          <w:spacing w:val="1"/>
        </w:rPr>
        <w:t>i</w:t>
      </w:r>
      <w:r w:rsidRPr="00AA552A">
        <w:rPr>
          <w:rFonts w:cs="Cambria"/>
          <w:color w:val="000000"/>
        </w:rPr>
        <w:t>on</w:t>
      </w:r>
      <w:r w:rsidRPr="00AA552A">
        <w:rPr>
          <w:rFonts w:cs="Cambria"/>
          <w:color w:val="000000"/>
          <w:spacing w:val="-8"/>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all s</w:t>
      </w:r>
      <w:r w:rsidRPr="00AA552A">
        <w:rPr>
          <w:rFonts w:cs="Cambria"/>
          <w:color w:val="000000"/>
          <w:spacing w:val="1"/>
        </w:rPr>
        <w:t>pe</w:t>
      </w:r>
      <w:r w:rsidRPr="00AA552A">
        <w:rPr>
          <w:rFonts w:cs="Cambria"/>
          <w:color w:val="000000"/>
        </w:rPr>
        <w:t>c</w:t>
      </w:r>
      <w:r w:rsidRPr="00AA552A">
        <w:rPr>
          <w:rFonts w:cs="Cambria"/>
          <w:color w:val="000000"/>
          <w:spacing w:val="1"/>
        </w:rPr>
        <w:t>ie</w:t>
      </w:r>
      <w:r w:rsidRPr="00AA552A">
        <w:rPr>
          <w:rFonts w:cs="Cambria"/>
          <w:color w:val="000000"/>
        </w:rPr>
        <w:t>s</w:t>
      </w:r>
      <w:r w:rsidRPr="00AA552A">
        <w:rPr>
          <w:rFonts w:cs="Cambria"/>
          <w:color w:val="000000"/>
          <w:spacing w:val="-6"/>
        </w:rPr>
        <w:t xml:space="preserve"> </w:t>
      </w:r>
      <w:r w:rsidRPr="00AA552A">
        <w:rPr>
          <w:rFonts w:cs="Cambria"/>
          <w:color w:val="000000"/>
          <w:spacing w:val="1"/>
        </w:rPr>
        <w:t>i</w:t>
      </w:r>
      <w:r w:rsidRPr="00AA552A">
        <w:rPr>
          <w:rFonts w:cs="Cambria"/>
          <w:color w:val="000000"/>
        </w:rPr>
        <w:t>n</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sna</w:t>
      </w:r>
      <w:r w:rsidRPr="00AA552A">
        <w:rPr>
          <w:rFonts w:cs="Cambria"/>
          <w:color w:val="000000"/>
          <w:spacing w:val="-1"/>
        </w:rPr>
        <w:t>p</w:t>
      </w:r>
      <w:r w:rsidRPr="00AA552A">
        <w:rPr>
          <w:rFonts w:cs="Cambria"/>
          <w:color w:val="000000"/>
          <w:spacing w:val="1"/>
        </w:rPr>
        <w:t>pe</w:t>
      </w:r>
      <w:r w:rsidRPr="00AA552A">
        <w:rPr>
          <w:rFonts w:cs="Cambria"/>
          <w:color w:val="000000"/>
        </w:rPr>
        <w:t>r</w:t>
      </w:r>
      <w:r w:rsidRPr="00AA552A">
        <w:rPr>
          <w:rFonts w:cs="Cambria"/>
          <w:color w:val="000000"/>
          <w:spacing w:val="-4"/>
        </w:rPr>
        <w:t xml:space="preserve"> </w:t>
      </w:r>
      <w:r w:rsidRPr="00AA552A">
        <w:rPr>
          <w:rFonts w:cs="Cambria"/>
          <w:color w:val="000000"/>
          <w:spacing w:val="-1"/>
        </w:rPr>
        <w:t>gr</w:t>
      </w:r>
      <w:r w:rsidRPr="00AA552A">
        <w:rPr>
          <w:rFonts w:cs="Cambria"/>
          <w:color w:val="000000"/>
        </w:rPr>
        <w:t>o</w:t>
      </w:r>
      <w:r w:rsidRPr="00AA552A">
        <w:rPr>
          <w:rFonts w:cs="Cambria"/>
          <w:color w:val="000000"/>
          <w:spacing w:val="-1"/>
        </w:rPr>
        <w:t>u</w:t>
      </w:r>
      <w:r w:rsidRPr="00AA552A">
        <w:rPr>
          <w:rFonts w:cs="Cambria"/>
          <w:color w:val="000000"/>
          <w:spacing w:val="1"/>
        </w:rPr>
        <w:t>pe</w:t>
      </w:r>
      <w:r w:rsidRPr="00AA552A">
        <w:rPr>
          <w:rFonts w:cs="Cambria"/>
          <w:color w:val="000000"/>
        </w:rPr>
        <w:t>r</w:t>
      </w:r>
      <w:r w:rsidRPr="00AA552A">
        <w:rPr>
          <w:rFonts w:cs="Cambria"/>
          <w:color w:val="000000"/>
          <w:spacing w:val="-5"/>
        </w:rPr>
        <w:t xml:space="preserve"> </w:t>
      </w:r>
      <w:r w:rsidRPr="00AA552A">
        <w:rPr>
          <w:rFonts w:cs="Cambria"/>
          <w:color w:val="000000"/>
        </w:rPr>
        <w:t>com</w:t>
      </w:r>
      <w:r w:rsidRPr="00AA552A">
        <w:rPr>
          <w:rFonts w:cs="Cambria"/>
          <w:color w:val="000000"/>
          <w:spacing w:val="1"/>
        </w:rPr>
        <w:t>p</w:t>
      </w:r>
      <w:r w:rsidRPr="00AA552A">
        <w:rPr>
          <w:rFonts w:cs="Cambria"/>
          <w:color w:val="000000"/>
        </w:rPr>
        <w:t>l</w:t>
      </w:r>
      <w:r w:rsidRPr="00AA552A">
        <w:rPr>
          <w:rFonts w:cs="Cambria"/>
          <w:color w:val="000000"/>
          <w:spacing w:val="1"/>
        </w:rPr>
        <w:t>e</w:t>
      </w:r>
      <w:r w:rsidRPr="00AA552A">
        <w:rPr>
          <w:rFonts w:cs="Cambria"/>
          <w:color w:val="000000"/>
        </w:rPr>
        <w:t>x</w:t>
      </w:r>
      <w:r w:rsidRPr="00AA552A">
        <w:rPr>
          <w:rFonts w:cs="Cambria"/>
          <w:color w:val="000000"/>
          <w:spacing w:val="-4"/>
        </w:rPr>
        <w:t xml:space="preserve"> </w:t>
      </w:r>
      <w:r w:rsidRPr="00AA552A">
        <w:rPr>
          <w:rFonts w:cs="Cambria"/>
          <w:color w:val="000000"/>
          <w:spacing w:val="1"/>
        </w:rPr>
        <w:t>i</w:t>
      </w:r>
      <w:r w:rsidRPr="00AA552A">
        <w:rPr>
          <w:rFonts w:cs="Cambria"/>
          <w:color w:val="000000"/>
        </w:rPr>
        <w:t>s</w:t>
      </w:r>
      <w:r w:rsidRPr="00AA552A">
        <w:rPr>
          <w:rFonts w:cs="Cambria"/>
          <w:color w:val="000000"/>
          <w:spacing w:val="-2"/>
        </w:rPr>
        <w:t xml:space="preserve"> </w:t>
      </w:r>
      <w:r w:rsidRPr="00AA552A">
        <w:rPr>
          <w:rFonts w:cs="Cambria"/>
          <w:color w:val="000000"/>
          <w:spacing w:val="1"/>
        </w:rPr>
        <w:t>p</w:t>
      </w:r>
      <w:r w:rsidRPr="00AA552A">
        <w:rPr>
          <w:rFonts w:cs="Cambria"/>
          <w:color w:val="000000"/>
          <w:spacing w:val="-1"/>
        </w:rPr>
        <w:t>r</w:t>
      </w:r>
      <w:r w:rsidRPr="00AA552A">
        <w:rPr>
          <w:rFonts w:cs="Cambria"/>
          <w:color w:val="000000"/>
        </w:rPr>
        <w:t>o</w:t>
      </w:r>
      <w:r w:rsidRPr="00AA552A">
        <w:rPr>
          <w:rFonts w:cs="Cambria"/>
          <w:color w:val="000000"/>
          <w:spacing w:val="2"/>
        </w:rPr>
        <w:t>h</w:t>
      </w:r>
      <w:r w:rsidRPr="00AA552A">
        <w:rPr>
          <w:rFonts w:cs="Cambria"/>
          <w:color w:val="000000"/>
          <w:spacing w:val="1"/>
        </w:rPr>
        <w:t>ibi</w:t>
      </w:r>
      <w:r w:rsidRPr="00AA552A">
        <w:rPr>
          <w:rFonts w:cs="Cambria"/>
          <w:color w:val="000000"/>
        </w:rPr>
        <w:t>t</w:t>
      </w:r>
      <w:r w:rsidRPr="00AA552A">
        <w:rPr>
          <w:rFonts w:cs="Cambria"/>
          <w:color w:val="000000"/>
          <w:spacing w:val="1"/>
        </w:rPr>
        <w:t>e</w:t>
      </w:r>
      <w:r w:rsidRPr="00AA552A">
        <w:rPr>
          <w:rFonts w:cs="Cambria"/>
          <w:color w:val="000000"/>
        </w:rPr>
        <w:t>d</w:t>
      </w:r>
      <w:r>
        <w:rPr>
          <w:rFonts w:cs="Cambria"/>
          <w:color w:val="000000"/>
        </w:rPr>
        <w:t>.</w:t>
      </w:r>
    </w:p>
    <w:p w14:paraId="3E5320F7" w14:textId="77777777" w:rsidR="00DC4922" w:rsidRDefault="00DC4922" w:rsidP="00DC4922">
      <w:pPr>
        <w:rPr>
          <w:rFonts w:cs="Cambria"/>
          <w:color w:val="000000"/>
        </w:rPr>
      </w:pPr>
      <w:r>
        <w:rPr>
          <w:rFonts w:cs="Cambria"/>
          <w:color w:val="000000"/>
        </w:rPr>
        <w:t xml:space="preserve">Established </w:t>
      </w:r>
      <w:r w:rsidRPr="00AA552A">
        <w:rPr>
          <w:rFonts w:cs="Cambria"/>
          <w:color w:val="000000"/>
          <w:spacing w:val="-1"/>
        </w:rPr>
        <w:t>d</w:t>
      </w:r>
      <w:r w:rsidRPr="00AA552A">
        <w:rPr>
          <w:rFonts w:cs="Cambria"/>
          <w:color w:val="000000"/>
          <w:spacing w:val="1"/>
        </w:rPr>
        <w:t>eep</w:t>
      </w:r>
      <w:r w:rsidRPr="00AA552A">
        <w:rPr>
          <w:rFonts w:cs="Cambria"/>
          <w:color w:val="000000"/>
          <w:spacing w:val="-1"/>
        </w:rPr>
        <w:t>w</w:t>
      </w:r>
      <w:r w:rsidRPr="00AA552A">
        <w:rPr>
          <w:rFonts w:cs="Cambria"/>
          <w:color w:val="000000"/>
        </w:rPr>
        <w:t>at</w:t>
      </w:r>
      <w:r w:rsidRPr="00AA552A">
        <w:rPr>
          <w:rFonts w:cs="Cambria"/>
          <w:color w:val="000000"/>
          <w:spacing w:val="1"/>
        </w:rPr>
        <w:t>e</w:t>
      </w:r>
      <w:r w:rsidRPr="00AA552A">
        <w:rPr>
          <w:rFonts w:cs="Cambria"/>
          <w:color w:val="000000"/>
        </w:rPr>
        <w:t>r</w:t>
      </w:r>
      <w:r w:rsidRPr="00AA552A">
        <w:rPr>
          <w:rFonts w:cs="Cambria"/>
          <w:color w:val="000000"/>
          <w:spacing w:val="-7"/>
        </w:rPr>
        <w:t xml:space="preserve"> </w:t>
      </w:r>
      <w:r w:rsidRPr="00AA552A">
        <w:rPr>
          <w:rFonts w:cs="Cambria"/>
          <w:color w:val="000000"/>
          <w:spacing w:val="1"/>
        </w:rPr>
        <w:t>M</w:t>
      </w:r>
      <w:r w:rsidRPr="00AA552A">
        <w:rPr>
          <w:rFonts w:cs="Cambria"/>
          <w:color w:val="000000"/>
        </w:rPr>
        <w:t>a</w:t>
      </w:r>
      <w:r w:rsidRPr="00AA552A">
        <w:rPr>
          <w:rFonts w:cs="Cambria"/>
          <w:color w:val="000000"/>
          <w:spacing w:val="-1"/>
        </w:rPr>
        <w:t>r</w:t>
      </w:r>
      <w:r w:rsidRPr="00AA552A">
        <w:rPr>
          <w:rFonts w:cs="Cambria"/>
          <w:color w:val="000000"/>
          <w:spacing w:val="1"/>
        </w:rPr>
        <w:t>i</w:t>
      </w:r>
      <w:r w:rsidRPr="00AA552A">
        <w:rPr>
          <w:rFonts w:cs="Cambria"/>
          <w:color w:val="000000"/>
        </w:rPr>
        <w:t>ne</w:t>
      </w:r>
      <w:r w:rsidRPr="00AA552A">
        <w:rPr>
          <w:rFonts w:cs="Cambria"/>
          <w:color w:val="000000"/>
          <w:spacing w:val="-2"/>
        </w:rPr>
        <w:t xml:space="preserve"> </w:t>
      </w:r>
      <w:r w:rsidRPr="00AA552A">
        <w:rPr>
          <w:rFonts w:cs="Cambria"/>
          <w:color w:val="000000"/>
          <w:spacing w:val="1"/>
        </w:rPr>
        <w:t>P</w:t>
      </w:r>
      <w:r w:rsidRPr="00AA552A">
        <w:rPr>
          <w:rFonts w:cs="Cambria"/>
          <w:color w:val="000000"/>
          <w:spacing w:val="-1"/>
        </w:rPr>
        <w:t>r</w:t>
      </w:r>
      <w:r w:rsidRPr="00AA552A">
        <w:rPr>
          <w:rFonts w:cs="Cambria"/>
          <w:color w:val="000000"/>
        </w:rPr>
        <w:t>o</w:t>
      </w:r>
      <w:r w:rsidRPr="00AA552A">
        <w:rPr>
          <w:rFonts w:cs="Cambria"/>
          <w:color w:val="000000"/>
          <w:spacing w:val="-2"/>
        </w:rPr>
        <w:t>t</w:t>
      </w:r>
      <w:r w:rsidRPr="00AA552A">
        <w:rPr>
          <w:rFonts w:cs="Cambria"/>
          <w:color w:val="000000"/>
          <w:spacing w:val="1"/>
        </w:rPr>
        <w:t>e</w:t>
      </w:r>
      <w:r w:rsidRPr="00AA552A">
        <w:rPr>
          <w:rFonts w:cs="Cambria"/>
          <w:color w:val="000000"/>
        </w:rPr>
        <w:t>ct</w:t>
      </w:r>
      <w:r w:rsidRPr="00AA552A">
        <w:rPr>
          <w:rFonts w:cs="Cambria"/>
          <w:color w:val="000000"/>
          <w:spacing w:val="1"/>
        </w:rPr>
        <w:t>e</w:t>
      </w:r>
      <w:r w:rsidRPr="00AA552A">
        <w:rPr>
          <w:rFonts w:cs="Cambria"/>
          <w:color w:val="000000"/>
        </w:rPr>
        <w:t xml:space="preserve">d </w:t>
      </w:r>
      <w:r w:rsidRPr="00AA552A">
        <w:rPr>
          <w:rFonts w:cs="Cambria"/>
          <w:color w:val="000000"/>
          <w:spacing w:val="-1"/>
        </w:rPr>
        <w:t>Ar</w:t>
      </w:r>
      <w:r w:rsidRPr="00AA552A">
        <w:rPr>
          <w:rFonts w:cs="Cambria"/>
          <w:color w:val="000000"/>
          <w:spacing w:val="1"/>
        </w:rPr>
        <w:t>e</w:t>
      </w:r>
      <w:r w:rsidRPr="00AA552A">
        <w:rPr>
          <w:rFonts w:cs="Cambria"/>
          <w:color w:val="000000"/>
        </w:rPr>
        <w:t>as</w:t>
      </w:r>
      <w:r w:rsidRPr="00AA552A">
        <w:rPr>
          <w:rFonts w:cs="Cambria"/>
          <w:color w:val="000000"/>
          <w:spacing w:val="-3"/>
        </w:rPr>
        <w:t xml:space="preserve"> </w:t>
      </w:r>
      <w:r w:rsidRPr="00AA552A">
        <w:rPr>
          <w:rFonts w:cs="Cambria"/>
          <w:color w:val="000000"/>
        </w:rPr>
        <w:t>(</w:t>
      </w:r>
      <w:r w:rsidRPr="00AA552A">
        <w:rPr>
          <w:rFonts w:cs="Cambria"/>
          <w:color w:val="000000"/>
          <w:spacing w:val="1"/>
        </w:rPr>
        <w:t>MP</w:t>
      </w:r>
      <w:r w:rsidRPr="00AA552A">
        <w:rPr>
          <w:rFonts w:cs="Cambria"/>
          <w:color w:val="000000"/>
          <w:spacing w:val="-1"/>
        </w:rPr>
        <w:t>A</w:t>
      </w:r>
      <w:r w:rsidRPr="00AA552A">
        <w:rPr>
          <w:rFonts w:cs="Cambria"/>
          <w:color w:val="000000"/>
        </w:rPr>
        <w:t>s)</w:t>
      </w:r>
      <w:r w:rsidRPr="00AA552A">
        <w:rPr>
          <w:rFonts w:cs="Cambria"/>
          <w:color w:val="000000"/>
          <w:spacing w:val="-3"/>
        </w:rPr>
        <w:t xml:space="preserve"> </w:t>
      </w:r>
      <w:r w:rsidRPr="00AA552A">
        <w:rPr>
          <w:rFonts w:cs="Cambria"/>
          <w:color w:val="000000"/>
        </w:rPr>
        <w:t>as</w:t>
      </w:r>
      <w:r w:rsidRPr="00AA552A">
        <w:rPr>
          <w:rFonts w:cs="Cambria"/>
          <w:color w:val="000000"/>
          <w:spacing w:val="-1"/>
        </w:rPr>
        <w:t xml:space="preserve"> d</w:t>
      </w:r>
      <w:r w:rsidRPr="00AA552A">
        <w:rPr>
          <w:rFonts w:cs="Cambria"/>
          <w:color w:val="000000"/>
          <w:spacing w:val="1"/>
        </w:rPr>
        <w:t>e</w:t>
      </w:r>
      <w:r w:rsidRPr="00AA552A">
        <w:rPr>
          <w:rFonts w:cs="Cambria"/>
          <w:color w:val="000000"/>
        </w:rPr>
        <w:t>s</w:t>
      </w:r>
      <w:r w:rsidRPr="00AA552A">
        <w:rPr>
          <w:rFonts w:cs="Cambria"/>
          <w:color w:val="000000"/>
          <w:spacing w:val="1"/>
        </w:rPr>
        <w:t>i</w:t>
      </w:r>
      <w:r w:rsidRPr="00AA552A">
        <w:rPr>
          <w:rFonts w:cs="Cambria"/>
          <w:color w:val="000000"/>
          <w:spacing w:val="-1"/>
        </w:rPr>
        <w:t>g</w:t>
      </w:r>
      <w:r w:rsidRPr="00AA552A">
        <w:rPr>
          <w:rFonts w:cs="Cambria"/>
          <w:color w:val="000000"/>
        </w:rPr>
        <w:t>nat</w:t>
      </w:r>
      <w:r w:rsidRPr="00AA552A">
        <w:rPr>
          <w:rFonts w:cs="Cambria"/>
          <w:color w:val="000000"/>
          <w:spacing w:val="1"/>
        </w:rPr>
        <w:t>e</w:t>
      </w:r>
      <w:r w:rsidRPr="00AA552A">
        <w:rPr>
          <w:rFonts w:cs="Cambria"/>
          <w:color w:val="000000"/>
        </w:rPr>
        <w:t>d</w:t>
      </w:r>
      <w:r w:rsidRPr="00AA552A">
        <w:rPr>
          <w:rFonts w:cs="Cambria"/>
          <w:color w:val="000000"/>
          <w:spacing w:val="-8"/>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spacing w:val="1"/>
        </w:rPr>
        <w:t>S</w:t>
      </w:r>
      <w:r w:rsidRPr="00AA552A">
        <w:rPr>
          <w:rFonts w:cs="Cambria"/>
          <w:color w:val="000000"/>
        </w:rPr>
        <w:t>n</w:t>
      </w:r>
      <w:r w:rsidRPr="00AA552A">
        <w:rPr>
          <w:rFonts w:cs="Cambria"/>
          <w:color w:val="000000"/>
          <w:spacing w:val="-2"/>
        </w:rPr>
        <w:t>a</w:t>
      </w:r>
      <w:r w:rsidRPr="00AA552A">
        <w:rPr>
          <w:rFonts w:cs="Cambria"/>
          <w:color w:val="000000"/>
          <w:spacing w:val="1"/>
        </w:rPr>
        <w:t>ppe</w:t>
      </w:r>
      <w:r w:rsidRPr="00AA552A">
        <w:rPr>
          <w:rFonts w:cs="Cambria"/>
          <w:color w:val="000000"/>
        </w:rPr>
        <w:t>r</w:t>
      </w:r>
      <w:r w:rsidRPr="00AA552A">
        <w:rPr>
          <w:rFonts w:cs="Cambria"/>
          <w:color w:val="000000"/>
          <w:spacing w:val="-3"/>
        </w:rPr>
        <w:t xml:space="preserve"> </w:t>
      </w:r>
      <w:r w:rsidRPr="00AA552A">
        <w:rPr>
          <w:rFonts w:cs="Cambria"/>
          <w:color w:val="000000"/>
        </w:rPr>
        <w:t>G</w:t>
      </w:r>
      <w:r w:rsidRPr="00AA552A">
        <w:rPr>
          <w:rFonts w:cs="Cambria"/>
          <w:color w:val="000000"/>
          <w:spacing w:val="-1"/>
        </w:rPr>
        <w:t>r</w:t>
      </w:r>
      <w:r w:rsidRPr="00AA552A">
        <w:rPr>
          <w:rFonts w:cs="Cambria"/>
          <w:color w:val="000000"/>
        </w:rPr>
        <w:t>ou</w:t>
      </w:r>
      <w:r w:rsidRPr="00AA552A">
        <w:rPr>
          <w:rFonts w:cs="Cambria"/>
          <w:color w:val="000000"/>
          <w:spacing w:val="1"/>
        </w:rPr>
        <w:t>p</w:t>
      </w:r>
      <w:r w:rsidRPr="00AA552A">
        <w:rPr>
          <w:rFonts w:cs="Cambria"/>
          <w:color w:val="000000"/>
          <w:spacing w:val="-2"/>
        </w:rPr>
        <w:t>e</w:t>
      </w:r>
      <w:r w:rsidRPr="00AA552A">
        <w:rPr>
          <w:rFonts w:cs="Cambria"/>
          <w:color w:val="000000"/>
        </w:rPr>
        <w:t>r</w:t>
      </w:r>
      <w:r w:rsidRPr="00AA552A">
        <w:rPr>
          <w:rFonts w:cs="Cambria"/>
          <w:color w:val="000000"/>
          <w:spacing w:val="-7"/>
        </w:rPr>
        <w:t xml:space="preserve"> </w:t>
      </w:r>
      <w:r w:rsidRPr="00AA552A">
        <w:rPr>
          <w:rFonts w:cs="Cambria"/>
          <w:color w:val="000000"/>
          <w:spacing w:val="-1"/>
        </w:rPr>
        <w:t>A</w:t>
      </w:r>
      <w:r w:rsidRPr="00AA552A">
        <w:rPr>
          <w:rFonts w:cs="Cambria"/>
          <w:color w:val="000000"/>
        </w:rPr>
        <w:t>m</w:t>
      </w:r>
      <w:r w:rsidRPr="00AA552A">
        <w:rPr>
          <w:rFonts w:cs="Cambria"/>
          <w:color w:val="000000"/>
          <w:spacing w:val="1"/>
        </w:rPr>
        <w:t>e</w:t>
      </w:r>
      <w:r w:rsidRPr="00AA552A">
        <w:rPr>
          <w:rFonts w:cs="Cambria"/>
          <w:color w:val="000000"/>
        </w:rPr>
        <w:t>n</w:t>
      </w:r>
      <w:r w:rsidRPr="00AA552A">
        <w:rPr>
          <w:rFonts w:cs="Cambria"/>
          <w:color w:val="000000"/>
          <w:spacing w:val="-1"/>
        </w:rPr>
        <w:t>d</w:t>
      </w:r>
      <w:r w:rsidRPr="00AA552A">
        <w:rPr>
          <w:rFonts w:cs="Cambria"/>
          <w:color w:val="000000"/>
        </w:rPr>
        <w:t>m</w:t>
      </w:r>
      <w:r w:rsidRPr="00AA552A">
        <w:rPr>
          <w:rFonts w:cs="Cambria"/>
          <w:color w:val="000000"/>
          <w:spacing w:val="1"/>
        </w:rPr>
        <w:t>e</w:t>
      </w:r>
      <w:r w:rsidRPr="00AA552A">
        <w:rPr>
          <w:rFonts w:cs="Cambria"/>
          <w:color w:val="000000"/>
        </w:rPr>
        <w:t>nt</w:t>
      </w:r>
      <w:r w:rsidRPr="00AA552A">
        <w:rPr>
          <w:rFonts w:cs="Cambria"/>
          <w:color w:val="000000"/>
          <w:spacing w:val="-8"/>
        </w:rPr>
        <w:t xml:space="preserve"> </w:t>
      </w:r>
      <w:r w:rsidRPr="00AA552A">
        <w:rPr>
          <w:rFonts w:cs="Cambria"/>
          <w:color w:val="000000"/>
          <w:spacing w:val="-1"/>
        </w:rPr>
        <w:t>1</w:t>
      </w:r>
      <w:r w:rsidRPr="00AA552A">
        <w:rPr>
          <w:rFonts w:cs="Cambria"/>
          <w:color w:val="000000"/>
          <w:spacing w:val="2"/>
        </w:rPr>
        <w:t>4</w:t>
      </w:r>
      <w:r>
        <w:rPr>
          <w:rFonts w:cs="Cambria"/>
          <w:color w:val="000000"/>
        </w:rPr>
        <w:t>:</w:t>
      </w:r>
      <w:r w:rsidRPr="00AA552A">
        <w:rPr>
          <w:rFonts w:cs="Cambria"/>
          <w:color w:val="000000"/>
          <w:spacing w:val="-4"/>
        </w:rPr>
        <w:t xml:space="preserve"> </w:t>
      </w:r>
      <w:r w:rsidRPr="00AA552A">
        <w:rPr>
          <w:rFonts w:cs="Cambria"/>
          <w:color w:val="000000"/>
          <w:spacing w:val="1"/>
        </w:rPr>
        <w:t>S</w:t>
      </w:r>
      <w:r w:rsidRPr="00AA552A">
        <w:rPr>
          <w:rFonts w:cs="Cambria"/>
          <w:color w:val="000000"/>
        </w:rPr>
        <w:t>no</w:t>
      </w:r>
      <w:r w:rsidRPr="00AA552A">
        <w:rPr>
          <w:rFonts w:cs="Cambria"/>
          <w:color w:val="000000"/>
          <w:spacing w:val="1"/>
        </w:rPr>
        <w:t>w</w:t>
      </w:r>
      <w:r w:rsidRPr="00AA552A">
        <w:rPr>
          <w:rFonts w:cs="Cambria"/>
          <w:color w:val="000000"/>
        </w:rPr>
        <w:t>y</w:t>
      </w:r>
      <w:r w:rsidRPr="00AA552A">
        <w:rPr>
          <w:rFonts w:cs="Cambria"/>
          <w:color w:val="000000"/>
          <w:spacing w:val="-3"/>
        </w:rPr>
        <w:t xml:space="preserve"> </w:t>
      </w:r>
      <w:r w:rsidRPr="00AA552A">
        <w:rPr>
          <w:rFonts w:cs="Cambria"/>
          <w:color w:val="000000"/>
        </w:rPr>
        <w:t>G</w:t>
      </w:r>
      <w:r w:rsidRPr="00AA552A">
        <w:rPr>
          <w:rFonts w:cs="Cambria"/>
          <w:color w:val="000000"/>
          <w:spacing w:val="-1"/>
        </w:rPr>
        <w:t>r</w:t>
      </w:r>
      <w:r w:rsidRPr="00AA552A">
        <w:rPr>
          <w:rFonts w:cs="Cambria"/>
          <w:color w:val="000000"/>
        </w:rPr>
        <w:t>ou</w:t>
      </w:r>
      <w:r w:rsidRPr="00AA552A">
        <w:rPr>
          <w:rFonts w:cs="Cambria"/>
          <w:color w:val="000000"/>
          <w:spacing w:val="1"/>
        </w:rPr>
        <w:t>pe</w:t>
      </w:r>
      <w:r w:rsidRPr="00AA552A">
        <w:rPr>
          <w:rFonts w:cs="Cambria"/>
          <w:color w:val="000000"/>
        </w:rPr>
        <w:t>r</w:t>
      </w:r>
      <w:r w:rsidRPr="00AA552A">
        <w:rPr>
          <w:rFonts w:cs="Cambria"/>
          <w:color w:val="000000"/>
          <w:spacing w:val="-7"/>
        </w:rPr>
        <w:t xml:space="preserve"> </w:t>
      </w:r>
      <w:r w:rsidRPr="00AA552A">
        <w:rPr>
          <w:rFonts w:cs="Cambria"/>
          <w:color w:val="000000"/>
        </w:rPr>
        <w:t>W</w:t>
      </w:r>
      <w:r w:rsidRPr="00AA552A">
        <w:rPr>
          <w:rFonts w:cs="Cambria"/>
          <w:color w:val="000000"/>
          <w:spacing w:val="-1"/>
        </w:rPr>
        <w:t>r</w:t>
      </w:r>
      <w:r w:rsidRPr="00AA552A">
        <w:rPr>
          <w:rFonts w:cs="Cambria"/>
          <w:color w:val="000000"/>
          <w:spacing w:val="1"/>
        </w:rPr>
        <w:t>e</w:t>
      </w:r>
      <w:r w:rsidRPr="00AA552A">
        <w:rPr>
          <w:rFonts w:cs="Cambria"/>
          <w:color w:val="000000"/>
          <w:spacing w:val="2"/>
        </w:rPr>
        <w:t>c</w:t>
      </w:r>
      <w:r w:rsidRPr="00AA552A">
        <w:rPr>
          <w:rFonts w:cs="Cambria"/>
          <w:color w:val="000000"/>
        </w:rPr>
        <w:t>k</w:t>
      </w:r>
      <w:r w:rsidRPr="00AA552A">
        <w:rPr>
          <w:rFonts w:cs="Cambria"/>
          <w:color w:val="000000"/>
          <w:spacing w:val="-4"/>
        </w:rPr>
        <w:t xml:space="preserve"> </w:t>
      </w:r>
      <w:r w:rsidRPr="00AA552A">
        <w:rPr>
          <w:rFonts w:cs="Cambria"/>
          <w:color w:val="000000"/>
          <w:spacing w:val="1"/>
        </w:rPr>
        <w:t>MP</w:t>
      </w:r>
      <w:r w:rsidRPr="00AA552A">
        <w:rPr>
          <w:rFonts w:cs="Cambria"/>
          <w:color w:val="000000"/>
          <w:spacing w:val="-1"/>
        </w:rPr>
        <w:t>A</w:t>
      </w:r>
      <w:r w:rsidRPr="00AA552A">
        <w:rPr>
          <w:rFonts w:cs="Cambria"/>
          <w:color w:val="000000"/>
        </w:rPr>
        <w:t>, No</w:t>
      </w:r>
      <w:r w:rsidRPr="00AA552A">
        <w:rPr>
          <w:rFonts w:cs="Cambria"/>
          <w:color w:val="000000"/>
          <w:spacing w:val="-1"/>
        </w:rPr>
        <w:t>r</w:t>
      </w:r>
      <w:r w:rsidRPr="00AA552A">
        <w:rPr>
          <w:rFonts w:cs="Cambria"/>
          <w:color w:val="000000"/>
        </w:rPr>
        <w:t>th</w:t>
      </w:r>
      <w:r w:rsidRPr="00AA552A">
        <w:rPr>
          <w:rFonts w:cs="Cambria"/>
          <w:color w:val="000000"/>
          <w:spacing w:val="1"/>
        </w:rPr>
        <w:t>e</w:t>
      </w:r>
      <w:r w:rsidRPr="00AA552A">
        <w:rPr>
          <w:rFonts w:cs="Cambria"/>
          <w:color w:val="000000"/>
          <w:spacing w:val="-1"/>
        </w:rPr>
        <w:t>r</w:t>
      </w:r>
      <w:r w:rsidRPr="00AA552A">
        <w:rPr>
          <w:rFonts w:cs="Cambria"/>
          <w:color w:val="000000"/>
        </w:rPr>
        <w:t>n</w:t>
      </w:r>
      <w:r w:rsidRPr="00AA552A">
        <w:rPr>
          <w:rFonts w:cs="Cambria"/>
          <w:color w:val="000000"/>
          <w:spacing w:val="-7"/>
        </w:rPr>
        <w:t xml:space="preserve"> </w:t>
      </w:r>
      <w:r w:rsidRPr="00AA552A">
        <w:rPr>
          <w:rFonts w:cs="Cambria"/>
          <w:color w:val="000000"/>
          <w:spacing w:val="1"/>
        </w:rPr>
        <w:t>S</w:t>
      </w:r>
      <w:r w:rsidRPr="00AA552A">
        <w:rPr>
          <w:rFonts w:cs="Cambria"/>
          <w:color w:val="000000"/>
        </w:rPr>
        <w:t>o</w:t>
      </w:r>
      <w:r w:rsidRPr="00AA552A">
        <w:rPr>
          <w:rFonts w:cs="Cambria"/>
          <w:color w:val="000000"/>
          <w:spacing w:val="-1"/>
        </w:rPr>
        <w:t>u</w:t>
      </w:r>
      <w:r w:rsidRPr="00AA552A">
        <w:rPr>
          <w:rFonts w:cs="Cambria"/>
          <w:color w:val="000000"/>
        </w:rPr>
        <w:t>th</w:t>
      </w:r>
      <w:r w:rsidRPr="00AA552A">
        <w:rPr>
          <w:rFonts w:cs="Cambria"/>
          <w:color w:val="000000"/>
          <w:spacing w:val="-3"/>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rPr>
        <w:t>ol</w:t>
      </w:r>
      <w:r w:rsidRPr="00AA552A">
        <w:rPr>
          <w:rFonts w:cs="Cambria"/>
          <w:color w:val="000000"/>
          <w:spacing w:val="1"/>
        </w:rPr>
        <w:t>i</w:t>
      </w:r>
      <w:r w:rsidRPr="00AA552A">
        <w:rPr>
          <w:rFonts w:cs="Cambria"/>
          <w:color w:val="000000"/>
          <w:spacing w:val="3"/>
        </w:rPr>
        <w:t>n</w:t>
      </w:r>
      <w:r w:rsidRPr="00AA552A">
        <w:rPr>
          <w:rFonts w:cs="Cambria"/>
          <w:color w:val="000000"/>
        </w:rPr>
        <w:t>a</w:t>
      </w:r>
      <w:r w:rsidRPr="00AA552A">
        <w:rPr>
          <w:rFonts w:cs="Cambria"/>
          <w:color w:val="000000"/>
          <w:spacing w:val="-4"/>
        </w:rPr>
        <w:t xml:space="preserve"> </w:t>
      </w:r>
      <w:r w:rsidRPr="00AA552A">
        <w:rPr>
          <w:rFonts w:cs="Cambria"/>
          <w:color w:val="000000"/>
          <w:spacing w:val="1"/>
        </w:rPr>
        <w:t>MP</w:t>
      </w:r>
      <w:r w:rsidRPr="00AA552A">
        <w:rPr>
          <w:rFonts w:cs="Cambria"/>
          <w:color w:val="000000"/>
          <w:spacing w:val="-1"/>
        </w:rPr>
        <w:t>A</w:t>
      </w:r>
      <w:r w:rsidRPr="00AA552A">
        <w:rPr>
          <w:rFonts w:cs="Cambria"/>
          <w:color w:val="000000"/>
        </w:rPr>
        <w:t xml:space="preserve">, </w:t>
      </w:r>
      <w:r w:rsidRPr="00AA552A">
        <w:rPr>
          <w:rFonts w:cs="Cambria"/>
          <w:color w:val="000000"/>
          <w:spacing w:val="1"/>
        </w:rPr>
        <w:t>E</w:t>
      </w:r>
      <w:r w:rsidRPr="00AA552A">
        <w:rPr>
          <w:rFonts w:cs="Cambria"/>
          <w:color w:val="000000"/>
          <w:spacing w:val="-1"/>
        </w:rPr>
        <w:t>d</w:t>
      </w:r>
      <w:r w:rsidRPr="00AA552A">
        <w:rPr>
          <w:rFonts w:cs="Cambria"/>
          <w:color w:val="000000"/>
          <w:spacing w:val="1"/>
        </w:rPr>
        <w:t>i</w:t>
      </w:r>
      <w:r w:rsidRPr="00AA552A">
        <w:rPr>
          <w:rFonts w:cs="Cambria"/>
          <w:color w:val="000000"/>
        </w:rPr>
        <w:t>sto</w:t>
      </w:r>
      <w:r w:rsidRPr="00AA552A">
        <w:rPr>
          <w:rFonts w:cs="Cambria"/>
          <w:color w:val="000000"/>
          <w:spacing w:val="-7"/>
        </w:rPr>
        <w:t xml:space="preserve"> </w:t>
      </w:r>
      <w:r w:rsidRPr="00AA552A">
        <w:rPr>
          <w:rFonts w:cs="Cambria"/>
          <w:color w:val="000000"/>
          <w:spacing w:val="1"/>
        </w:rPr>
        <w:t>MP</w:t>
      </w:r>
      <w:r w:rsidRPr="00AA552A">
        <w:rPr>
          <w:rFonts w:cs="Cambria"/>
          <w:color w:val="000000"/>
          <w:spacing w:val="-1"/>
        </w:rPr>
        <w:t>A</w:t>
      </w:r>
      <w:r w:rsidRPr="00AA552A">
        <w:rPr>
          <w:rFonts w:cs="Cambria"/>
          <w:color w:val="000000"/>
        </w:rPr>
        <w:t xml:space="preserve">, </w:t>
      </w:r>
      <w:r w:rsidRPr="00AA552A">
        <w:rPr>
          <w:rFonts w:cs="Cambria"/>
          <w:color w:val="000000"/>
          <w:spacing w:val="-1"/>
        </w:rPr>
        <w:t>C</w:t>
      </w:r>
      <w:r w:rsidRPr="00AA552A">
        <w:rPr>
          <w:rFonts w:cs="Cambria"/>
          <w:color w:val="000000"/>
        </w:rPr>
        <w:t>h</w:t>
      </w:r>
      <w:r w:rsidRPr="00AA552A">
        <w:rPr>
          <w:rFonts w:cs="Cambria"/>
          <w:color w:val="000000"/>
          <w:spacing w:val="-2"/>
        </w:rPr>
        <w:t>a</w:t>
      </w:r>
      <w:r w:rsidRPr="00AA552A">
        <w:rPr>
          <w:rFonts w:cs="Cambria"/>
          <w:color w:val="000000"/>
          <w:spacing w:val="-1"/>
        </w:rPr>
        <w:t>r</w:t>
      </w:r>
      <w:r w:rsidRPr="00AA552A">
        <w:rPr>
          <w:rFonts w:cs="Cambria"/>
          <w:color w:val="000000"/>
        </w:rPr>
        <w:t>l</w:t>
      </w:r>
      <w:r w:rsidRPr="00AA552A">
        <w:rPr>
          <w:rFonts w:cs="Cambria"/>
          <w:color w:val="000000"/>
          <w:spacing w:val="1"/>
        </w:rPr>
        <w:t>e</w:t>
      </w:r>
      <w:r w:rsidRPr="00AA552A">
        <w:rPr>
          <w:rFonts w:cs="Cambria"/>
          <w:color w:val="000000"/>
        </w:rPr>
        <w:t>ston</w:t>
      </w:r>
      <w:r w:rsidRPr="00AA552A">
        <w:rPr>
          <w:rFonts w:cs="Cambria"/>
          <w:color w:val="000000"/>
          <w:spacing w:val="-7"/>
        </w:rPr>
        <w:t xml:space="preserve"> </w:t>
      </w:r>
      <w:r w:rsidRPr="00AA552A">
        <w:rPr>
          <w:rFonts w:cs="Cambria"/>
          <w:color w:val="000000"/>
        </w:rPr>
        <w:t>D</w:t>
      </w:r>
      <w:r w:rsidRPr="00AA552A">
        <w:rPr>
          <w:rFonts w:cs="Cambria"/>
          <w:color w:val="000000"/>
          <w:spacing w:val="1"/>
        </w:rPr>
        <w:t>ee</w:t>
      </w:r>
      <w:r w:rsidRPr="00AA552A">
        <w:rPr>
          <w:rFonts w:cs="Cambria"/>
          <w:color w:val="000000"/>
        </w:rPr>
        <w:t>p</w:t>
      </w:r>
      <w:r w:rsidRPr="00AA552A">
        <w:rPr>
          <w:rFonts w:cs="Cambria"/>
          <w:color w:val="000000"/>
          <w:spacing w:val="-3"/>
        </w:rPr>
        <w:t xml:space="preserve"> </w:t>
      </w:r>
      <w:r w:rsidRPr="00AA552A">
        <w:rPr>
          <w:rFonts w:cs="Cambria"/>
          <w:color w:val="000000"/>
          <w:spacing w:val="-1"/>
        </w:rPr>
        <w:t>Ar</w:t>
      </w:r>
      <w:r w:rsidRPr="00AA552A">
        <w:rPr>
          <w:rFonts w:cs="Cambria"/>
          <w:color w:val="000000"/>
        </w:rPr>
        <w:t>t</w:t>
      </w:r>
      <w:r w:rsidRPr="00AA552A">
        <w:rPr>
          <w:rFonts w:cs="Cambria"/>
          <w:color w:val="000000"/>
          <w:spacing w:val="1"/>
        </w:rPr>
        <w:t>i</w:t>
      </w:r>
      <w:r w:rsidRPr="00AA552A">
        <w:rPr>
          <w:rFonts w:cs="Cambria"/>
          <w:color w:val="000000"/>
          <w:spacing w:val="-1"/>
        </w:rPr>
        <w:t>f</w:t>
      </w:r>
      <w:r w:rsidRPr="00AA552A">
        <w:rPr>
          <w:rFonts w:cs="Cambria"/>
          <w:color w:val="000000"/>
          <w:spacing w:val="1"/>
        </w:rPr>
        <w:t>i</w:t>
      </w:r>
      <w:r w:rsidRPr="00AA552A">
        <w:rPr>
          <w:rFonts w:cs="Cambria"/>
          <w:color w:val="000000"/>
        </w:rPr>
        <w:t>c</w:t>
      </w:r>
      <w:r w:rsidRPr="00AA552A">
        <w:rPr>
          <w:rFonts w:cs="Cambria"/>
          <w:color w:val="000000"/>
          <w:spacing w:val="1"/>
        </w:rPr>
        <w:t>i</w:t>
      </w:r>
      <w:r w:rsidRPr="00AA552A">
        <w:rPr>
          <w:rFonts w:cs="Cambria"/>
          <w:color w:val="000000"/>
        </w:rPr>
        <w:t>al</w:t>
      </w:r>
      <w:r w:rsidRPr="00AA552A">
        <w:rPr>
          <w:rFonts w:cs="Cambria"/>
          <w:color w:val="000000"/>
          <w:spacing w:val="-5"/>
        </w:rPr>
        <w:t xml:space="preserve"> </w:t>
      </w:r>
      <w:r w:rsidRPr="00AA552A">
        <w:rPr>
          <w:rFonts w:cs="Cambria"/>
          <w:color w:val="000000"/>
        </w:rPr>
        <w:t>R</w:t>
      </w:r>
      <w:r w:rsidRPr="00AA552A">
        <w:rPr>
          <w:rFonts w:cs="Cambria"/>
          <w:color w:val="000000"/>
          <w:spacing w:val="1"/>
        </w:rPr>
        <w:t>ee</w:t>
      </w:r>
      <w:r w:rsidRPr="00AA552A">
        <w:rPr>
          <w:rFonts w:cs="Cambria"/>
          <w:color w:val="000000"/>
        </w:rPr>
        <w:t>f</w:t>
      </w:r>
      <w:r w:rsidRPr="00AA552A">
        <w:rPr>
          <w:rFonts w:cs="Cambria"/>
          <w:color w:val="000000"/>
          <w:spacing w:val="-4"/>
        </w:rPr>
        <w:t xml:space="preserve"> </w:t>
      </w:r>
      <w:r w:rsidRPr="00AA552A">
        <w:rPr>
          <w:rFonts w:cs="Cambria"/>
          <w:color w:val="000000"/>
          <w:spacing w:val="1"/>
        </w:rPr>
        <w:t>MP</w:t>
      </w:r>
      <w:r w:rsidRPr="00AA552A">
        <w:rPr>
          <w:rFonts w:cs="Cambria"/>
          <w:color w:val="000000"/>
          <w:spacing w:val="-1"/>
        </w:rPr>
        <w:t>A</w:t>
      </w:r>
      <w:r w:rsidRPr="00AA552A">
        <w:rPr>
          <w:rFonts w:cs="Cambria"/>
          <w:color w:val="000000"/>
        </w:rPr>
        <w:t>, G</w:t>
      </w:r>
      <w:r w:rsidRPr="00AA552A">
        <w:rPr>
          <w:rFonts w:cs="Cambria"/>
          <w:color w:val="000000"/>
          <w:spacing w:val="1"/>
        </w:rPr>
        <w:t>e</w:t>
      </w:r>
      <w:r w:rsidRPr="00AA552A">
        <w:rPr>
          <w:rFonts w:cs="Cambria"/>
          <w:color w:val="000000"/>
        </w:rPr>
        <w:t>o</w:t>
      </w:r>
      <w:r w:rsidRPr="00AA552A">
        <w:rPr>
          <w:rFonts w:cs="Cambria"/>
          <w:color w:val="000000"/>
          <w:spacing w:val="-1"/>
        </w:rPr>
        <w:t>rg</w:t>
      </w:r>
      <w:r w:rsidRPr="00AA552A">
        <w:rPr>
          <w:rFonts w:cs="Cambria"/>
          <w:color w:val="000000"/>
          <w:spacing w:val="1"/>
        </w:rPr>
        <w:t>i</w:t>
      </w:r>
      <w:r w:rsidRPr="00AA552A">
        <w:rPr>
          <w:rFonts w:cs="Cambria"/>
          <w:color w:val="000000"/>
        </w:rPr>
        <w:t>a</w:t>
      </w:r>
      <w:r w:rsidRPr="00AA552A">
        <w:rPr>
          <w:rFonts w:cs="Cambria"/>
          <w:color w:val="000000"/>
          <w:spacing w:val="-6"/>
        </w:rPr>
        <w:t xml:space="preserve"> </w:t>
      </w:r>
      <w:r w:rsidRPr="00AA552A">
        <w:rPr>
          <w:rFonts w:cs="Cambria"/>
          <w:color w:val="000000"/>
          <w:spacing w:val="1"/>
        </w:rPr>
        <w:t>MP</w:t>
      </w:r>
      <w:r w:rsidRPr="00AA552A">
        <w:rPr>
          <w:rFonts w:cs="Cambria"/>
          <w:color w:val="000000"/>
          <w:spacing w:val="-1"/>
        </w:rPr>
        <w:t>A</w:t>
      </w:r>
      <w:r w:rsidRPr="00AA552A">
        <w:rPr>
          <w:rFonts w:cs="Cambria"/>
          <w:color w:val="000000"/>
        </w:rPr>
        <w:t>, No</w:t>
      </w:r>
      <w:r w:rsidRPr="00AA552A">
        <w:rPr>
          <w:rFonts w:cs="Cambria"/>
          <w:color w:val="000000"/>
          <w:spacing w:val="-1"/>
        </w:rPr>
        <w:t>r</w:t>
      </w:r>
      <w:r w:rsidRPr="00AA552A">
        <w:rPr>
          <w:rFonts w:cs="Cambria"/>
          <w:color w:val="000000"/>
        </w:rPr>
        <w:t>th</w:t>
      </w:r>
      <w:r w:rsidRPr="00AA552A">
        <w:rPr>
          <w:rFonts w:cs="Cambria"/>
          <w:color w:val="000000"/>
          <w:spacing w:val="-5"/>
        </w:rPr>
        <w:t xml:space="preserve"> </w:t>
      </w:r>
      <w:r w:rsidRPr="00AA552A">
        <w:rPr>
          <w:rFonts w:cs="Cambria"/>
          <w:color w:val="000000"/>
          <w:spacing w:val="1"/>
        </w:rPr>
        <w:t>F</w:t>
      </w:r>
      <w:r w:rsidRPr="00AA552A">
        <w:rPr>
          <w:rFonts w:cs="Cambria"/>
          <w:color w:val="000000"/>
        </w:rPr>
        <w:t>lo</w:t>
      </w:r>
      <w:r w:rsidRPr="00AA552A">
        <w:rPr>
          <w:rFonts w:cs="Cambria"/>
          <w:color w:val="000000"/>
          <w:spacing w:val="-1"/>
        </w:rPr>
        <w:t>r</w:t>
      </w:r>
      <w:r w:rsidRPr="00AA552A">
        <w:rPr>
          <w:rFonts w:cs="Cambria"/>
          <w:color w:val="000000"/>
          <w:spacing w:val="1"/>
        </w:rPr>
        <w:t>i</w:t>
      </w:r>
      <w:r w:rsidRPr="00AA552A">
        <w:rPr>
          <w:rFonts w:cs="Cambria"/>
          <w:color w:val="000000"/>
          <w:spacing w:val="-1"/>
        </w:rPr>
        <w:t>d</w:t>
      </w:r>
      <w:r w:rsidRPr="00AA552A">
        <w:rPr>
          <w:rFonts w:cs="Cambria"/>
          <w:color w:val="000000"/>
        </w:rPr>
        <w:t>a</w:t>
      </w:r>
      <w:r w:rsidRPr="00AA552A">
        <w:rPr>
          <w:rFonts w:cs="Cambria"/>
          <w:color w:val="000000"/>
          <w:spacing w:val="-6"/>
        </w:rPr>
        <w:t xml:space="preserve"> </w:t>
      </w:r>
      <w:r w:rsidRPr="00AA552A">
        <w:rPr>
          <w:rFonts w:cs="Cambria"/>
          <w:color w:val="000000"/>
          <w:spacing w:val="1"/>
        </w:rPr>
        <w:t>MP</w:t>
      </w:r>
      <w:r w:rsidRPr="00AA552A">
        <w:rPr>
          <w:rFonts w:cs="Cambria"/>
          <w:color w:val="000000"/>
          <w:spacing w:val="-1"/>
        </w:rPr>
        <w:t>A</w:t>
      </w:r>
      <w:r w:rsidRPr="00AA552A">
        <w:rPr>
          <w:rFonts w:cs="Cambria"/>
          <w:color w:val="000000"/>
        </w:rPr>
        <w:t xml:space="preserve">, </w:t>
      </w:r>
      <w:r w:rsidRPr="00AA552A">
        <w:rPr>
          <w:rFonts w:cs="Cambria"/>
          <w:color w:val="000000"/>
          <w:spacing w:val="1"/>
        </w:rPr>
        <w:t>S</w:t>
      </w:r>
      <w:r w:rsidRPr="00AA552A">
        <w:rPr>
          <w:rFonts w:cs="Cambria"/>
          <w:color w:val="000000"/>
        </w:rPr>
        <w:t>t.</w:t>
      </w:r>
      <w:r w:rsidRPr="00AA552A">
        <w:rPr>
          <w:rFonts w:cs="Cambria"/>
          <w:color w:val="000000"/>
          <w:spacing w:val="-1"/>
        </w:rPr>
        <w:t xml:space="preserve"> </w:t>
      </w:r>
      <w:r w:rsidRPr="00AA552A">
        <w:rPr>
          <w:rFonts w:cs="Cambria"/>
          <w:color w:val="000000"/>
          <w:spacing w:val="1"/>
        </w:rPr>
        <w:t>L</w:t>
      </w:r>
      <w:r w:rsidRPr="00AA552A">
        <w:rPr>
          <w:rFonts w:cs="Cambria"/>
          <w:color w:val="000000"/>
        </w:rPr>
        <w:t>uc</w:t>
      </w:r>
      <w:r w:rsidRPr="00AA552A">
        <w:rPr>
          <w:rFonts w:cs="Cambria"/>
          <w:color w:val="000000"/>
          <w:spacing w:val="1"/>
        </w:rPr>
        <w:t>i</w:t>
      </w:r>
      <w:r w:rsidRPr="00AA552A">
        <w:rPr>
          <w:rFonts w:cs="Cambria"/>
          <w:color w:val="000000"/>
        </w:rPr>
        <w:t>e</w:t>
      </w:r>
      <w:r w:rsidRPr="00AA552A">
        <w:rPr>
          <w:rFonts w:cs="Cambria"/>
          <w:color w:val="000000"/>
          <w:spacing w:val="-2"/>
        </w:rPr>
        <w:t xml:space="preserve"> </w:t>
      </w:r>
      <w:r w:rsidRPr="00AA552A">
        <w:rPr>
          <w:rFonts w:cs="Cambria"/>
          <w:color w:val="000000"/>
          <w:spacing w:val="1"/>
        </w:rPr>
        <w:t>H</w:t>
      </w:r>
      <w:r w:rsidRPr="00AA552A">
        <w:rPr>
          <w:rFonts w:cs="Cambria"/>
          <w:color w:val="000000"/>
        </w:rPr>
        <w:t>ump</w:t>
      </w:r>
      <w:r w:rsidRPr="00AA552A">
        <w:rPr>
          <w:rFonts w:cs="Cambria"/>
          <w:color w:val="000000"/>
          <w:spacing w:val="-1"/>
        </w:rPr>
        <w:t xml:space="preserve"> </w:t>
      </w:r>
      <w:r w:rsidRPr="00AA552A">
        <w:rPr>
          <w:rFonts w:cs="Cambria"/>
          <w:color w:val="000000"/>
          <w:spacing w:val="1"/>
        </w:rPr>
        <w:t>MP</w:t>
      </w:r>
      <w:r w:rsidRPr="00AA552A">
        <w:rPr>
          <w:rFonts w:cs="Cambria"/>
          <w:color w:val="000000"/>
        </w:rPr>
        <w:t>A</w:t>
      </w:r>
      <w:r>
        <w:rPr>
          <w:rFonts w:cs="Cambria"/>
          <w:color w:val="000000"/>
        </w:rPr>
        <w:t>,</w:t>
      </w:r>
      <w:r w:rsidRPr="00AA552A">
        <w:rPr>
          <w:rFonts w:cs="Cambria"/>
          <w:color w:val="000000"/>
          <w:spacing w:val="-2"/>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E</w:t>
      </w:r>
      <w:r w:rsidRPr="00AA552A">
        <w:rPr>
          <w:rFonts w:cs="Cambria"/>
          <w:color w:val="000000"/>
        </w:rPr>
        <w:t>ast</w:t>
      </w:r>
      <w:r w:rsidRPr="00AA552A">
        <w:rPr>
          <w:rFonts w:cs="Cambria"/>
          <w:color w:val="000000"/>
          <w:spacing w:val="-1"/>
        </w:rPr>
        <w:t xml:space="preserve"> </w:t>
      </w:r>
      <w:r w:rsidRPr="00AA552A">
        <w:rPr>
          <w:rFonts w:cs="Cambria"/>
          <w:color w:val="000000"/>
          <w:spacing w:val="1"/>
        </w:rPr>
        <w:t>H</w:t>
      </w:r>
      <w:r w:rsidRPr="00AA552A">
        <w:rPr>
          <w:rFonts w:cs="Cambria"/>
          <w:color w:val="000000"/>
        </w:rPr>
        <w:t>ump</w:t>
      </w:r>
      <w:r w:rsidRPr="00AA552A">
        <w:rPr>
          <w:rFonts w:cs="Cambria"/>
          <w:color w:val="000000"/>
          <w:spacing w:val="-1"/>
        </w:rPr>
        <w:t xml:space="preserve"> </w:t>
      </w:r>
      <w:r w:rsidRPr="00AA552A">
        <w:rPr>
          <w:rFonts w:cs="Cambria"/>
          <w:color w:val="000000"/>
          <w:spacing w:val="1"/>
        </w:rPr>
        <w:t>MP</w:t>
      </w:r>
      <w:r w:rsidRPr="00AA552A">
        <w:rPr>
          <w:rFonts w:cs="Cambria"/>
          <w:color w:val="000000"/>
          <w:spacing w:val="-1"/>
        </w:rPr>
        <w:t>A</w:t>
      </w:r>
      <w:r w:rsidRPr="00AA552A">
        <w:rPr>
          <w:rFonts w:cs="Cambria"/>
          <w:color w:val="000000"/>
        </w:rPr>
        <w:t>.</w:t>
      </w:r>
    </w:p>
    <w:p w14:paraId="16248703" w14:textId="77777777" w:rsidR="00DC4922" w:rsidRDefault="00DC4922" w:rsidP="00DC4922">
      <w:pPr>
        <w:rPr>
          <w:rFonts w:ascii="Cambria" w:hAnsi="Cambria" w:cs="Cambria"/>
          <w:color w:val="000000"/>
          <w:sz w:val="26"/>
        </w:rPr>
      </w:pPr>
    </w:p>
    <w:p w14:paraId="125C4B6B" w14:textId="77777777" w:rsidR="00DC4922" w:rsidRPr="00EB603B" w:rsidRDefault="00DC4922" w:rsidP="00DC4922">
      <w:pPr>
        <w:rPr>
          <w:b/>
          <w:color w:val="000000"/>
        </w:rPr>
      </w:pPr>
      <w:r w:rsidRPr="00EB603B">
        <w:rPr>
          <w:b/>
          <w:color w:val="000000"/>
          <w:spacing w:val="1"/>
        </w:rPr>
        <w:t>S</w:t>
      </w:r>
      <w:r w:rsidRPr="00EB603B">
        <w:rPr>
          <w:b/>
          <w:color w:val="000000"/>
        </w:rPr>
        <w:t>hrimp F</w:t>
      </w:r>
      <w:r w:rsidRPr="00EB603B">
        <w:rPr>
          <w:b/>
          <w:color w:val="000000"/>
          <w:spacing w:val="-1"/>
        </w:rPr>
        <w:t>M</w:t>
      </w:r>
      <w:r w:rsidRPr="00EB603B">
        <w:rPr>
          <w:b/>
          <w:color w:val="000000"/>
        </w:rPr>
        <w:t>P</w:t>
      </w:r>
    </w:p>
    <w:p w14:paraId="79C60CBA" w14:textId="77777777" w:rsidR="00DC4922" w:rsidRPr="00AA552A" w:rsidRDefault="00DC4922" w:rsidP="00DC4922">
      <w:pPr>
        <w:rPr>
          <w:rFonts w:cs="Cambria"/>
          <w:color w:val="000000"/>
        </w:rPr>
      </w:pPr>
      <w:r>
        <w:rPr>
          <w:color w:val="000000"/>
          <w:w w:val="131"/>
        </w:rPr>
        <w:t>•</w:t>
      </w:r>
      <w:r>
        <w:rPr>
          <w:color w:val="000000"/>
        </w:rPr>
        <w:tab/>
      </w:r>
      <w:r w:rsidRPr="00AA552A">
        <w:rPr>
          <w:rFonts w:cs="Cambria"/>
          <w:color w:val="000000"/>
          <w:spacing w:val="1"/>
        </w:rPr>
        <w:t>P</w:t>
      </w:r>
      <w:r w:rsidRPr="00AA552A">
        <w:rPr>
          <w:rFonts w:cs="Cambria"/>
          <w:color w:val="000000"/>
          <w:spacing w:val="-1"/>
        </w:rPr>
        <w:t>r</w:t>
      </w:r>
      <w:r w:rsidRPr="00AA552A">
        <w:rPr>
          <w:rFonts w:cs="Cambria"/>
          <w:color w:val="000000"/>
        </w:rPr>
        <w:t>oh</w:t>
      </w:r>
      <w:r w:rsidRPr="00AA552A">
        <w:rPr>
          <w:rFonts w:cs="Cambria"/>
          <w:color w:val="000000"/>
          <w:spacing w:val="1"/>
        </w:rPr>
        <w:t>ibi</w:t>
      </w:r>
      <w:r w:rsidRPr="00AA552A">
        <w:rPr>
          <w:rFonts w:cs="Cambria"/>
          <w:color w:val="000000"/>
        </w:rPr>
        <w:t>t</w:t>
      </w:r>
      <w:r w:rsidRPr="00AA552A">
        <w:rPr>
          <w:rFonts w:cs="Cambria"/>
          <w:color w:val="000000"/>
          <w:spacing w:val="1"/>
        </w:rPr>
        <w:t>i</w:t>
      </w:r>
      <w:r w:rsidRPr="00AA552A">
        <w:rPr>
          <w:rFonts w:cs="Cambria"/>
          <w:color w:val="000000"/>
        </w:rPr>
        <w:t>on</w:t>
      </w:r>
      <w:r w:rsidRPr="00AA552A">
        <w:rPr>
          <w:rFonts w:cs="Cambria"/>
          <w:color w:val="000000"/>
          <w:spacing w:val="-8"/>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r</w:t>
      </w:r>
      <w:r w:rsidRPr="00AA552A">
        <w:rPr>
          <w:rFonts w:cs="Cambria"/>
          <w:color w:val="000000"/>
        </w:rPr>
        <w:t>ock</w:t>
      </w:r>
      <w:r w:rsidRPr="00AA552A">
        <w:rPr>
          <w:rFonts w:cs="Cambria"/>
          <w:color w:val="000000"/>
          <w:spacing w:val="-4"/>
        </w:rPr>
        <w:t xml:space="preserve"> </w:t>
      </w:r>
      <w:r w:rsidRPr="00AA552A">
        <w:rPr>
          <w:rFonts w:cs="Cambria"/>
          <w:color w:val="000000"/>
        </w:rPr>
        <w:t>sh</w:t>
      </w:r>
      <w:r w:rsidRPr="00AA552A">
        <w:rPr>
          <w:rFonts w:cs="Cambria"/>
          <w:color w:val="000000"/>
          <w:spacing w:val="-1"/>
        </w:rPr>
        <w:t>r</w:t>
      </w:r>
      <w:r w:rsidRPr="00AA552A">
        <w:rPr>
          <w:rFonts w:cs="Cambria"/>
          <w:color w:val="000000"/>
          <w:spacing w:val="3"/>
        </w:rPr>
        <w:t>i</w:t>
      </w:r>
      <w:r w:rsidRPr="00AA552A">
        <w:rPr>
          <w:rFonts w:cs="Cambria"/>
          <w:color w:val="000000"/>
        </w:rPr>
        <w:t>mp</w:t>
      </w:r>
      <w:r w:rsidRPr="00AA552A">
        <w:rPr>
          <w:rFonts w:cs="Cambria"/>
          <w:color w:val="000000"/>
          <w:spacing w:val="-3"/>
        </w:rPr>
        <w:t xml:space="preserve"> </w:t>
      </w:r>
      <w:r w:rsidRPr="00AA552A">
        <w:rPr>
          <w:rFonts w:cs="Cambria"/>
          <w:color w:val="000000"/>
        </w:rPr>
        <w:t>t</w:t>
      </w:r>
      <w:r w:rsidRPr="00AA552A">
        <w:rPr>
          <w:rFonts w:cs="Cambria"/>
          <w:color w:val="000000"/>
          <w:spacing w:val="-1"/>
        </w:rPr>
        <w:t>r</w:t>
      </w:r>
      <w:r w:rsidRPr="00AA552A">
        <w:rPr>
          <w:rFonts w:cs="Cambria"/>
          <w:color w:val="000000"/>
        </w:rPr>
        <w:t>a</w:t>
      </w:r>
      <w:r w:rsidRPr="00AA552A">
        <w:rPr>
          <w:rFonts w:cs="Cambria"/>
          <w:color w:val="000000"/>
          <w:spacing w:val="-1"/>
        </w:rPr>
        <w:t>w</w:t>
      </w:r>
      <w:r w:rsidRPr="00AA552A">
        <w:rPr>
          <w:rFonts w:cs="Cambria"/>
          <w:color w:val="000000"/>
        </w:rPr>
        <w:t>l</w:t>
      </w:r>
      <w:r w:rsidRPr="00AA552A">
        <w:rPr>
          <w:rFonts w:cs="Cambria"/>
          <w:color w:val="000000"/>
          <w:spacing w:val="1"/>
        </w:rPr>
        <w:t>i</w:t>
      </w:r>
      <w:r w:rsidRPr="00AA552A">
        <w:rPr>
          <w:rFonts w:cs="Cambria"/>
          <w:color w:val="000000"/>
        </w:rPr>
        <w:t>ng</w:t>
      </w:r>
      <w:r w:rsidRPr="00AA552A">
        <w:rPr>
          <w:rFonts w:cs="Cambria"/>
          <w:color w:val="000000"/>
          <w:spacing w:val="-3"/>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 xml:space="preserve">a </w:t>
      </w:r>
      <w:r w:rsidRPr="00AA552A">
        <w:rPr>
          <w:rFonts w:cs="Cambria"/>
          <w:color w:val="000000"/>
          <w:spacing w:val="-1"/>
        </w:rPr>
        <w:t>d</w:t>
      </w:r>
      <w:r w:rsidRPr="00AA552A">
        <w:rPr>
          <w:rFonts w:cs="Cambria"/>
          <w:color w:val="000000"/>
          <w:spacing w:val="1"/>
        </w:rPr>
        <w:t>e</w:t>
      </w:r>
      <w:r w:rsidRPr="00AA552A">
        <w:rPr>
          <w:rFonts w:cs="Cambria"/>
          <w:color w:val="000000"/>
        </w:rPr>
        <w:t>s</w:t>
      </w:r>
      <w:r w:rsidRPr="00AA552A">
        <w:rPr>
          <w:rFonts w:cs="Cambria"/>
          <w:color w:val="000000"/>
          <w:spacing w:val="1"/>
        </w:rPr>
        <w:t>i</w:t>
      </w:r>
      <w:r w:rsidRPr="00AA552A">
        <w:rPr>
          <w:rFonts w:cs="Cambria"/>
          <w:color w:val="000000"/>
          <w:spacing w:val="-1"/>
        </w:rPr>
        <w:t>g</w:t>
      </w:r>
      <w:r w:rsidRPr="00AA552A">
        <w:rPr>
          <w:rFonts w:cs="Cambria"/>
          <w:color w:val="000000"/>
        </w:rPr>
        <w:t>nat</w:t>
      </w:r>
      <w:r w:rsidRPr="00AA552A">
        <w:rPr>
          <w:rFonts w:cs="Cambria"/>
          <w:color w:val="000000"/>
          <w:spacing w:val="1"/>
        </w:rPr>
        <w:t>e</w:t>
      </w:r>
      <w:r w:rsidRPr="00AA552A">
        <w:rPr>
          <w:rFonts w:cs="Cambria"/>
          <w:color w:val="000000"/>
        </w:rPr>
        <w:t>d</w:t>
      </w:r>
      <w:r w:rsidRPr="00AA552A">
        <w:rPr>
          <w:rFonts w:cs="Cambria"/>
          <w:color w:val="000000"/>
          <w:spacing w:val="-8"/>
        </w:rPr>
        <w:t xml:space="preserve"> </w:t>
      </w:r>
      <w:r w:rsidRPr="00AA552A">
        <w:rPr>
          <w:rFonts w:cs="Cambria"/>
          <w:color w:val="000000"/>
        </w:rPr>
        <w:t>a</w:t>
      </w:r>
      <w:r w:rsidRPr="00AA552A">
        <w:rPr>
          <w:rFonts w:cs="Cambria"/>
          <w:color w:val="000000"/>
          <w:spacing w:val="-1"/>
        </w:rPr>
        <w:t>r</w:t>
      </w:r>
      <w:r w:rsidRPr="00AA552A">
        <w:rPr>
          <w:rFonts w:cs="Cambria"/>
          <w:color w:val="000000"/>
          <w:spacing w:val="1"/>
        </w:rPr>
        <w:t>e</w:t>
      </w:r>
      <w:r w:rsidRPr="00AA552A">
        <w:rPr>
          <w:rFonts w:cs="Cambria"/>
          <w:color w:val="000000"/>
        </w:rPr>
        <w:t>a</w:t>
      </w:r>
      <w:r w:rsidRPr="00AA552A">
        <w:rPr>
          <w:rFonts w:cs="Cambria"/>
          <w:color w:val="000000"/>
          <w:spacing w:val="-2"/>
        </w:rPr>
        <w:t xml:space="preserve"> </w:t>
      </w:r>
      <w:r w:rsidRPr="00AA552A">
        <w:rPr>
          <w:rFonts w:cs="Cambria"/>
          <w:color w:val="000000"/>
        </w:rPr>
        <w:t>a</w:t>
      </w:r>
      <w:r w:rsidRPr="00AA552A">
        <w:rPr>
          <w:rFonts w:cs="Cambria"/>
          <w:color w:val="000000"/>
          <w:spacing w:val="-1"/>
        </w:rPr>
        <w:t>r</w:t>
      </w:r>
      <w:r w:rsidRPr="00AA552A">
        <w:rPr>
          <w:rFonts w:cs="Cambria"/>
          <w:color w:val="000000"/>
        </w:rPr>
        <w:t>o</w:t>
      </w:r>
      <w:r w:rsidRPr="00AA552A">
        <w:rPr>
          <w:rFonts w:cs="Cambria"/>
          <w:color w:val="000000"/>
          <w:spacing w:val="-1"/>
        </w:rPr>
        <w:t>u</w:t>
      </w:r>
      <w:r w:rsidRPr="00AA552A">
        <w:rPr>
          <w:rFonts w:cs="Cambria"/>
          <w:color w:val="000000"/>
        </w:rPr>
        <w:t>nd</w:t>
      </w:r>
      <w:r w:rsidRPr="00AA552A">
        <w:rPr>
          <w:rFonts w:cs="Cambria"/>
          <w:color w:val="000000"/>
          <w:spacing w:val="-5"/>
        </w:rPr>
        <w:t xml:space="preserve"> </w:t>
      </w:r>
      <w:r w:rsidRPr="00AA552A">
        <w:rPr>
          <w:rFonts w:cs="Cambria"/>
          <w:color w:val="000000"/>
        </w:rPr>
        <w:t>the</w:t>
      </w:r>
      <w:r w:rsidRPr="00AA552A">
        <w:rPr>
          <w:rFonts w:cs="Cambria"/>
          <w:color w:val="000000"/>
          <w:spacing w:val="-1"/>
        </w:rPr>
        <w:t xml:space="preserve"> </w:t>
      </w:r>
      <w:r w:rsidRPr="00AA552A">
        <w:rPr>
          <w:rFonts w:cs="Cambria"/>
          <w:i/>
          <w:iCs/>
          <w:color w:val="000000"/>
        </w:rPr>
        <w:t>O</w:t>
      </w:r>
      <w:r w:rsidRPr="00AA552A">
        <w:rPr>
          <w:rFonts w:cs="Cambria"/>
          <w:i/>
          <w:iCs/>
          <w:color w:val="000000"/>
          <w:spacing w:val="2"/>
        </w:rPr>
        <w:t>c</w:t>
      </w:r>
      <w:r w:rsidRPr="00AA552A">
        <w:rPr>
          <w:rFonts w:cs="Cambria"/>
          <w:i/>
          <w:iCs/>
          <w:color w:val="000000"/>
          <w:spacing w:val="1"/>
        </w:rPr>
        <w:t>ul</w:t>
      </w:r>
      <w:r w:rsidRPr="00AA552A">
        <w:rPr>
          <w:rFonts w:cs="Cambria"/>
          <w:i/>
          <w:iCs/>
          <w:color w:val="000000"/>
        </w:rPr>
        <w:t>i</w:t>
      </w:r>
      <w:r w:rsidRPr="00AA552A">
        <w:rPr>
          <w:rFonts w:cs="Cambria"/>
          <w:i/>
          <w:iCs/>
          <w:color w:val="000000"/>
          <w:spacing w:val="-1"/>
        </w:rPr>
        <w:t>n</w:t>
      </w:r>
      <w:r w:rsidRPr="00AA552A">
        <w:rPr>
          <w:rFonts w:cs="Cambria"/>
          <w:i/>
          <w:iCs/>
          <w:color w:val="000000"/>
        </w:rPr>
        <w:t>a</w:t>
      </w:r>
      <w:r w:rsidRPr="00AA552A">
        <w:rPr>
          <w:rFonts w:cs="Cambria"/>
          <w:i/>
          <w:iCs/>
          <w:color w:val="000000"/>
          <w:spacing w:val="-3"/>
        </w:rPr>
        <w:t xml:space="preserve"> </w:t>
      </w:r>
      <w:r w:rsidRPr="00AA552A">
        <w:rPr>
          <w:rFonts w:cs="Cambria"/>
          <w:color w:val="000000"/>
        </w:rPr>
        <w:t>Ban</w:t>
      </w:r>
      <w:r w:rsidRPr="00AA552A">
        <w:rPr>
          <w:rFonts w:cs="Cambria"/>
          <w:color w:val="000000"/>
          <w:spacing w:val="-1"/>
        </w:rPr>
        <w:t>k</w:t>
      </w:r>
      <w:r w:rsidRPr="00AA552A">
        <w:rPr>
          <w:rFonts w:cs="Cambria"/>
          <w:color w:val="000000"/>
        </w:rPr>
        <w:t>,</w:t>
      </w:r>
    </w:p>
    <w:p w14:paraId="3DE33900" w14:textId="77777777" w:rsidR="00DC4922" w:rsidRPr="00AA552A" w:rsidRDefault="00DC4922" w:rsidP="00DC4922">
      <w:pPr>
        <w:rPr>
          <w:rFonts w:cs="Cambria"/>
          <w:color w:val="000000"/>
        </w:rPr>
      </w:pPr>
      <w:r w:rsidRPr="00AA552A">
        <w:rPr>
          <w:color w:val="000000"/>
          <w:w w:val="131"/>
        </w:rPr>
        <w:t>•</w:t>
      </w:r>
      <w:r w:rsidRPr="00AA552A">
        <w:rPr>
          <w:color w:val="000000"/>
        </w:rPr>
        <w:tab/>
      </w:r>
      <w:r w:rsidRPr="00AA552A">
        <w:rPr>
          <w:rFonts w:cs="Cambria"/>
          <w:color w:val="000000"/>
          <w:spacing w:val="1"/>
        </w:rPr>
        <w:t>M</w:t>
      </w:r>
      <w:r w:rsidRPr="00AA552A">
        <w:rPr>
          <w:rFonts w:cs="Cambria"/>
          <w:color w:val="000000"/>
        </w:rPr>
        <w:t>an</w:t>
      </w:r>
      <w:r w:rsidRPr="00AA552A">
        <w:rPr>
          <w:rFonts w:cs="Cambria"/>
          <w:color w:val="000000"/>
          <w:spacing w:val="-1"/>
        </w:rPr>
        <w:t>d</w:t>
      </w:r>
      <w:r w:rsidRPr="00AA552A">
        <w:rPr>
          <w:rFonts w:cs="Cambria"/>
          <w:color w:val="000000"/>
        </w:rPr>
        <w:t>ato</w:t>
      </w:r>
      <w:r w:rsidRPr="00AA552A">
        <w:rPr>
          <w:rFonts w:cs="Cambria"/>
          <w:color w:val="000000"/>
          <w:spacing w:val="-1"/>
        </w:rPr>
        <w:t>r</w:t>
      </w:r>
      <w:r w:rsidRPr="00AA552A">
        <w:rPr>
          <w:rFonts w:cs="Cambria"/>
          <w:color w:val="000000"/>
        </w:rPr>
        <w:t>y</w:t>
      </w:r>
      <w:r w:rsidRPr="00AA552A">
        <w:rPr>
          <w:rFonts w:cs="Cambria"/>
          <w:color w:val="000000"/>
          <w:spacing w:val="-6"/>
        </w:rPr>
        <w:t xml:space="preserve"> </w:t>
      </w:r>
      <w:r w:rsidRPr="00AA552A">
        <w:rPr>
          <w:rFonts w:cs="Cambria"/>
          <w:color w:val="000000"/>
          <w:spacing w:val="-1"/>
        </w:rPr>
        <w:t>u</w:t>
      </w:r>
      <w:r w:rsidRPr="00AA552A">
        <w:rPr>
          <w:rFonts w:cs="Cambria"/>
          <w:color w:val="000000"/>
        </w:rPr>
        <w:t>se</w:t>
      </w:r>
      <w:r w:rsidRPr="00AA552A">
        <w:rPr>
          <w:rFonts w:cs="Cambria"/>
          <w:color w:val="000000"/>
          <w:spacing w:val="-1"/>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b</w:t>
      </w:r>
      <w:r w:rsidRPr="00AA552A">
        <w:rPr>
          <w:rFonts w:cs="Cambria"/>
          <w:color w:val="000000"/>
          <w:spacing w:val="-1"/>
        </w:rPr>
        <w:t>y</w:t>
      </w:r>
      <w:r w:rsidRPr="00AA552A">
        <w:rPr>
          <w:rFonts w:cs="Cambria"/>
          <w:color w:val="000000"/>
        </w:rPr>
        <w:t>catch</w:t>
      </w:r>
      <w:r w:rsidRPr="00AA552A">
        <w:rPr>
          <w:rFonts w:cs="Cambria"/>
          <w:color w:val="000000"/>
          <w:spacing w:val="-5"/>
        </w:rPr>
        <w:t xml:space="preserve"> </w:t>
      </w:r>
      <w:r w:rsidRPr="00AA552A">
        <w:rPr>
          <w:rFonts w:cs="Cambria"/>
          <w:color w:val="000000"/>
          <w:spacing w:val="-1"/>
        </w:rPr>
        <w:t>r</w:t>
      </w:r>
      <w:r w:rsidRPr="00AA552A">
        <w:rPr>
          <w:rFonts w:cs="Cambria"/>
          <w:color w:val="000000"/>
          <w:spacing w:val="1"/>
        </w:rPr>
        <w:t>e</w:t>
      </w:r>
      <w:r w:rsidRPr="00AA552A">
        <w:rPr>
          <w:rFonts w:cs="Cambria"/>
          <w:color w:val="000000"/>
          <w:spacing w:val="-1"/>
        </w:rPr>
        <w:t>du</w:t>
      </w:r>
      <w:r w:rsidRPr="00AA552A">
        <w:rPr>
          <w:rFonts w:cs="Cambria"/>
          <w:color w:val="000000"/>
        </w:rPr>
        <w:t>ct</w:t>
      </w:r>
      <w:r w:rsidRPr="00AA552A">
        <w:rPr>
          <w:rFonts w:cs="Cambria"/>
          <w:color w:val="000000"/>
          <w:spacing w:val="1"/>
        </w:rPr>
        <w:t>i</w:t>
      </w:r>
      <w:r w:rsidRPr="00AA552A">
        <w:rPr>
          <w:rFonts w:cs="Cambria"/>
          <w:color w:val="000000"/>
        </w:rPr>
        <w:t>on</w:t>
      </w:r>
      <w:r w:rsidRPr="00AA552A">
        <w:rPr>
          <w:rFonts w:cs="Cambria"/>
          <w:color w:val="000000"/>
          <w:spacing w:val="-6"/>
        </w:rPr>
        <w:t xml:space="preserve"> </w:t>
      </w:r>
      <w:r w:rsidRPr="00AA552A">
        <w:rPr>
          <w:rFonts w:cs="Cambria"/>
          <w:color w:val="000000"/>
          <w:spacing w:val="-1"/>
        </w:rPr>
        <w:t>d</w:t>
      </w:r>
      <w:r w:rsidRPr="00AA552A">
        <w:rPr>
          <w:rFonts w:cs="Cambria"/>
          <w:color w:val="000000"/>
          <w:spacing w:val="1"/>
        </w:rPr>
        <w:t>e</w:t>
      </w:r>
      <w:r w:rsidRPr="00AA552A">
        <w:rPr>
          <w:rFonts w:cs="Cambria"/>
          <w:color w:val="000000"/>
          <w:spacing w:val="-1"/>
        </w:rPr>
        <w:t>v</w:t>
      </w:r>
      <w:r w:rsidRPr="00AA552A">
        <w:rPr>
          <w:rFonts w:cs="Cambria"/>
          <w:color w:val="000000"/>
          <w:spacing w:val="1"/>
        </w:rPr>
        <w:t>i</w:t>
      </w:r>
      <w:r w:rsidRPr="00AA552A">
        <w:rPr>
          <w:rFonts w:cs="Cambria"/>
          <w:color w:val="000000"/>
        </w:rPr>
        <w:t>c</w:t>
      </w:r>
      <w:r w:rsidRPr="00AA552A">
        <w:rPr>
          <w:rFonts w:cs="Cambria"/>
          <w:color w:val="000000"/>
          <w:spacing w:val="1"/>
        </w:rPr>
        <w:t>e</w:t>
      </w:r>
      <w:r w:rsidRPr="00AA552A">
        <w:rPr>
          <w:rFonts w:cs="Cambria"/>
          <w:color w:val="000000"/>
        </w:rPr>
        <w:t>s</w:t>
      </w:r>
      <w:r w:rsidRPr="00AA552A">
        <w:rPr>
          <w:rFonts w:cs="Cambria"/>
          <w:color w:val="000000"/>
          <w:spacing w:val="-8"/>
        </w:rPr>
        <w:t xml:space="preserve"> </w:t>
      </w:r>
      <w:r w:rsidRPr="00AA552A">
        <w:rPr>
          <w:rFonts w:cs="Cambria"/>
          <w:color w:val="000000"/>
          <w:spacing w:val="1"/>
        </w:rPr>
        <w:t>i</w:t>
      </w:r>
      <w:r w:rsidRPr="00AA552A">
        <w:rPr>
          <w:rFonts w:cs="Cambria"/>
          <w:color w:val="000000"/>
        </w:rPr>
        <w:t>n</w:t>
      </w:r>
      <w:r w:rsidRPr="00AA552A">
        <w:rPr>
          <w:rFonts w:cs="Cambria"/>
          <w:color w:val="000000"/>
          <w:spacing w:val="2"/>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pe</w:t>
      </w:r>
      <w:r w:rsidRPr="00AA552A">
        <w:rPr>
          <w:rFonts w:cs="Cambria"/>
          <w:color w:val="000000"/>
        </w:rPr>
        <w:t>na</w:t>
      </w:r>
      <w:r w:rsidRPr="00AA552A">
        <w:rPr>
          <w:rFonts w:cs="Cambria"/>
          <w:color w:val="000000"/>
          <w:spacing w:val="-2"/>
        </w:rPr>
        <w:t>e</w:t>
      </w:r>
      <w:r w:rsidRPr="00AA552A">
        <w:rPr>
          <w:rFonts w:cs="Cambria"/>
          <w:color w:val="000000"/>
          <w:spacing w:val="1"/>
        </w:rPr>
        <w:t>i</w:t>
      </w:r>
      <w:r w:rsidRPr="00AA552A">
        <w:rPr>
          <w:rFonts w:cs="Cambria"/>
          <w:color w:val="000000"/>
        </w:rPr>
        <w:t>d</w:t>
      </w:r>
      <w:r w:rsidRPr="00AA552A">
        <w:rPr>
          <w:rFonts w:cs="Cambria"/>
          <w:color w:val="000000"/>
          <w:spacing w:val="-5"/>
        </w:rPr>
        <w:t xml:space="preserve"> </w:t>
      </w:r>
      <w:r w:rsidRPr="00AA552A">
        <w:rPr>
          <w:rFonts w:cs="Cambria"/>
          <w:color w:val="000000"/>
        </w:rPr>
        <w:t>sh</w:t>
      </w:r>
      <w:r w:rsidRPr="00AA552A">
        <w:rPr>
          <w:rFonts w:cs="Cambria"/>
          <w:color w:val="000000"/>
          <w:spacing w:val="-1"/>
        </w:rPr>
        <w:t>r</w:t>
      </w:r>
      <w:r w:rsidRPr="00AA552A">
        <w:rPr>
          <w:rFonts w:cs="Cambria"/>
          <w:color w:val="000000"/>
          <w:spacing w:val="1"/>
        </w:rPr>
        <w:t>i</w:t>
      </w:r>
      <w:r w:rsidRPr="00AA552A">
        <w:rPr>
          <w:rFonts w:cs="Cambria"/>
          <w:color w:val="000000"/>
        </w:rPr>
        <w:t>mp</w:t>
      </w:r>
      <w:r w:rsidRPr="00AA552A">
        <w:rPr>
          <w:rFonts w:cs="Cambria"/>
          <w:color w:val="000000"/>
          <w:spacing w:val="-3"/>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1"/>
        </w:rPr>
        <w:t>e</w:t>
      </w:r>
      <w:r w:rsidRPr="00AA552A">
        <w:rPr>
          <w:rFonts w:cs="Cambria"/>
          <w:color w:val="000000"/>
          <w:spacing w:val="-1"/>
        </w:rPr>
        <w:t>ry</w:t>
      </w:r>
      <w:r w:rsidRPr="00AA552A">
        <w:rPr>
          <w:rFonts w:cs="Cambria"/>
          <w:color w:val="000000"/>
        </w:rPr>
        <w:t>,</w:t>
      </w:r>
    </w:p>
    <w:p w14:paraId="510E9189" w14:textId="77777777" w:rsidR="00DC4922" w:rsidRPr="00AA552A" w:rsidRDefault="00DC4922" w:rsidP="00DC4922">
      <w:pPr>
        <w:rPr>
          <w:rFonts w:cs="Cambria"/>
          <w:color w:val="000000"/>
        </w:rPr>
      </w:pPr>
      <w:r w:rsidRPr="00AA552A">
        <w:rPr>
          <w:color w:val="000000"/>
          <w:w w:val="131"/>
        </w:rPr>
        <w:t>•</w:t>
      </w:r>
      <w:r w:rsidRPr="00AA552A">
        <w:rPr>
          <w:color w:val="000000"/>
        </w:rPr>
        <w:tab/>
      </w:r>
      <w:r w:rsidRPr="00AA552A">
        <w:rPr>
          <w:rFonts w:cs="Cambria"/>
          <w:color w:val="000000"/>
          <w:spacing w:val="1"/>
        </w:rPr>
        <w:t>M</w:t>
      </w:r>
      <w:r w:rsidRPr="00AA552A">
        <w:rPr>
          <w:rFonts w:cs="Cambria"/>
          <w:color w:val="000000"/>
        </w:rPr>
        <w:t>an</w:t>
      </w:r>
      <w:r w:rsidRPr="00AA552A">
        <w:rPr>
          <w:rFonts w:cs="Cambria"/>
          <w:color w:val="000000"/>
          <w:spacing w:val="-1"/>
        </w:rPr>
        <w:t>d</w:t>
      </w:r>
      <w:r w:rsidRPr="00AA552A">
        <w:rPr>
          <w:rFonts w:cs="Cambria"/>
          <w:color w:val="000000"/>
        </w:rPr>
        <w:t>ato</w:t>
      </w:r>
      <w:r w:rsidRPr="00AA552A">
        <w:rPr>
          <w:rFonts w:cs="Cambria"/>
          <w:color w:val="000000"/>
          <w:spacing w:val="-1"/>
        </w:rPr>
        <w:t>r</w:t>
      </w:r>
      <w:r w:rsidRPr="00AA552A">
        <w:rPr>
          <w:rFonts w:cs="Cambria"/>
          <w:color w:val="000000"/>
        </w:rPr>
        <w:t>y</w:t>
      </w:r>
      <w:r w:rsidRPr="00AA552A">
        <w:rPr>
          <w:rFonts w:cs="Cambria"/>
          <w:color w:val="000000"/>
          <w:spacing w:val="-6"/>
        </w:rPr>
        <w:t xml:space="preserve"> </w:t>
      </w:r>
      <w:r w:rsidRPr="00AA552A">
        <w:rPr>
          <w:rFonts w:cs="Cambria"/>
          <w:color w:val="000000"/>
          <w:spacing w:val="-1"/>
        </w:rPr>
        <w:t>V</w:t>
      </w: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l</w:t>
      </w:r>
      <w:r w:rsidRPr="00AA552A">
        <w:rPr>
          <w:rFonts w:cs="Cambria"/>
          <w:color w:val="000000"/>
          <w:spacing w:val="-6"/>
        </w:rPr>
        <w:t xml:space="preserve"> </w:t>
      </w:r>
      <w:r w:rsidRPr="00AA552A">
        <w:rPr>
          <w:rFonts w:cs="Cambria"/>
          <w:color w:val="000000"/>
          <w:spacing w:val="1"/>
        </w:rPr>
        <w:t>M</w:t>
      </w:r>
      <w:r w:rsidRPr="00AA552A">
        <w:rPr>
          <w:rFonts w:cs="Cambria"/>
          <w:color w:val="000000"/>
        </w:rPr>
        <w:t>on</w:t>
      </w:r>
      <w:r w:rsidRPr="00AA552A">
        <w:rPr>
          <w:rFonts w:cs="Cambria"/>
          <w:color w:val="000000"/>
          <w:spacing w:val="-2"/>
        </w:rPr>
        <w:t>i</w:t>
      </w:r>
      <w:r w:rsidRPr="00AA552A">
        <w:rPr>
          <w:rFonts w:cs="Cambria"/>
          <w:color w:val="000000"/>
        </w:rPr>
        <w:t>to</w:t>
      </w:r>
      <w:r w:rsidRPr="00AA552A">
        <w:rPr>
          <w:rFonts w:cs="Cambria"/>
          <w:color w:val="000000"/>
          <w:spacing w:val="-1"/>
        </w:rPr>
        <w:t>r</w:t>
      </w:r>
      <w:r w:rsidRPr="00AA552A">
        <w:rPr>
          <w:rFonts w:cs="Cambria"/>
          <w:color w:val="000000"/>
          <w:spacing w:val="1"/>
        </w:rPr>
        <w:t>i</w:t>
      </w:r>
      <w:r w:rsidRPr="00AA552A">
        <w:rPr>
          <w:rFonts w:cs="Cambria"/>
          <w:color w:val="000000"/>
        </w:rPr>
        <w:t>ng</w:t>
      </w:r>
      <w:r w:rsidRPr="00AA552A">
        <w:rPr>
          <w:rFonts w:cs="Cambria"/>
          <w:color w:val="000000"/>
          <w:spacing w:val="-6"/>
        </w:rPr>
        <w:t xml:space="preserve"> </w:t>
      </w:r>
      <w:r w:rsidRPr="00AA552A">
        <w:rPr>
          <w:rFonts w:cs="Cambria"/>
          <w:color w:val="000000"/>
          <w:spacing w:val="1"/>
        </w:rPr>
        <w:t>S</w:t>
      </w:r>
      <w:r w:rsidRPr="00AA552A">
        <w:rPr>
          <w:rFonts w:cs="Cambria"/>
          <w:color w:val="000000"/>
          <w:spacing w:val="-1"/>
        </w:rPr>
        <w:t>y</w:t>
      </w:r>
      <w:r w:rsidRPr="00AA552A">
        <w:rPr>
          <w:rFonts w:cs="Cambria"/>
          <w:color w:val="000000"/>
        </w:rPr>
        <w:t>st</w:t>
      </w:r>
      <w:r w:rsidRPr="00AA552A">
        <w:rPr>
          <w:rFonts w:cs="Cambria"/>
          <w:color w:val="000000"/>
          <w:spacing w:val="1"/>
        </w:rPr>
        <w:t>e</w:t>
      </w:r>
      <w:r w:rsidRPr="00AA552A">
        <w:rPr>
          <w:rFonts w:cs="Cambria"/>
          <w:color w:val="000000"/>
        </w:rPr>
        <w:t>m</w:t>
      </w:r>
      <w:r w:rsidRPr="00AA552A">
        <w:rPr>
          <w:rFonts w:cs="Cambria"/>
          <w:color w:val="000000"/>
          <w:spacing w:val="-3"/>
        </w:rPr>
        <w:t xml:space="preserve"> </w:t>
      </w:r>
      <w:r w:rsidRPr="00AA552A">
        <w:rPr>
          <w:rFonts w:cs="Cambria"/>
          <w:color w:val="000000"/>
        </w:rPr>
        <w:t>(</w:t>
      </w:r>
      <w:r w:rsidRPr="00AA552A">
        <w:rPr>
          <w:rFonts w:cs="Cambria"/>
          <w:color w:val="000000"/>
          <w:spacing w:val="-1"/>
        </w:rPr>
        <w:t>V</w:t>
      </w:r>
      <w:r w:rsidRPr="00AA552A">
        <w:rPr>
          <w:rFonts w:cs="Cambria"/>
          <w:color w:val="000000"/>
          <w:spacing w:val="1"/>
        </w:rPr>
        <w:t>MS</w:t>
      </w:r>
      <w:r w:rsidRPr="00AA552A">
        <w:rPr>
          <w:rFonts w:cs="Cambria"/>
          <w:color w:val="000000"/>
        </w:rPr>
        <w:t>)</w:t>
      </w:r>
      <w:r w:rsidRPr="00AA552A">
        <w:rPr>
          <w:rFonts w:cs="Cambria"/>
          <w:color w:val="000000"/>
          <w:spacing w:val="-3"/>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Rock</w:t>
      </w:r>
      <w:r w:rsidRPr="00AA552A">
        <w:rPr>
          <w:rFonts w:cs="Cambria"/>
          <w:color w:val="000000"/>
          <w:spacing w:val="-3"/>
        </w:rPr>
        <w:t xml:space="preserve"> </w:t>
      </w:r>
      <w:r w:rsidRPr="00AA552A">
        <w:rPr>
          <w:rFonts w:cs="Cambria"/>
          <w:color w:val="000000"/>
          <w:spacing w:val="1"/>
        </w:rPr>
        <w:t>S</w:t>
      </w:r>
      <w:r w:rsidRPr="00AA552A">
        <w:rPr>
          <w:rFonts w:cs="Cambria"/>
          <w:color w:val="000000"/>
        </w:rPr>
        <w:t>h</w:t>
      </w:r>
      <w:r w:rsidRPr="00AA552A">
        <w:rPr>
          <w:rFonts w:cs="Cambria"/>
          <w:color w:val="000000"/>
          <w:spacing w:val="-1"/>
        </w:rPr>
        <w:t>r</w:t>
      </w:r>
      <w:r w:rsidRPr="00AA552A">
        <w:rPr>
          <w:rFonts w:cs="Cambria"/>
          <w:color w:val="000000"/>
          <w:spacing w:val="1"/>
        </w:rPr>
        <w:t>i</w:t>
      </w:r>
      <w:r w:rsidRPr="00AA552A">
        <w:rPr>
          <w:rFonts w:cs="Cambria"/>
          <w:color w:val="000000"/>
        </w:rPr>
        <w:t>mp</w:t>
      </w:r>
      <w:r w:rsidRPr="00AA552A">
        <w:rPr>
          <w:rFonts w:cs="Cambria"/>
          <w:color w:val="000000"/>
          <w:spacing w:val="-2"/>
        </w:rPr>
        <w:t xml:space="preserve"> </w:t>
      </w:r>
      <w:r w:rsidRPr="00AA552A">
        <w:rPr>
          <w:rFonts w:cs="Cambria"/>
          <w:color w:val="000000"/>
          <w:spacing w:val="1"/>
        </w:rPr>
        <w:t>Fi</w:t>
      </w:r>
      <w:r w:rsidRPr="00AA552A">
        <w:rPr>
          <w:rFonts w:cs="Cambria"/>
          <w:color w:val="000000"/>
        </w:rPr>
        <w:t>sh</w:t>
      </w:r>
      <w:r w:rsidRPr="00AA552A">
        <w:rPr>
          <w:rFonts w:cs="Cambria"/>
          <w:color w:val="000000"/>
          <w:spacing w:val="1"/>
        </w:rPr>
        <w:t>e</w:t>
      </w:r>
      <w:r w:rsidRPr="00AA552A">
        <w:rPr>
          <w:rFonts w:cs="Cambria"/>
          <w:color w:val="000000"/>
          <w:spacing w:val="-1"/>
        </w:rPr>
        <w:t>ry</w:t>
      </w:r>
      <w:r w:rsidRPr="00AA552A">
        <w:rPr>
          <w:rFonts w:cs="Cambria"/>
          <w:color w:val="000000"/>
        </w:rPr>
        <w:t>.</w:t>
      </w:r>
    </w:p>
    <w:p w14:paraId="36F21B1F" w14:textId="77777777" w:rsidR="00DC4922" w:rsidRPr="00AA552A" w:rsidRDefault="00DC4922" w:rsidP="00DC4922">
      <w:pPr>
        <w:rPr>
          <w:rFonts w:cs="Cambria"/>
          <w:color w:val="000000"/>
        </w:rPr>
      </w:pPr>
      <w:r w:rsidRPr="00AA552A">
        <w:rPr>
          <w:color w:val="000000"/>
          <w:w w:val="131"/>
        </w:rPr>
        <w:t>•</w:t>
      </w:r>
      <w:r w:rsidRPr="00AA552A">
        <w:rPr>
          <w:color w:val="000000"/>
        </w:rPr>
        <w:tab/>
      </w:r>
      <w:r w:rsidRPr="00AA552A">
        <w:rPr>
          <w:rFonts w:cs="Cambria"/>
          <w:color w:val="000000"/>
        </w:rPr>
        <w:t>A</w:t>
      </w:r>
      <w:r w:rsidRPr="00AA552A">
        <w:rPr>
          <w:rFonts w:cs="Cambria"/>
          <w:color w:val="000000"/>
          <w:spacing w:val="-1"/>
        </w:rPr>
        <w:t xml:space="preserve"> </w:t>
      </w:r>
      <w:r w:rsidRPr="00AA552A">
        <w:rPr>
          <w:rFonts w:cs="Cambria"/>
          <w:color w:val="000000"/>
        </w:rPr>
        <w:t>m</w:t>
      </w:r>
      <w:r w:rsidRPr="00AA552A">
        <w:rPr>
          <w:rFonts w:cs="Cambria"/>
          <w:color w:val="000000"/>
          <w:spacing w:val="1"/>
        </w:rPr>
        <w:t>e</w:t>
      </w:r>
      <w:r w:rsidRPr="00AA552A">
        <w:rPr>
          <w:rFonts w:cs="Cambria"/>
          <w:color w:val="000000"/>
        </w:rPr>
        <w:t>chan</w:t>
      </w:r>
      <w:r w:rsidRPr="00AA552A">
        <w:rPr>
          <w:rFonts w:cs="Cambria"/>
          <w:color w:val="000000"/>
          <w:spacing w:val="1"/>
        </w:rPr>
        <w:t>i</w:t>
      </w:r>
      <w:r w:rsidRPr="00AA552A">
        <w:rPr>
          <w:rFonts w:cs="Cambria"/>
          <w:color w:val="000000"/>
        </w:rPr>
        <w:t>sm</w:t>
      </w:r>
      <w:r w:rsidRPr="00AA552A">
        <w:rPr>
          <w:rFonts w:cs="Cambria"/>
          <w:color w:val="000000"/>
          <w:spacing w:val="-6"/>
        </w:rPr>
        <w:t xml:space="preserve"> </w:t>
      </w:r>
      <w:r w:rsidRPr="00AA552A">
        <w:rPr>
          <w:rFonts w:cs="Cambria"/>
          <w:color w:val="000000"/>
        </w:rPr>
        <w:t xml:space="preserve">that </w:t>
      </w:r>
      <w:r w:rsidRPr="00AA552A">
        <w:rPr>
          <w:rFonts w:cs="Cambria"/>
          <w:color w:val="000000"/>
          <w:spacing w:val="1"/>
        </w:rPr>
        <w:t>p</w:t>
      </w:r>
      <w:r w:rsidRPr="00AA552A">
        <w:rPr>
          <w:rFonts w:cs="Cambria"/>
          <w:color w:val="000000"/>
          <w:spacing w:val="-1"/>
        </w:rPr>
        <w:t>r</w:t>
      </w:r>
      <w:r w:rsidRPr="00AA552A">
        <w:rPr>
          <w:rFonts w:cs="Cambria"/>
          <w:color w:val="000000"/>
        </w:rPr>
        <w:t>o</w:t>
      </w:r>
      <w:r w:rsidRPr="00AA552A">
        <w:rPr>
          <w:rFonts w:cs="Cambria"/>
          <w:color w:val="000000"/>
          <w:spacing w:val="-1"/>
        </w:rPr>
        <w:t>v</w:t>
      </w:r>
      <w:r w:rsidRPr="00AA552A">
        <w:rPr>
          <w:rFonts w:cs="Cambria"/>
          <w:color w:val="000000"/>
          <w:spacing w:val="1"/>
        </w:rPr>
        <w:t>i</w:t>
      </w:r>
      <w:r w:rsidRPr="00AA552A">
        <w:rPr>
          <w:rFonts w:cs="Cambria"/>
          <w:color w:val="000000"/>
          <w:spacing w:val="-1"/>
        </w:rPr>
        <w:t>d</w:t>
      </w:r>
      <w:r w:rsidRPr="00AA552A">
        <w:rPr>
          <w:rFonts w:cs="Cambria"/>
          <w:color w:val="000000"/>
          <w:spacing w:val="1"/>
        </w:rPr>
        <w:t>e</w:t>
      </w:r>
      <w:r w:rsidRPr="00AA552A">
        <w:rPr>
          <w:rFonts w:cs="Cambria"/>
          <w:color w:val="000000"/>
        </w:rPr>
        <w:t>s</w:t>
      </w:r>
      <w:r w:rsidRPr="00AA552A">
        <w:rPr>
          <w:rFonts w:cs="Cambria"/>
          <w:color w:val="000000"/>
          <w:spacing w:val="-8"/>
        </w:rPr>
        <w:t xml:space="preserve"> </w:t>
      </w:r>
      <w:r w:rsidRPr="00AA552A">
        <w:rPr>
          <w:rFonts w:cs="Cambria"/>
          <w:color w:val="000000"/>
          <w:spacing w:val="-1"/>
        </w:rPr>
        <w:t>f</w:t>
      </w:r>
      <w:r w:rsidRPr="00AA552A">
        <w:rPr>
          <w:rFonts w:cs="Cambria"/>
          <w:color w:val="000000"/>
        </w:rPr>
        <w:t>or</w:t>
      </w:r>
      <w:r w:rsidRPr="00AA552A">
        <w:rPr>
          <w:rFonts w:cs="Cambria"/>
          <w:color w:val="000000"/>
          <w:spacing w:val="-4"/>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concu</w:t>
      </w:r>
      <w:r w:rsidRPr="00AA552A">
        <w:rPr>
          <w:rFonts w:cs="Cambria"/>
          <w:color w:val="000000"/>
          <w:spacing w:val="1"/>
        </w:rPr>
        <w:t>r</w:t>
      </w:r>
      <w:r w:rsidRPr="00AA552A">
        <w:rPr>
          <w:rFonts w:cs="Cambria"/>
          <w:color w:val="000000"/>
          <w:spacing w:val="-1"/>
        </w:rPr>
        <w:t>r</w:t>
      </w:r>
      <w:r w:rsidRPr="00AA552A">
        <w:rPr>
          <w:rFonts w:cs="Cambria"/>
          <w:color w:val="000000"/>
          <w:spacing w:val="1"/>
        </w:rPr>
        <w:t>e</w:t>
      </w:r>
      <w:r w:rsidRPr="00AA552A">
        <w:rPr>
          <w:rFonts w:cs="Cambria"/>
          <w:color w:val="000000"/>
        </w:rPr>
        <w:t>nt</w:t>
      </w:r>
      <w:r w:rsidRPr="00AA552A">
        <w:rPr>
          <w:rFonts w:cs="Cambria"/>
          <w:color w:val="000000"/>
          <w:spacing w:val="-8"/>
        </w:rPr>
        <w:t xml:space="preserve"> </w:t>
      </w:r>
      <w:r w:rsidRPr="00AA552A">
        <w:rPr>
          <w:rFonts w:cs="Cambria"/>
          <w:color w:val="000000"/>
        </w:rPr>
        <w:t>closu</w:t>
      </w:r>
      <w:r w:rsidRPr="00AA552A">
        <w:rPr>
          <w:rFonts w:cs="Cambria"/>
          <w:color w:val="000000"/>
          <w:spacing w:val="-1"/>
        </w:rPr>
        <w:t>r</w:t>
      </w:r>
      <w:r w:rsidRPr="00AA552A">
        <w:rPr>
          <w:rFonts w:cs="Cambria"/>
          <w:color w:val="000000"/>
        </w:rPr>
        <w:t>e</w:t>
      </w:r>
      <w:r w:rsidRPr="00AA552A">
        <w:rPr>
          <w:rFonts w:cs="Cambria"/>
          <w:color w:val="000000"/>
          <w:spacing w:val="-6"/>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EE</w:t>
      </w:r>
      <w:r w:rsidRPr="00AA552A">
        <w:rPr>
          <w:rFonts w:cs="Cambria"/>
          <w:color w:val="000000"/>
        </w:rPr>
        <w:t>Z to</w:t>
      </w:r>
      <w:r w:rsidRPr="00AA552A">
        <w:rPr>
          <w:rFonts w:cs="Cambria"/>
          <w:color w:val="000000"/>
          <w:spacing w:val="-1"/>
        </w:rPr>
        <w:t xml:space="preserve"> </w:t>
      </w:r>
      <w:r w:rsidRPr="00AA552A">
        <w:rPr>
          <w:rFonts w:cs="Cambria"/>
          <w:color w:val="000000"/>
          <w:spacing w:val="1"/>
        </w:rPr>
        <w:t>pe</w:t>
      </w:r>
      <w:r w:rsidRPr="00AA552A">
        <w:rPr>
          <w:rFonts w:cs="Cambria"/>
          <w:color w:val="000000"/>
          <w:spacing w:val="-2"/>
        </w:rPr>
        <w:t>n</w:t>
      </w:r>
      <w:r w:rsidRPr="00AA552A">
        <w:rPr>
          <w:rFonts w:cs="Cambria"/>
          <w:color w:val="000000"/>
        </w:rPr>
        <w:t>a</w:t>
      </w:r>
      <w:r w:rsidRPr="00AA552A">
        <w:rPr>
          <w:rFonts w:cs="Cambria"/>
          <w:color w:val="000000"/>
          <w:spacing w:val="1"/>
        </w:rPr>
        <w:t>ei</w:t>
      </w:r>
      <w:r w:rsidRPr="00AA552A">
        <w:rPr>
          <w:rFonts w:cs="Cambria"/>
          <w:color w:val="000000"/>
        </w:rPr>
        <w:t>d</w:t>
      </w:r>
      <w:r w:rsidRPr="00AA552A">
        <w:rPr>
          <w:rFonts w:cs="Cambria"/>
          <w:color w:val="000000"/>
          <w:spacing w:val="-5"/>
        </w:rPr>
        <w:t xml:space="preserve"> </w:t>
      </w:r>
      <w:r w:rsidRPr="00AA552A">
        <w:rPr>
          <w:rFonts w:cs="Cambria"/>
          <w:color w:val="000000"/>
        </w:rPr>
        <w:t>sh</w:t>
      </w:r>
      <w:r w:rsidRPr="00AA552A">
        <w:rPr>
          <w:rFonts w:cs="Cambria"/>
          <w:color w:val="000000"/>
          <w:spacing w:val="-1"/>
        </w:rPr>
        <w:t>r</w:t>
      </w:r>
      <w:r w:rsidRPr="00AA552A">
        <w:rPr>
          <w:rFonts w:cs="Cambria"/>
          <w:color w:val="000000"/>
          <w:spacing w:val="1"/>
        </w:rPr>
        <w:t>i</w:t>
      </w:r>
      <w:r w:rsidRPr="00AA552A">
        <w:rPr>
          <w:rFonts w:cs="Cambria"/>
          <w:color w:val="000000"/>
        </w:rPr>
        <w:t>m</w:t>
      </w:r>
      <w:r w:rsidRPr="00AA552A">
        <w:rPr>
          <w:rFonts w:cs="Cambria"/>
          <w:color w:val="000000"/>
          <w:spacing w:val="1"/>
        </w:rPr>
        <w:t>pi</w:t>
      </w:r>
      <w:r w:rsidRPr="00AA552A">
        <w:rPr>
          <w:rFonts w:cs="Cambria"/>
          <w:color w:val="000000"/>
        </w:rPr>
        <w:t>ng</w:t>
      </w:r>
      <w:r w:rsidRPr="00AA552A">
        <w:rPr>
          <w:rFonts w:cs="Cambria"/>
          <w:color w:val="000000"/>
          <w:spacing w:val="-6"/>
        </w:rPr>
        <w:t xml:space="preserve"> </w:t>
      </w:r>
      <w:r w:rsidRPr="00AA552A">
        <w:rPr>
          <w:rFonts w:cs="Cambria"/>
          <w:color w:val="000000"/>
          <w:spacing w:val="1"/>
        </w:rPr>
        <w:t>i</w:t>
      </w:r>
      <w:r w:rsidRPr="00AA552A">
        <w:rPr>
          <w:rFonts w:cs="Cambria"/>
          <w:color w:val="000000"/>
        </w:rPr>
        <w:t xml:space="preserve">f </w:t>
      </w:r>
      <w:r w:rsidRPr="00AA552A">
        <w:rPr>
          <w:rFonts w:cs="Cambria"/>
          <w:color w:val="000000"/>
          <w:spacing w:val="1"/>
        </w:rPr>
        <w:t>e</w:t>
      </w:r>
      <w:r w:rsidRPr="00AA552A">
        <w:rPr>
          <w:rFonts w:cs="Cambria"/>
          <w:color w:val="000000"/>
        </w:rPr>
        <w:t>n</w:t>
      </w:r>
      <w:r w:rsidRPr="00AA552A">
        <w:rPr>
          <w:rFonts w:cs="Cambria"/>
          <w:color w:val="000000"/>
          <w:spacing w:val="-1"/>
        </w:rPr>
        <w:t>v</w:t>
      </w:r>
      <w:r w:rsidRPr="00AA552A">
        <w:rPr>
          <w:rFonts w:cs="Cambria"/>
          <w:color w:val="000000"/>
          <w:spacing w:val="1"/>
        </w:rPr>
        <w:t>i</w:t>
      </w:r>
      <w:r w:rsidRPr="00AA552A">
        <w:rPr>
          <w:rFonts w:cs="Cambria"/>
          <w:color w:val="000000"/>
          <w:spacing w:val="-1"/>
        </w:rPr>
        <w:t>r</w:t>
      </w:r>
      <w:r w:rsidRPr="00AA552A">
        <w:rPr>
          <w:rFonts w:cs="Cambria"/>
          <w:color w:val="000000"/>
        </w:rPr>
        <w:t>onm</w:t>
      </w:r>
      <w:r w:rsidRPr="00AA552A">
        <w:rPr>
          <w:rFonts w:cs="Cambria"/>
          <w:color w:val="000000"/>
          <w:spacing w:val="1"/>
        </w:rPr>
        <w:t>e</w:t>
      </w:r>
      <w:r w:rsidRPr="00AA552A">
        <w:rPr>
          <w:rFonts w:cs="Cambria"/>
          <w:color w:val="000000"/>
        </w:rPr>
        <w:t>ntal</w:t>
      </w:r>
      <w:r w:rsidRPr="00AA552A">
        <w:rPr>
          <w:rFonts w:cs="Cambria"/>
          <w:color w:val="000000"/>
          <w:spacing w:val="-6"/>
        </w:rPr>
        <w:t xml:space="preserve"> </w:t>
      </w:r>
      <w:r w:rsidRPr="00AA552A">
        <w:rPr>
          <w:rFonts w:cs="Cambria"/>
          <w:color w:val="000000"/>
        </w:rPr>
        <w:t>con</w:t>
      </w:r>
      <w:r w:rsidRPr="00AA552A">
        <w:rPr>
          <w:rFonts w:cs="Cambria"/>
          <w:color w:val="000000"/>
          <w:spacing w:val="-1"/>
        </w:rPr>
        <w:t>d</w:t>
      </w:r>
      <w:r w:rsidRPr="00AA552A">
        <w:rPr>
          <w:rFonts w:cs="Cambria"/>
          <w:color w:val="000000"/>
          <w:spacing w:val="1"/>
        </w:rPr>
        <w:t>i</w:t>
      </w:r>
      <w:r w:rsidRPr="00AA552A">
        <w:rPr>
          <w:rFonts w:cs="Cambria"/>
          <w:color w:val="000000"/>
        </w:rPr>
        <w:t>t</w:t>
      </w:r>
      <w:r w:rsidRPr="00AA552A">
        <w:rPr>
          <w:rFonts w:cs="Cambria"/>
          <w:color w:val="000000"/>
          <w:spacing w:val="1"/>
        </w:rPr>
        <w:t>i</w:t>
      </w:r>
      <w:r w:rsidRPr="00AA552A">
        <w:rPr>
          <w:rFonts w:cs="Cambria"/>
          <w:color w:val="000000"/>
        </w:rPr>
        <w:t>ons</w:t>
      </w:r>
      <w:r w:rsidRPr="00AA552A">
        <w:rPr>
          <w:rFonts w:cs="Cambria"/>
          <w:color w:val="000000"/>
          <w:spacing w:val="-7"/>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state</w:t>
      </w:r>
      <w:r w:rsidRPr="00AA552A">
        <w:rPr>
          <w:rFonts w:cs="Cambria"/>
          <w:color w:val="000000"/>
          <w:spacing w:val="-1"/>
        </w:rPr>
        <w:t xml:space="preserve"> w</w:t>
      </w:r>
      <w:r w:rsidRPr="00AA552A">
        <w:rPr>
          <w:rFonts w:cs="Cambria"/>
          <w:color w:val="000000"/>
        </w:rPr>
        <w:t>at</w:t>
      </w:r>
      <w:r w:rsidRPr="00AA552A">
        <w:rPr>
          <w:rFonts w:cs="Cambria"/>
          <w:color w:val="000000"/>
          <w:spacing w:val="1"/>
        </w:rPr>
        <w:t>e</w:t>
      </w:r>
      <w:r w:rsidRPr="00AA552A">
        <w:rPr>
          <w:rFonts w:cs="Cambria"/>
          <w:color w:val="000000"/>
          <w:spacing w:val="-1"/>
        </w:rPr>
        <w:t>r</w:t>
      </w:r>
      <w:r w:rsidRPr="00AA552A">
        <w:rPr>
          <w:rFonts w:cs="Cambria"/>
          <w:color w:val="000000"/>
        </w:rPr>
        <w:t>s</w:t>
      </w:r>
      <w:r w:rsidRPr="00AA552A">
        <w:rPr>
          <w:rFonts w:cs="Cambria"/>
          <w:color w:val="000000"/>
          <w:spacing w:val="-3"/>
        </w:rPr>
        <w:t xml:space="preserve"> </w:t>
      </w:r>
      <w:r w:rsidRPr="00AA552A">
        <w:rPr>
          <w:rFonts w:cs="Cambria"/>
          <w:color w:val="000000"/>
        </w:rPr>
        <w:t>a</w:t>
      </w:r>
      <w:r w:rsidRPr="00AA552A">
        <w:rPr>
          <w:rFonts w:cs="Cambria"/>
          <w:color w:val="000000"/>
          <w:spacing w:val="-1"/>
        </w:rPr>
        <w:t>r</w:t>
      </w:r>
      <w:r w:rsidRPr="00AA552A">
        <w:rPr>
          <w:rFonts w:cs="Cambria"/>
          <w:color w:val="000000"/>
        </w:rPr>
        <w:t>e</w:t>
      </w:r>
      <w:r w:rsidRPr="00AA552A">
        <w:rPr>
          <w:rFonts w:cs="Cambria"/>
          <w:color w:val="000000"/>
          <w:spacing w:val="-1"/>
        </w:rPr>
        <w:t xml:space="preserve"> </w:t>
      </w:r>
      <w:r w:rsidRPr="00AA552A">
        <w:rPr>
          <w:rFonts w:cs="Cambria"/>
          <w:color w:val="000000"/>
          <w:spacing w:val="-2"/>
        </w:rPr>
        <w:t>s</w:t>
      </w:r>
      <w:r w:rsidRPr="00AA552A">
        <w:rPr>
          <w:rFonts w:cs="Cambria"/>
          <w:color w:val="000000"/>
          <w:spacing w:val="-1"/>
        </w:rPr>
        <w:t>u</w:t>
      </w:r>
      <w:r w:rsidRPr="00AA552A">
        <w:rPr>
          <w:rFonts w:cs="Cambria"/>
          <w:color w:val="000000"/>
        </w:rPr>
        <w:t>ch</w:t>
      </w:r>
      <w:r w:rsidRPr="00AA552A">
        <w:rPr>
          <w:rFonts w:cs="Cambria"/>
          <w:color w:val="000000"/>
          <w:spacing w:val="-3"/>
        </w:rPr>
        <w:t xml:space="preserve"> </w:t>
      </w:r>
      <w:r w:rsidRPr="00AA552A">
        <w:rPr>
          <w:rFonts w:cs="Cambria"/>
          <w:color w:val="000000"/>
        </w:rPr>
        <w:t>that</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o</w:t>
      </w:r>
      <w:r w:rsidRPr="00AA552A">
        <w:rPr>
          <w:rFonts w:cs="Cambria"/>
          <w:color w:val="000000"/>
          <w:spacing w:val="-1"/>
        </w:rPr>
        <w:t>v</w:t>
      </w:r>
      <w:r w:rsidRPr="00AA552A">
        <w:rPr>
          <w:rFonts w:cs="Cambria"/>
          <w:color w:val="000000"/>
          <w:spacing w:val="1"/>
        </w:rPr>
        <w:t>e</w:t>
      </w:r>
      <w:r w:rsidRPr="00AA552A">
        <w:rPr>
          <w:rFonts w:cs="Cambria"/>
          <w:color w:val="000000"/>
          <w:spacing w:val="-1"/>
        </w:rPr>
        <w:t>rw</w:t>
      </w:r>
      <w:r w:rsidRPr="00AA552A">
        <w:rPr>
          <w:rFonts w:cs="Cambria"/>
          <w:color w:val="000000"/>
          <w:spacing w:val="1"/>
        </w:rPr>
        <w:t>i</w:t>
      </w:r>
      <w:r w:rsidRPr="00AA552A">
        <w:rPr>
          <w:rFonts w:cs="Cambria"/>
          <w:color w:val="000000"/>
        </w:rPr>
        <w:t>nt</w:t>
      </w:r>
      <w:r w:rsidRPr="00AA552A">
        <w:rPr>
          <w:rFonts w:cs="Cambria"/>
          <w:color w:val="000000"/>
          <w:spacing w:val="1"/>
        </w:rPr>
        <w:t>e</w:t>
      </w:r>
      <w:r w:rsidRPr="00AA552A">
        <w:rPr>
          <w:rFonts w:cs="Cambria"/>
          <w:color w:val="000000"/>
          <w:spacing w:val="2"/>
        </w:rPr>
        <w:t>r</w:t>
      </w:r>
      <w:r w:rsidRPr="00AA552A">
        <w:rPr>
          <w:rFonts w:cs="Cambria"/>
          <w:color w:val="000000"/>
          <w:spacing w:val="1"/>
        </w:rPr>
        <w:t>i</w:t>
      </w:r>
      <w:r w:rsidRPr="00AA552A">
        <w:rPr>
          <w:rFonts w:cs="Cambria"/>
          <w:color w:val="000000"/>
        </w:rPr>
        <w:t>ng</w:t>
      </w:r>
      <w:r w:rsidRPr="00AA552A">
        <w:rPr>
          <w:rFonts w:cs="Cambria"/>
          <w:color w:val="000000"/>
          <w:spacing w:val="-9"/>
        </w:rPr>
        <w:t xml:space="preserve"> </w:t>
      </w:r>
      <w:r w:rsidRPr="00AA552A">
        <w:rPr>
          <w:rFonts w:cs="Cambria"/>
          <w:color w:val="000000"/>
        </w:rPr>
        <w:t>s</w:t>
      </w:r>
      <w:r w:rsidRPr="00AA552A">
        <w:rPr>
          <w:rFonts w:cs="Cambria"/>
          <w:color w:val="000000"/>
          <w:spacing w:val="1"/>
        </w:rPr>
        <w:t>p</w:t>
      </w:r>
      <w:r w:rsidRPr="00AA552A">
        <w:rPr>
          <w:rFonts w:cs="Cambria"/>
          <w:color w:val="000000"/>
        </w:rPr>
        <w:t>a</w:t>
      </w:r>
      <w:r w:rsidRPr="00AA552A">
        <w:rPr>
          <w:rFonts w:cs="Cambria"/>
          <w:color w:val="000000"/>
          <w:spacing w:val="-1"/>
        </w:rPr>
        <w:t>w</w:t>
      </w:r>
      <w:r w:rsidRPr="00AA552A">
        <w:rPr>
          <w:rFonts w:cs="Cambria"/>
          <w:color w:val="000000"/>
        </w:rPr>
        <w:t>n</w:t>
      </w:r>
      <w:r w:rsidRPr="00AA552A">
        <w:rPr>
          <w:rFonts w:cs="Cambria"/>
          <w:color w:val="000000"/>
          <w:spacing w:val="1"/>
        </w:rPr>
        <w:t>i</w:t>
      </w:r>
      <w:r w:rsidRPr="00AA552A">
        <w:rPr>
          <w:rFonts w:cs="Cambria"/>
          <w:color w:val="000000"/>
        </w:rPr>
        <w:t>ng</w:t>
      </w:r>
      <w:r w:rsidRPr="00AA552A">
        <w:rPr>
          <w:rFonts w:cs="Cambria"/>
          <w:color w:val="000000"/>
          <w:spacing w:val="-3"/>
        </w:rPr>
        <w:t xml:space="preserve"> </w:t>
      </w:r>
      <w:r w:rsidRPr="00AA552A">
        <w:rPr>
          <w:rFonts w:cs="Cambria"/>
          <w:color w:val="000000"/>
        </w:rPr>
        <w:t>stock</w:t>
      </w:r>
      <w:r w:rsidRPr="00AA552A">
        <w:rPr>
          <w:rFonts w:cs="Cambria"/>
          <w:color w:val="000000"/>
          <w:spacing w:val="-4"/>
        </w:rPr>
        <w:t xml:space="preserve"> </w:t>
      </w:r>
      <w:r w:rsidRPr="00AA552A">
        <w:rPr>
          <w:rFonts w:cs="Cambria"/>
          <w:color w:val="000000"/>
          <w:spacing w:val="1"/>
        </w:rPr>
        <w:t>i</w:t>
      </w:r>
      <w:r w:rsidRPr="00AA552A">
        <w:rPr>
          <w:rFonts w:cs="Cambria"/>
          <w:color w:val="000000"/>
        </w:rPr>
        <w:t>s s</w:t>
      </w:r>
      <w:r w:rsidRPr="00AA552A">
        <w:rPr>
          <w:rFonts w:cs="Cambria"/>
          <w:color w:val="000000"/>
          <w:spacing w:val="1"/>
        </w:rPr>
        <w:t>e</w:t>
      </w:r>
      <w:r w:rsidRPr="00AA552A">
        <w:rPr>
          <w:rFonts w:cs="Cambria"/>
          <w:color w:val="000000"/>
          <w:spacing w:val="-1"/>
        </w:rPr>
        <w:t>v</w:t>
      </w:r>
      <w:r w:rsidRPr="00AA552A">
        <w:rPr>
          <w:rFonts w:cs="Cambria"/>
          <w:color w:val="000000"/>
          <w:spacing w:val="1"/>
        </w:rPr>
        <w:t>e</w:t>
      </w:r>
      <w:r w:rsidRPr="00AA552A">
        <w:rPr>
          <w:rFonts w:cs="Cambria"/>
          <w:color w:val="000000"/>
          <w:spacing w:val="-1"/>
        </w:rPr>
        <w:t>r</w:t>
      </w:r>
      <w:r w:rsidRPr="00AA552A">
        <w:rPr>
          <w:rFonts w:cs="Cambria"/>
          <w:color w:val="000000"/>
          <w:spacing w:val="1"/>
        </w:rPr>
        <w:t>e</w:t>
      </w:r>
      <w:r w:rsidRPr="00AA552A">
        <w:rPr>
          <w:rFonts w:cs="Cambria"/>
          <w:color w:val="000000"/>
        </w:rPr>
        <w:t>ly</w:t>
      </w:r>
      <w:r w:rsidRPr="00AA552A">
        <w:rPr>
          <w:rFonts w:cs="Cambria"/>
          <w:color w:val="000000"/>
          <w:spacing w:val="-9"/>
        </w:rPr>
        <w:t xml:space="preserve"> </w:t>
      </w:r>
      <w:r w:rsidRPr="00AA552A">
        <w:rPr>
          <w:rFonts w:cs="Cambria"/>
          <w:color w:val="000000"/>
          <w:spacing w:val="-1"/>
        </w:rPr>
        <w:t>d</w:t>
      </w:r>
      <w:r w:rsidRPr="00AA552A">
        <w:rPr>
          <w:rFonts w:cs="Cambria"/>
          <w:color w:val="000000"/>
          <w:spacing w:val="1"/>
        </w:rPr>
        <w:t>ep</w:t>
      </w:r>
      <w:r w:rsidRPr="00AA552A">
        <w:rPr>
          <w:rFonts w:cs="Cambria"/>
          <w:color w:val="000000"/>
        </w:rPr>
        <w:t>l</w:t>
      </w:r>
      <w:r w:rsidRPr="00AA552A">
        <w:rPr>
          <w:rFonts w:cs="Cambria"/>
          <w:color w:val="000000"/>
          <w:spacing w:val="1"/>
        </w:rPr>
        <w:t>e</w:t>
      </w:r>
      <w:r w:rsidRPr="00AA552A">
        <w:rPr>
          <w:rFonts w:cs="Cambria"/>
          <w:color w:val="000000"/>
        </w:rPr>
        <w:t>t</w:t>
      </w:r>
      <w:r w:rsidRPr="00AA552A">
        <w:rPr>
          <w:rFonts w:cs="Cambria"/>
          <w:color w:val="000000"/>
          <w:spacing w:val="1"/>
        </w:rPr>
        <w:t>e</w:t>
      </w:r>
      <w:r w:rsidRPr="00AA552A">
        <w:rPr>
          <w:rFonts w:cs="Cambria"/>
          <w:color w:val="000000"/>
          <w:spacing w:val="-1"/>
        </w:rPr>
        <w:t>d</w:t>
      </w:r>
      <w:r w:rsidRPr="00AA552A">
        <w:rPr>
          <w:rFonts w:cs="Cambria"/>
          <w:color w:val="000000"/>
        </w:rPr>
        <w:t>.</w:t>
      </w:r>
    </w:p>
    <w:p w14:paraId="010752C0" w14:textId="77777777" w:rsidR="00DC4922" w:rsidRDefault="00DC4922" w:rsidP="00DC4922">
      <w:pPr>
        <w:rPr>
          <w:rFonts w:ascii="Cambria" w:hAnsi="Cambria" w:cs="Cambria"/>
          <w:color w:val="000000"/>
          <w:sz w:val="26"/>
        </w:rPr>
      </w:pPr>
    </w:p>
    <w:p w14:paraId="10FE451A" w14:textId="77777777" w:rsidR="00DC4922" w:rsidRPr="00EB603B" w:rsidRDefault="00DC4922" w:rsidP="00DC4922">
      <w:pPr>
        <w:rPr>
          <w:b/>
          <w:color w:val="000000"/>
        </w:rPr>
      </w:pPr>
      <w:r w:rsidRPr="00EB603B">
        <w:rPr>
          <w:b/>
          <w:i/>
          <w:iCs/>
          <w:color w:val="000000"/>
          <w:spacing w:val="1"/>
        </w:rPr>
        <w:t>Pe</w:t>
      </w:r>
      <w:r w:rsidRPr="00EB603B">
        <w:rPr>
          <w:b/>
          <w:i/>
          <w:iCs/>
          <w:color w:val="000000"/>
        </w:rPr>
        <w:t>l</w:t>
      </w:r>
      <w:r w:rsidRPr="00EB603B">
        <w:rPr>
          <w:b/>
          <w:i/>
          <w:iCs/>
          <w:color w:val="000000"/>
          <w:spacing w:val="1"/>
        </w:rPr>
        <w:t>a</w:t>
      </w:r>
      <w:r w:rsidRPr="00EB603B">
        <w:rPr>
          <w:b/>
          <w:i/>
          <w:iCs/>
          <w:color w:val="000000"/>
        </w:rPr>
        <w:t>g</w:t>
      </w:r>
      <w:r w:rsidRPr="00EB603B">
        <w:rPr>
          <w:b/>
          <w:i/>
          <w:iCs/>
          <w:color w:val="000000"/>
          <w:spacing w:val="-2"/>
        </w:rPr>
        <w:t>i</w:t>
      </w:r>
      <w:r w:rsidRPr="00EB603B">
        <w:rPr>
          <w:b/>
          <w:i/>
          <w:iCs/>
          <w:color w:val="000000"/>
        </w:rPr>
        <w:t>c</w:t>
      </w:r>
      <w:r w:rsidRPr="00EB603B">
        <w:rPr>
          <w:b/>
          <w:i/>
          <w:iCs/>
          <w:color w:val="000000"/>
          <w:spacing w:val="1"/>
        </w:rPr>
        <w:t xml:space="preserve"> </w:t>
      </w:r>
      <w:r w:rsidRPr="00EB603B">
        <w:rPr>
          <w:b/>
          <w:i/>
          <w:iCs/>
          <w:color w:val="000000"/>
          <w:spacing w:val="-2"/>
        </w:rPr>
        <w:t>S</w:t>
      </w:r>
      <w:r w:rsidRPr="00EB603B">
        <w:rPr>
          <w:b/>
          <w:i/>
          <w:iCs/>
          <w:color w:val="000000"/>
          <w:spacing w:val="1"/>
        </w:rPr>
        <w:t>a</w:t>
      </w:r>
      <w:r w:rsidRPr="00EB603B">
        <w:rPr>
          <w:b/>
          <w:i/>
          <w:iCs/>
          <w:color w:val="000000"/>
        </w:rPr>
        <w:t>rg</w:t>
      </w:r>
      <w:r w:rsidRPr="00EB603B">
        <w:rPr>
          <w:b/>
          <w:i/>
          <w:iCs/>
          <w:color w:val="000000"/>
          <w:spacing w:val="1"/>
        </w:rPr>
        <w:t>a</w:t>
      </w:r>
      <w:r w:rsidRPr="00EB603B">
        <w:rPr>
          <w:b/>
          <w:i/>
          <w:iCs/>
          <w:color w:val="000000"/>
          <w:spacing w:val="-1"/>
        </w:rPr>
        <w:t>s</w:t>
      </w:r>
      <w:r w:rsidRPr="00EB603B">
        <w:rPr>
          <w:b/>
          <w:i/>
          <w:iCs/>
          <w:color w:val="000000"/>
          <w:spacing w:val="1"/>
        </w:rPr>
        <w:t>s</w:t>
      </w:r>
      <w:r w:rsidRPr="00EB603B">
        <w:rPr>
          <w:b/>
          <w:i/>
          <w:iCs/>
          <w:color w:val="000000"/>
        </w:rPr>
        <w:t>um</w:t>
      </w:r>
      <w:r w:rsidRPr="00EB603B">
        <w:rPr>
          <w:b/>
          <w:i/>
          <w:iCs/>
          <w:color w:val="000000"/>
          <w:spacing w:val="1"/>
        </w:rPr>
        <w:t xml:space="preserve"> </w:t>
      </w:r>
      <w:r w:rsidRPr="00EB603B">
        <w:rPr>
          <w:b/>
          <w:color w:val="000000"/>
          <w:spacing w:val="-3"/>
        </w:rPr>
        <w:t>H</w:t>
      </w:r>
      <w:r w:rsidRPr="00EB603B">
        <w:rPr>
          <w:b/>
          <w:color w:val="000000"/>
          <w:spacing w:val="1"/>
        </w:rPr>
        <w:t>a</w:t>
      </w:r>
      <w:r w:rsidRPr="00EB603B">
        <w:rPr>
          <w:b/>
          <w:color w:val="000000"/>
        </w:rPr>
        <w:t>bi</w:t>
      </w:r>
      <w:r w:rsidRPr="00EB603B">
        <w:rPr>
          <w:b/>
          <w:color w:val="000000"/>
          <w:spacing w:val="-1"/>
        </w:rPr>
        <w:t>t</w:t>
      </w:r>
      <w:r w:rsidRPr="00EB603B">
        <w:rPr>
          <w:b/>
          <w:color w:val="000000"/>
          <w:spacing w:val="1"/>
        </w:rPr>
        <w:t>a</w:t>
      </w:r>
      <w:r w:rsidRPr="00EB603B">
        <w:rPr>
          <w:b/>
          <w:color w:val="000000"/>
        </w:rPr>
        <w:t>t F</w:t>
      </w:r>
      <w:r w:rsidRPr="00EB603B">
        <w:rPr>
          <w:b/>
          <w:color w:val="000000"/>
          <w:spacing w:val="-1"/>
        </w:rPr>
        <w:t>M</w:t>
      </w:r>
      <w:r w:rsidRPr="00EB603B">
        <w:rPr>
          <w:b/>
          <w:color w:val="000000"/>
        </w:rPr>
        <w:t>P</w:t>
      </w:r>
    </w:p>
    <w:p w14:paraId="05ADB684" w14:textId="77777777" w:rsidR="00DC4922" w:rsidRPr="00AA552A" w:rsidRDefault="00DC4922" w:rsidP="00DC4922">
      <w:pPr>
        <w:rPr>
          <w:rFonts w:cs="Cambria"/>
          <w:color w:val="000000"/>
        </w:rPr>
      </w:pPr>
      <w:r>
        <w:rPr>
          <w:color w:val="000000"/>
          <w:w w:val="131"/>
        </w:rPr>
        <w:t>•</w:t>
      </w:r>
      <w:r>
        <w:rPr>
          <w:color w:val="000000"/>
        </w:rPr>
        <w:tab/>
      </w:r>
      <w:r w:rsidRPr="00AA552A">
        <w:rPr>
          <w:rFonts w:cs="Cambria"/>
          <w:color w:val="000000"/>
          <w:spacing w:val="1"/>
        </w:rPr>
        <w:t>P</w:t>
      </w:r>
      <w:r w:rsidRPr="00AA552A">
        <w:rPr>
          <w:rFonts w:cs="Cambria"/>
          <w:color w:val="000000"/>
          <w:spacing w:val="-1"/>
        </w:rPr>
        <w:t>r</w:t>
      </w:r>
      <w:r w:rsidRPr="00AA552A">
        <w:rPr>
          <w:rFonts w:cs="Cambria"/>
          <w:color w:val="000000"/>
        </w:rPr>
        <w:t>oh</w:t>
      </w:r>
      <w:r w:rsidRPr="00AA552A">
        <w:rPr>
          <w:rFonts w:cs="Cambria"/>
          <w:color w:val="000000"/>
          <w:spacing w:val="1"/>
        </w:rPr>
        <w:t>ibi</w:t>
      </w:r>
      <w:r w:rsidRPr="00AA552A">
        <w:rPr>
          <w:rFonts w:cs="Cambria"/>
          <w:color w:val="000000"/>
        </w:rPr>
        <w:t>t</w:t>
      </w:r>
      <w:r w:rsidRPr="00AA552A">
        <w:rPr>
          <w:rFonts w:cs="Cambria"/>
          <w:color w:val="000000"/>
          <w:spacing w:val="1"/>
        </w:rPr>
        <w:t>e</w:t>
      </w:r>
      <w:r w:rsidRPr="00AA552A">
        <w:rPr>
          <w:rFonts w:cs="Cambria"/>
          <w:color w:val="000000"/>
        </w:rPr>
        <w:t>d</w:t>
      </w:r>
      <w:r w:rsidRPr="00AA552A">
        <w:rPr>
          <w:rFonts w:cs="Cambria"/>
          <w:color w:val="000000"/>
          <w:spacing w:val="-10"/>
        </w:rPr>
        <w:t xml:space="preserve"> </w:t>
      </w:r>
      <w:r w:rsidRPr="00AA552A">
        <w:rPr>
          <w:rFonts w:cs="Cambria"/>
          <w:color w:val="000000"/>
        </w:rPr>
        <w:t>all ha</w:t>
      </w:r>
      <w:r w:rsidRPr="00AA552A">
        <w:rPr>
          <w:rFonts w:cs="Cambria"/>
          <w:color w:val="000000"/>
          <w:spacing w:val="-1"/>
        </w:rPr>
        <w:t>rv</w:t>
      </w:r>
      <w:r w:rsidRPr="00AA552A">
        <w:rPr>
          <w:rFonts w:cs="Cambria"/>
          <w:color w:val="000000"/>
          <w:spacing w:val="1"/>
        </w:rPr>
        <w:t>e</w:t>
      </w:r>
      <w:r w:rsidRPr="00AA552A">
        <w:rPr>
          <w:rFonts w:cs="Cambria"/>
          <w:color w:val="000000"/>
        </w:rPr>
        <w:t>st</w:t>
      </w:r>
      <w:r w:rsidRPr="00AA552A">
        <w:rPr>
          <w:rFonts w:cs="Cambria"/>
          <w:color w:val="000000"/>
          <w:spacing w:val="-6"/>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p</w:t>
      </w:r>
      <w:r w:rsidRPr="00AA552A">
        <w:rPr>
          <w:rFonts w:cs="Cambria"/>
          <w:color w:val="000000"/>
        </w:rPr>
        <w:t>oss</w:t>
      </w:r>
      <w:r w:rsidRPr="00AA552A">
        <w:rPr>
          <w:rFonts w:cs="Cambria"/>
          <w:color w:val="000000"/>
          <w:spacing w:val="1"/>
        </w:rPr>
        <w:t>e</w:t>
      </w:r>
      <w:r w:rsidRPr="00AA552A">
        <w:rPr>
          <w:rFonts w:cs="Cambria"/>
          <w:color w:val="000000"/>
        </w:rPr>
        <w:t>ss</w:t>
      </w:r>
      <w:r w:rsidRPr="00AA552A">
        <w:rPr>
          <w:rFonts w:cs="Cambria"/>
          <w:color w:val="000000"/>
          <w:spacing w:val="1"/>
        </w:rPr>
        <w:t>i</w:t>
      </w:r>
      <w:r w:rsidRPr="00AA552A">
        <w:rPr>
          <w:rFonts w:cs="Cambria"/>
          <w:color w:val="000000"/>
        </w:rPr>
        <w:t>on</w:t>
      </w:r>
      <w:r w:rsidRPr="00AA552A">
        <w:rPr>
          <w:rFonts w:cs="Cambria"/>
          <w:color w:val="000000"/>
          <w:spacing w:val="-8"/>
        </w:rPr>
        <w:t xml:space="preserve"> </w:t>
      </w:r>
      <w:r w:rsidRPr="00AA552A">
        <w:rPr>
          <w:rFonts w:cs="Cambria"/>
          <w:color w:val="000000"/>
        </w:rPr>
        <w:t>of</w:t>
      </w:r>
      <w:r w:rsidRPr="00AA552A">
        <w:rPr>
          <w:rFonts w:cs="Cambria"/>
          <w:color w:val="000000"/>
          <w:spacing w:val="-3"/>
        </w:rPr>
        <w:t xml:space="preserve"> </w:t>
      </w:r>
      <w:r w:rsidRPr="00AA552A">
        <w:rPr>
          <w:rFonts w:cs="Cambria"/>
          <w:i/>
          <w:iCs/>
          <w:color w:val="000000"/>
        </w:rPr>
        <w:t>S</w:t>
      </w:r>
      <w:r w:rsidRPr="00AA552A">
        <w:rPr>
          <w:rFonts w:cs="Cambria"/>
          <w:i/>
          <w:iCs/>
          <w:color w:val="000000"/>
          <w:spacing w:val="1"/>
        </w:rPr>
        <w:t>ar</w:t>
      </w:r>
      <w:r w:rsidRPr="00AA552A">
        <w:rPr>
          <w:rFonts w:cs="Cambria"/>
          <w:i/>
          <w:iCs/>
          <w:color w:val="000000"/>
          <w:spacing w:val="-1"/>
        </w:rPr>
        <w:t>g</w:t>
      </w:r>
      <w:r w:rsidRPr="00AA552A">
        <w:rPr>
          <w:rFonts w:cs="Cambria"/>
          <w:i/>
          <w:iCs/>
          <w:color w:val="000000"/>
          <w:spacing w:val="1"/>
        </w:rPr>
        <w:t>a</w:t>
      </w:r>
      <w:r w:rsidRPr="00AA552A">
        <w:rPr>
          <w:rFonts w:cs="Cambria"/>
          <w:i/>
          <w:iCs/>
          <w:color w:val="000000"/>
          <w:spacing w:val="-3"/>
        </w:rPr>
        <w:t>s</w:t>
      </w:r>
      <w:r w:rsidRPr="00AA552A">
        <w:rPr>
          <w:rFonts w:cs="Cambria"/>
          <w:i/>
          <w:iCs/>
          <w:color w:val="000000"/>
        </w:rPr>
        <w:t>s</w:t>
      </w:r>
      <w:r w:rsidRPr="00AA552A">
        <w:rPr>
          <w:rFonts w:cs="Cambria"/>
          <w:i/>
          <w:iCs/>
          <w:color w:val="000000"/>
          <w:spacing w:val="1"/>
        </w:rPr>
        <w:t>u</w:t>
      </w:r>
      <w:r w:rsidRPr="00AA552A">
        <w:rPr>
          <w:rFonts w:cs="Cambria"/>
          <w:i/>
          <w:iCs/>
          <w:color w:val="000000"/>
        </w:rPr>
        <w:t>m</w:t>
      </w:r>
      <w:r w:rsidRPr="00AA552A">
        <w:rPr>
          <w:rFonts w:cs="Cambria"/>
          <w:i/>
          <w:iCs/>
          <w:color w:val="000000"/>
          <w:spacing w:val="-6"/>
        </w:rPr>
        <w:t xml:space="preserve"> </w:t>
      </w:r>
      <w:r w:rsidRPr="00AA552A">
        <w:rPr>
          <w:rFonts w:cs="Cambria"/>
          <w:color w:val="000000"/>
          <w:spacing w:val="-1"/>
        </w:rPr>
        <w:t>fr</w:t>
      </w:r>
      <w:r w:rsidRPr="00AA552A">
        <w:rPr>
          <w:rFonts w:cs="Cambria"/>
          <w:color w:val="000000"/>
        </w:rPr>
        <w:t>om</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S</w:t>
      </w:r>
      <w:r w:rsidRPr="00AA552A">
        <w:rPr>
          <w:rFonts w:cs="Cambria"/>
          <w:color w:val="000000"/>
        </w:rPr>
        <w:t>o</w:t>
      </w:r>
      <w:r w:rsidRPr="00AA552A">
        <w:rPr>
          <w:rFonts w:cs="Cambria"/>
          <w:color w:val="000000"/>
          <w:spacing w:val="-1"/>
        </w:rPr>
        <w:t>u</w:t>
      </w:r>
      <w:r w:rsidRPr="00AA552A">
        <w:rPr>
          <w:rFonts w:cs="Cambria"/>
          <w:color w:val="000000"/>
        </w:rPr>
        <w:t>th</w:t>
      </w:r>
      <w:r w:rsidRPr="00AA552A">
        <w:rPr>
          <w:rFonts w:cs="Cambria"/>
          <w:color w:val="000000"/>
          <w:spacing w:val="-3"/>
        </w:rPr>
        <w:t xml:space="preserve"> </w:t>
      </w:r>
      <w:r w:rsidRPr="00AA552A">
        <w:rPr>
          <w:rFonts w:cs="Cambria"/>
          <w:color w:val="000000"/>
          <w:spacing w:val="-1"/>
        </w:rPr>
        <w:t>A</w:t>
      </w:r>
      <w:r w:rsidRPr="00AA552A">
        <w:rPr>
          <w:rFonts w:cs="Cambria"/>
          <w:color w:val="000000"/>
        </w:rPr>
        <w:t>t</w:t>
      </w:r>
      <w:r w:rsidRPr="00AA552A">
        <w:rPr>
          <w:rFonts w:cs="Cambria"/>
          <w:color w:val="000000"/>
          <w:spacing w:val="2"/>
        </w:rPr>
        <w:t>l</w:t>
      </w:r>
      <w:r w:rsidRPr="00AA552A">
        <w:rPr>
          <w:rFonts w:cs="Cambria"/>
          <w:color w:val="000000"/>
        </w:rPr>
        <w:t>ant</w:t>
      </w:r>
      <w:r w:rsidRPr="00AA552A">
        <w:rPr>
          <w:rFonts w:cs="Cambria"/>
          <w:color w:val="000000"/>
          <w:spacing w:val="1"/>
        </w:rPr>
        <w:t>i</w:t>
      </w:r>
      <w:r w:rsidRPr="00AA552A">
        <w:rPr>
          <w:rFonts w:cs="Cambria"/>
          <w:color w:val="000000"/>
        </w:rPr>
        <w:t>c</w:t>
      </w:r>
      <w:r w:rsidRPr="00AA552A">
        <w:rPr>
          <w:rFonts w:cs="Cambria"/>
          <w:color w:val="000000"/>
          <w:spacing w:val="-2"/>
        </w:rPr>
        <w:t xml:space="preserve"> </w:t>
      </w:r>
      <w:r w:rsidRPr="00AA552A">
        <w:rPr>
          <w:rFonts w:cs="Cambria"/>
          <w:color w:val="000000"/>
          <w:spacing w:val="-1"/>
        </w:rPr>
        <w:t>E</w:t>
      </w:r>
      <w:r w:rsidRPr="00AA552A">
        <w:rPr>
          <w:rFonts w:cs="Cambria"/>
          <w:color w:val="000000"/>
          <w:spacing w:val="1"/>
        </w:rPr>
        <w:t>E</w:t>
      </w:r>
      <w:r w:rsidRPr="00AA552A">
        <w:rPr>
          <w:rFonts w:cs="Cambria"/>
          <w:color w:val="000000"/>
        </w:rPr>
        <w:t>Z so</w:t>
      </w:r>
      <w:r w:rsidRPr="00AA552A">
        <w:rPr>
          <w:rFonts w:cs="Cambria"/>
          <w:color w:val="000000"/>
          <w:spacing w:val="-1"/>
        </w:rPr>
        <w:t>u</w:t>
      </w:r>
      <w:r w:rsidRPr="00AA552A">
        <w:rPr>
          <w:rFonts w:cs="Cambria"/>
          <w:color w:val="000000"/>
        </w:rPr>
        <w:t>th</w:t>
      </w:r>
      <w:r w:rsidRPr="00AA552A">
        <w:rPr>
          <w:rFonts w:cs="Cambria"/>
          <w:color w:val="000000"/>
          <w:spacing w:val="-4"/>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the lat</w:t>
      </w:r>
      <w:r w:rsidRPr="00AA552A">
        <w:rPr>
          <w:rFonts w:cs="Cambria"/>
          <w:color w:val="000000"/>
          <w:spacing w:val="1"/>
        </w:rPr>
        <w:t>i</w:t>
      </w:r>
      <w:r w:rsidRPr="00AA552A">
        <w:rPr>
          <w:rFonts w:cs="Cambria"/>
          <w:color w:val="000000"/>
        </w:rPr>
        <w:t>t</w:t>
      </w:r>
      <w:r w:rsidRPr="00AA552A">
        <w:rPr>
          <w:rFonts w:cs="Cambria"/>
          <w:color w:val="000000"/>
          <w:spacing w:val="-1"/>
        </w:rPr>
        <w:t>ud</w:t>
      </w:r>
      <w:r w:rsidRPr="00AA552A">
        <w:rPr>
          <w:rFonts w:cs="Cambria"/>
          <w:color w:val="000000"/>
        </w:rPr>
        <w:t>e</w:t>
      </w:r>
      <w:r w:rsidRPr="00AA552A">
        <w:rPr>
          <w:rFonts w:cs="Cambria"/>
          <w:color w:val="000000"/>
          <w:spacing w:val="-2"/>
        </w:rPr>
        <w:t xml:space="preserve"> </w:t>
      </w:r>
      <w:r w:rsidRPr="00AA552A">
        <w:rPr>
          <w:rFonts w:cs="Cambria"/>
          <w:color w:val="000000"/>
        </w:rPr>
        <w:t>l</w:t>
      </w:r>
      <w:r w:rsidRPr="00AA552A">
        <w:rPr>
          <w:rFonts w:cs="Cambria"/>
          <w:color w:val="000000"/>
          <w:spacing w:val="1"/>
        </w:rPr>
        <w:t>i</w:t>
      </w:r>
      <w:r w:rsidRPr="00AA552A">
        <w:rPr>
          <w:rFonts w:cs="Cambria"/>
          <w:color w:val="000000"/>
        </w:rPr>
        <w:t>ne</w:t>
      </w:r>
      <w:r w:rsidRPr="00AA552A">
        <w:rPr>
          <w:rFonts w:cs="Cambria"/>
          <w:color w:val="000000"/>
          <w:spacing w:val="-1"/>
        </w:rPr>
        <w:t xml:space="preserve"> r</w:t>
      </w:r>
      <w:r w:rsidRPr="00AA552A">
        <w:rPr>
          <w:rFonts w:cs="Cambria"/>
          <w:color w:val="000000"/>
          <w:spacing w:val="1"/>
        </w:rPr>
        <w:t>ep</w:t>
      </w:r>
      <w:r w:rsidRPr="00AA552A">
        <w:rPr>
          <w:rFonts w:cs="Cambria"/>
          <w:color w:val="000000"/>
          <w:spacing w:val="-1"/>
        </w:rPr>
        <w:t>r</w:t>
      </w:r>
      <w:r w:rsidRPr="00AA552A">
        <w:rPr>
          <w:rFonts w:cs="Cambria"/>
          <w:color w:val="000000"/>
          <w:spacing w:val="1"/>
        </w:rPr>
        <w:t>e</w:t>
      </w:r>
      <w:r w:rsidRPr="00AA552A">
        <w:rPr>
          <w:rFonts w:cs="Cambria"/>
          <w:color w:val="000000"/>
        </w:rPr>
        <w:t>s</w:t>
      </w:r>
      <w:r w:rsidRPr="00AA552A">
        <w:rPr>
          <w:rFonts w:cs="Cambria"/>
          <w:color w:val="000000"/>
          <w:spacing w:val="1"/>
        </w:rPr>
        <w:t>e</w:t>
      </w:r>
      <w:r w:rsidRPr="00AA552A">
        <w:rPr>
          <w:rFonts w:cs="Cambria"/>
          <w:color w:val="000000"/>
        </w:rPr>
        <w:t>nt</w:t>
      </w:r>
      <w:r w:rsidRPr="00AA552A">
        <w:rPr>
          <w:rFonts w:cs="Cambria"/>
          <w:color w:val="000000"/>
          <w:spacing w:val="-2"/>
        </w:rPr>
        <w:t>i</w:t>
      </w:r>
      <w:r w:rsidRPr="00AA552A">
        <w:rPr>
          <w:rFonts w:cs="Cambria"/>
          <w:color w:val="000000"/>
        </w:rPr>
        <w:t>ng</w:t>
      </w:r>
      <w:r w:rsidRPr="00AA552A">
        <w:rPr>
          <w:rFonts w:cs="Cambria"/>
          <w:color w:val="000000"/>
          <w:spacing w:val="-8"/>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No</w:t>
      </w:r>
      <w:r w:rsidRPr="00AA552A">
        <w:rPr>
          <w:rFonts w:cs="Cambria"/>
          <w:color w:val="000000"/>
          <w:spacing w:val="-1"/>
        </w:rPr>
        <w:t>r</w:t>
      </w:r>
      <w:r w:rsidRPr="00AA552A">
        <w:rPr>
          <w:rFonts w:cs="Cambria"/>
          <w:color w:val="000000"/>
        </w:rPr>
        <w:t>th</w:t>
      </w:r>
      <w:r w:rsidRPr="00AA552A">
        <w:rPr>
          <w:rFonts w:cs="Cambria"/>
          <w:color w:val="000000"/>
          <w:spacing w:val="-5"/>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rPr>
        <w:t>ol</w:t>
      </w:r>
      <w:r w:rsidRPr="00AA552A">
        <w:rPr>
          <w:rFonts w:cs="Cambria"/>
          <w:color w:val="000000"/>
          <w:spacing w:val="1"/>
        </w:rPr>
        <w:t>i</w:t>
      </w:r>
      <w:r w:rsidRPr="00AA552A">
        <w:rPr>
          <w:rFonts w:cs="Cambria"/>
          <w:color w:val="000000"/>
        </w:rPr>
        <w:t>na/</w:t>
      </w:r>
      <w:r w:rsidRPr="00AA552A">
        <w:rPr>
          <w:rFonts w:cs="Cambria"/>
          <w:color w:val="000000"/>
          <w:spacing w:val="1"/>
        </w:rPr>
        <w:t>S</w:t>
      </w:r>
      <w:r w:rsidRPr="00AA552A">
        <w:rPr>
          <w:rFonts w:cs="Cambria"/>
          <w:color w:val="000000"/>
        </w:rPr>
        <w:t>o</w:t>
      </w:r>
      <w:r w:rsidRPr="00AA552A">
        <w:rPr>
          <w:rFonts w:cs="Cambria"/>
          <w:color w:val="000000"/>
          <w:spacing w:val="-1"/>
        </w:rPr>
        <w:t>u</w:t>
      </w:r>
      <w:r w:rsidRPr="00AA552A">
        <w:rPr>
          <w:rFonts w:cs="Cambria"/>
          <w:color w:val="000000"/>
        </w:rPr>
        <w:t>th</w:t>
      </w:r>
      <w:r w:rsidRPr="00AA552A">
        <w:rPr>
          <w:rFonts w:cs="Cambria"/>
          <w:color w:val="000000"/>
          <w:spacing w:val="-7"/>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rPr>
        <w:t>ol</w:t>
      </w:r>
      <w:r w:rsidRPr="00AA552A">
        <w:rPr>
          <w:rFonts w:cs="Cambria"/>
          <w:color w:val="000000"/>
          <w:spacing w:val="1"/>
        </w:rPr>
        <w:t>i</w:t>
      </w:r>
      <w:r w:rsidRPr="00AA552A">
        <w:rPr>
          <w:rFonts w:cs="Cambria"/>
          <w:color w:val="000000"/>
        </w:rPr>
        <w:t>na</w:t>
      </w:r>
      <w:r w:rsidRPr="00AA552A">
        <w:rPr>
          <w:rFonts w:cs="Cambria"/>
          <w:color w:val="000000"/>
          <w:spacing w:val="-4"/>
        </w:rPr>
        <w:t xml:space="preserve"> </w:t>
      </w:r>
      <w:r w:rsidRPr="00AA552A">
        <w:rPr>
          <w:rFonts w:cs="Cambria"/>
          <w:color w:val="000000"/>
          <w:spacing w:val="1"/>
        </w:rPr>
        <w:t>b</w:t>
      </w:r>
      <w:r w:rsidRPr="00AA552A">
        <w:rPr>
          <w:rFonts w:cs="Cambria"/>
          <w:color w:val="000000"/>
        </w:rPr>
        <w:t>o</w:t>
      </w:r>
      <w:r w:rsidRPr="00AA552A">
        <w:rPr>
          <w:rFonts w:cs="Cambria"/>
          <w:color w:val="000000"/>
          <w:spacing w:val="-1"/>
        </w:rPr>
        <w:t>rd</w:t>
      </w:r>
      <w:r w:rsidRPr="00AA552A">
        <w:rPr>
          <w:rFonts w:cs="Cambria"/>
          <w:color w:val="000000"/>
          <w:spacing w:val="1"/>
        </w:rPr>
        <w:t>e</w:t>
      </w:r>
      <w:r w:rsidRPr="00AA552A">
        <w:rPr>
          <w:rFonts w:cs="Cambria"/>
          <w:color w:val="000000"/>
        </w:rPr>
        <w:t>r</w:t>
      </w:r>
      <w:r w:rsidRPr="00AA552A">
        <w:rPr>
          <w:rFonts w:cs="Cambria"/>
          <w:color w:val="000000"/>
          <w:spacing w:val="-7"/>
        </w:rPr>
        <w:t xml:space="preserve"> </w:t>
      </w:r>
      <w:r w:rsidRPr="00AA552A">
        <w:rPr>
          <w:rFonts w:cs="Cambria"/>
          <w:color w:val="000000"/>
          <w:spacing w:val="2"/>
        </w:rPr>
        <w:t>(3</w:t>
      </w:r>
      <w:r w:rsidRPr="00AA552A">
        <w:rPr>
          <w:rFonts w:cs="Cambria"/>
          <w:color w:val="000000"/>
          <w:spacing w:val="-1"/>
        </w:rPr>
        <w:t>4</w:t>
      </w:r>
      <w:r w:rsidRPr="00AA552A">
        <w:rPr>
          <w:rFonts w:cs="Cambria"/>
          <w:color w:val="000000"/>
        </w:rPr>
        <w:t>°</w:t>
      </w:r>
      <w:r w:rsidRPr="00AA552A">
        <w:rPr>
          <w:rFonts w:cs="Cambria"/>
          <w:color w:val="000000"/>
          <w:spacing w:val="-3"/>
        </w:rPr>
        <w:t xml:space="preserve"> </w:t>
      </w:r>
      <w:r w:rsidRPr="00AA552A">
        <w:rPr>
          <w:rFonts w:cs="Cambria"/>
          <w:color w:val="000000"/>
        </w:rPr>
        <w:t>No</w:t>
      </w:r>
      <w:r w:rsidRPr="00AA552A">
        <w:rPr>
          <w:rFonts w:cs="Cambria"/>
          <w:color w:val="000000"/>
          <w:spacing w:val="-1"/>
        </w:rPr>
        <w:t>r</w:t>
      </w:r>
      <w:r w:rsidRPr="00AA552A">
        <w:rPr>
          <w:rFonts w:cs="Cambria"/>
          <w:color w:val="000000"/>
        </w:rPr>
        <w:t>th</w:t>
      </w:r>
      <w:r w:rsidRPr="00AA552A">
        <w:rPr>
          <w:rFonts w:cs="Cambria"/>
          <w:color w:val="000000"/>
          <w:spacing w:val="-5"/>
        </w:rPr>
        <w:t xml:space="preserve"> </w:t>
      </w:r>
      <w:r w:rsidRPr="00AA552A">
        <w:rPr>
          <w:rFonts w:cs="Cambria"/>
          <w:color w:val="000000"/>
          <w:spacing w:val="1"/>
        </w:rPr>
        <w:t>L</w:t>
      </w:r>
      <w:r w:rsidRPr="00AA552A">
        <w:rPr>
          <w:rFonts w:cs="Cambria"/>
          <w:color w:val="000000"/>
        </w:rPr>
        <w:t>at</w:t>
      </w:r>
      <w:r w:rsidRPr="00AA552A">
        <w:rPr>
          <w:rFonts w:cs="Cambria"/>
          <w:color w:val="000000"/>
          <w:spacing w:val="1"/>
        </w:rPr>
        <w:t>i</w:t>
      </w:r>
      <w:r w:rsidRPr="00AA552A">
        <w:rPr>
          <w:rFonts w:cs="Cambria"/>
          <w:color w:val="000000"/>
        </w:rPr>
        <w:t>t</w:t>
      </w:r>
      <w:r w:rsidRPr="00AA552A">
        <w:rPr>
          <w:rFonts w:cs="Cambria"/>
          <w:color w:val="000000"/>
          <w:spacing w:val="-1"/>
        </w:rPr>
        <w:t>ud</w:t>
      </w:r>
      <w:r w:rsidRPr="00AA552A">
        <w:rPr>
          <w:rFonts w:cs="Cambria"/>
          <w:color w:val="000000"/>
          <w:spacing w:val="1"/>
        </w:rPr>
        <w:t>e</w:t>
      </w:r>
      <w:r w:rsidRPr="00AA552A">
        <w:rPr>
          <w:rFonts w:cs="Cambria"/>
          <w:color w:val="000000"/>
        </w:rPr>
        <w:t>).</w:t>
      </w:r>
    </w:p>
    <w:p w14:paraId="743F8A2E" w14:textId="77777777" w:rsidR="00DC4922" w:rsidRPr="00AA552A" w:rsidRDefault="00DC4922" w:rsidP="00DC4922">
      <w:pPr>
        <w:rPr>
          <w:rFonts w:cs="Cambria"/>
          <w:color w:val="000000"/>
        </w:rPr>
      </w:pPr>
      <w:r w:rsidRPr="00AA552A">
        <w:rPr>
          <w:color w:val="000000"/>
          <w:w w:val="131"/>
        </w:rPr>
        <w:t>•</w:t>
      </w:r>
      <w:r w:rsidRPr="00AA552A">
        <w:rPr>
          <w:color w:val="000000"/>
        </w:rPr>
        <w:tab/>
      </w:r>
      <w:r w:rsidRPr="00AA552A">
        <w:rPr>
          <w:rFonts w:cs="Cambria"/>
          <w:color w:val="000000"/>
          <w:spacing w:val="1"/>
        </w:rPr>
        <w:t>P</w:t>
      </w:r>
      <w:r w:rsidRPr="00AA552A">
        <w:rPr>
          <w:rFonts w:cs="Cambria"/>
          <w:color w:val="000000"/>
          <w:spacing w:val="-1"/>
        </w:rPr>
        <w:t>r</w:t>
      </w:r>
      <w:r w:rsidRPr="00AA552A">
        <w:rPr>
          <w:rFonts w:cs="Cambria"/>
          <w:color w:val="000000"/>
        </w:rPr>
        <w:t>oh</w:t>
      </w:r>
      <w:r w:rsidRPr="00AA552A">
        <w:rPr>
          <w:rFonts w:cs="Cambria"/>
          <w:color w:val="000000"/>
          <w:spacing w:val="1"/>
        </w:rPr>
        <w:t>ibi</w:t>
      </w:r>
      <w:r w:rsidRPr="00AA552A">
        <w:rPr>
          <w:rFonts w:cs="Cambria"/>
          <w:color w:val="000000"/>
        </w:rPr>
        <w:t>t</w:t>
      </w:r>
      <w:r w:rsidRPr="00AA552A">
        <w:rPr>
          <w:rFonts w:cs="Cambria"/>
          <w:color w:val="000000"/>
          <w:spacing w:val="1"/>
        </w:rPr>
        <w:t>e</w:t>
      </w:r>
      <w:r w:rsidRPr="00AA552A">
        <w:rPr>
          <w:rFonts w:cs="Cambria"/>
          <w:color w:val="000000"/>
        </w:rPr>
        <w:t>d</w:t>
      </w:r>
      <w:r w:rsidRPr="00AA552A">
        <w:rPr>
          <w:rFonts w:cs="Cambria"/>
          <w:color w:val="000000"/>
          <w:spacing w:val="-10"/>
        </w:rPr>
        <w:t xml:space="preserve"> </w:t>
      </w:r>
      <w:r w:rsidRPr="00AA552A">
        <w:rPr>
          <w:rFonts w:cs="Cambria"/>
          <w:color w:val="000000"/>
        </w:rPr>
        <w:t>all ha</w:t>
      </w:r>
      <w:r w:rsidRPr="00AA552A">
        <w:rPr>
          <w:rFonts w:cs="Cambria"/>
          <w:color w:val="000000"/>
          <w:spacing w:val="-1"/>
        </w:rPr>
        <w:t>rv</w:t>
      </w:r>
      <w:r w:rsidRPr="00AA552A">
        <w:rPr>
          <w:rFonts w:cs="Cambria"/>
          <w:color w:val="000000"/>
          <w:spacing w:val="1"/>
        </w:rPr>
        <w:t>e</w:t>
      </w:r>
      <w:r w:rsidRPr="00AA552A">
        <w:rPr>
          <w:rFonts w:cs="Cambria"/>
          <w:color w:val="000000"/>
        </w:rPr>
        <w:t>st</w:t>
      </w:r>
      <w:r w:rsidRPr="00AA552A">
        <w:rPr>
          <w:rFonts w:cs="Cambria"/>
          <w:color w:val="000000"/>
          <w:spacing w:val="-6"/>
        </w:rPr>
        <w:t xml:space="preserve"> </w:t>
      </w:r>
      <w:r w:rsidRPr="00AA552A">
        <w:rPr>
          <w:rFonts w:cs="Cambria"/>
          <w:color w:val="000000"/>
        </w:rPr>
        <w:t>of</w:t>
      </w:r>
      <w:r w:rsidRPr="00AA552A">
        <w:rPr>
          <w:rFonts w:cs="Cambria"/>
          <w:color w:val="000000"/>
          <w:spacing w:val="-3"/>
        </w:rPr>
        <w:t xml:space="preserve"> </w:t>
      </w:r>
      <w:r w:rsidRPr="00AA552A">
        <w:rPr>
          <w:rFonts w:cs="Cambria"/>
          <w:i/>
          <w:iCs/>
          <w:color w:val="000000"/>
        </w:rPr>
        <w:t>S</w:t>
      </w:r>
      <w:r w:rsidRPr="00AA552A">
        <w:rPr>
          <w:rFonts w:cs="Cambria"/>
          <w:i/>
          <w:iCs/>
          <w:color w:val="000000"/>
          <w:spacing w:val="1"/>
        </w:rPr>
        <w:t>ar</w:t>
      </w:r>
      <w:r w:rsidRPr="00AA552A">
        <w:rPr>
          <w:rFonts w:cs="Cambria"/>
          <w:i/>
          <w:iCs/>
          <w:color w:val="000000"/>
          <w:spacing w:val="-1"/>
        </w:rPr>
        <w:t>g</w:t>
      </w:r>
      <w:r w:rsidRPr="00AA552A">
        <w:rPr>
          <w:rFonts w:cs="Cambria"/>
          <w:i/>
          <w:iCs/>
          <w:color w:val="000000"/>
          <w:spacing w:val="1"/>
        </w:rPr>
        <w:t>a</w:t>
      </w:r>
      <w:r w:rsidRPr="00AA552A">
        <w:rPr>
          <w:rFonts w:cs="Cambria"/>
          <w:i/>
          <w:iCs/>
          <w:color w:val="000000"/>
        </w:rPr>
        <w:t>ss</w:t>
      </w:r>
      <w:r w:rsidRPr="00AA552A">
        <w:rPr>
          <w:rFonts w:cs="Cambria"/>
          <w:i/>
          <w:iCs/>
          <w:color w:val="000000"/>
          <w:spacing w:val="1"/>
        </w:rPr>
        <w:t>u</w:t>
      </w:r>
      <w:r w:rsidRPr="00AA552A">
        <w:rPr>
          <w:rFonts w:cs="Cambria"/>
          <w:i/>
          <w:iCs/>
          <w:color w:val="000000"/>
        </w:rPr>
        <w:t>m</w:t>
      </w:r>
      <w:r w:rsidRPr="00AA552A">
        <w:rPr>
          <w:rFonts w:cs="Cambria"/>
          <w:i/>
          <w:iCs/>
          <w:color w:val="000000"/>
          <w:spacing w:val="-6"/>
        </w:rPr>
        <w:t xml:space="preserve"> </w:t>
      </w:r>
      <w:r w:rsidRPr="00AA552A">
        <w:rPr>
          <w:rFonts w:cs="Cambria"/>
          <w:color w:val="000000"/>
          <w:spacing w:val="-1"/>
        </w:rPr>
        <w:t>fr</w:t>
      </w:r>
      <w:r w:rsidRPr="00AA552A">
        <w:rPr>
          <w:rFonts w:cs="Cambria"/>
          <w:color w:val="000000"/>
        </w:rPr>
        <w:t>om</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S</w:t>
      </w:r>
      <w:r w:rsidRPr="00AA552A">
        <w:rPr>
          <w:rFonts w:cs="Cambria"/>
          <w:color w:val="000000"/>
        </w:rPr>
        <w:t>o</w:t>
      </w:r>
      <w:r w:rsidRPr="00AA552A">
        <w:rPr>
          <w:rFonts w:cs="Cambria"/>
          <w:color w:val="000000"/>
          <w:spacing w:val="-1"/>
        </w:rPr>
        <w:t>u</w:t>
      </w:r>
      <w:r w:rsidRPr="00AA552A">
        <w:rPr>
          <w:rFonts w:cs="Cambria"/>
          <w:color w:val="000000"/>
        </w:rPr>
        <w:t>th</w:t>
      </w:r>
      <w:r w:rsidRPr="00AA552A">
        <w:rPr>
          <w:rFonts w:cs="Cambria"/>
          <w:color w:val="000000"/>
          <w:spacing w:val="-3"/>
        </w:rPr>
        <w:t xml:space="preserve"> </w:t>
      </w:r>
      <w:r w:rsidRPr="00AA552A">
        <w:rPr>
          <w:rFonts w:cs="Cambria"/>
          <w:color w:val="000000"/>
          <w:spacing w:val="-1"/>
        </w:rPr>
        <w:t>A</w:t>
      </w:r>
      <w:r w:rsidRPr="00AA552A">
        <w:rPr>
          <w:rFonts w:cs="Cambria"/>
          <w:color w:val="000000"/>
        </w:rPr>
        <w:t>tlant</w:t>
      </w:r>
      <w:r w:rsidRPr="00AA552A">
        <w:rPr>
          <w:rFonts w:cs="Cambria"/>
          <w:color w:val="000000"/>
          <w:spacing w:val="1"/>
        </w:rPr>
        <w:t>i</w:t>
      </w:r>
      <w:r w:rsidRPr="00AA552A">
        <w:rPr>
          <w:rFonts w:cs="Cambria"/>
          <w:color w:val="000000"/>
        </w:rPr>
        <w:t>c</w:t>
      </w:r>
      <w:r w:rsidRPr="00AA552A">
        <w:rPr>
          <w:rFonts w:cs="Cambria"/>
          <w:color w:val="000000"/>
          <w:spacing w:val="-2"/>
        </w:rPr>
        <w:t xml:space="preserve"> </w:t>
      </w:r>
      <w:r w:rsidRPr="00AA552A">
        <w:rPr>
          <w:rFonts w:cs="Cambria"/>
          <w:color w:val="000000"/>
          <w:spacing w:val="1"/>
        </w:rPr>
        <w:t>EE</w:t>
      </w:r>
      <w:r w:rsidRPr="00AA552A">
        <w:rPr>
          <w:rFonts w:cs="Cambria"/>
          <w:color w:val="000000"/>
        </w:rPr>
        <w:t xml:space="preserve">Z </w:t>
      </w:r>
      <w:r w:rsidRPr="00AA552A">
        <w:rPr>
          <w:rFonts w:cs="Cambria"/>
          <w:color w:val="000000"/>
          <w:spacing w:val="-1"/>
        </w:rPr>
        <w:t>w</w:t>
      </w:r>
      <w:r w:rsidRPr="00AA552A">
        <w:rPr>
          <w:rFonts w:cs="Cambria"/>
          <w:color w:val="000000"/>
          <w:spacing w:val="1"/>
        </w:rPr>
        <w:t>i</w:t>
      </w:r>
      <w:r w:rsidRPr="00AA552A">
        <w:rPr>
          <w:rFonts w:cs="Cambria"/>
          <w:color w:val="000000"/>
        </w:rPr>
        <w:t>th</w:t>
      </w:r>
      <w:r w:rsidRPr="00AA552A">
        <w:rPr>
          <w:rFonts w:cs="Cambria"/>
          <w:color w:val="000000"/>
          <w:spacing w:val="1"/>
        </w:rPr>
        <w:t>i</w:t>
      </w:r>
      <w:r w:rsidRPr="00AA552A">
        <w:rPr>
          <w:rFonts w:cs="Cambria"/>
          <w:color w:val="000000"/>
        </w:rPr>
        <w:t>n</w:t>
      </w:r>
      <w:r w:rsidRPr="00AA552A">
        <w:rPr>
          <w:rFonts w:cs="Cambria"/>
          <w:color w:val="000000"/>
          <w:spacing w:val="-5"/>
        </w:rPr>
        <w:t xml:space="preserve"> </w:t>
      </w:r>
      <w:r w:rsidRPr="00AA552A">
        <w:rPr>
          <w:rFonts w:cs="Cambria"/>
          <w:color w:val="000000"/>
          <w:spacing w:val="-1"/>
        </w:rPr>
        <w:t>10</w:t>
      </w:r>
      <w:r w:rsidRPr="00AA552A">
        <w:rPr>
          <w:rFonts w:cs="Cambria"/>
          <w:color w:val="000000"/>
        </w:rPr>
        <w:t>0</w:t>
      </w:r>
      <w:r w:rsidRPr="00AA552A">
        <w:rPr>
          <w:rFonts w:cs="Cambria"/>
          <w:color w:val="000000"/>
          <w:spacing w:val="-5"/>
        </w:rPr>
        <w:t xml:space="preserve"> </w:t>
      </w:r>
      <w:r w:rsidRPr="00AA552A">
        <w:rPr>
          <w:rFonts w:cs="Cambria"/>
          <w:color w:val="000000"/>
        </w:rPr>
        <w:t>m</w:t>
      </w:r>
      <w:r w:rsidRPr="00AA552A">
        <w:rPr>
          <w:rFonts w:cs="Cambria"/>
          <w:color w:val="000000"/>
          <w:spacing w:val="1"/>
        </w:rPr>
        <w:t>i</w:t>
      </w:r>
      <w:r w:rsidRPr="00AA552A">
        <w:rPr>
          <w:rFonts w:cs="Cambria"/>
          <w:color w:val="000000"/>
        </w:rPr>
        <w:t>l</w:t>
      </w:r>
      <w:r w:rsidRPr="00AA552A">
        <w:rPr>
          <w:rFonts w:cs="Cambria"/>
          <w:color w:val="000000"/>
          <w:spacing w:val="1"/>
        </w:rPr>
        <w:t>e</w:t>
      </w:r>
      <w:r w:rsidRPr="00AA552A">
        <w:rPr>
          <w:rFonts w:cs="Cambria"/>
          <w:color w:val="000000"/>
        </w:rPr>
        <w:t>s</w:t>
      </w:r>
      <w:r w:rsidRPr="00AA552A">
        <w:rPr>
          <w:rFonts w:cs="Cambria"/>
          <w:color w:val="000000"/>
          <w:spacing w:val="-3"/>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2"/>
        </w:rPr>
        <w:t>s</w:t>
      </w:r>
      <w:r w:rsidRPr="00AA552A">
        <w:rPr>
          <w:rFonts w:cs="Cambria"/>
          <w:color w:val="000000"/>
        </w:rPr>
        <w:t>ho</w:t>
      </w:r>
      <w:r w:rsidRPr="00AA552A">
        <w:rPr>
          <w:rFonts w:cs="Cambria"/>
          <w:color w:val="000000"/>
          <w:spacing w:val="-1"/>
        </w:rPr>
        <w:t>r</w:t>
      </w:r>
      <w:r w:rsidRPr="00AA552A">
        <w:rPr>
          <w:rFonts w:cs="Cambria"/>
          <w:color w:val="000000"/>
        </w:rPr>
        <w:t xml:space="preserve">e </w:t>
      </w:r>
      <w:r w:rsidRPr="00AA552A">
        <w:rPr>
          <w:rFonts w:cs="Cambria"/>
          <w:color w:val="000000"/>
          <w:spacing w:val="1"/>
        </w:rPr>
        <w:t>be</w:t>
      </w:r>
      <w:r w:rsidRPr="00AA552A">
        <w:rPr>
          <w:rFonts w:cs="Cambria"/>
          <w:color w:val="000000"/>
        </w:rPr>
        <w:t>t</w:t>
      </w:r>
      <w:r w:rsidRPr="00AA552A">
        <w:rPr>
          <w:rFonts w:cs="Cambria"/>
          <w:color w:val="000000"/>
          <w:spacing w:val="-1"/>
        </w:rPr>
        <w:t>w</w:t>
      </w:r>
      <w:r w:rsidRPr="00AA552A">
        <w:rPr>
          <w:rFonts w:cs="Cambria"/>
          <w:color w:val="000000"/>
          <w:spacing w:val="1"/>
        </w:rPr>
        <w:t>ee</w:t>
      </w:r>
      <w:r w:rsidRPr="00AA552A">
        <w:rPr>
          <w:rFonts w:cs="Cambria"/>
          <w:color w:val="000000"/>
        </w:rPr>
        <w:t>n</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34</w:t>
      </w:r>
      <w:r w:rsidRPr="00AA552A">
        <w:rPr>
          <w:rFonts w:cs="Cambria"/>
          <w:color w:val="000000"/>
        </w:rPr>
        <w:t>°</w:t>
      </w:r>
      <w:r w:rsidRPr="00AA552A">
        <w:rPr>
          <w:rFonts w:cs="Cambria"/>
          <w:color w:val="000000"/>
          <w:spacing w:val="-2"/>
        </w:rPr>
        <w:t xml:space="preserve"> </w:t>
      </w:r>
      <w:r w:rsidRPr="00AA552A">
        <w:rPr>
          <w:rFonts w:cs="Cambria"/>
          <w:color w:val="000000"/>
        </w:rPr>
        <w:t>No</w:t>
      </w:r>
      <w:r w:rsidRPr="00AA552A">
        <w:rPr>
          <w:rFonts w:cs="Cambria"/>
          <w:color w:val="000000"/>
          <w:spacing w:val="-1"/>
        </w:rPr>
        <w:t>r</w:t>
      </w:r>
      <w:r w:rsidRPr="00AA552A">
        <w:rPr>
          <w:rFonts w:cs="Cambria"/>
          <w:color w:val="000000"/>
        </w:rPr>
        <w:t>th</w:t>
      </w:r>
      <w:r w:rsidRPr="00AA552A">
        <w:rPr>
          <w:rFonts w:cs="Cambria"/>
          <w:color w:val="000000"/>
          <w:spacing w:val="-5"/>
        </w:rPr>
        <w:t xml:space="preserve"> </w:t>
      </w:r>
      <w:r w:rsidRPr="00AA552A">
        <w:rPr>
          <w:rFonts w:cs="Cambria"/>
          <w:color w:val="000000"/>
          <w:spacing w:val="1"/>
        </w:rPr>
        <w:t>L</w:t>
      </w:r>
      <w:r w:rsidRPr="00AA552A">
        <w:rPr>
          <w:rFonts w:cs="Cambria"/>
          <w:color w:val="000000"/>
        </w:rPr>
        <w:t>at</w:t>
      </w:r>
      <w:r w:rsidRPr="00AA552A">
        <w:rPr>
          <w:rFonts w:cs="Cambria"/>
          <w:color w:val="000000"/>
          <w:spacing w:val="1"/>
        </w:rPr>
        <w:t>i</w:t>
      </w:r>
      <w:r w:rsidRPr="00AA552A">
        <w:rPr>
          <w:rFonts w:cs="Cambria"/>
          <w:color w:val="000000"/>
        </w:rPr>
        <w:t>t</w:t>
      </w:r>
      <w:r w:rsidRPr="00AA552A">
        <w:rPr>
          <w:rFonts w:cs="Cambria"/>
          <w:color w:val="000000"/>
          <w:spacing w:val="-1"/>
        </w:rPr>
        <w:t>ud</w:t>
      </w:r>
      <w:r w:rsidRPr="00AA552A">
        <w:rPr>
          <w:rFonts w:cs="Cambria"/>
          <w:color w:val="000000"/>
        </w:rPr>
        <w:t>e</w:t>
      </w:r>
      <w:r w:rsidRPr="00AA552A">
        <w:rPr>
          <w:rFonts w:cs="Cambria"/>
          <w:color w:val="000000"/>
          <w:spacing w:val="-3"/>
        </w:rPr>
        <w:t xml:space="preserve"> </w:t>
      </w:r>
      <w:r w:rsidRPr="00AA552A">
        <w:rPr>
          <w:rFonts w:cs="Cambria"/>
          <w:color w:val="000000"/>
        </w:rPr>
        <w:t>l</w:t>
      </w:r>
      <w:r w:rsidRPr="00AA552A">
        <w:rPr>
          <w:rFonts w:cs="Cambria"/>
          <w:color w:val="000000"/>
          <w:spacing w:val="1"/>
        </w:rPr>
        <w:t>i</w:t>
      </w:r>
      <w:r w:rsidRPr="00AA552A">
        <w:rPr>
          <w:rFonts w:cs="Cambria"/>
          <w:color w:val="000000"/>
        </w:rPr>
        <w:t>ne</w:t>
      </w:r>
      <w:r w:rsidRPr="00AA552A">
        <w:rPr>
          <w:rFonts w:cs="Cambria"/>
          <w:color w:val="000000"/>
          <w:spacing w:val="-1"/>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2"/>
        </w:rPr>
        <w:t>La</w:t>
      </w:r>
      <w:r w:rsidRPr="00AA552A">
        <w:rPr>
          <w:rFonts w:cs="Cambria"/>
          <w:color w:val="000000"/>
        </w:rPr>
        <w:t>t</w:t>
      </w:r>
      <w:r w:rsidRPr="00AA552A">
        <w:rPr>
          <w:rFonts w:cs="Cambria"/>
          <w:color w:val="000000"/>
          <w:spacing w:val="1"/>
        </w:rPr>
        <w:t>i</w:t>
      </w:r>
      <w:r w:rsidRPr="00AA552A">
        <w:rPr>
          <w:rFonts w:cs="Cambria"/>
          <w:color w:val="000000"/>
        </w:rPr>
        <w:t>t</w:t>
      </w:r>
      <w:r w:rsidRPr="00AA552A">
        <w:rPr>
          <w:rFonts w:cs="Cambria"/>
          <w:color w:val="000000"/>
          <w:spacing w:val="-1"/>
        </w:rPr>
        <w:t>ud</w:t>
      </w:r>
      <w:r w:rsidRPr="00AA552A">
        <w:rPr>
          <w:rFonts w:cs="Cambria"/>
          <w:color w:val="000000"/>
        </w:rPr>
        <w:t>e</w:t>
      </w:r>
      <w:r w:rsidRPr="00AA552A">
        <w:rPr>
          <w:rFonts w:cs="Cambria"/>
          <w:color w:val="000000"/>
          <w:spacing w:val="-3"/>
        </w:rPr>
        <w:t xml:space="preserve"> </w:t>
      </w:r>
      <w:r w:rsidRPr="00AA552A">
        <w:rPr>
          <w:rFonts w:cs="Cambria"/>
          <w:color w:val="000000"/>
        </w:rPr>
        <w:t>l</w:t>
      </w:r>
      <w:r w:rsidRPr="00AA552A">
        <w:rPr>
          <w:rFonts w:cs="Cambria"/>
          <w:color w:val="000000"/>
          <w:spacing w:val="1"/>
        </w:rPr>
        <w:t>i</w:t>
      </w:r>
      <w:r w:rsidRPr="00AA552A">
        <w:rPr>
          <w:rFonts w:cs="Cambria"/>
          <w:color w:val="000000"/>
        </w:rPr>
        <w:t>ne</w:t>
      </w:r>
      <w:r w:rsidRPr="00AA552A">
        <w:rPr>
          <w:rFonts w:cs="Cambria"/>
          <w:color w:val="000000"/>
          <w:spacing w:val="-1"/>
        </w:rPr>
        <w:t xml:space="preserve"> r</w:t>
      </w:r>
      <w:r w:rsidRPr="00AA552A">
        <w:rPr>
          <w:rFonts w:cs="Cambria"/>
          <w:color w:val="000000"/>
          <w:spacing w:val="1"/>
        </w:rPr>
        <w:t>ep</w:t>
      </w:r>
      <w:r w:rsidRPr="00AA552A">
        <w:rPr>
          <w:rFonts w:cs="Cambria"/>
          <w:color w:val="000000"/>
          <w:spacing w:val="-1"/>
        </w:rPr>
        <w:t>r</w:t>
      </w:r>
      <w:r w:rsidRPr="00AA552A">
        <w:rPr>
          <w:rFonts w:cs="Cambria"/>
          <w:color w:val="000000"/>
          <w:spacing w:val="1"/>
        </w:rPr>
        <w:t>e</w:t>
      </w:r>
      <w:r w:rsidRPr="00AA552A">
        <w:rPr>
          <w:rFonts w:cs="Cambria"/>
          <w:color w:val="000000"/>
        </w:rPr>
        <w:t>s</w:t>
      </w:r>
      <w:r w:rsidRPr="00AA552A">
        <w:rPr>
          <w:rFonts w:cs="Cambria"/>
          <w:color w:val="000000"/>
          <w:spacing w:val="1"/>
        </w:rPr>
        <w:t>e</w:t>
      </w:r>
      <w:r w:rsidRPr="00AA552A">
        <w:rPr>
          <w:rFonts w:cs="Cambria"/>
          <w:color w:val="000000"/>
        </w:rPr>
        <w:t>nt</w:t>
      </w:r>
      <w:r w:rsidRPr="00AA552A">
        <w:rPr>
          <w:rFonts w:cs="Cambria"/>
          <w:color w:val="000000"/>
          <w:spacing w:val="-2"/>
        </w:rPr>
        <w:t>i</w:t>
      </w:r>
      <w:r w:rsidRPr="00AA552A">
        <w:rPr>
          <w:rFonts w:cs="Cambria"/>
          <w:color w:val="000000"/>
        </w:rPr>
        <w:t>ng</w:t>
      </w:r>
      <w:r w:rsidRPr="00AA552A">
        <w:rPr>
          <w:rFonts w:cs="Cambria"/>
          <w:color w:val="000000"/>
          <w:spacing w:val="-8"/>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No</w:t>
      </w:r>
      <w:r w:rsidRPr="00AA552A">
        <w:rPr>
          <w:rFonts w:cs="Cambria"/>
          <w:color w:val="000000"/>
          <w:spacing w:val="-1"/>
        </w:rPr>
        <w:t>r</w:t>
      </w:r>
      <w:r w:rsidRPr="00AA552A">
        <w:rPr>
          <w:rFonts w:cs="Cambria"/>
          <w:color w:val="000000"/>
        </w:rPr>
        <w:t xml:space="preserve">th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rPr>
        <w:t>ol</w:t>
      </w:r>
      <w:r w:rsidRPr="00AA552A">
        <w:rPr>
          <w:rFonts w:cs="Cambria"/>
          <w:color w:val="000000"/>
          <w:spacing w:val="1"/>
        </w:rPr>
        <w:t>i</w:t>
      </w:r>
      <w:r w:rsidRPr="00AA552A">
        <w:rPr>
          <w:rFonts w:cs="Cambria"/>
          <w:color w:val="000000"/>
        </w:rPr>
        <w:t>na/</w:t>
      </w:r>
      <w:r w:rsidRPr="00AA552A">
        <w:rPr>
          <w:rFonts w:cs="Cambria"/>
          <w:color w:val="000000"/>
          <w:spacing w:val="-1"/>
        </w:rPr>
        <w:t>V</w:t>
      </w:r>
      <w:r w:rsidRPr="00AA552A">
        <w:rPr>
          <w:rFonts w:cs="Cambria"/>
          <w:color w:val="000000"/>
          <w:spacing w:val="1"/>
        </w:rPr>
        <w:t>i</w:t>
      </w:r>
      <w:r w:rsidRPr="00AA552A">
        <w:rPr>
          <w:rFonts w:cs="Cambria"/>
          <w:color w:val="000000"/>
          <w:spacing w:val="-1"/>
        </w:rPr>
        <w:t>rg</w:t>
      </w:r>
      <w:r w:rsidRPr="00AA552A">
        <w:rPr>
          <w:rFonts w:cs="Cambria"/>
          <w:color w:val="000000"/>
          <w:spacing w:val="1"/>
        </w:rPr>
        <w:t>i</w:t>
      </w:r>
      <w:r w:rsidRPr="00AA552A">
        <w:rPr>
          <w:rFonts w:cs="Cambria"/>
          <w:color w:val="000000"/>
        </w:rPr>
        <w:t>n</w:t>
      </w:r>
      <w:r w:rsidRPr="00AA552A">
        <w:rPr>
          <w:rFonts w:cs="Cambria"/>
          <w:color w:val="000000"/>
          <w:spacing w:val="1"/>
        </w:rPr>
        <w:t>i</w:t>
      </w:r>
      <w:r w:rsidRPr="00AA552A">
        <w:rPr>
          <w:rFonts w:cs="Cambria"/>
          <w:color w:val="000000"/>
        </w:rPr>
        <w:t>a</w:t>
      </w:r>
      <w:r w:rsidRPr="00AA552A">
        <w:rPr>
          <w:rFonts w:cs="Cambria"/>
          <w:color w:val="000000"/>
          <w:spacing w:val="-9"/>
        </w:rPr>
        <w:t xml:space="preserve"> </w:t>
      </w:r>
      <w:r w:rsidRPr="00AA552A">
        <w:rPr>
          <w:rFonts w:cs="Cambria"/>
          <w:color w:val="000000"/>
          <w:spacing w:val="1"/>
        </w:rPr>
        <w:t>b</w:t>
      </w:r>
      <w:r w:rsidRPr="00AA552A">
        <w:rPr>
          <w:rFonts w:cs="Cambria"/>
          <w:color w:val="000000"/>
        </w:rPr>
        <w:t>o</w:t>
      </w:r>
      <w:r w:rsidRPr="00AA552A">
        <w:rPr>
          <w:rFonts w:cs="Cambria"/>
          <w:color w:val="000000"/>
          <w:spacing w:val="-1"/>
        </w:rPr>
        <w:t>rd</w:t>
      </w:r>
      <w:r w:rsidRPr="00AA552A">
        <w:rPr>
          <w:rFonts w:cs="Cambria"/>
          <w:color w:val="000000"/>
          <w:spacing w:val="3"/>
        </w:rPr>
        <w:t>e</w:t>
      </w:r>
      <w:r w:rsidRPr="00AA552A">
        <w:rPr>
          <w:rFonts w:cs="Cambria"/>
          <w:color w:val="000000"/>
          <w:spacing w:val="-1"/>
        </w:rPr>
        <w:t>r</w:t>
      </w:r>
      <w:r w:rsidRPr="00AA552A">
        <w:rPr>
          <w:rFonts w:cs="Cambria"/>
          <w:color w:val="000000"/>
        </w:rPr>
        <w:t>.</w:t>
      </w:r>
    </w:p>
    <w:p w14:paraId="44A4ECF3" w14:textId="77777777" w:rsidR="00DC4922" w:rsidRDefault="00DC4922" w:rsidP="00DC4922">
      <w:pPr>
        <w:rPr>
          <w:rFonts w:cs="Cambria"/>
          <w:color w:val="000000"/>
        </w:rPr>
      </w:pPr>
      <w:r w:rsidRPr="00AA552A">
        <w:rPr>
          <w:color w:val="000000"/>
          <w:w w:val="131"/>
        </w:rPr>
        <w:t>•</w:t>
      </w:r>
      <w:r w:rsidRPr="00AA552A">
        <w:rPr>
          <w:color w:val="000000"/>
        </w:rPr>
        <w:tab/>
      </w:r>
      <w:r w:rsidRPr="00AA552A">
        <w:rPr>
          <w:rFonts w:cs="Cambria"/>
          <w:color w:val="000000"/>
          <w:spacing w:val="1"/>
        </w:rPr>
        <w:t>H</w:t>
      </w:r>
      <w:r w:rsidRPr="00AA552A">
        <w:rPr>
          <w:rFonts w:cs="Cambria"/>
          <w:color w:val="000000"/>
        </w:rPr>
        <w:t>a</w:t>
      </w:r>
      <w:r w:rsidRPr="00AA552A">
        <w:rPr>
          <w:rFonts w:cs="Cambria"/>
          <w:color w:val="000000"/>
          <w:spacing w:val="-1"/>
        </w:rPr>
        <w:t>rv</w:t>
      </w:r>
      <w:r w:rsidRPr="00AA552A">
        <w:rPr>
          <w:rFonts w:cs="Cambria"/>
          <w:color w:val="000000"/>
          <w:spacing w:val="1"/>
        </w:rPr>
        <w:t>e</w:t>
      </w:r>
      <w:r w:rsidRPr="00AA552A">
        <w:rPr>
          <w:rFonts w:cs="Cambria"/>
          <w:color w:val="000000"/>
        </w:rPr>
        <w:t>st</w:t>
      </w:r>
      <w:r w:rsidRPr="00AA552A">
        <w:rPr>
          <w:rFonts w:cs="Cambria"/>
          <w:color w:val="000000"/>
          <w:spacing w:val="-6"/>
        </w:rPr>
        <w:t xml:space="preserve"> </w:t>
      </w:r>
      <w:r w:rsidRPr="00AA552A">
        <w:rPr>
          <w:rFonts w:cs="Cambria"/>
          <w:color w:val="000000"/>
        </w:rPr>
        <w:t>of</w:t>
      </w:r>
      <w:r w:rsidRPr="00AA552A">
        <w:rPr>
          <w:rFonts w:cs="Cambria"/>
          <w:color w:val="000000"/>
          <w:spacing w:val="-3"/>
        </w:rPr>
        <w:t xml:space="preserve"> </w:t>
      </w:r>
      <w:r w:rsidRPr="00AA552A">
        <w:rPr>
          <w:rFonts w:cs="Cambria"/>
          <w:i/>
          <w:iCs/>
          <w:color w:val="000000"/>
        </w:rPr>
        <w:t>S</w:t>
      </w:r>
      <w:r w:rsidRPr="00AA552A">
        <w:rPr>
          <w:rFonts w:cs="Cambria"/>
          <w:i/>
          <w:iCs/>
          <w:color w:val="000000"/>
          <w:spacing w:val="1"/>
        </w:rPr>
        <w:t>ar</w:t>
      </w:r>
      <w:r w:rsidRPr="00AA552A">
        <w:rPr>
          <w:rFonts w:cs="Cambria"/>
          <w:i/>
          <w:iCs/>
          <w:color w:val="000000"/>
          <w:spacing w:val="-1"/>
        </w:rPr>
        <w:t>g</w:t>
      </w:r>
      <w:r w:rsidRPr="00AA552A">
        <w:rPr>
          <w:rFonts w:cs="Cambria"/>
          <w:i/>
          <w:iCs/>
          <w:color w:val="000000"/>
          <w:spacing w:val="1"/>
        </w:rPr>
        <w:t>a</w:t>
      </w:r>
      <w:r w:rsidRPr="00AA552A">
        <w:rPr>
          <w:rFonts w:cs="Cambria"/>
          <w:i/>
          <w:iCs/>
          <w:color w:val="000000"/>
        </w:rPr>
        <w:t>ss</w:t>
      </w:r>
      <w:r w:rsidRPr="00AA552A">
        <w:rPr>
          <w:rFonts w:cs="Cambria"/>
          <w:i/>
          <w:iCs/>
          <w:color w:val="000000"/>
          <w:spacing w:val="1"/>
        </w:rPr>
        <w:t>u</w:t>
      </w:r>
      <w:r w:rsidRPr="00AA552A">
        <w:rPr>
          <w:rFonts w:cs="Cambria"/>
          <w:i/>
          <w:iCs/>
          <w:color w:val="000000"/>
        </w:rPr>
        <w:t>m</w:t>
      </w:r>
      <w:r w:rsidRPr="00AA552A">
        <w:rPr>
          <w:rFonts w:cs="Cambria"/>
          <w:i/>
          <w:iCs/>
          <w:color w:val="000000"/>
          <w:spacing w:val="-6"/>
        </w:rPr>
        <w:t xml:space="preserve"> </w:t>
      </w:r>
      <w:r w:rsidRPr="00AA552A">
        <w:rPr>
          <w:rFonts w:cs="Cambria"/>
          <w:color w:val="000000"/>
          <w:spacing w:val="-1"/>
        </w:rPr>
        <w:t>fr</w:t>
      </w:r>
      <w:r w:rsidRPr="00AA552A">
        <w:rPr>
          <w:rFonts w:cs="Cambria"/>
          <w:color w:val="000000"/>
        </w:rPr>
        <w:t>om</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S</w:t>
      </w:r>
      <w:r w:rsidRPr="00AA552A">
        <w:rPr>
          <w:rFonts w:cs="Cambria"/>
          <w:color w:val="000000"/>
        </w:rPr>
        <w:t>outh</w:t>
      </w:r>
      <w:r w:rsidRPr="00AA552A">
        <w:rPr>
          <w:rFonts w:cs="Cambria"/>
          <w:color w:val="000000"/>
          <w:spacing w:val="-3"/>
        </w:rPr>
        <w:t xml:space="preserve"> </w:t>
      </w:r>
      <w:r w:rsidRPr="00AA552A">
        <w:rPr>
          <w:rFonts w:cs="Cambria"/>
          <w:color w:val="000000"/>
          <w:spacing w:val="-1"/>
        </w:rPr>
        <w:t>A</w:t>
      </w:r>
      <w:r w:rsidRPr="00AA552A">
        <w:rPr>
          <w:rFonts w:cs="Cambria"/>
          <w:color w:val="000000"/>
        </w:rPr>
        <w:t>tlant</w:t>
      </w:r>
      <w:r w:rsidRPr="00AA552A">
        <w:rPr>
          <w:rFonts w:cs="Cambria"/>
          <w:color w:val="000000"/>
          <w:spacing w:val="1"/>
        </w:rPr>
        <w:t>i</w:t>
      </w:r>
      <w:r w:rsidRPr="00AA552A">
        <w:rPr>
          <w:rFonts w:cs="Cambria"/>
          <w:color w:val="000000"/>
        </w:rPr>
        <w:t>c</w:t>
      </w:r>
      <w:r w:rsidRPr="00AA552A">
        <w:rPr>
          <w:rFonts w:cs="Cambria"/>
          <w:color w:val="000000"/>
          <w:spacing w:val="-2"/>
        </w:rPr>
        <w:t xml:space="preserve"> </w:t>
      </w:r>
      <w:r w:rsidRPr="00AA552A">
        <w:rPr>
          <w:rFonts w:cs="Cambria"/>
          <w:color w:val="000000"/>
          <w:spacing w:val="-1"/>
        </w:rPr>
        <w:t>E</w:t>
      </w:r>
      <w:r w:rsidRPr="00AA552A">
        <w:rPr>
          <w:rFonts w:cs="Cambria"/>
          <w:color w:val="000000"/>
          <w:spacing w:val="1"/>
        </w:rPr>
        <w:t>E</w:t>
      </w:r>
      <w:r w:rsidRPr="00AA552A">
        <w:rPr>
          <w:rFonts w:cs="Cambria"/>
          <w:color w:val="000000"/>
        </w:rPr>
        <w:t xml:space="preserve">Z </w:t>
      </w:r>
      <w:r w:rsidRPr="00AA552A">
        <w:rPr>
          <w:rFonts w:cs="Cambria"/>
          <w:color w:val="000000"/>
          <w:spacing w:val="1"/>
        </w:rPr>
        <w:t>i</w:t>
      </w:r>
      <w:r w:rsidRPr="00AA552A">
        <w:rPr>
          <w:rFonts w:cs="Cambria"/>
          <w:color w:val="000000"/>
        </w:rPr>
        <w:t>s</w:t>
      </w:r>
      <w:r w:rsidRPr="00AA552A">
        <w:rPr>
          <w:rFonts w:cs="Cambria"/>
          <w:color w:val="000000"/>
          <w:spacing w:val="-2"/>
        </w:rPr>
        <w:t xml:space="preserve"> </w:t>
      </w:r>
      <w:r w:rsidRPr="00AA552A">
        <w:rPr>
          <w:rFonts w:cs="Cambria"/>
          <w:color w:val="000000"/>
        </w:rPr>
        <w:t>l</w:t>
      </w:r>
      <w:r w:rsidRPr="00AA552A">
        <w:rPr>
          <w:rFonts w:cs="Cambria"/>
          <w:color w:val="000000"/>
          <w:spacing w:val="1"/>
        </w:rPr>
        <w:t>i</w:t>
      </w:r>
      <w:r w:rsidRPr="00AA552A">
        <w:rPr>
          <w:rFonts w:cs="Cambria"/>
          <w:color w:val="000000"/>
        </w:rPr>
        <w:t>m</w:t>
      </w:r>
      <w:r w:rsidRPr="00AA552A">
        <w:rPr>
          <w:rFonts w:cs="Cambria"/>
          <w:color w:val="000000"/>
          <w:spacing w:val="1"/>
        </w:rPr>
        <w:t>i</w:t>
      </w:r>
      <w:r w:rsidRPr="00AA552A">
        <w:rPr>
          <w:rFonts w:cs="Cambria"/>
          <w:color w:val="000000"/>
        </w:rPr>
        <w:t>t</w:t>
      </w:r>
      <w:r w:rsidRPr="00AA552A">
        <w:rPr>
          <w:rFonts w:cs="Cambria"/>
          <w:color w:val="000000"/>
          <w:spacing w:val="1"/>
        </w:rPr>
        <w:t>e</w:t>
      </w:r>
      <w:r w:rsidRPr="00AA552A">
        <w:rPr>
          <w:rFonts w:cs="Cambria"/>
          <w:color w:val="000000"/>
        </w:rPr>
        <w:t>d</w:t>
      </w:r>
      <w:r w:rsidRPr="00AA552A">
        <w:rPr>
          <w:rFonts w:cs="Cambria"/>
          <w:color w:val="000000"/>
          <w:spacing w:val="-7"/>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mo</w:t>
      </w:r>
      <w:r w:rsidRPr="00AA552A">
        <w:rPr>
          <w:rFonts w:cs="Cambria"/>
          <w:color w:val="000000"/>
          <w:spacing w:val="-2"/>
        </w:rPr>
        <w:t>n</w:t>
      </w:r>
      <w:r w:rsidRPr="00AA552A">
        <w:rPr>
          <w:rFonts w:cs="Cambria"/>
          <w:color w:val="000000"/>
        </w:rPr>
        <w:t>ths</w:t>
      </w:r>
      <w:r w:rsidRPr="00AA552A">
        <w:rPr>
          <w:rFonts w:cs="Cambria"/>
          <w:color w:val="000000"/>
          <w:spacing w:val="-6"/>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No</w:t>
      </w:r>
      <w:r w:rsidRPr="00AA552A">
        <w:rPr>
          <w:rFonts w:cs="Cambria"/>
          <w:color w:val="000000"/>
          <w:spacing w:val="-1"/>
        </w:rPr>
        <w:t>v</w:t>
      </w:r>
      <w:r w:rsidRPr="00AA552A">
        <w:rPr>
          <w:rFonts w:cs="Cambria"/>
          <w:color w:val="000000"/>
          <w:spacing w:val="1"/>
        </w:rPr>
        <w:t>e</w:t>
      </w:r>
      <w:r w:rsidRPr="00AA552A">
        <w:rPr>
          <w:rFonts w:cs="Cambria"/>
          <w:color w:val="000000"/>
        </w:rPr>
        <w:t>m</w:t>
      </w:r>
      <w:r w:rsidRPr="00AA552A">
        <w:rPr>
          <w:rFonts w:cs="Cambria"/>
          <w:color w:val="000000"/>
          <w:spacing w:val="1"/>
        </w:rPr>
        <w:t>be</w:t>
      </w:r>
      <w:r w:rsidRPr="00AA552A">
        <w:rPr>
          <w:rFonts w:cs="Cambria"/>
          <w:color w:val="000000"/>
        </w:rPr>
        <w:t>r th</w:t>
      </w:r>
      <w:r w:rsidRPr="00AA552A">
        <w:rPr>
          <w:rFonts w:cs="Cambria"/>
          <w:color w:val="000000"/>
          <w:spacing w:val="-1"/>
        </w:rPr>
        <w:t>r</w:t>
      </w:r>
      <w:r w:rsidRPr="00AA552A">
        <w:rPr>
          <w:rFonts w:cs="Cambria"/>
          <w:color w:val="000000"/>
        </w:rPr>
        <w:t>o</w:t>
      </w:r>
      <w:r w:rsidRPr="00AA552A">
        <w:rPr>
          <w:rFonts w:cs="Cambria"/>
          <w:color w:val="000000"/>
          <w:spacing w:val="-1"/>
        </w:rPr>
        <w:t>ug</w:t>
      </w:r>
      <w:r w:rsidRPr="00AA552A">
        <w:rPr>
          <w:rFonts w:cs="Cambria"/>
          <w:color w:val="000000"/>
        </w:rPr>
        <w:t>h</w:t>
      </w:r>
      <w:r w:rsidRPr="00AA552A">
        <w:rPr>
          <w:rFonts w:cs="Cambria"/>
          <w:color w:val="000000"/>
          <w:spacing w:val="-5"/>
        </w:rPr>
        <w:t xml:space="preserve"> </w:t>
      </w:r>
      <w:r w:rsidRPr="00AA552A">
        <w:rPr>
          <w:rFonts w:cs="Cambria"/>
          <w:color w:val="000000"/>
          <w:spacing w:val="1"/>
        </w:rPr>
        <w:t>J</w:t>
      </w:r>
      <w:r w:rsidRPr="00AA552A">
        <w:rPr>
          <w:rFonts w:cs="Cambria"/>
          <w:color w:val="000000"/>
          <w:spacing w:val="-1"/>
        </w:rPr>
        <w:t>u</w:t>
      </w:r>
      <w:r w:rsidRPr="00AA552A">
        <w:rPr>
          <w:rFonts w:cs="Cambria"/>
          <w:color w:val="000000"/>
        </w:rPr>
        <w:t>n</w:t>
      </w:r>
      <w:r w:rsidRPr="00AA552A">
        <w:rPr>
          <w:rFonts w:cs="Cambria"/>
          <w:color w:val="000000"/>
          <w:spacing w:val="1"/>
        </w:rPr>
        <w:t>e</w:t>
      </w:r>
      <w:r w:rsidRPr="00AA552A">
        <w:rPr>
          <w:rFonts w:cs="Cambria"/>
          <w:color w:val="000000"/>
        </w:rPr>
        <w:t>.</w:t>
      </w:r>
    </w:p>
    <w:p w14:paraId="06230D9B" w14:textId="77777777" w:rsidR="00DC4922" w:rsidRPr="00AA552A" w:rsidRDefault="00DC4922" w:rsidP="00DC4922">
      <w:pPr>
        <w:rPr>
          <w:rFonts w:cs="Cambria"/>
          <w:color w:val="000000"/>
        </w:rPr>
      </w:pPr>
      <w:r w:rsidRPr="00AA552A">
        <w:rPr>
          <w:color w:val="000000"/>
          <w:w w:val="131"/>
        </w:rPr>
        <w:t>•</w:t>
      </w:r>
      <w:r w:rsidRPr="00AA552A">
        <w:rPr>
          <w:color w:val="000000"/>
        </w:rPr>
        <w:tab/>
      </w:r>
      <w:r w:rsidRPr="00AA552A">
        <w:rPr>
          <w:rFonts w:cs="Cambria"/>
          <w:color w:val="000000"/>
          <w:spacing w:val="1"/>
        </w:rPr>
        <w:t>E</w:t>
      </w:r>
      <w:r w:rsidRPr="00AA552A">
        <w:rPr>
          <w:rFonts w:cs="Cambria"/>
          <w:color w:val="000000"/>
        </w:rPr>
        <w:t>sta</w:t>
      </w:r>
      <w:r w:rsidRPr="00AA552A">
        <w:rPr>
          <w:rFonts w:cs="Cambria"/>
          <w:color w:val="000000"/>
          <w:spacing w:val="1"/>
        </w:rPr>
        <w:t>b</w:t>
      </w:r>
      <w:r w:rsidRPr="00AA552A">
        <w:rPr>
          <w:rFonts w:cs="Cambria"/>
          <w:color w:val="000000"/>
        </w:rPr>
        <w:t>l</w:t>
      </w:r>
      <w:r w:rsidRPr="00AA552A">
        <w:rPr>
          <w:rFonts w:cs="Cambria"/>
          <w:color w:val="000000"/>
          <w:spacing w:val="1"/>
        </w:rPr>
        <w:t>i</w:t>
      </w:r>
      <w:r w:rsidRPr="00AA552A">
        <w:rPr>
          <w:rFonts w:cs="Cambria"/>
          <w:color w:val="000000"/>
        </w:rPr>
        <w:t>sh</w:t>
      </w:r>
      <w:r w:rsidRPr="00AA552A">
        <w:rPr>
          <w:rFonts w:cs="Cambria"/>
          <w:color w:val="000000"/>
          <w:spacing w:val="1"/>
        </w:rPr>
        <w:t>e</w:t>
      </w:r>
      <w:r w:rsidRPr="00AA552A">
        <w:rPr>
          <w:rFonts w:cs="Cambria"/>
          <w:color w:val="000000"/>
        </w:rPr>
        <w:t>d</w:t>
      </w:r>
      <w:r w:rsidRPr="00AA552A">
        <w:rPr>
          <w:rFonts w:cs="Cambria"/>
          <w:color w:val="000000"/>
          <w:spacing w:val="-8"/>
        </w:rPr>
        <w:t xml:space="preserve"> </w:t>
      </w:r>
      <w:r w:rsidRPr="00AA552A">
        <w:rPr>
          <w:rFonts w:cs="Cambria"/>
          <w:color w:val="000000"/>
        </w:rPr>
        <w:t>an a</w:t>
      </w:r>
      <w:r w:rsidRPr="00AA552A">
        <w:rPr>
          <w:rFonts w:cs="Cambria"/>
          <w:color w:val="000000"/>
          <w:spacing w:val="-2"/>
        </w:rPr>
        <w:t>n</w:t>
      </w:r>
      <w:r w:rsidRPr="00AA552A">
        <w:rPr>
          <w:rFonts w:cs="Cambria"/>
          <w:color w:val="000000"/>
        </w:rPr>
        <w:t>n</w:t>
      </w:r>
      <w:r w:rsidRPr="00AA552A">
        <w:rPr>
          <w:rFonts w:cs="Cambria"/>
          <w:color w:val="000000"/>
          <w:spacing w:val="-1"/>
        </w:rPr>
        <w:t>u</w:t>
      </w:r>
      <w:r w:rsidRPr="00AA552A">
        <w:rPr>
          <w:rFonts w:cs="Cambria"/>
          <w:color w:val="000000"/>
        </w:rPr>
        <w:t xml:space="preserve">al </w:t>
      </w:r>
      <w:r w:rsidRPr="00AA552A">
        <w:rPr>
          <w:rFonts w:cs="Cambria"/>
          <w:color w:val="000000"/>
          <w:spacing w:val="-1"/>
        </w:rPr>
        <w:t>T</w:t>
      </w:r>
      <w:r w:rsidRPr="00AA552A">
        <w:rPr>
          <w:rFonts w:cs="Cambria"/>
          <w:color w:val="000000"/>
        </w:rPr>
        <w:t>otal</w:t>
      </w:r>
      <w:r w:rsidRPr="00AA552A">
        <w:rPr>
          <w:rFonts w:cs="Cambria"/>
          <w:color w:val="000000"/>
          <w:spacing w:val="-3"/>
        </w:rPr>
        <w:t xml:space="preserve"> </w:t>
      </w:r>
      <w:r w:rsidRPr="00AA552A">
        <w:rPr>
          <w:rFonts w:cs="Cambria"/>
          <w:color w:val="000000"/>
          <w:spacing w:val="-1"/>
        </w:rPr>
        <w:t>A</w:t>
      </w:r>
      <w:r w:rsidRPr="00AA552A">
        <w:rPr>
          <w:rFonts w:cs="Cambria"/>
          <w:color w:val="000000"/>
        </w:rPr>
        <w:t>llo</w:t>
      </w:r>
      <w:r w:rsidRPr="00AA552A">
        <w:rPr>
          <w:rFonts w:cs="Cambria"/>
          <w:color w:val="000000"/>
          <w:spacing w:val="-1"/>
        </w:rPr>
        <w:t>w</w:t>
      </w:r>
      <w:r w:rsidRPr="00AA552A">
        <w:rPr>
          <w:rFonts w:cs="Cambria"/>
          <w:color w:val="000000"/>
        </w:rPr>
        <w:t>a</w:t>
      </w:r>
      <w:r w:rsidRPr="00AA552A">
        <w:rPr>
          <w:rFonts w:cs="Cambria"/>
          <w:color w:val="000000"/>
          <w:spacing w:val="1"/>
        </w:rPr>
        <w:t>b</w:t>
      </w:r>
      <w:r w:rsidRPr="00AA552A">
        <w:rPr>
          <w:rFonts w:cs="Cambria"/>
          <w:color w:val="000000"/>
        </w:rPr>
        <w:t>le</w:t>
      </w:r>
      <w:r w:rsidRPr="00AA552A">
        <w:rPr>
          <w:rFonts w:cs="Cambria"/>
          <w:color w:val="000000"/>
          <w:spacing w:val="-1"/>
        </w:rPr>
        <w:t xml:space="preserve"> C</w:t>
      </w:r>
      <w:r w:rsidRPr="00AA552A">
        <w:rPr>
          <w:rFonts w:cs="Cambria"/>
          <w:color w:val="000000"/>
        </w:rPr>
        <w:t>atch</w:t>
      </w:r>
      <w:r w:rsidRPr="00AA552A">
        <w:rPr>
          <w:rFonts w:cs="Cambria"/>
          <w:color w:val="000000"/>
          <w:spacing w:val="-4"/>
        </w:rPr>
        <w:t xml:space="preserve"> </w:t>
      </w:r>
      <w:r w:rsidRPr="00AA552A">
        <w:rPr>
          <w:rFonts w:cs="Cambria"/>
          <w:color w:val="000000"/>
        </w:rPr>
        <w:t>(</w:t>
      </w:r>
      <w:r w:rsidRPr="00AA552A">
        <w:rPr>
          <w:rFonts w:cs="Cambria"/>
          <w:color w:val="000000"/>
          <w:spacing w:val="2"/>
        </w:rPr>
        <w:t>T</w:t>
      </w:r>
      <w:r w:rsidRPr="00AA552A">
        <w:rPr>
          <w:rFonts w:cs="Cambria"/>
          <w:color w:val="000000"/>
          <w:spacing w:val="-1"/>
        </w:rPr>
        <w:t>AC</w:t>
      </w:r>
      <w:r w:rsidRPr="00AA552A">
        <w:rPr>
          <w:rFonts w:cs="Cambria"/>
          <w:color w:val="000000"/>
        </w:rPr>
        <w:t>)</w:t>
      </w:r>
      <w:r w:rsidRPr="00AA552A">
        <w:rPr>
          <w:rFonts w:cs="Cambria"/>
          <w:color w:val="000000"/>
          <w:spacing w:val="-5"/>
        </w:rPr>
        <w:t xml:space="preserve"> </w:t>
      </w:r>
      <w:r w:rsidRPr="00AA552A">
        <w:rPr>
          <w:rFonts w:cs="Cambria"/>
          <w:color w:val="000000"/>
        </w:rPr>
        <w:t xml:space="preserve">of </w:t>
      </w:r>
      <w:r w:rsidRPr="00AA552A">
        <w:rPr>
          <w:rFonts w:cs="Cambria"/>
          <w:color w:val="000000"/>
          <w:spacing w:val="-1"/>
        </w:rPr>
        <w:t>5</w:t>
      </w:r>
      <w:r w:rsidRPr="00AA552A">
        <w:rPr>
          <w:rFonts w:cs="Cambria"/>
          <w:color w:val="000000"/>
          <w:spacing w:val="1"/>
        </w:rPr>
        <w:t>,</w:t>
      </w:r>
      <w:r w:rsidRPr="00AA552A">
        <w:rPr>
          <w:rFonts w:cs="Cambria"/>
          <w:color w:val="000000"/>
          <w:spacing w:val="-1"/>
        </w:rPr>
        <w:t>00</w:t>
      </w:r>
      <w:r w:rsidRPr="00AA552A">
        <w:rPr>
          <w:rFonts w:cs="Cambria"/>
          <w:color w:val="000000"/>
        </w:rPr>
        <w:t>0</w:t>
      </w:r>
      <w:r w:rsidRPr="00AA552A">
        <w:rPr>
          <w:rFonts w:cs="Cambria"/>
          <w:color w:val="000000"/>
          <w:spacing w:val="-6"/>
        </w:rPr>
        <w:t xml:space="preserve"> </w:t>
      </w:r>
      <w:r w:rsidRPr="00AA552A">
        <w:rPr>
          <w:rFonts w:cs="Cambria"/>
          <w:color w:val="000000"/>
          <w:spacing w:val="1"/>
        </w:rPr>
        <w:t>p</w:t>
      </w:r>
      <w:r w:rsidRPr="00AA552A">
        <w:rPr>
          <w:rFonts w:cs="Cambria"/>
          <w:color w:val="000000"/>
        </w:rPr>
        <w:t>oun</w:t>
      </w:r>
      <w:r w:rsidRPr="00AA552A">
        <w:rPr>
          <w:rFonts w:cs="Cambria"/>
          <w:color w:val="000000"/>
          <w:spacing w:val="-1"/>
        </w:rPr>
        <w:t>d</w:t>
      </w:r>
      <w:r w:rsidRPr="00AA552A">
        <w:rPr>
          <w:rFonts w:cs="Cambria"/>
          <w:color w:val="000000"/>
        </w:rPr>
        <w:t>s</w:t>
      </w:r>
      <w:r w:rsidRPr="00AA552A">
        <w:rPr>
          <w:rFonts w:cs="Cambria"/>
          <w:color w:val="000000"/>
          <w:spacing w:val="-2"/>
        </w:rPr>
        <w:t xml:space="preserve"> </w:t>
      </w:r>
      <w:r w:rsidRPr="00AA552A">
        <w:rPr>
          <w:rFonts w:cs="Cambria"/>
          <w:color w:val="000000"/>
        </w:rPr>
        <w:t>lan</w:t>
      </w:r>
      <w:r w:rsidRPr="00AA552A">
        <w:rPr>
          <w:rFonts w:cs="Cambria"/>
          <w:color w:val="000000"/>
          <w:spacing w:val="-1"/>
        </w:rPr>
        <w:t>d</w:t>
      </w:r>
      <w:r w:rsidRPr="00AA552A">
        <w:rPr>
          <w:rFonts w:cs="Cambria"/>
          <w:color w:val="000000"/>
          <w:spacing w:val="1"/>
        </w:rPr>
        <w:t>e</w:t>
      </w:r>
      <w:r w:rsidRPr="00AA552A">
        <w:rPr>
          <w:rFonts w:cs="Cambria"/>
          <w:color w:val="000000"/>
        </w:rPr>
        <w:t>d</w:t>
      </w:r>
      <w:r w:rsidRPr="00AA552A">
        <w:rPr>
          <w:rFonts w:cs="Cambria"/>
          <w:color w:val="000000"/>
          <w:spacing w:val="-5"/>
        </w:rPr>
        <w:t xml:space="preserve"> </w:t>
      </w:r>
      <w:r w:rsidRPr="00AA552A">
        <w:rPr>
          <w:rFonts w:cs="Cambria"/>
          <w:color w:val="000000"/>
          <w:spacing w:val="-1"/>
        </w:rPr>
        <w:t>w</w:t>
      </w:r>
      <w:r w:rsidRPr="00AA552A">
        <w:rPr>
          <w:rFonts w:cs="Cambria"/>
          <w:color w:val="000000"/>
          <w:spacing w:val="1"/>
        </w:rPr>
        <w:t>e</w:t>
      </w:r>
      <w:r w:rsidRPr="00AA552A">
        <w:rPr>
          <w:rFonts w:cs="Cambria"/>
          <w:color w:val="000000"/>
        </w:rPr>
        <w:t>t</w:t>
      </w:r>
      <w:r w:rsidRPr="00AA552A">
        <w:rPr>
          <w:rFonts w:cs="Cambria"/>
          <w:color w:val="000000"/>
          <w:spacing w:val="-1"/>
        </w:rPr>
        <w:t xml:space="preserve"> w</w:t>
      </w:r>
      <w:r w:rsidRPr="00AA552A">
        <w:rPr>
          <w:rFonts w:cs="Cambria"/>
          <w:color w:val="000000"/>
          <w:spacing w:val="1"/>
        </w:rPr>
        <w:t>ei</w:t>
      </w:r>
      <w:r w:rsidRPr="00AA552A">
        <w:rPr>
          <w:rFonts w:cs="Cambria"/>
          <w:color w:val="000000"/>
          <w:spacing w:val="-1"/>
        </w:rPr>
        <w:t>g</w:t>
      </w:r>
      <w:r w:rsidRPr="00AA552A">
        <w:rPr>
          <w:rFonts w:cs="Cambria"/>
          <w:color w:val="000000"/>
        </w:rPr>
        <w:t>ht.</w:t>
      </w:r>
    </w:p>
    <w:p w14:paraId="09CDB94C" w14:textId="1B1B71BC" w:rsidR="00DC4922" w:rsidRPr="00AA552A" w:rsidRDefault="00DC4922" w:rsidP="00DC4922">
      <w:pPr>
        <w:rPr>
          <w:rFonts w:cs="Cambria"/>
          <w:color w:val="000000"/>
        </w:rPr>
      </w:pPr>
      <w:r w:rsidRPr="00AA552A">
        <w:rPr>
          <w:color w:val="000000"/>
          <w:w w:val="131"/>
        </w:rPr>
        <w:t>•</w:t>
      </w:r>
      <w:r w:rsidRPr="00AA552A">
        <w:rPr>
          <w:color w:val="000000"/>
        </w:rPr>
        <w:tab/>
      </w:r>
      <w:r w:rsidRPr="00AA552A">
        <w:rPr>
          <w:rFonts w:cs="Cambria"/>
          <w:color w:val="000000"/>
        </w:rPr>
        <w:t>R</w:t>
      </w:r>
      <w:r w:rsidRPr="00AA552A">
        <w:rPr>
          <w:rFonts w:cs="Cambria"/>
          <w:color w:val="000000"/>
          <w:spacing w:val="1"/>
        </w:rPr>
        <w:t>eq</w:t>
      </w:r>
      <w:r w:rsidRPr="00AA552A">
        <w:rPr>
          <w:rFonts w:cs="Cambria"/>
          <w:color w:val="000000"/>
          <w:spacing w:val="-1"/>
        </w:rPr>
        <w:t>u</w:t>
      </w:r>
      <w:r w:rsidRPr="00AA552A">
        <w:rPr>
          <w:rFonts w:cs="Cambria"/>
          <w:color w:val="000000"/>
          <w:spacing w:val="1"/>
        </w:rPr>
        <w:t>i</w:t>
      </w:r>
      <w:r w:rsidRPr="00AA552A">
        <w:rPr>
          <w:rFonts w:cs="Cambria"/>
          <w:color w:val="000000"/>
          <w:spacing w:val="-1"/>
        </w:rPr>
        <w:t>r</w:t>
      </w:r>
      <w:r w:rsidRPr="00AA552A">
        <w:rPr>
          <w:rFonts w:cs="Cambria"/>
          <w:color w:val="000000"/>
          <w:spacing w:val="1"/>
        </w:rPr>
        <w:t>e</w:t>
      </w:r>
      <w:r w:rsidRPr="00AA552A">
        <w:rPr>
          <w:rFonts w:cs="Cambria"/>
          <w:color w:val="000000"/>
        </w:rPr>
        <w:t>d</w:t>
      </w:r>
      <w:r w:rsidRPr="00AA552A">
        <w:rPr>
          <w:rFonts w:cs="Cambria"/>
          <w:color w:val="000000"/>
          <w:spacing w:val="-8"/>
        </w:rPr>
        <w:t xml:space="preserve"> </w:t>
      </w:r>
      <w:r w:rsidRPr="00AA552A">
        <w:rPr>
          <w:rFonts w:cs="Cambria"/>
          <w:color w:val="000000"/>
        </w:rPr>
        <w:t>that</w:t>
      </w:r>
      <w:r w:rsidRPr="00AA552A">
        <w:rPr>
          <w:rFonts w:cs="Cambria"/>
          <w:color w:val="000000"/>
          <w:spacing w:val="-1"/>
        </w:rPr>
        <w:t xml:space="preserve"> </w:t>
      </w:r>
      <w:r w:rsidRPr="00AA552A">
        <w:rPr>
          <w:rFonts w:cs="Cambria"/>
          <w:color w:val="000000"/>
        </w:rPr>
        <w:t>an o</w:t>
      </w:r>
      <w:r w:rsidRPr="00AA552A">
        <w:rPr>
          <w:rFonts w:cs="Cambria"/>
          <w:color w:val="000000"/>
          <w:spacing w:val="-1"/>
        </w:rPr>
        <w:t>ff</w:t>
      </w:r>
      <w:r w:rsidRPr="00AA552A">
        <w:rPr>
          <w:rFonts w:cs="Cambria"/>
          <w:color w:val="000000"/>
          <w:spacing w:val="1"/>
        </w:rPr>
        <w:t>i</w:t>
      </w:r>
      <w:r w:rsidRPr="00AA552A">
        <w:rPr>
          <w:rFonts w:cs="Cambria"/>
          <w:color w:val="000000"/>
        </w:rPr>
        <w:t>c</w:t>
      </w:r>
      <w:r w:rsidRPr="00AA552A">
        <w:rPr>
          <w:rFonts w:cs="Cambria"/>
          <w:color w:val="000000"/>
          <w:spacing w:val="1"/>
        </w:rPr>
        <w:t>i</w:t>
      </w:r>
      <w:r w:rsidRPr="00AA552A">
        <w:rPr>
          <w:rFonts w:cs="Cambria"/>
          <w:color w:val="000000"/>
        </w:rPr>
        <w:t>al</w:t>
      </w:r>
      <w:r w:rsidRPr="00AA552A">
        <w:rPr>
          <w:rFonts w:cs="Cambria"/>
          <w:color w:val="000000"/>
          <w:spacing w:val="-5"/>
        </w:rPr>
        <w:t xml:space="preserve"> </w:t>
      </w:r>
      <w:r w:rsidRPr="00AA552A">
        <w:rPr>
          <w:rFonts w:cs="Cambria"/>
          <w:color w:val="000000"/>
        </w:rPr>
        <w:t>o</w:t>
      </w:r>
      <w:r w:rsidRPr="00AA552A">
        <w:rPr>
          <w:rFonts w:cs="Cambria"/>
          <w:color w:val="000000"/>
          <w:spacing w:val="1"/>
        </w:rPr>
        <w:t>b</w:t>
      </w:r>
      <w:r w:rsidRPr="00AA552A">
        <w:rPr>
          <w:rFonts w:cs="Cambria"/>
          <w:color w:val="000000"/>
        </w:rPr>
        <w:t>s</w:t>
      </w:r>
      <w:r w:rsidRPr="00AA552A">
        <w:rPr>
          <w:rFonts w:cs="Cambria"/>
          <w:color w:val="000000"/>
          <w:spacing w:val="1"/>
        </w:rPr>
        <w:t>e</w:t>
      </w:r>
      <w:r w:rsidRPr="00AA552A">
        <w:rPr>
          <w:rFonts w:cs="Cambria"/>
          <w:color w:val="000000"/>
          <w:spacing w:val="-1"/>
        </w:rPr>
        <w:t>rv</w:t>
      </w:r>
      <w:r w:rsidRPr="00AA552A">
        <w:rPr>
          <w:rFonts w:cs="Cambria"/>
          <w:color w:val="000000"/>
          <w:spacing w:val="1"/>
        </w:rPr>
        <w:t>e</w:t>
      </w:r>
      <w:r w:rsidRPr="00AA552A">
        <w:rPr>
          <w:rFonts w:cs="Cambria"/>
          <w:color w:val="000000"/>
        </w:rPr>
        <w:t>r</w:t>
      </w:r>
      <w:r w:rsidRPr="00AA552A">
        <w:rPr>
          <w:rFonts w:cs="Cambria"/>
          <w:color w:val="000000"/>
          <w:spacing w:val="-9"/>
        </w:rPr>
        <w:t xml:space="preserve"> </w:t>
      </w:r>
      <w:r w:rsidRPr="00AA552A">
        <w:rPr>
          <w:rFonts w:cs="Cambria"/>
          <w:color w:val="000000"/>
          <w:spacing w:val="1"/>
        </w:rPr>
        <w:t>b</w:t>
      </w:r>
      <w:r w:rsidRPr="00AA552A">
        <w:rPr>
          <w:rFonts w:cs="Cambria"/>
          <w:color w:val="000000"/>
        </w:rPr>
        <w:t xml:space="preserve">e </w:t>
      </w:r>
      <w:r w:rsidRPr="00AA552A">
        <w:rPr>
          <w:rFonts w:cs="Cambria"/>
          <w:color w:val="000000"/>
          <w:spacing w:val="1"/>
        </w:rPr>
        <w:t>p</w:t>
      </w:r>
      <w:r w:rsidRPr="00AA552A">
        <w:rPr>
          <w:rFonts w:cs="Cambria"/>
          <w:color w:val="000000"/>
          <w:spacing w:val="-1"/>
        </w:rPr>
        <w:t>r</w:t>
      </w:r>
      <w:r w:rsidRPr="00AA552A">
        <w:rPr>
          <w:rFonts w:cs="Cambria"/>
          <w:color w:val="000000"/>
          <w:spacing w:val="1"/>
        </w:rPr>
        <w:t>e</w:t>
      </w:r>
      <w:r w:rsidRPr="00AA552A">
        <w:rPr>
          <w:rFonts w:cs="Cambria"/>
          <w:color w:val="000000"/>
        </w:rPr>
        <w:t>s</w:t>
      </w:r>
      <w:r w:rsidRPr="00AA552A">
        <w:rPr>
          <w:rFonts w:cs="Cambria"/>
          <w:color w:val="000000"/>
          <w:spacing w:val="1"/>
        </w:rPr>
        <w:t>e</w:t>
      </w:r>
      <w:r w:rsidRPr="00AA552A">
        <w:rPr>
          <w:rFonts w:cs="Cambria"/>
          <w:color w:val="000000"/>
        </w:rPr>
        <w:t>nt</w:t>
      </w:r>
      <w:r w:rsidRPr="00AA552A">
        <w:rPr>
          <w:rFonts w:cs="Cambria"/>
          <w:color w:val="000000"/>
          <w:spacing w:val="-4"/>
        </w:rPr>
        <w:t xml:space="preserve"> </w:t>
      </w:r>
      <w:r w:rsidRPr="00AA552A">
        <w:rPr>
          <w:rFonts w:cs="Cambria"/>
          <w:color w:val="000000"/>
          <w:spacing w:val="-3"/>
        </w:rPr>
        <w:t>o</w:t>
      </w:r>
      <w:r w:rsidRPr="00AA552A">
        <w:rPr>
          <w:rFonts w:cs="Cambria"/>
          <w:color w:val="000000"/>
        </w:rPr>
        <w:t>n</w:t>
      </w:r>
      <w:r w:rsidRPr="00AA552A">
        <w:rPr>
          <w:rFonts w:cs="Cambria"/>
          <w:color w:val="000000"/>
          <w:spacing w:val="-1"/>
        </w:rPr>
        <w:t xml:space="preserve"> </w:t>
      </w:r>
      <w:r w:rsidRPr="00AA552A">
        <w:rPr>
          <w:rFonts w:cs="Cambria"/>
          <w:color w:val="000000"/>
          <w:spacing w:val="1"/>
        </w:rPr>
        <w:t>e</w:t>
      </w:r>
      <w:r w:rsidRPr="00AA552A">
        <w:rPr>
          <w:rFonts w:cs="Cambria"/>
          <w:color w:val="000000"/>
        </w:rPr>
        <w:t>ach</w:t>
      </w:r>
      <w:r w:rsidRPr="00AA552A">
        <w:rPr>
          <w:rFonts w:cs="Cambria"/>
          <w:color w:val="000000"/>
          <w:spacing w:val="-4"/>
        </w:rPr>
        <w:t xml:space="preserve"> </w:t>
      </w:r>
      <w:r w:rsidRPr="00AA552A">
        <w:rPr>
          <w:rFonts w:cs="Cambria"/>
          <w:i/>
          <w:iCs/>
          <w:color w:val="000000"/>
        </w:rPr>
        <w:t>S</w:t>
      </w:r>
      <w:r w:rsidRPr="00AA552A">
        <w:rPr>
          <w:rFonts w:cs="Cambria"/>
          <w:i/>
          <w:iCs/>
          <w:color w:val="000000"/>
          <w:spacing w:val="1"/>
        </w:rPr>
        <w:t>ar</w:t>
      </w:r>
      <w:r w:rsidRPr="00AA552A">
        <w:rPr>
          <w:rFonts w:cs="Cambria"/>
          <w:i/>
          <w:iCs/>
          <w:color w:val="000000"/>
          <w:spacing w:val="-1"/>
        </w:rPr>
        <w:t>g</w:t>
      </w:r>
      <w:r w:rsidRPr="00AA552A">
        <w:rPr>
          <w:rFonts w:cs="Cambria"/>
          <w:i/>
          <w:iCs/>
          <w:color w:val="000000"/>
          <w:spacing w:val="1"/>
        </w:rPr>
        <w:t>a</w:t>
      </w:r>
      <w:r w:rsidRPr="00AA552A">
        <w:rPr>
          <w:rFonts w:cs="Cambria"/>
          <w:i/>
          <w:iCs/>
          <w:color w:val="000000"/>
        </w:rPr>
        <w:t>ss</w:t>
      </w:r>
      <w:r w:rsidRPr="00AA552A">
        <w:rPr>
          <w:rFonts w:cs="Cambria"/>
          <w:i/>
          <w:iCs/>
          <w:color w:val="000000"/>
          <w:spacing w:val="1"/>
        </w:rPr>
        <w:t>u</w:t>
      </w:r>
      <w:r w:rsidRPr="00AA552A">
        <w:rPr>
          <w:rFonts w:cs="Cambria"/>
          <w:i/>
          <w:iCs/>
          <w:color w:val="000000"/>
        </w:rPr>
        <w:t>m</w:t>
      </w:r>
      <w:r w:rsidRPr="00AA552A">
        <w:rPr>
          <w:rFonts w:cs="Cambria"/>
          <w:i/>
          <w:iCs/>
          <w:color w:val="000000"/>
          <w:spacing w:val="-6"/>
        </w:rPr>
        <w:t xml:space="preserve"> </w:t>
      </w:r>
      <w:r w:rsidRPr="00AA552A">
        <w:rPr>
          <w:rFonts w:cs="Cambria"/>
          <w:color w:val="000000"/>
        </w:rPr>
        <w:t>ha</w:t>
      </w:r>
      <w:r w:rsidRPr="00AA552A">
        <w:rPr>
          <w:rFonts w:cs="Cambria"/>
          <w:color w:val="000000"/>
          <w:spacing w:val="-1"/>
        </w:rPr>
        <w:t>rv</w:t>
      </w:r>
      <w:r w:rsidRPr="00AA552A">
        <w:rPr>
          <w:rFonts w:cs="Cambria"/>
          <w:color w:val="000000"/>
          <w:spacing w:val="-2"/>
        </w:rPr>
        <w:t>e</w:t>
      </w:r>
      <w:r w:rsidRPr="00AA552A">
        <w:rPr>
          <w:rFonts w:cs="Cambria"/>
          <w:color w:val="000000"/>
        </w:rPr>
        <w:t>st</w:t>
      </w:r>
      <w:r w:rsidRPr="00AA552A">
        <w:rPr>
          <w:rFonts w:cs="Cambria"/>
          <w:color w:val="000000"/>
          <w:spacing w:val="1"/>
        </w:rPr>
        <w:t>i</w:t>
      </w:r>
      <w:r w:rsidRPr="00AA552A">
        <w:rPr>
          <w:rFonts w:cs="Cambria"/>
          <w:color w:val="000000"/>
        </w:rPr>
        <w:t>ng</w:t>
      </w:r>
      <w:r w:rsidRPr="00AA552A">
        <w:rPr>
          <w:rFonts w:cs="Cambria"/>
          <w:color w:val="000000"/>
          <w:spacing w:val="-7"/>
        </w:rPr>
        <w:t xml:space="preserve"> </w:t>
      </w:r>
      <w:r w:rsidRPr="00AA552A">
        <w:rPr>
          <w:rFonts w:cs="Cambria"/>
          <w:color w:val="000000"/>
        </w:rPr>
        <w:t>t</w:t>
      </w:r>
      <w:r w:rsidRPr="00AA552A">
        <w:rPr>
          <w:rFonts w:cs="Cambria"/>
          <w:color w:val="000000"/>
          <w:spacing w:val="-1"/>
        </w:rPr>
        <w:t>r</w:t>
      </w:r>
      <w:r w:rsidRPr="00AA552A">
        <w:rPr>
          <w:rFonts w:cs="Cambria"/>
          <w:color w:val="000000"/>
          <w:spacing w:val="1"/>
        </w:rPr>
        <w:t>ip</w:t>
      </w:r>
      <w:r w:rsidRPr="00AA552A">
        <w:rPr>
          <w:rFonts w:cs="Cambria"/>
          <w:color w:val="000000"/>
        </w:rPr>
        <w:t>.</w:t>
      </w:r>
      <w:r w:rsidRPr="00AA552A">
        <w:rPr>
          <w:rFonts w:cs="Cambria"/>
          <w:color w:val="000000"/>
          <w:spacing w:val="52"/>
        </w:rPr>
        <w:t xml:space="preserve"> </w:t>
      </w:r>
      <w:r w:rsidRPr="00AA552A">
        <w:rPr>
          <w:rFonts w:cs="Cambria"/>
          <w:color w:val="000000"/>
        </w:rPr>
        <w:t>R</w:t>
      </w:r>
      <w:r w:rsidRPr="00AA552A">
        <w:rPr>
          <w:rFonts w:cs="Cambria"/>
          <w:color w:val="000000"/>
          <w:spacing w:val="1"/>
        </w:rPr>
        <w:t>eq</w:t>
      </w:r>
      <w:r w:rsidRPr="00AA552A">
        <w:rPr>
          <w:rFonts w:cs="Cambria"/>
          <w:color w:val="000000"/>
          <w:spacing w:val="-1"/>
        </w:rPr>
        <w:t>u</w:t>
      </w:r>
      <w:r w:rsidRPr="00AA552A">
        <w:rPr>
          <w:rFonts w:cs="Cambria"/>
          <w:color w:val="000000"/>
          <w:spacing w:val="1"/>
        </w:rPr>
        <w:t>i</w:t>
      </w:r>
      <w:r w:rsidRPr="00AA552A">
        <w:rPr>
          <w:rFonts w:cs="Cambria"/>
          <w:color w:val="000000"/>
          <w:spacing w:val="-1"/>
        </w:rPr>
        <w:t>r</w:t>
      </w:r>
      <w:r w:rsidRPr="00AA552A">
        <w:rPr>
          <w:rFonts w:cs="Cambria"/>
          <w:color w:val="000000"/>
        </w:rPr>
        <w:t>e</w:t>
      </w:r>
      <w:r w:rsidRPr="00AA552A">
        <w:rPr>
          <w:rFonts w:cs="Cambria"/>
          <w:color w:val="000000"/>
          <w:spacing w:val="-4"/>
        </w:rPr>
        <w:t xml:space="preserve"> </w:t>
      </w:r>
      <w:r w:rsidRPr="00AA552A">
        <w:rPr>
          <w:rFonts w:cs="Cambria"/>
          <w:color w:val="000000"/>
        </w:rPr>
        <w:t>th</w:t>
      </w:r>
      <w:r w:rsidRPr="00AA552A">
        <w:rPr>
          <w:rFonts w:cs="Cambria"/>
          <w:color w:val="000000"/>
          <w:spacing w:val="-2"/>
        </w:rPr>
        <w:t>a</w:t>
      </w:r>
      <w:r w:rsidRPr="00AA552A">
        <w:rPr>
          <w:rFonts w:cs="Cambria"/>
          <w:color w:val="000000"/>
        </w:rPr>
        <w:t>t n</w:t>
      </w:r>
      <w:r w:rsidRPr="00AA552A">
        <w:rPr>
          <w:rFonts w:cs="Cambria"/>
          <w:color w:val="000000"/>
          <w:spacing w:val="1"/>
        </w:rPr>
        <w:t>e</w:t>
      </w:r>
      <w:r w:rsidRPr="00AA552A">
        <w:rPr>
          <w:rFonts w:cs="Cambria"/>
          <w:color w:val="000000"/>
        </w:rPr>
        <w:t>ts</w:t>
      </w:r>
      <w:r w:rsidRPr="00AA552A">
        <w:rPr>
          <w:rFonts w:cs="Cambria"/>
          <w:color w:val="000000"/>
          <w:spacing w:val="-2"/>
        </w:rPr>
        <w:t xml:space="preserve"> </w:t>
      </w:r>
      <w:r w:rsidRPr="00AA552A">
        <w:rPr>
          <w:rFonts w:cs="Cambria"/>
          <w:color w:val="000000"/>
          <w:spacing w:val="-1"/>
        </w:rPr>
        <w:t>u</w:t>
      </w:r>
      <w:r w:rsidRPr="00AA552A">
        <w:rPr>
          <w:rFonts w:cs="Cambria"/>
          <w:color w:val="000000"/>
        </w:rPr>
        <w:t>s</w:t>
      </w:r>
      <w:r w:rsidRPr="00AA552A">
        <w:rPr>
          <w:rFonts w:cs="Cambria"/>
          <w:color w:val="000000"/>
          <w:spacing w:val="1"/>
        </w:rPr>
        <w:t>e</w:t>
      </w:r>
      <w:r w:rsidRPr="00AA552A">
        <w:rPr>
          <w:rFonts w:cs="Cambria"/>
          <w:color w:val="000000"/>
        </w:rPr>
        <w:t>d</w:t>
      </w:r>
      <w:r w:rsidRPr="00AA552A">
        <w:rPr>
          <w:rFonts w:cs="Cambria"/>
          <w:color w:val="000000"/>
          <w:spacing w:val="-5"/>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ha</w:t>
      </w:r>
      <w:r w:rsidRPr="00AA552A">
        <w:rPr>
          <w:rFonts w:cs="Cambria"/>
          <w:color w:val="000000"/>
          <w:spacing w:val="-1"/>
        </w:rPr>
        <w:t>rv</w:t>
      </w:r>
      <w:r w:rsidRPr="00AA552A">
        <w:rPr>
          <w:rFonts w:cs="Cambria"/>
          <w:color w:val="000000"/>
          <w:spacing w:val="1"/>
        </w:rPr>
        <w:t>e</w:t>
      </w:r>
      <w:r w:rsidRPr="00AA552A">
        <w:rPr>
          <w:rFonts w:cs="Cambria"/>
          <w:color w:val="000000"/>
        </w:rPr>
        <w:t>st</w:t>
      </w:r>
      <w:r w:rsidRPr="00AA552A">
        <w:rPr>
          <w:rFonts w:cs="Cambria"/>
          <w:color w:val="000000"/>
          <w:spacing w:val="-6"/>
        </w:rPr>
        <w:t xml:space="preserve"> </w:t>
      </w:r>
      <w:r w:rsidRPr="00AA552A">
        <w:rPr>
          <w:rFonts w:cs="Cambria"/>
          <w:i/>
          <w:iCs/>
          <w:color w:val="000000"/>
        </w:rPr>
        <w:t>S</w:t>
      </w:r>
      <w:r w:rsidRPr="00AA552A">
        <w:rPr>
          <w:rFonts w:cs="Cambria"/>
          <w:i/>
          <w:iCs/>
          <w:color w:val="000000"/>
          <w:spacing w:val="1"/>
        </w:rPr>
        <w:t>ar</w:t>
      </w:r>
      <w:r w:rsidRPr="00AA552A">
        <w:rPr>
          <w:rFonts w:cs="Cambria"/>
          <w:i/>
          <w:iCs/>
          <w:color w:val="000000"/>
          <w:spacing w:val="-1"/>
        </w:rPr>
        <w:t>g</w:t>
      </w:r>
      <w:r w:rsidRPr="00AA552A">
        <w:rPr>
          <w:rFonts w:cs="Cambria"/>
          <w:i/>
          <w:iCs/>
          <w:color w:val="000000"/>
          <w:spacing w:val="1"/>
        </w:rPr>
        <w:t>a</w:t>
      </w:r>
      <w:r w:rsidRPr="00AA552A">
        <w:rPr>
          <w:rFonts w:cs="Cambria"/>
          <w:i/>
          <w:iCs/>
          <w:color w:val="000000"/>
        </w:rPr>
        <w:t>ss</w:t>
      </w:r>
      <w:r w:rsidRPr="00AA552A">
        <w:rPr>
          <w:rFonts w:cs="Cambria"/>
          <w:i/>
          <w:iCs/>
          <w:color w:val="000000"/>
          <w:spacing w:val="1"/>
        </w:rPr>
        <w:t>u</w:t>
      </w:r>
      <w:r w:rsidRPr="00AA552A">
        <w:rPr>
          <w:rFonts w:cs="Cambria"/>
          <w:i/>
          <w:iCs/>
          <w:color w:val="000000"/>
        </w:rPr>
        <w:t>m</w:t>
      </w:r>
      <w:r w:rsidRPr="00AA552A">
        <w:rPr>
          <w:rFonts w:cs="Cambria"/>
          <w:i/>
          <w:iCs/>
          <w:color w:val="000000"/>
          <w:spacing w:val="-6"/>
        </w:rPr>
        <w:t xml:space="preserve"> </w:t>
      </w:r>
      <w:r w:rsidRPr="00AA552A">
        <w:rPr>
          <w:rFonts w:cs="Cambria"/>
          <w:color w:val="000000"/>
          <w:spacing w:val="1"/>
        </w:rPr>
        <w:t>b</w:t>
      </w:r>
      <w:r w:rsidRPr="00AA552A">
        <w:rPr>
          <w:rFonts w:cs="Cambria"/>
          <w:color w:val="000000"/>
        </w:rPr>
        <w:t>e const</w:t>
      </w:r>
      <w:r w:rsidRPr="00AA552A">
        <w:rPr>
          <w:rFonts w:cs="Cambria"/>
          <w:color w:val="000000"/>
          <w:spacing w:val="-1"/>
        </w:rPr>
        <w:t>r</w:t>
      </w:r>
      <w:r w:rsidRPr="00AA552A">
        <w:rPr>
          <w:rFonts w:cs="Cambria"/>
          <w:color w:val="000000"/>
        </w:rPr>
        <w:t>uct</w:t>
      </w:r>
      <w:r w:rsidRPr="00AA552A">
        <w:rPr>
          <w:rFonts w:cs="Cambria"/>
          <w:color w:val="000000"/>
          <w:spacing w:val="1"/>
        </w:rPr>
        <w:t>e</w:t>
      </w:r>
      <w:r w:rsidRPr="00AA552A">
        <w:rPr>
          <w:rFonts w:cs="Cambria"/>
          <w:color w:val="000000"/>
        </w:rPr>
        <w:t>d</w:t>
      </w:r>
      <w:r w:rsidRPr="00AA552A">
        <w:rPr>
          <w:rFonts w:cs="Cambria"/>
          <w:color w:val="000000"/>
          <w:spacing w:val="-8"/>
        </w:rPr>
        <w:t xml:space="preserve"> </w:t>
      </w:r>
      <w:r w:rsidRPr="00AA552A">
        <w:rPr>
          <w:rFonts w:cs="Cambria"/>
          <w:color w:val="000000"/>
        </w:rPr>
        <w:t>of</w:t>
      </w:r>
      <w:r w:rsidRPr="00AA552A">
        <w:rPr>
          <w:rFonts w:cs="Cambria"/>
          <w:color w:val="000000"/>
          <w:spacing w:val="-3"/>
        </w:rPr>
        <w:t xml:space="preserve"> </w:t>
      </w:r>
      <w:r w:rsidR="004B3243" w:rsidRPr="00AA552A">
        <w:rPr>
          <w:rFonts w:cs="Cambria"/>
          <w:color w:val="000000"/>
          <w:spacing w:val="-1"/>
        </w:rPr>
        <w:t>f</w:t>
      </w:r>
      <w:r w:rsidR="004B3243" w:rsidRPr="00AA552A">
        <w:rPr>
          <w:rFonts w:cs="Cambria"/>
          <w:color w:val="000000"/>
        </w:rPr>
        <w:t>our</w:t>
      </w:r>
      <w:r w:rsidR="004B3243" w:rsidRPr="00AA552A">
        <w:rPr>
          <w:rFonts w:cs="Cambria"/>
          <w:color w:val="000000"/>
          <w:spacing w:val="-5"/>
        </w:rPr>
        <w:t>-inch</w:t>
      </w:r>
      <w:r w:rsidRPr="00AA552A">
        <w:rPr>
          <w:rFonts w:cs="Cambria"/>
          <w:color w:val="000000"/>
          <w:spacing w:val="-3"/>
        </w:rPr>
        <w:t xml:space="preserve"> </w:t>
      </w:r>
      <w:r w:rsidRPr="00AA552A">
        <w:rPr>
          <w:rFonts w:cs="Cambria"/>
          <w:color w:val="000000"/>
        </w:rPr>
        <w:t>st</w:t>
      </w:r>
      <w:r w:rsidRPr="00AA552A">
        <w:rPr>
          <w:rFonts w:cs="Cambria"/>
          <w:color w:val="000000"/>
          <w:spacing w:val="-1"/>
        </w:rPr>
        <w:t>r</w:t>
      </w:r>
      <w:r w:rsidRPr="00AA552A">
        <w:rPr>
          <w:rFonts w:cs="Cambria"/>
          <w:color w:val="000000"/>
          <w:spacing w:val="1"/>
        </w:rPr>
        <w:t>e</w:t>
      </w:r>
      <w:r w:rsidRPr="00AA552A">
        <w:rPr>
          <w:rFonts w:cs="Cambria"/>
          <w:color w:val="000000"/>
        </w:rPr>
        <w:t>tch</w:t>
      </w:r>
      <w:r w:rsidRPr="00AA552A">
        <w:rPr>
          <w:rFonts w:cs="Cambria"/>
          <w:color w:val="000000"/>
          <w:spacing w:val="-4"/>
        </w:rPr>
        <w:t xml:space="preserve"> </w:t>
      </w:r>
      <w:r w:rsidRPr="00AA552A">
        <w:rPr>
          <w:rFonts w:cs="Cambria"/>
          <w:color w:val="000000"/>
        </w:rPr>
        <w:t>m</w:t>
      </w:r>
      <w:r w:rsidRPr="00AA552A">
        <w:rPr>
          <w:rFonts w:cs="Cambria"/>
          <w:color w:val="000000"/>
          <w:spacing w:val="1"/>
        </w:rPr>
        <w:t>e</w:t>
      </w:r>
      <w:r w:rsidRPr="00AA552A">
        <w:rPr>
          <w:rFonts w:cs="Cambria"/>
          <w:color w:val="000000"/>
        </w:rPr>
        <w:t>sh</w:t>
      </w:r>
      <w:r w:rsidRPr="00AA552A">
        <w:rPr>
          <w:rFonts w:cs="Cambria"/>
          <w:color w:val="000000"/>
          <w:spacing w:val="-6"/>
        </w:rPr>
        <w:t xml:space="preserve"> </w:t>
      </w:r>
      <w:r w:rsidRPr="00AA552A">
        <w:rPr>
          <w:rFonts w:cs="Cambria"/>
          <w:color w:val="000000"/>
        </w:rPr>
        <w:t>or</w:t>
      </w:r>
      <w:r w:rsidRPr="00AA552A">
        <w:rPr>
          <w:rFonts w:cs="Cambria"/>
          <w:color w:val="000000"/>
          <w:spacing w:val="-3"/>
        </w:rPr>
        <w:t xml:space="preserve"> </w:t>
      </w:r>
      <w:r w:rsidRPr="00AA552A">
        <w:rPr>
          <w:rFonts w:cs="Cambria"/>
          <w:color w:val="000000"/>
        </w:rPr>
        <w:t>la</w:t>
      </w:r>
      <w:r w:rsidRPr="00AA552A">
        <w:rPr>
          <w:rFonts w:cs="Cambria"/>
          <w:color w:val="000000"/>
          <w:spacing w:val="-1"/>
        </w:rPr>
        <w:t>rg</w:t>
      </w:r>
      <w:r w:rsidRPr="00AA552A">
        <w:rPr>
          <w:rFonts w:cs="Cambria"/>
          <w:color w:val="000000"/>
          <w:spacing w:val="3"/>
        </w:rPr>
        <w:t>e</w:t>
      </w:r>
      <w:r w:rsidRPr="00AA552A">
        <w:rPr>
          <w:rFonts w:cs="Cambria"/>
          <w:color w:val="000000"/>
        </w:rPr>
        <w:t>r</w:t>
      </w:r>
      <w:r w:rsidRPr="00AA552A">
        <w:rPr>
          <w:rFonts w:cs="Cambria"/>
          <w:color w:val="000000"/>
          <w:spacing w:val="-4"/>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tt</w:t>
      </w:r>
      <w:r w:rsidRPr="00AA552A">
        <w:rPr>
          <w:rFonts w:cs="Cambria"/>
          <w:color w:val="000000"/>
          <w:spacing w:val="1"/>
        </w:rPr>
        <w:t>e</w:t>
      </w:r>
      <w:r w:rsidRPr="00AA552A">
        <w:rPr>
          <w:rFonts w:cs="Cambria"/>
          <w:color w:val="000000"/>
        </w:rPr>
        <w:t>d</w:t>
      </w:r>
      <w:r w:rsidRPr="00AA552A">
        <w:rPr>
          <w:rFonts w:cs="Cambria"/>
          <w:color w:val="000000"/>
          <w:spacing w:val="-5"/>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 xml:space="preserve">a </w:t>
      </w:r>
      <w:r w:rsidRPr="00AA552A">
        <w:rPr>
          <w:rFonts w:cs="Cambria"/>
          <w:color w:val="000000"/>
          <w:spacing w:val="-1"/>
        </w:rPr>
        <w:t>fr</w:t>
      </w:r>
      <w:r w:rsidRPr="00AA552A">
        <w:rPr>
          <w:rFonts w:cs="Cambria"/>
          <w:color w:val="000000"/>
        </w:rPr>
        <w:t>ame</w:t>
      </w:r>
      <w:r w:rsidRPr="00AA552A">
        <w:rPr>
          <w:rFonts w:cs="Cambria"/>
          <w:color w:val="000000"/>
          <w:spacing w:val="-5"/>
        </w:rPr>
        <w:t xml:space="preserve"> </w:t>
      </w:r>
      <w:r w:rsidRPr="00AA552A">
        <w:rPr>
          <w:rFonts w:cs="Cambria"/>
          <w:color w:val="000000"/>
        </w:rPr>
        <w:t>no</w:t>
      </w:r>
      <w:r w:rsidRPr="00AA552A">
        <w:rPr>
          <w:rFonts w:cs="Cambria"/>
          <w:color w:val="000000"/>
          <w:spacing w:val="-1"/>
        </w:rPr>
        <w:t xml:space="preserve"> </w:t>
      </w:r>
      <w:r w:rsidRPr="00AA552A">
        <w:rPr>
          <w:rFonts w:cs="Cambria"/>
          <w:color w:val="000000"/>
        </w:rPr>
        <w:t>la</w:t>
      </w:r>
      <w:r w:rsidRPr="00AA552A">
        <w:rPr>
          <w:rFonts w:cs="Cambria"/>
          <w:color w:val="000000"/>
          <w:spacing w:val="-1"/>
        </w:rPr>
        <w:t>rg</w:t>
      </w:r>
      <w:r w:rsidRPr="00AA552A">
        <w:rPr>
          <w:rFonts w:cs="Cambria"/>
          <w:color w:val="000000"/>
          <w:spacing w:val="1"/>
        </w:rPr>
        <w:t>e</w:t>
      </w:r>
      <w:r w:rsidRPr="00AA552A">
        <w:rPr>
          <w:rFonts w:cs="Cambria"/>
          <w:color w:val="000000"/>
        </w:rPr>
        <w:t>r</w:t>
      </w:r>
      <w:r w:rsidRPr="00AA552A">
        <w:rPr>
          <w:rFonts w:cs="Cambria"/>
          <w:color w:val="000000"/>
          <w:spacing w:val="-4"/>
        </w:rPr>
        <w:t xml:space="preserve"> </w:t>
      </w:r>
      <w:r w:rsidRPr="00AA552A">
        <w:rPr>
          <w:rFonts w:cs="Cambria"/>
          <w:color w:val="000000"/>
        </w:rPr>
        <w:t>than 4</w:t>
      </w:r>
      <w:r w:rsidRPr="00AA552A">
        <w:rPr>
          <w:rFonts w:cs="Cambria"/>
          <w:color w:val="000000"/>
          <w:spacing w:val="1"/>
        </w:rPr>
        <w:t xml:space="preserve"> </w:t>
      </w:r>
      <w:r w:rsidRPr="00AA552A">
        <w:rPr>
          <w:rFonts w:cs="Cambria"/>
          <w:color w:val="000000"/>
          <w:spacing w:val="2"/>
        </w:rPr>
        <w:t>f</w:t>
      </w:r>
      <w:r w:rsidRPr="00AA552A">
        <w:rPr>
          <w:rFonts w:cs="Cambria"/>
          <w:color w:val="000000"/>
          <w:spacing w:val="1"/>
        </w:rPr>
        <w:t>ee</w:t>
      </w:r>
      <w:r w:rsidRPr="00AA552A">
        <w:rPr>
          <w:rFonts w:cs="Cambria"/>
          <w:color w:val="000000"/>
        </w:rPr>
        <w:t>t</w:t>
      </w:r>
      <w:r w:rsidRPr="00AA552A">
        <w:rPr>
          <w:rFonts w:cs="Cambria"/>
          <w:color w:val="000000"/>
          <w:spacing w:val="-3"/>
        </w:rPr>
        <w:t xml:space="preserve"> </w:t>
      </w:r>
      <w:r w:rsidRPr="00AA552A">
        <w:rPr>
          <w:rFonts w:cs="Cambria"/>
          <w:color w:val="000000"/>
          <w:spacing w:val="1"/>
        </w:rPr>
        <w:t>b</w:t>
      </w:r>
      <w:r w:rsidRPr="00AA552A">
        <w:rPr>
          <w:rFonts w:cs="Cambria"/>
          <w:color w:val="000000"/>
        </w:rPr>
        <w:t>y</w:t>
      </w:r>
      <w:r w:rsidRPr="00AA552A">
        <w:rPr>
          <w:rFonts w:cs="Cambria"/>
          <w:color w:val="000000"/>
          <w:spacing w:val="-2"/>
        </w:rPr>
        <w:t xml:space="preserve"> </w:t>
      </w:r>
      <w:r w:rsidRPr="00AA552A">
        <w:rPr>
          <w:rFonts w:cs="Cambria"/>
          <w:color w:val="000000"/>
        </w:rPr>
        <w:t>6</w:t>
      </w:r>
      <w:r w:rsidRPr="00AA552A">
        <w:rPr>
          <w:rFonts w:cs="Cambria"/>
          <w:color w:val="000000"/>
          <w:spacing w:val="-2"/>
        </w:rPr>
        <w:t xml:space="preserve"> </w:t>
      </w:r>
      <w:r w:rsidRPr="00AA552A">
        <w:rPr>
          <w:rFonts w:cs="Cambria"/>
          <w:color w:val="000000"/>
          <w:spacing w:val="-1"/>
        </w:rPr>
        <w:t>f</w:t>
      </w:r>
      <w:r w:rsidRPr="00AA552A">
        <w:rPr>
          <w:rFonts w:cs="Cambria"/>
          <w:color w:val="000000"/>
          <w:spacing w:val="1"/>
        </w:rPr>
        <w:t>ee</w:t>
      </w:r>
      <w:r w:rsidRPr="00AA552A">
        <w:rPr>
          <w:rFonts w:cs="Cambria"/>
          <w:color w:val="000000"/>
        </w:rPr>
        <w:t>t.</w:t>
      </w:r>
    </w:p>
    <w:p w14:paraId="344A3EC0" w14:textId="77777777" w:rsidR="00DC4922" w:rsidRDefault="00DC4922" w:rsidP="00DC4922">
      <w:pPr>
        <w:rPr>
          <w:rFonts w:ascii="Cambria" w:hAnsi="Cambria" w:cs="Cambria"/>
          <w:color w:val="000000"/>
          <w:sz w:val="26"/>
        </w:rPr>
      </w:pPr>
    </w:p>
    <w:p w14:paraId="1F5610B0" w14:textId="77777777" w:rsidR="00DC4922" w:rsidRPr="00EB603B" w:rsidRDefault="00DC4922" w:rsidP="00DC4922">
      <w:pPr>
        <w:rPr>
          <w:b/>
          <w:color w:val="000000"/>
        </w:rPr>
      </w:pPr>
      <w:r w:rsidRPr="00EB603B">
        <w:rPr>
          <w:b/>
          <w:color w:val="000000"/>
        </w:rPr>
        <w:t>Co</w:t>
      </w:r>
      <w:r w:rsidRPr="00EB603B">
        <w:rPr>
          <w:b/>
          <w:color w:val="000000"/>
          <w:spacing w:val="1"/>
        </w:rPr>
        <w:t>as</w:t>
      </w:r>
      <w:r w:rsidRPr="00EB603B">
        <w:rPr>
          <w:b/>
          <w:color w:val="000000"/>
          <w:spacing w:val="-1"/>
        </w:rPr>
        <w:t>t</w:t>
      </w:r>
      <w:r w:rsidRPr="00EB603B">
        <w:rPr>
          <w:b/>
          <w:color w:val="000000"/>
          <w:spacing w:val="1"/>
        </w:rPr>
        <w:t>a</w:t>
      </w:r>
      <w:r w:rsidRPr="00EB603B">
        <w:rPr>
          <w:b/>
          <w:color w:val="000000"/>
        </w:rPr>
        <w:t>l</w:t>
      </w:r>
      <w:r w:rsidRPr="00EB603B">
        <w:rPr>
          <w:b/>
          <w:color w:val="000000"/>
          <w:spacing w:val="1"/>
        </w:rPr>
        <w:t xml:space="preserve"> </w:t>
      </w:r>
      <w:r w:rsidRPr="00EB603B">
        <w:rPr>
          <w:b/>
          <w:color w:val="000000"/>
          <w:spacing w:val="-1"/>
        </w:rPr>
        <w:t>M</w:t>
      </w:r>
      <w:r w:rsidRPr="00EB603B">
        <w:rPr>
          <w:b/>
          <w:color w:val="000000"/>
        </w:rPr>
        <w:t>igr</w:t>
      </w:r>
      <w:r w:rsidRPr="00EB603B">
        <w:rPr>
          <w:b/>
          <w:color w:val="000000"/>
          <w:spacing w:val="1"/>
        </w:rPr>
        <w:t>a</w:t>
      </w:r>
      <w:r w:rsidRPr="00EB603B">
        <w:rPr>
          <w:b/>
          <w:color w:val="000000"/>
          <w:spacing w:val="-1"/>
        </w:rPr>
        <w:t>t</w:t>
      </w:r>
      <w:r w:rsidRPr="00EB603B">
        <w:rPr>
          <w:b/>
          <w:color w:val="000000"/>
        </w:rPr>
        <w:t>o</w:t>
      </w:r>
      <w:r w:rsidRPr="00EB603B">
        <w:rPr>
          <w:b/>
          <w:color w:val="000000"/>
          <w:spacing w:val="3"/>
        </w:rPr>
        <w:t>r</w:t>
      </w:r>
      <w:r w:rsidRPr="00EB603B">
        <w:rPr>
          <w:b/>
          <w:color w:val="000000"/>
        </w:rPr>
        <w:t>y</w:t>
      </w:r>
      <w:r w:rsidRPr="00EB603B">
        <w:rPr>
          <w:b/>
          <w:color w:val="000000"/>
          <w:spacing w:val="-6"/>
        </w:rPr>
        <w:t xml:space="preserve"> </w:t>
      </w:r>
      <w:r w:rsidRPr="00EB603B">
        <w:rPr>
          <w:b/>
          <w:color w:val="000000"/>
          <w:spacing w:val="1"/>
        </w:rPr>
        <w:t>Pe</w:t>
      </w:r>
      <w:r w:rsidRPr="00EB603B">
        <w:rPr>
          <w:b/>
          <w:color w:val="000000"/>
        </w:rPr>
        <w:t>l</w:t>
      </w:r>
      <w:r w:rsidRPr="00EB603B">
        <w:rPr>
          <w:b/>
          <w:color w:val="000000"/>
          <w:spacing w:val="1"/>
        </w:rPr>
        <w:t>a</w:t>
      </w:r>
      <w:r w:rsidRPr="00EB603B">
        <w:rPr>
          <w:b/>
          <w:color w:val="000000"/>
        </w:rPr>
        <w:t>gi</w:t>
      </w:r>
      <w:r w:rsidRPr="00EB603B">
        <w:rPr>
          <w:b/>
          <w:color w:val="000000"/>
          <w:spacing w:val="1"/>
        </w:rPr>
        <w:t>c</w:t>
      </w:r>
      <w:r w:rsidRPr="00EB603B">
        <w:rPr>
          <w:b/>
          <w:color w:val="000000"/>
        </w:rPr>
        <w:t>s</w:t>
      </w:r>
      <w:r w:rsidRPr="00EB603B">
        <w:rPr>
          <w:b/>
          <w:color w:val="000000"/>
          <w:spacing w:val="1"/>
        </w:rPr>
        <w:t xml:space="preserve"> </w:t>
      </w:r>
      <w:r w:rsidRPr="00EB603B">
        <w:rPr>
          <w:b/>
          <w:color w:val="000000"/>
        </w:rPr>
        <w:t>F</w:t>
      </w:r>
      <w:r w:rsidRPr="00EB603B">
        <w:rPr>
          <w:b/>
          <w:color w:val="000000"/>
          <w:spacing w:val="-1"/>
        </w:rPr>
        <w:t>M</w:t>
      </w:r>
      <w:r w:rsidRPr="00EB603B">
        <w:rPr>
          <w:b/>
          <w:color w:val="000000"/>
        </w:rPr>
        <w:t>P</w:t>
      </w:r>
    </w:p>
    <w:p w14:paraId="43CAE79C" w14:textId="77777777" w:rsidR="00DC4922" w:rsidRPr="00AA552A" w:rsidRDefault="00DC4922" w:rsidP="00DC4922">
      <w:pPr>
        <w:rPr>
          <w:rFonts w:cs="Cambria"/>
          <w:color w:val="000000"/>
        </w:rPr>
      </w:pPr>
      <w:r>
        <w:rPr>
          <w:color w:val="000000"/>
          <w:w w:val="131"/>
        </w:rPr>
        <w:t>•</w:t>
      </w:r>
      <w:r>
        <w:rPr>
          <w:color w:val="000000"/>
        </w:rPr>
        <w:tab/>
      </w:r>
      <w:r w:rsidRPr="00AA552A">
        <w:rPr>
          <w:rFonts w:cs="Cambria"/>
          <w:color w:val="000000"/>
          <w:spacing w:val="1"/>
        </w:rPr>
        <w:t>P</w:t>
      </w:r>
      <w:r w:rsidRPr="00AA552A">
        <w:rPr>
          <w:rFonts w:cs="Cambria"/>
          <w:color w:val="000000"/>
          <w:spacing w:val="-1"/>
        </w:rPr>
        <w:t>r</w:t>
      </w:r>
      <w:r w:rsidRPr="00AA552A">
        <w:rPr>
          <w:rFonts w:cs="Cambria"/>
          <w:color w:val="000000"/>
        </w:rPr>
        <w:t>oh</w:t>
      </w:r>
      <w:r w:rsidRPr="00AA552A">
        <w:rPr>
          <w:rFonts w:cs="Cambria"/>
          <w:color w:val="000000"/>
          <w:spacing w:val="1"/>
        </w:rPr>
        <w:t>ibi</w:t>
      </w:r>
      <w:r w:rsidRPr="00AA552A">
        <w:rPr>
          <w:rFonts w:cs="Cambria"/>
          <w:color w:val="000000"/>
        </w:rPr>
        <w:t>t</w:t>
      </w:r>
      <w:r w:rsidRPr="00AA552A">
        <w:rPr>
          <w:rFonts w:cs="Cambria"/>
          <w:color w:val="000000"/>
          <w:spacing w:val="1"/>
        </w:rPr>
        <w:t>e</w:t>
      </w:r>
      <w:r w:rsidRPr="00AA552A">
        <w:rPr>
          <w:rFonts w:cs="Cambria"/>
          <w:color w:val="000000"/>
        </w:rPr>
        <w:t>d</w:t>
      </w:r>
      <w:r w:rsidRPr="00AA552A">
        <w:rPr>
          <w:rFonts w:cs="Cambria"/>
          <w:color w:val="000000"/>
          <w:spacing w:val="-10"/>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u</w:t>
      </w:r>
      <w:r w:rsidRPr="00AA552A">
        <w:rPr>
          <w:rFonts w:cs="Cambria"/>
          <w:color w:val="000000"/>
        </w:rPr>
        <w:t>se</w:t>
      </w:r>
      <w:r w:rsidRPr="00AA552A">
        <w:rPr>
          <w:rFonts w:cs="Cambria"/>
          <w:color w:val="000000"/>
          <w:spacing w:val="-1"/>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dr</w:t>
      </w:r>
      <w:r w:rsidRPr="00AA552A">
        <w:rPr>
          <w:rFonts w:cs="Cambria"/>
          <w:color w:val="000000"/>
          <w:spacing w:val="1"/>
        </w:rPr>
        <w:t>i</w:t>
      </w:r>
      <w:r w:rsidRPr="00AA552A">
        <w:rPr>
          <w:rFonts w:cs="Cambria"/>
          <w:color w:val="000000"/>
          <w:spacing w:val="-1"/>
        </w:rPr>
        <w:t>f</w:t>
      </w:r>
      <w:r w:rsidRPr="00AA552A">
        <w:rPr>
          <w:rFonts w:cs="Cambria"/>
          <w:color w:val="000000"/>
        </w:rPr>
        <w:t>t</w:t>
      </w:r>
      <w:r w:rsidRPr="00AA552A">
        <w:rPr>
          <w:rFonts w:cs="Cambria"/>
          <w:color w:val="000000"/>
          <w:spacing w:val="-4"/>
        </w:rPr>
        <w:t xml:space="preserve"> </w:t>
      </w:r>
      <w:r w:rsidRPr="00AA552A">
        <w:rPr>
          <w:rFonts w:cs="Cambria"/>
          <w:color w:val="000000"/>
          <w:spacing w:val="-1"/>
        </w:rPr>
        <w:t>g</w:t>
      </w:r>
      <w:r w:rsidRPr="00AA552A">
        <w:rPr>
          <w:rFonts w:cs="Cambria"/>
          <w:color w:val="000000"/>
          <w:spacing w:val="1"/>
        </w:rPr>
        <w:t>i</w:t>
      </w:r>
      <w:r w:rsidRPr="00AA552A">
        <w:rPr>
          <w:rFonts w:cs="Cambria"/>
          <w:color w:val="000000"/>
        </w:rPr>
        <w:t>lln</w:t>
      </w:r>
      <w:r w:rsidRPr="00AA552A">
        <w:rPr>
          <w:rFonts w:cs="Cambria"/>
          <w:color w:val="000000"/>
          <w:spacing w:val="1"/>
        </w:rPr>
        <w:t>e</w:t>
      </w:r>
      <w:r w:rsidRPr="00AA552A">
        <w:rPr>
          <w:rFonts w:cs="Cambria"/>
          <w:color w:val="000000"/>
        </w:rPr>
        <w:t>ts</w:t>
      </w:r>
      <w:r w:rsidRPr="00AA552A">
        <w:rPr>
          <w:rFonts w:cs="Cambria"/>
          <w:color w:val="000000"/>
          <w:spacing w:val="-2"/>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coastal</w:t>
      </w:r>
      <w:r w:rsidRPr="00AA552A">
        <w:rPr>
          <w:rFonts w:cs="Cambria"/>
          <w:color w:val="000000"/>
          <w:spacing w:val="-3"/>
        </w:rPr>
        <w:t xml:space="preserve"> </w:t>
      </w:r>
      <w:r w:rsidRPr="00AA552A">
        <w:rPr>
          <w:rFonts w:cs="Cambria"/>
          <w:color w:val="000000"/>
        </w:rPr>
        <w:t>m</w:t>
      </w:r>
      <w:r w:rsidRPr="00AA552A">
        <w:rPr>
          <w:rFonts w:cs="Cambria"/>
          <w:color w:val="000000"/>
          <w:spacing w:val="1"/>
        </w:rPr>
        <w:t>i</w:t>
      </w:r>
      <w:r w:rsidRPr="00AA552A">
        <w:rPr>
          <w:rFonts w:cs="Cambria"/>
          <w:color w:val="000000"/>
          <w:spacing w:val="-1"/>
        </w:rPr>
        <w:t>gr</w:t>
      </w:r>
      <w:r w:rsidRPr="00AA552A">
        <w:rPr>
          <w:rFonts w:cs="Cambria"/>
          <w:color w:val="000000"/>
        </w:rPr>
        <w:t>ato</w:t>
      </w:r>
      <w:r w:rsidRPr="00AA552A">
        <w:rPr>
          <w:rFonts w:cs="Cambria"/>
          <w:color w:val="000000"/>
          <w:spacing w:val="-1"/>
        </w:rPr>
        <w:t>r</w:t>
      </w:r>
      <w:r w:rsidRPr="00AA552A">
        <w:rPr>
          <w:rFonts w:cs="Cambria"/>
          <w:color w:val="000000"/>
        </w:rPr>
        <w:t>y</w:t>
      </w:r>
      <w:r w:rsidRPr="00AA552A">
        <w:rPr>
          <w:rFonts w:cs="Cambria"/>
          <w:color w:val="000000"/>
          <w:spacing w:val="-6"/>
        </w:rPr>
        <w:t xml:space="preserve"> </w:t>
      </w:r>
      <w:r w:rsidRPr="00AA552A">
        <w:rPr>
          <w:rFonts w:cs="Cambria"/>
          <w:color w:val="000000"/>
          <w:spacing w:val="1"/>
        </w:rPr>
        <w:t>pe</w:t>
      </w:r>
      <w:r w:rsidRPr="00AA552A">
        <w:rPr>
          <w:rFonts w:cs="Cambria"/>
          <w:color w:val="000000"/>
        </w:rPr>
        <w:t>la</w:t>
      </w:r>
      <w:r w:rsidRPr="00AA552A">
        <w:rPr>
          <w:rFonts w:cs="Cambria"/>
          <w:color w:val="000000"/>
          <w:spacing w:val="-1"/>
        </w:rPr>
        <w:t>g</w:t>
      </w:r>
      <w:r w:rsidRPr="00AA552A">
        <w:rPr>
          <w:rFonts w:cs="Cambria"/>
          <w:color w:val="000000"/>
          <w:spacing w:val="1"/>
        </w:rPr>
        <w:t>i</w:t>
      </w:r>
      <w:r w:rsidRPr="00AA552A">
        <w:rPr>
          <w:rFonts w:cs="Cambria"/>
          <w:color w:val="000000"/>
        </w:rPr>
        <w:t>c</w:t>
      </w:r>
      <w:r w:rsidRPr="00AA552A">
        <w:rPr>
          <w:rFonts w:cs="Cambria"/>
          <w:color w:val="000000"/>
          <w:spacing w:val="-3"/>
        </w:rPr>
        <w:t xml:space="preserve"> </w:t>
      </w:r>
      <w:r w:rsidRPr="00AA552A">
        <w:rPr>
          <w:rFonts w:cs="Cambria"/>
          <w:color w:val="000000"/>
          <w:spacing w:val="-1"/>
        </w:rPr>
        <w:t>f</w:t>
      </w:r>
      <w:r w:rsidRPr="00AA552A">
        <w:rPr>
          <w:rFonts w:cs="Cambria"/>
          <w:color w:val="000000"/>
          <w:spacing w:val="1"/>
        </w:rPr>
        <w:t>i</w:t>
      </w:r>
      <w:r w:rsidRPr="00AA552A">
        <w:rPr>
          <w:rFonts w:cs="Cambria"/>
          <w:color w:val="000000"/>
          <w:spacing w:val="2"/>
        </w:rPr>
        <w:t>s</w:t>
      </w:r>
      <w:r w:rsidRPr="00AA552A">
        <w:rPr>
          <w:rFonts w:cs="Cambria"/>
          <w:color w:val="000000"/>
        </w:rPr>
        <w:t>h</w:t>
      </w:r>
      <w:r w:rsidRPr="00AA552A">
        <w:rPr>
          <w:rFonts w:cs="Cambria"/>
          <w:color w:val="000000"/>
          <w:spacing w:val="1"/>
        </w:rPr>
        <w:t>e</w:t>
      </w:r>
      <w:r w:rsidRPr="00AA552A">
        <w:rPr>
          <w:rFonts w:cs="Cambria"/>
          <w:color w:val="000000"/>
          <w:spacing w:val="-1"/>
        </w:rPr>
        <w:t>ry</w:t>
      </w:r>
      <w:r>
        <w:rPr>
          <w:rFonts w:cs="Cambria"/>
          <w:color w:val="000000"/>
        </w:rPr>
        <w:t>.</w:t>
      </w:r>
    </w:p>
    <w:p w14:paraId="5A2423F0" w14:textId="77777777" w:rsidR="00DC4922" w:rsidRDefault="00DC4922" w:rsidP="00DC4922">
      <w:pPr>
        <w:rPr>
          <w:rFonts w:ascii="Cambria" w:hAnsi="Cambria" w:cs="Cambria"/>
          <w:color w:val="000000"/>
          <w:sz w:val="26"/>
        </w:rPr>
      </w:pPr>
    </w:p>
    <w:p w14:paraId="378386FA" w14:textId="77777777" w:rsidR="00DC4922" w:rsidRPr="00EB603B" w:rsidRDefault="00DC4922" w:rsidP="00DC4922">
      <w:pPr>
        <w:rPr>
          <w:b/>
          <w:color w:val="000000"/>
        </w:rPr>
      </w:pPr>
      <w:r w:rsidRPr="00EB603B">
        <w:rPr>
          <w:b/>
          <w:color w:val="000000"/>
        </w:rPr>
        <w:t>Gold</w:t>
      </w:r>
      <w:r w:rsidRPr="00EB603B">
        <w:rPr>
          <w:b/>
          <w:color w:val="000000"/>
          <w:spacing w:val="1"/>
        </w:rPr>
        <w:t>e</w:t>
      </w:r>
      <w:r w:rsidRPr="00EB603B">
        <w:rPr>
          <w:b/>
          <w:color w:val="000000"/>
        </w:rPr>
        <w:t>n Cr</w:t>
      </w:r>
      <w:r w:rsidRPr="00EB603B">
        <w:rPr>
          <w:b/>
          <w:color w:val="000000"/>
          <w:spacing w:val="1"/>
        </w:rPr>
        <w:t>a</w:t>
      </w:r>
      <w:r w:rsidRPr="00EB603B">
        <w:rPr>
          <w:b/>
          <w:color w:val="000000"/>
        </w:rPr>
        <w:t>b F</w:t>
      </w:r>
      <w:r w:rsidRPr="00EB603B">
        <w:rPr>
          <w:b/>
          <w:color w:val="000000"/>
          <w:spacing w:val="-1"/>
        </w:rPr>
        <w:t>M</w:t>
      </w:r>
      <w:r w:rsidRPr="00EB603B">
        <w:rPr>
          <w:b/>
          <w:color w:val="000000"/>
        </w:rPr>
        <w:t>P</w:t>
      </w:r>
    </w:p>
    <w:p w14:paraId="4BDE0806" w14:textId="77777777" w:rsidR="00DC4922" w:rsidRPr="00AA552A" w:rsidRDefault="00DC4922" w:rsidP="00DC4922">
      <w:pPr>
        <w:rPr>
          <w:rFonts w:cs="Cambria"/>
          <w:color w:val="000000"/>
        </w:rPr>
      </w:pPr>
      <w:r>
        <w:rPr>
          <w:color w:val="000000"/>
          <w:w w:val="131"/>
        </w:rPr>
        <w:t>•</w:t>
      </w:r>
      <w:r>
        <w:rPr>
          <w:color w:val="000000"/>
        </w:rPr>
        <w:tab/>
      </w:r>
      <w:r w:rsidRPr="00AA552A">
        <w:rPr>
          <w:rFonts w:cs="Cambria"/>
          <w:color w:val="000000"/>
          <w:spacing w:val="-1"/>
        </w:rPr>
        <w:t>I</w:t>
      </w:r>
      <w:r w:rsidRPr="00AA552A">
        <w:rPr>
          <w:rFonts w:cs="Cambria"/>
          <w:color w:val="000000"/>
        </w:rPr>
        <w:t>n the</w:t>
      </w:r>
      <w:r w:rsidRPr="00AA552A">
        <w:rPr>
          <w:rFonts w:cs="Cambria"/>
          <w:color w:val="000000"/>
          <w:spacing w:val="-1"/>
        </w:rPr>
        <w:t xml:space="preserve"> </w:t>
      </w:r>
      <w:r w:rsidRPr="00AA552A">
        <w:rPr>
          <w:rFonts w:cs="Cambria"/>
          <w:color w:val="000000"/>
        </w:rPr>
        <w:t>no</w:t>
      </w:r>
      <w:r w:rsidRPr="00AA552A">
        <w:rPr>
          <w:rFonts w:cs="Cambria"/>
          <w:color w:val="000000"/>
          <w:spacing w:val="-1"/>
        </w:rPr>
        <w:t>r</w:t>
      </w:r>
      <w:r w:rsidRPr="00AA552A">
        <w:rPr>
          <w:rFonts w:cs="Cambria"/>
          <w:color w:val="000000"/>
        </w:rPr>
        <w:t>th</w:t>
      </w:r>
      <w:r w:rsidRPr="00AA552A">
        <w:rPr>
          <w:rFonts w:cs="Cambria"/>
          <w:color w:val="000000"/>
          <w:spacing w:val="1"/>
        </w:rPr>
        <w:t>e</w:t>
      </w:r>
      <w:r w:rsidRPr="00AA552A">
        <w:rPr>
          <w:rFonts w:cs="Cambria"/>
          <w:color w:val="000000"/>
          <w:spacing w:val="-1"/>
        </w:rPr>
        <w:t>r</w:t>
      </w:r>
      <w:r w:rsidRPr="00AA552A">
        <w:rPr>
          <w:rFonts w:cs="Cambria"/>
          <w:color w:val="000000"/>
        </w:rPr>
        <w:t>n</w:t>
      </w:r>
      <w:r w:rsidRPr="00AA552A">
        <w:rPr>
          <w:rFonts w:cs="Cambria"/>
          <w:color w:val="000000"/>
          <w:spacing w:val="-6"/>
        </w:rPr>
        <w:t xml:space="preserve"> </w:t>
      </w:r>
      <w:r w:rsidRPr="00AA552A">
        <w:rPr>
          <w:rFonts w:cs="Cambria"/>
          <w:color w:val="000000"/>
          <w:spacing w:val="-1"/>
        </w:rPr>
        <w:t>z</w:t>
      </w:r>
      <w:r w:rsidRPr="00AA552A">
        <w:rPr>
          <w:rFonts w:cs="Cambria"/>
          <w:color w:val="000000"/>
        </w:rPr>
        <w:t>one</w:t>
      </w:r>
      <w:r>
        <w:rPr>
          <w:rFonts w:cs="Cambria"/>
          <w:color w:val="000000"/>
        </w:rPr>
        <w:t>,</w:t>
      </w:r>
      <w:r w:rsidRPr="00AA552A">
        <w:rPr>
          <w:rFonts w:cs="Cambria"/>
          <w:color w:val="000000"/>
          <w:spacing w:val="-3"/>
        </w:rPr>
        <w:t xml:space="preserve"> </w:t>
      </w:r>
      <w:r w:rsidRPr="00AA552A">
        <w:rPr>
          <w:rFonts w:cs="Cambria"/>
          <w:color w:val="000000"/>
          <w:spacing w:val="-1"/>
        </w:rPr>
        <w:t>g</w:t>
      </w:r>
      <w:r w:rsidRPr="00AA552A">
        <w:rPr>
          <w:rFonts w:cs="Cambria"/>
          <w:color w:val="000000"/>
          <w:spacing w:val="2"/>
        </w:rPr>
        <w:t>o</w:t>
      </w:r>
      <w:r w:rsidRPr="00AA552A">
        <w:rPr>
          <w:rFonts w:cs="Cambria"/>
          <w:color w:val="000000"/>
        </w:rPr>
        <w:t>l</w:t>
      </w:r>
      <w:r w:rsidRPr="00AA552A">
        <w:rPr>
          <w:rFonts w:cs="Cambria"/>
          <w:color w:val="000000"/>
          <w:spacing w:val="-1"/>
        </w:rPr>
        <w:t>d</w:t>
      </w:r>
      <w:r w:rsidRPr="00AA552A">
        <w:rPr>
          <w:rFonts w:cs="Cambria"/>
          <w:color w:val="000000"/>
          <w:spacing w:val="1"/>
        </w:rPr>
        <w:t>e</w:t>
      </w:r>
      <w:r w:rsidRPr="00AA552A">
        <w:rPr>
          <w:rFonts w:cs="Cambria"/>
          <w:color w:val="000000"/>
        </w:rPr>
        <w:t>n</w:t>
      </w:r>
      <w:r w:rsidRPr="00AA552A">
        <w:rPr>
          <w:rFonts w:cs="Cambria"/>
          <w:color w:val="000000"/>
          <w:spacing w:val="-4"/>
        </w:rPr>
        <w:t xml:space="preserve"> </w:t>
      </w:r>
      <w:r w:rsidRPr="00AA552A">
        <w:rPr>
          <w:rFonts w:cs="Cambria"/>
          <w:color w:val="000000"/>
        </w:rPr>
        <w:t>c</w:t>
      </w:r>
      <w:r w:rsidRPr="00AA552A">
        <w:rPr>
          <w:rFonts w:cs="Cambria"/>
          <w:color w:val="000000"/>
          <w:spacing w:val="-1"/>
        </w:rPr>
        <w:t>r</w:t>
      </w:r>
      <w:r w:rsidRPr="00AA552A">
        <w:rPr>
          <w:rFonts w:cs="Cambria"/>
          <w:color w:val="000000"/>
        </w:rPr>
        <w:t>ab</w:t>
      </w:r>
      <w:r w:rsidRPr="00AA552A">
        <w:rPr>
          <w:rFonts w:cs="Cambria"/>
          <w:color w:val="000000"/>
          <w:spacing w:val="-1"/>
        </w:rPr>
        <w:t xml:space="preserve"> </w:t>
      </w:r>
      <w:r w:rsidRPr="00AA552A">
        <w:rPr>
          <w:rFonts w:cs="Cambria"/>
          <w:color w:val="000000"/>
        </w:rPr>
        <w:t>t</w:t>
      </w:r>
      <w:r w:rsidRPr="00AA552A">
        <w:rPr>
          <w:rFonts w:cs="Cambria"/>
          <w:color w:val="000000"/>
          <w:spacing w:val="-1"/>
        </w:rPr>
        <w:t>r</w:t>
      </w:r>
      <w:r w:rsidRPr="00AA552A">
        <w:rPr>
          <w:rFonts w:cs="Cambria"/>
          <w:color w:val="000000"/>
        </w:rPr>
        <w:t>a</w:t>
      </w:r>
      <w:r w:rsidRPr="00AA552A">
        <w:rPr>
          <w:rFonts w:cs="Cambria"/>
          <w:color w:val="000000"/>
          <w:spacing w:val="1"/>
        </w:rPr>
        <w:t>p</w:t>
      </w:r>
      <w:r w:rsidRPr="00AA552A">
        <w:rPr>
          <w:rFonts w:cs="Cambria"/>
          <w:color w:val="000000"/>
        </w:rPr>
        <w:t>s</w:t>
      </w:r>
      <w:r w:rsidRPr="00AA552A">
        <w:rPr>
          <w:rFonts w:cs="Cambria"/>
          <w:color w:val="000000"/>
          <w:spacing w:val="-2"/>
        </w:rPr>
        <w:t xml:space="preserve"> </w:t>
      </w:r>
      <w:r w:rsidRPr="00AA552A">
        <w:rPr>
          <w:rFonts w:cs="Cambria"/>
          <w:color w:val="000000"/>
        </w:rPr>
        <w:t>can</w:t>
      </w:r>
      <w:r w:rsidRPr="00AA552A">
        <w:rPr>
          <w:rFonts w:cs="Cambria"/>
          <w:color w:val="000000"/>
          <w:spacing w:val="-1"/>
        </w:rPr>
        <w:t xml:space="preserve"> </w:t>
      </w:r>
      <w:r w:rsidRPr="00AA552A">
        <w:rPr>
          <w:rFonts w:cs="Cambria"/>
          <w:color w:val="000000"/>
        </w:rPr>
        <w:t>only</w:t>
      </w:r>
      <w:r w:rsidRPr="00AA552A">
        <w:rPr>
          <w:rFonts w:cs="Cambria"/>
          <w:color w:val="000000"/>
          <w:spacing w:val="-3"/>
        </w:rPr>
        <w:t xml:space="preserve"> </w:t>
      </w:r>
      <w:r w:rsidRPr="00AA552A">
        <w:rPr>
          <w:rFonts w:cs="Cambria"/>
          <w:color w:val="000000"/>
          <w:spacing w:val="1"/>
        </w:rPr>
        <w:t>b</w:t>
      </w:r>
      <w:r w:rsidRPr="00AA552A">
        <w:rPr>
          <w:rFonts w:cs="Cambria"/>
          <w:color w:val="000000"/>
        </w:rPr>
        <w:t xml:space="preserve">e </w:t>
      </w:r>
      <w:r w:rsidRPr="00AA552A">
        <w:rPr>
          <w:rFonts w:cs="Cambria"/>
          <w:color w:val="000000"/>
          <w:spacing w:val="-1"/>
        </w:rPr>
        <w:t>d</w:t>
      </w:r>
      <w:r w:rsidRPr="00AA552A">
        <w:rPr>
          <w:rFonts w:cs="Cambria"/>
          <w:color w:val="000000"/>
          <w:spacing w:val="1"/>
        </w:rPr>
        <w:t>ep</w:t>
      </w:r>
      <w:r w:rsidRPr="00AA552A">
        <w:rPr>
          <w:rFonts w:cs="Cambria"/>
          <w:color w:val="000000"/>
        </w:rPr>
        <w:t>lo</w:t>
      </w:r>
      <w:r w:rsidRPr="00AA552A">
        <w:rPr>
          <w:rFonts w:cs="Cambria"/>
          <w:color w:val="000000"/>
          <w:spacing w:val="-1"/>
        </w:rPr>
        <w:t>y</w:t>
      </w:r>
      <w:r w:rsidRPr="00AA552A">
        <w:rPr>
          <w:rFonts w:cs="Cambria"/>
          <w:color w:val="000000"/>
          <w:spacing w:val="1"/>
        </w:rPr>
        <w:t>e</w:t>
      </w:r>
      <w:r w:rsidRPr="00AA552A">
        <w:rPr>
          <w:rFonts w:cs="Cambria"/>
          <w:color w:val="000000"/>
        </w:rPr>
        <w:t>d</w:t>
      </w:r>
      <w:r w:rsidRPr="00AA552A">
        <w:rPr>
          <w:rFonts w:cs="Cambria"/>
          <w:color w:val="000000"/>
          <w:spacing w:val="-8"/>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w:t>
      </w:r>
      <w:r w:rsidRPr="00AA552A">
        <w:rPr>
          <w:rFonts w:cs="Cambria"/>
          <w:color w:val="000000"/>
        </w:rPr>
        <w:t>at</w:t>
      </w:r>
      <w:r w:rsidRPr="00AA552A">
        <w:rPr>
          <w:rFonts w:cs="Cambria"/>
          <w:color w:val="000000"/>
          <w:spacing w:val="1"/>
        </w:rPr>
        <w:t>e</w:t>
      </w:r>
      <w:r w:rsidRPr="00AA552A">
        <w:rPr>
          <w:rFonts w:cs="Cambria"/>
          <w:color w:val="000000"/>
          <w:spacing w:val="-1"/>
        </w:rPr>
        <w:t>r</w:t>
      </w:r>
      <w:r w:rsidRPr="00AA552A">
        <w:rPr>
          <w:rFonts w:cs="Cambria"/>
          <w:color w:val="000000"/>
        </w:rPr>
        <w:t>s</w:t>
      </w:r>
      <w:r w:rsidRPr="00AA552A">
        <w:rPr>
          <w:rFonts w:cs="Cambria"/>
          <w:color w:val="000000"/>
          <w:spacing w:val="-3"/>
        </w:rPr>
        <w:t xml:space="preserve"> </w:t>
      </w:r>
      <w:r w:rsidRPr="00AA552A">
        <w:rPr>
          <w:rFonts w:cs="Cambria"/>
          <w:color w:val="000000"/>
          <w:spacing w:val="-1"/>
        </w:rPr>
        <w:t>d</w:t>
      </w:r>
      <w:r w:rsidRPr="00AA552A">
        <w:rPr>
          <w:rFonts w:cs="Cambria"/>
          <w:color w:val="000000"/>
          <w:spacing w:val="1"/>
        </w:rPr>
        <w:t>eepe</w:t>
      </w:r>
      <w:r w:rsidRPr="00AA552A">
        <w:rPr>
          <w:rFonts w:cs="Cambria"/>
          <w:color w:val="000000"/>
        </w:rPr>
        <w:t>r</w:t>
      </w:r>
      <w:r w:rsidRPr="00AA552A">
        <w:rPr>
          <w:rFonts w:cs="Cambria"/>
          <w:color w:val="000000"/>
          <w:spacing w:val="-7"/>
        </w:rPr>
        <w:t xml:space="preserve"> </w:t>
      </w:r>
      <w:r w:rsidRPr="00AA552A">
        <w:rPr>
          <w:rFonts w:cs="Cambria"/>
          <w:color w:val="000000"/>
        </w:rPr>
        <w:t>than</w:t>
      </w:r>
      <w:r w:rsidRPr="00AA552A">
        <w:rPr>
          <w:rFonts w:cs="Cambria"/>
          <w:color w:val="000000"/>
          <w:spacing w:val="-1"/>
        </w:rPr>
        <w:t xml:space="preserve"> 90</w:t>
      </w:r>
      <w:r w:rsidRPr="00AA552A">
        <w:rPr>
          <w:rFonts w:cs="Cambria"/>
          <w:color w:val="000000"/>
        </w:rPr>
        <w:t>0</w:t>
      </w:r>
      <w:r w:rsidRPr="00AA552A">
        <w:rPr>
          <w:rFonts w:cs="Cambria"/>
          <w:color w:val="000000"/>
          <w:spacing w:val="-5"/>
        </w:rPr>
        <w:t xml:space="preserve"> </w:t>
      </w:r>
      <w:r w:rsidRPr="00AA552A">
        <w:rPr>
          <w:rFonts w:cs="Cambria"/>
          <w:color w:val="000000"/>
          <w:spacing w:val="-1"/>
        </w:rPr>
        <w:t>f</w:t>
      </w:r>
      <w:r w:rsidRPr="00AA552A">
        <w:rPr>
          <w:rFonts w:cs="Cambria"/>
          <w:color w:val="000000"/>
          <w:spacing w:val="1"/>
        </w:rPr>
        <w:t>ee</w:t>
      </w:r>
      <w:r w:rsidRPr="00AA552A">
        <w:rPr>
          <w:rFonts w:cs="Cambria"/>
          <w:color w:val="000000"/>
        </w:rPr>
        <w:t>t;</w:t>
      </w:r>
      <w:r w:rsidRPr="00AA552A">
        <w:rPr>
          <w:rFonts w:cs="Cambria"/>
          <w:color w:val="000000"/>
          <w:spacing w:val="-5"/>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the m</w:t>
      </w:r>
      <w:r w:rsidRPr="00AA552A">
        <w:rPr>
          <w:rFonts w:cs="Cambria"/>
          <w:color w:val="000000"/>
          <w:spacing w:val="1"/>
        </w:rPr>
        <w:t>i</w:t>
      </w:r>
      <w:r w:rsidRPr="00AA552A">
        <w:rPr>
          <w:rFonts w:cs="Cambria"/>
          <w:color w:val="000000"/>
          <w:spacing w:val="-1"/>
        </w:rPr>
        <w:t>dd</w:t>
      </w:r>
      <w:r w:rsidRPr="00AA552A">
        <w:rPr>
          <w:rFonts w:cs="Cambria"/>
          <w:color w:val="000000"/>
        </w:rPr>
        <w:t>le</w:t>
      </w:r>
      <w:r w:rsidRPr="00AA552A">
        <w:rPr>
          <w:rFonts w:cs="Cambria"/>
          <w:color w:val="000000"/>
          <w:spacing w:val="-5"/>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south</w:t>
      </w:r>
      <w:r w:rsidRPr="00AA552A">
        <w:rPr>
          <w:rFonts w:cs="Cambria"/>
          <w:color w:val="000000"/>
          <w:spacing w:val="1"/>
        </w:rPr>
        <w:t>e</w:t>
      </w:r>
      <w:r w:rsidRPr="00AA552A">
        <w:rPr>
          <w:rFonts w:cs="Cambria"/>
          <w:color w:val="000000"/>
          <w:spacing w:val="-1"/>
        </w:rPr>
        <w:t>r</w:t>
      </w:r>
      <w:r w:rsidRPr="00AA552A">
        <w:rPr>
          <w:rFonts w:cs="Cambria"/>
          <w:color w:val="000000"/>
        </w:rPr>
        <w:t>n</w:t>
      </w:r>
      <w:r w:rsidRPr="00AA552A">
        <w:rPr>
          <w:rFonts w:cs="Cambria"/>
          <w:color w:val="000000"/>
          <w:spacing w:val="-3"/>
        </w:rPr>
        <w:t xml:space="preserve"> </w:t>
      </w:r>
      <w:r w:rsidRPr="00AA552A">
        <w:rPr>
          <w:rFonts w:cs="Cambria"/>
          <w:color w:val="000000"/>
          <w:spacing w:val="-1"/>
        </w:rPr>
        <w:t>z</w:t>
      </w:r>
      <w:r w:rsidRPr="00AA552A">
        <w:rPr>
          <w:rFonts w:cs="Cambria"/>
          <w:color w:val="000000"/>
          <w:spacing w:val="2"/>
        </w:rPr>
        <w:t>o</w:t>
      </w:r>
      <w:r w:rsidRPr="00AA552A">
        <w:rPr>
          <w:rFonts w:cs="Cambria"/>
          <w:color w:val="000000"/>
        </w:rPr>
        <w:t>n</w:t>
      </w:r>
      <w:r w:rsidRPr="00AA552A">
        <w:rPr>
          <w:rFonts w:cs="Cambria"/>
          <w:color w:val="000000"/>
          <w:spacing w:val="1"/>
        </w:rPr>
        <w:t>e</w:t>
      </w:r>
      <w:r w:rsidRPr="00AA552A">
        <w:rPr>
          <w:rFonts w:cs="Cambria"/>
          <w:color w:val="000000"/>
        </w:rPr>
        <w:t>s</w:t>
      </w:r>
      <w:r w:rsidRPr="00AA552A">
        <w:rPr>
          <w:rFonts w:cs="Cambria"/>
          <w:color w:val="000000"/>
          <w:spacing w:val="-5"/>
        </w:rPr>
        <w:t xml:space="preserve"> </w:t>
      </w:r>
      <w:r w:rsidRPr="00AA552A">
        <w:rPr>
          <w:rFonts w:cs="Cambria"/>
          <w:color w:val="000000"/>
        </w:rPr>
        <w:t>t</w:t>
      </w:r>
      <w:r w:rsidRPr="00AA552A">
        <w:rPr>
          <w:rFonts w:cs="Cambria"/>
          <w:color w:val="000000"/>
          <w:spacing w:val="-1"/>
        </w:rPr>
        <w:t>r</w:t>
      </w:r>
      <w:r w:rsidRPr="00AA552A">
        <w:rPr>
          <w:rFonts w:cs="Cambria"/>
          <w:color w:val="000000"/>
        </w:rPr>
        <w:t>a</w:t>
      </w:r>
      <w:r w:rsidRPr="00AA552A">
        <w:rPr>
          <w:rFonts w:cs="Cambria"/>
          <w:color w:val="000000"/>
          <w:spacing w:val="1"/>
        </w:rPr>
        <w:t>p</w:t>
      </w:r>
      <w:r w:rsidRPr="00AA552A">
        <w:rPr>
          <w:rFonts w:cs="Cambria"/>
          <w:color w:val="000000"/>
        </w:rPr>
        <w:t>s</w:t>
      </w:r>
      <w:r w:rsidRPr="00AA552A">
        <w:rPr>
          <w:rFonts w:cs="Cambria"/>
          <w:color w:val="000000"/>
          <w:spacing w:val="-2"/>
        </w:rPr>
        <w:t xml:space="preserve"> </w:t>
      </w:r>
      <w:r w:rsidRPr="00AA552A">
        <w:rPr>
          <w:rFonts w:cs="Cambria"/>
          <w:color w:val="000000"/>
        </w:rPr>
        <w:t>can</w:t>
      </w:r>
      <w:r w:rsidRPr="00AA552A">
        <w:rPr>
          <w:rFonts w:cs="Cambria"/>
          <w:color w:val="000000"/>
          <w:spacing w:val="-1"/>
        </w:rPr>
        <w:t xml:space="preserve"> </w:t>
      </w:r>
      <w:r w:rsidRPr="00AA552A">
        <w:rPr>
          <w:rFonts w:cs="Cambria"/>
          <w:color w:val="000000"/>
        </w:rPr>
        <w:t>only</w:t>
      </w:r>
      <w:r w:rsidRPr="00AA552A">
        <w:rPr>
          <w:rFonts w:cs="Cambria"/>
          <w:color w:val="000000"/>
          <w:spacing w:val="-3"/>
        </w:rPr>
        <w:t xml:space="preserve"> </w:t>
      </w:r>
      <w:r w:rsidRPr="00AA552A">
        <w:rPr>
          <w:rFonts w:cs="Cambria"/>
          <w:color w:val="000000"/>
          <w:spacing w:val="1"/>
        </w:rPr>
        <w:t>b</w:t>
      </w:r>
      <w:r w:rsidRPr="00AA552A">
        <w:rPr>
          <w:rFonts w:cs="Cambria"/>
          <w:color w:val="000000"/>
        </w:rPr>
        <w:t xml:space="preserve">e </w:t>
      </w:r>
      <w:r w:rsidRPr="00AA552A">
        <w:rPr>
          <w:rFonts w:cs="Cambria"/>
          <w:color w:val="000000"/>
          <w:spacing w:val="-1"/>
        </w:rPr>
        <w:t>d</w:t>
      </w:r>
      <w:r w:rsidRPr="00AA552A">
        <w:rPr>
          <w:rFonts w:cs="Cambria"/>
          <w:color w:val="000000"/>
          <w:spacing w:val="-2"/>
        </w:rPr>
        <w:t>e</w:t>
      </w:r>
      <w:r w:rsidRPr="00AA552A">
        <w:rPr>
          <w:rFonts w:cs="Cambria"/>
          <w:color w:val="000000"/>
          <w:spacing w:val="1"/>
        </w:rPr>
        <w:t>p</w:t>
      </w:r>
      <w:r w:rsidRPr="00AA552A">
        <w:rPr>
          <w:rFonts w:cs="Cambria"/>
          <w:color w:val="000000"/>
        </w:rPr>
        <w:t>lo</w:t>
      </w:r>
      <w:r w:rsidRPr="00AA552A">
        <w:rPr>
          <w:rFonts w:cs="Cambria"/>
          <w:color w:val="000000"/>
          <w:spacing w:val="-1"/>
        </w:rPr>
        <w:t>y</w:t>
      </w:r>
      <w:r w:rsidRPr="00AA552A">
        <w:rPr>
          <w:rFonts w:cs="Cambria"/>
          <w:color w:val="000000"/>
          <w:spacing w:val="1"/>
        </w:rPr>
        <w:t>e</w:t>
      </w:r>
      <w:r w:rsidRPr="00AA552A">
        <w:rPr>
          <w:rFonts w:cs="Cambria"/>
          <w:color w:val="000000"/>
        </w:rPr>
        <w:t>d</w:t>
      </w:r>
      <w:r w:rsidRPr="00AA552A">
        <w:rPr>
          <w:rFonts w:cs="Cambria"/>
          <w:color w:val="000000"/>
          <w:spacing w:val="-8"/>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w:t>
      </w:r>
      <w:r w:rsidRPr="00AA552A">
        <w:rPr>
          <w:rFonts w:cs="Cambria"/>
          <w:color w:val="000000"/>
        </w:rPr>
        <w:t>at</w:t>
      </w:r>
      <w:r w:rsidRPr="00AA552A">
        <w:rPr>
          <w:rFonts w:cs="Cambria"/>
          <w:color w:val="000000"/>
          <w:spacing w:val="1"/>
        </w:rPr>
        <w:t>e</w:t>
      </w:r>
      <w:r w:rsidRPr="00AA552A">
        <w:rPr>
          <w:rFonts w:cs="Cambria"/>
          <w:color w:val="000000"/>
          <w:spacing w:val="-1"/>
        </w:rPr>
        <w:t>r</w:t>
      </w:r>
      <w:r w:rsidRPr="00AA552A">
        <w:rPr>
          <w:rFonts w:cs="Cambria"/>
          <w:color w:val="000000"/>
        </w:rPr>
        <w:t>s</w:t>
      </w:r>
      <w:r w:rsidRPr="00AA552A">
        <w:rPr>
          <w:rFonts w:cs="Cambria"/>
          <w:color w:val="000000"/>
          <w:spacing w:val="-3"/>
        </w:rPr>
        <w:t xml:space="preserve"> </w:t>
      </w:r>
      <w:r w:rsidRPr="00AA552A">
        <w:rPr>
          <w:rFonts w:cs="Cambria"/>
          <w:color w:val="000000"/>
          <w:spacing w:val="-1"/>
        </w:rPr>
        <w:t>d</w:t>
      </w:r>
      <w:r w:rsidRPr="00AA552A">
        <w:rPr>
          <w:rFonts w:cs="Cambria"/>
          <w:color w:val="000000"/>
          <w:spacing w:val="1"/>
        </w:rPr>
        <w:t>eepe</w:t>
      </w:r>
      <w:r w:rsidRPr="00AA552A">
        <w:rPr>
          <w:rFonts w:cs="Cambria"/>
          <w:color w:val="000000"/>
        </w:rPr>
        <w:t>r</w:t>
      </w:r>
      <w:r w:rsidRPr="00AA552A">
        <w:rPr>
          <w:rFonts w:cs="Cambria"/>
          <w:color w:val="000000"/>
          <w:spacing w:val="-7"/>
        </w:rPr>
        <w:t xml:space="preserve"> </w:t>
      </w:r>
      <w:r w:rsidRPr="00AA552A">
        <w:rPr>
          <w:rFonts w:cs="Cambria"/>
          <w:color w:val="000000"/>
        </w:rPr>
        <w:t xml:space="preserve">than </w:t>
      </w:r>
      <w:r w:rsidRPr="00AA552A">
        <w:rPr>
          <w:rFonts w:cs="Cambria"/>
          <w:color w:val="000000"/>
          <w:spacing w:val="-1"/>
        </w:rPr>
        <w:t>70</w:t>
      </w:r>
      <w:r w:rsidRPr="00AA552A">
        <w:rPr>
          <w:rFonts w:cs="Cambria"/>
          <w:color w:val="000000"/>
        </w:rPr>
        <w:t>0</w:t>
      </w:r>
      <w:r w:rsidRPr="00AA552A">
        <w:rPr>
          <w:rFonts w:cs="Cambria"/>
          <w:color w:val="000000"/>
          <w:spacing w:val="-5"/>
        </w:rPr>
        <w:t xml:space="preserve"> </w:t>
      </w:r>
      <w:r w:rsidRPr="00AA552A">
        <w:rPr>
          <w:rFonts w:cs="Cambria"/>
          <w:color w:val="000000"/>
          <w:spacing w:val="-1"/>
        </w:rPr>
        <w:t>f</w:t>
      </w:r>
      <w:r w:rsidRPr="00AA552A">
        <w:rPr>
          <w:rFonts w:cs="Cambria"/>
          <w:color w:val="000000"/>
          <w:spacing w:val="1"/>
        </w:rPr>
        <w:t>ee</w:t>
      </w:r>
      <w:r w:rsidRPr="00AA552A">
        <w:rPr>
          <w:rFonts w:cs="Cambria"/>
          <w:color w:val="000000"/>
        </w:rPr>
        <w:t>t.</w:t>
      </w:r>
    </w:p>
    <w:p w14:paraId="1FE6BAE7" w14:textId="77777777" w:rsidR="00DC4922" w:rsidRPr="00AA552A" w:rsidRDefault="00DC4922" w:rsidP="00DC4922">
      <w:pPr>
        <w:rPr>
          <w:rFonts w:cs="Cambria"/>
          <w:color w:val="000000"/>
        </w:rPr>
      </w:pPr>
      <w:r w:rsidRPr="00AA552A">
        <w:rPr>
          <w:rFonts w:cs="Cambria"/>
          <w:color w:val="000000"/>
        </w:rPr>
        <w:t>No</w:t>
      </w:r>
      <w:r w:rsidRPr="00AA552A">
        <w:rPr>
          <w:rFonts w:cs="Cambria"/>
          <w:color w:val="000000"/>
          <w:spacing w:val="-1"/>
        </w:rPr>
        <w:t>r</w:t>
      </w:r>
      <w:r w:rsidRPr="00AA552A">
        <w:rPr>
          <w:rFonts w:cs="Cambria"/>
          <w:color w:val="000000"/>
        </w:rPr>
        <w:t>th</w:t>
      </w:r>
      <w:r w:rsidRPr="00AA552A">
        <w:rPr>
          <w:rFonts w:cs="Cambria"/>
          <w:color w:val="000000"/>
          <w:spacing w:val="1"/>
        </w:rPr>
        <w:t>e</w:t>
      </w:r>
      <w:r w:rsidRPr="00AA552A">
        <w:rPr>
          <w:rFonts w:cs="Cambria"/>
          <w:color w:val="000000"/>
          <w:spacing w:val="-1"/>
        </w:rPr>
        <w:t>r</w:t>
      </w:r>
      <w:r w:rsidRPr="00AA552A">
        <w:rPr>
          <w:rFonts w:cs="Cambria"/>
          <w:color w:val="000000"/>
        </w:rPr>
        <w:t>n</w:t>
      </w:r>
      <w:r w:rsidRPr="00AA552A">
        <w:rPr>
          <w:rFonts w:cs="Cambria"/>
          <w:color w:val="000000"/>
          <w:spacing w:val="-7"/>
        </w:rPr>
        <w:t xml:space="preserve"> </w:t>
      </w:r>
      <w:r w:rsidRPr="00AA552A">
        <w:rPr>
          <w:rFonts w:cs="Cambria"/>
          <w:color w:val="000000"/>
          <w:spacing w:val="-1"/>
        </w:rPr>
        <w:t>z</w:t>
      </w:r>
      <w:r w:rsidRPr="00AA552A">
        <w:rPr>
          <w:rFonts w:cs="Cambria"/>
          <w:color w:val="000000"/>
        </w:rPr>
        <w:t>one</w:t>
      </w:r>
      <w:r w:rsidRPr="00AA552A">
        <w:rPr>
          <w:rFonts w:cs="Cambria"/>
          <w:color w:val="000000"/>
          <w:spacing w:val="-3"/>
        </w:rPr>
        <w:t xml:space="preserve"> </w:t>
      </w:r>
      <w:r w:rsidRPr="00AA552A">
        <w:rPr>
          <w:rFonts w:cs="Cambria"/>
          <w:color w:val="000000"/>
        </w:rPr>
        <w:t>- no</w:t>
      </w:r>
      <w:r w:rsidRPr="00AA552A">
        <w:rPr>
          <w:rFonts w:cs="Cambria"/>
          <w:color w:val="000000"/>
          <w:spacing w:val="-1"/>
        </w:rPr>
        <w:t>r</w:t>
      </w:r>
      <w:r w:rsidRPr="00AA552A">
        <w:rPr>
          <w:rFonts w:cs="Cambria"/>
          <w:color w:val="000000"/>
        </w:rPr>
        <w:t>th</w:t>
      </w:r>
      <w:r w:rsidRPr="00AA552A">
        <w:rPr>
          <w:rFonts w:cs="Cambria"/>
          <w:color w:val="000000"/>
          <w:spacing w:val="-4"/>
        </w:rPr>
        <w:t xml:space="preserve"> </w:t>
      </w:r>
      <w:r w:rsidRPr="00AA552A">
        <w:rPr>
          <w:rFonts w:cs="Cambria"/>
          <w:color w:val="000000"/>
          <w:spacing w:val="2"/>
        </w:rPr>
        <w:t>o</w:t>
      </w:r>
      <w:r w:rsidRPr="00AA552A">
        <w:rPr>
          <w:rFonts w:cs="Cambria"/>
          <w:color w:val="000000"/>
        </w:rPr>
        <w:t>f</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28</w:t>
      </w:r>
      <w:r w:rsidRPr="00AA552A">
        <w:rPr>
          <w:rFonts w:cs="Cambria"/>
          <w:color w:val="000000"/>
          <w:spacing w:val="1"/>
        </w:rPr>
        <w:t>°</w:t>
      </w:r>
      <w:r w:rsidRPr="00AA552A">
        <w:rPr>
          <w:rFonts w:cs="Cambria"/>
          <w:color w:val="000000"/>
        </w:rPr>
        <w:t>N.</w:t>
      </w:r>
      <w:r w:rsidRPr="00AA552A">
        <w:rPr>
          <w:rFonts w:cs="Cambria"/>
          <w:color w:val="000000"/>
          <w:spacing w:val="-3"/>
        </w:rPr>
        <w:t xml:space="preserve"> </w:t>
      </w:r>
      <w:r>
        <w:rPr>
          <w:rFonts w:cs="Cambria"/>
          <w:color w:val="000000"/>
        </w:rPr>
        <w:t>l</w:t>
      </w:r>
      <w:r w:rsidRPr="00AA552A">
        <w:rPr>
          <w:rFonts w:cs="Cambria"/>
          <w:color w:val="000000"/>
        </w:rPr>
        <w:t>at</w:t>
      </w:r>
      <w:r w:rsidRPr="00AA552A">
        <w:rPr>
          <w:rFonts w:cs="Cambria"/>
          <w:color w:val="000000"/>
          <w:spacing w:val="1"/>
        </w:rPr>
        <w:t>i</w:t>
      </w:r>
      <w:r w:rsidRPr="00AA552A">
        <w:rPr>
          <w:rFonts w:cs="Cambria"/>
          <w:color w:val="000000"/>
        </w:rPr>
        <w:t>t</w:t>
      </w:r>
      <w:r w:rsidRPr="00AA552A">
        <w:rPr>
          <w:rFonts w:cs="Cambria"/>
          <w:color w:val="000000"/>
          <w:spacing w:val="-1"/>
        </w:rPr>
        <w:t>ud</w:t>
      </w:r>
      <w:r w:rsidRPr="00AA552A">
        <w:rPr>
          <w:rFonts w:cs="Cambria"/>
          <w:color w:val="000000"/>
        </w:rPr>
        <w:t>e</w:t>
      </w:r>
      <w:r w:rsidRPr="00AA552A">
        <w:rPr>
          <w:rFonts w:cs="Cambria"/>
          <w:color w:val="000000"/>
          <w:spacing w:val="-2"/>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No</w:t>
      </w:r>
      <w:r w:rsidRPr="00AA552A">
        <w:rPr>
          <w:rFonts w:cs="Cambria"/>
          <w:color w:val="000000"/>
          <w:spacing w:val="-1"/>
        </w:rPr>
        <w:t>r</w:t>
      </w:r>
      <w:r w:rsidRPr="00AA552A">
        <w:rPr>
          <w:rFonts w:cs="Cambria"/>
          <w:color w:val="000000"/>
        </w:rPr>
        <w:t>th</w:t>
      </w:r>
      <w:r w:rsidRPr="00AA552A">
        <w:rPr>
          <w:rFonts w:cs="Cambria"/>
          <w:color w:val="000000"/>
          <w:spacing w:val="-5"/>
        </w:rPr>
        <w:t xml:space="preserve"> </w:t>
      </w:r>
      <w:r w:rsidRPr="00AA552A">
        <w:rPr>
          <w:rFonts w:cs="Cambria"/>
          <w:color w:val="000000"/>
          <w:spacing w:val="-1"/>
        </w:rPr>
        <w:t>C</w:t>
      </w:r>
      <w:r w:rsidRPr="00AA552A">
        <w:rPr>
          <w:rFonts w:cs="Cambria"/>
          <w:color w:val="000000"/>
        </w:rPr>
        <w:t>a</w:t>
      </w:r>
      <w:r w:rsidRPr="00AA552A">
        <w:rPr>
          <w:rFonts w:cs="Cambria"/>
          <w:color w:val="000000"/>
          <w:spacing w:val="-1"/>
        </w:rPr>
        <w:t>r</w:t>
      </w:r>
      <w:r w:rsidRPr="00AA552A">
        <w:rPr>
          <w:rFonts w:cs="Cambria"/>
          <w:color w:val="000000"/>
        </w:rPr>
        <w:t>ol</w:t>
      </w:r>
      <w:r w:rsidRPr="00AA552A">
        <w:rPr>
          <w:rFonts w:cs="Cambria"/>
          <w:color w:val="000000"/>
          <w:spacing w:val="1"/>
        </w:rPr>
        <w:t>i</w:t>
      </w:r>
      <w:r w:rsidRPr="00AA552A">
        <w:rPr>
          <w:rFonts w:cs="Cambria"/>
          <w:color w:val="000000"/>
        </w:rPr>
        <w:t>na/</w:t>
      </w:r>
      <w:r w:rsidRPr="00AA552A">
        <w:rPr>
          <w:rFonts w:cs="Cambria"/>
          <w:color w:val="000000"/>
          <w:spacing w:val="-1"/>
        </w:rPr>
        <w:t>V</w:t>
      </w:r>
      <w:r w:rsidRPr="00AA552A">
        <w:rPr>
          <w:rFonts w:cs="Cambria"/>
          <w:color w:val="000000"/>
          <w:spacing w:val="1"/>
        </w:rPr>
        <w:t>i</w:t>
      </w:r>
      <w:r w:rsidRPr="00AA552A">
        <w:rPr>
          <w:rFonts w:cs="Cambria"/>
          <w:color w:val="000000"/>
          <w:spacing w:val="-1"/>
        </w:rPr>
        <w:t>rg</w:t>
      </w:r>
      <w:r w:rsidRPr="00AA552A">
        <w:rPr>
          <w:rFonts w:cs="Cambria"/>
          <w:color w:val="000000"/>
          <w:spacing w:val="1"/>
        </w:rPr>
        <w:t>i</w:t>
      </w:r>
      <w:r w:rsidRPr="00AA552A">
        <w:rPr>
          <w:rFonts w:cs="Cambria"/>
          <w:color w:val="000000"/>
          <w:spacing w:val="3"/>
        </w:rPr>
        <w:t>n</w:t>
      </w:r>
      <w:r w:rsidRPr="00AA552A">
        <w:rPr>
          <w:rFonts w:cs="Cambria"/>
          <w:color w:val="000000"/>
          <w:spacing w:val="1"/>
        </w:rPr>
        <w:t>i</w:t>
      </w:r>
      <w:r w:rsidRPr="00AA552A">
        <w:rPr>
          <w:rFonts w:cs="Cambria"/>
          <w:color w:val="000000"/>
        </w:rPr>
        <w:t>a</w:t>
      </w:r>
      <w:r w:rsidRPr="00AA552A">
        <w:rPr>
          <w:rFonts w:cs="Cambria"/>
          <w:color w:val="000000"/>
          <w:spacing w:val="-9"/>
        </w:rPr>
        <w:t xml:space="preserve"> </w:t>
      </w:r>
      <w:r w:rsidRPr="00AA552A">
        <w:rPr>
          <w:rFonts w:cs="Cambria"/>
          <w:color w:val="000000"/>
          <w:spacing w:val="1"/>
        </w:rPr>
        <w:t>b</w:t>
      </w:r>
      <w:r w:rsidRPr="00AA552A">
        <w:rPr>
          <w:rFonts w:cs="Cambria"/>
          <w:color w:val="000000"/>
        </w:rPr>
        <w:t>o</w:t>
      </w:r>
      <w:r w:rsidRPr="00AA552A">
        <w:rPr>
          <w:rFonts w:cs="Cambria"/>
          <w:color w:val="000000"/>
          <w:spacing w:val="-1"/>
        </w:rPr>
        <w:t>rd</w:t>
      </w:r>
      <w:r w:rsidRPr="00AA552A">
        <w:rPr>
          <w:rFonts w:cs="Cambria"/>
          <w:color w:val="000000"/>
          <w:spacing w:val="1"/>
        </w:rPr>
        <w:t>e</w:t>
      </w:r>
      <w:r w:rsidRPr="00AA552A">
        <w:rPr>
          <w:rFonts w:cs="Cambria"/>
          <w:color w:val="000000"/>
          <w:spacing w:val="-1"/>
        </w:rPr>
        <w:t>r</w:t>
      </w:r>
      <w:r w:rsidRPr="00AA552A">
        <w:rPr>
          <w:rFonts w:cs="Cambria"/>
          <w:color w:val="000000"/>
        </w:rPr>
        <w:t>;</w:t>
      </w:r>
    </w:p>
    <w:p w14:paraId="719CF8E5" w14:textId="77777777" w:rsidR="00DC4922" w:rsidRPr="00AA552A" w:rsidRDefault="00DC4922" w:rsidP="00DC4922">
      <w:pPr>
        <w:rPr>
          <w:rFonts w:cs="Cambria"/>
          <w:color w:val="000000"/>
        </w:rPr>
      </w:pPr>
      <w:r w:rsidRPr="00AA552A">
        <w:rPr>
          <w:rFonts w:cs="Cambria"/>
          <w:color w:val="000000"/>
          <w:spacing w:val="1"/>
        </w:rPr>
        <w:t>Mi</w:t>
      </w:r>
      <w:r w:rsidRPr="00AA552A">
        <w:rPr>
          <w:rFonts w:cs="Cambria"/>
          <w:color w:val="000000"/>
          <w:spacing w:val="-1"/>
        </w:rPr>
        <w:t>dd</w:t>
      </w:r>
      <w:r w:rsidRPr="00AA552A">
        <w:rPr>
          <w:rFonts w:cs="Cambria"/>
          <w:color w:val="000000"/>
        </w:rPr>
        <w:t>le</w:t>
      </w:r>
      <w:r w:rsidRPr="00AA552A">
        <w:rPr>
          <w:rFonts w:cs="Cambria"/>
          <w:color w:val="000000"/>
          <w:spacing w:val="-3"/>
        </w:rPr>
        <w:t xml:space="preserve"> </w:t>
      </w:r>
      <w:r w:rsidRPr="00AA552A">
        <w:rPr>
          <w:rFonts w:cs="Cambria"/>
          <w:color w:val="000000"/>
          <w:spacing w:val="-1"/>
        </w:rPr>
        <w:t>z</w:t>
      </w:r>
      <w:r w:rsidRPr="00AA552A">
        <w:rPr>
          <w:rFonts w:cs="Cambria"/>
          <w:color w:val="000000"/>
        </w:rPr>
        <w:t>one</w:t>
      </w:r>
      <w:r w:rsidRPr="00AA552A">
        <w:rPr>
          <w:rFonts w:cs="Cambria"/>
          <w:color w:val="000000"/>
          <w:spacing w:val="-3"/>
        </w:rPr>
        <w:t xml:space="preserve"> </w:t>
      </w:r>
      <w:r w:rsidRPr="00AA552A">
        <w:rPr>
          <w:rFonts w:cs="Cambria"/>
          <w:color w:val="000000"/>
        </w:rPr>
        <w:t xml:space="preserve">- </w:t>
      </w:r>
      <w:r w:rsidRPr="00AA552A">
        <w:rPr>
          <w:rFonts w:cs="Cambria"/>
          <w:color w:val="000000"/>
          <w:spacing w:val="-1"/>
        </w:rPr>
        <w:t>28</w:t>
      </w:r>
      <w:r w:rsidRPr="00AA552A">
        <w:rPr>
          <w:rFonts w:cs="Cambria"/>
          <w:color w:val="000000"/>
          <w:spacing w:val="1"/>
        </w:rPr>
        <w:t>°</w:t>
      </w:r>
      <w:r w:rsidRPr="00AA552A">
        <w:rPr>
          <w:rFonts w:cs="Cambria"/>
          <w:color w:val="000000"/>
        </w:rPr>
        <w:t>N.</w:t>
      </w:r>
      <w:r w:rsidRPr="00AA552A">
        <w:rPr>
          <w:rFonts w:cs="Cambria"/>
          <w:color w:val="000000"/>
          <w:spacing w:val="-3"/>
        </w:rPr>
        <w:t xml:space="preserve"> </w:t>
      </w:r>
      <w:r>
        <w:rPr>
          <w:rFonts w:cs="Cambria"/>
          <w:color w:val="000000"/>
        </w:rPr>
        <w:t>l</w:t>
      </w:r>
      <w:r w:rsidRPr="00AA552A">
        <w:rPr>
          <w:rFonts w:cs="Cambria"/>
          <w:color w:val="000000"/>
        </w:rPr>
        <w:t>at</w:t>
      </w:r>
      <w:r w:rsidRPr="00AA552A">
        <w:rPr>
          <w:rFonts w:cs="Cambria"/>
          <w:color w:val="000000"/>
          <w:spacing w:val="1"/>
        </w:rPr>
        <w:t>i</w:t>
      </w:r>
      <w:r w:rsidRPr="00AA552A">
        <w:rPr>
          <w:rFonts w:cs="Cambria"/>
          <w:color w:val="000000"/>
        </w:rPr>
        <w:t>t</w:t>
      </w:r>
      <w:r w:rsidRPr="00AA552A">
        <w:rPr>
          <w:rFonts w:cs="Cambria"/>
          <w:color w:val="000000"/>
          <w:spacing w:val="-1"/>
        </w:rPr>
        <w:t>ud</w:t>
      </w:r>
      <w:r w:rsidRPr="00AA552A">
        <w:rPr>
          <w:rFonts w:cs="Cambria"/>
          <w:color w:val="000000"/>
        </w:rPr>
        <w:t>e</w:t>
      </w:r>
      <w:r w:rsidRPr="00AA552A">
        <w:rPr>
          <w:rFonts w:cs="Cambria"/>
          <w:color w:val="000000"/>
          <w:spacing w:val="-2"/>
        </w:rPr>
        <w:t xml:space="preserve"> </w:t>
      </w:r>
      <w:r w:rsidRPr="00AA552A">
        <w:rPr>
          <w:rFonts w:cs="Cambria"/>
          <w:color w:val="000000"/>
        </w:rPr>
        <w:t>to</w:t>
      </w:r>
      <w:r w:rsidRPr="00AA552A">
        <w:rPr>
          <w:rFonts w:cs="Cambria"/>
          <w:color w:val="000000"/>
          <w:spacing w:val="-1"/>
        </w:rPr>
        <w:t xml:space="preserve"> 25</w:t>
      </w:r>
      <w:r w:rsidRPr="00AA552A">
        <w:rPr>
          <w:rFonts w:cs="Cambria"/>
          <w:color w:val="000000"/>
          <w:spacing w:val="1"/>
        </w:rPr>
        <w:t>°</w:t>
      </w:r>
      <w:r>
        <w:rPr>
          <w:rFonts w:cs="Cambria"/>
          <w:color w:val="000000"/>
          <w:spacing w:val="1"/>
        </w:rPr>
        <w:t xml:space="preserve"> </w:t>
      </w:r>
      <w:r w:rsidRPr="00AA552A">
        <w:rPr>
          <w:rFonts w:cs="Cambria"/>
          <w:color w:val="000000"/>
        </w:rPr>
        <w:t>N.</w:t>
      </w:r>
      <w:r w:rsidRPr="00AA552A">
        <w:rPr>
          <w:rFonts w:cs="Cambria"/>
          <w:color w:val="000000"/>
          <w:spacing w:val="-3"/>
        </w:rPr>
        <w:t xml:space="preserve"> </w:t>
      </w:r>
      <w:r>
        <w:rPr>
          <w:rFonts w:cs="Cambria"/>
          <w:color w:val="000000"/>
        </w:rPr>
        <w:t>l</w:t>
      </w:r>
      <w:r w:rsidRPr="00AA552A">
        <w:rPr>
          <w:rFonts w:cs="Cambria"/>
          <w:color w:val="000000"/>
        </w:rPr>
        <w:t>at</w:t>
      </w:r>
      <w:r w:rsidRPr="00AA552A">
        <w:rPr>
          <w:rFonts w:cs="Cambria"/>
          <w:color w:val="000000"/>
          <w:spacing w:val="1"/>
        </w:rPr>
        <w:t>i</w:t>
      </w:r>
      <w:r w:rsidRPr="00AA552A">
        <w:rPr>
          <w:rFonts w:cs="Cambria"/>
          <w:color w:val="000000"/>
        </w:rPr>
        <w:t>t</w:t>
      </w:r>
      <w:r w:rsidRPr="00AA552A">
        <w:rPr>
          <w:rFonts w:cs="Cambria"/>
          <w:color w:val="000000"/>
          <w:spacing w:val="-1"/>
        </w:rPr>
        <w:t>ud</w:t>
      </w:r>
      <w:r w:rsidRPr="00AA552A">
        <w:rPr>
          <w:rFonts w:cs="Cambria"/>
          <w:color w:val="000000"/>
          <w:spacing w:val="1"/>
        </w:rPr>
        <w:t>e</w:t>
      </w:r>
      <w:r w:rsidRPr="00AA552A">
        <w:rPr>
          <w:rFonts w:cs="Cambria"/>
          <w:color w:val="000000"/>
        </w:rPr>
        <w:t>;</w:t>
      </w:r>
      <w:r w:rsidRPr="00AA552A">
        <w:rPr>
          <w:rFonts w:cs="Cambria"/>
          <w:color w:val="000000"/>
          <w:spacing w:val="-5"/>
        </w:rPr>
        <w:t xml:space="preserve"> </w:t>
      </w:r>
      <w:r w:rsidRPr="00AA552A">
        <w:rPr>
          <w:rFonts w:cs="Cambria"/>
          <w:color w:val="000000"/>
        </w:rPr>
        <w:t>and</w:t>
      </w:r>
    </w:p>
    <w:p w14:paraId="2E056640" w14:textId="77777777" w:rsidR="00DC4922" w:rsidRPr="00AE7FA6" w:rsidRDefault="00DC4922" w:rsidP="00DC4922">
      <w:pPr>
        <w:rPr>
          <w:rFonts w:cs="Cambria"/>
          <w:color w:val="000000"/>
        </w:rPr>
      </w:pPr>
      <w:r w:rsidRPr="00AA552A">
        <w:rPr>
          <w:rFonts w:cs="Cambria"/>
          <w:color w:val="000000"/>
          <w:spacing w:val="1"/>
        </w:rPr>
        <w:lastRenderedPageBreak/>
        <w:t>S</w:t>
      </w:r>
      <w:r w:rsidRPr="00AA552A">
        <w:rPr>
          <w:rFonts w:cs="Cambria"/>
          <w:color w:val="000000"/>
        </w:rPr>
        <w:t>o</w:t>
      </w:r>
      <w:r w:rsidRPr="00AA552A">
        <w:rPr>
          <w:rFonts w:cs="Cambria"/>
          <w:color w:val="000000"/>
          <w:spacing w:val="-1"/>
        </w:rPr>
        <w:t>u</w:t>
      </w:r>
      <w:r w:rsidRPr="00AA552A">
        <w:rPr>
          <w:rFonts w:cs="Cambria"/>
          <w:color w:val="000000"/>
        </w:rPr>
        <w:t>th</w:t>
      </w:r>
      <w:r w:rsidRPr="00AA552A">
        <w:rPr>
          <w:rFonts w:cs="Cambria"/>
          <w:color w:val="000000"/>
          <w:spacing w:val="1"/>
        </w:rPr>
        <w:t>e</w:t>
      </w:r>
      <w:r w:rsidRPr="00AA552A">
        <w:rPr>
          <w:rFonts w:cs="Cambria"/>
          <w:color w:val="000000"/>
          <w:spacing w:val="-1"/>
        </w:rPr>
        <w:t>r</w:t>
      </w:r>
      <w:r w:rsidRPr="00AA552A">
        <w:rPr>
          <w:rFonts w:cs="Cambria"/>
          <w:color w:val="000000"/>
        </w:rPr>
        <w:t>n</w:t>
      </w:r>
      <w:r w:rsidRPr="00AA552A">
        <w:rPr>
          <w:rFonts w:cs="Cambria"/>
          <w:color w:val="000000"/>
          <w:spacing w:val="-5"/>
        </w:rPr>
        <w:t xml:space="preserve"> </w:t>
      </w:r>
      <w:r w:rsidRPr="00AA552A">
        <w:rPr>
          <w:rFonts w:cs="Cambria"/>
          <w:color w:val="000000"/>
          <w:spacing w:val="-1"/>
        </w:rPr>
        <w:t>z</w:t>
      </w:r>
      <w:r w:rsidRPr="00AA552A">
        <w:rPr>
          <w:rFonts w:cs="Cambria"/>
          <w:color w:val="000000"/>
        </w:rPr>
        <w:t>one</w:t>
      </w:r>
      <w:r w:rsidRPr="00AA552A">
        <w:rPr>
          <w:rFonts w:cs="Cambria"/>
          <w:color w:val="000000"/>
          <w:spacing w:val="-3"/>
        </w:rPr>
        <w:t xml:space="preserve"> </w:t>
      </w:r>
      <w:r w:rsidRPr="00AA552A">
        <w:rPr>
          <w:rFonts w:cs="Cambria"/>
          <w:color w:val="000000"/>
        </w:rPr>
        <w:t>- south</w:t>
      </w:r>
      <w:r w:rsidRPr="00AA552A">
        <w:rPr>
          <w:rFonts w:cs="Cambria"/>
          <w:color w:val="000000"/>
          <w:spacing w:val="-4"/>
        </w:rPr>
        <w:t xml:space="preserve"> </w:t>
      </w:r>
      <w:r w:rsidRPr="00AA552A">
        <w:rPr>
          <w:rFonts w:cs="Cambria"/>
          <w:color w:val="000000"/>
          <w:spacing w:val="2"/>
        </w:rPr>
        <w:t>o</w:t>
      </w:r>
      <w:r w:rsidRPr="00AA552A">
        <w:rPr>
          <w:rFonts w:cs="Cambria"/>
          <w:color w:val="000000"/>
        </w:rPr>
        <w:t>f</w:t>
      </w:r>
      <w:r w:rsidRPr="00AA552A">
        <w:rPr>
          <w:rFonts w:cs="Cambria"/>
          <w:color w:val="000000"/>
          <w:spacing w:val="-3"/>
        </w:rPr>
        <w:t xml:space="preserve"> </w:t>
      </w:r>
      <w:r w:rsidRPr="00AA552A">
        <w:rPr>
          <w:rFonts w:cs="Cambria"/>
          <w:color w:val="000000"/>
          <w:spacing w:val="-1"/>
        </w:rPr>
        <w:t>25</w:t>
      </w:r>
      <w:r w:rsidRPr="00AA552A">
        <w:rPr>
          <w:rFonts w:cs="Cambria"/>
          <w:color w:val="000000"/>
          <w:spacing w:val="1"/>
        </w:rPr>
        <w:t>°</w:t>
      </w:r>
      <w:r w:rsidRPr="00AA552A">
        <w:rPr>
          <w:rFonts w:cs="Cambria"/>
          <w:color w:val="000000"/>
        </w:rPr>
        <w:t>N.</w:t>
      </w:r>
      <w:r w:rsidRPr="00AA552A">
        <w:rPr>
          <w:rFonts w:cs="Cambria"/>
          <w:color w:val="000000"/>
          <w:spacing w:val="-3"/>
        </w:rPr>
        <w:t xml:space="preserve"> </w:t>
      </w:r>
      <w:r>
        <w:rPr>
          <w:rFonts w:cs="Cambria"/>
          <w:color w:val="000000"/>
        </w:rPr>
        <w:t>l</w:t>
      </w:r>
      <w:r w:rsidRPr="00AA552A">
        <w:rPr>
          <w:rFonts w:cs="Cambria"/>
          <w:color w:val="000000"/>
        </w:rPr>
        <w:t>at</w:t>
      </w:r>
      <w:r w:rsidRPr="00AA552A">
        <w:rPr>
          <w:rFonts w:cs="Cambria"/>
          <w:color w:val="000000"/>
          <w:spacing w:val="1"/>
        </w:rPr>
        <w:t>i</w:t>
      </w:r>
      <w:r w:rsidRPr="00AA552A">
        <w:rPr>
          <w:rFonts w:cs="Cambria"/>
          <w:color w:val="000000"/>
        </w:rPr>
        <w:t>tu</w:t>
      </w:r>
      <w:r w:rsidRPr="00AA552A">
        <w:rPr>
          <w:rFonts w:cs="Cambria"/>
          <w:color w:val="000000"/>
          <w:spacing w:val="-1"/>
        </w:rPr>
        <w:t>d</w:t>
      </w:r>
      <w:r w:rsidRPr="00AA552A">
        <w:rPr>
          <w:rFonts w:cs="Cambria"/>
          <w:color w:val="000000"/>
        </w:rPr>
        <w:t>e</w:t>
      </w:r>
      <w:r w:rsidRPr="00AA552A">
        <w:rPr>
          <w:rFonts w:cs="Cambria"/>
          <w:color w:val="000000"/>
          <w:spacing w:val="-3"/>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b</w:t>
      </w:r>
      <w:r w:rsidRPr="00AA552A">
        <w:rPr>
          <w:rFonts w:cs="Cambria"/>
          <w:color w:val="000000"/>
        </w:rPr>
        <w:t>o</w:t>
      </w:r>
      <w:r w:rsidRPr="00AA552A">
        <w:rPr>
          <w:rFonts w:cs="Cambria"/>
          <w:color w:val="000000"/>
          <w:spacing w:val="-1"/>
        </w:rPr>
        <w:t>rd</w:t>
      </w:r>
      <w:r w:rsidRPr="00AA552A">
        <w:rPr>
          <w:rFonts w:cs="Cambria"/>
          <w:color w:val="000000"/>
          <w:spacing w:val="1"/>
        </w:rPr>
        <w:t>e</w:t>
      </w:r>
      <w:r w:rsidRPr="00AA552A">
        <w:rPr>
          <w:rFonts w:cs="Cambria"/>
          <w:color w:val="000000"/>
        </w:rPr>
        <w:t>r</w:t>
      </w:r>
      <w:r w:rsidRPr="00AA552A">
        <w:rPr>
          <w:rFonts w:cs="Cambria"/>
          <w:color w:val="000000"/>
          <w:spacing w:val="-7"/>
        </w:rPr>
        <w:t xml:space="preserve"> </w:t>
      </w:r>
      <w:r w:rsidRPr="00AA552A">
        <w:rPr>
          <w:rFonts w:cs="Cambria"/>
          <w:color w:val="000000"/>
          <w:spacing w:val="1"/>
        </w:rPr>
        <w:t>be</w:t>
      </w:r>
      <w:r w:rsidRPr="00AA552A">
        <w:rPr>
          <w:rFonts w:cs="Cambria"/>
          <w:color w:val="000000"/>
        </w:rPr>
        <w:t>t</w:t>
      </w:r>
      <w:r w:rsidRPr="00AA552A">
        <w:rPr>
          <w:rFonts w:cs="Cambria"/>
          <w:color w:val="000000"/>
          <w:spacing w:val="-1"/>
        </w:rPr>
        <w:t>w</w:t>
      </w:r>
      <w:r w:rsidRPr="00AA552A">
        <w:rPr>
          <w:rFonts w:cs="Cambria"/>
          <w:color w:val="000000"/>
          <w:spacing w:val="1"/>
        </w:rPr>
        <w:t>ee</w:t>
      </w:r>
      <w:r w:rsidRPr="00AA552A">
        <w:rPr>
          <w:rFonts w:cs="Cambria"/>
          <w:color w:val="000000"/>
        </w:rPr>
        <w:t>n</w:t>
      </w:r>
      <w:r w:rsidRPr="00AA552A">
        <w:rPr>
          <w:rFonts w:cs="Cambria"/>
          <w:color w:val="000000"/>
          <w:spacing w:val="-3"/>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S</w:t>
      </w:r>
      <w:r w:rsidRPr="00AA552A">
        <w:rPr>
          <w:rFonts w:cs="Cambria"/>
          <w:color w:val="000000"/>
        </w:rPr>
        <w:t>outh</w:t>
      </w:r>
      <w:r w:rsidRPr="00AA552A">
        <w:rPr>
          <w:rFonts w:cs="Cambria"/>
          <w:color w:val="000000"/>
          <w:spacing w:val="-3"/>
        </w:rPr>
        <w:t xml:space="preserve"> </w:t>
      </w:r>
      <w:r w:rsidRPr="00AA552A">
        <w:rPr>
          <w:rFonts w:cs="Cambria"/>
          <w:color w:val="000000"/>
          <w:spacing w:val="-1"/>
        </w:rPr>
        <w:t>A</w:t>
      </w:r>
      <w:r w:rsidRPr="00AA552A">
        <w:rPr>
          <w:rFonts w:cs="Cambria"/>
          <w:color w:val="000000"/>
        </w:rPr>
        <w:t>tlant</w:t>
      </w:r>
      <w:r w:rsidRPr="00AA552A">
        <w:rPr>
          <w:rFonts w:cs="Cambria"/>
          <w:color w:val="000000"/>
          <w:spacing w:val="1"/>
        </w:rPr>
        <w:t>i</w:t>
      </w:r>
      <w:r w:rsidRPr="00AA552A">
        <w:rPr>
          <w:rFonts w:cs="Cambria"/>
          <w:color w:val="000000"/>
        </w:rPr>
        <w:t>c</w:t>
      </w:r>
      <w:r w:rsidRPr="00AA552A">
        <w:rPr>
          <w:rFonts w:cs="Cambria"/>
          <w:color w:val="000000"/>
          <w:spacing w:val="-2"/>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Gulf</w:t>
      </w:r>
      <w:r w:rsidRPr="00AA552A">
        <w:rPr>
          <w:rFonts w:cs="Cambria"/>
          <w:color w:val="000000"/>
          <w:spacing w:val="-3"/>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3"/>
        </w:rPr>
        <w:t>M</w:t>
      </w:r>
      <w:r w:rsidRPr="00AA552A">
        <w:rPr>
          <w:rFonts w:cs="Cambria"/>
          <w:color w:val="000000"/>
          <w:spacing w:val="1"/>
        </w:rPr>
        <w:t>e</w:t>
      </w:r>
      <w:r w:rsidRPr="00AA552A">
        <w:rPr>
          <w:rFonts w:cs="Cambria"/>
          <w:color w:val="000000"/>
          <w:spacing w:val="-1"/>
        </w:rPr>
        <w:t>x</w:t>
      </w:r>
      <w:r w:rsidRPr="00AA552A">
        <w:rPr>
          <w:rFonts w:cs="Cambria"/>
          <w:color w:val="000000"/>
          <w:spacing w:val="1"/>
        </w:rPr>
        <w:t>i</w:t>
      </w:r>
      <w:r w:rsidRPr="00AA552A">
        <w:rPr>
          <w:rFonts w:cs="Cambria"/>
          <w:color w:val="000000"/>
        </w:rPr>
        <w:t>co</w:t>
      </w:r>
      <w:r>
        <w:rPr>
          <w:rFonts w:cs="Cambria"/>
          <w:color w:val="000000"/>
        </w:rPr>
        <w:t xml:space="preserve"> </w:t>
      </w:r>
      <w:r w:rsidRPr="00AA552A">
        <w:rPr>
          <w:rFonts w:cs="Cambria"/>
          <w:color w:val="000000"/>
          <w:spacing w:val="1"/>
        </w:rPr>
        <w:t>Fi</w:t>
      </w:r>
      <w:r w:rsidRPr="00AA552A">
        <w:rPr>
          <w:rFonts w:cs="Cambria"/>
          <w:color w:val="000000"/>
        </w:rPr>
        <w:t>sh</w:t>
      </w:r>
      <w:r w:rsidRPr="00AA552A">
        <w:rPr>
          <w:rFonts w:cs="Cambria"/>
          <w:color w:val="000000"/>
          <w:spacing w:val="1"/>
        </w:rPr>
        <w:t>e</w:t>
      </w:r>
      <w:r w:rsidRPr="00AA552A">
        <w:rPr>
          <w:rFonts w:cs="Cambria"/>
          <w:color w:val="000000"/>
          <w:spacing w:val="-1"/>
        </w:rPr>
        <w:t>r</w:t>
      </w:r>
      <w:r w:rsidRPr="00AA552A">
        <w:rPr>
          <w:rFonts w:cs="Cambria"/>
          <w:color w:val="000000"/>
        </w:rPr>
        <w:t>y</w:t>
      </w:r>
      <w:r w:rsidRPr="00AA552A">
        <w:rPr>
          <w:rFonts w:cs="Cambria"/>
          <w:color w:val="000000"/>
          <w:spacing w:val="-9"/>
        </w:rPr>
        <w:t xml:space="preserve"> </w:t>
      </w:r>
      <w:r w:rsidRPr="00AA552A">
        <w:rPr>
          <w:rFonts w:cs="Cambria"/>
          <w:color w:val="000000"/>
          <w:spacing w:val="1"/>
        </w:rPr>
        <w:t>M</w:t>
      </w:r>
      <w:r w:rsidRPr="00AA552A">
        <w:rPr>
          <w:rFonts w:cs="Cambria"/>
          <w:color w:val="000000"/>
        </w:rPr>
        <w:t>ana</w:t>
      </w:r>
      <w:r w:rsidRPr="00AA552A">
        <w:rPr>
          <w:rFonts w:cs="Cambria"/>
          <w:color w:val="000000"/>
          <w:spacing w:val="-1"/>
        </w:rPr>
        <w:t>g</w:t>
      </w:r>
      <w:r w:rsidRPr="00AA552A">
        <w:rPr>
          <w:rFonts w:cs="Cambria"/>
          <w:color w:val="000000"/>
          <w:spacing w:val="1"/>
        </w:rPr>
        <w:t>e</w:t>
      </w:r>
      <w:r w:rsidRPr="00AA552A">
        <w:rPr>
          <w:rFonts w:cs="Cambria"/>
          <w:color w:val="000000"/>
        </w:rPr>
        <w:t>m</w:t>
      </w:r>
      <w:r w:rsidRPr="00AA552A">
        <w:rPr>
          <w:rFonts w:cs="Cambria"/>
          <w:color w:val="000000"/>
          <w:spacing w:val="1"/>
        </w:rPr>
        <w:t>e</w:t>
      </w:r>
      <w:r w:rsidRPr="00AA552A">
        <w:rPr>
          <w:rFonts w:cs="Cambria"/>
          <w:color w:val="000000"/>
        </w:rPr>
        <w:t>nt</w:t>
      </w:r>
      <w:r w:rsidRPr="00AA552A">
        <w:rPr>
          <w:rFonts w:cs="Cambria"/>
          <w:color w:val="000000"/>
          <w:spacing w:val="-2"/>
        </w:rPr>
        <w:t xml:space="preserve"> </w:t>
      </w:r>
      <w:r w:rsidRPr="00AA552A">
        <w:rPr>
          <w:rFonts w:cs="Cambria"/>
          <w:color w:val="000000"/>
          <w:spacing w:val="-3"/>
        </w:rPr>
        <w:t>C</w:t>
      </w:r>
      <w:r w:rsidRPr="00AA552A">
        <w:rPr>
          <w:rFonts w:cs="Cambria"/>
          <w:color w:val="000000"/>
        </w:rPr>
        <w:t>o</w:t>
      </w:r>
      <w:r w:rsidRPr="00AA552A">
        <w:rPr>
          <w:rFonts w:cs="Cambria"/>
          <w:color w:val="000000"/>
          <w:spacing w:val="-1"/>
        </w:rPr>
        <w:t>u</w:t>
      </w:r>
      <w:r w:rsidRPr="00AA552A">
        <w:rPr>
          <w:rFonts w:cs="Cambria"/>
          <w:color w:val="000000"/>
        </w:rPr>
        <w:t>nc</w:t>
      </w:r>
      <w:r w:rsidRPr="00AA552A">
        <w:rPr>
          <w:rFonts w:cs="Cambria"/>
          <w:color w:val="000000"/>
          <w:spacing w:val="1"/>
        </w:rPr>
        <w:t>i</w:t>
      </w:r>
      <w:r w:rsidRPr="00AA552A">
        <w:rPr>
          <w:rFonts w:cs="Cambria"/>
          <w:color w:val="000000"/>
        </w:rPr>
        <w:t>ls.</w:t>
      </w:r>
    </w:p>
    <w:p w14:paraId="20305EDF" w14:textId="77777777" w:rsidR="00DC4922" w:rsidRDefault="00DC4922" w:rsidP="00DC4922">
      <w:pPr>
        <w:rPr>
          <w:rFonts w:ascii="Cambria" w:hAnsi="Cambria" w:cs="Cambria"/>
          <w:color w:val="000000"/>
          <w:sz w:val="20"/>
        </w:rPr>
      </w:pPr>
    </w:p>
    <w:p w14:paraId="7AB45EA2" w14:textId="77777777" w:rsidR="00DC4922" w:rsidRDefault="00DC4922" w:rsidP="00DC4922">
      <w:pPr>
        <w:rPr>
          <w:rFonts w:ascii="Cambria" w:hAnsi="Cambria" w:cs="Cambria"/>
          <w:color w:val="000000"/>
          <w:sz w:val="20"/>
        </w:rPr>
      </w:pPr>
    </w:p>
    <w:p w14:paraId="749F73F2" w14:textId="77777777" w:rsidR="00DC4922" w:rsidRPr="00EB603B" w:rsidRDefault="00DC4922" w:rsidP="00DC4922">
      <w:pPr>
        <w:rPr>
          <w:b/>
          <w:color w:val="000000"/>
        </w:rPr>
      </w:pPr>
      <w:r w:rsidRPr="00EB603B">
        <w:rPr>
          <w:b/>
          <w:color w:val="000000"/>
        </w:rPr>
        <w:t>Cor</w:t>
      </w:r>
      <w:r w:rsidRPr="00EB603B">
        <w:rPr>
          <w:b/>
          <w:color w:val="000000"/>
          <w:spacing w:val="1"/>
        </w:rPr>
        <w:t>a</w:t>
      </w:r>
      <w:r w:rsidRPr="00EB603B">
        <w:rPr>
          <w:b/>
          <w:color w:val="000000"/>
        </w:rPr>
        <w:t>l,</w:t>
      </w:r>
      <w:r w:rsidRPr="00EB603B">
        <w:rPr>
          <w:b/>
          <w:color w:val="000000"/>
          <w:spacing w:val="1"/>
        </w:rPr>
        <w:t xml:space="preserve"> </w:t>
      </w:r>
      <w:r w:rsidRPr="00EB603B">
        <w:rPr>
          <w:b/>
          <w:color w:val="000000"/>
        </w:rPr>
        <w:t>Cor</w:t>
      </w:r>
      <w:r w:rsidRPr="00EB603B">
        <w:rPr>
          <w:b/>
          <w:color w:val="000000"/>
          <w:spacing w:val="1"/>
        </w:rPr>
        <w:t>a</w:t>
      </w:r>
      <w:r w:rsidRPr="00EB603B">
        <w:rPr>
          <w:b/>
          <w:color w:val="000000"/>
        </w:rPr>
        <w:t>l</w:t>
      </w:r>
      <w:r w:rsidRPr="00EB603B">
        <w:rPr>
          <w:b/>
          <w:color w:val="000000"/>
          <w:spacing w:val="1"/>
        </w:rPr>
        <w:t xml:space="preserve"> </w:t>
      </w:r>
      <w:r w:rsidRPr="00EB603B">
        <w:rPr>
          <w:b/>
          <w:color w:val="000000"/>
          <w:spacing w:val="-3"/>
        </w:rPr>
        <w:t>R</w:t>
      </w:r>
      <w:r w:rsidRPr="00EB603B">
        <w:rPr>
          <w:b/>
          <w:color w:val="000000"/>
          <w:spacing w:val="1"/>
        </w:rPr>
        <w:t>ee</w:t>
      </w:r>
      <w:r w:rsidRPr="00EB603B">
        <w:rPr>
          <w:b/>
          <w:color w:val="000000"/>
          <w:spacing w:val="-1"/>
        </w:rPr>
        <w:t>f</w:t>
      </w:r>
      <w:r w:rsidRPr="00EB603B">
        <w:rPr>
          <w:b/>
          <w:color w:val="000000"/>
        </w:rPr>
        <w:t>s</w:t>
      </w:r>
      <w:r w:rsidRPr="00EB603B">
        <w:rPr>
          <w:b/>
          <w:color w:val="000000"/>
          <w:spacing w:val="-1"/>
        </w:rPr>
        <w:t xml:space="preserve"> </w:t>
      </w:r>
      <w:r w:rsidRPr="00EB603B">
        <w:rPr>
          <w:b/>
          <w:color w:val="000000"/>
          <w:spacing w:val="1"/>
        </w:rPr>
        <w:t>a</w:t>
      </w:r>
      <w:r w:rsidRPr="00EB603B">
        <w:rPr>
          <w:b/>
          <w:color w:val="000000"/>
        </w:rPr>
        <w:t>nd Li</w:t>
      </w:r>
      <w:r w:rsidRPr="00EB603B">
        <w:rPr>
          <w:b/>
          <w:color w:val="000000"/>
          <w:spacing w:val="-4"/>
        </w:rPr>
        <w:t>v</w:t>
      </w:r>
      <w:r w:rsidRPr="00EB603B">
        <w:rPr>
          <w:b/>
          <w:color w:val="000000"/>
          <w:spacing w:val="1"/>
        </w:rPr>
        <w:t>e</w:t>
      </w:r>
      <w:r w:rsidRPr="00EB603B">
        <w:rPr>
          <w:b/>
          <w:color w:val="000000"/>
        </w:rPr>
        <w:t>/H</w:t>
      </w:r>
      <w:r w:rsidRPr="00EB603B">
        <w:rPr>
          <w:b/>
          <w:color w:val="000000"/>
          <w:spacing w:val="1"/>
        </w:rPr>
        <w:t>a</w:t>
      </w:r>
      <w:r w:rsidRPr="00EB603B">
        <w:rPr>
          <w:b/>
          <w:color w:val="000000"/>
        </w:rPr>
        <w:t>rd Bo</w:t>
      </w:r>
      <w:r w:rsidRPr="00EB603B">
        <w:rPr>
          <w:b/>
          <w:color w:val="000000"/>
          <w:spacing w:val="-1"/>
        </w:rPr>
        <w:t>tt</w:t>
      </w:r>
      <w:r w:rsidRPr="00EB603B">
        <w:rPr>
          <w:b/>
          <w:color w:val="000000"/>
        </w:rPr>
        <w:t>om</w:t>
      </w:r>
      <w:r w:rsidRPr="00EB603B">
        <w:rPr>
          <w:b/>
          <w:color w:val="000000"/>
          <w:spacing w:val="1"/>
        </w:rPr>
        <w:t xml:space="preserve"> </w:t>
      </w:r>
      <w:r w:rsidRPr="00EB603B">
        <w:rPr>
          <w:b/>
          <w:color w:val="000000"/>
          <w:spacing w:val="2"/>
        </w:rPr>
        <w:t>F</w:t>
      </w:r>
      <w:r w:rsidRPr="00EB603B">
        <w:rPr>
          <w:b/>
          <w:color w:val="000000"/>
          <w:spacing w:val="-1"/>
        </w:rPr>
        <w:t>M</w:t>
      </w:r>
      <w:r w:rsidRPr="00EB603B">
        <w:rPr>
          <w:b/>
          <w:color w:val="000000"/>
        </w:rPr>
        <w:t>P</w:t>
      </w:r>
    </w:p>
    <w:p w14:paraId="242FF7F0" w14:textId="77777777" w:rsidR="00DC4922" w:rsidRPr="00AA552A" w:rsidRDefault="00DC4922" w:rsidP="00DC4922">
      <w:pPr>
        <w:rPr>
          <w:rFonts w:cs="Cambria"/>
          <w:color w:val="000000"/>
        </w:rPr>
      </w:pPr>
      <w:r>
        <w:rPr>
          <w:color w:val="000000"/>
          <w:w w:val="131"/>
        </w:rPr>
        <w:t>•</w:t>
      </w:r>
      <w:r>
        <w:rPr>
          <w:color w:val="000000"/>
        </w:rPr>
        <w:tab/>
      </w:r>
      <w:r w:rsidRPr="00AA552A">
        <w:rPr>
          <w:rFonts w:cs="Cambria"/>
          <w:color w:val="000000"/>
          <w:spacing w:val="1"/>
        </w:rPr>
        <w:t>E</w:t>
      </w:r>
      <w:r w:rsidRPr="00AA552A">
        <w:rPr>
          <w:rFonts w:cs="Cambria"/>
          <w:color w:val="000000"/>
        </w:rPr>
        <w:t>sta</w:t>
      </w:r>
      <w:r w:rsidRPr="00AA552A">
        <w:rPr>
          <w:rFonts w:cs="Cambria"/>
          <w:color w:val="000000"/>
          <w:spacing w:val="1"/>
        </w:rPr>
        <w:t>b</w:t>
      </w:r>
      <w:r w:rsidRPr="00AA552A">
        <w:rPr>
          <w:rFonts w:cs="Cambria"/>
          <w:color w:val="000000"/>
        </w:rPr>
        <w:t>l</w:t>
      </w:r>
      <w:r w:rsidRPr="00AA552A">
        <w:rPr>
          <w:rFonts w:cs="Cambria"/>
          <w:color w:val="000000"/>
          <w:spacing w:val="1"/>
        </w:rPr>
        <w:t>i</w:t>
      </w:r>
      <w:r w:rsidRPr="00AA552A">
        <w:rPr>
          <w:rFonts w:cs="Cambria"/>
          <w:color w:val="000000"/>
        </w:rPr>
        <w:t>sh</w:t>
      </w:r>
      <w:r w:rsidRPr="00AA552A">
        <w:rPr>
          <w:rFonts w:cs="Cambria"/>
          <w:color w:val="000000"/>
          <w:spacing w:val="1"/>
        </w:rPr>
        <w:t>e</w:t>
      </w:r>
      <w:r w:rsidRPr="00AA552A">
        <w:rPr>
          <w:rFonts w:cs="Cambria"/>
          <w:color w:val="000000"/>
        </w:rPr>
        <w:t>d</w:t>
      </w:r>
      <w:r w:rsidRPr="00AA552A">
        <w:rPr>
          <w:rFonts w:cs="Cambria"/>
          <w:color w:val="000000"/>
          <w:spacing w:val="-8"/>
        </w:rPr>
        <w:t xml:space="preserve"> </w:t>
      </w:r>
      <w:r w:rsidRPr="00AA552A">
        <w:rPr>
          <w:rFonts w:cs="Cambria"/>
          <w:color w:val="000000"/>
        </w:rPr>
        <w:t>an o</w:t>
      </w:r>
      <w:r w:rsidRPr="00AA552A">
        <w:rPr>
          <w:rFonts w:cs="Cambria"/>
          <w:color w:val="000000"/>
          <w:spacing w:val="-1"/>
        </w:rPr>
        <w:t>p</w:t>
      </w:r>
      <w:r w:rsidRPr="00AA552A">
        <w:rPr>
          <w:rFonts w:cs="Cambria"/>
          <w:color w:val="000000"/>
        </w:rPr>
        <w:t>t</w:t>
      </w:r>
      <w:r w:rsidRPr="00AA552A">
        <w:rPr>
          <w:rFonts w:cs="Cambria"/>
          <w:color w:val="000000"/>
          <w:spacing w:val="1"/>
        </w:rPr>
        <w:t>i</w:t>
      </w:r>
      <w:r w:rsidRPr="00AA552A">
        <w:rPr>
          <w:rFonts w:cs="Cambria"/>
          <w:color w:val="000000"/>
        </w:rPr>
        <w:t>m</w:t>
      </w:r>
      <w:r w:rsidRPr="00AA552A">
        <w:rPr>
          <w:rFonts w:cs="Cambria"/>
          <w:color w:val="000000"/>
          <w:spacing w:val="-1"/>
        </w:rPr>
        <w:t>u</w:t>
      </w:r>
      <w:r w:rsidRPr="00AA552A">
        <w:rPr>
          <w:rFonts w:cs="Cambria"/>
          <w:color w:val="000000"/>
        </w:rPr>
        <w:t>m</w:t>
      </w:r>
      <w:r w:rsidRPr="00AA552A">
        <w:rPr>
          <w:rFonts w:cs="Cambria"/>
          <w:color w:val="000000"/>
          <w:spacing w:val="-2"/>
        </w:rPr>
        <w:t xml:space="preserve"> </w:t>
      </w:r>
      <w:r w:rsidRPr="00AA552A">
        <w:rPr>
          <w:rFonts w:cs="Cambria"/>
          <w:color w:val="000000"/>
          <w:spacing w:val="-1"/>
        </w:rPr>
        <w:t>y</w:t>
      </w:r>
      <w:r w:rsidRPr="00AA552A">
        <w:rPr>
          <w:rFonts w:cs="Cambria"/>
          <w:color w:val="000000"/>
          <w:spacing w:val="1"/>
        </w:rPr>
        <w:t>ie</w:t>
      </w:r>
      <w:r w:rsidRPr="00AA552A">
        <w:rPr>
          <w:rFonts w:cs="Cambria"/>
          <w:color w:val="000000"/>
        </w:rPr>
        <w:t>ld</w:t>
      </w:r>
      <w:r w:rsidRPr="00AA552A">
        <w:rPr>
          <w:rFonts w:cs="Cambria"/>
          <w:color w:val="000000"/>
          <w:spacing w:val="-5"/>
        </w:rPr>
        <w:t xml:space="preserve"> </w:t>
      </w:r>
      <w:r w:rsidRPr="00AA552A">
        <w:rPr>
          <w:rFonts w:cs="Cambria"/>
          <w:color w:val="000000"/>
        </w:rPr>
        <w:t xml:space="preserve">of </w:t>
      </w:r>
      <w:r w:rsidRPr="00AA552A">
        <w:rPr>
          <w:rFonts w:cs="Cambria"/>
          <w:color w:val="000000"/>
          <w:spacing w:val="-1"/>
        </w:rPr>
        <w:t>z</w:t>
      </w:r>
      <w:r w:rsidRPr="00AA552A">
        <w:rPr>
          <w:rFonts w:cs="Cambria"/>
          <w:color w:val="000000"/>
          <w:spacing w:val="1"/>
        </w:rPr>
        <w:t>e</w:t>
      </w:r>
      <w:r w:rsidRPr="00AA552A">
        <w:rPr>
          <w:rFonts w:cs="Cambria"/>
          <w:color w:val="000000"/>
          <w:spacing w:val="-1"/>
        </w:rPr>
        <w:t>r</w:t>
      </w:r>
      <w:r w:rsidRPr="00AA552A">
        <w:rPr>
          <w:rFonts w:cs="Cambria"/>
          <w:color w:val="000000"/>
        </w:rPr>
        <w:t>o</w:t>
      </w:r>
      <w:r w:rsidRPr="00AA552A">
        <w:rPr>
          <w:rFonts w:cs="Cambria"/>
          <w:color w:val="000000"/>
          <w:spacing w:val="-5"/>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p</w:t>
      </w:r>
      <w:r w:rsidRPr="00AA552A">
        <w:rPr>
          <w:rFonts w:cs="Cambria"/>
          <w:color w:val="000000"/>
          <w:spacing w:val="-1"/>
        </w:rPr>
        <w:t>r</w:t>
      </w:r>
      <w:r w:rsidRPr="00AA552A">
        <w:rPr>
          <w:rFonts w:cs="Cambria"/>
          <w:color w:val="000000"/>
          <w:spacing w:val="2"/>
        </w:rPr>
        <w:t>o</w:t>
      </w:r>
      <w:r w:rsidRPr="00AA552A">
        <w:rPr>
          <w:rFonts w:cs="Cambria"/>
          <w:color w:val="000000"/>
        </w:rPr>
        <w:t>h</w:t>
      </w:r>
      <w:r w:rsidRPr="00AA552A">
        <w:rPr>
          <w:rFonts w:cs="Cambria"/>
          <w:color w:val="000000"/>
          <w:spacing w:val="1"/>
        </w:rPr>
        <w:t>ibi</w:t>
      </w:r>
      <w:r w:rsidRPr="00AA552A">
        <w:rPr>
          <w:rFonts w:cs="Cambria"/>
          <w:color w:val="000000"/>
        </w:rPr>
        <w:t>t</w:t>
      </w:r>
      <w:r w:rsidRPr="00AA552A">
        <w:rPr>
          <w:rFonts w:cs="Cambria"/>
          <w:color w:val="000000"/>
          <w:spacing w:val="1"/>
        </w:rPr>
        <w:t>i</w:t>
      </w:r>
      <w:r w:rsidRPr="00AA552A">
        <w:rPr>
          <w:rFonts w:cs="Cambria"/>
          <w:color w:val="000000"/>
        </w:rPr>
        <w:t>ng</w:t>
      </w:r>
      <w:r w:rsidRPr="00AA552A">
        <w:rPr>
          <w:rFonts w:cs="Cambria"/>
          <w:color w:val="000000"/>
          <w:spacing w:val="-7"/>
        </w:rPr>
        <w:t xml:space="preserve"> </w:t>
      </w:r>
      <w:r w:rsidRPr="00AA552A">
        <w:rPr>
          <w:rFonts w:cs="Cambria"/>
          <w:color w:val="000000"/>
        </w:rPr>
        <w:t>all ha</w:t>
      </w:r>
      <w:r w:rsidRPr="00AA552A">
        <w:rPr>
          <w:rFonts w:cs="Cambria"/>
          <w:color w:val="000000"/>
          <w:spacing w:val="-1"/>
        </w:rPr>
        <w:t>rv</w:t>
      </w:r>
      <w:r w:rsidRPr="00AA552A">
        <w:rPr>
          <w:rFonts w:cs="Cambria"/>
          <w:color w:val="000000"/>
          <w:spacing w:val="1"/>
        </w:rPr>
        <w:t>e</w:t>
      </w:r>
      <w:r w:rsidRPr="00AA552A">
        <w:rPr>
          <w:rFonts w:cs="Cambria"/>
          <w:color w:val="000000"/>
        </w:rPr>
        <w:t>st</w:t>
      </w:r>
      <w:r w:rsidRPr="00AA552A">
        <w:rPr>
          <w:rFonts w:cs="Cambria"/>
          <w:color w:val="000000"/>
          <w:spacing w:val="-6"/>
        </w:rPr>
        <w:t xml:space="preserve"> </w:t>
      </w:r>
      <w:r w:rsidRPr="00AA552A">
        <w:rPr>
          <w:rFonts w:cs="Cambria"/>
          <w:color w:val="000000"/>
        </w:rPr>
        <w:t>or</w:t>
      </w:r>
      <w:r w:rsidRPr="00AA552A">
        <w:rPr>
          <w:rFonts w:cs="Cambria"/>
          <w:color w:val="000000"/>
          <w:spacing w:val="-3"/>
        </w:rPr>
        <w:t xml:space="preserve"> </w:t>
      </w:r>
      <w:r w:rsidRPr="00AA552A">
        <w:rPr>
          <w:rFonts w:cs="Cambria"/>
          <w:color w:val="000000"/>
          <w:spacing w:val="1"/>
        </w:rPr>
        <w:t>p</w:t>
      </w:r>
      <w:r w:rsidRPr="00AA552A">
        <w:rPr>
          <w:rFonts w:cs="Cambria"/>
          <w:color w:val="000000"/>
        </w:rPr>
        <w:t>oss</w:t>
      </w:r>
      <w:r w:rsidRPr="00AA552A">
        <w:rPr>
          <w:rFonts w:cs="Cambria"/>
          <w:color w:val="000000"/>
          <w:spacing w:val="1"/>
        </w:rPr>
        <w:t>e</w:t>
      </w:r>
      <w:r w:rsidRPr="00AA552A">
        <w:rPr>
          <w:rFonts w:cs="Cambria"/>
          <w:color w:val="000000"/>
        </w:rPr>
        <w:t>ss</w:t>
      </w:r>
      <w:r w:rsidRPr="00AA552A">
        <w:rPr>
          <w:rFonts w:cs="Cambria"/>
          <w:color w:val="000000"/>
          <w:spacing w:val="1"/>
        </w:rPr>
        <w:t>i</w:t>
      </w:r>
      <w:r w:rsidRPr="00AA552A">
        <w:rPr>
          <w:rFonts w:cs="Cambria"/>
          <w:color w:val="000000"/>
        </w:rPr>
        <w:t>on</w:t>
      </w:r>
      <w:r w:rsidRPr="00AA552A">
        <w:rPr>
          <w:rFonts w:cs="Cambria"/>
          <w:color w:val="000000"/>
          <w:spacing w:val="-8"/>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th</w:t>
      </w:r>
      <w:r w:rsidRPr="00AA552A">
        <w:rPr>
          <w:rFonts w:cs="Cambria"/>
          <w:color w:val="000000"/>
          <w:spacing w:val="1"/>
        </w:rPr>
        <w:t>e</w:t>
      </w:r>
      <w:r w:rsidRPr="00AA552A">
        <w:rPr>
          <w:rFonts w:cs="Cambria"/>
          <w:color w:val="000000"/>
        </w:rPr>
        <w:t xml:space="preserve">se </w:t>
      </w:r>
      <w:r w:rsidRPr="00AA552A">
        <w:rPr>
          <w:rFonts w:cs="Cambria"/>
          <w:color w:val="000000"/>
          <w:spacing w:val="-1"/>
        </w:rPr>
        <w:t>r</w:t>
      </w:r>
      <w:r w:rsidRPr="00AA552A">
        <w:rPr>
          <w:rFonts w:cs="Cambria"/>
          <w:color w:val="000000"/>
          <w:spacing w:val="1"/>
        </w:rPr>
        <w:t>e</w:t>
      </w:r>
      <w:r w:rsidRPr="00AA552A">
        <w:rPr>
          <w:rFonts w:cs="Cambria"/>
          <w:color w:val="000000"/>
        </w:rPr>
        <w:t>so</w:t>
      </w:r>
      <w:r w:rsidRPr="00AA552A">
        <w:rPr>
          <w:rFonts w:cs="Cambria"/>
          <w:color w:val="000000"/>
          <w:spacing w:val="-1"/>
        </w:rPr>
        <w:t>ur</w:t>
      </w:r>
      <w:r w:rsidRPr="00AA552A">
        <w:rPr>
          <w:rFonts w:cs="Cambria"/>
          <w:color w:val="000000"/>
        </w:rPr>
        <w:t>c</w:t>
      </w:r>
      <w:r w:rsidRPr="00AA552A">
        <w:rPr>
          <w:rFonts w:cs="Cambria"/>
          <w:color w:val="000000"/>
          <w:spacing w:val="1"/>
        </w:rPr>
        <w:t>e</w:t>
      </w:r>
      <w:r w:rsidRPr="00AA552A">
        <w:rPr>
          <w:rFonts w:cs="Cambria"/>
          <w:color w:val="000000"/>
        </w:rPr>
        <w:t>s</w:t>
      </w:r>
      <w:r w:rsidRPr="00AA552A">
        <w:rPr>
          <w:rFonts w:cs="Cambria"/>
          <w:color w:val="000000"/>
          <w:spacing w:val="-9"/>
        </w:rPr>
        <w:t xml:space="preserve"> </w:t>
      </w:r>
      <w:r w:rsidRPr="00AA552A">
        <w:rPr>
          <w:rFonts w:cs="Cambria"/>
          <w:color w:val="000000"/>
          <w:spacing w:val="-1"/>
        </w:rPr>
        <w:t>w</w:t>
      </w:r>
      <w:r w:rsidRPr="00AA552A">
        <w:rPr>
          <w:rFonts w:cs="Cambria"/>
          <w:color w:val="000000"/>
        </w:rPr>
        <w:t>h</w:t>
      </w:r>
      <w:r w:rsidRPr="00AA552A">
        <w:rPr>
          <w:rFonts w:cs="Cambria"/>
          <w:color w:val="000000"/>
          <w:spacing w:val="1"/>
        </w:rPr>
        <w:t>i</w:t>
      </w:r>
      <w:r w:rsidRPr="00AA552A">
        <w:rPr>
          <w:rFonts w:cs="Cambria"/>
          <w:color w:val="000000"/>
        </w:rPr>
        <w:t>ch</w:t>
      </w:r>
      <w:r w:rsidRPr="00AA552A">
        <w:rPr>
          <w:rFonts w:cs="Cambria"/>
          <w:color w:val="000000"/>
          <w:spacing w:val="-4"/>
        </w:rPr>
        <w:t xml:space="preserve"> </w:t>
      </w:r>
      <w:r w:rsidRPr="00AA552A">
        <w:rPr>
          <w:rFonts w:cs="Cambria"/>
          <w:color w:val="000000"/>
        </w:rPr>
        <w:t>s</w:t>
      </w:r>
      <w:r w:rsidRPr="00AA552A">
        <w:rPr>
          <w:rFonts w:cs="Cambria"/>
          <w:color w:val="000000"/>
          <w:spacing w:val="1"/>
        </w:rPr>
        <w:t>e</w:t>
      </w:r>
      <w:r w:rsidRPr="00AA552A">
        <w:rPr>
          <w:rFonts w:cs="Cambria"/>
          <w:color w:val="000000"/>
          <w:spacing w:val="2"/>
        </w:rPr>
        <w:t>r</w:t>
      </w:r>
      <w:r w:rsidRPr="00AA552A">
        <w:rPr>
          <w:rFonts w:cs="Cambria"/>
          <w:color w:val="000000"/>
          <w:spacing w:val="-1"/>
        </w:rPr>
        <w:t>v</w:t>
      </w:r>
      <w:r w:rsidRPr="00AA552A">
        <w:rPr>
          <w:rFonts w:cs="Cambria"/>
          <w:color w:val="000000"/>
        </w:rPr>
        <w:t>e</w:t>
      </w:r>
      <w:r w:rsidRPr="00AA552A">
        <w:rPr>
          <w:rFonts w:cs="Cambria"/>
          <w:color w:val="000000"/>
          <w:spacing w:val="-3"/>
        </w:rPr>
        <w:t xml:space="preserve"> </w:t>
      </w:r>
      <w:r w:rsidRPr="00AA552A">
        <w:rPr>
          <w:rFonts w:cs="Cambria"/>
          <w:color w:val="000000"/>
        </w:rPr>
        <w:t>as</w:t>
      </w:r>
      <w:r w:rsidRPr="00AA552A">
        <w:rPr>
          <w:rFonts w:cs="Cambria"/>
          <w:color w:val="000000"/>
          <w:spacing w:val="-1"/>
        </w:rPr>
        <w:t xml:space="preserve"> </w:t>
      </w: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nt</w:t>
      </w:r>
      <w:r w:rsidRPr="00AA552A">
        <w:rPr>
          <w:rFonts w:cs="Cambria"/>
          <w:color w:val="000000"/>
          <w:spacing w:val="1"/>
        </w:rPr>
        <w:t>i</w:t>
      </w:r>
      <w:r w:rsidRPr="00AA552A">
        <w:rPr>
          <w:rFonts w:cs="Cambria"/>
          <w:color w:val="000000"/>
        </w:rPr>
        <w:t>al</w:t>
      </w:r>
      <w:r w:rsidRPr="00AA552A">
        <w:rPr>
          <w:rFonts w:cs="Cambria"/>
          <w:color w:val="000000"/>
          <w:spacing w:val="-5"/>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4"/>
        </w:rPr>
        <w:t xml:space="preserve"> </w:t>
      </w:r>
      <w:r w:rsidRPr="00AA552A">
        <w:rPr>
          <w:rFonts w:cs="Cambria"/>
          <w:color w:val="000000"/>
        </w:rPr>
        <w:t>ha</w:t>
      </w:r>
      <w:r w:rsidRPr="00AA552A">
        <w:rPr>
          <w:rFonts w:cs="Cambria"/>
          <w:color w:val="000000"/>
          <w:spacing w:val="1"/>
        </w:rPr>
        <w:t>b</w:t>
      </w:r>
      <w:r w:rsidRPr="00AA552A">
        <w:rPr>
          <w:rFonts w:cs="Cambria"/>
          <w:color w:val="000000"/>
          <w:spacing w:val="-2"/>
        </w:rPr>
        <w:t>i</w:t>
      </w:r>
      <w:r w:rsidRPr="00AA552A">
        <w:rPr>
          <w:rFonts w:cs="Cambria"/>
          <w:color w:val="000000"/>
        </w:rPr>
        <w:t>tat</w:t>
      </w:r>
      <w:r w:rsidRPr="00AA552A">
        <w:rPr>
          <w:rFonts w:cs="Cambria"/>
          <w:color w:val="000000"/>
          <w:spacing w:val="-4"/>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many</w:t>
      </w:r>
      <w:r w:rsidRPr="00AA552A">
        <w:rPr>
          <w:rFonts w:cs="Cambria"/>
          <w:color w:val="000000"/>
          <w:spacing w:val="-2"/>
        </w:rPr>
        <w:t xml:space="preserve"> </w:t>
      </w:r>
      <w:r w:rsidRPr="00AA552A">
        <w:rPr>
          <w:rFonts w:cs="Cambria"/>
          <w:color w:val="000000"/>
        </w:rPr>
        <w:t>mana</w:t>
      </w:r>
      <w:r w:rsidRPr="00AA552A">
        <w:rPr>
          <w:rFonts w:cs="Cambria"/>
          <w:color w:val="000000"/>
          <w:spacing w:val="-1"/>
        </w:rPr>
        <w:t>g</w:t>
      </w:r>
      <w:r w:rsidRPr="00AA552A">
        <w:rPr>
          <w:rFonts w:cs="Cambria"/>
          <w:color w:val="000000"/>
          <w:spacing w:val="1"/>
        </w:rPr>
        <w:t>e</w:t>
      </w:r>
      <w:r w:rsidRPr="00AA552A">
        <w:rPr>
          <w:rFonts w:cs="Cambria"/>
          <w:color w:val="000000"/>
        </w:rPr>
        <w:t>d</w:t>
      </w:r>
      <w:r w:rsidRPr="00AA552A">
        <w:rPr>
          <w:rFonts w:cs="Cambria"/>
          <w:color w:val="000000"/>
          <w:spacing w:val="-3"/>
        </w:rPr>
        <w:t xml:space="preserve"> </w:t>
      </w:r>
      <w:r w:rsidRPr="00AA552A">
        <w:rPr>
          <w:rFonts w:cs="Cambria"/>
          <w:color w:val="000000"/>
        </w:rPr>
        <w:t>s</w:t>
      </w:r>
      <w:r w:rsidRPr="00AA552A">
        <w:rPr>
          <w:rFonts w:cs="Cambria"/>
          <w:color w:val="000000"/>
          <w:spacing w:val="1"/>
        </w:rPr>
        <w:t>pe</w:t>
      </w:r>
      <w:r w:rsidRPr="00AA552A">
        <w:rPr>
          <w:rFonts w:cs="Cambria"/>
          <w:color w:val="000000"/>
        </w:rPr>
        <w:t>c</w:t>
      </w:r>
      <w:r w:rsidRPr="00AA552A">
        <w:rPr>
          <w:rFonts w:cs="Cambria"/>
          <w:color w:val="000000"/>
          <w:spacing w:val="1"/>
        </w:rPr>
        <w:t>ie</w:t>
      </w:r>
      <w:r w:rsidRPr="00AA552A">
        <w:rPr>
          <w:rFonts w:cs="Cambria"/>
          <w:color w:val="000000"/>
        </w:rPr>
        <w:t>s.</w:t>
      </w:r>
    </w:p>
    <w:p w14:paraId="5F4770C0" w14:textId="77777777" w:rsidR="00DC4922" w:rsidRPr="00AA552A" w:rsidRDefault="00DC4922" w:rsidP="00DC4922">
      <w:pPr>
        <w:rPr>
          <w:rFonts w:cs="Cambria"/>
          <w:color w:val="000000"/>
        </w:rPr>
      </w:pPr>
      <w:r w:rsidRPr="00AA552A">
        <w:rPr>
          <w:color w:val="000000"/>
          <w:w w:val="131"/>
        </w:rPr>
        <w:t>•</w:t>
      </w:r>
      <w:r w:rsidRPr="00AA552A">
        <w:rPr>
          <w:color w:val="000000"/>
        </w:rPr>
        <w:tab/>
      </w:r>
      <w:r w:rsidRPr="00AA552A">
        <w:rPr>
          <w:rFonts w:cs="Cambria"/>
          <w:color w:val="000000"/>
        </w:rPr>
        <w:t>D</w:t>
      </w:r>
      <w:r w:rsidRPr="00AA552A">
        <w:rPr>
          <w:rFonts w:cs="Cambria"/>
          <w:color w:val="000000"/>
          <w:spacing w:val="1"/>
        </w:rPr>
        <w:t>e</w:t>
      </w:r>
      <w:r w:rsidRPr="00AA552A">
        <w:rPr>
          <w:rFonts w:cs="Cambria"/>
          <w:color w:val="000000"/>
        </w:rPr>
        <w:t>s</w:t>
      </w:r>
      <w:r w:rsidRPr="00AA552A">
        <w:rPr>
          <w:rFonts w:cs="Cambria"/>
          <w:color w:val="000000"/>
          <w:spacing w:val="1"/>
        </w:rPr>
        <w:t>i</w:t>
      </w:r>
      <w:r w:rsidRPr="00AA552A">
        <w:rPr>
          <w:rFonts w:cs="Cambria"/>
          <w:color w:val="000000"/>
          <w:spacing w:val="-1"/>
        </w:rPr>
        <w:t>g</w:t>
      </w:r>
      <w:r w:rsidRPr="00AA552A">
        <w:rPr>
          <w:rFonts w:cs="Cambria"/>
          <w:color w:val="000000"/>
        </w:rPr>
        <w:t>nat</w:t>
      </w:r>
      <w:r w:rsidRPr="00AA552A">
        <w:rPr>
          <w:rFonts w:cs="Cambria"/>
          <w:color w:val="000000"/>
          <w:spacing w:val="1"/>
        </w:rPr>
        <w:t>e</w:t>
      </w:r>
      <w:r w:rsidRPr="00AA552A">
        <w:rPr>
          <w:rFonts w:cs="Cambria"/>
          <w:color w:val="000000"/>
        </w:rPr>
        <w:t>d</w:t>
      </w:r>
      <w:r w:rsidRPr="00AA552A">
        <w:rPr>
          <w:rFonts w:cs="Cambria"/>
          <w:color w:val="000000"/>
          <w:spacing w:val="-8"/>
        </w:rPr>
        <w:t xml:space="preserve"> </w:t>
      </w:r>
      <w:r w:rsidRPr="00AA552A">
        <w:rPr>
          <w:rFonts w:cs="Cambria"/>
          <w:color w:val="000000"/>
        </w:rPr>
        <w:t>the</w:t>
      </w:r>
      <w:r w:rsidRPr="00AA552A">
        <w:rPr>
          <w:rFonts w:cs="Cambria"/>
          <w:color w:val="000000"/>
          <w:spacing w:val="-1"/>
        </w:rPr>
        <w:t xml:space="preserve"> </w:t>
      </w:r>
      <w:r w:rsidRPr="00AA552A">
        <w:rPr>
          <w:rFonts w:cs="Cambria"/>
          <w:i/>
          <w:iCs/>
          <w:color w:val="000000"/>
        </w:rPr>
        <w:t>O</w:t>
      </w:r>
      <w:r w:rsidRPr="00AA552A">
        <w:rPr>
          <w:rFonts w:cs="Cambria"/>
          <w:i/>
          <w:iCs/>
          <w:color w:val="000000"/>
          <w:spacing w:val="-1"/>
        </w:rPr>
        <w:t>c</w:t>
      </w:r>
      <w:r w:rsidRPr="00AA552A">
        <w:rPr>
          <w:rFonts w:cs="Cambria"/>
          <w:i/>
          <w:iCs/>
          <w:color w:val="000000"/>
          <w:spacing w:val="1"/>
        </w:rPr>
        <w:t>ul</w:t>
      </w:r>
      <w:r w:rsidRPr="00AA552A">
        <w:rPr>
          <w:rFonts w:cs="Cambria"/>
          <w:i/>
          <w:iCs/>
          <w:color w:val="000000"/>
        </w:rPr>
        <w:t>i</w:t>
      </w:r>
      <w:r w:rsidRPr="00AA552A">
        <w:rPr>
          <w:rFonts w:cs="Cambria"/>
          <w:i/>
          <w:iCs/>
          <w:color w:val="000000"/>
          <w:spacing w:val="1"/>
        </w:rPr>
        <w:t>n</w:t>
      </w:r>
      <w:r w:rsidRPr="00AA552A">
        <w:rPr>
          <w:rFonts w:cs="Cambria"/>
          <w:i/>
          <w:iCs/>
          <w:color w:val="000000"/>
        </w:rPr>
        <w:t>a</w:t>
      </w:r>
      <w:r w:rsidRPr="00AA552A">
        <w:rPr>
          <w:rFonts w:cs="Cambria"/>
          <w:i/>
          <w:iCs/>
          <w:color w:val="000000"/>
          <w:spacing w:val="-3"/>
        </w:rPr>
        <w:t xml:space="preserve"> </w:t>
      </w:r>
      <w:r w:rsidRPr="00AA552A">
        <w:rPr>
          <w:rFonts w:cs="Cambria"/>
          <w:color w:val="000000"/>
        </w:rPr>
        <w:t>Bank</w:t>
      </w:r>
      <w:r w:rsidRPr="00AA552A">
        <w:rPr>
          <w:rFonts w:cs="Cambria"/>
          <w:color w:val="000000"/>
          <w:spacing w:val="-1"/>
        </w:rPr>
        <w:t xml:space="preserve"> </w:t>
      </w:r>
      <w:r w:rsidRPr="00AA552A">
        <w:rPr>
          <w:rFonts w:cs="Cambria"/>
          <w:color w:val="000000"/>
          <w:spacing w:val="1"/>
        </w:rPr>
        <w:t>H</w:t>
      </w:r>
      <w:r w:rsidRPr="00AA552A">
        <w:rPr>
          <w:rFonts w:cs="Cambria"/>
          <w:color w:val="000000"/>
        </w:rPr>
        <w:t>a</w:t>
      </w:r>
      <w:r w:rsidRPr="00AA552A">
        <w:rPr>
          <w:rFonts w:cs="Cambria"/>
          <w:color w:val="000000"/>
          <w:spacing w:val="-2"/>
        </w:rPr>
        <w:t>b</w:t>
      </w:r>
      <w:r w:rsidRPr="00AA552A">
        <w:rPr>
          <w:rFonts w:cs="Cambria"/>
          <w:color w:val="000000"/>
          <w:spacing w:val="1"/>
        </w:rPr>
        <w:t>i</w:t>
      </w:r>
      <w:r w:rsidRPr="00AA552A">
        <w:rPr>
          <w:rFonts w:cs="Cambria"/>
          <w:color w:val="000000"/>
        </w:rPr>
        <w:t>tat</w:t>
      </w:r>
      <w:r w:rsidRPr="00AA552A">
        <w:rPr>
          <w:rFonts w:cs="Cambria"/>
          <w:color w:val="000000"/>
          <w:spacing w:val="-2"/>
        </w:rPr>
        <w:t xml:space="preserve"> </w:t>
      </w:r>
      <w:r w:rsidRPr="00AA552A">
        <w:rPr>
          <w:rFonts w:cs="Cambria"/>
          <w:color w:val="000000"/>
          <w:spacing w:val="-1"/>
        </w:rPr>
        <w:t>Ar</w:t>
      </w:r>
      <w:r w:rsidRPr="00AA552A">
        <w:rPr>
          <w:rFonts w:cs="Cambria"/>
          <w:color w:val="000000"/>
          <w:spacing w:val="1"/>
        </w:rPr>
        <w:t>e</w:t>
      </w:r>
      <w:r w:rsidRPr="00AA552A">
        <w:rPr>
          <w:rFonts w:cs="Cambria"/>
          <w:color w:val="000000"/>
        </w:rPr>
        <w:t>a</w:t>
      </w:r>
      <w:r w:rsidRPr="00AA552A">
        <w:rPr>
          <w:rFonts w:cs="Cambria"/>
          <w:color w:val="000000"/>
          <w:spacing w:val="-2"/>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P</w:t>
      </w:r>
      <w:r w:rsidRPr="00AA552A">
        <w:rPr>
          <w:rFonts w:cs="Cambria"/>
          <w:color w:val="000000"/>
        </w:rPr>
        <w:t>a</w:t>
      </w:r>
      <w:r w:rsidRPr="00AA552A">
        <w:rPr>
          <w:rFonts w:cs="Cambria"/>
          <w:color w:val="000000"/>
          <w:spacing w:val="-1"/>
        </w:rPr>
        <w:t>r</w:t>
      </w:r>
      <w:r w:rsidRPr="00AA552A">
        <w:rPr>
          <w:rFonts w:cs="Cambria"/>
          <w:color w:val="000000"/>
        </w:rPr>
        <w:t>t</w:t>
      </w:r>
      <w:r w:rsidRPr="00AA552A">
        <w:rPr>
          <w:rFonts w:cs="Cambria"/>
          <w:color w:val="000000"/>
          <w:spacing w:val="1"/>
        </w:rPr>
        <w:t>i</w:t>
      </w:r>
      <w:r w:rsidRPr="00AA552A">
        <w:rPr>
          <w:rFonts w:cs="Cambria"/>
          <w:color w:val="000000"/>
        </w:rPr>
        <w:t>c</w:t>
      </w:r>
      <w:r w:rsidRPr="00AA552A">
        <w:rPr>
          <w:rFonts w:cs="Cambria"/>
          <w:color w:val="000000"/>
          <w:spacing w:val="-1"/>
        </w:rPr>
        <w:t>u</w:t>
      </w:r>
      <w:r w:rsidRPr="00AA552A">
        <w:rPr>
          <w:rFonts w:cs="Cambria"/>
          <w:color w:val="000000"/>
        </w:rPr>
        <w:t>lar</w:t>
      </w:r>
      <w:r w:rsidRPr="00AA552A">
        <w:rPr>
          <w:rFonts w:cs="Cambria"/>
          <w:color w:val="000000"/>
          <w:spacing w:val="-6"/>
        </w:rPr>
        <w:t xml:space="preserve"> </w:t>
      </w:r>
      <w:r w:rsidRPr="00AA552A">
        <w:rPr>
          <w:rFonts w:cs="Cambria"/>
          <w:color w:val="000000"/>
          <w:spacing w:val="-1"/>
        </w:rPr>
        <w:t>C</w:t>
      </w:r>
      <w:r w:rsidRPr="00AA552A">
        <w:rPr>
          <w:rFonts w:cs="Cambria"/>
          <w:color w:val="000000"/>
        </w:rPr>
        <w:t>onc</w:t>
      </w:r>
      <w:r w:rsidRPr="00AA552A">
        <w:rPr>
          <w:rFonts w:cs="Cambria"/>
          <w:color w:val="000000"/>
          <w:spacing w:val="1"/>
        </w:rPr>
        <w:t>e</w:t>
      </w:r>
      <w:r w:rsidRPr="00AA552A">
        <w:rPr>
          <w:rFonts w:cs="Cambria"/>
          <w:color w:val="000000"/>
          <w:spacing w:val="-1"/>
        </w:rPr>
        <w:t>r</w:t>
      </w:r>
      <w:r w:rsidRPr="00AA552A">
        <w:rPr>
          <w:rFonts w:cs="Cambria"/>
          <w:color w:val="000000"/>
        </w:rPr>
        <w:t>n</w:t>
      </w:r>
      <w:r>
        <w:rPr>
          <w:rFonts w:cs="Cambria"/>
          <w:color w:val="000000"/>
        </w:rPr>
        <w:t>.</w:t>
      </w:r>
    </w:p>
    <w:p w14:paraId="52BD694A" w14:textId="77777777" w:rsidR="00DC4922" w:rsidRPr="00AA552A" w:rsidRDefault="00DC4922" w:rsidP="00DC4922">
      <w:pPr>
        <w:rPr>
          <w:rFonts w:cs="Cambria"/>
          <w:color w:val="000000"/>
        </w:rPr>
      </w:pPr>
      <w:r w:rsidRPr="00AA552A">
        <w:rPr>
          <w:color w:val="000000"/>
          <w:w w:val="131"/>
        </w:rPr>
        <w:t>•</w:t>
      </w:r>
      <w:r w:rsidRPr="00AA552A">
        <w:rPr>
          <w:color w:val="000000"/>
        </w:rPr>
        <w:tab/>
      </w:r>
      <w:r w:rsidRPr="00AA552A">
        <w:rPr>
          <w:rFonts w:cs="Cambria"/>
          <w:color w:val="000000"/>
          <w:spacing w:val="1"/>
        </w:rPr>
        <w:t>E</w:t>
      </w:r>
      <w:r w:rsidRPr="00AA552A">
        <w:rPr>
          <w:rFonts w:cs="Cambria"/>
          <w:color w:val="000000"/>
          <w:spacing w:val="-1"/>
        </w:rPr>
        <w:t>x</w:t>
      </w:r>
      <w:r w:rsidRPr="00AA552A">
        <w:rPr>
          <w:rFonts w:cs="Cambria"/>
          <w:color w:val="000000"/>
          <w:spacing w:val="1"/>
        </w:rPr>
        <w:t>p</w:t>
      </w:r>
      <w:r w:rsidRPr="00AA552A">
        <w:rPr>
          <w:rFonts w:cs="Cambria"/>
          <w:color w:val="000000"/>
        </w:rPr>
        <w:t>an</w:t>
      </w:r>
      <w:r w:rsidRPr="00AA552A">
        <w:rPr>
          <w:rFonts w:cs="Cambria"/>
          <w:color w:val="000000"/>
          <w:spacing w:val="-1"/>
        </w:rPr>
        <w:t>d</w:t>
      </w:r>
      <w:r w:rsidRPr="00AA552A">
        <w:rPr>
          <w:rFonts w:cs="Cambria"/>
          <w:color w:val="000000"/>
          <w:spacing w:val="1"/>
        </w:rPr>
        <w:t>e</w:t>
      </w:r>
      <w:r w:rsidRPr="00AA552A">
        <w:rPr>
          <w:rFonts w:cs="Cambria"/>
          <w:color w:val="000000"/>
        </w:rPr>
        <w:t>d</w:t>
      </w:r>
      <w:r w:rsidRPr="00AA552A">
        <w:rPr>
          <w:rFonts w:cs="Cambria"/>
          <w:color w:val="000000"/>
          <w:spacing w:val="-5"/>
        </w:rPr>
        <w:t xml:space="preserve"> </w:t>
      </w:r>
      <w:r w:rsidRPr="00AA552A">
        <w:rPr>
          <w:rFonts w:cs="Cambria"/>
          <w:color w:val="000000"/>
        </w:rPr>
        <w:t>the</w:t>
      </w:r>
      <w:r w:rsidRPr="00AA552A">
        <w:rPr>
          <w:rFonts w:cs="Cambria"/>
          <w:color w:val="000000"/>
          <w:spacing w:val="-1"/>
        </w:rPr>
        <w:t xml:space="preserve"> </w:t>
      </w:r>
      <w:r w:rsidRPr="00AA552A">
        <w:rPr>
          <w:rFonts w:cs="Cambria"/>
          <w:i/>
          <w:iCs/>
          <w:color w:val="000000"/>
        </w:rPr>
        <w:t>O</w:t>
      </w:r>
      <w:r w:rsidRPr="00AA552A">
        <w:rPr>
          <w:rFonts w:cs="Cambria"/>
          <w:i/>
          <w:iCs/>
          <w:color w:val="000000"/>
          <w:spacing w:val="-1"/>
        </w:rPr>
        <w:t>c</w:t>
      </w:r>
      <w:r w:rsidRPr="00AA552A">
        <w:rPr>
          <w:rFonts w:cs="Cambria"/>
          <w:i/>
          <w:iCs/>
          <w:color w:val="000000"/>
          <w:spacing w:val="1"/>
        </w:rPr>
        <w:t>ul</w:t>
      </w:r>
      <w:r w:rsidRPr="00AA552A">
        <w:rPr>
          <w:rFonts w:cs="Cambria"/>
          <w:i/>
          <w:iCs/>
          <w:color w:val="000000"/>
        </w:rPr>
        <w:t>i</w:t>
      </w:r>
      <w:r w:rsidRPr="00AA552A">
        <w:rPr>
          <w:rFonts w:cs="Cambria"/>
          <w:i/>
          <w:iCs/>
          <w:color w:val="000000"/>
          <w:spacing w:val="1"/>
        </w:rPr>
        <w:t>n</w:t>
      </w:r>
      <w:r w:rsidRPr="00AA552A">
        <w:rPr>
          <w:rFonts w:cs="Cambria"/>
          <w:i/>
          <w:iCs/>
          <w:color w:val="000000"/>
        </w:rPr>
        <w:t>a</w:t>
      </w:r>
      <w:r w:rsidRPr="00AA552A">
        <w:rPr>
          <w:rFonts w:cs="Cambria"/>
          <w:i/>
          <w:iCs/>
          <w:color w:val="000000"/>
          <w:spacing w:val="-3"/>
        </w:rPr>
        <w:t xml:space="preserve"> </w:t>
      </w:r>
      <w:r w:rsidRPr="00AA552A">
        <w:rPr>
          <w:rFonts w:cs="Cambria"/>
          <w:color w:val="000000"/>
          <w:spacing w:val="-3"/>
        </w:rPr>
        <w:t>B</w:t>
      </w:r>
      <w:r w:rsidRPr="00AA552A">
        <w:rPr>
          <w:rFonts w:cs="Cambria"/>
          <w:color w:val="000000"/>
        </w:rPr>
        <w:t>ank</w:t>
      </w:r>
      <w:r w:rsidRPr="00AA552A">
        <w:rPr>
          <w:rFonts w:cs="Cambria"/>
          <w:color w:val="000000"/>
          <w:spacing w:val="-1"/>
        </w:rPr>
        <w:t xml:space="preserve"> </w:t>
      </w:r>
      <w:r w:rsidRPr="00AA552A">
        <w:rPr>
          <w:rFonts w:cs="Cambria"/>
          <w:color w:val="000000"/>
          <w:spacing w:val="1"/>
        </w:rPr>
        <w:t>H</w:t>
      </w:r>
      <w:r w:rsidRPr="00AA552A">
        <w:rPr>
          <w:rFonts w:cs="Cambria"/>
          <w:color w:val="000000"/>
        </w:rPr>
        <w:t>a</w:t>
      </w:r>
      <w:r w:rsidRPr="00AA552A">
        <w:rPr>
          <w:rFonts w:cs="Cambria"/>
          <w:color w:val="000000"/>
          <w:spacing w:val="1"/>
        </w:rPr>
        <w:t>bi</w:t>
      </w:r>
      <w:r w:rsidRPr="00AA552A">
        <w:rPr>
          <w:rFonts w:cs="Cambria"/>
          <w:color w:val="000000"/>
        </w:rPr>
        <w:t>tat</w:t>
      </w:r>
      <w:r w:rsidRPr="00AA552A">
        <w:rPr>
          <w:rFonts w:cs="Cambria"/>
          <w:color w:val="000000"/>
          <w:spacing w:val="-2"/>
        </w:rPr>
        <w:t xml:space="preserve"> </w:t>
      </w:r>
      <w:r w:rsidRPr="00AA552A">
        <w:rPr>
          <w:rFonts w:cs="Cambria"/>
          <w:color w:val="000000"/>
          <w:spacing w:val="-1"/>
        </w:rPr>
        <w:t>Ar</w:t>
      </w:r>
      <w:r w:rsidRPr="00AA552A">
        <w:rPr>
          <w:rFonts w:cs="Cambria"/>
          <w:color w:val="000000"/>
          <w:spacing w:val="1"/>
        </w:rPr>
        <w:t>e</w:t>
      </w:r>
      <w:r w:rsidRPr="00AA552A">
        <w:rPr>
          <w:rFonts w:cs="Cambria"/>
          <w:color w:val="000000"/>
        </w:rPr>
        <w:t>a</w:t>
      </w:r>
      <w:r w:rsidRPr="00AA552A">
        <w:rPr>
          <w:rFonts w:cs="Cambria"/>
          <w:color w:val="000000"/>
          <w:spacing w:val="-2"/>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spacing w:val="1"/>
        </w:rPr>
        <w:t>P</w:t>
      </w:r>
      <w:r w:rsidRPr="00AA552A">
        <w:rPr>
          <w:rFonts w:cs="Cambria"/>
          <w:color w:val="000000"/>
        </w:rPr>
        <w:t>a</w:t>
      </w:r>
      <w:r w:rsidRPr="00AA552A">
        <w:rPr>
          <w:rFonts w:cs="Cambria"/>
          <w:color w:val="000000"/>
          <w:spacing w:val="-3"/>
        </w:rPr>
        <w:t>r</w:t>
      </w:r>
      <w:r w:rsidRPr="00AA552A">
        <w:rPr>
          <w:rFonts w:cs="Cambria"/>
          <w:color w:val="000000"/>
        </w:rPr>
        <w:t>t</w:t>
      </w:r>
      <w:r w:rsidRPr="00AA552A">
        <w:rPr>
          <w:rFonts w:cs="Cambria"/>
          <w:color w:val="000000"/>
          <w:spacing w:val="1"/>
        </w:rPr>
        <w:t>i</w:t>
      </w:r>
      <w:r w:rsidRPr="00AA552A">
        <w:rPr>
          <w:rFonts w:cs="Cambria"/>
          <w:color w:val="000000"/>
        </w:rPr>
        <w:t>c</w:t>
      </w:r>
      <w:r w:rsidRPr="00AA552A">
        <w:rPr>
          <w:rFonts w:cs="Cambria"/>
          <w:color w:val="000000"/>
          <w:spacing w:val="-1"/>
        </w:rPr>
        <w:t>u</w:t>
      </w:r>
      <w:r w:rsidRPr="00AA552A">
        <w:rPr>
          <w:rFonts w:cs="Cambria"/>
          <w:color w:val="000000"/>
        </w:rPr>
        <w:t>lar</w:t>
      </w:r>
      <w:r w:rsidRPr="00AA552A">
        <w:rPr>
          <w:rFonts w:cs="Cambria"/>
          <w:color w:val="000000"/>
          <w:spacing w:val="-6"/>
        </w:rPr>
        <w:t xml:space="preserve"> </w:t>
      </w:r>
      <w:r w:rsidRPr="00AA552A">
        <w:rPr>
          <w:rFonts w:cs="Cambria"/>
          <w:color w:val="000000"/>
          <w:spacing w:val="-1"/>
        </w:rPr>
        <w:t>C</w:t>
      </w:r>
      <w:r w:rsidRPr="00AA552A">
        <w:rPr>
          <w:rFonts w:cs="Cambria"/>
          <w:color w:val="000000"/>
        </w:rPr>
        <w:t>onc</w:t>
      </w:r>
      <w:r w:rsidRPr="00AA552A">
        <w:rPr>
          <w:rFonts w:cs="Cambria"/>
          <w:color w:val="000000"/>
          <w:spacing w:val="1"/>
        </w:rPr>
        <w:t>e</w:t>
      </w:r>
      <w:r w:rsidRPr="00AA552A">
        <w:rPr>
          <w:rFonts w:cs="Cambria"/>
          <w:color w:val="000000"/>
          <w:spacing w:val="-1"/>
        </w:rPr>
        <w:t>r</w:t>
      </w:r>
      <w:r w:rsidRPr="00AA552A">
        <w:rPr>
          <w:rFonts w:cs="Cambria"/>
          <w:color w:val="000000"/>
        </w:rPr>
        <w:t>n</w:t>
      </w:r>
      <w:r w:rsidRPr="00AA552A">
        <w:rPr>
          <w:rFonts w:cs="Cambria"/>
          <w:color w:val="000000"/>
          <w:spacing w:val="-6"/>
        </w:rPr>
        <w:t xml:space="preserve"> </w:t>
      </w:r>
      <w:r w:rsidRPr="00AA552A">
        <w:rPr>
          <w:rFonts w:cs="Cambria"/>
          <w:color w:val="000000"/>
        </w:rPr>
        <w:t>(</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w:t>
      </w:r>
      <w:r w:rsidRPr="00AA552A">
        <w:rPr>
          <w:rFonts w:cs="Cambria"/>
          <w:color w:val="000000"/>
          <w:spacing w:val="-4"/>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an a</w:t>
      </w:r>
      <w:r w:rsidRPr="00AA552A">
        <w:rPr>
          <w:rFonts w:cs="Cambria"/>
          <w:color w:val="000000"/>
          <w:spacing w:val="-1"/>
        </w:rPr>
        <w:t>r</w:t>
      </w:r>
      <w:r w:rsidRPr="00AA552A">
        <w:rPr>
          <w:rFonts w:cs="Cambria"/>
          <w:color w:val="000000"/>
          <w:spacing w:val="1"/>
        </w:rPr>
        <w:t>e</w:t>
      </w:r>
      <w:r w:rsidRPr="00AA552A">
        <w:rPr>
          <w:rFonts w:cs="Cambria"/>
          <w:color w:val="000000"/>
        </w:rPr>
        <w:t>a</w:t>
      </w:r>
      <w:r w:rsidRPr="00AA552A">
        <w:rPr>
          <w:rFonts w:cs="Cambria"/>
          <w:color w:val="000000"/>
          <w:spacing w:val="-2"/>
        </w:rPr>
        <w:t xml:space="preserve"> </w:t>
      </w:r>
      <w:r w:rsidRPr="00AA552A">
        <w:rPr>
          <w:rFonts w:cs="Cambria"/>
          <w:color w:val="000000"/>
          <w:spacing w:val="1"/>
        </w:rPr>
        <w:t>b</w:t>
      </w:r>
      <w:r w:rsidRPr="00AA552A">
        <w:rPr>
          <w:rFonts w:cs="Cambria"/>
          <w:color w:val="000000"/>
        </w:rPr>
        <w:t>o</w:t>
      </w:r>
      <w:r w:rsidRPr="00AA552A">
        <w:rPr>
          <w:rFonts w:cs="Cambria"/>
          <w:color w:val="000000"/>
          <w:spacing w:val="-1"/>
        </w:rPr>
        <w:t>u</w:t>
      </w:r>
      <w:r w:rsidRPr="00AA552A">
        <w:rPr>
          <w:rFonts w:cs="Cambria"/>
          <w:color w:val="000000"/>
        </w:rPr>
        <w:t>n</w:t>
      </w:r>
      <w:r w:rsidRPr="00AA552A">
        <w:rPr>
          <w:rFonts w:cs="Cambria"/>
          <w:color w:val="000000"/>
          <w:spacing w:val="-1"/>
        </w:rPr>
        <w:t>d</w:t>
      </w:r>
      <w:r w:rsidRPr="00AA552A">
        <w:rPr>
          <w:rFonts w:cs="Cambria"/>
          <w:color w:val="000000"/>
          <w:spacing w:val="1"/>
        </w:rPr>
        <w:t>e</w:t>
      </w:r>
      <w:r w:rsidRPr="00AA552A">
        <w:rPr>
          <w:rFonts w:cs="Cambria"/>
          <w:color w:val="000000"/>
        </w:rPr>
        <w:t>d</w:t>
      </w:r>
      <w:r w:rsidRPr="00AA552A">
        <w:rPr>
          <w:rFonts w:cs="Cambria"/>
          <w:color w:val="000000"/>
          <w:spacing w:val="-6"/>
        </w:rPr>
        <w:t xml:space="preserve"> </w:t>
      </w:r>
      <w:r w:rsidRPr="00AA552A">
        <w:rPr>
          <w:rFonts w:cs="Cambria"/>
          <w:color w:val="000000"/>
        </w:rPr>
        <w:t>to the</w:t>
      </w:r>
      <w:r w:rsidRPr="00AA552A">
        <w:rPr>
          <w:rFonts w:cs="Cambria"/>
          <w:color w:val="000000"/>
          <w:spacing w:val="-1"/>
        </w:rPr>
        <w:t xml:space="preserve"> w</w:t>
      </w:r>
      <w:r w:rsidRPr="00AA552A">
        <w:rPr>
          <w:rFonts w:cs="Cambria"/>
          <w:color w:val="000000"/>
          <w:spacing w:val="1"/>
        </w:rPr>
        <w:t>e</w:t>
      </w:r>
      <w:r w:rsidRPr="00AA552A">
        <w:rPr>
          <w:rFonts w:cs="Cambria"/>
          <w:color w:val="000000"/>
        </w:rPr>
        <w:t>st</w:t>
      </w:r>
      <w:r w:rsidRPr="00AA552A">
        <w:rPr>
          <w:rFonts w:cs="Cambria"/>
          <w:color w:val="000000"/>
          <w:spacing w:val="-2"/>
        </w:rPr>
        <w:t xml:space="preserve"> </w:t>
      </w:r>
      <w:r w:rsidRPr="00AA552A">
        <w:rPr>
          <w:rFonts w:cs="Cambria"/>
          <w:color w:val="000000"/>
          <w:spacing w:val="1"/>
        </w:rPr>
        <w:t>b</w:t>
      </w:r>
      <w:r w:rsidRPr="00AA552A">
        <w:rPr>
          <w:rFonts w:cs="Cambria"/>
          <w:color w:val="000000"/>
        </w:rPr>
        <w:t>y</w:t>
      </w:r>
      <w:r w:rsidRPr="00AA552A">
        <w:rPr>
          <w:rFonts w:cs="Cambria"/>
          <w:color w:val="000000"/>
          <w:spacing w:val="-2"/>
        </w:rPr>
        <w:t xml:space="preserve"> </w:t>
      </w:r>
      <w:r w:rsidRPr="00AA552A">
        <w:rPr>
          <w:rFonts w:cs="Cambria"/>
          <w:color w:val="000000"/>
          <w:spacing w:val="-1"/>
        </w:rPr>
        <w:t>80</w:t>
      </w:r>
      <w:r w:rsidRPr="00AA552A">
        <w:rPr>
          <w:rFonts w:cs="Cambria"/>
          <w:color w:val="000000"/>
          <w:spacing w:val="1"/>
        </w:rPr>
        <w:t>°</w:t>
      </w:r>
      <w:r w:rsidRPr="00AA552A">
        <w:rPr>
          <w:rFonts w:cs="Cambria"/>
          <w:color w:val="000000"/>
        </w:rPr>
        <w:t>W.</w:t>
      </w:r>
      <w:r w:rsidRPr="00AA552A">
        <w:rPr>
          <w:rFonts w:cs="Cambria"/>
          <w:color w:val="000000"/>
          <w:spacing w:val="-2"/>
        </w:rPr>
        <w:t xml:space="preserve"> </w:t>
      </w:r>
      <w:r w:rsidRPr="00AA552A">
        <w:rPr>
          <w:rFonts w:cs="Cambria"/>
          <w:color w:val="000000"/>
        </w:rPr>
        <w:t>lon</w:t>
      </w:r>
      <w:r w:rsidRPr="00AA552A">
        <w:rPr>
          <w:rFonts w:cs="Cambria"/>
          <w:color w:val="000000"/>
          <w:spacing w:val="-1"/>
        </w:rPr>
        <w:t>g</w:t>
      </w:r>
      <w:r w:rsidRPr="00AA552A">
        <w:rPr>
          <w:rFonts w:cs="Cambria"/>
          <w:color w:val="000000"/>
          <w:spacing w:val="1"/>
        </w:rPr>
        <w:t>i</w:t>
      </w:r>
      <w:r w:rsidRPr="00AA552A">
        <w:rPr>
          <w:rFonts w:cs="Cambria"/>
          <w:color w:val="000000"/>
        </w:rPr>
        <w:t>tu</w:t>
      </w:r>
      <w:r w:rsidRPr="00AA552A">
        <w:rPr>
          <w:rFonts w:cs="Cambria"/>
          <w:color w:val="000000"/>
          <w:spacing w:val="-1"/>
        </w:rPr>
        <w:t>d</w:t>
      </w:r>
      <w:r w:rsidRPr="00AA552A">
        <w:rPr>
          <w:rFonts w:cs="Cambria"/>
          <w:color w:val="000000"/>
          <w:spacing w:val="1"/>
        </w:rPr>
        <w:t>e</w:t>
      </w:r>
      <w:r w:rsidRPr="00AA552A">
        <w:rPr>
          <w:rFonts w:cs="Cambria"/>
          <w:color w:val="000000"/>
        </w:rPr>
        <w:t>,</w:t>
      </w:r>
      <w:r w:rsidRPr="00AA552A">
        <w:rPr>
          <w:rFonts w:cs="Cambria"/>
          <w:color w:val="000000"/>
          <w:spacing w:val="-5"/>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no</w:t>
      </w:r>
      <w:r w:rsidRPr="00AA552A">
        <w:rPr>
          <w:rFonts w:cs="Cambria"/>
          <w:color w:val="000000"/>
          <w:spacing w:val="-1"/>
        </w:rPr>
        <w:t>r</w:t>
      </w:r>
      <w:r w:rsidRPr="00AA552A">
        <w:rPr>
          <w:rFonts w:cs="Cambria"/>
          <w:color w:val="000000"/>
        </w:rPr>
        <w:t>th</w:t>
      </w:r>
      <w:r w:rsidRPr="00AA552A">
        <w:rPr>
          <w:rFonts w:cs="Cambria"/>
          <w:color w:val="000000"/>
          <w:spacing w:val="-4"/>
        </w:rPr>
        <w:t xml:space="preserve"> </w:t>
      </w:r>
      <w:r w:rsidRPr="00AA552A">
        <w:rPr>
          <w:rFonts w:cs="Cambria"/>
          <w:color w:val="000000"/>
          <w:spacing w:val="1"/>
        </w:rPr>
        <w:t>b</w:t>
      </w:r>
      <w:r w:rsidRPr="00AA552A">
        <w:rPr>
          <w:rFonts w:cs="Cambria"/>
          <w:color w:val="000000"/>
        </w:rPr>
        <w:t>y</w:t>
      </w:r>
      <w:r w:rsidRPr="00AA552A">
        <w:rPr>
          <w:rFonts w:cs="Cambria"/>
          <w:color w:val="000000"/>
          <w:spacing w:val="-2"/>
        </w:rPr>
        <w:t xml:space="preserve"> </w:t>
      </w:r>
      <w:r w:rsidRPr="00AA552A">
        <w:rPr>
          <w:rFonts w:cs="Cambria"/>
          <w:color w:val="000000"/>
          <w:spacing w:val="-1"/>
        </w:rPr>
        <w:t>2</w:t>
      </w:r>
      <w:r w:rsidRPr="00AA552A">
        <w:rPr>
          <w:rFonts w:cs="Cambria"/>
          <w:color w:val="000000"/>
          <w:spacing w:val="2"/>
        </w:rPr>
        <w:t>8</w:t>
      </w:r>
      <w:r w:rsidRPr="00AA552A">
        <w:rPr>
          <w:rFonts w:cs="Cambria"/>
          <w:color w:val="000000"/>
          <w:spacing w:val="1"/>
        </w:rPr>
        <w:t>°</w:t>
      </w:r>
      <w:r w:rsidRPr="00AA552A">
        <w:rPr>
          <w:rFonts w:cs="Cambria"/>
          <w:color w:val="000000"/>
          <w:spacing w:val="-1"/>
        </w:rPr>
        <w:t>30</w:t>
      </w:r>
      <w:r w:rsidRPr="00AA552A">
        <w:rPr>
          <w:rFonts w:cs="Cambria"/>
          <w:color w:val="000000"/>
        </w:rPr>
        <w:t>'</w:t>
      </w:r>
      <w:r w:rsidRPr="00AA552A">
        <w:rPr>
          <w:rFonts w:cs="Cambria"/>
          <w:color w:val="000000"/>
          <w:spacing w:val="-5"/>
        </w:rPr>
        <w:t xml:space="preserve"> </w:t>
      </w:r>
      <w:r w:rsidRPr="00AA552A">
        <w:rPr>
          <w:rFonts w:cs="Cambria"/>
          <w:color w:val="000000"/>
        </w:rPr>
        <w:t>N.</w:t>
      </w:r>
      <w:r w:rsidRPr="00AA552A">
        <w:rPr>
          <w:rFonts w:cs="Cambria"/>
          <w:color w:val="000000"/>
          <w:spacing w:val="-1"/>
        </w:rPr>
        <w:t xml:space="preserve"> </w:t>
      </w:r>
      <w:r w:rsidRPr="00AA552A">
        <w:rPr>
          <w:rFonts w:cs="Cambria"/>
          <w:color w:val="000000"/>
        </w:rPr>
        <w:t>lat</w:t>
      </w:r>
      <w:r w:rsidRPr="00AA552A">
        <w:rPr>
          <w:rFonts w:cs="Cambria"/>
          <w:color w:val="000000"/>
          <w:spacing w:val="1"/>
        </w:rPr>
        <w:t>i</w:t>
      </w:r>
      <w:r w:rsidRPr="00AA552A">
        <w:rPr>
          <w:rFonts w:cs="Cambria"/>
          <w:color w:val="000000"/>
        </w:rPr>
        <w:t>tu</w:t>
      </w:r>
      <w:r w:rsidRPr="00AA552A">
        <w:rPr>
          <w:rFonts w:cs="Cambria"/>
          <w:color w:val="000000"/>
          <w:spacing w:val="-1"/>
        </w:rPr>
        <w:t>d</w:t>
      </w:r>
      <w:r w:rsidRPr="00AA552A">
        <w:rPr>
          <w:rFonts w:cs="Cambria"/>
          <w:color w:val="000000"/>
          <w:spacing w:val="1"/>
        </w:rPr>
        <w:t>e</w:t>
      </w:r>
      <w:r w:rsidRPr="00AA552A">
        <w:rPr>
          <w:rFonts w:cs="Cambria"/>
          <w:color w:val="000000"/>
        </w:rPr>
        <w:t>,</w:t>
      </w:r>
      <w:r w:rsidRPr="00AA552A">
        <w:rPr>
          <w:rFonts w:cs="Cambria"/>
          <w:color w:val="000000"/>
          <w:spacing w:val="-3"/>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2"/>
        </w:rPr>
        <w:t>s</w:t>
      </w:r>
      <w:r w:rsidRPr="00AA552A">
        <w:rPr>
          <w:rFonts w:cs="Cambria"/>
          <w:color w:val="000000"/>
        </w:rPr>
        <w:t>outh</w:t>
      </w:r>
      <w:r w:rsidRPr="00AA552A">
        <w:rPr>
          <w:rFonts w:cs="Cambria"/>
          <w:color w:val="000000"/>
          <w:spacing w:val="-4"/>
        </w:rPr>
        <w:t xml:space="preserve"> </w:t>
      </w:r>
      <w:r w:rsidRPr="00AA552A">
        <w:rPr>
          <w:rFonts w:cs="Cambria"/>
          <w:color w:val="000000"/>
          <w:spacing w:val="1"/>
        </w:rPr>
        <w:t>b</w:t>
      </w:r>
      <w:r w:rsidRPr="00AA552A">
        <w:rPr>
          <w:rFonts w:cs="Cambria"/>
          <w:color w:val="000000"/>
        </w:rPr>
        <w:t>y</w:t>
      </w:r>
      <w:r w:rsidRPr="00AA552A">
        <w:rPr>
          <w:rFonts w:cs="Cambria"/>
          <w:color w:val="000000"/>
          <w:spacing w:val="-2"/>
        </w:rPr>
        <w:t xml:space="preserve"> </w:t>
      </w:r>
      <w:r w:rsidRPr="00AA552A">
        <w:rPr>
          <w:rFonts w:cs="Cambria"/>
          <w:color w:val="000000"/>
          <w:spacing w:val="-1"/>
        </w:rPr>
        <w:t>27</w:t>
      </w:r>
      <w:r w:rsidRPr="00AA552A">
        <w:rPr>
          <w:rFonts w:cs="Cambria"/>
          <w:color w:val="000000"/>
          <w:spacing w:val="1"/>
        </w:rPr>
        <w:t>°</w:t>
      </w:r>
      <w:r w:rsidRPr="00AA552A">
        <w:rPr>
          <w:rFonts w:cs="Cambria"/>
          <w:color w:val="000000"/>
          <w:spacing w:val="2"/>
        </w:rPr>
        <w:t>3</w:t>
      </w:r>
      <w:r w:rsidRPr="00AA552A">
        <w:rPr>
          <w:rFonts w:cs="Cambria"/>
          <w:color w:val="000000"/>
          <w:spacing w:val="-1"/>
        </w:rPr>
        <w:t>0</w:t>
      </w:r>
      <w:r w:rsidRPr="00AA552A">
        <w:rPr>
          <w:rFonts w:cs="Cambria"/>
          <w:color w:val="000000"/>
        </w:rPr>
        <w:t>'</w:t>
      </w:r>
      <w:r w:rsidRPr="00AA552A">
        <w:rPr>
          <w:rFonts w:cs="Cambria"/>
          <w:color w:val="000000"/>
          <w:spacing w:val="-5"/>
        </w:rPr>
        <w:t xml:space="preserve"> </w:t>
      </w:r>
      <w:r w:rsidRPr="00AA552A">
        <w:rPr>
          <w:rFonts w:cs="Cambria"/>
          <w:color w:val="000000"/>
        </w:rPr>
        <w:t>N. lat</w:t>
      </w:r>
      <w:r w:rsidRPr="00AA552A">
        <w:rPr>
          <w:rFonts w:cs="Cambria"/>
          <w:color w:val="000000"/>
          <w:spacing w:val="1"/>
        </w:rPr>
        <w:t>i</w:t>
      </w:r>
      <w:r w:rsidRPr="00AA552A">
        <w:rPr>
          <w:rFonts w:cs="Cambria"/>
          <w:color w:val="000000"/>
        </w:rPr>
        <w:t>t</w:t>
      </w:r>
      <w:r w:rsidRPr="00AA552A">
        <w:rPr>
          <w:rFonts w:cs="Cambria"/>
          <w:color w:val="000000"/>
          <w:spacing w:val="-1"/>
        </w:rPr>
        <w:t>ud</w:t>
      </w:r>
      <w:r w:rsidRPr="00AA552A">
        <w:rPr>
          <w:rFonts w:cs="Cambria"/>
          <w:color w:val="000000"/>
          <w:spacing w:val="1"/>
        </w:rPr>
        <w:t>e</w:t>
      </w:r>
      <w:r w:rsidRPr="00AA552A">
        <w:rPr>
          <w:rFonts w:cs="Cambria"/>
          <w:color w:val="000000"/>
        </w:rPr>
        <w:t>,</w:t>
      </w:r>
      <w:r w:rsidRPr="00AA552A">
        <w:rPr>
          <w:rFonts w:cs="Cambria"/>
          <w:color w:val="000000"/>
          <w:spacing w:val="-2"/>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to</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spacing w:val="1"/>
        </w:rPr>
        <w:t>e</w:t>
      </w:r>
      <w:r w:rsidRPr="00AA552A">
        <w:rPr>
          <w:rFonts w:cs="Cambria"/>
          <w:color w:val="000000"/>
        </w:rPr>
        <w:t>ast</w:t>
      </w:r>
      <w:r w:rsidRPr="00AA552A">
        <w:rPr>
          <w:rFonts w:cs="Cambria"/>
          <w:color w:val="000000"/>
          <w:spacing w:val="-4"/>
        </w:rPr>
        <w:t xml:space="preserve"> </w:t>
      </w:r>
      <w:r w:rsidRPr="00AA552A">
        <w:rPr>
          <w:rFonts w:cs="Cambria"/>
          <w:color w:val="000000"/>
          <w:spacing w:val="1"/>
        </w:rPr>
        <w:t>b</w:t>
      </w:r>
      <w:r w:rsidRPr="00AA552A">
        <w:rPr>
          <w:rFonts w:cs="Cambria"/>
          <w:color w:val="000000"/>
        </w:rPr>
        <w:t>y</w:t>
      </w:r>
      <w:r w:rsidRPr="00AA552A">
        <w:rPr>
          <w:rFonts w:cs="Cambria"/>
          <w:color w:val="000000"/>
          <w:spacing w:val="-2"/>
        </w:rPr>
        <w:t xml:space="preserve"> </w:t>
      </w:r>
      <w:r w:rsidRPr="00AA552A">
        <w:rPr>
          <w:rFonts w:cs="Cambria"/>
          <w:color w:val="000000"/>
        </w:rPr>
        <w:t>the</w:t>
      </w:r>
      <w:r w:rsidRPr="00AA552A">
        <w:rPr>
          <w:rFonts w:cs="Cambria"/>
          <w:color w:val="000000"/>
          <w:spacing w:val="-1"/>
        </w:rPr>
        <w:t xml:space="preserve"> 10</w:t>
      </w:r>
      <w:r w:rsidRPr="00AA552A">
        <w:rPr>
          <w:rFonts w:cs="Cambria"/>
          <w:color w:val="000000"/>
        </w:rPr>
        <w:t>0</w:t>
      </w:r>
      <w:r w:rsidRPr="00AA552A">
        <w:rPr>
          <w:rFonts w:cs="Cambria"/>
          <w:color w:val="000000"/>
          <w:spacing w:val="-5"/>
        </w:rPr>
        <w:t xml:space="preserve"> </w:t>
      </w:r>
      <w:r w:rsidRPr="00AA552A">
        <w:rPr>
          <w:rFonts w:cs="Cambria"/>
          <w:color w:val="000000"/>
          <w:spacing w:val="-1"/>
        </w:rPr>
        <w:t>f</w:t>
      </w:r>
      <w:r w:rsidRPr="00AA552A">
        <w:rPr>
          <w:rFonts w:cs="Cambria"/>
          <w:color w:val="000000"/>
        </w:rPr>
        <w:t>ath</w:t>
      </w:r>
      <w:r w:rsidRPr="00AA552A">
        <w:rPr>
          <w:rFonts w:cs="Cambria"/>
          <w:color w:val="000000"/>
          <w:spacing w:val="2"/>
        </w:rPr>
        <w:t>o</w:t>
      </w:r>
      <w:r w:rsidRPr="00AA552A">
        <w:rPr>
          <w:rFonts w:cs="Cambria"/>
          <w:color w:val="000000"/>
        </w:rPr>
        <w:t>m</w:t>
      </w:r>
      <w:r w:rsidRPr="00AA552A">
        <w:rPr>
          <w:rFonts w:cs="Cambria"/>
          <w:color w:val="000000"/>
          <w:spacing w:val="-3"/>
        </w:rPr>
        <w:t xml:space="preserve"> </w:t>
      </w:r>
      <w:r w:rsidRPr="00AA552A">
        <w:rPr>
          <w:rFonts w:cs="Cambria"/>
          <w:color w:val="000000"/>
        </w:rPr>
        <w:t>(</w:t>
      </w:r>
      <w:r w:rsidRPr="00AA552A">
        <w:rPr>
          <w:rFonts w:cs="Cambria"/>
          <w:color w:val="000000"/>
          <w:spacing w:val="2"/>
        </w:rPr>
        <w:t>6</w:t>
      </w:r>
      <w:r w:rsidRPr="00AA552A">
        <w:rPr>
          <w:rFonts w:cs="Cambria"/>
          <w:color w:val="000000"/>
          <w:spacing w:val="-1"/>
        </w:rPr>
        <w:t>0</w:t>
      </w:r>
      <w:r w:rsidRPr="00AA552A">
        <w:rPr>
          <w:rFonts w:cs="Cambria"/>
          <w:color w:val="000000"/>
        </w:rPr>
        <w:t>0</w:t>
      </w:r>
      <w:r w:rsidRPr="00AA552A">
        <w:rPr>
          <w:rFonts w:cs="Cambria"/>
          <w:color w:val="000000"/>
          <w:spacing w:val="-3"/>
        </w:rPr>
        <w:t xml:space="preserve"> </w:t>
      </w:r>
      <w:r w:rsidRPr="00AA552A">
        <w:rPr>
          <w:rFonts w:cs="Cambria"/>
          <w:color w:val="000000"/>
          <w:spacing w:val="-1"/>
        </w:rPr>
        <w:t>f</w:t>
      </w:r>
      <w:r w:rsidRPr="00AA552A">
        <w:rPr>
          <w:rFonts w:cs="Cambria"/>
          <w:color w:val="000000"/>
          <w:spacing w:val="1"/>
        </w:rPr>
        <w:t>ee</w:t>
      </w:r>
      <w:r w:rsidRPr="00AA552A">
        <w:rPr>
          <w:rFonts w:cs="Cambria"/>
          <w:color w:val="000000"/>
        </w:rPr>
        <w:t>t)</w:t>
      </w:r>
      <w:r w:rsidRPr="00AA552A">
        <w:rPr>
          <w:rFonts w:cs="Cambria"/>
          <w:color w:val="000000"/>
          <w:spacing w:val="-4"/>
        </w:rPr>
        <w:t xml:space="preserve"> </w:t>
      </w:r>
      <w:r w:rsidRPr="00AA552A">
        <w:rPr>
          <w:rFonts w:cs="Cambria"/>
          <w:color w:val="000000"/>
          <w:spacing w:val="-1"/>
        </w:rPr>
        <w:t>d</w:t>
      </w:r>
      <w:r w:rsidRPr="00AA552A">
        <w:rPr>
          <w:rFonts w:cs="Cambria"/>
          <w:color w:val="000000"/>
          <w:spacing w:val="1"/>
        </w:rPr>
        <w:t>ep</w:t>
      </w:r>
      <w:r w:rsidRPr="00AA552A">
        <w:rPr>
          <w:rFonts w:cs="Cambria"/>
          <w:color w:val="000000"/>
        </w:rPr>
        <w:t>th</w:t>
      </w:r>
      <w:r w:rsidRPr="00AA552A">
        <w:rPr>
          <w:rFonts w:cs="Cambria"/>
          <w:color w:val="000000"/>
          <w:spacing w:val="-4"/>
        </w:rPr>
        <w:t xml:space="preserve"> </w:t>
      </w:r>
      <w:r w:rsidRPr="00AA552A">
        <w:rPr>
          <w:rFonts w:cs="Cambria"/>
          <w:color w:val="000000"/>
        </w:rPr>
        <w:t>conto</w:t>
      </w:r>
      <w:r w:rsidRPr="00AA552A">
        <w:rPr>
          <w:rFonts w:cs="Cambria"/>
          <w:color w:val="000000"/>
          <w:spacing w:val="-1"/>
        </w:rPr>
        <w:t>ur</w:t>
      </w:r>
      <w:r w:rsidRPr="00AA552A">
        <w:rPr>
          <w:rFonts w:cs="Cambria"/>
          <w:color w:val="000000"/>
        </w:rPr>
        <w:t>.</w:t>
      </w:r>
    </w:p>
    <w:p w14:paraId="477D192B" w14:textId="77777777" w:rsidR="00DC4922" w:rsidRPr="00AA552A" w:rsidRDefault="00DC4922" w:rsidP="00DC4922">
      <w:pPr>
        <w:rPr>
          <w:rFonts w:cs="Cambria"/>
          <w:color w:val="000000"/>
        </w:rPr>
      </w:pPr>
      <w:r w:rsidRPr="00AA552A">
        <w:rPr>
          <w:color w:val="000000"/>
          <w:w w:val="131"/>
        </w:rPr>
        <w:t>•</w:t>
      </w:r>
      <w:r w:rsidRPr="00AA552A">
        <w:rPr>
          <w:color w:val="000000"/>
        </w:rPr>
        <w:tab/>
      </w:r>
      <w:r w:rsidRPr="00AA552A">
        <w:rPr>
          <w:rFonts w:cs="Cambria"/>
          <w:color w:val="000000"/>
          <w:spacing w:val="1"/>
        </w:rPr>
        <w:t>E</w:t>
      </w:r>
      <w:r w:rsidRPr="00AA552A">
        <w:rPr>
          <w:rFonts w:cs="Cambria"/>
          <w:color w:val="000000"/>
        </w:rPr>
        <w:t>sta</w:t>
      </w:r>
      <w:r w:rsidRPr="00AA552A">
        <w:rPr>
          <w:rFonts w:cs="Cambria"/>
          <w:color w:val="000000"/>
          <w:spacing w:val="1"/>
        </w:rPr>
        <w:t>b</w:t>
      </w:r>
      <w:r w:rsidRPr="00AA552A">
        <w:rPr>
          <w:rFonts w:cs="Cambria"/>
          <w:color w:val="000000"/>
        </w:rPr>
        <w:t>l</w:t>
      </w:r>
      <w:r w:rsidRPr="00AA552A">
        <w:rPr>
          <w:rFonts w:cs="Cambria"/>
          <w:color w:val="000000"/>
          <w:spacing w:val="1"/>
        </w:rPr>
        <w:t>i</w:t>
      </w:r>
      <w:r w:rsidRPr="00AA552A">
        <w:rPr>
          <w:rFonts w:cs="Cambria"/>
          <w:color w:val="000000"/>
        </w:rPr>
        <w:t>sh</w:t>
      </w:r>
      <w:r w:rsidRPr="00AA552A">
        <w:rPr>
          <w:rFonts w:cs="Cambria"/>
          <w:color w:val="000000"/>
          <w:spacing w:val="1"/>
        </w:rPr>
        <w:t>e</w:t>
      </w:r>
      <w:r w:rsidRPr="00AA552A">
        <w:rPr>
          <w:rFonts w:cs="Cambria"/>
          <w:color w:val="000000"/>
        </w:rPr>
        <w:t>d</w:t>
      </w:r>
      <w:r w:rsidRPr="00AA552A">
        <w:rPr>
          <w:rFonts w:cs="Cambria"/>
          <w:color w:val="000000"/>
          <w:spacing w:val="-8"/>
        </w:rPr>
        <w:t xml:space="preserve"> </w:t>
      </w:r>
      <w:r w:rsidRPr="00AA552A">
        <w:rPr>
          <w:rFonts w:cs="Cambria"/>
          <w:color w:val="000000"/>
        </w:rPr>
        <w:t>the</w:t>
      </w:r>
      <w:r w:rsidRPr="00AA552A">
        <w:rPr>
          <w:rFonts w:cs="Cambria"/>
          <w:color w:val="000000"/>
          <w:spacing w:val="-1"/>
        </w:rPr>
        <w:t xml:space="preserve"> f</w:t>
      </w:r>
      <w:r w:rsidRPr="00AA552A">
        <w:rPr>
          <w:rFonts w:cs="Cambria"/>
          <w:color w:val="000000"/>
        </w:rPr>
        <w:t>ollo</w:t>
      </w:r>
      <w:r w:rsidRPr="00AA552A">
        <w:rPr>
          <w:rFonts w:cs="Cambria"/>
          <w:color w:val="000000"/>
          <w:spacing w:val="-1"/>
        </w:rPr>
        <w:t>w</w:t>
      </w:r>
      <w:r w:rsidRPr="00AA552A">
        <w:rPr>
          <w:rFonts w:cs="Cambria"/>
          <w:color w:val="000000"/>
          <w:spacing w:val="1"/>
        </w:rPr>
        <w:t>i</w:t>
      </w:r>
      <w:r w:rsidRPr="00AA552A">
        <w:rPr>
          <w:rFonts w:cs="Cambria"/>
          <w:color w:val="000000"/>
        </w:rPr>
        <w:t>ng</w:t>
      </w:r>
      <w:r w:rsidRPr="00AA552A">
        <w:rPr>
          <w:rFonts w:cs="Cambria"/>
          <w:color w:val="000000"/>
          <w:spacing w:val="-5"/>
        </w:rPr>
        <w:t xml:space="preserve"> </w:t>
      </w:r>
      <w:r w:rsidRPr="00AA552A">
        <w:rPr>
          <w:rFonts w:cs="Cambria"/>
          <w:color w:val="000000"/>
        </w:rPr>
        <w:t>t</w:t>
      </w:r>
      <w:r w:rsidRPr="00AA552A">
        <w:rPr>
          <w:rFonts w:cs="Cambria"/>
          <w:color w:val="000000"/>
          <w:spacing w:val="-1"/>
        </w:rPr>
        <w:t>w</w:t>
      </w:r>
      <w:r w:rsidRPr="00AA552A">
        <w:rPr>
          <w:rFonts w:cs="Cambria"/>
          <w:color w:val="000000"/>
        </w:rPr>
        <w:t>o</w:t>
      </w:r>
      <w:r w:rsidRPr="00AA552A">
        <w:rPr>
          <w:rFonts w:cs="Cambria"/>
          <w:color w:val="000000"/>
          <w:spacing w:val="-1"/>
        </w:rPr>
        <w:t xml:space="preserve"> </w:t>
      </w:r>
      <w:r w:rsidRPr="00AA552A">
        <w:rPr>
          <w:rFonts w:cs="Cambria"/>
          <w:color w:val="000000"/>
          <w:spacing w:val="1"/>
        </w:rPr>
        <w:t>S</w:t>
      </w:r>
      <w:r w:rsidRPr="00AA552A">
        <w:rPr>
          <w:rFonts w:cs="Cambria"/>
          <w:color w:val="000000"/>
        </w:rPr>
        <w:t>at</w:t>
      </w:r>
      <w:r w:rsidRPr="00AA552A">
        <w:rPr>
          <w:rFonts w:cs="Cambria"/>
          <w:color w:val="000000"/>
          <w:spacing w:val="1"/>
        </w:rPr>
        <w:t>e</w:t>
      </w:r>
      <w:r w:rsidRPr="00AA552A">
        <w:rPr>
          <w:rFonts w:cs="Cambria"/>
          <w:color w:val="000000"/>
        </w:rPr>
        <w:t>ll</w:t>
      </w:r>
      <w:r w:rsidRPr="00AA552A">
        <w:rPr>
          <w:rFonts w:cs="Cambria"/>
          <w:color w:val="000000"/>
          <w:spacing w:val="1"/>
        </w:rPr>
        <w:t>i</w:t>
      </w:r>
      <w:r w:rsidRPr="00AA552A">
        <w:rPr>
          <w:rFonts w:cs="Cambria"/>
          <w:color w:val="000000"/>
        </w:rPr>
        <w:t>te</w:t>
      </w:r>
      <w:r w:rsidRPr="00AA552A">
        <w:rPr>
          <w:rFonts w:cs="Cambria"/>
          <w:color w:val="000000"/>
          <w:spacing w:val="-2"/>
        </w:rPr>
        <w:t xml:space="preserve"> </w:t>
      </w:r>
      <w:r w:rsidRPr="00AA552A">
        <w:rPr>
          <w:rFonts w:cs="Cambria"/>
          <w:i/>
          <w:iCs/>
          <w:color w:val="000000"/>
        </w:rPr>
        <w:t>O</w:t>
      </w:r>
      <w:r w:rsidRPr="00AA552A">
        <w:rPr>
          <w:rFonts w:cs="Cambria"/>
          <w:i/>
          <w:iCs/>
          <w:color w:val="000000"/>
          <w:spacing w:val="-1"/>
        </w:rPr>
        <w:t>c</w:t>
      </w:r>
      <w:r w:rsidRPr="00AA552A">
        <w:rPr>
          <w:rFonts w:cs="Cambria"/>
          <w:i/>
          <w:iCs/>
          <w:color w:val="000000"/>
          <w:spacing w:val="1"/>
        </w:rPr>
        <w:t>ul</w:t>
      </w:r>
      <w:r w:rsidRPr="00AA552A">
        <w:rPr>
          <w:rFonts w:cs="Cambria"/>
          <w:i/>
          <w:iCs/>
          <w:color w:val="000000"/>
        </w:rPr>
        <w:t>i</w:t>
      </w:r>
      <w:r w:rsidRPr="00AA552A">
        <w:rPr>
          <w:rFonts w:cs="Cambria"/>
          <w:i/>
          <w:iCs/>
          <w:color w:val="000000"/>
          <w:spacing w:val="-1"/>
        </w:rPr>
        <w:t>n</w:t>
      </w:r>
      <w:r w:rsidRPr="00AA552A">
        <w:rPr>
          <w:rFonts w:cs="Cambria"/>
          <w:i/>
          <w:iCs/>
          <w:color w:val="000000"/>
        </w:rPr>
        <w:t>a</w:t>
      </w:r>
      <w:r w:rsidRPr="00AA552A">
        <w:rPr>
          <w:rFonts w:cs="Cambria"/>
          <w:i/>
          <w:iCs/>
          <w:color w:val="000000"/>
          <w:spacing w:val="-5"/>
        </w:rPr>
        <w:t xml:space="preserve"> </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s:</w:t>
      </w:r>
      <w:r w:rsidRPr="00AA552A">
        <w:rPr>
          <w:rFonts w:cs="Cambria"/>
          <w:color w:val="000000"/>
          <w:spacing w:val="-7"/>
        </w:rPr>
        <w:t xml:space="preserve"> </w:t>
      </w:r>
      <w:r w:rsidRPr="00AA552A">
        <w:rPr>
          <w:rFonts w:cs="Cambria"/>
          <w:color w:val="000000"/>
        </w:rPr>
        <w:t>(</w:t>
      </w:r>
      <w:r w:rsidRPr="00AA552A">
        <w:rPr>
          <w:rFonts w:cs="Cambria"/>
          <w:color w:val="000000"/>
          <w:spacing w:val="-1"/>
        </w:rPr>
        <w:t>1</w:t>
      </w:r>
      <w:r w:rsidRPr="00AA552A">
        <w:rPr>
          <w:rFonts w:cs="Cambria"/>
          <w:color w:val="000000"/>
        </w:rPr>
        <w:t>)</w:t>
      </w:r>
      <w:r w:rsidRPr="00AA552A">
        <w:rPr>
          <w:rFonts w:cs="Cambria"/>
          <w:color w:val="000000"/>
          <w:spacing w:val="50"/>
        </w:rPr>
        <w:t xml:space="preserve"> </w:t>
      </w:r>
      <w:r w:rsidRPr="00AA552A">
        <w:rPr>
          <w:rFonts w:cs="Cambria"/>
          <w:color w:val="000000"/>
          <w:spacing w:val="1"/>
        </w:rPr>
        <w:t>S</w:t>
      </w:r>
      <w:r w:rsidRPr="00AA552A">
        <w:rPr>
          <w:rFonts w:cs="Cambria"/>
          <w:color w:val="000000"/>
        </w:rPr>
        <w:t>at</w:t>
      </w:r>
      <w:r w:rsidRPr="00AA552A">
        <w:rPr>
          <w:rFonts w:cs="Cambria"/>
          <w:color w:val="000000"/>
          <w:spacing w:val="1"/>
        </w:rPr>
        <w:t>e</w:t>
      </w:r>
      <w:r w:rsidRPr="00AA552A">
        <w:rPr>
          <w:rFonts w:cs="Cambria"/>
          <w:color w:val="000000"/>
        </w:rPr>
        <w:t>ll</w:t>
      </w:r>
      <w:r w:rsidRPr="00AA552A">
        <w:rPr>
          <w:rFonts w:cs="Cambria"/>
          <w:color w:val="000000"/>
          <w:spacing w:val="1"/>
        </w:rPr>
        <w:t>i</w:t>
      </w:r>
      <w:r w:rsidRPr="00AA552A">
        <w:rPr>
          <w:rFonts w:cs="Cambria"/>
          <w:color w:val="000000"/>
        </w:rPr>
        <w:t>te</w:t>
      </w:r>
      <w:r w:rsidRPr="00AA552A">
        <w:rPr>
          <w:rFonts w:cs="Cambria"/>
          <w:color w:val="000000"/>
          <w:spacing w:val="-2"/>
        </w:rPr>
        <w:t xml:space="preserve"> </w:t>
      </w:r>
      <w:r w:rsidRPr="00AA552A">
        <w:rPr>
          <w:rFonts w:cs="Cambria"/>
          <w:i/>
          <w:iCs/>
          <w:color w:val="000000"/>
        </w:rPr>
        <w:t>O</w:t>
      </w:r>
      <w:r w:rsidRPr="00AA552A">
        <w:rPr>
          <w:rFonts w:cs="Cambria"/>
          <w:i/>
          <w:iCs/>
          <w:color w:val="000000"/>
          <w:spacing w:val="-1"/>
        </w:rPr>
        <w:t>c</w:t>
      </w:r>
      <w:r w:rsidRPr="00AA552A">
        <w:rPr>
          <w:rFonts w:cs="Cambria"/>
          <w:i/>
          <w:iCs/>
          <w:color w:val="000000"/>
          <w:spacing w:val="1"/>
        </w:rPr>
        <w:t>ul</w:t>
      </w:r>
      <w:r w:rsidRPr="00AA552A">
        <w:rPr>
          <w:rFonts w:cs="Cambria"/>
          <w:i/>
          <w:iCs/>
          <w:color w:val="000000"/>
        </w:rPr>
        <w:t>i</w:t>
      </w:r>
      <w:r w:rsidRPr="00AA552A">
        <w:rPr>
          <w:rFonts w:cs="Cambria"/>
          <w:i/>
          <w:iCs/>
          <w:color w:val="000000"/>
          <w:spacing w:val="-1"/>
        </w:rPr>
        <w:t>n</w:t>
      </w:r>
      <w:r w:rsidRPr="00AA552A">
        <w:rPr>
          <w:rFonts w:cs="Cambria"/>
          <w:i/>
          <w:iCs/>
          <w:color w:val="000000"/>
        </w:rPr>
        <w:t>a</w:t>
      </w:r>
      <w:r>
        <w:rPr>
          <w:rFonts w:cs="Cambria"/>
          <w:color w:val="000000"/>
        </w:rPr>
        <w:t xml:space="preserve"> </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rPr>
        <w:t>C</w:t>
      </w:r>
      <w:r w:rsidRPr="00AA552A">
        <w:rPr>
          <w:rFonts w:cs="Cambria"/>
          <w:color w:val="000000"/>
          <w:spacing w:val="-5"/>
        </w:rPr>
        <w:t xml:space="preserve"> </w:t>
      </w:r>
      <w:r w:rsidRPr="00AA552A">
        <w:rPr>
          <w:rFonts w:cs="Cambria"/>
          <w:color w:val="000000"/>
        </w:rPr>
        <w:t>#1</w:t>
      </w:r>
      <w:r w:rsidRPr="00AA552A">
        <w:rPr>
          <w:rFonts w:cs="Cambria"/>
          <w:color w:val="000000"/>
          <w:spacing w:val="-2"/>
        </w:rPr>
        <w:t xml:space="preserve"> </w:t>
      </w:r>
      <w:r w:rsidRPr="00AA552A">
        <w:rPr>
          <w:rFonts w:cs="Cambria"/>
          <w:color w:val="000000"/>
          <w:spacing w:val="1"/>
        </w:rPr>
        <w:t>i</w:t>
      </w:r>
      <w:r w:rsidRPr="00AA552A">
        <w:rPr>
          <w:rFonts w:cs="Cambria"/>
          <w:color w:val="000000"/>
        </w:rPr>
        <w:t>s</w:t>
      </w:r>
      <w:r w:rsidRPr="00AA552A">
        <w:rPr>
          <w:rFonts w:cs="Cambria"/>
          <w:color w:val="000000"/>
          <w:spacing w:val="-2"/>
        </w:rPr>
        <w:t xml:space="preserve"> </w:t>
      </w:r>
      <w:r w:rsidRPr="00AA552A">
        <w:rPr>
          <w:rFonts w:cs="Cambria"/>
          <w:color w:val="000000"/>
          <w:spacing w:val="1"/>
        </w:rPr>
        <w:t>b</w:t>
      </w:r>
      <w:r w:rsidRPr="00AA552A">
        <w:rPr>
          <w:rFonts w:cs="Cambria"/>
          <w:color w:val="000000"/>
        </w:rPr>
        <w:t>oun</w:t>
      </w:r>
      <w:r w:rsidRPr="00AA552A">
        <w:rPr>
          <w:rFonts w:cs="Cambria"/>
          <w:color w:val="000000"/>
          <w:spacing w:val="-1"/>
        </w:rPr>
        <w:t>d</w:t>
      </w:r>
      <w:r w:rsidRPr="00AA552A">
        <w:rPr>
          <w:rFonts w:cs="Cambria"/>
          <w:color w:val="000000"/>
          <w:spacing w:val="1"/>
        </w:rPr>
        <w:t>e</w:t>
      </w:r>
      <w:r w:rsidRPr="00AA552A">
        <w:rPr>
          <w:rFonts w:cs="Cambria"/>
          <w:color w:val="000000"/>
        </w:rPr>
        <w:t>d</w:t>
      </w:r>
      <w:r w:rsidRPr="00AA552A">
        <w:rPr>
          <w:rFonts w:cs="Cambria"/>
          <w:color w:val="000000"/>
          <w:spacing w:val="-6"/>
        </w:rPr>
        <w:t xml:space="preserve"> </w:t>
      </w:r>
      <w:r w:rsidRPr="00AA552A">
        <w:rPr>
          <w:rFonts w:cs="Cambria"/>
          <w:color w:val="000000"/>
        </w:rPr>
        <w:t>on</w:t>
      </w:r>
      <w:r>
        <w:rPr>
          <w:rFonts w:cs="Cambria"/>
          <w:color w:val="000000"/>
          <w:spacing w:val="2"/>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no</w:t>
      </w:r>
      <w:r w:rsidRPr="00AA552A">
        <w:rPr>
          <w:rFonts w:cs="Cambria"/>
          <w:color w:val="000000"/>
          <w:spacing w:val="-1"/>
        </w:rPr>
        <w:t>r</w:t>
      </w:r>
      <w:r w:rsidRPr="00AA552A">
        <w:rPr>
          <w:rFonts w:cs="Cambria"/>
          <w:color w:val="000000"/>
        </w:rPr>
        <w:t>th</w:t>
      </w:r>
      <w:r w:rsidRPr="00AA552A">
        <w:rPr>
          <w:rFonts w:cs="Cambria"/>
          <w:color w:val="000000"/>
          <w:spacing w:val="-4"/>
        </w:rPr>
        <w:t xml:space="preserve"> </w:t>
      </w:r>
      <w:r w:rsidRPr="00AA552A">
        <w:rPr>
          <w:rFonts w:cs="Cambria"/>
          <w:color w:val="000000"/>
          <w:spacing w:val="1"/>
        </w:rPr>
        <w:t>b</w:t>
      </w:r>
      <w:r w:rsidRPr="00AA552A">
        <w:rPr>
          <w:rFonts w:cs="Cambria"/>
          <w:color w:val="000000"/>
        </w:rPr>
        <w:t>y</w:t>
      </w:r>
      <w:r w:rsidRPr="00AA552A">
        <w:rPr>
          <w:rFonts w:cs="Cambria"/>
          <w:color w:val="000000"/>
          <w:spacing w:val="-2"/>
        </w:rPr>
        <w:t xml:space="preserve"> </w:t>
      </w:r>
      <w:r w:rsidRPr="00AA552A">
        <w:rPr>
          <w:rFonts w:cs="Cambria"/>
          <w:color w:val="000000"/>
          <w:spacing w:val="-1"/>
        </w:rPr>
        <w:t>28</w:t>
      </w:r>
      <w:r w:rsidRPr="00AA552A">
        <w:rPr>
          <w:rFonts w:cs="Cambria"/>
          <w:color w:val="000000"/>
          <w:spacing w:val="1"/>
        </w:rPr>
        <w:t>°</w:t>
      </w:r>
      <w:r w:rsidRPr="00AA552A">
        <w:rPr>
          <w:rFonts w:cs="Cambria"/>
          <w:color w:val="000000"/>
          <w:spacing w:val="-1"/>
        </w:rPr>
        <w:t>30</w:t>
      </w:r>
      <w:r w:rsidRPr="00AA552A">
        <w:rPr>
          <w:rFonts w:cs="Cambria"/>
          <w:color w:val="000000"/>
          <w:spacing w:val="2"/>
        </w:rPr>
        <w:t>’</w:t>
      </w:r>
      <w:r w:rsidRPr="00AA552A">
        <w:rPr>
          <w:rFonts w:cs="Cambria"/>
          <w:color w:val="000000"/>
        </w:rPr>
        <w:t>N.</w:t>
      </w:r>
      <w:r w:rsidRPr="00AA552A">
        <w:rPr>
          <w:rFonts w:cs="Cambria"/>
          <w:color w:val="000000"/>
          <w:spacing w:val="-6"/>
        </w:rPr>
        <w:t xml:space="preserve"> </w:t>
      </w:r>
      <w:r w:rsidRPr="00AA552A">
        <w:rPr>
          <w:rFonts w:cs="Cambria"/>
          <w:color w:val="000000"/>
        </w:rPr>
        <w:t>lat</w:t>
      </w:r>
      <w:r w:rsidRPr="00AA552A">
        <w:rPr>
          <w:rFonts w:cs="Cambria"/>
          <w:color w:val="000000"/>
          <w:spacing w:val="1"/>
        </w:rPr>
        <w:t>i</w:t>
      </w:r>
      <w:r w:rsidRPr="00AA552A">
        <w:rPr>
          <w:rFonts w:cs="Cambria"/>
          <w:color w:val="000000"/>
        </w:rPr>
        <w:t>tu</w:t>
      </w:r>
      <w:r w:rsidRPr="00AA552A">
        <w:rPr>
          <w:rFonts w:cs="Cambria"/>
          <w:color w:val="000000"/>
          <w:spacing w:val="-1"/>
        </w:rPr>
        <w:t>d</w:t>
      </w:r>
      <w:r w:rsidRPr="00AA552A">
        <w:rPr>
          <w:rFonts w:cs="Cambria"/>
          <w:color w:val="000000"/>
          <w:spacing w:val="1"/>
        </w:rPr>
        <w:t>e</w:t>
      </w:r>
      <w:r w:rsidRPr="00AA552A">
        <w:rPr>
          <w:rFonts w:cs="Cambria"/>
          <w:color w:val="000000"/>
        </w:rPr>
        <w:t>,</w:t>
      </w:r>
      <w:r w:rsidRPr="00AA552A">
        <w:rPr>
          <w:rFonts w:cs="Cambria"/>
          <w:color w:val="000000"/>
          <w:spacing w:val="-3"/>
        </w:rPr>
        <w:t xml:space="preserve"> </w:t>
      </w:r>
      <w:r w:rsidRPr="00AA552A">
        <w:rPr>
          <w:rFonts w:cs="Cambria"/>
          <w:color w:val="000000"/>
        </w:rPr>
        <w:t>on</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south</w:t>
      </w:r>
      <w:r w:rsidRPr="00AA552A">
        <w:rPr>
          <w:rFonts w:cs="Cambria"/>
          <w:color w:val="000000"/>
          <w:spacing w:val="-4"/>
        </w:rPr>
        <w:t xml:space="preserve"> </w:t>
      </w:r>
      <w:r w:rsidRPr="00AA552A">
        <w:rPr>
          <w:rFonts w:cs="Cambria"/>
          <w:color w:val="000000"/>
          <w:spacing w:val="1"/>
        </w:rPr>
        <w:t>b</w:t>
      </w:r>
      <w:r w:rsidRPr="00AA552A">
        <w:rPr>
          <w:rFonts w:cs="Cambria"/>
          <w:color w:val="000000"/>
        </w:rPr>
        <w:t>y</w:t>
      </w:r>
      <w:r w:rsidRPr="00AA552A">
        <w:rPr>
          <w:rFonts w:cs="Cambria"/>
          <w:color w:val="000000"/>
          <w:spacing w:val="-2"/>
        </w:rPr>
        <w:t xml:space="preserve"> </w:t>
      </w:r>
      <w:r w:rsidRPr="00AA552A">
        <w:rPr>
          <w:rFonts w:cs="Cambria"/>
          <w:color w:val="000000"/>
          <w:spacing w:val="-1"/>
        </w:rPr>
        <w:t>28</w:t>
      </w:r>
      <w:r w:rsidRPr="00AA552A">
        <w:rPr>
          <w:rFonts w:cs="Cambria"/>
          <w:color w:val="000000"/>
          <w:spacing w:val="1"/>
        </w:rPr>
        <w:t>°</w:t>
      </w:r>
      <w:r w:rsidRPr="00AA552A">
        <w:rPr>
          <w:rFonts w:cs="Cambria"/>
          <w:color w:val="000000"/>
          <w:spacing w:val="-1"/>
        </w:rPr>
        <w:t>29</w:t>
      </w:r>
      <w:r w:rsidRPr="00AA552A">
        <w:rPr>
          <w:rFonts w:cs="Cambria"/>
          <w:color w:val="000000"/>
        </w:rPr>
        <w:t>’N.</w:t>
      </w:r>
      <w:r w:rsidRPr="00AA552A">
        <w:rPr>
          <w:rFonts w:cs="Cambria"/>
          <w:color w:val="000000"/>
          <w:spacing w:val="-6"/>
        </w:rPr>
        <w:t xml:space="preserve"> </w:t>
      </w:r>
      <w:r w:rsidRPr="00AA552A">
        <w:rPr>
          <w:rFonts w:cs="Cambria"/>
          <w:color w:val="000000"/>
        </w:rPr>
        <w:t>lat</w:t>
      </w:r>
      <w:r w:rsidRPr="00AA552A">
        <w:rPr>
          <w:rFonts w:cs="Cambria"/>
          <w:color w:val="000000"/>
          <w:spacing w:val="1"/>
        </w:rPr>
        <w:t>i</w:t>
      </w:r>
      <w:r w:rsidRPr="00AA552A">
        <w:rPr>
          <w:rFonts w:cs="Cambria"/>
          <w:color w:val="000000"/>
        </w:rPr>
        <w:t>tu</w:t>
      </w:r>
      <w:r w:rsidRPr="00AA552A">
        <w:rPr>
          <w:rFonts w:cs="Cambria"/>
          <w:color w:val="000000"/>
          <w:spacing w:val="-1"/>
        </w:rPr>
        <w:t>d</w:t>
      </w:r>
      <w:r w:rsidRPr="00AA552A">
        <w:rPr>
          <w:rFonts w:cs="Cambria"/>
          <w:color w:val="000000"/>
          <w:spacing w:val="1"/>
        </w:rPr>
        <w:t>e</w:t>
      </w:r>
      <w:r w:rsidRPr="00AA552A">
        <w:rPr>
          <w:rFonts w:cs="Cambria"/>
          <w:color w:val="000000"/>
        </w:rPr>
        <w:t>,</w:t>
      </w:r>
      <w:r w:rsidRPr="00AA552A">
        <w:rPr>
          <w:rFonts w:cs="Cambria"/>
          <w:color w:val="000000"/>
          <w:spacing w:val="-3"/>
        </w:rPr>
        <w:t xml:space="preserve"> </w:t>
      </w:r>
      <w:r w:rsidRPr="00AA552A">
        <w:rPr>
          <w:rFonts w:cs="Cambria"/>
          <w:color w:val="000000"/>
        </w:rPr>
        <w:t>on the</w:t>
      </w:r>
      <w:r w:rsidRPr="00AA552A">
        <w:rPr>
          <w:rFonts w:cs="Cambria"/>
          <w:color w:val="000000"/>
          <w:spacing w:val="-1"/>
        </w:rPr>
        <w:t xml:space="preserve"> </w:t>
      </w:r>
      <w:r w:rsidRPr="00AA552A">
        <w:rPr>
          <w:rFonts w:cs="Cambria"/>
          <w:color w:val="000000"/>
          <w:spacing w:val="1"/>
        </w:rPr>
        <w:t>e</w:t>
      </w:r>
      <w:r w:rsidRPr="00AA552A">
        <w:rPr>
          <w:rFonts w:cs="Cambria"/>
          <w:color w:val="000000"/>
        </w:rPr>
        <w:t>ast</w:t>
      </w:r>
      <w:r w:rsidRPr="00AA552A">
        <w:rPr>
          <w:rFonts w:cs="Cambria"/>
          <w:color w:val="000000"/>
          <w:spacing w:val="-2"/>
        </w:rPr>
        <w:t xml:space="preserve"> </w:t>
      </w:r>
      <w:r w:rsidRPr="00AA552A">
        <w:rPr>
          <w:rFonts w:cs="Cambria"/>
          <w:color w:val="000000"/>
          <w:spacing w:val="1"/>
        </w:rPr>
        <w:t>b</w:t>
      </w:r>
      <w:r w:rsidRPr="00AA552A">
        <w:rPr>
          <w:rFonts w:cs="Cambria"/>
          <w:color w:val="000000"/>
        </w:rPr>
        <w:t>y</w:t>
      </w:r>
      <w:r w:rsidRPr="00AA552A">
        <w:rPr>
          <w:rFonts w:cs="Cambria"/>
          <w:color w:val="000000"/>
          <w:spacing w:val="-2"/>
        </w:rPr>
        <w:t xml:space="preserve"> </w:t>
      </w:r>
      <w:r w:rsidRPr="00AA552A">
        <w:rPr>
          <w:rFonts w:cs="Cambria"/>
          <w:color w:val="000000"/>
          <w:spacing w:val="-1"/>
        </w:rPr>
        <w:t>80</w:t>
      </w:r>
      <w:r w:rsidRPr="00AA552A">
        <w:rPr>
          <w:rFonts w:cs="Cambria"/>
          <w:color w:val="000000"/>
          <w:spacing w:val="1"/>
        </w:rPr>
        <w:t>°</w:t>
      </w:r>
      <w:r w:rsidRPr="00AA552A">
        <w:rPr>
          <w:rFonts w:cs="Cambria"/>
          <w:color w:val="000000"/>
        </w:rPr>
        <w:t>W.</w:t>
      </w:r>
      <w:r w:rsidRPr="00AA552A">
        <w:rPr>
          <w:rFonts w:cs="Cambria"/>
          <w:color w:val="000000"/>
          <w:spacing w:val="-2"/>
        </w:rPr>
        <w:t xml:space="preserve"> </w:t>
      </w:r>
      <w:r w:rsidRPr="00AA552A">
        <w:rPr>
          <w:rFonts w:cs="Cambria"/>
          <w:color w:val="000000"/>
        </w:rPr>
        <w:t>lon</w:t>
      </w:r>
      <w:r w:rsidRPr="00AA552A">
        <w:rPr>
          <w:rFonts w:cs="Cambria"/>
          <w:color w:val="000000"/>
          <w:spacing w:val="-1"/>
        </w:rPr>
        <w:t>g</w:t>
      </w:r>
      <w:r w:rsidRPr="00AA552A">
        <w:rPr>
          <w:rFonts w:cs="Cambria"/>
          <w:color w:val="000000"/>
          <w:spacing w:val="1"/>
        </w:rPr>
        <w:t>i</w:t>
      </w:r>
      <w:r w:rsidRPr="00AA552A">
        <w:rPr>
          <w:rFonts w:cs="Cambria"/>
          <w:color w:val="000000"/>
        </w:rPr>
        <w:t>tu</w:t>
      </w:r>
      <w:r w:rsidRPr="00AA552A">
        <w:rPr>
          <w:rFonts w:cs="Cambria"/>
          <w:color w:val="000000"/>
          <w:spacing w:val="-1"/>
        </w:rPr>
        <w:t>d</w:t>
      </w:r>
      <w:r w:rsidRPr="00AA552A">
        <w:rPr>
          <w:rFonts w:cs="Cambria"/>
          <w:color w:val="000000"/>
          <w:spacing w:val="1"/>
        </w:rPr>
        <w:t>e</w:t>
      </w:r>
      <w:r w:rsidRPr="00AA552A">
        <w:rPr>
          <w:rFonts w:cs="Cambria"/>
          <w:color w:val="000000"/>
        </w:rPr>
        <w:t>,</w:t>
      </w:r>
      <w:r w:rsidRPr="00AA552A">
        <w:rPr>
          <w:rFonts w:cs="Cambria"/>
          <w:color w:val="000000"/>
          <w:spacing w:val="-5"/>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on</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w:t>
      </w:r>
      <w:r w:rsidRPr="00AA552A">
        <w:rPr>
          <w:rFonts w:cs="Cambria"/>
          <w:color w:val="000000"/>
          <w:spacing w:val="1"/>
        </w:rPr>
        <w:t>e</w:t>
      </w:r>
      <w:r w:rsidRPr="00AA552A">
        <w:rPr>
          <w:rFonts w:cs="Cambria"/>
          <w:color w:val="000000"/>
        </w:rPr>
        <w:t>st</w:t>
      </w:r>
      <w:r w:rsidRPr="00AA552A">
        <w:rPr>
          <w:rFonts w:cs="Cambria"/>
          <w:color w:val="000000"/>
          <w:spacing w:val="-2"/>
        </w:rPr>
        <w:t xml:space="preserve"> </w:t>
      </w:r>
      <w:r w:rsidRPr="00AA552A">
        <w:rPr>
          <w:rFonts w:cs="Cambria"/>
          <w:color w:val="000000"/>
          <w:spacing w:val="1"/>
        </w:rPr>
        <w:t>b</w:t>
      </w:r>
      <w:r w:rsidRPr="00AA552A">
        <w:rPr>
          <w:rFonts w:cs="Cambria"/>
          <w:color w:val="000000"/>
        </w:rPr>
        <w:t>y</w:t>
      </w:r>
      <w:r w:rsidRPr="00AA552A">
        <w:rPr>
          <w:rFonts w:cs="Cambria"/>
          <w:color w:val="000000"/>
          <w:spacing w:val="-2"/>
        </w:rPr>
        <w:t xml:space="preserve"> </w:t>
      </w:r>
      <w:r w:rsidRPr="00AA552A">
        <w:rPr>
          <w:rFonts w:cs="Cambria"/>
          <w:color w:val="000000"/>
          <w:spacing w:val="-1"/>
        </w:rPr>
        <w:t>80</w:t>
      </w:r>
      <w:r w:rsidRPr="00AA552A">
        <w:rPr>
          <w:rFonts w:cs="Cambria"/>
          <w:color w:val="000000"/>
          <w:spacing w:val="1"/>
        </w:rPr>
        <w:t>°</w:t>
      </w:r>
      <w:r w:rsidRPr="00AA552A">
        <w:rPr>
          <w:rFonts w:cs="Cambria"/>
          <w:color w:val="000000"/>
          <w:spacing w:val="-1"/>
        </w:rPr>
        <w:t>3</w:t>
      </w:r>
      <w:r w:rsidRPr="00AA552A">
        <w:rPr>
          <w:rFonts w:cs="Cambria"/>
          <w:color w:val="000000"/>
        </w:rPr>
        <w:t>’W.</w:t>
      </w:r>
      <w:r w:rsidRPr="00AA552A">
        <w:rPr>
          <w:rFonts w:cs="Cambria"/>
          <w:color w:val="000000"/>
          <w:spacing w:val="-3"/>
        </w:rPr>
        <w:t xml:space="preserve"> </w:t>
      </w:r>
      <w:r w:rsidRPr="00AA552A">
        <w:rPr>
          <w:rFonts w:cs="Cambria"/>
          <w:color w:val="000000"/>
        </w:rPr>
        <w:t>lon</w:t>
      </w:r>
      <w:r w:rsidRPr="00AA552A">
        <w:rPr>
          <w:rFonts w:cs="Cambria"/>
          <w:color w:val="000000"/>
          <w:spacing w:val="-1"/>
        </w:rPr>
        <w:t>g</w:t>
      </w:r>
      <w:r w:rsidRPr="00AA552A">
        <w:rPr>
          <w:rFonts w:cs="Cambria"/>
          <w:color w:val="000000"/>
          <w:spacing w:val="1"/>
        </w:rPr>
        <w:t>i</w:t>
      </w:r>
      <w:r w:rsidRPr="00AA552A">
        <w:rPr>
          <w:rFonts w:cs="Cambria"/>
          <w:color w:val="000000"/>
        </w:rPr>
        <w:t>tu</w:t>
      </w:r>
      <w:r w:rsidRPr="00AA552A">
        <w:rPr>
          <w:rFonts w:cs="Cambria"/>
          <w:color w:val="000000"/>
          <w:spacing w:val="-1"/>
        </w:rPr>
        <w:t>d</w:t>
      </w:r>
      <w:r w:rsidRPr="00AA552A">
        <w:rPr>
          <w:rFonts w:cs="Cambria"/>
          <w:color w:val="000000"/>
          <w:spacing w:val="1"/>
        </w:rPr>
        <w:t>e</w:t>
      </w:r>
      <w:r>
        <w:rPr>
          <w:rFonts w:cs="Cambria"/>
          <w:color w:val="000000"/>
        </w:rPr>
        <w:t>;</w:t>
      </w:r>
      <w:r w:rsidRPr="00AA552A">
        <w:rPr>
          <w:rFonts w:cs="Cambria"/>
          <w:color w:val="000000"/>
          <w:spacing w:val="-5"/>
        </w:rPr>
        <w:t xml:space="preserve"> </w:t>
      </w:r>
      <w:r w:rsidRPr="00AA552A">
        <w:rPr>
          <w:rFonts w:cs="Cambria"/>
          <w:color w:val="000000"/>
        </w:rPr>
        <w:t>and (</w:t>
      </w:r>
      <w:r w:rsidRPr="00AA552A">
        <w:rPr>
          <w:rFonts w:cs="Cambria"/>
          <w:color w:val="000000"/>
          <w:spacing w:val="-1"/>
        </w:rPr>
        <w:t>2</w:t>
      </w:r>
      <w:r w:rsidRPr="00AA552A">
        <w:rPr>
          <w:rFonts w:cs="Cambria"/>
          <w:color w:val="000000"/>
        </w:rPr>
        <w:t>)</w:t>
      </w:r>
      <w:r w:rsidRPr="00AA552A">
        <w:rPr>
          <w:rFonts w:cs="Cambria"/>
          <w:color w:val="000000"/>
          <w:spacing w:val="-3"/>
        </w:rPr>
        <w:t xml:space="preserve"> </w:t>
      </w:r>
      <w:r w:rsidRPr="00AA552A">
        <w:rPr>
          <w:rFonts w:cs="Cambria"/>
          <w:color w:val="000000"/>
          <w:spacing w:val="1"/>
        </w:rPr>
        <w:t>S</w:t>
      </w:r>
      <w:r w:rsidRPr="00AA552A">
        <w:rPr>
          <w:rFonts w:cs="Cambria"/>
          <w:color w:val="000000"/>
        </w:rPr>
        <w:t>at</w:t>
      </w:r>
      <w:r w:rsidRPr="00AA552A">
        <w:rPr>
          <w:rFonts w:cs="Cambria"/>
          <w:color w:val="000000"/>
          <w:spacing w:val="1"/>
        </w:rPr>
        <w:t>e</w:t>
      </w:r>
      <w:r w:rsidRPr="00AA552A">
        <w:rPr>
          <w:rFonts w:cs="Cambria"/>
          <w:color w:val="000000"/>
        </w:rPr>
        <w:t>ll</w:t>
      </w:r>
      <w:r w:rsidRPr="00AA552A">
        <w:rPr>
          <w:rFonts w:cs="Cambria"/>
          <w:color w:val="000000"/>
          <w:spacing w:val="1"/>
        </w:rPr>
        <w:t>i</w:t>
      </w:r>
      <w:r w:rsidRPr="00AA552A">
        <w:rPr>
          <w:rFonts w:cs="Cambria"/>
          <w:color w:val="000000"/>
        </w:rPr>
        <w:t>te</w:t>
      </w:r>
      <w:r w:rsidRPr="00AA552A">
        <w:rPr>
          <w:rFonts w:cs="Cambria"/>
          <w:color w:val="000000"/>
          <w:spacing w:val="-2"/>
        </w:rPr>
        <w:t xml:space="preserve"> </w:t>
      </w:r>
      <w:r w:rsidRPr="00AA552A">
        <w:rPr>
          <w:rFonts w:cs="Cambria"/>
          <w:i/>
          <w:iCs/>
          <w:color w:val="000000"/>
        </w:rPr>
        <w:t>O</w:t>
      </w:r>
      <w:r w:rsidRPr="00AA552A">
        <w:rPr>
          <w:rFonts w:cs="Cambria"/>
          <w:i/>
          <w:iCs/>
          <w:color w:val="000000"/>
          <w:spacing w:val="-1"/>
        </w:rPr>
        <w:t>c</w:t>
      </w:r>
      <w:r w:rsidRPr="00AA552A">
        <w:rPr>
          <w:rFonts w:cs="Cambria"/>
          <w:i/>
          <w:iCs/>
          <w:color w:val="000000"/>
          <w:spacing w:val="1"/>
        </w:rPr>
        <w:t>ul</w:t>
      </w:r>
      <w:r w:rsidRPr="00AA552A">
        <w:rPr>
          <w:rFonts w:cs="Cambria"/>
          <w:i/>
          <w:iCs/>
          <w:color w:val="000000"/>
        </w:rPr>
        <w:t>i</w:t>
      </w:r>
      <w:r w:rsidRPr="00AA552A">
        <w:rPr>
          <w:rFonts w:cs="Cambria"/>
          <w:i/>
          <w:iCs/>
          <w:color w:val="000000"/>
          <w:spacing w:val="-1"/>
        </w:rPr>
        <w:t>n</w:t>
      </w:r>
      <w:r w:rsidRPr="00AA552A">
        <w:rPr>
          <w:rFonts w:cs="Cambria"/>
          <w:i/>
          <w:iCs/>
          <w:color w:val="000000"/>
        </w:rPr>
        <w:t xml:space="preserve">a </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rPr>
        <w:t>C</w:t>
      </w:r>
      <w:r w:rsidRPr="00AA552A">
        <w:rPr>
          <w:rFonts w:cs="Cambria"/>
          <w:color w:val="000000"/>
          <w:spacing w:val="-5"/>
        </w:rPr>
        <w:t xml:space="preserve"> </w:t>
      </w:r>
      <w:r w:rsidRPr="00AA552A">
        <w:rPr>
          <w:rFonts w:cs="Cambria"/>
          <w:color w:val="000000"/>
        </w:rPr>
        <w:t>#2</w:t>
      </w:r>
      <w:r w:rsidRPr="00AA552A">
        <w:rPr>
          <w:rFonts w:cs="Cambria"/>
          <w:color w:val="000000"/>
          <w:spacing w:val="-2"/>
        </w:rPr>
        <w:t xml:space="preserve"> </w:t>
      </w:r>
      <w:r w:rsidRPr="00AA552A">
        <w:rPr>
          <w:rFonts w:cs="Cambria"/>
          <w:color w:val="000000"/>
          <w:spacing w:val="1"/>
        </w:rPr>
        <w:t>i</w:t>
      </w:r>
      <w:r w:rsidRPr="00AA552A">
        <w:rPr>
          <w:rFonts w:cs="Cambria"/>
          <w:color w:val="000000"/>
        </w:rPr>
        <w:t>s</w:t>
      </w:r>
      <w:r w:rsidRPr="00AA552A">
        <w:rPr>
          <w:rFonts w:cs="Cambria"/>
          <w:color w:val="000000"/>
          <w:spacing w:val="-2"/>
        </w:rPr>
        <w:t xml:space="preserve"> </w:t>
      </w:r>
      <w:r w:rsidRPr="00AA552A">
        <w:rPr>
          <w:rFonts w:cs="Cambria"/>
          <w:color w:val="000000"/>
          <w:spacing w:val="1"/>
        </w:rPr>
        <w:t>b</w:t>
      </w:r>
      <w:r w:rsidRPr="00AA552A">
        <w:rPr>
          <w:rFonts w:cs="Cambria"/>
          <w:color w:val="000000"/>
        </w:rPr>
        <w:t>o</w:t>
      </w:r>
      <w:r w:rsidRPr="00AA552A">
        <w:rPr>
          <w:rFonts w:cs="Cambria"/>
          <w:color w:val="000000"/>
          <w:spacing w:val="-1"/>
        </w:rPr>
        <w:t>u</w:t>
      </w:r>
      <w:r w:rsidRPr="00AA552A">
        <w:rPr>
          <w:rFonts w:cs="Cambria"/>
          <w:color w:val="000000"/>
        </w:rPr>
        <w:t>n</w:t>
      </w:r>
      <w:r w:rsidRPr="00AA552A">
        <w:rPr>
          <w:rFonts w:cs="Cambria"/>
          <w:color w:val="000000"/>
          <w:spacing w:val="-1"/>
        </w:rPr>
        <w:t>d</w:t>
      </w:r>
      <w:r w:rsidRPr="00AA552A">
        <w:rPr>
          <w:rFonts w:cs="Cambria"/>
          <w:color w:val="000000"/>
          <w:spacing w:val="1"/>
        </w:rPr>
        <w:t>e</w:t>
      </w:r>
      <w:r w:rsidRPr="00AA552A">
        <w:rPr>
          <w:rFonts w:cs="Cambria"/>
          <w:color w:val="000000"/>
        </w:rPr>
        <w:t>d</w:t>
      </w:r>
      <w:r w:rsidRPr="00AA552A">
        <w:rPr>
          <w:rFonts w:cs="Cambria"/>
          <w:color w:val="000000"/>
          <w:spacing w:val="-6"/>
        </w:rPr>
        <w:t xml:space="preserve"> </w:t>
      </w:r>
      <w:r w:rsidRPr="00AA552A">
        <w:rPr>
          <w:rFonts w:cs="Cambria"/>
          <w:color w:val="000000"/>
        </w:rPr>
        <w:t>on</w:t>
      </w:r>
      <w:r w:rsidRPr="00AA552A">
        <w:rPr>
          <w:rFonts w:cs="Cambria"/>
          <w:color w:val="000000"/>
          <w:spacing w:val="2"/>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no</w:t>
      </w:r>
      <w:r w:rsidRPr="00AA552A">
        <w:rPr>
          <w:rFonts w:cs="Cambria"/>
          <w:color w:val="000000"/>
          <w:spacing w:val="-1"/>
        </w:rPr>
        <w:t>r</w:t>
      </w:r>
      <w:r w:rsidRPr="00AA552A">
        <w:rPr>
          <w:rFonts w:cs="Cambria"/>
          <w:color w:val="000000"/>
        </w:rPr>
        <w:t>th</w:t>
      </w:r>
      <w:r w:rsidRPr="00AA552A">
        <w:rPr>
          <w:rFonts w:cs="Cambria"/>
          <w:color w:val="000000"/>
          <w:spacing w:val="-4"/>
        </w:rPr>
        <w:t xml:space="preserve"> </w:t>
      </w:r>
      <w:r w:rsidRPr="00AA552A">
        <w:rPr>
          <w:rFonts w:cs="Cambria"/>
          <w:color w:val="000000"/>
          <w:spacing w:val="1"/>
        </w:rPr>
        <w:t>b</w:t>
      </w:r>
      <w:r w:rsidRPr="00AA552A">
        <w:rPr>
          <w:rFonts w:cs="Cambria"/>
          <w:color w:val="000000"/>
        </w:rPr>
        <w:t>y</w:t>
      </w:r>
      <w:r w:rsidRPr="00AA552A">
        <w:rPr>
          <w:rFonts w:cs="Cambria"/>
          <w:color w:val="000000"/>
          <w:spacing w:val="-2"/>
        </w:rPr>
        <w:t xml:space="preserve"> </w:t>
      </w:r>
      <w:r w:rsidRPr="00AA552A">
        <w:rPr>
          <w:rFonts w:cs="Cambria"/>
          <w:color w:val="000000"/>
          <w:spacing w:val="-1"/>
        </w:rPr>
        <w:t>28</w:t>
      </w:r>
      <w:r w:rsidRPr="00AA552A">
        <w:rPr>
          <w:rFonts w:cs="Cambria"/>
          <w:color w:val="000000"/>
          <w:spacing w:val="1"/>
        </w:rPr>
        <w:t>°</w:t>
      </w:r>
      <w:r w:rsidRPr="00AA552A">
        <w:rPr>
          <w:rFonts w:cs="Cambria"/>
          <w:color w:val="000000"/>
          <w:spacing w:val="-1"/>
        </w:rPr>
        <w:t>17</w:t>
      </w:r>
      <w:r w:rsidRPr="00AA552A">
        <w:rPr>
          <w:rFonts w:cs="Cambria"/>
          <w:color w:val="000000"/>
          <w:spacing w:val="2"/>
        </w:rPr>
        <w:t>’</w:t>
      </w:r>
      <w:r w:rsidRPr="00AA552A">
        <w:rPr>
          <w:rFonts w:cs="Cambria"/>
          <w:color w:val="000000"/>
        </w:rPr>
        <w:t>N.</w:t>
      </w:r>
      <w:r w:rsidRPr="00AA552A">
        <w:rPr>
          <w:rFonts w:cs="Cambria"/>
          <w:color w:val="000000"/>
          <w:spacing w:val="-6"/>
        </w:rPr>
        <w:t xml:space="preserve"> </w:t>
      </w:r>
      <w:r w:rsidRPr="00AA552A">
        <w:rPr>
          <w:rFonts w:cs="Cambria"/>
          <w:color w:val="000000"/>
        </w:rPr>
        <w:t>lat</w:t>
      </w:r>
      <w:r w:rsidRPr="00AA552A">
        <w:rPr>
          <w:rFonts w:cs="Cambria"/>
          <w:color w:val="000000"/>
          <w:spacing w:val="1"/>
        </w:rPr>
        <w:t>i</w:t>
      </w:r>
      <w:r w:rsidRPr="00AA552A">
        <w:rPr>
          <w:rFonts w:cs="Cambria"/>
          <w:color w:val="000000"/>
        </w:rPr>
        <w:t>tu</w:t>
      </w:r>
      <w:r w:rsidRPr="00AA552A">
        <w:rPr>
          <w:rFonts w:cs="Cambria"/>
          <w:color w:val="000000"/>
          <w:spacing w:val="-1"/>
        </w:rPr>
        <w:t>d</w:t>
      </w:r>
      <w:r w:rsidRPr="00AA552A">
        <w:rPr>
          <w:rFonts w:cs="Cambria"/>
          <w:color w:val="000000"/>
          <w:spacing w:val="1"/>
        </w:rPr>
        <w:t>e</w:t>
      </w:r>
      <w:r w:rsidRPr="00AA552A">
        <w:rPr>
          <w:rFonts w:cs="Cambria"/>
          <w:color w:val="000000"/>
        </w:rPr>
        <w:t>,</w:t>
      </w:r>
      <w:r w:rsidRPr="00AA552A">
        <w:rPr>
          <w:rFonts w:cs="Cambria"/>
          <w:color w:val="000000"/>
          <w:spacing w:val="-3"/>
        </w:rPr>
        <w:t xml:space="preserve"> </w:t>
      </w:r>
      <w:r w:rsidRPr="00AA552A">
        <w:rPr>
          <w:rFonts w:cs="Cambria"/>
          <w:color w:val="000000"/>
        </w:rPr>
        <w:t>on</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t>
      </w:r>
      <w:r w:rsidRPr="00AA552A">
        <w:rPr>
          <w:rFonts w:cs="Cambria"/>
          <w:color w:val="000000"/>
        </w:rPr>
        <w:t>south</w:t>
      </w:r>
      <w:r w:rsidRPr="00AA552A">
        <w:rPr>
          <w:rFonts w:cs="Cambria"/>
          <w:color w:val="000000"/>
          <w:spacing w:val="-4"/>
        </w:rPr>
        <w:t xml:space="preserve"> </w:t>
      </w:r>
      <w:r w:rsidRPr="00AA552A">
        <w:rPr>
          <w:rFonts w:cs="Cambria"/>
          <w:color w:val="000000"/>
          <w:spacing w:val="1"/>
        </w:rPr>
        <w:t>b</w:t>
      </w:r>
      <w:r w:rsidRPr="00AA552A">
        <w:rPr>
          <w:rFonts w:cs="Cambria"/>
          <w:color w:val="000000"/>
        </w:rPr>
        <w:t>y</w:t>
      </w:r>
      <w:r w:rsidRPr="00AA552A">
        <w:rPr>
          <w:rFonts w:cs="Cambria"/>
          <w:color w:val="000000"/>
          <w:spacing w:val="-2"/>
        </w:rPr>
        <w:t xml:space="preserve"> </w:t>
      </w:r>
      <w:r w:rsidRPr="00AA552A">
        <w:rPr>
          <w:rFonts w:cs="Cambria"/>
          <w:color w:val="000000"/>
          <w:spacing w:val="-1"/>
        </w:rPr>
        <w:t>28</w:t>
      </w:r>
      <w:r w:rsidRPr="00AA552A">
        <w:rPr>
          <w:rFonts w:cs="Cambria"/>
          <w:color w:val="000000"/>
          <w:spacing w:val="1"/>
        </w:rPr>
        <w:t>°</w:t>
      </w:r>
      <w:r w:rsidRPr="00AA552A">
        <w:rPr>
          <w:rFonts w:cs="Cambria"/>
          <w:color w:val="000000"/>
          <w:spacing w:val="-1"/>
        </w:rPr>
        <w:t>16</w:t>
      </w:r>
      <w:r w:rsidRPr="00AA552A">
        <w:rPr>
          <w:rFonts w:cs="Cambria"/>
          <w:color w:val="000000"/>
        </w:rPr>
        <w:t>’N.</w:t>
      </w:r>
      <w:r w:rsidRPr="00AA552A">
        <w:rPr>
          <w:rFonts w:cs="Cambria"/>
          <w:color w:val="000000"/>
          <w:spacing w:val="-6"/>
        </w:rPr>
        <w:t xml:space="preserve"> </w:t>
      </w:r>
      <w:r w:rsidRPr="00AA552A">
        <w:rPr>
          <w:rFonts w:cs="Cambria"/>
          <w:color w:val="000000"/>
        </w:rPr>
        <w:t>lat</w:t>
      </w:r>
      <w:r w:rsidRPr="00AA552A">
        <w:rPr>
          <w:rFonts w:cs="Cambria"/>
          <w:color w:val="000000"/>
          <w:spacing w:val="1"/>
        </w:rPr>
        <w:t>i</w:t>
      </w:r>
      <w:r w:rsidRPr="00AA552A">
        <w:rPr>
          <w:rFonts w:cs="Cambria"/>
          <w:color w:val="000000"/>
        </w:rPr>
        <w:t>tu</w:t>
      </w:r>
      <w:r w:rsidRPr="00AA552A">
        <w:rPr>
          <w:rFonts w:cs="Cambria"/>
          <w:color w:val="000000"/>
          <w:spacing w:val="-1"/>
        </w:rPr>
        <w:t>d</w:t>
      </w:r>
      <w:r w:rsidRPr="00AA552A">
        <w:rPr>
          <w:rFonts w:cs="Cambria"/>
          <w:color w:val="000000"/>
          <w:spacing w:val="1"/>
        </w:rPr>
        <w:t>e</w:t>
      </w:r>
      <w:r w:rsidRPr="00AA552A">
        <w:rPr>
          <w:rFonts w:cs="Cambria"/>
          <w:color w:val="000000"/>
        </w:rPr>
        <w:t>,</w:t>
      </w:r>
      <w:r w:rsidRPr="00AA552A">
        <w:rPr>
          <w:rFonts w:cs="Cambria"/>
          <w:color w:val="000000"/>
          <w:spacing w:val="-3"/>
        </w:rPr>
        <w:t xml:space="preserve"> </w:t>
      </w:r>
      <w:r w:rsidRPr="00AA552A">
        <w:rPr>
          <w:rFonts w:cs="Cambria"/>
          <w:color w:val="000000"/>
        </w:rPr>
        <w:t>on the</w:t>
      </w:r>
      <w:r w:rsidRPr="00AA552A">
        <w:rPr>
          <w:rFonts w:cs="Cambria"/>
          <w:color w:val="000000"/>
          <w:spacing w:val="-1"/>
        </w:rPr>
        <w:t xml:space="preserve"> </w:t>
      </w:r>
      <w:r w:rsidRPr="00AA552A">
        <w:rPr>
          <w:rFonts w:cs="Cambria"/>
          <w:color w:val="000000"/>
          <w:spacing w:val="1"/>
        </w:rPr>
        <w:t>e</w:t>
      </w:r>
      <w:r w:rsidRPr="00AA552A">
        <w:rPr>
          <w:rFonts w:cs="Cambria"/>
          <w:color w:val="000000"/>
        </w:rPr>
        <w:t>ast</w:t>
      </w:r>
      <w:r w:rsidRPr="00AA552A">
        <w:rPr>
          <w:rFonts w:cs="Cambria"/>
          <w:color w:val="000000"/>
          <w:spacing w:val="-2"/>
        </w:rPr>
        <w:t xml:space="preserve"> </w:t>
      </w:r>
      <w:r w:rsidRPr="00AA552A">
        <w:rPr>
          <w:rFonts w:cs="Cambria"/>
          <w:color w:val="000000"/>
          <w:spacing w:val="1"/>
        </w:rPr>
        <w:t>b</w:t>
      </w:r>
      <w:r w:rsidRPr="00AA552A">
        <w:rPr>
          <w:rFonts w:cs="Cambria"/>
          <w:color w:val="000000"/>
        </w:rPr>
        <w:t>y</w:t>
      </w:r>
      <w:r w:rsidRPr="00AA552A">
        <w:rPr>
          <w:rFonts w:cs="Cambria"/>
          <w:color w:val="000000"/>
          <w:spacing w:val="-2"/>
        </w:rPr>
        <w:t xml:space="preserve"> </w:t>
      </w:r>
      <w:r w:rsidRPr="00AA552A">
        <w:rPr>
          <w:rFonts w:cs="Cambria"/>
          <w:color w:val="000000"/>
          <w:spacing w:val="-1"/>
        </w:rPr>
        <w:t>80</w:t>
      </w:r>
      <w:r w:rsidRPr="00AA552A">
        <w:rPr>
          <w:rFonts w:cs="Cambria"/>
          <w:color w:val="000000"/>
          <w:spacing w:val="1"/>
        </w:rPr>
        <w:t>°</w:t>
      </w:r>
      <w:r w:rsidRPr="00AA552A">
        <w:rPr>
          <w:rFonts w:cs="Cambria"/>
          <w:color w:val="000000"/>
        </w:rPr>
        <w:t>W.</w:t>
      </w:r>
      <w:r w:rsidRPr="00AA552A">
        <w:rPr>
          <w:rFonts w:cs="Cambria"/>
          <w:color w:val="000000"/>
          <w:spacing w:val="-2"/>
        </w:rPr>
        <w:t xml:space="preserve"> </w:t>
      </w:r>
      <w:r w:rsidRPr="00AA552A">
        <w:rPr>
          <w:rFonts w:cs="Cambria"/>
          <w:color w:val="000000"/>
        </w:rPr>
        <w:t>lon</w:t>
      </w:r>
      <w:r w:rsidRPr="00AA552A">
        <w:rPr>
          <w:rFonts w:cs="Cambria"/>
          <w:color w:val="000000"/>
          <w:spacing w:val="-1"/>
        </w:rPr>
        <w:t>g</w:t>
      </w:r>
      <w:r w:rsidRPr="00AA552A">
        <w:rPr>
          <w:rFonts w:cs="Cambria"/>
          <w:color w:val="000000"/>
          <w:spacing w:val="1"/>
        </w:rPr>
        <w:t>i</w:t>
      </w:r>
      <w:r w:rsidRPr="00AA552A">
        <w:rPr>
          <w:rFonts w:cs="Cambria"/>
          <w:color w:val="000000"/>
        </w:rPr>
        <w:t>tu</w:t>
      </w:r>
      <w:r w:rsidRPr="00AA552A">
        <w:rPr>
          <w:rFonts w:cs="Cambria"/>
          <w:color w:val="000000"/>
          <w:spacing w:val="-1"/>
        </w:rPr>
        <w:t>d</w:t>
      </w:r>
      <w:r w:rsidRPr="00AA552A">
        <w:rPr>
          <w:rFonts w:cs="Cambria"/>
          <w:color w:val="000000"/>
          <w:spacing w:val="1"/>
        </w:rPr>
        <w:t>e</w:t>
      </w:r>
      <w:r w:rsidRPr="00AA552A">
        <w:rPr>
          <w:rFonts w:cs="Cambria"/>
          <w:color w:val="000000"/>
        </w:rPr>
        <w:t>,</w:t>
      </w:r>
      <w:r w:rsidRPr="00AA552A">
        <w:rPr>
          <w:rFonts w:cs="Cambria"/>
          <w:color w:val="000000"/>
          <w:spacing w:val="-5"/>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rPr>
        <w:t>on</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w:t>
      </w:r>
      <w:r w:rsidRPr="00AA552A">
        <w:rPr>
          <w:rFonts w:cs="Cambria"/>
          <w:color w:val="000000"/>
          <w:spacing w:val="1"/>
        </w:rPr>
        <w:t>e</w:t>
      </w:r>
      <w:r w:rsidRPr="00AA552A">
        <w:rPr>
          <w:rFonts w:cs="Cambria"/>
          <w:color w:val="000000"/>
        </w:rPr>
        <w:t>st</w:t>
      </w:r>
      <w:r w:rsidRPr="00AA552A">
        <w:rPr>
          <w:rFonts w:cs="Cambria"/>
          <w:color w:val="000000"/>
          <w:spacing w:val="-2"/>
        </w:rPr>
        <w:t xml:space="preserve"> </w:t>
      </w:r>
      <w:r w:rsidRPr="00AA552A">
        <w:rPr>
          <w:rFonts w:cs="Cambria"/>
          <w:color w:val="000000"/>
          <w:spacing w:val="1"/>
        </w:rPr>
        <w:t>b</w:t>
      </w:r>
      <w:r w:rsidRPr="00AA552A">
        <w:rPr>
          <w:rFonts w:cs="Cambria"/>
          <w:color w:val="000000"/>
        </w:rPr>
        <w:t>y</w:t>
      </w:r>
      <w:r w:rsidRPr="00AA552A">
        <w:rPr>
          <w:rFonts w:cs="Cambria"/>
          <w:color w:val="000000"/>
          <w:spacing w:val="-2"/>
        </w:rPr>
        <w:t xml:space="preserve"> </w:t>
      </w:r>
      <w:r w:rsidRPr="00AA552A">
        <w:rPr>
          <w:rFonts w:cs="Cambria"/>
          <w:color w:val="000000"/>
          <w:spacing w:val="-1"/>
        </w:rPr>
        <w:t>80</w:t>
      </w:r>
      <w:r w:rsidRPr="00AA552A">
        <w:rPr>
          <w:rFonts w:cs="Cambria"/>
          <w:color w:val="000000"/>
          <w:spacing w:val="1"/>
        </w:rPr>
        <w:t>°</w:t>
      </w:r>
      <w:r w:rsidRPr="00AA552A">
        <w:rPr>
          <w:rFonts w:cs="Cambria"/>
          <w:color w:val="000000"/>
          <w:spacing w:val="-1"/>
        </w:rPr>
        <w:t>3</w:t>
      </w:r>
      <w:r w:rsidRPr="00AA552A">
        <w:rPr>
          <w:rFonts w:cs="Cambria"/>
          <w:color w:val="000000"/>
        </w:rPr>
        <w:t>’W.</w:t>
      </w:r>
      <w:r w:rsidRPr="00AA552A">
        <w:rPr>
          <w:rFonts w:cs="Cambria"/>
          <w:color w:val="000000"/>
          <w:spacing w:val="-3"/>
        </w:rPr>
        <w:t xml:space="preserve"> </w:t>
      </w:r>
      <w:r w:rsidRPr="00AA552A">
        <w:rPr>
          <w:rFonts w:cs="Cambria"/>
          <w:color w:val="000000"/>
        </w:rPr>
        <w:t>lon</w:t>
      </w:r>
      <w:r w:rsidRPr="00AA552A">
        <w:rPr>
          <w:rFonts w:cs="Cambria"/>
          <w:color w:val="000000"/>
          <w:spacing w:val="-1"/>
        </w:rPr>
        <w:t>g</w:t>
      </w:r>
      <w:r w:rsidRPr="00AA552A">
        <w:rPr>
          <w:rFonts w:cs="Cambria"/>
          <w:color w:val="000000"/>
          <w:spacing w:val="1"/>
        </w:rPr>
        <w:t>i</w:t>
      </w:r>
      <w:r w:rsidRPr="00AA552A">
        <w:rPr>
          <w:rFonts w:cs="Cambria"/>
          <w:color w:val="000000"/>
        </w:rPr>
        <w:t>tu</w:t>
      </w:r>
      <w:r w:rsidRPr="00AA552A">
        <w:rPr>
          <w:rFonts w:cs="Cambria"/>
          <w:color w:val="000000"/>
          <w:spacing w:val="-1"/>
        </w:rPr>
        <w:t>d</w:t>
      </w:r>
      <w:r w:rsidRPr="00AA552A">
        <w:rPr>
          <w:rFonts w:cs="Cambria"/>
          <w:color w:val="000000"/>
          <w:spacing w:val="1"/>
        </w:rPr>
        <w:t>e</w:t>
      </w:r>
      <w:r w:rsidRPr="00AA552A">
        <w:rPr>
          <w:rFonts w:cs="Cambria"/>
          <w:color w:val="000000"/>
        </w:rPr>
        <w:t>.</w:t>
      </w:r>
    </w:p>
    <w:p w14:paraId="253B65EF" w14:textId="77777777" w:rsidR="00DC4922" w:rsidRPr="00AA552A" w:rsidRDefault="00DC4922" w:rsidP="00DC4922">
      <w:pPr>
        <w:rPr>
          <w:rFonts w:cs="Cambria"/>
          <w:color w:val="000000"/>
        </w:rPr>
      </w:pPr>
      <w:r w:rsidRPr="00AA552A">
        <w:rPr>
          <w:color w:val="000000"/>
          <w:w w:val="131"/>
        </w:rPr>
        <w:t>•</w:t>
      </w:r>
      <w:r w:rsidRPr="00AA552A">
        <w:rPr>
          <w:color w:val="000000"/>
        </w:rPr>
        <w:tab/>
      </w:r>
      <w:r w:rsidRPr="00AA552A">
        <w:rPr>
          <w:rFonts w:cs="Cambria"/>
          <w:color w:val="000000"/>
          <w:spacing w:val="1"/>
        </w:rPr>
        <w:t>P</w:t>
      </w:r>
      <w:r w:rsidRPr="00AA552A">
        <w:rPr>
          <w:rFonts w:cs="Cambria"/>
          <w:color w:val="000000"/>
          <w:spacing w:val="-1"/>
        </w:rPr>
        <w:t>r</w:t>
      </w:r>
      <w:r w:rsidRPr="00AA552A">
        <w:rPr>
          <w:rFonts w:cs="Cambria"/>
          <w:color w:val="000000"/>
        </w:rPr>
        <w:t>oh</w:t>
      </w:r>
      <w:r w:rsidRPr="00AA552A">
        <w:rPr>
          <w:rFonts w:cs="Cambria"/>
          <w:color w:val="000000"/>
          <w:spacing w:val="1"/>
        </w:rPr>
        <w:t>ibi</w:t>
      </w:r>
      <w:r w:rsidRPr="00AA552A">
        <w:rPr>
          <w:rFonts w:cs="Cambria"/>
          <w:color w:val="000000"/>
        </w:rPr>
        <w:t>t</w:t>
      </w:r>
      <w:r w:rsidRPr="00AA552A">
        <w:rPr>
          <w:rFonts w:cs="Cambria"/>
          <w:color w:val="000000"/>
          <w:spacing w:val="1"/>
        </w:rPr>
        <w:t>e</w:t>
      </w:r>
      <w:r w:rsidRPr="00AA552A">
        <w:rPr>
          <w:rFonts w:cs="Cambria"/>
          <w:color w:val="000000"/>
        </w:rPr>
        <w:t>d</w:t>
      </w:r>
      <w:r w:rsidRPr="00AA552A">
        <w:rPr>
          <w:rFonts w:cs="Cambria"/>
          <w:color w:val="000000"/>
          <w:spacing w:val="-10"/>
        </w:rPr>
        <w:t xml:space="preserve"> </w:t>
      </w:r>
      <w:r w:rsidRPr="00AA552A">
        <w:rPr>
          <w:rFonts w:cs="Cambria"/>
          <w:color w:val="000000"/>
        </w:rPr>
        <w:t>the</w:t>
      </w:r>
      <w:r w:rsidRPr="00AA552A">
        <w:rPr>
          <w:rFonts w:cs="Cambria"/>
          <w:color w:val="000000"/>
          <w:spacing w:val="-1"/>
        </w:rPr>
        <w:t xml:space="preserve"> u</w:t>
      </w:r>
      <w:r w:rsidRPr="00AA552A">
        <w:rPr>
          <w:rFonts w:cs="Cambria"/>
          <w:color w:val="000000"/>
        </w:rPr>
        <w:t>se</w:t>
      </w:r>
      <w:r w:rsidRPr="00AA552A">
        <w:rPr>
          <w:rFonts w:cs="Cambria"/>
          <w:color w:val="000000"/>
          <w:spacing w:val="-1"/>
        </w:rPr>
        <w:t xml:space="preserve"> </w:t>
      </w:r>
      <w:r w:rsidRPr="00AA552A">
        <w:rPr>
          <w:rFonts w:cs="Cambria"/>
          <w:color w:val="000000"/>
        </w:rPr>
        <w:t>of</w:t>
      </w:r>
      <w:r w:rsidRPr="00AA552A">
        <w:rPr>
          <w:rFonts w:cs="Cambria"/>
          <w:color w:val="000000"/>
          <w:spacing w:val="-3"/>
        </w:rPr>
        <w:t xml:space="preserve"> </w:t>
      </w:r>
      <w:r w:rsidRPr="00AA552A">
        <w:rPr>
          <w:rFonts w:cs="Cambria"/>
          <w:color w:val="000000"/>
        </w:rPr>
        <w:t xml:space="preserve">all </w:t>
      </w:r>
      <w:r w:rsidRPr="00AA552A">
        <w:rPr>
          <w:rFonts w:cs="Cambria"/>
          <w:color w:val="000000"/>
          <w:spacing w:val="1"/>
        </w:rPr>
        <w:t>b</w:t>
      </w:r>
      <w:r w:rsidRPr="00AA552A">
        <w:rPr>
          <w:rFonts w:cs="Cambria"/>
          <w:color w:val="000000"/>
        </w:rPr>
        <w:t>ottom</w:t>
      </w:r>
      <w:r w:rsidRPr="00AA552A">
        <w:rPr>
          <w:rFonts w:cs="Cambria"/>
          <w:color w:val="000000"/>
          <w:spacing w:val="-3"/>
        </w:rPr>
        <w:t xml:space="preserve"> </w:t>
      </w:r>
      <w:r w:rsidRPr="00AA552A">
        <w:rPr>
          <w:rFonts w:cs="Cambria"/>
          <w:color w:val="000000"/>
        </w:rPr>
        <w:t>t</w:t>
      </w:r>
      <w:r w:rsidRPr="00AA552A">
        <w:rPr>
          <w:rFonts w:cs="Cambria"/>
          <w:color w:val="000000"/>
          <w:spacing w:val="1"/>
        </w:rPr>
        <w:t>e</w:t>
      </w:r>
      <w:r w:rsidRPr="00AA552A">
        <w:rPr>
          <w:rFonts w:cs="Cambria"/>
          <w:color w:val="000000"/>
        </w:rPr>
        <w:t>n</w:t>
      </w:r>
      <w:r w:rsidRPr="00AA552A">
        <w:rPr>
          <w:rFonts w:cs="Cambria"/>
          <w:color w:val="000000"/>
          <w:spacing w:val="-1"/>
        </w:rPr>
        <w:t>d</w:t>
      </w:r>
      <w:r w:rsidRPr="00AA552A">
        <w:rPr>
          <w:rFonts w:cs="Cambria"/>
          <w:color w:val="000000"/>
          <w:spacing w:val="1"/>
        </w:rPr>
        <w:t>i</w:t>
      </w:r>
      <w:r w:rsidRPr="00AA552A">
        <w:rPr>
          <w:rFonts w:cs="Cambria"/>
          <w:color w:val="000000"/>
        </w:rPr>
        <w:t>ng</w:t>
      </w:r>
      <w:r w:rsidRPr="00AA552A">
        <w:rPr>
          <w:rFonts w:cs="Cambria"/>
          <w:color w:val="000000"/>
          <w:spacing w:val="-4"/>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1"/>
        </w:rPr>
        <w:t>i</w:t>
      </w:r>
      <w:r w:rsidRPr="00AA552A">
        <w:rPr>
          <w:rFonts w:cs="Cambria"/>
          <w:color w:val="000000"/>
        </w:rPr>
        <w:t>ng</w:t>
      </w:r>
      <w:r w:rsidRPr="00AA552A">
        <w:rPr>
          <w:rFonts w:cs="Cambria"/>
          <w:color w:val="000000"/>
          <w:spacing w:val="-5"/>
        </w:rPr>
        <w:t xml:space="preserve"> </w:t>
      </w:r>
      <w:r w:rsidRPr="00AA552A">
        <w:rPr>
          <w:rFonts w:cs="Cambria"/>
          <w:color w:val="000000"/>
          <w:spacing w:val="-1"/>
        </w:rPr>
        <w:t>g</w:t>
      </w:r>
      <w:r w:rsidRPr="00AA552A">
        <w:rPr>
          <w:rFonts w:cs="Cambria"/>
          <w:color w:val="000000"/>
          <w:spacing w:val="1"/>
        </w:rPr>
        <w:t>e</w:t>
      </w:r>
      <w:r w:rsidRPr="00AA552A">
        <w:rPr>
          <w:rFonts w:cs="Cambria"/>
          <w:color w:val="000000"/>
        </w:rPr>
        <w:t>ar</w:t>
      </w:r>
      <w:r w:rsidRPr="00AA552A">
        <w:rPr>
          <w:rFonts w:cs="Cambria"/>
          <w:color w:val="000000"/>
          <w:spacing w:val="-3"/>
        </w:rPr>
        <w:t xml:space="preserve"> </w:t>
      </w:r>
      <w:r w:rsidRPr="00AA552A">
        <w:rPr>
          <w:rFonts w:cs="Cambria"/>
          <w:color w:val="000000"/>
        </w:rPr>
        <w:t>and</w:t>
      </w:r>
      <w:r w:rsidRPr="00AA552A">
        <w:rPr>
          <w:rFonts w:cs="Cambria"/>
          <w:color w:val="000000"/>
          <w:spacing w:val="-2"/>
        </w:rPr>
        <w:t xml:space="preserve"> </w:t>
      </w:r>
      <w:r w:rsidRPr="00AA552A">
        <w:rPr>
          <w:rFonts w:cs="Cambria"/>
          <w:color w:val="000000"/>
          <w:spacing w:val="-1"/>
        </w:rPr>
        <w:t>f</w:t>
      </w:r>
      <w:r w:rsidRPr="00AA552A">
        <w:rPr>
          <w:rFonts w:cs="Cambria"/>
          <w:color w:val="000000"/>
          <w:spacing w:val="1"/>
        </w:rPr>
        <w:t>i</w:t>
      </w:r>
      <w:r w:rsidRPr="00AA552A">
        <w:rPr>
          <w:rFonts w:cs="Cambria"/>
          <w:color w:val="000000"/>
        </w:rPr>
        <w:t>sh</w:t>
      </w:r>
      <w:r w:rsidRPr="00AA552A">
        <w:rPr>
          <w:rFonts w:cs="Cambria"/>
          <w:color w:val="000000"/>
          <w:spacing w:val="1"/>
        </w:rPr>
        <w:t>i</w:t>
      </w:r>
      <w:r w:rsidRPr="00AA552A">
        <w:rPr>
          <w:rFonts w:cs="Cambria"/>
          <w:color w:val="000000"/>
        </w:rPr>
        <w:t>ng</w:t>
      </w:r>
      <w:r w:rsidRPr="00AA552A">
        <w:rPr>
          <w:rFonts w:cs="Cambria"/>
          <w:color w:val="000000"/>
          <w:spacing w:val="-5"/>
        </w:rPr>
        <w:t xml:space="preserve"> </w:t>
      </w:r>
      <w:r w:rsidRPr="00AA552A">
        <w:rPr>
          <w:rFonts w:cs="Cambria"/>
          <w:color w:val="000000"/>
          <w:spacing w:val="-1"/>
        </w:rPr>
        <w:t>v</w:t>
      </w:r>
      <w:r w:rsidRPr="00AA552A">
        <w:rPr>
          <w:rFonts w:cs="Cambria"/>
          <w:color w:val="000000"/>
          <w:spacing w:val="1"/>
        </w:rPr>
        <w:t>e</w:t>
      </w:r>
      <w:r w:rsidRPr="00AA552A">
        <w:rPr>
          <w:rFonts w:cs="Cambria"/>
          <w:color w:val="000000"/>
        </w:rPr>
        <w:t>ss</w:t>
      </w:r>
      <w:r w:rsidRPr="00AA552A">
        <w:rPr>
          <w:rFonts w:cs="Cambria"/>
          <w:color w:val="000000"/>
          <w:spacing w:val="1"/>
        </w:rPr>
        <w:t>e</w:t>
      </w:r>
      <w:r w:rsidRPr="00AA552A">
        <w:rPr>
          <w:rFonts w:cs="Cambria"/>
          <w:color w:val="000000"/>
        </w:rPr>
        <w:t>ls</w:t>
      </w:r>
      <w:r w:rsidRPr="00AA552A">
        <w:rPr>
          <w:rFonts w:cs="Cambria"/>
          <w:color w:val="000000"/>
          <w:spacing w:val="-5"/>
        </w:rPr>
        <w:t xml:space="preserve"> </w:t>
      </w:r>
      <w:r w:rsidRPr="00AA552A">
        <w:rPr>
          <w:rFonts w:cs="Cambria"/>
          <w:color w:val="000000"/>
          <w:spacing w:val="-1"/>
        </w:rPr>
        <w:t>fr</w:t>
      </w:r>
      <w:r w:rsidRPr="00AA552A">
        <w:rPr>
          <w:rFonts w:cs="Cambria"/>
          <w:color w:val="000000"/>
        </w:rPr>
        <w:t>om</w:t>
      </w:r>
      <w:r w:rsidRPr="00AA552A">
        <w:rPr>
          <w:rFonts w:cs="Cambria"/>
          <w:color w:val="000000"/>
          <w:spacing w:val="-3"/>
        </w:rPr>
        <w:t xml:space="preserve"> </w:t>
      </w:r>
      <w:r w:rsidRPr="00AA552A">
        <w:rPr>
          <w:rFonts w:cs="Cambria"/>
          <w:color w:val="000000"/>
        </w:rPr>
        <w:t>ancho</w:t>
      </w:r>
      <w:r w:rsidRPr="00AA552A">
        <w:rPr>
          <w:rFonts w:cs="Cambria"/>
          <w:color w:val="000000"/>
          <w:spacing w:val="-1"/>
        </w:rPr>
        <w:t>r</w:t>
      </w:r>
      <w:r w:rsidRPr="00AA552A">
        <w:rPr>
          <w:rFonts w:cs="Cambria"/>
          <w:color w:val="000000"/>
          <w:spacing w:val="1"/>
        </w:rPr>
        <w:t>i</w:t>
      </w:r>
      <w:r w:rsidRPr="00AA552A">
        <w:rPr>
          <w:rFonts w:cs="Cambria"/>
          <w:color w:val="000000"/>
        </w:rPr>
        <w:t>ng</w:t>
      </w:r>
      <w:r w:rsidRPr="00AA552A">
        <w:rPr>
          <w:rFonts w:cs="Cambria"/>
          <w:color w:val="000000"/>
          <w:spacing w:val="-6"/>
        </w:rPr>
        <w:t xml:space="preserve"> </w:t>
      </w:r>
      <w:r w:rsidRPr="00AA552A">
        <w:rPr>
          <w:rFonts w:cs="Cambria"/>
          <w:color w:val="000000"/>
          <w:spacing w:val="2"/>
        </w:rPr>
        <w:t>o</w:t>
      </w:r>
      <w:r w:rsidRPr="00AA552A">
        <w:rPr>
          <w:rFonts w:cs="Cambria"/>
          <w:color w:val="000000"/>
        </w:rPr>
        <w:t xml:space="preserve">r </w:t>
      </w:r>
      <w:r w:rsidRPr="00AA552A">
        <w:rPr>
          <w:rFonts w:cs="Cambria"/>
          <w:color w:val="000000"/>
          <w:spacing w:val="-1"/>
        </w:rPr>
        <w:t>u</w:t>
      </w:r>
      <w:r w:rsidRPr="00AA552A">
        <w:rPr>
          <w:rFonts w:cs="Cambria"/>
          <w:color w:val="000000"/>
        </w:rPr>
        <w:t>s</w:t>
      </w:r>
      <w:r w:rsidRPr="00AA552A">
        <w:rPr>
          <w:rFonts w:cs="Cambria"/>
          <w:color w:val="000000"/>
          <w:spacing w:val="1"/>
        </w:rPr>
        <w:t>i</w:t>
      </w:r>
      <w:r w:rsidRPr="00AA552A">
        <w:rPr>
          <w:rFonts w:cs="Cambria"/>
          <w:color w:val="000000"/>
        </w:rPr>
        <w:t>ng</w:t>
      </w:r>
      <w:r w:rsidRPr="00AA552A">
        <w:rPr>
          <w:rFonts w:cs="Cambria"/>
          <w:color w:val="000000"/>
          <w:spacing w:val="-3"/>
        </w:rPr>
        <w:t xml:space="preserve"> </w:t>
      </w:r>
      <w:r w:rsidRPr="00AA552A">
        <w:rPr>
          <w:rFonts w:cs="Cambria"/>
          <w:color w:val="000000"/>
          <w:spacing w:val="-1"/>
        </w:rPr>
        <w:t>gr</w:t>
      </w:r>
      <w:r w:rsidRPr="00AA552A">
        <w:rPr>
          <w:rFonts w:cs="Cambria"/>
          <w:color w:val="000000"/>
        </w:rPr>
        <w:t>a</w:t>
      </w:r>
      <w:r w:rsidRPr="00AA552A">
        <w:rPr>
          <w:rFonts w:cs="Cambria"/>
          <w:color w:val="000000"/>
          <w:spacing w:val="1"/>
        </w:rPr>
        <w:t>pp</w:t>
      </w:r>
      <w:r w:rsidRPr="00AA552A">
        <w:rPr>
          <w:rFonts w:cs="Cambria"/>
          <w:color w:val="000000"/>
        </w:rPr>
        <w:t>l</w:t>
      </w:r>
      <w:r w:rsidRPr="00AA552A">
        <w:rPr>
          <w:rFonts w:cs="Cambria"/>
          <w:color w:val="000000"/>
          <w:spacing w:val="1"/>
        </w:rPr>
        <w:t>e</w:t>
      </w:r>
      <w:r w:rsidRPr="00AA552A">
        <w:rPr>
          <w:rFonts w:cs="Cambria"/>
          <w:color w:val="000000"/>
        </w:rPr>
        <w:t>s</w:t>
      </w:r>
      <w:r w:rsidRPr="00AA552A">
        <w:rPr>
          <w:rFonts w:cs="Cambria"/>
          <w:color w:val="000000"/>
          <w:spacing w:val="-3"/>
        </w:rPr>
        <w:t xml:space="preserve"> </w:t>
      </w:r>
      <w:r w:rsidRPr="00AA552A">
        <w:rPr>
          <w:rFonts w:cs="Cambria"/>
          <w:color w:val="000000"/>
          <w:spacing w:val="1"/>
        </w:rPr>
        <w:t>i</w:t>
      </w:r>
      <w:r w:rsidRPr="00AA552A">
        <w:rPr>
          <w:rFonts w:cs="Cambria"/>
          <w:color w:val="000000"/>
        </w:rPr>
        <w:t>n</w:t>
      </w:r>
      <w:r w:rsidRPr="00AA552A">
        <w:rPr>
          <w:rFonts w:cs="Cambria"/>
          <w:color w:val="000000"/>
          <w:spacing w:val="-1"/>
        </w:rPr>
        <w:t xml:space="preserve"> </w:t>
      </w:r>
      <w:r w:rsidRPr="00AA552A">
        <w:rPr>
          <w:rFonts w:cs="Cambria"/>
          <w:color w:val="000000"/>
        </w:rPr>
        <w:t>the</w:t>
      </w:r>
      <w:r w:rsidRPr="00AA552A">
        <w:rPr>
          <w:rFonts w:cs="Cambria"/>
          <w:color w:val="000000"/>
          <w:spacing w:val="-1"/>
        </w:rPr>
        <w:t xml:space="preserve"> </w:t>
      </w:r>
      <w:r w:rsidRPr="00AA552A">
        <w:rPr>
          <w:rFonts w:cs="Cambria"/>
          <w:i/>
          <w:iCs/>
          <w:color w:val="000000"/>
        </w:rPr>
        <w:t>O</w:t>
      </w:r>
      <w:r w:rsidRPr="00AA552A">
        <w:rPr>
          <w:rFonts w:cs="Cambria"/>
          <w:i/>
          <w:iCs/>
          <w:color w:val="000000"/>
          <w:spacing w:val="-1"/>
        </w:rPr>
        <w:t>c</w:t>
      </w:r>
      <w:r w:rsidRPr="00AA552A">
        <w:rPr>
          <w:rFonts w:cs="Cambria"/>
          <w:i/>
          <w:iCs/>
          <w:color w:val="000000"/>
          <w:spacing w:val="1"/>
        </w:rPr>
        <w:t>ul</w:t>
      </w:r>
      <w:r w:rsidRPr="00AA552A">
        <w:rPr>
          <w:rFonts w:cs="Cambria"/>
          <w:i/>
          <w:iCs/>
          <w:color w:val="000000"/>
        </w:rPr>
        <w:t>i</w:t>
      </w:r>
      <w:r w:rsidRPr="00AA552A">
        <w:rPr>
          <w:rFonts w:cs="Cambria"/>
          <w:i/>
          <w:iCs/>
          <w:color w:val="000000"/>
          <w:spacing w:val="-1"/>
        </w:rPr>
        <w:t>n</w:t>
      </w:r>
      <w:r w:rsidRPr="00AA552A">
        <w:rPr>
          <w:rFonts w:cs="Cambria"/>
          <w:i/>
          <w:iCs/>
          <w:color w:val="000000"/>
        </w:rPr>
        <w:t>a</w:t>
      </w:r>
      <w:r w:rsidRPr="00AA552A">
        <w:rPr>
          <w:rFonts w:cs="Cambria"/>
          <w:i/>
          <w:iCs/>
          <w:color w:val="000000"/>
          <w:spacing w:val="-3"/>
        </w:rPr>
        <w:t xml:space="preserve"> </w:t>
      </w:r>
      <w:r w:rsidRPr="00AA552A">
        <w:rPr>
          <w:rFonts w:cs="Cambria"/>
          <w:color w:val="000000"/>
        </w:rPr>
        <w:t>Bank</w:t>
      </w:r>
      <w:r w:rsidRPr="00AA552A">
        <w:rPr>
          <w:rFonts w:cs="Cambria"/>
          <w:color w:val="000000"/>
          <w:spacing w:val="-1"/>
        </w:rPr>
        <w:t xml:space="preserve"> </w:t>
      </w:r>
      <w:r w:rsidRPr="00AA552A">
        <w:rPr>
          <w:rFonts w:cs="Cambria"/>
          <w:color w:val="000000"/>
          <w:spacing w:val="1"/>
        </w:rPr>
        <w:t>H</w:t>
      </w:r>
      <w:r w:rsidRPr="00AA552A">
        <w:rPr>
          <w:rFonts w:cs="Cambria"/>
          <w:color w:val="000000"/>
          <w:spacing w:val="-1"/>
        </w:rPr>
        <w:t>A</w:t>
      </w:r>
      <w:r w:rsidRPr="00AA552A">
        <w:rPr>
          <w:rFonts w:cs="Cambria"/>
          <w:color w:val="000000"/>
          <w:spacing w:val="1"/>
        </w:rPr>
        <w:t>P</w:t>
      </w:r>
      <w:r w:rsidRPr="00AA552A">
        <w:rPr>
          <w:rFonts w:cs="Cambria"/>
          <w:color w:val="000000"/>
          <w:spacing w:val="-1"/>
        </w:rPr>
        <w:t>C</w:t>
      </w:r>
      <w:r w:rsidRPr="00AA552A">
        <w:rPr>
          <w:rFonts w:cs="Cambria"/>
          <w:color w:val="000000"/>
        </w:rPr>
        <w:t>.</w:t>
      </w:r>
    </w:p>
    <w:p w14:paraId="72C23718" w14:textId="77777777" w:rsidR="00DC4922" w:rsidRPr="00AA552A" w:rsidRDefault="00DC4922" w:rsidP="00DC4922">
      <w:pPr>
        <w:rPr>
          <w:color w:val="000000"/>
        </w:rPr>
      </w:pPr>
      <w:r w:rsidRPr="00AA552A">
        <w:rPr>
          <w:color w:val="000000"/>
          <w:w w:val="131"/>
        </w:rPr>
        <w:t>•</w:t>
      </w:r>
      <w:r w:rsidRPr="00AA552A">
        <w:rPr>
          <w:color w:val="000000"/>
        </w:rPr>
        <w:tab/>
        <w:t>Est</w:t>
      </w:r>
      <w:r w:rsidRPr="00AA552A">
        <w:rPr>
          <w:color w:val="000000"/>
          <w:spacing w:val="-1"/>
        </w:rPr>
        <w:t>a</w:t>
      </w:r>
      <w:r w:rsidRPr="00AA552A">
        <w:rPr>
          <w:color w:val="000000"/>
        </w:rPr>
        <w:t>blish</w:t>
      </w:r>
      <w:r w:rsidRPr="00AA552A">
        <w:rPr>
          <w:color w:val="000000"/>
          <w:spacing w:val="-1"/>
        </w:rPr>
        <w:t>e</w:t>
      </w:r>
      <w:r w:rsidRPr="00AA552A">
        <w:rPr>
          <w:color w:val="000000"/>
        </w:rPr>
        <w:t>d a</w:t>
      </w:r>
      <w:r w:rsidRPr="00AA552A">
        <w:rPr>
          <w:color w:val="000000"/>
          <w:spacing w:val="-1"/>
        </w:rPr>
        <w:t xml:space="preserve"> fra</w:t>
      </w:r>
      <w:r w:rsidRPr="00AA552A">
        <w:rPr>
          <w:color w:val="000000"/>
          <w:spacing w:val="3"/>
        </w:rPr>
        <w:t>m</w:t>
      </w:r>
      <w:r w:rsidRPr="00AA552A">
        <w:rPr>
          <w:color w:val="000000"/>
          <w:spacing w:val="-1"/>
        </w:rPr>
        <w:t>e</w:t>
      </w:r>
      <w:r w:rsidRPr="00AA552A">
        <w:rPr>
          <w:color w:val="000000"/>
        </w:rPr>
        <w:t>wo</w:t>
      </w:r>
      <w:r w:rsidRPr="00AA552A">
        <w:rPr>
          <w:color w:val="000000"/>
          <w:spacing w:val="-1"/>
        </w:rPr>
        <w:t>r</w:t>
      </w:r>
      <w:r w:rsidRPr="00AA552A">
        <w:rPr>
          <w:color w:val="000000"/>
        </w:rPr>
        <w:t>k</w:t>
      </w:r>
      <w:r w:rsidRPr="00AA552A">
        <w:rPr>
          <w:color w:val="000000"/>
          <w:spacing w:val="2"/>
        </w:rPr>
        <w:t xml:space="preserve"> </w:t>
      </w:r>
      <w:r w:rsidRPr="00AA552A">
        <w:rPr>
          <w:color w:val="000000"/>
        </w:rPr>
        <w:t>p</w:t>
      </w:r>
      <w:r w:rsidRPr="00AA552A">
        <w:rPr>
          <w:color w:val="000000"/>
          <w:spacing w:val="-1"/>
        </w:rPr>
        <w:t>r</w:t>
      </w:r>
      <w:r w:rsidRPr="00AA552A">
        <w:rPr>
          <w:color w:val="000000"/>
        </w:rPr>
        <w:t>o</w:t>
      </w:r>
      <w:r w:rsidRPr="00AA552A">
        <w:rPr>
          <w:color w:val="000000"/>
          <w:spacing w:val="-1"/>
        </w:rPr>
        <w:t>ce</w:t>
      </w:r>
      <w:r w:rsidRPr="00AA552A">
        <w:rPr>
          <w:color w:val="000000"/>
        </w:rPr>
        <w:t>du</w:t>
      </w:r>
      <w:r w:rsidRPr="00AA552A">
        <w:rPr>
          <w:color w:val="000000"/>
          <w:spacing w:val="2"/>
        </w:rPr>
        <w:t>r</w:t>
      </w:r>
      <w:r w:rsidRPr="00AA552A">
        <w:rPr>
          <w:color w:val="000000"/>
        </w:rPr>
        <w:t>e</w:t>
      </w:r>
      <w:r w:rsidRPr="00AA552A">
        <w:rPr>
          <w:color w:val="000000"/>
          <w:spacing w:val="-1"/>
        </w:rPr>
        <w:t xml:space="preserve"> </w:t>
      </w:r>
      <w:r w:rsidRPr="00AA552A">
        <w:rPr>
          <w:color w:val="000000"/>
        </w:rPr>
        <w:t>to modi</w:t>
      </w:r>
      <w:r w:rsidRPr="00AA552A">
        <w:rPr>
          <w:color w:val="000000"/>
          <w:spacing w:val="2"/>
        </w:rPr>
        <w:t>f</w:t>
      </w:r>
      <w:r w:rsidRPr="00AA552A">
        <w:rPr>
          <w:color w:val="000000"/>
        </w:rPr>
        <w:t>y</w:t>
      </w:r>
      <w:r w:rsidRPr="00AA552A">
        <w:rPr>
          <w:color w:val="000000"/>
          <w:spacing w:val="-5"/>
        </w:rPr>
        <w:t xml:space="preserve"> </w:t>
      </w:r>
      <w:r w:rsidRPr="00AA552A">
        <w:rPr>
          <w:color w:val="000000"/>
          <w:spacing w:val="2"/>
        </w:rPr>
        <w:t>o</w:t>
      </w:r>
      <w:r w:rsidRPr="00AA552A">
        <w:rPr>
          <w:color w:val="000000"/>
        </w:rPr>
        <w:t>r</w:t>
      </w:r>
      <w:r w:rsidRPr="00AA552A">
        <w:rPr>
          <w:color w:val="000000"/>
          <w:spacing w:val="-1"/>
        </w:rPr>
        <w:t xml:space="preserve"> </w:t>
      </w:r>
      <w:r w:rsidRPr="00AA552A">
        <w:rPr>
          <w:color w:val="000000"/>
          <w:spacing w:val="1"/>
        </w:rPr>
        <w:t>e</w:t>
      </w:r>
      <w:r w:rsidRPr="00AA552A">
        <w:rPr>
          <w:color w:val="000000"/>
        </w:rPr>
        <w:t>st</w:t>
      </w:r>
      <w:r w:rsidRPr="00AA552A">
        <w:rPr>
          <w:color w:val="000000"/>
          <w:spacing w:val="-1"/>
        </w:rPr>
        <w:t>a</w:t>
      </w:r>
      <w:r w:rsidRPr="00AA552A">
        <w:rPr>
          <w:color w:val="000000"/>
        </w:rPr>
        <w:t xml:space="preserve">blish </w:t>
      </w:r>
      <w:r w:rsidRPr="00AA552A">
        <w:rPr>
          <w:color w:val="000000"/>
          <w:spacing w:val="1"/>
        </w:rPr>
        <w:t>C</w:t>
      </w:r>
      <w:r w:rsidRPr="00AA552A">
        <w:rPr>
          <w:color w:val="000000"/>
        </w:rPr>
        <w:t>o</w:t>
      </w:r>
      <w:r w:rsidRPr="00AA552A">
        <w:rPr>
          <w:color w:val="000000"/>
          <w:spacing w:val="-1"/>
        </w:rPr>
        <w:t>ra</w:t>
      </w:r>
      <w:r w:rsidRPr="00AA552A">
        <w:rPr>
          <w:color w:val="000000"/>
        </w:rPr>
        <w:t>l HA</w:t>
      </w:r>
      <w:r w:rsidRPr="00AA552A">
        <w:rPr>
          <w:color w:val="000000"/>
          <w:spacing w:val="1"/>
        </w:rPr>
        <w:t>PC</w:t>
      </w:r>
      <w:r w:rsidRPr="00AA552A">
        <w:rPr>
          <w:color w:val="000000"/>
        </w:rPr>
        <w:t>s.</w:t>
      </w:r>
    </w:p>
    <w:p w14:paraId="1FC8998B" w14:textId="77777777" w:rsidR="00DC4922" w:rsidRDefault="00DC4922" w:rsidP="00DC4922">
      <w:pPr>
        <w:rPr>
          <w:color w:val="000000"/>
        </w:rPr>
      </w:pPr>
      <w:r w:rsidRPr="00AA552A">
        <w:rPr>
          <w:color w:val="000000"/>
          <w:w w:val="131"/>
        </w:rPr>
        <w:t>•</w:t>
      </w:r>
      <w:r w:rsidRPr="00AA552A">
        <w:rPr>
          <w:color w:val="000000"/>
        </w:rPr>
        <w:tab/>
        <w:t>Est</w:t>
      </w:r>
      <w:r w:rsidRPr="00AA552A">
        <w:rPr>
          <w:color w:val="000000"/>
          <w:spacing w:val="-1"/>
        </w:rPr>
        <w:t>a</w:t>
      </w:r>
      <w:r w:rsidRPr="00AA552A">
        <w:rPr>
          <w:color w:val="000000"/>
        </w:rPr>
        <w:t>blish</w:t>
      </w:r>
      <w:r w:rsidRPr="00AA552A">
        <w:rPr>
          <w:color w:val="000000"/>
          <w:spacing w:val="-1"/>
        </w:rPr>
        <w:t>e</w:t>
      </w:r>
      <w:r w:rsidRPr="00AA552A">
        <w:rPr>
          <w:color w:val="000000"/>
        </w:rPr>
        <w:t>d the</w:t>
      </w:r>
      <w:r w:rsidRPr="00AA552A">
        <w:rPr>
          <w:color w:val="000000"/>
          <w:spacing w:val="-1"/>
        </w:rPr>
        <w:t xml:space="preserve"> f</w:t>
      </w:r>
      <w:r w:rsidRPr="00AA552A">
        <w:rPr>
          <w:color w:val="000000"/>
        </w:rPr>
        <w:t xml:space="preserve">ollowing </w:t>
      </w:r>
      <w:r>
        <w:rPr>
          <w:color w:val="000000"/>
        </w:rPr>
        <w:t>five d</w:t>
      </w:r>
      <w:r w:rsidRPr="00AA552A">
        <w:rPr>
          <w:color w:val="000000"/>
          <w:spacing w:val="-1"/>
        </w:rPr>
        <w:t>ee</w:t>
      </w:r>
      <w:r w:rsidRPr="00AA552A">
        <w:rPr>
          <w:color w:val="000000"/>
        </w:rPr>
        <w:t>pw</w:t>
      </w:r>
      <w:r w:rsidRPr="00AA552A">
        <w:rPr>
          <w:color w:val="000000"/>
          <w:spacing w:val="-1"/>
        </w:rPr>
        <w:t>a</w:t>
      </w:r>
      <w:r w:rsidRPr="00AA552A">
        <w:rPr>
          <w:color w:val="000000"/>
        </w:rPr>
        <w:t>t</w:t>
      </w:r>
      <w:r w:rsidRPr="00AA552A">
        <w:rPr>
          <w:color w:val="000000"/>
          <w:spacing w:val="-1"/>
        </w:rPr>
        <w:t>e</w:t>
      </w:r>
      <w:r w:rsidRPr="00AA552A">
        <w:rPr>
          <w:color w:val="000000"/>
        </w:rPr>
        <w:t>r</w:t>
      </w:r>
      <w:r w:rsidRPr="00AA552A">
        <w:rPr>
          <w:color w:val="000000"/>
          <w:spacing w:val="-1"/>
        </w:rPr>
        <w:t xml:space="preserve"> </w:t>
      </w:r>
      <w:r w:rsidRPr="00AA552A">
        <w:rPr>
          <w:color w:val="000000"/>
          <w:spacing w:val="1"/>
        </w:rPr>
        <w:t>C</w:t>
      </w:r>
      <w:r w:rsidRPr="00AA552A">
        <w:rPr>
          <w:color w:val="000000"/>
        </w:rPr>
        <w:t>HA</w:t>
      </w:r>
      <w:r w:rsidRPr="00AA552A">
        <w:rPr>
          <w:color w:val="000000"/>
          <w:spacing w:val="1"/>
        </w:rPr>
        <w:t>PC</w:t>
      </w:r>
      <w:r w:rsidRPr="00AA552A">
        <w:rPr>
          <w:color w:val="000000"/>
        </w:rPr>
        <w:t xml:space="preserve">s: </w:t>
      </w:r>
    </w:p>
    <w:p w14:paraId="6DB72CDB" w14:textId="77777777" w:rsidR="00DC4922" w:rsidRPr="00AE7FA6" w:rsidRDefault="00DC4922" w:rsidP="00DC4922">
      <w:pPr>
        <w:rPr>
          <w:color w:val="000000"/>
        </w:rPr>
      </w:pPr>
      <w:r w:rsidRPr="00AE7FA6">
        <w:rPr>
          <w:color w:val="000000"/>
          <w:spacing w:val="1"/>
        </w:rPr>
        <w:t>C</w:t>
      </w:r>
      <w:r w:rsidRPr="00AE7FA6">
        <w:rPr>
          <w:color w:val="000000"/>
          <w:spacing w:val="-1"/>
        </w:rPr>
        <w:t>a</w:t>
      </w:r>
      <w:r w:rsidRPr="00AE7FA6">
        <w:rPr>
          <w:color w:val="000000"/>
        </w:rPr>
        <w:t>pe</w:t>
      </w:r>
      <w:r w:rsidRPr="00AE7FA6">
        <w:rPr>
          <w:color w:val="000000"/>
          <w:spacing w:val="1"/>
        </w:rPr>
        <w:t xml:space="preserve"> </w:t>
      </w:r>
      <w:r w:rsidRPr="00AE7FA6">
        <w:rPr>
          <w:color w:val="000000"/>
          <w:spacing w:val="-3"/>
        </w:rPr>
        <w:t>L</w:t>
      </w:r>
      <w:r w:rsidRPr="00AE7FA6">
        <w:rPr>
          <w:color w:val="000000"/>
        </w:rPr>
        <w:t>ookout</w:t>
      </w:r>
      <w:r w:rsidRPr="00AE7FA6">
        <w:rPr>
          <w:color w:val="000000"/>
          <w:spacing w:val="3"/>
        </w:rPr>
        <w:t xml:space="preserve"> </w:t>
      </w:r>
      <w:r w:rsidRPr="00AE7FA6">
        <w:rPr>
          <w:color w:val="000000"/>
          <w:spacing w:val="-5"/>
        </w:rPr>
        <w:t>L</w:t>
      </w:r>
      <w:r w:rsidRPr="00AE7FA6">
        <w:rPr>
          <w:color w:val="000000"/>
        </w:rPr>
        <w:t>op</w:t>
      </w:r>
      <w:r w:rsidRPr="00AE7FA6">
        <w:rPr>
          <w:color w:val="000000"/>
          <w:spacing w:val="2"/>
        </w:rPr>
        <w:t>h</w:t>
      </w:r>
      <w:r w:rsidRPr="00AE7FA6">
        <w:rPr>
          <w:color w:val="000000"/>
          <w:spacing w:val="-1"/>
        </w:rPr>
        <w:t>e</w:t>
      </w:r>
      <w:r w:rsidRPr="00AE7FA6">
        <w:rPr>
          <w:color w:val="000000"/>
        </w:rPr>
        <w:t>lia</w:t>
      </w:r>
      <w:r w:rsidRPr="00AE7FA6">
        <w:rPr>
          <w:color w:val="000000"/>
          <w:spacing w:val="1"/>
        </w:rPr>
        <w:t xml:space="preserve"> </w:t>
      </w:r>
      <w:r w:rsidRPr="00AE7FA6">
        <w:rPr>
          <w:color w:val="000000"/>
          <w:spacing w:val="-2"/>
        </w:rPr>
        <w:t>B</w:t>
      </w:r>
      <w:r w:rsidRPr="00AE7FA6">
        <w:rPr>
          <w:color w:val="000000"/>
          <w:spacing w:val="-1"/>
        </w:rPr>
        <w:t>a</w:t>
      </w:r>
      <w:r w:rsidRPr="00AE7FA6">
        <w:rPr>
          <w:color w:val="000000"/>
        </w:rPr>
        <w:t>nks CHAPC;</w:t>
      </w:r>
    </w:p>
    <w:p w14:paraId="2740B2B7" w14:textId="77777777" w:rsidR="00DC4922" w:rsidRPr="00AE7FA6" w:rsidRDefault="00DC4922" w:rsidP="00DC4922">
      <w:pPr>
        <w:rPr>
          <w:color w:val="000000"/>
        </w:rPr>
      </w:pPr>
      <w:r w:rsidRPr="00AE7FA6">
        <w:rPr>
          <w:color w:val="000000"/>
          <w:spacing w:val="1"/>
        </w:rPr>
        <w:t>C</w:t>
      </w:r>
      <w:r w:rsidRPr="00AE7FA6">
        <w:rPr>
          <w:color w:val="000000"/>
          <w:spacing w:val="-1"/>
        </w:rPr>
        <w:t>a</w:t>
      </w:r>
      <w:r w:rsidRPr="00AE7FA6">
        <w:rPr>
          <w:color w:val="000000"/>
          <w:spacing w:val="2"/>
        </w:rPr>
        <w:t>p</w:t>
      </w:r>
      <w:r w:rsidRPr="00AE7FA6">
        <w:rPr>
          <w:color w:val="000000"/>
        </w:rPr>
        <w:t>e</w:t>
      </w:r>
      <w:r w:rsidRPr="00AE7FA6">
        <w:rPr>
          <w:color w:val="000000"/>
          <w:spacing w:val="-1"/>
        </w:rPr>
        <w:t xml:space="preserve"> </w:t>
      </w:r>
      <w:r w:rsidRPr="00AE7FA6">
        <w:rPr>
          <w:color w:val="000000"/>
          <w:spacing w:val="1"/>
        </w:rPr>
        <w:t>F</w:t>
      </w:r>
      <w:r w:rsidRPr="00AE7FA6">
        <w:rPr>
          <w:color w:val="000000"/>
          <w:spacing w:val="-1"/>
        </w:rPr>
        <w:t>ea</w:t>
      </w:r>
      <w:r w:rsidRPr="00AE7FA6">
        <w:rPr>
          <w:color w:val="000000"/>
        </w:rPr>
        <w:t xml:space="preserve">r </w:t>
      </w:r>
      <w:r w:rsidRPr="00AE7FA6">
        <w:rPr>
          <w:color w:val="000000"/>
          <w:spacing w:val="-3"/>
        </w:rPr>
        <w:t>L</w:t>
      </w:r>
      <w:r w:rsidRPr="00AE7FA6">
        <w:rPr>
          <w:color w:val="000000"/>
        </w:rPr>
        <w:t>oph</w:t>
      </w:r>
      <w:r w:rsidRPr="00AE7FA6">
        <w:rPr>
          <w:color w:val="000000"/>
          <w:spacing w:val="-1"/>
        </w:rPr>
        <w:t>e</w:t>
      </w:r>
      <w:r w:rsidRPr="00AE7FA6">
        <w:rPr>
          <w:color w:val="000000"/>
        </w:rPr>
        <w:t>lia</w:t>
      </w:r>
      <w:r w:rsidRPr="00AE7FA6">
        <w:rPr>
          <w:color w:val="000000"/>
          <w:spacing w:val="1"/>
        </w:rPr>
        <w:t xml:space="preserve"> B</w:t>
      </w:r>
      <w:r w:rsidRPr="00AE7FA6">
        <w:rPr>
          <w:color w:val="000000"/>
          <w:spacing w:val="-1"/>
        </w:rPr>
        <w:t>a</w:t>
      </w:r>
      <w:r w:rsidRPr="00AE7FA6">
        <w:rPr>
          <w:color w:val="000000"/>
        </w:rPr>
        <w:t>nks CHAPC;</w:t>
      </w:r>
    </w:p>
    <w:p w14:paraId="7814D258" w14:textId="77777777" w:rsidR="00DC4922" w:rsidRPr="00AE7FA6" w:rsidRDefault="00DC4922" w:rsidP="00DC4922">
      <w:pPr>
        <w:rPr>
          <w:color w:val="000000"/>
          <w:spacing w:val="-1"/>
        </w:rPr>
      </w:pPr>
      <w:r w:rsidRPr="00AE7FA6">
        <w:rPr>
          <w:color w:val="000000"/>
          <w:spacing w:val="1"/>
        </w:rPr>
        <w:t>S</w:t>
      </w:r>
      <w:r w:rsidRPr="00AE7FA6">
        <w:rPr>
          <w:color w:val="000000"/>
        </w:rPr>
        <w:t>t</w:t>
      </w:r>
      <w:r w:rsidRPr="00AE7FA6">
        <w:rPr>
          <w:color w:val="000000"/>
          <w:spacing w:val="-1"/>
        </w:rPr>
        <w:t>e</w:t>
      </w:r>
      <w:r w:rsidRPr="00AE7FA6">
        <w:rPr>
          <w:color w:val="000000"/>
        </w:rPr>
        <w:t xml:space="preserve">tson </w:t>
      </w:r>
      <w:r w:rsidRPr="00AE7FA6">
        <w:rPr>
          <w:color w:val="000000"/>
          <w:spacing w:val="1"/>
        </w:rPr>
        <w:t>R</w:t>
      </w:r>
      <w:r w:rsidRPr="00AE7FA6">
        <w:rPr>
          <w:color w:val="000000"/>
          <w:spacing w:val="-1"/>
        </w:rPr>
        <w:t>eef</w:t>
      </w:r>
      <w:r w:rsidRPr="00AE7FA6">
        <w:rPr>
          <w:color w:val="000000"/>
        </w:rPr>
        <w:t xml:space="preserve">s, </w:t>
      </w:r>
      <w:r w:rsidRPr="00AE7FA6">
        <w:rPr>
          <w:color w:val="000000"/>
          <w:spacing w:val="1"/>
        </w:rPr>
        <w:t>S</w:t>
      </w:r>
      <w:r w:rsidRPr="00AE7FA6">
        <w:rPr>
          <w:color w:val="000000"/>
          <w:spacing w:val="-1"/>
        </w:rPr>
        <w:t>a</w:t>
      </w:r>
      <w:r w:rsidRPr="00AE7FA6">
        <w:rPr>
          <w:color w:val="000000"/>
        </w:rPr>
        <w:t>v</w:t>
      </w:r>
      <w:r w:rsidRPr="00AE7FA6">
        <w:rPr>
          <w:color w:val="000000"/>
          <w:spacing w:val="-1"/>
        </w:rPr>
        <w:t>a</w:t>
      </w:r>
      <w:r w:rsidRPr="00AE7FA6">
        <w:rPr>
          <w:color w:val="000000"/>
        </w:rPr>
        <w:t>n</w:t>
      </w:r>
      <w:r w:rsidRPr="00AE7FA6">
        <w:rPr>
          <w:color w:val="000000"/>
          <w:spacing w:val="2"/>
        </w:rPr>
        <w:t>n</w:t>
      </w:r>
      <w:r w:rsidRPr="00AE7FA6">
        <w:rPr>
          <w:color w:val="000000"/>
          <w:spacing w:val="-1"/>
        </w:rPr>
        <w:t>a</w:t>
      </w:r>
      <w:r w:rsidRPr="00AE7FA6">
        <w:rPr>
          <w:color w:val="000000"/>
        </w:rPr>
        <w:t xml:space="preserve">h </w:t>
      </w:r>
      <w:r w:rsidRPr="00AE7FA6">
        <w:rPr>
          <w:color w:val="000000"/>
          <w:spacing w:val="-1"/>
        </w:rPr>
        <w:t>a</w:t>
      </w:r>
      <w:r w:rsidRPr="00AE7FA6">
        <w:rPr>
          <w:color w:val="000000"/>
        </w:rPr>
        <w:t>nd E</w:t>
      </w:r>
      <w:r w:rsidRPr="00AE7FA6">
        <w:rPr>
          <w:color w:val="000000"/>
          <w:spacing w:val="-1"/>
        </w:rPr>
        <w:t>a</w:t>
      </w:r>
      <w:r w:rsidRPr="00AE7FA6">
        <w:rPr>
          <w:color w:val="000000"/>
          <w:spacing w:val="3"/>
        </w:rPr>
        <w:t>s</w:t>
      </w:r>
      <w:r w:rsidRPr="00AE7FA6">
        <w:rPr>
          <w:color w:val="000000"/>
        </w:rPr>
        <w:t xml:space="preserve">t </w:t>
      </w:r>
      <w:r w:rsidRPr="00AE7FA6">
        <w:rPr>
          <w:color w:val="000000"/>
          <w:spacing w:val="-1"/>
        </w:rPr>
        <w:t>F</w:t>
      </w:r>
      <w:r w:rsidRPr="00AE7FA6">
        <w:rPr>
          <w:color w:val="000000"/>
        </w:rPr>
        <w:t>lo</w:t>
      </w:r>
      <w:r w:rsidRPr="00AE7FA6">
        <w:rPr>
          <w:color w:val="000000"/>
          <w:spacing w:val="-1"/>
        </w:rPr>
        <w:t>r</w:t>
      </w:r>
      <w:r w:rsidRPr="00AE7FA6">
        <w:rPr>
          <w:color w:val="000000"/>
        </w:rPr>
        <w:t>ida</w:t>
      </w:r>
      <w:r w:rsidRPr="00AE7FA6">
        <w:rPr>
          <w:color w:val="000000"/>
          <w:spacing w:val="1"/>
        </w:rPr>
        <w:t xml:space="preserve"> </w:t>
      </w:r>
      <w:r w:rsidRPr="00AE7FA6">
        <w:rPr>
          <w:color w:val="000000"/>
          <w:spacing w:val="-3"/>
        </w:rPr>
        <w:t>L</w:t>
      </w:r>
      <w:r w:rsidRPr="00AE7FA6">
        <w:rPr>
          <w:color w:val="000000"/>
        </w:rPr>
        <w:t>ithoh</w:t>
      </w:r>
      <w:r w:rsidRPr="00AE7FA6">
        <w:rPr>
          <w:color w:val="000000"/>
          <w:spacing w:val="-1"/>
        </w:rPr>
        <w:t>er</w:t>
      </w:r>
      <w:r w:rsidRPr="00AE7FA6">
        <w:rPr>
          <w:color w:val="000000"/>
        </w:rPr>
        <w:t xml:space="preserve">ms, </w:t>
      </w:r>
      <w:r w:rsidRPr="00AE7FA6">
        <w:rPr>
          <w:color w:val="000000"/>
          <w:spacing w:val="-1"/>
        </w:rPr>
        <w:t>a</w:t>
      </w:r>
      <w:r w:rsidRPr="00AE7FA6">
        <w:rPr>
          <w:color w:val="000000"/>
        </w:rPr>
        <w:t>nd</w:t>
      </w:r>
      <w:r w:rsidRPr="00AE7FA6">
        <w:rPr>
          <w:color w:val="000000"/>
          <w:spacing w:val="2"/>
        </w:rPr>
        <w:t xml:space="preserve"> </w:t>
      </w:r>
      <w:r w:rsidRPr="00AE7FA6">
        <w:rPr>
          <w:color w:val="000000"/>
        </w:rPr>
        <w:t>Mi</w:t>
      </w:r>
      <w:r w:rsidRPr="00AE7FA6">
        <w:rPr>
          <w:color w:val="000000"/>
          <w:spacing w:val="-1"/>
        </w:rPr>
        <w:t>a</w:t>
      </w:r>
      <w:r w:rsidRPr="00AE7FA6">
        <w:rPr>
          <w:color w:val="000000"/>
        </w:rPr>
        <w:t>mi T</w:t>
      </w:r>
      <w:r w:rsidRPr="00AE7FA6">
        <w:rPr>
          <w:color w:val="000000"/>
          <w:spacing w:val="-1"/>
        </w:rPr>
        <w:t>err</w:t>
      </w:r>
      <w:r w:rsidRPr="00AE7FA6">
        <w:rPr>
          <w:color w:val="000000"/>
          <w:spacing w:val="1"/>
        </w:rPr>
        <w:t>a</w:t>
      </w:r>
      <w:r w:rsidRPr="00AE7FA6">
        <w:rPr>
          <w:color w:val="000000"/>
          <w:spacing w:val="-1"/>
        </w:rPr>
        <w:t>c</w:t>
      </w:r>
      <w:r w:rsidRPr="00AE7FA6">
        <w:rPr>
          <w:color w:val="000000"/>
        </w:rPr>
        <w:t>e</w:t>
      </w:r>
      <w:r w:rsidRPr="00AE7FA6">
        <w:rPr>
          <w:color w:val="000000"/>
          <w:spacing w:val="-1"/>
        </w:rPr>
        <w:t xml:space="preserve"> (</w:t>
      </w:r>
      <w:r w:rsidRPr="00AE7FA6">
        <w:rPr>
          <w:color w:val="000000"/>
          <w:spacing w:val="1"/>
        </w:rPr>
        <w:t>S</w:t>
      </w:r>
      <w:r w:rsidRPr="00AE7FA6">
        <w:rPr>
          <w:color w:val="000000"/>
        </w:rPr>
        <w:t>t</w:t>
      </w:r>
      <w:r w:rsidRPr="00AE7FA6">
        <w:rPr>
          <w:color w:val="000000"/>
          <w:spacing w:val="-1"/>
        </w:rPr>
        <w:t>e</w:t>
      </w:r>
      <w:r w:rsidRPr="00AE7FA6">
        <w:rPr>
          <w:color w:val="000000"/>
        </w:rPr>
        <w:t>tson- Mi</w:t>
      </w:r>
      <w:r w:rsidRPr="00AE7FA6">
        <w:rPr>
          <w:color w:val="000000"/>
          <w:spacing w:val="-1"/>
        </w:rPr>
        <w:t>a</w:t>
      </w:r>
      <w:r w:rsidRPr="00AE7FA6">
        <w:rPr>
          <w:color w:val="000000"/>
        </w:rPr>
        <w:t>mi T</w:t>
      </w:r>
      <w:r w:rsidRPr="00AE7FA6">
        <w:rPr>
          <w:color w:val="000000"/>
          <w:spacing w:val="-1"/>
        </w:rPr>
        <w:t>err</w:t>
      </w:r>
      <w:r w:rsidRPr="00AE7FA6">
        <w:rPr>
          <w:color w:val="000000"/>
          <w:spacing w:val="1"/>
        </w:rPr>
        <w:t>a</w:t>
      </w:r>
      <w:r w:rsidRPr="00AE7FA6">
        <w:rPr>
          <w:color w:val="000000"/>
          <w:spacing w:val="-1"/>
        </w:rPr>
        <w:t xml:space="preserve">ce) CHAPC; </w:t>
      </w:r>
    </w:p>
    <w:p w14:paraId="51D67F31" w14:textId="77777777" w:rsidR="00DC4922" w:rsidRPr="00AE7FA6" w:rsidRDefault="00DC4922" w:rsidP="00DC4922">
      <w:pPr>
        <w:rPr>
          <w:color w:val="000000"/>
        </w:rPr>
      </w:pPr>
      <w:r w:rsidRPr="00AE7FA6">
        <w:rPr>
          <w:color w:val="000000"/>
          <w:spacing w:val="1"/>
        </w:rPr>
        <w:t>P</w:t>
      </w:r>
      <w:r w:rsidRPr="00AE7FA6">
        <w:rPr>
          <w:color w:val="000000"/>
        </w:rPr>
        <w:t>ou</w:t>
      </w:r>
      <w:r w:rsidRPr="00AE7FA6">
        <w:rPr>
          <w:color w:val="000000"/>
          <w:spacing w:val="-1"/>
        </w:rPr>
        <w:t>r</w:t>
      </w:r>
      <w:r w:rsidRPr="00AE7FA6">
        <w:rPr>
          <w:color w:val="000000"/>
        </w:rPr>
        <w:t>t</w:t>
      </w:r>
      <w:r w:rsidRPr="00AE7FA6">
        <w:rPr>
          <w:color w:val="000000"/>
          <w:spacing w:val="-1"/>
        </w:rPr>
        <w:t>a</w:t>
      </w:r>
      <w:r w:rsidRPr="00AE7FA6">
        <w:rPr>
          <w:color w:val="000000"/>
          <w:spacing w:val="3"/>
        </w:rPr>
        <w:t>l</w:t>
      </w:r>
      <w:r w:rsidRPr="00AE7FA6">
        <w:rPr>
          <w:color w:val="000000"/>
          <w:spacing w:val="1"/>
        </w:rPr>
        <w:t>e</w:t>
      </w:r>
      <w:r w:rsidRPr="00AE7FA6">
        <w:rPr>
          <w:color w:val="000000"/>
        </w:rPr>
        <w:t>s T</w:t>
      </w:r>
      <w:r w:rsidRPr="00AE7FA6">
        <w:rPr>
          <w:color w:val="000000"/>
          <w:spacing w:val="-1"/>
        </w:rPr>
        <w:t>err</w:t>
      </w:r>
      <w:r w:rsidRPr="00AE7FA6">
        <w:rPr>
          <w:color w:val="000000"/>
          <w:spacing w:val="1"/>
        </w:rPr>
        <w:t>a</w:t>
      </w:r>
      <w:r w:rsidRPr="00AE7FA6">
        <w:rPr>
          <w:color w:val="000000"/>
          <w:spacing w:val="-1"/>
        </w:rPr>
        <w:t>ce CHAPC</w:t>
      </w:r>
      <w:r w:rsidRPr="00AE7FA6">
        <w:rPr>
          <w:color w:val="000000"/>
        </w:rPr>
        <w:t xml:space="preserve">; </w:t>
      </w:r>
      <w:r w:rsidRPr="00AE7FA6">
        <w:rPr>
          <w:color w:val="000000"/>
          <w:spacing w:val="-1"/>
        </w:rPr>
        <w:t>a</w:t>
      </w:r>
      <w:r w:rsidRPr="00AE7FA6">
        <w:rPr>
          <w:color w:val="000000"/>
        </w:rPr>
        <w:t xml:space="preserve">nd </w:t>
      </w:r>
    </w:p>
    <w:p w14:paraId="2CDA5325" w14:textId="77777777" w:rsidR="00DC4922" w:rsidRPr="00AE7FA6" w:rsidRDefault="00DC4922" w:rsidP="00DC4922">
      <w:pPr>
        <w:rPr>
          <w:color w:val="000000"/>
        </w:rPr>
      </w:pPr>
      <w:r w:rsidRPr="00AE7FA6">
        <w:rPr>
          <w:color w:val="000000"/>
          <w:spacing w:val="-2"/>
        </w:rPr>
        <w:t>B</w:t>
      </w:r>
      <w:r w:rsidRPr="00AE7FA6">
        <w:rPr>
          <w:color w:val="000000"/>
        </w:rPr>
        <w:t>l</w:t>
      </w:r>
      <w:r w:rsidRPr="00AE7FA6">
        <w:rPr>
          <w:color w:val="000000"/>
          <w:spacing w:val="-1"/>
        </w:rPr>
        <w:t>a</w:t>
      </w:r>
      <w:r w:rsidRPr="00AE7FA6">
        <w:rPr>
          <w:color w:val="000000"/>
          <w:spacing w:val="2"/>
        </w:rPr>
        <w:t>k</w:t>
      </w:r>
      <w:r w:rsidRPr="00AE7FA6">
        <w:rPr>
          <w:color w:val="000000"/>
        </w:rPr>
        <w:t>e</w:t>
      </w:r>
      <w:r w:rsidRPr="00AE7FA6">
        <w:rPr>
          <w:color w:val="000000"/>
          <w:spacing w:val="-1"/>
        </w:rPr>
        <w:t xml:space="preserve"> </w:t>
      </w:r>
      <w:r w:rsidRPr="00AE7FA6">
        <w:rPr>
          <w:color w:val="000000"/>
          <w:spacing w:val="1"/>
        </w:rPr>
        <w:t>R</w:t>
      </w:r>
      <w:r w:rsidRPr="00AE7FA6">
        <w:rPr>
          <w:color w:val="000000"/>
        </w:rPr>
        <w:t>id</w:t>
      </w:r>
      <w:r w:rsidRPr="00AE7FA6">
        <w:rPr>
          <w:color w:val="000000"/>
          <w:spacing w:val="-2"/>
        </w:rPr>
        <w:t>g</w:t>
      </w:r>
      <w:r w:rsidRPr="00AE7FA6">
        <w:rPr>
          <w:color w:val="000000"/>
        </w:rPr>
        <w:t>e</w:t>
      </w:r>
      <w:r w:rsidRPr="00AE7FA6">
        <w:rPr>
          <w:color w:val="000000"/>
          <w:spacing w:val="1"/>
        </w:rPr>
        <w:t xml:space="preserve"> </w:t>
      </w:r>
      <w:r w:rsidRPr="00AE7FA6">
        <w:rPr>
          <w:color w:val="000000"/>
        </w:rPr>
        <w:t>Di</w:t>
      </w:r>
      <w:r w:rsidRPr="00AE7FA6">
        <w:rPr>
          <w:color w:val="000000"/>
          <w:spacing w:val="-1"/>
        </w:rPr>
        <w:t>a</w:t>
      </w:r>
      <w:r w:rsidRPr="00AE7FA6">
        <w:rPr>
          <w:color w:val="000000"/>
        </w:rPr>
        <w:t>pir</w:t>
      </w:r>
      <w:r w:rsidRPr="00AE7FA6">
        <w:rPr>
          <w:color w:val="000000"/>
          <w:spacing w:val="-1"/>
        </w:rPr>
        <w:t xml:space="preserve"> </w:t>
      </w:r>
      <w:r w:rsidRPr="00AE7FA6">
        <w:rPr>
          <w:color w:val="000000"/>
        </w:rPr>
        <w:t>M</w:t>
      </w:r>
      <w:r w:rsidRPr="00AE7FA6">
        <w:rPr>
          <w:color w:val="000000"/>
          <w:spacing w:val="-1"/>
        </w:rPr>
        <w:t>e</w:t>
      </w:r>
      <w:r w:rsidRPr="00AE7FA6">
        <w:rPr>
          <w:color w:val="000000"/>
        </w:rPr>
        <w:t>th</w:t>
      </w:r>
      <w:r w:rsidRPr="00AE7FA6">
        <w:rPr>
          <w:color w:val="000000"/>
          <w:spacing w:val="-1"/>
        </w:rPr>
        <w:t>a</w:t>
      </w:r>
      <w:r w:rsidRPr="00AE7FA6">
        <w:rPr>
          <w:color w:val="000000"/>
          <w:spacing w:val="2"/>
        </w:rPr>
        <w:t>n</w:t>
      </w:r>
      <w:r w:rsidRPr="00AE7FA6">
        <w:rPr>
          <w:color w:val="000000"/>
        </w:rPr>
        <w:t>e</w:t>
      </w:r>
      <w:r w:rsidRPr="00AE7FA6">
        <w:rPr>
          <w:color w:val="000000"/>
          <w:spacing w:val="-1"/>
        </w:rPr>
        <w:t xml:space="preserve"> </w:t>
      </w:r>
      <w:r w:rsidRPr="00AE7FA6">
        <w:rPr>
          <w:color w:val="000000"/>
          <w:spacing w:val="1"/>
        </w:rPr>
        <w:t>S</w:t>
      </w:r>
      <w:r w:rsidRPr="00AE7FA6">
        <w:rPr>
          <w:color w:val="000000"/>
          <w:spacing w:val="-1"/>
        </w:rPr>
        <w:t>ee</w:t>
      </w:r>
      <w:r w:rsidRPr="00AE7FA6">
        <w:rPr>
          <w:color w:val="000000"/>
        </w:rPr>
        <w:t>p CHAPC.</w:t>
      </w:r>
    </w:p>
    <w:p w14:paraId="4EB46BD6" w14:textId="77777777" w:rsidR="00DC4922" w:rsidRDefault="00DC4922" w:rsidP="00DC4922">
      <w:pPr>
        <w:rPr>
          <w:color w:val="000000"/>
        </w:rPr>
      </w:pPr>
      <w:r w:rsidRPr="00AA552A">
        <w:rPr>
          <w:color w:val="000000"/>
          <w:w w:val="131"/>
        </w:rPr>
        <w:t>•</w:t>
      </w:r>
      <w:r w:rsidRPr="00AA552A">
        <w:rPr>
          <w:color w:val="000000"/>
        </w:rPr>
        <w:tab/>
      </w:r>
      <w:r w:rsidRPr="00AA552A">
        <w:rPr>
          <w:color w:val="000000"/>
          <w:spacing w:val="1"/>
        </w:rPr>
        <w:t>W</w:t>
      </w:r>
      <w:r w:rsidRPr="00AA552A">
        <w:rPr>
          <w:color w:val="000000"/>
        </w:rPr>
        <w:t>ithin the</w:t>
      </w:r>
      <w:r w:rsidRPr="00AA552A">
        <w:rPr>
          <w:color w:val="000000"/>
          <w:spacing w:val="-1"/>
        </w:rPr>
        <w:t xml:space="preserve"> </w:t>
      </w:r>
      <w:r w:rsidRPr="00AA552A">
        <w:rPr>
          <w:color w:val="000000"/>
        </w:rPr>
        <w:t>d</w:t>
      </w:r>
      <w:r w:rsidRPr="00AA552A">
        <w:rPr>
          <w:color w:val="000000"/>
          <w:spacing w:val="-1"/>
        </w:rPr>
        <w:t>ee</w:t>
      </w:r>
      <w:r w:rsidRPr="00AA552A">
        <w:rPr>
          <w:color w:val="000000"/>
        </w:rPr>
        <w:t>pw</w:t>
      </w:r>
      <w:r w:rsidRPr="00AA552A">
        <w:rPr>
          <w:color w:val="000000"/>
          <w:spacing w:val="-1"/>
        </w:rPr>
        <w:t>a</w:t>
      </w:r>
      <w:r w:rsidRPr="00AA552A">
        <w:rPr>
          <w:color w:val="000000"/>
        </w:rPr>
        <w:t>t</w:t>
      </w:r>
      <w:r w:rsidRPr="00AA552A">
        <w:rPr>
          <w:color w:val="000000"/>
          <w:spacing w:val="-1"/>
        </w:rPr>
        <w:t>e</w:t>
      </w:r>
      <w:r w:rsidRPr="00AA552A">
        <w:rPr>
          <w:color w:val="000000"/>
        </w:rPr>
        <w:t>r</w:t>
      </w:r>
      <w:r w:rsidRPr="00AA552A">
        <w:rPr>
          <w:color w:val="000000"/>
          <w:spacing w:val="-1"/>
        </w:rPr>
        <w:t xml:space="preserve"> </w:t>
      </w:r>
      <w:r w:rsidRPr="00AA552A">
        <w:rPr>
          <w:color w:val="000000"/>
          <w:spacing w:val="3"/>
        </w:rPr>
        <w:t>C</w:t>
      </w:r>
      <w:r w:rsidRPr="00AA552A">
        <w:rPr>
          <w:color w:val="000000"/>
        </w:rPr>
        <w:t>HA</w:t>
      </w:r>
      <w:r w:rsidRPr="00AA552A">
        <w:rPr>
          <w:color w:val="000000"/>
          <w:spacing w:val="1"/>
        </w:rPr>
        <w:t>PC</w:t>
      </w:r>
      <w:r w:rsidRPr="00AA552A">
        <w:rPr>
          <w:color w:val="000000"/>
        </w:rPr>
        <w:t>s, the</w:t>
      </w:r>
      <w:r w:rsidRPr="00AA552A">
        <w:rPr>
          <w:color w:val="000000"/>
          <w:spacing w:val="-1"/>
        </w:rPr>
        <w:t xml:space="preserve"> </w:t>
      </w:r>
      <w:r w:rsidRPr="00AA552A">
        <w:rPr>
          <w:color w:val="000000"/>
        </w:rPr>
        <w:t>poss</w:t>
      </w:r>
      <w:r w:rsidRPr="00AA552A">
        <w:rPr>
          <w:color w:val="000000"/>
          <w:spacing w:val="-1"/>
        </w:rPr>
        <w:t>e</w:t>
      </w:r>
      <w:r w:rsidRPr="00AA552A">
        <w:rPr>
          <w:color w:val="000000"/>
        </w:rPr>
        <w:t>ssion of</w:t>
      </w:r>
      <w:r w:rsidRPr="00AA552A">
        <w:rPr>
          <w:color w:val="000000"/>
          <w:spacing w:val="-1"/>
        </w:rPr>
        <w:t xml:space="preserve"> c</w:t>
      </w:r>
      <w:r w:rsidRPr="00AA552A">
        <w:rPr>
          <w:color w:val="000000"/>
        </w:rPr>
        <w:t>o</w:t>
      </w:r>
      <w:r w:rsidRPr="00AA552A">
        <w:rPr>
          <w:color w:val="000000"/>
          <w:spacing w:val="-1"/>
        </w:rPr>
        <w:t>ra</w:t>
      </w:r>
      <w:r w:rsidRPr="00AA552A">
        <w:rPr>
          <w:color w:val="000000"/>
        </w:rPr>
        <w:t>l sp</w:t>
      </w:r>
      <w:r w:rsidRPr="00AA552A">
        <w:rPr>
          <w:color w:val="000000"/>
          <w:spacing w:val="1"/>
        </w:rPr>
        <w:t>e</w:t>
      </w:r>
      <w:r w:rsidRPr="00AA552A">
        <w:rPr>
          <w:color w:val="000000"/>
          <w:spacing w:val="-1"/>
        </w:rPr>
        <w:t>c</w:t>
      </w:r>
      <w:r w:rsidRPr="00AA552A">
        <w:rPr>
          <w:color w:val="000000"/>
        </w:rPr>
        <w:t>i</w:t>
      </w:r>
      <w:r w:rsidRPr="00AA552A">
        <w:rPr>
          <w:color w:val="000000"/>
          <w:spacing w:val="-1"/>
        </w:rPr>
        <w:t>e</w:t>
      </w:r>
      <w:r w:rsidRPr="00AA552A">
        <w:rPr>
          <w:color w:val="000000"/>
        </w:rPr>
        <w:t xml:space="preserve">s </w:t>
      </w:r>
      <w:r w:rsidRPr="00AA552A">
        <w:rPr>
          <w:color w:val="000000"/>
          <w:spacing w:val="-1"/>
        </w:rPr>
        <w:t>a</w:t>
      </w:r>
      <w:r w:rsidRPr="00AA552A">
        <w:rPr>
          <w:color w:val="000000"/>
        </w:rPr>
        <w:t>nd t</w:t>
      </w:r>
      <w:r w:rsidRPr="00AA552A">
        <w:rPr>
          <w:color w:val="000000"/>
          <w:spacing w:val="2"/>
        </w:rPr>
        <w:t>h</w:t>
      </w:r>
      <w:r w:rsidRPr="00AA552A">
        <w:rPr>
          <w:color w:val="000000"/>
        </w:rPr>
        <w:t>e</w:t>
      </w:r>
      <w:r w:rsidRPr="00AA552A">
        <w:rPr>
          <w:color w:val="000000"/>
          <w:spacing w:val="-1"/>
        </w:rPr>
        <w:t xml:space="preserve"> </w:t>
      </w:r>
      <w:r w:rsidRPr="00AA552A">
        <w:rPr>
          <w:color w:val="000000"/>
        </w:rPr>
        <w:t>use</w:t>
      </w:r>
      <w:r w:rsidRPr="00AA552A">
        <w:rPr>
          <w:color w:val="000000"/>
          <w:spacing w:val="-1"/>
        </w:rPr>
        <w:t xml:space="preserve"> </w:t>
      </w:r>
      <w:r w:rsidRPr="00AA552A">
        <w:rPr>
          <w:color w:val="000000"/>
        </w:rPr>
        <w:t>of</w:t>
      </w:r>
      <w:r w:rsidRPr="00AA552A">
        <w:rPr>
          <w:color w:val="000000"/>
          <w:spacing w:val="-1"/>
        </w:rPr>
        <w:t xml:space="preserve"> a</w:t>
      </w:r>
      <w:r w:rsidRPr="00AA552A">
        <w:rPr>
          <w:color w:val="000000"/>
        </w:rPr>
        <w:t>ll bottom d</w:t>
      </w:r>
      <w:r w:rsidRPr="00AA552A">
        <w:rPr>
          <w:color w:val="000000"/>
          <w:spacing w:val="-1"/>
        </w:rPr>
        <w:t>a</w:t>
      </w:r>
      <w:r w:rsidRPr="00AA552A">
        <w:rPr>
          <w:color w:val="000000"/>
        </w:rPr>
        <w:t>m</w:t>
      </w:r>
      <w:r w:rsidRPr="00AA552A">
        <w:rPr>
          <w:color w:val="000000"/>
          <w:spacing w:val="1"/>
        </w:rPr>
        <w:t>a</w:t>
      </w:r>
      <w:r w:rsidRPr="00AA552A">
        <w:rPr>
          <w:color w:val="000000"/>
          <w:spacing w:val="-2"/>
        </w:rPr>
        <w:t>g</w:t>
      </w:r>
      <w:r w:rsidRPr="00AA552A">
        <w:rPr>
          <w:color w:val="000000"/>
        </w:rPr>
        <w:t xml:space="preserve">ing </w:t>
      </w:r>
      <w:r w:rsidRPr="00AA552A">
        <w:rPr>
          <w:color w:val="000000"/>
          <w:spacing w:val="-2"/>
        </w:rPr>
        <w:t>g</w:t>
      </w:r>
      <w:r w:rsidRPr="00AA552A">
        <w:rPr>
          <w:color w:val="000000"/>
          <w:spacing w:val="1"/>
        </w:rPr>
        <w:t>e</w:t>
      </w:r>
      <w:r w:rsidRPr="00AA552A">
        <w:rPr>
          <w:color w:val="000000"/>
          <w:spacing w:val="-1"/>
        </w:rPr>
        <w:t>a</w:t>
      </w:r>
      <w:r w:rsidRPr="00AA552A">
        <w:rPr>
          <w:color w:val="000000"/>
        </w:rPr>
        <w:t>r</w:t>
      </w:r>
      <w:r w:rsidRPr="00AA552A">
        <w:rPr>
          <w:color w:val="000000"/>
          <w:spacing w:val="-1"/>
        </w:rPr>
        <w:t xml:space="preserve"> </w:t>
      </w:r>
      <w:r>
        <w:rPr>
          <w:color w:val="000000"/>
        </w:rPr>
        <w:t>are</w:t>
      </w:r>
      <w:r w:rsidRPr="00AA552A">
        <w:rPr>
          <w:color w:val="000000"/>
        </w:rPr>
        <w:t xml:space="preserve"> p</w:t>
      </w:r>
      <w:r w:rsidRPr="00AA552A">
        <w:rPr>
          <w:color w:val="000000"/>
          <w:spacing w:val="-1"/>
        </w:rPr>
        <w:t>r</w:t>
      </w:r>
      <w:r w:rsidRPr="00AA552A">
        <w:rPr>
          <w:color w:val="000000"/>
        </w:rPr>
        <w:t>ohibit</w:t>
      </w:r>
      <w:r w:rsidRPr="00AA552A">
        <w:rPr>
          <w:color w:val="000000"/>
          <w:spacing w:val="-1"/>
        </w:rPr>
        <w:t>e</w:t>
      </w:r>
      <w:r w:rsidRPr="00AA552A">
        <w:rPr>
          <w:color w:val="000000"/>
        </w:rPr>
        <w:t>d in</w:t>
      </w:r>
      <w:r w:rsidRPr="00AA552A">
        <w:rPr>
          <w:color w:val="000000"/>
          <w:spacing w:val="-1"/>
        </w:rPr>
        <w:t>c</w:t>
      </w:r>
      <w:r w:rsidRPr="00AA552A">
        <w:rPr>
          <w:color w:val="000000"/>
        </w:rPr>
        <w:t>lud</w:t>
      </w:r>
      <w:r w:rsidRPr="00AA552A">
        <w:rPr>
          <w:color w:val="000000"/>
          <w:spacing w:val="3"/>
        </w:rPr>
        <w:t>i</w:t>
      </w:r>
      <w:r w:rsidRPr="00AA552A">
        <w:rPr>
          <w:color w:val="000000"/>
        </w:rPr>
        <w:t>ng</w:t>
      </w:r>
      <w:r w:rsidRPr="00AA552A">
        <w:rPr>
          <w:color w:val="000000"/>
          <w:spacing w:val="-2"/>
        </w:rPr>
        <w:t xml:space="preserve"> </w:t>
      </w:r>
      <w:r w:rsidRPr="00AA552A">
        <w:rPr>
          <w:color w:val="000000"/>
        </w:rPr>
        <w:t>bottom lon</w:t>
      </w:r>
      <w:r w:rsidRPr="00AA552A">
        <w:rPr>
          <w:color w:val="000000"/>
          <w:spacing w:val="-2"/>
        </w:rPr>
        <w:t>g</w:t>
      </w:r>
      <w:r w:rsidRPr="00AA552A">
        <w:rPr>
          <w:color w:val="000000"/>
        </w:rPr>
        <w:t>lin</w:t>
      </w:r>
      <w:r w:rsidRPr="00AA552A">
        <w:rPr>
          <w:color w:val="000000"/>
          <w:spacing w:val="-1"/>
        </w:rPr>
        <w:t>e</w:t>
      </w:r>
      <w:r w:rsidRPr="00AA552A">
        <w:rPr>
          <w:color w:val="000000"/>
        </w:rPr>
        <w:t>, t</w:t>
      </w:r>
      <w:r w:rsidRPr="00AA552A">
        <w:rPr>
          <w:color w:val="000000"/>
          <w:spacing w:val="2"/>
        </w:rPr>
        <w:t>r</w:t>
      </w:r>
      <w:r w:rsidRPr="00AA552A">
        <w:rPr>
          <w:color w:val="000000"/>
          <w:spacing w:val="-1"/>
        </w:rPr>
        <w:t>a</w:t>
      </w:r>
      <w:r w:rsidRPr="00AA552A">
        <w:rPr>
          <w:color w:val="000000"/>
        </w:rPr>
        <w:t>wl</w:t>
      </w:r>
      <w:r w:rsidRPr="00AA552A">
        <w:rPr>
          <w:color w:val="000000"/>
          <w:spacing w:val="3"/>
        </w:rPr>
        <w:t xml:space="preserve"> </w:t>
      </w:r>
      <w:r w:rsidRPr="00AA552A">
        <w:rPr>
          <w:color w:val="000000"/>
          <w:spacing w:val="-1"/>
        </w:rPr>
        <w:t>(</w:t>
      </w:r>
      <w:r w:rsidRPr="00AA552A">
        <w:rPr>
          <w:color w:val="000000"/>
        </w:rPr>
        <w:t xml:space="preserve">bottom </w:t>
      </w:r>
      <w:r w:rsidRPr="00AA552A">
        <w:rPr>
          <w:color w:val="000000"/>
          <w:spacing w:val="-1"/>
        </w:rPr>
        <w:t>a</w:t>
      </w:r>
      <w:r w:rsidRPr="00AA552A">
        <w:rPr>
          <w:color w:val="000000"/>
        </w:rPr>
        <w:t>nd mid</w:t>
      </w:r>
      <w:r w:rsidRPr="00AA552A">
        <w:rPr>
          <w:color w:val="000000"/>
          <w:spacing w:val="-1"/>
        </w:rPr>
        <w:t>-</w:t>
      </w:r>
      <w:r w:rsidRPr="00AA552A">
        <w:rPr>
          <w:color w:val="000000"/>
        </w:rPr>
        <w:t>w</w:t>
      </w:r>
      <w:r w:rsidRPr="00AA552A">
        <w:rPr>
          <w:color w:val="000000"/>
          <w:spacing w:val="-1"/>
        </w:rPr>
        <w:t>a</w:t>
      </w:r>
      <w:r w:rsidRPr="00AA552A">
        <w:rPr>
          <w:color w:val="000000"/>
        </w:rPr>
        <w:t>t</w:t>
      </w:r>
      <w:r w:rsidRPr="00AA552A">
        <w:rPr>
          <w:color w:val="000000"/>
          <w:spacing w:val="-1"/>
        </w:rPr>
        <w:t>er)</w:t>
      </w:r>
      <w:r w:rsidRPr="00AA552A">
        <w:rPr>
          <w:color w:val="000000"/>
        </w:rPr>
        <w:t>,</w:t>
      </w:r>
      <w:r w:rsidRPr="00AA552A">
        <w:rPr>
          <w:color w:val="000000"/>
          <w:spacing w:val="2"/>
        </w:rPr>
        <w:t xml:space="preserve"> </w:t>
      </w:r>
      <w:r w:rsidRPr="00AA552A">
        <w:rPr>
          <w:color w:val="000000"/>
        </w:rPr>
        <w:t>d</w:t>
      </w:r>
      <w:r w:rsidRPr="00AA552A">
        <w:rPr>
          <w:color w:val="000000"/>
          <w:spacing w:val="-1"/>
        </w:rPr>
        <w:t>re</w:t>
      </w:r>
      <w:r w:rsidRPr="00AA552A">
        <w:rPr>
          <w:color w:val="000000"/>
          <w:spacing w:val="2"/>
        </w:rPr>
        <w:t>d</w:t>
      </w:r>
      <w:r w:rsidRPr="00AA552A">
        <w:rPr>
          <w:color w:val="000000"/>
          <w:spacing w:val="-2"/>
        </w:rPr>
        <w:t>g</w:t>
      </w:r>
      <w:r w:rsidRPr="00AA552A">
        <w:rPr>
          <w:color w:val="000000"/>
          <w:spacing w:val="-1"/>
        </w:rPr>
        <w:t>e</w:t>
      </w:r>
      <w:r w:rsidRPr="00AA552A">
        <w:rPr>
          <w:color w:val="000000"/>
        </w:rPr>
        <w:t>, pot or</w:t>
      </w:r>
      <w:r w:rsidRPr="00AA552A">
        <w:rPr>
          <w:color w:val="000000"/>
          <w:spacing w:val="-1"/>
        </w:rPr>
        <w:t xml:space="preserve"> </w:t>
      </w:r>
      <w:r w:rsidRPr="00AA552A">
        <w:rPr>
          <w:color w:val="000000"/>
        </w:rPr>
        <w:t>t</w:t>
      </w:r>
      <w:r w:rsidRPr="00AA552A">
        <w:rPr>
          <w:color w:val="000000"/>
          <w:spacing w:val="2"/>
        </w:rPr>
        <w:t>r</w:t>
      </w:r>
      <w:r w:rsidRPr="00AA552A">
        <w:rPr>
          <w:color w:val="000000"/>
          <w:spacing w:val="-1"/>
        </w:rPr>
        <w:t>a</w:t>
      </w:r>
      <w:r w:rsidRPr="00AA552A">
        <w:rPr>
          <w:color w:val="000000"/>
        </w:rPr>
        <w:t>p, or the</w:t>
      </w:r>
      <w:r w:rsidRPr="00AA552A">
        <w:rPr>
          <w:color w:val="000000"/>
          <w:spacing w:val="-1"/>
        </w:rPr>
        <w:t xml:space="preserve"> </w:t>
      </w:r>
      <w:r w:rsidRPr="00AA552A">
        <w:rPr>
          <w:color w:val="000000"/>
        </w:rPr>
        <w:t>use</w:t>
      </w:r>
      <w:r w:rsidRPr="00AA552A">
        <w:rPr>
          <w:color w:val="000000"/>
          <w:spacing w:val="-1"/>
        </w:rPr>
        <w:t xml:space="preserve"> </w:t>
      </w:r>
      <w:r w:rsidRPr="00AA552A">
        <w:rPr>
          <w:color w:val="000000"/>
        </w:rPr>
        <w:t>of</w:t>
      </w:r>
      <w:r w:rsidRPr="00AA552A">
        <w:rPr>
          <w:color w:val="000000"/>
          <w:spacing w:val="-1"/>
        </w:rPr>
        <w:t xml:space="preserve"> a</w:t>
      </w:r>
      <w:r w:rsidRPr="00AA552A">
        <w:rPr>
          <w:color w:val="000000"/>
        </w:rPr>
        <w:t>n</w:t>
      </w:r>
      <w:r w:rsidRPr="00AA552A">
        <w:rPr>
          <w:color w:val="000000"/>
          <w:spacing w:val="2"/>
        </w:rPr>
        <w:t xml:space="preserve"> </w:t>
      </w:r>
      <w:r w:rsidRPr="00AA552A">
        <w:rPr>
          <w:color w:val="000000"/>
          <w:spacing w:val="-1"/>
        </w:rPr>
        <w:t>a</w:t>
      </w:r>
      <w:r w:rsidRPr="00AA552A">
        <w:rPr>
          <w:color w:val="000000"/>
        </w:rPr>
        <w:t>n</w:t>
      </w:r>
      <w:r w:rsidRPr="00AA552A">
        <w:rPr>
          <w:color w:val="000000"/>
          <w:spacing w:val="-1"/>
        </w:rPr>
        <w:t>c</w:t>
      </w:r>
      <w:r w:rsidRPr="00AA552A">
        <w:rPr>
          <w:color w:val="000000"/>
        </w:rPr>
        <w:t>ho</w:t>
      </w:r>
      <w:r w:rsidRPr="00AA552A">
        <w:rPr>
          <w:color w:val="000000"/>
          <w:spacing w:val="-1"/>
        </w:rPr>
        <w:t>r</w:t>
      </w:r>
      <w:r w:rsidRPr="00AA552A">
        <w:rPr>
          <w:color w:val="000000"/>
        </w:rPr>
        <w:t>,</w:t>
      </w:r>
      <w:r w:rsidRPr="00AA552A">
        <w:rPr>
          <w:color w:val="000000"/>
          <w:spacing w:val="2"/>
        </w:rPr>
        <w:t xml:space="preserve"> </w:t>
      </w:r>
      <w:r w:rsidRPr="00AA552A">
        <w:rPr>
          <w:color w:val="000000"/>
          <w:spacing w:val="-1"/>
        </w:rPr>
        <w:t>a</w:t>
      </w:r>
      <w:r w:rsidRPr="00AA552A">
        <w:rPr>
          <w:color w:val="000000"/>
        </w:rPr>
        <w:t>n</w:t>
      </w:r>
      <w:r w:rsidRPr="00AA552A">
        <w:rPr>
          <w:color w:val="000000"/>
          <w:spacing w:val="1"/>
        </w:rPr>
        <w:t>c</w:t>
      </w:r>
      <w:r w:rsidRPr="00AA552A">
        <w:rPr>
          <w:color w:val="000000"/>
        </w:rPr>
        <w:t>hor</w:t>
      </w:r>
      <w:r w:rsidRPr="00AA552A">
        <w:rPr>
          <w:color w:val="000000"/>
          <w:spacing w:val="-1"/>
        </w:rPr>
        <w:t xml:space="preserve"> a</w:t>
      </w:r>
      <w:r w:rsidRPr="00AA552A">
        <w:rPr>
          <w:color w:val="000000"/>
        </w:rPr>
        <w:t xml:space="preserve">nd </w:t>
      </w:r>
      <w:r w:rsidRPr="00AA552A">
        <w:rPr>
          <w:color w:val="000000"/>
          <w:spacing w:val="-1"/>
        </w:rPr>
        <w:t>c</w:t>
      </w:r>
      <w:r w:rsidRPr="00AA552A">
        <w:rPr>
          <w:color w:val="000000"/>
        </w:rPr>
        <w:t>h</w:t>
      </w:r>
      <w:r w:rsidRPr="00AA552A">
        <w:rPr>
          <w:color w:val="000000"/>
          <w:spacing w:val="-1"/>
        </w:rPr>
        <w:t>a</w:t>
      </w:r>
      <w:r w:rsidRPr="00AA552A">
        <w:rPr>
          <w:color w:val="000000"/>
        </w:rPr>
        <w:t xml:space="preserve">in, </w:t>
      </w:r>
      <w:r w:rsidRPr="00AA552A">
        <w:rPr>
          <w:color w:val="000000"/>
          <w:spacing w:val="2"/>
        </w:rPr>
        <w:t>o</w:t>
      </w:r>
      <w:r w:rsidRPr="00AA552A">
        <w:rPr>
          <w:color w:val="000000"/>
        </w:rPr>
        <w:t>r</w:t>
      </w:r>
      <w:r w:rsidRPr="00AA552A">
        <w:rPr>
          <w:color w:val="000000"/>
          <w:spacing w:val="2"/>
        </w:rPr>
        <w:t xml:space="preserve"> </w:t>
      </w:r>
      <w:r w:rsidRPr="00AA552A">
        <w:rPr>
          <w:color w:val="000000"/>
          <w:spacing w:val="-2"/>
        </w:rPr>
        <w:t>g</w:t>
      </w:r>
      <w:r w:rsidRPr="00AA552A">
        <w:rPr>
          <w:color w:val="000000"/>
          <w:spacing w:val="-1"/>
        </w:rPr>
        <w:t>ra</w:t>
      </w:r>
      <w:r w:rsidRPr="00AA552A">
        <w:rPr>
          <w:color w:val="000000"/>
        </w:rPr>
        <w:t>pple</w:t>
      </w:r>
      <w:r w:rsidRPr="00AA552A">
        <w:rPr>
          <w:color w:val="000000"/>
          <w:spacing w:val="1"/>
        </w:rPr>
        <w:t xml:space="preserve"> </w:t>
      </w:r>
      <w:r w:rsidRPr="00AA552A">
        <w:rPr>
          <w:color w:val="000000"/>
          <w:spacing w:val="-1"/>
        </w:rPr>
        <w:t>a</w:t>
      </w:r>
      <w:r w:rsidRPr="00AA552A">
        <w:rPr>
          <w:color w:val="000000"/>
        </w:rPr>
        <w:t xml:space="preserve">nd </w:t>
      </w:r>
      <w:r w:rsidRPr="00AA552A">
        <w:rPr>
          <w:color w:val="000000"/>
          <w:spacing w:val="-1"/>
        </w:rPr>
        <w:t>c</w:t>
      </w:r>
      <w:r w:rsidRPr="00AA552A">
        <w:rPr>
          <w:color w:val="000000"/>
        </w:rPr>
        <w:t>h</w:t>
      </w:r>
      <w:r w:rsidRPr="00AA552A">
        <w:rPr>
          <w:color w:val="000000"/>
          <w:spacing w:val="-1"/>
        </w:rPr>
        <w:t>a</w:t>
      </w:r>
      <w:r w:rsidRPr="00AA552A">
        <w:rPr>
          <w:color w:val="000000"/>
        </w:rPr>
        <w:t xml:space="preserve">in </w:t>
      </w:r>
      <w:r w:rsidRPr="00AA552A">
        <w:rPr>
          <w:color w:val="000000"/>
          <w:spacing w:val="5"/>
        </w:rPr>
        <w:t>b</w:t>
      </w:r>
      <w:r w:rsidRPr="00AA552A">
        <w:rPr>
          <w:color w:val="000000"/>
        </w:rPr>
        <w:t>y</w:t>
      </w:r>
      <w:r w:rsidRPr="00AA552A">
        <w:rPr>
          <w:color w:val="000000"/>
          <w:spacing w:val="-5"/>
        </w:rPr>
        <w:t xml:space="preserve"> </w:t>
      </w:r>
      <w:r w:rsidRPr="00AA552A">
        <w:rPr>
          <w:color w:val="000000"/>
          <w:spacing w:val="-1"/>
        </w:rPr>
        <w:t>a</w:t>
      </w:r>
      <w:r w:rsidRPr="00AA552A">
        <w:rPr>
          <w:color w:val="000000"/>
        </w:rPr>
        <w:t xml:space="preserve">ll </w:t>
      </w:r>
      <w:r w:rsidRPr="00AA552A">
        <w:rPr>
          <w:color w:val="000000"/>
          <w:spacing w:val="-1"/>
        </w:rPr>
        <w:t>f</w:t>
      </w:r>
      <w:r w:rsidRPr="00AA552A">
        <w:rPr>
          <w:color w:val="000000"/>
        </w:rPr>
        <w:t>ishi</w:t>
      </w:r>
      <w:r w:rsidRPr="00AA552A">
        <w:rPr>
          <w:color w:val="000000"/>
          <w:spacing w:val="2"/>
        </w:rPr>
        <w:t>n</w:t>
      </w:r>
      <w:r w:rsidRPr="00AA552A">
        <w:rPr>
          <w:color w:val="000000"/>
        </w:rPr>
        <w:t>g v</w:t>
      </w:r>
      <w:r w:rsidRPr="00AA552A">
        <w:rPr>
          <w:color w:val="000000"/>
          <w:spacing w:val="-1"/>
        </w:rPr>
        <w:t>e</w:t>
      </w:r>
      <w:r w:rsidRPr="00AA552A">
        <w:rPr>
          <w:color w:val="000000"/>
        </w:rPr>
        <w:t>ss</w:t>
      </w:r>
      <w:r w:rsidRPr="00AA552A">
        <w:rPr>
          <w:color w:val="000000"/>
          <w:spacing w:val="-1"/>
        </w:rPr>
        <w:t>e</w:t>
      </w:r>
      <w:r w:rsidRPr="00AA552A">
        <w:rPr>
          <w:color w:val="000000"/>
        </w:rPr>
        <w:t>ls.</w:t>
      </w:r>
    </w:p>
    <w:p w14:paraId="7A99CFD3" w14:textId="77777777" w:rsidR="00DC4922" w:rsidRDefault="00DC4922" w:rsidP="00DC4922">
      <w:pPr>
        <w:rPr>
          <w:color w:val="000000"/>
          <w:spacing w:val="1"/>
        </w:rPr>
      </w:pPr>
      <w:r>
        <w:rPr>
          <w:color w:val="000000"/>
          <w:spacing w:val="1"/>
        </w:rPr>
        <w:br w:type="page"/>
      </w:r>
    </w:p>
    <w:p w14:paraId="79C6BEBF" w14:textId="77777777" w:rsidR="00DC4922" w:rsidRPr="00EB603B" w:rsidRDefault="00DC4922" w:rsidP="00DC4922">
      <w:pPr>
        <w:rPr>
          <w:b/>
          <w:i/>
          <w:color w:val="000000"/>
        </w:rPr>
      </w:pPr>
      <w:r w:rsidRPr="00EB603B">
        <w:rPr>
          <w:b/>
          <w:i/>
          <w:color w:val="000000"/>
          <w:spacing w:val="1"/>
        </w:rPr>
        <w:lastRenderedPageBreak/>
        <w:t>S</w:t>
      </w:r>
      <w:r w:rsidRPr="00EB603B">
        <w:rPr>
          <w:b/>
          <w:i/>
          <w:color w:val="000000"/>
        </w:rPr>
        <w:t>ou</w:t>
      </w:r>
      <w:r w:rsidRPr="00EB603B">
        <w:rPr>
          <w:b/>
          <w:i/>
          <w:color w:val="000000"/>
          <w:spacing w:val="-1"/>
        </w:rPr>
        <w:t>t</w:t>
      </w:r>
      <w:r w:rsidRPr="00EB603B">
        <w:rPr>
          <w:b/>
          <w:i/>
          <w:color w:val="000000"/>
        </w:rPr>
        <w:t>h</w:t>
      </w:r>
      <w:r w:rsidRPr="00EB603B">
        <w:rPr>
          <w:b/>
          <w:i/>
          <w:color w:val="000000"/>
          <w:spacing w:val="3"/>
        </w:rPr>
        <w:t xml:space="preserve"> </w:t>
      </w:r>
      <w:r w:rsidRPr="00EB603B">
        <w:rPr>
          <w:b/>
          <w:i/>
          <w:color w:val="000000"/>
          <w:spacing w:val="-5"/>
        </w:rPr>
        <w:t>A</w:t>
      </w:r>
      <w:r w:rsidRPr="00EB603B">
        <w:rPr>
          <w:b/>
          <w:i/>
          <w:color w:val="000000"/>
          <w:spacing w:val="-1"/>
        </w:rPr>
        <w:t>t</w:t>
      </w:r>
      <w:r w:rsidRPr="00EB603B">
        <w:rPr>
          <w:b/>
          <w:i/>
          <w:color w:val="000000"/>
        </w:rPr>
        <w:t>l</w:t>
      </w:r>
      <w:r w:rsidRPr="00EB603B">
        <w:rPr>
          <w:b/>
          <w:i/>
          <w:color w:val="000000"/>
          <w:spacing w:val="1"/>
        </w:rPr>
        <w:t>a</w:t>
      </w:r>
      <w:r w:rsidRPr="00EB603B">
        <w:rPr>
          <w:b/>
          <w:i/>
          <w:color w:val="000000"/>
        </w:rPr>
        <w:t>n</w:t>
      </w:r>
      <w:r w:rsidRPr="00EB603B">
        <w:rPr>
          <w:b/>
          <w:i/>
          <w:color w:val="000000"/>
          <w:spacing w:val="-1"/>
        </w:rPr>
        <w:t>t</w:t>
      </w:r>
      <w:r w:rsidRPr="00EB603B">
        <w:rPr>
          <w:b/>
          <w:i/>
          <w:color w:val="000000"/>
        </w:rPr>
        <w:t>ic</w:t>
      </w:r>
      <w:r w:rsidRPr="00EB603B">
        <w:rPr>
          <w:b/>
          <w:i/>
          <w:color w:val="000000"/>
          <w:spacing w:val="1"/>
        </w:rPr>
        <w:t xml:space="preserve"> </w:t>
      </w:r>
      <w:r w:rsidRPr="00EB603B">
        <w:rPr>
          <w:b/>
          <w:i/>
          <w:color w:val="000000"/>
        </w:rPr>
        <w:t>Coun</w:t>
      </w:r>
      <w:r w:rsidRPr="00EB603B">
        <w:rPr>
          <w:b/>
          <w:i/>
          <w:color w:val="000000"/>
          <w:spacing w:val="3"/>
        </w:rPr>
        <w:t>c</w:t>
      </w:r>
      <w:r w:rsidRPr="00EB603B">
        <w:rPr>
          <w:b/>
          <w:i/>
          <w:color w:val="000000"/>
        </w:rPr>
        <w:t>il</w:t>
      </w:r>
      <w:r w:rsidRPr="00EB603B">
        <w:rPr>
          <w:b/>
          <w:i/>
          <w:color w:val="000000"/>
          <w:spacing w:val="1"/>
        </w:rPr>
        <w:t xml:space="preserve"> P</w:t>
      </w:r>
      <w:r w:rsidRPr="00EB603B">
        <w:rPr>
          <w:b/>
          <w:i/>
          <w:color w:val="000000"/>
        </w:rPr>
        <w:t>ol</w:t>
      </w:r>
      <w:r w:rsidRPr="00EB603B">
        <w:rPr>
          <w:b/>
          <w:i/>
          <w:color w:val="000000"/>
          <w:spacing w:val="-2"/>
        </w:rPr>
        <w:t>i</w:t>
      </w:r>
      <w:r w:rsidRPr="00EB603B">
        <w:rPr>
          <w:b/>
          <w:i/>
          <w:color w:val="000000"/>
          <w:spacing w:val="1"/>
        </w:rPr>
        <w:t>c</w:t>
      </w:r>
      <w:r w:rsidRPr="00EB603B">
        <w:rPr>
          <w:b/>
          <w:i/>
          <w:color w:val="000000"/>
        </w:rPr>
        <w:t>i</w:t>
      </w:r>
      <w:r w:rsidRPr="00EB603B">
        <w:rPr>
          <w:b/>
          <w:i/>
          <w:color w:val="000000"/>
          <w:spacing w:val="-1"/>
        </w:rPr>
        <w:t>e</w:t>
      </w:r>
      <w:r w:rsidRPr="00EB603B">
        <w:rPr>
          <w:b/>
          <w:i/>
          <w:color w:val="000000"/>
        </w:rPr>
        <w:t>s</w:t>
      </w:r>
      <w:r w:rsidRPr="00EB603B">
        <w:rPr>
          <w:b/>
          <w:i/>
          <w:color w:val="000000"/>
          <w:spacing w:val="1"/>
        </w:rPr>
        <w:t xml:space="preserve"> </w:t>
      </w:r>
      <w:r w:rsidRPr="00EB603B">
        <w:rPr>
          <w:b/>
          <w:i/>
          <w:color w:val="000000"/>
          <w:spacing w:val="-1"/>
        </w:rPr>
        <w:t>f</w:t>
      </w:r>
      <w:r w:rsidRPr="00EB603B">
        <w:rPr>
          <w:b/>
          <w:i/>
          <w:color w:val="000000"/>
        </w:rPr>
        <w:t>or</w:t>
      </w:r>
      <w:r w:rsidRPr="00EB603B">
        <w:rPr>
          <w:b/>
          <w:i/>
          <w:color w:val="000000"/>
          <w:spacing w:val="1"/>
        </w:rPr>
        <w:t xml:space="preserve"> P</w:t>
      </w:r>
      <w:r w:rsidRPr="00EB603B">
        <w:rPr>
          <w:b/>
          <w:i/>
          <w:color w:val="000000"/>
        </w:rPr>
        <w:t>ro</w:t>
      </w:r>
      <w:r w:rsidRPr="00EB603B">
        <w:rPr>
          <w:b/>
          <w:i/>
          <w:color w:val="000000"/>
          <w:spacing w:val="-1"/>
        </w:rPr>
        <w:t>t</w:t>
      </w:r>
      <w:r w:rsidRPr="00EB603B">
        <w:rPr>
          <w:b/>
          <w:i/>
          <w:color w:val="000000"/>
          <w:spacing w:val="1"/>
        </w:rPr>
        <w:t>ec</w:t>
      </w:r>
      <w:r w:rsidRPr="00EB603B">
        <w:rPr>
          <w:b/>
          <w:i/>
          <w:color w:val="000000"/>
          <w:spacing w:val="-1"/>
        </w:rPr>
        <w:t>t</w:t>
      </w:r>
      <w:r w:rsidRPr="00EB603B">
        <w:rPr>
          <w:b/>
          <w:i/>
          <w:color w:val="000000"/>
          <w:spacing w:val="-2"/>
        </w:rPr>
        <w:t>i</w:t>
      </w:r>
      <w:r w:rsidRPr="00EB603B">
        <w:rPr>
          <w:b/>
          <w:i/>
          <w:color w:val="000000"/>
        </w:rPr>
        <w:t xml:space="preserve">on </w:t>
      </w:r>
      <w:r w:rsidRPr="00EB603B">
        <w:rPr>
          <w:b/>
          <w:i/>
          <w:color w:val="000000"/>
          <w:spacing w:val="1"/>
        </w:rPr>
        <w:t>a</w:t>
      </w:r>
      <w:r w:rsidRPr="00EB603B">
        <w:rPr>
          <w:b/>
          <w:i/>
          <w:color w:val="000000"/>
        </w:rPr>
        <w:t>nd R</w:t>
      </w:r>
      <w:r w:rsidRPr="00EB603B">
        <w:rPr>
          <w:b/>
          <w:i/>
          <w:color w:val="000000"/>
          <w:spacing w:val="1"/>
        </w:rPr>
        <w:t>es</w:t>
      </w:r>
      <w:r w:rsidRPr="00EB603B">
        <w:rPr>
          <w:b/>
          <w:i/>
          <w:color w:val="000000"/>
          <w:spacing w:val="-1"/>
        </w:rPr>
        <w:t>t</w:t>
      </w:r>
      <w:r w:rsidRPr="00EB603B">
        <w:rPr>
          <w:b/>
          <w:i/>
          <w:color w:val="000000"/>
        </w:rPr>
        <w:t>or</w:t>
      </w:r>
      <w:r w:rsidRPr="00EB603B">
        <w:rPr>
          <w:b/>
          <w:i/>
          <w:color w:val="000000"/>
          <w:spacing w:val="1"/>
        </w:rPr>
        <w:t>a</w:t>
      </w:r>
      <w:r w:rsidRPr="00EB603B">
        <w:rPr>
          <w:b/>
          <w:i/>
          <w:color w:val="000000"/>
          <w:spacing w:val="-1"/>
        </w:rPr>
        <w:t>t</w:t>
      </w:r>
      <w:r w:rsidRPr="00EB603B">
        <w:rPr>
          <w:b/>
          <w:i/>
          <w:color w:val="000000"/>
        </w:rPr>
        <w:t xml:space="preserve">ion </w:t>
      </w:r>
      <w:r w:rsidRPr="00EB603B">
        <w:rPr>
          <w:b/>
          <w:i/>
          <w:color w:val="000000"/>
          <w:spacing w:val="-3"/>
        </w:rPr>
        <w:t>o</w:t>
      </w:r>
      <w:r w:rsidRPr="00EB603B">
        <w:rPr>
          <w:b/>
          <w:i/>
          <w:color w:val="000000"/>
        </w:rPr>
        <w:t xml:space="preserve">f </w:t>
      </w:r>
      <w:r w:rsidRPr="00EB603B">
        <w:rPr>
          <w:b/>
          <w:i/>
          <w:color w:val="000000"/>
          <w:spacing w:val="1"/>
        </w:rPr>
        <w:t>Esse</w:t>
      </w:r>
      <w:r w:rsidRPr="00EB603B">
        <w:rPr>
          <w:b/>
          <w:i/>
          <w:color w:val="000000"/>
        </w:rPr>
        <w:t>n</w:t>
      </w:r>
      <w:r w:rsidRPr="00EB603B">
        <w:rPr>
          <w:b/>
          <w:i/>
          <w:color w:val="000000"/>
          <w:spacing w:val="-1"/>
        </w:rPr>
        <w:t>t</w:t>
      </w:r>
      <w:r w:rsidRPr="00EB603B">
        <w:rPr>
          <w:b/>
          <w:i/>
          <w:color w:val="000000"/>
          <w:spacing w:val="-2"/>
        </w:rPr>
        <w:t>i</w:t>
      </w:r>
      <w:r w:rsidRPr="00EB603B">
        <w:rPr>
          <w:b/>
          <w:i/>
          <w:color w:val="000000"/>
          <w:spacing w:val="1"/>
        </w:rPr>
        <w:t>a</w:t>
      </w:r>
      <w:r w:rsidRPr="00EB603B">
        <w:rPr>
          <w:b/>
          <w:i/>
          <w:color w:val="000000"/>
        </w:rPr>
        <w:t>l</w:t>
      </w:r>
      <w:r w:rsidRPr="00EB603B">
        <w:rPr>
          <w:b/>
          <w:i/>
          <w:color w:val="000000"/>
          <w:spacing w:val="1"/>
        </w:rPr>
        <w:t xml:space="preserve"> </w:t>
      </w:r>
      <w:r w:rsidRPr="00EB603B">
        <w:rPr>
          <w:b/>
          <w:i/>
          <w:color w:val="000000"/>
        </w:rPr>
        <w:t>Fi</w:t>
      </w:r>
      <w:r w:rsidRPr="00EB603B">
        <w:rPr>
          <w:b/>
          <w:i/>
          <w:color w:val="000000"/>
          <w:spacing w:val="1"/>
        </w:rPr>
        <w:t>s</w:t>
      </w:r>
      <w:r w:rsidRPr="00EB603B">
        <w:rPr>
          <w:b/>
          <w:i/>
          <w:color w:val="000000"/>
        </w:rPr>
        <w:t>h</w:t>
      </w:r>
      <w:r w:rsidRPr="00EB603B">
        <w:rPr>
          <w:b/>
          <w:i/>
          <w:color w:val="000000"/>
          <w:spacing w:val="-2"/>
        </w:rPr>
        <w:t xml:space="preserve"> </w:t>
      </w:r>
      <w:r w:rsidRPr="00EB603B">
        <w:rPr>
          <w:b/>
          <w:i/>
          <w:color w:val="000000"/>
        </w:rPr>
        <w:t>H</w:t>
      </w:r>
      <w:r w:rsidRPr="00EB603B">
        <w:rPr>
          <w:b/>
          <w:i/>
          <w:color w:val="000000"/>
          <w:spacing w:val="1"/>
        </w:rPr>
        <w:t>a</w:t>
      </w:r>
      <w:r w:rsidRPr="00EB603B">
        <w:rPr>
          <w:b/>
          <w:i/>
          <w:color w:val="000000"/>
        </w:rPr>
        <w:t>bi</w:t>
      </w:r>
      <w:r w:rsidRPr="00EB603B">
        <w:rPr>
          <w:b/>
          <w:i/>
          <w:color w:val="000000"/>
          <w:spacing w:val="-3"/>
        </w:rPr>
        <w:t>t</w:t>
      </w:r>
      <w:r w:rsidRPr="00EB603B">
        <w:rPr>
          <w:b/>
          <w:i/>
          <w:color w:val="000000"/>
          <w:spacing w:val="1"/>
        </w:rPr>
        <w:t>a</w:t>
      </w:r>
      <w:r w:rsidRPr="00EB603B">
        <w:rPr>
          <w:b/>
          <w:i/>
          <w:color w:val="000000"/>
          <w:spacing w:val="-1"/>
        </w:rPr>
        <w:t>t</w:t>
      </w:r>
    </w:p>
    <w:p w14:paraId="58909135" w14:textId="77777777" w:rsidR="00DC4922" w:rsidRPr="00EB603B" w:rsidRDefault="00DC4922" w:rsidP="00DC4922">
      <w:pPr>
        <w:rPr>
          <w:b/>
          <w:i/>
          <w:color w:val="000000"/>
        </w:rPr>
      </w:pPr>
      <w:r w:rsidRPr="00EB603B">
        <w:rPr>
          <w:b/>
          <w:i/>
          <w:color w:val="000000"/>
          <w:spacing w:val="3"/>
        </w:rPr>
        <w:t>S</w:t>
      </w:r>
      <w:r w:rsidRPr="00EB603B">
        <w:rPr>
          <w:b/>
          <w:i/>
          <w:color w:val="000000"/>
          <w:spacing w:val="-5"/>
        </w:rPr>
        <w:t>A</w:t>
      </w:r>
      <w:r w:rsidRPr="00EB603B">
        <w:rPr>
          <w:b/>
          <w:i/>
          <w:color w:val="000000"/>
        </w:rPr>
        <w:t>F</w:t>
      </w:r>
      <w:r w:rsidRPr="00EB603B">
        <w:rPr>
          <w:b/>
          <w:i/>
          <w:color w:val="000000"/>
          <w:spacing w:val="2"/>
        </w:rPr>
        <w:t>M</w:t>
      </w:r>
      <w:r w:rsidRPr="00EB603B">
        <w:rPr>
          <w:b/>
          <w:i/>
          <w:color w:val="000000"/>
        </w:rPr>
        <w:t>C H</w:t>
      </w:r>
      <w:r w:rsidRPr="00EB603B">
        <w:rPr>
          <w:b/>
          <w:i/>
          <w:color w:val="000000"/>
          <w:spacing w:val="1"/>
        </w:rPr>
        <w:t>a</w:t>
      </w:r>
      <w:r w:rsidRPr="00EB603B">
        <w:rPr>
          <w:b/>
          <w:i/>
          <w:color w:val="000000"/>
        </w:rPr>
        <w:t>bi</w:t>
      </w:r>
      <w:r w:rsidRPr="00EB603B">
        <w:rPr>
          <w:b/>
          <w:i/>
          <w:color w:val="000000"/>
          <w:spacing w:val="-1"/>
        </w:rPr>
        <w:t>t</w:t>
      </w:r>
      <w:r w:rsidRPr="00EB603B">
        <w:rPr>
          <w:b/>
          <w:i/>
          <w:color w:val="000000"/>
          <w:spacing w:val="1"/>
        </w:rPr>
        <w:t>a</w:t>
      </w:r>
      <w:r w:rsidRPr="00EB603B">
        <w:rPr>
          <w:b/>
          <w:i/>
          <w:color w:val="000000"/>
        </w:rPr>
        <w:t xml:space="preserve">t </w:t>
      </w:r>
      <w:r w:rsidRPr="00EB603B">
        <w:rPr>
          <w:b/>
          <w:i/>
          <w:color w:val="000000"/>
          <w:spacing w:val="1"/>
        </w:rPr>
        <w:t>a</w:t>
      </w:r>
      <w:r w:rsidRPr="00EB603B">
        <w:rPr>
          <w:b/>
          <w:i/>
          <w:color w:val="000000"/>
        </w:rPr>
        <w:t xml:space="preserve">nd </w:t>
      </w:r>
      <w:r w:rsidRPr="00EB603B">
        <w:rPr>
          <w:b/>
          <w:i/>
          <w:color w:val="000000"/>
          <w:spacing w:val="-2"/>
        </w:rPr>
        <w:t>E</w:t>
      </w:r>
      <w:r w:rsidRPr="00EB603B">
        <w:rPr>
          <w:b/>
          <w:i/>
          <w:color w:val="000000"/>
          <w:spacing w:val="2"/>
        </w:rPr>
        <w:t>n</w:t>
      </w:r>
      <w:r w:rsidRPr="00EB603B">
        <w:rPr>
          <w:b/>
          <w:i/>
          <w:color w:val="000000"/>
          <w:spacing w:val="-4"/>
        </w:rPr>
        <w:t>v</w:t>
      </w:r>
      <w:r w:rsidRPr="00EB603B">
        <w:rPr>
          <w:b/>
          <w:i/>
          <w:color w:val="000000"/>
        </w:rPr>
        <w:t>ironm</w:t>
      </w:r>
      <w:r w:rsidRPr="00EB603B">
        <w:rPr>
          <w:b/>
          <w:i/>
          <w:color w:val="000000"/>
          <w:spacing w:val="1"/>
        </w:rPr>
        <w:t>e</w:t>
      </w:r>
      <w:r w:rsidRPr="00EB603B">
        <w:rPr>
          <w:b/>
          <w:i/>
          <w:color w:val="000000"/>
        </w:rPr>
        <w:t>n</w:t>
      </w:r>
      <w:r w:rsidRPr="00EB603B">
        <w:rPr>
          <w:b/>
          <w:i/>
          <w:color w:val="000000"/>
          <w:spacing w:val="-1"/>
        </w:rPr>
        <w:t>t</w:t>
      </w:r>
      <w:r w:rsidRPr="00EB603B">
        <w:rPr>
          <w:b/>
          <w:i/>
          <w:color w:val="000000"/>
          <w:spacing w:val="1"/>
        </w:rPr>
        <w:t>a</w:t>
      </w:r>
      <w:r w:rsidRPr="00EB603B">
        <w:rPr>
          <w:b/>
          <w:i/>
          <w:color w:val="000000"/>
        </w:rPr>
        <w:t>l</w:t>
      </w:r>
      <w:r w:rsidRPr="00EB603B">
        <w:rPr>
          <w:b/>
          <w:i/>
          <w:color w:val="000000"/>
          <w:spacing w:val="1"/>
        </w:rPr>
        <w:t xml:space="preserve"> P</w:t>
      </w:r>
      <w:r w:rsidRPr="00EB603B">
        <w:rPr>
          <w:b/>
          <w:i/>
          <w:color w:val="000000"/>
        </w:rPr>
        <w:t>ro</w:t>
      </w:r>
      <w:r w:rsidRPr="00EB603B">
        <w:rPr>
          <w:b/>
          <w:i/>
          <w:color w:val="000000"/>
          <w:spacing w:val="-1"/>
        </w:rPr>
        <w:t>t</w:t>
      </w:r>
      <w:r w:rsidRPr="00EB603B">
        <w:rPr>
          <w:b/>
          <w:i/>
          <w:color w:val="000000"/>
          <w:spacing w:val="1"/>
        </w:rPr>
        <w:t>ec</w:t>
      </w:r>
      <w:r w:rsidRPr="00EB603B">
        <w:rPr>
          <w:b/>
          <w:i/>
          <w:color w:val="000000"/>
          <w:spacing w:val="-3"/>
        </w:rPr>
        <w:t>t</w:t>
      </w:r>
      <w:r w:rsidRPr="00EB603B">
        <w:rPr>
          <w:b/>
          <w:i/>
          <w:color w:val="000000"/>
        </w:rPr>
        <w:t xml:space="preserve">ion </w:t>
      </w:r>
      <w:r w:rsidRPr="00EB603B">
        <w:rPr>
          <w:b/>
          <w:i/>
          <w:color w:val="000000"/>
          <w:spacing w:val="1"/>
        </w:rPr>
        <w:t>P</w:t>
      </w:r>
      <w:r w:rsidRPr="00EB603B">
        <w:rPr>
          <w:b/>
          <w:i/>
          <w:color w:val="000000"/>
        </w:rPr>
        <w:t>oli</w:t>
      </w:r>
      <w:r w:rsidRPr="00EB603B">
        <w:rPr>
          <w:b/>
          <w:i/>
          <w:color w:val="000000"/>
          <w:spacing w:val="1"/>
        </w:rPr>
        <w:t>c</w:t>
      </w:r>
      <w:r w:rsidRPr="00EB603B">
        <w:rPr>
          <w:b/>
          <w:i/>
          <w:color w:val="000000"/>
        </w:rPr>
        <w:t>y</w:t>
      </w:r>
    </w:p>
    <w:p w14:paraId="7D82690A" w14:textId="552241F6" w:rsidR="00DC4922" w:rsidRDefault="00DC4922" w:rsidP="00640526">
      <w:pPr>
        <w:ind w:firstLine="360"/>
        <w:rPr>
          <w:color w:val="000000"/>
        </w:rPr>
      </w:pPr>
      <w:r>
        <w:rPr>
          <w:color w:val="000000"/>
          <w:spacing w:val="-3"/>
        </w:rPr>
        <w:t>I</w:t>
      </w:r>
      <w:r>
        <w:rPr>
          <w:color w:val="000000"/>
        </w:rPr>
        <w:t>n</w:t>
      </w:r>
      <w:r>
        <w:rPr>
          <w:color w:val="000000"/>
          <w:spacing w:val="2"/>
        </w:rPr>
        <w:t xml:space="preserve"> </w:t>
      </w:r>
      <w:r>
        <w:rPr>
          <w:color w:val="000000"/>
          <w:spacing w:val="-1"/>
        </w:rPr>
        <w:t>rec</w:t>
      </w:r>
      <w:r>
        <w:rPr>
          <w:color w:val="000000"/>
          <w:spacing w:val="2"/>
        </w:rPr>
        <w:t>o</w:t>
      </w:r>
      <w:r>
        <w:rPr>
          <w:color w:val="000000"/>
          <w:spacing w:val="-2"/>
        </w:rPr>
        <w:t>g</w:t>
      </w:r>
      <w:r>
        <w:rPr>
          <w:color w:val="000000"/>
        </w:rPr>
        <w:t>ni</w:t>
      </w:r>
      <w:r>
        <w:rPr>
          <w:color w:val="000000"/>
          <w:spacing w:val="1"/>
        </w:rPr>
        <w:t>z</w:t>
      </w:r>
      <w:r>
        <w:rPr>
          <w:color w:val="000000"/>
        </w:rPr>
        <w:t>ing</w:t>
      </w:r>
      <w:r>
        <w:rPr>
          <w:color w:val="000000"/>
          <w:spacing w:val="-2"/>
        </w:rPr>
        <w:t xml:space="preserve"> </w:t>
      </w:r>
      <w:r>
        <w:rPr>
          <w:color w:val="000000"/>
        </w:rPr>
        <w:t>t</w:t>
      </w:r>
      <w:r>
        <w:rPr>
          <w:color w:val="000000"/>
          <w:spacing w:val="2"/>
        </w:rPr>
        <w:t>h</w:t>
      </w:r>
      <w:r>
        <w:rPr>
          <w:color w:val="000000"/>
          <w:spacing w:val="-1"/>
        </w:rPr>
        <w:t>a</w:t>
      </w:r>
      <w:r>
        <w:rPr>
          <w:color w:val="000000"/>
        </w:rPr>
        <w:t>t sp</w:t>
      </w:r>
      <w:r>
        <w:rPr>
          <w:color w:val="000000"/>
          <w:spacing w:val="-1"/>
        </w:rPr>
        <w:t>ec</w:t>
      </w:r>
      <w:r>
        <w:rPr>
          <w:color w:val="000000"/>
          <w:spacing w:val="3"/>
        </w:rPr>
        <w:t>i</w:t>
      </w:r>
      <w:r>
        <w:rPr>
          <w:color w:val="000000"/>
          <w:spacing w:val="-1"/>
        </w:rPr>
        <w:t>e</w:t>
      </w:r>
      <w:r>
        <w:rPr>
          <w:color w:val="000000"/>
        </w:rPr>
        <w:t xml:space="preserve">s </w:t>
      </w:r>
      <w:r>
        <w:rPr>
          <w:color w:val="000000"/>
          <w:spacing w:val="-1"/>
        </w:rPr>
        <w:t>ar</w:t>
      </w:r>
      <w:r>
        <w:rPr>
          <w:color w:val="000000"/>
        </w:rPr>
        <w:t>e</w:t>
      </w:r>
      <w:r>
        <w:rPr>
          <w:color w:val="000000"/>
          <w:spacing w:val="-1"/>
        </w:rPr>
        <w:t xml:space="preserve"> </w:t>
      </w:r>
      <w:r>
        <w:rPr>
          <w:color w:val="000000"/>
          <w:spacing w:val="2"/>
        </w:rPr>
        <w:t>d</w:t>
      </w:r>
      <w:r>
        <w:rPr>
          <w:color w:val="000000"/>
          <w:spacing w:val="-1"/>
        </w:rPr>
        <w:t>e</w:t>
      </w:r>
      <w:r>
        <w:rPr>
          <w:color w:val="000000"/>
        </w:rPr>
        <w:t>p</w:t>
      </w:r>
      <w:r>
        <w:rPr>
          <w:color w:val="000000"/>
          <w:spacing w:val="-1"/>
        </w:rPr>
        <w:t>e</w:t>
      </w:r>
      <w:r>
        <w:rPr>
          <w:color w:val="000000"/>
        </w:rPr>
        <w:t>n</w:t>
      </w:r>
      <w:r>
        <w:rPr>
          <w:color w:val="000000"/>
          <w:spacing w:val="2"/>
        </w:rPr>
        <w:t>d</w:t>
      </w:r>
      <w:r>
        <w:rPr>
          <w:color w:val="000000"/>
          <w:spacing w:val="-1"/>
        </w:rPr>
        <w:t>e</w:t>
      </w:r>
      <w:r>
        <w:rPr>
          <w:color w:val="000000"/>
        </w:rPr>
        <w:t>nt on the</w:t>
      </w:r>
      <w:r>
        <w:rPr>
          <w:color w:val="000000"/>
          <w:spacing w:val="-1"/>
        </w:rPr>
        <w:t xml:space="preserve"> </w:t>
      </w:r>
      <w:r>
        <w:rPr>
          <w:color w:val="000000"/>
          <w:spacing w:val="2"/>
        </w:rPr>
        <w:t>q</w:t>
      </w:r>
      <w:r>
        <w:rPr>
          <w:color w:val="000000"/>
        </w:rPr>
        <w:t>u</w:t>
      </w:r>
      <w:r>
        <w:rPr>
          <w:color w:val="000000"/>
          <w:spacing w:val="-1"/>
        </w:rPr>
        <w:t>a</w:t>
      </w:r>
      <w:r>
        <w:rPr>
          <w:color w:val="000000"/>
        </w:rPr>
        <w:t>nti</w:t>
      </w:r>
      <w:r>
        <w:rPr>
          <w:color w:val="000000"/>
          <w:spacing w:val="3"/>
        </w:rPr>
        <w:t>t</w:t>
      </w:r>
      <w:r>
        <w:rPr>
          <w:color w:val="000000"/>
        </w:rPr>
        <w:t>y</w:t>
      </w:r>
      <w:r>
        <w:rPr>
          <w:color w:val="000000"/>
          <w:spacing w:val="-5"/>
        </w:rPr>
        <w:t xml:space="preserve"> </w:t>
      </w:r>
      <w:r>
        <w:rPr>
          <w:color w:val="000000"/>
          <w:spacing w:val="-1"/>
        </w:rPr>
        <w:t>a</w:t>
      </w:r>
      <w:r>
        <w:rPr>
          <w:color w:val="000000"/>
        </w:rPr>
        <w:t>nd q</w:t>
      </w:r>
      <w:r>
        <w:rPr>
          <w:color w:val="000000"/>
          <w:spacing w:val="2"/>
        </w:rPr>
        <w:t>u</w:t>
      </w:r>
      <w:r>
        <w:rPr>
          <w:color w:val="000000"/>
          <w:spacing w:val="-1"/>
        </w:rPr>
        <w:t>a</w:t>
      </w:r>
      <w:r>
        <w:rPr>
          <w:color w:val="000000"/>
        </w:rPr>
        <w:t>li</w:t>
      </w:r>
      <w:r>
        <w:rPr>
          <w:color w:val="000000"/>
          <w:spacing w:val="3"/>
        </w:rPr>
        <w:t>t</w:t>
      </w:r>
      <w:r>
        <w:rPr>
          <w:color w:val="000000"/>
        </w:rPr>
        <w:t>y</w:t>
      </w:r>
      <w:r>
        <w:rPr>
          <w:color w:val="000000"/>
          <w:spacing w:val="-5"/>
        </w:rPr>
        <w:t xml:space="preserve"> </w:t>
      </w:r>
      <w:r>
        <w:rPr>
          <w:color w:val="000000"/>
        </w:rPr>
        <w:t>of</w:t>
      </w:r>
      <w:r>
        <w:rPr>
          <w:color w:val="000000"/>
          <w:spacing w:val="-1"/>
        </w:rPr>
        <w:t xml:space="preserve"> </w:t>
      </w:r>
      <w:r>
        <w:rPr>
          <w:color w:val="000000"/>
        </w:rPr>
        <w:t>th</w:t>
      </w:r>
      <w:r>
        <w:rPr>
          <w:color w:val="000000"/>
          <w:spacing w:val="1"/>
        </w:rPr>
        <w:t>e</w:t>
      </w:r>
      <w:r>
        <w:rPr>
          <w:color w:val="000000"/>
        </w:rPr>
        <w:t>ir</w:t>
      </w:r>
      <w:r>
        <w:rPr>
          <w:color w:val="000000"/>
          <w:spacing w:val="-1"/>
        </w:rPr>
        <w:t xml:space="preserve"> e</w:t>
      </w:r>
      <w:r>
        <w:rPr>
          <w:color w:val="000000"/>
        </w:rPr>
        <w:t>ss</w:t>
      </w:r>
      <w:r>
        <w:rPr>
          <w:color w:val="000000"/>
          <w:spacing w:val="-1"/>
        </w:rPr>
        <w:t>e</w:t>
      </w:r>
      <w:r>
        <w:rPr>
          <w:color w:val="000000"/>
        </w:rPr>
        <w:t>nti</w:t>
      </w:r>
      <w:r>
        <w:rPr>
          <w:color w:val="000000"/>
          <w:spacing w:val="-1"/>
        </w:rPr>
        <w:t>a</w:t>
      </w:r>
      <w:r>
        <w:rPr>
          <w:color w:val="000000"/>
        </w:rPr>
        <w:t>l h</w:t>
      </w:r>
      <w:r>
        <w:rPr>
          <w:color w:val="000000"/>
          <w:spacing w:val="-1"/>
        </w:rPr>
        <w:t>a</w:t>
      </w:r>
      <w:r>
        <w:rPr>
          <w:color w:val="000000"/>
        </w:rPr>
        <w:t>bit</w:t>
      </w:r>
      <w:r>
        <w:rPr>
          <w:color w:val="000000"/>
          <w:spacing w:val="-1"/>
        </w:rPr>
        <w:t>a</w:t>
      </w:r>
      <w:r>
        <w:rPr>
          <w:color w:val="000000"/>
        </w:rPr>
        <w:t>ts, it is the poli</w:t>
      </w:r>
      <w:r>
        <w:rPr>
          <w:color w:val="000000"/>
          <w:spacing w:val="1"/>
        </w:rPr>
        <w:t>c</w:t>
      </w:r>
      <w:r>
        <w:rPr>
          <w:color w:val="000000"/>
        </w:rPr>
        <w:t>y</w:t>
      </w:r>
      <w:r>
        <w:rPr>
          <w:color w:val="000000"/>
          <w:spacing w:val="-5"/>
        </w:rPr>
        <w:t xml:space="preserve"> </w:t>
      </w:r>
      <w:r>
        <w:rPr>
          <w:color w:val="000000"/>
        </w:rPr>
        <w:t>of</w:t>
      </w:r>
      <w:r>
        <w:rPr>
          <w:color w:val="000000"/>
          <w:spacing w:val="-1"/>
        </w:rPr>
        <w:t xml:space="preserve"> </w:t>
      </w:r>
      <w:r>
        <w:rPr>
          <w:color w:val="000000"/>
        </w:rPr>
        <w:t>the</w:t>
      </w:r>
      <w:r>
        <w:rPr>
          <w:color w:val="000000"/>
          <w:spacing w:val="-1"/>
        </w:rPr>
        <w:t xml:space="preserve"> </w:t>
      </w:r>
      <w:r>
        <w:rPr>
          <w:color w:val="000000"/>
          <w:spacing w:val="1"/>
        </w:rPr>
        <w:t>S</w:t>
      </w:r>
      <w:r>
        <w:rPr>
          <w:color w:val="000000"/>
          <w:spacing w:val="2"/>
        </w:rPr>
        <w:t>A</w:t>
      </w:r>
      <w:r>
        <w:rPr>
          <w:color w:val="000000"/>
          <w:spacing w:val="-1"/>
        </w:rPr>
        <w:t>F</w:t>
      </w:r>
      <w:r>
        <w:rPr>
          <w:color w:val="000000"/>
        </w:rPr>
        <w:t>MC</w:t>
      </w:r>
      <w:r>
        <w:rPr>
          <w:color w:val="000000"/>
          <w:spacing w:val="1"/>
        </w:rPr>
        <w:t xml:space="preserve"> </w:t>
      </w:r>
      <w:r>
        <w:rPr>
          <w:color w:val="000000"/>
        </w:rPr>
        <w:t>to p</w:t>
      </w:r>
      <w:r>
        <w:rPr>
          <w:color w:val="000000"/>
          <w:spacing w:val="-1"/>
        </w:rPr>
        <w:t>r</w:t>
      </w:r>
      <w:r>
        <w:rPr>
          <w:color w:val="000000"/>
        </w:rPr>
        <w:t>ot</w:t>
      </w:r>
      <w:r>
        <w:rPr>
          <w:color w:val="000000"/>
          <w:spacing w:val="-1"/>
        </w:rPr>
        <w:t>ec</w:t>
      </w:r>
      <w:r>
        <w:rPr>
          <w:color w:val="000000"/>
        </w:rPr>
        <w:t xml:space="preserve">t, </w:t>
      </w:r>
      <w:r>
        <w:rPr>
          <w:color w:val="000000"/>
          <w:spacing w:val="-1"/>
        </w:rPr>
        <w:t>re</w:t>
      </w:r>
      <w:r>
        <w:rPr>
          <w:color w:val="000000"/>
        </w:rPr>
        <w:t>sto</w:t>
      </w:r>
      <w:r>
        <w:rPr>
          <w:color w:val="000000"/>
          <w:spacing w:val="2"/>
        </w:rPr>
        <w:t>r</w:t>
      </w:r>
      <w:r>
        <w:rPr>
          <w:color w:val="000000"/>
          <w:spacing w:val="-1"/>
        </w:rPr>
        <w:t>e</w:t>
      </w:r>
      <w:r>
        <w:rPr>
          <w:color w:val="000000"/>
        </w:rPr>
        <w:t xml:space="preserve">, </w:t>
      </w:r>
      <w:r>
        <w:rPr>
          <w:color w:val="000000"/>
          <w:spacing w:val="-1"/>
        </w:rPr>
        <w:t>a</w:t>
      </w:r>
      <w:r>
        <w:rPr>
          <w:color w:val="000000"/>
        </w:rPr>
        <w:t xml:space="preserve">nd </w:t>
      </w:r>
      <w:r>
        <w:rPr>
          <w:color w:val="000000"/>
          <w:spacing w:val="2"/>
        </w:rPr>
        <w:t>d</w:t>
      </w:r>
      <w:r>
        <w:rPr>
          <w:color w:val="000000"/>
          <w:spacing w:val="-1"/>
        </w:rPr>
        <w:t>e</w:t>
      </w:r>
      <w:r>
        <w:rPr>
          <w:color w:val="000000"/>
        </w:rPr>
        <w:t>v</w:t>
      </w:r>
      <w:r>
        <w:rPr>
          <w:color w:val="000000"/>
          <w:spacing w:val="1"/>
        </w:rPr>
        <w:t>e</w:t>
      </w:r>
      <w:r>
        <w:rPr>
          <w:color w:val="000000"/>
        </w:rPr>
        <w:t>lop h</w:t>
      </w:r>
      <w:r>
        <w:rPr>
          <w:color w:val="000000"/>
          <w:spacing w:val="-1"/>
        </w:rPr>
        <w:t>a</w:t>
      </w:r>
      <w:r>
        <w:rPr>
          <w:color w:val="000000"/>
        </w:rPr>
        <w:t>bit</w:t>
      </w:r>
      <w:r>
        <w:rPr>
          <w:color w:val="000000"/>
          <w:spacing w:val="-1"/>
        </w:rPr>
        <w:t>a</w:t>
      </w:r>
      <w:r>
        <w:rPr>
          <w:color w:val="000000"/>
        </w:rPr>
        <w:t>ts upon whi</w:t>
      </w:r>
      <w:r>
        <w:rPr>
          <w:color w:val="000000"/>
          <w:spacing w:val="-1"/>
        </w:rPr>
        <w:t>c</w:t>
      </w:r>
      <w:r>
        <w:rPr>
          <w:color w:val="000000"/>
        </w:rPr>
        <w:t xml:space="preserve">h </w:t>
      </w:r>
      <w:r>
        <w:rPr>
          <w:color w:val="000000"/>
          <w:spacing w:val="2"/>
        </w:rPr>
        <w:t>f</w:t>
      </w:r>
      <w:r>
        <w:rPr>
          <w:color w:val="000000"/>
        </w:rPr>
        <w:t>ish</w:t>
      </w:r>
      <w:r>
        <w:rPr>
          <w:color w:val="000000"/>
          <w:spacing w:val="-1"/>
        </w:rPr>
        <w:t>er</w:t>
      </w:r>
      <w:r>
        <w:rPr>
          <w:color w:val="000000"/>
        </w:rPr>
        <w:t>i</w:t>
      </w:r>
      <w:r>
        <w:rPr>
          <w:color w:val="000000"/>
          <w:spacing w:val="-1"/>
        </w:rPr>
        <w:t>e</w:t>
      </w:r>
      <w:r>
        <w:rPr>
          <w:color w:val="000000"/>
        </w:rPr>
        <w:t>s sp</w:t>
      </w:r>
      <w:r>
        <w:rPr>
          <w:color w:val="000000"/>
          <w:spacing w:val="-1"/>
        </w:rPr>
        <w:t>ec</w:t>
      </w:r>
      <w:r>
        <w:rPr>
          <w:color w:val="000000"/>
        </w:rPr>
        <w:t>i</w:t>
      </w:r>
      <w:r>
        <w:rPr>
          <w:color w:val="000000"/>
          <w:spacing w:val="-1"/>
        </w:rPr>
        <w:t>e</w:t>
      </w:r>
      <w:r>
        <w:rPr>
          <w:color w:val="000000"/>
        </w:rPr>
        <w:t xml:space="preserve">s </w:t>
      </w:r>
      <w:r>
        <w:rPr>
          <w:color w:val="000000"/>
          <w:spacing w:val="2"/>
        </w:rPr>
        <w:t>d</w:t>
      </w:r>
      <w:r>
        <w:rPr>
          <w:color w:val="000000"/>
          <w:spacing w:val="-1"/>
        </w:rPr>
        <w:t>e</w:t>
      </w:r>
      <w:r>
        <w:rPr>
          <w:color w:val="000000"/>
        </w:rPr>
        <w:t>p</w:t>
      </w:r>
      <w:r>
        <w:rPr>
          <w:color w:val="000000"/>
          <w:spacing w:val="-1"/>
        </w:rPr>
        <w:t>e</w:t>
      </w:r>
      <w:r>
        <w:rPr>
          <w:color w:val="000000"/>
        </w:rPr>
        <w:t xml:space="preserve">nd; </w:t>
      </w:r>
      <w:r>
        <w:rPr>
          <w:color w:val="000000"/>
          <w:spacing w:val="3"/>
        </w:rPr>
        <w:t>t</w:t>
      </w:r>
      <w:r>
        <w:rPr>
          <w:color w:val="000000"/>
        </w:rPr>
        <w:t>o in</w:t>
      </w:r>
      <w:r>
        <w:rPr>
          <w:color w:val="000000"/>
          <w:spacing w:val="-1"/>
        </w:rPr>
        <w:t>crea</w:t>
      </w:r>
      <w:r>
        <w:rPr>
          <w:color w:val="000000"/>
          <w:spacing w:val="3"/>
        </w:rPr>
        <w:t>s</w:t>
      </w:r>
      <w:r>
        <w:rPr>
          <w:color w:val="000000"/>
        </w:rPr>
        <w:t>e</w:t>
      </w:r>
      <w:r>
        <w:rPr>
          <w:color w:val="000000"/>
          <w:spacing w:val="-1"/>
        </w:rPr>
        <w:t xml:space="preserve"> </w:t>
      </w:r>
      <w:r>
        <w:rPr>
          <w:color w:val="000000"/>
        </w:rPr>
        <w:t>the</w:t>
      </w:r>
      <w:r>
        <w:rPr>
          <w:color w:val="000000"/>
          <w:spacing w:val="-1"/>
        </w:rPr>
        <w:t xml:space="preserve"> e</w:t>
      </w:r>
      <w:r>
        <w:rPr>
          <w:color w:val="000000"/>
          <w:spacing w:val="2"/>
        </w:rPr>
        <w:t>x</w:t>
      </w:r>
      <w:r>
        <w:rPr>
          <w:color w:val="000000"/>
        </w:rPr>
        <w:t>t</w:t>
      </w:r>
      <w:r>
        <w:rPr>
          <w:color w:val="000000"/>
          <w:spacing w:val="-1"/>
        </w:rPr>
        <w:t>e</w:t>
      </w:r>
      <w:r>
        <w:rPr>
          <w:color w:val="000000"/>
        </w:rPr>
        <w:t>nt of</w:t>
      </w:r>
      <w:r>
        <w:rPr>
          <w:color w:val="000000"/>
          <w:spacing w:val="-1"/>
        </w:rPr>
        <w:t xml:space="preserve"> </w:t>
      </w:r>
      <w:r>
        <w:rPr>
          <w:color w:val="000000"/>
        </w:rPr>
        <w:t>th</w:t>
      </w:r>
      <w:r>
        <w:rPr>
          <w:color w:val="000000"/>
          <w:spacing w:val="1"/>
        </w:rPr>
        <w:t>e</w:t>
      </w:r>
      <w:r>
        <w:rPr>
          <w:color w:val="000000"/>
        </w:rPr>
        <w:t>ir</w:t>
      </w:r>
      <w:r>
        <w:rPr>
          <w:color w:val="000000"/>
          <w:spacing w:val="-1"/>
        </w:rPr>
        <w:t xml:space="preserve"> </w:t>
      </w:r>
      <w:r>
        <w:rPr>
          <w:color w:val="000000"/>
        </w:rPr>
        <w:t>dist</w:t>
      </w:r>
      <w:r>
        <w:rPr>
          <w:color w:val="000000"/>
          <w:spacing w:val="-1"/>
        </w:rPr>
        <w:t>r</w:t>
      </w:r>
      <w:r>
        <w:rPr>
          <w:color w:val="000000"/>
        </w:rPr>
        <w:t xml:space="preserve">ibution </w:t>
      </w:r>
      <w:r>
        <w:rPr>
          <w:color w:val="000000"/>
          <w:spacing w:val="-1"/>
        </w:rPr>
        <w:t>a</w:t>
      </w:r>
      <w:r>
        <w:rPr>
          <w:color w:val="000000"/>
        </w:rPr>
        <w:t xml:space="preserve">nd </w:t>
      </w:r>
      <w:r>
        <w:rPr>
          <w:color w:val="000000"/>
          <w:spacing w:val="-1"/>
        </w:rPr>
        <w:t>a</w:t>
      </w:r>
      <w:r>
        <w:rPr>
          <w:color w:val="000000"/>
        </w:rPr>
        <w:t>bund</w:t>
      </w:r>
      <w:r>
        <w:rPr>
          <w:color w:val="000000"/>
          <w:spacing w:val="-1"/>
        </w:rPr>
        <w:t>a</w:t>
      </w:r>
      <w:r>
        <w:rPr>
          <w:color w:val="000000"/>
        </w:rPr>
        <w:t>n</w:t>
      </w:r>
      <w:r>
        <w:rPr>
          <w:color w:val="000000"/>
          <w:spacing w:val="-1"/>
        </w:rPr>
        <w:t>ce</w:t>
      </w:r>
      <w:r>
        <w:rPr>
          <w:color w:val="000000"/>
        </w:rPr>
        <w:t xml:space="preserve">; </w:t>
      </w:r>
      <w:r>
        <w:rPr>
          <w:color w:val="000000"/>
          <w:spacing w:val="-1"/>
        </w:rPr>
        <w:t>a</w:t>
      </w:r>
      <w:r>
        <w:rPr>
          <w:color w:val="000000"/>
        </w:rPr>
        <w:t>nd to imp</w:t>
      </w:r>
      <w:r>
        <w:rPr>
          <w:color w:val="000000"/>
          <w:spacing w:val="-1"/>
        </w:rPr>
        <w:t>r</w:t>
      </w:r>
      <w:r>
        <w:rPr>
          <w:color w:val="000000"/>
        </w:rPr>
        <w:t>ove</w:t>
      </w:r>
      <w:r>
        <w:rPr>
          <w:color w:val="000000"/>
          <w:spacing w:val="-1"/>
        </w:rPr>
        <w:t xml:space="preserve"> </w:t>
      </w:r>
      <w:r>
        <w:rPr>
          <w:color w:val="000000"/>
        </w:rPr>
        <w:t>t</w:t>
      </w:r>
      <w:r>
        <w:rPr>
          <w:color w:val="000000"/>
          <w:spacing w:val="2"/>
        </w:rPr>
        <w:t>h</w:t>
      </w:r>
      <w:r>
        <w:rPr>
          <w:color w:val="000000"/>
          <w:spacing w:val="-1"/>
        </w:rPr>
        <w:t>e</w:t>
      </w:r>
      <w:r>
        <w:rPr>
          <w:color w:val="000000"/>
        </w:rPr>
        <w:t>ir</w:t>
      </w:r>
      <w:r>
        <w:rPr>
          <w:color w:val="000000"/>
          <w:spacing w:val="-1"/>
        </w:rPr>
        <w:t xml:space="preserve"> </w:t>
      </w:r>
      <w:r>
        <w:rPr>
          <w:color w:val="000000"/>
        </w:rPr>
        <w:t>p</w:t>
      </w:r>
      <w:r>
        <w:rPr>
          <w:color w:val="000000"/>
          <w:spacing w:val="-1"/>
        </w:rPr>
        <w:t>r</w:t>
      </w:r>
      <w:r>
        <w:rPr>
          <w:color w:val="000000"/>
        </w:rPr>
        <w:t>odu</w:t>
      </w:r>
      <w:r>
        <w:rPr>
          <w:color w:val="000000"/>
          <w:spacing w:val="-1"/>
        </w:rPr>
        <w:t>c</w:t>
      </w:r>
      <w:r>
        <w:rPr>
          <w:color w:val="000000"/>
        </w:rPr>
        <w:t>tive</w:t>
      </w:r>
      <w:r>
        <w:rPr>
          <w:color w:val="000000"/>
          <w:spacing w:val="-1"/>
        </w:rPr>
        <w:t xml:space="preserve"> </w:t>
      </w:r>
      <w:r>
        <w:rPr>
          <w:color w:val="000000"/>
          <w:spacing w:val="1"/>
        </w:rPr>
        <w:t>c</w:t>
      </w:r>
      <w:r>
        <w:rPr>
          <w:color w:val="000000"/>
          <w:spacing w:val="-1"/>
        </w:rPr>
        <w:t>a</w:t>
      </w:r>
      <w:r>
        <w:rPr>
          <w:color w:val="000000"/>
        </w:rPr>
        <w:t>p</w:t>
      </w:r>
      <w:r>
        <w:rPr>
          <w:color w:val="000000"/>
          <w:spacing w:val="1"/>
        </w:rPr>
        <w:t>a</w:t>
      </w:r>
      <w:r>
        <w:rPr>
          <w:color w:val="000000"/>
          <w:spacing w:val="-1"/>
        </w:rPr>
        <w:t>c</w:t>
      </w:r>
      <w:r>
        <w:rPr>
          <w:color w:val="000000"/>
        </w:rPr>
        <w:t>i</w:t>
      </w:r>
      <w:r>
        <w:rPr>
          <w:color w:val="000000"/>
          <w:spacing w:val="3"/>
        </w:rPr>
        <w:t>t</w:t>
      </w:r>
      <w:r>
        <w:rPr>
          <w:color w:val="000000"/>
        </w:rPr>
        <w:t>y</w:t>
      </w:r>
      <w:r>
        <w:rPr>
          <w:color w:val="000000"/>
          <w:spacing w:val="-5"/>
        </w:rPr>
        <w:t xml:space="preserve"> </w:t>
      </w:r>
      <w:r>
        <w:rPr>
          <w:color w:val="000000"/>
          <w:spacing w:val="-1"/>
        </w:rPr>
        <w:t>f</w:t>
      </w:r>
      <w:r>
        <w:rPr>
          <w:color w:val="000000"/>
          <w:spacing w:val="2"/>
        </w:rPr>
        <w:t>o</w:t>
      </w:r>
      <w:r>
        <w:rPr>
          <w:color w:val="000000"/>
        </w:rPr>
        <w:t>r</w:t>
      </w:r>
      <w:r>
        <w:rPr>
          <w:color w:val="000000"/>
          <w:spacing w:val="2"/>
        </w:rPr>
        <w:t xml:space="preserve"> </w:t>
      </w:r>
      <w:r>
        <w:rPr>
          <w:color w:val="000000"/>
        </w:rPr>
        <w:t>the b</w:t>
      </w:r>
      <w:r>
        <w:rPr>
          <w:color w:val="000000"/>
          <w:spacing w:val="-1"/>
        </w:rPr>
        <w:t>e</w:t>
      </w:r>
      <w:r>
        <w:rPr>
          <w:color w:val="000000"/>
        </w:rPr>
        <w:t>n</w:t>
      </w:r>
      <w:r>
        <w:rPr>
          <w:color w:val="000000"/>
          <w:spacing w:val="-1"/>
        </w:rPr>
        <w:t>ef</w:t>
      </w:r>
      <w:r>
        <w:rPr>
          <w:color w:val="000000"/>
        </w:rPr>
        <w:t>it of</w:t>
      </w:r>
      <w:r>
        <w:rPr>
          <w:color w:val="000000"/>
          <w:spacing w:val="-1"/>
        </w:rPr>
        <w:t xml:space="preserve"> </w:t>
      </w:r>
      <w:r>
        <w:rPr>
          <w:color w:val="000000"/>
        </w:rPr>
        <w:t>p</w:t>
      </w:r>
      <w:r>
        <w:rPr>
          <w:color w:val="000000"/>
          <w:spacing w:val="2"/>
        </w:rPr>
        <w:t>r</w:t>
      </w:r>
      <w:r>
        <w:rPr>
          <w:color w:val="000000"/>
          <w:spacing w:val="-1"/>
        </w:rPr>
        <w:t>e</w:t>
      </w:r>
      <w:r>
        <w:rPr>
          <w:color w:val="000000"/>
        </w:rPr>
        <w:t>s</w:t>
      </w:r>
      <w:r>
        <w:rPr>
          <w:color w:val="000000"/>
          <w:spacing w:val="-1"/>
        </w:rPr>
        <w:t>e</w:t>
      </w:r>
      <w:r>
        <w:rPr>
          <w:color w:val="000000"/>
        </w:rPr>
        <w:t xml:space="preserve">nt </w:t>
      </w:r>
      <w:r>
        <w:rPr>
          <w:color w:val="000000"/>
          <w:spacing w:val="-1"/>
        </w:rPr>
        <w:t>a</w:t>
      </w:r>
      <w:r>
        <w:rPr>
          <w:color w:val="000000"/>
        </w:rPr>
        <w:t xml:space="preserve">nd </w:t>
      </w:r>
      <w:r>
        <w:rPr>
          <w:color w:val="000000"/>
          <w:spacing w:val="-1"/>
        </w:rPr>
        <w:t>f</w:t>
      </w:r>
      <w:r>
        <w:rPr>
          <w:color w:val="000000"/>
        </w:rPr>
        <w:t>u</w:t>
      </w:r>
      <w:r>
        <w:rPr>
          <w:color w:val="000000"/>
          <w:spacing w:val="3"/>
        </w:rPr>
        <w:t>t</w:t>
      </w:r>
      <w:r>
        <w:rPr>
          <w:color w:val="000000"/>
        </w:rPr>
        <w:t>u</w:t>
      </w:r>
      <w:r>
        <w:rPr>
          <w:color w:val="000000"/>
          <w:spacing w:val="-1"/>
        </w:rPr>
        <w:t>r</w:t>
      </w:r>
      <w:r>
        <w:rPr>
          <w:color w:val="000000"/>
        </w:rPr>
        <w:t>e</w:t>
      </w:r>
      <w:r>
        <w:rPr>
          <w:color w:val="000000"/>
          <w:spacing w:val="1"/>
        </w:rPr>
        <w:t xml:space="preserve"> </w:t>
      </w:r>
      <w:r>
        <w:rPr>
          <w:color w:val="000000"/>
          <w:spacing w:val="-2"/>
        </w:rPr>
        <w:t>g</w:t>
      </w:r>
      <w:r>
        <w:rPr>
          <w:color w:val="000000"/>
          <w:spacing w:val="-1"/>
        </w:rPr>
        <w:t>e</w:t>
      </w:r>
      <w:r>
        <w:rPr>
          <w:color w:val="000000"/>
        </w:rPr>
        <w:t>n</w:t>
      </w:r>
      <w:r>
        <w:rPr>
          <w:color w:val="000000"/>
          <w:spacing w:val="1"/>
        </w:rPr>
        <w:t>e</w:t>
      </w:r>
      <w:r>
        <w:rPr>
          <w:color w:val="000000"/>
          <w:spacing w:val="-1"/>
        </w:rPr>
        <w:t>ra</w:t>
      </w:r>
      <w:r>
        <w:rPr>
          <w:color w:val="000000"/>
        </w:rPr>
        <w:t xml:space="preserve">tions. </w:t>
      </w:r>
      <w:r>
        <w:rPr>
          <w:color w:val="000000"/>
          <w:spacing w:val="-1"/>
        </w:rPr>
        <w:t>F</w:t>
      </w:r>
      <w:r>
        <w:rPr>
          <w:color w:val="000000"/>
          <w:spacing w:val="2"/>
        </w:rPr>
        <w:t>o</w:t>
      </w:r>
      <w:r>
        <w:rPr>
          <w:color w:val="000000"/>
        </w:rPr>
        <w:t>r</w:t>
      </w:r>
      <w:r>
        <w:rPr>
          <w:color w:val="000000"/>
          <w:spacing w:val="-1"/>
        </w:rPr>
        <w:t xml:space="preserve"> </w:t>
      </w:r>
      <w:r>
        <w:rPr>
          <w:color w:val="000000"/>
        </w:rPr>
        <w:t>pu</w:t>
      </w:r>
      <w:r>
        <w:rPr>
          <w:color w:val="000000"/>
          <w:spacing w:val="-1"/>
        </w:rPr>
        <w:t>r</w:t>
      </w:r>
      <w:r>
        <w:rPr>
          <w:color w:val="000000"/>
          <w:spacing w:val="2"/>
        </w:rPr>
        <w:t>p</w:t>
      </w:r>
      <w:r>
        <w:rPr>
          <w:color w:val="000000"/>
        </w:rPr>
        <w:t>os</w:t>
      </w:r>
      <w:r>
        <w:rPr>
          <w:color w:val="000000"/>
          <w:spacing w:val="-1"/>
        </w:rPr>
        <w:t>e</w:t>
      </w:r>
      <w:r>
        <w:rPr>
          <w:color w:val="000000"/>
        </w:rPr>
        <w:t>s of</w:t>
      </w:r>
      <w:r>
        <w:rPr>
          <w:color w:val="000000"/>
          <w:spacing w:val="-1"/>
        </w:rPr>
        <w:t xml:space="preserve"> </w:t>
      </w:r>
      <w:r>
        <w:rPr>
          <w:color w:val="000000"/>
        </w:rPr>
        <w:t>this poli</w:t>
      </w:r>
      <w:r>
        <w:rPr>
          <w:color w:val="000000"/>
          <w:spacing w:val="1"/>
        </w:rPr>
        <w:t>c</w:t>
      </w:r>
      <w:r>
        <w:rPr>
          <w:color w:val="000000"/>
          <w:spacing w:val="-5"/>
        </w:rPr>
        <w:t>y</w:t>
      </w:r>
      <w:r>
        <w:rPr>
          <w:color w:val="000000"/>
        </w:rPr>
        <w:t xml:space="preserve">, </w:t>
      </w:r>
      <w:r>
        <w:rPr>
          <w:color w:val="000000"/>
          <w:spacing w:val="-1"/>
        </w:rPr>
        <w:t>“</w:t>
      </w:r>
      <w:r>
        <w:rPr>
          <w:color w:val="000000"/>
          <w:spacing w:val="2"/>
        </w:rPr>
        <w:t>h</w:t>
      </w:r>
      <w:r>
        <w:rPr>
          <w:color w:val="000000"/>
          <w:spacing w:val="-1"/>
        </w:rPr>
        <w:t>a</w:t>
      </w:r>
      <w:r>
        <w:rPr>
          <w:color w:val="000000"/>
        </w:rPr>
        <w:t>bit</w:t>
      </w:r>
      <w:r>
        <w:rPr>
          <w:color w:val="000000"/>
          <w:spacing w:val="-1"/>
        </w:rPr>
        <w:t>a</w:t>
      </w:r>
      <w:r>
        <w:rPr>
          <w:color w:val="000000"/>
        </w:rPr>
        <w:t>t”</w:t>
      </w:r>
      <w:r>
        <w:rPr>
          <w:color w:val="000000"/>
          <w:spacing w:val="-1"/>
        </w:rPr>
        <w:t xml:space="preserve"> </w:t>
      </w:r>
      <w:r>
        <w:rPr>
          <w:color w:val="000000"/>
        </w:rPr>
        <w:t>is d</w:t>
      </w:r>
      <w:r>
        <w:rPr>
          <w:color w:val="000000"/>
          <w:spacing w:val="-1"/>
        </w:rPr>
        <w:t>ef</w:t>
      </w:r>
      <w:r>
        <w:rPr>
          <w:color w:val="000000"/>
        </w:rPr>
        <w:t>in</w:t>
      </w:r>
      <w:r>
        <w:rPr>
          <w:color w:val="000000"/>
          <w:spacing w:val="-1"/>
        </w:rPr>
        <w:t>e</w:t>
      </w:r>
      <w:r>
        <w:rPr>
          <w:color w:val="000000"/>
        </w:rPr>
        <w:t>d</w:t>
      </w:r>
      <w:r>
        <w:rPr>
          <w:color w:val="000000"/>
          <w:spacing w:val="2"/>
        </w:rPr>
        <w:t xml:space="preserve"> </w:t>
      </w:r>
      <w:r>
        <w:rPr>
          <w:color w:val="000000"/>
          <w:spacing w:val="-1"/>
        </w:rPr>
        <w:t>a</w:t>
      </w:r>
      <w:r>
        <w:rPr>
          <w:color w:val="000000"/>
        </w:rPr>
        <w:t>s the p</w:t>
      </w:r>
      <w:r>
        <w:rPr>
          <w:color w:val="000000"/>
          <w:spacing w:val="2"/>
        </w:rPr>
        <w:t>h</w:t>
      </w:r>
      <w:r>
        <w:rPr>
          <w:color w:val="000000"/>
          <w:spacing w:val="-5"/>
        </w:rPr>
        <w:t>y</w:t>
      </w:r>
      <w:r>
        <w:rPr>
          <w:color w:val="000000"/>
        </w:rPr>
        <w:t>si</w:t>
      </w:r>
      <w:r>
        <w:rPr>
          <w:color w:val="000000"/>
          <w:spacing w:val="-1"/>
        </w:rPr>
        <w:t>ca</w:t>
      </w:r>
      <w:r>
        <w:rPr>
          <w:color w:val="000000"/>
        </w:rPr>
        <w:t>l,</w:t>
      </w:r>
      <w:r>
        <w:rPr>
          <w:color w:val="000000"/>
          <w:spacing w:val="2"/>
        </w:rPr>
        <w:t xml:space="preserve"> </w:t>
      </w:r>
      <w:r>
        <w:rPr>
          <w:color w:val="000000"/>
          <w:spacing w:val="-1"/>
        </w:rPr>
        <w:t>c</w:t>
      </w:r>
      <w:r>
        <w:rPr>
          <w:color w:val="000000"/>
        </w:rPr>
        <w:t>h</w:t>
      </w:r>
      <w:r>
        <w:rPr>
          <w:color w:val="000000"/>
          <w:spacing w:val="-1"/>
        </w:rPr>
        <w:t>e</w:t>
      </w:r>
      <w:r>
        <w:rPr>
          <w:color w:val="000000"/>
        </w:rPr>
        <w:t>mi</w:t>
      </w:r>
      <w:r>
        <w:rPr>
          <w:color w:val="000000"/>
          <w:spacing w:val="-1"/>
        </w:rPr>
        <w:t>ca</w:t>
      </w:r>
      <w:r>
        <w:rPr>
          <w:color w:val="000000"/>
        </w:rPr>
        <w:t>l,</w:t>
      </w:r>
      <w:r>
        <w:rPr>
          <w:color w:val="000000"/>
          <w:spacing w:val="2"/>
        </w:rPr>
        <w:t xml:space="preserve"> </w:t>
      </w:r>
      <w:r>
        <w:rPr>
          <w:color w:val="000000"/>
          <w:spacing w:val="-1"/>
        </w:rPr>
        <w:t>a</w:t>
      </w:r>
      <w:r>
        <w:rPr>
          <w:color w:val="000000"/>
        </w:rPr>
        <w:t xml:space="preserve">nd </w:t>
      </w:r>
      <w:r>
        <w:rPr>
          <w:color w:val="000000"/>
          <w:spacing w:val="2"/>
        </w:rPr>
        <w:t>b</w:t>
      </w:r>
      <w:r>
        <w:rPr>
          <w:color w:val="000000"/>
        </w:rPr>
        <w:t>iolo</w:t>
      </w:r>
      <w:r>
        <w:rPr>
          <w:color w:val="000000"/>
          <w:spacing w:val="-2"/>
        </w:rPr>
        <w:t>g</w:t>
      </w:r>
      <w:r>
        <w:rPr>
          <w:color w:val="000000"/>
        </w:rPr>
        <w:t>i</w:t>
      </w:r>
      <w:r>
        <w:rPr>
          <w:color w:val="000000"/>
          <w:spacing w:val="-1"/>
        </w:rPr>
        <w:t>ca</w:t>
      </w:r>
      <w:r>
        <w:rPr>
          <w:color w:val="000000"/>
        </w:rPr>
        <w:t>l p</w:t>
      </w:r>
      <w:r>
        <w:rPr>
          <w:color w:val="000000"/>
          <w:spacing w:val="1"/>
        </w:rPr>
        <w:t>a</w:t>
      </w:r>
      <w:r>
        <w:rPr>
          <w:color w:val="000000"/>
          <w:spacing w:val="-1"/>
        </w:rPr>
        <w:t>ra</w:t>
      </w:r>
      <w:r>
        <w:rPr>
          <w:color w:val="000000"/>
        </w:rPr>
        <w:t>m</w:t>
      </w:r>
      <w:r>
        <w:rPr>
          <w:color w:val="000000"/>
          <w:spacing w:val="-1"/>
        </w:rPr>
        <w:t>e</w:t>
      </w:r>
      <w:r>
        <w:rPr>
          <w:color w:val="000000"/>
        </w:rPr>
        <w:t>t</w:t>
      </w:r>
      <w:r>
        <w:rPr>
          <w:color w:val="000000"/>
          <w:spacing w:val="1"/>
        </w:rPr>
        <w:t>e</w:t>
      </w:r>
      <w:r>
        <w:rPr>
          <w:color w:val="000000"/>
          <w:spacing w:val="-1"/>
        </w:rPr>
        <w:t>r</w:t>
      </w:r>
      <w:r>
        <w:rPr>
          <w:color w:val="000000"/>
        </w:rPr>
        <w:t>s th</w:t>
      </w:r>
      <w:r>
        <w:rPr>
          <w:color w:val="000000"/>
          <w:spacing w:val="-1"/>
        </w:rPr>
        <w:t>a</w:t>
      </w:r>
      <w:r>
        <w:rPr>
          <w:color w:val="000000"/>
        </w:rPr>
        <w:t>t</w:t>
      </w:r>
      <w:r>
        <w:rPr>
          <w:color w:val="000000"/>
          <w:spacing w:val="3"/>
        </w:rPr>
        <w:t xml:space="preserve"> </w:t>
      </w:r>
      <w:r>
        <w:rPr>
          <w:color w:val="000000"/>
          <w:spacing w:val="-1"/>
        </w:rPr>
        <w:t>ar</w:t>
      </w:r>
      <w:r>
        <w:rPr>
          <w:color w:val="000000"/>
        </w:rPr>
        <w:t>e</w:t>
      </w:r>
      <w:r>
        <w:rPr>
          <w:color w:val="000000"/>
          <w:spacing w:val="-1"/>
        </w:rPr>
        <w:t xml:space="preserve"> </w:t>
      </w:r>
      <w:r>
        <w:rPr>
          <w:color w:val="000000"/>
        </w:rPr>
        <w:t>n</w:t>
      </w:r>
      <w:r>
        <w:rPr>
          <w:color w:val="000000"/>
          <w:spacing w:val="1"/>
        </w:rPr>
        <w:t>e</w:t>
      </w:r>
      <w:r>
        <w:rPr>
          <w:color w:val="000000"/>
          <w:spacing w:val="-1"/>
        </w:rPr>
        <w:t>ce</w:t>
      </w:r>
      <w:r>
        <w:rPr>
          <w:color w:val="000000"/>
        </w:rPr>
        <w:t>ss</w:t>
      </w:r>
      <w:r>
        <w:rPr>
          <w:color w:val="000000"/>
          <w:spacing w:val="1"/>
        </w:rPr>
        <w:t>a</w:t>
      </w:r>
      <w:r>
        <w:rPr>
          <w:color w:val="000000"/>
          <w:spacing w:val="4"/>
        </w:rPr>
        <w:t>r</w:t>
      </w:r>
      <w:r>
        <w:rPr>
          <w:color w:val="000000"/>
        </w:rPr>
        <w:t>y</w:t>
      </w:r>
      <w:r>
        <w:rPr>
          <w:color w:val="000000"/>
          <w:spacing w:val="-5"/>
        </w:rPr>
        <w:t xml:space="preserve"> </w:t>
      </w:r>
      <w:r>
        <w:rPr>
          <w:color w:val="000000"/>
          <w:spacing w:val="-1"/>
        </w:rPr>
        <w:t>f</w:t>
      </w:r>
      <w:r>
        <w:rPr>
          <w:color w:val="000000"/>
        </w:rPr>
        <w:t>or</w:t>
      </w:r>
      <w:r>
        <w:rPr>
          <w:color w:val="000000"/>
          <w:spacing w:val="2"/>
        </w:rPr>
        <w:t xml:space="preserve"> </w:t>
      </w:r>
      <w:r>
        <w:rPr>
          <w:color w:val="000000"/>
          <w:spacing w:val="-1"/>
        </w:rPr>
        <w:t>c</w:t>
      </w:r>
      <w:r>
        <w:rPr>
          <w:color w:val="000000"/>
        </w:rPr>
        <w:t>ontinu</w:t>
      </w:r>
      <w:r>
        <w:rPr>
          <w:color w:val="000000"/>
          <w:spacing w:val="-1"/>
        </w:rPr>
        <w:t>e</w:t>
      </w:r>
      <w:r>
        <w:rPr>
          <w:color w:val="000000"/>
        </w:rPr>
        <w:t>d p</w:t>
      </w:r>
      <w:r>
        <w:rPr>
          <w:color w:val="000000"/>
          <w:spacing w:val="-1"/>
        </w:rPr>
        <w:t>r</w:t>
      </w:r>
      <w:r>
        <w:rPr>
          <w:color w:val="000000"/>
        </w:rPr>
        <w:t>odu</w:t>
      </w:r>
      <w:r>
        <w:rPr>
          <w:color w:val="000000"/>
          <w:spacing w:val="-1"/>
        </w:rPr>
        <w:t>c</w:t>
      </w:r>
      <w:r>
        <w:rPr>
          <w:color w:val="000000"/>
        </w:rPr>
        <w:t>tivi</w:t>
      </w:r>
      <w:r>
        <w:rPr>
          <w:color w:val="000000"/>
          <w:spacing w:val="3"/>
        </w:rPr>
        <w:t>t</w:t>
      </w:r>
      <w:r>
        <w:rPr>
          <w:color w:val="000000"/>
        </w:rPr>
        <w:t>y</w:t>
      </w:r>
      <w:r>
        <w:rPr>
          <w:color w:val="000000"/>
          <w:spacing w:val="-5"/>
        </w:rPr>
        <w:t xml:space="preserve"> </w:t>
      </w:r>
      <w:r>
        <w:rPr>
          <w:color w:val="000000"/>
          <w:spacing w:val="2"/>
        </w:rPr>
        <w:t>o</w:t>
      </w:r>
      <w:r>
        <w:rPr>
          <w:color w:val="000000"/>
        </w:rPr>
        <w:t>f</w:t>
      </w:r>
      <w:r>
        <w:rPr>
          <w:color w:val="000000"/>
          <w:spacing w:val="-1"/>
        </w:rPr>
        <w:t xml:space="preserve"> </w:t>
      </w:r>
      <w:r>
        <w:rPr>
          <w:color w:val="000000"/>
        </w:rPr>
        <w:t>the sp</w:t>
      </w:r>
      <w:r>
        <w:rPr>
          <w:color w:val="000000"/>
          <w:spacing w:val="-1"/>
        </w:rPr>
        <w:t>ec</w:t>
      </w:r>
      <w:r>
        <w:rPr>
          <w:color w:val="000000"/>
        </w:rPr>
        <w:t>i</w:t>
      </w:r>
      <w:r>
        <w:rPr>
          <w:color w:val="000000"/>
          <w:spacing w:val="-1"/>
        </w:rPr>
        <w:t>e</w:t>
      </w:r>
      <w:r>
        <w:rPr>
          <w:color w:val="000000"/>
        </w:rPr>
        <w:t>s th</w:t>
      </w:r>
      <w:r>
        <w:rPr>
          <w:color w:val="000000"/>
          <w:spacing w:val="-1"/>
        </w:rPr>
        <w:t>a</w:t>
      </w:r>
      <w:r>
        <w:rPr>
          <w:color w:val="000000"/>
        </w:rPr>
        <w:t>t is b</w:t>
      </w:r>
      <w:r>
        <w:rPr>
          <w:color w:val="000000"/>
          <w:spacing w:val="-1"/>
        </w:rPr>
        <w:t>e</w:t>
      </w:r>
      <w:r>
        <w:rPr>
          <w:color w:val="000000"/>
        </w:rPr>
        <w:t>i</w:t>
      </w:r>
      <w:r>
        <w:rPr>
          <w:color w:val="000000"/>
          <w:spacing w:val="2"/>
        </w:rPr>
        <w:t>n</w:t>
      </w:r>
      <w:r>
        <w:rPr>
          <w:color w:val="000000"/>
        </w:rPr>
        <w:t>g</w:t>
      </w:r>
      <w:r>
        <w:rPr>
          <w:color w:val="000000"/>
          <w:spacing w:val="-2"/>
        </w:rPr>
        <w:t xml:space="preserve"> </w:t>
      </w:r>
      <w:r>
        <w:rPr>
          <w:color w:val="000000"/>
        </w:rPr>
        <w:t>m</w:t>
      </w:r>
      <w:r>
        <w:rPr>
          <w:color w:val="000000"/>
          <w:spacing w:val="-1"/>
        </w:rPr>
        <w:t>a</w:t>
      </w:r>
      <w:r>
        <w:rPr>
          <w:color w:val="000000"/>
          <w:spacing w:val="2"/>
        </w:rPr>
        <w:t>n</w:t>
      </w:r>
      <w:r>
        <w:rPr>
          <w:color w:val="000000"/>
          <w:spacing w:val="-1"/>
        </w:rPr>
        <w:t>a</w:t>
      </w:r>
      <w:r>
        <w:rPr>
          <w:color w:val="000000"/>
        </w:rPr>
        <w:t>g</w:t>
      </w:r>
      <w:r>
        <w:rPr>
          <w:color w:val="000000"/>
          <w:spacing w:val="-1"/>
        </w:rPr>
        <w:t>e</w:t>
      </w:r>
      <w:r>
        <w:rPr>
          <w:color w:val="000000"/>
        </w:rPr>
        <w:t>d. The</w:t>
      </w:r>
      <w:r>
        <w:rPr>
          <w:color w:val="000000"/>
          <w:spacing w:val="-1"/>
        </w:rPr>
        <w:t xml:space="preserve"> </w:t>
      </w:r>
      <w:r>
        <w:rPr>
          <w:color w:val="000000"/>
        </w:rPr>
        <w:t>obj</w:t>
      </w:r>
      <w:r>
        <w:rPr>
          <w:color w:val="000000"/>
          <w:spacing w:val="1"/>
        </w:rPr>
        <w:t>e</w:t>
      </w:r>
      <w:r>
        <w:rPr>
          <w:color w:val="000000"/>
          <w:spacing w:val="-1"/>
        </w:rPr>
        <w:t>c</w:t>
      </w:r>
      <w:r>
        <w:rPr>
          <w:color w:val="000000"/>
        </w:rPr>
        <w:t>tiv</w:t>
      </w:r>
      <w:r>
        <w:rPr>
          <w:color w:val="000000"/>
          <w:spacing w:val="-1"/>
        </w:rPr>
        <w:t>e</w:t>
      </w:r>
      <w:r>
        <w:rPr>
          <w:color w:val="000000"/>
        </w:rPr>
        <w:t>s of</w:t>
      </w:r>
      <w:r>
        <w:rPr>
          <w:color w:val="000000"/>
          <w:spacing w:val="-1"/>
        </w:rPr>
        <w:t xml:space="preserve"> </w:t>
      </w:r>
      <w:r>
        <w:rPr>
          <w:color w:val="000000"/>
          <w:spacing w:val="3"/>
        </w:rPr>
        <w:t>t</w:t>
      </w:r>
      <w:r>
        <w:rPr>
          <w:color w:val="000000"/>
        </w:rPr>
        <w:t>he</w:t>
      </w:r>
      <w:r>
        <w:rPr>
          <w:color w:val="000000"/>
          <w:spacing w:val="-1"/>
        </w:rPr>
        <w:t xml:space="preserve"> </w:t>
      </w:r>
      <w:r>
        <w:rPr>
          <w:color w:val="000000"/>
          <w:spacing w:val="1"/>
        </w:rPr>
        <w:t>S</w:t>
      </w:r>
      <w:r>
        <w:rPr>
          <w:color w:val="000000"/>
        </w:rPr>
        <w:t>A</w:t>
      </w:r>
      <w:r>
        <w:rPr>
          <w:color w:val="000000"/>
          <w:spacing w:val="-1"/>
        </w:rPr>
        <w:t>F</w:t>
      </w:r>
      <w:r>
        <w:rPr>
          <w:color w:val="000000"/>
        </w:rPr>
        <w:t>MC</w:t>
      </w:r>
      <w:r>
        <w:rPr>
          <w:color w:val="000000"/>
          <w:spacing w:val="1"/>
        </w:rPr>
        <w:t xml:space="preserve"> </w:t>
      </w:r>
      <w:r>
        <w:rPr>
          <w:color w:val="000000"/>
        </w:rPr>
        <w:t>poli</w:t>
      </w:r>
      <w:r>
        <w:rPr>
          <w:color w:val="000000"/>
          <w:spacing w:val="1"/>
        </w:rPr>
        <w:t>c</w:t>
      </w:r>
      <w:r>
        <w:rPr>
          <w:color w:val="000000"/>
        </w:rPr>
        <w:t>y</w:t>
      </w:r>
      <w:r>
        <w:rPr>
          <w:color w:val="000000"/>
          <w:spacing w:val="-2"/>
        </w:rPr>
        <w:t xml:space="preserve"> </w:t>
      </w:r>
      <w:r>
        <w:rPr>
          <w:color w:val="000000"/>
        </w:rPr>
        <w:t>will be</w:t>
      </w:r>
      <w:r>
        <w:rPr>
          <w:color w:val="000000"/>
          <w:spacing w:val="-1"/>
        </w:rPr>
        <w:t xml:space="preserve"> a</w:t>
      </w:r>
      <w:r>
        <w:rPr>
          <w:color w:val="000000"/>
          <w:spacing w:val="1"/>
        </w:rPr>
        <w:t>c</w:t>
      </w:r>
      <w:r>
        <w:rPr>
          <w:color w:val="000000"/>
          <w:spacing w:val="-1"/>
        </w:rPr>
        <w:t>c</w:t>
      </w:r>
      <w:r>
        <w:rPr>
          <w:color w:val="000000"/>
        </w:rPr>
        <w:t>omplish</w:t>
      </w:r>
      <w:r>
        <w:rPr>
          <w:color w:val="000000"/>
          <w:spacing w:val="-1"/>
        </w:rPr>
        <w:t>e</w:t>
      </w:r>
      <w:r>
        <w:rPr>
          <w:color w:val="000000"/>
        </w:rPr>
        <w:t>d th</w:t>
      </w:r>
      <w:r>
        <w:rPr>
          <w:color w:val="000000"/>
          <w:spacing w:val="-1"/>
        </w:rPr>
        <w:t>r</w:t>
      </w:r>
      <w:r>
        <w:rPr>
          <w:color w:val="000000"/>
        </w:rPr>
        <w:t>ou</w:t>
      </w:r>
      <w:r>
        <w:rPr>
          <w:color w:val="000000"/>
          <w:spacing w:val="-2"/>
        </w:rPr>
        <w:t>g</w:t>
      </w:r>
      <w:r>
        <w:rPr>
          <w:color w:val="000000"/>
        </w:rPr>
        <w:t xml:space="preserve">h </w:t>
      </w:r>
      <w:r>
        <w:rPr>
          <w:color w:val="000000"/>
          <w:spacing w:val="3"/>
        </w:rPr>
        <w:t>t</w:t>
      </w:r>
      <w:r>
        <w:rPr>
          <w:color w:val="000000"/>
        </w:rPr>
        <w:t>he</w:t>
      </w:r>
      <w:r w:rsidR="00EB603B">
        <w:rPr>
          <w:color w:val="000000"/>
        </w:rPr>
        <w:t xml:space="preserve"> </w:t>
      </w:r>
      <w:r>
        <w:rPr>
          <w:color w:val="000000"/>
          <w:spacing w:val="-1"/>
        </w:rPr>
        <w:t>rec</w:t>
      </w:r>
      <w:r>
        <w:rPr>
          <w:color w:val="000000"/>
        </w:rPr>
        <w:t>omm</w:t>
      </w:r>
      <w:r>
        <w:rPr>
          <w:color w:val="000000"/>
          <w:spacing w:val="-1"/>
        </w:rPr>
        <w:t>e</w:t>
      </w:r>
      <w:r>
        <w:rPr>
          <w:color w:val="000000"/>
        </w:rPr>
        <w:t>nd</w:t>
      </w:r>
      <w:r>
        <w:rPr>
          <w:color w:val="000000"/>
          <w:spacing w:val="-1"/>
        </w:rPr>
        <w:t>a</w:t>
      </w:r>
      <w:r>
        <w:rPr>
          <w:color w:val="000000"/>
        </w:rPr>
        <w:t>tion of</w:t>
      </w:r>
      <w:r>
        <w:rPr>
          <w:color w:val="000000"/>
          <w:spacing w:val="-1"/>
        </w:rPr>
        <w:t xml:space="preserve"> </w:t>
      </w:r>
      <w:r>
        <w:rPr>
          <w:color w:val="000000"/>
        </w:rPr>
        <w:t xml:space="preserve">no </w:t>
      </w:r>
      <w:r>
        <w:rPr>
          <w:color w:val="000000"/>
          <w:spacing w:val="2"/>
        </w:rPr>
        <w:t>n</w:t>
      </w:r>
      <w:r>
        <w:rPr>
          <w:color w:val="000000"/>
          <w:spacing w:val="-1"/>
        </w:rPr>
        <w:t>e</w:t>
      </w:r>
      <w:r>
        <w:rPr>
          <w:color w:val="000000"/>
        </w:rPr>
        <w:t>t loss or</w:t>
      </w:r>
      <w:r>
        <w:rPr>
          <w:color w:val="000000"/>
          <w:spacing w:val="-1"/>
        </w:rPr>
        <w:t xml:space="preserve"> </w:t>
      </w:r>
      <w:r>
        <w:rPr>
          <w:color w:val="000000"/>
        </w:rPr>
        <w:t>si</w:t>
      </w:r>
      <w:r>
        <w:rPr>
          <w:color w:val="000000"/>
          <w:spacing w:val="-2"/>
        </w:rPr>
        <w:t>g</w:t>
      </w:r>
      <w:r>
        <w:rPr>
          <w:color w:val="000000"/>
        </w:rPr>
        <w:t>ni</w:t>
      </w:r>
      <w:r>
        <w:rPr>
          <w:color w:val="000000"/>
          <w:spacing w:val="-1"/>
        </w:rPr>
        <w:t>f</w:t>
      </w:r>
      <w:r>
        <w:rPr>
          <w:color w:val="000000"/>
        </w:rPr>
        <w:t>i</w:t>
      </w:r>
      <w:r>
        <w:rPr>
          <w:color w:val="000000"/>
          <w:spacing w:val="-1"/>
        </w:rPr>
        <w:t>ca</w:t>
      </w:r>
      <w:r>
        <w:rPr>
          <w:color w:val="000000"/>
        </w:rPr>
        <w:t>nt</w:t>
      </w:r>
      <w:r>
        <w:rPr>
          <w:color w:val="000000"/>
          <w:spacing w:val="3"/>
        </w:rPr>
        <w:t xml:space="preserve"> </w:t>
      </w:r>
      <w:r>
        <w:rPr>
          <w:color w:val="000000"/>
          <w:spacing w:val="-1"/>
        </w:rPr>
        <w:t>e</w:t>
      </w:r>
      <w:r>
        <w:rPr>
          <w:color w:val="000000"/>
        </w:rPr>
        <w:t>nvi</w:t>
      </w:r>
      <w:r>
        <w:rPr>
          <w:color w:val="000000"/>
          <w:spacing w:val="-1"/>
        </w:rPr>
        <w:t>r</w:t>
      </w:r>
      <w:r>
        <w:rPr>
          <w:color w:val="000000"/>
        </w:rPr>
        <w:t>onm</w:t>
      </w:r>
      <w:r>
        <w:rPr>
          <w:color w:val="000000"/>
          <w:spacing w:val="-1"/>
        </w:rPr>
        <w:t>e</w:t>
      </w:r>
      <w:r>
        <w:rPr>
          <w:color w:val="000000"/>
        </w:rPr>
        <w:t>nt</w:t>
      </w:r>
      <w:r>
        <w:rPr>
          <w:color w:val="000000"/>
          <w:spacing w:val="-1"/>
        </w:rPr>
        <w:t>a</w:t>
      </w:r>
      <w:r>
        <w:rPr>
          <w:color w:val="000000"/>
        </w:rPr>
        <w:t>l d</w:t>
      </w:r>
      <w:r>
        <w:rPr>
          <w:color w:val="000000"/>
          <w:spacing w:val="1"/>
        </w:rPr>
        <w:t>e</w:t>
      </w:r>
      <w:r>
        <w:rPr>
          <w:color w:val="000000"/>
          <w:spacing w:val="-2"/>
        </w:rPr>
        <w:t>g</w:t>
      </w:r>
      <w:r>
        <w:rPr>
          <w:color w:val="000000"/>
          <w:spacing w:val="2"/>
        </w:rPr>
        <w:t>r</w:t>
      </w:r>
      <w:r>
        <w:rPr>
          <w:color w:val="000000"/>
          <w:spacing w:val="-1"/>
        </w:rPr>
        <w:t>a</w:t>
      </w:r>
      <w:r>
        <w:rPr>
          <w:color w:val="000000"/>
        </w:rPr>
        <w:t>d</w:t>
      </w:r>
      <w:r>
        <w:rPr>
          <w:color w:val="000000"/>
          <w:spacing w:val="-1"/>
        </w:rPr>
        <w:t>a</w:t>
      </w:r>
      <w:r>
        <w:rPr>
          <w:color w:val="000000"/>
        </w:rPr>
        <w:t>tion of</w:t>
      </w:r>
      <w:r>
        <w:rPr>
          <w:color w:val="000000"/>
          <w:spacing w:val="2"/>
        </w:rPr>
        <w:t xml:space="preserve"> </w:t>
      </w:r>
      <w:r>
        <w:rPr>
          <w:color w:val="000000"/>
          <w:spacing w:val="-1"/>
        </w:rPr>
        <w:t>e</w:t>
      </w:r>
      <w:r>
        <w:rPr>
          <w:color w:val="000000"/>
          <w:spacing w:val="2"/>
        </w:rPr>
        <w:t>x</w:t>
      </w:r>
      <w:r>
        <w:rPr>
          <w:color w:val="000000"/>
        </w:rPr>
        <w:t>isting</w:t>
      </w:r>
      <w:r>
        <w:rPr>
          <w:color w:val="000000"/>
          <w:spacing w:val="-2"/>
        </w:rPr>
        <w:t xml:space="preserve"> </w:t>
      </w:r>
      <w:r>
        <w:rPr>
          <w:color w:val="000000"/>
        </w:rPr>
        <w:t>h</w:t>
      </w:r>
      <w:r>
        <w:rPr>
          <w:color w:val="000000"/>
          <w:spacing w:val="-1"/>
        </w:rPr>
        <w:t>a</w:t>
      </w:r>
      <w:r>
        <w:rPr>
          <w:color w:val="000000"/>
        </w:rPr>
        <w:t>bit</w:t>
      </w:r>
      <w:r>
        <w:rPr>
          <w:color w:val="000000"/>
          <w:spacing w:val="-1"/>
        </w:rPr>
        <w:t>a</w:t>
      </w:r>
      <w:r>
        <w:rPr>
          <w:color w:val="000000"/>
        </w:rPr>
        <w:t>t. A lon</w:t>
      </w:r>
      <w:r>
        <w:rPr>
          <w:color w:val="000000"/>
          <w:spacing w:val="-2"/>
        </w:rPr>
        <w:t>g</w:t>
      </w:r>
      <w:r>
        <w:rPr>
          <w:color w:val="000000"/>
          <w:spacing w:val="2"/>
        </w:rPr>
        <w:t>-</w:t>
      </w:r>
      <w:r>
        <w:rPr>
          <w:color w:val="000000"/>
        </w:rPr>
        <w:t>t</w:t>
      </w:r>
      <w:r>
        <w:rPr>
          <w:color w:val="000000"/>
          <w:spacing w:val="-1"/>
        </w:rPr>
        <w:t>er</w:t>
      </w:r>
      <w:r>
        <w:rPr>
          <w:color w:val="000000"/>
        </w:rPr>
        <w:t>m obj</w:t>
      </w:r>
      <w:r>
        <w:rPr>
          <w:color w:val="000000"/>
          <w:spacing w:val="-1"/>
        </w:rPr>
        <w:t>ec</w:t>
      </w:r>
      <w:r>
        <w:rPr>
          <w:color w:val="000000"/>
        </w:rPr>
        <w:t>tive</w:t>
      </w:r>
      <w:r>
        <w:rPr>
          <w:color w:val="000000"/>
          <w:spacing w:val="-1"/>
        </w:rPr>
        <w:t xml:space="preserve"> </w:t>
      </w:r>
      <w:r>
        <w:rPr>
          <w:color w:val="000000"/>
        </w:rPr>
        <w:t>is to suppo</w:t>
      </w:r>
      <w:r>
        <w:rPr>
          <w:color w:val="000000"/>
          <w:spacing w:val="-1"/>
        </w:rPr>
        <w:t>r</w:t>
      </w:r>
      <w:r>
        <w:rPr>
          <w:color w:val="000000"/>
        </w:rPr>
        <w:t xml:space="preserve">t </w:t>
      </w:r>
      <w:r>
        <w:rPr>
          <w:color w:val="000000"/>
          <w:spacing w:val="-1"/>
        </w:rPr>
        <w:t>a</w:t>
      </w:r>
      <w:r>
        <w:rPr>
          <w:color w:val="000000"/>
        </w:rPr>
        <w:t>nd p</w:t>
      </w:r>
      <w:r>
        <w:rPr>
          <w:color w:val="000000"/>
          <w:spacing w:val="-1"/>
        </w:rPr>
        <w:t>r</w:t>
      </w:r>
      <w:r>
        <w:rPr>
          <w:color w:val="000000"/>
        </w:rPr>
        <w:t>omote</w:t>
      </w:r>
      <w:r>
        <w:rPr>
          <w:color w:val="000000"/>
          <w:spacing w:val="-1"/>
        </w:rPr>
        <w:t xml:space="preserve"> </w:t>
      </w:r>
      <w:r>
        <w:rPr>
          <w:color w:val="000000"/>
        </w:rPr>
        <w:t>a</w:t>
      </w:r>
      <w:r>
        <w:rPr>
          <w:color w:val="000000"/>
          <w:spacing w:val="-1"/>
        </w:rPr>
        <w:t xml:space="preserve"> </w:t>
      </w:r>
      <w:r>
        <w:rPr>
          <w:color w:val="000000"/>
        </w:rPr>
        <w:t>n</w:t>
      </w:r>
      <w:r>
        <w:rPr>
          <w:color w:val="000000"/>
          <w:spacing w:val="-1"/>
        </w:rPr>
        <w:t>e</w:t>
      </w:r>
      <w:r>
        <w:rPr>
          <w:color w:val="000000"/>
        </w:rPr>
        <w:t>t</w:t>
      </w:r>
      <w:r>
        <w:rPr>
          <w:color w:val="000000"/>
          <w:spacing w:val="2"/>
        </w:rPr>
        <w:t>-</w:t>
      </w:r>
      <w:r>
        <w:rPr>
          <w:color w:val="000000"/>
        </w:rPr>
        <w:t>g</w:t>
      </w:r>
      <w:r>
        <w:rPr>
          <w:color w:val="000000"/>
          <w:spacing w:val="-1"/>
        </w:rPr>
        <w:t>a</w:t>
      </w:r>
      <w:r>
        <w:rPr>
          <w:color w:val="000000"/>
        </w:rPr>
        <w:t>in of</w:t>
      </w:r>
      <w:r>
        <w:rPr>
          <w:color w:val="000000"/>
          <w:spacing w:val="-1"/>
        </w:rPr>
        <w:t xml:space="preserve"> </w:t>
      </w:r>
      <w:r>
        <w:rPr>
          <w:color w:val="000000"/>
          <w:spacing w:val="2"/>
        </w:rPr>
        <w:t>f</w:t>
      </w:r>
      <w:r>
        <w:rPr>
          <w:color w:val="000000"/>
        </w:rPr>
        <w:t>ish</w:t>
      </w:r>
      <w:r>
        <w:rPr>
          <w:color w:val="000000"/>
          <w:spacing w:val="-1"/>
        </w:rPr>
        <w:t>er</w:t>
      </w:r>
      <w:r>
        <w:rPr>
          <w:color w:val="000000"/>
        </w:rPr>
        <w:t>i</w:t>
      </w:r>
      <w:r>
        <w:rPr>
          <w:color w:val="000000"/>
          <w:spacing w:val="-1"/>
        </w:rPr>
        <w:t>e</w:t>
      </w:r>
      <w:r>
        <w:rPr>
          <w:color w:val="000000"/>
        </w:rPr>
        <w:t>s h</w:t>
      </w:r>
      <w:r>
        <w:rPr>
          <w:color w:val="000000"/>
          <w:spacing w:val="-1"/>
        </w:rPr>
        <w:t>a</w:t>
      </w:r>
      <w:r>
        <w:rPr>
          <w:color w:val="000000"/>
        </w:rPr>
        <w:t>bit</w:t>
      </w:r>
      <w:r>
        <w:rPr>
          <w:color w:val="000000"/>
          <w:spacing w:val="-1"/>
        </w:rPr>
        <w:t>a</w:t>
      </w:r>
      <w:r>
        <w:rPr>
          <w:color w:val="000000"/>
        </w:rPr>
        <w:t>t th</w:t>
      </w:r>
      <w:r>
        <w:rPr>
          <w:color w:val="000000"/>
          <w:spacing w:val="-1"/>
        </w:rPr>
        <w:t>r</w:t>
      </w:r>
      <w:r>
        <w:rPr>
          <w:color w:val="000000"/>
        </w:rPr>
        <w:t>o</w:t>
      </w:r>
      <w:r>
        <w:rPr>
          <w:color w:val="000000"/>
          <w:spacing w:val="2"/>
        </w:rPr>
        <w:t>u</w:t>
      </w:r>
      <w:r>
        <w:rPr>
          <w:color w:val="000000"/>
          <w:spacing w:val="-2"/>
        </w:rPr>
        <w:t>g</w:t>
      </w:r>
      <w:r>
        <w:rPr>
          <w:color w:val="000000"/>
        </w:rPr>
        <w:t xml:space="preserve">h </w:t>
      </w:r>
      <w:r>
        <w:rPr>
          <w:color w:val="000000"/>
          <w:spacing w:val="3"/>
        </w:rPr>
        <w:t>t</w:t>
      </w:r>
      <w:r>
        <w:rPr>
          <w:color w:val="000000"/>
        </w:rPr>
        <w:t>he</w:t>
      </w:r>
      <w:r>
        <w:rPr>
          <w:color w:val="000000"/>
          <w:spacing w:val="-1"/>
        </w:rPr>
        <w:t xml:space="preserve"> re</w:t>
      </w:r>
      <w:r>
        <w:rPr>
          <w:color w:val="000000"/>
        </w:rPr>
        <w:t>sto</w:t>
      </w:r>
      <w:r>
        <w:rPr>
          <w:color w:val="000000"/>
          <w:spacing w:val="-1"/>
        </w:rPr>
        <w:t>ra</w:t>
      </w:r>
      <w:r>
        <w:rPr>
          <w:color w:val="000000"/>
        </w:rPr>
        <w:t xml:space="preserve">tion </w:t>
      </w:r>
      <w:r>
        <w:rPr>
          <w:color w:val="000000"/>
          <w:spacing w:val="-1"/>
        </w:rPr>
        <w:t>a</w:t>
      </w:r>
      <w:r>
        <w:rPr>
          <w:color w:val="000000"/>
        </w:rPr>
        <w:t xml:space="preserve">nd </w:t>
      </w:r>
      <w:r>
        <w:rPr>
          <w:color w:val="000000"/>
          <w:spacing w:val="-1"/>
        </w:rPr>
        <w:t>re</w:t>
      </w:r>
      <w:r>
        <w:rPr>
          <w:color w:val="000000"/>
        </w:rPr>
        <w:t>h</w:t>
      </w:r>
      <w:r>
        <w:rPr>
          <w:color w:val="000000"/>
          <w:spacing w:val="-1"/>
        </w:rPr>
        <w:t>a</w:t>
      </w:r>
      <w:r>
        <w:rPr>
          <w:color w:val="000000"/>
        </w:rPr>
        <w:t>bilit</w:t>
      </w:r>
      <w:r>
        <w:rPr>
          <w:color w:val="000000"/>
          <w:spacing w:val="-1"/>
        </w:rPr>
        <w:t>a</w:t>
      </w:r>
      <w:r>
        <w:rPr>
          <w:color w:val="000000"/>
        </w:rPr>
        <w:t>tion of</w:t>
      </w:r>
      <w:r>
        <w:rPr>
          <w:color w:val="000000"/>
          <w:spacing w:val="-1"/>
        </w:rPr>
        <w:t xml:space="preserve"> </w:t>
      </w:r>
      <w:r>
        <w:rPr>
          <w:color w:val="000000"/>
        </w:rPr>
        <w:t>the</w:t>
      </w:r>
      <w:r>
        <w:rPr>
          <w:color w:val="000000"/>
          <w:spacing w:val="-1"/>
        </w:rPr>
        <w:t xml:space="preserve"> </w:t>
      </w:r>
      <w:r>
        <w:rPr>
          <w:color w:val="000000"/>
        </w:rPr>
        <w:t>p</w:t>
      </w:r>
      <w:r>
        <w:rPr>
          <w:color w:val="000000"/>
          <w:spacing w:val="-1"/>
        </w:rPr>
        <w:t>r</w:t>
      </w:r>
      <w:r>
        <w:rPr>
          <w:color w:val="000000"/>
        </w:rPr>
        <w:t>o</w:t>
      </w:r>
      <w:r>
        <w:rPr>
          <w:color w:val="000000"/>
          <w:spacing w:val="2"/>
        </w:rPr>
        <w:t>d</w:t>
      </w:r>
      <w:r>
        <w:rPr>
          <w:color w:val="000000"/>
        </w:rPr>
        <w:t>u</w:t>
      </w:r>
      <w:r>
        <w:rPr>
          <w:color w:val="000000"/>
          <w:spacing w:val="-1"/>
        </w:rPr>
        <w:t>c</w:t>
      </w:r>
      <w:r>
        <w:rPr>
          <w:color w:val="000000"/>
        </w:rPr>
        <w:t>tive</w:t>
      </w:r>
      <w:r>
        <w:rPr>
          <w:color w:val="000000"/>
          <w:spacing w:val="-1"/>
        </w:rPr>
        <w:t xml:space="preserve"> ca</w:t>
      </w:r>
      <w:r>
        <w:rPr>
          <w:color w:val="000000"/>
          <w:spacing w:val="2"/>
        </w:rPr>
        <w:t>p</w:t>
      </w:r>
      <w:r>
        <w:rPr>
          <w:color w:val="000000"/>
          <w:spacing w:val="-1"/>
        </w:rPr>
        <w:t>ac</w:t>
      </w:r>
      <w:r>
        <w:rPr>
          <w:color w:val="000000"/>
        </w:rPr>
        <w:t>i</w:t>
      </w:r>
      <w:r>
        <w:rPr>
          <w:color w:val="000000"/>
          <w:spacing w:val="3"/>
        </w:rPr>
        <w:t>t</w:t>
      </w:r>
      <w:r>
        <w:rPr>
          <w:color w:val="000000"/>
        </w:rPr>
        <w:t>y</w:t>
      </w:r>
      <w:r>
        <w:rPr>
          <w:color w:val="000000"/>
          <w:spacing w:val="-5"/>
        </w:rPr>
        <w:t xml:space="preserve"> </w:t>
      </w:r>
      <w:r>
        <w:rPr>
          <w:color w:val="000000"/>
          <w:spacing w:val="2"/>
        </w:rPr>
        <w:t>o</w:t>
      </w:r>
      <w:r>
        <w:rPr>
          <w:color w:val="000000"/>
        </w:rPr>
        <w:t>f</w:t>
      </w:r>
      <w:r>
        <w:rPr>
          <w:color w:val="000000"/>
          <w:spacing w:val="-1"/>
        </w:rPr>
        <w:t xml:space="preserve"> </w:t>
      </w:r>
      <w:r>
        <w:rPr>
          <w:color w:val="000000"/>
        </w:rPr>
        <w:t>h</w:t>
      </w:r>
      <w:r>
        <w:rPr>
          <w:color w:val="000000"/>
          <w:spacing w:val="-1"/>
        </w:rPr>
        <w:t>a</w:t>
      </w:r>
      <w:r>
        <w:rPr>
          <w:color w:val="000000"/>
        </w:rPr>
        <w:t>bit</w:t>
      </w:r>
      <w:r>
        <w:rPr>
          <w:color w:val="000000"/>
          <w:spacing w:val="-1"/>
        </w:rPr>
        <w:t>a</w:t>
      </w:r>
      <w:r>
        <w:rPr>
          <w:color w:val="000000"/>
          <w:spacing w:val="3"/>
        </w:rPr>
        <w:t>t</w:t>
      </w:r>
      <w:r>
        <w:rPr>
          <w:color w:val="000000"/>
        </w:rPr>
        <w:t>s th</w:t>
      </w:r>
      <w:r>
        <w:rPr>
          <w:color w:val="000000"/>
          <w:spacing w:val="-1"/>
        </w:rPr>
        <w:t>a</w:t>
      </w:r>
      <w:r>
        <w:rPr>
          <w:color w:val="000000"/>
        </w:rPr>
        <w:t>t h</w:t>
      </w:r>
      <w:r>
        <w:rPr>
          <w:color w:val="000000"/>
          <w:spacing w:val="-1"/>
        </w:rPr>
        <w:t>a</w:t>
      </w:r>
      <w:r>
        <w:rPr>
          <w:color w:val="000000"/>
        </w:rPr>
        <w:t>ve</w:t>
      </w:r>
      <w:r>
        <w:rPr>
          <w:color w:val="000000"/>
          <w:spacing w:val="-1"/>
        </w:rPr>
        <w:t xml:space="preserve"> </w:t>
      </w:r>
      <w:r>
        <w:rPr>
          <w:color w:val="000000"/>
        </w:rPr>
        <w:t>b</w:t>
      </w:r>
      <w:r>
        <w:rPr>
          <w:color w:val="000000"/>
          <w:spacing w:val="-1"/>
        </w:rPr>
        <w:t>ee</w:t>
      </w:r>
      <w:r>
        <w:rPr>
          <w:color w:val="000000"/>
        </w:rPr>
        <w:t xml:space="preserve">n </w:t>
      </w:r>
      <w:r>
        <w:rPr>
          <w:color w:val="000000"/>
          <w:spacing w:val="2"/>
        </w:rPr>
        <w:t>d</w:t>
      </w:r>
      <w:r>
        <w:rPr>
          <w:color w:val="000000"/>
          <w:spacing w:val="1"/>
        </w:rPr>
        <w:t>e</w:t>
      </w:r>
      <w:r>
        <w:rPr>
          <w:color w:val="000000"/>
          <w:spacing w:val="-2"/>
        </w:rPr>
        <w:t>g</w:t>
      </w:r>
      <w:r>
        <w:rPr>
          <w:color w:val="000000"/>
          <w:spacing w:val="2"/>
        </w:rPr>
        <w:t>r</w:t>
      </w:r>
      <w:r>
        <w:rPr>
          <w:color w:val="000000"/>
          <w:spacing w:val="-1"/>
        </w:rPr>
        <w:t>a</w:t>
      </w:r>
      <w:r>
        <w:rPr>
          <w:color w:val="000000"/>
        </w:rPr>
        <w:t>d</w:t>
      </w:r>
      <w:r>
        <w:rPr>
          <w:color w:val="000000"/>
          <w:spacing w:val="1"/>
        </w:rPr>
        <w:t>e</w:t>
      </w:r>
      <w:r>
        <w:rPr>
          <w:color w:val="000000"/>
        </w:rPr>
        <w:t xml:space="preserve">d, </w:t>
      </w:r>
      <w:r>
        <w:rPr>
          <w:color w:val="000000"/>
          <w:spacing w:val="-1"/>
        </w:rPr>
        <w:t>a</w:t>
      </w:r>
      <w:r>
        <w:rPr>
          <w:color w:val="000000"/>
        </w:rPr>
        <w:t>nd the</w:t>
      </w:r>
      <w:r>
        <w:rPr>
          <w:color w:val="000000"/>
          <w:spacing w:val="-1"/>
        </w:rPr>
        <w:t xml:space="preserve"> c</w:t>
      </w:r>
      <w:r>
        <w:rPr>
          <w:color w:val="000000"/>
          <w:spacing w:val="2"/>
        </w:rPr>
        <w:t>r</w:t>
      </w:r>
      <w:r>
        <w:rPr>
          <w:color w:val="000000"/>
          <w:spacing w:val="-1"/>
        </w:rPr>
        <w:t>ea</w:t>
      </w:r>
      <w:r>
        <w:rPr>
          <w:color w:val="000000"/>
        </w:rPr>
        <w:t xml:space="preserve">tion </w:t>
      </w:r>
      <w:r>
        <w:rPr>
          <w:color w:val="000000"/>
          <w:spacing w:val="-1"/>
        </w:rPr>
        <w:t>a</w:t>
      </w:r>
      <w:r>
        <w:rPr>
          <w:color w:val="000000"/>
        </w:rPr>
        <w:t>nd d</w:t>
      </w:r>
      <w:r>
        <w:rPr>
          <w:color w:val="000000"/>
          <w:spacing w:val="-1"/>
        </w:rPr>
        <w:t>e</w:t>
      </w:r>
      <w:r>
        <w:rPr>
          <w:color w:val="000000"/>
        </w:rPr>
        <w:t>v</w:t>
      </w:r>
      <w:r>
        <w:rPr>
          <w:color w:val="000000"/>
          <w:spacing w:val="-1"/>
        </w:rPr>
        <w:t>e</w:t>
      </w:r>
      <w:r>
        <w:rPr>
          <w:color w:val="000000"/>
        </w:rPr>
        <w:t>lopm</w:t>
      </w:r>
      <w:r>
        <w:rPr>
          <w:color w:val="000000"/>
          <w:spacing w:val="-1"/>
        </w:rPr>
        <w:t>e</w:t>
      </w:r>
      <w:r>
        <w:rPr>
          <w:color w:val="000000"/>
        </w:rPr>
        <w:t>nt of</w:t>
      </w:r>
      <w:r>
        <w:rPr>
          <w:color w:val="000000"/>
          <w:spacing w:val="-1"/>
        </w:rPr>
        <w:t xml:space="preserve"> </w:t>
      </w:r>
      <w:r>
        <w:rPr>
          <w:color w:val="000000"/>
        </w:rPr>
        <w:t>p</w:t>
      </w:r>
      <w:r>
        <w:rPr>
          <w:color w:val="000000"/>
          <w:spacing w:val="-1"/>
        </w:rPr>
        <w:t>r</w:t>
      </w:r>
      <w:r>
        <w:rPr>
          <w:color w:val="000000"/>
        </w:rPr>
        <w:t>od</w:t>
      </w:r>
      <w:r>
        <w:rPr>
          <w:color w:val="000000"/>
          <w:spacing w:val="2"/>
        </w:rPr>
        <w:t>u</w:t>
      </w:r>
      <w:r>
        <w:rPr>
          <w:color w:val="000000"/>
          <w:spacing w:val="-1"/>
        </w:rPr>
        <w:t>c</w:t>
      </w:r>
      <w:r>
        <w:rPr>
          <w:color w:val="000000"/>
        </w:rPr>
        <w:t>tive</w:t>
      </w:r>
      <w:r>
        <w:rPr>
          <w:color w:val="000000"/>
          <w:spacing w:val="-1"/>
        </w:rPr>
        <w:t xml:space="preserve"> </w:t>
      </w:r>
      <w:r>
        <w:rPr>
          <w:color w:val="000000"/>
        </w:rPr>
        <w:t>h</w:t>
      </w:r>
      <w:r>
        <w:rPr>
          <w:color w:val="000000"/>
          <w:spacing w:val="-1"/>
        </w:rPr>
        <w:t>a</w:t>
      </w:r>
      <w:r>
        <w:rPr>
          <w:color w:val="000000"/>
        </w:rPr>
        <w:t>bit</w:t>
      </w:r>
      <w:r>
        <w:rPr>
          <w:color w:val="000000"/>
          <w:spacing w:val="-1"/>
        </w:rPr>
        <w:t>a</w:t>
      </w:r>
      <w:r>
        <w:rPr>
          <w:color w:val="000000"/>
        </w:rPr>
        <w:t>ts wh</w:t>
      </w:r>
      <w:r>
        <w:rPr>
          <w:color w:val="000000"/>
          <w:spacing w:val="-1"/>
        </w:rPr>
        <w:t>e</w:t>
      </w:r>
      <w:r>
        <w:rPr>
          <w:color w:val="000000"/>
          <w:spacing w:val="2"/>
        </w:rPr>
        <w:t>r</w:t>
      </w:r>
      <w:r>
        <w:rPr>
          <w:color w:val="000000"/>
        </w:rPr>
        <w:t>e</w:t>
      </w:r>
      <w:r>
        <w:rPr>
          <w:color w:val="000000"/>
          <w:spacing w:val="-1"/>
        </w:rPr>
        <w:t xml:space="preserve"> </w:t>
      </w:r>
      <w:r>
        <w:rPr>
          <w:color w:val="000000"/>
        </w:rPr>
        <w:t>in</w:t>
      </w:r>
      <w:r>
        <w:rPr>
          <w:color w:val="000000"/>
          <w:spacing w:val="-1"/>
        </w:rPr>
        <w:t>c</w:t>
      </w:r>
      <w:r>
        <w:rPr>
          <w:color w:val="000000"/>
          <w:spacing w:val="2"/>
        </w:rPr>
        <w:t>r</w:t>
      </w:r>
      <w:r>
        <w:rPr>
          <w:color w:val="000000"/>
          <w:spacing w:val="-1"/>
        </w:rPr>
        <w:t>ea</w:t>
      </w:r>
      <w:r>
        <w:rPr>
          <w:color w:val="000000"/>
          <w:spacing w:val="3"/>
        </w:rPr>
        <w:t>s</w:t>
      </w:r>
      <w:r>
        <w:rPr>
          <w:color w:val="000000"/>
          <w:spacing w:val="-1"/>
        </w:rPr>
        <w:t>e</w:t>
      </w:r>
      <w:r>
        <w:rPr>
          <w:color w:val="000000"/>
        </w:rPr>
        <w:t xml:space="preserve">d </w:t>
      </w:r>
      <w:r>
        <w:rPr>
          <w:color w:val="000000"/>
          <w:spacing w:val="-1"/>
        </w:rPr>
        <w:t>f</w:t>
      </w:r>
      <w:r>
        <w:rPr>
          <w:color w:val="000000"/>
        </w:rPr>
        <w:t>ish</w:t>
      </w:r>
      <w:r>
        <w:rPr>
          <w:color w:val="000000"/>
          <w:spacing w:val="-1"/>
        </w:rPr>
        <w:t>e</w:t>
      </w:r>
      <w:r>
        <w:rPr>
          <w:color w:val="000000"/>
          <w:spacing w:val="4"/>
        </w:rPr>
        <w:t>r</w:t>
      </w:r>
      <w:r>
        <w:rPr>
          <w:color w:val="000000"/>
        </w:rPr>
        <w:t>y</w:t>
      </w:r>
      <w:r>
        <w:rPr>
          <w:color w:val="000000"/>
          <w:spacing w:val="-5"/>
        </w:rPr>
        <w:t xml:space="preserve"> </w:t>
      </w:r>
      <w:r>
        <w:rPr>
          <w:color w:val="000000"/>
        </w:rPr>
        <w:t>p</w:t>
      </w:r>
      <w:r>
        <w:rPr>
          <w:color w:val="000000"/>
          <w:spacing w:val="-1"/>
        </w:rPr>
        <w:t>r</w:t>
      </w:r>
      <w:r>
        <w:rPr>
          <w:color w:val="000000"/>
        </w:rPr>
        <w:t>od</w:t>
      </w:r>
      <w:r>
        <w:rPr>
          <w:color w:val="000000"/>
          <w:spacing w:val="2"/>
        </w:rPr>
        <w:t>u</w:t>
      </w:r>
      <w:r>
        <w:rPr>
          <w:color w:val="000000"/>
          <w:spacing w:val="-1"/>
        </w:rPr>
        <w:t>c</w:t>
      </w:r>
      <w:r>
        <w:rPr>
          <w:color w:val="000000"/>
        </w:rPr>
        <w:t>tion is p</w:t>
      </w:r>
      <w:r>
        <w:rPr>
          <w:color w:val="000000"/>
          <w:spacing w:val="-1"/>
        </w:rPr>
        <w:t>r</w:t>
      </w:r>
      <w:r>
        <w:rPr>
          <w:color w:val="000000"/>
        </w:rPr>
        <w:t>ob</w:t>
      </w:r>
      <w:r>
        <w:rPr>
          <w:color w:val="000000"/>
          <w:spacing w:val="-1"/>
        </w:rPr>
        <w:t>a</w:t>
      </w:r>
      <w:r>
        <w:rPr>
          <w:color w:val="000000"/>
        </w:rPr>
        <w:t>bl</w:t>
      </w:r>
      <w:r>
        <w:rPr>
          <w:color w:val="000000"/>
          <w:spacing w:val="-1"/>
        </w:rPr>
        <w:t>e</w:t>
      </w:r>
      <w:r>
        <w:rPr>
          <w:color w:val="000000"/>
        </w:rPr>
        <w:t>. The</w:t>
      </w:r>
      <w:r>
        <w:rPr>
          <w:color w:val="000000"/>
          <w:spacing w:val="-1"/>
        </w:rPr>
        <w:t xml:space="preserve"> </w:t>
      </w:r>
      <w:r>
        <w:rPr>
          <w:color w:val="000000"/>
          <w:spacing w:val="1"/>
        </w:rPr>
        <w:t>S</w:t>
      </w:r>
      <w:r>
        <w:rPr>
          <w:color w:val="000000"/>
          <w:spacing w:val="2"/>
        </w:rPr>
        <w:t>A</w:t>
      </w:r>
      <w:r>
        <w:rPr>
          <w:color w:val="000000"/>
          <w:spacing w:val="-1"/>
        </w:rPr>
        <w:t>F</w:t>
      </w:r>
      <w:r>
        <w:rPr>
          <w:color w:val="000000"/>
        </w:rPr>
        <w:t>MC</w:t>
      </w:r>
      <w:r>
        <w:rPr>
          <w:color w:val="000000"/>
          <w:spacing w:val="1"/>
        </w:rPr>
        <w:t xml:space="preserve"> </w:t>
      </w:r>
      <w:r>
        <w:rPr>
          <w:color w:val="000000"/>
        </w:rPr>
        <w:t>will pu</w:t>
      </w:r>
      <w:r>
        <w:rPr>
          <w:color w:val="000000"/>
          <w:spacing w:val="-1"/>
        </w:rPr>
        <w:t>r</w:t>
      </w:r>
      <w:r>
        <w:rPr>
          <w:color w:val="000000"/>
        </w:rPr>
        <w:t>sue</w:t>
      </w:r>
      <w:r>
        <w:rPr>
          <w:color w:val="000000"/>
          <w:spacing w:val="-1"/>
        </w:rPr>
        <w:t xml:space="preserve"> </w:t>
      </w:r>
      <w:r>
        <w:rPr>
          <w:color w:val="000000"/>
        </w:rPr>
        <w:t>th</w:t>
      </w:r>
      <w:r>
        <w:rPr>
          <w:color w:val="000000"/>
          <w:spacing w:val="-1"/>
        </w:rPr>
        <w:t>e</w:t>
      </w:r>
      <w:r>
        <w:rPr>
          <w:color w:val="000000"/>
        </w:rPr>
        <w:t>se</w:t>
      </w:r>
      <w:r>
        <w:rPr>
          <w:color w:val="000000"/>
          <w:spacing w:val="1"/>
        </w:rPr>
        <w:t xml:space="preserve"> </w:t>
      </w:r>
      <w:r>
        <w:rPr>
          <w:color w:val="000000"/>
          <w:spacing w:val="-2"/>
        </w:rPr>
        <w:t>g</w:t>
      </w:r>
      <w:r>
        <w:rPr>
          <w:color w:val="000000"/>
          <w:spacing w:val="2"/>
        </w:rPr>
        <w:t>o</w:t>
      </w:r>
      <w:r>
        <w:rPr>
          <w:color w:val="000000"/>
          <w:spacing w:val="-1"/>
        </w:rPr>
        <w:t>a</w:t>
      </w:r>
      <w:r>
        <w:rPr>
          <w:color w:val="000000"/>
        </w:rPr>
        <w:t xml:space="preserve">ls </w:t>
      </w:r>
      <w:r>
        <w:rPr>
          <w:color w:val="000000"/>
          <w:spacing w:val="-1"/>
        </w:rPr>
        <w:t>a</w:t>
      </w:r>
      <w:r>
        <w:rPr>
          <w:color w:val="000000"/>
        </w:rPr>
        <w:t>t st</w:t>
      </w:r>
      <w:r>
        <w:rPr>
          <w:color w:val="000000"/>
          <w:spacing w:val="-1"/>
        </w:rPr>
        <w:t>a</w:t>
      </w:r>
      <w:r>
        <w:rPr>
          <w:color w:val="000000"/>
        </w:rPr>
        <w:t>t</w:t>
      </w:r>
      <w:r>
        <w:rPr>
          <w:color w:val="000000"/>
          <w:spacing w:val="-1"/>
        </w:rPr>
        <w:t>e</w:t>
      </w:r>
      <w:r>
        <w:rPr>
          <w:color w:val="000000"/>
        </w:rPr>
        <w:t xml:space="preserve">, </w:t>
      </w:r>
      <w:r>
        <w:rPr>
          <w:color w:val="000000"/>
          <w:spacing w:val="-1"/>
        </w:rPr>
        <w:t>Fe</w:t>
      </w:r>
      <w:r>
        <w:rPr>
          <w:color w:val="000000"/>
          <w:spacing w:val="2"/>
        </w:rPr>
        <w:t>d</w:t>
      </w:r>
      <w:r>
        <w:rPr>
          <w:color w:val="000000"/>
          <w:spacing w:val="-1"/>
        </w:rPr>
        <w:t>era</w:t>
      </w:r>
      <w:r>
        <w:rPr>
          <w:color w:val="000000"/>
        </w:rPr>
        <w:t>l,</w:t>
      </w:r>
      <w:r>
        <w:rPr>
          <w:color w:val="000000"/>
          <w:spacing w:val="2"/>
        </w:rPr>
        <w:t xml:space="preserve"> </w:t>
      </w:r>
      <w:r>
        <w:rPr>
          <w:color w:val="000000"/>
          <w:spacing w:val="-1"/>
        </w:rPr>
        <w:t>a</w:t>
      </w:r>
      <w:r>
        <w:rPr>
          <w:color w:val="000000"/>
        </w:rPr>
        <w:t>nd lo</w:t>
      </w:r>
      <w:r>
        <w:rPr>
          <w:color w:val="000000"/>
          <w:spacing w:val="-1"/>
        </w:rPr>
        <w:t>ca</w:t>
      </w:r>
      <w:r>
        <w:rPr>
          <w:color w:val="000000"/>
        </w:rPr>
        <w:t>l l</w:t>
      </w:r>
      <w:r>
        <w:rPr>
          <w:color w:val="000000"/>
          <w:spacing w:val="-1"/>
        </w:rPr>
        <w:t>e</w:t>
      </w:r>
      <w:r>
        <w:rPr>
          <w:color w:val="000000"/>
          <w:spacing w:val="2"/>
        </w:rPr>
        <w:t>v</w:t>
      </w:r>
      <w:r>
        <w:rPr>
          <w:color w:val="000000"/>
          <w:spacing w:val="1"/>
        </w:rPr>
        <w:t>e</w:t>
      </w:r>
      <w:r>
        <w:rPr>
          <w:color w:val="000000"/>
        </w:rPr>
        <w:t>ls. The</w:t>
      </w:r>
      <w:r>
        <w:rPr>
          <w:color w:val="000000"/>
          <w:spacing w:val="-1"/>
        </w:rPr>
        <w:t xml:space="preserve"> </w:t>
      </w:r>
      <w:r>
        <w:rPr>
          <w:color w:val="000000"/>
          <w:spacing w:val="1"/>
        </w:rPr>
        <w:t>C</w:t>
      </w:r>
      <w:r>
        <w:rPr>
          <w:color w:val="000000"/>
        </w:rPr>
        <w:t>oun</w:t>
      </w:r>
      <w:r>
        <w:rPr>
          <w:color w:val="000000"/>
          <w:spacing w:val="-1"/>
        </w:rPr>
        <w:t>c</w:t>
      </w:r>
      <w:r>
        <w:rPr>
          <w:color w:val="000000"/>
        </w:rPr>
        <w:t>il sh</w:t>
      </w:r>
      <w:r>
        <w:rPr>
          <w:color w:val="000000"/>
          <w:spacing w:val="-1"/>
        </w:rPr>
        <w:t>a</w:t>
      </w:r>
      <w:r>
        <w:rPr>
          <w:color w:val="000000"/>
        </w:rPr>
        <w:t xml:space="preserve">ll </w:t>
      </w:r>
      <w:r>
        <w:rPr>
          <w:color w:val="000000"/>
          <w:spacing w:val="-1"/>
        </w:rPr>
        <w:t>a</w:t>
      </w:r>
      <w:r>
        <w:rPr>
          <w:color w:val="000000"/>
        </w:rPr>
        <w:t>ssume</w:t>
      </w:r>
      <w:r>
        <w:rPr>
          <w:color w:val="000000"/>
          <w:spacing w:val="-1"/>
        </w:rPr>
        <w:t xml:space="preserve"> a</w:t>
      </w:r>
      <w:r>
        <w:rPr>
          <w:color w:val="000000"/>
        </w:rPr>
        <w:t xml:space="preserve">n </w:t>
      </w:r>
      <w:r>
        <w:rPr>
          <w:color w:val="000000"/>
          <w:spacing w:val="1"/>
        </w:rPr>
        <w:t>a</w:t>
      </w:r>
      <w:r>
        <w:rPr>
          <w:color w:val="000000"/>
        </w:rPr>
        <w:t>g</w:t>
      </w:r>
      <w:r>
        <w:rPr>
          <w:color w:val="000000"/>
          <w:spacing w:val="-2"/>
        </w:rPr>
        <w:t>g</w:t>
      </w:r>
      <w:r>
        <w:rPr>
          <w:color w:val="000000"/>
          <w:spacing w:val="2"/>
        </w:rPr>
        <w:t>r</w:t>
      </w:r>
      <w:r>
        <w:rPr>
          <w:color w:val="000000"/>
          <w:spacing w:val="-1"/>
        </w:rPr>
        <w:t>e</w:t>
      </w:r>
      <w:r>
        <w:rPr>
          <w:color w:val="000000"/>
        </w:rPr>
        <w:t>ssive</w:t>
      </w:r>
      <w:r>
        <w:rPr>
          <w:color w:val="000000"/>
          <w:spacing w:val="-1"/>
        </w:rPr>
        <w:t xml:space="preserve"> r</w:t>
      </w:r>
      <w:r>
        <w:rPr>
          <w:color w:val="000000"/>
        </w:rPr>
        <w:t>ole</w:t>
      </w:r>
      <w:r>
        <w:rPr>
          <w:color w:val="000000"/>
          <w:spacing w:val="-1"/>
        </w:rPr>
        <w:t xml:space="preserve"> </w:t>
      </w:r>
      <w:r>
        <w:rPr>
          <w:color w:val="000000"/>
        </w:rPr>
        <w:t>in</w:t>
      </w:r>
      <w:r>
        <w:rPr>
          <w:color w:val="000000"/>
          <w:spacing w:val="2"/>
        </w:rPr>
        <w:t xml:space="preserve"> </w:t>
      </w:r>
      <w:r>
        <w:rPr>
          <w:color w:val="000000"/>
        </w:rPr>
        <w:t>the p</w:t>
      </w:r>
      <w:r>
        <w:rPr>
          <w:color w:val="000000"/>
          <w:spacing w:val="-1"/>
        </w:rPr>
        <w:t>r</w:t>
      </w:r>
      <w:r>
        <w:rPr>
          <w:color w:val="000000"/>
        </w:rPr>
        <w:t>ot</w:t>
      </w:r>
      <w:r>
        <w:rPr>
          <w:color w:val="000000"/>
          <w:spacing w:val="-1"/>
        </w:rPr>
        <w:t>ec</w:t>
      </w:r>
      <w:r>
        <w:rPr>
          <w:color w:val="000000"/>
        </w:rPr>
        <w:t xml:space="preserve">tion </w:t>
      </w:r>
      <w:r>
        <w:rPr>
          <w:color w:val="000000"/>
          <w:spacing w:val="-1"/>
        </w:rPr>
        <w:t>a</w:t>
      </w:r>
      <w:r>
        <w:rPr>
          <w:color w:val="000000"/>
        </w:rPr>
        <w:t xml:space="preserve">nd </w:t>
      </w:r>
      <w:r>
        <w:rPr>
          <w:color w:val="000000"/>
          <w:spacing w:val="-1"/>
        </w:rPr>
        <w:t>e</w:t>
      </w:r>
      <w:r>
        <w:rPr>
          <w:color w:val="000000"/>
        </w:rPr>
        <w:t>n</w:t>
      </w:r>
      <w:r>
        <w:rPr>
          <w:color w:val="000000"/>
          <w:spacing w:val="2"/>
        </w:rPr>
        <w:t>h</w:t>
      </w:r>
      <w:r>
        <w:rPr>
          <w:color w:val="000000"/>
          <w:spacing w:val="-1"/>
        </w:rPr>
        <w:t>a</w:t>
      </w:r>
      <w:r>
        <w:rPr>
          <w:color w:val="000000"/>
        </w:rPr>
        <w:t>n</w:t>
      </w:r>
      <w:r>
        <w:rPr>
          <w:color w:val="000000"/>
          <w:spacing w:val="-1"/>
        </w:rPr>
        <w:t>ce</w:t>
      </w:r>
      <w:r>
        <w:rPr>
          <w:color w:val="000000"/>
          <w:spacing w:val="3"/>
        </w:rPr>
        <w:t>m</w:t>
      </w:r>
      <w:r>
        <w:rPr>
          <w:color w:val="000000"/>
          <w:spacing w:val="-1"/>
        </w:rPr>
        <w:t>e</w:t>
      </w:r>
      <w:r>
        <w:rPr>
          <w:color w:val="000000"/>
        </w:rPr>
        <w:t>nt of</w:t>
      </w:r>
      <w:r>
        <w:rPr>
          <w:color w:val="000000"/>
          <w:spacing w:val="-1"/>
        </w:rPr>
        <w:t xml:space="preserve"> </w:t>
      </w:r>
      <w:r>
        <w:rPr>
          <w:color w:val="000000"/>
        </w:rPr>
        <w:t>h</w:t>
      </w:r>
      <w:r>
        <w:rPr>
          <w:color w:val="000000"/>
          <w:spacing w:val="-1"/>
        </w:rPr>
        <w:t>a</w:t>
      </w:r>
      <w:r>
        <w:rPr>
          <w:color w:val="000000"/>
        </w:rPr>
        <w:t>bit</w:t>
      </w:r>
      <w:r>
        <w:rPr>
          <w:color w:val="000000"/>
          <w:spacing w:val="-1"/>
        </w:rPr>
        <w:t>a</w:t>
      </w:r>
      <w:r>
        <w:rPr>
          <w:color w:val="000000"/>
        </w:rPr>
        <w:t>ts impo</w:t>
      </w:r>
      <w:r>
        <w:rPr>
          <w:color w:val="000000"/>
          <w:spacing w:val="-1"/>
        </w:rPr>
        <w:t>r</w:t>
      </w:r>
      <w:r>
        <w:rPr>
          <w:color w:val="000000"/>
        </w:rPr>
        <w:t>t</w:t>
      </w:r>
      <w:r>
        <w:rPr>
          <w:color w:val="000000"/>
          <w:spacing w:val="-1"/>
        </w:rPr>
        <w:t>a</w:t>
      </w:r>
      <w:r>
        <w:rPr>
          <w:color w:val="000000"/>
        </w:rPr>
        <w:t xml:space="preserve">nt to </w:t>
      </w:r>
      <w:r>
        <w:rPr>
          <w:color w:val="000000"/>
          <w:spacing w:val="-1"/>
        </w:rPr>
        <w:t>f</w:t>
      </w:r>
      <w:r>
        <w:rPr>
          <w:color w:val="000000"/>
        </w:rPr>
        <w:t>ish</w:t>
      </w:r>
      <w:r>
        <w:rPr>
          <w:color w:val="000000"/>
          <w:spacing w:val="-1"/>
        </w:rPr>
        <w:t>e</w:t>
      </w:r>
      <w:r>
        <w:rPr>
          <w:color w:val="000000"/>
          <w:spacing w:val="2"/>
        </w:rPr>
        <w:t>r</w:t>
      </w:r>
      <w:r>
        <w:rPr>
          <w:color w:val="000000"/>
        </w:rPr>
        <w:t>y</w:t>
      </w:r>
      <w:r>
        <w:rPr>
          <w:color w:val="000000"/>
          <w:spacing w:val="-5"/>
        </w:rPr>
        <w:t xml:space="preserve"> </w:t>
      </w:r>
      <w:r>
        <w:rPr>
          <w:color w:val="000000"/>
        </w:rPr>
        <w:t>s</w:t>
      </w:r>
      <w:r>
        <w:rPr>
          <w:color w:val="000000"/>
          <w:spacing w:val="2"/>
        </w:rPr>
        <w:t>p</w:t>
      </w:r>
      <w:r>
        <w:rPr>
          <w:color w:val="000000"/>
          <w:spacing w:val="-1"/>
        </w:rPr>
        <w:t>ec</w:t>
      </w:r>
      <w:r>
        <w:rPr>
          <w:color w:val="000000"/>
        </w:rPr>
        <w:t>i</w:t>
      </w:r>
      <w:r>
        <w:rPr>
          <w:color w:val="000000"/>
          <w:spacing w:val="-1"/>
        </w:rPr>
        <w:t>e</w:t>
      </w:r>
      <w:r>
        <w:rPr>
          <w:color w:val="000000"/>
        </w:rPr>
        <w:t>s,</w:t>
      </w:r>
      <w:r>
        <w:rPr>
          <w:color w:val="000000"/>
          <w:spacing w:val="2"/>
        </w:rPr>
        <w:t xml:space="preserve"> </w:t>
      </w:r>
      <w:r>
        <w:rPr>
          <w:color w:val="000000"/>
          <w:spacing w:val="-1"/>
        </w:rPr>
        <w:t>a</w:t>
      </w:r>
      <w:r>
        <w:rPr>
          <w:color w:val="000000"/>
        </w:rPr>
        <w:t>nd s</w:t>
      </w:r>
      <w:r>
        <w:rPr>
          <w:color w:val="000000"/>
          <w:spacing w:val="2"/>
        </w:rPr>
        <w:t>h</w:t>
      </w:r>
      <w:r>
        <w:rPr>
          <w:color w:val="000000"/>
          <w:spacing w:val="-1"/>
        </w:rPr>
        <w:t>a</w:t>
      </w:r>
      <w:r>
        <w:rPr>
          <w:color w:val="000000"/>
        </w:rPr>
        <w:t xml:space="preserve">ll </w:t>
      </w:r>
      <w:r>
        <w:rPr>
          <w:color w:val="000000"/>
          <w:spacing w:val="-1"/>
        </w:rPr>
        <w:t>ac</w:t>
      </w:r>
      <w:r>
        <w:rPr>
          <w:color w:val="000000"/>
        </w:rPr>
        <w:t>tiv</w:t>
      </w:r>
      <w:r>
        <w:rPr>
          <w:color w:val="000000"/>
          <w:spacing w:val="-1"/>
        </w:rPr>
        <w:t>e</w:t>
      </w:r>
      <w:r>
        <w:rPr>
          <w:color w:val="000000"/>
          <w:spacing w:val="3"/>
        </w:rPr>
        <w:t>l</w:t>
      </w:r>
      <w:r>
        <w:rPr>
          <w:color w:val="000000"/>
        </w:rPr>
        <w:t>y</w:t>
      </w:r>
      <w:r>
        <w:rPr>
          <w:color w:val="000000"/>
          <w:spacing w:val="-2"/>
        </w:rPr>
        <w:t xml:space="preserve"> </w:t>
      </w:r>
      <w:r>
        <w:rPr>
          <w:color w:val="000000"/>
          <w:spacing w:val="-1"/>
        </w:rPr>
        <w:t>e</w:t>
      </w:r>
      <w:r>
        <w:rPr>
          <w:color w:val="000000"/>
        </w:rPr>
        <w:t>nt</w:t>
      </w:r>
      <w:r>
        <w:rPr>
          <w:color w:val="000000"/>
          <w:spacing w:val="-1"/>
        </w:rPr>
        <w:t>e</w:t>
      </w:r>
      <w:r>
        <w:rPr>
          <w:color w:val="000000"/>
        </w:rPr>
        <w:t>r</w:t>
      </w:r>
      <w:r>
        <w:rPr>
          <w:color w:val="000000"/>
          <w:spacing w:val="2"/>
        </w:rPr>
        <w:t xml:space="preserve"> </w:t>
      </w:r>
      <w:r>
        <w:rPr>
          <w:color w:val="000000"/>
          <w:spacing w:val="-1"/>
        </w:rPr>
        <w:t>Fe</w:t>
      </w:r>
      <w:r>
        <w:rPr>
          <w:color w:val="000000"/>
          <w:spacing w:val="2"/>
        </w:rPr>
        <w:t>d</w:t>
      </w:r>
      <w:r>
        <w:rPr>
          <w:color w:val="000000"/>
          <w:spacing w:val="-1"/>
        </w:rPr>
        <w:t>era</w:t>
      </w:r>
      <w:r>
        <w:rPr>
          <w:color w:val="000000"/>
        </w:rPr>
        <w:t>l, d</w:t>
      </w:r>
      <w:r>
        <w:rPr>
          <w:color w:val="000000"/>
          <w:spacing w:val="-1"/>
        </w:rPr>
        <w:t>ec</w:t>
      </w:r>
      <w:r>
        <w:rPr>
          <w:color w:val="000000"/>
        </w:rPr>
        <w:t>ision m</w:t>
      </w:r>
      <w:r>
        <w:rPr>
          <w:color w:val="000000"/>
          <w:spacing w:val="-1"/>
        </w:rPr>
        <w:t>a</w:t>
      </w:r>
      <w:r>
        <w:rPr>
          <w:color w:val="000000"/>
        </w:rPr>
        <w:t>ki</w:t>
      </w:r>
      <w:r>
        <w:rPr>
          <w:color w:val="000000"/>
          <w:spacing w:val="2"/>
        </w:rPr>
        <w:t>n</w:t>
      </w:r>
      <w:r>
        <w:rPr>
          <w:color w:val="000000"/>
        </w:rPr>
        <w:t>g</w:t>
      </w:r>
      <w:r>
        <w:rPr>
          <w:color w:val="000000"/>
          <w:spacing w:val="-2"/>
        </w:rPr>
        <w:t xml:space="preserve"> </w:t>
      </w:r>
      <w:r>
        <w:rPr>
          <w:color w:val="000000"/>
        </w:rPr>
        <w:t>p</w:t>
      </w:r>
      <w:r>
        <w:rPr>
          <w:color w:val="000000"/>
          <w:spacing w:val="-1"/>
        </w:rPr>
        <w:t>r</w:t>
      </w:r>
      <w:r>
        <w:rPr>
          <w:color w:val="000000"/>
        </w:rPr>
        <w:t>o</w:t>
      </w:r>
      <w:r>
        <w:rPr>
          <w:color w:val="000000"/>
          <w:spacing w:val="1"/>
        </w:rPr>
        <w:t>c</w:t>
      </w:r>
      <w:r>
        <w:rPr>
          <w:color w:val="000000"/>
          <w:spacing w:val="-1"/>
        </w:rPr>
        <w:t>e</w:t>
      </w:r>
      <w:r>
        <w:rPr>
          <w:color w:val="000000"/>
        </w:rPr>
        <w:t>ss</w:t>
      </w:r>
      <w:r>
        <w:rPr>
          <w:color w:val="000000"/>
          <w:spacing w:val="-1"/>
        </w:rPr>
        <w:t>e</w:t>
      </w:r>
      <w:r>
        <w:rPr>
          <w:color w:val="000000"/>
        </w:rPr>
        <w:t>s wh</w:t>
      </w:r>
      <w:r>
        <w:rPr>
          <w:color w:val="000000"/>
          <w:spacing w:val="-1"/>
        </w:rPr>
        <w:t>e</w:t>
      </w:r>
      <w:r>
        <w:rPr>
          <w:color w:val="000000"/>
          <w:spacing w:val="2"/>
        </w:rPr>
        <w:t>r</w:t>
      </w:r>
      <w:r>
        <w:rPr>
          <w:color w:val="000000"/>
        </w:rPr>
        <w:t>e</w:t>
      </w:r>
      <w:r>
        <w:rPr>
          <w:color w:val="000000"/>
          <w:spacing w:val="-1"/>
        </w:rPr>
        <w:t xml:space="preserve"> </w:t>
      </w:r>
      <w:r>
        <w:rPr>
          <w:color w:val="000000"/>
        </w:rPr>
        <w:t>p</w:t>
      </w:r>
      <w:r>
        <w:rPr>
          <w:color w:val="000000"/>
          <w:spacing w:val="-1"/>
        </w:rPr>
        <w:t>r</w:t>
      </w:r>
      <w:r>
        <w:rPr>
          <w:color w:val="000000"/>
        </w:rPr>
        <w:t>opos</w:t>
      </w:r>
      <w:r>
        <w:rPr>
          <w:color w:val="000000"/>
          <w:spacing w:val="-1"/>
        </w:rPr>
        <w:t>e</w:t>
      </w:r>
      <w:r>
        <w:rPr>
          <w:color w:val="000000"/>
        </w:rPr>
        <w:t>d</w:t>
      </w:r>
      <w:r>
        <w:rPr>
          <w:color w:val="000000"/>
          <w:spacing w:val="2"/>
        </w:rPr>
        <w:t xml:space="preserve"> </w:t>
      </w:r>
      <w:r>
        <w:rPr>
          <w:color w:val="000000"/>
          <w:spacing w:val="-1"/>
        </w:rPr>
        <w:t>ac</w:t>
      </w:r>
      <w:r>
        <w:rPr>
          <w:color w:val="000000"/>
        </w:rPr>
        <w:t>tio</w:t>
      </w:r>
      <w:r>
        <w:rPr>
          <w:color w:val="000000"/>
          <w:spacing w:val="2"/>
        </w:rPr>
        <w:t>n</w:t>
      </w:r>
      <w:r>
        <w:rPr>
          <w:color w:val="000000"/>
        </w:rPr>
        <w:t>s m</w:t>
      </w:r>
      <w:r>
        <w:rPr>
          <w:color w:val="000000"/>
          <w:spacing w:val="1"/>
        </w:rPr>
        <w:t>a</w:t>
      </w:r>
      <w:r>
        <w:rPr>
          <w:color w:val="000000"/>
        </w:rPr>
        <w:t>y</w:t>
      </w:r>
      <w:r>
        <w:rPr>
          <w:color w:val="000000"/>
          <w:spacing w:val="-5"/>
        </w:rPr>
        <w:t xml:space="preserve"> </w:t>
      </w:r>
      <w:r>
        <w:rPr>
          <w:color w:val="000000"/>
        </w:rPr>
        <w:t>oth</w:t>
      </w:r>
      <w:r>
        <w:rPr>
          <w:color w:val="000000"/>
          <w:spacing w:val="1"/>
        </w:rPr>
        <w:t>e</w:t>
      </w:r>
      <w:r>
        <w:rPr>
          <w:color w:val="000000"/>
          <w:spacing w:val="-1"/>
        </w:rPr>
        <w:t>r</w:t>
      </w:r>
      <w:r>
        <w:rPr>
          <w:color w:val="000000"/>
        </w:rPr>
        <w:t>wise</w:t>
      </w:r>
      <w:r>
        <w:rPr>
          <w:color w:val="000000"/>
          <w:spacing w:val="-1"/>
        </w:rPr>
        <w:t xml:space="preserve"> c</w:t>
      </w:r>
      <w:r>
        <w:rPr>
          <w:color w:val="000000"/>
        </w:rPr>
        <w:t>omp</w:t>
      </w:r>
      <w:r>
        <w:rPr>
          <w:color w:val="000000"/>
          <w:spacing w:val="-1"/>
        </w:rPr>
        <w:t>r</w:t>
      </w:r>
      <w:r>
        <w:rPr>
          <w:color w:val="000000"/>
          <w:spacing w:val="2"/>
        </w:rPr>
        <w:t>o</w:t>
      </w:r>
      <w:r>
        <w:rPr>
          <w:color w:val="000000"/>
        </w:rPr>
        <w:t>mise</w:t>
      </w:r>
      <w:r>
        <w:rPr>
          <w:color w:val="000000"/>
          <w:spacing w:val="-1"/>
        </w:rPr>
        <w:t xml:space="preserve"> </w:t>
      </w:r>
      <w:r>
        <w:rPr>
          <w:color w:val="000000"/>
        </w:rPr>
        <w:t>the</w:t>
      </w:r>
      <w:r>
        <w:rPr>
          <w:color w:val="000000"/>
          <w:spacing w:val="-1"/>
        </w:rPr>
        <w:t xml:space="preserve"> </w:t>
      </w:r>
      <w:r>
        <w:rPr>
          <w:color w:val="000000"/>
        </w:rPr>
        <w:t>p</w:t>
      </w:r>
      <w:r>
        <w:rPr>
          <w:color w:val="000000"/>
          <w:spacing w:val="-1"/>
        </w:rPr>
        <w:t>r</w:t>
      </w:r>
      <w:r>
        <w:rPr>
          <w:color w:val="000000"/>
        </w:rPr>
        <w:t>odu</w:t>
      </w:r>
      <w:r>
        <w:rPr>
          <w:color w:val="000000"/>
          <w:spacing w:val="-1"/>
        </w:rPr>
        <w:t>c</w:t>
      </w:r>
      <w:r>
        <w:rPr>
          <w:color w:val="000000"/>
        </w:rPr>
        <w:t>tivi</w:t>
      </w:r>
      <w:r>
        <w:rPr>
          <w:color w:val="000000"/>
          <w:spacing w:val="3"/>
        </w:rPr>
        <w:t>t</w:t>
      </w:r>
      <w:r>
        <w:rPr>
          <w:color w:val="000000"/>
        </w:rPr>
        <w:t>y</w:t>
      </w:r>
      <w:r>
        <w:rPr>
          <w:color w:val="000000"/>
          <w:spacing w:val="-5"/>
        </w:rPr>
        <w:t xml:space="preserve"> </w:t>
      </w:r>
      <w:r>
        <w:rPr>
          <w:color w:val="000000"/>
        </w:rPr>
        <w:t xml:space="preserve">of </w:t>
      </w:r>
      <w:r>
        <w:rPr>
          <w:color w:val="000000"/>
          <w:spacing w:val="-1"/>
        </w:rPr>
        <w:t>f</w:t>
      </w:r>
      <w:r>
        <w:rPr>
          <w:color w:val="000000"/>
        </w:rPr>
        <w:t>ish</w:t>
      </w:r>
      <w:r>
        <w:rPr>
          <w:color w:val="000000"/>
          <w:spacing w:val="-1"/>
        </w:rPr>
        <w:t>e</w:t>
      </w:r>
      <w:r>
        <w:rPr>
          <w:color w:val="000000"/>
          <w:spacing w:val="4"/>
        </w:rPr>
        <w:t>r</w:t>
      </w:r>
      <w:r>
        <w:rPr>
          <w:color w:val="000000"/>
        </w:rPr>
        <w:t>y</w:t>
      </w:r>
      <w:r>
        <w:rPr>
          <w:color w:val="000000"/>
          <w:spacing w:val="-5"/>
        </w:rPr>
        <w:t xml:space="preserve"> </w:t>
      </w:r>
      <w:r>
        <w:rPr>
          <w:color w:val="000000"/>
          <w:spacing w:val="-1"/>
        </w:rPr>
        <w:t>re</w:t>
      </w:r>
      <w:r>
        <w:rPr>
          <w:color w:val="000000"/>
        </w:rPr>
        <w:t>so</w:t>
      </w:r>
      <w:r>
        <w:rPr>
          <w:color w:val="000000"/>
          <w:spacing w:val="2"/>
        </w:rPr>
        <w:t>u</w:t>
      </w:r>
      <w:r>
        <w:rPr>
          <w:color w:val="000000"/>
          <w:spacing w:val="-1"/>
        </w:rPr>
        <w:t>rce</w:t>
      </w:r>
      <w:r>
        <w:rPr>
          <w:color w:val="000000"/>
        </w:rPr>
        <w:t xml:space="preserve">s </w:t>
      </w:r>
      <w:r>
        <w:rPr>
          <w:color w:val="000000"/>
          <w:spacing w:val="2"/>
        </w:rPr>
        <w:t>o</w:t>
      </w:r>
      <w:r>
        <w:rPr>
          <w:color w:val="000000"/>
        </w:rPr>
        <w:t>f</w:t>
      </w:r>
      <w:r>
        <w:rPr>
          <w:color w:val="000000"/>
          <w:spacing w:val="-1"/>
        </w:rPr>
        <w:t xml:space="preserve"> c</w:t>
      </w:r>
      <w:r>
        <w:rPr>
          <w:color w:val="000000"/>
        </w:rPr>
        <w:t>on</w:t>
      </w:r>
      <w:r>
        <w:rPr>
          <w:color w:val="000000"/>
          <w:spacing w:val="1"/>
        </w:rPr>
        <w:t>c</w:t>
      </w:r>
      <w:r>
        <w:rPr>
          <w:color w:val="000000"/>
          <w:spacing w:val="-1"/>
        </w:rPr>
        <w:t>er</w:t>
      </w:r>
      <w:r>
        <w:rPr>
          <w:color w:val="000000"/>
        </w:rPr>
        <w:t>n to the</w:t>
      </w:r>
      <w:r>
        <w:rPr>
          <w:color w:val="000000"/>
          <w:spacing w:val="-1"/>
        </w:rPr>
        <w:t xml:space="preserve"> </w:t>
      </w:r>
      <w:r>
        <w:rPr>
          <w:color w:val="000000"/>
          <w:spacing w:val="1"/>
        </w:rPr>
        <w:t>C</w:t>
      </w:r>
      <w:r>
        <w:rPr>
          <w:color w:val="000000"/>
        </w:rPr>
        <w:t>oun</w:t>
      </w:r>
      <w:r>
        <w:rPr>
          <w:color w:val="000000"/>
          <w:spacing w:val="-1"/>
        </w:rPr>
        <w:t>c</w:t>
      </w:r>
      <w:r>
        <w:rPr>
          <w:color w:val="000000"/>
        </w:rPr>
        <w:t>il.</w:t>
      </w:r>
    </w:p>
    <w:p w14:paraId="0F04A24A" w14:textId="77777777" w:rsidR="00DC4922" w:rsidRDefault="00DC4922" w:rsidP="00DC4922">
      <w:pPr>
        <w:rPr>
          <w:color w:val="000000"/>
          <w:sz w:val="26"/>
        </w:rPr>
      </w:pPr>
    </w:p>
    <w:p w14:paraId="3FD2BBE3" w14:textId="77777777" w:rsidR="00DC4922" w:rsidRPr="00EB603B" w:rsidRDefault="00DC4922" w:rsidP="00DC4922">
      <w:pPr>
        <w:rPr>
          <w:b/>
          <w:i/>
          <w:color w:val="000000"/>
        </w:rPr>
      </w:pPr>
      <w:r w:rsidRPr="00EB603B">
        <w:rPr>
          <w:b/>
          <w:i/>
          <w:color w:val="000000"/>
          <w:spacing w:val="3"/>
        </w:rPr>
        <w:t>S</w:t>
      </w:r>
      <w:r w:rsidRPr="00EB603B">
        <w:rPr>
          <w:b/>
          <w:i/>
          <w:color w:val="000000"/>
          <w:spacing w:val="-5"/>
        </w:rPr>
        <w:t>A</w:t>
      </w:r>
      <w:r w:rsidRPr="00EB603B">
        <w:rPr>
          <w:b/>
          <w:i/>
          <w:color w:val="000000"/>
        </w:rPr>
        <w:t>F</w:t>
      </w:r>
      <w:r w:rsidRPr="00EB603B">
        <w:rPr>
          <w:b/>
          <w:i/>
          <w:color w:val="000000"/>
          <w:spacing w:val="2"/>
        </w:rPr>
        <w:t>M</w:t>
      </w:r>
      <w:r w:rsidRPr="00EB603B">
        <w:rPr>
          <w:b/>
          <w:i/>
          <w:color w:val="000000"/>
        </w:rPr>
        <w:t xml:space="preserve">C </w:t>
      </w:r>
      <w:r w:rsidRPr="00EB603B">
        <w:rPr>
          <w:b/>
          <w:i/>
          <w:color w:val="000000"/>
          <w:spacing w:val="1"/>
        </w:rPr>
        <w:t>E</w:t>
      </w:r>
      <w:r w:rsidRPr="00EB603B">
        <w:rPr>
          <w:b/>
          <w:i/>
          <w:color w:val="000000"/>
        </w:rPr>
        <w:t xml:space="preserve">FH </w:t>
      </w:r>
      <w:r w:rsidRPr="00EB603B">
        <w:rPr>
          <w:b/>
          <w:i/>
          <w:color w:val="000000"/>
          <w:spacing w:val="1"/>
        </w:rPr>
        <w:t>P</w:t>
      </w:r>
      <w:r w:rsidRPr="00EB603B">
        <w:rPr>
          <w:b/>
          <w:i/>
          <w:color w:val="000000"/>
        </w:rPr>
        <w:t>oli</w:t>
      </w:r>
      <w:r w:rsidRPr="00EB603B">
        <w:rPr>
          <w:b/>
          <w:i/>
          <w:color w:val="000000"/>
          <w:spacing w:val="3"/>
        </w:rPr>
        <w:t>c</w:t>
      </w:r>
      <w:r w:rsidRPr="00EB603B">
        <w:rPr>
          <w:b/>
          <w:i/>
          <w:color w:val="000000"/>
        </w:rPr>
        <w:t>y</w:t>
      </w:r>
      <w:r w:rsidRPr="00EB603B">
        <w:rPr>
          <w:b/>
          <w:i/>
          <w:color w:val="000000"/>
          <w:spacing w:val="-6"/>
        </w:rPr>
        <w:t xml:space="preserve"> </w:t>
      </w:r>
      <w:r w:rsidRPr="00EB603B">
        <w:rPr>
          <w:b/>
          <w:i/>
          <w:color w:val="000000"/>
          <w:spacing w:val="1"/>
        </w:rPr>
        <w:t>S</w:t>
      </w:r>
      <w:r w:rsidRPr="00EB603B">
        <w:rPr>
          <w:b/>
          <w:i/>
          <w:color w:val="000000"/>
          <w:spacing w:val="-1"/>
        </w:rPr>
        <w:t>t</w:t>
      </w:r>
      <w:r w:rsidRPr="00EB603B">
        <w:rPr>
          <w:b/>
          <w:i/>
          <w:color w:val="000000"/>
          <w:spacing w:val="1"/>
        </w:rPr>
        <w:t>a</w:t>
      </w:r>
      <w:r w:rsidRPr="00EB603B">
        <w:rPr>
          <w:b/>
          <w:i/>
          <w:color w:val="000000"/>
          <w:spacing w:val="-1"/>
        </w:rPr>
        <w:t>t</w:t>
      </w:r>
      <w:r w:rsidRPr="00EB603B">
        <w:rPr>
          <w:b/>
          <w:i/>
          <w:color w:val="000000"/>
          <w:spacing w:val="1"/>
        </w:rPr>
        <w:t>e</w:t>
      </w:r>
      <w:r w:rsidRPr="00EB603B">
        <w:rPr>
          <w:b/>
          <w:i/>
          <w:color w:val="000000"/>
        </w:rPr>
        <w:t>m</w:t>
      </w:r>
      <w:r w:rsidRPr="00EB603B">
        <w:rPr>
          <w:b/>
          <w:i/>
          <w:color w:val="000000"/>
          <w:spacing w:val="1"/>
        </w:rPr>
        <w:t>e</w:t>
      </w:r>
      <w:r w:rsidRPr="00EB603B">
        <w:rPr>
          <w:b/>
          <w:i/>
          <w:color w:val="000000"/>
        </w:rPr>
        <w:t>n</w:t>
      </w:r>
      <w:r w:rsidRPr="00EB603B">
        <w:rPr>
          <w:b/>
          <w:i/>
          <w:color w:val="000000"/>
          <w:spacing w:val="-1"/>
        </w:rPr>
        <w:t>t</w:t>
      </w:r>
      <w:r w:rsidRPr="00EB603B">
        <w:rPr>
          <w:b/>
          <w:i/>
          <w:color w:val="000000"/>
        </w:rPr>
        <w:t>s</w:t>
      </w:r>
    </w:p>
    <w:p w14:paraId="127EC67D" w14:textId="77777777" w:rsidR="00DC4922" w:rsidRDefault="00DC4922" w:rsidP="00640526">
      <w:pPr>
        <w:ind w:firstLine="360"/>
        <w:rPr>
          <w:color w:val="000000"/>
        </w:rPr>
      </w:pPr>
      <w:r>
        <w:rPr>
          <w:color w:val="000000"/>
          <w:spacing w:val="-3"/>
        </w:rPr>
        <w:t>I</w:t>
      </w:r>
      <w:r>
        <w:rPr>
          <w:color w:val="000000"/>
        </w:rPr>
        <w:t>n</w:t>
      </w:r>
      <w:r>
        <w:rPr>
          <w:color w:val="000000"/>
          <w:spacing w:val="2"/>
        </w:rPr>
        <w:t xml:space="preserve"> </w:t>
      </w:r>
      <w:r>
        <w:rPr>
          <w:color w:val="000000"/>
          <w:spacing w:val="-1"/>
        </w:rPr>
        <w:t>a</w:t>
      </w:r>
      <w:r>
        <w:rPr>
          <w:color w:val="000000"/>
        </w:rPr>
        <w:t>ddition to impl</w:t>
      </w:r>
      <w:r>
        <w:rPr>
          <w:color w:val="000000"/>
          <w:spacing w:val="-1"/>
        </w:rPr>
        <w:t>e</w:t>
      </w:r>
      <w:r>
        <w:rPr>
          <w:color w:val="000000"/>
        </w:rPr>
        <w:t>m</w:t>
      </w:r>
      <w:r>
        <w:rPr>
          <w:color w:val="000000"/>
          <w:spacing w:val="-1"/>
        </w:rPr>
        <w:t>e</w:t>
      </w:r>
      <w:r>
        <w:rPr>
          <w:color w:val="000000"/>
        </w:rPr>
        <w:t>nt</w:t>
      </w:r>
      <w:r>
        <w:rPr>
          <w:color w:val="000000"/>
          <w:spacing w:val="-2"/>
        </w:rPr>
        <w:t>i</w:t>
      </w:r>
      <w:r>
        <w:rPr>
          <w:color w:val="000000"/>
        </w:rPr>
        <w:t>ng</w:t>
      </w:r>
      <w:r>
        <w:rPr>
          <w:color w:val="000000"/>
          <w:spacing w:val="-2"/>
        </w:rPr>
        <w:t xml:space="preserve"> </w:t>
      </w:r>
      <w:r>
        <w:rPr>
          <w:color w:val="000000"/>
          <w:spacing w:val="2"/>
        </w:rPr>
        <w:t>r</w:t>
      </w:r>
      <w:r>
        <w:rPr>
          <w:color w:val="000000"/>
          <w:spacing w:val="1"/>
        </w:rPr>
        <w:t>e</w:t>
      </w:r>
      <w:r>
        <w:rPr>
          <w:color w:val="000000"/>
          <w:spacing w:val="-2"/>
        </w:rPr>
        <w:t>g</w:t>
      </w:r>
      <w:r>
        <w:rPr>
          <w:color w:val="000000"/>
        </w:rPr>
        <w:t>ul</w:t>
      </w:r>
      <w:r>
        <w:rPr>
          <w:color w:val="000000"/>
          <w:spacing w:val="-1"/>
        </w:rPr>
        <w:t>a</w:t>
      </w:r>
      <w:r>
        <w:rPr>
          <w:color w:val="000000"/>
        </w:rPr>
        <w:t>tions to p</w:t>
      </w:r>
      <w:r>
        <w:rPr>
          <w:color w:val="000000"/>
          <w:spacing w:val="-1"/>
        </w:rPr>
        <w:t>r</w:t>
      </w:r>
      <w:r>
        <w:rPr>
          <w:color w:val="000000"/>
        </w:rPr>
        <w:t>ot</w:t>
      </w:r>
      <w:r>
        <w:rPr>
          <w:color w:val="000000"/>
          <w:spacing w:val="-1"/>
        </w:rPr>
        <w:t>ec</w:t>
      </w:r>
      <w:r>
        <w:rPr>
          <w:color w:val="000000"/>
        </w:rPr>
        <w:t>t</w:t>
      </w:r>
      <w:r>
        <w:rPr>
          <w:color w:val="000000"/>
          <w:spacing w:val="3"/>
        </w:rPr>
        <w:t xml:space="preserve"> </w:t>
      </w:r>
      <w:r>
        <w:rPr>
          <w:color w:val="000000"/>
        </w:rPr>
        <w:t>h</w:t>
      </w:r>
      <w:r>
        <w:rPr>
          <w:color w:val="000000"/>
          <w:spacing w:val="-1"/>
        </w:rPr>
        <w:t>a</w:t>
      </w:r>
      <w:r>
        <w:rPr>
          <w:color w:val="000000"/>
        </w:rPr>
        <w:t>bit</w:t>
      </w:r>
      <w:r>
        <w:rPr>
          <w:color w:val="000000"/>
          <w:spacing w:val="-1"/>
        </w:rPr>
        <w:t>a</w:t>
      </w:r>
      <w:r>
        <w:rPr>
          <w:color w:val="000000"/>
        </w:rPr>
        <w:t xml:space="preserve">t </w:t>
      </w:r>
      <w:r>
        <w:rPr>
          <w:color w:val="000000"/>
          <w:spacing w:val="-1"/>
        </w:rPr>
        <w:t>fr</w:t>
      </w:r>
      <w:r>
        <w:rPr>
          <w:color w:val="000000"/>
        </w:rPr>
        <w:t xml:space="preserve">om </w:t>
      </w:r>
      <w:r>
        <w:rPr>
          <w:color w:val="000000"/>
          <w:spacing w:val="-1"/>
        </w:rPr>
        <w:t>f</w:t>
      </w:r>
      <w:r>
        <w:rPr>
          <w:color w:val="000000"/>
        </w:rPr>
        <w:t xml:space="preserve">ishing </w:t>
      </w:r>
      <w:r>
        <w:rPr>
          <w:color w:val="000000"/>
          <w:spacing w:val="-1"/>
        </w:rPr>
        <w:t>re</w:t>
      </w:r>
      <w:r>
        <w:rPr>
          <w:color w:val="000000"/>
        </w:rPr>
        <w:t>l</w:t>
      </w:r>
      <w:r>
        <w:rPr>
          <w:color w:val="000000"/>
          <w:spacing w:val="-1"/>
        </w:rPr>
        <w:t>a</w:t>
      </w:r>
      <w:r>
        <w:rPr>
          <w:color w:val="000000"/>
          <w:spacing w:val="3"/>
        </w:rPr>
        <w:t>t</w:t>
      </w:r>
      <w:r>
        <w:rPr>
          <w:color w:val="000000"/>
          <w:spacing w:val="-1"/>
        </w:rPr>
        <w:t>e</w:t>
      </w:r>
      <w:r>
        <w:rPr>
          <w:color w:val="000000"/>
        </w:rPr>
        <w:t>d d</w:t>
      </w:r>
      <w:r>
        <w:rPr>
          <w:color w:val="000000"/>
          <w:spacing w:val="1"/>
        </w:rPr>
        <w:t>e</w:t>
      </w:r>
      <w:r>
        <w:rPr>
          <w:color w:val="000000"/>
          <w:spacing w:val="-2"/>
        </w:rPr>
        <w:t>g</w:t>
      </w:r>
      <w:r>
        <w:rPr>
          <w:color w:val="000000"/>
          <w:spacing w:val="-1"/>
        </w:rPr>
        <w:t>ra</w:t>
      </w:r>
      <w:r>
        <w:rPr>
          <w:color w:val="000000"/>
          <w:spacing w:val="2"/>
        </w:rPr>
        <w:t>d</w:t>
      </w:r>
      <w:r>
        <w:rPr>
          <w:color w:val="000000"/>
          <w:spacing w:val="-1"/>
        </w:rPr>
        <w:t>a</w:t>
      </w:r>
      <w:r>
        <w:rPr>
          <w:color w:val="000000"/>
        </w:rPr>
        <w:t>tion, the</w:t>
      </w:r>
      <w:r>
        <w:rPr>
          <w:color w:val="000000"/>
          <w:spacing w:val="-1"/>
        </w:rPr>
        <w:t xml:space="preserve"> </w:t>
      </w:r>
      <w:r>
        <w:rPr>
          <w:color w:val="000000"/>
          <w:spacing w:val="1"/>
        </w:rPr>
        <w:t>C</w:t>
      </w:r>
      <w:r>
        <w:rPr>
          <w:color w:val="000000"/>
        </w:rPr>
        <w:t>oun</w:t>
      </w:r>
      <w:r>
        <w:rPr>
          <w:color w:val="000000"/>
          <w:spacing w:val="-1"/>
        </w:rPr>
        <w:t>c</w:t>
      </w:r>
      <w:r>
        <w:rPr>
          <w:color w:val="000000"/>
        </w:rPr>
        <w:t xml:space="preserve">il in </w:t>
      </w:r>
      <w:r>
        <w:rPr>
          <w:color w:val="000000"/>
          <w:spacing w:val="-1"/>
        </w:rPr>
        <w:t>c</w:t>
      </w:r>
      <w:r>
        <w:rPr>
          <w:color w:val="000000"/>
        </w:rPr>
        <w:t>oop</w:t>
      </w:r>
      <w:r>
        <w:rPr>
          <w:color w:val="000000"/>
          <w:spacing w:val="-1"/>
        </w:rPr>
        <w:t>era</w:t>
      </w:r>
      <w:r>
        <w:rPr>
          <w:color w:val="000000"/>
        </w:rPr>
        <w:t>tion with NO</w:t>
      </w:r>
      <w:r>
        <w:rPr>
          <w:color w:val="000000"/>
          <w:spacing w:val="2"/>
        </w:rPr>
        <w:t>A</w:t>
      </w:r>
      <w:r>
        <w:rPr>
          <w:color w:val="000000"/>
        </w:rPr>
        <w:t xml:space="preserve">A </w:t>
      </w:r>
      <w:r>
        <w:rPr>
          <w:color w:val="000000"/>
          <w:spacing w:val="-1"/>
        </w:rPr>
        <w:t>F</w:t>
      </w:r>
      <w:r>
        <w:rPr>
          <w:color w:val="000000"/>
        </w:rPr>
        <w:t>ish</w:t>
      </w:r>
      <w:r>
        <w:rPr>
          <w:color w:val="000000"/>
          <w:spacing w:val="-1"/>
        </w:rPr>
        <w:t>er</w:t>
      </w:r>
      <w:r>
        <w:rPr>
          <w:color w:val="000000"/>
        </w:rPr>
        <w:t>i</w:t>
      </w:r>
      <w:r>
        <w:rPr>
          <w:color w:val="000000"/>
          <w:spacing w:val="-1"/>
        </w:rPr>
        <w:t>e</w:t>
      </w:r>
      <w:r>
        <w:rPr>
          <w:color w:val="000000"/>
        </w:rPr>
        <w:t>s,</w:t>
      </w:r>
      <w:r>
        <w:rPr>
          <w:color w:val="000000"/>
          <w:spacing w:val="2"/>
        </w:rPr>
        <w:t xml:space="preserve"> </w:t>
      </w:r>
      <w:r>
        <w:rPr>
          <w:color w:val="000000"/>
          <w:spacing w:val="-1"/>
        </w:rPr>
        <w:t>ac</w:t>
      </w:r>
      <w:r>
        <w:rPr>
          <w:color w:val="000000"/>
        </w:rPr>
        <w:t>tiv</w:t>
      </w:r>
      <w:r>
        <w:rPr>
          <w:color w:val="000000"/>
          <w:spacing w:val="-1"/>
        </w:rPr>
        <w:t>e</w:t>
      </w:r>
      <w:r>
        <w:rPr>
          <w:color w:val="000000"/>
          <w:spacing w:val="5"/>
        </w:rPr>
        <w:t>l</w:t>
      </w:r>
      <w:r>
        <w:rPr>
          <w:color w:val="000000"/>
        </w:rPr>
        <w:t>y</w:t>
      </w:r>
      <w:r>
        <w:rPr>
          <w:color w:val="000000"/>
          <w:spacing w:val="-5"/>
        </w:rPr>
        <w:t xml:space="preserve"> </w:t>
      </w:r>
      <w:r>
        <w:rPr>
          <w:color w:val="000000"/>
          <w:spacing w:val="-1"/>
        </w:rPr>
        <w:t>c</w:t>
      </w:r>
      <w:r>
        <w:rPr>
          <w:color w:val="000000"/>
        </w:rPr>
        <w:t>o</w:t>
      </w:r>
      <w:r>
        <w:rPr>
          <w:color w:val="000000"/>
          <w:spacing w:val="3"/>
        </w:rPr>
        <w:t>m</w:t>
      </w:r>
      <w:r>
        <w:rPr>
          <w:color w:val="000000"/>
        </w:rPr>
        <w:t>m</w:t>
      </w:r>
      <w:r>
        <w:rPr>
          <w:color w:val="000000"/>
          <w:spacing w:val="-1"/>
        </w:rPr>
        <w:t>e</w:t>
      </w:r>
      <w:r>
        <w:rPr>
          <w:color w:val="000000"/>
        </w:rPr>
        <w:t>nts on non</w:t>
      </w:r>
      <w:r>
        <w:rPr>
          <w:color w:val="000000"/>
          <w:spacing w:val="-1"/>
        </w:rPr>
        <w:t>-f</w:t>
      </w:r>
      <w:r>
        <w:rPr>
          <w:color w:val="000000"/>
        </w:rPr>
        <w:t>ishing</w:t>
      </w:r>
      <w:r>
        <w:rPr>
          <w:color w:val="000000"/>
          <w:spacing w:val="-2"/>
        </w:rPr>
        <w:t xml:space="preserve"> </w:t>
      </w:r>
      <w:r>
        <w:rPr>
          <w:color w:val="000000"/>
        </w:rPr>
        <w:t>p</w:t>
      </w:r>
      <w:r>
        <w:rPr>
          <w:color w:val="000000"/>
          <w:spacing w:val="-1"/>
        </w:rPr>
        <w:t>r</w:t>
      </w:r>
      <w:r>
        <w:rPr>
          <w:color w:val="000000"/>
          <w:spacing w:val="2"/>
        </w:rPr>
        <w:t>o</w:t>
      </w:r>
      <w:r>
        <w:rPr>
          <w:color w:val="000000"/>
        </w:rPr>
        <w:t>j</w:t>
      </w:r>
      <w:r>
        <w:rPr>
          <w:color w:val="000000"/>
          <w:spacing w:val="-1"/>
        </w:rPr>
        <w:t>ec</w:t>
      </w:r>
      <w:r>
        <w:rPr>
          <w:color w:val="000000"/>
        </w:rPr>
        <w:t>ts or</w:t>
      </w:r>
      <w:r>
        <w:rPr>
          <w:color w:val="000000"/>
          <w:spacing w:val="-1"/>
        </w:rPr>
        <w:t xml:space="preserve"> </w:t>
      </w:r>
      <w:r>
        <w:rPr>
          <w:color w:val="000000"/>
        </w:rPr>
        <w:t>poli</w:t>
      </w:r>
      <w:r>
        <w:rPr>
          <w:color w:val="000000"/>
          <w:spacing w:val="-1"/>
        </w:rPr>
        <w:t>c</w:t>
      </w:r>
      <w:r>
        <w:rPr>
          <w:color w:val="000000"/>
        </w:rPr>
        <w:t>i</w:t>
      </w:r>
      <w:r>
        <w:rPr>
          <w:color w:val="000000"/>
          <w:spacing w:val="-1"/>
        </w:rPr>
        <w:t>e</w:t>
      </w:r>
      <w:r>
        <w:rPr>
          <w:color w:val="000000"/>
        </w:rPr>
        <w:t>s th</w:t>
      </w:r>
      <w:r>
        <w:rPr>
          <w:color w:val="000000"/>
          <w:spacing w:val="-1"/>
        </w:rPr>
        <w:t>a</w:t>
      </w:r>
      <w:r>
        <w:rPr>
          <w:color w:val="000000"/>
        </w:rPr>
        <w:t>t m</w:t>
      </w:r>
      <w:r>
        <w:rPr>
          <w:color w:val="000000"/>
          <w:spacing w:val="4"/>
        </w:rPr>
        <w:t>a</w:t>
      </w:r>
      <w:r>
        <w:rPr>
          <w:color w:val="000000"/>
        </w:rPr>
        <w:t>y imp</w:t>
      </w:r>
      <w:r>
        <w:rPr>
          <w:color w:val="000000"/>
          <w:spacing w:val="-1"/>
        </w:rPr>
        <w:t>ac</w:t>
      </w:r>
      <w:r>
        <w:rPr>
          <w:color w:val="000000"/>
        </w:rPr>
        <w:t xml:space="preserve">t </w:t>
      </w:r>
      <w:r>
        <w:rPr>
          <w:color w:val="000000"/>
          <w:spacing w:val="-1"/>
        </w:rPr>
        <w:t>f</w:t>
      </w:r>
      <w:r>
        <w:rPr>
          <w:color w:val="000000"/>
        </w:rPr>
        <w:t>ish h</w:t>
      </w:r>
      <w:r>
        <w:rPr>
          <w:color w:val="000000"/>
          <w:spacing w:val="-1"/>
        </w:rPr>
        <w:t>a</w:t>
      </w:r>
      <w:r>
        <w:rPr>
          <w:color w:val="000000"/>
        </w:rPr>
        <w:t>bit</w:t>
      </w:r>
      <w:r>
        <w:rPr>
          <w:color w:val="000000"/>
          <w:spacing w:val="-1"/>
        </w:rPr>
        <w:t>a</w:t>
      </w:r>
      <w:r>
        <w:rPr>
          <w:color w:val="000000"/>
        </w:rPr>
        <w:t>t. The</w:t>
      </w:r>
      <w:r>
        <w:rPr>
          <w:color w:val="000000"/>
          <w:spacing w:val="1"/>
        </w:rPr>
        <w:t xml:space="preserve"> C</w:t>
      </w:r>
      <w:r>
        <w:rPr>
          <w:color w:val="000000"/>
        </w:rPr>
        <w:t>oun</w:t>
      </w:r>
      <w:r>
        <w:rPr>
          <w:color w:val="000000"/>
          <w:spacing w:val="-1"/>
        </w:rPr>
        <w:t>c</w:t>
      </w:r>
      <w:r>
        <w:rPr>
          <w:color w:val="000000"/>
        </w:rPr>
        <w:t xml:space="preserve">il </w:t>
      </w:r>
      <w:r>
        <w:rPr>
          <w:color w:val="000000"/>
          <w:spacing w:val="-1"/>
        </w:rPr>
        <w:t>a</w:t>
      </w:r>
      <w:r>
        <w:rPr>
          <w:color w:val="000000"/>
        </w:rPr>
        <w:t>dopt</w:t>
      </w:r>
      <w:r>
        <w:rPr>
          <w:color w:val="000000"/>
          <w:spacing w:val="-1"/>
        </w:rPr>
        <w:t>e</w:t>
      </w:r>
      <w:r>
        <w:rPr>
          <w:color w:val="000000"/>
        </w:rPr>
        <w:t>d a</w:t>
      </w:r>
      <w:r>
        <w:rPr>
          <w:color w:val="000000"/>
          <w:spacing w:val="-1"/>
        </w:rPr>
        <w:t xml:space="preserve"> </w:t>
      </w:r>
      <w:r>
        <w:rPr>
          <w:color w:val="000000"/>
        </w:rPr>
        <w:t>h</w:t>
      </w:r>
      <w:r>
        <w:rPr>
          <w:color w:val="000000"/>
          <w:spacing w:val="-1"/>
        </w:rPr>
        <w:t>a</w:t>
      </w:r>
      <w:r>
        <w:rPr>
          <w:color w:val="000000"/>
        </w:rPr>
        <w:t>bit</w:t>
      </w:r>
      <w:r>
        <w:rPr>
          <w:color w:val="000000"/>
          <w:spacing w:val="1"/>
        </w:rPr>
        <w:t>a</w:t>
      </w:r>
      <w:r>
        <w:rPr>
          <w:color w:val="000000"/>
        </w:rPr>
        <w:t>t poli</w:t>
      </w:r>
      <w:r>
        <w:rPr>
          <w:color w:val="000000"/>
          <w:spacing w:val="1"/>
        </w:rPr>
        <w:t>c</w:t>
      </w:r>
      <w:r>
        <w:rPr>
          <w:color w:val="000000"/>
        </w:rPr>
        <w:t>y</w:t>
      </w:r>
      <w:r>
        <w:rPr>
          <w:color w:val="000000"/>
          <w:spacing w:val="-5"/>
        </w:rPr>
        <w:t xml:space="preserve"> </w:t>
      </w:r>
      <w:r>
        <w:rPr>
          <w:color w:val="000000"/>
          <w:spacing w:val="-1"/>
        </w:rPr>
        <w:t>a</w:t>
      </w:r>
      <w:r>
        <w:rPr>
          <w:color w:val="000000"/>
        </w:rPr>
        <w:t>nd p</w:t>
      </w:r>
      <w:r>
        <w:rPr>
          <w:color w:val="000000"/>
          <w:spacing w:val="-1"/>
        </w:rPr>
        <w:t>r</w:t>
      </w:r>
      <w:r>
        <w:rPr>
          <w:color w:val="000000"/>
          <w:spacing w:val="2"/>
        </w:rPr>
        <w:t>o</w:t>
      </w:r>
      <w:r>
        <w:rPr>
          <w:color w:val="000000"/>
          <w:spacing w:val="-1"/>
        </w:rPr>
        <w:t>ce</w:t>
      </w:r>
      <w:r>
        <w:rPr>
          <w:color w:val="000000"/>
        </w:rPr>
        <w:t>d</w:t>
      </w:r>
      <w:r>
        <w:rPr>
          <w:color w:val="000000"/>
          <w:spacing w:val="2"/>
        </w:rPr>
        <w:t>u</w:t>
      </w:r>
      <w:r>
        <w:rPr>
          <w:color w:val="000000"/>
          <w:spacing w:val="-1"/>
        </w:rPr>
        <w:t>r</w:t>
      </w:r>
      <w:r>
        <w:rPr>
          <w:color w:val="000000"/>
        </w:rPr>
        <w:t>e</w:t>
      </w:r>
      <w:r>
        <w:rPr>
          <w:color w:val="000000"/>
          <w:spacing w:val="-1"/>
        </w:rPr>
        <w:t xml:space="preserve"> </w:t>
      </w:r>
      <w:r>
        <w:rPr>
          <w:color w:val="000000"/>
        </w:rPr>
        <w:t>d</w:t>
      </w:r>
      <w:r>
        <w:rPr>
          <w:color w:val="000000"/>
          <w:spacing w:val="2"/>
        </w:rPr>
        <w:t>o</w:t>
      </w:r>
      <w:r>
        <w:rPr>
          <w:color w:val="000000"/>
          <w:spacing w:val="-1"/>
        </w:rPr>
        <w:t>c</w:t>
      </w:r>
      <w:r>
        <w:rPr>
          <w:color w:val="000000"/>
        </w:rPr>
        <w:t>um</w:t>
      </w:r>
      <w:r>
        <w:rPr>
          <w:color w:val="000000"/>
          <w:spacing w:val="-1"/>
        </w:rPr>
        <w:t>e</w:t>
      </w:r>
      <w:r>
        <w:rPr>
          <w:color w:val="000000"/>
        </w:rPr>
        <w:t>nt th</w:t>
      </w:r>
      <w:r>
        <w:rPr>
          <w:color w:val="000000"/>
          <w:spacing w:val="-1"/>
        </w:rPr>
        <w:t>a</w:t>
      </w:r>
      <w:r>
        <w:rPr>
          <w:color w:val="000000"/>
        </w:rPr>
        <w:t xml:space="preserve">t </w:t>
      </w:r>
      <w:r>
        <w:rPr>
          <w:color w:val="000000"/>
          <w:spacing w:val="-1"/>
        </w:rPr>
        <w:t>e</w:t>
      </w:r>
      <w:r>
        <w:rPr>
          <w:color w:val="000000"/>
        </w:rPr>
        <w:t>st</w:t>
      </w:r>
      <w:r>
        <w:rPr>
          <w:color w:val="000000"/>
          <w:spacing w:val="-1"/>
        </w:rPr>
        <w:t>a</w:t>
      </w:r>
      <w:r>
        <w:rPr>
          <w:color w:val="000000"/>
        </w:rPr>
        <w:t>blish</w:t>
      </w:r>
      <w:r>
        <w:rPr>
          <w:color w:val="000000"/>
          <w:spacing w:val="-1"/>
        </w:rPr>
        <w:t>e</w:t>
      </w:r>
      <w:r>
        <w:rPr>
          <w:color w:val="000000"/>
        </w:rPr>
        <w:t xml:space="preserve">d a </w:t>
      </w:r>
      <w:r>
        <w:rPr>
          <w:color w:val="000000"/>
          <w:spacing w:val="-1"/>
        </w:rPr>
        <w:t>f</w:t>
      </w:r>
      <w:r>
        <w:rPr>
          <w:color w:val="000000"/>
        </w:rPr>
        <w:t>ou</w:t>
      </w:r>
      <w:r>
        <w:rPr>
          <w:color w:val="000000"/>
          <w:spacing w:val="-1"/>
        </w:rPr>
        <w:t>r-</w:t>
      </w:r>
      <w:r>
        <w:rPr>
          <w:color w:val="000000"/>
        </w:rPr>
        <w:t>st</w:t>
      </w:r>
      <w:r>
        <w:rPr>
          <w:color w:val="000000"/>
          <w:spacing w:val="-1"/>
        </w:rPr>
        <w:t>a</w:t>
      </w:r>
      <w:r>
        <w:rPr>
          <w:color w:val="000000"/>
        </w:rPr>
        <w:t>te</w:t>
      </w:r>
      <w:r>
        <w:rPr>
          <w:color w:val="000000"/>
          <w:spacing w:val="-1"/>
        </w:rPr>
        <w:t xml:space="preserve"> </w:t>
      </w:r>
      <w:r>
        <w:rPr>
          <w:color w:val="000000"/>
          <w:spacing w:val="2"/>
        </w:rPr>
        <w:t>H</w:t>
      </w:r>
      <w:r>
        <w:rPr>
          <w:color w:val="000000"/>
          <w:spacing w:val="-1"/>
        </w:rPr>
        <w:t>a</w:t>
      </w:r>
      <w:r>
        <w:rPr>
          <w:color w:val="000000"/>
        </w:rPr>
        <w:t>bit</w:t>
      </w:r>
      <w:r>
        <w:rPr>
          <w:color w:val="000000"/>
          <w:spacing w:val="-1"/>
        </w:rPr>
        <w:t>a</w:t>
      </w:r>
      <w:r>
        <w:rPr>
          <w:color w:val="000000"/>
        </w:rPr>
        <w:t>t Adviso</w:t>
      </w:r>
      <w:r>
        <w:rPr>
          <w:color w:val="000000"/>
          <w:spacing w:val="2"/>
        </w:rPr>
        <w:t>r</w:t>
      </w:r>
      <w:r>
        <w:rPr>
          <w:color w:val="000000"/>
        </w:rPr>
        <w:t>y</w:t>
      </w:r>
      <w:r>
        <w:rPr>
          <w:color w:val="000000"/>
          <w:spacing w:val="-5"/>
        </w:rPr>
        <w:t xml:space="preserve"> </w:t>
      </w:r>
      <w:r>
        <w:rPr>
          <w:color w:val="000000"/>
          <w:spacing w:val="1"/>
        </w:rPr>
        <w:t>P</w:t>
      </w:r>
      <w:r>
        <w:rPr>
          <w:color w:val="000000"/>
          <w:spacing w:val="-1"/>
        </w:rPr>
        <w:t>a</w:t>
      </w:r>
      <w:r>
        <w:rPr>
          <w:color w:val="000000"/>
          <w:spacing w:val="2"/>
        </w:rPr>
        <w:t>n</w:t>
      </w:r>
      <w:r>
        <w:rPr>
          <w:color w:val="000000"/>
          <w:spacing w:val="-1"/>
        </w:rPr>
        <w:t>e</w:t>
      </w:r>
      <w:r>
        <w:rPr>
          <w:color w:val="000000"/>
        </w:rPr>
        <w:t xml:space="preserve">l </w:t>
      </w:r>
      <w:r>
        <w:rPr>
          <w:color w:val="000000"/>
          <w:spacing w:val="-1"/>
        </w:rPr>
        <w:t>a</w:t>
      </w:r>
      <w:r>
        <w:rPr>
          <w:color w:val="000000"/>
        </w:rPr>
        <w:t xml:space="preserve">nd </w:t>
      </w:r>
      <w:r>
        <w:rPr>
          <w:color w:val="000000"/>
          <w:spacing w:val="-1"/>
        </w:rPr>
        <w:t>a</w:t>
      </w:r>
      <w:r>
        <w:rPr>
          <w:color w:val="000000"/>
        </w:rPr>
        <w:t>dopt</w:t>
      </w:r>
      <w:r>
        <w:rPr>
          <w:color w:val="000000"/>
          <w:spacing w:val="-1"/>
        </w:rPr>
        <w:t>e</w:t>
      </w:r>
      <w:r>
        <w:rPr>
          <w:color w:val="000000"/>
        </w:rPr>
        <w:t>d</w:t>
      </w:r>
      <w:r>
        <w:rPr>
          <w:color w:val="000000"/>
          <w:spacing w:val="2"/>
        </w:rPr>
        <w:t xml:space="preserve"> </w:t>
      </w:r>
      <w:r>
        <w:rPr>
          <w:color w:val="000000"/>
        </w:rPr>
        <w:t>a</w:t>
      </w:r>
      <w:r>
        <w:rPr>
          <w:color w:val="000000"/>
          <w:spacing w:val="-1"/>
        </w:rPr>
        <w:t xml:space="preserve"> </w:t>
      </w:r>
      <w:r>
        <w:rPr>
          <w:color w:val="000000"/>
          <w:spacing w:val="1"/>
        </w:rPr>
        <w:t>c</w:t>
      </w:r>
      <w:r>
        <w:rPr>
          <w:color w:val="000000"/>
        </w:rPr>
        <w:t>omm</w:t>
      </w:r>
      <w:r>
        <w:rPr>
          <w:color w:val="000000"/>
          <w:spacing w:val="-1"/>
        </w:rPr>
        <w:t>e</w:t>
      </w:r>
      <w:r>
        <w:rPr>
          <w:color w:val="000000"/>
        </w:rPr>
        <w:t xml:space="preserve">nt </w:t>
      </w:r>
      <w:r>
        <w:rPr>
          <w:color w:val="000000"/>
          <w:spacing w:val="-1"/>
        </w:rPr>
        <w:t>a</w:t>
      </w:r>
      <w:r>
        <w:rPr>
          <w:color w:val="000000"/>
        </w:rPr>
        <w:t>nd poli</w:t>
      </w:r>
      <w:r>
        <w:rPr>
          <w:color w:val="000000"/>
          <w:spacing w:val="1"/>
        </w:rPr>
        <w:t>c</w:t>
      </w:r>
      <w:r>
        <w:rPr>
          <w:color w:val="000000"/>
        </w:rPr>
        <w:t>y</w:t>
      </w:r>
      <w:r>
        <w:rPr>
          <w:color w:val="000000"/>
          <w:spacing w:val="-5"/>
        </w:rPr>
        <w:t xml:space="preserve"> </w:t>
      </w:r>
      <w:r>
        <w:rPr>
          <w:color w:val="000000"/>
          <w:spacing w:val="2"/>
        </w:rPr>
        <w:t>d</w:t>
      </w:r>
      <w:r>
        <w:rPr>
          <w:color w:val="000000"/>
          <w:spacing w:val="-1"/>
        </w:rPr>
        <w:t>e</w:t>
      </w:r>
      <w:r>
        <w:rPr>
          <w:color w:val="000000"/>
        </w:rPr>
        <w:t>v</w:t>
      </w:r>
      <w:r>
        <w:rPr>
          <w:color w:val="000000"/>
          <w:spacing w:val="-1"/>
        </w:rPr>
        <w:t>e</w:t>
      </w:r>
      <w:r>
        <w:rPr>
          <w:color w:val="000000"/>
          <w:spacing w:val="3"/>
        </w:rPr>
        <w:t>l</w:t>
      </w:r>
      <w:r>
        <w:rPr>
          <w:color w:val="000000"/>
        </w:rPr>
        <w:t>opm</w:t>
      </w:r>
      <w:r>
        <w:rPr>
          <w:color w:val="000000"/>
          <w:spacing w:val="-1"/>
        </w:rPr>
        <w:t>e</w:t>
      </w:r>
      <w:r>
        <w:rPr>
          <w:color w:val="000000"/>
        </w:rPr>
        <w:t>nt p</w:t>
      </w:r>
      <w:r>
        <w:rPr>
          <w:color w:val="000000"/>
          <w:spacing w:val="-1"/>
        </w:rPr>
        <w:t>r</w:t>
      </w:r>
      <w:r>
        <w:rPr>
          <w:color w:val="000000"/>
        </w:rPr>
        <w:t>o</w:t>
      </w:r>
      <w:r>
        <w:rPr>
          <w:color w:val="000000"/>
          <w:spacing w:val="-1"/>
        </w:rPr>
        <w:t>ce</w:t>
      </w:r>
      <w:r>
        <w:rPr>
          <w:color w:val="000000"/>
        </w:rPr>
        <w:t>ss. M</w:t>
      </w:r>
      <w:r>
        <w:rPr>
          <w:color w:val="000000"/>
          <w:spacing w:val="-1"/>
        </w:rPr>
        <w:t>e</w:t>
      </w:r>
      <w:r>
        <w:rPr>
          <w:color w:val="000000"/>
        </w:rPr>
        <w:t>mb</w:t>
      </w:r>
      <w:r>
        <w:rPr>
          <w:color w:val="000000"/>
          <w:spacing w:val="1"/>
        </w:rPr>
        <w:t>e</w:t>
      </w:r>
      <w:r>
        <w:rPr>
          <w:color w:val="000000"/>
          <w:spacing w:val="2"/>
        </w:rPr>
        <w:t>r</w:t>
      </w:r>
      <w:r>
        <w:rPr>
          <w:color w:val="000000"/>
        </w:rPr>
        <w:t>s of the</w:t>
      </w:r>
      <w:r>
        <w:rPr>
          <w:color w:val="000000"/>
          <w:spacing w:val="-1"/>
        </w:rPr>
        <w:t xml:space="preserve"> </w:t>
      </w:r>
      <w:r>
        <w:rPr>
          <w:color w:val="000000"/>
        </w:rPr>
        <w:t>H</w:t>
      </w:r>
      <w:r>
        <w:rPr>
          <w:color w:val="000000"/>
          <w:spacing w:val="-1"/>
        </w:rPr>
        <w:t>a</w:t>
      </w:r>
      <w:r>
        <w:rPr>
          <w:color w:val="000000"/>
        </w:rPr>
        <w:t>bit</w:t>
      </w:r>
      <w:r>
        <w:rPr>
          <w:color w:val="000000"/>
          <w:spacing w:val="-1"/>
        </w:rPr>
        <w:t>a</w:t>
      </w:r>
      <w:r>
        <w:rPr>
          <w:color w:val="000000"/>
        </w:rPr>
        <w:t>t Adviso</w:t>
      </w:r>
      <w:r>
        <w:rPr>
          <w:color w:val="000000"/>
          <w:spacing w:val="4"/>
        </w:rPr>
        <w:t>r</w:t>
      </w:r>
      <w:r>
        <w:rPr>
          <w:color w:val="000000"/>
        </w:rPr>
        <w:t>y</w:t>
      </w:r>
      <w:r>
        <w:rPr>
          <w:color w:val="000000"/>
          <w:spacing w:val="-5"/>
        </w:rPr>
        <w:t xml:space="preserve"> </w:t>
      </w:r>
      <w:r>
        <w:rPr>
          <w:color w:val="000000"/>
          <w:spacing w:val="1"/>
        </w:rPr>
        <w:t>P</w:t>
      </w:r>
      <w:r>
        <w:rPr>
          <w:color w:val="000000"/>
          <w:spacing w:val="-1"/>
        </w:rPr>
        <w:t>a</w:t>
      </w:r>
      <w:r>
        <w:rPr>
          <w:color w:val="000000"/>
          <w:spacing w:val="2"/>
        </w:rPr>
        <w:t>n</w:t>
      </w:r>
      <w:r>
        <w:rPr>
          <w:color w:val="000000"/>
          <w:spacing w:val="-1"/>
        </w:rPr>
        <w:t>e</w:t>
      </w:r>
      <w:r>
        <w:rPr>
          <w:color w:val="000000"/>
        </w:rPr>
        <w:t>l s</w:t>
      </w:r>
      <w:r>
        <w:rPr>
          <w:color w:val="000000"/>
          <w:spacing w:val="-1"/>
        </w:rPr>
        <w:t>er</w:t>
      </w:r>
      <w:r>
        <w:rPr>
          <w:color w:val="000000"/>
        </w:rPr>
        <w:t>ve</w:t>
      </w:r>
      <w:r>
        <w:rPr>
          <w:color w:val="000000"/>
          <w:spacing w:val="1"/>
        </w:rPr>
        <w:t xml:space="preserve"> </w:t>
      </w:r>
      <w:r>
        <w:rPr>
          <w:color w:val="000000"/>
          <w:spacing w:val="-1"/>
        </w:rPr>
        <w:t>a</w:t>
      </w:r>
      <w:r>
        <w:rPr>
          <w:color w:val="000000"/>
        </w:rPr>
        <w:t>s the</w:t>
      </w:r>
      <w:r>
        <w:rPr>
          <w:color w:val="000000"/>
          <w:spacing w:val="-1"/>
        </w:rPr>
        <w:t xml:space="preserve"> </w:t>
      </w:r>
      <w:r>
        <w:rPr>
          <w:color w:val="000000"/>
          <w:spacing w:val="1"/>
        </w:rPr>
        <w:t>C</w:t>
      </w:r>
      <w:r>
        <w:rPr>
          <w:color w:val="000000"/>
        </w:rPr>
        <w:t>oun</w:t>
      </w:r>
      <w:r>
        <w:rPr>
          <w:color w:val="000000"/>
          <w:spacing w:val="-1"/>
        </w:rPr>
        <w:t>c</w:t>
      </w:r>
      <w:r>
        <w:rPr>
          <w:color w:val="000000"/>
        </w:rPr>
        <w:t>il</w:t>
      </w:r>
      <w:r>
        <w:rPr>
          <w:color w:val="000000"/>
          <w:spacing w:val="-2"/>
        </w:rPr>
        <w:t>’</w:t>
      </w:r>
      <w:r>
        <w:rPr>
          <w:color w:val="000000"/>
        </w:rPr>
        <w:t>s</w:t>
      </w:r>
      <w:r>
        <w:rPr>
          <w:color w:val="000000"/>
          <w:spacing w:val="3"/>
        </w:rPr>
        <w:t xml:space="preserve"> </w:t>
      </w:r>
      <w:r>
        <w:rPr>
          <w:color w:val="000000"/>
        </w:rPr>
        <w:t>h</w:t>
      </w:r>
      <w:r>
        <w:rPr>
          <w:color w:val="000000"/>
          <w:spacing w:val="-1"/>
        </w:rPr>
        <w:t>a</w:t>
      </w:r>
      <w:r>
        <w:rPr>
          <w:color w:val="000000"/>
        </w:rPr>
        <w:t>bit</w:t>
      </w:r>
      <w:r>
        <w:rPr>
          <w:color w:val="000000"/>
          <w:spacing w:val="-1"/>
        </w:rPr>
        <w:t>a</w:t>
      </w:r>
      <w:r>
        <w:rPr>
          <w:color w:val="000000"/>
        </w:rPr>
        <w:t xml:space="preserve">t </w:t>
      </w:r>
      <w:r>
        <w:rPr>
          <w:color w:val="000000"/>
          <w:spacing w:val="-1"/>
        </w:rPr>
        <w:t>c</w:t>
      </w:r>
      <w:r>
        <w:rPr>
          <w:color w:val="000000"/>
        </w:rPr>
        <w:t>ont</w:t>
      </w:r>
      <w:r>
        <w:rPr>
          <w:color w:val="000000"/>
          <w:spacing w:val="-1"/>
        </w:rPr>
        <w:t>ac</w:t>
      </w:r>
      <w:r>
        <w:rPr>
          <w:color w:val="000000"/>
        </w:rPr>
        <w:t xml:space="preserve">ts </w:t>
      </w:r>
      <w:r>
        <w:rPr>
          <w:color w:val="000000"/>
          <w:spacing w:val="-1"/>
        </w:rPr>
        <w:t>a</w:t>
      </w:r>
      <w:r>
        <w:rPr>
          <w:color w:val="000000"/>
        </w:rPr>
        <w:t xml:space="preserve">nd </w:t>
      </w:r>
      <w:r>
        <w:rPr>
          <w:color w:val="000000"/>
          <w:spacing w:val="2"/>
        </w:rPr>
        <w:t>p</w:t>
      </w:r>
      <w:r>
        <w:rPr>
          <w:color w:val="000000"/>
          <w:spacing w:val="-1"/>
        </w:rPr>
        <w:t>r</w:t>
      </w:r>
      <w:r>
        <w:rPr>
          <w:color w:val="000000"/>
        </w:rPr>
        <w:t>o</w:t>
      </w:r>
      <w:r>
        <w:rPr>
          <w:color w:val="000000"/>
          <w:spacing w:val="2"/>
        </w:rPr>
        <w:t>f</w:t>
      </w:r>
      <w:r>
        <w:rPr>
          <w:color w:val="000000"/>
          <w:spacing w:val="-1"/>
        </w:rPr>
        <w:t>e</w:t>
      </w:r>
      <w:r>
        <w:rPr>
          <w:color w:val="000000"/>
        </w:rPr>
        <w:t>ssion</w:t>
      </w:r>
      <w:r>
        <w:rPr>
          <w:color w:val="000000"/>
          <w:spacing w:val="-1"/>
        </w:rPr>
        <w:t>a</w:t>
      </w:r>
      <w:r>
        <w:rPr>
          <w:color w:val="000000"/>
        </w:rPr>
        <w:t>ls in the</w:t>
      </w:r>
      <w:r>
        <w:rPr>
          <w:color w:val="000000"/>
          <w:spacing w:val="-1"/>
        </w:rPr>
        <w:t xml:space="preserve"> f</w:t>
      </w:r>
      <w:r>
        <w:rPr>
          <w:color w:val="000000"/>
        </w:rPr>
        <w:t>i</w:t>
      </w:r>
      <w:r>
        <w:rPr>
          <w:color w:val="000000"/>
          <w:spacing w:val="-1"/>
        </w:rPr>
        <w:t>e</w:t>
      </w:r>
      <w:r>
        <w:rPr>
          <w:color w:val="000000"/>
        </w:rPr>
        <w:t xml:space="preserve">ld. </w:t>
      </w:r>
      <w:r>
        <w:rPr>
          <w:color w:val="000000"/>
          <w:spacing w:val="1"/>
        </w:rPr>
        <w:t>W</w:t>
      </w:r>
      <w:r>
        <w:rPr>
          <w:color w:val="000000"/>
        </w:rPr>
        <w:t>i</w:t>
      </w:r>
      <w:r>
        <w:rPr>
          <w:color w:val="000000"/>
          <w:spacing w:val="-2"/>
        </w:rPr>
        <w:t>t</w:t>
      </w:r>
      <w:r>
        <w:rPr>
          <w:color w:val="000000"/>
        </w:rPr>
        <w:t xml:space="preserve">h </w:t>
      </w:r>
      <w:r>
        <w:rPr>
          <w:color w:val="000000"/>
          <w:spacing w:val="-2"/>
        </w:rPr>
        <w:t>g</w:t>
      </w:r>
      <w:r>
        <w:rPr>
          <w:color w:val="000000"/>
        </w:rPr>
        <w:t>uid</w:t>
      </w:r>
      <w:r>
        <w:rPr>
          <w:color w:val="000000"/>
          <w:spacing w:val="-1"/>
        </w:rPr>
        <w:t>a</w:t>
      </w:r>
      <w:r>
        <w:rPr>
          <w:color w:val="000000"/>
          <w:spacing w:val="2"/>
        </w:rPr>
        <w:t>n</w:t>
      </w:r>
      <w:r>
        <w:rPr>
          <w:color w:val="000000"/>
          <w:spacing w:val="-1"/>
        </w:rPr>
        <w:t>c</w:t>
      </w:r>
      <w:r>
        <w:rPr>
          <w:color w:val="000000"/>
        </w:rPr>
        <w:t>e</w:t>
      </w:r>
      <w:r>
        <w:rPr>
          <w:color w:val="000000"/>
          <w:spacing w:val="-1"/>
        </w:rPr>
        <w:t xml:space="preserve"> </w:t>
      </w:r>
      <w:r>
        <w:rPr>
          <w:color w:val="000000"/>
          <w:spacing w:val="2"/>
        </w:rPr>
        <w:t>f</w:t>
      </w:r>
      <w:r>
        <w:rPr>
          <w:color w:val="000000"/>
          <w:spacing w:val="-1"/>
        </w:rPr>
        <w:t>r</w:t>
      </w:r>
      <w:r>
        <w:rPr>
          <w:color w:val="000000"/>
        </w:rPr>
        <w:t>om the</w:t>
      </w:r>
      <w:r>
        <w:rPr>
          <w:color w:val="000000"/>
          <w:spacing w:val="-1"/>
        </w:rPr>
        <w:t xml:space="preserve"> </w:t>
      </w:r>
      <w:r>
        <w:rPr>
          <w:color w:val="000000"/>
        </w:rPr>
        <w:t>Adviso</w:t>
      </w:r>
      <w:r>
        <w:rPr>
          <w:color w:val="000000"/>
          <w:spacing w:val="2"/>
        </w:rPr>
        <w:t>r</w:t>
      </w:r>
      <w:r>
        <w:rPr>
          <w:color w:val="000000"/>
        </w:rPr>
        <w:t>y</w:t>
      </w:r>
      <w:r>
        <w:rPr>
          <w:color w:val="000000"/>
          <w:spacing w:val="-5"/>
        </w:rPr>
        <w:t xml:space="preserve"> </w:t>
      </w:r>
      <w:r>
        <w:rPr>
          <w:color w:val="000000"/>
          <w:spacing w:val="1"/>
        </w:rPr>
        <w:t>P</w:t>
      </w:r>
      <w:r>
        <w:rPr>
          <w:color w:val="000000"/>
          <w:spacing w:val="-1"/>
        </w:rPr>
        <w:t>a</w:t>
      </w:r>
      <w:r>
        <w:rPr>
          <w:color w:val="000000"/>
          <w:spacing w:val="2"/>
        </w:rPr>
        <w:t>n</w:t>
      </w:r>
      <w:r>
        <w:rPr>
          <w:color w:val="000000"/>
          <w:spacing w:val="-1"/>
        </w:rPr>
        <w:t>e</w:t>
      </w:r>
      <w:r>
        <w:rPr>
          <w:color w:val="000000"/>
        </w:rPr>
        <w:t>l, the</w:t>
      </w:r>
      <w:r>
        <w:rPr>
          <w:color w:val="000000"/>
          <w:spacing w:val="-1"/>
        </w:rPr>
        <w:t xml:space="preserve"> </w:t>
      </w:r>
      <w:r>
        <w:rPr>
          <w:color w:val="000000"/>
          <w:spacing w:val="1"/>
        </w:rPr>
        <w:t>C</w:t>
      </w:r>
      <w:r>
        <w:rPr>
          <w:color w:val="000000"/>
        </w:rPr>
        <w:t>oun</w:t>
      </w:r>
      <w:r>
        <w:rPr>
          <w:color w:val="000000"/>
          <w:spacing w:val="-1"/>
        </w:rPr>
        <w:t>c</w:t>
      </w:r>
      <w:r>
        <w:rPr>
          <w:color w:val="000000"/>
        </w:rPr>
        <w:t>il h</w:t>
      </w:r>
      <w:r>
        <w:rPr>
          <w:color w:val="000000"/>
          <w:spacing w:val="1"/>
        </w:rPr>
        <w:t>a</w:t>
      </w:r>
      <w:r>
        <w:rPr>
          <w:color w:val="000000"/>
        </w:rPr>
        <w:t>s d</w:t>
      </w:r>
      <w:r>
        <w:rPr>
          <w:color w:val="000000"/>
          <w:spacing w:val="-1"/>
        </w:rPr>
        <w:t>e</w:t>
      </w:r>
      <w:r>
        <w:rPr>
          <w:color w:val="000000"/>
        </w:rPr>
        <w:t>v</w:t>
      </w:r>
      <w:r>
        <w:rPr>
          <w:color w:val="000000"/>
          <w:spacing w:val="-1"/>
        </w:rPr>
        <w:t>e</w:t>
      </w:r>
      <w:r>
        <w:rPr>
          <w:color w:val="000000"/>
        </w:rPr>
        <w:t>lop</w:t>
      </w:r>
      <w:r>
        <w:rPr>
          <w:color w:val="000000"/>
          <w:spacing w:val="-1"/>
        </w:rPr>
        <w:t>e</w:t>
      </w:r>
      <w:r>
        <w:rPr>
          <w:color w:val="000000"/>
        </w:rPr>
        <w:t xml:space="preserve">d </w:t>
      </w:r>
      <w:r>
        <w:rPr>
          <w:color w:val="000000"/>
          <w:spacing w:val="-1"/>
        </w:rPr>
        <w:t>a</w:t>
      </w:r>
      <w:r>
        <w:rPr>
          <w:color w:val="000000"/>
        </w:rPr>
        <w:t>nd</w:t>
      </w:r>
      <w:r>
        <w:rPr>
          <w:color w:val="000000"/>
          <w:spacing w:val="2"/>
        </w:rPr>
        <w:t xml:space="preserve"> </w:t>
      </w:r>
      <w:r>
        <w:rPr>
          <w:color w:val="000000"/>
          <w:spacing w:val="-1"/>
        </w:rPr>
        <w:t>a</w:t>
      </w:r>
      <w:r>
        <w:rPr>
          <w:color w:val="000000"/>
        </w:rPr>
        <w:t>pp</w:t>
      </w:r>
      <w:r>
        <w:rPr>
          <w:color w:val="000000"/>
          <w:spacing w:val="-1"/>
        </w:rPr>
        <w:t>r</w:t>
      </w:r>
      <w:r>
        <w:rPr>
          <w:color w:val="000000"/>
        </w:rPr>
        <w:t>ov</w:t>
      </w:r>
      <w:r>
        <w:rPr>
          <w:color w:val="000000"/>
          <w:spacing w:val="1"/>
        </w:rPr>
        <w:t>e</w:t>
      </w:r>
      <w:r>
        <w:rPr>
          <w:color w:val="000000"/>
        </w:rPr>
        <w:t>d a number of</w:t>
      </w:r>
      <w:r>
        <w:rPr>
          <w:color w:val="000000"/>
          <w:spacing w:val="-2"/>
        </w:rPr>
        <w:t xml:space="preserve"> </w:t>
      </w:r>
      <w:r>
        <w:rPr>
          <w:color w:val="000000"/>
        </w:rPr>
        <w:t>h</w:t>
      </w:r>
      <w:r>
        <w:rPr>
          <w:color w:val="000000"/>
          <w:spacing w:val="-1"/>
        </w:rPr>
        <w:t>a</w:t>
      </w:r>
      <w:r>
        <w:rPr>
          <w:color w:val="000000"/>
        </w:rPr>
        <w:t>bit</w:t>
      </w:r>
      <w:r>
        <w:rPr>
          <w:color w:val="000000"/>
          <w:spacing w:val="-1"/>
        </w:rPr>
        <w:t>a</w:t>
      </w:r>
      <w:r>
        <w:rPr>
          <w:color w:val="000000"/>
        </w:rPr>
        <w:t xml:space="preserve">t </w:t>
      </w:r>
      <w:r>
        <w:rPr>
          <w:color w:val="000000"/>
          <w:spacing w:val="2"/>
        </w:rPr>
        <w:t>p</w:t>
      </w:r>
      <w:r>
        <w:rPr>
          <w:color w:val="000000"/>
        </w:rPr>
        <w:t>oli</w:t>
      </w:r>
      <w:r>
        <w:rPr>
          <w:color w:val="000000"/>
          <w:spacing w:val="1"/>
        </w:rPr>
        <w:t>c</w:t>
      </w:r>
      <w:r>
        <w:rPr>
          <w:color w:val="000000"/>
        </w:rPr>
        <w:t>y st</w:t>
      </w:r>
      <w:r>
        <w:rPr>
          <w:color w:val="000000"/>
          <w:spacing w:val="-1"/>
        </w:rPr>
        <w:t>a</w:t>
      </w:r>
      <w:r>
        <w:rPr>
          <w:color w:val="000000"/>
        </w:rPr>
        <w:t>t</w:t>
      </w:r>
      <w:r>
        <w:rPr>
          <w:color w:val="000000"/>
          <w:spacing w:val="-1"/>
        </w:rPr>
        <w:t>e</w:t>
      </w:r>
      <w:r>
        <w:rPr>
          <w:color w:val="000000"/>
        </w:rPr>
        <w:t>m</w:t>
      </w:r>
      <w:r>
        <w:rPr>
          <w:color w:val="000000"/>
          <w:spacing w:val="-1"/>
        </w:rPr>
        <w:t>e</w:t>
      </w:r>
      <w:r>
        <w:rPr>
          <w:color w:val="000000"/>
        </w:rPr>
        <w:t>nts whi</w:t>
      </w:r>
      <w:r>
        <w:rPr>
          <w:color w:val="000000"/>
          <w:spacing w:val="-1"/>
        </w:rPr>
        <w:t>c</w:t>
      </w:r>
      <w:r>
        <w:rPr>
          <w:color w:val="000000"/>
        </w:rPr>
        <w:t xml:space="preserve">h </w:t>
      </w:r>
      <w:r>
        <w:rPr>
          <w:color w:val="000000"/>
          <w:spacing w:val="-1"/>
        </w:rPr>
        <w:t>a</w:t>
      </w:r>
      <w:r>
        <w:rPr>
          <w:color w:val="000000"/>
          <w:spacing w:val="2"/>
        </w:rPr>
        <w:t>r</w:t>
      </w:r>
      <w:r>
        <w:rPr>
          <w:color w:val="000000"/>
        </w:rPr>
        <w:t>e</w:t>
      </w:r>
      <w:r>
        <w:rPr>
          <w:color w:val="000000"/>
          <w:spacing w:val="-1"/>
        </w:rPr>
        <w:t xml:space="preserve"> a</w:t>
      </w:r>
      <w:r>
        <w:rPr>
          <w:color w:val="000000"/>
        </w:rPr>
        <w:t>v</w:t>
      </w:r>
      <w:r>
        <w:rPr>
          <w:color w:val="000000"/>
          <w:spacing w:val="1"/>
        </w:rPr>
        <w:t>a</w:t>
      </w:r>
      <w:r>
        <w:rPr>
          <w:color w:val="000000"/>
        </w:rPr>
        <w:t>il</w:t>
      </w:r>
      <w:r>
        <w:rPr>
          <w:color w:val="000000"/>
          <w:spacing w:val="-1"/>
        </w:rPr>
        <w:t>a</w:t>
      </w:r>
      <w:r>
        <w:rPr>
          <w:color w:val="000000"/>
        </w:rPr>
        <w:t>ble</w:t>
      </w:r>
      <w:r>
        <w:rPr>
          <w:color w:val="000000"/>
          <w:spacing w:val="-1"/>
        </w:rPr>
        <w:t xml:space="preserve"> </w:t>
      </w:r>
      <w:r>
        <w:rPr>
          <w:color w:val="000000"/>
        </w:rPr>
        <w:t>on the</w:t>
      </w:r>
      <w:r>
        <w:rPr>
          <w:color w:val="000000"/>
          <w:spacing w:val="-1"/>
        </w:rPr>
        <w:t xml:space="preserve"> </w:t>
      </w:r>
      <w:r>
        <w:rPr>
          <w:color w:val="000000"/>
        </w:rPr>
        <w:t>H</w:t>
      </w:r>
      <w:r>
        <w:rPr>
          <w:color w:val="000000"/>
          <w:spacing w:val="-1"/>
        </w:rPr>
        <w:t>a</w:t>
      </w:r>
      <w:r>
        <w:rPr>
          <w:color w:val="000000"/>
        </w:rPr>
        <w:t>bit</w:t>
      </w:r>
      <w:r>
        <w:rPr>
          <w:color w:val="000000"/>
          <w:spacing w:val="-1"/>
        </w:rPr>
        <w:t>a</w:t>
      </w:r>
      <w:r>
        <w:rPr>
          <w:color w:val="000000"/>
        </w:rPr>
        <w:t xml:space="preserve">t </w:t>
      </w:r>
      <w:r>
        <w:rPr>
          <w:color w:val="000000"/>
          <w:spacing w:val="-1"/>
        </w:rPr>
        <w:t>a</w:t>
      </w:r>
      <w:r>
        <w:rPr>
          <w:color w:val="000000"/>
        </w:rPr>
        <w:t>nd</w:t>
      </w:r>
      <w:r>
        <w:rPr>
          <w:color w:val="000000"/>
          <w:spacing w:val="2"/>
        </w:rPr>
        <w:t xml:space="preserve"> </w:t>
      </w:r>
      <w:r>
        <w:rPr>
          <w:color w:val="000000"/>
        </w:rPr>
        <w:t>E</w:t>
      </w:r>
      <w:r>
        <w:rPr>
          <w:color w:val="000000"/>
          <w:spacing w:val="-1"/>
        </w:rPr>
        <w:t>c</w:t>
      </w:r>
      <w:r>
        <w:rPr>
          <w:color w:val="000000"/>
        </w:rPr>
        <w:t>o</w:t>
      </w:r>
      <w:r>
        <w:rPr>
          <w:color w:val="000000"/>
          <w:spacing w:val="3"/>
        </w:rPr>
        <w:t>s</w:t>
      </w:r>
      <w:r>
        <w:rPr>
          <w:color w:val="000000"/>
          <w:spacing w:val="-5"/>
        </w:rPr>
        <w:t>y</w:t>
      </w:r>
      <w:r>
        <w:rPr>
          <w:color w:val="000000"/>
        </w:rPr>
        <w:t>st</w:t>
      </w:r>
      <w:r>
        <w:rPr>
          <w:color w:val="000000"/>
          <w:spacing w:val="-1"/>
        </w:rPr>
        <w:t>e</w:t>
      </w:r>
      <w:r>
        <w:rPr>
          <w:color w:val="000000"/>
        </w:rPr>
        <w:t xml:space="preserve">m </w:t>
      </w:r>
      <w:r>
        <w:rPr>
          <w:color w:val="000000"/>
          <w:spacing w:val="3"/>
        </w:rPr>
        <w:t>s</w:t>
      </w:r>
      <w:r>
        <w:rPr>
          <w:color w:val="000000"/>
          <w:spacing w:val="-1"/>
        </w:rPr>
        <w:t>ec</w:t>
      </w:r>
      <w:r>
        <w:rPr>
          <w:color w:val="000000"/>
        </w:rPr>
        <w:t>tion of</w:t>
      </w:r>
      <w:r>
        <w:rPr>
          <w:color w:val="000000"/>
          <w:spacing w:val="-1"/>
        </w:rPr>
        <w:t xml:space="preserve"> </w:t>
      </w:r>
      <w:r>
        <w:rPr>
          <w:color w:val="000000"/>
        </w:rPr>
        <w:t>the</w:t>
      </w:r>
      <w:r>
        <w:rPr>
          <w:color w:val="000000"/>
          <w:spacing w:val="1"/>
        </w:rPr>
        <w:t xml:space="preserve"> C</w:t>
      </w:r>
      <w:r>
        <w:rPr>
          <w:color w:val="000000"/>
        </w:rPr>
        <w:t>oun</w:t>
      </w:r>
      <w:r>
        <w:rPr>
          <w:color w:val="000000"/>
          <w:spacing w:val="-1"/>
        </w:rPr>
        <w:t>c</w:t>
      </w:r>
      <w:r>
        <w:rPr>
          <w:color w:val="000000"/>
        </w:rPr>
        <w:t>il w</w:t>
      </w:r>
      <w:r>
        <w:rPr>
          <w:color w:val="000000"/>
          <w:spacing w:val="-1"/>
        </w:rPr>
        <w:t>e</w:t>
      </w:r>
      <w:r>
        <w:rPr>
          <w:color w:val="000000"/>
        </w:rPr>
        <w:t>bsit</w:t>
      </w:r>
      <w:r>
        <w:rPr>
          <w:color w:val="000000"/>
          <w:spacing w:val="-1"/>
        </w:rPr>
        <w:t>e</w:t>
      </w:r>
      <w:r w:rsidRPr="0065594E">
        <w:t xml:space="preserve"> </w:t>
      </w:r>
      <w:r>
        <w:t>(</w:t>
      </w:r>
      <w:hyperlink r:id="rId118" w:history="1">
        <w:r w:rsidRPr="004849BE">
          <w:rPr>
            <w:rStyle w:val="Hyperlink"/>
            <w:spacing w:val="-1"/>
          </w:rPr>
          <w:t>http://www.safmc.net/ecosystem/Home/EcosystemHome/tabid/435/Default.aspx</w:t>
        </w:r>
      </w:hyperlink>
      <w:r>
        <w:rPr>
          <w:color w:val="000000"/>
          <w:spacing w:val="-1"/>
        </w:rPr>
        <w:t xml:space="preserve"> )</w:t>
      </w:r>
      <w:r>
        <w:rPr>
          <w:color w:val="000000"/>
        </w:rPr>
        <w:t>.</w:t>
      </w:r>
    </w:p>
    <w:p w14:paraId="249166C7" w14:textId="77777777" w:rsidR="00DC4922" w:rsidRDefault="00DC4922" w:rsidP="00DC4922">
      <w:pPr>
        <w:rPr>
          <w:color w:val="000000"/>
          <w:sz w:val="26"/>
        </w:rPr>
      </w:pPr>
    </w:p>
    <w:p w14:paraId="7920B110" w14:textId="77777777" w:rsidR="00DC4922" w:rsidRPr="00EB603B" w:rsidRDefault="00DC4922" w:rsidP="00DC4922">
      <w:pPr>
        <w:rPr>
          <w:b/>
          <w:sz w:val="28"/>
          <w:szCs w:val="28"/>
        </w:rPr>
      </w:pPr>
      <w:r w:rsidRPr="00EB603B">
        <w:rPr>
          <w:b/>
          <w:sz w:val="28"/>
          <w:szCs w:val="28"/>
        </w:rPr>
        <w:t>References:</w:t>
      </w:r>
    </w:p>
    <w:p w14:paraId="7635ABAB" w14:textId="77777777" w:rsidR="00DC4922" w:rsidRDefault="00DC4922" w:rsidP="00DC4922"/>
    <w:p w14:paraId="0407BEE1" w14:textId="77777777" w:rsidR="00DC4922" w:rsidRPr="004A53F9" w:rsidRDefault="00DC4922" w:rsidP="00DC4922">
      <w:r w:rsidRPr="004A53F9">
        <w:t xml:space="preserve">SAFMC (South Atlantic Fishery Management Council). </w:t>
      </w:r>
      <w:r>
        <w:t>1998a</w:t>
      </w:r>
      <w:r w:rsidRPr="004A53F9">
        <w:t xml:space="preserve">. Habitat Plan for the South </w:t>
      </w:r>
    </w:p>
    <w:p w14:paraId="383265AD" w14:textId="77777777" w:rsidR="00DC4922" w:rsidRPr="004A53F9" w:rsidRDefault="00DC4922" w:rsidP="00DC4922">
      <w:r w:rsidRPr="004A53F9">
        <w:t>Atlantic Region. South Atlantic Fishery Management Council, 1 Southpark Cir., Ste 306, Charleston, S.C. 29407-4699.</w:t>
      </w:r>
    </w:p>
    <w:p w14:paraId="00737093" w14:textId="77777777" w:rsidR="00DC4922" w:rsidRDefault="00DC4922" w:rsidP="00DC4922"/>
    <w:p w14:paraId="67B258E5" w14:textId="77777777" w:rsidR="00DC4922" w:rsidRPr="004A53F9" w:rsidRDefault="00DC4922" w:rsidP="00DC4922">
      <w:r w:rsidRPr="004A53F9">
        <w:t xml:space="preserve">SAFMC (South Atlantic Fishery Management Council). </w:t>
      </w:r>
      <w:r>
        <w:t>1998b</w:t>
      </w:r>
      <w:r w:rsidRPr="004A53F9">
        <w:t xml:space="preserve">. Comprehensive Amendment </w:t>
      </w:r>
    </w:p>
    <w:p w14:paraId="40092A73" w14:textId="77777777" w:rsidR="00DC4922" w:rsidRPr="004A53F9" w:rsidRDefault="00DC4922" w:rsidP="00DC4922">
      <w:r w:rsidRPr="004A53F9">
        <w:t>Addressing Essential Fish Habitat in Fishery Management Plans of the South Atl</w:t>
      </w:r>
      <w:r>
        <w:t>antic Region</w:t>
      </w:r>
      <w:r w:rsidRPr="004A53F9">
        <w:t xml:space="preserve">. South Atlantic Fishery Management Council, 1 Southpark Cir., Suite 306, Charleston, S.C. 29407-4699.  </w:t>
      </w:r>
    </w:p>
    <w:p w14:paraId="3AAE5A3D" w14:textId="77777777" w:rsidR="00DC4922" w:rsidRDefault="00DC4922" w:rsidP="00DC4922"/>
    <w:p w14:paraId="4DC8B58B" w14:textId="77777777" w:rsidR="00DC4922" w:rsidRPr="004A53F9" w:rsidRDefault="00DC4922" w:rsidP="00DC4922">
      <w:r w:rsidRPr="004A53F9">
        <w:t>SAFMC (South Atlantic Fishery Management Council). 2009</w:t>
      </w:r>
      <w:r>
        <w:t>a</w:t>
      </w:r>
      <w:r w:rsidRPr="004A53F9">
        <w:t xml:space="preserve">. Fishery Ecosystem Plan for the </w:t>
      </w:r>
    </w:p>
    <w:p w14:paraId="27E9781B" w14:textId="77777777" w:rsidR="00DC4922" w:rsidRPr="004A53F9" w:rsidRDefault="00DC4922" w:rsidP="00DC4922">
      <w:r w:rsidRPr="004A53F9">
        <w:t>South Atlantic Region. South Atlantic Fishery Management Council, 4055 Faber Place, Ste 201, North Charleston, S.C. 29405.</w:t>
      </w:r>
    </w:p>
    <w:p w14:paraId="42B158C8" w14:textId="77777777" w:rsidR="00DC4922" w:rsidRDefault="00DC4922" w:rsidP="00DC4922"/>
    <w:p w14:paraId="28A7DA9B" w14:textId="77777777" w:rsidR="00DC4922" w:rsidRPr="004A53F9" w:rsidRDefault="00DC4922" w:rsidP="00DC4922">
      <w:pPr>
        <w:rPr>
          <w:rFonts w:eastAsia="Calibri"/>
          <w:color w:val="000000"/>
        </w:rPr>
      </w:pPr>
      <w:r w:rsidRPr="004A53F9">
        <w:rPr>
          <w:rFonts w:eastAsia="Calibri"/>
          <w:color w:val="000000"/>
        </w:rPr>
        <w:t>SAFMC (South Atlantic Fi</w:t>
      </w:r>
      <w:r>
        <w:rPr>
          <w:rFonts w:eastAsia="Calibri"/>
          <w:color w:val="000000"/>
        </w:rPr>
        <w:t>shery Management Council). 2009b</w:t>
      </w:r>
      <w:r w:rsidRPr="004A53F9">
        <w:rPr>
          <w:rFonts w:eastAsia="Calibri"/>
          <w:color w:val="000000"/>
        </w:rPr>
        <w:t>. Comprehensive Ecosystem-</w:t>
      </w:r>
    </w:p>
    <w:p w14:paraId="4A7A4001" w14:textId="77777777" w:rsidR="00DC4922" w:rsidRPr="004A53F9" w:rsidRDefault="00DC4922" w:rsidP="00DC4922">
      <w:pPr>
        <w:rPr>
          <w:rFonts w:eastAsia="Calibri"/>
          <w:color w:val="000000"/>
        </w:rPr>
      </w:pPr>
      <w:r w:rsidRPr="004A53F9">
        <w:rPr>
          <w:rFonts w:eastAsia="Calibri"/>
          <w:color w:val="000000"/>
        </w:rPr>
        <w:lastRenderedPageBreak/>
        <w:t>Based Amendment 1 for the South Atlantic Region. South Atlantic Fishery Management Council, 4055 Faber Place Drive, Suite 201; North Charleston, SC 29405.</w:t>
      </w:r>
    </w:p>
    <w:p w14:paraId="4EF63C15" w14:textId="77777777" w:rsidR="00DC4922" w:rsidRDefault="00DC4922" w:rsidP="00DC4922"/>
    <w:p w14:paraId="576BC3AD" w14:textId="77777777" w:rsidR="00DC4922" w:rsidRPr="004A53F9" w:rsidRDefault="00DC4922" w:rsidP="00DC4922">
      <w:pPr>
        <w:rPr>
          <w:rFonts w:eastAsia="Calibri"/>
          <w:color w:val="000000"/>
        </w:rPr>
      </w:pPr>
      <w:r w:rsidRPr="004A53F9">
        <w:t>SAFMC (South Atlantic Fishe</w:t>
      </w:r>
      <w:r>
        <w:t>ry Management Council). 2011</w:t>
      </w:r>
      <w:r w:rsidRPr="004A53F9">
        <w:t xml:space="preserve">. </w:t>
      </w:r>
      <w:r w:rsidRPr="004A53F9">
        <w:rPr>
          <w:rFonts w:eastAsia="Calibri"/>
          <w:color w:val="000000"/>
        </w:rPr>
        <w:t>Comprehensive Ecosystem-</w:t>
      </w:r>
    </w:p>
    <w:p w14:paraId="5C3E99B7" w14:textId="77777777" w:rsidR="00DC4922" w:rsidRDefault="00DC4922" w:rsidP="00DC4922">
      <w:pPr>
        <w:rPr>
          <w:rFonts w:eastAsia="Calibri"/>
          <w:color w:val="000000"/>
        </w:rPr>
      </w:pPr>
      <w:r w:rsidRPr="004A53F9">
        <w:rPr>
          <w:rFonts w:eastAsia="Calibri"/>
          <w:color w:val="000000"/>
        </w:rPr>
        <w:t>Based Amendment 2 for the South Atlantic Region. South Atlantic Fishery Management Council, 4055 Faber Place Drive, Suite 201; North Charleston, SC 29405.</w:t>
      </w:r>
    </w:p>
    <w:p w14:paraId="689BE176" w14:textId="77777777" w:rsidR="00DC4922" w:rsidRDefault="00DC4922" w:rsidP="00DC4922">
      <w:pPr>
        <w:rPr>
          <w:rFonts w:eastAsia="Calibri"/>
          <w:color w:val="000000"/>
        </w:rPr>
      </w:pPr>
    </w:p>
    <w:p w14:paraId="3F255FDB" w14:textId="77777777" w:rsidR="00DC4922" w:rsidRPr="004A53F9" w:rsidRDefault="00DC4922" w:rsidP="00DC4922">
      <w:pPr>
        <w:rPr>
          <w:rFonts w:eastAsia="Calibri"/>
          <w:color w:val="000000"/>
        </w:rPr>
      </w:pPr>
      <w:r w:rsidRPr="00441EEB">
        <w:rPr>
          <w:rFonts w:eastAsia="Calibri"/>
          <w:color w:val="000000"/>
        </w:rPr>
        <w:t>Wenner, E. L., G. F. Ulrich, and J. B. Wise. 1987. Exploration for golden crab, Geryon fenneri, in the south Atlantic Bight: distribution, population structure, and gear assessment. Fishery Bulletin 85:547-560.</w:t>
      </w:r>
    </w:p>
    <w:p w14:paraId="17DB354B" w14:textId="77777777" w:rsidR="00DC4922" w:rsidRDefault="00DC4922" w:rsidP="00DC4922">
      <w:pPr>
        <w:widowControl w:val="0"/>
        <w:autoSpaceDE w:val="0"/>
        <w:autoSpaceDN w:val="0"/>
        <w:adjustRightInd w:val="0"/>
        <w:spacing w:before="18" w:line="260" w:lineRule="exact"/>
        <w:rPr>
          <w:color w:val="000000"/>
          <w:sz w:val="26"/>
        </w:rPr>
      </w:pPr>
    </w:p>
    <w:p w14:paraId="4F9844D4" w14:textId="77777777" w:rsidR="00DC4922" w:rsidRDefault="00DC4922" w:rsidP="00DC4922">
      <w:pPr>
        <w:widowControl w:val="0"/>
        <w:autoSpaceDE w:val="0"/>
        <w:autoSpaceDN w:val="0"/>
        <w:adjustRightInd w:val="0"/>
        <w:spacing w:before="18" w:line="260" w:lineRule="exact"/>
        <w:rPr>
          <w:color w:val="000000"/>
          <w:sz w:val="26"/>
        </w:rPr>
      </w:pPr>
    </w:p>
    <w:p w14:paraId="059825EB" w14:textId="77777777" w:rsidR="00DC4922" w:rsidRPr="00DC4922" w:rsidRDefault="00DC4922" w:rsidP="00DC4922"/>
    <w:p w14:paraId="067866E9" w14:textId="77777777" w:rsidR="00326CA9" w:rsidRDefault="00326CA9" w:rsidP="00D71AB1">
      <w:pPr>
        <w:rPr>
          <w:rFonts w:eastAsia="Calibri"/>
          <w:lang w:val="en-CA"/>
        </w:rPr>
      </w:pPr>
    </w:p>
    <w:p w14:paraId="5410B33D" w14:textId="77777777" w:rsidR="00326CA9" w:rsidRDefault="00326CA9" w:rsidP="00D71AB1">
      <w:pPr>
        <w:rPr>
          <w:rFonts w:eastAsia="Calibri"/>
          <w:lang w:val="en-CA"/>
        </w:rPr>
        <w:sectPr w:rsidR="00326CA9" w:rsidSect="0038545E">
          <w:footerReference w:type="default" r:id="rId119"/>
          <w:pgSz w:w="12240" w:h="15840" w:code="1"/>
          <w:pgMar w:top="1440" w:right="1440" w:bottom="1440" w:left="1440" w:header="720" w:footer="720" w:gutter="0"/>
          <w:pgNumType w:start="1" w:chapStyle="1"/>
          <w:cols w:space="720"/>
          <w:docGrid w:linePitch="360"/>
        </w:sectPr>
      </w:pPr>
    </w:p>
    <w:p w14:paraId="1FB906A6" w14:textId="208828E2" w:rsidR="00326CA9" w:rsidRPr="003061E9" w:rsidRDefault="00717820" w:rsidP="00326CA9">
      <w:pPr>
        <w:pStyle w:val="Heading1"/>
        <w:rPr>
          <w:rFonts w:ascii="Times New Roman" w:hAnsi="Times New Roman" w:cs="Times New Roman"/>
          <w:color w:val="548DD4"/>
          <w:sz w:val="48"/>
          <w:szCs w:val="48"/>
        </w:rPr>
      </w:pPr>
      <w:bookmarkStart w:id="426" w:name="_Toc339811838"/>
      <w:r>
        <w:rPr>
          <w:rFonts w:ascii="Times New Roman" w:hAnsi="Times New Roman" w:cs="Times New Roman"/>
          <w:color w:val="8DB3E2"/>
          <w:sz w:val="36"/>
          <w:szCs w:val="36"/>
        </w:rPr>
        <w:lastRenderedPageBreak/>
        <w:t>Appendix I</w:t>
      </w:r>
      <w:r w:rsidR="00326CA9" w:rsidRPr="00532ABB">
        <w:rPr>
          <w:rFonts w:ascii="Times New Roman" w:hAnsi="Times New Roman" w:cs="Times New Roman"/>
          <w:color w:val="8DB3E2"/>
          <w:sz w:val="36"/>
          <w:szCs w:val="36"/>
        </w:rPr>
        <w:t>.</w:t>
      </w:r>
      <w:r w:rsidR="00326CA9" w:rsidRPr="00532ABB">
        <w:rPr>
          <w:rFonts w:ascii="Times New Roman" w:hAnsi="Times New Roman" w:cs="Times New Roman"/>
          <w:color w:val="548DD4"/>
          <w:sz w:val="56"/>
          <w:szCs w:val="56"/>
        </w:rPr>
        <w:t xml:space="preserve">  </w:t>
      </w:r>
      <w:r w:rsidR="00326CA9" w:rsidRPr="003061E9">
        <w:rPr>
          <w:rFonts w:ascii="Times New Roman" w:hAnsi="Times New Roman" w:cs="Times New Roman"/>
          <w:color w:val="548DD4"/>
          <w:sz w:val="48"/>
          <w:szCs w:val="48"/>
        </w:rPr>
        <w:t>Fishery Impact Statement</w:t>
      </w:r>
      <w:bookmarkEnd w:id="426"/>
    </w:p>
    <w:p w14:paraId="65EE6EAB" w14:textId="77777777" w:rsidR="003061E9" w:rsidRDefault="003061E9" w:rsidP="003061E9"/>
    <w:p w14:paraId="70649235" w14:textId="77777777" w:rsidR="00D030EA" w:rsidRPr="000054B3" w:rsidRDefault="00D030EA" w:rsidP="00D030EA">
      <w:pPr>
        <w:ind w:firstLine="360"/>
        <w:rPr>
          <w:rFonts w:eastAsia="Calibri"/>
          <w:lang w:val="en-CA"/>
        </w:rPr>
      </w:pPr>
      <w:r w:rsidRPr="000054B3">
        <w:rPr>
          <w:rFonts w:eastAsia="Calibri"/>
        </w:rPr>
        <w:t>The Magnuson-Stevens Fishery Conservation and Management Act requires a FIS be prepared for all amendments to Fishery Management Plans (FMPs).  The FIS contains an assessment of the likely biological</w:t>
      </w:r>
      <w:r>
        <w:rPr>
          <w:rFonts w:eastAsia="Calibri"/>
        </w:rPr>
        <w:t xml:space="preserve">, social, and economic </w:t>
      </w:r>
      <w:r w:rsidRPr="000054B3">
        <w:rPr>
          <w:rFonts w:eastAsia="Calibri"/>
        </w:rPr>
        <w:t>effects of the conservation and management measures on: 1) fishery participants and their communities; 2) participants in the fisheries conducted in adjacent areas under the authority of another Council; and 3) the safety of human life at sea.</w:t>
      </w:r>
    </w:p>
    <w:p w14:paraId="5D49ED98" w14:textId="77777777" w:rsidR="00D030EA" w:rsidRPr="000054B3" w:rsidRDefault="00D030EA" w:rsidP="00D030EA">
      <w:pPr>
        <w:rPr>
          <w:rFonts w:eastAsia="Calibri"/>
          <w:lang w:val="en-CA"/>
        </w:rPr>
      </w:pPr>
    </w:p>
    <w:p w14:paraId="782CC13F" w14:textId="77777777" w:rsidR="00D030EA" w:rsidRPr="000054B3" w:rsidRDefault="00D030EA" w:rsidP="00D030EA">
      <w:pPr>
        <w:rPr>
          <w:rFonts w:eastAsia="Calibri"/>
          <w:lang w:val="en-CA"/>
        </w:rPr>
      </w:pPr>
      <w:r w:rsidRPr="000054B3">
        <w:rPr>
          <w:rFonts w:eastAsia="Calibri"/>
          <w:b/>
          <w:bCs/>
        </w:rPr>
        <w:t xml:space="preserve">Actions Contained in Amendment </w:t>
      </w:r>
      <w:r>
        <w:rPr>
          <w:rFonts w:eastAsia="Calibri"/>
          <w:b/>
          <w:bCs/>
        </w:rPr>
        <w:t>41</w:t>
      </w:r>
      <w:r w:rsidRPr="000054B3">
        <w:rPr>
          <w:rFonts w:eastAsia="Calibri"/>
          <w:b/>
          <w:bCs/>
        </w:rPr>
        <w:t xml:space="preserve"> to the Snapper Grouper FMP (Amendment </w:t>
      </w:r>
      <w:r>
        <w:rPr>
          <w:rFonts w:eastAsia="Calibri"/>
          <w:b/>
          <w:bCs/>
        </w:rPr>
        <w:t>41</w:t>
      </w:r>
      <w:r w:rsidRPr="000054B3">
        <w:rPr>
          <w:rFonts w:eastAsia="Calibri"/>
          <w:b/>
          <w:bCs/>
        </w:rPr>
        <w:t>)</w:t>
      </w:r>
    </w:p>
    <w:p w14:paraId="67FE96B4" w14:textId="77777777" w:rsidR="00D030EA" w:rsidRPr="000054B3" w:rsidRDefault="00D030EA" w:rsidP="00D030EA">
      <w:pPr>
        <w:rPr>
          <w:rFonts w:eastAsia="Calibri"/>
          <w:lang w:val="en-CA"/>
        </w:rPr>
      </w:pPr>
    </w:p>
    <w:p w14:paraId="2CE86B4E" w14:textId="77777777" w:rsidR="00D030EA" w:rsidRDefault="00D030EA" w:rsidP="00D030EA">
      <w:pPr>
        <w:ind w:firstLine="360"/>
        <w:rPr>
          <w:color w:val="000000"/>
        </w:rPr>
      </w:pPr>
      <w:r w:rsidRPr="00CC4CCC">
        <w:t xml:space="preserve">The Comprehensive </w:t>
      </w:r>
      <w:r>
        <w:t>Annual Catch Limit</w:t>
      </w:r>
      <w:r w:rsidRPr="00CC4CCC">
        <w:t xml:space="preserve"> Amendment (SAFMC 2011) established a j</w:t>
      </w:r>
      <w:r>
        <w:t xml:space="preserve">urisdictional allocation between the South Atlantic Fishery Management Council (South Atlantic Council) and Gulf of Mexico Fishery Management (Gulf Council) Councils for the mutton snapper acceptable biological catch (ABC).  The jurisdictional allocation was </w:t>
      </w:r>
      <w:r w:rsidRPr="00C520E2">
        <w:t>based on the Florida Keys (Monroe County) jurisdictional boundary between the G</w:t>
      </w:r>
      <w:r>
        <w:t xml:space="preserve">ulf and South Atlantic Councils.  The </w:t>
      </w:r>
      <w:r w:rsidRPr="00C520E2">
        <w:t xml:space="preserve">South Atlantic </w:t>
      </w:r>
      <w:r>
        <w:t>Council was allocated 82% of the ABC</w:t>
      </w:r>
      <w:r w:rsidRPr="00C520E2">
        <w:t xml:space="preserve"> and </w:t>
      </w:r>
      <w:r>
        <w:t>the Gulf Council received 18% of the ABC (established</w:t>
      </w:r>
      <w:r w:rsidRPr="00C520E2">
        <w:t xml:space="preserve"> using 50% of average landings from 1990-2008 + 50% of average landings from 2006-2008)</w:t>
      </w:r>
      <w:r>
        <w:t xml:space="preserve">.  </w:t>
      </w:r>
      <w:r>
        <w:rPr>
          <w:color w:val="000000"/>
        </w:rPr>
        <w:t xml:space="preserve">The SSC reviewed the results at their April 28-30, 2015 meeting and made fishing level recommendations for mutton snapper in the South Atlantic and Gulf of Mexico.  </w:t>
      </w:r>
    </w:p>
    <w:p w14:paraId="6B696919" w14:textId="77777777" w:rsidR="00D030EA" w:rsidRDefault="00D030EA" w:rsidP="00D030EA">
      <w:pPr>
        <w:ind w:firstLine="360"/>
        <w:rPr>
          <w:color w:val="000000"/>
        </w:rPr>
      </w:pPr>
    </w:p>
    <w:p w14:paraId="45F1D526" w14:textId="77777777" w:rsidR="00D030EA" w:rsidRPr="003011B3" w:rsidRDefault="00D030EA" w:rsidP="00D030EA">
      <w:pPr>
        <w:ind w:firstLine="360"/>
      </w:pPr>
      <w:r>
        <w:t>An update to the Southeast Data, Assessment, and Review (</w:t>
      </w:r>
      <w:r w:rsidRPr="003D48A6">
        <w:t>SEDAR</w:t>
      </w:r>
      <w:r>
        <w:t>)</w:t>
      </w:r>
      <w:r>
        <w:rPr>
          <w:color w:val="000000"/>
        </w:rPr>
        <w:t xml:space="preserve"> for mutton snapper in the southeastern U.S. was conducted in 2015 with data through 2013 (SEDAR 15A Update 2015).  </w:t>
      </w:r>
      <w:r>
        <w:t xml:space="preserve">The SEDAR 15A Update (2015) resulted in lower biological reference point values and fishing level projections than those from the original assessment (SEDAR 15A 2008).  </w:t>
      </w:r>
      <w:r w:rsidRPr="00432B95">
        <w:t xml:space="preserve">The </w:t>
      </w:r>
      <w:r>
        <w:t xml:space="preserve">methodologies used in the </w:t>
      </w:r>
      <w:r w:rsidRPr="00432B95">
        <w:t>two assessments are very different</w:t>
      </w:r>
      <w:r>
        <w:t>,</w:t>
      </w:r>
      <w:r w:rsidRPr="00432B95">
        <w:t xml:space="preserve"> making direc</w:t>
      </w:r>
      <w:r>
        <w:t>t comparisons difficult</w:t>
      </w:r>
      <w:r w:rsidRPr="00432B95">
        <w:t xml:space="preserve">.  </w:t>
      </w:r>
      <w:r>
        <w:t>A few items were noted that could have contributed to the differences: the</w:t>
      </w:r>
      <w:r w:rsidRPr="00432B95">
        <w:t xml:space="preserve"> M</w:t>
      </w:r>
      <w:r>
        <w:t xml:space="preserve">arine </w:t>
      </w:r>
      <w:r w:rsidRPr="00432B95">
        <w:t>R</w:t>
      </w:r>
      <w:r>
        <w:t xml:space="preserve">ecreational </w:t>
      </w:r>
      <w:r w:rsidRPr="00432B95">
        <w:t>I</w:t>
      </w:r>
      <w:r>
        <w:t xml:space="preserve">nformation </w:t>
      </w:r>
      <w:r w:rsidRPr="00432B95">
        <w:t>P</w:t>
      </w:r>
      <w:r>
        <w:t xml:space="preserve">rogram </w:t>
      </w:r>
      <w:r w:rsidRPr="00432B95">
        <w:t xml:space="preserve">calibrated landings used in the update are very different (especially in the early years of the time series) from the landings stream in the original assessment. </w:t>
      </w:r>
      <w:r>
        <w:t xml:space="preserve"> </w:t>
      </w:r>
      <w:r w:rsidRPr="00432B95">
        <w:t>Also</w:t>
      </w:r>
      <w:r>
        <w:t>,</w:t>
      </w:r>
      <w:r w:rsidRPr="00432B95">
        <w:t xml:space="preserve"> the update included several more years of data (7 years) than what a t</w:t>
      </w:r>
      <w:r>
        <w:t xml:space="preserve">ypical update usually includes.  </w:t>
      </w:r>
      <w:r w:rsidRPr="00432B95">
        <w:t>In addition, the original assessment was done with few samples for growth and reproductive parameters.  In short, there are probably numerous factors contributing to the difference i</w:t>
      </w:r>
      <w:r>
        <w:t>n the reference points and the projected levels of catch.  Due to the</w:t>
      </w:r>
      <w:r w:rsidRPr="00383521">
        <w:t xml:space="preserve"> life history</w:t>
      </w:r>
      <w:r>
        <w:t xml:space="preserve"> of mutton snapper</w:t>
      </w:r>
      <w:r w:rsidRPr="00383521">
        <w:t>, there can be hyper</w:t>
      </w:r>
      <w:r>
        <w:t>-</w:t>
      </w:r>
      <w:r w:rsidRPr="00383521">
        <w:t>stabili</w:t>
      </w:r>
      <w:r>
        <w:t xml:space="preserve">ty in the indices of abundance; that is, </w:t>
      </w:r>
      <w:r w:rsidRPr="00383521">
        <w:t xml:space="preserve">because the bulk of the landings </w:t>
      </w:r>
      <w:r>
        <w:t>occur</w:t>
      </w:r>
      <w:r w:rsidRPr="00383521">
        <w:t xml:space="preserve"> in May and June when mutton </w:t>
      </w:r>
      <w:r>
        <w:t xml:space="preserve">snapper </w:t>
      </w:r>
      <w:r w:rsidRPr="00383521">
        <w:t xml:space="preserve">are </w:t>
      </w:r>
      <w:r>
        <w:t>aggregated to spawn</w:t>
      </w:r>
      <w:r w:rsidRPr="00383521">
        <w:t xml:space="preserve">, the </w:t>
      </w:r>
      <w:r>
        <w:t xml:space="preserve">catch per unit effort </w:t>
      </w:r>
      <w:r w:rsidRPr="00383521">
        <w:t>fluctuates little</w:t>
      </w:r>
      <w:r>
        <w:t>.</w:t>
      </w:r>
      <w:r w:rsidRPr="00383521">
        <w:t xml:space="preserve"> </w:t>
      </w:r>
      <w:r>
        <w:t xml:space="preserve"> T</w:t>
      </w:r>
      <w:r w:rsidRPr="00383521">
        <w:t xml:space="preserve">his may lead to the </w:t>
      </w:r>
      <w:r>
        <w:t xml:space="preserve">false </w:t>
      </w:r>
      <w:r w:rsidRPr="00383521">
        <w:t>assumption that catches are sustainable over the long term.  Also</w:t>
      </w:r>
      <w:r>
        <w:t>,</w:t>
      </w:r>
      <w:r w:rsidRPr="00383521">
        <w:t xml:space="preserve"> this type of harvest affects recruitment</w:t>
      </w:r>
      <w:r>
        <w:t xml:space="preserve"> and proactive management measures may be needed </w:t>
      </w:r>
      <w:r w:rsidRPr="00383521">
        <w:t xml:space="preserve">to prevent </w:t>
      </w:r>
      <w:r>
        <w:t>overfishing</w:t>
      </w:r>
      <w:r w:rsidRPr="00383521">
        <w:t>.</w:t>
      </w:r>
      <w:r>
        <w:t xml:space="preserve">  </w:t>
      </w:r>
      <w:r w:rsidRPr="000054B3">
        <w:rPr>
          <w:rFonts w:eastAsia="Calibri"/>
        </w:rPr>
        <w:fldChar w:fldCharType="begin"/>
      </w:r>
      <w:r w:rsidRPr="000054B3">
        <w:rPr>
          <w:rFonts w:eastAsia="Calibri"/>
        </w:rPr>
        <w:instrText xml:space="preserve"> XE "hogfish" </w:instrText>
      </w:r>
      <w:r w:rsidRPr="000054B3">
        <w:rPr>
          <w:rFonts w:eastAsia="Calibri"/>
        </w:rPr>
        <w:fldChar w:fldCharType="end"/>
      </w:r>
      <w:r>
        <w:rPr>
          <w:rFonts w:eastAsia="Calibri"/>
        </w:rPr>
        <w:t>However, for</w:t>
      </w:r>
      <w:r w:rsidRPr="000054B3">
        <w:rPr>
          <w:rFonts w:eastAsia="Calibri"/>
        </w:rPr>
        <w:t xml:space="preserve"> the </w:t>
      </w:r>
      <w:r>
        <w:rPr>
          <w:rFonts w:eastAsia="Calibri"/>
        </w:rPr>
        <w:t>South Atlantic stock</w:t>
      </w:r>
      <w:r w:rsidRPr="000054B3">
        <w:rPr>
          <w:rFonts w:eastAsia="Calibri"/>
        </w:rPr>
        <w:t xml:space="preserve">, the stock assessment results showed the stock is </w:t>
      </w:r>
      <w:r>
        <w:rPr>
          <w:rFonts w:eastAsia="Calibri"/>
        </w:rPr>
        <w:t xml:space="preserve">not </w:t>
      </w:r>
      <w:r w:rsidRPr="000054B3">
        <w:rPr>
          <w:rFonts w:eastAsia="Calibri"/>
          <w:i/>
        </w:rPr>
        <w:t>undergoing overfishing</w:t>
      </w:r>
      <w:r w:rsidRPr="000054B3">
        <w:rPr>
          <w:rFonts w:eastAsia="Calibri"/>
          <w:i/>
        </w:rPr>
        <w:fldChar w:fldCharType="begin"/>
      </w:r>
      <w:r w:rsidRPr="000054B3">
        <w:rPr>
          <w:rFonts w:eastAsia="Calibri"/>
        </w:rPr>
        <w:instrText xml:space="preserve"> XE "</w:instrText>
      </w:r>
      <w:r w:rsidRPr="000054B3">
        <w:rPr>
          <w:rFonts w:eastAsia="Calibri"/>
          <w:i/>
        </w:rPr>
        <w:instrText>overfishing</w:instrText>
      </w:r>
      <w:r w:rsidRPr="000054B3">
        <w:rPr>
          <w:rFonts w:eastAsia="Calibri"/>
        </w:rPr>
        <w:instrText xml:space="preserve">" </w:instrText>
      </w:r>
      <w:r w:rsidRPr="000054B3">
        <w:rPr>
          <w:rFonts w:eastAsia="Calibri"/>
          <w:i/>
        </w:rPr>
        <w:fldChar w:fldCharType="end"/>
      </w:r>
      <w:r w:rsidRPr="000054B3">
        <w:rPr>
          <w:rFonts w:eastAsia="Calibri"/>
          <w:i/>
        </w:rPr>
        <w:t xml:space="preserve"> and is </w:t>
      </w:r>
      <w:r>
        <w:rPr>
          <w:rFonts w:eastAsia="Calibri"/>
          <w:i/>
        </w:rPr>
        <w:t xml:space="preserve">not </w:t>
      </w:r>
      <w:r w:rsidRPr="000054B3">
        <w:rPr>
          <w:rFonts w:eastAsia="Calibri"/>
          <w:i/>
        </w:rPr>
        <w:t>overfished</w:t>
      </w:r>
      <w:r w:rsidRPr="000054B3">
        <w:rPr>
          <w:rFonts w:eastAsia="Calibri"/>
          <w:i/>
        </w:rPr>
        <w:fldChar w:fldCharType="begin"/>
      </w:r>
      <w:r w:rsidRPr="000054B3">
        <w:rPr>
          <w:rFonts w:eastAsia="Calibri"/>
        </w:rPr>
        <w:instrText xml:space="preserve"> XE "</w:instrText>
      </w:r>
      <w:r w:rsidRPr="000054B3">
        <w:rPr>
          <w:rFonts w:eastAsia="Calibri"/>
          <w:i/>
        </w:rPr>
        <w:instrText>overfished</w:instrText>
      </w:r>
      <w:r w:rsidRPr="000054B3">
        <w:rPr>
          <w:rFonts w:eastAsia="Calibri"/>
        </w:rPr>
        <w:instrText xml:space="preserve">" </w:instrText>
      </w:r>
      <w:r w:rsidRPr="000054B3">
        <w:rPr>
          <w:rFonts w:eastAsia="Calibri"/>
          <w:i/>
        </w:rPr>
        <w:fldChar w:fldCharType="end"/>
      </w:r>
      <w:r>
        <w:rPr>
          <w:rFonts w:eastAsia="Calibri"/>
          <w:i/>
        </w:rPr>
        <w:t xml:space="preserve">.  </w:t>
      </w:r>
    </w:p>
    <w:p w14:paraId="698AF063" w14:textId="77777777" w:rsidR="00D030EA" w:rsidRPr="000054B3" w:rsidRDefault="00D030EA" w:rsidP="00D030EA">
      <w:pPr>
        <w:ind w:firstLine="360"/>
        <w:rPr>
          <w:rFonts w:eastAsia="Calibri"/>
        </w:rPr>
      </w:pPr>
    </w:p>
    <w:p w14:paraId="12350126" w14:textId="77777777" w:rsidR="00D030EA" w:rsidRDefault="00D030EA" w:rsidP="00D030EA">
      <w:pPr>
        <w:numPr>
          <w:ilvl w:val="12"/>
          <w:numId w:val="0"/>
        </w:numPr>
        <w:ind w:firstLine="360"/>
        <w:contextualSpacing/>
        <w:rPr>
          <w:rFonts w:eastAsiaTheme="minorHAnsi"/>
          <w:color w:val="000000"/>
        </w:rPr>
      </w:pPr>
      <w:r w:rsidRPr="000054B3">
        <w:rPr>
          <w:rFonts w:eastAsia="Calibri"/>
        </w:rPr>
        <w:t xml:space="preserve">Amendment </w:t>
      </w:r>
      <w:r>
        <w:rPr>
          <w:rFonts w:eastAsia="Calibri"/>
        </w:rPr>
        <w:t>41</w:t>
      </w:r>
      <w:r w:rsidRPr="000054B3">
        <w:rPr>
          <w:rFonts w:eastAsia="Calibri"/>
        </w:rPr>
        <w:t xml:space="preserve"> includes actions that evaluate: </w:t>
      </w:r>
      <w:r>
        <w:rPr>
          <w:rFonts w:eastAsia="Calibri"/>
        </w:rPr>
        <w:t xml:space="preserve">modifying management benchmarks and allowable fishing levels for mutton snapper; designating the </w:t>
      </w:r>
      <w:r>
        <w:rPr>
          <w:rFonts w:eastAsiaTheme="minorHAnsi"/>
          <w:color w:val="000000"/>
        </w:rPr>
        <w:t>“</w:t>
      </w:r>
      <w:r w:rsidRPr="00EB1832">
        <w:rPr>
          <w:rFonts w:eastAsiaTheme="minorHAnsi"/>
          <w:color w:val="000000"/>
        </w:rPr>
        <w:t xml:space="preserve">spawning </w:t>
      </w:r>
      <w:r>
        <w:rPr>
          <w:rFonts w:eastAsiaTheme="minorHAnsi"/>
          <w:color w:val="000000"/>
        </w:rPr>
        <w:t xml:space="preserve">months,” (during which </w:t>
      </w:r>
      <w:r>
        <w:rPr>
          <w:rFonts w:eastAsiaTheme="minorHAnsi"/>
          <w:color w:val="000000"/>
        </w:rPr>
        <w:lastRenderedPageBreak/>
        <w:t xml:space="preserve">stricter regulations may apply); and modifying the minimum size limit, </w:t>
      </w:r>
      <w:r w:rsidRPr="00EB1832">
        <w:rPr>
          <w:rFonts w:eastAsiaTheme="minorHAnsi"/>
          <w:color w:val="000000"/>
        </w:rPr>
        <w:t xml:space="preserve">recreational </w:t>
      </w:r>
      <w:r>
        <w:rPr>
          <w:rFonts w:eastAsiaTheme="minorHAnsi"/>
          <w:color w:val="000000"/>
        </w:rPr>
        <w:t xml:space="preserve">bag limit, </w:t>
      </w:r>
      <w:r w:rsidRPr="00EB1832">
        <w:rPr>
          <w:rFonts w:eastAsiaTheme="minorHAnsi"/>
          <w:color w:val="000000"/>
        </w:rPr>
        <w:t>and commercial trip limit</w:t>
      </w:r>
      <w:r>
        <w:rPr>
          <w:rFonts w:eastAsiaTheme="minorHAnsi"/>
          <w:color w:val="000000"/>
        </w:rPr>
        <w:t xml:space="preserve"> for mutton snapper.</w:t>
      </w:r>
    </w:p>
    <w:p w14:paraId="1679D9F6" w14:textId="77777777" w:rsidR="00D030EA" w:rsidRPr="000054B3" w:rsidRDefault="00D030EA" w:rsidP="00D030EA">
      <w:pPr>
        <w:ind w:firstLine="360"/>
        <w:rPr>
          <w:rFonts w:eastAsia="Calibri"/>
        </w:rPr>
      </w:pPr>
    </w:p>
    <w:p w14:paraId="5A7FF4DA" w14:textId="4CB995CC" w:rsidR="00D030EA" w:rsidRPr="003B41F5" w:rsidRDefault="00D030EA" w:rsidP="003B41F5">
      <w:pPr>
        <w:rPr>
          <w:b/>
          <w:bCs/>
        </w:rPr>
      </w:pPr>
      <w:r w:rsidRPr="000054B3">
        <w:rPr>
          <w:b/>
          <w:bCs/>
        </w:rPr>
        <w:t>Assessment of Biological Effects</w:t>
      </w:r>
    </w:p>
    <w:p w14:paraId="79E14714" w14:textId="77777777" w:rsidR="00D030EA" w:rsidRPr="003011B3" w:rsidRDefault="00D030EA" w:rsidP="00D030EA">
      <w:pPr>
        <w:ind w:firstLine="360"/>
      </w:pPr>
      <w:r w:rsidRPr="003011B3">
        <w:t>The actions modifying maximum sustainable yield (MSY) and minimum stock size threshold (MSST) for mutton snapper are expected to have positive biological impacts to the environment.  These definitions are based on the most recent stock assessment (SEDAR 15A Update 2015) and the best available scientific information reviewed by the South Atlantic Council</w:t>
      </w:r>
      <w:r>
        <w:t>’s</w:t>
      </w:r>
      <w:r w:rsidRPr="003011B3">
        <w:t xml:space="preserve"> Scientific and Statistical Committee (SSC), thereby recommending the best protection for the resource.</w:t>
      </w:r>
    </w:p>
    <w:p w14:paraId="5270BC15" w14:textId="77777777" w:rsidR="00D030EA" w:rsidRPr="003011B3" w:rsidRDefault="00D030EA" w:rsidP="00D030EA">
      <w:pPr>
        <w:ind w:firstLine="360"/>
      </w:pPr>
    </w:p>
    <w:p w14:paraId="49EC482C" w14:textId="77777777" w:rsidR="00D030EA" w:rsidRPr="003011B3" w:rsidRDefault="00D030EA" w:rsidP="00D030EA">
      <w:pPr>
        <w:pStyle w:val="Default"/>
        <w:ind w:firstLine="360"/>
      </w:pPr>
      <w:r w:rsidRPr="003011B3">
        <w:t xml:space="preserve">The actions to revise sector optimum yield (OY), annual catch limits (ACLs) and recreational annual catch targets (ACTs) would have positive effects to the mutton snapper stock and associated ecosystem.  The specification of targets and limits, in the form of ACLs and ACTs, are crucial components of any management program involving natural resources.  Without the designation of these components, regulations may not be sufficient to prevent overfishing.  The Council would manage towards a biological benchmark based on scientific advice from the SSC, in the form of an ABC level.  The specification of an ABC would protect fishery resources to allow sustainable exploitation because it follows the Council’s ABC control rule and accounts for scientific uncertainty.  Sustainable exploitation would allow the existence of an appropriate number of older, larger fishes in the population; a robust population provides additional protections against recruitment failure due to several years of poor environmental conditions for eggs and larvae.  Furthermore, the </w:t>
      </w:r>
      <w:r>
        <w:t xml:space="preserve">OY, </w:t>
      </w:r>
      <w:r w:rsidRPr="003011B3">
        <w:t>ACLs and recreational ACTs chosen by the Council include management uncertainty buffers that would provide additional protection to the mutton snapper stocks.</w:t>
      </w:r>
    </w:p>
    <w:p w14:paraId="089991F6" w14:textId="77777777" w:rsidR="00D030EA" w:rsidRPr="003011B3" w:rsidRDefault="00D030EA" w:rsidP="00D030EA">
      <w:pPr>
        <w:ind w:firstLine="360"/>
      </w:pPr>
    </w:p>
    <w:p w14:paraId="068132E8" w14:textId="77777777" w:rsidR="00D030EA" w:rsidRDefault="00D030EA" w:rsidP="00D030EA">
      <w:pPr>
        <w:ind w:firstLine="360"/>
      </w:pPr>
      <w:r w:rsidRPr="003011B3">
        <w:t>The actions to specify management measures (modifying the minimum size limit, recreational bag limit, and commercial trip limit) would be expected to have neutral biological effects because ACLs and accountability measures (AMs) would be in</w:t>
      </w:r>
      <w:r w:rsidRPr="002B1C10">
        <w:t xml:space="preserve"> place to cap harvest, and take action if ACLs are exceeded.  </w:t>
      </w:r>
    </w:p>
    <w:p w14:paraId="258AAC06" w14:textId="77777777" w:rsidR="00D030EA" w:rsidRDefault="00D030EA" w:rsidP="00D030EA">
      <w:pPr>
        <w:ind w:firstLine="360"/>
      </w:pPr>
    </w:p>
    <w:p w14:paraId="53F62F6E" w14:textId="77777777" w:rsidR="00D030EA" w:rsidRPr="002B1C10" w:rsidRDefault="00D030EA" w:rsidP="00D030EA">
      <w:pPr>
        <w:autoSpaceDE w:val="0"/>
        <w:autoSpaceDN w:val="0"/>
        <w:adjustRightInd w:val="0"/>
        <w:ind w:firstLine="360"/>
      </w:pPr>
      <w:r>
        <w:t xml:space="preserve">The action </w:t>
      </w:r>
      <w:r w:rsidRPr="00CB1F72">
        <w:t xml:space="preserve">to designate spawning months for regulatory purposes would be expected to </w:t>
      </w:r>
      <w:r w:rsidRPr="003011B3">
        <w:rPr>
          <w:rFonts w:eastAsia="TimesNewRoman"/>
        </w:rPr>
        <w:t>be neutral because fishing would occur outside of the spawning season, and ACLs and AMs would ensure overfishing does not occur.</w:t>
      </w:r>
    </w:p>
    <w:p w14:paraId="4F28EEF8" w14:textId="77777777" w:rsidR="00D030EA" w:rsidRDefault="00D030EA" w:rsidP="0071057A">
      <w:pPr>
        <w:rPr>
          <w:rFonts w:eastAsia="Calibri"/>
          <w:b/>
          <w:bCs/>
          <w:highlight w:val="yellow"/>
        </w:rPr>
      </w:pPr>
    </w:p>
    <w:p w14:paraId="18DEC78E" w14:textId="1BD04211" w:rsidR="007D750F" w:rsidRDefault="00D030EA" w:rsidP="0071057A">
      <w:pPr>
        <w:rPr>
          <w:rFonts w:eastAsia="Calibri"/>
          <w:b/>
          <w:bCs/>
        </w:rPr>
      </w:pPr>
      <w:r>
        <w:rPr>
          <w:rFonts w:eastAsia="Calibri"/>
          <w:b/>
          <w:bCs/>
        </w:rPr>
        <w:t xml:space="preserve">Assessment of Economic Effects </w:t>
      </w:r>
    </w:p>
    <w:p w14:paraId="6013FBC9" w14:textId="518EFC7F" w:rsidR="00D030EA" w:rsidRPr="003B41F5" w:rsidRDefault="003B41F5" w:rsidP="0071057A">
      <w:pPr>
        <w:rPr>
          <w:rFonts w:eastAsia="Calibri"/>
          <w:bCs/>
        </w:rPr>
      </w:pPr>
      <w:r w:rsidRPr="003B41F5">
        <w:rPr>
          <w:rFonts w:eastAsia="Calibri"/>
          <w:bCs/>
          <w:highlight w:val="yellow"/>
        </w:rPr>
        <w:t>To be completed</w:t>
      </w:r>
    </w:p>
    <w:p w14:paraId="549DDAC9" w14:textId="77777777" w:rsidR="00D030EA" w:rsidRDefault="00D030EA" w:rsidP="0071057A">
      <w:pPr>
        <w:rPr>
          <w:rFonts w:eastAsia="Calibri"/>
          <w:b/>
          <w:bCs/>
        </w:rPr>
      </w:pPr>
    </w:p>
    <w:p w14:paraId="359A61A3" w14:textId="77777777" w:rsidR="007D750F" w:rsidRDefault="007D750F" w:rsidP="0071057A">
      <w:pPr>
        <w:rPr>
          <w:rFonts w:eastAsia="Calibri"/>
          <w:b/>
          <w:bCs/>
        </w:rPr>
      </w:pPr>
    </w:p>
    <w:p w14:paraId="4FF0842B" w14:textId="75796236" w:rsidR="0071057A" w:rsidRDefault="0071057A" w:rsidP="0071057A">
      <w:r w:rsidRPr="000054B3">
        <w:rPr>
          <w:rFonts w:eastAsia="Calibri"/>
          <w:b/>
          <w:bCs/>
        </w:rPr>
        <w:t xml:space="preserve">Assessment of </w:t>
      </w:r>
      <w:r>
        <w:rPr>
          <w:rFonts w:eastAsia="Calibri"/>
          <w:b/>
          <w:bCs/>
        </w:rPr>
        <w:t>Social</w:t>
      </w:r>
      <w:r w:rsidRPr="000054B3">
        <w:rPr>
          <w:rFonts w:eastAsia="Calibri"/>
          <w:b/>
          <w:bCs/>
        </w:rPr>
        <w:t xml:space="preserve"> Effects</w:t>
      </w:r>
    </w:p>
    <w:p w14:paraId="590B3977" w14:textId="77777777" w:rsidR="0071057A" w:rsidRPr="00161D4C" w:rsidRDefault="0071057A" w:rsidP="0071057A">
      <w:pPr>
        <w:ind w:firstLine="360"/>
      </w:pPr>
      <w:r w:rsidRPr="002201ED">
        <w:t xml:space="preserve">The actions in the amendment stem from a recent stock assessment </w:t>
      </w:r>
      <w:r>
        <w:t xml:space="preserve">update for South mutton snapper in addition to concern about harvest during spawning. The actions will update mutton management to align with the most recent information from the assessment update and make changes to management measures to help reduce the potential negative effects on the stock from harvest. </w:t>
      </w:r>
      <w:r w:rsidRPr="008F5B02">
        <w:t>The effects of</w:t>
      </w:r>
      <w:r>
        <w:t xml:space="preserve"> the proposed actions will likely affect communities and fishermen in the Florida Keys by restricting some access to mutton snapper or limiting the number of fish that can be landed. The proposed changes may have both positive and negative effects on fishermen and </w:t>
      </w:r>
      <w:r>
        <w:lastRenderedPageBreak/>
        <w:t xml:space="preserve">coastal communities. </w:t>
      </w:r>
      <w:r>
        <w:rPr>
          <w:color w:val="000000"/>
        </w:rPr>
        <w:t xml:space="preserve">In general, the benefits would be long-term, and would be associated with the biological benefits that result from sustainable harvest of the mutton snapper stock.  </w:t>
      </w:r>
    </w:p>
    <w:p w14:paraId="1EA86DE3" w14:textId="77777777" w:rsidR="0071057A" w:rsidRDefault="0071057A" w:rsidP="0071057A"/>
    <w:p w14:paraId="3E8C6745" w14:textId="77777777" w:rsidR="0071057A" w:rsidRDefault="0071057A" w:rsidP="0071057A">
      <w:pPr>
        <w:ind w:firstLine="360"/>
      </w:pPr>
      <w:r>
        <w:t xml:space="preserve">The suite of actions that will update the biological parameters and annual catch limit based on the recent stock assessment is expected to be beneficial to fishermen and communities by aligning management with the best available information. The proposed annual catch limits are not expected to constrain the commercial or recreational fishery because landings in recent years have been below the proposed annual catch limits. However, if there is growth in the fishery due to closures for other stocks or other factors that increase effort for mutton snapper, the proposed annual catch limits and associated accountability measures may have negative effects on fishermen in the future. </w:t>
      </w:r>
    </w:p>
    <w:p w14:paraId="2B6298AF" w14:textId="77777777" w:rsidR="0071057A" w:rsidRDefault="0071057A" w:rsidP="0071057A">
      <w:pPr>
        <w:ind w:firstLine="360"/>
      </w:pPr>
    </w:p>
    <w:p w14:paraId="00884A85" w14:textId="77777777" w:rsidR="0071057A" w:rsidRDefault="0071057A" w:rsidP="0071057A">
      <w:pPr>
        <w:ind w:firstLine="360"/>
        <w:rPr>
          <w:rFonts w:eastAsia="Calibri"/>
        </w:rPr>
      </w:pPr>
      <w:r>
        <w:rPr>
          <w:rFonts w:eastAsia="Calibri"/>
        </w:rPr>
        <w:t xml:space="preserve">For recreational fishermen who target mutton snapper, the proposed changes to the minimum size limit and harvest limits may have some negative effects on trip satisfaction by restricting the number of mutton snapper that can be landed. However, the proposed measures may also help to keep the recreational harvest at sustainable levels and maintain a healthy stock. </w:t>
      </w:r>
    </w:p>
    <w:p w14:paraId="079F74BC" w14:textId="77777777" w:rsidR="0071057A" w:rsidRDefault="0071057A" w:rsidP="0071057A">
      <w:pPr>
        <w:ind w:firstLine="360"/>
        <w:rPr>
          <w:rFonts w:eastAsia="Calibri"/>
        </w:rPr>
      </w:pPr>
    </w:p>
    <w:p w14:paraId="0B4E0E6B" w14:textId="77777777" w:rsidR="0071057A" w:rsidRDefault="0071057A" w:rsidP="0071057A">
      <w:pPr>
        <w:ind w:firstLine="360"/>
        <w:rPr>
          <w:rFonts w:eastAsia="Calibri"/>
        </w:rPr>
      </w:pPr>
      <w:r>
        <w:rPr>
          <w:rFonts w:eastAsia="Calibri"/>
        </w:rPr>
        <w:t xml:space="preserve">The effects of the proposed management changes for commercial harvest is also expected to have some negative effects on commercial fishermen who target mutton snapper, but that these effects will be minimal. It is </w:t>
      </w:r>
      <w:r w:rsidRPr="00695CD2">
        <w:rPr>
          <w:rFonts w:eastAsia="Calibri"/>
        </w:rPr>
        <w:t xml:space="preserve">likely that fishermen </w:t>
      </w:r>
      <w:r>
        <w:rPr>
          <w:rFonts w:eastAsia="Calibri"/>
        </w:rPr>
        <w:t>who target mutton snapper</w:t>
      </w:r>
      <w:r w:rsidRPr="00695CD2">
        <w:rPr>
          <w:rFonts w:eastAsia="Calibri"/>
        </w:rPr>
        <w:t xml:space="preserve"> also target other species</w:t>
      </w:r>
      <w:r>
        <w:rPr>
          <w:rFonts w:eastAsia="Calibri"/>
        </w:rPr>
        <w:t xml:space="preserve"> at higher levels and under current conditions, commercial trips would not be affected by the proposed measures. It is expected that commercial fishermen</w:t>
      </w:r>
      <w:r w:rsidRPr="00695CD2">
        <w:rPr>
          <w:rFonts w:eastAsia="Calibri"/>
        </w:rPr>
        <w:t xml:space="preserve"> </w:t>
      </w:r>
      <w:r>
        <w:rPr>
          <w:rFonts w:eastAsia="Calibri"/>
        </w:rPr>
        <w:t>will</w:t>
      </w:r>
      <w:r w:rsidRPr="00695CD2">
        <w:rPr>
          <w:rFonts w:eastAsia="Calibri"/>
        </w:rPr>
        <w:t xml:space="preserve"> be able to adjust their businesses</w:t>
      </w:r>
      <w:r>
        <w:rPr>
          <w:rFonts w:eastAsia="Calibri"/>
        </w:rPr>
        <w:t xml:space="preserve"> to adapt to regulatory changes. </w:t>
      </w:r>
    </w:p>
    <w:p w14:paraId="4C8BCDBD" w14:textId="77777777" w:rsidR="0071057A" w:rsidRDefault="0071057A" w:rsidP="0071057A">
      <w:pPr>
        <w:rPr>
          <w:rFonts w:eastAsia="Calibri"/>
        </w:rPr>
      </w:pPr>
    </w:p>
    <w:p w14:paraId="2A60A9F6" w14:textId="77777777" w:rsidR="0071057A" w:rsidRDefault="0071057A" w:rsidP="0071057A">
      <w:pPr>
        <w:ind w:firstLine="360"/>
      </w:pPr>
      <w:r>
        <w:t xml:space="preserve">Overall, the actions in this amendment may have some negative effects on recreational and commercial fishing opportunities, but long-term social benefits will be expected as management aligns with the best available science from the recent stock assessment, and proactive measures are implemented to constrain harvest before there is a problem with the mutton snapper stock. </w:t>
      </w:r>
    </w:p>
    <w:p w14:paraId="5964F983" w14:textId="77777777" w:rsidR="0071057A" w:rsidRDefault="0071057A" w:rsidP="0071057A"/>
    <w:p w14:paraId="071895A8" w14:textId="7D6A159F" w:rsidR="003061E9" w:rsidRDefault="003061E9" w:rsidP="003061E9"/>
    <w:p w14:paraId="5531F7FD" w14:textId="77777777" w:rsidR="003061E9" w:rsidRDefault="003061E9" w:rsidP="003061E9"/>
    <w:p w14:paraId="449F098A" w14:textId="77777777" w:rsidR="003061E9" w:rsidRDefault="003061E9" w:rsidP="003061E9">
      <w:pPr>
        <w:sectPr w:rsidR="003061E9" w:rsidSect="0038545E">
          <w:footerReference w:type="default" r:id="rId120"/>
          <w:pgSz w:w="12240" w:h="15840" w:code="1"/>
          <w:pgMar w:top="1440" w:right="1440" w:bottom="1440" w:left="1440" w:header="720" w:footer="720" w:gutter="0"/>
          <w:pgNumType w:start="1" w:chapStyle="1"/>
          <w:cols w:space="720"/>
          <w:docGrid w:linePitch="360"/>
        </w:sectPr>
      </w:pPr>
    </w:p>
    <w:p w14:paraId="055CF6E4" w14:textId="77777777" w:rsidR="004C60F2" w:rsidRPr="00E5572B" w:rsidRDefault="004C60F2" w:rsidP="004C60F2">
      <w:pPr>
        <w:pStyle w:val="Heading1"/>
        <w:rPr>
          <w:rFonts w:ascii="Times New Roman" w:hAnsi="Times New Roman" w:cs="Times New Roman"/>
          <w:sz w:val="36"/>
          <w:szCs w:val="36"/>
        </w:rPr>
      </w:pPr>
      <w:bookmarkStart w:id="427" w:name="_Toc339811839"/>
      <w:bookmarkStart w:id="428" w:name="_Toc324759930"/>
      <w:r>
        <w:rPr>
          <w:rFonts w:ascii="Times New Roman" w:hAnsi="Times New Roman" w:cs="Times New Roman"/>
          <w:color w:val="8DB3E2" w:themeColor="text2" w:themeTint="66"/>
          <w:sz w:val="36"/>
          <w:szCs w:val="36"/>
        </w:rPr>
        <w:lastRenderedPageBreak/>
        <w:t>Appendix J</w:t>
      </w:r>
      <w:r w:rsidRPr="00E5572B">
        <w:rPr>
          <w:rFonts w:ascii="Times New Roman" w:hAnsi="Times New Roman" w:cs="Times New Roman"/>
          <w:color w:val="8DB3E2" w:themeColor="text2" w:themeTint="66"/>
          <w:sz w:val="36"/>
          <w:szCs w:val="36"/>
        </w:rPr>
        <w:t xml:space="preserve">. </w:t>
      </w:r>
      <w:r>
        <w:rPr>
          <w:rFonts w:ascii="Times New Roman" w:hAnsi="Times New Roman" w:cs="Times New Roman"/>
          <w:color w:val="8DB3E2" w:themeColor="text2" w:themeTint="66"/>
          <w:sz w:val="36"/>
          <w:szCs w:val="36"/>
        </w:rPr>
        <w:t xml:space="preserve"> </w:t>
      </w:r>
      <w:r w:rsidRPr="003061E9">
        <w:rPr>
          <w:rFonts w:ascii="Times New Roman" w:hAnsi="Times New Roman" w:cs="Times New Roman"/>
          <w:color w:val="548DD4" w:themeColor="text2" w:themeTint="99"/>
          <w:sz w:val="48"/>
          <w:szCs w:val="48"/>
        </w:rPr>
        <w:t xml:space="preserve">Method for Specifying the </w:t>
      </w:r>
      <w:r>
        <w:rPr>
          <w:rFonts w:ascii="Times New Roman" w:hAnsi="Times New Roman" w:cs="Times New Roman"/>
          <w:color w:val="548DD4" w:themeColor="text2" w:themeTint="99"/>
          <w:sz w:val="48"/>
          <w:szCs w:val="48"/>
        </w:rPr>
        <w:t>Mutton Snapper</w:t>
      </w:r>
      <w:r w:rsidRPr="003061E9">
        <w:rPr>
          <w:rFonts w:ascii="Times New Roman" w:hAnsi="Times New Roman" w:cs="Times New Roman"/>
          <w:color w:val="548DD4" w:themeColor="text2" w:themeTint="99"/>
          <w:sz w:val="48"/>
          <w:szCs w:val="48"/>
        </w:rPr>
        <w:t xml:space="preserve"> OFL, ABC, and ACL in Numbers of Fish</w:t>
      </w:r>
      <w:bookmarkEnd w:id="427"/>
      <w:r w:rsidRPr="00E5572B">
        <w:rPr>
          <w:rFonts w:ascii="Times New Roman" w:hAnsi="Times New Roman" w:cs="Times New Roman"/>
          <w:color w:val="4F81BD" w:themeColor="accent1"/>
          <w:sz w:val="36"/>
          <w:szCs w:val="36"/>
        </w:rPr>
        <w:t xml:space="preserve"> </w:t>
      </w:r>
      <w:bookmarkEnd w:id="428"/>
    </w:p>
    <w:p w14:paraId="50A2FA09" w14:textId="77777777" w:rsidR="004C60F2" w:rsidRDefault="004C60F2" w:rsidP="004C60F2"/>
    <w:p w14:paraId="175F044A" w14:textId="77777777" w:rsidR="004C60F2" w:rsidRPr="007D6152" w:rsidRDefault="004C60F2" w:rsidP="004C60F2">
      <w:r w:rsidRPr="007D6152">
        <w:t>Dr. Mike Errigo and Chip Collier</w:t>
      </w:r>
    </w:p>
    <w:p w14:paraId="33343644" w14:textId="77777777" w:rsidR="004C60F2" w:rsidRPr="007D6152" w:rsidRDefault="004C60F2" w:rsidP="004C60F2">
      <w:r w:rsidRPr="007D6152">
        <w:t>South Atlantic Fishery Management Council</w:t>
      </w:r>
    </w:p>
    <w:p w14:paraId="7512AF0F" w14:textId="77777777" w:rsidR="004C60F2" w:rsidRPr="007D6152" w:rsidRDefault="004C60F2" w:rsidP="004C60F2">
      <w:pPr>
        <w:spacing w:after="240"/>
      </w:pPr>
      <w:r w:rsidRPr="007D6152">
        <w:t>Updated March 2, 2016</w:t>
      </w:r>
    </w:p>
    <w:p w14:paraId="68D2C2EA" w14:textId="77777777" w:rsidR="004C60F2" w:rsidRDefault="004C60F2" w:rsidP="004C60F2">
      <w:pPr>
        <w:ind w:firstLine="360"/>
      </w:pPr>
      <w:r>
        <w:t xml:space="preserve">At the Council’s request, Amendment 41 specifies the proposed recreational ACL for mutton snapper in numbers of fish (converted from pounds using average weight) and the commercial ACL in pounds.  Issues develop, however, when different size limits are considered for management and the commercial and recreational ACLs are in different units: if the minimum size limit is increased, as the Council proposes to do, </w:t>
      </w:r>
      <w:r w:rsidRPr="00C50191">
        <w:t xml:space="preserve">the average size and thus weight of fish harvested will also increase. </w:t>
      </w:r>
      <w:r>
        <w:t xml:space="preserve"> </w:t>
      </w:r>
      <w:r w:rsidRPr="00C50191">
        <w:t xml:space="preserve">If the method for converting between an ACL in pounds and an ACL in numbers does not address the change in average weight, the expected increase in the average weight of landed fish could lead to the poundage associated with </w:t>
      </w:r>
      <w:r>
        <w:t>the</w:t>
      </w:r>
      <w:r w:rsidRPr="00C50191">
        <w:t xml:space="preserve"> ACL specified in numbers exceeding the </w:t>
      </w:r>
      <w:r>
        <w:t>ACL expressed in pounds</w:t>
      </w:r>
      <w:r w:rsidRPr="00C50191">
        <w:t>.</w:t>
      </w:r>
      <w:r>
        <w:t xml:space="preserve"> This could also result in a perceived shift in allocations when they are compared in the original units across sectors, and if the change in weight landed is great enough, the ABC and OFL in pounds could be exceeded.  </w:t>
      </w:r>
    </w:p>
    <w:p w14:paraId="788C7D92" w14:textId="77777777" w:rsidR="004C60F2" w:rsidRDefault="004C60F2" w:rsidP="004C60F2">
      <w:pPr>
        <w:ind w:firstLine="360"/>
      </w:pPr>
    </w:p>
    <w:p w14:paraId="40BA3FD4" w14:textId="3B45201E" w:rsidR="004C60F2" w:rsidRDefault="004C60F2" w:rsidP="004C60F2">
      <w:pPr>
        <w:ind w:firstLine="360"/>
      </w:pPr>
      <w:r w:rsidRPr="00063062">
        <w:t>The assumption made above is that the conditions input to the model used in projections (</w:t>
      </w:r>
      <w:r w:rsidRPr="00063062">
        <w:rPr>
          <w:rFonts w:eastAsia="Palatino Linotype"/>
        </w:rPr>
        <w:t xml:space="preserve">certain level of recruitment, selectivity, natural mortality, productivity, etc.) will remain consistent in the fishery after the implementation of </w:t>
      </w:r>
      <w:r>
        <w:rPr>
          <w:rFonts w:eastAsia="Palatino Linotype"/>
        </w:rPr>
        <w:t>Amendment 41</w:t>
      </w:r>
      <w:r w:rsidRPr="00063062">
        <w:rPr>
          <w:rFonts w:eastAsia="Palatino Linotype"/>
        </w:rPr>
        <w:t>, including the change in the minimum size limit.</w:t>
      </w:r>
      <w:r w:rsidRPr="00063062">
        <w:t xml:space="preserve"> </w:t>
      </w:r>
      <w:r>
        <w:t xml:space="preserve"> If this assumption is correct, then exceeding the yield of the ABC and OFL in pounds would result in overfishing.  However, once the minimum size limit change is implemented by Amendment 41, the selectivity and resulting yield per recruit (YPR) may change from the assumed levels that were input to the model.  Therefore,</w:t>
      </w:r>
      <w:r w:rsidRPr="00F36A24">
        <w:t xml:space="preserve"> the yi</w:t>
      </w:r>
      <w:r>
        <w:t>eld in pounds from fishing at F</w:t>
      </w:r>
      <w:r w:rsidRPr="00F36A24">
        <w:rPr>
          <w:vertAlign w:val="subscript"/>
        </w:rPr>
        <w:t>target</w:t>
      </w:r>
      <w:r w:rsidRPr="00F36A24">
        <w:t xml:space="preserve"> will be higher with a higher av</w:t>
      </w:r>
      <w:r>
        <w:t>era</w:t>
      </w:r>
      <w:r w:rsidRPr="00F36A24">
        <w:t>g</w:t>
      </w:r>
      <w:r>
        <w:t>e</w:t>
      </w:r>
      <w:r w:rsidRPr="00F36A24">
        <w:t xml:space="preserve"> fish size</w:t>
      </w:r>
      <w:r w:rsidRPr="00626D8E">
        <w:t>.</w:t>
      </w:r>
      <w:r>
        <w:t xml:space="preserve">  Since the recreational fishery is currently harvesting mutton snapper at an average size below the Council’s preferred minimum size limit of </w:t>
      </w:r>
      <w:r w:rsidR="005601EF">
        <w:rPr>
          <w:highlight w:val="yellow"/>
        </w:rPr>
        <w:t>18</w:t>
      </w:r>
      <w:r>
        <w:t xml:space="preserve"> inches (18 inches on average 2010-2014) and approximately </w:t>
      </w:r>
      <w:r w:rsidRPr="009D71A1">
        <w:rPr>
          <w:highlight w:val="yellow"/>
        </w:rPr>
        <w:t>X%</w:t>
      </w:r>
      <w:r>
        <w:t xml:space="preserve"> of the harvested fish are currently below this preferred minimum size, there is a good chance that implementing the preferred minimum size limit will change the selectivity of the recreational fishery.</w:t>
      </w:r>
    </w:p>
    <w:p w14:paraId="442F702C" w14:textId="77777777" w:rsidR="004C60F2" w:rsidRPr="00063062" w:rsidRDefault="004C60F2" w:rsidP="004C60F2">
      <w:pPr>
        <w:ind w:firstLine="360"/>
      </w:pPr>
    </w:p>
    <w:p w14:paraId="6AEF1EC0" w14:textId="77777777" w:rsidR="004C60F2" w:rsidRDefault="004C60F2" w:rsidP="004C60F2">
      <w:pPr>
        <w:ind w:firstLine="360"/>
      </w:pPr>
      <w:r>
        <w:t>The most appropriate method to address changes in management measures, such as size limits, that affect fishery selectivity is to update the management parameters, such as MSY and F</w:t>
      </w:r>
      <w:r w:rsidRPr="00613070">
        <w:rPr>
          <w:vertAlign w:val="subscript"/>
        </w:rPr>
        <w:t>MSY</w:t>
      </w:r>
      <w:r>
        <w:t xml:space="preserve"> along with projections of yield and stock size, to reflect the expected selectivity patterns.  This is very important because estimates of stock productivity are linked to selectivity and will change when a management action affects future selectivity.  Council staff had initial discussions with FWC about the potential to rerun the projections and update productivity measures with selectivity consistent with the proposed size limit </w:t>
      </w:r>
      <w:r>
        <w:lastRenderedPageBreak/>
        <w:t xml:space="preserve">increase.  However, this will require some modifications to the assessment program.  Since SEDAR 15A UPDATE was conducted using the SS3 assessment model, which is highly complex and there is no one in the region qualified to perform the type of code modification required on the fly, the timing, including review by the SSC for acceptance prior to use, will not fit the statutory timeline for Amendment 41.  We will pursue having this modification made for future assessments or updates.  </w:t>
      </w:r>
    </w:p>
    <w:p w14:paraId="727B92A0" w14:textId="77777777" w:rsidR="004C60F2" w:rsidRDefault="004C60F2" w:rsidP="004C60F2">
      <w:pPr>
        <w:ind w:firstLine="360"/>
      </w:pPr>
    </w:p>
    <w:p w14:paraId="09B4ED1A" w14:textId="77777777" w:rsidR="004C60F2" w:rsidRDefault="004C60F2" w:rsidP="004C60F2">
      <w:pPr>
        <w:ind w:firstLine="360"/>
      </w:pPr>
      <w:r w:rsidRPr="00B347CD">
        <w:rPr>
          <w:rFonts w:eastAsia="Palatino Linotype"/>
        </w:rPr>
        <w:t>Council staff developed a modified YPR model to investigate the effects of changes in the minimum size</w:t>
      </w:r>
      <w:r>
        <w:rPr>
          <w:rFonts w:eastAsia="Palatino Linotype"/>
        </w:rPr>
        <w:t xml:space="preserve"> </w:t>
      </w:r>
      <w:r w:rsidRPr="00B347CD">
        <w:rPr>
          <w:rFonts w:eastAsia="Palatino Linotype"/>
        </w:rPr>
        <w:t xml:space="preserve">on fishing mortality (F) </w:t>
      </w:r>
      <w:r>
        <w:rPr>
          <w:rFonts w:eastAsia="Palatino Linotype"/>
        </w:rPr>
        <w:t xml:space="preserve">(refer to briefing materials for March 4, 2016 SSC webinar for the YPR model: </w:t>
      </w:r>
      <w:hyperlink r:id="rId121" w:history="1">
        <w:r w:rsidRPr="00894066">
          <w:rPr>
            <w:rStyle w:val="Hyperlink"/>
            <w:rFonts w:eastAsia="Palatino Linotype"/>
          </w:rPr>
          <w:t>http://safmc.net/SSCMeeting_BriefingBook03042016</w:t>
        </w:r>
      </w:hyperlink>
      <w:r>
        <w:rPr>
          <w:rFonts w:eastAsia="Palatino Linotype"/>
        </w:rPr>
        <w:t>)</w:t>
      </w:r>
      <w:r>
        <w:t xml:space="preserve">.  The intent was to investigate whether a higher yield could be taken by the fishery, while harvesting the same number of fish, and still not result in overfishing.  </w:t>
      </w:r>
      <w:r w:rsidRPr="00B347CD">
        <w:t>The results of the modified YPR indicate that the fishery could continue to harvest the same number of fish up to the 20” proposed minimum size alternative with little to no effect on the value of F.</w:t>
      </w:r>
      <w:r>
        <w:t xml:space="preserve">  </w:t>
      </w:r>
      <w:r w:rsidRPr="00B347CD">
        <w:t>Th</w:t>
      </w:r>
      <w:r>
        <w:t xml:space="preserve">is is because </w:t>
      </w:r>
      <w:r w:rsidRPr="00B347CD">
        <w:t>F is based on numbers killed, so alternatives with the same number</w:t>
      </w:r>
      <w:r>
        <w:t xml:space="preserve"> of fish</w:t>
      </w:r>
      <w:r w:rsidRPr="00B347CD">
        <w:t xml:space="preserve"> killed will have similar F values when you consider F over the same range of ages in all the alternatives.  Therefore, the recreational fishery can harvest a higher poundage of </w:t>
      </w:r>
      <w:r>
        <w:t>mutton snapper</w:t>
      </w:r>
      <w:r w:rsidRPr="00B347CD">
        <w:t xml:space="preserve"> without </w:t>
      </w:r>
      <w:r>
        <w:t xml:space="preserve">causing the stock to </w:t>
      </w:r>
      <w:r w:rsidRPr="00B347CD">
        <w:t>undergo overfishing.</w:t>
      </w:r>
    </w:p>
    <w:p w14:paraId="7CF8C45A" w14:textId="77777777" w:rsidR="004C60F2" w:rsidRPr="00B347CD" w:rsidRDefault="004C60F2" w:rsidP="004C60F2">
      <w:pPr>
        <w:ind w:firstLine="360"/>
      </w:pPr>
    </w:p>
    <w:p w14:paraId="6E919C97" w14:textId="77777777" w:rsidR="004C60F2" w:rsidRDefault="004C60F2" w:rsidP="004C60F2">
      <w:pPr>
        <w:ind w:firstLine="360"/>
      </w:pPr>
      <w:r>
        <w:t>One method of addressing the change in selectivity due to the change in the minimum size limit would be to specify the OFL, ABC, and ACLs in numbers of fish; however, current sector allocations are based on landings in pounds, so allocations could be impacted if ratios derived from pounds are simply applied to fishing levels expressed in numbers.  For the method proposed here, the OFL and ABC are specified in numbers and each value has an associated yield in pounds based on average weight from the stock assessment projections (</w:t>
      </w:r>
      <w:r>
        <w:rPr>
          <w:b/>
        </w:rPr>
        <w:t>Tables 1-3</w:t>
      </w:r>
      <w:r>
        <w:t xml:space="preserve">).  The associated yield in pounds is used to calculate the allocation but is not used for calculating or tracking harvest in the recreational sector.  The commercial sector’s allocation is calculated in both pounds and numbers; therefore, either can be used to track the harvest for that sector.  However, the ABC would still be specified in numbers of fish.  A stepwise process to derive the sector ACLs could be:  </w:t>
      </w:r>
    </w:p>
    <w:p w14:paraId="63313C46" w14:textId="77777777" w:rsidR="004C60F2" w:rsidRDefault="004C60F2" w:rsidP="005601EF"/>
    <w:p w14:paraId="72E2272A" w14:textId="77777777" w:rsidR="004C60F2" w:rsidRPr="002F0045" w:rsidRDefault="004C60F2" w:rsidP="005601EF">
      <w:pPr>
        <w:pStyle w:val="ListParagraph"/>
        <w:numPr>
          <w:ilvl w:val="0"/>
          <w:numId w:val="28"/>
        </w:numPr>
        <w:spacing w:line="240" w:lineRule="auto"/>
        <w:rPr>
          <w:rFonts w:ascii="Times New Roman" w:hAnsi="Times New Roman"/>
          <w:sz w:val="24"/>
          <w:szCs w:val="24"/>
        </w:rPr>
      </w:pPr>
      <w:r w:rsidRPr="002F0045">
        <w:rPr>
          <w:rFonts w:ascii="Times New Roman" w:hAnsi="Times New Roman"/>
          <w:sz w:val="24"/>
          <w:szCs w:val="24"/>
        </w:rPr>
        <w:t xml:space="preserve">Calculate the total ACL </w:t>
      </w:r>
    </w:p>
    <w:p w14:paraId="69055903" w14:textId="77777777" w:rsidR="004C60F2" w:rsidRPr="002F0045" w:rsidRDefault="004C60F2" w:rsidP="005601EF">
      <w:pPr>
        <w:pStyle w:val="ListParagraph"/>
        <w:numPr>
          <w:ilvl w:val="0"/>
          <w:numId w:val="29"/>
        </w:numPr>
        <w:spacing w:line="240" w:lineRule="auto"/>
        <w:rPr>
          <w:rFonts w:ascii="Times New Roman" w:hAnsi="Times New Roman"/>
          <w:sz w:val="24"/>
          <w:szCs w:val="24"/>
        </w:rPr>
      </w:pPr>
      <w:r w:rsidRPr="002F0045">
        <w:rPr>
          <w:rFonts w:ascii="Times New Roman" w:hAnsi="Times New Roman"/>
          <w:sz w:val="24"/>
          <w:szCs w:val="24"/>
        </w:rPr>
        <w:t>If ABC=ACL, then the total ACL in numbers is provided directly as output from the projections from the stock assessment (</w:t>
      </w:r>
      <w:r w:rsidRPr="002F0045">
        <w:rPr>
          <w:rFonts w:ascii="Times New Roman" w:hAnsi="Times New Roman"/>
          <w:b/>
          <w:sz w:val="24"/>
          <w:szCs w:val="24"/>
        </w:rPr>
        <w:t>Table 1</w:t>
      </w:r>
      <w:r w:rsidRPr="002F0045">
        <w:rPr>
          <w:rFonts w:ascii="Times New Roman" w:hAnsi="Times New Roman"/>
          <w:sz w:val="24"/>
          <w:szCs w:val="24"/>
        </w:rPr>
        <w:t xml:space="preserve">).  </w:t>
      </w:r>
    </w:p>
    <w:p w14:paraId="0D34B184" w14:textId="77777777" w:rsidR="004C60F2" w:rsidRPr="002F0045" w:rsidRDefault="004C60F2" w:rsidP="005601EF">
      <w:pPr>
        <w:pStyle w:val="ListParagraph"/>
        <w:numPr>
          <w:ilvl w:val="0"/>
          <w:numId w:val="29"/>
        </w:numPr>
        <w:spacing w:line="240" w:lineRule="auto"/>
        <w:rPr>
          <w:rFonts w:ascii="Times New Roman" w:hAnsi="Times New Roman"/>
          <w:sz w:val="24"/>
          <w:szCs w:val="24"/>
        </w:rPr>
      </w:pPr>
      <w:r w:rsidRPr="002F0045">
        <w:rPr>
          <w:rFonts w:ascii="Times New Roman" w:hAnsi="Times New Roman"/>
          <w:sz w:val="24"/>
          <w:szCs w:val="24"/>
        </w:rPr>
        <w:t xml:space="preserve">If there is an uncertainty buffer between ACL and ABC, then reduce the ABC (numbers) by the uncertainty buffer to get total ACL (numbers, </w:t>
      </w:r>
      <w:r w:rsidRPr="002F0045">
        <w:rPr>
          <w:rFonts w:ascii="Times New Roman" w:hAnsi="Times New Roman"/>
          <w:b/>
          <w:sz w:val="24"/>
          <w:szCs w:val="24"/>
        </w:rPr>
        <w:t>Table</w:t>
      </w:r>
      <w:r>
        <w:rPr>
          <w:rFonts w:ascii="Times New Roman" w:hAnsi="Times New Roman"/>
          <w:b/>
          <w:sz w:val="24"/>
          <w:szCs w:val="24"/>
        </w:rPr>
        <w:t>s</w:t>
      </w:r>
      <w:r w:rsidRPr="002F0045">
        <w:rPr>
          <w:rFonts w:ascii="Times New Roman" w:hAnsi="Times New Roman"/>
          <w:b/>
          <w:sz w:val="24"/>
          <w:szCs w:val="24"/>
        </w:rPr>
        <w:t xml:space="preserve"> 2</w:t>
      </w:r>
      <w:r>
        <w:rPr>
          <w:rFonts w:ascii="Times New Roman" w:hAnsi="Times New Roman"/>
          <w:b/>
          <w:sz w:val="24"/>
          <w:szCs w:val="24"/>
        </w:rPr>
        <w:t>-3</w:t>
      </w:r>
      <w:r w:rsidRPr="002F0045">
        <w:rPr>
          <w:rFonts w:ascii="Times New Roman" w:hAnsi="Times New Roman"/>
          <w:sz w:val="24"/>
          <w:szCs w:val="24"/>
        </w:rPr>
        <w:t xml:space="preserve">).  </w:t>
      </w:r>
    </w:p>
    <w:p w14:paraId="398ADE3C" w14:textId="77777777" w:rsidR="004C60F2" w:rsidRPr="002F0045" w:rsidRDefault="004C60F2" w:rsidP="005601EF">
      <w:pPr>
        <w:pStyle w:val="ListParagraph"/>
        <w:numPr>
          <w:ilvl w:val="0"/>
          <w:numId w:val="28"/>
        </w:numPr>
        <w:spacing w:line="240" w:lineRule="auto"/>
        <w:rPr>
          <w:rFonts w:ascii="Times New Roman" w:hAnsi="Times New Roman"/>
          <w:sz w:val="24"/>
          <w:szCs w:val="24"/>
        </w:rPr>
      </w:pPr>
      <w:r w:rsidRPr="002F0045">
        <w:rPr>
          <w:rFonts w:ascii="Times New Roman" w:hAnsi="Times New Roman"/>
          <w:sz w:val="24"/>
          <w:szCs w:val="24"/>
        </w:rPr>
        <w:t xml:space="preserve">Allocate the total ACL- This step allocates the ACL between sectors using the status quo method used for all other stocks managed in the South Atlantic.  Using the associated yield (pounds) for the ABC or yield with uncertainty buffer included, calculate the allocation for each sector based on the formula derived in the Comprehensive ACL Amendment.  Commercial allocation is </w:t>
      </w:r>
      <w:r w:rsidRPr="005479A0">
        <w:rPr>
          <w:rFonts w:ascii="Times New Roman" w:hAnsi="Times New Roman"/>
          <w:sz w:val="24"/>
          <w:szCs w:val="24"/>
        </w:rPr>
        <w:t>17.02%</w:t>
      </w:r>
      <w:r w:rsidRPr="002F0045">
        <w:rPr>
          <w:rFonts w:ascii="Times New Roman" w:hAnsi="Times New Roman"/>
          <w:sz w:val="24"/>
          <w:szCs w:val="24"/>
        </w:rPr>
        <w:t xml:space="preserve"> based on weight and recreational allocation is </w:t>
      </w:r>
      <w:r w:rsidRPr="005479A0">
        <w:rPr>
          <w:rFonts w:ascii="Times New Roman" w:hAnsi="Times New Roman"/>
          <w:sz w:val="24"/>
          <w:szCs w:val="24"/>
        </w:rPr>
        <w:t>82.98%</w:t>
      </w:r>
      <w:r w:rsidRPr="002F0045">
        <w:rPr>
          <w:rFonts w:ascii="Times New Roman" w:hAnsi="Times New Roman"/>
          <w:sz w:val="24"/>
          <w:szCs w:val="24"/>
        </w:rPr>
        <w:t xml:space="preserve"> based</w:t>
      </w:r>
      <w:r>
        <w:rPr>
          <w:rFonts w:ascii="Times New Roman" w:hAnsi="Times New Roman"/>
          <w:sz w:val="24"/>
          <w:szCs w:val="24"/>
        </w:rPr>
        <w:t xml:space="preserve"> on weight for mutton snapper</w:t>
      </w:r>
      <w:r w:rsidRPr="002F0045">
        <w:rPr>
          <w:rFonts w:ascii="Times New Roman" w:hAnsi="Times New Roman"/>
          <w:sz w:val="24"/>
          <w:szCs w:val="24"/>
        </w:rPr>
        <w:t xml:space="preserve">.    </w:t>
      </w:r>
    </w:p>
    <w:p w14:paraId="1F7C7000" w14:textId="77777777" w:rsidR="004C60F2" w:rsidRPr="002F0045" w:rsidRDefault="004C60F2" w:rsidP="005601EF">
      <w:pPr>
        <w:pStyle w:val="ListParagraph"/>
        <w:numPr>
          <w:ilvl w:val="0"/>
          <w:numId w:val="28"/>
        </w:numPr>
        <w:spacing w:line="240" w:lineRule="auto"/>
        <w:rPr>
          <w:rFonts w:ascii="Times New Roman" w:hAnsi="Times New Roman"/>
          <w:sz w:val="24"/>
          <w:szCs w:val="24"/>
        </w:rPr>
      </w:pPr>
      <w:r w:rsidRPr="002F0045">
        <w:rPr>
          <w:rFonts w:ascii="Times New Roman" w:hAnsi="Times New Roman"/>
          <w:sz w:val="24"/>
          <w:szCs w:val="24"/>
        </w:rPr>
        <w:lastRenderedPageBreak/>
        <w:t xml:space="preserve">Convert the commercial allocation from pounds to numbers - Divide the commercial sector allocation in pounds by the average weight of commercially-caught </w:t>
      </w:r>
      <w:r>
        <w:rPr>
          <w:rFonts w:ascii="Times New Roman" w:hAnsi="Times New Roman"/>
          <w:sz w:val="24"/>
          <w:szCs w:val="24"/>
        </w:rPr>
        <w:t>mutton snapper</w:t>
      </w:r>
      <w:r w:rsidRPr="002F0045">
        <w:rPr>
          <w:rFonts w:ascii="Times New Roman" w:hAnsi="Times New Roman"/>
          <w:sz w:val="24"/>
          <w:szCs w:val="24"/>
        </w:rPr>
        <w:t xml:space="preserve">.  The average weight of commercially-caught </w:t>
      </w:r>
      <w:r>
        <w:rPr>
          <w:rFonts w:ascii="Times New Roman" w:hAnsi="Times New Roman"/>
          <w:sz w:val="24"/>
          <w:szCs w:val="24"/>
        </w:rPr>
        <w:t>mutton snapper</w:t>
      </w:r>
      <w:r w:rsidRPr="002F0045">
        <w:rPr>
          <w:rFonts w:ascii="Times New Roman" w:hAnsi="Times New Roman"/>
          <w:sz w:val="24"/>
          <w:szCs w:val="24"/>
        </w:rPr>
        <w:t xml:space="preserve"> is </w:t>
      </w:r>
      <w:r>
        <w:rPr>
          <w:rFonts w:ascii="Times New Roman" w:hAnsi="Times New Roman"/>
          <w:sz w:val="24"/>
          <w:szCs w:val="24"/>
        </w:rPr>
        <w:t>7.68</w:t>
      </w:r>
      <w:r w:rsidRPr="002F0045">
        <w:rPr>
          <w:rFonts w:ascii="Times New Roman" w:hAnsi="Times New Roman"/>
          <w:sz w:val="24"/>
          <w:szCs w:val="24"/>
        </w:rPr>
        <w:t xml:space="preserve"> lbs. (Source:  Average of gear-specific average weights from the most recent assessment weighted by the commercial landings in number by gear, Mike Errigo). </w:t>
      </w:r>
    </w:p>
    <w:p w14:paraId="03E17F6E" w14:textId="77777777" w:rsidR="004C60F2" w:rsidRPr="002F0045" w:rsidRDefault="004C60F2" w:rsidP="005601EF">
      <w:pPr>
        <w:pStyle w:val="ListParagraph"/>
        <w:numPr>
          <w:ilvl w:val="1"/>
          <w:numId w:val="28"/>
        </w:numPr>
        <w:spacing w:line="240" w:lineRule="auto"/>
        <w:rPr>
          <w:rFonts w:ascii="Times New Roman" w:hAnsi="Times New Roman"/>
          <w:sz w:val="24"/>
          <w:szCs w:val="24"/>
        </w:rPr>
      </w:pPr>
      <w:r w:rsidRPr="002F0045">
        <w:rPr>
          <w:rFonts w:ascii="Times New Roman" w:hAnsi="Times New Roman"/>
          <w:sz w:val="24"/>
          <w:szCs w:val="24"/>
        </w:rPr>
        <w:t>At this step the commercial allocation has now been calculated in both pounds and numbers and either can be used as the final commercial ACL, depending on the preference of the Council.  If pounds are chosen, the ABC will still need to be tracked in numbers, requiring the commercial landings to be converted into numbers at some point.</w:t>
      </w:r>
    </w:p>
    <w:p w14:paraId="7CE240C0" w14:textId="77777777" w:rsidR="004C60F2" w:rsidRPr="002F0045" w:rsidRDefault="004C60F2" w:rsidP="005601EF">
      <w:pPr>
        <w:pStyle w:val="ListParagraph"/>
        <w:numPr>
          <w:ilvl w:val="0"/>
          <w:numId w:val="28"/>
        </w:numPr>
        <w:spacing w:line="240" w:lineRule="auto"/>
        <w:rPr>
          <w:rFonts w:ascii="Times New Roman" w:hAnsi="Times New Roman"/>
          <w:sz w:val="24"/>
          <w:szCs w:val="24"/>
        </w:rPr>
      </w:pPr>
      <w:r w:rsidRPr="002F0045">
        <w:rPr>
          <w:rFonts w:ascii="Times New Roman" w:hAnsi="Times New Roman"/>
          <w:sz w:val="24"/>
          <w:szCs w:val="24"/>
        </w:rPr>
        <w:t xml:space="preserve">Calculate the Recreational ACL (numbers) - Subtract the commercial allocation in numbers from the total ACL in numbers.    </w:t>
      </w:r>
    </w:p>
    <w:p w14:paraId="0EDB02E2" w14:textId="77777777" w:rsidR="004C60F2" w:rsidRPr="002F0045" w:rsidRDefault="004C60F2" w:rsidP="005601EF">
      <w:r w:rsidRPr="002F0045">
        <w:t>Some benefits of calculating the ACL using this method and specifying the OFL and ABC in numbers include:</w:t>
      </w:r>
    </w:p>
    <w:p w14:paraId="030A58C5" w14:textId="77777777" w:rsidR="004C60F2" w:rsidRPr="002F0045" w:rsidRDefault="004C60F2" w:rsidP="005601EF">
      <w:pPr>
        <w:pStyle w:val="ListParagraph"/>
        <w:numPr>
          <w:ilvl w:val="1"/>
          <w:numId w:val="26"/>
        </w:numPr>
        <w:spacing w:line="240" w:lineRule="auto"/>
        <w:ind w:left="720"/>
        <w:rPr>
          <w:rFonts w:ascii="Times New Roman" w:hAnsi="Times New Roman"/>
          <w:sz w:val="24"/>
          <w:szCs w:val="24"/>
        </w:rPr>
      </w:pPr>
      <w:r w:rsidRPr="002F0045">
        <w:rPr>
          <w:rFonts w:ascii="Times New Roman" w:hAnsi="Times New Roman"/>
          <w:sz w:val="24"/>
          <w:szCs w:val="24"/>
        </w:rPr>
        <w:t>The ABC is not exceeded due to changes in the minimum size and average weights.</w:t>
      </w:r>
    </w:p>
    <w:p w14:paraId="3EFC27AD" w14:textId="77777777" w:rsidR="004C60F2" w:rsidRPr="002F0045" w:rsidRDefault="004C60F2" w:rsidP="005601EF">
      <w:pPr>
        <w:pStyle w:val="ListParagraph"/>
        <w:numPr>
          <w:ilvl w:val="1"/>
          <w:numId w:val="26"/>
        </w:numPr>
        <w:spacing w:line="240" w:lineRule="auto"/>
        <w:ind w:left="720"/>
        <w:rPr>
          <w:rFonts w:ascii="Times New Roman" w:hAnsi="Times New Roman"/>
          <w:sz w:val="24"/>
          <w:szCs w:val="24"/>
        </w:rPr>
      </w:pPr>
      <w:r w:rsidRPr="002F0045">
        <w:rPr>
          <w:rFonts w:ascii="Times New Roman" w:hAnsi="Times New Roman"/>
          <w:sz w:val="24"/>
          <w:szCs w:val="24"/>
        </w:rPr>
        <w:t>Continues to use the standard method to calculate sector allocations.</w:t>
      </w:r>
    </w:p>
    <w:p w14:paraId="6A8AF4D5" w14:textId="77777777" w:rsidR="004C60F2" w:rsidRPr="002F0045" w:rsidRDefault="004C60F2" w:rsidP="005601EF">
      <w:pPr>
        <w:pStyle w:val="ListParagraph"/>
        <w:numPr>
          <w:ilvl w:val="1"/>
          <w:numId w:val="26"/>
        </w:numPr>
        <w:spacing w:line="240" w:lineRule="auto"/>
        <w:ind w:left="720"/>
        <w:rPr>
          <w:rFonts w:ascii="Times New Roman" w:hAnsi="Times New Roman"/>
          <w:sz w:val="24"/>
          <w:szCs w:val="24"/>
        </w:rPr>
      </w:pPr>
      <w:r w:rsidRPr="002F0045">
        <w:rPr>
          <w:rFonts w:ascii="Times New Roman" w:hAnsi="Times New Roman"/>
          <w:sz w:val="24"/>
          <w:szCs w:val="24"/>
        </w:rPr>
        <w:t xml:space="preserve">The recreational fishery is tracked in its native units. </w:t>
      </w:r>
    </w:p>
    <w:p w14:paraId="6FDF902E" w14:textId="77777777" w:rsidR="004C60F2" w:rsidRPr="002F0045" w:rsidRDefault="004C60F2" w:rsidP="005601EF">
      <w:pPr>
        <w:pStyle w:val="ListParagraph"/>
        <w:numPr>
          <w:ilvl w:val="1"/>
          <w:numId w:val="26"/>
        </w:numPr>
        <w:spacing w:line="240" w:lineRule="auto"/>
        <w:ind w:left="720"/>
        <w:rPr>
          <w:rFonts w:ascii="Times New Roman" w:hAnsi="Times New Roman"/>
          <w:sz w:val="24"/>
          <w:szCs w:val="24"/>
        </w:rPr>
      </w:pPr>
      <w:r w:rsidRPr="002F0045">
        <w:rPr>
          <w:rFonts w:ascii="Times New Roman" w:hAnsi="Times New Roman"/>
          <w:sz w:val="24"/>
          <w:szCs w:val="24"/>
        </w:rPr>
        <w:t xml:space="preserve">The recreational ACL remains constant in </w:t>
      </w:r>
      <w:r>
        <w:rPr>
          <w:rFonts w:ascii="Times New Roman" w:hAnsi="Times New Roman"/>
          <w:sz w:val="24"/>
          <w:szCs w:val="24"/>
        </w:rPr>
        <w:t>Amendment 41</w:t>
      </w:r>
      <w:r w:rsidRPr="002F0045">
        <w:rPr>
          <w:rFonts w:ascii="Times New Roman" w:hAnsi="Times New Roman"/>
          <w:sz w:val="24"/>
          <w:szCs w:val="24"/>
        </w:rPr>
        <w:t xml:space="preserve"> regardless of what minimum size limit is proposed. </w:t>
      </w:r>
    </w:p>
    <w:p w14:paraId="6EAB17C3" w14:textId="77777777" w:rsidR="004C60F2" w:rsidRPr="002F0045" w:rsidRDefault="004C60F2" w:rsidP="005601EF">
      <w:pPr>
        <w:pStyle w:val="ListParagraph"/>
        <w:numPr>
          <w:ilvl w:val="1"/>
          <w:numId w:val="26"/>
        </w:numPr>
        <w:spacing w:line="240" w:lineRule="auto"/>
        <w:ind w:left="720"/>
        <w:rPr>
          <w:rFonts w:ascii="Times New Roman" w:hAnsi="Times New Roman"/>
          <w:sz w:val="24"/>
          <w:szCs w:val="24"/>
        </w:rPr>
      </w:pPr>
      <w:r w:rsidRPr="002F0045">
        <w:rPr>
          <w:rFonts w:ascii="Times New Roman" w:hAnsi="Times New Roman"/>
          <w:sz w:val="24"/>
          <w:szCs w:val="24"/>
        </w:rPr>
        <w:t>The harvest reductions needed to rebuild the stock will reduce the number of potential weight observations through the MRIP program, making estimation of landings in weight even more unreliable than they already are for a rarely encountered species.  Therefore, uncertainty is reduced by setting the OFL, ABC, and ACL in numbers and tracking the landings in numbers.</w:t>
      </w:r>
    </w:p>
    <w:p w14:paraId="34BB9923" w14:textId="77777777" w:rsidR="004C60F2" w:rsidRPr="002F0045" w:rsidRDefault="004C60F2" w:rsidP="005601EF">
      <w:pPr>
        <w:pStyle w:val="ListParagraph"/>
        <w:numPr>
          <w:ilvl w:val="2"/>
          <w:numId w:val="26"/>
        </w:numPr>
        <w:spacing w:line="240" w:lineRule="auto"/>
        <w:ind w:left="1800"/>
        <w:rPr>
          <w:rFonts w:ascii="Times New Roman" w:hAnsi="Times New Roman"/>
          <w:sz w:val="24"/>
          <w:szCs w:val="24"/>
        </w:rPr>
      </w:pPr>
      <w:r w:rsidRPr="002F0045">
        <w:rPr>
          <w:rFonts w:ascii="Times New Roman" w:hAnsi="Times New Roman"/>
          <w:sz w:val="24"/>
          <w:szCs w:val="24"/>
        </w:rPr>
        <w:t>On average from 201</w:t>
      </w:r>
      <w:r>
        <w:rPr>
          <w:rFonts w:ascii="Times New Roman" w:hAnsi="Times New Roman"/>
          <w:sz w:val="24"/>
          <w:szCs w:val="24"/>
        </w:rPr>
        <w:t>0</w:t>
      </w:r>
      <w:r w:rsidRPr="002F0045">
        <w:rPr>
          <w:rFonts w:ascii="Times New Roman" w:hAnsi="Times New Roman"/>
          <w:sz w:val="24"/>
          <w:szCs w:val="24"/>
        </w:rPr>
        <w:t>-2014, 2</w:t>
      </w:r>
      <w:r>
        <w:rPr>
          <w:rFonts w:ascii="Times New Roman" w:hAnsi="Times New Roman"/>
          <w:sz w:val="24"/>
          <w:szCs w:val="24"/>
        </w:rPr>
        <w:t>89</w:t>
      </w:r>
      <w:r w:rsidRPr="002F0045">
        <w:rPr>
          <w:rFonts w:ascii="Times New Roman" w:hAnsi="Times New Roman"/>
          <w:sz w:val="24"/>
          <w:szCs w:val="24"/>
        </w:rPr>
        <w:t xml:space="preserve"> </w:t>
      </w:r>
      <w:r>
        <w:rPr>
          <w:rFonts w:ascii="Times New Roman" w:hAnsi="Times New Roman"/>
          <w:sz w:val="24"/>
          <w:szCs w:val="24"/>
        </w:rPr>
        <w:t>mutton snapper</w:t>
      </w:r>
      <w:r w:rsidRPr="002F0045">
        <w:rPr>
          <w:rFonts w:ascii="Times New Roman" w:hAnsi="Times New Roman"/>
          <w:sz w:val="24"/>
          <w:szCs w:val="24"/>
        </w:rPr>
        <w:t xml:space="preserve"> a year are observed (Type A catch) through the MRIP survey in this stock, but only </w:t>
      </w:r>
      <w:r>
        <w:rPr>
          <w:rFonts w:ascii="Times New Roman" w:hAnsi="Times New Roman"/>
          <w:sz w:val="24"/>
          <w:szCs w:val="24"/>
        </w:rPr>
        <w:t>215</w:t>
      </w:r>
      <w:r w:rsidRPr="002F0045">
        <w:rPr>
          <w:rFonts w:ascii="Times New Roman" w:hAnsi="Times New Roman"/>
          <w:sz w:val="24"/>
          <w:szCs w:val="24"/>
        </w:rPr>
        <w:t xml:space="preserve"> of those are weighed (</w:t>
      </w:r>
      <w:r>
        <w:rPr>
          <w:rFonts w:ascii="Times New Roman" w:hAnsi="Times New Roman"/>
          <w:sz w:val="24"/>
          <w:szCs w:val="24"/>
        </w:rPr>
        <w:t>74</w:t>
      </w:r>
      <w:r w:rsidRPr="002F0045">
        <w:rPr>
          <w:rFonts w:ascii="Times New Roman" w:hAnsi="Times New Roman"/>
          <w:sz w:val="24"/>
          <w:szCs w:val="24"/>
        </w:rPr>
        <w:t>.</w:t>
      </w:r>
      <w:r>
        <w:rPr>
          <w:rFonts w:ascii="Times New Roman" w:hAnsi="Times New Roman"/>
          <w:sz w:val="24"/>
          <w:szCs w:val="24"/>
        </w:rPr>
        <w:t>4</w:t>
      </w:r>
      <w:r w:rsidRPr="002F0045">
        <w:rPr>
          <w:rFonts w:ascii="Times New Roman" w:hAnsi="Times New Roman"/>
          <w:sz w:val="24"/>
          <w:szCs w:val="24"/>
        </w:rPr>
        <w:t xml:space="preserve">%).  </w:t>
      </w:r>
    </w:p>
    <w:p w14:paraId="1BEEB2F4" w14:textId="77777777" w:rsidR="004C60F2" w:rsidRPr="002F0045" w:rsidRDefault="004C60F2" w:rsidP="005601EF">
      <w:pPr>
        <w:pStyle w:val="ListParagraph"/>
        <w:numPr>
          <w:ilvl w:val="1"/>
          <w:numId w:val="26"/>
        </w:numPr>
        <w:spacing w:line="240" w:lineRule="auto"/>
        <w:ind w:left="720"/>
        <w:rPr>
          <w:rFonts w:ascii="Times New Roman" w:hAnsi="Times New Roman"/>
          <w:sz w:val="24"/>
          <w:szCs w:val="24"/>
        </w:rPr>
      </w:pPr>
      <w:r w:rsidRPr="002F0045">
        <w:rPr>
          <w:rFonts w:ascii="Times New Roman" w:hAnsi="Times New Roman"/>
          <w:sz w:val="24"/>
          <w:szCs w:val="24"/>
        </w:rPr>
        <w:t xml:space="preserve">The numbers of fish measured in the commercial fishery greatly exceeds the number measured in the recreational fishery (Rec: </w:t>
      </w:r>
      <w:r w:rsidRPr="002F2022">
        <w:rPr>
          <w:rFonts w:ascii="Times New Roman" w:hAnsi="Times New Roman"/>
          <w:sz w:val="24"/>
          <w:szCs w:val="24"/>
        </w:rPr>
        <w:t>0.18% of catch, Comm: 1.42% of</w:t>
      </w:r>
      <w:r w:rsidRPr="002F0045">
        <w:rPr>
          <w:rFonts w:ascii="Times New Roman" w:hAnsi="Times New Roman"/>
          <w:sz w:val="24"/>
          <w:szCs w:val="24"/>
        </w:rPr>
        <w:t xml:space="preserve"> catch, Comm samples </w:t>
      </w:r>
      <w:r>
        <w:rPr>
          <w:rFonts w:ascii="Times New Roman" w:hAnsi="Times New Roman"/>
          <w:sz w:val="24"/>
          <w:szCs w:val="24"/>
        </w:rPr>
        <w:t xml:space="preserve">8 </w:t>
      </w:r>
      <w:r w:rsidRPr="002F0045">
        <w:rPr>
          <w:rFonts w:ascii="Times New Roman" w:hAnsi="Times New Roman"/>
          <w:sz w:val="24"/>
          <w:szCs w:val="24"/>
        </w:rPr>
        <w:t>times more of the catch than Rec); therefore, we are using the dataset with less uncertainty to convert from weight to numbers.</w:t>
      </w:r>
    </w:p>
    <w:p w14:paraId="2F53E8F3" w14:textId="77777777" w:rsidR="004C60F2" w:rsidRPr="002F0045" w:rsidRDefault="004C60F2" w:rsidP="005601EF">
      <w:pPr>
        <w:pStyle w:val="ListParagraph"/>
        <w:numPr>
          <w:ilvl w:val="1"/>
          <w:numId w:val="26"/>
        </w:numPr>
        <w:spacing w:line="240" w:lineRule="auto"/>
        <w:ind w:left="720"/>
        <w:rPr>
          <w:rFonts w:ascii="Times New Roman" w:hAnsi="Times New Roman"/>
          <w:sz w:val="24"/>
          <w:szCs w:val="24"/>
        </w:rPr>
      </w:pPr>
      <w:r w:rsidRPr="002F0045">
        <w:rPr>
          <w:rFonts w:ascii="Times New Roman" w:hAnsi="Times New Roman"/>
          <w:sz w:val="24"/>
          <w:szCs w:val="24"/>
        </w:rPr>
        <w:t xml:space="preserve">The average size of commercially caught </w:t>
      </w:r>
      <w:r>
        <w:rPr>
          <w:rFonts w:ascii="Times New Roman" w:hAnsi="Times New Roman"/>
          <w:sz w:val="24"/>
          <w:szCs w:val="24"/>
        </w:rPr>
        <w:t>mutton snapper</w:t>
      </w:r>
      <w:r w:rsidRPr="002F0045">
        <w:rPr>
          <w:rFonts w:ascii="Times New Roman" w:hAnsi="Times New Roman"/>
          <w:sz w:val="24"/>
          <w:szCs w:val="24"/>
        </w:rPr>
        <w:t xml:space="preserve"> already exceeds the average size of fish under the preferred size limit and might not shift as much as the recreational fishery likely will.  </w:t>
      </w:r>
    </w:p>
    <w:p w14:paraId="786B66B6" w14:textId="31A18078" w:rsidR="004C60F2" w:rsidRPr="005601EF" w:rsidRDefault="004C60F2" w:rsidP="005601EF">
      <w:pPr>
        <w:pStyle w:val="ListParagraph"/>
        <w:numPr>
          <w:ilvl w:val="1"/>
          <w:numId w:val="26"/>
        </w:numPr>
        <w:spacing w:line="240" w:lineRule="auto"/>
        <w:ind w:left="720"/>
        <w:rPr>
          <w:rFonts w:ascii="Times New Roman" w:hAnsi="Times New Roman"/>
          <w:sz w:val="24"/>
          <w:szCs w:val="24"/>
        </w:rPr>
      </w:pPr>
      <w:r w:rsidRPr="002F0045">
        <w:rPr>
          <w:rFonts w:ascii="Times New Roman" w:hAnsi="Times New Roman"/>
          <w:sz w:val="24"/>
          <w:szCs w:val="24"/>
        </w:rPr>
        <w:t xml:space="preserve">Evidence suggests that even if the average weight of landed fish does increase due to an increase in the minimum size that </w:t>
      </w:r>
      <w:r>
        <w:rPr>
          <w:rFonts w:ascii="Times New Roman" w:hAnsi="Times New Roman"/>
          <w:sz w:val="24"/>
          <w:szCs w:val="24"/>
        </w:rPr>
        <w:t>overfishing will not occur</w:t>
      </w:r>
      <w:r w:rsidRPr="002F0045">
        <w:rPr>
          <w:rFonts w:ascii="Times New Roman" w:hAnsi="Times New Roman"/>
          <w:sz w:val="24"/>
          <w:szCs w:val="24"/>
        </w:rPr>
        <w:t>.</w:t>
      </w:r>
    </w:p>
    <w:p w14:paraId="7AEE1DF8" w14:textId="77777777" w:rsidR="004C60F2" w:rsidRPr="002F0045" w:rsidRDefault="004C60F2" w:rsidP="005601EF">
      <w:r w:rsidRPr="002F0045">
        <w:t xml:space="preserve">Issues to consider:  </w:t>
      </w:r>
    </w:p>
    <w:p w14:paraId="1C00B433" w14:textId="77777777" w:rsidR="004C60F2" w:rsidRPr="002F0045" w:rsidRDefault="004C60F2" w:rsidP="005601EF">
      <w:pPr>
        <w:pStyle w:val="ListParagraph"/>
        <w:numPr>
          <w:ilvl w:val="0"/>
          <w:numId w:val="27"/>
        </w:numPr>
        <w:spacing w:line="240" w:lineRule="auto"/>
        <w:rPr>
          <w:rFonts w:ascii="Times New Roman" w:hAnsi="Times New Roman"/>
          <w:sz w:val="24"/>
          <w:szCs w:val="24"/>
        </w:rPr>
      </w:pPr>
      <w:r w:rsidRPr="002F0045">
        <w:rPr>
          <w:rFonts w:ascii="Times New Roman" w:hAnsi="Times New Roman"/>
          <w:sz w:val="24"/>
          <w:szCs w:val="24"/>
        </w:rPr>
        <w:t>The associated yield in pounds of the ACL in numbers can exceed the SSC approved ABC in pounds if the average weight of landed fish increases due to an increase in the minimum size limit.  However, the modified YPR analysis developed by Council staff shows that the yield in pounds from fishing at F</w:t>
      </w:r>
      <w:r w:rsidRPr="002F0045">
        <w:rPr>
          <w:rFonts w:ascii="Times New Roman" w:hAnsi="Times New Roman"/>
          <w:sz w:val="24"/>
          <w:szCs w:val="24"/>
          <w:vertAlign w:val="subscript"/>
        </w:rPr>
        <w:t>target</w:t>
      </w:r>
      <w:r w:rsidRPr="002F0045">
        <w:rPr>
          <w:rFonts w:ascii="Times New Roman" w:hAnsi="Times New Roman"/>
          <w:sz w:val="24"/>
          <w:szCs w:val="24"/>
        </w:rPr>
        <w:t xml:space="preserve"> will be higher with a higher average fish size.</w:t>
      </w:r>
    </w:p>
    <w:p w14:paraId="620DBACD" w14:textId="77777777" w:rsidR="004C60F2" w:rsidRPr="002F0045" w:rsidRDefault="004C60F2" w:rsidP="005601EF">
      <w:pPr>
        <w:pStyle w:val="ListParagraph"/>
        <w:numPr>
          <w:ilvl w:val="0"/>
          <w:numId w:val="27"/>
        </w:numPr>
        <w:spacing w:line="240" w:lineRule="auto"/>
        <w:rPr>
          <w:rFonts w:ascii="Times New Roman" w:hAnsi="Times New Roman"/>
          <w:sz w:val="24"/>
          <w:szCs w:val="24"/>
        </w:rPr>
      </w:pPr>
      <w:r w:rsidRPr="002F0045">
        <w:rPr>
          <w:rFonts w:ascii="Times New Roman" w:hAnsi="Times New Roman"/>
          <w:sz w:val="24"/>
          <w:szCs w:val="24"/>
        </w:rPr>
        <w:lastRenderedPageBreak/>
        <w:t xml:space="preserve">Realized allocation may shift in weight.  Allocation in weight will be dependent on average weight estimated for the fisheries.  </w:t>
      </w:r>
      <w:r>
        <w:rPr>
          <w:rFonts w:ascii="Times New Roman" w:hAnsi="Times New Roman"/>
          <w:sz w:val="24"/>
          <w:szCs w:val="24"/>
        </w:rPr>
        <w:t>Amendment 41</w:t>
      </w:r>
      <w:r w:rsidRPr="002F0045">
        <w:rPr>
          <w:rFonts w:ascii="Times New Roman" w:hAnsi="Times New Roman"/>
          <w:sz w:val="24"/>
          <w:szCs w:val="24"/>
        </w:rPr>
        <w:t xml:space="preserve"> uses an average weight value of 1.85 lbs. for recreationally caught </w:t>
      </w:r>
      <w:r>
        <w:rPr>
          <w:rFonts w:ascii="Times New Roman" w:hAnsi="Times New Roman"/>
          <w:sz w:val="24"/>
          <w:szCs w:val="24"/>
        </w:rPr>
        <w:t>mutton snapper</w:t>
      </w:r>
      <w:r w:rsidRPr="002F0045">
        <w:rPr>
          <w:rFonts w:ascii="Times New Roman" w:hAnsi="Times New Roman"/>
          <w:sz w:val="24"/>
          <w:szCs w:val="24"/>
        </w:rPr>
        <w:t xml:space="preserve">, which is slightly above the average weight of a 12-inch </w:t>
      </w:r>
      <w:r>
        <w:rPr>
          <w:rFonts w:ascii="Times New Roman" w:hAnsi="Times New Roman"/>
          <w:sz w:val="24"/>
          <w:szCs w:val="24"/>
        </w:rPr>
        <w:t>mutton snapper</w:t>
      </w:r>
      <w:r w:rsidRPr="002F0045">
        <w:rPr>
          <w:rFonts w:ascii="Times New Roman" w:hAnsi="Times New Roman"/>
          <w:sz w:val="24"/>
          <w:szCs w:val="24"/>
        </w:rPr>
        <w:t xml:space="preserve">.  It is not known what the recreational average weight of </w:t>
      </w:r>
      <w:r>
        <w:rPr>
          <w:rFonts w:ascii="Times New Roman" w:hAnsi="Times New Roman"/>
          <w:sz w:val="24"/>
          <w:szCs w:val="24"/>
        </w:rPr>
        <w:t>mutton snapper</w:t>
      </w:r>
      <w:r w:rsidRPr="002F0045">
        <w:rPr>
          <w:rFonts w:ascii="Times New Roman" w:hAnsi="Times New Roman"/>
          <w:sz w:val="24"/>
          <w:szCs w:val="24"/>
        </w:rPr>
        <w:t xml:space="preserve"> will be under different size limits and how it will change over time.  However, this is an issue whenever the ACL for a sector is set in numbers and the allocation is calculated in pounds regardless of the units of the ABC.  </w:t>
      </w:r>
    </w:p>
    <w:p w14:paraId="43C4461B" w14:textId="77777777" w:rsidR="004C60F2" w:rsidRDefault="004C60F2" w:rsidP="004C60F2">
      <w:pPr>
        <w:ind w:firstLine="360"/>
      </w:pPr>
      <w:r>
        <w:t>This method, developed by Council staff, is designed to keep the numbers of fish harvested constant while allowing the yield to vary based on the possible change in selectivity due to changes in the minimum size limit.  Yields above the SSC-approved projections in pounds are possible, but the results of the YPR model developed by Council staff show that as long as the number of fish does not exceed the projected landings then overfishing will not be occurring.  This proposed method also is consistent with the allocation formula currently in use, which relies on landings in pounds to calculate the sector allocations.  The method proposed by SERO staff for calculating the recreational ACL of mutton snapper reduces the number of fish harvested in the recreational sector based on average weight of fish at different size limits and does not consider changes in selectivity due to changes in the minimum size limit.  Until a new assessment or new projections can be run to account for changes in selectivity due to changes in the minimum size, Council staff proposes this method of specifying the OFL and ABC in numbers and allowing the yield to vary based on changes in selectivity as an interim method for setting the recreational ACL of mutton snapper.</w:t>
      </w:r>
    </w:p>
    <w:p w14:paraId="4760AC60" w14:textId="7EA075E4" w:rsidR="004C60F2" w:rsidRDefault="004C60F2" w:rsidP="004C60F2">
      <w:pPr>
        <w:rPr>
          <w:rFonts w:ascii="Arial" w:hAnsi="Arial" w:cs="Arial"/>
          <w:b/>
          <w:sz w:val="20"/>
          <w:szCs w:val="20"/>
        </w:rPr>
      </w:pPr>
    </w:p>
    <w:p w14:paraId="62C1BC9C" w14:textId="77777777" w:rsidR="004C60F2" w:rsidRPr="002F0045" w:rsidRDefault="004C60F2" w:rsidP="004C60F2">
      <w:pPr>
        <w:keepNext/>
        <w:rPr>
          <w:rFonts w:ascii="Arial" w:hAnsi="Arial" w:cs="Arial"/>
          <w:sz w:val="20"/>
          <w:szCs w:val="20"/>
        </w:rPr>
      </w:pPr>
      <w:r w:rsidRPr="002F0045">
        <w:rPr>
          <w:rFonts w:ascii="Arial" w:hAnsi="Arial" w:cs="Arial"/>
          <w:b/>
          <w:sz w:val="20"/>
          <w:szCs w:val="20"/>
        </w:rPr>
        <w:t>Table 1.</w:t>
      </w:r>
      <w:r w:rsidRPr="002F0045">
        <w:rPr>
          <w:rFonts w:ascii="Arial" w:hAnsi="Arial" w:cs="Arial"/>
          <w:sz w:val="20"/>
          <w:szCs w:val="20"/>
        </w:rPr>
        <w:t xml:space="preserve">  Propo</w:t>
      </w:r>
      <w:r>
        <w:rPr>
          <w:rFonts w:ascii="Arial" w:hAnsi="Arial" w:cs="Arial"/>
          <w:sz w:val="20"/>
          <w:szCs w:val="20"/>
        </w:rPr>
        <w:t>sed ABC and ACLs for</w:t>
      </w:r>
      <w:r w:rsidRPr="002F0045">
        <w:rPr>
          <w:rFonts w:ascii="Arial" w:hAnsi="Arial" w:cs="Arial"/>
          <w:sz w:val="20"/>
          <w:szCs w:val="20"/>
        </w:rPr>
        <w:t xml:space="preserve"> </w:t>
      </w:r>
      <w:r>
        <w:rPr>
          <w:rFonts w:ascii="Arial" w:hAnsi="Arial" w:cs="Arial"/>
          <w:sz w:val="20"/>
          <w:szCs w:val="20"/>
        </w:rPr>
        <w:t>mutton snapper</w:t>
      </w:r>
      <w:r w:rsidRPr="002F0045">
        <w:rPr>
          <w:rFonts w:ascii="Arial" w:hAnsi="Arial" w:cs="Arial"/>
          <w:sz w:val="20"/>
          <w:szCs w:val="20"/>
        </w:rPr>
        <w:t xml:space="preserve">.  This example is for </w:t>
      </w:r>
      <w:r w:rsidRPr="00163718">
        <w:rPr>
          <w:rFonts w:ascii="Arial" w:hAnsi="Arial" w:cs="Arial"/>
          <w:b/>
          <w:sz w:val="20"/>
          <w:szCs w:val="20"/>
        </w:rPr>
        <w:t>Preferred</w:t>
      </w:r>
      <w:r>
        <w:rPr>
          <w:rFonts w:ascii="Arial" w:hAnsi="Arial" w:cs="Arial"/>
          <w:sz w:val="20"/>
          <w:szCs w:val="20"/>
        </w:rPr>
        <w:t xml:space="preserve"> </w:t>
      </w:r>
      <w:r w:rsidRPr="002F0045">
        <w:rPr>
          <w:rFonts w:ascii="Arial" w:hAnsi="Arial" w:cs="Arial"/>
          <w:b/>
          <w:sz w:val="20"/>
          <w:szCs w:val="20"/>
        </w:rPr>
        <w:t>Sub-alternative 2a</w:t>
      </w:r>
      <w:r w:rsidRPr="002F0045">
        <w:rPr>
          <w:rFonts w:ascii="Arial" w:hAnsi="Arial" w:cs="Arial"/>
          <w:sz w:val="20"/>
          <w:szCs w:val="20"/>
        </w:rPr>
        <w:t xml:space="preserve"> in </w:t>
      </w:r>
      <w:r w:rsidRPr="002F0045">
        <w:rPr>
          <w:rFonts w:ascii="Arial" w:hAnsi="Arial" w:cs="Arial"/>
          <w:b/>
          <w:sz w:val="20"/>
          <w:szCs w:val="20"/>
        </w:rPr>
        <w:t xml:space="preserve">Action </w:t>
      </w:r>
      <w:r>
        <w:rPr>
          <w:rFonts w:ascii="Arial" w:hAnsi="Arial" w:cs="Arial"/>
          <w:b/>
          <w:sz w:val="20"/>
          <w:szCs w:val="20"/>
        </w:rPr>
        <w:t>3</w:t>
      </w:r>
      <w:r w:rsidRPr="002F0045">
        <w:rPr>
          <w:rFonts w:ascii="Arial" w:hAnsi="Arial" w:cs="Arial"/>
          <w:sz w:val="20"/>
          <w:szCs w:val="20"/>
        </w:rPr>
        <w:t xml:space="preserve"> (ACL=</w:t>
      </w:r>
      <w:r>
        <w:rPr>
          <w:rFonts w:ascii="Arial" w:hAnsi="Arial" w:cs="Arial"/>
          <w:sz w:val="20"/>
          <w:szCs w:val="20"/>
        </w:rPr>
        <w:t>OY=</w:t>
      </w:r>
      <w:r w:rsidRPr="002F0045">
        <w:rPr>
          <w:rFonts w:ascii="Arial" w:hAnsi="Arial" w:cs="Arial"/>
          <w:sz w:val="20"/>
          <w:szCs w:val="20"/>
        </w:rPr>
        <w:t xml:space="preserve">ABC).  The average weight is estimated by the stock assessment model.  The average weight of commercially caught </w:t>
      </w:r>
      <w:r>
        <w:rPr>
          <w:rFonts w:ascii="Arial" w:hAnsi="Arial" w:cs="Arial"/>
          <w:sz w:val="20"/>
          <w:szCs w:val="20"/>
        </w:rPr>
        <w:t>mutton snapper</w:t>
      </w:r>
      <w:r w:rsidRPr="002F0045">
        <w:rPr>
          <w:rFonts w:ascii="Arial" w:hAnsi="Arial" w:cs="Arial"/>
          <w:sz w:val="20"/>
          <w:szCs w:val="20"/>
        </w:rPr>
        <w:t xml:space="preserve"> is </w:t>
      </w:r>
      <w:r>
        <w:rPr>
          <w:rFonts w:ascii="Arial" w:hAnsi="Arial" w:cs="Arial"/>
          <w:sz w:val="20"/>
          <w:szCs w:val="20"/>
        </w:rPr>
        <w:t>7.68</w:t>
      </w:r>
      <w:r w:rsidRPr="002F0045">
        <w:rPr>
          <w:rFonts w:ascii="Arial" w:hAnsi="Arial" w:cs="Arial"/>
          <w:sz w:val="20"/>
          <w:szCs w:val="20"/>
        </w:rPr>
        <w:t xml:space="preserve"> lbs. based on commercial samples.  </w:t>
      </w:r>
    </w:p>
    <w:tbl>
      <w:tblPr>
        <w:tblW w:w="9648" w:type="dxa"/>
        <w:tblInd w:w="-72" w:type="dxa"/>
        <w:tblLook w:val="04A0" w:firstRow="1" w:lastRow="0" w:firstColumn="1" w:lastColumn="0" w:noHBand="0" w:noVBand="1"/>
      </w:tblPr>
      <w:tblGrid>
        <w:gridCol w:w="862"/>
        <w:gridCol w:w="1109"/>
        <w:gridCol w:w="1144"/>
        <w:gridCol w:w="1295"/>
        <w:gridCol w:w="1170"/>
        <w:gridCol w:w="1440"/>
        <w:gridCol w:w="1440"/>
        <w:gridCol w:w="1188"/>
      </w:tblGrid>
      <w:tr w:rsidR="004C60F2" w:rsidRPr="004C60F2" w14:paraId="2F2431E0" w14:textId="77777777" w:rsidTr="00C11712">
        <w:trPr>
          <w:trHeight w:val="289"/>
        </w:trPr>
        <w:tc>
          <w:tcPr>
            <w:tcW w:w="964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6D8F6E" w14:textId="77777777" w:rsidR="004C60F2" w:rsidRPr="004C60F2" w:rsidRDefault="004C60F2" w:rsidP="00C11712">
            <w:pPr>
              <w:keepNext/>
              <w:jc w:val="center"/>
              <w:rPr>
                <w:b/>
                <w:bCs/>
                <w:color w:val="000000"/>
                <w:sz w:val="22"/>
                <w:szCs w:val="22"/>
              </w:rPr>
            </w:pPr>
            <w:r w:rsidRPr="004C60F2">
              <w:rPr>
                <w:b/>
                <w:bCs/>
                <w:color w:val="000000"/>
                <w:sz w:val="22"/>
                <w:szCs w:val="22"/>
              </w:rPr>
              <w:t>New Proposed Method To Calculate Mutton snapper ACL Using Only Comm Avg Wt</w:t>
            </w:r>
          </w:p>
        </w:tc>
      </w:tr>
      <w:tr w:rsidR="004C60F2" w:rsidRPr="004C60F2" w14:paraId="017B884B" w14:textId="77777777" w:rsidTr="00C11712">
        <w:trPr>
          <w:trHeight w:val="300"/>
        </w:trPr>
        <w:tc>
          <w:tcPr>
            <w:tcW w:w="86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A9A19B9" w14:textId="77777777" w:rsidR="004C60F2" w:rsidRPr="004C60F2" w:rsidRDefault="004C60F2" w:rsidP="00C11712">
            <w:pPr>
              <w:keepNext/>
              <w:jc w:val="center"/>
              <w:rPr>
                <w:b/>
                <w:bCs/>
                <w:color w:val="000000"/>
                <w:sz w:val="22"/>
                <w:szCs w:val="22"/>
              </w:rPr>
            </w:pPr>
            <w:r w:rsidRPr="004C60F2">
              <w:rPr>
                <w:b/>
                <w:bCs/>
                <w:color w:val="000000"/>
                <w:sz w:val="22"/>
                <w:szCs w:val="22"/>
              </w:rPr>
              <w:t>Year</w:t>
            </w:r>
          </w:p>
        </w:tc>
        <w:tc>
          <w:tcPr>
            <w:tcW w:w="1109" w:type="dxa"/>
            <w:tcBorders>
              <w:top w:val="nil"/>
              <w:left w:val="nil"/>
              <w:bottom w:val="single" w:sz="4" w:space="0" w:color="auto"/>
              <w:right w:val="single" w:sz="4" w:space="0" w:color="auto"/>
            </w:tcBorders>
            <w:shd w:val="clear" w:color="auto" w:fill="D9D9D9" w:themeFill="background1" w:themeFillShade="D9"/>
            <w:noWrap/>
            <w:vAlign w:val="center"/>
            <w:hideMark/>
          </w:tcPr>
          <w:p w14:paraId="24D97C4A" w14:textId="77777777" w:rsidR="004C60F2" w:rsidRPr="004C60F2" w:rsidRDefault="004C60F2" w:rsidP="00C11712">
            <w:pPr>
              <w:keepNext/>
              <w:jc w:val="center"/>
              <w:rPr>
                <w:b/>
                <w:bCs/>
                <w:color w:val="000000"/>
                <w:sz w:val="22"/>
                <w:szCs w:val="22"/>
              </w:rPr>
            </w:pPr>
            <w:r w:rsidRPr="004C60F2">
              <w:rPr>
                <w:b/>
                <w:bCs/>
                <w:color w:val="000000"/>
                <w:sz w:val="22"/>
                <w:szCs w:val="22"/>
              </w:rPr>
              <w:t>Total ABC</w:t>
            </w:r>
          </w:p>
        </w:tc>
        <w:tc>
          <w:tcPr>
            <w:tcW w:w="114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681F18F" w14:textId="77777777" w:rsidR="004C60F2" w:rsidRPr="004C60F2" w:rsidRDefault="004C60F2" w:rsidP="00C11712">
            <w:pPr>
              <w:keepNext/>
              <w:jc w:val="center"/>
              <w:rPr>
                <w:b/>
                <w:bCs/>
                <w:color w:val="000000"/>
                <w:sz w:val="22"/>
                <w:szCs w:val="22"/>
              </w:rPr>
            </w:pPr>
            <w:r w:rsidRPr="004C60F2">
              <w:rPr>
                <w:b/>
                <w:bCs/>
                <w:color w:val="000000"/>
                <w:sz w:val="22"/>
                <w:szCs w:val="22"/>
              </w:rPr>
              <w:t>SA ABC</w:t>
            </w:r>
          </w:p>
        </w:tc>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1CCA27" w14:textId="77777777" w:rsidR="004C60F2" w:rsidRPr="004C60F2" w:rsidRDefault="004C60F2" w:rsidP="00C11712">
            <w:pPr>
              <w:keepNext/>
              <w:jc w:val="center"/>
              <w:rPr>
                <w:b/>
                <w:bCs/>
                <w:color w:val="000000"/>
                <w:sz w:val="22"/>
                <w:szCs w:val="22"/>
              </w:rPr>
            </w:pPr>
            <w:r w:rsidRPr="004C60F2">
              <w:rPr>
                <w:b/>
                <w:bCs/>
                <w:color w:val="000000"/>
                <w:sz w:val="22"/>
                <w:szCs w:val="22"/>
              </w:rPr>
              <w:t xml:space="preserve">Model Proj </w:t>
            </w:r>
          </w:p>
          <w:p w14:paraId="2583ED6C" w14:textId="77777777" w:rsidR="004C60F2" w:rsidRPr="004C60F2" w:rsidRDefault="004C60F2" w:rsidP="00C11712">
            <w:pPr>
              <w:keepNext/>
              <w:jc w:val="center"/>
              <w:rPr>
                <w:b/>
                <w:bCs/>
                <w:color w:val="000000"/>
                <w:sz w:val="22"/>
                <w:szCs w:val="22"/>
              </w:rPr>
            </w:pPr>
            <w:r w:rsidRPr="004C60F2">
              <w:rPr>
                <w:b/>
                <w:bCs/>
                <w:color w:val="000000"/>
                <w:sz w:val="22"/>
                <w:szCs w:val="22"/>
              </w:rPr>
              <w:t>Avg Wt</w:t>
            </w:r>
          </w:p>
        </w:tc>
        <w:tc>
          <w:tcPr>
            <w:tcW w:w="117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1380501" w14:textId="77777777" w:rsidR="004C60F2" w:rsidRPr="004C60F2" w:rsidRDefault="004C60F2" w:rsidP="00C11712">
            <w:pPr>
              <w:keepNext/>
              <w:jc w:val="center"/>
              <w:rPr>
                <w:b/>
                <w:bCs/>
                <w:color w:val="000000"/>
                <w:sz w:val="22"/>
                <w:szCs w:val="22"/>
              </w:rPr>
            </w:pPr>
            <w:r w:rsidRPr="004C60F2">
              <w:rPr>
                <w:b/>
                <w:bCs/>
                <w:color w:val="000000"/>
                <w:sz w:val="22"/>
                <w:szCs w:val="22"/>
              </w:rPr>
              <w:t>Yield of ABC</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hideMark/>
          </w:tcPr>
          <w:p w14:paraId="6D24CDC1" w14:textId="77777777" w:rsidR="004C60F2" w:rsidRPr="004C60F2" w:rsidRDefault="004C60F2" w:rsidP="00C11712">
            <w:pPr>
              <w:keepNext/>
              <w:jc w:val="center"/>
              <w:rPr>
                <w:b/>
                <w:bCs/>
                <w:color w:val="000000"/>
                <w:sz w:val="22"/>
                <w:szCs w:val="22"/>
              </w:rPr>
            </w:pPr>
            <w:r w:rsidRPr="004C60F2">
              <w:rPr>
                <w:b/>
                <w:bCs/>
                <w:color w:val="000000"/>
                <w:sz w:val="22"/>
                <w:szCs w:val="22"/>
              </w:rPr>
              <w:t>Yield of Comm ACL</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hideMark/>
          </w:tcPr>
          <w:p w14:paraId="37F64F83" w14:textId="77777777" w:rsidR="004C60F2" w:rsidRPr="004C60F2" w:rsidRDefault="004C60F2" w:rsidP="00C11712">
            <w:pPr>
              <w:keepNext/>
              <w:jc w:val="center"/>
              <w:rPr>
                <w:b/>
                <w:bCs/>
                <w:color w:val="000000"/>
                <w:sz w:val="22"/>
                <w:szCs w:val="22"/>
              </w:rPr>
            </w:pPr>
            <w:r w:rsidRPr="004C60F2">
              <w:rPr>
                <w:b/>
                <w:bCs/>
                <w:color w:val="000000"/>
                <w:sz w:val="22"/>
                <w:szCs w:val="22"/>
              </w:rPr>
              <w:t>Comm ACL</w:t>
            </w:r>
          </w:p>
        </w:tc>
        <w:tc>
          <w:tcPr>
            <w:tcW w:w="1188" w:type="dxa"/>
            <w:tcBorders>
              <w:top w:val="nil"/>
              <w:left w:val="nil"/>
              <w:bottom w:val="single" w:sz="4" w:space="0" w:color="auto"/>
              <w:right w:val="single" w:sz="4" w:space="0" w:color="auto"/>
            </w:tcBorders>
            <w:shd w:val="clear" w:color="auto" w:fill="D9D9D9" w:themeFill="background1" w:themeFillShade="D9"/>
            <w:noWrap/>
            <w:vAlign w:val="center"/>
            <w:hideMark/>
          </w:tcPr>
          <w:p w14:paraId="7F552BBA" w14:textId="77777777" w:rsidR="004C60F2" w:rsidRPr="004C60F2" w:rsidRDefault="004C60F2" w:rsidP="00C11712">
            <w:pPr>
              <w:keepNext/>
              <w:jc w:val="center"/>
              <w:rPr>
                <w:b/>
                <w:bCs/>
                <w:color w:val="000000"/>
                <w:sz w:val="22"/>
                <w:szCs w:val="22"/>
              </w:rPr>
            </w:pPr>
            <w:r w:rsidRPr="004C60F2">
              <w:rPr>
                <w:b/>
                <w:bCs/>
                <w:color w:val="000000"/>
                <w:sz w:val="22"/>
                <w:szCs w:val="22"/>
              </w:rPr>
              <w:t>Rec ACL</w:t>
            </w:r>
          </w:p>
        </w:tc>
      </w:tr>
      <w:tr w:rsidR="004C60F2" w:rsidRPr="004C60F2" w14:paraId="5CF29F1D" w14:textId="77777777" w:rsidTr="00C11712">
        <w:trPr>
          <w:trHeight w:val="300"/>
        </w:trPr>
        <w:tc>
          <w:tcPr>
            <w:tcW w:w="86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285353" w14:textId="77777777" w:rsidR="004C60F2" w:rsidRPr="004C60F2" w:rsidRDefault="004C60F2" w:rsidP="00C11712">
            <w:pPr>
              <w:keepNext/>
              <w:rPr>
                <w:b/>
                <w:bCs/>
                <w:color w:val="000000"/>
                <w:sz w:val="22"/>
                <w:szCs w:val="22"/>
              </w:rPr>
            </w:pPr>
          </w:p>
        </w:tc>
        <w:tc>
          <w:tcPr>
            <w:tcW w:w="1109" w:type="dxa"/>
            <w:tcBorders>
              <w:top w:val="nil"/>
              <w:left w:val="nil"/>
              <w:bottom w:val="single" w:sz="4" w:space="0" w:color="auto"/>
              <w:right w:val="single" w:sz="4" w:space="0" w:color="auto"/>
            </w:tcBorders>
            <w:shd w:val="clear" w:color="auto" w:fill="D9D9D9" w:themeFill="background1" w:themeFillShade="D9"/>
            <w:noWrap/>
            <w:vAlign w:val="center"/>
            <w:hideMark/>
          </w:tcPr>
          <w:p w14:paraId="55118C31" w14:textId="77777777" w:rsidR="004C60F2" w:rsidRPr="004C60F2" w:rsidRDefault="004C60F2" w:rsidP="00C11712">
            <w:pPr>
              <w:keepNext/>
              <w:jc w:val="center"/>
              <w:rPr>
                <w:b/>
                <w:bCs/>
                <w:color w:val="000000"/>
                <w:sz w:val="22"/>
                <w:szCs w:val="22"/>
              </w:rPr>
            </w:pPr>
            <w:r w:rsidRPr="004C60F2">
              <w:rPr>
                <w:b/>
                <w:bCs/>
                <w:color w:val="000000"/>
                <w:sz w:val="22"/>
                <w:szCs w:val="22"/>
              </w:rPr>
              <w:t>(number)</w:t>
            </w:r>
          </w:p>
        </w:tc>
        <w:tc>
          <w:tcPr>
            <w:tcW w:w="1144" w:type="dxa"/>
            <w:tcBorders>
              <w:top w:val="single" w:sz="4" w:space="0" w:color="auto"/>
              <w:left w:val="nil"/>
              <w:bottom w:val="single" w:sz="4" w:space="0" w:color="auto"/>
              <w:right w:val="single" w:sz="4" w:space="0" w:color="auto"/>
            </w:tcBorders>
            <w:shd w:val="clear" w:color="auto" w:fill="D9D9D9" w:themeFill="background1" w:themeFillShade="D9"/>
          </w:tcPr>
          <w:p w14:paraId="1D3C0E8B" w14:textId="77777777" w:rsidR="004C60F2" w:rsidRPr="004C60F2" w:rsidRDefault="004C60F2" w:rsidP="00C11712">
            <w:pPr>
              <w:keepNext/>
              <w:jc w:val="center"/>
              <w:rPr>
                <w:b/>
                <w:bCs/>
                <w:color w:val="000000"/>
                <w:sz w:val="22"/>
                <w:szCs w:val="22"/>
              </w:rPr>
            </w:pPr>
            <w:r w:rsidRPr="004C60F2">
              <w:rPr>
                <w:b/>
                <w:bCs/>
                <w:color w:val="000000"/>
                <w:sz w:val="22"/>
                <w:szCs w:val="22"/>
              </w:rPr>
              <w:t>(number)</w:t>
            </w:r>
          </w:p>
        </w:tc>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069CB3" w14:textId="77777777" w:rsidR="004C60F2" w:rsidRPr="004C60F2" w:rsidRDefault="004C60F2" w:rsidP="00C11712">
            <w:pPr>
              <w:keepNext/>
              <w:jc w:val="center"/>
              <w:rPr>
                <w:b/>
                <w:bCs/>
                <w:color w:val="000000"/>
                <w:sz w:val="22"/>
                <w:szCs w:val="22"/>
              </w:rPr>
            </w:pPr>
            <w:r w:rsidRPr="004C60F2">
              <w:rPr>
                <w:b/>
                <w:bCs/>
                <w:color w:val="000000"/>
                <w:sz w:val="22"/>
                <w:szCs w:val="22"/>
              </w:rPr>
              <w:t>(lbs/fish)</w:t>
            </w:r>
          </w:p>
        </w:tc>
        <w:tc>
          <w:tcPr>
            <w:tcW w:w="117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CB64D54" w14:textId="77777777" w:rsidR="004C60F2" w:rsidRPr="004C60F2" w:rsidRDefault="004C60F2" w:rsidP="00C11712">
            <w:pPr>
              <w:keepNext/>
              <w:jc w:val="center"/>
              <w:rPr>
                <w:b/>
                <w:bCs/>
                <w:color w:val="000000"/>
                <w:sz w:val="22"/>
                <w:szCs w:val="22"/>
              </w:rPr>
            </w:pPr>
            <w:r w:rsidRPr="004C60F2">
              <w:rPr>
                <w:b/>
                <w:bCs/>
                <w:color w:val="000000"/>
                <w:sz w:val="22"/>
                <w:szCs w:val="22"/>
              </w:rPr>
              <w:t>(pounds)</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hideMark/>
          </w:tcPr>
          <w:p w14:paraId="68C1623C" w14:textId="77777777" w:rsidR="004C60F2" w:rsidRPr="004C60F2" w:rsidRDefault="004C60F2" w:rsidP="00C11712">
            <w:pPr>
              <w:keepNext/>
              <w:jc w:val="center"/>
              <w:rPr>
                <w:b/>
                <w:bCs/>
                <w:color w:val="000000"/>
                <w:sz w:val="22"/>
                <w:szCs w:val="22"/>
              </w:rPr>
            </w:pPr>
            <w:r w:rsidRPr="004C60F2">
              <w:rPr>
                <w:b/>
                <w:bCs/>
                <w:color w:val="000000"/>
                <w:sz w:val="22"/>
                <w:szCs w:val="22"/>
              </w:rPr>
              <w:t>(pounds)</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hideMark/>
          </w:tcPr>
          <w:p w14:paraId="5DE28604" w14:textId="77777777" w:rsidR="004C60F2" w:rsidRPr="004C60F2" w:rsidRDefault="004C60F2" w:rsidP="00C11712">
            <w:pPr>
              <w:keepNext/>
              <w:jc w:val="center"/>
              <w:rPr>
                <w:b/>
                <w:bCs/>
                <w:color w:val="000000"/>
                <w:sz w:val="22"/>
                <w:szCs w:val="22"/>
              </w:rPr>
            </w:pPr>
            <w:r w:rsidRPr="004C60F2">
              <w:rPr>
                <w:b/>
                <w:bCs/>
                <w:color w:val="000000"/>
                <w:sz w:val="22"/>
                <w:szCs w:val="22"/>
              </w:rPr>
              <w:t>(number)</w:t>
            </w:r>
          </w:p>
        </w:tc>
        <w:tc>
          <w:tcPr>
            <w:tcW w:w="1188" w:type="dxa"/>
            <w:tcBorders>
              <w:top w:val="nil"/>
              <w:left w:val="nil"/>
              <w:bottom w:val="single" w:sz="4" w:space="0" w:color="auto"/>
              <w:right w:val="single" w:sz="4" w:space="0" w:color="auto"/>
            </w:tcBorders>
            <w:shd w:val="clear" w:color="auto" w:fill="D9D9D9" w:themeFill="background1" w:themeFillShade="D9"/>
            <w:noWrap/>
            <w:vAlign w:val="center"/>
            <w:hideMark/>
          </w:tcPr>
          <w:p w14:paraId="563C28B6" w14:textId="77777777" w:rsidR="004C60F2" w:rsidRPr="004C60F2" w:rsidRDefault="004C60F2" w:rsidP="00C11712">
            <w:pPr>
              <w:keepNext/>
              <w:jc w:val="center"/>
              <w:rPr>
                <w:b/>
                <w:bCs/>
                <w:color w:val="000000"/>
                <w:sz w:val="22"/>
                <w:szCs w:val="22"/>
              </w:rPr>
            </w:pPr>
            <w:r w:rsidRPr="004C60F2">
              <w:rPr>
                <w:b/>
                <w:bCs/>
                <w:color w:val="000000"/>
                <w:sz w:val="22"/>
                <w:szCs w:val="22"/>
              </w:rPr>
              <w:t>(number)</w:t>
            </w:r>
          </w:p>
        </w:tc>
      </w:tr>
      <w:tr w:rsidR="004C60F2" w:rsidRPr="004C60F2" w14:paraId="594A8F48" w14:textId="77777777" w:rsidTr="00C11712">
        <w:trPr>
          <w:trHeight w:val="289"/>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62CF02EF" w14:textId="77777777" w:rsidR="004C60F2" w:rsidRPr="004C60F2" w:rsidRDefault="004C60F2" w:rsidP="00C11712">
            <w:pPr>
              <w:keepNext/>
              <w:jc w:val="center"/>
              <w:rPr>
                <w:color w:val="000000"/>
                <w:sz w:val="22"/>
                <w:szCs w:val="22"/>
              </w:rPr>
            </w:pPr>
            <w:r w:rsidRPr="004C60F2">
              <w:rPr>
                <w:color w:val="000000"/>
                <w:sz w:val="22"/>
                <w:szCs w:val="22"/>
              </w:rPr>
              <w:t>2017</w:t>
            </w:r>
          </w:p>
        </w:tc>
        <w:tc>
          <w:tcPr>
            <w:tcW w:w="1109" w:type="dxa"/>
            <w:tcBorders>
              <w:top w:val="nil"/>
              <w:left w:val="nil"/>
              <w:bottom w:val="single" w:sz="4" w:space="0" w:color="auto"/>
              <w:right w:val="single" w:sz="4" w:space="0" w:color="auto"/>
            </w:tcBorders>
            <w:shd w:val="clear" w:color="auto" w:fill="auto"/>
            <w:noWrap/>
            <w:vAlign w:val="center"/>
          </w:tcPr>
          <w:p w14:paraId="3AB07E24" w14:textId="77777777" w:rsidR="004C60F2" w:rsidRPr="004C60F2" w:rsidRDefault="004C60F2" w:rsidP="00C11712">
            <w:pPr>
              <w:keepNext/>
              <w:jc w:val="center"/>
              <w:rPr>
                <w:color w:val="000000"/>
                <w:sz w:val="22"/>
                <w:szCs w:val="22"/>
              </w:rPr>
            </w:pPr>
            <w:r w:rsidRPr="004C60F2">
              <w:rPr>
                <w:color w:val="000000"/>
                <w:sz w:val="22"/>
                <w:szCs w:val="22"/>
              </w:rPr>
              <w:t>157,500</w:t>
            </w:r>
          </w:p>
        </w:tc>
        <w:tc>
          <w:tcPr>
            <w:tcW w:w="1144" w:type="dxa"/>
            <w:tcBorders>
              <w:top w:val="single" w:sz="4" w:space="0" w:color="auto"/>
              <w:left w:val="nil"/>
              <w:bottom w:val="single" w:sz="4" w:space="0" w:color="auto"/>
              <w:right w:val="single" w:sz="4" w:space="0" w:color="auto"/>
            </w:tcBorders>
            <w:vAlign w:val="center"/>
          </w:tcPr>
          <w:p w14:paraId="1FE3F376" w14:textId="77777777" w:rsidR="004C60F2" w:rsidRPr="004C60F2" w:rsidRDefault="004C60F2" w:rsidP="00C11712">
            <w:pPr>
              <w:keepNext/>
              <w:jc w:val="center"/>
              <w:rPr>
                <w:color w:val="000000"/>
                <w:sz w:val="22"/>
                <w:szCs w:val="22"/>
              </w:rPr>
            </w:pPr>
            <w:r w:rsidRPr="004C60F2">
              <w:rPr>
                <w:color w:val="000000"/>
                <w:sz w:val="22"/>
                <w:szCs w:val="22"/>
              </w:rPr>
              <w:t>129,150</w:t>
            </w:r>
          </w:p>
        </w:tc>
        <w:tc>
          <w:tcPr>
            <w:tcW w:w="1295" w:type="dxa"/>
            <w:tcBorders>
              <w:top w:val="single" w:sz="4" w:space="0" w:color="auto"/>
              <w:left w:val="single" w:sz="4" w:space="0" w:color="auto"/>
              <w:bottom w:val="single" w:sz="4" w:space="0" w:color="auto"/>
              <w:right w:val="single" w:sz="4" w:space="0" w:color="auto"/>
            </w:tcBorders>
            <w:vAlign w:val="center"/>
          </w:tcPr>
          <w:p w14:paraId="06FFBB2E" w14:textId="77777777" w:rsidR="004C60F2" w:rsidRPr="004C60F2" w:rsidRDefault="004C60F2" w:rsidP="00C11712">
            <w:pPr>
              <w:keepNext/>
              <w:jc w:val="center"/>
              <w:rPr>
                <w:color w:val="000000"/>
                <w:sz w:val="22"/>
                <w:szCs w:val="22"/>
              </w:rPr>
            </w:pPr>
            <w:r w:rsidRPr="004C60F2">
              <w:rPr>
                <w:color w:val="000000"/>
                <w:sz w:val="22"/>
                <w:szCs w:val="22"/>
              </w:rPr>
              <w:t>4.55</w:t>
            </w:r>
          </w:p>
        </w:tc>
        <w:tc>
          <w:tcPr>
            <w:tcW w:w="1170" w:type="dxa"/>
            <w:tcBorders>
              <w:top w:val="nil"/>
              <w:left w:val="single" w:sz="4" w:space="0" w:color="auto"/>
              <w:bottom w:val="single" w:sz="4" w:space="0" w:color="auto"/>
              <w:right w:val="single" w:sz="4" w:space="0" w:color="auto"/>
            </w:tcBorders>
            <w:shd w:val="clear" w:color="auto" w:fill="auto"/>
            <w:noWrap/>
            <w:vAlign w:val="center"/>
          </w:tcPr>
          <w:p w14:paraId="1BBC87DD" w14:textId="77777777" w:rsidR="004C60F2" w:rsidRPr="004C60F2" w:rsidRDefault="004C60F2" w:rsidP="00C11712">
            <w:pPr>
              <w:keepNext/>
              <w:jc w:val="center"/>
              <w:rPr>
                <w:color w:val="000000"/>
                <w:sz w:val="22"/>
                <w:szCs w:val="22"/>
              </w:rPr>
            </w:pPr>
            <w:r w:rsidRPr="004C60F2">
              <w:rPr>
                <w:color w:val="000000"/>
                <w:sz w:val="22"/>
                <w:szCs w:val="22"/>
              </w:rPr>
              <w:t>587,633</w:t>
            </w:r>
          </w:p>
        </w:tc>
        <w:tc>
          <w:tcPr>
            <w:tcW w:w="1440" w:type="dxa"/>
            <w:tcBorders>
              <w:top w:val="nil"/>
              <w:left w:val="nil"/>
              <w:bottom w:val="single" w:sz="4" w:space="0" w:color="auto"/>
              <w:right w:val="single" w:sz="4" w:space="0" w:color="auto"/>
            </w:tcBorders>
            <w:shd w:val="clear" w:color="auto" w:fill="auto"/>
            <w:noWrap/>
            <w:vAlign w:val="center"/>
          </w:tcPr>
          <w:p w14:paraId="2AB4ECF2" w14:textId="77777777" w:rsidR="004C60F2" w:rsidRPr="004C60F2" w:rsidRDefault="004C60F2" w:rsidP="00C11712">
            <w:pPr>
              <w:keepNext/>
              <w:jc w:val="center"/>
              <w:rPr>
                <w:color w:val="000000"/>
                <w:sz w:val="22"/>
                <w:szCs w:val="22"/>
              </w:rPr>
            </w:pPr>
            <w:r w:rsidRPr="004C60F2">
              <w:rPr>
                <w:color w:val="000000"/>
                <w:sz w:val="22"/>
                <w:szCs w:val="22"/>
              </w:rPr>
              <w:t>100,015</w:t>
            </w:r>
          </w:p>
        </w:tc>
        <w:tc>
          <w:tcPr>
            <w:tcW w:w="1440" w:type="dxa"/>
            <w:tcBorders>
              <w:top w:val="nil"/>
              <w:left w:val="nil"/>
              <w:bottom w:val="single" w:sz="4" w:space="0" w:color="auto"/>
              <w:right w:val="single" w:sz="4" w:space="0" w:color="auto"/>
            </w:tcBorders>
            <w:shd w:val="clear" w:color="auto" w:fill="auto"/>
            <w:noWrap/>
            <w:vAlign w:val="center"/>
          </w:tcPr>
          <w:p w14:paraId="79F2DA93" w14:textId="77777777" w:rsidR="004C60F2" w:rsidRPr="004C60F2" w:rsidRDefault="004C60F2" w:rsidP="00C11712">
            <w:pPr>
              <w:keepNext/>
              <w:jc w:val="center"/>
              <w:rPr>
                <w:color w:val="000000"/>
                <w:sz w:val="22"/>
                <w:szCs w:val="22"/>
              </w:rPr>
            </w:pPr>
            <w:r w:rsidRPr="004C60F2">
              <w:rPr>
                <w:color w:val="000000"/>
                <w:sz w:val="22"/>
                <w:szCs w:val="22"/>
              </w:rPr>
              <w:t>13,023</w:t>
            </w:r>
          </w:p>
        </w:tc>
        <w:tc>
          <w:tcPr>
            <w:tcW w:w="1188" w:type="dxa"/>
            <w:tcBorders>
              <w:top w:val="nil"/>
              <w:left w:val="nil"/>
              <w:bottom w:val="single" w:sz="4" w:space="0" w:color="auto"/>
              <w:right w:val="single" w:sz="4" w:space="0" w:color="auto"/>
            </w:tcBorders>
            <w:shd w:val="clear" w:color="auto" w:fill="auto"/>
            <w:noWrap/>
            <w:vAlign w:val="center"/>
          </w:tcPr>
          <w:p w14:paraId="74B8315C" w14:textId="77777777" w:rsidR="004C60F2" w:rsidRPr="004C60F2" w:rsidRDefault="004C60F2" w:rsidP="00C11712">
            <w:pPr>
              <w:keepNext/>
              <w:jc w:val="center"/>
              <w:rPr>
                <w:color w:val="000000"/>
                <w:sz w:val="22"/>
                <w:szCs w:val="22"/>
              </w:rPr>
            </w:pPr>
            <w:r w:rsidRPr="004C60F2">
              <w:rPr>
                <w:color w:val="000000"/>
                <w:sz w:val="22"/>
                <w:szCs w:val="22"/>
              </w:rPr>
              <w:t>116,127</w:t>
            </w:r>
          </w:p>
        </w:tc>
      </w:tr>
      <w:tr w:rsidR="004C60F2" w:rsidRPr="004C60F2" w14:paraId="00118003" w14:textId="77777777" w:rsidTr="00C11712">
        <w:trPr>
          <w:trHeight w:val="289"/>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1C67968C" w14:textId="77777777" w:rsidR="004C60F2" w:rsidRPr="004C60F2" w:rsidRDefault="004C60F2" w:rsidP="00C11712">
            <w:pPr>
              <w:keepNext/>
              <w:jc w:val="center"/>
              <w:rPr>
                <w:color w:val="000000"/>
                <w:sz w:val="22"/>
                <w:szCs w:val="22"/>
              </w:rPr>
            </w:pPr>
            <w:r w:rsidRPr="004C60F2">
              <w:rPr>
                <w:color w:val="000000"/>
                <w:sz w:val="22"/>
                <w:szCs w:val="22"/>
              </w:rPr>
              <w:t>2018</w:t>
            </w:r>
          </w:p>
        </w:tc>
        <w:tc>
          <w:tcPr>
            <w:tcW w:w="1109" w:type="dxa"/>
            <w:tcBorders>
              <w:top w:val="nil"/>
              <w:left w:val="nil"/>
              <w:bottom w:val="single" w:sz="4" w:space="0" w:color="auto"/>
              <w:right w:val="single" w:sz="4" w:space="0" w:color="auto"/>
            </w:tcBorders>
            <w:shd w:val="clear" w:color="auto" w:fill="auto"/>
            <w:noWrap/>
            <w:vAlign w:val="center"/>
          </w:tcPr>
          <w:p w14:paraId="4D074716" w14:textId="77777777" w:rsidR="004C60F2" w:rsidRPr="004C60F2" w:rsidRDefault="004C60F2" w:rsidP="00C11712">
            <w:pPr>
              <w:keepNext/>
              <w:jc w:val="center"/>
              <w:rPr>
                <w:color w:val="000000"/>
                <w:sz w:val="22"/>
                <w:szCs w:val="22"/>
              </w:rPr>
            </w:pPr>
            <w:r w:rsidRPr="004C60F2">
              <w:rPr>
                <w:color w:val="000000"/>
                <w:sz w:val="22"/>
                <w:szCs w:val="22"/>
              </w:rPr>
              <w:t>164,500</w:t>
            </w:r>
          </w:p>
        </w:tc>
        <w:tc>
          <w:tcPr>
            <w:tcW w:w="1144" w:type="dxa"/>
            <w:tcBorders>
              <w:top w:val="single" w:sz="4" w:space="0" w:color="auto"/>
              <w:left w:val="nil"/>
              <w:bottom w:val="single" w:sz="4" w:space="0" w:color="auto"/>
              <w:right w:val="single" w:sz="4" w:space="0" w:color="auto"/>
            </w:tcBorders>
            <w:vAlign w:val="center"/>
          </w:tcPr>
          <w:p w14:paraId="2B3EE2BF" w14:textId="77777777" w:rsidR="004C60F2" w:rsidRPr="004C60F2" w:rsidRDefault="004C60F2" w:rsidP="00C11712">
            <w:pPr>
              <w:keepNext/>
              <w:jc w:val="center"/>
              <w:rPr>
                <w:color w:val="000000"/>
                <w:sz w:val="22"/>
                <w:szCs w:val="22"/>
              </w:rPr>
            </w:pPr>
            <w:r w:rsidRPr="004C60F2">
              <w:rPr>
                <w:color w:val="000000"/>
                <w:sz w:val="22"/>
                <w:szCs w:val="22"/>
              </w:rPr>
              <w:t>134,890</w:t>
            </w:r>
          </w:p>
        </w:tc>
        <w:tc>
          <w:tcPr>
            <w:tcW w:w="1295" w:type="dxa"/>
            <w:tcBorders>
              <w:top w:val="single" w:sz="4" w:space="0" w:color="auto"/>
              <w:left w:val="single" w:sz="4" w:space="0" w:color="auto"/>
              <w:bottom w:val="single" w:sz="4" w:space="0" w:color="auto"/>
              <w:right w:val="single" w:sz="4" w:space="0" w:color="auto"/>
            </w:tcBorders>
            <w:vAlign w:val="center"/>
          </w:tcPr>
          <w:p w14:paraId="268D855E" w14:textId="77777777" w:rsidR="004C60F2" w:rsidRPr="004C60F2" w:rsidRDefault="004C60F2" w:rsidP="00C11712">
            <w:pPr>
              <w:keepNext/>
              <w:jc w:val="center"/>
              <w:rPr>
                <w:color w:val="000000"/>
                <w:sz w:val="22"/>
                <w:szCs w:val="22"/>
              </w:rPr>
            </w:pPr>
            <w:r w:rsidRPr="004C60F2">
              <w:rPr>
                <w:color w:val="000000"/>
                <w:sz w:val="22"/>
                <w:szCs w:val="22"/>
              </w:rPr>
              <w:t>4.54</w:t>
            </w:r>
          </w:p>
        </w:tc>
        <w:tc>
          <w:tcPr>
            <w:tcW w:w="1170" w:type="dxa"/>
            <w:tcBorders>
              <w:top w:val="nil"/>
              <w:left w:val="single" w:sz="4" w:space="0" w:color="auto"/>
              <w:bottom w:val="single" w:sz="4" w:space="0" w:color="auto"/>
              <w:right w:val="single" w:sz="4" w:space="0" w:color="auto"/>
            </w:tcBorders>
            <w:shd w:val="clear" w:color="auto" w:fill="auto"/>
            <w:noWrap/>
            <w:vAlign w:val="center"/>
          </w:tcPr>
          <w:p w14:paraId="1E4221AB" w14:textId="77777777" w:rsidR="004C60F2" w:rsidRPr="004C60F2" w:rsidRDefault="004C60F2" w:rsidP="00C11712">
            <w:pPr>
              <w:keepNext/>
              <w:jc w:val="center"/>
              <w:rPr>
                <w:color w:val="000000"/>
                <w:sz w:val="22"/>
                <w:szCs w:val="22"/>
              </w:rPr>
            </w:pPr>
            <w:r w:rsidRPr="004C60F2">
              <w:rPr>
                <w:color w:val="000000"/>
                <w:sz w:val="22"/>
                <w:szCs w:val="22"/>
              </w:rPr>
              <w:t>612,401</w:t>
            </w:r>
          </w:p>
        </w:tc>
        <w:tc>
          <w:tcPr>
            <w:tcW w:w="1440" w:type="dxa"/>
            <w:tcBorders>
              <w:top w:val="nil"/>
              <w:left w:val="nil"/>
              <w:bottom w:val="single" w:sz="4" w:space="0" w:color="auto"/>
              <w:right w:val="single" w:sz="4" w:space="0" w:color="auto"/>
            </w:tcBorders>
            <w:shd w:val="clear" w:color="auto" w:fill="auto"/>
            <w:noWrap/>
            <w:vAlign w:val="center"/>
          </w:tcPr>
          <w:p w14:paraId="6A1271A3" w14:textId="77777777" w:rsidR="004C60F2" w:rsidRPr="004C60F2" w:rsidRDefault="004C60F2" w:rsidP="00C11712">
            <w:pPr>
              <w:keepNext/>
              <w:jc w:val="center"/>
              <w:rPr>
                <w:color w:val="000000"/>
                <w:sz w:val="22"/>
                <w:szCs w:val="22"/>
              </w:rPr>
            </w:pPr>
            <w:r w:rsidRPr="004C60F2">
              <w:rPr>
                <w:color w:val="000000"/>
                <w:sz w:val="22"/>
                <w:szCs w:val="22"/>
              </w:rPr>
              <w:t>104,231</w:t>
            </w:r>
          </w:p>
        </w:tc>
        <w:tc>
          <w:tcPr>
            <w:tcW w:w="1440" w:type="dxa"/>
            <w:tcBorders>
              <w:top w:val="nil"/>
              <w:left w:val="nil"/>
              <w:bottom w:val="single" w:sz="4" w:space="0" w:color="auto"/>
              <w:right w:val="single" w:sz="4" w:space="0" w:color="auto"/>
            </w:tcBorders>
            <w:shd w:val="clear" w:color="auto" w:fill="auto"/>
            <w:noWrap/>
            <w:vAlign w:val="center"/>
          </w:tcPr>
          <w:p w14:paraId="609E7638" w14:textId="77777777" w:rsidR="004C60F2" w:rsidRPr="004C60F2" w:rsidRDefault="004C60F2" w:rsidP="00C11712">
            <w:pPr>
              <w:keepNext/>
              <w:jc w:val="center"/>
              <w:rPr>
                <w:color w:val="000000"/>
                <w:sz w:val="22"/>
                <w:szCs w:val="22"/>
              </w:rPr>
            </w:pPr>
            <w:r w:rsidRPr="004C60F2">
              <w:rPr>
                <w:color w:val="000000"/>
                <w:sz w:val="22"/>
                <w:szCs w:val="22"/>
              </w:rPr>
              <w:t>13,572</w:t>
            </w:r>
          </w:p>
        </w:tc>
        <w:tc>
          <w:tcPr>
            <w:tcW w:w="1188" w:type="dxa"/>
            <w:tcBorders>
              <w:top w:val="nil"/>
              <w:left w:val="nil"/>
              <w:bottom w:val="single" w:sz="4" w:space="0" w:color="auto"/>
              <w:right w:val="single" w:sz="4" w:space="0" w:color="auto"/>
            </w:tcBorders>
            <w:shd w:val="clear" w:color="auto" w:fill="auto"/>
            <w:noWrap/>
            <w:vAlign w:val="center"/>
          </w:tcPr>
          <w:p w14:paraId="3A2A33C9" w14:textId="77777777" w:rsidR="004C60F2" w:rsidRPr="004C60F2" w:rsidRDefault="004C60F2" w:rsidP="00C11712">
            <w:pPr>
              <w:keepNext/>
              <w:jc w:val="center"/>
              <w:rPr>
                <w:color w:val="000000"/>
                <w:sz w:val="22"/>
                <w:szCs w:val="22"/>
              </w:rPr>
            </w:pPr>
            <w:r w:rsidRPr="004C60F2">
              <w:rPr>
                <w:color w:val="000000"/>
                <w:sz w:val="22"/>
                <w:szCs w:val="22"/>
              </w:rPr>
              <w:t>121,318</w:t>
            </w:r>
          </w:p>
        </w:tc>
      </w:tr>
      <w:tr w:rsidR="004C60F2" w:rsidRPr="004C60F2" w14:paraId="45F5F054" w14:textId="77777777" w:rsidTr="00C11712">
        <w:trPr>
          <w:trHeight w:val="289"/>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3A68AC56" w14:textId="77777777" w:rsidR="004C60F2" w:rsidRPr="004C60F2" w:rsidRDefault="004C60F2" w:rsidP="00C11712">
            <w:pPr>
              <w:keepNext/>
              <w:jc w:val="center"/>
              <w:rPr>
                <w:color w:val="000000"/>
                <w:sz w:val="22"/>
                <w:szCs w:val="22"/>
              </w:rPr>
            </w:pPr>
            <w:r w:rsidRPr="004C60F2">
              <w:rPr>
                <w:color w:val="000000"/>
                <w:sz w:val="22"/>
                <w:szCs w:val="22"/>
              </w:rPr>
              <w:t>2019</w:t>
            </w:r>
          </w:p>
        </w:tc>
        <w:tc>
          <w:tcPr>
            <w:tcW w:w="1109" w:type="dxa"/>
            <w:tcBorders>
              <w:top w:val="nil"/>
              <w:left w:val="nil"/>
              <w:bottom w:val="single" w:sz="4" w:space="0" w:color="auto"/>
              <w:right w:val="single" w:sz="4" w:space="0" w:color="auto"/>
            </w:tcBorders>
            <w:shd w:val="clear" w:color="auto" w:fill="auto"/>
            <w:noWrap/>
            <w:vAlign w:val="center"/>
          </w:tcPr>
          <w:p w14:paraId="5CA83064" w14:textId="77777777" w:rsidR="004C60F2" w:rsidRPr="004C60F2" w:rsidRDefault="004C60F2" w:rsidP="00C11712">
            <w:pPr>
              <w:keepNext/>
              <w:jc w:val="center"/>
              <w:rPr>
                <w:color w:val="000000"/>
                <w:sz w:val="22"/>
                <w:szCs w:val="22"/>
              </w:rPr>
            </w:pPr>
            <w:r w:rsidRPr="004C60F2">
              <w:rPr>
                <w:color w:val="000000"/>
                <w:sz w:val="22"/>
                <w:szCs w:val="22"/>
              </w:rPr>
              <w:t>169,300</w:t>
            </w:r>
          </w:p>
        </w:tc>
        <w:tc>
          <w:tcPr>
            <w:tcW w:w="1144" w:type="dxa"/>
            <w:tcBorders>
              <w:top w:val="single" w:sz="4" w:space="0" w:color="auto"/>
              <w:left w:val="nil"/>
              <w:bottom w:val="single" w:sz="4" w:space="0" w:color="auto"/>
              <w:right w:val="single" w:sz="4" w:space="0" w:color="auto"/>
            </w:tcBorders>
            <w:vAlign w:val="center"/>
          </w:tcPr>
          <w:p w14:paraId="3B5548F1" w14:textId="77777777" w:rsidR="004C60F2" w:rsidRPr="004C60F2" w:rsidRDefault="004C60F2" w:rsidP="00C11712">
            <w:pPr>
              <w:keepNext/>
              <w:jc w:val="center"/>
              <w:rPr>
                <w:color w:val="000000"/>
                <w:sz w:val="22"/>
                <w:szCs w:val="22"/>
              </w:rPr>
            </w:pPr>
            <w:r w:rsidRPr="004C60F2">
              <w:rPr>
                <w:color w:val="000000"/>
                <w:sz w:val="22"/>
                <w:szCs w:val="22"/>
              </w:rPr>
              <w:t>138,826</w:t>
            </w:r>
          </w:p>
        </w:tc>
        <w:tc>
          <w:tcPr>
            <w:tcW w:w="1295" w:type="dxa"/>
            <w:tcBorders>
              <w:top w:val="single" w:sz="4" w:space="0" w:color="auto"/>
              <w:left w:val="single" w:sz="4" w:space="0" w:color="auto"/>
              <w:bottom w:val="single" w:sz="4" w:space="0" w:color="auto"/>
              <w:right w:val="single" w:sz="4" w:space="0" w:color="auto"/>
            </w:tcBorders>
            <w:vAlign w:val="center"/>
          </w:tcPr>
          <w:p w14:paraId="51DC0C82" w14:textId="77777777" w:rsidR="004C60F2" w:rsidRPr="004C60F2" w:rsidRDefault="004C60F2" w:rsidP="00C11712">
            <w:pPr>
              <w:keepNext/>
              <w:jc w:val="center"/>
              <w:rPr>
                <w:color w:val="000000"/>
                <w:sz w:val="22"/>
                <w:szCs w:val="22"/>
              </w:rPr>
            </w:pPr>
            <w:r w:rsidRPr="004C60F2">
              <w:rPr>
                <w:color w:val="000000"/>
                <w:sz w:val="22"/>
                <w:szCs w:val="22"/>
              </w:rPr>
              <w:t>4.57</w:t>
            </w:r>
          </w:p>
        </w:tc>
        <w:tc>
          <w:tcPr>
            <w:tcW w:w="1170" w:type="dxa"/>
            <w:tcBorders>
              <w:top w:val="nil"/>
              <w:left w:val="single" w:sz="4" w:space="0" w:color="auto"/>
              <w:bottom w:val="single" w:sz="4" w:space="0" w:color="auto"/>
              <w:right w:val="single" w:sz="4" w:space="0" w:color="auto"/>
            </w:tcBorders>
            <w:shd w:val="clear" w:color="auto" w:fill="auto"/>
            <w:noWrap/>
            <w:vAlign w:val="center"/>
          </w:tcPr>
          <w:p w14:paraId="01D8B198" w14:textId="77777777" w:rsidR="004C60F2" w:rsidRPr="004C60F2" w:rsidRDefault="004C60F2" w:rsidP="00C11712">
            <w:pPr>
              <w:keepNext/>
              <w:jc w:val="center"/>
              <w:rPr>
                <w:color w:val="000000"/>
                <w:sz w:val="22"/>
                <w:szCs w:val="22"/>
              </w:rPr>
            </w:pPr>
            <w:r w:rsidRPr="004C60F2">
              <w:rPr>
                <w:color w:val="000000"/>
                <w:sz w:val="22"/>
                <w:szCs w:val="22"/>
              </w:rPr>
              <w:t>634,435</w:t>
            </w:r>
          </w:p>
        </w:tc>
        <w:tc>
          <w:tcPr>
            <w:tcW w:w="1440" w:type="dxa"/>
            <w:tcBorders>
              <w:top w:val="nil"/>
              <w:left w:val="nil"/>
              <w:bottom w:val="single" w:sz="4" w:space="0" w:color="auto"/>
              <w:right w:val="single" w:sz="4" w:space="0" w:color="auto"/>
            </w:tcBorders>
            <w:shd w:val="clear" w:color="auto" w:fill="auto"/>
            <w:noWrap/>
            <w:vAlign w:val="center"/>
          </w:tcPr>
          <w:p w14:paraId="7121C9F1" w14:textId="77777777" w:rsidR="004C60F2" w:rsidRPr="004C60F2" w:rsidRDefault="004C60F2" w:rsidP="00C11712">
            <w:pPr>
              <w:keepNext/>
              <w:jc w:val="center"/>
              <w:rPr>
                <w:color w:val="000000"/>
                <w:sz w:val="22"/>
                <w:szCs w:val="22"/>
              </w:rPr>
            </w:pPr>
            <w:r w:rsidRPr="004C60F2">
              <w:rPr>
                <w:color w:val="000000"/>
                <w:sz w:val="22"/>
                <w:szCs w:val="22"/>
              </w:rPr>
              <w:t>107,981</w:t>
            </w:r>
          </w:p>
        </w:tc>
        <w:tc>
          <w:tcPr>
            <w:tcW w:w="1440" w:type="dxa"/>
            <w:tcBorders>
              <w:top w:val="nil"/>
              <w:left w:val="nil"/>
              <w:bottom w:val="single" w:sz="4" w:space="0" w:color="auto"/>
              <w:right w:val="single" w:sz="4" w:space="0" w:color="auto"/>
            </w:tcBorders>
            <w:shd w:val="clear" w:color="auto" w:fill="auto"/>
            <w:noWrap/>
            <w:vAlign w:val="center"/>
          </w:tcPr>
          <w:p w14:paraId="384D0576" w14:textId="77777777" w:rsidR="004C60F2" w:rsidRPr="004C60F2" w:rsidRDefault="004C60F2" w:rsidP="00C11712">
            <w:pPr>
              <w:keepNext/>
              <w:jc w:val="center"/>
              <w:rPr>
                <w:color w:val="000000"/>
                <w:sz w:val="22"/>
                <w:szCs w:val="22"/>
              </w:rPr>
            </w:pPr>
            <w:r w:rsidRPr="004C60F2">
              <w:rPr>
                <w:color w:val="000000"/>
                <w:sz w:val="22"/>
                <w:szCs w:val="22"/>
              </w:rPr>
              <w:t>14,060</w:t>
            </w:r>
          </w:p>
        </w:tc>
        <w:tc>
          <w:tcPr>
            <w:tcW w:w="1188" w:type="dxa"/>
            <w:tcBorders>
              <w:top w:val="nil"/>
              <w:left w:val="nil"/>
              <w:bottom w:val="single" w:sz="4" w:space="0" w:color="auto"/>
              <w:right w:val="single" w:sz="4" w:space="0" w:color="auto"/>
            </w:tcBorders>
            <w:shd w:val="clear" w:color="auto" w:fill="auto"/>
            <w:noWrap/>
            <w:vAlign w:val="center"/>
          </w:tcPr>
          <w:p w14:paraId="7DD7416D" w14:textId="77777777" w:rsidR="004C60F2" w:rsidRPr="004C60F2" w:rsidRDefault="004C60F2" w:rsidP="00C11712">
            <w:pPr>
              <w:keepNext/>
              <w:jc w:val="center"/>
              <w:rPr>
                <w:color w:val="000000"/>
                <w:sz w:val="22"/>
                <w:szCs w:val="22"/>
              </w:rPr>
            </w:pPr>
            <w:r w:rsidRPr="004C60F2">
              <w:rPr>
                <w:color w:val="000000"/>
                <w:sz w:val="22"/>
                <w:szCs w:val="22"/>
              </w:rPr>
              <w:t>124,766</w:t>
            </w:r>
          </w:p>
        </w:tc>
      </w:tr>
      <w:tr w:rsidR="004C60F2" w:rsidRPr="004C60F2" w14:paraId="1E530AAF" w14:textId="77777777" w:rsidTr="00C11712">
        <w:trPr>
          <w:trHeight w:val="289"/>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07119891" w14:textId="77777777" w:rsidR="004C60F2" w:rsidRPr="004C60F2" w:rsidRDefault="004C60F2" w:rsidP="00C11712">
            <w:pPr>
              <w:keepNext/>
              <w:jc w:val="center"/>
              <w:rPr>
                <w:color w:val="000000"/>
                <w:sz w:val="22"/>
                <w:szCs w:val="22"/>
              </w:rPr>
            </w:pPr>
            <w:r w:rsidRPr="004C60F2">
              <w:rPr>
                <w:color w:val="000000"/>
                <w:sz w:val="22"/>
                <w:szCs w:val="22"/>
              </w:rPr>
              <w:t>2020</w:t>
            </w:r>
          </w:p>
        </w:tc>
        <w:tc>
          <w:tcPr>
            <w:tcW w:w="1109" w:type="dxa"/>
            <w:tcBorders>
              <w:top w:val="nil"/>
              <w:left w:val="nil"/>
              <w:bottom w:val="single" w:sz="4" w:space="0" w:color="auto"/>
              <w:right w:val="single" w:sz="4" w:space="0" w:color="auto"/>
            </w:tcBorders>
            <w:shd w:val="clear" w:color="auto" w:fill="auto"/>
            <w:noWrap/>
            <w:vAlign w:val="center"/>
          </w:tcPr>
          <w:p w14:paraId="4916A22E" w14:textId="77777777" w:rsidR="004C60F2" w:rsidRPr="004C60F2" w:rsidRDefault="004C60F2" w:rsidP="00C11712">
            <w:pPr>
              <w:jc w:val="center"/>
              <w:rPr>
                <w:color w:val="000000"/>
                <w:sz w:val="22"/>
                <w:szCs w:val="22"/>
              </w:rPr>
            </w:pPr>
            <w:r w:rsidRPr="004C60F2">
              <w:rPr>
                <w:color w:val="000000"/>
                <w:sz w:val="22"/>
                <w:szCs w:val="22"/>
              </w:rPr>
              <w:t>172,700</w:t>
            </w:r>
          </w:p>
        </w:tc>
        <w:tc>
          <w:tcPr>
            <w:tcW w:w="1144" w:type="dxa"/>
            <w:tcBorders>
              <w:top w:val="single" w:sz="4" w:space="0" w:color="auto"/>
              <w:left w:val="nil"/>
              <w:bottom w:val="single" w:sz="4" w:space="0" w:color="auto"/>
              <w:right w:val="single" w:sz="4" w:space="0" w:color="auto"/>
            </w:tcBorders>
            <w:vAlign w:val="center"/>
          </w:tcPr>
          <w:p w14:paraId="04589EB3" w14:textId="77777777" w:rsidR="004C60F2" w:rsidRPr="004C60F2" w:rsidRDefault="004C60F2" w:rsidP="00C11712">
            <w:pPr>
              <w:jc w:val="center"/>
              <w:rPr>
                <w:color w:val="000000"/>
                <w:sz w:val="22"/>
                <w:szCs w:val="22"/>
              </w:rPr>
            </w:pPr>
            <w:r w:rsidRPr="004C60F2">
              <w:rPr>
                <w:color w:val="000000"/>
                <w:sz w:val="22"/>
                <w:szCs w:val="22"/>
              </w:rPr>
              <w:t>141,614</w:t>
            </w:r>
          </w:p>
        </w:tc>
        <w:tc>
          <w:tcPr>
            <w:tcW w:w="1295" w:type="dxa"/>
            <w:tcBorders>
              <w:top w:val="single" w:sz="4" w:space="0" w:color="auto"/>
              <w:left w:val="single" w:sz="4" w:space="0" w:color="auto"/>
              <w:bottom w:val="single" w:sz="4" w:space="0" w:color="auto"/>
              <w:right w:val="single" w:sz="4" w:space="0" w:color="auto"/>
            </w:tcBorders>
            <w:vAlign w:val="center"/>
          </w:tcPr>
          <w:p w14:paraId="56CCE04A" w14:textId="77777777" w:rsidR="004C60F2" w:rsidRPr="004C60F2" w:rsidRDefault="004C60F2" w:rsidP="00C11712">
            <w:pPr>
              <w:jc w:val="center"/>
              <w:rPr>
                <w:color w:val="000000"/>
                <w:sz w:val="22"/>
                <w:szCs w:val="22"/>
              </w:rPr>
            </w:pPr>
            <w:r w:rsidRPr="004C60F2">
              <w:rPr>
                <w:color w:val="000000"/>
                <w:sz w:val="22"/>
                <w:szCs w:val="22"/>
              </w:rPr>
              <w:t>4.62</w:t>
            </w:r>
          </w:p>
        </w:tc>
        <w:tc>
          <w:tcPr>
            <w:tcW w:w="1170" w:type="dxa"/>
            <w:tcBorders>
              <w:top w:val="nil"/>
              <w:left w:val="single" w:sz="4" w:space="0" w:color="auto"/>
              <w:bottom w:val="single" w:sz="4" w:space="0" w:color="auto"/>
              <w:right w:val="single" w:sz="4" w:space="0" w:color="auto"/>
            </w:tcBorders>
            <w:shd w:val="clear" w:color="auto" w:fill="auto"/>
            <w:noWrap/>
            <w:vAlign w:val="center"/>
          </w:tcPr>
          <w:p w14:paraId="0CC5579E" w14:textId="77777777" w:rsidR="004C60F2" w:rsidRPr="004C60F2" w:rsidRDefault="004C60F2" w:rsidP="00C11712">
            <w:pPr>
              <w:jc w:val="center"/>
              <w:rPr>
                <w:color w:val="000000"/>
                <w:sz w:val="22"/>
                <w:szCs w:val="22"/>
              </w:rPr>
            </w:pPr>
            <w:r w:rsidRPr="004C60F2">
              <w:rPr>
                <w:color w:val="000000"/>
                <w:sz w:val="22"/>
                <w:szCs w:val="22"/>
              </w:rPr>
              <w:t>654,257</w:t>
            </w:r>
          </w:p>
        </w:tc>
        <w:tc>
          <w:tcPr>
            <w:tcW w:w="1440" w:type="dxa"/>
            <w:tcBorders>
              <w:top w:val="nil"/>
              <w:left w:val="nil"/>
              <w:bottom w:val="single" w:sz="4" w:space="0" w:color="auto"/>
              <w:right w:val="single" w:sz="4" w:space="0" w:color="auto"/>
            </w:tcBorders>
            <w:shd w:val="clear" w:color="auto" w:fill="auto"/>
            <w:noWrap/>
            <w:vAlign w:val="center"/>
          </w:tcPr>
          <w:p w14:paraId="09BF0EFC" w14:textId="77777777" w:rsidR="004C60F2" w:rsidRPr="004C60F2" w:rsidRDefault="004C60F2" w:rsidP="00C11712">
            <w:pPr>
              <w:jc w:val="center"/>
              <w:rPr>
                <w:color w:val="000000"/>
                <w:sz w:val="22"/>
                <w:szCs w:val="22"/>
              </w:rPr>
            </w:pPr>
            <w:r w:rsidRPr="004C60F2">
              <w:rPr>
                <w:color w:val="000000"/>
                <w:sz w:val="22"/>
                <w:szCs w:val="22"/>
              </w:rPr>
              <w:t>111,354</w:t>
            </w:r>
          </w:p>
        </w:tc>
        <w:tc>
          <w:tcPr>
            <w:tcW w:w="1440" w:type="dxa"/>
            <w:tcBorders>
              <w:top w:val="nil"/>
              <w:left w:val="nil"/>
              <w:bottom w:val="single" w:sz="4" w:space="0" w:color="auto"/>
              <w:right w:val="single" w:sz="4" w:space="0" w:color="auto"/>
            </w:tcBorders>
            <w:shd w:val="clear" w:color="auto" w:fill="auto"/>
            <w:noWrap/>
            <w:vAlign w:val="center"/>
          </w:tcPr>
          <w:p w14:paraId="01AE9113" w14:textId="77777777" w:rsidR="004C60F2" w:rsidRPr="004C60F2" w:rsidRDefault="004C60F2" w:rsidP="00C11712">
            <w:pPr>
              <w:jc w:val="center"/>
              <w:rPr>
                <w:color w:val="000000"/>
                <w:sz w:val="22"/>
                <w:szCs w:val="22"/>
              </w:rPr>
            </w:pPr>
            <w:r w:rsidRPr="004C60F2">
              <w:rPr>
                <w:color w:val="000000"/>
                <w:sz w:val="22"/>
                <w:szCs w:val="22"/>
              </w:rPr>
              <w:t>14,499</w:t>
            </w:r>
          </w:p>
        </w:tc>
        <w:tc>
          <w:tcPr>
            <w:tcW w:w="1188" w:type="dxa"/>
            <w:tcBorders>
              <w:top w:val="nil"/>
              <w:left w:val="nil"/>
              <w:bottom w:val="single" w:sz="4" w:space="0" w:color="auto"/>
              <w:right w:val="single" w:sz="4" w:space="0" w:color="auto"/>
            </w:tcBorders>
            <w:shd w:val="clear" w:color="auto" w:fill="auto"/>
            <w:noWrap/>
            <w:vAlign w:val="center"/>
          </w:tcPr>
          <w:p w14:paraId="210029DF" w14:textId="77777777" w:rsidR="004C60F2" w:rsidRPr="004C60F2" w:rsidRDefault="004C60F2" w:rsidP="00C11712">
            <w:pPr>
              <w:jc w:val="center"/>
              <w:rPr>
                <w:color w:val="000000"/>
                <w:sz w:val="22"/>
                <w:szCs w:val="22"/>
              </w:rPr>
            </w:pPr>
            <w:r w:rsidRPr="004C60F2">
              <w:rPr>
                <w:color w:val="000000"/>
                <w:sz w:val="22"/>
                <w:szCs w:val="22"/>
              </w:rPr>
              <w:t>127,115</w:t>
            </w:r>
          </w:p>
        </w:tc>
      </w:tr>
    </w:tbl>
    <w:p w14:paraId="72CDAEAB" w14:textId="77777777" w:rsidR="004C60F2" w:rsidRDefault="004C60F2" w:rsidP="004C60F2"/>
    <w:p w14:paraId="57B2C0D1" w14:textId="77777777" w:rsidR="004C60F2" w:rsidRDefault="004C60F2" w:rsidP="004C60F2"/>
    <w:p w14:paraId="7F9C04F0" w14:textId="77777777" w:rsidR="004C60F2" w:rsidRPr="002F0045" w:rsidRDefault="004C60F2" w:rsidP="004C60F2">
      <w:pPr>
        <w:keepNext/>
        <w:keepLines/>
        <w:rPr>
          <w:rFonts w:ascii="Arial" w:hAnsi="Arial" w:cs="Arial"/>
          <w:sz w:val="20"/>
          <w:szCs w:val="20"/>
        </w:rPr>
      </w:pPr>
      <w:r w:rsidRPr="002F0045">
        <w:rPr>
          <w:rFonts w:ascii="Arial" w:hAnsi="Arial" w:cs="Arial"/>
          <w:b/>
          <w:sz w:val="20"/>
          <w:szCs w:val="20"/>
        </w:rPr>
        <w:lastRenderedPageBreak/>
        <w:t>Table 2.</w:t>
      </w:r>
      <w:r w:rsidRPr="002F0045">
        <w:rPr>
          <w:rFonts w:ascii="Arial" w:hAnsi="Arial" w:cs="Arial"/>
          <w:sz w:val="20"/>
          <w:szCs w:val="20"/>
        </w:rPr>
        <w:t xml:space="preserve">  Propos</w:t>
      </w:r>
      <w:r>
        <w:rPr>
          <w:rFonts w:ascii="Arial" w:hAnsi="Arial" w:cs="Arial"/>
          <w:sz w:val="20"/>
          <w:szCs w:val="20"/>
        </w:rPr>
        <w:t>ed ABC and ACLs for mutton snapper</w:t>
      </w:r>
      <w:r w:rsidRPr="002F0045">
        <w:rPr>
          <w:rFonts w:ascii="Arial" w:hAnsi="Arial" w:cs="Arial"/>
          <w:sz w:val="20"/>
          <w:szCs w:val="20"/>
        </w:rPr>
        <w:t xml:space="preserve">.  This example is for </w:t>
      </w:r>
      <w:r w:rsidRPr="002F0045">
        <w:rPr>
          <w:rFonts w:ascii="Arial" w:hAnsi="Arial" w:cs="Arial"/>
          <w:b/>
          <w:sz w:val="20"/>
          <w:szCs w:val="20"/>
        </w:rPr>
        <w:t>Sub-alternative 2b</w:t>
      </w:r>
      <w:r w:rsidRPr="002F0045">
        <w:rPr>
          <w:rFonts w:ascii="Arial" w:hAnsi="Arial" w:cs="Arial"/>
          <w:sz w:val="20"/>
          <w:szCs w:val="20"/>
        </w:rPr>
        <w:t xml:space="preserve"> in </w:t>
      </w:r>
      <w:r w:rsidRPr="002F0045">
        <w:rPr>
          <w:rFonts w:ascii="Arial" w:hAnsi="Arial" w:cs="Arial"/>
          <w:b/>
          <w:sz w:val="20"/>
          <w:szCs w:val="20"/>
        </w:rPr>
        <w:t xml:space="preserve">Action </w:t>
      </w:r>
      <w:r>
        <w:rPr>
          <w:rFonts w:ascii="Arial" w:hAnsi="Arial" w:cs="Arial"/>
          <w:b/>
          <w:sz w:val="20"/>
          <w:szCs w:val="20"/>
        </w:rPr>
        <w:t>3</w:t>
      </w:r>
      <w:r w:rsidRPr="002F0045">
        <w:rPr>
          <w:rFonts w:ascii="Arial" w:hAnsi="Arial" w:cs="Arial"/>
          <w:sz w:val="20"/>
          <w:szCs w:val="20"/>
        </w:rPr>
        <w:t xml:space="preserve"> (ACL</w:t>
      </w:r>
      <w:r>
        <w:rPr>
          <w:rFonts w:ascii="Arial" w:hAnsi="Arial" w:cs="Arial"/>
          <w:sz w:val="20"/>
          <w:szCs w:val="20"/>
        </w:rPr>
        <w:t>=OY</w:t>
      </w:r>
      <w:r w:rsidRPr="002F0045">
        <w:rPr>
          <w:rFonts w:ascii="Arial" w:hAnsi="Arial" w:cs="Arial"/>
          <w:sz w:val="20"/>
          <w:szCs w:val="20"/>
        </w:rPr>
        <w:t xml:space="preserve">=95% ABC).  The average weight is estimated by the stock assessment model.  The average weight of commercially caught </w:t>
      </w:r>
      <w:r>
        <w:rPr>
          <w:rFonts w:ascii="Arial" w:hAnsi="Arial" w:cs="Arial"/>
          <w:sz w:val="20"/>
          <w:szCs w:val="20"/>
        </w:rPr>
        <w:t>mutton snapper</w:t>
      </w:r>
      <w:r w:rsidRPr="002F0045">
        <w:rPr>
          <w:rFonts w:ascii="Arial" w:hAnsi="Arial" w:cs="Arial"/>
          <w:sz w:val="20"/>
          <w:szCs w:val="20"/>
        </w:rPr>
        <w:t xml:space="preserve"> is </w:t>
      </w:r>
      <w:r>
        <w:rPr>
          <w:rFonts w:ascii="Arial" w:hAnsi="Arial" w:cs="Arial"/>
          <w:sz w:val="20"/>
          <w:szCs w:val="20"/>
        </w:rPr>
        <w:t>7.68</w:t>
      </w:r>
      <w:r w:rsidRPr="002F0045">
        <w:rPr>
          <w:rFonts w:ascii="Arial" w:hAnsi="Arial" w:cs="Arial"/>
          <w:sz w:val="20"/>
          <w:szCs w:val="20"/>
        </w:rPr>
        <w:t xml:space="preserve"> lbs. based on commercial samples.  </w:t>
      </w:r>
    </w:p>
    <w:tbl>
      <w:tblPr>
        <w:tblW w:w="9648" w:type="dxa"/>
        <w:tblInd w:w="-72" w:type="dxa"/>
        <w:tblLook w:val="04A0" w:firstRow="1" w:lastRow="0" w:firstColumn="1" w:lastColumn="0" w:noHBand="0" w:noVBand="1"/>
      </w:tblPr>
      <w:tblGrid>
        <w:gridCol w:w="862"/>
        <w:gridCol w:w="1109"/>
        <w:gridCol w:w="1144"/>
        <w:gridCol w:w="1295"/>
        <w:gridCol w:w="1170"/>
        <w:gridCol w:w="1440"/>
        <w:gridCol w:w="1440"/>
        <w:gridCol w:w="1188"/>
      </w:tblGrid>
      <w:tr w:rsidR="004C60F2" w:rsidRPr="004C60F2" w14:paraId="1BF7592E" w14:textId="77777777" w:rsidTr="00C11712">
        <w:trPr>
          <w:trHeight w:val="289"/>
        </w:trPr>
        <w:tc>
          <w:tcPr>
            <w:tcW w:w="964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76646C" w14:textId="77777777" w:rsidR="004C60F2" w:rsidRPr="004C60F2" w:rsidRDefault="004C60F2" w:rsidP="00C11712">
            <w:pPr>
              <w:keepNext/>
              <w:jc w:val="center"/>
              <w:rPr>
                <w:b/>
                <w:bCs/>
                <w:color w:val="000000"/>
                <w:sz w:val="22"/>
                <w:szCs w:val="22"/>
              </w:rPr>
            </w:pPr>
            <w:r w:rsidRPr="004C60F2">
              <w:rPr>
                <w:b/>
                <w:bCs/>
                <w:color w:val="000000"/>
                <w:sz w:val="22"/>
                <w:szCs w:val="22"/>
              </w:rPr>
              <w:t>New Proposed Method To Calculate Mutton snapper ACL Using Only Comm Avg Wt</w:t>
            </w:r>
          </w:p>
        </w:tc>
      </w:tr>
      <w:tr w:rsidR="004C60F2" w:rsidRPr="004C60F2" w14:paraId="4F5B193C" w14:textId="77777777" w:rsidTr="00C11712">
        <w:trPr>
          <w:trHeight w:val="300"/>
        </w:trPr>
        <w:tc>
          <w:tcPr>
            <w:tcW w:w="86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B24FA4C" w14:textId="77777777" w:rsidR="004C60F2" w:rsidRPr="004C60F2" w:rsidRDefault="004C60F2" w:rsidP="00C11712">
            <w:pPr>
              <w:keepNext/>
              <w:jc w:val="center"/>
              <w:rPr>
                <w:b/>
                <w:bCs/>
                <w:color w:val="000000"/>
                <w:sz w:val="22"/>
                <w:szCs w:val="22"/>
              </w:rPr>
            </w:pPr>
            <w:r w:rsidRPr="004C60F2">
              <w:rPr>
                <w:b/>
                <w:bCs/>
                <w:color w:val="000000"/>
                <w:sz w:val="22"/>
                <w:szCs w:val="22"/>
              </w:rPr>
              <w:t>Year</w:t>
            </w:r>
          </w:p>
        </w:tc>
        <w:tc>
          <w:tcPr>
            <w:tcW w:w="1109" w:type="dxa"/>
            <w:tcBorders>
              <w:top w:val="nil"/>
              <w:left w:val="nil"/>
              <w:bottom w:val="single" w:sz="4" w:space="0" w:color="auto"/>
              <w:right w:val="single" w:sz="4" w:space="0" w:color="auto"/>
            </w:tcBorders>
            <w:shd w:val="clear" w:color="auto" w:fill="D9D9D9" w:themeFill="background1" w:themeFillShade="D9"/>
            <w:noWrap/>
            <w:vAlign w:val="center"/>
            <w:hideMark/>
          </w:tcPr>
          <w:p w14:paraId="54A3257A" w14:textId="77777777" w:rsidR="004C60F2" w:rsidRPr="004C60F2" w:rsidRDefault="004C60F2" w:rsidP="00C11712">
            <w:pPr>
              <w:keepNext/>
              <w:jc w:val="center"/>
              <w:rPr>
                <w:b/>
                <w:bCs/>
                <w:color w:val="000000"/>
                <w:sz w:val="22"/>
                <w:szCs w:val="22"/>
              </w:rPr>
            </w:pPr>
            <w:r w:rsidRPr="004C60F2">
              <w:rPr>
                <w:b/>
                <w:bCs/>
                <w:color w:val="000000"/>
                <w:sz w:val="22"/>
                <w:szCs w:val="22"/>
              </w:rPr>
              <w:t>Total ABC</w:t>
            </w:r>
          </w:p>
        </w:tc>
        <w:tc>
          <w:tcPr>
            <w:tcW w:w="114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1E19A81" w14:textId="77777777" w:rsidR="004C60F2" w:rsidRPr="004C60F2" w:rsidRDefault="004C60F2" w:rsidP="00C11712">
            <w:pPr>
              <w:keepNext/>
              <w:jc w:val="center"/>
              <w:rPr>
                <w:b/>
                <w:bCs/>
                <w:color w:val="000000"/>
                <w:sz w:val="22"/>
                <w:szCs w:val="22"/>
              </w:rPr>
            </w:pPr>
            <w:r w:rsidRPr="004C60F2">
              <w:rPr>
                <w:b/>
                <w:bCs/>
                <w:color w:val="000000"/>
                <w:sz w:val="22"/>
                <w:szCs w:val="22"/>
              </w:rPr>
              <w:t>SA ABC</w:t>
            </w:r>
          </w:p>
        </w:tc>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F110E5" w14:textId="77777777" w:rsidR="004C60F2" w:rsidRPr="004C60F2" w:rsidRDefault="004C60F2" w:rsidP="00C11712">
            <w:pPr>
              <w:keepNext/>
              <w:jc w:val="center"/>
              <w:rPr>
                <w:b/>
                <w:bCs/>
                <w:color w:val="000000"/>
                <w:sz w:val="22"/>
                <w:szCs w:val="22"/>
              </w:rPr>
            </w:pPr>
            <w:r w:rsidRPr="004C60F2">
              <w:rPr>
                <w:b/>
                <w:bCs/>
                <w:color w:val="000000"/>
                <w:sz w:val="22"/>
                <w:szCs w:val="22"/>
              </w:rPr>
              <w:t xml:space="preserve">Model Proj </w:t>
            </w:r>
          </w:p>
          <w:p w14:paraId="3921E65A" w14:textId="77777777" w:rsidR="004C60F2" w:rsidRPr="004C60F2" w:rsidRDefault="004C60F2" w:rsidP="00C11712">
            <w:pPr>
              <w:keepNext/>
              <w:jc w:val="center"/>
              <w:rPr>
                <w:b/>
                <w:bCs/>
                <w:color w:val="000000"/>
                <w:sz w:val="22"/>
                <w:szCs w:val="22"/>
              </w:rPr>
            </w:pPr>
            <w:r w:rsidRPr="004C60F2">
              <w:rPr>
                <w:b/>
                <w:bCs/>
                <w:color w:val="000000"/>
                <w:sz w:val="22"/>
                <w:szCs w:val="22"/>
              </w:rPr>
              <w:t>Avg Wt</w:t>
            </w:r>
          </w:p>
        </w:tc>
        <w:tc>
          <w:tcPr>
            <w:tcW w:w="117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48ED745" w14:textId="77777777" w:rsidR="004C60F2" w:rsidRPr="004C60F2" w:rsidRDefault="004C60F2" w:rsidP="00C11712">
            <w:pPr>
              <w:keepNext/>
              <w:jc w:val="center"/>
              <w:rPr>
                <w:b/>
                <w:bCs/>
                <w:color w:val="000000"/>
                <w:sz w:val="22"/>
                <w:szCs w:val="22"/>
              </w:rPr>
            </w:pPr>
            <w:r w:rsidRPr="004C60F2">
              <w:rPr>
                <w:b/>
                <w:bCs/>
                <w:color w:val="000000"/>
                <w:sz w:val="22"/>
                <w:szCs w:val="22"/>
              </w:rPr>
              <w:t>Yield of ABC</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hideMark/>
          </w:tcPr>
          <w:p w14:paraId="56E56455" w14:textId="77777777" w:rsidR="004C60F2" w:rsidRPr="004C60F2" w:rsidRDefault="004C60F2" w:rsidP="00C11712">
            <w:pPr>
              <w:keepNext/>
              <w:jc w:val="center"/>
              <w:rPr>
                <w:b/>
                <w:bCs/>
                <w:color w:val="000000"/>
                <w:sz w:val="22"/>
                <w:szCs w:val="22"/>
              </w:rPr>
            </w:pPr>
            <w:r w:rsidRPr="004C60F2">
              <w:rPr>
                <w:b/>
                <w:bCs/>
                <w:color w:val="000000"/>
                <w:sz w:val="22"/>
                <w:szCs w:val="22"/>
              </w:rPr>
              <w:t>Yield of Comm ACL</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hideMark/>
          </w:tcPr>
          <w:p w14:paraId="3946EACB" w14:textId="77777777" w:rsidR="004C60F2" w:rsidRPr="004C60F2" w:rsidRDefault="004C60F2" w:rsidP="00C11712">
            <w:pPr>
              <w:keepNext/>
              <w:jc w:val="center"/>
              <w:rPr>
                <w:b/>
                <w:bCs/>
                <w:color w:val="000000"/>
                <w:sz w:val="22"/>
                <w:szCs w:val="22"/>
              </w:rPr>
            </w:pPr>
            <w:r w:rsidRPr="004C60F2">
              <w:rPr>
                <w:b/>
                <w:bCs/>
                <w:color w:val="000000"/>
                <w:sz w:val="22"/>
                <w:szCs w:val="22"/>
              </w:rPr>
              <w:t>Comm ACL</w:t>
            </w:r>
          </w:p>
        </w:tc>
        <w:tc>
          <w:tcPr>
            <w:tcW w:w="1188" w:type="dxa"/>
            <w:tcBorders>
              <w:top w:val="nil"/>
              <w:left w:val="nil"/>
              <w:bottom w:val="single" w:sz="4" w:space="0" w:color="auto"/>
              <w:right w:val="single" w:sz="4" w:space="0" w:color="auto"/>
            </w:tcBorders>
            <w:shd w:val="clear" w:color="auto" w:fill="D9D9D9" w:themeFill="background1" w:themeFillShade="D9"/>
            <w:noWrap/>
            <w:vAlign w:val="center"/>
            <w:hideMark/>
          </w:tcPr>
          <w:p w14:paraId="70AA4662" w14:textId="77777777" w:rsidR="004C60F2" w:rsidRPr="004C60F2" w:rsidRDefault="004C60F2" w:rsidP="00C11712">
            <w:pPr>
              <w:keepNext/>
              <w:jc w:val="center"/>
              <w:rPr>
                <w:b/>
                <w:bCs/>
                <w:color w:val="000000"/>
                <w:sz w:val="22"/>
                <w:szCs w:val="22"/>
              </w:rPr>
            </w:pPr>
            <w:r w:rsidRPr="004C60F2">
              <w:rPr>
                <w:b/>
                <w:bCs/>
                <w:color w:val="000000"/>
                <w:sz w:val="22"/>
                <w:szCs w:val="22"/>
              </w:rPr>
              <w:t>Rec ACL</w:t>
            </w:r>
          </w:p>
        </w:tc>
      </w:tr>
      <w:tr w:rsidR="004C60F2" w:rsidRPr="004C60F2" w14:paraId="14BE7F44" w14:textId="77777777" w:rsidTr="00C11712">
        <w:trPr>
          <w:trHeight w:val="300"/>
        </w:trPr>
        <w:tc>
          <w:tcPr>
            <w:tcW w:w="86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E3E18B" w14:textId="77777777" w:rsidR="004C60F2" w:rsidRPr="004C60F2" w:rsidRDefault="004C60F2" w:rsidP="00C11712">
            <w:pPr>
              <w:keepNext/>
              <w:rPr>
                <w:b/>
                <w:bCs/>
                <w:color w:val="000000"/>
                <w:sz w:val="22"/>
                <w:szCs w:val="22"/>
              </w:rPr>
            </w:pPr>
          </w:p>
        </w:tc>
        <w:tc>
          <w:tcPr>
            <w:tcW w:w="1109" w:type="dxa"/>
            <w:tcBorders>
              <w:top w:val="nil"/>
              <w:left w:val="nil"/>
              <w:bottom w:val="single" w:sz="4" w:space="0" w:color="auto"/>
              <w:right w:val="single" w:sz="4" w:space="0" w:color="auto"/>
            </w:tcBorders>
            <w:shd w:val="clear" w:color="auto" w:fill="D9D9D9" w:themeFill="background1" w:themeFillShade="D9"/>
            <w:noWrap/>
            <w:vAlign w:val="center"/>
            <w:hideMark/>
          </w:tcPr>
          <w:p w14:paraId="65508E06" w14:textId="77777777" w:rsidR="004C60F2" w:rsidRPr="004C60F2" w:rsidRDefault="004C60F2" w:rsidP="00C11712">
            <w:pPr>
              <w:keepNext/>
              <w:jc w:val="center"/>
              <w:rPr>
                <w:b/>
                <w:bCs/>
                <w:color w:val="000000"/>
                <w:sz w:val="22"/>
                <w:szCs w:val="22"/>
              </w:rPr>
            </w:pPr>
            <w:r w:rsidRPr="004C60F2">
              <w:rPr>
                <w:b/>
                <w:bCs/>
                <w:color w:val="000000"/>
                <w:sz w:val="22"/>
                <w:szCs w:val="22"/>
              </w:rPr>
              <w:t>(number)</w:t>
            </w:r>
          </w:p>
        </w:tc>
        <w:tc>
          <w:tcPr>
            <w:tcW w:w="1144" w:type="dxa"/>
            <w:tcBorders>
              <w:top w:val="single" w:sz="4" w:space="0" w:color="auto"/>
              <w:left w:val="nil"/>
              <w:bottom w:val="single" w:sz="4" w:space="0" w:color="auto"/>
              <w:right w:val="single" w:sz="4" w:space="0" w:color="auto"/>
            </w:tcBorders>
            <w:shd w:val="clear" w:color="auto" w:fill="D9D9D9" w:themeFill="background1" w:themeFillShade="D9"/>
          </w:tcPr>
          <w:p w14:paraId="5E65782F" w14:textId="77777777" w:rsidR="004C60F2" w:rsidRPr="004C60F2" w:rsidRDefault="004C60F2" w:rsidP="00C11712">
            <w:pPr>
              <w:keepNext/>
              <w:jc w:val="center"/>
              <w:rPr>
                <w:b/>
                <w:bCs/>
                <w:color w:val="000000"/>
                <w:sz w:val="22"/>
                <w:szCs w:val="22"/>
              </w:rPr>
            </w:pPr>
            <w:r w:rsidRPr="004C60F2">
              <w:rPr>
                <w:b/>
                <w:bCs/>
                <w:color w:val="000000"/>
                <w:sz w:val="22"/>
                <w:szCs w:val="22"/>
              </w:rPr>
              <w:t>(number)</w:t>
            </w:r>
          </w:p>
        </w:tc>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C09483" w14:textId="77777777" w:rsidR="004C60F2" w:rsidRPr="004C60F2" w:rsidRDefault="004C60F2" w:rsidP="00C11712">
            <w:pPr>
              <w:keepNext/>
              <w:jc w:val="center"/>
              <w:rPr>
                <w:b/>
                <w:bCs/>
                <w:color w:val="000000"/>
                <w:sz w:val="22"/>
                <w:szCs w:val="22"/>
              </w:rPr>
            </w:pPr>
            <w:r w:rsidRPr="004C60F2">
              <w:rPr>
                <w:b/>
                <w:bCs/>
                <w:color w:val="000000"/>
                <w:sz w:val="22"/>
                <w:szCs w:val="22"/>
              </w:rPr>
              <w:t>(lbs/fish)</w:t>
            </w:r>
          </w:p>
        </w:tc>
        <w:tc>
          <w:tcPr>
            <w:tcW w:w="117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80E65F0" w14:textId="77777777" w:rsidR="004C60F2" w:rsidRPr="004C60F2" w:rsidRDefault="004C60F2" w:rsidP="00C11712">
            <w:pPr>
              <w:keepNext/>
              <w:jc w:val="center"/>
              <w:rPr>
                <w:b/>
                <w:bCs/>
                <w:color w:val="000000"/>
                <w:sz w:val="22"/>
                <w:szCs w:val="22"/>
              </w:rPr>
            </w:pPr>
            <w:r w:rsidRPr="004C60F2">
              <w:rPr>
                <w:b/>
                <w:bCs/>
                <w:color w:val="000000"/>
                <w:sz w:val="22"/>
                <w:szCs w:val="22"/>
              </w:rPr>
              <w:t>(pounds)</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hideMark/>
          </w:tcPr>
          <w:p w14:paraId="5B69AE3C" w14:textId="77777777" w:rsidR="004C60F2" w:rsidRPr="004C60F2" w:rsidRDefault="004C60F2" w:rsidP="00C11712">
            <w:pPr>
              <w:keepNext/>
              <w:jc w:val="center"/>
              <w:rPr>
                <w:b/>
                <w:bCs/>
                <w:color w:val="000000"/>
                <w:sz w:val="22"/>
                <w:szCs w:val="22"/>
              </w:rPr>
            </w:pPr>
            <w:r w:rsidRPr="004C60F2">
              <w:rPr>
                <w:b/>
                <w:bCs/>
                <w:color w:val="000000"/>
                <w:sz w:val="22"/>
                <w:szCs w:val="22"/>
              </w:rPr>
              <w:t>(pounds)</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hideMark/>
          </w:tcPr>
          <w:p w14:paraId="004E0BFE" w14:textId="77777777" w:rsidR="004C60F2" w:rsidRPr="004C60F2" w:rsidRDefault="004C60F2" w:rsidP="00C11712">
            <w:pPr>
              <w:keepNext/>
              <w:jc w:val="center"/>
              <w:rPr>
                <w:b/>
                <w:bCs/>
                <w:color w:val="000000"/>
                <w:sz w:val="22"/>
                <w:szCs w:val="22"/>
              </w:rPr>
            </w:pPr>
            <w:r w:rsidRPr="004C60F2">
              <w:rPr>
                <w:b/>
                <w:bCs/>
                <w:color w:val="000000"/>
                <w:sz w:val="22"/>
                <w:szCs w:val="22"/>
              </w:rPr>
              <w:t>(number)</w:t>
            </w:r>
          </w:p>
        </w:tc>
        <w:tc>
          <w:tcPr>
            <w:tcW w:w="1188" w:type="dxa"/>
            <w:tcBorders>
              <w:top w:val="nil"/>
              <w:left w:val="nil"/>
              <w:bottom w:val="single" w:sz="4" w:space="0" w:color="auto"/>
              <w:right w:val="single" w:sz="4" w:space="0" w:color="auto"/>
            </w:tcBorders>
            <w:shd w:val="clear" w:color="auto" w:fill="D9D9D9" w:themeFill="background1" w:themeFillShade="D9"/>
            <w:noWrap/>
            <w:vAlign w:val="center"/>
            <w:hideMark/>
          </w:tcPr>
          <w:p w14:paraId="4D2EBABB" w14:textId="77777777" w:rsidR="004C60F2" w:rsidRPr="004C60F2" w:rsidRDefault="004C60F2" w:rsidP="00C11712">
            <w:pPr>
              <w:keepNext/>
              <w:jc w:val="center"/>
              <w:rPr>
                <w:b/>
                <w:bCs/>
                <w:color w:val="000000"/>
                <w:sz w:val="22"/>
                <w:szCs w:val="22"/>
              </w:rPr>
            </w:pPr>
            <w:r w:rsidRPr="004C60F2">
              <w:rPr>
                <w:b/>
                <w:bCs/>
                <w:color w:val="000000"/>
                <w:sz w:val="22"/>
                <w:szCs w:val="22"/>
              </w:rPr>
              <w:t>(number)</w:t>
            </w:r>
          </w:p>
        </w:tc>
      </w:tr>
      <w:tr w:rsidR="004C60F2" w:rsidRPr="004C60F2" w14:paraId="2B44A179" w14:textId="77777777" w:rsidTr="00C11712">
        <w:trPr>
          <w:trHeight w:val="289"/>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6B2501B5" w14:textId="77777777" w:rsidR="004C60F2" w:rsidRPr="004C60F2" w:rsidRDefault="004C60F2" w:rsidP="00C11712">
            <w:pPr>
              <w:keepNext/>
              <w:jc w:val="center"/>
              <w:rPr>
                <w:color w:val="000000"/>
                <w:sz w:val="22"/>
                <w:szCs w:val="22"/>
              </w:rPr>
            </w:pPr>
            <w:r w:rsidRPr="004C60F2">
              <w:rPr>
                <w:color w:val="000000"/>
                <w:sz w:val="22"/>
                <w:szCs w:val="22"/>
              </w:rPr>
              <w:t>2017</w:t>
            </w:r>
          </w:p>
        </w:tc>
        <w:tc>
          <w:tcPr>
            <w:tcW w:w="1109" w:type="dxa"/>
            <w:tcBorders>
              <w:top w:val="nil"/>
              <w:left w:val="nil"/>
              <w:bottom w:val="single" w:sz="4" w:space="0" w:color="auto"/>
              <w:right w:val="single" w:sz="4" w:space="0" w:color="auto"/>
            </w:tcBorders>
            <w:shd w:val="clear" w:color="auto" w:fill="auto"/>
            <w:noWrap/>
            <w:vAlign w:val="center"/>
          </w:tcPr>
          <w:p w14:paraId="05BF6AD4" w14:textId="77777777" w:rsidR="004C60F2" w:rsidRPr="004C60F2" w:rsidRDefault="004C60F2" w:rsidP="00C11712">
            <w:pPr>
              <w:jc w:val="center"/>
              <w:rPr>
                <w:color w:val="000000"/>
                <w:sz w:val="22"/>
                <w:szCs w:val="22"/>
              </w:rPr>
            </w:pPr>
            <w:r w:rsidRPr="004C60F2">
              <w:rPr>
                <w:color w:val="000000"/>
                <w:sz w:val="22"/>
                <w:szCs w:val="22"/>
              </w:rPr>
              <w:t>157,500</w:t>
            </w:r>
          </w:p>
        </w:tc>
        <w:tc>
          <w:tcPr>
            <w:tcW w:w="1144" w:type="dxa"/>
            <w:tcBorders>
              <w:top w:val="single" w:sz="4" w:space="0" w:color="auto"/>
              <w:left w:val="nil"/>
              <w:bottom w:val="single" w:sz="4" w:space="0" w:color="auto"/>
              <w:right w:val="single" w:sz="4" w:space="0" w:color="auto"/>
            </w:tcBorders>
            <w:vAlign w:val="center"/>
          </w:tcPr>
          <w:p w14:paraId="1B71F40D" w14:textId="77777777" w:rsidR="004C60F2" w:rsidRPr="004C60F2" w:rsidRDefault="004C60F2" w:rsidP="00C11712">
            <w:pPr>
              <w:jc w:val="center"/>
              <w:rPr>
                <w:color w:val="000000"/>
                <w:sz w:val="22"/>
                <w:szCs w:val="22"/>
              </w:rPr>
            </w:pPr>
            <w:r w:rsidRPr="004C60F2">
              <w:rPr>
                <w:color w:val="000000"/>
                <w:sz w:val="22"/>
                <w:szCs w:val="22"/>
              </w:rPr>
              <w:t>122,693</w:t>
            </w:r>
          </w:p>
        </w:tc>
        <w:tc>
          <w:tcPr>
            <w:tcW w:w="1295" w:type="dxa"/>
            <w:tcBorders>
              <w:top w:val="single" w:sz="4" w:space="0" w:color="auto"/>
              <w:left w:val="single" w:sz="4" w:space="0" w:color="auto"/>
              <w:bottom w:val="single" w:sz="4" w:space="0" w:color="auto"/>
              <w:right w:val="single" w:sz="4" w:space="0" w:color="auto"/>
            </w:tcBorders>
            <w:vAlign w:val="center"/>
          </w:tcPr>
          <w:p w14:paraId="7DAC5090" w14:textId="77777777" w:rsidR="004C60F2" w:rsidRPr="004C60F2" w:rsidRDefault="004C60F2" w:rsidP="00C11712">
            <w:pPr>
              <w:jc w:val="center"/>
              <w:rPr>
                <w:color w:val="000000"/>
                <w:sz w:val="22"/>
                <w:szCs w:val="22"/>
              </w:rPr>
            </w:pPr>
            <w:r w:rsidRPr="004C60F2">
              <w:rPr>
                <w:color w:val="000000"/>
                <w:sz w:val="22"/>
                <w:szCs w:val="22"/>
              </w:rPr>
              <w:t>4.55</w:t>
            </w:r>
          </w:p>
        </w:tc>
        <w:tc>
          <w:tcPr>
            <w:tcW w:w="1170" w:type="dxa"/>
            <w:tcBorders>
              <w:top w:val="nil"/>
              <w:left w:val="single" w:sz="4" w:space="0" w:color="auto"/>
              <w:bottom w:val="single" w:sz="4" w:space="0" w:color="auto"/>
              <w:right w:val="single" w:sz="4" w:space="0" w:color="auto"/>
            </w:tcBorders>
            <w:shd w:val="clear" w:color="auto" w:fill="auto"/>
            <w:noWrap/>
            <w:vAlign w:val="center"/>
          </w:tcPr>
          <w:p w14:paraId="569BAD35" w14:textId="77777777" w:rsidR="004C60F2" w:rsidRPr="004C60F2" w:rsidRDefault="004C60F2" w:rsidP="00C11712">
            <w:pPr>
              <w:jc w:val="center"/>
              <w:rPr>
                <w:color w:val="000000"/>
                <w:sz w:val="22"/>
                <w:szCs w:val="22"/>
              </w:rPr>
            </w:pPr>
            <w:r w:rsidRPr="004C60F2">
              <w:rPr>
                <w:color w:val="000000"/>
                <w:sz w:val="22"/>
                <w:szCs w:val="22"/>
              </w:rPr>
              <w:t>558,251</w:t>
            </w:r>
          </w:p>
        </w:tc>
        <w:tc>
          <w:tcPr>
            <w:tcW w:w="1440" w:type="dxa"/>
            <w:tcBorders>
              <w:top w:val="nil"/>
              <w:left w:val="nil"/>
              <w:bottom w:val="single" w:sz="4" w:space="0" w:color="auto"/>
              <w:right w:val="single" w:sz="4" w:space="0" w:color="auto"/>
            </w:tcBorders>
            <w:shd w:val="clear" w:color="auto" w:fill="auto"/>
            <w:noWrap/>
            <w:vAlign w:val="center"/>
          </w:tcPr>
          <w:p w14:paraId="2D509EB3" w14:textId="77777777" w:rsidR="004C60F2" w:rsidRPr="004C60F2" w:rsidRDefault="004C60F2" w:rsidP="00C11712">
            <w:pPr>
              <w:jc w:val="center"/>
              <w:rPr>
                <w:color w:val="000000"/>
                <w:sz w:val="22"/>
                <w:szCs w:val="22"/>
              </w:rPr>
            </w:pPr>
            <w:r w:rsidRPr="004C60F2">
              <w:rPr>
                <w:color w:val="000000"/>
                <w:sz w:val="22"/>
                <w:szCs w:val="22"/>
              </w:rPr>
              <w:t>95,014</w:t>
            </w:r>
          </w:p>
        </w:tc>
        <w:tc>
          <w:tcPr>
            <w:tcW w:w="1440" w:type="dxa"/>
            <w:tcBorders>
              <w:top w:val="nil"/>
              <w:left w:val="nil"/>
              <w:bottom w:val="single" w:sz="4" w:space="0" w:color="auto"/>
              <w:right w:val="single" w:sz="4" w:space="0" w:color="auto"/>
            </w:tcBorders>
            <w:shd w:val="clear" w:color="auto" w:fill="auto"/>
            <w:noWrap/>
            <w:vAlign w:val="center"/>
          </w:tcPr>
          <w:p w14:paraId="08E507B5" w14:textId="77777777" w:rsidR="004C60F2" w:rsidRPr="004C60F2" w:rsidRDefault="004C60F2" w:rsidP="00C11712">
            <w:pPr>
              <w:jc w:val="center"/>
              <w:rPr>
                <w:color w:val="000000"/>
                <w:sz w:val="22"/>
                <w:szCs w:val="22"/>
              </w:rPr>
            </w:pPr>
            <w:r w:rsidRPr="004C60F2">
              <w:rPr>
                <w:color w:val="000000"/>
                <w:sz w:val="22"/>
                <w:szCs w:val="22"/>
              </w:rPr>
              <w:t>12,372</w:t>
            </w:r>
          </w:p>
        </w:tc>
        <w:tc>
          <w:tcPr>
            <w:tcW w:w="1188" w:type="dxa"/>
            <w:tcBorders>
              <w:top w:val="nil"/>
              <w:left w:val="nil"/>
              <w:bottom w:val="single" w:sz="4" w:space="0" w:color="auto"/>
              <w:right w:val="single" w:sz="4" w:space="0" w:color="auto"/>
            </w:tcBorders>
            <w:shd w:val="clear" w:color="auto" w:fill="auto"/>
            <w:noWrap/>
            <w:vAlign w:val="center"/>
          </w:tcPr>
          <w:p w14:paraId="55655397" w14:textId="77777777" w:rsidR="004C60F2" w:rsidRPr="004C60F2" w:rsidRDefault="004C60F2" w:rsidP="00C11712">
            <w:pPr>
              <w:jc w:val="center"/>
              <w:rPr>
                <w:color w:val="000000"/>
                <w:sz w:val="22"/>
                <w:szCs w:val="22"/>
              </w:rPr>
            </w:pPr>
            <w:r w:rsidRPr="004C60F2">
              <w:rPr>
                <w:color w:val="000000"/>
                <w:sz w:val="22"/>
                <w:szCs w:val="22"/>
              </w:rPr>
              <w:t>110,321</w:t>
            </w:r>
          </w:p>
        </w:tc>
      </w:tr>
      <w:tr w:rsidR="004C60F2" w:rsidRPr="004C60F2" w14:paraId="4FD7CF71" w14:textId="77777777" w:rsidTr="00C11712">
        <w:trPr>
          <w:trHeight w:val="289"/>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02F35BBA" w14:textId="77777777" w:rsidR="004C60F2" w:rsidRPr="004C60F2" w:rsidRDefault="004C60F2" w:rsidP="00C11712">
            <w:pPr>
              <w:keepNext/>
              <w:jc w:val="center"/>
              <w:rPr>
                <w:color w:val="000000"/>
                <w:sz w:val="22"/>
                <w:szCs w:val="22"/>
              </w:rPr>
            </w:pPr>
            <w:r w:rsidRPr="004C60F2">
              <w:rPr>
                <w:color w:val="000000"/>
                <w:sz w:val="22"/>
                <w:szCs w:val="22"/>
              </w:rPr>
              <w:t>2018</w:t>
            </w:r>
          </w:p>
        </w:tc>
        <w:tc>
          <w:tcPr>
            <w:tcW w:w="1109" w:type="dxa"/>
            <w:tcBorders>
              <w:top w:val="nil"/>
              <w:left w:val="nil"/>
              <w:bottom w:val="single" w:sz="4" w:space="0" w:color="auto"/>
              <w:right w:val="single" w:sz="4" w:space="0" w:color="auto"/>
            </w:tcBorders>
            <w:shd w:val="clear" w:color="auto" w:fill="auto"/>
            <w:noWrap/>
            <w:vAlign w:val="center"/>
          </w:tcPr>
          <w:p w14:paraId="4D12ADF6" w14:textId="77777777" w:rsidR="004C60F2" w:rsidRPr="004C60F2" w:rsidRDefault="004C60F2" w:rsidP="00C11712">
            <w:pPr>
              <w:jc w:val="center"/>
              <w:rPr>
                <w:color w:val="000000"/>
                <w:sz w:val="22"/>
                <w:szCs w:val="22"/>
              </w:rPr>
            </w:pPr>
            <w:r w:rsidRPr="004C60F2">
              <w:rPr>
                <w:color w:val="000000"/>
                <w:sz w:val="22"/>
                <w:szCs w:val="22"/>
              </w:rPr>
              <w:t>164,500</w:t>
            </w:r>
          </w:p>
        </w:tc>
        <w:tc>
          <w:tcPr>
            <w:tcW w:w="1144" w:type="dxa"/>
            <w:tcBorders>
              <w:top w:val="single" w:sz="4" w:space="0" w:color="auto"/>
              <w:left w:val="nil"/>
              <w:bottom w:val="single" w:sz="4" w:space="0" w:color="auto"/>
              <w:right w:val="single" w:sz="4" w:space="0" w:color="auto"/>
            </w:tcBorders>
            <w:vAlign w:val="center"/>
          </w:tcPr>
          <w:p w14:paraId="60A88378" w14:textId="77777777" w:rsidR="004C60F2" w:rsidRPr="004C60F2" w:rsidRDefault="004C60F2" w:rsidP="00C11712">
            <w:pPr>
              <w:jc w:val="center"/>
              <w:rPr>
                <w:color w:val="000000"/>
                <w:sz w:val="22"/>
                <w:szCs w:val="22"/>
              </w:rPr>
            </w:pPr>
            <w:r w:rsidRPr="004C60F2">
              <w:rPr>
                <w:color w:val="000000"/>
                <w:sz w:val="22"/>
                <w:szCs w:val="22"/>
              </w:rPr>
              <w:t>128,146</w:t>
            </w:r>
          </w:p>
        </w:tc>
        <w:tc>
          <w:tcPr>
            <w:tcW w:w="1295" w:type="dxa"/>
            <w:tcBorders>
              <w:top w:val="single" w:sz="4" w:space="0" w:color="auto"/>
              <w:left w:val="single" w:sz="4" w:space="0" w:color="auto"/>
              <w:bottom w:val="single" w:sz="4" w:space="0" w:color="auto"/>
              <w:right w:val="single" w:sz="4" w:space="0" w:color="auto"/>
            </w:tcBorders>
            <w:vAlign w:val="center"/>
          </w:tcPr>
          <w:p w14:paraId="3BC87FEA" w14:textId="77777777" w:rsidR="004C60F2" w:rsidRPr="004C60F2" w:rsidRDefault="004C60F2" w:rsidP="00C11712">
            <w:pPr>
              <w:jc w:val="center"/>
              <w:rPr>
                <w:color w:val="000000"/>
                <w:sz w:val="22"/>
                <w:szCs w:val="22"/>
              </w:rPr>
            </w:pPr>
            <w:r w:rsidRPr="004C60F2">
              <w:rPr>
                <w:color w:val="000000"/>
                <w:sz w:val="22"/>
                <w:szCs w:val="22"/>
              </w:rPr>
              <w:t>4.54</w:t>
            </w:r>
          </w:p>
        </w:tc>
        <w:tc>
          <w:tcPr>
            <w:tcW w:w="1170" w:type="dxa"/>
            <w:tcBorders>
              <w:top w:val="nil"/>
              <w:left w:val="single" w:sz="4" w:space="0" w:color="auto"/>
              <w:bottom w:val="single" w:sz="4" w:space="0" w:color="auto"/>
              <w:right w:val="single" w:sz="4" w:space="0" w:color="auto"/>
            </w:tcBorders>
            <w:shd w:val="clear" w:color="auto" w:fill="auto"/>
            <w:noWrap/>
            <w:vAlign w:val="center"/>
          </w:tcPr>
          <w:p w14:paraId="15E00E60" w14:textId="77777777" w:rsidR="004C60F2" w:rsidRPr="004C60F2" w:rsidRDefault="004C60F2" w:rsidP="00C11712">
            <w:pPr>
              <w:jc w:val="center"/>
              <w:rPr>
                <w:color w:val="000000"/>
                <w:sz w:val="22"/>
                <w:szCs w:val="22"/>
              </w:rPr>
            </w:pPr>
            <w:r w:rsidRPr="004C60F2">
              <w:rPr>
                <w:color w:val="000000"/>
                <w:sz w:val="22"/>
                <w:szCs w:val="22"/>
              </w:rPr>
              <w:t>581,781</w:t>
            </w:r>
          </w:p>
        </w:tc>
        <w:tc>
          <w:tcPr>
            <w:tcW w:w="1440" w:type="dxa"/>
            <w:tcBorders>
              <w:top w:val="nil"/>
              <w:left w:val="nil"/>
              <w:bottom w:val="single" w:sz="4" w:space="0" w:color="auto"/>
              <w:right w:val="single" w:sz="4" w:space="0" w:color="auto"/>
            </w:tcBorders>
            <w:shd w:val="clear" w:color="auto" w:fill="auto"/>
            <w:noWrap/>
            <w:vAlign w:val="center"/>
          </w:tcPr>
          <w:p w14:paraId="4F942E99" w14:textId="77777777" w:rsidR="004C60F2" w:rsidRPr="004C60F2" w:rsidRDefault="004C60F2" w:rsidP="00C11712">
            <w:pPr>
              <w:jc w:val="center"/>
              <w:rPr>
                <w:color w:val="000000"/>
                <w:sz w:val="22"/>
                <w:szCs w:val="22"/>
              </w:rPr>
            </w:pPr>
            <w:r w:rsidRPr="004C60F2">
              <w:rPr>
                <w:color w:val="000000"/>
                <w:sz w:val="22"/>
                <w:szCs w:val="22"/>
              </w:rPr>
              <w:t>99,019</w:t>
            </w:r>
          </w:p>
        </w:tc>
        <w:tc>
          <w:tcPr>
            <w:tcW w:w="1440" w:type="dxa"/>
            <w:tcBorders>
              <w:top w:val="nil"/>
              <w:left w:val="nil"/>
              <w:bottom w:val="single" w:sz="4" w:space="0" w:color="auto"/>
              <w:right w:val="single" w:sz="4" w:space="0" w:color="auto"/>
            </w:tcBorders>
            <w:shd w:val="clear" w:color="auto" w:fill="auto"/>
            <w:noWrap/>
            <w:vAlign w:val="center"/>
          </w:tcPr>
          <w:p w14:paraId="02CC867E" w14:textId="77777777" w:rsidR="004C60F2" w:rsidRPr="004C60F2" w:rsidRDefault="004C60F2" w:rsidP="00C11712">
            <w:pPr>
              <w:jc w:val="center"/>
              <w:rPr>
                <w:color w:val="000000"/>
                <w:sz w:val="22"/>
                <w:szCs w:val="22"/>
              </w:rPr>
            </w:pPr>
            <w:r w:rsidRPr="004C60F2">
              <w:rPr>
                <w:color w:val="000000"/>
                <w:sz w:val="22"/>
                <w:szCs w:val="22"/>
              </w:rPr>
              <w:t>12,893</w:t>
            </w:r>
          </w:p>
        </w:tc>
        <w:tc>
          <w:tcPr>
            <w:tcW w:w="1188" w:type="dxa"/>
            <w:tcBorders>
              <w:top w:val="nil"/>
              <w:left w:val="nil"/>
              <w:bottom w:val="single" w:sz="4" w:space="0" w:color="auto"/>
              <w:right w:val="single" w:sz="4" w:space="0" w:color="auto"/>
            </w:tcBorders>
            <w:shd w:val="clear" w:color="auto" w:fill="auto"/>
            <w:noWrap/>
            <w:vAlign w:val="center"/>
          </w:tcPr>
          <w:p w14:paraId="7B503A41" w14:textId="77777777" w:rsidR="004C60F2" w:rsidRPr="004C60F2" w:rsidRDefault="004C60F2" w:rsidP="00C11712">
            <w:pPr>
              <w:jc w:val="center"/>
              <w:rPr>
                <w:color w:val="000000"/>
                <w:sz w:val="22"/>
                <w:szCs w:val="22"/>
              </w:rPr>
            </w:pPr>
            <w:r w:rsidRPr="004C60F2">
              <w:rPr>
                <w:color w:val="000000"/>
                <w:sz w:val="22"/>
                <w:szCs w:val="22"/>
              </w:rPr>
              <w:t>115,252</w:t>
            </w:r>
          </w:p>
        </w:tc>
      </w:tr>
      <w:tr w:rsidR="004C60F2" w:rsidRPr="004C60F2" w14:paraId="4163B15C" w14:textId="77777777" w:rsidTr="00C11712">
        <w:trPr>
          <w:trHeight w:val="289"/>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253E0E53" w14:textId="77777777" w:rsidR="004C60F2" w:rsidRPr="004C60F2" w:rsidRDefault="004C60F2" w:rsidP="00C11712">
            <w:pPr>
              <w:keepNext/>
              <w:jc w:val="center"/>
              <w:rPr>
                <w:color w:val="000000"/>
                <w:sz w:val="22"/>
                <w:szCs w:val="22"/>
              </w:rPr>
            </w:pPr>
            <w:r w:rsidRPr="004C60F2">
              <w:rPr>
                <w:color w:val="000000"/>
                <w:sz w:val="22"/>
                <w:szCs w:val="22"/>
              </w:rPr>
              <w:t>2019</w:t>
            </w:r>
          </w:p>
        </w:tc>
        <w:tc>
          <w:tcPr>
            <w:tcW w:w="1109" w:type="dxa"/>
            <w:tcBorders>
              <w:top w:val="nil"/>
              <w:left w:val="nil"/>
              <w:bottom w:val="single" w:sz="4" w:space="0" w:color="auto"/>
              <w:right w:val="single" w:sz="4" w:space="0" w:color="auto"/>
            </w:tcBorders>
            <w:shd w:val="clear" w:color="auto" w:fill="auto"/>
            <w:noWrap/>
            <w:vAlign w:val="center"/>
          </w:tcPr>
          <w:p w14:paraId="58B84BAF" w14:textId="77777777" w:rsidR="004C60F2" w:rsidRPr="004C60F2" w:rsidRDefault="004C60F2" w:rsidP="00C11712">
            <w:pPr>
              <w:jc w:val="center"/>
              <w:rPr>
                <w:color w:val="000000"/>
                <w:sz w:val="22"/>
                <w:szCs w:val="22"/>
              </w:rPr>
            </w:pPr>
            <w:r w:rsidRPr="004C60F2">
              <w:rPr>
                <w:color w:val="000000"/>
                <w:sz w:val="22"/>
                <w:szCs w:val="22"/>
              </w:rPr>
              <w:t>169,300</w:t>
            </w:r>
          </w:p>
        </w:tc>
        <w:tc>
          <w:tcPr>
            <w:tcW w:w="1144" w:type="dxa"/>
            <w:tcBorders>
              <w:top w:val="single" w:sz="4" w:space="0" w:color="auto"/>
              <w:left w:val="nil"/>
              <w:bottom w:val="single" w:sz="4" w:space="0" w:color="auto"/>
              <w:right w:val="single" w:sz="4" w:space="0" w:color="auto"/>
            </w:tcBorders>
            <w:vAlign w:val="center"/>
          </w:tcPr>
          <w:p w14:paraId="313C67FE" w14:textId="77777777" w:rsidR="004C60F2" w:rsidRPr="004C60F2" w:rsidRDefault="004C60F2" w:rsidP="00C11712">
            <w:pPr>
              <w:jc w:val="center"/>
              <w:rPr>
                <w:color w:val="000000"/>
                <w:sz w:val="22"/>
                <w:szCs w:val="22"/>
              </w:rPr>
            </w:pPr>
            <w:r w:rsidRPr="004C60F2">
              <w:rPr>
                <w:color w:val="000000"/>
                <w:sz w:val="22"/>
                <w:szCs w:val="22"/>
              </w:rPr>
              <w:t>131,885</w:t>
            </w:r>
          </w:p>
        </w:tc>
        <w:tc>
          <w:tcPr>
            <w:tcW w:w="1295" w:type="dxa"/>
            <w:tcBorders>
              <w:top w:val="single" w:sz="4" w:space="0" w:color="auto"/>
              <w:left w:val="single" w:sz="4" w:space="0" w:color="auto"/>
              <w:bottom w:val="single" w:sz="4" w:space="0" w:color="auto"/>
              <w:right w:val="single" w:sz="4" w:space="0" w:color="auto"/>
            </w:tcBorders>
            <w:vAlign w:val="center"/>
          </w:tcPr>
          <w:p w14:paraId="756E58EE" w14:textId="77777777" w:rsidR="004C60F2" w:rsidRPr="004C60F2" w:rsidRDefault="004C60F2" w:rsidP="00C11712">
            <w:pPr>
              <w:jc w:val="center"/>
              <w:rPr>
                <w:color w:val="000000"/>
                <w:sz w:val="22"/>
                <w:szCs w:val="22"/>
              </w:rPr>
            </w:pPr>
            <w:r w:rsidRPr="004C60F2">
              <w:rPr>
                <w:color w:val="000000"/>
                <w:sz w:val="22"/>
                <w:szCs w:val="22"/>
              </w:rPr>
              <w:t>4.57</w:t>
            </w:r>
          </w:p>
        </w:tc>
        <w:tc>
          <w:tcPr>
            <w:tcW w:w="1170" w:type="dxa"/>
            <w:tcBorders>
              <w:top w:val="nil"/>
              <w:left w:val="single" w:sz="4" w:space="0" w:color="auto"/>
              <w:bottom w:val="single" w:sz="4" w:space="0" w:color="auto"/>
              <w:right w:val="single" w:sz="4" w:space="0" w:color="auto"/>
            </w:tcBorders>
            <w:shd w:val="clear" w:color="auto" w:fill="auto"/>
            <w:noWrap/>
            <w:vAlign w:val="center"/>
          </w:tcPr>
          <w:p w14:paraId="2556A49D" w14:textId="77777777" w:rsidR="004C60F2" w:rsidRPr="004C60F2" w:rsidRDefault="004C60F2" w:rsidP="00C11712">
            <w:pPr>
              <w:jc w:val="center"/>
              <w:rPr>
                <w:color w:val="000000"/>
                <w:sz w:val="22"/>
                <w:szCs w:val="22"/>
              </w:rPr>
            </w:pPr>
            <w:r w:rsidRPr="004C60F2">
              <w:rPr>
                <w:color w:val="000000"/>
                <w:sz w:val="22"/>
                <w:szCs w:val="22"/>
              </w:rPr>
              <w:t>602,713</w:t>
            </w:r>
          </w:p>
        </w:tc>
        <w:tc>
          <w:tcPr>
            <w:tcW w:w="1440" w:type="dxa"/>
            <w:tcBorders>
              <w:top w:val="nil"/>
              <w:left w:val="nil"/>
              <w:bottom w:val="single" w:sz="4" w:space="0" w:color="auto"/>
              <w:right w:val="single" w:sz="4" w:space="0" w:color="auto"/>
            </w:tcBorders>
            <w:shd w:val="clear" w:color="auto" w:fill="auto"/>
            <w:noWrap/>
            <w:vAlign w:val="center"/>
          </w:tcPr>
          <w:p w14:paraId="07F5E225" w14:textId="77777777" w:rsidR="004C60F2" w:rsidRPr="004C60F2" w:rsidRDefault="004C60F2" w:rsidP="00C11712">
            <w:pPr>
              <w:jc w:val="center"/>
              <w:rPr>
                <w:color w:val="000000"/>
                <w:sz w:val="22"/>
                <w:szCs w:val="22"/>
              </w:rPr>
            </w:pPr>
            <w:r w:rsidRPr="004C60F2">
              <w:rPr>
                <w:color w:val="000000"/>
                <w:sz w:val="22"/>
                <w:szCs w:val="22"/>
              </w:rPr>
              <w:t>102,582</w:t>
            </w:r>
          </w:p>
        </w:tc>
        <w:tc>
          <w:tcPr>
            <w:tcW w:w="1440" w:type="dxa"/>
            <w:tcBorders>
              <w:top w:val="nil"/>
              <w:left w:val="nil"/>
              <w:bottom w:val="single" w:sz="4" w:space="0" w:color="auto"/>
              <w:right w:val="single" w:sz="4" w:space="0" w:color="auto"/>
            </w:tcBorders>
            <w:shd w:val="clear" w:color="auto" w:fill="auto"/>
            <w:noWrap/>
            <w:vAlign w:val="center"/>
          </w:tcPr>
          <w:p w14:paraId="7EF16760" w14:textId="77777777" w:rsidR="004C60F2" w:rsidRPr="004C60F2" w:rsidRDefault="004C60F2" w:rsidP="00C11712">
            <w:pPr>
              <w:jc w:val="center"/>
              <w:rPr>
                <w:color w:val="000000"/>
                <w:sz w:val="22"/>
                <w:szCs w:val="22"/>
              </w:rPr>
            </w:pPr>
            <w:r w:rsidRPr="004C60F2">
              <w:rPr>
                <w:color w:val="000000"/>
                <w:sz w:val="22"/>
                <w:szCs w:val="22"/>
              </w:rPr>
              <w:t>13,357</w:t>
            </w:r>
          </w:p>
        </w:tc>
        <w:tc>
          <w:tcPr>
            <w:tcW w:w="1188" w:type="dxa"/>
            <w:tcBorders>
              <w:top w:val="nil"/>
              <w:left w:val="nil"/>
              <w:bottom w:val="single" w:sz="4" w:space="0" w:color="auto"/>
              <w:right w:val="single" w:sz="4" w:space="0" w:color="auto"/>
            </w:tcBorders>
            <w:shd w:val="clear" w:color="auto" w:fill="auto"/>
            <w:noWrap/>
            <w:vAlign w:val="center"/>
          </w:tcPr>
          <w:p w14:paraId="0E17C816" w14:textId="77777777" w:rsidR="004C60F2" w:rsidRPr="004C60F2" w:rsidRDefault="004C60F2" w:rsidP="00C11712">
            <w:pPr>
              <w:jc w:val="center"/>
              <w:rPr>
                <w:color w:val="000000"/>
                <w:sz w:val="22"/>
                <w:szCs w:val="22"/>
              </w:rPr>
            </w:pPr>
            <w:r w:rsidRPr="004C60F2">
              <w:rPr>
                <w:color w:val="000000"/>
                <w:sz w:val="22"/>
                <w:szCs w:val="22"/>
              </w:rPr>
              <w:t>118,528</w:t>
            </w:r>
          </w:p>
        </w:tc>
      </w:tr>
      <w:tr w:rsidR="004C60F2" w:rsidRPr="004C60F2" w14:paraId="4F4C696E" w14:textId="77777777" w:rsidTr="00C11712">
        <w:trPr>
          <w:trHeight w:val="289"/>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2897E732" w14:textId="77777777" w:rsidR="004C60F2" w:rsidRPr="004C60F2" w:rsidRDefault="004C60F2" w:rsidP="00C11712">
            <w:pPr>
              <w:keepNext/>
              <w:jc w:val="center"/>
              <w:rPr>
                <w:color w:val="000000"/>
                <w:sz w:val="22"/>
                <w:szCs w:val="22"/>
              </w:rPr>
            </w:pPr>
            <w:r w:rsidRPr="004C60F2">
              <w:rPr>
                <w:color w:val="000000"/>
                <w:sz w:val="22"/>
                <w:szCs w:val="22"/>
              </w:rPr>
              <w:t>2020</w:t>
            </w:r>
          </w:p>
        </w:tc>
        <w:tc>
          <w:tcPr>
            <w:tcW w:w="1109" w:type="dxa"/>
            <w:tcBorders>
              <w:top w:val="nil"/>
              <w:left w:val="nil"/>
              <w:bottom w:val="single" w:sz="4" w:space="0" w:color="auto"/>
              <w:right w:val="single" w:sz="4" w:space="0" w:color="auto"/>
            </w:tcBorders>
            <w:shd w:val="clear" w:color="auto" w:fill="auto"/>
            <w:noWrap/>
            <w:vAlign w:val="center"/>
          </w:tcPr>
          <w:p w14:paraId="668D3BA8" w14:textId="77777777" w:rsidR="004C60F2" w:rsidRPr="004C60F2" w:rsidRDefault="004C60F2" w:rsidP="00C11712">
            <w:pPr>
              <w:jc w:val="center"/>
              <w:rPr>
                <w:color w:val="000000"/>
                <w:sz w:val="22"/>
                <w:szCs w:val="22"/>
              </w:rPr>
            </w:pPr>
            <w:r w:rsidRPr="004C60F2">
              <w:rPr>
                <w:color w:val="000000"/>
                <w:sz w:val="22"/>
                <w:szCs w:val="22"/>
              </w:rPr>
              <w:t>172,700</w:t>
            </w:r>
          </w:p>
        </w:tc>
        <w:tc>
          <w:tcPr>
            <w:tcW w:w="1144" w:type="dxa"/>
            <w:tcBorders>
              <w:top w:val="single" w:sz="4" w:space="0" w:color="auto"/>
              <w:left w:val="nil"/>
              <w:bottom w:val="single" w:sz="4" w:space="0" w:color="auto"/>
              <w:right w:val="single" w:sz="4" w:space="0" w:color="auto"/>
            </w:tcBorders>
            <w:vAlign w:val="center"/>
          </w:tcPr>
          <w:p w14:paraId="53369BB5" w14:textId="77777777" w:rsidR="004C60F2" w:rsidRPr="004C60F2" w:rsidRDefault="004C60F2" w:rsidP="00C11712">
            <w:pPr>
              <w:jc w:val="center"/>
              <w:rPr>
                <w:color w:val="000000"/>
                <w:sz w:val="22"/>
                <w:szCs w:val="22"/>
              </w:rPr>
            </w:pPr>
            <w:r w:rsidRPr="004C60F2">
              <w:rPr>
                <w:color w:val="000000"/>
                <w:sz w:val="22"/>
                <w:szCs w:val="22"/>
              </w:rPr>
              <w:t>134,533</w:t>
            </w:r>
          </w:p>
        </w:tc>
        <w:tc>
          <w:tcPr>
            <w:tcW w:w="1295" w:type="dxa"/>
            <w:tcBorders>
              <w:top w:val="single" w:sz="4" w:space="0" w:color="auto"/>
              <w:left w:val="single" w:sz="4" w:space="0" w:color="auto"/>
              <w:bottom w:val="single" w:sz="4" w:space="0" w:color="auto"/>
              <w:right w:val="single" w:sz="4" w:space="0" w:color="auto"/>
            </w:tcBorders>
            <w:vAlign w:val="center"/>
          </w:tcPr>
          <w:p w14:paraId="71005C5F" w14:textId="77777777" w:rsidR="004C60F2" w:rsidRPr="004C60F2" w:rsidRDefault="004C60F2" w:rsidP="00C11712">
            <w:pPr>
              <w:jc w:val="center"/>
              <w:rPr>
                <w:color w:val="000000"/>
                <w:sz w:val="22"/>
                <w:szCs w:val="22"/>
              </w:rPr>
            </w:pPr>
            <w:r w:rsidRPr="004C60F2">
              <w:rPr>
                <w:color w:val="000000"/>
                <w:sz w:val="22"/>
                <w:szCs w:val="22"/>
              </w:rPr>
              <w:t>4.62</w:t>
            </w:r>
          </w:p>
        </w:tc>
        <w:tc>
          <w:tcPr>
            <w:tcW w:w="1170" w:type="dxa"/>
            <w:tcBorders>
              <w:top w:val="nil"/>
              <w:left w:val="single" w:sz="4" w:space="0" w:color="auto"/>
              <w:bottom w:val="single" w:sz="4" w:space="0" w:color="auto"/>
              <w:right w:val="single" w:sz="4" w:space="0" w:color="auto"/>
            </w:tcBorders>
            <w:shd w:val="clear" w:color="auto" w:fill="auto"/>
            <w:noWrap/>
            <w:vAlign w:val="center"/>
          </w:tcPr>
          <w:p w14:paraId="35E49EC0" w14:textId="77777777" w:rsidR="004C60F2" w:rsidRPr="004C60F2" w:rsidRDefault="004C60F2" w:rsidP="00C11712">
            <w:pPr>
              <w:jc w:val="center"/>
              <w:rPr>
                <w:color w:val="000000"/>
                <w:sz w:val="22"/>
                <w:szCs w:val="22"/>
              </w:rPr>
            </w:pPr>
            <w:r w:rsidRPr="004C60F2">
              <w:rPr>
                <w:color w:val="000000"/>
                <w:sz w:val="22"/>
                <w:szCs w:val="22"/>
              </w:rPr>
              <w:t>621,544</w:t>
            </w:r>
          </w:p>
        </w:tc>
        <w:tc>
          <w:tcPr>
            <w:tcW w:w="1440" w:type="dxa"/>
            <w:tcBorders>
              <w:top w:val="nil"/>
              <w:left w:val="nil"/>
              <w:bottom w:val="single" w:sz="4" w:space="0" w:color="auto"/>
              <w:right w:val="single" w:sz="4" w:space="0" w:color="auto"/>
            </w:tcBorders>
            <w:shd w:val="clear" w:color="auto" w:fill="auto"/>
            <w:noWrap/>
            <w:vAlign w:val="center"/>
          </w:tcPr>
          <w:p w14:paraId="1EAAF781" w14:textId="77777777" w:rsidR="004C60F2" w:rsidRPr="004C60F2" w:rsidRDefault="004C60F2" w:rsidP="00C11712">
            <w:pPr>
              <w:jc w:val="center"/>
              <w:rPr>
                <w:color w:val="000000"/>
                <w:sz w:val="22"/>
                <w:szCs w:val="22"/>
              </w:rPr>
            </w:pPr>
            <w:r w:rsidRPr="004C60F2">
              <w:rPr>
                <w:color w:val="000000"/>
                <w:sz w:val="22"/>
                <w:szCs w:val="22"/>
              </w:rPr>
              <w:t>105,787</w:t>
            </w:r>
          </w:p>
        </w:tc>
        <w:tc>
          <w:tcPr>
            <w:tcW w:w="1440" w:type="dxa"/>
            <w:tcBorders>
              <w:top w:val="nil"/>
              <w:left w:val="nil"/>
              <w:bottom w:val="single" w:sz="4" w:space="0" w:color="auto"/>
              <w:right w:val="single" w:sz="4" w:space="0" w:color="auto"/>
            </w:tcBorders>
            <w:shd w:val="clear" w:color="auto" w:fill="auto"/>
            <w:noWrap/>
            <w:vAlign w:val="center"/>
          </w:tcPr>
          <w:p w14:paraId="1FE5DBD8" w14:textId="77777777" w:rsidR="004C60F2" w:rsidRPr="004C60F2" w:rsidRDefault="004C60F2" w:rsidP="00C11712">
            <w:pPr>
              <w:jc w:val="center"/>
              <w:rPr>
                <w:color w:val="000000"/>
                <w:sz w:val="22"/>
                <w:szCs w:val="22"/>
              </w:rPr>
            </w:pPr>
            <w:r w:rsidRPr="004C60F2">
              <w:rPr>
                <w:color w:val="000000"/>
                <w:sz w:val="22"/>
                <w:szCs w:val="22"/>
              </w:rPr>
              <w:t>13,774</w:t>
            </w:r>
          </w:p>
        </w:tc>
        <w:tc>
          <w:tcPr>
            <w:tcW w:w="1188" w:type="dxa"/>
            <w:tcBorders>
              <w:top w:val="nil"/>
              <w:left w:val="nil"/>
              <w:bottom w:val="single" w:sz="4" w:space="0" w:color="auto"/>
              <w:right w:val="single" w:sz="4" w:space="0" w:color="auto"/>
            </w:tcBorders>
            <w:shd w:val="clear" w:color="auto" w:fill="auto"/>
            <w:noWrap/>
            <w:vAlign w:val="center"/>
          </w:tcPr>
          <w:p w14:paraId="502FA7FD" w14:textId="77777777" w:rsidR="004C60F2" w:rsidRPr="004C60F2" w:rsidRDefault="004C60F2" w:rsidP="00C11712">
            <w:pPr>
              <w:jc w:val="center"/>
              <w:rPr>
                <w:color w:val="000000"/>
                <w:sz w:val="22"/>
                <w:szCs w:val="22"/>
              </w:rPr>
            </w:pPr>
            <w:r w:rsidRPr="004C60F2">
              <w:rPr>
                <w:color w:val="000000"/>
                <w:sz w:val="22"/>
                <w:szCs w:val="22"/>
              </w:rPr>
              <w:t>120,759</w:t>
            </w:r>
          </w:p>
        </w:tc>
      </w:tr>
    </w:tbl>
    <w:p w14:paraId="4175769B" w14:textId="77777777" w:rsidR="004C60F2" w:rsidRDefault="004C60F2" w:rsidP="004C60F2"/>
    <w:p w14:paraId="5253E363" w14:textId="77777777" w:rsidR="004C60F2" w:rsidRDefault="004C60F2" w:rsidP="004C60F2"/>
    <w:p w14:paraId="774726F3" w14:textId="77777777" w:rsidR="004C60F2" w:rsidRPr="002F0045" w:rsidRDefault="004C60F2" w:rsidP="004C60F2">
      <w:pPr>
        <w:keepNext/>
        <w:keepLines/>
        <w:rPr>
          <w:rFonts w:ascii="Arial" w:hAnsi="Arial" w:cs="Arial"/>
          <w:sz w:val="20"/>
          <w:szCs w:val="20"/>
        </w:rPr>
      </w:pPr>
      <w:r w:rsidRPr="002F0045">
        <w:rPr>
          <w:rFonts w:ascii="Arial" w:hAnsi="Arial" w:cs="Arial"/>
          <w:b/>
          <w:sz w:val="20"/>
          <w:szCs w:val="20"/>
        </w:rPr>
        <w:t xml:space="preserve">Table </w:t>
      </w:r>
      <w:r>
        <w:rPr>
          <w:rFonts w:ascii="Arial" w:hAnsi="Arial" w:cs="Arial"/>
          <w:b/>
          <w:sz w:val="20"/>
          <w:szCs w:val="20"/>
        </w:rPr>
        <w:t>3</w:t>
      </w:r>
      <w:r w:rsidRPr="002F0045">
        <w:rPr>
          <w:rFonts w:ascii="Arial" w:hAnsi="Arial" w:cs="Arial"/>
          <w:b/>
          <w:sz w:val="20"/>
          <w:szCs w:val="20"/>
        </w:rPr>
        <w:t>.</w:t>
      </w:r>
      <w:r w:rsidRPr="002F0045">
        <w:rPr>
          <w:rFonts w:ascii="Arial" w:hAnsi="Arial" w:cs="Arial"/>
          <w:sz w:val="20"/>
          <w:szCs w:val="20"/>
        </w:rPr>
        <w:t xml:space="preserve">  Propos</w:t>
      </w:r>
      <w:r>
        <w:rPr>
          <w:rFonts w:ascii="Arial" w:hAnsi="Arial" w:cs="Arial"/>
          <w:sz w:val="20"/>
          <w:szCs w:val="20"/>
        </w:rPr>
        <w:t>ed ABC and ACLs for mutton snapper</w:t>
      </w:r>
      <w:r w:rsidRPr="002F0045">
        <w:rPr>
          <w:rFonts w:ascii="Arial" w:hAnsi="Arial" w:cs="Arial"/>
          <w:sz w:val="20"/>
          <w:szCs w:val="20"/>
        </w:rPr>
        <w:t xml:space="preserve">.  This example is for </w:t>
      </w:r>
      <w:r w:rsidRPr="002F0045">
        <w:rPr>
          <w:rFonts w:ascii="Arial" w:hAnsi="Arial" w:cs="Arial"/>
          <w:b/>
          <w:sz w:val="20"/>
          <w:szCs w:val="20"/>
        </w:rPr>
        <w:t>Sub-alternative 2</w:t>
      </w:r>
      <w:r>
        <w:rPr>
          <w:rFonts w:ascii="Arial" w:hAnsi="Arial" w:cs="Arial"/>
          <w:b/>
          <w:sz w:val="20"/>
          <w:szCs w:val="20"/>
        </w:rPr>
        <w:t>c</w:t>
      </w:r>
      <w:r w:rsidRPr="002F0045">
        <w:rPr>
          <w:rFonts w:ascii="Arial" w:hAnsi="Arial" w:cs="Arial"/>
          <w:sz w:val="20"/>
          <w:szCs w:val="20"/>
        </w:rPr>
        <w:t xml:space="preserve"> in </w:t>
      </w:r>
      <w:r w:rsidRPr="002F0045">
        <w:rPr>
          <w:rFonts w:ascii="Arial" w:hAnsi="Arial" w:cs="Arial"/>
          <w:b/>
          <w:sz w:val="20"/>
          <w:szCs w:val="20"/>
        </w:rPr>
        <w:t xml:space="preserve">Action </w:t>
      </w:r>
      <w:r>
        <w:rPr>
          <w:rFonts w:ascii="Arial" w:hAnsi="Arial" w:cs="Arial"/>
          <w:b/>
          <w:sz w:val="20"/>
          <w:szCs w:val="20"/>
        </w:rPr>
        <w:t>3</w:t>
      </w:r>
      <w:r w:rsidRPr="002F0045">
        <w:rPr>
          <w:rFonts w:ascii="Arial" w:hAnsi="Arial" w:cs="Arial"/>
          <w:sz w:val="20"/>
          <w:szCs w:val="20"/>
        </w:rPr>
        <w:t xml:space="preserve"> (ACL</w:t>
      </w:r>
      <w:r>
        <w:rPr>
          <w:rFonts w:ascii="Arial" w:hAnsi="Arial" w:cs="Arial"/>
          <w:sz w:val="20"/>
          <w:szCs w:val="20"/>
        </w:rPr>
        <w:t>=OY</w:t>
      </w:r>
      <w:r w:rsidRPr="002F0045">
        <w:rPr>
          <w:rFonts w:ascii="Arial" w:hAnsi="Arial" w:cs="Arial"/>
          <w:sz w:val="20"/>
          <w:szCs w:val="20"/>
        </w:rPr>
        <w:t>=9</w:t>
      </w:r>
      <w:r>
        <w:rPr>
          <w:rFonts w:ascii="Arial" w:hAnsi="Arial" w:cs="Arial"/>
          <w:sz w:val="20"/>
          <w:szCs w:val="20"/>
        </w:rPr>
        <w:t>0</w:t>
      </w:r>
      <w:r w:rsidRPr="002F0045">
        <w:rPr>
          <w:rFonts w:ascii="Arial" w:hAnsi="Arial" w:cs="Arial"/>
          <w:sz w:val="20"/>
          <w:szCs w:val="20"/>
        </w:rPr>
        <w:t xml:space="preserve">% ABC).  The average weight is estimated by the stock assessment model.  The average weight of commercially caught </w:t>
      </w:r>
      <w:r>
        <w:rPr>
          <w:rFonts w:ascii="Arial" w:hAnsi="Arial" w:cs="Arial"/>
          <w:sz w:val="20"/>
          <w:szCs w:val="20"/>
        </w:rPr>
        <w:t>mutton snapper</w:t>
      </w:r>
      <w:r w:rsidRPr="002F0045">
        <w:rPr>
          <w:rFonts w:ascii="Arial" w:hAnsi="Arial" w:cs="Arial"/>
          <w:sz w:val="20"/>
          <w:szCs w:val="20"/>
        </w:rPr>
        <w:t xml:space="preserve"> is </w:t>
      </w:r>
      <w:r>
        <w:rPr>
          <w:rFonts w:ascii="Arial" w:hAnsi="Arial" w:cs="Arial"/>
          <w:sz w:val="20"/>
          <w:szCs w:val="20"/>
        </w:rPr>
        <w:t>7.68</w:t>
      </w:r>
      <w:r w:rsidRPr="002F0045">
        <w:rPr>
          <w:rFonts w:ascii="Arial" w:hAnsi="Arial" w:cs="Arial"/>
          <w:sz w:val="20"/>
          <w:szCs w:val="20"/>
        </w:rPr>
        <w:t xml:space="preserve"> lbs. based on commercial samples.  </w:t>
      </w:r>
    </w:p>
    <w:tbl>
      <w:tblPr>
        <w:tblW w:w="9648" w:type="dxa"/>
        <w:tblInd w:w="-72" w:type="dxa"/>
        <w:tblLook w:val="04A0" w:firstRow="1" w:lastRow="0" w:firstColumn="1" w:lastColumn="0" w:noHBand="0" w:noVBand="1"/>
      </w:tblPr>
      <w:tblGrid>
        <w:gridCol w:w="862"/>
        <w:gridCol w:w="1109"/>
        <w:gridCol w:w="1144"/>
        <w:gridCol w:w="1295"/>
        <w:gridCol w:w="1170"/>
        <w:gridCol w:w="1440"/>
        <w:gridCol w:w="1440"/>
        <w:gridCol w:w="1188"/>
      </w:tblGrid>
      <w:tr w:rsidR="004C60F2" w:rsidRPr="004C60F2" w14:paraId="5A96EE65" w14:textId="77777777" w:rsidTr="00C11712">
        <w:trPr>
          <w:trHeight w:val="289"/>
        </w:trPr>
        <w:tc>
          <w:tcPr>
            <w:tcW w:w="964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AE3E3F" w14:textId="77777777" w:rsidR="004C60F2" w:rsidRPr="004C60F2" w:rsidRDefault="004C60F2" w:rsidP="00C11712">
            <w:pPr>
              <w:keepNext/>
              <w:jc w:val="center"/>
              <w:rPr>
                <w:b/>
                <w:bCs/>
                <w:color w:val="000000"/>
                <w:sz w:val="22"/>
                <w:szCs w:val="22"/>
              </w:rPr>
            </w:pPr>
            <w:r w:rsidRPr="004C60F2">
              <w:rPr>
                <w:b/>
                <w:bCs/>
                <w:color w:val="000000"/>
                <w:sz w:val="22"/>
                <w:szCs w:val="22"/>
              </w:rPr>
              <w:t>New Proposed Method To Calculate Mutton snapper ACL Using Only Comm Avg Wt</w:t>
            </w:r>
          </w:p>
        </w:tc>
      </w:tr>
      <w:tr w:rsidR="004C60F2" w:rsidRPr="004C60F2" w14:paraId="78657173" w14:textId="77777777" w:rsidTr="00C11712">
        <w:trPr>
          <w:trHeight w:val="300"/>
        </w:trPr>
        <w:tc>
          <w:tcPr>
            <w:tcW w:w="86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B448E1A" w14:textId="77777777" w:rsidR="004C60F2" w:rsidRPr="004C60F2" w:rsidRDefault="004C60F2" w:rsidP="00C11712">
            <w:pPr>
              <w:keepNext/>
              <w:jc w:val="center"/>
              <w:rPr>
                <w:b/>
                <w:bCs/>
                <w:color w:val="000000"/>
                <w:sz w:val="22"/>
                <w:szCs w:val="22"/>
              </w:rPr>
            </w:pPr>
            <w:r w:rsidRPr="004C60F2">
              <w:rPr>
                <w:b/>
                <w:bCs/>
                <w:color w:val="000000"/>
                <w:sz w:val="22"/>
                <w:szCs w:val="22"/>
              </w:rPr>
              <w:t>Year</w:t>
            </w:r>
          </w:p>
        </w:tc>
        <w:tc>
          <w:tcPr>
            <w:tcW w:w="1109" w:type="dxa"/>
            <w:tcBorders>
              <w:top w:val="nil"/>
              <w:left w:val="nil"/>
              <w:bottom w:val="single" w:sz="4" w:space="0" w:color="auto"/>
              <w:right w:val="single" w:sz="4" w:space="0" w:color="auto"/>
            </w:tcBorders>
            <w:shd w:val="clear" w:color="auto" w:fill="D9D9D9" w:themeFill="background1" w:themeFillShade="D9"/>
            <w:noWrap/>
            <w:vAlign w:val="center"/>
            <w:hideMark/>
          </w:tcPr>
          <w:p w14:paraId="400C6D7D" w14:textId="77777777" w:rsidR="004C60F2" w:rsidRPr="004C60F2" w:rsidRDefault="004C60F2" w:rsidP="00C11712">
            <w:pPr>
              <w:keepNext/>
              <w:jc w:val="center"/>
              <w:rPr>
                <w:b/>
                <w:bCs/>
                <w:color w:val="000000"/>
                <w:sz w:val="22"/>
                <w:szCs w:val="22"/>
              </w:rPr>
            </w:pPr>
            <w:r w:rsidRPr="004C60F2">
              <w:rPr>
                <w:b/>
                <w:bCs/>
                <w:color w:val="000000"/>
                <w:sz w:val="22"/>
                <w:szCs w:val="22"/>
              </w:rPr>
              <w:t>Total ABC</w:t>
            </w:r>
          </w:p>
        </w:tc>
        <w:tc>
          <w:tcPr>
            <w:tcW w:w="114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7D11992" w14:textId="77777777" w:rsidR="004C60F2" w:rsidRPr="004C60F2" w:rsidRDefault="004C60F2" w:rsidP="00C11712">
            <w:pPr>
              <w:keepNext/>
              <w:jc w:val="center"/>
              <w:rPr>
                <w:b/>
                <w:bCs/>
                <w:color w:val="000000"/>
                <w:sz w:val="22"/>
                <w:szCs w:val="22"/>
              </w:rPr>
            </w:pPr>
            <w:r w:rsidRPr="004C60F2">
              <w:rPr>
                <w:b/>
                <w:bCs/>
                <w:color w:val="000000"/>
                <w:sz w:val="22"/>
                <w:szCs w:val="22"/>
              </w:rPr>
              <w:t>SA ABC</w:t>
            </w:r>
          </w:p>
        </w:tc>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CEC29D" w14:textId="77777777" w:rsidR="004C60F2" w:rsidRPr="004C60F2" w:rsidRDefault="004C60F2" w:rsidP="00C11712">
            <w:pPr>
              <w:keepNext/>
              <w:jc w:val="center"/>
              <w:rPr>
                <w:b/>
                <w:bCs/>
                <w:color w:val="000000"/>
                <w:sz w:val="22"/>
                <w:szCs w:val="22"/>
              </w:rPr>
            </w:pPr>
            <w:r w:rsidRPr="004C60F2">
              <w:rPr>
                <w:b/>
                <w:bCs/>
                <w:color w:val="000000"/>
                <w:sz w:val="22"/>
                <w:szCs w:val="22"/>
              </w:rPr>
              <w:t xml:space="preserve">Model Proj </w:t>
            </w:r>
          </w:p>
          <w:p w14:paraId="760CF34C" w14:textId="77777777" w:rsidR="004C60F2" w:rsidRPr="004C60F2" w:rsidRDefault="004C60F2" w:rsidP="00C11712">
            <w:pPr>
              <w:keepNext/>
              <w:jc w:val="center"/>
              <w:rPr>
                <w:b/>
                <w:bCs/>
                <w:color w:val="000000"/>
                <w:sz w:val="22"/>
                <w:szCs w:val="22"/>
              </w:rPr>
            </w:pPr>
            <w:r w:rsidRPr="004C60F2">
              <w:rPr>
                <w:b/>
                <w:bCs/>
                <w:color w:val="000000"/>
                <w:sz w:val="22"/>
                <w:szCs w:val="22"/>
              </w:rPr>
              <w:t>Avg Wt</w:t>
            </w:r>
          </w:p>
        </w:tc>
        <w:tc>
          <w:tcPr>
            <w:tcW w:w="117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9DEAAF6" w14:textId="77777777" w:rsidR="004C60F2" w:rsidRPr="004C60F2" w:rsidRDefault="004C60F2" w:rsidP="00C11712">
            <w:pPr>
              <w:keepNext/>
              <w:jc w:val="center"/>
              <w:rPr>
                <w:b/>
                <w:bCs/>
                <w:color w:val="000000"/>
                <w:sz w:val="22"/>
                <w:szCs w:val="22"/>
              </w:rPr>
            </w:pPr>
            <w:r w:rsidRPr="004C60F2">
              <w:rPr>
                <w:b/>
                <w:bCs/>
                <w:color w:val="000000"/>
                <w:sz w:val="22"/>
                <w:szCs w:val="22"/>
              </w:rPr>
              <w:t>Yield of ABC</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hideMark/>
          </w:tcPr>
          <w:p w14:paraId="1E517F0E" w14:textId="77777777" w:rsidR="004C60F2" w:rsidRPr="004C60F2" w:rsidRDefault="004C60F2" w:rsidP="00C11712">
            <w:pPr>
              <w:keepNext/>
              <w:jc w:val="center"/>
              <w:rPr>
                <w:b/>
                <w:bCs/>
                <w:color w:val="000000"/>
                <w:sz w:val="22"/>
                <w:szCs w:val="22"/>
              </w:rPr>
            </w:pPr>
            <w:r w:rsidRPr="004C60F2">
              <w:rPr>
                <w:b/>
                <w:bCs/>
                <w:color w:val="000000"/>
                <w:sz w:val="22"/>
                <w:szCs w:val="22"/>
              </w:rPr>
              <w:t>Yield of Comm ACL</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hideMark/>
          </w:tcPr>
          <w:p w14:paraId="3783EDD7" w14:textId="77777777" w:rsidR="004C60F2" w:rsidRPr="004C60F2" w:rsidRDefault="004C60F2" w:rsidP="00C11712">
            <w:pPr>
              <w:keepNext/>
              <w:jc w:val="center"/>
              <w:rPr>
                <w:b/>
                <w:bCs/>
                <w:color w:val="000000"/>
                <w:sz w:val="22"/>
                <w:szCs w:val="22"/>
              </w:rPr>
            </w:pPr>
            <w:r w:rsidRPr="004C60F2">
              <w:rPr>
                <w:b/>
                <w:bCs/>
                <w:color w:val="000000"/>
                <w:sz w:val="22"/>
                <w:szCs w:val="22"/>
              </w:rPr>
              <w:t>Comm ACL</w:t>
            </w:r>
          </w:p>
        </w:tc>
        <w:tc>
          <w:tcPr>
            <w:tcW w:w="1188" w:type="dxa"/>
            <w:tcBorders>
              <w:top w:val="nil"/>
              <w:left w:val="nil"/>
              <w:bottom w:val="single" w:sz="4" w:space="0" w:color="auto"/>
              <w:right w:val="single" w:sz="4" w:space="0" w:color="auto"/>
            </w:tcBorders>
            <w:shd w:val="clear" w:color="auto" w:fill="D9D9D9" w:themeFill="background1" w:themeFillShade="D9"/>
            <w:noWrap/>
            <w:vAlign w:val="center"/>
            <w:hideMark/>
          </w:tcPr>
          <w:p w14:paraId="5B481BF5" w14:textId="77777777" w:rsidR="004C60F2" w:rsidRPr="004C60F2" w:rsidRDefault="004C60F2" w:rsidP="00C11712">
            <w:pPr>
              <w:keepNext/>
              <w:jc w:val="center"/>
              <w:rPr>
                <w:b/>
                <w:bCs/>
                <w:color w:val="000000"/>
                <w:sz w:val="22"/>
                <w:szCs w:val="22"/>
              </w:rPr>
            </w:pPr>
            <w:r w:rsidRPr="004C60F2">
              <w:rPr>
                <w:b/>
                <w:bCs/>
                <w:color w:val="000000"/>
                <w:sz w:val="22"/>
                <w:szCs w:val="22"/>
              </w:rPr>
              <w:t>Rec ACL</w:t>
            </w:r>
          </w:p>
        </w:tc>
      </w:tr>
      <w:tr w:rsidR="004C60F2" w:rsidRPr="004C60F2" w14:paraId="76A2C1C9" w14:textId="77777777" w:rsidTr="00C11712">
        <w:trPr>
          <w:trHeight w:val="300"/>
        </w:trPr>
        <w:tc>
          <w:tcPr>
            <w:tcW w:w="86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BE34BF" w14:textId="77777777" w:rsidR="004C60F2" w:rsidRPr="004C60F2" w:rsidRDefault="004C60F2" w:rsidP="00C11712">
            <w:pPr>
              <w:keepNext/>
              <w:rPr>
                <w:b/>
                <w:bCs/>
                <w:color w:val="000000"/>
                <w:sz w:val="22"/>
                <w:szCs w:val="22"/>
              </w:rPr>
            </w:pPr>
          </w:p>
        </w:tc>
        <w:tc>
          <w:tcPr>
            <w:tcW w:w="1109" w:type="dxa"/>
            <w:tcBorders>
              <w:top w:val="nil"/>
              <w:left w:val="nil"/>
              <w:bottom w:val="single" w:sz="4" w:space="0" w:color="auto"/>
              <w:right w:val="single" w:sz="4" w:space="0" w:color="auto"/>
            </w:tcBorders>
            <w:shd w:val="clear" w:color="auto" w:fill="D9D9D9" w:themeFill="background1" w:themeFillShade="D9"/>
            <w:noWrap/>
            <w:vAlign w:val="center"/>
            <w:hideMark/>
          </w:tcPr>
          <w:p w14:paraId="29FA79DA" w14:textId="77777777" w:rsidR="004C60F2" w:rsidRPr="004C60F2" w:rsidRDefault="004C60F2" w:rsidP="00C11712">
            <w:pPr>
              <w:keepNext/>
              <w:jc w:val="center"/>
              <w:rPr>
                <w:b/>
                <w:bCs/>
                <w:color w:val="000000"/>
                <w:sz w:val="22"/>
                <w:szCs w:val="22"/>
              </w:rPr>
            </w:pPr>
            <w:r w:rsidRPr="004C60F2">
              <w:rPr>
                <w:b/>
                <w:bCs/>
                <w:color w:val="000000"/>
                <w:sz w:val="22"/>
                <w:szCs w:val="22"/>
              </w:rPr>
              <w:t>(number)</w:t>
            </w:r>
          </w:p>
        </w:tc>
        <w:tc>
          <w:tcPr>
            <w:tcW w:w="1144" w:type="dxa"/>
            <w:tcBorders>
              <w:top w:val="single" w:sz="4" w:space="0" w:color="auto"/>
              <w:left w:val="nil"/>
              <w:bottom w:val="single" w:sz="4" w:space="0" w:color="auto"/>
              <w:right w:val="single" w:sz="4" w:space="0" w:color="auto"/>
            </w:tcBorders>
            <w:shd w:val="clear" w:color="auto" w:fill="D9D9D9" w:themeFill="background1" w:themeFillShade="D9"/>
          </w:tcPr>
          <w:p w14:paraId="09215A58" w14:textId="77777777" w:rsidR="004C60F2" w:rsidRPr="004C60F2" w:rsidRDefault="004C60F2" w:rsidP="00C11712">
            <w:pPr>
              <w:keepNext/>
              <w:jc w:val="center"/>
              <w:rPr>
                <w:b/>
                <w:bCs/>
                <w:color w:val="000000"/>
                <w:sz w:val="22"/>
                <w:szCs w:val="22"/>
              </w:rPr>
            </w:pPr>
            <w:r w:rsidRPr="004C60F2">
              <w:rPr>
                <w:b/>
                <w:bCs/>
                <w:color w:val="000000"/>
                <w:sz w:val="22"/>
                <w:szCs w:val="22"/>
              </w:rPr>
              <w:t>(number)</w:t>
            </w:r>
          </w:p>
        </w:tc>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9393A5" w14:textId="77777777" w:rsidR="004C60F2" w:rsidRPr="004C60F2" w:rsidRDefault="004C60F2" w:rsidP="00C11712">
            <w:pPr>
              <w:keepNext/>
              <w:jc w:val="center"/>
              <w:rPr>
                <w:b/>
                <w:bCs/>
                <w:color w:val="000000"/>
                <w:sz w:val="22"/>
                <w:szCs w:val="22"/>
              </w:rPr>
            </w:pPr>
            <w:r w:rsidRPr="004C60F2">
              <w:rPr>
                <w:b/>
                <w:bCs/>
                <w:color w:val="000000"/>
                <w:sz w:val="22"/>
                <w:szCs w:val="22"/>
              </w:rPr>
              <w:t>(lbs/fish)</w:t>
            </w:r>
          </w:p>
        </w:tc>
        <w:tc>
          <w:tcPr>
            <w:tcW w:w="117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B940B31" w14:textId="77777777" w:rsidR="004C60F2" w:rsidRPr="004C60F2" w:rsidRDefault="004C60F2" w:rsidP="00C11712">
            <w:pPr>
              <w:keepNext/>
              <w:jc w:val="center"/>
              <w:rPr>
                <w:b/>
                <w:bCs/>
                <w:color w:val="000000"/>
                <w:sz w:val="22"/>
                <w:szCs w:val="22"/>
              </w:rPr>
            </w:pPr>
            <w:r w:rsidRPr="004C60F2">
              <w:rPr>
                <w:b/>
                <w:bCs/>
                <w:color w:val="000000"/>
                <w:sz w:val="22"/>
                <w:szCs w:val="22"/>
              </w:rPr>
              <w:t>(pounds)</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hideMark/>
          </w:tcPr>
          <w:p w14:paraId="397E2002" w14:textId="77777777" w:rsidR="004C60F2" w:rsidRPr="004C60F2" w:rsidRDefault="004C60F2" w:rsidP="00C11712">
            <w:pPr>
              <w:keepNext/>
              <w:jc w:val="center"/>
              <w:rPr>
                <w:b/>
                <w:bCs/>
                <w:color w:val="000000"/>
                <w:sz w:val="22"/>
                <w:szCs w:val="22"/>
              </w:rPr>
            </w:pPr>
            <w:r w:rsidRPr="004C60F2">
              <w:rPr>
                <w:b/>
                <w:bCs/>
                <w:color w:val="000000"/>
                <w:sz w:val="22"/>
                <w:szCs w:val="22"/>
              </w:rPr>
              <w:t>(pounds)</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hideMark/>
          </w:tcPr>
          <w:p w14:paraId="369EB1F6" w14:textId="77777777" w:rsidR="004C60F2" w:rsidRPr="004C60F2" w:rsidRDefault="004C60F2" w:rsidP="00C11712">
            <w:pPr>
              <w:keepNext/>
              <w:jc w:val="center"/>
              <w:rPr>
                <w:b/>
                <w:bCs/>
                <w:color w:val="000000"/>
                <w:sz w:val="22"/>
                <w:szCs w:val="22"/>
              </w:rPr>
            </w:pPr>
            <w:r w:rsidRPr="004C60F2">
              <w:rPr>
                <w:b/>
                <w:bCs/>
                <w:color w:val="000000"/>
                <w:sz w:val="22"/>
                <w:szCs w:val="22"/>
              </w:rPr>
              <w:t>(number)</w:t>
            </w:r>
          </w:p>
        </w:tc>
        <w:tc>
          <w:tcPr>
            <w:tcW w:w="1188" w:type="dxa"/>
            <w:tcBorders>
              <w:top w:val="nil"/>
              <w:left w:val="nil"/>
              <w:bottom w:val="single" w:sz="4" w:space="0" w:color="auto"/>
              <w:right w:val="single" w:sz="4" w:space="0" w:color="auto"/>
            </w:tcBorders>
            <w:shd w:val="clear" w:color="auto" w:fill="D9D9D9" w:themeFill="background1" w:themeFillShade="D9"/>
            <w:noWrap/>
            <w:vAlign w:val="center"/>
            <w:hideMark/>
          </w:tcPr>
          <w:p w14:paraId="011DFDEB" w14:textId="77777777" w:rsidR="004C60F2" w:rsidRPr="004C60F2" w:rsidRDefault="004C60F2" w:rsidP="00C11712">
            <w:pPr>
              <w:keepNext/>
              <w:jc w:val="center"/>
              <w:rPr>
                <w:b/>
                <w:bCs/>
                <w:color w:val="000000"/>
                <w:sz w:val="22"/>
                <w:szCs w:val="22"/>
              </w:rPr>
            </w:pPr>
            <w:r w:rsidRPr="004C60F2">
              <w:rPr>
                <w:b/>
                <w:bCs/>
                <w:color w:val="000000"/>
                <w:sz w:val="22"/>
                <w:szCs w:val="22"/>
              </w:rPr>
              <w:t>(number)</w:t>
            </w:r>
          </w:p>
        </w:tc>
      </w:tr>
      <w:tr w:rsidR="004C60F2" w:rsidRPr="004C60F2" w14:paraId="480DD224" w14:textId="77777777" w:rsidTr="00C11712">
        <w:trPr>
          <w:trHeight w:val="289"/>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5CF13CAC" w14:textId="77777777" w:rsidR="004C60F2" w:rsidRPr="004C60F2" w:rsidRDefault="004C60F2" w:rsidP="00C11712">
            <w:pPr>
              <w:keepNext/>
              <w:jc w:val="center"/>
              <w:rPr>
                <w:color w:val="000000"/>
                <w:sz w:val="22"/>
                <w:szCs w:val="22"/>
              </w:rPr>
            </w:pPr>
            <w:r w:rsidRPr="004C60F2">
              <w:rPr>
                <w:color w:val="000000"/>
                <w:sz w:val="22"/>
                <w:szCs w:val="22"/>
              </w:rPr>
              <w:t>2017</w:t>
            </w:r>
          </w:p>
        </w:tc>
        <w:tc>
          <w:tcPr>
            <w:tcW w:w="1109" w:type="dxa"/>
            <w:tcBorders>
              <w:top w:val="nil"/>
              <w:left w:val="nil"/>
              <w:bottom w:val="single" w:sz="4" w:space="0" w:color="auto"/>
              <w:right w:val="single" w:sz="4" w:space="0" w:color="auto"/>
            </w:tcBorders>
            <w:shd w:val="clear" w:color="auto" w:fill="auto"/>
            <w:noWrap/>
            <w:vAlign w:val="center"/>
          </w:tcPr>
          <w:p w14:paraId="2DB17338" w14:textId="77777777" w:rsidR="004C60F2" w:rsidRPr="004C60F2" w:rsidRDefault="004C60F2" w:rsidP="00C11712">
            <w:pPr>
              <w:jc w:val="center"/>
              <w:rPr>
                <w:color w:val="000000"/>
                <w:sz w:val="22"/>
                <w:szCs w:val="22"/>
              </w:rPr>
            </w:pPr>
            <w:r w:rsidRPr="004C60F2">
              <w:rPr>
                <w:color w:val="000000"/>
                <w:sz w:val="22"/>
                <w:szCs w:val="22"/>
              </w:rPr>
              <w:t>157,500</w:t>
            </w:r>
          </w:p>
        </w:tc>
        <w:tc>
          <w:tcPr>
            <w:tcW w:w="1144" w:type="dxa"/>
            <w:tcBorders>
              <w:top w:val="single" w:sz="4" w:space="0" w:color="auto"/>
              <w:left w:val="nil"/>
              <w:bottom w:val="single" w:sz="4" w:space="0" w:color="auto"/>
              <w:right w:val="single" w:sz="4" w:space="0" w:color="auto"/>
            </w:tcBorders>
            <w:vAlign w:val="center"/>
          </w:tcPr>
          <w:p w14:paraId="0B9DF1EE" w14:textId="77777777" w:rsidR="004C60F2" w:rsidRPr="004C60F2" w:rsidRDefault="004C60F2" w:rsidP="00C11712">
            <w:pPr>
              <w:jc w:val="center"/>
              <w:rPr>
                <w:color w:val="000000"/>
                <w:sz w:val="22"/>
                <w:szCs w:val="22"/>
              </w:rPr>
            </w:pPr>
            <w:r w:rsidRPr="004C60F2">
              <w:rPr>
                <w:color w:val="000000"/>
                <w:sz w:val="22"/>
                <w:szCs w:val="22"/>
              </w:rPr>
              <w:t>116,235</w:t>
            </w:r>
          </w:p>
        </w:tc>
        <w:tc>
          <w:tcPr>
            <w:tcW w:w="1295" w:type="dxa"/>
            <w:tcBorders>
              <w:top w:val="single" w:sz="4" w:space="0" w:color="auto"/>
              <w:left w:val="single" w:sz="4" w:space="0" w:color="auto"/>
              <w:bottom w:val="single" w:sz="4" w:space="0" w:color="auto"/>
              <w:right w:val="single" w:sz="4" w:space="0" w:color="auto"/>
            </w:tcBorders>
            <w:vAlign w:val="center"/>
          </w:tcPr>
          <w:p w14:paraId="4556EEFC" w14:textId="77777777" w:rsidR="004C60F2" w:rsidRPr="004C60F2" w:rsidRDefault="004C60F2" w:rsidP="00C11712">
            <w:pPr>
              <w:jc w:val="center"/>
              <w:rPr>
                <w:color w:val="000000"/>
                <w:sz w:val="22"/>
                <w:szCs w:val="22"/>
              </w:rPr>
            </w:pPr>
            <w:r w:rsidRPr="004C60F2">
              <w:rPr>
                <w:color w:val="000000"/>
                <w:sz w:val="22"/>
                <w:szCs w:val="22"/>
              </w:rPr>
              <w:t>4.55</w:t>
            </w:r>
          </w:p>
        </w:tc>
        <w:tc>
          <w:tcPr>
            <w:tcW w:w="1170" w:type="dxa"/>
            <w:tcBorders>
              <w:top w:val="nil"/>
              <w:left w:val="single" w:sz="4" w:space="0" w:color="auto"/>
              <w:bottom w:val="single" w:sz="4" w:space="0" w:color="auto"/>
              <w:right w:val="single" w:sz="4" w:space="0" w:color="auto"/>
            </w:tcBorders>
            <w:shd w:val="clear" w:color="auto" w:fill="auto"/>
            <w:noWrap/>
            <w:vAlign w:val="center"/>
          </w:tcPr>
          <w:p w14:paraId="331B03E0" w14:textId="77777777" w:rsidR="004C60F2" w:rsidRPr="004C60F2" w:rsidRDefault="004C60F2" w:rsidP="00C11712">
            <w:pPr>
              <w:jc w:val="center"/>
              <w:rPr>
                <w:color w:val="000000"/>
                <w:sz w:val="22"/>
                <w:szCs w:val="22"/>
              </w:rPr>
            </w:pPr>
            <w:r w:rsidRPr="004C60F2">
              <w:rPr>
                <w:color w:val="000000"/>
                <w:sz w:val="22"/>
                <w:szCs w:val="22"/>
              </w:rPr>
              <w:t>528,869</w:t>
            </w:r>
          </w:p>
        </w:tc>
        <w:tc>
          <w:tcPr>
            <w:tcW w:w="1440" w:type="dxa"/>
            <w:tcBorders>
              <w:top w:val="nil"/>
              <w:left w:val="nil"/>
              <w:bottom w:val="single" w:sz="4" w:space="0" w:color="auto"/>
              <w:right w:val="single" w:sz="4" w:space="0" w:color="auto"/>
            </w:tcBorders>
            <w:shd w:val="clear" w:color="auto" w:fill="auto"/>
            <w:noWrap/>
            <w:vAlign w:val="center"/>
          </w:tcPr>
          <w:p w14:paraId="2E708969" w14:textId="77777777" w:rsidR="004C60F2" w:rsidRPr="004C60F2" w:rsidRDefault="004C60F2" w:rsidP="00C11712">
            <w:pPr>
              <w:jc w:val="center"/>
              <w:rPr>
                <w:color w:val="000000"/>
                <w:sz w:val="22"/>
                <w:szCs w:val="22"/>
              </w:rPr>
            </w:pPr>
            <w:r w:rsidRPr="004C60F2">
              <w:rPr>
                <w:color w:val="000000"/>
                <w:sz w:val="22"/>
                <w:szCs w:val="22"/>
              </w:rPr>
              <w:t>90,014</w:t>
            </w:r>
          </w:p>
        </w:tc>
        <w:tc>
          <w:tcPr>
            <w:tcW w:w="1440" w:type="dxa"/>
            <w:tcBorders>
              <w:top w:val="nil"/>
              <w:left w:val="nil"/>
              <w:bottom w:val="single" w:sz="4" w:space="0" w:color="auto"/>
              <w:right w:val="single" w:sz="4" w:space="0" w:color="auto"/>
            </w:tcBorders>
            <w:shd w:val="clear" w:color="auto" w:fill="auto"/>
            <w:noWrap/>
            <w:vAlign w:val="center"/>
          </w:tcPr>
          <w:p w14:paraId="2E543D3D" w14:textId="77777777" w:rsidR="004C60F2" w:rsidRPr="004C60F2" w:rsidRDefault="004C60F2" w:rsidP="00C11712">
            <w:pPr>
              <w:jc w:val="center"/>
              <w:rPr>
                <w:color w:val="000000"/>
                <w:sz w:val="22"/>
                <w:szCs w:val="22"/>
              </w:rPr>
            </w:pPr>
            <w:r w:rsidRPr="004C60F2">
              <w:rPr>
                <w:color w:val="000000"/>
                <w:sz w:val="22"/>
                <w:szCs w:val="22"/>
              </w:rPr>
              <w:t>11,721</w:t>
            </w:r>
          </w:p>
        </w:tc>
        <w:tc>
          <w:tcPr>
            <w:tcW w:w="1188" w:type="dxa"/>
            <w:tcBorders>
              <w:top w:val="nil"/>
              <w:left w:val="nil"/>
              <w:bottom w:val="single" w:sz="4" w:space="0" w:color="auto"/>
              <w:right w:val="single" w:sz="4" w:space="0" w:color="auto"/>
            </w:tcBorders>
            <w:shd w:val="clear" w:color="auto" w:fill="auto"/>
            <w:noWrap/>
            <w:vAlign w:val="center"/>
          </w:tcPr>
          <w:p w14:paraId="70BE1A8F" w14:textId="77777777" w:rsidR="004C60F2" w:rsidRPr="004C60F2" w:rsidRDefault="004C60F2" w:rsidP="00C11712">
            <w:pPr>
              <w:jc w:val="center"/>
              <w:rPr>
                <w:color w:val="000000"/>
                <w:sz w:val="22"/>
                <w:szCs w:val="22"/>
              </w:rPr>
            </w:pPr>
            <w:r w:rsidRPr="004C60F2">
              <w:rPr>
                <w:color w:val="000000"/>
                <w:sz w:val="22"/>
                <w:szCs w:val="22"/>
              </w:rPr>
              <w:t>104,514</w:t>
            </w:r>
          </w:p>
        </w:tc>
      </w:tr>
      <w:tr w:rsidR="004C60F2" w:rsidRPr="004C60F2" w14:paraId="59A6E305" w14:textId="77777777" w:rsidTr="00C11712">
        <w:trPr>
          <w:trHeight w:val="289"/>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55438206" w14:textId="77777777" w:rsidR="004C60F2" w:rsidRPr="004C60F2" w:rsidRDefault="004C60F2" w:rsidP="00C11712">
            <w:pPr>
              <w:keepNext/>
              <w:jc w:val="center"/>
              <w:rPr>
                <w:color w:val="000000"/>
                <w:sz w:val="22"/>
                <w:szCs w:val="22"/>
              </w:rPr>
            </w:pPr>
            <w:r w:rsidRPr="004C60F2">
              <w:rPr>
                <w:color w:val="000000"/>
                <w:sz w:val="22"/>
                <w:szCs w:val="22"/>
              </w:rPr>
              <w:t>2018</w:t>
            </w:r>
          </w:p>
        </w:tc>
        <w:tc>
          <w:tcPr>
            <w:tcW w:w="1109" w:type="dxa"/>
            <w:tcBorders>
              <w:top w:val="nil"/>
              <w:left w:val="nil"/>
              <w:bottom w:val="single" w:sz="4" w:space="0" w:color="auto"/>
              <w:right w:val="single" w:sz="4" w:space="0" w:color="auto"/>
            </w:tcBorders>
            <w:shd w:val="clear" w:color="auto" w:fill="auto"/>
            <w:noWrap/>
            <w:vAlign w:val="center"/>
          </w:tcPr>
          <w:p w14:paraId="19DFFCF2" w14:textId="77777777" w:rsidR="004C60F2" w:rsidRPr="004C60F2" w:rsidRDefault="004C60F2" w:rsidP="00C11712">
            <w:pPr>
              <w:jc w:val="center"/>
              <w:rPr>
                <w:color w:val="000000"/>
                <w:sz w:val="22"/>
                <w:szCs w:val="22"/>
              </w:rPr>
            </w:pPr>
            <w:r w:rsidRPr="004C60F2">
              <w:rPr>
                <w:color w:val="000000"/>
                <w:sz w:val="22"/>
                <w:szCs w:val="22"/>
              </w:rPr>
              <w:t>164,500</w:t>
            </w:r>
          </w:p>
        </w:tc>
        <w:tc>
          <w:tcPr>
            <w:tcW w:w="1144" w:type="dxa"/>
            <w:tcBorders>
              <w:top w:val="single" w:sz="4" w:space="0" w:color="auto"/>
              <w:left w:val="nil"/>
              <w:bottom w:val="single" w:sz="4" w:space="0" w:color="auto"/>
              <w:right w:val="single" w:sz="4" w:space="0" w:color="auto"/>
            </w:tcBorders>
            <w:vAlign w:val="center"/>
          </w:tcPr>
          <w:p w14:paraId="40F77E72" w14:textId="77777777" w:rsidR="004C60F2" w:rsidRPr="004C60F2" w:rsidRDefault="004C60F2" w:rsidP="00C11712">
            <w:pPr>
              <w:jc w:val="center"/>
              <w:rPr>
                <w:color w:val="000000"/>
                <w:sz w:val="22"/>
                <w:szCs w:val="22"/>
              </w:rPr>
            </w:pPr>
            <w:r w:rsidRPr="004C60F2">
              <w:rPr>
                <w:color w:val="000000"/>
                <w:sz w:val="22"/>
                <w:szCs w:val="22"/>
              </w:rPr>
              <w:t>121,401</w:t>
            </w:r>
          </w:p>
        </w:tc>
        <w:tc>
          <w:tcPr>
            <w:tcW w:w="1295" w:type="dxa"/>
            <w:tcBorders>
              <w:top w:val="single" w:sz="4" w:space="0" w:color="auto"/>
              <w:left w:val="single" w:sz="4" w:space="0" w:color="auto"/>
              <w:bottom w:val="single" w:sz="4" w:space="0" w:color="auto"/>
              <w:right w:val="single" w:sz="4" w:space="0" w:color="auto"/>
            </w:tcBorders>
            <w:vAlign w:val="center"/>
          </w:tcPr>
          <w:p w14:paraId="71BAAD88" w14:textId="77777777" w:rsidR="004C60F2" w:rsidRPr="004C60F2" w:rsidRDefault="004C60F2" w:rsidP="00C11712">
            <w:pPr>
              <w:jc w:val="center"/>
              <w:rPr>
                <w:color w:val="000000"/>
                <w:sz w:val="22"/>
                <w:szCs w:val="22"/>
              </w:rPr>
            </w:pPr>
            <w:r w:rsidRPr="004C60F2">
              <w:rPr>
                <w:color w:val="000000"/>
                <w:sz w:val="22"/>
                <w:szCs w:val="22"/>
              </w:rPr>
              <w:t>4.54</w:t>
            </w:r>
          </w:p>
        </w:tc>
        <w:tc>
          <w:tcPr>
            <w:tcW w:w="1170" w:type="dxa"/>
            <w:tcBorders>
              <w:top w:val="nil"/>
              <w:left w:val="single" w:sz="4" w:space="0" w:color="auto"/>
              <w:bottom w:val="single" w:sz="4" w:space="0" w:color="auto"/>
              <w:right w:val="single" w:sz="4" w:space="0" w:color="auto"/>
            </w:tcBorders>
            <w:shd w:val="clear" w:color="auto" w:fill="auto"/>
            <w:noWrap/>
            <w:vAlign w:val="center"/>
          </w:tcPr>
          <w:p w14:paraId="21A03D9C" w14:textId="77777777" w:rsidR="004C60F2" w:rsidRPr="004C60F2" w:rsidRDefault="004C60F2" w:rsidP="00C11712">
            <w:pPr>
              <w:jc w:val="center"/>
              <w:rPr>
                <w:color w:val="000000"/>
                <w:sz w:val="22"/>
                <w:szCs w:val="22"/>
              </w:rPr>
            </w:pPr>
            <w:r w:rsidRPr="004C60F2">
              <w:rPr>
                <w:color w:val="000000"/>
                <w:sz w:val="22"/>
                <w:szCs w:val="22"/>
              </w:rPr>
              <w:t>551,161</w:t>
            </w:r>
          </w:p>
        </w:tc>
        <w:tc>
          <w:tcPr>
            <w:tcW w:w="1440" w:type="dxa"/>
            <w:tcBorders>
              <w:top w:val="nil"/>
              <w:left w:val="nil"/>
              <w:bottom w:val="single" w:sz="4" w:space="0" w:color="auto"/>
              <w:right w:val="single" w:sz="4" w:space="0" w:color="auto"/>
            </w:tcBorders>
            <w:shd w:val="clear" w:color="auto" w:fill="auto"/>
            <w:noWrap/>
            <w:vAlign w:val="center"/>
          </w:tcPr>
          <w:p w14:paraId="1B683F40" w14:textId="77777777" w:rsidR="004C60F2" w:rsidRPr="004C60F2" w:rsidRDefault="004C60F2" w:rsidP="00C11712">
            <w:pPr>
              <w:jc w:val="center"/>
              <w:rPr>
                <w:color w:val="000000"/>
                <w:sz w:val="22"/>
                <w:szCs w:val="22"/>
              </w:rPr>
            </w:pPr>
            <w:r w:rsidRPr="004C60F2">
              <w:rPr>
                <w:color w:val="000000"/>
                <w:sz w:val="22"/>
                <w:szCs w:val="22"/>
              </w:rPr>
              <w:t>93,808</w:t>
            </w:r>
          </w:p>
        </w:tc>
        <w:tc>
          <w:tcPr>
            <w:tcW w:w="1440" w:type="dxa"/>
            <w:tcBorders>
              <w:top w:val="nil"/>
              <w:left w:val="nil"/>
              <w:bottom w:val="single" w:sz="4" w:space="0" w:color="auto"/>
              <w:right w:val="single" w:sz="4" w:space="0" w:color="auto"/>
            </w:tcBorders>
            <w:shd w:val="clear" w:color="auto" w:fill="auto"/>
            <w:noWrap/>
            <w:vAlign w:val="center"/>
          </w:tcPr>
          <w:p w14:paraId="094F28DC" w14:textId="77777777" w:rsidR="004C60F2" w:rsidRPr="004C60F2" w:rsidRDefault="004C60F2" w:rsidP="00C11712">
            <w:pPr>
              <w:jc w:val="center"/>
              <w:rPr>
                <w:color w:val="000000"/>
                <w:sz w:val="22"/>
                <w:szCs w:val="22"/>
              </w:rPr>
            </w:pPr>
            <w:r w:rsidRPr="004C60F2">
              <w:rPr>
                <w:color w:val="000000"/>
                <w:sz w:val="22"/>
                <w:szCs w:val="22"/>
              </w:rPr>
              <w:t>12,215</w:t>
            </w:r>
          </w:p>
        </w:tc>
        <w:tc>
          <w:tcPr>
            <w:tcW w:w="1188" w:type="dxa"/>
            <w:tcBorders>
              <w:top w:val="nil"/>
              <w:left w:val="nil"/>
              <w:bottom w:val="single" w:sz="4" w:space="0" w:color="auto"/>
              <w:right w:val="single" w:sz="4" w:space="0" w:color="auto"/>
            </w:tcBorders>
            <w:shd w:val="clear" w:color="auto" w:fill="auto"/>
            <w:noWrap/>
            <w:vAlign w:val="center"/>
          </w:tcPr>
          <w:p w14:paraId="3CDF32A6" w14:textId="77777777" w:rsidR="004C60F2" w:rsidRPr="004C60F2" w:rsidRDefault="004C60F2" w:rsidP="00C11712">
            <w:pPr>
              <w:jc w:val="center"/>
              <w:rPr>
                <w:color w:val="000000"/>
                <w:sz w:val="22"/>
                <w:szCs w:val="22"/>
              </w:rPr>
            </w:pPr>
            <w:r w:rsidRPr="004C60F2">
              <w:rPr>
                <w:color w:val="000000"/>
                <w:sz w:val="22"/>
                <w:szCs w:val="22"/>
              </w:rPr>
              <w:t>109,186</w:t>
            </w:r>
          </w:p>
        </w:tc>
      </w:tr>
      <w:tr w:rsidR="004C60F2" w:rsidRPr="004C60F2" w14:paraId="58CF470A" w14:textId="77777777" w:rsidTr="00C11712">
        <w:trPr>
          <w:trHeight w:val="289"/>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7260130D" w14:textId="77777777" w:rsidR="004C60F2" w:rsidRPr="004C60F2" w:rsidRDefault="004C60F2" w:rsidP="00C11712">
            <w:pPr>
              <w:keepNext/>
              <w:jc w:val="center"/>
              <w:rPr>
                <w:color w:val="000000"/>
                <w:sz w:val="22"/>
                <w:szCs w:val="22"/>
              </w:rPr>
            </w:pPr>
            <w:r w:rsidRPr="004C60F2">
              <w:rPr>
                <w:color w:val="000000"/>
                <w:sz w:val="22"/>
                <w:szCs w:val="22"/>
              </w:rPr>
              <w:t>2019</w:t>
            </w:r>
          </w:p>
        </w:tc>
        <w:tc>
          <w:tcPr>
            <w:tcW w:w="1109" w:type="dxa"/>
            <w:tcBorders>
              <w:top w:val="nil"/>
              <w:left w:val="nil"/>
              <w:bottom w:val="single" w:sz="4" w:space="0" w:color="auto"/>
              <w:right w:val="single" w:sz="4" w:space="0" w:color="auto"/>
            </w:tcBorders>
            <w:shd w:val="clear" w:color="auto" w:fill="auto"/>
            <w:noWrap/>
            <w:vAlign w:val="center"/>
          </w:tcPr>
          <w:p w14:paraId="6AC7CA90" w14:textId="77777777" w:rsidR="004C60F2" w:rsidRPr="004C60F2" w:rsidRDefault="004C60F2" w:rsidP="00C11712">
            <w:pPr>
              <w:jc w:val="center"/>
              <w:rPr>
                <w:color w:val="000000"/>
                <w:sz w:val="22"/>
                <w:szCs w:val="22"/>
              </w:rPr>
            </w:pPr>
            <w:r w:rsidRPr="004C60F2">
              <w:rPr>
                <w:color w:val="000000"/>
                <w:sz w:val="22"/>
                <w:szCs w:val="22"/>
              </w:rPr>
              <w:t>169,300</w:t>
            </w:r>
          </w:p>
        </w:tc>
        <w:tc>
          <w:tcPr>
            <w:tcW w:w="1144" w:type="dxa"/>
            <w:tcBorders>
              <w:top w:val="single" w:sz="4" w:space="0" w:color="auto"/>
              <w:left w:val="nil"/>
              <w:bottom w:val="single" w:sz="4" w:space="0" w:color="auto"/>
              <w:right w:val="single" w:sz="4" w:space="0" w:color="auto"/>
            </w:tcBorders>
            <w:vAlign w:val="center"/>
          </w:tcPr>
          <w:p w14:paraId="0DB2E56F" w14:textId="77777777" w:rsidR="004C60F2" w:rsidRPr="004C60F2" w:rsidRDefault="004C60F2" w:rsidP="00C11712">
            <w:pPr>
              <w:jc w:val="center"/>
              <w:rPr>
                <w:color w:val="000000"/>
                <w:sz w:val="22"/>
                <w:szCs w:val="22"/>
              </w:rPr>
            </w:pPr>
            <w:r w:rsidRPr="004C60F2">
              <w:rPr>
                <w:color w:val="000000"/>
                <w:sz w:val="22"/>
                <w:szCs w:val="22"/>
              </w:rPr>
              <w:t>124,943</w:t>
            </w:r>
          </w:p>
        </w:tc>
        <w:tc>
          <w:tcPr>
            <w:tcW w:w="1295" w:type="dxa"/>
            <w:tcBorders>
              <w:top w:val="single" w:sz="4" w:space="0" w:color="auto"/>
              <w:left w:val="single" w:sz="4" w:space="0" w:color="auto"/>
              <w:bottom w:val="single" w:sz="4" w:space="0" w:color="auto"/>
              <w:right w:val="single" w:sz="4" w:space="0" w:color="auto"/>
            </w:tcBorders>
            <w:vAlign w:val="center"/>
          </w:tcPr>
          <w:p w14:paraId="23189530" w14:textId="77777777" w:rsidR="004C60F2" w:rsidRPr="004C60F2" w:rsidRDefault="004C60F2" w:rsidP="00C11712">
            <w:pPr>
              <w:jc w:val="center"/>
              <w:rPr>
                <w:color w:val="000000"/>
                <w:sz w:val="22"/>
                <w:szCs w:val="22"/>
              </w:rPr>
            </w:pPr>
            <w:r w:rsidRPr="004C60F2">
              <w:rPr>
                <w:color w:val="000000"/>
                <w:sz w:val="22"/>
                <w:szCs w:val="22"/>
              </w:rPr>
              <w:t>4.57</w:t>
            </w:r>
          </w:p>
        </w:tc>
        <w:tc>
          <w:tcPr>
            <w:tcW w:w="1170" w:type="dxa"/>
            <w:tcBorders>
              <w:top w:val="nil"/>
              <w:left w:val="single" w:sz="4" w:space="0" w:color="auto"/>
              <w:bottom w:val="single" w:sz="4" w:space="0" w:color="auto"/>
              <w:right w:val="single" w:sz="4" w:space="0" w:color="auto"/>
            </w:tcBorders>
            <w:shd w:val="clear" w:color="auto" w:fill="auto"/>
            <w:noWrap/>
            <w:vAlign w:val="center"/>
          </w:tcPr>
          <w:p w14:paraId="01201F51" w14:textId="77777777" w:rsidR="004C60F2" w:rsidRPr="004C60F2" w:rsidRDefault="004C60F2" w:rsidP="00C11712">
            <w:pPr>
              <w:jc w:val="center"/>
              <w:rPr>
                <w:color w:val="000000"/>
                <w:sz w:val="22"/>
                <w:szCs w:val="22"/>
              </w:rPr>
            </w:pPr>
            <w:r w:rsidRPr="004C60F2">
              <w:rPr>
                <w:color w:val="000000"/>
                <w:sz w:val="22"/>
                <w:szCs w:val="22"/>
              </w:rPr>
              <w:t>570,991</w:t>
            </w:r>
          </w:p>
        </w:tc>
        <w:tc>
          <w:tcPr>
            <w:tcW w:w="1440" w:type="dxa"/>
            <w:tcBorders>
              <w:top w:val="nil"/>
              <w:left w:val="nil"/>
              <w:bottom w:val="single" w:sz="4" w:space="0" w:color="auto"/>
              <w:right w:val="single" w:sz="4" w:space="0" w:color="auto"/>
            </w:tcBorders>
            <w:shd w:val="clear" w:color="auto" w:fill="auto"/>
            <w:noWrap/>
            <w:vAlign w:val="center"/>
          </w:tcPr>
          <w:p w14:paraId="485E27D7" w14:textId="77777777" w:rsidR="004C60F2" w:rsidRPr="004C60F2" w:rsidRDefault="004C60F2" w:rsidP="00C11712">
            <w:pPr>
              <w:jc w:val="center"/>
              <w:rPr>
                <w:color w:val="000000"/>
                <w:sz w:val="22"/>
                <w:szCs w:val="22"/>
              </w:rPr>
            </w:pPr>
            <w:r w:rsidRPr="004C60F2">
              <w:rPr>
                <w:color w:val="000000"/>
                <w:sz w:val="22"/>
                <w:szCs w:val="22"/>
              </w:rPr>
              <w:t>97,183</w:t>
            </w:r>
          </w:p>
        </w:tc>
        <w:tc>
          <w:tcPr>
            <w:tcW w:w="1440" w:type="dxa"/>
            <w:tcBorders>
              <w:top w:val="nil"/>
              <w:left w:val="nil"/>
              <w:bottom w:val="single" w:sz="4" w:space="0" w:color="auto"/>
              <w:right w:val="single" w:sz="4" w:space="0" w:color="auto"/>
            </w:tcBorders>
            <w:shd w:val="clear" w:color="auto" w:fill="auto"/>
            <w:noWrap/>
            <w:vAlign w:val="center"/>
          </w:tcPr>
          <w:p w14:paraId="5F2B2C89" w14:textId="77777777" w:rsidR="004C60F2" w:rsidRPr="004C60F2" w:rsidRDefault="004C60F2" w:rsidP="00C11712">
            <w:pPr>
              <w:jc w:val="center"/>
              <w:rPr>
                <w:color w:val="000000"/>
                <w:sz w:val="22"/>
                <w:szCs w:val="22"/>
              </w:rPr>
            </w:pPr>
            <w:r w:rsidRPr="004C60F2">
              <w:rPr>
                <w:color w:val="000000"/>
                <w:sz w:val="22"/>
                <w:szCs w:val="22"/>
              </w:rPr>
              <w:t>12,654</w:t>
            </w:r>
          </w:p>
        </w:tc>
        <w:tc>
          <w:tcPr>
            <w:tcW w:w="1188" w:type="dxa"/>
            <w:tcBorders>
              <w:top w:val="nil"/>
              <w:left w:val="nil"/>
              <w:bottom w:val="single" w:sz="4" w:space="0" w:color="auto"/>
              <w:right w:val="single" w:sz="4" w:space="0" w:color="auto"/>
            </w:tcBorders>
            <w:shd w:val="clear" w:color="auto" w:fill="auto"/>
            <w:noWrap/>
            <w:vAlign w:val="center"/>
          </w:tcPr>
          <w:p w14:paraId="16586960" w14:textId="77777777" w:rsidR="004C60F2" w:rsidRPr="004C60F2" w:rsidRDefault="004C60F2" w:rsidP="00C11712">
            <w:pPr>
              <w:jc w:val="center"/>
              <w:rPr>
                <w:color w:val="000000"/>
                <w:sz w:val="22"/>
                <w:szCs w:val="22"/>
              </w:rPr>
            </w:pPr>
            <w:r w:rsidRPr="004C60F2">
              <w:rPr>
                <w:color w:val="000000"/>
                <w:sz w:val="22"/>
                <w:szCs w:val="22"/>
              </w:rPr>
              <w:t>112,289</w:t>
            </w:r>
          </w:p>
        </w:tc>
      </w:tr>
      <w:tr w:rsidR="004C60F2" w:rsidRPr="004C60F2" w14:paraId="0ADA59DD" w14:textId="77777777" w:rsidTr="00C11712">
        <w:trPr>
          <w:trHeight w:val="289"/>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22E52932" w14:textId="77777777" w:rsidR="004C60F2" w:rsidRPr="004C60F2" w:rsidRDefault="004C60F2" w:rsidP="00C11712">
            <w:pPr>
              <w:keepNext/>
              <w:jc w:val="center"/>
              <w:rPr>
                <w:color w:val="000000"/>
                <w:sz w:val="22"/>
                <w:szCs w:val="22"/>
              </w:rPr>
            </w:pPr>
            <w:r w:rsidRPr="004C60F2">
              <w:rPr>
                <w:color w:val="000000"/>
                <w:sz w:val="22"/>
                <w:szCs w:val="22"/>
              </w:rPr>
              <w:t>2020</w:t>
            </w:r>
          </w:p>
        </w:tc>
        <w:tc>
          <w:tcPr>
            <w:tcW w:w="1109" w:type="dxa"/>
            <w:tcBorders>
              <w:top w:val="nil"/>
              <w:left w:val="nil"/>
              <w:bottom w:val="single" w:sz="4" w:space="0" w:color="auto"/>
              <w:right w:val="single" w:sz="4" w:space="0" w:color="auto"/>
            </w:tcBorders>
            <w:shd w:val="clear" w:color="auto" w:fill="auto"/>
            <w:noWrap/>
            <w:vAlign w:val="center"/>
          </w:tcPr>
          <w:p w14:paraId="4C6A1F7B" w14:textId="77777777" w:rsidR="004C60F2" w:rsidRPr="004C60F2" w:rsidRDefault="004C60F2" w:rsidP="00C11712">
            <w:pPr>
              <w:jc w:val="center"/>
              <w:rPr>
                <w:color w:val="000000"/>
                <w:sz w:val="22"/>
                <w:szCs w:val="22"/>
              </w:rPr>
            </w:pPr>
            <w:r w:rsidRPr="004C60F2">
              <w:rPr>
                <w:color w:val="000000"/>
                <w:sz w:val="22"/>
                <w:szCs w:val="22"/>
              </w:rPr>
              <w:t>172,700</w:t>
            </w:r>
          </w:p>
        </w:tc>
        <w:tc>
          <w:tcPr>
            <w:tcW w:w="1144" w:type="dxa"/>
            <w:tcBorders>
              <w:top w:val="single" w:sz="4" w:space="0" w:color="auto"/>
              <w:left w:val="nil"/>
              <w:bottom w:val="single" w:sz="4" w:space="0" w:color="auto"/>
              <w:right w:val="single" w:sz="4" w:space="0" w:color="auto"/>
            </w:tcBorders>
            <w:vAlign w:val="center"/>
          </w:tcPr>
          <w:p w14:paraId="1E4693FE" w14:textId="77777777" w:rsidR="004C60F2" w:rsidRPr="004C60F2" w:rsidRDefault="004C60F2" w:rsidP="00C11712">
            <w:pPr>
              <w:jc w:val="center"/>
              <w:rPr>
                <w:color w:val="000000"/>
                <w:sz w:val="22"/>
                <w:szCs w:val="22"/>
              </w:rPr>
            </w:pPr>
            <w:r w:rsidRPr="004C60F2">
              <w:rPr>
                <w:color w:val="000000"/>
                <w:sz w:val="22"/>
                <w:szCs w:val="22"/>
              </w:rPr>
              <w:t>127,453</w:t>
            </w:r>
          </w:p>
        </w:tc>
        <w:tc>
          <w:tcPr>
            <w:tcW w:w="1295" w:type="dxa"/>
            <w:tcBorders>
              <w:top w:val="single" w:sz="4" w:space="0" w:color="auto"/>
              <w:left w:val="single" w:sz="4" w:space="0" w:color="auto"/>
              <w:bottom w:val="single" w:sz="4" w:space="0" w:color="auto"/>
              <w:right w:val="single" w:sz="4" w:space="0" w:color="auto"/>
            </w:tcBorders>
            <w:vAlign w:val="center"/>
          </w:tcPr>
          <w:p w14:paraId="14A836BE" w14:textId="77777777" w:rsidR="004C60F2" w:rsidRPr="004C60F2" w:rsidRDefault="004C60F2" w:rsidP="00C11712">
            <w:pPr>
              <w:jc w:val="center"/>
              <w:rPr>
                <w:color w:val="000000"/>
                <w:sz w:val="22"/>
                <w:szCs w:val="22"/>
              </w:rPr>
            </w:pPr>
            <w:r w:rsidRPr="004C60F2">
              <w:rPr>
                <w:color w:val="000000"/>
                <w:sz w:val="22"/>
                <w:szCs w:val="22"/>
              </w:rPr>
              <w:t>4.62</w:t>
            </w:r>
          </w:p>
        </w:tc>
        <w:tc>
          <w:tcPr>
            <w:tcW w:w="1170" w:type="dxa"/>
            <w:tcBorders>
              <w:top w:val="nil"/>
              <w:left w:val="single" w:sz="4" w:space="0" w:color="auto"/>
              <w:bottom w:val="single" w:sz="4" w:space="0" w:color="auto"/>
              <w:right w:val="single" w:sz="4" w:space="0" w:color="auto"/>
            </w:tcBorders>
            <w:shd w:val="clear" w:color="auto" w:fill="auto"/>
            <w:noWrap/>
            <w:vAlign w:val="center"/>
          </w:tcPr>
          <w:p w14:paraId="1448C4BC" w14:textId="77777777" w:rsidR="004C60F2" w:rsidRPr="004C60F2" w:rsidRDefault="004C60F2" w:rsidP="00C11712">
            <w:pPr>
              <w:jc w:val="center"/>
              <w:rPr>
                <w:color w:val="000000"/>
                <w:sz w:val="22"/>
                <w:szCs w:val="22"/>
              </w:rPr>
            </w:pPr>
            <w:r w:rsidRPr="004C60F2">
              <w:rPr>
                <w:color w:val="000000"/>
                <w:sz w:val="22"/>
                <w:szCs w:val="22"/>
              </w:rPr>
              <w:t>588,831</w:t>
            </w:r>
          </w:p>
        </w:tc>
        <w:tc>
          <w:tcPr>
            <w:tcW w:w="1440" w:type="dxa"/>
            <w:tcBorders>
              <w:top w:val="nil"/>
              <w:left w:val="nil"/>
              <w:bottom w:val="single" w:sz="4" w:space="0" w:color="auto"/>
              <w:right w:val="single" w:sz="4" w:space="0" w:color="auto"/>
            </w:tcBorders>
            <w:shd w:val="clear" w:color="auto" w:fill="auto"/>
            <w:noWrap/>
            <w:vAlign w:val="center"/>
          </w:tcPr>
          <w:p w14:paraId="46B00C21" w14:textId="77777777" w:rsidR="004C60F2" w:rsidRPr="004C60F2" w:rsidRDefault="004C60F2" w:rsidP="00C11712">
            <w:pPr>
              <w:jc w:val="center"/>
              <w:rPr>
                <w:color w:val="000000"/>
                <w:sz w:val="22"/>
                <w:szCs w:val="22"/>
              </w:rPr>
            </w:pPr>
            <w:r w:rsidRPr="004C60F2">
              <w:rPr>
                <w:color w:val="000000"/>
                <w:sz w:val="22"/>
                <w:szCs w:val="22"/>
              </w:rPr>
              <w:t>100,219</w:t>
            </w:r>
          </w:p>
        </w:tc>
        <w:tc>
          <w:tcPr>
            <w:tcW w:w="1440" w:type="dxa"/>
            <w:tcBorders>
              <w:top w:val="nil"/>
              <w:left w:val="nil"/>
              <w:bottom w:val="single" w:sz="4" w:space="0" w:color="auto"/>
              <w:right w:val="single" w:sz="4" w:space="0" w:color="auto"/>
            </w:tcBorders>
            <w:shd w:val="clear" w:color="auto" w:fill="auto"/>
            <w:noWrap/>
            <w:vAlign w:val="center"/>
          </w:tcPr>
          <w:p w14:paraId="6ACE31CA" w14:textId="77777777" w:rsidR="004C60F2" w:rsidRPr="004C60F2" w:rsidRDefault="004C60F2" w:rsidP="00C11712">
            <w:pPr>
              <w:jc w:val="center"/>
              <w:rPr>
                <w:color w:val="000000"/>
                <w:sz w:val="22"/>
                <w:szCs w:val="22"/>
              </w:rPr>
            </w:pPr>
            <w:r w:rsidRPr="004C60F2">
              <w:rPr>
                <w:color w:val="000000"/>
                <w:sz w:val="22"/>
                <w:szCs w:val="22"/>
              </w:rPr>
              <w:t>13,049</w:t>
            </w:r>
          </w:p>
        </w:tc>
        <w:tc>
          <w:tcPr>
            <w:tcW w:w="1188" w:type="dxa"/>
            <w:tcBorders>
              <w:top w:val="nil"/>
              <w:left w:val="nil"/>
              <w:bottom w:val="single" w:sz="4" w:space="0" w:color="auto"/>
              <w:right w:val="single" w:sz="4" w:space="0" w:color="auto"/>
            </w:tcBorders>
            <w:shd w:val="clear" w:color="auto" w:fill="auto"/>
            <w:noWrap/>
            <w:vAlign w:val="center"/>
          </w:tcPr>
          <w:p w14:paraId="0359107E" w14:textId="77777777" w:rsidR="004C60F2" w:rsidRPr="004C60F2" w:rsidRDefault="004C60F2" w:rsidP="00C11712">
            <w:pPr>
              <w:jc w:val="center"/>
              <w:rPr>
                <w:color w:val="000000"/>
                <w:sz w:val="22"/>
                <w:szCs w:val="22"/>
              </w:rPr>
            </w:pPr>
            <w:r w:rsidRPr="004C60F2">
              <w:rPr>
                <w:color w:val="000000"/>
                <w:sz w:val="22"/>
                <w:szCs w:val="22"/>
              </w:rPr>
              <w:t>114,403</w:t>
            </w:r>
          </w:p>
        </w:tc>
      </w:tr>
    </w:tbl>
    <w:p w14:paraId="75B62D94" w14:textId="77777777" w:rsidR="004C60F2" w:rsidRPr="00163718" w:rsidRDefault="004C60F2" w:rsidP="004C60F2">
      <w:pPr>
        <w:rPr>
          <w:rFonts w:ascii="Arial" w:hAnsi="Arial" w:cs="Arial"/>
          <w:b/>
          <w:sz w:val="20"/>
          <w:szCs w:val="20"/>
        </w:rPr>
      </w:pPr>
    </w:p>
    <w:p w14:paraId="40801ED7" w14:textId="77777777" w:rsidR="0003060C" w:rsidRDefault="0003060C" w:rsidP="00A60C61">
      <w:pPr>
        <w:sectPr w:rsidR="0003060C" w:rsidSect="005601EF">
          <w:footerReference w:type="default" r:id="rId122"/>
          <w:pgSz w:w="12240" w:h="15840"/>
          <w:pgMar w:top="1440" w:right="1800" w:bottom="1440" w:left="1800" w:header="720" w:footer="720" w:gutter="0"/>
          <w:pgNumType w:start="1"/>
          <w:cols w:space="720"/>
          <w:docGrid w:linePitch="360"/>
        </w:sectPr>
      </w:pPr>
      <w:r>
        <w:br w:type="page"/>
      </w:r>
    </w:p>
    <w:p w14:paraId="4E1E1622" w14:textId="3632CA0B" w:rsidR="00A60C61" w:rsidRPr="00E5572B" w:rsidRDefault="00A60C61" w:rsidP="00A60C61">
      <w:pPr>
        <w:pStyle w:val="Heading1"/>
        <w:rPr>
          <w:rFonts w:ascii="Times New Roman" w:hAnsi="Times New Roman" w:cs="Times New Roman"/>
          <w:sz w:val="36"/>
          <w:szCs w:val="36"/>
        </w:rPr>
      </w:pPr>
      <w:bookmarkStart w:id="429" w:name="_Toc339811840"/>
      <w:r>
        <w:rPr>
          <w:rFonts w:ascii="Times New Roman" w:hAnsi="Times New Roman" w:cs="Times New Roman"/>
          <w:color w:val="8DB3E2" w:themeColor="text2" w:themeTint="66"/>
          <w:sz w:val="36"/>
          <w:szCs w:val="36"/>
        </w:rPr>
        <w:lastRenderedPageBreak/>
        <w:t>Appendix K</w:t>
      </w:r>
      <w:r w:rsidRPr="00E5572B">
        <w:rPr>
          <w:rFonts w:ascii="Times New Roman" w:hAnsi="Times New Roman" w:cs="Times New Roman"/>
          <w:color w:val="8DB3E2" w:themeColor="text2" w:themeTint="66"/>
          <w:sz w:val="36"/>
          <w:szCs w:val="36"/>
        </w:rPr>
        <w:t xml:space="preserve">. </w:t>
      </w:r>
      <w:r>
        <w:rPr>
          <w:rFonts w:ascii="Times New Roman" w:hAnsi="Times New Roman" w:cs="Times New Roman"/>
          <w:color w:val="8DB3E2" w:themeColor="text2" w:themeTint="66"/>
          <w:sz w:val="36"/>
          <w:szCs w:val="36"/>
        </w:rPr>
        <w:t xml:space="preserve"> </w:t>
      </w:r>
      <w:r>
        <w:rPr>
          <w:rFonts w:ascii="Times New Roman" w:hAnsi="Times New Roman" w:cs="Times New Roman"/>
          <w:color w:val="548DD4" w:themeColor="text2" w:themeTint="99"/>
          <w:sz w:val="48"/>
          <w:szCs w:val="48"/>
        </w:rPr>
        <w:t xml:space="preserve">Recreational </w:t>
      </w:r>
      <w:r w:rsidR="00FA742D">
        <w:rPr>
          <w:rFonts w:ascii="Times New Roman" w:hAnsi="Times New Roman" w:cs="Times New Roman"/>
          <w:color w:val="548DD4" w:themeColor="text2" w:themeTint="99"/>
          <w:sz w:val="48"/>
          <w:szCs w:val="48"/>
        </w:rPr>
        <w:t xml:space="preserve">and Commercial </w:t>
      </w:r>
      <w:r>
        <w:rPr>
          <w:rFonts w:ascii="Times New Roman" w:hAnsi="Times New Roman" w:cs="Times New Roman"/>
          <w:color w:val="548DD4" w:themeColor="text2" w:themeTint="99"/>
          <w:sz w:val="48"/>
          <w:szCs w:val="48"/>
        </w:rPr>
        <w:t>Data Analys</w:t>
      </w:r>
      <w:r w:rsidR="00FA742D">
        <w:rPr>
          <w:rFonts w:ascii="Times New Roman" w:hAnsi="Times New Roman" w:cs="Times New Roman"/>
          <w:color w:val="548DD4" w:themeColor="text2" w:themeTint="99"/>
          <w:sz w:val="48"/>
          <w:szCs w:val="48"/>
        </w:rPr>
        <w:t>e</w:t>
      </w:r>
      <w:r>
        <w:rPr>
          <w:rFonts w:ascii="Times New Roman" w:hAnsi="Times New Roman" w:cs="Times New Roman"/>
          <w:color w:val="548DD4" w:themeColor="text2" w:themeTint="99"/>
          <w:sz w:val="48"/>
          <w:szCs w:val="48"/>
        </w:rPr>
        <w:t>s of Management Alternatives</w:t>
      </w:r>
      <w:bookmarkEnd w:id="429"/>
      <w:r>
        <w:rPr>
          <w:rFonts w:ascii="Times New Roman" w:hAnsi="Times New Roman" w:cs="Times New Roman"/>
          <w:color w:val="548DD4" w:themeColor="text2" w:themeTint="99"/>
          <w:sz w:val="48"/>
          <w:szCs w:val="48"/>
        </w:rPr>
        <w:t xml:space="preserve"> </w:t>
      </w:r>
    </w:p>
    <w:p w14:paraId="3F54CDA4" w14:textId="77777777" w:rsidR="00555FAE" w:rsidRDefault="00555FAE" w:rsidP="00A60C61">
      <w:pPr>
        <w:rPr>
          <w:b/>
        </w:rPr>
      </w:pPr>
    </w:p>
    <w:p w14:paraId="1EF9EBC2" w14:textId="77777777" w:rsidR="00FA742D" w:rsidRPr="00FA742D" w:rsidRDefault="00FA742D" w:rsidP="00FA742D">
      <w:pPr>
        <w:rPr>
          <w:b/>
          <w:sz w:val="28"/>
          <w:szCs w:val="28"/>
        </w:rPr>
      </w:pPr>
      <w:r w:rsidRPr="00FA742D">
        <w:rPr>
          <w:b/>
          <w:sz w:val="28"/>
          <w:szCs w:val="28"/>
        </w:rPr>
        <w:t xml:space="preserve">Recreational Data Analysis of Management Alternatives </w:t>
      </w:r>
    </w:p>
    <w:p w14:paraId="74D643D2" w14:textId="77777777" w:rsidR="00FA742D" w:rsidRPr="005A26AB" w:rsidRDefault="00FA742D" w:rsidP="00FA742D">
      <w:r>
        <w:t>Dr. Mike Errigo, SAFMC Staff</w:t>
      </w:r>
    </w:p>
    <w:p w14:paraId="5AF4C107" w14:textId="77777777" w:rsidR="00FA742D" w:rsidRDefault="00FA742D" w:rsidP="00FA742D">
      <w:pPr>
        <w:rPr>
          <w:b/>
        </w:rPr>
      </w:pPr>
    </w:p>
    <w:p w14:paraId="7A9E1F8D" w14:textId="77777777" w:rsidR="00FA742D" w:rsidRPr="0036626E" w:rsidRDefault="00FA742D" w:rsidP="00FA742D">
      <w:pPr>
        <w:rPr>
          <w:b/>
        </w:rPr>
      </w:pPr>
      <w:r w:rsidRPr="0036626E">
        <w:rPr>
          <w:b/>
        </w:rPr>
        <w:t>INTRODUCTION</w:t>
      </w:r>
    </w:p>
    <w:p w14:paraId="1F2D67A6" w14:textId="77777777" w:rsidR="00FA742D" w:rsidRDefault="00FA742D" w:rsidP="00FA742D">
      <w:r w:rsidRPr="0036626E">
        <w:t>Amendment 41 to the Snapper Grouper FMP contains actions to address the 2015 update assessment for Mutton Snapper conducted by the FL Fish and Wildlife Commission (FWC). The South Atlantic Fishery Management Council (SAFMC) is proposing actions to update the stock biological reference points and the catch level recommendations for Mutton Snapper in response to the FL FWC update assessment. The update assessment predicted a drop in the Acceptable Biological Catch (ABC) of the stock from what was estimated in the previous benchmark; therefore the SAFMC is also considering changes to the management measures for Mutton Snapper in its jurisdiction.</w:t>
      </w:r>
    </w:p>
    <w:p w14:paraId="2BEE15DC" w14:textId="77777777" w:rsidR="00FA742D" w:rsidRPr="0036626E" w:rsidRDefault="00FA742D" w:rsidP="00FA742D"/>
    <w:p w14:paraId="67C9687E" w14:textId="77777777" w:rsidR="00FA742D" w:rsidRPr="0036626E" w:rsidRDefault="00FA742D" w:rsidP="00FA742D">
      <w:r w:rsidRPr="0036626E">
        <w:t>This document describes the analyses conducted of the potential effects of the proposed recreational management measures on recreational harvest of Mutton Snapper in the South Atlantic (SA). Recreational management measure alternatives include adjustments to the timing of the spawning season, recreational bag limit, and recreational size limit for Mutton Snapper.</w:t>
      </w:r>
    </w:p>
    <w:p w14:paraId="34BAA63B" w14:textId="77777777" w:rsidR="00FA742D" w:rsidRPr="0036626E" w:rsidRDefault="00FA742D" w:rsidP="00FA742D"/>
    <w:p w14:paraId="7787F3F5" w14:textId="77777777" w:rsidR="00FA742D" w:rsidRPr="0036626E" w:rsidRDefault="00FA742D" w:rsidP="00FA742D">
      <w:pPr>
        <w:rPr>
          <w:b/>
        </w:rPr>
      </w:pPr>
      <w:r w:rsidRPr="0036626E">
        <w:rPr>
          <w:b/>
        </w:rPr>
        <w:t>DATA</w:t>
      </w:r>
    </w:p>
    <w:p w14:paraId="35A6E5A1" w14:textId="77777777" w:rsidR="00FA742D" w:rsidRPr="0036626E" w:rsidRDefault="00FA742D" w:rsidP="00FA742D">
      <w:r w:rsidRPr="0036626E">
        <w:t>Trip level data was used from the Marine Recreational Information Program (MRIP) and the Southeast Regional Headboat Survey (SRHS) to conduct the analyses. The years 2010 to 2014 were included. All analyses were conducted using numbers of fish, since the SAFMC has specified the new recreational ACL will be in numbers rather than in weight. The analyses described here deal with landings data, which is defined as fish that are kept by the angler. The MRIP program defines landings as consisting of types A and B1 fish, which are described below.</w:t>
      </w:r>
    </w:p>
    <w:p w14:paraId="5EC4336B" w14:textId="77777777" w:rsidR="00FA742D" w:rsidRDefault="00FA742D" w:rsidP="00FA742D">
      <w:pPr>
        <w:ind w:left="720"/>
      </w:pPr>
    </w:p>
    <w:p w14:paraId="27F57939" w14:textId="77777777" w:rsidR="00FA742D" w:rsidRPr="0036626E" w:rsidRDefault="00FA742D" w:rsidP="00FA742D">
      <w:pPr>
        <w:rPr>
          <w:i/>
        </w:rPr>
      </w:pPr>
      <w:r w:rsidRPr="0036626E">
        <w:rPr>
          <w:i/>
        </w:rPr>
        <w:t>MRIP</w:t>
      </w:r>
    </w:p>
    <w:p w14:paraId="0F384206" w14:textId="77777777" w:rsidR="00FA742D" w:rsidRPr="0036626E" w:rsidRDefault="00FA742D" w:rsidP="00FA742D">
      <w:r w:rsidRPr="0036626E">
        <w:t xml:space="preserve">The MRIP data includes both private recreational trips and charter trips. These data were for trips intercepted by MRIP interviewers, which is only a small portion of the total Mutton Snapper trips (~0.22%). Data were available at the trip level and included number of fish observed (by the interviewer, type A), number of fish killed but not observed (type B1), number of fish discarded (type B2), the number of anglers on board, the date of the intercept, the kind of day (weekend vs. weekday), the length of each fish, and the expansion factor used to expand the landings and discards of each trip up to the total landings and discards for the entire South Atlantic based on the estimated fishing effort. For kind of day, holidays were included as weekends. During the time period used in this </w:t>
      </w:r>
      <w:r w:rsidRPr="0036626E">
        <w:lastRenderedPageBreak/>
        <w:t>analysis, the landings attributed to MRIP make up approximately 88.5% of the total recreational Mutton Snapper landings in the SA.</w:t>
      </w:r>
    </w:p>
    <w:p w14:paraId="7C498A23" w14:textId="77777777" w:rsidR="00FA742D" w:rsidRDefault="00FA742D" w:rsidP="00FA742D">
      <w:pPr>
        <w:ind w:left="720"/>
      </w:pPr>
    </w:p>
    <w:p w14:paraId="2C455621" w14:textId="77777777" w:rsidR="00FA742D" w:rsidRPr="0036626E" w:rsidRDefault="00FA742D" w:rsidP="00FA742D">
      <w:r w:rsidRPr="0036626E">
        <w:t>Since Mutton Snapper is part of the Aggregate Snapper bag limit, an analysis was conducted to look at what proportion of trips was reaching the aggregate bag limit. From 2010 to 2014, only 3 trips were intercepted in the SA that reached the Aggregate Snapper bag limit. On those trips, the dominant species in the landings was Yellowtail Snapper. On average, there were about 9 Yellowtail Snapper for every Mutton Snapper on those 3 trips. Since so few trips reached the Aggregate Snapper bag limit, and since the SAFMC is only considering reductions in the number of Mutton Snapper that can be retained in the Aggregate Snapper bag limit, the analysis was conducted using only the landings data of Mutton Snapper. This assumption was carried through to the SRHS data.</w:t>
      </w:r>
    </w:p>
    <w:p w14:paraId="7B05FBBD" w14:textId="77777777" w:rsidR="00FA742D" w:rsidRDefault="00FA742D" w:rsidP="00FA742D">
      <w:pPr>
        <w:ind w:left="720"/>
      </w:pPr>
    </w:p>
    <w:p w14:paraId="2F977401" w14:textId="77777777" w:rsidR="00FA742D" w:rsidRDefault="00FA742D" w:rsidP="00FA742D">
      <w:r w:rsidRPr="0036626E">
        <w:t xml:space="preserve">As mentioned above, data from 2010 to 2014 were used to perform the analysis. </w:t>
      </w:r>
      <w:r w:rsidRPr="0036626E">
        <w:fldChar w:fldCharType="begin"/>
      </w:r>
      <w:r w:rsidRPr="0036626E">
        <w:instrText xml:space="preserve"> REF _Ref453662321 \h </w:instrText>
      </w:r>
      <w:r w:rsidRPr="0036626E">
        <w:fldChar w:fldCharType="separate"/>
      </w:r>
      <w:r w:rsidR="008F3D62" w:rsidRPr="00FB0D08">
        <w:rPr>
          <w:rFonts w:ascii="Arial" w:hAnsi="Arial" w:cs="Arial"/>
        </w:rPr>
        <w:t xml:space="preserve">Figure </w:t>
      </w:r>
      <w:r w:rsidR="008F3D62">
        <w:rPr>
          <w:rFonts w:ascii="Arial" w:hAnsi="Arial" w:cs="Arial"/>
          <w:noProof/>
        </w:rPr>
        <w:t>1</w:t>
      </w:r>
      <w:r w:rsidRPr="0036626E">
        <w:fldChar w:fldCharType="end"/>
      </w:r>
      <w:r w:rsidRPr="0036626E">
        <w:t xml:space="preserve"> shows the MRIP landings for each of the years included in the analysis, which range from ~48,000 fish to ~140,000 fish. The average landings across the years for each month were used to predict potential reductions due to changes in management measures (</w:t>
      </w:r>
      <w:r w:rsidRPr="0036626E">
        <w:fldChar w:fldCharType="begin"/>
      </w:r>
      <w:r w:rsidRPr="0036626E">
        <w:instrText xml:space="preserve"> REF _Ref453662670 \h </w:instrText>
      </w:r>
      <w:r w:rsidRPr="0036626E">
        <w:fldChar w:fldCharType="separate"/>
      </w:r>
      <w:r w:rsidR="008F3D62" w:rsidRPr="00FB0D08">
        <w:rPr>
          <w:rFonts w:ascii="Arial" w:hAnsi="Arial" w:cs="Arial"/>
        </w:rPr>
        <w:t xml:space="preserve">Figure </w:t>
      </w:r>
      <w:r w:rsidR="008F3D62">
        <w:rPr>
          <w:rFonts w:ascii="Arial" w:hAnsi="Arial" w:cs="Arial"/>
          <w:noProof/>
        </w:rPr>
        <w:t>2</w:t>
      </w:r>
      <w:r w:rsidRPr="0036626E">
        <w:fldChar w:fldCharType="end"/>
      </w:r>
      <w:r w:rsidRPr="0036626E">
        <w:t>). The size composition of the MRIP landings shows that a large proportion of the landed fish are at or below the current 16 inch minimum size in most years and for areas north of the FL Keys (</w:t>
      </w:r>
      <w:r w:rsidRPr="0036626E">
        <w:fldChar w:fldCharType="begin"/>
      </w:r>
      <w:r w:rsidRPr="0036626E">
        <w:instrText xml:space="preserve"> REF _Ref456615689 \h </w:instrText>
      </w:r>
      <w:r w:rsidRPr="0036626E">
        <w:fldChar w:fldCharType="separate"/>
      </w:r>
      <w:r w:rsidR="008F3D62" w:rsidRPr="00FB0D08">
        <w:rPr>
          <w:rFonts w:ascii="Arial" w:hAnsi="Arial" w:cs="Arial"/>
        </w:rPr>
        <w:t xml:space="preserve">Figure </w:t>
      </w:r>
      <w:r w:rsidR="008F3D62">
        <w:rPr>
          <w:rFonts w:ascii="Arial" w:hAnsi="Arial" w:cs="Arial"/>
          <w:noProof/>
        </w:rPr>
        <w:t>3</w:t>
      </w:r>
      <w:r w:rsidRPr="0036626E">
        <w:fldChar w:fldCharType="end"/>
      </w:r>
      <w:r w:rsidRPr="0036626E">
        <w:fldChar w:fldCharType="begin"/>
      </w:r>
      <w:r w:rsidRPr="0036626E">
        <w:instrText xml:space="preserve"> REF _Ref456615691 \h </w:instrText>
      </w:r>
      <w:r w:rsidRPr="0036626E">
        <w:fldChar w:fldCharType="separate"/>
      </w:r>
      <w:r w:rsidR="008F3D62" w:rsidRPr="00FB0D08">
        <w:rPr>
          <w:rFonts w:ascii="Arial" w:hAnsi="Arial" w:cs="Arial"/>
        </w:rPr>
        <w:t xml:space="preserve">Figure </w:t>
      </w:r>
      <w:r w:rsidR="008F3D62">
        <w:rPr>
          <w:rFonts w:ascii="Arial" w:hAnsi="Arial" w:cs="Arial"/>
          <w:noProof/>
        </w:rPr>
        <w:t>4</w:t>
      </w:r>
      <w:r w:rsidRPr="0036626E">
        <w:fldChar w:fldCharType="end"/>
      </w:r>
      <w:r w:rsidRPr="0036626E">
        <w:t>).</w:t>
      </w:r>
    </w:p>
    <w:p w14:paraId="604A0508" w14:textId="77777777" w:rsidR="00FA742D" w:rsidRPr="0036626E" w:rsidRDefault="00FA742D" w:rsidP="00FA742D"/>
    <w:p w14:paraId="12AFE65D" w14:textId="77777777" w:rsidR="00FA742D" w:rsidRPr="0036626E" w:rsidRDefault="00FA742D" w:rsidP="00FA742D">
      <w:pPr>
        <w:keepNext/>
        <w:ind w:left="720"/>
        <w:jc w:val="center"/>
      </w:pPr>
      <w:r w:rsidRPr="0036626E">
        <w:rPr>
          <w:noProof/>
        </w:rPr>
        <w:drawing>
          <wp:inline distT="0" distB="0" distL="0" distR="0" wp14:anchorId="5B4E0B0A" wp14:editId="5C0A5865">
            <wp:extent cx="4502150" cy="27749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05795" cy="2777197"/>
                    </a:xfrm>
                    <a:prstGeom prst="rect">
                      <a:avLst/>
                    </a:prstGeom>
                    <a:noFill/>
                  </pic:spPr>
                </pic:pic>
              </a:graphicData>
            </a:graphic>
          </wp:inline>
        </w:drawing>
      </w:r>
    </w:p>
    <w:p w14:paraId="01254B31" w14:textId="77777777" w:rsidR="00FA742D" w:rsidRPr="00FB0D08" w:rsidRDefault="00FA742D" w:rsidP="00FA742D">
      <w:pPr>
        <w:pStyle w:val="Caption"/>
        <w:ind w:left="1440"/>
        <w:rPr>
          <w:rFonts w:ascii="Arial" w:hAnsi="Arial" w:cs="Arial"/>
          <w:b w:val="0"/>
        </w:rPr>
      </w:pPr>
      <w:bookmarkStart w:id="430" w:name="_Ref453662321"/>
      <w:r w:rsidRPr="00FB0D08">
        <w:rPr>
          <w:rFonts w:ascii="Arial" w:hAnsi="Arial" w:cs="Arial"/>
        </w:rPr>
        <w:t xml:space="preserve">Figure </w:t>
      </w:r>
      <w:r w:rsidR="002342FE" w:rsidRPr="00FB0D08">
        <w:rPr>
          <w:rFonts w:ascii="Arial" w:hAnsi="Arial" w:cs="Arial"/>
        </w:rPr>
        <w:fldChar w:fldCharType="begin"/>
      </w:r>
      <w:r w:rsidR="002342FE" w:rsidRPr="00FB0D08">
        <w:rPr>
          <w:rFonts w:ascii="Arial" w:hAnsi="Arial" w:cs="Arial"/>
        </w:rPr>
        <w:instrText xml:space="preserve"> SEQ Figure \* ARABIC </w:instrText>
      </w:r>
      <w:r w:rsidR="002342FE" w:rsidRPr="00FB0D08">
        <w:rPr>
          <w:rFonts w:ascii="Arial" w:hAnsi="Arial" w:cs="Arial"/>
        </w:rPr>
        <w:fldChar w:fldCharType="separate"/>
      </w:r>
      <w:r w:rsidR="008F3D62">
        <w:rPr>
          <w:rFonts w:ascii="Arial" w:hAnsi="Arial" w:cs="Arial"/>
          <w:noProof/>
        </w:rPr>
        <w:t>1</w:t>
      </w:r>
      <w:r w:rsidR="002342FE" w:rsidRPr="00FB0D08">
        <w:rPr>
          <w:rFonts w:ascii="Arial" w:hAnsi="Arial" w:cs="Arial"/>
          <w:noProof/>
        </w:rPr>
        <w:fldChar w:fldCharType="end"/>
      </w:r>
      <w:bookmarkEnd w:id="430"/>
      <w:r w:rsidRPr="00FB0D08">
        <w:rPr>
          <w:rFonts w:ascii="Arial" w:hAnsi="Arial" w:cs="Arial"/>
        </w:rPr>
        <w:t xml:space="preserve">. </w:t>
      </w:r>
      <w:r w:rsidRPr="00FB0D08">
        <w:rPr>
          <w:rFonts w:ascii="Arial" w:hAnsi="Arial" w:cs="Arial"/>
          <w:b w:val="0"/>
        </w:rPr>
        <w:t>Total yearly MRIP landings of Mutton Snapper in the SA.</w:t>
      </w:r>
    </w:p>
    <w:p w14:paraId="0EC23C45" w14:textId="77777777" w:rsidR="00FA742D" w:rsidRPr="0036626E" w:rsidRDefault="00FA742D" w:rsidP="00FA742D">
      <w:pPr>
        <w:ind w:left="720"/>
      </w:pPr>
    </w:p>
    <w:p w14:paraId="4C8ECFA6" w14:textId="77777777" w:rsidR="00FA742D" w:rsidRPr="0036626E" w:rsidRDefault="00FA742D" w:rsidP="00FA742D">
      <w:pPr>
        <w:keepNext/>
        <w:ind w:left="720"/>
        <w:jc w:val="center"/>
      </w:pPr>
      <w:r w:rsidRPr="0036626E">
        <w:rPr>
          <w:noProof/>
        </w:rPr>
        <w:lastRenderedPageBreak/>
        <w:drawing>
          <wp:inline distT="0" distB="0" distL="0" distR="0" wp14:anchorId="13EE0BC3" wp14:editId="2E45EEFD">
            <wp:extent cx="4845050" cy="28413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53131" cy="2846106"/>
                    </a:xfrm>
                    <a:prstGeom prst="rect">
                      <a:avLst/>
                    </a:prstGeom>
                    <a:noFill/>
                  </pic:spPr>
                </pic:pic>
              </a:graphicData>
            </a:graphic>
          </wp:inline>
        </w:drawing>
      </w:r>
    </w:p>
    <w:p w14:paraId="1DC0FB92" w14:textId="77777777" w:rsidR="00FA742D" w:rsidRPr="00FB0D08" w:rsidRDefault="00FA742D" w:rsidP="00FA742D">
      <w:pPr>
        <w:pStyle w:val="Caption"/>
        <w:ind w:left="1260"/>
        <w:rPr>
          <w:rFonts w:ascii="Arial" w:hAnsi="Arial" w:cs="Arial"/>
          <w:b w:val="0"/>
        </w:rPr>
      </w:pPr>
      <w:bookmarkStart w:id="431" w:name="_Ref453662670"/>
      <w:r w:rsidRPr="00FB0D08">
        <w:rPr>
          <w:rFonts w:ascii="Arial" w:hAnsi="Arial" w:cs="Arial"/>
        </w:rPr>
        <w:t xml:space="preserve">Figure </w:t>
      </w:r>
      <w:r w:rsidR="002342FE" w:rsidRPr="00FB0D08">
        <w:rPr>
          <w:rFonts w:ascii="Arial" w:hAnsi="Arial" w:cs="Arial"/>
        </w:rPr>
        <w:fldChar w:fldCharType="begin"/>
      </w:r>
      <w:r w:rsidR="002342FE" w:rsidRPr="00FB0D08">
        <w:rPr>
          <w:rFonts w:ascii="Arial" w:hAnsi="Arial" w:cs="Arial"/>
        </w:rPr>
        <w:instrText xml:space="preserve"> SEQ Figure \* ARABIC </w:instrText>
      </w:r>
      <w:r w:rsidR="002342FE" w:rsidRPr="00FB0D08">
        <w:rPr>
          <w:rFonts w:ascii="Arial" w:hAnsi="Arial" w:cs="Arial"/>
        </w:rPr>
        <w:fldChar w:fldCharType="separate"/>
      </w:r>
      <w:r w:rsidR="008F3D62">
        <w:rPr>
          <w:rFonts w:ascii="Arial" w:hAnsi="Arial" w:cs="Arial"/>
          <w:noProof/>
        </w:rPr>
        <w:t>2</w:t>
      </w:r>
      <w:r w:rsidR="002342FE" w:rsidRPr="00FB0D08">
        <w:rPr>
          <w:rFonts w:ascii="Arial" w:hAnsi="Arial" w:cs="Arial"/>
          <w:noProof/>
        </w:rPr>
        <w:fldChar w:fldCharType="end"/>
      </w:r>
      <w:bookmarkEnd w:id="431"/>
      <w:r w:rsidRPr="00FB0D08">
        <w:rPr>
          <w:rFonts w:ascii="Arial" w:hAnsi="Arial" w:cs="Arial"/>
        </w:rPr>
        <w:t xml:space="preserve">. </w:t>
      </w:r>
      <w:r w:rsidRPr="00FB0D08">
        <w:rPr>
          <w:rFonts w:ascii="Arial" w:hAnsi="Arial" w:cs="Arial"/>
          <w:b w:val="0"/>
        </w:rPr>
        <w:t>Monthly MRIP landings of Mutton Snapper in the SA averaged from 2010 to 2014, with 5</w:t>
      </w:r>
      <w:r w:rsidRPr="00FB0D08">
        <w:rPr>
          <w:rFonts w:ascii="Arial" w:hAnsi="Arial" w:cs="Arial"/>
          <w:b w:val="0"/>
          <w:vertAlign w:val="superscript"/>
        </w:rPr>
        <w:t>th</w:t>
      </w:r>
      <w:r w:rsidRPr="00FB0D08">
        <w:rPr>
          <w:rFonts w:ascii="Arial" w:hAnsi="Arial" w:cs="Arial"/>
          <w:b w:val="0"/>
        </w:rPr>
        <w:t xml:space="preserve"> and 95</w:t>
      </w:r>
      <w:r w:rsidRPr="00FB0D08">
        <w:rPr>
          <w:rFonts w:ascii="Arial" w:hAnsi="Arial" w:cs="Arial"/>
          <w:b w:val="0"/>
          <w:vertAlign w:val="superscript"/>
        </w:rPr>
        <w:t>th</w:t>
      </w:r>
      <w:r w:rsidRPr="00FB0D08">
        <w:rPr>
          <w:rFonts w:ascii="Arial" w:hAnsi="Arial" w:cs="Arial"/>
          <w:b w:val="0"/>
        </w:rPr>
        <w:t xml:space="preserve"> percentile lines.</w:t>
      </w:r>
    </w:p>
    <w:p w14:paraId="0F7FCD2F" w14:textId="77777777" w:rsidR="00FA742D" w:rsidRPr="00FB0D08" w:rsidRDefault="00FA742D" w:rsidP="00FA742D"/>
    <w:p w14:paraId="34EF3FF1" w14:textId="77777777" w:rsidR="00FA742D" w:rsidRPr="0036626E" w:rsidRDefault="00FA742D" w:rsidP="00FA742D">
      <w:pPr>
        <w:keepNext/>
      </w:pPr>
      <w:r w:rsidRPr="0036626E">
        <w:rPr>
          <w:noProof/>
        </w:rPr>
        <w:lastRenderedPageBreak/>
        <w:drawing>
          <wp:inline distT="0" distB="0" distL="0" distR="0" wp14:anchorId="4BEE2DC3" wp14:editId="0B5E611E">
            <wp:extent cx="5981700" cy="4959824"/>
            <wp:effectExtent l="19050" t="19050" r="1905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83860" cy="4961615"/>
                    </a:xfrm>
                    <a:prstGeom prst="rect">
                      <a:avLst/>
                    </a:prstGeom>
                    <a:noFill/>
                    <a:ln>
                      <a:solidFill>
                        <a:schemeClr val="tx1"/>
                      </a:solidFill>
                    </a:ln>
                  </pic:spPr>
                </pic:pic>
              </a:graphicData>
            </a:graphic>
          </wp:inline>
        </w:drawing>
      </w:r>
    </w:p>
    <w:p w14:paraId="5974DF69" w14:textId="77777777" w:rsidR="00FA742D" w:rsidRPr="00FB0D08" w:rsidRDefault="00FA742D" w:rsidP="00FA742D">
      <w:pPr>
        <w:pStyle w:val="Caption"/>
        <w:rPr>
          <w:rFonts w:ascii="Arial" w:hAnsi="Arial" w:cs="Arial"/>
          <w:b w:val="0"/>
        </w:rPr>
      </w:pPr>
      <w:bookmarkStart w:id="432" w:name="_Ref456615689"/>
      <w:r w:rsidRPr="00FB0D08">
        <w:rPr>
          <w:rFonts w:ascii="Arial" w:hAnsi="Arial" w:cs="Arial"/>
        </w:rPr>
        <w:t xml:space="preserve">Figure </w:t>
      </w:r>
      <w:r w:rsidR="002342FE" w:rsidRPr="00FB0D08">
        <w:rPr>
          <w:rFonts w:ascii="Arial" w:hAnsi="Arial" w:cs="Arial"/>
        </w:rPr>
        <w:fldChar w:fldCharType="begin"/>
      </w:r>
      <w:r w:rsidR="002342FE" w:rsidRPr="00FB0D08">
        <w:rPr>
          <w:rFonts w:ascii="Arial" w:hAnsi="Arial" w:cs="Arial"/>
        </w:rPr>
        <w:instrText xml:space="preserve"> SEQ Figure \* ARABIC </w:instrText>
      </w:r>
      <w:r w:rsidR="002342FE" w:rsidRPr="00FB0D08">
        <w:rPr>
          <w:rFonts w:ascii="Arial" w:hAnsi="Arial" w:cs="Arial"/>
        </w:rPr>
        <w:fldChar w:fldCharType="separate"/>
      </w:r>
      <w:r w:rsidR="008F3D62">
        <w:rPr>
          <w:rFonts w:ascii="Arial" w:hAnsi="Arial" w:cs="Arial"/>
          <w:noProof/>
        </w:rPr>
        <w:t>3</w:t>
      </w:r>
      <w:r w:rsidR="002342FE" w:rsidRPr="00FB0D08">
        <w:rPr>
          <w:rFonts w:ascii="Arial" w:hAnsi="Arial" w:cs="Arial"/>
          <w:noProof/>
        </w:rPr>
        <w:fldChar w:fldCharType="end"/>
      </w:r>
      <w:bookmarkEnd w:id="432"/>
      <w:r w:rsidRPr="00FB0D08">
        <w:rPr>
          <w:rFonts w:ascii="Arial" w:hAnsi="Arial" w:cs="Arial"/>
        </w:rPr>
        <w:t xml:space="preserve">. </w:t>
      </w:r>
      <w:r w:rsidRPr="00FB0D08">
        <w:rPr>
          <w:rFonts w:ascii="Arial" w:hAnsi="Arial" w:cs="Arial"/>
          <w:b w:val="0"/>
        </w:rPr>
        <w:t>Size composition of the MRIP landings by year.</w:t>
      </w:r>
    </w:p>
    <w:p w14:paraId="73AB9755" w14:textId="77777777" w:rsidR="00FA742D" w:rsidRPr="00FB0D08" w:rsidRDefault="00FA742D" w:rsidP="00FA742D"/>
    <w:p w14:paraId="18D99011" w14:textId="77777777" w:rsidR="00FA742D" w:rsidRPr="0036626E" w:rsidRDefault="00FA742D" w:rsidP="00FA742D">
      <w:pPr>
        <w:keepNext/>
      </w:pPr>
      <w:r w:rsidRPr="0036626E">
        <w:rPr>
          <w:noProof/>
        </w:rPr>
        <w:lastRenderedPageBreak/>
        <w:drawing>
          <wp:inline distT="0" distB="0" distL="0" distR="0" wp14:anchorId="3EC0761E" wp14:editId="78803BE8">
            <wp:extent cx="5953754" cy="3911600"/>
            <wp:effectExtent l="19050" t="19050" r="28575"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55075" cy="3912468"/>
                    </a:xfrm>
                    <a:prstGeom prst="rect">
                      <a:avLst/>
                    </a:prstGeom>
                    <a:noFill/>
                    <a:ln>
                      <a:solidFill>
                        <a:schemeClr val="tx1"/>
                      </a:solidFill>
                    </a:ln>
                  </pic:spPr>
                </pic:pic>
              </a:graphicData>
            </a:graphic>
          </wp:inline>
        </w:drawing>
      </w:r>
    </w:p>
    <w:p w14:paraId="6D789D23" w14:textId="77777777" w:rsidR="00FA742D" w:rsidRPr="00FB0D08" w:rsidRDefault="00FA742D" w:rsidP="00FA742D">
      <w:pPr>
        <w:pStyle w:val="Caption"/>
        <w:rPr>
          <w:rFonts w:ascii="Arial" w:hAnsi="Arial" w:cs="Arial"/>
          <w:b w:val="0"/>
        </w:rPr>
      </w:pPr>
      <w:bookmarkStart w:id="433" w:name="_Ref456615691"/>
      <w:r w:rsidRPr="00FB0D08">
        <w:rPr>
          <w:rFonts w:ascii="Arial" w:hAnsi="Arial" w:cs="Arial"/>
        </w:rPr>
        <w:t xml:space="preserve">Figure </w:t>
      </w:r>
      <w:r w:rsidR="002342FE" w:rsidRPr="00FB0D08">
        <w:rPr>
          <w:rFonts w:ascii="Arial" w:hAnsi="Arial" w:cs="Arial"/>
        </w:rPr>
        <w:fldChar w:fldCharType="begin"/>
      </w:r>
      <w:r w:rsidR="002342FE" w:rsidRPr="00FB0D08">
        <w:rPr>
          <w:rFonts w:ascii="Arial" w:hAnsi="Arial" w:cs="Arial"/>
        </w:rPr>
        <w:instrText xml:space="preserve"> SEQ Figure \* ARABIC </w:instrText>
      </w:r>
      <w:r w:rsidR="002342FE" w:rsidRPr="00FB0D08">
        <w:rPr>
          <w:rFonts w:ascii="Arial" w:hAnsi="Arial" w:cs="Arial"/>
        </w:rPr>
        <w:fldChar w:fldCharType="separate"/>
      </w:r>
      <w:r w:rsidR="008F3D62">
        <w:rPr>
          <w:rFonts w:ascii="Arial" w:hAnsi="Arial" w:cs="Arial"/>
          <w:noProof/>
        </w:rPr>
        <w:t>4</w:t>
      </w:r>
      <w:r w:rsidR="002342FE" w:rsidRPr="00FB0D08">
        <w:rPr>
          <w:rFonts w:ascii="Arial" w:hAnsi="Arial" w:cs="Arial"/>
          <w:noProof/>
        </w:rPr>
        <w:fldChar w:fldCharType="end"/>
      </w:r>
      <w:bookmarkEnd w:id="433"/>
      <w:r w:rsidRPr="00FB0D08">
        <w:rPr>
          <w:rFonts w:ascii="Arial" w:hAnsi="Arial" w:cs="Arial"/>
          <w:b w:val="0"/>
        </w:rPr>
        <w:t>. Size composition of the MRIP landings by area (corresponding to the HB areas).</w:t>
      </w:r>
    </w:p>
    <w:p w14:paraId="47313410" w14:textId="77777777" w:rsidR="00FA742D" w:rsidRDefault="00FA742D" w:rsidP="00FA742D"/>
    <w:p w14:paraId="45A71677" w14:textId="77777777" w:rsidR="00FA742D" w:rsidRPr="0036626E" w:rsidRDefault="00FA742D" w:rsidP="00FA742D">
      <w:pPr>
        <w:rPr>
          <w:i/>
        </w:rPr>
      </w:pPr>
      <w:r w:rsidRPr="0036626E">
        <w:rPr>
          <w:i/>
        </w:rPr>
        <w:t>SRHS</w:t>
      </w:r>
    </w:p>
    <w:p w14:paraId="3615A61A" w14:textId="77777777" w:rsidR="00FA742D" w:rsidRDefault="00FA742D" w:rsidP="00FA742D">
      <w:r w:rsidRPr="0036626E">
        <w:t>The headboat (HB) data was also available at the trip level and were obtained from logbook data. The logbook data were corrected for misreporting using correction factors provided by SRHS staff. These data also included number of fish kept, number of fish discarded, number of anglers on board, and the date of the trip. These data did not include the kind of day, but they did include the type of trip (since headboats can take multiday trips, which allows them to retain a separate bag limit for each day they are out).</w:t>
      </w:r>
    </w:p>
    <w:p w14:paraId="7792093C" w14:textId="77777777" w:rsidR="00FA742D" w:rsidRPr="0036626E" w:rsidRDefault="00FA742D" w:rsidP="00FA742D"/>
    <w:p w14:paraId="3879422D" w14:textId="77777777" w:rsidR="00FA742D" w:rsidRPr="0036626E" w:rsidRDefault="00FA742D" w:rsidP="00FA742D">
      <w:r w:rsidRPr="0036626E">
        <w:fldChar w:fldCharType="begin"/>
      </w:r>
      <w:r w:rsidRPr="0036626E">
        <w:instrText xml:space="preserve"> REF _Ref453662923 \h </w:instrText>
      </w:r>
      <w:r w:rsidRPr="0036626E">
        <w:fldChar w:fldCharType="separate"/>
      </w:r>
      <w:r w:rsidR="008F3D62" w:rsidRPr="00FB0D08">
        <w:rPr>
          <w:rFonts w:ascii="Arial" w:hAnsi="Arial" w:cs="Arial"/>
        </w:rPr>
        <w:t xml:space="preserve">Figure </w:t>
      </w:r>
      <w:r w:rsidR="008F3D62">
        <w:rPr>
          <w:rFonts w:ascii="Arial" w:hAnsi="Arial" w:cs="Arial"/>
          <w:noProof/>
        </w:rPr>
        <w:t>5</w:t>
      </w:r>
      <w:r w:rsidRPr="0036626E">
        <w:fldChar w:fldCharType="end"/>
      </w:r>
      <w:r w:rsidRPr="0036626E">
        <w:t xml:space="preserve"> shows the HB landings for each of the years included in the analysis, which range from ~9,000 fish to ~17,000 fish. </w:t>
      </w:r>
      <w:r w:rsidRPr="0036626E">
        <w:fldChar w:fldCharType="begin"/>
      </w:r>
      <w:r w:rsidRPr="0036626E">
        <w:instrText xml:space="preserve"> REF _Ref453662991 \h </w:instrText>
      </w:r>
      <w:r w:rsidRPr="0036626E">
        <w:fldChar w:fldCharType="separate"/>
      </w:r>
      <w:r w:rsidR="008F3D62" w:rsidRPr="00FB0D08">
        <w:rPr>
          <w:rFonts w:ascii="Arial" w:hAnsi="Arial" w:cs="Arial"/>
        </w:rPr>
        <w:t xml:space="preserve">Figure </w:t>
      </w:r>
      <w:r w:rsidR="008F3D62">
        <w:rPr>
          <w:rFonts w:ascii="Arial" w:hAnsi="Arial" w:cs="Arial"/>
          <w:noProof/>
        </w:rPr>
        <w:t>6</w:t>
      </w:r>
      <w:r w:rsidRPr="0036626E">
        <w:fldChar w:fldCharType="end"/>
      </w:r>
      <w:r w:rsidRPr="0036626E">
        <w:t xml:space="preserve"> shows the average landings across the years for each month, which were used to predict potential reductions due to changes in management measures and the timing of the Spawning Season.</w:t>
      </w:r>
    </w:p>
    <w:p w14:paraId="1EEC8A19" w14:textId="77777777" w:rsidR="00FA742D" w:rsidRPr="0036626E" w:rsidRDefault="00FA742D" w:rsidP="00FA742D">
      <w:pPr>
        <w:ind w:left="720"/>
      </w:pPr>
    </w:p>
    <w:p w14:paraId="737A9B13" w14:textId="77777777" w:rsidR="00FA742D" w:rsidRPr="0036626E" w:rsidRDefault="00FA742D" w:rsidP="00FA742D">
      <w:pPr>
        <w:keepNext/>
        <w:ind w:left="720"/>
        <w:jc w:val="center"/>
      </w:pPr>
      <w:r w:rsidRPr="0036626E">
        <w:rPr>
          <w:noProof/>
        </w:rPr>
        <w:lastRenderedPageBreak/>
        <w:drawing>
          <wp:inline distT="0" distB="0" distL="0" distR="0" wp14:anchorId="6A871968" wp14:editId="5BE69ACC">
            <wp:extent cx="4152900" cy="258419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53624" cy="2584647"/>
                    </a:xfrm>
                    <a:prstGeom prst="rect">
                      <a:avLst/>
                    </a:prstGeom>
                    <a:noFill/>
                  </pic:spPr>
                </pic:pic>
              </a:graphicData>
            </a:graphic>
          </wp:inline>
        </w:drawing>
      </w:r>
    </w:p>
    <w:p w14:paraId="419C185F" w14:textId="77777777" w:rsidR="00FA742D" w:rsidRPr="00FB0D08" w:rsidRDefault="00FA742D" w:rsidP="00FA742D">
      <w:pPr>
        <w:pStyle w:val="Caption"/>
        <w:ind w:left="1800"/>
        <w:rPr>
          <w:rFonts w:ascii="Arial" w:hAnsi="Arial" w:cs="Arial"/>
          <w:b w:val="0"/>
        </w:rPr>
      </w:pPr>
      <w:bookmarkStart w:id="434" w:name="_Ref453662923"/>
      <w:r w:rsidRPr="00FB0D08">
        <w:rPr>
          <w:rFonts w:ascii="Arial" w:hAnsi="Arial" w:cs="Arial"/>
        </w:rPr>
        <w:t xml:space="preserve">Figure </w:t>
      </w:r>
      <w:r w:rsidR="002342FE" w:rsidRPr="00FB0D08">
        <w:rPr>
          <w:rFonts w:ascii="Arial" w:hAnsi="Arial" w:cs="Arial"/>
        </w:rPr>
        <w:fldChar w:fldCharType="begin"/>
      </w:r>
      <w:r w:rsidR="002342FE" w:rsidRPr="00FB0D08">
        <w:rPr>
          <w:rFonts w:ascii="Arial" w:hAnsi="Arial" w:cs="Arial"/>
        </w:rPr>
        <w:instrText xml:space="preserve"> SEQ Figure \* ARABIC </w:instrText>
      </w:r>
      <w:r w:rsidR="002342FE" w:rsidRPr="00FB0D08">
        <w:rPr>
          <w:rFonts w:ascii="Arial" w:hAnsi="Arial" w:cs="Arial"/>
        </w:rPr>
        <w:fldChar w:fldCharType="separate"/>
      </w:r>
      <w:r w:rsidR="008F3D62">
        <w:rPr>
          <w:rFonts w:ascii="Arial" w:hAnsi="Arial" w:cs="Arial"/>
          <w:noProof/>
        </w:rPr>
        <w:t>5</w:t>
      </w:r>
      <w:r w:rsidR="002342FE" w:rsidRPr="00FB0D08">
        <w:rPr>
          <w:rFonts w:ascii="Arial" w:hAnsi="Arial" w:cs="Arial"/>
          <w:noProof/>
        </w:rPr>
        <w:fldChar w:fldCharType="end"/>
      </w:r>
      <w:bookmarkEnd w:id="434"/>
      <w:r w:rsidRPr="00FB0D08">
        <w:rPr>
          <w:rFonts w:ascii="Arial" w:hAnsi="Arial" w:cs="Arial"/>
        </w:rPr>
        <w:t xml:space="preserve">. </w:t>
      </w:r>
      <w:r w:rsidRPr="00FB0D08">
        <w:rPr>
          <w:rFonts w:ascii="Arial" w:hAnsi="Arial" w:cs="Arial"/>
          <w:b w:val="0"/>
        </w:rPr>
        <w:t>Total yearly HB landings of Mutton Snapper in the SA.</w:t>
      </w:r>
    </w:p>
    <w:p w14:paraId="1C5FC0B7" w14:textId="77777777" w:rsidR="00FA742D" w:rsidRPr="0036626E" w:rsidRDefault="00FA742D" w:rsidP="00FA742D"/>
    <w:p w14:paraId="2070FBE8" w14:textId="77777777" w:rsidR="00FA742D" w:rsidRPr="0036626E" w:rsidRDefault="00FA742D" w:rsidP="00FA742D">
      <w:pPr>
        <w:keepNext/>
        <w:ind w:left="720"/>
        <w:jc w:val="center"/>
      </w:pPr>
      <w:r w:rsidRPr="0036626E">
        <w:rPr>
          <w:noProof/>
        </w:rPr>
        <w:drawing>
          <wp:inline distT="0" distB="0" distL="0" distR="0" wp14:anchorId="38CD7327" wp14:editId="3CC7805A">
            <wp:extent cx="4343400" cy="2562413"/>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43608" cy="2562536"/>
                    </a:xfrm>
                    <a:prstGeom prst="rect">
                      <a:avLst/>
                    </a:prstGeom>
                    <a:noFill/>
                  </pic:spPr>
                </pic:pic>
              </a:graphicData>
            </a:graphic>
          </wp:inline>
        </w:drawing>
      </w:r>
    </w:p>
    <w:p w14:paraId="297CBB70" w14:textId="77777777" w:rsidR="00FA742D" w:rsidRPr="00FB0D08" w:rsidRDefault="00FA742D" w:rsidP="00FB0D08">
      <w:pPr>
        <w:pStyle w:val="Caption"/>
        <w:ind w:left="1620"/>
        <w:rPr>
          <w:rFonts w:ascii="Arial" w:hAnsi="Arial" w:cs="Arial"/>
        </w:rPr>
      </w:pPr>
      <w:bookmarkStart w:id="435" w:name="_Ref453662991"/>
      <w:r w:rsidRPr="00FB0D08">
        <w:rPr>
          <w:rFonts w:ascii="Arial" w:hAnsi="Arial" w:cs="Arial"/>
        </w:rPr>
        <w:t xml:space="preserve">Figure </w:t>
      </w:r>
      <w:r w:rsidR="002342FE" w:rsidRPr="00FB0D08">
        <w:rPr>
          <w:rFonts w:ascii="Arial" w:hAnsi="Arial" w:cs="Arial"/>
        </w:rPr>
        <w:fldChar w:fldCharType="begin"/>
      </w:r>
      <w:r w:rsidR="002342FE" w:rsidRPr="00FB0D08">
        <w:rPr>
          <w:rFonts w:ascii="Arial" w:hAnsi="Arial" w:cs="Arial"/>
        </w:rPr>
        <w:instrText xml:space="preserve"> SEQ Figure \* ARABIC </w:instrText>
      </w:r>
      <w:r w:rsidR="002342FE" w:rsidRPr="00FB0D08">
        <w:rPr>
          <w:rFonts w:ascii="Arial" w:hAnsi="Arial" w:cs="Arial"/>
        </w:rPr>
        <w:fldChar w:fldCharType="separate"/>
      </w:r>
      <w:r w:rsidR="008F3D62">
        <w:rPr>
          <w:rFonts w:ascii="Arial" w:hAnsi="Arial" w:cs="Arial"/>
          <w:noProof/>
        </w:rPr>
        <w:t>6</w:t>
      </w:r>
      <w:r w:rsidR="002342FE" w:rsidRPr="00FB0D08">
        <w:rPr>
          <w:rFonts w:ascii="Arial" w:hAnsi="Arial" w:cs="Arial"/>
          <w:noProof/>
        </w:rPr>
        <w:fldChar w:fldCharType="end"/>
      </w:r>
      <w:bookmarkEnd w:id="435"/>
      <w:r w:rsidRPr="00FB0D08">
        <w:rPr>
          <w:rFonts w:ascii="Arial" w:hAnsi="Arial" w:cs="Arial"/>
        </w:rPr>
        <w:t xml:space="preserve">. </w:t>
      </w:r>
      <w:r w:rsidRPr="00FB0D08">
        <w:rPr>
          <w:rFonts w:ascii="Arial" w:hAnsi="Arial" w:cs="Arial"/>
          <w:b w:val="0"/>
        </w:rPr>
        <w:t>Monthly HB landings of Mutton Snapper in the SA averaged from 2010 to 2014, with 5</w:t>
      </w:r>
      <w:r w:rsidRPr="00FB0D08">
        <w:rPr>
          <w:rFonts w:ascii="Arial" w:hAnsi="Arial" w:cs="Arial"/>
          <w:b w:val="0"/>
          <w:vertAlign w:val="superscript"/>
        </w:rPr>
        <w:t>th</w:t>
      </w:r>
      <w:r w:rsidRPr="00FB0D08">
        <w:rPr>
          <w:rFonts w:ascii="Arial" w:hAnsi="Arial" w:cs="Arial"/>
          <w:b w:val="0"/>
        </w:rPr>
        <w:t xml:space="preserve"> and 95</w:t>
      </w:r>
      <w:r w:rsidRPr="00FB0D08">
        <w:rPr>
          <w:rFonts w:ascii="Arial" w:hAnsi="Arial" w:cs="Arial"/>
          <w:b w:val="0"/>
          <w:vertAlign w:val="superscript"/>
        </w:rPr>
        <w:t>th</w:t>
      </w:r>
      <w:r w:rsidRPr="00FB0D08">
        <w:rPr>
          <w:rFonts w:ascii="Arial" w:hAnsi="Arial" w:cs="Arial"/>
          <w:b w:val="0"/>
        </w:rPr>
        <w:t xml:space="preserve"> percentile lines.</w:t>
      </w:r>
    </w:p>
    <w:p w14:paraId="312F8E75" w14:textId="77777777" w:rsidR="00FA742D" w:rsidRPr="0036626E" w:rsidRDefault="00FA742D" w:rsidP="00FA742D"/>
    <w:p w14:paraId="0878DF05" w14:textId="77777777" w:rsidR="00FA742D" w:rsidRPr="0036626E" w:rsidRDefault="00FA742D" w:rsidP="00FA742D">
      <w:pPr>
        <w:ind w:left="720"/>
      </w:pPr>
    </w:p>
    <w:p w14:paraId="2010855B" w14:textId="77777777" w:rsidR="00FA742D" w:rsidRPr="0036626E" w:rsidRDefault="00FA742D" w:rsidP="00FA742D">
      <w:pPr>
        <w:rPr>
          <w:b/>
        </w:rPr>
      </w:pPr>
      <w:r w:rsidRPr="0036626E">
        <w:rPr>
          <w:b/>
        </w:rPr>
        <w:t>SIZE LIMIT</w:t>
      </w:r>
    </w:p>
    <w:p w14:paraId="34D8B2ED" w14:textId="77777777" w:rsidR="00FA742D" w:rsidRDefault="00FA742D" w:rsidP="00FA742D">
      <w:r w:rsidRPr="0036626E">
        <w:fldChar w:fldCharType="begin"/>
      </w:r>
      <w:r w:rsidRPr="0036626E">
        <w:instrText xml:space="preserve"> REF _Ref456018986 \h </w:instrText>
      </w:r>
      <w:r w:rsidRPr="0036626E">
        <w:fldChar w:fldCharType="separate"/>
      </w:r>
      <w:r w:rsidR="008F3D62" w:rsidRPr="00FB0D08">
        <w:rPr>
          <w:rFonts w:ascii="Arial" w:hAnsi="Arial" w:cs="Arial"/>
        </w:rPr>
        <w:t xml:space="preserve">Table </w:t>
      </w:r>
      <w:r w:rsidR="008F3D62">
        <w:rPr>
          <w:rFonts w:ascii="Arial" w:hAnsi="Arial" w:cs="Arial"/>
          <w:noProof/>
        </w:rPr>
        <w:t>1</w:t>
      </w:r>
      <w:r w:rsidRPr="0036626E">
        <w:fldChar w:fldCharType="end"/>
      </w:r>
      <w:r w:rsidRPr="0036626E">
        <w:t xml:space="preserve"> shows the size limit alternatives being considered for Mutton Snapper. In order to perform this analysis, the landings for each trip were first adjusted based on the proposed size limit of interest. For the status quo of 16 inches, no adjustment was made. All the other proposed size limit alternatives resulted in either a decrease in the trip landings or no adjustment for an individual trip. </w:t>
      </w:r>
    </w:p>
    <w:p w14:paraId="7854F0C8" w14:textId="77777777" w:rsidR="00FA742D" w:rsidRPr="0036626E" w:rsidRDefault="00FA742D" w:rsidP="00FA742D"/>
    <w:p w14:paraId="6DA61BD2" w14:textId="77777777" w:rsidR="00FA742D" w:rsidRPr="0036626E" w:rsidRDefault="00FA742D" w:rsidP="00FA742D">
      <w:r w:rsidRPr="0036626E">
        <w:t xml:space="preserve">The methods for adjusting the MRIP data versus the HB data were different, due to the nature of the data available. The HB data have a “typical” length frequency distribution based on the sampling design, which was calculated for each of 4 areas (NEFL, SEFL, </w:t>
      </w:r>
      <w:r w:rsidRPr="0036626E">
        <w:lastRenderedPageBreak/>
        <w:t>FL Keys, Dry Tortugas) and by year (</w:t>
      </w:r>
      <w:r w:rsidRPr="0036626E">
        <w:fldChar w:fldCharType="begin"/>
      </w:r>
      <w:r w:rsidRPr="0036626E">
        <w:instrText xml:space="preserve"> REF _Ref453154028 \h </w:instrText>
      </w:r>
      <w:r w:rsidRPr="0036626E">
        <w:fldChar w:fldCharType="separate"/>
      </w:r>
      <w:r w:rsidR="008F3D62" w:rsidRPr="00FB0D08">
        <w:rPr>
          <w:rFonts w:ascii="Arial" w:hAnsi="Arial" w:cs="Arial"/>
        </w:rPr>
        <w:t xml:space="preserve">Figure </w:t>
      </w:r>
      <w:r w:rsidR="008F3D62">
        <w:rPr>
          <w:rFonts w:ascii="Arial" w:hAnsi="Arial" w:cs="Arial"/>
          <w:noProof/>
        </w:rPr>
        <w:t>8</w:t>
      </w:r>
      <w:r w:rsidRPr="0036626E">
        <w:fldChar w:fldCharType="end"/>
      </w:r>
      <w:r w:rsidRPr="0036626E">
        <w:fldChar w:fldCharType="begin"/>
      </w:r>
      <w:r w:rsidRPr="0036626E">
        <w:instrText xml:space="preserve"> REF _Ref453154031 \h </w:instrText>
      </w:r>
      <w:r w:rsidRPr="0036626E">
        <w:fldChar w:fldCharType="separate"/>
      </w:r>
      <w:r w:rsidR="008F3D62" w:rsidRPr="00FB0D08">
        <w:rPr>
          <w:rFonts w:ascii="Arial" w:hAnsi="Arial" w:cs="Arial"/>
        </w:rPr>
        <w:t xml:space="preserve">Figure </w:t>
      </w:r>
      <w:r w:rsidR="008F3D62">
        <w:rPr>
          <w:rFonts w:ascii="Arial" w:hAnsi="Arial" w:cs="Arial"/>
          <w:noProof/>
        </w:rPr>
        <w:t>9</w:t>
      </w:r>
      <w:r w:rsidRPr="0036626E">
        <w:fldChar w:fldCharType="end"/>
      </w:r>
      <w:r w:rsidRPr="0036626E">
        <w:fldChar w:fldCharType="begin"/>
      </w:r>
      <w:r w:rsidRPr="0036626E">
        <w:instrText xml:space="preserve"> REF _Ref453676248 \h </w:instrText>
      </w:r>
      <w:r w:rsidRPr="0036626E">
        <w:fldChar w:fldCharType="separate"/>
      </w:r>
      <w:r w:rsidR="008F3D62" w:rsidRPr="00FB0D08">
        <w:rPr>
          <w:rFonts w:ascii="Arial" w:hAnsi="Arial" w:cs="Arial"/>
        </w:rPr>
        <w:t xml:space="preserve">Figure </w:t>
      </w:r>
      <w:r w:rsidR="008F3D62">
        <w:rPr>
          <w:rFonts w:ascii="Arial" w:hAnsi="Arial" w:cs="Arial"/>
          <w:noProof/>
        </w:rPr>
        <w:t>10</w:t>
      </w:r>
      <w:r w:rsidRPr="0036626E">
        <w:fldChar w:fldCharType="end"/>
      </w:r>
      <w:r w:rsidRPr="0036626E">
        <w:t>). These areas were used because the size composition of the landings differed between these areas (</w:t>
      </w:r>
      <w:r w:rsidRPr="0036626E">
        <w:fldChar w:fldCharType="begin"/>
      </w:r>
      <w:r w:rsidRPr="0036626E">
        <w:instrText xml:space="preserve"> REF _Ref453154031 \h </w:instrText>
      </w:r>
      <w:r w:rsidRPr="0036626E">
        <w:fldChar w:fldCharType="separate"/>
      </w:r>
      <w:r w:rsidR="008F3D62" w:rsidRPr="00FB0D08">
        <w:rPr>
          <w:rFonts w:ascii="Arial" w:hAnsi="Arial" w:cs="Arial"/>
        </w:rPr>
        <w:t xml:space="preserve">Figure </w:t>
      </w:r>
      <w:r w:rsidR="008F3D62">
        <w:rPr>
          <w:rFonts w:ascii="Arial" w:hAnsi="Arial" w:cs="Arial"/>
          <w:noProof/>
        </w:rPr>
        <w:t>9</w:t>
      </w:r>
      <w:r w:rsidRPr="0036626E">
        <w:fldChar w:fldCharType="end"/>
      </w:r>
      <w:r w:rsidRPr="0036626E">
        <w:t>). In contrast, MRIP generates length frequencies for each intercepted trip, which can then be expanded to the entire landings. Therefore, the number of fish below a given minimum size limit can be directly determined for each intercepted MRIP trip, rather than applying a general length frequency distribution as is typically done.</w:t>
      </w:r>
    </w:p>
    <w:p w14:paraId="1886282D" w14:textId="77777777" w:rsidR="00FA742D" w:rsidRPr="0036626E" w:rsidRDefault="00FA742D" w:rsidP="00FA742D"/>
    <w:p w14:paraId="6DBFF493" w14:textId="77777777" w:rsidR="00FA742D" w:rsidRPr="00FB0D08" w:rsidRDefault="00FA742D" w:rsidP="00FA742D">
      <w:pPr>
        <w:pStyle w:val="Caption"/>
        <w:keepNext/>
        <w:rPr>
          <w:rFonts w:ascii="Arial" w:hAnsi="Arial" w:cs="Arial"/>
          <w:b w:val="0"/>
        </w:rPr>
      </w:pPr>
      <w:bookmarkStart w:id="436" w:name="_Ref456018986"/>
      <w:r w:rsidRPr="00FB0D08">
        <w:rPr>
          <w:rFonts w:ascii="Arial" w:hAnsi="Arial" w:cs="Arial"/>
        </w:rPr>
        <w:t xml:space="preserve">Table </w:t>
      </w:r>
      <w:r w:rsidR="002342FE" w:rsidRPr="00FB0D08">
        <w:rPr>
          <w:rFonts w:ascii="Arial" w:hAnsi="Arial" w:cs="Arial"/>
        </w:rPr>
        <w:fldChar w:fldCharType="begin"/>
      </w:r>
      <w:r w:rsidR="002342FE" w:rsidRPr="00FB0D08">
        <w:rPr>
          <w:rFonts w:ascii="Arial" w:hAnsi="Arial" w:cs="Arial"/>
        </w:rPr>
        <w:instrText xml:space="preserve"> SEQ Table \* ARABIC </w:instrText>
      </w:r>
      <w:r w:rsidR="002342FE" w:rsidRPr="00FB0D08">
        <w:rPr>
          <w:rFonts w:ascii="Arial" w:hAnsi="Arial" w:cs="Arial"/>
        </w:rPr>
        <w:fldChar w:fldCharType="separate"/>
      </w:r>
      <w:r w:rsidR="008F3D62">
        <w:rPr>
          <w:rFonts w:ascii="Arial" w:hAnsi="Arial" w:cs="Arial"/>
          <w:noProof/>
        </w:rPr>
        <w:t>1</w:t>
      </w:r>
      <w:r w:rsidR="002342FE" w:rsidRPr="00FB0D08">
        <w:rPr>
          <w:rFonts w:ascii="Arial" w:hAnsi="Arial" w:cs="Arial"/>
          <w:noProof/>
        </w:rPr>
        <w:fldChar w:fldCharType="end"/>
      </w:r>
      <w:bookmarkEnd w:id="436"/>
      <w:r w:rsidRPr="00FB0D08">
        <w:rPr>
          <w:rFonts w:ascii="Arial" w:hAnsi="Arial" w:cs="Arial"/>
        </w:rPr>
        <w:t xml:space="preserve">. </w:t>
      </w:r>
      <w:r w:rsidRPr="00FB0D08">
        <w:rPr>
          <w:rFonts w:ascii="Arial" w:hAnsi="Arial" w:cs="Arial"/>
          <w:b w:val="0"/>
        </w:rPr>
        <w:t>Mutton Snapper minimum size limit alternatives being considered in Snapper Grouper Amendment 41. TL refers to total length, Alt.1 (No Action) is what is currently in place.</w:t>
      </w:r>
    </w:p>
    <w:tbl>
      <w:tblPr>
        <w:tblStyle w:val="TableGrid"/>
        <w:tblW w:w="0" w:type="auto"/>
        <w:tblLook w:val="04A0" w:firstRow="1" w:lastRow="0" w:firstColumn="1" w:lastColumn="0" w:noHBand="0" w:noVBand="1"/>
      </w:tblPr>
      <w:tblGrid>
        <w:gridCol w:w="2268"/>
        <w:gridCol w:w="1620"/>
      </w:tblGrid>
      <w:tr w:rsidR="00FA742D" w:rsidRPr="0036626E" w14:paraId="5C25069A" w14:textId="77777777" w:rsidTr="00BB2F80">
        <w:tc>
          <w:tcPr>
            <w:tcW w:w="2268" w:type="dxa"/>
            <w:shd w:val="clear" w:color="auto" w:fill="D9D9D9" w:themeFill="background1" w:themeFillShade="D9"/>
            <w:vAlign w:val="center"/>
          </w:tcPr>
          <w:p w14:paraId="7816AE60" w14:textId="77777777" w:rsidR="00FA742D" w:rsidRPr="0036626E" w:rsidRDefault="00FA742D" w:rsidP="00BB2F80">
            <w:pPr>
              <w:jc w:val="center"/>
              <w:rPr>
                <w:b/>
                <w:sz w:val="22"/>
                <w:szCs w:val="22"/>
              </w:rPr>
            </w:pPr>
            <w:r w:rsidRPr="0036626E">
              <w:rPr>
                <w:b/>
                <w:sz w:val="22"/>
                <w:szCs w:val="22"/>
              </w:rPr>
              <w:t>Alternative</w:t>
            </w:r>
          </w:p>
        </w:tc>
        <w:tc>
          <w:tcPr>
            <w:tcW w:w="1620" w:type="dxa"/>
            <w:shd w:val="clear" w:color="auto" w:fill="D9D9D9" w:themeFill="background1" w:themeFillShade="D9"/>
            <w:vAlign w:val="center"/>
          </w:tcPr>
          <w:p w14:paraId="192C8633" w14:textId="77777777" w:rsidR="00FA742D" w:rsidRPr="0036626E" w:rsidRDefault="00FA742D" w:rsidP="00BB2F80">
            <w:pPr>
              <w:jc w:val="center"/>
              <w:rPr>
                <w:b/>
                <w:sz w:val="22"/>
                <w:szCs w:val="22"/>
              </w:rPr>
            </w:pPr>
            <w:r w:rsidRPr="0036626E">
              <w:rPr>
                <w:b/>
                <w:sz w:val="22"/>
                <w:szCs w:val="22"/>
              </w:rPr>
              <w:t>Size Limit</w:t>
            </w:r>
          </w:p>
        </w:tc>
      </w:tr>
      <w:tr w:rsidR="00FA742D" w:rsidRPr="0036626E" w14:paraId="28CCA33E" w14:textId="77777777" w:rsidTr="00BB2F80">
        <w:tc>
          <w:tcPr>
            <w:tcW w:w="2268" w:type="dxa"/>
            <w:vAlign w:val="center"/>
          </w:tcPr>
          <w:p w14:paraId="137B2501" w14:textId="77777777" w:rsidR="00FA742D" w:rsidRPr="0036626E" w:rsidRDefault="00FA742D" w:rsidP="00BB2F80">
            <w:pPr>
              <w:jc w:val="center"/>
              <w:rPr>
                <w:sz w:val="22"/>
                <w:szCs w:val="22"/>
              </w:rPr>
            </w:pPr>
            <w:r w:rsidRPr="0036626E">
              <w:rPr>
                <w:sz w:val="22"/>
                <w:szCs w:val="22"/>
              </w:rPr>
              <w:t>Alt. 1 (No Action)</w:t>
            </w:r>
          </w:p>
        </w:tc>
        <w:tc>
          <w:tcPr>
            <w:tcW w:w="1620" w:type="dxa"/>
            <w:vAlign w:val="center"/>
          </w:tcPr>
          <w:p w14:paraId="76474FC8" w14:textId="77777777" w:rsidR="00FA742D" w:rsidRPr="0036626E" w:rsidRDefault="00FA742D" w:rsidP="00BB2F80">
            <w:pPr>
              <w:jc w:val="center"/>
              <w:rPr>
                <w:sz w:val="22"/>
                <w:szCs w:val="22"/>
              </w:rPr>
            </w:pPr>
            <w:r w:rsidRPr="0036626E">
              <w:rPr>
                <w:sz w:val="22"/>
                <w:szCs w:val="22"/>
              </w:rPr>
              <w:t>16 inches TL</w:t>
            </w:r>
          </w:p>
        </w:tc>
      </w:tr>
      <w:tr w:rsidR="00FA742D" w:rsidRPr="0036626E" w14:paraId="037C6F95" w14:textId="77777777" w:rsidTr="00BB2F80">
        <w:tc>
          <w:tcPr>
            <w:tcW w:w="2268" w:type="dxa"/>
            <w:vAlign w:val="center"/>
          </w:tcPr>
          <w:p w14:paraId="4D9F5777" w14:textId="77777777" w:rsidR="00FA742D" w:rsidRPr="0036626E" w:rsidRDefault="00FA742D" w:rsidP="00BB2F80">
            <w:pPr>
              <w:jc w:val="center"/>
              <w:rPr>
                <w:sz w:val="22"/>
                <w:szCs w:val="22"/>
              </w:rPr>
            </w:pPr>
            <w:r w:rsidRPr="0036626E">
              <w:rPr>
                <w:sz w:val="22"/>
                <w:szCs w:val="22"/>
              </w:rPr>
              <w:t>Alt. 2</w:t>
            </w:r>
          </w:p>
        </w:tc>
        <w:tc>
          <w:tcPr>
            <w:tcW w:w="1620" w:type="dxa"/>
            <w:vAlign w:val="center"/>
          </w:tcPr>
          <w:p w14:paraId="74EB572E" w14:textId="77777777" w:rsidR="00FA742D" w:rsidRPr="0036626E" w:rsidRDefault="00FA742D" w:rsidP="00BB2F80">
            <w:pPr>
              <w:jc w:val="center"/>
              <w:rPr>
                <w:sz w:val="22"/>
                <w:szCs w:val="22"/>
              </w:rPr>
            </w:pPr>
            <w:r w:rsidRPr="0036626E">
              <w:rPr>
                <w:sz w:val="22"/>
                <w:szCs w:val="22"/>
              </w:rPr>
              <w:t>17 inches TL</w:t>
            </w:r>
          </w:p>
        </w:tc>
      </w:tr>
      <w:tr w:rsidR="00FA742D" w:rsidRPr="0036626E" w14:paraId="30B2A8DC" w14:textId="77777777" w:rsidTr="00BB2F80">
        <w:tc>
          <w:tcPr>
            <w:tcW w:w="2268" w:type="dxa"/>
            <w:vAlign w:val="center"/>
          </w:tcPr>
          <w:p w14:paraId="57D161F2" w14:textId="77777777" w:rsidR="00FA742D" w:rsidRPr="0036626E" w:rsidRDefault="00FA742D" w:rsidP="00BB2F80">
            <w:pPr>
              <w:jc w:val="center"/>
              <w:rPr>
                <w:sz w:val="22"/>
                <w:szCs w:val="22"/>
              </w:rPr>
            </w:pPr>
            <w:r w:rsidRPr="0036626E">
              <w:rPr>
                <w:sz w:val="22"/>
                <w:szCs w:val="22"/>
              </w:rPr>
              <w:t>Alt. 3</w:t>
            </w:r>
          </w:p>
        </w:tc>
        <w:tc>
          <w:tcPr>
            <w:tcW w:w="1620" w:type="dxa"/>
            <w:vAlign w:val="center"/>
          </w:tcPr>
          <w:p w14:paraId="16A7714F" w14:textId="77777777" w:rsidR="00FA742D" w:rsidRPr="0036626E" w:rsidRDefault="00FA742D" w:rsidP="00BB2F80">
            <w:pPr>
              <w:jc w:val="center"/>
              <w:rPr>
                <w:sz w:val="22"/>
                <w:szCs w:val="22"/>
              </w:rPr>
            </w:pPr>
            <w:r w:rsidRPr="0036626E">
              <w:rPr>
                <w:sz w:val="22"/>
                <w:szCs w:val="22"/>
              </w:rPr>
              <w:t>18 inches TL</w:t>
            </w:r>
          </w:p>
        </w:tc>
      </w:tr>
      <w:tr w:rsidR="00FA742D" w:rsidRPr="0036626E" w14:paraId="10364756" w14:textId="77777777" w:rsidTr="00BB2F80">
        <w:tc>
          <w:tcPr>
            <w:tcW w:w="2268" w:type="dxa"/>
            <w:vAlign w:val="center"/>
          </w:tcPr>
          <w:p w14:paraId="5104CC7F" w14:textId="77777777" w:rsidR="00FA742D" w:rsidRPr="0036626E" w:rsidRDefault="00FA742D" w:rsidP="00BB2F80">
            <w:pPr>
              <w:jc w:val="center"/>
              <w:rPr>
                <w:sz w:val="22"/>
                <w:szCs w:val="22"/>
              </w:rPr>
            </w:pPr>
            <w:r w:rsidRPr="0036626E">
              <w:rPr>
                <w:sz w:val="22"/>
                <w:szCs w:val="22"/>
              </w:rPr>
              <w:t>Alt. 4</w:t>
            </w:r>
          </w:p>
        </w:tc>
        <w:tc>
          <w:tcPr>
            <w:tcW w:w="1620" w:type="dxa"/>
            <w:vAlign w:val="center"/>
          </w:tcPr>
          <w:p w14:paraId="40261667" w14:textId="77777777" w:rsidR="00FA742D" w:rsidRPr="0036626E" w:rsidRDefault="00FA742D" w:rsidP="00BB2F80">
            <w:pPr>
              <w:jc w:val="center"/>
              <w:rPr>
                <w:sz w:val="22"/>
                <w:szCs w:val="22"/>
              </w:rPr>
            </w:pPr>
            <w:r w:rsidRPr="0036626E">
              <w:rPr>
                <w:sz w:val="22"/>
                <w:szCs w:val="22"/>
              </w:rPr>
              <w:t>19 inches TL</w:t>
            </w:r>
          </w:p>
        </w:tc>
      </w:tr>
      <w:tr w:rsidR="00FA742D" w:rsidRPr="0036626E" w14:paraId="659A8017" w14:textId="77777777" w:rsidTr="00BB2F80">
        <w:tc>
          <w:tcPr>
            <w:tcW w:w="2268" w:type="dxa"/>
            <w:vAlign w:val="center"/>
          </w:tcPr>
          <w:p w14:paraId="0D5B6086" w14:textId="77777777" w:rsidR="00FA742D" w:rsidRPr="0036626E" w:rsidRDefault="00FA742D" w:rsidP="00BB2F80">
            <w:pPr>
              <w:jc w:val="center"/>
              <w:rPr>
                <w:sz w:val="22"/>
                <w:szCs w:val="22"/>
              </w:rPr>
            </w:pPr>
            <w:r w:rsidRPr="0036626E">
              <w:rPr>
                <w:sz w:val="22"/>
                <w:szCs w:val="22"/>
              </w:rPr>
              <w:t>Alt. 5</w:t>
            </w:r>
          </w:p>
        </w:tc>
        <w:tc>
          <w:tcPr>
            <w:tcW w:w="1620" w:type="dxa"/>
            <w:vAlign w:val="center"/>
          </w:tcPr>
          <w:p w14:paraId="0592A397" w14:textId="77777777" w:rsidR="00FA742D" w:rsidRPr="0036626E" w:rsidRDefault="00FA742D" w:rsidP="00BB2F80">
            <w:pPr>
              <w:jc w:val="center"/>
              <w:rPr>
                <w:sz w:val="22"/>
                <w:szCs w:val="22"/>
              </w:rPr>
            </w:pPr>
            <w:r w:rsidRPr="0036626E">
              <w:rPr>
                <w:sz w:val="22"/>
                <w:szCs w:val="22"/>
              </w:rPr>
              <w:t>20 inches TL</w:t>
            </w:r>
          </w:p>
        </w:tc>
      </w:tr>
    </w:tbl>
    <w:p w14:paraId="7330E0F2" w14:textId="77777777" w:rsidR="00FA742D" w:rsidRPr="0036626E" w:rsidRDefault="00FA742D" w:rsidP="00FA742D">
      <w:pPr>
        <w:ind w:left="720"/>
      </w:pPr>
    </w:p>
    <w:p w14:paraId="3532A803" w14:textId="77777777" w:rsidR="00FA742D" w:rsidRPr="0036626E" w:rsidRDefault="00FA742D" w:rsidP="00FA742D">
      <w:pPr>
        <w:keepNext/>
        <w:jc w:val="both"/>
      </w:pPr>
      <w:r w:rsidRPr="0036626E">
        <w:rPr>
          <w:noProof/>
        </w:rPr>
        <w:drawing>
          <wp:inline distT="0" distB="0" distL="0" distR="0" wp14:anchorId="4C93C6B9" wp14:editId="5C3B92BA">
            <wp:extent cx="4214133" cy="3694471"/>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14246" cy="3694570"/>
                    </a:xfrm>
                    <a:prstGeom prst="rect">
                      <a:avLst/>
                    </a:prstGeom>
                    <a:noFill/>
                    <a:ln>
                      <a:noFill/>
                    </a:ln>
                  </pic:spPr>
                </pic:pic>
              </a:graphicData>
            </a:graphic>
          </wp:inline>
        </w:drawing>
      </w:r>
    </w:p>
    <w:p w14:paraId="73645DEB" w14:textId="77777777" w:rsidR="00FA742D" w:rsidRPr="00FB0D08" w:rsidRDefault="00FA742D" w:rsidP="00FA742D">
      <w:pPr>
        <w:pStyle w:val="Caption"/>
        <w:ind w:left="360"/>
        <w:rPr>
          <w:rFonts w:ascii="Arial" w:hAnsi="Arial" w:cs="Arial"/>
          <w:b w:val="0"/>
        </w:rPr>
      </w:pPr>
      <w:r w:rsidRPr="00FB0D08">
        <w:rPr>
          <w:rFonts w:ascii="Arial" w:hAnsi="Arial" w:cs="Arial"/>
        </w:rPr>
        <w:t xml:space="preserve">Figure </w:t>
      </w:r>
      <w:r w:rsidR="002342FE" w:rsidRPr="00FB0D08">
        <w:rPr>
          <w:rFonts w:ascii="Arial" w:hAnsi="Arial" w:cs="Arial"/>
        </w:rPr>
        <w:fldChar w:fldCharType="begin"/>
      </w:r>
      <w:r w:rsidR="002342FE" w:rsidRPr="00FB0D08">
        <w:rPr>
          <w:rFonts w:ascii="Arial" w:hAnsi="Arial" w:cs="Arial"/>
        </w:rPr>
        <w:instrText xml:space="preserve"> SEQ Figure \* ARABIC </w:instrText>
      </w:r>
      <w:r w:rsidR="002342FE" w:rsidRPr="00FB0D08">
        <w:rPr>
          <w:rFonts w:ascii="Arial" w:hAnsi="Arial" w:cs="Arial"/>
        </w:rPr>
        <w:fldChar w:fldCharType="separate"/>
      </w:r>
      <w:r w:rsidR="008F3D62">
        <w:rPr>
          <w:rFonts w:ascii="Arial" w:hAnsi="Arial" w:cs="Arial"/>
          <w:noProof/>
        </w:rPr>
        <w:t>7</w:t>
      </w:r>
      <w:r w:rsidR="002342FE" w:rsidRPr="00FB0D08">
        <w:rPr>
          <w:rFonts w:ascii="Arial" w:hAnsi="Arial" w:cs="Arial"/>
          <w:noProof/>
        </w:rPr>
        <w:fldChar w:fldCharType="end"/>
      </w:r>
      <w:r w:rsidRPr="00FB0D08">
        <w:rPr>
          <w:rFonts w:ascii="Arial" w:hAnsi="Arial" w:cs="Arial"/>
        </w:rPr>
        <w:t xml:space="preserve">. </w:t>
      </w:r>
      <w:r w:rsidRPr="00FB0D08">
        <w:rPr>
          <w:rFonts w:ascii="Arial" w:hAnsi="Arial" w:cs="Arial"/>
          <w:b w:val="0"/>
        </w:rPr>
        <w:t>South Atlantic Headboat fishing areas.</w:t>
      </w:r>
    </w:p>
    <w:p w14:paraId="6C73F09C" w14:textId="77777777" w:rsidR="00FA742D" w:rsidRPr="0036626E" w:rsidRDefault="00FA742D" w:rsidP="00FA742D">
      <w:pPr>
        <w:keepNext/>
        <w:jc w:val="center"/>
      </w:pPr>
    </w:p>
    <w:p w14:paraId="36E294C5" w14:textId="77777777" w:rsidR="00FA742D" w:rsidRPr="0036626E" w:rsidRDefault="00FA742D" w:rsidP="00FA742D">
      <w:pPr>
        <w:keepNext/>
        <w:jc w:val="center"/>
      </w:pPr>
    </w:p>
    <w:p w14:paraId="2D722C66" w14:textId="77777777" w:rsidR="00FA742D" w:rsidRPr="0036626E" w:rsidRDefault="00FA742D" w:rsidP="00FA742D">
      <w:pPr>
        <w:keepNext/>
        <w:jc w:val="center"/>
      </w:pPr>
      <w:r w:rsidRPr="0036626E">
        <w:rPr>
          <w:noProof/>
        </w:rPr>
        <w:drawing>
          <wp:inline distT="0" distB="0" distL="0" distR="0" wp14:anchorId="7478DC82" wp14:editId="5BB0597E">
            <wp:extent cx="5673969" cy="4696598"/>
            <wp:effectExtent l="19050" t="19050" r="22225" b="279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80805" cy="4702256"/>
                    </a:xfrm>
                    <a:prstGeom prst="rect">
                      <a:avLst/>
                    </a:prstGeom>
                    <a:noFill/>
                    <a:ln>
                      <a:solidFill>
                        <a:schemeClr val="tx1"/>
                      </a:solidFill>
                    </a:ln>
                  </pic:spPr>
                </pic:pic>
              </a:graphicData>
            </a:graphic>
          </wp:inline>
        </w:drawing>
      </w:r>
    </w:p>
    <w:p w14:paraId="101E0EF0" w14:textId="77777777" w:rsidR="00FA742D" w:rsidRPr="00FB0D08" w:rsidRDefault="00FA742D" w:rsidP="00FA742D">
      <w:pPr>
        <w:pStyle w:val="Caption"/>
        <w:ind w:left="270"/>
        <w:rPr>
          <w:rFonts w:ascii="Arial" w:hAnsi="Arial" w:cs="Arial"/>
          <w:b w:val="0"/>
        </w:rPr>
      </w:pPr>
      <w:bookmarkStart w:id="437" w:name="_Ref453154028"/>
      <w:r w:rsidRPr="00FB0D08">
        <w:rPr>
          <w:rFonts w:ascii="Arial" w:hAnsi="Arial" w:cs="Arial"/>
        </w:rPr>
        <w:t xml:space="preserve">Figure </w:t>
      </w:r>
      <w:r w:rsidR="002342FE" w:rsidRPr="00FB0D08">
        <w:rPr>
          <w:rFonts w:ascii="Arial" w:hAnsi="Arial" w:cs="Arial"/>
        </w:rPr>
        <w:fldChar w:fldCharType="begin"/>
      </w:r>
      <w:r w:rsidR="002342FE" w:rsidRPr="00FB0D08">
        <w:rPr>
          <w:rFonts w:ascii="Arial" w:hAnsi="Arial" w:cs="Arial"/>
        </w:rPr>
        <w:instrText xml:space="preserve"> SEQ Figure \* ARABIC </w:instrText>
      </w:r>
      <w:r w:rsidR="002342FE" w:rsidRPr="00FB0D08">
        <w:rPr>
          <w:rFonts w:ascii="Arial" w:hAnsi="Arial" w:cs="Arial"/>
        </w:rPr>
        <w:fldChar w:fldCharType="separate"/>
      </w:r>
      <w:r w:rsidR="008F3D62">
        <w:rPr>
          <w:rFonts w:ascii="Arial" w:hAnsi="Arial" w:cs="Arial"/>
          <w:noProof/>
        </w:rPr>
        <w:t>8</w:t>
      </w:r>
      <w:r w:rsidR="002342FE" w:rsidRPr="00FB0D08">
        <w:rPr>
          <w:rFonts w:ascii="Arial" w:hAnsi="Arial" w:cs="Arial"/>
          <w:noProof/>
        </w:rPr>
        <w:fldChar w:fldCharType="end"/>
      </w:r>
      <w:bookmarkEnd w:id="437"/>
      <w:r w:rsidRPr="00FB0D08">
        <w:rPr>
          <w:rFonts w:ascii="Arial" w:hAnsi="Arial" w:cs="Arial"/>
        </w:rPr>
        <w:t xml:space="preserve">. </w:t>
      </w:r>
      <w:r w:rsidRPr="00FB0D08">
        <w:rPr>
          <w:rFonts w:ascii="Arial" w:hAnsi="Arial" w:cs="Arial"/>
          <w:b w:val="0"/>
        </w:rPr>
        <w:t>Size composition of the Headboat landings by year.</w:t>
      </w:r>
    </w:p>
    <w:p w14:paraId="6C2FC468" w14:textId="77777777" w:rsidR="00FA742D" w:rsidRPr="0036626E" w:rsidRDefault="00FA742D" w:rsidP="00FA742D"/>
    <w:p w14:paraId="7F8EC4F6" w14:textId="77777777" w:rsidR="00FA742D" w:rsidRPr="0036626E" w:rsidRDefault="00FA742D" w:rsidP="00FA742D">
      <w:pPr>
        <w:keepNext/>
        <w:jc w:val="center"/>
      </w:pPr>
    </w:p>
    <w:p w14:paraId="232702E3" w14:textId="77777777" w:rsidR="00FA742D" w:rsidRPr="0036626E" w:rsidRDefault="00FA742D" w:rsidP="00FA742D">
      <w:pPr>
        <w:keepNext/>
        <w:jc w:val="center"/>
      </w:pPr>
      <w:r w:rsidRPr="0036626E">
        <w:rPr>
          <w:noProof/>
        </w:rPr>
        <w:drawing>
          <wp:inline distT="0" distB="0" distL="0" distR="0" wp14:anchorId="176610C4" wp14:editId="419DE873">
            <wp:extent cx="5876511" cy="3350588"/>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875366" cy="3349935"/>
                    </a:xfrm>
                    <a:prstGeom prst="rect">
                      <a:avLst/>
                    </a:prstGeom>
                    <a:noFill/>
                  </pic:spPr>
                </pic:pic>
              </a:graphicData>
            </a:graphic>
          </wp:inline>
        </w:drawing>
      </w:r>
    </w:p>
    <w:p w14:paraId="2AA67923" w14:textId="77777777" w:rsidR="00FA742D" w:rsidRPr="00FB0D08" w:rsidRDefault="00FA742D" w:rsidP="00FA742D">
      <w:pPr>
        <w:pStyle w:val="Caption"/>
        <w:rPr>
          <w:rFonts w:ascii="Arial" w:hAnsi="Arial" w:cs="Arial"/>
        </w:rPr>
      </w:pPr>
      <w:bookmarkStart w:id="438" w:name="_Ref453154031"/>
      <w:r w:rsidRPr="00FB0D08">
        <w:rPr>
          <w:rFonts w:ascii="Arial" w:hAnsi="Arial" w:cs="Arial"/>
        </w:rPr>
        <w:t xml:space="preserve">Figure </w:t>
      </w:r>
      <w:r w:rsidR="002342FE" w:rsidRPr="00FB0D08">
        <w:rPr>
          <w:rFonts w:ascii="Arial" w:hAnsi="Arial" w:cs="Arial"/>
        </w:rPr>
        <w:fldChar w:fldCharType="begin"/>
      </w:r>
      <w:r w:rsidR="002342FE" w:rsidRPr="00FB0D08">
        <w:rPr>
          <w:rFonts w:ascii="Arial" w:hAnsi="Arial" w:cs="Arial"/>
        </w:rPr>
        <w:instrText xml:space="preserve"> SEQ Figure \* ARABIC </w:instrText>
      </w:r>
      <w:r w:rsidR="002342FE" w:rsidRPr="00FB0D08">
        <w:rPr>
          <w:rFonts w:ascii="Arial" w:hAnsi="Arial" w:cs="Arial"/>
        </w:rPr>
        <w:fldChar w:fldCharType="separate"/>
      </w:r>
      <w:r w:rsidR="008F3D62">
        <w:rPr>
          <w:rFonts w:ascii="Arial" w:hAnsi="Arial" w:cs="Arial"/>
          <w:noProof/>
        </w:rPr>
        <w:t>9</w:t>
      </w:r>
      <w:r w:rsidR="002342FE" w:rsidRPr="00FB0D08">
        <w:rPr>
          <w:rFonts w:ascii="Arial" w:hAnsi="Arial" w:cs="Arial"/>
          <w:noProof/>
        </w:rPr>
        <w:fldChar w:fldCharType="end"/>
      </w:r>
      <w:bookmarkEnd w:id="438"/>
      <w:r w:rsidRPr="00FB0D08">
        <w:rPr>
          <w:rFonts w:ascii="Arial" w:hAnsi="Arial" w:cs="Arial"/>
        </w:rPr>
        <w:t xml:space="preserve">. </w:t>
      </w:r>
      <w:r w:rsidRPr="00FB0D08">
        <w:rPr>
          <w:rFonts w:ascii="Arial" w:hAnsi="Arial" w:cs="Arial"/>
          <w:b w:val="0"/>
        </w:rPr>
        <w:t>Size composition of the Headboat landings by area fished.</w:t>
      </w:r>
    </w:p>
    <w:p w14:paraId="4F81EFCF" w14:textId="77777777" w:rsidR="00FA742D" w:rsidRPr="0036626E" w:rsidRDefault="00FA742D" w:rsidP="00FA742D"/>
    <w:p w14:paraId="46D9A59A" w14:textId="77777777" w:rsidR="00FA742D" w:rsidRPr="0036626E" w:rsidRDefault="00FA742D" w:rsidP="00FA742D">
      <w:pPr>
        <w:keepNext/>
        <w:jc w:val="center"/>
      </w:pPr>
      <w:r w:rsidRPr="0036626E">
        <w:rPr>
          <w:noProof/>
        </w:rPr>
        <w:drawing>
          <wp:inline distT="0" distB="0" distL="0" distR="0" wp14:anchorId="61EB54EC" wp14:editId="1C25D713">
            <wp:extent cx="6045200" cy="3527971"/>
            <wp:effectExtent l="19050" t="19050" r="12700" b="158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051822" cy="3531835"/>
                    </a:xfrm>
                    <a:prstGeom prst="rect">
                      <a:avLst/>
                    </a:prstGeom>
                    <a:noFill/>
                    <a:ln>
                      <a:solidFill>
                        <a:schemeClr val="tx1"/>
                      </a:solidFill>
                    </a:ln>
                  </pic:spPr>
                </pic:pic>
              </a:graphicData>
            </a:graphic>
          </wp:inline>
        </w:drawing>
      </w:r>
    </w:p>
    <w:p w14:paraId="26B2D0C6" w14:textId="77777777" w:rsidR="00FA742D" w:rsidRPr="00FB0D08" w:rsidRDefault="00FA742D" w:rsidP="00FA742D">
      <w:pPr>
        <w:pStyle w:val="Caption"/>
        <w:rPr>
          <w:rFonts w:ascii="Arial" w:hAnsi="Arial" w:cs="Arial"/>
        </w:rPr>
      </w:pPr>
      <w:bookmarkStart w:id="439" w:name="_Ref453676248"/>
      <w:r w:rsidRPr="00FB0D08">
        <w:rPr>
          <w:rFonts w:ascii="Arial" w:hAnsi="Arial" w:cs="Arial"/>
        </w:rPr>
        <w:t xml:space="preserve">Figure </w:t>
      </w:r>
      <w:r w:rsidR="002342FE" w:rsidRPr="00FB0D08">
        <w:rPr>
          <w:rFonts w:ascii="Arial" w:hAnsi="Arial" w:cs="Arial"/>
        </w:rPr>
        <w:fldChar w:fldCharType="begin"/>
      </w:r>
      <w:r w:rsidR="002342FE" w:rsidRPr="00FB0D08">
        <w:rPr>
          <w:rFonts w:ascii="Arial" w:hAnsi="Arial" w:cs="Arial"/>
        </w:rPr>
        <w:instrText xml:space="preserve"> SEQ Figure \* ARABIC </w:instrText>
      </w:r>
      <w:r w:rsidR="002342FE" w:rsidRPr="00FB0D08">
        <w:rPr>
          <w:rFonts w:ascii="Arial" w:hAnsi="Arial" w:cs="Arial"/>
        </w:rPr>
        <w:fldChar w:fldCharType="separate"/>
      </w:r>
      <w:r w:rsidR="008F3D62">
        <w:rPr>
          <w:rFonts w:ascii="Arial" w:hAnsi="Arial" w:cs="Arial"/>
          <w:noProof/>
        </w:rPr>
        <w:t>10</w:t>
      </w:r>
      <w:r w:rsidR="002342FE" w:rsidRPr="00FB0D08">
        <w:rPr>
          <w:rFonts w:ascii="Arial" w:hAnsi="Arial" w:cs="Arial"/>
          <w:noProof/>
        </w:rPr>
        <w:fldChar w:fldCharType="end"/>
      </w:r>
      <w:bookmarkEnd w:id="439"/>
      <w:r w:rsidRPr="00FB0D08">
        <w:rPr>
          <w:rFonts w:ascii="Arial" w:hAnsi="Arial" w:cs="Arial"/>
        </w:rPr>
        <w:t xml:space="preserve">. </w:t>
      </w:r>
      <w:r w:rsidRPr="00FB0D08">
        <w:rPr>
          <w:rFonts w:ascii="Arial" w:hAnsi="Arial" w:cs="Arial"/>
          <w:b w:val="0"/>
        </w:rPr>
        <w:t>Headboat size composition by year within fishing areas.</w:t>
      </w:r>
    </w:p>
    <w:p w14:paraId="35000EE0" w14:textId="77777777" w:rsidR="00FA742D" w:rsidRPr="0036626E" w:rsidRDefault="00FA742D" w:rsidP="00FA742D"/>
    <w:p w14:paraId="5E478422" w14:textId="77777777" w:rsidR="00FA742D" w:rsidRDefault="00FA742D" w:rsidP="00FA742D"/>
    <w:p w14:paraId="78A5079B" w14:textId="77777777" w:rsidR="00FA742D" w:rsidRPr="00E1306D" w:rsidRDefault="00FA742D" w:rsidP="00FA742D">
      <w:pPr>
        <w:rPr>
          <w:b/>
        </w:rPr>
      </w:pPr>
      <w:r w:rsidRPr="00E1306D">
        <w:rPr>
          <w:b/>
        </w:rPr>
        <w:lastRenderedPageBreak/>
        <w:t>SIZE LIMIT RESULTS</w:t>
      </w:r>
    </w:p>
    <w:p w14:paraId="6E21BDCA" w14:textId="4BDFDB02" w:rsidR="00FA742D" w:rsidRPr="0036626E" w:rsidRDefault="00FA742D" w:rsidP="00FA742D">
      <w:r w:rsidRPr="0036626E">
        <w:t>Below are the estimated recreational landings of Mutton Snapper under each of the proposed size limit alternatives in Amendment 41 (</w:t>
      </w:r>
      <w:r w:rsidRPr="0036626E">
        <w:fldChar w:fldCharType="begin"/>
      </w:r>
      <w:r w:rsidRPr="0036626E">
        <w:instrText xml:space="preserve"> REF _Ref453678086 \h </w:instrText>
      </w:r>
      <w:r w:rsidRPr="0036626E">
        <w:fldChar w:fldCharType="separate"/>
      </w:r>
      <w:r w:rsidR="008F3D62" w:rsidRPr="00FB0D08">
        <w:rPr>
          <w:rFonts w:ascii="Arial" w:hAnsi="Arial" w:cs="Arial"/>
        </w:rPr>
        <w:t xml:space="preserve">Table </w:t>
      </w:r>
      <w:r w:rsidR="008F3D62">
        <w:rPr>
          <w:rFonts w:ascii="Arial" w:hAnsi="Arial" w:cs="Arial"/>
          <w:noProof/>
        </w:rPr>
        <w:t>2</w:t>
      </w:r>
      <w:r w:rsidRPr="0036626E">
        <w:fldChar w:fldCharType="end"/>
      </w:r>
      <w:r w:rsidRPr="0036626E">
        <w:t>). The analysis of the size limit alternatives shows that any increase in the size</w:t>
      </w:r>
      <w:r w:rsidR="003B41F5">
        <w:t xml:space="preserve"> limit will cause at least a 5</w:t>
      </w:r>
      <w:r w:rsidRPr="0036626E">
        <w:t>5% reduction in estimated landings in 2017, even if no other management measures are taken. This estimate assumes that fisher behavior will not change after these new management measures take effect. For example, number of trips will not increase and trip length will not increase.</w:t>
      </w:r>
    </w:p>
    <w:p w14:paraId="1F7AF196" w14:textId="77777777" w:rsidR="00FA742D" w:rsidRPr="0036626E" w:rsidRDefault="00FA742D" w:rsidP="00FA742D"/>
    <w:p w14:paraId="4A92BD11" w14:textId="77777777" w:rsidR="00FA742D" w:rsidRPr="00FB0D08" w:rsidRDefault="00FA742D" w:rsidP="00FA742D">
      <w:pPr>
        <w:pStyle w:val="Caption"/>
        <w:keepNext/>
        <w:rPr>
          <w:rFonts w:ascii="Arial" w:hAnsi="Arial" w:cs="Arial"/>
          <w:b w:val="0"/>
        </w:rPr>
      </w:pPr>
      <w:bookmarkStart w:id="440" w:name="_Ref453678086"/>
      <w:r w:rsidRPr="00FB0D08">
        <w:rPr>
          <w:rFonts w:ascii="Arial" w:hAnsi="Arial" w:cs="Arial"/>
        </w:rPr>
        <w:t xml:space="preserve">Table </w:t>
      </w:r>
      <w:r w:rsidR="002342FE" w:rsidRPr="00FB0D08">
        <w:rPr>
          <w:rFonts w:ascii="Arial" w:hAnsi="Arial" w:cs="Arial"/>
        </w:rPr>
        <w:fldChar w:fldCharType="begin"/>
      </w:r>
      <w:r w:rsidR="002342FE" w:rsidRPr="00FB0D08">
        <w:rPr>
          <w:rFonts w:ascii="Arial" w:hAnsi="Arial" w:cs="Arial"/>
        </w:rPr>
        <w:instrText xml:space="preserve"> SEQ Table \* ARABIC </w:instrText>
      </w:r>
      <w:r w:rsidR="002342FE" w:rsidRPr="00FB0D08">
        <w:rPr>
          <w:rFonts w:ascii="Arial" w:hAnsi="Arial" w:cs="Arial"/>
        </w:rPr>
        <w:fldChar w:fldCharType="separate"/>
      </w:r>
      <w:r w:rsidR="008F3D62">
        <w:rPr>
          <w:rFonts w:ascii="Arial" w:hAnsi="Arial" w:cs="Arial"/>
          <w:noProof/>
        </w:rPr>
        <w:t>2</w:t>
      </w:r>
      <w:r w:rsidR="002342FE" w:rsidRPr="00FB0D08">
        <w:rPr>
          <w:rFonts w:ascii="Arial" w:hAnsi="Arial" w:cs="Arial"/>
          <w:noProof/>
        </w:rPr>
        <w:fldChar w:fldCharType="end"/>
      </w:r>
      <w:bookmarkEnd w:id="440"/>
      <w:r w:rsidRPr="00FB0D08">
        <w:rPr>
          <w:rFonts w:ascii="Arial" w:hAnsi="Arial" w:cs="Arial"/>
        </w:rPr>
        <w:t xml:space="preserve">. </w:t>
      </w:r>
      <w:r w:rsidRPr="00FB0D08">
        <w:rPr>
          <w:rFonts w:ascii="Arial" w:hAnsi="Arial" w:cs="Arial"/>
          <w:b w:val="0"/>
        </w:rPr>
        <w:t>Estimated recreational Mutton Snapper landings and percent reduction from status quo landings for alternative size limits proposed in Amendment 41. All size limits are in inches total length.</w:t>
      </w:r>
    </w:p>
    <w:tbl>
      <w:tblPr>
        <w:tblW w:w="6045" w:type="dxa"/>
        <w:tblInd w:w="93" w:type="dxa"/>
        <w:tblLook w:val="04A0" w:firstRow="1" w:lastRow="0" w:firstColumn="1" w:lastColumn="0" w:noHBand="0" w:noVBand="1"/>
      </w:tblPr>
      <w:tblGrid>
        <w:gridCol w:w="1376"/>
        <w:gridCol w:w="1384"/>
        <w:gridCol w:w="1665"/>
        <w:gridCol w:w="1620"/>
      </w:tblGrid>
      <w:tr w:rsidR="00FA742D" w:rsidRPr="00E1306D" w14:paraId="0E86E7DF" w14:textId="77777777" w:rsidTr="00BB2F80">
        <w:trPr>
          <w:trHeight w:val="288"/>
        </w:trPr>
        <w:tc>
          <w:tcPr>
            <w:tcW w:w="1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6C0A24" w14:textId="77777777" w:rsidR="00FA742D" w:rsidRPr="00E1306D" w:rsidRDefault="00FA742D" w:rsidP="00BB2F80">
            <w:pPr>
              <w:jc w:val="center"/>
              <w:rPr>
                <w:b/>
                <w:bCs/>
                <w:sz w:val="22"/>
                <w:szCs w:val="22"/>
              </w:rPr>
            </w:pPr>
            <w:r w:rsidRPr="00E1306D">
              <w:rPr>
                <w:b/>
                <w:bCs/>
                <w:sz w:val="22"/>
                <w:szCs w:val="22"/>
              </w:rPr>
              <w:t>Alternative</w:t>
            </w:r>
          </w:p>
        </w:tc>
        <w:tc>
          <w:tcPr>
            <w:tcW w:w="138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DCE0689" w14:textId="77777777" w:rsidR="00FA742D" w:rsidRPr="00E1306D" w:rsidRDefault="00FA742D" w:rsidP="00BB2F80">
            <w:pPr>
              <w:jc w:val="center"/>
              <w:rPr>
                <w:b/>
                <w:bCs/>
                <w:sz w:val="22"/>
                <w:szCs w:val="22"/>
              </w:rPr>
            </w:pPr>
            <w:r w:rsidRPr="00E1306D">
              <w:rPr>
                <w:b/>
                <w:bCs/>
                <w:sz w:val="22"/>
                <w:szCs w:val="22"/>
              </w:rPr>
              <w:t>Size Limit</w:t>
            </w:r>
            <w:r>
              <w:rPr>
                <w:b/>
                <w:bCs/>
                <w:sz w:val="22"/>
                <w:szCs w:val="22"/>
              </w:rPr>
              <w:t xml:space="preserve"> (inches)</w:t>
            </w:r>
          </w:p>
        </w:tc>
        <w:tc>
          <w:tcPr>
            <w:tcW w:w="166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DD6833" w14:textId="77777777" w:rsidR="00FA742D" w:rsidRPr="00E1306D" w:rsidRDefault="00FA742D" w:rsidP="00BB2F80">
            <w:pPr>
              <w:jc w:val="center"/>
              <w:rPr>
                <w:b/>
                <w:bCs/>
                <w:sz w:val="22"/>
                <w:szCs w:val="22"/>
              </w:rPr>
            </w:pPr>
            <w:r w:rsidRPr="00E1306D">
              <w:rPr>
                <w:b/>
                <w:bCs/>
                <w:sz w:val="22"/>
                <w:szCs w:val="22"/>
              </w:rPr>
              <w:t>Est. Landings</w:t>
            </w:r>
            <w:r>
              <w:rPr>
                <w:b/>
                <w:bCs/>
                <w:sz w:val="22"/>
                <w:szCs w:val="22"/>
              </w:rPr>
              <w:t xml:space="preserve"> (numbers of fish)</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FF3295E" w14:textId="77777777" w:rsidR="00FA742D" w:rsidRPr="00E1306D" w:rsidRDefault="00FA742D" w:rsidP="00BB2F80">
            <w:pPr>
              <w:jc w:val="center"/>
              <w:rPr>
                <w:b/>
                <w:bCs/>
                <w:sz w:val="22"/>
                <w:szCs w:val="22"/>
              </w:rPr>
            </w:pPr>
            <w:r w:rsidRPr="00E1306D">
              <w:rPr>
                <w:b/>
                <w:bCs/>
                <w:sz w:val="22"/>
                <w:szCs w:val="22"/>
              </w:rPr>
              <w:t>% Reduction</w:t>
            </w:r>
          </w:p>
        </w:tc>
      </w:tr>
      <w:tr w:rsidR="00FA742D" w:rsidRPr="00E1306D" w14:paraId="1A38CBA7" w14:textId="77777777" w:rsidTr="00BB2F80">
        <w:trPr>
          <w:trHeight w:val="288"/>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687A1EFD" w14:textId="77777777" w:rsidR="00FA742D" w:rsidRPr="00E1306D" w:rsidRDefault="00FA742D" w:rsidP="00BB2F80">
            <w:pPr>
              <w:jc w:val="center"/>
              <w:rPr>
                <w:sz w:val="22"/>
                <w:szCs w:val="22"/>
              </w:rPr>
            </w:pPr>
            <w:r w:rsidRPr="00E1306D">
              <w:rPr>
                <w:sz w:val="22"/>
                <w:szCs w:val="22"/>
              </w:rPr>
              <w:t>Status Quo</w:t>
            </w:r>
          </w:p>
        </w:tc>
        <w:tc>
          <w:tcPr>
            <w:tcW w:w="1384" w:type="dxa"/>
            <w:tcBorders>
              <w:top w:val="nil"/>
              <w:left w:val="nil"/>
              <w:bottom w:val="single" w:sz="4" w:space="0" w:color="auto"/>
              <w:right w:val="single" w:sz="4" w:space="0" w:color="auto"/>
            </w:tcBorders>
            <w:shd w:val="clear" w:color="auto" w:fill="auto"/>
            <w:noWrap/>
            <w:vAlign w:val="bottom"/>
            <w:hideMark/>
          </w:tcPr>
          <w:p w14:paraId="3003CCF7" w14:textId="77777777" w:rsidR="00FA742D" w:rsidRPr="00E1306D" w:rsidRDefault="00FA742D" w:rsidP="00BB2F80">
            <w:pPr>
              <w:jc w:val="center"/>
              <w:rPr>
                <w:sz w:val="22"/>
                <w:szCs w:val="22"/>
              </w:rPr>
            </w:pPr>
            <w:r w:rsidRPr="00E1306D">
              <w:rPr>
                <w:sz w:val="22"/>
                <w:szCs w:val="22"/>
              </w:rPr>
              <w:t>16</w:t>
            </w:r>
          </w:p>
        </w:tc>
        <w:tc>
          <w:tcPr>
            <w:tcW w:w="1665" w:type="dxa"/>
            <w:tcBorders>
              <w:top w:val="nil"/>
              <w:left w:val="nil"/>
              <w:bottom w:val="single" w:sz="4" w:space="0" w:color="auto"/>
              <w:right w:val="single" w:sz="4" w:space="0" w:color="auto"/>
            </w:tcBorders>
            <w:shd w:val="clear" w:color="auto" w:fill="auto"/>
            <w:noWrap/>
            <w:vAlign w:val="bottom"/>
            <w:hideMark/>
          </w:tcPr>
          <w:p w14:paraId="1CDAFFA4" w14:textId="77777777" w:rsidR="00FA742D" w:rsidRPr="00E1306D" w:rsidRDefault="00FA742D" w:rsidP="00BB2F80">
            <w:pPr>
              <w:jc w:val="center"/>
              <w:rPr>
                <w:sz w:val="22"/>
                <w:szCs w:val="22"/>
              </w:rPr>
            </w:pPr>
            <w:r w:rsidRPr="00E1306D">
              <w:rPr>
                <w:sz w:val="22"/>
                <w:szCs w:val="22"/>
              </w:rPr>
              <w:t>111,966</w:t>
            </w:r>
          </w:p>
        </w:tc>
        <w:tc>
          <w:tcPr>
            <w:tcW w:w="1620" w:type="dxa"/>
            <w:tcBorders>
              <w:top w:val="nil"/>
              <w:left w:val="nil"/>
              <w:bottom w:val="single" w:sz="4" w:space="0" w:color="auto"/>
              <w:right w:val="single" w:sz="4" w:space="0" w:color="auto"/>
            </w:tcBorders>
            <w:shd w:val="clear" w:color="auto" w:fill="auto"/>
            <w:noWrap/>
            <w:vAlign w:val="bottom"/>
            <w:hideMark/>
          </w:tcPr>
          <w:p w14:paraId="188DFD3D" w14:textId="77777777" w:rsidR="00FA742D" w:rsidRPr="00E1306D" w:rsidRDefault="00FA742D" w:rsidP="00BB2F80">
            <w:pPr>
              <w:jc w:val="center"/>
              <w:rPr>
                <w:sz w:val="22"/>
                <w:szCs w:val="22"/>
              </w:rPr>
            </w:pPr>
            <w:r w:rsidRPr="00E1306D">
              <w:rPr>
                <w:sz w:val="22"/>
                <w:szCs w:val="22"/>
              </w:rPr>
              <w:t>-</w:t>
            </w:r>
          </w:p>
        </w:tc>
      </w:tr>
      <w:tr w:rsidR="00FA742D" w:rsidRPr="00E1306D" w14:paraId="35E06B4E" w14:textId="77777777" w:rsidTr="00BB2F80">
        <w:trPr>
          <w:trHeight w:val="288"/>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0FE98BE1" w14:textId="77777777" w:rsidR="00FA742D" w:rsidRPr="00E1306D" w:rsidRDefault="00FA742D" w:rsidP="00BB2F80">
            <w:pPr>
              <w:jc w:val="center"/>
              <w:rPr>
                <w:sz w:val="22"/>
                <w:szCs w:val="22"/>
              </w:rPr>
            </w:pPr>
            <w:r w:rsidRPr="00E1306D">
              <w:rPr>
                <w:sz w:val="22"/>
                <w:szCs w:val="22"/>
              </w:rPr>
              <w:t>Alt. 2</w:t>
            </w:r>
          </w:p>
        </w:tc>
        <w:tc>
          <w:tcPr>
            <w:tcW w:w="1384" w:type="dxa"/>
            <w:tcBorders>
              <w:top w:val="nil"/>
              <w:left w:val="nil"/>
              <w:bottom w:val="single" w:sz="4" w:space="0" w:color="auto"/>
              <w:right w:val="single" w:sz="4" w:space="0" w:color="auto"/>
            </w:tcBorders>
            <w:shd w:val="clear" w:color="auto" w:fill="auto"/>
            <w:noWrap/>
            <w:vAlign w:val="bottom"/>
            <w:hideMark/>
          </w:tcPr>
          <w:p w14:paraId="0DA7F1C9" w14:textId="77777777" w:rsidR="00FA742D" w:rsidRPr="00E1306D" w:rsidRDefault="00FA742D" w:rsidP="00BB2F80">
            <w:pPr>
              <w:jc w:val="center"/>
              <w:rPr>
                <w:sz w:val="22"/>
                <w:szCs w:val="22"/>
              </w:rPr>
            </w:pPr>
            <w:r w:rsidRPr="00E1306D">
              <w:rPr>
                <w:sz w:val="22"/>
                <w:szCs w:val="22"/>
              </w:rPr>
              <w:t>17</w:t>
            </w:r>
          </w:p>
        </w:tc>
        <w:tc>
          <w:tcPr>
            <w:tcW w:w="1665" w:type="dxa"/>
            <w:tcBorders>
              <w:top w:val="nil"/>
              <w:left w:val="nil"/>
              <w:bottom w:val="single" w:sz="4" w:space="0" w:color="auto"/>
              <w:right w:val="single" w:sz="4" w:space="0" w:color="auto"/>
            </w:tcBorders>
            <w:shd w:val="clear" w:color="auto" w:fill="auto"/>
            <w:noWrap/>
            <w:vAlign w:val="bottom"/>
            <w:hideMark/>
          </w:tcPr>
          <w:p w14:paraId="7EF36496" w14:textId="77777777" w:rsidR="00FA742D" w:rsidRPr="00E1306D" w:rsidRDefault="00FA742D" w:rsidP="00BB2F80">
            <w:pPr>
              <w:jc w:val="center"/>
              <w:rPr>
                <w:sz w:val="22"/>
                <w:szCs w:val="22"/>
              </w:rPr>
            </w:pPr>
            <w:r w:rsidRPr="00E1306D">
              <w:rPr>
                <w:sz w:val="22"/>
                <w:szCs w:val="22"/>
              </w:rPr>
              <w:t>56,284</w:t>
            </w:r>
          </w:p>
        </w:tc>
        <w:tc>
          <w:tcPr>
            <w:tcW w:w="1620" w:type="dxa"/>
            <w:tcBorders>
              <w:top w:val="nil"/>
              <w:left w:val="nil"/>
              <w:bottom w:val="single" w:sz="4" w:space="0" w:color="auto"/>
              <w:right w:val="single" w:sz="4" w:space="0" w:color="auto"/>
            </w:tcBorders>
            <w:shd w:val="clear" w:color="auto" w:fill="auto"/>
            <w:noWrap/>
            <w:vAlign w:val="bottom"/>
            <w:hideMark/>
          </w:tcPr>
          <w:p w14:paraId="5A66D403" w14:textId="77777777" w:rsidR="00FA742D" w:rsidRPr="00E1306D" w:rsidRDefault="00FA742D" w:rsidP="00BB2F80">
            <w:pPr>
              <w:jc w:val="center"/>
              <w:rPr>
                <w:sz w:val="22"/>
                <w:szCs w:val="22"/>
              </w:rPr>
            </w:pPr>
            <w:r w:rsidRPr="00E1306D">
              <w:rPr>
                <w:sz w:val="22"/>
                <w:szCs w:val="22"/>
              </w:rPr>
              <w:t>49.7%</w:t>
            </w:r>
          </w:p>
        </w:tc>
      </w:tr>
      <w:tr w:rsidR="00FA742D" w:rsidRPr="00E1306D" w14:paraId="641C124C" w14:textId="77777777" w:rsidTr="00BB2F80">
        <w:trPr>
          <w:trHeight w:val="288"/>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7D815E9B" w14:textId="77777777" w:rsidR="00FA742D" w:rsidRPr="00E1306D" w:rsidRDefault="00FA742D" w:rsidP="00BB2F80">
            <w:pPr>
              <w:jc w:val="center"/>
              <w:rPr>
                <w:b/>
                <w:sz w:val="22"/>
                <w:szCs w:val="22"/>
              </w:rPr>
            </w:pPr>
            <w:r w:rsidRPr="00E1306D">
              <w:rPr>
                <w:b/>
                <w:sz w:val="22"/>
                <w:szCs w:val="22"/>
              </w:rPr>
              <w:t>Alt. 3 (Preferred)</w:t>
            </w:r>
          </w:p>
        </w:tc>
        <w:tc>
          <w:tcPr>
            <w:tcW w:w="1384" w:type="dxa"/>
            <w:tcBorders>
              <w:top w:val="nil"/>
              <w:left w:val="nil"/>
              <w:bottom w:val="single" w:sz="4" w:space="0" w:color="auto"/>
              <w:right w:val="single" w:sz="4" w:space="0" w:color="auto"/>
            </w:tcBorders>
            <w:shd w:val="clear" w:color="auto" w:fill="auto"/>
            <w:noWrap/>
            <w:vAlign w:val="bottom"/>
            <w:hideMark/>
          </w:tcPr>
          <w:p w14:paraId="67176741" w14:textId="77777777" w:rsidR="00FA742D" w:rsidRPr="00E1306D" w:rsidRDefault="00FA742D" w:rsidP="00BB2F80">
            <w:pPr>
              <w:jc w:val="center"/>
              <w:rPr>
                <w:b/>
                <w:sz w:val="22"/>
                <w:szCs w:val="22"/>
              </w:rPr>
            </w:pPr>
            <w:r w:rsidRPr="00E1306D">
              <w:rPr>
                <w:b/>
                <w:sz w:val="22"/>
                <w:szCs w:val="22"/>
              </w:rPr>
              <w:t>18</w:t>
            </w:r>
          </w:p>
        </w:tc>
        <w:tc>
          <w:tcPr>
            <w:tcW w:w="1665" w:type="dxa"/>
            <w:tcBorders>
              <w:top w:val="nil"/>
              <w:left w:val="nil"/>
              <w:bottom w:val="single" w:sz="4" w:space="0" w:color="auto"/>
              <w:right w:val="single" w:sz="4" w:space="0" w:color="auto"/>
            </w:tcBorders>
            <w:shd w:val="clear" w:color="auto" w:fill="auto"/>
            <w:noWrap/>
            <w:vAlign w:val="bottom"/>
            <w:hideMark/>
          </w:tcPr>
          <w:p w14:paraId="07E107B3" w14:textId="77777777" w:rsidR="00FA742D" w:rsidRPr="00E1306D" w:rsidRDefault="00FA742D" w:rsidP="00BB2F80">
            <w:pPr>
              <w:jc w:val="center"/>
              <w:rPr>
                <w:b/>
                <w:sz w:val="22"/>
                <w:szCs w:val="22"/>
              </w:rPr>
            </w:pPr>
            <w:r w:rsidRPr="00E1306D">
              <w:rPr>
                <w:b/>
                <w:sz w:val="22"/>
                <w:szCs w:val="22"/>
              </w:rPr>
              <w:t>50,597</w:t>
            </w:r>
          </w:p>
        </w:tc>
        <w:tc>
          <w:tcPr>
            <w:tcW w:w="1620" w:type="dxa"/>
            <w:tcBorders>
              <w:top w:val="nil"/>
              <w:left w:val="nil"/>
              <w:bottom w:val="single" w:sz="4" w:space="0" w:color="auto"/>
              <w:right w:val="single" w:sz="4" w:space="0" w:color="auto"/>
            </w:tcBorders>
            <w:shd w:val="clear" w:color="auto" w:fill="auto"/>
            <w:noWrap/>
            <w:vAlign w:val="bottom"/>
            <w:hideMark/>
          </w:tcPr>
          <w:p w14:paraId="5EF124C2" w14:textId="77777777" w:rsidR="00FA742D" w:rsidRPr="00E1306D" w:rsidRDefault="00FA742D" w:rsidP="00BB2F80">
            <w:pPr>
              <w:jc w:val="center"/>
              <w:rPr>
                <w:b/>
                <w:sz w:val="22"/>
                <w:szCs w:val="22"/>
              </w:rPr>
            </w:pPr>
            <w:r w:rsidRPr="00E1306D">
              <w:rPr>
                <w:b/>
                <w:sz w:val="22"/>
                <w:szCs w:val="22"/>
              </w:rPr>
              <w:t>54.8%</w:t>
            </w:r>
          </w:p>
        </w:tc>
      </w:tr>
      <w:tr w:rsidR="00FA742D" w:rsidRPr="00E1306D" w14:paraId="4370758A" w14:textId="77777777" w:rsidTr="00BB2F80">
        <w:trPr>
          <w:trHeight w:val="288"/>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23F6D610" w14:textId="77777777" w:rsidR="00FA742D" w:rsidRPr="00E1306D" w:rsidRDefault="00FA742D" w:rsidP="00BB2F80">
            <w:pPr>
              <w:jc w:val="center"/>
              <w:rPr>
                <w:sz w:val="22"/>
                <w:szCs w:val="22"/>
              </w:rPr>
            </w:pPr>
            <w:r w:rsidRPr="00E1306D">
              <w:rPr>
                <w:sz w:val="22"/>
                <w:szCs w:val="22"/>
              </w:rPr>
              <w:t>Alt. 4</w:t>
            </w:r>
          </w:p>
        </w:tc>
        <w:tc>
          <w:tcPr>
            <w:tcW w:w="1384" w:type="dxa"/>
            <w:tcBorders>
              <w:top w:val="nil"/>
              <w:left w:val="nil"/>
              <w:bottom w:val="single" w:sz="4" w:space="0" w:color="auto"/>
              <w:right w:val="single" w:sz="4" w:space="0" w:color="auto"/>
            </w:tcBorders>
            <w:shd w:val="clear" w:color="auto" w:fill="auto"/>
            <w:noWrap/>
            <w:vAlign w:val="bottom"/>
            <w:hideMark/>
          </w:tcPr>
          <w:p w14:paraId="4F7EDF3B" w14:textId="77777777" w:rsidR="00FA742D" w:rsidRPr="00E1306D" w:rsidRDefault="00FA742D" w:rsidP="00BB2F80">
            <w:pPr>
              <w:jc w:val="center"/>
              <w:rPr>
                <w:sz w:val="22"/>
                <w:szCs w:val="22"/>
              </w:rPr>
            </w:pPr>
            <w:r w:rsidRPr="00E1306D">
              <w:rPr>
                <w:sz w:val="22"/>
                <w:szCs w:val="22"/>
              </w:rPr>
              <w:t>19</w:t>
            </w:r>
          </w:p>
        </w:tc>
        <w:tc>
          <w:tcPr>
            <w:tcW w:w="1665" w:type="dxa"/>
            <w:tcBorders>
              <w:top w:val="nil"/>
              <w:left w:val="nil"/>
              <w:bottom w:val="single" w:sz="4" w:space="0" w:color="auto"/>
              <w:right w:val="single" w:sz="4" w:space="0" w:color="auto"/>
            </w:tcBorders>
            <w:shd w:val="clear" w:color="auto" w:fill="auto"/>
            <w:noWrap/>
            <w:vAlign w:val="bottom"/>
            <w:hideMark/>
          </w:tcPr>
          <w:p w14:paraId="5146B5D8" w14:textId="77777777" w:rsidR="00FA742D" w:rsidRPr="00E1306D" w:rsidRDefault="00FA742D" w:rsidP="00BB2F80">
            <w:pPr>
              <w:jc w:val="center"/>
              <w:rPr>
                <w:sz w:val="22"/>
                <w:szCs w:val="22"/>
              </w:rPr>
            </w:pPr>
            <w:r w:rsidRPr="00E1306D">
              <w:rPr>
                <w:sz w:val="22"/>
                <w:szCs w:val="22"/>
              </w:rPr>
              <w:t>46,907</w:t>
            </w:r>
          </w:p>
        </w:tc>
        <w:tc>
          <w:tcPr>
            <w:tcW w:w="1620" w:type="dxa"/>
            <w:tcBorders>
              <w:top w:val="nil"/>
              <w:left w:val="nil"/>
              <w:bottom w:val="single" w:sz="4" w:space="0" w:color="auto"/>
              <w:right w:val="single" w:sz="4" w:space="0" w:color="auto"/>
            </w:tcBorders>
            <w:shd w:val="clear" w:color="auto" w:fill="auto"/>
            <w:noWrap/>
            <w:vAlign w:val="bottom"/>
            <w:hideMark/>
          </w:tcPr>
          <w:p w14:paraId="20BB1063" w14:textId="77777777" w:rsidR="00FA742D" w:rsidRPr="00E1306D" w:rsidRDefault="00FA742D" w:rsidP="00BB2F80">
            <w:pPr>
              <w:jc w:val="center"/>
              <w:rPr>
                <w:sz w:val="22"/>
                <w:szCs w:val="22"/>
              </w:rPr>
            </w:pPr>
            <w:r w:rsidRPr="00E1306D">
              <w:rPr>
                <w:sz w:val="22"/>
                <w:szCs w:val="22"/>
              </w:rPr>
              <w:t>58.1%</w:t>
            </w:r>
          </w:p>
        </w:tc>
      </w:tr>
      <w:tr w:rsidR="00FA742D" w:rsidRPr="00E1306D" w14:paraId="57A7C088" w14:textId="77777777" w:rsidTr="00BB2F80">
        <w:trPr>
          <w:trHeight w:val="288"/>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4C5A053A" w14:textId="77777777" w:rsidR="00FA742D" w:rsidRPr="00E1306D" w:rsidRDefault="00FA742D" w:rsidP="00BB2F80">
            <w:pPr>
              <w:jc w:val="center"/>
              <w:rPr>
                <w:sz w:val="22"/>
                <w:szCs w:val="22"/>
              </w:rPr>
            </w:pPr>
            <w:r w:rsidRPr="00E1306D">
              <w:rPr>
                <w:sz w:val="22"/>
                <w:szCs w:val="22"/>
              </w:rPr>
              <w:t>Alt. 5</w:t>
            </w:r>
          </w:p>
        </w:tc>
        <w:tc>
          <w:tcPr>
            <w:tcW w:w="1384" w:type="dxa"/>
            <w:tcBorders>
              <w:top w:val="nil"/>
              <w:left w:val="nil"/>
              <w:bottom w:val="single" w:sz="4" w:space="0" w:color="auto"/>
              <w:right w:val="single" w:sz="4" w:space="0" w:color="auto"/>
            </w:tcBorders>
            <w:shd w:val="clear" w:color="auto" w:fill="auto"/>
            <w:noWrap/>
            <w:vAlign w:val="bottom"/>
            <w:hideMark/>
          </w:tcPr>
          <w:p w14:paraId="34875099" w14:textId="77777777" w:rsidR="00FA742D" w:rsidRPr="00E1306D" w:rsidRDefault="00FA742D" w:rsidP="00BB2F80">
            <w:pPr>
              <w:jc w:val="center"/>
              <w:rPr>
                <w:sz w:val="22"/>
                <w:szCs w:val="22"/>
              </w:rPr>
            </w:pPr>
            <w:r w:rsidRPr="00E1306D">
              <w:rPr>
                <w:sz w:val="22"/>
                <w:szCs w:val="22"/>
              </w:rPr>
              <w:t>20</w:t>
            </w:r>
          </w:p>
        </w:tc>
        <w:tc>
          <w:tcPr>
            <w:tcW w:w="1665" w:type="dxa"/>
            <w:tcBorders>
              <w:top w:val="nil"/>
              <w:left w:val="nil"/>
              <w:bottom w:val="single" w:sz="4" w:space="0" w:color="auto"/>
              <w:right w:val="single" w:sz="4" w:space="0" w:color="auto"/>
            </w:tcBorders>
            <w:shd w:val="clear" w:color="auto" w:fill="auto"/>
            <w:noWrap/>
            <w:vAlign w:val="bottom"/>
            <w:hideMark/>
          </w:tcPr>
          <w:p w14:paraId="462BBED8" w14:textId="77777777" w:rsidR="00FA742D" w:rsidRPr="00E1306D" w:rsidRDefault="00FA742D" w:rsidP="00BB2F80">
            <w:pPr>
              <w:jc w:val="center"/>
              <w:rPr>
                <w:sz w:val="22"/>
                <w:szCs w:val="22"/>
              </w:rPr>
            </w:pPr>
            <w:r w:rsidRPr="00E1306D">
              <w:rPr>
                <w:sz w:val="22"/>
                <w:szCs w:val="22"/>
              </w:rPr>
              <w:t>44,173</w:t>
            </w:r>
          </w:p>
        </w:tc>
        <w:tc>
          <w:tcPr>
            <w:tcW w:w="1620" w:type="dxa"/>
            <w:tcBorders>
              <w:top w:val="nil"/>
              <w:left w:val="nil"/>
              <w:bottom w:val="single" w:sz="4" w:space="0" w:color="auto"/>
              <w:right w:val="single" w:sz="4" w:space="0" w:color="auto"/>
            </w:tcBorders>
            <w:shd w:val="clear" w:color="auto" w:fill="auto"/>
            <w:noWrap/>
            <w:vAlign w:val="bottom"/>
            <w:hideMark/>
          </w:tcPr>
          <w:p w14:paraId="17454654" w14:textId="77777777" w:rsidR="00FA742D" w:rsidRPr="00E1306D" w:rsidRDefault="00FA742D" w:rsidP="00BB2F80">
            <w:pPr>
              <w:jc w:val="center"/>
              <w:rPr>
                <w:sz w:val="22"/>
                <w:szCs w:val="22"/>
              </w:rPr>
            </w:pPr>
            <w:r w:rsidRPr="00E1306D">
              <w:rPr>
                <w:sz w:val="22"/>
                <w:szCs w:val="22"/>
              </w:rPr>
              <w:t>60.5%</w:t>
            </w:r>
          </w:p>
        </w:tc>
      </w:tr>
    </w:tbl>
    <w:p w14:paraId="59920E33" w14:textId="77777777" w:rsidR="00FA742D" w:rsidRPr="0036626E" w:rsidRDefault="00FA742D" w:rsidP="00FA742D"/>
    <w:p w14:paraId="5337B0D7" w14:textId="77777777" w:rsidR="00FA742D" w:rsidRPr="0036626E" w:rsidRDefault="00FA742D" w:rsidP="00FA742D"/>
    <w:p w14:paraId="1A87FAAE" w14:textId="77777777" w:rsidR="00FA742D" w:rsidRPr="0036626E" w:rsidRDefault="00FA742D" w:rsidP="00FA742D">
      <w:r w:rsidRPr="0036626E">
        <w:t>SPAWNING SEASON AND BAG LIMIT</w:t>
      </w:r>
    </w:p>
    <w:p w14:paraId="6DA89F21" w14:textId="77777777" w:rsidR="00FA742D" w:rsidRDefault="00FA742D" w:rsidP="00FA742D">
      <w:r w:rsidRPr="0036626E">
        <w:t xml:space="preserve">Once all the trip landings have been adjusted for the proposed size limit alternative to be analyzed, the analysis then considers modifications to the bag limit both within the spawning season and during the rest of the year. The timing of the spawning season must be chosen here before the bag limit analysis can proceed, since there are alternatives that specify different bag limits during the spawning season than the rest of the year. </w:t>
      </w:r>
    </w:p>
    <w:p w14:paraId="78ED9E7C" w14:textId="77777777" w:rsidR="00FA742D" w:rsidRPr="0036626E" w:rsidRDefault="00FA742D" w:rsidP="00FA742D"/>
    <w:p w14:paraId="4EE5F1A8" w14:textId="77777777" w:rsidR="00FA742D" w:rsidRDefault="00FA742D" w:rsidP="00FA742D">
      <w:r w:rsidRPr="0036626E">
        <w:t>Next, the bag limit alternatives are chosen for the spawning season and the rest of the year. The landings for each trip are then adjusted based on the bag limit alternative chosen and the month the trip occurred in. If the trip happened within the chosen spawning season, the landings from that trip are compared to the bag limit alternative for the spawning season; otherwise the comparison is made to the bag limit alternative for the rest of the year. If the landings on a trip were below the bag limit alternative, then they were not adjusted. If the landings were above the bag limit alternative, then they were set equal to the bag limit.</w:t>
      </w:r>
    </w:p>
    <w:p w14:paraId="6674A88C" w14:textId="77777777" w:rsidR="00FA742D" w:rsidRPr="0036626E" w:rsidRDefault="00FA742D" w:rsidP="00FA742D"/>
    <w:p w14:paraId="2472FFFE" w14:textId="77777777" w:rsidR="00FA742D" w:rsidRPr="0036626E" w:rsidRDefault="00FA742D" w:rsidP="00FA742D">
      <w:r w:rsidRPr="0036626E">
        <w:t xml:space="preserve">Finally, the MRIP adjusted landings per trip needed to be expanded for the recreational effort and corrected for site selection probability in order to get the landings estimates. This was done using a two-step process per trip. First, the landings, which had already been adjusted for the chosen size limit alternative, were multiplied by a correction factor, which corrected for site selection probability. Then, the landings were multiplied by the effort expansion factor. The effort expansion factors are provided by MRIP per trip. The correction factor is calculated by dividing the corrected landings (landings that have </w:t>
      </w:r>
      <w:r w:rsidRPr="0036626E">
        <w:lastRenderedPageBreak/>
        <w:t>already been corrected for site selection probability) by the uncorrected landings (actual number of fish landed), which are both provided by MRIP. Once the MRIP landings have been expanded for effort and corrected for site selection probability, all landings were summed across months to produce the estimate of landings for each combination of alternatives for each year. The average across 2010-2014 was reported, along with the 5</w:t>
      </w:r>
      <w:r w:rsidRPr="0036626E">
        <w:rPr>
          <w:vertAlign w:val="superscript"/>
        </w:rPr>
        <w:t>th</w:t>
      </w:r>
      <w:r w:rsidRPr="0036626E">
        <w:t xml:space="preserve"> and 95</w:t>
      </w:r>
      <w:r w:rsidRPr="0036626E">
        <w:rPr>
          <w:vertAlign w:val="superscript"/>
        </w:rPr>
        <w:t>th</w:t>
      </w:r>
      <w:r w:rsidRPr="0036626E">
        <w:t xml:space="preserve"> percentiles.  </w:t>
      </w:r>
    </w:p>
    <w:p w14:paraId="6AD373C9" w14:textId="77777777" w:rsidR="00FA742D" w:rsidRPr="0036626E" w:rsidRDefault="00FA742D" w:rsidP="00FA742D"/>
    <w:p w14:paraId="4D0DCEEB" w14:textId="77777777" w:rsidR="00FA742D" w:rsidRPr="00E1306D" w:rsidRDefault="00FA742D" w:rsidP="00FA742D">
      <w:pPr>
        <w:rPr>
          <w:b/>
        </w:rPr>
      </w:pPr>
      <w:r w:rsidRPr="00E1306D">
        <w:rPr>
          <w:b/>
        </w:rPr>
        <w:t>CLOSURE DATE PROJECTIONS</w:t>
      </w:r>
    </w:p>
    <w:p w14:paraId="25C7F29A" w14:textId="77777777" w:rsidR="00FA742D" w:rsidRDefault="00FA742D" w:rsidP="00FA742D">
      <w:r w:rsidRPr="0036626E">
        <w:t>Daily landings rates needed to be estimated in order to predict when a closure might occur under each combination of management alternatives and each of the ACL alternatives. The MRIP data include kind of day as one of the data elements, referring to whether the day was a weekday or weekend. Weekends included Saturday, Sunday, and holidays. Kind of day was used to calculate the proportion of the landings within each month, averaged across 2010-2014, attributable to weekdays versus weekends. Month was used for two reasons. The first was because of spawning season alternatives crossing Waves. The second is due to the difference in the proportion of the landings attributable to weekdays versus weekends in different months. For example, in March 56% of the landings happened on weekdays whereas in April only 25% of the landings happened on weekdays and both of those months occur in Wave 2. The HB data did not include kind of day information; therefore it was calculated based on the date of the trip. The daily landings rate is calculated separately for HB and MRIP data, and then combined to get the total landings rate for the kind of day in a given month.</w:t>
      </w:r>
    </w:p>
    <w:p w14:paraId="02B2C0A3" w14:textId="77777777" w:rsidR="00FA742D" w:rsidRPr="0036626E" w:rsidRDefault="00FA742D" w:rsidP="00FA742D"/>
    <w:p w14:paraId="1E94D3A8" w14:textId="77777777" w:rsidR="00FA742D" w:rsidRPr="0036626E" w:rsidRDefault="00FA742D" w:rsidP="00FA742D">
      <w:r w:rsidRPr="0036626E">
        <w:t>The distribution of weekdays, weekends, and holidays from 2017 was used to project the closure dates. For each month in 2017, the number of weekdays and weekend days was calculated. To get the daily landings for each day within a month, the estimated monthly landings for the chosen combination of management alternatives was multiplied by the proportion of the landings for that month attributable to either weekends or weekdays (depending on which day is being looked at) and then divided by the total number of that kind of day within that month. The cumulative daily landings were compared to each ACL alternative and if it exceeded any of the ACL alternatives, the season was closed for that ACL scenario.</w:t>
      </w:r>
    </w:p>
    <w:p w14:paraId="4E888E7A" w14:textId="77777777" w:rsidR="00FA742D" w:rsidRPr="0036626E" w:rsidRDefault="00FA742D" w:rsidP="00FA742D"/>
    <w:p w14:paraId="67CEC2DF" w14:textId="77777777" w:rsidR="00FA742D" w:rsidRPr="00E1306D" w:rsidRDefault="00FA742D" w:rsidP="00FA742D">
      <w:pPr>
        <w:rPr>
          <w:b/>
        </w:rPr>
      </w:pPr>
      <w:r w:rsidRPr="00E1306D">
        <w:rPr>
          <w:b/>
        </w:rPr>
        <w:t>ASSUMPTIONS &amp; UNCERTAINTIES</w:t>
      </w:r>
    </w:p>
    <w:p w14:paraId="0216DC14" w14:textId="77777777" w:rsidR="00FA742D" w:rsidRPr="0036626E" w:rsidRDefault="00FA742D" w:rsidP="00FB0D08">
      <w:r w:rsidRPr="0036626E">
        <w:t>The analyses conducted here utilized recreational data from two disparate sources and attempted to use these data to predict what might happen to landings in a future year under management conditions which are not currently in place. Therefore, several key assumptions had to be made to allow this analysis to proceed.</w:t>
      </w:r>
    </w:p>
    <w:p w14:paraId="4205906E" w14:textId="77777777" w:rsidR="00FA742D" w:rsidRPr="00E1306D" w:rsidRDefault="00FA742D" w:rsidP="00FB0D08">
      <w:pPr>
        <w:pStyle w:val="ListParagraph"/>
        <w:numPr>
          <w:ilvl w:val="0"/>
          <w:numId w:val="31"/>
        </w:numPr>
        <w:spacing w:line="240" w:lineRule="auto"/>
        <w:rPr>
          <w:rFonts w:ascii="Times New Roman" w:hAnsi="Times New Roman"/>
          <w:sz w:val="24"/>
          <w:szCs w:val="24"/>
        </w:rPr>
      </w:pPr>
      <w:r>
        <w:rPr>
          <w:rFonts w:ascii="Times New Roman" w:hAnsi="Times New Roman"/>
          <w:sz w:val="24"/>
          <w:szCs w:val="24"/>
        </w:rPr>
        <w:t>Fisherme</w:t>
      </w:r>
      <w:r w:rsidRPr="00E1306D">
        <w:rPr>
          <w:rFonts w:ascii="Times New Roman" w:hAnsi="Times New Roman"/>
          <w:sz w:val="24"/>
          <w:szCs w:val="24"/>
        </w:rPr>
        <w:t>n behavior will remain the same as it was during 2010-2014 (the years in the analysis).</w:t>
      </w:r>
    </w:p>
    <w:p w14:paraId="6A82A966" w14:textId="77777777" w:rsidR="00FA742D" w:rsidRPr="00E1306D" w:rsidRDefault="00FA742D" w:rsidP="00FB0D08">
      <w:pPr>
        <w:pStyle w:val="ListParagraph"/>
        <w:numPr>
          <w:ilvl w:val="1"/>
          <w:numId w:val="31"/>
        </w:numPr>
        <w:spacing w:line="240" w:lineRule="auto"/>
        <w:rPr>
          <w:rFonts w:ascii="Times New Roman" w:hAnsi="Times New Roman"/>
          <w:sz w:val="24"/>
          <w:szCs w:val="24"/>
        </w:rPr>
      </w:pPr>
      <w:r w:rsidRPr="00E1306D">
        <w:rPr>
          <w:rFonts w:ascii="Times New Roman" w:hAnsi="Times New Roman"/>
          <w:sz w:val="24"/>
          <w:szCs w:val="24"/>
        </w:rPr>
        <w:t xml:space="preserve">This is not always the case. Anglers could very well increase their effort to catch more 17 inch fish, but predicting this behavior is very difficult to do in a scientifically rigorous manner. Therefore, this analysis assumes that fisher behavior will remain constant in 2017. One piece of evidence that does suggest this pattern may hold is that the current landings per angler at </w:t>
      </w:r>
      <w:r w:rsidRPr="00E1306D">
        <w:rPr>
          <w:rFonts w:ascii="Times New Roman" w:hAnsi="Times New Roman"/>
          <w:sz w:val="24"/>
          <w:szCs w:val="24"/>
        </w:rPr>
        <w:lastRenderedPageBreak/>
        <w:t>16 inches and 10 fish per person bag limit is approximately 0.44 fish per person on trips that caught Mutton Snapper, on average.</w:t>
      </w:r>
    </w:p>
    <w:p w14:paraId="31A98BF1" w14:textId="77777777" w:rsidR="00FA742D" w:rsidRPr="00E1306D" w:rsidRDefault="00FA742D" w:rsidP="00FB0D08">
      <w:pPr>
        <w:pStyle w:val="ListParagraph"/>
        <w:numPr>
          <w:ilvl w:val="1"/>
          <w:numId w:val="31"/>
        </w:numPr>
        <w:spacing w:line="240" w:lineRule="auto"/>
        <w:rPr>
          <w:rFonts w:ascii="Times New Roman" w:hAnsi="Times New Roman"/>
          <w:sz w:val="24"/>
          <w:szCs w:val="24"/>
        </w:rPr>
      </w:pPr>
      <w:r w:rsidRPr="00E1306D">
        <w:rPr>
          <w:rFonts w:ascii="Times New Roman" w:hAnsi="Times New Roman"/>
          <w:sz w:val="24"/>
          <w:szCs w:val="24"/>
        </w:rPr>
        <w:t>A scenario was run looking at the case where the size limit was only 75% effective, due to changes in fisherman behavior, increases in effort, etc., to investigate the effect of this assumption on the analysis. At 75% effectiveness, there were still no management measure combinations, under any of the three ACL alternatives, which resulted in an early closure.</w:t>
      </w:r>
    </w:p>
    <w:p w14:paraId="506A66E1" w14:textId="77777777" w:rsidR="00FA742D" w:rsidRPr="00E1306D" w:rsidRDefault="00FA742D" w:rsidP="00FB0D08">
      <w:pPr>
        <w:pStyle w:val="ListParagraph"/>
        <w:numPr>
          <w:ilvl w:val="0"/>
          <w:numId w:val="31"/>
        </w:numPr>
        <w:spacing w:line="240" w:lineRule="auto"/>
        <w:rPr>
          <w:rFonts w:ascii="Times New Roman" w:hAnsi="Times New Roman"/>
          <w:sz w:val="24"/>
          <w:szCs w:val="24"/>
        </w:rPr>
      </w:pPr>
      <w:r>
        <w:rPr>
          <w:rFonts w:ascii="Times New Roman" w:hAnsi="Times New Roman"/>
          <w:sz w:val="24"/>
          <w:szCs w:val="24"/>
        </w:rPr>
        <w:t>Selectivity is knife-</w:t>
      </w:r>
      <w:r w:rsidRPr="00E1306D">
        <w:rPr>
          <w:rFonts w:ascii="Times New Roman" w:hAnsi="Times New Roman"/>
          <w:sz w:val="24"/>
          <w:szCs w:val="24"/>
        </w:rPr>
        <w:t>edge for all sizes limits above the current 16 inches.</w:t>
      </w:r>
    </w:p>
    <w:p w14:paraId="1CF9A6C6" w14:textId="77777777" w:rsidR="00FA742D" w:rsidRPr="00E1306D" w:rsidRDefault="00FA742D" w:rsidP="00FB0D08">
      <w:pPr>
        <w:pStyle w:val="ListParagraph"/>
        <w:numPr>
          <w:ilvl w:val="1"/>
          <w:numId w:val="31"/>
        </w:numPr>
        <w:spacing w:line="240" w:lineRule="auto"/>
        <w:rPr>
          <w:rFonts w:ascii="Times New Roman" w:hAnsi="Times New Roman"/>
          <w:sz w:val="24"/>
          <w:szCs w:val="24"/>
        </w:rPr>
      </w:pPr>
      <w:r w:rsidRPr="00E1306D">
        <w:rPr>
          <w:rFonts w:ascii="Times New Roman" w:hAnsi="Times New Roman"/>
          <w:sz w:val="24"/>
          <w:szCs w:val="24"/>
        </w:rPr>
        <w:t>Meaning all fish below the proposed minimum size limits were removed from the landings. However, there is typically some degree of miscalculation or error on the part of the angler and some undersized fish do make it into the landings. Also, B1 fish in the MRIP program (which could be dead discards) are counted as landings. This adds some uncertainty into the analysis, making the analysis a bit conservative.</w:t>
      </w:r>
    </w:p>
    <w:p w14:paraId="307FB606" w14:textId="77777777" w:rsidR="00FA742D" w:rsidRPr="00E1306D" w:rsidRDefault="00FA742D" w:rsidP="00FB0D08">
      <w:pPr>
        <w:pStyle w:val="ListParagraph"/>
        <w:numPr>
          <w:ilvl w:val="0"/>
          <w:numId w:val="31"/>
        </w:numPr>
        <w:spacing w:line="240" w:lineRule="auto"/>
        <w:rPr>
          <w:rFonts w:ascii="Times New Roman" w:hAnsi="Times New Roman"/>
          <w:sz w:val="24"/>
          <w:szCs w:val="24"/>
        </w:rPr>
      </w:pPr>
      <w:r w:rsidRPr="00E1306D">
        <w:rPr>
          <w:rFonts w:ascii="Times New Roman" w:hAnsi="Times New Roman"/>
          <w:sz w:val="24"/>
          <w:szCs w:val="24"/>
        </w:rPr>
        <w:t>For headboats, it was assumed that all anglers on a trip were fishing on a communal bag limit rather than individual bag limits, as was done for charter boats.</w:t>
      </w:r>
    </w:p>
    <w:p w14:paraId="1F530CF5" w14:textId="58BBD0B2" w:rsidR="00FA742D" w:rsidRPr="00FB0D08" w:rsidRDefault="00FA742D" w:rsidP="00FA742D">
      <w:pPr>
        <w:pStyle w:val="ListParagraph"/>
        <w:numPr>
          <w:ilvl w:val="1"/>
          <w:numId w:val="31"/>
        </w:numPr>
        <w:spacing w:line="240" w:lineRule="auto"/>
        <w:rPr>
          <w:rFonts w:ascii="Times New Roman" w:hAnsi="Times New Roman"/>
          <w:sz w:val="24"/>
          <w:szCs w:val="24"/>
        </w:rPr>
      </w:pPr>
      <w:r w:rsidRPr="00E1306D">
        <w:rPr>
          <w:rFonts w:ascii="Times New Roman" w:hAnsi="Times New Roman"/>
          <w:sz w:val="24"/>
          <w:szCs w:val="24"/>
        </w:rPr>
        <w:t>This assumption was considered to be realistic by industry representatives.</w:t>
      </w:r>
    </w:p>
    <w:p w14:paraId="5024E5F3" w14:textId="77777777" w:rsidR="00FA742D" w:rsidRDefault="00FA742D" w:rsidP="00FA742D">
      <w:r w:rsidRPr="0036626E">
        <w:t>Besides the assumptions that had to be made, there were also many sources of uncertainty associated with the data. The MRIP data is survey data, so only a smal</w:t>
      </w:r>
      <w:r>
        <w:t>l portion of the total trips is</w:t>
      </w:r>
      <w:r w:rsidRPr="0036626E">
        <w:t xml:space="preserve"> sampled. MRIP samples ~0.22% of the total Mutton Snapper trips and makes up 88.5% of the landings. The Headboat landings data is a census; however the length information is a survey where only 5.6% of the trips are sampled. </w:t>
      </w:r>
    </w:p>
    <w:p w14:paraId="3296780A" w14:textId="77777777" w:rsidR="00FA742D" w:rsidRPr="0036626E" w:rsidRDefault="00FA742D" w:rsidP="00FA742D"/>
    <w:p w14:paraId="5187EC87" w14:textId="77777777" w:rsidR="00FA742D" w:rsidRDefault="00FA742D" w:rsidP="00FA742D">
      <w:r w:rsidRPr="0036626E">
        <w:t>Another large source of uncertainty is simply what is known as the year effect. This could refer to the economic climate being more or less conducive to fishing, weather conditions being more or less favorable, temperature patterns being more or less favorable to fish occurrence or migration patterns, or just a different set of trips being intercepted by MRIP. Multiple years were used in the analysis in an attempt to mitigate the year effect. Therefore, the results depict the average conditions (for 2010 to 2014) with confidence intervals around those averages.</w:t>
      </w:r>
    </w:p>
    <w:p w14:paraId="17CE22CD" w14:textId="77777777" w:rsidR="00FB0D08" w:rsidRPr="0036626E" w:rsidRDefault="00FB0D08" w:rsidP="00FA742D"/>
    <w:p w14:paraId="6689C92A" w14:textId="77777777" w:rsidR="00FA742D" w:rsidRPr="0036626E" w:rsidRDefault="00FA742D" w:rsidP="00FA742D">
      <w:r w:rsidRPr="0036626E">
        <w:t>In 2013, MRIP implemented a significant change to the Access Point Angler Intercept Survey (APAIS). It is unclear what affect this change has had on estimated landings as compared to years prior to the implementation of the new survey design. In order to investigate a possible bias in landings trends by year and month, the landings were pulled for 2010-2012 (before implementation of the new APAIS survey design) and compared to landings from 2013-2014 (after implementation of the new APAIS survey design). By year, the average across years falls within the 95% confidence intervals (CI) for most years, except 2011 (</w:t>
      </w:r>
      <w:r w:rsidRPr="0036626E">
        <w:fldChar w:fldCharType="begin"/>
      </w:r>
      <w:r w:rsidRPr="0036626E">
        <w:instrText xml:space="preserve"> REF _Ref456614870 \h </w:instrText>
      </w:r>
      <w:r w:rsidRPr="0036626E">
        <w:fldChar w:fldCharType="separate"/>
      </w:r>
      <w:r w:rsidR="008F3D62" w:rsidRPr="00FB0D08">
        <w:rPr>
          <w:rFonts w:ascii="Arial" w:hAnsi="Arial" w:cs="Arial"/>
        </w:rPr>
        <w:t xml:space="preserve">Figure </w:t>
      </w:r>
      <w:r w:rsidR="008F3D62">
        <w:rPr>
          <w:rFonts w:ascii="Arial" w:hAnsi="Arial" w:cs="Arial"/>
          <w:noProof/>
        </w:rPr>
        <w:t>11</w:t>
      </w:r>
      <w:r w:rsidRPr="0036626E">
        <w:fldChar w:fldCharType="end"/>
      </w:r>
      <w:r w:rsidRPr="0036626E">
        <w:t>). However, there is no trend separating the 2010-2012 years from the 2013-2014 years. When looked at by month, each of the time block average landings values by month falls within the 95% CI of the other time block except for December (</w:t>
      </w:r>
      <w:r w:rsidRPr="0036626E">
        <w:fldChar w:fldCharType="begin"/>
      </w:r>
      <w:r w:rsidRPr="0036626E">
        <w:instrText xml:space="preserve"> REF _Ref456614982 \h </w:instrText>
      </w:r>
      <w:r w:rsidRPr="0036626E">
        <w:fldChar w:fldCharType="separate"/>
      </w:r>
      <w:r w:rsidR="008F3D62" w:rsidRPr="00FB0D08">
        <w:rPr>
          <w:rFonts w:ascii="Arial" w:hAnsi="Arial" w:cs="Arial"/>
        </w:rPr>
        <w:t xml:space="preserve">Figure </w:t>
      </w:r>
      <w:r w:rsidR="008F3D62">
        <w:rPr>
          <w:rFonts w:ascii="Arial" w:hAnsi="Arial" w:cs="Arial"/>
          <w:noProof/>
        </w:rPr>
        <w:t>12</w:t>
      </w:r>
      <w:r w:rsidRPr="0036626E">
        <w:fldChar w:fldCharType="end"/>
      </w:r>
      <w:r w:rsidRPr="0036626E">
        <w:t>). In December, 2013-2014 has much higher landings than those from 2010-2012, on average.</w:t>
      </w:r>
    </w:p>
    <w:p w14:paraId="4EF72D18" w14:textId="77777777" w:rsidR="00FA742D" w:rsidRPr="0036626E" w:rsidRDefault="00FA742D" w:rsidP="00FA742D">
      <w:pPr>
        <w:keepNext/>
      </w:pPr>
      <w:r w:rsidRPr="0036626E">
        <w:rPr>
          <w:noProof/>
        </w:rPr>
        <w:lastRenderedPageBreak/>
        <w:drawing>
          <wp:inline distT="0" distB="0" distL="0" distR="0" wp14:anchorId="72B8B89C" wp14:editId="338F282B">
            <wp:extent cx="5963528" cy="3289300"/>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63023" cy="3289022"/>
                    </a:xfrm>
                    <a:prstGeom prst="rect">
                      <a:avLst/>
                    </a:prstGeom>
                    <a:noFill/>
                  </pic:spPr>
                </pic:pic>
              </a:graphicData>
            </a:graphic>
          </wp:inline>
        </w:drawing>
      </w:r>
    </w:p>
    <w:p w14:paraId="7B89CD94" w14:textId="77777777" w:rsidR="00FA742D" w:rsidRPr="00FB0D08" w:rsidRDefault="00FA742D" w:rsidP="00FA742D">
      <w:pPr>
        <w:pStyle w:val="Caption"/>
        <w:rPr>
          <w:rFonts w:ascii="Arial" w:hAnsi="Arial" w:cs="Arial"/>
          <w:b w:val="0"/>
        </w:rPr>
      </w:pPr>
      <w:bookmarkStart w:id="441" w:name="_Ref456614870"/>
      <w:r w:rsidRPr="00FB0D08">
        <w:rPr>
          <w:rFonts w:ascii="Arial" w:hAnsi="Arial" w:cs="Arial"/>
        </w:rPr>
        <w:t xml:space="preserve">Figure </w:t>
      </w:r>
      <w:r w:rsidR="002342FE" w:rsidRPr="00FB0D08">
        <w:rPr>
          <w:rFonts w:ascii="Arial" w:hAnsi="Arial" w:cs="Arial"/>
        </w:rPr>
        <w:fldChar w:fldCharType="begin"/>
      </w:r>
      <w:r w:rsidR="002342FE" w:rsidRPr="00FB0D08">
        <w:rPr>
          <w:rFonts w:ascii="Arial" w:hAnsi="Arial" w:cs="Arial"/>
        </w:rPr>
        <w:instrText xml:space="preserve"> SEQ Figure \* ARABIC </w:instrText>
      </w:r>
      <w:r w:rsidR="002342FE" w:rsidRPr="00FB0D08">
        <w:rPr>
          <w:rFonts w:ascii="Arial" w:hAnsi="Arial" w:cs="Arial"/>
        </w:rPr>
        <w:fldChar w:fldCharType="separate"/>
      </w:r>
      <w:r w:rsidR="008F3D62">
        <w:rPr>
          <w:rFonts w:ascii="Arial" w:hAnsi="Arial" w:cs="Arial"/>
          <w:noProof/>
        </w:rPr>
        <w:t>11</w:t>
      </w:r>
      <w:r w:rsidR="002342FE" w:rsidRPr="00FB0D08">
        <w:rPr>
          <w:rFonts w:ascii="Arial" w:hAnsi="Arial" w:cs="Arial"/>
          <w:noProof/>
        </w:rPr>
        <w:fldChar w:fldCharType="end"/>
      </w:r>
      <w:bookmarkEnd w:id="441"/>
      <w:r w:rsidRPr="00FB0D08">
        <w:rPr>
          <w:rFonts w:ascii="Arial" w:hAnsi="Arial" w:cs="Arial"/>
        </w:rPr>
        <w:t xml:space="preserve">. </w:t>
      </w:r>
      <w:r w:rsidRPr="00FB0D08">
        <w:rPr>
          <w:rFonts w:ascii="Arial" w:hAnsi="Arial" w:cs="Arial"/>
          <w:b w:val="0"/>
        </w:rPr>
        <w:t>MRIP landings of Mutton Snapper by year with 95% CI and average across 2010-2014.</w:t>
      </w:r>
    </w:p>
    <w:p w14:paraId="70A09B20" w14:textId="77777777" w:rsidR="00FA742D" w:rsidRPr="0036626E" w:rsidRDefault="00FA742D" w:rsidP="00FA742D"/>
    <w:p w14:paraId="5C6C1E46" w14:textId="77777777" w:rsidR="00FA742D" w:rsidRPr="0036626E" w:rsidRDefault="00FA742D" w:rsidP="00FA742D">
      <w:pPr>
        <w:keepNext/>
      </w:pPr>
      <w:r w:rsidRPr="0036626E">
        <w:rPr>
          <w:noProof/>
        </w:rPr>
        <w:drawing>
          <wp:inline distT="0" distB="0" distL="0" distR="0" wp14:anchorId="1604B7E4" wp14:editId="4E0F5721">
            <wp:extent cx="5930900" cy="315067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3531" cy="3152073"/>
                    </a:xfrm>
                    <a:prstGeom prst="rect">
                      <a:avLst/>
                    </a:prstGeom>
                    <a:noFill/>
                  </pic:spPr>
                </pic:pic>
              </a:graphicData>
            </a:graphic>
          </wp:inline>
        </w:drawing>
      </w:r>
    </w:p>
    <w:p w14:paraId="3AD242D0" w14:textId="77777777" w:rsidR="00FA742D" w:rsidRPr="00FB0D08" w:rsidRDefault="00FA742D" w:rsidP="00FA742D">
      <w:pPr>
        <w:pStyle w:val="Caption"/>
        <w:rPr>
          <w:rFonts w:ascii="Arial" w:hAnsi="Arial" w:cs="Arial"/>
        </w:rPr>
      </w:pPr>
      <w:bookmarkStart w:id="442" w:name="_Ref456614982"/>
      <w:r w:rsidRPr="00FB0D08">
        <w:rPr>
          <w:rFonts w:ascii="Arial" w:hAnsi="Arial" w:cs="Arial"/>
        </w:rPr>
        <w:t xml:space="preserve">Figure </w:t>
      </w:r>
      <w:r w:rsidR="002342FE" w:rsidRPr="00FB0D08">
        <w:rPr>
          <w:rFonts w:ascii="Arial" w:hAnsi="Arial" w:cs="Arial"/>
        </w:rPr>
        <w:fldChar w:fldCharType="begin"/>
      </w:r>
      <w:r w:rsidR="002342FE" w:rsidRPr="00FB0D08">
        <w:rPr>
          <w:rFonts w:ascii="Arial" w:hAnsi="Arial" w:cs="Arial"/>
        </w:rPr>
        <w:instrText xml:space="preserve"> SEQ Figure \* ARABIC </w:instrText>
      </w:r>
      <w:r w:rsidR="002342FE" w:rsidRPr="00FB0D08">
        <w:rPr>
          <w:rFonts w:ascii="Arial" w:hAnsi="Arial" w:cs="Arial"/>
        </w:rPr>
        <w:fldChar w:fldCharType="separate"/>
      </w:r>
      <w:r w:rsidR="008F3D62">
        <w:rPr>
          <w:rFonts w:ascii="Arial" w:hAnsi="Arial" w:cs="Arial"/>
          <w:noProof/>
        </w:rPr>
        <w:t>12</w:t>
      </w:r>
      <w:r w:rsidR="002342FE" w:rsidRPr="00FB0D08">
        <w:rPr>
          <w:rFonts w:ascii="Arial" w:hAnsi="Arial" w:cs="Arial"/>
          <w:noProof/>
        </w:rPr>
        <w:fldChar w:fldCharType="end"/>
      </w:r>
      <w:bookmarkEnd w:id="442"/>
      <w:r w:rsidRPr="00FB0D08">
        <w:rPr>
          <w:rFonts w:ascii="Arial" w:hAnsi="Arial" w:cs="Arial"/>
        </w:rPr>
        <w:t xml:space="preserve">. </w:t>
      </w:r>
      <w:r w:rsidRPr="00FB0D08">
        <w:rPr>
          <w:rFonts w:ascii="Arial" w:hAnsi="Arial" w:cs="Arial"/>
          <w:b w:val="0"/>
        </w:rPr>
        <w:t>Average monthly MRIP landings of Mutton Snapper for 2010-2012 and 2013-2014 with 95% CI.</w:t>
      </w:r>
    </w:p>
    <w:p w14:paraId="2F5A082B" w14:textId="77777777" w:rsidR="00FA742D" w:rsidRPr="0036626E" w:rsidRDefault="00FA742D" w:rsidP="00FA742D"/>
    <w:p w14:paraId="2ECF9E7B" w14:textId="77777777" w:rsidR="0028435F" w:rsidRDefault="0028435F">
      <w:pPr>
        <w:rPr>
          <w:b/>
        </w:rPr>
      </w:pPr>
      <w:r>
        <w:rPr>
          <w:b/>
        </w:rPr>
        <w:br w:type="page"/>
      </w:r>
    </w:p>
    <w:p w14:paraId="2BF834F6" w14:textId="2C4D5C03" w:rsidR="00FA742D" w:rsidRPr="00E1306D" w:rsidRDefault="00FA742D" w:rsidP="00FA742D">
      <w:pPr>
        <w:rPr>
          <w:b/>
        </w:rPr>
      </w:pPr>
      <w:r w:rsidRPr="00E1306D">
        <w:rPr>
          <w:b/>
        </w:rPr>
        <w:lastRenderedPageBreak/>
        <w:t>RESULTS</w:t>
      </w:r>
    </w:p>
    <w:p w14:paraId="6C1484F3" w14:textId="77777777" w:rsidR="00FA742D" w:rsidRDefault="00FA742D" w:rsidP="00FA742D">
      <w:r w:rsidRPr="0036626E">
        <w:t>According to the analysis, the size limit has the largest impact on the estimated recreational landings of Mutton Snapper in the SA. At the status quo of 16 inches, under the most restrictive year round bag limit of 2 fish per person per day, the average reduction in landings is only estimated to be 3.6%. Even under the most restrictive set of management alternatives (spawning season from April to July, no retention during the spawning season, and 4 fish per person during the rest of the year) at 16 inches the reduction is at 42.3%. In contrast, by going to a 17 inch size limit and keeping the bag limit at 10 fish per person within the Snapper Aggregate year round, the reduction in landings is 49.7%.</w:t>
      </w:r>
    </w:p>
    <w:p w14:paraId="6A3D5855" w14:textId="77777777" w:rsidR="00FA742D" w:rsidRPr="0036626E" w:rsidRDefault="00FA742D" w:rsidP="00FA742D"/>
    <w:p w14:paraId="4E72B109" w14:textId="77777777" w:rsidR="00FA742D" w:rsidRDefault="00FA742D" w:rsidP="00FA742D">
      <w:r w:rsidRPr="0036626E">
        <w:t>Closures are only predicted to occur for ACL alternatives 2b and 2c (95%ABC and 90%ABC, respectively). The earliest predicted closure dates (for the status quo scenario) are Dec 27 for 2b and Dec 9 for 2c. There are no closures predicted for any of the size limit alternatives above the status quo of 16 inches. However, it should be noted that this analysis was only looking at the 2017 fishing year and not beyond that. Changes in the minimum size can have population effects that change the availability of certain size classes over time. For instance, if the size limit was set at 17 inches (holding all other regulations the same as they are currently), the 2017 landings will drop to around 50% of what they would have been at 16 inches, on average. However, over time, more fish will grow into the 17 inch size class and become available to the fishery, causing landings to increase from year to year (all other regulations and conditions being equal). It’s possible the landings could eventually get back to the level where they are now, in numbers, just with a larger average weight. Therefore, the relative impacts of the bag limit alternatives may be of interest for future years.</w:t>
      </w:r>
    </w:p>
    <w:p w14:paraId="20FE7F49" w14:textId="77777777" w:rsidR="00FA742D" w:rsidRPr="0036626E" w:rsidRDefault="00FA742D" w:rsidP="00FA742D"/>
    <w:p w14:paraId="5E65E544" w14:textId="77777777" w:rsidR="00FA742D" w:rsidRPr="0036626E" w:rsidRDefault="00FA742D" w:rsidP="00FA742D">
      <w:r w:rsidRPr="0036626E">
        <w:fldChar w:fldCharType="begin"/>
      </w:r>
      <w:r w:rsidRPr="0036626E">
        <w:instrText xml:space="preserve"> REF _Ref453332828 \h </w:instrText>
      </w:r>
      <w:r w:rsidRPr="0036626E">
        <w:fldChar w:fldCharType="separate"/>
      </w:r>
      <w:r w:rsidR="008F3D62" w:rsidRPr="00FB0D08">
        <w:rPr>
          <w:rFonts w:ascii="Arial" w:hAnsi="Arial" w:cs="Arial"/>
        </w:rPr>
        <w:t xml:space="preserve">Table </w:t>
      </w:r>
      <w:r w:rsidR="008F3D62">
        <w:rPr>
          <w:rFonts w:ascii="Arial" w:hAnsi="Arial" w:cs="Arial"/>
          <w:noProof/>
        </w:rPr>
        <w:t>3</w:t>
      </w:r>
      <w:r w:rsidRPr="0036626E">
        <w:fldChar w:fldCharType="end"/>
      </w:r>
      <w:r w:rsidRPr="0036626E">
        <w:t xml:space="preserve"> shows a comparison of the management alternatives between size limits. Once a size limit is chosen above the 16 inch status quo, the estimated landings drop significantly, as well as the overall variability in the landings due to different bag limit and spawning season alternatives. At 16 inches, the only management measure that has a significant impact on estimated landings (&gt;15%) is when there is no retention for Mutton Snapper during the spawning season. Every other combination of management measures at 16 inches has a less than 4% reduction in landings.</w:t>
      </w:r>
    </w:p>
    <w:p w14:paraId="06194211" w14:textId="77777777" w:rsidR="00FA742D" w:rsidRPr="0036626E" w:rsidRDefault="00FA742D" w:rsidP="00FA742D"/>
    <w:p w14:paraId="120829EB" w14:textId="77777777" w:rsidR="00FA742D" w:rsidRPr="00FB0D08" w:rsidRDefault="00FA742D" w:rsidP="00FA742D">
      <w:pPr>
        <w:pStyle w:val="Caption"/>
        <w:keepNext/>
        <w:rPr>
          <w:rFonts w:ascii="Arial" w:hAnsi="Arial" w:cs="Arial"/>
        </w:rPr>
      </w:pPr>
      <w:bookmarkStart w:id="443" w:name="_Ref453332828"/>
      <w:r w:rsidRPr="00FB0D08">
        <w:rPr>
          <w:rFonts w:ascii="Arial" w:hAnsi="Arial" w:cs="Arial"/>
        </w:rPr>
        <w:t xml:space="preserve">Table </w:t>
      </w:r>
      <w:r w:rsidR="002342FE" w:rsidRPr="00FB0D08">
        <w:rPr>
          <w:rFonts w:ascii="Arial" w:hAnsi="Arial" w:cs="Arial"/>
        </w:rPr>
        <w:fldChar w:fldCharType="begin"/>
      </w:r>
      <w:r w:rsidR="002342FE" w:rsidRPr="00FB0D08">
        <w:rPr>
          <w:rFonts w:ascii="Arial" w:hAnsi="Arial" w:cs="Arial"/>
        </w:rPr>
        <w:instrText xml:space="preserve"> SEQ Table \* ARABIC </w:instrText>
      </w:r>
      <w:r w:rsidR="002342FE" w:rsidRPr="00FB0D08">
        <w:rPr>
          <w:rFonts w:ascii="Arial" w:hAnsi="Arial" w:cs="Arial"/>
        </w:rPr>
        <w:fldChar w:fldCharType="separate"/>
      </w:r>
      <w:r w:rsidR="008F3D62">
        <w:rPr>
          <w:rFonts w:ascii="Arial" w:hAnsi="Arial" w:cs="Arial"/>
          <w:noProof/>
        </w:rPr>
        <w:t>3</w:t>
      </w:r>
      <w:r w:rsidR="002342FE" w:rsidRPr="00FB0D08">
        <w:rPr>
          <w:rFonts w:ascii="Arial" w:hAnsi="Arial" w:cs="Arial"/>
          <w:noProof/>
        </w:rPr>
        <w:fldChar w:fldCharType="end"/>
      </w:r>
      <w:bookmarkEnd w:id="443"/>
      <w:r w:rsidRPr="00FB0D08">
        <w:rPr>
          <w:rFonts w:ascii="Arial" w:hAnsi="Arial" w:cs="Arial"/>
        </w:rPr>
        <w:t xml:space="preserve">. </w:t>
      </w:r>
      <w:r w:rsidRPr="00FB0D08">
        <w:rPr>
          <w:rFonts w:ascii="Arial" w:hAnsi="Arial" w:cs="Arial"/>
          <w:b w:val="0"/>
        </w:rPr>
        <w:t>Results from the Amendment 41 analysis of recreational Mutton Snapper data, summarized by size limit alternatives. Avg. Est. Landings are the estimated landings averaged across all scenarios at a given size limit. 5</w:t>
      </w:r>
      <w:r w:rsidRPr="00FB0D08">
        <w:rPr>
          <w:rFonts w:ascii="Arial" w:hAnsi="Arial" w:cs="Arial"/>
          <w:b w:val="0"/>
          <w:vertAlign w:val="superscript"/>
        </w:rPr>
        <w:t>th</w:t>
      </w:r>
      <w:r w:rsidRPr="00FB0D08">
        <w:rPr>
          <w:rFonts w:ascii="Arial" w:hAnsi="Arial" w:cs="Arial"/>
          <w:b w:val="0"/>
        </w:rPr>
        <w:t xml:space="preserve"> and 95</w:t>
      </w:r>
      <w:r w:rsidRPr="00FB0D08">
        <w:rPr>
          <w:rFonts w:ascii="Arial" w:hAnsi="Arial" w:cs="Arial"/>
          <w:b w:val="0"/>
          <w:vertAlign w:val="superscript"/>
        </w:rPr>
        <w:t>th</w:t>
      </w:r>
      <w:r w:rsidRPr="00FB0D08">
        <w:rPr>
          <w:rFonts w:ascii="Arial" w:hAnsi="Arial" w:cs="Arial"/>
          <w:b w:val="0"/>
        </w:rPr>
        <w:t xml:space="preserve"> Percentile are the 5</w:t>
      </w:r>
      <w:r w:rsidRPr="00FB0D08">
        <w:rPr>
          <w:rFonts w:ascii="Arial" w:hAnsi="Arial" w:cs="Arial"/>
          <w:b w:val="0"/>
          <w:vertAlign w:val="superscript"/>
        </w:rPr>
        <w:t>th</w:t>
      </w:r>
      <w:r w:rsidRPr="00FB0D08">
        <w:rPr>
          <w:rFonts w:ascii="Arial" w:hAnsi="Arial" w:cs="Arial"/>
          <w:b w:val="0"/>
        </w:rPr>
        <w:t xml:space="preserve"> and 95</w:t>
      </w:r>
      <w:r w:rsidRPr="00FB0D08">
        <w:rPr>
          <w:rFonts w:ascii="Arial" w:hAnsi="Arial" w:cs="Arial"/>
          <w:b w:val="0"/>
          <w:vertAlign w:val="superscript"/>
        </w:rPr>
        <w:t>th</w:t>
      </w:r>
      <w:r w:rsidRPr="00FB0D08">
        <w:rPr>
          <w:rFonts w:ascii="Arial" w:hAnsi="Arial" w:cs="Arial"/>
          <w:b w:val="0"/>
        </w:rPr>
        <w:t xml:space="preserve"> percentiles of estimated landings averaged across all scenarios at a given size limit. Std. Dev. is the standard deviation in the estimated landings across all scenarios at a given size limit.</w:t>
      </w:r>
    </w:p>
    <w:tbl>
      <w:tblPr>
        <w:tblW w:w="6225" w:type="dxa"/>
        <w:tblInd w:w="93" w:type="dxa"/>
        <w:tblLook w:val="04A0" w:firstRow="1" w:lastRow="0" w:firstColumn="1" w:lastColumn="0" w:noHBand="0" w:noVBand="1"/>
      </w:tblPr>
      <w:tblGrid>
        <w:gridCol w:w="960"/>
        <w:gridCol w:w="1300"/>
        <w:gridCol w:w="1360"/>
        <w:gridCol w:w="1480"/>
        <w:gridCol w:w="1125"/>
      </w:tblGrid>
      <w:tr w:rsidR="00FA742D" w:rsidRPr="00E1306D" w14:paraId="2E35B91F" w14:textId="77777777" w:rsidTr="00BB2F80">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3CE87F" w14:textId="77777777" w:rsidR="00FA742D" w:rsidRPr="00E1306D" w:rsidRDefault="00FA742D" w:rsidP="00BB2F80">
            <w:pPr>
              <w:keepNext/>
              <w:jc w:val="center"/>
              <w:rPr>
                <w:b/>
                <w:bCs/>
                <w:color w:val="000000"/>
                <w:sz w:val="22"/>
                <w:szCs w:val="22"/>
              </w:rPr>
            </w:pPr>
            <w:r w:rsidRPr="00E1306D">
              <w:rPr>
                <w:b/>
                <w:bCs/>
                <w:color w:val="000000"/>
                <w:sz w:val="22"/>
                <w:szCs w:val="22"/>
              </w:rPr>
              <w:t>Size Limit</w:t>
            </w:r>
          </w:p>
        </w:tc>
        <w:tc>
          <w:tcPr>
            <w:tcW w:w="13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1B03EF4" w14:textId="77777777" w:rsidR="00FA742D" w:rsidRPr="00E1306D" w:rsidRDefault="00FA742D" w:rsidP="00BB2F80">
            <w:pPr>
              <w:keepNext/>
              <w:jc w:val="center"/>
              <w:rPr>
                <w:b/>
                <w:bCs/>
                <w:color w:val="000000"/>
                <w:sz w:val="22"/>
                <w:szCs w:val="22"/>
              </w:rPr>
            </w:pPr>
            <w:r w:rsidRPr="00E1306D">
              <w:rPr>
                <w:b/>
                <w:bCs/>
                <w:color w:val="000000"/>
                <w:sz w:val="22"/>
                <w:szCs w:val="22"/>
              </w:rPr>
              <w:t>Avg. Est. Landings</w:t>
            </w:r>
          </w:p>
        </w:tc>
        <w:tc>
          <w:tcPr>
            <w:tcW w:w="1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16C0948" w14:textId="77777777" w:rsidR="00FA742D" w:rsidRPr="00E1306D" w:rsidRDefault="00FA742D" w:rsidP="00BB2F80">
            <w:pPr>
              <w:keepNext/>
              <w:jc w:val="center"/>
              <w:rPr>
                <w:b/>
                <w:bCs/>
                <w:color w:val="000000"/>
                <w:sz w:val="22"/>
                <w:szCs w:val="22"/>
              </w:rPr>
            </w:pPr>
            <w:r w:rsidRPr="00E1306D">
              <w:rPr>
                <w:b/>
                <w:bCs/>
                <w:color w:val="000000"/>
                <w:sz w:val="22"/>
                <w:szCs w:val="22"/>
              </w:rPr>
              <w:t>5th Percentile</w:t>
            </w:r>
          </w:p>
        </w:tc>
        <w:tc>
          <w:tcPr>
            <w:tcW w:w="14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8ACE58C" w14:textId="77777777" w:rsidR="00FA742D" w:rsidRPr="00E1306D" w:rsidRDefault="00FA742D" w:rsidP="00BB2F80">
            <w:pPr>
              <w:keepNext/>
              <w:jc w:val="center"/>
              <w:rPr>
                <w:b/>
                <w:bCs/>
                <w:color w:val="000000"/>
                <w:sz w:val="22"/>
                <w:szCs w:val="22"/>
              </w:rPr>
            </w:pPr>
            <w:r w:rsidRPr="00E1306D">
              <w:rPr>
                <w:b/>
                <w:bCs/>
                <w:color w:val="000000"/>
                <w:sz w:val="22"/>
                <w:szCs w:val="22"/>
              </w:rPr>
              <w:t>95th Percentile</w:t>
            </w:r>
          </w:p>
        </w:tc>
        <w:tc>
          <w:tcPr>
            <w:tcW w:w="112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BEF1642" w14:textId="77777777" w:rsidR="00FA742D" w:rsidRPr="00E1306D" w:rsidRDefault="00FA742D" w:rsidP="00BB2F80">
            <w:pPr>
              <w:keepNext/>
              <w:jc w:val="center"/>
              <w:rPr>
                <w:b/>
                <w:bCs/>
                <w:color w:val="000000"/>
                <w:sz w:val="22"/>
                <w:szCs w:val="22"/>
              </w:rPr>
            </w:pPr>
            <w:r w:rsidRPr="00E1306D">
              <w:rPr>
                <w:b/>
                <w:bCs/>
                <w:color w:val="000000"/>
                <w:sz w:val="22"/>
                <w:szCs w:val="22"/>
              </w:rPr>
              <w:t>Std. Dev.</w:t>
            </w:r>
          </w:p>
        </w:tc>
      </w:tr>
      <w:tr w:rsidR="00FA742D" w:rsidRPr="00E1306D" w14:paraId="28562A19" w14:textId="77777777" w:rsidTr="00BB2F80">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0B9740" w14:textId="77777777" w:rsidR="00FA742D" w:rsidRPr="00E1306D" w:rsidRDefault="00FA742D" w:rsidP="00BB2F80">
            <w:pPr>
              <w:keepNext/>
              <w:jc w:val="center"/>
              <w:rPr>
                <w:color w:val="000000"/>
                <w:sz w:val="22"/>
                <w:szCs w:val="22"/>
              </w:rPr>
            </w:pPr>
            <w:r w:rsidRPr="00E1306D">
              <w:rPr>
                <w:color w:val="000000"/>
                <w:sz w:val="22"/>
                <w:szCs w:val="22"/>
              </w:rPr>
              <w:t>16</w:t>
            </w:r>
          </w:p>
        </w:tc>
        <w:tc>
          <w:tcPr>
            <w:tcW w:w="1300" w:type="dxa"/>
            <w:tcBorders>
              <w:top w:val="nil"/>
              <w:left w:val="nil"/>
              <w:bottom w:val="single" w:sz="4" w:space="0" w:color="auto"/>
              <w:right w:val="single" w:sz="4" w:space="0" w:color="auto"/>
            </w:tcBorders>
            <w:shd w:val="clear" w:color="auto" w:fill="auto"/>
            <w:noWrap/>
            <w:hideMark/>
          </w:tcPr>
          <w:p w14:paraId="7DB66CE7" w14:textId="77777777" w:rsidR="00FA742D" w:rsidRPr="00E1306D" w:rsidRDefault="00FA742D" w:rsidP="00BB2F80">
            <w:pPr>
              <w:keepNext/>
              <w:jc w:val="center"/>
              <w:rPr>
                <w:color w:val="000000"/>
                <w:sz w:val="22"/>
                <w:szCs w:val="22"/>
              </w:rPr>
            </w:pPr>
            <w:r w:rsidRPr="00E1306D">
              <w:rPr>
                <w:sz w:val="22"/>
                <w:szCs w:val="22"/>
              </w:rPr>
              <w:t>103,553</w:t>
            </w:r>
          </w:p>
        </w:tc>
        <w:tc>
          <w:tcPr>
            <w:tcW w:w="1360" w:type="dxa"/>
            <w:tcBorders>
              <w:top w:val="nil"/>
              <w:left w:val="nil"/>
              <w:bottom w:val="single" w:sz="4" w:space="0" w:color="auto"/>
              <w:right w:val="single" w:sz="4" w:space="0" w:color="auto"/>
            </w:tcBorders>
            <w:shd w:val="clear" w:color="auto" w:fill="auto"/>
            <w:noWrap/>
            <w:hideMark/>
          </w:tcPr>
          <w:p w14:paraId="5A7CE762" w14:textId="77777777" w:rsidR="00FA742D" w:rsidRPr="00E1306D" w:rsidRDefault="00FA742D" w:rsidP="00BB2F80">
            <w:pPr>
              <w:keepNext/>
              <w:jc w:val="center"/>
              <w:rPr>
                <w:color w:val="000000"/>
                <w:sz w:val="22"/>
                <w:szCs w:val="22"/>
              </w:rPr>
            </w:pPr>
            <w:r w:rsidRPr="00E1306D">
              <w:rPr>
                <w:sz w:val="22"/>
                <w:szCs w:val="22"/>
              </w:rPr>
              <w:t>69,787</w:t>
            </w:r>
          </w:p>
        </w:tc>
        <w:tc>
          <w:tcPr>
            <w:tcW w:w="1480" w:type="dxa"/>
            <w:tcBorders>
              <w:top w:val="nil"/>
              <w:left w:val="nil"/>
              <w:bottom w:val="single" w:sz="4" w:space="0" w:color="auto"/>
              <w:right w:val="single" w:sz="4" w:space="0" w:color="auto"/>
            </w:tcBorders>
            <w:shd w:val="clear" w:color="auto" w:fill="auto"/>
            <w:noWrap/>
            <w:hideMark/>
          </w:tcPr>
          <w:p w14:paraId="04C5720C" w14:textId="77777777" w:rsidR="00FA742D" w:rsidRPr="00E1306D" w:rsidRDefault="00FA742D" w:rsidP="00BB2F80">
            <w:pPr>
              <w:keepNext/>
              <w:jc w:val="center"/>
              <w:rPr>
                <w:color w:val="000000"/>
                <w:sz w:val="22"/>
                <w:szCs w:val="22"/>
              </w:rPr>
            </w:pPr>
            <w:r w:rsidRPr="00E1306D">
              <w:rPr>
                <w:sz w:val="22"/>
                <w:szCs w:val="22"/>
              </w:rPr>
              <w:t>111,283</w:t>
            </w:r>
          </w:p>
        </w:tc>
        <w:tc>
          <w:tcPr>
            <w:tcW w:w="1125" w:type="dxa"/>
            <w:tcBorders>
              <w:top w:val="nil"/>
              <w:left w:val="nil"/>
              <w:bottom w:val="single" w:sz="4" w:space="0" w:color="auto"/>
              <w:right w:val="single" w:sz="4" w:space="0" w:color="auto"/>
            </w:tcBorders>
            <w:shd w:val="clear" w:color="auto" w:fill="auto"/>
            <w:noWrap/>
            <w:hideMark/>
          </w:tcPr>
          <w:p w14:paraId="25B4E8DD" w14:textId="77777777" w:rsidR="00FA742D" w:rsidRPr="00E1306D" w:rsidRDefault="00FA742D" w:rsidP="00BB2F80">
            <w:pPr>
              <w:keepNext/>
              <w:jc w:val="center"/>
              <w:rPr>
                <w:color w:val="000000"/>
                <w:sz w:val="22"/>
                <w:szCs w:val="22"/>
              </w:rPr>
            </w:pPr>
            <w:r w:rsidRPr="00E1306D">
              <w:rPr>
                <w:sz w:val="22"/>
                <w:szCs w:val="22"/>
              </w:rPr>
              <w:t>14,777</w:t>
            </w:r>
          </w:p>
        </w:tc>
      </w:tr>
      <w:tr w:rsidR="00FA742D" w:rsidRPr="00E1306D" w14:paraId="2A971642" w14:textId="77777777" w:rsidTr="00BB2F80">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99C352" w14:textId="77777777" w:rsidR="00FA742D" w:rsidRPr="00E1306D" w:rsidRDefault="00FA742D" w:rsidP="00BB2F80">
            <w:pPr>
              <w:keepNext/>
              <w:jc w:val="center"/>
              <w:rPr>
                <w:color w:val="000000"/>
                <w:sz w:val="22"/>
                <w:szCs w:val="22"/>
              </w:rPr>
            </w:pPr>
            <w:r w:rsidRPr="00E1306D">
              <w:rPr>
                <w:color w:val="000000"/>
                <w:sz w:val="22"/>
                <w:szCs w:val="22"/>
              </w:rPr>
              <w:t>17</w:t>
            </w:r>
          </w:p>
        </w:tc>
        <w:tc>
          <w:tcPr>
            <w:tcW w:w="1300" w:type="dxa"/>
            <w:tcBorders>
              <w:top w:val="nil"/>
              <w:left w:val="nil"/>
              <w:bottom w:val="single" w:sz="4" w:space="0" w:color="auto"/>
              <w:right w:val="single" w:sz="4" w:space="0" w:color="auto"/>
            </w:tcBorders>
            <w:shd w:val="clear" w:color="auto" w:fill="auto"/>
            <w:noWrap/>
            <w:hideMark/>
          </w:tcPr>
          <w:p w14:paraId="01E6EA26" w14:textId="77777777" w:rsidR="00FA742D" w:rsidRPr="00E1306D" w:rsidRDefault="00FA742D" w:rsidP="00BB2F80">
            <w:pPr>
              <w:keepNext/>
              <w:jc w:val="center"/>
              <w:rPr>
                <w:color w:val="000000"/>
                <w:sz w:val="22"/>
                <w:szCs w:val="22"/>
              </w:rPr>
            </w:pPr>
            <w:r w:rsidRPr="00E1306D">
              <w:rPr>
                <w:sz w:val="22"/>
                <w:szCs w:val="22"/>
              </w:rPr>
              <w:t>51,593</w:t>
            </w:r>
          </w:p>
        </w:tc>
        <w:tc>
          <w:tcPr>
            <w:tcW w:w="1360" w:type="dxa"/>
            <w:tcBorders>
              <w:top w:val="nil"/>
              <w:left w:val="nil"/>
              <w:bottom w:val="single" w:sz="4" w:space="0" w:color="auto"/>
              <w:right w:val="single" w:sz="4" w:space="0" w:color="auto"/>
            </w:tcBorders>
            <w:shd w:val="clear" w:color="auto" w:fill="auto"/>
            <w:noWrap/>
            <w:hideMark/>
          </w:tcPr>
          <w:p w14:paraId="12B1609D" w14:textId="77777777" w:rsidR="00FA742D" w:rsidRPr="00E1306D" w:rsidRDefault="00FA742D" w:rsidP="00BB2F80">
            <w:pPr>
              <w:keepNext/>
              <w:jc w:val="center"/>
              <w:rPr>
                <w:color w:val="000000"/>
                <w:sz w:val="22"/>
                <w:szCs w:val="22"/>
              </w:rPr>
            </w:pPr>
            <w:r w:rsidRPr="00E1306D">
              <w:rPr>
                <w:sz w:val="22"/>
                <w:szCs w:val="22"/>
              </w:rPr>
              <w:t>34,502</w:t>
            </w:r>
          </w:p>
        </w:tc>
        <w:tc>
          <w:tcPr>
            <w:tcW w:w="1480" w:type="dxa"/>
            <w:tcBorders>
              <w:top w:val="nil"/>
              <w:left w:val="nil"/>
              <w:bottom w:val="single" w:sz="4" w:space="0" w:color="auto"/>
              <w:right w:val="single" w:sz="4" w:space="0" w:color="auto"/>
            </w:tcBorders>
            <w:shd w:val="clear" w:color="auto" w:fill="auto"/>
            <w:noWrap/>
            <w:hideMark/>
          </w:tcPr>
          <w:p w14:paraId="39D43257" w14:textId="77777777" w:rsidR="00FA742D" w:rsidRPr="00E1306D" w:rsidRDefault="00FA742D" w:rsidP="00BB2F80">
            <w:pPr>
              <w:keepNext/>
              <w:jc w:val="center"/>
              <w:rPr>
                <w:color w:val="000000"/>
                <w:sz w:val="22"/>
                <w:szCs w:val="22"/>
              </w:rPr>
            </w:pPr>
            <w:r w:rsidRPr="00E1306D">
              <w:rPr>
                <w:sz w:val="22"/>
                <w:szCs w:val="22"/>
              </w:rPr>
              <w:t>55,849</w:t>
            </w:r>
          </w:p>
        </w:tc>
        <w:tc>
          <w:tcPr>
            <w:tcW w:w="1125" w:type="dxa"/>
            <w:tcBorders>
              <w:top w:val="nil"/>
              <w:left w:val="nil"/>
              <w:bottom w:val="single" w:sz="4" w:space="0" w:color="auto"/>
              <w:right w:val="single" w:sz="4" w:space="0" w:color="auto"/>
            </w:tcBorders>
            <w:shd w:val="clear" w:color="auto" w:fill="auto"/>
            <w:noWrap/>
            <w:hideMark/>
          </w:tcPr>
          <w:p w14:paraId="1C9C1324" w14:textId="77777777" w:rsidR="00FA742D" w:rsidRPr="00E1306D" w:rsidRDefault="00FA742D" w:rsidP="00BB2F80">
            <w:pPr>
              <w:keepNext/>
              <w:jc w:val="center"/>
              <w:rPr>
                <w:color w:val="000000"/>
                <w:sz w:val="22"/>
                <w:szCs w:val="22"/>
              </w:rPr>
            </w:pPr>
            <w:r w:rsidRPr="00E1306D">
              <w:rPr>
                <w:sz w:val="22"/>
                <w:szCs w:val="22"/>
              </w:rPr>
              <w:t>7,929</w:t>
            </w:r>
          </w:p>
        </w:tc>
      </w:tr>
      <w:tr w:rsidR="00FA742D" w:rsidRPr="00E1306D" w14:paraId="06A01530" w14:textId="77777777" w:rsidTr="00BB2F80">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3DB514" w14:textId="77777777" w:rsidR="00FA742D" w:rsidRPr="00E1306D" w:rsidRDefault="00FA742D" w:rsidP="00BB2F80">
            <w:pPr>
              <w:keepNext/>
              <w:jc w:val="center"/>
              <w:rPr>
                <w:b/>
                <w:color w:val="000000"/>
                <w:sz w:val="22"/>
                <w:szCs w:val="22"/>
              </w:rPr>
            </w:pPr>
            <w:r w:rsidRPr="00E1306D">
              <w:rPr>
                <w:b/>
                <w:color w:val="000000"/>
                <w:sz w:val="22"/>
                <w:szCs w:val="22"/>
              </w:rPr>
              <w:t>18</w:t>
            </w:r>
          </w:p>
        </w:tc>
        <w:tc>
          <w:tcPr>
            <w:tcW w:w="1300" w:type="dxa"/>
            <w:tcBorders>
              <w:top w:val="nil"/>
              <w:left w:val="nil"/>
              <w:bottom w:val="single" w:sz="4" w:space="0" w:color="auto"/>
              <w:right w:val="single" w:sz="4" w:space="0" w:color="auto"/>
            </w:tcBorders>
            <w:shd w:val="clear" w:color="auto" w:fill="auto"/>
            <w:noWrap/>
            <w:hideMark/>
          </w:tcPr>
          <w:p w14:paraId="37585E3D" w14:textId="77777777" w:rsidR="00FA742D" w:rsidRPr="00E1306D" w:rsidRDefault="00FA742D" w:rsidP="00BB2F80">
            <w:pPr>
              <w:keepNext/>
              <w:jc w:val="center"/>
              <w:rPr>
                <w:b/>
                <w:color w:val="000000"/>
                <w:sz w:val="22"/>
                <w:szCs w:val="22"/>
              </w:rPr>
            </w:pPr>
            <w:r w:rsidRPr="00E1306D">
              <w:rPr>
                <w:b/>
                <w:sz w:val="22"/>
                <w:szCs w:val="22"/>
              </w:rPr>
              <w:t>49,782</w:t>
            </w:r>
          </w:p>
        </w:tc>
        <w:tc>
          <w:tcPr>
            <w:tcW w:w="1360" w:type="dxa"/>
            <w:tcBorders>
              <w:top w:val="nil"/>
              <w:left w:val="nil"/>
              <w:bottom w:val="single" w:sz="4" w:space="0" w:color="auto"/>
              <w:right w:val="single" w:sz="4" w:space="0" w:color="auto"/>
            </w:tcBorders>
            <w:shd w:val="clear" w:color="auto" w:fill="auto"/>
            <w:noWrap/>
            <w:hideMark/>
          </w:tcPr>
          <w:p w14:paraId="542416D0" w14:textId="77777777" w:rsidR="00FA742D" w:rsidRPr="00E1306D" w:rsidRDefault="00FA742D" w:rsidP="00BB2F80">
            <w:pPr>
              <w:keepNext/>
              <w:jc w:val="center"/>
              <w:rPr>
                <w:b/>
                <w:color w:val="000000"/>
                <w:sz w:val="22"/>
                <w:szCs w:val="22"/>
              </w:rPr>
            </w:pPr>
            <w:r w:rsidRPr="00E1306D">
              <w:rPr>
                <w:b/>
                <w:sz w:val="22"/>
                <w:szCs w:val="22"/>
              </w:rPr>
              <w:t>47,905</w:t>
            </w:r>
          </w:p>
        </w:tc>
        <w:tc>
          <w:tcPr>
            <w:tcW w:w="1480" w:type="dxa"/>
            <w:tcBorders>
              <w:top w:val="nil"/>
              <w:left w:val="nil"/>
              <w:bottom w:val="single" w:sz="4" w:space="0" w:color="auto"/>
              <w:right w:val="single" w:sz="4" w:space="0" w:color="auto"/>
            </w:tcBorders>
            <w:shd w:val="clear" w:color="auto" w:fill="auto"/>
            <w:noWrap/>
            <w:hideMark/>
          </w:tcPr>
          <w:p w14:paraId="078C07E7" w14:textId="77777777" w:rsidR="00FA742D" w:rsidRPr="00E1306D" w:rsidRDefault="00FA742D" w:rsidP="00BB2F80">
            <w:pPr>
              <w:keepNext/>
              <w:jc w:val="center"/>
              <w:rPr>
                <w:b/>
                <w:color w:val="000000"/>
                <w:sz w:val="22"/>
                <w:szCs w:val="22"/>
              </w:rPr>
            </w:pPr>
            <w:r w:rsidRPr="00E1306D">
              <w:rPr>
                <w:b/>
                <w:sz w:val="22"/>
                <w:szCs w:val="22"/>
              </w:rPr>
              <w:t>50,571</w:t>
            </w:r>
          </w:p>
        </w:tc>
        <w:tc>
          <w:tcPr>
            <w:tcW w:w="1125" w:type="dxa"/>
            <w:tcBorders>
              <w:top w:val="nil"/>
              <w:left w:val="nil"/>
              <w:bottom w:val="single" w:sz="4" w:space="0" w:color="auto"/>
              <w:right w:val="single" w:sz="4" w:space="0" w:color="auto"/>
            </w:tcBorders>
            <w:shd w:val="clear" w:color="auto" w:fill="auto"/>
            <w:noWrap/>
            <w:hideMark/>
          </w:tcPr>
          <w:p w14:paraId="2217D055" w14:textId="77777777" w:rsidR="00FA742D" w:rsidRPr="00E1306D" w:rsidRDefault="00FA742D" w:rsidP="00BB2F80">
            <w:pPr>
              <w:keepNext/>
              <w:jc w:val="center"/>
              <w:rPr>
                <w:b/>
                <w:color w:val="000000"/>
                <w:sz w:val="22"/>
                <w:szCs w:val="22"/>
              </w:rPr>
            </w:pPr>
            <w:r w:rsidRPr="00E1306D">
              <w:rPr>
                <w:b/>
                <w:sz w:val="22"/>
                <w:szCs w:val="22"/>
              </w:rPr>
              <w:t>931</w:t>
            </w:r>
          </w:p>
        </w:tc>
      </w:tr>
      <w:tr w:rsidR="00FA742D" w:rsidRPr="00E1306D" w14:paraId="0A197FDB" w14:textId="77777777" w:rsidTr="00BB2F80">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5990C7" w14:textId="77777777" w:rsidR="00FA742D" w:rsidRPr="00E1306D" w:rsidRDefault="00FA742D" w:rsidP="00BB2F80">
            <w:pPr>
              <w:keepNext/>
              <w:jc w:val="center"/>
              <w:rPr>
                <w:color w:val="000000"/>
                <w:sz w:val="22"/>
                <w:szCs w:val="22"/>
              </w:rPr>
            </w:pPr>
            <w:r w:rsidRPr="00E1306D">
              <w:rPr>
                <w:color w:val="000000"/>
                <w:sz w:val="22"/>
                <w:szCs w:val="22"/>
              </w:rPr>
              <w:t>19</w:t>
            </w:r>
          </w:p>
        </w:tc>
        <w:tc>
          <w:tcPr>
            <w:tcW w:w="1300" w:type="dxa"/>
            <w:tcBorders>
              <w:top w:val="nil"/>
              <w:left w:val="nil"/>
              <w:bottom w:val="single" w:sz="4" w:space="0" w:color="auto"/>
              <w:right w:val="single" w:sz="4" w:space="0" w:color="auto"/>
            </w:tcBorders>
            <w:shd w:val="clear" w:color="auto" w:fill="auto"/>
            <w:noWrap/>
            <w:hideMark/>
          </w:tcPr>
          <w:p w14:paraId="751400ED" w14:textId="77777777" w:rsidR="00FA742D" w:rsidRPr="00E1306D" w:rsidRDefault="00FA742D" w:rsidP="00BB2F80">
            <w:pPr>
              <w:keepNext/>
              <w:jc w:val="center"/>
              <w:rPr>
                <w:color w:val="000000"/>
                <w:sz w:val="22"/>
                <w:szCs w:val="22"/>
              </w:rPr>
            </w:pPr>
            <w:r w:rsidRPr="00E1306D">
              <w:rPr>
                <w:sz w:val="22"/>
                <w:szCs w:val="22"/>
              </w:rPr>
              <w:t>46,242</w:t>
            </w:r>
          </w:p>
        </w:tc>
        <w:tc>
          <w:tcPr>
            <w:tcW w:w="1360" w:type="dxa"/>
            <w:tcBorders>
              <w:top w:val="nil"/>
              <w:left w:val="nil"/>
              <w:bottom w:val="single" w:sz="4" w:space="0" w:color="auto"/>
              <w:right w:val="single" w:sz="4" w:space="0" w:color="auto"/>
            </w:tcBorders>
            <w:shd w:val="clear" w:color="auto" w:fill="auto"/>
            <w:noWrap/>
            <w:hideMark/>
          </w:tcPr>
          <w:p w14:paraId="1B746DC0" w14:textId="77777777" w:rsidR="00FA742D" w:rsidRPr="00E1306D" w:rsidRDefault="00FA742D" w:rsidP="00BB2F80">
            <w:pPr>
              <w:keepNext/>
              <w:jc w:val="center"/>
              <w:rPr>
                <w:color w:val="000000"/>
                <w:sz w:val="22"/>
                <w:szCs w:val="22"/>
              </w:rPr>
            </w:pPr>
            <w:r w:rsidRPr="00E1306D">
              <w:rPr>
                <w:sz w:val="22"/>
                <w:szCs w:val="22"/>
              </w:rPr>
              <w:t>44,698</w:t>
            </w:r>
          </w:p>
        </w:tc>
        <w:tc>
          <w:tcPr>
            <w:tcW w:w="1480" w:type="dxa"/>
            <w:tcBorders>
              <w:top w:val="nil"/>
              <w:left w:val="nil"/>
              <w:bottom w:val="single" w:sz="4" w:space="0" w:color="auto"/>
              <w:right w:val="single" w:sz="4" w:space="0" w:color="auto"/>
            </w:tcBorders>
            <w:shd w:val="clear" w:color="auto" w:fill="auto"/>
            <w:noWrap/>
            <w:hideMark/>
          </w:tcPr>
          <w:p w14:paraId="5CA316B8" w14:textId="77777777" w:rsidR="00FA742D" w:rsidRPr="00E1306D" w:rsidRDefault="00FA742D" w:rsidP="00BB2F80">
            <w:pPr>
              <w:keepNext/>
              <w:jc w:val="center"/>
              <w:rPr>
                <w:color w:val="000000"/>
                <w:sz w:val="22"/>
                <w:szCs w:val="22"/>
              </w:rPr>
            </w:pPr>
            <w:r w:rsidRPr="00E1306D">
              <w:rPr>
                <w:sz w:val="22"/>
                <w:szCs w:val="22"/>
              </w:rPr>
              <w:t>46,898</w:t>
            </w:r>
          </w:p>
        </w:tc>
        <w:tc>
          <w:tcPr>
            <w:tcW w:w="1125" w:type="dxa"/>
            <w:tcBorders>
              <w:top w:val="nil"/>
              <w:left w:val="nil"/>
              <w:bottom w:val="single" w:sz="4" w:space="0" w:color="auto"/>
              <w:right w:val="single" w:sz="4" w:space="0" w:color="auto"/>
            </w:tcBorders>
            <w:shd w:val="clear" w:color="auto" w:fill="auto"/>
            <w:noWrap/>
            <w:hideMark/>
          </w:tcPr>
          <w:p w14:paraId="77AB84FB" w14:textId="77777777" w:rsidR="00FA742D" w:rsidRPr="00E1306D" w:rsidRDefault="00FA742D" w:rsidP="00BB2F80">
            <w:pPr>
              <w:keepNext/>
              <w:jc w:val="center"/>
              <w:rPr>
                <w:color w:val="000000"/>
                <w:sz w:val="22"/>
                <w:szCs w:val="22"/>
              </w:rPr>
            </w:pPr>
            <w:r w:rsidRPr="00E1306D">
              <w:rPr>
                <w:sz w:val="22"/>
                <w:szCs w:val="22"/>
              </w:rPr>
              <w:t>759</w:t>
            </w:r>
          </w:p>
        </w:tc>
      </w:tr>
      <w:tr w:rsidR="00FA742D" w:rsidRPr="00E1306D" w14:paraId="225049AE" w14:textId="77777777" w:rsidTr="00BB2F80">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4AB2FA" w14:textId="77777777" w:rsidR="00FA742D" w:rsidRPr="00E1306D" w:rsidRDefault="00FA742D" w:rsidP="00BB2F80">
            <w:pPr>
              <w:jc w:val="center"/>
              <w:rPr>
                <w:color w:val="000000"/>
                <w:sz w:val="22"/>
                <w:szCs w:val="22"/>
              </w:rPr>
            </w:pPr>
            <w:r w:rsidRPr="00E1306D">
              <w:rPr>
                <w:color w:val="000000"/>
                <w:sz w:val="22"/>
                <w:szCs w:val="22"/>
              </w:rPr>
              <w:t>20</w:t>
            </w:r>
          </w:p>
        </w:tc>
        <w:tc>
          <w:tcPr>
            <w:tcW w:w="1300" w:type="dxa"/>
            <w:tcBorders>
              <w:top w:val="nil"/>
              <w:left w:val="nil"/>
              <w:bottom w:val="single" w:sz="4" w:space="0" w:color="auto"/>
              <w:right w:val="single" w:sz="4" w:space="0" w:color="auto"/>
            </w:tcBorders>
            <w:shd w:val="clear" w:color="auto" w:fill="auto"/>
            <w:noWrap/>
            <w:hideMark/>
          </w:tcPr>
          <w:p w14:paraId="3FC0E00F" w14:textId="77777777" w:rsidR="00FA742D" w:rsidRPr="00E1306D" w:rsidRDefault="00FA742D" w:rsidP="00BB2F80">
            <w:pPr>
              <w:jc w:val="center"/>
              <w:rPr>
                <w:color w:val="000000"/>
                <w:sz w:val="22"/>
                <w:szCs w:val="22"/>
              </w:rPr>
            </w:pPr>
            <w:r w:rsidRPr="00E1306D">
              <w:rPr>
                <w:sz w:val="22"/>
                <w:szCs w:val="22"/>
              </w:rPr>
              <w:t>40,567</w:t>
            </w:r>
          </w:p>
        </w:tc>
        <w:tc>
          <w:tcPr>
            <w:tcW w:w="1360" w:type="dxa"/>
            <w:tcBorders>
              <w:top w:val="nil"/>
              <w:left w:val="nil"/>
              <w:bottom w:val="single" w:sz="4" w:space="0" w:color="auto"/>
              <w:right w:val="single" w:sz="4" w:space="0" w:color="auto"/>
            </w:tcBorders>
            <w:shd w:val="clear" w:color="auto" w:fill="auto"/>
            <w:noWrap/>
            <w:hideMark/>
          </w:tcPr>
          <w:p w14:paraId="656084FA" w14:textId="77777777" w:rsidR="00FA742D" w:rsidRPr="00E1306D" w:rsidRDefault="00FA742D" w:rsidP="00BB2F80">
            <w:pPr>
              <w:jc w:val="center"/>
              <w:rPr>
                <w:color w:val="000000"/>
                <w:sz w:val="22"/>
                <w:szCs w:val="22"/>
              </w:rPr>
            </w:pPr>
            <w:r w:rsidRPr="00E1306D">
              <w:rPr>
                <w:sz w:val="22"/>
                <w:szCs w:val="22"/>
              </w:rPr>
              <w:t>27,038</w:t>
            </w:r>
          </w:p>
        </w:tc>
        <w:tc>
          <w:tcPr>
            <w:tcW w:w="1480" w:type="dxa"/>
            <w:tcBorders>
              <w:top w:val="nil"/>
              <w:left w:val="nil"/>
              <w:bottom w:val="single" w:sz="4" w:space="0" w:color="auto"/>
              <w:right w:val="single" w:sz="4" w:space="0" w:color="auto"/>
            </w:tcBorders>
            <w:shd w:val="clear" w:color="auto" w:fill="auto"/>
            <w:noWrap/>
            <w:hideMark/>
          </w:tcPr>
          <w:p w14:paraId="42DA4961" w14:textId="77777777" w:rsidR="00FA742D" w:rsidRPr="00E1306D" w:rsidRDefault="00FA742D" w:rsidP="00BB2F80">
            <w:pPr>
              <w:jc w:val="center"/>
              <w:rPr>
                <w:color w:val="000000"/>
                <w:sz w:val="22"/>
                <w:szCs w:val="22"/>
              </w:rPr>
            </w:pPr>
            <w:r w:rsidRPr="00E1306D">
              <w:rPr>
                <w:sz w:val="22"/>
                <w:szCs w:val="22"/>
              </w:rPr>
              <w:t>43,779</w:t>
            </w:r>
          </w:p>
        </w:tc>
        <w:tc>
          <w:tcPr>
            <w:tcW w:w="1125" w:type="dxa"/>
            <w:tcBorders>
              <w:top w:val="nil"/>
              <w:left w:val="nil"/>
              <w:bottom w:val="single" w:sz="4" w:space="0" w:color="auto"/>
              <w:right w:val="single" w:sz="4" w:space="0" w:color="auto"/>
            </w:tcBorders>
            <w:shd w:val="clear" w:color="auto" w:fill="auto"/>
            <w:noWrap/>
            <w:hideMark/>
          </w:tcPr>
          <w:p w14:paraId="4B3DF0EB" w14:textId="77777777" w:rsidR="00FA742D" w:rsidRPr="00E1306D" w:rsidRDefault="00FA742D" w:rsidP="00BB2F80">
            <w:pPr>
              <w:jc w:val="center"/>
              <w:rPr>
                <w:color w:val="000000"/>
                <w:sz w:val="22"/>
                <w:szCs w:val="22"/>
              </w:rPr>
            </w:pPr>
            <w:r w:rsidRPr="00E1306D">
              <w:rPr>
                <w:sz w:val="22"/>
                <w:szCs w:val="22"/>
              </w:rPr>
              <w:t>6,204</w:t>
            </w:r>
          </w:p>
        </w:tc>
      </w:tr>
    </w:tbl>
    <w:p w14:paraId="695B5BEA" w14:textId="67BDA2A4" w:rsidR="00FA742D" w:rsidRDefault="00FA742D" w:rsidP="00FA742D"/>
    <w:p w14:paraId="70E218B7" w14:textId="77777777" w:rsidR="00FA742D" w:rsidRPr="00FA742D" w:rsidRDefault="00FA742D" w:rsidP="00FA742D">
      <w:pPr>
        <w:rPr>
          <w:b/>
          <w:sz w:val="28"/>
          <w:szCs w:val="28"/>
        </w:rPr>
      </w:pPr>
      <w:r w:rsidRPr="00FA742D">
        <w:rPr>
          <w:b/>
          <w:sz w:val="28"/>
          <w:szCs w:val="28"/>
        </w:rPr>
        <w:t xml:space="preserve">Commercial Data Analysis of Management Alternatives </w:t>
      </w:r>
    </w:p>
    <w:p w14:paraId="2CDB1639" w14:textId="77777777" w:rsidR="00FA742D" w:rsidRDefault="00FA742D" w:rsidP="00FA742D">
      <w:r>
        <w:t>Dr. Michael Larkin, SERO Staff</w:t>
      </w:r>
    </w:p>
    <w:p w14:paraId="6BF0585A" w14:textId="77777777" w:rsidR="00FA742D" w:rsidRDefault="00FA742D" w:rsidP="00FA742D"/>
    <w:p w14:paraId="007AAE57" w14:textId="69B45356" w:rsidR="0028435F" w:rsidRDefault="0028435F" w:rsidP="0028435F">
      <w:pPr>
        <w:rPr>
          <w:u w:val="single"/>
        </w:rPr>
      </w:pPr>
      <w:r>
        <w:rPr>
          <w:u w:val="single"/>
        </w:rPr>
        <w:t>Minimum Size Limit Analysis</w:t>
      </w:r>
    </w:p>
    <w:p w14:paraId="730B3607" w14:textId="48B82CDA" w:rsidR="0028435F" w:rsidRDefault="0028435F" w:rsidP="0028435F">
      <w:pPr>
        <w:tabs>
          <w:tab w:val="center" w:pos="4320"/>
          <w:tab w:val="left" w:pos="8640"/>
        </w:tabs>
      </w:pPr>
      <w:r>
        <w:rPr>
          <w:bCs/>
        </w:rPr>
        <w:t xml:space="preserve">Action 5 in Amendment 41 considers changes to the mutton snapper minimum size limit for the commercial and recreational sectors.  Analyses for the recreational sector are presented above.  For the commercial sector, </w:t>
      </w:r>
      <w:r w:rsidR="00AC071E">
        <w:rPr>
          <w:bCs/>
        </w:rPr>
        <w:t>mutton snapper</w:t>
      </w:r>
      <w:r>
        <w:rPr>
          <w:bCs/>
        </w:rPr>
        <w:t xml:space="preserve"> l</w:t>
      </w:r>
      <w:r w:rsidRPr="000D02BD">
        <w:rPr>
          <w:bCs/>
        </w:rPr>
        <w:t xml:space="preserve">ength measurements </w:t>
      </w:r>
      <w:r w:rsidR="007541E9">
        <w:rPr>
          <w:bCs/>
        </w:rPr>
        <w:t>were collected from dock</w:t>
      </w:r>
      <w:r>
        <w:rPr>
          <w:bCs/>
        </w:rPr>
        <w:t>side interce</w:t>
      </w:r>
      <w:r w:rsidR="00AC071E">
        <w:rPr>
          <w:bCs/>
        </w:rPr>
        <w:t>pts of commercial fishers.  These</w:t>
      </w:r>
      <w:r>
        <w:rPr>
          <w:bCs/>
        </w:rPr>
        <w:t xml:space="preserve"> data came from the Southeast Fisheries Science Center’s Trip Intercept Program (TIP).  </w:t>
      </w:r>
      <w:r w:rsidRPr="000D02BD">
        <w:rPr>
          <w:bCs/>
        </w:rPr>
        <w:t xml:space="preserve">All lengths were </w:t>
      </w:r>
      <w:r>
        <w:rPr>
          <w:bCs/>
        </w:rPr>
        <w:t xml:space="preserve">converted to inches total length (TL) </w:t>
      </w:r>
      <w:r w:rsidRPr="000D02BD">
        <w:rPr>
          <w:bCs/>
        </w:rPr>
        <w:t>using standard conversion factors and equations</w:t>
      </w:r>
      <w:r>
        <w:rPr>
          <w:bCs/>
        </w:rPr>
        <w:t xml:space="preserve"> used in SEDAR 15A (2015).  </w:t>
      </w:r>
      <w:r w:rsidRPr="000D02BD">
        <w:rPr>
          <w:bCs/>
        </w:rPr>
        <w:t xml:space="preserve">The size limit analysis estimated the percent reduction in weight.  Thus the weight of each fish was required.  When weight data was available it was used.  When weight data was unavailable it was estimated from length using the </w:t>
      </w:r>
      <w:r>
        <w:rPr>
          <w:bCs/>
        </w:rPr>
        <w:t xml:space="preserve">mutton snapper weight-length </w:t>
      </w:r>
      <w:r w:rsidRPr="000D02BD">
        <w:rPr>
          <w:bCs/>
        </w:rPr>
        <w:t>equations</w:t>
      </w:r>
      <w:r>
        <w:rPr>
          <w:bCs/>
        </w:rPr>
        <w:t xml:space="preserve"> defined in SEDAR 15A (2015).</w:t>
      </w:r>
    </w:p>
    <w:p w14:paraId="1024AAAC" w14:textId="77777777" w:rsidR="0028435F" w:rsidRDefault="0028435F" w:rsidP="0028435F">
      <w:pPr>
        <w:tabs>
          <w:tab w:val="center" w:pos="4320"/>
          <w:tab w:val="left" w:pos="8640"/>
        </w:tabs>
      </w:pPr>
    </w:p>
    <w:p w14:paraId="1C9C7216" w14:textId="7C0415AC" w:rsidR="0028435F" w:rsidRDefault="0028435F" w:rsidP="0028435F">
      <w:pPr>
        <w:tabs>
          <w:tab w:val="center" w:pos="4320"/>
          <w:tab w:val="left" w:pos="8640"/>
        </w:tabs>
      </w:pPr>
      <w:r w:rsidRPr="0028435F">
        <w:rPr>
          <w:b/>
        </w:rPr>
        <w:t>Figure 1</w:t>
      </w:r>
      <w:r w:rsidRPr="000D02BD">
        <w:t xml:space="preserve"> provides the </w:t>
      </w:r>
      <w:r>
        <w:t xml:space="preserve">South Atlantic mutton snapper </w:t>
      </w:r>
      <w:r w:rsidRPr="000D02BD">
        <w:t xml:space="preserve">length distribution for the </w:t>
      </w:r>
      <w:r>
        <w:t>commercial secto</w:t>
      </w:r>
      <w:r w:rsidR="007541E9">
        <w:t>r in 1-inch increments from 2013-2015</w:t>
      </w:r>
      <w:r w:rsidRPr="000D02BD">
        <w:t xml:space="preserve">.  </w:t>
      </w:r>
      <w:r>
        <w:t>In the commercial sector, the majority of the mutton snapper are harvested well above any of the minimum size limits being consider</w:t>
      </w:r>
      <w:r w:rsidR="007541E9">
        <w:t>ed in Amendment 41.  In fact, 60</w:t>
      </w:r>
      <w:r>
        <w:t xml:space="preserve">% of the lengths are above the largest minimum size (20 inches TL) being considered in the amendment.  </w:t>
      </w:r>
      <w:r w:rsidRPr="000D02BD">
        <w:t xml:space="preserve"> </w:t>
      </w:r>
    </w:p>
    <w:p w14:paraId="475415C3" w14:textId="77777777" w:rsidR="00AC071E" w:rsidRDefault="00AC071E" w:rsidP="0028435F">
      <w:pPr>
        <w:tabs>
          <w:tab w:val="center" w:pos="4320"/>
          <w:tab w:val="left" w:pos="8640"/>
        </w:tabs>
      </w:pPr>
    </w:p>
    <w:p w14:paraId="38D17229" w14:textId="502B3BB4" w:rsidR="0028435F" w:rsidRDefault="007541E9" w:rsidP="0028435F">
      <w:pPr>
        <w:tabs>
          <w:tab w:val="center" w:pos="4320"/>
          <w:tab w:val="left" w:pos="8640"/>
        </w:tabs>
      </w:pPr>
      <w:r>
        <w:rPr>
          <w:noProof/>
        </w:rPr>
        <w:drawing>
          <wp:inline distT="0" distB="0" distL="0" distR="0" wp14:anchorId="259E5078" wp14:editId="4581CA89">
            <wp:extent cx="5314950" cy="3310890"/>
            <wp:effectExtent l="0" t="0" r="0" b="381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7746892B" w14:textId="77777777" w:rsidR="00FB0D08" w:rsidRDefault="00FB0D08" w:rsidP="0028435F">
      <w:pPr>
        <w:rPr>
          <w:rFonts w:ascii="Arial" w:hAnsi="Arial" w:cs="Arial"/>
          <w:b/>
          <w:bCs/>
          <w:sz w:val="20"/>
          <w:szCs w:val="20"/>
        </w:rPr>
      </w:pPr>
    </w:p>
    <w:p w14:paraId="56156343" w14:textId="22381EC3" w:rsidR="0028435F" w:rsidRPr="00AC071E" w:rsidRDefault="0028435F" w:rsidP="0028435F">
      <w:pPr>
        <w:rPr>
          <w:rFonts w:ascii="Arial" w:hAnsi="Arial" w:cs="Arial"/>
          <w:bCs/>
          <w:sz w:val="20"/>
          <w:szCs w:val="20"/>
        </w:rPr>
      </w:pPr>
      <w:r w:rsidRPr="00AC071E">
        <w:rPr>
          <w:rFonts w:ascii="Arial" w:hAnsi="Arial" w:cs="Arial"/>
          <w:b/>
          <w:bCs/>
          <w:sz w:val="20"/>
          <w:szCs w:val="20"/>
        </w:rPr>
        <w:t xml:space="preserve">Figure 1. </w:t>
      </w:r>
      <w:r w:rsidRPr="00AC071E">
        <w:rPr>
          <w:rFonts w:ascii="Arial" w:hAnsi="Arial" w:cs="Arial"/>
          <w:bCs/>
          <w:sz w:val="20"/>
          <w:szCs w:val="20"/>
        </w:rPr>
        <w:t>South Atlantic mutton snapper total length distribution</w:t>
      </w:r>
      <w:r w:rsidR="007541E9">
        <w:rPr>
          <w:rFonts w:ascii="Arial" w:hAnsi="Arial" w:cs="Arial"/>
          <w:bCs/>
          <w:sz w:val="20"/>
          <w:szCs w:val="20"/>
        </w:rPr>
        <w:t xml:space="preserve"> generated from commercial dock</w:t>
      </w:r>
      <w:r w:rsidRPr="00AC071E">
        <w:rPr>
          <w:rFonts w:ascii="Arial" w:hAnsi="Arial" w:cs="Arial"/>
          <w:bCs/>
          <w:sz w:val="20"/>
          <w:szCs w:val="20"/>
        </w:rPr>
        <w:t>side</w:t>
      </w:r>
      <w:r w:rsidR="007541E9">
        <w:rPr>
          <w:rFonts w:ascii="Arial" w:hAnsi="Arial" w:cs="Arial"/>
          <w:bCs/>
          <w:sz w:val="20"/>
          <w:szCs w:val="20"/>
        </w:rPr>
        <w:t xml:space="preserve"> intercepts (TIP data) from 2013 to 2015 (n=925</w:t>
      </w:r>
      <w:r w:rsidRPr="00AC071E">
        <w:rPr>
          <w:rFonts w:ascii="Arial" w:hAnsi="Arial" w:cs="Arial"/>
          <w:bCs/>
          <w:sz w:val="20"/>
          <w:szCs w:val="20"/>
        </w:rPr>
        <w:t xml:space="preserve"> mutton snapper).  The red line denotes the current commercial minimum size limit of 16 inches TL.</w:t>
      </w:r>
    </w:p>
    <w:p w14:paraId="0D8DEF6A" w14:textId="77777777" w:rsidR="0028435F" w:rsidRPr="000D02BD" w:rsidRDefault="0028435F" w:rsidP="0028435F">
      <w:pPr>
        <w:tabs>
          <w:tab w:val="left" w:pos="1254"/>
        </w:tabs>
        <w:rPr>
          <w:bCs/>
        </w:rPr>
      </w:pPr>
    </w:p>
    <w:p w14:paraId="19266278" w14:textId="77777777" w:rsidR="0028435F" w:rsidRPr="000D02BD" w:rsidRDefault="0028435F" w:rsidP="0028435F">
      <w:pPr>
        <w:rPr>
          <w:bCs/>
          <w:color w:val="000000"/>
          <w:shd w:val="clear" w:color="auto" w:fill="FFFFFF"/>
        </w:rPr>
      </w:pPr>
      <w:r w:rsidRPr="000D02BD">
        <w:rPr>
          <w:bCs/>
          <w:color w:val="000000"/>
          <w:shd w:val="clear" w:color="auto" w:fill="FFFFFF"/>
        </w:rPr>
        <w:lastRenderedPageBreak/>
        <w:t>Reductions in landings in weight were calculated for minimum size limits (MSL</w:t>
      </w:r>
      <w:r>
        <w:rPr>
          <w:bCs/>
          <w:color w:val="000000"/>
          <w:shd w:val="clear" w:color="auto" w:fill="FFFFFF"/>
        </w:rPr>
        <w:t>) at 1 inch intervals between 16</w:t>
      </w:r>
      <w:r w:rsidRPr="000D02BD">
        <w:rPr>
          <w:bCs/>
          <w:color w:val="000000"/>
          <w:shd w:val="clear" w:color="auto" w:fill="FFFFFF"/>
        </w:rPr>
        <w:t>-20 inches</w:t>
      </w:r>
      <w:r>
        <w:rPr>
          <w:bCs/>
          <w:color w:val="000000"/>
          <w:shd w:val="clear" w:color="auto" w:fill="FFFFFF"/>
        </w:rPr>
        <w:t xml:space="preserve"> TL</w:t>
      </w:r>
      <w:r w:rsidRPr="000D02BD">
        <w:rPr>
          <w:bCs/>
          <w:color w:val="000000"/>
          <w:shd w:val="clear" w:color="auto" w:fill="FFFFFF"/>
        </w:rPr>
        <w:t xml:space="preserve"> as follows: </w:t>
      </w:r>
    </w:p>
    <w:p w14:paraId="709C4878" w14:textId="77777777" w:rsidR="0028435F" w:rsidRPr="000D02BD" w:rsidRDefault="0028435F" w:rsidP="0028435F">
      <w:pPr>
        <w:rPr>
          <w:bCs/>
          <w:color w:val="000000"/>
          <w:shd w:val="clear" w:color="auto" w:fill="FFFFFF"/>
        </w:rPr>
      </w:pPr>
    </w:p>
    <w:p w14:paraId="36950A3F" w14:textId="77777777" w:rsidR="0028435F" w:rsidRPr="000D02BD" w:rsidRDefault="0028435F" w:rsidP="0028435F">
      <w:pPr>
        <w:rPr>
          <w:bCs/>
        </w:rPr>
      </w:pPr>
      <w:r w:rsidRPr="000D02BD">
        <w:rPr>
          <w:bCs/>
          <w:color w:val="000000"/>
          <w:shd w:val="clear" w:color="auto" w:fill="FFFFFF"/>
        </w:rPr>
        <w:tab/>
      </w:r>
      <w:r w:rsidRPr="000D02BD">
        <w:rPr>
          <w:bCs/>
          <w:color w:val="000000"/>
          <w:shd w:val="clear" w:color="auto" w:fill="FFFFFF"/>
        </w:rPr>
        <w:tab/>
        <w:t xml:space="preserve">Percent reduction = </w:t>
      </w:r>
      <w:r w:rsidRPr="000D02BD">
        <w:rPr>
          <w:bCs/>
          <w:i/>
          <w:color w:val="000000"/>
          <w:shd w:val="clear" w:color="auto" w:fill="FFFFFF"/>
        </w:rPr>
        <w:t xml:space="preserve">((C – </w:t>
      </w:r>
      <w:r>
        <w:rPr>
          <w:bCs/>
          <w:i/>
          <w:color w:val="000000"/>
          <w:shd w:val="clear" w:color="auto" w:fill="FFFFFF"/>
        </w:rPr>
        <w:t>(</w:t>
      </w:r>
      <w:r w:rsidRPr="000D02BD">
        <w:rPr>
          <w:bCs/>
          <w:i/>
          <w:color w:val="000000"/>
          <w:shd w:val="clear" w:color="auto" w:fill="FFFFFF"/>
        </w:rPr>
        <w:t>G</w:t>
      </w:r>
      <w:r>
        <w:rPr>
          <w:bCs/>
          <w:i/>
          <w:color w:val="000000"/>
          <w:shd w:val="clear" w:color="auto" w:fill="FFFFFF"/>
        </w:rPr>
        <w:t>+R)</w:t>
      </w:r>
      <w:r w:rsidRPr="000D02BD">
        <w:rPr>
          <w:bCs/>
          <w:i/>
          <w:color w:val="000000"/>
          <w:shd w:val="clear" w:color="auto" w:fill="FFFFFF"/>
        </w:rPr>
        <w:t>) - B)</w:t>
      </w:r>
      <w:r w:rsidRPr="000D02BD">
        <w:rPr>
          <w:bCs/>
          <w:i/>
        </w:rPr>
        <w:t>/C</w:t>
      </w:r>
      <w:r w:rsidRPr="000D02BD">
        <w:rPr>
          <w:bCs/>
        </w:rPr>
        <w:t xml:space="preserve">, where: </w:t>
      </w:r>
    </w:p>
    <w:p w14:paraId="0EB6E709" w14:textId="77777777" w:rsidR="0028435F" w:rsidRPr="000D02BD" w:rsidRDefault="0028435F" w:rsidP="0028435F">
      <w:pPr>
        <w:ind w:left="1440"/>
        <w:rPr>
          <w:bCs/>
          <w:i/>
        </w:rPr>
      </w:pPr>
      <w:r w:rsidRPr="000D02BD">
        <w:rPr>
          <w:bCs/>
          <w:i/>
        </w:rPr>
        <w:t>C = catch in pounds</w:t>
      </w:r>
    </w:p>
    <w:p w14:paraId="19C9F713" w14:textId="77777777" w:rsidR="0028435F" w:rsidRDefault="0028435F" w:rsidP="0028435F">
      <w:pPr>
        <w:ind w:left="1440"/>
        <w:rPr>
          <w:bCs/>
          <w:i/>
        </w:rPr>
      </w:pPr>
      <w:r w:rsidRPr="000D02BD">
        <w:rPr>
          <w:bCs/>
          <w:i/>
        </w:rPr>
        <w:t>G = weight of fish that are greater than or equal to the MSL</w:t>
      </w:r>
    </w:p>
    <w:p w14:paraId="74184D38" w14:textId="77777777" w:rsidR="0028435F" w:rsidRDefault="0028435F" w:rsidP="0028435F">
      <w:pPr>
        <w:ind w:left="1440"/>
        <w:rPr>
          <w:bCs/>
          <w:i/>
        </w:rPr>
      </w:pPr>
      <w:r>
        <w:rPr>
          <w:bCs/>
          <w:i/>
        </w:rPr>
        <w:t>R</w:t>
      </w:r>
      <w:r w:rsidRPr="000D02BD">
        <w:rPr>
          <w:bCs/>
          <w:i/>
        </w:rPr>
        <w:t xml:space="preserve"> = </w:t>
      </w:r>
      <w:r>
        <w:rPr>
          <w:bCs/>
          <w:i/>
        </w:rPr>
        <w:t xml:space="preserve">release mortality multiplied against the </w:t>
      </w:r>
      <w:r w:rsidRPr="000D02BD">
        <w:rPr>
          <w:bCs/>
          <w:i/>
        </w:rPr>
        <w:t xml:space="preserve">fish that </w:t>
      </w:r>
      <w:r>
        <w:rPr>
          <w:bCs/>
          <w:i/>
        </w:rPr>
        <w:t xml:space="preserve">larger than the 16-inch TL MSL and </w:t>
      </w:r>
      <w:r w:rsidRPr="000D02BD">
        <w:rPr>
          <w:bCs/>
          <w:i/>
        </w:rPr>
        <w:t xml:space="preserve">are </w:t>
      </w:r>
      <w:r>
        <w:rPr>
          <w:bCs/>
          <w:i/>
        </w:rPr>
        <w:t>less</w:t>
      </w:r>
      <w:r w:rsidRPr="000D02BD">
        <w:rPr>
          <w:bCs/>
          <w:i/>
        </w:rPr>
        <w:t xml:space="preserve"> than the MSL</w:t>
      </w:r>
      <w:r>
        <w:rPr>
          <w:bCs/>
          <w:i/>
        </w:rPr>
        <w:t xml:space="preserve"> being considered</w:t>
      </w:r>
    </w:p>
    <w:p w14:paraId="63575BD2" w14:textId="77777777" w:rsidR="0028435F" w:rsidRPr="000D02BD" w:rsidRDefault="0028435F" w:rsidP="0028435F">
      <w:pPr>
        <w:ind w:left="1890" w:hanging="450"/>
        <w:rPr>
          <w:bCs/>
          <w:i/>
          <w:color w:val="000000"/>
          <w:shd w:val="clear" w:color="auto" w:fill="FFFFFF"/>
        </w:rPr>
      </w:pPr>
      <w:r w:rsidRPr="000D02BD">
        <w:rPr>
          <w:bCs/>
          <w:i/>
        </w:rPr>
        <w:t>B = we</w:t>
      </w:r>
      <w:r>
        <w:rPr>
          <w:bCs/>
          <w:i/>
        </w:rPr>
        <w:t>ight of fish smaller than the 16-inch TL</w:t>
      </w:r>
      <w:r w:rsidRPr="000D02BD">
        <w:rPr>
          <w:bCs/>
          <w:i/>
        </w:rPr>
        <w:t xml:space="preserve"> MSL (non-compliance) </w:t>
      </w:r>
    </w:p>
    <w:p w14:paraId="296A7882" w14:textId="77777777" w:rsidR="0028435F" w:rsidRPr="000D02BD" w:rsidRDefault="0028435F" w:rsidP="0028435F">
      <w:pPr>
        <w:rPr>
          <w:bCs/>
          <w:color w:val="000000"/>
          <w:shd w:val="clear" w:color="auto" w:fill="FFFFFF"/>
        </w:rPr>
      </w:pPr>
    </w:p>
    <w:p w14:paraId="749DD84F" w14:textId="576994B1" w:rsidR="0028435F" w:rsidRDefault="0028435F" w:rsidP="0028435F">
      <w:pPr>
        <w:rPr>
          <w:bCs/>
        </w:rPr>
      </w:pPr>
      <w:r w:rsidRPr="000D02BD">
        <w:rPr>
          <w:bCs/>
        </w:rPr>
        <w:t xml:space="preserve">Percent reductions associated with MSL were normalized to a 0% reduction at the </w:t>
      </w:r>
      <w:r>
        <w:rPr>
          <w:bCs/>
        </w:rPr>
        <w:t>commercial</w:t>
      </w:r>
      <w:r w:rsidRPr="000D02BD">
        <w:rPr>
          <w:bCs/>
        </w:rPr>
        <w:t xml:space="preserve"> status quo size limit</w:t>
      </w:r>
      <w:r>
        <w:rPr>
          <w:bCs/>
        </w:rPr>
        <w:t xml:space="preserve"> of 16</w:t>
      </w:r>
      <w:r w:rsidRPr="000D02BD">
        <w:rPr>
          <w:bCs/>
        </w:rPr>
        <w:t xml:space="preserve"> inches </w:t>
      </w:r>
      <w:r>
        <w:rPr>
          <w:bCs/>
        </w:rPr>
        <w:t>total</w:t>
      </w:r>
      <w:r w:rsidRPr="000D02BD">
        <w:rPr>
          <w:bCs/>
        </w:rPr>
        <w:t xml:space="preserve"> length.  Due to concerns about low sample sizes, output was pooled for </w:t>
      </w:r>
      <w:r w:rsidR="007541E9">
        <w:rPr>
          <w:bCs/>
        </w:rPr>
        <w:t>2013-2015</w:t>
      </w:r>
      <w:r w:rsidRPr="000D02BD">
        <w:rPr>
          <w:bCs/>
        </w:rPr>
        <w:t xml:space="preserve"> data.  </w:t>
      </w:r>
      <w:r>
        <w:rPr>
          <w:bCs/>
        </w:rPr>
        <w:t>All of the weights used in the analysis are in pounds whole weight.  Release mortality was incorporated into the analysis, and was determined to be 15% following SEDAR 15A (2015).</w:t>
      </w:r>
    </w:p>
    <w:p w14:paraId="66803AAB" w14:textId="77777777" w:rsidR="0028435F" w:rsidRDefault="0028435F" w:rsidP="0028435F">
      <w:pPr>
        <w:rPr>
          <w:bCs/>
        </w:rPr>
      </w:pPr>
    </w:p>
    <w:p w14:paraId="6057A895" w14:textId="6209A358" w:rsidR="0028435F" w:rsidRPr="0028435F" w:rsidRDefault="0028435F" w:rsidP="0028435F">
      <w:pPr>
        <w:rPr>
          <w:rFonts w:ascii="Arial" w:hAnsi="Arial" w:cs="Arial"/>
          <w:bCs/>
          <w:sz w:val="20"/>
          <w:szCs w:val="20"/>
        </w:rPr>
      </w:pPr>
      <w:r w:rsidRPr="0028435F">
        <w:rPr>
          <w:rFonts w:ascii="Arial" w:hAnsi="Arial" w:cs="Arial"/>
          <w:b/>
          <w:bCs/>
          <w:sz w:val="20"/>
          <w:szCs w:val="20"/>
        </w:rPr>
        <w:t>Table 1.</w:t>
      </w:r>
      <w:r w:rsidRPr="0028435F">
        <w:rPr>
          <w:rFonts w:ascii="Arial" w:hAnsi="Arial" w:cs="Arial"/>
          <w:bCs/>
          <w:sz w:val="20"/>
          <w:szCs w:val="20"/>
        </w:rPr>
        <w:t xml:space="preserve"> Estimated percent reductions in mutton snapper commercial landings for the minimum size limits being considered in Amendment 41.  The reduction was g</w:t>
      </w:r>
      <w:r w:rsidR="007541E9">
        <w:rPr>
          <w:rFonts w:ascii="Arial" w:hAnsi="Arial" w:cs="Arial"/>
          <w:bCs/>
          <w:sz w:val="20"/>
          <w:szCs w:val="20"/>
        </w:rPr>
        <w:t>enerated with TIP data from 2013-2015</w:t>
      </w:r>
      <w:r w:rsidRPr="0028435F">
        <w:rPr>
          <w:rFonts w:ascii="Arial" w:hAnsi="Arial" w:cs="Arial"/>
          <w:bCs/>
          <w:sz w:val="20"/>
          <w:szCs w:val="20"/>
        </w:rPr>
        <w:t>,</w:t>
      </w:r>
      <w:r w:rsidR="007541E9">
        <w:rPr>
          <w:rFonts w:ascii="Arial" w:hAnsi="Arial" w:cs="Arial"/>
          <w:bCs/>
          <w:sz w:val="20"/>
          <w:szCs w:val="20"/>
        </w:rPr>
        <w:t xml:space="preserve"> and came from a sample of 925</w:t>
      </w:r>
      <w:r w:rsidRPr="0028435F">
        <w:rPr>
          <w:rFonts w:ascii="Arial" w:hAnsi="Arial" w:cs="Arial"/>
          <w:bCs/>
          <w:sz w:val="20"/>
          <w:szCs w:val="20"/>
        </w:rPr>
        <w:t xml:space="preserve"> fish.  </w:t>
      </w:r>
    </w:p>
    <w:tbl>
      <w:tblPr>
        <w:tblW w:w="3080" w:type="dxa"/>
        <w:tblInd w:w="93" w:type="dxa"/>
        <w:tblLook w:val="04A0" w:firstRow="1" w:lastRow="0" w:firstColumn="1" w:lastColumn="0" w:noHBand="0" w:noVBand="1"/>
      </w:tblPr>
      <w:tblGrid>
        <w:gridCol w:w="1820"/>
        <w:gridCol w:w="1260"/>
      </w:tblGrid>
      <w:tr w:rsidR="007541E9" w:rsidRPr="0028435F" w14:paraId="68A9DEB4" w14:textId="77777777" w:rsidTr="00F11EA9">
        <w:trPr>
          <w:trHeight w:val="288"/>
        </w:trPr>
        <w:tc>
          <w:tcPr>
            <w:tcW w:w="182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9821C68" w14:textId="77777777" w:rsidR="007541E9" w:rsidRPr="0028435F" w:rsidRDefault="007541E9" w:rsidP="00F11EA9">
            <w:pPr>
              <w:jc w:val="center"/>
              <w:rPr>
                <w:b/>
                <w:color w:val="000000"/>
                <w:sz w:val="22"/>
                <w:szCs w:val="22"/>
              </w:rPr>
            </w:pPr>
            <w:r w:rsidRPr="0028435F">
              <w:rPr>
                <w:b/>
                <w:color w:val="000000"/>
                <w:sz w:val="22"/>
                <w:szCs w:val="22"/>
              </w:rPr>
              <w:t>Minimum Size Limit (inches TL)</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F88A835" w14:textId="77777777" w:rsidR="007541E9" w:rsidRPr="0028435F" w:rsidRDefault="007541E9" w:rsidP="00F11EA9">
            <w:pPr>
              <w:jc w:val="center"/>
              <w:rPr>
                <w:b/>
                <w:color w:val="000000"/>
                <w:sz w:val="22"/>
                <w:szCs w:val="22"/>
              </w:rPr>
            </w:pPr>
            <w:r w:rsidRPr="0028435F">
              <w:rPr>
                <w:b/>
                <w:color w:val="000000"/>
                <w:sz w:val="22"/>
                <w:szCs w:val="22"/>
              </w:rPr>
              <w:t>Percent Reduction</w:t>
            </w:r>
          </w:p>
        </w:tc>
      </w:tr>
      <w:tr w:rsidR="007541E9" w:rsidRPr="0028435F" w14:paraId="06F27E48" w14:textId="77777777" w:rsidTr="00F11EA9">
        <w:trPr>
          <w:trHeight w:val="288"/>
        </w:trPr>
        <w:tc>
          <w:tcPr>
            <w:tcW w:w="18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7D19D7E" w14:textId="77777777" w:rsidR="007541E9" w:rsidRPr="0028435F" w:rsidRDefault="007541E9" w:rsidP="00F11EA9">
            <w:pPr>
              <w:rPr>
                <w:color w:val="000000"/>
                <w:sz w:val="22"/>
                <w:szCs w:val="22"/>
              </w:rPr>
            </w:pPr>
          </w:p>
        </w:tc>
        <w:tc>
          <w:tcPr>
            <w:tcW w:w="126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F93DF84" w14:textId="77777777" w:rsidR="007541E9" w:rsidRPr="0028435F" w:rsidRDefault="007541E9" w:rsidP="00F11EA9">
            <w:pPr>
              <w:rPr>
                <w:color w:val="000000"/>
                <w:sz w:val="22"/>
                <w:szCs w:val="22"/>
              </w:rPr>
            </w:pPr>
          </w:p>
        </w:tc>
      </w:tr>
      <w:tr w:rsidR="007541E9" w:rsidRPr="0028435F" w14:paraId="41C10358" w14:textId="77777777" w:rsidTr="00F11EA9">
        <w:trPr>
          <w:trHeight w:val="312"/>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FE353E5" w14:textId="77777777" w:rsidR="007541E9" w:rsidRPr="0028435F" w:rsidRDefault="007541E9" w:rsidP="00F11EA9">
            <w:pPr>
              <w:jc w:val="center"/>
              <w:rPr>
                <w:color w:val="000000"/>
                <w:sz w:val="22"/>
                <w:szCs w:val="22"/>
              </w:rPr>
            </w:pPr>
            <w:r w:rsidRPr="0028435F">
              <w:rPr>
                <w:color w:val="000000"/>
                <w:sz w:val="22"/>
                <w:szCs w:val="22"/>
              </w:rPr>
              <w:t>16</w:t>
            </w:r>
          </w:p>
        </w:tc>
        <w:tc>
          <w:tcPr>
            <w:tcW w:w="1260" w:type="dxa"/>
            <w:tcBorders>
              <w:top w:val="nil"/>
              <w:left w:val="nil"/>
              <w:bottom w:val="single" w:sz="4" w:space="0" w:color="auto"/>
              <w:right w:val="single" w:sz="4" w:space="0" w:color="auto"/>
            </w:tcBorders>
            <w:shd w:val="clear" w:color="auto" w:fill="auto"/>
            <w:noWrap/>
            <w:vAlign w:val="bottom"/>
            <w:hideMark/>
          </w:tcPr>
          <w:p w14:paraId="6F163375" w14:textId="77777777" w:rsidR="007541E9" w:rsidRPr="0028435F" w:rsidRDefault="007541E9" w:rsidP="00F11EA9">
            <w:pPr>
              <w:jc w:val="center"/>
              <w:rPr>
                <w:color w:val="000000"/>
                <w:sz w:val="22"/>
                <w:szCs w:val="22"/>
              </w:rPr>
            </w:pPr>
            <w:r w:rsidRPr="0028435F">
              <w:rPr>
                <w:color w:val="000000"/>
                <w:sz w:val="22"/>
                <w:szCs w:val="22"/>
              </w:rPr>
              <w:t>0</w:t>
            </w:r>
          </w:p>
        </w:tc>
      </w:tr>
      <w:tr w:rsidR="007541E9" w:rsidRPr="0028435F" w14:paraId="1DC41476" w14:textId="77777777" w:rsidTr="00F11EA9">
        <w:trPr>
          <w:trHeight w:val="312"/>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4AA19EB" w14:textId="77777777" w:rsidR="007541E9" w:rsidRPr="0028435F" w:rsidRDefault="007541E9" w:rsidP="00F11EA9">
            <w:pPr>
              <w:jc w:val="center"/>
              <w:rPr>
                <w:color w:val="000000"/>
                <w:sz w:val="22"/>
                <w:szCs w:val="22"/>
              </w:rPr>
            </w:pPr>
            <w:r w:rsidRPr="0028435F">
              <w:rPr>
                <w:color w:val="000000"/>
                <w:sz w:val="22"/>
                <w:szCs w:val="22"/>
              </w:rPr>
              <w:t>17</w:t>
            </w:r>
          </w:p>
        </w:tc>
        <w:tc>
          <w:tcPr>
            <w:tcW w:w="1260" w:type="dxa"/>
            <w:tcBorders>
              <w:top w:val="nil"/>
              <w:left w:val="nil"/>
              <w:bottom w:val="single" w:sz="4" w:space="0" w:color="auto"/>
              <w:right w:val="single" w:sz="4" w:space="0" w:color="auto"/>
            </w:tcBorders>
            <w:shd w:val="clear" w:color="auto" w:fill="auto"/>
            <w:noWrap/>
            <w:vAlign w:val="bottom"/>
            <w:hideMark/>
          </w:tcPr>
          <w:p w14:paraId="2CB102C5" w14:textId="77777777" w:rsidR="007541E9" w:rsidRPr="0028435F" w:rsidRDefault="007541E9" w:rsidP="00F11EA9">
            <w:pPr>
              <w:jc w:val="center"/>
              <w:rPr>
                <w:color w:val="000000"/>
                <w:sz w:val="22"/>
                <w:szCs w:val="22"/>
              </w:rPr>
            </w:pPr>
            <w:r>
              <w:rPr>
                <w:color w:val="000000"/>
                <w:sz w:val="22"/>
                <w:szCs w:val="22"/>
              </w:rPr>
              <w:t>1.9</w:t>
            </w:r>
          </w:p>
        </w:tc>
      </w:tr>
      <w:tr w:rsidR="007541E9" w:rsidRPr="00811BB5" w14:paraId="15E64D40" w14:textId="77777777" w:rsidTr="00F11EA9">
        <w:trPr>
          <w:trHeight w:val="312"/>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651C4FE" w14:textId="77777777" w:rsidR="007541E9" w:rsidRPr="00811BB5" w:rsidRDefault="007541E9" w:rsidP="00F11EA9">
            <w:pPr>
              <w:jc w:val="center"/>
              <w:rPr>
                <w:b/>
                <w:color w:val="000000"/>
                <w:sz w:val="22"/>
                <w:szCs w:val="22"/>
              </w:rPr>
            </w:pPr>
            <w:r w:rsidRPr="00811BB5">
              <w:rPr>
                <w:b/>
                <w:color w:val="000000"/>
                <w:sz w:val="22"/>
                <w:szCs w:val="22"/>
              </w:rPr>
              <w:t>18 (Pref)</w:t>
            </w:r>
          </w:p>
        </w:tc>
        <w:tc>
          <w:tcPr>
            <w:tcW w:w="1260" w:type="dxa"/>
            <w:tcBorders>
              <w:top w:val="nil"/>
              <w:left w:val="nil"/>
              <w:bottom w:val="single" w:sz="4" w:space="0" w:color="auto"/>
              <w:right w:val="single" w:sz="4" w:space="0" w:color="auto"/>
            </w:tcBorders>
            <w:shd w:val="clear" w:color="auto" w:fill="auto"/>
            <w:noWrap/>
            <w:vAlign w:val="bottom"/>
            <w:hideMark/>
          </w:tcPr>
          <w:p w14:paraId="09FEFAC0" w14:textId="77777777" w:rsidR="007541E9" w:rsidRPr="00811BB5" w:rsidRDefault="007541E9" w:rsidP="00F11EA9">
            <w:pPr>
              <w:jc w:val="center"/>
              <w:rPr>
                <w:b/>
                <w:color w:val="000000"/>
                <w:sz w:val="22"/>
                <w:szCs w:val="22"/>
              </w:rPr>
            </w:pPr>
            <w:r w:rsidRPr="00811BB5">
              <w:rPr>
                <w:b/>
                <w:color w:val="000000"/>
                <w:sz w:val="22"/>
                <w:szCs w:val="22"/>
              </w:rPr>
              <w:t>4.2</w:t>
            </w:r>
          </w:p>
        </w:tc>
      </w:tr>
      <w:tr w:rsidR="007541E9" w:rsidRPr="0028435F" w14:paraId="404C7935" w14:textId="77777777" w:rsidTr="00F11EA9">
        <w:trPr>
          <w:trHeight w:val="312"/>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F2E5E40" w14:textId="77777777" w:rsidR="007541E9" w:rsidRPr="0028435F" w:rsidRDefault="007541E9" w:rsidP="00F11EA9">
            <w:pPr>
              <w:jc w:val="center"/>
              <w:rPr>
                <w:color w:val="000000"/>
                <w:sz w:val="22"/>
                <w:szCs w:val="22"/>
              </w:rPr>
            </w:pPr>
            <w:r w:rsidRPr="0028435F">
              <w:rPr>
                <w:color w:val="000000"/>
                <w:sz w:val="22"/>
                <w:szCs w:val="22"/>
              </w:rPr>
              <w:t>19</w:t>
            </w:r>
          </w:p>
        </w:tc>
        <w:tc>
          <w:tcPr>
            <w:tcW w:w="1260" w:type="dxa"/>
            <w:tcBorders>
              <w:top w:val="nil"/>
              <w:left w:val="nil"/>
              <w:bottom w:val="single" w:sz="4" w:space="0" w:color="auto"/>
              <w:right w:val="single" w:sz="4" w:space="0" w:color="auto"/>
            </w:tcBorders>
            <w:shd w:val="clear" w:color="auto" w:fill="auto"/>
            <w:noWrap/>
            <w:vAlign w:val="bottom"/>
            <w:hideMark/>
          </w:tcPr>
          <w:p w14:paraId="70E29A75" w14:textId="77777777" w:rsidR="007541E9" w:rsidRPr="0028435F" w:rsidRDefault="007541E9" w:rsidP="00F11EA9">
            <w:pPr>
              <w:jc w:val="center"/>
              <w:rPr>
                <w:color w:val="000000"/>
                <w:sz w:val="22"/>
                <w:szCs w:val="22"/>
              </w:rPr>
            </w:pPr>
            <w:r>
              <w:rPr>
                <w:color w:val="000000"/>
                <w:sz w:val="22"/>
                <w:szCs w:val="22"/>
              </w:rPr>
              <w:t>6.7</w:t>
            </w:r>
          </w:p>
        </w:tc>
      </w:tr>
      <w:tr w:rsidR="007541E9" w:rsidRPr="0028435F" w14:paraId="23082EF9" w14:textId="77777777" w:rsidTr="00F11EA9">
        <w:trPr>
          <w:trHeight w:val="312"/>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0D2C616" w14:textId="77777777" w:rsidR="007541E9" w:rsidRPr="0028435F" w:rsidRDefault="007541E9" w:rsidP="00F11EA9">
            <w:pPr>
              <w:jc w:val="center"/>
              <w:rPr>
                <w:color w:val="000000"/>
                <w:sz w:val="22"/>
                <w:szCs w:val="22"/>
              </w:rPr>
            </w:pPr>
            <w:r w:rsidRPr="0028435F">
              <w:rPr>
                <w:color w:val="000000"/>
                <w:sz w:val="22"/>
                <w:szCs w:val="22"/>
              </w:rPr>
              <w:t>20</w:t>
            </w:r>
          </w:p>
        </w:tc>
        <w:tc>
          <w:tcPr>
            <w:tcW w:w="1260" w:type="dxa"/>
            <w:tcBorders>
              <w:top w:val="nil"/>
              <w:left w:val="nil"/>
              <w:bottom w:val="single" w:sz="4" w:space="0" w:color="auto"/>
              <w:right w:val="single" w:sz="4" w:space="0" w:color="auto"/>
            </w:tcBorders>
            <w:shd w:val="clear" w:color="auto" w:fill="auto"/>
            <w:noWrap/>
            <w:vAlign w:val="bottom"/>
            <w:hideMark/>
          </w:tcPr>
          <w:p w14:paraId="4106200B" w14:textId="77777777" w:rsidR="007541E9" w:rsidRPr="0028435F" w:rsidRDefault="007541E9" w:rsidP="00F11EA9">
            <w:pPr>
              <w:jc w:val="center"/>
              <w:rPr>
                <w:color w:val="000000"/>
                <w:sz w:val="22"/>
                <w:szCs w:val="22"/>
              </w:rPr>
            </w:pPr>
            <w:r>
              <w:rPr>
                <w:color w:val="000000"/>
                <w:sz w:val="22"/>
                <w:szCs w:val="22"/>
              </w:rPr>
              <w:t>9.5</w:t>
            </w:r>
          </w:p>
        </w:tc>
      </w:tr>
    </w:tbl>
    <w:p w14:paraId="7052A11A" w14:textId="77777777" w:rsidR="0028435F" w:rsidRDefault="0028435F" w:rsidP="0028435F">
      <w:pPr>
        <w:rPr>
          <w:bCs/>
        </w:rPr>
      </w:pPr>
    </w:p>
    <w:p w14:paraId="2CFB510A" w14:textId="3408B407" w:rsidR="0028435F" w:rsidRDefault="0028435F" w:rsidP="0028435F">
      <w:r>
        <w:t xml:space="preserve">The reliability of this analysis is </w:t>
      </w:r>
      <w:r w:rsidRPr="000D02BD">
        <w:t>depe</w:t>
      </w:r>
      <w:r>
        <w:t>ndent upon the accuracy of the</w:t>
      </w:r>
      <w:r w:rsidRPr="000D02BD">
        <w:t xml:space="preserve"> underlying data and input assumptions.  </w:t>
      </w:r>
      <w:r>
        <w:t>This analysis assumes that the commercial harvest of mutton sna</w:t>
      </w:r>
      <w:r w:rsidR="007541E9">
        <w:t>pper size distribution from 2013-2015</w:t>
      </w:r>
      <w:r>
        <w:t xml:space="preserve"> will reflect the size distribution of mutton snapper commercial harvest in the future.  </w:t>
      </w:r>
    </w:p>
    <w:p w14:paraId="73F543FD" w14:textId="77777777" w:rsidR="0028435F" w:rsidRDefault="0028435F" w:rsidP="00FA742D">
      <w:pPr>
        <w:rPr>
          <w:u w:val="single"/>
        </w:rPr>
      </w:pPr>
    </w:p>
    <w:p w14:paraId="64FD9416" w14:textId="6F26EAE1" w:rsidR="0028435F" w:rsidRPr="0028435F" w:rsidRDefault="0028435F" w:rsidP="00FA742D">
      <w:pPr>
        <w:rPr>
          <w:u w:val="single"/>
        </w:rPr>
      </w:pPr>
      <w:r w:rsidRPr="0028435F">
        <w:rPr>
          <w:u w:val="single"/>
        </w:rPr>
        <w:t>Commercial Trip Limit Analysis</w:t>
      </w:r>
    </w:p>
    <w:p w14:paraId="47BBAC93" w14:textId="765EFA5D" w:rsidR="00FA742D" w:rsidRDefault="00FA742D" w:rsidP="00FA742D">
      <w:r>
        <w:t xml:space="preserve">Action 8 of Amendment 41 is proposing modifications to the mutton snapper commercial </w:t>
      </w:r>
      <w:r w:rsidR="00AC071E">
        <w:t>trip</w:t>
      </w:r>
      <w:r>
        <w:t xml:space="preserve"> limit during the spawning months and implementation of a trip limit during the remainder of the year (non-spawning months).  The spawning and non-spawning months for mutton snapper are considered in Action 6.  The rationale behind these modifications is concern regarding mutton snapper harvest during the spawning season.  Currently, commercial harvest is restricted during May and June to 10 fish per person per day or 10 fish per person per trip, whichever is more restrictive. </w:t>
      </w:r>
    </w:p>
    <w:p w14:paraId="05D86078" w14:textId="77777777" w:rsidR="00FA742D" w:rsidRDefault="00FA742D" w:rsidP="00FA742D"/>
    <w:p w14:paraId="58F97FA2" w14:textId="08BC571C" w:rsidR="00FA742D" w:rsidRDefault="00FA742D" w:rsidP="00FA742D">
      <w:r>
        <w:t>Commercial logbook data (accessed September 3, 2015) from the Southeast Fisheries Science Center (SEFSC) was explored to determine the harvest of mutton snapper per trip.  T</w:t>
      </w:r>
      <w:r w:rsidRPr="001466D2">
        <w:t xml:space="preserve">he </w:t>
      </w:r>
      <w:r>
        <w:t xml:space="preserve">most </w:t>
      </w:r>
      <w:r w:rsidRPr="001466D2">
        <w:t>rec</w:t>
      </w:r>
      <w:r>
        <w:t>ent years of complete data (2012-2014</w:t>
      </w:r>
      <w:r w:rsidRPr="001466D2">
        <w:t xml:space="preserve">) </w:t>
      </w:r>
      <w:r>
        <w:t xml:space="preserve">had 4,551 </w:t>
      </w:r>
      <w:r w:rsidRPr="001466D2">
        <w:t>trips</w:t>
      </w:r>
      <w:r>
        <w:t xml:space="preserve"> that harvested </w:t>
      </w:r>
      <w:r>
        <w:lastRenderedPageBreak/>
        <w:t>mutton snapper in the South Atlantic</w:t>
      </w:r>
      <w:r w:rsidRPr="001466D2">
        <w:t xml:space="preserve">.  </w:t>
      </w:r>
      <w:r>
        <w:t>South Atlantic commercial trips that harvested mutton snapper were explored during May and June an</w:t>
      </w:r>
      <w:r w:rsidR="00AC071E">
        <w:t>d outside those months (</w:t>
      </w:r>
      <w:r w:rsidR="00AC071E" w:rsidRPr="00AC071E">
        <w:rPr>
          <w:b/>
        </w:rPr>
        <w:t>Figure 2</w:t>
      </w:r>
      <w:r>
        <w:t xml:space="preserve">).  </w:t>
      </w:r>
    </w:p>
    <w:p w14:paraId="76A251D9" w14:textId="77777777" w:rsidR="00FA742D" w:rsidRDefault="00FA742D" w:rsidP="00FA742D"/>
    <w:p w14:paraId="4C2AF688" w14:textId="77777777" w:rsidR="00FA742D" w:rsidRDefault="00FA742D" w:rsidP="00FA742D">
      <w:r>
        <w:rPr>
          <w:noProof/>
        </w:rPr>
        <w:drawing>
          <wp:inline distT="0" distB="0" distL="0" distR="0" wp14:anchorId="3D8E7AC2" wp14:editId="1E08424A">
            <wp:extent cx="5493774" cy="3340509"/>
            <wp:effectExtent l="0" t="0" r="0" b="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27408D42" w14:textId="77777777" w:rsidR="00FA742D" w:rsidRDefault="00FA742D" w:rsidP="00FA742D">
      <w:r>
        <w:t xml:space="preserve"> </w:t>
      </w:r>
    </w:p>
    <w:p w14:paraId="7277EC3F" w14:textId="42B2D9DE" w:rsidR="00FA742D" w:rsidRPr="005A26AB" w:rsidRDefault="00AC071E" w:rsidP="00FA742D">
      <w:pPr>
        <w:rPr>
          <w:rFonts w:ascii="Arial" w:hAnsi="Arial"/>
          <w:b/>
          <w:bCs/>
          <w:sz w:val="20"/>
          <w:szCs w:val="20"/>
        </w:rPr>
      </w:pPr>
      <w:r>
        <w:rPr>
          <w:rFonts w:ascii="Arial" w:hAnsi="Arial"/>
          <w:b/>
          <w:sz w:val="20"/>
          <w:szCs w:val="20"/>
        </w:rPr>
        <w:t>Figure 2</w:t>
      </w:r>
      <w:r w:rsidR="00FA742D" w:rsidRPr="005A26AB">
        <w:rPr>
          <w:rFonts w:ascii="Arial" w:hAnsi="Arial"/>
          <w:b/>
          <w:sz w:val="20"/>
          <w:szCs w:val="20"/>
        </w:rPr>
        <w:t>.</w:t>
      </w:r>
      <w:r w:rsidR="00FA742D" w:rsidRPr="005A26AB">
        <w:rPr>
          <w:rFonts w:ascii="Arial" w:hAnsi="Arial"/>
          <w:sz w:val="20"/>
          <w:szCs w:val="20"/>
        </w:rPr>
        <w:t xml:space="preserve"> Distribution of the mutton snapper harvested per trip (lbs ww) in the South Atlantic region from the commercial logbook dataset from 2012 to 2014.  Restrictions on commercial harvest are currently in place during May and June only.    </w:t>
      </w:r>
    </w:p>
    <w:p w14:paraId="3496090A" w14:textId="77777777" w:rsidR="00FA742D" w:rsidRDefault="00FA742D" w:rsidP="00FA742D">
      <w:pPr>
        <w:rPr>
          <w:i/>
        </w:rPr>
      </w:pPr>
    </w:p>
    <w:p w14:paraId="58284486" w14:textId="2E9DC16D" w:rsidR="00FA742D" w:rsidRDefault="00FA742D" w:rsidP="00FA742D">
      <w:r w:rsidRPr="00A039F6">
        <w:rPr>
          <w:b/>
        </w:rPr>
        <w:t>Preferred Alternative 2</w:t>
      </w:r>
      <w:r>
        <w:t xml:space="preserve"> of Action 8 considers implementing a trip li</w:t>
      </w:r>
      <w:r w:rsidR="00FA68EB">
        <w:t>mit during the ‘regular season.’</w:t>
      </w:r>
      <w:r>
        <w:t xml:space="preserve">  The months that constitute the ‘regular season’ are proposed in Action 6 (the preferred alternative would establish April-June as the “spawning months” and March-July as the “regular season”).  </w:t>
      </w:r>
      <w:r w:rsidRPr="00A039F6">
        <w:rPr>
          <w:b/>
        </w:rPr>
        <w:t>Preferred Alternative 2</w:t>
      </w:r>
      <w:r>
        <w:t xml:space="preserve"> proposes trip limits of 300, 400, and 500 pounds whole weight (lbs ww) during the “regular season”.  The SEFSC logbook data were analyzed by imposing the proposed trip limits under </w:t>
      </w:r>
      <w:r w:rsidRPr="00A039F6">
        <w:rPr>
          <w:b/>
        </w:rPr>
        <w:t>Preferred Alternative 2</w:t>
      </w:r>
      <w:r>
        <w:t xml:space="preserve"> only </w:t>
      </w:r>
      <w:r w:rsidR="00FA68EB">
        <w:t>during the ‘regular season.’</w:t>
      </w:r>
      <w:r>
        <w:t xml:space="preserve">  </w:t>
      </w:r>
      <w:r w:rsidRPr="009405AA">
        <w:t xml:space="preserve">For example, </w:t>
      </w:r>
      <w:r>
        <w:t xml:space="preserve">a trip in the ‘regular season’ that harvested 500 lb ww of mutton snapper was reduced to just 500 lbs to examine the proposed 500 lbs ww trip limit under </w:t>
      </w:r>
      <w:r w:rsidRPr="00A039F6">
        <w:rPr>
          <w:b/>
        </w:rPr>
        <w:t>Preferred Sub-alternative 2</w:t>
      </w:r>
      <w:r>
        <w:rPr>
          <w:b/>
        </w:rPr>
        <w:t>c</w:t>
      </w:r>
      <w:r>
        <w:t>, while landings during the proposed “spawning months” under Action 5 were not reduced.  The reduced landings from the imposed trip limit were compared to the total annual unmodified landings to estimate the percent reduction in landings (</w:t>
      </w:r>
      <w:r w:rsidRPr="005A26AB">
        <w:rPr>
          <w:b/>
        </w:rPr>
        <w:t xml:space="preserve">Table </w:t>
      </w:r>
      <w:r w:rsidR="00AC071E">
        <w:rPr>
          <w:b/>
        </w:rPr>
        <w:t>2</w:t>
      </w:r>
      <w:r>
        <w:t xml:space="preserve">). </w:t>
      </w:r>
    </w:p>
    <w:p w14:paraId="1BD9A78B" w14:textId="77777777" w:rsidR="00FA742D" w:rsidRDefault="00FA742D" w:rsidP="00FA742D">
      <w:r>
        <w:t xml:space="preserve"> </w:t>
      </w:r>
    </w:p>
    <w:p w14:paraId="764FC0B6" w14:textId="77777777" w:rsidR="00AC071E" w:rsidRDefault="00AC071E">
      <w:pPr>
        <w:rPr>
          <w:rFonts w:ascii="Arial" w:hAnsi="Arial"/>
          <w:b/>
          <w:sz w:val="20"/>
          <w:szCs w:val="20"/>
        </w:rPr>
      </w:pPr>
      <w:r>
        <w:rPr>
          <w:rFonts w:ascii="Arial" w:hAnsi="Arial"/>
          <w:b/>
          <w:sz w:val="20"/>
          <w:szCs w:val="20"/>
        </w:rPr>
        <w:br w:type="page"/>
      </w:r>
    </w:p>
    <w:p w14:paraId="07FD3154" w14:textId="24A8AF09" w:rsidR="00FA742D" w:rsidRPr="005A26AB" w:rsidRDefault="00AC071E" w:rsidP="00FA742D">
      <w:pPr>
        <w:rPr>
          <w:rFonts w:ascii="Arial" w:hAnsi="Arial"/>
          <w:sz w:val="20"/>
          <w:szCs w:val="20"/>
        </w:rPr>
      </w:pPr>
      <w:r>
        <w:rPr>
          <w:rFonts w:ascii="Arial" w:hAnsi="Arial"/>
          <w:b/>
          <w:sz w:val="20"/>
          <w:szCs w:val="20"/>
        </w:rPr>
        <w:lastRenderedPageBreak/>
        <w:t>Table 2</w:t>
      </w:r>
      <w:r w:rsidR="00FA742D" w:rsidRPr="005A26AB">
        <w:rPr>
          <w:rFonts w:ascii="Arial" w:hAnsi="Arial"/>
          <w:b/>
          <w:sz w:val="20"/>
          <w:szCs w:val="20"/>
        </w:rPr>
        <w:t>.</w:t>
      </w:r>
      <w:r w:rsidR="00FA742D" w:rsidRPr="005A26AB">
        <w:rPr>
          <w:rFonts w:ascii="Arial" w:hAnsi="Arial"/>
          <w:sz w:val="20"/>
          <w:szCs w:val="20"/>
        </w:rPr>
        <w:t xml:space="preserve"> Percent decreases in total landings for various commercial trip limits proposed under </w:t>
      </w:r>
      <w:r w:rsidR="00FA742D" w:rsidRPr="005A26AB">
        <w:rPr>
          <w:rFonts w:ascii="Arial" w:hAnsi="Arial"/>
          <w:b/>
          <w:sz w:val="20"/>
          <w:szCs w:val="20"/>
        </w:rPr>
        <w:t>Preferred Alternative 2</w:t>
      </w:r>
      <w:r w:rsidR="00FA742D" w:rsidRPr="005A26AB">
        <w:rPr>
          <w:rFonts w:ascii="Arial" w:hAnsi="Arial"/>
          <w:sz w:val="20"/>
          <w:szCs w:val="20"/>
        </w:rPr>
        <w:t>.  Data from the commercial logbook, 2012 to 2014.</w:t>
      </w:r>
    </w:p>
    <w:tbl>
      <w:tblPr>
        <w:tblW w:w="0" w:type="auto"/>
        <w:tblInd w:w="93" w:type="dxa"/>
        <w:tblLook w:val="04A0" w:firstRow="1" w:lastRow="0" w:firstColumn="1" w:lastColumn="0" w:noHBand="0" w:noVBand="1"/>
      </w:tblPr>
      <w:tblGrid>
        <w:gridCol w:w="1677"/>
        <w:gridCol w:w="1244"/>
        <w:gridCol w:w="1244"/>
        <w:gridCol w:w="1244"/>
      </w:tblGrid>
      <w:tr w:rsidR="00FA742D" w:rsidRPr="004C3639" w14:paraId="349DDE01" w14:textId="77777777" w:rsidTr="00BB2F80">
        <w:trPr>
          <w:trHeight w:val="312"/>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5A0EFA" w14:textId="77777777" w:rsidR="00FA742D" w:rsidRPr="004C3639" w:rsidRDefault="00FA742D" w:rsidP="00BB2F80">
            <w:pPr>
              <w:jc w:val="center"/>
              <w:rPr>
                <w:b/>
                <w:color w:val="000000"/>
                <w:sz w:val="22"/>
                <w:szCs w:val="22"/>
              </w:rPr>
            </w:pPr>
            <w:r w:rsidRPr="004C3639">
              <w:rPr>
                <w:b/>
                <w:color w:val="000000"/>
                <w:sz w:val="22"/>
                <w:szCs w:val="22"/>
              </w:rPr>
              <w:t>Regular Season</w:t>
            </w:r>
          </w:p>
        </w:tc>
        <w:tc>
          <w:tcPr>
            <w:tcW w:w="0" w:type="auto"/>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4FD4DC8" w14:textId="77777777" w:rsidR="00FA742D" w:rsidRPr="004C3639" w:rsidRDefault="00FA742D" w:rsidP="00BB2F80">
            <w:pPr>
              <w:jc w:val="center"/>
              <w:rPr>
                <w:b/>
                <w:color w:val="000000"/>
                <w:sz w:val="22"/>
                <w:szCs w:val="22"/>
              </w:rPr>
            </w:pPr>
            <w:r w:rsidRPr="004C3639">
              <w:rPr>
                <w:b/>
                <w:color w:val="000000"/>
                <w:sz w:val="22"/>
                <w:szCs w:val="22"/>
              </w:rPr>
              <w:t>Trip Limit</w:t>
            </w:r>
          </w:p>
        </w:tc>
      </w:tr>
      <w:tr w:rsidR="00FA742D" w:rsidRPr="004C3639" w14:paraId="6C20DA35" w14:textId="77777777" w:rsidTr="00BB2F80">
        <w:trPr>
          <w:trHeight w:val="312"/>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5A9904" w14:textId="77777777" w:rsidR="00FA742D" w:rsidRPr="004C3639" w:rsidRDefault="00FA742D" w:rsidP="00BB2F80">
            <w:pPr>
              <w:rPr>
                <w:b/>
                <w:color w:val="000000"/>
                <w:sz w:val="22"/>
                <w:szCs w:val="22"/>
              </w:rPr>
            </w:pP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14:paraId="59AD0153" w14:textId="77777777" w:rsidR="00FA742D" w:rsidRPr="004C3639" w:rsidRDefault="00FA742D" w:rsidP="00BB2F80">
            <w:pPr>
              <w:jc w:val="center"/>
              <w:rPr>
                <w:b/>
                <w:color w:val="000000"/>
                <w:sz w:val="22"/>
                <w:szCs w:val="22"/>
              </w:rPr>
            </w:pPr>
            <w:r w:rsidRPr="004C3639">
              <w:rPr>
                <w:b/>
                <w:color w:val="000000"/>
                <w:sz w:val="22"/>
                <w:szCs w:val="22"/>
              </w:rPr>
              <w:t>300 lbs ww</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14:paraId="5D18A2F2" w14:textId="77777777" w:rsidR="00FA742D" w:rsidRPr="004C3639" w:rsidRDefault="00FA742D" w:rsidP="00BB2F80">
            <w:pPr>
              <w:jc w:val="center"/>
              <w:rPr>
                <w:b/>
                <w:color w:val="000000"/>
                <w:sz w:val="22"/>
                <w:szCs w:val="22"/>
              </w:rPr>
            </w:pPr>
            <w:r w:rsidRPr="004C3639">
              <w:rPr>
                <w:b/>
                <w:color w:val="000000"/>
                <w:sz w:val="22"/>
                <w:szCs w:val="22"/>
              </w:rPr>
              <w:t>400 lbs ww</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14:paraId="152FF6EF" w14:textId="77777777" w:rsidR="00FA742D" w:rsidRPr="004C3639" w:rsidRDefault="00FA742D" w:rsidP="00BB2F80">
            <w:pPr>
              <w:jc w:val="center"/>
              <w:rPr>
                <w:b/>
                <w:color w:val="000000"/>
                <w:sz w:val="22"/>
                <w:szCs w:val="22"/>
              </w:rPr>
            </w:pPr>
            <w:r w:rsidRPr="004C3639">
              <w:rPr>
                <w:b/>
                <w:color w:val="000000"/>
                <w:sz w:val="22"/>
                <w:szCs w:val="22"/>
              </w:rPr>
              <w:t>500 lbs ww</w:t>
            </w:r>
          </w:p>
        </w:tc>
      </w:tr>
      <w:tr w:rsidR="00FA742D" w:rsidRPr="004C3639" w14:paraId="76C868CC" w14:textId="77777777" w:rsidTr="00BB2F80">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60039D" w14:textId="77777777" w:rsidR="00FA742D" w:rsidRPr="004C3639" w:rsidRDefault="00FA742D" w:rsidP="00BB2F80">
            <w:pPr>
              <w:jc w:val="center"/>
              <w:rPr>
                <w:color w:val="000000"/>
                <w:sz w:val="22"/>
                <w:szCs w:val="22"/>
              </w:rPr>
            </w:pPr>
            <w:r w:rsidRPr="004C3639">
              <w:rPr>
                <w:color w:val="000000"/>
                <w:sz w:val="22"/>
                <w:szCs w:val="22"/>
              </w:rPr>
              <w:t>July - April</w:t>
            </w:r>
          </w:p>
        </w:tc>
        <w:tc>
          <w:tcPr>
            <w:tcW w:w="0" w:type="auto"/>
            <w:tcBorders>
              <w:top w:val="nil"/>
              <w:left w:val="nil"/>
              <w:bottom w:val="single" w:sz="4" w:space="0" w:color="auto"/>
              <w:right w:val="single" w:sz="4" w:space="0" w:color="auto"/>
            </w:tcBorders>
            <w:shd w:val="clear" w:color="auto" w:fill="auto"/>
            <w:noWrap/>
            <w:vAlign w:val="bottom"/>
            <w:hideMark/>
          </w:tcPr>
          <w:p w14:paraId="5577684A" w14:textId="77777777" w:rsidR="00FA742D" w:rsidRPr="004C3639" w:rsidRDefault="00FA742D" w:rsidP="00BB2F80">
            <w:pPr>
              <w:jc w:val="center"/>
              <w:rPr>
                <w:color w:val="000000"/>
                <w:sz w:val="22"/>
                <w:szCs w:val="22"/>
              </w:rPr>
            </w:pPr>
            <w:r w:rsidRPr="004C3639">
              <w:rPr>
                <w:color w:val="000000"/>
                <w:sz w:val="22"/>
                <w:szCs w:val="22"/>
              </w:rPr>
              <w:t>-6.0%</w:t>
            </w:r>
          </w:p>
        </w:tc>
        <w:tc>
          <w:tcPr>
            <w:tcW w:w="0" w:type="auto"/>
            <w:tcBorders>
              <w:top w:val="nil"/>
              <w:left w:val="nil"/>
              <w:bottom w:val="single" w:sz="4" w:space="0" w:color="auto"/>
              <w:right w:val="single" w:sz="4" w:space="0" w:color="auto"/>
            </w:tcBorders>
            <w:shd w:val="clear" w:color="auto" w:fill="auto"/>
            <w:noWrap/>
            <w:vAlign w:val="bottom"/>
            <w:hideMark/>
          </w:tcPr>
          <w:p w14:paraId="60E8B8F2" w14:textId="77777777" w:rsidR="00FA742D" w:rsidRPr="004C3639" w:rsidRDefault="00FA742D" w:rsidP="00BB2F80">
            <w:pPr>
              <w:jc w:val="center"/>
              <w:rPr>
                <w:color w:val="000000"/>
                <w:sz w:val="22"/>
                <w:szCs w:val="22"/>
              </w:rPr>
            </w:pPr>
            <w:r w:rsidRPr="004C3639">
              <w:rPr>
                <w:color w:val="000000"/>
                <w:sz w:val="22"/>
                <w:szCs w:val="22"/>
              </w:rPr>
              <w:t>-4.6%</w:t>
            </w:r>
          </w:p>
        </w:tc>
        <w:tc>
          <w:tcPr>
            <w:tcW w:w="0" w:type="auto"/>
            <w:tcBorders>
              <w:top w:val="nil"/>
              <w:left w:val="nil"/>
              <w:bottom w:val="single" w:sz="4" w:space="0" w:color="auto"/>
              <w:right w:val="single" w:sz="4" w:space="0" w:color="auto"/>
            </w:tcBorders>
            <w:shd w:val="clear" w:color="auto" w:fill="auto"/>
            <w:noWrap/>
            <w:vAlign w:val="bottom"/>
            <w:hideMark/>
          </w:tcPr>
          <w:p w14:paraId="5B0C027D" w14:textId="77777777" w:rsidR="00FA742D" w:rsidRPr="004C3639" w:rsidRDefault="00FA742D" w:rsidP="00BB2F80">
            <w:pPr>
              <w:jc w:val="center"/>
              <w:rPr>
                <w:b/>
                <w:color w:val="000000"/>
                <w:sz w:val="22"/>
                <w:szCs w:val="22"/>
              </w:rPr>
            </w:pPr>
            <w:r w:rsidRPr="004C3639">
              <w:rPr>
                <w:b/>
                <w:color w:val="000000"/>
                <w:sz w:val="22"/>
                <w:szCs w:val="22"/>
              </w:rPr>
              <w:t>-3.7%</w:t>
            </w:r>
          </w:p>
        </w:tc>
      </w:tr>
      <w:tr w:rsidR="00FA742D" w:rsidRPr="004C3639" w14:paraId="01BB8EC5" w14:textId="77777777" w:rsidTr="00BB2F80">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694FD3" w14:textId="77777777" w:rsidR="00FA742D" w:rsidRPr="004C3639" w:rsidRDefault="00FA742D" w:rsidP="00BB2F80">
            <w:pPr>
              <w:jc w:val="center"/>
              <w:rPr>
                <w:b/>
                <w:color w:val="000000"/>
                <w:sz w:val="22"/>
                <w:szCs w:val="22"/>
              </w:rPr>
            </w:pPr>
            <w:r w:rsidRPr="004C3639">
              <w:rPr>
                <w:b/>
                <w:color w:val="000000"/>
                <w:sz w:val="22"/>
                <w:szCs w:val="22"/>
              </w:rPr>
              <w:t>July - March</w:t>
            </w:r>
          </w:p>
        </w:tc>
        <w:tc>
          <w:tcPr>
            <w:tcW w:w="0" w:type="auto"/>
            <w:tcBorders>
              <w:top w:val="nil"/>
              <w:left w:val="nil"/>
              <w:bottom w:val="single" w:sz="4" w:space="0" w:color="auto"/>
              <w:right w:val="single" w:sz="4" w:space="0" w:color="auto"/>
            </w:tcBorders>
            <w:shd w:val="clear" w:color="auto" w:fill="auto"/>
            <w:noWrap/>
            <w:vAlign w:val="bottom"/>
            <w:hideMark/>
          </w:tcPr>
          <w:p w14:paraId="402812EA" w14:textId="77777777" w:rsidR="00FA742D" w:rsidRPr="004C3639" w:rsidRDefault="00FA742D" w:rsidP="00BB2F80">
            <w:pPr>
              <w:jc w:val="center"/>
              <w:rPr>
                <w:b/>
                <w:color w:val="000000"/>
                <w:sz w:val="22"/>
                <w:szCs w:val="22"/>
              </w:rPr>
            </w:pPr>
            <w:r w:rsidRPr="004C3639">
              <w:rPr>
                <w:b/>
                <w:color w:val="000000"/>
                <w:sz w:val="22"/>
                <w:szCs w:val="22"/>
              </w:rPr>
              <w:t>-5.9%</w:t>
            </w:r>
          </w:p>
        </w:tc>
        <w:tc>
          <w:tcPr>
            <w:tcW w:w="0" w:type="auto"/>
            <w:tcBorders>
              <w:top w:val="nil"/>
              <w:left w:val="nil"/>
              <w:bottom w:val="single" w:sz="4" w:space="0" w:color="auto"/>
              <w:right w:val="single" w:sz="4" w:space="0" w:color="auto"/>
            </w:tcBorders>
            <w:shd w:val="clear" w:color="auto" w:fill="auto"/>
            <w:noWrap/>
            <w:vAlign w:val="bottom"/>
            <w:hideMark/>
          </w:tcPr>
          <w:p w14:paraId="5C6A7CDD" w14:textId="77777777" w:rsidR="00FA742D" w:rsidRPr="004C3639" w:rsidRDefault="00FA742D" w:rsidP="00BB2F80">
            <w:pPr>
              <w:jc w:val="center"/>
              <w:rPr>
                <w:b/>
                <w:color w:val="000000"/>
                <w:sz w:val="22"/>
                <w:szCs w:val="22"/>
              </w:rPr>
            </w:pPr>
            <w:r w:rsidRPr="004C3639">
              <w:rPr>
                <w:b/>
                <w:color w:val="000000"/>
                <w:sz w:val="22"/>
                <w:szCs w:val="22"/>
              </w:rPr>
              <w:t>-4.5%</w:t>
            </w:r>
          </w:p>
        </w:tc>
        <w:tc>
          <w:tcPr>
            <w:tcW w:w="0" w:type="auto"/>
            <w:tcBorders>
              <w:top w:val="nil"/>
              <w:left w:val="nil"/>
              <w:bottom w:val="single" w:sz="4" w:space="0" w:color="auto"/>
              <w:right w:val="single" w:sz="4" w:space="0" w:color="auto"/>
            </w:tcBorders>
            <w:shd w:val="clear" w:color="auto" w:fill="auto"/>
            <w:noWrap/>
            <w:vAlign w:val="bottom"/>
            <w:hideMark/>
          </w:tcPr>
          <w:p w14:paraId="7C451820" w14:textId="77777777" w:rsidR="00FA742D" w:rsidRPr="004C3639" w:rsidRDefault="00FA742D" w:rsidP="00BB2F80">
            <w:pPr>
              <w:jc w:val="center"/>
              <w:rPr>
                <w:b/>
                <w:color w:val="000000"/>
                <w:sz w:val="22"/>
                <w:szCs w:val="22"/>
              </w:rPr>
            </w:pPr>
            <w:r w:rsidRPr="004C3639">
              <w:rPr>
                <w:b/>
                <w:color w:val="000000"/>
                <w:sz w:val="22"/>
                <w:szCs w:val="22"/>
              </w:rPr>
              <w:t>-3.7%</w:t>
            </w:r>
          </w:p>
        </w:tc>
      </w:tr>
      <w:tr w:rsidR="00FA742D" w:rsidRPr="004C3639" w14:paraId="2A40AC6A" w14:textId="77777777" w:rsidTr="00BB2F80">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60DAE2" w14:textId="77777777" w:rsidR="00FA742D" w:rsidRPr="004C3639" w:rsidRDefault="00FA742D" w:rsidP="00BB2F80">
            <w:pPr>
              <w:jc w:val="center"/>
              <w:rPr>
                <w:color w:val="000000"/>
                <w:sz w:val="22"/>
                <w:szCs w:val="22"/>
              </w:rPr>
            </w:pPr>
            <w:r w:rsidRPr="004C3639">
              <w:rPr>
                <w:color w:val="000000"/>
                <w:sz w:val="22"/>
                <w:szCs w:val="22"/>
              </w:rPr>
              <w:t>August - March</w:t>
            </w:r>
          </w:p>
        </w:tc>
        <w:tc>
          <w:tcPr>
            <w:tcW w:w="0" w:type="auto"/>
            <w:tcBorders>
              <w:top w:val="nil"/>
              <w:left w:val="nil"/>
              <w:bottom w:val="single" w:sz="4" w:space="0" w:color="auto"/>
              <w:right w:val="single" w:sz="4" w:space="0" w:color="auto"/>
            </w:tcBorders>
            <w:shd w:val="clear" w:color="auto" w:fill="auto"/>
            <w:noWrap/>
            <w:vAlign w:val="bottom"/>
            <w:hideMark/>
          </w:tcPr>
          <w:p w14:paraId="05B9D63E" w14:textId="77777777" w:rsidR="00FA742D" w:rsidRPr="004C3639" w:rsidRDefault="00FA742D" w:rsidP="00BB2F80">
            <w:pPr>
              <w:jc w:val="center"/>
              <w:rPr>
                <w:color w:val="000000"/>
                <w:sz w:val="22"/>
                <w:szCs w:val="22"/>
              </w:rPr>
            </w:pPr>
            <w:r w:rsidRPr="004C3639">
              <w:rPr>
                <w:color w:val="000000"/>
                <w:sz w:val="22"/>
                <w:szCs w:val="22"/>
              </w:rPr>
              <w:t>-4.1%</w:t>
            </w:r>
          </w:p>
        </w:tc>
        <w:tc>
          <w:tcPr>
            <w:tcW w:w="0" w:type="auto"/>
            <w:tcBorders>
              <w:top w:val="nil"/>
              <w:left w:val="nil"/>
              <w:bottom w:val="single" w:sz="4" w:space="0" w:color="auto"/>
              <w:right w:val="single" w:sz="4" w:space="0" w:color="auto"/>
            </w:tcBorders>
            <w:shd w:val="clear" w:color="auto" w:fill="auto"/>
            <w:noWrap/>
            <w:vAlign w:val="bottom"/>
            <w:hideMark/>
          </w:tcPr>
          <w:p w14:paraId="455CAD3D" w14:textId="77777777" w:rsidR="00FA742D" w:rsidRPr="004C3639" w:rsidRDefault="00FA742D" w:rsidP="00BB2F80">
            <w:pPr>
              <w:jc w:val="center"/>
              <w:rPr>
                <w:color w:val="000000"/>
                <w:sz w:val="22"/>
                <w:szCs w:val="22"/>
              </w:rPr>
            </w:pPr>
            <w:r w:rsidRPr="004C3639">
              <w:rPr>
                <w:color w:val="000000"/>
                <w:sz w:val="22"/>
                <w:szCs w:val="22"/>
              </w:rPr>
              <w:t>-3.0%</w:t>
            </w:r>
          </w:p>
        </w:tc>
        <w:tc>
          <w:tcPr>
            <w:tcW w:w="0" w:type="auto"/>
            <w:tcBorders>
              <w:top w:val="nil"/>
              <w:left w:val="nil"/>
              <w:bottom w:val="single" w:sz="4" w:space="0" w:color="auto"/>
              <w:right w:val="single" w:sz="4" w:space="0" w:color="auto"/>
            </w:tcBorders>
            <w:shd w:val="clear" w:color="auto" w:fill="auto"/>
            <w:noWrap/>
            <w:vAlign w:val="bottom"/>
            <w:hideMark/>
          </w:tcPr>
          <w:p w14:paraId="0F6ED727" w14:textId="77777777" w:rsidR="00FA742D" w:rsidRPr="004C3639" w:rsidRDefault="00FA742D" w:rsidP="00BB2F80">
            <w:pPr>
              <w:jc w:val="center"/>
              <w:rPr>
                <w:b/>
                <w:color w:val="000000"/>
                <w:sz w:val="22"/>
                <w:szCs w:val="22"/>
              </w:rPr>
            </w:pPr>
            <w:r w:rsidRPr="004C3639">
              <w:rPr>
                <w:b/>
                <w:color w:val="000000"/>
                <w:sz w:val="22"/>
                <w:szCs w:val="22"/>
              </w:rPr>
              <w:t>-2.3%</w:t>
            </w:r>
          </w:p>
        </w:tc>
      </w:tr>
      <w:tr w:rsidR="00FA742D" w:rsidRPr="004C3639" w14:paraId="6582676C" w14:textId="77777777" w:rsidTr="00BB2F80">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232FA9" w14:textId="77777777" w:rsidR="00FA742D" w:rsidRPr="004C3639" w:rsidRDefault="00FA742D" w:rsidP="00BB2F80">
            <w:pPr>
              <w:jc w:val="center"/>
              <w:rPr>
                <w:color w:val="000000"/>
                <w:sz w:val="22"/>
                <w:szCs w:val="22"/>
              </w:rPr>
            </w:pPr>
            <w:r w:rsidRPr="004C3639">
              <w:rPr>
                <w:color w:val="000000"/>
                <w:sz w:val="22"/>
                <w:szCs w:val="22"/>
              </w:rPr>
              <w:t>August - April</w:t>
            </w:r>
          </w:p>
        </w:tc>
        <w:tc>
          <w:tcPr>
            <w:tcW w:w="0" w:type="auto"/>
            <w:tcBorders>
              <w:top w:val="nil"/>
              <w:left w:val="nil"/>
              <w:bottom w:val="single" w:sz="4" w:space="0" w:color="auto"/>
              <w:right w:val="single" w:sz="4" w:space="0" w:color="auto"/>
            </w:tcBorders>
            <w:shd w:val="clear" w:color="auto" w:fill="auto"/>
            <w:noWrap/>
            <w:vAlign w:val="bottom"/>
            <w:hideMark/>
          </w:tcPr>
          <w:p w14:paraId="76E80F01" w14:textId="77777777" w:rsidR="00FA742D" w:rsidRPr="004C3639" w:rsidRDefault="00FA742D" w:rsidP="00BB2F80">
            <w:pPr>
              <w:jc w:val="center"/>
              <w:rPr>
                <w:color w:val="000000"/>
                <w:sz w:val="22"/>
                <w:szCs w:val="22"/>
              </w:rPr>
            </w:pPr>
            <w:r w:rsidRPr="004C3639">
              <w:rPr>
                <w:color w:val="000000"/>
                <w:sz w:val="22"/>
                <w:szCs w:val="22"/>
              </w:rPr>
              <w:t>-4.2%</w:t>
            </w:r>
          </w:p>
        </w:tc>
        <w:tc>
          <w:tcPr>
            <w:tcW w:w="0" w:type="auto"/>
            <w:tcBorders>
              <w:top w:val="nil"/>
              <w:left w:val="nil"/>
              <w:bottom w:val="single" w:sz="4" w:space="0" w:color="auto"/>
              <w:right w:val="single" w:sz="4" w:space="0" w:color="auto"/>
            </w:tcBorders>
            <w:shd w:val="clear" w:color="auto" w:fill="auto"/>
            <w:noWrap/>
            <w:vAlign w:val="bottom"/>
            <w:hideMark/>
          </w:tcPr>
          <w:p w14:paraId="3F948470" w14:textId="77777777" w:rsidR="00FA742D" w:rsidRPr="004C3639" w:rsidRDefault="00FA742D" w:rsidP="00BB2F80">
            <w:pPr>
              <w:jc w:val="center"/>
              <w:rPr>
                <w:color w:val="000000"/>
                <w:sz w:val="22"/>
                <w:szCs w:val="22"/>
              </w:rPr>
            </w:pPr>
            <w:r w:rsidRPr="004C3639">
              <w:rPr>
                <w:color w:val="000000"/>
                <w:sz w:val="22"/>
                <w:szCs w:val="22"/>
              </w:rPr>
              <w:t>-3.0%</w:t>
            </w:r>
          </w:p>
        </w:tc>
        <w:tc>
          <w:tcPr>
            <w:tcW w:w="0" w:type="auto"/>
            <w:tcBorders>
              <w:top w:val="nil"/>
              <w:left w:val="nil"/>
              <w:bottom w:val="single" w:sz="4" w:space="0" w:color="auto"/>
              <w:right w:val="single" w:sz="4" w:space="0" w:color="auto"/>
            </w:tcBorders>
            <w:shd w:val="clear" w:color="auto" w:fill="auto"/>
            <w:noWrap/>
            <w:vAlign w:val="bottom"/>
            <w:hideMark/>
          </w:tcPr>
          <w:p w14:paraId="3FA985E5" w14:textId="77777777" w:rsidR="00FA742D" w:rsidRPr="004C3639" w:rsidRDefault="00FA742D" w:rsidP="00BB2F80">
            <w:pPr>
              <w:jc w:val="center"/>
              <w:rPr>
                <w:b/>
                <w:color w:val="000000"/>
                <w:sz w:val="22"/>
                <w:szCs w:val="22"/>
              </w:rPr>
            </w:pPr>
            <w:r w:rsidRPr="004C3639">
              <w:rPr>
                <w:b/>
                <w:color w:val="000000"/>
                <w:sz w:val="22"/>
                <w:szCs w:val="22"/>
              </w:rPr>
              <w:t>-2.3%</w:t>
            </w:r>
          </w:p>
        </w:tc>
      </w:tr>
    </w:tbl>
    <w:p w14:paraId="56C69424" w14:textId="77777777" w:rsidR="00FA742D" w:rsidRDefault="00FA742D" w:rsidP="00FA742D"/>
    <w:p w14:paraId="523DBFFF" w14:textId="0700EE2C" w:rsidR="00FA742D" w:rsidRDefault="00FA742D" w:rsidP="00FA742D">
      <w:r w:rsidRPr="001466D2">
        <w:t xml:space="preserve">The </w:t>
      </w:r>
      <w:r>
        <w:t xml:space="preserve">commercial </w:t>
      </w:r>
      <w:r w:rsidRPr="001466D2">
        <w:t>logbook data provides landings in pounds</w:t>
      </w:r>
      <w:r>
        <w:t>;</w:t>
      </w:r>
      <w:r w:rsidRPr="001466D2">
        <w:t xml:space="preserve"> however</w:t>
      </w:r>
      <w:r>
        <w:t>,</w:t>
      </w:r>
      <w:r w:rsidRPr="001466D2">
        <w:t xml:space="preserve"> the </w:t>
      </w:r>
      <w:r>
        <w:t xml:space="preserve">current commercial harvest restriction during May and June is specified in numbers of fish.  </w:t>
      </w:r>
      <w:r w:rsidRPr="002C79C1">
        <w:rPr>
          <w:b/>
        </w:rPr>
        <w:t>Preferred Alternative 3</w:t>
      </w:r>
      <w:r>
        <w:t xml:space="preserve"> proposes commercial possession limits in numbers of fish.  To conduct the analysis, landings in</w:t>
      </w:r>
      <w:r w:rsidRPr="001466D2">
        <w:t xml:space="preserve"> pounds were converted to numbers </w:t>
      </w:r>
      <w:r>
        <w:t xml:space="preserve">of fish </w:t>
      </w:r>
      <w:r w:rsidRPr="001466D2">
        <w:t>by dividing</w:t>
      </w:r>
      <w:r>
        <w:t xml:space="preserve"> the harvest</w:t>
      </w:r>
      <w:r w:rsidRPr="001466D2">
        <w:t xml:space="preserve"> by the average weight</w:t>
      </w:r>
      <w:r>
        <w:t xml:space="preserve"> of mutton snapper harvested commercially.  Average weight was determined to be 7.68 lbs ww in the commercial sector in the most recent stock assessment (SEDAR 15A update 2015).  </w:t>
      </w:r>
      <w:r w:rsidRPr="002C79C1">
        <w:rPr>
          <w:b/>
        </w:rPr>
        <w:t>Preferred Alternative 3</w:t>
      </w:r>
      <w:r>
        <w:t xml:space="preserve"> proposes commercial trip limits in numbers of fish in two ways:  per person per day, and per vessel per day.  </w:t>
      </w:r>
      <w:r w:rsidRPr="005A26AB">
        <w:rPr>
          <w:b/>
        </w:rPr>
        <w:t xml:space="preserve">Figure </w:t>
      </w:r>
      <w:r w:rsidR="00AC071E">
        <w:rPr>
          <w:b/>
        </w:rPr>
        <w:t>2</w:t>
      </w:r>
      <w:r>
        <w:t xml:space="preserve"> provides the percentage of trips distribution of the total numbers of mutton snapper harvested both per person per day (</w:t>
      </w:r>
      <w:r w:rsidR="00AC071E">
        <w:rPr>
          <w:b/>
        </w:rPr>
        <w:t>Figure 3</w:t>
      </w:r>
      <w:r w:rsidRPr="005A26AB">
        <w:rPr>
          <w:b/>
        </w:rPr>
        <w:t>A</w:t>
      </w:r>
      <w:r>
        <w:t>) and per vessel per day (</w:t>
      </w:r>
      <w:r w:rsidR="00AC071E">
        <w:rPr>
          <w:b/>
        </w:rPr>
        <w:t>Figure 3</w:t>
      </w:r>
      <w:r w:rsidRPr="005A26AB">
        <w:rPr>
          <w:b/>
        </w:rPr>
        <w:t>B</w:t>
      </w:r>
      <w:r>
        <w:t xml:space="preserve">) during May-June from 2012 through 2014.  </w:t>
      </w:r>
    </w:p>
    <w:p w14:paraId="3F3B9AC1" w14:textId="77777777" w:rsidR="00AC071E" w:rsidRDefault="00AC071E" w:rsidP="00FA742D"/>
    <w:p w14:paraId="6CACC224" w14:textId="77777777" w:rsidR="00AC071E" w:rsidRDefault="00AC071E" w:rsidP="00FA742D"/>
    <w:p w14:paraId="22B63AAF" w14:textId="5A428CA1" w:rsidR="00AC071E" w:rsidRDefault="00AC071E" w:rsidP="00FA742D">
      <w:r>
        <w:rPr>
          <w:noProof/>
        </w:rPr>
        <w:drawing>
          <wp:inline distT="0" distB="0" distL="0" distR="0" wp14:anchorId="4619F02D" wp14:editId="03F01353">
            <wp:extent cx="5486400" cy="2120705"/>
            <wp:effectExtent l="0" t="0" r="0"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43F61A53" w14:textId="77777777" w:rsidR="00AC071E" w:rsidRDefault="00AC071E" w:rsidP="00FA742D"/>
    <w:p w14:paraId="25FB6EC2" w14:textId="0D815314" w:rsidR="00FA742D" w:rsidRDefault="00FA742D" w:rsidP="00FA742D">
      <w:r>
        <w:rPr>
          <w:noProof/>
        </w:rPr>
        <w:lastRenderedPageBreak/>
        <w:drawing>
          <wp:inline distT="0" distB="0" distL="0" distR="0" wp14:anchorId="349555EE" wp14:editId="355CCC68">
            <wp:extent cx="5943600" cy="2350477"/>
            <wp:effectExtent l="0" t="0" r="0" b="12065"/>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39D4C924" w14:textId="5429F52C" w:rsidR="00FA742D" w:rsidRPr="005A26AB" w:rsidRDefault="00AC071E" w:rsidP="00FA742D">
      <w:pPr>
        <w:rPr>
          <w:rFonts w:ascii="Arial" w:hAnsi="Arial"/>
          <w:sz w:val="20"/>
          <w:szCs w:val="20"/>
        </w:rPr>
      </w:pPr>
      <w:r>
        <w:rPr>
          <w:rFonts w:ascii="Arial" w:hAnsi="Arial"/>
          <w:b/>
          <w:sz w:val="20"/>
          <w:szCs w:val="20"/>
        </w:rPr>
        <w:t>Figure 3</w:t>
      </w:r>
      <w:r w:rsidR="00FA742D" w:rsidRPr="005A26AB">
        <w:rPr>
          <w:rFonts w:ascii="Arial" w:hAnsi="Arial"/>
          <w:b/>
          <w:sz w:val="20"/>
          <w:szCs w:val="20"/>
        </w:rPr>
        <w:t>.</w:t>
      </w:r>
      <w:r w:rsidR="00FA742D" w:rsidRPr="005A26AB">
        <w:rPr>
          <w:rFonts w:ascii="Arial" w:hAnsi="Arial"/>
          <w:sz w:val="20"/>
          <w:szCs w:val="20"/>
        </w:rPr>
        <w:t xml:space="preserve"> Distribution of the total number of mutton snapper harvested per person per day (A) and numbers of mutton snapper harvested per vessel per day (B) in the South Atlantic region during May and June.  Data from the commercial logbook, 2012 to 2014 (n = 1,411 trips).  </w:t>
      </w:r>
    </w:p>
    <w:p w14:paraId="33353A8D" w14:textId="77777777" w:rsidR="00FA742D" w:rsidRDefault="00FA742D" w:rsidP="00FA742D"/>
    <w:p w14:paraId="1C141036" w14:textId="3175508E" w:rsidR="00FA742D" w:rsidRDefault="00FA742D" w:rsidP="00FA742D">
      <w:r>
        <w:t xml:space="preserve">As mentioned previously, </w:t>
      </w:r>
      <w:r w:rsidRPr="00352CDD">
        <w:rPr>
          <w:b/>
        </w:rPr>
        <w:t>Alternative 1 (No Action)</w:t>
      </w:r>
      <w:r>
        <w:t xml:space="preserve"> specifies a commercial trip limit of 10 fish per person per day or 10 fish per person per trip, whichever is more restrictive.  There is the potential, however, for vessels to intentionally carry additional people on commercial trips during May and June to maximize harvest of mutton snapper.  </w:t>
      </w:r>
      <w:r w:rsidR="00AC071E">
        <w:rPr>
          <w:b/>
        </w:rPr>
        <w:t>Figure 3</w:t>
      </w:r>
      <w:r w:rsidRPr="005A26AB">
        <w:rPr>
          <w:b/>
        </w:rPr>
        <w:t>A</w:t>
      </w:r>
      <w:r>
        <w:t xml:space="preserve"> which shows the distribution of total number of mutton snapper harvested per person per day and indicates that 5.8% of the trips that took place during May and June from 2012 through 2014 exceed the current 10 fish per person per day limit.  </w:t>
      </w:r>
    </w:p>
    <w:p w14:paraId="48BEAB0D" w14:textId="77777777" w:rsidR="00FA742D" w:rsidRDefault="00FA742D" w:rsidP="00FA742D">
      <w:r>
        <w:t xml:space="preserve"> </w:t>
      </w:r>
    </w:p>
    <w:p w14:paraId="55B4FDD8" w14:textId="77777777" w:rsidR="00FA742D" w:rsidRDefault="00FA742D" w:rsidP="00FA742D">
      <w:r w:rsidRPr="00352CDD">
        <w:t>Sub-alternatives under</w:t>
      </w:r>
      <w:r>
        <w:rPr>
          <w:b/>
        </w:rPr>
        <w:t xml:space="preserve"> </w:t>
      </w:r>
      <w:r w:rsidRPr="00352CDD">
        <w:rPr>
          <w:b/>
        </w:rPr>
        <w:t>Preferred Alternative 3</w:t>
      </w:r>
      <w:r>
        <w:t xml:space="preserve"> propose per person possession limits, per vessel limits, and no retention during the spawning months (defined under Action 6 as April-June).  The per-person trip limits were analyzed by dividing the total catch by the total number of people, including the captain, on a commercial trip.  The per-vessel trip limit analysis focused on trip level data per day.  This was analyzed by dividing the catch per trip by the number of days reported in the commercial logbook.  An examination of the commercial logbook data from 2012 through 2014 revealed that 70% (n = 989 trips) of the mutton snapper commercial fishing trips during May and June are one-day trips.  </w:t>
      </w:r>
    </w:p>
    <w:p w14:paraId="1B7B256E" w14:textId="77777777" w:rsidR="00FA742D" w:rsidRDefault="00FA742D" w:rsidP="00FA742D">
      <w:r>
        <w:t xml:space="preserve">Each of the proposed trip limits under </w:t>
      </w:r>
      <w:r w:rsidRPr="009F3F49">
        <w:rPr>
          <w:b/>
        </w:rPr>
        <w:t>Preferred Alternative 3</w:t>
      </w:r>
      <w:r>
        <w:t xml:space="preserve"> were analyzed for each proposed “spawning months” sub-alternative under Action 6.  Percent reductions in commercial landings were calculated for the proposed trip limits of 0, 2, 3 and 5 mutton snapper per person per day by reducing trips that exceeded the proposed trip limit to match the trip limit being considered.  For example, to analyze the reduced trip limit of 3 fish/person/day a trip that reported harvest of 9 mutton snapper/person/ day was reduced to 3 mutton snapper/person/day.  Landings outside the proposed “spawning months” were not modified.  The reduced total annual landings were then compared against the total annual landings to determine the percent reduction in landings from the reduced trip limit.  </w:t>
      </w:r>
    </w:p>
    <w:p w14:paraId="5E57BE42" w14:textId="77777777" w:rsidR="00FA742D" w:rsidRDefault="00FA742D" w:rsidP="00FA742D"/>
    <w:p w14:paraId="672AC6E3" w14:textId="24818337" w:rsidR="00FA742D" w:rsidRDefault="00FA742D" w:rsidP="00FA742D">
      <w:r>
        <w:t xml:space="preserve">Implementing a trip limit of 10 to 12 mutton snapper per vessel inside the spawning season would decrease landings because the current 10 fish trip limit is per person.  </w:t>
      </w:r>
      <w:r>
        <w:lastRenderedPageBreak/>
        <w:t xml:space="preserve">Therefore, under the current trip limit </w:t>
      </w:r>
      <w:r w:rsidRPr="005A26AB">
        <w:rPr>
          <w:b/>
        </w:rPr>
        <w:t>(</w:t>
      </w:r>
      <w:r w:rsidRPr="004C010B">
        <w:rPr>
          <w:b/>
        </w:rPr>
        <w:t>Alternative 1</w:t>
      </w:r>
      <w:r>
        <w:rPr>
          <w:b/>
        </w:rPr>
        <w:t>)</w:t>
      </w:r>
      <w:r>
        <w:t xml:space="preserve"> a one-day trip with two people can harvest 20 mutton snapper; however, under the </w:t>
      </w:r>
      <w:r>
        <w:rPr>
          <w:b/>
        </w:rPr>
        <w:t>Sub-a</w:t>
      </w:r>
      <w:r w:rsidRPr="004C010B">
        <w:rPr>
          <w:b/>
        </w:rPr>
        <w:t>lternative</w:t>
      </w:r>
      <w:r>
        <w:rPr>
          <w:b/>
        </w:rPr>
        <w:t>s</w:t>
      </w:r>
      <w:r w:rsidRPr="004C010B">
        <w:rPr>
          <w:b/>
        </w:rPr>
        <w:t xml:space="preserve"> 3c </w:t>
      </w:r>
      <w:r>
        <w:t xml:space="preserve">and </w:t>
      </w:r>
      <w:r w:rsidRPr="004C010B">
        <w:rPr>
          <w:b/>
        </w:rPr>
        <w:t>3d</w:t>
      </w:r>
      <w:r>
        <w:t xml:space="preserve"> a one day trip can only harvest 10 or 12 mutton snapper, respectively, regardless of the number of people are on the boat.  Percent reductions in commercial landings were calculated for the proposed vessel limits of 10 and 12 mutton snapper per vessel per day by reducing trips that exceeded the proposed trip limit to match the trip limit being considered.  For example, to analyze the trip limit of 10 mutton snapper/vessel/day a trip that reported harvest of 15 mutton snapper/vessel/ day was reduced to 10 mutton snapper/person/day.  This vessel limit analysis only modified trips inside the spawning season.  Trips outside the spawning season were not modified.  Then the decreased total annual landings were compared against the total annual landings to determine the percent decrease in total landings from the vessel trip limit.  </w:t>
      </w:r>
      <w:r w:rsidRPr="005A26AB">
        <w:rPr>
          <w:b/>
        </w:rPr>
        <w:t xml:space="preserve">Table </w:t>
      </w:r>
      <w:r w:rsidR="00AC071E">
        <w:rPr>
          <w:b/>
        </w:rPr>
        <w:t>3</w:t>
      </w:r>
      <w:r>
        <w:t xml:space="preserve"> provided the percent decrease in landings for the various commercial trip limits proposed in </w:t>
      </w:r>
      <w:r w:rsidRPr="005A26AB">
        <w:rPr>
          <w:b/>
        </w:rPr>
        <w:t>Preferred Alternative 3</w:t>
      </w:r>
      <w:r>
        <w:t xml:space="preserve">.   </w:t>
      </w:r>
    </w:p>
    <w:p w14:paraId="6F1CD54B" w14:textId="77777777" w:rsidR="00FA742D" w:rsidRDefault="00FA742D" w:rsidP="00FA742D">
      <w:r>
        <w:t xml:space="preserve">  </w:t>
      </w:r>
    </w:p>
    <w:p w14:paraId="402F8E7D" w14:textId="178F8100" w:rsidR="00FA742D" w:rsidRPr="005A26AB" w:rsidRDefault="00AC071E" w:rsidP="00FA742D">
      <w:pPr>
        <w:rPr>
          <w:rFonts w:ascii="Arial" w:hAnsi="Arial"/>
          <w:sz w:val="20"/>
          <w:szCs w:val="20"/>
        </w:rPr>
      </w:pPr>
      <w:r>
        <w:rPr>
          <w:rFonts w:ascii="Arial" w:hAnsi="Arial"/>
          <w:b/>
          <w:sz w:val="20"/>
          <w:szCs w:val="20"/>
        </w:rPr>
        <w:t>Table 3</w:t>
      </w:r>
      <w:r w:rsidR="00FA742D" w:rsidRPr="005A26AB">
        <w:rPr>
          <w:rFonts w:ascii="Arial" w:hAnsi="Arial"/>
          <w:b/>
          <w:sz w:val="20"/>
          <w:szCs w:val="20"/>
        </w:rPr>
        <w:t>.</w:t>
      </w:r>
      <w:r w:rsidR="00FA742D" w:rsidRPr="005A26AB">
        <w:rPr>
          <w:rFonts w:ascii="Arial" w:hAnsi="Arial"/>
          <w:sz w:val="20"/>
          <w:szCs w:val="20"/>
        </w:rPr>
        <w:t xml:space="preserve"> Percent decrease in landings for various commercial trip limits proposed in Alternative 3 of Action 7 in Amendment 41.  The estimates came from mutton snapper commercial logbook data from 2012 to 2014, and the reductions were calculated for changes to the trip limit inside the spawning season. </w:t>
      </w:r>
    </w:p>
    <w:tbl>
      <w:tblPr>
        <w:tblW w:w="8820" w:type="dxa"/>
        <w:tblInd w:w="93" w:type="dxa"/>
        <w:tblLook w:val="04A0" w:firstRow="1" w:lastRow="0" w:firstColumn="1" w:lastColumn="0" w:noHBand="0" w:noVBand="1"/>
      </w:tblPr>
      <w:tblGrid>
        <w:gridCol w:w="1340"/>
        <w:gridCol w:w="1240"/>
        <w:gridCol w:w="1260"/>
        <w:gridCol w:w="1260"/>
        <w:gridCol w:w="1260"/>
        <w:gridCol w:w="1260"/>
        <w:gridCol w:w="1200"/>
      </w:tblGrid>
      <w:tr w:rsidR="00FA742D" w:rsidRPr="004C3639" w14:paraId="65BC4496" w14:textId="77777777" w:rsidTr="00BB2F80">
        <w:trPr>
          <w:trHeight w:val="312"/>
        </w:trPr>
        <w:tc>
          <w:tcPr>
            <w:tcW w:w="13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7A2F24" w14:textId="77777777" w:rsidR="00FA742D" w:rsidRPr="004C3639" w:rsidRDefault="00FA742D" w:rsidP="00BB2F80">
            <w:pPr>
              <w:jc w:val="center"/>
              <w:rPr>
                <w:b/>
                <w:color w:val="000000"/>
                <w:sz w:val="22"/>
                <w:szCs w:val="22"/>
              </w:rPr>
            </w:pPr>
            <w:r w:rsidRPr="004C3639">
              <w:rPr>
                <w:b/>
                <w:color w:val="000000"/>
                <w:sz w:val="22"/>
                <w:szCs w:val="22"/>
              </w:rPr>
              <w:t>Spawning Season</w:t>
            </w:r>
          </w:p>
        </w:tc>
        <w:tc>
          <w:tcPr>
            <w:tcW w:w="7480" w:type="dxa"/>
            <w:gridSpan w:val="6"/>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196F8133" w14:textId="77777777" w:rsidR="00FA742D" w:rsidRPr="004C3639" w:rsidRDefault="00FA742D" w:rsidP="00BB2F80">
            <w:pPr>
              <w:jc w:val="center"/>
              <w:rPr>
                <w:b/>
                <w:color w:val="000000"/>
                <w:sz w:val="22"/>
                <w:szCs w:val="22"/>
              </w:rPr>
            </w:pPr>
            <w:r w:rsidRPr="004C3639">
              <w:rPr>
                <w:b/>
                <w:color w:val="000000"/>
                <w:sz w:val="22"/>
                <w:szCs w:val="22"/>
              </w:rPr>
              <w:t>Possession Limit</w:t>
            </w:r>
          </w:p>
        </w:tc>
      </w:tr>
      <w:tr w:rsidR="00FA742D" w:rsidRPr="004C3639" w14:paraId="00D6EE4A" w14:textId="77777777" w:rsidTr="00BB2F80">
        <w:trPr>
          <w:trHeight w:val="576"/>
        </w:trPr>
        <w:tc>
          <w:tcPr>
            <w:tcW w:w="134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A01E24" w14:textId="77777777" w:rsidR="00FA742D" w:rsidRPr="004C3639" w:rsidRDefault="00FA742D" w:rsidP="00BB2F80">
            <w:pPr>
              <w:rPr>
                <w:b/>
                <w:color w:val="000000"/>
                <w:sz w:val="22"/>
                <w:szCs w:val="22"/>
              </w:rPr>
            </w:pPr>
          </w:p>
        </w:tc>
        <w:tc>
          <w:tcPr>
            <w:tcW w:w="1240" w:type="dxa"/>
            <w:tcBorders>
              <w:top w:val="nil"/>
              <w:left w:val="nil"/>
              <w:bottom w:val="single" w:sz="4" w:space="0" w:color="auto"/>
              <w:right w:val="single" w:sz="4" w:space="0" w:color="auto"/>
            </w:tcBorders>
            <w:shd w:val="clear" w:color="auto" w:fill="D9D9D9" w:themeFill="background1" w:themeFillShade="D9"/>
            <w:vAlign w:val="center"/>
            <w:hideMark/>
          </w:tcPr>
          <w:p w14:paraId="53B0F0EB" w14:textId="77777777" w:rsidR="00FA742D" w:rsidRPr="004C3639" w:rsidRDefault="00FA742D" w:rsidP="00BB2F80">
            <w:pPr>
              <w:jc w:val="center"/>
              <w:rPr>
                <w:b/>
                <w:color w:val="000000"/>
                <w:sz w:val="22"/>
                <w:szCs w:val="22"/>
              </w:rPr>
            </w:pPr>
            <w:r w:rsidRPr="004C3639">
              <w:rPr>
                <w:b/>
                <w:color w:val="000000"/>
                <w:sz w:val="22"/>
                <w:szCs w:val="22"/>
              </w:rPr>
              <w:t>No Retention</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14:paraId="461736CC" w14:textId="77777777" w:rsidR="00FA742D" w:rsidRPr="004C3639" w:rsidRDefault="00FA742D" w:rsidP="00BB2F80">
            <w:pPr>
              <w:jc w:val="center"/>
              <w:rPr>
                <w:b/>
                <w:color w:val="000000"/>
                <w:sz w:val="22"/>
                <w:szCs w:val="22"/>
              </w:rPr>
            </w:pPr>
            <w:r w:rsidRPr="004C3639">
              <w:rPr>
                <w:b/>
                <w:color w:val="000000"/>
                <w:sz w:val="22"/>
                <w:szCs w:val="22"/>
              </w:rPr>
              <w:t>2 fish/ person/day</w:t>
            </w:r>
          </w:p>
        </w:tc>
        <w:tc>
          <w:tcPr>
            <w:tcW w:w="1260" w:type="dxa"/>
            <w:tcBorders>
              <w:top w:val="nil"/>
              <w:left w:val="nil"/>
              <w:bottom w:val="single" w:sz="4" w:space="0" w:color="auto"/>
              <w:right w:val="single" w:sz="4" w:space="0" w:color="auto"/>
            </w:tcBorders>
            <w:shd w:val="clear" w:color="auto" w:fill="D9D9D9" w:themeFill="background1" w:themeFillShade="D9"/>
            <w:vAlign w:val="bottom"/>
            <w:hideMark/>
          </w:tcPr>
          <w:p w14:paraId="039E0F46" w14:textId="77777777" w:rsidR="00FA742D" w:rsidRPr="004C3639" w:rsidRDefault="00FA742D" w:rsidP="00BB2F80">
            <w:pPr>
              <w:jc w:val="center"/>
              <w:rPr>
                <w:b/>
                <w:color w:val="000000"/>
                <w:sz w:val="22"/>
                <w:szCs w:val="22"/>
              </w:rPr>
            </w:pPr>
            <w:r w:rsidRPr="004C3639">
              <w:rPr>
                <w:b/>
                <w:color w:val="000000"/>
                <w:sz w:val="22"/>
                <w:szCs w:val="22"/>
              </w:rPr>
              <w:t>3 fish/ person/day</w:t>
            </w:r>
          </w:p>
        </w:tc>
        <w:tc>
          <w:tcPr>
            <w:tcW w:w="1260" w:type="dxa"/>
            <w:tcBorders>
              <w:top w:val="nil"/>
              <w:left w:val="nil"/>
              <w:bottom w:val="single" w:sz="4" w:space="0" w:color="auto"/>
              <w:right w:val="single" w:sz="4" w:space="0" w:color="auto"/>
            </w:tcBorders>
            <w:shd w:val="clear" w:color="auto" w:fill="D9D9D9" w:themeFill="background1" w:themeFillShade="D9"/>
            <w:vAlign w:val="bottom"/>
            <w:hideMark/>
          </w:tcPr>
          <w:p w14:paraId="61BC97C4" w14:textId="77777777" w:rsidR="00FA742D" w:rsidRPr="004C3639" w:rsidRDefault="00FA742D" w:rsidP="00BB2F80">
            <w:pPr>
              <w:jc w:val="center"/>
              <w:rPr>
                <w:b/>
                <w:color w:val="000000"/>
                <w:sz w:val="22"/>
                <w:szCs w:val="22"/>
              </w:rPr>
            </w:pPr>
            <w:r w:rsidRPr="004C3639">
              <w:rPr>
                <w:b/>
                <w:color w:val="000000"/>
                <w:sz w:val="22"/>
                <w:szCs w:val="22"/>
              </w:rPr>
              <w:t>5 fish/ person/day</w:t>
            </w:r>
          </w:p>
        </w:tc>
        <w:tc>
          <w:tcPr>
            <w:tcW w:w="1260" w:type="dxa"/>
            <w:tcBorders>
              <w:top w:val="nil"/>
              <w:left w:val="nil"/>
              <w:bottom w:val="single" w:sz="4" w:space="0" w:color="auto"/>
              <w:right w:val="single" w:sz="4" w:space="0" w:color="auto"/>
            </w:tcBorders>
            <w:shd w:val="clear" w:color="auto" w:fill="D9D9D9" w:themeFill="background1" w:themeFillShade="D9"/>
            <w:vAlign w:val="bottom"/>
            <w:hideMark/>
          </w:tcPr>
          <w:p w14:paraId="1B1721E8" w14:textId="77777777" w:rsidR="00FA742D" w:rsidRPr="004C3639" w:rsidRDefault="00FA742D" w:rsidP="00BB2F80">
            <w:pPr>
              <w:jc w:val="center"/>
              <w:rPr>
                <w:b/>
                <w:color w:val="000000"/>
                <w:sz w:val="22"/>
                <w:szCs w:val="22"/>
              </w:rPr>
            </w:pPr>
            <w:r w:rsidRPr="004C3639">
              <w:rPr>
                <w:b/>
                <w:color w:val="000000"/>
                <w:sz w:val="22"/>
                <w:szCs w:val="22"/>
              </w:rPr>
              <w:t>10 fish/ vessel/day</w:t>
            </w:r>
          </w:p>
        </w:tc>
        <w:tc>
          <w:tcPr>
            <w:tcW w:w="1200" w:type="dxa"/>
            <w:tcBorders>
              <w:top w:val="nil"/>
              <w:left w:val="nil"/>
              <w:bottom w:val="single" w:sz="4" w:space="0" w:color="auto"/>
              <w:right w:val="single" w:sz="4" w:space="0" w:color="auto"/>
            </w:tcBorders>
            <w:shd w:val="clear" w:color="auto" w:fill="D9D9D9" w:themeFill="background1" w:themeFillShade="D9"/>
            <w:vAlign w:val="bottom"/>
            <w:hideMark/>
          </w:tcPr>
          <w:p w14:paraId="617C83BE" w14:textId="77777777" w:rsidR="00FA742D" w:rsidRPr="004C3639" w:rsidRDefault="00FA742D" w:rsidP="00BB2F80">
            <w:pPr>
              <w:jc w:val="center"/>
              <w:rPr>
                <w:b/>
                <w:color w:val="000000"/>
                <w:sz w:val="22"/>
                <w:szCs w:val="22"/>
              </w:rPr>
            </w:pPr>
            <w:r w:rsidRPr="004C3639">
              <w:rPr>
                <w:b/>
                <w:color w:val="000000"/>
                <w:sz w:val="22"/>
                <w:szCs w:val="22"/>
              </w:rPr>
              <w:t>12 fish/ vessel/day</w:t>
            </w:r>
          </w:p>
        </w:tc>
      </w:tr>
      <w:tr w:rsidR="00FA742D" w:rsidRPr="004C3639" w14:paraId="3DE2432C" w14:textId="77777777" w:rsidTr="00BB2F80">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0802D53" w14:textId="77777777" w:rsidR="00FA742D" w:rsidRPr="004C3639" w:rsidRDefault="00FA742D" w:rsidP="00BB2F80">
            <w:pPr>
              <w:jc w:val="center"/>
              <w:rPr>
                <w:color w:val="000000"/>
                <w:sz w:val="22"/>
                <w:szCs w:val="22"/>
              </w:rPr>
            </w:pPr>
            <w:r w:rsidRPr="004C3639">
              <w:rPr>
                <w:color w:val="000000"/>
                <w:sz w:val="22"/>
                <w:szCs w:val="22"/>
              </w:rPr>
              <w:t>May-June</w:t>
            </w:r>
          </w:p>
        </w:tc>
        <w:tc>
          <w:tcPr>
            <w:tcW w:w="1240" w:type="dxa"/>
            <w:tcBorders>
              <w:top w:val="nil"/>
              <w:left w:val="nil"/>
              <w:bottom w:val="single" w:sz="4" w:space="0" w:color="auto"/>
              <w:right w:val="single" w:sz="4" w:space="0" w:color="auto"/>
            </w:tcBorders>
            <w:shd w:val="clear" w:color="auto" w:fill="auto"/>
            <w:noWrap/>
            <w:vAlign w:val="bottom"/>
            <w:hideMark/>
          </w:tcPr>
          <w:p w14:paraId="6057BBF1" w14:textId="77777777" w:rsidR="00FA742D" w:rsidRPr="004C3639" w:rsidRDefault="00FA742D" w:rsidP="00BB2F80">
            <w:pPr>
              <w:jc w:val="center"/>
              <w:rPr>
                <w:color w:val="000000"/>
                <w:sz w:val="22"/>
                <w:szCs w:val="22"/>
              </w:rPr>
            </w:pPr>
            <w:r w:rsidRPr="004C3639">
              <w:rPr>
                <w:color w:val="000000"/>
                <w:sz w:val="22"/>
                <w:szCs w:val="22"/>
              </w:rPr>
              <w:t>-35.8%</w:t>
            </w:r>
          </w:p>
        </w:tc>
        <w:tc>
          <w:tcPr>
            <w:tcW w:w="1260" w:type="dxa"/>
            <w:tcBorders>
              <w:top w:val="nil"/>
              <w:left w:val="nil"/>
              <w:bottom w:val="single" w:sz="4" w:space="0" w:color="auto"/>
              <w:right w:val="single" w:sz="4" w:space="0" w:color="auto"/>
            </w:tcBorders>
            <w:shd w:val="clear" w:color="auto" w:fill="auto"/>
            <w:noWrap/>
            <w:vAlign w:val="bottom"/>
            <w:hideMark/>
          </w:tcPr>
          <w:p w14:paraId="20D1FC59" w14:textId="77777777" w:rsidR="00FA742D" w:rsidRPr="004C3639" w:rsidRDefault="00FA742D" w:rsidP="00BB2F80">
            <w:pPr>
              <w:jc w:val="center"/>
              <w:rPr>
                <w:color w:val="000000"/>
                <w:sz w:val="22"/>
                <w:szCs w:val="22"/>
              </w:rPr>
            </w:pPr>
            <w:r w:rsidRPr="004C3639">
              <w:rPr>
                <w:color w:val="000000"/>
                <w:sz w:val="22"/>
                <w:szCs w:val="22"/>
              </w:rPr>
              <w:t>-20.0%</w:t>
            </w:r>
          </w:p>
        </w:tc>
        <w:tc>
          <w:tcPr>
            <w:tcW w:w="1260" w:type="dxa"/>
            <w:tcBorders>
              <w:top w:val="nil"/>
              <w:left w:val="nil"/>
              <w:bottom w:val="single" w:sz="4" w:space="0" w:color="auto"/>
              <w:right w:val="single" w:sz="4" w:space="0" w:color="auto"/>
            </w:tcBorders>
            <w:shd w:val="clear" w:color="auto" w:fill="auto"/>
            <w:noWrap/>
            <w:vAlign w:val="bottom"/>
            <w:hideMark/>
          </w:tcPr>
          <w:p w14:paraId="32CA961C" w14:textId="77777777" w:rsidR="00FA742D" w:rsidRPr="004C3639" w:rsidRDefault="00FA742D" w:rsidP="00BB2F80">
            <w:pPr>
              <w:jc w:val="center"/>
              <w:rPr>
                <w:color w:val="000000"/>
                <w:sz w:val="22"/>
                <w:szCs w:val="22"/>
              </w:rPr>
            </w:pPr>
            <w:r w:rsidRPr="004C3639">
              <w:rPr>
                <w:color w:val="000000"/>
                <w:sz w:val="22"/>
                <w:szCs w:val="22"/>
              </w:rPr>
              <w:t>-16.3%</w:t>
            </w:r>
          </w:p>
        </w:tc>
        <w:tc>
          <w:tcPr>
            <w:tcW w:w="1260" w:type="dxa"/>
            <w:tcBorders>
              <w:top w:val="nil"/>
              <w:left w:val="nil"/>
              <w:bottom w:val="single" w:sz="4" w:space="0" w:color="auto"/>
              <w:right w:val="single" w:sz="4" w:space="0" w:color="auto"/>
            </w:tcBorders>
            <w:shd w:val="clear" w:color="auto" w:fill="auto"/>
            <w:noWrap/>
            <w:vAlign w:val="bottom"/>
            <w:hideMark/>
          </w:tcPr>
          <w:p w14:paraId="20ED775B" w14:textId="77777777" w:rsidR="00FA742D" w:rsidRPr="004C3639" w:rsidRDefault="00FA742D" w:rsidP="00BB2F80">
            <w:pPr>
              <w:jc w:val="center"/>
              <w:rPr>
                <w:b/>
                <w:color w:val="000000"/>
                <w:sz w:val="22"/>
                <w:szCs w:val="22"/>
              </w:rPr>
            </w:pPr>
            <w:r w:rsidRPr="004C3639">
              <w:rPr>
                <w:b/>
                <w:color w:val="000000"/>
                <w:sz w:val="22"/>
                <w:szCs w:val="22"/>
              </w:rPr>
              <w:t>-8.6%</w:t>
            </w:r>
          </w:p>
        </w:tc>
        <w:tc>
          <w:tcPr>
            <w:tcW w:w="1260" w:type="dxa"/>
            <w:tcBorders>
              <w:top w:val="nil"/>
              <w:left w:val="nil"/>
              <w:bottom w:val="single" w:sz="4" w:space="0" w:color="auto"/>
              <w:right w:val="single" w:sz="4" w:space="0" w:color="auto"/>
            </w:tcBorders>
            <w:shd w:val="clear" w:color="auto" w:fill="auto"/>
            <w:noWrap/>
            <w:vAlign w:val="bottom"/>
            <w:hideMark/>
          </w:tcPr>
          <w:p w14:paraId="5108A6F7" w14:textId="77777777" w:rsidR="00FA742D" w:rsidRPr="004C3639" w:rsidRDefault="00FA742D" w:rsidP="00BB2F80">
            <w:pPr>
              <w:jc w:val="center"/>
              <w:rPr>
                <w:color w:val="000000"/>
                <w:sz w:val="22"/>
                <w:szCs w:val="22"/>
              </w:rPr>
            </w:pPr>
            <w:r w:rsidRPr="004C3639">
              <w:rPr>
                <w:color w:val="000000"/>
                <w:sz w:val="22"/>
                <w:szCs w:val="22"/>
              </w:rPr>
              <w:t>-4.1%</w:t>
            </w:r>
          </w:p>
        </w:tc>
        <w:tc>
          <w:tcPr>
            <w:tcW w:w="1200" w:type="dxa"/>
            <w:tcBorders>
              <w:top w:val="nil"/>
              <w:left w:val="nil"/>
              <w:bottom w:val="single" w:sz="4" w:space="0" w:color="auto"/>
              <w:right w:val="single" w:sz="4" w:space="0" w:color="auto"/>
            </w:tcBorders>
            <w:shd w:val="clear" w:color="auto" w:fill="auto"/>
            <w:noWrap/>
            <w:vAlign w:val="bottom"/>
            <w:hideMark/>
          </w:tcPr>
          <w:p w14:paraId="53FA2174" w14:textId="77777777" w:rsidR="00FA742D" w:rsidRPr="004C3639" w:rsidRDefault="00FA742D" w:rsidP="00BB2F80">
            <w:pPr>
              <w:jc w:val="center"/>
              <w:rPr>
                <w:color w:val="000000"/>
                <w:sz w:val="22"/>
                <w:szCs w:val="22"/>
              </w:rPr>
            </w:pPr>
            <w:r w:rsidRPr="004C3639">
              <w:rPr>
                <w:color w:val="000000"/>
                <w:sz w:val="22"/>
                <w:szCs w:val="22"/>
              </w:rPr>
              <w:t>-2.8%</w:t>
            </w:r>
          </w:p>
        </w:tc>
      </w:tr>
      <w:tr w:rsidR="00FA742D" w:rsidRPr="004C3639" w14:paraId="5F0176C8" w14:textId="77777777" w:rsidTr="00BB2F80">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C37B545" w14:textId="77777777" w:rsidR="00FA742D" w:rsidRPr="004C3639" w:rsidRDefault="00FA742D" w:rsidP="00BB2F80">
            <w:pPr>
              <w:jc w:val="center"/>
              <w:rPr>
                <w:b/>
                <w:color w:val="000000"/>
                <w:sz w:val="22"/>
                <w:szCs w:val="22"/>
              </w:rPr>
            </w:pPr>
            <w:r w:rsidRPr="004C3639">
              <w:rPr>
                <w:b/>
                <w:color w:val="000000"/>
                <w:sz w:val="22"/>
                <w:szCs w:val="22"/>
              </w:rPr>
              <w:t>April-June</w:t>
            </w:r>
          </w:p>
        </w:tc>
        <w:tc>
          <w:tcPr>
            <w:tcW w:w="1240" w:type="dxa"/>
            <w:tcBorders>
              <w:top w:val="nil"/>
              <w:left w:val="nil"/>
              <w:bottom w:val="single" w:sz="4" w:space="0" w:color="auto"/>
              <w:right w:val="single" w:sz="4" w:space="0" w:color="auto"/>
            </w:tcBorders>
            <w:shd w:val="clear" w:color="auto" w:fill="auto"/>
            <w:noWrap/>
            <w:vAlign w:val="bottom"/>
            <w:hideMark/>
          </w:tcPr>
          <w:p w14:paraId="7031DA13" w14:textId="77777777" w:rsidR="00FA742D" w:rsidRPr="004C3639" w:rsidRDefault="00FA742D" w:rsidP="00BB2F80">
            <w:pPr>
              <w:jc w:val="center"/>
              <w:rPr>
                <w:b/>
                <w:color w:val="000000"/>
                <w:sz w:val="22"/>
                <w:szCs w:val="22"/>
              </w:rPr>
            </w:pPr>
            <w:r w:rsidRPr="004C3639">
              <w:rPr>
                <w:b/>
                <w:color w:val="000000"/>
                <w:sz w:val="22"/>
                <w:szCs w:val="22"/>
              </w:rPr>
              <w:t>-41.7%</w:t>
            </w:r>
          </w:p>
        </w:tc>
        <w:tc>
          <w:tcPr>
            <w:tcW w:w="1260" w:type="dxa"/>
            <w:tcBorders>
              <w:top w:val="nil"/>
              <w:left w:val="nil"/>
              <w:bottom w:val="single" w:sz="4" w:space="0" w:color="auto"/>
              <w:right w:val="single" w:sz="4" w:space="0" w:color="auto"/>
            </w:tcBorders>
            <w:shd w:val="clear" w:color="auto" w:fill="auto"/>
            <w:noWrap/>
            <w:vAlign w:val="bottom"/>
            <w:hideMark/>
          </w:tcPr>
          <w:p w14:paraId="43880C14" w14:textId="77777777" w:rsidR="00FA742D" w:rsidRPr="004C3639" w:rsidRDefault="00FA742D" w:rsidP="00BB2F80">
            <w:pPr>
              <w:jc w:val="center"/>
              <w:rPr>
                <w:b/>
                <w:color w:val="000000"/>
                <w:sz w:val="22"/>
                <w:szCs w:val="22"/>
              </w:rPr>
            </w:pPr>
            <w:r w:rsidRPr="004C3639">
              <w:rPr>
                <w:b/>
                <w:color w:val="000000"/>
                <w:sz w:val="22"/>
                <w:szCs w:val="22"/>
              </w:rPr>
              <w:t>-23.5%</w:t>
            </w:r>
          </w:p>
        </w:tc>
        <w:tc>
          <w:tcPr>
            <w:tcW w:w="1260" w:type="dxa"/>
            <w:tcBorders>
              <w:top w:val="nil"/>
              <w:left w:val="nil"/>
              <w:bottom w:val="single" w:sz="4" w:space="0" w:color="auto"/>
              <w:right w:val="single" w:sz="4" w:space="0" w:color="auto"/>
            </w:tcBorders>
            <w:shd w:val="clear" w:color="auto" w:fill="auto"/>
            <w:noWrap/>
            <w:vAlign w:val="bottom"/>
            <w:hideMark/>
          </w:tcPr>
          <w:p w14:paraId="55443ACC" w14:textId="77777777" w:rsidR="00FA742D" w:rsidRPr="004C3639" w:rsidRDefault="00FA742D" w:rsidP="00BB2F80">
            <w:pPr>
              <w:jc w:val="center"/>
              <w:rPr>
                <w:b/>
                <w:color w:val="000000"/>
                <w:sz w:val="22"/>
                <w:szCs w:val="22"/>
              </w:rPr>
            </w:pPr>
            <w:r w:rsidRPr="004C3639">
              <w:rPr>
                <w:b/>
                <w:color w:val="000000"/>
                <w:sz w:val="22"/>
                <w:szCs w:val="22"/>
              </w:rPr>
              <w:t>-19.3%</w:t>
            </w:r>
          </w:p>
        </w:tc>
        <w:tc>
          <w:tcPr>
            <w:tcW w:w="1260" w:type="dxa"/>
            <w:tcBorders>
              <w:top w:val="nil"/>
              <w:left w:val="nil"/>
              <w:bottom w:val="single" w:sz="4" w:space="0" w:color="auto"/>
              <w:right w:val="single" w:sz="4" w:space="0" w:color="auto"/>
            </w:tcBorders>
            <w:shd w:val="clear" w:color="auto" w:fill="auto"/>
            <w:noWrap/>
            <w:vAlign w:val="bottom"/>
            <w:hideMark/>
          </w:tcPr>
          <w:p w14:paraId="359094A7" w14:textId="77777777" w:rsidR="00FA742D" w:rsidRPr="004C3639" w:rsidRDefault="00FA742D" w:rsidP="00BB2F80">
            <w:pPr>
              <w:jc w:val="center"/>
              <w:rPr>
                <w:b/>
                <w:color w:val="000000"/>
                <w:sz w:val="22"/>
                <w:szCs w:val="22"/>
              </w:rPr>
            </w:pPr>
            <w:r w:rsidRPr="004C3639">
              <w:rPr>
                <w:b/>
                <w:color w:val="000000"/>
                <w:sz w:val="22"/>
                <w:szCs w:val="22"/>
              </w:rPr>
              <w:t>-13.6%</w:t>
            </w:r>
          </w:p>
        </w:tc>
        <w:tc>
          <w:tcPr>
            <w:tcW w:w="1260" w:type="dxa"/>
            <w:tcBorders>
              <w:top w:val="nil"/>
              <w:left w:val="nil"/>
              <w:bottom w:val="single" w:sz="4" w:space="0" w:color="auto"/>
              <w:right w:val="single" w:sz="4" w:space="0" w:color="auto"/>
            </w:tcBorders>
            <w:shd w:val="clear" w:color="auto" w:fill="auto"/>
            <w:noWrap/>
            <w:vAlign w:val="bottom"/>
            <w:hideMark/>
          </w:tcPr>
          <w:p w14:paraId="06A39DC4" w14:textId="77777777" w:rsidR="00FA742D" w:rsidRPr="004C3639" w:rsidRDefault="00FA742D" w:rsidP="00BB2F80">
            <w:pPr>
              <w:jc w:val="center"/>
              <w:rPr>
                <w:b/>
                <w:color w:val="000000"/>
                <w:sz w:val="22"/>
                <w:szCs w:val="22"/>
              </w:rPr>
            </w:pPr>
            <w:r w:rsidRPr="004C3639">
              <w:rPr>
                <w:b/>
                <w:color w:val="000000"/>
                <w:sz w:val="22"/>
                <w:szCs w:val="22"/>
              </w:rPr>
              <w:t>-5.0%</w:t>
            </w:r>
          </w:p>
        </w:tc>
        <w:tc>
          <w:tcPr>
            <w:tcW w:w="1200" w:type="dxa"/>
            <w:tcBorders>
              <w:top w:val="nil"/>
              <w:left w:val="nil"/>
              <w:bottom w:val="single" w:sz="4" w:space="0" w:color="auto"/>
              <w:right w:val="single" w:sz="4" w:space="0" w:color="auto"/>
            </w:tcBorders>
            <w:shd w:val="clear" w:color="auto" w:fill="auto"/>
            <w:noWrap/>
            <w:vAlign w:val="bottom"/>
            <w:hideMark/>
          </w:tcPr>
          <w:p w14:paraId="4DE82C8A" w14:textId="77777777" w:rsidR="00FA742D" w:rsidRPr="004C3639" w:rsidRDefault="00FA742D" w:rsidP="00BB2F80">
            <w:pPr>
              <w:jc w:val="center"/>
              <w:rPr>
                <w:b/>
                <w:color w:val="000000"/>
                <w:sz w:val="22"/>
                <w:szCs w:val="22"/>
              </w:rPr>
            </w:pPr>
            <w:r w:rsidRPr="004C3639">
              <w:rPr>
                <w:b/>
                <w:color w:val="000000"/>
                <w:sz w:val="22"/>
                <w:szCs w:val="22"/>
              </w:rPr>
              <w:t>-3.5%</w:t>
            </w:r>
          </w:p>
        </w:tc>
      </w:tr>
      <w:tr w:rsidR="00FA742D" w:rsidRPr="004C3639" w14:paraId="3E0BDF9B" w14:textId="77777777" w:rsidTr="00BB2F80">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636CFE4" w14:textId="77777777" w:rsidR="00FA742D" w:rsidRPr="004C3639" w:rsidRDefault="00FA742D" w:rsidP="00BB2F80">
            <w:pPr>
              <w:jc w:val="center"/>
              <w:rPr>
                <w:color w:val="000000"/>
                <w:sz w:val="22"/>
                <w:szCs w:val="22"/>
              </w:rPr>
            </w:pPr>
            <w:r w:rsidRPr="004C3639">
              <w:rPr>
                <w:color w:val="000000"/>
                <w:sz w:val="22"/>
                <w:szCs w:val="22"/>
              </w:rPr>
              <w:t>April-July</w:t>
            </w:r>
          </w:p>
        </w:tc>
        <w:tc>
          <w:tcPr>
            <w:tcW w:w="1240" w:type="dxa"/>
            <w:tcBorders>
              <w:top w:val="nil"/>
              <w:left w:val="nil"/>
              <w:bottom w:val="single" w:sz="4" w:space="0" w:color="auto"/>
              <w:right w:val="single" w:sz="4" w:space="0" w:color="auto"/>
            </w:tcBorders>
            <w:shd w:val="clear" w:color="auto" w:fill="auto"/>
            <w:noWrap/>
            <w:vAlign w:val="bottom"/>
            <w:hideMark/>
          </w:tcPr>
          <w:p w14:paraId="0FD233A0" w14:textId="77777777" w:rsidR="00FA742D" w:rsidRPr="004C3639" w:rsidRDefault="00FA742D" w:rsidP="00BB2F80">
            <w:pPr>
              <w:jc w:val="center"/>
              <w:rPr>
                <w:color w:val="000000"/>
                <w:sz w:val="22"/>
                <w:szCs w:val="22"/>
              </w:rPr>
            </w:pPr>
            <w:r w:rsidRPr="004C3639">
              <w:rPr>
                <w:color w:val="000000"/>
                <w:sz w:val="22"/>
                <w:szCs w:val="22"/>
              </w:rPr>
              <w:t>-52.6%</w:t>
            </w:r>
          </w:p>
        </w:tc>
        <w:tc>
          <w:tcPr>
            <w:tcW w:w="1260" w:type="dxa"/>
            <w:tcBorders>
              <w:top w:val="nil"/>
              <w:left w:val="nil"/>
              <w:bottom w:val="single" w:sz="4" w:space="0" w:color="auto"/>
              <w:right w:val="single" w:sz="4" w:space="0" w:color="auto"/>
            </w:tcBorders>
            <w:shd w:val="clear" w:color="auto" w:fill="auto"/>
            <w:noWrap/>
            <w:vAlign w:val="bottom"/>
            <w:hideMark/>
          </w:tcPr>
          <w:p w14:paraId="0E1333C8" w14:textId="77777777" w:rsidR="00FA742D" w:rsidRPr="004C3639" w:rsidRDefault="00FA742D" w:rsidP="00BB2F80">
            <w:pPr>
              <w:jc w:val="center"/>
              <w:rPr>
                <w:color w:val="000000"/>
                <w:sz w:val="22"/>
                <w:szCs w:val="22"/>
              </w:rPr>
            </w:pPr>
            <w:r w:rsidRPr="004C3639">
              <w:rPr>
                <w:color w:val="000000"/>
                <w:sz w:val="22"/>
                <w:szCs w:val="22"/>
              </w:rPr>
              <w:t>-29.6%</w:t>
            </w:r>
          </w:p>
        </w:tc>
        <w:tc>
          <w:tcPr>
            <w:tcW w:w="1260" w:type="dxa"/>
            <w:tcBorders>
              <w:top w:val="nil"/>
              <w:left w:val="nil"/>
              <w:bottom w:val="single" w:sz="4" w:space="0" w:color="auto"/>
              <w:right w:val="single" w:sz="4" w:space="0" w:color="auto"/>
            </w:tcBorders>
            <w:shd w:val="clear" w:color="auto" w:fill="auto"/>
            <w:noWrap/>
            <w:vAlign w:val="bottom"/>
            <w:hideMark/>
          </w:tcPr>
          <w:p w14:paraId="11B62B0B" w14:textId="77777777" w:rsidR="00FA742D" w:rsidRPr="004C3639" w:rsidRDefault="00FA742D" w:rsidP="00BB2F80">
            <w:pPr>
              <w:jc w:val="center"/>
              <w:rPr>
                <w:color w:val="000000"/>
                <w:sz w:val="22"/>
                <w:szCs w:val="22"/>
              </w:rPr>
            </w:pPr>
            <w:r w:rsidRPr="004C3639">
              <w:rPr>
                <w:color w:val="000000"/>
                <w:sz w:val="22"/>
                <w:szCs w:val="22"/>
              </w:rPr>
              <w:t>-24.2%</w:t>
            </w:r>
          </w:p>
        </w:tc>
        <w:tc>
          <w:tcPr>
            <w:tcW w:w="1260" w:type="dxa"/>
            <w:tcBorders>
              <w:top w:val="nil"/>
              <w:left w:val="nil"/>
              <w:bottom w:val="single" w:sz="4" w:space="0" w:color="auto"/>
              <w:right w:val="single" w:sz="4" w:space="0" w:color="auto"/>
            </w:tcBorders>
            <w:shd w:val="clear" w:color="auto" w:fill="auto"/>
            <w:noWrap/>
            <w:vAlign w:val="bottom"/>
            <w:hideMark/>
          </w:tcPr>
          <w:p w14:paraId="149DFEFE" w14:textId="77777777" w:rsidR="00FA742D" w:rsidRPr="004C3639" w:rsidRDefault="00FA742D" w:rsidP="00BB2F80">
            <w:pPr>
              <w:jc w:val="center"/>
              <w:rPr>
                <w:b/>
                <w:color w:val="000000"/>
                <w:sz w:val="22"/>
                <w:szCs w:val="22"/>
              </w:rPr>
            </w:pPr>
            <w:r w:rsidRPr="004C3639">
              <w:rPr>
                <w:b/>
                <w:color w:val="000000"/>
                <w:sz w:val="22"/>
                <w:szCs w:val="22"/>
              </w:rPr>
              <w:t>-17.1%</w:t>
            </w:r>
          </w:p>
        </w:tc>
        <w:tc>
          <w:tcPr>
            <w:tcW w:w="1260" w:type="dxa"/>
            <w:tcBorders>
              <w:top w:val="nil"/>
              <w:left w:val="nil"/>
              <w:bottom w:val="single" w:sz="4" w:space="0" w:color="auto"/>
              <w:right w:val="single" w:sz="4" w:space="0" w:color="auto"/>
            </w:tcBorders>
            <w:shd w:val="clear" w:color="auto" w:fill="auto"/>
            <w:noWrap/>
            <w:vAlign w:val="bottom"/>
            <w:hideMark/>
          </w:tcPr>
          <w:p w14:paraId="0C4C2062" w14:textId="77777777" w:rsidR="00FA742D" w:rsidRPr="004C3639" w:rsidRDefault="00FA742D" w:rsidP="00BB2F80">
            <w:pPr>
              <w:jc w:val="center"/>
              <w:rPr>
                <w:color w:val="000000"/>
                <w:sz w:val="22"/>
                <w:szCs w:val="22"/>
              </w:rPr>
            </w:pPr>
            <w:r w:rsidRPr="004C3639">
              <w:rPr>
                <w:color w:val="000000"/>
                <w:sz w:val="22"/>
                <w:szCs w:val="22"/>
              </w:rPr>
              <w:t>-6.9%</w:t>
            </w:r>
          </w:p>
        </w:tc>
        <w:tc>
          <w:tcPr>
            <w:tcW w:w="1200" w:type="dxa"/>
            <w:tcBorders>
              <w:top w:val="nil"/>
              <w:left w:val="nil"/>
              <w:bottom w:val="single" w:sz="4" w:space="0" w:color="auto"/>
              <w:right w:val="single" w:sz="4" w:space="0" w:color="auto"/>
            </w:tcBorders>
            <w:shd w:val="clear" w:color="auto" w:fill="auto"/>
            <w:noWrap/>
            <w:vAlign w:val="bottom"/>
            <w:hideMark/>
          </w:tcPr>
          <w:p w14:paraId="5F82F55D" w14:textId="77777777" w:rsidR="00FA742D" w:rsidRPr="004C3639" w:rsidRDefault="00FA742D" w:rsidP="00BB2F80">
            <w:pPr>
              <w:jc w:val="center"/>
              <w:rPr>
                <w:color w:val="000000"/>
                <w:sz w:val="22"/>
                <w:szCs w:val="22"/>
              </w:rPr>
            </w:pPr>
            <w:r w:rsidRPr="004C3639">
              <w:rPr>
                <w:color w:val="000000"/>
                <w:sz w:val="22"/>
                <w:szCs w:val="22"/>
              </w:rPr>
              <w:t>-5.1%</w:t>
            </w:r>
          </w:p>
        </w:tc>
      </w:tr>
      <w:tr w:rsidR="00FA742D" w:rsidRPr="004C3639" w14:paraId="5DAA6A4F" w14:textId="77777777" w:rsidTr="00BB2F80">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88E0995" w14:textId="77777777" w:rsidR="00FA742D" w:rsidRPr="004C3639" w:rsidRDefault="00FA742D" w:rsidP="00BB2F80">
            <w:pPr>
              <w:jc w:val="center"/>
              <w:rPr>
                <w:color w:val="000000"/>
                <w:sz w:val="22"/>
                <w:szCs w:val="22"/>
              </w:rPr>
            </w:pPr>
            <w:r w:rsidRPr="004C3639">
              <w:rPr>
                <w:color w:val="000000"/>
                <w:sz w:val="22"/>
                <w:szCs w:val="22"/>
              </w:rPr>
              <w:t>May-July</w:t>
            </w:r>
          </w:p>
        </w:tc>
        <w:tc>
          <w:tcPr>
            <w:tcW w:w="1240" w:type="dxa"/>
            <w:tcBorders>
              <w:top w:val="nil"/>
              <w:left w:val="nil"/>
              <w:bottom w:val="single" w:sz="4" w:space="0" w:color="auto"/>
              <w:right w:val="single" w:sz="4" w:space="0" w:color="auto"/>
            </w:tcBorders>
            <w:shd w:val="clear" w:color="auto" w:fill="auto"/>
            <w:noWrap/>
            <w:vAlign w:val="bottom"/>
            <w:hideMark/>
          </w:tcPr>
          <w:p w14:paraId="2C1295E3" w14:textId="77777777" w:rsidR="00FA742D" w:rsidRPr="004C3639" w:rsidRDefault="00FA742D" w:rsidP="00BB2F80">
            <w:pPr>
              <w:jc w:val="center"/>
              <w:rPr>
                <w:color w:val="000000"/>
                <w:sz w:val="22"/>
                <w:szCs w:val="22"/>
              </w:rPr>
            </w:pPr>
            <w:r w:rsidRPr="004C3639">
              <w:rPr>
                <w:color w:val="000000"/>
                <w:sz w:val="22"/>
                <w:szCs w:val="22"/>
              </w:rPr>
              <w:t>-46.6%</w:t>
            </w:r>
          </w:p>
        </w:tc>
        <w:tc>
          <w:tcPr>
            <w:tcW w:w="1260" w:type="dxa"/>
            <w:tcBorders>
              <w:top w:val="nil"/>
              <w:left w:val="nil"/>
              <w:bottom w:val="single" w:sz="4" w:space="0" w:color="auto"/>
              <w:right w:val="single" w:sz="4" w:space="0" w:color="auto"/>
            </w:tcBorders>
            <w:shd w:val="clear" w:color="auto" w:fill="auto"/>
            <w:noWrap/>
            <w:vAlign w:val="bottom"/>
            <w:hideMark/>
          </w:tcPr>
          <w:p w14:paraId="600CE980" w14:textId="77777777" w:rsidR="00FA742D" w:rsidRPr="004C3639" w:rsidRDefault="00FA742D" w:rsidP="00BB2F80">
            <w:pPr>
              <w:jc w:val="center"/>
              <w:rPr>
                <w:color w:val="000000"/>
                <w:sz w:val="22"/>
                <w:szCs w:val="22"/>
              </w:rPr>
            </w:pPr>
            <w:r w:rsidRPr="004C3639">
              <w:rPr>
                <w:color w:val="000000"/>
                <w:sz w:val="22"/>
                <w:szCs w:val="22"/>
              </w:rPr>
              <w:t>-29.6%</w:t>
            </w:r>
          </w:p>
        </w:tc>
        <w:tc>
          <w:tcPr>
            <w:tcW w:w="1260" w:type="dxa"/>
            <w:tcBorders>
              <w:top w:val="nil"/>
              <w:left w:val="nil"/>
              <w:bottom w:val="single" w:sz="4" w:space="0" w:color="auto"/>
              <w:right w:val="single" w:sz="4" w:space="0" w:color="auto"/>
            </w:tcBorders>
            <w:shd w:val="clear" w:color="auto" w:fill="auto"/>
            <w:noWrap/>
            <w:vAlign w:val="bottom"/>
            <w:hideMark/>
          </w:tcPr>
          <w:p w14:paraId="6A66AAA4" w14:textId="77777777" w:rsidR="00FA742D" w:rsidRPr="004C3639" w:rsidRDefault="00FA742D" w:rsidP="00BB2F80">
            <w:pPr>
              <w:jc w:val="center"/>
              <w:rPr>
                <w:color w:val="000000"/>
                <w:sz w:val="22"/>
                <w:szCs w:val="22"/>
              </w:rPr>
            </w:pPr>
            <w:r w:rsidRPr="004C3639">
              <w:rPr>
                <w:color w:val="000000"/>
                <w:sz w:val="22"/>
                <w:szCs w:val="22"/>
              </w:rPr>
              <w:t>-21.3%</w:t>
            </w:r>
          </w:p>
        </w:tc>
        <w:tc>
          <w:tcPr>
            <w:tcW w:w="1260" w:type="dxa"/>
            <w:tcBorders>
              <w:top w:val="nil"/>
              <w:left w:val="nil"/>
              <w:bottom w:val="single" w:sz="4" w:space="0" w:color="auto"/>
              <w:right w:val="single" w:sz="4" w:space="0" w:color="auto"/>
            </w:tcBorders>
            <w:shd w:val="clear" w:color="auto" w:fill="auto"/>
            <w:noWrap/>
            <w:vAlign w:val="bottom"/>
            <w:hideMark/>
          </w:tcPr>
          <w:p w14:paraId="7FAD38EE" w14:textId="77777777" w:rsidR="00FA742D" w:rsidRPr="004C3639" w:rsidRDefault="00FA742D" w:rsidP="00BB2F80">
            <w:pPr>
              <w:jc w:val="center"/>
              <w:rPr>
                <w:b/>
                <w:color w:val="000000"/>
                <w:sz w:val="22"/>
                <w:szCs w:val="22"/>
              </w:rPr>
            </w:pPr>
            <w:r w:rsidRPr="004C3639">
              <w:rPr>
                <w:b/>
                <w:color w:val="000000"/>
                <w:sz w:val="22"/>
                <w:szCs w:val="22"/>
              </w:rPr>
              <w:t>-14.9%</w:t>
            </w:r>
          </w:p>
        </w:tc>
        <w:tc>
          <w:tcPr>
            <w:tcW w:w="1260" w:type="dxa"/>
            <w:tcBorders>
              <w:top w:val="nil"/>
              <w:left w:val="nil"/>
              <w:bottom w:val="single" w:sz="4" w:space="0" w:color="auto"/>
              <w:right w:val="single" w:sz="4" w:space="0" w:color="auto"/>
            </w:tcBorders>
            <w:shd w:val="clear" w:color="auto" w:fill="auto"/>
            <w:noWrap/>
            <w:vAlign w:val="bottom"/>
            <w:hideMark/>
          </w:tcPr>
          <w:p w14:paraId="336DFD1F" w14:textId="77777777" w:rsidR="00FA742D" w:rsidRPr="004C3639" w:rsidRDefault="00FA742D" w:rsidP="00BB2F80">
            <w:pPr>
              <w:jc w:val="center"/>
              <w:rPr>
                <w:color w:val="000000"/>
                <w:sz w:val="22"/>
                <w:szCs w:val="22"/>
              </w:rPr>
            </w:pPr>
            <w:r w:rsidRPr="004C3639">
              <w:rPr>
                <w:color w:val="000000"/>
                <w:sz w:val="22"/>
                <w:szCs w:val="22"/>
              </w:rPr>
              <w:t>-6.0%</w:t>
            </w:r>
          </w:p>
        </w:tc>
        <w:tc>
          <w:tcPr>
            <w:tcW w:w="1200" w:type="dxa"/>
            <w:tcBorders>
              <w:top w:val="nil"/>
              <w:left w:val="nil"/>
              <w:bottom w:val="single" w:sz="4" w:space="0" w:color="auto"/>
              <w:right w:val="single" w:sz="4" w:space="0" w:color="auto"/>
            </w:tcBorders>
            <w:shd w:val="clear" w:color="auto" w:fill="auto"/>
            <w:noWrap/>
            <w:vAlign w:val="bottom"/>
            <w:hideMark/>
          </w:tcPr>
          <w:p w14:paraId="1D944F14" w14:textId="77777777" w:rsidR="00FA742D" w:rsidRPr="004C3639" w:rsidRDefault="00FA742D" w:rsidP="00BB2F80">
            <w:pPr>
              <w:jc w:val="center"/>
              <w:rPr>
                <w:color w:val="000000"/>
                <w:sz w:val="22"/>
                <w:szCs w:val="22"/>
              </w:rPr>
            </w:pPr>
            <w:r w:rsidRPr="004C3639">
              <w:rPr>
                <w:color w:val="000000"/>
                <w:sz w:val="22"/>
                <w:szCs w:val="22"/>
              </w:rPr>
              <w:t>-4.5%</w:t>
            </w:r>
          </w:p>
        </w:tc>
      </w:tr>
    </w:tbl>
    <w:p w14:paraId="6DBD53CE" w14:textId="77777777" w:rsidR="00FA742D" w:rsidRDefault="00FA742D" w:rsidP="00FA742D"/>
    <w:p w14:paraId="1344F063" w14:textId="77777777" w:rsidR="00FA742D" w:rsidRDefault="00FA742D" w:rsidP="00FA742D">
      <w:r>
        <w:t xml:space="preserve">This analysis </w:t>
      </w:r>
      <w:r w:rsidRPr="00EA530A">
        <w:t xml:space="preserve">attempted to </w:t>
      </w:r>
      <w:r>
        <w:t xml:space="preserve">predict </w:t>
      </w:r>
      <w:r w:rsidRPr="00EA530A">
        <w:t xml:space="preserve">realistic </w:t>
      </w:r>
      <w:r>
        <w:t xml:space="preserve">changes to the landings from the various trip limit options presented in the amendment.  </w:t>
      </w:r>
      <w:r w:rsidRPr="00EA530A">
        <w:t>Uncerta</w:t>
      </w:r>
      <w:r>
        <w:t>inty exists in these</w:t>
      </w:r>
      <w:r w:rsidRPr="00EA530A">
        <w:t xml:space="preserve"> projection</w:t>
      </w:r>
      <w:r>
        <w:t>s</w:t>
      </w:r>
      <w:r w:rsidRPr="00EA530A">
        <w:t>, as economic conditions, weather events, changes</w:t>
      </w:r>
      <w:r>
        <w:t xml:space="preserve"> in catch-per-unit effort</w:t>
      </w:r>
      <w:r w:rsidRPr="00EA530A">
        <w:t>, fisher response to management regulations, and a variety of other factors may cause departures from this assumption.  The bounds of this uncertainty are not captured by the model as currently configured; as such, it should be used with caution as a ‘best guess’ for future dynamics.  In addition to the aforementioned sources of uncertainty, the modeled reductions associated with management measures assume that past performance in the fishery is a good predict</w:t>
      </w:r>
      <w:r>
        <w:t xml:space="preserve">or of future dynamics.  An attempt was made to </w:t>
      </w:r>
      <w:r w:rsidRPr="00EA530A">
        <w:t>constrain the range of data considered to recent years to reduce the unreliability of this assumption.</w:t>
      </w:r>
    </w:p>
    <w:p w14:paraId="0975CB32" w14:textId="77777777" w:rsidR="00AC071E" w:rsidRDefault="00AC071E" w:rsidP="00FA742D">
      <w:pPr>
        <w:rPr>
          <w:i/>
        </w:rPr>
      </w:pPr>
    </w:p>
    <w:p w14:paraId="6261C1A0" w14:textId="77777777" w:rsidR="00FA742D" w:rsidRPr="0036626E" w:rsidRDefault="00FA742D" w:rsidP="00FA742D"/>
    <w:p w14:paraId="2D487CFC" w14:textId="77777777" w:rsidR="00A60C61" w:rsidRPr="00C05361" w:rsidRDefault="00A60C61" w:rsidP="00FA742D"/>
    <w:sectPr w:rsidR="00A60C61" w:rsidRPr="00C05361" w:rsidSect="00195D3F">
      <w:footerReference w:type="default" r:id="rId136"/>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A0D33F" w14:textId="77777777" w:rsidR="009108B8" w:rsidRDefault="009108B8">
      <w:r>
        <w:separator/>
      </w:r>
    </w:p>
  </w:endnote>
  <w:endnote w:type="continuationSeparator" w:id="0">
    <w:p w14:paraId="038B81B9" w14:textId="77777777" w:rsidR="009108B8" w:rsidRDefault="009108B8">
      <w:r>
        <w:continuationSeparator/>
      </w:r>
    </w:p>
  </w:endnote>
  <w:endnote w:type="continuationNotice" w:id="1">
    <w:p w14:paraId="7CFFE320" w14:textId="77777777" w:rsidR="009108B8" w:rsidRDefault="009108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nsolas">
    <w:panose1 w:val="020B0609020204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Arial Narrow">
    <w:panose1 w:val="020B0606020202030204"/>
    <w:charset w:val="00"/>
    <w:family w:val="auto"/>
    <w:pitch w:val="variable"/>
    <w:sig w:usb0="00000003" w:usb1="00000000" w:usb2="00000000" w:usb3="00000000" w:csb0="00000001" w:csb1="00000000"/>
  </w:font>
  <w:font w:name="COIHJI+TimesNewRoman">
    <w:altName w:val="Times New Roman"/>
    <w:panose1 w:val="00000000000000000000"/>
    <w:charset w:val="00"/>
    <w:family w:val="roman"/>
    <w:notTrueType/>
    <w:pitch w:val="default"/>
    <w:sig w:usb0="00000003" w:usb1="00000000" w:usb2="00000000" w:usb3="00000000" w:csb0="0000000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w Cen MT">
    <w:panose1 w:val="020B06020201040206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Melior">
    <w:altName w:val="Cambria"/>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Palatino Linotype">
    <w:panose1 w:val="0204050205050503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749B3" w14:textId="77777777" w:rsidR="009108B8" w:rsidRDefault="009108B8" w:rsidP="007276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A31D2F" w14:textId="77777777" w:rsidR="009108B8" w:rsidRDefault="009108B8">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7D2AC" w14:textId="77777777" w:rsidR="009108B8" w:rsidRDefault="009108B8" w:rsidP="00CD09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2F9E621" w14:textId="77777777" w:rsidR="009108B8" w:rsidRDefault="009108B8">
    <w:pPr>
      <w:pStyle w:val="Foote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E9C16" w14:textId="3BF4E3FA" w:rsidR="009108B8" w:rsidRPr="00504F53" w:rsidRDefault="009108B8">
    <w:pPr>
      <w:pStyle w:val="Footer"/>
      <w:framePr w:wrap="around" w:vAnchor="text" w:hAnchor="margin" w:xAlign="center" w:y="1"/>
      <w:rPr>
        <w:rStyle w:val="PageNumber"/>
      </w:rPr>
    </w:pPr>
    <w:r w:rsidRPr="00504F53">
      <w:rPr>
        <w:rStyle w:val="PageNumber"/>
        <w:b/>
        <w:sz w:val="32"/>
        <w:szCs w:val="32"/>
      </w:rPr>
      <w:fldChar w:fldCharType="begin"/>
    </w:r>
    <w:r w:rsidRPr="00504F53">
      <w:rPr>
        <w:rStyle w:val="PageNumber"/>
        <w:b/>
        <w:sz w:val="32"/>
        <w:szCs w:val="32"/>
      </w:rPr>
      <w:instrText xml:space="preserve">PAGE  </w:instrText>
    </w:r>
    <w:r w:rsidRPr="00504F53">
      <w:rPr>
        <w:rStyle w:val="PageNumber"/>
        <w:b/>
        <w:sz w:val="32"/>
        <w:szCs w:val="32"/>
      </w:rPr>
      <w:fldChar w:fldCharType="separate"/>
    </w:r>
    <w:r w:rsidR="00121B59">
      <w:rPr>
        <w:rStyle w:val="PageNumber"/>
        <w:b/>
        <w:noProof/>
        <w:sz w:val="32"/>
        <w:szCs w:val="32"/>
      </w:rPr>
      <w:t>7</w:t>
    </w:r>
    <w:r w:rsidRPr="00504F53">
      <w:rPr>
        <w:rStyle w:val="PageNumber"/>
        <w:b/>
        <w:sz w:val="32"/>
        <w:szCs w:val="32"/>
      </w:rPr>
      <w:fldChar w:fldCharType="end"/>
    </w:r>
  </w:p>
  <w:p w14:paraId="3096AC5E" w14:textId="4DF26154" w:rsidR="009108B8" w:rsidRDefault="009108B8">
    <w:pPr>
      <w:pStyle w:val="Footer"/>
      <w:tabs>
        <w:tab w:val="left" w:pos="1900"/>
      </w:tabs>
      <w:rPr>
        <w:b/>
      </w:rPr>
    </w:pPr>
    <w:r w:rsidRPr="000E374B">
      <w:rPr>
        <w:b/>
        <w:noProof/>
        <w:sz w:val="16"/>
        <w:szCs w:val="16"/>
      </w:rPr>
      <mc:AlternateContent>
        <mc:Choice Requires="wps">
          <w:drawing>
            <wp:anchor distT="0" distB="0" distL="114300" distR="114300" simplePos="0" relativeHeight="251772416" behindDoc="0" locked="0" layoutInCell="1" allowOverlap="1" wp14:anchorId="2A8DBCC8" wp14:editId="1A901761">
              <wp:simplePos x="0" y="0"/>
              <wp:positionH relativeFrom="column">
                <wp:posOffset>-184129</wp:posOffset>
              </wp:positionH>
              <wp:positionV relativeFrom="paragraph">
                <wp:posOffset>-108962</wp:posOffset>
              </wp:positionV>
              <wp:extent cx="5486400" cy="8890"/>
              <wp:effectExtent l="0" t="0" r="25400" b="41910"/>
              <wp:wrapNone/>
              <wp:docPr id="5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14.5pt;margin-top:-8.6pt;width:6in;height:.7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" strokeweight="1.75pt"/>
          </w:pict>
        </mc:Fallback>
      </mc:AlternateContent>
    </w:r>
    <w:r w:rsidRPr="000E374B">
      <w:rPr>
        <w:b/>
      </w:rPr>
      <w:t>South Atlantic Snapper Grouper</w:t>
    </w:r>
    <w:r w:rsidRPr="000E374B">
      <w:rPr>
        <w:b/>
      </w:rPr>
      <w:tab/>
    </w:r>
    <w:r w:rsidRPr="000E374B">
      <w:rPr>
        <w:b/>
      </w:rPr>
      <w:tab/>
    </w:r>
    <w:r>
      <w:rPr>
        <w:b/>
      </w:rPr>
      <w:t>Chapter 1.  Introduction</w:t>
    </w:r>
  </w:p>
  <w:p w14:paraId="1F5F6AB7" w14:textId="77777777" w:rsidR="009108B8" w:rsidRPr="000E374B" w:rsidRDefault="009108B8">
    <w:pPr>
      <w:pStyle w:val="Footer"/>
      <w:tabs>
        <w:tab w:val="left" w:pos="1900"/>
      </w:tabs>
      <w:rPr>
        <w:b/>
        <w:sz w:val="16"/>
        <w:szCs w:val="16"/>
      </w:rPr>
    </w:pPr>
    <w:r w:rsidRPr="000E374B">
      <w:rPr>
        <w:b/>
      </w:rPr>
      <w:t xml:space="preserve">AMENDMENT </w:t>
    </w:r>
    <w:r>
      <w:rPr>
        <w:b/>
      </w:rPr>
      <w:t>41</w:t>
    </w:r>
    <w:r w:rsidRPr="000E374B">
      <w:rPr>
        <w:b/>
        <w:sz w:val="16"/>
        <w:szCs w:val="16"/>
      </w:rPr>
      <w:tab/>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21E26" w14:textId="77777777" w:rsidR="009108B8" w:rsidRDefault="009108B8" w:rsidP="001129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5B42AA" w14:textId="77777777" w:rsidR="009108B8" w:rsidRDefault="009108B8">
    <w:pPr>
      <w:pStyle w:val="Footer"/>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05036" w14:textId="77777777" w:rsidR="009108B8" w:rsidRPr="00504F53" w:rsidRDefault="009108B8">
    <w:pPr>
      <w:pStyle w:val="Footer"/>
      <w:framePr w:wrap="around" w:vAnchor="text" w:hAnchor="margin" w:xAlign="center" w:y="1"/>
      <w:rPr>
        <w:rStyle w:val="PageNumber"/>
      </w:rPr>
    </w:pPr>
    <w:r w:rsidRPr="00504F53">
      <w:rPr>
        <w:rStyle w:val="PageNumber"/>
        <w:b/>
        <w:sz w:val="32"/>
        <w:szCs w:val="32"/>
      </w:rPr>
      <w:fldChar w:fldCharType="begin"/>
    </w:r>
    <w:r w:rsidRPr="00504F53">
      <w:rPr>
        <w:rStyle w:val="PageNumber"/>
        <w:b/>
        <w:sz w:val="32"/>
        <w:szCs w:val="32"/>
      </w:rPr>
      <w:instrText xml:space="preserve">PAGE  </w:instrText>
    </w:r>
    <w:r w:rsidRPr="00504F53">
      <w:rPr>
        <w:rStyle w:val="PageNumber"/>
        <w:b/>
        <w:sz w:val="32"/>
        <w:szCs w:val="32"/>
      </w:rPr>
      <w:fldChar w:fldCharType="separate"/>
    </w:r>
    <w:r w:rsidR="00121B59">
      <w:rPr>
        <w:rStyle w:val="PageNumber"/>
        <w:b/>
        <w:noProof/>
        <w:sz w:val="32"/>
        <w:szCs w:val="32"/>
      </w:rPr>
      <w:t>16</w:t>
    </w:r>
    <w:r w:rsidRPr="00504F53">
      <w:rPr>
        <w:rStyle w:val="PageNumber"/>
        <w:b/>
        <w:sz w:val="32"/>
        <w:szCs w:val="32"/>
      </w:rPr>
      <w:fldChar w:fldCharType="end"/>
    </w:r>
  </w:p>
  <w:p w14:paraId="65C22A4A" w14:textId="35606F2C" w:rsidR="009108B8" w:rsidRDefault="009108B8">
    <w:pPr>
      <w:pStyle w:val="Footer"/>
      <w:tabs>
        <w:tab w:val="left" w:pos="1900"/>
      </w:tabs>
      <w:rPr>
        <w:b/>
      </w:rPr>
    </w:pPr>
    <w:r w:rsidRPr="000E374B">
      <w:rPr>
        <w:b/>
        <w:noProof/>
        <w:sz w:val="16"/>
        <w:szCs w:val="16"/>
      </w:rPr>
      <mc:AlternateContent>
        <mc:Choice Requires="wps">
          <w:drawing>
            <wp:anchor distT="0" distB="0" distL="114300" distR="114300" simplePos="0" relativeHeight="251776512" behindDoc="0" locked="0" layoutInCell="1" allowOverlap="1" wp14:anchorId="196D8127" wp14:editId="19006965">
              <wp:simplePos x="0" y="0"/>
              <wp:positionH relativeFrom="column">
                <wp:posOffset>-184129</wp:posOffset>
              </wp:positionH>
              <wp:positionV relativeFrom="paragraph">
                <wp:posOffset>-108962</wp:posOffset>
              </wp:positionV>
              <wp:extent cx="5486400" cy="8890"/>
              <wp:effectExtent l="0" t="0" r="25400" b="41910"/>
              <wp:wrapNone/>
              <wp:docPr id="5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14.5pt;margin-top:-8.6pt;width:6in;height:.7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" strokeweight="1.75pt"/>
          </w:pict>
        </mc:Fallback>
      </mc:AlternateContent>
    </w:r>
    <w:r w:rsidRPr="000E374B">
      <w:rPr>
        <w:b/>
      </w:rPr>
      <w:t>South Atlantic Snapper Grouper</w:t>
    </w:r>
    <w:r w:rsidRPr="000E374B">
      <w:rPr>
        <w:b/>
      </w:rPr>
      <w:tab/>
    </w:r>
    <w:r w:rsidRPr="000E374B">
      <w:rPr>
        <w:b/>
      </w:rPr>
      <w:tab/>
    </w:r>
    <w:r>
      <w:rPr>
        <w:b/>
      </w:rPr>
      <w:t>Chapter 2.  Proposed Actions</w:t>
    </w:r>
  </w:p>
  <w:p w14:paraId="64DD50B1" w14:textId="77777777" w:rsidR="009108B8" w:rsidRPr="000E374B" w:rsidRDefault="009108B8">
    <w:pPr>
      <w:pStyle w:val="Footer"/>
      <w:tabs>
        <w:tab w:val="left" w:pos="1900"/>
      </w:tabs>
      <w:rPr>
        <w:b/>
        <w:sz w:val="16"/>
        <w:szCs w:val="16"/>
      </w:rPr>
    </w:pPr>
    <w:r w:rsidRPr="000E374B">
      <w:rPr>
        <w:b/>
      </w:rPr>
      <w:t xml:space="preserve">AMENDMENT </w:t>
    </w:r>
    <w:r>
      <w:rPr>
        <w:b/>
      </w:rPr>
      <w:t>41</w:t>
    </w:r>
    <w:r w:rsidRPr="000E374B">
      <w:rPr>
        <w:b/>
        <w:sz w:val="16"/>
        <w:szCs w:val="16"/>
      </w:rPr>
      <w:tab/>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C0FF1" w14:textId="77777777" w:rsidR="009108B8" w:rsidRPr="001B7BCC" w:rsidRDefault="009108B8" w:rsidP="001B7BCC">
    <w:pPr>
      <w:pStyle w:val="Footer"/>
      <w:framePr w:wrap="around" w:vAnchor="text" w:hAnchor="margin" w:xAlign="center" w:y="1"/>
      <w:rPr>
        <w:rStyle w:val="PageNumber"/>
        <w:b/>
      </w:rPr>
    </w:pPr>
    <w:r w:rsidRPr="001B7BCC">
      <w:rPr>
        <w:rStyle w:val="PageNumber"/>
        <w:b/>
      </w:rPr>
      <w:fldChar w:fldCharType="begin"/>
    </w:r>
    <w:r w:rsidRPr="001B7BCC">
      <w:rPr>
        <w:rStyle w:val="PageNumber"/>
        <w:b/>
      </w:rPr>
      <w:instrText xml:space="preserve">PAGE  </w:instrText>
    </w:r>
    <w:r w:rsidRPr="001B7BCC">
      <w:rPr>
        <w:rStyle w:val="PageNumber"/>
        <w:b/>
      </w:rPr>
      <w:fldChar w:fldCharType="separate"/>
    </w:r>
    <w:r>
      <w:rPr>
        <w:rStyle w:val="PageNumber"/>
        <w:b/>
        <w:noProof/>
      </w:rPr>
      <w:t>6</w:t>
    </w:r>
    <w:r w:rsidRPr="001B7BCC">
      <w:rPr>
        <w:rStyle w:val="PageNumber"/>
        <w:b/>
      </w:rPr>
      <w:fldChar w:fldCharType="end"/>
    </w:r>
  </w:p>
  <w:p w14:paraId="73BC4ED0" w14:textId="425FE9C5" w:rsidR="009108B8" w:rsidRDefault="009108B8" w:rsidP="001B7BCC">
    <w:pPr>
      <w:pStyle w:val="Footer"/>
      <w:tabs>
        <w:tab w:val="left" w:pos="1900"/>
      </w:tabs>
      <w:rPr>
        <w:b/>
      </w:rPr>
    </w:pPr>
    <w:r w:rsidRPr="000E374B">
      <w:rPr>
        <w:b/>
        <w:noProof/>
        <w:sz w:val="16"/>
        <w:szCs w:val="16"/>
      </w:rPr>
      <mc:AlternateContent>
        <mc:Choice Requires="wps">
          <w:drawing>
            <wp:anchor distT="0" distB="0" distL="114300" distR="114300" simplePos="0" relativeHeight="251774464" behindDoc="0" locked="0" layoutInCell="1" allowOverlap="1" wp14:anchorId="1FCCA255" wp14:editId="087C567F">
              <wp:simplePos x="0" y="0"/>
              <wp:positionH relativeFrom="column">
                <wp:posOffset>-80773</wp:posOffset>
              </wp:positionH>
              <wp:positionV relativeFrom="paragraph">
                <wp:posOffset>-26391</wp:posOffset>
              </wp:positionV>
              <wp:extent cx="5486400" cy="8890"/>
              <wp:effectExtent l="0" t="0" r="25400" b="41910"/>
              <wp:wrapNone/>
              <wp:docPr id="3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6.35pt;margin-top:-2.1pt;width:6in;height:.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" strokeweight="1.75pt"/>
          </w:pict>
        </mc:Fallback>
      </mc:AlternateContent>
    </w:r>
    <w:r w:rsidRPr="000E374B">
      <w:rPr>
        <w:b/>
      </w:rPr>
      <w:t>South Atlantic Snapper Grouper</w:t>
    </w:r>
    <w:r w:rsidRPr="000E374B">
      <w:rPr>
        <w:b/>
      </w:rPr>
      <w:tab/>
    </w:r>
    <w:r w:rsidRPr="000E374B">
      <w:rPr>
        <w:b/>
      </w:rPr>
      <w:tab/>
    </w:r>
    <w:r>
      <w:rPr>
        <w:b/>
      </w:rPr>
      <w:t>Chapter 2.  Proposed Actions</w:t>
    </w:r>
  </w:p>
  <w:p w14:paraId="1A287F98" w14:textId="77777777" w:rsidR="009108B8" w:rsidRPr="000E374B" w:rsidRDefault="009108B8" w:rsidP="001B7BCC">
    <w:pPr>
      <w:pStyle w:val="Footer"/>
      <w:tabs>
        <w:tab w:val="left" w:pos="1900"/>
      </w:tabs>
      <w:rPr>
        <w:b/>
        <w:sz w:val="16"/>
        <w:szCs w:val="16"/>
      </w:rPr>
    </w:pPr>
    <w:r w:rsidRPr="000E374B">
      <w:rPr>
        <w:b/>
      </w:rPr>
      <w:t xml:space="preserve">AMENDMENT </w:t>
    </w:r>
    <w:r>
      <w:rPr>
        <w:b/>
      </w:rPr>
      <w:t>41</w:t>
    </w:r>
    <w:r w:rsidRPr="000E374B">
      <w:rPr>
        <w:b/>
        <w:sz w:val="16"/>
        <w:szCs w:val="16"/>
      </w:rPr>
      <w:tab/>
    </w:r>
  </w:p>
  <w:p w14:paraId="1EB3B1C7" w14:textId="77777777" w:rsidR="009108B8" w:rsidRDefault="009108B8" w:rsidP="008D0B8B">
    <w:pPr>
      <w:pStyle w:val="Footer"/>
      <w:tabs>
        <w:tab w:val="left" w:pos="1900"/>
      </w:tabs>
      <w:rPr>
        <w:sz w:val="16"/>
        <w:szCs w:val="16"/>
      </w:rPr>
    </w:pPr>
    <w:r>
      <w:rPr>
        <w:sz w:val="16"/>
        <w:szCs w:val="16"/>
      </w:rPr>
      <w:tab/>
    </w:r>
    <w:r>
      <w:rPr>
        <w:sz w:val="16"/>
        <w:szCs w:val="16"/>
      </w:rPr>
      <w:tab/>
    </w:r>
    <w:r>
      <w:rPr>
        <w:sz w:val="16"/>
        <w:szCs w:val="16"/>
      </w:rPr>
      <w:tab/>
    </w:r>
  </w:p>
  <w:p w14:paraId="6EB7E4AD" w14:textId="77777777" w:rsidR="009108B8" w:rsidRDefault="009108B8">
    <w:pPr>
      <w:pStyle w:val="Footer"/>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D101" w14:textId="77777777" w:rsidR="009108B8" w:rsidRDefault="009108B8" w:rsidP="008D0B8B">
    <w:pPr>
      <w:pStyle w:val="Footer"/>
      <w:tabs>
        <w:tab w:val="left" w:pos="4780"/>
      </w:tabs>
      <w:rPr>
        <w:sz w:val="16"/>
        <w:szCs w:val="16"/>
      </w:rPr>
    </w:pPr>
  </w:p>
  <w:p w14:paraId="3194EDF4" w14:textId="77777777" w:rsidR="009108B8" w:rsidRDefault="009108B8" w:rsidP="008D0B8B">
    <w:pPr>
      <w:pStyle w:val="Footer"/>
      <w:tabs>
        <w:tab w:val="left" w:pos="4780"/>
      </w:tabs>
      <w:rPr>
        <w:sz w:val="16"/>
        <w:szCs w:val="16"/>
      </w:rPr>
    </w:pPr>
    <w:r>
      <w:rPr>
        <w:noProof/>
        <w:sz w:val="16"/>
        <w:szCs w:val="16"/>
      </w:rPr>
      <mc:AlternateContent>
        <mc:Choice Requires="wps">
          <w:drawing>
            <wp:anchor distT="0" distB="0" distL="114300" distR="114300" simplePos="0" relativeHeight="251707904" behindDoc="0" locked="0" layoutInCell="1" allowOverlap="1" wp14:anchorId="3A06ECE5" wp14:editId="36BADB91">
              <wp:simplePos x="0" y="0"/>
              <wp:positionH relativeFrom="column">
                <wp:posOffset>7620</wp:posOffset>
              </wp:positionH>
              <wp:positionV relativeFrom="paragraph">
                <wp:posOffset>48260</wp:posOffset>
              </wp:positionV>
              <wp:extent cx="5486400" cy="8890"/>
              <wp:effectExtent l="17145" t="19685" r="11430" b="1905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6pt;margin-top:3.8pt;width:6in;height:.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" strokeweight="1.75pt"/>
          </w:pict>
        </mc:Fallback>
      </mc:AlternateContent>
    </w:r>
  </w:p>
  <w:p w14:paraId="39797445" w14:textId="77777777" w:rsidR="009108B8" w:rsidRPr="009C37D6" w:rsidRDefault="009108B8" w:rsidP="008D0B8B">
    <w:pPr>
      <w:pStyle w:val="Footer"/>
      <w:framePr w:wrap="around" w:vAnchor="text" w:hAnchor="page" w:x="5836" w:y="141"/>
      <w:rPr>
        <w:rStyle w:val="PageNumber"/>
      </w:rPr>
    </w:pPr>
    <w:r w:rsidRPr="009C37D6">
      <w:rPr>
        <w:rStyle w:val="PageNumber"/>
        <w:b/>
        <w:sz w:val="32"/>
        <w:szCs w:val="32"/>
      </w:rPr>
      <w:fldChar w:fldCharType="begin"/>
    </w:r>
    <w:r w:rsidRPr="009C37D6">
      <w:rPr>
        <w:rStyle w:val="PageNumber"/>
        <w:b/>
        <w:sz w:val="32"/>
        <w:szCs w:val="32"/>
      </w:rPr>
      <w:instrText xml:space="preserve">PAGE  </w:instrText>
    </w:r>
    <w:r w:rsidRPr="009C37D6">
      <w:rPr>
        <w:rStyle w:val="PageNumber"/>
        <w:b/>
        <w:sz w:val="32"/>
        <w:szCs w:val="32"/>
      </w:rPr>
      <w:fldChar w:fldCharType="separate"/>
    </w:r>
    <w:r w:rsidR="00121B59">
      <w:rPr>
        <w:rStyle w:val="PageNumber"/>
        <w:b/>
        <w:noProof/>
        <w:sz w:val="32"/>
        <w:szCs w:val="32"/>
      </w:rPr>
      <w:t>28</w:t>
    </w:r>
    <w:r w:rsidRPr="009C37D6">
      <w:rPr>
        <w:rStyle w:val="PageNumber"/>
        <w:b/>
        <w:sz w:val="32"/>
        <w:szCs w:val="32"/>
      </w:rPr>
      <w:fldChar w:fldCharType="end"/>
    </w:r>
  </w:p>
  <w:p w14:paraId="036E519D" w14:textId="202903FD" w:rsidR="009108B8" w:rsidRPr="000E374B" w:rsidRDefault="009108B8" w:rsidP="008D0B8B">
    <w:pPr>
      <w:pStyle w:val="Footer"/>
      <w:rPr>
        <w:rStyle w:val="PageNumber"/>
        <w:b/>
      </w:rPr>
    </w:pPr>
    <w:r w:rsidRPr="000E374B">
      <w:rPr>
        <w:rStyle w:val="PageNumber"/>
        <w:b/>
      </w:rPr>
      <w:t xml:space="preserve">South Atlantic Snapper Grouper                                            </w:t>
    </w:r>
    <w:r w:rsidRPr="000E374B">
      <w:rPr>
        <w:rStyle w:val="PageNumber"/>
        <w:b/>
      </w:rPr>
      <w:tab/>
      <w:t>Chapter 2. Proposed Actions</w:t>
    </w:r>
  </w:p>
  <w:p w14:paraId="3A3D9FA5" w14:textId="530143F8" w:rsidR="009108B8" w:rsidRPr="000E374B" w:rsidRDefault="009108B8" w:rsidP="004E40A4">
    <w:pPr>
      <w:pStyle w:val="Footer"/>
      <w:rPr>
        <w:b/>
      </w:rPr>
    </w:pPr>
    <w:r w:rsidRPr="000E374B">
      <w:rPr>
        <w:rStyle w:val="PageNumber"/>
        <w:b/>
      </w:rPr>
      <w:t xml:space="preserve">AMENDMENT </w:t>
    </w:r>
    <w:r>
      <w:rPr>
        <w:rStyle w:val="PageNumber"/>
        <w:b/>
      </w:rPr>
      <w:t>41</w:t>
    </w:r>
    <w:r w:rsidRPr="000E374B">
      <w:rPr>
        <w:b/>
      </w:rPr>
      <w:t xml:space="preserve"> </w:t>
    </w:r>
  </w:p>
  <w:p w14:paraId="69224BD7" w14:textId="77777777" w:rsidR="009108B8" w:rsidRDefault="009108B8" w:rsidP="008D0B8B">
    <w:pPr>
      <w:pStyle w:val="Footer"/>
      <w:tabs>
        <w:tab w:val="left" w:pos="1900"/>
      </w:tabs>
      <w:rPr>
        <w:sz w:val="16"/>
        <w:szCs w:val="16"/>
      </w:rPr>
    </w:pPr>
    <w:r>
      <w:rPr>
        <w:sz w:val="16"/>
        <w:szCs w:val="16"/>
      </w:rPr>
      <w:tab/>
    </w:r>
    <w:r>
      <w:rPr>
        <w:sz w:val="16"/>
        <w:szCs w:val="16"/>
      </w:rPr>
      <w:tab/>
    </w:r>
    <w:r>
      <w:rPr>
        <w:sz w:val="16"/>
        <w:szCs w:val="16"/>
      </w:rPr>
      <w:tab/>
    </w:r>
  </w:p>
  <w:p w14:paraId="63C45B35" w14:textId="77777777" w:rsidR="009108B8" w:rsidRDefault="009108B8">
    <w:pPr>
      <w:pStyle w:val="Footer"/>
      <w:tabs>
        <w:tab w:val="left" w:pos="1900"/>
      </w:tabs>
      <w:rPr>
        <w:sz w:val="16"/>
        <w:szCs w:val="16"/>
      </w:rPr>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76FE7" w14:textId="77777777" w:rsidR="009108B8" w:rsidRDefault="009108B8">
    <w:pPr>
      <w:pStyle w:val="Footer"/>
      <w:jc w:val="center"/>
    </w:pPr>
  </w:p>
  <w:p w14:paraId="7B8CCC41" w14:textId="77777777" w:rsidR="009108B8" w:rsidRPr="000E3506" w:rsidRDefault="009108B8" w:rsidP="008D0B8B">
    <w:pPr>
      <w:pStyle w:val="Footer"/>
      <w:framePr w:wrap="around" w:vAnchor="text" w:hAnchor="margin" w:xAlign="center" w:y="1"/>
      <w:rPr>
        <w:rStyle w:val="PageNumber"/>
      </w:rPr>
    </w:pPr>
    <w:r w:rsidRPr="000E3506">
      <w:rPr>
        <w:rStyle w:val="PageNumber"/>
        <w:b/>
        <w:sz w:val="32"/>
        <w:szCs w:val="32"/>
      </w:rPr>
      <w:fldChar w:fldCharType="begin"/>
    </w:r>
    <w:r w:rsidRPr="000E3506">
      <w:rPr>
        <w:rStyle w:val="PageNumber"/>
        <w:b/>
        <w:sz w:val="32"/>
        <w:szCs w:val="32"/>
      </w:rPr>
      <w:instrText xml:space="preserve">PAGE  </w:instrText>
    </w:r>
    <w:r w:rsidRPr="000E3506">
      <w:rPr>
        <w:rStyle w:val="PageNumber"/>
        <w:b/>
        <w:sz w:val="32"/>
        <w:szCs w:val="32"/>
      </w:rPr>
      <w:fldChar w:fldCharType="separate"/>
    </w:r>
    <w:r>
      <w:rPr>
        <w:rStyle w:val="PageNumber"/>
        <w:b/>
        <w:noProof/>
        <w:sz w:val="32"/>
        <w:szCs w:val="32"/>
      </w:rPr>
      <w:t>18</w:t>
    </w:r>
    <w:r w:rsidRPr="000E3506">
      <w:rPr>
        <w:rStyle w:val="PageNumber"/>
        <w:b/>
        <w:sz w:val="32"/>
        <w:szCs w:val="32"/>
      </w:rPr>
      <w:fldChar w:fldCharType="end"/>
    </w:r>
  </w:p>
  <w:p w14:paraId="6384C38F" w14:textId="77777777" w:rsidR="009108B8" w:rsidRPr="00CF13EE" w:rsidRDefault="009108B8" w:rsidP="008D0B8B">
    <w:pPr>
      <w:pStyle w:val="Footer"/>
      <w:rPr>
        <w:b/>
      </w:rPr>
    </w:pPr>
    <w:r>
      <w:rPr>
        <w:b/>
        <w:noProof/>
      </w:rPr>
      <mc:AlternateContent>
        <mc:Choice Requires="wps">
          <w:drawing>
            <wp:anchor distT="0" distB="0" distL="114300" distR="114300" simplePos="0" relativeHeight="251652608" behindDoc="0" locked="0" layoutInCell="1" allowOverlap="1" wp14:anchorId="3986235E" wp14:editId="6A0790E2">
              <wp:simplePos x="0" y="0"/>
              <wp:positionH relativeFrom="column">
                <wp:posOffset>55245</wp:posOffset>
              </wp:positionH>
              <wp:positionV relativeFrom="paragraph">
                <wp:posOffset>-95885</wp:posOffset>
              </wp:positionV>
              <wp:extent cx="5486400" cy="8890"/>
              <wp:effectExtent l="17145" t="18415" r="11430" b="20320"/>
              <wp:wrapNone/>
              <wp:docPr id="6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4.35pt;margin-top:-7.55pt;width:6in;height:.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" strokeweight="1.75pt"/>
          </w:pict>
        </mc:Fallback>
      </mc:AlternateContent>
    </w:r>
    <w:r>
      <w:rPr>
        <w:b/>
        <w:noProof/>
      </w:rPr>
      <mc:AlternateContent>
        <mc:Choice Requires="wps">
          <w:drawing>
            <wp:anchor distT="0" distB="0" distL="114300" distR="114300" simplePos="0" relativeHeight="251651584" behindDoc="0" locked="0" layoutInCell="1" allowOverlap="1" wp14:anchorId="3F4E0FBC" wp14:editId="30BE6CC6">
              <wp:simplePos x="0" y="0"/>
              <wp:positionH relativeFrom="column">
                <wp:posOffset>55245</wp:posOffset>
              </wp:positionH>
              <wp:positionV relativeFrom="paragraph">
                <wp:posOffset>-113665</wp:posOffset>
              </wp:positionV>
              <wp:extent cx="5486400" cy="8890"/>
              <wp:effectExtent l="17145" t="19685" r="11430" b="19050"/>
              <wp:wrapNone/>
              <wp:docPr id="6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4.35pt;margin-top:-8.95pt;width:6in;height:.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" strokeweight="1.75pt"/>
          </w:pict>
        </mc:Fallback>
      </mc:AlternateContent>
    </w:r>
    <w:r w:rsidRPr="00CF13EE">
      <w:rPr>
        <w:rStyle w:val="PageNumber"/>
        <w:b/>
      </w:rPr>
      <w:t>South Atlantic Snapper Grouper</w:t>
    </w:r>
    <w:r w:rsidRPr="00CF13EE">
      <w:rPr>
        <w:rStyle w:val="PageNumber"/>
        <w:b/>
      </w:rPr>
      <w:tab/>
    </w:r>
    <w:r w:rsidRPr="00CF13EE">
      <w:rPr>
        <w:rStyle w:val="PageNumber"/>
        <w:b/>
      </w:rPr>
      <w:tab/>
      <w:t xml:space="preserve">Chapter </w:t>
    </w:r>
    <w:r>
      <w:rPr>
        <w:rStyle w:val="PageNumber"/>
        <w:b/>
      </w:rPr>
      <w:t>7</w:t>
    </w:r>
    <w:r w:rsidRPr="00CF13EE">
      <w:rPr>
        <w:rStyle w:val="PageNumber"/>
        <w:b/>
      </w:rPr>
      <w:t>.</w:t>
    </w:r>
    <w:r>
      <w:rPr>
        <w:rStyle w:val="PageNumber"/>
        <w:b/>
      </w:rPr>
      <w:t xml:space="preserve"> Entities Consulted</w:t>
    </w:r>
  </w:p>
  <w:p w14:paraId="774F3F27" w14:textId="77777777" w:rsidR="009108B8" w:rsidRPr="006A5EAA" w:rsidRDefault="009108B8" w:rsidP="008D0B8B">
    <w:pPr>
      <w:pStyle w:val="Footer"/>
      <w:rPr>
        <w:sz w:val="16"/>
        <w:szCs w:val="16"/>
      </w:rPr>
    </w:pPr>
    <w:r>
      <w:rPr>
        <w:b/>
      </w:rPr>
      <w:t>REGULATORY AMENDMENT 11</w:t>
    </w:r>
    <w:r w:rsidRPr="00C26358">
      <w:rPr>
        <w:b/>
      </w:rPr>
      <w:tab/>
    </w:r>
    <w:r w:rsidRPr="00C26358">
      <w:rPr>
        <w:b/>
      </w:rPr>
      <w:tab/>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78C64" w14:textId="77777777" w:rsidR="009108B8" w:rsidRDefault="009108B8" w:rsidP="008D0B8B">
    <w:pPr>
      <w:pStyle w:val="Footer"/>
      <w:tabs>
        <w:tab w:val="left" w:pos="4780"/>
      </w:tabs>
      <w:rPr>
        <w:sz w:val="16"/>
        <w:szCs w:val="16"/>
      </w:rPr>
    </w:pPr>
  </w:p>
  <w:p w14:paraId="6411BCE1" w14:textId="77777777" w:rsidR="009108B8" w:rsidRDefault="009108B8" w:rsidP="008D0B8B">
    <w:pPr>
      <w:pStyle w:val="Footer"/>
      <w:tabs>
        <w:tab w:val="left" w:pos="4780"/>
      </w:tabs>
      <w:rPr>
        <w:sz w:val="16"/>
        <w:szCs w:val="16"/>
      </w:rPr>
    </w:pPr>
    <w:r>
      <w:rPr>
        <w:noProof/>
        <w:sz w:val="16"/>
        <w:szCs w:val="16"/>
      </w:rPr>
      <mc:AlternateContent>
        <mc:Choice Requires="wps">
          <w:drawing>
            <wp:anchor distT="0" distB="0" distL="114300" distR="114300" simplePos="0" relativeHeight="251709952" behindDoc="0" locked="0" layoutInCell="1" allowOverlap="1" wp14:anchorId="145FBABA" wp14:editId="378B4065">
              <wp:simplePos x="0" y="0"/>
              <wp:positionH relativeFrom="column">
                <wp:posOffset>7620</wp:posOffset>
              </wp:positionH>
              <wp:positionV relativeFrom="paragraph">
                <wp:posOffset>48260</wp:posOffset>
              </wp:positionV>
              <wp:extent cx="5486400" cy="8890"/>
              <wp:effectExtent l="17145" t="19685" r="11430" b="1905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6pt;margin-top:3.8pt;width:6in;height:.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" strokeweight="1.75pt"/>
          </w:pict>
        </mc:Fallback>
      </mc:AlternateContent>
    </w:r>
  </w:p>
  <w:p w14:paraId="1787FAF4" w14:textId="77777777" w:rsidR="009108B8" w:rsidRPr="009C37D6" w:rsidRDefault="009108B8" w:rsidP="008D0B8B">
    <w:pPr>
      <w:pStyle w:val="Footer"/>
      <w:framePr w:wrap="around" w:vAnchor="text" w:hAnchor="page" w:x="5836" w:y="141"/>
      <w:rPr>
        <w:rStyle w:val="PageNumber"/>
      </w:rPr>
    </w:pPr>
    <w:r w:rsidRPr="009C37D6">
      <w:rPr>
        <w:rStyle w:val="PageNumber"/>
        <w:b/>
        <w:sz w:val="32"/>
        <w:szCs w:val="32"/>
      </w:rPr>
      <w:fldChar w:fldCharType="begin"/>
    </w:r>
    <w:r w:rsidRPr="009C37D6">
      <w:rPr>
        <w:rStyle w:val="PageNumber"/>
        <w:b/>
        <w:sz w:val="32"/>
        <w:szCs w:val="32"/>
      </w:rPr>
      <w:instrText xml:space="preserve">PAGE  </w:instrText>
    </w:r>
    <w:r w:rsidRPr="009C37D6">
      <w:rPr>
        <w:rStyle w:val="PageNumber"/>
        <w:b/>
        <w:sz w:val="32"/>
        <w:szCs w:val="32"/>
      </w:rPr>
      <w:fldChar w:fldCharType="separate"/>
    </w:r>
    <w:r w:rsidR="00121B59">
      <w:rPr>
        <w:rStyle w:val="PageNumber"/>
        <w:b/>
        <w:noProof/>
        <w:sz w:val="32"/>
        <w:szCs w:val="32"/>
      </w:rPr>
      <w:t>72</w:t>
    </w:r>
    <w:r w:rsidRPr="009C37D6">
      <w:rPr>
        <w:rStyle w:val="PageNumber"/>
        <w:b/>
        <w:sz w:val="32"/>
        <w:szCs w:val="32"/>
      </w:rPr>
      <w:fldChar w:fldCharType="end"/>
    </w:r>
  </w:p>
  <w:p w14:paraId="56B315BE" w14:textId="1B37738C" w:rsidR="009108B8" w:rsidRPr="000E374B" w:rsidRDefault="009108B8" w:rsidP="009F04B5">
    <w:pPr>
      <w:pStyle w:val="Footer"/>
      <w:tabs>
        <w:tab w:val="left" w:pos="1900"/>
      </w:tabs>
      <w:rPr>
        <w:rStyle w:val="PageNumber"/>
      </w:rPr>
    </w:pPr>
    <w:r>
      <w:rPr>
        <w:rStyle w:val="PageNumber"/>
        <w:b/>
      </w:rPr>
      <w:t>South Atlantic Snapper Grouper</w:t>
    </w:r>
    <w:r w:rsidRPr="000E374B">
      <w:rPr>
        <w:rStyle w:val="PageNumber"/>
        <w:b/>
      </w:rPr>
      <w:t xml:space="preserve">                   </w:t>
    </w:r>
    <w:r>
      <w:rPr>
        <w:rStyle w:val="PageNumber"/>
        <w:b/>
      </w:rPr>
      <w:t xml:space="preserve">              </w:t>
    </w:r>
    <w:r w:rsidRPr="000E374B">
      <w:rPr>
        <w:rStyle w:val="PageNumber"/>
        <w:b/>
      </w:rPr>
      <w:t xml:space="preserve">Chapter 3. Affected Environment </w:t>
    </w:r>
  </w:p>
  <w:p w14:paraId="2F55EF38" w14:textId="046084E5" w:rsidR="009108B8" w:rsidRPr="000E374B" w:rsidRDefault="009108B8" w:rsidP="009F04B5">
    <w:pPr>
      <w:pStyle w:val="Footer"/>
      <w:rPr>
        <w:b/>
      </w:rPr>
    </w:pPr>
    <w:r>
      <w:rPr>
        <w:rStyle w:val="PageNumber"/>
        <w:b/>
      </w:rPr>
      <w:t>AMENDMENT 41</w:t>
    </w:r>
  </w:p>
  <w:p w14:paraId="0EC6FEFB" w14:textId="77777777" w:rsidR="009108B8" w:rsidRDefault="009108B8">
    <w:pPr>
      <w:pStyle w:val="Footer"/>
      <w:tabs>
        <w:tab w:val="left" w:pos="1900"/>
      </w:tabs>
      <w:rPr>
        <w:sz w:val="16"/>
        <w:szCs w:val="16"/>
      </w:rPr>
    </w:pP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B3A58" w14:textId="77777777" w:rsidR="009108B8" w:rsidRDefault="009108B8" w:rsidP="008D0B8B">
    <w:pPr>
      <w:pStyle w:val="Footer"/>
      <w:tabs>
        <w:tab w:val="left" w:pos="4780"/>
      </w:tabs>
      <w:rPr>
        <w:sz w:val="16"/>
        <w:szCs w:val="16"/>
      </w:rPr>
    </w:pPr>
  </w:p>
  <w:p w14:paraId="61CA283F" w14:textId="77777777" w:rsidR="009108B8" w:rsidRDefault="009108B8" w:rsidP="008D0B8B">
    <w:pPr>
      <w:pStyle w:val="Footer"/>
      <w:tabs>
        <w:tab w:val="left" w:pos="4780"/>
      </w:tabs>
      <w:rPr>
        <w:sz w:val="16"/>
        <w:szCs w:val="16"/>
      </w:rPr>
    </w:pPr>
    <w:r>
      <w:rPr>
        <w:noProof/>
        <w:sz w:val="16"/>
        <w:szCs w:val="16"/>
      </w:rPr>
      <mc:AlternateContent>
        <mc:Choice Requires="wps">
          <w:drawing>
            <wp:anchor distT="0" distB="0" distL="114300" distR="114300" simplePos="0" relativeHeight="251675136" behindDoc="0" locked="0" layoutInCell="1" allowOverlap="1" wp14:anchorId="74323FD3" wp14:editId="46C77963">
              <wp:simplePos x="0" y="0"/>
              <wp:positionH relativeFrom="column">
                <wp:posOffset>7620</wp:posOffset>
              </wp:positionH>
              <wp:positionV relativeFrom="paragraph">
                <wp:posOffset>48260</wp:posOffset>
              </wp:positionV>
              <wp:extent cx="5486400" cy="8890"/>
              <wp:effectExtent l="17145" t="19685" r="11430" b="19050"/>
              <wp:wrapNone/>
              <wp:docPr id="8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margin-left:.6pt;margin-top:3.8pt;width:6in;height:.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" strokeweight="1.75pt"/>
          </w:pict>
        </mc:Fallback>
      </mc:AlternateContent>
    </w:r>
  </w:p>
  <w:p w14:paraId="2376E768" w14:textId="77777777" w:rsidR="009108B8" w:rsidRPr="009C37D6" w:rsidRDefault="009108B8" w:rsidP="008D0B8B">
    <w:pPr>
      <w:pStyle w:val="Footer"/>
      <w:framePr w:wrap="around" w:vAnchor="text" w:hAnchor="page" w:x="5836" w:y="141"/>
      <w:rPr>
        <w:rStyle w:val="PageNumber"/>
      </w:rPr>
    </w:pPr>
    <w:r w:rsidRPr="009C37D6">
      <w:rPr>
        <w:rStyle w:val="PageNumber"/>
        <w:b/>
        <w:sz w:val="32"/>
        <w:szCs w:val="32"/>
      </w:rPr>
      <w:fldChar w:fldCharType="begin"/>
    </w:r>
    <w:r w:rsidRPr="009C37D6">
      <w:rPr>
        <w:rStyle w:val="PageNumber"/>
        <w:b/>
        <w:sz w:val="32"/>
        <w:szCs w:val="32"/>
      </w:rPr>
      <w:instrText xml:space="preserve">PAGE  </w:instrText>
    </w:r>
    <w:r w:rsidRPr="009C37D6">
      <w:rPr>
        <w:rStyle w:val="PageNumber"/>
        <w:b/>
        <w:sz w:val="32"/>
        <w:szCs w:val="32"/>
      </w:rPr>
      <w:fldChar w:fldCharType="separate"/>
    </w:r>
    <w:r w:rsidR="00121B59">
      <w:rPr>
        <w:rStyle w:val="PageNumber"/>
        <w:b/>
        <w:noProof/>
        <w:sz w:val="32"/>
        <w:szCs w:val="32"/>
      </w:rPr>
      <w:t>89</w:t>
    </w:r>
    <w:r w:rsidRPr="009C37D6">
      <w:rPr>
        <w:rStyle w:val="PageNumber"/>
        <w:b/>
        <w:sz w:val="32"/>
        <w:szCs w:val="32"/>
      </w:rPr>
      <w:fldChar w:fldCharType="end"/>
    </w:r>
  </w:p>
  <w:p w14:paraId="2398578D" w14:textId="1D5862E5" w:rsidR="009108B8" w:rsidRPr="000E374B" w:rsidRDefault="009108B8" w:rsidP="00CC7F0D">
    <w:pPr>
      <w:pStyle w:val="Footer"/>
      <w:tabs>
        <w:tab w:val="left" w:pos="1900"/>
      </w:tabs>
      <w:rPr>
        <w:rStyle w:val="PageNumber"/>
      </w:rPr>
    </w:pPr>
    <w:r>
      <w:rPr>
        <w:rStyle w:val="PageNumber"/>
        <w:b/>
      </w:rPr>
      <w:t>South Atlantic Snapper Grouper</w:t>
    </w:r>
    <w:r>
      <w:rPr>
        <w:rStyle w:val="PageNumber"/>
        <w:b/>
      </w:rPr>
      <w:tab/>
    </w:r>
    <w:r>
      <w:rPr>
        <w:rStyle w:val="PageNumber"/>
        <w:b/>
      </w:rPr>
      <w:tab/>
    </w:r>
    <w:r w:rsidRPr="000E374B">
      <w:rPr>
        <w:rStyle w:val="PageNumber"/>
        <w:b/>
      </w:rPr>
      <w:t xml:space="preserve">        Chapter 4. Environmental Effects </w:t>
    </w:r>
  </w:p>
  <w:p w14:paraId="26637CBD" w14:textId="276568D0" w:rsidR="009108B8" w:rsidRPr="000E374B" w:rsidRDefault="009108B8" w:rsidP="00CC7F0D">
    <w:pPr>
      <w:pStyle w:val="Footer"/>
      <w:rPr>
        <w:b/>
      </w:rPr>
    </w:pPr>
    <w:r>
      <w:rPr>
        <w:rStyle w:val="PageNumber"/>
        <w:b/>
      </w:rPr>
      <w:t>AMENDMENT 41</w:t>
    </w:r>
  </w:p>
  <w:p w14:paraId="51B52132" w14:textId="77777777" w:rsidR="009108B8" w:rsidRDefault="009108B8" w:rsidP="008D0B8B">
    <w:pPr>
      <w:pStyle w:val="Footer"/>
      <w:tabs>
        <w:tab w:val="left" w:pos="1900"/>
      </w:tabs>
      <w:rPr>
        <w:sz w:val="16"/>
        <w:szCs w:val="16"/>
      </w:rPr>
    </w:pPr>
    <w:r>
      <w:rPr>
        <w:sz w:val="16"/>
        <w:szCs w:val="16"/>
      </w:rPr>
      <w:tab/>
    </w:r>
    <w:r>
      <w:rPr>
        <w:sz w:val="16"/>
        <w:szCs w:val="16"/>
      </w:rPr>
      <w:tab/>
    </w:r>
    <w:r>
      <w:rPr>
        <w:sz w:val="16"/>
        <w:szCs w:val="16"/>
      </w:rPr>
      <w:tab/>
    </w:r>
  </w:p>
  <w:p w14:paraId="2CC76065" w14:textId="77777777" w:rsidR="009108B8" w:rsidRDefault="009108B8">
    <w:pPr>
      <w:pStyle w:val="Footer"/>
      <w:tabs>
        <w:tab w:val="left" w:pos="1900"/>
      </w:tabs>
      <w:rPr>
        <w:sz w:val="16"/>
        <w:szCs w:val="16"/>
      </w:rPr>
    </w:pP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00707" w14:textId="77777777" w:rsidR="009108B8" w:rsidRDefault="009108B8" w:rsidP="008D0B8B">
    <w:pPr>
      <w:pStyle w:val="Footer"/>
      <w:tabs>
        <w:tab w:val="left" w:pos="4780"/>
      </w:tabs>
      <w:rPr>
        <w:sz w:val="16"/>
        <w:szCs w:val="16"/>
      </w:rPr>
    </w:pPr>
  </w:p>
  <w:p w14:paraId="141A6F23" w14:textId="77777777" w:rsidR="009108B8" w:rsidRDefault="009108B8" w:rsidP="008D0B8B">
    <w:pPr>
      <w:pStyle w:val="Footer"/>
      <w:tabs>
        <w:tab w:val="left" w:pos="4780"/>
      </w:tabs>
      <w:rPr>
        <w:sz w:val="16"/>
        <w:szCs w:val="16"/>
      </w:rPr>
    </w:pPr>
    <w:r>
      <w:rPr>
        <w:noProof/>
        <w:sz w:val="16"/>
        <w:szCs w:val="16"/>
      </w:rPr>
      <mc:AlternateContent>
        <mc:Choice Requires="wps">
          <w:drawing>
            <wp:anchor distT="0" distB="0" distL="114300" distR="114300" simplePos="0" relativeHeight="251782656" behindDoc="0" locked="0" layoutInCell="1" allowOverlap="1" wp14:anchorId="3203362F" wp14:editId="404274C1">
              <wp:simplePos x="0" y="0"/>
              <wp:positionH relativeFrom="column">
                <wp:posOffset>7620</wp:posOffset>
              </wp:positionH>
              <wp:positionV relativeFrom="paragraph">
                <wp:posOffset>48260</wp:posOffset>
              </wp:positionV>
              <wp:extent cx="5486400" cy="8890"/>
              <wp:effectExtent l="17145" t="19685" r="11430" b="19050"/>
              <wp:wrapNone/>
              <wp:docPr id="9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margin-left:.6pt;margin-top:3.8pt;width:6in;height:.7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" strokeweight="1.75pt"/>
          </w:pict>
        </mc:Fallback>
      </mc:AlternateContent>
    </w:r>
  </w:p>
  <w:p w14:paraId="55265227" w14:textId="77777777" w:rsidR="009108B8" w:rsidRPr="009C37D6" w:rsidRDefault="009108B8" w:rsidP="008D0B8B">
    <w:pPr>
      <w:pStyle w:val="Footer"/>
      <w:framePr w:wrap="around" w:vAnchor="text" w:hAnchor="page" w:x="5836" w:y="141"/>
      <w:rPr>
        <w:rStyle w:val="PageNumber"/>
      </w:rPr>
    </w:pPr>
    <w:r w:rsidRPr="009C37D6">
      <w:rPr>
        <w:rStyle w:val="PageNumber"/>
        <w:b/>
        <w:sz w:val="32"/>
        <w:szCs w:val="32"/>
      </w:rPr>
      <w:fldChar w:fldCharType="begin"/>
    </w:r>
    <w:r w:rsidRPr="009C37D6">
      <w:rPr>
        <w:rStyle w:val="PageNumber"/>
        <w:b/>
        <w:sz w:val="32"/>
        <w:szCs w:val="32"/>
      </w:rPr>
      <w:instrText xml:space="preserve">PAGE  </w:instrText>
    </w:r>
    <w:r w:rsidRPr="009C37D6">
      <w:rPr>
        <w:rStyle w:val="PageNumber"/>
        <w:b/>
        <w:sz w:val="32"/>
        <w:szCs w:val="32"/>
      </w:rPr>
      <w:fldChar w:fldCharType="separate"/>
    </w:r>
    <w:r w:rsidR="00121B59">
      <w:rPr>
        <w:rStyle w:val="PageNumber"/>
        <w:b/>
        <w:noProof/>
        <w:sz w:val="32"/>
        <w:szCs w:val="32"/>
      </w:rPr>
      <w:t>118</w:t>
    </w:r>
    <w:r w:rsidRPr="009C37D6">
      <w:rPr>
        <w:rStyle w:val="PageNumber"/>
        <w:b/>
        <w:sz w:val="32"/>
        <w:szCs w:val="32"/>
      </w:rPr>
      <w:fldChar w:fldCharType="end"/>
    </w:r>
  </w:p>
  <w:p w14:paraId="3A2A841A" w14:textId="77777777" w:rsidR="009108B8" w:rsidRPr="000E374B" w:rsidRDefault="009108B8" w:rsidP="00CC7F0D">
    <w:pPr>
      <w:pStyle w:val="Footer"/>
      <w:tabs>
        <w:tab w:val="left" w:pos="1900"/>
      </w:tabs>
      <w:rPr>
        <w:rStyle w:val="PageNumber"/>
      </w:rPr>
    </w:pPr>
    <w:r>
      <w:rPr>
        <w:rStyle w:val="PageNumber"/>
        <w:b/>
      </w:rPr>
      <w:t>South Atlantic Snapper Grouper</w:t>
    </w:r>
    <w:r>
      <w:rPr>
        <w:rStyle w:val="PageNumber"/>
        <w:b/>
      </w:rPr>
      <w:tab/>
    </w:r>
    <w:r>
      <w:rPr>
        <w:rStyle w:val="PageNumber"/>
        <w:b/>
      </w:rPr>
      <w:tab/>
    </w:r>
    <w:r w:rsidRPr="000E374B">
      <w:rPr>
        <w:rStyle w:val="PageNumber"/>
        <w:b/>
      </w:rPr>
      <w:t xml:space="preserve">        Chapter 4. Environmental Effects </w:t>
    </w:r>
  </w:p>
  <w:p w14:paraId="0C1A9C6F" w14:textId="77777777" w:rsidR="009108B8" w:rsidRPr="000E374B" w:rsidRDefault="009108B8" w:rsidP="00CC7F0D">
    <w:pPr>
      <w:pStyle w:val="Footer"/>
      <w:rPr>
        <w:b/>
      </w:rPr>
    </w:pPr>
    <w:r>
      <w:rPr>
        <w:rStyle w:val="PageNumber"/>
        <w:b/>
      </w:rPr>
      <w:t>AMENDMENT 41</w:t>
    </w:r>
  </w:p>
  <w:p w14:paraId="73F010A2" w14:textId="77777777" w:rsidR="009108B8" w:rsidRDefault="009108B8" w:rsidP="008D0B8B">
    <w:pPr>
      <w:pStyle w:val="Footer"/>
      <w:tabs>
        <w:tab w:val="left" w:pos="1900"/>
      </w:tabs>
      <w:rPr>
        <w:sz w:val="16"/>
        <w:szCs w:val="16"/>
      </w:rPr>
    </w:pPr>
    <w:r>
      <w:rPr>
        <w:sz w:val="16"/>
        <w:szCs w:val="16"/>
      </w:rPr>
      <w:tab/>
    </w:r>
    <w:r>
      <w:rPr>
        <w:sz w:val="16"/>
        <w:szCs w:val="16"/>
      </w:rPr>
      <w:tab/>
    </w:r>
    <w:r>
      <w:rPr>
        <w:sz w:val="16"/>
        <w:szCs w:val="16"/>
      </w:rPr>
      <w:tab/>
    </w:r>
  </w:p>
  <w:p w14:paraId="5BBB0D89" w14:textId="77777777" w:rsidR="009108B8" w:rsidRDefault="009108B8">
    <w:pPr>
      <w:pStyle w:val="Footer"/>
      <w:tabs>
        <w:tab w:val="left" w:pos="1900"/>
      </w:tabs>
      <w:rPr>
        <w:sz w:val="16"/>
        <w:szCs w:val="16"/>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F1485" w14:textId="77777777" w:rsidR="009108B8" w:rsidRPr="001B7BCC" w:rsidRDefault="009108B8" w:rsidP="001B7BCC">
    <w:pPr>
      <w:pStyle w:val="Footer"/>
      <w:framePr w:wrap="around" w:vAnchor="text" w:hAnchor="margin" w:xAlign="center" w:y="1"/>
      <w:rPr>
        <w:rStyle w:val="PageNumber"/>
        <w:b/>
      </w:rPr>
    </w:pPr>
    <w:r w:rsidRPr="001B7BCC">
      <w:rPr>
        <w:rStyle w:val="PageNumber"/>
        <w:b/>
      </w:rPr>
      <w:fldChar w:fldCharType="begin"/>
    </w:r>
    <w:r w:rsidRPr="001B7BCC">
      <w:rPr>
        <w:rStyle w:val="PageNumber"/>
        <w:b/>
      </w:rPr>
      <w:instrText xml:space="preserve">PAGE  </w:instrText>
    </w:r>
    <w:r w:rsidRPr="001B7BCC">
      <w:rPr>
        <w:rStyle w:val="PageNumber"/>
        <w:b/>
      </w:rPr>
      <w:fldChar w:fldCharType="separate"/>
    </w:r>
    <w:r>
      <w:rPr>
        <w:rStyle w:val="PageNumber"/>
        <w:b/>
        <w:noProof/>
      </w:rPr>
      <w:t>6</w:t>
    </w:r>
    <w:r w:rsidRPr="001B7BCC">
      <w:rPr>
        <w:rStyle w:val="PageNumber"/>
        <w:b/>
      </w:rPr>
      <w:fldChar w:fldCharType="end"/>
    </w:r>
  </w:p>
  <w:p w14:paraId="431E382F" w14:textId="4A6B13FA" w:rsidR="009108B8" w:rsidRDefault="009108B8" w:rsidP="001B7BCC">
    <w:pPr>
      <w:pStyle w:val="Footer"/>
      <w:tabs>
        <w:tab w:val="left" w:pos="1900"/>
      </w:tabs>
      <w:rPr>
        <w:b/>
      </w:rPr>
    </w:pPr>
    <w:r w:rsidRPr="000E374B">
      <w:rPr>
        <w:b/>
        <w:noProof/>
        <w:sz w:val="16"/>
        <w:szCs w:val="16"/>
      </w:rPr>
      <mc:AlternateContent>
        <mc:Choice Requires="wps">
          <w:drawing>
            <wp:anchor distT="0" distB="0" distL="114300" distR="114300" simplePos="0" relativeHeight="251770368" behindDoc="0" locked="0" layoutInCell="1" allowOverlap="1" wp14:anchorId="2D821AA3" wp14:editId="64E03105">
              <wp:simplePos x="0" y="0"/>
              <wp:positionH relativeFrom="column">
                <wp:posOffset>-80773</wp:posOffset>
              </wp:positionH>
              <wp:positionV relativeFrom="paragraph">
                <wp:posOffset>-26391</wp:posOffset>
              </wp:positionV>
              <wp:extent cx="5486400" cy="8890"/>
              <wp:effectExtent l="0" t="0" r="25400" b="41910"/>
              <wp:wrapNone/>
              <wp:docPr id="5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6.35pt;margin-top:-2.1pt;width:6in;height:.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" strokeweight="1.75pt"/>
          </w:pict>
        </mc:Fallback>
      </mc:AlternateContent>
    </w:r>
    <w:r w:rsidRPr="000E374B">
      <w:rPr>
        <w:b/>
      </w:rPr>
      <w:t>South Atlantic Snapper Grouper</w:t>
    </w:r>
    <w:r w:rsidRPr="000E374B">
      <w:rPr>
        <w:b/>
      </w:rPr>
      <w:tab/>
    </w:r>
    <w:r w:rsidRPr="000E374B">
      <w:rPr>
        <w:b/>
      </w:rPr>
      <w:tab/>
    </w:r>
    <w:r>
      <w:rPr>
        <w:b/>
      </w:rPr>
      <w:t>Chapter 1.  Introduction</w:t>
    </w:r>
  </w:p>
  <w:p w14:paraId="795E30C6" w14:textId="77777777" w:rsidR="009108B8" w:rsidRPr="000E374B" w:rsidRDefault="009108B8" w:rsidP="001B7BCC">
    <w:pPr>
      <w:pStyle w:val="Footer"/>
      <w:tabs>
        <w:tab w:val="left" w:pos="1900"/>
      </w:tabs>
      <w:rPr>
        <w:b/>
        <w:sz w:val="16"/>
        <w:szCs w:val="16"/>
      </w:rPr>
    </w:pPr>
    <w:r w:rsidRPr="000E374B">
      <w:rPr>
        <w:b/>
      </w:rPr>
      <w:t xml:space="preserve">AMENDMENT </w:t>
    </w:r>
    <w:r>
      <w:rPr>
        <w:b/>
      </w:rPr>
      <w:t>41</w:t>
    </w:r>
    <w:r w:rsidRPr="000E374B">
      <w:rPr>
        <w:b/>
        <w:sz w:val="16"/>
        <w:szCs w:val="16"/>
      </w:rPr>
      <w:tab/>
    </w:r>
  </w:p>
  <w:p w14:paraId="207F705C" w14:textId="77777777" w:rsidR="009108B8" w:rsidRDefault="009108B8" w:rsidP="008D0B8B">
    <w:pPr>
      <w:pStyle w:val="Footer"/>
      <w:tabs>
        <w:tab w:val="left" w:pos="1900"/>
      </w:tabs>
      <w:rPr>
        <w:sz w:val="16"/>
        <w:szCs w:val="16"/>
      </w:rPr>
    </w:pPr>
    <w:r>
      <w:rPr>
        <w:sz w:val="16"/>
        <w:szCs w:val="16"/>
      </w:rPr>
      <w:tab/>
    </w:r>
    <w:r>
      <w:rPr>
        <w:sz w:val="16"/>
        <w:szCs w:val="16"/>
      </w:rPr>
      <w:tab/>
    </w:r>
    <w:r>
      <w:rPr>
        <w:sz w:val="16"/>
        <w:szCs w:val="16"/>
      </w:rPr>
      <w:tab/>
    </w:r>
  </w:p>
  <w:p w14:paraId="54062CF9" w14:textId="77777777" w:rsidR="009108B8" w:rsidRDefault="009108B8">
    <w:pPr>
      <w:pStyle w:val="Footer"/>
    </w:pP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906FB" w14:textId="77777777" w:rsidR="009108B8" w:rsidRDefault="009108B8" w:rsidP="008D0B8B">
    <w:pPr>
      <w:pStyle w:val="Footer"/>
      <w:tabs>
        <w:tab w:val="left" w:pos="4780"/>
      </w:tabs>
      <w:rPr>
        <w:sz w:val="16"/>
        <w:szCs w:val="16"/>
      </w:rPr>
    </w:pPr>
  </w:p>
  <w:p w14:paraId="797D8493" w14:textId="77777777" w:rsidR="009108B8" w:rsidRDefault="009108B8" w:rsidP="008D0B8B">
    <w:pPr>
      <w:pStyle w:val="Footer"/>
      <w:tabs>
        <w:tab w:val="left" w:pos="4780"/>
      </w:tabs>
      <w:rPr>
        <w:sz w:val="16"/>
        <w:szCs w:val="16"/>
      </w:rPr>
    </w:pPr>
    <w:r>
      <w:rPr>
        <w:noProof/>
        <w:sz w:val="16"/>
        <w:szCs w:val="16"/>
      </w:rPr>
      <mc:AlternateContent>
        <mc:Choice Requires="wps">
          <w:drawing>
            <wp:anchor distT="0" distB="0" distL="114300" distR="114300" simplePos="0" relativeHeight="251784704" behindDoc="0" locked="0" layoutInCell="1" allowOverlap="1" wp14:anchorId="7BD2DA51" wp14:editId="630E5819">
              <wp:simplePos x="0" y="0"/>
              <wp:positionH relativeFrom="column">
                <wp:posOffset>7620</wp:posOffset>
              </wp:positionH>
              <wp:positionV relativeFrom="paragraph">
                <wp:posOffset>48260</wp:posOffset>
              </wp:positionV>
              <wp:extent cx="5486400" cy="8890"/>
              <wp:effectExtent l="17145" t="19685" r="11430" b="19050"/>
              <wp:wrapNone/>
              <wp:docPr id="9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margin-left:.6pt;margin-top:3.8pt;width:6in;height:.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" strokeweight="1.75pt"/>
          </w:pict>
        </mc:Fallback>
      </mc:AlternateContent>
    </w:r>
  </w:p>
  <w:p w14:paraId="5F5400D9" w14:textId="77777777" w:rsidR="009108B8" w:rsidRPr="009C37D6" w:rsidRDefault="009108B8" w:rsidP="008D0B8B">
    <w:pPr>
      <w:pStyle w:val="Footer"/>
      <w:framePr w:wrap="around" w:vAnchor="text" w:hAnchor="page" w:x="5836" w:y="141"/>
      <w:rPr>
        <w:rStyle w:val="PageNumber"/>
      </w:rPr>
    </w:pPr>
    <w:r w:rsidRPr="009C37D6">
      <w:rPr>
        <w:rStyle w:val="PageNumber"/>
        <w:b/>
        <w:sz w:val="32"/>
        <w:szCs w:val="32"/>
      </w:rPr>
      <w:fldChar w:fldCharType="begin"/>
    </w:r>
    <w:r w:rsidRPr="009C37D6">
      <w:rPr>
        <w:rStyle w:val="PageNumber"/>
        <w:b/>
        <w:sz w:val="32"/>
        <w:szCs w:val="32"/>
      </w:rPr>
      <w:instrText xml:space="preserve">PAGE  </w:instrText>
    </w:r>
    <w:r w:rsidRPr="009C37D6">
      <w:rPr>
        <w:rStyle w:val="PageNumber"/>
        <w:b/>
        <w:sz w:val="32"/>
        <w:szCs w:val="32"/>
      </w:rPr>
      <w:fldChar w:fldCharType="separate"/>
    </w:r>
    <w:r w:rsidR="00121B59">
      <w:rPr>
        <w:rStyle w:val="PageNumber"/>
        <w:b/>
        <w:noProof/>
        <w:sz w:val="32"/>
        <w:szCs w:val="32"/>
      </w:rPr>
      <w:t>145</w:t>
    </w:r>
    <w:r w:rsidRPr="009C37D6">
      <w:rPr>
        <w:rStyle w:val="PageNumber"/>
        <w:b/>
        <w:sz w:val="32"/>
        <w:szCs w:val="32"/>
      </w:rPr>
      <w:fldChar w:fldCharType="end"/>
    </w:r>
  </w:p>
  <w:p w14:paraId="34B17201" w14:textId="0EB6B88A" w:rsidR="009108B8" w:rsidRPr="000E374B" w:rsidRDefault="009108B8" w:rsidP="00CC7F0D">
    <w:pPr>
      <w:pStyle w:val="Footer"/>
      <w:tabs>
        <w:tab w:val="left" w:pos="1900"/>
      </w:tabs>
      <w:rPr>
        <w:rStyle w:val="PageNumber"/>
      </w:rPr>
    </w:pPr>
    <w:r>
      <w:rPr>
        <w:rStyle w:val="PageNumber"/>
        <w:b/>
      </w:rPr>
      <w:t>South Atlantic Snapper Grouper</w:t>
    </w:r>
    <w:r>
      <w:rPr>
        <w:rStyle w:val="PageNumber"/>
        <w:b/>
      </w:rPr>
      <w:tab/>
    </w:r>
    <w:r>
      <w:rPr>
        <w:rStyle w:val="PageNumber"/>
        <w:b/>
      </w:rPr>
      <w:tab/>
    </w:r>
    <w:r w:rsidRPr="000E374B">
      <w:rPr>
        <w:rStyle w:val="PageNumber"/>
        <w:b/>
      </w:rPr>
      <w:t xml:space="preserve">        Chapter </w:t>
    </w:r>
    <w:r>
      <w:rPr>
        <w:rStyle w:val="PageNumber"/>
        <w:b/>
      </w:rPr>
      <w:t>5</w:t>
    </w:r>
    <w:r w:rsidRPr="000E374B">
      <w:rPr>
        <w:rStyle w:val="PageNumber"/>
        <w:b/>
      </w:rPr>
      <w:t xml:space="preserve">. </w:t>
    </w:r>
    <w:r>
      <w:rPr>
        <w:rStyle w:val="PageNumber"/>
        <w:b/>
      </w:rPr>
      <w:t>Council’s Choice</w:t>
    </w:r>
    <w:r w:rsidRPr="000E374B">
      <w:rPr>
        <w:rStyle w:val="PageNumber"/>
        <w:b/>
      </w:rPr>
      <w:t xml:space="preserve"> </w:t>
    </w:r>
  </w:p>
  <w:p w14:paraId="166F5CCB" w14:textId="77777777" w:rsidR="009108B8" w:rsidRPr="000E374B" w:rsidRDefault="009108B8" w:rsidP="00CC7F0D">
    <w:pPr>
      <w:pStyle w:val="Footer"/>
      <w:rPr>
        <w:b/>
      </w:rPr>
    </w:pPr>
    <w:r>
      <w:rPr>
        <w:rStyle w:val="PageNumber"/>
        <w:b/>
      </w:rPr>
      <w:t>AMENDMENT 41</w:t>
    </w:r>
  </w:p>
  <w:p w14:paraId="494795B6" w14:textId="77777777" w:rsidR="009108B8" w:rsidRDefault="009108B8" w:rsidP="008D0B8B">
    <w:pPr>
      <w:pStyle w:val="Footer"/>
      <w:tabs>
        <w:tab w:val="left" w:pos="1900"/>
      </w:tabs>
      <w:rPr>
        <w:sz w:val="16"/>
        <w:szCs w:val="16"/>
      </w:rPr>
    </w:pPr>
    <w:r>
      <w:rPr>
        <w:sz w:val="16"/>
        <w:szCs w:val="16"/>
      </w:rPr>
      <w:tab/>
    </w:r>
    <w:r>
      <w:rPr>
        <w:sz w:val="16"/>
        <w:szCs w:val="16"/>
      </w:rPr>
      <w:tab/>
    </w:r>
    <w:r>
      <w:rPr>
        <w:sz w:val="16"/>
        <w:szCs w:val="16"/>
      </w:rPr>
      <w:tab/>
    </w:r>
  </w:p>
  <w:p w14:paraId="5A474946" w14:textId="77777777" w:rsidR="009108B8" w:rsidRDefault="009108B8">
    <w:pPr>
      <w:pStyle w:val="Footer"/>
      <w:tabs>
        <w:tab w:val="left" w:pos="1900"/>
      </w:tabs>
      <w:rPr>
        <w:sz w:val="16"/>
        <w:szCs w:val="16"/>
      </w:rPr>
    </w:pP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E1BCA" w14:textId="77777777" w:rsidR="009108B8" w:rsidRDefault="009108B8" w:rsidP="008D0B8B">
    <w:pPr>
      <w:pStyle w:val="Footer"/>
      <w:tabs>
        <w:tab w:val="left" w:pos="4780"/>
      </w:tabs>
      <w:rPr>
        <w:sz w:val="16"/>
        <w:szCs w:val="16"/>
      </w:rPr>
    </w:pPr>
  </w:p>
  <w:p w14:paraId="490CE934" w14:textId="77777777" w:rsidR="009108B8" w:rsidRDefault="009108B8" w:rsidP="008D0B8B">
    <w:pPr>
      <w:pStyle w:val="Footer"/>
      <w:tabs>
        <w:tab w:val="left" w:pos="4780"/>
      </w:tabs>
      <w:rPr>
        <w:sz w:val="16"/>
        <w:szCs w:val="16"/>
      </w:rPr>
    </w:pPr>
    <w:r>
      <w:rPr>
        <w:noProof/>
        <w:sz w:val="16"/>
        <w:szCs w:val="16"/>
      </w:rPr>
      <mc:AlternateContent>
        <mc:Choice Requires="wps">
          <w:drawing>
            <wp:anchor distT="0" distB="0" distL="114300" distR="114300" simplePos="0" relativeHeight="251778560" behindDoc="0" locked="0" layoutInCell="1" allowOverlap="1" wp14:anchorId="48D3518A" wp14:editId="6DEBED2D">
              <wp:simplePos x="0" y="0"/>
              <wp:positionH relativeFrom="column">
                <wp:posOffset>7620</wp:posOffset>
              </wp:positionH>
              <wp:positionV relativeFrom="paragraph">
                <wp:posOffset>48260</wp:posOffset>
              </wp:positionV>
              <wp:extent cx="5486400" cy="8890"/>
              <wp:effectExtent l="17145" t="19685" r="11430" b="19050"/>
              <wp:wrapNone/>
              <wp:docPr id="9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0" o:spid="_x0000_s1026" type="#_x0000_t32" style="position:absolute;margin-left:.6pt;margin-top:3.8pt;width:6in;height:.7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" strokeweight="1.75pt"/>
          </w:pict>
        </mc:Fallback>
      </mc:AlternateContent>
    </w:r>
  </w:p>
  <w:p w14:paraId="0F5B3B0C" w14:textId="77777777" w:rsidR="009108B8" w:rsidRPr="009C37D6" w:rsidRDefault="009108B8" w:rsidP="008D0B8B">
    <w:pPr>
      <w:pStyle w:val="Footer"/>
      <w:framePr w:wrap="around" w:vAnchor="text" w:hAnchor="page" w:x="5836" w:y="141"/>
      <w:rPr>
        <w:rStyle w:val="PageNumber"/>
      </w:rPr>
    </w:pPr>
    <w:r w:rsidRPr="009C37D6">
      <w:rPr>
        <w:rStyle w:val="PageNumber"/>
        <w:b/>
        <w:sz w:val="32"/>
        <w:szCs w:val="32"/>
      </w:rPr>
      <w:fldChar w:fldCharType="begin"/>
    </w:r>
    <w:r w:rsidRPr="009C37D6">
      <w:rPr>
        <w:rStyle w:val="PageNumber"/>
        <w:b/>
        <w:sz w:val="32"/>
        <w:szCs w:val="32"/>
      </w:rPr>
      <w:instrText xml:space="preserve">PAGE  </w:instrText>
    </w:r>
    <w:r w:rsidRPr="009C37D6">
      <w:rPr>
        <w:rStyle w:val="PageNumber"/>
        <w:b/>
        <w:sz w:val="32"/>
        <w:szCs w:val="32"/>
      </w:rPr>
      <w:fldChar w:fldCharType="separate"/>
    </w:r>
    <w:r w:rsidR="00121B59">
      <w:rPr>
        <w:rStyle w:val="PageNumber"/>
        <w:b/>
        <w:noProof/>
        <w:sz w:val="32"/>
        <w:szCs w:val="32"/>
      </w:rPr>
      <w:t>151</w:t>
    </w:r>
    <w:r w:rsidRPr="009C37D6">
      <w:rPr>
        <w:rStyle w:val="PageNumber"/>
        <w:b/>
        <w:sz w:val="32"/>
        <w:szCs w:val="32"/>
      </w:rPr>
      <w:fldChar w:fldCharType="end"/>
    </w:r>
  </w:p>
  <w:p w14:paraId="39F4F5F4" w14:textId="6C5CD263" w:rsidR="009108B8" w:rsidRPr="000E374B" w:rsidRDefault="009108B8" w:rsidP="00E643ED">
    <w:pPr>
      <w:pStyle w:val="Footer"/>
      <w:rPr>
        <w:rStyle w:val="PageNumber"/>
        <w:b/>
      </w:rPr>
    </w:pPr>
    <w:r>
      <w:rPr>
        <w:rStyle w:val="PageNumber"/>
        <w:b/>
      </w:rPr>
      <w:t>South Atlantic Snapper Grouper</w:t>
    </w:r>
    <w:r>
      <w:rPr>
        <w:rStyle w:val="PageNumber"/>
        <w:b/>
      </w:rPr>
      <w:tab/>
    </w:r>
    <w:r>
      <w:rPr>
        <w:rStyle w:val="PageNumber"/>
        <w:b/>
      </w:rPr>
      <w:tab/>
      <w:t xml:space="preserve">     Chapter 6</w:t>
    </w:r>
    <w:r w:rsidRPr="000E374B">
      <w:rPr>
        <w:rStyle w:val="PageNumber"/>
        <w:b/>
      </w:rPr>
      <w:t xml:space="preserve">. </w:t>
    </w:r>
    <w:r>
      <w:rPr>
        <w:rStyle w:val="PageNumber"/>
        <w:b/>
      </w:rPr>
      <w:t>Cumulative Effects</w:t>
    </w:r>
    <w:r w:rsidRPr="000E374B">
      <w:rPr>
        <w:rStyle w:val="PageNumber"/>
        <w:b/>
      </w:rPr>
      <w:t xml:space="preserve"> </w:t>
    </w:r>
  </w:p>
  <w:p w14:paraId="058C6D22" w14:textId="77777777" w:rsidR="009108B8" w:rsidRPr="004E40A4" w:rsidRDefault="009108B8" w:rsidP="00E643ED">
    <w:pPr>
      <w:pStyle w:val="Footer"/>
      <w:rPr>
        <w:b/>
        <w:sz w:val="20"/>
        <w:szCs w:val="20"/>
      </w:rPr>
    </w:pPr>
    <w:r>
      <w:rPr>
        <w:rStyle w:val="PageNumber"/>
        <w:b/>
      </w:rPr>
      <w:t>AMENDMENT 41</w:t>
    </w:r>
  </w:p>
  <w:p w14:paraId="77435C82" w14:textId="77777777" w:rsidR="009108B8" w:rsidRDefault="009108B8" w:rsidP="008D0B8B">
    <w:pPr>
      <w:pStyle w:val="Footer"/>
      <w:tabs>
        <w:tab w:val="left" w:pos="1900"/>
      </w:tabs>
      <w:rPr>
        <w:sz w:val="16"/>
        <w:szCs w:val="16"/>
      </w:rPr>
    </w:pPr>
    <w:r>
      <w:rPr>
        <w:sz w:val="16"/>
        <w:szCs w:val="16"/>
      </w:rPr>
      <w:tab/>
    </w:r>
    <w:r>
      <w:rPr>
        <w:sz w:val="16"/>
        <w:szCs w:val="16"/>
      </w:rPr>
      <w:tab/>
    </w:r>
  </w:p>
  <w:p w14:paraId="6E40D90A" w14:textId="77777777" w:rsidR="009108B8" w:rsidRDefault="009108B8">
    <w:pPr>
      <w:pStyle w:val="Footer"/>
      <w:tabs>
        <w:tab w:val="left" w:pos="1900"/>
      </w:tabs>
      <w:rPr>
        <w:sz w:val="16"/>
        <w:szCs w:val="16"/>
      </w:rPr>
    </w:pP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66CF5" w14:textId="77777777" w:rsidR="009108B8" w:rsidRDefault="009108B8" w:rsidP="008D0B8B">
    <w:pPr>
      <w:pStyle w:val="Footer"/>
      <w:tabs>
        <w:tab w:val="left" w:pos="4780"/>
      </w:tabs>
      <w:rPr>
        <w:sz w:val="16"/>
        <w:szCs w:val="16"/>
      </w:rPr>
    </w:pPr>
  </w:p>
  <w:p w14:paraId="25FEC55A" w14:textId="77777777" w:rsidR="009108B8" w:rsidRDefault="009108B8" w:rsidP="008D0B8B">
    <w:pPr>
      <w:pStyle w:val="Footer"/>
      <w:tabs>
        <w:tab w:val="left" w:pos="4780"/>
      </w:tabs>
      <w:rPr>
        <w:sz w:val="16"/>
        <w:szCs w:val="16"/>
      </w:rPr>
    </w:pPr>
    <w:r>
      <w:rPr>
        <w:noProof/>
        <w:sz w:val="16"/>
        <w:szCs w:val="16"/>
      </w:rPr>
      <mc:AlternateContent>
        <mc:Choice Requires="wps">
          <w:drawing>
            <wp:anchor distT="0" distB="0" distL="114300" distR="114300" simplePos="0" relativeHeight="251780608" behindDoc="0" locked="0" layoutInCell="1" allowOverlap="1" wp14:anchorId="604179E4" wp14:editId="4AEE16E4">
              <wp:simplePos x="0" y="0"/>
              <wp:positionH relativeFrom="column">
                <wp:posOffset>7620</wp:posOffset>
              </wp:positionH>
              <wp:positionV relativeFrom="paragraph">
                <wp:posOffset>48260</wp:posOffset>
              </wp:positionV>
              <wp:extent cx="5486400" cy="8890"/>
              <wp:effectExtent l="17145" t="19685" r="11430" b="19050"/>
              <wp:wrapNone/>
              <wp:docPr id="9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0" o:spid="_x0000_s1026" type="#_x0000_t32" style="position:absolute;margin-left:.6pt;margin-top:3.8pt;width:6in;height:.7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" strokeweight="1.75pt"/>
          </w:pict>
        </mc:Fallback>
      </mc:AlternateContent>
    </w:r>
  </w:p>
  <w:p w14:paraId="39E5D913" w14:textId="77777777" w:rsidR="009108B8" w:rsidRPr="009C37D6" w:rsidRDefault="009108B8" w:rsidP="008D0B8B">
    <w:pPr>
      <w:pStyle w:val="Footer"/>
      <w:framePr w:wrap="around" w:vAnchor="text" w:hAnchor="page" w:x="5836" w:y="141"/>
      <w:rPr>
        <w:rStyle w:val="PageNumber"/>
      </w:rPr>
    </w:pPr>
    <w:r w:rsidRPr="009C37D6">
      <w:rPr>
        <w:rStyle w:val="PageNumber"/>
        <w:b/>
        <w:sz w:val="32"/>
        <w:szCs w:val="32"/>
      </w:rPr>
      <w:fldChar w:fldCharType="begin"/>
    </w:r>
    <w:r w:rsidRPr="009C37D6">
      <w:rPr>
        <w:rStyle w:val="PageNumber"/>
        <w:b/>
        <w:sz w:val="32"/>
        <w:szCs w:val="32"/>
      </w:rPr>
      <w:instrText xml:space="preserve">PAGE  </w:instrText>
    </w:r>
    <w:r w:rsidRPr="009C37D6">
      <w:rPr>
        <w:rStyle w:val="PageNumber"/>
        <w:b/>
        <w:sz w:val="32"/>
        <w:szCs w:val="32"/>
      </w:rPr>
      <w:fldChar w:fldCharType="separate"/>
    </w:r>
    <w:r w:rsidR="00121B59">
      <w:rPr>
        <w:rStyle w:val="PageNumber"/>
        <w:b/>
        <w:noProof/>
        <w:sz w:val="32"/>
        <w:szCs w:val="32"/>
      </w:rPr>
      <w:t>152</w:t>
    </w:r>
    <w:r w:rsidRPr="009C37D6">
      <w:rPr>
        <w:rStyle w:val="PageNumber"/>
        <w:b/>
        <w:sz w:val="32"/>
        <w:szCs w:val="32"/>
      </w:rPr>
      <w:fldChar w:fldCharType="end"/>
    </w:r>
  </w:p>
  <w:p w14:paraId="41C57D67" w14:textId="087B7DDA" w:rsidR="009108B8" w:rsidRPr="000E374B" w:rsidRDefault="009108B8" w:rsidP="00E643ED">
    <w:pPr>
      <w:pStyle w:val="Footer"/>
      <w:rPr>
        <w:rStyle w:val="PageNumber"/>
        <w:b/>
      </w:rPr>
    </w:pPr>
    <w:r>
      <w:rPr>
        <w:rStyle w:val="PageNumber"/>
        <w:b/>
      </w:rPr>
      <w:t>South Atlantic Snapper Grouper</w:t>
    </w:r>
    <w:r>
      <w:rPr>
        <w:rStyle w:val="PageNumber"/>
        <w:b/>
      </w:rPr>
      <w:tab/>
    </w:r>
    <w:r>
      <w:rPr>
        <w:rStyle w:val="PageNumber"/>
        <w:b/>
      </w:rPr>
      <w:tab/>
      <w:t xml:space="preserve">     Chapter 7</w:t>
    </w:r>
    <w:r w:rsidRPr="000E374B">
      <w:rPr>
        <w:rStyle w:val="PageNumber"/>
        <w:b/>
      </w:rPr>
      <w:t xml:space="preserve">. </w:t>
    </w:r>
    <w:r>
      <w:rPr>
        <w:rStyle w:val="PageNumber"/>
        <w:b/>
      </w:rPr>
      <w:t>IPT Members</w:t>
    </w:r>
    <w:r w:rsidRPr="000E374B">
      <w:rPr>
        <w:rStyle w:val="PageNumber"/>
        <w:b/>
      </w:rPr>
      <w:t xml:space="preserve"> </w:t>
    </w:r>
  </w:p>
  <w:p w14:paraId="5068A78B" w14:textId="77777777" w:rsidR="009108B8" w:rsidRPr="004E40A4" w:rsidRDefault="009108B8" w:rsidP="00E643ED">
    <w:pPr>
      <w:pStyle w:val="Footer"/>
      <w:rPr>
        <w:b/>
        <w:sz w:val="20"/>
        <w:szCs w:val="20"/>
      </w:rPr>
    </w:pPr>
    <w:r>
      <w:rPr>
        <w:rStyle w:val="PageNumber"/>
        <w:b/>
      </w:rPr>
      <w:t>AMENDMENT 41</w:t>
    </w:r>
  </w:p>
  <w:p w14:paraId="59F05224" w14:textId="77777777" w:rsidR="009108B8" w:rsidRDefault="009108B8" w:rsidP="008D0B8B">
    <w:pPr>
      <w:pStyle w:val="Footer"/>
      <w:tabs>
        <w:tab w:val="left" w:pos="1900"/>
      </w:tabs>
      <w:rPr>
        <w:sz w:val="16"/>
        <w:szCs w:val="16"/>
      </w:rPr>
    </w:pPr>
    <w:r>
      <w:rPr>
        <w:sz w:val="16"/>
        <w:szCs w:val="16"/>
      </w:rPr>
      <w:tab/>
    </w:r>
    <w:r>
      <w:rPr>
        <w:sz w:val="16"/>
        <w:szCs w:val="16"/>
      </w:rPr>
      <w:tab/>
    </w:r>
  </w:p>
  <w:p w14:paraId="738C1654" w14:textId="77777777" w:rsidR="009108B8" w:rsidRDefault="009108B8">
    <w:pPr>
      <w:pStyle w:val="Footer"/>
      <w:tabs>
        <w:tab w:val="left" w:pos="1900"/>
      </w:tabs>
      <w:rPr>
        <w:sz w:val="16"/>
        <w:szCs w:val="16"/>
      </w:rPr>
    </w:pP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55A75" w14:textId="77777777" w:rsidR="009108B8" w:rsidRPr="00C26358" w:rsidRDefault="009108B8" w:rsidP="008D0B8B">
    <w:pPr>
      <w:pStyle w:val="Footer"/>
      <w:framePr w:wrap="around" w:vAnchor="text" w:hAnchor="page" w:x="5806" w:y="58"/>
      <w:rPr>
        <w:rStyle w:val="PageNumber"/>
      </w:rPr>
    </w:pPr>
    <w:r w:rsidRPr="00C26358">
      <w:rPr>
        <w:rStyle w:val="PageNumber"/>
        <w:b/>
        <w:sz w:val="32"/>
        <w:szCs w:val="32"/>
      </w:rPr>
      <w:fldChar w:fldCharType="begin"/>
    </w:r>
    <w:r w:rsidRPr="00C26358">
      <w:rPr>
        <w:rStyle w:val="PageNumber"/>
        <w:b/>
        <w:sz w:val="32"/>
        <w:szCs w:val="32"/>
      </w:rPr>
      <w:instrText xml:space="preserve">PAGE  </w:instrText>
    </w:r>
    <w:r w:rsidRPr="00C26358">
      <w:rPr>
        <w:rStyle w:val="PageNumber"/>
        <w:b/>
        <w:sz w:val="32"/>
        <w:szCs w:val="32"/>
      </w:rPr>
      <w:fldChar w:fldCharType="separate"/>
    </w:r>
    <w:r w:rsidR="00121B59">
      <w:rPr>
        <w:rStyle w:val="PageNumber"/>
        <w:b/>
        <w:noProof/>
        <w:sz w:val="32"/>
        <w:szCs w:val="32"/>
      </w:rPr>
      <w:t>153</w:t>
    </w:r>
    <w:r w:rsidRPr="00C26358">
      <w:rPr>
        <w:rStyle w:val="PageNumber"/>
        <w:b/>
        <w:sz w:val="32"/>
        <w:szCs w:val="32"/>
      </w:rPr>
      <w:fldChar w:fldCharType="end"/>
    </w:r>
  </w:p>
  <w:p w14:paraId="3C5BEB6F" w14:textId="0AB0D1DB" w:rsidR="009108B8" w:rsidRDefault="009108B8" w:rsidP="00283664">
    <w:pPr>
      <w:pStyle w:val="Footer"/>
      <w:rPr>
        <w:rStyle w:val="PageNumber"/>
        <w:b/>
        <w:sz w:val="20"/>
        <w:szCs w:val="20"/>
      </w:rPr>
    </w:pPr>
    <w:r>
      <w:rPr>
        <w:b/>
        <w:noProof/>
      </w:rPr>
      <mc:AlternateContent>
        <mc:Choice Requires="wps">
          <w:drawing>
            <wp:anchor distT="0" distB="0" distL="114300" distR="114300" simplePos="0" relativeHeight="251670016" behindDoc="0" locked="0" layoutInCell="1" allowOverlap="1" wp14:anchorId="44761EFF" wp14:editId="7F6116F4">
              <wp:simplePos x="0" y="0"/>
              <wp:positionH relativeFrom="column">
                <wp:posOffset>55245</wp:posOffset>
              </wp:positionH>
              <wp:positionV relativeFrom="paragraph">
                <wp:posOffset>17651</wp:posOffset>
              </wp:positionV>
              <wp:extent cx="5486400" cy="8890"/>
              <wp:effectExtent l="0" t="0" r="25400" b="41910"/>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4.35pt;margin-top:1.4pt;width:6in;height:.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" strokeweight="1.75pt"/>
          </w:pict>
        </mc:Fallback>
      </mc:AlternateContent>
    </w:r>
  </w:p>
  <w:p w14:paraId="2D63CC41" w14:textId="1A3D1788" w:rsidR="009108B8" w:rsidRPr="000E374B" w:rsidRDefault="009108B8" w:rsidP="00283664">
    <w:pPr>
      <w:pStyle w:val="Footer"/>
      <w:rPr>
        <w:rStyle w:val="PageNumber"/>
        <w:b/>
      </w:rPr>
    </w:pPr>
    <w:r w:rsidRPr="000E374B">
      <w:rPr>
        <w:rStyle w:val="PageNumber"/>
        <w:b/>
      </w:rPr>
      <w:t>South Atlantic Snapper Grouper                                  Chapter 8. List of Agencies Consulted</w:t>
    </w:r>
  </w:p>
  <w:p w14:paraId="689FA5AA" w14:textId="43764C36" w:rsidR="009108B8" w:rsidRPr="00CF13EE" w:rsidRDefault="009108B8" w:rsidP="00283664">
    <w:pPr>
      <w:pStyle w:val="Footer"/>
      <w:rPr>
        <w:b/>
      </w:rPr>
    </w:pPr>
    <w:r>
      <w:rPr>
        <w:rStyle w:val="PageNumber"/>
        <w:b/>
      </w:rPr>
      <w:t>AMENDMENT 41</w:t>
    </w:r>
    <w:r w:rsidRPr="004E40A4">
      <w:rPr>
        <w:b/>
        <w:sz w:val="20"/>
        <w:szCs w:val="20"/>
      </w:rPr>
      <w:t xml:space="preserve"> </w:t>
    </w:r>
    <w:r w:rsidRPr="00CF13EE">
      <w:rPr>
        <w:rStyle w:val="PageNumber"/>
        <w:b/>
      </w:rPr>
      <w:tab/>
    </w:r>
    <w:r w:rsidRPr="00CF13EE">
      <w:rPr>
        <w:rStyle w:val="PageNumber"/>
        <w:b/>
      </w:rPr>
      <w:tab/>
    </w:r>
    <w:r>
      <w:rPr>
        <w:rStyle w:val="PageNumber"/>
        <w:b/>
      </w:rPr>
      <w:t xml:space="preserve">            </w:t>
    </w:r>
  </w:p>
  <w:p w14:paraId="4FA3529C" w14:textId="77777777" w:rsidR="009108B8" w:rsidRPr="00C26358" w:rsidRDefault="009108B8">
    <w:pPr>
      <w:pStyle w:val="Footer"/>
      <w:tabs>
        <w:tab w:val="left" w:pos="1900"/>
      </w:tabs>
      <w:rPr>
        <w:b/>
      </w:rPr>
    </w:pPr>
    <w:r w:rsidRPr="00C26358">
      <w:rPr>
        <w:b/>
      </w:rPr>
      <w:tab/>
    </w:r>
    <w:r w:rsidRPr="00C26358">
      <w:rPr>
        <w:b/>
      </w:rPr>
      <w:tab/>
    </w:r>
    <w:r w:rsidRPr="00C26358">
      <w:rPr>
        <w:b/>
      </w:rPr>
      <w:tab/>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0B78F" w14:textId="77777777" w:rsidR="009108B8" w:rsidRPr="00C26358" w:rsidRDefault="009108B8" w:rsidP="008D0B8B">
    <w:pPr>
      <w:pStyle w:val="Footer"/>
      <w:framePr w:wrap="around" w:vAnchor="text" w:hAnchor="page" w:x="5806" w:y="58"/>
      <w:rPr>
        <w:rStyle w:val="PageNumber"/>
      </w:rPr>
    </w:pPr>
    <w:r w:rsidRPr="00C26358">
      <w:rPr>
        <w:rStyle w:val="PageNumber"/>
        <w:b/>
        <w:sz w:val="32"/>
        <w:szCs w:val="32"/>
      </w:rPr>
      <w:fldChar w:fldCharType="begin"/>
    </w:r>
    <w:r w:rsidRPr="00C26358">
      <w:rPr>
        <w:rStyle w:val="PageNumber"/>
        <w:b/>
        <w:sz w:val="32"/>
        <w:szCs w:val="32"/>
      </w:rPr>
      <w:instrText xml:space="preserve">PAGE  </w:instrText>
    </w:r>
    <w:r w:rsidRPr="00C26358">
      <w:rPr>
        <w:rStyle w:val="PageNumber"/>
        <w:b/>
        <w:sz w:val="32"/>
        <w:szCs w:val="32"/>
      </w:rPr>
      <w:fldChar w:fldCharType="separate"/>
    </w:r>
    <w:r w:rsidR="00121B59">
      <w:rPr>
        <w:rStyle w:val="PageNumber"/>
        <w:b/>
        <w:noProof/>
        <w:sz w:val="32"/>
        <w:szCs w:val="32"/>
      </w:rPr>
      <w:t>163</w:t>
    </w:r>
    <w:r w:rsidRPr="00C26358">
      <w:rPr>
        <w:rStyle w:val="PageNumber"/>
        <w:b/>
        <w:sz w:val="32"/>
        <w:szCs w:val="32"/>
      </w:rPr>
      <w:fldChar w:fldCharType="end"/>
    </w:r>
  </w:p>
  <w:p w14:paraId="10CEB082" w14:textId="674133AA" w:rsidR="009108B8" w:rsidRPr="000E374B" w:rsidRDefault="009108B8" w:rsidP="00283664">
    <w:pPr>
      <w:pStyle w:val="Footer"/>
      <w:rPr>
        <w:rStyle w:val="PageNumber"/>
        <w:b/>
      </w:rPr>
    </w:pPr>
    <w:r w:rsidRPr="00B96F9B">
      <w:rPr>
        <w:b/>
        <w:noProof/>
      </w:rPr>
      <mc:AlternateContent>
        <mc:Choice Requires="wps">
          <w:drawing>
            <wp:anchor distT="0" distB="0" distL="114300" distR="114300" simplePos="0" relativeHeight="251658752" behindDoc="0" locked="0" layoutInCell="1" allowOverlap="1" wp14:anchorId="66D5C4AA" wp14:editId="31E69B62">
              <wp:simplePos x="0" y="0"/>
              <wp:positionH relativeFrom="column">
                <wp:posOffset>55245</wp:posOffset>
              </wp:positionH>
              <wp:positionV relativeFrom="paragraph">
                <wp:posOffset>-39370</wp:posOffset>
              </wp:positionV>
              <wp:extent cx="5486400" cy="8890"/>
              <wp:effectExtent l="0" t="0" r="19050" b="2921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4.35pt;margin-top:-3.1pt;width:6in;height:.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" strokeweight="1.75pt"/>
          </w:pict>
        </mc:Fallback>
      </mc:AlternateContent>
    </w:r>
    <w:r w:rsidRPr="000E374B">
      <w:rPr>
        <w:b/>
        <w:noProof/>
      </w:rPr>
      <mc:AlternateContent>
        <mc:Choice Requires="wps">
          <w:drawing>
            <wp:anchor distT="0" distB="0" distL="114300" distR="114300" simplePos="0" relativeHeight="251659776" behindDoc="0" locked="0" layoutInCell="1" allowOverlap="1" wp14:anchorId="76E3BF1D" wp14:editId="1A27A470">
              <wp:simplePos x="0" y="0"/>
              <wp:positionH relativeFrom="column">
                <wp:posOffset>55245</wp:posOffset>
              </wp:positionH>
              <wp:positionV relativeFrom="paragraph">
                <wp:posOffset>-37465</wp:posOffset>
              </wp:positionV>
              <wp:extent cx="5486400" cy="8890"/>
              <wp:effectExtent l="0" t="0" r="19050" b="29210"/>
              <wp:wrapNone/>
              <wp:docPr id="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4.35pt;margin-top:-2.95pt;width:6in;height:.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" strokeweight="1.75pt"/>
          </w:pict>
        </mc:Fallback>
      </mc:AlternateContent>
    </w:r>
    <w:r>
      <w:rPr>
        <w:rStyle w:val="PageNumber"/>
        <w:b/>
      </w:rPr>
      <w:t>South Atlantic Snapper Grouper</w:t>
    </w:r>
    <w:r w:rsidRPr="000E374B">
      <w:rPr>
        <w:rStyle w:val="PageNumber"/>
        <w:b/>
      </w:rPr>
      <w:t xml:space="preserve">                                            Chapter 9. References </w:t>
    </w:r>
  </w:p>
  <w:p w14:paraId="6456309C" w14:textId="558515FD" w:rsidR="009108B8" w:rsidRPr="00CF13EE" w:rsidRDefault="009108B8" w:rsidP="00283664">
    <w:pPr>
      <w:pStyle w:val="Footer"/>
      <w:rPr>
        <w:b/>
      </w:rPr>
    </w:pPr>
    <w:r>
      <w:rPr>
        <w:rStyle w:val="PageNumber"/>
        <w:b/>
      </w:rPr>
      <w:t>AMENDMET 41</w:t>
    </w:r>
    <w:r w:rsidRPr="004E40A4">
      <w:rPr>
        <w:b/>
        <w:sz w:val="20"/>
        <w:szCs w:val="20"/>
      </w:rPr>
      <w:t xml:space="preserve"> </w:t>
    </w:r>
    <w:r w:rsidRPr="00CF13EE">
      <w:rPr>
        <w:rStyle w:val="PageNumber"/>
        <w:b/>
      </w:rPr>
      <w:tab/>
    </w:r>
    <w:r w:rsidRPr="00CF13EE">
      <w:rPr>
        <w:rStyle w:val="PageNumber"/>
        <w:b/>
      </w:rPr>
      <w:tab/>
    </w:r>
  </w:p>
  <w:p w14:paraId="5993B227" w14:textId="77777777" w:rsidR="009108B8" w:rsidRPr="00C26358" w:rsidRDefault="009108B8">
    <w:pPr>
      <w:pStyle w:val="Footer"/>
      <w:tabs>
        <w:tab w:val="left" w:pos="1900"/>
      </w:tabs>
      <w:rPr>
        <w:b/>
      </w:rPr>
    </w:pPr>
    <w:r w:rsidRPr="00C26358">
      <w:rPr>
        <w:b/>
      </w:rPr>
      <w:tab/>
    </w:r>
    <w:r w:rsidRPr="00C26358">
      <w:rPr>
        <w:b/>
      </w:rPr>
      <w:tab/>
    </w:r>
    <w:r w:rsidRPr="00C26358">
      <w:rPr>
        <w:b/>
      </w:rPr>
      <w:tab/>
    </w: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35593" w14:textId="77777777" w:rsidR="009108B8" w:rsidRPr="00CF13EE" w:rsidRDefault="009108B8" w:rsidP="00686DFF">
    <w:pPr>
      <w:pStyle w:val="Footer"/>
      <w:rPr>
        <w:b/>
      </w:rPr>
    </w:pPr>
    <w:r>
      <w:rPr>
        <w:b/>
        <w:noProof/>
      </w:rPr>
      <mc:AlternateContent>
        <mc:Choice Requires="wps">
          <w:drawing>
            <wp:anchor distT="0" distB="0" distL="114300" distR="114300" simplePos="0" relativeHeight="251723264" behindDoc="0" locked="0" layoutInCell="1" allowOverlap="1" wp14:anchorId="7DDC1B8D" wp14:editId="0019D947">
              <wp:simplePos x="0" y="0"/>
              <wp:positionH relativeFrom="column">
                <wp:posOffset>55245</wp:posOffset>
              </wp:positionH>
              <wp:positionV relativeFrom="paragraph">
                <wp:posOffset>-95885</wp:posOffset>
              </wp:positionV>
              <wp:extent cx="5486400" cy="8890"/>
              <wp:effectExtent l="17145" t="18415" r="11430" b="20320"/>
              <wp:wrapNone/>
              <wp:docPr id="4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4.35pt;margin-top:-7.55pt;width:6in;height:.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" strokeweight="1.75pt"/>
          </w:pict>
        </mc:Fallback>
      </mc:AlternateContent>
    </w:r>
    <w:r>
      <w:rPr>
        <w:b/>
        <w:noProof/>
      </w:rPr>
      <mc:AlternateContent>
        <mc:Choice Requires="wps">
          <w:drawing>
            <wp:anchor distT="0" distB="0" distL="114300" distR="114300" simplePos="0" relativeHeight="251722240" behindDoc="0" locked="0" layoutInCell="1" allowOverlap="1" wp14:anchorId="7AB11F61" wp14:editId="780DBAFB">
              <wp:simplePos x="0" y="0"/>
              <wp:positionH relativeFrom="column">
                <wp:posOffset>55245</wp:posOffset>
              </wp:positionH>
              <wp:positionV relativeFrom="paragraph">
                <wp:posOffset>-113665</wp:posOffset>
              </wp:positionV>
              <wp:extent cx="5486400" cy="8890"/>
              <wp:effectExtent l="17145" t="19685" r="11430" b="19050"/>
              <wp:wrapNone/>
              <wp:docPr id="4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4.35pt;margin-top:-8.95pt;width:6in;height:.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" strokeweight="1.75pt"/>
          </w:pict>
        </mc:Fallback>
      </mc:AlternateContent>
    </w:r>
    <w:r w:rsidRPr="002B3E29">
      <w:rPr>
        <w:rStyle w:val="PageNumber"/>
        <w:b/>
        <w:sz w:val="22"/>
        <w:szCs w:val="22"/>
      </w:rPr>
      <w:t>South Atlantic Coastal Migratory Pelagics</w:t>
    </w:r>
    <w:r w:rsidRPr="00CF13EE">
      <w:rPr>
        <w:rStyle w:val="PageNumber"/>
        <w:b/>
      </w:rPr>
      <w:tab/>
    </w:r>
    <w:r w:rsidRPr="00CF13EE">
      <w:rPr>
        <w:rStyle w:val="PageNumber"/>
        <w:b/>
      </w:rPr>
      <w:tab/>
    </w:r>
    <w:r>
      <w:rPr>
        <w:rStyle w:val="PageNumber"/>
        <w:b/>
      </w:rPr>
      <w:t xml:space="preserve">                   Appendix C. Management History</w:t>
    </w:r>
  </w:p>
  <w:p w14:paraId="71A6DCD7" w14:textId="77777777" w:rsidR="009108B8" w:rsidRPr="00C26358" w:rsidRDefault="009108B8" w:rsidP="00686DFF">
    <w:pPr>
      <w:pStyle w:val="Footer"/>
      <w:tabs>
        <w:tab w:val="left" w:pos="1900"/>
      </w:tabs>
      <w:rPr>
        <w:b/>
      </w:rPr>
    </w:pPr>
    <w:r>
      <w:rPr>
        <w:b/>
      </w:rPr>
      <w:t xml:space="preserve">REGULATORY AMENDMENT </w:t>
    </w:r>
    <w:r w:rsidRPr="00C26358">
      <w:rPr>
        <w:b/>
      </w:rPr>
      <w:tab/>
    </w:r>
    <w:r w:rsidRPr="00C26358">
      <w:rPr>
        <w:b/>
      </w:rPr>
      <w:tab/>
    </w:r>
    <w:r w:rsidRPr="00C26358">
      <w:rPr>
        <w:b/>
      </w:rPr>
      <w:tab/>
    </w:r>
  </w:p>
  <w:p w14:paraId="29730849" w14:textId="77777777" w:rsidR="009108B8" w:rsidRDefault="009108B8">
    <w:pPr>
      <w:pStyle w:val="Footer"/>
      <w:jc w:val="center"/>
    </w:pPr>
  </w:p>
  <w:p w14:paraId="3D11ACD0" w14:textId="77777777" w:rsidR="009108B8" w:rsidRPr="006A5EAA" w:rsidRDefault="009108B8" w:rsidP="008D0B8B">
    <w:pPr>
      <w:pStyle w:val="Footer"/>
      <w:rPr>
        <w:sz w:val="16"/>
        <w:szCs w:val="16"/>
      </w:rPr>
    </w:pPr>
    <w:r w:rsidRPr="00C26358">
      <w:rPr>
        <w:b/>
      </w:rPr>
      <w:tab/>
    </w: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0E733" w14:textId="706D1267" w:rsidR="009108B8" w:rsidRPr="003E5656" w:rsidRDefault="009108B8" w:rsidP="008D0B8B">
    <w:pPr>
      <w:pStyle w:val="Footer"/>
      <w:framePr w:wrap="around" w:vAnchor="text" w:hAnchor="page" w:x="5806" w:y="58"/>
      <w:rPr>
        <w:rStyle w:val="PageNumber"/>
      </w:rPr>
    </w:pPr>
    <w:r>
      <w:rPr>
        <w:rStyle w:val="PageNumber"/>
        <w:b/>
      </w:rPr>
      <w:t>A</w:t>
    </w:r>
    <w:r w:rsidRPr="000E374B">
      <w:rPr>
        <w:rStyle w:val="PageNumber"/>
        <w:b/>
      </w:rPr>
      <w:t>-</w:t>
    </w:r>
    <w:r w:rsidRPr="000E374B">
      <w:rPr>
        <w:rStyle w:val="PageNumber"/>
        <w:b/>
      </w:rPr>
      <w:fldChar w:fldCharType="begin"/>
    </w:r>
    <w:r w:rsidRPr="000E374B">
      <w:rPr>
        <w:rStyle w:val="PageNumber"/>
        <w:b/>
      </w:rPr>
      <w:instrText xml:space="preserve">PAGE  </w:instrText>
    </w:r>
    <w:r w:rsidRPr="000E374B">
      <w:rPr>
        <w:rStyle w:val="PageNumber"/>
        <w:b/>
      </w:rPr>
      <w:fldChar w:fldCharType="separate"/>
    </w:r>
    <w:r w:rsidR="00121B59">
      <w:rPr>
        <w:rStyle w:val="PageNumber"/>
        <w:b/>
        <w:noProof/>
      </w:rPr>
      <w:t>1</w:t>
    </w:r>
    <w:r w:rsidRPr="000E374B">
      <w:rPr>
        <w:rStyle w:val="PageNumber"/>
        <w:b/>
      </w:rPr>
      <w:fldChar w:fldCharType="end"/>
    </w:r>
  </w:p>
  <w:p w14:paraId="3E8C7E00" w14:textId="2F49AEA1" w:rsidR="009108B8" w:rsidRDefault="009108B8" w:rsidP="00E754D4">
    <w:pPr>
      <w:pStyle w:val="Footer"/>
      <w:tabs>
        <w:tab w:val="clear" w:pos="4320"/>
        <w:tab w:val="clear" w:pos="8640"/>
      </w:tabs>
      <w:rPr>
        <w:rStyle w:val="PageNumber"/>
        <w:b/>
      </w:rPr>
    </w:pPr>
    <w:r>
      <w:rPr>
        <w:b/>
        <w:noProof/>
      </w:rPr>
      <w:t>South Atlantic Snapper Grouper</w:t>
    </w:r>
    <w:r w:rsidRPr="004E40A4">
      <w:rPr>
        <w:rStyle w:val="PageNumber"/>
        <w:b/>
        <w:sz w:val="20"/>
        <w:szCs w:val="20"/>
      </w:rPr>
      <w:t xml:space="preserve"> </w:t>
    </w:r>
    <w:r>
      <w:rPr>
        <w:rStyle w:val="PageNumber"/>
        <w:b/>
        <w:sz w:val="20"/>
        <w:szCs w:val="20"/>
      </w:rPr>
      <w:t xml:space="preserve">                                         </w:t>
    </w:r>
    <w:r>
      <w:rPr>
        <w:rStyle w:val="PageNumber"/>
        <w:b/>
      </w:rPr>
      <w:t>Appendix A</w:t>
    </w:r>
    <w:r w:rsidRPr="000E374B">
      <w:rPr>
        <w:rStyle w:val="PageNumber"/>
        <w:b/>
      </w:rPr>
      <w:t xml:space="preserve">. </w:t>
    </w:r>
    <w:r>
      <w:rPr>
        <w:rStyle w:val="PageNumber"/>
        <w:b/>
      </w:rPr>
      <w:t>Considered but Rejected</w:t>
    </w:r>
  </w:p>
  <w:p w14:paraId="38A26865" w14:textId="194B2BBD" w:rsidR="009108B8" w:rsidRPr="000E374B" w:rsidRDefault="009108B8" w:rsidP="00E754D4">
    <w:pPr>
      <w:pStyle w:val="Footer"/>
      <w:tabs>
        <w:tab w:val="clear" w:pos="4320"/>
        <w:tab w:val="clear" w:pos="8640"/>
      </w:tabs>
      <w:ind w:left="180" w:hanging="180"/>
      <w:rPr>
        <w:rStyle w:val="PageNumber"/>
        <w:b/>
      </w:rPr>
    </w:pPr>
    <w:r>
      <w:rPr>
        <w:rStyle w:val="PageNumber"/>
        <w:b/>
      </w:rPr>
      <w:t>AMENDMENT 41</w:t>
    </w:r>
    <w:r w:rsidRPr="00C26358">
      <w:rPr>
        <w:b/>
      </w:rPr>
      <w:tab/>
    </w:r>
    <w:r>
      <w:rPr>
        <w:b/>
      </w:rPr>
      <w:t xml:space="preserve">                                                                                   </w:t>
    </w:r>
  </w:p>
  <w:p w14:paraId="498BAE80" w14:textId="6E8D743B" w:rsidR="009108B8" w:rsidRPr="00C26358" w:rsidRDefault="009108B8" w:rsidP="00913F18">
    <w:pPr>
      <w:pStyle w:val="Footer"/>
      <w:tabs>
        <w:tab w:val="left" w:pos="1900"/>
      </w:tabs>
      <w:rPr>
        <w:b/>
      </w:rPr>
    </w:pPr>
    <w:r w:rsidRPr="00C26358">
      <w:rPr>
        <w:b/>
      </w:rPr>
      <w:tab/>
    </w: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61F96" w14:textId="77777777" w:rsidR="009108B8" w:rsidRPr="003E5656" w:rsidRDefault="009108B8" w:rsidP="008D0B8B">
    <w:pPr>
      <w:pStyle w:val="Footer"/>
      <w:framePr w:wrap="around" w:vAnchor="text" w:hAnchor="page" w:x="5806" w:y="58"/>
      <w:rPr>
        <w:rStyle w:val="PageNumber"/>
      </w:rPr>
    </w:pPr>
    <w:r>
      <w:rPr>
        <w:rStyle w:val="PageNumber"/>
        <w:b/>
      </w:rPr>
      <w:t>B</w:t>
    </w:r>
    <w:r w:rsidRPr="000E374B">
      <w:rPr>
        <w:rStyle w:val="PageNumber"/>
        <w:b/>
      </w:rPr>
      <w:t>-</w:t>
    </w:r>
    <w:r w:rsidRPr="000E374B">
      <w:rPr>
        <w:rStyle w:val="PageNumber"/>
        <w:b/>
      </w:rPr>
      <w:fldChar w:fldCharType="begin"/>
    </w:r>
    <w:r w:rsidRPr="000E374B">
      <w:rPr>
        <w:rStyle w:val="PageNumber"/>
        <w:b/>
      </w:rPr>
      <w:instrText xml:space="preserve">PAGE  </w:instrText>
    </w:r>
    <w:r w:rsidRPr="000E374B">
      <w:rPr>
        <w:rStyle w:val="PageNumber"/>
        <w:b/>
      </w:rPr>
      <w:fldChar w:fldCharType="separate"/>
    </w:r>
    <w:r w:rsidR="00121B59">
      <w:rPr>
        <w:rStyle w:val="PageNumber"/>
        <w:b/>
        <w:noProof/>
      </w:rPr>
      <w:t>5</w:t>
    </w:r>
    <w:r w:rsidRPr="000E374B">
      <w:rPr>
        <w:rStyle w:val="PageNumber"/>
        <w:b/>
      </w:rPr>
      <w:fldChar w:fldCharType="end"/>
    </w:r>
  </w:p>
  <w:p w14:paraId="3FA68B58" w14:textId="07B5D5BE" w:rsidR="009108B8" w:rsidRPr="000E374B" w:rsidRDefault="009108B8" w:rsidP="00913F18">
    <w:pPr>
      <w:pStyle w:val="Footer"/>
      <w:rPr>
        <w:rStyle w:val="PageNumber"/>
        <w:b/>
      </w:rPr>
    </w:pPr>
    <w:r>
      <w:rPr>
        <w:b/>
        <w:noProof/>
      </w:rPr>
      <w:t>South Atlantic Snapper Grouper</w:t>
    </w:r>
    <w:r w:rsidRPr="004E40A4">
      <w:rPr>
        <w:rStyle w:val="PageNumber"/>
        <w:b/>
        <w:sz w:val="20"/>
        <w:szCs w:val="20"/>
      </w:rPr>
      <w:t xml:space="preserve"> </w:t>
    </w:r>
    <w:r>
      <w:rPr>
        <w:rStyle w:val="PageNumber"/>
        <w:b/>
        <w:sz w:val="20"/>
        <w:szCs w:val="20"/>
      </w:rPr>
      <w:t xml:space="preserve">                                                             </w:t>
    </w:r>
    <w:r>
      <w:rPr>
        <w:rStyle w:val="PageNumber"/>
        <w:b/>
      </w:rPr>
      <w:t>Appendix B</w:t>
    </w:r>
    <w:r w:rsidRPr="000E374B">
      <w:rPr>
        <w:rStyle w:val="PageNumber"/>
        <w:b/>
      </w:rPr>
      <w:t xml:space="preserve">. Glossary </w:t>
    </w:r>
  </w:p>
  <w:p w14:paraId="733C7E3D" w14:textId="0D5D56E5" w:rsidR="009108B8" w:rsidRPr="006B06F9" w:rsidRDefault="009108B8" w:rsidP="00913F18">
    <w:pPr>
      <w:pStyle w:val="Footer"/>
      <w:tabs>
        <w:tab w:val="left" w:pos="1900"/>
      </w:tabs>
      <w:rPr>
        <w:b/>
      </w:rPr>
    </w:pPr>
    <w:r w:rsidRPr="006B06F9">
      <w:rPr>
        <w:rStyle w:val="PageNumber"/>
        <w:b/>
      </w:rPr>
      <w:t xml:space="preserve">AMENDMENT </w:t>
    </w:r>
    <w:r>
      <w:rPr>
        <w:rStyle w:val="PageNumber"/>
        <w:b/>
      </w:rPr>
      <w:t>41</w:t>
    </w:r>
    <w:r w:rsidRPr="006B06F9">
      <w:rPr>
        <w:b/>
      </w:rPr>
      <w:tab/>
    </w:r>
    <w:r w:rsidRPr="006B06F9">
      <w:rPr>
        <w:b/>
      </w:rPr>
      <w:tab/>
    </w: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6FE8E" w14:textId="4347BE30" w:rsidR="009108B8" w:rsidRDefault="009108B8" w:rsidP="001129C8">
    <w:pPr>
      <w:pStyle w:val="Footer"/>
      <w:framePr w:wrap="around" w:vAnchor="text" w:hAnchor="margin" w:xAlign="center" w:y="1"/>
      <w:rPr>
        <w:rStyle w:val="PageNumber"/>
      </w:rPr>
    </w:pPr>
    <w:r>
      <w:rPr>
        <w:rStyle w:val="PageNumber"/>
      </w:rPr>
      <w:t>C-</w:t>
    </w:r>
    <w:r>
      <w:rPr>
        <w:rStyle w:val="PageNumber"/>
      </w:rPr>
      <w:fldChar w:fldCharType="begin"/>
    </w:r>
    <w:r>
      <w:rPr>
        <w:rStyle w:val="PageNumber"/>
      </w:rPr>
      <w:instrText xml:space="preserve">PAGE  </w:instrText>
    </w:r>
    <w:r>
      <w:rPr>
        <w:rStyle w:val="PageNumber"/>
      </w:rPr>
      <w:fldChar w:fldCharType="separate"/>
    </w:r>
    <w:r w:rsidR="00121B59">
      <w:rPr>
        <w:rStyle w:val="PageNumber"/>
        <w:noProof/>
      </w:rPr>
      <w:t>23</w:t>
    </w:r>
    <w:r>
      <w:rPr>
        <w:rStyle w:val="PageNumber"/>
      </w:rPr>
      <w:fldChar w:fldCharType="end"/>
    </w:r>
  </w:p>
  <w:p w14:paraId="5C0CAD2B" w14:textId="64C82E28" w:rsidR="009108B8" w:rsidRDefault="009108B8" w:rsidP="008D0B8B">
    <w:pPr>
      <w:pStyle w:val="Footer"/>
      <w:rPr>
        <w:rStyle w:val="PageNumber"/>
        <w:b/>
      </w:rPr>
    </w:pPr>
    <w:r>
      <w:rPr>
        <w:rStyle w:val="PageNumber"/>
        <w:b/>
      </w:rPr>
      <w:t>South Atlantic Snapper Grouper</w:t>
    </w:r>
    <w:r w:rsidRPr="00CF13EE">
      <w:rPr>
        <w:rStyle w:val="PageNumber"/>
        <w:b/>
      </w:rPr>
      <w:tab/>
    </w:r>
    <w:r w:rsidRPr="00CF13EE">
      <w:rPr>
        <w:rStyle w:val="PageNumber"/>
        <w:b/>
      </w:rPr>
      <w:tab/>
    </w:r>
    <w:r>
      <w:rPr>
        <w:rStyle w:val="PageNumber"/>
        <w:b/>
      </w:rPr>
      <w:t xml:space="preserve">               Appendix C.  History of Management</w:t>
    </w:r>
  </w:p>
  <w:p w14:paraId="1EA911D8" w14:textId="63EC12A0" w:rsidR="009108B8" w:rsidRPr="00CF13EE" w:rsidRDefault="009108B8" w:rsidP="008D0B8B">
    <w:pPr>
      <w:pStyle w:val="Footer"/>
      <w:rPr>
        <w:b/>
      </w:rPr>
    </w:pPr>
    <w:r>
      <w:rPr>
        <w:rStyle w:val="PageNumber"/>
        <w:b/>
      </w:rPr>
      <w:t>AMENDMENT 41</w:t>
    </w:r>
  </w:p>
  <w:p w14:paraId="6D5C3564" w14:textId="77777777" w:rsidR="009108B8" w:rsidRPr="00C26358" w:rsidRDefault="009108B8">
    <w:pPr>
      <w:pStyle w:val="Footer"/>
      <w:tabs>
        <w:tab w:val="left" w:pos="1900"/>
      </w:tabs>
      <w:rPr>
        <w:b/>
      </w:rPr>
    </w:pPr>
    <w:r w:rsidRPr="00C26358">
      <w:rPr>
        <w:b/>
      </w:rPr>
      <w:tab/>
    </w:r>
    <w:r w:rsidRPr="00C26358">
      <w:rPr>
        <w:b/>
      </w:rPr>
      <w:tab/>
    </w:r>
    <w:r w:rsidRPr="00C26358">
      <w:rPr>
        <w:b/>
      </w:rPr>
      <w:tab/>
    </w: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C8CBB" w14:textId="132F9D48" w:rsidR="009108B8" w:rsidRDefault="009108B8" w:rsidP="001129C8">
    <w:pPr>
      <w:pStyle w:val="Footer"/>
      <w:framePr w:wrap="around" w:vAnchor="text" w:hAnchor="margin" w:xAlign="center" w:y="1"/>
      <w:rPr>
        <w:rStyle w:val="PageNumber"/>
      </w:rPr>
    </w:pPr>
    <w:r>
      <w:rPr>
        <w:rStyle w:val="PageNumber"/>
      </w:rPr>
      <w:t>D-</w:t>
    </w:r>
    <w:r>
      <w:rPr>
        <w:rStyle w:val="PageNumber"/>
      </w:rPr>
      <w:fldChar w:fldCharType="begin"/>
    </w:r>
    <w:r>
      <w:rPr>
        <w:rStyle w:val="PageNumber"/>
      </w:rPr>
      <w:instrText xml:space="preserve">PAGE  </w:instrText>
    </w:r>
    <w:r>
      <w:rPr>
        <w:rStyle w:val="PageNumber"/>
      </w:rPr>
      <w:fldChar w:fldCharType="separate"/>
    </w:r>
    <w:r w:rsidR="00121B59">
      <w:rPr>
        <w:rStyle w:val="PageNumber"/>
        <w:noProof/>
      </w:rPr>
      <w:t>3</w:t>
    </w:r>
    <w:r>
      <w:rPr>
        <w:rStyle w:val="PageNumber"/>
      </w:rPr>
      <w:fldChar w:fldCharType="end"/>
    </w:r>
  </w:p>
  <w:p w14:paraId="0A03E5B2" w14:textId="1A3F5F18" w:rsidR="009108B8" w:rsidRDefault="009108B8" w:rsidP="008D0B8B">
    <w:pPr>
      <w:pStyle w:val="Footer"/>
      <w:rPr>
        <w:rStyle w:val="PageNumber"/>
        <w:b/>
      </w:rPr>
    </w:pPr>
    <w:r>
      <w:rPr>
        <w:rStyle w:val="PageNumber"/>
        <w:b/>
      </w:rPr>
      <w:t>South Atlantic Snapper Grouper</w:t>
    </w:r>
    <w:r w:rsidRPr="00CF13EE">
      <w:rPr>
        <w:rStyle w:val="PageNumber"/>
        <w:b/>
      </w:rPr>
      <w:tab/>
    </w:r>
    <w:r w:rsidRPr="00CF13EE">
      <w:rPr>
        <w:rStyle w:val="PageNumber"/>
        <w:b/>
      </w:rPr>
      <w:tab/>
    </w:r>
    <w:r>
      <w:rPr>
        <w:rStyle w:val="PageNumber"/>
        <w:b/>
      </w:rPr>
      <w:t xml:space="preserve">               Appendix D.  BPA</w:t>
    </w:r>
  </w:p>
  <w:p w14:paraId="528FA021" w14:textId="77777777" w:rsidR="009108B8" w:rsidRPr="00CF13EE" w:rsidRDefault="009108B8" w:rsidP="008D0B8B">
    <w:pPr>
      <w:pStyle w:val="Footer"/>
      <w:rPr>
        <w:b/>
      </w:rPr>
    </w:pPr>
    <w:r>
      <w:rPr>
        <w:rStyle w:val="PageNumber"/>
        <w:b/>
      </w:rPr>
      <w:t>AMENDMENT 41</w:t>
    </w:r>
  </w:p>
  <w:p w14:paraId="6AFEE0E0" w14:textId="77777777" w:rsidR="009108B8" w:rsidRPr="00C26358" w:rsidRDefault="009108B8">
    <w:pPr>
      <w:pStyle w:val="Footer"/>
      <w:tabs>
        <w:tab w:val="left" w:pos="1900"/>
      </w:tabs>
      <w:rPr>
        <w:b/>
      </w:rPr>
    </w:pPr>
    <w:r w:rsidRPr="00C26358">
      <w:rPr>
        <w:b/>
      </w:rPr>
      <w:tab/>
    </w:r>
    <w:r w:rsidRPr="00C26358">
      <w:rPr>
        <w:b/>
      </w:rPr>
      <w:tab/>
    </w:r>
    <w:r w:rsidRPr="00C26358">
      <w:rPr>
        <w:b/>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4055A" w14:textId="77777777" w:rsidR="009108B8" w:rsidRPr="00504F53" w:rsidRDefault="009108B8">
    <w:pPr>
      <w:pStyle w:val="Footer"/>
      <w:framePr w:wrap="around" w:vAnchor="text" w:hAnchor="margin" w:xAlign="center" w:y="1"/>
      <w:rPr>
        <w:rStyle w:val="PageNumber"/>
      </w:rPr>
    </w:pPr>
    <w:r w:rsidRPr="00504F53">
      <w:rPr>
        <w:rStyle w:val="PageNumber"/>
        <w:b/>
        <w:sz w:val="32"/>
        <w:szCs w:val="32"/>
      </w:rPr>
      <w:fldChar w:fldCharType="begin"/>
    </w:r>
    <w:r w:rsidRPr="00504F53">
      <w:rPr>
        <w:rStyle w:val="PageNumber"/>
        <w:b/>
        <w:sz w:val="32"/>
        <w:szCs w:val="32"/>
      </w:rPr>
      <w:instrText xml:space="preserve">PAGE  </w:instrText>
    </w:r>
    <w:r w:rsidRPr="00504F53">
      <w:rPr>
        <w:rStyle w:val="PageNumber"/>
        <w:b/>
        <w:sz w:val="32"/>
        <w:szCs w:val="32"/>
      </w:rPr>
      <w:fldChar w:fldCharType="separate"/>
    </w:r>
    <w:r w:rsidR="00121B59">
      <w:rPr>
        <w:rStyle w:val="PageNumber"/>
        <w:b/>
        <w:noProof/>
        <w:sz w:val="32"/>
        <w:szCs w:val="32"/>
      </w:rPr>
      <w:t>I</w:t>
    </w:r>
    <w:r w:rsidRPr="00504F53">
      <w:rPr>
        <w:rStyle w:val="PageNumber"/>
        <w:b/>
        <w:sz w:val="32"/>
        <w:szCs w:val="32"/>
      </w:rPr>
      <w:fldChar w:fldCharType="end"/>
    </w:r>
  </w:p>
  <w:p w14:paraId="1A3E1C4C" w14:textId="77777777" w:rsidR="009108B8" w:rsidRDefault="009108B8">
    <w:pPr>
      <w:pStyle w:val="Footer"/>
      <w:tabs>
        <w:tab w:val="left" w:pos="1900"/>
      </w:tabs>
      <w:rPr>
        <w:sz w:val="16"/>
        <w:szCs w:val="16"/>
      </w:rPr>
    </w:pPr>
    <w:r>
      <w:rPr>
        <w:sz w:val="16"/>
        <w:szCs w:val="16"/>
      </w:rPr>
      <w:tab/>
    </w:r>
    <w:r>
      <w:rPr>
        <w:sz w:val="16"/>
        <w:szCs w:val="16"/>
      </w:rPr>
      <w:tab/>
    </w:r>
    <w:r>
      <w:rPr>
        <w:sz w:val="16"/>
        <w:szCs w:val="16"/>
      </w:rPr>
      <w:tab/>
    </w: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1949D" w14:textId="77777777" w:rsidR="009108B8" w:rsidRDefault="009108B8" w:rsidP="001129C8">
    <w:pPr>
      <w:pStyle w:val="Footer"/>
      <w:framePr w:wrap="around" w:vAnchor="text" w:hAnchor="margin" w:xAlign="center" w:y="1"/>
      <w:rPr>
        <w:rStyle w:val="PageNumber"/>
      </w:rPr>
    </w:pPr>
    <w:r>
      <w:rPr>
        <w:rStyle w:val="PageNumber"/>
      </w:rPr>
      <w:t>D-</w:t>
    </w:r>
    <w:r>
      <w:rPr>
        <w:rStyle w:val="PageNumber"/>
      </w:rPr>
      <w:fldChar w:fldCharType="begin"/>
    </w:r>
    <w:r>
      <w:rPr>
        <w:rStyle w:val="PageNumber"/>
      </w:rPr>
      <w:instrText xml:space="preserve">PAGE  </w:instrText>
    </w:r>
    <w:r>
      <w:rPr>
        <w:rStyle w:val="PageNumber"/>
      </w:rPr>
      <w:fldChar w:fldCharType="separate"/>
    </w:r>
    <w:r w:rsidR="00121B59">
      <w:rPr>
        <w:rStyle w:val="PageNumber"/>
        <w:noProof/>
      </w:rPr>
      <w:t>5</w:t>
    </w:r>
    <w:r>
      <w:rPr>
        <w:rStyle w:val="PageNumber"/>
      </w:rPr>
      <w:fldChar w:fldCharType="end"/>
    </w:r>
  </w:p>
  <w:p w14:paraId="46FF1BBC" w14:textId="6039BB3C" w:rsidR="009108B8" w:rsidRDefault="009108B8" w:rsidP="008D0B8B">
    <w:pPr>
      <w:pStyle w:val="Footer"/>
      <w:rPr>
        <w:rStyle w:val="PageNumber"/>
        <w:b/>
      </w:rPr>
    </w:pPr>
    <w:r>
      <w:rPr>
        <w:rStyle w:val="PageNumber"/>
        <w:b/>
      </w:rPr>
      <w:t>South Atlantic Snapper Grouper</w:t>
    </w:r>
    <w:r w:rsidRPr="00CF13EE">
      <w:rPr>
        <w:rStyle w:val="PageNumber"/>
        <w:b/>
      </w:rPr>
      <w:tab/>
    </w:r>
    <w:r w:rsidRPr="00CF13EE">
      <w:rPr>
        <w:rStyle w:val="PageNumber"/>
        <w:b/>
      </w:rPr>
      <w:tab/>
    </w:r>
    <w:r>
      <w:rPr>
        <w:rStyle w:val="PageNumber"/>
        <w:b/>
      </w:rPr>
      <w:t xml:space="preserve">               </w:t>
    </w:r>
    <w:r>
      <w:rPr>
        <w:rStyle w:val="PageNumber"/>
        <w:b/>
      </w:rPr>
      <w:tab/>
      <w:t>Appendix D.  BPA</w:t>
    </w:r>
  </w:p>
  <w:p w14:paraId="43D7C6D3" w14:textId="77777777" w:rsidR="009108B8" w:rsidRPr="00CF13EE" w:rsidRDefault="009108B8" w:rsidP="008D0B8B">
    <w:pPr>
      <w:pStyle w:val="Footer"/>
      <w:rPr>
        <w:b/>
      </w:rPr>
    </w:pPr>
    <w:r>
      <w:rPr>
        <w:rStyle w:val="PageNumber"/>
        <w:b/>
      </w:rPr>
      <w:t>AMENDMENT 41</w:t>
    </w:r>
  </w:p>
  <w:p w14:paraId="47F36A16" w14:textId="77777777" w:rsidR="009108B8" w:rsidRPr="00C26358" w:rsidRDefault="009108B8">
    <w:pPr>
      <w:pStyle w:val="Footer"/>
      <w:tabs>
        <w:tab w:val="left" w:pos="1900"/>
      </w:tabs>
      <w:rPr>
        <w:b/>
      </w:rPr>
    </w:pPr>
    <w:r w:rsidRPr="00C26358">
      <w:rPr>
        <w:b/>
      </w:rPr>
      <w:tab/>
    </w:r>
    <w:r w:rsidRPr="00C26358">
      <w:rPr>
        <w:b/>
      </w:rPr>
      <w:tab/>
    </w:r>
    <w:r w:rsidRPr="00C26358">
      <w:rPr>
        <w:b/>
      </w:rPr>
      <w:tab/>
    </w:r>
  </w:p>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1B7C6" w14:textId="64C8AB8F" w:rsidR="009108B8" w:rsidRPr="006B06F9" w:rsidRDefault="009108B8" w:rsidP="0072769A">
    <w:pPr>
      <w:pStyle w:val="Footer"/>
      <w:framePr w:wrap="around" w:vAnchor="text" w:hAnchor="margin" w:xAlign="center" w:y="1"/>
      <w:rPr>
        <w:rStyle w:val="PageNumber"/>
        <w:b/>
      </w:rPr>
    </w:pPr>
    <w:r w:rsidRPr="006B06F9">
      <w:rPr>
        <w:rStyle w:val="PageNumber"/>
        <w:b/>
      </w:rPr>
      <w:t>D-</w:t>
    </w:r>
    <w:r w:rsidRPr="006B06F9">
      <w:rPr>
        <w:rStyle w:val="PageNumber"/>
        <w:b/>
      </w:rPr>
      <w:fldChar w:fldCharType="begin"/>
    </w:r>
    <w:r w:rsidRPr="006B06F9">
      <w:rPr>
        <w:rStyle w:val="PageNumber"/>
        <w:b/>
      </w:rPr>
      <w:instrText xml:space="preserve">PAGE  </w:instrText>
    </w:r>
    <w:r w:rsidRPr="006B06F9">
      <w:rPr>
        <w:rStyle w:val="PageNumber"/>
        <w:b/>
      </w:rPr>
      <w:fldChar w:fldCharType="separate"/>
    </w:r>
    <w:r w:rsidR="00121B59">
      <w:rPr>
        <w:rStyle w:val="PageNumber"/>
        <w:b/>
        <w:noProof/>
      </w:rPr>
      <w:t>19</w:t>
    </w:r>
    <w:r w:rsidRPr="006B06F9">
      <w:rPr>
        <w:rStyle w:val="PageNumber"/>
        <w:b/>
      </w:rPr>
      <w:fldChar w:fldCharType="end"/>
    </w:r>
  </w:p>
  <w:p w14:paraId="14F73BC8" w14:textId="6BD62F74" w:rsidR="009108B8" w:rsidRPr="006B06F9" w:rsidRDefault="009108B8" w:rsidP="00A420FF">
    <w:pPr>
      <w:pStyle w:val="Footer"/>
      <w:rPr>
        <w:b/>
      </w:rPr>
    </w:pPr>
    <w:r w:rsidRPr="006B06F9">
      <w:rPr>
        <w:rStyle w:val="PageNumber"/>
        <w:b/>
      </w:rPr>
      <w:t>South Atlantic Snapper Grouper</w:t>
    </w:r>
    <w:r w:rsidRPr="006B06F9">
      <w:rPr>
        <w:rStyle w:val="PageNumber"/>
        <w:b/>
      </w:rPr>
      <w:tab/>
    </w:r>
    <w:r w:rsidRPr="006B06F9">
      <w:rPr>
        <w:rStyle w:val="PageNumber"/>
        <w:b/>
      </w:rPr>
      <w:tab/>
      <w:t xml:space="preserve">                  Appendix D. BPA </w:t>
    </w:r>
  </w:p>
  <w:p w14:paraId="51145588" w14:textId="1F1D69A4" w:rsidR="009108B8" w:rsidRPr="006B06F9" w:rsidRDefault="009108B8" w:rsidP="0072769A">
    <w:pPr>
      <w:pStyle w:val="Footer"/>
      <w:tabs>
        <w:tab w:val="left" w:pos="1900"/>
      </w:tabs>
      <w:rPr>
        <w:b/>
      </w:rPr>
    </w:pPr>
    <w:r w:rsidRPr="006B06F9">
      <w:rPr>
        <w:b/>
      </w:rPr>
      <w:t xml:space="preserve">AMENDMENT </w:t>
    </w:r>
    <w:r>
      <w:rPr>
        <w:b/>
      </w:rPr>
      <w:t>41</w:t>
    </w:r>
    <w:r w:rsidRPr="006B06F9">
      <w:rPr>
        <w:b/>
      </w:rPr>
      <w:tab/>
    </w:r>
    <w:r w:rsidRPr="006B06F9">
      <w:rPr>
        <w:b/>
      </w:rPr>
      <w:tab/>
    </w:r>
    <w:r w:rsidRPr="006B06F9">
      <w:rPr>
        <w:b/>
      </w:rPr>
      <w:tab/>
    </w:r>
  </w:p>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3DEF7" w14:textId="3D2AEE2A" w:rsidR="009108B8" w:rsidRPr="003E5656" w:rsidRDefault="009108B8" w:rsidP="008D0B8B">
    <w:pPr>
      <w:pStyle w:val="Footer"/>
      <w:framePr w:wrap="around" w:vAnchor="text" w:hAnchor="page" w:x="5806" w:y="58"/>
      <w:rPr>
        <w:rStyle w:val="PageNumber"/>
      </w:rPr>
    </w:pPr>
    <w:r>
      <w:rPr>
        <w:rStyle w:val="PageNumber"/>
        <w:b/>
      </w:rPr>
      <w:t>E</w:t>
    </w:r>
    <w:r w:rsidRPr="003E5656">
      <w:rPr>
        <w:rStyle w:val="PageNumber"/>
        <w:b/>
      </w:rPr>
      <w:t>-</w:t>
    </w:r>
    <w:r w:rsidRPr="003E5656">
      <w:rPr>
        <w:rStyle w:val="PageNumber"/>
        <w:b/>
      </w:rPr>
      <w:fldChar w:fldCharType="begin"/>
    </w:r>
    <w:r w:rsidRPr="003E5656">
      <w:rPr>
        <w:rStyle w:val="PageNumber"/>
        <w:b/>
      </w:rPr>
      <w:instrText xml:space="preserve">PAGE  </w:instrText>
    </w:r>
    <w:r w:rsidRPr="003E5656">
      <w:rPr>
        <w:rStyle w:val="PageNumber"/>
        <w:b/>
      </w:rPr>
      <w:fldChar w:fldCharType="separate"/>
    </w:r>
    <w:r w:rsidR="00121B59">
      <w:rPr>
        <w:rStyle w:val="PageNumber"/>
        <w:b/>
        <w:noProof/>
      </w:rPr>
      <w:t>1</w:t>
    </w:r>
    <w:r w:rsidRPr="003E5656">
      <w:rPr>
        <w:rStyle w:val="PageNumber"/>
        <w:b/>
      </w:rPr>
      <w:fldChar w:fldCharType="end"/>
    </w:r>
  </w:p>
  <w:p w14:paraId="628D76C1" w14:textId="6E9FA6F2" w:rsidR="009108B8" w:rsidRDefault="009108B8" w:rsidP="008D0B8B">
    <w:pPr>
      <w:pStyle w:val="Footer"/>
      <w:rPr>
        <w:rStyle w:val="PageNumber"/>
        <w:b/>
      </w:rPr>
    </w:pPr>
    <w:r>
      <w:rPr>
        <w:rStyle w:val="PageNumber"/>
        <w:b/>
      </w:rPr>
      <w:t>South Atlantic Snapper Grouper</w:t>
    </w:r>
    <w:r w:rsidRPr="00CF13EE">
      <w:rPr>
        <w:rStyle w:val="PageNumber"/>
        <w:b/>
      </w:rPr>
      <w:tab/>
    </w:r>
    <w:r w:rsidRPr="00CF13EE">
      <w:rPr>
        <w:rStyle w:val="PageNumber"/>
        <w:b/>
      </w:rPr>
      <w:tab/>
    </w:r>
    <w:r>
      <w:rPr>
        <w:rStyle w:val="PageNumber"/>
        <w:b/>
      </w:rPr>
      <w:t xml:space="preserve">               Appendix E. RIR</w:t>
    </w:r>
  </w:p>
  <w:p w14:paraId="6811BFD3" w14:textId="44B678AF" w:rsidR="009108B8" w:rsidRPr="00CF13EE" w:rsidRDefault="009108B8" w:rsidP="008D0B8B">
    <w:pPr>
      <w:pStyle w:val="Footer"/>
      <w:rPr>
        <w:b/>
      </w:rPr>
    </w:pPr>
    <w:r>
      <w:rPr>
        <w:rStyle w:val="PageNumber"/>
        <w:b/>
      </w:rPr>
      <w:t>AMENDMENT 41</w:t>
    </w:r>
  </w:p>
  <w:p w14:paraId="0BF8E935" w14:textId="77777777" w:rsidR="009108B8" w:rsidRPr="00C26358" w:rsidRDefault="009108B8">
    <w:pPr>
      <w:pStyle w:val="Footer"/>
      <w:tabs>
        <w:tab w:val="left" w:pos="1900"/>
      </w:tabs>
      <w:rPr>
        <w:b/>
      </w:rPr>
    </w:pPr>
    <w:r w:rsidRPr="00C26358">
      <w:rPr>
        <w:b/>
      </w:rPr>
      <w:tab/>
    </w:r>
    <w:r w:rsidRPr="00C26358">
      <w:rPr>
        <w:b/>
      </w:rPr>
      <w:tab/>
    </w:r>
    <w:r w:rsidRPr="00C26358">
      <w:rPr>
        <w:b/>
      </w:rPr>
      <w:tab/>
    </w:r>
  </w:p>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80989" w14:textId="7BD947D9" w:rsidR="009108B8" w:rsidRPr="00DC4922" w:rsidRDefault="009108B8" w:rsidP="008D0B8B">
    <w:pPr>
      <w:pStyle w:val="Footer"/>
      <w:framePr w:wrap="around" w:vAnchor="text" w:hAnchor="page" w:x="5806" w:y="58"/>
      <w:rPr>
        <w:rStyle w:val="PageNumber"/>
      </w:rPr>
    </w:pPr>
    <w:r>
      <w:rPr>
        <w:rStyle w:val="PageNumber"/>
        <w:b/>
      </w:rPr>
      <w:t>F</w:t>
    </w:r>
    <w:r w:rsidRPr="000E374B">
      <w:rPr>
        <w:rStyle w:val="PageNumber"/>
        <w:b/>
      </w:rPr>
      <w:t>-</w:t>
    </w:r>
    <w:r w:rsidRPr="000E374B">
      <w:rPr>
        <w:rStyle w:val="PageNumber"/>
        <w:b/>
      </w:rPr>
      <w:fldChar w:fldCharType="begin"/>
    </w:r>
    <w:r w:rsidRPr="000E374B">
      <w:rPr>
        <w:rStyle w:val="PageNumber"/>
        <w:b/>
      </w:rPr>
      <w:instrText xml:space="preserve">PAGE  </w:instrText>
    </w:r>
    <w:r w:rsidRPr="000E374B">
      <w:rPr>
        <w:rStyle w:val="PageNumber"/>
        <w:b/>
      </w:rPr>
      <w:fldChar w:fldCharType="separate"/>
    </w:r>
    <w:r w:rsidR="00121B59">
      <w:rPr>
        <w:rStyle w:val="PageNumber"/>
        <w:b/>
        <w:noProof/>
      </w:rPr>
      <w:t>9</w:t>
    </w:r>
    <w:r w:rsidRPr="000E374B">
      <w:rPr>
        <w:rStyle w:val="PageNumber"/>
        <w:b/>
      </w:rPr>
      <w:fldChar w:fldCharType="end"/>
    </w:r>
  </w:p>
  <w:p w14:paraId="4772AB7B" w14:textId="3996A3C0" w:rsidR="009108B8" w:rsidRPr="000E374B" w:rsidRDefault="009108B8" w:rsidP="00913F18">
    <w:pPr>
      <w:pStyle w:val="Footer"/>
      <w:rPr>
        <w:rStyle w:val="PageNumber"/>
        <w:b/>
      </w:rPr>
    </w:pPr>
    <w:r>
      <w:rPr>
        <w:rStyle w:val="PageNumber"/>
        <w:b/>
      </w:rPr>
      <w:t>South Atlantic Snapper Grouper</w:t>
    </w:r>
    <w:r>
      <w:rPr>
        <w:rStyle w:val="PageNumber"/>
        <w:b/>
      </w:rPr>
      <w:tab/>
    </w:r>
    <w:r>
      <w:rPr>
        <w:rStyle w:val="PageNumber"/>
        <w:b/>
      </w:rPr>
      <w:tab/>
      <w:t xml:space="preserve">                 Appendix F</w:t>
    </w:r>
    <w:r w:rsidRPr="000E374B">
      <w:rPr>
        <w:rStyle w:val="PageNumber"/>
        <w:b/>
      </w:rPr>
      <w:t xml:space="preserve">. </w:t>
    </w:r>
    <w:r>
      <w:rPr>
        <w:rStyle w:val="PageNumber"/>
        <w:b/>
      </w:rPr>
      <w:t>RFA</w:t>
    </w:r>
  </w:p>
  <w:p w14:paraId="152957F1" w14:textId="64CBD155" w:rsidR="009108B8" w:rsidRPr="00C26358" w:rsidRDefault="009108B8" w:rsidP="00913F18">
    <w:pPr>
      <w:pStyle w:val="Footer"/>
      <w:tabs>
        <w:tab w:val="left" w:pos="1900"/>
      </w:tabs>
      <w:rPr>
        <w:b/>
      </w:rPr>
    </w:pPr>
    <w:r>
      <w:rPr>
        <w:rStyle w:val="PageNumber"/>
        <w:b/>
      </w:rPr>
      <w:t>AMENDMENT 41</w:t>
    </w:r>
    <w:r w:rsidRPr="00C26358">
      <w:rPr>
        <w:b/>
      </w:rPr>
      <w:tab/>
    </w:r>
    <w:r w:rsidRPr="00C26358">
      <w:rPr>
        <w:b/>
      </w:rPr>
      <w:tab/>
    </w:r>
    <w:r w:rsidRPr="00C26358">
      <w:rPr>
        <w:b/>
      </w:rPr>
      <w:tab/>
    </w:r>
  </w:p>
</w:ftr>
</file>

<file path=word/footer3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E4CF2" w14:textId="6819D26B" w:rsidR="009108B8" w:rsidRPr="00DC4922" w:rsidRDefault="009108B8" w:rsidP="008D0B8B">
    <w:pPr>
      <w:pStyle w:val="Footer"/>
      <w:framePr w:wrap="around" w:vAnchor="text" w:hAnchor="page" w:x="5806" w:y="58"/>
      <w:rPr>
        <w:rStyle w:val="PageNumber"/>
      </w:rPr>
    </w:pPr>
    <w:r>
      <w:rPr>
        <w:rStyle w:val="PageNumber"/>
        <w:b/>
      </w:rPr>
      <w:t>G</w:t>
    </w:r>
    <w:r w:rsidRPr="000E374B">
      <w:rPr>
        <w:rStyle w:val="PageNumber"/>
        <w:b/>
      </w:rPr>
      <w:t>-</w:t>
    </w:r>
    <w:r w:rsidRPr="000E374B">
      <w:rPr>
        <w:rStyle w:val="PageNumber"/>
        <w:b/>
      </w:rPr>
      <w:fldChar w:fldCharType="begin"/>
    </w:r>
    <w:r w:rsidRPr="000E374B">
      <w:rPr>
        <w:rStyle w:val="PageNumber"/>
        <w:b/>
      </w:rPr>
      <w:instrText xml:space="preserve">PAGE  </w:instrText>
    </w:r>
    <w:r w:rsidRPr="000E374B">
      <w:rPr>
        <w:rStyle w:val="PageNumber"/>
        <w:b/>
      </w:rPr>
      <w:fldChar w:fldCharType="separate"/>
    </w:r>
    <w:r w:rsidR="00121B59">
      <w:rPr>
        <w:rStyle w:val="PageNumber"/>
        <w:b/>
        <w:noProof/>
      </w:rPr>
      <w:t>9</w:t>
    </w:r>
    <w:r w:rsidRPr="000E374B">
      <w:rPr>
        <w:rStyle w:val="PageNumber"/>
        <w:b/>
      </w:rPr>
      <w:fldChar w:fldCharType="end"/>
    </w:r>
  </w:p>
  <w:p w14:paraId="781A9D21" w14:textId="3B8FF09D" w:rsidR="009108B8" w:rsidRPr="000E374B" w:rsidRDefault="009108B8" w:rsidP="00913F18">
    <w:pPr>
      <w:pStyle w:val="Footer"/>
      <w:rPr>
        <w:rStyle w:val="PageNumber"/>
        <w:b/>
      </w:rPr>
    </w:pPr>
    <w:r>
      <w:rPr>
        <w:rStyle w:val="PageNumber"/>
        <w:b/>
      </w:rPr>
      <w:t>South Atlantic Snapper Grouper</w:t>
    </w:r>
    <w:r>
      <w:rPr>
        <w:rStyle w:val="PageNumber"/>
        <w:b/>
      </w:rPr>
      <w:tab/>
    </w:r>
    <w:r>
      <w:rPr>
        <w:rStyle w:val="PageNumber"/>
        <w:b/>
      </w:rPr>
      <w:tab/>
      <w:t xml:space="preserve">                 Appendix G</w:t>
    </w:r>
    <w:r w:rsidRPr="000E374B">
      <w:rPr>
        <w:rStyle w:val="PageNumber"/>
        <w:b/>
      </w:rPr>
      <w:t xml:space="preserve">. </w:t>
    </w:r>
    <w:r>
      <w:rPr>
        <w:rStyle w:val="PageNumber"/>
        <w:b/>
      </w:rPr>
      <w:t>OAL</w:t>
    </w:r>
  </w:p>
  <w:p w14:paraId="300AE430" w14:textId="77777777" w:rsidR="009108B8" w:rsidRPr="00C26358" w:rsidRDefault="009108B8" w:rsidP="00913F18">
    <w:pPr>
      <w:pStyle w:val="Footer"/>
      <w:tabs>
        <w:tab w:val="left" w:pos="1900"/>
      </w:tabs>
      <w:rPr>
        <w:b/>
      </w:rPr>
    </w:pPr>
    <w:r>
      <w:rPr>
        <w:rStyle w:val="PageNumber"/>
        <w:b/>
      </w:rPr>
      <w:t>AMENDMENT 41</w:t>
    </w:r>
    <w:r w:rsidRPr="00C26358">
      <w:rPr>
        <w:b/>
      </w:rPr>
      <w:tab/>
    </w:r>
    <w:r w:rsidRPr="00C26358">
      <w:rPr>
        <w:b/>
      </w:rPr>
      <w:tab/>
    </w:r>
    <w:r w:rsidRPr="00C26358">
      <w:rPr>
        <w:b/>
      </w:rPr>
      <w:tab/>
    </w:r>
  </w:p>
</w:ftr>
</file>

<file path=word/footer3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8B9D4" w14:textId="1CB2466C" w:rsidR="009108B8" w:rsidRPr="00EB603B" w:rsidRDefault="009108B8" w:rsidP="008D0B8B">
    <w:pPr>
      <w:pStyle w:val="Footer"/>
      <w:framePr w:wrap="around" w:vAnchor="text" w:hAnchor="page" w:x="5806" w:y="58"/>
      <w:rPr>
        <w:rStyle w:val="PageNumber"/>
      </w:rPr>
    </w:pPr>
    <w:r>
      <w:rPr>
        <w:rStyle w:val="PageNumber"/>
        <w:b/>
      </w:rPr>
      <w:t>H</w:t>
    </w:r>
    <w:r w:rsidRPr="00EB603B">
      <w:rPr>
        <w:rStyle w:val="PageNumber"/>
        <w:b/>
      </w:rPr>
      <w:t>-</w:t>
    </w:r>
    <w:r w:rsidRPr="00EB603B">
      <w:rPr>
        <w:rStyle w:val="PageNumber"/>
        <w:b/>
      </w:rPr>
      <w:fldChar w:fldCharType="begin"/>
    </w:r>
    <w:r w:rsidRPr="00EB603B">
      <w:rPr>
        <w:rStyle w:val="PageNumber"/>
        <w:b/>
      </w:rPr>
      <w:instrText xml:space="preserve">PAGE  </w:instrText>
    </w:r>
    <w:r w:rsidRPr="00EB603B">
      <w:rPr>
        <w:rStyle w:val="PageNumber"/>
        <w:b/>
      </w:rPr>
      <w:fldChar w:fldCharType="separate"/>
    </w:r>
    <w:r w:rsidR="00121B59">
      <w:rPr>
        <w:rStyle w:val="PageNumber"/>
        <w:b/>
        <w:noProof/>
      </w:rPr>
      <w:t>17</w:t>
    </w:r>
    <w:r w:rsidRPr="00EB603B">
      <w:rPr>
        <w:rStyle w:val="PageNumber"/>
        <w:b/>
      </w:rPr>
      <w:fldChar w:fldCharType="end"/>
    </w:r>
  </w:p>
  <w:p w14:paraId="064DC71F" w14:textId="0FC8001C" w:rsidR="009108B8" w:rsidRPr="00EB603B" w:rsidRDefault="009108B8" w:rsidP="00913F18">
    <w:pPr>
      <w:pStyle w:val="Footer"/>
      <w:rPr>
        <w:rStyle w:val="PageNumber"/>
        <w:b/>
      </w:rPr>
    </w:pPr>
    <w:r>
      <w:rPr>
        <w:rStyle w:val="PageNumber"/>
        <w:b/>
      </w:rPr>
      <w:t>South Atlantic Snapper Grouper</w:t>
    </w:r>
    <w:r w:rsidRPr="00EB603B">
      <w:rPr>
        <w:rStyle w:val="PageNumber"/>
        <w:b/>
      </w:rPr>
      <w:t xml:space="preserve">         </w:t>
    </w:r>
    <w:r>
      <w:rPr>
        <w:rStyle w:val="PageNumber"/>
        <w:b/>
      </w:rPr>
      <w:t xml:space="preserve">                                       Appendix H</w:t>
    </w:r>
    <w:r w:rsidRPr="00EB603B">
      <w:rPr>
        <w:rStyle w:val="PageNumber"/>
        <w:b/>
      </w:rPr>
      <w:t xml:space="preserve">. </w:t>
    </w:r>
    <w:r>
      <w:rPr>
        <w:rStyle w:val="PageNumber"/>
        <w:b/>
      </w:rPr>
      <w:t>EFH &amp; EBM</w:t>
    </w:r>
  </w:p>
  <w:p w14:paraId="70DCA037" w14:textId="1BB49F64" w:rsidR="009108B8" w:rsidRPr="00C26358" w:rsidRDefault="009108B8" w:rsidP="00913F18">
    <w:pPr>
      <w:pStyle w:val="Footer"/>
      <w:tabs>
        <w:tab w:val="left" w:pos="1900"/>
      </w:tabs>
      <w:rPr>
        <w:b/>
      </w:rPr>
    </w:pPr>
    <w:r>
      <w:rPr>
        <w:rStyle w:val="PageNumber"/>
        <w:b/>
      </w:rPr>
      <w:t>AMENDMENT 41</w:t>
    </w:r>
    <w:r w:rsidRPr="00C26358">
      <w:rPr>
        <w:b/>
      </w:rPr>
      <w:tab/>
    </w:r>
    <w:r w:rsidRPr="00C26358">
      <w:rPr>
        <w:b/>
      </w:rPr>
      <w:tab/>
    </w:r>
    <w:r w:rsidRPr="00C26358">
      <w:rPr>
        <w:b/>
      </w:rPr>
      <w:tab/>
    </w:r>
  </w:p>
</w:ftr>
</file>

<file path=word/footer3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9347B" w14:textId="43723724" w:rsidR="009108B8" w:rsidRPr="00D60683" w:rsidRDefault="009108B8" w:rsidP="008D0B8B">
    <w:pPr>
      <w:pStyle w:val="Footer"/>
      <w:framePr w:wrap="around" w:vAnchor="text" w:hAnchor="page" w:x="5806" w:y="58"/>
      <w:rPr>
        <w:rStyle w:val="PageNumber"/>
      </w:rPr>
    </w:pPr>
    <w:r>
      <w:rPr>
        <w:rStyle w:val="PageNumber"/>
        <w:b/>
      </w:rPr>
      <w:t>I</w:t>
    </w:r>
    <w:r w:rsidRPr="00D60683">
      <w:rPr>
        <w:rStyle w:val="PageNumber"/>
        <w:b/>
      </w:rPr>
      <w:t>-</w:t>
    </w:r>
    <w:r w:rsidRPr="00D60683">
      <w:rPr>
        <w:rStyle w:val="PageNumber"/>
        <w:b/>
      </w:rPr>
      <w:fldChar w:fldCharType="begin"/>
    </w:r>
    <w:r w:rsidRPr="00D60683">
      <w:rPr>
        <w:rStyle w:val="PageNumber"/>
        <w:b/>
      </w:rPr>
      <w:instrText xml:space="preserve">PAGE  </w:instrText>
    </w:r>
    <w:r w:rsidRPr="00D60683">
      <w:rPr>
        <w:rStyle w:val="PageNumber"/>
        <w:b/>
      </w:rPr>
      <w:fldChar w:fldCharType="separate"/>
    </w:r>
    <w:r w:rsidR="00121B59">
      <w:rPr>
        <w:rStyle w:val="PageNumber"/>
        <w:b/>
        <w:noProof/>
      </w:rPr>
      <w:t>3</w:t>
    </w:r>
    <w:r w:rsidRPr="00D60683">
      <w:rPr>
        <w:rStyle w:val="PageNumber"/>
        <w:b/>
      </w:rPr>
      <w:fldChar w:fldCharType="end"/>
    </w:r>
  </w:p>
  <w:p w14:paraId="202F3CA2" w14:textId="06A61027" w:rsidR="009108B8" w:rsidRPr="004E40A4" w:rsidRDefault="009108B8" w:rsidP="00913F18">
    <w:pPr>
      <w:pStyle w:val="Footer"/>
      <w:rPr>
        <w:rStyle w:val="PageNumber"/>
        <w:b/>
        <w:sz w:val="20"/>
        <w:szCs w:val="20"/>
      </w:rPr>
    </w:pPr>
    <w:r>
      <w:rPr>
        <w:b/>
        <w:noProof/>
      </w:rPr>
      <w:t xml:space="preserve">South Atlantic Snapper Grouper       </w:t>
    </w:r>
    <w:r>
      <w:rPr>
        <w:rStyle w:val="PageNumber"/>
        <w:b/>
        <w:sz w:val="20"/>
        <w:szCs w:val="20"/>
      </w:rPr>
      <w:t xml:space="preserve">                          </w:t>
    </w:r>
    <w:r>
      <w:rPr>
        <w:rStyle w:val="PageNumber"/>
        <w:b/>
      </w:rPr>
      <w:t>Appendix I</w:t>
    </w:r>
    <w:r w:rsidRPr="00D60683">
      <w:rPr>
        <w:rStyle w:val="PageNumber"/>
        <w:b/>
      </w:rPr>
      <w:t>. Fishery Impact Statement</w:t>
    </w:r>
    <w:r>
      <w:rPr>
        <w:rStyle w:val="PageNumber"/>
        <w:b/>
        <w:sz w:val="20"/>
        <w:szCs w:val="20"/>
      </w:rPr>
      <w:t xml:space="preserve"> </w:t>
    </w:r>
  </w:p>
  <w:p w14:paraId="4F35E6B2" w14:textId="05875CCE" w:rsidR="009108B8" w:rsidRPr="006B06F9" w:rsidRDefault="009108B8" w:rsidP="00913F18">
    <w:pPr>
      <w:pStyle w:val="Footer"/>
      <w:tabs>
        <w:tab w:val="left" w:pos="1900"/>
      </w:tabs>
      <w:rPr>
        <w:b/>
      </w:rPr>
    </w:pPr>
    <w:r w:rsidRPr="006B06F9">
      <w:rPr>
        <w:rStyle w:val="PageNumber"/>
        <w:b/>
      </w:rPr>
      <w:t xml:space="preserve">AMENDMENT </w:t>
    </w:r>
    <w:r>
      <w:rPr>
        <w:rStyle w:val="PageNumber"/>
        <w:b/>
      </w:rPr>
      <w:t>41</w:t>
    </w:r>
    <w:r w:rsidRPr="006B06F9">
      <w:rPr>
        <w:b/>
      </w:rPr>
      <w:tab/>
    </w:r>
    <w:r w:rsidRPr="006B06F9">
      <w:rPr>
        <w:b/>
      </w:rPr>
      <w:tab/>
    </w:r>
    <w:r w:rsidRPr="006B06F9">
      <w:rPr>
        <w:b/>
      </w:rPr>
      <w:tab/>
    </w:r>
  </w:p>
</w:ftr>
</file>

<file path=word/footer3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B971B" w14:textId="77777777" w:rsidR="009108B8" w:rsidRPr="002F0045" w:rsidRDefault="009108B8" w:rsidP="00C11712">
    <w:pPr>
      <w:pStyle w:val="Footer"/>
      <w:framePr w:wrap="around" w:vAnchor="text" w:hAnchor="margin" w:xAlign="center" w:y="1"/>
      <w:rPr>
        <w:rStyle w:val="PageNumber"/>
        <w:b/>
      </w:rPr>
    </w:pPr>
    <w:r>
      <w:rPr>
        <w:rStyle w:val="PageNumber"/>
      </w:rPr>
      <w:t>J</w:t>
    </w:r>
    <w:r w:rsidRPr="002F0045">
      <w:rPr>
        <w:rStyle w:val="PageNumber"/>
      </w:rPr>
      <w:t>-</w:t>
    </w:r>
    <w:r w:rsidRPr="002F0045">
      <w:rPr>
        <w:rStyle w:val="PageNumber"/>
        <w:b/>
      </w:rPr>
      <w:fldChar w:fldCharType="begin"/>
    </w:r>
    <w:r w:rsidRPr="002F0045">
      <w:rPr>
        <w:rStyle w:val="PageNumber"/>
      </w:rPr>
      <w:instrText xml:space="preserve">PAGE  </w:instrText>
    </w:r>
    <w:r w:rsidRPr="002F0045">
      <w:rPr>
        <w:rStyle w:val="PageNumber"/>
        <w:b/>
      </w:rPr>
      <w:fldChar w:fldCharType="separate"/>
    </w:r>
    <w:r w:rsidR="00121B59">
      <w:rPr>
        <w:rStyle w:val="PageNumber"/>
        <w:noProof/>
      </w:rPr>
      <w:t>5</w:t>
    </w:r>
    <w:r w:rsidRPr="002F0045">
      <w:rPr>
        <w:rStyle w:val="PageNumber"/>
        <w:b/>
      </w:rPr>
      <w:fldChar w:fldCharType="end"/>
    </w:r>
  </w:p>
  <w:p w14:paraId="33E0B7BB" w14:textId="2CA46DEA" w:rsidR="009108B8" w:rsidRPr="002F0045" w:rsidRDefault="009108B8">
    <w:pPr>
      <w:pStyle w:val="Footer"/>
      <w:rPr>
        <w:b/>
      </w:rPr>
    </w:pPr>
    <w:r w:rsidRPr="002F0045">
      <w:rPr>
        <w:b/>
      </w:rPr>
      <w:t xml:space="preserve">South Atlantic Snapper </w:t>
    </w:r>
    <w:r>
      <w:rPr>
        <w:b/>
      </w:rPr>
      <w:t>Grouper</w:t>
    </w:r>
    <w:r>
      <w:rPr>
        <w:b/>
      </w:rPr>
      <w:tab/>
    </w:r>
    <w:r>
      <w:rPr>
        <w:b/>
      </w:rPr>
      <w:tab/>
      <w:t>Appendix J</w:t>
    </w:r>
    <w:r w:rsidRPr="002F0045">
      <w:rPr>
        <w:b/>
      </w:rPr>
      <w:t>. Numbers Method</w:t>
    </w:r>
  </w:p>
  <w:p w14:paraId="4EF5615E" w14:textId="77777777" w:rsidR="009108B8" w:rsidRDefault="009108B8">
    <w:pPr>
      <w:pStyle w:val="Footer"/>
    </w:pPr>
    <w:r>
      <w:rPr>
        <w:b/>
      </w:rPr>
      <w:t>AMENDMENT 41</w:t>
    </w:r>
    <w:r w:rsidRPr="002F0045">
      <w:rPr>
        <w:b/>
      </w:rPr>
      <w:ptab w:relativeTo="margin" w:alignment="center" w:leader="none"/>
    </w:r>
    <w:r w:rsidRPr="002F0045">
      <w:rPr>
        <w:b/>
      </w:rPr>
      <w:ptab w:relativeTo="margin" w:alignment="right" w:leader="none"/>
    </w:r>
  </w:p>
</w:ftr>
</file>

<file path=word/footer3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9F535" w14:textId="7FA3F9EB" w:rsidR="009108B8" w:rsidRPr="002F0045" w:rsidRDefault="009108B8" w:rsidP="00C11712">
    <w:pPr>
      <w:pStyle w:val="Footer"/>
      <w:framePr w:wrap="around" w:vAnchor="text" w:hAnchor="margin" w:xAlign="center" w:y="1"/>
      <w:rPr>
        <w:rStyle w:val="PageNumber"/>
        <w:b/>
      </w:rPr>
    </w:pPr>
    <w:r>
      <w:rPr>
        <w:rStyle w:val="PageNumber"/>
      </w:rPr>
      <w:t>K</w:t>
    </w:r>
    <w:r w:rsidRPr="002F0045">
      <w:rPr>
        <w:rStyle w:val="PageNumber"/>
      </w:rPr>
      <w:t>-</w:t>
    </w:r>
    <w:r w:rsidRPr="002F0045">
      <w:rPr>
        <w:rStyle w:val="PageNumber"/>
        <w:b/>
      </w:rPr>
      <w:fldChar w:fldCharType="begin"/>
    </w:r>
    <w:r w:rsidRPr="002F0045">
      <w:rPr>
        <w:rStyle w:val="PageNumber"/>
      </w:rPr>
      <w:instrText xml:space="preserve">PAGE  </w:instrText>
    </w:r>
    <w:r w:rsidRPr="002F0045">
      <w:rPr>
        <w:rStyle w:val="PageNumber"/>
        <w:b/>
      </w:rPr>
      <w:fldChar w:fldCharType="separate"/>
    </w:r>
    <w:r w:rsidR="00121B59">
      <w:rPr>
        <w:rStyle w:val="PageNumber"/>
        <w:noProof/>
      </w:rPr>
      <w:t>20</w:t>
    </w:r>
    <w:r w:rsidRPr="002F0045">
      <w:rPr>
        <w:rStyle w:val="PageNumber"/>
        <w:b/>
      </w:rPr>
      <w:fldChar w:fldCharType="end"/>
    </w:r>
  </w:p>
  <w:p w14:paraId="7220A102" w14:textId="5571F811" w:rsidR="009108B8" w:rsidRPr="002F0045" w:rsidRDefault="009108B8">
    <w:pPr>
      <w:pStyle w:val="Footer"/>
      <w:rPr>
        <w:b/>
      </w:rPr>
    </w:pPr>
    <w:r w:rsidRPr="002F0045">
      <w:rPr>
        <w:b/>
      </w:rPr>
      <w:t xml:space="preserve">South Atlantic Snapper </w:t>
    </w:r>
    <w:r>
      <w:rPr>
        <w:b/>
      </w:rPr>
      <w:t>Grouper</w:t>
    </w:r>
    <w:r>
      <w:rPr>
        <w:b/>
      </w:rPr>
      <w:tab/>
    </w:r>
    <w:r>
      <w:rPr>
        <w:b/>
      </w:rPr>
      <w:tab/>
      <w:t>Appendix K</w:t>
    </w:r>
    <w:r w:rsidRPr="002F0045">
      <w:rPr>
        <w:b/>
      </w:rPr>
      <w:t xml:space="preserve">. </w:t>
    </w:r>
    <w:r>
      <w:rPr>
        <w:b/>
      </w:rPr>
      <w:t>Data Analyses</w:t>
    </w:r>
  </w:p>
  <w:p w14:paraId="68CDB0C0" w14:textId="77777777" w:rsidR="009108B8" w:rsidRDefault="009108B8">
    <w:pPr>
      <w:pStyle w:val="Footer"/>
    </w:pPr>
    <w:r>
      <w:rPr>
        <w:b/>
      </w:rPr>
      <w:t>AMENDMENT 41</w:t>
    </w:r>
    <w:r w:rsidRPr="002F0045">
      <w:rPr>
        <w:b/>
      </w:rPr>
      <w:ptab w:relativeTo="margin" w:alignment="center" w:leader="none"/>
    </w:r>
    <w:r w:rsidRPr="002F0045">
      <w:rPr>
        <w:b/>
      </w:rPr>
      <w:ptab w:relativeTo="margin" w:alignment="right" w:leader="none"/>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6B0D7" w14:textId="77777777" w:rsidR="009108B8" w:rsidRPr="00504F53" w:rsidRDefault="009108B8">
    <w:pPr>
      <w:pStyle w:val="Footer"/>
      <w:framePr w:wrap="around" w:vAnchor="text" w:hAnchor="margin" w:xAlign="center" w:y="1"/>
      <w:rPr>
        <w:rStyle w:val="PageNumber"/>
      </w:rPr>
    </w:pPr>
    <w:r w:rsidRPr="00504F53">
      <w:rPr>
        <w:rStyle w:val="PageNumber"/>
        <w:b/>
        <w:sz w:val="32"/>
        <w:szCs w:val="32"/>
      </w:rPr>
      <w:fldChar w:fldCharType="begin"/>
    </w:r>
    <w:r w:rsidRPr="00504F53">
      <w:rPr>
        <w:rStyle w:val="PageNumber"/>
        <w:b/>
        <w:sz w:val="32"/>
        <w:szCs w:val="32"/>
      </w:rPr>
      <w:instrText xml:space="preserve">PAGE  </w:instrText>
    </w:r>
    <w:r w:rsidRPr="00504F53">
      <w:rPr>
        <w:rStyle w:val="PageNumber"/>
        <w:b/>
        <w:sz w:val="32"/>
        <w:szCs w:val="32"/>
      </w:rPr>
      <w:fldChar w:fldCharType="separate"/>
    </w:r>
    <w:r w:rsidR="00121B59">
      <w:rPr>
        <w:rStyle w:val="PageNumber"/>
        <w:b/>
        <w:noProof/>
        <w:sz w:val="32"/>
        <w:szCs w:val="32"/>
      </w:rPr>
      <w:t>VII</w:t>
    </w:r>
    <w:r w:rsidRPr="00504F53">
      <w:rPr>
        <w:rStyle w:val="PageNumber"/>
        <w:b/>
        <w:sz w:val="32"/>
        <w:szCs w:val="32"/>
      </w:rPr>
      <w:fldChar w:fldCharType="end"/>
    </w:r>
  </w:p>
  <w:p w14:paraId="7B7B0ADC" w14:textId="77777777" w:rsidR="009108B8" w:rsidRDefault="009108B8">
    <w:pPr>
      <w:pStyle w:val="Footer"/>
      <w:tabs>
        <w:tab w:val="left" w:pos="1900"/>
      </w:tabs>
      <w:rPr>
        <w:sz w:val="16"/>
        <w:szCs w:val="16"/>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1F6F3" w14:textId="77777777" w:rsidR="009108B8" w:rsidRPr="00504F53" w:rsidRDefault="009108B8">
    <w:pPr>
      <w:pStyle w:val="Footer"/>
      <w:framePr w:wrap="around" w:vAnchor="text" w:hAnchor="margin" w:xAlign="center" w:y="1"/>
      <w:rPr>
        <w:rStyle w:val="PageNumber"/>
      </w:rPr>
    </w:pPr>
    <w:r w:rsidRPr="00504F53">
      <w:rPr>
        <w:rStyle w:val="PageNumber"/>
        <w:b/>
        <w:sz w:val="32"/>
        <w:szCs w:val="32"/>
      </w:rPr>
      <w:fldChar w:fldCharType="begin"/>
    </w:r>
    <w:r w:rsidRPr="00504F53">
      <w:rPr>
        <w:rStyle w:val="PageNumber"/>
        <w:b/>
        <w:sz w:val="32"/>
        <w:szCs w:val="32"/>
      </w:rPr>
      <w:instrText xml:space="preserve">PAGE  </w:instrText>
    </w:r>
    <w:r w:rsidRPr="00504F53">
      <w:rPr>
        <w:rStyle w:val="PageNumber"/>
        <w:b/>
        <w:sz w:val="32"/>
        <w:szCs w:val="32"/>
      </w:rPr>
      <w:fldChar w:fldCharType="separate"/>
    </w:r>
    <w:r w:rsidR="00121B59">
      <w:rPr>
        <w:rStyle w:val="PageNumber"/>
        <w:b/>
        <w:noProof/>
        <w:sz w:val="32"/>
        <w:szCs w:val="32"/>
      </w:rPr>
      <w:t>VIII</w:t>
    </w:r>
    <w:r w:rsidRPr="00504F53">
      <w:rPr>
        <w:rStyle w:val="PageNumber"/>
        <w:b/>
        <w:sz w:val="32"/>
        <w:szCs w:val="32"/>
      </w:rPr>
      <w:fldChar w:fldCharType="end"/>
    </w:r>
  </w:p>
  <w:p w14:paraId="540B7D53" w14:textId="77777777" w:rsidR="009108B8" w:rsidRDefault="009108B8">
    <w:pPr>
      <w:pStyle w:val="Footer"/>
      <w:tabs>
        <w:tab w:val="left" w:pos="1900"/>
      </w:tabs>
      <w:rPr>
        <w:sz w:val="16"/>
        <w:szCs w:val="16"/>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BE41C" w14:textId="77777777" w:rsidR="009108B8" w:rsidRPr="00504F53" w:rsidRDefault="009108B8">
    <w:pPr>
      <w:pStyle w:val="Footer"/>
      <w:framePr w:wrap="around" w:vAnchor="text" w:hAnchor="margin" w:xAlign="center" w:y="1"/>
      <w:rPr>
        <w:rStyle w:val="PageNumber"/>
      </w:rPr>
    </w:pPr>
    <w:r w:rsidRPr="00504F53">
      <w:rPr>
        <w:rStyle w:val="PageNumber"/>
        <w:b/>
        <w:sz w:val="32"/>
        <w:szCs w:val="32"/>
      </w:rPr>
      <w:fldChar w:fldCharType="begin"/>
    </w:r>
    <w:r w:rsidRPr="00504F53">
      <w:rPr>
        <w:rStyle w:val="PageNumber"/>
        <w:b/>
        <w:sz w:val="32"/>
        <w:szCs w:val="32"/>
      </w:rPr>
      <w:instrText xml:space="preserve">PAGE  </w:instrText>
    </w:r>
    <w:r w:rsidRPr="00504F53">
      <w:rPr>
        <w:rStyle w:val="PageNumber"/>
        <w:b/>
        <w:sz w:val="32"/>
        <w:szCs w:val="32"/>
      </w:rPr>
      <w:fldChar w:fldCharType="separate"/>
    </w:r>
    <w:r w:rsidR="00121B59">
      <w:rPr>
        <w:rStyle w:val="PageNumber"/>
        <w:b/>
        <w:noProof/>
        <w:sz w:val="32"/>
        <w:szCs w:val="32"/>
      </w:rPr>
      <w:t>XI</w:t>
    </w:r>
    <w:r w:rsidRPr="00504F53">
      <w:rPr>
        <w:rStyle w:val="PageNumber"/>
        <w:b/>
        <w:sz w:val="32"/>
        <w:szCs w:val="32"/>
      </w:rPr>
      <w:fldChar w:fldCharType="end"/>
    </w:r>
  </w:p>
  <w:p w14:paraId="446B02A1" w14:textId="77777777" w:rsidR="009108B8" w:rsidRDefault="009108B8">
    <w:pPr>
      <w:pStyle w:val="Footer"/>
      <w:tabs>
        <w:tab w:val="left" w:pos="1900"/>
      </w:tabs>
      <w:rPr>
        <w:sz w:val="16"/>
        <w:szCs w:val="16"/>
      </w:rPr>
    </w:pPr>
    <w:r>
      <w:rPr>
        <w:sz w:val="16"/>
        <w:szCs w:val="16"/>
      </w:rPr>
      <w:tab/>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A7261" w14:textId="77777777" w:rsidR="009108B8" w:rsidRDefault="009108B8" w:rsidP="008D0B8B">
    <w:pPr>
      <w:pStyle w:val="Footer"/>
      <w:tabs>
        <w:tab w:val="left" w:pos="4780"/>
      </w:tabs>
      <w:rPr>
        <w:sz w:val="16"/>
        <w:szCs w:val="16"/>
      </w:rPr>
    </w:pPr>
  </w:p>
  <w:p w14:paraId="56B2D65E" w14:textId="77777777" w:rsidR="009108B8" w:rsidRDefault="009108B8" w:rsidP="008D0B8B">
    <w:pPr>
      <w:pStyle w:val="Footer"/>
      <w:tabs>
        <w:tab w:val="left" w:pos="4780"/>
      </w:tabs>
      <w:rPr>
        <w:sz w:val="16"/>
        <w:szCs w:val="16"/>
      </w:rPr>
    </w:pPr>
    <w:r>
      <w:rPr>
        <w:noProof/>
        <w:sz w:val="16"/>
        <w:szCs w:val="16"/>
      </w:rPr>
      <mc:AlternateContent>
        <mc:Choice Requires="wps">
          <w:drawing>
            <wp:anchor distT="0" distB="0" distL="114300" distR="114300" simplePos="0" relativeHeight="251705856" behindDoc="0" locked="0" layoutInCell="1" allowOverlap="1" wp14:anchorId="7D732859" wp14:editId="45DFE953">
              <wp:simplePos x="0" y="0"/>
              <wp:positionH relativeFrom="column">
                <wp:posOffset>7620</wp:posOffset>
              </wp:positionH>
              <wp:positionV relativeFrom="paragraph">
                <wp:posOffset>48260</wp:posOffset>
              </wp:positionV>
              <wp:extent cx="5486400" cy="8890"/>
              <wp:effectExtent l="17145" t="19685" r="11430" b="1905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6pt;margin-top:3.8pt;width:6in;height:.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" strokeweight="1.75pt"/>
          </w:pict>
        </mc:Fallback>
      </mc:AlternateContent>
    </w:r>
  </w:p>
  <w:p w14:paraId="25D6B9E7" w14:textId="77777777" w:rsidR="009108B8" w:rsidRPr="009C37D6" w:rsidRDefault="009108B8" w:rsidP="008D0B8B">
    <w:pPr>
      <w:pStyle w:val="Footer"/>
      <w:framePr w:wrap="around" w:vAnchor="text" w:hAnchor="page" w:x="5836" w:y="141"/>
      <w:rPr>
        <w:rStyle w:val="PageNumber"/>
      </w:rPr>
    </w:pPr>
    <w:r w:rsidRPr="009C37D6">
      <w:rPr>
        <w:rStyle w:val="PageNumber"/>
        <w:b/>
        <w:sz w:val="32"/>
        <w:szCs w:val="32"/>
      </w:rPr>
      <w:fldChar w:fldCharType="begin"/>
    </w:r>
    <w:r w:rsidRPr="009C37D6">
      <w:rPr>
        <w:rStyle w:val="PageNumber"/>
        <w:b/>
        <w:sz w:val="32"/>
        <w:szCs w:val="32"/>
      </w:rPr>
      <w:instrText xml:space="preserve">PAGE  </w:instrText>
    </w:r>
    <w:r w:rsidRPr="009C37D6">
      <w:rPr>
        <w:rStyle w:val="PageNumber"/>
        <w:b/>
        <w:sz w:val="32"/>
        <w:szCs w:val="32"/>
      </w:rPr>
      <w:fldChar w:fldCharType="separate"/>
    </w:r>
    <w:r>
      <w:rPr>
        <w:rStyle w:val="PageNumber"/>
        <w:b/>
        <w:noProof/>
        <w:sz w:val="32"/>
        <w:szCs w:val="32"/>
      </w:rPr>
      <w:t>8</w:t>
    </w:r>
    <w:r w:rsidRPr="009C37D6">
      <w:rPr>
        <w:rStyle w:val="PageNumber"/>
        <w:b/>
        <w:sz w:val="32"/>
        <w:szCs w:val="32"/>
      </w:rPr>
      <w:fldChar w:fldCharType="end"/>
    </w:r>
  </w:p>
  <w:p w14:paraId="39A6A005" w14:textId="77777777" w:rsidR="009108B8" w:rsidRPr="00CF13EE" w:rsidRDefault="009108B8" w:rsidP="008D0B8B">
    <w:pPr>
      <w:pStyle w:val="Footer"/>
      <w:rPr>
        <w:b/>
      </w:rPr>
    </w:pPr>
    <w:r w:rsidRPr="00FA0487">
      <w:rPr>
        <w:rStyle w:val="PageNumber"/>
        <w:b/>
        <w:sz w:val="22"/>
        <w:szCs w:val="22"/>
      </w:rPr>
      <w:t>South Atlantic Coastal Migratory Pelagics</w:t>
    </w:r>
    <w:r w:rsidRPr="00CF13EE">
      <w:rPr>
        <w:rStyle w:val="PageNumber"/>
        <w:b/>
      </w:rPr>
      <w:tab/>
    </w:r>
    <w:r w:rsidRPr="00CF13EE">
      <w:rPr>
        <w:rStyle w:val="PageNumber"/>
        <w:b/>
      </w:rPr>
      <w:tab/>
      <w:t xml:space="preserve">Chapter </w:t>
    </w:r>
    <w:r>
      <w:rPr>
        <w:rStyle w:val="PageNumber"/>
        <w:b/>
      </w:rPr>
      <w:t>1</w:t>
    </w:r>
    <w:r w:rsidRPr="00CF13EE">
      <w:rPr>
        <w:rStyle w:val="PageNumber"/>
        <w:b/>
      </w:rPr>
      <w:t xml:space="preserve">. </w:t>
    </w:r>
    <w:r>
      <w:rPr>
        <w:rStyle w:val="PageNumber"/>
        <w:b/>
      </w:rPr>
      <w:t>Introduction</w:t>
    </w:r>
  </w:p>
  <w:p w14:paraId="4855B622" w14:textId="77777777" w:rsidR="009108B8" w:rsidRPr="00CF13EE" w:rsidRDefault="009108B8" w:rsidP="008D0B8B">
    <w:pPr>
      <w:pStyle w:val="Footer"/>
      <w:tabs>
        <w:tab w:val="left" w:pos="1900"/>
      </w:tabs>
      <w:rPr>
        <w:b/>
      </w:rPr>
    </w:pPr>
    <w:r>
      <w:rPr>
        <w:b/>
      </w:rPr>
      <w:t>FRAMEWORK ACTION 2013</w:t>
    </w:r>
  </w:p>
  <w:p w14:paraId="1B3919C9" w14:textId="77777777" w:rsidR="009108B8" w:rsidRDefault="009108B8" w:rsidP="008D0B8B">
    <w:pPr>
      <w:pStyle w:val="Footer"/>
      <w:tabs>
        <w:tab w:val="left" w:pos="1900"/>
      </w:tabs>
      <w:rPr>
        <w:sz w:val="16"/>
        <w:szCs w:val="16"/>
      </w:rPr>
    </w:pPr>
    <w:r>
      <w:rPr>
        <w:sz w:val="16"/>
        <w:szCs w:val="16"/>
      </w:rPr>
      <w:tab/>
    </w:r>
    <w:r>
      <w:rPr>
        <w:sz w:val="16"/>
        <w:szCs w:val="16"/>
      </w:rPr>
      <w:tab/>
    </w:r>
    <w:r>
      <w:rPr>
        <w:sz w:val="16"/>
        <w:szCs w:val="16"/>
      </w:rPr>
      <w:tab/>
    </w:r>
  </w:p>
  <w:p w14:paraId="789EE8EA" w14:textId="77777777" w:rsidR="009108B8" w:rsidRDefault="009108B8">
    <w:pPr>
      <w:pStyle w:val="Footer"/>
      <w:tabs>
        <w:tab w:val="left" w:pos="1900"/>
      </w:tabs>
      <w:rPr>
        <w:sz w:val="16"/>
        <w:szCs w:val="16"/>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BEE96" w14:textId="77777777" w:rsidR="009108B8" w:rsidRPr="00504F53" w:rsidRDefault="009108B8">
    <w:pPr>
      <w:pStyle w:val="Footer"/>
      <w:framePr w:wrap="around" w:vAnchor="text" w:hAnchor="margin" w:xAlign="center" w:y="1"/>
      <w:rPr>
        <w:rStyle w:val="PageNumber"/>
      </w:rPr>
    </w:pPr>
    <w:r w:rsidRPr="00504F53">
      <w:rPr>
        <w:rStyle w:val="PageNumber"/>
        <w:b/>
        <w:sz w:val="32"/>
        <w:szCs w:val="32"/>
      </w:rPr>
      <w:fldChar w:fldCharType="begin"/>
    </w:r>
    <w:r w:rsidRPr="00504F53">
      <w:rPr>
        <w:rStyle w:val="PageNumber"/>
        <w:b/>
        <w:sz w:val="32"/>
        <w:szCs w:val="32"/>
      </w:rPr>
      <w:instrText xml:space="preserve">PAGE  </w:instrText>
    </w:r>
    <w:r w:rsidRPr="00504F53">
      <w:rPr>
        <w:rStyle w:val="PageNumber"/>
        <w:b/>
        <w:sz w:val="32"/>
        <w:szCs w:val="32"/>
      </w:rPr>
      <w:fldChar w:fldCharType="separate"/>
    </w:r>
    <w:r w:rsidR="00121B59">
      <w:rPr>
        <w:rStyle w:val="PageNumber"/>
        <w:b/>
        <w:noProof/>
        <w:sz w:val="32"/>
        <w:szCs w:val="32"/>
      </w:rPr>
      <w:t>XIII</w:t>
    </w:r>
    <w:r w:rsidRPr="00504F53">
      <w:rPr>
        <w:rStyle w:val="PageNumber"/>
        <w:b/>
        <w:sz w:val="32"/>
        <w:szCs w:val="32"/>
      </w:rPr>
      <w:fldChar w:fldCharType="end"/>
    </w:r>
  </w:p>
  <w:p w14:paraId="59903521" w14:textId="5D5F62E3" w:rsidR="009108B8" w:rsidRPr="000E374B" w:rsidRDefault="009108B8">
    <w:pPr>
      <w:pStyle w:val="Footer"/>
      <w:tabs>
        <w:tab w:val="left" w:pos="1900"/>
      </w:tabs>
      <w:rPr>
        <w:b/>
      </w:rPr>
    </w:pPr>
    <w:r w:rsidRPr="000E374B">
      <w:rPr>
        <w:b/>
        <w:noProof/>
        <w:sz w:val="16"/>
        <w:szCs w:val="16"/>
      </w:rPr>
      <mc:AlternateContent>
        <mc:Choice Requires="wps">
          <w:drawing>
            <wp:anchor distT="0" distB="0" distL="114300" distR="114300" simplePos="0" relativeHeight="251751936" behindDoc="0" locked="0" layoutInCell="1" allowOverlap="1" wp14:anchorId="04F785AD" wp14:editId="4B60E309">
              <wp:simplePos x="0" y="0"/>
              <wp:positionH relativeFrom="column">
                <wp:posOffset>-184129</wp:posOffset>
              </wp:positionH>
              <wp:positionV relativeFrom="paragraph">
                <wp:posOffset>-108962</wp:posOffset>
              </wp:positionV>
              <wp:extent cx="5486400" cy="8890"/>
              <wp:effectExtent l="0" t="0" r="25400" b="41910"/>
              <wp:wrapNone/>
              <wp:docPr id="2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14.5pt;margin-top:-8.6pt;width:6in;height:.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" strokeweight="1.75pt"/>
          </w:pict>
        </mc:Fallback>
      </mc:AlternateContent>
    </w:r>
    <w:r w:rsidRPr="000E374B">
      <w:rPr>
        <w:b/>
      </w:rPr>
      <w:tab/>
    </w:r>
    <w:r w:rsidRPr="000E374B">
      <w:rPr>
        <w:b/>
      </w:rPr>
      <w:tab/>
    </w:r>
  </w:p>
  <w:p w14:paraId="567CCCCE" w14:textId="2F61783B" w:rsidR="009108B8" w:rsidRPr="000E374B" w:rsidRDefault="009108B8">
    <w:pPr>
      <w:pStyle w:val="Footer"/>
      <w:tabs>
        <w:tab w:val="left" w:pos="1900"/>
      </w:tabs>
      <w:rPr>
        <w:b/>
        <w:sz w:val="16"/>
        <w:szCs w:val="16"/>
      </w:rPr>
    </w:pPr>
    <w:r w:rsidRPr="000E374B">
      <w:rPr>
        <w:b/>
        <w:sz w:val="16"/>
        <w:szCs w:val="16"/>
      </w:rPr>
      <w:tab/>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D51AF" w14:textId="48271670" w:rsidR="009108B8" w:rsidRPr="00504F53" w:rsidRDefault="009108B8">
    <w:pPr>
      <w:pStyle w:val="Footer"/>
      <w:framePr w:wrap="around" w:vAnchor="text" w:hAnchor="margin" w:xAlign="center" w:y="1"/>
      <w:rPr>
        <w:rStyle w:val="PageNumber"/>
      </w:rPr>
    </w:pPr>
    <w:r>
      <w:rPr>
        <w:rStyle w:val="PageNumber"/>
        <w:b/>
        <w:sz w:val="32"/>
        <w:szCs w:val="32"/>
      </w:rPr>
      <w:t>S-</w:t>
    </w:r>
    <w:r w:rsidRPr="00504F53">
      <w:rPr>
        <w:rStyle w:val="PageNumber"/>
        <w:b/>
        <w:sz w:val="32"/>
        <w:szCs w:val="32"/>
      </w:rPr>
      <w:fldChar w:fldCharType="begin"/>
    </w:r>
    <w:r w:rsidRPr="00504F53">
      <w:rPr>
        <w:rStyle w:val="PageNumber"/>
        <w:b/>
        <w:sz w:val="32"/>
        <w:szCs w:val="32"/>
      </w:rPr>
      <w:instrText xml:space="preserve">PAGE  </w:instrText>
    </w:r>
    <w:r w:rsidRPr="00504F53">
      <w:rPr>
        <w:rStyle w:val="PageNumber"/>
        <w:b/>
        <w:sz w:val="32"/>
        <w:szCs w:val="32"/>
      </w:rPr>
      <w:fldChar w:fldCharType="separate"/>
    </w:r>
    <w:r w:rsidR="00121B59">
      <w:rPr>
        <w:rStyle w:val="PageNumber"/>
        <w:b/>
        <w:noProof/>
        <w:sz w:val="32"/>
        <w:szCs w:val="32"/>
      </w:rPr>
      <w:t>5</w:t>
    </w:r>
    <w:r w:rsidRPr="00504F53">
      <w:rPr>
        <w:rStyle w:val="PageNumber"/>
        <w:b/>
        <w:sz w:val="32"/>
        <w:szCs w:val="32"/>
      </w:rPr>
      <w:fldChar w:fldCharType="end"/>
    </w:r>
  </w:p>
  <w:p w14:paraId="65339DDC" w14:textId="37F983C3" w:rsidR="009108B8" w:rsidRDefault="009108B8">
    <w:pPr>
      <w:pStyle w:val="Footer"/>
      <w:tabs>
        <w:tab w:val="left" w:pos="1900"/>
      </w:tabs>
      <w:rPr>
        <w:b/>
      </w:rPr>
    </w:pPr>
    <w:r w:rsidRPr="000E374B">
      <w:rPr>
        <w:b/>
        <w:noProof/>
        <w:sz w:val="16"/>
        <w:szCs w:val="16"/>
      </w:rPr>
      <mc:AlternateContent>
        <mc:Choice Requires="wps">
          <w:drawing>
            <wp:anchor distT="0" distB="0" distL="114300" distR="114300" simplePos="0" relativeHeight="251753984" behindDoc="0" locked="0" layoutInCell="1" allowOverlap="1" wp14:anchorId="7C413121" wp14:editId="6C06AD5B">
              <wp:simplePos x="0" y="0"/>
              <wp:positionH relativeFrom="column">
                <wp:posOffset>-184129</wp:posOffset>
              </wp:positionH>
              <wp:positionV relativeFrom="paragraph">
                <wp:posOffset>-108962</wp:posOffset>
              </wp:positionV>
              <wp:extent cx="5486400" cy="8890"/>
              <wp:effectExtent l="0" t="0" r="25400" b="41910"/>
              <wp:wrapNone/>
              <wp:docPr id="3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14.5pt;margin-top:-8.6pt;width:6in;height:.7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" strokeweight="1.75pt"/>
          </w:pict>
        </mc:Fallback>
      </mc:AlternateContent>
    </w:r>
    <w:r w:rsidRPr="000E374B">
      <w:rPr>
        <w:b/>
      </w:rPr>
      <w:t>South Atlantic Snapper Grouper</w:t>
    </w:r>
    <w:r w:rsidRPr="000E374B">
      <w:rPr>
        <w:b/>
      </w:rPr>
      <w:tab/>
    </w:r>
    <w:r w:rsidRPr="000E374B">
      <w:rPr>
        <w:b/>
      </w:rPr>
      <w:tab/>
    </w:r>
    <w:r>
      <w:rPr>
        <w:b/>
      </w:rPr>
      <w:t>Summary</w:t>
    </w:r>
  </w:p>
  <w:p w14:paraId="083BE15C" w14:textId="76B28B7D" w:rsidR="009108B8" w:rsidRPr="000E374B" w:rsidRDefault="009108B8">
    <w:pPr>
      <w:pStyle w:val="Footer"/>
      <w:tabs>
        <w:tab w:val="left" w:pos="1900"/>
      </w:tabs>
      <w:rPr>
        <w:b/>
        <w:sz w:val="16"/>
        <w:szCs w:val="16"/>
      </w:rPr>
    </w:pPr>
    <w:r w:rsidRPr="000E374B">
      <w:rPr>
        <w:b/>
      </w:rPr>
      <w:t xml:space="preserve">AMENDMENT </w:t>
    </w:r>
    <w:r>
      <w:rPr>
        <w:b/>
      </w:rPr>
      <w:t>41</w:t>
    </w:r>
    <w:r w:rsidRPr="000E374B">
      <w:rPr>
        <w:b/>
        <w:sz w:val="16"/>
        <w:szCs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C67800" w14:textId="77777777" w:rsidR="009108B8" w:rsidRDefault="009108B8">
      <w:r>
        <w:separator/>
      </w:r>
    </w:p>
  </w:footnote>
  <w:footnote w:type="continuationSeparator" w:id="0">
    <w:p w14:paraId="2F036288" w14:textId="77777777" w:rsidR="009108B8" w:rsidRDefault="009108B8">
      <w:r>
        <w:continuationSeparator/>
      </w:r>
    </w:p>
  </w:footnote>
  <w:footnote w:type="continuationNotice" w:id="1">
    <w:p w14:paraId="6990FEB7" w14:textId="77777777" w:rsidR="009108B8" w:rsidRDefault="009108B8"/>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77D5"/>
    <w:multiLevelType w:val="hybridMultilevel"/>
    <w:tmpl w:val="C678861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E016B"/>
    <w:multiLevelType w:val="hybridMultilevel"/>
    <w:tmpl w:val="84E4A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6F55E4"/>
    <w:multiLevelType w:val="hybridMultilevel"/>
    <w:tmpl w:val="81D68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170FEE"/>
    <w:multiLevelType w:val="hybridMultilevel"/>
    <w:tmpl w:val="0B5C2C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CE6E12"/>
    <w:multiLevelType w:val="hybridMultilevel"/>
    <w:tmpl w:val="D8E460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8F67CD2"/>
    <w:multiLevelType w:val="hybridMultilevel"/>
    <w:tmpl w:val="B9C427BC"/>
    <w:lvl w:ilvl="0" w:tplc="A1D4CC84">
      <w:start w:val="1"/>
      <w:numFmt w:val="decimal"/>
      <w:lvlText w:val="%1."/>
      <w:lvlJc w:val="left"/>
      <w:pPr>
        <w:ind w:left="900" w:hanging="360"/>
      </w:pPr>
      <w:rPr>
        <w:b/>
        <w:sz w:val="28"/>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0B753971"/>
    <w:multiLevelType w:val="hybridMultilevel"/>
    <w:tmpl w:val="A676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8162AF"/>
    <w:multiLevelType w:val="hybridMultilevel"/>
    <w:tmpl w:val="54C4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C800FF"/>
    <w:multiLevelType w:val="hybridMultilevel"/>
    <w:tmpl w:val="A852CF5A"/>
    <w:lvl w:ilvl="0" w:tplc="FFC4A9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FCC337B"/>
    <w:multiLevelType w:val="hybridMultilevel"/>
    <w:tmpl w:val="9858E852"/>
    <w:lvl w:ilvl="0" w:tplc="6FB021EC">
      <w:numFmt w:val="bullet"/>
      <w:lvlText w:val="•"/>
      <w:lvlJc w:val="left"/>
      <w:pPr>
        <w:ind w:left="-360" w:hanging="360"/>
      </w:pPr>
      <w:rPr>
        <w:rFonts w:ascii="Times New Roman" w:eastAsiaTheme="minorEastAsia" w:hAnsi="Times New Roman" w:hint="default"/>
        <w:w w:val="13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FEE4335"/>
    <w:multiLevelType w:val="hybridMultilevel"/>
    <w:tmpl w:val="1A84B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062ACE"/>
    <w:multiLevelType w:val="multilevel"/>
    <w:tmpl w:val="D0446BF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4E26399"/>
    <w:multiLevelType w:val="hybridMultilevel"/>
    <w:tmpl w:val="D3FCE1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5A179C"/>
    <w:multiLevelType w:val="hybridMultilevel"/>
    <w:tmpl w:val="9C46CD12"/>
    <w:lvl w:ilvl="0" w:tplc="C9FEB1CA">
      <w:start w:val="1"/>
      <w:numFmt w:val="bullet"/>
      <w:lvlText w:val=""/>
      <w:lvlJc w:val="left"/>
      <w:pPr>
        <w:ind w:left="720" w:hanging="360"/>
      </w:pPr>
      <w:rPr>
        <w:rFonts w:ascii="Symbol" w:hAnsi="Symbol" w:hint="default"/>
        <w:color w:val="548DD4"/>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D1693A"/>
    <w:multiLevelType w:val="hybridMultilevel"/>
    <w:tmpl w:val="21982AE0"/>
    <w:lvl w:ilvl="0" w:tplc="DD70CC64">
      <w:start w:val="1"/>
      <w:numFmt w:val="bullet"/>
      <w:lvlText w:val="-"/>
      <w:lvlJc w:val="left"/>
      <w:pPr>
        <w:ind w:left="1440" w:hanging="360"/>
      </w:pPr>
      <w:rPr>
        <w:rFonts w:ascii="Cambria" w:hAnsi="Cambri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E2F200D"/>
    <w:multiLevelType w:val="hybridMultilevel"/>
    <w:tmpl w:val="A54CB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FE3AA0"/>
    <w:multiLevelType w:val="multilevel"/>
    <w:tmpl w:val="8EBA18B2"/>
    <w:lvl w:ilvl="0">
      <w:start w:val="1"/>
      <w:numFmt w:val="decimal"/>
      <w:lvlText w:val="%1."/>
      <w:lvlJc w:val="left"/>
      <w:pPr>
        <w:tabs>
          <w:tab w:val="num" w:pos="720"/>
        </w:tabs>
        <w:ind w:left="720" w:hanging="360"/>
      </w:pPr>
      <w:rPr>
        <w:rFonts w:hint="default"/>
      </w:rPr>
    </w:lvl>
    <w:lvl w:ilvl="1">
      <w:start w:val="14"/>
      <w:numFmt w:val="decimal"/>
      <w:isLgl/>
      <w:lvlText w:val="%1.%2"/>
      <w:lvlJc w:val="left"/>
      <w:pPr>
        <w:tabs>
          <w:tab w:val="num" w:pos="825"/>
        </w:tabs>
        <w:ind w:left="825" w:hanging="465"/>
      </w:pPr>
      <w:rPr>
        <w:rFonts w:ascii="Arial" w:hAnsi="Arial" w:cs="Arial" w:hint="default"/>
      </w:rPr>
    </w:lvl>
    <w:lvl w:ilvl="2">
      <w:start w:val="1"/>
      <w:numFmt w:val="decimal"/>
      <w:isLgl/>
      <w:lvlText w:val="%1.%2.%3"/>
      <w:lvlJc w:val="left"/>
      <w:pPr>
        <w:tabs>
          <w:tab w:val="num" w:pos="1080"/>
        </w:tabs>
        <w:ind w:left="1080" w:hanging="720"/>
      </w:pPr>
      <w:rPr>
        <w:rFonts w:ascii="Arial" w:hAnsi="Arial" w:cs="Arial" w:hint="default"/>
      </w:rPr>
    </w:lvl>
    <w:lvl w:ilvl="3">
      <w:start w:val="1"/>
      <w:numFmt w:val="decimal"/>
      <w:isLgl/>
      <w:lvlText w:val="%1.%2.%3.%4"/>
      <w:lvlJc w:val="left"/>
      <w:pPr>
        <w:tabs>
          <w:tab w:val="num" w:pos="1080"/>
        </w:tabs>
        <w:ind w:left="1080" w:hanging="720"/>
      </w:pPr>
      <w:rPr>
        <w:rFonts w:ascii="Arial" w:hAnsi="Arial" w:cs="Arial" w:hint="default"/>
      </w:rPr>
    </w:lvl>
    <w:lvl w:ilvl="4">
      <w:start w:val="1"/>
      <w:numFmt w:val="decimal"/>
      <w:isLgl/>
      <w:lvlText w:val="%1.%2.%3.%4.%5"/>
      <w:lvlJc w:val="left"/>
      <w:pPr>
        <w:tabs>
          <w:tab w:val="num" w:pos="1440"/>
        </w:tabs>
        <w:ind w:left="1440" w:hanging="1080"/>
      </w:pPr>
      <w:rPr>
        <w:rFonts w:ascii="Arial" w:hAnsi="Arial" w:cs="Arial" w:hint="default"/>
      </w:rPr>
    </w:lvl>
    <w:lvl w:ilvl="5">
      <w:start w:val="1"/>
      <w:numFmt w:val="decimal"/>
      <w:isLgl/>
      <w:lvlText w:val="%1.%2.%3.%4.%5.%6"/>
      <w:lvlJc w:val="left"/>
      <w:pPr>
        <w:tabs>
          <w:tab w:val="num" w:pos="1440"/>
        </w:tabs>
        <w:ind w:left="1440" w:hanging="1080"/>
      </w:pPr>
      <w:rPr>
        <w:rFonts w:ascii="Arial" w:hAnsi="Arial" w:cs="Arial" w:hint="default"/>
      </w:rPr>
    </w:lvl>
    <w:lvl w:ilvl="6">
      <w:start w:val="1"/>
      <w:numFmt w:val="decimal"/>
      <w:isLgl/>
      <w:lvlText w:val="%1.%2.%3.%4.%5.%6.%7"/>
      <w:lvlJc w:val="left"/>
      <w:pPr>
        <w:tabs>
          <w:tab w:val="num" w:pos="1800"/>
        </w:tabs>
        <w:ind w:left="1800" w:hanging="1440"/>
      </w:pPr>
      <w:rPr>
        <w:rFonts w:ascii="Arial" w:hAnsi="Arial" w:cs="Arial" w:hint="default"/>
      </w:rPr>
    </w:lvl>
    <w:lvl w:ilvl="7">
      <w:start w:val="1"/>
      <w:numFmt w:val="decimal"/>
      <w:isLgl/>
      <w:lvlText w:val="%1.%2.%3.%4.%5.%6.%7.%8"/>
      <w:lvlJc w:val="left"/>
      <w:pPr>
        <w:tabs>
          <w:tab w:val="num" w:pos="1800"/>
        </w:tabs>
        <w:ind w:left="1800" w:hanging="1440"/>
      </w:pPr>
      <w:rPr>
        <w:rFonts w:ascii="Arial" w:hAnsi="Arial" w:cs="Arial" w:hint="default"/>
      </w:rPr>
    </w:lvl>
    <w:lvl w:ilvl="8">
      <w:start w:val="1"/>
      <w:numFmt w:val="decimal"/>
      <w:isLgl/>
      <w:lvlText w:val="%1.%2.%3.%4.%5.%6.%7.%8.%9"/>
      <w:lvlJc w:val="left"/>
      <w:pPr>
        <w:tabs>
          <w:tab w:val="num" w:pos="2160"/>
        </w:tabs>
        <w:ind w:left="2160" w:hanging="1800"/>
      </w:pPr>
      <w:rPr>
        <w:rFonts w:ascii="Arial" w:hAnsi="Arial" w:cs="Arial" w:hint="default"/>
      </w:rPr>
    </w:lvl>
  </w:abstractNum>
  <w:abstractNum w:abstractNumId="17">
    <w:nsid w:val="21451254"/>
    <w:multiLevelType w:val="hybridMultilevel"/>
    <w:tmpl w:val="2612D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E41206"/>
    <w:multiLevelType w:val="hybridMultilevel"/>
    <w:tmpl w:val="B638020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CA08DC"/>
    <w:multiLevelType w:val="hybridMultilevel"/>
    <w:tmpl w:val="148EE33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523B2E"/>
    <w:multiLevelType w:val="hybridMultilevel"/>
    <w:tmpl w:val="3C48E6F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2AB05A0A"/>
    <w:multiLevelType w:val="multilevel"/>
    <w:tmpl w:val="365CD914"/>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2BC67BD0"/>
    <w:multiLevelType w:val="hybridMultilevel"/>
    <w:tmpl w:val="3E06FB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2D2D54D1"/>
    <w:multiLevelType w:val="hybridMultilevel"/>
    <w:tmpl w:val="16807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A309BA"/>
    <w:multiLevelType w:val="hybridMultilevel"/>
    <w:tmpl w:val="994A462C"/>
    <w:lvl w:ilvl="0" w:tplc="5678D0A4">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C00AC7"/>
    <w:multiLevelType w:val="hybridMultilevel"/>
    <w:tmpl w:val="5490AD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2237FF4"/>
    <w:multiLevelType w:val="multilevel"/>
    <w:tmpl w:val="132CE36E"/>
    <w:lvl w:ilvl="0">
      <w:start w:val="1"/>
      <w:numFmt w:val="decimal"/>
      <w:lvlText w:val="%1"/>
      <w:lvlJc w:val="left"/>
      <w:pPr>
        <w:ind w:left="384" w:hanging="384"/>
      </w:pPr>
      <w:rPr>
        <w:rFonts w:hint="default"/>
        <w:color w:val="FFFFFF"/>
      </w:rPr>
    </w:lvl>
    <w:lvl w:ilvl="1">
      <w:start w:val="1"/>
      <w:numFmt w:val="decimal"/>
      <w:lvlText w:val="%1.%2"/>
      <w:lvlJc w:val="left"/>
      <w:pPr>
        <w:ind w:left="900" w:hanging="72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
    <w:nsid w:val="456C7B69"/>
    <w:multiLevelType w:val="hybridMultilevel"/>
    <w:tmpl w:val="CFBA9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CF2F7A"/>
    <w:multiLevelType w:val="hybridMultilevel"/>
    <w:tmpl w:val="9B3A8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55599D"/>
    <w:multiLevelType w:val="hybridMultilevel"/>
    <w:tmpl w:val="47F01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FA4619"/>
    <w:multiLevelType w:val="hybridMultilevel"/>
    <w:tmpl w:val="E03022FC"/>
    <w:lvl w:ilvl="0" w:tplc="04090001">
      <w:start w:val="1"/>
      <w:numFmt w:val="bullet"/>
      <w:lvlText w:val=""/>
      <w:lvlJc w:val="left"/>
      <w:pPr>
        <w:ind w:left="1580" w:hanging="360"/>
      </w:pPr>
      <w:rPr>
        <w:rFonts w:ascii="Symbol" w:hAnsi="Symbol" w:hint="default"/>
      </w:rPr>
    </w:lvl>
    <w:lvl w:ilvl="1" w:tplc="04090003" w:tentative="1">
      <w:start w:val="1"/>
      <w:numFmt w:val="bullet"/>
      <w:lvlText w:val="o"/>
      <w:lvlJc w:val="left"/>
      <w:pPr>
        <w:ind w:left="2300" w:hanging="360"/>
      </w:pPr>
      <w:rPr>
        <w:rFonts w:ascii="Courier New" w:hAnsi="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31">
    <w:nsid w:val="4DA156B7"/>
    <w:multiLevelType w:val="hybridMultilevel"/>
    <w:tmpl w:val="E4646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5300FE"/>
    <w:multiLevelType w:val="hybridMultilevel"/>
    <w:tmpl w:val="8576A88C"/>
    <w:lvl w:ilvl="0" w:tplc="D92037F0">
      <w:start w:val="1"/>
      <w:numFmt w:val="upperRoman"/>
      <w:lvlText w:val="%1."/>
      <w:lvlJc w:val="left"/>
      <w:pPr>
        <w:ind w:left="1080" w:hanging="720"/>
      </w:pPr>
      <w:rPr>
        <w:rFonts w:hint="default"/>
        <w:b/>
      </w:rPr>
    </w:lvl>
    <w:lvl w:ilvl="1" w:tplc="899EFCF6">
      <w:start w:val="1"/>
      <w:numFmt w:val="decimal"/>
      <w:lvlText w:val="%2."/>
      <w:lvlJc w:val="left"/>
      <w:pPr>
        <w:ind w:left="1440" w:hanging="360"/>
      </w:pPr>
      <w:rPr>
        <w:b/>
        <w:sz w:val="24"/>
        <w:szCs w:val="24"/>
      </w:rPr>
    </w:lvl>
    <w:lvl w:ilvl="2" w:tplc="04090019">
      <w:start w:val="1"/>
      <w:numFmt w:val="lowerLetter"/>
      <w:lvlText w:val="%3."/>
      <w:lvlJc w:val="lef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217DDC"/>
    <w:multiLevelType w:val="hybridMultilevel"/>
    <w:tmpl w:val="716E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1B6C09"/>
    <w:multiLevelType w:val="hybridMultilevel"/>
    <w:tmpl w:val="39E67D80"/>
    <w:lvl w:ilvl="0" w:tplc="ABC40B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EA22DA2"/>
    <w:multiLevelType w:val="multilevel"/>
    <w:tmpl w:val="D75219E2"/>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18328E7"/>
    <w:multiLevelType w:val="hybridMultilevel"/>
    <w:tmpl w:val="B8867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5AD788D"/>
    <w:multiLevelType w:val="hybridMultilevel"/>
    <w:tmpl w:val="31D2B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8C7401"/>
    <w:multiLevelType w:val="hybridMultilevel"/>
    <w:tmpl w:val="1C7AB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3A2274"/>
    <w:multiLevelType w:val="hybridMultilevel"/>
    <w:tmpl w:val="E2D6DF18"/>
    <w:lvl w:ilvl="0" w:tplc="8F68274C">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535271"/>
    <w:multiLevelType w:val="multilevel"/>
    <w:tmpl w:val="E548AE7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E00512D"/>
    <w:multiLevelType w:val="hybridMultilevel"/>
    <w:tmpl w:val="B0961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5F101A"/>
    <w:multiLevelType w:val="hybridMultilevel"/>
    <w:tmpl w:val="BB2C3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585279"/>
    <w:multiLevelType w:val="hybridMultilevel"/>
    <w:tmpl w:val="D202308C"/>
    <w:lvl w:ilvl="0" w:tplc="6FB021EC">
      <w:numFmt w:val="bullet"/>
      <w:lvlText w:val="•"/>
      <w:lvlJc w:val="left"/>
      <w:pPr>
        <w:ind w:hanging="360"/>
      </w:pPr>
      <w:rPr>
        <w:rFonts w:ascii="Times New Roman" w:eastAsiaTheme="minorEastAsia" w:hAnsi="Times New Roman" w:hint="default"/>
        <w:w w:val="131"/>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4">
    <w:nsid w:val="745B0A4B"/>
    <w:multiLevelType w:val="hybridMultilevel"/>
    <w:tmpl w:val="150A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2B19D8"/>
    <w:multiLevelType w:val="hybridMultilevel"/>
    <w:tmpl w:val="7E4CC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630046"/>
    <w:multiLevelType w:val="hybridMultilevel"/>
    <w:tmpl w:val="A852CF5A"/>
    <w:lvl w:ilvl="0" w:tplc="FFC4A9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37"/>
  </w:num>
  <w:num w:numId="3">
    <w:abstractNumId w:val="13"/>
  </w:num>
  <w:num w:numId="4">
    <w:abstractNumId w:val="17"/>
  </w:num>
  <w:num w:numId="5">
    <w:abstractNumId w:val="45"/>
  </w:num>
  <w:num w:numId="6">
    <w:abstractNumId w:val="25"/>
  </w:num>
  <w:num w:numId="7">
    <w:abstractNumId w:val="23"/>
  </w:num>
  <w:num w:numId="8">
    <w:abstractNumId w:val="11"/>
  </w:num>
  <w:num w:numId="9">
    <w:abstractNumId w:val="32"/>
  </w:num>
  <w:num w:numId="10">
    <w:abstractNumId w:val="34"/>
  </w:num>
  <w:num w:numId="11">
    <w:abstractNumId w:val="21"/>
  </w:num>
  <w:num w:numId="12">
    <w:abstractNumId w:val="16"/>
  </w:num>
  <w:num w:numId="13">
    <w:abstractNumId w:val="39"/>
  </w:num>
  <w:num w:numId="14">
    <w:abstractNumId w:val="24"/>
  </w:num>
  <w:num w:numId="15">
    <w:abstractNumId w:val="7"/>
  </w:num>
  <w:num w:numId="16">
    <w:abstractNumId w:val="30"/>
  </w:num>
  <w:num w:numId="17">
    <w:abstractNumId w:val="36"/>
  </w:num>
  <w:num w:numId="18">
    <w:abstractNumId w:val="43"/>
  </w:num>
  <w:num w:numId="19">
    <w:abstractNumId w:val="9"/>
  </w:num>
  <w:num w:numId="20">
    <w:abstractNumId w:val="4"/>
  </w:num>
  <w:num w:numId="21">
    <w:abstractNumId w:val="40"/>
  </w:num>
  <w:num w:numId="22">
    <w:abstractNumId w:val="46"/>
  </w:num>
  <w:num w:numId="23">
    <w:abstractNumId w:val="8"/>
  </w:num>
  <w:num w:numId="24">
    <w:abstractNumId w:val="6"/>
  </w:num>
  <w:num w:numId="25">
    <w:abstractNumId w:val="20"/>
  </w:num>
  <w:num w:numId="26">
    <w:abstractNumId w:val="19"/>
  </w:num>
  <w:num w:numId="27">
    <w:abstractNumId w:val="29"/>
  </w:num>
  <w:num w:numId="28">
    <w:abstractNumId w:val="18"/>
  </w:num>
  <w:num w:numId="29">
    <w:abstractNumId w:val="14"/>
  </w:num>
  <w:num w:numId="30">
    <w:abstractNumId w:val="12"/>
  </w:num>
  <w:num w:numId="31">
    <w:abstractNumId w:val="0"/>
  </w:num>
  <w:num w:numId="32">
    <w:abstractNumId w:val="22"/>
  </w:num>
  <w:num w:numId="33">
    <w:abstractNumId w:val="5"/>
  </w:num>
  <w:num w:numId="34">
    <w:abstractNumId w:val="3"/>
  </w:num>
  <w:num w:numId="35">
    <w:abstractNumId w:val="31"/>
  </w:num>
  <w:num w:numId="36">
    <w:abstractNumId w:val="44"/>
  </w:num>
  <w:num w:numId="37">
    <w:abstractNumId w:val="33"/>
  </w:num>
  <w:num w:numId="38">
    <w:abstractNumId w:val="38"/>
  </w:num>
  <w:num w:numId="39">
    <w:abstractNumId w:val="42"/>
  </w:num>
  <w:num w:numId="40">
    <w:abstractNumId w:val="15"/>
  </w:num>
  <w:num w:numId="41">
    <w:abstractNumId w:val="2"/>
  </w:num>
  <w:num w:numId="42">
    <w:abstractNumId w:val="41"/>
  </w:num>
  <w:num w:numId="43">
    <w:abstractNumId w:val="28"/>
  </w:num>
  <w:num w:numId="44">
    <w:abstractNumId w:val="1"/>
  </w:num>
  <w:num w:numId="45">
    <w:abstractNumId w:val="10"/>
  </w:num>
  <w:num w:numId="46">
    <w:abstractNumId w:val="27"/>
  </w:num>
  <w:num w:numId="47">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hideGrammaticalErrors/>
  <w:activeWritingStyle w:appName="MSWord" w:lang="en-US" w:vendorID="64" w:dllVersion="131078" w:nlCheck="1" w:checkStyle="0"/>
  <w:activeWritingStyle w:appName="MSWord" w:lang="en-CA" w:vendorID="64" w:dllVersion="131078" w:nlCheck="1" w:checkStyle="1"/>
  <w:activeWritingStyle w:appName="MSWord" w:lang="en-GB" w:vendorID="64" w:dllVersion="131078" w:nlCheck="1" w:checkStyle="1"/>
  <w:activeWritingStyle w:appName="MSWord" w:lang="en-US" w:vendorID="64" w:dllVersion="131077" w:nlCheck="1" w:checkStyle="1"/>
  <w:activeWritingStyle w:appName="MSWord" w:lang="en-CA" w:vendorID="64" w:dllVersion="131077" w:nlCheck="1" w:checkStyle="1"/>
  <w:activeWritingStyle w:appName="MSWord" w:lang="en-GB" w:vendorID="64" w:dllVersion="131077" w:nlCheck="1" w:checkStyle="1"/>
  <w:activeWritingStyle w:appName="MSWord" w:lang="es-SV" w:vendorID="64" w:dllVersion="131078" w:nlCheck="1" w:checkStyle="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50" fillcolor="white" strokecolor="#4f81bd">
      <v:fill color="white"/>
      <v:stroke color="#4f81bd" weight="2.5pt"/>
      <v:shadow on="t" color="#868686" opacity=".5" offset="6pt,-6pt"/>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864"/>
    <w:rsid w:val="0000031C"/>
    <w:rsid w:val="000003CD"/>
    <w:rsid w:val="000018FA"/>
    <w:rsid w:val="0000271F"/>
    <w:rsid w:val="000036AE"/>
    <w:rsid w:val="00003838"/>
    <w:rsid w:val="000042F2"/>
    <w:rsid w:val="000045D7"/>
    <w:rsid w:val="00004D42"/>
    <w:rsid w:val="00004E27"/>
    <w:rsid w:val="0000502F"/>
    <w:rsid w:val="0000558D"/>
    <w:rsid w:val="00005F4F"/>
    <w:rsid w:val="00005F9C"/>
    <w:rsid w:val="00006060"/>
    <w:rsid w:val="0000613D"/>
    <w:rsid w:val="0000672F"/>
    <w:rsid w:val="00006826"/>
    <w:rsid w:val="00006F2B"/>
    <w:rsid w:val="00006FF3"/>
    <w:rsid w:val="000070E8"/>
    <w:rsid w:val="000072DF"/>
    <w:rsid w:val="00007A84"/>
    <w:rsid w:val="00007FD8"/>
    <w:rsid w:val="000102E1"/>
    <w:rsid w:val="000109FC"/>
    <w:rsid w:val="00010A6C"/>
    <w:rsid w:val="00010DAA"/>
    <w:rsid w:val="0001101A"/>
    <w:rsid w:val="00012986"/>
    <w:rsid w:val="00013304"/>
    <w:rsid w:val="00013665"/>
    <w:rsid w:val="00013711"/>
    <w:rsid w:val="00013F19"/>
    <w:rsid w:val="000143FD"/>
    <w:rsid w:val="00014B32"/>
    <w:rsid w:val="00015514"/>
    <w:rsid w:val="00016A45"/>
    <w:rsid w:val="00016FBD"/>
    <w:rsid w:val="000177F2"/>
    <w:rsid w:val="00017E8D"/>
    <w:rsid w:val="0002050D"/>
    <w:rsid w:val="00020D8D"/>
    <w:rsid w:val="00022262"/>
    <w:rsid w:val="000235B9"/>
    <w:rsid w:val="00023C95"/>
    <w:rsid w:val="000247AB"/>
    <w:rsid w:val="00024EBD"/>
    <w:rsid w:val="000261BC"/>
    <w:rsid w:val="00027194"/>
    <w:rsid w:val="00030168"/>
    <w:rsid w:val="0003060C"/>
    <w:rsid w:val="00030CD0"/>
    <w:rsid w:val="00031052"/>
    <w:rsid w:val="000315E7"/>
    <w:rsid w:val="00031B9D"/>
    <w:rsid w:val="00032623"/>
    <w:rsid w:val="0003371F"/>
    <w:rsid w:val="00033F2E"/>
    <w:rsid w:val="00035323"/>
    <w:rsid w:val="000356A4"/>
    <w:rsid w:val="00035B7F"/>
    <w:rsid w:val="00035B87"/>
    <w:rsid w:val="00035F93"/>
    <w:rsid w:val="00036E2B"/>
    <w:rsid w:val="00037563"/>
    <w:rsid w:val="000375C3"/>
    <w:rsid w:val="000401B9"/>
    <w:rsid w:val="00040643"/>
    <w:rsid w:val="00040D40"/>
    <w:rsid w:val="00041C91"/>
    <w:rsid w:val="00041D10"/>
    <w:rsid w:val="0004215B"/>
    <w:rsid w:val="00042242"/>
    <w:rsid w:val="00042A4A"/>
    <w:rsid w:val="00042F0D"/>
    <w:rsid w:val="00043455"/>
    <w:rsid w:val="00044BF2"/>
    <w:rsid w:val="00044F0E"/>
    <w:rsid w:val="00045318"/>
    <w:rsid w:val="00045708"/>
    <w:rsid w:val="00046FF3"/>
    <w:rsid w:val="00047F5F"/>
    <w:rsid w:val="0005072A"/>
    <w:rsid w:val="00050D3C"/>
    <w:rsid w:val="00051F8F"/>
    <w:rsid w:val="00052AA7"/>
    <w:rsid w:val="00052BDE"/>
    <w:rsid w:val="00052DFD"/>
    <w:rsid w:val="00053234"/>
    <w:rsid w:val="00053AE9"/>
    <w:rsid w:val="00053EA9"/>
    <w:rsid w:val="0005495E"/>
    <w:rsid w:val="000556D6"/>
    <w:rsid w:val="00055936"/>
    <w:rsid w:val="00055F28"/>
    <w:rsid w:val="00060621"/>
    <w:rsid w:val="00061241"/>
    <w:rsid w:val="000612F5"/>
    <w:rsid w:val="00061B17"/>
    <w:rsid w:val="0006271A"/>
    <w:rsid w:val="00063647"/>
    <w:rsid w:val="0006376E"/>
    <w:rsid w:val="00063B03"/>
    <w:rsid w:val="00063DDE"/>
    <w:rsid w:val="00064B70"/>
    <w:rsid w:val="00064C08"/>
    <w:rsid w:val="000651A6"/>
    <w:rsid w:val="00065373"/>
    <w:rsid w:val="00065CB3"/>
    <w:rsid w:val="00066222"/>
    <w:rsid w:val="000666D5"/>
    <w:rsid w:val="00066E64"/>
    <w:rsid w:val="000678CF"/>
    <w:rsid w:val="0007041C"/>
    <w:rsid w:val="00070563"/>
    <w:rsid w:val="000708AA"/>
    <w:rsid w:val="00071EA2"/>
    <w:rsid w:val="0007208A"/>
    <w:rsid w:val="0007251B"/>
    <w:rsid w:val="00073073"/>
    <w:rsid w:val="00073087"/>
    <w:rsid w:val="00073C09"/>
    <w:rsid w:val="000753CF"/>
    <w:rsid w:val="0007694F"/>
    <w:rsid w:val="00076FA9"/>
    <w:rsid w:val="00077430"/>
    <w:rsid w:val="000778A5"/>
    <w:rsid w:val="00077E91"/>
    <w:rsid w:val="0008072A"/>
    <w:rsid w:val="00080C19"/>
    <w:rsid w:val="000810A8"/>
    <w:rsid w:val="00081E2B"/>
    <w:rsid w:val="000823C2"/>
    <w:rsid w:val="00082439"/>
    <w:rsid w:val="0008265C"/>
    <w:rsid w:val="00082688"/>
    <w:rsid w:val="000829A8"/>
    <w:rsid w:val="00082C29"/>
    <w:rsid w:val="00083BED"/>
    <w:rsid w:val="00084202"/>
    <w:rsid w:val="0008420F"/>
    <w:rsid w:val="000842DB"/>
    <w:rsid w:val="000845E1"/>
    <w:rsid w:val="0008484D"/>
    <w:rsid w:val="00085BEC"/>
    <w:rsid w:val="00085E3E"/>
    <w:rsid w:val="00086584"/>
    <w:rsid w:val="00087588"/>
    <w:rsid w:val="00087963"/>
    <w:rsid w:val="00087A9E"/>
    <w:rsid w:val="00087EBE"/>
    <w:rsid w:val="00090BC2"/>
    <w:rsid w:val="00090F4B"/>
    <w:rsid w:val="000915D2"/>
    <w:rsid w:val="00091B87"/>
    <w:rsid w:val="00091DA1"/>
    <w:rsid w:val="00093221"/>
    <w:rsid w:val="00093382"/>
    <w:rsid w:val="00093471"/>
    <w:rsid w:val="00093698"/>
    <w:rsid w:val="000949F2"/>
    <w:rsid w:val="00095420"/>
    <w:rsid w:val="00096566"/>
    <w:rsid w:val="000966E1"/>
    <w:rsid w:val="00096C2D"/>
    <w:rsid w:val="00096F9A"/>
    <w:rsid w:val="00097183"/>
    <w:rsid w:val="000973E5"/>
    <w:rsid w:val="000A25F9"/>
    <w:rsid w:val="000A2BF7"/>
    <w:rsid w:val="000A48A9"/>
    <w:rsid w:val="000A4EA9"/>
    <w:rsid w:val="000A4EAB"/>
    <w:rsid w:val="000A523E"/>
    <w:rsid w:val="000A52C6"/>
    <w:rsid w:val="000A5525"/>
    <w:rsid w:val="000A5E19"/>
    <w:rsid w:val="000A626B"/>
    <w:rsid w:val="000A70FE"/>
    <w:rsid w:val="000B122E"/>
    <w:rsid w:val="000B1C67"/>
    <w:rsid w:val="000B1E6D"/>
    <w:rsid w:val="000B2119"/>
    <w:rsid w:val="000B245F"/>
    <w:rsid w:val="000B2BAD"/>
    <w:rsid w:val="000B2C10"/>
    <w:rsid w:val="000B2DE5"/>
    <w:rsid w:val="000B3545"/>
    <w:rsid w:val="000B3FF0"/>
    <w:rsid w:val="000B517A"/>
    <w:rsid w:val="000B56C7"/>
    <w:rsid w:val="000B60C0"/>
    <w:rsid w:val="000B73BC"/>
    <w:rsid w:val="000C01E0"/>
    <w:rsid w:val="000C03F3"/>
    <w:rsid w:val="000C081A"/>
    <w:rsid w:val="000C0C15"/>
    <w:rsid w:val="000C11A3"/>
    <w:rsid w:val="000C152A"/>
    <w:rsid w:val="000C17D7"/>
    <w:rsid w:val="000C24F8"/>
    <w:rsid w:val="000C27AB"/>
    <w:rsid w:val="000C4058"/>
    <w:rsid w:val="000C4129"/>
    <w:rsid w:val="000C4352"/>
    <w:rsid w:val="000C44E6"/>
    <w:rsid w:val="000C5905"/>
    <w:rsid w:val="000C5AC0"/>
    <w:rsid w:val="000C654B"/>
    <w:rsid w:val="000C67C2"/>
    <w:rsid w:val="000C67EC"/>
    <w:rsid w:val="000C708F"/>
    <w:rsid w:val="000D0117"/>
    <w:rsid w:val="000D05FC"/>
    <w:rsid w:val="000D10C6"/>
    <w:rsid w:val="000D10F4"/>
    <w:rsid w:val="000D11F3"/>
    <w:rsid w:val="000D35BD"/>
    <w:rsid w:val="000D40EA"/>
    <w:rsid w:val="000D4324"/>
    <w:rsid w:val="000D527A"/>
    <w:rsid w:val="000D527D"/>
    <w:rsid w:val="000D7670"/>
    <w:rsid w:val="000D7AB4"/>
    <w:rsid w:val="000D7BEA"/>
    <w:rsid w:val="000D7BF8"/>
    <w:rsid w:val="000E0862"/>
    <w:rsid w:val="000E0FC3"/>
    <w:rsid w:val="000E16AB"/>
    <w:rsid w:val="000E2630"/>
    <w:rsid w:val="000E2838"/>
    <w:rsid w:val="000E2C10"/>
    <w:rsid w:val="000E374B"/>
    <w:rsid w:val="000E375F"/>
    <w:rsid w:val="000E438C"/>
    <w:rsid w:val="000E5348"/>
    <w:rsid w:val="000E59BB"/>
    <w:rsid w:val="000E60BA"/>
    <w:rsid w:val="000E61A1"/>
    <w:rsid w:val="000E6324"/>
    <w:rsid w:val="000E641F"/>
    <w:rsid w:val="000E65E5"/>
    <w:rsid w:val="000E6BF3"/>
    <w:rsid w:val="000F00CD"/>
    <w:rsid w:val="000F0536"/>
    <w:rsid w:val="000F0C9F"/>
    <w:rsid w:val="000F3026"/>
    <w:rsid w:val="000F328F"/>
    <w:rsid w:val="000F32A9"/>
    <w:rsid w:val="000F4103"/>
    <w:rsid w:val="000F4CCC"/>
    <w:rsid w:val="000F56F8"/>
    <w:rsid w:val="000F57A3"/>
    <w:rsid w:val="000F5BE9"/>
    <w:rsid w:val="000F5F80"/>
    <w:rsid w:val="000F6BF1"/>
    <w:rsid w:val="000F6D25"/>
    <w:rsid w:val="000F6D50"/>
    <w:rsid w:val="000F6FF3"/>
    <w:rsid w:val="000F711C"/>
    <w:rsid w:val="000F73F0"/>
    <w:rsid w:val="000F7F83"/>
    <w:rsid w:val="000F7FC0"/>
    <w:rsid w:val="00100F94"/>
    <w:rsid w:val="0010161A"/>
    <w:rsid w:val="001017E4"/>
    <w:rsid w:val="00101EC7"/>
    <w:rsid w:val="00101F89"/>
    <w:rsid w:val="00104E30"/>
    <w:rsid w:val="00104EB1"/>
    <w:rsid w:val="001050A6"/>
    <w:rsid w:val="0010533F"/>
    <w:rsid w:val="00105939"/>
    <w:rsid w:val="00105E09"/>
    <w:rsid w:val="001061C6"/>
    <w:rsid w:val="00106BA5"/>
    <w:rsid w:val="00110CD9"/>
    <w:rsid w:val="001114AA"/>
    <w:rsid w:val="001129C8"/>
    <w:rsid w:val="00112BA8"/>
    <w:rsid w:val="00112D6B"/>
    <w:rsid w:val="001143B8"/>
    <w:rsid w:val="00114428"/>
    <w:rsid w:val="00114EC8"/>
    <w:rsid w:val="00116107"/>
    <w:rsid w:val="001178C7"/>
    <w:rsid w:val="001205A3"/>
    <w:rsid w:val="001205BE"/>
    <w:rsid w:val="001205E1"/>
    <w:rsid w:val="001209FE"/>
    <w:rsid w:val="00120BB3"/>
    <w:rsid w:val="00121B59"/>
    <w:rsid w:val="00123248"/>
    <w:rsid w:val="00124F81"/>
    <w:rsid w:val="00125D3A"/>
    <w:rsid w:val="00125E3F"/>
    <w:rsid w:val="0012760A"/>
    <w:rsid w:val="001277C2"/>
    <w:rsid w:val="00130164"/>
    <w:rsid w:val="0013100B"/>
    <w:rsid w:val="00133F4B"/>
    <w:rsid w:val="001341EC"/>
    <w:rsid w:val="0013483C"/>
    <w:rsid w:val="00135382"/>
    <w:rsid w:val="0013567B"/>
    <w:rsid w:val="0013586B"/>
    <w:rsid w:val="00135A0C"/>
    <w:rsid w:val="00135F2C"/>
    <w:rsid w:val="00136AE9"/>
    <w:rsid w:val="00136DC8"/>
    <w:rsid w:val="0013735D"/>
    <w:rsid w:val="0013762F"/>
    <w:rsid w:val="00137C60"/>
    <w:rsid w:val="001414E1"/>
    <w:rsid w:val="001415A1"/>
    <w:rsid w:val="001417B9"/>
    <w:rsid w:val="001419A6"/>
    <w:rsid w:val="00142200"/>
    <w:rsid w:val="00142CD7"/>
    <w:rsid w:val="00142D79"/>
    <w:rsid w:val="00143045"/>
    <w:rsid w:val="00143374"/>
    <w:rsid w:val="00144624"/>
    <w:rsid w:val="00145183"/>
    <w:rsid w:val="001458C5"/>
    <w:rsid w:val="00145F62"/>
    <w:rsid w:val="001464D8"/>
    <w:rsid w:val="001466EB"/>
    <w:rsid w:val="0014697E"/>
    <w:rsid w:val="001472DF"/>
    <w:rsid w:val="0014730C"/>
    <w:rsid w:val="00147FDF"/>
    <w:rsid w:val="001502BA"/>
    <w:rsid w:val="00150561"/>
    <w:rsid w:val="00150A53"/>
    <w:rsid w:val="00151341"/>
    <w:rsid w:val="0015137E"/>
    <w:rsid w:val="00152730"/>
    <w:rsid w:val="0015281C"/>
    <w:rsid w:val="00152D12"/>
    <w:rsid w:val="00153190"/>
    <w:rsid w:val="00153815"/>
    <w:rsid w:val="00153B5B"/>
    <w:rsid w:val="001549DC"/>
    <w:rsid w:val="001557FE"/>
    <w:rsid w:val="00155B9C"/>
    <w:rsid w:val="00155D05"/>
    <w:rsid w:val="00156508"/>
    <w:rsid w:val="0015680B"/>
    <w:rsid w:val="001569DD"/>
    <w:rsid w:val="00156C4E"/>
    <w:rsid w:val="00156CDA"/>
    <w:rsid w:val="00156F83"/>
    <w:rsid w:val="00157006"/>
    <w:rsid w:val="001570E2"/>
    <w:rsid w:val="001578A2"/>
    <w:rsid w:val="00161162"/>
    <w:rsid w:val="00161296"/>
    <w:rsid w:val="00161573"/>
    <w:rsid w:val="00161781"/>
    <w:rsid w:val="00161DAD"/>
    <w:rsid w:val="0016239A"/>
    <w:rsid w:val="001623F5"/>
    <w:rsid w:val="001623FB"/>
    <w:rsid w:val="00163A2B"/>
    <w:rsid w:val="00163C88"/>
    <w:rsid w:val="00163F93"/>
    <w:rsid w:val="0016500F"/>
    <w:rsid w:val="00165976"/>
    <w:rsid w:val="0016692A"/>
    <w:rsid w:val="00167104"/>
    <w:rsid w:val="00167455"/>
    <w:rsid w:val="001678ED"/>
    <w:rsid w:val="00170FB1"/>
    <w:rsid w:val="00171755"/>
    <w:rsid w:val="00171F2D"/>
    <w:rsid w:val="00172171"/>
    <w:rsid w:val="00172229"/>
    <w:rsid w:val="001725D6"/>
    <w:rsid w:val="0017298C"/>
    <w:rsid w:val="00172FE9"/>
    <w:rsid w:val="0017360D"/>
    <w:rsid w:val="00174022"/>
    <w:rsid w:val="0017430C"/>
    <w:rsid w:val="00174D3D"/>
    <w:rsid w:val="00175032"/>
    <w:rsid w:val="0017514A"/>
    <w:rsid w:val="00175AFE"/>
    <w:rsid w:val="00176764"/>
    <w:rsid w:val="00176A50"/>
    <w:rsid w:val="00176C97"/>
    <w:rsid w:val="001775AC"/>
    <w:rsid w:val="00177B01"/>
    <w:rsid w:val="00177DA1"/>
    <w:rsid w:val="00180459"/>
    <w:rsid w:val="001807A7"/>
    <w:rsid w:val="0018160C"/>
    <w:rsid w:val="00181628"/>
    <w:rsid w:val="001835E3"/>
    <w:rsid w:val="00183A0F"/>
    <w:rsid w:val="00183B89"/>
    <w:rsid w:val="00183EB2"/>
    <w:rsid w:val="00184403"/>
    <w:rsid w:val="00185CF6"/>
    <w:rsid w:val="001872C2"/>
    <w:rsid w:val="001875EE"/>
    <w:rsid w:val="00191C6C"/>
    <w:rsid w:val="00192B8D"/>
    <w:rsid w:val="00193E42"/>
    <w:rsid w:val="00194622"/>
    <w:rsid w:val="00194E4B"/>
    <w:rsid w:val="00195112"/>
    <w:rsid w:val="00195D3F"/>
    <w:rsid w:val="00196162"/>
    <w:rsid w:val="00196616"/>
    <w:rsid w:val="001972FF"/>
    <w:rsid w:val="00197549"/>
    <w:rsid w:val="00197CCF"/>
    <w:rsid w:val="00197FF0"/>
    <w:rsid w:val="001A039E"/>
    <w:rsid w:val="001A179A"/>
    <w:rsid w:val="001A2AFB"/>
    <w:rsid w:val="001A2F6D"/>
    <w:rsid w:val="001A333E"/>
    <w:rsid w:val="001A495B"/>
    <w:rsid w:val="001A49BE"/>
    <w:rsid w:val="001A5570"/>
    <w:rsid w:val="001A62D7"/>
    <w:rsid w:val="001A64C1"/>
    <w:rsid w:val="001A6C0A"/>
    <w:rsid w:val="001A74A2"/>
    <w:rsid w:val="001B05DF"/>
    <w:rsid w:val="001B1019"/>
    <w:rsid w:val="001B103E"/>
    <w:rsid w:val="001B1F87"/>
    <w:rsid w:val="001B307F"/>
    <w:rsid w:val="001B38E9"/>
    <w:rsid w:val="001B3C78"/>
    <w:rsid w:val="001B41F8"/>
    <w:rsid w:val="001B4AAA"/>
    <w:rsid w:val="001B6594"/>
    <w:rsid w:val="001B6F86"/>
    <w:rsid w:val="001B7A4E"/>
    <w:rsid w:val="001B7A53"/>
    <w:rsid w:val="001B7AED"/>
    <w:rsid w:val="001B7BCC"/>
    <w:rsid w:val="001C0059"/>
    <w:rsid w:val="001C0AA2"/>
    <w:rsid w:val="001C1373"/>
    <w:rsid w:val="001C1569"/>
    <w:rsid w:val="001C42E8"/>
    <w:rsid w:val="001C5DDE"/>
    <w:rsid w:val="001C665D"/>
    <w:rsid w:val="001C6E52"/>
    <w:rsid w:val="001C6FFE"/>
    <w:rsid w:val="001C7601"/>
    <w:rsid w:val="001D01AA"/>
    <w:rsid w:val="001D09EF"/>
    <w:rsid w:val="001D0FA3"/>
    <w:rsid w:val="001D0FBE"/>
    <w:rsid w:val="001D1FAC"/>
    <w:rsid w:val="001D248B"/>
    <w:rsid w:val="001D2DF6"/>
    <w:rsid w:val="001D3631"/>
    <w:rsid w:val="001D3887"/>
    <w:rsid w:val="001D3948"/>
    <w:rsid w:val="001D4612"/>
    <w:rsid w:val="001D4CC4"/>
    <w:rsid w:val="001D4DA5"/>
    <w:rsid w:val="001D534D"/>
    <w:rsid w:val="001D535D"/>
    <w:rsid w:val="001D5405"/>
    <w:rsid w:val="001D5B22"/>
    <w:rsid w:val="001D5CE8"/>
    <w:rsid w:val="001D657B"/>
    <w:rsid w:val="001D7FC2"/>
    <w:rsid w:val="001E0C85"/>
    <w:rsid w:val="001E11C4"/>
    <w:rsid w:val="001E1968"/>
    <w:rsid w:val="001E1B69"/>
    <w:rsid w:val="001E1BF2"/>
    <w:rsid w:val="001E1F9F"/>
    <w:rsid w:val="001E2893"/>
    <w:rsid w:val="001E3391"/>
    <w:rsid w:val="001E3497"/>
    <w:rsid w:val="001E3773"/>
    <w:rsid w:val="001E63B8"/>
    <w:rsid w:val="001E6451"/>
    <w:rsid w:val="001E6971"/>
    <w:rsid w:val="001E6BE8"/>
    <w:rsid w:val="001E6D1F"/>
    <w:rsid w:val="001E6E9C"/>
    <w:rsid w:val="001E7E1E"/>
    <w:rsid w:val="001F0D05"/>
    <w:rsid w:val="001F0E66"/>
    <w:rsid w:val="001F1018"/>
    <w:rsid w:val="001F11A3"/>
    <w:rsid w:val="001F1AD0"/>
    <w:rsid w:val="001F1EB2"/>
    <w:rsid w:val="001F2205"/>
    <w:rsid w:val="001F350D"/>
    <w:rsid w:val="001F35E5"/>
    <w:rsid w:val="001F4794"/>
    <w:rsid w:val="001F51CF"/>
    <w:rsid w:val="001F559C"/>
    <w:rsid w:val="001F5B80"/>
    <w:rsid w:val="001F6AD3"/>
    <w:rsid w:val="001F7143"/>
    <w:rsid w:val="001F73C8"/>
    <w:rsid w:val="001F74AF"/>
    <w:rsid w:val="002000AE"/>
    <w:rsid w:val="002007BC"/>
    <w:rsid w:val="002017FE"/>
    <w:rsid w:val="00201BC4"/>
    <w:rsid w:val="00202123"/>
    <w:rsid w:val="002029D2"/>
    <w:rsid w:val="00202DC4"/>
    <w:rsid w:val="002044F5"/>
    <w:rsid w:val="00204E2E"/>
    <w:rsid w:val="00205B07"/>
    <w:rsid w:val="00206CB5"/>
    <w:rsid w:val="00206E0A"/>
    <w:rsid w:val="00206F9A"/>
    <w:rsid w:val="00207037"/>
    <w:rsid w:val="00210C4D"/>
    <w:rsid w:val="00211273"/>
    <w:rsid w:val="0021174F"/>
    <w:rsid w:val="00211D48"/>
    <w:rsid w:val="00212A1A"/>
    <w:rsid w:val="00213060"/>
    <w:rsid w:val="002137CB"/>
    <w:rsid w:val="00214767"/>
    <w:rsid w:val="002150A9"/>
    <w:rsid w:val="00215F64"/>
    <w:rsid w:val="00216E10"/>
    <w:rsid w:val="00217DC9"/>
    <w:rsid w:val="00217E8F"/>
    <w:rsid w:val="0022003C"/>
    <w:rsid w:val="00220120"/>
    <w:rsid w:val="0022018B"/>
    <w:rsid w:val="00220207"/>
    <w:rsid w:val="00220319"/>
    <w:rsid w:val="00220DAE"/>
    <w:rsid w:val="00221BA0"/>
    <w:rsid w:val="00223759"/>
    <w:rsid w:val="002238C6"/>
    <w:rsid w:val="002239A5"/>
    <w:rsid w:val="0022474E"/>
    <w:rsid w:val="00225FB9"/>
    <w:rsid w:val="0022601D"/>
    <w:rsid w:val="00226194"/>
    <w:rsid w:val="0022668D"/>
    <w:rsid w:val="002271FA"/>
    <w:rsid w:val="00227549"/>
    <w:rsid w:val="00227A22"/>
    <w:rsid w:val="00231291"/>
    <w:rsid w:val="00231365"/>
    <w:rsid w:val="002326DB"/>
    <w:rsid w:val="00232C69"/>
    <w:rsid w:val="00233081"/>
    <w:rsid w:val="002336EE"/>
    <w:rsid w:val="00233AB2"/>
    <w:rsid w:val="00234105"/>
    <w:rsid w:val="002342FE"/>
    <w:rsid w:val="0023435A"/>
    <w:rsid w:val="00235093"/>
    <w:rsid w:val="0023530D"/>
    <w:rsid w:val="002355F2"/>
    <w:rsid w:val="00235EA7"/>
    <w:rsid w:val="00235F8A"/>
    <w:rsid w:val="0023722B"/>
    <w:rsid w:val="00241AEF"/>
    <w:rsid w:val="002427A3"/>
    <w:rsid w:val="002428A3"/>
    <w:rsid w:val="00242DE6"/>
    <w:rsid w:val="002437D4"/>
    <w:rsid w:val="002437D8"/>
    <w:rsid w:val="0024399E"/>
    <w:rsid w:val="00244C49"/>
    <w:rsid w:val="002454DF"/>
    <w:rsid w:val="002456BB"/>
    <w:rsid w:val="00245B08"/>
    <w:rsid w:val="002460A3"/>
    <w:rsid w:val="00246DA7"/>
    <w:rsid w:val="00247642"/>
    <w:rsid w:val="0024793F"/>
    <w:rsid w:val="002508B7"/>
    <w:rsid w:val="00251A7F"/>
    <w:rsid w:val="00251D20"/>
    <w:rsid w:val="00253067"/>
    <w:rsid w:val="002533B3"/>
    <w:rsid w:val="00253DAC"/>
    <w:rsid w:val="002541B6"/>
    <w:rsid w:val="00255F33"/>
    <w:rsid w:val="00257E39"/>
    <w:rsid w:val="00260354"/>
    <w:rsid w:val="002612BF"/>
    <w:rsid w:val="0026164B"/>
    <w:rsid w:val="00261A5E"/>
    <w:rsid w:val="00261E6D"/>
    <w:rsid w:val="00262134"/>
    <w:rsid w:val="002633AF"/>
    <w:rsid w:val="002639E7"/>
    <w:rsid w:val="00263C0F"/>
    <w:rsid w:val="00263CC5"/>
    <w:rsid w:val="00263F6D"/>
    <w:rsid w:val="00264399"/>
    <w:rsid w:val="00264454"/>
    <w:rsid w:val="00264576"/>
    <w:rsid w:val="00265B3D"/>
    <w:rsid w:val="00265D1B"/>
    <w:rsid w:val="00265E77"/>
    <w:rsid w:val="00266040"/>
    <w:rsid w:val="002661A8"/>
    <w:rsid w:val="002664B0"/>
    <w:rsid w:val="00267696"/>
    <w:rsid w:val="002676D2"/>
    <w:rsid w:val="0027028A"/>
    <w:rsid w:val="0027059A"/>
    <w:rsid w:val="00270C0D"/>
    <w:rsid w:val="00270C6B"/>
    <w:rsid w:val="0027208C"/>
    <w:rsid w:val="002720A6"/>
    <w:rsid w:val="00273A0B"/>
    <w:rsid w:val="00273ADD"/>
    <w:rsid w:val="00273CCF"/>
    <w:rsid w:val="002749D7"/>
    <w:rsid w:val="00274A1B"/>
    <w:rsid w:val="002770E4"/>
    <w:rsid w:val="00280E15"/>
    <w:rsid w:val="002818C3"/>
    <w:rsid w:val="00282291"/>
    <w:rsid w:val="0028287E"/>
    <w:rsid w:val="0028306E"/>
    <w:rsid w:val="00283664"/>
    <w:rsid w:val="00283C38"/>
    <w:rsid w:val="00283C8B"/>
    <w:rsid w:val="0028435F"/>
    <w:rsid w:val="0028446D"/>
    <w:rsid w:val="002863B3"/>
    <w:rsid w:val="00286AA1"/>
    <w:rsid w:val="00286DD8"/>
    <w:rsid w:val="002878D2"/>
    <w:rsid w:val="00287B19"/>
    <w:rsid w:val="00290309"/>
    <w:rsid w:val="00290795"/>
    <w:rsid w:val="002910F5"/>
    <w:rsid w:val="0029134F"/>
    <w:rsid w:val="0029142A"/>
    <w:rsid w:val="00292191"/>
    <w:rsid w:val="00292A16"/>
    <w:rsid w:val="00292AE9"/>
    <w:rsid w:val="00294CA5"/>
    <w:rsid w:val="002951DD"/>
    <w:rsid w:val="0029757A"/>
    <w:rsid w:val="00297A2E"/>
    <w:rsid w:val="00297E36"/>
    <w:rsid w:val="002A085C"/>
    <w:rsid w:val="002A1479"/>
    <w:rsid w:val="002A191A"/>
    <w:rsid w:val="002A1AD1"/>
    <w:rsid w:val="002A2163"/>
    <w:rsid w:val="002A2C4A"/>
    <w:rsid w:val="002A31C8"/>
    <w:rsid w:val="002A34A2"/>
    <w:rsid w:val="002A367C"/>
    <w:rsid w:val="002A5159"/>
    <w:rsid w:val="002A53ED"/>
    <w:rsid w:val="002A597F"/>
    <w:rsid w:val="002A6033"/>
    <w:rsid w:val="002A6307"/>
    <w:rsid w:val="002A6DB1"/>
    <w:rsid w:val="002A6E1C"/>
    <w:rsid w:val="002A6F41"/>
    <w:rsid w:val="002A700F"/>
    <w:rsid w:val="002A74AA"/>
    <w:rsid w:val="002B0113"/>
    <w:rsid w:val="002B053E"/>
    <w:rsid w:val="002B076E"/>
    <w:rsid w:val="002B0A98"/>
    <w:rsid w:val="002B0DED"/>
    <w:rsid w:val="002B189D"/>
    <w:rsid w:val="002B18DA"/>
    <w:rsid w:val="002B1A2E"/>
    <w:rsid w:val="002B2A6F"/>
    <w:rsid w:val="002B3E29"/>
    <w:rsid w:val="002B3EA0"/>
    <w:rsid w:val="002B3EC9"/>
    <w:rsid w:val="002B5D88"/>
    <w:rsid w:val="002B7151"/>
    <w:rsid w:val="002B7403"/>
    <w:rsid w:val="002B7603"/>
    <w:rsid w:val="002B7725"/>
    <w:rsid w:val="002C0B7E"/>
    <w:rsid w:val="002C1096"/>
    <w:rsid w:val="002C1346"/>
    <w:rsid w:val="002C28DD"/>
    <w:rsid w:val="002C2A86"/>
    <w:rsid w:val="002C33FC"/>
    <w:rsid w:val="002C3DB2"/>
    <w:rsid w:val="002C48E8"/>
    <w:rsid w:val="002C4B29"/>
    <w:rsid w:val="002C529B"/>
    <w:rsid w:val="002C53B6"/>
    <w:rsid w:val="002C57A3"/>
    <w:rsid w:val="002C5809"/>
    <w:rsid w:val="002C5BBC"/>
    <w:rsid w:val="002C5E0E"/>
    <w:rsid w:val="002C6677"/>
    <w:rsid w:val="002C66FD"/>
    <w:rsid w:val="002C7E0D"/>
    <w:rsid w:val="002C7F54"/>
    <w:rsid w:val="002C7F8C"/>
    <w:rsid w:val="002D041C"/>
    <w:rsid w:val="002D0669"/>
    <w:rsid w:val="002D1073"/>
    <w:rsid w:val="002D10B1"/>
    <w:rsid w:val="002D10B8"/>
    <w:rsid w:val="002D10D7"/>
    <w:rsid w:val="002D12FD"/>
    <w:rsid w:val="002D15D4"/>
    <w:rsid w:val="002D16AE"/>
    <w:rsid w:val="002D17A5"/>
    <w:rsid w:val="002D1DFE"/>
    <w:rsid w:val="002D2063"/>
    <w:rsid w:val="002D281C"/>
    <w:rsid w:val="002D2BA0"/>
    <w:rsid w:val="002D2DC4"/>
    <w:rsid w:val="002D2E21"/>
    <w:rsid w:val="002D314F"/>
    <w:rsid w:val="002D393F"/>
    <w:rsid w:val="002D40D8"/>
    <w:rsid w:val="002D5B9A"/>
    <w:rsid w:val="002D5D01"/>
    <w:rsid w:val="002D7713"/>
    <w:rsid w:val="002D7DF7"/>
    <w:rsid w:val="002E1908"/>
    <w:rsid w:val="002E222A"/>
    <w:rsid w:val="002E2293"/>
    <w:rsid w:val="002E296B"/>
    <w:rsid w:val="002E2D66"/>
    <w:rsid w:val="002E311D"/>
    <w:rsid w:val="002E31B2"/>
    <w:rsid w:val="002E33CE"/>
    <w:rsid w:val="002E3407"/>
    <w:rsid w:val="002E3E2E"/>
    <w:rsid w:val="002E3F4F"/>
    <w:rsid w:val="002E4C7D"/>
    <w:rsid w:val="002E4CDD"/>
    <w:rsid w:val="002E4F9D"/>
    <w:rsid w:val="002E506D"/>
    <w:rsid w:val="002E5AB0"/>
    <w:rsid w:val="002E5BF4"/>
    <w:rsid w:val="002E5DB0"/>
    <w:rsid w:val="002E5E59"/>
    <w:rsid w:val="002E729C"/>
    <w:rsid w:val="002E77FE"/>
    <w:rsid w:val="002E7D9F"/>
    <w:rsid w:val="002F079D"/>
    <w:rsid w:val="002F0D29"/>
    <w:rsid w:val="002F0F4F"/>
    <w:rsid w:val="002F1730"/>
    <w:rsid w:val="002F1996"/>
    <w:rsid w:val="002F263B"/>
    <w:rsid w:val="002F2F2F"/>
    <w:rsid w:val="002F3E17"/>
    <w:rsid w:val="002F4486"/>
    <w:rsid w:val="002F4937"/>
    <w:rsid w:val="002F645B"/>
    <w:rsid w:val="002F7127"/>
    <w:rsid w:val="002F712C"/>
    <w:rsid w:val="002F741F"/>
    <w:rsid w:val="002F75A9"/>
    <w:rsid w:val="002F7788"/>
    <w:rsid w:val="002F7862"/>
    <w:rsid w:val="003004E5"/>
    <w:rsid w:val="00300ACD"/>
    <w:rsid w:val="0030147F"/>
    <w:rsid w:val="0030164F"/>
    <w:rsid w:val="00301A55"/>
    <w:rsid w:val="00302DAE"/>
    <w:rsid w:val="00302E2C"/>
    <w:rsid w:val="0030534D"/>
    <w:rsid w:val="003055BB"/>
    <w:rsid w:val="0030564E"/>
    <w:rsid w:val="0030581E"/>
    <w:rsid w:val="00305843"/>
    <w:rsid w:val="00305A8B"/>
    <w:rsid w:val="003061E9"/>
    <w:rsid w:val="0030624E"/>
    <w:rsid w:val="00306395"/>
    <w:rsid w:val="00306DF8"/>
    <w:rsid w:val="003075B7"/>
    <w:rsid w:val="00307940"/>
    <w:rsid w:val="00307962"/>
    <w:rsid w:val="00307FB2"/>
    <w:rsid w:val="003103A8"/>
    <w:rsid w:val="0031146B"/>
    <w:rsid w:val="00311D95"/>
    <w:rsid w:val="003139E5"/>
    <w:rsid w:val="003145BC"/>
    <w:rsid w:val="00314719"/>
    <w:rsid w:val="00315724"/>
    <w:rsid w:val="00315946"/>
    <w:rsid w:val="00315A7D"/>
    <w:rsid w:val="003174B0"/>
    <w:rsid w:val="00317A9E"/>
    <w:rsid w:val="00321980"/>
    <w:rsid w:val="0032199D"/>
    <w:rsid w:val="003221C7"/>
    <w:rsid w:val="0032239C"/>
    <w:rsid w:val="003223CD"/>
    <w:rsid w:val="003238A1"/>
    <w:rsid w:val="003255B0"/>
    <w:rsid w:val="003262EF"/>
    <w:rsid w:val="00326473"/>
    <w:rsid w:val="00326CA9"/>
    <w:rsid w:val="00327029"/>
    <w:rsid w:val="0033013B"/>
    <w:rsid w:val="003303A8"/>
    <w:rsid w:val="003312BC"/>
    <w:rsid w:val="00331400"/>
    <w:rsid w:val="003315BE"/>
    <w:rsid w:val="00331AE4"/>
    <w:rsid w:val="00331D2A"/>
    <w:rsid w:val="00332B17"/>
    <w:rsid w:val="00332EFE"/>
    <w:rsid w:val="0033301B"/>
    <w:rsid w:val="003330A9"/>
    <w:rsid w:val="003333C4"/>
    <w:rsid w:val="00333911"/>
    <w:rsid w:val="003341A1"/>
    <w:rsid w:val="00334C91"/>
    <w:rsid w:val="00335A1B"/>
    <w:rsid w:val="00336A9B"/>
    <w:rsid w:val="003372B7"/>
    <w:rsid w:val="00337E5C"/>
    <w:rsid w:val="00340850"/>
    <w:rsid w:val="003408D7"/>
    <w:rsid w:val="00340CCF"/>
    <w:rsid w:val="00340D76"/>
    <w:rsid w:val="00340E0F"/>
    <w:rsid w:val="00340F89"/>
    <w:rsid w:val="0034155D"/>
    <w:rsid w:val="0034162F"/>
    <w:rsid w:val="00341848"/>
    <w:rsid w:val="00341D5F"/>
    <w:rsid w:val="0034218B"/>
    <w:rsid w:val="00342E4A"/>
    <w:rsid w:val="00342F69"/>
    <w:rsid w:val="00343664"/>
    <w:rsid w:val="003437AE"/>
    <w:rsid w:val="00343829"/>
    <w:rsid w:val="00343C54"/>
    <w:rsid w:val="00344301"/>
    <w:rsid w:val="00345A4F"/>
    <w:rsid w:val="0034648F"/>
    <w:rsid w:val="00346F12"/>
    <w:rsid w:val="003473CD"/>
    <w:rsid w:val="003501A8"/>
    <w:rsid w:val="00350583"/>
    <w:rsid w:val="00351352"/>
    <w:rsid w:val="003514C0"/>
    <w:rsid w:val="003522C3"/>
    <w:rsid w:val="00353276"/>
    <w:rsid w:val="00353DB9"/>
    <w:rsid w:val="00353FB8"/>
    <w:rsid w:val="00354F4B"/>
    <w:rsid w:val="00355316"/>
    <w:rsid w:val="003560FF"/>
    <w:rsid w:val="00356227"/>
    <w:rsid w:val="00356319"/>
    <w:rsid w:val="0035669D"/>
    <w:rsid w:val="0035672B"/>
    <w:rsid w:val="00356D69"/>
    <w:rsid w:val="00357CD1"/>
    <w:rsid w:val="00360B11"/>
    <w:rsid w:val="00361CDF"/>
    <w:rsid w:val="003623FC"/>
    <w:rsid w:val="003624ED"/>
    <w:rsid w:val="0036338D"/>
    <w:rsid w:val="00363557"/>
    <w:rsid w:val="003635B6"/>
    <w:rsid w:val="003636EA"/>
    <w:rsid w:val="00363F4C"/>
    <w:rsid w:val="0036401B"/>
    <w:rsid w:val="00365354"/>
    <w:rsid w:val="00365A0D"/>
    <w:rsid w:val="00367322"/>
    <w:rsid w:val="00367BB0"/>
    <w:rsid w:val="003707B8"/>
    <w:rsid w:val="0037126B"/>
    <w:rsid w:val="003714CD"/>
    <w:rsid w:val="00371A5D"/>
    <w:rsid w:val="00372DBA"/>
    <w:rsid w:val="00372EAD"/>
    <w:rsid w:val="00372FDE"/>
    <w:rsid w:val="003731FC"/>
    <w:rsid w:val="0037337F"/>
    <w:rsid w:val="0037358F"/>
    <w:rsid w:val="00374D11"/>
    <w:rsid w:val="00374E81"/>
    <w:rsid w:val="00375232"/>
    <w:rsid w:val="00375B54"/>
    <w:rsid w:val="00375C91"/>
    <w:rsid w:val="003768A8"/>
    <w:rsid w:val="00376901"/>
    <w:rsid w:val="00377CB2"/>
    <w:rsid w:val="003809F6"/>
    <w:rsid w:val="00381186"/>
    <w:rsid w:val="0038152F"/>
    <w:rsid w:val="00381CCB"/>
    <w:rsid w:val="00382098"/>
    <w:rsid w:val="00382A54"/>
    <w:rsid w:val="003834D4"/>
    <w:rsid w:val="00383521"/>
    <w:rsid w:val="00383E6D"/>
    <w:rsid w:val="00384453"/>
    <w:rsid w:val="00384461"/>
    <w:rsid w:val="0038545E"/>
    <w:rsid w:val="003860C9"/>
    <w:rsid w:val="00386A9D"/>
    <w:rsid w:val="0039039F"/>
    <w:rsid w:val="003906C3"/>
    <w:rsid w:val="00390B2E"/>
    <w:rsid w:val="0039123A"/>
    <w:rsid w:val="003912B8"/>
    <w:rsid w:val="00391999"/>
    <w:rsid w:val="00391BE2"/>
    <w:rsid w:val="0039309E"/>
    <w:rsid w:val="00395EAD"/>
    <w:rsid w:val="00396163"/>
    <w:rsid w:val="00396B90"/>
    <w:rsid w:val="003A01EB"/>
    <w:rsid w:val="003A0814"/>
    <w:rsid w:val="003A0851"/>
    <w:rsid w:val="003A0EDA"/>
    <w:rsid w:val="003A117D"/>
    <w:rsid w:val="003A1241"/>
    <w:rsid w:val="003A15B3"/>
    <w:rsid w:val="003A235E"/>
    <w:rsid w:val="003A264B"/>
    <w:rsid w:val="003A3319"/>
    <w:rsid w:val="003A49F1"/>
    <w:rsid w:val="003A4E60"/>
    <w:rsid w:val="003A52AE"/>
    <w:rsid w:val="003A5B5D"/>
    <w:rsid w:val="003A6336"/>
    <w:rsid w:val="003A69E2"/>
    <w:rsid w:val="003A77F7"/>
    <w:rsid w:val="003B011F"/>
    <w:rsid w:val="003B0BA6"/>
    <w:rsid w:val="003B16B2"/>
    <w:rsid w:val="003B17BB"/>
    <w:rsid w:val="003B18AB"/>
    <w:rsid w:val="003B2E46"/>
    <w:rsid w:val="003B41F5"/>
    <w:rsid w:val="003B443D"/>
    <w:rsid w:val="003B4E90"/>
    <w:rsid w:val="003B5919"/>
    <w:rsid w:val="003B5EF3"/>
    <w:rsid w:val="003B660C"/>
    <w:rsid w:val="003B69A5"/>
    <w:rsid w:val="003B70E5"/>
    <w:rsid w:val="003B75BF"/>
    <w:rsid w:val="003B7657"/>
    <w:rsid w:val="003B77CB"/>
    <w:rsid w:val="003C11C5"/>
    <w:rsid w:val="003C16CB"/>
    <w:rsid w:val="003C1A43"/>
    <w:rsid w:val="003C1C27"/>
    <w:rsid w:val="003C21B4"/>
    <w:rsid w:val="003C635A"/>
    <w:rsid w:val="003C76DB"/>
    <w:rsid w:val="003D0323"/>
    <w:rsid w:val="003D0483"/>
    <w:rsid w:val="003D0B01"/>
    <w:rsid w:val="003D0F12"/>
    <w:rsid w:val="003D10A5"/>
    <w:rsid w:val="003D17CC"/>
    <w:rsid w:val="003D1B11"/>
    <w:rsid w:val="003D28D9"/>
    <w:rsid w:val="003D3B3E"/>
    <w:rsid w:val="003D3D58"/>
    <w:rsid w:val="003D3FA8"/>
    <w:rsid w:val="003D4509"/>
    <w:rsid w:val="003D4F75"/>
    <w:rsid w:val="003D60B0"/>
    <w:rsid w:val="003D6DA2"/>
    <w:rsid w:val="003D77AB"/>
    <w:rsid w:val="003D7965"/>
    <w:rsid w:val="003E0300"/>
    <w:rsid w:val="003E0A3E"/>
    <w:rsid w:val="003E0A88"/>
    <w:rsid w:val="003E137F"/>
    <w:rsid w:val="003E143E"/>
    <w:rsid w:val="003E16AC"/>
    <w:rsid w:val="003E1DF5"/>
    <w:rsid w:val="003E2845"/>
    <w:rsid w:val="003E438D"/>
    <w:rsid w:val="003E5186"/>
    <w:rsid w:val="003E5656"/>
    <w:rsid w:val="003E5745"/>
    <w:rsid w:val="003E5C98"/>
    <w:rsid w:val="003E63BE"/>
    <w:rsid w:val="003E65EE"/>
    <w:rsid w:val="003E6BEC"/>
    <w:rsid w:val="003E6C90"/>
    <w:rsid w:val="003E706F"/>
    <w:rsid w:val="003E78DB"/>
    <w:rsid w:val="003E7BB8"/>
    <w:rsid w:val="003F09CA"/>
    <w:rsid w:val="003F0DE9"/>
    <w:rsid w:val="003F0EAC"/>
    <w:rsid w:val="003F176D"/>
    <w:rsid w:val="003F17D4"/>
    <w:rsid w:val="003F1EFF"/>
    <w:rsid w:val="003F203E"/>
    <w:rsid w:val="003F23BF"/>
    <w:rsid w:val="003F2E11"/>
    <w:rsid w:val="003F2EEF"/>
    <w:rsid w:val="003F32D2"/>
    <w:rsid w:val="003F5289"/>
    <w:rsid w:val="003F574D"/>
    <w:rsid w:val="003F5839"/>
    <w:rsid w:val="003F7469"/>
    <w:rsid w:val="003F7577"/>
    <w:rsid w:val="00401D91"/>
    <w:rsid w:val="00402933"/>
    <w:rsid w:val="00403123"/>
    <w:rsid w:val="00403ACE"/>
    <w:rsid w:val="004043E5"/>
    <w:rsid w:val="00405041"/>
    <w:rsid w:val="004050B0"/>
    <w:rsid w:val="004053BF"/>
    <w:rsid w:val="004053E4"/>
    <w:rsid w:val="004055EC"/>
    <w:rsid w:val="00405864"/>
    <w:rsid w:val="0040587B"/>
    <w:rsid w:val="00405E71"/>
    <w:rsid w:val="00406806"/>
    <w:rsid w:val="004069BF"/>
    <w:rsid w:val="004075FF"/>
    <w:rsid w:val="00407719"/>
    <w:rsid w:val="00407C12"/>
    <w:rsid w:val="00410706"/>
    <w:rsid w:val="004108D6"/>
    <w:rsid w:val="00410935"/>
    <w:rsid w:val="004115F0"/>
    <w:rsid w:val="0041182A"/>
    <w:rsid w:val="00412245"/>
    <w:rsid w:val="00412395"/>
    <w:rsid w:val="0041252D"/>
    <w:rsid w:val="00412ED8"/>
    <w:rsid w:val="00413E28"/>
    <w:rsid w:val="00413E92"/>
    <w:rsid w:val="004152F0"/>
    <w:rsid w:val="00415730"/>
    <w:rsid w:val="004157DE"/>
    <w:rsid w:val="004168A9"/>
    <w:rsid w:val="00416D7F"/>
    <w:rsid w:val="004172DC"/>
    <w:rsid w:val="00417554"/>
    <w:rsid w:val="0041761A"/>
    <w:rsid w:val="00417996"/>
    <w:rsid w:val="004215C4"/>
    <w:rsid w:val="004216D1"/>
    <w:rsid w:val="004218D5"/>
    <w:rsid w:val="004221AC"/>
    <w:rsid w:val="00422834"/>
    <w:rsid w:val="0042416F"/>
    <w:rsid w:val="0042419B"/>
    <w:rsid w:val="0042474F"/>
    <w:rsid w:val="004250C7"/>
    <w:rsid w:val="00425B1D"/>
    <w:rsid w:val="00425C65"/>
    <w:rsid w:val="004261CE"/>
    <w:rsid w:val="00426CAA"/>
    <w:rsid w:val="004272E5"/>
    <w:rsid w:val="004276BE"/>
    <w:rsid w:val="00427877"/>
    <w:rsid w:val="004302B8"/>
    <w:rsid w:val="00430342"/>
    <w:rsid w:val="0043064D"/>
    <w:rsid w:val="00431A52"/>
    <w:rsid w:val="00431ABD"/>
    <w:rsid w:val="00432094"/>
    <w:rsid w:val="00432964"/>
    <w:rsid w:val="00432B95"/>
    <w:rsid w:val="00433DDA"/>
    <w:rsid w:val="00434073"/>
    <w:rsid w:val="0043407D"/>
    <w:rsid w:val="00434168"/>
    <w:rsid w:val="0043426A"/>
    <w:rsid w:val="00434517"/>
    <w:rsid w:val="004345BE"/>
    <w:rsid w:val="00434E04"/>
    <w:rsid w:val="004362E1"/>
    <w:rsid w:val="0043677C"/>
    <w:rsid w:val="00437223"/>
    <w:rsid w:val="00441C64"/>
    <w:rsid w:val="00442389"/>
    <w:rsid w:val="00442635"/>
    <w:rsid w:val="00442A59"/>
    <w:rsid w:val="00442E34"/>
    <w:rsid w:val="004436C5"/>
    <w:rsid w:val="00443777"/>
    <w:rsid w:val="00443B8A"/>
    <w:rsid w:val="00443C43"/>
    <w:rsid w:val="00443CF7"/>
    <w:rsid w:val="00443D91"/>
    <w:rsid w:val="00443EA7"/>
    <w:rsid w:val="00445357"/>
    <w:rsid w:val="0044676B"/>
    <w:rsid w:val="00446AB1"/>
    <w:rsid w:val="00446CE6"/>
    <w:rsid w:val="004478DB"/>
    <w:rsid w:val="00450D25"/>
    <w:rsid w:val="0045235E"/>
    <w:rsid w:val="004523C4"/>
    <w:rsid w:val="004530E4"/>
    <w:rsid w:val="004549AE"/>
    <w:rsid w:val="004555E8"/>
    <w:rsid w:val="004560BF"/>
    <w:rsid w:val="00456C1F"/>
    <w:rsid w:val="00460029"/>
    <w:rsid w:val="00460458"/>
    <w:rsid w:val="0046083A"/>
    <w:rsid w:val="00460983"/>
    <w:rsid w:val="00461068"/>
    <w:rsid w:val="00461AA3"/>
    <w:rsid w:val="00461DB5"/>
    <w:rsid w:val="004623CD"/>
    <w:rsid w:val="004624F1"/>
    <w:rsid w:val="004626C0"/>
    <w:rsid w:val="00463282"/>
    <w:rsid w:val="00463A9C"/>
    <w:rsid w:val="00464347"/>
    <w:rsid w:val="004649FF"/>
    <w:rsid w:val="00464F4C"/>
    <w:rsid w:val="00465583"/>
    <w:rsid w:val="00465B88"/>
    <w:rsid w:val="004663E7"/>
    <w:rsid w:val="00466925"/>
    <w:rsid w:val="0046728B"/>
    <w:rsid w:val="00467CDA"/>
    <w:rsid w:val="004709C5"/>
    <w:rsid w:val="00470FC6"/>
    <w:rsid w:val="00471384"/>
    <w:rsid w:val="00471386"/>
    <w:rsid w:val="00472672"/>
    <w:rsid w:val="00472922"/>
    <w:rsid w:val="00472F28"/>
    <w:rsid w:val="00473054"/>
    <w:rsid w:val="0047335A"/>
    <w:rsid w:val="00473B60"/>
    <w:rsid w:val="004758EB"/>
    <w:rsid w:val="00475F89"/>
    <w:rsid w:val="00476485"/>
    <w:rsid w:val="00477717"/>
    <w:rsid w:val="00477BB3"/>
    <w:rsid w:val="004802B3"/>
    <w:rsid w:val="00480A38"/>
    <w:rsid w:val="004813E3"/>
    <w:rsid w:val="00481A9B"/>
    <w:rsid w:val="00481D42"/>
    <w:rsid w:val="0048223E"/>
    <w:rsid w:val="00482ED0"/>
    <w:rsid w:val="004838F0"/>
    <w:rsid w:val="00483EB9"/>
    <w:rsid w:val="00485E8C"/>
    <w:rsid w:val="00485F73"/>
    <w:rsid w:val="00486C46"/>
    <w:rsid w:val="0048793F"/>
    <w:rsid w:val="00487B4F"/>
    <w:rsid w:val="00487E24"/>
    <w:rsid w:val="004906D5"/>
    <w:rsid w:val="00492054"/>
    <w:rsid w:val="00492237"/>
    <w:rsid w:val="0049247B"/>
    <w:rsid w:val="00492AEC"/>
    <w:rsid w:val="00493106"/>
    <w:rsid w:val="004938D9"/>
    <w:rsid w:val="00493AAF"/>
    <w:rsid w:val="00495370"/>
    <w:rsid w:val="00496596"/>
    <w:rsid w:val="0049718A"/>
    <w:rsid w:val="004A030F"/>
    <w:rsid w:val="004A06ED"/>
    <w:rsid w:val="004A077F"/>
    <w:rsid w:val="004A0A36"/>
    <w:rsid w:val="004A1028"/>
    <w:rsid w:val="004A1226"/>
    <w:rsid w:val="004A1235"/>
    <w:rsid w:val="004A12A5"/>
    <w:rsid w:val="004A143E"/>
    <w:rsid w:val="004A166E"/>
    <w:rsid w:val="004A1DB3"/>
    <w:rsid w:val="004A236C"/>
    <w:rsid w:val="004A2846"/>
    <w:rsid w:val="004A2AA1"/>
    <w:rsid w:val="004A3C62"/>
    <w:rsid w:val="004A427C"/>
    <w:rsid w:val="004A493E"/>
    <w:rsid w:val="004A4A9B"/>
    <w:rsid w:val="004A51FC"/>
    <w:rsid w:val="004A53EA"/>
    <w:rsid w:val="004A584A"/>
    <w:rsid w:val="004A58F0"/>
    <w:rsid w:val="004A5E51"/>
    <w:rsid w:val="004A6081"/>
    <w:rsid w:val="004A6495"/>
    <w:rsid w:val="004A70F0"/>
    <w:rsid w:val="004A723A"/>
    <w:rsid w:val="004A79A8"/>
    <w:rsid w:val="004A7B41"/>
    <w:rsid w:val="004A7BAD"/>
    <w:rsid w:val="004A7CF7"/>
    <w:rsid w:val="004B1619"/>
    <w:rsid w:val="004B1A22"/>
    <w:rsid w:val="004B1BAF"/>
    <w:rsid w:val="004B2864"/>
    <w:rsid w:val="004B28F3"/>
    <w:rsid w:val="004B2ADA"/>
    <w:rsid w:val="004B2C01"/>
    <w:rsid w:val="004B2D0B"/>
    <w:rsid w:val="004B3243"/>
    <w:rsid w:val="004B4624"/>
    <w:rsid w:val="004B46F0"/>
    <w:rsid w:val="004B5175"/>
    <w:rsid w:val="004B6326"/>
    <w:rsid w:val="004B7105"/>
    <w:rsid w:val="004B77F1"/>
    <w:rsid w:val="004C02DB"/>
    <w:rsid w:val="004C0595"/>
    <w:rsid w:val="004C1B1B"/>
    <w:rsid w:val="004C2092"/>
    <w:rsid w:val="004C3519"/>
    <w:rsid w:val="004C39BA"/>
    <w:rsid w:val="004C4492"/>
    <w:rsid w:val="004C462C"/>
    <w:rsid w:val="004C4CF3"/>
    <w:rsid w:val="004C5A89"/>
    <w:rsid w:val="004C5B41"/>
    <w:rsid w:val="004C60EE"/>
    <w:rsid w:val="004C60F2"/>
    <w:rsid w:val="004C6A74"/>
    <w:rsid w:val="004C6CD6"/>
    <w:rsid w:val="004C7D2B"/>
    <w:rsid w:val="004D023F"/>
    <w:rsid w:val="004D0D87"/>
    <w:rsid w:val="004D19A8"/>
    <w:rsid w:val="004D3919"/>
    <w:rsid w:val="004D6BC7"/>
    <w:rsid w:val="004D73C4"/>
    <w:rsid w:val="004E01AF"/>
    <w:rsid w:val="004E05BB"/>
    <w:rsid w:val="004E0ABB"/>
    <w:rsid w:val="004E0BD3"/>
    <w:rsid w:val="004E0FAE"/>
    <w:rsid w:val="004E161C"/>
    <w:rsid w:val="004E3679"/>
    <w:rsid w:val="004E3EE1"/>
    <w:rsid w:val="004E3FA3"/>
    <w:rsid w:val="004E40A4"/>
    <w:rsid w:val="004E5720"/>
    <w:rsid w:val="004E59F3"/>
    <w:rsid w:val="004E657F"/>
    <w:rsid w:val="004E6CAF"/>
    <w:rsid w:val="004E7AA3"/>
    <w:rsid w:val="004E7DB9"/>
    <w:rsid w:val="004E7FC5"/>
    <w:rsid w:val="004F0D15"/>
    <w:rsid w:val="004F14B9"/>
    <w:rsid w:val="004F2D48"/>
    <w:rsid w:val="004F2FCB"/>
    <w:rsid w:val="004F3037"/>
    <w:rsid w:val="004F3086"/>
    <w:rsid w:val="004F3337"/>
    <w:rsid w:val="004F38AC"/>
    <w:rsid w:val="004F52FC"/>
    <w:rsid w:val="004F5D3A"/>
    <w:rsid w:val="004F5FBA"/>
    <w:rsid w:val="004F63AE"/>
    <w:rsid w:val="004F66B9"/>
    <w:rsid w:val="004F72C4"/>
    <w:rsid w:val="004F731E"/>
    <w:rsid w:val="005000B5"/>
    <w:rsid w:val="0050035C"/>
    <w:rsid w:val="005004CE"/>
    <w:rsid w:val="005005C0"/>
    <w:rsid w:val="0050126C"/>
    <w:rsid w:val="00501559"/>
    <w:rsid w:val="005027F6"/>
    <w:rsid w:val="00502EF8"/>
    <w:rsid w:val="00503723"/>
    <w:rsid w:val="0050375F"/>
    <w:rsid w:val="00503DB6"/>
    <w:rsid w:val="00503F43"/>
    <w:rsid w:val="00504184"/>
    <w:rsid w:val="005041F0"/>
    <w:rsid w:val="0050491B"/>
    <w:rsid w:val="00504B21"/>
    <w:rsid w:val="00504B74"/>
    <w:rsid w:val="005050FB"/>
    <w:rsid w:val="00505B18"/>
    <w:rsid w:val="0050660D"/>
    <w:rsid w:val="005066E2"/>
    <w:rsid w:val="00506A2E"/>
    <w:rsid w:val="0050750A"/>
    <w:rsid w:val="00507748"/>
    <w:rsid w:val="00510175"/>
    <w:rsid w:val="005102D1"/>
    <w:rsid w:val="005103B8"/>
    <w:rsid w:val="005108AC"/>
    <w:rsid w:val="005114EF"/>
    <w:rsid w:val="005117E2"/>
    <w:rsid w:val="00511927"/>
    <w:rsid w:val="00511D75"/>
    <w:rsid w:val="00511F27"/>
    <w:rsid w:val="00512466"/>
    <w:rsid w:val="00513576"/>
    <w:rsid w:val="005139F2"/>
    <w:rsid w:val="0051425C"/>
    <w:rsid w:val="00514261"/>
    <w:rsid w:val="005147E7"/>
    <w:rsid w:val="00514E62"/>
    <w:rsid w:val="00514F1E"/>
    <w:rsid w:val="0051542F"/>
    <w:rsid w:val="00515A17"/>
    <w:rsid w:val="00516BD1"/>
    <w:rsid w:val="00516FA9"/>
    <w:rsid w:val="00517136"/>
    <w:rsid w:val="0051763C"/>
    <w:rsid w:val="00520ACE"/>
    <w:rsid w:val="00520B3D"/>
    <w:rsid w:val="005214A3"/>
    <w:rsid w:val="00521DD5"/>
    <w:rsid w:val="00523A16"/>
    <w:rsid w:val="00523D73"/>
    <w:rsid w:val="00524765"/>
    <w:rsid w:val="00525158"/>
    <w:rsid w:val="005262FE"/>
    <w:rsid w:val="00526547"/>
    <w:rsid w:val="0052660C"/>
    <w:rsid w:val="00526AEF"/>
    <w:rsid w:val="00526F64"/>
    <w:rsid w:val="005271CF"/>
    <w:rsid w:val="00530B7C"/>
    <w:rsid w:val="005318E5"/>
    <w:rsid w:val="00531C9F"/>
    <w:rsid w:val="005320E8"/>
    <w:rsid w:val="00532311"/>
    <w:rsid w:val="00532614"/>
    <w:rsid w:val="00532A21"/>
    <w:rsid w:val="00532ABB"/>
    <w:rsid w:val="00532B61"/>
    <w:rsid w:val="0053313F"/>
    <w:rsid w:val="005337B4"/>
    <w:rsid w:val="00533A92"/>
    <w:rsid w:val="00533D6F"/>
    <w:rsid w:val="005343AA"/>
    <w:rsid w:val="0053500C"/>
    <w:rsid w:val="0053513D"/>
    <w:rsid w:val="00535974"/>
    <w:rsid w:val="00536C3D"/>
    <w:rsid w:val="0053752C"/>
    <w:rsid w:val="00537596"/>
    <w:rsid w:val="00537D3D"/>
    <w:rsid w:val="00540708"/>
    <w:rsid w:val="005420EE"/>
    <w:rsid w:val="005426E8"/>
    <w:rsid w:val="00542763"/>
    <w:rsid w:val="00543103"/>
    <w:rsid w:val="00543BB2"/>
    <w:rsid w:val="005443C6"/>
    <w:rsid w:val="00545263"/>
    <w:rsid w:val="00545E1A"/>
    <w:rsid w:val="005466C1"/>
    <w:rsid w:val="00546F95"/>
    <w:rsid w:val="0054729E"/>
    <w:rsid w:val="0054734A"/>
    <w:rsid w:val="005477A8"/>
    <w:rsid w:val="00547844"/>
    <w:rsid w:val="00547E0B"/>
    <w:rsid w:val="00547F47"/>
    <w:rsid w:val="005509FB"/>
    <w:rsid w:val="00550A47"/>
    <w:rsid w:val="005518D4"/>
    <w:rsid w:val="005519F9"/>
    <w:rsid w:val="00551EFD"/>
    <w:rsid w:val="0055205D"/>
    <w:rsid w:val="005525F3"/>
    <w:rsid w:val="00553534"/>
    <w:rsid w:val="005535AC"/>
    <w:rsid w:val="00553637"/>
    <w:rsid w:val="0055448C"/>
    <w:rsid w:val="0055499A"/>
    <w:rsid w:val="00554A43"/>
    <w:rsid w:val="00555324"/>
    <w:rsid w:val="00555487"/>
    <w:rsid w:val="00555FAE"/>
    <w:rsid w:val="00556717"/>
    <w:rsid w:val="00556E80"/>
    <w:rsid w:val="0055711A"/>
    <w:rsid w:val="0055735E"/>
    <w:rsid w:val="00557CDD"/>
    <w:rsid w:val="005601EF"/>
    <w:rsid w:val="00560FEC"/>
    <w:rsid w:val="00561A54"/>
    <w:rsid w:val="00561B34"/>
    <w:rsid w:val="00561E8F"/>
    <w:rsid w:val="00562AF2"/>
    <w:rsid w:val="00563DC5"/>
    <w:rsid w:val="005642F1"/>
    <w:rsid w:val="00564301"/>
    <w:rsid w:val="00565933"/>
    <w:rsid w:val="00565AE2"/>
    <w:rsid w:val="00565B4F"/>
    <w:rsid w:val="005672E9"/>
    <w:rsid w:val="00567460"/>
    <w:rsid w:val="00570224"/>
    <w:rsid w:val="005706EB"/>
    <w:rsid w:val="005709BD"/>
    <w:rsid w:val="005709EE"/>
    <w:rsid w:val="005711FB"/>
    <w:rsid w:val="00572B79"/>
    <w:rsid w:val="00572D15"/>
    <w:rsid w:val="00573011"/>
    <w:rsid w:val="0057305F"/>
    <w:rsid w:val="005734A8"/>
    <w:rsid w:val="005735DB"/>
    <w:rsid w:val="00573B5B"/>
    <w:rsid w:val="00574089"/>
    <w:rsid w:val="005743C0"/>
    <w:rsid w:val="00574EA4"/>
    <w:rsid w:val="00577087"/>
    <w:rsid w:val="0057768B"/>
    <w:rsid w:val="00580471"/>
    <w:rsid w:val="00581C7F"/>
    <w:rsid w:val="005823E8"/>
    <w:rsid w:val="0058475F"/>
    <w:rsid w:val="005849E1"/>
    <w:rsid w:val="00585A05"/>
    <w:rsid w:val="0058796D"/>
    <w:rsid w:val="005879E9"/>
    <w:rsid w:val="00587F12"/>
    <w:rsid w:val="00590329"/>
    <w:rsid w:val="00590999"/>
    <w:rsid w:val="00591039"/>
    <w:rsid w:val="005911F4"/>
    <w:rsid w:val="00591A68"/>
    <w:rsid w:val="00592B47"/>
    <w:rsid w:val="00592D22"/>
    <w:rsid w:val="00593026"/>
    <w:rsid w:val="00593618"/>
    <w:rsid w:val="005936EF"/>
    <w:rsid w:val="0059566C"/>
    <w:rsid w:val="00595FB3"/>
    <w:rsid w:val="005961BC"/>
    <w:rsid w:val="00596DDB"/>
    <w:rsid w:val="00597662"/>
    <w:rsid w:val="005A07B4"/>
    <w:rsid w:val="005A0B16"/>
    <w:rsid w:val="005A273C"/>
    <w:rsid w:val="005A2747"/>
    <w:rsid w:val="005A2D04"/>
    <w:rsid w:val="005A31C7"/>
    <w:rsid w:val="005A4705"/>
    <w:rsid w:val="005A4C98"/>
    <w:rsid w:val="005A5D85"/>
    <w:rsid w:val="005A63D1"/>
    <w:rsid w:val="005A66F0"/>
    <w:rsid w:val="005A6981"/>
    <w:rsid w:val="005A7187"/>
    <w:rsid w:val="005A783B"/>
    <w:rsid w:val="005B03D9"/>
    <w:rsid w:val="005B0B63"/>
    <w:rsid w:val="005B144E"/>
    <w:rsid w:val="005B3183"/>
    <w:rsid w:val="005B34C5"/>
    <w:rsid w:val="005B3FB7"/>
    <w:rsid w:val="005B445A"/>
    <w:rsid w:val="005B4740"/>
    <w:rsid w:val="005B491B"/>
    <w:rsid w:val="005B4D79"/>
    <w:rsid w:val="005B52EC"/>
    <w:rsid w:val="005B5623"/>
    <w:rsid w:val="005B5874"/>
    <w:rsid w:val="005B5A20"/>
    <w:rsid w:val="005B60EC"/>
    <w:rsid w:val="005B64DB"/>
    <w:rsid w:val="005B7862"/>
    <w:rsid w:val="005C0A20"/>
    <w:rsid w:val="005C0E26"/>
    <w:rsid w:val="005C17B9"/>
    <w:rsid w:val="005C2064"/>
    <w:rsid w:val="005C2320"/>
    <w:rsid w:val="005C245A"/>
    <w:rsid w:val="005C2AE7"/>
    <w:rsid w:val="005C4018"/>
    <w:rsid w:val="005C432F"/>
    <w:rsid w:val="005C43D1"/>
    <w:rsid w:val="005C4A84"/>
    <w:rsid w:val="005C4AEE"/>
    <w:rsid w:val="005C4FDB"/>
    <w:rsid w:val="005C5758"/>
    <w:rsid w:val="005C5F93"/>
    <w:rsid w:val="005C61AE"/>
    <w:rsid w:val="005C6425"/>
    <w:rsid w:val="005C7093"/>
    <w:rsid w:val="005C732A"/>
    <w:rsid w:val="005D061F"/>
    <w:rsid w:val="005D1AFA"/>
    <w:rsid w:val="005D1D26"/>
    <w:rsid w:val="005D290E"/>
    <w:rsid w:val="005D3270"/>
    <w:rsid w:val="005D39A5"/>
    <w:rsid w:val="005D561B"/>
    <w:rsid w:val="005D610E"/>
    <w:rsid w:val="005D7EDB"/>
    <w:rsid w:val="005E0352"/>
    <w:rsid w:val="005E05E4"/>
    <w:rsid w:val="005E111F"/>
    <w:rsid w:val="005E224F"/>
    <w:rsid w:val="005E2E4F"/>
    <w:rsid w:val="005E336A"/>
    <w:rsid w:val="005E3439"/>
    <w:rsid w:val="005E3C3E"/>
    <w:rsid w:val="005E4E5A"/>
    <w:rsid w:val="005E53AA"/>
    <w:rsid w:val="005E590E"/>
    <w:rsid w:val="005E5B40"/>
    <w:rsid w:val="005E5CA5"/>
    <w:rsid w:val="005E61FB"/>
    <w:rsid w:val="005E7083"/>
    <w:rsid w:val="005F0A4A"/>
    <w:rsid w:val="005F0F19"/>
    <w:rsid w:val="005F12B2"/>
    <w:rsid w:val="005F2201"/>
    <w:rsid w:val="005F36F9"/>
    <w:rsid w:val="005F385E"/>
    <w:rsid w:val="005F3DC6"/>
    <w:rsid w:val="005F4189"/>
    <w:rsid w:val="005F4296"/>
    <w:rsid w:val="005F4A4C"/>
    <w:rsid w:val="005F51B3"/>
    <w:rsid w:val="005F5790"/>
    <w:rsid w:val="005F5E2A"/>
    <w:rsid w:val="005F5E78"/>
    <w:rsid w:val="005F6AB7"/>
    <w:rsid w:val="005F7820"/>
    <w:rsid w:val="005F78B5"/>
    <w:rsid w:val="00600225"/>
    <w:rsid w:val="006003E9"/>
    <w:rsid w:val="00601580"/>
    <w:rsid w:val="00601702"/>
    <w:rsid w:val="006022E7"/>
    <w:rsid w:val="006024E0"/>
    <w:rsid w:val="00602B84"/>
    <w:rsid w:val="00603201"/>
    <w:rsid w:val="00604064"/>
    <w:rsid w:val="00604653"/>
    <w:rsid w:val="006048D0"/>
    <w:rsid w:val="006052C1"/>
    <w:rsid w:val="00605702"/>
    <w:rsid w:val="0060588C"/>
    <w:rsid w:val="006067A6"/>
    <w:rsid w:val="0060693D"/>
    <w:rsid w:val="0060699A"/>
    <w:rsid w:val="00606A69"/>
    <w:rsid w:val="0060718F"/>
    <w:rsid w:val="0060767F"/>
    <w:rsid w:val="00607FD3"/>
    <w:rsid w:val="00610033"/>
    <w:rsid w:val="00610B9E"/>
    <w:rsid w:val="00611AF1"/>
    <w:rsid w:val="00611C4C"/>
    <w:rsid w:val="00612852"/>
    <w:rsid w:val="00612A49"/>
    <w:rsid w:val="00612AA3"/>
    <w:rsid w:val="00612BF2"/>
    <w:rsid w:val="00613048"/>
    <w:rsid w:val="006130C9"/>
    <w:rsid w:val="00613441"/>
    <w:rsid w:val="006134EF"/>
    <w:rsid w:val="00613E04"/>
    <w:rsid w:val="00614310"/>
    <w:rsid w:val="006143DF"/>
    <w:rsid w:val="00614A29"/>
    <w:rsid w:val="00614C64"/>
    <w:rsid w:val="00615DCB"/>
    <w:rsid w:val="00616185"/>
    <w:rsid w:val="00617F79"/>
    <w:rsid w:val="006202D4"/>
    <w:rsid w:val="006204A7"/>
    <w:rsid w:val="00620EB7"/>
    <w:rsid w:val="00621008"/>
    <w:rsid w:val="00621300"/>
    <w:rsid w:val="006213A9"/>
    <w:rsid w:val="00621526"/>
    <w:rsid w:val="00621F60"/>
    <w:rsid w:val="0062219C"/>
    <w:rsid w:val="006228D0"/>
    <w:rsid w:val="00622E27"/>
    <w:rsid w:val="006241F8"/>
    <w:rsid w:val="006253B9"/>
    <w:rsid w:val="006259DE"/>
    <w:rsid w:val="00625EC9"/>
    <w:rsid w:val="006273E7"/>
    <w:rsid w:val="00627A6D"/>
    <w:rsid w:val="00627E73"/>
    <w:rsid w:val="00631008"/>
    <w:rsid w:val="0063111D"/>
    <w:rsid w:val="00631DE9"/>
    <w:rsid w:val="006321F5"/>
    <w:rsid w:val="0063276B"/>
    <w:rsid w:val="00632CE1"/>
    <w:rsid w:val="00632DD6"/>
    <w:rsid w:val="00634051"/>
    <w:rsid w:val="006340B2"/>
    <w:rsid w:val="00634238"/>
    <w:rsid w:val="0063481D"/>
    <w:rsid w:val="00635539"/>
    <w:rsid w:val="00635AF7"/>
    <w:rsid w:val="006369E7"/>
    <w:rsid w:val="00636DE7"/>
    <w:rsid w:val="0063780D"/>
    <w:rsid w:val="00637BD6"/>
    <w:rsid w:val="00637E3B"/>
    <w:rsid w:val="00640526"/>
    <w:rsid w:val="00640F04"/>
    <w:rsid w:val="0064110F"/>
    <w:rsid w:val="006417E0"/>
    <w:rsid w:val="00641801"/>
    <w:rsid w:val="00641D55"/>
    <w:rsid w:val="00643474"/>
    <w:rsid w:val="006439F3"/>
    <w:rsid w:val="00644B69"/>
    <w:rsid w:val="006455A3"/>
    <w:rsid w:val="0064561E"/>
    <w:rsid w:val="00645F58"/>
    <w:rsid w:val="006468E9"/>
    <w:rsid w:val="00646BB2"/>
    <w:rsid w:val="00646D5C"/>
    <w:rsid w:val="00646E37"/>
    <w:rsid w:val="00647207"/>
    <w:rsid w:val="00647281"/>
    <w:rsid w:val="0065082F"/>
    <w:rsid w:val="006517F4"/>
    <w:rsid w:val="006533A5"/>
    <w:rsid w:val="00653748"/>
    <w:rsid w:val="00653917"/>
    <w:rsid w:val="0065404C"/>
    <w:rsid w:val="006552A6"/>
    <w:rsid w:val="0065666D"/>
    <w:rsid w:val="00656AA1"/>
    <w:rsid w:val="00657FF1"/>
    <w:rsid w:val="00660213"/>
    <w:rsid w:val="00660749"/>
    <w:rsid w:val="00660AAE"/>
    <w:rsid w:val="006615A9"/>
    <w:rsid w:val="00661AB3"/>
    <w:rsid w:val="0066354D"/>
    <w:rsid w:val="00663954"/>
    <w:rsid w:val="00663991"/>
    <w:rsid w:val="006639CA"/>
    <w:rsid w:val="00664B0A"/>
    <w:rsid w:val="0066632F"/>
    <w:rsid w:val="00666827"/>
    <w:rsid w:val="00666F8B"/>
    <w:rsid w:val="00667428"/>
    <w:rsid w:val="006675C3"/>
    <w:rsid w:val="006678CC"/>
    <w:rsid w:val="00667CDC"/>
    <w:rsid w:val="0067030E"/>
    <w:rsid w:val="006703C6"/>
    <w:rsid w:val="00671D20"/>
    <w:rsid w:val="0067221B"/>
    <w:rsid w:val="00672DF6"/>
    <w:rsid w:val="00672E85"/>
    <w:rsid w:val="00673C51"/>
    <w:rsid w:val="006743A3"/>
    <w:rsid w:val="00674668"/>
    <w:rsid w:val="00674D68"/>
    <w:rsid w:val="00675230"/>
    <w:rsid w:val="0067540A"/>
    <w:rsid w:val="00676C26"/>
    <w:rsid w:val="00680B66"/>
    <w:rsid w:val="00680C29"/>
    <w:rsid w:val="00680C5E"/>
    <w:rsid w:val="006812A2"/>
    <w:rsid w:val="00681D44"/>
    <w:rsid w:val="006828B5"/>
    <w:rsid w:val="00682FB5"/>
    <w:rsid w:val="00684EEC"/>
    <w:rsid w:val="006853AA"/>
    <w:rsid w:val="006867C1"/>
    <w:rsid w:val="00686869"/>
    <w:rsid w:val="00686D4F"/>
    <w:rsid w:val="00686DFF"/>
    <w:rsid w:val="00686FB7"/>
    <w:rsid w:val="006873FD"/>
    <w:rsid w:val="0068744A"/>
    <w:rsid w:val="00687B72"/>
    <w:rsid w:val="00690ACC"/>
    <w:rsid w:val="00691362"/>
    <w:rsid w:val="00691E23"/>
    <w:rsid w:val="00691F4A"/>
    <w:rsid w:val="006926D0"/>
    <w:rsid w:val="00692CFB"/>
    <w:rsid w:val="00693DE8"/>
    <w:rsid w:val="00695470"/>
    <w:rsid w:val="006954A6"/>
    <w:rsid w:val="0069557F"/>
    <w:rsid w:val="0069572A"/>
    <w:rsid w:val="006959E8"/>
    <w:rsid w:val="00696C0E"/>
    <w:rsid w:val="00697FF6"/>
    <w:rsid w:val="006A0D24"/>
    <w:rsid w:val="006A100C"/>
    <w:rsid w:val="006A194C"/>
    <w:rsid w:val="006A2002"/>
    <w:rsid w:val="006A25AE"/>
    <w:rsid w:val="006A294C"/>
    <w:rsid w:val="006A36C1"/>
    <w:rsid w:val="006A48AA"/>
    <w:rsid w:val="006A4E11"/>
    <w:rsid w:val="006A524C"/>
    <w:rsid w:val="006A534A"/>
    <w:rsid w:val="006A5594"/>
    <w:rsid w:val="006A596C"/>
    <w:rsid w:val="006A605D"/>
    <w:rsid w:val="006A6163"/>
    <w:rsid w:val="006A7239"/>
    <w:rsid w:val="006A7546"/>
    <w:rsid w:val="006B06F9"/>
    <w:rsid w:val="006B0B85"/>
    <w:rsid w:val="006B0DF7"/>
    <w:rsid w:val="006B0FC3"/>
    <w:rsid w:val="006B16C3"/>
    <w:rsid w:val="006B187A"/>
    <w:rsid w:val="006B1A45"/>
    <w:rsid w:val="006B26B2"/>
    <w:rsid w:val="006B3A4C"/>
    <w:rsid w:val="006B3E33"/>
    <w:rsid w:val="006B486F"/>
    <w:rsid w:val="006B49CB"/>
    <w:rsid w:val="006B5655"/>
    <w:rsid w:val="006B5776"/>
    <w:rsid w:val="006B674C"/>
    <w:rsid w:val="006B7A05"/>
    <w:rsid w:val="006B7D45"/>
    <w:rsid w:val="006C008A"/>
    <w:rsid w:val="006C03AC"/>
    <w:rsid w:val="006C197E"/>
    <w:rsid w:val="006C1B66"/>
    <w:rsid w:val="006C1CC0"/>
    <w:rsid w:val="006C45F1"/>
    <w:rsid w:val="006C4BAF"/>
    <w:rsid w:val="006C5EC7"/>
    <w:rsid w:val="006C5F28"/>
    <w:rsid w:val="006C6497"/>
    <w:rsid w:val="006C6595"/>
    <w:rsid w:val="006C693A"/>
    <w:rsid w:val="006C6AED"/>
    <w:rsid w:val="006C7DD1"/>
    <w:rsid w:val="006D0F1C"/>
    <w:rsid w:val="006D12CC"/>
    <w:rsid w:val="006D1853"/>
    <w:rsid w:val="006D1DBA"/>
    <w:rsid w:val="006D219B"/>
    <w:rsid w:val="006D2A25"/>
    <w:rsid w:val="006D2BD8"/>
    <w:rsid w:val="006D3140"/>
    <w:rsid w:val="006D328D"/>
    <w:rsid w:val="006D3798"/>
    <w:rsid w:val="006D45C4"/>
    <w:rsid w:val="006D466C"/>
    <w:rsid w:val="006D4FBA"/>
    <w:rsid w:val="006D5297"/>
    <w:rsid w:val="006D759C"/>
    <w:rsid w:val="006D79A4"/>
    <w:rsid w:val="006D7FC8"/>
    <w:rsid w:val="006E0017"/>
    <w:rsid w:val="006E01F9"/>
    <w:rsid w:val="006E066D"/>
    <w:rsid w:val="006E0BDF"/>
    <w:rsid w:val="006E1002"/>
    <w:rsid w:val="006E11D0"/>
    <w:rsid w:val="006E1BEB"/>
    <w:rsid w:val="006E23C0"/>
    <w:rsid w:val="006E25FA"/>
    <w:rsid w:val="006E2E4D"/>
    <w:rsid w:val="006E2F37"/>
    <w:rsid w:val="006E31B5"/>
    <w:rsid w:val="006E4C2A"/>
    <w:rsid w:val="006E5671"/>
    <w:rsid w:val="006E56A5"/>
    <w:rsid w:val="006E57DC"/>
    <w:rsid w:val="006E610E"/>
    <w:rsid w:val="006E69BE"/>
    <w:rsid w:val="006E7149"/>
    <w:rsid w:val="006E7C3C"/>
    <w:rsid w:val="006E7EFF"/>
    <w:rsid w:val="006F01AF"/>
    <w:rsid w:val="006F0473"/>
    <w:rsid w:val="006F0497"/>
    <w:rsid w:val="006F176D"/>
    <w:rsid w:val="006F19ED"/>
    <w:rsid w:val="006F2510"/>
    <w:rsid w:val="006F293B"/>
    <w:rsid w:val="006F3985"/>
    <w:rsid w:val="006F41FC"/>
    <w:rsid w:val="006F4772"/>
    <w:rsid w:val="006F534E"/>
    <w:rsid w:val="006F5EF9"/>
    <w:rsid w:val="006F7649"/>
    <w:rsid w:val="006F79DB"/>
    <w:rsid w:val="006F7F28"/>
    <w:rsid w:val="007007D8"/>
    <w:rsid w:val="00701F22"/>
    <w:rsid w:val="007022F1"/>
    <w:rsid w:val="00702E1A"/>
    <w:rsid w:val="00702F15"/>
    <w:rsid w:val="007036AD"/>
    <w:rsid w:val="0070375D"/>
    <w:rsid w:val="007044C5"/>
    <w:rsid w:val="00704D1C"/>
    <w:rsid w:val="00704E15"/>
    <w:rsid w:val="00704F39"/>
    <w:rsid w:val="0070554B"/>
    <w:rsid w:val="007057B8"/>
    <w:rsid w:val="00705883"/>
    <w:rsid w:val="00706306"/>
    <w:rsid w:val="00706CEC"/>
    <w:rsid w:val="007076D2"/>
    <w:rsid w:val="00707A64"/>
    <w:rsid w:val="00707F9A"/>
    <w:rsid w:val="0071057A"/>
    <w:rsid w:val="007109B8"/>
    <w:rsid w:val="00711333"/>
    <w:rsid w:val="00711FEB"/>
    <w:rsid w:val="007122F3"/>
    <w:rsid w:val="00712EA7"/>
    <w:rsid w:val="007137AB"/>
    <w:rsid w:val="00713C80"/>
    <w:rsid w:val="0071404C"/>
    <w:rsid w:val="00714085"/>
    <w:rsid w:val="0071410D"/>
    <w:rsid w:val="00714348"/>
    <w:rsid w:val="007143C6"/>
    <w:rsid w:val="007145E2"/>
    <w:rsid w:val="00714CB0"/>
    <w:rsid w:val="00714EDA"/>
    <w:rsid w:val="0071571A"/>
    <w:rsid w:val="0071601E"/>
    <w:rsid w:val="00717582"/>
    <w:rsid w:val="00717820"/>
    <w:rsid w:val="00720801"/>
    <w:rsid w:val="00721730"/>
    <w:rsid w:val="00721C6D"/>
    <w:rsid w:val="007220F6"/>
    <w:rsid w:val="00722834"/>
    <w:rsid w:val="00723186"/>
    <w:rsid w:val="0072338A"/>
    <w:rsid w:val="007234BB"/>
    <w:rsid w:val="007239B6"/>
    <w:rsid w:val="00723A42"/>
    <w:rsid w:val="00723EB5"/>
    <w:rsid w:val="007245FB"/>
    <w:rsid w:val="00724896"/>
    <w:rsid w:val="0072492E"/>
    <w:rsid w:val="007249B9"/>
    <w:rsid w:val="00724AD5"/>
    <w:rsid w:val="00724C9E"/>
    <w:rsid w:val="00724F32"/>
    <w:rsid w:val="00724F7C"/>
    <w:rsid w:val="00725615"/>
    <w:rsid w:val="0072618F"/>
    <w:rsid w:val="00726FC9"/>
    <w:rsid w:val="0072769A"/>
    <w:rsid w:val="007303D9"/>
    <w:rsid w:val="007306CC"/>
    <w:rsid w:val="00731442"/>
    <w:rsid w:val="00731727"/>
    <w:rsid w:val="00731954"/>
    <w:rsid w:val="00731A7C"/>
    <w:rsid w:val="00732A30"/>
    <w:rsid w:val="007345E7"/>
    <w:rsid w:val="00735528"/>
    <w:rsid w:val="00735B32"/>
    <w:rsid w:val="00736111"/>
    <w:rsid w:val="00736499"/>
    <w:rsid w:val="00736C86"/>
    <w:rsid w:val="00740202"/>
    <w:rsid w:val="007403DD"/>
    <w:rsid w:val="00740BDC"/>
    <w:rsid w:val="00740BEE"/>
    <w:rsid w:val="007424CA"/>
    <w:rsid w:val="0074256D"/>
    <w:rsid w:val="007435E7"/>
    <w:rsid w:val="0074368C"/>
    <w:rsid w:val="00744126"/>
    <w:rsid w:val="007457FC"/>
    <w:rsid w:val="00745C3D"/>
    <w:rsid w:val="007464D1"/>
    <w:rsid w:val="00746914"/>
    <w:rsid w:val="00746B58"/>
    <w:rsid w:val="00746DE1"/>
    <w:rsid w:val="00746EBA"/>
    <w:rsid w:val="00747823"/>
    <w:rsid w:val="00747C6E"/>
    <w:rsid w:val="00747FE7"/>
    <w:rsid w:val="0075067D"/>
    <w:rsid w:val="00750CD5"/>
    <w:rsid w:val="00750FCB"/>
    <w:rsid w:val="007511D5"/>
    <w:rsid w:val="00753020"/>
    <w:rsid w:val="007532B6"/>
    <w:rsid w:val="00753C64"/>
    <w:rsid w:val="00753F5F"/>
    <w:rsid w:val="007541E9"/>
    <w:rsid w:val="0075442C"/>
    <w:rsid w:val="007546AF"/>
    <w:rsid w:val="00754B21"/>
    <w:rsid w:val="00755EB8"/>
    <w:rsid w:val="007562B4"/>
    <w:rsid w:val="0075728D"/>
    <w:rsid w:val="007576E8"/>
    <w:rsid w:val="00760453"/>
    <w:rsid w:val="00760643"/>
    <w:rsid w:val="00760774"/>
    <w:rsid w:val="00761DAC"/>
    <w:rsid w:val="0076260F"/>
    <w:rsid w:val="00762B22"/>
    <w:rsid w:val="00764763"/>
    <w:rsid w:val="00764813"/>
    <w:rsid w:val="00764ABF"/>
    <w:rsid w:val="0077039C"/>
    <w:rsid w:val="0077254F"/>
    <w:rsid w:val="007740CC"/>
    <w:rsid w:val="00774344"/>
    <w:rsid w:val="00775269"/>
    <w:rsid w:val="0077534C"/>
    <w:rsid w:val="0077663D"/>
    <w:rsid w:val="007768E2"/>
    <w:rsid w:val="00776A16"/>
    <w:rsid w:val="00777EF3"/>
    <w:rsid w:val="00777F0A"/>
    <w:rsid w:val="007804E0"/>
    <w:rsid w:val="00782998"/>
    <w:rsid w:val="00783113"/>
    <w:rsid w:val="007833A3"/>
    <w:rsid w:val="00783E28"/>
    <w:rsid w:val="00784162"/>
    <w:rsid w:val="007841AE"/>
    <w:rsid w:val="0078468E"/>
    <w:rsid w:val="00784AAE"/>
    <w:rsid w:val="0078511C"/>
    <w:rsid w:val="007853FD"/>
    <w:rsid w:val="00785CD7"/>
    <w:rsid w:val="007862B2"/>
    <w:rsid w:val="007862D6"/>
    <w:rsid w:val="00786B12"/>
    <w:rsid w:val="00786FDD"/>
    <w:rsid w:val="0078767C"/>
    <w:rsid w:val="00787753"/>
    <w:rsid w:val="007878B2"/>
    <w:rsid w:val="00787A20"/>
    <w:rsid w:val="00787B86"/>
    <w:rsid w:val="007900F6"/>
    <w:rsid w:val="007901C2"/>
    <w:rsid w:val="0079075D"/>
    <w:rsid w:val="007909BF"/>
    <w:rsid w:val="00790D3E"/>
    <w:rsid w:val="007912CD"/>
    <w:rsid w:val="00791729"/>
    <w:rsid w:val="00791819"/>
    <w:rsid w:val="00792AC4"/>
    <w:rsid w:val="007935E7"/>
    <w:rsid w:val="007939A6"/>
    <w:rsid w:val="007939F9"/>
    <w:rsid w:val="00795116"/>
    <w:rsid w:val="0079572A"/>
    <w:rsid w:val="00795790"/>
    <w:rsid w:val="007958EA"/>
    <w:rsid w:val="00795AAC"/>
    <w:rsid w:val="00796707"/>
    <w:rsid w:val="00797047"/>
    <w:rsid w:val="00797BD8"/>
    <w:rsid w:val="007A007A"/>
    <w:rsid w:val="007A0A67"/>
    <w:rsid w:val="007A1FAE"/>
    <w:rsid w:val="007A2171"/>
    <w:rsid w:val="007A27A3"/>
    <w:rsid w:val="007A3524"/>
    <w:rsid w:val="007A3816"/>
    <w:rsid w:val="007A41B0"/>
    <w:rsid w:val="007A5988"/>
    <w:rsid w:val="007A5C21"/>
    <w:rsid w:val="007A64B6"/>
    <w:rsid w:val="007A6BDD"/>
    <w:rsid w:val="007A7BE3"/>
    <w:rsid w:val="007B0466"/>
    <w:rsid w:val="007B133A"/>
    <w:rsid w:val="007B1BA3"/>
    <w:rsid w:val="007B2A48"/>
    <w:rsid w:val="007B2EE1"/>
    <w:rsid w:val="007B31D1"/>
    <w:rsid w:val="007B3207"/>
    <w:rsid w:val="007B3C39"/>
    <w:rsid w:val="007B3C92"/>
    <w:rsid w:val="007B3F25"/>
    <w:rsid w:val="007B4876"/>
    <w:rsid w:val="007B4F45"/>
    <w:rsid w:val="007B589E"/>
    <w:rsid w:val="007B5DD1"/>
    <w:rsid w:val="007B5EEB"/>
    <w:rsid w:val="007B6DF2"/>
    <w:rsid w:val="007B7A16"/>
    <w:rsid w:val="007B7C8F"/>
    <w:rsid w:val="007B7F47"/>
    <w:rsid w:val="007C0B07"/>
    <w:rsid w:val="007C1871"/>
    <w:rsid w:val="007C33D9"/>
    <w:rsid w:val="007C365C"/>
    <w:rsid w:val="007C580B"/>
    <w:rsid w:val="007C58EC"/>
    <w:rsid w:val="007C6289"/>
    <w:rsid w:val="007C74FB"/>
    <w:rsid w:val="007C7C6E"/>
    <w:rsid w:val="007D1345"/>
    <w:rsid w:val="007D19B8"/>
    <w:rsid w:val="007D1C98"/>
    <w:rsid w:val="007D2ACB"/>
    <w:rsid w:val="007D2B4F"/>
    <w:rsid w:val="007D3453"/>
    <w:rsid w:val="007D49AC"/>
    <w:rsid w:val="007D551D"/>
    <w:rsid w:val="007D6AE3"/>
    <w:rsid w:val="007D6EA5"/>
    <w:rsid w:val="007D750F"/>
    <w:rsid w:val="007D7AAC"/>
    <w:rsid w:val="007D7BB3"/>
    <w:rsid w:val="007E0312"/>
    <w:rsid w:val="007E10A4"/>
    <w:rsid w:val="007E1AEA"/>
    <w:rsid w:val="007E1FCF"/>
    <w:rsid w:val="007E21B1"/>
    <w:rsid w:val="007E222E"/>
    <w:rsid w:val="007E2B59"/>
    <w:rsid w:val="007E2D90"/>
    <w:rsid w:val="007E2F7D"/>
    <w:rsid w:val="007E31C3"/>
    <w:rsid w:val="007E39B0"/>
    <w:rsid w:val="007E3F90"/>
    <w:rsid w:val="007E4174"/>
    <w:rsid w:val="007E489B"/>
    <w:rsid w:val="007E54B5"/>
    <w:rsid w:val="007E5634"/>
    <w:rsid w:val="007E5795"/>
    <w:rsid w:val="007E5DFF"/>
    <w:rsid w:val="007E5E9F"/>
    <w:rsid w:val="007E5F08"/>
    <w:rsid w:val="007E76C4"/>
    <w:rsid w:val="007F0085"/>
    <w:rsid w:val="007F0258"/>
    <w:rsid w:val="007F05FA"/>
    <w:rsid w:val="007F09D3"/>
    <w:rsid w:val="007F1182"/>
    <w:rsid w:val="007F1402"/>
    <w:rsid w:val="007F172B"/>
    <w:rsid w:val="007F1C0C"/>
    <w:rsid w:val="007F1EE4"/>
    <w:rsid w:val="007F2890"/>
    <w:rsid w:val="007F289E"/>
    <w:rsid w:val="007F2E83"/>
    <w:rsid w:val="007F35E0"/>
    <w:rsid w:val="007F38D3"/>
    <w:rsid w:val="007F38F5"/>
    <w:rsid w:val="007F3A55"/>
    <w:rsid w:val="007F3E76"/>
    <w:rsid w:val="007F4A0B"/>
    <w:rsid w:val="007F5080"/>
    <w:rsid w:val="007F51E0"/>
    <w:rsid w:val="007F6B29"/>
    <w:rsid w:val="007F6E8D"/>
    <w:rsid w:val="007F7A4D"/>
    <w:rsid w:val="007F7B73"/>
    <w:rsid w:val="00800D7E"/>
    <w:rsid w:val="00801269"/>
    <w:rsid w:val="00801E78"/>
    <w:rsid w:val="0080210A"/>
    <w:rsid w:val="00803031"/>
    <w:rsid w:val="00803738"/>
    <w:rsid w:val="00803893"/>
    <w:rsid w:val="00803F7B"/>
    <w:rsid w:val="00804813"/>
    <w:rsid w:val="00805C8D"/>
    <w:rsid w:val="00805DB2"/>
    <w:rsid w:val="00806C51"/>
    <w:rsid w:val="00806CA9"/>
    <w:rsid w:val="008072BF"/>
    <w:rsid w:val="008078BF"/>
    <w:rsid w:val="008078FE"/>
    <w:rsid w:val="00807D9D"/>
    <w:rsid w:val="008109B7"/>
    <w:rsid w:val="00811BB5"/>
    <w:rsid w:val="00812BB2"/>
    <w:rsid w:val="00812E6E"/>
    <w:rsid w:val="008147AD"/>
    <w:rsid w:val="00815EF9"/>
    <w:rsid w:val="008165D7"/>
    <w:rsid w:val="00817467"/>
    <w:rsid w:val="00820429"/>
    <w:rsid w:val="00820AAB"/>
    <w:rsid w:val="00821181"/>
    <w:rsid w:val="00821688"/>
    <w:rsid w:val="00821F02"/>
    <w:rsid w:val="008232EC"/>
    <w:rsid w:val="00823450"/>
    <w:rsid w:val="0082352D"/>
    <w:rsid w:val="00824D93"/>
    <w:rsid w:val="008251F8"/>
    <w:rsid w:val="008251FF"/>
    <w:rsid w:val="008255A5"/>
    <w:rsid w:val="00825FD3"/>
    <w:rsid w:val="00826325"/>
    <w:rsid w:val="0082710E"/>
    <w:rsid w:val="0083066C"/>
    <w:rsid w:val="008308D3"/>
    <w:rsid w:val="00831BEA"/>
    <w:rsid w:val="008320C4"/>
    <w:rsid w:val="00832C1D"/>
    <w:rsid w:val="008344B8"/>
    <w:rsid w:val="008349CB"/>
    <w:rsid w:val="00835866"/>
    <w:rsid w:val="008371F2"/>
    <w:rsid w:val="008378DD"/>
    <w:rsid w:val="0084037A"/>
    <w:rsid w:val="0084044F"/>
    <w:rsid w:val="0084077D"/>
    <w:rsid w:val="00840B0B"/>
    <w:rsid w:val="0084126B"/>
    <w:rsid w:val="00841BF4"/>
    <w:rsid w:val="00841F5F"/>
    <w:rsid w:val="00841F91"/>
    <w:rsid w:val="0084235A"/>
    <w:rsid w:val="008424B8"/>
    <w:rsid w:val="00842F48"/>
    <w:rsid w:val="00843F71"/>
    <w:rsid w:val="008441C1"/>
    <w:rsid w:val="0084428D"/>
    <w:rsid w:val="0084459E"/>
    <w:rsid w:val="008449D0"/>
    <w:rsid w:val="00845813"/>
    <w:rsid w:val="00845BD2"/>
    <w:rsid w:val="0084622D"/>
    <w:rsid w:val="008466A0"/>
    <w:rsid w:val="00846D0C"/>
    <w:rsid w:val="00846D1D"/>
    <w:rsid w:val="008479EB"/>
    <w:rsid w:val="00847AB4"/>
    <w:rsid w:val="00847BB2"/>
    <w:rsid w:val="0085021D"/>
    <w:rsid w:val="00851C67"/>
    <w:rsid w:val="008520BB"/>
    <w:rsid w:val="008521C5"/>
    <w:rsid w:val="00853B44"/>
    <w:rsid w:val="00853DDE"/>
    <w:rsid w:val="008548CC"/>
    <w:rsid w:val="00854F7D"/>
    <w:rsid w:val="00855491"/>
    <w:rsid w:val="008565BE"/>
    <w:rsid w:val="008569ED"/>
    <w:rsid w:val="00856B7F"/>
    <w:rsid w:val="00856C90"/>
    <w:rsid w:val="00856EFD"/>
    <w:rsid w:val="00857441"/>
    <w:rsid w:val="00857BAB"/>
    <w:rsid w:val="00857D27"/>
    <w:rsid w:val="008605A0"/>
    <w:rsid w:val="00860AB9"/>
    <w:rsid w:val="008630D8"/>
    <w:rsid w:val="00863859"/>
    <w:rsid w:val="00863A54"/>
    <w:rsid w:val="00863B69"/>
    <w:rsid w:val="00863EBA"/>
    <w:rsid w:val="00864E4F"/>
    <w:rsid w:val="0086658D"/>
    <w:rsid w:val="008669B9"/>
    <w:rsid w:val="00866B6A"/>
    <w:rsid w:val="00866C94"/>
    <w:rsid w:val="00866EF7"/>
    <w:rsid w:val="00867389"/>
    <w:rsid w:val="008673AB"/>
    <w:rsid w:val="00867EFB"/>
    <w:rsid w:val="008708C7"/>
    <w:rsid w:val="008718AA"/>
    <w:rsid w:val="00872CE9"/>
    <w:rsid w:val="00873318"/>
    <w:rsid w:val="00873B9E"/>
    <w:rsid w:val="00874433"/>
    <w:rsid w:val="008744AF"/>
    <w:rsid w:val="00875399"/>
    <w:rsid w:val="008758D1"/>
    <w:rsid w:val="00875AF6"/>
    <w:rsid w:val="00875B2E"/>
    <w:rsid w:val="00875C8C"/>
    <w:rsid w:val="00876415"/>
    <w:rsid w:val="00877281"/>
    <w:rsid w:val="0087759B"/>
    <w:rsid w:val="00880195"/>
    <w:rsid w:val="00880326"/>
    <w:rsid w:val="008803A9"/>
    <w:rsid w:val="00880C07"/>
    <w:rsid w:val="00880CF7"/>
    <w:rsid w:val="00881137"/>
    <w:rsid w:val="0088177E"/>
    <w:rsid w:val="008820CC"/>
    <w:rsid w:val="00882592"/>
    <w:rsid w:val="00883F2A"/>
    <w:rsid w:val="00883FB3"/>
    <w:rsid w:val="0088401B"/>
    <w:rsid w:val="00884615"/>
    <w:rsid w:val="00884828"/>
    <w:rsid w:val="00884BFB"/>
    <w:rsid w:val="00884E0E"/>
    <w:rsid w:val="00884F9E"/>
    <w:rsid w:val="00884FD2"/>
    <w:rsid w:val="008856BE"/>
    <w:rsid w:val="00886469"/>
    <w:rsid w:val="00886AAA"/>
    <w:rsid w:val="00887DB8"/>
    <w:rsid w:val="00890517"/>
    <w:rsid w:val="00890527"/>
    <w:rsid w:val="008908A1"/>
    <w:rsid w:val="008921FD"/>
    <w:rsid w:val="008931CC"/>
    <w:rsid w:val="008938AF"/>
    <w:rsid w:val="00893B2E"/>
    <w:rsid w:val="008942D1"/>
    <w:rsid w:val="00895220"/>
    <w:rsid w:val="00895814"/>
    <w:rsid w:val="008959C4"/>
    <w:rsid w:val="00895F90"/>
    <w:rsid w:val="0089666E"/>
    <w:rsid w:val="00896911"/>
    <w:rsid w:val="0089717F"/>
    <w:rsid w:val="00897AFB"/>
    <w:rsid w:val="00897FAE"/>
    <w:rsid w:val="008A0005"/>
    <w:rsid w:val="008A0EA6"/>
    <w:rsid w:val="008A1245"/>
    <w:rsid w:val="008A1E81"/>
    <w:rsid w:val="008A40DB"/>
    <w:rsid w:val="008A4461"/>
    <w:rsid w:val="008A50DE"/>
    <w:rsid w:val="008A50EF"/>
    <w:rsid w:val="008A6D72"/>
    <w:rsid w:val="008A74AA"/>
    <w:rsid w:val="008A767F"/>
    <w:rsid w:val="008B07B5"/>
    <w:rsid w:val="008B0D89"/>
    <w:rsid w:val="008B16F7"/>
    <w:rsid w:val="008B1747"/>
    <w:rsid w:val="008B17BB"/>
    <w:rsid w:val="008B1E1B"/>
    <w:rsid w:val="008B2511"/>
    <w:rsid w:val="008B2F98"/>
    <w:rsid w:val="008B4162"/>
    <w:rsid w:val="008B5180"/>
    <w:rsid w:val="008B5466"/>
    <w:rsid w:val="008B5664"/>
    <w:rsid w:val="008B6772"/>
    <w:rsid w:val="008B6A9F"/>
    <w:rsid w:val="008B6B0D"/>
    <w:rsid w:val="008B6DBA"/>
    <w:rsid w:val="008B6ED9"/>
    <w:rsid w:val="008B708A"/>
    <w:rsid w:val="008B71C2"/>
    <w:rsid w:val="008B7ED0"/>
    <w:rsid w:val="008C02C2"/>
    <w:rsid w:val="008C17A2"/>
    <w:rsid w:val="008C17B6"/>
    <w:rsid w:val="008C1EDB"/>
    <w:rsid w:val="008C1EE6"/>
    <w:rsid w:val="008C38A6"/>
    <w:rsid w:val="008C3F11"/>
    <w:rsid w:val="008C3F29"/>
    <w:rsid w:val="008C454A"/>
    <w:rsid w:val="008C506B"/>
    <w:rsid w:val="008C55E6"/>
    <w:rsid w:val="008C6073"/>
    <w:rsid w:val="008C6931"/>
    <w:rsid w:val="008C7F21"/>
    <w:rsid w:val="008D0B8B"/>
    <w:rsid w:val="008D1051"/>
    <w:rsid w:val="008D10F2"/>
    <w:rsid w:val="008D1AEC"/>
    <w:rsid w:val="008D3ADF"/>
    <w:rsid w:val="008D5720"/>
    <w:rsid w:val="008D5AA3"/>
    <w:rsid w:val="008D5B06"/>
    <w:rsid w:val="008D6174"/>
    <w:rsid w:val="008D6377"/>
    <w:rsid w:val="008D675B"/>
    <w:rsid w:val="008D6A1F"/>
    <w:rsid w:val="008D71EE"/>
    <w:rsid w:val="008D7C5A"/>
    <w:rsid w:val="008E0306"/>
    <w:rsid w:val="008E030B"/>
    <w:rsid w:val="008E03C8"/>
    <w:rsid w:val="008E0603"/>
    <w:rsid w:val="008E07CA"/>
    <w:rsid w:val="008E1B83"/>
    <w:rsid w:val="008E2967"/>
    <w:rsid w:val="008E2FF3"/>
    <w:rsid w:val="008E304B"/>
    <w:rsid w:val="008E32AC"/>
    <w:rsid w:val="008E36C5"/>
    <w:rsid w:val="008E3814"/>
    <w:rsid w:val="008E44BB"/>
    <w:rsid w:val="008E4EC7"/>
    <w:rsid w:val="008E4EF0"/>
    <w:rsid w:val="008E570B"/>
    <w:rsid w:val="008E5CD1"/>
    <w:rsid w:val="008E647D"/>
    <w:rsid w:val="008E6E8A"/>
    <w:rsid w:val="008F17BC"/>
    <w:rsid w:val="008F26A5"/>
    <w:rsid w:val="008F3D62"/>
    <w:rsid w:val="008F3E67"/>
    <w:rsid w:val="008F5B00"/>
    <w:rsid w:val="008F603D"/>
    <w:rsid w:val="008F6498"/>
    <w:rsid w:val="008F66E1"/>
    <w:rsid w:val="008F6776"/>
    <w:rsid w:val="008F6BAB"/>
    <w:rsid w:val="008F6C0B"/>
    <w:rsid w:val="008F724E"/>
    <w:rsid w:val="008F764A"/>
    <w:rsid w:val="008F7768"/>
    <w:rsid w:val="008F7A0F"/>
    <w:rsid w:val="008F7E90"/>
    <w:rsid w:val="00900585"/>
    <w:rsid w:val="00900588"/>
    <w:rsid w:val="009006C2"/>
    <w:rsid w:val="00900BB5"/>
    <w:rsid w:val="00900C5E"/>
    <w:rsid w:val="009016A3"/>
    <w:rsid w:val="00901967"/>
    <w:rsid w:val="00901A7B"/>
    <w:rsid w:val="00902554"/>
    <w:rsid w:val="00902EDD"/>
    <w:rsid w:val="00903F45"/>
    <w:rsid w:val="009047E6"/>
    <w:rsid w:val="009060CF"/>
    <w:rsid w:val="009063CB"/>
    <w:rsid w:val="0090668A"/>
    <w:rsid w:val="00906787"/>
    <w:rsid w:val="009068BE"/>
    <w:rsid w:val="00907AA7"/>
    <w:rsid w:val="00907E41"/>
    <w:rsid w:val="00910426"/>
    <w:rsid w:val="009108B8"/>
    <w:rsid w:val="00911200"/>
    <w:rsid w:val="00911309"/>
    <w:rsid w:val="00911D82"/>
    <w:rsid w:val="009130D1"/>
    <w:rsid w:val="009134AB"/>
    <w:rsid w:val="00913524"/>
    <w:rsid w:val="00913C80"/>
    <w:rsid w:val="00913D86"/>
    <w:rsid w:val="00913F18"/>
    <w:rsid w:val="00914798"/>
    <w:rsid w:val="00914CD6"/>
    <w:rsid w:val="00915811"/>
    <w:rsid w:val="00915EE4"/>
    <w:rsid w:val="00916FF8"/>
    <w:rsid w:val="0091711D"/>
    <w:rsid w:val="00917B51"/>
    <w:rsid w:val="00921365"/>
    <w:rsid w:val="009229EC"/>
    <w:rsid w:val="00922DEA"/>
    <w:rsid w:val="00922E4D"/>
    <w:rsid w:val="009233DE"/>
    <w:rsid w:val="00923BAE"/>
    <w:rsid w:val="009241AC"/>
    <w:rsid w:val="00924C0A"/>
    <w:rsid w:val="00924E03"/>
    <w:rsid w:val="00925005"/>
    <w:rsid w:val="0092536B"/>
    <w:rsid w:val="00925900"/>
    <w:rsid w:val="0092592F"/>
    <w:rsid w:val="00926368"/>
    <w:rsid w:val="00926450"/>
    <w:rsid w:val="00926602"/>
    <w:rsid w:val="009278AB"/>
    <w:rsid w:val="009278D8"/>
    <w:rsid w:val="009307A3"/>
    <w:rsid w:val="0093144A"/>
    <w:rsid w:val="00931622"/>
    <w:rsid w:val="0093283B"/>
    <w:rsid w:val="00933B9A"/>
    <w:rsid w:val="00933BE4"/>
    <w:rsid w:val="00933DA3"/>
    <w:rsid w:val="00933DFC"/>
    <w:rsid w:val="0093432F"/>
    <w:rsid w:val="009346B7"/>
    <w:rsid w:val="009351C1"/>
    <w:rsid w:val="00935223"/>
    <w:rsid w:val="009354F3"/>
    <w:rsid w:val="00936465"/>
    <w:rsid w:val="00936511"/>
    <w:rsid w:val="009368B1"/>
    <w:rsid w:val="00937AA9"/>
    <w:rsid w:val="00937B3B"/>
    <w:rsid w:val="0094034B"/>
    <w:rsid w:val="00941184"/>
    <w:rsid w:val="009411BD"/>
    <w:rsid w:val="009419B1"/>
    <w:rsid w:val="00941BCC"/>
    <w:rsid w:val="0094234E"/>
    <w:rsid w:val="00942AFD"/>
    <w:rsid w:val="00942C8E"/>
    <w:rsid w:val="00942D02"/>
    <w:rsid w:val="00943753"/>
    <w:rsid w:val="00943BBE"/>
    <w:rsid w:val="00943D0E"/>
    <w:rsid w:val="00943EE5"/>
    <w:rsid w:val="00944218"/>
    <w:rsid w:val="00944D06"/>
    <w:rsid w:val="009450EF"/>
    <w:rsid w:val="009458D0"/>
    <w:rsid w:val="00945C00"/>
    <w:rsid w:val="009460DE"/>
    <w:rsid w:val="009463E9"/>
    <w:rsid w:val="00946C52"/>
    <w:rsid w:val="00946F08"/>
    <w:rsid w:val="00946FD3"/>
    <w:rsid w:val="00947207"/>
    <w:rsid w:val="00947D7D"/>
    <w:rsid w:val="00950910"/>
    <w:rsid w:val="00950DBB"/>
    <w:rsid w:val="00950E57"/>
    <w:rsid w:val="00950EDC"/>
    <w:rsid w:val="00950EFF"/>
    <w:rsid w:val="00950F33"/>
    <w:rsid w:val="00951F46"/>
    <w:rsid w:val="009524A5"/>
    <w:rsid w:val="009535A8"/>
    <w:rsid w:val="00953CD7"/>
    <w:rsid w:val="0095441F"/>
    <w:rsid w:val="00954826"/>
    <w:rsid w:val="0095517F"/>
    <w:rsid w:val="00955856"/>
    <w:rsid w:val="0095710C"/>
    <w:rsid w:val="0095714A"/>
    <w:rsid w:val="00957F8B"/>
    <w:rsid w:val="0096048E"/>
    <w:rsid w:val="00960B36"/>
    <w:rsid w:val="009610A4"/>
    <w:rsid w:val="00961D4C"/>
    <w:rsid w:val="0096223E"/>
    <w:rsid w:val="00962AF5"/>
    <w:rsid w:val="00962F7B"/>
    <w:rsid w:val="00962FAB"/>
    <w:rsid w:val="00963241"/>
    <w:rsid w:val="00964389"/>
    <w:rsid w:val="00964790"/>
    <w:rsid w:val="00964799"/>
    <w:rsid w:val="00964AC3"/>
    <w:rsid w:val="00964C9B"/>
    <w:rsid w:val="00964D12"/>
    <w:rsid w:val="00965399"/>
    <w:rsid w:val="009654D9"/>
    <w:rsid w:val="00965725"/>
    <w:rsid w:val="0096607A"/>
    <w:rsid w:val="009672E3"/>
    <w:rsid w:val="009676A6"/>
    <w:rsid w:val="00971310"/>
    <w:rsid w:val="00971D18"/>
    <w:rsid w:val="0097250E"/>
    <w:rsid w:val="00972519"/>
    <w:rsid w:val="009725C2"/>
    <w:rsid w:val="00972A58"/>
    <w:rsid w:val="00972FFC"/>
    <w:rsid w:val="00973C40"/>
    <w:rsid w:val="00973FB9"/>
    <w:rsid w:val="009741A1"/>
    <w:rsid w:val="0097542A"/>
    <w:rsid w:val="00975475"/>
    <w:rsid w:val="00975534"/>
    <w:rsid w:val="009758BD"/>
    <w:rsid w:val="0098266D"/>
    <w:rsid w:val="0098374E"/>
    <w:rsid w:val="00983D05"/>
    <w:rsid w:val="00983E4C"/>
    <w:rsid w:val="0098447C"/>
    <w:rsid w:val="009844B2"/>
    <w:rsid w:val="0098507E"/>
    <w:rsid w:val="00985A1C"/>
    <w:rsid w:val="00985F97"/>
    <w:rsid w:val="00986291"/>
    <w:rsid w:val="009863E0"/>
    <w:rsid w:val="009867A7"/>
    <w:rsid w:val="00986E13"/>
    <w:rsid w:val="00987113"/>
    <w:rsid w:val="009874A2"/>
    <w:rsid w:val="0098767B"/>
    <w:rsid w:val="00987B99"/>
    <w:rsid w:val="009900C3"/>
    <w:rsid w:val="009908D3"/>
    <w:rsid w:val="00990BB3"/>
    <w:rsid w:val="00992608"/>
    <w:rsid w:val="0099265B"/>
    <w:rsid w:val="009927ED"/>
    <w:rsid w:val="00992B4F"/>
    <w:rsid w:val="00993233"/>
    <w:rsid w:val="0099453D"/>
    <w:rsid w:val="009946D2"/>
    <w:rsid w:val="00996133"/>
    <w:rsid w:val="00996C49"/>
    <w:rsid w:val="00996EEE"/>
    <w:rsid w:val="00997217"/>
    <w:rsid w:val="009978D7"/>
    <w:rsid w:val="00997D9A"/>
    <w:rsid w:val="009A0A2A"/>
    <w:rsid w:val="009A0ACD"/>
    <w:rsid w:val="009A0F6B"/>
    <w:rsid w:val="009A1310"/>
    <w:rsid w:val="009A1F31"/>
    <w:rsid w:val="009A2C4B"/>
    <w:rsid w:val="009A3217"/>
    <w:rsid w:val="009A32F1"/>
    <w:rsid w:val="009A34B8"/>
    <w:rsid w:val="009A3A47"/>
    <w:rsid w:val="009A457E"/>
    <w:rsid w:val="009A4AA0"/>
    <w:rsid w:val="009A4E9B"/>
    <w:rsid w:val="009A4FD8"/>
    <w:rsid w:val="009A5DBA"/>
    <w:rsid w:val="009A6341"/>
    <w:rsid w:val="009A6558"/>
    <w:rsid w:val="009A7700"/>
    <w:rsid w:val="009A7939"/>
    <w:rsid w:val="009A794D"/>
    <w:rsid w:val="009A7C7B"/>
    <w:rsid w:val="009B0394"/>
    <w:rsid w:val="009B0722"/>
    <w:rsid w:val="009B18CA"/>
    <w:rsid w:val="009B19FC"/>
    <w:rsid w:val="009B1D68"/>
    <w:rsid w:val="009B214D"/>
    <w:rsid w:val="009B25DA"/>
    <w:rsid w:val="009B291F"/>
    <w:rsid w:val="009B2F92"/>
    <w:rsid w:val="009B32D2"/>
    <w:rsid w:val="009B335B"/>
    <w:rsid w:val="009B36EA"/>
    <w:rsid w:val="009B3BF4"/>
    <w:rsid w:val="009B3FEC"/>
    <w:rsid w:val="009B6722"/>
    <w:rsid w:val="009B6BAB"/>
    <w:rsid w:val="009B6C56"/>
    <w:rsid w:val="009C0627"/>
    <w:rsid w:val="009C07D8"/>
    <w:rsid w:val="009C0F42"/>
    <w:rsid w:val="009C1B65"/>
    <w:rsid w:val="009C1BC1"/>
    <w:rsid w:val="009C2449"/>
    <w:rsid w:val="009C2B7B"/>
    <w:rsid w:val="009C4CF1"/>
    <w:rsid w:val="009C4DD6"/>
    <w:rsid w:val="009C5369"/>
    <w:rsid w:val="009C689F"/>
    <w:rsid w:val="009C6CC0"/>
    <w:rsid w:val="009C72D5"/>
    <w:rsid w:val="009C7D7E"/>
    <w:rsid w:val="009D1CDC"/>
    <w:rsid w:val="009D1E71"/>
    <w:rsid w:val="009D3137"/>
    <w:rsid w:val="009D34C8"/>
    <w:rsid w:val="009D352A"/>
    <w:rsid w:val="009D3FA5"/>
    <w:rsid w:val="009D41CA"/>
    <w:rsid w:val="009D42BE"/>
    <w:rsid w:val="009D441A"/>
    <w:rsid w:val="009D78D3"/>
    <w:rsid w:val="009D7BB0"/>
    <w:rsid w:val="009E00FC"/>
    <w:rsid w:val="009E03CE"/>
    <w:rsid w:val="009E03DC"/>
    <w:rsid w:val="009E0911"/>
    <w:rsid w:val="009E0BB0"/>
    <w:rsid w:val="009E1126"/>
    <w:rsid w:val="009E1A3E"/>
    <w:rsid w:val="009E1C12"/>
    <w:rsid w:val="009E29CB"/>
    <w:rsid w:val="009E2B0C"/>
    <w:rsid w:val="009E2B2E"/>
    <w:rsid w:val="009E3AEE"/>
    <w:rsid w:val="009E412F"/>
    <w:rsid w:val="009E4DEA"/>
    <w:rsid w:val="009E5D6B"/>
    <w:rsid w:val="009E6AC0"/>
    <w:rsid w:val="009E6B4F"/>
    <w:rsid w:val="009E7298"/>
    <w:rsid w:val="009F04B5"/>
    <w:rsid w:val="009F0EC6"/>
    <w:rsid w:val="009F0F73"/>
    <w:rsid w:val="009F22AA"/>
    <w:rsid w:val="009F2432"/>
    <w:rsid w:val="009F331B"/>
    <w:rsid w:val="009F3606"/>
    <w:rsid w:val="009F3ED9"/>
    <w:rsid w:val="009F414A"/>
    <w:rsid w:val="009F4239"/>
    <w:rsid w:val="009F4BF7"/>
    <w:rsid w:val="009F56B9"/>
    <w:rsid w:val="009F630E"/>
    <w:rsid w:val="009F666B"/>
    <w:rsid w:val="009F6A53"/>
    <w:rsid w:val="009F6D13"/>
    <w:rsid w:val="009F6DB8"/>
    <w:rsid w:val="009F7252"/>
    <w:rsid w:val="00A004D5"/>
    <w:rsid w:val="00A00723"/>
    <w:rsid w:val="00A021F4"/>
    <w:rsid w:val="00A0242C"/>
    <w:rsid w:val="00A0350C"/>
    <w:rsid w:val="00A037B7"/>
    <w:rsid w:val="00A03E21"/>
    <w:rsid w:val="00A04F84"/>
    <w:rsid w:val="00A05BC0"/>
    <w:rsid w:val="00A07805"/>
    <w:rsid w:val="00A07E09"/>
    <w:rsid w:val="00A07E1D"/>
    <w:rsid w:val="00A10147"/>
    <w:rsid w:val="00A104E7"/>
    <w:rsid w:val="00A10810"/>
    <w:rsid w:val="00A117B2"/>
    <w:rsid w:val="00A11D6F"/>
    <w:rsid w:val="00A122C5"/>
    <w:rsid w:val="00A13F92"/>
    <w:rsid w:val="00A14312"/>
    <w:rsid w:val="00A14753"/>
    <w:rsid w:val="00A1594F"/>
    <w:rsid w:val="00A15BEF"/>
    <w:rsid w:val="00A15E52"/>
    <w:rsid w:val="00A165D9"/>
    <w:rsid w:val="00A16EBF"/>
    <w:rsid w:val="00A1722A"/>
    <w:rsid w:val="00A1771C"/>
    <w:rsid w:val="00A1798D"/>
    <w:rsid w:val="00A17CA3"/>
    <w:rsid w:val="00A201D1"/>
    <w:rsid w:val="00A20227"/>
    <w:rsid w:val="00A20D68"/>
    <w:rsid w:val="00A22180"/>
    <w:rsid w:val="00A222F9"/>
    <w:rsid w:val="00A22CB7"/>
    <w:rsid w:val="00A23AFC"/>
    <w:rsid w:val="00A25036"/>
    <w:rsid w:val="00A25AD0"/>
    <w:rsid w:val="00A26195"/>
    <w:rsid w:val="00A262D2"/>
    <w:rsid w:val="00A263DC"/>
    <w:rsid w:val="00A26C47"/>
    <w:rsid w:val="00A27493"/>
    <w:rsid w:val="00A27886"/>
    <w:rsid w:val="00A2793F"/>
    <w:rsid w:val="00A300FB"/>
    <w:rsid w:val="00A30C66"/>
    <w:rsid w:val="00A31477"/>
    <w:rsid w:val="00A31A61"/>
    <w:rsid w:val="00A31CFF"/>
    <w:rsid w:val="00A323F2"/>
    <w:rsid w:val="00A324E2"/>
    <w:rsid w:val="00A327A0"/>
    <w:rsid w:val="00A32EB0"/>
    <w:rsid w:val="00A33201"/>
    <w:rsid w:val="00A337CF"/>
    <w:rsid w:val="00A33879"/>
    <w:rsid w:val="00A33CCA"/>
    <w:rsid w:val="00A34592"/>
    <w:rsid w:val="00A34895"/>
    <w:rsid w:val="00A34BF1"/>
    <w:rsid w:val="00A34FBB"/>
    <w:rsid w:val="00A3545B"/>
    <w:rsid w:val="00A35ED0"/>
    <w:rsid w:val="00A369DA"/>
    <w:rsid w:val="00A36FE1"/>
    <w:rsid w:val="00A37147"/>
    <w:rsid w:val="00A37DC9"/>
    <w:rsid w:val="00A4050D"/>
    <w:rsid w:val="00A4089F"/>
    <w:rsid w:val="00A40C38"/>
    <w:rsid w:val="00A40CDC"/>
    <w:rsid w:val="00A40CED"/>
    <w:rsid w:val="00A41042"/>
    <w:rsid w:val="00A4193D"/>
    <w:rsid w:val="00A41E67"/>
    <w:rsid w:val="00A420FF"/>
    <w:rsid w:val="00A422FF"/>
    <w:rsid w:val="00A42BFE"/>
    <w:rsid w:val="00A431D7"/>
    <w:rsid w:val="00A43C9C"/>
    <w:rsid w:val="00A44C30"/>
    <w:rsid w:val="00A45AE5"/>
    <w:rsid w:val="00A45E15"/>
    <w:rsid w:val="00A45F31"/>
    <w:rsid w:val="00A503F0"/>
    <w:rsid w:val="00A518BD"/>
    <w:rsid w:val="00A51ECE"/>
    <w:rsid w:val="00A53206"/>
    <w:rsid w:val="00A54040"/>
    <w:rsid w:val="00A54693"/>
    <w:rsid w:val="00A54BCE"/>
    <w:rsid w:val="00A553BE"/>
    <w:rsid w:val="00A55F24"/>
    <w:rsid w:val="00A561E1"/>
    <w:rsid w:val="00A56D1E"/>
    <w:rsid w:val="00A60980"/>
    <w:rsid w:val="00A60C61"/>
    <w:rsid w:val="00A612A4"/>
    <w:rsid w:val="00A61DCC"/>
    <w:rsid w:val="00A62B7F"/>
    <w:rsid w:val="00A62BE0"/>
    <w:rsid w:val="00A62FD2"/>
    <w:rsid w:val="00A63957"/>
    <w:rsid w:val="00A63A19"/>
    <w:rsid w:val="00A6426D"/>
    <w:rsid w:val="00A66C8D"/>
    <w:rsid w:val="00A66EF3"/>
    <w:rsid w:val="00A672AB"/>
    <w:rsid w:val="00A67633"/>
    <w:rsid w:val="00A679E9"/>
    <w:rsid w:val="00A67FA2"/>
    <w:rsid w:val="00A67FDB"/>
    <w:rsid w:val="00A700E1"/>
    <w:rsid w:val="00A70280"/>
    <w:rsid w:val="00A70625"/>
    <w:rsid w:val="00A70A06"/>
    <w:rsid w:val="00A71920"/>
    <w:rsid w:val="00A719FB"/>
    <w:rsid w:val="00A71F7D"/>
    <w:rsid w:val="00A72766"/>
    <w:rsid w:val="00A733AD"/>
    <w:rsid w:val="00A73CFC"/>
    <w:rsid w:val="00A74145"/>
    <w:rsid w:val="00A75323"/>
    <w:rsid w:val="00A75867"/>
    <w:rsid w:val="00A75D28"/>
    <w:rsid w:val="00A76E3F"/>
    <w:rsid w:val="00A77A04"/>
    <w:rsid w:val="00A802D1"/>
    <w:rsid w:val="00A806F8"/>
    <w:rsid w:val="00A81934"/>
    <w:rsid w:val="00A81ADF"/>
    <w:rsid w:val="00A81C18"/>
    <w:rsid w:val="00A81CCF"/>
    <w:rsid w:val="00A8216D"/>
    <w:rsid w:val="00A82CA4"/>
    <w:rsid w:val="00A82FFC"/>
    <w:rsid w:val="00A85B82"/>
    <w:rsid w:val="00A8706C"/>
    <w:rsid w:val="00A873BC"/>
    <w:rsid w:val="00A8774C"/>
    <w:rsid w:val="00A91457"/>
    <w:rsid w:val="00A917AD"/>
    <w:rsid w:val="00A91853"/>
    <w:rsid w:val="00A91BD6"/>
    <w:rsid w:val="00A91F40"/>
    <w:rsid w:val="00A93426"/>
    <w:rsid w:val="00A93C61"/>
    <w:rsid w:val="00A93DC7"/>
    <w:rsid w:val="00A9429B"/>
    <w:rsid w:val="00A9445E"/>
    <w:rsid w:val="00A954AE"/>
    <w:rsid w:val="00A959D7"/>
    <w:rsid w:val="00A97260"/>
    <w:rsid w:val="00A97346"/>
    <w:rsid w:val="00AA0A82"/>
    <w:rsid w:val="00AA1B10"/>
    <w:rsid w:val="00AA541F"/>
    <w:rsid w:val="00AA646D"/>
    <w:rsid w:val="00AA6D73"/>
    <w:rsid w:val="00AA7817"/>
    <w:rsid w:val="00AB14BE"/>
    <w:rsid w:val="00AB1502"/>
    <w:rsid w:val="00AB1EAE"/>
    <w:rsid w:val="00AB2572"/>
    <w:rsid w:val="00AB2619"/>
    <w:rsid w:val="00AB310C"/>
    <w:rsid w:val="00AB3A72"/>
    <w:rsid w:val="00AB477F"/>
    <w:rsid w:val="00AB4B9E"/>
    <w:rsid w:val="00AB4E15"/>
    <w:rsid w:val="00AB5BCD"/>
    <w:rsid w:val="00AB6D1B"/>
    <w:rsid w:val="00AB6F76"/>
    <w:rsid w:val="00AB75FC"/>
    <w:rsid w:val="00AB76A6"/>
    <w:rsid w:val="00AC071E"/>
    <w:rsid w:val="00AC125B"/>
    <w:rsid w:val="00AC12F6"/>
    <w:rsid w:val="00AC180A"/>
    <w:rsid w:val="00AC1C10"/>
    <w:rsid w:val="00AC2C6C"/>
    <w:rsid w:val="00AC3B8C"/>
    <w:rsid w:val="00AC3BBD"/>
    <w:rsid w:val="00AC4590"/>
    <w:rsid w:val="00AC4BEA"/>
    <w:rsid w:val="00AC506B"/>
    <w:rsid w:val="00AC5486"/>
    <w:rsid w:val="00AC57EB"/>
    <w:rsid w:val="00AC5C8B"/>
    <w:rsid w:val="00AC61CB"/>
    <w:rsid w:val="00AC67B7"/>
    <w:rsid w:val="00AC6DCB"/>
    <w:rsid w:val="00AC74E3"/>
    <w:rsid w:val="00AC767A"/>
    <w:rsid w:val="00AC7C65"/>
    <w:rsid w:val="00AD019A"/>
    <w:rsid w:val="00AD075D"/>
    <w:rsid w:val="00AD08A6"/>
    <w:rsid w:val="00AD1548"/>
    <w:rsid w:val="00AD16E1"/>
    <w:rsid w:val="00AD1B31"/>
    <w:rsid w:val="00AD27F8"/>
    <w:rsid w:val="00AD2CE0"/>
    <w:rsid w:val="00AD2F60"/>
    <w:rsid w:val="00AD31EF"/>
    <w:rsid w:val="00AD341C"/>
    <w:rsid w:val="00AD3CEC"/>
    <w:rsid w:val="00AD4FC0"/>
    <w:rsid w:val="00AD57CC"/>
    <w:rsid w:val="00AD61F4"/>
    <w:rsid w:val="00AD637A"/>
    <w:rsid w:val="00AD6845"/>
    <w:rsid w:val="00AD684D"/>
    <w:rsid w:val="00AD6A70"/>
    <w:rsid w:val="00AD6C4D"/>
    <w:rsid w:val="00AD7124"/>
    <w:rsid w:val="00AE0604"/>
    <w:rsid w:val="00AE078C"/>
    <w:rsid w:val="00AE0DB2"/>
    <w:rsid w:val="00AE18B8"/>
    <w:rsid w:val="00AE25FD"/>
    <w:rsid w:val="00AE2C7F"/>
    <w:rsid w:val="00AE3500"/>
    <w:rsid w:val="00AE355B"/>
    <w:rsid w:val="00AE36FE"/>
    <w:rsid w:val="00AE3A48"/>
    <w:rsid w:val="00AE3C2C"/>
    <w:rsid w:val="00AE4578"/>
    <w:rsid w:val="00AE45C4"/>
    <w:rsid w:val="00AE5017"/>
    <w:rsid w:val="00AE5C3E"/>
    <w:rsid w:val="00AE5CAB"/>
    <w:rsid w:val="00AE5EFD"/>
    <w:rsid w:val="00AE648C"/>
    <w:rsid w:val="00AE66C4"/>
    <w:rsid w:val="00AE699C"/>
    <w:rsid w:val="00AE6E3F"/>
    <w:rsid w:val="00AE6F07"/>
    <w:rsid w:val="00AE7B89"/>
    <w:rsid w:val="00AF0B5E"/>
    <w:rsid w:val="00AF0C14"/>
    <w:rsid w:val="00AF1CDC"/>
    <w:rsid w:val="00AF1EDF"/>
    <w:rsid w:val="00AF1F91"/>
    <w:rsid w:val="00AF2136"/>
    <w:rsid w:val="00AF2EF8"/>
    <w:rsid w:val="00AF3005"/>
    <w:rsid w:val="00AF3377"/>
    <w:rsid w:val="00AF3585"/>
    <w:rsid w:val="00AF4917"/>
    <w:rsid w:val="00AF508F"/>
    <w:rsid w:val="00AF5141"/>
    <w:rsid w:val="00AF6FB6"/>
    <w:rsid w:val="00B004D4"/>
    <w:rsid w:val="00B007D2"/>
    <w:rsid w:val="00B00BC0"/>
    <w:rsid w:val="00B01B3E"/>
    <w:rsid w:val="00B02A86"/>
    <w:rsid w:val="00B02E9F"/>
    <w:rsid w:val="00B037F4"/>
    <w:rsid w:val="00B03C08"/>
    <w:rsid w:val="00B03C24"/>
    <w:rsid w:val="00B03D32"/>
    <w:rsid w:val="00B04B7A"/>
    <w:rsid w:val="00B04C8B"/>
    <w:rsid w:val="00B04F63"/>
    <w:rsid w:val="00B06101"/>
    <w:rsid w:val="00B06702"/>
    <w:rsid w:val="00B06C42"/>
    <w:rsid w:val="00B10625"/>
    <w:rsid w:val="00B109A6"/>
    <w:rsid w:val="00B10FED"/>
    <w:rsid w:val="00B123E5"/>
    <w:rsid w:val="00B12ABF"/>
    <w:rsid w:val="00B13004"/>
    <w:rsid w:val="00B13C14"/>
    <w:rsid w:val="00B14433"/>
    <w:rsid w:val="00B14A95"/>
    <w:rsid w:val="00B14BB9"/>
    <w:rsid w:val="00B15622"/>
    <w:rsid w:val="00B166F3"/>
    <w:rsid w:val="00B16888"/>
    <w:rsid w:val="00B169A3"/>
    <w:rsid w:val="00B175BF"/>
    <w:rsid w:val="00B201E2"/>
    <w:rsid w:val="00B202BE"/>
    <w:rsid w:val="00B20E50"/>
    <w:rsid w:val="00B20E7F"/>
    <w:rsid w:val="00B21C3B"/>
    <w:rsid w:val="00B2226E"/>
    <w:rsid w:val="00B224BF"/>
    <w:rsid w:val="00B2341E"/>
    <w:rsid w:val="00B2396F"/>
    <w:rsid w:val="00B23C94"/>
    <w:rsid w:val="00B24A2F"/>
    <w:rsid w:val="00B24DC3"/>
    <w:rsid w:val="00B2538B"/>
    <w:rsid w:val="00B2613E"/>
    <w:rsid w:val="00B2630F"/>
    <w:rsid w:val="00B26352"/>
    <w:rsid w:val="00B26D69"/>
    <w:rsid w:val="00B27765"/>
    <w:rsid w:val="00B27D30"/>
    <w:rsid w:val="00B27D89"/>
    <w:rsid w:val="00B27E54"/>
    <w:rsid w:val="00B27EB7"/>
    <w:rsid w:val="00B3140E"/>
    <w:rsid w:val="00B322B7"/>
    <w:rsid w:val="00B32742"/>
    <w:rsid w:val="00B338D6"/>
    <w:rsid w:val="00B33BFC"/>
    <w:rsid w:val="00B35F65"/>
    <w:rsid w:val="00B36C64"/>
    <w:rsid w:val="00B36C89"/>
    <w:rsid w:val="00B37AFD"/>
    <w:rsid w:val="00B403DF"/>
    <w:rsid w:val="00B40E0E"/>
    <w:rsid w:val="00B40E51"/>
    <w:rsid w:val="00B41346"/>
    <w:rsid w:val="00B428BC"/>
    <w:rsid w:val="00B42A59"/>
    <w:rsid w:val="00B43323"/>
    <w:rsid w:val="00B43341"/>
    <w:rsid w:val="00B4339B"/>
    <w:rsid w:val="00B43C81"/>
    <w:rsid w:val="00B4454D"/>
    <w:rsid w:val="00B449FA"/>
    <w:rsid w:val="00B45301"/>
    <w:rsid w:val="00B4567F"/>
    <w:rsid w:val="00B45740"/>
    <w:rsid w:val="00B45D9A"/>
    <w:rsid w:val="00B460E4"/>
    <w:rsid w:val="00B463C6"/>
    <w:rsid w:val="00B465A9"/>
    <w:rsid w:val="00B46AA2"/>
    <w:rsid w:val="00B46AA3"/>
    <w:rsid w:val="00B5016A"/>
    <w:rsid w:val="00B50356"/>
    <w:rsid w:val="00B5142F"/>
    <w:rsid w:val="00B51F34"/>
    <w:rsid w:val="00B52100"/>
    <w:rsid w:val="00B52C6C"/>
    <w:rsid w:val="00B5435C"/>
    <w:rsid w:val="00B5440D"/>
    <w:rsid w:val="00B54518"/>
    <w:rsid w:val="00B5463C"/>
    <w:rsid w:val="00B54CED"/>
    <w:rsid w:val="00B55E43"/>
    <w:rsid w:val="00B562D8"/>
    <w:rsid w:val="00B564E5"/>
    <w:rsid w:val="00B56618"/>
    <w:rsid w:val="00B56DC9"/>
    <w:rsid w:val="00B57077"/>
    <w:rsid w:val="00B576B3"/>
    <w:rsid w:val="00B60B33"/>
    <w:rsid w:val="00B60DB9"/>
    <w:rsid w:val="00B614B0"/>
    <w:rsid w:val="00B617FC"/>
    <w:rsid w:val="00B61809"/>
    <w:rsid w:val="00B6244C"/>
    <w:rsid w:val="00B626BA"/>
    <w:rsid w:val="00B627C4"/>
    <w:rsid w:val="00B631D2"/>
    <w:rsid w:val="00B638AF"/>
    <w:rsid w:val="00B6465A"/>
    <w:rsid w:val="00B6552C"/>
    <w:rsid w:val="00B6636F"/>
    <w:rsid w:val="00B66752"/>
    <w:rsid w:val="00B67A54"/>
    <w:rsid w:val="00B70470"/>
    <w:rsid w:val="00B70672"/>
    <w:rsid w:val="00B707A4"/>
    <w:rsid w:val="00B708A0"/>
    <w:rsid w:val="00B709D6"/>
    <w:rsid w:val="00B710F3"/>
    <w:rsid w:val="00B71129"/>
    <w:rsid w:val="00B7119D"/>
    <w:rsid w:val="00B720E2"/>
    <w:rsid w:val="00B7247A"/>
    <w:rsid w:val="00B72CEC"/>
    <w:rsid w:val="00B72F4C"/>
    <w:rsid w:val="00B7381F"/>
    <w:rsid w:val="00B7425F"/>
    <w:rsid w:val="00B74537"/>
    <w:rsid w:val="00B74802"/>
    <w:rsid w:val="00B753E8"/>
    <w:rsid w:val="00B75642"/>
    <w:rsid w:val="00B76689"/>
    <w:rsid w:val="00B77366"/>
    <w:rsid w:val="00B77871"/>
    <w:rsid w:val="00B80117"/>
    <w:rsid w:val="00B81118"/>
    <w:rsid w:val="00B814FB"/>
    <w:rsid w:val="00B82102"/>
    <w:rsid w:val="00B82ED0"/>
    <w:rsid w:val="00B82F73"/>
    <w:rsid w:val="00B85039"/>
    <w:rsid w:val="00B85E02"/>
    <w:rsid w:val="00B8666E"/>
    <w:rsid w:val="00B86778"/>
    <w:rsid w:val="00B86F4C"/>
    <w:rsid w:val="00B87059"/>
    <w:rsid w:val="00B8756F"/>
    <w:rsid w:val="00B875DA"/>
    <w:rsid w:val="00B90C21"/>
    <w:rsid w:val="00B91A7E"/>
    <w:rsid w:val="00B91D4E"/>
    <w:rsid w:val="00B920D9"/>
    <w:rsid w:val="00B92132"/>
    <w:rsid w:val="00B92765"/>
    <w:rsid w:val="00B928B8"/>
    <w:rsid w:val="00B931C6"/>
    <w:rsid w:val="00B934D0"/>
    <w:rsid w:val="00B938A6"/>
    <w:rsid w:val="00B94957"/>
    <w:rsid w:val="00B9507C"/>
    <w:rsid w:val="00B951E2"/>
    <w:rsid w:val="00B95EF2"/>
    <w:rsid w:val="00B96F9B"/>
    <w:rsid w:val="00B97770"/>
    <w:rsid w:val="00B97C42"/>
    <w:rsid w:val="00BA0336"/>
    <w:rsid w:val="00BA03A2"/>
    <w:rsid w:val="00BA113A"/>
    <w:rsid w:val="00BA151E"/>
    <w:rsid w:val="00BA168D"/>
    <w:rsid w:val="00BA231D"/>
    <w:rsid w:val="00BA2614"/>
    <w:rsid w:val="00BA287A"/>
    <w:rsid w:val="00BA3128"/>
    <w:rsid w:val="00BA34DF"/>
    <w:rsid w:val="00BA3DAD"/>
    <w:rsid w:val="00BA452F"/>
    <w:rsid w:val="00BA4A68"/>
    <w:rsid w:val="00BA54D8"/>
    <w:rsid w:val="00BA56BF"/>
    <w:rsid w:val="00BA63F0"/>
    <w:rsid w:val="00BA6D9E"/>
    <w:rsid w:val="00BA70D2"/>
    <w:rsid w:val="00BA7800"/>
    <w:rsid w:val="00BA7E94"/>
    <w:rsid w:val="00BA7EA7"/>
    <w:rsid w:val="00BA7FFB"/>
    <w:rsid w:val="00BB0107"/>
    <w:rsid w:val="00BB06E1"/>
    <w:rsid w:val="00BB1094"/>
    <w:rsid w:val="00BB1A48"/>
    <w:rsid w:val="00BB1A58"/>
    <w:rsid w:val="00BB1E87"/>
    <w:rsid w:val="00BB24DD"/>
    <w:rsid w:val="00BB28E1"/>
    <w:rsid w:val="00BB2944"/>
    <w:rsid w:val="00BB2F80"/>
    <w:rsid w:val="00BB3142"/>
    <w:rsid w:val="00BB3516"/>
    <w:rsid w:val="00BB3767"/>
    <w:rsid w:val="00BB43AE"/>
    <w:rsid w:val="00BB54E5"/>
    <w:rsid w:val="00BB653F"/>
    <w:rsid w:val="00BB6545"/>
    <w:rsid w:val="00BB74A1"/>
    <w:rsid w:val="00BB77F4"/>
    <w:rsid w:val="00BB7C1E"/>
    <w:rsid w:val="00BC003D"/>
    <w:rsid w:val="00BC0058"/>
    <w:rsid w:val="00BC00AB"/>
    <w:rsid w:val="00BC0BE7"/>
    <w:rsid w:val="00BC1C6F"/>
    <w:rsid w:val="00BC2AD8"/>
    <w:rsid w:val="00BC4A3D"/>
    <w:rsid w:val="00BC51FC"/>
    <w:rsid w:val="00BC5344"/>
    <w:rsid w:val="00BC609D"/>
    <w:rsid w:val="00BC6444"/>
    <w:rsid w:val="00BC647B"/>
    <w:rsid w:val="00BC671D"/>
    <w:rsid w:val="00BC6A1A"/>
    <w:rsid w:val="00BC76DA"/>
    <w:rsid w:val="00BC7853"/>
    <w:rsid w:val="00BD020E"/>
    <w:rsid w:val="00BD0646"/>
    <w:rsid w:val="00BD0AF9"/>
    <w:rsid w:val="00BD1DD4"/>
    <w:rsid w:val="00BD1EE3"/>
    <w:rsid w:val="00BD26FA"/>
    <w:rsid w:val="00BD4A90"/>
    <w:rsid w:val="00BD4F46"/>
    <w:rsid w:val="00BD6B63"/>
    <w:rsid w:val="00BD78F1"/>
    <w:rsid w:val="00BD7A2C"/>
    <w:rsid w:val="00BD7C8E"/>
    <w:rsid w:val="00BD7E9A"/>
    <w:rsid w:val="00BE0765"/>
    <w:rsid w:val="00BE0E58"/>
    <w:rsid w:val="00BE0E78"/>
    <w:rsid w:val="00BE10B1"/>
    <w:rsid w:val="00BE15B9"/>
    <w:rsid w:val="00BE1B40"/>
    <w:rsid w:val="00BE211D"/>
    <w:rsid w:val="00BE4012"/>
    <w:rsid w:val="00BE4446"/>
    <w:rsid w:val="00BE54F4"/>
    <w:rsid w:val="00BE5E08"/>
    <w:rsid w:val="00BE7A99"/>
    <w:rsid w:val="00BF0D55"/>
    <w:rsid w:val="00BF103C"/>
    <w:rsid w:val="00BF178A"/>
    <w:rsid w:val="00BF199F"/>
    <w:rsid w:val="00BF1BF2"/>
    <w:rsid w:val="00BF1EAC"/>
    <w:rsid w:val="00BF1ED2"/>
    <w:rsid w:val="00BF269B"/>
    <w:rsid w:val="00BF2966"/>
    <w:rsid w:val="00BF3A26"/>
    <w:rsid w:val="00BF3A3C"/>
    <w:rsid w:val="00BF42AC"/>
    <w:rsid w:val="00BF42BF"/>
    <w:rsid w:val="00BF47F1"/>
    <w:rsid w:val="00BF5887"/>
    <w:rsid w:val="00BF5B25"/>
    <w:rsid w:val="00BF5F38"/>
    <w:rsid w:val="00BF6872"/>
    <w:rsid w:val="00BF6A67"/>
    <w:rsid w:val="00BF7C3F"/>
    <w:rsid w:val="00C006A9"/>
    <w:rsid w:val="00C00C32"/>
    <w:rsid w:val="00C00C3E"/>
    <w:rsid w:val="00C00C55"/>
    <w:rsid w:val="00C00EF1"/>
    <w:rsid w:val="00C00F8E"/>
    <w:rsid w:val="00C010AE"/>
    <w:rsid w:val="00C01DEB"/>
    <w:rsid w:val="00C023EA"/>
    <w:rsid w:val="00C02D02"/>
    <w:rsid w:val="00C030A3"/>
    <w:rsid w:val="00C042F9"/>
    <w:rsid w:val="00C0470F"/>
    <w:rsid w:val="00C04CFB"/>
    <w:rsid w:val="00C05521"/>
    <w:rsid w:val="00C06287"/>
    <w:rsid w:val="00C0642E"/>
    <w:rsid w:val="00C06B4C"/>
    <w:rsid w:val="00C06CA2"/>
    <w:rsid w:val="00C06E2A"/>
    <w:rsid w:val="00C07BB7"/>
    <w:rsid w:val="00C07E3E"/>
    <w:rsid w:val="00C1035D"/>
    <w:rsid w:val="00C1057C"/>
    <w:rsid w:val="00C10BD1"/>
    <w:rsid w:val="00C11712"/>
    <w:rsid w:val="00C11A35"/>
    <w:rsid w:val="00C11F4B"/>
    <w:rsid w:val="00C12041"/>
    <w:rsid w:val="00C12A86"/>
    <w:rsid w:val="00C13E07"/>
    <w:rsid w:val="00C1405E"/>
    <w:rsid w:val="00C14961"/>
    <w:rsid w:val="00C14DDF"/>
    <w:rsid w:val="00C15C54"/>
    <w:rsid w:val="00C1609D"/>
    <w:rsid w:val="00C167D1"/>
    <w:rsid w:val="00C16D9F"/>
    <w:rsid w:val="00C16F70"/>
    <w:rsid w:val="00C20674"/>
    <w:rsid w:val="00C20967"/>
    <w:rsid w:val="00C214EE"/>
    <w:rsid w:val="00C21583"/>
    <w:rsid w:val="00C21A1E"/>
    <w:rsid w:val="00C224D9"/>
    <w:rsid w:val="00C2458A"/>
    <w:rsid w:val="00C2475D"/>
    <w:rsid w:val="00C249F8"/>
    <w:rsid w:val="00C24FE8"/>
    <w:rsid w:val="00C26143"/>
    <w:rsid w:val="00C26321"/>
    <w:rsid w:val="00C267C6"/>
    <w:rsid w:val="00C275AA"/>
    <w:rsid w:val="00C27959"/>
    <w:rsid w:val="00C30135"/>
    <w:rsid w:val="00C3141C"/>
    <w:rsid w:val="00C321B7"/>
    <w:rsid w:val="00C32A74"/>
    <w:rsid w:val="00C32EE5"/>
    <w:rsid w:val="00C3333C"/>
    <w:rsid w:val="00C33D69"/>
    <w:rsid w:val="00C33EA7"/>
    <w:rsid w:val="00C344C6"/>
    <w:rsid w:val="00C35317"/>
    <w:rsid w:val="00C35E06"/>
    <w:rsid w:val="00C36587"/>
    <w:rsid w:val="00C36EF5"/>
    <w:rsid w:val="00C3720F"/>
    <w:rsid w:val="00C405F9"/>
    <w:rsid w:val="00C40BDA"/>
    <w:rsid w:val="00C40F61"/>
    <w:rsid w:val="00C40FD3"/>
    <w:rsid w:val="00C41736"/>
    <w:rsid w:val="00C4227B"/>
    <w:rsid w:val="00C424C0"/>
    <w:rsid w:val="00C42839"/>
    <w:rsid w:val="00C43EFE"/>
    <w:rsid w:val="00C4451B"/>
    <w:rsid w:val="00C44A03"/>
    <w:rsid w:val="00C44CA7"/>
    <w:rsid w:val="00C44CC7"/>
    <w:rsid w:val="00C45CC1"/>
    <w:rsid w:val="00C46486"/>
    <w:rsid w:val="00C4648C"/>
    <w:rsid w:val="00C46497"/>
    <w:rsid w:val="00C46689"/>
    <w:rsid w:val="00C466F6"/>
    <w:rsid w:val="00C4738A"/>
    <w:rsid w:val="00C51342"/>
    <w:rsid w:val="00C51EE6"/>
    <w:rsid w:val="00C5209B"/>
    <w:rsid w:val="00C524E2"/>
    <w:rsid w:val="00C52BAE"/>
    <w:rsid w:val="00C53220"/>
    <w:rsid w:val="00C54283"/>
    <w:rsid w:val="00C5438D"/>
    <w:rsid w:val="00C54AA1"/>
    <w:rsid w:val="00C559B0"/>
    <w:rsid w:val="00C56A48"/>
    <w:rsid w:val="00C56EFC"/>
    <w:rsid w:val="00C616C2"/>
    <w:rsid w:val="00C62899"/>
    <w:rsid w:val="00C62A30"/>
    <w:rsid w:val="00C6325D"/>
    <w:rsid w:val="00C634EC"/>
    <w:rsid w:val="00C63516"/>
    <w:rsid w:val="00C64007"/>
    <w:rsid w:val="00C659F7"/>
    <w:rsid w:val="00C663F9"/>
    <w:rsid w:val="00C664C4"/>
    <w:rsid w:val="00C66F48"/>
    <w:rsid w:val="00C67BB7"/>
    <w:rsid w:val="00C67DD7"/>
    <w:rsid w:val="00C7075E"/>
    <w:rsid w:val="00C70B64"/>
    <w:rsid w:val="00C711FF"/>
    <w:rsid w:val="00C71749"/>
    <w:rsid w:val="00C72412"/>
    <w:rsid w:val="00C72F23"/>
    <w:rsid w:val="00C73ED9"/>
    <w:rsid w:val="00C7424B"/>
    <w:rsid w:val="00C74687"/>
    <w:rsid w:val="00C76E8F"/>
    <w:rsid w:val="00C76F56"/>
    <w:rsid w:val="00C7781D"/>
    <w:rsid w:val="00C817AB"/>
    <w:rsid w:val="00C82119"/>
    <w:rsid w:val="00C824DB"/>
    <w:rsid w:val="00C82556"/>
    <w:rsid w:val="00C8333C"/>
    <w:rsid w:val="00C839B7"/>
    <w:rsid w:val="00C84D6D"/>
    <w:rsid w:val="00C84F7D"/>
    <w:rsid w:val="00C859C9"/>
    <w:rsid w:val="00C85C86"/>
    <w:rsid w:val="00C86EAD"/>
    <w:rsid w:val="00C86FC1"/>
    <w:rsid w:val="00C87A52"/>
    <w:rsid w:val="00C87DD3"/>
    <w:rsid w:val="00C9046D"/>
    <w:rsid w:val="00C905DB"/>
    <w:rsid w:val="00C9126C"/>
    <w:rsid w:val="00C9170D"/>
    <w:rsid w:val="00C91FC1"/>
    <w:rsid w:val="00C92895"/>
    <w:rsid w:val="00C92B8B"/>
    <w:rsid w:val="00C9369C"/>
    <w:rsid w:val="00C94809"/>
    <w:rsid w:val="00C9532E"/>
    <w:rsid w:val="00C95882"/>
    <w:rsid w:val="00C964C1"/>
    <w:rsid w:val="00C96557"/>
    <w:rsid w:val="00C96DAD"/>
    <w:rsid w:val="00C97111"/>
    <w:rsid w:val="00C971B4"/>
    <w:rsid w:val="00CA07B9"/>
    <w:rsid w:val="00CA0ABA"/>
    <w:rsid w:val="00CA0D3C"/>
    <w:rsid w:val="00CA11B1"/>
    <w:rsid w:val="00CA1451"/>
    <w:rsid w:val="00CA14FF"/>
    <w:rsid w:val="00CA18FC"/>
    <w:rsid w:val="00CA2050"/>
    <w:rsid w:val="00CA20E2"/>
    <w:rsid w:val="00CA2562"/>
    <w:rsid w:val="00CA2978"/>
    <w:rsid w:val="00CA32B7"/>
    <w:rsid w:val="00CA3D8E"/>
    <w:rsid w:val="00CA3F27"/>
    <w:rsid w:val="00CA42B5"/>
    <w:rsid w:val="00CA4F41"/>
    <w:rsid w:val="00CA5886"/>
    <w:rsid w:val="00CA6328"/>
    <w:rsid w:val="00CA6E09"/>
    <w:rsid w:val="00CA7A42"/>
    <w:rsid w:val="00CA7AC6"/>
    <w:rsid w:val="00CA7D0C"/>
    <w:rsid w:val="00CB0712"/>
    <w:rsid w:val="00CB0F79"/>
    <w:rsid w:val="00CB12BB"/>
    <w:rsid w:val="00CB1B91"/>
    <w:rsid w:val="00CB2556"/>
    <w:rsid w:val="00CB2A43"/>
    <w:rsid w:val="00CB2F1E"/>
    <w:rsid w:val="00CB46FE"/>
    <w:rsid w:val="00CB5640"/>
    <w:rsid w:val="00CB5716"/>
    <w:rsid w:val="00CB5F84"/>
    <w:rsid w:val="00CB62AA"/>
    <w:rsid w:val="00CB7782"/>
    <w:rsid w:val="00CC0097"/>
    <w:rsid w:val="00CC027B"/>
    <w:rsid w:val="00CC1955"/>
    <w:rsid w:val="00CC1B42"/>
    <w:rsid w:val="00CC25C3"/>
    <w:rsid w:val="00CC33A5"/>
    <w:rsid w:val="00CC3FDF"/>
    <w:rsid w:val="00CC40C9"/>
    <w:rsid w:val="00CC5007"/>
    <w:rsid w:val="00CC558E"/>
    <w:rsid w:val="00CC578B"/>
    <w:rsid w:val="00CC6847"/>
    <w:rsid w:val="00CC6CC8"/>
    <w:rsid w:val="00CC7A81"/>
    <w:rsid w:val="00CC7C6E"/>
    <w:rsid w:val="00CC7F0D"/>
    <w:rsid w:val="00CD040B"/>
    <w:rsid w:val="00CD09B7"/>
    <w:rsid w:val="00CD13FA"/>
    <w:rsid w:val="00CD24A2"/>
    <w:rsid w:val="00CD31B5"/>
    <w:rsid w:val="00CD3863"/>
    <w:rsid w:val="00CD392A"/>
    <w:rsid w:val="00CD484E"/>
    <w:rsid w:val="00CD4FFC"/>
    <w:rsid w:val="00CD56E0"/>
    <w:rsid w:val="00CD65DA"/>
    <w:rsid w:val="00CD683A"/>
    <w:rsid w:val="00CD73EA"/>
    <w:rsid w:val="00CD79CA"/>
    <w:rsid w:val="00CD7D08"/>
    <w:rsid w:val="00CD7DC2"/>
    <w:rsid w:val="00CD7DE6"/>
    <w:rsid w:val="00CE07F1"/>
    <w:rsid w:val="00CE0CD7"/>
    <w:rsid w:val="00CE22B4"/>
    <w:rsid w:val="00CE4461"/>
    <w:rsid w:val="00CE4B96"/>
    <w:rsid w:val="00CE4F09"/>
    <w:rsid w:val="00CE5F64"/>
    <w:rsid w:val="00CE5FD2"/>
    <w:rsid w:val="00CE643A"/>
    <w:rsid w:val="00CE69F7"/>
    <w:rsid w:val="00CE6A2D"/>
    <w:rsid w:val="00CF1104"/>
    <w:rsid w:val="00CF19B7"/>
    <w:rsid w:val="00CF1F78"/>
    <w:rsid w:val="00CF23B7"/>
    <w:rsid w:val="00CF2696"/>
    <w:rsid w:val="00CF29F7"/>
    <w:rsid w:val="00CF2E70"/>
    <w:rsid w:val="00CF2F8C"/>
    <w:rsid w:val="00CF3C6C"/>
    <w:rsid w:val="00CF4CD6"/>
    <w:rsid w:val="00CF52AE"/>
    <w:rsid w:val="00CF59B3"/>
    <w:rsid w:val="00CF5E27"/>
    <w:rsid w:val="00CF6497"/>
    <w:rsid w:val="00CF654B"/>
    <w:rsid w:val="00CF6EEE"/>
    <w:rsid w:val="00CF7981"/>
    <w:rsid w:val="00D00BC6"/>
    <w:rsid w:val="00D00FFB"/>
    <w:rsid w:val="00D02147"/>
    <w:rsid w:val="00D0258C"/>
    <w:rsid w:val="00D030EA"/>
    <w:rsid w:val="00D03AF6"/>
    <w:rsid w:val="00D057F3"/>
    <w:rsid w:val="00D05BB4"/>
    <w:rsid w:val="00D05BCE"/>
    <w:rsid w:val="00D06479"/>
    <w:rsid w:val="00D06628"/>
    <w:rsid w:val="00D0662D"/>
    <w:rsid w:val="00D06698"/>
    <w:rsid w:val="00D06766"/>
    <w:rsid w:val="00D07EF8"/>
    <w:rsid w:val="00D10CE2"/>
    <w:rsid w:val="00D10CF6"/>
    <w:rsid w:val="00D116A9"/>
    <w:rsid w:val="00D1186D"/>
    <w:rsid w:val="00D11F36"/>
    <w:rsid w:val="00D11F6E"/>
    <w:rsid w:val="00D120EE"/>
    <w:rsid w:val="00D12C1D"/>
    <w:rsid w:val="00D12ED4"/>
    <w:rsid w:val="00D13227"/>
    <w:rsid w:val="00D13352"/>
    <w:rsid w:val="00D1395B"/>
    <w:rsid w:val="00D144D8"/>
    <w:rsid w:val="00D1476F"/>
    <w:rsid w:val="00D15009"/>
    <w:rsid w:val="00D157EA"/>
    <w:rsid w:val="00D1588C"/>
    <w:rsid w:val="00D15BBE"/>
    <w:rsid w:val="00D1674E"/>
    <w:rsid w:val="00D16C68"/>
    <w:rsid w:val="00D172F8"/>
    <w:rsid w:val="00D174C6"/>
    <w:rsid w:val="00D1778B"/>
    <w:rsid w:val="00D20A9D"/>
    <w:rsid w:val="00D212F7"/>
    <w:rsid w:val="00D21652"/>
    <w:rsid w:val="00D21763"/>
    <w:rsid w:val="00D21ADD"/>
    <w:rsid w:val="00D21C47"/>
    <w:rsid w:val="00D226B1"/>
    <w:rsid w:val="00D238E3"/>
    <w:rsid w:val="00D238F7"/>
    <w:rsid w:val="00D2397F"/>
    <w:rsid w:val="00D23C35"/>
    <w:rsid w:val="00D24661"/>
    <w:rsid w:val="00D24E3B"/>
    <w:rsid w:val="00D25ACF"/>
    <w:rsid w:val="00D25DC1"/>
    <w:rsid w:val="00D266BA"/>
    <w:rsid w:val="00D266CB"/>
    <w:rsid w:val="00D26F68"/>
    <w:rsid w:val="00D2770F"/>
    <w:rsid w:val="00D279BA"/>
    <w:rsid w:val="00D27A53"/>
    <w:rsid w:val="00D27E3B"/>
    <w:rsid w:val="00D31359"/>
    <w:rsid w:val="00D31453"/>
    <w:rsid w:val="00D31580"/>
    <w:rsid w:val="00D319A4"/>
    <w:rsid w:val="00D31D72"/>
    <w:rsid w:val="00D32671"/>
    <w:rsid w:val="00D3269D"/>
    <w:rsid w:val="00D32AE2"/>
    <w:rsid w:val="00D32F2F"/>
    <w:rsid w:val="00D33F53"/>
    <w:rsid w:val="00D34227"/>
    <w:rsid w:val="00D351CD"/>
    <w:rsid w:val="00D3558D"/>
    <w:rsid w:val="00D365F7"/>
    <w:rsid w:val="00D369CD"/>
    <w:rsid w:val="00D36D99"/>
    <w:rsid w:val="00D36FFA"/>
    <w:rsid w:val="00D3772F"/>
    <w:rsid w:val="00D4032E"/>
    <w:rsid w:val="00D40718"/>
    <w:rsid w:val="00D40D34"/>
    <w:rsid w:val="00D41356"/>
    <w:rsid w:val="00D41542"/>
    <w:rsid w:val="00D41F81"/>
    <w:rsid w:val="00D427AD"/>
    <w:rsid w:val="00D42A3B"/>
    <w:rsid w:val="00D43957"/>
    <w:rsid w:val="00D44880"/>
    <w:rsid w:val="00D46A94"/>
    <w:rsid w:val="00D47722"/>
    <w:rsid w:val="00D47BAD"/>
    <w:rsid w:val="00D47E2F"/>
    <w:rsid w:val="00D50C10"/>
    <w:rsid w:val="00D50E6A"/>
    <w:rsid w:val="00D50EC7"/>
    <w:rsid w:val="00D51836"/>
    <w:rsid w:val="00D51977"/>
    <w:rsid w:val="00D51B10"/>
    <w:rsid w:val="00D5230F"/>
    <w:rsid w:val="00D52360"/>
    <w:rsid w:val="00D52DF9"/>
    <w:rsid w:val="00D53263"/>
    <w:rsid w:val="00D5363C"/>
    <w:rsid w:val="00D53F95"/>
    <w:rsid w:val="00D5440C"/>
    <w:rsid w:val="00D544ED"/>
    <w:rsid w:val="00D54C10"/>
    <w:rsid w:val="00D54E09"/>
    <w:rsid w:val="00D5512F"/>
    <w:rsid w:val="00D55289"/>
    <w:rsid w:val="00D55508"/>
    <w:rsid w:val="00D56640"/>
    <w:rsid w:val="00D60170"/>
    <w:rsid w:val="00D60683"/>
    <w:rsid w:val="00D61DAC"/>
    <w:rsid w:val="00D62561"/>
    <w:rsid w:val="00D626BD"/>
    <w:rsid w:val="00D62EDE"/>
    <w:rsid w:val="00D63714"/>
    <w:rsid w:val="00D63788"/>
    <w:rsid w:val="00D639E6"/>
    <w:rsid w:val="00D63EB2"/>
    <w:rsid w:val="00D641B8"/>
    <w:rsid w:val="00D646AD"/>
    <w:rsid w:val="00D6582B"/>
    <w:rsid w:val="00D6611E"/>
    <w:rsid w:val="00D6683F"/>
    <w:rsid w:val="00D66B86"/>
    <w:rsid w:val="00D67279"/>
    <w:rsid w:val="00D67FF2"/>
    <w:rsid w:val="00D706C0"/>
    <w:rsid w:val="00D70751"/>
    <w:rsid w:val="00D71AB1"/>
    <w:rsid w:val="00D7341B"/>
    <w:rsid w:val="00D737E7"/>
    <w:rsid w:val="00D73A43"/>
    <w:rsid w:val="00D73C61"/>
    <w:rsid w:val="00D73D2F"/>
    <w:rsid w:val="00D73D47"/>
    <w:rsid w:val="00D76610"/>
    <w:rsid w:val="00D76978"/>
    <w:rsid w:val="00D76AF6"/>
    <w:rsid w:val="00D77163"/>
    <w:rsid w:val="00D772FA"/>
    <w:rsid w:val="00D77BB5"/>
    <w:rsid w:val="00D77DEA"/>
    <w:rsid w:val="00D809E8"/>
    <w:rsid w:val="00D8136B"/>
    <w:rsid w:val="00D818AB"/>
    <w:rsid w:val="00D81934"/>
    <w:rsid w:val="00D81979"/>
    <w:rsid w:val="00D8234D"/>
    <w:rsid w:val="00D824C1"/>
    <w:rsid w:val="00D826DB"/>
    <w:rsid w:val="00D833FF"/>
    <w:rsid w:val="00D84191"/>
    <w:rsid w:val="00D8497B"/>
    <w:rsid w:val="00D85039"/>
    <w:rsid w:val="00D85CCC"/>
    <w:rsid w:val="00D85CE8"/>
    <w:rsid w:val="00D85D29"/>
    <w:rsid w:val="00D863ED"/>
    <w:rsid w:val="00D86745"/>
    <w:rsid w:val="00D86E91"/>
    <w:rsid w:val="00D9001F"/>
    <w:rsid w:val="00D9017D"/>
    <w:rsid w:val="00D90AAD"/>
    <w:rsid w:val="00D92442"/>
    <w:rsid w:val="00D92BEF"/>
    <w:rsid w:val="00D92EC7"/>
    <w:rsid w:val="00D92F7F"/>
    <w:rsid w:val="00D94DF5"/>
    <w:rsid w:val="00D94E52"/>
    <w:rsid w:val="00D95390"/>
    <w:rsid w:val="00D95584"/>
    <w:rsid w:val="00D955CE"/>
    <w:rsid w:val="00D95D5D"/>
    <w:rsid w:val="00D962F9"/>
    <w:rsid w:val="00D96A40"/>
    <w:rsid w:val="00D96DA5"/>
    <w:rsid w:val="00DA009E"/>
    <w:rsid w:val="00DA146F"/>
    <w:rsid w:val="00DA1B5F"/>
    <w:rsid w:val="00DA20C8"/>
    <w:rsid w:val="00DA433C"/>
    <w:rsid w:val="00DA47C9"/>
    <w:rsid w:val="00DA6258"/>
    <w:rsid w:val="00DA6882"/>
    <w:rsid w:val="00DA6F8A"/>
    <w:rsid w:val="00DA6F97"/>
    <w:rsid w:val="00DB0F70"/>
    <w:rsid w:val="00DB1223"/>
    <w:rsid w:val="00DB161B"/>
    <w:rsid w:val="00DB18EC"/>
    <w:rsid w:val="00DB1A92"/>
    <w:rsid w:val="00DB1CBF"/>
    <w:rsid w:val="00DB2572"/>
    <w:rsid w:val="00DB30FF"/>
    <w:rsid w:val="00DB3576"/>
    <w:rsid w:val="00DB416C"/>
    <w:rsid w:val="00DB4514"/>
    <w:rsid w:val="00DB4D01"/>
    <w:rsid w:val="00DB4D41"/>
    <w:rsid w:val="00DB53E8"/>
    <w:rsid w:val="00DB560C"/>
    <w:rsid w:val="00DB63BA"/>
    <w:rsid w:val="00DB68C3"/>
    <w:rsid w:val="00DB6CFA"/>
    <w:rsid w:val="00DB6D82"/>
    <w:rsid w:val="00DB7552"/>
    <w:rsid w:val="00DB7781"/>
    <w:rsid w:val="00DC04A0"/>
    <w:rsid w:val="00DC0EA5"/>
    <w:rsid w:val="00DC1339"/>
    <w:rsid w:val="00DC176B"/>
    <w:rsid w:val="00DC40AA"/>
    <w:rsid w:val="00DC477F"/>
    <w:rsid w:val="00DC4922"/>
    <w:rsid w:val="00DC6176"/>
    <w:rsid w:val="00DC710F"/>
    <w:rsid w:val="00DC774F"/>
    <w:rsid w:val="00DC7D1C"/>
    <w:rsid w:val="00DC7D3B"/>
    <w:rsid w:val="00DD0AE7"/>
    <w:rsid w:val="00DD0D29"/>
    <w:rsid w:val="00DD10F2"/>
    <w:rsid w:val="00DD19AC"/>
    <w:rsid w:val="00DD2AF0"/>
    <w:rsid w:val="00DD3152"/>
    <w:rsid w:val="00DD4625"/>
    <w:rsid w:val="00DD50E0"/>
    <w:rsid w:val="00DD548C"/>
    <w:rsid w:val="00DD5E54"/>
    <w:rsid w:val="00DD6CD0"/>
    <w:rsid w:val="00DD751A"/>
    <w:rsid w:val="00DD7ACD"/>
    <w:rsid w:val="00DD7F04"/>
    <w:rsid w:val="00DD7FF5"/>
    <w:rsid w:val="00DE00A3"/>
    <w:rsid w:val="00DE0113"/>
    <w:rsid w:val="00DE0483"/>
    <w:rsid w:val="00DE099C"/>
    <w:rsid w:val="00DE2564"/>
    <w:rsid w:val="00DE2D1A"/>
    <w:rsid w:val="00DE31EF"/>
    <w:rsid w:val="00DE3423"/>
    <w:rsid w:val="00DE40E4"/>
    <w:rsid w:val="00DE4529"/>
    <w:rsid w:val="00DE4AD0"/>
    <w:rsid w:val="00DE54C3"/>
    <w:rsid w:val="00DE5BEC"/>
    <w:rsid w:val="00DE6051"/>
    <w:rsid w:val="00DE6103"/>
    <w:rsid w:val="00DE6932"/>
    <w:rsid w:val="00DE6C98"/>
    <w:rsid w:val="00DF0C17"/>
    <w:rsid w:val="00DF0E39"/>
    <w:rsid w:val="00DF160E"/>
    <w:rsid w:val="00DF161C"/>
    <w:rsid w:val="00DF2964"/>
    <w:rsid w:val="00DF31ED"/>
    <w:rsid w:val="00DF3900"/>
    <w:rsid w:val="00DF461C"/>
    <w:rsid w:val="00DF512A"/>
    <w:rsid w:val="00DF5409"/>
    <w:rsid w:val="00DF6C17"/>
    <w:rsid w:val="00E0004C"/>
    <w:rsid w:val="00E0047A"/>
    <w:rsid w:val="00E00EE7"/>
    <w:rsid w:val="00E0122A"/>
    <w:rsid w:val="00E02677"/>
    <w:rsid w:val="00E02C01"/>
    <w:rsid w:val="00E03046"/>
    <w:rsid w:val="00E03650"/>
    <w:rsid w:val="00E03BA0"/>
    <w:rsid w:val="00E03C4A"/>
    <w:rsid w:val="00E04D2F"/>
    <w:rsid w:val="00E04EC9"/>
    <w:rsid w:val="00E04FDF"/>
    <w:rsid w:val="00E050EF"/>
    <w:rsid w:val="00E0612A"/>
    <w:rsid w:val="00E06349"/>
    <w:rsid w:val="00E063AC"/>
    <w:rsid w:val="00E07BE9"/>
    <w:rsid w:val="00E07CA9"/>
    <w:rsid w:val="00E10D1E"/>
    <w:rsid w:val="00E10D50"/>
    <w:rsid w:val="00E10EFD"/>
    <w:rsid w:val="00E1150D"/>
    <w:rsid w:val="00E11B3D"/>
    <w:rsid w:val="00E123F0"/>
    <w:rsid w:val="00E12482"/>
    <w:rsid w:val="00E1293A"/>
    <w:rsid w:val="00E12C9B"/>
    <w:rsid w:val="00E130C3"/>
    <w:rsid w:val="00E130D0"/>
    <w:rsid w:val="00E133C8"/>
    <w:rsid w:val="00E14B22"/>
    <w:rsid w:val="00E15B8B"/>
    <w:rsid w:val="00E16507"/>
    <w:rsid w:val="00E170C9"/>
    <w:rsid w:val="00E1792C"/>
    <w:rsid w:val="00E17EA3"/>
    <w:rsid w:val="00E20CF4"/>
    <w:rsid w:val="00E21DF2"/>
    <w:rsid w:val="00E22A21"/>
    <w:rsid w:val="00E22D3B"/>
    <w:rsid w:val="00E23E48"/>
    <w:rsid w:val="00E2464C"/>
    <w:rsid w:val="00E24BE0"/>
    <w:rsid w:val="00E24F3F"/>
    <w:rsid w:val="00E253BB"/>
    <w:rsid w:val="00E257FC"/>
    <w:rsid w:val="00E273A3"/>
    <w:rsid w:val="00E27BA9"/>
    <w:rsid w:val="00E3087A"/>
    <w:rsid w:val="00E30F2A"/>
    <w:rsid w:val="00E30F65"/>
    <w:rsid w:val="00E31AB6"/>
    <w:rsid w:val="00E31E00"/>
    <w:rsid w:val="00E32294"/>
    <w:rsid w:val="00E3298C"/>
    <w:rsid w:val="00E32B2C"/>
    <w:rsid w:val="00E32FEA"/>
    <w:rsid w:val="00E33ACE"/>
    <w:rsid w:val="00E33E9E"/>
    <w:rsid w:val="00E33F11"/>
    <w:rsid w:val="00E34BB5"/>
    <w:rsid w:val="00E35283"/>
    <w:rsid w:val="00E3575B"/>
    <w:rsid w:val="00E35BC3"/>
    <w:rsid w:val="00E363C9"/>
    <w:rsid w:val="00E36FA0"/>
    <w:rsid w:val="00E37D5C"/>
    <w:rsid w:val="00E40D5F"/>
    <w:rsid w:val="00E41791"/>
    <w:rsid w:val="00E43303"/>
    <w:rsid w:val="00E43395"/>
    <w:rsid w:val="00E43B27"/>
    <w:rsid w:val="00E43CDE"/>
    <w:rsid w:val="00E44708"/>
    <w:rsid w:val="00E44A7A"/>
    <w:rsid w:val="00E44BE1"/>
    <w:rsid w:val="00E451C0"/>
    <w:rsid w:val="00E45212"/>
    <w:rsid w:val="00E4546F"/>
    <w:rsid w:val="00E45712"/>
    <w:rsid w:val="00E45738"/>
    <w:rsid w:val="00E45F3C"/>
    <w:rsid w:val="00E46DFD"/>
    <w:rsid w:val="00E504E3"/>
    <w:rsid w:val="00E5054E"/>
    <w:rsid w:val="00E50582"/>
    <w:rsid w:val="00E5086D"/>
    <w:rsid w:val="00E50F35"/>
    <w:rsid w:val="00E51140"/>
    <w:rsid w:val="00E512E1"/>
    <w:rsid w:val="00E516C1"/>
    <w:rsid w:val="00E51E3A"/>
    <w:rsid w:val="00E51E51"/>
    <w:rsid w:val="00E52129"/>
    <w:rsid w:val="00E52C31"/>
    <w:rsid w:val="00E535FE"/>
    <w:rsid w:val="00E5400C"/>
    <w:rsid w:val="00E54EFE"/>
    <w:rsid w:val="00E562F0"/>
    <w:rsid w:val="00E56ADE"/>
    <w:rsid w:val="00E56ECA"/>
    <w:rsid w:val="00E5735B"/>
    <w:rsid w:val="00E5798C"/>
    <w:rsid w:val="00E57F2C"/>
    <w:rsid w:val="00E60792"/>
    <w:rsid w:val="00E63BB5"/>
    <w:rsid w:val="00E643ED"/>
    <w:rsid w:val="00E64762"/>
    <w:rsid w:val="00E64C3F"/>
    <w:rsid w:val="00E64CB5"/>
    <w:rsid w:val="00E652FF"/>
    <w:rsid w:val="00E65D9E"/>
    <w:rsid w:val="00E65E8A"/>
    <w:rsid w:val="00E66D1F"/>
    <w:rsid w:val="00E66FE0"/>
    <w:rsid w:val="00E67209"/>
    <w:rsid w:val="00E67609"/>
    <w:rsid w:val="00E7070D"/>
    <w:rsid w:val="00E70E6E"/>
    <w:rsid w:val="00E71A4B"/>
    <w:rsid w:val="00E72C12"/>
    <w:rsid w:val="00E73068"/>
    <w:rsid w:val="00E73213"/>
    <w:rsid w:val="00E7325F"/>
    <w:rsid w:val="00E73284"/>
    <w:rsid w:val="00E73BFE"/>
    <w:rsid w:val="00E73FA6"/>
    <w:rsid w:val="00E74175"/>
    <w:rsid w:val="00E7443C"/>
    <w:rsid w:val="00E7468E"/>
    <w:rsid w:val="00E754D4"/>
    <w:rsid w:val="00E75A6A"/>
    <w:rsid w:val="00E760C3"/>
    <w:rsid w:val="00E767FC"/>
    <w:rsid w:val="00E77127"/>
    <w:rsid w:val="00E7794F"/>
    <w:rsid w:val="00E80828"/>
    <w:rsid w:val="00E80C05"/>
    <w:rsid w:val="00E80D07"/>
    <w:rsid w:val="00E81103"/>
    <w:rsid w:val="00E8245C"/>
    <w:rsid w:val="00E8281E"/>
    <w:rsid w:val="00E8318D"/>
    <w:rsid w:val="00E83E49"/>
    <w:rsid w:val="00E84958"/>
    <w:rsid w:val="00E84B5A"/>
    <w:rsid w:val="00E856CE"/>
    <w:rsid w:val="00E85CD7"/>
    <w:rsid w:val="00E86A99"/>
    <w:rsid w:val="00E86A9A"/>
    <w:rsid w:val="00E86F60"/>
    <w:rsid w:val="00E904EC"/>
    <w:rsid w:val="00E90D0E"/>
    <w:rsid w:val="00E91C93"/>
    <w:rsid w:val="00E92168"/>
    <w:rsid w:val="00E92902"/>
    <w:rsid w:val="00E92CDE"/>
    <w:rsid w:val="00E92EC1"/>
    <w:rsid w:val="00E93368"/>
    <w:rsid w:val="00E936EA"/>
    <w:rsid w:val="00E93F9B"/>
    <w:rsid w:val="00E94520"/>
    <w:rsid w:val="00E95D0C"/>
    <w:rsid w:val="00E95E8C"/>
    <w:rsid w:val="00E961B4"/>
    <w:rsid w:val="00E96256"/>
    <w:rsid w:val="00E96607"/>
    <w:rsid w:val="00E967B3"/>
    <w:rsid w:val="00E96994"/>
    <w:rsid w:val="00E96C18"/>
    <w:rsid w:val="00E97367"/>
    <w:rsid w:val="00E97AF7"/>
    <w:rsid w:val="00E97EC1"/>
    <w:rsid w:val="00EA073A"/>
    <w:rsid w:val="00EA0813"/>
    <w:rsid w:val="00EA0D5B"/>
    <w:rsid w:val="00EA13A7"/>
    <w:rsid w:val="00EA205C"/>
    <w:rsid w:val="00EA23D4"/>
    <w:rsid w:val="00EA2CEA"/>
    <w:rsid w:val="00EA3F30"/>
    <w:rsid w:val="00EA465C"/>
    <w:rsid w:val="00EA4BE8"/>
    <w:rsid w:val="00EA503C"/>
    <w:rsid w:val="00EA5C44"/>
    <w:rsid w:val="00EA62A9"/>
    <w:rsid w:val="00EA6384"/>
    <w:rsid w:val="00EA6454"/>
    <w:rsid w:val="00EA794A"/>
    <w:rsid w:val="00EB005B"/>
    <w:rsid w:val="00EB0575"/>
    <w:rsid w:val="00EB1119"/>
    <w:rsid w:val="00EB1832"/>
    <w:rsid w:val="00EB2024"/>
    <w:rsid w:val="00EB37C1"/>
    <w:rsid w:val="00EB49E0"/>
    <w:rsid w:val="00EB4F5D"/>
    <w:rsid w:val="00EB5B1A"/>
    <w:rsid w:val="00EB603B"/>
    <w:rsid w:val="00EB6064"/>
    <w:rsid w:val="00EB72F2"/>
    <w:rsid w:val="00EB7D28"/>
    <w:rsid w:val="00EC0827"/>
    <w:rsid w:val="00EC0878"/>
    <w:rsid w:val="00EC1844"/>
    <w:rsid w:val="00EC1CF5"/>
    <w:rsid w:val="00EC1E19"/>
    <w:rsid w:val="00EC25FC"/>
    <w:rsid w:val="00EC271C"/>
    <w:rsid w:val="00EC399B"/>
    <w:rsid w:val="00EC458B"/>
    <w:rsid w:val="00EC4658"/>
    <w:rsid w:val="00EC63B1"/>
    <w:rsid w:val="00EC7112"/>
    <w:rsid w:val="00EC71D4"/>
    <w:rsid w:val="00EC75B5"/>
    <w:rsid w:val="00ED0140"/>
    <w:rsid w:val="00ED0554"/>
    <w:rsid w:val="00ED128C"/>
    <w:rsid w:val="00ED16D2"/>
    <w:rsid w:val="00ED1CA1"/>
    <w:rsid w:val="00ED2214"/>
    <w:rsid w:val="00ED22C7"/>
    <w:rsid w:val="00ED2CC9"/>
    <w:rsid w:val="00ED2EA8"/>
    <w:rsid w:val="00ED3753"/>
    <w:rsid w:val="00ED3CF6"/>
    <w:rsid w:val="00ED46DB"/>
    <w:rsid w:val="00ED4B39"/>
    <w:rsid w:val="00ED4F0E"/>
    <w:rsid w:val="00ED6D75"/>
    <w:rsid w:val="00ED726A"/>
    <w:rsid w:val="00EE10B6"/>
    <w:rsid w:val="00EE13C4"/>
    <w:rsid w:val="00EE1988"/>
    <w:rsid w:val="00EE1C88"/>
    <w:rsid w:val="00EE229B"/>
    <w:rsid w:val="00EE24DD"/>
    <w:rsid w:val="00EE379E"/>
    <w:rsid w:val="00EE385D"/>
    <w:rsid w:val="00EE3FD9"/>
    <w:rsid w:val="00EE4759"/>
    <w:rsid w:val="00EE4CE6"/>
    <w:rsid w:val="00EE4E8C"/>
    <w:rsid w:val="00EE4EA8"/>
    <w:rsid w:val="00EE50EB"/>
    <w:rsid w:val="00EE50FE"/>
    <w:rsid w:val="00EE5EE6"/>
    <w:rsid w:val="00EE6E5E"/>
    <w:rsid w:val="00EE7412"/>
    <w:rsid w:val="00EF1093"/>
    <w:rsid w:val="00EF116B"/>
    <w:rsid w:val="00EF22BB"/>
    <w:rsid w:val="00EF271A"/>
    <w:rsid w:val="00EF2DF9"/>
    <w:rsid w:val="00EF445F"/>
    <w:rsid w:val="00EF4690"/>
    <w:rsid w:val="00EF4A69"/>
    <w:rsid w:val="00EF56A5"/>
    <w:rsid w:val="00EF589F"/>
    <w:rsid w:val="00EF5E50"/>
    <w:rsid w:val="00EF6801"/>
    <w:rsid w:val="00EF6AC8"/>
    <w:rsid w:val="00EF6C02"/>
    <w:rsid w:val="00EF6FAF"/>
    <w:rsid w:val="00EF7BB5"/>
    <w:rsid w:val="00F001AC"/>
    <w:rsid w:val="00F00557"/>
    <w:rsid w:val="00F0141D"/>
    <w:rsid w:val="00F045AA"/>
    <w:rsid w:val="00F05CE5"/>
    <w:rsid w:val="00F06B43"/>
    <w:rsid w:val="00F06C5C"/>
    <w:rsid w:val="00F078A7"/>
    <w:rsid w:val="00F07A5D"/>
    <w:rsid w:val="00F07C02"/>
    <w:rsid w:val="00F1017E"/>
    <w:rsid w:val="00F101D0"/>
    <w:rsid w:val="00F1046A"/>
    <w:rsid w:val="00F10870"/>
    <w:rsid w:val="00F11778"/>
    <w:rsid w:val="00F11EA9"/>
    <w:rsid w:val="00F120D4"/>
    <w:rsid w:val="00F125D5"/>
    <w:rsid w:val="00F12E49"/>
    <w:rsid w:val="00F134C7"/>
    <w:rsid w:val="00F13B0C"/>
    <w:rsid w:val="00F14604"/>
    <w:rsid w:val="00F14D45"/>
    <w:rsid w:val="00F15484"/>
    <w:rsid w:val="00F158BC"/>
    <w:rsid w:val="00F158FF"/>
    <w:rsid w:val="00F168EC"/>
    <w:rsid w:val="00F16AA2"/>
    <w:rsid w:val="00F17835"/>
    <w:rsid w:val="00F17AFC"/>
    <w:rsid w:val="00F17DA6"/>
    <w:rsid w:val="00F205D1"/>
    <w:rsid w:val="00F209CE"/>
    <w:rsid w:val="00F21DDC"/>
    <w:rsid w:val="00F21E45"/>
    <w:rsid w:val="00F22BEB"/>
    <w:rsid w:val="00F22CF0"/>
    <w:rsid w:val="00F237FE"/>
    <w:rsid w:val="00F248A2"/>
    <w:rsid w:val="00F24967"/>
    <w:rsid w:val="00F24D9C"/>
    <w:rsid w:val="00F25417"/>
    <w:rsid w:val="00F2552D"/>
    <w:rsid w:val="00F26F25"/>
    <w:rsid w:val="00F27A50"/>
    <w:rsid w:val="00F3082C"/>
    <w:rsid w:val="00F31217"/>
    <w:rsid w:val="00F31285"/>
    <w:rsid w:val="00F316CC"/>
    <w:rsid w:val="00F33B65"/>
    <w:rsid w:val="00F34CE7"/>
    <w:rsid w:val="00F3582D"/>
    <w:rsid w:val="00F358B5"/>
    <w:rsid w:val="00F35976"/>
    <w:rsid w:val="00F36594"/>
    <w:rsid w:val="00F367EF"/>
    <w:rsid w:val="00F379AE"/>
    <w:rsid w:val="00F37C1C"/>
    <w:rsid w:val="00F4076D"/>
    <w:rsid w:val="00F41E7D"/>
    <w:rsid w:val="00F42215"/>
    <w:rsid w:val="00F42334"/>
    <w:rsid w:val="00F4278F"/>
    <w:rsid w:val="00F4284C"/>
    <w:rsid w:val="00F42E47"/>
    <w:rsid w:val="00F4412F"/>
    <w:rsid w:val="00F45295"/>
    <w:rsid w:val="00F4529F"/>
    <w:rsid w:val="00F4601C"/>
    <w:rsid w:val="00F460AC"/>
    <w:rsid w:val="00F460D7"/>
    <w:rsid w:val="00F4613E"/>
    <w:rsid w:val="00F464D8"/>
    <w:rsid w:val="00F470E9"/>
    <w:rsid w:val="00F47EA3"/>
    <w:rsid w:val="00F50649"/>
    <w:rsid w:val="00F5070F"/>
    <w:rsid w:val="00F513C4"/>
    <w:rsid w:val="00F517C3"/>
    <w:rsid w:val="00F517F3"/>
    <w:rsid w:val="00F52421"/>
    <w:rsid w:val="00F5251F"/>
    <w:rsid w:val="00F52BC3"/>
    <w:rsid w:val="00F53BEA"/>
    <w:rsid w:val="00F53CF7"/>
    <w:rsid w:val="00F54813"/>
    <w:rsid w:val="00F54DE0"/>
    <w:rsid w:val="00F5503A"/>
    <w:rsid w:val="00F550FA"/>
    <w:rsid w:val="00F5584A"/>
    <w:rsid w:val="00F55BA4"/>
    <w:rsid w:val="00F56E2F"/>
    <w:rsid w:val="00F578CD"/>
    <w:rsid w:val="00F57E3A"/>
    <w:rsid w:val="00F6061D"/>
    <w:rsid w:val="00F60D60"/>
    <w:rsid w:val="00F60EB9"/>
    <w:rsid w:val="00F612FE"/>
    <w:rsid w:val="00F61A62"/>
    <w:rsid w:val="00F61B57"/>
    <w:rsid w:val="00F62A6E"/>
    <w:rsid w:val="00F62D51"/>
    <w:rsid w:val="00F632C5"/>
    <w:rsid w:val="00F633C0"/>
    <w:rsid w:val="00F63487"/>
    <w:rsid w:val="00F6385C"/>
    <w:rsid w:val="00F63CF9"/>
    <w:rsid w:val="00F640AA"/>
    <w:rsid w:val="00F651DC"/>
    <w:rsid w:val="00F66347"/>
    <w:rsid w:val="00F66604"/>
    <w:rsid w:val="00F67122"/>
    <w:rsid w:val="00F6788F"/>
    <w:rsid w:val="00F67FE7"/>
    <w:rsid w:val="00F701AB"/>
    <w:rsid w:val="00F71004"/>
    <w:rsid w:val="00F7160C"/>
    <w:rsid w:val="00F716C2"/>
    <w:rsid w:val="00F7179C"/>
    <w:rsid w:val="00F72588"/>
    <w:rsid w:val="00F73299"/>
    <w:rsid w:val="00F73864"/>
    <w:rsid w:val="00F74469"/>
    <w:rsid w:val="00F7498E"/>
    <w:rsid w:val="00F74C9E"/>
    <w:rsid w:val="00F7567F"/>
    <w:rsid w:val="00F759B9"/>
    <w:rsid w:val="00F75D54"/>
    <w:rsid w:val="00F75E8F"/>
    <w:rsid w:val="00F77274"/>
    <w:rsid w:val="00F779F1"/>
    <w:rsid w:val="00F80593"/>
    <w:rsid w:val="00F81213"/>
    <w:rsid w:val="00F81A87"/>
    <w:rsid w:val="00F82231"/>
    <w:rsid w:val="00F82B10"/>
    <w:rsid w:val="00F83B85"/>
    <w:rsid w:val="00F83F7E"/>
    <w:rsid w:val="00F8447B"/>
    <w:rsid w:val="00F8497C"/>
    <w:rsid w:val="00F849BF"/>
    <w:rsid w:val="00F84E02"/>
    <w:rsid w:val="00F8541B"/>
    <w:rsid w:val="00F85746"/>
    <w:rsid w:val="00F85B65"/>
    <w:rsid w:val="00F85B66"/>
    <w:rsid w:val="00F8601F"/>
    <w:rsid w:val="00F87756"/>
    <w:rsid w:val="00F879B4"/>
    <w:rsid w:val="00F87AFF"/>
    <w:rsid w:val="00F87C9B"/>
    <w:rsid w:val="00F9035D"/>
    <w:rsid w:val="00F9101E"/>
    <w:rsid w:val="00F9192D"/>
    <w:rsid w:val="00F91B56"/>
    <w:rsid w:val="00F920B7"/>
    <w:rsid w:val="00F92598"/>
    <w:rsid w:val="00F92A1F"/>
    <w:rsid w:val="00F92AB6"/>
    <w:rsid w:val="00F92D05"/>
    <w:rsid w:val="00F93356"/>
    <w:rsid w:val="00F93566"/>
    <w:rsid w:val="00F94744"/>
    <w:rsid w:val="00F95459"/>
    <w:rsid w:val="00F9554D"/>
    <w:rsid w:val="00F9585E"/>
    <w:rsid w:val="00F95D59"/>
    <w:rsid w:val="00F968C4"/>
    <w:rsid w:val="00F96C35"/>
    <w:rsid w:val="00F9705F"/>
    <w:rsid w:val="00F97943"/>
    <w:rsid w:val="00FA01B2"/>
    <w:rsid w:val="00FA0487"/>
    <w:rsid w:val="00FA0F8F"/>
    <w:rsid w:val="00FA1480"/>
    <w:rsid w:val="00FA16E0"/>
    <w:rsid w:val="00FA28B6"/>
    <w:rsid w:val="00FA33B2"/>
    <w:rsid w:val="00FA4022"/>
    <w:rsid w:val="00FA58E2"/>
    <w:rsid w:val="00FA5BCC"/>
    <w:rsid w:val="00FA5C54"/>
    <w:rsid w:val="00FA68EB"/>
    <w:rsid w:val="00FA742D"/>
    <w:rsid w:val="00FA7E57"/>
    <w:rsid w:val="00FA7F4F"/>
    <w:rsid w:val="00FB085E"/>
    <w:rsid w:val="00FB0B0E"/>
    <w:rsid w:val="00FB0D08"/>
    <w:rsid w:val="00FB1DE5"/>
    <w:rsid w:val="00FB1E3A"/>
    <w:rsid w:val="00FB1E5A"/>
    <w:rsid w:val="00FB26EB"/>
    <w:rsid w:val="00FB2BB9"/>
    <w:rsid w:val="00FB3161"/>
    <w:rsid w:val="00FB4AA3"/>
    <w:rsid w:val="00FB508B"/>
    <w:rsid w:val="00FB6123"/>
    <w:rsid w:val="00FB639E"/>
    <w:rsid w:val="00FB63DE"/>
    <w:rsid w:val="00FB707D"/>
    <w:rsid w:val="00FB758B"/>
    <w:rsid w:val="00FB7858"/>
    <w:rsid w:val="00FB7983"/>
    <w:rsid w:val="00FB7D06"/>
    <w:rsid w:val="00FB7F9F"/>
    <w:rsid w:val="00FC00FF"/>
    <w:rsid w:val="00FC03A7"/>
    <w:rsid w:val="00FC04DF"/>
    <w:rsid w:val="00FC0AFB"/>
    <w:rsid w:val="00FC0B9F"/>
    <w:rsid w:val="00FC0F17"/>
    <w:rsid w:val="00FC1D06"/>
    <w:rsid w:val="00FC1ED9"/>
    <w:rsid w:val="00FC278C"/>
    <w:rsid w:val="00FC2F1F"/>
    <w:rsid w:val="00FC3304"/>
    <w:rsid w:val="00FC3993"/>
    <w:rsid w:val="00FC4119"/>
    <w:rsid w:val="00FC58CD"/>
    <w:rsid w:val="00FC59EA"/>
    <w:rsid w:val="00FC6516"/>
    <w:rsid w:val="00FC6B9B"/>
    <w:rsid w:val="00FC6D44"/>
    <w:rsid w:val="00FC73FF"/>
    <w:rsid w:val="00FD033C"/>
    <w:rsid w:val="00FD09AB"/>
    <w:rsid w:val="00FD0C1A"/>
    <w:rsid w:val="00FD1940"/>
    <w:rsid w:val="00FD2527"/>
    <w:rsid w:val="00FD2542"/>
    <w:rsid w:val="00FD2D87"/>
    <w:rsid w:val="00FD3049"/>
    <w:rsid w:val="00FD30CA"/>
    <w:rsid w:val="00FD3FDD"/>
    <w:rsid w:val="00FD4607"/>
    <w:rsid w:val="00FD4DDC"/>
    <w:rsid w:val="00FD51DC"/>
    <w:rsid w:val="00FD5957"/>
    <w:rsid w:val="00FD627F"/>
    <w:rsid w:val="00FD6684"/>
    <w:rsid w:val="00FD6DC1"/>
    <w:rsid w:val="00FE0510"/>
    <w:rsid w:val="00FE057B"/>
    <w:rsid w:val="00FE05EA"/>
    <w:rsid w:val="00FE09BE"/>
    <w:rsid w:val="00FE0ED5"/>
    <w:rsid w:val="00FE1D9D"/>
    <w:rsid w:val="00FE2840"/>
    <w:rsid w:val="00FE2956"/>
    <w:rsid w:val="00FE2BB6"/>
    <w:rsid w:val="00FE392F"/>
    <w:rsid w:val="00FE3D42"/>
    <w:rsid w:val="00FE42BB"/>
    <w:rsid w:val="00FE4382"/>
    <w:rsid w:val="00FE58BF"/>
    <w:rsid w:val="00FE5B02"/>
    <w:rsid w:val="00FE5BB1"/>
    <w:rsid w:val="00FE606E"/>
    <w:rsid w:val="00FE70CA"/>
    <w:rsid w:val="00FE7400"/>
    <w:rsid w:val="00FF11E0"/>
    <w:rsid w:val="00FF21D2"/>
    <w:rsid w:val="00FF2B14"/>
    <w:rsid w:val="00FF2BF6"/>
    <w:rsid w:val="00FF340A"/>
    <w:rsid w:val="00FF40D5"/>
    <w:rsid w:val="00FF42FE"/>
    <w:rsid w:val="00FF5BD2"/>
    <w:rsid w:val="00FF6062"/>
    <w:rsid w:val="00FF7EB6"/>
    <w:rsid w:val="00FF7F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strokecolor="#4f81bd">
      <v:fill color="white"/>
      <v:stroke color="#4f81bd" weight="2.5pt"/>
      <v:shadow on="t" color="#868686" opacity=".5" offset="6pt,-6pt"/>
    </o:shapedefaults>
    <o:shapelayout v:ext="edit">
      <o:idmap v:ext="edit" data="1"/>
    </o:shapelayout>
  </w:shapeDefaults>
  <w:decimalSymbol w:val="."/>
  <w:listSeparator w:val=","/>
  <w14:docId w14:val="26E64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uiPriority="9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Title" w:qFormat="1"/>
    <w:lsdException w:name="Default Paragraph Font" w:uiPriority="1"/>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ite" w:uiPriority="99"/>
    <w:lsdException w:name="HTML Preformatted" w:uiPriority="99"/>
    <w:lsdException w:name="annotation subject" w:uiPriority="99"/>
    <w:lsdException w:name="No List" w:uiPriority="99"/>
    <w:lsdException w:name="Table List 1" w:uiPriority="99"/>
    <w:lsdException w:name="Table 3D effects 3" w:uiPriority="99"/>
    <w:lsdException w:name="Balloon Text" w:uiPriority="99"/>
    <w:lsdException w:name="Table Grid" w:uiPriority="59"/>
    <w:lsdException w:name="No Spacing" w:uiPriority="1" w:qFormat="1"/>
    <w:lsdException w:name="Revision" w:uiPriority="99"/>
    <w:lsdException w:name="List Paragraph" w:uiPriority="34" w:qFormat="1"/>
    <w:lsdException w:name="Quote" w:qFormat="1"/>
    <w:lsdException w:name="Intense Quote" w:qFormat="1"/>
    <w:lsdException w:name="Medium List 2 Accent 1" w:uiPriority="66"/>
    <w:lsdException w:name="Medium Grid 3 Accent 1" w:uiPriority="69"/>
    <w:lsdException w:name="Colorful List Accent 1" w:uiPriority="34" w:qFormat="1"/>
    <w:lsdException w:name="Colorful Grid Accent 1" w:uiPriority="73"/>
    <w:lsdException w:name="Medium List 2 Accent 2" w:uiPriority="71"/>
    <w:lsdException w:name="Light List Accent 3" w:uiPriority="71"/>
    <w:lsdException w:name="Dark List Accent 3" w:uiPriority="71"/>
    <w:lsdException w:name="Medium List 1 Accent 4" w:uiPriority="71"/>
    <w:lsdException w:name="Medium Grid 3 Accent 5" w:uiPriority="71"/>
    <w:lsdException w:name="Medium Shading 2 Accent 6" w:uiPriority="71"/>
    <w:lsdException w:name="Colorful Grid Accent 6" w:uiPriority="7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79572A"/>
  </w:style>
  <w:style w:type="paragraph" w:styleId="Heading1">
    <w:name w:val="heading 1"/>
    <w:basedOn w:val="Normal"/>
    <w:next w:val="Normal"/>
    <w:link w:val="Heading1Char1"/>
    <w:uiPriority w:val="99"/>
    <w:qFormat/>
    <w:rsid w:val="0011303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FA0487"/>
    <w:pPr>
      <w:keepNext/>
      <w:tabs>
        <w:tab w:val="left" w:pos="0"/>
      </w:tabs>
      <w:spacing w:before="240" w:after="60"/>
      <w:outlineLvl w:val="1"/>
    </w:pPr>
    <w:rPr>
      <w:b/>
      <w:bCs/>
      <w:iCs/>
      <w:sz w:val="28"/>
      <w:szCs w:val="28"/>
    </w:rPr>
  </w:style>
  <w:style w:type="paragraph" w:styleId="Heading3">
    <w:name w:val="heading 3"/>
    <w:basedOn w:val="Normal"/>
    <w:next w:val="Normal"/>
    <w:link w:val="Heading3Char1"/>
    <w:qFormat/>
    <w:rsid w:val="0011303D"/>
    <w:pPr>
      <w:keepNext/>
      <w:spacing w:before="240" w:after="60"/>
      <w:outlineLvl w:val="2"/>
    </w:pPr>
    <w:rPr>
      <w:rFonts w:ascii="Arial" w:hAnsi="Arial" w:cs="Arial"/>
      <w:b/>
      <w:bCs/>
      <w:szCs w:val="26"/>
    </w:rPr>
  </w:style>
  <w:style w:type="paragraph" w:styleId="Heading4">
    <w:name w:val="heading 4"/>
    <w:aliases w:val="Heading 4 Char Char"/>
    <w:basedOn w:val="Normal"/>
    <w:next w:val="Normal"/>
    <w:link w:val="Heading4Char2"/>
    <w:qFormat/>
    <w:rsid w:val="00533F44"/>
    <w:pPr>
      <w:keepNext/>
      <w:spacing w:before="240" w:after="60"/>
      <w:ind w:left="864" w:hanging="864"/>
      <w:outlineLvl w:val="3"/>
    </w:pPr>
    <w:rPr>
      <w:b/>
      <w:bCs/>
      <w:sz w:val="28"/>
      <w:szCs w:val="28"/>
    </w:rPr>
  </w:style>
  <w:style w:type="paragraph" w:styleId="Heading5">
    <w:name w:val="heading 5"/>
    <w:basedOn w:val="Normal"/>
    <w:next w:val="Normal"/>
    <w:link w:val="Heading5Char"/>
    <w:qFormat/>
    <w:rsid w:val="0011303D"/>
    <w:pPr>
      <w:spacing w:before="240" w:after="60"/>
      <w:outlineLvl w:val="4"/>
    </w:pPr>
    <w:rPr>
      <w:b/>
      <w:bCs/>
      <w:i/>
      <w:iCs/>
      <w:sz w:val="26"/>
      <w:szCs w:val="26"/>
    </w:rPr>
  </w:style>
  <w:style w:type="paragraph" w:styleId="Heading6">
    <w:name w:val="heading 6"/>
    <w:basedOn w:val="Normal"/>
    <w:next w:val="Normal"/>
    <w:link w:val="Heading6Char"/>
    <w:qFormat/>
    <w:rsid w:val="0011303D"/>
    <w:pPr>
      <w:spacing w:before="240" w:after="60"/>
      <w:outlineLvl w:val="5"/>
    </w:pPr>
    <w:rPr>
      <w:b/>
      <w:bCs/>
      <w:sz w:val="22"/>
      <w:szCs w:val="22"/>
    </w:rPr>
  </w:style>
  <w:style w:type="paragraph" w:styleId="Heading7">
    <w:name w:val="heading 7"/>
    <w:basedOn w:val="Normal"/>
    <w:next w:val="Normal"/>
    <w:link w:val="Heading7Char"/>
    <w:qFormat/>
    <w:rsid w:val="0011303D"/>
    <w:pPr>
      <w:spacing w:before="240" w:after="60"/>
      <w:outlineLvl w:val="6"/>
    </w:pPr>
  </w:style>
  <w:style w:type="paragraph" w:styleId="Heading8">
    <w:name w:val="heading 8"/>
    <w:basedOn w:val="Normal"/>
    <w:next w:val="Normal"/>
    <w:link w:val="Heading8Char"/>
    <w:qFormat/>
    <w:rsid w:val="0011303D"/>
    <w:pPr>
      <w:spacing w:before="240" w:after="60"/>
      <w:outlineLvl w:val="7"/>
    </w:pPr>
    <w:rPr>
      <w:i/>
      <w:iCs/>
    </w:rPr>
  </w:style>
  <w:style w:type="paragraph" w:styleId="Heading9">
    <w:name w:val="heading 9"/>
    <w:basedOn w:val="Normal"/>
    <w:next w:val="Normal"/>
    <w:link w:val="Heading9Char"/>
    <w:qFormat/>
    <w:rsid w:val="0011303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FA0487"/>
    <w:rPr>
      <w:b/>
      <w:bCs/>
      <w:iCs/>
      <w:sz w:val="28"/>
      <w:szCs w:val="28"/>
    </w:rPr>
  </w:style>
  <w:style w:type="character" w:customStyle="1" w:styleId="Heading4Char2">
    <w:name w:val="Heading 4 Char2"/>
    <w:aliases w:val="Heading 4 Char Char Char2"/>
    <w:basedOn w:val="DefaultParagraphFont"/>
    <w:link w:val="Heading4"/>
    <w:rsid w:val="00533F44"/>
    <w:rPr>
      <w:b/>
      <w:bCs/>
      <w:sz w:val="28"/>
      <w:szCs w:val="28"/>
    </w:rPr>
  </w:style>
  <w:style w:type="character" w:customStyle="1" w:styleId="Heading5Char">
    <w:name w:val="Heading 5 Char"/>
    <w:basedOn w:val="DefaultParagraphFont"/>
    <w:link w:val="Heading5"/>
    <w:locked/>
    <w:rsid w:val="008357AC"/>
    <w:rPr>
      <w:b/>
      <w:bCs/>
      <w:i/>
      <w:iCs/>
      <w:sz w:val="26"/>
      <w:szCs w:val="26"/>
    </w:rPr>
  </w:style>
  <w:style w:type="character" w:customStyle="1" w:styleId="Heading6Char">
    <w:name w:val="Heading 6 Char"/>
    <w:basedOn w:val="DefaultParagraphFont"/>
    <w:link w:val="Heading6"/>
    <w:locked/>
    <w:rsid w:val="008357AC"/>
    <w:rPr>
      <w:b/>
      <w:bCs/>
      <w:sz w:val="22"/>
      <w:szCs w:val="22"/>
    </w:rPr>
  </w:style>
  <w:style w:type="character" w:customStyle="1" w:styleId="Heading7Char">
    <w:name w:val="Heading 7 Char"/>
    <w:basedOn w:val="DefaultParagraphFont"/>
    <w:link w:val="Heading7"/>
    <w:locked/>
    <w:rsid w:val="008357AC"/>
    <w:rPr>
      <w:sz w:val="24"/>
      <w:szCs w:val="24"/>
    </w:rPr>
  </w:style>
  <w:style w:type="character" w:customStyle="1" w:styleId="Heading8Char">
    <w:name w:val="Heading 8 Char"/>
    <w:basedOn w:val="DefaultParagraphFont"/>
    <w:link w:val="Heading8"/>
    <w:locked/>
    <w:rsid w:val="008357AC"/>
    <w:rPr>
      <w:i/>
      <w:iCs/>
      <w:sz w:val="24"/>
      <w:szCs w:val="24"/>
    </w:rPr>
  </w:style>
  <w:style w:type="character" w:customStyle="1" w:styleId="Heading9Char">
    <w:name w:val="Heading 9 Char"/>
    <w:basedOn w:val="DefaultParagraphFont"/>
    <w:link w:val="Heading9"/>
    <w:locked/>
    <w:rsid w:val="008357AC"/>
    <w:rPr>
      <w:rFonts w:ascii="Arial" w:hAnsi="Arial" w:cs="Arial"/>
      <w:sz w:val="22"/>
      <w:szCs w:val="22"/>
    </w:rPr>
  </w:style>
  <w:style w:type="paragraph" w:styleId="BodyText">
    <w:name w:val="Body Text"/>
    <w:basedOn w:val="Normal"/>
    <w:link w:val="BodyTextChar"/>
    <w:rsid w:val="0011303D"/>
    <w:rPr>
      <w:rFonts w:cs="Courier New"/>
      <w:szCs w:val="20"/>
      <w:u w:val="single"/>
    </w:rPr>
  </w:style>
  <w:style w:type="character" w:customStyle="1" w:styleId="BodyTextChar">
    <w:name w:val="Body Text Char"/>
    <w:basedOn w:val="DefaultParagraphFont"/>
    <w:link w:val="BodyText"/>
    <w:locked/>
    <w:rsid w:val="008357AC"/>
    <w:rPr>
      <w:rFonts w:cs="Courier New"/>
      <w:sz w:val="24"/>
      <w:u w:val="single"/>
    </w:rPr>
  </w:style>
  <w:style w:type="paragraph" w:customStyle="1" w:styleId="Tabletitle">
    <w:name w:val="Table title"/>
    <w:basedOn w:val="Normal"/>
    <w:link w:val="TabletitleChar3"/>
    <w:qFormat/>
    <w:rsid w:val="00202123"/>
    <w:rPr>
      <w:rFonts w:ascii="Arial" w:hAnsi="Arial"/>
      <w:bCs/>
      <w:sz w:val="20"/>
    </w:rPr>
  </w:style>
  <w:style w:type="character" w:customStyle="1" w:styleId="TabletitleChar1">
    <w:name w:val="Table title Char1"/>
    <w:basedOn w:val="DefaultParagraphFont"/>
    <w:rsid w:val="0011303D"/>
    <w:rPr>
      <w:bCs/>
      <w:sz w:val="24"/>
      <w:szCs w:val="24"/>
      <w:lang w:val="en-US" w:eastAsia="en-US" w:bidi="ar-SA"/>
    </w:rPr>
  </w:style>
  <w:style w:type="paragraph" w:styleId="BodyTextIndent">
    <w:name w:val="Body Text Indent"/>
    <w:basedOn w:val="Normal"/>
    <w:link w:val="BodyTextIndentChar"/>
    <w:rsid w:val="0011303D"/>
    <w:pPr>
      <w:spacing w:after="120"/>
      <w:ind w:left="360"/>
    </w:pPr>
  </w:style>
  <w:style w:type="character" w:customStyle="1" w:styleId="BodyTextIndentChar">
    <w:name w:val="Body Text Indent Char"/>
    <w:basedOn w:val="DefaultParagraphFont"/>
    <w:link w:val="BodyTextIndent"/>
    <w:rsid w:val="006E4C28"/>
    <w:rPr>
      <w:sz w:val="24"/>
      <w:szCs w:val="24"/>
    </w:rPr>
  </w:style>
  <w:style w:type="paragraph" w:styleId="BodyTextIndent3">
    <w:name w:val="Body Text Indent 3"/>
    <w:basedOn w:val="Normal"/>
    <w:link w:val="BodyTextIndent3Char"/>
    <w:rsid w:val="0011303D"/>
    <w:pPr>
      <w:spacing w:after="120"/>
      <w:ind w:left="360"/>
    </w:pPr>
    <w:rPr>
      <w:sz w:val="16"/>
      <w:szCs w:val="16"/>
    </w:rPr>
  </w:style>
  <w:style w:type="character" w:customStyle="1" w:styleId="BodyTextIndent3Char">
    <w:name w:val="Body Text Indent 3 Char"/>
    <w:basedOn w:val="DefaultParagraphFont"/>
    <w:link w:val="BodyTextIndent3"/>
    <w:locked/>
    <w:rsid w:val="008357AC"/>
    <w:rPr>
      <w:sz w:val="16"/>
      <w:szCs w:val="16"/>
    </w:rPr>
  </w:style>
  <w:style w:type="paragraph" w:customStyle="1" w:styleId="CM3">
    <w:name w:val="CM3"/>
    <w:basedOn w:val="Normal"/>
    <w:next w:val="Normal"/>
    <w:rsid w:val="0011303D"/>
    <w:pPr>
      <w:autoSpaceDE w:val="0"/>
      <w:autoSpaceDN w:val="0"/>
      <w:adjustRightInd w:val="0"/>
      <w:spacing w:line="271" w:lineRule="auto"/>
    </w:pPr>
  </w:style>
  <w:style w:type="character" w:styleId="Strong">
    <w:name w:val="Strong"/>
    <w:basedOn w:val="DefaultParagraphFont"/>
    <w:uiPriority w:val="22"/>
    <w:qFormat/>
    <w:rsid w:val="0029309D"/>
    <w:rPr>
      <w:b/>
      <w:bCs/>
    </w:rPr>
  </w:style>
  <w:style w:type="character" w:customStyle="1" w:styleId="moz-txt-tag">
    <w:name w:val="moz-txt-tag"/>
    <w:basedOn w:val="DefaultParagraphFont"/>
    <w:rsid w:val="0011303D"/>
  </w:style>
  <w:style w:type="paragraph" w:styleId="FootnoteText">
    <w:name w:val="footnote text"/>
    <w:basedOn w:val="Normal"/>
    <w:link w:val="FootnoteTextChar1"/>
    <w:rsid w:val="0011303D"/>
    <w:rPr>
      <w:sz w:val="20"/>
      <w:szCs w:val="20"/>
    </w:rPr>
  </w:style>
  <w:style w:type="character" w:customStyle="1" w:styleId="FootnoteTextChar1">
    <w:name w:val="Footnote Text Char1"/>
    <w:basedOn w:val="DefaultParagraphFont"/>
    <w:link w:val="FootnoteText"/>
    <w:locked/>
    <w:rsid w:val="008357AC"/>
  </w:style>
  <w:style w:type="paragraph" w:styleId="BalloonText">
    <w:name w:val="Balloon Text"/>
    <w:basedOn w:val="Normal"/>
    <w:link w:val="BalloonTextChar"/>
    <w:uiPriority w:val="99"/>
    <w:rsid w:val="0011303D"/>
    <w:rPr>
      <w:rFonts w:ascii="Tahoma" w:hAnsi="Tahoma" w:cs="Tahoma"/>
      <w:sz w:val="16"/>
      <w:szCs w:val="16"/>
    </w:rPr>
  </w:style>
  <w:style w:type="character" w:customStyle="1" w:styleId="BalloonTextChar">
    <w:name w:val="Balloon Text Char"/>
    <w:basedOn w:val="DefaultParagraphFont"/>
    <w:link w:val="BalloonText"/>
    <w:uiPriority w:val="99"/>
    <w:rsid w:val="009300C7"/>
    <w:rPr>
      <w:rFonts w:ascii="Tahoma" w:hAnsi="Tahoma" w:cs="Tahoma"/>
      <w:sz w:val="16"/>
      <w:szCs w:val="16"/>
    </w:rPr>
  </w:style>
  <w:style w:type="paragraph" w:customStyle="1" w:styleId="Heading11">
    <w:name w:val="Heading 11"/>
    <w:rsid w:val="0011303D"/>
    <w:rPr>
      <w:rFonts w:ascii="Courier" w:hAnsi="Courier"/>
      <w:b/>
      <w:u w:val="single"/>
    </w:rPr>
  </w:style>
  <w:style w:type="character" w:customStyle="1" w:styleId="TabletitleChar">
    <w:name w:val="Table title Char"/>
    <w:basedOn w:val="DefaultParagraphFont"/>
    <w:rsid w:val="0011303D"/>
    <w:rPr>
      <w:bCs/>
      <w:sz w:val="24"/>
      <w:szCs w:val="24"/>
      <w:lang w:val="en-US" w:eastAsia="en-US" w:bidi="ar-SA"/>
    </w:rPr>
  </w:style>
  <w:style w:type="paragraph" w:customStyle="1" w:styleId="Heading5best">
    <w:name w:val="Heading 5 best"/>
    <w:basedOn w:val="Heading4"/>
    <w:rsid w:val="0011303D"/>
    <w:pPr>
      <w:widowControl w:val="0"/>
      <w:tabs>
        <w:tab w:val="num" w:pos="1440"/>
      </w:tabs>
      <w:autoSpaceDE w:val="0"/>
      <w:autoSpaceDN w:val="0"/>
      <w:adjustRightInd w:val="0"/>
      <w:ind w:left="1440" w:hanging="1440"/>
    </w:pPr>
    <w:rPr>
      <w:b w:val="0"/>
      <w:bCs w:val="0"/>
      <w:sz w:val="24"/>
    </w:rPr>
  </w:style>
  <w:style w:type="paragraph" w:styleId="Footer">
    <w:name w:val="footer"/>
    <w:basedOn w:val="Normal"/>
    <w:uiPriority w:val="99"/>
    <w:rsid w:val="0011303D"/>
    <w:pPr>
      <w:tabs>
        <w:tab w:val="center" w:pos="4320"/>
        <w:tab w:val="right" w:pos="8640"/>
      </w:tabs>
    </w:pPr>
  </w:style>
  <w:style w:type="character" w:styleId="PageNumber">
    <w:name w:val="page number"/>
    <w:basedOn w:val="DefaultParagraphFont"/>
    <w:uiPriority w:val="99"/>
    <w:rsid w:val="0011303D"/>
  </w:style>
  <w:style w:type="paragraph" w:customStyle="1" w:styleId="Level4">
    <w:name w:val="Level 4"/>
    <w:basedOn w:val="Normal"/>
    <w:rsid w:val="0011303D"/>
    <w:pPr>
      <w:widowControl w:val="0"/>
      <w:autoSpaceDE w:val="0"/>
      <w:autoSpaceDN w:val="0"/>
      <w:adjustRightInd w:val="0"/>
      <w:outlineLvl w:val="3"/>
    </w:pPr>
    <w:rPr>
      <w:sz w:val="20"/>
    </w:rPr>
  </w:style>
  <w:style w:type="paragraph" w:customStyle="1" w:styleId="month">
    <w:name w:val="month"/>
    <w:basedOn w:val="Normal"/>
    <w:rsid w:val="0011303D"/>
    <w:rPr>
      <w:rFonts w:ascii="Times" w:hAnsi="Times"/>
      <w:b/>
      <w:szCs w:val="20"/>
    </w:rPr>
  </w:style>
  <w:style w:type="paragraph" w:customStyle="1" w:styleId="a">
    <w:name w:val="ö"/>
    <w:basedOn w:val="Normal"/>
    <w:rsid w:val="0011303D"/>
    <w:pPr>
      <w:widowControl w:val="0"/>
      <w:tabs>
        <w:tab w:val="left" w:pos="720"/>
      </w:tabs>
      <w:autoSpaceDE w:val="0"/>
      <w:autoSpaceDN w:val="0"/>
      <w:adjustRightInd w:val="0"/>
      <w:ind w:left="720" w:hanging="720"/>
      <w:outlineLvl w:val="0"/>
    </w:pPr>
  </w:style>
  <w:style w:type="paragraph" w:customStyle="1" w:styleId="xl44">
    <w:name w:val="xl44"/>
    <w:basedOn w:val="Normal"/>
    <w:rsid w:val="0011303D"/>
    <w:pPr>
      <w:pBdr>
        <w:left w:val="single" w:sz="8" w:space="0" w:color="auto"/>
        <w:right w:val="single" w:sz="8" w:space="0" w:color="auto"/>
      </w:pBdr>
      <w:spacing w:before="100" w:after="100"/>
      <w:textAlignment w:val="top"/>
    </w:pPr>
    <w:rPr>
      <w:rFonts w:ascii="Arial" w:eastAsia="Arial Unicode MS" w:hAnsi="Arial"/>
      <w:sz w:val="16"/>
    </w:rPr>
  </w:style>
  <w:style w:type="paragraph" w:styleId="Header">
    <w:name w:val="header"/>
    <w:basedOn w:val="Normal"/>
    <w:link w:val="HeaderChar"/>
    <w:uiPriority w:val="99"/>
    <w:rsid w:val="0011303D"/>
    <w:pPr>
      <w:tabs>
        <w:tab w:val="center" w:pos="4320"/>
        <w:tab w:val="right" w:pos="8640"/>
      </w:tabs>
    </w:pPr>
  </w:style>
  <w:style w:type="character" w:customStyle="1" w:styleId="HeaderChar">
    <w:name w:val="Header Char"/>
    <w:basedOn w:val="DefaultParagraphFont"/>
    <w:link w:val="Header"/>
    <w:uiPriority w:val="99"/>
    <w:locked/>
    <w:rsid w:val="008357AC"/>
    <w:rPr>
      <w:sz w:val="24"/>
      <w:szCs w:val="24"/>
    </w:rPr>
  </w:style>
  <w:style w:type="character" w:customStyle="1" w:styleId="EmailStyle48">
    <w:name w:val="EmailStyle48"/>
    <w:basedOn w:val="DefaultParagraphFont"/>
    <w:semiHidden/>
    <w:rsid w:val="0011303D"/>
    <w:rPr>
      <w:rFonts w:ascii="Arial" w:hAnsi="Arial" w:cs="Arial" w:hint="default"/>
      <w:color w:val="auto"/>
      <w:sz w:val="20"/>
      <w:szCs w:val="20"/>
    </w:rPr>
  </w:style>
  <w:style w:type="paragraph" w:styleId="BodyTextIndent2">
    <w:name w:val="Body Text Indent 2"/>
    <w:basedOn w:val="Normal"/>
    <w:link w:val="BodyTextIndent2Char"/>
    <w:rsid w:val="0011303D"/>
    <w:pPr>
      <w:spacing w:after="120" w:line="480" w:lineRule="auto"/>
      <w:ind w:left="360"/>
    </w:pPr>
  </w:style>
  <w:style w:type="character" w:customStyle="1" w:styleId="BodyTextIndent2Char">
    <w:name w:val="Body Text Indent 2 Char"/>
    <w:basedOn w:val="DefaultParagraphFont"/>
    <w:link w:val="BodyTextIndent2"/>
    <w:locked/>
    <w:rsid w:val="008357AC"/>
    <w:rPr>
      <w:sz w:val="24"/>
      <w:szCs w:val="24"/>
    </w:rPr>
  </w:style>
  <w:style w:type="paragraph" w:styleId="Subtitle">
    <w:name w:val="Subtitle"/>
    <w:basedOn w:val="Normal"/>
    <w:link w:val="SubtitleChar"/>
    <w:qFormat/>
    <w:rsid w:val="0011303D"/>
    <w:pPr>
      <w:ind w:left="1440" w:hanging="1440"/>
    </w:pPr>
    <w:rPr>
      <w:b/>
      <w:bCs/>
      <w:u w:val="single"/>
    </w:rPr>
  </w:style>
  <w:style w:type="character" w:customStyle="1" w:styleId="SubtitleChar">
    <w:name w:val="Subtitle Char"/>
    <w:basedOn w:val="DefaultParagraphFont"/>
    <w:link w:val="Subtitle"/>
    <w:locked/>
    <w:rsid w:val="008357AC"/>
    <w:rPr>
      <w:b/>
      <w:bCs/>
      <w:sz w:val="24"/>
      <w:szCs w:val="24"/>
      <w:u w:val="single"/>
    </w:rPr>
  </w:style>
  <w:style w:type="character" w:styleId="Hyperlink">
    <w:name w:val="Hyperlink"/>
    <w:basedOn w:val="DefaultParagraphFont"/>
    <w:uiPriority w:val="99"/>
    <w:rsid w:val="0011303D"/>
    <w:rPr>
      <w:color w:val="0000FF"/>
      <w:u w:val="single"/>
    </w:rPr>
  </w:style>
  <w:style w:type="paragraph" w:customStyle="1" w:styleId="Figuretitle">
    <w:name w:val="Figure title"/>
    <w:basedOn w:val="Normal"/>
    <w:link w:val="FiguretitleChar1"/>
    <w:qFormat/>
    <w:rsid w:val="0011303D"/>
  </w:style>
  <w:style w:type="paragraph" w:styleId="CommentText">
    <w:name w:val="annotation text"/>
    <w:basedOn w:val="Normal"/>
    <w:link w:val="CommentTextChar"/>
    <w:uiPriority w:val="99"/>
    <w:rsid w:val="0011303D"/>
    <w:rPr>
      <w:sz w:val="20"/>
      <w:szCs w:val="20"/>
    </w:rPr>
  </w:style>
  <w:style w:type="character" w:customStyle="1" w:styleId="CommentTextChar">
    <w:name w:val="Comment Text Char"/>
    <w:basedOn w:val="DefaultParagraphFont"/>
    <w:link w:val="CommentText"/>
    <w:uiPriority w:val="99"/>
    <w:locked/>
    <w:rsid w:val="008357AC"/>
  </w:style>
  <w:style w:type="paragraph" w:styleId="CommentSubject">
    <w:name w:val="annotation subject"/>
    <w:basedOn w:val="CommentText"/>
    <w:next w:val="CommentText"/>
    <w:link w:val="CommentSubjectChar"/>
    <w:uiPriority w:val="99"/>
    <w:rsid w:val="0011303D"/>
    <w:rPr>
      <w:b/>
      <w:bCs/>
    </w:rPr>
  </w:style>
  <w:style w:type="character" w:customStyle="1" w:styleId="CommentSubjectChar">
    <w:name w:val="Comment Subject Char"/>
    <w:basedOn w:val="DefaultParagraphFont"/>
    <w:link w:val="CommentSubject"/>
    <w:uiPriority w:val="99"/>
    <w:rsid w:val="009300C7"/>
    <w:rPr>
      <w:b/>
      <w:bCs/>
    </w:rPr>
  </w:style>
  <w:style w:type="paragraph" w:customStyle="1" w:styleId="xl30">
    <w:name w:val="xl30"/>
    <w:basedOn w:val="Normal"/>
    <w:rsid w:val="0011303D"/>
    <w:pPr>
      <w:pBdr>
        <w:left w:val="single" w:sz="4" w:space="0" w:color="auto"/>
        <w:bottom w:val="single" w:sz="4" w:space="0" w:color="auto"/>
        <w:right w:val="single" w:sz="4" w:space="0" w:color="auto"/>
      </w:pBdr>
      <w:spacing w:before="100" w:after="100"/>
      <w:jc w:val="center"/>
    </w:pPr>
    <w:rPr>
      <w:rFonts w:ascii="Arial" w:eastAsia="Arial Unicode MS" w:hAnsi="Arial"/>
      <w:sz w:val="16"/>
    </w:rPr>
  </w:style>
  <w:style w:type="character" w:customStyle="1" w:styleId="title11">
    <w:name w:val="title11"/>
    <w:basedOn w:val="DefaultParagraphFont"/>
    <w:rsid w:val="0011303D"/>
    <w:rPr>
      <w:rFonts w:ascii="Arial" w:hAnsi="Arial" w:cs="Arial" w:hint="default"/>
      <w:b/>
      <w:bCs/>
      <w:color w:val="993333"/>
      <w:sz w:val="36"/>
      <w:szCs w:val="36"/>
    </w:rPr>
  </w:style>
  <w:style w:type="paragraph" w:styleId="NormalWeb">
    <w:name w:val="Normal (Web)"/>
    <w:basedOn w:val="Normal"/>
    <w:uiPriority w:val="99"/>
    <w:rsid w:val="0011303D"/>
    <w:pPr>
      <w:spacing w:before="100" w:beforeAutospacing="1" w:after="100" w:afterAutospacing="1"/>
    </w:pPr>
  </w:style>
  <w:style w:type="paragraph" w:customStyle="1" w:styleId="Default">
    <w:name w:val="Default"/>
    <w:uiPriority w:val="99"/>
    <w:rsid w:val="0011303D"/>
    <w:pPr>
      <w:autoSpaceDE w:val="0"/>
      <w:autoSpaceDN w:val="0"/>
      <w:adjustRightInd w:val="0"/>
    </w:pPr>
    <w:rPr>
      <w:color w:val="000000"/>
    </w:rPr>
  </w:style>
  <w:style w:type="paragraph" w:styleId="ListBullet">
    <w:name w:val="List Bullet"/>
    <w:basedOn w:val="Normal"/>
    <w:autoRedefine/>
    <w:rsid w:val="0011303D"/>
    <w:pPr>
      <w:outlineLvl w:val="0"/>
    </w:pPr>
    <w:rPr>
      <w:rFonts w:ascii="Arial" w:hAnsi="Arial" w:cs="Arial"/>
      <w:sz w:val="20"/>
      <w:szCs w:val="20"/>
    </w:rPr>
  </w:style>
  <w:style w:type="paragraph" w:styleId="List">
    <w:name w:val="List"/>
    <w:basedOn w:val="Normal"/>
    <w:rsid w:val="0011303D"/>
    <w:pPr>
      <w:ind w:left="360" w:hanging="360"/>
    </w:pPr>
  </w:style>
  <w:style w:type="character" w:styleId="LineNumber">
    <w:name w:val="line number"/>
    <w:basedOn w:val="DefaultParagraphFont"/>
    <w:rsid w:val="0011303D"/>
  </w:style>
  <w:style w:type="paragraph" w:styleId="BodyText3">
    <w:name w:val="Body Text 3"/>
    <w:basedOn w:val="Normal"/>
    <w:link w:val="BodyText3Char"/>
    <w:rsid w:val="0011303D"/>
    <w:pPr>
      <w:spacing w:after="120"/>
    </w:pPr>
    <w:rPr>
      <w:sz w:val="16"/>
      <w:szCs w:val="16"/>
    </w:rPr>
  </w:style>
  <w:style w:type="character" w:customStyle="1" w:styleId="BodyText3Char">
    <w:name w:val="Body Text 3 Char"/>
    <w:basedOn w:val="DefaultParagraphFont"/>
    <w:link w:val="BodyText3"/>
    <w:locked/>
    <w:rsid w:val="008357AC"/>
    <w:rPr>
      <w:sz w:val="16"/>
      <w:szCs w:val="16"/>
    </w:rPr>
  </w:style>
  <w:style w:type="paragraph" w:customStyle="1" w:styleId="BodyText2">
    <w:name w:val="Body Text 2*"/>
    <w:basedOn w:val="Normal"/>
    <w:rsid w:val="0011303D"/>
    <w:pPr>
      <w:ind w:left="360" w:hanging="360"/>
    </w:pPr>
    <w:rPr>
      <w:szCs w:val="20"/>
      <w:lang w:val="en-GB"/>
    </w:rPr>
  </w:style>
  <w:style w:type="paragraph" w:customStyle="1" w:styleId="Level8">
    <w:name w:val="Level 8"/>
    <w:rsid w:val="0011303D"/>
    <w:pPr>
      <w:autoSpaceDE w:val="0"/>
      <w:autoSpaceDN w:val="0"/>
      <w:adjustRightInd w:val="0"/>
      <w:ind w:left="-1440"/>
    </w:pPr>
  </w:style>
  <w:style w:type="paragraph" w:customStyle="1" w:styleId="Legal1">
    <w:name w:val="Legal 1"/>
    <w:basedOn w:val="Normal"/>
    <w:rsid w:val="0011303D"/>
    <w:pPr>
      <w:widowControl w:val="0"/>
      <w:tabs>
        <w:tab w:val="num" w:pos="720"/>
      </w:tabs>
      <w:autoSpaceDE w:val="0"/>
      <w:autoSpaceDN w:val="0"/>
      <w:adjustRightInd w:val="0"/>
      <w:ind w:left="360" w:hanging="360"/>
      <w:outlineLvl w:val="0"/>
    </w:pPr>
  </w:style>
  <w:style w:type="paragraph" w:customStyle="1" w:styleId="Legal4">
    <w:name w:val="Legal 4"/>
    <w:basedOn w:val="Normal"/>
    <w:rsid w:val="0011303D"/>
    <w:pPr>
      <w:widowControl w:val="0"/>
      <w:autoSpaceDE w:val="0"/>
      <w:autoSpaceDN w:val="0"/>
      <w:adjustRightInd w:val="0"/>
      <w:ind w:left="1800" w:hanging="360"/>
      <w:outlineLvl w:val="3"/>
    </w:pPr>
  </w:style>
  <w:style w:type="paragraph" w:customStyle="1" w:styleId="Legal6">
    <w:name w:val="Legal 6"/>
    <w:basedOn w:val="Normal"/>
    <w:rsid w:val="0011303D"/>
    <w:pPr>
      <w:widowControl w:val="0"/>
      <w:autoSpaceDE w:val="0"/>
      <w:autoSpaceDN w:val="0"/>
      <w:adjustRightInd w:val="0"/>
      <w:ind w:left="3960" w:hanging="720"/>
      <w:outlineLvl w:val="5"/>
    </w:pPr>
  </w:style>
  <w:style w:type="character" w:styleId="FollowedHyperlink">
    <w:name w:val="FollowedHyperlink"/>
    <w:basedOn w:val="DefaultParagraphFont"/>
    <w:uiPriority w:val="99"/>
    <w:rsid w:val="0011303D"/>
    <w:rPr>
      <w:color w:val="800080"/>
      <w:u w:val="single"/>
    </w:rPr>
  </w:style>
  <w:style w:type="paragraph" w:styleId="TOC1">
    <w:name w:val="toc 1"/>
    <w:basedOn w:val="Normal"/>
    <w:next w:val="Normal"/>
    <w:autoRedefine/>
    <w:uiPriority w:val="39"/>
    <w:rsid w:val="00BE4012"/>
    <w:pPr>
      <w:tabs>
        <w:tab w:val="right" w:leader="dot" w:pos="8630"/>
      </w:tabs>
      <w:ind w:left="360" w:hanging="360"/>
    </w:pPr>
    <w:rPr>
      <w:noProof/>
    </w:rPr>
  </w:style>
  <w:style w:type="paragraph" w:styleId="TOC2">
    <w:name w:val="toc 2"/>
    <w:aliases w:val="TOC 2a"/>
    <w:basedOn w:val="Normal"/>
    <w:next w:val="Normal"/>
    <w:autoRedefine/>
    <w:uiPriority w:val="39"/>
    <w:rsid w:val="00053EA9"/>
    <w:pPr>
      <w:tabs>
        <w:tab w:val="left" w:pos="1260"/>
        <w:tab w:val="left" w:pos="1980"/>
        <w:tab w:val="right" w:leader="dot" w:pos="8630"/>
      </w:tabs>
      <w:ind w:left="540"/>
    </w:pPr>
    <w:rPr>
      <w:rFonts w:ascii="Arial" w:hAnsi="Arial" w:cs="Arial"/>
      <w:b/>
      <w:bCs/>
      <w:iCs/>
      <w:noProof/>
      <w:lang w:val="x-none" w:eastAsia="x-none"/>
    </w:rPr>
  </w:style>
  <w:style w:type="paragraph" w:styleId="TOC3">
    <w:name w:val="toc 3"/>
    <w:basedOn w:val="Normal"/>
    <w:next w:val="Normal"/>
    <w:autoRedefine/>
    <w:uiPriority w:val="39"/>
    <w:rsid w:val="005C4AEE"/>
    <w:pPr>
      <w:tabs>
        <w:tab w:val="left" w:pos="1260"/>
        <w:tab w:val="left" w:pos="1980"/>
        <w:tab w:val="right" w:leader="dot" w:pos="8630"/>
      </w:tabs>
      <w:ind w:left="480" w:firstLine="240"/>
    </w:pPr>
    <w:rPr>
      <w:rFonts w:eastAsiaTheme="majorEastAsia"/>
      <w:bCs/>
      <w:noProof/>
    </w:rPr>
  </w:style>
  <w:style w:type="paragraph" w:styleId="DocumentMap">
    <w:name w:val="Document Map"/>
    <w:basedOn w:val="Normal"/>
    <w:link w:val="DocumentMapChar"/>
    <w:uiPriority w:val="99"/>
    <w:rsid w:val="0011303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locked/>
    <w:rsid w:val="008357AC"/>
    <w:rPr>
      <w:rFonts w:ascii="Tahoma" w:hAnsi="Tahoma" w:cs="Tahoma"/>
      <w:shd w:val="clear" w:color="auto" w:fill="000080"/>
    </w:rPr>
  </w:style>
  <w:style w:type="paragraph" w:styleId="TOC4">
    <w:name w:val="toc 4"/>
    <w:basedOn w:val="Normal"/>
    <w:next w:val="Normal"/>
    <w:autoRedefine/>
    <w:uiPriority w:val="39"/>
    <w:rsid w:val="002437D4"/>
    <w:pPr>
      <w:tabs>
        <w:tab w:val="left" w:pos="1260"/>
        <w:tab w:val="left" w:pos="1980"/>
        <w:tab w:val="left" w:pos="2700"/>
        <w:tab w:val="right" w:leader="dot" w:pos="8630"/>
      </w:tabs>
      <w:ind w:left="2700" w:hanging="2250"/>
    </w:pPr>
    <w:rPr>
      <w:noProof/>
    </w:rPr>
  </w:style>
  <w:style w:type="paragraph" w:styleId="TOC5">
    <w:name w:val="toc 5"/>
    <w:basedOn w:val="Normal"/>
    <w:next w:val="Normal"/>
    <w:autoRedefine/>
    <w:uiPriority w:val="39"/>
    <w:rsid w:val="0011303D"/>
    <w:pPr>
      <w:ind w:left="960"/>
    </w:pPr>
  </w:style>
  <w:style w:type="paragraph" w:customStyle="1" w:styleId="xl24">
    <w:name w:val="xl24"/>
    <w:basedOn w:val="Normal"/>
    <w:rsid w:val="0011303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25">
    <w:name w:val="xl25"/>
    <w:basedOn w:val="Normal"/>
    <w:rsid w:val="0011303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26">
    <w:name w:val="xl26"/>
    <w:basedOn w:val="Normal"/>
    <w:rsid w:val="0011303D"/>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27">
    <w:name w:val="xl27"/>
    <w:basedOn w:val="Normal"/>
    <w:rsid w:val="0011303D"/>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xl28">
    <w:name w:val="xl28"/>
    <w:basedOn w:val="Normal"/>
    <w:rsid w:val="0011303D"/>
    <w:pPr>
      <w:pBdr>
        <w:bottom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29">
    <w:name w:val="xl29"/>
    <w:basedOn w:val="Normal"/>
    <w:rsid w:val="0011303D"/>
    <w:pPr>
      <w:pBdr>
        <w:bottom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31">
    <w:name w:val="xl31"/>
    <w:basedOn w:val="Normal"/>
    <w:rsid w:val="001130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2">
    <w:name w:val="xl32"/>
    <w:basedOn w:val="Normal"/>
    <w:rsid w:val="0011303D"/>
    <w:pPr>
      <w:pBdr>
        <w:top w:val="single" w:sz="4" w:space="0" w:color="auto"/>
        <w:left w:val="single" w:sz="4" w:space="0" w:color="auto"/>
        <w:right w:val="single" w:sz="4" w:space="0" w:color="auto"/>
      </w:pBdr>
      <w:spacing w:before="100" w:beforeAutospacing="1" w:after="100" w:afterAutospacing="1"/>
    </w:pPr>
    <w:rPr>
      <w:rFonts w:eastAsia="Arial Unicode MS"/>
    </w:rPr>
  </w:style>
  <w:style w:type="paragraph" w:customStyle="1" w:styleId="xl33">
    <w:name w:val="xl33"/>
    <w:basedOn w:val="Normal"/>
    <w:rsid w:val="0011303D"/>
    <w:pPr>
      <w:pBdr>
        <w:left w:val="single" w:sz="4" w:space="0" w:color="auto"/>
        <w:right w:val="single" w:sz="4" w:space="0" w:color="auto"/>
      </w:pBdr>
      <w:spacing w:before="100" w:beforeAutospacing="1" w:after="100" w:afterAutospacing="1"/>
    </w:pPr>
    <w:rPr>
      <w:rFonts w:eastAsia="Arial Unicode MS"/>
    </w:rPr>
  </w:style>
  <w:style w:type="paragraph" w:customStyle="1" w:styleId="xl34">
    <w:name w:val="xl34"/>
    <w:basedOn w:val="Normal"/>
    <w:rsid w:val="0011303D"/>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eastAsia="Arial Unicode MS"/>
      <w:b/>
      <w:bCs/>
    </w:rPr>
  </w:style>
  <w:style w:type="paragraph" w:customStyle="1" w:styleId="xl35">
    <w:name w:val="xl35"/>
    <w:basedOn w:val="Normal"/>
    <w:rsid w:val="0011303D"/>
    <w:pPr>
      <w:pBdr>
        <w:top w:val="single" w:sz="4" w:space="0" w:color="auto"/>
        <w:bottom w:val="single" w:sz="4" w:space="0" w:color="auto"/>
        <w:right w:val="single" w:sz="4" w:space="0" w:color="000000"/>
      </w:pBdr>
      <w:shd w:val="clear" w:color="auto" w:fill="C0C0C0"/>
      <w:spacing w:before="100" w:beforeAutospacing="1" w:after="100" w:afterAutospacing="1"/>
      <w:jc w:val="center"/>
    </w:pPr>
    <w:rPr>
      <w:rFonts w:eastAsia="Arial Unicode MS"/>
      <w:b/>
      <w:bCs/>
    </w:rPr>
  </w:style>
  <w:style w:type="paragraph" w:customStyle="1" w:styleId="xl36">
    <w:name w:val="xl36"/>
    <w:basedOn w:val="Normal"/>
    <w:rsid w:val="0011303D"/>
    <w:pPr>
      <w:pBdr>
        <w:top w:val="single" w:sz="4" w:space="0" w:color="auto"/>
        <w:left w:val="single" w:sz="4" w:space="0" w:color="000000"/>
        <w:bottom w:val="single" w:sz="4" w:space="0" w:color="auto"/>
      </w:pBdr>
      <w:shd w:val="clear" w:color="auto" w:fill="C0C0C0"/>
      <w:spacing w:before="100" w:beforeAutospacing="1" w:after="100" w:afterAutospacing="1"/>
      <w:jc w:val="center"/>
    </w:pPr>
    <w:rPr>
      <w:rFonts w:eastAsia="Arial Unicode MS"/>
      <w:b/>
      <w:bCs/>
    </w:rPr>
  </w:style>
  <w:style w:type="paragraph" w:customStyle="1" w:styleId="xl37">
    <w:name w:val="xl37"/>
    <w:basedOn w:val="Normal"/>
    <w:rsid w:val="0011303D"/>
    <w:pPr>
      <w:pBdr>
        <w:bottom w:val="single" w:sz="4" w:space="0" w:color="auto"/>
        <w:right w:val="single" w:sz="4" w:space="0" w:color="auto"/>
      </w:pBdr>
      <w:shd w:val="clear" w:color="auto" w:fill="FFFFFF"/>
      <w:spacing w:before="100" w:beforeAutospacing="1" w:after="100" w:afterAutospacing="1"/>
      <w:jc w:val="center"/>
    </w:pPr>
    <w:rPr>
      <w:rFonts w:eastAsia="Arial Unicode MS"/>
    </w:rPr>
  </w:style>
  <w:style w:type="paragraph" w:customStyle="1" w:styleId="xl38">
    <w:name w:val="xl38"/>
    <w:basedOn w:val="Normal"/>
    <w:rsid w:val="0011303D"/>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39">
    <w:name w:val="xl39"/>
    <w:basedOn w:val="Normal"/>
    <w:rsid w:val="0011303D"/>
    <w:pPr>
      <w:pBdr>
        <w:left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character" w:styleId="EndnoteReference">
    <w:name w:val="endnote reference"/>
    <w:basedOn w:val="DefaultParagraphFont"/>
    <w:rsid w:val="0011303D"/>
    <w:rPr>
      <w:vertAlign w:val="superscript"/>
    </w:rPr>
  </w:style>
  <w:style w:type="paragraph" w:customStyle="1" w:styleId="xl40">
    <w:name w:val="xl40"/>
    <w:basedOn w:val="Normal"/>
    <w:rsid w:val="0011303D"/>
    <w:pPr>
      <w:pBdr>
        <w:bottom w:val="double" w:sz="6" w:space="0" w:color="auto"/>
        <w:right w:val="single" w:sz="4" w:space="0" w:color="auto"/>
      </w:pBdr>
      <w:shd w:val="clear" w:color="auto" w:fill="FFFFFF"/>
      <w:spacing w:before="100" w:beforeAutospacing="1" w:after="100" w:afterAutospacing="1"/>
      <w:jc w:val="center"/>
    </w:pPr>
    <w:rPr>
      <w:rFonts w:eastAsia="Arial Unicode MS"/>
    </w:rPr>
  </w:style>
  <w:style w:type="paragraph" w:customStyle="1" w:styleId="xl41">
    <w:name w:val="xl41"/>
    <w:basedOn w:val="Normal"/>
    <w:rsid w:val="0011303D"/>
    <w:pPr>
      <w:pBdr>
        <w:right w:val="single" w:sz="4" w:space="0" w:color="auto"/>
      </w:pBdr>
      <w:shd w:val="clear" w:color="auto" w:fill="FFFFFF"/>
      <w:spacing w:before="100" w:beforeAutospacing="1" w:after="100" w:afterAutospacing="1"/>
      <w:jc w:val="center"/>
    </w:pPr>
    <w:rPr>
      <w:rFonts w:eastAsia="Arial Unicode MS"/>
    </w:rPr>
  </w:style>
  <w:style w:type="paragraph" w:customStyle="1" w:styleId="xl42">
    <w:name w:val="xl42"/>
    <w:basedOn w:val="Normal"/>
    <w:rsid w:val="0011303D"/>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43">
    <w:name w:val="xl43"/>
    <w:basedOn w:val="Normal"/>
    <w:rsid w:val="0011303D"/>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rPr>
  </w:style>
  <w:style w:type="paragraph" w:customStyle="1" w:styleId="xl45">
    <w:name w:val="xl45"/>
    <w:basedOn w:val="Normal"/>
    <w:rsid w:val="0011303D"/>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46">
    <w:name w:val="xl46"/>
    <w:basedOn w:val="Normal"/>
    <w:rsid w:val="0011303D"/>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font5">
    <w:name w:val="font5"/>
    <w:basedOn w:val="Normal"/>
    <w:rsid w:val="0011303D"/>
    <w:pPr>
      <w:spacing w:before="100" w:beforeAutospacing="1" w:after="100" w:afterAutospacing="1"/>
    </w:pPr>
    <w:rPr>
      <w:rFonts w:eastAsia="Arial Unicode MS"/>
      <w:b/>
      <w:bCs/>
      <w:sz w:val="20"/>
      <w:szCs w:val="20"/>
    </w:rPr>
  </w:style>
  <w:style w:type="paragraph" w:customStyle="1" w:styleId="xl47">
    <w:name w:val="xl47"/>
    <w:basedOn w:val="Normal"/>
    <w:rsid w:val="0011303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11303D"/>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styleId="BodyText20">
    <w:name w:val="Body Text 2"/>
    <w:basedOn w:val="Normal"/>
    <w:link w:val="BodyText2Char"/>
    <w:rsid w:val="0011303D"/>
    <w:rPr>
      <w:color w:val="FFFFFF"/>
      <w:sz w:val="18"/>
    </w:rPr>
  </w:style>
  <w:style w:type="character" w:customStyle="1" w:styleId="BodyText2Char">
    <w:name w:val="Body Text 2 Char"/>
    <w:basedOn w:val="DefaultParagraphFont"/>
    <w:link w:val="BodyText20"/>
    <w:locked/>
    <w:rsid w:val="008357AC"/>
    <w:rPr>
      <w:color w:val="FFFFFF"/>
      <w:sz w:val="18"/>
      <w:szCs w:val="24"/>
    </w:rPr>
  </w:style>
  <w:style w:type="paragraph" w:customStyle="1" w:styleId="Level1">
    <w:name w:val="Level 1"/>
    <w:basedOn w:val="Normal"/>
    <w:rsid w:val="0011303D"/>
    <w:pPr>
      <w:widowControl w:val="0"/>
      <w:tabs>
        <w:tab w:val="num" w:pos="720"/>
      </w:tabs>
      <w:autoSpaceDE w:val="0"/>
      <w:autoSpaceDN w:val="0"/>
      <w:adjustRightInd w:val="0"/>
      <w:ind w:left="432" w:hanging="432"/>
      <w:outlineLvl w:val="0"/>
    </w:pPr>
    <w:rPr>
      <w:sz w:val="20"/>
    </w:rPr>
  </w:style>
  <w:style w:type="paragraph" w:customStyle="1" w:styleId="Level2">
    <w:name w:val="Level 2"/>
    <w:basedOn w:val="Normal"/>
    <w:rsid w:val="0011303D"/>
    <w:pPr>
      <w:widowControl w:val="0"/>
      <w:tabs>
        <w:tab w:val="num" w:pos="576"/>
      </w:tabs>
      <w:autoSpaceDE w:val="0"/>
      <w:autoSpaceDN w:val="0"/>
      <w:adjustRightInd w:val="0"/>
      <w:ind w:left="576" w:hanging="576"/>
      <w:outlineLvl w:val="1"/>
    </w:pPr>
    <w:rPr>
      <w:sz w:val="20"/>
    </w:rPr>
  </w:style>
  <w:style w:type="paragraph" w:customStyle="1" w:styleId="Level3">
    <w:name w:val="Level 3"/>
    <w:basedOn w:val="Normal"/>
    <w:rsid w:val="0011303D"/>
    <w:pPr>
      <w:widowControl w:val="0"/>
      <w:tabs>
        <w:tab w:val="num" w:pos="720"/>
      </w:tabs>
      <w:autoSpaceDE w:val="0"/>
      <w:autoSpaceDN w:val="0"/>
      <w:adjustRightInd w:val="0"/>
      <w:ind w:left="720" w:hanging="720"/>
      <w:outlineLvl w:val="2"/>
    </w:pPr>
    <w:rPr>
      <w:sz w:val="20"/>
    </w:rPr>
  </w:style>
  <w:style w:type="paragraph" w:customStyle="1" w:styleId="a0">
    <w:name w:val="û"/>
    <w:basedOn w:val="Normal"/>
    <w:rsid w:val="001130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outlineLvl w:val="5"/>
    </w:pPr>
  </w:style>
  <w:style w:type="paragraph" w:customStyle="1" w:styleId="a1">
    <w:name w:val="ü"/>
    <w:basedOn w:val="Normal"/>
    <w:rsid w:val="001130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outlineLvl w:val="6"/>
    </w:pPr>
  </w:style>
  <w:style w:type="paragraph" w:customStyle="1" w:styleId="a2">
    <w:name w:val="ý"/>
    <w:basedOn w:val="Normal"/>
    <w:rsid w:val="001130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outlineLvl w:val="7"/>
    </w:pPr>
  </w:style>
  <w:style w:type="paragraph" w:styleId="TOC6">
    <w:name w:val="toc 6"/>
    <w:basedOn w:val="Normal"/>
    <w:next w:val="Normal"/>
    <w:autoRedefine/>
    <w:uiPriority w:val="39"/>
    <w:rsid w:val="0011303D"/>
    <w:pPr>
      <w:ind w:left="1200"/>
    </w:pPr>
  </w:style>
  <w:style w:type="paragraph" w:styleId="TOC7">
    <w:name w:val="toc 7"/>
    <w:basedOn w:val="Normal"/>
    <w:next w:val="Normal"/>
    <w:autoRedefine/>
    <w:uiPriority w:val="39"/>
    <w:rsid w:val="0011303D"/>
    <w:pPr>
      <w:ind w:left="1440"/>
    </w:pPr>
  </w:style>
  <w:style w:type="paragraph" w:styleId="TOC8">
    <w:name w:val="toc 8"/>
    <w:basedOn w:val="Normal"/>
    <w:next w:val="Normal"/>
    <w:autoRedefine/>
    <w:uiPriority w:val="39"/>
    <w:rsid w:val="0011303D"/>
    <w:pPr>
      <w:ind w:left="1680"/>
    </w:pPr>
  </w:style>
  <w:style w:type="paragraph" w:styleId="TOC9">
    <w:name w:val="toc 9"/>
    <w:basedOn w:val="Normal"/>
    <w:next w:val="Normal"/>
    <w:autoRedefine/>
    <w:uiPriority w:val="39"/>
    <w:rsid w:val="0011303D"/>
    <w:pPr>
      <w:ind w:left="1920"/>
    </w:pPr>
  </w:style>
  <w:style w:type="paragraph" w:customStyle="1" w:styleId="Level5">
    <w:name w:val="Level 5"/>
    <w:basedOn w:val="Normal"/>
    <w:rsid w:val="0011303D"/>
    <w:pPr>
      <w:widowControl w:val="0"/>
      <w:tabs>
        <w:tab w:val="num" w:pos="1080"/>
      </w:tabs>
      <w:autoSpaceDE w:val="0"/>
      <w:autoSpaceDN w:val="0"/>
      <w:adjustRightInd w:val="0"/>
      <w:ind w:left="1008" w:hanging="1008"/>
      <w:outlineLvl w:val="4"/>
    </w:pPr>
    <w:rPr>
      <w:sz w:val="20"/>
    </w:rPr>
  </w:style>
  <w:style w:type="paragraph" w:customStyle="1" w:styleId="Level6">
    <w:name w:val="Level 6"/>
    <w:basedOn w:val="Normal"/>
    <w:rsid w:val="0011303D"/>
    <w:pPr>
      <w:widowControl w:val="0"/>
      <w:tabs>
        <w:tab w:val="num" w:pos="1800"/>
      </w:tabs>
      <w:autoSpaceDE w:val="0"/>
      <w:autoSpaceDN w:val="0"/>
      <w:adjustRightInd w:val="0"/>
      <w:ind w:left="1152" w:hanging="1152"/>
      <w:outlineLvl w:val="5"/>
    </w:pPr>
    <w:rPr>
      <w:sz w:val="20"/>
    </w:rPr>
  </w:style>
  <w:style w:type="paragraph" w:customStyle="1" w:styleId="Legal2">
    <w:name w:val="Legal 2"/>
    <w:basedOn w:val="Normal"/>
    <w:rsid w:val="0011303D"/>
    <w:pPr>
      <w:widowControl w:val="0"/>
      <w:autoSpaceDE w:val="0"/>
      <w:autoSpaceDN w:val="0"/>
      <w:adjustRightInd w:val="0"/>
      <w:ind w:left="720" w:hanging="360"/>
      <w:outlineLvl w:val="1"/>
    </w:pPr>
  </w:style>
  <w:style w:type="character" w:styleId="FootnoteReference">
    <w:name w:val="footnote reference"/>
    <w:basedOn w:val="DefaultParagraphFont"/>
    <w:uiPriority w:val="99"/>
    <w:rsid w:val="0011303D"/>
    <w:rPr>
      <w:vertAlign w:val="superscript"/>
    </w:rPr>
  </w:style>
  <w:style w:type="paragraph" w:styleId="PlainText">
    <w:name w:val="Plain Text"/>
    <w:basedOn w:val="Normal"/>
    <w:link w:val="PlainTextChar"/>
    <w:uiPriority w:val="99"/>
    <w:rsid w:val="0011303D"/>
    <w:rPr>
      <w:rFonts w:ascii="Courier New" w:hAnsi="Courier New" w:cs="Courier New"/>
      <w:sz w:val="20"/>
      <w:szCs w:val="20"/>
    </w:rPr>
  </w:style>
  <w:style w:type="character" w:customStyle="1" w:styleId="PlainTextChar">
    <w:name w:val="Plain Text Char"/>
    <w:basedOn w:val="DefaultParagraphFont"/>
    <w:link w:val="PlainText"/>
    <w:uiPriority w:val="99"/>
    <w:locked/>
    <w:rsid w:val="008357AC"/>
    <w:rPr>
      <w:rFonts w:ascii="Courier New" w:hAnsi="Courier New" w:cs="Courier New"/>
    </w:rPr>
  </w:style>
  <w:style w:type="character" w:customStyle="1" w:styleId="Heading1Char">
    <w:name w:val="Heading 1 Char"/>
    <w:basedOn w:val="DefaultParagraphFont"/>
    <w:uiPriority w:val="9"/>
    <w:rsid w:val="0011303D"/>
    <w:rPr>
      <w:rFonts w:cs="Arial"/>
      <w:b/>
      <w:bCs/>
      <w:smallCaps/>
      <w:kern w:val="32"/>
      <w:sz w:val="24"/>
      <w:szCs w:val="32"/>
      <w:lang w:val="en-US" w:eastAsia="en-US" w:bidi="ar-SA"/>
    </w:rPr>
  </w:style>
  <w:style w:type="paragraph" w:customStyle="1" w:styleId="Legal5">
    <w:name w:val="Legal 5"/>
    <w:rsid w:val="0011303D"/>
    <w:pPr>
      <w:widowControl w:val="0"/>
      <w:autoSpaceDE w:val="0"/>
      <w:autoSpaceDN w:val="0"/>
      <w:adjustRightInd w:val="0"/>
      <w:ind w:left="720"/>
      <w:jc w:val="both"/>
    </w:pPr>
  </w:style>
  <w:style w:type="paragraph" w:styleId="Title">
    <w:name w:val="Title"/>
    <w:basedOn w:val="Normal"/>
    <w:link w:val="TitleChar"/>
    <w:qFormat/>
    <w:rsid w:val="0011303D"/>
    <w:pPr>
      <w:widowControl w:val="0"/>
      <w:autoSpaceDE w:val="0"/>
      <w:autoSpaceDN w:val="0"/>
      <w:adjustRightInd w:val="0"/>
      <w:jc w:val="center"/>
    </w:pPr>
    <w:rPr>
      <w:b/>
      <w:bCs/>
    </w:rPr>
  </w:style>
  <w:style w:type="character" w:customStyle="1" w:styleId="TitleChar">
    <w:name w:val="Title Char"/>
    <w:basedOn w:val="DefaultParagraphFont"/>
    <w:link w:val="Title"/>
    <w:locked/>
    <w:rsid w:val="008357AC"/>
    <w:rPr>
      <w:b/>
      <w:bCs/>
      <w:sz w:val="24"/>
      <w:szCs w:val="24"/>
    </w:rPr>
  </w:style>
  <w:style w:type="paragraph" w:customStyle="1" w:styleId="Level7">
    <w:name w:val="Level 7"/>
    <w:rsid w:val="0011303D"/>
    <w:pPr>
      <w:autoSpaceDE w:val="0"/>
      <w:autoSpaceDN w:val="0"/>
      <w:adjustRightInd w:val="0"/>
      <w:ind w:left="-1440"/>
    </w:pPr>
  </w:style>
  <w:style w:type="paragraph" w:customStyle="1" w:styleId="Level9">
    <w:name w:val="Level 9"/>
    <w:rsid w:val="0011303D"/>
    <w:pPr>
      <w:autoSpaceDE w:val="0"/>
      <w:autoSpaceDN w:val="0"/>
      <w:adjustRightInd w:val="0"/>
      <w:ind w:left="-1440"/>
    </w:pPr>
    <w:rPr>
      <w:b/>
      <w:bCs/>
    </w:rPr>
  </w:style>
  <w:style w:type="paragraph" w:customStyle="1" w:styleId="Outline1">
    <w:name w:val="Outline 1"/>
    <w:basedOn w:val="Normal"/>
    <w:rsid w:val="0011303D"/>
    <w:pPr>
      <w:ind w:left="720"/>
    </w:pPr>
    <w:rPr>
      <w:sz w:val="20"/>
      <w:szCs w:val="20"/>
      <w:lang w:val="en-GB"/>
    </w:rPr>
  </w:style>
  <w:style w:type="paragraph" w:customStyle="1" w:styleId="Legal3">
    <w:name w:val="Legal 3"/>
    <w:basedOn w:val="Normal"/>
    <w:rsid w:val="0011303D"/>
    <w:pPr>
      <w:widowControl w:val="0"/>
      <w:autoSpaceDE w:val="0"/>
      <w:autoSpaceDN w:val="0"/>
      <w:adjustRightInd w:val="0"/>
      <w:ind w:left="1080" w:hanging="360"/>
      <w:outlineLvl w:val="2"/>
    </w:pPr>
  </w:style>
  <w:style w:type="paragraph" w:customStyle="1" w:styleId="Legal7">
    <w:name w:val="Legal 7"/>
    <w:basedOn w:val="Normal"/>
    <w:rsid w:val="0011303D"/>
    <w:pPr>
      <w:widowControl w:val="0"/>
      <w:autoSpaceDE w:val="0"/>
      <w:autoSpaceDN w:val="0"/>
      <w:adjustRightInd w:val="0"/>
      <w:ind w:left="5400" w:hanging="720"/>
      <w:outlineLvl w:val="6"/>
    </w:pPr>
  </w:style>
  <w:style w:type="paragraph" w:styleId="Index1">
    <w:name w:val="index 1"/>
    <w:basedOn w:val="Normal"/>
    <w:next w:val="Normal"/>
    <w:autoRedefine/>
    <w:uiPriority w:val="99"/>
    <w:rsid w:val="0011303D"/>
    <w:pPr>
      <w:tabs>
        <w:tab w:val="right" w:leader="dot" w:pos="4310"/>
      </w:tabs>
      <w:ind w:left="240" w:hanging="240"/>
    </w:pPr>
    <w:rPr>
      <w:noProof/>
      <w:sz w:val="18"/>
      <w:szCs w:val="18"/>
    </w:rPr>
  </w:style>
  <w:style w:type="paragraph" w:styleId="Caption">
    <w:name w:val="caption"/>
    <w:basedOn w:val="Normal"/>
    <w:next w:val="Normal"/>
    <w:uiPriority w:val="35"/>
    <w:qFormat/>
    <w:rsid w:val="0011303D"/>
    <w:pPr>
      <w:spacing w:before="120" w:after="120"/>
    </w:pPr>
    <w:rPr>
      <w:b/>
      <w:bCs/>
      <w:sz w:val="20"/>
      <w:szCs w:val="20"/>
    </w:rPr>
  </w:style>
  <w:style w:type="paragraph" w:styleId="EndnoteText">
    <w:name w:val="endnote text"/>
    <w:basedOn w:val="Normal"/>
    <w:link w:val="EndnoteTextChar"/>
    <w:rsid w:val="0011303D"/>
    <w:rPr>
      <w:sz w:val="20"/>
      <w:szCs w:val="20"/>
    </w:rPr>
  </w:style>
  <w:style w:type="character" w:customStyle="1" w:styleId="EndnoteTextChar">
    <w:name w:val="Endnote Text Char"/>
    <w:basedOn w:val="DefaultParagraphFont"/>
    <w:link w:val="EndnoteText"/>
    <w:locked/>
    <w:rsid w:val="008357AC"/>
  </w:style>
  <w:style w:type="character" w:customStyle="1" w:styleId="Bibliogrphy">
    <w:name w:val="Bibliogrphy"/>
    <w:basedOn w:val="DefaultParagraphFont"/>
    <w:rsid w:val="0011303D"/>
  </w:style>
  <w:style w:type="character" w:customStyle="1" w:styleId="FiguretitleChar">
    <w:name w:val="Figure title Char"/>
    <w:basedOn w:val="DefaultParagraphFont"/>
    <w:rsid w:val="0011303D"/>
    <w:rPr>
      <w:sz w:val="24"/>
      <w:szCs w:val="24"/>
      <w:lang w:val="en-US" w:eastAsia="en-US" w:bidi="ar-SA"/>
    </w:rPr>
  </w:style>
  <w:style w:type="paragraph" w:styleId="TableofFigures">
    <w:name w:val="table of figures"/>
    <w:aliases w:val="Table of Tables"/>
    <w:basedOn w:val="Normal"/>
    <w:next w:val="Normal"/>
    <w:uiPriority w:val="99"/>
    <w:rsid w:val="0011303D"/>
    <w:pPr>
      <w:ind w:left="480" w:hanging="480"/>
    </w:pPr>
  </w:style>
  <w:style w:type="paragraph" w:customStyle="1" w:styleId="font6">
    <w:name w:val="font6"/>
    <w:basedOn w:val="Normal"/>
    <w:rsid w:val="0011303D"/>
    <w:pPr>
      <w:spacing w:before="100" w:after="100"/>
    </w:pPr>
    <w:rPr>
      <w:rFonts w:ascii="Arial" w:eastAsia="Arial Unicode MS" w:hAnsi="Arial"/>
      <w:sz w:val="16"/>
    </w:rPr>
  </w:style>
  <w:style w:type="paragraph" w:customStyle="1" w:styleId="font7">
    <w:name w:val="font7"/>
    <w:basedOn w:val="Normal"/>
    <w:rsid w:val="0011303D"/>
    <w:pPr>
      <w:spacing w:before="100" w:after="100"/>
    </w:pPr>
    <w:rPr>
      <w:rFonts w:ascii="Arial" w:eastAsia="Arial Unicode MS" w:hAnsi="Arial"/>
      <w:b/>
      <w:sz w:val="16"/>
    </w:rPr>
  </w:style>
  <w:style w:type="paragraph" w:customStyle="1" w:styleId="font8">
    <w:name w:val="font8"/>
    <w:basedOn w:val="Normal"/>
    <w:rsid w:val="0011303D"/>
    <w:pPr>
      <w:spacing w:before="100" w:after="100"/>
    </w:pPr>
    <w:rPr>
      <w:rFonts w:ascii="Arial" w:eastAsia="Arial Unicode MS" w:hAnsi="Arial"/>
      <w:sz w:val="16"/>
    </w:rPr>
  </w:style>
  <w:style w:type="paragraph" w:customStyle="1" w:styleId="xl49">
    <w:name w:val="xl49"/>
    <w:basedOn w:val="Normal"/>
    <w:rsid w:val="0011303D"/>
    <w:pPr>
      <w:pBdr>
        <w:top w:val="single" w:sz="4" w:space="0" w:color="auto"/>
        <w:left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50">
    <w:name w:val="xl50"/>
    <w:basedOn w:val="Normal"/>
    <w:rsid w:val="0011303D"/>
    <w:pPr>
      <w:pBdr>
        <w:top w:val="single" w:sz="4" w:space="0" w:color="auto"/>
        <w:right w:val="single" w:sz="4" w:space="0" w:color="auto"/>
      </w:pBdr>
      <w:spacing w:before="100" w:after="100"/>
      <w:jc w:val="center"/>
    </w:pPr>
    <w:rPr>
      <w:rFonts w:ascii="Arial" w:eastAsia="Arial Unicode MS" w:hAnsi="Arial"/>
      <w:sz w:val="16"/>
    </w:rPr>
  </w:style>
  <w:style w:type="paragraph" w:customStyle="1" w:styleId="xl51">
    <w:name w:val="xl51"/>
    <w:basedOn w:val="Normal"/>
    <w:rsid w:val="0011303D"/>
    <w:pPr>
      <w:pBdr>
        <w:top w:val="single" w:sz="4" w:space="0" w:color="auto"/>
        <w:right w:val="single" w:sz="4" w:space="0" w:color="auto"/>
      </w:pBdr>
      <w:spacing w:before="100" w:after="100"/>
      <w:jc w:val="center"/>
    </w:pPr>
    <w:rPr>
      <w:rFonts w:ascii="Arial" w:eastAsia="Arial Unicode MS" w:hAnsi="Arial"/>
      <w:sz w:val="16"/>
    </w:rPr>
  </w:style>
  <w:style w:type="paragraph" w:customStyle="1" w:styleId="xl52">
    <w:name w:val="xl52"/>
    <w:basedOn w:val="Normal"/>
    <w:rsid w:val="0011303D"/>
    <w:pPr>
      <w:pBdr>
        <w:top w:val="single" w:sz="4" w:space="0" w:color="auto"/>
        <w:left w:val="single" w:sz="4" w:space="0" w:color="auto"/>
        <w:right w:val="single" w:sz="4" w:space="0" w:color="auto"/>
      </w:pBdr>
      <w:shd w:val="clear" w:color="auto" w:fill="FFFF00"/>
      <w:spacing w:before="100" w:after="100"/>
    </w:pPr>
    <w:rPr>
      <w:rFonts w:ascii="Arial" w:eastAsia="Arial Unicode MS" w:hAnsi="Arial"/>
      <w:b/>
      <w:sz w:val="16"/>
    </w:rPr>
  </w:style>
  <w:style w:type="paragraph" w:customStyle="1" w:styleId="xl53">
    <w:name w:val="xl53"/>
    <w:basedOn w:val="Normal"/>
    <w:rsid w:val="0011303D"/>
    <w:pPr>
      <w:pBdr>
        <w:top w:val="single" w:sz="4" w:space="0" w:color="auto"/>
        <w:left w:val="single" w:sz="4" w:space="0" w:color="auto"/>
        <w:right w:val="single" w:sz="4" w:space="0" w:color="auto"/>
      </w:pBdr>
      <w:spacing w:before="100" w:after="100"/>
      <w:jc w:val="center"/>
    </w:pPr>
    <w:rPr>
      <w:rFonts w:ascii="Arial" w:eastAsia="Arial Unicode MS" w:hAnsi="Arial"/>
      <w:sz w:val="16"/>
    </w:rPr>
  </w:style>
  <w:style w:type="paragraph" w:customStyle="1" w:styleId="xl54">
    <w:name w:val="xl54"/>
    <w:basedOn w:val="Normal"/>
    <w:rsid w:val="0011303D"/>
    <w:pPr>
      <w:pBdr>
        <w:left w:val="single" w:sz="4" w:space="0" w:color="auto"/>
        <w:right w:val="single" w:sz="4" w:space="0" w:color="auto"/>
      </w:pBdr>
      <w:spacing w:before="100" w:after="100"/>
      <w:jc w:val="center"/>
    </w:pPr>
    <w:rPr>
      <w:rFonts w:ascii="Arial" w:eastAsia="Arial Unicode MS" w:hAnsi="Arial"/>
      <w:sz w:val="16"/>
    </w:rPr>
  </w:style>
  <w:style w:type="paragraph" w:customStyle="1" w:styleId="xl55">
    <w:name w:val="xl55"/>
    <w:basedOn w:val="Normal"/>
    <w:rsid w:val="0011303D"/>
    <w:pPr>
      <w:pBdr>
        <w:left w:val="single" w:sz="4" w:space="0" w:color="auto"/>
        <w:bottom w:val="single" w:sz="4" w:space="0" w:color="auto"/>
        <w:right w:val="single" w:sz="4" w:space="0" w:color="auto"/>
      </w:pBdr>
      <w:spacing w:before="100" w:after="100"/>
      <w:jc w:val="center"/>
    </w:pPr>
    <w:rPr>
      <w:rFonts w:ascii="Arial" w:eastAsia="Arial Unicode MS" w:hAnsi="Arial"/>
      <w:sz w:val="16"/>
    </w:rPr>
  </w:style>
  <w:style w:type="paragraph" w:customStyle="1" w:styleId="xl56">
    <w:name w:val="xl56"/>
    <w:basedOn w:val="Normal"/>
    <w:rsid w:val="0011303D"/>
    <w:pPr>
      <w:pBdr>
        <w:top w:val="single" w:sz="4" w:space="0" w:color="auto"/>
        <w:left w:val="single" w:sz="4" w:space="0" w:color="auto"/>
        <w:right w:val="single" w:sz="4" w:space="0" w:color="auto"/>
      </w:pBdr>
      <w:shd w:val="clear" w:color="auto" w:fill="FFFF00"/>
      <w:spacing w:before="100" w:after="100"/>
    </w:pPr>
    <w:rPr>
      <w:rFonts w:ascii="Arial" w:eastAsia="Arial Unicode MS" w:hAnsi="Arial"/>
      <w:b/>
      <w:sz w:val="16"/>
    </w:rPr>
  </w:style>
  <w:style w:type="paragraph" w:customStyle="1" w:styleId="xl57">
    <w:name w:val="xl57"/>
    <w:basedOn w:val="Normal"/>
    <w:rsid w:val="0011303D"/>
    <w:pPr>
      <w:pBdr>
        <w:top w:val="single" w:sz="4" w:space="0" w:color="auto"/>
        <w:left w:val="single" w:sz="4" w:space="0" w:color="auto"/>
        <w:right w:val="single" w:sz="4" w:space="0" w:color="auto"/>
      </w:pBdr>
      <w:spacing w:before="100" w:after="100"/>
    </w:pPr>
    <w:rPr>
      <w:rFonts w:ascii="Arial" w:eastAsia="Arial Unicode MS" w:hAnsi="Arial"/>
      <w:b/>
      <w:sz w:val="16"/>
    </w:rPr>
  </w:style>
  <w:style w:type="paragraph" w:customStyle="1" w:styleId="xl58">
    <w:name w:val="xl58"/>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59">
    <w:name w:val="xl59"/>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60">
    <w:name w:val="xl60"/>
    <w:basedOn w:val="Normal"/>
    <w:rsid w:val="0011303D"/>
    <w:pPr>
      <w:pBdr>
        <w:left w:val="single" w:sz="4" w:space="0" w:color="auto"/>
        <w:right w:val="single" w:sz="4" w:space="0" w:color="auto"/>
      </w:pBdr>
      <w:spacing w:before="100" w:after="100"/>
      <w:jc w:val="center"/>
    </w:pPr>
    <w:rPr>
      <w:rFonts w:ascii="Arial" w:eastAsia="Arial Unicode MS" w:hAnsi="Arial"/>
      <w:sz w:val="16"/>
    </w:rPr>
  </w:style>
  <w:style w:type="paragraph" w:customStyle="1" w:styleId="xl61">
    <w:name w:val="xl61"/>
    <w:basedOn w:val="Normal"/>
    <w:rsid w:val="0011303D"/>
    <w:pPr>
      <w:pBdr>
        <w:left w:val="single" w:sz="4" w:space="0" w:color="auto"/>
        <w:right w:val="single" w:sz="4" w:space="0" w:color="auto"/>
      </w:pBdr>
      <w:shd w:val="clear" w:color="auto" w:fill="FFFF00"/>
      <w:spacing w:before="100" w:after="100"/>
    </w:pPr>
    <w:rPr>
      <w:rFonts w:ascii="Arial" w:eastAsia="Arial Unicode MS" w:hAnsi="Arial"/>
      <w:b/>
      <w:sz w:val="16"/>
    </w:rPr>
  </w:style>
  <w:style w:type="paragraph" w:customStyle="1" w:styleId="xl62">
    <w:name w:val="xl62"/>
    <w:basedOn w:val="Normal"/>
    <w:rsid w:val="0011303D"/>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b/>
      <w:sz w:val="16"/>
    </w:rPr>
  </w:style>
  <w:style w:type="paragraph" w:customStyle="1" w:styleId="xl63">
    <w:name w:val="xl63"/>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64">
    <w:name w:val="xl64"/>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65">
    <w:name w:val="xl65"/>
    <w:basedOn w:val="Normal"/>
    <w:rsid w:val="0011303D"/>
    <w:pPr>
      <w:pBdr>
        <w:top w:val="single" w:sz="4" w:space="0" w:color="auto"/>
        <w:left w:val="single" w:sz="4" w:space="0" w:color="auto"/>
        <w:bottom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66">
    <w:name w:val="xl66"/>
    <w:basedOn w:val="Normal"/>
    <w:rsid w:val="0011303D"/>
    <w:pPr>
      <w:pBdr>
        <w:left w:val="single" w:sz="4" w:space="0" w:color="auto"/>
        <w:right w:val="single" w:sz="4" w:space="0" w:color="auto"/>
      </w:pBdr>
      <w:spacing w:before="100" w:after="100"/>
      <w:jc w:val="center"/>
    </w:pPr>
    <w:rPr>
      <w:rFonts w:ascii="Arial" w:eastAsia="Arial Unicode MS" w:hAnsi="Arial"/>
      <w:sz w:val="16"/>
    </w:rPr>
  </w:style>
  <w:style w:type="paragraph" w:customStyle="1" w:styleId="xl67">
    <w:name w:val="xl67"/>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68">
    <w:name w:val="xl68"/>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69">
    <w:name w:val="xl69"/>
    <w:basedOn w:val="Normal"/>
    <w:rsid w:val="0011303D"/>
    <w:pPr>
      <w:pBdr>
        <w:top w:val="single" w:sz="4" w:space="0" w:color="auto"/>
        <w:left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70">
    <w:name w:val="xl70"/>
    <w:basedOn w:val="Normal"/>
    <w:rsid w:val="0011303D"/>
    <w:pPr>
      <w:pBdr>
        <w:left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71">
    <w:name w:val="xl71"/>
    <w:basedOn w:val="Normal"/>
    <w:rsid w:val="0011303D"/>
    <w:pPr>
      <w:pBdr>
        <w:left w:val="single" w:sz="4" w:space="0" w:color="auto"/>
        <w:bottom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72">
    <w:name w:val="xl72"/>
    <w:basedOn w:val="Normal"/>
    <w:rsid w:val="0011303D"/>
    <w:pPr>
      <w:pBdr>
        <w:top w:val="single" w:sz="4" w:space="0" w:color="auto"/>
        <w:left w:val="single" w:sz="4" w:space="0" w:color="auto"/>
        <w:right w:val="single" w:sz="4" w:space="0" w:color="auto"/>
      </w:pBdr>
      <w:spacing w:before="100" w:after="100"/>
    </w:pPr>
    <w:rPr>
      <w:rFonts w:ascii="Arial" w:eastAsia="Arial Unicode MS" w:hAnsi="Arial"/>
      <w:sz w:val="16"/>
    </w:rPr>
  </w:style>
  <w:style w:type="paragraph" w:customStyle="1" w:styleId="xl73">
    <w:name w:val="xl73"/>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74">
    <w:name w:val="xl74"/>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75">
    <w:name w:val="xl75"/>
    <w:basedOn w:val="Normal"/>
    <w:rsid w:val="0011303D"/>
    <w:pPr>
      <w:pBdr>
        <w:left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76">
    <w:name w:val="xl76"/>
    <w:basedOn w:val="Normal"/>
    <w:rsid w:val="0011303D"/>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77">
    <w:name w:val="xl77"/>
    <w:basedOn w:val="Normal"/>
    <w:rsid w:val="0011303D"/>
    <w:pPr>
      <w:pBdr>
        <w:left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78">
    <w:name w:val="xl78"/>
    <w:basedOn w:val="Normal"/>
    <w:rsid w:val="0011303D"/>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79">
    <w:name w:val="xl79"/>
    <w:basedOn w:val="Normal"/>
    <w:rsid w:val="0011303D"/>
    <w:pPr>
      <w:pBdr>
        <w:left w:val="single" w:sz="4" w:space="0" w:color="auto"/>
        <w:right w:val="single" w:sz="4" w:space="0" w:color="auto"/>
      </w:pBdr>
      <w:spacing w:before="100" w:after="100"/>
      <w:jc w:val="center"/>
    </w:pPr>
    <w:rPr>
      <w:rFonts w:ascii="Arial" w:eastAsia="Arial Unicode MS" w:hAnsi="Arial"/>
      <w:sz w:val="16"/>
    </w:rPr>
  </w:style>
  <w:style w:type="paragraph" w:customStyle="1" w:styleId="xl80">
    <w:name w:val="xl80"/>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81">
    <w:name w:val="xl81"/>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82">
    <w:name w:val="xl82"/>
    <w:basedOn w:val="Normal"/>
    <w:rsid w:val="0011303D"/>
    <w:pPr>
      <w:pBdr>
        <w:top w:val="single" w:sz="4" w:space="0" w:color="auto"/>
        <w:left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83">
    <w:name w:val="xl83"/>
    <w:basedOn w:val="Normal"/>
    <w:rsid w:val="0011303D"/>
    <w:pPr>
      <w:pBdr>
        <w:left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84">
    <w:name w:val="xl84"/>
    <w:basedOn w:val="Normal"/>
    <w:rsid w:val="0011303D"/>
    <w:pPr>
      <w:pBdr>
        <w:left w:val="single" w:sz="4" w:space="0" w:color="auto"/>
        <w:bottom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85">
    <w:name w:val="xl85"/>
    <w:basedOn w:val="Normal"/>
    <w:rsid w:val="0011303D"/>
    <w:pPr>
      <w:pBdr>
        <w:top w:val="single" w:sz="4" w:space="0" w:color="auto"/>
        <w:left w:val="single" w:sz="4" w:space="0" w:color="auto"/>
        <w:right w:val="single" w:sz="4" w:space="0" w:color="auto"/>
      </w:pBdr>
      <w:spacing w:before="100" w:after="100"/>
    </w:pPr>
    <w:rPr>
      <w:rFonts w:ascii="Arial" w:eastAsia="Arial Unicode MS" w:hAnsi="Arial"/>
      <w:sz w:val="16"/>
    </w:rPr>
  </w:style>
  <w:style w:type="paragraph" w:customStyle="1" w:styleId="xl86">
    <w:name w:val="xl86"/>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87">
    <w:name w:val="xl87"/>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88">
    <w:name w:val="xl88"/>
    <w:basedOn w:val="Normal"/>
    <w:rsid w:val="0011303D"/>
    <w:pPr>
      <w:pBdr>
        <w:left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89">
    <w:name w:val="xl89"/>
    <w:basedOn w:val="Normal"/>
    <w:rsid w:val="0011303D"/>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font9">
    <w:name w:val="font9"/>
    <w:basedOn w:val="Normal"/>
    <w:rsid w:val="0011303D"/>
    <w:pPr>
      <w:spacing w:before="100" w:after="100"/>
    </w:pPr>
    <w:rPr>
      <w:rFonts w:ascii="Arial" w:eastAsia="Arial Unicode MS" w:hAnsi="Arial"/>
      <w:color w:val="FF0000"/>
      <w:sz w:val="16"/>
    </w:rPr>
  </w:style>
  <w:style w:type="paragraph" w:customStyle="1" w:styleId="font10">
    <w:name w:val="font10"/>
    <w:basedOn w:val="Normal"/>
    <w:rsid w:val="0011303D"/>
    <w:pPr>
      <w:spacing w:before="100" w:after="100"/>
    </w:pPr>
    <w:rPr>
      <w:rFonts w:ascii="Arial" w:eastAsia="Arial Unicode MS" w:hAnsi="Arial"/>
      <w:b/>
      <w:sz w:val="16"/>
    </w:rPr>
  </w:style>
  <w:style w:type="paragraph" w:customStyle="1" w:styleId="xl90">
    <w:name w:val="xl90"/>
    <w:basedOn w:val="Normal"/>
    <w:rsid w:val="0011303D"/>
    <w:pPr>
      <w:pBdr>
        <w:left w:val="single" w:sz="12" w:space="0" w:color="auto"/>
        <w:bottom w:val="single" w:sz="12" w:space="0" w:color="auto"/>
      </w:pBdr>
      <w:spacing w:before="100" w:after="100"/>
      <w:jc w:val="center"/>
    </w:pPr>
    <w:rPr>
      <w:rFonts w:ascii="Arial" w:eastAsia="Arial Unicode MS" w:hAnsi="Arial"/>
      <w:color w:val="000080"/>
      <w:sz w:val="16"/>
    </w:rPr>
  </w:style>
  <w:style w:type="paragraph" w:customStyle="1" w:styleId="xl91">
    <w:name w:val="xl91"/>
    <w:basedOn w:val="Normal"/>
    <w:rsid w:val="0011303D"/>
    <w:pPr>
      <w:pBdr>
        <w:bottom w:val="single" w:sz="12" w:space="0" w:color="auto"/>
      </w:pBdr>
      <w:spacing w:before="100" w:after="100"/>
      <w:jc w:val="center"/>
    </w:pPr>
    <w:rPr>
      <w:rFonts w:ascii="Arial" w:eastAsia="Arial Unicode MS" w:hAnsi="Arial"/>
      <w:color w:val="000080"/>
      <w:sz w:val="16"/>
    </w:rPr>
  </w:style>
  <w:style w:type="paragraph" w:customStyle="1" w:styleId="xl92">
    <w:name w:val="xl92"/>
    <w:basedOn w:val="Normal"/>
    <w:rsid w:val="0011303D"/>
    <w:pPr>
      <w:pBdr>
        <w:bottom w:val="single" w:sz="12" w:space="0" w:color="auto"/>
        <w:right w:val="single" w:sz="12" w:space="0" w:color="auto"/>
      </w:pBdr>
      <w:spacing w:before="100" w:after="100"/>
      <w:jc w:val="center"/>
    </w:pPr>
    <w:rPr>
      <w:rFonts w:ascii="Arial" w:eastAsia="Arial Unicode MS" w:hAnsi="Arial"/>
      <w:color w:val="000080"/>
      <w:sz w:val="16"/>
    </w:rPr>
  </w:style>
  <w:style w:type="paragraph" w:customStyle="1" w:styleId="xl93">
    <w:name w:val="xl93"/>
    <w:basedOn w:val="Normal"/>
    <w:rsid w:val="0011303D"/>
    <w:pPr>
      <w:pBdr>
        <w:top w:val="single" w:sz="4" w:space="0" w:color="auto"/>
        <w:left w:val="single" w:sz="12" w:space="0" w:color="auto"/>
        <w:bottom w:val="single" w:sz="4" w:space="0" w:color="auto"/>
      </w:pBdr>
      <w:spacing w:before="100" w:after="100"/>
    </w:pPr>
    <w:rPr>
      <w:rFonts w:ascii="Arial" w:eastAsia="Arial Unicode MS" w:hAnsi="Arial"/>
      <w:color w:val="FF00FF"/>
      <w:sz w:val="16"/>
    </w:rPr>
  </w:style>
  <w:style w:type="paragraph" w:customStyle="1" w:styleId="xl94">
    <w:name w:val="xl94"/>
    <w:basedOn w:val="Normal"/>
    <w:rsid w:val="0011303D"/>
    <w:pPr>
      <w:pBdr>
        <w:top w:val="single" w:sz="4" w:space="0" w:color="auto"/>
        <w:left w:val="single" w:sz="4" w:space="0" w:color="auto"/>
        <w:bottom w:val="single" w:sz="4" w:space="0" w:color="auto"/>
      </w:pBdr>
      <w:spacing w:before="100" w:after="100"/>
      <w:jc w:val="center"/>
    </w:pPr>
    <w:rPr>
      <w:rFonts w:ascii="Arial" w:eastAsia="Arial Unicode MS" w:hAnsi="Arial"/>
      <w:color w:val="800080"/>
      <w:sz w:val="16"/>
    </w:rPr>
  </w:style>
  <w:style w:type="paragraph" w:customStyle="1" w:styleId="xl95">
    <w:name w:val="xl95"/>
    <w:basedOn w:val="Normal"/>
    <w:rsid w:val="0011303D"/>
    <w:pPr>
      <w:pBdr>
        <w:top w:val="single" w:sz="4" w:space="0" w:color="auto"/>
        <w:bottom w:val="single" w:sz="4" w:space="0" w:color="auto"/>
      </w:pBdr>
      <w:spacing w:before="100" w:after="100"/>
      <w:jc w:val="center"/>
    </w:pPr>
    <w:rPr>
      <w:rFonts w:ascii="Arial" w:eastAsia="Arial Unicode MS" w:hAnsi="Arial"/>
      <w:color w:val="800080"/>
      <w:sz w:val="16"/>
    </w:rPr>
  </w:style>
  <w:style w:type="paragraph" w:customStyle="1" w:styleId="xl96">
    <w:name w:val="xl96"/>
    <w:basedOn w:val="Normal"/>
    <w:rsid w:val="0011303D"/>
    <w:pPr>
      <w:pBdr>
        <w:top w:val="single" w:sz="4" w:space="0" w:color="auto"/>
        <w:left w:val="single" w:sz="12" w:space="0" w:color="auto"/>
        <w:bottom w:val="single" w:sz="12" w:space="0" w:color="auto"/>
      </w:pBdr>
      <w:spacing w:before="100" w:after="100"/>
      <w:jc w:val="center"/>
    </w:pPr>
    <w:rPr>
      <w:rFonts w:ascii="Arial" w:eastAsia="Arial Unicode MS" w:hAnsi="Arial"/>
      <w:color w:val="800080"/>
      <w:sz w:val="16"/>
    </w:rPr>
  </w:style>
  <w:style w:type="paragraph" w:customStyle="1" w:styleId="xl97">
    <w:name w:val="xl97"/>
    <w:basedOn w:val="Normal"/>
    <w:rsid w:val="0011303D"/>
    <w:pPr>
      <w:pBdr>
        <w:top w:val="single" w:sz="4" w:space="0" w:color="auto"/>
        <w:bottom w:val="single" w:sz="12" w:space="0" w:color="auto"/>
      </w:pBdr>
      <w:spacing w:before="100" w:after="100"/>
      <w:jc w:val="center"/>
    </w:pPr>
    <w:rPr>
      <w:rFonts w:ascii="Arial" w:eastAsia="Arial Unicode MS" w:hAnsi="Arial"/>
      <w:color w:val="800080"/>
      <w:sz w:val="16"/>
    </w:rPr>
  </w:style>
  <w:style w:type="paragraph" w:customStyle="1" w:styleId="xl98">
    <w:name w:val="xl98"/>
    <w:basedOn w:val="Normal"/>
    <w:rsid w:val="0011303D"/>
    <w:pPr>
      <w:pBdr>
        <w:top w:val="single" w:sz="4" w:space="0" w:color="auto"/>
        <w:bottom w:val="single" w:sz="12" w:space="0" w:color="auto"/>
        <w:right w:val="single" w:sz="12" w:space="0" w:color="auto"/>
      </w:pBdr>
      <w:spacing w:before="100" w:after="100"/>
      <w:jc w:val="center"/>
    </w:pPr>
    <w:rPr>
      <w:rFonts w:ascii="Arial" w:eastAsia="Arial Unicode MS" w:hAnsi="Arial"/>
      <w:color w:val="800080"/>
      <w:sz w:val="16"/>
    </w:rPr>
  </w:style>
  <w:style w:type="paragraph" w:customStyle="1" w:styleId="xl99">
    <w:name w:val="xl99"/>
    <w:basedOn w:val="Normal"/>
    <w:rsid w:val="0011303D"/>
    <w:pPr>
      <w:pBdr>
        <w:top w:val="single" w:sz="4" w:space="0" w:color="auto"/>
        <w:left w:val="single" w:sz="12" w:space="0" w:color="auto"/>
        <w:bottom w:val="single" w:sz="8" w:space="0" w:color="auto"/>
      </w:pBdr>
      <w:spacing w:before="100" w:after="100"/>
      <w:jc w:val="center"/>
    </w:pPr>
    <w:rPr>
      <w:rFonts w:ascii="Arial" w:eastAsia="Arial Unicode MS" w:hAnsi="Arial"/>
      <w:color w:val="800080"/>
      <w:sz w:val="16"/>
    </w:rPr>
  </w:style>
  <w:style w:type="paragraph" w:customStyle="1" w:styleId="xl100">
    <w:name w:val="xl100"/>
    <w:basedOn w:val="Normal"/>
    <w:rsid w:val="0011303D"/>
    <w:pPr>
      <w:pBdr>
        <w:top w:val="single" w:sz="4" w:space="0" w:color="auto"/>
        <w:bottom w:val="single" w:sz="8" w:space="0" w:color="auto"/>
      </w:pBdr>
      <w:spacing w:before="100" w:after="100"/>
      <w:jc w:val="center"/>
    </w:pPr>
    <w:rPr>
      <w:rFonts w:ascii="Arial" w:eastAsia="Arial Unicode MS" w:hAnsi="Arial"/>
      <w:color w:val="800080"/>
      <w:sz w:val="16"/>
    </w:rPr>
  </w:style>
  <w:style w:type="paragraph" w:customStyle="1" w:styleId="xl101">
    <w:name w:val="xl101"/>
    <w:basedOn w:val="Normal"/>
    <w:rsid w:val="0011303D"/>
    <w:pPr>
      <w:pBdr>
        <w:top w:val="single" w:sz="4" w:space="0" w:color="auto"/>
        <w:bottom w:val="single" w:sz="8" w:space="0" w:color="auto"/>
        <w:right w:val="single" w:sz="12" w:space="0" w:color="auto"/>
      </w:pBdr>
      <w:spacing w:before="100" w:after="100"/>
      <w:jc w:val="center"/>
    </w:pPr>
    <w:rPr>
      <w:rFonts w:ascii="Arial" w:eastAsia="Arial Unicode MS" w:hAnsi="Arial"/>
      <w:color w:val="800080"/>
      <w:sz w:val="16"/>
    </w:rPr>
  </w:style>
  <w:style w:type="paragraph" w:customStyle="1" w:styleId="xl102">
    <w:name w:val="xl102"/>
    <w:basedOn w:val="Normal"/>
    <w:rsid w:val="0011303D"/>
    <w:pPr>
      <w:pBdr>
        <w:top w:val="single" w:sz="4" w:space="0" w:color="auto"/>
        <w:left w:val="single" w:sz="12" w:space="0" w:color="auto"/>
        <w:bottom w:val="single" w:sz="12" w:space="0" w:color="auto"/>
      </w:pBdr>
      <w:spacing w:before="100" w:after="100"/>
      <w:jc w:val="center"/>
    </w:pPr>
    <w:rPr>
      <w:rFonts w:ascii="Arial" w:eastAsia="Arial Unicode MS" w:hAnsi="Arial"/>
      <w:color w:val="008000"/>
      <w:sz w:val="16"/>
    </w:rPr>
  </w:style>
  <w:style w:type="paragraph" w:customStyle="1" w:styleId="xl103">
    <w:name w:val="xl103"/>
    <w:basedOn w:val="Normal"/>
    <w:rsid w:val="0011303D"/>
    <w:pPr>
      <w:pBdr>
        <w:top w:val="single" w:sz="4" w:space="0" w:color="auto"/>
        <w:bottom w:val="single" w:sz="12" w:space="0" w:color="auto"/>
      </w:pBdr>
      <w:spacing w:before="100" w:after="100"/>
      <w:jc w:val="center"/>
    </w:pPr>
    <w:rPr>
      <w:rFonts w:ascii="Arial" w:eastAsia="Arial Unicode MS" w:hAnsi="Arial"/>
      <w:color w:val="008000"/>
      <w:sz w:val="16"/>
    </w:rPr>
  </w:style>
  <w:style w:type="paragraph" w:customStyle="1" w:styleId="xl104">
    <w:name w:val="xl104"/>
    <w:basedOn w:val="Normal"/>
    <w:rsid w:val="0011303D"/>
    <w:pPr>
      <w:pBdr>
        <w:top w:val="single" w:sz="4" w:space="0" w:color="auto"/>
        <w:bottom w:val="single" w:sz="12" w:space="0" w:color="auto"/>
        <w:right w:val="single" w:sz="12" w:space="0" w:color="auto"/>
      </w:pBdr>
      <w:spacing w:before="100" w:after="100"/>
      <w:jc w:val="center"/>
    </w:pPr>
    <w:rPr>
      <w:rFonts w:ascii="Arial" w:eastAsia="Arial Unicode MS" w:hAnsi="Arial"/>
      <w:color w:val="008000"/>
      <w:sz w:val="16"/>
    </w:rPr>
  </w:style>
  <w:style w:type="paragraph" w:customStyle="1" w:styleId="xl105">
    <w:name w:val="xl105"/>
    <w:basedOn w:val="Normal"/>
    <w:rsid w:val="0011303D"/>
    <w:pPr>
      <w:pBdr>
        <w:top w:val="single" w:sz="4" w:space="0" w:color="auto"/>
        <w:left w:val="single" w:sz="12" w:space="0" w:color="auto"/>
        <w:bottom w:val="single" w:sz="8" w:space="0" w:color="auto"/>
      </w:pBdr>
      <w:spacing w:before="100" w:after="100"/>
    </w:pPr>
    <w:rPr>
      <w:rFonts w:ascii="Arial" w:eastAsia="Arial Unicode MS" w:hAnsi="Arial"/>
      <w:color w:val="008000"/>
      <w:sz w:val="16"/>
    </w:rPr>
  </w:style>
  <w:style w:type="paragraph" w:customStyle="1" w:styleId="xl106">
    <w:name w:val="xl106"/>
    <w:basedOn w:val="Normal"/>
    <w:rsid w:val="0011303D"/>
    <w:pPr>
      <w:pBdr>
        <w:left w:val="single" w:sz="12" w:space="0" w:color="auto"/>
        <w:bottom w:val="single" w:sz="4" w:space="0" w:color="auto"/>
      </w:pBdr>
      <w:spacing w:before="100" w:after="100"/>
    </w:pPr>
    <w:rPr>
      <w:rFonts w:ascii="Arial" w:eastAsia="Arial Unicode MS" w:hAnsi="Arial"/>
      <w:b/>
      <w:color w:val="FF00FF"/>
      <w:sz w:val="16"/>
    </w:rPr>
  </w:style>
  <w:style w:type="paragraph" w:customStyle="1" w:styleId="xl107">
    <w:name w:val="xl107"/>
    <w:basedOn w:val="Normal"/>
    <w:rsid w:val="0011303D"/>
    <w:pPr>
      <w:pBdr>
        <w:bottom w:val="single" w:sz="4" w:space="0" w:color="auto"/>
      </w:pBdr>
      <w:spacing w:before="100" w:after="100"/>
    </w:pPr>
    <w:rPr>
      <w:rFonts w:ascii="Arial" w:eastAsia="Arial Unicode MS" w:hAnsi="Arial"/>
      <w:sz w:val="16"/>
    </w:rPr>
  </w:style>
  <w:style w:type="paragraph" w:customStyle="1" w:styleId="xl108">
    <w:name w:val="xl108"/>
    <w:basedOn w:val="Normal"/>
    <w:rsid w:val="0011303D"/>
    <w:pPr>
      <w:spacing w:before="100" w:after="100"/>
    </w:pPr>
    <w:rPr>
      <w:rFonts w:ascii="Arial" w:eastAsia="Arial Unicode MS" w:hAnsi="Arial"/>
      <w:sz w:val="16"/>
    </w:rPr>
  </w:style>
  <w:style w:type="paragraph" w:customStyle="1" w:styleId="xl109">
    <w:name w:val="xl109"/>
    <w:basedOn w:val="Normal"/>
    <w:rsid w:val="0011303D"/>
    <w:pPr>
      <w:pBdr>
        <w:right w:val="single" w:sz="12" w:space="0" w:color="auto"/>
      </w:pBdr>
      <w:spacing w:before="100" w:after="100"/>
    </w:pPr>
    <w:rPr>
      <w:rFonts w:ascii="Arial" w:eastAsia="Arial Unicode MS" w:hAnsi="Arial"/>
      <w:sz w:val="16"/>
    </w:rPr>
  </w:style>
  <w:style w:type="paragraph" w:customStyle="1" w:styleId="xl110">
    <w:name w:val="xl110"/>
    <w:basedOn w:val="Normal"/>
    <w:rsid w:val="0011303D"/>
    <w:pPr>
      <w:pBdr>
        <w:top w:val="single" w:sz="4" w:space="0" w:color="auto"/>
        <w:left w:val="single" w:sz="12" w:space="0" w:color="auto"/>
        <w:bottom w:val="single" w:sz="4" w:space="0" w:color="auto"/>
      </w:pBdr>
      <w:spacing w:before="100" w:after="100"/>
    </w:pPr>
    <w:rPr>
      <w:rFonts w:ascii="Arial" w:eastAsia="Arial Unicode MS" w:hAnsi="Arial"/>
      <w:color w:val="008000"/>
      <w:sz w:val="16"/>
    </w:rPr>
  </w:style>
  <w:style w:type="paragraph" w:customStyle="1" w:styleId="xl111">
    <w:name w:val="xl111"/>
    <w:basedOn w:val="Normal"/>
    <w:rsid w:val="0011303D"/>
    <w:pPr>
      <w:pBdr>
        <w:top w:val="single" w:sz="12" w:space="0" w:color="auto"/>
        <w:left w:val="single" w:sz="12" w:space="0" w:color="auto"/>
        <w:bottom w:val="single" w:sz="12" w:space="0" w:color="auto"/>
      </w:pBdr>
      <w:spacing w:before="100" w:after="100"/>
      <w:jc w:val="center"/>
    </w:pPr>
    <w:rPr>
      <w:rFonts w:ascii="Arial" w:eastAsia="Arial Unicode MS" w:hAnsi="Arial"/>
      <w:b/>
      <w:sz w:val="16"/>
    </w:rPr>
  </w:style>
  <w:style w:type="paragraph" w:customStyle="1" w:styleId="xl112">
    <w:name w:val="xl112"/>
    <w:basedOn w:val="Normal"/>
    <w:rsid w:val="0011303D"/>
    <w:pPr>
      <w:pBdr>
        <w:top w:val="single" w:sz="12" w:space="0" w:color="auto"/>
        <w:bottom w:val="single" w:sz="12" w:space="0" w:color="auto"/>
      </w:pBdr>
      <w:spacing w:before="100" w:after="100"/>
      <w:jc w:val="center"/>
    </w:pPr>
    <w:rPr>
      <w:rFonts w:ascii="Arial Unicode MS" w:eastAsia="Arial Unicode MS" w:hAnsi="Arial Unicode MS"/>
    </w:rPr>
  </w:style>
  <w:style w:type="paragraph" w:customStyle="1" w:styleId="xl113">
    <w:name w:val="xl113"/>
    <w:basedOn w:val="Normal"/>
    <w:rsid w:val="0011303D"/>
    <w:pPr>
      <w:pBdr>
        <w:top w:val="single" w:sz="12" w:space="0" w:color="auto"/>
        <w:bottom w:val="single" w:sz="12" w:space="0" w:color="auto"/>
        <w:right w:val="single" w:sz="12" w:space="0" w:color="auto"/>
      </w:pBdr>
      <w:spacing w:before="100" w:after="100"/>
      <w:jc w:val="center"/>
    </w:pPr>
    <w:rPr>
      <w:rFonts w:ascii="Arial Unicode MS" w:eastAsia="Arial Unicode MS" w:hAnsi="Arial Unicode MS"/>
    </w:rPr>
  </w:style>
  <w:style w:type="paragraph" w:customStyle="1" w:styleId="xl114">
    <w:name w:val="xl114"/>
    <w:basedOn w:val="Normal"/>
    <w:rsid w:val="0011303D"/>
    <w:pPr>
      <w:pBdr>
        <w:top w:val="single" w:sz="12" w:space="0" w:color="auto"/>
        <w:left w:val="single" w:sz="12" w:space="0" w:color="auto"/>
        <w:bottom w:val="single" w:sz="4" w:space="0" w:color="auto"/>
      </w:pBdr>
      <w:spacing w:before="100" w:after="100"/>
    </w:pPr>
    <w:rPr>
      <w:rFonts w:ascii="Arial" w:eastAsia="Arial Unicode MS" w:hAnsi="Arial"/>
      <w:b/>
      <w:color w:val="000080"/>
      <w:sz w:val="16"/>
    </w:rPr>
  </w:style>
  <w:style w:type="paragraph" w:customStyle="1" w:styleId="xl115">
    <w:name w:val="xl115"/>
    <w:basedOn w:val="Normal"/>
    <w:rsid w:val="0011303D"/>
    <w:pPr>
      <w:pBdr>
        <w:top w:val="single" w:sz="12" w:space="0" w:color="auto"/>
        <w:bottom w:val="single" w:sz="4" w:space="0" w:color="auto"/>
      </w:pBdr>
      <w:spacing w:before="100" w:after="100"/>
    </w:pPr>
    <w:rPr>
      <w:rFonts w:ascii="Arial Unicode MS" w:eastAsia="Arial Unicode MS" w:hAnsi="Arial Unicode MS"/>
    </w:rPr>
  </w:style>
  <w:style w:type="paragraph" w:customStyle="1" w:styleId="xl116">
    <w:name w:val="xl116"/>
    <w:basedOn w:val="Normal"/>
    <w:rsid w:val="0011303D"/>
    <w:pPr>
      <w:pBdr>
        <w:top w:val="single" w:sz="12" w:space="0" w:color="auto"/>
      </w:pBdr>
      <w:spacing w:before="100" w:after="100"/>
    </w:pPr>
    <w:rPr>
      <w:rFonts w:ascii="Arial Unicode MS" w:eastAsia="Arial Unicode MS" w:hAnsi="Arial Unicode MS"/>
    </w:rPr>
  </w:style>
  <w:style w:type="paragraph" w:customStyle="1" w:styleId="xl117">
    <w:name w:val="xl117"/>
    <w:basedOn w:val="Normal"/>
    <w:rsid w:val="0011303D"/>
    <w:pPr>
      <w:pBdr>
        <w:top w:val="single" w:sz="12" w:space="0" w:color="auto"/>
      </w:pBdr>
      <w:spacing w:before="100" w:after="100"/>
    </w:pPr>
    <w:rPr>
      <w:rFonts w:ascii="Arial Unicode MS" w:eastAsia="Arial Unicode MS" w:hAnsi="Arial Unicode MS"/>
    </w:rPr>
  </w:style>
  <w:style w:type="paragraph" w:customStyle="1" w:styleId="xl118">
    <w:name w:val="xl118"/>
    <w:basedOn w:val="Normal"/>
    <w:rsid w:val="0011303D"/>
    <w:pPr>
      <w:pBdr>
        <w:top w:val="single" w:sz="12" w:space="0" w:color="auto"/>
        <w:right w:val="single" w:sz="12" w:space="0" w:color="auto"/>
      </w:pBdr>
      <w:spacing w:before="100" w:after="100"/>
    </w:pPr>
    <w:rPr>
      <w:rFonts w:ascii="Arial Unicode MS" w:eastAsia="Arial Unicode MS" w:hAnsi="Arial Unicode MS"/>
    </w:rPr>
  </w:style>
  <w:style w:type="paragraph" w:customStyle="1" w:styleId="xl119">
    <w:name w:val="xl119"/>
    <w:basedOn w:val="Normal"/>
    <w:rsid w:val="0011303D"/>
    <w:pPr>
      <w:pBdr>
        <w:top w:val="single" w:sz="12" w:space="0" w:color="auto"/>
        <w:left w:val="single" w:sz="12" w:space="0" w:color="auto"/>
        <w:right w:val="single" w:sz="12" w:space="0" w:color="auto"/>
      </w:pBdr>
      <w:shd w:val="clear" w:color="auto" w:fill="FFFF00"/>
      <w:spacing w:before="100" w:after="100"/>
    </w:pPr>
    <w:rPr>
      <w:rFonts w:ascii="Arial" w:eastAsia="Arial Unicode MS" w:hAnsi="Arial"/>
      <w:b/>
    </w:rPr>
  </w:style>
  <w:style w:type="paragraph" w:customStyle="1" w:styleId="xl120">
    <w:name w:val="xl120"/>
    <w:basedOn w:val="Normal"/>
    <w:rsid w:val="0011303D"/>
    <w:pPr>
      <w:pBdr>
        <w:top w:val="single" w:sz="4"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000080"/>
    </w:rPr>
  </w:style>
  <w:style w:type="paragraph" w:customStyle="1" w:styleId="xl121">
    <w:name w:val="xl121"/>
    <w:basedOn w:val="Normal"/>
    <w:rsid w:val="0011303D"/>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olor w:val="000080"/>
    </w:rPr>
  </w:style>
  <w:style w:type="paragraph" w:customStyle="1" w:styleId="xl122">
    <w:name w:val="xl122"/>
    <w:basedOn w:val="Normal"/>
    <w:rsid w:val="0011303D"/>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olor w:val="000080"/>
    </w:rPr>
  </w:style>
  <w:style w:type="paragraph" w:customStyle="1" w:styleId="xl123">
    <w:name w:val="xl123"/>
    <w:basedOn w:val="Normal"/>
    <w:rsid w:val="0011303D"/>
    <w:pPr>
      <w:pBdr>
        <w:top w:val="single" w:sz="8"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000080"/>
    </w:rPr>
  </w:style>
  <w:style w:type="paragraph" w:customStyle="1" w:styleId="xl124">
    <w:name w:val="xl124"/>
    <w:basedOn w:val="Normal"/>
    <w:rsid w:val="0011303D"/>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olor w:val="000080"/>
    </w:rPr>
  </w:style>
  <w:style w:type="paragraph" w:customStyle="1" w:styleId="xl125">
    <w:name w:val="xl125"/>
    <w:basedOn w:val="Normal"/>
    <w:rsid w:val="0011303D"/>
    <w:pPr>
      <w:pBdr>
        <w:top w:val="single" w:sz="4"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008000"/>
    </w:rPr>
  </w:style>
  <w:style w:type="paragraph" w:customStyle="1" w:styleId="xl126">
    <w:name w:val="xl126"/>
    <w:basedOn w:val="Normal"/>
    <w:rsid w:val="0011303D"/>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olor w:val="008000"/>
    </w:rPr>
  </w:style>
  <w:style w:type="paragraph" w:customStyle="1" w:styleId="xl127">
    <w:name w:val="xl127"/>
    <w:basedOn w:val="Normal"/>
    <w:rsid w:val="0011303D"/>
    <w:pPr>
      <w:pBdr>
        <w:top w:val="single" w:sz="4" w:space="0" w:color="auto"/>
        <w:left w:val="single" w:sz="12" w:space="0" w:color="auto"/>
        <w:bottom w:val="single" w:sz="8" w:space="0" w:color="auto"/>
        <w:right w:val="single" w:sz="12" w:space="0" w:color="auto"/>
      </w:pBdr>
      <w:shd w:val="clear" w:color="auto" w:fill="FFFF00"/>
      <w:spacing w:before="100" w:after="100"/>
    </w:pPr>
    <w:rPr>
      <w:rFonts w:ascii="Arial" w:eastAsia="Arial Unicode MS" w:hAnsi="Arial"/>
      <w:color w:val="008000"/>
    </w:rPr>
  </w:style>
  <w:style w:type="paragraph" w:customStyle="1" w:styleId="xl128">
    <w:name w:val="xl128"/>
    <w:basedOn w:val="Normal"/>
    <w:rsid w:val="0011303D"/>
    <w:pPr>
      <w:pBdr>
        <w:top w:val="single" w:sz="8" w:space="0" w:color="auto"/>
        <w:left w:val="single" w:sz="8" w:space="0" w:color="auto"/>
        <w:bottom w:val="single" w:sz="4" w:space="0" w:color="auto"/>
        <w:right w:val="single" w:sz="12" w:space="0" w:color="auto"/>
      </w:pBdr>
      <w:shd w:val="clear" w:color="auto" w:fill="FFFF00"/>
      <w:spacing w:before="100" w:after="100"/>
    </w:pPr>
    <w:rPr>
      <w:rFonts w:ascii="Arial" w:eastAsia="Arial Unicode MS" w:hAnsi="Arial"/>
      <w:color w:val="008000"/>
    </w:rPr>
  </w:style>
  <w:style w:type="paragraph" w:customStyle="1" w:styleId="xl129">
    <w:name w:val="xl129"/>
    <w:basedOn w:val="Normal"/>
    <w:rsid w:val="0011303D"/>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olor w:val="008000"/>
    </w:rPr>
  </w:style>
  <w:style w:type="paragraph" w:customStyle="1" w:styleId="xl130">
    <w:name w:val="xl130"/>
    <w:basedOn w:val="Normal"/>
    <w:rsid w:val="0011303D"/>
    <w:pPr>
      <w:pBdr>
        <w:top w:val="single" w:sz="4"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800080"/>
    </w:rPr>
  </w:style>
  <w:style w:type="paragraph" w:customStyle="1" w:styleId="xl131">
    <w:name w:val="xl131"/>
    <w:basedOn w:val="Normal"/>
    <w:rsid w:val="0011303D"/>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olor w:val="800080"/>
    </w:rPr>
  </w:style>
  <w:style w:type="paragraph" w:customStyle="1" w:styleId="xl132">
    <w:name w:val="xl132"/>
    <w:basedOn w:val="Normal"/>
    <w:rsid w:val="0011303D"/>
    <w:pPr>
      <w:pBdr>
        <w:top w:val="single" w:sz="4" w:space="0" w:color="auto"/>
        <w:left w:val="single" w:sz="12" w:space="0" w:color="auto"/>
        <w:bottom w:val="single" w:sz="8" w:space="0" w:color="auto"/>
        <w:right w:val="single" w:sz="12" w:space="0" w:color="auto"/>
      </w:pBdr>
      <w:shd w:val="clear" w:color="auto" w:fill="FFFF00"/>
      <w:spacing w:before="100" w:after="100"/>
    </w:pPr>
    <w:rPr>
      <w:rFonts w:ascii="Arial" w:eastAsia="Arial Unicode MS" w:hAnsi="Arial"/>
      <w:color w:val="800080"/>
    </w:rPr>
  </w:style>
  <w:style w:type="paragraph" w:customStyle="1" w:styleId="xl133">
    <w:name w:val="xl133"/>
    <w:basedOn w:val="Normal"/>
    <w:rsid w:val="0011303D"/>
    <w:pPr>
      <w:pBdr>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800080"/>
    </w:rPr>
  </w:style>
  <w:style w:type="paragraph" w:customStyle="1" w:styleId="xl134">
    <w:name w:val="xl134"/>
    <w:basedOn w:val="Normal"/>
    <w:rsid w:val="0011303D"/>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olor w:val="800080"/>
    </w:rPr>
  </w:style>
  <w:style w:type="paragraph" w:customStyle="1" w:styleId="xl135">
    <w:name w:val="xl135"/>
    <w:basedOn w:val="Normal"/>
    <w:rsid w:val="0011303D"/>
    <w:pPr>
      <w:pBdr>
        <w:top w:val="single" w:sz="12" w:space="0" w:color="auto"/>
        <w:left w:val="single" w:sz="12" w:space="0" w:color="auto"/>
      </w:pBdr>
      <w:shd w:val="clear" w:color="auto" w:fill="FFFF00"/>
      <w:spacing w:before="100" w:after="100"/>
      <w:jc w:val="center"/>
    </w:pPr>
    <w:rPr>
      <w:rFonts w:ascii="Arial" w:eastAsia="Arial Unicode MS" w:hAnsi="Arial"/>
      <w:b/>
    </w:rPr>
  </w:style>
  <w:style w:type="paragraph" w:customStyle="1" w:styleId="xl136">
    <w:name w:val="xl136"/>
    <w:basedOn w:val="Normal"/>
    <w:rsid w:val="0011303D"/>
    <w:pPr>
      <w:pBdr>
        <w:top w:val="single" w:sz="12" w:space="0" w:color="auto"/>
        <w:right w:val="single" w:sz="12" w:space="0" w:color="auto"/>
      </w:pBdr>
      <w:shd w:val="clear" w:color="auto" w:fill="FFFF00"/>
      <w:spacing w:before="100" w:after="100"/>
      <w:jc w:val="center"/>
    </w:pPr>
    <w:rPr>
      <w:rFonts w:ascii="Arial" w:eastAsia="Arial Unicode MS" w:hAnsi="Arial"/>
      <w:b/>
    </w:rPr>
  </w:style>
  <w:style w:type="paragraph" w:customStyle="1" w:styleId="xl137">
    <w:name w:val="xl137"/>
    <w:basedOn w:val="Normal"/>
    <w:rsid w:val="0011303D"/>
    <w:pPr>
      <w:pBdr>
        <w:top w:val="single" w:sz="12" w:space="0" w:color="auto"/>
      </w:pBdr>
      <w:spacing w:before="100" w:after="100"/>
      <w:jc w:val="center"/>
    </w:pPr>
    <w:rPr>
      <w:rFonts w:ascii="Arial" w:eastAsia="Arial Unicode MS" w:hAnsi="Arial"/>
    </w:rPr>
  </w:style>
  <w:style w:type="paragraph" w:customStyle="1" w:styleId="xl138">
    <w:name w:val="xl138"/>
    <w:basedOn w:val="Normal"/>
    <w:rsid w:val="0011303D"/>
    <w:pPr>
      <w:pBdr>
        <w:top w:val="single" w:sz="12" w:space="0" w:color="auto"/>
        <w:right w:val="single" w:sz="12" w:space="0" w:color="auto"/>
      </w:pBdr>
      <w:spacing w:before="100" w:after="100"/>
      <w:jc w:val="center"/>
    </w:pPr>
    <w:rPr>
      <w:rFonts w:ascii="Arial" w:eastAsia="Arial Unicode MS" w:hAnsi="Arial"/>
    </w:rPr>
  </w:style>
  <w:style w:type="paragraph" w:customStyle="1" w:styleId="xl139">
    <w:name w:val="xl139"/>
    <w:basedOn w:val="Normal"/>
    <w:rsid w:val="0011303D"/>
    <w:pPr>
      <w:pBdr>
        <w:top w:val="single" w:sz="12" w:space="0" w:color="auto"/>
        <w:left w:val="single" w:sz="12" w:space="0" w:color="auto"/>
        <w:bottom w:val="single" w:sz="12" w:space="0" w:color="auto"/>
        <w:right w:val="single" w:sz="4" w:space="0" w:color="auto"/>
      </w:pBdr>
      <w:shd w:val="clear" w:color="auto" w:fill="FFFF00"/>
      <w:spacing w:before="100" w:after="100"/>
      <w:jc w:val="center"/>
    </w:pPr>
    <w:rPr>
      <w:rFonts w:ascii="Arial" w:eastAsia="Arial Unicode MS" w:hAnsi="Arial"/>
      <w:b/>
    </w:rPr>
  </w:style>
  <w:style w:type="paragraph" w:customStyle="1" w:styleId="xl140">
    <w:name w:val="xl140"/>
    <w:basedOn w:val="Normal"/>
    <w:rsid w:val="0011303D"/>
    <w:pPr>
      <w:pBdr>
        <w:top w:val="single" w:sz="12" w:space="0" w:color="auto"/>
        <w:left w:val="single" w:sz="4" w:space="0" w:color="auto"/>
        <w:bottom w:val="single" w:sz="12" w:space="0" w:color="auto"/>
        <w:right w:val="single" w:sz="12" w:space="0" w:color="auto"/>
      </w:pBdr>
      <w:shd w:val="clear" w:color="auto" w:fill="FFFF00"/>
      <w:spacing w:before="100" w:after="100"/>
      <w:jc w:val="center"/>
    </w:pPr>
    <w:rPr>
      <w:rFonts w:ascii="Arial" w:eastAsia="Arial Unicode MS" w:hAnsi="Arial"/>
      <w:b/>
    </w:rPr>
  </w:style>
  <w:style w:type="paragraph" w:customStyle="1" w:styleId="xl141">
    <w:name w:val="xl141"/>
    <w:basedOn w:val="Normal"/>
    <w:rsid w:val="0011303D"/>
    <w:pPr>
      <w:pBdr>
        <w:top w:val="single" w:sz="12" w:space="0" w:color="auto"/>
        <w:left w:val="single" w:sz="12" w:space="0" w:color="auto"/>
        <w:bottom w:val="single" w:sz="12" w:space="0" w:color="auto"/>
      </w:pBdr>
      <w:shd w:val="clear" w:color="auto" w:fill="FFFF00"/>
      <w:spacing w:before="100" w:after="100"/>
      <w:jc w:val="center"/>
    </w:pPr>
    <w:rPr>
      <w:rFonts w:ascii="Arial" w:eastAsia="Arial Unicode MS" w:hAnsi="Arial"/>
      <w:b/>
    </w:rPr>
  </w:style>
  <w:style w:type="paragraph" w:customStyle="1" w:styleId="xl142">
    <w:name w:val="xl142"/>
    <w:basedOn w:val="Normal"/>
    <w:rsid w:val="0011303D"/>
    <w:pPr>
      <w:pBdr>
        <w:top w:val="single" w:sz="12" w:space="0" w:color="auto"/>
        <w:bottom w:val="single" w:sz="12" w:space="0" w:color="auto"/>
        <w:right w:val="single" w:sz="4" w:space="0" w:color="auto"/>
      </w:pBdr>
      <w:spacing w:before="100" w:after="100"/>
      <w:jc w:val="center"/>
    </w:pPr>
    <w:rPr>
      <w:rFonts w:ascii="Arial" w:eastAsia="Arial Unicode MS" w:hAnsi="Arial"/>
    </w:rPr>
  </w:style>
  <w:style w:type="paragraph" w:customStyle="1" w:styleId="xl143">
    <w:name w:val="xl143"/>
    <w:basedOn w:val="Normal"/>
    <w:rsid w:val="0011303D"/>
    <w:pPr>
      <w:pBdr>
        <w:top w:val="single" w:sz="12" w:space="0" w:color="auto"/>
        <w:left w:val="single" w:sz="4" w:space="0" w:color="auto"/>
        <w:bottom w:val="single" w:sz="12" w:space="0" w:color="auto"/>
      </w:pBdr>
      <w:shd w:val="clear" w:color="auto" w:fill="FFFF00"/>
      <w:spacing w:before="100" w:after="100"/>
      <w:jc w:val="center"/>
    </w:pPr>
    <w:rPr>
      <w:rFonts w:ascii="Arial" w:eastAsia="Arial Unicode MS" w:hAnsi="Arial"/>
      <w:b/>
    </w:rPr>
  </w:style>
  <w:style w:type="paragraph" w:customStyle="1" w:styleId="xl144">
    <w:name w:val="xl144"/>
    <w:basedOn w:val="Normal"/>
    <w:rsid w:val="0011303D"/>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olor w:val="FF00FF"/>
      <w:sz w:val="22"/>
    </w:rPr>
  </w:style>
  <w:style w:type="paragraph" w:customStyle="1" w:styleId="xl145">
    <w:name w:val="xl145"/>
    <w:basedOn w:val="Normal"/>
    <w:rsid w:val="0011303D"/>
    <w:pPr>
      <w:pBdr>
        <w:top w:val="single" w:sz="4" w:space="0" w:color="auto"/>
        <w:left w:val="single" w:sz="12" w:space="0" w:color="auto"/>
        <w:bottom w:val="single" w:sz="8" w:space="0" w:color="auto"/>
        <w:right w:val="single" w:sz="12" w:space="0" w:color="auto"/>
      </w:pBdr>
      <w:shd w:val="clear" w:color="auto" w:fill="FFFF00"/>
      <w:spacing w:before="100" w:after="100"/>
    </w:pPr>
    <w:rPr>
      <w:rFonts w:ascii="Arial" w:eastAsia="Arial Unicode MS" w:hAnsi="Arial"/>
      <w:color w:val="800080"/>
      <w:sz w:val="22"/>
    </w:rPr>
  </w:style>
  <w:style w:type="paragraph" w:customStyle="1" w:styleId="xl146">
    <w:name w:val="xl146"/>
    <w:basedOn w:val="Normal"/>
    <w:rsid w:val="0011303D"/>
    <w:pPr>
      <w:pBdr>
        <w:top w:val="single" w:sz="8"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FF00FF"/>
      <w:sz w:val="22"/>
    </w:rPr>
  </w:style>
  <w:style w:type="paragraph" w:customStyle="1" w:styleId="xl147">
    <w:name w:val="xl147"/>
    <w:basedOn w:val="Normal"/>
    <w:rsid w:val="0011303D"/>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olor w:val="800080"/>
      <w:sz w:val="22"/>
    </w:rPr>
  </w:style>
  <w:style w:type="paragraph" w:customStyle="1" w:styleId="xl148">
    <w:name w:val="xl148"/>
    <w:basedOn w:val="Normal"/>
    <w:rsid w:val="0011303D"/>
    <w:pPr>
      <w:pBdr>
        <w:top w:val="single" w:sz="12" w:space="0" w:color="auto"/>
        <w:left w:val="single" w:sz="12" w:space="0" w:color="auto"/>
        <w:bottom w:val="single" w:sz="8" w:space="0" w:color="auto"/>
      </w:pBdr>
      <w:shd w:val="clear" w:color="auto" w:fill="FFFF00"/>
      <w:spacing w:before="100" w:after="100"/>
      <w:jc w:val="center"/>
    </w:pPr>
    <w:rPr>
      <w:rFonts w:ascii="Arial" w:eastAsia="Arial Unicode MS" w:hAnsi="Arial"/>
      <w:b/>
      <w:sz w:val="22"/>
    </w:rPr>
  </w:style>
  <w:style w:type="paragraph" w:customStyle="1" w:styleId="xl149">
    <w:name w:val="xl149"/>
    <w:basedOn w:val="Normal"/>
    <w:rsid w:val="0011303D"/>
    <w:pPr>
      <w:pBdr>
        <w:top w:val="single" w:sz="12" w:space="0" w:color="auto"/>
        <w:bottom w:val="single" w:sz="8" w:space="0" w:color="auto"/>
        <w:right w:val="single" w:sz="12" w:space="0" w:color="auto"/>
      </w:pBdr>
      <w:shd w:val="clear" w:color="auto" w:fill="FFFF00"/>
      <w:spacing w:before="100" w:after="100"/>
      <w:jc w:val="center"/>
    </w:pPr>
    <w:rPr>
      <w:rFonts w:ascii="Arial" w:eastAsia="Arial Unicode MS" w:hAnsi="Arial"/>
      <w:b/>
      <w:sz w:val="22"/>
    </w:rPr>
  </w:style>
  <w:style w:type="paragraph" w:customStyle="1" w:styleId="xl150">
    <w:name w:val="xl150"/>
    <w:basedOn w:val="Normal"/>
    <w:rsid w:val="0011303D"/>
    <w:pPr>
      <w:pBdr>
        <w:top w:val="single" w:sz="12" w:space="0" w:color="auto"/>
        <w:bottom w:val="single" w:sz="8" w:space="0" w:color="auto"/>
      </w:pBdr>
      <w:spacing w:before="100" w:after="100"/>
      <w:jc w:val="center"/>
    </w:pPr>
    <w:rPr>
      <w:rFonts w:ascii="Arial" w:eastAsia="Arial Unicode MS" w:hAnsi="Arial"/>
      <w:sz w:val="22"/>
    </w:rPr>
  </w:style>
  <w:style w:type="paragraph" w:customStyle="1" w:styleId="xl151">
    <w:name w:val="xl151"/>
    <w:basedOn w:val="Normal"/>
    <w:rsid w:val="0011303D"/>
    <w:pPr>
      <w:pBdr>
        <w:top w:val="single" w:sz="12" w:space="0" w:color="auto"/>
        <w:bottom w:val="single" w:sz="8" w:space="0" w:color="auto"/>
        <w:right w:val="single" w:sz="12" w:space="0" w:color="auto"/>
      </w:pBdr>
      <w:spacing w:before="100" w:after="100"/>
      <w:jc w:val="center"/>
    </w:pPr>
    <w:rPr>
      <w:rFonts w:ascii="Arial" w:eastAsia="Arial Unicode MS" w:hAnsi="Arial"/>
      <w:sz w:val="22"/>
    </w:rPr>
  </w:style>
  <w:style w:type="paragraph" w:customStyle="1" w:styleId="xl152">
    <w:name w:val="xl152"/>
    <w:basedOn w:val="Normal"/>
    <w:rsid w:val="0011303D"/>
    <w:pPr>
      <w:pBdr>
        <w:top w:val="single" w:sz="12" w:space="0" w:color="auto"/>
        <w:bottom w:val="single" w:sz="8" w:space="0" w:color="auto"/>
      </w:pBdr>
      <w:spacing w:before="100" w:after="100"/>
    </w:pPr>
    <w:rPr>
      <w:rFonts w:ascii="Arial" w:eastAsia="Arial Unicode MS" w:hAnsi="Arial"/>
      <w:sz w:val="22"/>
    </w:rPr>
  </w:style>
  <w:style w:type="paragraph" w:customStyle="1" w:styleId="xl153">
    <w:name w:val="xl153"/>
    <w:basedOn w:val="Normal"/>
    <w:rsid w:val="0011303D"/>
    <w:pPr>
      <w:pBdr>
        <w:top w:val="single" w:sz="12" w:space="0" w:color="auto"/>
        <w:bottom w:val="single" w:sz="8" w:space="0" w:color="auto"/>
        <w:right w:val="single" w:sz="12" w:space="0" w:color="auto"/>
      </w:pBdr>
      <w:spacing w:before="100" w:after="100"/>
    </w:pPr>
    <w:rPr>
      <w:rFonts w:ascii="Arial" w:eastAsia="Arial Unicode MS" w:hAnsi="Arial"/>
      <w:sz w:val="22"/>
    </w:rPr>
  </w:style>
  <w:style w:type="paragraph" w:customStyle="1" w:styleId="xl154">
    <w:name w:val="xl154"/>
    <w:basedOn w:val="Normal"/>
    <w:rsid w:val="0011303D"/>
    <w:pPr>
      <w:pBdr>
        <w:top w:val="single" w:sz="8" w:space="0" w:color="auto"/>
        <w:left w:val="single" w:sz="12" w:space="0" w:color="auto"/>
        <w:bottom w:val="single" w:sz="12" w:space="0" w:color="auto"/>
        <w:right w:val="single" w:sz="4" w:space="0" w:color="auto"/>
      </w:pBdr>
      <w:shd w:val="clear" w:color="auto" w:fill="FFFF00"/>
      <w:spacing w:before="100" w:after="100"/>
      <w:jc w:val="center"/>
    </w:pPr>
    <w:rPr>
      <w:rFonts w:ascii="Arial" w:eastAsia="Arial Unicode MS" w:hAnsi="Arial"/>
      <w:b/>
      <w:sz w:val="22"/>
    </w:rPr>
  </w:style>
  <w:style w:type="paragraph" w:customStyle="1" w:styleId="xl155">
    <w:name w:val="xl155"/>
    <w:basedOn w:val="Normal"/>
    <w:rsid w:val="0011303D"/>
    <w:pPr>
      <w:pBdr>
        <w:top w:val="single" w:sz="8" w:space="0" w:color="auto"/>
        <w:left w:val="single" w:sz="4" w:space="0" w:color="auto"/>
        <w:bottom w:val="single" w:sz="12" w:space="0" w:color="auto"/>
        <w:right w:val="single" w:sz="12" w:space="0" w:color="auto"/>
      </w:pBdr>
      <w:shd w:val="clear" w:color="auto" w:fill="FFFF00"/>
      <w:spacing w:before="100" w:after="100"/>
      <w:jc w:val="center"/>
    </w:pPr>
    <w:rPr>
      <w:rFonts w:ascii="Arial" w:eastAsia="Arial Unicode MS" w:hAnsi="Arial"/>
      <w:b/>
      <w:sz w:val="22"/>
    </w:rPr>
  </w:style>
  <w:style w:type="paragraph" w:customStyle="1" w:styleId="xl156">
    <w:name w:val="xl156"/>
    <w:basedOn w:val="Normal"/>
    <w:rsid w:val="0011303D"/>
    <w:pPr>
      <w:pBdr>
        <w:top w:val="single" w:sz="8" w:space="0" w:color="auto"/>
        <w:left w:val="single" w:sz="12" w:space="0" w:color="auto"/>
        <w:bottom w:val="single" w:sz="12" w:space="0" w:color="auto"/>
      </w:pBdr>
      <w:shd w:val="clear" w:color="auto" w:fill="FFFF00"/>
      <w:spacing w:before="100" w:after="100"/>
      <w:jc w:val="center"/>
    </w:pPr>
    <w:rPr>
      <w:rFonts w:ascii="Arial" w:eastAsia="Arial Unicode MS" w:hAnsi="Arial"/>
      <w:b/>
      <w:sz w:val="22"/>
    </w:rPr>
  </w:style>
  <w:style w:type="paragraph" w:customStyle="1" w:styleId="xl157">
    <w:name w:val="xl157"/>
    <w:basedOn w:val="Normal"/>
    <w:rsid w:val="0011303D"/>
    <w:pPr>
      <w:pBdr>
        <w:top w:val="single" w:sz="8" w:space="0" w:color="auto"/>
        <w:bottom w:val="single" w:sz="12" w:space="0" w:color="auto"/>
        <w:right w:val="single" w:sz="4" w:space="0" w:color="auto"/>
      </w:pBdr>
      <w:spacing w:before="100" w:after="100"/>
      <w:jc w:val="center"/>
    </w:pPr>
    <w:rPr>
      <w:rFonts w:ascii="Arial" w:eastAsia="Arial Unicode MS" w:hAnsi="Arial"/>
      <w:sz w:val="22"/>
    </w:rPr>
  </w:style>
  <w:style w:type="paragraph" w:customStyle="1" w:styleId="xl158">
    <w:name w:val="xl158"/>
    <w:basedOn w:val="Normal"/>
    <w:rsid w:val="0011303D"/>
    <w:pPr>
      <w:pBdr>
        <w:top w:val="single" w:sz="8" w:space="0" w:color="auto"/>
        <w:left w:val="single" w:sz="4" w:space="0" w:color="auto"/>
        <w:bottom w:val="single" w:sz="12" w:space="0" w:color="auto"/>
      </w:pBdr>
      <w:shd w:val="clear" w:color="auto" w:fill="FFFF00"/>
      <w:spacing w:before="100" w:after="100"/>
      <w:jc w:val="center"/>
    </w:pPr>
    <w:rPr>
      <w:rFonts w:ascii="Arial" w:eastAsia="Arial Unicode MS" w:hAnsi="Arial"/>
      <w:b/>
      <w:sz w:val="22"/>
    </w:rPr>
  </w:style>
  <w:style w:type="paragraph" w:customStyle="1" w:styleId="xl159">
    <w:name w:val="xl159"/>
    <w:basedOn w:val="Normal"/>
    <w:rsid w:val="0011303D"/>
    <w:pPr>
      <w:pBdr>
        <w:top w:val="single" w:sz="8" w:space="0" w:color="auto"/>
        <w:bottom w:val="single" w:sz="12" w:space="0" w:color="auto"/>
        <w:right w:val="single" w:sz="12" w:space="0" w:color="auto"/>
      </w:pBdr>
      <w:spacing w:before="100" w:after="100"/>
      <w:jc w:val="center"/>
    </w:pPr>
    <w:rPr>
      <w:rFonts w:ascii="Arial" w:eastAsia="Arial Unicode MS" w:hAnsi="Arial"/>
      <w:sz w:val="22"/>
    </w:rPr>
  </w:style>
  <w:style w:type="character" w:customStyle="1" w:styleId="CharChar1">
    <w:name w:val="Char Char1"/>
    <w:basedOn w:val="DefaultParagraphFont"/>
    <w:rsid w:val="0011303D"/>
    <w:rPr>
      <w:rFonts w:eastAsia="Times"/>
      <w:bCs/>
      <w:i/>
      <w:sz w:val="24"/>
      <w:szCs w:val="28"/>
      <w:lang w:val="en-US" w:eastAsia="en-US" w:bidi="ar-SA"/>
    </w:rPr>
  </w:style>
  <w:style w:type="paragraph" w:customStyle="1" w:styleId="keyheaders">
    <w:name w:val="keyheaders"/>
    <w:basedOn w:val="Normal"/>
    <w:rsid w:val="0011303D"/>
    <w:pPr>
      <w:spacing w:before="100" w:beforeAutospacing="1" w:after="100" w:afterAutospacing="1"/>
    </w:pPr>
  </w:style>
  <w:style w:type="character" w:customStyle="1" w:styleId="style11">
    <w:name w:val="style11"/>
    <w:basedOn w:val="DefaultParagraphFont"/>
    <w:rsid w:val="0011303D"/>
    <w:rPr>
      <w:rFonts w:ascii="Arial Narrow" w:hAnsi="Arial Narrow" w:hint="default"/>
    </w:rPr>
  </w:style>
  <w:style w:type="paragraph" w:customStyle="1" w:styleId="homepagetext">
    <w:name w:val="homepagetext"/>
    <w:basedOn w:val="Normal"/>
    <w:rsid w:val="0011303D"/>
    <w:pPr>
      <w:spacing w:before="100" w:beforeAutospacing="1" w:after="100" w:afterAutospacing="1"/>
    </w:pPr>
    <w:rPr>
      <w:rFonts w:ascii="Arial" w:hAnsi="Arial" w:cs="Arial"/>
      <w:color w:val="CCCCCC"/>
      <w:sz w:val="18"/>
      <w:szCs w:val="18"/>
    </w:rPr>
  </w:style>
  <w:style w:type="paragraph" w:customStyle="1" w:styleId="CM8">
    <w:name w:val="CM8"/>
    <w:basedOn w:val="Default"/>
    <w:next w:val="Default"/>
    <w:rsid w:val="0011303D"/>
    <w:pPr>
      <w:spacing w:line="228" w:lineRule="atLeast"/>
    </w:pPr>
    <w:rPr>
      <w:rFonts w:ascii="Arial" w:hAnsi="Arial"/>
      <w:color w:val="auto"/>
    </w:rPr>
  </w:style>
  <w:style w:type="paragraph" w:customStyle="1" w:styleId="CM4">
    <w:name w:val="CM4"/>
    <w:basedOn w:val="Default"/>
    <w:next w:val="Default"/>
    <w:rsid w:val="0011303D"/>
    <w:pPr>
      <w:spacing w:line="228" w:lineRule="atLeast"/>
    </w:pPr>
    <w:rPr>
      <w:rFonts w:ascii="Arial" w:hAnsi="Arial"/>
      <w:color w:val="auto"/>
    </w:rPr>
  </w:style>
  <w:style w:type="paragraph" w:customStyle="1" w:styleId="CM110">
    <w:name w:val="CM110"/>
    <w:basedOn w:val="Default"/>
    <w:next w:val="Default"/>
    <w:rsid w:val="0011303D"/>
    <w:pPr>
      <w:spacing w:line="228" w:lineRule="atLeast"/>
    </w:pPr>
    <w:rPr>
      <w:rFonts w:ascii="Arial" w:hAnsi="Arial"/>
      <w:color w:val="auto"/>
    </w:rPr>
  </w:style>
  <w:style w:type="paragraph" w:customStyle="1" w:styleId="CM74">
    <w:name w:val="CM74"/>
    <w:basedOn w:val="Default"/>
    <w:next w:val="Default"/>
    <w:rsid w:val="0011303D"/>
    <w:pPr>
      <w:spacing w:line="228" w:lineRule="atLeast"/>
    </w:pPr>
    <w:rPr>
      <w:rFonts w:ascii="Arial" w:hAnsi="Arial"/>
      <w:color w:val="auto"/>
    </w:rPr>
  </w:style>
  <w:style w:type="paragraph" w:customStyle="1" w:styleId="CM85">
    <w:name w:val="CM85"/>
    <w:basedOn w:val="Default"/>
    <w:next w:val="Default"/>
    <w:rsid w:val="0011303D"/>
    <w:pPr>
      <w:spacing w:line="228" w:lineRule="atLeast"/>
    </w:pPr>
    <w:rPr>
      <w:rFonts w:ascii="Arial" w:hAnsi="Arial"/>
      <w:color w:val="auto"/>
    </w:rPr>
  </w:style>
  <w:style w:type="paragraph" w:customStyle="1" w:styleId="CM105">
    <w:name w:val="CM105"/>
    <w:basedOn w:val="Default"/>
    <w:next w:val="Default"/>
    <w:rsid w:val="0011303D"/>
    <w:pPr>
      <w:spacing w:line="228" w:lineRule="atLeast"/>
    </w:pPr>
    <w:rPr>
      <w:rFonts w:ascii="Arial" w:hAnsi="Arial"/>
      <w:color w:val="auto"/>
    </w:rPr>
  </w:style>
  <w:style w:type="paragraph" w:styleId="z-TopofForm">
    <w:name w:val="HTML Top of Form"/>
    <w:basedOn w:val="Normal"/>
    <w:next w:val="Normal"/>
    <w:link w:val="z-TopofFormChar"/>
    <w:hidden/>
    <w:rsid w:val="0011303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locked/>
    <w:rsid w:val="008357AC"/>
    <w:rPr>
      <w:rFonts w:ascii="Arial" w:hAnsi="Arial" w:cs="Arial"/>
      <w:vanish/>
      <w:sz w:val="16"/>
      <w:szCs w:val="16"/>
    </w:rPr>
  </w:style>
  <w:style w:type="paragraph" w:styleId="z-BottomofForm">
    <w:name w:val="HTML Bottom of Form"/>
    <w:basedOn w:val="Normal"/>
    <w:next w:val="Normal"/>
    <w:link w:val="z-BottomofFormChar"/>
    <w:hidden/>
    <w:rsid w:val="0011303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locked/>
    <w:rsid w:val="008357AC"/>
    <w:rPr>
      <w:rFonts w:ascii="Arial" w:hAnsi="Arial" w:cs="Arial"/>
      <w:vanish/>
      <w:sz w:val="16"/>
      <w:szCs w:val="16"/>
    </w:rPr>
  </w:style>
  <w:style w:type="character" w:styleId="Emphasis">
    <w:name w:val="Emphasis"/>
    <w:basedOn w:val="DefaultParagraphFont"/>
    <w:uiPriority w:val="20"/>
    <w:qFormat/>
    <w:rsid w:val="0029309D"/>
    <w:rPr>
      <w:rFonts w:ascii="Times New Roman" w:hAnsi="Times New Roman"/>
      <w:b/>
      <w:iCs/>
      <w:sz w:val="24"/>
    </w:rPr>
  </w:style>
  <w:style w:type="paragraph" w:customStyle="1" w:styleId="xl22">
    <w:name w:val="xl22"/>
    <w:basedOn w:val="Normal"/>
    <w:rsid w:val="0011303D"/>
    <w:pPr>
      <w:pBdr>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ListBullet4">
    <w:name w:val="List Bullet 4"/>
    <w:basedOn w:val="Normal"/>
    <w:autoRedefine/>
    <w:rsid w:val="0011303D"/>
    <w:pPr>
      <w:tabs>
        <w:tab w:val="num" w:pos="1440"/>
      </w:tabs>
      <w:ind w:left="1440" w:hanging="360"/>
    </w:pPr>
  </w:style>
  <w:style w:type="paragraph" w:styleId="HTMLPreformatted">
    <w:name w:val="HTML Preformatted"/>
    <w:basedOn w:val="Normal"/>
    <w:link w:val="HTMLPreformattedChar"/>
    <w:uiPriority w:val="99"/>
    <w:rsid w:val="00113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character" w:customStyle="1" w:styleId="HTMLPreformattedChar">
    <w:name w:val="HTML Preformatted Char"/>
    <w:basedOn w:val="DefaultParagraphFont"/>
    <w:link w:val="HTMLPreformatted"/>
    <w:uiPriority w:val="99"/>
    <w:locked/>
    <w:rsid w:val="008357AC"/>
    <w:rPr>
      <w:rFonts w:ascii="Courier New" w:eastAsia="Courier New" w:hAnsi="Courier New" w:cs="Courier New"/>
      <w:color w:val="000000"/>
    </w:rPr>
  </w:style>
  <w:style w:type="paragraph" w:styleId="List2">
    <w:name w:val="List 2"/>
    <w:basedOn w:val="Normal"/>
    <w:rsid w:val="0011303D"/>
    <w:pPr>
      <w:ind w:left="720" w:hanging="360"/>
    </w:pPr>
  </w:style>
  <w:style w:type="paragraph" w:customStyle="1" w:styleId="Style">
    <w:name w:val="Style"/>
    <w:basedOn w:val="FootnoteText"/>
    <w:rsid w:val="0011303D"/>
    <w:pPr>
      <w:keepLines/>
      <w:spacing w:after="240"/>
    </w:pPr>
    <w:rPr>
      <w:sz w:val="24"/>
    </w:rPr>
  </w:style>
  <w:style w:type="paragraph" w:customStyle="1" w:styleId="Style1">
    <w:name w:val="Style1"/>
    <w:basedOn w:val="Title"/>
    <w:rsid w:val="0011303D"/>
    <w:pPr>
      <w:widowControl/>
      <w:autoSpaceDE/>
      <w:autoSpaceDN/>
      <w:adjustRightInd/>
      <w:spacing w:before="240" w:after="60"/>
      <w:jc w:val="left"/>
      <w:outlineLvl w:val="0"/>
    </w:pPr>
    <w:rPr>
      <w:rFonts w:cs="Arial"/>
      <w:kern w:val="28"/>
      <w:sz w:val="28"/>
      <w:szCs w:val="32"/>
    </w:rPr>
  </w:style>
  <w:style w:type="character" w:customStyle="1" w:styleId="MTEquationSection">
    <w:name w:val="MTEquationSection"/>
    <w:basedOn w:val="DefaultParagraphFont"/>
    <w:rsid w:val="0011303D"/>
    <w:rPr>
      <w:vanish/>
      <w:color w:val="FF0000"/>
      <w:sz w:val="28"/>
      <w:szCs w:val="28"/>
    </w:rPr>
  </w:style>
  <w:style w:type="paragraph" w:styleId="Index2">
    <w:name w:val="index 2"/>
    <w:basedOn w:val="Normal"/>
    <w:next w:val="Normal"/>
    <w:autoRedefine/>
    <w:uiPriority w:val="99"/>
    <w:rsid w:val="0011303D"/>
    <w:pPr>
      <w:ind w:left="480" w:hanging="240"/>
    </w:pPr>
    <w:rPr>
      <w:sz w:val="18"/>
      <w:szCs w:val="18"/>
    </w:rPr>
  </w:style>
  <w:style w:type="paragraph" w:styleId="Index3">
    <w:name w:val="index 3"/>
    <w:basedOn w:val="Normal"/>
    <w:next w:val="Normal"/>
    <w:autoRedefine/>
    <w:rsid w:val="0011303D"/>
    <w:pPr>
      <w:ind w:left="720" w:hanging="240"/>
    </w:pPr>
    <w:rPr>
      <w:sz w:val="18"/>
      <w:szCs w:val="18"/>
    </w:rPr>
  </w:style>
  <w:style w:type="paragraph" w:styleId="Index4">
    <w:name w:val="index 4"/>
    <w:basedOn w:val="Normal"/>
    <w:next w:val="Normal"/>
    <w:autoRedefine/>
    <w:rsid w:val="0011303D"/>
    <w:pPr>
      <w:ind w:left="960" w:hanging="240"/>
    </w:pPr>
    <w:rPr>
      <w:sz w:val="18"/>
      <w:szCs w:val="18"/>
    </w:rPr>
  </w:style>
  <w:style w:type="paragraph" w:styleId="Index5">
    <w:name w:val="index 5"/>
    <w:basedOn w:val="Normal"/>
    <w:next w:val="Normal"/>
    <w:autoRedefine/>
    <w:rsid w:val="0011303D"/>
    <w:pPr>
      <w:ind w:left="1200" w:hanging="240"/>
    </w:pPr>
    <w:rPr>
      <w:sz w:val="18"/>
      <w:szCs w:val="18"/>
    </w:rPr>
  </w:style>
  <w:style w:type="paragraph" w:styleId="Index6">
    <w:name w:val="index 6"/>
    <w:basedOn w:val="Normal"/>
    <w:next w:val="Normal"/>
    <w:autoRedefine/>
    <w:rsid w:val="0011303D"/>
    <w:pPr>
      <w:ind w:left="1440" w:hanging="240"/>
    </w:pPr>
    <w:rPr>
      <w:sz w:val="18"/>
      <w:szCs w:val="18"/>
    </w:rPr>
  </w:style>
  <w:style w:type="paragraph" w:styleId="Index7">
    <w:name w:val="index 7"/>
    <w:basedOn w:val="Normal"/>
    <w:next w:val="Normal"/>
    <w:autoRedefine/>
    <w:rsid w:val="0011303D"/>
    <w:pPr>
      <w:ind w:left="1680" w:hanging="240"/>
    </w:pPr>
    <w:rPr>
      <w:sz w:val="18"/>
      <w:szCs w:val="18"/>
    </w:rPr>
  </w:style>
  <w:style w:type="paragraph" w:styleId="Index8">
    <w:name w:val="index 8"/>
    <w:basedOn w:val="Normal"/>
    <w:next w:val="Normal"/>
    <w:autoRedefine/>
    <w:rsid w:val="0011303D"/>
    <w:pPr>
      <w:ind w:left="1920" w:hanging="240"/>
    </w:pPr>
    <w:rPr>
      <w:sz w:val="18"/>
      <w:szCs w:val="18"/>
    </w:rPr>
  </w:style>
  <w:style w:type="paragraph" w:styleId="Index9">
    <w:name w:val="index 9"/>
    <w:basedOn w:val="Normal"/>
    <w:next w:val="Normal"/>
    <w:autoRedefine/>
    <w:rsid w:val="0011303D"/>
    <w:pPr>
      <w:ind w:left="2160" w:hanging="240"/>
    </w:pPr>
    <w:rPr>
      <w:sz w:val="18"/>
      <w:szCs w:val="18"/>
    </w:rPr>
  </w:style>
  <w:style w:type="paragraph" w:styleId="IndexHeading">
    <w:name w:val="index heading"/>
    <w:basedOn w:val="Normal"/>
    <w:next w:val="Index1"/>
    <w:rsid w:val="0011303D"/>
    <w:pPr>
      <w:spacing w:before="240" w:after="120"/>
      <w:jc w:val="center"/>
    </w:pPr>
    <w:rPr>
      <w:b/>
      <w:bCs/>
      <w:sz w:val="26"/>
      <w:szCs w:val="26"/>
    </w:rPr>
  </w:style>
  <w:style w:type="character" w:customStyle="1" w:styleId="TabletitleChar2">
    <w:name w:val="Table title Char2"/>
    <w:basedOn w:val="DefaultParagraphFont"/>
    <w:rsid w:val="0011303D"/>
    <w:rPr>
      <w:bCs/>
      <w:sz w:val="24"/>
      <w:szCs w:val="24"/>
      <w:lang w:val="en-US" w:eastAsia="en-US" w:bidi="ar-SA"/>
    </w:rPr>
  </w:style>
  <w:style w:type="character" w:customStyle="1" w:styleId="Heading3Char">
    <w:name w:val="Heading 3 Char"/>
    <w:basedOn w:val="DefaultParagraphFont"/>
    <w:rsid w:val="0011303D"/>
    <w:rPr>
      <w:rFonts w:ascii="Arial" w:hAnsi="Arial" w:cs="Arial"/>
      <w:b/>
      <w:bCs/>
      <w:sz w:val="26"/>
      <w:szCs w:val="26"/>
      <w:lang w:val="en-US" w:eastAsia="en-US" w:bidi="ar-SA"/>
    </w:rPr>
  </w:style>
  <w:style w:type="paragraph" w:styleId="ListContinue2">
    <w:name w:val="List Continue 2"/>
    <w:basedOn w:val="Normal"/>
    <w:rsid w:val="0011303D"/>
    <w:pPr>
      <w:spacing w:after="120"/>
      <w:ind w:left="720"/>
    </w:pPr>
  </w:style>
  <w:style w:type="character" w:styleId="CommentReference">
    <w:name w:val="annotation reference"/>
    <w:basedOn w:val="DefaultParagraphFont"/>
    <w:uiPriority w:val="99"/>
    <w:rsid w:val="0011303D"/>
    <w:rPr>
      <w:sz w:val="16"/>
      <w:szCs w:val="16"/>
    </w:rPr>
  </w:style>
  <w:style w:type="paragraph" w:customStyle="1" w:styleId="Julie4">
    <w:name w:val="Julie 4"/>
    <w:basedOn w:val="Normal"/>
    <w:rsid w:val="0011303D"/>
  </w:style>
  <w:style w:type="paragraph" w:customStyle="1" w:styleId="PropNorm">
    <w:name w:val="PropNorm"/>
    <w:basedOn w:val="Default"/>
    <w:next w:val="Default"/>
    <w:rsid w:val="0011303D"/>
    <w:rPr>
      <w:rFonts w:ascii="COIHJI+TimesNewRoman" w:hAnsi="COIHJI+TimesNewRoman"/>
      <w:color w:val="auto"/>
    </w:rPr>
  </w:style>
  <w:style w:type="paragraph" w:customStyle="1" w:styleId="WPDefaults">
    <w:name w:val="WP Defaults"/>
    <w:basedOn w:val="Normal"/>
    <w:rsid w:val="0011303D"/>
    <w:rPr>
      <w:szCs w:val="20"/>
      <w:lang w:val="en-GB"/>
    </w:rPr>
  </w:style>
  <w:style w:type="character" w:customStyle="1" w:styleId="Heading4Char">
    <w:name w:val="Heading 4 Char"/>
    <w:aliases w:val="Heading 4 Char Char Char"/>
    <w:basedOn w:val="DefaultParagraphFont"/>
    <w:rsid w:val="0011303D"/>
    <w:rPr>
      <w:b/>
      <w:bCs/>
      <w:sz w:val="28"/>
      <w:szCs w:val="28"/>
    </w:rPr>
  </w:style>
  <w:style w:type="paragraph" w:customStyle="1" w:styleId="MyTOC1">
    <w:name w:val="My TOC1"/>
    <w:basedOn w:val="Normal"/>
    <w:next w:val="Normal"/>
    <w:autoRedefine/>
    <w:rsid w:val="0011303D"/>
    <w:pPr>
      <w:widowControl w:val="0"/>
      <w:autoSpaceDE w:val="0"/>
      <w:autoSpaceDN w:val="0"/>
      <w:adjustRightInd w:val="0"/>
    </w:pPr>
    <w:rPr>
      <w:b/>
      <w:caps/>
    </w:rPr>
  </w:style>
  <w:style w:type="paragraph" w:customStyle="1" w:styleId="MyTOC2">
    <w:name w:val="My TOC2"/>
    <w:basedOn w:val="Normal"/>
    <w:next w:val="Normal"/>
    <w:autoRedefine/>
    <w:rsid w:val="0011303D"/>
    <w:pPr>
      <w:widowControl w:val="0"/>
      <w:numPr>
        <w:ilvl w:val="12"/>
      </w:numPr>
      <w:autoSpaceDE w:val="0"/>
      <w:autoSpaceDN w:val="0"/>
      <w:adjustRightInd w:val="0"/>
      <w:ind w:left="360"/>
    </w:pPr>
    <w:rPr>
      <w:b/>
      <w:bCs/>
    </w:rPr>
  </w:style>
  <w:style w:type="paragraph" w:customStyle="1" w:styleId="MyTOC3">
    <w:name w:val="My TOC3"/>
    <w:basedOn w:val="Normal"/>
    <w:next w:val="Normal"/>
    <w:autoRedefine/>
    <w:rsid w:val="0011303D"/>
    <w:pPr>
      <w:widowControl w:val="0"/>
      <w:autoSpaceDE w:val="0"/>
      <w:autoSpaceDN w:val="0"/>
      <w:adjustRightInd w:val="0"/>
    </w:pPr>
    <w:rPr>
      <w:b/>
      <w:bCs/>
      <w:szCs w:val="20"/>
    </w:rPr>
  </w:style>
  <w:style w:type="character" w:customStyle="1" w:styleId="FooterChar">
    <w:name w:val="Footer Char"/>
    <w:basedOn w:val="DefaultParagraphFont"/>
    <w:uiPriority w:val="99"/>
    <w:rsid w:val="0011303D"/>
    <w:rPr>
      <w:sz w:val="24"/>
      <w:szCs w:val="24"/>
    </w:rPr>
  </w:style>
  <w:style w:type="paragraph" w:customStyle="1" w:styleId="Outline3">
    <w:name w:val="Outline 3"/>
    <w:basedOn w:val="Normal"/>
    <w:rsid w:val="0011303D"/>
    <w:pPr>
      <w:ind w:left="2160"/>
    </w:pPr>
    <w:rPr>
      <w:sz w:val="20"/>
      <w:szCs w:val="20"/>
      <w:lang w:val="en-GB"/>
    </w:rPr>
  </w:style>
  <w:style w:type="paragraph" w:customStyle="1" w:styleId="Document3">
    <w:name w:val="Document[3]"/>
    <w:rsid w:val="0011303D"/>
    <w:rPr>
      <w:rFonts w:ascii="Courier" w:hAnsi="Courier"/>
      <w:b/>
    </w:rPr>
  </w:style>
  <w:style w:type="character" w:customStyle="1" w:styleId="CharChar27">
    <w:name w:val="Char Char27"/>
    <w:basedOn w:val="DefaultParagraphFont"/>
    <w:locked/>
    <w:rsid w:val="003C7BD3"/>
    <w:rPr>
      <w:rFonts w:ascii="Arial" w:hAnsi="Arial" w:cs="Arial"/>
      <w:b/>
      <w:bCs/>
      <w:kern w:val="32"/>
      <w:sz w:val="32"/>
      <w:szCs w:val="32"/>
    </w:rPr>
  </w:style>
  <w:style w:type="character" w:customStyle="1" w:styleId="CharChar26">
    <w:name w:val="Char Char26"/>
    <w:basedOn w:val="DefaultParagraphFont"/>
    <w:locked/>
    <w:rsid w:val="003C7BD3"/>
    <w:rPr>
      <w:rFonts w:ascii="Arial" w:hAnsi="Arial" w:cs="Arial"/>
      <w:b/>
      <w:bCs/>
      <w:i/>
      <w:iCs/>
      <w:sz w:val="28"/>
      <w:szCs w:val="28"/>
    </w:rPr>
  </w:style>
  <w:style w:type="character" w:customStyle="1" w:styleId="CharChar25">
    <w:name w:val="Char Char25"/>
    <w:basedOn w:val="DefaultParagraphFont"/>
    <w:locked/>
    <w:rsid w:val="003C7BD3"/>
    <w:rPr>
      <w:rFonts w:ascii="Arial" w:hAnsi="Arial" w:cs="Arial"/>
      <w:b/>
      <w:bCs/>
      <w:sz w:val="26"/>
      <w:szCs w:val="26"/>
    </w:rPr>
  </w:style>
  <w:style w:type="character" w:customStyle="1" w:styleId="Heading4CharCharCharChar1">
    <w:name w:val="Heading 4 Char Char Char Char1"/>
    <w:basedOn w:val="DefaultParagraphFont"/>
    <w:locked/>
    <w:rsid w:val="00C62A30"/>
    <w:rPr>
      <w:rFonts w:ascii="Arial" w:hAnsi="Arial" w:cs="Times New Roman"/>
      <w:b/>
      <w:bCs/>
      <w:sz w:val="24"/>
      <w:szCs w:val="28"/>
    </w:rPr>
  </w:style>
  <w:style w:type="character" w:customStyle="1" w:styleId="CharChar24">
    <w:name w:val="Char Char24"/>
    <w:basedOn w:val="DefaultParagraphFont"/>
    <w:locked/>
    <w:rsid w:val="003C7BD3"/>
    <w:rPr>
      <w:rFonts w:cs="Times New Roman"/>
      <w:b/>
      <w:bCs/>
      <w:i/>
      <w:iCs/>
      <w:sz w:val="26"/>
      <w:szCs w:val="26"/>
    </w:rPr>
  </w:style>
  <w:style w:type="character" w:customStyle="1" w:styleId="CharChar23">
    <w:name w:val="Char Char23"/>
    <w:basedOn w:val="DefaultParagraphFont"/>
    <w:locked/>
    <w:rsid w:val="003C7BD3"/>
    <w:rPr>
      <w:rFonts w:cs="Times New Roman"/>
      <w:b/>
      <w:bCs/>
      <w:sz w:val="22"/>
      <w:szCs w:val="22"/>
    </w:rPr>
  </w:style>
  <w:style w:type="character" w:customStyle="1" w:styleId="CharChar22">
    <w:name w:val="Char Char22"/>
    <w:basedOn w:val="DefaultParagraphFont"/>
    <w:locked/>
    <w:rsid w:val="003C7BD3"/>
    <w:rPr>
      <w:rFonts w:cs="Times New Roman"/>
      <w:sz w:val="24"/>
      <w:szCs w:val="24"/>
    </w:rPr>
  </w:style>
  <w:style w:type="character" w:customStyle="1" w:styleId="CharChar21">
    <w:name w:val="Char Char21"/>
    <w:basedOn w:val="DefaultParagraphFont"/>
    <w:locked/>
    <w:rsid w:val="003C7BD3"/>
    <w:rPr>
      <w:rFonts w:cs="Times New Roman"/>
      <w:i/>
      <w:iCs/>
      <w:sz w:val="24"/>
      <w:szCs w:val="24"/>
    </w:rPr>
  </w:style>
  <w:style w:type="character" w:customStyle="1" w:styleId="CharChar20">
    <w:name w:val="Char Char20"/>
    <w:basedOn w:val="DefaultParagraphFont"/>
    <w:locked/>
    <w:rsid w:val="003C7BD3"/>
    <w:rPr>
      <w:rFonts w:ascii="Arial" w:hAnsi="Arial" w:cs="Arial"/>
      <w:sz w:val="22"/>
      <w:szCs w:val="22"/>
    </w:rPr>
  </w:style>
  <w:style w:type="character" w:customStyle="1" w:styleId="CharChar18">
    <w:name w:val="Char Char18"/>
    <w:basedOn w:val="DefaultParagraphFont"/>
    <w:locked/>
    <w:rsid w:val="003C7BD3"/>
    <w:rPr>
      <w:rFonts w:cs="Times New Roman"/>
      <w:sz w:val="24"/>
      <w:szCs w:val="24"/>
    </w:rPr>
  </w:style>
  <w:style w:type="character" w:customStyle="1" w:styleId="CharChar14">
    <w:name w:val="Char Char14"/>
    <w:basedOn w:val="DefaultParagraphFont"/>
    <w:locked/>
    <w:rsid w:val="003C7BD3"/>
    <w:rPr>
      <w:rFonts w:cs="Times New Roman"/>
      <w:sz w:val="24"/>
      <w:szCs w:val="24"/>
    </w:rPr>
  </w:style>
  <w:style w:type="character" w:customStyle="1" w:styleId="CharChar11">
    <w:name w:val="Char Char11"/>
    <w:basedOn w:val="DefaultParagraphFont"/>
    <w:locked/>
    <w:rsid w:val="003C7BD3"/>
    <w:rPr>
      <w:rFonts w:ascii="Cambria" w:hAnsi="Cambria" w:cs="Times New Roman"/>
      <w:sz w:val="24"/>
      <w:szCs w:val="24"/>
    </w:rPr>
  </w:style>
  <w:style w:type="character" w:customStyle="1" w:styleId="CharChar4">
    <w:name w:val="Char Char4"/>
    <w:basedOn w:val="DefaultParagraphFont"/>
    <w:locked/>
    <w:rsid w:val="003C7BD3"/>
    <w:rPr>
      <w:rFonts w:ascii="Cambria" w:hAnsi="Cambria" w:cs="Times New Roman"/>
      <w:b/>
      <w:bCs/>
      <w:kern w:val="28"/>
      <w:sz w:val="32"/>
      <w:szCs w:val="32"/>
    </w:rPr>
  </w:style>
  <w:style w:type="character" w:customStyle="1" w:styleId="CharChar13">
    <w:name w:val="Char Char13"/>
    <w:basedOn w:val="DefaultParagraphFont"/>
    <w:uiPriority w:val="99"/>
    <w:rsid w:val="003C7BD3"/>
    <w:rPr>
      <w:rFonts w:eastAsia="Times New Roman" w:cs="Times New Roman"/>
      <w:bCs/>
      <w:i/>
      <w:sz w:val="28"/>
      <w:szCs w:val="28"/>
      <w:lang w:val="en-US" w:eastAsia="en-US" w:bidi="ar-SA"/>
    </w:rPr>
  </w:style>
  <w:style w:type="character" w:customStyle="1" w:styleId="Heading4Char1">
    <w:name w:val="Heading 4 Char1"/>
    <w:aliases w:val="Heading 4 Char Char Char1"/>
    <w:basedOn w:val="DefaultParagraphFont"/>
    <w:rsid w:val="00D3772F"/>
    <w:rPr>
      <w:rFonts w:ascii="Times New Roman" w:hAnsi="Times New Roman" w:cs="Times New Roman"/>
      <w:sz w:val="28"/>
      <w:szCs w:val="28"/>
    </w:rPr>
  </w:style>
  <w:style w:type="paragraph" w:styleId="ListBullet2">
    <w:name w:val="List Bullet 2"/>
    <w:basedOn w:val="Normal"/>
    <w:autoRedefine/>
    <w:rsid w:val="004D622C"/>
    <w:pPr>
      <w:tabs>
        <w:tab w:val="num" w:pos="720"/>
      </w:tabs>
      <w:ind w:left="720" w:hanging="360"/>
    </w:pPr>
  </w:style>
  <w:style w:type="paragraph" w:styleId="ListBullet3">
    <w:name w:val="List Bullet 3"/>
    <w:basedOn w:val="Normal"/>
    <w:autoRedefine/>
    <w:rsid w:val="004D622C"/>
    <w:pPr>
      <w:tabs>
        <w:tab w:val="num" w:pos="1080"/>
      </w:tabs>
      <w:ind w:left="1080" w:hanging="360"/>
    </w:pPr>
  </w:style>
  <w:style w:type="paragraph" w:styleId="ListBullet5">
    <w:name w:val="List Bullet 5"/>
    <w:basedOn w:val="Normal"/>
    <w:autoRedefine/>
    <w:rsid w:val="004D622C"/>
    <w:pPr>
      <w:tabs>
        <w:tab w:val="num" w:pos="1800"/>
      </w:tabs>
      <w:ind w:left="1800" w:hanging="360"/>
    </w:pPr>
  </w:style>
  <w:style w:type="paragraph" w:styleId="ListNumber">
    <w:name w:val="List Number"/>
    <w:basedOn w:val="Normal"/>
    <w:rsid w:val="004D622C"/>
    <w:pPr>
      <w:tabs>
        <w:tab w:val="num" w:pos="360"/>
      </w:tabs>
      <w:ind w:left="360" w:hanging="360"/>
    </w:pPr>
  </w:style>
  <w:style w:type="paragraph" w:styleId="ListNumber2">
    <w:name w:val="List Number 2"/>
    <w:basedOn w:val="Normal"/>
    <w:rsid w:val="004D622C"/>
    <w:pPr>
      <w:tabs>
        <w:tab w:val="num" w:pos="720"/>
      </w:tabs>
      <w:ind w:left="720" w:hanging="360"/>
    </w:pPr>
  </w:style>
  <w:style w:type="paragraph" w:styleId="ListNumber3">
    <w:name w:val="List Number 3"/>
    <w:basedOn w:val="Normal"/>
    <w:rsid w:val="004D622C"/>
    <w:pPr>
      <w:tabs>
        <w:tab w:val="num" w:pos="1080"/>
      </w:tabs>
      <w:ind w:left="1080" w:hanging="360"/>
    </w:pPr>
  </w:style>
  <w:style w:type="paragraph" w:styleId="ListNumber4">
    <w:name w:val="List Number 4"/>
    <w:basedOn w:val="Normal"/>
    <w:rsid w:val="004D622C"/>
    <w:pPr>
      <w:tabs>
        <w:tab w:val="num" w:pos="1440"/>
      </w:tabs>
      <w:ind w:left="1440" w:hanging="360"/>
    </w:pPr>
  </w:style>
  <w:style w:type="paragraph" w:styleId="ListNumber5">
    <w:name w:val="List Number 5"/>
    <w:basedOn w:val="Normal"/>
    <w:rsid w:val="004D622C"/>
    <w:pPr>
      <w:tabs>
        <w:tab w:val="num" w:pos="1800"/>
      </w:tabs>
      <w:ind w:left="1800" w:hanging="360"/>
    </w:pPr>
  </w:style>
  <w:style w:type="table" w:styleId="TableGrid">
    <w:name w:val="Table Grid"/>
    <w:basedOn w:val="TableNormal"/>
    <w:uiPriority w:val="59"/>
    <w:rsid w:val="004D62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1">
    <w:name w:val="Default1"/>
    <w:basedOn w:val="Default"/>
    <w:next w:val="Default"/>
    <w:rsid w:val="00E85180"/>
    <w:rPr>
      <w:color w:val="auto"/>
    </w:rPr>
  </w:style>
  <w:style w:type="paragraph" w:customStyle="1" w:styleId="tabletitle0">
    <w:name w:val="tabletitle"/>
    <w:basedOn w:val="Normal"/>
    <w:rsid w:val="000A4C54"/>
  </w:style>
  <w:style w:type="paragraph" w:customStyle="1" w:styleId="default0">
    <w:name w:val="default"/>
    <w:basedOn w:val="Normal"/>
    <w:rsid w:val="000A4C54"/>
    <w:pPr>
      <w:autoSpaceDE w:val="0"/>
      <w:autoSpaceDN w:val="0"/>
    </w:pPr>
    <w:rPr>
      <w:color w:val="000000"/>
    </w:rPr>
  </w:style>
  <w:style w:type="character" w:customStyle="1" w:styleId="TabletitleChar3">
    <w:name w:val="Table title Char3"/>
    <w:basedOn w:val="DefaultParagraphFont"/>
    <w:link w:val="Tabletitle"/>
    <w:rsid w:val="00202123"/>
    <w:rPr>
      <w:rFonts w:ascii="Arial" w:hAnsi="Arial"/>
      <w:bCs/>
      <w:szCs w:val="24"/>
    </w:rPr>
  </w:style>
  <w:style w:type="character" w:customStyle="1" w:styleId="FiguretitleChar1">
    <w:name w:val="Figure title Char1"/>
    <w:basedOn w:val="DefaultParagraphFont"/>
    <w:link w:val="Figuretitle"/>
    <w:rsid w:val="00184621"/>
    <w:rPr>
      <w:sz w:val="24"/>
      <w:szCs w:val="24"/>
      <w:lang w:val="en-US" w:eastAsia="en-US" w:bidi="ar-SA"/>
    </w:rPr>
  </w:style>
  <w:style w:type="character" w:customStyle="1" w:styleId="Heading1Char1">
    <w:name w:val="Heading 1 Char1"/>
    <w:basedOn w:val="DefaultParagraphFont"/>
    <w:link w:val="Heading1"/>
    <w:uiPriority w:val="99"/>
    <w:rsid w:val="00525A00"/>
    <w:rPr>
      <w:rFonts w:ascii="Arial" w:hAnsi="Arial" w:cs="Arial"/>
      <w:b/>
      <w:bCs/>
      <w:kern w:val="32"/>
      <w:sz w:val="32"/>
      <w:szCs w:val="32"/>
    </w:rPr>
  </w:style>
  <w:style w:type="character" w:customStyle="1" w:styleId="CharChar39">
    <w:name w:val="Char Char39"/>
    <w:basedOn w:val="DefaultParagraphFont"/>
    <w:rsid w:val="00525A00"/>
    <w:rPr>
      <w:rFonts w:ascii="Arial" w:eastAsia="Times New Roman" w:hAnsi="Arial" w:cs="Arial"/>
      <w:b/>
      <w:bCs/>
      <w:i/>
      <w:iCs/>
      <w:sz w:val="28"/>
      <w:szCs w:val="28"/>
    </w:rPr>
  </w:style>
  <w:style w:type="character" w:customStyle="1" w:styleId="FootnoteTextChar">
    <w:name w:val="Footnote Text Char"/>
    <w:basedOn w:val="DefaultParagraphFont"/>
    <w:uiPriority w:val="99"/>
    <w:locked/>
    <w:rsid w:val="005037D0"/>
    <w:rPr>
      <w:rFonts w:ascii="Times New Roman" w:hAnsi="Times New Roman" w:cs="Times New Roman"/>
      <w:sz w:val="20"/>
      <w:szCs w:val="20"/>
    </w:rPr>
  </w:style>
  <w:style w:type="paragraph" w:customStyle="1" w:styleId="ColorfulList-Accent11">
    <w:name w:val="Colorful List - Accent 11"/>
    <w:basedOn w:val="Normal"/>
    <w:uiPriority w:val="34"/>
    <w:qFormat/>
    <w:rsid w:val="001A3900"/>
    <w:pPr>
      <w:ind w:left="720"/>
      <w:contextualSpacing/>
    </w:pPr>
    <w:rPr>
      <w:rFonts w:ascii="Calibri" w:eastAsia="Calibri" w:hAnsi="Calibri"/>
      <w:sz w:val="22"/>
      <w:szCs w:val="22"/>
    </w:rPr>
  </w:style>
  <w:style w:type="character" w:customStyle="1" w:styleId="StyleHeading4Char1Heading4CharCharChar112pt">
    <w:name w:val="Style Heading 4 Char1Heading 4 Char Char Char1 + 12 pt"/>
    <w:basedOn w:val="Heading4Char1"/>
    <w:qFormat/>
    <w:rsid w:val="00612D47"/>
    <w:rPr>
      <w:rFonts w:ascii="Times New Roman" w:hAnsi="Times New Roman" w:cs="Times New Roman"/>
      <w:b w:val="0"/>
      <w:bCs w:val="0"/>
      <w:sz w:val="24"/>
      <w:szCs w:val="28"/>
      <w:lang w:val="en-US" w:eastAsia="en-US" w:bidi="ar-SA"/>
    </w:rPr>
  </w:style>
  <w:style w:type="paragraph" w:customStyle="1" w:styleId="NoSpacing1">
    <w:name w:val="No Spacing1"/>
    <w:uiPriority w:val="99"/>
    <w:qFormat/>
    <w:rsid w:val="00E1303E"/>
  </w:style>
  <w:style w:type="paragraph" w:customStyle="1" w:styleId="ColorfulShading-Accent11">
    <w:name w:val="Colorful Shading - Accent 11"/>
    <w:hidden/>
    <w:uiPriority w:val="99"/>
    <w:rsid w:val="00DB1CAD"/>
  </w:style>
  <w:style w:type="paragraph" w:customStyle="1" w:styleId="Nothing">
    <w:name w:val="Nothing"/>
    <w:basedOn w:val="Heading1"/>
    <w:rsid w:val="00AF7E72"/>
    <w:pPr>
      <w:keepNext w:val="0"/>
      <w:spacing w:before="0" w:after="0"/>
    </w:pPr>
    <w:rPr>
      <w:rFonts w:ascii="Times Roman" w:hAnsi="Times Roman" w:cs="Times Roman"/>
      <w:b w:val="0"/>
      <w:bCs w:val="0"/>
      <w:color w:val="000000"/>
      <w:kern w:val="0"/>
      <w:sz w:val="24"/>
      <w:szCs w:val="20"/>
    </w:rPr>
  </w:style>
  <w:style w:type="character" w:customStyle="1" w:styleId="StyleHeading3CharTimesNewRoman12pt">
    <w:name w:val="Style Heading 3 Char + Times New Roman 12 pt"/>
    <w:basedOn w:val="DefaultParagraphFont"/>
    <w:qFormat/>
    <w:rsid w:val="00A55F46"/>
    <w:rPr>
      <w:rFonts w:ascii="Times New Roman" w:hAnsi="Times New Roman" w:cs="Arial" w:hint="default"/>
      <w:b/>
      <w:bCs/>
      <w:sz w:val="24"/>
      <w:szCs w:val="26"/>
      <w:lang w:val="en-US" w:eastAsia="en-US" w:bidi="ar-SA"/>
    </w:rPr>
  </w:style>
  <w:style w:type="character" w:customStyle="1" w:styleId="EmailStyle341">
    <w:name w:val="EmailStyle341"/>
    <w:basedOn w:val="DefaultParagraphFont"/>
    <w:semiHidden/>
    <w:rsid w:val="00A57B90"/>
    <w:rPr>
      <w:rFonts w:ascii="Arial" w:hAnsi="Arial" w:cs="Arial" w:hint="default"/>
      <w:color w:val="auto"/>
      <w:sz w:val="20"/>
      <w:szCs w:val="20"/>
    </w:rPr>
  </w:style>
  <w:style w:type="character" w:customStyle="1" w:styleId="CharChar271">
    <w:name w:val="Char Char271"/>
    <w:basedOn w:val="DefaultParagraphFont"/>
    <w:uiPriority w:val="99"/>
    <w:locked/>
    <w:rsid w:val="00A57B90"/>
    <w:rPr>
      <w:rFonts w:ascii="Arial" w:hAnsi="Arial" w:cs="Arial"/>
      <w:b/>
      <w:bCs/>
      <w:kern w:val="32"/>
      <w:sz w:val="32"/>
      <w:szCs w:val="32"/>
    </w:rPr>
  </w:style>
  <w:style w:type="character" w:customStyle="1" w:styleId="CharChar261">
    <w:name w:val="Char Char261"/>
    <w:basedOn w:val="DefaultParagraphFont"/>
    <w:uiPriority w:val="99"/>
    <w:locked/>
    <w:rsid w:val="00A57B90"/>
    <w:rPr>
      <w:rFonts w:ascii="Arial" w:hAnsi="Arial" w:cs="Arial"/>
      <w:b/>
      <w:bCs/>
      <w:i/>
      <w:iCs/>
      <w:sz w:val="28"/>
      <w:szCs w:val="28"/>
    </w:rPr>
  </w:style>
  <w:style w:type="character" w:customStyle="1" w:styleId="CharChar251">
    <w:name w:val="Char Char251"/>
    <w:basedOn w:val="DefaultParagraphFont"/>
    <w:uiPriority w:val="99"/>
    <w:locked/>
    <w:rsid w:val="00A57B90"/>
    <w:rPr>
      <w:rFonts w:ascii="Arial" w:hAnsi="Arial" w:cs="Arial"/>
      <w:b/>
      <w:bCs/>
      <w:sz w:val="26"/>
      <w:szCs w:val="26"/>
    </w:rPr>
  </w:style>
  <w:style w:type="character" w:customStyle="1" w:styleId="CharChar241">
    <w:name w:val="Char Char241"/>
    <w:basedOn w:val="DefaultParagraphFont"/>
    <w:uiPriority w:val="99"/>
    <w:locked/>
    <w:rsid w:val="00A57B90"/>
    <w:rPr>
      <w:rFonts w:cs="Times New Roman"/>
      <w:b/>
      <w:bCs/>
      <w:i/>
      <w:iCs/>
      <w:sz w:val="26"/>
      <w:szCs w:val="26"/>
    </w:rPr>
  </w:style>
  <w:style w:type="character" w:customStyle="1" w:styleId="CharChar231">
    <w:name w:val="Char Char231"/>
    <w:basedOn w:val="DefaultParagraphFont"/>
    <w:uiPriority w:val="99"/>
    <w:locked/>
    <w:rsid w:val="00A57B90"/>
    <w:rPr>
      <w:rFonts w:cs="Times New Roman"/>
      <w:b/>
      <w:bCs/>
      <w:sz w:val="22"/>
      <w:szCs w:val="22"/>
    </w:rPr>
  </w:style>
  <w:style w:type="character" w:customStyle="1" w:styleId="CharChar221">
    <w:name w:val="Char Char221"/>
    <w:basedOn w:val="DefaultParagraphFont"/>
    <w:uiPriority w:val="99"/>
    <w:locked/>
    <w:rsid w:val="00A57B90"/>
    <w:rPr>
      <w:rFonts w:cs="Times New Roman"/>
      <w:sz w:val="24"/>
      <w:szCs w:val="24"/>
    </w:rPr>
  </w:style>
  <w:style w:type="character" w:customStyle="1" w:styleId="CharChar211">
    <w:name w:val="Char Char211"/>
    <w:basedOn w:val="DefaultParagraphFont"/>
    <w:uiPriority w:val="99"/>
    <w:locked/>
    <w:rsid w:val="00A57B90"/>
    <w:rPr>
      <w:rFonts w:cs="Times New Roman"/>
      <w:i/>
      <w:iCs/>
      <w:sz w:val="24"/>
      <w:szCs w:val="24"/>
    </w:rPr>
  </w:style>
  <w:style w:type="character" w:customStyle="1" w:styleId="CharChar201">
    <w:name w:val="Char Char201"/>
    <w:basedOn w:val="DefaultParagraphFont"/>
    <w:uiPriority w:val="99"/>
    <w:locked/>
    <w:rsid w:val="00A57B90"/>
    <w:rPr>
      <w:rFonts w:ascii="Arial" w:hAnsi="Arial" w:cs="Arial"/>
      <w:sz w:val="22"/>
      <w:szCs w:val="22"/>
    </w:rPr>
  </w:style>
  <w:style w:type="character" w:customStyle="1" w:styleId="CharChar181">
    <w:name w:val="Char Char181"/>
    <w:basedOn w:val="DefaultParagraphFont"/>
    <w:uiPriority w:val="99"/>
    <w:locked/>
    <w:rsid w:val="00A57B90"/>
    <w:rPr>
      <w:rFonts w:cs="Times New Roman"/>
      <w:sz w:val="24"/>
      <w:szCs w:val="24"/>
    </w:rPr>
  </w:style>
  <w:style w:type="character" w:customStyle="1" w:styleId="CharChar141">
    <w:name w:val="Char Char141"/>
    <w:basedOn w:val="DefaultParagraphFont"/>
    <w:uiPriority w:val="99"/>
    <w:locked/>
    <w:rsid w:val="00A57B90"/>
    <w:rPr>
      <w:rFonts w:cs="Times New Roman"/>
      <w:sz w:val="24"/>
      <w:szCs w:val="24"/>
    </w:rPr>
  </w:style>
  <w:style w:type="character" w:customStyle="1" w:styleId="CharChar111">
    <w:name w:val="Char Char111"/>
    <w:basedOn w:val="DefaultParagraphFont"/>
    <w:uiPriority w:val="99"/>
    <w:locked/>
    <w:rsid w:val="00A57B90"/>
    <w:rPr>
      <w:rFonts w:ascii="Cambria" w:hAnsi="Cambria" w:cs="Times New Roman"/>
      <w:sz w:val="24"/>
      <w:szCs w:val="24"/>
    </w:rPr>
  </w:style>
  <w:style w:type="character" w:customStyle="1" w:styleId="CharChar41">
    <w:name w:val="Char Char41"/>
    <w:basedOn w:val="DefaultParagraphFont"/>
    <w:uiPriority w:val="99"/>
    <w:locked/>
    <w:rsid w:val="00A57B90"/>
    <w:rPr>
      <w:rFonts w:ascii="Cambria" w:hAnsi="Cambria" w:cs="Times New Roman"/>
      <w:b/>
      <w:bCs/>
      <w:kern w:val="28"/>
      <w:sz w:val="32"/>
      <w:szCs w:val="32"/>
    </w:rPr>
  </w:style>
  <w:style w:type="character" w:customStyle="1" w:styleId="CharChar12">
    <w:name w:val="Char Char12"/>
    <w:basedOn w:val="DefaultParagraphFont"/>
    <w:uiPriority w:val="99"/>
    <w:rsid w:val="00A57B90"/>
    <w:rPr>
      <w:rFonts w:eastAsia="Times New Roman" w:cs="Times New Roman"/>
      <w:bCs/>
      <w:i/>
      <w:sz w:val="28"/>
      <w:szCs w:val="28"/>
      <w:lang w:val="en-US" w:eastAsia="en-US" w:bidi="ar-SA"/>
    </w:rPr>
  </w:style>
  <w:style w:type="character" w:customStyle="1" w:styleId="CharChar391">
    <w:name w:val="Char Char391"/>
    <w:basedOn w:val="DefaultParagraphFont"/>
    <w:uiPriority w:val="99"/>
    <w:rsid w:val="00A57B90"/>
    <w:rPr>
      <w:rFonts w:ascii="Arial" w:eastAsia="Times New Roman" w:hAnsi="Arial" w:cs="Arial"/>
      <w:b/>
      <w:bCs/>
      <w:i/>
      <w:iCs/>
      <w:sz w:val="28"/>
      <w:szCs w:val="28"/>
    </w:rPr>
  </w:style>
  <w:style w:type="character" w:customStyle="1" w:styleId="EmailStyle3561">
    <w:name w:val="EmailStyle3561"/>
    <w:basedOn w:val="DefaultParagraphFont"/>
    <w:semiHidden/>
    <w:rsid w:val="00FC5F10"/>
    <w:rPr>
      <w:rFonts w:ascii="Arial" w:hAnsi="Arial" w:cs="Arial" w:hint="default"/>
      <w:color w:val="auto"/>
      <w:sz w:val="20"/>
      <w:szCs w:val="20"/>
    </w:rPr>
  </w:style>
  <w:style w:type="character" w:customStyle="1" w:styleId="EmailStyle3571">
    <w:name w:val="EmailStyle3571"/>
    <w:basedOn w:val="DefaultParagraphFont"/>
    <w:semiHidden/>
    <w:rsid w:val="00FC5F10"/>
    <w:rPr>
      <w:rFonts w:ascii="Arial" w:hAnsi="Arial" w:cs="Arial" w:hint="default"/>
      <w:color w:val="auto"/>
      <w:sz w:val="20"/>
      <w:szCs w:val="20"/>
    </w:rPr>
  </w:style>
  <w:style w:type="table" w:styleId="TableList1">
    <w:name w:val="Table List 1"/>
    <w:basedOn w:val="TableNormal"/>
    <w:uiPriority w:val="99"/>
    <w:rsid w:val="0049255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0877B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7440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7440E"/>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3">
    <w:name w:val="Table 3D effects 3"/>
    <w:basedOn w:val="TableNormal"/>
    <w:uiPriority w:val="99"/>
    <w:rsid w:val="00D7440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D7440E"/>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D7440E"/>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olumns3">
    <w:name w:val="Table Columns 3"/>
    <w:basedOn w:val="TableNormal"/>
    <w:rsid w:val="00D7440E"/>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MediumList2-Accent2">
    <w:name w:val="Medium List 2 Accent 2"/>
    <w:basedOn w:val="TableNormal"/>
    <w:uiPriority w:val="71"/>
    <w:rsid w:val="00611615"/>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styleId="HTMLCite">
    <w:name w:val="HTML Cite"/>
    <w:basedOn w:val="DefaultParagraphFont"/>
    <w:uiPriority w:val="99"/>
    <w:unhideWhenUsed/>
    <w:rsid w:val="00D25DC1"/>
    <w:rPr>
      <w:b w:val="0"/>
      <w:bCs w:val="0"/>
      <w:i w:val="0"/>
      <w:iCs w:val="0"/>
      <w:vanish w:val="0"/>
      <w:webHidden w:val="0"/>
      <w:specVanish w:val="0"/>
    </w:rPr>
  </w:style>
  <w:style w:type="character" w:customStyle="1" w:styleId="author">
    <w:name w:val="author"/>
    <w:basedOn w:val="DefaultParagraphFont"/>
    <w:rsid w:val="00D25DC1"/>
  </w:style>
  <w:style w:type="character" w:customStyle="1" w:styleId="pubyear">
    <w:name w:val="pubyear"/>
    <w:basedOn w:val="DefaultParagraphFont"/>
    <w:rsid w:val="00D25DC1"/>
  </w:style>
  <w:style w:type="character" w:customStyle="1" w:styleId="articletitle5">
    <w:name w:val="articletitle5"/>
    <w:basedOn w:val="DefaultParagraphFont"/>
    <w:rsid w:val="00D25DC1"/>
  </w:style>
  <w:style w:type="character" w:customStyle="1" w:styleId="journaltitle3">
    <w:name w:val="journaltitle3"/>
    <w:basedOn w:val="DefaultParagraphFont"/>
    <w:rsid w:val="00D25DC1"/>
    <w:rPr>
      <w:i/>
      <w:iCs/>
    </w:rPr>
  </w:style>
  <w:style w:type="character" w:customStyle="1" w:styleId="vol3">
    <w:name w:val="vol3"/>
    <w:basedOn w:val="DefaultParagraphFont"/>
    <w:rsid w:val="00D25DC1"/>
    <w:rPr>
      <w:b/>
      <w:bCs/>
    </w:rPr>
  </w:style>
  <w:style w:type="character" w:customStyle="1" w:styleId="pagefirst">
    <w:name w:val="pagefirst"/>
    <w:basedOn w:val="DefaultParagraphFont"/>
    <w:rsid w:val="00D25DC1"/>
  </w:style>
  <w:style w:type="character" w:customStyle="1" w:styleId="pagelast">
    <w:name w:val="pagelast"/>
    <w:basedOn w:val="DefaultParagraphFont"/>
    <w:rsid w:val="00D25DC1"/>
  </w:style>
  <w:style w:type="character" w:customStyle="1" w:styleId="Heading3Char1">
    <w:name w:val="Heading 3 Char1"/>
    <w:basedOn w:val="DefaultParagraphFont"/>
    <w:link w:val="Heading3"/>
    <w:rsid w:val="00382A54"/>
    <w:rPr>
      <w:rFonts w:ascii="Arial" w:hAnsi="Arial" w:cs="Arial"/>
      <w:b/>
      <w:bCs/>
      <w:sz w:val="24"/>
      <w:szCs w:val="26"/>
    </w:rPr>
  </w:style>
  <w:style w:type="paragraph" w:styleId="ListParagraph">
    <w:name w:val="List Paragraph"/>
    <w:basedOn w:val="Normal"/>
    <w:uiPriority w:val="34"/>
    <w:qFormat/>
    <w:rsid w:val="00382A54"/>
    <w:pPr>
      <w:spacing w:after="200" w:line="276" w:lineRule="auto"/>
      <w:ind w:left="720"/>
      <w:contextualSpacing/>
    </w:pPr>
    <w:rPr>
      <w:rFonts w:ascii="Calibri" w:eastAsia="Calibri" w:hAnsi="Calibri"/>
      <w:sz w:val="22"/>
      <w:szCs w:val="22"/>
    </w:rPr>
  </w:style>
  <w:style w:type="character" w:customStyle="1" w:styleId="moz-txt-citetags">
    <w:name w:val="moz-txt-citetags"/>
    <w:basedOn w:val="DefaultParagraphFont"/>
    <w:rsid w:val="00C36587"/>
  </w:style>
  <w:style w:type="paragraph" w:styleId="TOCHeading">
    <w:name w:val="TOC Heading"/>
    <w:basedOn w:val="Heading1"/>
    <w:next w:val="Normal"/>
    <w:uiPriority w:val="39"/>
    <w:unhideWhenUsed/>
    <w:qFormat/>
    <w:rsid w:val="007E1AEA"/>
    <w:pPr>
      <w:keepLines/>
      <w:spacing w:before="480" w:after="0" w:line="276" w:lineRule="auto"/>
      <w:outlineLvl w:val="9"/>
    </w:pPr>
    <w:rPr>
      <w:rFonts w:ascii="Cambria" w:hAnsi="Cambria" w:cs="Times New Roman"/>
      <w:color w:val="365F91"/>
      <w:kern w:val="0"/>
      <w:sz w:val="28"/>
      <w:szCs w:val="28"/>
    </w:rPr>
  </w:style>
  <w:style w:type="paragraph" w:customStyle="1" w:styleId="xl160">
    <w:name w:val="xl160"/>
    <w:basedOn w:val="Normal"/>
    <w:rsid w:val="00B76689"/>
    <w:pPr>
      <w:pBdr>
        <w:top w:val="single" w:sz="8" w:space="0" w:color="auto"/>
        <w:left w:val="single" w:sz="8" w:space="0" w:color="auto"/>
        <w:right w:val="single" w:sz="12"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1">
    <w:name w:val="xl161"/>
    <w:basedOn w:val="Normal"/>
    <w:rsid w:val="00B76689"/>
    <w:pPr>
      <w:pBdr>
        <w:left w:val="single" w:sz="12"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2">
    <w:name w:val="xl162"/>
    <w:basedOn w:val="Normal"/>
    <w:rsid w:val="00B76689"/>
    <w:pPr>
      <w:pBdr>
        <w:left w:val="single" w:sz="8"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3">
    <w:name w:val="xl163"/>
    <w:basedOn w:val="Normal"/>
    <w:rsid w:val="00B76689"/>
    <w:pPr>
      <w:pBdr>
        <w:left w:val="single" w:sz="8" w:space="0" w:color="auto"/>
        <w:right w:val="single" w:sz="12"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4">
    <w:name w:val="xl164"/>
    <w:basedOn w:val="Normal"/>
    <w:rsid w:val="00B76689"/>
    <w:pPr>
      <w:pBdr>
        <w:left w:val="single" w:sz="12" w:space="0" w:color="auto"/>
        <w:bottom w:val="single" w:sz="8"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5">
    <w:name w:val="xl165"/>
    <w:basedOn w:val="Normal"/>
    <w:rsid w:val="00B76689"/>
    <w:pPr>
      <w:pBdr>
        <w:left w:val="single" w:sz="8" w:space="0" w:color="auto"/>
        <w:bottom w:val="single" w:sz="8"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6">
    <w:name w:val="xl166"/>
    <w:basedOn w:val="Normal"/>
    <w:rsid w:val="00B76689"/>
    <w:pPr>
      <w:pBdr>
        <w:left w:val="single" w:sz="8" w:space="0" w:color="auto"/>
        <w:bottom w:val="single" w:sz="8" w:space="0" w:color="auto"/>
        <w:right w:val="single" w:sz="12"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7">
    <w:name w:val="xl167"/>
    <w:basedOn w:val="Normal"/>
    <w:rsid w:val="00B76689"/>
    <w:pPr>
      <w:pBdr>
        <w:left w:val="single" w:sz="12"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68">
    <w:name w:val="xl168"/>
    <w:basedOn w:val="Normal"/>
    <w:rsid w:val="00B76689"/>
    <w:pPr>
      <w:pBdr>
        <w:lef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69">
    <w:name w:val="xl169"/>
    <w:basedOn w:val="Normal"/>
    <w:rsid w:val="00B76689"/>
    <w:pPr>
      <w:pBdr>
        <w:left w:val="single" w:sz="8" w:space="0" w:color="auto"/>
        <w:right w:val="single" w:sz="12"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0">
    <w:name w:val="xl170"/>
    <w:basedOn w:val="Normal"/>
    <w:rsid w:val="00B76689"/>
    <w:pPr>
      <w:pBdr>
        <w:left w:val="single" w:sz="12" w:space="0" w:color="auto"/>
        <w:bottom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1">
    <w:name w:val="xl171"/>
    <w:basedOn w:val="Normal"/>
    <w:rsid w:val="00B76689"/>
    <w:pPr>
      <w:pBdr>
        <w:left w:val="single" w:sz="8" w:space="0" w:color="auto"/>
        <w:bottom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2">
    <w:name w:val="xl172"/>
    <w:basedOn w:val="Normal"/>
    <w:rsid w:val="00B76689"/>
    <w:pPr>
      <w:pBdr>
        <w:left w:val="single" w:sz="8" w:space="0" w:color="auto"/>
        <w:bottom w:val="single" w:sz="8" w:space="0" w:color="auto"/>
        <w:right w:val="single" w:sz="12"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3">
    <w:name w:val="xl173"/>
    <w:basedOn w:val="Normal"/>
    <w:rsid w:val="00B76689"/>
    <w:pPr>
      <w:pBdr>
        <w:top w:val="single" w:sz="8" w:space="0" w:color="auto"/>
        <w:left w:val="single" w:sz="12" w:space="0" w:color="auto"/>
      </w:pBdr>
      <w:shd w:val="clear" w:color="000000" w:fill="F2F2F2"/>
      <w:spacing w:before="100" w:beforeAutospacing="1" w:after="100" w:afterAutospacing="1"/>
      <w:jc w:val="center"/>
      <w:textAlignment w:val="center"/>
    </w:pPr>
    <w:rPr>
      <w:sz w:val="20"/>
      <w:szCs w:val="20"/>
    </w:rPr>
  </w:style>
  <w:style w:type="paragraph" w:customStyle="1" w:styleId="xl174">
    <w:name w:val="xl174"/>
    <w:basedOn w:val="Normal"/>
    <w:rsid w:val="00B76689"/>
    <w:pPr>
      <w:pBdr>
        <w:top w:val="single" w:sz="8" w:space="0" w:color="auto"/>
        <w:lef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75">
    <w:name w:val="xl175"/>
    <w:basedOn w:val="Normal"/>
    <w:rsid w:val="00B76689"/>
    <w:pPr>
      <w:pBdr>
        <w:top w:val="single" w:sz="8" w:space="0" w:color="auto"/>
        <w:left w:val="single" w:sz="8" w:space="0" w:color="auto"/>
        <w:right w:val="single" w:sz="12" w:space="0" w:color="auto"/>
      </w:pBdr>
      <w:shd w:val="clear" w:color="000000" w:fill="F2F2F2"/>
      <w:spacing w:before="100" w:beforeAutospacing="1" w:after="100" w:afterAutospacing="1"/>
      <w:jc w:val="center"/>
      <w:textAlignment w:val="center"/>
    </w:pPr>
    <w:rPr>
      <w:sz w:val="20"/>
      <w:szCs w:val="20"/>
    </w:rPr>
  </w:style>
  <w:style w:type="paragraph" w:customStyle="1" w:styleId="xl176">
    <w:name w:val="xl176"/>
    <w:basedOn w:val="Normal"/>
    <w:rsid w:val="00B76689"/>
    <w:pPr>
      <w:pBdr>
        <w:left w:val="single" w:sz="12" w:space="0" w:color="auto"/>
      </w:pBdr>
      <w:shd w:val="clear" w:color="000000" w:fill="F2F2F2"/>
      <w:spacing w:before="100" w:beforeAutospacing="1" w:after="100" w:afterAutospacing="1"/>
      <w:jc w:val="center"/>
      <w:textAlignment w:val="center"/>
    </w:pPr>
    <w:rPr>
      <w:sz w:val="20"/>
      <w:szCs w:val="20"/>
    </w:rPr>
  </w:style>
  <w:style w:type="paragraph" w:customStyle="1" w:styleId="xl177">
    <w:name w:val="xl177"/>
    <w:basedOn w:val="Normal"/>
    <w:rsid w:val="00B76689"/>
    <w:pPr>
      <w:pBdr>
        <w:lef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78">
    <w:name w:val="xl178"/>
    <w:basedOn w:val="Normal"/>
    <w:rsid w:val="00B76689"/>
    <w:pPr>
      <w:pBdr>
        <w:left w:val="single" w:sz="8" w:space="0" w:color="auto"/>
        <w:right w:val="single" w:sz="12" w:space="0" w:color="auto"/>
      </w:pBdr>
      <w:shd w:val="clear" w:color="000000" w:fill="F2F2F2"/>
      <w:spacing w:before="100" w:beforeAutospacing="1" w:after="100" w:afterAutospacing="1"/>
      <w:jc w:val="center"/>
      <w:textAlignment w:val="center"/>
    </w:pPr>
    <w:rPr>
      <w:sz w:val="20"/>
      <w:szCs w:val="20"/>
    </w:rPr>
  </w:style>
  <w:style w:type="paragraph" w:customStyle="1" w:styleId="xl179">
    <w:name w:val="xl179"/>
    <w:basedOn w:val="Normal"/>
    <w:rsid w:val="00B76689"/>
    <w:pPr>
      <w:pBdr>
        <w:left w:val="single" w:sz="12" w:space="0" w:color="auto"/>
        <w:bottom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80">
    <w:name w:val="xl180"/>
    <w:basedOn w:val="Normal"/>
    <w:rsid w:val="00B76689"/>
    <w:pPr>
      <w:pBdr>
        <w:left w:val="single" w:sz="8" w:space="0" w:color="auto"/>
        <w:bottom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81">
    <w:name w:val="xl181"/>
    <w:basedOn w:val="Normal"/>
    <w:rsid w:val="00B76689"/>
    <w:pPr>
      <w:pBdr>
        <w:left w:val="single" w:sz="8" w:space="0" w:color="auto"/>
        <w:bottom w:val="single" w:sz="8" w:space="0" w:color="auto"/>
        <w:right w:val="single" w:sz="12" w:space="0" w:color="auto"/>
      </w:pBdr>
      <w:shd w:val="clear" w:color="000000" w:fill="F2F2F2"/>
      <w:spacing w:before="100" w:beforeAutospacing="1" w:after="100" w:afterAutospacing="1"/>
      <w:jc w:val="center"/>
      <w:textAlignment w:val="center"/>
    </w:pPr>
    <w:rPr>
      <w:sz w:val="20"/>
      <w:szCs w:val="20"/>
    </w:rPr>
  </w:style>
  <w:style w:type="paragraph" w:customStyle="1" w:styleId="xl182">
    <w:name w:val="xl182"/>
    <w:basedOn w:val="Normal"/>
    <w:rsid w:val="00B76689"/>
    <w:pPr>
      <w:pBdr>
        <w:top w:val="single" w:sz="8" w:space="0" w:color="auto"/>
        <w:left w:val="single" w:sz="12"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83">
    <w:name w:val="xl183"/>
    <w:basedOn w:val="Normal"/>
    <w:rsid w:val="00B76689"/>
    <w:pPr>
      <w:pBdr>
        <w:top w:val="single" w:sz="8" w:space="0" w:color="auto"/>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84">
    <w:name w:val="xl184"/>
    <w:basedOn w:val="Normal"/>
    <w:rsid w:val="00B76689"/>
    <w:pPr>
      <w:pBdr>
        <w:top w:val="single" w:sz="8" w:space="0" w:color="auto"/>
        <w:left w:val="single" w:sz="8" w:space="0" w:color="auto"/>
        <w:bottom w:val="single" w:sz="8" w:space="0" w:color="auto"/>
        <w:right w:val="single" w:sz="12" w:space="0" w:color="auto"/>
      </w:pBdr>
      <w:spacing w:before="100" w:beforeAutospacing="1" w:after="100" w:afterAutospacing="1"/>
      <w:jc w:val="center"/>
      <w:textAlignment w:val="center"/>
    </w:pPr>
    <w:rPr>
      <w:color w:val="000000"/>
      <w:sz w:val="20"/>
      <w:szCs w:val="20"/>
    </w:rPr>
  </w:style>
  <w:style w:type="paragraph" w:customStyle="1" w:styleId="xl185">
    <w:name w:val="xl185"/>
    <w:basedOn w:val="Normal"/>
    <w:rsid w:val="00B76689"/>
    <w:pPr>
      <w:pBdr>
        <w:top w:val="single" w:sz="8" w:space="0" w:color="auto"/>
        <w:left w:val="single" w:sz="12" w:space="0" w:color="auto"/>
        <w:bottom w:val="single" w:sz="12" w:space="0" w:color="auto"/>
      </w:pBdr>
      <w:spacing w:before="100" w:beforeAutospacing="1" w:after="100" w:afterAutospacing="1"/>
      <w:jc w:val="center"/>
      <w:textAlignment w:val="center"/>
    </w:pPr>
    <w:rPr>
      <w:color w:val="000000"/>
      <w:sz w:val="20"/>
      <w:szCs w:val="20"/>
    </w:rPr>
  </w:style>
  <w:style w:type="paragraph" w:customStyle="1" w:styleId="xl186">
    <w:name w:val="xl186"/>
    <w:basedOn w:val="Normal"/>
    <w:rsid w:val="00B76689"/>
    <w:pPr>
      <w:pBdr>
        <w:top w:val="single" w:sz="8" w:space="0" w:color="auto"/>
        <w:left w:val="single" w:sz="8" w:space="0" w:color="auto"/>
        <w:bottom w:val="single" w:sz="12" w:space="0" w:color="auto"/>
      </w:pBdr>
      <w:spacing w:before="100" w:beforeAutospacing="1" w:after="100" w:afterAutospacing="1"/>
      <w:jc w:val="center"/>
      <w:textAlignment w:val="center"/>
    </w:pPr>
    <w:rPr>
      <w:color w:val="000000"/>
      <w:sz w:val="20"/>
      <w:szCs w:val="20"/>
    </w:rPr>
  </w:style>
  <w:style w:type="paragraph" w:customStyle="1" w:styleId="xl187">
    <w:name w:val="xl187"/>
    <w:basedOn w:val="Normal"/>
    <w:rsid w:val="00B76689"/>
    <w:pPr>
      <w:pBdr>
        <w:top w:val="single" w:sz="8" w:space="0" w:color="auto"/>
        <w:left w:val="single" w:sz="8" w:space="0" w:color="auto"/>
        <w:bottom w:val="single" w:sz="12" w:space="0" w:color="auto"/>
        <w:right w:val="single" w:sz="12" w:space="0" w:color="auto"/>
      </w:pBdr>
      <w:spacing w:before="100" w:beforeAutospacing="1" w:after="100" w:afterAutospacing="1"/>
      <w:jc w:val="center"/>
      <w:textAlignment w:val="center"/>
    </w:pPr>
    <w:rPr>
      <w:color w:val="000000"/>
      <w:sz w:val="20"/>
      <w:szCs w:val="20"/>
    </w:rPr>
  </w:style>
  <w:style w:type="paragraph" w:customStyle="1" w:styleId="xl188">
    <w:name w:val="xl188"/>
    <w:basedOn w:val="Normal"/>
    <w:rsid w:val="00B76689"/>
    <w:pPr>
      <w:pBdr>
        <w:top w:val="single" w:sz="12" w:space="0" w:color="auto"/>
        <w:left w:val="single" w:sz="12" w:space="0" w:color="auto"/>
        <w:bottom w:val="single" w:sz="8" w:space="0" w:color="auto"/>
      </w:pBdr>
      <w:shd w:val="clear" w:color="000000" w:fill="A5A5A5"/>
      <w:spacing w:before="100" w:beforeAutospacing="1" w:after="100" w:afterAutospacing="1"/>
      <w:jc w:val="center"/>
      <w:textAlignment w:val="center"/>
    </w:pPr>
    <w:rPr>
      <w:b/>
      <w:bCs/>
    </w:rPr>
  </w:style>
  <w:style w:type="paragraph" w:customStyle="1" w:styleId="xl189">
    <w:name w:val="xl189"/>
    <w:basedOn w:val="Normal"/>
    <w:rsid w:val="00B76689"/>
    <w:pPr>
      <w:pBdr>
        <w:top w:val="single" w:sz="12" w:space="0" w:color="auto"/>
        <w:bottom w:val="single" w:sz="8" w:space="0" w:color="auto"/>
      </w:pBdr>
      <w:shd w:val="clear" w:color="000000" w:fill="A5A5A5"/>
      <w:spacing w:before="100" w:beforeAutospacing="1" w:after="100" w:afterAutospacing="1"/>
      <w:jc w:val="center"/>
      <w:textAlignment w:val="center"/>
    </w:pPr>
    <w:rPr>
      <w:b/>
      <w:bCs/>
    </w:rPr>
  </w:style>
  <w:style w:type="paragraph" w:customStyle="1" w:styleId="xl190">
    <w:name w:val="xl190"/>
    <w:basedOn w:val="Normal"/>
    <w:rsid w:val="00B76689"/>
    <w:pPr>
      <w:pBdr>
        <w:top w:val="single" w:sz="12" w:space="0" w:color="auto"/>
        <w:bottom w:val="single" w:sz="8" w:space="0" w:color="auto"/>
        <w:right w:val="single" w:sz="12" w:space="0" w:color="auto"/>
      </w:pBdr>
      <w:spacing w:before="100" w:beforeAutospacing="1" w:after="100" w:afterAutospacing="1"/>
      <w:jc w:val="center"/>
      <w:textAlignment w:val="center"/>
    </w:pPr>
  </w:style>
  <w:style w:type="paragraph" w:customStyle="1" w:styleId="xl191">
    <w:name w:val="xl191"/>
    <w:basedOn w:val="Normal"/>
    <w:rsid w:val="00B76689"/>
    <w:pPr>
      <w:pBdr>
        <w:top w:val="single" w:sz="12" w:space="0" w:color="auto"/>
        <w:left w:val="single" w:sz="12" w:space="0" w:color="auto"/>
        <w:right w:val="single" w:sz="12" w:space="0" w:color="auto"/>
      </w:pBdr>
      <w:shd w:val="clear" w:color="000000" w:fill="A5A5A5"/>
      <w:spacing w:before="100" w:beforeAutospacing="1" w:after="100" w:afterAutospacing="1"/>
      <w:jc w:val="center"/>
      <w:textAlignment w:val="center"/>
    </w:pPr>
    <w:rPr>
      <w:b/>
      <w:bCs/>
      <w:color w:val="000000"/>
      <w:sz w:val="20"/>
      <w:szCs w:val="20"/>
    </w:rPr>
  </w:style>
  <w:style w:type="paragraph" w:customStyle="1" w:styleId="xl192">
    <w:name w:val="xl192"/>
    <w:basedOn w:val="Normal"/>
    <w:rsid w:val="00B76689"/>
    <w:pPr>
      <w:pBdr>
        <w:left w:val="single" w:sz="12" w:space="0" w:color="auto"/>
        <w:bottom w:val="single" w:sz="8" w:space="0" w:color="auto"/>
        <w:right w:val="single" w:sz="12" w:space="0" w:color="auto"/>
      </w:pBdr>
      <w:spacing w:before="100" w:beforeAutospacing="1" w:after="100" w:afterAutospacing="1"/>
      <w:textAlignment w:val="center"/>
    </w:pPr>
  </w:style>
  <w:style w:type="paragraph" w:customStyle="1" w:styleId="xl193">
    <w:name w:val="xl193"/>
    <w:basedOn w:val="Normal"/>
    <w:rsid w:val="00B76689"/>
    <w:pPr>
      <w:pBdr>
        <w:left w:val="single" w:sz="12" w:space="0" w:color="auto"/>
        <w:bottom w:val="single" w:sz="8" w:space="0" w:color="auto"/>
      </w:pBdr>
      <w:shd w:val="clear" w:color="000000" w:fill="808080"/>
      <w:spacing w:before="100" w:beforeAutospacing="1" w:after="100" w:afterAutospacing="1"/>
      <w:jc w:val="center"/>
      <w:textAlignment w:val="center"/>
    </w:pPr>
    <w:rPr>
      <w:sz w:val="20"/>
      <w:szCs w:val="20"/>
    </w:rPr>
  </w:style>
  <w:style w:type="paragraph" w:customStyle="1" w:styleId="xl194">
    <w:name w:val="xl194"/>
    <w:basedOn w:val="Normal"/>
    <w:rsid w:val="00B76689"/>
    <w:pPr>
      <w:pBdr>
        <w:left w:val="single" w:sz="8" w:space="0" w:color="auto"/>
        <w:bottom w:val="single" w:sz="8" w:space="0" w:color="auto"/>
      </w:pBdr>
      <w:shd w:val="clear" w:color="000000" w:fill="808080"/>
      <w:spacing w:before="100" w:beforeAutospacing="1" w:after="100" w:afterAutospacing="1"/>
      <w:jc w:val="center"/>
      <w:textAlignment w:val="center"/>
    </w:pPr>
    <w:rPr>
      <w:sz w:val="20"/>
      <w:szCs w:val="20"/>
    </w:rPr>
  </w:style>
  <w:style w:type="paragraph" w:customStyle="1" w:styleId="xl195">
    <w:name w:val="xl195"/>
    <w:basedOn w:val="Normal"/>
    <w:rsid w:val="00B76689"/>
    <w:pPr>
      <w:pBdr>
        <w:left w:val="single" w:sz="8" w:space="0" w:color="auto"/>
        <w:bottom w:val="single" w:sz="8" w:space="0" w:color="auto"/>
        <w:right w:val="single" w:sz="12" w:space="0" w:color="auto"/>
      </w:pBdr>
      <w:shd w:val="clear" w:color="000000" w:fill="808080"/>
      <w:spacing w:before="100" w:beforeAutospacing="1" w:after="100" w:afterAutospacing="1"/>
      <w:jc w:val="center"/>
      <w:textAlignment w:val="center"/>
    </w:pPr>
    <w:rPr>
      <w:sz w:val="20"/>
      <w:szCs w:val="20"/>
    </w:rPr>
  </w:style>
  <w:style w:type="paragraph" w:customStyle="1" w:styleId="xl196">
    <w:name w:val="xl196"/>
    <w:basedOn w:val="Normal"/>
    <w:rsid w:val="00B76689"/>
    <w:pPr>
      <w:pBdr>
        <w:left w:val="single" w:sz="12" w:space="0" w:color="auto"/>
        <w:bottom w:val="single" w:sz="8" w:space="0" w:color="auto"/>
      </w:pBdr>
      <w:shd w:val="clear" w:color="000000" w:fill="808080"/>
      <w:spacing w:before="100" w:beforeAutospacing="1" w:after="100" w:afterAutospacing="1"/>
      <w:jc w:val="center"/>
      <w:textAlignment w:val="center"/>
    </w:pPr>
    <w:rPr>
      <w:sz w:val="20"/>
      <w:szCs w:val="20"/>
    </w:rPr>
  </w:style>
  <w:style w:type="paragraph" w:customStyle="1" w:styleId="xl197">
    <w:name w:val="xl197"/>
    <w:basedOn w:val="Normal"/>
    <w:rsid w:val="00B76689"/>
    <w:pPr>
      <w:pBdr>
        <w:left w:val="single" w:sz="8" w:space="0" w:color="auto"/>
        <w:bottom w:val="single" w:sz="8" w:space="0" w:color="auto"/>
      </w:pBdr>
      <w:shd w:val="clear" w:color="000000" w:fill="808080"/>
      <w:spacing w:before="100" w:beforeAutospacing="1" w:after="100" w:afterAutospacing="1"/>
      <w:jc w:val="center"/>
      <w:textAlignment w:val="center"/>
    </w:pPr>
    <w:rPr>
      <w:sz w:val="20"/>
      <w:szCs w:val="20"/>
    </w:rPr>
  </w:style>
  <w:style w:type="paragraph" w:customStyle="1" w:styleId="xl198">
    <w:name w:val="xl198"/>
    <w:basedOn w:val="Normal"/>
    <w:rsid w:val="00B76689"/>
    <w:pPr>
      <w:pBdr>
        <w:left w:val="single" w:sz="8" w:space="0" w:color="auto"/>
        <w:bottom w:val="single" w:sz="8" w:space="0" w:color="auto"/>
        <w:right w:val="single" w:sz="12" w:space="0" w:color="auto"/>
      </w:pBdr>
      <w:shd w:val="clear" w:color="000000" w:fill="808080"/>
      <w:spacing w:before="100" w:beforeAutospacing="1" w:after="100" w:afterAutospacing="1"/>
      <w:jc w:val="center"/>
      <w:textAlignment w:val="center"/>
    </w:pPr>
    <w:rPr>
      <w:sz w:val="20"/>
      <w:szCs w:val="20"/>
    </w:rPr>
  </w:style>
  <w:style w:type="character" w:customStyle="1" w:styleId="A4">
    <w:name w:val="A4"/>
    <w:uiPriority w:val="99"/>
    <w:rsid w:val="002E506D"/>
    <w:rPr>
      <w:rFonts w:cs="Tw Cen MT"/>
      <w:color w:val="221E1F"/>
      <w:sz w:val="22"/>
      <w:szCs w:val="22"/>
    </w:rPr>
  </w:style>
  <w:style w:type="numbering" w:customStyle="1" w:styleId="NoList1">
    <w:name w:val="No List1"/>
    <w:next w:val="NoList"/>
    <w:semiHidden/>
    <w:unhideWhenUsed/>
    <w:rsid w:val="00570224"/>
  </w:style>
  <w:style w:type="table" w:customStyle="1" w:styleId="LightShading-Accent11">
    <w:name w:val="Light Shading - Accent 11"/>
    <w:basedOn w:val="TableNormal"/>
    <w:uiPriority w:val="60"/>
    <w:rsid w:val="00570224"/>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
    <w:name w:val="Table Grid1"/>
    <w:basedOn w:val="TableNormal"/>
    <w:next w:val="TableGrid"/>
    <w:uiPriority w:val="39"/>
    <w:rsid w:val="00570224"/>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
    <w:name w:val="Light Shading - Accent 12"/>
    <w:basedOn w:val="TableNormal"/>
    <w:uiPriority w:val="60"/>
    <w:rsid w:val="00570224"/>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0CHAPTERNUMBER">
    <w:name w:val="00 CHAPTER NUMBER"/>
    <w:basedOn w:val="Normal"/>
    <w:next w:val="Normal"/>
    <w:rsid w:val="00570224"/>
    <w:pPr>
      <w:jc w:val="center"/>
    </w:pPr>
    <w:rPr>
      <w:rFonts w:ascii="Arial" w:hAnsi="Arial"/>
      <w:caps/>
    </w:rPr>
  </w:style>
  <w:style w:type="paragraph" w:customStyle="1" w:styleId="00OneInchSpacer">
    <w:name w:val="00 One Inch Spacer"/>
    <w:basedOn w:val="Normal"/>
    <w:rsid w:val="00570224"/>
    <w:pPr>
      <w:spacing w:before="1296"/>
      <w:jc w:val="center"/>
    </w:pPr>
    <w:rPr>
      <w:rFonts w:ascii="Arial" w:hAnsi="Arial"/>
    </w:rPr>
  </w:style>
  <w:style w:type="paragraph" w:customStyle="1" w:styleId="01ChapterTitle">
    <w:name w:val="01 ChapterTitle"/>
    <w:basedOn w:val="Normal"/>
    <w:next w:val="Normal"/>
    <w:rsid w:val="00570224"/>
    <w:pPr>
      <w:spacing w:after="240"/>
      <w:jc w:val="center"/>
      <w:outlineLvl w:val="0"/>
    </w:pPr>
    <w:rPr>
      <w:rFonts w:ascii="Arial" w:hAnsi="Arial"/>
      <w:caps/>
    </w:rPr>
  </w:style>
  <w:style w:type="paragraph" w:customStyle="1" w:styleId="02First-LevelSubheadingBOLD">
    <w:name w:val="02 First-Level Subheading BOLD"/>
    <w:basedOn w:val="Normal"/>
    <w:next w:val="Normal"/>
    <w:rsid w:val="00570224"/>
    <w:pPr>
      <w:keepNext/>
      <w:spacing w:after="240"/>
      <w:jc w:val="center"/>
      <w:outlineLvl w:val="1"/>
    </w:pPr>
    <w:rPr>
      <w:rFonts w:ascii="Arial" w:hAnsi="Arial"/>
      <w:b/>
    </w:rPr>
  </w:style>
  <w:style w:type="paragraph" w:customStyle="1" w:styleId="03Second-LevelSubheadingBOLD">
    <w:name w:val="03 Second-Level Subheading BOLD"/>
    <w:basedOn w:val="Normal"/>
    <w:next w:val="Normal"/>
    <w:rsid w:val="00570224"/>
    <w:pPr>
      <w:keepNext/>
      <w:spacing w:after="240"/>
      <w:ind w:left="288" w:hanging="288"/>
      <w:outlineLvl w:val="2"/>
    </w:pPr>
    <w:rPr>
      <w:rFonts w:ascii="Arial" w:hAnsi="Arial"/>
      <w:b/>
    </w:rPr>
  </w:style>
  <w:style w:type="paragraph" w:customStyle="1" w:styleId="04Third-LevelSubheadingBOLD">
    <w:name w:val="04 Third-Level Subheading BOLD"/>
    <w:basedOn w:val="Normal"/>
    <w:next w:val="Normal"/>
    <w:rsid w:val="00570224"/>
    <w:pPr>
      <w:keepNext/>
      <w:spacing w:after="240"/>
      <w:ind w:left="288" w:hanging="288"/>
      <w:outlineLvl w:val="3"/>
    </w:pPr>
    <w:rPr>
      <w:rFonts w:ascii="Arial" w:hAnsi="Arial"/>
      <w:b/>
    </w:rPr>
  </w:style>
  <w:style w:type="paragraph" w:customStyle="1" w:styleId="05BodyText">
    <w:name w:val="05 BodyText"/>
    <w:basedOn w:val="Normal"/>
    <w:rsid w:val="00570224"/>
    <w:pPr>
      <w:spacing w:line="480" w:lineRule="auto"/>
      <w:ind w:firstLine="576"/>
    </w:pPr>
    <w:rPr>
      <w:rFonts w:ascii="Arial" w:hAnsi="Arial"/>
    </w:rPr>
  </w:style>
  <w:style w:type="paragraph" w:customStyle="1" w:styleId="06BodyText-NoIndent">
    <w:name w:val="06 Body Text - No Indent"/>
    <w:basedOn w:val="Normal"/>
    <w:next w:val="05BodyText"/>
    <w:rsid w:val="00570224"/>
    <w:pPr>
      <w:spacing w:line="480" w:lineRule="auto"/>
    </w:pPr>
    <w:rPr>
      <w:rFonts w:ascii="Arial" w:hAnsi="Arial"/>
    </w:rPr>
  </w:style>
  <w:style w:type="paragraph" w:customStyle="1" w:styleId="07BlockText-BlockQuote">
    <w:name w:val="07 Block Text - Block Quote"/>
    <w:basedOn w:val="Normal"/>
    <w:next w:val="05BodyText"/>
    <w:rsid w:val="00570224"/>
    <w:pPr>
      <w:spacing w:after="240"/>
      <w:ind w:left="576" w:right="720"/>
    </w:pPr>
    <w:rPr>
      <w:rFonts w:ascii="Arial" w:hAnsi="Arial" w:cs="Arial"/>
    </w:rPr>
  </w:style>
  <w:style w:type="paragraph" w:customStyle="1" w:styleId="08BulletedList-Short">
    <w:name w:val="08 Bulleted List - Short"/>
    <w:basedOn w:val="Normal"/>
    <w:rsid w:val="00570224"/>
    <w:rPr>
      <w:rFonts w:ascii="Arial" w:hAnsi="Arial"/>
    </w:rPr>
  </w:style>
  <w:style w:type="paragraph" w:customStyle="1" w:styleId="09BulletedList-Long">
    <w:name w:val="09 Bulleted List - Long"/>
    <w:basedOn w:val="Normal"/>
    <w:rsid w:val="00570224"/>
    <w:pPr>
      <w:spacing w:after="240"/>
    </w:pPr>
    <w:rPr>
      <w:rFonts w:ascii="Arial" w:hAnsi="Arial"/>
    </w:rPr>
  </w:style>
  <w:style w:type="paragraph" w:customStyle="1" w:styleId="10CaptionFigure">
    <w:name w:val="10 Caption Figure"/>
    <w:basedOn w:val="Normal"/>
    <w:next w:val="05BodyText"/>
    <w:rsid w:val="00BC647B"/>
    <w:pPr>
      <w:spacing w:after="240"/>
      <w:ind w:left="1080" w:hanging="1080"/>
    </w:pPr>
  </w:style>
  <w:style w:type="paragraph" w:customStyle="1" w:styleId="11CaptionTable">
    <w:name w:val="11 Caption Table"/>
    <w:basedOn w:val="Normal"/>
    <w:next w:val="05BodyText"/>
    <w:rsid w:val="00570224"/>
    <w:pPr>
      <w:keepNext/>
      <w:ind w:left="1080" w:hanging="1080"/>
    </w:pPr>
    <w:rPr>
      <w:rFonts w:ascii="Arial" w:hAnsi="Arial"/>
    </w:rPr>
  </w:style>
  <w:style w:type="paragraph" w:customStyle="1" w:styleId="12CaptionObject-moviesoundetc">
    <w:name w:val="12 Caption Object - movie/sound/etc"/>
    <w:basedOn w:val="Normal"/>
    <w:rsid w:val="00570224"/>
    <w:pPr>
      <w:spacing w:after="240"/>
      <w:ind w:left="1080" w:hanging="1080"/>
    </w:pPr>
    <w:rPr>
      <w:rFonts w:ascii="Arial" w:hAnsi="Arial"/>
      <w:color w:val="0000FF"/>
    </w:rPr>
  </w:style>
  <w:style w:type="paragraph" w:customStyle="1" w:styleId="13ReferenceListing1-nonumbers">
    <w:name w:val="13 Reference Listing 1 - no numbers"/>
    <w:basedOn w:val="Normal"/>
    <w:qFormat/>
    <w:rsid w:val="00570224"/>
    <w:pPr>
      <w:keepLines/>
      <w:spacing w:after="240"/>
      <w:ind w:left="576" w:hanging="576"/>
    </w:pPr>
    <w:rPr>
      <w:rFonts w:ascii="Arial" w:hAnsi="Arial"/>
    </w:rPr>
  </w:style>
  <w:style w:type="paragraph" w:customStyle="1" w:styleId="14RefAuthor">
    <w:name w:val="14 RefAuthor"/>
    <w:basedOn w:val="Normal"/>
    <w:next w:val="Normal"/>
    <w:rsid w:val="00570224"/>
    <w:pPr>
      <w:keepNext/>
    </w:pPr>
    <w:rPr>
      <w:rFonts w:ascii="Arial" w:hAnsi="Arial"/>
    </w:rPr>
  </w:style>
  <w:style w:type="paragraph" w:customStyle="1" w:styleId="14aRefListing">
    <w:name w:val="14a RefListing"/>
    <w:basedOn w:val="Normal"/>
    <w:rsid w:val="00570224"/>
    <w:pPr>
      <w:keepLines/>
      <w:spacing w:after="240"/>
      <w:ind w:left="1440" w:hanging="720"/>
    </w:pPr>
    <w:rPr>
      <w:rFonts w:ascii="Arial" w:hAnsi="Arial"/>
    </w:rPr>
  </w:style>
  <w:style w:type="paragraph" w:customStyle="1" w:styleId="LOA">
    <w:name w:val="LOA"/>
    <w:basedOn w:val="Normal"/>
    <w:rsid w:val="00570224"/>
    <w:pPr>
      <w:spacing w:after="240"/>
      <w:ind w:left="2160" w:hanging="2160"/>
    </w:pPr>
    <w:rPr>
      <w:rFonts w:ascii="Arial" w:hAnsi="Arial"/>
    </w:rPr>
  </w:style>
  <w:style w:type="paragraph" w:customStyle="1" w:styleId="Quicki">
    <w:name w:val="Quick i."/>
    <w:rsid w:val="00570224"/>
    <w:pPr>
      <w:widowControl w:val="0"/>
      <w:ind w:left="-1440"/>
      <w:jc w:val="both"/>
    </w:pPr>
  </w:style>
  <w:style w:type="paragraph" w:customStyle="1" w:styleId="Quick1">
    <w:name w:val="Quick 1."/>
    <w:rsid w:val="00570224"/>
    <w:pPr>
      <w:widowControl w:val="0"/>
      <w:ind w:left="-1440"/>
      <w:jc w:val="both"/>
    </w:pPr>
  </w:style>
  <w:style w:type="paragraph" w:customStyle="1" w:styleId="Quicka">
    <w:name w:val="Quick a."/>
    <w:rsid w:val="00570224"/>
    <w:pPr>
      <w:widowControl w:val="0"/>
      <w:ind w:left="-1440"/>
      <w:jc w:val="both"/>
    </w:pPr>
  </w:style>
  <w:style w:type="paragraph" w:customStyle="1" w:styleId="QuickA0">
    <w:name w:val="Quick A."/>
    <w:rsid w:val="00570224"/>
    <w:pPr>
      <w:widowControl w:val="0"/>
      <w:ind w:left="-1440"/>
      <w:jc w:val="both"/>
    </w:pPr>
  </w:style>
  <w:style w:type="paragraph" w:styleId="NoSpacing">
    <w:name w:val="No Spacing"/>
    <w:link w:val="NoSpacingChar"/>
    <w:uiPriority w:val="1"/>
    <w:qFormat/>
    <w:rsid w:val="00570224"/>
    <w:pPr>
      <w:widowControl w:val="0"/>
    </w:pPr>
  </w:style>
  <w:style w:type="character" w:customStyle="1" w:styleId="NoSpacingChar">
    <w:name w:val="No Spacing Char"/>
    <w:basedOn w:val="DefaultParagraphFont"/>
    <w:link w:val="NoSpacing"/>
    <w:uiPriority w:val="1"/>
    <w:locked/>
    <w:rsid w:val="00570224"/>
  </w:style>
  <w:style w:type="paragraph" w:customStyle="1" w:styleId="Figure">
    <w:name w:val="Figure"/>
    <w:basedOn w:val="Normal"/>
    <w:link w:val="FigureChar"/>
    <w:qFormat/>
    <w:rsid w:val="00570224"/>
    <w:pPr>
      <w:widowControl w:val="0"/>
    </w:pPr>
    <w:rPr>
      <w:b/>
      <w:szCs w:val="20"/>
    </w:rPr>
  </w:style>
  <w:style w:type="paragraph" w:customStyle="1" w:styleId="NoSpacing2">
    <w:name w:val="No Spacing2"/>
    <w:basedOn w:val="Normal"/>
    <w:uiPriority w:val="99"/>
    <w:qFormat/>
    <w:rsid w:val="00570224"/>
    <w:rPr>
      <w:rFonts w:ascii="Calibri" w:eastAsia="Calibri" w:hAnsi="Calibri"/>
      <w:sz w:val="22"/>
      <w:szCs w:val="22"/>
    </w:rPr>
  </w:style>
  <w:style w:type="character" w:customStyle="1" w:styleId="Heading4states">
    <w:name w:val="Heading 4 states"/>
    <w:basedOn w:val="BodyTextChar"/>
    <w:uiPriority w:val="99"/>
    <w:rsid w:val="00570224"/>
    <w:rPr>
      <w:rFonts w:ascii="Times New Roman" w:hAnsi="Times New Roman" w:cstheme="minorBidi"/>
      <w:b/>
      <w:bCs/>
      <w:sz w:val="22"/>
      <w:szCs w:val="28"/>
      <w:u w:val="single"/>
      <w:lang w:val="en-US" w:eastAsia="en-US" w:bidi="ar-SA"/>
    </w:rPr>
  </w:style>
  <w:style w:type="paragraph" w:customStyle="1" w:styleId="Table">
    <w:name w:val="Table"/>
    <w:basedOn w:val="Normal"/>
    <w:qFormat/>
    <w:rsid w:val="00570224"/>
    <w:pPr>
      <w:tabs>
        <w:tab w:val="left" w:pos="0"/>
        <w:tab w:val="left" w:pos="360"/>
        <w:tab w:val="left" w:pos="720"/>
        <w:tab w:val="left" w:pos="1080"/>
        <w:tab w:val="left" w:pos="1440"/>
        <w:tab w:val="left" w:pos="2160"/>
        <w:tab w:val="left" w:pos="5760"/>
        <w:tab w:val="left" w:pos="8640"/>
        <w:tab w:val="left" w:pos="10080"/>
      </w:tabs>
    </w:pPr>
    <w:rPr>
      <w:b/>
      <w:szCs w:val="20"/>
    </w:rPr>
  </w:style>
  <w:style w:type="character" w:customStyle="1" w:styleId="CharChar15">
    <w:name w:val="Char Char15"/>
    <w:basedOn w:val="DefaultParagraphFont"/>
    <w:uiPriority w:val="99"/>
    <w:rsid w:val="00570224"/>
    <w:rPr>
      <w:rFonts w:eastAsia="Times New Roman" w:cs="Times New Roman"/>
      <w:bCs/>
      <w:i/>
      <w:sz w:val="28"/>
      <w:szCs w:val="28"/>
      <w:lang w:val="en-US" w:eastAsia="en-US" w:bidi="ar-SA"/>
    </w:rPr>
  </w:style>
  <w:style w:type="character" w:customStyle="1" w:styleId="CharChar272">
    <w:name w:val="Char Char272"/>
    <w:basedOn w:val="DefaultParagraphFont"/>
    <w:uiPriority w:val="99"/>
    <w:locked/>
    <w:rsid w:val="00570224"/>
    <w:rPr>
      <w:rFonts w:ascii="Arial" w:hAnsi="Arial" w:cs="Arial"/>
      <w:b/>
      <w:bCs/>
      <w:kern w:val="32"/>
      <w:sz w:val="32"/>
      <w:szCs w:val="32"/>
    </w:rPr>
  </w:style>
  <w:style w:type="character" w:customStyle="1" w:styleId="CharChar262">
    <w:name w:val="Char Char262"/>
    <w:basedOn w:val="DefaultParagraphFont"/>
    <w:uiPriority w:val="99"/>
    <w:locked/>
    <w:rsid w:val="00570224"/>
    <w:rPr>
      <w:rFonts w:ascii="Arial" w:hAnsi="Arial" w:cs="Arial"/>
      <w:b/>
      <w:bCs/>
      <w:i/>
      <w:iCs/>
      <w:sz w:val="28"/>
      <w:szCs w:val="28"/>
    </w:rPr>
  </w:style>
  <w:style w:type="character" w:customStyle="1" w:styleId="CharChar252">
    <w:name w:val="Char Char252"/>
    <w:basedOn w:val="DefaultParagraphFont"/>
    <w:uiPriority w:val="99"/>
    <w:locked/>
    <w:rsid w:val="00570224"/>
    <w:rPr>
      <w:rFonts w:ascii="Arial" w:hAnsi="Arial" w:cs="Arial"/>
      <w:b/>
      <w:bCs/>
      <w:sz w:val="26"/>
      <w:szCs w:val="26"/>
    </w:rPr>
  </w:style>
  <w:style w:type="character" w:customStyle="1" w:styleId="CharChar242">
    <w:name w:val="Char Char242"/>
    <w:basedOn w:val="DefaultParagraphFont"/>
    <w:uiPriority w:val="99"/>
    <w:locked/>
    <w:rsid w:val="00570224"/>
    <w:rPr>
      <w:rFonts w:cs="Times New Roman"/>
      <w:b/>
      <w:bCs/>
      <w:i/>
      <w:iCs/>
      <w:sz w:val="26"/>
      <w:szCs w:val="26"/>
    </w:rPr>
  </w:style>
  <w:style w:type="character" w:customStyle="1" w:styleId="CharChar232">
    <w:name w:val="Char Char232"/>
    <w:basedOn w:val="DefaultParagraphFont"/>
    <w:uiPriority w:val="99"/>
    <w:locked/>
    <w:rsid w:val="00570224"/>
    <w:rPr>
      <w:rFonts w:cs="Times New Roman"/>
      <w:b/>
      <w:bCs/>
      <w:sz w:val="22"/>
      <w:szCs w:val="22"/>
    </w:rPr>
  </w:style>
  <w:style w:type="character" w:customStyle="1" w:styleId="CharChar222">
    <w:name w:val="Char Char222"/>
    <w:basedOn w:val="DefaultParagraphFont"/>
    <w:uiPriority w:val="99"/>
    <w:locked/>
    <w:rsid w:val="00570224"/>
    <w:rPr>
      <w:rFonts w:cs="Times New Roman"/>
      <w:sz w:val="24"/>
      <w:szCs w:val="24"/>
    </w:rPr>
  </w:style>
  <w:style w:type="character" w:customStyle="1" w:styleId="CharChar212">
    <w:name w:val="Char Char212"/>
    <w:basedOn w:val="DefaultParagraphFont"/>
    <w:uiPriority w:val="99"/>
    <w:locked/>
    <w:rsid w:val="00570224"/>
    <w:rPr>
      <w:rFonts w:cs="Times New Roman"/>
      <w:i/>
      <w:iCs/>
      <w:sz w:val="24"/>
      <w:szCs w:val="24"/>
    </w:rPr>
  </w:style>
  <w:style w:type="character" w:customStyle="1" w:styleId="CharChar202">
    <w:name w:val="Char Char202"/>
    <w:basedOn w:val="DefaultParagraphFont"/>
    <w:uiPriority w:val="99"/>
    <w:locked/>
    <w:rsid w:val="00570224"/>
    <w:rPr>
      <w:rFonts w:ascii="Arial" w:hAnsi="Arial" w:cs="Arial"/>
      <w:sz w:val="22"/>
      <w:szCs w:val="22"/>
    </w:rPr>
  </w:style>
  <w:style w:type="character" w:customStyle="1" w:styleId="CharChar182">
    <w:name w:val="Char Char182"/>
    <w:basedOn w:val="DefaultParagraphFont"/>
    <w:uiPriority w:val="99"/>
    <w:locked/>
    <w:rsid w:val="00570224"/>
    <w:rPr>
      <w:rFonts w:cs="Times New Roman"/>
      <w:sz w:val="24"/>
      <w:szCs w:val="24"/>
    </w:rPr>
  </w:style>
  <w:style w:type="character" w:customStyle="1" w:styleId="CharChar142">
    <w:name w:val="Char Char142"/>
    <w:basedOn w:val="DefaultParagraphFont"/>
    <w:uiPriority w:val="99"/>
    <w:locked/>
    <w:rsid w:val="00570224"/>
    <w:rPr>
      <w:rFonts w:cs="Times New Roman"/>
      <w:sz w:val="24"/>
      <w:szCs w:val="24"/>
    </w:rPr>
  </w:style>
  <w:style w:type="character" w:customStyle="1" w:styleId="CharChar112">
    <w:name w:val="Char Char112"/>
    <w:basedOn w:val="DefaultParagraphFont"/>
    <w:uiPriority w:val="99"/>
    <w:locked/>
    <w:rsid w:val="00570224"/>
    <w:rPr>
      <w:rFonts w:ascii="Cambria" w:hAnsi="Cambria" w:cs="Times New Roman"/>
      <w:sz w:val="24"/>
      <w:szCs w:val="24"/>
    </w:rPr>
  </w:style>
  <w:style w:type="character" w:customStyle="1" w:styleId="CharChar42">
    <w:name w:val="Char Char42"/>
    <w:basedOn w:val="DefaultParagraphFont"/>
    <w:uiPriority w:val="99"/>
    <w:locked/>
    <w:rsid w:val="00570224"/>
    <w:rPr>
      <w:rFonts w:ascii="Cambria" w:hAnsi="Cambria" w:cs="Times New Roman"/>
      <w:b/>
      <w:bCs/>
      <w:kern w:val="28"/>
      <w:sz w:val="32"/>
      <w:szCs w:val="32"/>
    </w:rPr>
  </w:style>
  <w:style w:type="character" w:customStyle="1" w:styleId="CharChar392">
    <w:name w:val="Char Char392"/>
    <w:basedOn w:val="DefaultParagraphFont"/>
    <w:uiPriority w:val="99"/>
    <w:rsid w:val="00570224"/>
    <w:rPr>
      <w:rFonts w:ascii="Arial" w:hAnsi="Arial" w:cs="Arial"/>
      <w:b/>
      <w:bCs/>
      <w:i/>
      <w:iCs/>
      <w:sz w:val="28"/>
      <w:szCs w:val="28"/>
    </w:rPr>
  </w:style>
  <w:style w:type="paragraph" w:customStyle="1" w:styleId="HStates">
    <w:name w:val="HStates"/>
    <w:basedOn w:val="Heading4"/>
    <w:rsid w:val="00570224"/>
    <w:pPr>
      <w:spacing w:before="0" w:after="0"/>
    </w:pPr>
    <w:rPr>
      <w:sz w:val="24"/>
    </w:rPr>
  </w:style>
  <w:style w:type="character" w:customStyle="1" w:styleId="googqs-tidbit">
    <w:name w:val="goog_qs-tidbit"/>
    <w:basedOn w:val="DefaultParagraphFont"/>
    <w:rsid w:val="00570224"/>
  </w:style>
  <w:style w:type="paragraph" w:styleId="Revision">
    <w:name w:val="Revision"/>
    <w:hidden/>
    <w:uiPriority w:val="99"/>
    <w:rsid w:val="00570224"/>
  </w:style>
  <w:style w:type="table" w:customStyle="1" w:styleId="TableGrid2">
    <w:name w:val="Table Grid2"/>
    <w:basedOn w:val="TableNormal"/>
    <w:next w:val="TableGrid"/>
    <w:uiPriority w:val="59"/>
    <w:rsid w:val="007B4F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rkList-Accent52">
    <w:name w:val="Dark List - Accent 52"/>
    <w:basedOn w:val="Normal"/>
    <w:uiPriority w:val="34"/>
    <w:qFormat/>
    <w:rsid w:val="00EF4690"/>
    <w:pPr>
      <w:ind w:left="720"/>
      <w:contextualSpacing/>
    </w:pPr>
    <w:rPr>
      <w:rFonts w:ascii="Calibri" w:eastAsia="Calibri" w:hAnsi="Calibri"/>
      <w:sz w:val="22"/>
      <w:szCs w:val="22"/>
    </w:rPr>
  </w:style>
  <w:style w:type="paragraph" w:customStyle="1" w:styleId="List1">
    <w:name w:val="List 1"/>
    <w:semiHidden/>
    <w:rsid w:val="00EF4690"/>
    <w:pPr>
      <w:ind w:left="720" w:hanging="360"/>
    </w:pPr>
  </w:style>
  <w:style w:type="character" w:customStyle="1" w:styleId="bi">
    <w:name w:val="bi"/>
    <w:basedOn w:val="DefaultParagraphFont"/>
    <w:rsid w:val="00840B0B"/>
  </w:style>
  <w:style w:type="character" w:customStyle="1" w:styleId="Heading4Char3">
    <w:name w:val="Heading 4 Char3"/>
    <w:basedOn w:val="DefaultParagraphFont"/>
    <w:rsid w:val="002F645B"/>
    <w:rPr>
      <w:rFonts w:ascii="Times New Roman" w:eastAsia="Times New Roman" w:hAnsi="Times New Roman" w:cs="Times New Roman"/>
      <w:b/>
      <w:bCs/>
      <w:iCs/>
      <w:sz w:val="24"/>
      <w:szCs w:val="24"/>
    </w:rPr>
  </w:style>
  <w:style w:type="character" w:customStyle="1" w:styleId="BalloonTextChar9">
    <w:name w:val="Balloon Text Char9"/>
    <w:basedOn w:val="DefaultParagraphFont"/>
    <w:uiPriority w:val="99"/>
    <w:rsid w:val="002F645B"/>
    <w:rPr>
      <w:rFonts w:ascii="Lucida Grande" w:hAnsi="Lucida Grande"/>
      <w:sz w:val="18"/>
      <w:szCs w:val="18"/>
    </w:rPr>
  </w:style>
  <w:style w:type="character" w:customStyle="1" w:styleId="BalloonTextChar8">
    <w:name w:val="Balloon Text Char8"/>
    <w:basedOn w:val="DefaultParagraphFont"/>
    <w:uiPriority w:val="99"/>
    <w:semiHidden/>
    <w:rsid w:val="002F645B"/>
    <w:rPr>
      <w:rFonts w:ascii="Lucida Grande" w:hAnsi="Lucida Grande"/>
      <w:sz w:val="18"/>
      <w:szCs w:val="18"/>
    </w:rPr>
  </w:style>
  <w:style w:type="character" w:customStyle="1" w:styleId="BalloonTextChar7">
    <w:name w:val="Balloon Text Char7"/>
    <w:basedOn w:val="DefaultParagraphFont"/>
    <w:uiPriority w:val="99"/>
    <w:semiHidden/>
    <w:rsid w:val="002F645B"/>
    <w:rPr>
      <w:rFonts w:ascii="Lucida Grande" w:hAnsi="Lucida Grande"/>
      <w:sz w:val="18"/>
      <w:szCs w:val="18"/>
    </w:rPr>
  </w:style>
  <w:style w:type="character" w:customStyle="1" w:styleId="BalloonTextChar6">
    <w:name w:val="Balloon Text Char6"/>
    <w:basedOn w:val="DefaultParagraphFont"/>
    <w:uiPriority w:val="99"/>
    <w:semiHidden/>
    <w:rsid w:val="002F645B"/>
    <w:rPr>
      <w:rFonts w:ascii="Lucida Grande" w:hAnsi="Lucida Grande"/>
      <w:sz w:val="18"/>
      <w:szCs w:val="18"/>
    </w:rPr>
  </w:style>
  <w:style w:type="character" w:customStyle="1" w:styleId="BalloonTextChar5">
    <w:name w:val="Balloon Text Char5"/>
    <w:basedOn w:val="DefaultParagraphFont"/>
    <w:uiPriority w:val="99"/>
    <w:semiHidden/>
    <w:rsid w:val="002F645B"/>
    <w:rPr>
      <w:rFonts w:ascii="Lucida Grande" w:hAnsi="Lucida Grande"/>
      <w:sz w:val="18"/>
      <w:szCs w:val="18"/>
    </w:rPr>
  </w:style>
  <w:style w:type="character" w:customStyle="1" w:styleId="BalloonTextChar4">
    <w:name w:val="Balloon Text Char4"/>
    <w:basedOn w:val="DefaultParagraphFont"/>
    <w:uiPriority w:val="99"/>
    <w:semiHidden/>
    <w:rsid w:val="002F645B"/>
    <w:rPr>
      <w:rFonts w:ascii="Lucida Grande" w:hAnsi="Lucida Grande"/>
      <w:sz w:val="18"/>
      <w:szCs w:val="18"/>
    </w:rPr>
  </w:style>
  <w:style w:type="character" w:customStyle="1" w:styleId="BalloonTextChar1">
    <w:name w:val="Balloon Text Char1"/>
    <w:basedOn w:val="DefaultParagraphFont"/>
    <w:uiPriority w:val="99"/>
    <w:rsid w:val="002F645B"/>
    <w:rPr>
      <w:rFonts w:ascii="Tahoma" w:hAnsi="Tahoma" w:cs="Tahoma"/>
      <w:sz w:val="16"/>
      <w:szCs w:val="16"/>
    </w:rPr>
  </w:style>
  <w:style w:type="character" w:customStyle="1" w:styleId="BalloonTextChar3">
    <w:name w:val="Balloon Text Char3"/>
    <w:basedOn w:val="DefaultParagraphFont"/>
    <w:uiPriority w:val="99"/>
    <w:semiHidden/>
    <w:rsid w:val="002F645B"/>
    <w:rPr>
      <w:rFonts w:ascii="Lucida Grande" w:hAnsi="Lucida Grande"/>
      <w:sz w:val="18"/>
      <w:szCs w:val="18"/>
    </w:rPr>
  </w:style>
  <w:style w:type="character" w:customStyle="1" w:styleId="BalloonTextChar2">
    <w:name w:val="Balloon Text Char2"/>
    <w:basedOn w:val="DefaultParagraphFont"/>
    <w:uiPriority w:val="99"/>
    <w:rsid w:val="002F645B"/>
    <w:rPr>
      <w:rFonts w:ascii="Lucida Grande" w:hAnsi="Lucida Grande"/>
      <w:sz w:val="18"/>
      <w:szCs w:val="18"/>
    </w:rPr>
  </w:style>
  <w:style w:type="character" w:customStyle="1" w:styleId="EmailStyle59">
    <w:name w:val="EmailStyle59"/>
    <w:basedOn w:val="DefaultParagraphFont"/>
    <w:semiHidden/>
    <w:rsid w:val="002F645B"/>
    <w:rPr>
      <w:rFonts w:ascii="Arial" w:hAnsi="Arial" w:cs="Arial" w:hint="default"/>
      <w:color w:val="auto"/>
      <w:sz w:val="20"/>
      <w:szCs w:val="20"/>
    </w:rPr>
  </w:style>
  <w:style w:type="character" w:customStyle="1" w:styleId="Heading4CharCharCharChar">
    <w:name w:val="Heading 4 Char Char Char Char"/>
    <w:basedOn w:val="DefaultParagraphFont"/>
    <w:rsid w:val="002F645B"/>
    <w:rPr>
      <w:rFonts w:ascii="Times New Roman" w:hAnsi="Times New Roman"/>
      <w:b/>
      <w:bCs/>
      <w:sz w:val="28"/>
      <w:szCs w:val="28"/>
      <w:lang w:val="en-US" w:eastAsia="en-US" w:bidi="ar-SA"/>
    </w:rPr>
  </w:style>
  <w:style w:type="paragraph" w:customStyle="1" w:styleId="LightGrid-Accent31">
    <w:name w:val="Light Grid - Accent 31"/>
    <w:basedOn w:val="Normal"/>
    <w:uiPriority w:val="34"/>
    <w:qFormat/>
    <w:rsid w:val="002F645B"/>
    <w:pPr>
      <w:ind w:left="720"/>
      <w:contextualSpacing/>
    </w:pPr>
    <w:rPr>
      <w:rFonts w:ascii="Calibri" w:eastAsia="Calibri" w:hAnsi="Calibri"/>
      <w:sz w:val="22"/>
      <w:szCs w:val="22"/>
    </w:rPr>
  </w:style>
  <w:style w:type="paragraph" w:customStyle="1" w:styleId="LightList-Accent31">
    <w:name w:val="Light List - Accent 31"/>
    <w:hidden/>
    <w:rsid w:val="002F645B"/>
  </w:style>
  <w:style w:type="character" w:customStyle="1" w:styleId="EmailStyle350">
    <w:name w:val="EmailStyle350"/>
    <w:basedOn w:val="DefaultParagraphFont"/>
    <w:semiHidden/>
    <w:rsid w:val="002F645B"/>
    <w:rPr>
      <w:rFonts w:ascii="Arial" w:hAnsi="Arial" w:cs="Arial" w:hint="default"/>
      <w:color w:val="auto"/>
      <w:sz w:val="20"/>
      <w:szCs w:val="20"/>
    </w:rPr>
  </w:style>
  <w:style w:type="character" w:customStyle="1" w:styleId="EmailStyle3652">
    <w:name w:val="EmailStyle3652"/>
    <w:basedOn w:val="DefaultParagraphFont"/>
    <w:semiHidden/>
    <w:rsid w:val="002F645B"/>
    <w:rPr>
      <w:rFonts w:ascii="Arial" w:hAnsi="Arial" w:cs="Arial" w:hint="default"/>
      <w:color w:val="auto"/>
      <w:sz w:val="20"/>
      <w:szCs w:val="20"/>
    </w:rPr>
  </w:style>
  <w:style w:type="character" w:customStyle="1" w:styleId="EmailStyle366">
    <w:name w:val="EmailStyle366"/>
    <w:basedOn w:val="DefaultParagraphFont"/>
    <w:semiHidden/>
    <w:rsid w:val="002F645B"/>
    <w:rPr>
      <w:rFonts w:ascii="Arial" w:hAnsi="Arial" w:cs="Arial" w:hint="default"/>
      <w:color w:val="auto"/>
      <w:sz w:val="20"/>
      <w:szCs w:val="20"/>
    </w:rPr>
  </w:style>
  <w:style w:type="table" w:styleId="MediumList1-Accent4">
    <w:name w:val="Medium List 1 Accent 4"/>
    <w:basedOn w:val="TableNormal"/>
    <w:uiPriority w:val="71"/>
    <w:rsid w:val="002F645B"/>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EmailStyle376">
    <w:name w:val="EmailStyle376"/>
    <w:basedOn w:val="DefaultParagraphFont"/>
    <w:semiHidden/>
    <w:rsid w:val="002F645B"/>
    <w:rPr>
      <w:rFonts w:ascii="Arial" w:hAnsi="Arial" w:cs="Arial" w:hint="default"/>
      <w:color w:val="auto"/>
      <w:sz w:val="20"/>
      <w:szCs w:val="20"/>
    </w:rPr>
  </w:style>
  <w:style w:type="paragraph" w:customStyle="1" w:styleId="DarkList-Accent51">
    <w:name w:val="Dark List - Accent 51"/>
    <w:basedOn w:val="Normal"/>
    <w:uiPriority w:val="34"/>
    <w:qFormat/>
    <w:rsid w:val="002F645B"/>
    <w:pPr>
      <w:ind w:left="720"/>
    </w:pPr>
  </w:style>
  <w:style w:type="paragraph" w:customStyle="1" w:styleId="content">
    <w:name w:val="content"/>
    <w:basedOn w:val="Normal"/>
    <w:rsid w:val="002F645B"/>
    <w:pPr>
      <w:spacing w:before="100" w:beforeAutospacing="1" w:after="100" w:afterAutospacing="1"/>
      <w:ind w:left="225" w:right="225"/>
    </w:pPr>
    <w:rPr>
      <w:rFonts w:ascii="Verdana" w:hAnsi="Verdana"/>
      <w:color w:val="757575"/>
      <w:sz w:val="17"/>
      <w:szCs w:val="17"/>
    </w:rPr>
  </w:style>
  <w:style w:type="character" w:customStyle="1" w:styleId="CharChar2">
    <w:name w:val="Char Char2"/>
    <w:basedOn w:val="DefaultParagraphFont"/>
    <w:locked/>
    <w:rsid w:val="002F645B"/>
    <w:rPr>
      <w:b/>
      <w:sz w:val="24"/>
      <w:lang w:val="en-GB" w:eastAsia="en-US" w:bidi="ar-SA"/>
    </w:rPr>
  </w:style>
  <w:style w:type="character" w:customStyle="1" w:styleId="style32">
    <w:name w:val="style32"/>
    <w:basedOn w:val="DefaultParagraphFont"/>
    <w:rsid w:val="002F645B"/>
  </w:style>
  <w:style w:type="paragraph" w:customStyle="1" w:styleId="MediumGrid3-Accent51">
    <w:name w:val="Medium Grid 3 - Accent 51"/>
    <w:hidden/>
    <w:uiPriority w:val="99"/>
    <w:semiHidden/>
    <w:rsid w:val="002F645B"/>
  </w:style>
  <w:style w:type="character" w:customStyle="1" w:styleId="heading3char0">
    <w:name w:val="heading3char"/>
    <w:basedOn w:val="DefaultParagraphFont"/>
    <w:rsid w:val="002F645B"/>
  </w:style>
  <w:style w:type="character" w:customStyle="1" w:styleId="heading4char10">
    <w:name w:val="heading4char1"/>
    <w:basedOn w:val="DefaultParagraphFont"/>
    <w:rsid w:val="002F645B"/>
  </w:style>
  <w:style w:type="paragraph" w:customStyle="1" w:styleId="LightList-Accent51">
    <w:name w:val="Light List - Accent 51"/>
    <w:basedOn w:val="Normal"/>
    <w:uiPriority w:val="34"/>
    <w:qFormat/>
    <w:rsid w:val="002F645B"/>
    <w:pPr>
      <w:ind w:left="720"/>
    </w:pPr>
  </w:style>
  <w:style w:type="paragraph" w:customStyle="1" w:styleId="LightShading-Accent51">
    <w:name w:val="Light Shading - Accent 51"/>
    <w:hidden/>
    <w:uiPriority w:val="99"/>
    <w:rsid w:val="002F645B"/>
  </w:style>
  <w:style w:type="paragraph" w:customStyle="1" w:styleId="ColorfulShading-Accent31">
    <w:name w:val="Colorful Shading - Accent 31"/>
    <w:basedOn w:val="Normal"/>
    <w:uiPriority w:val="34"/>
    <w:qFormat/>
    <w:rsid w:val="002F645B"/>
    <w:pPr>
      <w:ind w:left="720"/>
    </w:pPr>
  </w:style>
  <w:style w:type="paragraph" w:customStyle="1" w:styleId="DarkList-Accent31">
    <w:name w:val="Dark List - Accent 31"/>
    <w:hidden/>
    <w:uiPriority w:val="71"/>
    <w:rsid w:val="002F645B"/>
  </w:style>
  <w:style w:type="paragraph" w:customStyle="1" w:styleId="LightGrid-Accent312">
    <w:name w:val="Light Grid - Accent 312"/>
    <w:basedOn w:val="Normal"/>
    <w:uiPriority w:val="34"/>
    <w:qFormat/>
    <w:rsid w:val="002F645B"/>
    <w:pPr>
      <w:ind w:left="720"/>
      <w:contextualSpacing/>
    </w:pPr>
    <w:rPr>
      <w:rFonts w:ascii="Calibri" w:eastAsia="Calibri" w:hAnsi="Calibri"/>
      <w:sz w:val="22"/>
      <w:szCs w:val="22"/>
    </w:rPr>
  </w:style>
  <w:style w:type="paragraph" w:customStyle="1" w:styleId="NoSpacing11">
    <w:name w:val="No Spacing11"/>
    <w:uiPriority w:val="99"/>
    <w:qFormat/>
    <w:rsid w:val="002F645B"/>
    <w:rPr>
      <w:rFonts w:asciiTheme="minorHAnsi" w:eastAsiaTheme="minorHAnsi" w:hAnsiTheme="minorHAnsi" w:cstheme="minorBidi"/>
      <w:szCs w:val="22"/>
    </w:rPr>
  </w:style>
  <w:style w:type="paragraph" w:customStyle="1" w:styleId="LightList-Accent311">
    <w:name w:val="Light List - Accent 311"/>
    <w:hidden/>
    <w:rsid w:val="002F645B"/>
  </w:style>
  <w:style w:type="paragraph" w:customStyle="1" w:styleId="MediumGrid1-Accent21">
    <w:name w:val="Medium Grid 1 - Accent 21"/>
    <w:basedOn w:val="Normal"/>
    <w:uiPriority w:val="99"/>
    <w:qFormat/>
    <w:rsid w:val="002F645B"/>
    <w:pPr>
      <w:ind w:left="720"/>
      <w:contextualSpacing/>
    </w:pPr>
    <w:rPr>
      <w:rFonts w:ascii="Calibri" w:hAnsi="Calibri"/>
      <w:sz w:val="22"/>
      <w:szCs w:val="22"/>
    </w:rPr>
  </w:style>
  <w:style w:type="paragraph" w:customStyle="1" w:styleId="MediumList2-Accent21">
    <w:name w:val="Medium List 2 - Accent 21"/>
    <w:hidden/>
    <w:uiPriority w:val="99"/>
    <w:rsid w:val="002F645B"/>
  </w:style>
  <w:style w:type="paragraph" w:customStyle="1" w:styleId="ColorfulShading-Accent12">
    <w:name w:val="Colorful Shading - Accent 12"/>
    <w:hidden/>
    <w:rsid w:val="002F645B"/>
  </w:style>
  <w:style w:type="paragraph" w:customStyle="1" w:styleId="ColorfulList-Accent12">
    <w:name w:val="Colorful List - Accent 12"/>
    <w:basedOn w:val="Normal"/>
    <w:uiPriority w:val="34"/>
    <w:qFormat/>
    <w:rsid w:val="002F645B"/>
    <w:pPr>
      <w:ind w:left="720"/>
      <w:contextualSpacing/>
    </w:pPr>
  </w:style>
  <w:style w:type="paragraph" w:customStyle="1" w:styleId="NoSpacing3">
    <w:name w:val="No Spacing3"/>
    <w:uiPriority w:val="99"/>
    <w:qFormat/>
    <w:rsid w:val="002F645B"/>
  </w:style>
  <w:style w:type="character" w:customStyle="1" w:styleId="CharChar110">
    <w:name w:val="Char Char110"/>
    <w:basedOn w:val="DefaultParagraphFont"/>
    <w:rsid w:val="002F645B"/>
    <w:rPr>
      <w:rFonts w:eastAsia="Times"/>
      <w:bCs/>
      <w:i/>
      <w:sz w:val="24"/>
      <w:szCs w:val="28"/>
      <w:lang w:val="en-US" w:eastAsia="en-US" w:bidi="ar-SA"/>
    </w:rPr>
  </w:style>
  <w:style w:type="character" w:customStyle="1" w:styleId="CharChar276">
    <w:name w:val="Char Char276"/>
    <w:basedOn w:val="DefaultParagraphFont"/>
    <w:locked/>
    <w:rsid w:val="002F645B"/>
    <w:rPr>
      <w:rFonts w:ascii="Arial" w:hAnsi="Arial" w:cs="Arial"/>
      <w:b/>
      <w:bCs/>
      <w:kern w:val="32"/>
      <w:sz w:val="32"/>
      <w:szCs w:val="32"/>
    </w:rPr>
  </w:style>
  <w:style w:type="character" w:customStyle="1" w:styleId="CharChar266">
    <w:name w:val="Char Char266"/>
    <w:basedOn w:val="DefaultParagraphFont"/>
    <w:locked/>
    <w:rsid w:val="002F645B"/>
    <w:rPr>
      <w:rFonts w:ascii="Arial" w:hAnsi="Arial" w:cs="Arial"/>
      <w:b/>
      <w:bCs/>
      <w:i/>
      <w:iCs/>
      <w:sz w:val="28"/>
      <w:szCs w:val="28"/>
    </w:rPr>
  </w:style>
  <w:style w:type="character" w:customStyle="1" w:styleId="CharChar256">
    <w:name w:val="Char Char256"/>
    <w:basedOn w:val="DefaultParagraphFont"/>
    <w:locked/>
    <w:rsid w:val="002F645B"/>
    <w:rPr>
      <w:rFonts w:ascii="Arial" w:hAnsi="Arial" w:cs="Arial"/>
      <w:b/>
      <w:bCs/>
      <w:sz w:val="26"/>
      <w:szCs w:val="26"/>
    </w:rPr>
  </w:style>
  <w:style w:type="character" w:customStyle="1" w:styleId="CharChar246">
    <w:name w:val="Char Char246"/>
    <w:basedOn w:val="DefaultParagraphFont"/>
    <w:locked/>
    <w:rsid w:val="002F645B"/>
    <w:rPr>
      <w:rFonts w:cs="Times New Roman"/>
      <w:b/>
      <w:bCs/>
      <w:i/>
      <w:iCs/>
      <w:sz w:val="26"/>
      <w:szCs w:val="26"/>
    </w:rPr>
  </w:style>
  <w:style w:type="character" w:customStyle="1" w:styleId="CharChar236">
    <w:name w:val="Char Char236"/>
    <w:basedOn w:val="DefaultParagraphFont"/>
    <w:locked/>
    <w:rsid w:val="002F645B"/>
    <w:rPr>
      <w:rFonts w:cs="Times New Roman"/>
      <w:b/>
      <w:bCs/>
      <w:sz w:val="22"/>
      <w:szCs w:val="22"/>
    </w:rPr>
  </w:style>
  <w:style w:type="character" w:customStyle="1" w:styleId="CharChar226">
    <w:name w:val="Char Char226"/>
    <w:basedOn w:val="DefaultParagraphFont"/>
    <w:locked/>
    <w:rsid w:val="002F645B"/>
    <w:rPr>
      <w:rFonts w:cs="Times New Roman"/>
      <w:sz w:val="24"/>
      <w:szCs w:val="24"/>
    </w:rPr>
  </w:style>
  <w:style w:type="character" w:customStyle="1" w:styleId="CharChar216">
    <w:name w:val="Char Char216"/>
    <w:basedOn w:val="DefaultParagraphFont"/>
    <w:locked/>
    <w:rsid w:val="002F645B"/>
    <w:rPr>
      <w:rFonts w:cs="Times New Roman"/>
      <w:i/>
      <w:iCs/>
      <w:sz w:val="24"/>
      <w:szCs w:val="24"/>
    </w:rPr>
  </w:style>
  <w:style w:type="character" w:customStyle="1" w:styleId="CharChar206">
    <w:name w:val="Char Char206"/>
    <w:basedOn w:val="DefaultParagraphFont"/>
    <w:locked/>
    <w:rsid w:val="002F645B"/>
    <w:rPr>
      <w:rFonts w:ascii="Arial" w:hAnsi="Arial" w:cs="Arial"/>
      <w:sz w:val="22"/>
      <w:szCs w:val="22"/>
    </w:rPr>
  </w:style>
  <w:style w:type="character" w:customStyle="1" w:styleId="CharChar186">
    <w:name w:val="Char Char186"/>
    <w:basedOn w:val="DefaultParagraphFont"/>
    <w:locked/>
    <w:rsid w:val="002F645B"/>
    <w:rPr>
      <w:rFonts w:cs="Times New Roman"/>
      <w:sz w:val="24"/>
      <w:szCs w:val="24"/>
    </w:rPr>
  </w:style>
  <w:style w:type="character" w:customStyle="1" w:styleId="CharChar146">
    <w:name w:val="Char Char146"/>
    <w:basedOn w:val="DefaultParagraphFont"/>
    <w:locked/>
    <w:rsid w:val="002F645B"/>
    <w:rPr>
      <w:rFonts w:cs="Times New Roman"/>
      <w:sz w:val="24"/>
      <w:szCs w:val="24"/>
    </w:rPr>
  </w:style>
  <w:style w:type="character" w:customStyle="1" w:styleId="CharChar116">
    <w:name w:val="Char Char116"/>
    <w:basedOn w:val="DefaultParagraphFont"/>
    <w:locked/>
    <w:rsid w:val="002F645B"/>
    <w:rPr>
      <w:rFonts w:ascii="Cambria" w:hAnsi="Cambria" w:cs="Times New Roman"/>
      <w:sz w:val="24"/>
      <w:szCs w:val="24"/>
    </w:rPr>
  </w:style>
  <w:style w:type="character" w:customStyle="1" w:styleId="CharChar46">
    <w:name w:val="Char Char46"/>
    <w:basedOn w:val="DefaultParagraphFont"/>
    <w:locked/>
    <w:rsid w:val="002F645B"/>
    <w:rPr>
      <w:rFonts w:ascii="Cambria" w:hAnsi="Cambria" w:cs="Times New Roman"/>
      <w:b/>
      <w:bCs/>
      <w:kern w:val="28"/>
      <w:sz w:val="32"/>
      <w:szCs w:val="32"/>
    </w:rPr>
  </w:style>
  <w:style w:type="character" w:customStyle="1" w:styleId="CharChar396">
    <w:name w:val="Char Char396"/>
    <w:basedOn w:val="DefaultParagraphFont"/>
    <w:rsid w:val="002F645B"/>
    <w:rPr>
      <w:rFonts w:ascii="Arial" w:eastAsia="Times New Roman" w:hAnsi="Arial" w:cs="Arial"/>
      <w:b/>
      <w:bCs/>
      <w:i/>
      <w:iCs/>
      <w:sz w:val="28"/>
      <w:szCs w:val="28"/>
    </w:rPr>
  </w:style>
  <w:style w:type="character" w:customStyle="1" w:styleId="CharChar16">
    <w:name w:val="Char Char16"/>
    <w:basedOn w:val="DefaultParagraphFont"/>
    <w:rsid w:val="002F645B"/>
    <w:rPr>
      <w:rFonts w:eastAsia="Times New Roman" w:cs="Times New Roman"/>
      <w:bCs/>
      <w:i/>
      <w:sz w:val="28"/>
      <w:szCs w:val="28"/>
      <w:lang w:val="en-US" w:eastAsia="en-US" w:bidi="ar-SA"/>
    </w:rPr>
  </w:style>
  <w:style w:type="character" w:customStyle="1" w:styleId="CharChar43">
    <w:name w:val="Char Char43"/>
    <w:basedOn w:val="DefaultParagraphFont"/>
    <w:locked/>
    <w:rsid w:val="002F645B"/>
    <w:rPr>
      <w:rFonts w:ascii="Arial" w:hAnsi="Arial" w:cs="Arial"/>
      <w:b/>
      <w:bCs/>
      <w:i/>
      <w:iCs/>
      <w:sz w:val="28"/>
      <w:szCs w:val="28"/>
      <w:lang w:val="en-US" w:eastAsia="en-US" w:bidi="ar-SA"/>
    </w:rPr>
  </w:style>
  <w:style w:type="character" w:customStyle="1" w:styleId="CharChar273">
    <w:name w:val="Char Char273"/>
    <w:basedOn w:val="DefaultParagraphFont"/>
    <w:locked/>
    <w:rsid w:val="002F645B"/>
    <w:rPr>
      <w:rFonts w:ascii="Arial" w:hAnsi="Arial" w:cs="Arial"/>
      <w:b/>
      <w:bCs/>
      <w:kern w:val="32"/>
      <w:sz w:val="32"/>
      <w:szCs w:val="32"/>
    </w:rPr>
  </w:style>
  <w:style w:type="character" w:customStyle="1" w:styleId="CharChar263">
    <w:name w:val="Char Char263"/>
    <w:basedOn w:val="DefaultParagraphFont"/>
    <w:locked/>
    <w:rsid w:val="002F645B"/>
    <w:rPr>
      <w:rFonts w:ascii="Arial" w:hAnsi="Arial" w:cs="Arial"/>
      <w:b/>
      <w:bCs/>
      <w:i/>
      <w:iCs/>
      <w:sz w:val="28"/>
      <w:szCs w:val="28"/>
    </w:rPr>
  </w:style>
  <w:style w:type="character" w:customStyle="1" w:styleId="CharChar253">
    <w:name w:val="Char Char253"/>
    <w:basedOn w:val="DefaultParagraphFont"/>
    <w:locked/>
    <w:rsid w:val="002F645B"/>
    <w:rPr>
      <w:rFonts w:ascii="Arial" w:hAnsi="Arial" w:cs="Arial"/>
      <w:b/>
      <w:bCs/>
      <w:sz w:val="26"/>
      <w:szCs w:val="26"/>
    </w:rPr>
  </w:style>
  <w:style w:type="character" w:customStyle="1" w:styleId="CharChar243">
    <w:name w:val="Char Char243"/>
    <w:basedOn w:val="DefaultParagraphFont"/>
    <w:locked/>
    <w:rsid w:val="002F645B"/>
    <w:rPr>
      <w:rFonts w:cs="Times New Roman"/>
      <w:b/>
      <w:bCs/>
      <w:i/>
      <w:iCs/>
      <w:sz w:val="26"/>
      <w:szCs w:val="26"/>
    </w:rPr>
  </w:style>
  <w:style w:type="character" w:customStyle="1" w:styleId="CharChar233">
    <w:name w:val="Char Char233"/>
    <w:basedOn w:val="DefaultParagraphFont"/>
    <w:locked/>
    <w:rsid w:val="002F645B"/>
    <w:rPr>
      <w:rFonts w:cs="Times New Roman"/>
      <w:b/>
      <w:bCs/>
      <w:sz w:val="22"/>
      <w:szCs w:val="22"/>
    </w:rPr>
  </w:style>
  <w:style w:type="character" w:customStyle="1" w:styleId="CharChar223">
    <w:name w:val="Char Char223"/>
    <w:basedOn w:val="DefaultParagraphFont"/>
    <w:locked/>
    <w:rsid w:val="002F645B"/>
    <w:rPr>
      <w:rFonts w:cs="Times New Roman"/>
      <w:sz w:val="24"/>
      <w:szCs w:val="24"/>
    </w:rPr>
  </w:style>
  <w:style w:type="character" w:customStyle="1" w:styleId="CharChar213">
    <w:name w:val="Char Char213"/>
    <w:basedOn w:val="DefaultParagraphFont"/>
    <w:locked/>
    <w:rsid w:val="002F645B"/>
    <w:rPr>
      <w:rFonts w:cs="Times New Roman"/>
      <w:i/>
      <w:iCs/>
      <w:sz w:val="24"/>
      <w:szCs w:val="24"/>
    </w:rPr>
  </w:style>
  <w:style w:type="character" w:customStyle="1" w:styleId="CharChar203">
    <w:name w:val="Char Char203"/>
    <w:basedOn w:val="DefaultParagraphFont"/>
    <w:locked/>
    <w:rsid w:val="002F645B"/>
    <w:rPr>
      <w:rFonts w:ascii="Arial" w:hAnsi="Arial" w:cs="Arial"/>
      <w:sz w:val="22"/>
      <w:szCs w:val="22"/>
    </w:rPr>
  </w:style>
  <w:style w:type="character" w:customStyle="1" w:styleId="CharChar183">
    <w:name w:val="Char Char183"/>
    <w:basedOn w:val="DefaultParagraphFont"/>
    <w:locked/>
    <w:rsid w:val="002F645B"/>
    <w:rPr>
      <w:rFonts w:cs="Times New Roman"/>
      <w:sz w:val="24"/>
      <w:szCs w:val="24"/>
    </w:rPr>
  </w:style>
  <w:style w:type="character" w:customStyle="1" w:styleId="CharChar143">
    <w:name w:val="Char Char143"/>
    <w:basedOn w:val="DefaultParagraphFont"/>
    <w:locked/>
    <w:rsid w:val="002F645B"/>
    <w:rPr>
      <w:rFonts w:cs="Times New Roman"/>
      <w:sz w:val="24"/>
      <w:szCs w:val="24"/>
    </w:rPr>
  </w:style>
  <w:style w:type="character" w:customStyle="1" w:styleId="CharChar113">
    <w:name w:val="Char Char113"/>
    <w:basedOn w:val="DefaultParagraphFont"/>
    <w:locked/>
    <w:rsid w:val="002F645B"/>
    <w:rPr>
      <w:rFonts w:ascii="Cambria" w:hAnsi="Cambria" w:cs="Times New Roman"/>
      <w:sz w:val="24"/>
      <w:szCs w:val="24"/>
    </w:rPr>
  </w:style>
  <w:style w:type="character" w:customStyle="1" w:styleId="CharChar393">
    <w:name w:val="Char Char393"/>
    <w:basedOn w:val="DefaultParagraphFont"/>
    <w:rsid w:val="002F645B"/>
    <w:rPr>
      <w:rFonts w:ascii="Arial" w:eastAsia="Times New Roman" w:hAnsi="Arial" w:cs="Arial"/>
      <w:b/>
      <w:bCs/>
      <w:i/>
      <w:iCs/>
      <w:sz w:val="28"/>
      <w:szCs w:val="28"/>
    </w:rPr>
  </w:style>
  <w:style w:type="paragraph" w:customStyle="1" w:styleId="LightList-Accent32">
    <w:name w:val="Light List - Accent 32"/>
    <w:hidden/>
    <w:rsid w:val="002F645B"/>
  </w:style>
  <w:style w:type="paragraph" w:customStyle="1" w:styleId="LightGrid-Accent32">
    <w:name w:val="Light Grid - Accent 32"/>
    <w:basedOn w:val="Normal"/>
    <w:uiPriority w:val="34"/>
    <w:qFormat/>
    <w:rsid w:val="002F645B"/>
    <w:pPr>
      <w:ind w:left="720"/>
      <w:contextualSpacing/>
    </w:pPr>
  </w:style>
  <w:style w:type="paragraph" w:customStyle="1" w:styleId="NoSpacing4">
    <w:name w:val="No Spacing4"/>
    <w:uiPriority w:val="99"/>
    <w:qFormat/>
    <w:rsid w:val="002F645B"/>
  </w:style>
  <w:style w:type="paragraph" w:customStyle="1" w:styleId="MediumGrid1-Accent22">
    <w:name w:val="Medium Grid 1 - Accent 22"/>
    <w:basedOn w:val="Normal"/>
    <w:uiPriority w:val="34"/>
    <w:qFormat/>
    <w:rsid w:val="002F645B"/>
    <w:pPr>
      <w:ind w:left="720"/>
      <w:contextualSpacing/>
    </w:pPr>
  </w:style>
  <w:style w:type="character" w:customStyle="1" w:styleId="CharChar19">
    <w:name w:val="Char Char19"/>
    <w:basedOn w:val="DefaultParagraphFont"/>
    <w:rsid w:val="002F645B"/>
    <w:rPr>
      <w:rFonts w:eastAsia="Times"/>
      <w:bCs/>
      <w:i/>
      <w:sz w:val="24"/>
      <w:szCs w:val="28"/>
      <w:lang w:val="en-US" w:eastAsia="en-US" w:bidi="ar-SA"/>
    </w:rPr>
  </w:style>
  <w:style w:type="character" w:customStyle="1" w:styleId="CharChar275">
    <w:name w:val="Char Char275"/>
    <w:basedOn w:val="DefaultParagraphFont"/>
    <w:locked/>
    <w:rsid w:val="002F645B"/>
    <w:rPr>
      <w:rFonts w:ascii="Arial" w:hAnsi="Arial" w:cs="Arial"/>
      <w:b/>
      <w:bCs/>
      <w:kern w:val="32"/>
      <w:sz w:val="32"/>
      <w:szCs w:val="32"/>
    </w:rPr>
  </w:style>
  <w:style w:type="character" w:customStyle="1" w:styleId="CharChar265">
    <w:name w:val="Char Char265"/>
    <w:basedOn w:val="DefaultParagraphFont"/>
    <w:locked/>
    <w:rsid w:val="002F645B"/>
    <w:rPr>
      <w:rFonts w:ascii="Arial" w:hAnsi="Arial" w:cs="Arial"/>
      <w:b/>
      <w:bCs/>
      <w:i/>
      <w:iCs/>
      <w:sz w:val="28"/>
      <w:szCs w:val="28"/>
    </w:rPr>
  </w:style>
  <w:style w:type="character" w:customStyle="1" w:styleId="CharChar255">
    <w:name w:val="Char Char255"/>
    <w:basedOn w:val="DefaultParagraphFont"/>
    <w:locked/>
    <w:rsid w:val="002F645B"/>
    <w:rPr>
      <w:rFonts w:ascii="Arial" w:hAnsi="Arial" w:cs="Arial"/>
      <w:b/>
      <w:bCs/>
      <w:sz w:val="26"/>
      <w:szCs w:val="26"/>
    </w:rPr>
  </w:style>
  <w:style w:type="character" w:customStyle="1" w:styleId="CharChar245">
    <w:name w:val="Char Char245"/>
    <w:basedOn w:val="DefaultParagraphFont"/>
    <w:locked/>
    <w:rsid w:val="002F645B"/>
    <w:rPr>
      <w:rFonts w:cs="Times New Roman"/>
      <w:b/>
      <w:bCs/>
      <w:i/>
      <w:iCs/>
      <w:sz w:val="26"/>
      <w:szCs w:val="26"/>
    </w:rPr>
  </w:style>
  <w:style w:type="character" w:customStyle="1" w:styleId="CharChar235">
    <w:name w:val="Char Char235"/>
    <w:basedOn w:val="DefaultParagraphFont"/>
    <w:locked/>
    <w:rsid w:val="002F645B"/>
    <w:rPr>
      <w:rFonts w:cs="Times New Roman"/>
      <w:b/>
      <w:bCs/>
      <w:sz w:val="22"/>
      <w:szCs w:val="22"/>
    </w:rPr>
  </w:style>
  <w:style w:type="character" w:customStyle="1" w:styleId="CharChar225">
    <w:name w:val="Char Char225"/>
    <w:basedOn w:val="DefaultParagraphFont"/>
    <w:locked/>
    <w:rsid w:val="002F645B"/>
    <w:rPr>
      <w:rFonts w:cs="Times New Roman"/>
      <w:sz w:val="24"/>
      <w:szCs w:val="24"/>
    </w:rPr>
  </w:style>
  <w:style w:type="character" w:customStyle="1" w:styleId="CharChar215">
    <w:name w:val="Char Char215"/>
    <w:basedOn w:val="DefaultParagraphFont"/>
    <w:locked/>
    <w:rsid w:val="002F645B"/>
    <w:rPr>
      <w:rFonts w:cs="Times New Roman"/>
      <w:i/>
      <w:iCs/>
      <w:sz w:val="24"/>
      <w:szCs w:val="24"/>
    </w:rPr>
  </w:style>
  <w:style w:type="character" w:customStyle="1" w:styleId="CharChar205">
    <w:name w:val="Char Char205"/>
    <w:basedOn w:val="DefaultParagraphFont"/>
    <w:locked/>
    <w:rsid w:val="002F645B"/>
    <w:rPr>
      <w:rFonts w:ascii="Arial" w:hAnsi="Arial" w:cs="Arial"/>
      <w:sz w:val="22"/>
      <w:szCs w:val="22"/>
    </w:rPr>
  </w:style>
  <w:style w:type="character" w:customStyle="1" w:styleId="CharChar185">
    <w:name w:val="Char Char185"/>
    <w:basedOn w:val="DefaultParagraphFont"/>
    <w:locked/>
    <w:rsid w:val="002F645B"/>
    <w:rPr>
      <w:rFonts w:cs="Times New Roman"/>
      <w:sz w:val="24"/>
      <w:szCs w:val="24"/>
    </w:rPr>
  </w:style>
  <w:style w:type="character" w:customStyle="1" w:styleId="CharChar145">
    <w:name w:val="Char Char145"/>
    <w:basedOn w:val="DefaultParagraphFont"/>
    <w:locked/>
    <w:rsid w:val="002F645B"/>
    <w:rPr>
      <w:rFonts w:cs="Times New Roman"/>
      <w:sz w:val="24"/>
      <w:szCs w:val="24"/>
    </w:rPr>
  </w:style>
  <w:style w:type="character" w:customStyle="1" w:styleId="CharChar115">
    <w:name w:val="Char Char115"/>
    <w:basedOn w:val="DefaultParagraphFont"/>
    <w:locked/>
    <w:rsid w:val="002F645B"/>
    <w:rPr>
      <w:rFonts w:ascii="Cambria" w:hAnsi="Cambria" w:cs="Times New Roman"/>
      <w:sz w:val="24"/>
      <w:szCs w:val="24"/>
    </w:rPr>
  </w:style>
  <w:style w:type="character" w:customStyle="1" w:styleId="CharChar45">
    <w:name w:val="Char Char45"/>
    <w:basedOn w:val="DefaultParagraphFont"/>
    <w:locked/>
    <w:rsid w:val="002F645B"/>
    <w:rPr>
      <w:rFonts w:ascii="Cambria" w:hAnsi="Cambria" w:cs="Times New Roman"/>
      <w:b/>
      <w:bCs/>
      <w:kern w:val="28"/>
      <w:sz w:val="32"/>
      <w:szCs w:val="32"/>
    </w:rPr>
  </w:style>
  <w:style w:type="character" w:customStyle="1" w:styleId="CharChar395">
    <w:name w:val="Char Char395"/>
    <w:basedOn w:val="DefaultParagraphFont"/>
    <w:rsid w:val="002F645B"/>
    <w:rPr>
      <w:rFonts w:ascii="Arial" w:eastAsia="Times New Roman" w:hAnsi="Arial" w:cs="Arial"/>
      <w:b/>
      <w:bCs/>
      <w:i/>
      <w:iCs/>
      <w:sz w:val="28"/>
      <w:szCs w:val="28"/>
    </w:rPr>
  </w:style>
  <w:style w:type="paragraph" w:customStyle="1" w:styleId="ColorfulList-Accent13">
    <w:name w:val="Colorful List - Accent 13"/>
    <w:basedOn w:val="Normal"/>
    <w:uiPriority w:val="34"/>
    <w:qFormat/>
    <w:rsid w:val="002F645B"/>
    <w:pPr>
      <w:ind w:left="720"/>
      <w:contextualSpacing/>
    </w:pPr>
  </w:style>
  <w:style w:type="paragraph" w:customStyle="1" w:styleId="ColorfulList-Accent14">
    <w:name w:val="Colorful List - Accent 14"/>
    <w:basedOn w:val="Normal"/>
    <w:uiPriority w:val="99"/>
    <w:qFormat/>
    <w:rsid w:val="002F645B"/>
    <w:pPr>
      <w:spacing w:after="200" w:line="276" w:lineRule="auto"/>
      <w:ind w:left="720"/>
      <w:contextualSpacing/>
      <w:jc w:val="both"/>
    </w:pPr>
    <w:rPr>
      <w:rFonts w:eastAsia="Calibri"/>
      <w:sz w:val="22"/>
      <w:szCs w:val="22"/>
    </w:rPr>
  </w:style>
  <w:style w:type="paragraph" w:customStyle="1" w:styleId="NoSpacing5">
    <w:name w:val="No Spacing5"/>
    <w:uiPriority w:val="1"/>
    <w:qFormat/>
    <w:rsid w:val="002F645B"/>
  </w:style>
  <w:style w:type="paragraph" w:customStyle="1" w:styleId="ColorfulShading-Accent13">
    <w:name w:val="Colorful Shading - Accent 13"/>
    <w:hidden/>
    <w:uiPriority w:val="99"/>
    <w:rsid w:val="002F645B"/>
  </w:style>
  <w:style w:type="character" w:customStyle="1" w:styleId="CharChar17">
    <w:name w:val="Char Char17"/>
    <w:basedOn w:val="DefaultParagraphFont"/>
    <w:rsid w:val="002F645B"/>
    <w:rPr>
      <w:rFonts w:eastAsia="Times"/>
      <w:bCs/>
      <w:i/>
      <w:sz w:val="24"/>
      <w:szCs w:val="28"/>
      <w:lang w:val="en-US" w:eastAsia="en-US" w:bidi="ar-SA"/>
    </w:rPr>
  </w:style>
  <w:style w:type="character" w:customStyle="1" w:styleId="CharChar274">
    <w:name w:val="Char Char274"/>
    <w:basedOn w:val="DefaultParagraphFont"/>
    <w:locked/>
    <w:rsid w:val="002F645B"/>
    <w:rPr>
      <w:rFonts w:ascii="Arial" w:hAnsi="Arial" w:cs="Arial"/>
      <w:b/>
      <w:bCs/>
      <w:kern w:val="32"/>
      <w:sz w:val="32"/>
      <w:szCs w:val="32"/>
    </w:rPr>
  </w:style>
  <w:style w:type="character" w:customStyle="1" w:styleId="CharChar264">
    <w:name w:val="Char Char264"/>
    <w:basedOn w:val="DefaultParagraphFont"/>
    <w:locked/>
    <w:rsid w:val="002F645B"/>
    <w:rPr>
      <w:rFonts w:ascii="Arial" w:hAnsi="Arial" w:cs="Arial"/>
      <w:b/>
      <w:bCs/>
      <w:i/>
      <w:iCs/>
      <w:sz w:val="28"/>
      <w:szCs w:val="28"/>
    </w:rPr>
  </w:style>
  <w:style w:type="character" w:customStyle="1" w:styleId="CharChar254">
    <w:name w:val="Char Char254"/>
    <w:basedOn w:val="DefaultParagraphFont"/>
    <w:locked/>
    <w:rsid w:val="002F645B"/>
    <w:rPr>
      <w:rFonts w:ascii="Arial" w:hAnsi="Arial" w:cs="Arial"/>
      <w:b/>
      <w:bCs/>
      <w:sz w:val="26"/>
      <w:szCs w:val="26"/>
    </w:rPr>
  </w:style>
  <w:style w:type="character" w:customStyle="1" w:styleId="CharChar244">
    <w:name w:val="Char Char244"/>
    <w:basedOn w:val="DefaultParagraphFont"/>
    <w:locked/>
    <w:rsid w:val="002F645B"/>
    <w:rPr>
      <w:rFonts w:cs="Times New Roman"/>
      <w:b/>
      <w:bCs/>
      <w:i/>
      <w:iCs/>
      <w:sz w:val="26"/>
      <w:szCs w:val="26"/>
    </w:rPr>
  </w:style>
  <w:style w:type="character" w:customStyle="1" w:styleId="CharChar234">
    <w:name w:val="Char Char234"/>
    <w:basedOn w:val="DefaultParagraphFont"/>
    <w:locked/>
    <w:rsid w:val="002F645B"/>
    <w:rPr>
      <w:rFonts w:cs="Times New Roman"/>
      <w:b/>
      <w:bCs/>
      <w:sz w:val="22"/>
      <w:szCs w:val="22"/>
    </w:rPr>
  </w:style>
  <w:style w:type="character" w:customStyle="1" w:styleId="CharChar224">
    <w:name w:val="Char Char224"/>
    <w:basedOn w:val="DefaultParagraphFont"/>
    <w:locked/>
    <w:rsid w:val="002F645B"/>
    <w:rPr>
      <w:rFonts w:cs="Times New Roman"/>
      <w:sz w:val="24"/>
      <w:szCs w:val="24"/>
    </w:rPr>
  </w:style>
  <w:style w:type="character" w:customStyle="1" w:styleId="CharChar214">
    <w:name w:val="Char Char214"/>
    <w:basedOn w:val="DefaultParagraphFont"/>
    <w:locked/>
    <w:rsid w:val="002F645B"/>
    <w:rPr>
      <w:rFonts w:cs="Times New Roman"/>
      <w:i/>
      <w:iCs/>
      <w:sz w:val="24"/>
      <w:szCs w:val="24"/>
    </w:rPr>
  </w:style>
  <w:style w:type="character" w:customStyle="1" w:styleId="CharChar204">
    <w:name w:val="Char Char204"/>
    <w:basedOn w:val="DefaultParagraphFont"/>
    <w:locked/>
    <w:rsid w:val="002F645B"/>
    <w:rPr>
      <w:rFonts w:ascii="Arial" w:hAnsi="Arial" w:cs="Arial"/>
      <w:sz w:val="22"/>
      <w:szCs w:val="22"/>
    </w:rPr>
  </w:style>
  <w:style w:type="character" w:customStyle="1" w:styleId="CharChar184">
    <w:name w:val="Char Char184"/>
    <w:basedOn w:val="DefaultParagraphFont"/>
    <w:locked/>
    <w:rsid w:val="002F645B"/>
    <w:rPr>
      <w:rFonts w:cs="Times New Roman"/>
      <w:sz w:val="24"/>
      <w:szCs w:val="24"/>
    </w:rPr>
  </w:style>
  <w:style w:type="character" w:customStyle="1" w:styleId="CharChar144">
    <w:name w:val="Char Char144"/>
    <w:basedOn w:val="DefaultParagraphFont"/>
    <w:locked/>
    <w:rsid w:val="002F645B"/>
    <w:rPr>
      <w:rFonts w:cs="Times New Roman"/>
      <w:sz w:val="24"/>
      <w:szCs w:val="24"/>
    </w:rPr>
  </w:style>
  <w:style w:type="character" w:customStyle="1" w:styleId="CharChar114">
    <w:name w:val="Char Char114"/>
    <w:basedOn w:val="DefaultParagraphFont"/>
    <w:locked/>
    <w:rsid w:val="002F645B"/>
    <w:rPr>
      <w:rFonts w:ascii="Cambria" w:hAnsi="Cambria" w:cs="Times New Roman"/>
      <w:sz w:val="24"/>
      <w:szCs w:val="24"/>
    </w:rPr>
  </w:style>
  <w:style w:type="character" w:customStyle="1" w:styleId="CharChar44">
    <w:name w:val="Char Char44"/>
    <w:basedOn w:val="DefaultParagraphFont"/>
    <w:locked/>
    <w:rsid w:val="002F645B"/>
    <w:rPr>
      <w:rFonts w:ascii="Cambria" w:hAnsi="Cambria" w:cs="Times New Roman"/>
      <w:b/>
      <w:bCs/>
      <w:kern w:val="28"/>
      <w:sz w:val="32"/>
      <w:szCs w:val="32"/>
    </w:rPr>
  </w:style>
  <w:style w:type="character" w:customStyle="1" w:styleId="CharChar394">
    <w:name w:val="Char Char394"/>
    <w:basedOn w:val="DefaultParagraphFont"/>
    <w:rsid w:val="002F645B"/>
    <w:rPr>
      <w:rFonts w:ascii="Arial" w:eastAsia="Times New Roman" w:hAnsi="Arial" w:cs="Arial"/>
      <w:b/>
      <w:bCs/>
      <w:i/>
      <w:iCs/>
      <w:sz w:val="28"/>
      <w:szCs w:val="28"/>
    </w:rPr>
  </w:style>
  <w:style w:type="paragraph" w:customStyle="1" w:styleId="ColorfulList-Accent15">
    <w:name w:val="Colorful List - Accent 15"/>
    <w:basedOn w:val="Normal"/>
    <w:qFormat/>
    <w:rsid w:val="002F645B"/>
    <w:pPr>
      <w:ind w:left="720"/>
    </w:pPr>
  </w:style>
  <w:style w:type="paragraph" w:customStyle="1" w:styleId="NoSpacing51">
    <w:name w:val="No Spacing51"/>
    <w:uiPriority w:val="99"/>
    <w:qFormat/>
    <w:rsid w:val="002F645B"/>
  </w:style>
  <w:style w:type="paragraph" w:customStyle="1" w:styleId="Bibliography1">
    <w:name w:val="Bibliography1"/>
    <w:basedOn w:val="Normal"/>
    <w:next w:val="Normal"/>
    <w:rsid w:val="002F645B"/>
  </w:style>
  <w:style w:type="paragraph" w:styleId="BlockText">
    <w:name w:val="Block Text"/>
    <w:basedOn w:val="Normal"/>
    <w:rsid w:val="002F645B"/>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FirstIndent">
    <w:name w:val="Body Text First Indent"/>
    <w:basedOn w:val="BodyText"/>
    <w:link w:val="BodyTextFirstIndentChar"/>
    <w:rsid w:val="002F645B"/>
    <w:pPr>
      <w:ind w:firstLine="360"/>
    </w:pPr>
    <w:rPr>
      <w:rFonts w:cs="Times New Roman"/>
      <w:szCs w:val="24"/>
      <w:u w:val="none"/>
    </w:rPr>
  </w:style>
  <w:style w:type="character" w:customStyle="1" w:styleId="BodyTextFirstIndentChar">
    <w:name w:val="Body Text First Indent Char"/>
    <w:basedOn w:val="BodyTextChar"/>
    <w:link w:val="BodyTextFirstIndent"/>
    <w:rsid w:val="002F645B"/>
    <w:rPr>
      <w:rFonts w:cs="Courier New"/>
      <w:sz w:val="24"/>
      <w:szCs w:val="24"/>
      <w:u w:val="single"/>
    </w:rPr>
  </w:style>
  <w:style w:type="paragraph" w:styleId="BodyTextFirstIndent2">
    <w:name w:val="Body Text First Indent 2"/>
    <w:basedOn w:val="BodyTextIndent"/>
    <w:link w:val="BodyTextFirstIndent2Char"/>
    <w:rsid w:val="002F645B"/>
    <w:pPr>
      <w:spacing w:after="0"/>
      <w:ind w:firstLine="360"/>
    </w:pPr>
  </w:style>
  <w:style w:type="character" w:customStyle="1" w:styleId="BodyTextFirstIndent2Char">
    <w:name w:val="Body Text First Indent 2 Char"/>
    <w:basedOn w:val="BodyTextIndentChar"/>
    <w:link w:val="BodyTextFirstIndent2"/>
    <w:rsid w:val="002F645B"/>
    <w:rPr>
      <w:sz w:val="24"/>
      <w:szCs w:val="24"/>
    </w:rPr>
  </w:style>
  <w:style w:type="paragraph" w:styleId="Closing">
    <w:name w:val="Closing"/>
    <w:basedOn w:val="Normal"/>
    <w:link w:val="ClosingChar"/>
    <w:rsid w:val="002F645B"/>
    <w:pPr>
      <w:ind w:left="4320"/>
    </w:pPr>
  </w:style>
  <w:style w:type="character" w:customStyle="1" w:styleId="ClosingChar">
    <w:name w:val="Closing Char"/>
    <w:basedOn w:val="DefaultParagraphFont"/>
    <w:link w:val="Closing"/>
    <w:rsid w:val="002F645B"/>
    <w:rPr>
      <w:sz w:val="24"/>
      <w:szCs w:val="24"/>
    </w:rPr>
  </w:style>
  <w:style w:type="paragraph" w:styleId="Date">
    <w:name w:val="Date"/>
    <w:basedOn w:val="Normal"/>
    <w:next w:val="Normal"/>
    <w:link w:val="DateChar"/>
    <w:rsid w:val="002F645B"/>
  </w:style>
  <w:style w:type="character" w:customStyle="1" w:styleId="DateChar">
    <w:name w:val="Date Char"/>
    <w:basedOn w:val="DefaultParagraphFont"/>
    <w:link w:val="Date"/>
    <w:rsid w:val="002F645B"/>
    <w:rPr>
      <w:sz w:val="24"/>
      <w:szCs w:val="24"/>
    </w:rPr>
  </w:style>
  <w:style w:type="paragraph" w:styleId="E-mailSignature">
    <w:name w:val="E-mail Signature"/>
    <w:basedOn w:val="Normal"/>
    <w:link w:val="E-mailSignatureChar"/>
    <w:rsid w:val="002F645B"/>
  </w:style>
  <w:style w:type="character" w:customStyle="1" w:styleId="E-mailSignatureChar">
    <w:name w:val="E-mail Signature Char"/>
    <w:basedOn w:val="DefaultParagraphFont"/>
    <w:link w:val="E-mailSignature"/>
    <w:rsid w:val="002F645B"/>
    <w:rPr>
      <w:sz w:val="24"/>
      <w:szCs w:val="24"/>
    </w:rPr>
  </w:style>
  <w:style w:type="paragraph" w:styleId="EnvelopeAddress">
    <w:name w:val="envelope address"/>
    <w:basedOn w:val="Normal"/>
    <w:rsid w:val="002F645B"/>
    <w:pPr>
      <w:framePr w:w="7920" w:h="1980" w:hRule="exact" w:hSpace="180" w:wrap="auto" w:hAnchor="page" w:xAlign="center" w:yAlign="bottom"/>
      <w:ind w:left="2880"/>
    </w:pPr>
    <w:rPr>
      <w:rFonts w:ascii="Cambria" w:hAnsi="Cambria"/>
    </w:rPr>
  </w:style>
  <w:style w:type="paragraph" w:styleId="EnvelopeReturn">
    <w:name w:val="envelope return"/>
    <w:basedOn w:val="Normal"/>
    <w:rsid w:val="002F645B"/>
    <w:rPr>
      <w:rFonts w:ascii="Cambria" w:hAnsi="Cambria"/>
      <w:sz w:val="20"/>
      <w:szCs w:val="20"/>
    </w:rPr>
  </w:style>
  <w:style w:type="paragraph" w:styleId="HTMLAddress">
    <w:name w:val="HTML Address"/>
    <w:basedOn w:val="Normal"/>
    <w:link w:val="HTMLAddressChar"/>
    <w:rsid w:val="002F645B"/>
    <w:rPr>
      <w:i/>
      <w:iCs/>
    </w:rPr>
  </w:style>
  <w:style w:type="character" w:customStyle="1" w:styleId="HTMLAddressChar">
    <w:name w:val="HTML Address Char"/>
    <w:basedOn w:val="DefaultParagraphFont"/>
    <w:link w:val="HTMLAddress"/>
    <w:rsid w:val="002F645B"/>
    <w:rPr>
      <w:i/>
      <w:iCs/>
      <w:sz w:val="24"/>
      <w:szCs w:val="24"/>
    </w:rPr>
  </w:style>
  <w:style w:type="paragraph" w:customStyle="1" w:styleId="LightShading-Accent21">
    <w:name w:val="Light Shading - Accent 21"/>
    <w:basedOn w:val="Normal"/>
    <w:next w:val="Normal"/>
    <w:link w:val="LightShading-Accent2Char"/>
    <w:qFormat/>
    <w:rsid w:val="002F645B"/>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basedOn w:val="DefaultParagraphFont"/>
    <w:link w:val="LightShading-Accent21"/>
    <w:rsid w:val="002F645B"/>
    <w:rPr>
      <w:b/>
      <w:bCs/>
      <w:i/>
      <w:iCs/>
      <w:color w:val="4F81BD"/>
      <w:sz w:val="24"/>
      <w:szCs w:val="24"/>
    </w:rPr>
  </w:style>
  <w:style w:type="paragraph" w:styleId="List3">
    <w:name w:val="List 3"/>
    <w:basedOn w:val="Normal"/>
    <w:rsid w:val="002F645B"/>
    <w:pPr>
      <w:ind w:left="1080" w:hanging="360"/>
      <w:contextualSpacing/>
    </w:pPr>
  </w:style>
  <w:style w:type="paragraph" w:styleId="List4">
    <w:name w:val="List 4"/>
    <w:basedOn w:val="Normal"/>
    <w:rsid w:val="002F645B"/>
    <w:pPr>
      <w:ind w:left="1440" w:hanging="360"/>
      <w:contextualSpacing/>
    </w:pPr>
  </w:style>
  <w:style w:type="paragraph" w:styleId="List5">
    <w:name w:val="List 5"/>
    <w:basedOn w:val="Normal"/>
    <w:rsid w:val="002F645B"/>
    <w:pPr>
      <w:ind w:left="1800" w:hanging="360"/>
      <w:contextualSpacing/>
    </w:pPr>
  </w:style>
  <w:style w:type="paragraph" w:styleId="ListContinue">
    <w:name w:val="List Continue"/>
    <w:basedOn w:val="Normal"/>
    <w:rsid w:val="002F645B"/>
    <w:pPr>
      <w:spacing w:after="120"/>
      <w:ind w:left="360"/>
      <w:contextualSpacing/>
    </w:pPr>
  </w:style>
  <w:style w:type="paragraph" w:styleId="ListContinue3">
    <w:name w:val="List Continue 3"/>
    <w:basedOn w:val="Normal"/>
    <w:rsid w:val="002F645B"/>
    <w:pPr>
      <w:spacing w:after="120"/>
      <w:ind w:left="1080"/>
      <w:contextualSpacing/>
    </w:pPr>
  </w:style>
  <w:style w:type="paragraph" w:styleId="ListContinue4">
    <w:name w:val="List Continue 4"/>
    <w:basedOn w:val="Normal"/>
    <w:rsid w:val="002F645B"/>
    <w:pPr>
      <w:spacing w:after="120"/>
      <w:ind w:left="1440"/>
      <w:contextualSpacing/>
    </w:pPr>
  </w:style>
  <w:style w:type="paragraph" w:styleId="ListContinue5">
    <w:name w:val="List Continue 5"/>
    <w:basedOn w:val="Normal"/>
    <w:rsid w:val="002F645B"/>
    <w:pPr>
      <w:spacing w:after="120"/>
      <w:ind w:left="1800"/>
      <w:contextualSpacing/>
    </w:pPr>
  </w:style>
  <w:style w:type="paragraph" w:styleId="MacroText">
    <w:name w:val="macro"/>
    <w:link w:val="MacroTextChar"/>
    <w:rsid w:val="002F645B"/>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2F645B"/>
    <w:rPr>
      <w:rFonts w:ascii="Consolas" w:hAnsi="Consolas"/>
      <w:sz w:val="24"/>
      <w:szCs w:val="24"/>
    </w:rPr>
  </w:style>
  <w:style w:type="paragraph" w:styleId="MessageHeader">
    <w:name w:val="Message Header"/>
    <w:basedOn w:val="Normal"/>
    <w:link w:val="MessageHeaderChar"/>
    <w:rsid w:val="002F645B"/>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rsid w:val="002F645B"/>
    <w:rPr>
      <w:rFonts w:ascii="Cambria" w:hAnsi="Cambria"/>
      <w:sz w:val="24"/>
      <w:szCs w:val="24"/>
      <w:shd w:val="pct20" w:color="auto" w:fill="auto"/>
    </w:rPr>
  </w:style>
  <w:style w:type="paragraph" w:customStyle="1" w:styleId="NoSpacing6">
    <w:name w:val="No Spacing6"/>
    <w:qFormat/>
    <w:rsid w:val="002F645B"/>
  </w:style>
  <w:style w:type="paragraph" w:styleId="NormalIndent">
    <w:name w:val="Normal Indent"/>
    <w:basedOn w:val="Normal"/>
    <w:rsid w:val="002F645B"/>
    <w:pPr>
      <w:ind w:left="720"/>
    </w:pPr>
  </w:style>
  <w:style w:type="paragraph" w:styleId="NoteHeading">
    <w:name w:val="Note Heading"/>
    <w:basedOn w:val="Normal"/>
    <w:next w:val="Normal"/>
    <w:link w:val="NoteHeadingChar"/>
    <w:rsid w:val="002F645B"/>
  </w:style>
  <w:style w:type="character" w:customStyle="1" w:styleId="NoteHeadingChar">
    <w:name w:val="Note Heading Char"/>
    <w:basedOn w:val="DefaultParagraphFont"/>
    <w:link w:val="NoteHeading"/>
    <w:rsid w:val="002F645B"/>
    <w:rPr>
      <w:sz w:val="24"/>
      <w:szCs w:val="24"/>
    </w:rPr>
  </w:style>
  <w:style w:type="paragraph" w:customStyle="1" w:styleId="ColorfulGrid-Accent11">
    <w:name w:val="Colorful Grid - Accent 11"/>
    <w:basedOn w:val="Normal"/>
    <w:next w:val="Normal"/>
    <w:link w:val="ColorfulGrid-Accent1Char"/>
    <w:qFormat/>
    <w:rsid w:val="002F645B"/>
    <w:rPr>
      <w:i/>
      <w:iCs/>
      <w:color w:val="000000"/>
    </w:rPr>
  </w:style>
  <w:style w:type="character" w:customStyle="1" w:styleId="ColorfulGrid-Accent1Char">
    <w:name w:val="Colorful Grid - Accent 1 Char"/>
    <w:basedOn w:val="DefaultParagraphFont"/>
    <w:link w:val="ColorfulGrid-Accent11"/>
    <w:rsid w:val="002F645B"/>
    <w:rPr>
      <w:i/>
      <w:iCs/>
      <w:color w:val="000000"/>
      <w:sz w:val="24"/>
      <w:szCs w:val="24"/>
    </w:rPr>
  </w:style>
  <w:style w:type="paragraph" w:styleId="Salutation">
    <w:name w:val="Salutation"/>
    <w:basedOn w:val="Normal"/>
    <w:next w:val="Normal"/>
    <w:link w:val="SalutationChar"/>
    <w:rsid w:val="002F645B"/>
  </w:style>
  <w:style w:type="character" w:customStyle="1" w:styleId="SalutationChar">
    <w:name w:val="Salutation Char"/>
    <w:basedOn w:val="DefaultParagraphFont"/>
    <w:link w:val="Salutation"/>
    <w:rsid w:val="002F645B"/>
    <w:rPr>
      <w:sz w:val="24"/>
      <w:szCs w:val="24"/>
    </w:rPr>
  </w:style>
  <w:style w:type="paragraph" w:styleId="Signature">
    <w:name w:val="Signature"/>
    <w:basedOn w:val="Normal"/>
    <w:link w:val="SignatureChar"/>
    <w:rsid w:val="002F645B"/>
    <w:pPr>
      <w:ind w:left="4320"/>
    </w:pPr>
  </w:style>
  <w:style w:type="character" w:customStyle="1" w:styleId="SignatureChar">
    <w:name w:val="Signature Char"/>
    <w:basedOn w:val="DefaultParagraphFont"/>
    <w:link w:val="Signature"/>
    <w:rsid w:val="002F645B"/>
    <w:rPr>
      <w:sz w:val="24"/>
      <w:szCs w:val="24"/>
    </w:rPr>
  </w:style>
  <w:style w:type="paragraph" w:styleId="TableofAuthorities">
    <w:name w:val="table of authorities"/>
    <w:basedOn w:val="Normal"/>
    <w:next w:val="Normal"/>
    <w:rsid w:val="002F645B"/>
    <w:pPr>
      <w:ind w:left="240" w:hanging="240"/>
    </w:pPr>
  </w:style>
  <w:style w:type="paragraph" w:styleId="TOAHeading">
    <w:name w:val="toa heading"/>
    <w:basedOn w:val="Normal"/>
    <w:next w:val="Normal"/>
    <w:rsid w:val="002F645B"/>
    <w:pPr>
      <w:spacing w:before="120"/>
    </w:pPr>
    <w:rPr>
      <w:rFonts w:ascii="Cambria" w:hAnsi="Cambria"/>
      <w:b/>
      <w:bCs/>
    </w:rPr>
  </w:style>
  <w:style w:type="paragraph" w:customStyle="1" w:styleId="ColorfulList-Accent16">
    <w:name w:val="Colorful List - Accent 16"/>
    <w:basedOn w:val="Normal"/>
    <w:uiPriority w:val="34"/>
    <w:qFormat/>
    <w:rsid w:val="002F645B"/>
    <w:pPr>
      <w:ind w:left="720"/>
    </w:pPr>
  </w:style>
  <w:style w:type="paragraph" w:customStyle="1" w:styleId="ColorfulList-Accent161">
    <w:name w:val="Colorful List - Accent 161"/>
    <w:basedOn w:val="Normal"/>
    <w:uiPriority w:val="34"/>
    <w:qFormat/>
    <w:rsid w:val="002F645B"/>
    <w:pPr>
      <w:ind w:left="720"/>
      <w:contextualSpacing/>
    </w:pPr>
    <w:rPr>
      <w:rFonts w:ascii="Calibri" w:hAnsi="Calibri"/>
      <w:sz w:val="22"/>
      <w:szCs w:val="22"/>
    </w:rPr>
  </w:style>
  <w:style w:type="table" w:styleId="DarkList-Accent3">
    <w:name w:val="Dark List Accent 3"/>
    <w:basedOn w:val="TableNormal"/>
    <w:uiPriority w:val="71"/>
    <w:rsid w:val="002F645B"/>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LightGrid-Accent311">
    <w:name w:val="Light Grid - Accent 311"/>
    <w:basedOn w:val="Normal"/>
    <w:uiPriority w:val="34"/>
    <w:qFormat/>
    <w:rsid w:val="002F645B"/>
    <w:pPr>
      <w:ind w:left="720"/>
      <w:contextualSpacing/>
    </w:pPr>
    <w:rPr>
      <w:rFonts w:ascii="Calibri" w:eastAsia="Calibri" w:hAnsi="Calibri"/>
      <w:sz w:val="22"/>
      <w:szCs w:val="22"/>
    </w:rPr>
  </w:style>
  <w:style w:type="table" w:customStyle="1" w:styleId="LightGrid-Accent11">
    <w:name w:val="Light Grid - Accent 11"/>
    <w:basedOn w:val="TableNormal"/>
    <w:rsid w:val="002F645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EmailStyle530">
    <w:name w:val="EmailStyle530"/>
    <w:basedOn w:val="DefaultParagraphFont"/>
    <w:semiHidden/>
    <w:rsid w:val="002F645B"/>
    <w:rPr>
      <w:rFonts w:ascii="Arial" w:hAnsi="Arial" w:cs="Arial" w:hint="default"/>
      <w:color w:val="auto"/>
      <w:sz w:val="20"/>
      <w:szCs w:val="20"/>
    </w:rPr>
  </w:style>
  <w:style w:type="character" w:customStyle="1" w:styleId="EmailStyle531">
    <w:name w:val="EmailStyle531"/>
    <w:basedOn w:val="DefaultParagraphFont"/>
    <w:semiHidden/>
    <w:rsid w:val="002F645B"/>
    <w:rPr>
      <w:rFonts w:ascii="Arial" w:hAnsi="Arial" w:cs="Arial" w:hint="default"/>
      <w:color w:val="auto"/>
      <w:sz w:val="20"/>
      <w:szCs w:val="20"/>
    </w:rPr>
  </w:style>
  <w:style w:type="character" w:customStyle="1" w:styleId="EmailStyle532">
    <w:name w:val="EmailStyle532"/>
    <w:basedOn w:val="DefaultParagraphFont"/>
    <w:semiHidden/>
    <w:rsid w:val="002F645B"/>
    <w:rPr>
      <w:rFonts w:ascii="Arial" w:hAnsi="Arial" w:cs="Arial" w:hint="default"/>
      <w:color w:val="auto"/>
      <w:sz w:val="20"/>
      <w:szCs w:val="20"/>
    </w:rPr>
  </w:style>
  <w:style w:type="character" w:customStyle="1" w:styleId="EmailStyle533">
    <w:name w:val="EmailStyle533"/>
    <w:basedOn w:val="DefaultParagraphFont"/>
    <w:semiHidden/>
    <w:rsid w:val="002F645B"/>
    <w:rPr>
      <w:rFonts w:ascii="Arial" w:hAnsi="Arial" w:cs="Arial" w:hint="default"/>
      <w:color w:val="auto"/>
      <w:sz w:val="20"/>
      <w:szCs w:val="20"/>
    </w:rPr>
  </w:style>
  <w:style w:type="character" w:customStyle="1" w:styleId="EmailStyle534">
    <w:name w:val="EmailStyle534"/>
    <w:basedOn w:val="DefaultParagraphFont"/>
    <w:semiHidden/>
    <w:rsid w:val="002F645B"/>
    <w:rPr>
      <w:rFonts w:ascii="Arial" w:hAnsi="Arial" w:cs="Arial" w:hint="default"/>
      <w:color w:val="auto"/>
      <w:sz w:val="20"/>
      <w:szCs w:val="20"/>
    </w:rPr>
  </w:style>
  <w:style w:type="table" w:styleId="MediumGrid3-Accent1">
    <w:name w:val="Medium Grid 3 Accent 1"/>
    <w:basedOn w:val="TableNormal"/>
    <w:uiPriority w:val="69"/>
    <w:rsid w:val="002F645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2-Accent1">
    <w:name w:val="Medium List 2 Accent 1"/>
    <w:basedOn w:val="TableNormal"/>
    <w:uiPriority w:val="66"/>
    <w:rsid w:val="002F645B"/>
    <w:rPr>
      <w:rFonts w:asciiTheme="majorHAnsi" w:eastAsiaTheme="majorEastAsia" w:hAnsiTheme="majorHAnsi" w:cstheme="majorBidi"/>
      <w:color w:val="000000" w:themeColor="text1"/>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Classic1">
    <w:name w:val="Table Classic 1"/>
    <w:basedOn w:val="TableNormal"/>
    <w:rsid w:val="002F645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rfulGrid-Accent1">
    <w:name w:val="Colorful Grid Accent 1"/>
    <w:basedOn w:val="TableNormal"/>
    <w:uiPriority w:val="73"/>
    <w:rsid w:val="002F645B"/>
    <w:rPr>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ormal1">
    <w:name w:val="Normal1"/>
    <w:rsid w:val="002F645B"/>
    <w:pPr>
      <w:spacing w:line="276" w:lineRule="auto"/>
    </w:pPr>
    <w:rPr>
      <w:rFonts w:ascii="Arial" w:eastAsia="Arial" w:hAnsi="Arial" w:cs="Arial"/>
      <w:color w:val="000000"/>
      <w:sz w:val="22"/>
      <w:szCs w:val="22"/>
    </w:rPr>
  </w:style>
  <w:style w:type="character" w:customStyle="1" w:styleId="EmailStyle57">
    <w:name w:val="EmailStyle57"/>
    <w:basedOn w:val="DefaultParagraphFont"/>
    <w:semiHidden/>
    <w:rsid w:val="002F645B"/>
    <w:rPr>
      <w:rFonts w:ascii="Arial" w:hAnsi="Arial" w:cs="Arial" w:hint="default"/>
      <w:color w:val="auto"/>
      <w:sz w:val="20"/>
      <w:szCs w:val="20"/>
    </w:rPr>
  </w:style>
  <w:style w:type="character" w:customStyle="1" w:styleId="EmailStyle343">
    <w:name w:val="EmailStyle343"/>
    <w:basedOn w:val="DefaultParagraphFont"/>
    <w:semiHidden/>
    <w:rsid w:val="002F645B"/>
    <w:rPr>
      <w:rFonts w:ascii="Arial" w:hAnsi="Arial" w:cs="Arial" w:hint="default"/>
      <w:color w:val="auto"/>
      <w:sz w:val="20"/>
      <w:szCs w:val="20"/>
    </w:rPr>
  </w:style>
  <w:style w:type="character" w:customStyle="1" w:styleId="EmailStyle358">
    <w:name w:val="EmailStyle358"/>
    <w:basedOn w:val="DefaultParagraphFont"/>
    <w:semiHidden/>
    <w:rsid w:val="002F645B"/>
    <w:rPr>
      <w:rFonts w:ascii="Arial" w:hAnsi="Arial" w:cs="Arial" w:hint="default"/>
      <w:color w:val="auto"/>
      <w:sz w:val="20"/>
      <w:szCs w:val="20"/>
    </w:rPr>
  </w:style>
  <w:style w:type="character" w:customStyle="1" w:styleId="EmailStyle359">
    <w:name w:val="EmailStyle359"/>
    <w:basedOn w:val="DefaultParagraphFont"/>
    <w:semiHidden/>
    <w:rsid w:val="002F645B"/>
    <w:rPr>
      <w:rFonts w:ascii="Arial" w:hAnsi="Arial" w:cs="Arial" w:hint="default"/>
      <w:color w:val="auto"/>
      <w:sz w:val="20"/>
      <w:szCs w:val="20"/>
    </w:rPr>
  </w:style>
  <w:style w:type="table" w:styleId="ColorfulGrid-Accent6">
    <w:name w:val="Colorful Grid Accent 6"/>
    <w:basedOn w:val="TableNormal"/>
    <w:uiPriority w:val="71"/>
    <w:rsid w:val="002F645B"/>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EmailStyle369">
    <w:name w:val="EmailStyle369"/>
    <w:basedOn w:val="DefaultParagraphFont"/>
    <w:semiHidden/>
    <w:rsid w:val="002F645B"/>
    <w:rPr>
      <w:rFonts w:ascii="Arial" w:hAnsi="Arial" w:cs="Arial" w:hint="default"/>
      <w:color w:val="auto"/>
      <w:sz w:val="20"/>
      <w:szCs w:val="20"/>
    </w:rPr>
  </w:style>
  <w:style w:type="table" w:styleId="MediumShading2-Accent6">
    <w:name w:val="Medium Shading 2 Accent 6"/>
    <w:basedOn w:val="TableNormal"/>
    <w:uiPriority w:val="71"/>
    <w:rsid w:val="002F645B"/>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StyleHeading4CharCharCharChar12ptNotBold">
    <w:name w:val="Style Heading 4 Char Char Char Char + 12 pt Not Bold"/>
    <w:basedOn w:val="DefaultParagraphFont"/>
    <w:rsid w:val="002F645B"/>
    <w:rPr>
      <w:rFonts w:ascii="Times New Roman" w:hAnsi="Times New Roman"/>
      <w:b w:val="0"/>
      <w:bCs w:val="0"/>
      <w:sz w:val="24"/>
      <w:szCs w:val="28"/>
      <w:lang w:val="en-US" w:eastAsia="en-US" w:bidi="ar-SA"/>
    </w:rPr>
  </w:style>
  <w:style w:type="paragraph" w:customStyle="1" w:styleId="NoSpacing7">
    <w:name w:val="No Spacing7"/>
    <w:uiPriority w:val="1"/>
    <w:qFormat/>
    <w:rsid w:val="002F645B"/>
  </w:style>
  <w:style w:type="character" w:customStyle="1" w:styleId="EmailStyle54">
    <w:name w:val="EmailStyle54"/>
    <w:basedOn w:val="DefaultParagraphFont"/>
    <w:semiHidden/>
    <w:rsid w:val="002F645B"/>
    <w:rPr>
      <w:rFonts w:ascii="Arial" w:hAnsi="Arial" w:cs="Arial" w:hint="default"/>
      <w:color w:val="auto"/>
      <w:sz w:val="20"/>
      <w:szCs w:val="20"/>
    </w:rPr>
  </w:style>
  <w:style w:type="table" w:styleId="TableElegant">
    <w:name w:val="Table Elegant"/>
    <w:basedOn w:val="TableNormal"/>
    <w:rsid w:val="002F645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eading31">
    <w:name w:val="Heading 31"/>
    <w:basedOn w:val="Normal"/>
    <w:next w:val="Normal"/>
    <w:qFormat/>
    <w:rsid w:val="002F645B"/>
    <w:pPr>
      <w:keepNext/>
      <w:tabs>
        <w:tab w:val="num" w:pos="720"/>
      </w:tabs>
      <w:spacing w:before="240" w:after="60"/>
      <w:ind w:left="720" w:hanging="720"/>
    </w:pPr>
    <w:rPr>
      <w:rFonts w:ascii="Arial" w:hAnsi="Arial" w:cs="Arial"/>
      <w:b/>
      <w:bCs/>
      <w:szCs w:val="26"/>
    </w:rPr>
  </w:style>
  <w:style w:type="paragraph" w:customStyle="1" w:styleId="BodyTextIn">
    <w:name w:val="Body Text In"/>
    <w:uiPriority w:val="99"/>
    <w:rsid w:val="002F645B"/>
    <w:pPr>
      <w:tabs>
        <w:tab w:val="left" w:pos="-90"/>
        <w:tab w:val="left" w:pos="0"/>
        <w:tab w:val="left" w:pos="9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270"/>
        <w:tab w:val="left" w:pos="9360"/>
      </w:tabs>
      <w:autoSpaceDE w:val="0"/>
      <w:autoSpaceDN w:val="0"/>
      <w:adjustRightInd w:val="0"/>
      <w:ind w:left="90"/>
    </w:pPr>
  </w:style>
  <w:style w:type="paragraph" w:customStyle="1" w:styleId="CM26">
    <w:name w:val="CM26"/>
    <w:basedOn w:val="Normal"/>
    <w:next w:val="Normal"/>
    <w:uiPriority w:val="99"/>
    <w:rsid w:val="002F645B"/>
    <w:pPr>
      <w:autoSpaceDE w:val="0"/>
      <w:autoSpaceDN w:val="0"/>
      <w:adjustRightInd w:val="0"/>
    </w:pPr>
  </w:style>
  <w:style w:type="paragraph" w:customStyle="1" w:styleId="maintext">
    <w:name w:val="maintext"/>
    <w:basedOn w:val="Normal"/>
    <w:rsid w:val="002F645B"/>
    <w:pPr>
      <w:spacing w:before="100" w:beforeAutospacing="1" w:after="100" w:afterAutospacing="1"/>
    </w:pPr>
  </w:style>
  <w:style w:type="character" w:customStyle="1" w:styleId="maintext1">
    <w:name w:val="maintext1"/>
    <w:basedOn w:val="DefaultParagraphFont"/>
    <w:rsid w:val="002F645B"/>
  </w:style>
  <w:style w:type="paragraph" w:customStyle="1" w:styleId="missiontxt">
    <w:name w:val="mission_txt"/>
    <w:basedOn w:val="Normal"/>
    <w:rsid w:val="002F645B"/>
    <w:pPr>
      <w:spacing w:before="100" w:beforeAutospacing="1" w:after="100" w:afterAutospacing="1"/>
    </w:pPr>
  </w:style>
  <w:style w:type="paragraph" w:customStyle="1" w:styleId="TableKCaption">
    <w:name w:val="TableK Caption"/>
    <w:basedOn w:val="Normal"/>
    <w:next w:val="BodyText"/>
    <w:qFormat/>
    <w:rsid w:val="002F645B"/>
  </w:style>
  <w:style w:type="character" w:customStyle="1" w:styleId="EmailStyle541">
    <w:name w:val="EmailStyle541"/>
    <w:basedOn w:val="DefaultParagraphFont"/>
    <w:semiHidden/>
    <w:rsid w:val="002F645B"/>
    <w:rPr>
      <w:rFonts w:ascii="Arial" w:hAnsi="Arial" w:cs="Arial" w:hint="default"/>
      <w:color w:val="auto"/>
      <w:sz w:val="20"/>
      <w:szCs w:val="20"/>
    </w:rPr>
  </w:style>
  <w:style w:type="character" w:customStyle="1" w:styleId="Heading1Char2">
    <w:name w:val="Heading 1 Char2"/>
    <w:basedOn w:val="DefaultParagraphFont"/>
    <w:rsid w:val="002F645B"/>
    <w:rPr>
      <w:rFonts w:ascii="Times New Roman" w:eastAsia="Times New Roman" w:hAnsi="Times New Roman" w:cs="Times New Roman"/>
      <w:b/>
      <w:bCs/>
      <w:sz w:val="24"/>
      <w:szCs w:val="28"/>
    </w:rPr>
  </w:style>
  <w:style w:type="character" w:customStyle="1" w:styleId="Heading1Char3">
    <w:name w:val="Heading 1 Char3"/>
    <w:basedOn w:val="DefaultParagraphFont"/>
    <w:rsid w:val="002F645B"/>
    <w:rPr>
      <w:rFonts w:ascii="Times New Roman" w:eastAsia="Times New Roman" w:hAnsi="Times New Roman" w:cs="Times New Roman"/>
      <w:b/>
      <w:bCs/>
      <w:sz w:val="24"/>
      <w:szCs w:val="28"/>
    </w:rPr>
  </w:style>
  <w:style w:type="character" w:customStyle="1" w:styleId="Heading2Char1">
    <w:name w:val="Heading 2 Char1"/>
    <w:basedOn w:val="DefaultParagraphFont"/>
    <w:rsid w:val="002F645B"/>
    <w:rPr>
      <w:rFonts w:ascii="Times New Roman" w:eastAsia="Times New Roman" w:hAnsi="Times New Roman" w:cs="Times New Roman"/>
      <w:b/>
      <w:bCs/>
      <w:sz w:val="24"/>
      <w:szCs w:val="26"/>
    </w:rPr>
  </w:style>
  <w:style w:type="character" w:customStyle="1" w:styleId="volume">
    <w:name w:val="volume"/>
    <w:basedOn w:val="DefaultParagraphFont"/>
    <w:rsid w:val="002F645B"/>
  </w:style>
  <w:style w:type="character" w:customStyle="1" w:styleId="page">
    <w:name w:val="page"/>
    <w:basedOn w:val="DefaultParagraphFont"/>
    <w:rsid w:val="002F645B"/>
  </w:style>
  <w:style w:type="character" w:customStyle="1" w:styleId="e-04">
    <w:name w:val="e-04"/>
    <w:basedOn w:val="DefaultParagraphFont"/>
    <w:rsid w:val="002F645B"/>
  </w:style>
  <w:style w:type="numbering" w:customStyle="1" w:styleId="NoList2">
    <w:name w:val="No List2"/>
    <w:next w:val="NoList"/>
    <w:uiPriority w:val="99"/>
    <w:semiHidden/>
    <w:unhideWhenUsed/>
    <w:rsid w:val="00F158FF"/>
  </w:style>
  <w:style w:type="table" w:customStyle="1" w:styleId="TableGrid3">
    <w:name w:val="Table Grid3"/>
    <w:basedOn w:val="TableNormal"/>
    <w:next w:val="TableGrid"/>
    <w:uiPriority w:val="59"/>
    <w:rsid w:val="00F158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11">
    <w:name w:val="Table List 11"/>
    <w:basedOn w:val="TableNormal"/>
    <w:next w:val="TableList1"/>
    <w:uiPriority w:val="99"/>
    <w:rsid w:val="00F158FF"/>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11">
    <w:name w:val="Table Columns 11"/>
    <w:basedOn w:val="TableNormal"/>
    <w:next w:val="TableColumns1"/>
    <w:rsid w:val="00F158FF"/>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F158F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F158FF"/>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rsid w:val="00F158F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21">
    <w:name w:val="Table 3D effects 21"/>
    <w:basedOn w:val="TableNormal"/>
    <w:next w:val="Table3Deffects2"/>
    <w:rsid w:val="00F158FF"/>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11">
    <w:name w:val="Table 3D effects 11"/>
    <w:basedOn w:val="TableNormal"/>
    <w:next w:val="Table3Deffects1"/>
    <w:rsid w:val="00F158FF"/>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Columns31">
    <w:name w:val="Table Columns 31"/>
    <w:basedOn w:val="TableNormal"/>
    <w:next w:val="TableColumns3"/>
    <w:rsid w:val="00F158FF"/>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MediumList1-Accent41">
    <w:name w:val="Medium List 1 - Accent 41"/>
    <w:basedOn w:val="TableNormal"/>
    <w:next w:val="MediumList1-Accent4"/>
    <w:uiPriority w:val="71"/>
    <w:rsid w:val="00F158FF"/>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DarkList-Accent32">
    <w:name w:val="Dark List - Accent 32"/>
    <w:basedOn w:val="TableNormal"/>
    <w:next w:val="DarkList-Accent3"/>
    <w:uiPriority w:val="71"/>
    <w:rsid w:val="00F158FF"/>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Grid-Accent111">
    <w:name w:val="Light Grid - Accent 111"/>
    <w:basedOn w:val="TableNormal"/>
    <w:rsid w:val="00F158F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3-Accent11">
    <w:name w:val="Medium Grid 3 - Accent 11"/>
    <w:basedOn w:val="TableNormal"/>
    <w:next w:val="MediumGrid3-Accent1"/>
    <w:uiPriority w:val="69"/>
    <w:rsid w:val="00F158F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List2-Accent11">
    <w:name w:val="Medium List 2 - Accent 11"/>
    <w:basedOn w:val="TableNormal"/>
    <w:next w:val="MediumList2-Accent1"/>
    <w:uiPriority w:val="66"/>
    <w:rsid w:val="00F158FF"/>
    <w:rPr>
      <w:rFonts w:ascii="Cambria" w:hAnsi="Cambria"/>
      <w:color w:val="000000"/>
      <w:sz w:val="22"/>
      <w:szCs w:val="22"/>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lassic11">
    <w:name w:val="Table Classic 11"/>
    <w:basedOn w:val="TableNormal"/>
    <w:next w:val="TableClassic1"/>
    <w:rsid w:val="00F158F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111">
    <w:name w:val="Light Shading - Accent 111"/>
    <w:basedOn w:val="TableNormal"/>
    <w:uiPriority w:val="60"/>
    <w:rsid w:val="00F158F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olorfulGrid-Accent12">
    <w:name w:val="Colorful Grid - Accent 12"/>
    <w:basedOn w:val="TableNormal"/>
    <w:next w:val="ColorfulGrid-Accent1"/>
    <w:uiPriority w:val="73"/>
    <w:rsid w:val="00F158FF"/>
    <w:rPr>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11">
    <w:name w:val="Table Grid11"/>
    <w:basedOn w:val="TableNormal"/>
    <w:next w:val="TableGrid"/>
    <w:uiPriority w:val="59"/>
    <w:rsid w:val="00F158F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F158F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Grid-Accent61">
    <w:name w:val="Colorful Grid - Accent 61"/>
    <w:basedOn w:val="TableNormal"/>
    <w:next w:val="ColorfulGrid-Accent6"/>
    <w:uiPriority w:val="71"/>
    <w:rsid w:val="00F158FF"/>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MediumShading2-Accent61">
    <w:name w:val="Medium Shading 2 - Accent 61"/>
    <w:basedOn w:val="TableNormal"/>
    <w:next w:val="MediumShading2-Accent6"/>
    <w:uiPriority w:val="71"/>
    <w:rsid w:val="00F158FF"/>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TableElegant1">
    <w:name w:val="Table Elegant1"/>
    <w:basedOn w:val="TableNormal"/>
    <w:next w:val="TableElegant"/>
    <w:rsid w:val="00F158F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
    <w:name w:val="No List11"/>
    <w:next w:val="NoList"/>
    <w:semiHidden/>
    <w:rsid w:val="00F158FF"/>
  </w:style>
  <w:style w:type="table" w:customStyle="1" w:styleId="TableGrid4">
    <w:name w:val="Table Grid4"/>
    <w:basedOn w:val="TableNormal"/>
    <w:next w:val="TableGrid"/>
    <w:uiPriority w:val="59"/>
    <w:rsid w:val="00401D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E1150D"/>
  </w:style>
  <w:style w:type="paragraph" w:customStyle="1" w:styleId="referenceindent">
    <w:name w:val="referenceindent"/>
    <w:basedOn w:val="Normal"/>
    <w:rsid w:val="00E1150D"/>
    <w:pPr>
      <w:spacing w:before="100" w:beforeAutospacing="1" w:after="100" w:afterAutospacing="1"/>
    </w:pPr>
    <w:rPr>
      <w:rFonts w:eastAsiaTheme="minorHAnsi"/>
      <w:color w:val="000000"/>
    </w:rPr>
  </w:style>
  <w:style w:type="table" w:customStyle="1" w:styleId="TableGrid5">
    <w:name w:val="Table Grid5"/>
    <w:basedOn w:val="TableNormal"/>
    <w:next w:val="TableGrid"/>
    <w:uiPriority w:val="59"/>
    <w:rsid w:val="00B67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12">
    <w:name w:val="Table List 12"/>
    <w:basedOn w:val="TableNormal"/>
    <w:next w:val="TableList1"/>
    <w:uiPriority w:val="99"/>
    <w:rsid w:val="00B67A5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12">
    <w:name w:val="Table Columns 12"/>
    <w:basedOn w:val="TableNormal"/>
    <w:next w:val="TableColumns1"/>
    <w:rsid w:val="00B67A5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rsid w:val="00B67A5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rsid w:val="00B67A5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uiPriority w:val="99"/>
    <w:rsid w:val="00B67A5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22">
    <w:name w:val="Table 3D effects 22"/>
    <w:basedOn w:val="TableNormal"/>
    <w:next w:val="Table3Deffects2"/>
    <w:rsid w:val="00B67A5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12">
    <w:name w:val="Table 3D effects 12"/>
    <w:basedOn w:val="TableNormal"/>
    <w:next w:val="Table3Deffects1"/>
    <w:rsid w:val="00B67A5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Columns32">
    <w:name w:val="Table Columns 32"/>
    <w:basedOn w:val="TableNormal"/>
    <w:next w:val="TableColumns3"/>
    <w:rsid w:val="00B67A5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MediumList2-Accent22">
    <w:name w:val="Medium List 2 - Accent 22"/>
    <w:basedOn w:val="TableNormal"/>
    <w:next w:val="MediumList2-Accent2"/>
    <w:uiPriority w:val="71"/>
    <w:rsid w:val="00B67A54"/>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TableGrid22">
    <w:name w:val="Table Grid22"/>
    <w:basedOn w:val="TableNormal"/>
    <w:next w:val="TableGrid"/>
    <w:uiPriority w:val="59"/>
    <w:rsid w:val="00B67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2">
    <w:name w:val="Medium Grid 3 - Accent 12"/>
    <w:basedOn w:val="TableNormal"/>
    <w:next w:val="MediumGrid3-Accent1"/>
    <w:uiPriority w:val="69"/>
    <w:rsid w:val="00B67A5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Classic12">
    <w:name w:val="Table Classic 12"/>
    <w:basedOn w:val="TableNormal"/>
    <w:next w:val="TableClassic1"/>
    <w:rsid w:val="00B67A5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rfulGrid-Accent62">
    <w:name w:val="Colorful Grid - Accent 62"/>
    <w:basedOn w:val="TableNormal"/>
    <w:next w:val="ColorfulGrid-Accent6"/>
    <w:uiPriority w:val="71"/>
    <w:rsid w:val="00B67A54"/>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MediumShading2-Accent62">
    <w:name w:val="Medium Shading 2 - Accent 62"/>
    <w:basedOn w:val="TableNormal"/>
    <w:next w:val="MediumShading2-Accent6"/>
    <w:uiPriority w:val="71"/>
    <w:rsid w:val="00B67A54"/>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TableElegant2">
    <w:name w:val="Table Elegant2"/>
    <w:basedOn w:val="TableNormal"/>
    <w:next w:val="TableElegant"/>
    <w:rsid w:val="00B67A5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ediumGrid3-Accent111">
    <w:name w:val="Medium Grid 3 - Accent 111"/>
    <w:basedOn w:val="TableNormal"/>
    <w:next w:val="MediumGrid3-Accent1"/>
    <w:uiPriority w:val="69"/>
    <w:rsid w:val="00B67A5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Classic111">
    <w:name w:val="Table Classic 111"/>
    <w:basedOn w:val="TableNormal"/>
    <w:next w:val="TableClassic1"/>
    <w:rsid w:val="00B67A5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1111">
    <w:name w:val="Light Shading - Accent 1111"/>
    <w:basedOn w:val="TableNormal"/>
    <w:uiPriority w:val="60"/>
    <w:rsid w:val="00B67A5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1">
    <w:name w:val="Table Grid111"/>
    <w:basedOn w:val="TableNormal"/>
    <w:next w:val="TableGrid"/>
    <w:uiPriority w:val="59"/>
    <w:rsid w:val="00B67A5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Grid-Accent611">
    <w:name w:val="Colorful Grid - Accent 611"/>
    <w:basedOn w:val="TableNormal"/>
    <w:next w:val="ColorfulGrid-Accent6"/>
    <w:uiPriority w:val="71"/>
    <w:rsid w:val="00B67A54"/>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MediumShading2-Accent611">
    <w:name w:val="Medium Shading 2 - Accent 611"/>
    <w:basedOn w:val="TableNormal"/>
    <w:next w:val="MediumShading2-Accent6"/>
    <w:uiPriority w:val="71"/>
    <w:rsid w:val="00B67A54"/>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TableElegant11">
    <w:name w:val="Table Elegant11"/>
    <w:basedOn w:val="TableNormal"/>
    <w:next w:val="TableElegant"/>
    <w:rsid w:val="00B67A5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41"/>
    <w:basedOn w:val="TableNormal"/>
    <w:next w:val="TableGrid"/>
    <w:uiPriority w:val="59"/>
    <w:rsid w:val="00B67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481">
    <w:name w:val="EmailStyle481"/>
    <w:semiHidden/>
    <w:rsid w:val="00941184"/>
    <w:rPr>
      <w:rFonts w:ascii="Arial" w:hAnsi="Arial" w:cs="Arial" w:hint="default"/>
      <w:color w:val="auto"/>
      <w:sz w:val="20"/>
      <w:szCs w:val="20"/>
    </w:rPr>
  </w:style>
  <w:style w:type="character" w:customStyle="1" w:styleId="EmailStyle3411">
    <w:name w:val="EmailStyle3411"/>
    <w:semiHidden/>
    <w:rsid w:val="00C06287"/>
    <w:rPr>
      <w:rFonts w:ascii="Arial" w:hAnsi="Arial" w:cs="Arial" w:hint="default"/>
      <w:color w:val="auto"/>
      <w:sz w:val="20"/>
      <w:szCs w:val="20"/>
    </w:rPr>
  </w:style>
  <w:style w:type="character" w:customStyle="1" w:styleId="EmailStyle356">
    <w:name w:val="EmailStyle356"/>
    <w:semiHidden/>
    <w:rsid w:val="00C06287"/>
    <w:rPr>
      <w:rFonts w:ascii="Arial" w:hAnsi="Arial" w:cs="Arial" w:hint="default"/>
      <w:color w:val="auto"/>
      <w:sz w:val="20"/>
      <w:szCs w:val="20"/>
    </w:rPr>
  </w:style>
  <w:style w:type="character" w:customStyle="1" w:styleId="EmailStyle357">
    <w:name w:val="EmailStyle357"/>
    <w:semiHidden/>
    <w:rsid w:val="00C06287"/>
    <w:rPr>
      <w:rFonts w:ascii="Arial" w:hAnsi="Arial" w:cs="Arial" w:hint="default"/>
      <w:color w:val="auto"/>
      <w:sz w:val="20"/>
      <w:szCs w:val="20"/>
    </w:rPr>
  </w:style>
  <w:style w:type="paragraph" w:customStyle="1" w:styleId="MediumGrid21">
    <w:name w:val="Medium Grid 21"/>
    <w:uiPriority w:val="1"/>
    <w:qFormat/>
    <w:rsid w:val="00C06287"/>
    <w:rPr>
      <w:rFonts w:ascii="Calibri" w:eastAsia="Calibri" w:hAnsi="Calibri"/>
      <w:sz w:val="22"/>
      <w:szCs w:val="22"/>
    </w:rPr>
  </w:style>
  <w:style w:type="character" w:customStyle="1" w:styleId="EmailStyle571">
    <w:name w:val="EmailStyle571"/>
    <w:semiHidden/>
    <w:rsid w:val="00C06287"/>
    <w:rPr>
      <w:rFonts w:ascii="Arial" w:hAnsi="Arial" w:cs="Arial" w:hint="default"/>
      <w:color w:val="auto"/>
      <w:sz w:val="20"/>
      <w:szCs w:val="20"/>
    </w:rPr>
  </w:style>
  <w:style w:type="character" w:customStyle="1" w:styleId="EmailStyle3431">
    <w:name w:val="EmailStyle3431"/>
    <w:semiHidden/>
    <w:rsid w:val="00C06287"/>
    <w:rPr>
      <w:rFonts w:ascii="Arial" w:hAnsi="Arial" w:cs="Arial" w:hint="default"/>
      <w:color w:val="auto"/>
      <w:sz w:val="20"/>
      <w:szCs w:val="20"/>
    </w:rPr>
  </w:style>
  <w:style w:type="character" w:customStyle="1" w:styleId="EmailStyle3581">
    <w:name w:val="EmailStyle3581"/>
    <w:semiHidden/>
    <w:rsid w:val="00C06287"/>
    <w:rPr>
      <w:rFonts w:ascii="Arial" w:hAnsi="Arial" w:cs="Arial" w:hint="default"/>
      <w:color w:val="auto"/>
      <w:sz w:val="20"/>
      <w:szCs w:val="20"/>
    </w:rPr>
  </w:style>
  <w:style w:type="character" w:customStyle="1" w:styleId="EmailStyle3591">
    <w:name w:val="EmailStyle3591"/>
    <w:semiHidden/>
    <w:rsid w:val="00C06287"/>
    <w:rPr>
      <w:rFonts w:ascii="Arial" w:hAnsi="Arial" w:cs="Arial" w:hint="default"/>
      <w:color w:val="auto"/>
      <w:sz w:val="20"/>
      <w:szCs w:val="20"/>
    </w:rPr>
  </w:style>
  <w:style w:type="character" w:customStyle="1" w:styleId="EmailStyle3691">
    <w:name w:val="EmailStyle3691"/>
    <w:semiHidden/>
    <w:rsid w:val="00C06287"/>
    <w:rPr>
      <w:rFonts w:ascii="Arial" w:hAnsi="Arial" w:cs="Arial" w:hint="default"/>
      <w:color w:val="auto"/>
      <w:sz w:val="20"/>
      <w:szCs w:val="20"/>
    </w:rPr>
  </w:style>
  <w:style w:type="table" w:styleId="LightList-Accent3">
    <w:name w:val="Light List Accent 3"/>
    <w:basedOn w:val="TableNormal"/>
    <w:uiPriority w:val="71"/>
    <w:rsid w:val="00C06287"/>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apple-converted-space">
    <w:name w:val="apple-converted-space"/>
    <w:rsid w:val="00C06287"/>
  </w:style>
  <w:style w:type="table" w:customStyle="1" w:styleId="LightList1">
    <w:name w:val="Light List1"/>
    <w:basedOn w:val="TableNormal"/>
    <w:uiPriority w:val="61"/>
    <w:rsid w:val="00C06287"/>
    <w:rPr>
      <w:rFonts w:asciiTheme="minorHAnsi" w:eastAsiaTheme="minorHAnsi" w:hAnsiTheme="minorHAnsi" w:cstheme="minorBid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igureChar">
    <w:name w:val="Figure Char"/>
    <w:basedOn w:val="DefaultParagraphFont"/>
    <w:link w:val="Figure"/>
    <w:rsid w:val="00C06287"/>
    <w:rPr>
      <w:b/>
      <w:sz w:val="24"/>
    </w:rPr>
  </w:style>
  <w:style w:type="character" w:customStyle="1" w:styleId="EmailStyle581">
    <w:name w:val="EmailStyle581"/>
    <w:semiHidden/>
    <w:rsid w:val="00C06287"/>
    <w:rPr>
      <w:rFonts w:ascii="Arial" w:hAnsi="Arial" w:cs="Arial" w:hint="default"/>
      <w:color w:val="auto"/>
      <w:sz w:val="20"/>
      <w:szCs w:val="20"/>
    </w:rPr>
  </w:style>
  <w:style w:type="character" w:customStyle="1" w:styleId="EmailStyle3491">
    <w:name w:val="EmailStyle3491"/>
    <w:semiHidden/>
    <w:rsid w:val="00C06287"/>
    <w:rPr>
      <w:rFonts w:ascii="Arial" w:hAnsi="Arial" w:cs="Arial" w:hint="default"/>
      <w:color w:val="auto"/>
      <w:sz w:val="20"/>
      <w:szCs w:val="20"/>
    </w:rPr>
  </w:style>
  <w:style w:type="character" w:customStyle="1" w:styleId="EmailStyle3641">
    <w:name w:val="EmailStyle3641"/>
    <w:semiHidden/>
    <w:rsid w:val="00C06287"/>
    <w:rPr>
      <w:rFonts w:ascii="Arial" w:hAnsi="Arial" w:cs="Arial" w:hint="default"/>
      <w:color w:val="auto"/>
      <w:sz w:val="20"/>
      <w:szCs w:val="20"/>
    </w:rPr>
  </w:style>
  <w:style w:type="character" w:customStyle="1" w:styleId="EmailStyle3651">
    <w:name w:val="EmailStyle3651"/>
    <w:semiHidden/>
    <w:rsid w:val="00C06287"/>
    <w:rPr>
      <w:rFonts w:ascii="Arial" w:hAnsi="Arial" w:cs="Arial" w:hint="default"/>
      <w:color w:val="auto"/>
      <w:sz w:val="20"/>
      <w:szCs w:val="20"/>
    </w:rPr>
  </w:style>
  <w:style w:type="character" w:customStyle="1" w:styleId="EmailStyle3751">
    <w:name w:val="EmailStyle3751"/>
    <w:semiHidden/>
    <w:rsid w:val="00C06287"/>
    <w:rPr>
      <w:rFonts w:ascii="Arial" w:hAnsi="Arial" w:cs="Arial" w:hint="default"/>
      <w:color w:val="auto"/>
      <w:sz w:val="20"/>
      <w:szCs w:val="20"/>
    </w:rPr>
  </w:style>
  <w:style w:type="table" w:styleId="MediumGrid3-Accent5">
    <w:name w:val="Medium Grid 3 Accent 5"/>
    <w:basedOn w:val="TableNormal"/>
    <w:uiPriority w:val="71"/>
    <w:rsid w:val="00C06287"/>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aqj">
    <w:name w:val="aqj"/>
    <w:basedOn w:val="DefaultParagraphFont"/>
    <w:rsid w:val="00C06287"/>
  </w:style>
  <w:style w:type="character" w:customStyle="1" w:styleId="hits">
    <w:name w:val="hits"/>
    <w:basedOn w:val="DefaultParagraphFont"/>
    <w:rsid w:val="00C06287"/>
  </w:style>
  <w:style w:type="paragraph" w:styleId="Quote">
    <w:name w:val="Quote"/>
    <w:basedOn w:val="Normal"/>
    <w:next w:val="Normal"/>
    <w:link w:val="QuoteChar"/>
    <w:qFormat/>
    <w:rsid w:val="00B27D30"/>
    <w:rPr>
      <w:i/>
      <w:iCs/>
      <w:color w:val="000000" w:themeColor="text1"/>
    </w:rPr>
  </w:style>
  <w:style w:type="character" w:customStyle="1" w:styleId="QuoteChar">
    <w:name w:val="Quote Char"/>
    <w:basedOn w:val="DefaultParagraphFont"/>
    <w:link w:val="Quote"/>
    <w:rsid w:val="00B27D30"/>
    <w:rPr>
      <w:i/>
      <w:iCs/>
      <w:color w:val="000000" w:themeColor="tex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uiPriority="9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Title" w:qFormat="1"/>
    <w:lsdException w:name="Default Paragraph Font" w:uiPriority="1"/>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ite" w:uiPriority="99"/>
    <w:lsdException w:name="HTML Preformatted" w:uiPriority="99"/>
    <w:lsdException w:name="annotation subject" w:uiPriority="99"/>
    <w:lsdException w:name="No List" w:uiPriority="99"/>
    <w:lsdException w:name="Table List 1" w:uiPriority="99"/>
    <w:lsdException w:name="Table 3D effects 3" w:uiPriority="99"/>
    <w:lsdException w:name="Balloon Text" w:uiPriority="99"/>
    <w:lsdException w:name="Table Grid" w:uiPriority="59"/>
    <w:lsdException w:name="No Spacing" w:uiPriority="1" w:qFormat="1"/>
    <w:lsdException w:name="Revision" w:uiPriority="99"/>
    <w:lsdException w:name="List Paragraph" w:uiPriority="34" w:qFormat="1"/>
    <w:lsdException w:name="Quote" w:qFormat="1"/>
    <w:lsdException w:name="Intense Quote" w:qFormat="1"/>
    <w:lsdException w:name="Medium List 2 Accent 1" w:uiPriority="66"/>
    <w:lsdException w:name="Medium Grid 3 Accent 1" w:uiPriority="69"/>
    <w:lsdException w:name="Colorful List Accent 1" w:uiPriority="34" w:qFormat="1"/>
    <w:lsdException w:name="Colorful Grid Accent 1" w:uiPriority="73"/>
    <w:lsdException w:name="Medium List 2 Accent 2" w:uiPriority="71"/>
    <w:lsdException w:name="Light List Accent 3" w:uiPriority="71"/>
    <w:lsdException w:name="Dark List Accent 3" w:uiPriority="71"/>
    <w:lsdException w:name="Medium List 1 Accent 4" w:uiPriority="71"/>
    <w:lsdException w:name="Medium Grid 3 Accent 5" w:uiPriority="71"/>
    <w:lsdException w:name="Medium Shading 2 Accent 6" w:uiPriority="71"/>
    <w:lsdException w:name="Colorful Grid Accent 6" w:uiPriority="7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79572A"/>
  </w:style>
  <w:style w:type="paragraph" w:styleId="Heading1">
    <w:name w:val="heading 1"/>
    <w:basedOn w:val="Normal"/>
    <w:next w:val="Normal"/>
    <w:link w:val="Heading1Char1"/>
    <w:uiPriority w:val="99"/>
    <w:qFormat/>
    <w:rsid w:val="0011303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FA0487"/>
    <w:pPr>
      <w:keepNext/>
      <w:tabs>
        <w:tab w:val="left" w:pos="0"/>
      </w:tabs>
      <w:spacing w:before="240" w:after="60"/>
      <w:outlineLvl w:val="1"/>
    </w:pPr>
    <w:rPr>
      <w:b/>
      <w:bCs/>
      <w:iCs/>
      <w:sz w:val="28"/>
      <w:szCs w:val="28"/>
    </w:rPr>
  </w:style>
  <w:style w:type="paragraph" w:styleId="Heading3">
    <w:name w:val="heading 3"/>
    <w:basedOn w:val="Normal"/>
    <w:next w:val="Normal"/>
    <w:link w:val="Heading3Char1"/>
    <w:qFormat/>
    <w:rsid w:val="0011303D"/>
    <w:pPr>
      <w:keepNext/>
      <w:spacing w:before="240" w:after="60"/>
      <w:outlineLvl w:val="2"/>
    </w:pPr>
    <w:rPr>
      <w:rFonts w:ascii="Arial" w:hAnsi="Arial" w:cs="Arial"/>
      <w:b/>
      <w:bCs/>
      <w:szCs w:val="26"/>
    </w:rPr>
  </w:style>
  <w:style w:type="paragraph" w:styleId="Heading4">
    <w:name w:val="heading 4"/>
    <w:aliases w:val="Heading 4 Char Char"/>
    <w:basedOn w:val="Normal"/>
    <w:next w:val="Normal"/>
    <w:link w:val="Heading4Char2"/>
    <w:qFormat/>
    <w:rsid w:val="00533F44"/>
    <w:pPr>
      <w:keepNext/>
      <w:spacing w:before="240" w:after="60"/>
      <w:ind w:left="864" w:hanging="864"/>
      <w:outlineLvl w:val="3"/>
    </w:pPr>
    <w:rPr>
      <w:b/>
      <w:bCs/>
      <w:sz w:val="28"/>
      <w:szCs w:val="28"/>
    </w:rPr>
  </w:style>
  <w:style w:type="paragraph" w:styleId="Heading5">
    <w:name w:val="heading 5"/>
    <w:basedOn w:val="Normal"/>
    <w:next w:val="Normal"/>
    <w:link w:val="Heading5Char"/>
    <w:qFormat/>
    <w:rsid w:val="0011303D"/>
    <w:pPr>
      <w:spacing w:before="240" w:after="60"/>
      <w:outlineLvl w:val="4"/>
    </w:pPr>
    <w:rPr>
      <w:b/>
      <w:bCs/>
      <w:i/>
      <w:iCs/>
      <w:sz w:val="26"/>
      <w:szCs w:val="26"/>
    </w:rPr>
  </w:style>
  <w:style w:type="paragraph" w:styleId="Heading6">
    <w:name w:val="heading 6"/>
    <w:basedOn w:val="Normal"/>
    <w:next w:val="Normal"/>
    <w:link w:val="Heading6Char"/>
    <w:qFormat/>
    <w:rsid w:val="0011303D"/>
    <w:pPr>
      <w:spacing w:before="240" w:after="60"/>
      <w:outlineLvl w:val="5"/>
    </w:pPr>
    <w:rPr>
      <w:b/>
      <w:bCs/>
      <w:sz w:val="22"/>
      <w:szCs w:val="22"/>
    </w:rPr>
  </w:style>
  <w:style w:type="paragraph" w:styleId="Heading7">
    <w:name w:val="heading 7"/>
    <w:basedOn w:val="Normal"/>
    <w:next w:val="Normal"/>
    <w:link w:val="Heading7Char"/>
    <w:qFormat/>
    <w:rsid w:val="0011303D"/>
    <w:pPr>
      <w:spacing w:before="240" w:after="60"/>
      <w:outlineLvl w:val="6"/>
    </w:pPr>
  </w:style>
  <w:style w:type="paragraph" w:styleId="Heading8">
    <w:name w:val="heading 8"/>
    <w:basedOn w:val="Normal"/>
    <w:next w:val="Normal"/>
    <w:link w:val="Heading8Char"/>
    <w:qFormat/>
    <w:rsid w:val="0011303D"/>
    <w:pPr>
      <w:spacing w:before="240" w:after="60"/>
      <w:outlineLvl w:val="7"/>
    </w:pPr>
    <w:rPr>
      <w:i/>
      <w:iCs/>
    </w:rPr>
  </w:style>
  <w:style w:type="paragraph" w:styleId="Heading9">
    <w:name w:val="heading 9"/>
    <w:basedOn w:val="Normal"/>
    <w:next w:val="Normal"/>
    <w:link w:val="Heading9Char"/>
    <w:qFormat/>
    <w:rsid w:val="0011303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FA0487"/>
    <w:rPr>
      <w:b/>
      <w:bCs/>
      <w:iCs/>
      <w:sz w:val="28"/>
      <w:szCs w:val="28"/>
    </w:rPr>
  </w:style>
  <w:style w:type="character" w:customStyle="1" w:styleId="Heading4Char2">
    <w:name w:val="Heading 4 Char2"/>
    <w:aliases w:val="Heading 4 Char Char Char2"/>
    <w:basedOn w:val="DefaultParagraphFont"/>
    <w:link w:val="Heading4"/>
    <w:rsid w:val="00533F44"/>
    <w:rPr>
      <w:b/>
      <w:bCs/>
      <w:sz w:val="28"/>
      <w:szCs w:val="28"/>
    </w:rPr>
  </w:style>
  <w:style w:type="character" w:customStyle="1" w:styleId="Heading5Char">
    <w:name w:val="Heading 5 Char"/>
    <w:basedOn w:val="DefaultParagraphFont"/>
    <w:link w:val="Heading5"/>
    <w:locked/>
    <w:rsid w:val="008357AC"/>
    <w:rPr>
      <w:b/>
      <w:bCs/>
      <w:i/>
      <w:iCs/>
      <w:sz w:val="26"/>
      <w:szCs w:val="26"/>
    </w:rPr>
  </w:style>
  <w:style w:type="character" w:customStyle="1" w:styleId="Heading6Char">
    <w:name w:val="Heading 6 Char"/>
    <w:basedOn w:val="DefaultParagraphFont"/>
    <w:link w:val="Heading6"/>
    <w:locked/>
    <w:rsid w:val="008357AC"/>
    <w:rPr>
      <w:b/>
      <w:bCs/>
      <w:sz w:val="22"/>
      <w:szCs w:val="22"/>
    </w:rPr>
  </w:style>
  <w:style w:type="character" w:customStyle="1" w:styleId="Heading7Char">
    <w:name w:val="Heading 7 Char"/>
    <w:basedOn w:val="DefaultParagraphFont"/>
    <w:link w:val="Heading7"/>
    <w:locked/>
    <w:rsid w:val="008357AC"/>
    <w:rPr>
      <w:sz w:val="24"/>
      <w:szCs w:val="24"/>
    </w:rPr>
  </w:style>
  <w:style w:type="character" w:customStyle="1" w:styleId="Heading8Char">
    <w:name w:val="Heading 8 Char"/>
    <w:basedOn w:val="DefaultParagraphFont"/>
    <w:link w:val="Heading8"/>
    <w:locked/>
    <w:rsid w:val="008357AC"/>
    <w:rPr>
      <w:i/>
      <w:iCs/>
      <w:sz w:val="24"/>
      <w:szCs w:val="24"/>
    </w:rPr>
  </w:style>
  <w:style w:type="character" w:customStyle="1" w:styleId="Heading9Char">
    <w:name w:val="Heading 9 Char"/>
    <w:basedOn w:val="DefaultParagraphFont"/>
    <w:link w:val="Heading9"/>
    <w:locked/>
    <w:rsid w:val="008357AC"/>
    <w:rPr>
      <w:rFonts w:ascii="Arial" w:hAnsi="Arial" w:cs="Arial"/>
      <w:sz w:val="22"/>
      <w:szCs w:val="22"/>
    </w:rPr>
  </w:style>
  <w:style w:type="paragraph" w:styleId="BodyText">
    <w:name w:val="Body Text"/>
    <w:basedOn w:val="Normal"/>
    <w:link w:val="BodyTextChar"/>
    <w:rsid w:val="0011303D"/>
    <w:rPr>
      <w:rFonts w:cs="Courier New"/>
      <w:szCs w:val="20"/>
      <w:u w:val="single"/>
    </w:rPr>
  </w:style>
  <w:style w:type="character" w:customStyle="1" w:styleId="BodyTextChar">
    <w:name w:val="Body Text Char"/>
    <w:basedOn w:val="DefaultParagraphFont"/>
    <w:link w:val="BodyText"/>
    <w:locked/>
    <w:rsid w:val="008357AC"/>
    <w:rPr>
      <w:rFonts w:cs="Courier New"/>
      <w:sz w:val="24"/>
      <w:u w:val="single"/>
    </w:rPr>
  </w:style>
  <w:style w:type="paragraph" w:customStyle="1" w:styleId="Tabletitle">
    <w:name w:val="Table title"/>
    <w:basedOn w:val="Normal"/>
    <w:link w:val="TabletitleChar3"/>
    <w:qFormat/>
    <w:rsid w:val="00202123"/>
    <w:rPr>
      <w:rFonts w:ascii="Arial" w:hAnsi="Arial"/>
      <w:bCs/>
      <w:sz w:val="20"/>
    </w:rPr>
  </w:style>
  <w:style w:type="character" w:customStyle="1" w:styleId="TabletitleChar1">
    <w:name w:val="Table title Char1"/>
    <w:basedOn w:val="DefaultParagraphFont"/>
    <w:rsid w:val="0011303D"/>
    <w:rPr>
      <w:bCs/>
      <w:sz w:val="24"/>
      <w:szCs w:val="24"/>
      <w:lang w:val="en-US" w:eastAsia="en-US" w:bidi="ar-SA"/>
    </w:rPr>
  </w:style>
  <w:style w:type="paragraph" w:styleId="BodyTextIndent">
    <w:name w:val="Body Text Indent"/>
    <w:basedOn w:val="Normal"/>
    <w:link w:val="BodyTextIndentChar"/>
    <w:rsid w:val="0011303D"/>
    <w:pPr>
      <w:spacing w:after="120"/>
      <w:ind w:left="360"/>
    </w:pPr>
  </w:style>
  <w:style w:type="character" w:customStyle="1" w:styleId="BodyTextIndentChar">
    <w:name w:val="Body Text Indent Char"/>
    <w:basedOn w:val="DefaultParagraphFont"/>
    <w:link w:val="BodyTextIndent"/>
    <w:rsid w:val="006E4C28"/>
    <w:rPr>
      <w:sz w:val="24"/>
      <w:szCs w:val="24"/>
    </w:rPr>
  </w:style>
  <w:style w:type="paragraph" w:styleId="BodyTextIndent3">
    <w:name w:val="Body Text Indent 3"/>
    <w:basedOn w:val="Normal"/>
    <w:link w:val="BodyTextIndent3Char"/>
    <w:rsid w:val="0011303D"/>
    <w:pPr>
      <w:spacing w:after="120"/>
      <w:ind w:left="360"/>
    </w:pPr>
    <w:rPr>
      <w:sz w:val="16"/>
      <w:szCs w:val="16"/>
    </w:rPr>
  </w:style>
  <w:style w:type="character" w:customStyle="1" w:styleId="BodyTextIndent3Char">
    <w:name w:val="Body Text Indent 3 Char"/>
    <w:basedOn w:val="DefaultParagraphFont"/>
    <w:link w:val="BodyTextIndent3"/>
    <w:locked/>
    <w:rsid w:val="008357AC"/>
    <w:rPr>
      <w:sz w:val="16"/>
      <w:szCs w:val="16"/>
    </w:rPr>
  </w:style>
  <w:style w:type="paragraph" w:customStyle="1" w:styleId="CM3">
    <w:name w:val="CM3"/>
    <w:basedOn w:val="Normal"/>
    <w:next w:val="Normal"/>
    <w:rsid w:val="0011303D"/>
    <w:pPr>
      <w:autoSpaceDE w:val="0"/>
      <w:autoSpaceDN w:val="0"/>
      <w:adjustRightInd w:val="0"/>
      <w:spacing w:line="271" w:lineRule="auto"/>
    </w:pPr>
  </w:style>
  <w:style w:type="character" w:styleId="Strong">
    <w:name w:val="Strong"/>
    <w:basedOn w:val="DefaultParagraphFont"/>
    <w:uiPriority w:val="22"/>
    <w:qFormat/>
    <w:rsid w:val="0029309D"/>
    <w:rPr>
      <w:b/>
      <w:bCs/>
    </w:rPr>
  </w:style>
  <w:style w:type="character" w:customStyle="1" w:styleId="moz-txt-tag">
    <w:name w:val="moz-txt-tag"/>
    <w:basedOn w:val="DefaultParagraphFont"/>
    <w:rsid w:val="0011303D"/>
  </w:style>
  <w:style w:type="paragraph" w:styleId="FootnoteText">
    <w:name w:val="footnote text"/>
    <w:basedOn w:val="Normal"/>
    <w:link w:val="FootnoteTextChar1"/>
    <w:rsid w:val="0011303D"/>
    <w:rPr>
      <w:sz w:val="20"/>
      <w:szCs w:val="20"/>
    </w:rPr>
  </w:style>
  <w:style w:type="character" w:customStyle="1" w:styleId="FootnoteTextChar1">
    <w:name w:val="Footnote Text Char1"/>
    <w:basedOn w:val="DefaultParagraphFont"/>
    <w:link w:val="FootnoteText"/>
    <w:locked/>
    <w:rsid w:val="008357AC"/>
  </w:style>
  <w:style w:type="paragraph" w:styleId="BalloonText">
    <w:name w:val="Balloon Text"/>
    <w:basedOn w:val="Normal"/>
    <w:link w:val="BalloonTextChar"/>
    <w:uiPriority w:val="99"/>
    <w:rsid w:val="0011303D"/>
    <w:rPr>
      <w:rFonts w:ascii="Tahoma" w:hAnsi="Tahoma" w:cs="Tahoma"/>
      <w:sz w:val="16"/>
      <w:szCs w:val="16"/>
    </w:rPr>
  </w:style>
  <w:style w:type="character" w:customStyle="1" w:styleId="BalloonTextChar">
    <w:name w:val="Balloon Text Char"/>
    <w:basedOn w:val="DefaultParagraphFont"/>
    <w:link w:val="BalloonText"/>
    <w:uiPriority w:val="99"/>
    <w:rsid w:val="009300C7"/>
    <w:rPr>
      <w:rFonts w:ascii="Tahoma" w:hAnsi="Tahoma" w:cs="Tahoma"/>
      <w:sz w:val="16"/>
      <w:szCs w:val="16"/>
    </w:rPr>
  </w:style>
  <w:style w:type="paragraph" w:customStyle="1" w:styleId="Heading11">
    <w:name w:val="Heading 11"/>
    <w:rsid w:val="0011303D"/>
    <w:rPr>
      <w:rFonts w:ascii="Courier" w:hAnsi="Courier"/>
      <w:b/>
      <w:u w:val="single"/>
    </w:rPr>
  </w:style>
  <w:style w:type="character" w:customStyle="1" w:styleId="TabletitleChar">
    <w:name w:val="Table title Char"/>
    <w:basedOn w:val="DefaultParagraphFont"/>
    <w:rsid w:val="0011303D"/>
    <w:rPr>
      <w:bCs/>
      <w:sz w:val="24"/>
      <w:szCs w:val="24"/>
      <w:lang w:val="en-US" w:eastAsia="en-US" w:bidi="ar-SA"/>
    </w:rPr>
  </w:style>
  <w:style w:type="paragraph" w:customStyle="1" w:styleId="Heading5best">
    <w:name w:val="Heading 5 best"/>
    <w:basedOn w:val="Heading4"/>
    <w:rsid w:val="0011303D"/>
    <w:pPr>
      <w:widowControl w:val="0"/>
      <w:tabs>
        <w:tab w:val="num" w:pos="1440"/>
      </w:tabs>
      <w:autoSpaceDE w:val="0"/>
      <w:autoSpaceDN w:val="0"/>
      <w:adjustRightInd w:val="0"/>
      <w:ind w:left="1440" w:hanging="1440"/>
    </w:pPr>
    <w:rPr>
      <w:b w:val="0"/>
      <w:bCs w:val="0"/>
      <w:sz w:val="24"/>
    </w:rPr>
  </w:style>
  <w:style w:type="paragraph" w:styleId="Footer">
    <w:name w:val="footer"/>
    <w:basedOn w:val="Normal"/>
    <w:uiPriority w:val="99"/>
    <w:rsid w:val="0011303D"/>
    <w:pPr>
      <w:tabs>
        <w:tab w:val="center" w:pos="4320"/>
        <w:tab w:val="right" w:pos="8640"/>
      </w:tabs>
    </w:pPr>
  </w:style>
  <w:style w:type="character" w:styleId="PageNumber">
    <w:name w:val="page number"/>
    <w:basedOn w:val="DefaultParagraphFont"/>
    <w:uiPriority w:val="99"/>
    <w:rsid w:val="0011303D"/>
  </w:style>
  <w:style w:type="paragraph" w:customStyle="1" w:styleId="Level4">
    <w:name w:val="Level 4"/>
    <w:basedOn w:val="Normal"/>
    <w:rsid w:val="0011303D"/>
    <w:pPr>
      <w:widowControl w:val="0"/>
      <w:autoSpaceDE w:val="0"/>
      <w:autoSpaceDN w:val="0"/>
      <w:adjustRightInd w:val="0"/>
      <w:outlineLvl w:val="3"/>
    </w:pPr>
    <w:rPr>
      <w:sz w:val="20"/>
    </w:rPr>
  </w:style>
  <w:style w:type="paragraph" w:customStyle="1" w:styleId="month">
    <w:name w:val="month"/>
    <w:basedOn w:val="Normal"/>
    <w:rsid w:val="0011303D"/>
    <w:rPr>
      <w:rFonts w:ascii="Times" w:hAnsi="Times"/>
      <w:b/>
      <w:szCs w:val="20"/>
    </w:rPr>
  </w:style>
  <w:style w:type="paragraph" w:customStyle="1" w:styleId="a">
    <w:name w:val="ö"/>
    <w:basedOn w:val="Normal"/>
    <w:rsid w:val="0011303D"/>
    <w:pPr>
      <w:widowControl w:val="0"/>
      <w:tabs>
        <w:tab w:val="left" w:pos="720"/>
      </w:tabs>
      <w:autoSpaceDE w:val="0"/>
      <w:autoSpaceDN w:val="0"/>
      <w:adjustRightInd w:val="0"/>
      <w:ind w:left="720" w:hanging="720"/>
      <w:outlineLvl w:val="0"/>
    </w:pPr>
  </w:style>
  <w:style w:type="paragraph" w:customStyle="1" w:styleId="xl44">
    <w:name w:val="xl44"/>
    <w:basedOn w:val="Normal"/>
    <w:rsid w:val="0011303D"/>
    <w:pPr>
      <w:pBdr>
        <w:left w:val="single" w:sz="8" w:space="0" w:color="auto"/>
        <w:right w:val="single" w:sz="8" w:space="0" w:color="auto"/>
      </w:pBdr>
      <w:spacing w:before="100" w:after="100"/>
      <w:textAlignment w:val="top"/>
    </w:pPr>
    <w:rPr>
      <w:rFonts w:ascii="Arial" w:eastAsia="Arial Unicode MS" w:hAnsi="Arial"/>
      <w:sz w:val="16"/>
    </w:rPr>
  </w:style>
  <w:style w:type="paragraph" w:styleId="Header">
    <w:name w:val="header"/>
    <w:basedOn w:val="Normal"/>
    <w:link w:val="HeaderChar"/>
    <w:uiPriority w:val="99"/>
    <w:rsid w:val="0011303D"/>
    <w:pPr>
      <w:tabs>
        <w:tab w:val="center" w:pos="4320"/>
        <w:tab w:val="right" w:pos="8640"/>
      </w:tabs>
    </w:pPr>
  </w:style>
  <w:style w:type="character" w:customStyle="1" w:styleId="HeaderChar">
    <w:name w:val="Header Char"/>
    <w:basedOn w:val="DefaultParagraphFont"/>
    <w:link w:val="Header"/>
    <w:uiPriority w:val="99"/>
    <w:locked/>
    <w:rsid w:val="008357AC"/>
    <w:rPr>
      <w:sz w:val="24"/>
      <w:szCs w:val="24"/>
    </w:rPr>
  </w:style>
  <w:style w:type="character" w:customStyle="1" w:styleId="EmailStyle48">
    <w:name w:val="EmailStyle48"/>
    <w:basedOn w:val="DefaultParagraphFont"/>
    <w:semiHidden/>
    <w:rsid w:val="0011303D"/>
    <w:rPr>
      <w:rFonts w:ascii="Arial" w:hAnsi="Arial" w:cs="Arial" w:hint="default"/>
      <w:color w:val="auto"/>
      <w:sz w:val="20"/>
      <w:szCs w:val="20"/>
    </w:rPr>
  </w:style>
  <w:style w:type="paragraph" w:styleId="BodyTextIndent2">
    <w:name w:val="Body Text Indent 2"/>
    <w:basedOn w:val="Normal"/>
    <w:link w:val="BodyTextIndent2Char"/>
    <w:rsid w:val="0011303D"/>
    <w:pPr>
      <w:spacing w:after="120" w:line="480" w:lineRule="auto"/>
      <w:ind w:left="360"/>
    </w:pPr>
  </w:style>
  <w:style w:type="character" w:customStyle="1" w:styleId="BodyTextIndent2Char">
    <w:name w:val="Body Text Indent 2 Char"/>
    <w:basedOn w:val="DefaultParagraphFont"/>
    <w:link w:val="BodyTextIndent2"/>
    <w:locked/>
    <w:rsid w:val="008357AC"/>
    <w:rPr>
      <w:sz w:val="24"/>
      <w:szCs w:val="24"/>
    </w:rPr>
  </w:style>
  <w:style w:type="paragraph" w:styleId="Subtitle">
    <w:name w:val="Subtitle"/>
    <w:basedOn w:val="Normal"/>
    <w:link w:val="SubtitleChar"/>
    <w:qFormat/>
    <w:rsid w:val="0011303D"/>
    <w:pPr>
      <w:ind w:left="1440" w:hanging="1440"/>
    </w:pPr>
    <w:rPr>
      <w:b/>
      <w:bCs/>
      <w:u w:val="single"/>
    </w:rPr>
  </w:style>
  <w:style w:type="character" w:customStyle="1" w:styleId="SubtitleChar">
    <w:name w:val="Subtitle Char"/>
    <w:basedOn w:val="DefaultParagraphFont"/>
    <w:link w:val="Subtitle"/>
    <w:locked/>
    <w:rsid w:val="008357AC"/>
    <w:rPr>
      <w:b/>
      <w:bCs/>
      <w:sz w:val="24"/>
      <w:szCs w:val="24"/>
      <w:u w:val="single"/>
    </w:rPr>
  </w:style>
  <w:style w:type="character" w:styleId="Hyperlink">
    <w:name w:val="Hyperlink"/>
    <w:basedOn w:val="DefaultParagraphFont"/>
    <w:uiPriority w:val="99"/>
    <w:rsid w:val="0011303D"/>
    <w:rPr>
      <w:color w:val="0000FF"/>
      <w:u w:val="single"/>
    </w:rPr>
  </w:style>
  <w:style w:type="paragraph" w:customStyle="1" w:styleId="Figuretitle">
    <w:name w:val="Figure title"/>
    <w:basedOn w:val="Normal"/>
    <w:link w:val="FiguretitleChar1"/>
    <w:qFormat/>
    <w:rsid w:val="0011303D"/>
  </w:style>
  <w:style w:type="paragraph" w:styleId="CommentText">
    <w:name w:val="annotation text"/>
    <w:basedOn w:val="Normal"/>
    <w:link w:val="CommentTextChar"/>
    <w:uiPriority w:val="99"/>
    <w:rsid w:val="0011303D"/>
    <w:rPr>
      <w:sz w:val="20"/>
      <w:szCs w:val="20"/>
    </w:rPr>
  </w:style>
  <w:style w:type="character" w:customStyle="1" w:styleId="CommentTextChar">
    <w:name w:val="Comment Text Char"/>
    <w:basedOn w:val="DefaultParagraphFont"/>
    <w:link w:val="CommentText"/>
    <w:uiPriority w:val="99"/>
    <w:locked/>
    <w:rsid w:val="008357AC"/>
  </w:style>
  <w:style w:type="paragraph" w:styleId="CommentSubject">
    <w:name w:val="annotation subject"/>
    <w:basedOn w:val="CommentText"/>
    <w:next w:val="CommentText"/>
    <w:link w:val="CommentSubjectChar"/>
    <w:uiPriority w:val="99"/>
    <w:rsid w:val="0011303D"/>
    <w:rPr>
      <w:b/>
      <w:bCs/>
    </w:rPr>
  </w:style>
  <w:style w:type="character" w:customStyle="1" w:styleId="CommentSubjectChar">
    <w:name w:val="Comment Subject Char"/>
    <w:basedOn w:val="DefaultParagraphFont"/>
    <w:link w:val="CommentSubject"/>
    <w:uiPriority w:val="99"/>
    <w:rsid w:val="009300C7"/>
    <w:rPr>
      <w:b/>
      <w:bCs/>
    </w:rPr>
  </w:style>
  <w:style w:type="paragraph" w:customStyle="1" w:styleId="xl30">
    <w:name w:val="xl30"/>
    <w:basedOn w:val="Normal"/>
    <w:rsid w:val="0011303D"/>
    <w:pPr>
      <w:pBdr>
        <w:left w:val="single" w:sz="4" w:space="0" w:color="auto"/>
        <w:bottom w:val="single" w:sz="4" w:space="0" w:color="auto"/>
        <w:right w:val="single" w:sz="4" w:space="0" w:color="auto"/>
      </w:pBdr>
      <w:spacing w:before="100" w:after="100"/>
      <w:jc w:val="center"/>
    </w:pPr>
    <w:rPr>
      <w:rFonts w:ascii="Arial" w:eastAsia="Arial Unicode MS" w:hAnsi="Arial"/>
      <w:sz w:val="16"/>
    </w:rPr>
  </w:style>
  <w:style w:type="character" w:customStyle="1" w:styleId="title11">
    <w:name w:val="title11"/>
    <w:basedOn w:val="DefaultParagraphFont"/>
    <w:rsid w:val="0011303D"/>
    <w:rPr>
      <w:rFonts w:ascii="Arial" w:hAnsi="Arial" w:cs="Arial" w:hint="default"/>
      <w:b/>
      <w:bCs/>
      <w:color w:val="993333"/>
      <w:sz w:val="36"/>
      <w:szCs w:val="36"/>
    </w:rPr>
  </w:style>
  <w:style w:type="paragraph" w:styleId="NormalWeb">
    <w:name w:val="Normal (Web)"/>
    <w:basedOn w:val="Normal"/>
    <w:uiPriority w:val="99"/>
    <w:rsid w:val="0011303D"/>
    <w:pPr>
      <w:spacing w:before="100" w:beforeAutospacing="1" w:after="100" w:afterAutospacing="1"/>
    </w:pPr>
  </w:style>
  <w:style w:type="paragraph" w:customStyle="1" w:styleId="Default">
    <w:name w:val="Default"/>
    <w:uiPriority w:val="99"/>
    <w:rsid w:val="0011303D"/>
    <w:pPr>
      <w:autoSpaceDE w:val="0"/>
      <w:autoSpaceDN w:val="0"/>
      <w:adjustRightInd w:val="0"/>
    </w:pPr>
    <w:rPr>
      <w:color w:val="000000"/>
    </w:rPr>
  </w:style>
  <w:style w:type="paragraph" w:styleId="ListBullet">
    <w:name w:val="List Bullet"/>
    <w:basedOn w:val="Normal"/>
    <w:autoRedefine/>
    <w:rsid w:val="0011303D"/>
    <w:pPr>
      <w:outlineLvl w:val="0"/>
    </w:pPr>
    <w:rPr>
      <w:rFonts w:ascii="Arial" w:hAnsi="Arial" w:cs="Arial"/>
      <w:sz w:val="20"/>
      <w:szCs w:val="20"/>
    </w:rPr>
  </w:style>
  <w:style w:type="paragraph" w:styleId="List">
    <w:name w:val="List"/>
    <w:basedOn w:val="Normal"/>
    <w:rsid w:val="0011303D"/>
    <w:pPr>
      <w:ind w:left="360" w:hanging="360"/>
    </w:pPr>
  </w:style>
  <w:style w:type="character" w:styleId="LineNumber">
    <w:name w:val="line number"/>
    <w:basedOn w:val="DefaultParagraphFont"/>
    <w:rsid w:val="0011303D"/>
  </w:style>
  <w:style w:type="paragraph" w:styleId="BodyText3">
    <w:name w:val="Body Text 3"/>
    <w:basedOn w:val="Normal"/>
    <w:link w:val="BodyText3Char"/>
    <w:rsid w:val="0011303D"/>
    <w:pPr>
      <w:spacing w:after="120"/>
    </w:pPr>
    <w:rPr>
      <w:sz w:val="16"/>
      <w:szCs w:val="16"/>
    </w:rPr>
  </w:style>
  <w:style w:type="character" w:customStyle="1" w:styleId="BodyText3Char">
    <w:name w:val="Body Text 3 Char"/>
    <w:basedOn w:val="DefaultParagraphFont"/>
    <w:link w:val="BodyText3"/>
    <w:locked/>
    <w:rsid w:val="008357AC"/>
    <w:rPr>
      <w:sz w:val="16"/>
      <w:szCs w:val="16"/>
    </w:rPr>
  </w:style>
  <w:style w:type="paragraph" w:customStyle="1" w:styleId="BodyText2">
    <w:name w:val="Body Text 2*"/>
    <w:basedOn w:val="Normal"/>
    <w:rsid w:val="0011303D"/>
    <w:pPr>
      <w:ind w:left="360" w:hanging="360"/>
    </w:pPr>
    <w:rPr>
      <w:szCs w:val="20"/>
      <w:lang w:val="en-GB"/>
    </w:rPr>
  </w:style>
  <w:style w:type="paragraph" w:customStyle="1" w:styleId="Level8">
    <w:name w:val="Level 8"/>
    <w:rsid w:val="0011303D"/>
    <w:pPr>
      <w:autoSpaceDE w:val="0"/>
      <w:autoSpaceDN w:val="0"/>
      <w:adjustRightInd w:val="0"/>
      <w:ind w:left="-1440"/>
    </w:pPr>
  </w:style>
  <w:style w:type="paragraph" w:customStyle="1" w:styleId="Legal1">
    <w:name w:val="Legal 1"/>
    <w:basedOn w:val="Normal"/>
    <w:rsid w:val="0011303D"/>
    <w:pPr>
      <w:widowControl w:val="0"/>
      <w:tabs>
        <w:tab w:val="num" w:pos="720"/>
      </w:tabs>
      <w:autoSpaceDE w:val="0"/>
      <w:autoSpaceDN w:val="0"/>
      <w:adjustRightInd w:val="0"/>
      <w:ind w:left="360" w:hanging="360"/>
      <w:outlineLvl w:val="0"/>
    </w:pPr>
  </w:style>
  <w:style w:type="paragraph" w:customStyle="1" w:styleId="Legal4">
    <w:name w:val="Legal 4"/>
    <w:basedOn w:val="Normal"/>
    <w:rsid w:val="0011303D"/>
    <w:pPr>
      <w:widowControl w:val="0"/>
      <w:autoSpaceDE w:val="0"/>
      <w:autoSpaceDN w:val="0"/>
      <w:adjustRightInd w:val="0"/>
      <w:ind w:left="1800" w:hanging="360"/>
      <w:outlineLvl w:val="3"/>
    </w:pPr>
  </w:style>
  <w:style w:type="paragraph" w:customStyle="1" w:styleId="Legal6">
    <w:name w:val="Legal 6"/>
    <w:basedOn w:val="Normal"/>
    <w:rsid w:val="0011303D"/>
    <w:pPr>
      <w:widowControl w:val="0"/>
      <w:autoSpaceDE w:val="0"/>
      <w:autoSpaceDN w:val="0"/>
      <w:adjustRightInd w:val="0"/>
      <w:ind w:left="3960" w:hanging="720"/>
      <w:outlineLvl w:val="5"/>
    </w:pPr>
  </w:style>
  <w:style w:type="character" w:styleId="FollowedHyperlink">
    <w:name w:val="FollowedHyperlink"/>
    <w:basedOn w:val="DefaultParagraphFont"/>
    <w:uiPriority w:val="99"/>
    <w:rsid w:val="0011303D"/>
    <w:rPr>
      <w:color w:val="800080"/>
      <w:u w:val="single"/>
    </w:rPr>
  </w:style>
  <w:style w:type="paragraph" w:styleId="TOC1">
    <w:name w:val="toc 1"/>
    <w:basedOn w:val="Normal"/>
    <w:next w:val="Normal"/>
    <w:autoRedefine/>
    <w:uiPriority w:val="39"/>
    <w:rsid w:val="00BE4012"/>
    <w:pPr>
      <w:tabs>
        <w:tab w:val="right" w:leader="dot" w:pos="8630"/>
      </w:tabs>
      <w:ind w:left="360" w:hanging="360"/>
    </w:pPr>
    <w:rPr>
      <w:noProof/>
    </w:rPr>
  </w:style>
  <w:style w:type="paragraph" w:styleId="TOC2">
    <w:name w:val="toc 2"/>
    <w:aliases w:val="TOC 2a"/>
    <w:basedOn w:val="Normal"/>
    <w:next w:val="Normal"/>
    <w:autoRedefine/>
    <w:uiPriority w:val="39"/>
    <w:rsid w:val="00053EA9"/>
    <w:pPr>
      <w:tabs>
        <w:tab w:val="left" w:pos="1260"/>
        <w:tab w:val="left" w:pos="1980"/>
        <w:tab w:val="right" w:leader="dot" w:pos="8630"/>
      </w:tabs>
      <w:ind w:left="540"/>
    </w:pPr>
    <w:rPr>
      <w:rFonts w:ascii="Arial" w:hAnsi="Arial" w:cs="Arial"/>
      <w:b/>
      <w:bCs/>
      <w:iCs/>
      <w:noProof/>
      <w:lang w:val="x-none" w:eastAsia="x-none"/>
    </w:rPr>
  </w:style>
  <w:style w:type="paragraph" w:styleId="TOC3">
    <w:name w:val="toc 3"/>
    <w:basedOn w:val="Normal"/>
    <w:next w:val="Normal"/>
    <w:autoRedefine/>
    <w:uiPriority w:val="39"/>
    <w:rsid w:val="005C4AEE"/>
    <w:pPr>
      <w:tabs>
        <w:tab w:val="left" w:pos="1260"/>
        <w:tab w:val="left" w:pos="1980"/>
        <w:tab w:val="right" w:leader="dot" w:pos="8630"/>
      </w:tabs>
      <w:ind w:left="480" w:firstLine="240"/>
    </w:pPr>
    <w:rPr>
      <w:rFonts w:eastAsiaTheme="majorEastAsia"/>
      <w:bCs/>
      <w:noProof/>
    </w:rPr>
  </w:style>
  <w:style w:type="paragraph" w:styleId="DocumentMap">
    <w:name w:val="Document Map"/>
    <w:basedOn w:val="Normal"/>
    <w:link w:val="DocumentMapChar"/>
    <w:uiPriority w:val="99"/>
    <w:rsid w:val="0011303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locked/>
    <w:rsid w:val="008357AC"/>
    <w:rPr>
      <w:rFonts w:ascii="Tahoma" w:hAnsi="Tahoma" w:cs="Tahoma"/>
      <w:shd w:val="clear" w:color="auto" w:fill="000080"/>
    </w:rPr>
  </w:style>
  <w:style w:type="paragraph" w:styleId="TOC4">
    <w:name w:val="toc 4"/>
    <w:basedOn w:val="Normal"/>
    <w:next w:val="Normal"/>
    <w:autoRedefine/>
    <w:uiPriority w:val="39"/>
    <w:rsid w:val="002437D4"/>
    <w:pPr>
      <w:tabs>
        <w:tab w:val="left" w:pos="1260"/>
        <w:tab w:val="left" w:pos="1980"/>
        <w:tab w:val="left" w:pos="2700"/>
        <w:tab w:val="right" w:leader="dot" w:pos="8630"/>
      </w:tabs>
      <w:ind w:left="2700" w:hanging="2250"/>
    </w:pPr>
    <w:rPr>
      <w:noProof/>
    </w:rPr>
  </w:style>
  <w:style w:type="paragraph" w:styleId="TOC5">
    <w:name w:val="toc 5"/>
    <w:basedOn w:val="Normal"/>
    <w:next w:val="Normal"/>
    <w:autoRedefine/>
    <w:uiPriority w:val="39"/>
    <w:rsid w:val="0011303D"/>
    <w:pPr>
      <w:ind w:left="960"/>
    </w:pPr>
  </w:style>
  <w:style w:type="paragraph" w:customStyle="1" w:styleId="xl24">
    <w:name w:val="xl24"/>
    <w:basedOn w:val="Normal"/>
    <w:rsid w:val="0011303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25">
    <w:name w:val="xl25"/>
    <w:basedOn w:val="Normal"/>
    <w:rsid w:val="0011303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26">
    <w:name w:val="xl26"/>
    <w:basedOn w:val="Normal"/>
    <w:rsid w:val="0011303D"/>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27">
    <w:name w:val="xl27"/>
    <w:basedOn w:val="Normal"/>
    <w:rsid w:val="0011303D"/>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xl28">
    <w:name w:val="xl28"/>
    <w:basedOn w:val="Normal"/>
    <w:rsid w:val="0011303D"/>
    <w:pPr>
      <w:pBdr>
        <w:bottom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29">
    <w:name w:val="xl29"/>
    <w:basedOn w:val="Normal"/>
    <w:rsid w:val="0011303D"/>
    <w:pPr>
      <w:pBdr>
        <w:bottom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31">
    <w:name w:val="xl31"/>
    <w:basedOn w:val="Normal"/>
    <w:rsid w:val="001130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2">
    <w:name w:val="xl32"/>
    <w:basedOn w:val="Normal"/>
    <w:rsid w:val="0011303D"/>
    <w:pPr>
      <w:pBdr>
        <w:top w:val="single" w:sz="4" w:space="0" w:color="auto"/>
        <w:left w:val="single" w:sz="4" w:space="0" w:color="auto"/>
        <w:right w:val="single" w:sz="4" w:space="0" w:color="auto"/>
      </w:pBdr>
      <w:spacing w:before="100" w:beforeAutospacing="1" w:after="100" w:afterAutospacing="1"/>
    </w:pPr>
    <w:rPr>
      <w:rFonts w:eastAsia="Arial Unicode MS"/>
    </w:rPr>
  </w:style>
  <w:style w:type="paragraph" w:customStyle="1" w:styleId="xl33">
    <w:name w:val="xl33"/>
    <w:basedOn w:val="Normal"/>
    <w:rsid w:val="0011303D"/>
    <w:pPr>
      <w:pBdr>
        <w:left w:val="single" w:sz="4" w:space="0" w:color="auto"/>
        <w:right w:val="single" w:sz="4" w:space="0" w:color="auto"/>
      </w:pBdr>
      <w:spacing w:before="100" w:beforeAutospacing="1" w:after="100" w:afterAutospacing="1"/>
    </w:pPr>
    <w:rPr>
      <w:rFonts w:eastAsia="Arial Unicode MS"/>
    </w:rPr>
  </w:style>
  <w:style w:type="paragraph" w:customStyle="1" w:styleId="xl34">
    <w:name w:val="xl34"/>
    <w:basedOn w:val="Normal"/>
    <w:rsid w:val="0011303D"/>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eastAsia="Arial Unicode MS"/>
      <w:b/>
      <w:bCs/>
    </w:rPr>
  </w:style>
  <w:style w:type="paragraph" w:customStyle="1" w:styleId="xl35">
    <w:name w:val="xl35"/>
    <w:basedOn w:val="Normal"/>
    <w:rsid w:val="0011303D"/>
    <w:pPr>
      <w:pBdr>
        <w:top w:val="single" w:sz="4" w:space="0" w:color="auto"/>
        <w:bottom w:val="single" w:sz="4" w:space="0" w:color="auto"/>
        <w:right w:val="single" w:sz="4" w:space="0" w:color="000000"/>
      </w:pBdr>
      <w:shd w:val="clear" w:color="auto" w:fill="C0C0C0"/>
      <w:spacing w:before="100" w:beforeAutospacing="1" w:after="100" w:afterAutospacing="1"/>
      <w:jc w:val="center"/>
    </w:pPr>
    <w:rPr>
      <w:rFonts w:eastAsia="Arial Unicode MS"/>
      <w:b/>
      <w:bCs/>
    </w:rPr>
  </w:style>
  <w:style w:type="paragraph" w:customStyle="1" w:styleId="xl36">
    <w:name w:val="xl36"/>
    <w:basedOn w:val="Normal"/>
    <w:rsid w:val="0011303D"/>
    <w:pPr>
      <w:pBdr>
        <w:top w:val="single" w:sz="4" w:space="0" w:color="auto"/>
        <w:left w:val="single" w:sz="4" w:space="0" w:color="000000"/>
        <w:bottom w:val="single" w:sz="4" w:space="0" w:color="auto"/>
      </w:pBdr>
      <w:shd w:val="clear" w:color="auto" w:fill="C0C0C0"/>
      <w:spacing w:before="100" w:beforeAutospacing="1" w:after="100" w:afterAutospacing="1"/>
      <w:jc w:val="center"/>
    </w:pPr>
    <w:rPr>
      <w:rFonts w:eastAsia="Arial Unicode MS"/>
      <w:b/>
      <w:bCs/>
    </w:rPr>
  </w:style>
  <w:style w:type="paragraph" w:customStyle="1" w:styleId="xl37">
    <w:name w:val="xl37"/>
    <w:basedOn w:val="Normal"/>
    <w:rsid w:val="0011303D"/>
    <w:pPr>
      <w:pBdr>
        <w:bottom w:val="single" w:sz="4" w:space="0" w:color="auto"/>
        <w:right w:val="single" w:sz="4" w:space="0" w:color="auto"/>
      </w:pBdr>
      <w:shd w:val="clear" w:color="auto" w:fill="FFFFFF"/>
      <w:spacing w:before="100" w:beforeAutospacing="1" w:after="100" w:afterAutospacing="1"/>
      <w:jc w:val="center"/>
    </w:pPr>
    <w:rPr>
      <w:rFonts w:eastAsia="Arial Unicode MS"/>
    </w:rPr>
  </w:style>
  <w:style w:type="paragraph" w:customStyle="1" w:styleId="xl38">
    <w:name w:val="xl38"/>
    <w:basedOn w:val="Normal"/>
    <w:rsid w:val="0011303D"/>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39">
    <w:name w:val="xl39"/>
    <w:basedOn w:val="Normal"/>
    <w:rsid w:val="0011303D"/>
    <w:pPr>
      <w:pBdr>
        <w:left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character" w:styleId="EndnoteReference">
    <w:name w:val="endnote reference"/>
    <w:basedOn w:val="DefaultParagraphFont"/>
    <w:rsid w:val="0011303D"/>
    <w:rPr>
      <w:vertAlign w:val="superscript"/>
    </w:rPr>
  </w:style>
  <w:style w:type="paragraph" w:customStyle="1" w:styleId="xl40">
    <w:name w:val="xl40"/>
    <w:basedOn w:val="Normal"/>
    <w:rsid w:val="0011303D"/>
    <w:pPr>
      <w:pBdr>
        <w:bottom w:val="double" w:sz="6" w:space="0" w:color="auto"/>
        <w:right w:val="single" w:sz="4" w:space="0" w:color="auto"/>
      </w:pBdr>
      <w:shd w:val="clear" w:color="auto" w:fill="FFFFFF"/>
      <w:spacing w:before="100" w:beforeAutospacing="1" w:after="100" w:afterAutospacing="1"/>
      <w:jc w:val="center"/>
    </w:pPr>
    <w:rPr>
      <w:rFonts w:eastAsia="Arial Unicode MS"/>
    </w:rPr>
  </w:style>
  <w:style w:type="paragraph" w:customStyle="1" w:styleId="xl41">
    <w:name w:val="xl41"/>
    <w:basedOn w:val="Normal"/>
    <w:rsid w:val="0011303D"/>
    <w:pPr>
      <w:pBdr>
        <w:right w:val="single" w:sz="4" w:space="0" w:color="auto"/>
      </w:pBdr>
      <w:shd w:val="clear" w:color="auto" w:fill="FFFFFF"/>
      <w:spacing w:before="100" w:beforeAutospacing="1" w:after="100" w:afterAutospacing="1"/>
      <w:jc w:val="center"/>
    </w:pPr>
    <w:rPr>
      <w:rFonts w:eastAsia="Arial Unicode MS"/>
    </w:rPr>
  </w:style>
  <w:style w:type="paragraph" w:customStyle="1" w:styleId="xl42">
    <w:name w:val="xl42"/>
    <w:basedOn w:val="Normal"/>
    <w:rsid w:val="0011303D"/>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43">
    <w:name w:val="xl43"/>
    <w:basedOn w:val="Normal"/>
    <w:rsid w:val="0011303D"/>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rPr>
  </w:style>
  <w:style w:type="paragraph" w:customStyle="1" w:styleId="xl45">
    <w:name w:val="xl45"/>
    <w:basedOn w:val="Normal"/>
    <w:rsid w:val="0011303D"/>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46">
    <w:name w:val="xl46"/>
    <w:basedOn w:val="Normal"/>
    <w:rsid w:val="0011303D"/>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font5">
    <w:name w:val="font5"/>
    <w:basedOn w:val="Normal"/>
    <w:rsid w:val="0011303D"/>
    <w:pPr>
      <w:spacing w:before="100" w:beforeAutospacing="1" w:after="100" w:afterAutospacing="1"/>
    </w:pPr>
    <w:rPr>
      <w:rFonts w:eastAsia="Arial Unicode MS"/>
      <w:b/>
      <w:bCs/>
      <w:sz w:val="20"/>
      <w:szCs w:val="20"/>
    </w:rPr>
  </w:style>
  <w:style w:type="paragraph" w:customStyle="1" w:styleId="xl47">
    <w:name w:val="xl47"/>
    <w:basedOn w:val="Normal"/>
    <w:rsid w:val="0011303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11303D"/>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styleId="BodyText20">
    <w:name w:val="Body Text 2"/>
    <w:basedOn w:val="Normal"/>
    <w:link w:val="BodyText2Char"/>
    <w:rsid w:val="0011303D"/>
    <w:rPr>
      <w:color w:val="FFFFFF"/>
      <w:sz w:val="18"/>
    </w:rPr>
  </w:style>
  <w:style w:type="character" w:customStyle="1" w:styleId="BodyText2Char">
    <w:name w:val="Body Text 2 Char"/>
    <w:basedOn w:val="DefaultParagraphFont"/>
    <w:link w:val="BodyText20"/>
    <w:locked/>
    <w:rsid w:val="008357AC"/>
    <w:rPr>
      <w:color w:val="FFFFFF"/>
      <w:sz w:val="18"/>
      <w:szCs w:val="24"/>
    </w:rPr>
  </w:style>
  <w:style w:type="paragraph" w:customStyle="1" w:styleId="Level1">
    <w:name w:val="Level 1"/>
    <w:basedOn w:val="Normal"/>
    <w:rsid w:val="0011303D"/>
    <w:pPr>
      <w:widowControl w:val="0"/>
      <w:tabs>
        <w:tab w:val="num" w:pos="720"/>
      </w:tabs>
      <w:autoSpaceDE w:val="0"/>
      <w:autoSpaceDN w:val="0"/>
      <w:adjustRightInd w:val="0"/>
      <w:ind w:left="432" w:hanging="432"/>
      <w:outlineLvl w:val="0"/>
    </w:pPr>
    <w:rPr>
      <w:sz w:val="20"/>
    </w:rPr>
  </w:style>
  <w:style w:type="paragraph" w:customStyle="1" w:styleId="Level2">
    <w:name w:val="Level 2"/>
    <w:basedOn w:val="Normal"/>
    <w:rsid w:val="0011303D"/>
    <w:pPr>
      <w:widowControl w:val="0"/>
      <w:tabs>
        <w:tab w:val="num" w:pos="576"/>
      </w:tabs>
      <w:autoSpaceDE w:val="0"/>
      <w:autoSpaceDN w:val="0"/>
      <w:adjustRightInd w:val="0"/>
      <w:ind w:left="576" w:hanging="576"/>
      <w:outlineLvl w:val="1"/>
    </w:pPr>
    <w:rPr>
      <w:sz w:val="20"/>
    </w:rPr>
  </w:style>
  <w:style w:type="paragraph" w:customStyle="1" w:styleId="Level3">
    <w:name w:val="Level 3"/>
    <w:basedOn w:val="Normal"/>
    <w:rsid w:val="0011303D"/>
    <w:pPr>
      <w:widowControl w:val="0"/>
      <w:tabs>
        <w:tab w:val="num" w:pos="720"/>
      </w:tabs>
      <w:autoSpaceDE w:val="0"/>
      <w:autoSpaceDN w:val="0"/>
      <w:adjustRightInd w:val="0"/>
      <w:ind w:left="720" w:hanging="720"/>
      <w:outlineLvl w:val="2"/>
    </w:pPr>
    <w:rPr>
      <w:sz w:val="20"/>
    </w:rPr>
  </w:style>
  <w:style w:type="paragraph" w:customStyle="1" w:styleId="a0">
    <w:name w:val="û"/>
    <w:basedOn w:val="Normal"/>
    <w:rsid w:val="001130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outlineLvl w:val="5"/>
    </w:pPr>
  </w:style>
  <w:style w:type="paragraph" w:customStyle="1" w:styleId="a1">
    <w:name w:val="ü"/>
    <w:basedOn w:val="Normal"/>
    <w:rsid w:val="001130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outlineLvl w:val="6"/>
    </w:pPr>
  </w:style>
  <w:style w:type="paragraph" w:customStyle="1" w:styleId="a2">
    <w:name w:val="ý"/>
    <w:basedOn w:val="Normal"/>
    <w:rsid w:val="001130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outlineLvl w:val="7"/>
    </w:pPr>
  </w:style>
  <w:style w:type="paragraph" w:styleId="TOC6">
    <w:name w:val="toc 6"/>
    <w:basedOn w:val="Normal"/>
    <w:next w:val="Normal"/>
    <w:autoRedefine/>
    <w:uiPriority w:val="39"/>
    <w:rsid w:val="0011303D"/>
    <w:pPr>
      <w:ind w:left="1200"/>
    </w:pPr>
  </w:style>
  <w:style w:type="paragraph" w:styleId="TOC7">
    <w:name w:val="toc 7"/>
    <w:basedOn w:val="Normal"/>
    <w:next w:val="Normal"/>
    <w:autoRedefine/>
    <w:uiPriority w:val="39"/>
    <w:rsid w:val="0011303D"/>
    <w:pPr>
      <w:ind w:left="1440"/>
    </w:pPr>
  </w:style>
  <w:style w:type="paragraph" w:styleId="TOC8">
    <w:name w:val="toc 8"/>
    <w:basedOn w:val="Normal"/>
    <w:next w:val="Normal"/>
    <w:autoRedefine/>
    <w:uiPriority w:val="39"/>
    <w:rsid w:val="0011303D"/>
    <w:pPr>
      <w:ind w:left="1680"/>
    </w:pPr>
  </w:style>
  <w:style w:type="paragraph" w:styleId="TOC9">
    <w:name w:val="toc 9"/>
    <w:basedOn w:val="Normal"/>
    <w:next w:val="Normal"/>
    <w:autoRedefine/>
    <w:uiPriority w:val="39"/>
    <w:rsid w:val="0011303D"/>
    <w:pPr>
      <w:ind w:left="1920"/>
    </w:pPr>
  </w:style>
  <w:style w:type="paragraph" w:customStyle="1" w:styleId="Level5">
    <w:name w:val="Level 5"/>
    <w:basedOn w:val="Normal"/>
    <w:rsid w:val="0011303D"/>
    <w:pPr>
      <w:widowControl w:val="0"/>
      <w:tabs>
        <w:tab w:val="num" w:pos="1080"/>
      </w:tabs>
      <w:autoSpaceDE w:val="0"/>
      <w:autoSpaceDN w:val="0"/>
      <w:adjustRightInd w:val="0"/>
      <w:ind w:left="1008" w:hanging="1008"/>
      <w:outlineLvl w:val="4"/>
    </w:pPr>
    <w:rPr>
      <w:sz w:val="20"/>
    </w:rPr>
  </w:style>
  <w:style w:type="paragraph" w:customStyle="1" w:styleId="Level6">
    <w:name w:val="Level 6"/>
    <w:basedOn w:val="Normal"/>
    <w:rsid w:val="0011303D"/>
    <w:pPr>
      <w:widowControl w:val="0"/>
      <w:tabs>
        <w:tab w:val="num" w:pos="1800"/>
      </w:tabs>
      <w:autoSpaceDE w:val="0"/>
      <w:autoSpaceDN w:val="0"/>
      <w:adjustRightInd w:val="0"/>
      <w:ind w:left="1152" w:hanging="1152"/>
      <w:outlineLvl w:val="5"/>
    </w:pPr>
    <w:rPr>
      <w:sz w:val="20"/>
    </w:rPr>
  </w:style>
  <w:style w:type="paragraph" w:customStyle="1" w:styleId="Legal2">
    <w:name w:val="Legal 2"/>
    <w:basedOn w:val="Normal"/>
    <w:rsid w:val="0011303D"/>
    <w:pPr>
      <w:widowControl w:val="0"/>
      <w:autoSpaceDE w:val="0"/>
      <w:autoSpaceDN w:val="0"/>
      <w:adjustRightInd w:val="0"/>
      <w:ind w:left="720" w:hanging="360"/>
      <w:outlineLvl w:val="1"/>
    </w:pPr>
  </w:style>
  <w:style w:type="character" w:styleId="FootnoteReference">
    <w:name w:val="footnote reference"/>
    <w:basedOn w:val="DefaultParagraphFont"/>
    <w:uiPriority w:val="99"/>
    <w:rsid w:val="0011303D"/>
    <w:rPr>
      <w:vertAlign w:val="superscript"/>
    </w:rPr>
  </w:style>
  <w:style w:type="paragraph" w:styleId="PlainText">
    <w:name w:val="Plain Text"/>
    <w:basedOn w:val="Normal"/>
    <w:link w:val="PlainTextChar"/>
    <w:uiPriority w:val="99"/>
    <w:rsid w:val="0011303D"/>
    <w:rPr>
      <w:rFonts w:ascii="Courier New" w:hAnsi="Courier New" w:cs="Courier New"/>
      <w:sz w:val="20"/>
      <w:szCs w:val="20"/>
    </w:rPr>
  </w:style>
  <w:style w:type="character" w:customStyle="1" w:styleId="PlainTextChar">
    <w:name w:val="Plain Text Char"/>
    <w:basedOn w:val="DefaultParagraphFont"/>
    <w:link w:val="PlainText"/>
    <w:uiPriority w:val="99"/>
    <w:locked/>
    <w:rsid w:val="008357AC"/>
    <w:rPr>
      <w:rFonts w:ascii="Courier New" w:hAnsi="Courier New" w:cs="Courier New"/>
    </w:rPr>
  </w:style>
  <w:style w:type="character" w:customStyle="1" w:styleId="Heading1Char">
    <w:name w:val="Heading 1 Char"/>
    <w:basedOn w:val="DefaultParagraphFont"/>
    <w:uiPriority w:val="9"/>
    <w:rsid w:val="0011303D"/>
    <w:rPr>
      <w:rFonts w:cs="Arial"/>
      <w:b/>
      <w:bCs/>
      <w:smallCaps/>
      <w:kern w:val="32"/>
      <w:sz w:val="24"/>
      <w:szCs w:val="32"/>
      <w:lang w:val="en-US" w:eastAsia="en-US" w:bidi="ar-SA"/>
    </w:rPr>
  </w:style>
  <w:style w:type="paragraph" w:customStyle="1" w:styleId="Legal5">
    <w:name w:val="Legal 5"/>
    <w:rsid w:val="0011303D"/>
    <w:pPr>
      <w:widowControl w:val="0"/>
      <w:autoSpaceDE w:val="0"/>
      <w:autoSpaceDN w:val="0"/>
      <w:adjustRightInd w:val="0"/>
      <w:ind w:left="720"/>
      <w:jc w:val="both"/>
    </w:pPr>
  </w:style>
  <w:style w:type="paragraph" w:styleId="Title">
    <w:name w:val="Title"/>
    <w:basedOn w:val="Normal"/>
    <w:link w:val="TitleChar"/>
    <w:qFormat/>
    <w:rsid w:val="0011303D"/>
    <w:pPr>
      <w:widowControl w:val="0"/>
      <w:autoSpaceDE w:val="0"/>
      <w:autoSpaceDN w:val="0"/>
      <w:adjustRightInd w:val="0"/>
      <w:jc w:val="center"/>
    </w:pPr>
    <w:rPr>
      <w:b/>
      <w:bCs/>
    </w:rPr>
  </w:style>
  <w:style w:type="character" w:customStyle="1" w:styleId="TitleChar">
    <w:name w:val="Title Char"/>
    <w:basedOn w:val="DefaultParagraphFont"/>
    <w:link w:val="Title"/>
    <w:locked/>
    <w:rsid w:val="008357AC"/>
    <w:rPr>
      <w:b/>
      <w:bCs/>
      <w:sz w:val="24"/>
      <w:szCs w:val="24"/>
    </w:rPr>
  </w:style>
  <w:style w:type="paragraph" w:customStyle="1" w:styleId="Level7">
    <w:name w:val="Level 7"/>
    <w:rsid w:val="0011303D"/>
    <w:pPr>
      <w:autoSpaceDE w:val="0"/>
      <w:autoSpaceDN w:val="0"/>
      <w:adjustRightInd w:val="0"/>
      <w:ind w:left="-1440"/>
    </w:pPr>
  </w:style>
  <w:style w:type="paragraph" w:customStyle="1" w:styleId="Level9">
    <w:name w:val="Level 9"/>
    <w:rsid w:val="0011303D"/>
    <w:pPr>
      <w:autoSpaceDE w:val="0"/>
      <w:autoSpaceDN w:val="0"/>
      <w:adjustRightInd w:val="0"/>
      <w:ind w:left="-1440"/>
    </w:pPr>
    <w:rPr>
      <w:b/>
      <w:bCs/>
    </w:rPr>
  </w:style>
  <w:style w:type="paragraph" w:customStyle="1" w:styleId="Outline1">
    <w:name w:val="Outline 1"/>
    <w:basedOn w:val="Normal"/>
    <w:rsid w:val="0011303D"/>
    <w:pPr>
      <w:ind w:left="720"/>
    </w:pPr>
    <w:rPr>
      <w:sz w:val="20"/>
      <w:szCs w:val="20"/>
      <w:lang w:val="en-GB"/>
    </w:rPr>
  </w:style>
  <w:style w:type="paragraph" w:customStyle="1" w:styleId="Legal3">
    <w:name w:val="Legal 3"/>
    <w:basedOn w:val="Normal"/>
    <w:rsid w:val="0011303D"/>
    <w:pPr>
      <w:widowControl w:val="0"/>
      <w:autoSpaceDE w:val="0"/>
      <w:autoSpaceDN w:val="0"/>
      <w:adjustRightInd w:val="0"/>
      <w:ind w:left="1080" w:hanging="360"/>
      <w:outlineLvl w:val="2"/>
    </w:pPr>
  </w:style>
  <w:style w:type="paragraph" w:customStyle="1" w:styleId="Legal7">
    <w:name w:val="Legal 7"/>
    <w:basedOn w:val="Normal"/>
    <w:rsid w:val="0011303D"/>
    <w:pPr>
      <w:widowControl w:val="0"/>
      <w:autoSpaceDE w:val="0"/>
      <w:autoSpaceDN w:val="0"/>
      <w:adjustRightInd w:val="0"/>
      <w:ind w:left="5400" w:hanging="720"/>
      <w:outlineLvl w:val="6"/>
    </w:pPr>
  </w:style>
  <w:style w:type="paragraph" w:styleId="Index1">
    <w:name w:val="index 1"/>
    <w:basedOn w:val="Normal"/>
    <w:next w:val="Normal"/>
    <w:autoRedefine/>
    <w:uiPriority w:val="99"/>
    <w:rsid w:val="0011303D"/>
    <w:pPr>
      <w:tabs>
        <w:tab w:val="right" w:leader="dot" w:pos="4310"/>
      </w:tabs>
      <w:ind w:left="240" w:hanging="240"/>
    </w:pPr>
    <w:rPr>
      <w:noProof/>
      <w:sz w:val="18"/>
      <w:szCs w:val="18"/>
    </w:rPr>
  </w:style>
  <w:style w:type="paragraph" w:styleId="Caption">
    <w:name w:val="caption"/>
    <w:basedOn w:val="Normal"/>
    <w:next w:val="Normal"/>
    <w:uiPriority w:val="35"/>
    <w:qFormat/>
    <w:rsid w:val="0011303D"/>
    <w:pPr>
      <w:spacing w:before="120" w:after="120"/>
    </w:pPr>
    <w:rPr>
      <w:b/>
      <w:bCs/>
      <w:sz w:val="20"/>
      <w:szCs w:val="20"/>
    </w:rPr>
  </w:style>
  <w:style w:type="paragraph" w:styleId="EndnoteText">
    <w:name w:val="endnote text"/>
    <w:basedOn w:val="Normal"/>
    <w:link w:val="EndnoteTextChar"/>
    <w:rsid w:val="0011303D"/>
    <w:rPr>
      <w:sz w:val="20"/>
      <w:szCs w:val="20"/>
    </w:rPr>
  </w:style>
  <w:style w:type="character" w:customStyle="1" w:styleId="EndnoteTextChar">
    <w:name w:val="Endnote Text Char"/>
    <w:basedOn w:val="DefaultParagraphFont"/>
    <w:link w:val="EndnoteText"/>
    <w:locked/>
    <w:rsid w:val="008357AC"/>
  </w:style>
  <w:style w:type="character" w:customStyle="1" w:styleId="Bibliogrphy">
    <w:name w:val="Bibliogrphy"/>
    <w:basedOn w:val="DefaultParagraphFont"/>
    <w:rsid w:val="0011303D"/>
  </w:style>
  <w:style w:type="character" w:customStyle="1" w:styleId="FiguretitleChar">
    <w:name w:val="Figure title Char"/>
    <w:basedOn w:val="DefaultParagraphFont"/>
    <w:rsid w:val="0011303D"/>
    <w:rPr>
      <w:sz w:val="24"/>
      <w:szCs w:val="24"/>
      <w:lang w:val="en-US" w:eastAsia="en-US" w:bidi="ar-SA"/>
    </w:rPr>
  </w:style>
  <w:style w:type="paragraph" w:styleId="TableofFigures">
    <w:name w:val="table of figures"/>
    <w:aliases w:val="Table of Tables"/>
    <w:basedOn w:val="Normal"/>
    <w:next w:val="Normal"/>
    <w:uiPriority w:val="99"/>
    <w:rsid w:val="0011303D"/>
    <w:pPr>
      <w:ind w:left="480" w:hanging="480"/>
    </w:pPr>
  </w:style>
  <w:style w:type="paragraph" w:customStyle="1" w:styleId="font6">
    <w:name w:val="font6"/>
    <w:basedOn w:val="Normal"/>
    <w:rsid w:val="0011303D"/>
    <w:pPr>
      <w:spacing w:before="100" w:after="100"/>
    </w:pPr>
    <w:rPr>
      <w:rFonts w:ascii="Arial" w:eastAsia="Arial Unicode MS" w:hAnsi="Arial"/>
      <w:sz w:val="16"/>
    </w:rPr>
  </w:style>
  <w:style w:type="paragraph" w:customStyle="1" w:styleId="font7">
    <w:name w:val="font7"/>
    <w:basedOn w:val="Normal"/>
    <w:rsid w:val="0011303D"/>
    <w:pPr>
      <w:spacing w:before="100" w:after="100"/>
    </w:pPr>
    <w:rPr>
      <w:rFonts w:ascii="Arial" w:eastAsia="Arial Unicode MS" w:hAnsi="Arial"/>
      <w:b/>
      <w:sz w:val="16"/>
    </w:rPr>
  </w:style>
  <w:style w:type="paragraph" w:customStyle="1" w:styleId="font8">
    <w:name w:val="font8"/>
    <w:basedOn w:val="Normal"/>
    <w:rsid w:val="0011303D"/>
    <w:pPr>
      <w:spacing w:before="100" w:after="100"/>
    </w:pPr>
    <w:rPr>
      <w:rFonts w:ascii="Arial" w:eastAsia="Arial Unicode MS" w:hAnsi="Arial"/>
      <w:sz w:val="16"/>
    </w:rPr>
  </w:style>
  <w:style w:type="paragraph" w:customStyle="1" w:styleId="xl49">
    <w:name w:val="xl49"/>
    <w:basedOn w:val="Normal"/>
    <w:rsid w:val="0011303D"/>
    <w:pPr>
      <w:pBdr>
        <w:top w:val="single" w:sz="4" w:space="0" w:color="auto"/>
        <w:left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50">
    <w:name w:val="xl50"/>
    <w:basedOn w:val="Normal"/>
    <w:rsid w:val="0011303D"/>
    <w:pPr>
      <w:pBdr>
        <w:top w:val="single" w:sz="4" w:space="0" w:color="auto"/>
        <w:right w:val="single" w:sz="4" w:space="0" w:color="auto"/>
      </w:pBdr>
      <w:spacing w:before="100" w:after="100"/>
      <w:jc w:val="center"/>
    </w:pPr>
    <w:rPr>
      <w:rFonts w:ascii="Arial" w:eastAsia="Arial Unicode MS" w:hAnsi="Arial"/>
      <w:sz w:val="16"/>
    </w:rPr>
  </w:style>
  <w:style w:type="paragraph" w:customStyle="1" w:styleId="xl51">
    <w:name w:val="xl51"/>
    <w:basedOn w:val="Normal"/>
    <w:rsid w:val="0011303D"/>
    <w:pPr>
      <w:pBdr>
        <w:top w:val="single" w:sz="4" w:space="0" w:color="auto"/>
        <w:right w:val="single" w:sz="4" w:space="0" w:color="auto"/>
      </w:pBdr>
      <w:spacing w:before="100" w:after="100"/>
      <w:jc w:val="center"/>
    </w:pPr>
    <w:rPr>
      <w:rFonts w:ascii="Arial" w:eastAsia="Arial Unicode MS" w:hAnsi="Arial"/>
      <w:sz w:val="16"/>
    </w:rPr>
  </w:style>
  <w:style w:type="paragraph" w:customStyle="1" w:styleId="xl52">
    <w:name w:val="xl52"/>
    <w:basedOn w:val="Normal"/>
    <w:rsid w:val="0011303D"/>
    <w:pPr>
      <w:pBdr>
        <w:top w:val="single" w:sz="4" w:space="0" w:color="auto"/>
        <w:left w:val="single" w:sz="4" w:space="0" w:color="auto"/>
        <w:right w:val="single" w:sz="4" w:space="0" w:color="auto"/>
      </w:pBdr>
      <w:shd w:val="clear" w:color="auto" w:fill="FFFF00"/>
      <w:spacing w:before="100" w:after="100"/>
    </w:pPr>
    <w:rPr>
      <w:rFonts w:ascii="Arial" w:eastAsia="Arial Unicode MS" w:hAnsi="Arial"/>
      <w:b/>
      <w:sz w:val="16"/>
    </w:rPr>
  </w:style>
  <w:style w:type="paragraph" w:customStyle="1" w:styleId="xl53">
    <w:name w:val="xl53"/>
    <w:basedOn w:val="Normal"/>
    <w:rsid w:val="0011303D"/>
    <w:pPr>
      <w:pBdr>
        <w:top w:val="single" w:sz="4" w:space="0" w:color="auto"/>
        <w:left w:val="single" w:sz="4" w:space="0" w:color="auto"/>
        <w:right w:val="single" w:sz="4" w:space="0" w:color="auto"/>
      </w:pBdr>
      <w:spacing w:before="100" w:after="100"/>
      <w:jc w:val="center"/>
    </w:pPr>
    <w:rPr>
      <w:rFonts w:ascii="Arial" w:eastAsia="Arial Unicode MS" w:hAnsi="Arial"/>
      <w:sz w:val="16"/>
    </w:rPr>
  </w:style>
  <w:style w:type="paragraph" w:customStyle="1" w:styleId="xl54">
    <w:name w:val="xl54"/>
    <w:basedOn w:val="Normal"/>
    <w:rsid w:val="0011303D"/>
    <w:pPr>
      <w:pBdr>
        <w:left w:val="single" w:sz="4" w:space="0" w:color="auto"/>
        <w:right w:val="single" w:sz="4" w:space="0" w:color="auto"/>
      </w:pBdr>
      <w:spacing w:before="100" w:after="100"/>
      <w:jc w:val="center"/>
    </w:pPr>
    <w:rPr>
      <w:rFonts w:ascii="Arial" w:eastAsia="Arial Unicode MS" w:hAnsi="Arial"/>
      <w:sz w:val="16"/>
    </w:rPr>
  </w:style>
  <w:style w:type="paragraph" w:customStyle="1" w:styleId="xl55">
    <w:name w:val="xl55"/>
    <w:basedOn w:val="Normal"/>
    <w:rsid w:val="0011303D"/>
    <w:pPr>
      <w:pBdr>
        <w:left w:val="single" w:sz="4" w:space="0" w:color="auto"/>
        <w:bottom w:val="single" w:sz="4" w:space="0" w:color="auto"/>
        <w:right w:val="single" w:sz="4" w:space="0" w:color="auto"/>
      </w:pBdr>
      <w:spacing w:before="100" w:after="100"/>
      <w:jc w:val="center"/>
    </w:pPr>
    <w:rPr>
      <w:rFonts w:ascii="Arial" w:eastAsia="Arial Unicode MS" w:hAnsi="Arial"/>
      <w:sz w:val="16"/>
    </w:rPr>
  </w:style>
  <w:style w:type="paragraph" w:customStyle="1" w:styleId="xl56">
    <w:name w:val="xl56"/>
    <w:basedOn w:val="Normal"/>
    <w:rsid w:val="0011303D"/>
    <w:pPr>
      <w:pBdr>
        <w:top w:val="single" w:sz="4" w:space="0" w:color="auto"/>
        <w:left w:val="single" w:sz="4" w:space="0" w:color="auto"/>
        <w:right w:val="single" w:sz="4" w:space="0" w:color="auto"/>
      </w:pBdr>
      <w:shd w:val="clear" w:color="auto" w:fill="FFFF00"/>
      <w:spacing w:before="100" w:after="100"/>
    </w:pPr>
    <w:rPr>
      <w:rFonts w:ascii="Arial" w:eastAsia="Arial Unicode MS" w:hAnsi="Arial"/>
      <w:b/>
      <w:sz w:val="16"/>
    </w:rPr>
  </w:style>
  <w:style w:type="paragraph" w:customStyle="1" w:styleId="xl57">
    <w:name w:val="xl57"/>
    <w:basedOn w:val="Normal"/>
    <w:rsid w:val="0011303D"/>
    <w:pPr>
      <w:pBdr>
        <w:top w:val="single" w:sz="4" w:space="0" w:color="auto"/>
        <w:left w:val="single" w:sz="4" w:space="0" w:color="auto"/>
        <w:right w:val="single" w:sz="4" w:space="0" w:color="auto"/>
      </w:pBdr>
      <w:spacing w:before="100" w:after="100"/>
    </w:pPr>
    <w:rPr>
      <w:rFonts w:ascii="Arial" w:eastAsia="Arial Unicode MS" w:hAnsi="Arial"/>
      <w:b/>
      <w:sz w:val="16"/>
    </w:rPr>
  </w:style>
  <w:style w:type="paragraph" w:customStyle="1" w:styleId="xl58">
    <w:name w:val="xl58"/>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59">
    <w:name w:val="xl59"/>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60">
    <w:name w:val="xl60"/>
    <w:basedOn w:val="Normal"/>
    <w:rsid w:val="0011303D"/>
    <w:pPr>
      <w:pBdr>
        <w:left w:val="single" w:sz="4" w:space="0" w:color="auto"/>
        <w:right w:val="single" w:sz="4" w:space="0" w:color="auto"/>
      </w:pBdr>
      <w:spacing w:before="100" w:after="100"/>
      <w:jc w:val="center"/>
    </w:pPr>
    <w:rPr>
      <w:rFonts w:ascii="Arial" w:eastAsia="Arial Unicode MS" w:hAnsi="Arial"/>
      <w:sz w:val="16"/>
    </w:rPr>
  </w:style>
  <w:style w:type="paragraph" w:customStyle="1" w:styleId="xl61">
    <w:name w:val="xl61"/>
    <w:basedOn w:val="Normal"/>
    <w:rsid w:val="0011303D"/>
    <w:pPr>
      <w:pBdr>
        <w:left w:val="single" w:sz="4" w:space="0" w:color="auto"/>
        <w:right w:val="single" w:sz="4" w:space="0" w:color="auto"/>
      </w:pBdr>
      <w:shd w:val="clear" w:color="auto" w:fill="FFFF00"/>
      <w:spacing w:before="100" w:after="100"/>
    </w:pPr>
    <w:rPr>
      <w:rFonts w:ascii="Arial" w:eastAsia="Arial Unicode MS" w:hAnsi="Arial"/>
      <w:b/>
      <w:sz w:val="16"/>
    </w:rPr>
  </w:style>
  <w:style w:type="paragraph" w:customStyle="1" w:styleId="xl62">
    <w:name w:val="xl62"/>
    <w:basedOn w:val="Normal"/>
    <w:rsid w:val="0011303D"/>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b/>
      <w:sz w:val="16"/>
    </w:rPr>
  </w:style>
  <w:style w:type="paragraph" w:customStyle="1" w:styleId="xl63">
    <w:name w:val="xl63"/>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64">
    <w:name w:val="xl64"/>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65">
    <w:name w:val="xl65"/>
    <w:basedOn w:val="Normal"/>
    <w:rsid w:val="0011303D"/>
    <w:pPr>
      <w:pBdr>
        <w:top w:val="single" w:sz="4" w:space="0" w:color="auto"/>
        <w:left w:val="single" w:sz="4" w:space="0" w:color="auto"/>
        <w:bottom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66">
    <w:name w:val="xl66"/>
    <w:basedOn w:val="Normal"/>
    <w:rsid w:val="0011303D"/>
    <w:pPr>
      <w:pBdr>
        <w:left w:val="single" w:sz="4" w:space="0" w:color="auto"/>
        <w:right w:val="single" w:sz="4" w:space="0" w:color="auto"/>
      </w:pBdr>
      <w:spacing w:before="100" w:after="100"/>
      <w:jc w:val="center"/>
    </w:pPr>
    <w:rPr>
      <w:rFonts w:ascii="Arial" w:eastAsia="Arial Unicode MS" w:hAnsi="Arial"/>
      <w:sz w:val="16"/>
    </w:rPr>
  </w:style>
  <w:style w:type="paragraph" w:customStyle="1" w:styleId="xl67">
    <w:name w:val="xl67"/>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68">
    <w:name w:val="xl68"/>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69">
    <w:name w:val="xl69"/>
    <w:basedOn w:val="Normal"/>
    <w:rsid w:val="0011303D"/>
    <w:pPr>
      <w:pBdr>
        <w:top w:val="single" w:sz="4" w:space="0" w:color="auto"/>
        <w:left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70">
    <w:name w:val="xl70"/>
    <w:basedOn w:val="Normal"/>
    <w:rsid w:val="0011303D"/>
    <w:pPr>
      <w:pBdr>
        <w:left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71">
    <w:name w:val="xl71"/>
    <w:basedOn w:val="Normal"/>
    <w:rsid w:val="0011303D"/>
    <w:pPr>
      <w:pBdr>
        <w:left w:val="single" w:sz="4" w:space="0" w:color="auto"/>
        <w:bottom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72">
    <w:name w:val="xl72"/>
    <w:basedOn w:val="Normal"/>
    <w:rsid w:val="0011303D"/>
    <w:pPr>
      <w:pBdr>
        <w:top w:val="single" w:sz="4" w:space="0" w:color="auto"/>
        <w:left w:val="single" w:sz="4" w:space="0" w:color="auto"/>
        <w:right w:val="single" w:sz="4" w:space="0" w:color="auto"/>
      </w:pBdr>
      <w:spacing w:before="100" w:after="100"/>
    </w:pPr>
    <w:rPr>
      <w:rFonts w:ascii="Arial" w:eastAsia="Arial Unicode MS" w:hAnsi="Arial"/>
      <w:sz w:val="16"/>
    </w:rPr>
  </w:style>
  <w:style w:type="paragraph" w:customStyle="1" w:styleId="xl73">
    <w:name w:val="xl73"/>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74">
    <w:name w:val="xl74"/>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75">
    <w:name w:val="xl75"/>
    <w:basedOn w:val="Normal"/>
    <w:rsid w:val="0011303D"/>
    <w:pPr>
      <w:pBdr>
        <w:left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76">
    <w:name w:val="xl76"/>
    <w:basedOn w:val="Normal"/>
    <w:rsid w:val="0011303D"/>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77">
    <w:name w:val="xl77"/>
    <w:basedOn w:val="Normal"/>
    <w:rsid w:val="0011303D"/>
    <w:pPr>
      <w:pBdr>
        <w:left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78">
    <w:name w:val="xl78"/>
    <w:basedOn w:val="Normal"/>
    <w:rsid w:val="0011303D"/>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79">
    <w:name w:val="xl79"/>
    <w:basedOn w:val="Normal"/>
    <w:rsid w:val="0011303D"/>
    <w:pPr>
      <w:pBdr>
        <w:left w:val="single" w:sz="4" w:space="0" w:color="auto"/>
        <w:right w:val="single" w:sz="4" w:space="0" w:color="auto"/>
      </w:pBdr>
      <w:spacing w:before="100" w:after="100"/>
      <w:jc w:val="center"/>
    </w:pPr>
    <w:rPr>
      <w:rFonts w:ascii="Arial" w:eastAsia="Arial Unicode MS" w:hAnsi="Arial"/>
      <w:sz w:val="16"/>
    </w:rPr>
  </w:style>
  <w:style w:type="paragraph" w:customStyle="1" w:styleId="xl80">
    <w:name w:val="xl80"/>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81">
    <w:name w:val="xl81"/>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82">
    <w:name w:val="xl82"/>
    <w:basedOn w:val="Normal"/>
    <w:rsid w:val="0011303D"/>
    <w:pPr>
      <w:pBdr>
        <w:top w:val="single" w:sz="4" w:space="0" w:color="auto"/>
        <w:left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83">
    <w:name w:val="xl83"/>
    <w:basedOn w:val="Normal"/>
    <w:rsid w:val="0011303D"/>
    <w:pPr>
      <w:pBdr>
        <w:left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84">
    <w:name w:val="xl84"/>
    <w:basedOn w:val="Normal"/>
    <w:rsid w:val="0011303D"/>
    <w:pPr>
      <w:pBdr>
        <w:left w:val="single" w:sz="4" w:space="0" w:color="auto"/>
        <w:bottom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85">
    <w:name w:val="xl85"/>
    <w:basedOn w:val="Normal"/>
    <w:rsid w:val="0011303D"/>
    <w:pPr>
      <w:pBdr>
        <w:top w:val="single" w:sz="4" w:space="0" w:color="auto"/>
        <w:left w:val="single" w:sz="4" w:space="0" w:color="auto"/>
        <w:right w:val="single" w:sz="4" w:space="0" w:color="auto"/>
      </w:pBdr>
      <w:spacing w:before="100" w:after="100"/>
    </w:pPr>
    <w:rPr>
      <w:rFonts w:ascii="Arial" w:eastAsia="Arial Unicode MS" w:hAnsi="Arial"/>
      <w:sz w:val="16"/>
    </w:rPr>
  </w:style>
  <w:style w:type="paragraph" w:customStyle="1" w:styleId="xl86">
    <w:name w:val="xl86"/>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87">
    <w:name w:val="xl87"/>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88">
    <w:name w:val="xl88"/>
    <w:basedOn w:val="Normal"/>
    <w:rsid w:val="0011303D"/>
    <w:pPr>
      <w:pBdr>
        <w:left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89">
    <w:name w:val="xl89"/>
    <w:basedOn w:val="Normal"/>
    <w:rsid w:val="0011303D"/>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font9">
    <w:name w:val="font9"/>
    <w:basedOn w:val="Normal"/>
    <w:rsid w:val="0011303D"/>
    <w:pPr>
      <w:spacing w:before="100" w:after="100"/>
    </w:pPr>
    <w:rPr>
      <w:rFonts w:ascii="Arial" w:eastAsia="Arial Unicode MS" w:hAnsi="Arial"/>
      <w:color w:val="FF0000"/>
      <w:sz w:val="16"/>
    </w:rPr>
  </w:style>
  <w:style w:type="paragraph" w:customStyle="1" w:styleId="font10">
    <w:name w:val="font10"/>
    <w:basedOn w:val="Normal"/>
    <w:rsid w:val="0011303D"/>
    <w:pPr>
      <w:spacing w:before="100" w:after="100"/>
    </w:pPr>
    <w:rPr>
      <w:rFonts w:ascii="Arial" w:eastAsia="Arial Unicode MS" w:hAnsi="Arial"/>
      <w:b/>
      <w:sz w:val="16"/>
    </w:rPr>
  </w:style>
  <w:style w:type="paragraph" w:customStyle="1" w:styleId="xl90">
    <w:name w:val="xl90"/>
    <w:basedOn w:val="Normal"/>
    <w:rsid w:val="0011303D"/>
    <w:pPr>
      <w:pBdr>
        <w:left w:val="single" w:sz="12" w:space="0" w:color="auto"/>
        <w:bottom w:val="single" w:sz="12" w:space="0" w:color="auto"/>
      </w:pBdr>
      <w:spacing w:before="100" w:after="100"/>
      <w:jc w:val="center"/>
    </w:pPr>
    <w:rPr>
      <w:rFonts w:ascii="Arial" w:eastAsia="Arial Unicode MS" w:hAnsi="Arial"/>
      <w:color w:val="000080"/>
      <w:sz w:val="16"/>
    </w:rPr>
  </w:style>
  <w:style w:type="paragraph" w:customStyle="1" w:styleId="xl91">
    <w:name w:val="xl91"/>
    <w:basedOn w:val="Normal"/>
    <w:rsid w:val="0011303D"/>
    <w:pPr>
      <w:pBdr>
        <w:bottom w:val="single" w:sz="12" w:space="0" w:color="auto"/>
      </w:pBdr>
      <w:spacing w:before="100" w:after="100"/>
      <w:jc w:val="center"/>
    </w:pPr>
    <w:rPr>
      <w:rFonts w:ascii="Arial" w:eastAsia="Arial Unicode MS" w:hAnsi="Arial"/>
      <w:color w:val="000080"/>
      <w:sz w:val="16"/>
    </w:rPr>
  </w:style>
  <w:style w:type="paragraph" w:customStyle="1" w:styleId="xl92">
    <w:name w:val="xl92"/>
    <w:basedOn w:val="Normal"/>
    <w:rsid w:val="0011303D"/>
    <w:pPr>
      <w:pBdr>
        <w:bottom w:val="single" w:sz="12" w:space="0" w:color="auto"/>
        <w:right w:val="single" w:sz="12" w:space="0" w:color="auto"/>
      </w:pBdr>
      <w:spacing w:before="100" w:after="100"/>
      <w:jc w:val="center"/>
    </w:pPr>
    <w:rPr>
      <w:rFonts w:ascii="Arial" w:eastAsia="Arial Unicode MS" w:hAnsi="Arial"/>
      <w:color w:val="000080"/>
      <w:sz w:val="16"/>
    </w:rPr>
  </w:style>
  <w:style w:type="paragraph" w:customStyle="1" w:styleId="xl93">
    <w:name w:val="xl93"/>
    <w:basedOn w:val="Normal"/>
    <w:rsid w:val="0011303D"/>
    <w:pPr>
      <w:pBdr>
        <w:top w:val="single" w:sz="4" w:space="0" w:color="auto"/>
        <w:left w:val="single" w:sz="12" w:space="0" w:color="auto"/>
        <w:bottom w:val="single" w:sz="4" w:space="0" w:color="auto"/>
      </w:pBdr>
      <w:spacing w:before="100" w:after="100"/>
    </w:pPr>
    <w:rPr>
      <w:rFonts w:ascii="Arial" w:eastAsia="Arial Unicode MS" w:hAnsi="Arial"/>
      <w:color w:val="FF00FF"/>
      <w:sz w:val="16"/>
    </w:rPr>
  </w:style>
  <w:style w:type="paragraph" w:customStyle="1" w:styleId="xl94">
    <w:name w:val="xl94"/>
    <w:basedOn w:val="Normal"/>
    <w:rsid w:val="0011303D"/>
    <w:pPr>
      <w:pBdr>
        <w:top w:val="single" w:sz="4" w:space="0" w:color="auto"/>
        <w:left w:val="single" w:sz="4" w:space="0" w:color="auto"/>
        <w:bottom w:val="single" w:sz="4" w:space="0" w:color="auto"/>
      </w:pBdr>
      <w:spacing w:before="100" w:after="100"/>
      <w:jc w:val="center"/>
    </w:pPr>
    <w:rPr>
      <w:rFonts w:ascii="Arial" w:eastAsia="Arial Unicode MS" w:hAnsi="Arial"/>
      <w:color w:val="800080"/>
      <w:sz w:val="16"/>
    </w:rPr>
  </w:style>
  <w:style w:type="paragraph" w:customStyle="1" w:styleId="xl95">
    <w:name w:val="xl95"/>
    <w:basedOn w:val="Normal"/>
    <w:rsid w:val="0011303D"/>
    <w:pPr>
      <w:pBdr>
        <w:top w:val="single" w:sz="4" w:space="0" w:color="auto"/>
        <w:bottom w:val="single" w:sz="4" w:space="0" w:color="auto"/>
      </w:pBdr>
      <w:spacing w:before="100" w:after="100"/>
      <w:jc w:val="center"/>
    </w:pPr>
    <w:rPr>
      <w:rFonts w:ascii="Arial" w:eastAsia="Arial Unicode MS" w:hAnsi="Arial"/>
      <w:color w:val="800080"/>
      <w:sz w:val="16"/>
    </w:rPr>
  </w:style>
  <w:style w:type="paragraph" w:customStyle="1" w:styleId="xl96">
    <w:name w:val="xl96"/>
    <w:basedOn w:val="Normal"/>
    <w:rsid w:val="0011303D"/>
    <w:pPr>
      <w:pBdr>
        <w:top w:val="single" w:sz="4" w:space="0" w:color="auto"/>
        <w:left w:val="single" w:sz="12" w:space="0" w:color="auto"/>
        <w:bottom w:val="single" w:sz="12" w:space="0" w:color="auto"/>
      </w:pBdr>
      <w:spacing w:before="100" w:after="100"/>
      <w:jc w:val="center"/>
    </w:pPr>
    <w:rPr>
      <w:rFonts w:ascii="Arial" w:eastAsia="Arial Unicode MS" w:hAnsi="Arial"/>
      <w:color w:val="800080"/>
      <w:sz w:val="16"/>
    </w:rPr>
  </w:style>
  <w:style w:type="paragraph" w:customStyle="1" w:styleId="xl97">
    <w:name w:val="xl97"/>
    <w:basedOn w:val="Normal"/>
    <w:rsid w:val="0011303D"/>
    <w:pPr>
      <w:pBdr>
        <w:top w:val="single" w:sz="4" w:space="0" w:color="auto"/>
        <w:bottom w:val="single" w:sz="12" w:space="0" w:color="auto"/>
      </w:pBdr>
      <w:spacing w:before="100" w:after="100"/>
      <w:jc w:val="center"/>
    </w:pPr>
    <w:rPr>
      <w:rFonts w:ascii="Arial" w:eastAsia="Arial Unicode MS" w:hAnsi="Arial"/>
      <w:color w:val="800080"/>
      <w:sz w:val="16"/>
    </w:rPr>
  </w:style>
  <w:style w:type="paragraph" w:customStyle="1" w:styleId="xl98">
    <w:name w:val="xl98"/>
    <w:basedOn w:val="Normal"/>
    <w:rsid w:val="0011303D"/>
    <w:pPr>
      <w:pBdr>
        <w:top w:val="single" w:sz="4" w:space="0" w:color="auto"/>
        <w:bottom w:val="single" w:sz="12" w:space="0" w:color="auto"/>
        <w:right w:val="single" w:sz="12" w:space="0" w:color="auto"/>
      </w:pBdr>
      <w:spacing w:before="100" w:after="100"/>
      <w:jc w:val="center"/>
    </w:pPr>
    <w:rPr>
      <w:rFonts w:ascii="Arial" w:eastAsia="Arial Unicode MS" w:hAnsi="Arial"/>
      <w:color w:val="800080"/>
      <w:sz w:val="16"/>
    </w:rPr>
  </w:style>
  <w:style w:type="paragraph" w:customStyle="1" w:styleId="xl99">
    <w:name w:val="xl99"/>
    <w:basedOn w:val="Normal"/>
    <w:rsid w:val="0011303D"/>
    <w:pPr>
      <w:pBdr>
        <w:top w:val="single" w:sz="4" w:space="0" w:color="auto"/>
        <w:left w:val="single" w:sz="12" w:space="0" w:color="auto"/>
        <w:bottom w:val="single" w:sz="8" w:space="0" w:color="auto"/>
      </w:pBdr>
      <w:spacing w:before="100" w:after="100"/>
      <w:jc w:val="center"/>
    </w:pPr>
    <w:rPr>
      <w:rFonts w:ascii="Arial" w:eastAsia="Arial Unicode MS" w:hAnsi="Arial"/>
      <w:color w:val="800080"/>
      <w:sz w:val="16"/>
    </w:rPr>
  </w:style>
  <w:style w:type="paragraph" w:customStyle="1" w:styleId="xl100">
    <w:name w:val="xl100"/>
    <w:basedOn w:val="Normal"/>
    <w:rsid w:val="0011303D"/>
    <w:pPr>
      <w:pBdr>
        <w:top w:val="single" w:sz="4" w:space="0" w:color="auto"/>
        <w:bottom w:val="single" w:sz="8" w:space="0" w:color="auto"/>
      </w:pBdr>
      <w:spacing w:before="100" w:after="100"/>
      <w:jc w:val="center"/>
    </w:pPr>
    <w:rPr>
      <w:rFonts w:ascii="Arial" w:eastAsia="Arial Unicode MS" w:hAnsi="Arial"/>
      <w:color w:val="800080"/>
      <w:sz w:val="16"/>
    </w:rPr>
  </w:style>
  <w:style w:type="paragraph" w:customStyle="1" w:styleId="xl101">
    <w:name w:val="xl101"/>
    <w:basedOn w:val="Normal"/>
    <w:rsid w:val="0011303D"/>
    <w:pPr>
      <w:pBdr>
        <w:top w:val="single" w:sz="4" w:space="0" w:color="auto"/>
        <w:bottom w:val="single" w:sz="8" w:space="0" w:color="auto"/>
        <w:right w:val="single" w:sz="12" w:space="0" w:color="auto"/>
      </w:pBdr>
      <w:spacing w:before="100" w:after="100"/>
      <w:jc w:val="center"/>
    </w:pPr>
    <w:rPr>
      <w:rFonts w:ascii="Arial" w:eastAsia="Arial Unicode MS" w:hAnsi="Arial"/>
      <w:color w:val="800080"/>
      <w:sz w:val="16"/>
    </w:rPr>
  </w:style>
  <w:style w:type="paragraph" w:customStyle="1" w:styleId="xl102">
    <w:name w:val="xl102"/>
    <w:basedOn w:val="Normal"/>
    <w:rsid w:val="0011303D"/>
    <w:pPr>
      <w:pBdr>
        <w:top w:val="single" w:sz="4" w:space="0" w:color="auto"/>
        <w:left w:val="single" w:sz="12" w:space="0" w:color="auto"/>
        <w:bottom w:val="single" w:sz="12" w:space="0" w:color="auto"/>
      </w:pBdr>
      <w:spacing w:before="100" w:after="100"/>
      <w:jc w:val="center"/>
    </w:pPr>
    <w:rPr>
      <w:rFonts w:ascii="Arial" w:eastAsia="Arial Unicode MS" w:hAnsi="Arial"/>
      <w:color w:val="008000"/>
      <w:sz w:val="16"/>
    </w:rPr>
  </w:style>
  <w:style w:type="paragraph" w:customStyle="1" w:styleId="xl103">
    <w:name w:val="xl103"/>
    <w:basedOn w:val="Normal"/>
    <w:rsid w:val="0011303D"/>
    <w:pPr>
      <w:pBdr>
        <w:top w:val="single" w:sz="4" w:space="0" w:color="auto"/>
        <w:bottom w:val="single" w:sz="12" w:space="0" w:color="auto"/>
      </w:pBdr>
      <w:spacing w:before="100" w:after="100"/>
      <w:jc w:val="center"/>
    </w:pPr>
    <w:rPr>
      <w:rFonts w:ascii="Arial" w:eastAsia="Arial Unicode MS" w:hAnsi="Arial"/>
      <w:color w:val="008000"/>
      <w:sz w:val="16"/>
    </w:rPr>
  </w:style>
  <w:style w:type="paragraph" w:customStyle="1" w:styleId="xl104">
    <w:name w:val="xl104"/>
    <w:basedOn w:val="Normal"/>
    <w:rsid w:val="0011303D"/>
    <w:pPr>
      <w:pBdr>
        <w:top w:val="single" w:sz="4" w:space="0" w:color="auto"/>
        <w:bottom w:val="single" w:sz="12" w:space="0" w:color="auto"/>
        <w:right w:val="single" w:sz="12" w:space="0" w:color="auto"/>
      </w:pBdr>
      <w:spacing w:before="100" w:after="100"/>
      <w:jc w:val="center"/>
    </w:pPr>
    <w:rPr>
      <w:rFonts w:ascii="Arial" w:eastAsia="Arial Unicode MS" w:hAnsi="Arial"/>
      <w:color w:val="008000"/>
      <w:sz w:val="16"/>
    </w:rPr>
  </w:style>
  <w:style w:type="paragraph" w:customStyle="1" w:styleId="xl105">
    <w:name w:val="xl105"/>
    <w:basedOn w:val="Normal"/>
    <w:rsid w:val="0011303D"/>
    <w:pPr>
      <w:pBdr>
        <w:top w:val="single" w:sz="4" w:space="0" w:color="auto"/>
        <w:left w:val="single" w:sz="12" w:space="0" w:color="auto"/>
        <w:bottom w:val="single" w:sz="8" w:space="0" w:color="auto"/>
      </w:pBdr>
      <w:spacing w:before="100" w:after="100"/>
    </w:pPr>
    <w:rPr>
      <w:rFonts w:ascii="Arial" w:eastAsia="Arial Unicode MS" w:hAnsi="Arial"/>
      <w:color w:val="008000"/>
      <w:sz w:val="16"/>
    </w:rPr>
  </w:style>
  <w:style w:type="paragraph" w:customStyle="1" w:styleId="xl106">
    <w:name w:val="xl106"/>
    <w:basedOn w:val="Normal"/>
    <w:rsid w:val="0011303D"/>
    <w:pPr>
      <w:pBdr>
        <w:left w:val="single" w:sz="12" w:space="0" w:color="auto"/>
        <w:bottom w:val="single" w:sz="4" w:space="0" w:color="auto"/>
      </w:pBdr>
      <w:spacing w:before="100" w:after="100"/>
    </w:pPr>
    <w:rPr>
      <w:rFonts w:ascii="Arial" w:eastAsia="Arial Unicode MS" w:hAnsi="Arial"/>
      <w:b/>
      <w:color w:val="FF00FF"/>
      <w:sz w:val="16"/>
    </w:rPr>
  </w:style>
  <w:style w:type="paragraph" w:customStyle="1" w:styleId="xl107">
    <w:name w:val="xl107"/>
    <w:basedOn w:val="Normal"/>
    <w:rsid w:val="0011303D"/>
    <w:pPr>
      <w:pBdr>
        <w:bottom w:val="single" w:sz="4" w:space="0" w:color="auto"/>
      </w:pBdr>
      <w:spacing w:before="100" w:after="100"/>
    </w:pPr>
    <w:rPr>
      <w:rFonts w:ascii="Arial" w:eastAsia="Arial Unicode MS" w:hAnsi="Arial"/>
      <w:sz w:val="16"/>
    </w:rPr>
  </w:style>
  <w:style w:type="paragraph" w:customStyle="1" w:styleId="xl108">
    <w:name w:val="xl108"/>
    <w:basedOn w:val="Normal"/>
    <w:rsid w:val="0011303D"/>
    <w:pPr>
      <w:spacing w:before="100" w:after="100"/>
    </w:pPr>
    <w:rPr>
      <w:rFonts w:ascii="Arial" w:eastAsia="Arial Unicode MS" w:hAnsi="Arial"/>
      <w:sz w:val="16"/>
    </w:rPr>
  </w:style>
  <w:style w:type="paragraph" w:customStyle="1" w:styleId="xl109">
    <w:name w:val="xl109"/>
    <w:basedOn w:val="Normal"/>
    <w:rsid w:val="0011303D"/>
    <w:pPr>
      <w:pBdr>
        <w:right w:val="single" w:sz="12" w:space="0" w:color="auto"/>
      </w:pBdr>
      <w:spacing w:before="100" w:after="100"/>
    </w:pPr>
    <w:rPr>
      <w:rFonts w:ascii="Arial" w:eastAsia="Arial Unicode MS" w:hAnsi="Arial"/>
      <w:sz w:val="16"/>
    </w:rPr>
  </w:style>
  <w:style w:type="paragraph" w:customStyle="1" w:styleId="xl110">
    <w:name w:val="xl110"/>
    <w:basedOn w:val="Normal"/>
    <w:rsid w:val="0011303D"/>
    <w:pPr>
      <w:pBdr>
        <w:top w:val="single" w:sz="4" w:space="0" w:color="auto"/>
        <w:left w:val="single" w:sz="12" w:space="0" w:color="auto"/>
        <w:bottom w:val="single" w:sz="4" w:space="0" w:color="auto"/>
      </w:pBdr>
      <w:spacing w:before="100" w:after="100"/>
    </w:pPr>
    <w:rPr>
      <w:rFonts w:ascii="Arial" w:eastAsia="Arial Unicode MS" w:hAnsi="Arial"/>
      <w:color w:val="008000"/>
      <w:sz w:val="16"/>
    </w:rPr>
  </w:style>
  <w:style w:type="paragraph" w:customStyle="1" w:styleId="xl111">
    <w:name w:val="xl111"/>
    <w:basedOn w:val="Normal"/>
    <w:rsid w:val="0011303D"/>
    <w:pPr>
      <w:pBdr>
        <w:top w:val="single" w:sz="12" w:space="0" w:color="auto"/>
        <w:left w:val="single" w:sz="12" w:space="0" w:color="auto"/>
        <w:bottom w:val="single" w:sz="12" w:space="0" w:color="auto"/>
      </w:pBdr>
      <w:spacing w:before="100" w:after="100"/>
      <w:jc w:val="center"/>
    </w:pPr>
    <w:rPr>
      <w:rFonts w:ascii="Arial" w:eastAsia="Arial Unicode MS" w:hAnsi="Arial"/>
      <w:b/>
      <w:sz w:val="16"/>
    </w:rPr>
  </w:style>
  <w:style w:type="paragraph" w:customStyle="1" w:styleId="xl112">
    <w:name w:val="xl112"/>
    <w:basedOn w:val="Normal"/>
    <w:rsid w:val="0011303D"/>
    <w:pPr>
      <w:pBdr>
        <w:top w:val="single" w:sz="12" w:space="0" w:color="auto"/>
        <w:bottom w:val="single" w:sz="12" w:space="0" w:color="auto"/>
      </w:pBdr>
      <w:spacing w:before="100" w:after="100"/>
      <w:jc w:val="center"/>
    </w:pPr>
    <w:rPr>
      <w:rFonts w:ascii="Arial Unicode MS" w:eastAsia="Arial Unicode MS" w:hAnsi="Arial Unicode MS"/>
    </w:rPr>
  </w:style>
  <w:style w:type="paragraph" w:customStyle="1" w:styleId="xl113">
    <w:name w:val="xl113"/>
    <w:basedOn w:val="Normal"/>
    <w:rsid w:val="0011303D"/>
    <w:pPr>
      <w:pBdr>
        <w:top w:val="single" w:sz="12" w:space="0" w:color="auto"/>
        <w:bottom w:val="single" w:sz="12" w:space="0" w:color="auto"/>
        <w:right w:val="single" w:sz="12" w:space="0" w:color="auto"/>
      </w:pBdr>
      <w:spacing w:before="100" w:after="100"/>
      <w:jc w:val="center"/>
    </w:pPr>
    <w:rPr>
      <w:rFonts w:ascii="Arial Unicode MS" w:eastAsia="Arial Unicode MS" w:hAnsi="Arial Unicode MS"/>
    </w:rPr>
  </w:style>
  <w:style w:type="paragraph" w:customStyle="1" w:styleId="xl114">
    <w:name w:val="xl114"/>
    <w:basedOn w:val="Normal"/>
    <w:rsid w:val="0011303D"/>
    <w:pPr>
      <w:pBdr>
        <w:top w:val="single" w:sz="12" w:space="0" w:color="auto"/>
        <w:left w:val="single" w:sz="12" w:space="0" w:color="auto"/>
        <w:bottom w:val="single" w:sz="4" w:space="0" w:color="auto"/>
      </w:pBdr>
      <w:spacing w:before="100" w:after="100"/>
    </w:pPr>
    <w:rPr>
      <w:rFonts w:ascii="Arial" w:eastAsia="Arial Unicode MS" w:hAnsi="Arial"/>
      <w:b/>
      <w:color w:val="000080"/>
      <w:sz w:val="16"/>
    </w:rPr>
  </w:style>
  <w:style w:type="paragraph" w:customStyle="1" w:styleId="xl115">
    <w:name w:val="xl115"/>
    <w:basedOn w:val="Normal"/>
    <w:rsid w:val="0011303D"/>
    <w:pPr>
      <w:pBdr>
        <w:top w:val="single" w:sz="12" w:space="0" w:color="auto"/>
        <w:bottom w:val="single" w:sz="4" w:space="0" w:color="auto"/>
      </w:pBdr>
      <w:spacing w:before="100" w:after="100"/>
    </w:pPr>
    <w:rPr>
      <w:rFonts w:ascii="Arial Unicode MS" w:eastAsia="Arial Unicode MS" w:hAnsi="Arial Unicode MS"/>
    </w:rPr>
  </w:style>
  <w:style w:type="paragraph" w:customStyle="1" w:styleId="xl116">
    <w:name w:val="xl116"/>
    <w:basedOn w:val="Normal"/>
    <w:rsid w:val="0011303D"/>
    <w:pPr>
      <w:pBdr>
        <w:top w:val="single" w:sz="12" w:space="0" w:color="auto"/>
      </w:pBdr>
      <w:spacing w:before="100" w:after="100"/>
    </w:pPr>
    <w:rPr>
      <w:rFonts w:ascii="Arial Unicode MS" w:eastAsia="Arial Unicode MS" w:hAnsi="Arial Unicode MS"/>
    </w:rPr>
  </w:style>
  <w:style w:type="paragraph" w:customStyle="1" w:styleId="xl117">
    <w:name w:val="xl117"/>
    <w:basedOn w:val="Normal"/>
    <w:rsid w:val="0011303D"/>
    <w:pPr>
      <w:pBdr>
        <w:top w:val="single" w:sz="12" w:space="0" w:color="auto"/>
      </w:pBdr>
      <w:spacing w:before="100" w:after="100"/>
    </w:pPr>
    <w:rPr>
      <w:rFonts w:ascii="Arial Unicode MS" w:eastAsia="Arial Unicode MS" w:hAnsi="Arial Unicode MS"/>
    </w:rPr>
  </w:style>
  <w:style w:type="paragraph" w:customStyle="1" w:styleId="xl118">
    <w:name w:val="xl118"/>
    <w:basedOn w:val="Normal"/>
    <w:rsid w:val="0011303D"/>
    <w:pPr>
      <w:pBdr>
        <w:top w:val="single" w:sz="12" w:space="0" w:color="auto"/>
        <w:right w:val="single" w:sz="12" w:space="0" w:color="auto"/>
      </w:pBdr>
      <w:spacing w:before="100" w:after="100"/>
    </w:pPr>
    <w:rPr>
      <w:rFonts w:ascii="Arial Unicode MS" w:eastAsia="Arial Unicode MS" w:hAnsi="Arial Unicode MS"/>
    </w:rPr>
  </w:style>
  <w:style w:type="paragraph" w:customStyle="1" w:styleId="xl119">
    <w:name w:val="xl119"/>
    <w:basedOn w:val="Normal"/>
    <w:rsid w:val="0011303D"/>
    <w:pPr>
      <w:pBdr>
        <w:top w:val="single" w:sz="12" w:space="0" w:color="auto"/>
        <w:left w:val="single" w:sz="12" w:space="0" w:color="auto"/>
        <w:right w:val="single" w:sz="12" w:space="0" w:color="auto"/>
      </w:pBdr>
      <w:shd w:val="clear" w:color="auto" w:fill="FFFF00"/>
      <w:spacing w:before="100" w:after="100"/>
    </w:pPr>
    <w:rPr>
      <w:rFonts w:ascii="Arial" w:eastAsia="Arial Unicode MS" w:hAnsi="Arial"/>
      <w:b/>
    </w:rPr>
  </w:style>
  <w:style w:type="paragraph" w:customStyle="1" w:styleId="xl120">
    <w:name w:val="xl120"/>
    <w:basedOn w:val="Normal"/>
    <w:rsid w:val="0011303D"/>
    <w:pPr>
      <w:pBdr>
        <w:top w:val="single" w:sz="4"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000080"/>
    </w:rPr>
  </w:style>
  <w:style w:type="paragraph" w:customStyle="1" w:styleId="xl121">
    <w:name w:val="xl121"/>
    <w:basedOn w:val="Normal"/>
    <w:rsid w:val="0011303D"/>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olor w:val="000080"/>
    </w:rPr>
  </w:style>
  <w:style w:type="paragraph" w:customStyle="1" w:styleId="xl122">
    <w:name w:val="xl122"/>
    <w:basedOn w:val="Normal"/>
    <w:rsid w:val="0011303D"/>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olor w:val="000080"/>
    </w:rPr>
  </w:style>
  <w:style w:type="paragraph" w:customStyle="1" w:styleId="xl123">
    <w:name w:val="xl123"/>
    <w:basedOn w:val="Normal"/>
    <w:rsid w:val="0011303D"/>
    <w:pPr>
      <w:pBdr>
        <w:top w:val="single" w:sz="8"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000080"/>
    </w:rPr>
  </w:style>
  <w:style w:type="paragraph" w:customStyle="1" w:styleId="xl124">
    <w:name w:val="xl124"/>
    <w:basedOn w:val="Normal"/>
    <w:rsid w:val="0011303D"/>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olor w:val="000080"/>
    </w:rPr>
  </w:style>
  <w:style w:type="paragraph" w:customStyle="1" w:styleId="xl125">
    <w:name w:val="xl125"/>
    <w:basedOn w:val="Normal"/>
    <w:rsid w:val="0011303D"/>
    <w:pPr>
      <w:pBdr>
        <w:top w:val="single" w:sz="4"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008000"/>
    </w:rPr>
  </w:style>
  <w:style w:type="paragraph" w:customStyle="1" w:styleId="xl126">
    <w:name w:val="xl126"/>
    <w:basedOn w:val="Normal"/>
    <w:rsid w:val="0011303D"/>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olor w:val="008000"/>
    </w:rPr>
  </w:style>
  <w:style w:type="paragraph" w:customStyle="1" w:styleId="xl127">
    <w:name w:val="xl127"/>
    <w:basedOn w:val="Normal"/>
    <w:rsid w:val="0011303D"/>
    <w:pPr>
      <w:pBdr>
        <w:top w:val="single" w:sz="4" w:space="0" w:color="auto"/>
        <w:left w:val="single" w:sz="12" w:space="0" w:color="auto"/>
        <w:bottom w:val="single" w:sz="8" w:space="0" w:color="auto"/>
        <w:right w:val="single" w:sz="12" w:space="0" w:color="auto"/>
      </w:pBdr>
      <w:shd w:val="clear" w:color="auto" w:fill="FFFF00"/>
      <w:spacing w:before="100" w:after="100"/>
    </w:pPr>
    <w:rPr>
      <w:rFonts w:ascii="Arial" w:eastAsia="Arial Unicode MS" w:hAnsi="Arial"/>
      <w:color w:val="008000"/>
    </w:rPr>
  </w:style>
  <w:style w:type="paragraph" w:customStyle="1" w:styleId="xl128">
    <w:name w:val="xl128"/>
    <w:basedOn w:val="Normal"/>
    <w:rsid w:val="0011303D"/>
    <w:pPr>
      <w:pBdr>
        <w:top w:val="single" w:sz="8" w:space="0" w:color="auto"/>
        <w:left w:val="single" w:sz="8" w:space="0" w:color="auto"/>
        <w:bottom w:val="single" w:sz="4" w:space="0" w:color="auto"/>
        <w:right w:val="single" w:sz="12" w:space="0" w:color="auto"/>
      </w:pBdr>
      <w:shd w:val="clear" w:color="auto" w:fill="FFFF00"/>
      <w:spacing w:before="100" w:after="100"/>
    </w:pPr>
    <w:rPr>
      <w:rFonts w:ascii="Arial" w:eastAsia="Arial Unicode MS" w:hAnsi="Arial"/>
      <w:color w:val="008000"/>
    </w:rPr>
  </w:style>
  <w:style w:type="paragraph" w:customStyle="1" w:styleId="xl129">
    <w:name w:val="xl129"/>
    <w:basedOn w:val="Normal"/>
    <w:rsid w:val="0011303D"/>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olor w:val="008000"/>
    </w:rPr>
  </w:style>
  <w:style w:type="paragraph" w:customStyle="1" w:styleId="xl130">
    <w:name w:val="xl130"/>
    <w:basedOn w:val="Normal"/>
    <w:rsid w:val="0011303D"/>
    <w:pPr>
      <w:pBdr>
        <w:top w:val="single" w:sz="4"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800080"/>
    </w:rPr>
  </w:style>
  <w:style w:type="paragraph" w:customStyle="1" w:styleId="xl131">
    <w:name w:val="xl131"/>
    <w:basedOn w:val="Normal"/>
    <w:rsid w:val="0011303D"/>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olor w:val="800080"/>
    </w:rPr>
  </w:style>
  <w:style w:type="paragraph" w:customStyle="1" w:styleId="xl132">
    <w:name w:val="xl132"/>
    <w:basedOn w:val="Normal"/>
    <w:rsid w:val="0011303D"/>
    <w:pPr>
      <w:pBdr>
        <w:top w:val="single" w:sz="4" w:space="0" w:color="auto"/>
        <w:left w:val="single" w:sz="12" w:space="0" w:color="auto"/>
        <w:bottom w:val="single" w:sz="8" w:space="0" w:color="auto"/>
        <w:right w:val="single" w:sz="12" w:space="0" w:color="auto"/>
      </w:pBdr>
      <w:shd w:val="clear" w:color="auto" w:fill="FFFF00"/>
      <w:spacing w:before="100" w:after="100"/>
    </w:pPr>
    <w:rPr>
      <w:rFonts w:ascii="Arial" w:eastAsia="Arial Unicode MS" w:hAnsi="Arial"/>
      <w:color w:val="800080"/>
    </w:rPr>
  </w:style>
  <w:style w:type="paragraph" w:customStyle="1" w:styleId="xl133">
    <w:name w:val="xl133"/>
    <w:basedOn w:val="Normal"/>
    <w:rsid w:val="0011303D"/>
    <w:pPr>
      <w:pBdr>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800080"/>
    </w:rPr>
  </w:style>
  <w:style w:type="paragraph" w:customStyle="1" w:styleId="xl134">
    <w:name w:val="xl134"/>
    <w:basedOn w:val="Normal"/>
    <w:rsid w:val="0011303D"/>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olor w:val="800080"/>
    </w:rPr>
  </w:style>
  <w:style w:type="paragraph" w:customStyle="1" w:styleId="xl135">
    <w:name w:val="xl135"/>
    <w:basedOn w:val="Normal"/>
    <w:rsid w:val="0011303D"/>
    <w:pPr>
      <w:pBdr>
        <w:top w:val="single" w:sz="12" w:space="0" w:color="auto"/>
        <w:left w:val="single" w:sz="12" w:space="0" w:color="auto"/>
      </w:pBdr>
      <w:shd w:val="clear" w:color="auto" w:fill="FFFF00"/>
      <w:spacing w:before="100" w:after="100"/>
      <w:jc w:val="center"/>
    </w:pPr>
    <w:rPr>
      <w:rFonts w:ascii="Arial" w:eastAsia="Arial Unicode MS" w:hAnsi="Arial"/>
      <w:b/>
    </w:rPr>
  </w:style>
  <w:style w:type="paragraph" w:customStyle="1" w:styleId="xl136">
    <w:name w:val="xl136"/>
    <w:basedOn w:val="Normal"/>
    <w:rsid w:val="0011303D"/>
    <w:pPr>
      <w:pBdr>
        <w:top w:val="single" w:sz="12" w:space="0" w:color="auto"/>
        <w:right w:val="single" w:sz="12" w:space="0" w:color="auto"/>
      </w:pBdr>
      <w:shd w:val="clear" w:color="auto" w:fill="FFFF00"/>
      <w:spacing w:before="100" w:after="100"/>
      <w:jc w:val="center"/>
    </w:pPr>
    <w:rPr>
      <w:rFonts w:ascii="Arial" w:eastAsia="Arial Unicode MS" w:hAnsi="Arial"/>
      <w:b/>
    </w:rPr>
  </w:style>
  <w:style w:type="paragraph" w:customStyle="1" w:styleId="xl137">
    <w:name w:val="xl137"/>
    <w:basedOn w:val="Normal"/>
    <w:rsid w:val="0011303D"/>
    <w:pPr>
      <w:pBdr>
        <w:top w:val="single" w:sz="12" w:space="0" w:color="auto"/>
      </w:pBdr>
      <w:spacing w:before="100" w:after="100"/>
      <w:jc w:val="center"/>
    </w:pPr>
    <w:rPr>
      <w:rFonts w:ascii="Arial" w:eastAsia="Arial Unicode MS" w:hAnsi="Arial"/>
    </w:rPr>
  </w:style>
  <w:style w:type="paragraph" w:customStyle="1" w:styleId="xl138">
    <w:name w:val="xl138"/>
    <w:basedOn w:val="Normal"/>
    <w:rsid w:val="0011303D"/>
    <w:pPr>
      <w:pBdr>
        <w:top w:val="single" w:sz="12" w:space="0" w:color="auto"/>
        <w:right w:val="single" w:sz="12" w:space="0" w:color="auto"/>
      </w:pBdr>
      <w:spacing w:before="100" w:after="100"/>
      <w:jc w:val="center"/>
    </w:pPr>
    <w:rPr>
      <w:rFonts w:ascii="Arial" w:eastAsia="Arial Unicode MS" w:hAnsi="Arial"/>
    </w:rPr>
  </w:style>
  <w:style w:type="paragraph" w:customStyle="1" w:styleId="xl139">
    <w:name w:val="xl139"/>
    <w:basedOn w:val="Normal"/>
    <w:rsid w:val="0011303D"/>
    <w:pPr>
      <w:pBdr>
        <w:top w:val="single" w:sz="12" w:space="0" w:color="auto"/>
        <w:left w:val="single" w:sz="12" w:space="0" w:color="auto"/>
        <w:bottom w:val="single" w:sz="12" w:space="0" w:color="auto"/>
        <w:right w:val="single" w:sz="4" w:space="0" w:color="auto"/>
      </w:pBdr>
      <w:shd w:val="clear" w:color="auto" w:fill="FFFF00"/>
      <w:spacing w:before="100" w:after="100"/>
      <w:jc w:val="center"/>
    </w:pPr>
    <w:rPr>
      <w:rFonts w:ascii="Arial" w:eastAsia="Arial Unicode MS" w:hAnsi="Arial"/>
      <w:b/>
    </w:rPr>
  </w:style>
  <w:style w:type="paragraph" w:customStyle="1" w:styleId="xl140">
    <w:name w:val="xl140"/>
    <w:basedOn w:val="Normal"/>
    <w:rsid w:val="0011303D"/>
    <w:pPr>
      <w:pBdr>
        <w:top w:val="single" w:sz="12" w:space="0" w:color="auto"/>
        <w:left w:val="single" w:sz="4" w:space="0" w:color="auto"/>
        <w:bottom w:val="single" w:sz="12" w:space="0" w:color="auto"/>
        <w:right w:val="single" w:sz="12" w:space="0" w:color="auto"/>
      </w:pBdr>
      <w:shd w:val="clear" w:color="auto" w:fill="FFFF00"/>
      <w:spacing w:before="100" w:after="100"/>
      <w:jc w:val="center"/>
    </w:pPr>
    <w:rPr>
      <w:rFonts w:ascii="Arial" w:eastAsia="Arial Unicode MS" w:hAnsi="Arial"/>
      <w:b/>
    </w:rPr>
  </w:style>
  <w:style w:type="paragraph" w:customStyle="1" w:styleId="xl141">
    <w:name w:val="xl141"/>
    <w:basedOn w:val="Normal"/>
    <w:rsid w:val="0011303D"/>
    <w:pPr>
      <w:pBdr>
        <w:top w:val="single" w:sz="12" w:space="0" w:color="auto"/>
        <w:left w:val="single" w:sz="12" w:space="0" w:color="auto"/>
        <w:bottom w:val="single" w:sz="12" w:space="0" w:color="auto"/>
      </w:pBdr>
      <w:shd w:val="clear" w:color="auto" w:fill="FFFF00"/>
      <w:spacing w:before="100" w:after="100"/>
      <w:jc w:val="center"/>
    </w:pPr>
    <w:rPr>
      <w:rFonts w:ascii="Arial" w:eastAsia="Arial Unicode MS" w:hAnsi="Arial"/>
      <w:b/>
    </w:rPr>
  </w:style>
  <w:style w:type="paragraph" w:customStyle="1" w:styleId="xl142">
    <w:name w:val="xl142"/>
    <w:basedOn w:val="Normal"/>
    <w:rsid w:val="0011303D"/>
    <w:pPr>
      <w:pBdr>
        <w:top w:val="single" w:sz="12" w:space="0" w:color="auto"/>
        <w:bottom w:val="single" w:sz="12" w:space="0" w:color="auto"/>
        <w:right w:val="single" w:sz="4" w:space="0" w:color="auto"/>
      </w:pBdr>
      <w:spacing w:before="100" w:after="100"/>
      <w:jc w:val="center"/>
    </w:pPr>
    <w:rPr>
      <w:rFonts w:ascii="Arial" w:eastAsia="Arial Unicode MS" w:hAnsi="Arial"/>
    </w:rPr>
  </w:style>
  <w:style w:type="paragraph" w:customStyle="1" w:styleId="xl143">
    <w:name w:val="xl143"/>
    <w:basedOn w:val="Normal"/>
    <w:rsid w:val="0011303D"/>
    <w:pPr>
      <w:pBdr>
        <w:top w:val="single" w:sz="12" w:space="0" w:color="auto"/>
        <w:left w:val="single" w:sz="4" w:space="0" w:color="auto"/>
        <w:bottom w:val="single" w:sz="12" w:space="0" w:color="auto"/>
      </w:pBdr>
      <w:shd w:val="clear" w:color="auto" w:fill="FFFF00"/>
      <w:spacing w:before="100" w:after="100"/>
      <w:jc w:val="center"/>
    </w:pPr>
    <w:rPr>
      <w:rFonts w:ascii="Arial" w:eastAsia="Arial Unicode MS" w:hAnsi="Arial"/>
      <w:b/>
    </w:rPr>
  </w:style>
  <w:style w:type="paragraph" w:customStyle="1" w:styleId="xl144">
    <w:name w:val="xl144"/>
    <w:basedOn w:val="Normal"/>
    <w:rsid w:val="0011303D"/>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olor w:val="FF00FF"/>
      <w:sz w:val="22"/>
    </w:rPr>
  </w:style>
  <w:style w:type="paragraph" w:customStyle="1" w:styleId="xl145">
    <w:name w:val="xl145"/>
    <w:basedOn w:val="Normal"/>
    <w:rsid w:val="0011303D"/>
    <w:pPr>
      <w:pBdr>
        <w:top w:val="single" w:sz="4" w:space="0" w:color="auto"/>
        <w:left w:val="single" w:sz="12" w:space="0" w:color="auto"/>
        <w:bottom w:val="single" w:sz="8" w:space="0" w:color="auto"/>
        <w:right w:val="single" w:sz="12" w:space="0" w:color="auto"/>
      </w:pBdr>
      <w:shd w:val="clear" w:color="auto" w:fill="FFFF00"/>
      <w:spacing w:before="100" w:after="100"/>
    </w:pPr>
    <w:rPr>
      <w:rFonts w:ascii="Arial" w:eastAsia="Arial Unicode MS" w:hAnsi="Arial"/>
      <w:color w:val="800080"/>
      <w:sz w:val="22"/>
    </w:rPr>
  </w:style>
  <w:style w:type="paragraph" w:customStyle="1" w:styleId="xl146">
    <w:name w:val="xl146"/>
    <w:basedOn w:val="Normal"/>
    <w:rsid w:val="0011303D"/>
    <w:pPr>
      <w:pBdr>
        <w:top w:val="single" w:sz="8"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FF00FF"/>
      <w:sz w:val="22"/>
    </w:rPr>
  </w:style>
  <w:style w:type="paragraph" w:customStyle="1" w:styleId="xl147">
    <w:name w:val="xl147"/>
    <w:basedOn w:val="Normal"/>
    <w:rsid w:val="0011303D"/>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olor w:val="800080"/>
      <w:sz w:val="22"/>
    </w:rPr>
  </w:style>
  <w:style w:type="paragraph" w:customStyle="1" w:styleId="xl148">
    <w:name w:val="xl148"/>
    <w:basedOn w:val="Normal"/>
    <w:rsid w:val="0011303D"/>
    <w:pPr>
      <w:pBdr>
        <w:top w:val="single" w:sz="12" w:space="0" w:color="auto"/>
        <w:left w:val="single" w:sz="12" w:space="0" w:color="auto"/>
        <w:bottom w:val="single" w:sz="8" w:space="0" w:color="auto"/>
      </w:pBdr>
      <w:shd w:val="clear" w:color="auto" w:fill="FFFF00"/>
      <w:spacing w:before="100" w:after="100"/>
      <w:jc w:val="center"/>
    </w:pPr>
    <w:rPr>
      <w:rFonts w:ascii="Arial" w:eastAsia="Arial Unicode MS" w:hAnsi="Arial"/>
      <w:b/>
      <w:sz w:val="22"/>
    </w:rPr>
  </w:style>
  <w:style w:type="paragraph" w:customStyle="1" w:styleId="xl149">
    <w:name w:val="xl149"/>
    <w:basedOn w:val="Normal"/>
    <w:rsid w:val="0011303D"/>
    <w:pPr>
      <w:pBdr>
        <w:top w:val="single" w:sz="12" w:space="0" w:color="auto"/>
        <w:bottom w:val="single" w:sz="8" w:space="0" w:color="auto"/>
        <w:right w:val="single" w:sz="12" w:space="0" w:color="auto"/>
      </w:pBdr>
      <w:shd w:val="clear" w:color="auto" w:fill="FFFF00"/>
      <w:spacing w:before="100" w:after="100"/>
      <w:jc w:val="center"/>
    </w:pPr>
    <w:rPr>
      <w:rFonts w:ascii="Arial" w:eastAsia="Arial Unicode MS" w:hAnsi="Arial"/>
      <w:b/>
      <w:sz w:val="22"/>
    </w:rPr>
  </w:style>
  <w:style w:type="paragraph" w:customStyle="1" w:styleId="xl150">
    <w:name w:val="xl150"/>
    <w:basedOn w:val="Normal"/>
    <w:rsid w:val="0011303D"/>
    <w:pPr>
      <w:pBdr>
        <w:top w:val="single" w:sz="12" w:space="0" w:color="auto"/>
        <w:bottom w:val="single" w:sz="8" w:space="0" w:color="auto"/>
      </w:pBdr>
      <w:spacing w:before="100" w:after="100"/>
      <w:jc w:val="center"/>
    </w:pPr>
    <w:rPr>
      <w:rFonts w:ascii="Arial" w:eastAsia="Arial Unicode MS" w:hAnsi="Arial"/>
      <w:sz w:val="22"/>
    </w:rPr>
  </w:style>
  <w:style w:type="paragraph" w:customStyle="1" w:styleId="xl151">
    <w:name w:val="xl151"/>
    <w:basedOn w:val="Normal"/>
    <w:rsid w:val="0011303D"/>
    <w:pPr>
      <w:pBdr>
        <w:top w:val="single" w:sz="12" w:space="0" w:color="auto"/>
        <w:bottom w:val="single" w:sz="8" w:space="0" w:color="auto"/>
        <w:right w:val="single" w:sz="12" w:space="0" w:color="auto"/>
      </w:pBdr>
      <w:spacing w:before="100" w:after="100"/>
      <w:jc w:val="center"/>
    </w:pPr>
    <w:rPr>
      <w:rFonts w:ascii="Arial" w:eastAsia="Arial Unicode MS" w:hAnsi="Arial"/>
      <w:sz w:val="22"/>
    </w:rPr>
  </w:style>
  <w:style w:type="paragraph" w:customStyle="1" w:styleId="xl152">
    <w:name w:val="xl152"/>
    <w:basedOn w:val="Normal"/>
    <w:rsid w:val="0011303D"/>
    <w:pPr>
      <w:pBdr>
        <w:top w:val="single" w:sz="12" w:space="0" w:color="auto"/>
        <w:bottom w:val="single" w:sz="8" w:space="0" w:color="auto"/>
      </w:pBdr>
      <w:spacing w:before="100" w:after="100"/>
    </w:pPr>
    <w:rPr>
      <w:rFonts w:ascii="Arial" w:eastAsia="Arial Unicode MS" w:hAnsi="Arial"/>
      <w:sz w:val="22"/>
    </w:rPr>
  </w:style>
  <w:style w:type="paragraph" w:customStyle="1" w:styleId="xl153">
    <w:name w:val="xl153"/>
    <w:basedOn w:val="Normal"/>
    <w:rsid w:val="0011303D"/>
    <w:pPr>
      <w:pBdr>
        <w:top w:val="single" w:sz="12" w:space="0" w:color="auto"/>
        <w:bottom w:val="single" w:sz="8" w:space="0" w:color="auto"/>
        <w:right w:val="single" w:sz="12" w:space="0" w:color="auto"/>
      </w:pBdr>
      <w:spacing w:before="100" w:after="100"/>
    </w:pPr>
    <w:rPr>
      <w:rFonts w:ascii="Arial" w:eastAsia="Arial Unicode MS" w:hAnsi="Arial"/>
      <w:sz w:val="22"/>
    </w:rPr>
  </w:style>
  <w:style w:type="paragraph" w:customStyle="1" w:styleId="xl154">
    <w:name w:val="xl154"/>
    <w:basedOn w:val="Normal"/>
    <w:rsid w:val="0011303D"/>
    <w:pPr>
      <w:pBdr>
        <w:top w:val="single" w:sz="8" w:space="0" w:color="auto"/>
        <w:left w:val="single" w:sz="12" w:space="0" w:color="auto"/>
        <w:bottom w:val="single" w:sz="12" w:space="0" w:color="auto"/>
        <w:right w:val="single" w:sz="4" w:space="0" w:color="auto"/>
      </w:pBdr>
      <w:shd w:val="clear" w:color="auto" w:fill="FFFF00"/>
      <w:spacing w:before="100" w:after="100"/>
      <w:jc w:val="center"/>
    </w:pPr>
    <w:rPr>
      <w:rFonts w:ascii="Arial" w:eastAsia="Arial Unicode MS" w:hAnsi="Arial"/>
      <w:b/>
      <w:sz w:val="22"/>
    </w:rPr>
  </w:style>
  <w:style w:type="paragraph" w:customStyle="1" w:styleId="xl155">
    <w:name w:val="xl155"/>
    <w:basedOn w:val="Normal"/>
    <w:rsid w:val="0011303D"/>
    <w:pPr>
      <w:pBdr>
        <w:top w:val="single" w:sz="8" w:space="0" w:color="auto"/>
        <w:left w:val="single" w:sz="4" w:space="0" w:color="auto"/>
        <w:bottom w:val="single" w:sz="12" w:space="0" w:color="auto"/>
        <w:right w:val="single" w:sz="12" w:space="0" w:color="auto"/>
      </w:pBdr>
      <w:shd w:val="clear" w:color="auto" w:fill="FFFF00"/>
      <w:spacing w:before="100" w:after="100"/>
      <w:jc w:val="center"/>
    </w:pPr>
    <w:rPr>
      <w:rFonts w:ascii="Arial" w:eastAsia="Arial Unicode MS" w:hAnsi="Arial"/>
      <w:b/>
      <w:sz w:val="22"/>
    </w:rPr>
  </w:style>
  <w:style w:type="paragraph" w:customStyle="1" w:styleId="xl156">
    <w:name w:val="xl156"/>
    <w:basedOn w:val="Normal"/>
    <w:rsid w:val="0011303D"/>
    <w:pPr>
      <w:pBdr>
        <w:top w:val="single" w:sz="8" w:space="0" w:color="auto"/>
        <w:left w:val="single" w:sz="12" w:space="0" w:color="auto"/>
        <w:bottom w:val="single" w:sz="12" w:space="0" w:color="auto"/>
      </w:pBdr>
      <w:shd w:val="clear" w:color="auto" w:fill="FFFF00"/>
      <w:spacing w:before="100" w:after="100"/>
      <w:jc w:val="center"/>
    </w:pPr>
    <w:rPr>
      <w:rFonts w:ascii="Arial" w:eastAsia="Arial Unicode MS" w:hAnsi="Arial"/>
      <w:b/>
      <w:sz w:val="22"/>
    </w:rPr>
  </w:style>
  <w:style w:type="paragraph" w:customStyle="1" w:styleId="xl157">
    <w:name w:val="xl157"/>
    <w:basedOn w:val="Normal"/>
    <w:rsid w:val="0011303D"/>
    <w:pPr>
      <w:pBdr>
        <w:top w:val="single" w:sz="8" w:space="0" w:color="auto"/>
        <w:bottom w:val="single" w:sz="12" w:space="0" w:color="auto"/>
        <w:right w:val="single" w:sz="4" w:space="0" w:color="auto"/>
      </w:pBdr>
      <w:spacing w:before="100" w:after="100"/>
      <w:jc w:val="center"/>
    </w:pPr>
    <w:rPr>
      <w:rFonts w:ascii="Arial" w:eastAsia="Arial Unicode MS" w:hAnsi="Arial"/>
      <w:sz w:val="22"/>
    </w:rPr>
  </w:style>
  <w:style w:type="paragraph" w:customStyle="1" w:styleId="xl158">
    <w:name w:val="xl158"/>
    <w:basedOn w:val="Normal"/>
    <w:rsid w:val="0011303D"/>
    <w:pPr>
      <w:pBdr>
        <w:top w:val="single" w:sz="8" w:space="0" w:color="auto"/>
        <w:left w:val="single" w:sz="4" w:space="0" w:color="auto"/>
        <w:bottom w:val="single" w:sz="12" w:space="0" w:color="auto"/>
      </w:pBdr>
      <w:shd w:val="clear" w:color="auto" w:fill="FFFF00"/>
      <w:spacing w:before="100" w:after="100"/>
      <w:jc w:val="center"/>
    </w:pPr>
    <w:rPr>
      <w:rFonts w:ascii="Arial" w:eastAsia="Arial Unicode MS" w:hAnsi="Arial"/>
      <w:b/>
      <w:sz w:val="22"/>
    </w:rPr>
  </w:style>
  <w:style w:type="paragraph" w:customStyle="1" w:styleId="xl159">
    <w:name w:val="xl159"/>
    <w:basedOn w:val="Normal"/>
    <w:rsid w:val="0011303D"/>
    <w:pPr>
      <w:pBdr>
        <w:top w:val="single" w:sz="8" w:space="0" w:color="auto"/>
        <w:bottom w:val="single" w:sz="12" w:space="0" w:color="auto"/>
        <w:right w:val="single" w:sz="12" w:space="0" w:color="auto"/>
      </w:pBdr>
      <w:spacing w:before="100" w:after="100"/>
      <w:jc w:val="center"/>
    </w:pPr>
    <w:rPr>
      <w:rFonts w:ascii="Arial" w:eastAsia="Arial Unicode MS" w:hAnsi="Arial"/>
      <w:sz w:val="22"/>
    </w:rPr>
  </w:style>
  <w:style w:type="character" w:customStyle="1" w:styleId="CharChar1">
    <w:name w:val="Char Char1"/>
    <w:basedOn w:val="DefaultParagraphFont"/>
    <w:rsid w:val="0011303D"/>
    <w:rPr>
      <w:rFonts w:eastAsia="Times"/>
      <w:bCs/>
      <w:i/>
      <w:sz w:val="24"/>
      <w:szCs w:val="28"/>
      <w:lang w:val="en-US" w:eastAsia="en-US" w:bidi="ar-SA"/>
    </w:rPr>
  </w:style>
  <w:style w:type="paragraph" w:customStyle="1" w:styleId="keyheaders">
    <w:name w:val="keyheaders"/>
    <w:basedOn w:val="Normal"/>
    <w:rsid w:val="0011303D"/>
    <w:pPr>
      <w:spacing w:before="100" w:beforeAutospacing="1" w:after="100" w:afterAutospacing="1"/>
    </w:pPr>
  </w:style>
  <w:style w:type="character" w:customStyle="1" w:styleId="style11">
    <w:name w:val="style11"/>
    <w:basedOn w:val="DefaultParagraphFont"/>
    <w:rsid w:val="0011303D"/>
    <w:rPr>
      <w:rFonts w:ascii="Arial Narrow" w:hAnsi="Arial Narrow" w:hint="default"/>
    </w:rPr>
  </w:style>
  <w:style w:type="paragraph" w:customStyle="1" w:styleId="homepagetext">
    <w:name w:val="homepagetext"/>
    <w:basedOn w:val="Normal"/>
    <w:rsid w:val="0011303D"/>
    <w:pPr>
      <w:spacing w:before="100" w:beforeAutospacing="1" w:after="100" w:afterAutospacing="1"/>
    </w:pPr>
    <w:rPr>
      <w:rFonts w:ascii="Arial" w:hAnsi="Arial" w:cs="Arial"/>
      <w:color w:val="CCCCCC"/>
      <w:sz w:val="18"/>
      <w:szCs w:val="18"/>
    </w:rPr>
  </w:style>
  <w:style w:type="paragraph" w:customStyle="1" w:styleId="CM8">
    <w:name w:val="CM8"/>
    <w:basedOn w:val="Default"/>
    <w:next w:val="Default"/>
    <w:rsid w:val="0011303D"/>
    <w:pPr>
      <w:spacing w:line="228" w:lineRule="atLeast"/>
    </w:pPr>
    <w:rPr>
      <w:rFonts w:ascii="Arial" w:hAnsi="Arial"/>
      <w:color w:val="auto"/>
    </w:rPr>
  </w:style>
  <w:style w:type="paragraph" w:customStyle="1" w:styleId="CM4">
    <w:name w:val="CM4"/>
    <w:basedOn w:val="Default"/>
    <w:next w:val="Default"/>
    <w:rsid w:val="0011303D"/>
    <w:pPr>
      <w:spacing w:line="228" w:lineRule="atLeast"/>
    </w:pPr>
    <w:rPr>
      <w:rFonts w:ascii="Arial" w:hAnsi="Arial"/>
      <w:color w:val="auto"/>
    </w:rPr>
  </w:style>
  <w:style w:type="paragraph" w:customStyle="1" w:styleId="CM110">
    <w:name w:val="CM110"/>
    <w:basedOn w:val="Default"/>
    <w:next w:val="Default"/>
    <w:rsid w:val="0011303D"/>
    <w:pPr>
      <w:spacing w:line="228" w:lineRule="atLeast"/>
    </w:pPr>
    <w:rPr>
      <w:rFonts w:ascii="Arial" w:hAnsi="Arial"/>
      <w:color w:val="auto"/>
    </w:rPr>
  </w:style>
  <w:style w:type="paragraph" w:customStyle="1" w:styleId="CM74">
    <w:name w:val="CM74"/>
    <w:basedOn w:val="Default"/>
    <w:next w:val="Default"/>
    <w:rsid w:val="0011303D"/>
    <w:pPr>
      <w:spacing w:line="228" w:lineRule="atLeast"/>
    </w:pPr>
    <w:rPr>
      <w:rFonts w:ascii="Arial" w:hAnsi="Arial"/>
      <w:color w:val="auto"/>
    </w:rPr>
  </w:style>
  <w:style w:type="paragraph" w:customStyle="1" w:styleId="CM85">
    <w:name w:val="CM85"/>
    <w:basedOn w:val="Default"/>
    <w:next w:val="Default"/>
    <w:rsid w:val="0011303D"/>
    <w:pPr>
      <w:spacing w:line="228" w:lineRule="atLeast"/>
    </w:pPr>
    <w:rPr>
      <w:rFonts w:ascii="Arial" w:hAnsi="Arial"/>
      <w:color w:val="auto"/>
    </w:rPr>
  </w:style>
  <w:style w:type="paragraph" w:customStyle="1" w:styleId="CM105">
    <w:name w:val="CM105"/>
    <w:basedOn w:val="Default"/>
    <w:next w:val="Default"/>
    <w:rsid w:val="0011303D"/>
    <w:pPr>
      <w:spacing w:line="228" w:lineRule="atLeast"/>
    </w:pPr>
    <w:rPr>
      <w:rFonts w:ascii="Arial" w:hAnsi="Arial"/>
      <w:color w:val="auto"/>
    </w:rPr>
  </w:style>
  <w:style w:type="paragraph" w:styleId="z-TopofForm">
    <w:name w:val="HTML Top of Form"/>
    <w:basedOn w:val="Normal"/>
    <w:next w:val="Normal"/>
    <w:link w:val="z-TopofFormChar"/>
    <w:hidden/>
    <w:rsid w:val="0011303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locked/>
    <w:rsid w:val="008357AC"/>
    <w:rPr>
      <w:rFonts w:ascii="Arial" w:hAnsi="Arial" w:cs="Arial"/>
      <w:vanish/>
      <w:sz w:val="16"/>
      <w:szCs w:val="16"/>
    </w:rPr>
  </w:style>
  <w:style w:type="paragraph" w:styleId="z-BottomofForm">
    <w:name w:val="HTML Bottom of Form"/>
    <w:basedOn w:val="Normal"/>
    <w:next w:val="Normal"/>
    <w:link w:val="z-BottomofFormChar"/>
    <w:hidden/>
    <w:rsid w:val="0011303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locked/>
    <w:rsid w:val="008357AC"/>
    <w:rPr>
      <w:rFonts w:ascii="Arial" w:hAnsi="Arial" w:cs="Arial"/>
      <w:vanish/>
      <w:sz w:val="16"/>
      <w:szCs w:val="16"/>
    </w:rPr>
  </w:style>
  <w:style w:type="character" w:styleId="Emphasis">
    <w:name w:val="Emphasis"/>
    <w:basedOn w:val="DefaultParagraphFont"/>
    <w:uiPriority w:val="20"/>
    <w:qFormat/>
    <w:rsid w:val="0029309D"/>
    <w:rPr>
      <w:rFonts w:ascii="Times New Roman" w:hAnsi="Times New Roman"/>
      <w:b/>
      <w:iCs/>
      <w:sz w:val="24"/>
    </w:rPr>
  </w:style>
  <w:style w:type="paragraph" w:customStyle="1" w:styleId="xl22">
    <w:name w:val="xl22"/>
    <w:basedOn w:val="Normal"/>
    <w:rsid w:val="0011303D"/>
    <w:pPr>
      <w:pBdr>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ListBullet4">
    <w:name w:val="List Bullet 4"/>
    <w:basedOn w:val="Normal"/>
    <w:autoRedefine/>
    <w:rsid w:val="0011303D"/>
    <w:pPr>
      <w:tabs>
        <w:tab w:val="num" w:pos="1440"/>
      </w:tabs>
      <w:ind w:left="1440" w:hanging="360"/>
    </w:pPr>
  </w:style>
  <w:style w:type="paragraph" w:styleId="HTMLPreformatted">
    <w:name w:val="HTML Preformatted"/>
    <w:basedOn w:val="Normal"/>
    <w:link w:val="HTMLPreformattedChar"/>
    <w:uiPriority w:val="99"/>
    <w:rsid w:val="00113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character" w:customStyle="1" w:styleId="HTMLPreformattedChar">
    <w:name w:val="HTML Preformatted Char"/>
    <w:basedOn w:val="DefaultParagraphFont"/>
    <w:link w:val="HTMLPreformatted"/>
    <w:uiPriority w:val="99"/>
    <w:locked/>
    <w:rsid w:val="008357AC"/>
    <w:rPr>
      <w:rFonts w:ascii="Courier New" w:eastAsia="Courier New" w:hAnsi="Courier New" w:cs="Courier New"/>
      <w:color w:val="000000"/>
    </w:rPr>
  </w:style>
  <w:style w:type="paragraph" w:styleId="List2">
    <w:name w:val="List 2"/>
    <w:basedOn w:val="Normal"/>
    <w:rsid w:val="0011303D"/>
    <w:pPr>
      <w:ind w:left="720" w:hanging="360"/>
    </w:pPr>
  </w:style>
  <w:style w:type="paragraph" w:customStyle="1" w:styleId="Style">
    <w:name w:val="Style"/>
    <w:basedOn w:val="FootnoteText"/>
    <w:rsid w:val="0011303D"/>
    <w:pPr>
      <w:keepLines/>
      <w:spacing w:after="240"/>
    </w:pPr>
    <w:rPr>
      <w:sz w:val="24"/>
    </w:rPr>
  </w:style>
  <w:style w:type="paragraph" w:customStyle="1" w:styleId="Style1">
    <w:name w:val="Style1"/>
    <w:basedOn w:val="Title"/>
    <w:rsid w:val="0011303D"/>
    <w:pPr>
      <w:widowControl/>
      <w:autoSpaceDE/>
      <w:autoSpaceDN/>
      <w:adjustRightInd/>
      <w:spacing w:before="240" w:after="60"/>
      <w:jc w:val="left"/>
      <w:outlineLvl w:val="0"/>
    </w:pPr>
    <w:rPr>
      <w:rFonts w:cs="Arial"/>
      <w:kern w:val="28"/>
      <w:sz w:val="28"/>
      <w:szCs w:val="32"/>
    </w:rPr>
  </w:style>
  <w:style w:type="character" w:customStyle="1" w:styleId="MTEquationSection">
    <w:name w:val="MTEquationSection"/>
    <w:basedOn w:val="DefaultParagraphFont"/>
    <w:rsid w:val="0011303D"/>
    <w:rPr>
      <w:vanish/>
      <w:color w:val="FF0000"/>
      <w:sz w:val="28"/>
      <w:szCs w:val="28"/>
    </w:rPr>
  </w:style>
  <w:style w:type="paragraph" w:styleId="Index2">
    <w:name w:val="index 2"/>
    <w:basedOn w:val="Normal"/>
    <w:next w:val="Normal"/>
    <w:autoRedefine/>
    <w:uiPriority w:val="99"/>
    <w:rsid w:val="0011303D"/>
    <w:pPr>
      <w:ind w:left="480" w:hanging="240"/>
    </w:pPr>
    <w:rPr>
      <w:sz w:val="18"/>
      <w:szCs w:val="18"/>
    </w:rPr>
  </w:style>
  <w:style w:type="paragraph" w:styleId="Index3">
    <w:name w:val="index 3"/>
    <w:basedOn w:val="Normal"/>
    <w:next w:val="Normal"/>
    <w:autoRedefine/>
    <w:rsid w:val="0011303D"/>
    <w:pPr>
      <w:ind w:left="720" w:hanging="240"/>
    </w:pPr>
    <w:rPr>
      <w:sz w:val="18"/>
      <w:szCs w:val="18"/>
    </w:rPr>
  </w:style>
  <w:style w:type="paragraph" w:styleId="Index4">
    <w:name w:val="index 4"/>
    <w:basedOn w:val="Normal"/>
    <w:next w:val="Normal"/>
    <w:autoRedefine/>
    <w:rsid w:val="0011303D"/>
    <w:pPr>
      <w:ind w:left="960" w:hanging="240"/>
    </w:pPr>
    <w:rPr>
      <w:sz w:val="18"/>
      <w:szCs w:val="18"/>
    </w:rPr>
  </w:style>
  <w:style w:type="paragraph" w:styleId="Index5">
    <w:name w:val="index 5"/>
    <w:basedOn w:val="Normal"/>
    <w:next w:val="Normal"/>
    <w:autoRedefine/>
    <w:rsid w:val="0011303D"/>
    <w:pPr>
      <w:ind w:left="1200" w:hanging="240"/>
    </w:pPr>
    <w:rPr>
      <w:sz w:val="18"/>
      <w:szCs w:val="18"/>
    </w:rPr>
  </w:style>
  <w:style w:type="paragraph" w:styleId="Index6">
    <w:name w:val="index 6"/>
    <w:basedOn w:val="Normal"/>
    <w:next w:val="Normal"/>
    <w:autoRedefine/>
    <w:rsid w:val="0011303D"/>
    <w:pPr>
      <w:ind w:left="1440" w:hanging="240"/>
    </w:pPr>
    <w:rPr>
      <w:sz w:val="18"/>
      <w:szCs w:val="18"/>
    </w:rPr>
  </w:style>
  <w:style w:type="paragraph" w:styleId="Index7">
    <w:name w:val="index 7"/>
    <w:basedOn w:val="Normal"/>
    <w:next w:val="Normal"/>
    <w:autoRedefine/>
    <w:rsid w:val="0011303D"/>
    <w:pPr>
      <w:ind w:left="1680" w:hanging="240"/>
    </w:pPr>
    <w:rPr>
      <w:sz w:val="18"/>
      <w:szCs w:val="18"/>
    </w:rPr>
  </w:style>
  <w:style w:type="paragraph" w:styleId="Index8">
    <w:name w:val="index 8"/>
    <w:basedOn w:val="Normal"/>
    <w:next w:val="Normal"/>
    <w:autoRedefine/>
    <w:rsid w:val="0011303D"/>
    <w:pPr>
      <w:ind w:left="1920" w:hanging="240"/>
    </w:pPr>
    <w:rPr>
      <w:sz w:val="18"/>
      <w:szCs w:val="18"/>
    </w:rPr>
  </w:style>
  <w:style w:type="paragraph" w:styleId="Index9">
    <w:name w:val="index 9"/>
    <w:basedOn w:val="Normal"/>
    <w:next w:val="Normal"/>
    <w:autoRedefine/>
    <w:rsid w:val="0011303D"/>
    <w:pPr>
      <w:ind w:left="2160" w:hanging="240"/>
    </w:pPr>
    <w:rPr>
      <w:sz w:val="18"/>
      <w:szCs w:val="18"/>
    </w:rPr>
  </w:style>
  <w:style w:type="paragraph" w:styleId="IndexHeading">
    <w:name w:val="index heading"/>
    <w:basedOn w:val="Normal"/>
    <w:next w:val="Index1"/>
    <w:rsid w:val="0011303D"/>
    <w:pPr>
      <w:spacing w:before="240" w:after="120"/>
      <w:jc w:val="center"/>
    </w:pPr>
    <w:rPr>
      <w:b/>
      <w:bCs/>
      <w:sz w:val="26"/>
      <w:szCs w:val="26"/>
    </w:rPr>
  </w:style>
  <w:style w:type="character" w:customStyle="1" w:styleId="TabletitleChar2">
    <w:name w:val="Table title Char2"/>
    <w:basedOn w:val="DefaultParagraphFont"/>
    <w:rsid w:val="0011303D"/>
    <w:rPr>
      <w:bCs/>
      <w:sz w:val="24"/>
      <w:szCs w:val="24"/>
      <w:lang w:val="en-US" w:eastAsia="en-US" w:bidi="ar-SA"/>
    </w:rPr>
  </w:style>
  <w:style w:type="character" w:customStyle="1" w:styleId="Heading3Char">
    <w:name w:val="Heading 3 Char"/>
    <w:basedOn w:val="DefaultParagraphFont"/>
    <w:rsid w:val="0011303D"/>
    <w:rPr>
      <w:rFonts w:ascii="Arial" w:hAnsi="Arial" w:cs="Arial"/>
      <w:b/>
      <w:bCs/>
      <w:sz w:val="26"/>
      <w:szCs w:val="26"/>
      <w:lang w:val="en-US" w:eastAsia="en-US" w:bidi="ar-SA"/>
    </w:rPr>
  </w:style>
  <w:style w:type="paragraph" w:styleId="ListContinue2">
    <w:name w:val="List Continue 2"/>
    <w:basedOn w:val="Normal"/>
    <w:rsid w:val="0011303D"/>
    <w:pPr>
      <w:spacing w:after="120"/>
      <w:ind w:left="720"/>
    </w:pPr>
  </w:style>
  <w:style w:type="character" w:styleId="CommentReference">
    <w:name w:val="annotation reference"/>
    <w:basedOn w:val="DefaultParagraphFont"/>
    <w:uiPriority w:val="99"/>
    <w:rsid w:val="0011303D"/>
    <w:rPr>
      <w:sz w:val="16"/>
      <w:szCs w:val="16"/>
    </w:rPr>
  </w:style>
  <w:style w:type="paragraph" w:customStyle="1" w:styleId="Julie4">
    <w:name w:val="Julie 4"/>
    <w:basedOn w:val="Normal"/>
    <w:rsid w:val="0011303D"/>
  </w:style>
  <w:style w:type="paragraph" w:customStyle="1" w:styleId="PropNorm">
    <w:name w:val="PropNorm"/>
    <w:basedOn w:val="Default"/>
    <w:next w:val="Default"/>
    <w:rsid w:val="0011303D"/>
    <w:rPr>
      <w:rFonts w:ascii="COIHJI+TimesNewRoman" w:hAnsi="COIHJI+TimesNewRoman"/>
      <w:color w:val="auto"/>
    </w:rPr>
  </w:style>
  <w:style w:type="paragraph" w:customStyle="1" w:styleId="WPDefaults">
    <w:name w:val="WP Defaults"/>
    <w:basedOn w:val="Normal"/>
    <w:rsid w:val="0011303D"/>
    <w:rPr>
      <w:szCs w:val="20"/>
      <w:lang w:val="en-GB"/>
    </w:rPr>
  </w:style>
  <w:style w:type="character" w:customStyle="1" w:styleId="Heading4Char">
    <w:name w:val="Heading 4 Char"/>
    <w:aliases w:val="Heading 4 Char Char Char"/>
    <w:basedOn w:val="DefaultParagraphFont"/>
    <w:rsid w:val="0011303D"/>
    <w:rPr>
      <w:b/>
      <w:bCs/>
      <w:sz w:val="28"/>
      <w:szCs w:val="28"/>
    </w:rPr>
  </w:style>
  <w:style w:type="paragraph" w:customStyle="1" w:styleId="MyTOC1">
    <w:name w:val="My TOC1"/>
    <w:basedOn w:val="Normal"/>
    <w:next w:val="Normal"/>
    <w:autoRedefine/>
    <w:rsid w:val="0011303D"/>
    <w:pPr>
      <w:widowControl w:val="0"/>
      <w:autoSpaceDE w:val="0"/>
      <w:autoSpaceDN w:val="0"/>
      <w:adjustRightInd w:val="0"/>
    </w:pPr>
    <w:rPr>
      <w:b/>
      <w:caps/>
    </w:rPr>
  </w:style>
  <w:style w:type="paragraph" w:customStyle="1" w:styleId="MyTOC2">
    <w:name w:val="My TOC2"/>
    <w:basedOn w:val="Normal"/>
    <w:next w:val="Normal"/>
    <w:autoRedefine/>
    <w:rsid w:val="0011303D"/>
    <w:pPr>
      <w:widowControl w:val="0"/>
      <w:numPr>
        <w:ilvl w:val="12"/>
      </w:numPr>
      <w:autoSpaceDE w:val="0"/>
      <w:autoSpaceDN w:val="0"/>
      <w:adjustRightInd w:val="0"/>
      <w:ind w:left="360"/>
    </w:pPr>
    <w:rPr>
      <w:b/>
      <w:bCs/>
    </w:rPr>
  </w:style>
  <w:style w:type="paragraph" w:customStyle="1" w:styleId="MyTOC3">
    <w:name w:val="My TOC3"/>
    <w:basedOn w:val="Normal"/>
    <w:next w:val="Normal"/>
    <w:autoRedefine/>
    <w:rsid w:val="0011303D"/>
    <w:pPr>
      <w:widowControl w:val="0"/>
      <w:autoSpaceDE w:val="0"/>
      <w:autoSpaceDN w:val="0"/>
      <w:adjustRightInd w:val="0"/>
    </w:pPr>
    <w:rPr>
      <w:b/>
      <w:bCs/>
      <w:szCs w:val="20"/>
    </w:rPr>
  </w:style>
  <w:style w:type="character" w:customStyle="1" w:styleId="FooterChar">
    <w:name w:val="Footer Char"/>
    <w:basedOn w:val="DefaultParagraphFont"/>
    <w:uiPriority w:val="99"/>
    <w:rsid w:val="0011303D"/>
    <w:rPr>
      <w:sz w:val="24"/>
      <w:szCs w:val="24"/>
    </w:rPr>
  </w:style>
  <w:style w:type="paragraph" w:customStyle="1" w:styleId="Outline3">
    <w:name w:val="Outline 3"/>
    <w:basedOn w:val="Normal"/>
    <w:rsid w:val="0011303D"/>
    <w:pPr>
      <w:ind w:left="2160"/>
    </w:pPr>
    <w:rPr>
      <w:sz w:val="20"/>
      <w:szCs w:val="20"/>
      <w:lang w:val="en-GB"/>
    </w:rPr>
  </w:style>
  <w:style w:type="paragraph" w:customStyle="1" w:styleId="Document3">
    <w:name w:val="Document[3]"/>
    <w:rsid w:val="0011303D"/>
    <w:rPr>
      <w:rFonts w:ascii="Courier" w:hAnsi="Courier"/>
      <w:b/>
    </w:rPr>
  </w:style>
  <w:style w:type="character" w:customStyle="1" w:styleId="CharChar27">
    <w:name w:val="Char Char27"/>
    <w:basedOn w:val="DefaultParagraphFont"/>
    <w:locked/>
    <w:rsid w:val="003C7BD3"/>
    <w:rPr>
      <w:rFonts w:ascii="Arial" w:hAnsi="Arial" w:cs="Arial"/>
      <w:b/>
      <w:bCs/>
      <w:kern w:val="32"/>
      <w:sz w:val="32"/>
      <w:szCs w:val="32"/>
    </w:rPr>
  </w:style>
  <w:style w:type="character" w:customStyle="1" w:styleId="CharChar26">
    <w:name w:val="Char Char26"/>
    <w:basedOn w:val="DefaultParagraphFont"/>
    <w:locked/>
    <w:rsid w:val="003C7BD3"/>
    <w:rPr>
      <w:rFonts w:ascii="Arial" w:hAnsi="Arial" w:cs="Arial"/>
      <w:b/>
      <w:bCs/>
      <w:i/>
      <w:iCs/>
      <w:sz w:val="28"/>
      <w:szCs w:val="28"/>
    </w:rPr>
  </w:style>
  <w:style w:type="character" w:customStyle="1" w:styleId="CharChar25">
    <w:name w:val="Char Char25"/>
    <w:basedOn w:val="DefaultParagraphFont"/>
    <w:locked/>
    <w:rsid w:val="003C7BD3"/>
    <w:rPr>
      <w:rFonts w:ascii="Arial" w:hAnsi="Arial" w:cs="Arial"/>
      <w:b/>
      <w:bCs/>
      <w:sz w:val="26"/>
      <w:szCs w:val="26"/>
    </w:rPr>
  </w:style>
  <w:style w:type="character" w:customStyle="1" w:styleId="Heading4CharCharCharChar1">
    <w:name w:val="Heading 4 Char Char Char Char1"/>
    <w:basedOn w:val="DefaultParagraphFont"/>
    <w:locked/>
    <w:rsid w:val="00C62A30"/>
    <w:rPr>
      <w:rFonts w:ascii="Arial" w:hAnsi="Arial" w:cs="Times New Roman"/>
      <w:b/>
      <w:bCs/>
      <w:sz w:val="24"/>
      <w:szCs w:val="28"/>
    </w:rPr>
  </w:style>
  <w:style w:type="character" w:customStyle="1" w:styleId="CharChar24">
    <w:name w:val="Char Char24"/>
    <w:basedOn w:val="DefaultParagraphFont"/>
    <w:locked/>
    <w:rsid w:val="003C7BD3"/>
    <w:rPr>
      <w:rFonts w:cs="Times New Roman"/>
      <w:b/>
      <w:bCs/>
      <w:i/>
      <w:iCs/>
      <w:sz w:val="26"/>
      <w:szCs w:val="26"/>
    </w:rPr>
  </w:style>
  <w:style w:type="character" w:customStyle="1" w:styleId="CharChar23">
    <w:name w:val="Char Char23"/>
    <w:basedOn w:val="DefaultParagraphFont"/>
    <w:locked/>
    <w:rsid w:val="003C7BD3"/>
    <w:rPr>
      <w:rFonts w:cs="Times New Roman"/>
      <w:b/>
      <w:bCs/>
      <w:sz w:val="22"/>
      <w:szCs w:val="22"/>
    </w:rPr>
  </w:style>
  <w:style w:type="character" w:customStyle="1" w:styleId="CharChar22">
    <w:name w:val="Char Char22"/>
    <w:basedOn w:val="DefaultParagraphFont"/>
    <w:locked/>
    <w:rsid w:val="003C7BD3"/>
    <w:rPr>
      <w:rFonts w:cs="Times New Roman"/>
      <w:sz w:val="24"/>
      <w:szCs w:val="24"/>
    </w:rPr>
  </w:style>
  <w:style w:type="character" w:customStyle="1" w:styleId="CharChar21">
    <w:name w:val="Char Char21"/>
    <w:basedOn w:val="DefaultParagraphFont"/>
    <w:locked/>
    <w:rsid w:val="003C7BD3"/>
    <w:rPr>
      <w:rFonts w:cs="Times New Roman"/>
      <w:i/>
      <w:iCs/>
      <w:sz w:val="24"/>
      <w:szCs w:val="24"/>
    </w:rPr>
  </w:style>
  <w:style w:type="character" w:customStyle="1" w:styleId="CharChar20">
    <w:name w:val="Char Char20"/>
    <w:basedOn w:val="DefaultParagraphFont"/>
    <w:locked/>
    <w:rsid w:val="003C7BD3"/>
    <w:rPr>
      <w:rFonts w:ascii="Arial" w:hAnsi="Arial" w:cs="Arial"/>
      <w:sz w:val="22"/>
      <w:szCs w:val="22"/>
    </w:rPr>
  </w:style>
  <w:style w:type="character" w:customStyle="1" w:styleId="CharChar18">
    <w:name w:val="Char Char18"/>
    <w:basedOn w:val="DefaultParagraphFont"/>
    <w:locked/>
    <w:rsid w:val="003C7BD3"/>
    <w:rPr>
      <w:rFonts w:cs="Times New Roman"/>
      <w:sz w:val="24"/>
      <w:szCs w:val="24"/>
    </w:rPr>
  </w:style>
  <w:style w:type="character" w:customStyle="1" w:styleId="CharChar14">
    <w:name w:val="Char Char14"/>
    <w:basedOn w:val="DefaultParagraphFont"/>
    <w:locked/>
    <w:rsid w:val="003C7BD3"/>
    <w:rPr>
      <w:rFonts w:cs="Times New Roman"/>
      <w:sz w:val="24"/>
      <w:szCs w:val="24"/>
    </w:rPr>
  </w:style>
  <w:style w:type="character" w:customStyle="1" w:styleId="CharChar11">
    <w:name w:val="Char Char11"/>
    <w:basedOn w:val="DefaultParagraphFont"/>
    <w:locked/>
    <w:rsid w:val="003C7BD3"/>
    <w:rPr>
      <w:rFonts w:ascii="Cambria" w:hAnsi="Cambria" w:cs="Times New Roman"/>
      <w:sz w:val="24"/>
      <w:szCs w:val="24"/>
    </w:rPr>
  </w:style>
  <w:style w:type="character" w:customStyle="1" w:styleId="CharChar4">
    <w:name w:val="Char Char4"/>
    <w:basedOn w:val="DefaultParagraphFont"/>
    <w:locked/>
    <w:rsid w:val="003C7BD3"/>
    <w:rPr>
      <w:rFonts w:ascii="Cambria" w:hAnsi="Cambria" w:cs="Times New Roman"/>
      <w:b/>
      <w:bCs/>
      <w:kern w:val="28"/>
      <w:sz w:val="32"/>
      <w:szCs w:val="32"/>
    </w:rPr>
  </w:style>
  <w:style w:type="character" w:customStyle="1" w:styleId="CharChar13">
    <w:name w:val="Char Char13"/>
    <w:basedOn w:val="DefaultParagraphFont"/>
    <w:uiPriority w:val="99"/>
    <w:rsid w:val="003C7BD3"/>
    <w:rPr>
      <w:rFonts w:eastAsia="Times New Roman" w:cs="Times New Roman"/>
      <w:bCs/>
      <w:i/>
      <w:sz w:val="28"/>
      <w:szCs w:val="28"/>
      <w:lang w:val="en-US" w:eastAsia="en-US" w:bidi="ar-SA"/>
    </w:rPr>
  </w:style>
  <w:style w:type="character" w:customStyle="1" w:styleId="Heading4Char1">
    <w:name w:val="Heading 4 Char1"/>
    <w:aliases w:val="Heading 4 Char Char Char1"/>
    <w:basedOn w:val="DefaultParagraphFont"/>
    <w:rsid w:val="00D3772F"/>
    <w:rPr>
      <w:rFonts w:ascii="Times New Roman" w:hAnsi="Times New Roman" w:cs="Times New Roman"/>
      <w:sz w:val="28"/>
      <w:szCs w:val="28"/>
    </w:rPr>
  </w:style>
  <w:style w:type="paragraph" w:styleId="ListBullet2">
    <w:name w:val="List Bullet 2"/>
    <w:basedOn w:val="Normal"/>
    <w:autoRedefine/>
    <w:rsid w:val="004D622C"/>
    <w:pPr>
      <w:tabs>
        <w:tab w:val="num" w:pos="720"/>
      </w:tabs>
      <w:ind w:left="720" w:hanging="360"/>
    </w:pPr>
  </w:style>
  <w:style w:type="paragraph" w:styleId="ListBullet3">
    <w:name w:val="List Bullet 3"/>
    <w:basedOn w:val="Normal"/>
    <w:autoRedefine/>
    <w:rsid w:val="004D622C"/>
    <w:pPr>
      <w:tabs>
        <w:tab w:val="num" w:pos="1080"/>
      </w:tabs>
      <w:ind w:left="1080" w:hanging="360"/>
    </w:pPr>
  </w:style>
  <w:style w:type="paragraph" w:styleId="ListBullet5">
    <w:name w:val="List Bullet 5"/>
    <w:basedOn w:val="Normal"/>
    <w:autoRedefine/>
    <w:rsid w:val="004D622C"/>
    <w:pPr>
      <w:tabs>
        <w:tab w:val="num" w:pos="1800"/>
      </w:tabs>
      <w:ind w:left="1800" w:hanging="360"/>
    </w:pPr>
  </w:style>
  <w:style w:type="paragraph" w:styleId="ListNumber">
    <w:name w:val="List Number"/>
    <w:basedOn w:val="Normal"/>
    <w:rsid w:val="004D622C"/>
    <w:pPr>
      <w:tabs>
        <w:tab w:val="num" w:pos="360"/>
      </w:tabs>
      <w:ind w:left="360" w:hanging="360"/>
    </w:pPr>
  </w:style>
  <w:style w:type="paragraph" w:styleId="ListNumber2">
    <w:name w:val="List Number 2"/>
    <w:basedOn w:val="Normal"/>
    <w:rsid w:val="004D622C"/>
    <w:pPr>
      <w:tabs>
        <w:tab w:val="num" w:pos="720"/>
      </w:tabs>
      <w:ind w:left="720" w:hanging="360"/>
    </w:pPr>
  </w:style>
  <w:style w:type="paragraph" w:styleId="ListNumber3">
    <w:name w:val="List Number 3"/>
    <w:basedOn w:val="Normal"/>
    <w:rsid w:val="004D622C"/>
    <w:pPr>
      <w:tabs>
        <w:tab w:val="num" w:pos="1080"/>
      </w:tabs>
      <w:ind w:left="1080" w:hanging="360"/>
    </w:pPr>
  </w:style>
  <w:style w:type="paragraph" w:styleId="ListNumber4">
    <w:name w:val="List Number 4"/>
    <w:basedOn w:val="Normal"/>
    <w:rsid w:val="004D622C"/>
    <w:pPr>
      <w:tabs>
        <w:tab w:val="num" w:pos="1440"/>
      </w:tabs>
      <w:ind w:left="1440" w:hanging="360"/>
    </w:pPr>
  </w:style>
  <w:style w:type="paragraph" w:styleId="ListNumber5">
    <w:name w:val="List Number 5"/>
    <w:basedOn w:val="Normal"/>
    <w:rsid w:val="004D622C"/>
    <w:pPr>
      <w:tabs>
        <w:tab w:val="num" w:pos="1800"/>
      </w:tabs>
      <w:ind w:left="1800" w:hanging="360"/>
    </w:pPr>
  </w:style>
  <w:style w:type="table" w:styleId="TableGrid">
    <w:name w:val="Table Grid"/>
    <w:basedOn w:val="TableNormal"/>
    <w:uiPriority w:val="59"/>
    <w:rsid w:val="004D62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1">
    <w:name w:val="Default1"/>
    <w:basedOn w:val="Default"/>
    <w:next w:val="Default"/>
    <w:rsid w:val="00E85180"/>
    <w:rPr>
      <w:color w:val="auto"/>
    </w:rPr>
  </w:style>
  <w:style w:type="paragraph" w:customStyle="1" w:styleId="tabletitle0">
    <w:name w:val="tabletitle"/>
    <w:basedOn w:val="Normal"/>
    <w:rsid w:val="000A4C54"/>
  </w:style>
  <w:style w:type="paragraph" w:customStyle="1" w:styleId="default0">
    <w:name w:val="default"/>
    <w:basedOn w:val="Normal"/>
    <w:rsid w:val="000A4C54"/>
    <w:pPr>
      <w:autoSpaceDE w:val="0"/>
      <w:autoSpaceDN w:val="0"/>
    </w:pPr>
    <w:rPr>
      <w:color w:val="000000"/>
    </w:rPr>
  </w:style>
  <w:style w:type="character" w:customStyle="1" w:styleId="TabletitleChar3">
    <w:name w:val="Table title Char3"/>
    <w:basedOn w:val="DefaultParagraphFont"/>
    <w:link w:val="Tabletitle"/>
    <w:rsid w:val="00202123"/>
    <w:rPr>
      <w:rFonts w:ascii="Arial" w:hAnsi="Arial"/>
      <w:bCs/>
      <w:szCs w:val="24"/>
    </w:rPr>
  </w:style>
  <w:style w:type="character" w:customStyle="1" w:styleId="FiguretitleChar1">
    <w:name w:val="Figure title Char1"/>
    <w:basedOn w:val="DefaultParagraphFont"/>
    <w:link w:val="Figuretitle"/>
    <w:rsid w:val="00184621"/>
    <w:rPr>
      <w:sz w:val="24"/>
      <w:szCs w:val="24"/>
      <w:lang w:val="en-US" w:eastAsia="en-US" w:bidi="ar-SA"/>
    </w:rPr>
  </w:style>
  <w:style w:type="character" w:customStyle="1" w:styleId="Heading1Char1">
    <w:name w:val="Heading 1 Char1"/>
    <w:basedOn w:val="DefaultParagraphFont"/>
    <w:link w:val="Heading1"/>
    <w:uiPriority w:val="99"/>
    <w:rsid w:val="00525A00"/>
    <w:rPr>
      <w:rFonts w:ascii="Arial" w:hAnsi="Arial" w:cs="Arial"/>
      <w:b/>
      <w:bCs/>
      <w:kern w:val="32"/>
      <w:sz w:val="32"/>
      <w:szCs w:val="32"/>
    </w:rPr>
  </w:style>
  <w:style w:type="character" w:customStyle="1" w:styleId="CharChar39">
    <w:name w:val="Char Char39"/>
    <w:basedOn w:val="DefaultParagraphFont"/>
    <w:rsid w:val="00525A00"/>
    <w:rPr>
      <w:rFonts w:ascii="Arial" w:eastAsia="Times New Roman" w:hAnsi="Arial" w:cs="Arial"/>
      <w:b/>
      <w:bCs/>
      <w:i/>
      <w:iCs/>
      <w:sz w:val="28"/>
      <w:szCs w:val="28"/>
    </w:rPr>
  </w:style>
  <w:style w:type="character" w:customStyle="1" w:styleId="FootnoteTextChar">
    <w:name w:val="Footnote Text Char"/>
    <w:basedOn w:val="DefaultParagraphFont"/>
    <w:uiPriority w:val="99"/>
    <w:locked/>
    <w:rsid w:val="005037D0"/>
    <w:rPr>
      <w:rFonts w:ascii="Times New Roman" w:hAnsi="Times New Roman" w:cs="Times New Roman"/>
      <w:sz w:val="20"/>
      <w:szCs w:val="20"/>
    </w:rPr>
  </w:style>
  <w:style w:type="paragraph" w:customStyle="1" w:styleId="ColorfulList-Accent11">
    <w:name w:val="Colorful List - Accent 11"/>
    <w:basedOn w:val="Normal"/>
    <w:uiPriority w:val="34"/>
    <w:qFormat/>
    <w:rsid w:val="001A3900"/>
    <w:pPr>
      <w:ind w:left="720"/>
      <w:contextualSpacing/>
    </w:pPr>
    <w:rPr>
      <w:rFonts w:ascii="Calibri" w:eastAsia="Calibri" w:hAnsi="Calibri"/>
      <w:sz w:val="22"/>
      <w:szCs w:val="22"/>
    </w:rPr>
  </w:style>
  <w:style w:type="character" w:customStyle="1" w:styleId="StyleHeading4Char1Heading4CharCharChar112pt">
    <w:name w:val="Style Heading 4 Char1Heading 4 Char Char Char1 + 12 pt"/>
    <w:basedOn w:val="Heading4Char1"/>
    <w:qFormat/>
    <w:rsid w:val="00612D47"/>
    <w:rPr>
      <w:rFonts w:ascii="Times New Roman" w:hAnsi="Times New Roman" w:cs="Times New Roman"/>
      <w:b w:val="0"/>
      <w:bCs w:val="0"/>
      <w:sz w:val="24"/>
      <w:szCs w:val="28"/>
      <w:lang w:val="en-US" w:eastAsia="en-US" w:bidi="ar-SA"/>
    </w:rPr>
  </w:style>
  <w:style w:type="paragraph" w:customStyle="1" w:styleId="NoSpacing1">
    <w:name w:val="No Spacing1"/>
    <w:uiPriority w:val="99"/>
    <w:qFormat/>
    <w:rsid w:val="00E1303E"/>
  </w:style>
  <w:style w:type="paragraph" w:customStyle="1" w:styleId="ColorfulShading-Accent11">
    <w:name w:val="Colorful Shading - Accent 11"/>
    <w:hidden/>
    <w:uiPriority w:val="99"/>
    <w:rsid w:val="00DB1CAD"/>
  </w:style>
  <w:style w:type="paragraph" w:customStyle="1" w:styleId="Nothing">
    <w:name w:val="Nothing"/>
    <w:basedOn w:val="Heading1"/>
    <w:rsid w:val="00AF7E72"/>
    <w:pPr>
      <w:keepNext w:val="0"/>
      <w:spacing w:before="0" w:after="0"/>
    </w:pPr>
    <w:rPr>
      <w:rFonts w:ascii="Times Roman" w:hAnsi="Times Roman" w:cs="Times Roman"/>
      <w:b w:val="0"/>
      <w:bCs w:val="0"/>
      <w:color w:val="000000"/>
      <w:kern w:val="0"/>
      <w:sz w:val="24"/>
      <w:szCs w:val="20"/>
    </w:rPr>
  </w:style>
  <w:style w:type="character" w:customStyle="1" w:styleId="StyleHeading3CharTimesNewRoman12pt">
    <w:name w:val="Style Heading 3 Char + Times New Roman 12 pt"/>
    <w:basedOn w:val="DefaultParagraphFont"/>
    <w:qFormat/>
    <w:rsid w:val="00A55F46"/>
    <w:rPr>
      <w:rFonts w:ascii="Times New Roman" w:hAnsi="Times New Roman" w:cs="Arial" w:hint="default"/>
      <w:b/>
      <w:bCs/>
      <w:sz w:val="24"/>
      <w:szCs w:val="26"/>
      <w:lang w:val="en-US" w:eastAsia="en-US" w:bidi="ar-SA"/>
    </w:rPr>
  </w:style>
  <w:style w:type="character" w:customStyle="1" w:styleId="EmailStyle341">
    <w:name w:val="EmailStyle341"/>
    <w:basedOn w:val="DefaultParagraphFont"/>
    <w:semiHidden/>
    <w:rsid w:val="00A57B90"/>
    <w:rPr>
      <w:rFonts w:ascii="Arial" w:hAnsi="Arial" w:cs="Arial" w:hint="default"/>
      <w:color w:val="auto"/>
      <w:sz w:val="20"/>
      <w:szCs w:val="20"/>
    </w:rPr>
  </w:style>
  <w:style w:type="character" w:customStyle="1" w:styleId="CharChar271">
    <w:name w:val="Char Char271"/>
    <w:basedOn w:val="DefaultParagraphFont"/>
    <w:uiPriority w:val="99"/>
    <w:locked/>
    <w:rsid w:val="00A57B90"/>
    <w:rPr>
      <w:rFonts w:ascii="Arial" w:hAnsi="Arial" w:cs="Arial"/>
      <w:b/>
      <w:bCs/>
      <w:kern w:val="32"/>
      <w:sz w:val="32"/>
      <w:szCs w:val="32"/>
    </w:rPr>
  </w:style>
  <w:style w:type="character" w:customStyle="1" w:styleId="CharChar261">
    <w:name w:val="Char Char261"/>
    <w:basedOn w:val="DefaultParagraphFont"/>
    <w:uiPriority w:val="99"/>
    <w:locked/>
    <w:rsid w:val="00A57B90"/>
    <w:rPr>
      <w:rFonts w:ascii="Arial" w:hAnsi="Arial" w:cs="Arial"/>
      <w:b/>
      <w:bCs/>
      <w:i/>
      <w:iCs/>
      <w:sz w:val="28"/>
      <w:szCs w:val="28"/>
    </w:rPr>
  </w:style>
  <w:style w:type="character" w:customStyle="1" w:styleId="CharChar251">
    <w:name w:val="Char Char251"/>
    <w:basedOn w:val="DefaultParagraphFont"/>
    <w:uiPriority w:val="99"/>
    <w:locked/>
    <w:rsid w:val="00A57B90"/>
    <w:rPr>
      <w:rFonts w:ascii="Arial" w:hAnsi="Arial" w:cs="Arial"/>
      <w:b/>
      <w:bCs/>
      <w:sz w:val="26"/>
      <w:szCs w:val="26"/>
    </w:rPr>
  </w:style>
  <w:style w:type="character" w:customStyle="1" w:styleId="CharChar241">
    <w:name w:val="Char Char241"/>
    <w:basedOn w:val="DefaultParagraphFont"/>
    <w:uiPriority w:val="99"/>
    <w:locked/>
    <w:rsid w:val="00A57B90"/>
    <w:rPr>
      <w:rFonts w:cs="Times New Roman"/>
      <w:b/>
      <w:bCs/>
      <w:i/>
      <w:iCs/>
      <w:sz w:val="26"/>
      <w:szCs w:val="26"/>
    </w:rPr>
  </w:style>
  <w:style w:type="character" w:customStyle="1" w:styleId="CharChar231">
    <w:name w:val="Char Char231"/>
    <w:basedOn w:val="DefaultParagraphFont"/>
    <w:uiPriority w:val="99"/>
    <w:locked/>
    <w:rsid w:val="00A57B90"/>
    <w:rPr>
      <w:rFonts w:cs="Times New Roman"/>
      <w:b/>
      <w:bCs/>
      <w:sz w:val="22"/>
      <w:szCs w:val="22"/>
    </w:rPr>
  </w:style>
  <w:style w:type="character" w:customStyle="1" w:styleId="CharChar221">
    <w:name w:val="Char Char221"/>
    <w:basedOn w:val="DefaultParagraphFont"/>
    <w:uiPriority w:val="99"/>
    <w:locked/>
    <w:rsid w:val="00A57B90"/>
    <w:rPr>
      <w:rFonts w:cs="Times New Roman"/>
      <w:sz w:val="24"/>
      <w:szCs w:val="24"/>
    </w:rPr>
  </w:style>
  <w:style w:type="character" w:customStyle="1" w:styleId="CharChar211">
    <w:name w:val="Char Char211"/>
    <w:basedOn w:val="DefaultParagraphFont"/>
    <w:uiPriority w:val="99"/>
    <w:locked/>
    <w:rsid w:val="00A57B90"/>
    <w:rPr>
      <w:rFonts w:cs="Times New Roman"/>
      <w:i/>
      <w:iCs/>
      <w:sz w:val="24"/>
      <w:szCs w:val="24"/>
    </w:rPr>
  </w:style>
  <w:style w:type="character" w:customStyle="1" w:styleId="CharChar201">
    <w:name w:val="Char Char201"/>
    <w:basedOn w:val="DefaultParagraphFont"/>
    <w:uiPriority w:val="99"/>
    <w:locked/>
    <w:rsid w:val="00A57B90"/>
    <w:rPr>
      <w:rFonts w:ascii="Arial" w:hAnsi="Arial" w:cs="Arial"/>
      <w:sz w:val="22"/>
      <w:szCs w:val="22"/>
    </w:rPr>
  </w:style>
  <w:style w:type="character" w:customStyle="1" w:styleId="CharChar181">
    <w:name w:val="Char Char181"/>
    <w:basedOn w:val="DefaultParagraphFont"/>
    <w:uiPriority w:val="99"/>
    <w:locked/>
    <w:rsid w:val="00A57B90"/>
    <w:rPr>
      <w:rFonts w:cs="Times New Roman"/>
      <w:sz w:val="24"/>
      <w:szCs w:val="24"/>
    </w:rPr>
  </w:style>
  <w:style w:type="character" w:customStyle="1" w:styleId="CharChar141">
    <w:name w:val="Char Char141"/>
    <w:basedOn w:val="DefaultParagraphFont"/>
    <w:uiPriority w:val="99"/>
    <w:locked/>
    <w:rsid w:val="00A57B90"/>
    <w:rPr>
      <w:rFonts w:cs="Times New Roman"/>
      <w:sz w:val="24"/>
      <w:szCs w:val="24"/>
    </w:rPr>
  </w:style>
  <w:style w:type="character" w:customStyle="1" w:styleId="CharChar111">
    <w:name w:val="Char Char111"/>
    <w:basedOn w:val="DefaultParagraphFont"/>
    <w:uiPriority w:val="99"/>
    <w:locked/>
    <w:rsid w:val="00A57B90"/>
    <w:rPr>
      <w:rFonts w:ascii="Cambria" w:hAnsi="Cambria" w:cs="Times New Roman"/>
      <w:sz w:val="24"/>
      <w:szCs w:val="24"/>
    </w:rPr>
  </w:style>
  <w:style w:type="character" w:customStyle="1" w:styleId="CharChar41">
    <w:name w:val="Char Char41"/>
    <w:basedOn w:val="DefaultParagraphFont"/>
    <w:uiPriority w:val="99"/>
    <w:locked/>
    <w:rsid w:val="00A57B90"/>
    <w:rPr>
      <w:rFonts w:ascii="Cambria" w:hAnsi="Cambria" w:cs="Times New Roman"/>
      <w:b/>
      <w:bCs/>
      <w:kern w:val="28"/>
      <w:sz w:val="32"/>
      <w:szCs w:val="32"/>
    </w:rPr>
  </w:style>
  <w:style w:type="character" w:customStyle="1" w:styleId="CharChar12">
    <w:name w:val="Char Char12"/>
    <w:basedOn w:val="DefaultParagraphFont"/>
    <w:uiPriority w:val="99"/>
    <w:rsid w:val="00A57B90"/>
    <w:rPr>
      <w:rFonts w:eastAsia="Times New Roman" w:cs="Times New Roman"/>
      <w:bCs/>
      <w:i/>
      <w:sz w:val="28"/>
      <w:szCs w:val="28"/>
      <w:lang w:val="en-US" w:eastAsia="en-US" w:bidi="ar-SA"/>
    </w:rPr>
  </w:style>
  <w:style w:type="character" w:customStyle="1" w:styleId="CharChar391">
    <w:name w:val="Char Char391"/>
    <w:basedOn w:val="DefaultParagraphFont"/>
    <w:uiPriority w:val="99"/>
    <w:rsid w:val="00A57B90"/>
    <w:rPr>
      <w:rFonts w:ascii="Arial" w:eastAsia="Times New Roman" w:hAnsi="Arial" w:cs="Arial"/>
      <w:b/>
      <w:bCs/>
      <w:i/>
      <w:iCs/>
      <w:sz w:val="28"/>
      <w:szCs w:val="28"/>
    </w:rPr>
  </w:style>
  <w:style w:type="character" w:customStyle="1" w:styleId="EmailStyle3561">
    <w:name w:val="EmailStyle3561"/>
    <w:basedOn w:val="DefaultParagraphFont"/>
    <w:semiHidden/>
    <w:rsid w:val="00FC5F10"/>
    <w:rPr>
      <w:rFonts w:ascii="Arial" w:hAnsi="Arial" w:cs="Arial" w:hint="default"/>
      <w:color w:val="auto"/>
      <w:sz w:val="20"/>
      <w:szCs w:val="20"/>
    </w:rPr>
  </w:style>
  <w:style w:type="character" w:customStyle="1" w:styleId="EmailStyle3571">
    <w:name w:val="EmailStyle3571"/>
    <w:basedOn w:val="DefaultParagraphFont"/>
    <w:semiHidden/>
    <w:rsid w:val="00FC5F10"/>
    <w:rPr>
      <w:rFonts w:ascii="Arial" w:hAnsi="Arial" w:cs="Arial" w:hint="default"/>
      <w:color w:val="auto"/>
      <w:sz w:val="20"/>
      <w:szCs w:val="20"/>
    </w:rPr>
  </w:style>
  <w:style w:type="table" w:styleId="TableList1">
    <w:name w:val="Table List 1"/>
    <w:basedOn w:val="TableNormal"/>
    <w:uiPriority w:val="99"/>
    <w:rsid w:val="0049255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0877B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7440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7440E"/>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3">
    <w:name w:val="Table 3D effects 3"/>
    <w:basedOn w:val="TableNormal"/>
    <w:uiPriority w:val="99"/>
    <w:rsid w:val="00D7440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D7440E"/>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D7440E"/>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olumns3">
    <w:name w:val="Table Columns 3"/>
    <w:basedOn w:val="TableNormal"/>
    <w:rsid w:val="00D7440E"/>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MediumList2-Accent2">
    <w:name w:val="Medium List 2 Accent 2"/>
    <w:basedOn w:val="TableNormal"/>
    <w:uiPriority w:val="71"/>
    <w:rsid w:val="00611615"/>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styleId="HTMLCite">
    <w:name w:val="HTML Cite"/>
    <w:basedOn w:val="DefaultParagraphFont"/>
    <w:uiPriority w:val="99"/>
    <w:unhideWhenUsed/>
    <w:rsid w:val="00D25DC1"/>
    <w:rPr>
      <w:b w:val="0"/>
      <w:bCs w:val="0"/>
      <w:i w:val="0"/>
      <w:iCs w:val="0"/>
      <w:vanish w:val="0"/>
      <w:webHidden w:val="0"/>
      <w:specVanish w:val="0"/>
    </w:rPr>
  </w:style>
  <w:style w:type="character" w:customStyle="1" w:styleId="author">
    <w:name w:val="author"/>
    <w:basedOn w:val="DefaultParagraphFont"/>
    <w:rsid w:val="00D25DC1"/>
  </w:style>
  <w:style w:type="character" w:customStyle="1" w:styleId="pubyear">
    <w:name w:val="pubyear"/>
    <w:basedOn w:val="DefaultParagraphFont"/>
    <w:rsid w:val="00D25DC1"/>
  </w:style>
  <w:style w:type="character" w:customStyle="1" w:styleId="articletitle5">
    <w:name w:val="articletitle5"/>
    <w:basedOn w:val="DefaultParagraphFont"/>
    <w:rsid w:val="00D25DC1"/>
  </w:style>
  <w:style w:type="character" w:customStyle="1" w:styleId="journaltitle3">
    <w:name w:val="journaltitle3"/>
    <w:basedOn w:val="DefaultParagraphFont"/>
    <w:rsid w:val="00D25DC1"/>
    <w:rPr>
      <w:i/>
      <w:iCs/>
    </w:rPr>
  </w:style>
  <w:style w:type="character" w:customStyle="1" w:styleId="vol3">
    <w:name w:val="vol3"/>
    <w:basedOn w:val="DefaultParagraphFont"/>
    <w:rsid w:val="00D25DC1"/>
    <w:rPr>
      <w:b/>
      <w:bCs/>
    </w:rPr>
  </w:style>
  <w:style w:type="character" w:customStyle="1" w:styleId="pagefirst">
    <w:name w:val="pagefirst"/>
    <w:basedOn w:val="DefaultParagraphFont"/>
    <w:rsid w:val="00D25DC1"/>
  </w:style>
  <w:style w:type="character" w:customStyle="1" w:styleId="pagelast">
    <w:name w:val="pagelast"/>
    <w:basedOn w:val="DefaultParagraphFont"/>
    <w:rsid w:val="00D25DC1"/>
  </w:style>
  <w:style w:type="character" w:customStyle="1" w:styleId="Heading3Char1">
    <w:name w:val="Heading 3 Char1"/>
    <w:basedOn w:val="DefaultParagraphFont"/>
    <w:link w:val="Heading3"/>
    <w:rsid w:val="00382A54"/>
    <w:rPr>
      <w:rFonts w:ascii="Arial" w:hAnsi="Arial" w:cs="Arial"/>
      <w:b/>
      <w:bCs/>
      <w:sz w:val="24"/>
      <w:szCs w:val="26"/>
    </w:rPr>
  </w:style>
  <w:style w:type="paragraph" w:styleId="ListParagraph">
    <w:name w:val="List Paragraph"/>
    <w:basedOn w:val="Normal"/>
    <w:uiPriority w:val="34"/>
    <w:qFormat/>
    <w:rsid w:val="00382A54"/>
    <w:pPr>
      <w:spacing w:after="200" w:line="276" w:lineRule="auto"/>
      <w:ind w:left="720"/>
      <w:contextualSpacing/>
    </w:pPr>
    <w:rPr>
      <w:rFonts w:ascii="Calibri" w:eastAsia="Calibri" w:hAnsi="Calibri"/>
      <w:sz w:val="22"/>
      <w:szCs w:val="22"/>
    </w:rPr>
  </w:style>
  <w:style w:type="character" w:customStyle="1" w:styleId="moz-txt-citetags">
    <w:name w:val="moz-txt-citetags"/>
    <w:basedOn w:val="DefaultParagraphFont"/>
    <w:rsid w:val="00C36587"/>
  </w:style>
  <w:style w:type="paragraph" w:styleId="TOCHeading">
    <w:name w:val="TOC Heading"/>
    <w:basedOn w:val="Heading1"/>
    <w:next w:val="Normal"/>
    <w:uiPriority w:val="39"/>
    <w:unhideWhenUsed/>
    <w:qFormat/>
    <w:rsid w:val="007E1AEA"/>
    <w:pPr>
      <w:keepLines/>
      <w:spacing w:before="480" w:after="0" w:line="276" w:lineRule="auto"/>
      <w:outlineLvl w:val="9"/>
    </w:pPr>
    <w:rPr>
      <w:rFonts w:ascii="Cambria" w:hAnsi="Cambria" w:cs="Times New Roman"/>
      <w:color w:val="365F91"/>
      <w:kern w:val="0"/>
      <w:sz w:val="28"/>
      <w:szCs w:val="28"/>
    </w:rPr>
  </w:style>
  <w:style w:type="paragraph" w:customStyle="1" w:styleId="xl160">
    <w:name w:val="xl160"/>
    <w:basedOn w:val="Normal"/>
    <w:rsid w:val="00B76689"/>
    <w:pPr>
      <w:pBdr>
        <w:top w:val="single" w:sz="8" w:space="0" w:color="auto"/>
        <w:left w:val="single" w:sz="8" w:space="0" w:color="auto"/>
        <w:right w:val="single" w:sz="12"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1">
    <w:name w:val="xl161"/>
    <w:basedOn w:val="Normal"/>
    <w:rsid w:val="00B76689"/>
    <w:pPr>
      <w:pBdr>
        <w:left w:val="single" w:sz="12"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2">
    <w:name w:val="xl162"/>
    <w:basedOn w:val="Normal"/>
    <w:rsid w:val="00B76689"/>
    <w:pPr>
      <w:pBdr>
        <w:left w:val="single" w:sz="8"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3">
    <w:name w:val="xl163"/>
    <w:basedOn w:val="Normal"/>
    <w:rsid w:val="00B76689"/>
    <w:pPr>
      <w:pBdr>
        <w:left w:val="single" w:sz="8" w:space="0" w:color="auto"/>
        <w:right w:val="single" w:sz="12"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4">
    <w:name w:val="xl164"/>
    <w:basedOn w:val="Normal"/>
    <w:rsid w:val="00B76689"/>
    <w:pPr>
      <w:pBdr>
        <w:left w:val="single" w:sz="12" w:space="0" w:color="auto"/>
        <w:bottom w:val="single" w:sz="8"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5">
    <w:name w:val="xl165"/>
    <w:basedOn w:val="Normal"/>
    <w:rsid w:val="00B76689"/>
    <w:pPr>
      <w:pBdr>
        <w:left w:val="single" w:sz="8" w:space="0" w:color="auto"/>
        <w:bottom w:val="single" w:sz="8"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6">
    <w:name w:val="xl166"/>
    <w:basedOn w:val="Normal"/>
    <w:rsid w:val="00B76689"/>
    <w:pPr>
      <w:pBdr>
        <w:left w:val="single" w:sz="8" w:space="0" w:color="auto"/>
        <w:bottom w:val="single" w:sz="8" w:space="0" w:color="auto"/>
        <w:right w:val="single" w:sz="12"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7">
    <w:name w:val="xl167"/>
    <w:basedOn w:val="Normal"/>
    <w:rsid w:val="00B76689"/>
    <w:pPr>
      <w:pBdr>
        <w:left w:val="single" w:sz="12"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68">
    <w:name w:val="xl168"/>
    <w:basedOn w:val="Normal"/>
    <w:rsid w:val="00B76689"/>
    <w:pPr>
      <w:pBdr>
        <w:lef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69">
    <w:name w:val="xl169"/>
    <w:basedOn w:val="Normal"/>
    <w:rsid w:val="00B76689"/>
    <w:pPr>
      <w:pBdr>
        <w:left w:val="single" w:sz="8" w:space="0" w:color="auto"/>
        <w:right w:val="single" w:sz="12"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0">
    <w:name w:val="xl170"/>
    <w:basedOn w:val="Normal"/>
    <w:rsid w:val="00B76689"/>
    <w:pPr>
      <w:pBdr>
        <w:left w:val="single" w:sz="12" w:space="0" w:color="auto"/>
        <w:bottom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1">
    <w:name w:val="xl171"/>
    <w:basedOn w:val="Normal"/>
    <w:rsid w:val="00B76689"/>
    <w:pPr>
      <w:pBdr>
        <w:left w:val="single" w:sz="8" w:space="0" w:color="auto"/>
        <w:bottom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2">
    <w:name w:val="xl172"/>
    <w:basedOn w:val="Normal"/>
    <w:rsid w:val="00B76689"/>
    <w:pPr>
      <w:pBdr>
        <w:left w:val="single" w:sz="8" w:space="0" w:color="auto"/>
        <w:bottom w:val="single" w:sz="8" w:space="0" w:color="auto"/>
        <w:right w:val="single" w:sz="12"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3">
    <w:name w:val="xl173"/>
    <w:basedOn w:val="Normal"/>
    <w:rsid w:val="00B76689"/>
    <w:pPr>
      <w:pBdr>
        <w:top w:val="single" w:sz="8" w:space="0" w:color="auto"/>
        <w:left w:val="single" w:sz="12" w:space="0" w:color="auto"/>
      </w:pBdr>
      <w:shd w:val="clear" w:color="000000" w:fill="F2F2F2"/>
      <w:spacing w:before="100" w:beforeAutospacing="1" w:after="100" w:afterAutospacing="1"/>
      <w:jc w:val="center"/>
      <w:textAlignment w:val="center"/>
    </w:pPr>
    <w:rPr>
      <w:sz w:val="20"/>
      <w:szCs w:val="20"/>
    </w:rPr>
  </w:style>
  <w:style w:type="paragraph" w:customStyle="1" w:styleId="xl174">
    <w:name w:val="xl174"/>
    <w:basedOn w:val="Normal"/>
    <w:rsid w:val="00B76689"/>
    <w:pPr>
      <w:pBdr>
        <w:top w:val="single" w:sz="8" w:space="0" w:color="auto"/>
        <w:lef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75">
    <w:name w:val="xl175"/>
    <w:basedOn w:val="Normal"/>
    <w:rsid w:val="00B76689"/>
    <w:pPr>
      <w:pBdr>
        <w:top w:val="single" w:sz="8" w:space="0" w:color="auto"/>
        <w:left w:val="single" w:sz="8" w:space="0" w:color="auto"/>
        <w:right w:val="single" w:sz="12" w:space="0" w:color="auto"/>
      </w:pBdr>
      <w:shd w:val="clear" w:color="000000" w:fill="F2F2F2"/>
      <w:spacing w:before="100" w:beforeAutospacing="1" w:after="100" w:afterAutospacing="1"/>
      <w:jc w:val="center"/>
      <w:textAlignment w:val="center"/>
    </w:pPr>
    <w:rPr>
      <w:sz w:val="20"/>
      <w:szCs w:val="20"/>
    </w:rPr>
  </w:style>
  <w:style w:type="paragraph" w:customStyle="1" w:styleId="xl176">
    <w:name w:val="xl176"/>
    <w:basedOn w:val="Normal"/>
    <w:rsid w:val="00B76689"/>
    <w:pPr>
      <w:pBdr>
        <w:left w:val="single" w:sz="12" w:space="0" w:color="auto"/>
      </w:pBdr>
      <w:shd w:val="clear" w:color="000000" w:fill="F2F2F2"/>
      <w:spacing w:before="100" w:beforeAutospacing="1" w:after="100" w:afterAutospacing="1"/>
      <w:jc w:val="center"/>
      <w:textAlignment w:val="center"/>
    </w:pPr>
    <w:rPr>
      <w:sz w:val="20"/>
      <w:szCs w:val="20"/>
    </w:rPr>
  </w:style>
  <w:style w:type="paragraph" w:customStyle="1" w:styleId="xl177">
    <w:name w:val="xl177"/>
    <w:basedOn w:val="Normal"/>
    <w:rsid w:val="00B76689"/>
    <w:pPr>
      <w:pBdr>
        <w:lef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78">
    <w:name w:val="xl178"/>
    <w:basedOn w:val="Normal"/>
    <w:rsid w:val="00B76689"/>
    <w:pPr>
      <w:pBdr>
        <w:left w:val="single" w:sz="8" w:space="0" w:color="auto"/>
        <w:right w:val="single" w:sz="12" w:space="0" w:color="auto"/>
      </w:pBdr>
      <w:shd w:val="clear" w:color="000000" w:fill="F2F2F2"/>
      <w:spacing w:before="100" w:beforeAutospacing="1" w:after="100" w:afterAutospacing="1"/>
      <w:jc w:val="center"/>
      <w:textAlignment w:val="center"/>
    </w:pPr>
    <w:rPr>
      <w:sz w:val="20"/>
      <w:szCs w:val="20"/>
    </w:rPr>
  </w:style>
  <w:style w:type="paragraph" w:customStyle="1" w:styleId="xl179">
    <w:name w:val="xl179"/>
    <w:basedOn w:val="Normal"/>
    <w:rsid w:val="00B76689"/>
    <w:pPr>
      <w:pBdr>
        <w:left w:val="single" w:sz="12" w:space="0" w:color="auto"/>
        <w:bottom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80">
    <w:name w:val="xl180"/>
    <w:basedOn w:val="Normal"/>
    <w:rsid w:val="00B76689"/>
    <w:pPr>
      <w:pBdr>
        <w:left w:val="single" w:sz="8" w:space="0" w:color="auto"/>
        <w:bottom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81">
    <w:name w:val="xl181"/>
    <w:basedOn w:val="Normal"/>
    <w:rsid w:val="00B76689"/>
    <w:pPr>
      <w:pBdr>
        <w:left w:val="single" w:sz="8" w:space="0" w:color="auto"/>
        <w:bottom w:val="single" w:sz="8" w:space="0" w:color="auto"/>
        <w:right w:val="single" w:sz="12" w:space="0" w:color="auto"/>
      </w:pBdr>
      <w:shd w:val="clear" w:color="000000" w:fill="F2F2F2"/>
      <w:spacing w:before="100" w:beforeAutospacing="1" w:after="100" w:afterAutospacing="1"/>
      <w:jc w:val="center"/>
      <w:textAlignment w:val="center"/>
    </w:pPr>
    <w:rPr>
      <w:sz w:val="20"/>
      <w:szCs w:val="20"/>
    </w:rPr>
  </w:style>
  <w:style w:type="paragraph" w:customStyle="1" w:styleId="xl182">
    <w:name w:val="xl182"/>
    <w:basedOn w:val="Normal"/>
    <w:rsid w:val="00B76689"/>
    <w:pPr>
      <w:pBdr>
        <w:top w:val="single" w:sz="8" w:space="0" w:color="auto"/>
        <w:left w:val="single" w:sz="12"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83">
    <w:name w:val="xl183"/>
    <w:basedOn w:val="Normal"/>
    <w:rsid w:val="00B76689"/>
    <w:pPr>
      <w:pBdr>
        <w:top w:val="single" w:sz="8" w:space="0" w:color="auto"/>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84">
    <w:name w:val="xl184"/>
    <w:basedOn w:val="Normal"/>
    <w:rsid w:val="00B76689"/>
    <w:pPr>
      <w:pBdr>
        <w:top w:val="single" w:sz="8" w:space="0" w:color="auto"/>
        <w:left w:val="single" w:sz="8" w:space="0" w:color="auto"/>
        <w:bottom w:val="single" w:sz="8" w:space="0" w:color="auto"/>
        <w:right w:val="single" w:sz="12" w:space="0" w:color="auto"/>
      </w:pBdr>
      <w:spacing w:before="100" w:beforeAutospacing="1" w:after="100" w:afterAutospacing="1"/>
      <w:jc w:val="center"/>
      <w:textAlignment w:val="center"/>
    </w:pPr>
    <w:rPr>
      <w:color w:val="000000"/>
      <w:sz w:val="20"/>
      <w:szCs w:val="20"/>
    </w:rPr>
  </w:style>
  <w:style w:type="paragraph" w:customStyle="1" w:styleId="xl185">
    <w:name w:val="xl185"/>
    <w:basedOn w:val="Normal"/>
    <w:rsid w:val="00B76689"/>
    <w:pPr>
      <w:pBdr>
        <w:top w:val="single" w:sz="8" w:space="0" w:color="auto"/>
        <w:left w:val="single" w:sz="12" w:space="0" w:color="auto"/>
        <w:bottom w:val="single" w:sz="12" w:space="0" w:color="auto"/>
      </w:pBdr>
      <w:spacing w:before="100" w:beforeAutospacing="1" w:after="100" w:afterAutospacing="1"/>
      <w:jc w:val="center"/>
      <w:textAlignment w:val="center"/>
    </w:pPr>
    <w:rPr>
      <w:color w:val="000000"/>
      <w:sz w:val="20"/>
      <w:szCs w:val="20"/>
    </w:rPr>
  </w:style>
  <w:style w:type="paragraph" w:customStyle="1" w:styleId="xl186">
    <w:name w:val="xl186"/>
    <w:basedOn w:val="Normal"/>
    <w:rsid w:val="00B76689"/>
    <w:pPr>
      <w:pBdr>
        <w:top w:val="single" w:sz="8" w:space="0" w:color="auto"/>
        <w:left w:val="single" w:sz="8" w:space="0" w:color="auto"/>
        <w:bottom w:val="single" w:sz="12" w:space="0" w:color="auto"/>
      </w:pBdr>
      <w:spacing w:before="100" w:beforeAutospacing="1" w:after="100" w:afterAutospacing="1"/>
      <w:jc w:val="center"/>
      <w:textAlignment w:val="center"/>
    </w:pPr>
    <w:rPr>
      <w:color w:val="000000"/>
      <w:sz w:val="20"/>
      <w:szCs w:val="20"/>
    </w:rPr>
  </w:style>
  <w:style w:type="paragraph" w:customStyle="1" w:styleId="xl187">
    <w:name w:val="xl187"/>
    <w:basedOn w:val="Normal"/>
    <w:rsid w:val="00B76689"/>
    <w:pPr>
      <w:pBdr>
        <w:top w:val="single" w:sz="8" w:space="0" w:color="auto"/>
        <w:left w:val="single" w:sz="8" w:space="0" w:color="auto"/>
        <w:bottom w:val="single" w:sz="12" w:space="0" w:color="auto"/>
        <w:right w:val="single" w:sz="12" w:space="0" w:color="auto"/>
      </w:pBdr>
      <w:spacing w:before="100" w:beforeAutospacing="1" w:after="100" w:afterAutospacing="1"/>
      <w:jc w:val="center"/>
      <w:textAlignment w:val="center"/>
    </w:pPr>
    <w:rPr>
      <w:color w:val="000000"/>
      <w:sz w:val="20"/>
      <w:szCs w:val="20"/>
    </w:rPr>
  </w:style>
  <w:style w:type="paragraph" w:customStyle="1" w:styleId="xl188">
    <w:name w:val="xl188"/>
    <w:basedOn w:val="Normal"/>
    <w:rsid w:val="00B76689"/>
    <w:pPr>
      <w:pBdr>
        <w:top w:val="single" w:sz="12" w:space="0" w:color="auto"/>
        <w:left w:val="single" w:sz="12" w:space="0" w:color="auto"/>
        <w:bottom w:val="single" w:sz="8" w:space="0" w:color="auto"/>
      </w:pBdr>
      <w:shd w:val="clear" w:color="000000" w:fill="A5A5A5"/>
      <w:spacing w:before="100" w:beforeAutospacing="1" w:after="100" w:afterAutospacing="1"/>
      <w:jc w:val="center"/>
      <w:textAlignment w:val="center"/>
    </w:pPr>
    <w:rPr>
      <w:b/>
      <w:bCs/>
    </w:rPr>
  </w:style>
  <w:style w:type="paragraph" w:customStyle="1" w:styleId="xl189">
    <w:name w:val="xl189"/>
    <w:basedOn w:val="Normal"/>
    <w:rsid w:val="00B76689"/>
    <w:pPr>
      <w:pBdr>
        <w:top w:val="single" w:sz="12" w:space="0" w:color="auto"/>
        <w:bottom w:val="single" w:sz="8" w:space="0" w:color="auto"/>
      </w:pBdr>
      <w:shd w:val="clear" w:color="000000" w:fill="A5A5A5"/>
      <w:spacing w:before="100" w:beforeAutospacing="1" w:after="100" w:afterAutospacing="1"/>
      <w:jc w:val="center"/>
      <w:textAlignment w:val="center"/>
    </w:pPr>
    <w:rPr>
      <w:b/>
      <w:bCs/>
    </w:rPr>
  </w:style>
  <w:style w:type="paragraph" w:customStyle="1" w:styleId="xl190">
    <w:name w:val="xl190"/>
    <w:basedOn w:val="Normal"/>
    <w:rsid w:val="00B76689"/>
    <w:pPr>
      <w:pBdr>
        <w:top w:val="single" w:sz="12" w:space="0" w:color="auto"/>
        <w:bottom w:val="single" w:sz="8" w:space="0" w:color="auto"/>
        <w:right w:val="single" w:sz="12" w:space="0" w:color="auto"/>
      </w:pBdr>
      <w:spacing w:before="100" w:beforeAutospacing="1" w:after="100" w:afterAutospacing="1"/>
      <w:jc w:val="center"/>
      <w:textAlignment w:val="center"/>
    </w:pPr>
  </w:style>
  <w:style w:type="paragraph" w:customStyle="1" w:styleId="xl191">
    <w:name w:val="xl191"/>
    <w:basedOn w:val="Normal"/>
    <w:rsid w:val="00B76689"/>
    <w:pPr>
      <w:pBdr>
        <w:top w:val="single" w:sz="12" w:space="0" w:color="auto"/>
        <w:left w:val="single" w:sz="12" w:space="0" w:color="auto"/>
        <w:right w:val="single" w:sz="12" w:space="0" w:color="auto"/>
      </w:pBdr>
      <w:shd w:val="clear" w:color="000000" w:fill="A5A5A5"/>
      <w:spacing w:before="100" w:beforeAutospacing="1" w:after="100" w:afterAutospacing="1"/>
      <w:jc w:val="center"/>
      <w:textAlignment w:val="center"/>
    </w:pPr>
    <w:rPr>
      <w:b/>
      <w:bCs/>
      <w:color w:val="000000"/>
      <w:sz w:val="20"/>
      <w:szCs w:val="20"/>
    </w:rPr>
  </w:style>
  <w:style w:type="paragraph" w:customStyle="1" w:styleId="xl192">
    <w:name w:val="xl192"/>
    <w:basedOn w:val="Normal"/>
    <w:rsid w:val="00B76689"/>
    <w:pPr>
      <w:pBdr>
        <w:left w:val="single" w:sz="12" w:space="0" w:color="auto"/>
        <w:bottom w:val="single" w:sz="8" w:space="0" w:color="auto"/>
        <w:right w:val="single" w:sz="12" w:space="0" w:color="auto"/>
      </w:pBdr>
      <w:spacing w:before="100" w:beforeAutospacing="1" w:after="100" w:afterAutospacing="1"/>
      <w:textAlignment w:val="center"/>
    </w:pPr>
  </w:style>
  <w:style w:type="paragraph" w:customStyle="1" w:styleId="xl193">
    <w:name w:val="xl193"/>
    <w:basedOn w:val="Normal"/>
    <w:rsid w:val="00B76689"/>
    <w:pPr>
      <w:pBdr>
        <w:left w:val="single" w:sz="12" w:space="0" w:color="auto"/>
        <w:bottom w:val="single" w:sz="8" w:space="0" w:color="auto"/>
      </w:pBdr>
      <w:shd w:val="clear" w:color="000000" w:fill="808080"/>
      <w:spacing w:before="100" w:beforeAutospacing="1" w:after="100" w:afterAutospacing="1"/>
      <w:jc w:val="center"/>
      <w:textAlignment w:val="center"/>
    </w:pPr>
    <w:rPr>
      <w:sz w:val="20"/>
      <w:szCs w:val="20"/>
    </w:rPr>
  </w:style>
  <w:style w:type="paragraph" w:customStyle="1" w:styleId="xl194">
    <w:name w:val="xl194"/>
    <w:basedOn w:val="Normal"/>
    <w:rsid w:val="00B76689"/>
    <w:pPr>
      <w:pBdr>
        <w:left w:val="single" w:sz="8" w:space="0" w:color="auto"/>
        <w:bottom w:val="single" w:sz="8" w:space="0" w:color="auto"/>
      </w:pBdr>
      <w:shd w:val="clear" w:color="000000" w:fill="808080"/>
      <w:spacing w:before="100" w:beforeAutospacing="1" w:after="100" w:afterAutospacing="1"/>
      <w:jc w:val="center"/>
      <w:textAlignment w:val="center"/>
    </w:pPr>
    <w:rPr>
      <w:sz w:val="20"/>
      <w:szCs w:val="20"/>
    </w:rPr>
  </w:style>
  <w:style w:type="paragraph" w:customStyle="1" w:styleId="xl195">
    <w:name w:val="xl195"/>
    <w:basedOn w:val="Normal"/>
    <w:rsid w:val="00B76689"/>
    <w:pPr>
      <w:pBdr>
        <w:left w:val="single" w:sz="8" w:space="0" w:color="auto"/>
        <w:bottom w:val="single" w:sz="8" w:space="0" w:color="auto"/>
        <w:right w:val="single" w:sz="12" w:space="0" w:color="auto"/>
      </w:pBdr>
      <w:shd w:val="clear" w:color="000000" w:fill="808080"/>
      <w:spacing w:before="100" w:beforeAutospacing="1" w:after="100" w:afterAutospacing="1"/>
      <w:jc w:val="center"/>
      <w:textAlignment w:val="center"/>
    </w:pPr>
    <w:rPr>
      <w:sz w:val="20"/>
      <w:szCs w:val="20"/>
    </w:rPr>
  </w:style>
  <w:style w:type="paragraph" w:customStyle="1" w:styleId="xl196">
    <w:name w:val="xl196"/>
    <w:basedOn w:val="Normal"/>
    <w:rsid w:val="00B76689"/>
    <w:pPr>
      <w:pBdr>
        <w:left w:val="single" w:sz="12" w:space="0" w:color="auto"/>
        <w:bottom w:val="single" w:sz="8" w:space="0" w:color="auto"/>
      </w:pBdr>
      <w:shd w:val="clear" w:color="000000" w:fill="808080"/>
      <w:spacing w:before="100" w:beforeAutospacing="1" w:after="100" w:afterAutospacing="1"/>
      <w:jc w:val="center"/>
      <w:textAlignment w:val="center"/>
    </w:pPr>
    <w:rPr>
      <w:sz w:val="20"/>
      <w:szCs w:val="20"/>
    </w:rPr>
  </w:style>
  <w:style w:type="paragraph" w:customStyle="1" w:styleId="xl197">
    <w:name w:val="xl197"/>
    <w:basedOn w:val="Normal"/>
    <w:rsid w:val="00B76689"/>
    <w:pPr>
      <w:pBdr>
        <w:left w:val="single" w:sz="8" w:space="0" w:color="auto"/>
        <w:bottom w:val="single" w:sz="8" w:space="0" w:color="auto"/>
      </w:pBdr>
      <w:shd w:val="clear" w:color="000000" w:fill="808080"/>
      <w:spacing w:before="100" w:beforeAutospacing="1" w:after="100" w:afterAutospacing="1"/>
      <w:jc w:val="center"/>
      <w:textAlignment w:val="center"/>
    </w:pPr>
    <w:rPr>
      <w:sz w:val="20"/>
      <w:szCs w:val="20"/>
    </w:rPr>
  </w:style>
  <w:style w:type="paragraph" w:customStyle="1" w:styleId="xl198">
    <w:name w:val="xl198"/>
    <w:basedOn w:val="Normal"/>
    <w:rsid w:val="00B76689"/>
    <w:pPr>
      <w:pBdr>
        <w:left w:val="single" w:sz="8" w:space="0" w:color="auto"/>
        <w:bottom w:val="single" w:sz="8" w:space="0" w:color="auto"/>
        <w:right w:val="single" w:sz="12" w:space="0" w:color="auto"/>
      </w:pBdr>
      <w:shd w:val="clear" w:color="000000" w:fill="808080"/>
      <w:spacing w:before="100" w:beforeAutospacing="1" w:after="100" w:afterAutospacing="1"/>
      <w:jc w:val="center"/>
      <w:textAlignment w:val="center"/>
    </w:pPr>
    <w:rPr>
      <w:sz w:val="20"/>
      <w:szCs w:val="20"/>
    </w:rPr>
  </w:style>
  <w:style w:type="character" w:customStyle="1" w:styleId="A4">
    <w:name w:val="A4"/>
    <w:uiPriority w:val="99"/>
    <w:rsid w:val="002E506D"/>
    <w:rPr>
      <w:rFonts w:cs="Tw Cen MT"/>
      <w:color w:val="221E1F"/>
      <w:sz w:val="22"/>
      <w:szCs w:val="22"/>
    </w:rPr>
  </w:style>
  <w:style w:type="numbering" w:customStyle="1" w:styleId="NoList1">
    <w:name w:val="No List1"/>
    <w:next w:val="NoList"/>
    <w:semiHidden/>
    <w:unhideWhenUsed/>
    <w:rsid w:val="00570224"/>
  </w:style>
  <w:style w:type="table" w:customStyle="1" w:styleId="LightShading-Accent11">
    <w:name w:val="Light Shading - Accent 11"/>
    <w:basedOn w:val="TableNormal"/>
    <w:uiPriority w:val="60"/>
    <w:rsid w:val="00570224"/>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
    <w:name w:val="Table Grid1"/>
    <w:basedOn w:val="TableNormal"/>
    <w:next w:val="TableGrid"/>
    <w:uiPriority w:val="39"/>
    <w:rsid w:val="00570224"/>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
    <w:name w:val="Light Shading - Accent 12"/>
    <w:basedOn w:val="TableNormal"/>
    <w:uiPriority w:val="60"/>
    <w:rsid w:val="00570224"/>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0CHAPTERNUMBER">
    <w:name w:val="00 CHAPTER NUMBER"/>
    <w:basedOn w:val="Normal"/>
    <w:next w:val="Normal"/>
    <w:rsid w:val="00570224"/>
    <w:pPr>
      <w:jc w:val="center"/>
    </w:pPr>
    <w:rPr>
      <w:rFonts w:ascii="Arial" w:hAnsi="Arial"/>
      <w:caps/>
    </w:rPr>
  </w:style>
  <w:style w:type="paragraph" w:customStyle="1" w:styleId="00OneInchSpacer">
    <w:name w:val="00 One Inch Spacer"/>
    <w:basedOn w:val="Normal"/>
    <w:rsid w:val="00570224"/>
    <w:pPr>
      <w:spacing w:before="1296"/>
      <w:jc w:val="center"/>
    </w:pPr>
    <w:rPr>
      <w:rFonts w:ascii="Arial" w:hAnsi="Arial"/>
    </w:rPr>
  </w:style>
  <w:style w:type="paragraph" w:customStyle="1" w:styleId="01ChapterTitle">
    <w:name w:val="01 ChapterTitle"/>
    <w:basedOn w:val="Normal"/>
    <w:next w:val="Normal"/>
    <w:rsid w:val="00570224"/>
    <w:pPr>
      <w:spacing w:after="240"/>
      <w:jc w:val="center"/>
      <w:outlineLvl w:val="0"/>
    </w:pPr>
    <w:rPr>
      <w:rFonts w:ascii="Arial" w:hAnsi="Arial"/>
      <w:caps/>
    </w:rPr>
  </w:style>
  <w:style w:type="paragraph" w:customStyle="1" w:styleId="02First-LevelSubheadingBOLD">
    <w:name w:val="02 First-Level Subheading BOLD"/>
    <w:basedOn w:val="Normal"/>
    <w:next w:val="Normal"/>
    <w:rsid w:val="00570224"/>
    <w:pPr>
      <w:keepNext/>
      <w:spacing w:after="240"/>
      <w:jc w:val="center"/>
      <w:outlineLvl w:val="1"/>
    </w:pPr>
    <w:rPr>
      <w:rFonts w:ascii="Arial" w:hAnsi="Arial"/>
      <w:b/>
    </w:rPr>
  </w:style>
  <w:style w:type="paragraph" w:customStyle="1" w:styleId="03Second-LevelSubheadingBOLD">
    <w:name w:val="03 Second-Level Subheading BOLD"/>
    <w:basedOn w:val="Normal"/>
    <w:next w:val="Normal"/>
    <w:rsid w:val="00570224"/>
    <w:pPr>
      <w:keepNext/>
      <w:spacing w:after="240"/>
      <w:ind w:left="288" w:hanging="288"/>
      <w:outlineLvl w:val="2"/>
    </w:pPr>
    <w:rPr>
      <w:rFonts w:ascii="Arial" w:hAnsi="Arial"/>
      <w:b/>
    </w:rPr>
  </w:style>
  <w:style w:type="paragraph" w:customStyle="1" w:styleId="04Third-LevelSubheadingBOLD">
    <w:name w:val="04 Third-Level Subheading BOLD"/>
    <w:basedOn w:val="Normal"/>
    <w:next w:val="Normal"/>
    <w:rsid w:val="00570224"/>
    <w:pPr>
      <w:keepNext/>
      <w:spacing w:after="240"/>
      <w:ind w:left="288" w:hanging="288"/>
      <w:outlineLvl w:val="3"/>
    </w:pPr>
    <w:rPr>
      <w:rFonts w:ascii="Arial" w:hAnsi="Arial"/>
      <w:b/>
    </w:rPr>
  </w:style>
  <w:style w:type="paragraph" w:customStyle="1" w:styleId="05BodyText">
    <w:name w:val="05 BodyText"/>
    <w:basedOn w:val="Normal"/>
    <w:rsid w:val="00570224"/>
    <w:pPr>
      <w:spacing w:line="480" w:lineRule="auto"/>
      <w:ind w:firstLine="576"/>
    </w:pPr>
    <w:rPr>
      <w:rFonts w:ascii="Arial" w:hAnsi="Arial"/>
    </w:rPr>
  </w:style>
  <w:style w:type="paragraph" w:customStyle="1" w:styleId="06BodyText-NoIndent">
    <w:name w:val="06 Body Text - No Indent"/>
    <w:basedOn w:val="Normal"/>
    <w:next w:val="05BodyText"/>
    <w:rsid w:val="00570224"/>
    <w:pPr>
      <w:spacing w:line="480" w:lineRule="auto"/>
    </w:pPr>
    <w:rPr>
      <w:rFonts w:ascii="Arial" w:hAnsi="Arial"/>
    </w:rPr>
  </w:style>
  <w:style w:type="paragraph" w:customStyle="1" w:styleId="07BlockText-BlockQuote">
    <w:name w:val="07 Block Text - Block Quote"/>
    <w:basedOn w:val="Normal"/>
    <w:next w:val="05BodyText"/>
    <w:rsid w:val="00570224"/>
    <w:pPr>
      <w:spacing w:after="240"/>
      <w:ind w:left="576" w:right="720"/>
    </w:pPr>
    <w:rPr>
      <w:rFonts w:ascii="Arial" w:hAnsi="Arial" w:cs="Arial"/>
    </w:rPr>
  </w:style>
  <w:style w:type="paragraph" w:customStyle="1" w:styleId="08BulletedList-Short">
    <w:name w:val="08 Bulleted List - Short"/>
    <w:basedOn w:val="Normal"/>
    <w:rsid w:val="00570224"/>
    <w:rPr>
      <w:rFonts w:ascii="Arial" w:hAnsi="Arial"/>
    </w:rPr>
  </w:style>
  <w:style w:type="paragraph" w:customStyle="1" w:styleId="09BulletedList-Long">
    <w:name w:val="09 Bulleted List - Long"/>
    <w:basedOn w:val="Normal"/>
    <w:rsid w:val="00570224"/>
    <w:pPr>
      <w:spacing w:after="240"/>
    </w:pPr>
    <w:rPr>
      <w:rFonts w:ascii="Arial" w:hAnsi="Arial"/>
    </w:rPr>
  </w:style>
  <w:style w:type="paragraph" w:customStyle="1" w:styleId="10CaptionFigure">
    <w:name w:val="10 Caption Figure"/>
    <w:basedOn w:val="Normal"/>
    <w:next w:val="05BodyText"/>
    <w:rsid w:val="00BC647B"/>
    <w:pPr>
      <w:spacing w:after="240"/>
      <w:ind w:left="1080" w:hanging="1080"/>
    </w:pPr>
  </w:style>
  <w:style w:type="paragraph" w:customStyle="1" w:styleId="11CaptionTable">
    <w:name w:val="11 Caption Table"/>
    <w:basedOn w:val="Normal"/>
    <w:next w:val="05BodyText"/>
    <w:rsid w:val="00570224"/>
    <w:pPr>
      <w:keepNext/>
      <w:ind w:left="1080" w:hanging="1080"/>
    </w:pPr>
    <w:rPr>
      <w:rFonts w:ascii="Arial" w:hAnsi="Arial"/>
    </w:rPr>
  </w:style>
  <w:style w:type="paragraph" w:customStyle="1" w:styleId="12CaptionObject-moviesoundetc">
    <w:name w:val="12 Caption Object - movie/sound/etc"/>
    <w:basedOn w:val="Normal"/>
    <w:rsid w:val="00570224"/>
    <w:pPr>
      <w:spacing w:after="240"/>
      <w:ind w:left="1080" w:hanging="1080"/>
    </w:pPr>
    <w:rPr>
      <w:rFonts w:ascii="Arial" w:hAnsi="Arial"/>
      <w:color w:val="0000FF"/>
    </w:rPr>
  </w:style>
  <w:style w:type="paragraph" w:customStyle="1" w:styleId="13ReferenceListing1-nonumbers">
    <w:name w:val="13 Reference Listing 1 - no numbers"/>
    <w:basedOn w:val="Normal"/>
    <w:qFormat/>
    <w:rsid w:val="00570224"/>
    <w:pPr>
      <w:keepLines/>
      <w:spacing w:after="240"/>
      <w:ind w:left="576" w:hanging="576"/>
    </w:pPr>
    <w:rPr>
      <w:rFonts w:ascii="Arial" w:hAnsi="Arial"/>
    </w:rPr>
  </w:style>
  <w:style w:type="paragraph" w:customStyle="1" w:styleId="14RefAuthor">
    <w:name w:val="14 RefAuthor"/>
    <w:basedOn w:val="Normal"/>
    <w:next w:val="Normal"/>
    <w:rsid w:val="00570224"/>
    <w:pPr>
      <w:keepNext/>
    </w:pPr>
    <w:rPr>
      <w:rFonts w:ascii="Arial" w:hAnsi="Arial"/>
    </w:rPr>
  </w:style>
  <w:style w:type="paragraph" w:customStyle="1" w:styleId="14aRefListing">
    <w:name w:val="14a RefListing"/>
    <w:basedOn w:val="Normal"/>
    <w:rsid w:val="00570224"/>
    <w:pPr>
      <w:keepLines/>
      <w:spacing w:after="240"/>
      <w:ind w:left="1440" w:hanging="720"/>
    </w:pPr>
    <w:rPr>
      <w:rFonts w:ascii="Arial" w:hAnsi="Arial"/>
    </w:rPr>
  </w:style>
  <w:style w:type="paragraph" w:customStyle="1" w:styleId="LOA">
    <w:name w:val="LOA"/>
    <w:basedOn w:val="Normal"/>
    <w:rsid w:val="00570224"/>
    <w:pPr>
      <w:spacing w:after="240"/>
      <w:ind w:left="2160" w:hanging="2160"/>
    </w:pPr>
    <w:rPr>
      <w:rFonts w:ascii="Arial" w:hAnsi="Arial"/>
    </w:rPr>
  </w:style>
  <w:style w:type="paragraph" w:customStyle="1" w:styleId="Quicki">
    <w:name w:val="Quick i."/>
    <w:rsid w:val="00570224"/>
    <w:pPr>
      <w:widowControl w:val="0"/>
      <w:ind w:left="-1440"/>
      <w:jc w:val="both"/>
    </w:pPr>
  </w:style>
  <w:style w:type="paragraph" w:customStyle="1" w:styleId="Quick1">
    <w:name w:val="Quick 1."/>
    <w:rsid w:val="00570224"/>
    <w:pPr>
      <w:widowControl w:val="0"/>
      <w:ind w:left="-1440"/>
      <w:jc w:val="both"/>
    </w:pPr>
  </w:style>
  <w:style w:type="paragraph" w:customStyle="1" w:styleId="Quicka">
    <w:name w:val="Quick a."/>
    <w:rsid w:val="00570224"/>
    <w:pPr>
      <w:widowControl w:val="0"/>
      <w:ind w:left="-1440"/>
      <w:jc w:val="both"/>
    </w:pPr>
  </w:style>
  <w:style w:type="paragraph" w:customStyle="1" w:styleId="QuickA0">
    <w:name w:val="Quick A."/>
    <w:rsid w:val="00570224"/>
    <w:pPr>
      <w:widowControl w:val="0"/>
      <w:ind w:left="-1440"/>
      <w:jc w:val="both"/>
    </w:pPr>
  </w:style>
  <w:style w:type="paragraph" w:styleId="NoSpacing">
    <w:name w:val="No Spacing"/>
    <w:link w:val="NoSpacingChar"/>
    <w:uiPriority w:val="1"/>
    <w:qFormat/>
    <w:rsid w:val="00570224"/>
    <w:pPr>
      <w:widowControl w:val="0"/>
    </w:pPr>
  </w:style>
  <w:style w:type="character" w:customStyle="1" w:styleId="NoSpacingChar">
    <w:name w:val="No Spacing Char"/>
    <w:basedOn w:val="DefaultParagraphFont"/>
    <w:link w:val="NoSpacing"/>
    <w:uiPriority w:val="1"/>
    <w:locked/>
    <w:rsid w:val="00570224"/>
  </w:style>
  <w:style w:type="paragraph" w:customStyle="1" w:styleId="Figure">
    <w:name w:val="Figure"/>
    <w:basedOn w:val="Normal"/>
    <w:link w:val="FigureChar"/>
    <w:qFormat/>
    <w:rsid w:val="00570224"/>
    <w:pPr>
      <w:widowControl w:val="0"/>
    </w:pPr>
    <w:rPr>
      <w:b/>
      <w:szCs w:val="20"/>
    </w:rPr>
  </w:style>
  <w:style w:type="paragraph" w:customStyle="1" w:styleId="NoSpacing2">
    <w:name w:val="No Spacing2"/>
    <w:basedOn w:val="Normal"/>
    <w:uiPriority w:val="99"/>
    <w:qFormat/>
    <w:rsid w:val="00570224"/>
    <w:rPr>
      <w:rFonts w:ascii="Calibri" w:eastAsia="Calibri" w:hAnsi="Calibri"/>
      <w:sz w:val="22"/>
      <w:szCs w:val="22"/>
    </w:rPr>
  </w:style>
  <w:style w:type="character" w:customStyle="1" w:styleId="Heading4states">
    <w:name w:val="Heading 4 states"/>
    <w:basedOn w:val="BodyTextChar"/>
    <w:uiPriority w:val="99"/>
    <w:rsid w:val="00570224"/>
    <w:rPr>
      <w:rFonts w:ascii="Times New Roman" w:hAnsi="Times New Roman" w:cstheme="minorBidi"/>
      <w:b/>
      <w:bCs/>
      <w:sz w:val="22"/>
      <w:szCs w:val="28"/>
      <w:u w:val="single"/>
      <w:lang w:val="en-US" w:eastAsia="en-US" w:bidi="ar-SA"/>
    </w:rPr>
  </w:style>
  <w:style w:type="paragraph" w:customStyle="1" w:styleId="Table">
    <w:name w:val="Table"/>
    <w:basedOn w:val="Normal"/>
    <w:qFormat/>
    <w:rsid w:val="00570224"/>
    <w:pPr>
      <w:tabs>
        <w:tab w:val="left" w:pos="0"/>
        <w:tab w:val="left" w:pos="360"/>
        <w:tab w:val="left" w:pos="720"/>
        <w:tab w:val="left" w:pos="1080"/>
        <w:tab w:val="left" w:pos="1440"/>
        <w:tab w:val="left" w:pos="2160"/>
        <w:tab w:val="left" w:pos="5760"/>
        <w:tab w:val="left" w:pos="8640"/>
        <w:tab w:val="left" w:pos="10080"/>
      </w:tabs>
    </w:pPr>
    <w:rPr>
      <w:b/>
      <w:szCs w:val="20"/>
    </w:rPr>
  </w:style>
  <w:style w:type="character" w:customStyle="1" w:styleId="CharChar15">
    <w:name w:val="Char Char15"/>
    <w:basedOn w:val="DefaultParagraphFont"/>
    <w:uiPriority w:val="99"/>
    <w:rsid w:val="00570224"/>
    <w:rPr>
      <w:rFonts w:eastAsia="Times New Roman" w:cs="Times New Roman"/>
      <w:bCs/>
      <w:i/>
      <w:sz w:val="28"/>
      <w:szCs w:val="28"/>
      <w:lang w:val="en-US" w:eastAsia="en-US" w:bidi="ar-SA"/>
    </w:rPr>
  </w:style>
  <w:style w:type="character" w:customStyle="1" w:styleId="CharChar272">
    <w:name w:val="Char Char272"/>
    <w:basedOn w:val="DefaultParagraphFont"/>
    <w:uiPriority w:val="99"/>
    <w:locked/>
    <w:rsid w:val="00570224"/>
    <w:rPr>
      <w:rFonts w:ascii="Arial" w:hAnsi="Arial" w:cs="Arial"/>
      <w:b/>
      <w:bCs/>
      <w:kern w:val="32"/>
      <w:sz w:val="32"/>
      <w:szCs w:val="32"/>
    </w:rPr>
  </w:style>
  <w:style w:type="character" w:customStyle="1" w:styleId="CharChar262">
    <w:name w:val="Char Char262"/>
    <w:basedOn w:val="DefaultParagraphFont"/>
    <w:uiPriority w:val="99"/>
    <w:locked/>
    <w:rsid w:val="00570224"/>
    <w:rPr>
      <w:rFonts w:ascii="Arial" w:hAnsi="Arial" w:cs="Arial"/>
      <w:b/>
      <w:bCs/>
      <w:i/>
      <w:iCs/>
      <w:sz w:val="28"/>
      <w:szCs w:val="28"/>
    </w:rPr>
  </w:style>
  <w:style w:type="character" w:customStyle="1" w:styleId="CharChar252">
    <w:name w:val="Char Char252"/>
    <w:basedOn w:val="DefaultParagraphFont"/>
    <w:uiPriority w:val="99"/>
    <w:locked/>
    <w:rsid w:val="00570224"/>
    <w:rPr>
      <w:rFonts w:ascii="Arial" w:hAnsi="Arial" w:cs="Arial"/>
      <w:b/>
      <w:bCs/>
      <w:sz w:val="26"/>
      <w:szCs w:val="26"/>
    </w:rPr>
  </w:style>
  <w:style w:type="character" w:customStyle="1" w:styleId="CharChar242">
    <w:name w:val="Char Char242"/>
    <w:basedOn w:val="DefaultParagraphFont"/>
    <w:uiPriority w:val="99"/>
    <w:locked/>
    <w:rsid w:val="00570224"/>
    <w:rPr>
      <w:rFonts w:cs="Times New Roman"/>
      <w:b/>
      <w:bCs/>
      <w:i/>
      <w:iCs/>
      <w:sz w:val="26"/>
      <w:szCs w:val="26"/>
    </w:rPr>
  </w:style>
  <w:style w:type="character" w:customStyle="1" w:styleId="CharChar232">
    <w:name w:val="Char Char232"/>
    <w:basedOn w:val="DefaultParagraphFont"/>
    <w:uiPriority w:val="99"/>
    <w:locked/>
    <w:rsid w:val="00570224"/>
    <w:rPr>
      <w:rFonts w:cs="Times New Roman"/>
      <w:b/>
      <w:bCs/>
      <w:sz w:val="22"/>
      <w:szCs w:val="22"/>
    </w:rPr>
  </w:style>
  <w:style w:type="character" w:customStyle="1" w:styleId="CharChar222">
    <w:name w:val="Char Char222"/>
    <w:basedOn w:val="DefaultParagraphFont"/>
    <w:uiPriority w:val="99"/>
    <w:locked/>
    <w:rsid w:val="00570224"/>
    <w:rPr>
      <w:rFonts w:cs="Times New Roman"/>
      <w:sz w:val="24"/>
      <w:szCs w:val="24"/>
    </w:rPr>
  </w:style>
  <w:style w:type="character" w:customStyle="1" w:styleId="CharChar212">
    <w:name w:val="Char Char212"/>
    <w:basedOn w:val="DefaultParagraphFont"/>
    <w:uiPriority w:val="99"/>
    <w:locked/>
    <w:rsid w:val="00570224"/>
    <w:rPr>
      <w:rFonts w:cs="Times New Roman"/>
      <w:i/>
      <w:iCs/>
      <w:sz w:val="24"/>
      <w:szCs w:val="24"/>
    </w:rPr>
  </w:style>
  <w:style w:type="character" w:customStyle="1" w:styleId="CharChar202">
    <w:name w:val="Char Char202"/>
    <w:basedOn w:val="DefaultParagraphFont"/>
    <w:uiPriority w:val="99"/>
    <w:locked/>
    <w:rsid w:val="00570224"/>
    <w:rPr>
      <w:rFonts w:ascii="Arial" w:hAnsi="Arial" w:cs="Arial"/>
      <w:sz w:val="22"/>
      <w:szCs w:val="22"/>
    </w:rPr>
  </w:style>
  <w:style w:type="character" w:customStyle="1" w:styleId="CharChar182">
    <w:name w:val="Char Char182"/>
    <w:basedOn w:val="DefaultParagraphFont"/>
    <w:uiPriority w:val="99"/>
    <w:locked/>
    <w:rsid w:val="00570224"/>
    <w:rPr>
      <w:rFonts w:cs="Times New Roman"/>
      <w:sz w:val="24"/>
      <w:szCs w:val="24"/>
    </w:rPr>
  </w:style>
  <w:style w:type="character" w:customStyle="1" w:styleId="CharChar142">
    <w:name w:val="Char Char142"/>
    <w:basedOn w:val="DefaultParagraphFont"/>
    <w:uiPriority w:val="99"/>
    <w:locked/>
    <w:rsid w:val="00570224"/>
    <w:rPr>
      <w:rFonts w:cs="Times New Roman"/>
      <w:sz w:val="24"/>
      <w:szCs w:val="24"/>
    </w:rPr>
  </w:style>
  <w:style w:type="character" w:customStyle="1" w:styleId="CharChar112">
    <w:name w:val="Char Char112"/>
    <w:basedOn w:val="DefaultParagraphFont"/>
    <w:uiPriority w:val="99"/>
    <w:locked/>
    <w:rsid w:val="00570224"/>
    <w:rPr>
      <w:rFonts w:ascii="Cambria" w:hAnsi="Cambria" w:cs="Times New Roman"/>
      <w:sz w:val="24"/>
      <w:szCs w:val="24"/>
    </w:rPr>
  </w:style>
  <w:style w:type="character" w:customStyle="1" w:styleId="CharChar42">
    <w:name w:val="Char Char42"/>
    <w:basedOn w:val="DefaultParagraphFont"/>
    <w:uiPriority w:val="99"/>
    <w:locked/>
    <w:rsid w:val="00570224"/>
    <w:rPr>
      <w:rFonts w:ascii="Cambria" w:hAnsi="Cambria" w:cs="Times New Roman"/>
      <w:b/>
      <w:bCs/>
      <w:kern w:val="28"/>
      <w:sz w:val="32"/>
      <w:szCs w:val="32"/>
    </w:rPr>
  </w:style>
  <w:style w:type="character" w:customStyle="1" w:styleId="CharChar392">
    <w:name w:val="Char Char392"/>
    <w:basedOn w:val="DefaultParagraphFont"/>
    <w:uiPriority w:val="99"/>
    <w:rsid w:val="00570224"/>
    <w:rPr>
      <w:rFonts w:ascii="Arial" w:hAnsi="Arial" w:cs="Arial"/>
      <w:b/>
      <w:bCs/>
      <w:i/>
      <w:iCs/>
      <w:sz w:val="28"/>
      <w:szCs w:val="28"/>
    </w:rPr>
  </w:style>
  <w:style w:type="paragraph" w:customStyle="1" w:styleId="HStates">
    <w:name w:val="HStates"/>
    <w:basedOn w:val="Heading4"/>
    <w:rsid w:val="00570224"/>
    <w:pPr>
      <w:spacing w:before="0" w:after="0"/>
    </w:pPr>
    <w:rPr>
      <w:sz w:val="24"/>
    </w:rPr>
  </w:style>
  <w:style w:type="character" w:customStyle="1" w:styleId="googqs-tidbit">
    <w:name w:val="goog_qs-tidbit"/>
    <w:basedOn w:val="DefaultParagraphFont"/>
    <w:rsid w:val="00570224"/>
  </w:style>
  <w:style w:type="paragraph" w:styleId="Revision">
    <w:name w:val="Revision"/>
    <w:hidden/>
    <w:uiPriority w:val="99"/>
    <w:rsid w:val="00570224"/>
  </w:style>
  <w:style w:type="table" w:customStyle="1" w:styleId="TableGrid2">
    <w:name w:val="Table Grid2"/>
    <w:basedOn w:val="TableNormal"/>
    <w:next w:val="TableGrid"/>
    <w:uiPriority w:val="59"/>
    <w:rsid w:val="007B4F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rkList-Accent52">
    <w:name w:val="Dark List - Accent 52"/>
    <w:basedOn w:val="Normal"/>
    <w:uiPriority w:val="34"/>
    <w:qFormat/>
    <w:rsid w:val="00EF4690"/>
    <w:pPr>
      <w:ind w:left="720"/>
      <w:contextualSpacing/>
    </w:pPr>
    <w:rPr>
      <w:rFonts w:ascii="Calibri" w:eastAsia="Calibri" w:hAnsi="Calibri"/>
      <w:sz w:val="22"/>
      <w:szCs w:val="22"/>
    </w:rPr>
  </w:style>
  <w:style w:type="paragraph" w:customStyle="1" w:styleId="List1">
    <w:name w:val="List 1"/>
    <w:semiHidden/>
    <w:rsid w:val="00EF4690"/>
    <w:pPr>
      <w:ind w:left="720" w:hanging="360"/>
    </w:pPr>
  </w:style>
  <w:style w:type="character" w:customStyle="1" w:styleId="bi">
    <w:name w:val="bi"/>
    <w:basedOn w:val="DefaultParagraphFont"/>
    <w:rsid w:val="00840B0B"/>
  </w:style>
  <w:style w:type="character" w:customStyle="1" w:styleId="Heading4Char3">
    <w:name w:val="Heading 4 Char3"/>
    <w:basedOn w:val="DefaultParagraphFont"/>
    <w:rsid w:val="002F645B"/>
    <w:rPr>
      <w:rFonts w:ascii="Times New Roman" w:eastAsia="Times New Roman" w:hAnsi="Times New Roman" w:cs="Times New Roman"/>
      <w:b/>
      <w:bCs/>
      <w:iCs/>
      <w:sz w:val="24"/>
      <w:szCs w:val="24"/>
    </w:rPr>
  </w:style>
  <w:style w:type="character" w:customStyle="1" w:styleId="BalloonTextChar9">
    <w:name w:val="Balloon Text Char9"/>
    <w:basedOn w:val="DefaultParagraphFont"/>
    <w:uiPriority w:val="99"/>
    <w:rsid w:val="002F645B"/>
    <w:rPr>
      <w:rFonts w:ascii="Lucida Grande" w:hAnsi="Lucida Grande"/>
      <w:sz w:val="18"/>
      <w:szCs w:val="18"/>
    </w:rPr>
  </w:style>
  <w:style w:type="character" w:customStyle="1" w:styleId="BalloonTextChar8">
    <w:name w:val="Balloon Text Char8"/>
    <w:basedOn w:val="DefaultParagraphFont"/>
    <w:uiPriority w:val="99"/>
    <w:semiHidden/>
    <w:rsid w:val="002F645B"/>
    <w:rPr>
      <w:rFonts w:ascii="Lucida Grande" w:hAnsi="Lucida Grande"/>
      <w:sz w:val="18"/>
      <w:szCs w:val="18"/>
    </w:rPr>
  </w:style>
  <w:style w:type="character" w:customStyle="1" w:styleId="BalloonTextChar7">
    <w:name w:val="Balloon Text Char7"/>
    <w:basedOn w:val="DefaultParagraphFont"/>
    <w:uiPriority w:val="99"/>
    <w:semiHidden/>
    <w:rsid w:val="002F645B"/>
    <w:rPr>
      <w:rFonts w:ascii="Lucida Grande" w:hAnsi="Lucida Grande"/>
      <w:sz w:val="18"/>
      <w:szCs w:val="18"/>
    </w:rPr>
  </w:style>
  <w:style w:type="character" w:customStyle="1" w:styleId="BalloonTextChar6">
    <w:name w:val="Balloon Text Char6"/>
    <w:basedOn w:val="DefaultParagraphFont"/>
    <w:uiPriority w:val="99"/>
    <w:semiHidden/>
    <w:rsid w:val="002F645B"/>
    <w:rPr>
      <w:rFonts w:ascii="Lucida Grande" w:hAnsi="Lucida Grande"/>
      <w:sz w:val="18"/>
      <w:szCs w:val="18"/>
    </w:rPr>
  </w:style>
  <w:style w:type="character" w:customStyle="1" w:styleId="BalloonTextChar5">
    <w:name w:val="Balloon Text Char5"/>
    <w:basedOn w:val="DefaultParagraphFont"/>
    <w:uiPriority w:val="99"/>
    <w:semiHidden/>
    <w:rsid w:val="002F645B"/>
    <w:rPr>
      <w:rFonts w:ascii="Lucida Grande" w:hAnsi="Lucida Grande"/>
      <w:sz w:val="18"/>
      <w:szCs w:val="18"/>
    </w:rPr>
  </w:style>
  <w:style w:type="character" w:customStyle="1" w:styleId="BalloonTextChar4">
    <w:name w:val="Balloon Text Char4"/>
    <w:basedOn w:val="DefaultParagraphFont"/>
    <w:uiPriority w:val="99"/>
    <w:semiHidden/>
    <w:rsid w:val="002F645B"/>
    <w:rPr>
      <w:rFonts w:ascii="Lucida Grande" w:hAnsi="Lucida Grande"/>
      <w:sz w:val="18"/>
      <w:szCs w:val="18"/>
    </w:rPr>
  </w:style>
  <w:style w:type="character" w:customStyle="1" w:styleId="BalloonTextChar1">
    <w:name w:val="Balloon Text Char1"/>
    <w:basedOn w:val="DefaultParagraphFont"/>
    <w:uiPriority w:val="99"/>
    <w:rsid w:val="002F645B"/>
    <w:rPr>
      <w:rFonts w:ascii="Tahoma" w:hAnsi="Tahoma" w:cs="Tahoma"/>
      <w:sz w:val="16"/>
      <w:szCs w:val="16"/>
    </w:rPr>
  </w:style>
  <w:style w:type="character" w:customStyle="1" w:styleId="BalloonTextChar3">
    <w:name w:val="Balloon Text Char3"/>
    <w:basedOn w:val="DefaultParagraphFont"/>
    <w:uiPriority w:val="99"/>
    <w:semiHidden/>
    <w:rsid w:val="002F645B"/>
    <w:rPr>
      <w:rFonts w:ascii="Lucida Grande" w:hAnsi="Lucida Grande"/>
      <w:sz w:val="18"/>
      <w:szCs w:val="18"/>
    </w:rPr>
  </w:style>
  <w:style w:type="character" w:customStyle="1" w:styleId="BalloonTextChar2">
    <w:name w:val="Balloon Text Char2"/>
    <w:basedOn w:val="DefaultParagraphFont"/>
    <w:uiPriority w:val="99"/>
    <w:rsid w:val="002F645B"/>
    <w:rPr>
      <w:rFonts w:ascii="Lucida Grande" w:hAnsi="Lucida Grande"/>
      <w:sz w:val="18"/>
      <w:szCs w:val="18"/>
    </w:rPr>
  </w:style>
  <w:style w:type="character" w:customStyle="1" w:styleId="EmailStyle59">
    <w:name w:val="EmailStyle59"/>
    <w:basedOn w:val="DefaultParagraphFont"/>
    <w:semiHidden/>
    <w:rsid w:val="002F645B"/>
    <w:rPr>
      <w:rFonts w:ascii="Arial" w:hAnsi="Arial" w:cs="Arial" w:hint="default"/>
      <w:color w:val="auto"/>
      <w:sz w:val="20"/>
      <w:szCs w:val="20"/>
    </w:rPr>
  </w:style>
  <w:style w:type="character" w:customStyle="1" w:styleId="Heading4CharCharCharChar">
    <w:name w:val="Heading 4 Char Char Char Char"/>
    <w:basedOn w:val="DefaultParagraphFont"/>
    <w:rsid w:val="002F645B"/>
    <w:rPr>
      <w:rFonts w:ascii="Times New Roman" w:hAnsi="Times New Roman"/>
      <w:b/>
      <w:bCs/>
      <w:sz w:val="28"/>
      <w:szCs w:val="28"/>
      <w:lang w:val="en-US" w:eastAsia="en-US" w:bidi="ar-SA"/>
    </w:rPr>
  </w:style>
  <w:style w:type="paragraph" w:customStyle="1" w:styleId="LightGrid-Accent31">
    <w:name w:val="Light Grid - Accent 31"/>
    <w:basedOn w:val="Normal"/>
    <w:uiPriority w:val="34"/>
    <w:qFormat/>
    <w:rsid w:val="002F645B"/>
    <w:pPr>
      <w:ind w:left="720"/>
      <w:contextualSpacing/>
    </w:pPr>
    <w:rPr>
      <w:rFonts w:ascii="Calibri" w:eastAsia="Calibri" w:hAnsi="Calibri"/>
      <w:sz w:val="22"/>
      <w:szCs w:val="22"/>
    </w:rPr>
  </w:style>
  <w:style w:type="paragraph" w:customStyle="1" w:styleId="LightList-Accent31">
    <w:name w:val="Light List - Accent 31"/>
    <w:hidden/>
    <w:rsid w:val="002F645B"/>
  </w:style>
  <w:style w:type="character" w:customStyle="1" w:styleId="EmailStyle350">
    <w:name w:val="EmailStyle350"/>
    <w:basedOn w:val="DefaultParagraphFont"/>
    <w:semiHidden/>
    <w:rsid w:val="002F645B"/>
    <w:rPr>
      <w:rFonts w:ascii="Arial" w:hAnsi="Arial" w:cs="Arial" w:hint="default"/>
      <w:color w:val="auto"/>
      <w:sz w:val="20"/>
      <w:szCs w:val="20"/>
    </w:rPr>
  </w:style>
  <w:style w:type="character" w:customStyle="1" w:styleId="EmailStyle3652">
    <w:name w:val="EmailStyle3652"/>
    <w:basedOn w:val="DefaultParagraphFont"/>
    <w:semiHidden/>
    <w:rsid w:val="002F645B"/>
    <w:rPr>
      <w:rFonts w:ascii="Arial" w:hAnsi="Arial" w:cs="Arial" w:hint="default"/>
      <w:color w:val="auto"/>
      <w:sz w:val="20"/>
      <w:szCs w:val="20"/>
    </w:rPr>
  </w:style>
  <w:style w:type="character" w:customStyle="1" w:styleId="EmailStyle366">
    <w:name w:val="EmailStyle366"/>
    <w:basedOn w:val="DefaultParagraphFont"/>
    <w:semiHidden/>
    <w:rsid w:val="002F645B"/>
    <w:rPr>
      <w:rFonts w:ascii="Arial" w:hAnsi="Arial" w:cs="Arial" w:hint="default"/>
      <w:color w:val="auto"/>
      <w:sz w:val="20"/>
      <w:szCs w:val="20"/>
    </w:rPr>
  </w:style>
  <w:style w:type="table" w:styleId="MediumList1-Accent4">
    <w:name w:val="Medium List 1 Accent 4"/>
    <w:basedOn w:val="TableNormal"/>
    <w:uiPriority w:val="71"/>
    <w:rsid w:val="002F645B"/>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EmailStyle376">
    <w:name w:val="EmailStyle376"/>
    <w:basedOn w:val="DefaultParagraphFont"/>
    <w:semiHidden/>
    <w:rsid w:val="002F645B"/>
    <w:rPr>
      <w:rFonts w:ascii="Arial" w:hAnsi="Arial" w:cs="Arial" w:hint="default"/>
      <w:color w:val="auto"/>
      <w:sz w:val="20"/>
      <w:szCs w:val="20"/>
    </w:rPr>
  </w:style>
  <w:style w:type="paragraph" w:customStyle="1" w:styleId="DarkList-Accent51">
    <w:name w:val="Dark List - Accent 51"/>
    <w:basedOn w:val="Normal"/>
    <w:uiPriority w:val="34"/>
    <w:qFormat/>
    <w:rsid w:val="002F645B"/>
    <w:pPr>
      <w:ind w:left="720"/>
    </w:pPr>
  </w:style>
  <w:style w:type="paragraph" w:customStyle="1" w:styleId="content">
    <w:name w:val="content"/>
    <w:basedOn w:val="Normal"/>
    <w:rsid w:val="002F645B"/>
    <w:pPr>
      <w:spacing w:before="100" w:beforeAutospacing="1" w:after="100" w:afterAutospacing="1"/>
      <w:ind w:left="225" w:right="225"/>
    </w:pPr>
    <w:rPr>
      <w:rFonts w:ascii="Verdana" w:hAnsi="Verdana"/>
      <w:color w:val="757575"/>
      <w:sz w:val="17"/>
      <w:szCs w:val="17"/>
    </w:rPr>
  </w:style>
  <w:style w:type="character" w:customStyle="1" w:styleId="CharChar2">
    <w:name w:val="Char Char2"/>
    <w:basedOn w:val="DefaultParagraphFont"/>
    <w:locked/>
    <w:rsid w:val="002F645B"/>
    <w:rPr>
      <w:b/>
      <w:sz w:val="24"/>
      <w:lang w:val="en-GB" w:eastAsia="en-US" w:bidi="ar-SA"/>
    </w:rPr>
  </w:style>
  <w:style w:type="character" w:customStyle="1" w:styleId="style32">
    <w:name w:val="style32"/>
    <w:basedOn w:val="DefaultParagraphFont"/>
    <w:rsid w:val="002F645B"/>
  </w:style>
  <w:style w:type="paragraph" w:customStyle="1" w:styleId="MediumGrid3-Accent51">
    <w:name w:val="Medium Grid 3 - Accent 51"/>
    <w:hidden/>
    <w:uiPriority w:val="99"/>
    <w:semiHidden/>
    <w:rsid w:val="002F645B"/>
  </w:style>
  <w:style w:type="character" w:customStyle="1" w:styleId="heading3char0">
    <w:name w:val="heading3char"/>
    <w:basedOn w:val="DefaultParagraphFont"/>
    <w:rsid w:val="002F645B"/>
  </w:style>
  <w:style w:type="character" w:customStyle="1" w:styleId="heading4char10">
    <w:name w:val="heading4char1"/>
    <w:basedOn w:val="DefaultParagraphFont"/>
    <w:rsid w:val="002F645B"/>
  </w:style>
  <w:style w:type="paragraph" w:customStyle="1" w:styleId="LightList-Accent51">
    <w:name w:val="Light List - Accent 51"/>
    <w:basedOn w:val="Normal"/>
    <w:uiPriority w:val="34"/>
    <w:qFormat/>
    <w:rsid w:val="002F645B"/>
    <w:pPr>
      <w:ind w:left="720"/>
    </w:pPr>
  </w:style>
  <w:style w:type="paragraph" w:customStyle="1" w:styleId="LightShading-Accent51">
    <w:name w:val="Light Shading - Accent 51"/>
    <w:hidden/>
    <w:uiPriority w:val="99"/>
    <w:rsid w:val="002F645B"/>
  </w:style>
  <w:style w:type="paragraph" w:customStyle="1" w:styleId="ColorfulShading-Accent31">
    <w:name w:val="Colorful Shading - Accent 31"/>
    <w:basedOn w:val="Normal"/>
    <w:uiPriority w:val="34"/>
    <w:qFormat/>
    <w:rsid w:val="002F645B"/>
    <w:pPr>
      <w:ind w:left="720"/>
    </w:pPr>
  </w:style>
  <w:style w:type="paragraph" w:customStyle="1" w:styleId="DarkList-Accent31">
    <w:name w:val="Dark List - Accent 31"/>
    <w:hidden/>
    <w:uiPriority w:val="71"/>
    <w:rsid w:val="002F645B"/>
  </w:style>
  <w:style w:type="paragraph" w:customStyle="1" w:styleId="LightGrid-Accent312">
    <w:name w:val="Light Grid - Accent 312"/>
    <w:basedOn w:val="Normal"/>
    <w:uiPriority w:val="34"/>
    <w:qFormat/>
    <w:rsid w:val="002F645B"/>
    <w:pPr>
      <w:ind w:left="720"/>
      <w:contextualSpacing/>
    </w:pPr>
    <w:rPr>
      <w:rFonts w:ascii="Calibri" w:eastAsia="Calibri" w:hAnsi="Calibri"/>
      <w:sz w:val="22"/>
      <w:szCs w:val="22"/>
    </w:rPr>
  </w:style>
  <w:style w:type="paragraph" w:customStyle="1" w:styleId="NoSpacing11">
    <w:name w:val="No Spacing11"/>
    <w:uiPriority w:val="99"/>
    <w:qFormat/>
    <w:rsid w:val="002F645B"/>
    <w:rPr>
      <w:rFonts w:asciiTheme="minorHAnsi" w:eastAsiaTheme="minorHAnsi" w:hAnsiTheme="minorHAnsi" w:cstheme="minorBidi"/>
      <w:szCs w:val="22"/>
    </w:rPr>
  </w:style>
  <w:style w:type="paragraph" w:customStyle="1" w:styleId="LightList-Accent311">
    <w:name w:val="Light List - Accent 311"/>
    <w:hidden/>
    <w:rsid w:val="002F645B"/>
  </w:style>
  <w:style w:type="paragraph" w:customStyle="1" w:styleId="MediumGrid1-Accent21">
    <w:name w:val="Medium Grid 1 - Accent 21"/>
    <w:basedOn w:val="Normal"/>
    <w:uiPriority w:val="99"/>
    <w:qFormat/>
    <w:rsid w:val="002F645B"/>
    <w:pPr>
      <w:ind w:left="720"/>
      <w:contextualSpacing/>
    </w:pPr>
    <w:rPr>
      <w:rFonts w:ascii="Calibri" w:hAnsi="Calibri"/>
      <w:sz w:val="22"/>
      <w:szCs w:val="22"/>
    </w:rPr>
  </w:style>
  <w:style w:type="paragraph" w:customStyle="1" w:styleId="MediumList2-Accent21">
    <w:name w:val="Medium List 2 - Accent 21"/>
    <w:hidden/>
    <w:uiPriority w:val="99"/>
    <w:rsid w:val="002F645B"/>
  </w:style>
  <w:style w:type="paragraph" w:customStyle="1" w:styleId="ColorfulShading-Accent12">
    <w:name w:val="Colorful Shading - Accent 12"/>
    <w:hidden/>
    <w:rsid w:val="002F645B"/>
  </w:style>
  <w:style w:type="paragraph" w:customStyle="1" w:styleId="ColorfulList-Accent12">
    <w:name w:val="Colorful List - Accent 12"/>
    <w:basedOn w:val="Normal"/>
    <w:uiPriority w:val="34"/>
    <w:qFormat/>
    <w:rsid w:val="002F645B"/>
    <w:pPr>
      <w:ind w:left="720"/>
      <w:contextualSpacing/>
    </w:pPr>
  </w:style>
  <w:style w:type="paragraph" w:customStyle="1" w:styleId="NoSpacing3">
    <w:name w:val="No Spacing3"/>
    <w:uiPriority w:val="99"/>
    <w:qFormat/>
    <w:rsid w:val="002F645B"/>
  </w:style>
  <w:style w:type="character" w:customStyle="1" w:styleId="CharChar110">
    <w:name w:val="Char Char110"/>
    <w:basedOn w:val="DefaultParagraphFont"/>
    <w:rsid w:val="002F645B"/>
    <w:rPr>
      <w:rFonts w:eastAsia="Times"/>
      <w:bCs/>
      <w:i/>
      <w:sz w:val="24"/>
      <w:szCs w:val="28"/>
      <w:lang w:val="en-US" w:eastAsia="en-US" w:bidi="ar-SA"/>
    </w:rPr>
  </w:style>
  <w:style w:type="character" w:customStyle="1" w:styleId="CharChar276">
    <w:name w:val="Char Char276"/>
    <w:basedOn w:val="DefaultParagraphFont"/>
    <w:locked/>
    <w:rsid w:val="002F645B"/>
    <w:rPr>
      <w:rFonts w:ascii="Arial" w:hAnsi="Arial" w:cs="Arial"/>
      <w:b/>
      <w:bCs/>
      <w:kern w:val="32"/>
      <w:sz w:val="32"/>
      <w:szCs w:val="32"/>
    </w:rPr>
  </w:style>
  <w:style w:type="character" w:customStyle="1" w:styleId="CharChar266">
    <w:name w:val="Char Char266"/>
    <w:basedOn w:val="DefaultParagraphFont"/>
    <w:locked/>
    <w:rsid w:val="002F645B"/>
    <w:rPr>
      <w:rFonts w:ascii="Arial" w:hAnsi="Arial" w:cs="Arial"/>
      <w:b/>
      <w:bCs/>
      <w:i/>
      <w:iCs/>
      <w:sz w:val="28"/>
      <w:szCs w:val="28"/>
    </w:rPr>
  </w:style>
  <w:style w:type="character" w:customStyle="1" w:styleId="CharChar256">
    <w:name w:val="Char Char256"/>
    <w:basedOn w:val="DefaultParagraphFont"/>
    <w:locked/>
    <w:rsid w:val="002F645B"/>
    <w:rPr>
      <w:rFonts w:ascii="Arial" w:hAnsi="Arial" w:cs="Arial"/>
      <w:b/>
      <w:bCs/>
      <w:sz w:val="26"/>
      <w:szCs w:val="26"/>
    </w:rPr>
  </w:style>
  <w:style w:type="character" w:customStyle="1" w:styleId="CharChar246">
    <w:name w:val="Char Char246"/>
    <w:basedOn w:val="DefaultParagraphFont"/>
    <w:locked/>
    <w:rsid w:val="002F645B"/>
    <w:rPr>
      <w:rFonts w:cs="Times New Roman"/>
      <w:b/>
      <w:bCs/>
      <w:i/>
      <w:iCs/>
      <w:sz w:val="26"/>
      <w:szCs w:val="26"/>
    </w:rPr>
  </w:style>
  <w:style w:type="character" w:customStyle="1" w:styleId="CharChar236">
    <w:name w:val="Char Char236"/>
    <w:basedOn w:val="DefaultParagraphFont"/>
    <w:locked/>
    <w:rsid w:val="002F645B"/>
    <w:rPr>
      <w:rFonts w:cs="Times New Roman"/>
      <w:b/>
      <w:bCs/>
      <w:sz w:val="22"/>
      <w:szCs w:val="22"/>
    </w:rPr>
  </w:style>
  <w:style w:type="character" w:customStyle="1" w:styleId="CharChar226">
    <w:name w:val="Char Char226"/>
    <w:basedOn w:val="DefaultParagraphFont"/>
    <w:locked/>
    <w:rsid w:val="002F645B"/>
    <w:rPr>
      <w:rFonts w:cs="Times New Roman"/>
      <w:sz w:val="24"/>
      <w:szCs w:val="24"/>
    </w:rPr>
  </w:style>
  <w:style w:type="character" w:customStyle="1" w:styleId="CharChar216">
    <w:name w:val="Char Char216"/>
    <w:basedOn w:val="DefaultParagraphFont"/>
    <w:locked/>
    <w:rsid w:val="002F645B"/>
    <w:rPr>
      <w:rFonts w:cs="Times New Roman"/>
      <w:i/>
      <w:iCs/>
      <w:sz w:val="24"/>
      <w:szCs w:val="24"/>
    </w:rPr>
  </w:style>
  <w:style w:type="character" w:customStyle="1" w:styleId="CharChar206">
    <w:name w:val="Char Char206"/>
    <w:basedOn w:val="DefaultParagraphFont"/>
    <w:locked/>
    <w:rsid w:val="002F645B"/>
    <w:rPr>
      <w:rFonts w:ascii="Arial" w:hAnsi="Arial" w:cs="Arial"/>
      <w:sz w:val="22"/>
      <w:szCs w:val="22"/>
    </w:rPr>
  </w:style>
  <w:style w:type="character" w:customStyle="1" w:styleId="CharChar186">
    <w:name w:val="Char Char186"/>
    <w:basedOn w:val="DefaultParagraphFont"/>
    <w:locked/>
    <w:rsid w:val="002F645B"/>
    <w:rPr>
      <w:rFonts w:cs="Times New Roman"/>
      <w:sz w:val="24"/>
      <w:szCs w:val="24"/>
    </w:rPr>
  </w:style>
  <w:style w:type="character" w:customStyle="1" w:styleId="CharChar146">
    <w:name w:val="Char Char146"/>
    <w:basedOn w:val="DefaultParagraphFont"/>
    <w:locked/>
    <w:rsid w:val="002F645B"/>
    <w:rPr>
      <w:rFonts w:cs="Times New Roman"/>
      <w:sz w:val="24"/>
      <w:szCs w:val="24"/>
    </w:rPr>
  </w:style>
  <w:style w:type="character" w:customStyle="1" w:styleId="CharChar116">
    <w:name w:val="Char Char116"/>
    <w:basedOn w:val="DefaultParagraphFont"/>
    <w:locked/>
    <w:rsid w:val="002F645B"/>
    <w:rPr>
      <w:rFonts w:ascii="Cambria" w:hAnsi="Cambria" w:cs="Times New Roman"/>
      <w:sz w:val="24"/>
      <w:szCs w:val="24"/>
    </w:rPr>
  </w:style>
  <w:style w:type="character" w:customStyle="1" w:styleId="CharChar46">
    <w:name w:val="Char Char46"/>
    <w:basedOn w:val="DefaultParagraphFont"/>
    <w:locked/>
    <w:rsid w:val="002F645B"/>
    <w:rPr>
      <w:rFonts w:ascii="Cambria" w:hAnsi="Cambria" w:cs="Times New Roman"/>
      <w:b/>
      <w:bCs/>
      <w:kern w:val="28"/>
      <w:sz w:val="32"/>
      <w:szCs w:val="32"/>
    </w:rPr>
  </w:style>
  <w:style w:type="character" w:customStyle="1" w:styleId="CharChar396">
    <w:name w:val="Char Char396"/>
    <w:basedOn w:val="DefaultParagraphFont"/>
    <w:rsid w:val="002F645B"/>
    <w:rPr>
      <w:rFonts w:ascii="Arial" w:eastAsia="Times New Roman" w:hAnsi="Arial" w:cs="Arial"/>
      <w:b/>
      <w:bCs/>
      <w:i/>
      <w:iCs/>
      <w:sz w:val="28"/>
      <w:szCs w:val="28"/>
    </w:rPr>
  </w:style>
  <w:style w:type="character" w:customStyle="1" w:styleId="CharChar16">
    <w:name w:val="Char Char16"/>
    <w:basedOn w:val="DefaultParagraphFont"/>
    <w:rsid w:val="002F645B"/>
    <w:rPr>
      <w:rFonts w:eastAsia="Times New Roman" w:cs="Times New Roman"/>
      <w:bCs/>
      <w:i/>
      <w:sz w:val="28"/>
      <w:szCs w:val="28"/>
      <w:lang w:val="en-US" w:eastAsia="en-US" w:bidi="ar-SA"/>
    </w:rPr>
  </w:style>
  <w:style w:type="character" w:customStyle="1" w:styleId="CharChar43">
    <w:name w:val="Char Char43"/>
    <w:basedOn w:val="DefaultParagraphFont"/>
    <w:locked/>
    <w:rsid w:val="002F645B"/>
    <w:rPr>
      <w:rFonts w:ascii="Arial" w:hAnsi="Arial" w:cs="Arial"/>
      <w:b/>
      <w:bCs/>
      <w:i/>
      <w:iCs/>
      <w:sz w:val="28"/>
      <w:szCs w:val="28"/>
      <w:lang w:val="en-US" w:eastAsia="en-US" w:bidi="ar-SA"/>
    </w:rPr>
  </w:style>
  <w:style w:type="character" w:customStyle="1" w:styleId="CharChar273">
    <w:name w:val="Char Char273"/>
    <w:basedOn w:val="DefaultParagraphFont"/>
    <w:locked/>
    <w:rsid w:val="002F645B"/>
    <w:rPr>
      <w:rFonts w:ascii="Arial" w:hAnsi="Arial" w:cs="Arial"/>
      <w:b/>
      <w:bCs/>
      <w:kern w:val="32"/>
      <w:sz w:val="32"/>
      <w:szCs w:val="32"/>
    </w:rPr>
  </w:style>
  <w:style w:type="character" w:customStyle="1" w:styleId="CharChar263">
    <w:name w:val="Char Char263"/>
    <w:basedOn w:val="DefaultParagraphFont"/>
    <w:locked/>
    <w:rsid w:val="002F645B"/>
    <w:rPr>
      <w:rFonts w:ascii="Arial" w:hAnsi="Arial" w:cs="Arial"/>
      <w:b/>
      <w:bCs/>
      <w:i/>
      <w:iCs/>
      <w:sz w:val="28"/>
      <w:szCs w:val="28"/>
    </w:rPr>
  </w:style>
  <w:style w:type="character" w:customStyle="1" w:styleId="CharChar253">
    <w:name w:val="Char Char253"/>
    <w:basedOn w:val="DefaultParagraphFont"/>
    <w:locked/>
    <w:rsid w:val="002F645B"/>
    <w:rPr>
      <w:rFonts w:ascii="Arial" w:hAnsi="Arial" w:cs="Arial"/>
      <w:b/>
      <w:bCs/>
      <w:sz w:val="26"/>
      <w:szCs w:val="26"/>
    </w:rPr>
  </w:style>
  <w:style w:type="character" w:customStyle="1" w:styleId="CharChar243">
    <w:name w:val="Char Char243"/>
    <w:basedOn w:val="DefaultParagraphFont"/>
    <w:locked/>
    <w:rsid w:val="002F645B"/>
    <w:rPr>
      <w:rFonts w:cs="Times New Roman"/>
      <w:b/>
      <w:bCs/>
      <w:i/>
      <w:iCs/>
      <w:sz w:val="26"/>
      <w:szCs w:val="26"/>
    </w:rPr>
  </w:style>
  <w:style w:type="character" w:customStyle="1" w:styleId="CharChar233">
    <w:name w:val="Char Char233"/>
    <w:basedOn w:val="DefaultParagraphFont"/>
    <w:locked/>
    <w:rsid w:val="002F645B"/>
    <w:rPr>
      <w:rFonts w:cs="Times New Roman"/>
      <w:b/>
      <w:bCs/>
      <w:sz w:val="22"/>
      <w:szCs w:val="22"/>
    </w:rPr>
  </w:style>
  <w:style w:type="character" w:customStyle="1" w:styleId="CharChar223">
    <w:name w:val="Char Char223"/>
    <w:basedOn w:val="DefaultParagraphFont"/>
    <w:locked/>
    <w:rsid w:val="002F645B"/>
    <w:rPr>
      <w:rFonts w:cs="Times New Roman"/>
      <w:sz w:val="24"/>
      <w:szCs w:val="24"/>
    </w:rPr>
  </w:style>
  <w:style w:type="character" w:customStyle="1" w:styleId="CharChar213">
    <w:name w:val="Char Char213"/>
    <w:basedOn w:val="DefaultParagraphFont"/>
    <w:locked/>
    <w:rsid w:val="002F645B"/>
    <w:rPr>
      <w:rFonts w:cs="Times New Roman"/>
      <w:i/>
      <w:iCs/>
      <w:sz w:val="24"/>
      <w:szCs w:val="24"/>
    </w:rPr>
  </w:style>
  <w:style w:type="character" w:customStyle="1" w:styleId="CharChar203">
    <w:name w:val="Char Char203"/>
    <w:basedOn w:val="DefaultParagraphFont"/>
    <w:locked/>
    <w:rsid w:val="002F645B"/>
    <w:rPr>
      <w:rFonts w:ascii="Arial" w:hAnsi="Arial" w:cs="Arial"/>
      <w:sz w:val="22"/>
      <w:szCs w:val="22"/>
    </w:rPr>
  </w:style>
  <w:style w:type="character" w:customStyle="1" w:styleId="CharChar183">
    <w:name w:val="Char Char183"/>
    <w:basedOn w:val="DefaultParagraphFont"/>
    <w:locked/>
    <w:rsid w:val="002F645B"/>
    <w:rPr>
      <w:rFonts w:cs="Times New Roman"/>
      <w:sz w:val="24"/>
      <w:szCs w:val="24"/>
    </w:rPr>
  </w:style>
  <w:style w:type="character" w:customStyle="1" w:styleId="CharChar143">
    <w:name w:val="Char Char143"/>
    <w:basedOn w:val="DefaultParagraphFont"/>
    <w:locked/>
    <w:rsid w:val="002F645B"/>
    <w:rPr>
      <w:rFonts w:cs="Times New Roman"/>
      <w:sz w:val="24"/>
      <w:szCs w:val="24"/>
    </w:rPr>
  </w:style>
  <w:style w:type="character" w:customStyle="1" w:styleId="CharChar113">
    <w:name w:val="Char Char113"/>
    <w:basedOn w:val="DefaultParagraphFont"/>
    <w:locked/>
    <w:rsid w:val="002F645B"/>
    <w:rPr>
      <w:rFonts w:ascii="Cambria" w:hAnsi="Cambria" w:cs="Times New Roman"/>
      <w:sz w:val="24"/>
      <w:szCs w:val="24"/>
    </w:rPr>
  </w:style>
  <w:style w:type="character" w:customStyle="1" w:styleId="CharChar393">
    <w:name w:val="Char Char393"/>
    <w:basedOn w:val="DefaultParagraphFont"/>
    <w:rsid w:val="002F645B"/>
    <w:rPr>
      <w:rFonts w:ascii="Arial" w:eastAsia="Times New Roman" w:hAnsi="Arial" w:cs="Arial"/>
      <w:b/>
      <w:bCs/>
      <w:i/>
      <w:iCs/>
      <w:sz w:val="28"/>
      <w:szCs w:val="28"/>
    </w:rPr>
  </w:style>
  <w:style w:type="paragraph" w:customStyle="1" w:styleId="LightList-Accent32">
    <w:name w:val="Light List - Accent 32"/>
    <w:hidden/>
    <w:rsid w:val="002F645B"/>
  </w:style>
  <w:style w:type="paragraph" w:customStyle="1" w:styleId="LightGrid-Accent32">
    <w:name w:val="Light Grid - Accent 32"/>
    <w:basedOn w:val="Normal"/>
    <w:uiPriority w:val="34"/>
    <w:qFormat/>
    <w:rsid w:val="002F645B"/>
    <w:pPr>
      <w:ind w:left="720"/>
      <w:contextualSpacing/>
    </w:pPr>
  </w:style>
  <w:style w:type="paragraph" w:customStyle="1" w:styleId="NoSpacing4">
    <w:name w:val="No Spacing4"/>
    <w:uiPriority w:val="99"/>
    <w:qFormat/>
    <w:rsid w:val="002F645B"/>
  </w:style>
  <w:style w:type="paragraph" w:customStyle="1" w:styleId="MediumGrid1-Accent22">
    <w:name w:val="Medium Grid 1 - Accent 22"/>
    <w:basedOn w:val="Normal"/>
    <w:uiPriority w:val="34"/>
    <w:qFormat/>
    <w:rsid w:val="002F645B"/>
    <w:pPr>
      <w:ind w:left="720"/>
      <w:contextualSpacing/>
    </w:pPr>
  </w:style>
  <w:style w:type="character" w:customStyle="1" w:styleId="CharChar19">
    <w:name w:val="Char Char19"/>
    <w:basedOn w:val="DefaultParagraphFont"/>
    <w:rsid w:val="002F645B"/>
    <w:rPr>
      <w:rFonts w:eastAsia="Times"/>
      <w:bCs/>
      <w:i/>
      <w:sz w:val="24"/>
      <w:szCs w:val="28"/>
      <w:lang w:val="en-US" w:eastAsia="en-US" w:bidi="ar-SA"/>
    </w:rPr>
  </w:style>
  <w:style w:type="character" w:customStyle="1" w:styleId="CharChar275">
    <w:name w:val="Char Char275"/>
    <w:basedOn w:val="DefaultParagraphFont"/>
    <w:locked/>
    <w:rsid w:val="002F645B"/>
    <w:rPr>
      <w:rFonts w:ascii="Arial" w:hAnsi="Arial" w:cs="Arial"/>
      <w:b/>
      <w:bCs/>
      <w:kern w:val="32"/>
      <w:sz w:val="32"/>
      <w:szCs w:val="32"/>
    </w:rPr>
  </w:style>
  <w:style w:type="character" w:customStyle="1" w:styleId="CharChar265">
    <w:name w:val="Char Char265"/>
    <w:basedOn w:val="DefaultParagraphFont"/>
    <w:locked/>
    <w:rsid w:val="002F645B"/>
    <w:rPr>
      <w:rFonts w:ascii="Arial" w:hAnsi="Arial" w:cs="Arial"/>
      <w:b/>
      <w:bCs/>
      <w:i/>
      <w:iCs/>
      <w:sz w:val="28"/>
      <w:szCs w:val="28"/>
    </w:rPr>
  </w:style>
  <w:style w:type="character" w:customStyle="1" w:styleId="CharChar255">
    <w:name w:val="Char Char255"/>
    <w:basedOn w:val="DefaultParagraphFont"/>
    <w:locked/>
    <w:rsid w:val="002F645B"/>
    <w:rPr>
      <w:rFonts w:ascii="Arial" w:hAnsi="Arial" w:cs="Arial"/>
      <w:b/>
      <w:bCs/>
      <w:sz w:val="26"/>
      <w:szCs w:val="26"/>
    </w:rPr>
  </w:style>
  <w:style w:type="character" w:customStyle="1" w:styleId="CharChar245">
    <w:name w:val="Char Char245"/>
    <w:basedOn w:val="DefaultParagraphFont"/>
    <w:locked/>
    <w:rsid w:val="002F645B"/>
    <w:rPr>
      <w:rFonts w:cs="Times New Roman"/>
      <w:b/>
      <w:bCs/>
      <w:i/>
      <w:iCs/>
      <w:sz w:val="26"/>
      <w:szCs w:val="26"/>
    </w:rPr>
  </w:style>
  <w:style w:type="character" w:customStyle="1" w:styleId="CharChar235">
    <w:name w:val="Char Char235"/>
    <w:basedOn w:val="DefaultParagraphFont"/>
    <w:locked/>
    <w:rsid w:val="002F645B"/>
    <w:rPr>
      <w:rFonts w:cs="Times New Roman"/>
      <w:b/>
      <w:bCs/>
      <w:sz w:val="22"/>
      <w:szCs w:val="22"/>
    </w:rPr>
  </w:style>
  <w:style w:type="character" w:customStyle="1" w:styleId="CharChar225">
    <w:name w:val="Char Char225"/>
    <w:basedOn w:val="DefaultParagraphFont"/>
    <w:locked/>
    <w:rsid w:val="002F645B"/>
    <w:rPr>
      <w:rFonts w:cs="Times New Roman"/>
      <w:sz w:val="24"/>
      <w:szCs w:val="24"/>
    </w:rPr>
  </w:style>
  <w:style w:type="character" w:customStyle="1" w:styleId="CharChar215">
    <w:name w:val="Char Char215"/>
    <w:basedOn w:val="DefaultParagraphFont"/>
    <w:locked/>
    <w:rsid w:val="002F645B"/>
    <w:rPr>
      <w:rFonts w:cs="Times New Roman"/>
      <w:i/>
      <w:iCs/>
      <w:sz w:val="24"/>
      <w:szCs w:val="24"/>
    </w:rPr>
  </w:style>
  <w:style w:type="character" w:customStyle="1" w:styleId="CharChar205">
    <w:name w:val="Char Char205"/>
    <w:basedOn w:val="DefaultParagraphFont"/>
    <w:locked/>
    <w:rsid w:val="002F645B"/>
    <w:rPr>
      <w:rFonts w:ascii="Arial" w:hAnsi="Arial" w:cs="Arial"/>
      <w:sz w:val="22"/>
      <w:szCs w:val="22"/>
    </w:rPr>
  </w:style>
  <w:style w:type="character" w:customStyle="1" w:styleId="CharChar185">
    <w:name w:val="Char Char185"/>
    <w:basedOn w:val="DefaultParagraphFont"/>
    <w:locked/>
    <w:rsid w:val="002F645B"/>
    <w:rPr>
      <w:rFonts w:cs="Times New Roman"/>
      <w:sz w:val="24"/>
      <w:szCs w:val="24"/>
    </w:rPr>
  </w:style>
  <w:style w:type="character" w:customStyle="1" w:styleId="CharChar145">
    <w:name w:val="Char Char145"/>
    <w:basedOn w:val="DefaultParagraphFont"/>
    <w:locked/>
    <w:rsid w:val="002F645B"/>
    <w:rPr>
      <w:rFonts w:cs="Times New Roman"/>
      <w:sz w:val="24"/>
      <w:szCs w:val="24"/>
    </w:rPr>
  </w:style>
  <w:style w:type="character" w:customStyle="1" w:styleId="CharChar115">
    <w:name w:val="Char Char115"/>
    <w:basedOn w:val="DefaultParagraphFont"/>
    <w:locked/>
    <w:rsid w:val="002F645B"/>
    <w:rPr>
      <w:rFonts w:ascii="Cambria" w:hAnsi="Cambria" w:cs="Times New Roman"/>
      <w:sz w:val="24"/>
      <w:szCs w:val="24"/>
    </w:rPr>
  </w:style>
  <w:style w:type="character" w:customStyle="1" w:styleId="CharChar45">
    <w:name w:val="Char Char45"/>
    <w:basedOn w:val="DefaultParagraphFont"/>
    <w:locked/>
    <w:rsid w:val="002F645B"/>
    <w:rPr>
      <w:rFonts w:ascii="Cambria" w:hAnsi="Cambria" w:cs="Times New Roman"/>
      <w:b/>
      <w:bCs/>
      <w:kern w:val="28"/>
      <w:sz w:val="32"/>
      <w:szCs w:val="32"/>
    </w:rPr>
  </w:style>
  <w:style w:type="character" w:customStyle="1" w:styleId="CharChar395">
    <w:name w:val="Char Char395"/>
    <w:basedOn w:val="DefaultParagraphFont"/>
    <w:rsid w:val="002F645B"/>
    <w:rPr>
      <w:rFonts w:ascii="Arial" w:eastAsia="Times New Roman" w:hAnsi="Arial" w:cs="Arial"/>
      <w:b/>
      <w:bCs/>
      <w:i/>
      <w:iCs/>
      <w:sz w:val="28"/>
      <w:szCs w:val="28"/>
    </w:rPr>
  </w:style>
  <w:style w:type="paragraph" w:customStyle="1" w:styleId="ColorfulList-Accent13">
    <w:name w:val="Colorful List - Accent 13"/>
    <w:basedOn w:val="Normal"/>
    <w:uiPriority w:val="34"/>
    <w:qFormat/>
    <w:rsid w:val="002F645B"/>
    <w:pPr>
      <w:ind w:left="720"/>
      <w:contextualSpacing/>
    </w:pPr>
  </w:style>
  <w:style w:type="paragraph" w:customStyle="1" w:styleId="ColorfulList-Accent14">
    <w:name w:val="Colorful List - Accent 14"/>
    <w:basedOn w:val="Normal"/>
    <w:uiPriority w:val="99"/>
    <w:qFormat/>
    <w:rsid w:val="002F645B"/>
    <w:pPr>
      <w:spacing w:after="200" w:line="276" w:lineRule="auto"/>
      <w:ind w:left="720"/>
      <w:contextualSpacing/>
      <w:jc w:val="both"/>
    </w:pPr>
    <w:rPr>
      <w:rFonts w:eastAsia="Calibri"/>
      <w:sz w:val="22"/>
      <w:szCs w:val="22"/>
    </w:rPr>
  </w:style>
  <w:style w:type="paragraph" w:customStyle="1" w:styleId="NoSpacing5">
    <w:name w:val="No Spacing5"/>
    <w:uiPriority w:val="1"/>
    <w:qFormat/>
    <w:rsid w:val="002F645B"/>
  </w:style>
  <w:style w:type="paragraph" w:customStyle="1" w:styleId="ColorfulShading-Accent13">
    <w:name w:val="Colorful Shading - Accent 13"/>
    <w:hidden/>
    <w:uiPriority w:val="99"/>
    <w:rsid w:val="002F645B"/>
  </w:style>
  <w:style w:type="character" w:customStyle="1" w:styleId="CharChar17">
    <w:name w:val="Char Char17"/>
    <w:basedOn w:val="DefaultParagraphFont"/>
    <w:rsid w:val="002F645B"/>
    <w:rPr>
      <w:rFonts w:eastAsia="Times"/>
      <w:bCs/>
      <w:i/>
      <w:sz w:val="24"/>
      <w:szCs w:val="28"/>
      <w:lang w:val="en-US" w:eastAsia="en-US" w:bidi="ar-SA"/>
    </w:rPr>
  </w:style>
  <w:style w:type="character" w:customStyle="1" w:styleId="CharChar274">
    <w:name w:val="Char Char274"/>
    <w:basedOn w:val="DefaultParagraphFont"/>
    <w:locked/>
    <w:rsid w:val="002F645B"/>
    <w:rPr>
      <w:rFonts w:ascii="Arial" w:hAnsi="Arial" w:cs="Arial"/>
      <w:b/>
      <w:bCs/>
      <w:kern w:val="32"/>
      <w:sz w:val="32"/>
      <w:szCs w:val="32"/>
    </w:rPr>
  </w:style>
  <w:style w:type="character" w:customStyle="1" w:styleId="CharChar264">
    <w:name w:val="Char Char264"/>
    <w:basedOn w:val="DefaultParagraphFont"/>
    <w:locked/>
    <w:rsid w:val="002F645B"/>
    <w:rPr>
      <w:rFonts w:ascii="Arial" w:hAnsi="Arial" w:cs="Arial"/>
      <w:b/>
      <w:bCs/>
      <w:i/>
      <w:iCs/>
      <w:sz w:val="28"/>
      <w:szCs w:val="28"/>
    </w:rPr>
  </w:style>
  <w:style w:type="character" w:customStyle="1" w:styleId="CharChar254">
    <w:name w:val="Char Char254"/>
    <w:basedOn w:val="DefaultParagraphFont"/>
    <w:locked/>
    <w:rsid w:val="002F645B"/>
    <w:rPr>
      <w:rFonts w:ascii="Arial" w:hAnsi="Arial" w:cs="Arial"/>
      <w:b/>
      <w:bCs/>
      <w:sz w:val="26"/>
      <w:szCs w:val="26"/>
    </w:rPr>
  </w:style>
  <w:style w:type="character" w:customStyle="1" w:styleId="CharChar244">
    <w:name w:val="Char Char244"/>
    <w:basedOn w:val="DefaultParagraphFont"/>
    <w:locked/>
    <w:rsid w:val="002F645B"/>
    <w:rPr>
      <w:rFonts w:cs="Times New Roman"/>
      <w:b/>
      <w:bCs/>
      <w:i/>
      <w:iCs/>
      <w:sz w:val="26"/>
      <w:szCs w:val="26"/>
    </w:rPr>
  </w:style>
  <w:style w:type="character" w:customStyle="1" w:styleId="CharChar234">
    <w:name w:val="Char Char234"/>
    <w:basedOn w:val="DefaultParagraphFont"/>
    <w:locked/>
    <w:rsid w:val="002F645B"/>
    <w:rPr>
      <w:rFonts w:cs="Times New Roman"/>
      <w:b/>
      <w:bCs/>
      <w:sz w:val="22"/>
      <w:szCs w:val="22"/>
    </w:rPr>
  </w:style>
  <w:style w:type="character" w:customStyle="1" w:styleId="CharChar224">
    <w:name w:val="Char Char224"/>
    <w:basedOn w:val="DefaultParagraphFont"/>
    <w:locked/>
    <w:rsid w:val="002F645B"/>
    <w:rPr>
      <w:rFonts w:cs="Times New Roman"/>
      <w:sz w:val="24"/>
      <w:szCs w:val="24"/>
    </w:rPr>
  </w:style>
  <w:style w:type="character" w:customStyle="1" w:styleId="CharChar214">
    <w:name w:val="Char Char214"/>
    <w:basedOn w:val="DefaultParagraphFont"/>
    <w:locked/>
    <w:rsid w:val="002F645B"/>
    <w:rPr>
      <w:rFonts w:cs="Times New Roman"/>
      <w:i/>
      <w:iCs/>
      <w:sz w:val="24"/>
      <w:szCs w:val="24"/>
    </w:rPr>
  </w:style>
  <w:style w:type="character" w:customStyle="1" w:styleId="CharChar204">
    <w:name w:val="Char Char204"/>
    <w:basedOn w:val="DefaultParagraphFont"/>
    <w:locked/>
    <w:rsid w:val="002F645B"/>
    <w:rPr>
      <w:rFonts w:ascii="Arial" w:hAnsi="Arial" w:cs="Arial"/>
      <w:sz w:val="22"/>
      <w:szCs w:val="22"/>
    </w:rPr>
  </w:style>
  <w:style w:type="character" w:customStyle="1" w:styleId="CharChar184">
    <w:name w:val="Char Char184"/>
    <w:basedOn w:val="DefaultParagraphFont"/>
    <w:locked/>
    <w:rsid w:val="002F645B"/>
    <w:rPr>
      <w:rFonts w:cs="Times New Roman"/>
      <w:sz w:val="24"/>
      <w:szCs w:val="24"/>
    </w:rPr>
  </w:style>
  <w:style w:type="character" w:customStyle="1" w:styleId="CharChar144">
    <w:name w:val="Char Char144"/>
    <w:basedOn w:val="DefaultParagraphFont"/>
    <w:locked/>
    <w:rsid w:val="002F645B"/>
    <w:rPr>
      <w:rFonts w:cs="Times New Roman"/>
      <w:sz w:val="24"/>
      <w:szCs w:val="24"/>
    </w:rPr>
  </w:style>
  <w:style w:type="character" w:customStyle="1" w:styleId="CharChar114">
    <w:name w:val="Char Char114"/>
    <w:basedOn w:val="DefaultParagraphFont"/>
    <w:locked/>
    <w:rsid w:val="002F645B"/>
    <w:rPr>
      <w:rFonts w:ascii="Cambria" w:hAnsi="Cambria" w:cs="Times New Roman"/>
      <w:sz w:val="24"/>
      <w:szCs w:val="24"/>
    </w:rPr>
  </w:style>
  <w:style w:type="character" w:customStyle="1" w:styleId="CharChar44">
    <w:name w:val="Char Char44"/>
    <w:basedOn w:val="DefaultParagraphFont"/>
    <w:locked/>
    <w:rsid w:val="002F645B"/>
    <w:rPr>
      <w:rFonts w:ascii="Cambria" w:hAnsi="Cambria" w:cs="Times New Roman"/>
      <w:b/>
      <w:bCs/>
      <w:kern w:val="28"/>
      <w:sz w:val="32"/>
      <w:szCs w:val="32"/>
    </w:rPr>
  </w:style>
  <w:style w:type="character" w:customStyle="1" w:styleId="CharChar394">
    <w:name w:val="Char Char394"/>
    <w:basedOn w:val="DefaultParagraphFont"/>
    <w:rsid w:val="002F645B"/>
    <w:rPr>
      <w:rFonts w:ascii="Arial" w:eastAsia="Times New Roman" w:hAnsi="Arial" w:cs="Arial"/>
      <w:b/>
      <w:bCs/>
      <w:i/>
      <w:iCs/>
      <w:sz w:val="28"/>
      <w:szCs w:val="28"/>
    </w:rPr>
  </w:style>
  <w:style w:type="paragraph" w:customStyle="1" w:styleId="ColorfulList-Accent15">
    <w:name w:val="Colorful List - Accent 15"/>
    <w:basedOn w:val="Normal"/>
    <w:qFormat/>
    <w:rsid w:val="002F645B"/>
    <w:pPr>
      <w:ind w:left="720"/>
    </w:pPr>
  </w:style>
  <w:style w:type="paragraph" w:customStyle="1" w:styleId="NoSpacing51">
    <w:name w:val="No Spacing51"/>
    <w:uiPriority w:val="99"/>
    <w:qFormat/>
    <w:rsid w:val="002F645B"/>
  </w:style>
  <w:style w:type="paragraph" w:customStyle="1" w:styleId="Bibliography1">
    <w:name w:val="Bibliography1"/>
    <w:basedOn w:val="Normal"/>
    <w:next w:val="Normal"/>
    <w:rsid w:val="002F645B"/>
  </w:style>
  <w:style w:type="paragraph" w:styleId="BlockText">
    <w:name w:val="Block Text"/>
    <w:basedOn w:val="Normal"/>
    <w:rsid w:val="002F645B"/>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FirstIndent">
    <w:name w:val="Body Text First Indent"/>
    <w:basedOn w:val="BodyText"/>
    <w:link w:val="BodyTextFirstIndentChar"/>
    <w:rsid w:val="002F645B"/>
    <w:pPr>
      <w:ind w:firstLine="360"/>
    </w:pPr>
    <w:rPr>
      <w:rFonts w:cs="Times New Roman"/>
      <w:szCs w:val="24"/>
      <w:u w:val="none"/>
    </w:rPr>
  </w:style>
  <w:style w:type="character" w:customStyle="1" w:styleId="BodyTextFirstIndentChar">
    <w:name w:val="Body Text First Indent Char"/>
    <w:basedOn w:val="BodyTextChar"/>
    <w:link w:val="BodyTextFirstIndent"/>
    <w:rsid w:val="002F645B"/>
    <w:rPr>
      <w:rFonts w:cs="Courier New"/>
      <w:sz w:val="24"/>
      <w:szCs w:val="24"/>
      <w:u w:val="single"/>
    </w:rPr>
  </w:style>
  <w:style w:type="paragraph" w:styleId="BodyTextFirstIndent2">
    <w:name w:val="Body Text First Indent 2"/>
    <w:basedOn w:val="BodyTextIndent"/>
    <w:link w:val="BodyTextFirstIndent2Char"/>
    <w:rsid w:val="002F645B"/>
    <w:pPr>
      <w:spacing w:after="0"/>
      <w:ind w:firstLine="360"/>
    </w:pPr>
  </w:style>
  <w:style w:type="character" w:customStyle="1" w:styleId="BodyTextFirstIndent2Char">
    <w:name w:val="Body Text First Indent 2 Char"/>
    <w:basedOn w:val="BodyTextIndentChar"/>
    <w:link w:val="BodyTextFirstIndent2"/>
    <w:rsid w:val="002F645B"/>
    <w:rPr>
      <w:sz w:val="24"/>
      <w:szCs w:val="24"/>
    </w:rPr>
  </w:style>
  <w:style w:type="paragraph" w:styleId="Closing">
    <w:name w:val="Closing"/>
    <w:basedOn w:val="Normal"/>
    <w:link w:val="ClosingChar"/>
    <w:rsid w:val="002F645B"/>
    <w:pPr>
      <w:ind w:left="4320"/>
    </w:pPr>
  </w:style>
  <w:style w:type="character" w:customStyle="1" w:styleId="ClosingChar">
    <w:name w:val="Closing Char"/>
    <w:basedOn w:val="DefaultParagraphFont"/>
    <w:link w:val="Closing"/>
    <w:rsid w:val="002F645B"/>
    <w:rPr>
      <w:sz w:val="24"/>
      <w:szCs w:val="24"/>
    </w:rPr>
  </w:style>
  <w:style w:type="paragraph" w:styleId="Date">
    <w:name w:val="Date"/>
    <w:basedOn w:val="Normal"/>
    <w:next w:val="Normal"/>
    <w:link w:val="DateChar"/>
    <w:rsid w:val="002F645B"/>
  </w:style>
  <w:style w:type="character" w:customStyle="1" w:styleId="DateChar">
    <w:name w:val="Date Char"/>
    <w:basedOn w:val="DefaultParagraphFont"/>
    <w:link w:val="Date"/>
    <w:rsid w:val="002F645B"/>
    <w:rPr>
      <w:sz w:val="24"/>
      <w:szCs w:val="24"/>
    </w:rPr>
  </w:style>
  <w:style w:type="paragraph" w:styleId="E-mailSignature">
    <w:name w:val="E-mail Signature"/>
    <w:basedOn w:val="Normal"/>
    <w:link w:val="E-mailSignatureChar"/>
    <w:rsid w:val="002F645B"/>
  </w:style>
  <w:style w:type="character" w:customStyle="1" w:styleId="E-mailSignatureChar">
    <w:name w:val="E-mail Signature Char"/>
    <w:basedOn w:val="DefaultParagraphFont"/>
    <w:link w:val="E-mailSignature"/>
    <w:rsid w:val="002F645B"/>
    <w:rPr>
      <w:sz w:val="24"/>
      <w:szCs w:val="24"/>
    </w:rPr>
  </w:style>
  <w:style w:type="paragraph" w:styleId="EnvelopeAddress">
    <w:name w:val="envelope address"/>
    <w:basedOn w:val="Normal"/>
    <w:rsid w:val="002F645B"/>
    <w:pPr>
      <w:framePr w:w="7920" w:h="1980" w:hRule="exact" w:hSpace="180" w:wrap="auto" w:hAnchor="page" w:xAlign="center" w:yAlign="bottom"/>
      <w:ind w:left="2880"/>
    </w:pPr>
    <w:rPr>
      <w:rFonts w:ascii="Cambria" w:hAnsi="Cambria"/>
    </w:rPr>
  </w:style>
  <w:style w:type="paragraph" w:styleId="EnvelopeReturn">
    <w:name w:val="envelope return"/>
    <w:basedOn w:val="Normal"/>
    <w:rsid w:val="002F645B"/>
    <w:rPr>
      <w:rFonts w:ascii="Cambria" w:hAnsi="Cambria"/>
      <w:sz w:val="20"/>
      <w:szCs w:val="20"/>
    </w:rPr>
  </w:style>
  <w:style w:type="paragraph" w:styleId="HTMLAddress">
    <w:name w:val="HTML Address"/>
    <w:basedOn w:val="Normal"/>
    <w:link w:val="HTMLAddressChar"/>
    <w:rsid w:val="002F645B"/>
    <w:rPr>
      <w:i/>
      <w:iCs/>
    </w:rPr>
  </w:style>
  <w:style w:type="character" w:customStyle="1" w:styleId="HTMLAddressChar">
    <w:name w:val="HTML Address Char"/>
    <w:basedOn w:val="DefaultParagraphFont"/>
    <w:link w:val="HTMLAddress"/>
    <w:rsid w:val="002F645B"/>
    <w:rPr>
      <w:i/>
      <w:iCs/>
      <w:sz w:val="24"/>
      <w:szCs w:val="24"/>
    </w:rPr>
  </w:style>
  <w:style w:type="paragraph" w:customStyle="1" w:styleId="LightShading-Accent21">
    <w:name w:val="Light Shading - Accent 21"/>
    <w:basedOn w:val="Normal"/>
    <w:next w:val="Normal"/>
    <w:link w:val="LightShading-Accent2Char"/>
    <w:qFormat/>
    <w:rsid w:val="002F645B"/>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basedOn w:val="DefaultParagraphFont"/>
    <w:link w:val="LightShading-Accent21"/>
    <w:rsid w:val="002F645B"/>
    <w:rPr>
      <w:b/>
      <w:bCs/>
      <w:i/>
      <w:iCs/>
      <w:color w:val="4F81BD"/>
      <w:sz w:val="24"/>
      <w:szCs w:val="24"/>
    </w:rPr>
  </w:style>
  <w:style w:type="paragraph" w:styleId="List3">
    <w:name w:val="List 3"/>
    <w:basedOn w:val="Normal"/>
    <w:rsid w:val="002F645B"/>
    <w:pPr>
      <w:ind w:left="1080" w:hanging="360"/>
      <w:contextualSpacing/>
    </w:pPr>
  </w:style>
  <w:style w:type="paragraph" w:styleId="List4">
    <w:name w:val="List 4"/>
    <w:basedOn w:val="Normal"/>
    <w:rsid w:val="002F645B"/>
    <w:pPr>
      <w:ind w:left="1440" w:hanging="360"/>
      <w:contextualSpacing/>
    </w:pPr>
  </w:style>
  <w:style w:type="paragraph" w:styleId="List5">
    <w:name w:val="List 5"/>
    <w:basedOn w:val="Normal"/>
    <w:rsid w:val="002F645B"/>
    <w:pPr>
      <w:ind w:left="1800" w:hanging="360"/>
      <w:contextualSpacing/>
    </w:pPr>
  </w:style>
  <w:style w:type="paragraph" w:styleId="ListContinue">
    <w:name w:val="List Continue"/>
    <w:basedOn w:val="Normal"/>
    <w:rsid w:val="002F645B"/>
    <w:pPr>
      <w:spacing w:after="120"/>
      <w:ind w:left="360"/>
      <w:contextualSpacing/>
    </w:pPr>
  </w:style>
  <w:style w:type="paragraph" w:styleId="ListContinue3">
    <w:name w:val="List Continue 3"/>
    <w:basedOn w:val="Normal"/>
    <w:rsid w:val="002F645B"/>
    <w:pPr>
      <w:spacing w:after="120"/>
      <w:ind w:left="1080"/>
      <w:contextualSpacing/>
    </w:pPr>
  </w:style>
  <w:style w:type="paragraph" w:styleId="ListContinue4">
    <w:name w:val="List Continue 4"/>
    <w:basedOn w:val="Normal"/>
    <w:rsid w:val="002F645B"/>
    <w:pPr>
      <w:spacing w:after="120"/>
      <w:ind w:left="1440"/>
      <w:contextualSpacing/>
    </w:pPr>
  </w:style>
  <w:style w:type="paragraph" w:styleId="ListContinue5">
    <w:name w:val="List Continue 5"/>
    <w:basedOn w:val="Normal"/>
    <w:rsid w:val="002F645B"/>
    <w:pPr>
      <w:spacing w:after="120"/>
      <w:ind w:left="1800"/>
      <w:contextualSpacing/>
    </w:pPr>
  </w:style>
  <w:style w:type="paragraph" w:styleId="MacroText">
    <w:name w:val="macro"/>
    <w:link w:val="MacroTextChar"/>
    <w:rsid w:val="002F645B"/>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2F645B"/>
    <w:rPr>
      <w:rFonts w:ascii="Consolas" w:hAnsi="Consolas"/>
      <w:sz w:val="24"/>
      <w:szCs w:val="24"/>
    </w:rPr>
  </w:style>
  <w:style w:type="paragraph" w:styleId="MessageHeader">
    <w:name w:val="Message Header"/>
    <w:basedOn w:val="Normal"/>
    <w:link w:val="MessageHeaderChar"/>
    <w:rsid w:val="002F645B"/>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rsid w:val="002F645B"/>
    <w:rPr>
      <w:rFonts w:ascii="Cambria" w:hAnsi="Cambria"/>
      <w:sz w:val="24"/>
      <w:szCs w:val="24"/>
      <w:shd w:val="pct20" w:color="auto" w:fill="auto"/>
    </w:rPr>
  </w:style>
  <w:style w:type="paragraph" w:customStyle="1" w:styleId="NoSpacing6">
    <w:name w:val="No Spacing6"/>
    <w:qFormat/>
    <w:rsid w:val="002F645B"/>
  </w:style>
  <w:style w:type="paragraph" w:styleId="NormalIndent">
    <w:name w:val="Normal Indent"/>
    <w:basedOn w:val="Normal"/>
    <w:rsid w:val="002F645B"/>
    <w:pPr>
      <w:ind w:left="720"/>
    </w:pPr>
  </w:style>
  <w:style w:type="paragraph" w:styleId="NoteHeading">
    <w:name w:val="Note Heading"/>
    <w:basedOn w:val="Normal"/>
    <w:next w:val="Normal"/>
    <w:link w:val="NoteHeadingChar"/>
    <w:rsid w:val="002F645B"/>
  </w:style>
  <w:style w:type="character" w:customStyle="1" w:styleId="NoteHeadingChar">
    <w:name w:val="Note Heading Char"/>
    <w:basedOn w:val="DefaultParagraphFont"/>
    <w:link w:val="NoteHeading"/>
    <w:rsid w:val="002F645B"/>
    <w:rPr>
      <w:sz w:val="24"/>
      <w:szCs w:val="24"/>
    </w:rPr>
  </w:style>
  <w:style w:type="paragraph" w:customStyle="1" w:styleId="ColorfulGrid-Accent11">
    <w:name w:val="Colorful Grid - Accent 11"/>
    <w:basedOn w:val="Normal"/>
    <w:next w:val="Normal"/>
    <w:link w:val="ColorfulGrid-Accent1Char"/>
    <w:qFormat/>
    <w:rsid w:val="002F645B"/>
    <w:rPr>
      <w:i/>
      <w:iCs/>
      <w:color w:val="000000"/>
    </w:rPr>
  </w:style>
  <w:style w:type="character" w:customStyle="1" w:styleId="ColorfulGrid-Accent1Char">
    <w:name w:val="Colorful Grid - Accent 1 Char"/>
    <w:basedOn w:val="DefaultParagraphFont"/>
    <w:link w:val="ColorfulGrid-Accent11"/>
    <w:rsid w:val="002F645B"/>
    <w:rPr>
      <w:i/>
      <w:iCs/>
      <w:color w:val="000000"/>
      <w:sz w:val="24"/>
      <w:szCs w:val="24"/>
    </w:rPr>
  </w:style>
  <w:style w:type="paragraph" w:styleId="Salutation">
    <w:name w:val="Salutation"/>
    <w:basedOn w:val="Normal"/>
    <w:next w:val="Normal"/>
    <w:link w:val="SalutationChar"/>
    <w:rsid w:val="002F645B"/>
  </w:style>
  <w:style w:type="character" w:customStyle="1" w:styleId="SalutationChar">
    <w:name w:val="Salutation Char"/>
    <w:basedOn w:val="DefaultParagraphFont"/>
    <w:link w:val="Salutation"/>
    <w:rsid w:val="002F645B"/>
    <w:rPr>
      <w:sz w:val="24"/>
      <w:szCs w:val="24"/>
    </w:rPr>
  </w:style>
  <w:style w:type="paragraph" w:styleId="Signature">
    <w:name w:val="Signature"/>
    <w:basedOn w:val="Normal"/>
    <w:link w:val="SignatureChar"/>
    <w:rsid w:val="002F645B"/>
    <w:pPr>
      <w:ind w:left="4320"/>
    </w:pPr>
  </w:style>
  <w:style w:type="character" w:customStyle="1" w:styleId="SignatureChar">
    <w:name w:val="Signature Char"/>
    <w:basedOn w:val="DefaultParagraphFont"/>
    <w:link w:val="Signature"/>
    <w:rsid w:val="002F645B"/>
    <w:rPr>
      <w:sz w:val="24"/>
      <w:szCs w:val="24"/>
    </w:rPr>
  </w:style>
  <w:style w:type="paragraph" w:styleId="TableofAuthorities">
    <w:name w:val="table of authorities"/>
    <w:basedOn w:val="Normal"/>
    <w:next w:val="Normal"/>
    <w:rsid w:val="002F645B"/>
    <w:pPr>
      <w:ind w:left="240" w:hanging="240"/>
    </w:pPr>
  </w:style>
  <w:style w:type="paragraph" w:styleId="TOAHeading">
    <w:name w:val="toa heading"/>
    <w:basedOn w:val="Normal"/>
    <w:next w:val="Normal"/>
    <w:rsid w:val="002F645B"/>
    <w:pPr>
      <w:spacing w:before="120"/>
    </w:pPr>
    <w:rPr>
      <w:rFonts w:ascii="Cambria" w:hAnsi="Cambria"/>
      <w:b/>
      <w:bCs/>
    </w:rPr>
  </w:style>
  <w:style w:type="paragraph" w:customStyle="1" w:styleId="ColorfulList-Accent16">
    <w:name w:val="Colorful List - Accent 16"/>
    <w:basedOn w:val="Normal"/>
    <w:uiPriority w:val="34"/>
    <w:qFormat/>
    <w:rsid w:val="002F645B"/>
    <w:pPr>
      <w:ind w:left="720"/>
    </w:pPr>
  </w:style>
  <w:style w:type="paragraph" w:customStyle="1" w:styleId="ColorfulList-Accent161">
    <w:name w:val="Colorful List - Accent 161"/>
    <w:basedOn w:val="Normal"/>
    <w:uiPriority w:val="34"/>
    <w:qFormat/>
    <w:rsid w:val="002F645B"/>
    <w:pPr>
      <w:ind w:left="720"/>
      <w:contextualSpacing/>
    </w:pPr>
    <w:rPr>
      <w:rFonts w:ascii="Calibri" w:hAnsi="Calibri"/>
      <w:sz w:val="22"/>
      <w:szCs w:val="22"/>
    </w:rPr>
  </w:style>
  <w:style w:type="table" w:styleId="DarkList-Accent3">
    <w:name w:val="Dark List Accent 3"/>
    <w:basedOn w:val="TableNormal"/>
    <w:uiPriority w:val="71"/>
    <w:rsid w:val="002F645B"/>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LightGrid-Accent311">
    <w:name w:val="Light Grid - Accent 311"/>
    <w:basedOn w:val="Normal"/>
    <w:uiPriority w:val="34"/>
    <w:qFormat/>
    <w:rsid w:val="002F645B"/>
    <w:pPr>
      <w:ind w:left="720"/>
      <w:contextualSpacing/>
    </w:pPr>
    <w:rPr>
      <w:rFonts w:ascii="Calibri" w:eastAsia="Calibri" w:hAnsi="Calibri"/>
      <w:sz w:val="22"/>
      <w:szCs w:val="22"/>
    </w:rPr>
  </w:style>
  <w:style w:type="table" w:customStyle="1" w:styleId="LightGrid-Accent11">
    <w:name w:val="Light Grid - Accent 11"/>
    <w:basedOn w:val="TableNormal"/>
    <w:rsid w:val="002F645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EmailStyle530">
    <w:name w:val="EmailStyle530"/>
    <w:basedOn w:val="DefaultParagraphFont"/>
    <w:semiHidden/>
    <w:rsid w:val="002F645B"/>
    <w:rPr>
      <w:rFonts w:ascii="Arial" w:hAnsi="Arial" w:cs="Arial" w:hint="default"/>
      <w:color w:val="auto"/>
      <w:sz w:val="20"/>
      <w:szCs w:val="20"/>
    </w:rPr>
  </w:style>
  <w:style w:type="character" w:customStyle="1" w:styleId="EmailStyle531">
    <w:name w:val="EmailStyle531"/>
    <w:basedOn w:val="DefaultParagraphFont"/>
    <w:semiHidden/>
    <w:rsid w:val="002F645B"/>
    <w:rPr>
      <w:rFonts w:ascii="Arial" w:hAnsi="Arial" w:cs="Arial" w:hint="default"/>
      <w:color w:val="auto"/>
      <w:sz w:val="20"/>
      <w:szCs w:val="20"/>
    </w:rPr>
  </w:style>
  <w:style w:type="character" w:customStyle="1" w:styleId="EmailStyle532">
    <w:name w:val="EmailStyle532"/>
    <w:basedOn w:val="DefaultParagraphFont"/>
    <w:semiHidden/>
    <w:rsid w:val="002F645B"/>
    <w:rPr>
      <w:rFonts w:ascii="Arial" w:hAnsi="Arial" w:cs="Arial" w:hint="default"/>
      <w:color w:val="auto"/>
      <w:sz w:val="20"/>
      <w:szCs w:val="20"/>
    </w:rPr>
  </w:style>
  <w:style w:type="character" w:customStyle="1" w:styleId="EmailStyle533">
    <w:name w:val="EmailStyle533"/>
    <w:basedOn w:val="DefaultParagraphFont"/>
    <w:semiHidden/>
    <w:rsid w:val="002F645B"/>
    <w:rPr>
      <w:rFonts w:ascii="Arial" w:hAnsi="Arial" w:cs="Arial" w:hint="default"/>
      <w:color w:val="auto"/>
      <w:sz w:val="20"/>
      <w:szCs w:val="20"/>
    </w:rPr>
  </w:style>
  <w:style w:type="character" w:customStyle="1" w:styleId="EmailStyle534">
    <w:name w:val="EmailStyle534"/>
    <w:basedOn w:val="DefaultParagraphFont"/>
    <w:semiHidden/>
    <w:rsid w:val="002F645B"/>
    <w:rPr>
      <w:rFonts w:ascii="Arial" w:hAnsi="Arial" w:cs="Arial" w:hint="default"/>
      <w:color w:val="auto"/>
      <w:sz w:val="20"/>
      <w:szCs w:val="20"/>
    </w:rPr>
  </w:style>
  <w:style w:type="table" w:styleId="MediumGrid3-Accent1">
    <w:name w:val="Medium Grid 3 Accent 1"/>
    <w:basedOn w:val="TableNormal"/>
    <w:uiPriority w:val="69"/>
    <w:rsid w:val="002F645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2-Accent1">
    <w:name w:val="Medium List 2 Accent 1"/>
    <w:basedOn w:val="TableNormal"/>
    <w:uiPriority w:val="66"/>
    <w:rsid w:val="002F645B"/>
    <w:rPr>
      <w:rFonts w:asciiTheme="majorHAnsi" w:eastAsiaTheme="majorEastAsia" w:hAnsiTheme="majorHAnsi" w:cstheme="majorBidi"/>
      <w:color w:val="000000" w:themeColor="text1"/>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Classic1">
    <w:name w:val="Table Classic 1"/>
    <w:basedOn w:val="TableNormal"/>
    <w:rsid w:val="002F645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rfulGrid-Accent1">
    <w:name w:val="Colorful Grid Accent 1"/>
    <w:basedOn w:val="TableNormal"/>
    <w:uiPriority w:val="73"/>
    <w:rsid w:val="002F645B"/>
    <w:rPr>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ormal1">
    <w:name w:val="Normal1"/>
    <w:rsid w:val="002F645B"/>
    <w:pPr>
      <w:spacing w:line="276" w:lineRule="auto"/>
    </w:pPr>
    <w:rPr>
      <w:rFonts w:ascii="Arial" w:eastAsia="Arial" w:hAnsi="Arial" w:cs="Arial"/>
      <w:color w:val="000000"/>
      <w:sz w:val="22"/>
      <w:szCs w:val="22"/>
    </w:rPr>
  </w:style>
  <w:style w:type="character" w:customStyle="1" w:styleId="EmailStyle57">
    <w:name w:val="EmailStyle57"/>
    <w:basedOn w:val="DefaultParagraphFont"/>
    <w:semiHidden/>
    <w:rsid w:val="002F645B"/>
    <w:rPr>
      <w:rFonts w:ascii="Arial" w:hAnsi="Arial" w:cs="Arial" w:hint="default"/>
      <w:color w:val="auto"/>
      <w:sz w:val="20"/>
      <w:szCs w:val="20"/>
    </w:rPr>
  </w:style>
  <w:style w:type="character" w:customStyle="1" w:styleId="EmailStyle343">
    <w:name w:val="EmailStyle343"/>
    <w:basedOn w:val="DefaultParagraphFont"/>
    <w:semiHidden/>
    <w:rsid w:val="002F645B"/>
    <w:rPr>
      <w:rFonts w:ascii="Arial" w:hAnsi="Arial" w:cs="Arial" w:hint="default"/>
      <w:color w:val="auto"/>
      <w:sz w:val="20"/>
      <w:szCs w:val="20"/>
    </w:rPr>
  </w:style>
  <w:style w:type="character" w:customStyle="1" w:styleId="EmailStyle358">
    <w:name w:val="EmailStyle358"/>
    <w:basedOn w:val="DefaultParagraphFont"/>
    <w:semiHidden/>
    <w:rsid w:val="002F645B"/>
    <w:rPr>
      <w:rFonts w:ascii="Arial" w:hAnsi="Arial" w:cs="Arial" w:hint="default"/>
      <w:color w:val="auto"/>
      <w:sz w:val="20"/>
      <w:szCs w:val="20"/>
    </w:rPr>
  </w:style>
  <w:style w:type="character" w:customStyle="1" w:styleId="EmailStyle359">
    <w:name w:val="EmailStyle359"/>
    <w:basedOn w:val="DefaultParagraphFont"/>
    <w:semiHidden/>
    <w:rsid w:val="002F645B"/>
    <w:rPr>
      <w:rFonts w:ascii="Arial" w:hAnsi="Arial" w:cs="Arial" w:hint="default"/>
      <w:color w:val="auto"/>
      <w:sz w:val="20"/>
      <w:szCs w:val="20"/>
    </w:rPr>
  </w:style>
  <w:style w:type="table" w:styleId="ColorfulGrid-Accent6">
    <w:name w:val="Colorful Grid Accent 6"/>
    <w:basedOn w:val="TableNormal"/>
    <w:uiPriority w:val="71"/>
    <w:rsid w:val="002F645B"/>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EmailStyle369">
    <w:name w:val="EmailStyle369"/>
    <w:basedOn w:val="DefaultParagraphFont"/>
    <w:semiHidden/>
    <w:rsid w:val="002F645B"/>
    <w:rPr>
      <w:rFonts w:ascii="Arial" w:hAnsi="Arial" w:cs="Arial" w:hint="default"/>
      <w:color w:val="auto"/>
      <w:sz w:val="20"/>
      <w:szCs w:val="20"/>
    </w:rPr>
  </w:style>
  <w:style w:type="table" w:styleId="MediumShading2-Accent6">
    <w:name w:val="Medium Shading 2 Accent 6"/>
    <w:basedOn w:val="TableNormal"/>
    <w:uiPriority w:val="71"/>
    <w:rsid w:val="002F645B"/>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StyleHeading4CharCharCharChar12ptNotBold">
    <w:name w:val="Style Heading 4 Char Char Char Char + 12 pt Not Bold"/>
    <w:basedOn w:val="DefaultParagraphFont"/>
    <w:rsid w:val="002F645B"/>
    <w:rPr>
      <w:rFonts w:ascii="Times New Roman" w:hAnsi="Times New Roman"/>
      <w:b w:val="0"/>
      <w:bCs w:val="0"/>
      <w:sz w:val="24"/>
      <w:szCs w:val="28"/>
      <w:lang w:val="en-US" w:eastAsia="en-US" w:bidi="ar-SA"/>
    </w:rPr>
  </w:style>
  <w:style w:type="paragraph" w:customStyle="1" w:styleId="NoSpacing7">
    <w:name w:val="No Spacing7"/>
    <w:uiPriority w:val="1"/>
    <w:qFormat/>
    <w:rsid w:val="002F645B"/>
  </w:style>
  <w:style w:type="character" w:customStyle="1" w:styleId="EmailStyle54">
    <w:name w:val="EmailStyle54"/>
    <w:basedOn w:val="DefaultParagraphFont"/>
    <w:semiHidden/>
    <w:rsid w:val="002F645B"/>
    <w:rPr>
      <w:rFonts w:ascii="Arial" w:hAnsi="Arial" w:cs="Arial" w:hint="default"/>
      <w:color w:val="auto"/>
      <w:sz w:val="20"/>
      <w:szCs w:val="20"/>
    </w:rPr>
  </w:style>
  <w:style w:type="table" w:styleId="TableElegant">
    <w:name w:val="Table Elegant"/>
    <w:basedOn w:val="TableNormal"/>
    <w:rsid w:val="002F645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eading31">
    <w:name w:val="Heading 31"/>
    <w:basedOn w:val="Normal"/>
    <w:next w:val="Normal"/>
    <w:qFormat/>
    <w:rsid w:val="002F645B"/>
    <w:pPr>
      <w:keepNext/>
      <w:tabs>
        <w:tab w:val="num" w:pos="720"/>
      </w:tabs>
      <w:spacing w:before="240" w:after="60"/>
      <w:ind w:left="720" w:hanging="720"/>
    </w:pPr>
    <w:rPr>
      <w:rFonts w:ascii="Arial" w:hAnsi="Arial" w:cs="Arial"/>
      <w:b/>
      <w:bCs/>
      <w:szCs w:val="26"/>
    </w:rPr>
  </w:style>
  <w:style w:type="paragraph" w:customStyle="1" w:styleId="BodyTextIn">
    <w:name w:val="Body Text In"/>
    <w:uiPriority w:val="99"/>
    <w:rsid w:val="002F645B"/>
    <w:pPr>
      <w:tabs>
        <w:tab w:val="left" w:pos="-90"/>
        <w:tab w:val="left" w:pos="0"/>
        <w:tab w:val="left" w:pos="9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270"/>
        <w:tab w:val="left" w:pos="9360"/>
      </w:tabs>
      <w:autoSpaceDE w:val="0"/>
      <w:autoSpaceDN w:val="0"/>
      <w:adjustRightInd w:val="0"/>
      <w:ind w:left="90"/>
    </w:pPr>
  </w:style>
  <w:style w:type="paragraph" w:customStyle="1" w:styleId="CM26">
    <w:name w:val="CM26"/>
    <w:basedOn w:val="Normal"/>
    <w:next w:val="Normal"/>
    <w:uiPriority w:val="99"/>
    <w:rsid w:val="002F645B"/>
    <w:pPr>
      <w:autoSpaceDE w:val="0"/>
      <w:autoSpaceDN w:val="0"/>
      <w:adjustRightInd w:val="0"/>
    </w:pPr>
  </w:style>
  <w:style w:type="paragraph" w:customStyle="1" w:styleId="maintext">
    <w:name w:val="maintext"/>
    <w:basedOn w:val="Normal"/>
    <w:rsid w:val="002F645B"/>
    <w:pPr>
      <w:spacing w:before="100" w:beforeAutospacing="1" w:after="100" w:afterAutospacing="1"/>
    </w:pPr>
  </w:style>
  <w:style w:type="character" w:customStyle="1" w:styleId="maintext1">
    <w:name w:val="maintext1"/>
    <w:basedOn w:val="DefaultParagraphFont"/>
    <w:rsid w:val="002F645B"/>
  </w:style>
  <w:style w:type="paragraph" w:customStyle="1" w:styleId="missiontxt">
    <w:name w:val="mission_txt"/>
    <w:basedOn w:val="Normal"/>
    <w:rsid w:val="002F645B"/>
    <w:pPr>
      <w:spacing w:before="100" w:beforeAutospacing="1" w:after="100" w:afterAutospacing="1"/>
    </w:pPr>
  </w:style>
  <w:style w:type="paragraph" w:customStyle="1" w:styleId="TableKCaption">
    <w:name w:val="TableK Caption"/>
    <w:basedOn w:val="Normal"/>
    <w:next w:val="BodyText"/>
    <w:qFormat/>
    <w:rsid w:val="002F645B"/>
  </w:style>
  <w:style w:type="character" w:customStyle="1" w:styleId="EmailStyle541">
    <w:name w:val="EmailStyle541"/>
    <w:basedOn w:val="DefaultParagraphFont"/>
    <w:semiHidden/>
    <w:rsid w:val="002F645B"/>
    <w:rPr>
      <w:rFonts w:ascii="Arial" w:hAnsi="Arial" w:cs="Arial" w:hint="default"/>
      <w:color w:val="auto"/>
      <w:sz w:val="20"/>
      <w:szCs w:val="20"/>
    </w:rPr>
  </w:style>
  <w:style w:type="character" w:customStyle="1" w:styleId="Heading1Char2">
    <w:name w:val="Heading 1 Char2"/>
    <w:basedOn w:val="DefaultParagraphFont"/>
    <w:rsid w:val="002F645B"/>
    <w:rPr>
      <w:rFonts w:ascii="Times New Roman" w:eastAsia="Times New Roman" w:hAnsi="Times New Roman" w:cs="Times New Roman"/>
      <w:b/>
      <w:bCs/>
      <w:sz w:val="24"/>
      <w:szCs w:val="28"/>
    </w:rPr>
  </w:style>
  <w:style w:type="character" w:customStyle="1" w:styleId="Heading1Char3">
    <w:name w:val="Heading 1 Char3"/>
    <w:basedOn w:val="DefaultParagraphFont"/>
    <w:rsid w:val="002F645B"/>
    <w:rPr>
      <w:rFonts w:ascii="Times New Roman" w:eastAsia="Times New Roman" w:hAnsi="Times New Roman" w:cs="Times New Roman"/>
      <w:b/>
      <w:bCs/>
      <w:sz w:val="24"/>
      <w:szCs w:val="28"/>
    </w:rPr>
  </w:style>
  <w:style w:type="character" w:customStyle="1" w:styleId="Heading2Char1">
    <w:name w:val="Heading 2 Char1"/>
    <w:basedOn w:val="DefaultParagraphFont"/>
    <w:rsid w:val="002F645B"/>
    <w:rPr>
      <w:rFonts w:ascii="Times New Roman" w:eastAsia="Times New Roman" w:hAnsi="Times New Roman" w:cs="Times New Roman"/>
      <w:b/>
      <w:bCs/>
      <w:sz w:val="24"/>
      <w:szCs w:val="26"/>
    </w:rPr>
  </w:style>
  <w:style w:type="character" w:customStyle="1" w:styleId="volume">
    <w:name w:val="volume"/>
    <w:basedOn w:val="DefaultParagraphFont"/>
    <w:rsid w:val="002F645B"/>
  </w:style>
  <w:style w:type="character" w:customStyle="1" w:styleId="page">
    <w:name w:val="page"/>
    <w:basedOn w:val="DefaultParagraphFont"/>
    <w:rsid w:val="002F645B"/>
  </w:style>
  <w:style w:type="character" w:customStyle="1" w:styleId="e-04">
    <w:name w:val="e-04"/>
    <w:basedOn w:val="DefaultParagraphFont"/>
    <w:rsid w:val="002F645B"/>
  </w:style>
  <w:style w:type="numbering" w:customStyle="1" w:styleId="NoList2">
    <w:name w:val="No List2"/>
    <w:next w:val="NoList"/>
    <w:uiPriority w:val="99"/>
    <w:semiHidden/>
    <w:unhideWhenUsed/>
    <w:rsid w:val="00F158FF"/>
  </w:style>
  <w:style w:type="table" w:customStyle="1" w:styleId="TableGrid3">
    <w:name w:val="Table Grid3"/>
    <w:basedOn w:val="TableNormal"/>
    <w:next w:val="TableGrid"/>
    <w:uiPriority w:val="59"/>
    <w:rsid w:val="00F158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11">
    <w:name w:val="Table List 11"/>
    <w:basedOn w:val="TableNormal"/>
    <w:next w:val="TableList1"/>
    <w:uiPriority w:val="99"/>
    <w:rsid w:val="00F158FF"/>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11">
    <w:name w:val="Table Columns 11"/>
    <w:basedOn w:val="TableNormal"/>
    <w:next w:val="TableColumns1"/>
    <w:rsid w:val="00F158FF"/>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F158F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F158FF"/>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rsid w:val="00F158F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21">
    <w:name w:val="Table 3D effects 21"/>
    <w:basedOn w:val="TableNormal"/>
    <w:next w:val="Table3Deffects2"/>
    <w:rsid w:val="00F158FF"/>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11">
    <w:name w:val="Table 3D effects 11"/>
    <w:basedOn w:val="TableNormal"/>
    <w:next w:val="Table3Deffects1"/>
    <w:rsid w:val="00F158FF"/>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Columns31">
    <w:name w:val="Table Columns 31"/>
    <w:basedOn w:val="TableNormal"/>
    <w:next w:val="TableColumns3"/>
    <w:rsid w:val="00F158FF"/>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MediumList1-Accent41">
    <w:name w:val="Medium List 1 - Accent 41"/>
    <w:basedOn w:val="TableNormal"/>
    <w:next w:val="MediumList1-Accent4"/>
    <w:uiPriority w:val="71"/>
    <w:rsid w:val="00F158FF"/>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DarkList-Accent32">
    <w:name w:val="Dark List - Accent 32"/>
    <w:basedOn w:val="TableNormal"/>
    <w:next w:val="DarkList-Accent3"/>
    <w:uiPriority w:val="71"/>
    <w:rsid w:val="00F158FF"/>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Grid-Accent111">
    <w:name w:val="Light Grid - Accent 111"/>
    <w:basedOn w:val="TableNormal"/>
    <w:rsid w:val="00F158F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3-Accent11">
    <w:name w:val="Medium Grid 3 - Accent 11"/>
    <w:basedOn w:val="TableNormal"/>
    <w:next w:val="MediumGrid3-Accent1"/>
    <w:uiPriority w:val="69"/>
    <w:rsid w:val="00F158F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List2-Accent11">
    <w:name w:val="Medium List 2 - Accent 11"/>
    <w:basedOn w:val="TableNormal"/>
    <w:next w:val="MediumList2-Accent1"/>
    <w:uiPriority w:val="66"/>
    <w:rsid w:val="00F158FF"/>
    <w:rPr>
      <w:rFonts w:ascii="Cambria" w:hAnsi="Cambria"/>
      <w:color w:val="000000"/>
      <w:sz w:val="22"/>
      <w:szCs w:val="22"/>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lassic11">
    <w:name w:val="Table Classic 11"/>
    <w:basedOn w:val="TableNormal"/>
    <w:next w:val="TableClassic1"/>
    <w:rsid w:val="00F158F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111">
    <w:name w:val="Light Shading - Accent 111"/>
    <w:basedOn w:val="TableNormal"/>
    <w:uiPriority w:val="60"/>
    <w:rsid w:val="00F158F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olorfulGrid-Accent12">
    <w:name w:val="Colorful Grid - Accent 12"/>
    <w:basedOn w:val="TableNormal"/>
    <w:next w:val="ColorfulGrid-Accent1"/>
    <w:uiPriority w:val="73"/>
    <w:rsid w:val="00F158FF"/>
    <w:rPr>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11">
    <w:name w:val="Table Grid11"/>
    <w:basedOn w:val="TableNormal"/>
    <w:next w:val="TableGrid"/>
    <w:uiPriority w:val="59"/>
    <w:rsid w:val="00F158F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F158F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Grid-Accent61">
    <w:name w:val="Colorful Grid - Accent 61"/>
    <w:basedOn w:val="TableNormal"/>
    <w:next w:val="ColorfulGrid-Accent6"/>
    <w:uiPriority w:val="71"/>
    <w:rsid w:val="00F158FF"/>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MediumShading2-Accent61">
    <w:name w:val="Medium Shading 2 - Accent 61"/>
    <w:basedOn w:val="TableNormal"/>
    <w:next w:val="MediumShading2-Accent6"/>
    <w:uiPriority w:val="71"/>
    <w:rsid w:val="00F158FF"/>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TableElegant1">
    <w:name w:val="Table Elegant1"/>
    <w:basedOn w:val="TableNormal"/>
    <w:next w:val="TableElegant"/>
    <w:rsid w:val="00F158F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
    <w:name w:val="No List11"/>
    <w:next w:val="NoList"/>
    <w:semiHidden/>
    <w:rsid w:val="00F158FF"/>
  </w:style>
  <w:style w:type="table" w:customStyle="1" w:styleId="TableGrid4">
    <w:name w:val="Table Grid4"/>
    <w:basedOn w:val="TableNormal"/>
    <w:next w:val="TableGrid"/>
    <w:uiPriority w:val="59"/>
    <w:rsid w:val="00401D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E1150D"/>
  </w:style>
  <w:style w:type="paragraph" w:customStyle="1" w:styleId="referenceindent">
    <w:name w:val="referenceindent"/>
    <w:basedOn w:val="Normal"/>
    <w:rsid w:val="00E1150D"/>
    <w:pPr>
      <w:spacing w:before="100" w:beforeAutospacing="1" w:after="100" w:afterAutospacing="1"/>
    </w:pPr>
    <w:rPr>
      <w:rFonts w:eastAsiaTheme="minorHAnsi"/>
      <w:color w:val="000000"/>
    </w:rPr>
  </w:style>
  <w:style w:type="table" w:customStyle="1" w:styleId="TableGrid5">
    <w:name w:val="Table Grid5"/>
    <w:basedOn w:val="TableNormal"/>
    <w:next w:val="TableGrid"/>
    <w:uiPriority w:val="59"/>
    <w:rsid w:val="00B67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12">
    <w:name w:val="Table List 12"/>
    <w:basedOn w:val="TableNormal"/>
    <w:next w:val="TableList1"/>
    <w:uiPriority w:val="99"/>
    <w:rsid w:val="00B67A5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12">
    <w:name w:val="Table Columns 12"/>
    <w:basedOn w:val="TableNormal"/>
    <w:next w:val="TableColumns1"/>
    <w:rsid w:val="00B67A5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rsid w:val="00B67A5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rsid w:val="00B67A5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uiPriority w:val="99"/>
    <w:rsid w:val="00B67A5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22">
    <w:name w:val="Table 3D effects 22"/>
    <w:basedOn w:val="TableNormal"/>
    <w:next w:val="Table3Deffects2"/>
    <w:rsid w:val="00B67A5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12">
    <w:name w:val="Table 3D effects 12"/>
    <w:basedOn w:val="TableNormal"/>
    <w:next w:val="Table3Deffects1"/>
    <w:rsid w:val="00B67A5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Columns32">
    <w:name w:val="Table Columns 32"/>
    <w:basedOn w:val="TableNormal"/>
    <w:next w:val="TableColumns3"/>
    <w:rsid w:val="00B67A5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MediumList2-Accent22">
    <w:name w:val="Medium List 2 - Accent 22"/>
    <w:basedOn w:val="TableNormal"/>
    <w:next w:val="MediumList2-Accent2"/>
    <w:uiPriority w:val="71"/>
    <w:rsid w:val="00B67A54"/>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TableGrid22">
    <w:name w:val="Table Grid22"/>
    <w:basedOn w:val="TableNormal"/>
    <w:next w:val="TableGrid"/>
    <w:uiPriority w:val="59"/>
    <w:rsid w:val="00B67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2">
    <w:name w:val="Medium Grid 3 - Accent 12"/>
    <w:basedOn w:val="TableNormal"/>
    <w:next w:val="MediumGrid3-Accent1"/>
    <w:uiPriority w:val="69"/>
    <w:rsid w:val="00B67A5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Classic12">
    <w:name w:val="Table Classic 12"/>
    <w:basedOn w:val="TableNormal"/>
    <w:next w:val="TableClassic1"/>
    <w:rsid w:val="00B67A5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rfulGrid-Accent62">
    <w:name w:val="Colorful Grid - Accent 62"/>
    <w:basedOn w:val="TableNormal"/>
    <w:next w:val="ColorfulGrid-Accent6"/>
    <w:uiPriority w:val="71"/>
    <w:rsid w:val="00B67A54"/>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MediumShading2-Accent62">
    <w:name w:val="Medium Shading 2 - Accent 62"/>
    <w:basedOn w:val="TableNormal"/>
    <w:next w:val="MediumShading2-Accent6"/>
    <w:uiPriority w:val="71"/>
    <w:rsid w:val="00B67A54"/>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TableElegant2">
    <w:name w:val="Table Elegant2"/>
    <w:basedOn w:val="TableNormal"/>
    <w:next w:val="TableElegant"/>
    <w:rsid w:val="00B67A5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ediumGrid3-Accent111">
    <w:name w:val="Medium Grid 3 - Accent 111"/>
    <w:basedOn w:val="TableNormal"/>
    <w:next w:val="MediumGrid3-Accent1"/>
    <w:uiPriority w:val="69"/>
    <w:rsid w:val="00B67A5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Classic111">
    <w:name w:val="Table Classic 111"/>
    <w:basedOn w:val="TableNormal"/>
    <w:next w:val="TableClassic1"/>
    <w:rsid w:val="00B67A5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1111">
    <w:name w:val="Light Shading - Accent 1111"/>
    <w:basedOn w:val="TableNormal"/>
    <w:uiPriority w:val="60"/>
    <w:rsid w:val="00B67A5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1">
    <w:name w:val="Table Grid111"/>
    <w:basedOn w:val="TableNormal"/>
    <w:next w:val="TableGrid"/>
    <w:uiPriority w:val="59"/>
    <w:rsid w:val="00B67A5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Grid-Accent611">
    <w:name w:val="Colorful Grid - Accent 611"/>
    <w:basedOn w:val="TableNormal"/>
    <w:next w:val="ColorfulGrid-Accent6"/>
    <w:uiPriority w:val="71"/>
    <w:rsid w:val="00B67A54"/>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MediumShading2-Accent611">
    <w:name w:val="Medium Shading 2 - Accent 611"/>
    <w:basedOn w:val="TableNormal"/>
    <w:next w:val="MediumShading2-Accent6"/>
    <w:uiPriority w:val="71"/>
    <w:rsid w:val="00B67A54"/>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TableElegant11">
    <w:name w:val="Table Elegant11"/>
    <w:basedOn w:val="TableNormal"/>
    <w:next w:val="TableElegant"/>
    <w:rsid w:val="00B67A5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41"/>
    <w:basedOn w:val="TableNormal"/>
    <w:next w:val="TableGrid"/>
    <w:uiPriority w:val="59"/>
    <w:rsid w:val="00B67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481">
    <w:name w:val="EmailStyle481"/>
    <w:semiHidden/>
    <w:rsid w:val="00941184"/>
    <w:rPr>
      <w:rFonts w:ascii="Arial" w:hAnsi="Arial" w:cs="Arial" w:hint="default"/>
      <w:color w:val="auto"/>
      <w:sz w:val="20"/>
      <w:szCs w:val="20"/>
    </w:rPr>
  </w:style>
  <w:style w:type="character" w:customStyle="1" w:styleId="EmailStyle3411">
    <w:name w:val="EmailStyle3411"/>
    <w:semiHidden/>
    <w:rsid w:val="00C06287"/>
    <w:rPr>
      <w:rFonts w:ascii="Arial" w:hAnsi="Arial" w:cs="Arial" w:hint="default"/>
      <w:color w:val="auto"/>
      <w:sz w:val="20"/>
      <w:szCs w:val="20"/>
    </w:rPr>
  </w:style>
  <w:style w:type="character" w:customStyle="1" w:styleId="EmailStyle356">
    <w:name w:val="EmailStyle356"/>
    <w:semiHidden/>
    <w:rsid w:val="00C06287"/>
    <w:rPr>
      <w:rFonts w:ascii="Arial" w:hAnsi="Arial" w:cs="Arial" w:hint="default"/>
      <w:color w:val="auto"/>
      <w:sz w:val="20"/>
      <w:szCs w:val="20"/>
    </w:rPr>
  </w:style>
  <w:style w:type="character" w:customStyle="1" w:styleId="EmailStyle357">
    <w:name w:val="EmailStyle357"/>
    <w:semiHidden/>
    <w:rsid w:val="00C06287"/>
    <w:rPr>
      <w:rFonts w:ascii="Arial" w:hAnsi="Arial" w:cs="Arial" w:hint="default"/>
      <w:color w:val="auto"/>
      <w:sz w:val="20"/>
      <w:szCs w:val="20"/>
    </w:rPr>
  </w:style>
  <w:style w:type="paragraph" w:customStyle="1" w:styleId="MediumGrid21">
    <w:name w:val="Medium Grid 21"/>
    <w:uiPriority w:val="1"/>
    <w:qFormat/>
    <w:rsid w:val="00C06287"/>
    <w:rPr>
      <w:rFonts w:ascii="Calibri" w:eastAsia="Calibri" w:hAnsi="Calibri"/>
      <w:sz w:val="22"/>
      <w:szCs w:val="22"/>
    </w:rPr>
  </w:style>
  <w:style w:type="character" w:customStyle="1" w:styleId="EmailStyle571">
    <w:name w:val="EmailStyle571"/>
    <w:semiHidden/>
    <w:rsid w:val="00C06287"/>
    <w:rPr>
      <w:rFonts w:ascii="Arial" w:hAnsi="Arial" w:cs="Arial" w:hint="default"/>
      <w:color w:val="auto"/>
      <w:sz w:val="20"/>
      <w:szCs w:val="20"/>
    </w:rPr>
  </w:style>
  <w:style w:type="character" w:customStyle="1" w:styleId="EmailStyle3431">
    <w:name w:val="EmailStyle3431"/>
    <w:semiHidden/>
    <w:rsid w:val="00C06287"/>
    <w:rPr>
      <w:rFonts w:ascii="Arial" w:hAnsi="Arial" w:cs="Arial" w:hint="default"/>
      <w:color w:val="auto"/>
      <w:sz w:val="20"/>
      <w:szCs w:val="20"/>
    </w:rPr>
  </w:style>
  <w:style w:type="character" w:customStyle="1" w:styleId="EmailStyle3581">
    <w:name w:val="EmailStyle3581"/>
    <w:semiHidden/>
    <w:rsid w:val="00C06287"/>
    <w:rPr>
      <w:rFonts w:ascii="Arial" w:hAnsi="Arial" w:cs="Arial" w:hint="default"/>
      <w:color w:val="auto"/>
      <w:sz w:val="20"/>
      <w:szCs w:val="20"/>
    </w:rPr>
  </w:style>
  <w:style w:type="character" w:customStyle="1" w:styleId="EmailStyle3591">
    <w:name w:val="EmailStyle3591"/>
    <w:semiHidden/>
    <w:rsid w:val="00C06287"/>
    <w:rPr>
      <w:rFonts w:ascii="Arial" w:hAnsi="Arial" w:cs="Arial" w:hint="default"/>
      <w:color w:val="auto"/>
      <w:sz w:val="20"/>
      <w:szCs w:val="20"/>
    </w:rPr>
  </w:style>
  <w:style w:type="character" w:customStyle="1" w:styleId="EmailStyle3691">
    <w:name w:val="EmailStyle3691"/>
    <w:semiHidden/>
    <w:rsid w:val="00C06287"/>
    <w:rPr>
      <w:rFonts w:ascii="Arial" w:hAnsi="Arial" w:cs="Arial" w:hint="default"/>
      <w:color w:val="auto"/>
      <w:sz w:val="20"/>
      <w:szCs w:val="20"/>
    </w:rPr>
  </w:style>
  <w:style w:type="table" w:styleId="LightList-Accent3">
    <w:name w:val="Light List Accent 3"/>
    <w:basedOn w:val="TableNormal"/>
    <w:uiPriority w:val="71"/>
    <w:rsid w:val="00C06287"/>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apple-converted-space">
    <w:name w:val="apple-converted-space"/>
    <w:rsid w:val="00C06287"/>
  </w:style>
  <w:style w:type="table" w:customStyle="1" w:styleId="LightList1">
    <w:name w:val="Light List1"/>
    <w:basedOn w:val="TableNormal"/>
    <w:uiPriority w:val="61"/>
    <w:rsid w:val="00C06287"/>
    <w:rPr>
      <w:rFonts w:asciiTheme="minorHAnsi" w:eastAsiaTheme="minorHAnsi" w:hAnsiTheme="minorHAnsi" w:cstheme="minorBid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igureChar">
    <w:name w:val="Figure Char"/>
    <w:basedOn w:val="DefaultParagraphFont"/>
    <w:link w:val="Figure"/>
    <w:rsid w:val="00C06287"/>
    <w:rPr>
      <w:b/>
      <w:sz w:val="24"/>
    </w:rPr>
  </w:style>
  <w:style w:type="character" w:customStyle="1" w:styleId="EmailStyle581">
    <w:name w:val="EmailStyle581"/>
    <w:semiHidden/>
    <w:rsid w:val="00C06287"/>
    <w:rPr>
      <w:rFonts w:ascii="Arial" w:hAnsi="Arial" w:cs="Arial" w:hint="default"/>
      <w:color w:val="auto"/>
      <w:sz w:val="20"/>
      <w:szCs w:val="20"/>
    </w:rPr>
  </w:style>
  <w:style w:type="character" w:customStyle="1" w:styleId="EmailStyle3491">
    <w:name w:val="EmailStyle3491"/>
    <w:semiHidden/>
    <w:rsid w:val="00C06287"/>
    <w:rPr>
      <w:rFonts w:ascii="Arial" w:hAnsi="Arial" w:cs="Arial" w:hint="default"/>
      <w:color w:val="auto"/>
      <w:sz w:val="20"/>
      <w:szCs w:val="20"/>
    </w:rPr>
  </w:style>
  <w:style w:type="character" w:customStyle="1" w:styleId="EmailStyle3641">
    <w:name w:val="EmailStyle3641"/>
    <w:semiHidden/>
    <w:rsid w:val="00C06287"/>
    <w:rPr>
      <w:rFonts w:ascii="Arial" w:hAnsi="Arial" w:cs="Arial" w:hint="default"/>
      <w:color w:val="auto"/>
      <w:sz w:val="20"/>
      <w:szCs w:val="20"/>
    </w:rPr>
  </w:style>
  <w:style w:type="character" w:customStyle="1" w:styleId="EmailStyle3651">
    <w:name w:val="EmailStyle3651"/>
    <w:semiHidden/>
    <w:rsid w:val="00C06287"/>
    <w:rPr>
      <w:rFonts w:ascii="Arial" w:hAnsi="Arial" w:cs="Arial" w:hint="default"/>
      <w:color w:val="auto"/>
      <w:sz w:val="20"/>
      <w:szCs w:val="20"/>
    </w:rPr>
  </w:style>
  <w:style w:type="character" w:customStyle="1" w:styleId="EmailStyle3751">
    <w:name w:val="EmailStyle3751"/>
    <w:semiHidden/>
    <w:rsid w:val="00C06287"/>
    <w:rPr>
      <w:rFonts w:ascii="Arial" w:hAnsi="Arial" w:cs="Arial" w:hint="default"/>
      <w:color w:val="auto"/>
      <w:sz w:val="20"/>
      <w:szCs w:val="20"/>
    </w:rPr>
  </w:style>
  <w:style w:type="table" w:styleId="MediumGrid3-Accent5">
    <w:name w:val="Medium Grid 3 Accent 5"/>
    <w:basedOn w:val="TableNormal"/>
    <w:uiPriority w:val="71"/>
    <w:rsid w:val="00C06287"/>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aqj">
    <w:name w:val="aqj"/>
    <w:basedOn w:val="DefaultParagraphFont"/>
    <w:rsid w:val="00C06287"/>
  </w:style>
  <w:style w:type="character" w:customStyle="1" w:styleId="hits">
    <w:name w:val="hits"/>
    <w:basedOn w:val="DefaultParagraphFont"/>
    <w:rsid w:val="00C06287"/>
  </w:style>
  <w:style w:type="paragraph" w:styleId="Quote">
    <w:name w:val="Quote"/>
    <w:basedOn w:val="Normal"/>
    <w:next w:val="Normal"/>
    <w:link w:val="QuoteChar"/>
    <w:qFormat/>
    <w:rsid w:val="00B27D30"/>
    <w:rPr>
      <w:i/>
      <w:iCs/>
      <w:color w:val="000000" w:themeColor="text1"/>
    </w:rPr>
  </w:style>
  <w:style w:type="character" w:customStyle="1" w:styleId="QuoteChar">
    <w:name w:val="Quote Char"/>
    <w:basedOn w:val="DefaultParagraphFont"/>
    <w:link w:val="Quote"/>
    <w:rsid w:val="00B27D30"/>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6161">
      <w:bodyDiv w:val="1"/>
      <w:marLeft w:val="0"/>
      <w:marRight w:val="0"/>
      <w:marTop w:val="0"/>
      <w:marBottom w:val="0"/>
      <w:divBdr>
        <w:top w:val="none" w:sz="0" w:space="0" w:color="auto"/>
        <w:left w:val="none" w:sz="0" w:space="0" w:color="auto"/>
        <w:bottom w:val="none" w:sz="0" w:space="0" w:color="auto"/>
        <w:right w:val="none" w:sz="0" w:space="0" w:color="auto"/>
      </w:divBdr>
    </w:div>
    <w:div w:id="16666919">
      <w:bodyDiv w:val="1"/>
      <w:marLeft w:val="0"/>
      <w:marRight w:val="0"/>
      <w:marTop w:val="0"/>
      <w:marBottom w:val="0"/>
      <w:divBdr>
        <w:top w:val="none" w:sz="0" w:space="0" w:color="auto"/>
        <w:left w:val="none" w:sz="0" w:space="0" w:color="auto"/>
        <w:bottom w:val="none" w:sz="0" w:space="0" w:color="auto"/>
        <w:right w:val="none" w:sz="0" w:space="0" w:color="auto"/>
      </w:divBdr>
    </w:div>
    <w:div w:id="40634952">
      <w:bodyDiv w:val="1"/>
      <w:marLeft w:val="0"/>
      <w:marRight w:val="0"/>
      <w:marTop w:val="0"/>
      <w:marBottom w:val="0"/>
      <w:divBdr>
        <w:top w:val="none" w:sz="0" w:space="0" w:color="auto"/>
        <w:left w:val="none" w:sz="0" w:space="0" w:color="auto"/>
        <w:bottom w:val="none" w:sz="0" w:space="0" w:color="auto"/>
        <w:right w:val="none" w:sz="0" w:space="0" w:color="auto"/>
      </w:divBdr>
    </w:div>
    <w:div w:id="43455306">
      <w:bodyDiv w:val="1"/>
      <w:marLeft w:val="0"/>
      <w:marRight w:val="0"/>
      <w:marTop w:val="0"/>
      <w:marBottom w:val="0"/>
      <w:divBdr>
        <w:top w:val="none" w:sz="0" w:space="0" w:color="auto"/>
        <w:left w:val="none" w:sz="0" w:space="0" w:color="auto"/>
        <w:bottom w:val="none" w:sz="0" w:space="0" w:color="auto"/>
        <w:right w:val="none" w:sz="0" w:space="0" w:color="auto"/>
      </w:divBdr>
      <w:divsChild>
        <w:div w:id="489177693">
          <w:marLeft w:val="0"/>
          <w:marRight w:val="0"/>
          <w:marTop w:val="0"/>
          <w:marBottom w:val="0"/>
          <w:divBdr>
            <w:top w:val="none" w:sz="0" w:space="0" w:color="auto"/>
            <w:left w:val="none" w:sz="0" w:space="0" w:color="auto"/>
            <w:bottom w:val="none" w:sz="0" w:space="0" w:color="auto"/>
            <w:right w:val="none" w:sz="0" w:space="0" w:color="auto"/>
          </w:divBdr>
        </w:div>
      </w:divsChild>
    </w:div>
    <w:div w:id="72432826">
      <w:bodyDiv w:val="1"/>
      <w:marLeft w:val="0"/>
      <w:marRight w:val="0"/>
      <w:marTop w:val="0"/>
      <w:marBottom w:val="0"/>
      <w:divBdr>
        <w:top w:val="none" w:sz="0" w:space="0" w:color="auto"/>
        <w:left w:val="none" w:sz="0" w:space="0" w:color="auto"/>
        <w:bottom w:val="none" w:sz="0" w:space="0" w:color="auto"/>
        <w:right w:val="none" w:sz="0" w:space="0" w:color="auto"/>
      </w:divBdr>
    </w:div>
    <w:div w:id="74132238">
      <w:bodyDiv w:val="1"/>
      <w:marLeft w:val="0"/>
      <w:marRight w:val="0"/>
      <w:marTop w:val="0"/>
      <w:marBottom w:val="0"/>
      <w:divBdr>
        <w:top w:val="none" w:sz="0" w:space="0" w:color="auto"/>
        <w:left w:val="none" w:sz="0" w:space="0" w:color="auto"/>
        <w:bottom w:val="none" w:sz="0" w:space="0" w:color="auto"/>
        <w:right w:val="none" w:sz="0" w:space="0" w:color="auto"/>
      </w:divBdr>
    </w:div>
    <w:div w:id="77681887">
      <w:bodyDiv w:val="1"/>
      <w:marLeft w:val="0"/>
      <w:marRight w:val="0"/>
      <w:marTop w:val="0"/>
      <w:marBottom w:val="0"/>
      <w:divBdr>
        <w:top w:val="none" w:sz="0" w:space="0" w:color="auto"/>
        <w:left w:val="none" w:sz="0" w:space="0" w:color="auto"/>
        <w:bottom w:val="none" w:sz="0" w:space="0" w:color="auto"/>
        <w:right w:val="none" w:sz="0" w:space="0" w:color="auto"/>
      </w:divBdr>
      <w:divsChild>
        <w:div w:id="1574773445">
          <w:marLeft w:val="0"/>
          <w:marRight w:val="0"/>
          <w:marTop w:val="0"/>
          <w:marBottom w:val="0"/>
          <w:divBdr>
            <w:top w:val="none" w:sz="0" w:space="0" w:color="auto"/>
            <w:left w:val="none" w:sz="0" w:space="0" w:color="auto"/>
            <w:bottom w:val="none" w:sz="0" w:space="0" w:color="auto"/>
            <w:right w:val="none" w:sz="0" w:space="0" w:color="auto"/>
          </w:divBdr>
        </w:div>
      </w:divsChild>
    </w:div>
    <w:div w:id="97794774">
      <w:bodyDiv w:val="1"/>
      <w:marLeft w:val="0"/>
      <w:marRight w:val="0"/>
      <w:marTop w:val="0"/>
      <w:marBottom w:val="0"/>
      <w:divBdr>
        <w:top w:val="none" w:sz="0" w:space="0" w:color="auto"/>
        <w:left w:val="none" w:sz="0" w:space="0" w:color="auto"/>
        <w:bottom w:val="none" w:sz="0" w:space="0" w:color="auto"/>
        <w:right w:val="none" w:sz="0" w:space="0" w:color="auto"/>
      </w:divBdr>
    </w:div>
    <w:div w:id="125437743">
      <w:bodyDiv w:val="1"/>
      <w:marLeft w:val="0"/>
      <w:marRight w:val="0"/>
      <w:marTop w:val="0"/>
      <w:marBottom w:val="0"/>
      <w:divBdr>
        <w:top w:val="none" w:sz="0" w:space="0" w:color="auto"/>
        <w:left w:val="none" w:sz="0" w:space="0" w:color="auto"/>
        <w:bottom w:val="none" w:sz="0" w:space="0" w:color="auto"/>
        <w:right w:val="none" w:sz="0" w:space="0" w:color="auto"/>
      </w:divBdr>
    </w:div>
    <w:div w:id="151410116">
      <w:bodyDiv w:val="1"/>
      <w:marLeft w:val="0"/>
      <w:marRight w:val="0"/>
      <w:marTop w:val="0"/>
      <w:marBottom w:val="0"/>
      <w:divBdr>
        <w:top w:val="none" w:sz="0" w:space="0" w:color="auto"/>
        <w:left w:val="none" w:sz="0" w:space="0" w:color="auto"/>
        <w:bottom w:val="none" w:sz="0" w:space="0" w:color="auto"/>
        <w:right w:val="none" w:sz="0" w:space="0" w:color="auto"/>
      </w:divBdr>
    </w:div>
    <w:div w:id="154616076">
      <w:bodyDiv w:val="1"/>
      <w:marLeft w:val="0"/>
      <w:marRight w:val="0"/>
      <w:marTop w:val="0"/>
      <w:marBottom w:val="0"/>
      <w:divBdr>
        <w:top w:val="none" w:sz="0" w:space="0" w:color="auto"/>
        <w:left w:val="none" w:sz="0" w:space="0" w:color="auto"/>
        <w:bottom w:val="none" w:sz="0" w:space="0" w:color="auto"/>
        <w:right w:val="none" w:sz="0" w:space="0" w:color="auto"/>
      </w:divBdr>
    </w:div>
    <w:div w:id="156506109">
      <w:bodyDiv w:val="1"/>
      <w:marLeft w:val="0"/>
      <w:marRight w:val="0"/>
      <w:marTop w:val="0"/>
      <w:marBottom w:val="0"/>
      <w:divBdr>
        <w:top w:val="none" w:sz="0" w:space="0" w:color="auto"/>
        <w:left w:val="none" w:sz="0" w:space="0" w:color="auto"/>
        <w:bottom w:val="none" w:sz="0" w:space="0" w:color="auto"/>
        <w:right w:val="none" w:sz="0" w:space="0" w:color="auto"/>
      </w:divBdr>
    </w:div>
    <w:div w:id="173956484">
      <w:bodyDiv w:val="1"/>
      <w:marLeft w:val="0"/>
      <w:marRight w:val="0"/>
      <w:marTop w:val="0"/>
      <w:marBottom w:val="0"/>
      <w:divBdr>
        <w:top w:val="none" w:sz="0" w:space="0" w:color="auto"/>
        <w:left w:val="none" w:sz="0" w:space="0" w:color="auto"/>
        <w:bottom w:val="none" w:sz="0" w:space="0" w:color="auto"/>
        <w:right w:val="none" w:sz="0" w:space="0" w:color="auto"/>
      </w:divBdr>
    </w:div>
    <w:div w:id="206644208">
      <w:bodyDiv w:val="1"/>
      <w:marLeft w:val="0"/>
      <w:marRight w:val="0"/>
      <w:marTop w:val="0"/>
      <w:marBottom w:val="0"/>
      <w:divBdr>
        <w:top w:val="none" w:sz="0" w:space="0" w:color="auto"/>
        <w:left w:val="none" w:sz="0" w:space="0" w:color="auto"/>
        <w:bottom w:val="none" w:sz="0" w:space="0" w:color="auto"/>
        <w:right w:val="none" w:sz="0" w:space="0" w:color="auto"/>
      </w:divBdr>
    </w:div>
    <w:div w:id="207300181">
      <w:bodyDiv w:val="1"/>
      <w:marLeft w:val="0"/>
      <w:marRight w:val="0"/>
      <w:marTop w:val="0"/>
      <w:marBottom w:val="0"/>
      <w:divBdr>
        <w:top w:val="none" w:sz="0" w:space="0" w:color="auto"/>
        <w:left w:val="none" w:sz="0" w:space="0" w:color="auto"/>
        <w:bottom w:val="none" w:sz="0" w:space="0" w:color="auto"/>
        <w:right w:val="none" w:sz="0" w:space="0" w:color="auto"/>
      </w:divBdr>
    </w:div>
    <w:div w:id="209805288">
      <w:bodyDiv w:val="1"/>
      <w:marLeft w:val="0"/>
      <w:marRight w:val="0"/>
      <w:marTop w:val="0"/>
      <w:marBottom w:val="0"/>
      <w:divBdr>
        <w:top w:val="none" w:sz="0" w:space="0" w:color="auto"/>
        <w:left w:val="none" w:sz="0" w:space="0" w:color="auto"/>
        <w:bottom w:val="none" w:sz="0" w:space="0" w:color="auto"/>
        <w:right w:val="none" w:sz="0" w:space="0" w:color="auto"/>
      </w:divBdr>
    </w:div>
    <w:div w:id="214705204">
      <w:bodyDiv w:val="1"/>
      <w:marLeft w:val="0"/>
      <w:marRight w:val="0"/>
      <w:marTop w:val="0"/>
      <w:marBottom w:val="0"/>
      <w:divBdr>
        <w:top w:val="none" w:sz="0" w:space="0" w:color="auto"/>
        <w:left w:val="none" w:sz="0" w:space="0" w:color="auto"/>
        <w:bottom w:val="none" w:sz="0" w:space="0" w:color="auto"/>
        <w:right w:val="none" w:sz="0" w:space="0" w:color="auto"/>
      </w:divBdr>
    </w:div>
    <w:div w:id="224338874">
      <w:bodyDiv w:val="1"/>
      <w:marLeft w:val="0"/>
      <w:marRight w:val="0"/>
      <w:marTop w:val="0"/>
      <w:marBottom w:val="0"/>
      <w:divBdr>
        <w:top w:val="none" w:sz="0" w:space="0" w:color="auto"/>
        <w:left w:val="none" w:sz="0" w:space="0" w:color="auto"/>
        <w:bottom w:val="none" w:sz="0" w:space="0" w:color="auto"/>
        <w:right w:val="none" w:sz="0" w:space="0" w:color="auto"/>
      </w:divBdr>
      <w:divsChild>
        <w:div w:id="86658384">
          <w:marLeft w:val="0"/>
          <w:marRight w:val="0"/>
          <w:marTop w:val="0"/>
          <w:marBottom w:val="0"/>
          <w:divBdr>
            <w:top w:val="none" w:sz="0" w:space="0" w:color="auto"/>
            <w:left w:val="none" w:sz="0" w:space="0" w:color="auto"/>
            <w:bottom w:val="none" w:sz="0" w:space="0" w:color="auto"/>
            <w:right w:val="none" w:sz="0" w:space="0" w:color="auto"/>
          </w:divBdr>
          <w:divsChild>
            <w:div w:id="1257787224">
              <w:marLeft w:val="0"/>
              <w:marRight w:val="0"/>
              <w:marTop w:val="0"/>
              <w:marBottom w:val="0"/>
              <w:divBdr>
                <w:top w:val="none" w:sz="0" w:space="0" w:color="auto"/>
                <w:left w:val="none" w:sz="0" w:space="0" w:color="auto"/>
                <w:bottom w:val="none" w:sz="0" w:space="0" w:color="auto"/>
                <w:right w:val="none" w:sz="0" w:space="0" w:color="auto"/>
              </w:divBdr>
              <w:divsChild>
                <w:div w:id="930503248">
                  <w:marLeft w:val="0"/>
                  <w:marRight w:val="0"/>
                  <w:marTop w:val="0"/>
                  <w:marBottom w:val="0"/>
                  <w:divBdr>
                    <w:top w:val="none" w:sz="0" w:space="0" w:color="auto"/>
                    <w:left w:val="none" w:sz="0" w:space="0" w:color="auto"/>
                    <w:bottom w:val="none" w:sz="0" w:space="0" w:color="auto"/>
                    <w:right w:val="none" w:sz="0" w:space="0" w:color="auto"/>
                  </w:divBdr>
                  <w:divsChild>
                    <w:div w:id="1017121821">
                      <w:marLeft w:val="0"/>
                      <w:marRight w:val="0"/>
                      <w:marTop w:val="0"/>
                      <w:marBottom w:val="0"/>
                      <w:divBdr>
                        <w:top w:val="none" w:sz="0" w:space="0" w:color="auto"/>
                        <w:left w:val="none" w:sz="0" w:space="0" w:color="auto"/>
                        <w:bottom w:val="none" w:sz="0" w:space="0" w:color="auto"/>
                        <w:right w:val="none" w:sz="0" w:space="0" w:color="auto"/>
                      </w:divBdr>
                      <w:divsChild>
                        <w:div w:id="1683313912">
                          <w:marLeft w:val="0"/>
                          <w:marRight w:val="0"/>
                          <w:marTop w:val="0"/>
                          <w:marBottom w:val="0"/>
                          <w:divBdr>
                            <w:top w:val="single" w:sz="48" w:space="0" w:color="70AF00"/>
                            <w:left w:val="none" w:sz="0" w:space="0" w:color="auto"/>
                            <w:bottom w:val="none" w:sz="0" w:space="0" w:color="auto"/>
                            <w:right w:val="none" w:sz="0" w:space="0" w:color="auto"/>
                          </w:divBdr>
                          <w:divsChild>
                            <w:div w:id="13538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701416">
      <w:bodyDiv w:val="1"/>
      <w:marLeft w:val="0"/>
      <w:marRight w:val="0"/>
      <w:marTop w:val="0"/>
      <w:marBottom w:val="0"/>
      <w:divBdr>
        <w:top w:val="none" w:sz="0" w:space="0" w:color="auto"/>
        <w:left w:val="none" w:sz="0" w:space="0" w:color="auto"/>
        <w:bottom w:val="none" w:sz="0" w:space="0" w:color="auto"/>
        <w:right w:val="none" w:sz="0" w:space="0" w:color="auto"/>
      </w:divBdr>
    </w:div>
    <w:div w:id="260115601">
      <w:bodyDiv w:val="1"/>
      <w:marLeft w:val="0"/>
      <w:marRight w:val="0"/>
      <w:marTop w:val="0"/>
      <w:marBottom w:val="0"/>
      <w:divBdr>
        <w:top w:val="none" w:sz="0" w:space="0" w:color="auto"/>
        <w:left w:val="none" w:sz="0" w:space="0" w:color="auto"/>
        <w:bottom w:val="none" w:sz="0" w:space="0" w:color="auto"/>
        <w:right w:val="none" w:sz="0" w:space="0" w:color="auto"/>
      </w:divBdr>
    </w:div>
    <w:div w:id="260190943">
      <w:bodyDiv w:val="1"/>
      <w:marLeft w:val="0"/>
      <w:marRight w:val="0"/>
      <w:marTop w:val="0"/>
      <w:marBottom w:val="0"/>
      <w:divBdr>
        <w:top w:val="none" w:sz="0" w:space="0" w:color="auto"/>
        <w:left w:val="none" w:sz="0" w:space="0" w:color="auto"/>
        <w:bottom w:val="none" w:sz="0" w:space="0" w:color="auto"/>
        <w:right w:val="none" w:sz="0" w:space="0" w:color="auto"/>
      </w:divBdr>
    </w:div>
    <w:div w:id="265816511">
      <w:bodyDiv w:val="1"/>
      <w:marLeft w:val="0"/>
      <w:marRight w:val="0"/>
      <w:marTop w:val="0"/>
      <w:marBottom w:val="0"/>
      <w:divBdr>
        <w:top w:val="none" w:sz="0" w:space="0" w:color="auto"/>
        <w:left w:val="none" w:sz="0" w:space="0" w:color="auto"/>
        <w:bottom w:val="none" w:sz="0" w:space="0" w:color="auto"/>
        <w:right w:val="none" w:sz="0" w:space="0" w:color="auto"/>
      </w:divBdr>
    </w:div>
    <w:div w:id="273562729">
      <w:bodyDiv w:val="1"/>
      <w:marLeft w:val="0"/>
      <w:marRight w:val="0"/>
      <w:marTop w:val="0"/>
      <w:marBottom w:val="0"/>
      <w:divBdr>
        <w:top w:val="none" w:sz="0" w:space="0" w:color="auto"/>
        <w:left w:val="none" w:sz="0" w:space="0" w:color="auto"/>
        <w:bottom w:val="none" w:sz="0" w:space="0" w:color="auto"/>
        <w:right w:val="none" w:sz="0" w:space="0" w:color="auto"/>
      </w:divBdr>
    </w:div>
    <w:div w:id="286087107">
      <w:bodyDiv w:val="1"/>
      <w:marLeft w:val="0"/>
      <w:marRight w:val="0"/>
      <w:marTop w:val="0"/>
      <w:marBottom w:val="0"/>
      <w:divBdr>
        <w:top w:val="none" w:sz="0" w:space="0" w:color="auto"/>
        <w:left w:val="none" w:sz="0" w:space="0" w:color="auto"/>
        <w:bottom w:val="none" w:sz="0" w:space="0" w:color="auto"/>
        <w:right w:val="none" w:sz="0" w:space="0" w:color="auto"/>
      </w:divBdr>
    </w:div>
    <w:div w:id="295457421">
      <w:bodyDiv w:val="1"/>
      <w:marLeft w:val="0"/>
      <w:marRight w:val="0"/>
      <w:marTop w:val="0"/>
      <w:marBottom w:val="0"/>
      <w:divBdr>
        <w:top w:val="none" w:sz="0" w:space="0" w:color="auto"/>
        <w:left w:val="none" w:sz="0" w:space="0" w:color="auto"/>
        <w:bottom w:val="none" w:sz="0" w:space="0" w:color="auto"/>
        <w:right w:val="none" w:sz="0" w:space="0" w:color="auto"/>
      </w:divBdr>
    </w:div>
    <w:div w:id="301539195">
      <w:bodyDiv w:val="1"/>
      <w:marLeft w:val="0"/>
      <w:marRight w:val="0"/>
      <w:marTop w:val="0"/>
      <w:marBottom w:val="0"/>
      <w:divBdr>
        <w:top w:val="none" w:sz="0" w:space="0" w:color="auto"/>
        <w:left w:val="none" w:sz="0" w:space="0" w:color="auto"/>
        <w:bottom w:val="none" w:sz="0" w:space="0" w:color="auto"/>
        <w:right w:val="none" w:sz="0" w:space="0" w:color="auto"/>
      </w:divBdr>
    </w:div>
    <w:div w:id="314530338">
      <w:bodyDiv w:val="1"/>
      <w:marLeft w:val="0"/>
      <w:marRight w:val="0"/>
      <w:marTop w:val="0"/>
      <w:marBottom w:val="0"/>
      <w:divBdr>
        <w:top w:val="none" w:sz="0" w:space="0" w:color="auto"/>
        <w:left w:val="none" w:sz="0" w:space="0" w:color="auto"/>
        <w:bottom w:val="none" w:sz="0" w:space="0" w:color="auto"/>
        <w:right w:val="none" w:sz="0" w:space="0" w:color="auto"/>
      </w:divBdr>
    </w:div>
    <w:div w:id="318656665">
      <w:bodyDiv w:val="1"/>
      <w:marLeft w:val="0"/>
      <w:marRight w:val="0"/>
      <w:marTop w:val="0"/>
      <w:marBottom w:val="0"/>
      <w:divBdr>
        <w:top w:val="none" w:sz="0" w:space="0" w:color="auto"/>
        <w:left w:val="none" w:sz="0" w:space="0" w:color="auto"/>
        <w:bottom w:val="none" w:sz="0" w:space="0" w:color="auto"/>
        <w:right w:val="none" w:sz="0" w:space="0" w:color="auto"/>
      </w:divBdr>
    </w:div>
    <w:div w:id="323122550">
      <w:bodyDiv w:val="1"/>
      <w:marLeft w:val="0"/>
      <w:marRight w:val="0"/>
      <w:marTop w:val="0"/>
      <w:marBottom w:val="0"/>
      <w:divBdr>
        <w:top w:val="none" w:sz="0" w:space="0" w:color="auto"/>
        <w:left w:val="none" w:sz="0" w:space="0" w:color="auto"/>
        <w:bottom w:val="none" w:sz="0" w:space="0" w:color="auto"/>
        <w:right w:val="none" w:sz="0" w:space="0" w:color="auto"/>
      </w:divBdr>
    </w:div>
    <w:div w:id="323510490">
      <w:bodyDiv w:val="1"/>
      <w:marLeft w:val="0"/>
      <w:marRight w:val="0"/>
      <w:marTop w:val="0"/>
      <w:marBottom w:val="0"/>
      <w:divBdr>
        <w:top w:val="none" w:sz="0" w:space="0" w:color="auto"/>
        <w:left w:val="none" w:sz="0" w:space="0" w:color="auto"/>
        <w:bottom w:val="none" w:sz="0" w:space="0" w:color="auto"/>
        <w:right w:val="none" w:sz="0" w:space="0" w:color="auto"/>
      </w:divBdr>
    </w:div>
    <w:div w:id="332998975">
      <w:bodyDiv w:val="1"/>
      <w:marLeft w:val="0"/>
      <w:marRight w:val="0"/>
      <w:marTop w:val="0"/>
      <w:marBottom w:val="0"/>
      <w:divBdr>
        <w:top w:val="none" w:sz="0" w:space="0" w:color="auto"/>
        <w:left w:val="none" w:sz="0" w:space="0" w:color="auto"/>
        <w:bottom w:val="none" w:sz="0" w:space="0" w:color="auto"/>
        <w:right w:val="none" w:sz="0" w:space="0" w:color="auto"/>
      </w:divBdr>
      <w:divsChild>
        <w:div w:id="1732463998">
          <w:marLeft w:val="0"/>
          <w:marRight w:val="0"/>
          <w:marTop w:val="0"/>
          <w:marBottom w:val="0"/>
          <w:divBdr>
            <w:top w:val="none" w:sz="0" w:space="0" w:color="auto"/>
            <w:left w:val="none" w:sz="0" w:space="0" w:color="auto"/>
            <w:bottom w:val="none" w:sz="0" w:space="0" w:color="auto"/>
            <w:right w:val="none" w:sz="0" w:space="0" w:color="auto"/>
          </w:divBdr>
          <w:divsChild>
            <w:div w:id="787089859">
              <w:marLeft w:val="0"/>
              <w:marRight w:val="0"/>
              <w:marTop w:val="0"/>
              <w:marBottom w:val="0"/>
              <w:divBdr>
                <w:top w:val="none" w:sz="0" w:space="0" w:color="auto"/>
                <w:left w:val="none" w:sz="0" w:space="0" w:color="auto"/>
                <w:bottom w:val="none" w:sz="0" w:space="0" w:color="auto"/>
                <w:right w:val="none" w:sz="0" w:space="0" w:color="auto"/>
              </w:divBdr>
            </w:div>
            <w:div w:id="2134128889">
              <w:marLeft w:val="0"/>
              <w:marRight w:val="0"/>
              <w:marTop w:val="0"/>
              <w:marBottom w:val="0"/>
              <w:divBdr>
                <w:top w:val="none" w:sz="0" w:space="0" w:color="auto"/>
                <w:left w:val="none" w:sz="0" w:space="0" w:color="auto"/>
                <w:bottom w:val="none" w:sz="0" w:space="0" w:color="auto"/>
                <w:right w:val="none" w:sz="0" w:space="0" w:color="auto"/>
              </w:divBdr>
            </w:div>
            <w:div w:id="953748283">
              <w:marLeft w:val="0"/>
              <w:marRight w:val="0"/>
              <w:marTop w:val="0"/>
              <w:marBottom w:val="0"/>
              <w:divBdr>
                <w:top w:val="none" w:sz="0" w:space="0" w:color="auto"/>
                <w:left w:val="none" w:sz="0" w:space="0" w:color="auto"/>
                <w:bottom w:val="none" w:sz="0" w:space="0" w:color="auto"/>
                <w:right w:val="none" w:sz="0" w:space="0" w:color="auto"/>
              </w:divBdr>
            </w:div>
          </w:divsChild>
        </w:div>
        <w:div w:id="1370572105">
          <w:marLeft w:val="0"/>
          <w:marRight w:val="0"/>
          <w:marTop w:val="0"/>
          <w:marBottom w:val="0"/>
          <w:divBdr>
            <w:top w:val="none" w:sz="0" w:space="0" w:color="auto"/>
            <w:left w:val="none" w:sz="0" w:space="0" w:color="auto"/>
            <w:bottom w:val="none" w:sz="0" w:space="0" w:color="auto"/>
            <w:right w:val="none" w:sz="0" w:space="0" w:color="auto"/>
          </w:divBdr>
          <w:divsChild>
            <w:div w:id="18238513">
              <w:marLeft w:val="0"/>
              <w:marRight w:val="0"/>
              <w:marTop w:val="0"/>
              <w:marBottom w:val="0"/>
              <w:divBdr>
                <w:top w:val="none" w:sz="0" w:space="0" w:color="auto"/>
                <w:left w:val="none" w:sz="0" w:space="0" w:color="auto"/>
                <w:bottom w:val="none" w:sz="0" w:space="0" w:color="auto"/>
                <w:right w:val="none" w:sz="0" w:space="0" w:color="auto"/>
              </w:divBdr>
            </w:div>
            <w:div w:id="539896469">
              <w:marLeft w:val="0"/>
              <w:marRight w:val="0"/>
              <w:marTop w:val="0"/>
              <w:marBottom w:val="0"/>
              <w:divBdr>
                <w:top w:val="none" w:sz="0" w:space="0" w:color="auto"/>
                <w:left w:val="none" w:sz="0" w:space="0" w:color="auto"/>
                <w:bottom w:val="none" w:sz="0" w:space="0" w:color="auto"/>
                <w:right w:val="none" w:sz="0" w:space="0" w:color="auto"/>
              </w:divBdr>
            </w:div>
            <w:div w:id="603461377">
              <w:marLeft w:val="0"/>
              <w:marRight w:val="0"/>
              <w:marTop w:val="0"/>
              <w:marBottom w:val="0"/>
              <w:divBdr>
                <w:top w:val="none" w:sz="0" w:space="0" w:color="auto"/>
                <w:left w:val="none" w:sz="0" w:space="0" w:color="auto"/>
                <w:bottom w:val="none" w:sz="0" w:space="0" w:color="auto"/>
                <w:right w:val="none" w:sz="0" w:space="0" w:color="auto"/>
              </w:divBdr>
            </w:div>
            <w:div w:id="377356785">
              <w:marLeft w:val="0"/>
              <w:marRight w:val="0"/>
              <w:marTop w:val="0"/>
              <w:marBottom w:val="0"/>
              <w:divBdr>
                <w:top w:val="none" w:sz="0" w:space="0" w:color="auto"/>
                <w:left w:val="none" w:sz="0" w:space="0" w:color="auto"/>
                <w:bottom w:val="none" w:sz="0" w:space="0" w:color="auto"/>
                <w:right w:val="none" w:sz="0" w:space="0" w:color="auto"/>
              </w:divBdr>
            </w:div>
            <w:div w:id="218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3154">
      <w:bodyDiv w:val="1"/>
      <w:marLeft w:val="0"/>
      <w:marRight w:val="0"/>
      <w:marTop w:val="0"/>
      <w:marBottom w:val="0"/>
      <w:divBdr>
        <w:top w:val="none" w:sz="0" w:space="0" w:color="auto"/>
        <w:left w:val="none" w:sz="0" w:space="0" w:color="auto"/>
        <w:bottom w:val="none" w:sz="0" w:space="0" w:color="auto"/>
        <w:right w:val="none" w:sz="0" w:space="0" w:color="auto"/>
      </w:divBdr>
    </w:div>
    <w:div w:id="348682384">
      <w:bodyDiv w:val="1"/>
      <w:marLeft w:val="0"/>
      <w:marRight w:val="0"/>
      <w:marTop w:val="0"/>
      <w:marBottom w:val="0"/>
      <w:divBdr>
        <w:top w:val="none" w:sz="0" w:space="0" w:color="auto"/>
        <w:left w:val="none" w:sz="0" w:space="0" w:color="auto"/>
        <w:bottom w:val="none" w:sz="0" w:space="0" w:color="auto"/>
        <w:right w:val="none" w:sz="0" w:space="0" w:color="auto"/>
      </w:divBdr>
    </w:div>
    <w:div w:id="376049476">
      <w:bodyDiv w:val="1"/>
      <w:marLeft w:val="0"/>
      <w:marRight w:val="0"/>
      <w:marTop w:val="0"/>
      <w:marBottom w:val="0"/>
      <w:divBdr>
        <w:top w:val="none" w:sz="0" w:space="0" w:color="auto"/>
        <w:left w:val="none" w:sz="0" w:space="0" w:color="auto"/>
        <w:bottom w:val="none" w:sz="0" w:space="0" w:color="auto"/>
        <w:right w:val="none" w:sz="0" w:space="0" w:color="auto"/>
      </w:divBdr>
    </w:div>
    <w:div w:id="379938066">
      <w:bodyDiv w:val="1"/>
      <w:marLeft w:val="0"/>
      <w:marRight w:val="0"/>
      <w:marTop w:val="0"/>
      <w:marBottom w:val="0"/>
      <w:divBdr>
        <w:top w:val="none" w:sz="0" w:space="0" w:color="auto"/>
        <w:left w:val="none" w:sz="0" w:space="0" w:color="auto"/>
        <w:bottom w:val="none" w:sz="0" w:space="0" w:color="auto"/>
        <w:right w:val="none" w:sz="0" w:space="0" w:color="auto"/>
      </w:divBdr>
    </w:div>
    <w:div w:id="382950709">
      <w:bodyDiv w:val="1"/>
      <w:marLeft w:val="0"/>
      <w:marRight w:val="0"/>
      <w:marTop w:val="0"/>
      <w:marBottom w:val="0"/>
      <w:divBdr>
        <w:top w:val="none" w:sz="0" w:space="0" w:color="auto"/>
        <w:left w:val="none" w:sz="0" w:space="0" w:color="auto"/>
        <w:bottom w:val="none" w:sz="0" w:space="0" w:color="auto"/>
        <w:right w:val="none" w:sz="0" w:space="0" w:color="auto"/>
      </w:divBdr>
      <w:divsChild>
        <w:div w:id="1895506753">
          <w:marLeft w:val="0"/>
          <w:marRight w:val="0"/>
          <w:marTop w:val="0"/>
          <w:marBottom w:val="0"/>
          <w:divBdr>
            <w:top w:val="none" w:sz="0" w:space="0" w:color="auto"/>
            <w:left w:val="none" w:sz="0" w:space="0" w:color="auto"/>
            <w:bottom w:val="none" w:sz="0" w:space="0" w:color="auto"/>
            <w:right w:val="none" w:sz="0" w:space="0" w:color="auto"/>
          </w:divBdr>
        </w:div>
      </w:divsChild>
    </w:div>
    <w:div w:id="406196757">
      <w:bodyDiv w:val="1"/>
      <w:marLeft w:val="0"/>
      <w:marRight w:val="0"/>
      <w:marTop w:val="0"/>
      <w:marBottom w:val="0"/>
      <w:divBdr>
        <w:top w:val="none" w:sz="0" w:space="0" w:color="auto"/>
        <w:left w:val="none" w:sz="0" w:space="0" w:color="auto"/>
        <w:bottom w:val="none" w:sz="0" w:space="0" w:color="auto"/>
        <w:right w:val="none" w:sz="0" w:space="0" w:color="auto"/>
      </w:divBdr>
    </w:div>
    <w:div w:id="406265319">
      <w:bodyDiv w:val="1"/>
      <w:marLeft w:val="0"/>
      <w:marRight w:val="0"/>
      <w:marTop w:val="0"/>
      <w:marBottom w:val="0"/>
      <w:divBdr>
        <w:top w:val="none" w:sz="0" w:space="0" w:color="auto"/>
        <w:left w:val="none" w:sz="0" w:space="0" w:color="auto"/>
        <w:bottom w:val="none" w:sz="0" w:space="0" w:color="auto"/>
        <w:right w:val="none" w:sz="0" w:space="0" w:color="auto"/>
      </w:divBdr>
    </w:div>
    <w:div w:id="406272459">
      <w:bodyDiv w:val="1"/>
      <w:marLeft w:val="0"/>
      <w:marRight w:val="0"/>
      <w:marTop w:val="0"/>
      <w:marBottom w:val="0"/>
      <w:divBdr>
        <w:top w:val="none" w:sz="0" w:space="0" w:color="auto"/>
        <w:left w:val="none" w:sz="0" w:space="0" w:color="auto"/>
        <w:bottom w:val="none" w:sz="0" w:space="0" w:color="auto"/>
        <w:right w:val="none" w:sz="0" w:space="0" w:color="auto"/>
      </w:divBdr>
    </w:div>
    <w:div w:id="416948912">
      <w:bodyDiv w:val="1"/>
      <w:marLeft w:val="0"/>
      <w:marRight w:val="0"/>
      <w:marTop w:val="0"/>
      <w:marBottom w:val="0"/>
      <w:divBdr>
        <w:top w:val="none" w:sz="0" w:space="0" w:color="auto"/>
        <w:left w:val="none" w:sz="0" w:space="0" w:color="auto"/>
        <w:bottom w:val="none" w:sz="0" w:space="0" w:color="auto"/>
        <w:right w:val="none" w:sz="0" w:space="0" w:color="auto"/>
      </w:divBdr>
    </w:div>
    <w:div w:id="471485483">
      <w:bodyDiv w:val="1"/>
      <w:marLeft w:val="0"/>
      <w:marRight w:val="0"/>
      <w:marTop w:val="0"/>
      <w:marBottom w:val="0"/>
      <w:divBdr>
        <w:top w:val="none" w:sz="0" w:space="0" w:color="auto"/>
        <w:left w:val="none" w:sz="0" w:space="0" w:color="auto"/>
        <w:bottom w:val="none" w:sz="0" w:space="0" w:color="auto"/>
        <w:right w:val="none" w:sz="0" w:space="0" w:color="auto"/>
      </w:divBdr>
    </w:div>
    <w:div w:id="472451345">
      <w:bodyDiv w:val="1"/>
      <w:marLeft w:val="0"/>
      <w:marRight w:val="0"/>
      <w:marTop w:val="0"/>
      <w:marBottom w:val="0"/>
      <w:divBdr>
        <w:top w:val="none" w:sz="0" w:space="0" w:color="auto"/>
        <w:left w:val="none" w:sz="0" w:space="0" w:color="auto"/>
        <w:bottom w:val="none" w:sz="0" w:space="0" w:color="auto"/>
        <w:right w:val="none" w:sz="0" w:space="0" w:color="auto"/>
      </w:divBdr>
    </w:div>
    <w:div w:id="486291236">
      <w:bodyDiv w:val="1"/>
      <w:marLeft w:val="0"/>
      <w:marRight w:val="0"/>
      <w:marTop w:val="0"/>
      <w:marBottom w:val="0"/>
      <w:divBdr>
        <w:top w:val="none" w:sz="0" w:space="0" w:color="auto"/>
        <w:left w:val="none" w:sz="0" w:space="0" w:color="auto"/>
        <w:bottom w:val="none" w:sz="0" w:space="0" w:color="auto"/>
        <w:right w:val="none" w:sz="0" w:space="0" w:color="auto"/>
      </w:divBdr>
    </w:div>
    <w:div w:id="518198892">
      <w:bodyDiv w:val="1"/>
      <w:marLeft w:val="0"/>
      <w:marRight w:val="0"/>
      <w:marTop w:val="0"/>
      <w:marBottom w:val="0"/>
      <w:divBdr>
        <w:top w:val="none" w:sz="0" w:space="0" w:color="auto"/>
        <w:left w:val="none" w:sz="0" w:space="0" w:color="auto"/>
        <w:bottom w:val="none" w:sz="0" w:space="0" w:color="auto"/>
        <w:right w:val="none" w:sz="0" w:space="0" w:color="auto"/>
      </w:divBdr>
    </w:div>
    <w:div w:id="520362195">
      <w:bodyDiv w:val="1"/>
      <w:marLeft w:val="0"/>
      <w:marRight w:val="0"/>
      <w:marTop w:val="0"/>
      <w:marBottom w:val="0"/>
      <w:divBdr>
        <w:top w:val="none" w:sz="0" w:space="0" w:color="auto"/>
        <w:left w:val="none" w:sz="0" w:space="0" w:color="auto"/>
        <w:bottom w:val="none" w:sz="0" w:space="0" w:color="auto"/>
        <w:right w:val="none" w:sz="0" w:space="0" w:color="auto"/>
      </w:divBdr>
    </w:div>
    <w:div w:id="522935622">
      <w:bodyDiv w:val="1"/>
      <w:marLeft w:val="0"/>
      <w:marRight w:val="0"/>
      <w:marTop w:val="0"/>
      <w:marBottom w:val="0"/>
      <w:divBdr>
        <w:top w:val="none" w:sz="0" w:space="0" w:color="auto"/>
        <w:left w:val="none" w:sz="0" w:space="0" w:color="auto"/>
        <w:bottom w:val="none" w:sz="0" w:space="0" w:color="auto"/>
        <w:right w:val="none" w:sz="0" w:space="0" w:color="auto"/>
      </w:divBdr>
    </w:div>
    <w:div w:id="527067714">
      <w:bodyDiv w:val="1"/>
      <w:marLeft w:val="0"/>
      <w:marRight w:val="0"/>
      <w:marTop w:val="0"/>
      <w:marBottom w:val="0"/>
      <w:divBdr>
        <w:top w:val="none" w:sz="0" w:space="0" w:color="auto"/>
        <w:left w:val="none" w:sz="0" w:space="0" w:color="auto"/>
        <w:bottom w:val="none" w:sz="0" w:space="0" w:color="auto"/>
        <w:right w:val="none" w:sz="0" w:space="0" w:color="auto"/>
      </w:divBdr>
    </w:div>
    <w:div w:id="536162905">
      <w:bodyDiv w:val="1"/>
      <w:marLeft w:val="0"/>
      <w:marRight w:val="0"/>
      <w:marTop w:val="0"/>
      <w:marBottom w:val="0"/>
      <w:divBdr>
        <w:top w:val="none" w:sz="0" w:space="0" w:color="auto"/>
        <w:left w:val="none" w:sz="0" w:space="0" w:color="auto"/>
        <w:bottom w:val="none" w:sz="0" w:space="0" w:color="auto"/>
        <w:right w:val="none" w:sz="0" w:space="0" w:color="auto"/>
      </w:divBdr>
    </w:div>
    <w:div w:id="545798193">
      <w:bodyDiv w:val="1"/>
      <w:marLeft w:val="0"/>
      <w:marRight w:val="0"/>
      <w:marTop w:val="0"/>
      <w:marBottom w:val="0"/>
      <w:divBdr>
        <w:top w:val="none" w:sz="0" w:space="0" w:color="auto"/>
        <w:left w:val="none" w:sz="0" w:space="0" w:color="auto"/>
        <w:bottom w:val="none" w:sz="0" w:space="0" w:color="auto"/>
        <w:right w:val="none" w:sz="0" w:space="0" w:color="auto"/>
      </w:divBdr>
    </w:div>
    <w:div w:id="574125677">
      <w:bodyDiv w:val="1"/>
      <w:marLeft w:val="0"/>
      <w:marRight w:val="0"/>
      <w:marTop w:val="0"/>
      <w:marBottom w:val="0"/>
      <w:divBdr>
        <w:top w:val="none" w:sz="0" w:space="0" w:color="auto"/>
        <w:left w:val="none" w:sz="0" w:space="0" w:color="auto"/>
        <w:bottom w:val="none" w:sz="0" w:space="0" w:color="auto"/>
        <w:right w:val="none" w:sz="0" w:space="0" w:color="auto"/>
      </w:divBdr>
    </w:div>
    <w:div w:id="611673238">
      <w:bodyDiv w:val="1"/>
      <w:marLeft w:val="0"/>
      <w:marRight w:val="0"/>
      <w:marTop w:val="0"/>
      <w:marBottom w:val="0"/>
      <w:divBdr>
        <w:top w:val="none" w:sz="0" w:space="0" w:color="auto"/>
        <w:left w:val="none" w:sz="0" w:space="0" w:color="auto"/>
        <w:bottom w:val="none" w:sz="0" w:space="0" w:color="auto"/>
        <w:right w:val="none" w:sz="0" w:space="0" w:color="auto"/>
      </w:divBdr>
      <w:divsChild>
        <w:div w:id="486287505">
          <w:marLeft w:val="0"/>
          <w:marRight w:val="0"/>
          <w:marTop w:val="0"/>
          <w:marBottom w:val="0"/>
          <w:divBdr>
            <w:top w:val="none" w:sz="0" w:space="0" w:color="auto"/>
            <w:left w:val="none" w:sz="0" w:space="0" w:color="auto"/>
            <w:bottom w:val="none" w:sz="0" w:space="0" w:color="auto"/>
            <w:right w:val="none" w:sz="0" w:space="0" w:color="auto"/>
          </w:divBdr>
        </w:div>
        <w:div w:id="644357209">
          <w:marLeft w:val="0"/>
          <w:marRight w:val="0"/>
          <w:marTop w:val="0"/>
          <w:marBottom w:val="0"/>
          <w:divBdr>
            <w:top w:val="none" w:sz="0" w:space="0" w:color="auto"/>
            <w:left w:val="none" w:sz="0" w:space="0" w:color="auto"/>
            <w:bottom w:val="none" w:sz="0" w:space="0" w:color="auto"/>
            <w:right w:val="none" w:sz="0" w:space="0" w:color="auto"/>
          </w:divBdr>
        </w:div>
        <w:div w:id="762535732">
          <w:marLeft w:val="0"/>
          <w:marRight w:val="0"/>
          <w:marTop w:val="0"/>
          <w:marBottom w:val="0"/>
          <w:divBdr>
            <w:top w:val="none" w:sz="0" w:space="0" w:color="auto"/>
            <w:left w:val="none" w:sz="0" w:space="0" w:color="auto"/>
            <w:bottom w:val="none" w:sz="0" w:space="0" w:color="auto"/>
            <w:right w:val="none" w:sz="0" w:space="0" w:color="auto"/>
          </w:divBdr>
        </w:div>
        <w:div w:id="855341733">
          <w:marLeft w:val="0"/>
          <w:marRight w:val="0"/>
          <w:marTop w:val="0"/>
          <w:marBottom w:val="0"/>
          <w:divBdr>
            <w:top w:val="none" w:sz="0" w:space="0" w:color="auto"/>
            <w:left w:val="none" w:sz="0" w:space="0" w:color="auto"/>
            <w:bottom w:val="none" w:sz="0" w:space="0" w:color="auto"/>
            <w:right w:val="none" w:sz="0" w:space="0" w:color="auto"/>
          </w:divBdr>
        </w:div>
        <w:div w:id="1445610897">
          <w:marLeft w:val="0"/>
          <w:marRight w:val="0"/>
          <w:marTop w:val="0"/>
          <w:marBottom w:val="0"/>
          <w:divBdr>
            <w:top w:val="none" w:sz="0" w:space="0" w:color="auto"/>
            <w:left w:val="none" w:sz="0" w:space="0" w:color="auto"/>
            <w:bottom w:val="none" w:sz="0" w:space="0" w:color="auto"/>
            <w:right w:val="none" w:sz="0" w:space="0" w:color="auto"/>
          </w:divBdr>
        </w:div>
        <w:div w:id="1735347477">
          <w:marLeft w:val="0"/>
          <w:marRight w:val="0"/>
          <w:marTop w:val="0"/>
          <w:marBottom w:val="0"/>
          <w:divBdr>
            <w:top w:val="none" w:sz="0" w:space="0" w:color="auto"/>
            <w:left w:val="none" w:sz="0" w:space="0" w:color="auto"/>
            <w:bottom w:val="none" w:sz="0" w:space="0" w:color="auto"/>
            <w:right w:val="none" w:sz="0" w:space="0" w:color="auto"/>
          </w:divBdr>
        </w:div>
        <w:div w:id="2048748226">
          <w:marLeft w:val="0"/>
          <w:marRight w:val="0"/>
          <w:marTop w:val="0"/>
          <w:marBottom w:val="0"/>
          <w:divBdr>
            <w:top w:val="none" w:sz="0" w:space="0" w:color="auto"/>
            <w:left w:val="none" w:sz="0" w:space="0" w:color="auto"/>
            <w:bottom w:val="none" w:sz="0" w:space="0" w:color="auto"/>
            <w:right w:val="none" w:sz="0" w:space="0" w:color="auto"/>
          </w:divBdr>
        </w:div>
      </w:divsChild>
    </w:div>
    <w:div w:id="657156419">
      <w:bodyDiv w:val="1"/>
      <w:marLeft w:val="0"/>
      <w:marRight w:val="0"/>
      <w:marTop w:val="0"/>
      <w:marBottom w:val="0"/>
      <w:divBdr>
        <w:top w:val="none" w:sz="0" w:space="0" w:color="auto"/>
        <w:left w:val="none" w:sz="0" w:space="0" w:color="auto"/>
        <w:bottom w:val="none" w:sz="0" w:space="0" w:color="auto"/>
        <w:right w:val="none" w:sz="0" w:space="0" w:color="auto"/>
      </w:divBdr>
    </w:div>
    <w:div w:id="672799539">
      <w:bodyDiv w:val="1"/>
      <w:marLeft w:val="0"/>
      <w:marRight w:val="0"/>
      <w:marTop w:val="0"/>
      <w:marBottom w:val="0"/>
      <w:divBdr>
        <w:top w:val="none" w:sz="0" w:space="0" w:color="auto"/>
        <w:left w:val="none" w:sz="0" w:space="0" w:color="auto"/>
        <w:bottom w:val="none" w:sz="0" w:space="0" w:color="auto"/>
        <w:right w:val="none" w:sz="0" w:space="0" w:color="auto"/>
      </w:divBdr>
    </w:div>
    <w:div w:id="672948856">
      <w:bodyDiv w:val="1"/>
      <w:marLeft w:val="0"/>
      <w:marRight w:val="0"/>
      <w:marTop w:val="0"/>
      <w:marBottom w:val="0"/>
      <w:divBdr>
        <w:top w:val="none" w:sz="0" w:space="0" w:color="auto"/>
        <w:left w:val="none" w:sz="0" w:space="0" w:color="auto"/>
        <w:bottom w:val="none" w:sz="0" w:space="0" w:color="auto"/>
        <w:right w:val="none" w:sz="0" w:space="0" w:color="auto"/>
      </w:divBdr>
    </w:div>
    <w:div w:id="678388959">
      <w:bodyDiv w:val="1"/>
      <w:marLeft w:val="0"/>
      <w:marRight w:val="0"/>
      <w:marTop w:val="0"/>
      <w:marBottom w:val="0"/>
      <w:divBdr>
        <w:top w:val="none" w:sz="0" w:space="0" w:color="auto"/>
        <w:left w:val="none" w:sz="0" w:space="0" w:color="auto"/>
        <w:bottom w:val="none" w:sz="0" w:space="0" w:color="auto"/>
        <w:right w:val="none" w:sz="0" w:space="0" w:color="auto"/>
      </w:divBdr>
    </w:div>
    <w:div w:id="705180909">
      <w:bodyDiv w:val="1"/>
      <w:marLeft w:val="0"/>
      <w:marRight w:val="0"/>
      <w:marTop w:val="0"/>
      <w:marBottom w:val="0"/>
      <w:divBdr>
        <w:top w:val="none" w:sz="0" w:space="0" w:color="auto"/>
        <w:left w:val="none" w:sz="0" w:space="0" w:color="auto"/>
        <w:bottom w:val="none" w:sz="0" w:space="0" w:color="auto"/>
        <w:right w:val="none" w:sz="0" w:space="0" w:color="auto"/>
      </w:divBdr>
    </w:div>
    <w:div w:id="742291874">
      <w:bodyDiv w:val="1"/>
      <w:marLeft w:val="0"/>
      <w:marRight w:val="0"/>
      <w:marTop w:val="0"/>
      <w:marBottom w:val="0"/>
      <w:divBdr>
        <w:top w:val="none" w:sz="0" w:space="0" w:color="auto"/>
        <w:left w:val="none" w:sz="0" w:space="0" w:color="auto"/>
        <w:bottom w:val="none" w:sz="0" w:space="0" w:color="auto"/>
        <w:right w:val="none" w:sz="0" w:space="0" w:color="auto"/>
      </w:divBdr>
    </w:div>
    <w:div w:id="785973830">
      <w:bodyDiv w:val="1"/>
      <w:marLeft w:val="0"/>
      <w:marRight w:val="0"/>
      <w:marTop w:val="0"/>
      <w:marBottom w:val="0"/>
      <w:divBdr>
        <w:top w:val="none" w:sz="0" w:space="0" w:color="auto"/>
        <w:left w:val="none" w:sz="0" w:space="0" w:color="auto"/>
        <w:bottom w:val="none" w:sz="0" w:space="0" w:color="auto"/>
        <w:right w:val="none" w:sz="0" w:space="0" w:color="auto"/>
      </w:divBdr>
    </w:div>
    <w:div w:id="803743371">
      <w:bodyDiv w:val="1"/>
      <w:marLeft w:val="0"/>
      <w:marRight w:val="0"/>
      <w:marTop w:val="0"/>
      <w:marBottom w:val="0"/>
      <w:divBdr>
        <w:top w:val="none" w:sz="0" w:space="0" w:color="auto"/>
        <w:left w:val="none" w:sz="0" w:space="0" w:color="auto"/>
        <w:bottom w:val="none" w:sz="0" w:space="0" w:color="auto"/>
        <w:right w:val="none" w:sz="0" w:space="0" w:color="auto"/>
      </w:divBdr>
    </w:div>
    <w:div w:id="828254297">
      <w:bodyDiv w:val="1"/>
      <w:marLeft w:val="0"/>
      <w:marRight w:val="0"/>
      <w:marTop w:val="0"/>
      <w:marBottom w:val="0"/>
      <w:divBdr>
        <w:top w:val="none" w:sz="0" w:space="0" w:color="auto"/>
        <w:left w:val="none" w:sz="0" w:space="0" w:color="auto"/>
        <w:bottom w:val="none" w:sz="0" w:space="0" w:color="auto"/>
        <w:right w:val="none" w:sz="0" w:space="0" w:color="auto"/>
      </w:divBdr>
    </w:div>
    <w:div w:id="860514250">
      <w:bodyDiv w:val="1"/>
      <w:marLeft w:val="0"/>
      <w:marRight w:val="0"/>
      <w:marTop w:val="0"/>
      <w:marBottom w:val="0"/>
      <w:divBdr>
        <w:top w:val="none" w:sz="0" w:space="0" w:color="auto"/>
        <w:left w:val="none" w:sz="0" w:space="0" w:color="auto"/>
        <w:bottom w:val="none" w:sz="0" w:space="0" w:color="auto"/>
        <w:right w:val="none" w:sz="0" w:space="0" w:color="auto"/>
      </w:divBdr>
    </w:div>
    <w:div w:id="877623951">
      <w:bodyDiv w:val="1"/>
      <w:marLeft w:val="0"/>
      <w:marRight w:val="0"/>
      <w:marTop w:val="0"/>
      <w:marBottom w:val="0"/>
      <w:divBdr>
        <w:top w:val="none" w:sz="0" w:space="0" w:color="auto"/>
        <w:left w:val="none" w:sz="0" w:space="0" w:color="auto"/>
        <w:bottom w:val="none" w:sz="0" w:space="0" w:color="auto"/>
        <w:right w:val="none" w:sz="0" w:space="0" w:color="auto"/>
      </w:divBdr>
    </w:div>
    <w:div w:id="889731712">
      <w:bodyDiv w:val="1"/>
      <w:marLeft w:val="0"/>
      <w:marRight w:val="0"/>
      <w:marTop w:val="0"/>
      <w:marBottom w:val="0"/>
      <w:divBdr>
        <w:top w:val="none" w:sz="0" w:space="0" w:color="auto"/>
        <w:left w:val="none" w:sz="0" w:space="0" w:color="auto"/>
        <w:bottom w:val="none" w:sz="0" w:space="0" w:color="auto"/>
        <w:right w:val="none" w:sz="0" w:space="0" w:color="auto"/>
      </w:divBdr>
    </w:div>
    <w:div w:id="908928904">
      <w:bodyDiv w:val="1"/>
      <w:marLeft w:val="0"/>
      <w:marRight w:val="0"/>
      <w:marTop w:val="0"/>
      <w:marBottom w:val="0"/>
      <w:divBdr>
        <w:top w:val="none" w:sz="0" w:space="0" w:color="auto"/>
        <w:left w:val="none" w:sz="0" w:space="0" w:color="auto"/>
        <w:bottom w:val="none" w:sz="0" w:space="0" w:color="auto"/>
        <w:right w:val="none" w:sz="0" w:space="0" w:color="auto"/>
      </w:divBdr>
    </w:div>
    <w:div w:id="946930051">
      <w:bodyDiv w:val="1"/>
      <w:marLeft w:val="0"/>
      <w:marRight w:val="0"/>
      <w:marTop w:val="0"/>
      <w:marBottom w:val="0"/>
      <w:divBdr>
        <w:top w:val="none" w:sz="0" w:space="0" w:color="auto"/>
        <w:left w:val="none" w:sz="0" w:space="0" w:color="auto"/>
        <w:bottom w:val="none" w:sz="0" w:space="0" w:color="auto"/>
        <w:right w:val="none" w:sz="0" w:space="0" w:color="auto"/>
      </w:divBdr>
    </w:div>
    <w:div w:id="973826974">
      <w:bodyDiv w:val="1"/>
      <w:marLeft w:val="0"/>
      <w:marRight w:val="0"/>
      <w:marTop w:val="0"/>
      <w:marBottom w:val="0"/>
      <w:divBdr>
        <w:top w:val="none" w:sz="0" w:space="0" w:color="auto"/>
        <w:left w:val="none" w:sz="0" w:space="0" w:color="auto"/>
        <w:bottom w:val="none" w:sz="0" w:space="0" w:color="auto"/>
        <w:right w:val="none" w:sz="0" w:space="0" w:color="auto"/>
      </w:divBdr>
    </w:div>
    <w:div w:id="979917695">
      <w:bodyDiv w:val="1"/>
      <w:marLeft w:val="0"/>
      <w:marRight w:val="0"/>
      <w:marTop w:val="0"/>
      <w:marBottom w:val="0"/>
      <w:divBdr>
        <w:top w:val="none" w:sz="0" w:space="0" w:color="auto"/>
        <w:left w:val="none" w:sz="0" w:space="0" w:color="auto"/>
        <w:bottom w:val="none" w:sz="0" w:space="0" w:color="auto"/>
        <w:right w:val="none" w:sz="0" w:space="0" w:color="auto"/>
      </w:divBdr>
    </w:div>
    <w:div w:id="1011027753">
      <w:bodyDiv w:val="1"/>
      <w:marLeft w:val="0"/>
      <w:marRight w:val="0"/>
      <w:marTop w:val="0"/>
      <w:marBottom w:val="0"/>
      <w:divBdr>
        <w:top w:val="none" w:sz="0" w:space="0" w:color="auto"/>
        <w:left w:val="none" w:sz="0" w:space="0" w:color="auto"/>
        <w:bottom w:val="none" w:sz="0" w:space="0" w:color="auto"/>
        <w:right w:val="none" w:sz="0" w:space="0" w:color="auto"/>
      </w:divBdr>
    </w:div>
    <w:div w:id="1020550173">
      <w:bodyDiv w:val="1"/>
      <w:marLeft w:val="0"/>
      <w:marRight w:val="0"/>
      <w:marTop w:val="0"/>
      <w:marBottom w:val="0"/>
      <w:divBdr>
        <w:top w:val="none" w:sz="0" w:space="0" w:color="auto"/>
        <w:left w:val="none" w:sz="0" w:space="0" w:color="auto"/>
        <w:bottom w:val="none" w:sz="0" w:space="0" w:color="auto"/>
        <w:right w:val="none" w:sz="0" w:space="0" w:color="auto"/>
      </w:divBdr>
    </w:div>
    <w:div w:id="1028873740">
      <w:bodyDiv w:val="1"/>
      <w:marLeft w:val="0"/>
      <w:marRight w:val="0"/>
      <w:marTop w:val="0"/>
      <w:marBottom w:val="0"/>
      <w:divBdr>
        <w:top w:val="none" w:sz="0" w:space="0" w:color="auto"/>
        <w:left w:val="none" w:sz="0" w:space="0" w:color="auto"/>
        <w:bottom w:val="none" w:sz="0" w:space="0" w:color="auto"/>
        <w:right w:val="none" w:sz="0" w:space="0" w:color="auto"/>
      </w:divBdr>
    </w:div>
    <w:div w:id="1064715593">
      <w:bodyDiv w:val="1"/>
      <w:marLeft w:val="0"/>
      <w:marRight w:val="0"/>
      <w:marTop w:val="0"/>
      <w:marBottom w:val="0"/>
      <w:divBdr>
        <w:top w:val="none" w:sz="0" w:space="0" w:color="auto"/>
        <w:left w:val="none" w:sz="0" w:space="0" w:color="auto"/>
        <w:bottom w:val="none" w:sz="0" w:space="0" w:color="auto"/>
        <w:right w:val="none" w:sz="0" w:space="0" w:color="auto"/>
      </w:divBdr>
    </w:div>
    <w:div w:id="1066612806">
      <w:bodyDiv w:val="1"/>
      <w:marLeft w:val="0"/>
      <w:marRight w:val="0"/>
      <w:marTop w:val="0"/>
      <w:marBottom w:val="0"/>
      <w:divBdr>
        <w:top w:val="none" w:sz="0" w:space="0" w:color="auto"/>
        <w:left w:val="none" w:sz="0" w:space="0" w:color="auto"/>
        <w:bottom w:val="none" w:sz="0" w:space="0" w:color="auto"/>
        <w:right w:val="none" w:sz="0" w:space="0" w:color="auto"/>
      </w:divBdr>
    </w:div>
    <w:div w:id="1067801691">
      <w:bodyDiv w:val="1"/>
      <w:marLeft w:val="0"/>
      <w:marRight w:val="0"/>
      <w:marTop w:val="0"/>
      <w:marBottom w:val="0"/>
      <w:divBdr>
        <w:top w:val="none" w:sz="0" w:space="0" w:color="auto"/>
        <w:left w:val="none" w:sz="0" w:space="0" w:color="auto"/>
        <w:bottom w:val="none" w:sz="0" w:space="0" w:color="auto"/>
        <w:right w:val="none" w:sz="0" w:space="0" w:color="auto"/>
      </w:divBdr>
    </w:div>
    <w:div w:id="1078861990">
      <w:bodyDiv w:val="1"/>
      <w:marLeft w:val="0"/>
      <w:marRight w:val="0"/>
      <w:marTop w:val="0"/>
      <w:marBottom w:val="0"/>
      <w:divBdr>
        <w:top w:val="none" w:sz="0" w:space="0" w:color="auto"/>
        <w:left w:val="none" w:sz="0" w:space="0" w:color="auto"/>
        <w:bottom w:val="none" w:sz="0" w:space="0" w:color="auto"/>
        <w:right w:val="none" w:sz="0" w:space="0" w:color="auto"/>
      </w:divBdr>
    </w:div>
    <w:div w:id="1080372699">
      <w:bodyDiv w:val="1"/>
      <w:marLeft w:val="0"/>
      <w:marRight w:val="0"/>
      <w:marTop w:val="0"/>
      <w:marBottom w:val="0"/>
      <w:divBdr>
        <w:top w:val="none" w:sz="0" w:space="0" w:color="auto"/>
        <w:left w:val="none" w:sz="0" w:space="0" w:color="auto"/>
        <w:bottom w:val="none" w:sz="0" w:space="0" w:color="auto"/>
        <w:right w:val="none" w:sz="0" w:space="0" w:color="auto"/>
      </w:divBdr>
    </w:div>
    <w:div w:id="1098909020">
      <w:bodyDiv w:val="1"/>
      <w:marLeft w:val="0"/>
      <w:marRight w:val="0"/>
      <w:marTop w:val="0"/>
      <w:marBottom w:val="0"/>
      <w:divBdr>
        <w:top w:val="none" w:sz="0" w:space="0" w:color="auto"/>
        <w:left w:val="none" w:sz="0" w:space="0" w:color="auto"/>
        <w:bottom w:val="none" w:sz="0" w:space="0" w:color="auto"/>
        <w:right w:val="none" w:sz="0" w:space="0" w:color="auto"/>
      </w:divBdr>
    </w:div>
    <w:div w:id="1101024562">
      <w:bodyDiv w:val="1"/>
      <w:marLeft w:val="0"/>
      <w:marRight w:val="0"/>
      <w:marTop w:val="0"/>
      <w:marBottom w:val="0"/>
      <w:divBdr>
        <w:top w:val="none" w:sz="0" w:space="0" w:color="auto"/>
        <w:left w:val="none" w:sz="0" w:space="0" w:color="auto"/>
        <w:bottom w:val="none" w:sz="0" w:space="0" w:color="auto"/>
        <w:right w:val="none" w:sz="0" w:space="0" w:color="auto"/>
      </w:divBdr>
    </w:div>
    <w:div w:id="1130050529">
      <w:bodyDiv w:val="1"/>
      <w:marLeft w:val="0"/>
      <w:marRight w:val="0"/>
      <w:marTop w:val="0"/>
      <w:marBottom w:val="0"/>
      <w:divBdr>
        <w:top w:val="none" w:sz="0" w:space="0" w:color="auto"/>
        <w:left w:val="none" w:sz="0" w:space="0" w:color="auto"/>
        <w:bottom w:val="none" w:sz="0" w:space="0" w:color="auto"/>
        <w:right w:val="none" w:sz="0" w:space="0" w:color="auto"/>
      </w:divBdr>
    </w:div>
    <w:div w:id="1131363286">
      <w:bodyDiv w:val="1"/>
      <w:marLeft w:val="0"/>
      <w:marRight w:val="0"/>
      <w:marTop w:val="0"/>
      <w:marBottom w:val="0"/>
      <w:divBdr>
        <w:top w:val="none" w:sz="0" w:space="0" w:color="auto"/>
        <w:left w:val="none" w:sz="0" w:space="0" w:color="auto"/>
        <w:bottom w:val="none" w:sz="0" w:space="0" w:color="auto"/>
        <w:right w:val="none" w:sz="0" w:space="0" w:color="auto"/>
      </w:divBdr>
    </w:div>
    <w:div w:id="1158157627">
      <w:bodyDiv w:val="1"/>
      <w:marLeft w:val="0"/>
      <w:marRight w:val="0"/>
      <w:marTop w:val="0"/>
      <w:marBottom w:val="0"/>
      <w:divBdr>
        <w:top w:val="none" w:sz="0" w:space="0" w:color="auto"/>
        <w:left w:val="none" w:sz="0" w:space="0" w:color="auto"/>
        <w:bottom w:val="none" w:sz="0" w:space="0" w:color="auto"/>
        <w:right w:val="none" w:sz="0" w:space="0" w:color="auto"/>
      </w:divBdr>
    </w:div>
    <w:div w:id="1162089327">
      <w:bodyDiv w:val="1"/>
      <w:marLeft w:val="0"/>
      <w:marRight w:val="0"/>
      <w:marTop w:val="0"/>
      <w:marBottom w:val="0"/>
      <w:divBdr>
        <w:top w:val="none" w:sz="0" w:space="0" w:color="auto"/>
        <w:left w:val="none" w:sz="0" w:space="0" w:color="auto"/>
        <w:bottom w:val="none" w:sz="0" w:space="0" w:color="auto"/>
        <w:right w:val="none" w:sz="0" w:space="0" w:color="auto"/>
      </w:divBdr>
    </w:div>
    <w:div w:id="1174490761">
      <w:bodyDiv w:val="1"/>
      <w:marLeft w:val="0"/>
      <w:marRight w:val="0"/>
      <w:marTop w:val="0"/>
      <w:marBottom w:val="0"/>
      <w:divBdr>
        <w:top w:val="none" w:sz="0" w:space="0" w:color="auto"/>
        <w:left w:val="none" w:sz="0" w:space="0" w:color="auto"/>
        <w:bottom w:val="none" w:sz="0" w:space="0" w:color="auto"/>
        <w:right w:val="none" w:sz="0" w:space="0" w:color="auto"/>
      </w:divBdr>
    </w:div>
    <w:div w:id="1183515390">
      <w:bodyDiv w:val="1"/>
      <w:marLeft w:val="0"/>
      <w:marRight w:val="0"/>
      <w:marTop w:val="0"/>
      <w:marBottom w:val="0"/>
      <w:divBdr>
        <w:top w:val="none" w:sz="0" w:space="0" w:color="auto"/>
        <w:left w:val="none" w:sz="0" w:space="0" w:color="auto"/>
        <w:bottom w:val="none" w:sz="0" w:space="0" w:color="auto"/>
        <w:right w:val="none" w:sz="0" w:space="0" w:color="auto"/>
      </w:divBdr>
    </w:div>
    <w:div w:id="1186213071">
      <w:bodyDiv w:val="1"/>
      <w:marLeft w:val="0"/>
      <w:marRight w:val="0"/>
      <w:marTop w:val="0"/>
      <w:marBottom w:val="0"/>
      <w:divBdr>
        <w:top w:val="none" w:sz="0" w:space="0" w:color="auto"/>
        <w:left w:val="none" w:sz="0" w:space="0" w:color="auto"/>
        <w:bottom w:val="none" w:sz="0" w:space="0" w:color="auto"/>
        <w:right w:val="none" w:sz="0" w:space="0" w:color="auto"/>
      </w:divBdr>
    </w:div>
    <w:div w:id="1192651724">
      <w:bodyDiv w:val="1"/>
      <w:marLeft w:val="0"/>
      <w:marRight w:val="0"/>
      <w:marTop w:val="0"/>
      <w:marBottom w:val="0"/>
      <w:divBdr>
        <w:top w:val="none" w:sz="0" w:space="0" w:color="auto"/>
        <w:left w:val="none" w:sz="0" w:space="0" w:color="auto"/>
        <w:bottom w:val="none" w:sz="0" w:space="0" w:color="auto"/>
        <w:right w:val="none" w:sz="0" w:space="0" w:color="auto"/>
      </w:divBdr>
      <w:divsChild>
        <w:div w:id="1623269266">
          <w:marLeft w:val="0"/>
          <w:marRight w:val="0"/>
          <w:marTop w:val="0"/>
          <w:marBottom w:val="0"/>
          <w:divBdr>
            <w:top w:val="none" w:sz="0" w:space="0" w:color="auto"/>
            <w:left w:val="none" w:sz="0" w:space="0" w:color="auto"/>
            <w:bottom w:val="none" w:sz="0" w:space="0" w:color="auto"/>
            <w:right w:val="none" w:sz="0" w:space="0" w:color="auto"/>
          </w:divBdr>
        </w:div>
      </w:divsChild>
    </w:div>
    <w:div w:id="1228228233">
      <w:bodyDiv w:val="1"/>
      <w:marLeft w:val="0"/>
      <w:marRight w:val="0"/>
      <w:marTop w:val="0"/>
      <w:marBottom w:val="0"/>
      <w:divBdr>
        <w:top w:val="none" w:sz="0" w:space="0" w:color="auto"/>
        <w:left w:val="none" w:sz="0" w:space="0" w:color="auto"/>
        <w:bottom w:val="none" w:sz="0" w:space="0" w:color="auto"/>
        <w:right w:val="none" w:sz="0" w:space="0" w:color="auto"/>
      </w:divBdr>
    </w:div>
    <w:div w:id="1237862154">
      <w:bodyDiv w:val="1"/>
      <w:marLeft w:val="0"/>
      <w:marRight w:val="0"/>
      <w:marTop w:val="0"/>
      <w:marBottom w:val="0"/>
      <w:divBdr>
        <w:top w:val="none" w:sz="0" w:space="0" w:color="auto"/>
        <w:left w:val="none" w:sz="0" w:space="0" w:color="auto"/>
        <w:bottom w:val="none" w:sz="0" w:space="0" w:color="auto"/>
        <w:right w:val="none" w:sz="0" w:space="0" w:color="auto"/>
      </w:divBdr>
    </w:div>
    <w:div w:id="1242905328">
      <w:bodyDiv w:val="1"/>
      <w:marLeft w:val="0"/>
      <w:marRight w:val="0"/>
      <w:marTop w:val="0"/>
      <w:marBottom w:val="0"/>
      <w:divBdr>
        <w:top w:val="none" w:sz="0" w:space="0" w:color="auto"/>
        <w:left w:val="none" w:sz="0" w:space="0" w:color="auto"/>
        <w:bottom w:val="none" w:sz="0" w:space="0" w:color="auto"/>
        <w:right w:val="none" w:sz="0" w:space="0" w:color="auto"/>
      </w:divBdr>
    </w:div>
    <w:div w:id="1245846525">
      <w:bodyDiv w:val="1"/>
      <w:marLeft w:val="0"/>
      <w:marRight w:val="0"/>
      <w:marTop w:val="0"/>
      <w:marBottom w:val="0"/>
      <w:divBdr>
        <w:top w:val="none" w:sz="0" w:space="0" w:color="auto"/>
        <w:left w:val="none" w:sz="0" w:space="0" w:color="auto"/>
        <w:bottom w:val="none" w:sz="0" w:space="0" w:color="auto"/>
        <w:right w:val="none" w:sz="0" w:space="0" w:color="auto"/>
      </w:divBdr>
    </w:div>
    <w:div w:id="1253734117">
      <w:bodyDiv w:val="1"/>
      <w:marLeft w:val="0"/>
      <w:marRight w:val="0"/>
      <w:marTop w:val="0"/>
      <w:marBottom w:val="0"/>
      <w:divBdr>
        <w:top w:val="none" w:sz="0" w:space="0" w:color="auto"/>
        <w:left w:val="none" w:sz="0" w:space="0" w:color="auto"/>
        <w:bottom w:val="none" w:sz="0" w:space="0" w:color="auto"/>
        <w:right w:val="none" w:sz="0" w:space="0" w:color="auto"/>
      </w:divBdr>
    </w:div>
    <w:div w:id="1270120133">
      <w:bodyDiv w:val="1"/>
      <w:marLeft w:val="0"/>
      <w:marRight w:val="0"/>
      <w:marTop w:val="0"/>
      <w:marBottom w:val="0"/>
      <w:divBdr>
        <w:top w:val="none" w:sz="0" w:space="0" w:color="auto"/>
        <w:left w:val="none" w:sz="0" w:space="0" w:color="auto"/>
        <w:bottom w:val="none" w:sz="0" w:space="0" w:color="auto"/>
        <w:right w:val="none" w:sz="0" w:space="0" w:color="auto"/>
      </w:divBdr>
    </w:div>
    <w:div w:id="1276139556">
      <w:bodyDiv w:val="1"/>
      <w:marLeft w:val="0"/>
      <w:marRight w:val="0"/>
      <w:marTop w:val="0"/>
      <w:marBottom w:val="0"/>
      <w:divBdr>
        <w:top w:val="none" w:sz="0" w:space="0" w:color="auto"/>
        <w:left w:val="none" w:sz="0" w:space="0" w:color="auto"/>
        <w:bottom w:val="none" w:sz="0" w:space="0" w:color="auto"/>
        <w:right w:val="none" w:sz="0" w:space="0" w:color="auto"/>
      </w:divBdr>
    </w:div>
    <w:div w:id="1284117227">
      <w:bodyDiv w:val="1"/>
      <w:marLeft w:val="0"/>
      <w:marRight w:val="0"/>
      <w:marTop w:val="0"/>
      <w:marBottom w:val="0"/>
      <w:divBdr>
        <w:top w:val="none" w:sz="0" w:space="0" w:color="auto"/>
        <w:left w:val="none" w:sz="0" w:space="0" w:color="auto"/>
        <w:bottom w:val="none" w:sz="0" w:space="0" w:color="auto"/>
        <w:right w:val="none" w:sz="0" w:space="0" w:color="auto"/>
      </w:divBdr>
    </w:div>
    <w:div w:id="1322927523">
      <w:bodyDiv w:val="1"/>
      <w:marLeft w:val="0"/>
      <w:marRight w:val="0"/>
      <w:marTop w:val="0"/>
      <w:marBottom w:val="0"/>
      <w:divBdr>
        <w:top w:val="none" w:sz="0" w:space="0" w:color="auto"/>
        <w:left w:val="none" w:sz="0" w:space="0" w:color="auto"/>
        <w:bottom w:val="none" w:sz="0" w:space="0" w:color="auto"/>
        <w:right w:val="none" w:sz="0" w:space="0" w:color="auto"/>
      </w:divBdr>
    </w:div>
    <w:div w:id="1357006277">
      <w:bodyDiv w:val="1"/>
      <w:marLeft w:val="0"/>
      <w:marRight w:val="0"/>
      <w:marTop w:val="0"/>
      <w:marBottom w:val="0"/>
      <w:divBdr>
        <w:top w:val="none" w:sz="0" w:space="0" w:color="auto"/>
        <w:left w:val="none" w:sz="0" w:space="0" w:color="auto"/>
        <w:bottom w:val="none" w:sz="0" w:space="0" w:color="auto"/>
        <w:right w:val="none" w:sz="0" w:space="0" w:color="auto"/>
      </w:divBdr>
    </w:div>
    <w:div w:id="1372532293">
      <w:bodyDiv w:val="1"/>
      <w:marLeft w:val="0"/>
      <w:marRight w:val="0"/>
      <w:marTop w:val="0"/>
      <w:marBottom w:val="0"/>
      <w:divBdr>
        <w:top w:val="none" w:sz="0" w:space="0" w:color="auto"/>
        <w:left w:val="none" w:sz="0" w:space="0" w:color="auto"/>
        <w:bottom w:val="none" w:sz="0" w:space="0" w:color="auto"/>
        <w:right w:val="none" w:sz="0" w:space="0" w:color="auto"/>
      </w:divBdr>
    </w:div>
    <w:div w:id="1398629166">
      <w:bodyDiv w:val="1"/>
      <w:marLeft w:val="0"/>
      <w:marRight w:val="0"/>
      <w:marTop w:val="0"/>
      <w:marBottom w:val="0"/>
      <w:divBdr>
        <w:top w:val="none" w:sz="0" w:space="0" w:color="auto"/>
        <w:left w:val="none" w:sz="0" w:space="0" w:color="auto"/>
        <w:bottom w:val="none" w:sz="0" w:space="0" w:color="auto"/>
        <w:right w:val="none" w:sz="0" w:space="0" w:color="auto"/>
      </w:divBdr>
    </w:div>
    <w:div w:id="1401174843">
      <w:bodyDiv w:val="1"/>
      <w:marLeft w:val="0"/>
      <w:marRight w:val="0"/>
      <w:marTop w:val="0"/>
      <w:marBottom w:val="0"/>
      <w:divBdr>
        <w:top w:val="none" w:sz="0" w:space="0" w:color="auto"/>
        <w:left w:val="none" w:sz="0" w:space="0" w:color="auto"/>
        <w:bottom w:val="none" w:sz="0" w:space="0" w:color="auto"/>
        <w:right w:val="none" w:sz="0" w:space="0" w:color="auto"/>
      </w:divBdr>
    </w:div>
    <w:div w:id="1403792761">
      <w:bodyDiv w:val="1"/>
      <w:marLeft w:val="0"/>
      <w:marRight w:val="0"/>
      <w:marTop w:val="0"/>
      <w:marBottom w:val="0"/>
      <w:divBdr>
        <w:top w:val="none" w:sz="0" w:space="0" w:color="auto"/>
        <w:left w:val="none" w:sz="0" w:space="0" w:color="auto"/>
        <w:bottom w:val="none" w:sz="0" w:space="0" w:color="auto"/>
        <w:right w:val="none" w:sz="0" w:space="0" w:color="auto"/>
      </w:divBdr>
    </w:div>
    <w:div w:id="1406301613">
      <w:bodyDiv w:val="1"/>
      <w:marLeft w:val="0"/>
      <w:marRight w:val="0"/>
      <w:marTop w:val="0"/>
      <w:marBottom w:val="0"/>
      <w:divBdr>
        <w:top w:val="none" w:sz="0" w:space="0" w:color="auto"/>
        <w:left w:val="none" w:sz="0" w:space="0" w:color="auto"/>
        <w:bottom w:val="none" w:sz="0" w:space="0" w:color="auto"/>
        <w:right w:val="none" w:sz="0" w:space="0" w:color="auto"/>
      </w:divBdr>
      <w:divsChild>
        <w:div w:id="293485036">
          <w:marLeft w:val="0"/>
          <w:marRight w:val="0"/>
          <w:marTop w:val="0"/>
          <w:marBottom w:val="0"/>
          <w:divBdr>
            <w:top w:val="none" w:sz="0" w:space="0" w:color="auto"/>
            <w:left w:val="none" w:sz="0" w:space="0" w:color="auto"/>
            <w:bottom w:val="none" w:sz="0" w:space="0" w:color="auto"/>
            <w:right w:val="none" w:sz="0" w:space="0" w:color="auto"/>
          </w:divBdr>
        </w:div>
        <w:div w:id="455493374">
          <w:marLeft w:val="0"/>
          <w:marRight w:val="0"/>
          <w:marTop w:val="0"/>
          <w:marBottom w:val="0"/>
          <w:divBdr>
            <w:top w:val="none" w:sz="0" w:space="0" w:color="auto"/>
            <w:left w:val="none" w:sz="0" w:space="0" w:color="auto"/>
            <w:bottom w:val="none" w:sz="0" w:space="0" w:color="auto"/>
            <w:right w:val="none" w:sz="0" w:space="0" w:color="auto"/>
          </w:divBdr>
        </w:div>
        <w:div w:id="759985733">
          <w:marLeft w:val="0"/>
          <w:marRight w:val="0"/>
          <w:marTop w:val="0"/>
          <w:marBottom w:val="0"/>
          <w:divBdr>
            <w:top w:val="none" w:sz="0" w:space="0" w:color="auto"/>
            <w:left w:val="none" w:sz="0" w:space="0" w:color="auto"/>
            <w:bottom w:val="none" w:sz="0" w:space="0" w:color="auto"/>
            <w:right w:val="none" w:sz="0" w:space="0" w:color="auto"/>
          </w:divBdr>
        </w:div>
      </w:divsChild>
    </w:div>
    <w:div w:id="1420566544">
      <w:bodyDiv w:val="1"/>
      <w:marLeft w:val="0"/>
      <w:marRight w:val="0"/>
      <w:marTop w:val="0"/>
      <w:marBottom w:val="0"/>
      <w:divBdr>
        <w:top w:val="none" w:sz="0" w:space="0" w:color="auto"/>
        <w:left w:val="none" w:sz="0" w:space="0" w:color="auto"/>
        <w:bottom w:val="none" w:sz="0" w:space="0" w:color="auto"/>
        <w:right w:val="none" w:sz="0" w:space="0" w:color="auto"/>
      </w:divBdr>
    </w:div>
    <w:div w:id="1427770733">
      <w:bodyDiv w:val="1"/>
      <w:marLeft w:val="0"/>
      <w:marRight w:val="0"/>
      <w:marTop w:val="0"/>
      <w:marBottom w:val="0"/>
      <w:divBdr>
        <w:top w:val="none" w:sz="0" w:space="0" w:color="auto"/>
        <w:left w:val="none" w:sz="0" w:space="0" w:color="auto"/>
        <w:bottom w:val="none" w:sz="0" w:space="0" w:color="auto"/>
        <w:right w:val="none" w:sz="0" w:space="0" w:color="auto"/>
      </w:divBdr>
    </w:div>
    <w:div w:id="1464735816">
      <w:bodyDiv w:val="1"/>
      <w:marLeft w:val="0"/>
      <w:marRight w:val="0"/>
      <w:marTop w:val="0"/>
      <w:marBottom w:val="0"/>
      <w:divBdr>
        <w:top w:val="none" w:sz="0" w:space="0" w:color="auto"/>
        <w:left w:val="none" w:sz="0" w:space="0" w:color="auto"/>
        <w:bottom w:val="none" w:sz="0" w:space="0" w:color="auto"/>
        <w:right w:val="none" w:sz="0" w:space="0" w:color="auto"/>
      </w:divBdr>
    </w:div>
    <w:div w:id="1470051197">
      <w:bodyDiv w:val="1"/>
      <w:marLeft w:val="0"/>
      <w:marRight w:val="0"/>
      <w:marTop w:val="0"/>
      <w:marBottom w:val="0"/>
      <w:divBdr>
        <w:top w:val="none" w:sz="0" w:space="0" w:color="auto"/>
        <w:left w:val="none" w:sz="0" w:space="0" w:color="auto"/>
        <w:bottom w:val="none" w:sz="0" w:space="0" w:color="auto"/>
        <w:right w:val="none" w:sz="0" w:space="0" w:color="auto"/>
      </w:divBdr>
      <w:divsChild>
        <w:div w:id="232353422">
          <w:marLeft w:val="0"/>
          <w:marRight w:val="0"/>
          <w:marTop w:val="0"/>
          <w:marBottom w:val="0"/>
          <w:divBdr>
            <w:top w:val="single" w:sz="8" w:space="1" w:color="auto"/>
            <w:left w:val="single" w:sz="8" w:space="4" w:color="auto"/>
            <w:bottom w:val="single" w:sz="8" w:space="1" w:color="auto"/>
            <w:right w:val="single" w:sz="8" w:space="4" w:color="auto"/>
          </w:divBdr>
        </w:div>
      </w:divsChild>
    </w:div>
    <w:div w:id="1487746013">
      <w:bodyDiv w:val="1"/>
      <w:marLeft w:val="0"/>
      <w:marRight w:val="0"/>
      <w:marTop w:val="0"/>
      <w:marBottom w:val="0"/>
      <w:divBdr>
        <w:top w:val="none" w:sz="0" w:space="0" w:color="auto"/>
        <w:left w:val="none" w:sz="0" w:space="0" w:color="auto"/>
        <w:bottom w:val="none" w:sz="0" w:space="0" w:color="auto"/>
        <w:right w:val="none" w:sz="0" w:space="0" w:color="auto"/>
      </w:divBdr>
    </w:div>
    <w:div w:id="1492139163">
      <w:bodyDiv w:val="1"/>
      <w:marLeft w:val="0"/>
      <w:marRight w:val="0"/>
      <w:marTop w:val="0"/>
      <w:marBottom w:val="0"/>
      <w:divBdr>
        <w:top w:val="none" w:sz="0" w:space="0" w:color="auto"/>
        <w:left w:val="none" w:sz="0" w:space="0" w:color="auto"/>
        <w:bottom w:val="none" w:sz="0" w:space="0" w:color="auto"/>
        <w:right w:val="none" w:sz="0" w:space="0" w:color="auto"/>
      </w:divBdr>
    </w:div>
    <w:div w:id="1500729584">
      <w:bodyDiv w:val="1"/>
      <w:marLeft w:val="0"/>
      <w:marRight w:val="0"/>
      <w:marTop w:val="0"/>
      <w:marBottom w:val="0"/>
      <w:divBdr>
        <w:top w:val="none" w:sz="0" w:space="0" w:color="auto"/>
        <w:left w:val="none" w:sz="0" w:space="0" w:color="auto"/>
        <w:bottom w:val="none" w:sz="0" w:space="0" w:color="auto"/>
        <w:right w:val="none" w:sz="0" w:space="0" w:color="auto"/>
      </w:divBdr>
    </w:div>
    <w:div w:id="1502618984">
      <w:bodyDiv w:val="1"/>
      <w:marLeft w:val="0"/>
      <w:marRight w:val="0"/>
      <w:marTop w:val="0"/>
      <w:marBottom w:val="0"/>
      <w:divBdr>
        <w:top w:val="none" w:sz="0" w:space="0" w:color="auto"/>
        <w:left w:val="none" w:sz="0" w:space="0" w:color="auto"/>
        <w:bottom w:val="none" w:sz="0" w:space="0" w:color="auto"/>
        <w:right w:val="none" w:sz="0" w:space="0" w:color="auto"/>
      </w:divBdr>
    </w:div>
    <w:div w:id="1518160116">
      <w:bodyDiv w:val="1"/>
      <w:marLeft w:val="0"/>
      <w:marRight w:val="0"/>
      <w:marTop w:val="0"/>
      <w:marBottom w:val="0"/>
      <w:divBdr>
        <w:top w:val="none" w:sz="0" w:space="0" w:color="auto"/>
        <w:left w:val="none" w:sz="0" w:space="0" w:color="auto"/>
        <w:bottom w:val="none" w:sz="0" w:space="0" w:color="auto"/>
        <w:right w:val="none" w:sz="0" w:space="0" w:color="auto"/>
      </w:divBdr>
    </w:div>
    <w:div w:id="1529635033">
      <w:bodyDiv w:val="1"/>
      <w:marLeft w:val="0"/>
      <w:marRight w:val="0"/>
      <w:marTop w:val="0"/>
      <w:marBottom w:val="0"/>
      <w:divBdr>
        <w:top w:val="none" w:sz="0" w:space="0" w:color="auto"/>
        <w:left w:val="none" w:sz="0" w:space="0" w:color="auto"/>
        <w:bottom w:val="none" w:sz="0" w:space="0" w:color="auto"/>
        <w:right w:val="none" w:sz="0" w:space="0" w:color="auto"/>
      </w:divBdr>
    </w:div>
    <w:div w:id="1534268467">
      <w:bodyDiv w:val="1"/>
      <w:marLeft w:val="0"/>
      <w:marRight w:val="0"/>
      <w:marTop w:val="0"/>
      <w:marBottom w:val="0"/>
      <w:divBdr>
        <w:top w:val="none" w:sz="0" w:space="0" w:color="auto"/>
        <w:left w:val="none" w:sz="0" w:space="0" w:color="auto"/>
        <w:bottom w:val="none" w:sz="0" w:space="0" w:color="auto"/>
        <w:right w:val="none" w:sz="0" w:space="0" w:color="auto"/>
      </w:divBdr>
    </w:div>
    <w:div w:id="1552494867">
      <w:bodyDiv w:val="1"/>
      <w:marLeft w:val="0"/>
      <w:marRight w:val="0"/>
      <w:marTop w:val="0"/>
      <w:marBottom w:val="0"/>
      <w:divBdr>
        <w:top w:val="none" w:sz="0" w:space="0" w:color="auto"/>
        <w:left w:val="none" w:sz="0" w:space="0" w:color="auto"/>
        <w:bottom w:val="none" w:sz="0" w:space="0" w:color="auto"/>
        <w:right w:val="none" w:sz="0" w:space="0" w:color="auto"/>
      </w:divBdr>
    </w:div>
    <w:div w:id="1552695649">
      <w:bodyDiv w:val="1"/>
      <w:marLeft w:val="0"/>
      <w:marRight w:val="0"/>
      <w:marTop w:val="0"/>
      <w:marBottom w:val="0"/>
      <w:divBdr>
        <w:top w:val="none" w:sz="0" w:space="0" w:color="auto"/>
        <w:left w:val="none" w:sz="0" w:space="0" w:color="auto"/>
        <w:bottom w:val="none" w:sz="0" w:space="0" w:color="auto"/>
        <w:right w:val="none" w:sz="0" w:space="0" w:color="auto"/>
      </w:divBdr>
    </w:div>
    <w:div w:id="1553270540">
      <w:bodyDiv w:val="1"/>
      <w:marLeft w:val="0"/>
      <w:marRight w:val="0"/>
      <w:marTop w:val="0"/>
      <w:marBottom w:val="0"/>
      <w:divBdr>
        <w:top w:val="none" w:sz="0" w:space="0" w:color="auto"/>
        <w:left w:val="none" w:sz="0" w:space="0" w:color="auto"/>
        <w:bottom w:val="none" w:sz="0" w:space="0" w:color="auto"/>
        <w:right w:val="none" w:sz="0" w:space="0" w:color="auto"/>
      </w:divBdr>
    </w:div>
    <w:div w:id="1562599567">
      <w:bodyDiv w:val="1"/>
      <w:marLeft w:val="0"/>
      <w:marRight w:val="0"/>
      <w:marTop w:val="0"/>
      <w:marBottom w:val="0"/>
      <w:divBdr>
        <w:top w:val="none" w:sz="0" w:space="0" w:color="auto"/>
        <w:left w:val="none" w:sz="0" w:space="0" w:color="auto"/>
        <w:bottom w:val="none" w:sz="0" w:space="0" w:color="auto"/>
        <w:right w:val="none" w:sz="0" w:space="0" w:color="auto"/>
      </w:divBdr>
    </w:div>
    <w:div w:id="1565213118">
      <w:bodyDiv w:val="1"/>
      <w:marLeft w:val="0"/>
      <w:marRight w:val="0"/>
      <w:marTop w:val="0"/>
      <w:marBottom w:val="0"/>
      <w:divBdr>
        <w:top w:val="none" w:sz="0" w:space="0" w:color="auto"/>
        <w:left w:val="none" w:sz="0" w:space="0" w:color="auto"/>
        <w:bottom w:val="none" w:sz="0" w:space="0" w:color="auto"/>
        <w:right w:val="none" w:sz="0" w:space="0" w:color="auto"/>
      </w:divBdr>
    </w:div>
    <w:div w:id="1573999567">
      <w:bodyDiv w:val="1"/>
      <w:marLeft w:val="0"/>
      <w:marRight w:val="0"/>
      <w:marTop w:val="0"/>
      <w:marBottom w:val="0"/>
      <w:divBdr>
        <w:top w:val="none" w:sz="0" w:space="0" w:color="auto"/>
        <w:left w:val="none" w:sz="0" w:space="0" w:color="auto"/>
        <w:bottom w:val="none" w:sz="0" w:space="0" w:color="auto"/>
        <w:right w:val="none" w:sz="0" w:space="0" w:color="auto"/>
      </w:divBdr>
    </w:div>
    <w:div w:id="1574850377">
      <w:bodyDiv w:val="1"/>
      <w:marLeft w:val="0"/>
      <w:marRight w:val="0"/>
      <w:marTop w:val="0"/>
      <w:marBottom w:val="0"/>
      <w:divBdr>
        <w:top w:val="none" w:sz="0" w:space="0" w:color="auto"/>
        <w:left w:val="none" w:sz="0" w:space="0" w:color="auto"/>
        <w:bottom w:val="none" w:sz="0" w:space="0" w:color="auto"/>
        <w:right w:val="none" w:sz="0" w:space="0" w:color="auto"/>
      </w:divBdr>
    </w:div>
    <w:div w:id="1588534287">
      <w:bodyDiv w:val="1"/>
      <w:marLeft w:val="0"/>
      <w:marRight w:val="0"/>
      <w:marTop w:val="0"/>
      <w:marBottom w:val="0"/>
      <w:divBdr>
        <w:top w:val="none" w:sz="0" w:space="0" w:color="auto"/>
        <w:left w:val="none" w:sz="0" w:space="0" w:color="auto"/>
        <w:bottom w:val="none" w:sz="0" w:space="0" w:color="auto"/>
        <w:right w:val="none" w:sz="0" w:space="0" w:color="auto"/>
      </w:divBdr>
    </w:div>
    <w:div w:id="1591813861">
      <w:bodyDiv w:val="1"/>
      <w:marLeft w:val="0"/>
      <w:marRight w:val="0"/>
      <w:marTop w:val="0"/>
      <w:marBottom w:val="0"/>
      <w:divBdr>
        <w:top w:val="none" w:sz="0" w:space="0" w:color="auto"/>
        <w:left w:val="none" w:sz="0" w:space="0" w:color="auto"/>
        <w:bottom w:val="none" w:sz="0" w:space="0" w:color="auto"/>
        <w:right w:val="none" w:sz="0" w:space="0" w:color="auto"/>
      </w:divBdr>
      <w:divsChild>
        <w:div w:id="553859162">
          <w:marLeft w:val="0"/>
          <w:marRight w:val="0"/>
          <w:marTop w:val="0"/>
          <w:marBottom w:val="0"/>
          <w:divBdr>
            <w:top w:val="none" w:sz="0" w:space="0" w:color="auto"/>
            <w:left w:val="none" w:sz="0" w:space="0" w:color="auto"/>
            <w:bottom w:val="none" w:sz="0" w:space="0" w:color="auto"/>
            <w:right w:val="none" w:sz="0" w:space="0" w:color="auto"/>
          </w:divBdr>
        </w:div>
      </w:divsChild>
    </w:div>
    <w:div w:id="1603880765">
      <w:bodyDiv w:val="1"/>
      <w:marLeft w:val="0"/>
      <w:marRight w:val="0"/>
      <w:marTop w:val="0"/>
      <w:marBottom w:val="0"/>
      <w:divBdr>
        <w:top w:val="none" w:sz="0" w:space="0" w:color="auto"/>
        <w:left w:val="none" w:sz="0" w:space="0" w:color="auto"/>
        <w:bottom w:val="none" w:sz="0" w:space="0" w:color="auto"/>
        <w:right w:val="none" w:sz="0" w:space="0" w:color="auto"/>
      </w:divBdr>
    </w:div>
    <w:div w:id="1615166182">
      <w:bodyDiv w:val="1"/>
      <w:marLeft w:val="0"/>
      <w:marRight w:val="0"/>
      <w:marTop w:val="0"/>
      <w:marBottom w:val="0"/>
      <w:divBdr>
        <w:top w:val="none" w:sz="0" w:space="0" w:color="auto"/>
        <w:left w:val="none" w:sz="0" w:space="0" w:color="auto"/>
        <w:bottom w:val="none" w:sz="0" w:space="0" w:color="auto"/>
        <w:right w:val="none" w:sz="0" w:space="0" w:color="auto"/>
      </w:divBdr>
    </w:div>
    <w:div w:id="1638754535">
      <w:bodyDiv w:val="1"/>
      <w:marLeft w:val="0"/>
      <w:marRight w:val="0"/>
      <w:marTop w:val="0"/>
      <w:marBottom w:val="0"/>
      <w:divBdr>
        <w:top w:val="none" w:sz="0" w:space="0" w:color="auto"/>
        <w:left w:val="none" w:sz="0" w:space="0" w:color="auto"/>
        <w:bottom w:val="none" w:sz="0" w:space="0" w:color="auto"/>
        <w:right w:val="none" w:sz="0" w:space="0" w:color="auto"/>
      </w:divBdr>
    </w:div>
    <w:div w:id="1653023851">
      <w:bodyDiv w:val="1"/>
      <w:marLeft w:val="0"/>
      <w:marRight w:val="0"/>
      <w:marTop w:val="0"/>
      <w:marBottom w:val="0"/>
      <w:divBdr>
        <w:top w:val="none" w:sz="0" w:space="0" w:color="auto"/>
        <w:left w:val="none" w:sz="0" w:space="0" w:color="auto"/>
        <w:bottom w:val="none" w:sz="0" w:space="0" w:color="auto"/>
        <w:right w:val="none" w:sz="0" w:space="0" w:color="auto"/>
      </w:divBdr>
    </w:div>
    <w:div w:id="1691763358">
      <w:bodyDiv w:val="1"/>
      <w:marLeft w:val="0"/>
      <w:marRight w:val="0"/>
      <w:marTop w:val="0"/>
      <w:marBottom w:val="0"/>
      <w:divBdr>
        <w:top w:val="none" w:sz="0" w:space="0" w:color="auto"/>
        <w:left w:val="none" w:sz="0" w:space="0" w:color="auto"/>
        <w:bottom w:val="none" w:sz="0" w:space="0" w:color="auto"/>
        <w:right w:val="none" w:sz="0" w:space="0" w:color="auto"/>
      </w:divBdr>
    </w:div>
    <w:div w:id="1747727796">
      <w:bodyDiv w:val="1"/>
      <w:marLeft w:val="0"/>
      <w:marRight w:val="0"/>
      <w:marTop w:val="0"/>
      <w:marBottom w:val="0"/>
      <w:divBdr>
        <w:top w:val="none" w:sz="0" w:space="0" w:color="auto"/>
        <w:left w:val="none" w:sz="0" w:space="0" w:color="auto"/>
        <w:bottom w:val="none" w:sz="0" w:space="0" w:color="auto"/>
        <w:right w:val="none" w:sz="0" w:space="0" w:color="auto"/>
      </w:divBdr>
    </w:div>
    <w:div w:id="1800301122">
      <w:bodyDiv w:val="1"/>
      <w:marLeft w:val="0"/>
      <w:marRight w:val="0"/>
      <w:marTop w:val="0"/>
      <w:marBottom w:val="0"/>
      <w:divBdr>
        <w:top w:val="none" w:sz="0" w:space="0" w:color="auto"/>
        <w:left w:val="none" w:sz="0" w:space="0" w:color="auto"/>
        <w:bottom w:val="none" w:sz="0" w:space="0" w:color="auto"/>
        <w:right w:val="none" w:sz="0" w:space="0" w:color="auto"/>
      </w:divBdr>
    </w:div>
    <w:div w:id="1813789781">
      <w:bodyDiv w:val="1"/>
      <w:marLeft w:val="0"/>
      <w:marRight w:val="0"/>
      <w:marTop w:val="0"/>
      <w:marBottom w:val="0"/>
      <w:divBdr>
        <w:top w:val="none" w:sz="0" w:space="0" w:color="auto"/>
        <w:left w:val="none" w:sz="0" w:space="0" w:color="auto"/>
        <w:bottom w:val="none" w:sz="0" w:space="0" w:color="auto"/>
        <w:right w:val="none" w:sz="0" w:space="0" w:color="auto"/>
      </w:divBdr>
    </w:div>
    <w:div w:id="1815098353">
      <w:bodyDiv w:val="1"/>
      <w:marLeft w:val="0"/>
      <w:marRight w:val="0"/>
      <w:marTop w:val="0"/>
      <w:marBottom w:val="0"/>
      <w:divBdr>
        <w:top w:val="none" w:sz="0" w:space="0" w:color="auto"/>
        <w:left w:val="none" w:sz="0" w:space="0" w:color="auto"/>
        <w:bottom w:val="none" w:sz="0" w:space="0" w:color="auto"/>
        <w:right w:val="none" w:sz="0" w:space="0" w:color="auto"/>
      </w:divBdr>
    </w:div>
    <w:div w:id="1822037928">
      <w:bodyDiv w:val="1"/>
      <w:marLeft w:val="0"/>
      <w:marRight w:val="0"/>
      <w:marTop w:val="0"/>
      <w:marBottom w:val="0"/>
      <w:divBdr>
        <w:top w:val="none" w:sz="0" w:space="0" w:color="auto"/>
        <w:left w:val="none" w:sz="0" w:space="0" w:color="auto"/>
        <w:bottom w:val="none" w:sz="0" w:space="0" w:color="auto"/>
        <w:right w:val="none" w:sz="0" w:space="0" w:color="auto"/>
      </w:divBdr>
    </w:div>
    <w:div w:id="1849557327">
      <w:bodyDiv w:val="1"/>
      <w:marLeft w:val="0"/>
      <w:marRight w:val="0"/>
      <w:marTop w:val="0"/>
      <w:marBottom w:val="0"/>
      <w:divBdr>
        <w:top w:val="none" w:sz="0" w:space="0" w:color="auto"/>
        <w:left w:val="none" w:sz="0" w:space="0" w:color="auto"/>
        <w:bottom w:val="none" w:sz="0" w:space="0" w:color="auto"/>
        <w:right w:val="none" w:sz="0" w:space="0" w:color="auto"/>
      </w:divBdr>
    </w:div>
    <w:div w:id="1871186319">
      <w:bodyDiv w:val="1"/>
      <w:marLeft w:val="0"/>
      <w:marRight w:val="0"/>
      <w:marTop w:val="0"/>
      <w:marBottom w:val="0"/>
      <w:divBdr>
        <w:top w:val="none" w:sz="0" w:space="0" w:color="auto"/>
        <w:left w:val="none" w:sz="0" w:space="0" w:color="auto"/>
        <w:bottom w:val="none" w:sz="0" w:space="0" w:color="auto"/>
        <w:right w:val="none" w:sz="0" w:space="0" w:color="auto"/>
      </w:divBdr>
    </w:div>
    <w:div w:id="1874346176">
      <w:bodyDiv w:val="1"/>
      <w:marLeft w:val="0"/>
      <w:marRight w:val="0"/>
      <w:marTop w:val="0"/>
      <w:marBottom w:val="0"/>
      <w:divBdr>
        <w:top w:val="none" w:sz="0" w:space="0" w:color="auto"/>
        <w:left w:val="none" w:sz="0" w:space="0" w:color="auto"/>
        <w:bottom w:val="none" w:sz="0" w:space="0" w:color="auto"/>
        <w:right w:val="none" w:sz="0" w:space="0" w:color="auto"/>
      </w:divBdr>
    </w:div>
    <w:div w:id="1877306689">
      <w:bodyDiv w:val="1"/>
      <w:marLeft w:val="0"/>
      <w:marRight w:val="0"/>
      <w:marTop w:val="0"/>
      <w:marBottom w:val="0"/>
      <w:divBdr>
        <w:top w:val="none" w:sz="0" w:space="0" w:color="auto"/>
        <w:left w:val="none" w:sz="0" w:space="0" w:color="auto"/>
        <w:bottom w:val="none" w:sz="0" w:space="0" w:color="auto"/>
        <w:right w:val="none" w:sz="0" w:space="0" w:color="auto"/>
      </w:divBdr>
    </w:div>
    <w:div w:id="1882478680">
      <w:bodyDiv w:val="1"/>
      <w:marLeft w:val="0"/>
      <w:marRight w:val="0"/>
      <w:marTop w:val="0"/>
      <w:marBottom w:val="0"/>
      <w:divBdr>
        <w:top w:val="none" w:sz="0" w:space="0" w:color="auto"/>
        <w:left w:val="none" w:sz="0" w:space="0" w:color="auto"/>
        <w:bottom w:val="none" w:sz="0" w:space="0" w:color="auto"/>
        <w:right w:val="none" w:sz="0" w:space="0" w:color="auto"/>
      </w:divBdr>
    </w:div>
    <w:div w:id="1896425545">
      <w:bodyDiv w:val="1"/>
      <w:marLeft w:val="0"/>
      <w:marRight w:val="0"/>
      <w:marTop w:val="0"/>
      <w:marBottom w:val="0"/>
      <w:divBdr>
        <w:top w:val="none" w:sz="0" w:space="0" w:color="auto"/>
        <w:left w:val="none" w:sz="0" w:space="0" w:color="auto"/>
        <w:bottom w:val="none" w:sz="0" w:space="0" w:color="auto"/>
        <w:right w:val="none" w:sz="0" w:space="0" w:color="auto"/>
      </w:divBdr>
    </w:div>
    <w:div w:id="1898586750">
      <w:bodyDiv w:val="1"/>
      <w:marLeft w:val="0"/>
      <w:marRight w:val="0"/>
      <w:marTop w:val="0"/>
      <w:marBottom w:val="0"/>
      <w:divBdr>
        <w:top w:val="none" w:sz="0" w:space="0" w:color="auto"/>
        <w:left w:val="none" w:sz="0" w:space="0" w:color="auto"/>
        <w:bottom w:val="none" w:sz="0" w:space="0" w:color="auto"/>
        <w:right w:val="none" w:sz="0" w:space="0" w:color="auto"/>
      </w:divBdr>
    </w:div>
    <w:div w:id="1900164775">
      <w:bodyDiv w:val="1"/>
      <w:marLeft w:val="0"/>
      <w:marRight w:val="0"/>
      <w:marTop w:val="0"/>
      <w:marBottom w:val="0"/>
      <w:divBdr>
        <w:top w:val="none" w:sz="0" w:space="0" w:color="auto"/>
        <w:left w:val="none" w:sz="0" w:space="0" w:color="auto"/>
        <w:bottom w:val="none" w:sz="0" w:space="0" w:color="auto"/>
        <w:right w:val="none" w:sz="0" w:space="0" w:color="auto"/>
      </w:divBdr>
    </w:div>
    <w:div w:id="1913613383">
      <w:bodyDiv w:val="1"/>
      <w:marLeft w:val="0"/>
      <w:marRight w:val="0"/>
      <w:marTop w:val="0"/>
      <w:marBottom w:val="0"/>
      <w:divBdr>
        <w:top w:val="none" w:sz="0" w:space="0" w:color="auto"/>
        <w:left w:val="none" w:sz="0" w:space="0" w:color="auto"/>
        <w:bottom w:val="none" w:sz="0" w:space="0" w:color="auto"/>
        <w:right w:val="none" w:sz="0" w:space="0" w:color="auto"/>
      </w:divBdr>
    </w:div>
    <w:div w:id="1924028273">
      <w:bodyDiv w:val="1"/>
      <w:marLeft w:val="0"/>
      <w:marRight w:val="0"/>
      <w:marTop w:val="0"/>
      <w:marBottom w:val="0"/>
      <w:divBdr>
        <w:top w:val="none" w:sz="0" w:space="0" w:color="auto"/>
        <w:left w:val="none" w:sz="0" w:space="0" w:color="auto"/>
        <w:bottom w:val="none" w:sz="0" w:space="0" w:color="auto"/>
        <w:right w:val="none" w:sz="0" w:space="0" w:color="auto"/>
      </w:divBdr>
    </w:div>
    <w:div w:id="1928686093">
      <w:bodyDiv w:val="1"/>
      <w:marLeft w:val="0"/>
      <w:marRight w:val="0"/>
      <w:marTop w:val="0"/>
      <w:marBottom w:val="0"/>
      <w:divBdr>
        <w:top w:val="none" w:sz="0" w:space="0" w:color="auto"/>
        <w:left w:val="none" w:sz="0" w:space="0" w:color="auto"/>
        <w:bottom w:val="none" w:sz="0" w:space="0" w:color="auto"/>
        <w:right w:val="none" w:sz="0" w:space="0" w:color="auto"/>
      </w:divBdr>
    </w:div>
    <w:div w:id="1984236614">
      <w:bodyDiv w:val="1"/>
      <w:marLeft w:val="0"/>
      <w:marRight w:val="0"/>
      <w:marTop w:val="0"/>
      <w:marBottom w:val="0"/>
      <w:divBdr>
        <w:top w:val="none" w:sz="0" w:space="0" w:color="auto"/>
        <w:left w:val="none" w:sz="0" w:space="0" w:color="auto"/>
        <w:bottom w:val="none" w:sz="0" w:space="0" w:color="auto"/>
        <w:right w:val="none" w:sz="0" w:space="0" w:color="auto"/>
      </w:divBdr>
    </w:div>
    <w:div w:id="1990552144">
      <w:bodyDiv w:val="1"/>
      <w:marLeft w:val="0"/>
      <w:marRight w:val="0"/>
      <w:marTop w:val="0"/>
      <w:marBottom w:val="0"/>
      <w:divBdr>
        <w:top w:val="none" w:sz="0" w:space="0" w:color="auto"/>
        <w:left w:val="none" w:sz="0" w:space="0" w:color="auto"/>
        <w:bottom w:val="none" w:sz="0" w:space="0" w:color="auto"/>
        <w:right w:val="none" w:sz="0" w:space="0" w:color="auto"/>
      </w:divBdr>
    </w:div>
    <w:div w:id="2002074600">
      <w:bodyDiv w:val="1"/>
      <w:marLeft w:val="0"/>
      <w:marRight w:val="0"/>
      <w:marTop w:val="0"/>
      <w:marBottom w:val="0"/>
      <w:divBdr>
        <w:top w:val="none" w:sz="0" w:space="0" w:color="auto"/>
        <w:left w:val="none" w:sz="0" w:space="0" w:color="auto"/>
        <w:bottom w:val="none" w:sz="0" w:space="0" w:color="auto"/>
        <w:right w:val="none" w:sz="0" w:space="0" w:color="auto"/>
      </w:divBdr>
    </w:div>
    <w:div w:id="2021082535">
      <w:bodyDiv w:val="1"/>
      <w:marLeft w:val="0"/>
      <w:marRight w:val="0"/>
      <w:marTop w:val="0"/>
      <w:marBottom w:val="0"/>
      <w:divBdr>
        <w:top w:val="none" w:sz="0" w:space="0" w:color="auto"/>
        <w:left w:val="none" w:sz="0" w:space="0" w:color="auto"/>
        <w:bottom w:val="none" w:sz="0" w:space="0" w:color="auto"/>
        <w:right w:val="none" w:sz="0" w:space="0" w:color="auto"/>
      </w:divBdr>
    </w:div>
    <w:div w:id="2046784404">
      <w:bodyDiv w:val="1"/>
      <w:marLeft w:val="0"/>
      <w:marRight w:val="0"/>
      <w:marTop w:val="0"/>
      <w:marBottom w:val="0"/>
      <w:divBdr>
        <w:top w:val="none" w:sz="0" w:space="0" w:color="auto"/>
        <w:left w:val="none" w:sz="0" w:space="0" w:color="auto"/>
        <w:bottom w:val="none" w:sz="0" w:space="0" w:color="auto"/>
        <w:right w:val="none" w:sz="0" w:space="0" w:color="auto"/>
      </w:divBdr>
    </w:div>
    <w:div w:id="2060090157">
      <w:bodyDiv w:val="1"/>
      <w:marLeft w:val="0"/>
      <w:marRight w:val="0"/>
      <w:marTop w:val="0"/>
      <w:marBottom w:val="0"/>
      <w:divBdr>
        <w:top w:val="none" w:sz="0" w:space="0" w:color="auto"/>
        <w:left w:val="none" w:sz="0" w:space="0" w:color="auto"/>
        <w:bottom w:val="none" w:sz="0" w:space="0" w:color="auto"/>
        <w:right w:val="none" w:sz="0" w:space="0" w:color="auto"/>
      </w:divBdr>
      <w:divsChild>
        <w:div w:id="413094362">
          <w:marLeft w:val="0"/>
          <w:marRight w:val="0"/>
          <w:marTop w:val="0"/>
          <w:marBottom w:val="0"/>
          <w:divBdr>
            <w:top w:val="none" w:sz="0" w:space="0" w:color="auto"/>
            <w:left w:val="none" w:sz="0" w:space="0" w:color="auto"/>
            <w:bottom w:val="none" w:sz="0" w:space="0" w:color="auto"/>
            <w:right w:val="none" w:sz="0" w:space="0" w:color="auto"/>
          </w:divBdr>
        </w:div>
        <w:div w:id="660428706">
          <w:marLeft w:val="0"/>
          <w:marRight w:val="0"/>
          <w:marTop w:val="0"/>
          <w:marBottom w:val="0"/>
          <w:divBdr>
            <w:top w:val="none" w:sz="0" w:space="0" w:color="auto"/>
            <w:left w:val="none" w:sz="0" w:space="0" w:color="auto"/>
            <w:bottom w:val="none" w:sz="0" w:space="0" w:color="auto"/>
            <w:right w:val="none" w:sz="0" w:space="0" w:color="auto"/>
          </w:divBdr>
        </w:div>
      </w:divsChild>
    </w:div>
    <w:div w:id="2074428259">
      <w:bodyDiv w:val="1"/>
      <w:marLeft w:val="0"/>
      <w:marRight w:val="0"/>
      <w:marTop w:val="0"/>
      <w:marBottom w:val="0"/>
      <w:divBdr>
        <w:top w:val="none" w:sz="0" w:space="0" w:color="auto"/>
        <w:left w:val="none" w:sz="0" w:space="0" w:color="auto"/>
        <w:bottom w:val="none" w:sz="0" w:space="0" w:color="auto"/>
        <w:right w:val="none" w:sz="0" w:space="0" w:color="auto"/>
      </w:divBdr>
    </w:div>
    <w:div w:id="2077125361">
      <w:bodyDiv w:val="1"/>
      <w:marLeft w:val="0"/>
      <w:marRight w:val="0"/>
      <w:marTop w:val="0"/>
      <w:marBottom w:val="0"/>
      <w:divBdr>
        <w:top w:val="none" w:sz="0" w:space="0" w:color="auto"/>
        <w:left w:val="none" w:sz="0" w:space="0" w:color="auto"/>
        <w:bottom w:val="none" w:sz="0" w:space="0" w:color="auto"/>
        <w:right w:val="none" w:sz="0" w:space="0" w:color="auto"/>
      </w:divBdr>
    </w:div>
    <w:div w:id="2103065431">
      <w:bodyDiv w:val="1"/>
      <w:marLeft w:val="0"/>
      <w:marRight w:val="0"/>
      <w:marTop w:val="0"/>
      <w:marBottom w:val="0"/>
      <w:divBdr>
        <w:top w:val="none" w:sz="0" w:space="0" w:color="auto"/>
        <w:left w:val="none" w:sz="0" w:space="0" w:color="auto"/>
        <w:bottom w:val="none" w:sz="0" w:space="0" w:color="auto"/>
        <w:right w:val="none" w:sz="0" w:space="0" w:color="auto"/>
      </w:divBdr>
    </w:div>
    <w:div w:id="2131781912">
      <w:bodyDiv w:val="1"/>
      <w:marLeft w:val="0"/>
      <w:marRight w:val="0"/>
      <w:marTop w:val="0"/>
      <w:marBottom w:val="0"/>
      <w:divBdr>
        <w:top w:val="none" w:sz="0" w:space="0" w:color="auto"/>
        <w:left w:val="none" w:sz="0" w:space="0" w:color="auto"/>
        <w:bottom w:val="none" w:sz="0" w:space="0" w:color="auto"/>
        <w:right w:val="none" w:sz="0" w:space="0" w:color="auto"/>
      </w:divBdr>
    </w:div>
    <w:div w:id="2133593882">
      <w:bodyDiv w:val="1"/>
      <w:marLeft w:val="0"/>
      <w:marRight w:val="0"/>
      <w:marTop w:val="0"/>
      <w:marBottom w:val="0"/>
      <w:divBdr>
        <w:top w:val="none" w:sz="0" w:space="0" w:color="auto"/>
        <w:left w:val="none" w:sz="0" w:space="0" w:color="auto"/>
        <w:bottom w:val="none" w:sz="0" w:space="0" w:color="auto"/>
        <w:right w:val="none" w:sz="0" w:space="0" w:color="auto"/>
      </w:divBdr>
    </w:div>
    <w:div w:id="2133857767">
      <w:bodyDiv w:val="1"/>
      <w:marLeft w:val="0"/>
      <w:marRight w:val="0"/>
      <w:marTop w:val="0"/>
      <w:marBottom w:val="0"/>
      <w:divBdr>
        <w:top w:val="none" w:sz="0" w:space="0" w:color="auto"/>
        <w:left w:val="none" w:sz="0" w:space="0" w:color="auto"/>
        <w:bottom w:val="none" w:sz="0" w:space="0" w:color="auto"/>
        <w:right w:val="none" w:sz="0" w:space="0" w:color="auto"/>
      </w:divBdr>
    </w:div>
    <w:div w:id="2137865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hyperlink" Target="mailto:Myra.Brouwer@safmc.net" TargetMode="External"/><Relationship Id="rId19" Type="http://schemas.openxmlformats.org/officeDocument/2006/relationships/hyperlink" Target="mailto:Mary.Vara@noaa.gov" TargetMode="External"/><Relationship Id="rId60" Type="http://schemas.openxmlformats.org/officeDocument/2006/relationships/footer" Target="footer17.xml"/><Relationship Id="rId61" Type="http://schemas.openxmlformats.org/officeDocument/2006/relationships/footer" Target="footer18.xml"/><Relationship Id="rId62" Type="http://schemas.openxmlformats.org/officeDocument/2006/relationships/image" Target="media/image12.png"/><Relationship Id="rId63" Type="http://schemas.openxmlformats.org/officeDocument/2006/relationships/image" Target="media/image13.png"/><Relationship Id="rId64" Type="http://schemas.openxmlformats.org/officeDocument/2006/relationships/image" Target="media/image14.png"/><Relationship Id="rId65" Type="http://schemas.openxmlformats.org/officeDocument/2006/relationships/chart" Target="charts/chart6.xml"/><Relationship Id="rId66" Type="http://schemas.openxmlformats.org/officeDocument/2006/relationships/hyperlink" Target="http://sero.nmfs.noaa.gov/sustainable_fisheries/acl_monitoring/index.html" TargetMode="External"/><Relationship Id="rId67" Type="http://schemas.openxmlformats.org/officeDocument/2006/relationships/chart" Target="charts/chart7.xml"/><Relationship Id="rId68" Type="http://schemas.openxmlformats.org/officeDocument/2006/relationships/chart" Target="charts/chart8.xml"/><Relationship Id="rId69" Type="http://schemas.openxmlformats.org/officeDocument/2006/relationships/chart" Target="charts/chart9.xml"/><Relationship Id="rId120" Type="http://schemas.openxmlformats.org/officeDocument/2006/relationships/footer" Target="footer36.xml"/><Relationship Id="rId121" Type="http://schemas.openxmlformats.org/officeDocument/2006/relationships/hyperlink" Target="http://safmc.net/SSCMeeting_BriefingBook03042016" TargetMode="External"/><Relationship Id="rId122" Type="http://schemas.openxmlformats.org/officeDocument/2006/relationships/footer" Target="footer37.xml"/><Relationship Id="rId123" Type="http://schemas.openxmlformats.org/officeDocument/2006/relationships/image" Target="media/image16.png"/><Relationship Id="rId124" Type="http://schemas.openxmlformats.org/officeDocument/2006/relationships/image" Target="media/image17.png"/><Relationship Id="rId125" Type="http://schemas.openxmlformats.org/officeDocument/2006/relationships/image" Target="media/image18.png"/><Relationship Id="rId126" Type="http://schemas.openxmlformats.org/officeDocument/2006/relationships/image" Target="media/image19.png"/><Relationship Id="rId127" Type="http://schemas.openxmlformats.org/officeDocument/2006/relationships/image" Target="media/image20.emf"/><Relationship Id="rId128" Type="http://schemas.openxmlformats.org/officeDocument/2006/relationships/image" Target="media/image21.png"/><Relationship Id="rId129" Type="http://schemas.openxmlformats.org/officeDocument/2006/relationships/image" Target="media/image22.png"/><Relationship Id="rId40" Type="http://schemas.openxmlformats.org/officeDocument/2006/relationships/hyperlink" Target="http://www.safmc.net/ecosystem-management/mapping-and-gis-data" TargetMode="External"/><Relationship Id="rId41" Type="http://schemas.openxmlformats.org/officeDocument/2006/relationships/hyperlink" Target="http://www.safmc.net/ecosystem-management/fishery-ecosystem-plan-1" TargetMode="External"/><Relationship Id="rId42" Type="http://schemas.openxmlformats.org/officeDocument/2006/relationships/hyperlink" Target="http://www.sefsc.noaa.gov/sedar/" TargetMode="External"/><Relationship Id="rId90" Type="http://schemas.openxmlformats.org/officeDocument/2006/relationships/footer" Target="footer28.xml"/><Relationship Id="rId91" Type="http://schemas.openxmlformats.org/officeDocument/2006/relationships/footer" Target="footer29.xml"/><Relationship Id="rId92" Type="http://schemas.openxmlformats.org/officeDocument/2006/relationships/footer" Target="footer30.xml"/><Relationship Id="rId93" Type="http://schemas.openxmlformats.org/officeDocument/2006/relationships/hyperlink" Target="http://www.sefsc.noaa.gov/sedar/" TargetMode="External"/><Relationship Id="rId94" Type="http://schemas.openxmlformats.org/officeDocument/2006/relationships/hyperlink" Target="http://sero.nmfs.noaa.gov/protected_resources/marine_mammal_health_and_stranding_response_program/index.html" TargetMode="External"/><Relationship Id="rId95" Type="http://schemas.openxmlformats.org/officeDocument/2006/relationships/hyperlink" Target="http://www.sefsc.noaa.gov/species/mammals/strandings.htm" TargetMode="External"/><Relationship Id="rId96" Type="http://schemas.openxmlformats.org/officeDocument/2006/relationships/hyperlink" Target="http://www.sefsc.noaa.gov/sedar/" TargetMode="External"/><Relationship Id="rId101" Type="http://schemas.openxmlformats.org/officeDocument/2006/relationships/hyperlink" Target="http://www.sefsc.noaa.gov/sedar/" TargetMode="External"/><Relationship Id="rId102" Type="http://schemas.openxmlformats.org/officeDocument/2006/relationships/hyperlink" Target="http://www.sefsc.noaa.gov/sedar/" TargetMode="External"/><Relationship Id="rId103" Type="http://schemas.openxmlformats.org/officeDocument/2006/relationships/hyperlink" Target="http://www.sefsc.noaa.gov/sedar/" TargetMode="External"/><Relationship Id="rId104" Type="http://schemas.openxmlformats.org/officeDocument/2006/relationships/hyperlink" Target="http://www.sefsc.noaa.gov/sedar/" TargetMode="External"/><Relationship Id="rId105" Type="http://schemas.openxmlformats.org/officeDocument/2006/relationships/hyperlink" Target="http://www.sefsc.noaa.gov/sedar/" TargetMode="External"/><Relationship Id="rId106" Type="http://schemas.openxmlformats.org/officeDocument/2006/relationships/hyperlink" Target="http://www.sefsc.noaa.gov/sedar/" TargetMode="External"/><Relationship Id="rId107" Type="http://schemas.openxmlformats.org/officeDocument/2006/relationships/footer" Target="footer31.xml"/><Relationship Id="rId108" Type="http://schemas.openxmlformats.org/officeDocument/2006/relationships/footer" Target="footer32.xml"/><Relationship Id="rId109" Type="http://schemas.openxmlformats.org/officeDocument/2006/relationships/footer" Target="footer33.xml"/><Relationship Id="rId97" Type="http://schemas.openxmlformats.org/officeDocument/2006/relationships/hyperlink" Target="http://www.sefsc.noaa.gov/sedar/" TargetMode="External"/><Relationship Id="rId98" Type="http://schemas.openxmlformats.org/officeDocument/2006/relationships/hyperlink" Target="http://sedarweb.org/docs/sar/S15A%20SAR3%20MuttonSnapper%20FINALt.pdf" TargetMode="External"/><Relationship Id="rId99" Type="http://schemas.openxmlformats.org/officeDocument/2006/relationships/hyperlink" Target="http://sedarweb.org/docs/suar/SEDAR%20Update%20Stock%20Assessment%20of%20Mutton%20Snapper%202015_FINAL.pdf" TargetMode="External"/><Relationship Id="rId43" Type="http://schemas.openxmlformats.org/officeDocument/2006/relationships/hyperlink" Target="http://www.iucnredlist.org/details/12416/0" TargetMode="External"/><Relationship Id="rId44" Type="http://schemas.openxmlformats.org/officeDocument/2006/relationships/hyperlink" Target="http://www.safmc.net/ecosystem-management/fishery-ecosystem-plan-1" TargetMode="External"/><Relationship Id="rId45" Type="http://schemas.openxmlformats.org/officeDocument/2006/relationships/image" Target="media/image6.png"/><Relationship Id="rId46" Type="http://schemas.openxmlformats.org/officeDocument/2006/relationships/hyperlink" Target="http://www.nmfs.noaa.gov/pr/interactions/fisheries/2016_list_of_fisheries_lof.html" TargetMode="External"/><Relationship Id="rId47" Type="http://schemas.openxmlformats.org/officeDocument/2006/relationships/image" Target="media/image7.png"/><Relationship Id="rId48" Type="http://schemas.openxmlformats.org/officeDocument/2006/relationships/image" Target="media/image8.png"/><Relationship Id="rId49" Type="http://schemas.openxmlformats.org/officeDocument/2006/relationships/image" Target="media/image9.png"/><Relationship Id="rId100" Type="http://schemas.openxmlformats.org/officeDocument/2006/relationships/hyperlink" Target="http://www.sefsc.noaa.gov/sedar/" TargetMode="External"/><Relationship Id="rId20" Type="http://schemas.openxmlformats.org/officeDocument/2006/relationships/hyperlink" Target="file:///C:\Users\nikhil.mehta\Downloads\Nikhil.Mehta@noaa.gov" TargetMode="External"/><Relationship Id="rId21" Type="http://schemas.openxmlformats.org/officeDocument/2006/relationships/footer" Target="footer4.xml"/><Relationship Id="rId22" Type="http://schemas.openxmlformats.org/officeDocument/2006/relationships/footer" Target="footer5.xml"/><Relationship Id="rId70" Type="http://schemas.openxmlformats.org/officeDocument/2006/relationships/chart" Target="charts/chart10.xml"/><Relationship Id="rId71" Type="http://schemas.openxmlformats.org/officeDocument/2006/relationships/chart" Target="charts/chart11.xml"/><Relationship Id="rId72" Type="http://schemas.openxmlformats.org/officeDocument/2006/relationships/chart" Target="charts/chart12.xml"/><Relationship Id="rId73" Type="http://schemas.openxmlformats.org/officeDocument/2006/relationships/footer" Target="footer19.xml"/><Relationship Id="rId74" Type="http://schemas.openxmlformats.org/officeDocument/2006/relationships/footer" Target="footer20.xml"/><Relationship Id="rId75" Type="http://schemas.openxmlformats.org/officeDocument/2006/relationships/hyperlink" Target="https://www.epa.gov/climate-indicators/marine-species-distribution" TargetMode="External"/><Relationship Id="rId76" Type="http://schemas.openxmlformats.org/officeDocument/2006/relationships/hyperlink" Target="https://www.st.nmfs.noaa.gov/ecosystems/climate/index" TargetMode="External"/><Relationship Id="rId77" Type="http://schemas.openxmlformats.org/officeDocument/2006/relationships/footer" Target="footer21.xml"/><Relationship Id="rId78" Type="http://schemas.openxmlformats.org/officeDocument/2006/relationships/footer" Target="footer22.xml"/><Relationship Id="rId79" Type="http://schemas.openxmlformats.org/officeDocument/2006/relationships/footer" Target="footer23.xml"/><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footer" Target="footer8.xml"/><Relationship Id="rId26" Type="http://schemas.openxmlformats.org/officeDocument/2006/relationships/footer" Target="footer9.xml"/><Relationship Id="rId27" Type="http://schemas.openxmlformats.org/officeDocument/2006/relationships/hyperlink" Target="http://sero.nmfs.noaa.gov/sustainable_fisheries/s_atl/sg/2016/am41/index.html" TargetMode="External"/><Relationship Id="rId28" Type="http://schemas.openxmlformats.org/officeDocument/2006/relationships/hyperlink" Target="http://www.safmc.net" TargetMode="External"/><Relationship Id="rId29" Type="http://schemas.openxmlformats.org/officeDocument/2006/relationships/image" Target="media/image4.png"/><Relationship Id="rId130" Type="http://schemas.openxmlformats.org/officeDocument/2006/relationships/image" Target="media/image23.png"/><Relationship Id="rId131" Type="http://schemas.openxmlformats.org/officeDocument/2006/relationships/image" Target="media/image24.png"/><Relationship Id="rId132" Type="http://schemas.openxmlformats.org/officeDocument/2006/relationships/chart" Target="charts/chart13.xml"/><Relationship Id="rId133" Type="http://schemas.openxmlformats.org/officeDocument/2006/relationships/chart" Target="charts/chart14.xml"/><Relationship Id="rId134" Type="http://schemas.openxmlformats.org/officeDocument/2006/relationships/chart" Target="charts/chart15.xml"/><Relationship Id="rId135" Type="http://schemas.openxmlformats.org/officeDocument/2006/relationships/chart" Target="charts/chart16.xml"/><Relationship Id="rId136" Type="http://schemas.openxmlformats.org/officeDocument/2006/relationships/footer" Target="footer38.xml"/><Relationship Id="rId137" Type="http://schemas.openxmlformats.org/officeDocument/2006/relationships/fontTable" Target="fontTable.xml"/><Relationship Id="rId13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50" Type="http://schemas.openxmlformats.org/officeDocument/2006/relationships/image" Target="media/image10.png"/><Relationship Id="rId51" Type="http://schemas.openxmlformats.org/officeDocument/2006/relationships/chart" Target="charts/chart1.xml"/><Relationship Id="rId52" Type="http://schemas.openxmlformats.org/officeDocument/2006/relationships/image" Target="media/image11.png"/><Relationship Id="rId53" Type="http://schemas.openxmlformats.org/officeDocument/2006/relationships/hyperlink" Target="http://sero.nmfs.noaa.gov/sustainable_fisheries/acl_monitoring/recreational_sa/historical/index.html" TargetMode="External"/><Relationship Id="rId54" Type="http://schemas.openxmlformats.org/officeDocument/2006/relationships/hyperlink" Target="http://sero.nmfs.noaa.gov/sustainable_fisheries/social/community_snapshot/" TargetMode="External"/><Relationship Id="rId55" Type="http://schemas.openxmlformats.org/officeDocument/2006/relationships/chart" Target="charts/chart2.xml"/><Relationship Id="rId56" Type="http://schemas.openxmlformats.org/officeDocument/2006/relationships/chart" Target="charts/chart3.xml"/><Relationship Id="rId57" Type="http://schemas.openxmlformats.org/officeDocument/2006/relationships/chart" Target="charts/chart4.xml"/><Relationship Id="rId58" Type="http://schemas.openxmlformats.org/officeDocument/2006/relationships/chart" Target="charts/chart5.xml"/><Relationship Id="rId59" Type="http://schemas.openxmlformats.org/officeDocument/2006/relationships/hyperlink" Target="http://www.gc.noaa.gov/enforce-office3.html" TargetMode="External"/><Relationship Id="rId110" Type="http://schemas.openxmlformats.org/officeDocument/2006/relationships/footer" Target="footer34.xml"/><Relationship Id="rId111" Type="http://schemas.openxmlformats.org/officeDocument/2006/relationships/hyperlink" Target="http://www.safmc.net/ecosystem/Home/EcosystemHome/tabid/435/Default.aspx" TargetMode="External"/><Relationship Id="rId112" Type="http://schemas.openxmlformats.org/officeDocument/2006/relationships/hyperlink" Target="http://ocean.floridamarine.org/safmc_atlas/" TargetMode="External"/><Relationship Id="rId113" Type="http://schemas.openxmlformats.org/officeDocument/2006/relationships/hyperlink" Target="http://ocean.floridamarine.org/safmc_dashboard/" TargetMode="External"/><Relationship Id="rId114" Type="http://schemas.openxmlformats.org/officeDocument/2006/relationships/hyperlink" Target="http://ocean.floridamarine.org/SA_Fisheries/" TargetMode="External"/><Relationship Id="rId115" Type="http://schemas.openxmlformats.org/officeDocument/2006/relationships/hyperlink" Target="http://ocean.floridamarine.org/sa_efh/" TargetMode="External"/><Relationship Id="rId116" Type="http://schemas.openxmlformats.org/officeDocument/2006/relationships/hyperlink" Target="http://ocean.floridamarine.org/safmc_managedareas/" TargetMode="External"/><Relationship Id="rId117" Type="http://schemas.openxmlformats.org/officeDocument/2006/relationships/hyperlink" Target="http://atoll.floridamarine.org/EcoSpecies" TargetMode="External"/><Relationship Id="rId118" Type="http://schemas.openxmlformats.org/officeDocument/2006/relationships/hyperlink" Target="http://www.safmc.net/ecosystem/Home/EcosystemHome/tabid/435/Default.aspx" TargetMode="External"/><Relationship Id="rId119" Type="http://schemas.openxmlformats.org/officeDocument/2006/relationships/footer" Target="footer35.xml"/><Relationship Id="rId30" Type="http://schemas.openxmlformats.org/officeDocument/2006/relationships/image" Target="media/image5.png"/><Relationship Id="rId31" Type="http://schemas.openxmlformats.org/officeDocument/2006/relationships/footer" Target="footer10.xml"/><Relationship Id="rId32" Type="http://schemas.openxmlformats.org/officeDocument/2006/relationships/footer" Target="footer11.xml"/><Relationship Id="rId33" Type="http://schemas.openxmlformats.org/officeDocument/2006/relationships/footer" Target="footer12.xml"/><Relationship Id="rId34" Type="http://schemas.openxmlformats.org/officeDocument/2006/relationships/footer" Target="footer13.xml"/><Relationship Id="rId35" Type="http://schemas.openxmlformats.org/officeDocument/2006/relationships/footer" Target="footer14.xml"/><Relationship Id="rId36" Type="http://schemas.openxmlformats.org/officeDocument/2006/relationships/footer" Target="footer15.xml"/><Relationship Id="rId37" Type="http://schemas.openxmlformats.org/officeDocument/2006/relationships/footer" Target="footer16.xml"/><Relationship Id="rId38" Type="http://schemas.openxmlformats.org/officeDocument/2006/relationships/hyperlink" Target="http://www.safmc.net/ecosystem-management/fishery-ecosystem-plan-1" TargetMode="External"/><Relationship Id="rId39" Type="http://schemas.openxmlformats.org/officeDocument/2006/relationships/hyperlink" Target="http://ocean.floridamarine.org/safmc_atlas/" TargetMode="External"/><Relationship Id="rId80" Type="http://schemas.openxmlformats.org/officeDocument/2006/relationships/hyperlink" Target="http://myfwc.com/media/3354173/6B-MuttonSnapperPresentation.pdf" TargetMode="External"/><Relationship Id="rId81" Type="http://schemas.openxmlformats.org/officeDocument/2006/relationships/hyperlink" Target="http://econ.appstate.edu/marfin/" TargetMode="External"/><Relationship Id="rId82" Type="http://schemas.openxmlformats.org/officeDocument/2006/relationships/hyperlink" Target="http://www.flmnh.ufl.edu/fish/Gallery/Descript/MuttonSnapper/MuttonSnapper.html" TargetMode="External"/><Relationship Id="rId83" Type="http://schemas.openxmlformats.org/officeDocument/2006/relationships/hyperlink" Target="http://www.c2es.org/docUploads/gulf-coast-impacts-adaptation.pdf" TargetMode="External"/><Relationship Id="rId84" Type="http://schemas.openxmlformats.org/officeDocument/2006/relationships/hyperlink" Target="http://sedarweb.org/sedar-15a" TargetMode="External"/><Relationship Id="rId85" Type="http://schemas.openxmlformats.org/officeDocument/2006/relationships/hyperlink" Target="http://sedarweb.org/sedar-15a" TargetMode="External"/><Relationship Id="rId86" Type="http://schemas.openxmlformats.org/officeDocument/2006/relationships/footer" Target="footer24.xml"/><Relationship Id="rId87" Type="http://schemas.openxmlformats.org/officeDocument/2006/relationships/footer" Target="footer25.xml"/><Relationship Id="rId88" Type="http://schemas.openxmlformats.org/officeDocument/2006/relationships/footer" Target="footer26.xml"/><Relationship Id="rId89" Type="http://schemas.openxmlformats.org/officeDocument/2006/relationships/footer" Target="footer2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chael.larkin\Documents\Mike\SA_Mutton\2016_SA_mutton\Trip_limit\Mutton_com_triplimit_April201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chael.larkin\Documents\Mike\SA_Mutton\2016_SA_mutton\Trip_limit\Mutton_com_triplimit_April2016.xlsx" TargetMode="External"/><Relationship Id="rId2" Type="http://schemas.openxmlformats.org/officeDocument/2006/relationships/chartUserShapes" Target="../drawings/drawing1.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chael.larkin\Documents\Mike\SA_Mutton\2016_SA_mutton\Trip_limit\Mutton_com_triplimit_April2016.xlsx" TargetMode="External"/><Relationship Id="rId2" Type="http://schemas.openxmlformats.org/officeDocument/2006/relationships/chartUserShapes" Target="../drawings/drawing2.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chael.larkin\Documents\Mike\SA_Mutton\2016_SA_mutton\Commercial_size_limit\SA_mutton_com_size_Oct2016.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ichael.larkin\Documents\Mike\SA_Mutton\2016_SA_mutton\Trip_limit\Mutton_com_triplimit_April201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ichael.larkin\Documents\Mike\SA_Mutton\2016_SA_mutton\Trip_limit\Mutton_com_triplimit_April2016.xlsx" TargetMode="External"/><Relationship Id="rId2" Type="http://schemas.openxmlformats.org/officeDocument/2006/relationships/chartUserShapes" Target="../drawings/drawing3.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ichael.larkin\Documents\Mike\SA_Mutton\2016_SA_mutton\Trip_limit\Mutton_com_triplimit_April2016.xlsx" TargetMode="External"/><Relationship Id="rId2" Type="http://schemas.openxmlformats.org/officeDocument/2006/relationships/chartUserShapes" Target="../drawings/drawing4.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christina.package\Documents\Fisheries%20Data\Landings%20by%20Community%20and%20Species\ALS%20Landings%202000-2014_revised%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hristina.package\Documents\Fisheries%20Data\Social%20Indicators\SE_Social_Indicator_Final_2009_WithRecEngAndReliance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hristina.package\Documents\Fisheries%20Data\Social%20Indicators\SE_Social_Indicator_Final_2009_WithRecEngAndReliance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hristina.package\Documents\Fisheries%20Data\Social%20Indicators\SE_Social_Indicator_Final_2009_WithRecEngAndRelianceAnaly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chael.larkin\Documents\Mike\SA_Mutton\2016_SA_mutton\Commercial_size_limit\SA_mutton_com_size_Oct20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1" Type="http://schemas.openxmlformats.org/officeDocument/2006/relationships/oleObject" Target="file:///C:\Users\michael.larkin\Documents\Mike\South_Florida_stocks\SFlorida_Gulf&amp;SA_black_yellow_mutton_with_confidential_dataV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chael.larkin\Documents\Mike\South_Florida_stocks\SFlorida_Gulf&amp;SA_black_yellow_mutton_with_confidential_data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'2006-2015 Landings'!$B$26</c:f>
              <c:strCache>
                <c:ptCount val="1"/>
                <c:pt idx="0">
                  <c:v>Lbs gw</c:v>
                </c:pt>
              </c:strCache>
            </c:strRef>
          </c:tx>
          <c:cat>
            <c:numRef>
              <c:f>'2006-2015 Landings'!$A$27:$A$36</c:f>
              <c:numCache>
                <c:formatCode>General</c:formatCode>
                <c:ptCount val="10"/>
                <c:pt idx="0">
                  <c:v>2006.0</c:v>
                </c:pt>
                <c:pt idx="1">
                  <c:v>2007.0</c:v>
                </c:pt>
                <c:pt idx="2">
                  <c:v>2008.0</c:v>
                </c:pt>
                <c:pt idx="3">
                  <c:v>2009.0</c:v>
                </c:pt>
                <c:pt idx="4">
                  <c:v>2010.0</c:v>
                </c:pt>
                <c:pt idx="5">
                  <c:v>2011.0</c:v>
                </c:pt>
                <c:pt idx="6">
                  <c:v>2012.0</c:v>
                </c:pt>
                <c:pt idx="7">
                  <c:v>2013.0</c:v>
                </c:pt>
                <c:pt idx="8">
                  <c:v>2014.0</c:v>
                </c:pt>
                <c:pt idx="9">
                  <c:v>2015.0</c:v>
                </c:pt>
              </c:numCache>
            </c:numRef>
          </c:cat>
          <c:val>
            <c:numRef>
              <c:f>'2006-2015 Landings'!$B$27:$B$36</c:f>
              <c:numCache>
                <c:formatCode>#,##0</c:formatCode>
                <c:ptCount val="10"/>
                <c:pt idx="0">
                  <c:v>43397.0</c:v>
                </c:pt>
                <c:pt idx="1">
                  <c:v>48546.0</c:v>
                </c:pt>
                <c:pt idx="2">
                  <c:v>44763.0</c:v>
                </c:pt>
                <c:pt idx="3">
                  <c:v>48693.0</c:v>
                </c:pt>
                <c:pt idx="4">
                  <c:v>51749.0</c:v>
                </c:pt>
                <c:pt idx="5">
                  <c:v>52679.0</c:v>
                </c:pt>
                <c:pt idx="6">
                  <c:v>61943.0</c:v>
                </c:pt>
                <c:pt idx="7">
                  <c:v>57471.0</c:v>
                </c:pt>
                <c:pt idx="8">
                  <c:v>59683.0</c:v>
                </c:pt>
                <c:pt idx="9">
                  <c:v>65698.0</c:v>
                </c:pt>
              </c:numCache>
            </c:numRef>
          </c:val>
          <c:smooth val="0"/>
        </c:ser>
        <c:ser>
          <c:idx val="1"/>
          <c:order val="1"/>
          <c:tx>
            <c:strRef>
              <c:f>'2006-2015 Landings'!$C$26</c:f>
              <c:strCache>
                <c:ptCount val="1"/>
                <c:pt idx="0">
                  <c:v>2006-2010 Average</c:v>
                </c:pt>
              </c:strCache>
            </c:strRef>
          </c:tx>
          <c:cat>
            <c:numRef>
              <c:f>'2006-2015 Landings'!$A$27:$A$36</c:f>
              <c:numCache>
                <c:formatCode>General</c:formatCode>
                <c:ptCount val="10"/>
                <c:pt idx="0">
                  <c:v>2006.0</c:v>
                </c:pt>
                <c:pt idx="1">
                  <c:v>2007.0</c:v>
                </c:pt>
                <c:pt idx="2">
                  <c:v>2008.0</c:v>
                </c:pt>
                <c:pt idx="3">
                  <c:v>2009.0</c:v>
                </c:pt>
                <c:pt idx="4">
                  <c:v>2010.0</c:v>
                </c:pt>
                <c:pt idx="5">
                  <c:v>2011.0</c:v>
                </c:pt>
                <c:pt idx="6">
                  <c:v>2012.0</c:v>
                </c:pt>
                <c:pt idx="7">
                  <c:v>2013.0</c:v>
                </c:pt>
                <c:pt idx="8">
                  <c:v>2014.0</c:v>
                </c:pt>
                <c:pt idx="9">
                  <c:v>2015.0</c:v>
                </c:pt>
              </c:numCache>
            </c:numRef>
          </c:cat>
          <c:val>
            <c:numRef>
              <c:f>'2006-2015 Landings'!$C$27:$C$36</c:f>
              <c:numCache>
                <c:formatCode>#,##0</c:formatCode>
                <c:ptCount val="10"/>
                <c:pt idx="0">
                  <c:v>47429.6</c:v>
                </c:pt>
                <c:pt idx="1">
                  <c:v>47429.6</c:v>
                </c:pt>
                <c:pt idx="2">
                  <c:v>47429.6</c:v>
                </c:pt>
                <c:pt idx="3">
                  <c:v>47429.6</c:v>
                </c:pt>
                <c:pt idx="4">
                  <c:v>47429.6</c:v>
                </c:pt>
              </c:numCache>
            </c:numRef>
          </c:val>
          <c:smooth val="0"/>
        </c:ser>
        <c:ser>
          <c:idx val="2"/>
          <c:order val="2"/>
          <c:tx>
            <c:strRef>
              <c:f>'2006-2015 Landings'!$D$26</c:f>
              <c:strCache>
                <c:ptCount val="1"/>
                <c:pt idx="0">
                  <c:v>2011-2015 Average</c:v>
                </c:pt>
              </c:strCache>
            </c:strRef>
          </c:tx>
          <c:cat>
            <c:numRef>
              <c:f>'2006-2015 Landings'!$A$27:$A$36</c:f>
              <c:numCache>
                <c:formatCode>General</c:formatCode>
                <c:ptCount val="10"/>
                <c:pt idx="0">
                  <c:v>2006.0</c:v>
                </c:pt>
                <c:pt idx="1">
                  <c:v>2007.0</c:v>
                </c:pt>
                <c:pt idx="2">
                  <c:v>2008.0</c:v>
                </c:pt>
                <c:pt idx="3">
                  <c:v>2009.0</c:v>
                </c:pt>
                <c:pt idx="4">
                  <c:v>2010.0</c:v>
                </c:pt>
                <c:pt idx="5">
                  <c:v>2011.0</c:v>
                </c:pt>
                <c:pt idx="6">
                  <c:v>2012.0</c:v>
                </c:pt>
                <c:pt idx="7">
                  <c:v>2013.0</c:v>
                </c:pt>
                <c:pt idx="8">
                  <c:v>2014.0</c:v>
                </c:pt>
                <c:pt idx="9">
                  <c:v>2015.0</c:v>
                </c:pt>
              </c:numCache>
            </c:numRef>
          </c:cat>
          <c:val>
            <c:numRef>
              <c:f>'2006-2015 Landings'!$D$27:$D$36</c:f>
              <c:numCache>
                <c:formatCode>General</c:formatCode>
                <c:ptCount val="10"/>
                <c:pt idx="5" formatCode="#,##0">
                  <c:v>59494.8</c:v>
                </c:pt>
                <c:pt idx="6" formatCode="#,##0">
                  <c:v>59495.0</c:v>
                </c:pt>
                <c:pt idx="7" formatCode="#,##0">
                  <c:v>59495.0</c:v>
                </c:pt>
                <c:pt idx="8" formatCode="#,##0">
                  <c:v>59495.0</c:v>
                </c:pt>
                <c:pt idx="9" formatCode="#,##0">
                  <c:v>59495.0</c:v>
                </c:pt>
              </c:numCache>
            </c:numRef>
          </c:val>
          <c:smooth val="0"/>
        </c:ser>
        <c:dLbls>
          <c:showLegendKey val="0"/>
          <c:showVal val="0"/>
          <c:showCatName val="0"/>
          <c:showSerName val="0"/>
          <c:showPercent val="0"/>
          <c:showBubbleSize val="0"/>
        </c:dLbls>
        <c:marker val="1"/>
        <c:smooth val="0"/>
        <c:axId val="2073653880"/>
        <c:axId val="2073812472"/>
      </c:lineChart>
      <c:catAx>
        <c:axId val="2073653880"/>
        <c:scaling>
          <c:orientation val="minMax"/>
        </c:scaling>
        <c:delete val="0"/>
        <c:axPos val="b"/>
        <c:numFmt formatCode="General" sourceLinked="1"/>
        <c:majorTickMark val="out"/>
        <c:minorTickMark val="none"/>
        <c:tickLblPos val="nextTo"/>
        <c:crossAx val="2073812472"/>
        <c:crosses val="autoZero"/>
        <c:auto val="1"/>
        <c:lblAlgn val="ctr"/>
        <c:lblOffset val="100"/>
        <c:noMultiLvlLbl val="0"/>
      </c:catAx>
      <c:valAx>
        <c:axId val="2073812472"/>
        <c:scaling>
          <c:orientation val="minMax"/>
        </c:scaling>
        <c:delete val="0"/>
        <c:axPos val="l"/>
        <c:majorGridlines/>
        <c:title>
          <c:tx>
            <c:rich>
              <a:bodyPr rot="0" vert="horz"/>
              <a:lstStyle/>
              <a:p>
                <a:pPr>
                  <a:defRPr/>
                </a:pPr>
                <a:r>
                  <a:rPr lang="en-US"/>
                  <a:t>Pounds gw</a:t>
                </a:r>
              </a:p>
            </c:rich>
          </c:tx>
          <c:overlay val="0"/>
        </c:title>
        <c:numFmt formatCode="#,##0" sourceLinked="1"/>
        <c:majorTickMark val="out"/>
        <c:minorTickMark val="none"/>
        <c:tickLblPos val="nextTo"/>
        <c:crossAx val="207365388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37433518484608"/>
          <c:y val="0.0514005540974045"/>
          <c:w val="0.889981891798409"/>
          <c:h val="0.821766547428548"/>
        </c:manualLayout>
      </c:layout>
      <c:barChart>
        <c:barDir val="col"/>
        <c:grouping val="clustered"/>
        <c:varyColors val="0"/>
        <c:ser>
          <c:idx val="3"/>
          <c:order val="0"/>
          <c:tx>
            <c:v>May-June (n = 1,411 Trips)</c:v>
          </c:tx>
          <c:spPr>
            <a:solidFill>
              <a:srgbClr val="92D050"/>
            </a:solidFill>
          </c:spPr>
          <c:invertIfNegative val="0"/>
          <c:cat>
            <c:strRef>
              <c:f>SA_Trip_figure!$O$6:$O$13</c:f>
              <c:strCache>
                <c:ptCount val="8"/>
                <c:pt idx="0">
                  <c:v>25</c:v>
                </c:pt>
                <c:pt idx="1">
                  <c:v>50</c:v>
                </c:pt>
                <c:pt idx="2">
                  <c:v>75</c:v>
                </c:pt>
                <c:pt idx="3">
                  <c:v>100</c:v>
                </c:pt>
                <c:pt idx="4">
                  <c:v>200</c:v>
                </c:pt>
                <c:pt idx="5">
                  <c:v>250</c:v>
                </c:pt>
                <c:pt idx="6">
                  <c:v>500</c:v>
                </c:pt>
                <c:pt idx="7">
                  <c:v>500+</c:v>
                </c:pt>
              </c:strCache>
            </c:strRef>
          </c:cat>
          <c:val>
            <c:numRef>
              <c:f>SA_Trip_figure!$Q$6:$Q$13</c:f>
              <c:numCache>
                <c:formatCode>General</c:formatCode>
                <c:ptCount val="8"/>
                <c:pt idx="0">
                  <c:v>53.43727852586817</c:v>
                </c:pt>
                <c:pt idx="1">
                  <c:v>17.00921332388377</c:v>
                </c:pt>
                <c:pt idx="2">
                  <c:v>9.63855421686747</c:v>
                </c:pt>
                <c:pt idx="3">
                  <c:v>5.669737774627896</c:v>
                </c:pt>
                <c:pt idx="4">
                  <c:v>9.355067328136074</c:v>
                </c:pt>
                <c:pt idx="5">
                  <c:v>1.133947554925585</c:v>
                </c:pt>
                <c:pt idx="6">
                  <c:v>3.04748405386251</c:v>
                </c:pt>
                <c:pt idx="7">
                  <c:v>0.70871722182849</c:v>
                </c:pt>
              </c:numCache>
            </c:numRef>
          </c:val>
        </c:ser>
        <c:ser>
          <c:idx val="0"/>
          <c:order val="1"/>
          <c:tx>
            <c:v>July-April (n=3,140 Trips)</c:v>
          </c:tx>
          <c:invertIfNegative val="0"/>
          <c:cat>
            <c:strRef>
              <c:f>SA_Trip_figure!$O$6:$O$13</c:f>
              <c:strCache>
                <c:ptCount val="8"/>
                <c:pt idx="0">
                  <c:v>25</c:v>
                </c:pt>
                <c:pt idx="1">
                  <c:v>50</c:v>
                </c:pt>
                <c:pt idx="2">
                  <c:v>75</c:v>
                </c:pt>
                <c:pt idx="3">
                  <c:v>100</c:v>
                </c:pt>
                <c:pt idx="4">
                  <c:v>200</c:v>
                </c:pt>
                <c:pt idx="5">
                  <c:v>250</c:v>
                </c:pt>
                <c:pt idx="6">
                  <c:v>500</c:v>
                </c:pt>
                <c:pt idx="7">
                  <c:v>500+</c:v>
                </c:pt>
              </c:strCache>
            </c:strRef>
          </c:cat>
          <c:val>
            <c:numRef>
              <c:f>SA_Trip_figure!$S$6:$S$13</c:f>
              <c:numCache>
                <c:formatCode>General</c:formatCode>
                <c:ptCount val="8"/>
                <c:pt idx="0">
                  <c:v>62.0063694267516</c:v>
                </c:pt>
                <c:pt idx="1">
                  <c:v>16.24203821656051</c:v>
                </c:pt>
                <c:pt idx="2">
                  <c:v>6.94267515923567</c:v>
                </c:pt>
                <c:pt idx="3">
                  <c:v>4.363057324840765</c:v>
                </c:pt>
                <c:pt idx="4">
                  <c:v>7.961783439490445</c:v>
                </c:pt>
                <c:pt idx="5">
                  <c:v>0.859872611464968</c:v>
                </c:pt>
                <c:pt idx="6">
                  <c:v>1.210191082802548</c:v>
                </c:pt>
                <c:pt idx="7">
                  <c:v>0.414012738853503</c:v>
                </c:pt>
              </c:numCache>
            </c:numRef>
          </c:val>
        </c:ser>
        <c:dLbls>
          <c:showLegendKey val="0"/>
          <c:showVal val="0"/>
          <c:showCatName val="0"/>
          <c:showSerName val="0"/>
          <c:showPercent val="0"/>
          <c:showBubbleSize val="0"/>
        </c:dLbls>
        <c:gapWidth val="150"/>
        <c:axId val="-2077546136"/>
        <c:axId val="-2077540296"/>
      </c:barChart>
      <c:catAx>
        <c:axId val="-2077546136"/>
        <c:scaling>
          <c:orientation val="minMax"/>
        </c:scaling>
        <c:delete val="0"/>
        <c:axPos val="b"/>
        <c:title>
          <c:tx>
            <c:rich>
              <a:bodyPr/>
              <a:lstStyle/>
              <a:p>
                <a:pPr>
                  <a:defRPr/>
                </a:pPr>
                <a:r>
                  <a:rPr lang="en-US" baseline="0"/>
                  <a:t>Mutton Snapper Pounds (ww) per Trip</a:t>
                </a:r>
                <a:endParaRPr lang="en-US"/>
              </a:p>
            </c:rich>
          </c:tx>
          <c:layout>
            <c:manualLayout>
              <c:xMode val="edge"/>
              <c:yMode val="edge"/>
              <c:x val="0.328408716352316"/>
              <c:y val="0.94022363705472"/>
            </c:manualLayout>
          </c:layout>
          <c:overlay val="0"/>
        </c:title>
        <c:numFmt formatCode="General" sourceLinked="1"/>
        <c:majorTickMark val="cross"/>
        <c:minorTickMark val="none"/>
        <c:tickLblPos val="nextTo"/>
        <c:spPr>
          <a:ln w="19050">
            <a:solidFill>
              <a:schemeClr val="tx1"/>
            </a:solidFill>
          </a:ln>
        </c:spPr>
        <c:crossAx val="-2077540296"/>
        <c:crosses val="autoZero"/>
        <c:auto val="1"/>
        <c:lblAlgn val="ctr"/>
        <c:lblOffset val="100"/>
        <c:noMultiLvlLbl val="0"/>
      </c:catAx>
      <c:valAx>
        <c:axId val="-2077540296"/>
        <c:scaling>
          <c:orientation val="minMax"/>
          <c:max val="100.0"/>
          <c:min val="0.0"/>
        </c:scaling>
        <c:delete val="0"/>
        <c:axPos val="l"/>
        <c:title>
          <c:tx>
            <c:rich>
              <a:bodyPr rot="-5400000" vert="horz"/>
              <a:lstStyle/>
              <a:p>
                <a:pPr>
                  <a:defRPr/>
                </a:pPr>
                <a:r>
                  <a:rPr lang="en-US"/>
                  <a:t>Percent of Trips</a:t>
                </a:r>
              </a:p>
            </c:rich>
          </c:tx>
          <c:layout>
            <c:manualLayout>
              <c:xMode val="edge"/>
              <c:yMode val="edge"/>
              <c:x val="0.000482831212363515"/>
              <c:y val="0.281101027933422"/>
            </c:manualLayout>
          </c:layout>
          <c:overlay val="0"/>
        </c:title>
        <c:numFmt formatCode="General" sourceLinked="1"/>
        <c:majorTickMark val="cross"/>
        <c:minorTickMark val="out"/>
        <c:tickLblPos val="nextTo"/>
        <c:spPr>
          <a:ln w="19050">
            <a:solidFill>
              <a:schemeClr val="tx1"/>
            </a:solidFill>
          </a:ln>
        </c:spPr>
        <c:crossAx val="-2077546136"/>
        <c:crosses val="autoZero"/>
        <c:crossBetween val="between"/>
      </c:valAx>
    </c:plotArea>
    <c:legend>
      <c:legendPos val="r"/>
      <c:layout>
        <c:manualLayout>
          <c:xMode val="edge"/>
          <c:yMode val="edge"/>
          <c:x val="0.118047820241982"/>
          <c:y val="0.0153468316460442"/>
          <c:w val="0.388620869506696"/>
          <c:h val="0.182233917188923"/>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37433518484608"/>
          <c:y val="0.0514005540974045"/>
          <c:w val="0.889981891798409"/>
          <c:h val="0.733325557519336"/>
        </c:manualLayout>
      </c:layout>
      <c:barChart>
        <c:barDir val="col"/>
        <c:grouping val="clustered"/>
        <c:varyColors val="0"/>
        <c:ser>
          <c:idx val="3"/>
          <c:order val="0"/>
          <c:spPr>
            <a:solidFill>
              <a:schemeClr val="tx2"/>
            </a:solidFill>
            <a:ln>
              <a:solidFill>
                <a:schemeClr val="tx2"/>
              </a:solidFill>
            </a:ln>
          </c:spPr>
          <c:invertIfNegative val="0"/>
          <c:cat>
            <c:strRef>
              <c:f>numb_fig!$M$24:$M$31</c:f>
              <c:strCache>
                <c:ptCount val="8"/>
                <c:pt idx="0">
                  <c:v>2</c:v>
                </c:pt>
                <c:pt idx="1">
                  <c:v>3</c:v>
                </c:pt>
                <c:pt idx="2">
                  <c:v>4</c:v>
                </c:pt>
                <c:pt idx="3">
                  <c:v>5</c:v>
                </c:pt>
                <c:pt idx="4">
                  <c:v>6 to 9</c:v>
                </c:pt>
                <c:pt idx="5">
                  <c:v>10</c:v>
                </c:pt>
                <c:pt idx="6">
                  <c:v>12</c:v>
                </c:pt>
                <c:pt idx="7">
                  <c:v>12+</c:v>
                </c:pt>
              </c:strCache>
            </c:strRef>
          </c:cat>
          <c:val>
            <c:numRef>
              <c:f>numb_fig!$O$24:$O$31</c:f>
              <c:numCache>
                <c:formatCode>0.0</c:formatCode>
                <c:ptCount val="8"/>
                <c:pt idx="0">
                  <c:v>70.5173635719348</c:v>
                </c:pt>
                <c:pt idx="1">
                  <c:v>9.496810772501771</c:v>
                </c:pt>
                <c:pt idx="2">
                  <c:v>3.614457831325301</c:v>
                </c:pt>
                <c:pt idx="3">
                  <c:v>2.834868887313958</c:v>
                </c:pt>
                <c:pt idx="4">
                  <c:v>7.016300496102056</c:v>
                </c:pt>
                <c:pt idx="5">
                  <c:v>0.70871722182849</c:v>
                </c:pt>
                <c:pt idx="6">
                  <c:v>1.48830616583983</c:v>
                </c:pt>
                <c:pt idx="7">
                  <c:v>4.323175053153776</c:v>
                </c:pt>
              </c:numCache>
            </c:numRef>
          </c:val>
        </c:ser>
        <c:dLbls>
          <c:showLegendKey val="0"/>
          <c:showVal val="0"/>
          <c:showCatName val="0"/>
          <c:showSerName val="0"/>
          <c:showPercent val="0"/>
          <c:showBubbleSize val="0"/>
        </c:dLbls>
        <c:gapWidth val="150"/>
        <c:axId val="2118842184"/>
        <c:axId val="-2078408552"/>
      </c:barChart>
      <c:catAx>
        <c:axId val="2118842184"/>
        <c:scaling>
          <c:orientation val="minMax"/>
        </c:scaling>
        <c:delete val="0"/>
        <c:axPos val="b"/>
        <c:title>
          <c:tx>
            <c:rich>
              <a:bodyPr/>
              <a:lstStyle/>
              <a:p>
                <a:pPr>
                  <a:defRPr/>
                </a:pPr>
                <a:r>
                  <a:rPr lang="en-US" baseline="0"/>
                  <a:t>Numbers of Mutton Snapper Harvested per Person per Day</a:t>
                </a:r>
                <a:endParaRPr lang="en-US"/>
              </a:p>
            </c:rich>
          </c:tx>
          <c:layout>
            <c:manualLayout>
              <c:xMode val="edge"/>
              <c:yMode val="edge"/>
              <c:x val="0.247212127330238"/>
              <c:y val="0.907131011608624"/>
            </c:manualLayout>
          </c:layout>
          <c:overlay val="0"/>
        </c:title>
        <c:numFmt formatCode="General" sourceLinked="1"/>
        <c:majorTickMark val="cross"/>
        <c:minorTickMark val="none"/>
        <c:tickLblPos val="nextTo"/>
        <c:spPr>
          <a:ln w="19050">
            <a:solidFill>
              <a:schemeClr val="tx1"/>
            </a:solidFill>
          </a:ln>
        </c:spPr>
        <c:crossAx val="-2078408552"/>
        <c:crosses val="autoZero"/>
        <c:auto val="1"/>
        <c:lblAlgn val="ctr"/>
        <c:lblOffset val="100"/>
        <c:noMultiLvlLbl val="0"/>
      </c:catAx>
      <c:valAx>
        <c:axId val="-2078408552"/>
        <c:scaling>
          <c:orientation val="minMax"/>
          <c:max val="100.0"/>
          <c:min val="0.0"/>
        </c:scaling>
        <c:delete val="0"/>
        <c:axPos val="l"/>
        <c:title>
          <c:tx>
            <c:rich>
              <a:bodyPr rot="-5400000" vert="horz"/>
              <a:lstStyle/>
              <a:p>
                <a:pPr>
                  <a:defRPr/>
                </a:pPr>
                <a:r>
                  <a:rPr lang="en-US"/>
                  <a:t>Percent of Trips</a:t>
                </a:r>
              </a:p>
            </c:rich>
          </c:tx>
          <c:layout>
            <c:manualLayout>
              <c:xMode val="edge"/>
              <c:yMode val="edge"/>
              <c:x val="0.000482872333266034"/>
              <c:y val="0.192654400786966"/>
            </c:manualLayout>
          </c:layout>
          <c:overlay val="0"/>
        </c:title>
        <c:numFmt formatCode="0" sourceLinked="0"/>
        <c:majorTickMark val="cross"/>
        <c:minorTickMark val="out"/>
        <c:tickLblPos val="nextTo"/>
        <c:spPr>
          <a:ln w="19050">
            <a:solidFill>
              <a:schemeClr val="tx1"/>
            </a:solidFill>
          </a:ln>
        </c:spPr>
        <c:crossAx val="2118842184"/>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37433518484608"/>
          <c:y val="0.0514005540974045"/>
          <c:w val="0.889981891798409"/>
          <c:h val="0.74610727950114"/>
        </c:manualLayout>
      </c:layout>
      <c:barChart>
        <c:barDir val="col"/>
        <c:grouping val="clustered"/>
        <c:varyColors val="0"/>
        <c:ser>
          <c:idx val="3"/>
          <c:order val="0"/>
          <c:spPr>
            <a:solidFill>
              <a:srgbClr val="92D050"/>
            </a:solidFill>
          </c:spPr>
          <c:invertIfNegative val="0"/>
          <c:cat>
            <c:strRef>
              <c:f>numb_fig!$M$7:$M$14</c:f>
              <c:strCache>
                <c:ptCount val="8"/>
                <c:pt idx="0">
                  <c:v>2</c:v>
                </c:pt>
                <c:pt idx="1">
                  <c:v>3</c:v>
                </c:pt>
                <c:pt idx="2">
                  <c:v>4</c:v>
                </c:pt>
                <c:pt idx="3">
                  <c:v>5</c:v>
                </c:pt>
                <c:pt idx="4">
                  <c:v>6 to 9</c:v>
                </c:pt>
                <c:pt idx="5">
                  <c:v>10</c:v>
                </c:pt>
                <c:pt idx="6">
                  <c:v>12</c:v>
                </c:pt>
                <c:pt idx="7">
                  <c:v>12+</c:v>
                </c:pt>
              </c:strCache>
            </c:strRef>
          </c:cat>
          <c:val>
            <c:numRef>
              <c:f>numb_fig!$O$7:$O$14</c:f>
              <c:numCache>
                <c:formatCode>0.0</c:formatCode>
                <c:ptCount val="8"/>
                <c:pt idx="0">
                  <c:v>50.46066619418851</c:v>
                </c:pt>
                <c:pt idx="1">
                  <c:v>12.26080793763288</c:v>
                </c:pt>
                <c:pt idx="2">
                  <c:v>6.449326718639263</c:v>
                </c:pt>
                <c:pt idx="3">
                  <c:v>4.748405386250886</c:v>
                </c:pt>
                <c:pt idx="4">
                  <c:v>12.18993621545004</c:v>
                </c:pt>
                <c:pt idx="5">
                  <c:v>1.275690999291283</c:v>
                </c:pt>
                <c:pt idx="6">
                  <c:v>2.622253720765415</c:v>
                </c:pt>
                <c:pt idx="7">
                  <c:v>9.99291282778172</c:v>
                </c:pt>
              </c:numCache>
            </c:numRef>
          </c:val>
        </c:ser>
        <c:dLbls>
          <c:showLegendKey val="0"/>
          <c:showVal val="0"/>
          <c:showCatName val="0"/>
          <c:showSerName val="0"/>
          <c:showPercent val="0"/>
          <c:showBubbleSize val="0"/>
        </c:dLbls>
        <c:gapWidth val="150"/>
        <c:axId val="2073720744"/>
        <c:axId val="2073893064"/>
      </c:barChart>
      <c:catAx>
        <c:axId val="2073720744"/>
        <c:scaling>
          <c:orientation val="minMax"/>
        </c:scaling>
        <c:delete val="0"/>
        <c:axPos val="b"/>
        <c:title>
          <c:tx>
            <c:rich>
              <a:bodyPr/>
              <a:lstStyle/>
              <a:p>
                <a:pPr>
                  <a:defRPr/>
                </a:pPr>
                <a:r>
                  <a:rPr lang="en-US" baseline="0"/>
                  <a:t>Numbers of Mutton Snapper Harvested per Vessel per Day</a:t>
                </a:r>
                <a:endParaRPr lang="en-US"/>
              </a:p>
            </c:rich>
          </c:tx>
          <c:layout>
            <c:manualLayout>
              <c:xMode val="edge"/>
              <c:yMode val="edge"/>
              <c:x val="0.232254862372973"/>
              <c:y val="0.909213726019994"/>
            </c:manualLayout>
          </c:layout>
          <c:overlay val="0"/>
        </c:title>
        <c:numFmt formatCode="General" sourceLinked="1"/>
        <c:majorTickMark val="cross"/>
        <c:minorTickMark val="none"/>
        <c:tickLblPos val="nextTo"/>
        <c:spPr>
          <a:ln w="19050">
            <a:solidFill>
              <a:schemeClr val="tx1"/>
            </a:solidFill>
          </a:ln>
        </c:spPr>
        <c:crossAx val="2073893064"/>
        <c:crosses val="autoZero"/>
        <c:auto val="1"/>
        <c:lblAlgn val="ctr"/>
        <c:lblOffset val="100"/>
        <c:noMultiLvlLbl val="0"/>
      </c:catAx>
      <c:valAx>
        <c:axId val="2073893064"/>
        <c:scaling>
          <c:orientation val="minMax"/>
          <c:max val="100.0"/>
          <c:min val="0.0"/>
        </c:scaling>
        <c:delete val="0"/>
        <c:axPos val="l"/>
        <c:title>
          <c:tx>
            <c:rich>
              <a:bodyPr rot="-5400000" vert="horz"/>
              <a:lstStyle/>
              <a:p>
                <a:pPr>
                  <a:defRPr/>
                </a:pPr>
                <a:r>
                  <a:rPr lang="en-US"/>
                  <a:t>Percent of Trips</a:t>
                </a:r>
              </a:p>
            </c:rich>
          </c:tx>
          <c:layout>
            <c:manualLayout>
              <c:xMode val="edge"/>
              <c:yMode val="edge"/>
              <c:x val="0.000482831212363515"/>
              <c:y val="0.281101027933422"/>
            </c:manualLayout>
          </c:layout>
          <c:overlay val="0"/>
        </c:title>
        <c:numFmt formatCode="0" sourceLinked="0"/>
        <c:majorTickMark val="cross"/>
        <c:minorTickMark val="out"/>
        <c:tickLblPos val="nextTo"/>
        <c:spPr>
          <a:ln w="19050">
            <a:solidFill>
              <a:schemeClr val="tx1"/>
            </a:solidFill>
          </a:ln>
        </c:spPr>
        <c:crossAx val="2073720744"/>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135005973716"/>
          <c:y val="0.025414364640884"/>
          <c:w val="0.860191158900837"/>
          <c:h val="0.83392439204768"/>
        </c:manualLayout>
      </c:layout>
      <c:barChart>
        <c:barDir val="col"/>
        <c:grouping val="clustered"/>
        <c:varyColors val="0"/>
        <c:ser>
          <c:idx val="2"/>
          <c:order val="1"/>
          <c:tx>
            <c:v>2013-2015 TIP Data</c:v>
          </c:tx>
          <c:spPr>
            <a:solidFill>
              <a:schemeClr val="tx1"/>
            </a:solidFill>
          </c:spPr>
          <c:invertIfNegative val="0"/>
          <c:cat>
            <c:strRef>
              <c:f>length_freq!$B$6:$B$16</c:f>
              <c:strCache>
                <c:ptCount val="11"/>
                <c:pt idx="0">
                  <c:v>&lt;16</c:v>
                </c:pt>
                <c:pt idx="1">
                  <c:v>16</c:v>
                </c:pt>
                <c:pt idx="2">
                  <c:v>17</c:v>
                </c:pt>
                <c:pt idx="3">
                  <c:v>18</c:v>
                </c:pt>
                <c:pt idx="4">
                  <c:v>19</c:v>
                </c:pt>
                <c:pt idx="5">
                  <c:v>20</c:v>
                </c:pt>
                <c:pt idx="6">
                  <c:v>21</c:v>
                </c:pt>
                <c:pt idx="7">
                  <c:v>22</c:v>
                </c:pt>
                <c:pt idx="8">
                  <c:v>23</c:v>
                </c:pt>
                <c:pt idx="9">
                  <c:v>24</c:v>
                </c:pt>
                <c:pt idx="10">
                  <c:v>&gt;25</c:v>
                </c:pt>
              </c:strCache>
            </c:strRef>
          </c:cat>
          <c:val>
            <c:numRef>
              <c:f>length_freq!$D$6:$D$16</c:f>
              <c:numCache>
                <c:formatCode>General</c:formatCode>
                <c:ptCount val="11"/>
                <c:pt idx="0">
                  <c:v>7.45945945945946</c:v>
                </c:pt>
                <c:pt idx="1">
                  <c:v>7.027027027027025</c:v>
                </c:pt>
                <c:pt idx="2">
                  <c:v>6.702702702702703</c:v>
                </c:pt>
                <c:pt idx="3">
                  <c:v>6.486486486486487</c:v>
                </c:pt>
                <c:pt idx="4">
                  <c:v>5.945945945945946</c:v>
                </c:pt>
                <c:pt idx="5">
                  <c:v>6.378378378378378</c:v>
                </c:pt>
                <c:pt idx="6">
                  <c:v>5.18918918918919</c:v>
                </c:pt>
                <c:pt idx="7">
                  <c:v>5.621621621621622</c:v>
                </c:pt>
                <c:pt idx="8">
                  <c:v>4.108108108108108</c:v>
                </c:pt>
                <c:pt idx="9">
                  <c:v>7.135135135135136</c:v>
                </c:pt>
                <c:pt idx="10">
                  <c:v>37.94594594594595</c:v>
                </c:pt>
              </c:numCache>
            </c:numRef>
          </c:val>
        </c:ser>
        <c:dLbls>
          <c:showLegendKey val="0"/>
          <c:showVal val="0"/>
          <c:showCatName val="0"/>
          <c:showSerName val="0"/>
          <c:showPercent val="0"/>
          <c:showBubbleSize val="0"/>
        </c:dLbls>
        <c:gapWidth val="100"/>
        <c:axId val="2114118248"/>
        <c:axId val="2113997848"/>
      </c:barChart>
      <c:scatterChart>
        <c:scatterStyle val="smoothMarker"/>
        <c:varyColors val="0"/>
        <c:ser>
          <c:idx val="1"/>
          <c:order val="0"/>
          <c:tx>
            <c:v>16 inches TL min size</c:v>
          </c:tx>
          <c:marker>
            <c:symbol val="none"/>
          </c:marker>
          <c:xVal>
            <c:numRef>
              <c:f>length_freq!$F$4:$F$5</c:f>
              <c:numCache>
                <c:formatCode>General</c:formatCode>
                <c:ptCount val="2"/>
                <c:pt idx="0">
                  <c:v>1.5</c:v>
                </c:pt>
                <c:pt idx="1">
                  <c:v>1.5</c:v>
                </c:pt>
              </c:numCache>
            </c:numRef>
          </c:xVal>
          <c:yVal>
            <c:numRef>
              <c:f>length_freq!$G$4:$G$5</c:f>
              <c:numCache>
                <c:formatCode>General</c:formatCode>
                <c:ptCount val="2"/>
                <c:pt idx="0">
                  <c:v>0.0</c:v>
                </c:pt>
                <c:pt idx="1">
                  <c:v>100.0</c:v>
                </c:pt>
              </c:numCache>
            </c:numRef>
          </c:yVal>
          <c:smooth val="1"/>
        </c:ser>
        <c:dLbls>
          <c:showLegendKey val="0"/>
          <c:showVal val="0"/>
          <c:showCatName val="0"/>
          <c:showSerName val="0"/>
          <c:showPercent val="0"/>
          <c:showBubbleSize val="0"/>
        </c:dLbls>
        <c:axId val="2114118248"/>
        <c:axId val="2113997848"/>
      </c:scatterChart>
      <c:catAx>
        <c:axId val="2114118248"/>
        <c:scaling>
          <c:orientation val="minMax"/>
        </c:scaling>
        <c:delete val="0"/>
        <c:axPos val="b"/>
        <c:title>
          <c:tx>
            <c:rich>
              <a:bodyPr/>
              <a:lstStyle/>
              <a:p>
                <a:pPr>
                  <a:defRPr/>
                </a:pPr>
                <a:r>
                  <a:rPr lang="en-US"/>
                  <a:t>Total Length (inches)</a:t>
                </a:r>
              </a:p>
            </c:rich>
          </c:tx>
          <c:layout>
            <c:manualLayout>
              <c:xMode val="edge"/>
              <c:yMode val="edge"/>
              <c:x val="0.394277086331952"/>
              <c:y val="0.936877655486435"/>
            </c:manualLayout>
          </c:layout>
          <c:overlay val="0"/>
        </c:title>
        <c:numFmt formatCode="General" sourceLinked="1"/>
        <c:majorTickMark val="cross"/>
        <c:minorTickMark val="out"/>
        <c:tickLblPos val="nextTo"/>
        <c:spPr>
          <a:ln w="19050">
            <a:solidFill>
              <a:schemeClr val="tx1"/>
            </a:solidFill>
          </a:ln>
        </c:spPr>
        <c:crossAx val="2113997848"/>
        <c:crosses val="autoZero"/>
        <c:auto val="1"/>
        <c:lblAlgn val="ctr"/>
        <c:lblOffset val="100"/>
        <c:noMultiLvlLbl val="0"/>
      </c:catAx>
      <c:valAx>
        <c:axId val="2113997848"/>
        <c:scaling>
          <c:orientation val="minMax"/>
          <c:max val="40.0"/>
          <c:min val="0.0"/>
        </c:scaling>
        <c:delete val="0"/>
        <c:axPos val="l"/>
        <c:title>
          <c:tx>
            <c:rich>
              <a:bodyPr rot="-5400000" vert="horz"/>
              <a:lstStyle/>
              <a:p>
                <a:pPr>
                  <a:defRPr/>
                </a:pPr>
                <a:r>
                  <a:rPr lang="en-US"/>
                  <a:t>Percent of Fish</a:t>
                </a:r>
              </a:p>
            </c:rich>
          </c:tx>
          <c:layout>
            <c:manualLayout>
              <c:xMode val="edge"/>
              <c:yMode val="edge"/>
              <c:x val="0.000388338554454888"/>
              <c:y val="0.278175939928039"/>
            </c:manualLayout>
          </c:layout>
          <c:overlay val="0"/>
        </c:title>
        <c:numFmt formatCode="General" sourceLinked="1"/>
        <c:majorTickMark val="cross"/>
        <c:minorTickMark val="out"/>
        <c:tickLblPos val="nextTo"/>
        <c:spPr>
          <a:noFill/>
          <a:ln w="19050">
            <a:solidFill>
              <a:schemeClr val="tx1"/>
            </a:solidFill>
          </a:ln>
        </c:spPr>
        <c:crossAx val="2114118248"/>
        <c:crosses val="autoZero"/>
        <c:crossBetween val="between"/>
      </c:valAx>
    </c:plotArea>
    <c:legend>
      <c:legendPos val="r"/>
      <c:layout>
        <c:manualLayout>
          <c:xMode val="edge"/>
          <c:yMode val="edge"/>
          <c:x val="0.489749103942652"/>
          <c:y val="0.0587059672776806"/>
          <c:w val="0.412222316296484"/>
          <c:h val="0.137137815141644"/>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37433518484608"/>
          <c:y val="0.0514005540974045"/>
          <c:w val="0.889981891798409"/>
          <c:h val="0.821766547428548"/>
        </c:manualLayout>
      </c:layout>
      <c:barChart>
        <c:barDir val="col"/>
        <c:grouping val="clustered"/>
        <c:varyColors val="0"/>
        <c:ser>
          <c:idx val="3"/>
          <c:order val="0"/>
          <c:tx>
            <c:v>May-June (n = 1,411 Trips)</c:v>
          </c:tx>
          <c:spPr>
            <a:solidFill>
              <a:srgbClr val="92D050"/>
            </a:solidFill>
          </c:spPr>
          <c:invertIfNegative val="0"/>
          <c:cat>
            <c:strRef>
              <c:f>SA_Trip_figure!$O$6:$O$13</c:f>
              <c:strCache>
                <c:ptCount val="8"/>
                <c:pt idx="0">
                  <c:v>25</c:v>
                </c:pt>
                <c:pt idx="1">
                  <c:v>50</c:v>
                </c:pt>
                <c:pt idx="2">
                  <c:v>75</c:v>
                </c:pt>
                <c:pt idx="3">
                  <c:v>100</c:v>
                </c:pt>
                <c:pt idx="4">
                  <c:v>200</c:v>
                </c:pt>
                <c:pt idx="5">
                  <c:v>250</c:v>
                </c:pt>
                <c:pt idx="6">
                  <c:v>500</c:v>
                </c:pt>
                <c:pt idx="7">
                  <c:v>500+</c:v>
                </c:pt>
              </c:strCache>
            </c:strRef>
          </c:cat>
          <c:val>
            <c:numRef>
              <c:f>SA_Trip_figure!$Q$6:$Q$13</c:f>
              <c:numCache>
                <c:formatCode>General</c:formatCode>
                <c:ptCount val="8"/>
                <c:pt idx="0">
                  <c:v>53.43727852586817</c:v>
                </c:pt>
                <c:pt idx="1">
                  <c:v>17.00921332388377</c:v>
                </c:pt>
                <c:pt idx="2">
                  <c:v>9.63855421686747</c:v>
                </c:pt>
                <c:pt idx="3">
                  <c:v>5.669737774627912</c:v>
                </c:pt>
                <c:pt idx="4">
                  <c:v>9.355067328136074</c:v>
                </c:pt>
                <c:pt idx="5">
                  <c:v>1.133947554925585</c:v>
                </c:pt>
                <c:pt idx="6">
                  <c:v>3.04748405386251</c:v>
                </c:pt>
                <c:pt idx="7">
                  <c:v>0.70871722182849</c:v>
                </c:pt>
              </c:numCache>
            </c:numRef>
          </c:val>
        </c:ser>
        <c:ser>
          <c:idx val="0"/>
          <c:order val="1"/>
          <c:tx>
            <c:v>July-April (n=3,140 Trips)</c:v>
          </c:tx>
          <c:invertIfNegative val="0"/>
          <c:cat>
            <c:strRef>
              <c:f>SA_Trip_figure!$O$6:$O$13</c:f>
              <c:strCache>
                <c:ptCount val="8"/>
                <c:pt idx="0">
                  <c:v>25</c:v>
                </c:pt>
                <c:pt idx="1">
                  <c:v>50</c:v>
                </c:pt>
                <c:pt idx="2">
                  <c:v>75</c:v>
                </c:pt>
                <c:pt idx="3">
                  <c:v>100</c:v>
                </c:pt>
                <c:pt idx="4">
                  <c:v>200</c:v>
                </c:pt>
                <c:pt idx="5">
                  <c:v>250</c:v>
                </c:pt>
                <c:pt idx="6">
                  <c:v>500</c:v>
                </c:pt>
                <c:pt idx="7">
                  <c:v>500+</c:v>
                </c:pt>
              </c:strCache>
            </c:strRef>
          </c:cat>
          <c:val>
            <c:numRef>
              <c:f>SA_Trip_figure!$S$6:$S$13</c:f>
              <c:numCache>
                <c:formatCode>General</c:formatCode>
                <c:ptCount val="8"/>
                <c:pt idx="0">
                  <c:v>62.0063694267516</c:v>
                </c:pt>
                <c:pt idx="1">
                  <c:v>16.24203821656051</c:v>
                </c:pt>
                <c:pt idx="2">
                  <c:v>6.94267515923567</c:v>
                </c:pt>
                <c:pt idx="3">
                  <c:v>4.363057324840765</c:v>
                </c:pt>
                <c:pt idx="4">
                  <c:v>7.961783439490445</c:v>
                </c:pt>
                <c:pt idx="5">
                  <c:v>0.859872611464968</c:v>
                </c:pt>
                <c:pt idx="6">
                  <c:v>1.210191082802548</c:v>
                </c:pt>
                <c:pt idx="7">
                  <c:v>0.414012738853503</c:v>
                </c:pt>
              </c:numCache>
            </c:numRef>
          </c:val>
        </c:ser>
        <c:dLbls>
          <c:showLegendKey val="0"/>
          <c:showVal val="0"/>
          <c:showCatName val="0"/>
          <c:showSerName val="0"/>
          <c:showPercent val="0"/>
          <c:showBubbleSize val="0"/>
        </c:dLbls>
        <c:gapWidth val="150"/>
        <c:axId val="-2078819848"/>
        <c:axId val="-2078814152"/>
      </c:barChart>
      <c:catAx>
        <c:axId val="-2078819848"/>
        <c:scaling>
          <c:orientation val="minMax"/>
        </c:scaling>
        <c:delete val="0"/>
        <c:axPos val="b"/>
        <c:title>
          <c:tx>
            <c:rich>
              <a:bodyPr/>
              <a:lstStyle/>
              <a:p>
                <a:pPr>
                  <a:defRPr/>
                </a:pPr>
                <a:r>
                  <a:rPr lang="en-US"/>
                  <a:t>Mutton Snapper Pounds (ww) per Trip</a:t>
                </a:r>
              </a:p>
            </c:rich>
          </c:tx>
          <c:layout>
            <c:manualLayout>
              <c:xMode val="edge"/>
              <c:yMode val="edge"/>
              <c:x val="0.328408716352316"/>
              <c:y val="0.94022363705472"/>
            </c:manualLayout>
          </c:layout>
          <c:overlay val="0"/>
        </c:title>
        <c:numFmt formatCode="General" sourceLinked="1"/>
        <c:majorTickMark val="cross"/>
        <c:minorTickMark val="none"/>
        <c:tickLblPos val="nextTo"/>
        <c:spPr>
          <a:ln w="19050">
            <a:solidFill>
              <a:schemeClr val="tx1"/>
            </a:solidFill>
          </a:ln>
        </c:spPr>
        <c:crossAx val="-2078814152"/>
        <c:crosses val="autoZero"/>
        <c:auto val="1"/>
        <c:lblAlgn val="ctr"/>
        <c:lblOffset val="100"/>
        <c:noMultiLvlLbl val="0"/>
      </c:catAx>
      <c:valAx>
        <c:axId val="-2078814152"/>
        <c:scaling>
          <c:orientation val="minMax"/>
          <c:max val="100.0"/>
          <c:min val="0.0"/>
        </c:scaling>
        <c:delete val="0"/>
        <c:axPos val="l"/>
        <c:title>
          <c:tx>
            <c:rich>
              <a:bodyPr rot="-5400000" vert="horz"/>
              <a:lstStyle/>
              <a:p>
                <a:pPr>
                  <a:defRPr/>
                </a:pPr>
                <a:r>
                  <a:rPr lang="en-US"/>
                  <a:t>Percent of Trips</a:t>
                </a:r>
              </a:p>
            </c:rich>
          </c:tx>
          <c:layout>
            <c:manualLayout>
              <c:xMode val="edge"/>
              <c:yMode val="edge"/>
              <c:x val="0.000482831212363515"/>
              <c:y val="0.281101027933422"/>
            </c:manualLayout>
          </c:layout>
          <c:overlay val="0"/>
        </c:title>
        <c:numFmt formatCode="General" sourceLinked="1"/>
        <c:majorTickMark val="cross"/>
        <c:minorTickMark val="out"/>
        <c:tickLblPos val="nextTo"/>
        <c:spPr>
          <a:ln w="19050">
            <a:solidFill>
              <a:schemeClr val="tx1"/>
            </a:solidFill>
          </a:ln>
        </c:spPr>
        <c:crossAx val="-2078819848"/>
        <c:crosses val="autoZero"/>
        <c:crossBetween val="between"/>
      </c:valAx>
    </c:plotArea>
    <c:legend>
      <c:legendPos val="r"/>
      <c:layout>
        <c:manualLayout>
          <c:xMode val="edge"/>
          <c:yMode val="edge"/>
          <c:x val="0.118047820241982"/>
          <c:y val="0.0153468316460442"/>
          <c:w val="0.388620869506696"/>
          <c:h val="0.182233917188923"/>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37433518484608"/>
          <c:y val="0.0514005540974045"/>
          <c:w val="0.889981891798409"/>
          <c:h val="0.733325557519336"/>
        </c:manualLayout>
      </c:layout>
      <c:barChart>
        <c:barDir val="col"/>
        <c:grouping val="clustered"/>
        <c:varyColors val="0"/>
        <c:ser>
          <c:idx val="3"/>
          <c:order val="0"/>
          <c:spPr>
            <a:solidFill>
              <a:schemeClr val="tx2"/>
            </a:solidFill>
            <a:ln>
              <a:solidFill>
                <a:schemeClr val="tx2"/>
              </a:solidFill>
            </a:ln>
          </c:spPr>
          <c:invertIfNegative val="0"/>
          <c:cat>
            <c:strRef>
              <c:f>numb_fig!$M$24:$M$31</c:f>
              <c:strCache>
                <c:ptCount val="8"/>
                <c:pt idx="0">
                  <c:v>2</c:v>
                </c:pt>
                <c:pt idx="1">
                  <c:v>3</c:v>
                </c:pt>
                <c:pt idx="2">
                  <c:v>4</c:v>
                </c:pt>
                <c:pt idx="3">
                  <c:v>5</c:v>
                </c:pt>
                <c:pt idx="4">
                  <c:v>6 to 9</c:v>
                </c:pt>
                <c:pt idx="5">
                  <c:v>10</c:v>
                </c:pt>
                <c:pt idx="6">
                  <c:v>12</c:v>
                </c:pt>
                <c:pt idx="7">
                  <c:v>12+</c:v>
                </c:pt>
              </c:strCache>
            </c:strRef>
          </c:cat>
          <c:val>
            <c:numRef>
              <c:f>numb_fig!$O$24:$O$31</c:f>
              <c:numCache>
                <c:formatCode>0.0</c:formatCode>
                <c:ptCount val="8"/>
                <c:pt idx="0">
                  <c:v>70.5173635719348</c:v>
                </c:pt>
                <c:pt idx="1">
                  <c:v>9.496810772501771</c:v>
                </c:pt>
                <c:pt idx="2">
                  <c:v>3.614457831325301</c:v>
                </c:pt>
                <c:pt idx="3">
                  <c:v>2.834868887313958</c:v>
                </c:pt>
                <c:pt idx="4">
                  <c:v>7.016300496102056</c:v>
                </c:pt>
                <c:pt idx="5">
                  <c:v>0.70871722182849</c:v>
                </c:pt>
                <c:pt idx="6">
                  <c:v>1.48830616583983</c:v>
                </c:pt>
                <c:pt idx="7">
                  <c:v>4.323175053153776</c:v>
                </c:pt>
              </c:numCache>
            </c:numRef>
          </c:val>
        </c:ser>
        <c:dLbls>
          <c:showLegendKey val="0"/>
          <c:showVal val="0"/>
          <c:showCatName val="0"/>
          <c:showSerName val="0"/>
          <c:showPercent val="0"/>
          <c:showBubbleSize val="0"/>
        </c:dLbls>
        <c:gapWidth val="150"/>
        <c:axId val="2127212952"/>
        <c:axId val="2120426264"/>
      </c:barChart>
      <c:catAx>
        <c:axId val="2127212952"/>
        <c:scaling>
          <c:orientation val="minMax"/>
        </c:scaling>
        <c:delete val="0"/>
        <c:axPos val="b"/>
        <c:title>
          <c:tx>
            <c:rich>
              <a:bodyPr/>
              <a:lstStyle/>
              <a:p>
                <a:pPr>
                  <a:defRPr/>
                </a:pPr>
                <a:r>
                  <a:rPr lang="en-US"/>
                  <a:t>Numbers of Mutton Snapper Harvested per Person per Day</a:t>
                </a:r>
              </a:p>
            </c:rich>
          </c:tx>
          <c:layout>
            <c:manualLayout>
              <c:xMode val="edge"/>
              <c:yMode val="edge"/>
              <c:x val="0.247212127330238"/>
              <c:y val="0.907131011608624"/>
            </c:manualLayout>
          </c:layout>
          <c:overlay val="0"/>
        </c:title>
        <c:numFmt formatCode="General" sourceLinked="1"/>
        <c:majorTickMark val="cross"/>
        <c:minorTickMark val="none"/>
        <c:tickLblPos val="nextTo"/>
        <c:spPr>
          <a:ln w="19050">
            <a:solidFill>
              <a:schemeClr val="tx1"/>
            </a:solidFill>
          </a:ln>
        </c:spPr>
        <c:crossAx val="2120426264"/>
        <c:crosses val="autoZero"/>
        <c:auto val="1"/>
        <c:lblAlgn val="ctr"/>
        <c:lblOffset val="100"/>
        <c:noMultiLvlLbl val="0"/>
      </c:catAx>
      <c:valAx>
        <c:axId val="2120426264"/>
        <c:scaling>
          <c:orientation val="minMax"/>
          <c:max val="100.0"/>
          <c:min val="0.0"/>
        </c:scaling>
        <c:delete val="0"/>
        <c:axPos val="l"/>
        <c:title>
          <c:tx>
            <c:rich>
              <a:bodyPr rot="-5400000" vert="horz"/>
              <a:lstStyle/>
              <a:p>
                <a:pPr>
                  <a:defRPr/>
                </a:pPr>
                <a:r>
                  <a:rPr lang="en-US"/>
                  <a:t>Percent of Trips</a:t>
                </a:r>
              </a:p>
            </c:rich>
          </c:tx>
          <c:layout>
            <c:manualLayout>
              <c:xMode val="edge"/>
              <c:yMode val="edge"/>
              <c:x val="0.000482872333266034"/>
              <c:y val="0.192654400786966"/>
            </c:manualLayout>
          </c:layout>
          <c:overlay val="0"/>
        </c:title>
        <c:numFmt formatCode="0" sourceLinked="0"/>
        <c:majorTickMark val="cross"/>
        <c:minorTickMark val="none"/>
        <c:tickLblPos val="nextTo"/>
        <c:spPr>
          <a:ln w="19050">
            <a:solidFill>
              <a:schemeClr val="tx1"/>
            </a:solidFill>
          </a:ln>
        </c:spPr>
        <c:crossAx val="2127212952"/>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37433518484608"/>
          <c:y val="0.0514005540974045"/>
          <c:w val="0.889981891798409"/>
          <c:h val="0.74610727950114"/>
        </c:manualLayout>
      </c:layout>
      <c:barChart>
        <c:barDir val="col"/>
        <c:grouping val="clustered"/>
        <c:varyColors val="0"/>
        <c:ser>
          <c:idx val="3"/>
          <c:order val="0"/>
          <c:spPr>
            <a:solidFill>
              <a:srgbClr val="92D050"/>
            </a:solidFill>
          </c:spPr>
          <c:invertIfNegative val="0"/>
          <c:cat>
            <c:strRef>
              <c:f>numb_fig!$M$7:$M$14</c:f>
              <c:strCache>
                <c:ptCount val="8"/>
                <c:pt idx="0">
                  <c:v>2</c:v>
                </c:pt>
                <c:pt idx="1">
                  <c:v>3</c:v>
                </c:pt>
                <c:pt idx="2">
                  <c:v>4</c:v>
                </c:pt>
                <c:pt idx="3">
                  <c:v>5</c:v>
                </c:pt>
                <c:pt idx="4">
                  <c:v>6 to 9</c:v>
                </c:pt>
                <c:pt idx="5">
                  <c:v>10</c:v>
                </c:pt>
                <c:pt idx="6">
                  <c:v>12</c:v>
                </c:pt>
                <c:pt idx="7">
                  <c:v>12+</c:v>
                </c:pt>
              </c:strCache>
            </c:strRef>
          </c:cat>
          <c:val>
            <c:numRef>
              <c:f>numb_fig!$O$7:$O$14</c:f>
              <c:numCache>
                <c:formatCode>0.0</c:formatCode>
                <c:ptCount val="8"/>
                <c:pt idx="0">
                  <c:v>50.46066619418851</c:v>
                </c:pt>
                <c:pt idx="1">
                  <c:v>12.26080793763288</c:v>
                </c:pt>
                <c:pt idx="2">
                  <c:v>6.449326718639263</c:v>
                </c:pt>
                <c:pt idx="3">
                  <c:v>4.748405386250886</c:v>
                </c:pt>
                <c:pt idx="4">
                  <c:v>12.18993621545004</c:v>
                </c:pt>
                <c:pt idx="5">
                  <c:v>1.275690999291283</c:v>
                </c:pt>
                <c:pt idx="6">
                  <c:v>2.622253720765415</c:v>
                </c:pt>
                <c:pt idx="7">
                  <c:v>9.99291282778172</c:v>
                </c:pt>
              </c:numCache>
            </c:numRef>
          </c:val>
        </c:ser>
        <c:dLbls>
          <c:showLegendKey val="0"/>
          <c:showVal val="0"/>
          <c:showCatName val="0"/>
          <c:showSerName val="0"/>
          <c:showPercent val="0"/>
          <c:showBubbleSize val="0"/>
        </c:dLbls>
        <c:gapWidth val="150"/>
        <c:axId val="-2077870136"/>
        <c:axId val="-2077867480"/>
      </c:barChart>
      <c:catAx>
        <c:axId val="-2077870136"/>
        <c:scaling>
          <c:orientation val="minMax"/>
        </c:scaling>
        <c:delete val="0"/>
        <c:axPos val="b"/>
        <c:title>
          <c:tx>
            <c:rich>
              <a:bodyPr/>
              <a:lstStyle/>
              <a:p>
                <a:pPr>
                  <a:defRPr/>
                </a:pPr>
                <a:r>
                  <a:rPr lang="en-US"/>
                  <a:t>Numbers of Mutton Snapper Harvested per Vessel per Day</a:t>
                </a:r>
              </a:p>
            </c:rich>
          </c:tx>
          <c:layout>
            <c:manualLayout>
              <c:xMode val="edge"/>
              <c:yMode val="edge"/>
              <c:x val="0.232254862372973"/>
              <c:y val="0.909213726019994"/>
            </c:manualLayout>
          </c:layout>
          <c:overlay val="0"/>
        </c:title>
        <c:numFmt formatCode="General" sourceLinked="1"/>
        <c:majorTickMark val="cross"/>
        <c:minorTickMark val="none"/>
        <c:tickLblPos val="nextTo"/>
        <c:spPr>
          <a:ln w="19050">
            <a:solidFill>
              <a:schemeClr val="tx1"/>
            </a:solidFill>
          </a:ln>
        </c:spPr>
        <c:crossAx val="-2077867480"/>
        <c:crosses val="autoZero"/>
        <c:auto val="1"/>
        <c:lblAlgn val="ctr"/>
        <c:lblOffset val="100"/>
        <c:noMultiLvlLbl val="0"/>
      </c:catAx>
      <c:valAx>
        <c:axId val="-2077867480"/>
        <c:scaling>
          <c:orientation val="minMax"/>
          <c:max val="100.0"/>
          <c:min val="0.0"/>
        </c:scaling>
        <c:delete val="0"/>
        <c:axPos val="l"/>
        <c:title>
          <c:tx>
            <c:rich>
              <a:bodyPr rot="-5400000" vert="horz"/>
              <a:lstStyle/>
              <a:p>
                <a:pPr>
                  <a:defRPr/>
                </a:pPr>
                <a:r>
                  <a:rPr lang="en-US"/>
                  <a:t>Percent of Trips</a:t>
                </a:r>
              </a:p>
            </c:rich>
          </c:tx>
          <c:layout>
            <c:manualLayout>
              <c:xMode val="edge"/>
              <c:yMode val="edge"/>
              <c:x val="0.000482831212363515"/>
              <c:y val="0.281101027933422"/>
            </c:manualLayout>
          </c:layout>
          <c:overlay val="0"/>
        </c:title>
        <c:numFmt formatCode="0" sourceLinked="0"/>
        <c:majorTickMark val="cross"/>
        <c:minorTickMark val="none"/>
        <c:tickLblPos val="nextTo"/>
        <c:spPr>
          <a:ln w="19050">
            <a:solidFill>
              <a:schemeClr val="tx1"/>
            </a:solidFill>
          </a:ln>
        </c:spPr>
        <c:crossAx val="-2077870136"/>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'mutton SA RQ 2014'!$J$28</c:f>
              <c:strCache>
                <c:ptCount val="1"/>
                <c:pt idx="0">
                  <c:v>Pounds RQ</c:v>
                </c:pt>
              </c:strCache>
            </c:strRef>
          </c:tx>
          <c:invertIfNegative val="0"/>
          <c:cat>
            <c:multiLvlStrRef>
              <c:f>'mutton SA RQ 2014'!$H$29:$I$38</c:f>
              <c:multiLvlStrCache>
                <c:ptCount val="10"/>
                <c:lvl>
                  <c:pt idx="0">
                    <c:v>KEY WEST</c:v>
                  </c:pt>
                  <c:pt idx="1">
                    <c:v>MAYPORT</c:v>
                  </c:pt>
                  <c:pt idx="2">
                    <c:v>MIAMI</c:v>
                  </c:pt>
                  <c:pt idx="3">
                    <c:v>KEY LARGO</c:v>
                  </c:pt>
                  <c:pt idx="4">
                    <c:v>ISLAMORADA</c:v>
                  </c:pt>
                  <c:pt idx="5">
                    <c:v>SAINT AUGUSTINE</c:v>
                  </c:pt>
                  <c:pt idx="6">
                    <c:v>MARATHON</c:v>
                  </c:pt>
                  <c:pt idx="7">
                    <c:v>PALM BEACH SHORES</c:v>
                  </c:pt>
                  <c:pt idx="8">
                    <c:v>CAPE CORAL</c:v>
                  </c:pt>
                  <c:pt idx="9">
                    <c:v>ATLANTIC BEACH</c:v>
                  </c:pt>
                </c:lvl>
                <c:lvl>
                  <c:pt idx="0">
                    <c:v>FL</c:v>
                  </c:pt>
                  <c:pt idx="1">
                    <c:v>FL</c:v>
                  </c:pt>
                  <c:pt idx="2">
                    <c:v>FL</c:v>
                  </c:pt>
                  <c:pt idx="3">
                    <c:v>FL</c:v>
                  </c:pt>
                  <c:pt idx="4">
                    <c:v>FL</c:v>
                  </c:pt>
                  <c:pt idx="5">
                    <c:v>FL</c:v>
                  </c:pt>
                  <c:pt idx="6">
                    <c:v>FL</c:v>
                  </c:pt>
                  <c:pt idx="7">
                    <c:v>FL</c:v>
                  </c:pt>
                  <c:pt idx="8">
                    <c:v>FL</c:v>
                  </c:pt>
                  <c:pt idx="9">
                    <c:v>FL</c:v>
                  </c:pt>
                </c:lvl>
              </c:multiLvlStrCache>
            </c:multiLvlStrRef>
          </c:cat>
          <c:val>
            <c:numRef>
              <c:f>'mutton SA RQ 2014'!$J$29:$J$38</c:f>
              <c:numCache>
                <c:formatCode>General</c:formatCode>
                <c:ptCount val="10"/>
                <c:pt idx="0">
                  <c:v>0.166484420534383</c:v>
                </c:pt>
                <c:pt idx="1">
                  <c:v>0.146638465561138</c:v>
                </c:pt>
                <c:pt idx="2">
                  <c:v>0.131522887426459</c:v>
                </c:pt>
                <c:pt idx="3">
                  <c:v>0.130083477564538</c:v>
                </c:pt>
                <c:pt idx="4">
                  <c:v>0.081011779359253</c:v>
                </c:pt>
                <c:pt idx="5">
                  <c:v>0.0560688849342766</c:v>
                </c:pt>
                <c:pt idx="6">
                  <c:v>0.0376948369018195</c:v>
                </c:pt>
                <c:pt idx="7">
                  <c:v>0.0240806681754332</c:v>
                </c:pt>
                <c:pt idx="8">
                  <c:v>0.0221084393139234</c:v>
                </c:pt>
                <c:pt idx="9">
                  <c:v>0.0198961978972283</c:v>
                </c:pt>
              </c:numCache>
            </c:numRef>
          </c:val>
        </c:ser>
        <c:ser>
          <c:idx val="1"/>
          <c:order val="1"/>
          <c:tx>
            <c:strRef>
              <c:f>'mutton SA RQ 2014'!$K$28</c:f>
              <c:strCache>
                <c:ptCount val="1"/>
                <c:pt idx="0">
                  <c:v>Value RQ</c:v>
                </c:pt>
              </c:strCache>
            </c:strRef>
          </c:tx>
          <c:invertIfNegative val="0"/>
          <c:cat>
            <c:multiLvlStrRef>
              <c:f>'mutton SA RQ 2014'!$H$29:$I$38</c:f>
              <c:multiLvlStrCache>
                <c:ptCount val="10"/>
                <c:lvl>
                  <c:pt idx="0">
                    <c:v>KEY WEST</c:v>
                  </c:pt>
                  <c:pt idx="1">
                    <c:v>MAYPORT</c:v>
                  </c:pt>
                  <c:pt idx="2">
                    <c:v>MIAMI</c:v>
                  </c:pt>
                  <c:pt idx="3">
                    <c:v>KEY LARGO</c:v>
                  </c:pt>
                  <c:pt idx="4">
                    <c:v>ISLAMORADA</c:v>
                  </c:pt>
                  <c:pt idx="5">
                    <c:v>SAINT AUGUSTINE</c:v>
                  </c:pt>
                  <c:pt idx="6">
                    <c:v>MARATHON</c:v>
                  </c:pt>
                  <c:pt idx="7">
                    <c:v>PALM BEACH SHORES</c:v>
                  </c:pt>
                  <c:pt idx="8">
                    <c:v>CAPE CORAL</c:v>
                  </c:pt>
                  <c:pt idx="9">
                    <c:v>ATLANTIC BEACH</c:v>
                  </c:pt>
                </c:lvl>
                <c:lvl>
                  <c:pt idx="0">
                    <c:v>FL</c:v>
                  </c:pt>
                  <c:pt idx="1">
                    <c:v>FL</c:v>
                  </c:pt>
                  <c:pt idx="2">
                    <c:v>FL</c:v>
                  </c:pt>
                  <c:pt idx="3">
                    <c:v>FL</c:v>
                  </c:pt>
                  <c:pt idx="4">
                    <c:v>FL</c:v>
                  </c:pt>
                  <c:pt idx="5">
                    <c:v>FL</c:v>
                  </c:pt>
                  <c:pt idx="6">
                    <c:v>FL</c:v>
                  </c:pt>
                  <c:pt idx="7">
                    <c:v>FL</c:v>
                  </c:pt>
                  <c:pt idx="8">
                    <c:v>FL</c:v>
                  </c:pt>
                  <c:pt idx="9">
                    <c:v>FL</c:v>
                  </c:pt>
                </c:lvl>
              </c:multiLvlStrCache>
            </c:multiLvlStrRef>
          </c:cat>
          <c:val>
            <c:numRef>
              <c:f>'mutton SA RQ 2014'!$K$29:$K$38</c:f>
              <c:numCache>
                <c:formatCode>General</c:formatCode>
                <c:ptCount val="10"/>
                <c:pt idx="0">
                  <c:v>0.159332816493336</c:v>
                </c:pt>
                <c:pt idx="1">
                  <c:v>0.134345375693294</c:v>
                </c:pt>
                <c:pt idx="2">
                  <c:v>0.131110921344945</c:v>
                </c:pt>
                <c:pt idx="3">
                  <c:v>0.14014320781579</c:v>
                </c:pt>
                <c:pt idx="4">
                  <c:v>0.0884542776254791</c:v>
                </c:pt>
                <c:pt idx="5">
                  <c:v>0.0479094778259233</c:v>
                </c:pt>
                <c:pt idx="6">
                  <c:v>0.0356108112779071</c:v>
                </c:pt>
                <c:pt idx="7">
                  <c:v>0.0292833414196875</c:v>
                </c:pt>
                <c:pt idx="8">
                  <c:v>0.0157799183827164</c:v>
                </c:pt>
                <c:pt idx="9">
                  <c:v>0.0216874881803691</c:v>
                </c:pt>
              </c:numCache>
            </c:numRef>
          </c:val>
        </c:ser>
        <c:dLbls>
          <c:showLegendKey val="0"/>
          <c:showVal val="0"/>
          <c:showCatName val="0"/>
          <c:showSerName val="0"/>
          <c:showPercent val="0"/>
          <c:showBubbleSize val="0"/>
        </c:dLbls>
        <c:gapWidth val="150"/>
        <c:axId val="2120378056"/>
        <c:axId val="2119660104"/>
      </c:barChart>
      <c:catAx>
        <c:axId val="2120378056"/>
        <c:scaling>
          <c:orientation val="minMax"/>
        </c:scaling>
        <c:delete val="0"/>
        <c:axPos val="b"/>
        <c:majorTickMark val="out"/>
        <c:minorTickMark val="none"/>
        <c:tickLblPos val="nextTo"/>
        <c:crossAx val="2119660104"/>
        <c:crosses val="autoZero"/>
        <c:auto val="1"/>
        <c:lblAlgn val="ctr"/>
        <c:lblOffset val="100"/>
        <c:noMultiLvlLbl val="0"/>
      </c:catAx>
      <c:valAx>
        <c:axId val="2119660104"/>
        <c:scaling>
          <c:orientation val="minMax"/>
        </c:scaling>
        <c:delete val="1"/>
        <c:axPos val="l"/>
        <c:majorGridlines/>
        <c:numFmt formatCode="General" sourceLinked="1"/>
        <c:majorTickMark val="out"/>
        <c:minorTickMark val="none"/>
        <c:tickLblPos val="nextTo"/>
        <c:crossAx val="2120378056"/>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 commercial Mutton 2014'!$FO$1</c:f>
              <c:strCache>
                <c:ptCount val="1"/>
                <c:pt idx="0">
                  <c:v>Commercial Engagement</c:v>
                </c:pt>
              </c:strCache>
            </c:strRef>
          </c:tx>
          <c:invertIfNegative val="0"/>
          <c:cat>
            <c:strRef>
              <c:f>'SA commercial Mutton 2014'!$C$2:$C$10</c:f>
              <c:strCache>
                <c:ptCount val="9"/>
                <c:pt idx="0">
                  <c:v>Key West, FL</c:v>
                </c:pt>
                <c:pt idx="1">
                  <c:v>Miami, FL</c:v>
                </c:pt>
                <c:pt idx="2">
                  <c:v>Key Largo, FL</c:v>
                </c:pt>
                <c:pt idx="3">
                  <c:v>Islamorada, FL</c:v>
                </c:pt>
                <c:pt idx="4">
                  <c:v>St. Augustine, FL</c:v>
                </c:pt>
                <c:pt idx="5">
                  <c:v>Marathon, FL</c:v>
                </c:pt>
                <c:pt idx="6">
                  <c:v>Palm Beach Shores, FL</c:v>
                </c:pt>
                <c:pt idx="7">
                  <c:v>Cape Coral, FL</c:v>
                </c:pt>
                <c:pt idx="8">
                  <c:v>Atlantic Beach, FL</c:v>
                </c:pt>
              </c:strCache>
            </c:strRef>
          </c:cat>
          <c:val>
            <c:numRef>
              <c:f>'SA commercial Mutton 2014'!$FO$2:$FO$10</c:f>
              <c:numCache>
                <c:formatCode>#,##0.00000</c:formatCode>
                <c:ptCount val="9"/>
                <c:pt idx="0">
                  <c:v>11.24964792604014</c:v>
                </c:pt>
                <c:pt idx="1">
                  <c:v>9.56514607548893</c:v>
                </c:pt>
                <c:pt idx="2">
                  <c:v>2.466288755560549</c:v>
                </c:pt>
                <c:pt idx="3">
                  <c:v>1.455206753787752</c:v>
                </c:pt>
                <c:pt idx="4">
                  <c:v>1.651938393123636</c:v>
                </c:pt>
                <c:pt idx="5">
                  <c:v>5.652325020145037</c:v>
                </c:pt>
                <c:pt idx="6">
                  <c:v>-0.212830046677143</c:v>
                </c:pt>
                <c:pt idx="7">
                  <c:v>-0.204859218141215</c:v>
                </c:pt>
                <c:pt idx="8">
                  <c:v>0.275820328877902</c:v>
                </c:pt>
              </c:numCache>
            </c:numRef>
          </c:val>
        </c:ser>
        <c:ser>
          <c:idx val="1"/>
          <c:order val="1"/>
          <c:tx>
            <c:strRef>
              <c:f>'SA commercial Mutton 2014'!$FP$1</c:f>
              <c:strCache>
                <c:ptCount val="1"/>
                <c:pt idx="0">
                  <c:v>Commercial Reliance </c:v>
                </c:pt>
              </c:strCache>
            </c:strRef>
          </c:tx>
          <c:invertIfNegative val="0"/>
          <c:cat>
            <c:strRef>
              <c:f>'SA commercial Mutton 2014'!$C$2:$C$10</c:f>
              <c:strCache>
                <c:ptCount val="9"/>
                <c:pt idx="0">
                  <c:v>Key West, FL</c:v>
                </c:pt>
                <c:pt idx="1">
                  <c:v>Miami, FL</c:v>
                </c:pt>
                <c:pt idx="2">
                  <c:v>Key Largo, FL</c:v>
                </c:pt>
                <c:pt idx="3">
                  <c:v>Islamorada, FL</c:v>
                </c:pt>
                <c:pt idx="4">
                  <c:v>St. Augustine, FL</c:v>
                </c:pt>
                <c:pt idx="5">
                  <c:v>Marathon, FL</c:v>
                </c:pt>
                <c:pt idx="6">
                  <c:v>Palm Beach Shores, FL</c:v>
                </c:pt>
                <c:pt idx="7">
                  <c:v>Cape Coral, FL</c:v>
                </c:pt>
                <c:pt idx="8">
                  <c:v>Atlantic Beach, FL</c:v>
                </c:pt>
              </c:strCache>
            </c:strRef>
          </c:cat>
          <c:val>
            <c:numRef>
              <c:f>'SA commercial Mutton 2014'!$FP$2:$FP$10</c:f>
              <c:numCache>
                <c:formatCode>#,##0.00000</c:formatCode>
                <c:ptCount val="9"/>
                <c:pt idx="0">
                  <c:v>1.368385751945881</c:v>
                </c:pt>
                <c:pt idx="1">
                  <c:v>-0.18193676475505</c:v>
                </c:pt>
                <c:pt idx="2">
                  <c:v>0.447389342080934</c:v>
                </c:pt>
                <c:pt idx="3">
                  <c:v>0.589041951358752</c:v>
                </c:pt>
                <c:pt idx="4">
                  <c:v>0.109929403010509</c:v>
                </c:pt>
                <c:pt idx="5">
                  <c:v>1.693255332154089</c:v>
                </c:pt>
                <c:pt idx="6">
                  <c:v>0.131557603315576</c:v>
                </c:pt>
                <c:pt idx="7">
                  <c:v>-0.247792611465698</c:v>
                </c:pt>
                <c:pt idx="8">
                  <c:v>-0.108190166977162</c:v>
                </c:pt>
              </c:numCache>
            </c:numRef>
          </c:val>
        </c:ser>
        <c:ser>
          <c:idx val="2"/>
          <c:order val="2"/>
          <c:tx>
            <c:strRef>
              <c:f>'SA commercial Mutton 2014'!$FQ$1</c:f>
              <c:strCache>
                <c:ptCount val="1"/>
                <c:pt idx="0">
                  <c:v>1 Std Dev</c:v>
                </c:pt>
              </c:strCache>
            </c:strRef>
          </c:tx>
          <c:spPr>
            <a:solidFill>
              <a:schemeClr val="bg1"/>
            </a:solidFill>
            <a:ln>
              <a:noFill/>
            </a:ln>
          </c:spPr>
          <c:invertIfNegative val="0"/>
          <c:trendline>
            <c:spPr>
              <a:ln w="28575">
                <a:solidFill>
                  <a:schemeClr val="tx1"/>
                </a:solidFill>
              </a:ln>
            </c:spPr>
            <c:trendlineType val="linear"/>
            <c:dispRSqr val="0"/>
            <c:dispEq val="0"/>
          </c:trendline>
          <c:cat>
            <c:strRef>
              <c:f>'SA commercial Mutton 2014'!$C$2:$C$10</c:f>
              <c:strCache>
                <c:ptCount val="9"/>
                <c:pt idx="0">
                  <c:v>Key West, FL</c:v>
                </c:pt>
                <c:pt idx="1">
                  <c:v>Miami, FL</c:v>
                </c:pt>
                <c:pt idx="2">
                  <c:v>Key Largo, FL</c:v>
                </c:pt>
                <c:pt idx="3">
                  <c:v>Islamorada, FL</c:v>
                </c:pt>
                <c:pt idx="4">
                  <c:v>St. Augustine, FL</c:v>
                </c:pt>
                <c:pt idx="5">
                  <c:v>Marathon, FL</c:v>
                </c:pt>
                <c:pt idx="6">
                  <c:v>Palm Beach Shores, FL</c:v>
                </c:pt>
                <c:pt idx="7">
                  <c:v>Cape Coral, FL</c:v>
                </c:pt>
                <c:pt idx="8">
                  <c:v>Atlantic Beach, FL</c:v>
                </c:pt>
              </c:strCache>
            </c:strRef>
          </c:cat>
          <c:val>
            <c:numRef>
              <c:f>'SA commercial Mutton 2014'!$FQ$2:$FQ$10</c:f>
              <c:numCache>
                <c:formatCode>0.0</c:formatCode>
                <c:ptCount val="9"/>
                <c:pt idx="0">
                  <c:v>1.0</c:v>
                </c:pt>
                <c:pt idx="1">
                  <c:v>1.0</c:v>
                </c:pt>
                <c:pt idx="2">
                  <c:v>1.0</c:v>
                </c:pt>
                <c:pt idx="3">
                  <c:v>1.0</c:v>
                </c:pt>
                <c:pt idx="4">
                  <c:v>1.0</c:v>
                </c:pt>
                <c:pt idx="5">
                  <c:v>1.0</c:v>
                </c:pt>
                <c:pt idx="6">
                  <c:v>1.0</c:v>
                </c:pt>
                <c:pt idx="7">
                  <c:v>1.0</c:v>
                </c:pt>
                <c:pt idx="8">
                  <c:v>1.0</c:v>
                </c:pt>
              </c:numCache>
            </c:numRef>
          </c:val>
        </c:ser>
        <c:ser>
          <c:idx val="3"/>
          <c:order val="3"/>
          <c:tx>
            <c:strRef>
              <c:f>'SA commercial Mutton 2014'!$FR$1</c:f>
              <c:strCache>
                <c:ptCount val="1"/>
                <c:pt idx="0">
                  <c:v>.5 Std Dev</c:v>
                </c:pt>
              </c:strCache>
            </c:strRef>
          </c:tx>
          <c:spPr>
            <a:solidFill>
              <a:schemeClr val="bg1"/>
            </a:solidFill>
            <a:ln>
              <a:noFill/>
            </a:ln>
          </c:spPr>
          <c:invertIfNegative val="0"/>
          <c:trendline>
            <c:spPr>
              <a:ln w="28575">
                <a:solidFill>
                  <a:srgbClr val="FFC000"/>
                </a:solidFill>
              </a:ln>
            </c:spPr>
            <c:trendlineType val="linear"/>
            <c:dispRSqr val="0"/>
            <c:dispEq val="0"/>
          </c:trendline>
          <c:cat>
            <c:strRef>
              <c:f>'SA commercial Mutton 2014'!$C$2:$C$10</c:f>
              <c:strCache>
                <c:ptCount val="9"/>
                <c:pt idx="0">
                  <c:v>Key West, FL</c:v>
                </c:pt>
                <c:pt idx="1">
                  <c:v>Miami, FL</c:v>
                </c:pt>
                <c:pt idx="2">
                  <c:v>Key Largo, FL</c:v>
                </c:pt>
                <c:pt idx="3">
                  <c:v>Islamorada, FL</c:v>
                </c:pt>
                <c:pt idx="4">
                  <c:v>St. Augustine, FL</c:v>
                </c:pt>
                <c:pt idx="5">
                  <c:v>Marathon, FL</c:v>
                </c:pt>
                <c:pt idx="6">
                  <c:v>Palm Beach Shores, FL</c:v>
                </c:pt>
                <c:pt idx="7">
                  <c:v>Cape Coral, FL</c:v>
                </c:pt>
                <c:pt idx="8">
                  <c:v>Atlantic Beach, FL</c:v>
                </c:pt>
              </c:strCache>
            </c:strRef>
          </c:cat>
          <c:val>
            <c:numRef>
              <c:f>'SA commercial Mutton 2014'!$FR$2:$FR$10</c:f>
              <c:numCache>
                <c:formatCode>0.0</c:formatCode>
                <c:ptCount val="9"/>
                <c:pt idx="0">
                  <c:v>0.5</c:v>
                </c:pt>
                <c:pt idx="1">
                  <c:v>0.5</c:v>
                </c:pt>
                <c:pt idx="2">
                  <c:v>0.5</c:v>
                </c:pt>
                <c:pt idx="3">
                  <c:v>0.5</c:v>
                </c:pt>
                <c:pt idx="4">
                  <c:v>0.5</c:v>
                </c:pt>
                <c:pt idx="5">
                  <c:v>0.5</c:v>
                </c:pt>
                <c:pt idx="6">
                  <c:v>0.5</c:v>
                </c:pt>
                <c:pt idx="7">
                  <c:v>0.5</c:v>
                </c:pt>
                <c:pt idx="8">
                  <c:v>0.5</c:v>
                </c:pt>
              </c:numCache>
            </c:numRef>
          </c:val>
        </c:ser>
        <c:dLbls>
          <c:showLegendKey val="0"/>
          <c:showVal val="0"/>
          <c:showCatName val="0"/>
          <c:showSerName val="0"/>
          <c:showPercent val="0"/>
          <c:showBubbleSize val="0"/>
        </c:dLbls>
        <c:gapWidth val="150"/>
        <c:axId val="-2077959064"/>
        <c:axId val="2119982392"/>
      </c:barChart>
      <c:catAx>
        <c:axId val="-2077959064"/>
        <c:scaling>
          <c:orientation val="minMax"/>
        </c:scaling>
        <c:delete val="0"/>
        <c:axPos val="b"/>
        <c:numFmt formatCode="General" sourceLinked="1"/>
        <c:majorTickMark val="out"/>
        <c:minorTickMark val="none"/>
        <c:tickLblPos val="nextTo"/>
        <c:crossAx val="2119982392"/>
        <c:crosses val="autoZero"/>
        <c:auto val="1"/>
        <c:lblAlgn val="ctr"/>
        <c:lblOffset val="100"/>
        <c:noMultiLvlLbl val="0"/>
      </c:catAx>
      <c:valAx>
        <c:axId val="2119982392"/>
        <c:scaling>
          <c:orientation val="minMax"/>
        </c:scaling>
        <c:delete val="0"/>
        <c:axPos val="l"/>
        <c:majorGridlines/>
        <c:numFmt formatCode="#,##0.0" sourceLinked="0"/>
        <c:majorTickMark val="out"/>
        <c:minorTickMark val="none"/>
        <c:tickLblPos val="nextTo"/>
        <c:crossAx val="-2077959064"/>
        <c:crosses val="autoZero"/>
        <c:crossBetween val="between"/>
      </c:valAx>
    </c:plotArea>
    <c:legend>
      <c:legendPos val="t"/>
      <c:legendEntry>
        <c:idx val="2"/>
        <c:delete val="1"/>
      </c:legendEntry>
      <c:legendEntry>
        <c:idx val="3"/>
        <c:delete val="1"/>
      </c:legendEntry>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'top FL S Atl ranked by rec eng'!$C$1</c:f>
              <c:strCache>
                <c:ptCount val="1"/>
                <c:pt idx="0">
                  <c:v>Recreational Engagement</c:v>
                </c:pt>
              </c:strCache>
            </c:strRef>
          </c:tx>
          <c:invertIfNegative val="0"/>
          <c:cat>
            <c:strRef>
              <c:f>'top FL S Atl ranked by rec eng'!$A$2:$A$16</c:f>
              <c:strCache>
                <c:ptCount val="15"/>
                <c:pt idx="0">
                  <c:v>Key West, FL</c:v>
                </c:pt>
                <c:pt idx="1">
                  <c:v>Marathon, FL</c:v>
                </c:pt>
                <c:pt idx="2">
                  <c:v>Islamorada, FL</c:v>
                </c:pt>
                <c:pt idx="3">
                  <c:v>Miami, FL</c:v>
                </c:pt>
                <c:pt idx="4">
                  <c:v>Jacksonville, FL</c:v>
                </c:pt>
                <c:pt idx="5">
                  <c:v>St. Augustine, FL</c:v>
                </c:pt>
                <c:pt idx="6">
                  <c:v>Fort Lauderdale, FL</c:v>
                </c:pt>
                <c:pt idx="7">
                  <c:v>Key Largo, FL</c:v>
                </c:pt>
                <c:pt idx="8">
                  <c:v>Ponce Inlet, FL</c:v>
                </c:pt>
                <c:pt idx="9">
                  <c:v>Jupiter, FL</c:v>
                </c:pt>
                <c:pt idx="10">
                  <c:v>Fort Pierce, FL</c:v>
                </c:pt>
                <c:pt idx="11">
                  <c:v>New Smyrna Beach, FL</c:v>
                </c:pt>
                <c:pt idx="12">
                  <c:v>Big Pine Key, FL</c:v>
                </c:pt>
                <c:pt idx="13">
                  <c:v>Fernandina Beach, FL</c:v>
                </c:pt>
                <c:pt idx="14">
                  <c:v>Sebastian, FL</c:v>
                </c:pt>
              </c:strCache>
            </c:strRef>
          </c:cat>
          <c:val>
            <c:numRef>
              <c:f>'top FL S Atl ranked by rec eng'!$C$2:$C$16</c:f>
              <c:numCache>
                <c:formatCode>#,##0.00000</c:formatCode>
                <c:ptCount val="15"/>
                <c:pt idx="0">
                  <c:v>14.96117389608612</c:v>
                </c:pt>
                <c:pt idx="1">
                  <c:v>6.189918289651021</c:v>
                </c:pt>
                <c:pt idx="2">
                  <c:v>6.187744286851697</c:v>
                </c:pt>
                <c:pt idx="3">
                  <c:v>4.153966413858801</c:v>
                </c:pt>
                <c:pt idx="4">
                  <c:v>3.482766798499158</c:v>
                </c:pt>
                <c:pt idx="5">
                  <c:v>3.068584913189083</c:v>
                </c:pt>
                <c:pt idx="6">
                  <c:v>2.889511711641163</c:v>
                </c:pt>
                <c:pt idx="7">
                  <c:v>2.469173127394565</c:v>
                </c:pt>
                <c:pt idx="8">
                  <c:v>1.966146179342958</c:v>
                </c:pt>
                <c:pt idx="9">
                  <c:v>1.869113517374299</c:v>
                </c:pt>
                <c:pt idx="10">
                  <c:v>1.83096817528892</c:v>
                </c:pt>
                <c:pt idx="11">
                  <c:v>1.754871204154237</c:v>
                </c:pt>
                <c:pt idx="12">
                  <c:v>1.453682844040149</c:v>
                </c:pt>
                <c:pt idx="13">
                  <c:v>1.418342295037842</c:v>
                </c:pt>
                <c:pt idx="14">
                  <c:v>1.416750889526046</c:v>
                </c:pt>
              </c:numCache>
            </c:numRef>
          </c:val>
        </c:ser>
        <c:ser>
          <c:idx val="1"/>
          <c:order val="1"/>
          <c:tx>
            <c:strRef>
              <c:f>'top FL S Atl ranked by rec eng'!$D$1</c:f>
              <c:strCache>
                <c:ptCount val="1"/>
                <c:pt idx="0">
                  <c:v>Recreational Reliance</c:v>
                </c:pt>
              </c:strCache>
            </c:strRef>
          </c:tx>
          <c:invertIfNegative val="0"/>
          <c:cat>
            <c:strRef>
              <c:f>'top FL S Atl ranked by rec eng'!$A$2:$A$16</c:f>
              <c:strCache>
                <c:ptCount val="15"/>
                <c:pt idx="0">
                  <c:v>Key West, FL</c:v>
                </c:pt>
                <c:pt idx="1">
                  <c:v>Marathon, FL</c:v>
                </c:pt>
                <c:pt idx="2">
                  <c:v>Islamorada, FL</c:v>
                </c:pt>
                <c:pt idx="3">
                  <c:v>Miami, FL</c:v>
                </c:pt>
                <c:pt idx="4">
                  <c:v>Jacksonville, FL</c:v>
                </c:pt>
                <c:pt idx="5">
                  <c:v>St. Augustine, FL</c:v>
                </c:pt>
                <c:pt idx="6">
                  <c:v>Fort Lauderdale, FL</c:v>
                </c:pt>
                <c:pt idx="7">
                  <c:v>Key Largo, FL</c:v>
                </c:pt>
                <c:pt idx="8">
                  <c:v>Ponce Inlet, FL</c:v>
                </c:pt>
                <c:pt idx="9">
                  <c:v>Jupiter, FL</c:v>
                </c:pt>
                <c:pt idx="10">
                  <c:v>Fort Pierce, FL</c:v>
                </c:pt>
                <c:pt idx="11">
                  <c:v>New Smyrna Beach, FL</c:v>
                </c:pt>
                <c:pt idx="12">
                  <c:v>Big Pine Key, FL</c:v>
                </c:pt>
                <c:pt idx="13">
                  <c:v>Fernandina Beach, FL</c:v>
                </c:pt>
                <c:pt idx="14">
                  <c:v>Sebastian, FL</c:v>
                </c:pt>
              </c:strCache>
            </c:strRef>
          </c:cat>
          <c:val>
            <c:numRef>
              <c:f>'top FL S Atl ranked by rec eng'!$D$2:$D$16</c:f>
              <c:numCache>
                <c:formatCode>#,##0.00000</c:formatCode>
                <c:ptCount val="15"/>
                <c:pt idx="0">
                  <c:v>1.941638057441578</c:v>
                </c:pt>
                <c:pt idx="1">
                  <c:v>1.779277979567871</c:v>
                </c:pt>
                <c:pt idx="2">
                  <c:v>3.0606339006458</c:v>
                </c:pt>
                <c:pt idx="3">
                  <c:v>-0.194073438978759</c:v>
                </c:pt>
                <c:pt idx="4">
                  <c:v>-0.215630531632486</c:v>
                </c:pt>
                <c:pt idx="5">
                  <c:v>0.618714378221925</c:v>
                </c:pt>
                <c:pt idx="6">
                  <c:v>-0.170890232141591</c:v>
                </c:pt>
                <c:pt idx="7">
                  <c:v>0.330021602855224</c:v>
                </c:pt>
                <c:pt idx="8">
                  <c:v>1.811984337593905</c:v>
                </c:pt>
                <c:pt idx="9">
                  <c:v>-0.100163303676523</c:v>
                </c:pt>
                <c:pt idx="10">
                  <c:v>-0.0949631351726425</c:v>
                </c:pt>
                <c:pt idx="11">
                  <c:v>-0.0245008726898352</c:v>
                </c:pt>
                <c:pt idx="12">
                  <c:v>0.976827266547567</c:v>
                </c:pt>
                <c:pt idx="13">
                  <c:v>0.163162554476868</c:v>
                </c:pt>
                <c:pt idx="14">
                  <c:v>0.0212400270015178</c:v>
                </c:pt>
              </c:numCache>
            </c:numRef>
          </c:val>
        </c:ser>
        <c:ser>
          <c:idx val="2"/>
          <c:order val="2"/>
          <c:tx>
            <c:strRef>
              <c:f>'top FL S Atl ranked by rec eng'!$E$1</c:f>
              <c:strCache>
                <c:ptCount val="1"/>
                <c:pt idx="0">
                  <c:v>1 Std Dev</c:v>
                </c:pt>
              </c:strCache>
            </c:strRef>
          </c:tx>
          <c:spPr>
            <a:solidFill>
              <a:schemeClr val="bg1"/>
            </a:solidFill>
            <a:ln>
              <a:noFill/>
            </a:ln>
          </c:spPr>
          <c:invertIfNegative val="0"/>
          <c:trendline>
            <c:spPr>
              <a:ln w="28575">
                <a:solidFill>
                  <a:schemeClr val="tx1"/>
                </a:solidFill>
              </a:ln>
            </c:spPr>
            <c:trendlineType val="linear"/>
            <c:dispRSqr val="0"/>
            <c:dispEq val="0"/>
          </c:trendline>
          <c:cat>
            <c:strRef>
              <c:f>'top FL S Atl ranked by rec eng'!$A$2:$A$16</c:f>
              <c:strCache>
                <c:ptCount val="15"/>
                <c:pt idx="0">
                  <c:v>Key West, FL</c:v>
                </c:pt>
                <c:pt idx="1">
                  <c:v>Marathon, FL</c:v>
                </c:pt>
                <c:pt idx="2">
                  <c:v>Islamorada, FL</c:v>
                </c:pt>
                <c:pt idx="3">
                  <c:v>Miami, FL</c:v>
                </c:pt>
                <c:pt idx="4">
                  <c:v>Jacksonville, FL</c:v>
                </c:pt>
                <c:pt idx="5">
                  <c:v>St. Augustine, FL</c:v>
                </c:pt>
                <c:pt idx="6">
                  <c:v>Fort Lauderdale, FL</c:v>
                </c:pt>
                <c:pt idx="7">
                  <c:v>Key Largo, FL</c:v>
                </c:pt>
                <c:pt idx="8">
                  <c:v>Ponce Inlet, FL</c:v>
                </c:pt>
                <c:pt idx="9">
                  <c:v>Jupiter, FL</c:v>
                </c:pt>
                <c:pt idx="10">
                  <c:v>Fort Pierce, FL</c:v>
                </c:pt>
                <c:pt idx="11">
                  <c:v>New Smyrna Beach, FL</c:v>
                </c:pt>
                <c:pt idx="12">
                  <c:v>Big Pine Key, FL</c:v>
                </c:pt>
                <c:pt idx="13">
                  <c:v>Fernandina Beach, FL</c:v>
                </c:pt>
                <c:pt idx="14">
                  <c:v>Sebastian, FL</c:v>
                </c:pt>
              </c:strCache>
            </c:strRef>
          </c:cat>
          <c:val>
            <c:numRef>
              <c:f>'top FL S Atl ranked by rec eng'!$E$2:$E$16</c:f>
              <c:numCache>
                <c:formatCode>0.0</c:formatCode>
                <c:ptCount val="1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numCache>
            </c:numRef>
          </c:val>
        </c:ser>
        <c:ser>
          <c:idx val="3"/>
          <c:order val="3"/>
          <c:tx>
            <c:strRef>
              <c:f>'top FL S Atl ranked by rec eng'!$F$1</c:f>
              <c:strCache>
                <c:ptCount val="1"/>
                <c:pt idx="0">
                  <c:v>.5 Std Dev</c:v>
                </c:pt>
              </c:strCache>
            </c:strRef>
          </c:tx>
          <c:spPr>
            <a:solidFill>
              <a:schemeClr val="bg1"/>
            </a:solidFill>
            <a:ln>
              <a:noFill/>
            </a:ln>
          </c:spPr>
          <c:invertIfNegative val="0"/>
          <c:trendline>
            <c:spPr>
              <a:ln w="28575">
                <a:solidFill>
                  <a:srgbClr val="FFC000"/>
                </a:solidFill>
              </a:ln>
            </c:spPr>
            <c:trendlineType val="linear"/>
            <c:dispRSqr val="0"/>
            <c:dispEq val="0"/>
          </c:trendline>
          <c:cat>
            <c:strRef>
              <c:f>'top FL S Atl ranked by rec eng'!$A$2:$A$16</c:f>
              <c:strCache>
                <c:ptCount val="15"/>
                <c:pt idx="0">
                  <c:v>Key West, FL</c:v>
                </c:pt>
                <c:pt idx="1">
                  <c:v>Marathon, FL</c:v>
                </c:pt>
                <c:pt idx="2">
                  <c:v>Islamorada, FL</c:v>
                </c:pt>
                <c:pt idx="3">
                  <c:v>Miami, FL</c:v>
                </c:pt>
                <c:pt idx="4">
                  <c:v>Jacksonville, FL</c:v>
                </c:pt>
                <c:pt idx="5">
                  <c:v>St. Augustine, FL</c:v>
                </c:pt>
                <c:pt idx="6">
                  <c:v>Fort Lauderdale, FL</c:v>
                </c:pt>
                <c:pt idx="7">
                  <c:v>Key Largo, FL</c:v>
                </c:pt>
                <c:pt idx="8">
                  <c:v>Ponce Inlet, FL</c:v>
                </c:pt>
                <c:pt idx="9">
                  <c:v>Jupiter, FL</c:v>
                </c:pt>
                <c:pt idx="10">
                  <c:v>Fort Pierce, FL</c:v>
                </c:pt>
                <c:pt idx="11">
                  <c:v>New Smyrna Beach, FL</c:v>
                </c:pt>
                <c:pt idx="12">
                  <c:v>Big Pine Key, FL</c:v>
                </c:pt>
                <c:pt idx="13">
                  <c:v>Fernandina Beach, FL</c:v>
                </c:pt>
                <c:pt idx="14">
                  <c:v>Sebastian, FL</c:v>
                </c:pt>
              </c:strCache>
            </c:strRef>
          </c:cat>
          <c:val>
            <c:numRef>
              <c:f>'top FL S Atl ranked by rec eng'!$F$2:$F$16</c:f>
              <c:numCache>
                <c:formatCode>0.0</c:formatCode>
                <c:ptCount val="15"/>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numCache>
            </c:numRef>
          </c:val>
        </c:ser>
        <c:dLbls>
          <c:showLegendKey val="0"/>
          <c:showVal val="0"/>
          <c:showCatName val="0"/>
          <c:showSerName val="0"/>
          <c:showPercent val="0"/>
          <c:showBubbleSize val="0"/>
        </c:dLbls>
        <c:gapWidth val="150"/>
        <c:axId val="-2077433720"/>
        <c:axId val="-2077793576"/>
      </c:barChart>
      <c:catAx>
        <c:axId val="-2077433720"/>
        <c:scaling>
          <c:orientation val="minMax"/>
        </c:scaling>
        <c:delete val="0"/>
        <c:axPos val="b"/>
        <c:majorTickMark val="out"/>
        <c:minorTickMark val="none"/>
        <c:tickLblPos val="nextTo"/>
        <c:crossAx val="-2077793576"/>
        <c:crosses val="autoZero"/>
        <c:auto val="1"/>
        <c:lblAlgn val="ctr"/>
        <c:lblOffset val="100"/>
        <c:noMultiLvlLbl val="0"/>
      </c:catAx>
      <c:valAx>
        <c:axId val="-2077793576"/>
        <c:scaling>
          <c:orientation val="minMax"/>
        </c:scaling>
        <c:delete val="0"/>
        <c:axPos val="l"/>
        <c:majorGridlines/>
        <c:numFmt formatCode="#,##0.0" sourceLinked="0"/>
        <c:majorTickMark val="out"/>
        <c:minorTickMark val="none"/>
        <c:tickLblPos val="nextTo"/>
        <c:crossAx val="-2077433720"/>
        <c:crosses val="autoZero"/>
        <c:crossBetween val="between"/>
      </c:valAx>
    </c:plotArea>
    <c:legend>
      <c:legendPos val="t"/>
      <c:legendEntry>
        <c:idx val="2"/>
        <c:delete val="1"/>
      </c:legendEntry>
      <c:legendEntry>
        <c:idx val="3"/>
        <c:delete val="1"/>
      </c:legendEntry>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'Rec and Comm SA Mutton 2014'!$ED$1</c:f>
              <c:strCache>
                <c:ptCount val="1"/>
                <c:pt idx="0">
                  <c:v>Poverty</c:v>
                </c:pt>
              </c:strCache>
            </c:strRef>
          </c:tx>
          <c:invertIfNegative val="0"/>
          <c:cat>
            <c:strRef>
              <c:f>'Rec and Comm SA Mutton 2014'!$C$2:$C$19</c:f>
              <c:strCache>
                <c:ptCount val="18"/>
                <c:pt idx="0">
                  <c:v>Atlantic Beach, FL</c:v>
                </c:pt>
                <c:pt idx="1">
                  <c:v>Big Pine Key, FL</c:v>
                </c:pt>
                <c:pt idx="2">
                  <c:v>Cape Coral, FL</c:v>
                </c:pt>
                <c:pt idx="3">
                  <c:v>Fernandina Beach, FL</c:v>
                </c:pt>
                <c:pt idx="4">
                  <c:v>Fort Lauderdale, FL</c:v>
                </c:pt>
                <c:pt idx="5">
                  <c:v>Fort Pierce, FL</c:v>
                </c:pt>
                <c:pt idx="6">
                  <c:v>Islamorada, FL</c:v>
                </c:pt>
                <c:pt idx="7">
                  <c:v>Jacksonville, FL</c:v>
                </c:pt>
                <c:pt idx="8">
                  <c:v>Jupiter, FL</c:v>
                </c:pt>
                <c:pt idx="9">
                  <c:v>Key Largo, FL</c:v>
                </c:pt>
                <c:pt idx="10">
                  <c:v>Key West, FL</c:v>
                </c:pt>
                <c:pt idx="11">
                  <c:v>Marathon, FL</c:v>
                </c:pt>
                <c:pt idx="12">
                  <c:v>Miami, FL</c:v>
                </c:pt>
                <c:pt idx="13">
                  <c:v>New Smyrna Beach, FL</c:v>
                </c:pt>
                <c:pt idx="14">
                  <c:v>Palm Beach Shores, FL</c:v>
                </c:pt>
                <c:pt idx="15">
                  <c:v>Ponce Inlet, FL</c:v>
                </c:pt>
                <c:pt idx="16">
                  <c:v>Sebastian, FL</c:v>
                </c:pt>
                <c:pt idx="17">
                  <c:v>St. Augustine, FL</c:v>
                </c:pt>
              </c:strCache>
            </c:strRef>
          </c:cat>
          <c:val>
            <c:numRef>
              <c:f>'Rec and Comm SA Mutton 2014'!$ED$2:$ED$19</c:f>
              <c:numCache>
                <c:formatCode>#,##0.000</c:formatCode>
                <c:ptCount val="18"/>
                <c:pt idx="0">
                  <c:v>-0.16990802269391</c:v>
                </c:pt>
                <c:pt idx="1">
                  <c:v>-0.124842727553595</c:v>
                </c:pt>
                <c:pt idx="2">
                  <c:v>-0.154516944598378</c:v>
                </c:pt>
                <c:pt idx="3">
                  <c:v>0.530290223696804</c:v>
                </c:pt>
                <c:pt idx="4">
                  <c:v>0.610138645747162</c:v>
                </c:pt>
                <c:pt idx="5">
                  <c:v>1.463428675091847</c:v>
                </c:pt>
                <c:pt idx="6">
                  <c:v>-0.443764754748638</c:v>
                </c:pt>
                <c:pt idx="7">
                  <c:v>0.266684132113267</c:v>
                </c:pt>
                <c:pt idx="8">
                  <c:v>-0.384717463331761</c:v>
                </c:pt>
                <c:pt idx="9">
                  <c:v>-0.185242864070176</c:v>
                </c:pt>
                <c:pt idx="10">
                  <c:v>0.100269332186403</c:v>
                </c:pt>
                <c:pt idx="11">
                  <c:v>-0.0940460779956163</c:v>
                </c:pt>
                <c:pt idx="12">
                  <c:v>1.909703276771531</c:v>
                </c:pt>
                <c:pt idx="13">
                  <c:v>0.233949058233999</c:v>
                </c:pt>
                <c:pt idx="14">
                  <c:v>-0.0110714308783206</c:v>
                </c:pt>
                <c:pt idx="15">
                  <c:v>-0.658779439938424</c:v>
                </c:pt>
                <c:pt idx="16">
                  <c:v>-0.280553671254935</c:v>
                </c:pt>
                <c:pt idx="17">
                  <c:v>0.189669621893054</c:v>
                </c:pt>
              </c:numCache>
            </c:numRef>
          </c:val>
        </c:ser>
        <c:ser>
          <c:idx val="1"/>
          <c:order val="1"/>
          <c:tx>
            <c:strRef>
              <c:f>'Rec and Comm SA Mutton 2014'!$EE$1</c:f>
              <c:strCache>
                <c:ptCount val="1"/>
                <c:pt idx="0">
                  <c:v>Population Composition</c:v>
                </c:pt>
              </c:strCache>
            </c:strRef>
          </c:tx>
          <c:invertIfNegative val="0"/>
          <c:cat>
            <c:strRef>
              <c:f>'Rec and Comm SA Mutton 2014'!$C$2:$C$19</c:f>
              <c:strCache>
                <c:ptCount val="18"/>
                <c:pt idx="0">
                  <c:v>Atlantic Beach, FL</c:v>
                </c:pt>
                <c:pt idx="1">
                  <c:v>Big Pine Key, FL</c:v>
                </c:pt>
                <c:pt idx="2">
                  <c:v>Cape Coral, FL</c:v>
                </c:pt>
                <c:pt idx="3">
                  <c:v>Fernandina Beach, FL</c:v>
                </c:pt>
                <c:pt idx="4">
                  <c:v>Fort Lauderdale, FL</c:v>
                </c:pt>
                <c:pt idx="5">
                  <c:v>Fort Pierce, FL</c:v>
                </c:pt>
                <c:pt idx="6">
                  <c:v>Islamorada, FL</c:v>
                </c:pt>
                <c:pt idx="7">
                  <c:v>Jacksonville, FL</c:v>
                </c:pt>
                <c:pt idx="8">
                  <c:v>Jupiter, FL</c:v>
                </c:pt>
                <c:pt idx="9">
                  <c:v>Key Largo, FL</c:v>
                </c:pt>
                <c:pt idx="10">
                  <c:v>Key West, FL</c:v>
                </c:pt>
                <c:pt idx="11">
                  <c:v>Marathon, FL</c:v>
                </c:pt>
                <c:pt idx="12">
                  <c:v>Miami, FL</c:v>
                </c:pt>
                <c:pt idx="13">
                  <c:v>New Smyrna Beach, FL</c:v>
                </c:pt>
                <c:pt idx="14">
                  <c:v>Palm Beach Shores, FL</c:v>
                </c:pt>
                <c:pt idx="15">
                  <c:v>Ponce Inlet, FL</c:v>
                </c:pt>
                <c:pt idx="16">
                  <c:v>Sebastian, FL</c:v>
                </c:pt>
                <c:pt idx="17">
                  <c:v>St. Augustine, FL</c:v>
                </c:pt>
              </c:strCache>
            </c:strRef>
          </c:cat>
          <c:val>
            <c:numRef>
              <c:f>'Rec and Comm SA Mutton 2014'!$EE$2:$EE$19</c:f>
              <c:numCache>
                <c:formatCode>#,##0.000</c:formatCode>
                <c:ptCount val="18"/>
                <c:pt idx="0">
                  <c:v>-0.241811262312057</c:v>
                </c:pt>
                <c:pt idx="1">
                  <c:v>-0.806415201078379</c:v>
                </c:pt>
                <c:pt idx="2">
                  <c:v>0.127547498207299</c:v>
                </c:pt>
                <c:pt idx="3">
                  <c:v>0.102155470222764</c:v>
                </c:pt>
                <c:pt idx="4">
                  <c:v>0.51352116857422</c:v>
                </c:pt>
                <c:pt idx="5">
                  <c:v>1.385877045492722</c:v>
                </c:pt>
                <c:pt idx="6">
                  <c:v>-1.005355404582346</c:v>
                </c:pt>
                <c:pt idx="7">
                  <c:v>0.510383043207293</c:v>
                </c:pt>
                <c:pt idx="8">
                  <c:v>-0.126122100423094</c:v>
                </c:pt>
                <c:pt idx="9">
                  <c:v>-0.10138852936006</c:v>
                </c:pt>
                <c:pt idx="10">
                  <c:v>0.144608293306728</c:v>
                </c:pt>
                <c:pt idx="11">
                  <c:v>0.174577274587663</c:v>
                </c:pt>
                <c:pt idx="12">
                  <c:v>2.702826401812555</c:v>
                </c:pt>
                <c:pt idx="13">
                  <c:v>-0.655204285970324</c:v>
                </c:pt>
                <c:pt idx="14">
                  <c:v>-1.241667433405858</c:v>
                </c:pt>
                <c:pt idx="15">
                  <c:v>-0.993800429031689</c:v>
                </c:pt>
                <c:pt idx="16">
                  <c:v>-0.351037485906848</c:v>
                </c:pt>
                <c:pt idx="17">
                  <c:v>-0.473634472398831</c:v>
                </c:pt>
              </c:numCache>
            </c:numRef>
          </c:val>
        </c:ser>
        <c:ser>
          <c:idx val="2"/>
          <c:order val="2"/>
          <c:tx>
            <c:strRef>
              <c:f>'Rec and Comm SA Mutton 2014'!$EF$1</c:f>
              <c:strCache>
                <c:ptCount val="1"/>
                <c:pt idx="0">
                  <c:v>Personal Disruption</c:v>
                </c:pt>
              </c:strCache>
            </c:strRef>
          </c:tx>
          <c:invertIfNegative val="0"/>
          <c:cat>
            <c:strRef>
              <c:f>'Rec and Comm SA Mutton 2014'!$C$2:$C$19</c:f>
              <c:strCache>
                <c:ptCount val="18"/>
                <c:pt idx="0">
                  <c:v>Atlantic Beach, FL</c:v>
                </c:pt>
                <c:pt idx="1">
                  <c:v>Big Pine Key, FL</c:v>
                </c:pt>
                <c:pt idx="2">
                  <c:v>Cape Coral, FL</c:v>
                </c:pt>
                <c:pt idx="3">
                  <c:v>Fernandina Beach, FL</c:v>
                </c:pt>
                <c:pt idx="4">
                  <c:v>Fort Lauderdale, FL</c:v>
                </c:pt>
                <c:pt idx="5">
                  <c:v>Fort Pierce, FL</c:v>
                </c:pt>
                <c:pt idx="6">
                  <c:v>Islamorada, FL</c:v>
                </c:pt>
                <c:pt idx="7">
                  <c:v>Jacksonville, FL</c:v>
                </c:pt>
                <c:pt idx="8">
                  <c:v>Jupiter, FL</c:v>
                </c:pt>
                <c:pt idx="9">
                  <c:v>Key Largo, FL</c:v>
                </c:pt>
                <c:pt idx="10">
                  <c:v>Key West, FL</c:v>
                </c:pt>
                <c:pt idx="11">
                  <c:v>Marathon, FL</c:v>
                </c:pt>
                <c:pt idx="12">
                  <c:v>Miami, FL</c:v>
                </c:pt>
                <c:pt idx="13">
                  <c:v>New Smyrna Beach, FL</c:v>
                </c:pt>
                <c:pt idx="14">
                  <c:v>Palm Beach Shores, FL</c:v>
                </c:pt>
                <c:pt idx="15">
                  <c:v>Ponce Inlet, FL</c:v>
                </c:pt>
                <c:pt idx="16">
                  <c:v>Sebastian, FL</c:v>
                </c:pt>
                <c:pt idx="17">
                  <c:v>St. Augustine, FL</c:v>
                </c:pt>
              </c:strCache>
            </c:strRef>
          </c:cat>
          <c:val>
            <c:numRef>
              <c:f>'Rec and Comm SA Mutton 2014'!$EF$2:$EF$19</c:f>
              <c:numCache>
                <c:formatCode>#,##0.00000</c:formatCode>
                <c:ptCount val="18"/>
                <c:pt idx="0">
                  <c:v>-0.35643866572455</c:v>
                </c:pt>
                <c:pt idx="1">
                  <c:v>-0.230129462271004</c:v>
                </c:pt>
                <c:pt idx="2">
                  <c:v>-0.147030010890696</c:v>
                </c:pt>
                <c:pt idx="3">
                  <c:v>0.0396834905878392</c:v>
                </c:pt>
                <c:pt idx="4">
                  <c:v>0.753559869742176</c:v>
                </c:pt>
                <c:pt idx="5">
                  <c:v>2.026936982479006</c:v>
                </c:pt>
                <c:pt idx="6">
                  <c:v>-0.28877050261679</c:v>
                </c:pt>
                <c:pt idx="7">
                  <c:v>0.523707190911147</c:v>
                </c:pt>
                <c:pt idx="8">
                  <c:v>-0.604754065525815</c:v>
                </c:pt>
                <c:pt idx="9">
                  <c:v>0.0905406472270804</c:v>
                </c:pt>
                <c:pt idx="10">
                  <c:v>0.164681709882989</c:v>
                </c:pt>
                <c:pt idx="11">
                  <c:v>0.197000437472777</c:v>
                </c:pt>
                <c:pt idx="12">
                  <c:v>1.420766714700973</c:v>
                </c:pt>
                <c:pt idx="13">
                  <c:v>-0.177685728214351</c:v>
                </c:pt>
                <c:pt idx="14">
                  <c:v>-0.351862672504946</c:v>
                </c:pt>
                <c:pt idx="15">
                  <c:v>-0.594288023034157</c:v>
                </c:pt>
                <c:pt idx="16">
                  <c:v>-0.133877935294331</c:v>
                </c:pt>
                <c:pt idx="17">
                  <c:v>0.202856692373798</c:v>
                </c:pt>
              </c:numCache>
            </c:numRef>
          </c:val>
        </c:ser>
        <c:ser>
          <c:idx val="3"/>
          <c:order val="3"/>
          <c:tx>
            <c:strRef>
              <c:f>'Rec and Comm SA Mutton 2014'!$EG$1</c:f>
              <c:strCache>
                <c:ptCount val="1"/>
                <c:pt idx="0">
                  <c:v>1 Std Dev</c:v>
                </c:pt>
              </c:strCache>
            </c:strRef>
          </c:tx>
          <c:spPr>
            <a:solidFill>
              <a:schemeClr val="bg1"/>
            </a:solidFill>
            <a:ln>
              <a:noFill/>
            </a:ln>
          </c:spPr>
          <c:invertIfNegative val="0"/>
          <c:trendline>
            <c:spPr>
              <a:ln w="28575">
                <a:solidFill>
                  <a:schemeClr val="tx1"/>
                </a:solidFill>
              </a:ln>
            </c:spPr>
            <c:trendlineType val="linear"/>
            <c:dispRSqr val="0"/>
            <c:dispEq val="0"/>
          </c:trendline>
          <c:cat>
            <c:strRef>
              <c:f>'Rec and Comm SA Mutton 2014'!$C$2:$C$19</c:f>
              <c:strCache>
                <c:ptCount val="18"/>
                <c:pt idx="0">
                  <c:v>Atlantic Beach, FL</c:v>
                </c:pt>
                <c:pt idx="1">
                  <c:v>Big Pine Key, FL</c:v>
                </c:pt>
                <c:pt idx="2">
                  <c:v>Cape Coral, FL</c:v>
                </c:pt>
                <c:pt idx="3">
                  <c:v>Fernandina Beach, FL</c:v>
                </c:pt>
                <c:pt idx="4">
                  <c:v>Fort Lauderdale, FL</c:v>
                </c:pt>
                <c:pt idx="5">
                  <c:v>Fort Pierce, FL</c:v>
                </c:pt>
                <c:pt idx="6">
                  <c:v>Islamorada, FL</c:v>
                </c:pt>
                <c:pt idx="7">
                  <c:v>Jacksonville, FL</c:v>
                </c:pt>
                <c:pt idx="8">
                  <c:v>Jupiter, FL</c:v>
                </c:pt>
                <c:pt idx="9">
                  <c:v>Key Largo, FL</c:v>
                </c:pt>
                <c:pt idx="10">
                  <c:v>Key West, FL</c:v>
                </c:pt>
                <c:pt idx="11">
                  <c:v>Marathon, FL</c:v>
                </c:pt>
                <c:pt idx="12">
                  <c:v>Miami, FL</c:v>
                </c:pt>
                <c:pt idx="13">
                  <c:v>New Smyrna Beach, FL</c:v>
                </c:pt>
                <c:pt idx="14">
                  <c:v>Palm Beach Shores, FL</c:v>
                </c:pt>
                <c:pt idx="15">
                  <c:v>Ponce Inlet, FL</c:v>
                </c:pt>
                <c:pt idx="16">
                  <c:v>Sebastian, FL</c:v>
                </c:pt>
                <c:pt idx="17">
                  <c:v>St. Augustine, FL</c:v>
                </c:pt>
              </c:strCache>
            </c:strRef>
          </c:cat>
          <c:val>
            <c:numRef>
              <c:f>'Rec and Comm SA Mutton 2014'!$EG$2:$EG$19</c:f>
              <c:numCache>
                <c:formatCode>0.0</c:formatCode>
                <c:ptCount val="18"/>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numCache>
            </c:numRef>
          </c:val>
        </c:ser>
        <c:ser>
          <c:idx val="4"/>
          <c:order val="4"/>
          <c:tx>
            <c:strRef>
              <c:f>'Rec and Comm SA Mutton 2014'!$EH$1</c:f>
              <c:strCache>
                <c:ptCount val="1"/>
                <c:pt idx="0">
                  <c:v>.5 Std Dev</c:v>
                </c:pt>
              </c:strCache>
            </c:strRef>
          </c:tx>
          <c:spPr>
            <a:solidFill>
              <a:schemeClr val="bg1"/>
            </a:solidFill>
            <a:ln>
              <a:noFill/>
            </a:ln>
          </c:spPr>
          <c:invertIfNegative val="0"/>
          <c:trendline>
            <c:spPr>
              <a:ln w="28575">
                <a:solidFill>
                  <a:srgbClr val="FFC000"/>
                </a:solidFill>
              </a:ln>
            </c:spPr>
            <c:trendlineType val="linear"/>
            <c:dispRSqr val="0"/>
            <c:dispEq val="0"/>
          </c:trendline>
          <c:cat>
            <c:strRef>
              <c:f>'Rec and Comm SA Mutton 2014'!$C$2:$C$19</c:f>
              <c:strCache>
                <c:ptCount val="18"/>
                <c:pt idx="0">
                  <c:v>Atlantic Beach, FL</c:v>
                </c:pt>
                <c:pt idx="1">
                  <c:v>Big Pine Key, FL</c:v>
                </c:pt>
                <c:pt idx="2">
                  <c:v>Cape Coral, FL</c:v>
                </c:pt>
                <c:pt idx="3">
                  <c:v>Fernandina Beach, FL</c:v>
                </c:pt>
                <c:pt idx="4">
                  <c:v>Fort Lauderdale, FL</c:v>
                </c:pt>
                <c:pt idx="5">
                  <c:v>Fort Pierce, FL</c:v>
                </c:pt>
                <c:pt idx="6">
                  <c:v>Islamorada, FL</c:v>
                </c:pt>
                <c:pt idx="7">
                  <c:v>Jacksonville, FL</c:v>
                </c:pt>
                <c:pt idx="8">
                  <c:v>Jupiter, FL</c:v>
                </c:pt>
                <c:pt idx="9">
                  <c:v>Key Largo, FL</c:v>
                </c:pt>
                <c:pt idx="10">
                  <c:v>Key West, FL</c:v>
                </c:pt>
                <c:pt idx="11">
                  <c:v>Marathon, FL</c:v>
                </c:pt>
                <c:pt idx="12">
                  <c:v>Miami, FL</c:v>
                </c:pt>
                <c:pt idx="13">
                  <c:v>New Smyrna Beach, FL</c:v>
                </c:pt>
                <c:pt idx="14">
                  <c:v>Palm Beach Shores, FL</c:v>
                </c:pt>
                <c:pt idx="15">
                  <c:v>Ponce Inlet, FL</c:v>
                </c:pt>
                <c:pt idx="16">
                  <c:v>Sebastian, FL</c:v>
                </c:pt>
                <c:pt idx="17">
                  <c:v>St. Augustine, FL</c:v>
                </c:pt>
              </c:strCache>
            </c:strRef>
          </c:cat>
          <c:val>
            <c:numRef>
              <c:f>'Rec and Comm SA Mutton 2014'!$EH$2:$EH$19</c:f>
              <c:numCache>
                <c:formatCode>0.0</c:formatCode>
                <c:ptCount val="18"/>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numCache>
            </c:numRef>
          </c:val>
        </c:ser>
        <c:dLbls>
          <c:showLegendKey val="0"/>
          <c:showVal val="0"/>
          <c:showCatName val="0"/>
          <c:showSerName val="0"/>
          <c:showPercent val="0"/>
          <c:showBubbleSize val="0"/>
        </c:dLbls>
        <c:gapWidth val="150"/>
        <c:axId val="-2077312488"/>
        <c:axId val="-2077374680"/>
      </c:barChart>
      <c:catAx>
        <c:axId val="-2077312488"/>
        <c:scaling>
          <c:orientation val="minMax"/>
        </c:scaling>
        <c:delete val="0"/>
        <c:axPos val="b"/>
        <c:majorTickMark val="out"/>
        <c:minorTickMark val="none"/>
        <c:tickLblPos val="nextTo"/>
        <c:crossAx val="-2077374680"/>
        <c:crosses val="autoZero"/>
        <c:auto val="1"/>
        <c:lblAlgn val="ctr"/>
        <c:lblOffset val="100"/>
        <c:noMultiLvlLbl val="0"/>
      </c:catAx>
      <c:valAx>
        <c:axId val="-2077374680"/>
        <c:scaling>
          <c:orientation val="minMax"/>
        </c:scaling>
        <c:delete val="0"/>
        <c:axPos val="l"/>
        <c:majorGridlines/>
        <c:numFmt formatCode="#,##0.0" sourceLinked="0"/>
        <c:majorTickMark val="out"/>
        <c:minorTickMark val="none"/>
        <c:tickLblPos val="nextTo"/>
        <c:crossAx val="-2077312488"/>
        <c:crosses val="autoZero"/>
        <c:crossBetween val="between"/>
      </c:valAx>
    </c:plotArea>
    <c:legend>
      <c:legendPos val="t"/>
      <c:legendEntry>
        <c:idx val="3"/>
        <c:delete val="1"/>
      </c:legendEntry>
      <c:legendEntry>
        <c:idx val="4"/>
        <c:delete val="1"/>
      </c:legendEntry>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135005973716"/>
          <c:y val="0.025414364640884"/>
          <c:w val="0.860191158900837"/>
          <c:h val="0.83392439204768"/>
        </c:manualLayout>
      </c:layout>
      <c:barChart>
        <c:barDir val="col"/>
        <c:grouping val="clustered"/>
        <c:varyColors val="0"/>
        <c:ser>
          <c:idx val="2"/>
          <c:order val="1"/>
          <c:tx>
            <c:v>2013-2015 TIP Data</c:v>
          </c:tx>
          <c:spPr>
            <a:solidFill>
              <a:schemeClr val="tx1"/>
            </a:solidFill>
          </c:spPr>
          <c:invertIfNegative val="0"/>
          <c:cat>
            <c:strRef>
              <c:f>length_freq!$B$6:$B$16</c:f>
              <c:strCache>
                <c:ptCount val="11"/>
                <c:pt idx="0">
                  <c:v>&lt;16</c:v>
                </c:pt>
                <c:pt idx="1">
                  <c:v>16</c:v>
                </c:pt>
                <c:pt idx="2">
                  <c:v>17</c:v>
                </c:pt>
                <c:pt idx="3">
                  <c:v>18</c:v>
                </c:pt>
                <c:pt idx="4">
                  <c:v>19</c:v>
                </c:pt>
                <c:pt idx="5">
                  <c:v>20</c:v>
                </c:pt>
                <c:pt idx="6">
                  <c:v>21</c:v>
                </c:pt>
                <c:pt idx="7">
                  <c:v>22</c:v>
                </c:pt>
                <c:pt idx="8">
                  <c:v>23</c:v>
                </c:pt>
                <c:pt idx="9">
                  <c:v>24</c:v>
                </c:pt>
                <c:pt idx="10">
                  <c:v>&gt;25</c:v>
                </c:pt>
              </c:strCache>
            </c:strRef>
          </c:cat>
          <c:val>
            <c:numRef>
              <c:f>length_freq!$D$6:$D$16</c:f>
              <c:numCache>
                <c:formatCode>General</c:formatCode>
                <c:ptCount val="11"/>
                <c:pt idx="0">
                  <c:v>7.45945945945946</c:v>
                </c:pt>
                <c:pt idx="1">
                  <c:v>7.027027027027025</c:v>
                </c:pt>
                <c:pt idx="2">
                  <c:v>6.702702702702703</c:v>
                </c:pt>
                <c:pt idx="3">
                  <c:v>6.486486486486487</c:v>
                </c:pt>
                <c:pt idx="4">
                  <c:v>5.945945945945946</c:v>
                </c:pt>
                <c:pt idx="5">
                  <c:v>6.378378378378378</c:v>
                </c:pt>
                <c:pt idx="6">
                  <c:v>5.18918918918919</c:v>
                </c:pt>
                <c:pt idx="7">
                  <c:v>5.621621621621622</c:v>
                </c:pt>
                <c:pt idx="8">
                  <c:v>4.108108108108108</c:v>
                </c:pt>
                <c:pt idx="9">
                  <c:v>7.135135135135136</c:v>
                </c:pt>
                <c:pt idx="10">
                  <c:v>37.94594594594595</c:v>
                </c:pt>
              </c:numCache>
            </c:numRef>
          </c:val>
        </c:ser>
        <c:dLbls>
          <c:showLegendKey val="0"/>
          <c:showVal val="0"/>
          <c:showCatName val="0"/>
          <c:showSerName val="0"/>
          <c:showPercent val="0"/>
          <c:showBubbleSize val="0"/>
        </c:dLbls>
        <c:gapWidth val="100"/>
        <c:axId val="2119285064"/>
        <c:axId val="2129975016"/>
      </c:barChart>
      <c:scatterChart>
        <c:scatterStyle val="smoothMarker"/>
        <c:varyColors val="0"/>
        <c:ser>
          <c:idx val="1"/>
          <c:order val="0"/>
          <c:tx>
            <c:v>16 inches TL min size</c:v>
          </c:tx>
          <c:marker>
            <c:symbol val="none"/>
          </c:marker>
          <c:xVal>
            <c:numRef>
              <c:f>length_freq!$F$4:$F$5</c:f>
              <c:numCache>
                <c:formatCode>General</c:formatCode>
                <c:ptCount val="2"/>
                <c:pt idx="0">
                  <c:v>1.5</c:v>
                </c:pt>
                <c:pt idx="1">
                  <c:v>1.5</c:v>
                </c:pt>
              </c:numCache>
            </c:numRef>
          </c:xVal>
          <c:yVal>
            <c:numRef>
              <c:f>length_freq!$G$4:$G$5</c:f>
              <c:numCache>
                <c:formatCode>General</c:formatCode>
                <c:ptCount val="2"/>
                <c:pt idx="0">
                  <c:v>0.0</c:v>
                </c:pt>
                <c:pt idx="1">
                  <c:v>100.0</c:v>
                </c:pt>
              </c:numCache>
            </c:numRef>
          </c:yVal>
          <c:smooth val="1"/>
        </c:ser>
        <c:dLbls>
          <c:showLegendKey val="0"/>
          <c:showVal val="0"/>
          <c:showCatName val="0"/>
          <c:showSerName val="0"/>
          <c:showPercent val="0"/>
          <c:showBubbleSize val="0"/>
        </c:dLbls>
        <c:axId val="2119285064"/>
        <c:axId val="2129975016"/>
      </c:scatterChart>
      <c:catAx>
        <c:axId val="2119285064"/>
        <c:scaling>
          <c:orientation val="minMax"/>
        </c:scaling>
        <c:delete val="0"/>
        <c:axPos val="b"/>
        <c:title>
          <c:tx>
            <c:rich>
              <a:bodyPr/>
              <a:lstStyle/>
              <a:p>
                <a:pPr>
                  <a:defRPr/>
                </a:pPr>
                <a:r>
                  <a:rPr lang="en-US"/>
                  <a:t>Total Length (inches)</a:t>
                </a:r>
              </a:p>
            </c:rich>
          </c:tx>
          <c:layout>
            <c:manualLayout>
              <c:xMode val="edge"/>
              <c:yMode val="edge"/>
              <c:x val="0.394277086331952"/>
              <c:y val="0.936877655486435"/>
            </c:manualLayout>
          </c:layout>
          <c:overlay val="0"/>
        </c:title>
        <c:numFmt formatCode="General" sourceLinked="1"/>
        <c:majorTickMark val="cross"/>
        <c:minorTickMark val="out"/>
        <c:tickLblPos val="nextTo"/>
        <c:spPr>
          <a:ln w="19050">
            <a:solidFill>
              <a:schemeClr val="tx1"/>
            </a:solidFill>
          </a:ln>
        </c:spPr>
        <c:crossAx val="2129975016"/>
        <c:crosses val="autoZero"/>
        <c:auto val="1"/>
        <c:lblAlgn val="ctr"/>
        <c:lblOffset val="100"/>
        <c:noMultiLvlLbl val="0"/>
      </c:catAx>
      <c:valAx>
        <c:axId val="2129975016"/>
        <c:scaling>
          <c:orientation val="minMax"/>
          <c:max val="40.0"/>
          <c:min val="0.0"/>
        </c:scaling>
        <c:delete val="0"/>
        <c:axPos val="l"/>
        <c:title>
          <c:tx>
            <c:rich>
              <a:bodyPr rot="-5400000" vert="horz"/>
              <a:lstStyle/>
              <a:p>
                <a:pPr>
                  <a:defRPr/>
                </a:pPr>
                <a:r>
                  <a:rPr lang="en-US"/>
                  <a:t>Percent of Fish</a:t>
                </a:r>
              </a:p>
            </c:rich>
          </c:tx>
          <c:layout>
            <c:manualLayout>
              <c:xMode val="edge"/>
              <c:yMode val="edge"/>
              <c:x val="0.000388338554454888"/>
              <c:y val="0.278175939928039"/>
            </c:manualLayout>
          </c:layout>
          <c:overlay val="0"/>
        </c:title>
        <c:numFmt formatCode="General" sourceLinked="1"/>
        <c:majorTickMark val="cross"/>
        <c:minorTickMark val="out"/>
        <c:tickLblPos val="nextTo"/>
        <c:spPr>
          <a:noFill/>
          <a:ln w="19050">
            <a:solidFill>
              <a:schemeClr val="tx1"/>
            </a:solidFill>
          </a:ln>
        </c:spPr>
        <c:crossAx val="2119285064"/>
        <c:crosses val="autoZero"/>
        <c:crossBetween val="between"/>
      </c:valAx>
    </c:plotArea>
    <c:legend>
      <c:legendPos val="r"/>
      <c:layout>
        <c:manualLayout>
          <c:xMode val="edge"/>
          <c:yMode val="edge"/>
          <c:x val="0.489749103942652"/>
          <c:y val="0.0587059672776806"/>
          <c:w val="0.412222316296484"/>
          <c:h val="0.137137815141644"/>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3936231884058"/>
          <c:y val="0.0288401253918495"/>
          <c:w val="0.90606376811594"/>
          <c:h val="0.819728646771819"/>
        </c:manualLayout>
      </c:layout>
      <c:barChart>
        <c:barDir val="col"/>
        <c:grouping val="clustered"/>
        <c:varyColors val="0"/>
        <c:ser>
          <c:idx val="1"/>
          <c:order val="0"/>
          <c:tx>
            <c:v>MRIP July-April (n=657 Trips)</c:v>
          </c:tx>
          <c:spPr>
            <a:solidFill>
              <a:schemeClr val="tx1"/>
            </a:solidFill>
            <a:ln w="19050">
              <a:solidFill>
                <a:schemeClr val="tx1"/>
              </a:solidFill>
            </a:ln>
          </c:spPr>
          <c:invertIfNegative val="0"/>
          <c:cat>
            <c:numRef>
              <c:f>SA_Mutton_bag_wave!$Y$21:$Y$28</c:f>
              <c:numCache>
                <c:formatCode>General</c:formatCode>
                <c:ptCount val="8"/>
              </c:numCache>
            </c:numRef>
          </c:cat>
          <c:val>
            <c:numRef>
              <c:f>SA_Mutton_bag_wave!$L$21:$L$28</c:f>
              <c:numCache>
                <c:formatCode>General</c:formatCode>
                <c:ptCount val="8"/>
                <c:pt idx="0">
                  <c:v>71.84170471841706</c:v>
                </c:pt>
                <c:pt idx="1">
                  <c:v>17.80821917808219</c:v>
                </c:pt>
                <c:pt idx="2">
                  <c:v>7.153729071537287</c:v>
                </c:pt>
                <c:pt idx="3">
                  <c:v>1.21765601217656</c:v>
                </c:pt>
                <c:pt idx="4">
                  <c:v>1.06544901065449</c:v>
                </c:pt>
                <c:pt idx="5">
                  <c:v>0.76103500761035</c:v>
                </c:pt>
                <c:pt idx="6">
                  <c:v>0.0</c:v>
                </c:pt>
                <c:pt idx="7">
                  <c:v>0.15220700152207</c:v>
                </c:pt>
              </c:numCache>
            </c:numRef>
          </c:val>
        </c:ser>
        <c:ser>
          <c:idx val="2"/>
          <c:order val="1"/>
          <c:tx>
            <c:v>MRIP May-June (n=154 Trips)</c:v>
          </c:tx>
          <c:spPr>
            <a:pattFill prst="ltDnDiag">
              <a:fgClr>
                <a:schemeClr val="tx1">
                  <a:lumMod val="65000"/>
                  <a:lumOff val="35000"/>
                </a:schemeClr>
              </a:fgClr>
              <a:bgClr>
                <a:schemeClr val="bg1"/>
              </a:bgClr>
            </a:pattFill>
            <a:ln w="19050" cmpd="thickThin">
              <a:solidFill>
                <a:schemeClr val="tx1"/>
              </a:solidFill>
            </a:ln>
          </c:spPr>
          <c:invertIfNegative val="0"/>
          <c:cat>
            <c:numRef>
              <c:f>SA_Mutton_bag_wave!$Y$21:$Y$28</c:f>
              <c:numCache>
                <c:formatCode>General</c:formatCode>
                <c:ptCount val="8"/>
              </c:numCache>
            </c:numRef>
          </c:cat>
          <c:val>
            <c:numRef>
              <c:f>SA_Mutton_bag_wave!$M$21:$M$28</c:f>
              <c:numCache>
                <c:formatCode>General</c:formatCode>
                <c:ptCount val="8"/>
                <c:pt idx="0">
                  <c:v>70.12987012987</c:v>
                </c:pt>
                <c:pt idx="1">
                  <c:v>14.2857142857143</c:v>
                </c:pt>
                <c:pt idx="2">
                  <c:v>7.142857142857141</c:v>
                </c:pt>
                <c:pt idx="3">
                  <c:v>3.246753246753247</c:v>
                </c:pt>
                <c:pt idx="4">
                  <c:v>3.246753246753247</c:v>
                </c:pt>
                <c:pt idx="5">
                  <c:v>1.298701298701298</c:v>
                </c:pt>
                <c:pt idx="6">
                  <c:v>0.0</c:v>
                </c:pt>
                <c:pt idx="7">
                  <c:v>0.649350649350649</c:v>
                </c:pt>
              </c:numCache>
            </c:numRef>
          </c:val>
        </c:ser>
        <c:ser>
          <c:idx val="0"/>
          <c:order val="2"/>
          <c:tx>
            <c:v>Headboat July-April (n=11,538 Trips)</c:v>
          </c:tx>
          <c:spPr>
            <a:noFill/>
            <a:ln w="19050">
              <a:solidFill>
                <a:schemeClr val="tx1"/>
              </a:solidFill>
            </a:ln>
          </c:spPr>
          <c:invertIfNegative val="0"/>
          <c:cat>
            <c:numRef>
              <c:f>SA_Mutton_bag_wave!$Y$21:$Y$28</c:f>
              <c:numCache>
                <c:formatCode>General</c:formatCode>
                <c:ptCount val="8"/>
              </c:numCache>
            </c:numRef>
          </c:cat>
          <c:val>
            <c:numRef>
              <c:f>SA_Mutton_bag_wave!$N$21:$N$28</c:f>
              <c:numCache>
                <c:formatCode>General</c:formatCode>
                <c:ptCount val="8"/>
                <c:pt idx="0">
                  <c:v>97.0012133818687</c:v>
                </c:pt>
                <c:pt idx="1">
                  <c:v>1.326053042121685</c:v>
                </c:pt>
                <c:pt idx="2">
                  <c:v>0.632691974345641</c:v>
                </c:pt>
                <c:pt idx="3">
                  <c:v>0.338013520540822</c:v>
                </c:pt>
                <c:pt idx="4">
                  <c:v>0.294678453804819</c:v>
                </c:pt>
                <c:pt idx="5">
                  <c:v>0.372681573929624</c:v>
                </c:pt>
                <c:pt idx="6">
                  <c:v>0.0</c:v>
                </c:pt>
                <c:pt idx="7">
                  <c:v>0.0346680533888022</c:v>
                </c:pt>
              </c:numCache>
            </c:numRef>
          </c:val>
        </c:ser>
        <c:ser>
          <c:idx val="3"/>
          <c:order val="3"/>
          <c:tx>
            <c:v>Headboat May-June (n=2,999 Trips)</c:v>
          </c:tx>
          <c:spPr>
            <a:solidFill>
              <a:schemeClr val="bg1">
                <a:lumMod val="85000"/>
              </a:schemeClr>
            </a:solidFill>
            <a:ln w="19050">
              <a:solidFill>
                <a:schemeClr val="tx1"/>
              </a:solidFill>
            </a:ln>
          </c:spPr>
          <c:invertIfNegative val="0"/>
          <c:cat>
            <c:numRef>
              <c:f>SA_Mutton_bag_wave!$Y$21:$Y$28</c:f>
              <c:numCache>
                <c:formatCode>General</c:formatCode>
                <c:ptCount val="8"/>
              </c:numCache>
            </c:numRef>
          </c:cat>
          <c:val>
            <c:numRef>
              <c:f>SA_Mutton_bag_wave!$O$21:$O$28</c:f>
              <c:numCache>
                <c:formatCode>General</c:formatCode>
                <c:ptCount val="8"/>
                <c:pt idx="0">
                  <c:v>96.86562187395795</c:v>
                </c:pt>
                <c:pt idx="1">
                  <c:v>1.767255751917306</c:v>
                </c:pt>
                <c:pt idx="2">
                  <c:v>0.500166722240747</c:v>
                </c:pt>
                <c:pt idx="3">
                  <c:v>0.300100033344448</c:v>
                </c:pt>
                <c:pt idx="4">
                  <c:v>0.166722240746916</c:v>
                </c:pt>
                <c:pt idx="5">
                  <c:v>0.333444481493831</c:v>
                </c:pt>
                <c:pt idx="6">
                  <c:v>0.0333444481493831</c:v>
                </c:pt>
                <c:pt idx="7">
                  <c:v>0.0333444481493831</c:v>
                </c:pt>
              </c:numCache>
            </c:numRef>
          </c:val>
        </c:ser>
        <c:dLbls>
          <c:showLegendKey val="0"/>
          <c:showVal val="0"/>
          <c:showCatName val="0"/>
          <c:showSerName val="0"/>
          <c:showPercent val="0"/>
          <c:showBubbleSize val="0"/>
        </c:dLbls>
        <c:gapWidth val="150"/>
        <c:axId val="2119752472"/>
        <c:axId val="-2077663880"/>
      </c:barChart>
      <c:catAx>
        <c:axId val="2119752472"/>
        <c:scaling>
          <c:orientation val="minMax"/>
        </c:scaling>
        <c:delete val="0"/>
        <c:axPos val="b"/>
        <c:title>
          <c:tx>
            <c:rich>
              <a:bodyPr/>
              <a:lstStyle/>
              <a:p>
                <a:pPr>
                  <a:defRPr/>
                </a:pPr>
                <a:r>
                  <a:rPr lang="en-US"/>
                  <a:t>Mutton</a:t>
                </a:r>
                <a:r>
                  <a:rPr lang="en-US" baseline="0"/>
                  <a:t> Snapper</a:t>
                </a:r>
                <a:r>
                  <a:rPr lang="en-US"/>
                  <a:t> Harvested per Angler</a:t>
                </a:r>
              </a:p>
            </c:rich>
          </c:tx>
          <c:layout>
            <c:manualLayout>
              <c:xMode val="edge"/>
              <c:yMode val="edge"/>
              <c:x val="0.363669428277987"/>
              <c:y val="0.929780564263323"/>
            </c:manualLayout>
          </c:layout>
          <c:overlay val="0"/>
        </c:title>
        <c:numFmt formatCode="General" sourceLinked="1"/>
        <c:majorTickMark val="cross"/>
        <c:minorTickMark val="none"/>
        <c:tickLblPos val="nextTo"/>
        <c:spPr>
          <a:ln w="19050">
            <a:solidFill>
              <a:schemeClr val="tx1"/>
            </a:solidFill>
          </a:ln>
        </c:spPr>
        <c:crossAx val="-2077663880"/>
        <c:crosses val="autoZero"/>
        <c:auto val="1"/>
        <c:lblAlgn val="ctr"/>
        <c:lblOffset val="100"/>
        <c:noMultiLvlLbl val="0"/>
      </c:catAx>
      <c:valAx>
        <c:axId val="-2077663880"/>
        <c:scaling>
          <c:orientation val="minMax"/>
          <c:max val="100.0"/>
          <c:min val="0.0"/>
        </c:scaling>
        <c:delete val="0"/>
        <c:axPos val="l"/>
        <c:title>
          <c:tx>
            <c:rich>
              <a:bodyPr rot="-5400000" vert="horz"/>
              <a:lstStyle/>
              <a:p>
                <a:pPr>
                  <a:defRPr/>
                </a:pPr>
                <a:r>
                  <a:rPr lang="en-US"/>
                  <a:t>Percentage</a:t>
                </a:r>
              </a:p>
            </c:rich>
          </c:tx>
          <c:layout>
            <c:manualLayout>
              <c:xMode val="edge"/>
              <c:yMode val="edge"/>
              <c:x val="0.000459020883259158"/>
              <c:y val="0.26992125984252"/>
            </c:manualLayout>
          </c:layout>
          <c:overlay val="0"/>
        </c:title>
        <c:numFmt formatCode="0" sourceLinked="0"/>
        <c:majorTickMark val="cross"/>
        <c:minorTickMark val="out"/>
        <c:tickLblPos val="nextTo"/>
        <c:spPr>
          <a:ln w="19050">
            <a:solidFill>
              <a:schemeClr val="tx1"/>
            </a:solidFill>
          </a:ln>
        </c:spPr>
        <c:crossAx val="2119752472"/>
        <c:crosses val="autoZero"/>
        <c:crossBetween val="between"/>
      </c:valAx>
    </c:plotArea>
    <c:legend>
      <c:legendPos val="r"/>
      <c:layout>
        <c:manualLayout>
          <c:xMode val="edge"/>
          <c:yMode val="edge"/>
          <c:x val="0.488751158279128"/>
          <c:y val="0.0120767819383079"/>
          <c:w val="0.502608695652174"/>
          <c:h val="0.396337428505476"/>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588674572927"/>
          <c:y val="0.0514005540974045"/>
          <c:w val="0.867300263756957"/>
          <c:h val="0.803316464792249"/>
        </c:manualLayout>
      </c:layout>
      <c:lineChart>
        <c:grouping val="standard"/>
        <c:varyColors val="0"/>
        <c:ser>
          <c:idx val="2"/>
          <c:order val="0"/>
          <c:tx>
            <c:v>Average 2010-2014 Landings</c:v>
          </c:tx>
          <c:marker>
            <c:symbol val="none"/>
          </c:marker>
          <c:cat>
            <c:strRef>
              <c:f>Mutton_month!$C$15:$N$15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Mutton_month!$C$18:$N$18</c:f>
              <c:numCache>
                <c:formatCode>#,##0</c:formatCode>
                <c:ptCount val="12"/>
                <c:pt idx="0">
                  <c:v>3307.0</c:v>
                </c:pt>
                <c:pt idx="1">
                  <c:v>4624.8</c:v>
                </c:pt>
                <c:pt idx="2">
                  <c:v>3843.4</c:v>
                </c:pt>
                <c:pt idx="3">
                  <c:v>4584.2</c:v>
                </c:pt>
                <c:pt idx="4">
                  <c:v>15252.2</c:v>
                </c:pt>
                <c:pt idx="5">
                  <c:v>10848.8</c:v>
                </c:pt>
                <c:pt idx="6">
                  <c:v>6959.2</c:v>
                </c:pt>
                <c:pt idx="7">
                  <c:v>5957.0</c:v>
                </c:pt>
                <c:pt idx="8">
                  <c:v>7347.0</c:v>
                </c:pt>
                <c:pt idx="9">
                  <c:v>5202.400000000001</c:v>
                </c:pt>
                <c:pt idx="10">
                  <c:v>3992.6</c:v>
                </c:pt>
                <c:pt idx="11">
                  <c:v>4765.2</c:v>
                </c:pt>
              </c:numCache>
            </c:numRef>
          </c:val>
          <c:smooth val="0"/>
        </c:ser>
        <c:ser>
          <c:idx val="3"/>
          <c:order val="1"/>
          <c:tx>
            <c:v>Upper 95% Confidence Interval</c:v>
          </c:tx>
          <c:spPr>
            <a:ln w="19050">
              <a:solidFill>
                <a:schemeClr val="tx1"/>
              </a:solidFill>
              <a:prstDash val="dash"/>
            </a:ln>
          </c:spPr>
          <c:marker>
            <c:symbol val="none"/>
          </c:marker>
          <c:cat>
            <c:strRef>
              <c:f>Mutton_month!$C$15:$N$15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Mutton_month!$C$23:$N$23</c:f>
              <c:numCache>
                <c:formatCode>#,##0</c:formatCode>
                <c:ptCount val="12"/>
                <c:pt idx="0">
                  <c:v>4120.059880697603</c:v>
                </c:pt>
                <c:pt idx="1">
                  <c:v>5911.76731305189</c:v>
                </c:pt>
                <c:pt idx="2">
                  <c:v>4337.36650892141</c:v>
                </c:pt>
                <c:pt idx="3">
                  <c:v>5597.979263816339</c:v>
                </c:pt>
                <c:pt idx="4">
                  <c:v>18063.91338025482</c:v>
                </c:pt>
                <c:pt idx="5">
                  <c:v>13812.86215226064</c:v>
                </c:pt>
                <c:pt idx="6">
                  <c:v>9184.02874700594</c:v>
                </c:pt>
                <c:pt idx="7">
                  <c:v>8382.604333109586</c:v>
                </c:pt>
                <c:pt idx="8">
                  <c:v>13681.58530921164</c:v>
                </c:pt>
                <c:pt idx="9">
                  <c:v>7625.700167510413</c:v>
                </c:pt>
                <c:pt idx="10">
                  <c:v>4527.6044664636</c:v>
                </c:pt>
                <c:pt idx="11">
                  <c:v>5930.448501249411</c:v>
                </c:pt>
              </c:numCache>
            </c:numRef>
          </c:val>
          <c:smooth val="0"/>
        </c:ser>
        <c:ser>
          <c:idx val="4"/>
          <c:order val="2"/>
          <c:tx>
            <c:v>Lower 95% Confidence Interval</c:v>
          </c:tx>
          <c:spPr>
            <a:ln w="19050">
              <a:solidFill>
                <a:schemeClr val="tx1"/>
              </a:solidFill>
              <a:prstDash val="dash"/>
            </a:ln>
          </c:spPr>
          <c:marker>
            <c:symbol val="none"/>
          </c:marker>
          <c:cat>
            <c:strRef>
              <c:f>Mutton_month!$C$15:$N$15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Mutton_month!$C$24:$N$24</c:f>
              <c:numCache>
                <c:formatCode>#,##0</c:formatCode>
                <c:ptCount val="12"/>
                <c:pt idx="0">
                  <c:v>2493.940119302398</c:v>
                </c:pt>
                <c:pt idx="1">
                  <c:v>3337.832686948111</c:v>
                </c:pt>
                <c:pt idx="2">
                  <c:v>3349.433491078595</c:v>
                </c:pt>
                <c:pt idx="3">
                  <c:v>3570.420736183661</c:v>
                </c:pt>
                <c:pt idx="4">
                  <c:v>12440.48661974518</c:v>
                </c:pt>
                <c:pt idx="5">
                  <c:v>7884.737847739291</c:v>
                </c:pt>
                <c:pt idx="6">
                  <c:v>4734.371252994059</c:v>
                </c:pt>
                <c:pt idx="7">
                  <c:v>3531.395666890414</c:v>
                </c:pt>
                <c:pt idx="8">
                  <c:v>1012.414690788355</c:v>
                </c:pt>
                <c:pt idx="9">
                  <c:v>2779.099832489587</c:v>
                </c:pt>
                <c:pt idx="10">
                  <c:v>3457.595533536401</c:v>
                </c:pt>
                <c:pt idx="11">
                  <c:v>3599.95149875059</c:v>
                </c:pt>
              </c:numCache>
            </c:numRef>
          </c:val>
          <c:smooth val="0"/>
        </c:ser>
        <c:dLbls>
          <c:showLegendKey val="0"/>
          <c:showVal val="0"/>
          <c:showCatName val="0"/>
          <c:showSerName val="0"/>
          <c:showPercent val="0"/>
          <c:showBubbleSize val="0"/>
        </c:dLbls>
        <c:marker val="1"/>
        <c:smooth val="0"/>
        <c:axId val="2119562440"/>
        <c:axId val="2078395000"/>
      </c:lineChart>
      <c:catAx>
        <c:axId val="2119562440"/>
        <c:scaling>
          <c:orientation val="minMax"/>
        </c:scaling>
        <c:delete val="0"/>
        <c:axPos val="b"/>
        <c:title>
          <c:tx>
            <c:rich>
              <a:bodyPr/>
              <a:lstStyle/>
              <a:p>
                <a:pPr>
                  <a:defRPr/>
                </a:pPr>
                <a:r>
                  <a:rPr lang="en-US"/>
                  <a:t>Month</a:t>
                </a:r>
              </a:p>
            </c:rich>
          </c:tx>
          <c:layout>
            <c:manualLayout>
              <c:xMode val="edge"/>
              <c:yMode val="edge"/>
              <c:x val="0.514947571049933"/>
              <c:y val="0.939990317335623"/>
            </c:manualLayout>
          </c:layout>
          <c:overlay val="0"/>
        </c:title>
        <c:numFmt formatCode="General" sourceLinked="1"/>
        <c:majorTickMark val="none"/>
        <c:minorTickMark val="cross"/>
        <c:tickLblPos val="nextTo"/>
        <c:spPr>
          <a:ln>
            <a:solidFill>
              <a:schemeClr val="tx1"/>
            </a:solidFill>
          </a:ln>
        </c:spPr>
        <c:txPr>
          <a:bodyPr/>
          <a:lstStyle/>
          <a:p>
            <a:pPr>
              <a:defRPr sz="1100"/>
            </a:pPr>
            <a:endParaRPr lang="en-US"/>
          </a:p>
        </c:txPr>
        <c:crossAx val="2078395000"/>
        <c:crosses val="autoZero"/>
        <c:auto val="1"/>
        <c:lblAlgn val="ctr"/>
        <c:lblOffset val="100"/>
        <c:noMultiLvlLbl val="0"/>
      </c:catAx>
      <c:valAx>
        <c:axId val="2078395000"/>
        <c:scaling>
          <c:orientation val="minMax"/>
        </c:scaling>
        <c:delete val="0"/>
        <c:axPos val="l"/>
        <c:title>
          <c:tx>
            <c:rich>
              <a:bodyPr rot="-5400000" vert="horz"/>
              <a:lstStyle/>
              <a:p>
                <a:pPr>
                  <a:defRPr/>
                </a:pPr>
                <a:r>
                  <a:rPr lang="en-US"/>
                  <a:t>Landings (lbs ww)</a:t>
                </a:r>
              </a:p>
            </c:rich>
          </c:tx>
          <c:layout>
            <c:manualLayout>
              <c:xMode val="edge"/>
              <c:yMode val="edge"/>
              <c:x val="0.00109501054382944"/>
              <c:y val="0.256026697358886"/>
            </c:manualLayout>
          </c:layout>
          <c:overlay val="0"/>
        </c:title>
        <c:numFmt formatCode="#,##0" sourceLinked="0"/>
        <c:majorTickMark val="cross"/>
        <c:minorTickMark val="none"/>
        <c:tickLblPos val="nextTo"/>
        <c:spPr>
          <a:ln w="19050">
            <a:solidFill>
              <a:schemeClr val="tx1"/>
            </a:solidFill>
          </a:ln>
        </c:spPr>
        <c:txPr>
          <a:bodyPr/>
          <a:lstStyle/>
          <a:p>
            <a:pPr>
              <a:defRPr sz="1100"/>
            </a:pPr>
            <a:endParaRPr lang="en-US"/>
          </a:p>
        </c:txPr>
        <c:crossAx val="2119562440"/>
        <c:crosses val="autoZero"/>
        <c:crossBetween val="between"/>
      </c:valAx>
    </c:plotArea>
    <c:legend>
      <c:legendPos val="r"/>
      <c:layout>
        <c:manualLayout>
          <c:xMode val="edge"/>
          <c:yMode val="edge"/>
          <c:x val="0.57968877968878"/>
          <c:y val="0.0274272125497074"/>
          <c:w val="0.408026208026208"/>
          <c:h val="0.218153777761539"/>
        </c:manualLayout>
      </c:layout>
      <c:overlay val="0"/>
      <c:txPr>
        <a:bodyPr/>
        <a:lstStyle/>
        <a:p>
          <a:pPr>
            <a:defRPr sz="1100"/>
          </a:pPr>
          <a:endParaRPr lang="en-US"/>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781448887517"/>
          <c:y val="0.0605442548848061"/>
          <c:w val="0.829203506424442"/>
          <c:h val="0.804854030117744"/>
        </c:manualLayout>
      </c:layout>
      <c:lineChart>
        <c:grouping val="standard"/>
        <c:varyColors val="0"/>
        <c:ser>
          <c:idx val="1"/>
          <c:order val="0"/>
          <c:tx>
            <c:v>Annual Landings</c:v>
          </c:tx>
          <c:spPr>
            <a:ln>
              <a:solidFill>
                <a:schemeClr val="tx1"/>
              </a:solidFill>
            </a:ln>
          </c:spPr>
          <c:marker>
            <c:symbol val="none"/>
          </c:marker>
          <c:cat>
            <c:numRef>
              <c:f>Mutton_month!$R$4:$R$14</c:f>
              <c:numCache>
                <c:formatCode>General</c:formatCode>
                <c:ptCount val="11"/>
                <c:pt idx="0">
                  <c:v>2004.0</c:v>
                </c:pt>
                <c:pt idx="1">
                  <c:v>2005.0</c:v>
                </c:pt>
                <c:pt idx="2">
                  <c:v>2006.0</c:v>
                </c:pt>
                <c:pt idx="3">
                  <c:v>2007.0</c:v>
                </c:pt>
                <c:pt idx="4">
                  <c:v>2008.0</c:v>
                </c:pt>
                <c:pt idx="5">
                  <c:v>2009.0</c:v>
                </c:pt>
                <c:pt idx="6">
                  <c:v>2010.0</c:v>
                </c:pt>
                <c:pt idx="7">
                  <c:v>2011.0</c:v>
                </c:pt>
                <c:pt idx="8">
                  <c:v>2012.0</c:v>
                </c:pt>
                <c:pt idx="9">
                  <c:v>2013.0</c:v>
                </c:pt>
                <c:pt idx="10">
                  <c:v>2014.0</c:v>
                </c:pt>
              </c:numCache>
            </c:numRef>
          </c:cat>
          <c:val>
            <c:numRef>
              <c:f>Mutton_month!$S$4:$S$14</c:f>
              <c:numCache>
                <c:formatCode>General</c:formatCode>
                <c:ptCount val="11"/>
                <c:pt idx="0">
                  <c:v>145861.0</c:v>
                </c:pt>
                <c:pt idx="1">
                  <c:v>96298.0</c:v>
                </c:pt>
                <c:pt idx="2">
                  <c:v>74839.0</c:v>
                </c:pt>
                <c:pt idx="3">
                  <c:v>88550.0</c:v>
                </c:pt>
                <c:pt idx="4">
                  <c:v>76705.0</c:v>
                </c:pt>
                <c:pt idx="5">
                  <c:v>78132.0</c:v>
                </c:pt>
                <c:pt idx="6">
                  <c:v>74737.0</c:v>
                </c:pt>
                <c:pt idx="7">
                  <c:v>66158.0</c:v>
                </c:pt>
                <c:pt idx="8">
                  <c:v>77122.0</c:v>
                </c:pt>
                <c:pt idx="9">
                  <c:v>74229.0</c:v>
                </c:pt>
                <c:pt idx="10">
                  <c:v>91173.0</c:v>
                </c:pt>
              </c:numCache>
            </c:numRef>
          </c:val>
          <c:smooth val="0"/>
        </c:ser>
        <c:dLbls>
          <c:showLegendKey val="0"/>
          <c:showVal val="0"/>
          <c:showCatName val="0"/>
          <c:showSerName val="0"/>
          <c:showPercent val="0"/>
          <c:showBubbleSize val="0"/>
        </c:dLbls>
        <c:marker val="1"/>
        <c:smooth val="0"/>
        <c:axId val="2078284072"/>
        <c:axId val="2078289736"/>
      </c:lineChart>
      <c:catAx>
        <c:axId val="2078284072"/>
        <c:scaling>
          <c:orientation val="minMax"/>
        </c:scaling>
        <c:delete val="0"/>
        <c:axPos val="b"/>
        <c:title>
          <c:tx>
            <c:rich>
              <a:bodyPr/>
              <a:lstStyle/>
              <a:p>
                <a:pPr>
                  <a:defRPr/>
                </a:pPr>
                <a:r>
                  <a:rPr lang="en-US"/>
                  <a:t>Year</a:t>
                </a:r>
              </a:p>
            </c:rich>
          </c:tx>
          <c:layout/>
          <c:overlay val="0"/>
        </c:title>
        <c:numFmt formatCode="General" sourceLinked="1"/>
        <c:majorTickMark val="none"/>
        <c:minorTickMark val="cross"/>
        <c:tickLblPos val="nextTo"/>
        <c:spPr>
          <a:ln w="19050">
            <a:solidFill>
              <a:schemeClr val="tx1"/>
            </a:solidFill>
          </a:ln>
        </c:spPr>
        <c:crossAx val="2078289736"/>
        <c:crosses val="autoZero"/>
        <c:auto val="1"/>
        <c:lblAlgn val="ctr"/>
        <c:lblOffset val="100"/>
        <c:noMultiLvlLbl val="0"/>
      </c:catAx>
      <c:valAx>
        <c:axId val="2078289736"/>
        <c:scaling>
          <c:orientation val="minMax"/>
        </c:scaling>
        <c:delete val="0"/>
        <c:axPos val="l"/>
        <c:title>
          <c:tx>
            <c:rich>
              <a:bodyPr rot="-5400000" vert="horz"/>
              <a:lstStyle/>
              <a:p>
                <a:pPr>
                  <a:defRPr/>
                </a:pPr>
                <a:r>
                  <a:rPr lang="en-US"/>
                  <a:t>Landings (lbs ww)</a:t>
                </a:r>
              </a:p>
            </c:rich>
          </c:tx>
          <c:layout>
            <c:manualLayout>
              <c:xMode val="edge"/>
              <c:yMode val="edge"/>
              <c:x val="0.000522189628257252"/>
              <c:y val="0.269237378847197"/>
            </c:manualLayout>
          </c:layout>
          <c:overlay val="0"/>
        </c:title>
        <c:numFmt formatCode="#,##0" sourceLinked="0"/>
        <c:majorTickMark val="cross"/>
        <c:minorTickMark val="out"/>
        <c:tickLblPos val="nextTo"/>
        <c:spPr>
          <a:ln w="19050">
            <a:solidFill>
              <a:schemeClr val="tx1"/>
            </a:solidFill>
          </a:ln>
        </c:spPr>
        <c:crossAx val="2078284072"/>
        <c:crosses val="autoZero"/>
        <c:crossBetween val="between"/>
      </c:valAx>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15.png"/></Relationships>
</file>

<file path=word/drawings/drawing1.xml><?xml version="1.0" encoding="utf-8"?>
<c:userShapes xmlns:c="http://schemas.openxmlformats.org/drawingml/2006/chart">
  <cdr:relSizeAnchor xmlns:cdr="http://schemas.openxmlformats.org/drawingml/2006/chartDrawing">
    <cdr:from>
      <cdr:x>0.12426</cdr:x>
      <cdr:y>0.02806</cdr:y>
    </cdr:from>
    <cdr:to>
      <cdr:x>0.17965</cdr:x>
      <cdr:y>0.15809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38554" y="64477"/>
          <a:ext cx="329213" cy="29873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0.1144</cdr:x>
      <cdr:y>0.03043</cdr:y>
    </cdr:from>
    <cdr:to>
      <cdr:x>0.20115</cdr:x>
      <cdr:y>0.12608</cdr:y>
    </cdr:to>
    <cdr:sp macro="" textlink="">
      <cdr:nvSpPr>
        <cdr:cNvPr id="3" name="Text Box 2"/>
        <cdr:cNvSpPr txBox="1">
          <a:spLocks xmlns:a="http://schemas.openxmlformats.org/drawingml/2006/main" noChangeArrowheads="1"/>
        </cdr:cNvSpPr>
      </cdr:nvSpPr>
      <cdr:spPr bwMode="auto">
        <a:xfrm xmlns:a="http://schemas.openxmlformats.org/drawingml/2006/main">
          <a:off x="679939" y="71506"/>
          <a:ext cx="515620" cy="22480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0.12426</cdr:x>
      <cdr:y>0.02806</cdr:y>
    </cdr:from>
    <cdr:to>
      <cdr:x>0.17965</cdr:x>
      <cdr:y>0.15809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38554" y="64477"/>
          <a:ext cx="329213" cy="29873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0.1144</cdr:x>
      <cdr:y>0.03043</cdr:y>
    </cdr:from>
    <cdr:to>
      <cdr:x>0.20115</cdr:x>
      <cdr:y>0.12608</cdr:y>
    </cdr:to>
    <cdr:sp macro="" textlink="">
      <cdr:nvSpPr>
        <cdr:cNvPr id="3" name="Text Box 2"/>
        <cdr:cNvSpPr txBox="1">
          <a:spLocks xmlns:a="http://schemas.openxmlformats.org/drawingml/2006/main" noChangeArrowheads="1"/>
        </cdr:cNvSpPr>
      </cdr:nvSpPr>
      <cdr:spPr bwMode="auto">
        <a:xfrm xmlns:a="http://schemas.openxmlformats.org/drawingml/2006/main">
          <a:off x="679939" y="71506"/>
          <a:ext cx="515620" cy="22480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5350D-C44C-E147-8B46-6264D614EB0D}">
  <ds:schemaRefs>
    <ds:schemaRef ds:uri="http://schemas.openxmlformats.org/officeDocument/2006/bibliography"/>
  </ds:schemaRefs>
</ds:datastoreItem>
</file>

<file path=customXml/itemProps2.xml><?xml version="1.0" encoding="utf-8"?>
<ds:datastoreItem xmlns:ds="http://schemas.openxmlformats.org/officeDocument/2006/customXml" ds:itemID="{B50010A2-7FD7-AF4A-9812-39859006587C}">
  <ds:schemaRefs>
    <ds:schemaRef ds:uri="http://schemas.openxmlformats.org/officeDocument/2006/bibliography"/>
  </ds:schemaRefs>
</ds:datastoreItem>
</file>

<file path=customXml/itemProps3.xml><?xml version="1.0" encoding="utf-8"?>
<ds:datastoreItem xmlns:ds="http://schemas.openxmlformats.org/officeDocument/2006/customXml" ds:itemID="{9926AC5C-21AB-454F-A8A0-2836DD877EEF}">
  <ds:schemaRefs>
    <ds:schemaRef ds:uri="http://schemas.openxmlformats.org/officeDocument/2006/bibliography"/>
  </ds:schemaRefs>
</ds:datastoreItem>
</file>

<file path=customXml/itemProps4.xml><?xml version="1.0" encoding="utf-8"?>
<ds:datastoreItem xmlns:ds="http://schemas.openxmlformats.org/officeDocument/2006/customXml" ds:itemID="{3C1A209C-9CD9-FD45-8297-E7E9C6DA8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294</Pages>
  <Words>103759</Words>
  <Characters>591429</Characters>
  <Application>Microsoft Macintosh Word</Application>
  <DocSecurity>0</DocSecurity>
  <Lines>4928</Lines>
  <Paragraphs>1387</Paragraphs>
  <ScaleCrop>false</ScaleCrop>
  <HeadingPairs>
    <vt:vector size="2" baseType="variant">
      <vt:variant>
        <vt:lpstr>Title</vt:lpstr>
      </vt:variant>
      <vt:variant>
        <vt:i4>1</vt:i4>
      </vt:variant>
    </vt:vector>
  </HeadingPairs>
  <TitlesOfParts>
    <vt:vector size="1" baseType="lpstr">
      <vt:lpstr>Draft South Atlantic CMP Framework</vt:lpstr>
    </vt:vector>
  </TitlesOfParts>
  <Company>HP</Company>
  <LinksUpToDate>false</LinksUpToDate>
  <CharactersWithSpaces>693801</CharactersWithSpaces>
  <SharedDoc>false</SharedDoc>
  <HLinks>
    <vt:vector size="612" baseType="variant">
      <vt:variant>
        <vt:i4>4194406</vt:i4>
      </vt:variant>
      <vt:variant>
        <vt:i4>633</vt:i4>
      </vt:variant>
      <vt:variant>
        <vt:i4>0</vt:i4>
      </vt:variant>
      <vt:variant>
        <vt:i4>5</vt:i4>
      </vt:variant>
      <vt:variant>
        <vt:lpwstr>../www.sefsc.noaa.gov/sedar/download/SEDAR 24_SAR_October 2010_26.pdf?id=DOCUMENT</vt:lpwstr>
      </vt:variant>
      <vt:variant>
        <vt:lpwstr/>
      </vt:variant>
      <vt:variant>
        <vt:i4>1507346</vt:i4>
      </vt:variant>
      <vt:variant>
        <vt:i4>630</vt:i4>
      </vt:variant>
      <vt:variant>
        <vt:i4>0</vt:i4>
      </vt:variant>
      <vt:variant>
        <vt:i4>5</vt:i4>
      </vt:variant>
      <vt:variant>
        <vt:lpwstr>http://www.sefsc.noaa.gov/sedar/</vt:lpwstr>
      </vt:variant>
      <vt:variant>
        <vt:lpwstr/>
      </vt:variant>
      <vt:variant>
        <vt:i4>3145851</vt:i4>
      </vt:variant>
      <vt:variant>
        <vt:i4>627</vt:i4>
      </vt:variant>
      <vt:variant>
        <vt:i4>0</vt:i4>
      </vt:variant>
      <vt:variant>
        <vt:i4>5</vt:i4>
      </vt:variant>
      <vt:variant>
        <vt:lpwstr>http://www.st.nmfs.gov/st5/publications/index.html</vt:lpwstr>
      </vt:variant>
      <vt:variant>
        <vt:lpwstr/>
      </vt:variant>
      <vt:variant>
        <vt:i4>4784173</vt:i4>
      </vt:variant>
      <vt:variant>
        <vt:i4>624</vt:i4>
      </vt:variant>
      <vt:variant>
        <vt:i4>0</vt:i4>
      </vt:variant>
      <vt:variant>
        <vt:i4>5</vt:i4>
      </vt:variant>
      <vt:variant>
        <vt:lpwstr>http://www.st.nmfs.noaa.gov/st1/commercial/landings/annual_landings.html</vt:lpwstr>
      </vt:variant>
      <vt:variant>
        <vt:lpwstr/>
      </vt:variant>
      <vt:variant>
        <vt:i4>7143427</vt:i4>
      </vt:variant>
      <vt:variant>
        <vt:i4>600</vt:i4>
      </vt:variant>
      <vt:variant>
        <vt:i4>0</vt:i4>
      </vt:variant>
      <vt:variant>
        <vt:i4>5</vt:i4>
      </vt:variant>
      <vt:variant>
        <vt:lpwstr>http://ocean.floridamarine.org/efh_coral/ims/viewer.htm</vt:lpwstr>
      </vt:variant>
      <vt:variant>
        <vt:lpwstr/>
      </vt:variant>
      <vt:variant>
        <vt:i4>1835071</vt:i4>
      </vt:variant>
      <vt:variant>
        <vt:i4>584</vt:i4>
      </vt:variant>
      <vt:variant>
        <vt:i4>0</vt:i4>
      </vt:variant>
      <vt:variant>
        <vt:i4>5</vt:i4>
      </vt:variant>
      <vt:variant>
        <vt:lpwstr/>
      </vt:variant>
      <vt:variant>
        <vt:lpwstr>_Toc304880038</vt:lpwstr>
      </vt:variant>
      <vt:variant>
        <vt:i4>1835071</vt:i4>
      </vt:variant>
      <vt:variant>
        <vt:i4>578</vt:i4>
      </vt:variant>
      <vt:variant>
        <vt:i4>0</vt:i4>
      </vt:variant>
      <vt:variant>
        <vt:i4>5</vt:i4>
      </vt:variant>
      <vt:variant>
        <vt:lpwstr/>
      </vt:variant>
      <vt:variant>
        <vt:lpwstr>_Toc304880037</vt:lpwstr>
      </vt:variant>
      <vt:variant>
        <vt:i4>1835071</vt:i4>
      </vt:variant>
      <vt:variant>
        <vt:i4>572</vt:i4>
      </vt:variant>
      <vt:variant>
        <vt:i4>0</vt:i4>
      </vt:variant>
      <vt:variant>
        <vt:i4>5</vt:i4>
      </vt:variant>
      <vt:variant>
        <vt:lpwstr/>
      </vt:variant>
      <vt:variant>
        <vt:lpwstr>_Toc304880036</vt:lpwstr>
      </vt:variant>
      <vt:variant>
        <vt:i4>1835071</vt:i4>
      </vt:variant>
      <vt:variant>
        <vt:i4>566</vt:i4>
      </vt:variant>
      <vt:variant>
        <vt:i4>0</vt:i4>
      </vt:variant>
      <vt:variant>
        <vt:i4>5</vt:i4>
      </vt:variant>
      <vt:variant>
        <vt:lpwstr/>
      </vt:variant>
      <vt:variant>
        <vt:lpwstr>_Toc304880035</vt:lpwstr>
      </vt:variant>
      <vt:variant>
        <vt:i4>1835071</vt:i4>
      </vt:variant>
      <vt:variant>
        <vt:i4>560</vt:i4>
      </vt:variant>
      <vt:variant>
        <vt:i4>0</vt:i4>
      </vt:variant>
      <vt:variant>
        <vt:i4>5</vt:i4>
      </vt:variant>
      <vt:variant>
        <vt:lpwstr/>
      </vt:variant>
      <vt:variant>
        <vt:lpwstr>_Toc304880034</vt:lpwstr>
      </vt:variant>
      <vt:variant>
        <vt:i4>1835071</vt:i4>
      </vt:variant>
      <vt:variant>
        <vt:i4>554</vt:i4>
      </vt:variant>
      <vt:variant>
        <vt:i4>0</vt:i4>
      </vt:variant>
      <vt:variant>
        <vt:i4>5</vt:i4>
      </vt:variant>
      <vt:variant>
        <vt:lpwstr/>
      </vt:variant>
      <vt:variant>
        <vt:lpwstr>_Toc304880033</vt:lpwstr>
      </vt:variant>
      <vt:variant>
        <vt:i4>1835071</vt:i4>
      </vt:variant>
      <vt:variant>
        <vt:i4>548</vt:i4>
      </vt:variant>
      <vt:variant>
        <vt:i4>0</vt:i4>
      </vt:variant>
      <vt:variant>
        <vt:i4>5</vt:i4>
      </vt:variant>
      <vt:variant>
        <vt:lpwstr/>
      </vt:variant>
      <vt:variant>
        <vt:lpwstr>_Toc304880032</vt:lpwstr>
      </vt:variant>
      <vt:variant>
        <vt:i4>1835071</vt:i4>
      </vt:variant>
      <vt:variant>
        <vt:i4>542</vt:i4>
      </vt:variant>
      <vt:variant>
        <vt:i4>0</vt:i4>
      </vt:variant>
      <vt:variant>
        <vt:i4>5</vt:i4>
      </vt:variant>
      <vt:variant>
        <vt:lpwstr/>
      </vt:variant>
      <vt:variant>
        <vt:lpwstr>_Toc304880031</vt:lpwstr>
      </vt:variant>
      <vt:variant>
        <vt:i4>1835071</vt:i4>
      </vt:variant>
      <vt:variant>
        <vt:i4>536</vt:i4>
      </vt:variant>
      <vt:variant>
        <vt:i4>0</vt:i4>
      </vt:variant>
      <vt:variant>
        <vt:i4>5</vt:i4>
      </vt:variant>
      <vt:variant>
        <vt:lpwstr/>
      </vt:variant>
      <vt:variant>
        <vt:lpwstr>_Toc304880030</vt:lpwstr>
      </vt:variant>
      <vt:variant>
        <vt:i4>1900607</vt:i4>
      </vt:variant>
      <vt:variant>
        <vt:i4>530</vt:i4>
      </vt:variant>
      <vt:variant>
        <vt:i4>0</vt:i4>
      </vt:variant>
      <vt:variant>
        <vt:i4>5</vt:i4>
      </vt:variant>
      <vt:variant>
        <vt:lpwstr/>
      </vt:variant>
      <vt:variant>
        <vt:lpwstr>_Toc304880029</vt:lpwstr>
      </vt:variant>
      <vt:variant>
        <vt:i4>1507381</vt:i4>
      </vt:variant>
      <vt:variant>
        <vt:i4>521</vt:i4>
      </vt:variant>
      <vt:variant>
        <vt:i4>0</vt:i4>
      </vt:variant>
      <vt:variant>
        <vt:i4>5</vt:i4>
      </vt:variant>
      <vt:variant>
        <vt:lpwstr/>
      </vt:variant>
      <vt:variant>
        <vt:lpwstr>_Toc301336452</vt:lpwstr>
      </vt:variant>
      <vt:variant>
        <vt:i4>1507381</vt:i4>
      </vt:variant>
      <vt:variant>
        <vt:i4>515</vt:i4>
      </vt:variant>
      <vt:variant>
        <vt:i4>0</vt:i4>
      </vt:variant>
      <vt:variant>
        <vt:i4>5</vt:i4>
      </vt:variant>
      <vt:variant>
        <vt:lpwstr/>
      </vt:variant>
      <vt:variant>
        <vt:lpwstr>_Toc301336451</vt:lpwstr>
      </vt:variant>
      <vt:variant>
        <vt:i4>1507381</vt:i4>
      </vt:variant>
      <vt:variant>
        <vt:i4>509</vt:i4>
      </vt:variant>
      <vt:variant>
        <vt:i4>0</vt:i4>
      </vt:variant>
      <vt:variant>
        <vt:i4>5</vt:i4>
      </vt:variant>
      <vt:variant>
        <vt:lpwstr/>
      </vt:variant>
      <vt:variant>
        <vt:lpwstr>_Toc301336450</vt:lpwstr>
      </vt:variant>
      <vt:variant>
        <vt:i4>1441845</vt:i4>
      </vt:variant>
      <vt:variant>
        <vt:i4>503</vt:i4>
      </vt:variant>
      <vt:variant>
        <vt:i4>0</vt:i4>
      </vt:variant>
      <vt:variant>
        <vt:i4>5</vt:i4>
      </vt:variant>
      <vt:variant>
        <vt:lpwstr/>
      </vt:variant>
      <vt:variant>
        <vt:lpwstr>_Toc301336449</vt:lpwstr>
      </vt:variant>
      <vt:variant>
        <vt:i4>1900607</vt:i4>
      </vt:variant>
      <vt:variant>
        <vt:i4>494</vt:i4>
      </vt:variant>
      <vt:variant>
        <vt:i4>0</vt:i4>
      </vt:variant>
      <vt:variant>
        <vt:i4>5</vt:i4>
      </vt:variant>
      <vt:variant>
        <vt:lpwstr/>
      </vt:variant>
      <vt:variant>
        <vt:lpwstr>_Toc304880028</vt:lpwstr>
      </vt:variant>
      <vt:variant>
        <vt:i4>1900607</vt:i4>
      </vt:variant>
      <vt:variant>
        <vt:i4>488</vt:i4>
      </vt:variant>
      <vt:variant>
        <vt:i4>0</vt:i4>
      </vt:variant>
      <vt:variant>
        <vt:i4>5</vt:i4>
      </vt:variant>
      <vt:variant>
        <vt:lpwstr/>
      </vt:variant>
      <vt:variant>
        <vt:lpwstr>_Toc304880027</vt:lpwstr>
      </vt:variant>
      <vt:variant>
        <vt:i4>1900607</vt:i4>
      </vt:variant>
      <vt:variant>
        <vt:i4>482</vt:i4>
      </vt:variant>
      <vt:variant>
        <vt:i4>0</vt:i4>
      </vt:variant>
      <vt:variant>
        <vt:i4>5</vt:i4>
      </vt:variant>
      <vt:variant>
        <vt:lpwstr/>
      </vt:variant>
      <vt:variant>
        <vt:lpwstr>_Toc304880026</vt:lpwstr>
      </vt:variant>
      <vt:variant>
        <vt:i4>1900607</vt:i4>
      </vt:variant>
      <vt:variant>
        <vt:i4>476</vt:i4>
      </vt:variant>
      <vt:variant>
        <vt:i4>0</vt:i4>
      </vt:variant>
      <vt:variant>
        <vt:i4>5</vt:i4>
      </vt:variant>
      <vt:variant>
        <vt:lpwstr/>
      </vt:variant>
      <vt:variant>
        <vt:lpwstr>_Toc304880025</vt:lpwstr>
      </vt:variant>
      <vt:variant>
        <vt:i4>1900607</vt:i4>
      </vt:variant>
      <vt:variant>
        <vt:i4>470</vt:i4>
      </vt:variant>
      <vt:variant>
        <vt:i4>0</vt:i4>
      </vt:variant>
      <vt:variant>
        <vt:i4>5</vt:i4>
      </vt:variant>
      <vt:variant>
        <vt:lpwstr/>
      </vt:variant>
      <vt:variant>
        <vt:lpwstr>_Toc304880024</vt:lpwstr>
      </vt:variant>
      <vt:variant>
        <vt:i4>1900607</vt:i4>
      </vt:variant>
      <vt:variant>
        <vt:i4>464</vt:i4>
      </vt:variant>
      <vt:variant>
        <vt:i4>0</vt:i4>
      </vt:variant>
      <vt:variant>
        <vt:i4>5</vt:i4>
      </vt:variant>
      <vt:variant>
        <vt:lpwstr/>
      </vt:variant>
      <vt:variant>
        <vt:lpwstr>_Toc304880023</vt:lpwstr>
      </vt:variant>
      <vt:variant>
        <vt:i4>1900607</vt:i4>
      </vt:variant>
      <vt:variant>
        <vt:i4>458</vt:i4>
      </vt:variant>
      <vt:variant>
        <vt:i4>0</vt:i4>
      </vt:variant>
      <vt:variant>
        <vt:i4>5</vt:i4>
      </vt:variant>
      <vt:variant>
        <vt:lpwstr/>
      </vt:variant>
      <vt:variant>
        <vt:lpwstr>_Toc304880022</vt:lpwstr>
      </vt:variant>
      <vt:variant>
        <vt:i4>1900607</vt:i4>
      </vt:variant>
      <vt:variant>
        <vt:i4>452</vt:i4>
      </vt:variant>
      <vt:variant>
        <vt:i4>0</vt:i4>
      </vt:variant>
      <vt:variant>
        <vt:i4>5</vt:i4>
      </vt:variant>
      <vt:variant>
        <vt:lpwstr/>
      </vt:variant>
      <vt:variant>
        <vt:lpwstr>_Toc304880021</vt:lpwstr>
      </vt:variant>
      <vt:variant>
        <vt:i4>1900607</vt:i4>
      </vt:variant>
      <vt:variant>
        <vt:i4>446</vt:i4>
      </vt:variant>
      <vt:variant>
        <vt:i4>0</vt:i4>
      </vt:variant>
      <vt:variant>
        <vt:i4>5</vt:i4>
      </vt:variant>
      <vt:variant>
        <vt:lpwstr/>
      </vt:variant>
      <vt:variant>
        <vt:lpwstr>_Toc304880020</vt:lpwstr>
      </vt:variant>
      <vt:variant>
        <vt:i4>1966143</vt:i4>
      </vt:variant>
      <vt:variant>
        <vt:i4>440</vt:i4>
      </vt:variant>
      <vt:variant>
        <vt:i4>0</vt:i4>
      </vt:variant>
      <vt:variant>
        <vt:i4>5</vt:i4>
      </vt:variant>
      <vt:variant>
        <vt:lpwstr/>
      </vt:variant>
      <vt:variant>
        <vt:lpwstr>_Toc304880019</vt:lpwstr>
      </vt:variant>
      <vt:variant>
        <vt:i4>1966143</vt:i4>
      </vt:variant>
      <vt:variant>
        <vt:i4>434</vt:i4>
      </vt:variant>
      <vt:variant>
        <vt:i4>0</vt:i4>
      </vt:variant>
      <vt:variant>
        <vt:i4>5</vt:i4>
      </vt:variant>
      <vt:variant>
        <vt:lpwstr/>
      </vt:variant>
      <vt:variant>
        <vt:lpwstr>_Toc304880018</vt:lpwstr>
      </vt:variant>
      <vt:variant>
        <vt:i4>1966143</vt:i4>
      </vt:variant>
      <vt:variant>
        <vt:i4>428</vt:i4>
      </vt:variant>
      <vt:variant>
        <vt:i4>0</vt:i4>
      </vt:variant>
      <vt:variant>
        <vt:i4>5</vt:i4>
      </vt:variant>
      <vt:variant>
        <vt:lpwstr/>
      </vt:variant>
      <vt:variant>
        <vt:lpwstr>_Toc304880017</vt:lpwstr>
      </vt:variant>
      <vt:variant>
        <vt:i4>1966143</vt:i4>
      </vt:variant>
      <vt:variant>
        <vt:i4>422</vt:i4>
      </vt:variant>
      <vt:variant>
        <vt:i4>0</vt:i4>
      </vt:variant>
      <vt:variant>
        <vt:i4>5</vt:i4>
      </vt:variant>
      <vt:variant>
        <vt:lpwstr/>
      </vt:variant>
      <vt:variant>
        <vt:lpwstr>_Toc304880016</vt:lpwstr>
      </vt:variant>
      <vt:variant>
        <vt:i4>1966143</vt:i4>
      </vt:variant>
      <vt:variant>
        <vt:i4>416</vt:i4>
      </vt:variant>
      <vt:variant>
        <vt:i4>0</vt:i4>
      </vt:variant>
      <vt:variant>
        <vt:i4>5</vt:i4>
      </vt:variant>
      <vt:variant>
        <vt:lpwstr/>
      </vt:variant>
      <vt:variant>
        <vt:lpwstr>_Toc304880015</vt:lpwstr>
      </vt:variant>
      <vt:variant>
        <vt:i4>1966143</vt:i4>
      </vt:variant>
      <vt:variant>
        <vt:i4>410</vt:i4>
      </vt:variant>
      <vt:variant>
        <vt:i4>0</vt:i4>
      </vt:variant>
      <vt:variant>
        <vt:i4>5</vt:i4>
      </vt:variant>
      <vt:variant>
        <vt:lpwstr/>
      </vt:variant>
      <vt:variant>
        <vt:lpwstr>_Toc304880014</vt:lpwstr>
      </vt:variant>
      <vt:variant>
        <vt:i4>1966143</vt:i4>
      </vt:variant>
      <vt:variant>
        <vt:i4>404</vt:i4>
      </vt:variant>
      <vt:variant>
        <vt:i4>0</vt:i4>
      </vt:variant>
      <vt:variant>
        <vt:i4>5</vt:i4>
      </vt:variant>
      <vt:variant>
        <vt:lpwstr/>
      </vt:variant>
      <vt:variant>
        <vt:lpwstr>_Toc304880013</vt:lpwstr>
      </vt:variant>
      <vt:variant>
        <vt:i4>1966143</vt:i4>
      </vt:variant>
      <vt:variant>
        <vt:i4>398</vt:i4>
      </vt:variant>
      <vt:variant>
        <vt:i4>0</vt:i4>
      </vt:variant>
      <vt:variant>
        <vt:i4>5</vt:i4>
      </vt:variant>
      <vt:variant>
        <vt:lpwstr/>
      </vt:variant>
      <vt:variant>
        <vt:lpwstr>_Toc304880012</vt:lpwstr>
      </vt:variant>
      <vt:variant>
        <vt:i4>1966143</vt:i4>
      </vt:variant>
      <vt:variant>
        <vt:i4>392</vt:i4>
      </vt:variant>
      <vt:variant>
        <vt:i4>0</vt:i4>
      </vt:variant>
      <vt:variant>
        <vt:i4>5</vt:i4>
      </vt:variant>
      <vt:variant>
        <vt:lpwstr/>
      </vt:variant>
      <vt:variant>
        <vt:lpwstr>_Toc304880011</vt:lpwstr>
      </vt:variant>
      <vt:variant>
        <vt:i4>1966143</vt:i4>
      </vt:variant>
      <vt:variant>
        <vt:i4>386</vt:i4>
      </vt:variant>
      <vt:variant>
        <vt:i4>0</vt:i4>
      </vt:variant>
      <vt:variant>
        <vt:i4>5</vt:i4>
      </vt:variant>
      <vt:variant>
        <vt:lpwstr/>
      </vt:variant>
      <vt:variant>
        <vt:lpwstr>_Toc304880010</vt:lpwstr>
      </vt:variant>
      <vt:variant>
        <vt:i4>2031679</vt:i4>
      </vt:variant>
      <vt:variant>
        <vt:i4>380</vt:i4>
      </vt:variant>
      <vt:variant>
        <vt:i4>0</vt:i4>
      </vt:variant>
      <vt:variant>
        <vt:i4>5</vt:i4>
      </vt:variant>
      <vt:variant>
        <vt:lpwstr/>
      </vt:variant>
      <vt:variant>
        <vt:lpwstr>_Toc304880009</vt:lpwstr>
      </vt:variant>
      <vt:variant>
        <vt:i4>2031679</vt:i4>
      </vt:variant>
      <vt:variant>
        <vt:i4>374</vt:i4>
      </vt:variant>
      <vt:variant>
        <vt:i4>0</vt:i4>
      </vt:variant>
      <vt:variant>
        <vt:i4>5</vt:i4>
      </vt:variant>
      <vt:variant>
        <vt:lpwstr/>
      </vt:variant>
      <vt:variant>
        <vt:lpwstr>_Toc304880008</vt:lpwstr>
      </vt:variant>
      <vt:variant>
        <vt:i4>2031679</vt:i4>
      </vt:variant>
      <vt:variant>
        <vt:i4>368</vt:i4>
      </vt:variant>
      <vt:variant>
        <vt:i4>0</vt:i4>
      </vt:variant>
      <vt:variant>
        <vt:i4>5</vt:i4>
      </vt:variant>
      <vt:variant>
        <vt:lpwstr/>
      </vt:variant>
      <vt:variant>
        <vt:lpwstr>_Toc304880007</vt:lpwstr>
      </vt:variant>
      <vt:variant>
        <vt:i4>2031679</vt:i4>
      </vt:variant>
      <vt:variant>
        <vt:i4>362</vt:i4>
      </vt:variant>
      <vt:variant>
        <vt:i4>0</vt:i4>
      </vt:variant>
      <vt:variant>
        <vt:i4>5</vt:i4>
      </vt:variant>
      <vt:variant>
        <vt:lpwstr/>
      </vt:variant>
      <vt:variant>
        <vt:lpwstr>_Toc304880006</vt:lpwstr>
      </vt:variant>
      <vt:variant>
        <vt:i4>2031679</vt:i4>
      </vt:variant>
      <vt:variant>
        <vt:i4>356</vt:i4>
      </vt:variant>
      <vt:variant>
        <vt:i4>0</vt:i4>
      </vt:variant>
      <vt:variant>
        <vt:i4>5</vt:i4>
      </vt:variant>
      <vt:variant>
        <vt:lpwstr/>
      </vt:variant>
      <vt:variant>
        <vt:lpwstr>_Toc304880005</vt:lpwstr>
      </vt:variant>
      <vt:variant>
        <vt:i4>2031679</vt:i4>
      </vt:variant>
      <vt:variant>
        <vt:i4>350</vt:i4>
      </vt:variant>
      <vt:variant>
        <vt:i4>0</vt:i4>
      </vt:variant>
      <vt:variant>
        <vt:i4>5</vt:i4>
      </vt:variant>
      <vt:variant>
        <vt:lpwstr/>
      </vt:variant>
      <vt:variant>
        <vt:lpwstr>_Toc304880004</vt:lpwstr>
      </vt:variant>
      <vt:variant>
        <vt:i4>2031679</vt:i4>
      </vt:variant>
      <vt:variant>
        <vt:i4>344</vt:i4>
      </vt:variant>
      <vt:variant>
        <vt:i4>0</vt:i4>
      </vt:variant>
      <vt:variant>
        <vt:i4>5</vt:i4>
      </vt:variant>
      <vt:variant>
        <vt:lpwstr/>
      </vt:variant>
      <vt:variant>
        <vt:lpwstr>_Toc304880003</vt:lpwstr>
      </vt:variant>
      <vt:variant>
        <vt:i4>2031679</vt:i4>
      </vt:variant>
      <vt:variant>
        <vt:i4>338</vt:i4>
      </vt:variant>
      <vt:variant>
        <vt:i4>0</vt:i4>
      </vt:variant>
      <vt:variant>
        <vt:i4>5</vt:i4>
      </vt:variant>
      <vt:variant>
        <vt:lpwstr/>
      </vt:variant>
      <vt:variant>
        <vt:lpwstr>_Toc304880002</vt:lpwstr>
      </vt:variant>
      <vt:variant>
        <vt:i4>2031679</vt:i4>
      </vt:variant>
      <vt:variant>
        <vt:i4>332</vt:i4>
      </vt:variant>
      <vt:variant>
        <vt:i4>0</vt:i4>
      </vt:variant>
      <vt:variant>
        <vt:i4>5</vt:i4>
      </vt:variant>
      <vt:variant>
        <vt:lpwstr/>
      </vt:variant>
      <vt:variant>
        <vt:lpwstr>_Toc304880001</vt:lpwstr>
      </vt:variant>
      <vt:variant>
        <vt:i4>2031679</vt:i4>
      </vt:variant>
      <vt:variant>
        <vt:i4>326</vt:i4>
      </vt:variant>
      <vt:variant>
        <vt:i4>0</vt:i4>
      </vt:variant>
      <vt:variant>
        <vt:i4>5</vt:i4>
      </vt:variant>
      <vt:variant>
        <vt:lpwstr/>
      </vt:variant>
      <vt:variant>
        <vt:lpwstr>_Toc304880000</vt:lpwstr>
      </vt:variant>
      <vt:variant>
        <vt:i4>2031673</vt:i4>
      </vt:variant>
      <vt:variant>
        <vt:i4>320</vt:i4>
      </vt:variant>
      <vt:variant>
        <vt:i4>0</vt:i4>
      </vt:variant>
      <vt:variant>
        <vt:i4>5</vt:i4>
      </vt:variant>
      <vt:variant>
        <vt:lpwstr/>
      </vt:variant>
      <vt:variant>
        <vt:lpwstr>_Toc304879999</vt:lpwstr>
      </vt:variant>
      <vt:variant>
        <vt:i4>2031673</vt:i4>
      </vt:variant>
      <vt:variant>
        <vt:i4>314</vt:i4>
      </vt:variant>
      <vt:variant>
        <vt:i4>0</vt:i4>
      </vt:variant>
      <vt:variant>
        <vt:i4>5</vt:i4>
      </vt:variant>
      <vt:variant>
        <vt:lpwstr/>
      </vt:variant>
      <vt:variant>
        <vt:lpwstr>_Toc304879998</vt:lpwstr>
      </vt:variant>
      <vt:variant>
        <vt:i4>2031673</vt:i4>
      </vt:variant>
      <vt:variant>
        <vt:i4>308</vt:i4>
      </vt:variant>
      <vt:variant>
        <vt:i4>0</vt:i4>
      </vt:variant>
      <vt:variant>
        <vt:i4>5</vt:i4>
      </vt:variant>
      <vt:variant>
        <vt:lpwstr/>
      </vt:variant>
      <vt:variant>
        <vt:lpwstr>_Toc304879997</vt:lpwstr>
      </vt:variant>
      <vt:variant>
        <vt:i4>2031673</vt:i4>
      </vt:variant>
      <vt:variant>
        <vt:i4>302</vt:i4>
      </vt:variant>
      <vt:variant>
        <vt:i4>0</vt:i4>
      </vt:variant>
      <vt:variant>
        <vt:i4>5</vt:i4>
      </vt:variant>
      <vt:variant>
        <vt:lpwstr/>
      </vt:variant>
      <vt:variant>
        <vt:lpwstr>_Toc304879996</vt:lpwstr>
      </vt:variant>
      <vt:variant>
        <vt:i4>2031673</vt:i4>
      </vt:variant>
      <vt:variant>
        <vt:i4>296</vt:i4>
      </vt:variant>
      <vt:variant>
        <vt:i4>0</vt:i4>
      </vt:variant>
      <vt:variant>
        <vt:i4>5</vt:i4>
      </vt:variant>
      <vt:variant>
        <vt:lpwstr/>
      </vt:variant>
      <vt:variant>
        <vt:lpwstr>_Toc304879995</vt:lpwstr>
      </vt:variant>
      <vt:variant>
        <vt:i4>2031673</vt:i4>
      </vt:variant>
      <vt:variant>
        <vt:i4>290</vt:i4>
      </vt:variant>
      <vt:variant>
        <vt:i4>0</vt:i4>
      </vt:variant>
      <vt:variant>
        <vt:i4>5</vt:i4>
      </vt:variant>
      <vt:variant>
        <vt:lpwstr/>
      </vt:variant>
      <vt:variant>
        <vt:lpwstr>_Toc304879994</vt:lpwstr>
      </vt:variant>
      <vt:variant>
        <vt:i4>2031673</vt:i4>
      </vt:variant>
      <vt:variant>
        <vt:i4>284</vt:i4>
      </vt:variant>
      <vt:variant>
        <vt:i4>0</vt:i4>
      </vt:variant>
      <vt:variant>
        <vt:i4>5</vt:i4>
      </vt:variant>
      <vt:variant>
        <vt:lpwstr/>
      </vt:variant>
      <vt:variant>
        <vt:lpwstr>_Toc304879993</vt:lpwstr>
      </vt:variant>
      <vt:variant>
        <vt:i4>2031673</vt:i4>
      </vt:variant>
      <vt:variant>
        <vt:i4>278</vt:i4>
      </vt:variant>
      <vt:variant>
        <vt:i4>0</vt:i4>
      </vt:variant>
      <vt:variant>
        <vt:i4>5</vt:i4>
      </vt:variant>
      <vt:variant>
        <vt:lpwstr/>
      </vt:variant>
      <vt:variant>
        <vt:lpwstr>_Toc304879992</vt:lpwstr>
      </vt:variant>
      <vt:variant>
        <vt:i4>2031673</vt:i4>
      </vt:variant>
      <vt:variant>
        <vt:i4>272</vt:i4>
      </vt:variant>
      <vt:variant>
        <vt:i4>0</vt:i4>
      </vt:variant>
      <vt:variant>
        <vt:i4>5</vt:i4>
      </vt:variant>
      <vt:variant>
        <vt:lpwstr/>
      </vt:variant>
      <vt:variant>
        <vt:lpwstr>_Toc304879991</vt:lpwstr>
      </vt:variant>
      <vt:variant>
        <vt:i4>2031673</vt:i4>
      </vt:variant>
      <vt:variant>
        <vt:i4>266</vt:i4>
      </vt:variant>
      <vt:variant>
        <vt:i4>0</vt:i4>
      </vt:variant>
      <vt:variant>
        <vt:i4>5</vt:i4>
      </vt:variant>
      <vt:variant>
        <vt:lpwstr/>
      </vt:variant>
      <vt:variant>
        <vt:lpwstr>_Toc304879990</vt:lpwstr>
      </vt:variant>
      <vt:variant>
        <vt:i4>1966137</vt:i4>
      </vt:variant>
      <vt:variant>
        <vt:i4>260</vt:i4>
      </vt:variant>
      <vt:variant>
        <vt:i4>0</vt:i4>
      </vt:variant>
      <vt:variant>
        <vt:i4>5</vt:i4>
      </vt:variant>
      <vt:variant>
        <vt:lpwstr/>
      </vt:variant>
      <vt:variant>
        <vt:lpwstr>_Toc304879989</vt:lpwstr>
      </vt:variant>
      <vt:variant>
        <vt:i4>1966137</vt:i4>
      </vt:variant>
      <vt:variant>
        <vt:i4>254</vt:i4>
      </vt:variant>
      <vt:variant>
        <vt:i4>0</vt:i4>
      </vt:variant>
      <vt:variant>
        <vt:i4>5</vt:i4>
      </vt:variant>
      <vt:variant>
        <vt:lpwstr/>
      </vt:variant>
      <vt:variant>
        <vt:lpwstr>_Toc304879988</vt:lpwstr>
      </vt:variant>
      <vt:variant>
        <vt:i4>1966137</vt:i4>
      </vt:variant>
      <vt:variant>
        <vt:i4>248</vt:i4>
      </vt:variant>
      <vt:variant>
        <vt:i4>0</vt:i4>
      </vt:variant>
      <vt:variant>
        <vt:i4>5</vt:i4>
      </vt:variant>
      <vt:variant>
        <vt:lpwstr/>
      </vt:variant>
      <vt:variant>
        <vt:lpwstr>_Toc304879987</vt:lpwstr>
      </vt:variant>
      <vt:variant>
        <vt:i4>1966137</vt:i4>
      </vt:variant>
      <vt:variant>
        <vt:i4>242</vt:i4>
      </vt:variant>
      <vt:variant>
        <vt:i4>0</vt:i4>
      </vt:variant>
      <vt:variant>
        <vt:i4>5</vt:i4>
      </vt:variant>
      <vt:variant>
        <vt:lpwstr/>
      </vt:variant>
      <vt:variant>
        <vt:lpwstr>_Toc304879986</vt:lpwstr>
      </vt:variant>
      <vt:variant>
        <vt:i4>1966137</vt:i4>
      </vt:variant>
      <vt:variant>
        <vt:i4>236</vt:i4>
      </vt:variant>
      <vt:variant>
        <vt:i4>0</vt:i4>
      </vt:variant>
      <vt:variant>
        <vt:i4>5</vt:i4>
      </vt:variant>
      <vt:variant>
        <vt:lpwstr/>
      </vt:variant>
      <vt:variant>
        <vt:lpwstr>_Toc304879985</vt:lpwstr>
      </vt:variant>
      <vt:variant>
        <vt:i4>1966137</vt:i4>
      </vt:variant>
      <vt:variant>
        <vt:i4>230</vt:i4>
      </vt:variant>
      <vt:variant>
        <vt:i4>0</vt:i4>
      </vt:variant>
      <vt:variant>
        <vt:i4>5</vt:i4>
      </vt:variant>
      <vt:variant>
        <vt:lpwstr/>
      </vt:variant>
      <vt:variant>
        <vt:lpwstr>_Toc304879984</vt:lpwstr>
      </vt:variant>
      <vt:variant>
        <vt:i4>1966137</vt:i4>
      </vt:variant>
      <vt:variant>
        <vt:i4>224</vt:i4>
      </vt:variant>
      <vt:variant>
        <vt:i4>0</vt:i4>
      </vt:variant>
      <vt:variant>
        <vt:i4>5</vt:i4>
      </vt:variant>
      <vt:variant>
        <vt:lpwstr/>
      </vt:variant>
      <vt:variant>
        <vt:lpwstr>_Toc304879983</vt:lpwstr>
      </vt:variant>
      <vt:variant>
        <vt:i4>1966137</vt:i4>
      </vt:variant>
      <vt:variant>
        <vt:i4>218</vt:i4>
      </vt:variant>
      <vt:variant>
        <vt:i4>0</vt:i4>
      </vt:variant>
      <vt:variant>
        <vt:i4>5</vt:i4>
      </vt:variant>
      <vt:variant>
        <vt:lpwstr/>
      </vt:variant>
      <vt:variant>
        <vt:lpwstr>_Toc304879982</vt:lpwstr>
      </vt:variant>
      <vt:variant>
        <vt:i4>1966137</vt:i4>
      </vt:variant>
      <vt:variant>
        <vt:i4>212</vt:i4>
      </vt:variant>
      <vt:variant>
        <vt:i4>0</vt:i4>
      </vt:variant>
      <vt:variant>
        <vt:i4>5</vt:i4>
      </vt:variant>
      <vt:variant>
        <vt:lpwstr/>
      </vt:variant>
      <vt:variant>
        <vt:lpwstr>_Toc304879981</vt:lpwstr>
      </vt:variant>
      <vt:variant>
        <vt:i4>1966137</vt:i4>
      </vt:variant>
      <vt:variant>
        <vt:i4>206</vt:i4>
      </vt:variant>
      <vt:variant>
        <vt:i4>0</vt:i4>
      </vt:variant>
      <vt:variant>
        <vt:i4>5</vt:i4>
      </vt:variant>
      <vt:variant>
        <vt:lpwstr/>
      </vt:variant>
      <vt:variant>
        <vt:lpwstr>_Toc304879980</vt:lpwstr>
      </vt:variant>
      <vt:variant>
        <vt:i4>1114169</vt:i4>
      </vt:variant>
      <vt:variant>
        <vt:i4>200</vt:i4>
      </vt:variant>
      <vt:variant>
        <vt:i4>0</vt:i4>
      </vt:variant>
      <vt:variant>
        <vt:i4>5</vt:i4>
      </vt:variant>
      <vt:variant>
        <vt:lpwstr/>
      </vt:variant>
      <vt:variant>
        <vt:lpwstr>_Toc304879979</vt:lpwstr>
      </vt:variant>
      <vt:variant>
        <vt:i4>1114169</vt:i4>
      </vt:variant>
      <vt:variant>
        <vt:i4>194</vt:i4>
      </vt:variant>
      <vt:variant>
        <vt:i4>0</vt:i4>
      </vt:variant>
      <vt:variant>
        <vt:i4>5</vt:i4>
      </vt:variant>
      <vt:variant>
        <vt:lpwstr/>
      </vt:variant>
      <vt:variant>
        <vt:lpwstr>_Toc304879978</vt:lpwstr>
      </vt:variant>
      <vt:variant>
        <vt:i4>1114169</vt:i4>
      </vt:variant>
      <vt:variant>
        <vt:i4>188</vt:i4>
      </vt:variant>
      <vt:variant>
        <vt:i4>0</vt:i4>
      </vt:variant>
      <vt:variant>
        <vt:i4>5</vt:i4>
      </vt:variant>
      <vt:variant>
        <vt:lpwstr/>
      </vt:variant>
      <vt:variant>
        <vt:lpwstr>_Toc304879977</vt:lpwstr>
      </vt:variant>
      <vt:variant>
        <vt:i4>1114169</vt:i4>
      </vt:variant>
      <vt:variant>
        <vt:i4>182</vt:i4>
      </vt:variant>
      <vt:variant>
        <vt:i4>0</vt:i4>
      </vt:variant>
      <vt:variant>
        <vt:i4>5</vt:i4>
      </vt:variant>
      <vt:variant>
        <vt:lpwstr/>
      </vt:variant>
      <vt:variant>
        <vt:lpwstr>_Toc304879976</vt:lpwstr>
      </vt:variant>
      <vt:variant>
        <vt:i4>1114169</vt:i4>
      </vt:variant>
      <vt:variant>
        <vt:i4>176</vt:i4>
      </vt:variant>
      <vt:variant>
        <vt:i4>0</vt:i4>
      </vt:variant>
      <vt:variant>
        <vt:i4>5</vt:i4>
      </vt:variant>
      <vt:variant>
        <vt:lpwstr/>
      </vt:variant>
      <vt:variant>
        <vt:lpwstr>_Toc304879975</vt:lpwstr>
      </vt:variant>
      <vt:variant>
        <vt:i4>1114169</vt:i4>
      </vt:variant>
      <vt:variant>
        <vt:i4>170</vt:i4>
      </vt:variant>
      <vt:variant>
        <vt:i4>0</vt:i4>
      </vt:variant>
      <vt:variant>
        <vt:i4>5</vt:i4>
      </vt:variant>
      <vt:variant>
        <vt:lpwstr/>
      </vt:variant>
      <vt:variant>
        <vt:lpwstr>_Toc304879974</vt:lpwstr>
      </vt:variant>
      <vt:variant>
        <vt:i4>1114169</vt:i4>
      </vt:variant>
      <vt:variant>
        <vt:i4>164</vt:i4>
      </vt:variant>
      <vt:variant>
        <vt:i4>0</vt:i4>
      </vt:variant>
      <vt:variant>
        <vt:i4>5</vt:i4>
      </vt:variant>
      <vt:variant>
        <vt:lpwstr/>
      </vt:variant>
      <vt:variant>
        <vt:lpwstr>_Toc304879973</vt:lpwstr>
      </vt:variant>
      <vt:variant>
        <vt:i4>1114169</vt:i4>
      </vt:variant>
      <vt:variant>
        <vt:i4>158</vt:i4>
      </vt:variant>
      <vt:variant>
        <vt:i4>0</vt:i4>
      </vt:variant>
      <vt:variant>
        <vt:i4>5</vt:i4>
      </vt:variant>
      <vt:variant>
        <vt:lpwstr/>
      </vt:variant>
      <vt:variant>
        <vt:lpwstr>_Toc304879972</vt:lpwstr>
      </vt:variant>
      <vt:variant>
        <vt:i4>1114169</vt:i4>
      </vt:variant>
      <vt:variant>
        <vt:i4>152</vt:i4>
      </vt:variant>
      <vt:variant>
        <vt:i4>0</vt:i4>
      </vt:variant>
      <vt:variant>
        <vt:i4>5</vt:i4>
      </vt:variant>
      <vt:variant>
        <vt:lpwstr/>
      </vt:variant>
      <vt:variant>
        <vt:lpwstr>_Toc304879971</vt:lpwstr>
      </vt:variant>
      <vt:variant>
        <vt:i4>1114169</vt:i4>
      </vt:variant>
      <vt:variant>
        <vt:i4>146</vt:i4>
      </vt:variant>
      <vt:variant>
        <vt:i4>0</vt:i4>
      </vt:variant>
      <vt:variant>
        <vt:i4>5</vt:i4>
      </vt:variant>
      <vt:variant>
        <vt:lpwstr/>
      </vt:variant>
      <vt:variant>
        <vt:lpwstr>_Toc304879970</vt:lpwstr>
      </vt:variant>
      <vt:variant>
        <vt:i4>1048633</vt:i4>
      </vt:variant>
      <vt:variant>
        <vt:i4>140</vt:i4>
      </vt:variant>
      <vt:variant>
        <vt:i4>0</vt:i4>
      </vt:variant>
      <vt:variant>
        <vt:i4>5</vt:i4>
      </vt:variant>
      <vt:variant>
        <vt:lpwstr/>
      </vt:variant>
      <vt:variant>
        <vt:lpwstr>_Toc304879969</vt:lpwstr>
      </vt:variant>
      <vt:variant>
        <vt:i4>1048633</vt:i4>
      </vt:variant>
      <vt:variant>
        <vt:i4>134</vt:i4>
      </vt:variant>
      <vt:variant>
        <vt:i4>0</vt:i4>
      </vt:variant>
      <vt:variant>
        <vt:i4>5</vt:i4>
      </vt:variant>
      <vt:variant>
        <vt:lpwstr/>
      </vt:variant>
      <vt:variant>
        <vt:lpwstr>_Toc304879968</vt:lpwstr>
      </vt:variant>
      <vt:variant>
        <vt:i4>1048633</vt:i4>
      </vt:variant>
      <vt:variant>
        <vt:i4>128</vt:i4>
      </vt:variant>
      <vt:variant>
        <vt:i4>0</vt:i4>
      </vt:variant>
      <vt:variant>
        <vt:i4>5</vt:i4>
      </vt:variant>
      <vt:variant>
        <vt:lpwstr/>
      </vt:variant>
      <vt:variant>
        <vt:lpwstr>_Toc304879967</vt:lpwstr>
      </vt:variant>
      <vt:variant>
        <vt:i4>1048633</vt:i4>
      </vt:variant>
      <vt:variant>
        <vt:i4>122</vt:i4>
      </vt:variant>
      <vt:variant>
        <vt:i4>0</vt:i4>
      </vt:variant>
      <vt:variant>
        <vt:i4>5</vt:i4>
      </vt:variant>
      <vt:variant>
        <vt:lpwstr/>
      </vt:variant>
      <vt:variant>
        <vt:lpwstr>_Toc304879966</vt:lpwstr>
      </vt:variant>
      <vt:variant>
        <vt:i4>1048633</vt:i4>
      </vt:variant>
      <vt:variant>
        <vt:i4>116</vt:i4>
      </vt:variant>
      <vt:variant>
        <vt:i4>0</vt:i4>
      </vt:variant>
      <vt:variant>
        <vt:i4>5</vt:i4>
      </vt:variant>
      <vt:variant>
        <vt:lpwstr/>
      </vt:variant>
      <vt:variant>
        <vt:lpwstr>_Toc304879965</vt:lpwstr>
      </vt:variant>
      <vt:variant>
        <vt:i4>1048633</vt:i4>
      </vt:variant>
      <vt:variant>
        <vt:i4>110</vt:i4>
      </vt:variant>
      <vt:variant>
        <vt:i4>0</vt:i4>
      </vt:variant>
      <vt:variant>
        <vt:i4>5</vt:i4>
      </vt:variant>
      <vt:variant>
        <vt:lpwstr/>
      </vt:variant>
      <vt:variant>
        <vt:lpwstr>_Toc304879964</vt:lpwstr>
      </vt:variant>
      <vt:variant>
        <vt:i4>1048633</vt:i4>
      </vt:variant>
      <vt:variant>
        <vt:i4>104</vt:i4>
      </vt:variant>
      <vt:variant>
        <vt:i4>0</vt:i4>
      </vt:variant>
      <vt:variant>
        <vt:i4>5</vt:i4>
      </vt:variant>
      <vt:variant>
        <vt:lpwstr/>
      </vt:variant>
      <vt:variant>
        <vt:lpwstr>_Toc304879963</vt:lpwstr>
      </vt:variant>
      <vt:variant>
        <vt:i4>1048633</vt:i4>
      </vt:variant>
      <vt:variant>
        <vt:i4>98</vt:i4>
      </vt:variant>
      <vt:variant>
        <vt:i4>0</vt:i4>
      </vt:variant>
      <vt:variant>
        <vt:i4>5</vt:i4>
      </vt:variant>
      <vt:variant>
        <vt:lpwstr/>
      </vt:variant>
      <vt:variant>
        <vt:lpwstr>_Toc304879962</vt:lpwstr>
      </vt:variant>
      <vt:variant>
        <vt:i4>1048633</vt:i4>
      </vt:variant>
      <vt:variant>
        <vt:i4>92</vt:i4>
      </vt:variant>
      <vt:variant>
        <vt:i4>0</vt:i4>
      </vt:variant>
      <vt:variant>
        <vt:i4>5</vt:i4>
      </vt:variant>
      <vt:variant>
        <vt:lpwstr/>
      </vt:variant>
      <vt:variant>
        <vt:lpwstr>_Toc304879961</vt:lpwstr>
      </vt:variant>
      <vt:variant>
        <vt:i4>1048633</vt:i4>
      </vt:variant>
      <vt:variant>
        <vt:i4>86</vt:i4>
      </vt:variant>
      <vt:variant>
        <vt:i4>0</vt:i4>
      </vt:variant>
      <vt:variant>
        <vt:i4>5</vt:i4>
      </vt:variant>
      <vt:variant>
        <vt:lpwstr/>
      </vt:variant>
      <vt:variant>
        <vt:lpwstr>_Toc304879960</vt:lpwstr>
      </vt:variant>
      <vt:variant>
        <vt:i4>1245241</vt:i4>
      </vt:variant>
      <vt:variant>
        <vt:i4>80</vt:i4>
      </vt:variant>
      <vt:variant>
        <vt:i4>0</vt:i4>
      </vt:variant>
      <vt:variant>
        <vt:i4>5</vt:i4>
      </vt:variant>
      <vt:variant>
        <vt:lpwstr/>
      </vt:variant>
      <vt:variant>
        <vt:lpwstr>_Toc304879959</vt:lpwstr>
      </vt:variant>
      <vt:variant>
        <vt:i4>1245241</vt:i4>
      </vt:variant>
      <vt:variant>
        <vt:i4>74</vt:i4>
      </vt:variant>
      <vt:variant>
        <vt:i4>0</vt:i4>
      </vt:variant>
      <vt:variant>
        <vt:i4>5</vt:i4>
      </vt:variant>
      <vt:variant>
        <vt:lpwstr/>
      </vt:variant>
      <vt:variant>
        <vt:lpwstr>_Toc304879958</vt:lpwstr>
      </vt:variant>
      <vt:variant>
        <vt:i4>1245241</vt:i4>
      </vt:variant>
      <vt:variant>
        <vt:i4>68</vt:i4>
      </vt:variant>
      <vt:variant>
        <vt:i4>0</vt:i4>
      </vt:variant>
      <vt:variant>
        <vt:i4>5</vt:i4>
      </vt:variant>
      <vt:variant>
        <vt:lpwstr/>
      </vt:variant>
      <vt:variant>
        <vt:lpwstr>_Toc304879957</vt:lpwstr>
      </vt:variant>
      <vt:variant>
        <vt:i4>1245241</vt:i4>
      </vt:variant>
      <vt:variant>
        <vt:i4>62</vt:i4>
      </vt:variant>
      <vt:variant>
        <vt:i4>0</vt:i4>
      </vt:variant>
      <vt:variant>
        <vt:i4>5</vt:i4>
      </vt:variant>
      <vt:variant>
        <vt:lpwstr/>
      </vt:variant>
      <vt:variant>
        <vt:lpwstr>_Toc304879956</vt:lpwstr>
      </vt:variant>
      <vt:variant>
        <vt:i4>1245241</vt:i4>
      </vt:variant>
      <vt:variant>
        <vt:i4>56</vt:i4>
      </vt:variant>
      <vt:variant>
        <vt:i4>0</vt:i4>
      </vt:variant>
      <vt:variant>
        <vt:i4>5</vt:i4>
      </vt:variant>
      <vt:variant>
        <vt:lpwstr/>
      </vt:variant>
      <vt:variant>
        <vt:lpwstr>_Toc304879954</vt:lpwstr>
      </vt:variant>
      <vt:variant>
        <vt:i4>1245241</vt:i4>
      </vt:variant>
      <vt:variant>
        <vt:i4>50</vt:i4>
      </vt:variant>
      <vt:variant>
        <vt:i4>0</vt:i4>
      </vt:variant>
      <vt:variant>
        <vt:i4>5</vt:i4>
      </vt:variant>
      <vt:variant>
        <vt:lpwstr/>
      </vt:variant>
      <vt:variant>
        <vt:lpwstr>_Toc304879953</vt:lpwstr>
      </vt:variant>
      <vt:variant>
        <vt:i4>1245241</vt:i4>
      </vt:variant>
      <vt:variant>
        <vt:i4>44</vt:i4>
      </vt:variant>
      <vt:variant>
        <vt:i4>0</vt:i4>
      </vt:variant>
      <vt:variant>
        <vt:i4>5</vt:i4>
      </vt:variant>
      <vt:variant>
        <vt:lpwstr/>
      </vt:variant>
      <vt:variant>
        <vt:lpwstr>_Toc304879952</vt:lpwstr>
      </vt:variant>
      <vt:variant>
        <vt:i4>1245241</vt:i4>
      </vt:variant>
      <vt:variant>
        <vt:i4>38</vt:i4>
      </vt:variant>
      <vt:variant>
        <vt:i4>0</vt:i4>
      </vt:variant>
      <vt:variant>
        <vt:i4>5</vt:i4>
      </vt:variant>
      <vt:variant>
        <vt:lpwstr/>
      </vt:variant>
      <vt:variant>
        <vt:lpwstr>_Toc304879951</vt:lpwstr>
      </vt:variant>
      <vt:variant>
        <vt:i4>1245241</vt:i4>
      </vt:variant>
      <vt:variant>
        <vt:i4>32</vt:i4>
      </vt:variant>
      <vt:variant>
        <vt:i4>0</vt:i4>
      </vt:variant>
      <vt:variant>
        <vt:i4>5</vt:i4>
      </vt:variant>
      <vt:variant>
        <vt:lpwstr/>
      </vt:variant>
      <vt:variant>
        <vt:lpwstr>_Toc304879950</vt:lpwstr>
      </vt:variant>
      <vt:variant>
        <vt:i4>1179705</vt:i4>
      </vt:variant>
      <vt:variant>
        <vt:i4>26</vt:i4>
      </vt:variant>
      <vt:variant>
        <vt:i4>0</vt:i4>
      </vt:variant>
      <vt:variant>
        <vt:i4>5</vt:i4>
      </vt:variant>
      <vt:variant>
        <vt:lpwstr/>
      </vt:variant>
      <vt:variant>
        <vt:lpwstr>_Toc304879949</vt:lpwstr>
      </vt:variant>
      <vt:variant>
        <vt:i4>1179705</vt:i4>
      </vt:variant>
      <vt:variant>
        <vt:i4>20</vt:i4>
      </vt:variant>
      <vt:variant>
        <vt:i4>0</vt:i4>
      </vt:variant>
      <vt:variant>
        <vt:i4>5</vt:i4>
      </vt:variant>
      <vt:variant>
        <vt:lpwstr/>
      </vt:variant>
      <vt:variant>
        <vt:lpwstr>_Toc304879948</vt:lpwstr>
      </vt:variant>
      <vt:variant>
        <vt:i4>1179705</vt:i4>
      </vt:variant>
      <vt:variant>
        <vt:i4>14</vt:i4>
      </vt:variant>
      <vt:variant>
        <vt:i4>0</vt:i4>
      </vt:variant>
      <vt:variant>
        <vt:i4>5</vt:i4>
      </vt:variant>
      <vt:variant>
        <vt:lpwstr/>
      </vt:variant>
      <vt:variant>
        <vt:lpwstr>_Toc304879947</vt:lpwstr>
      </vt:variant>
      <vt:variant>
        <vt:i4>1179705</vt:i4>
      </vt:variant>
      <vt:variant>
        <vt:i4>8</vt:i4>
      </vt:variant>
      <vt:variant>
        <vt:i4>0</vt:i4>
      </vt:variant>
      <vt:variant>
        <vt:i4>5</vt:i4>
      </vt:variant>
      <vt:variant>
        <vt:lpwstr/>
      </vt:variant>
      <vt:variant>
        <vt:lpwstr>_Toc304879946</vt:lpwstr>
      </vt:variant>
      <vt:variant>
        <vt:i4>1179705</vt:i4>
      </vt:variant>
      <vt:variant>
        <vt:i4>2</vt:i4>
      </vt:variant>
      <vt:variant>
        <vt:i4>0</vt:i4>
      </vt:variant>
      <vt:variant>
        <vt:i4>5</vt:i4>
      </vt:variant>
      <vt:variant>
        <vt:lpwstr/>
      </vt:variant>
      <vt:variant>
        <vt:lpwstr>_Toc304879945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South Atlantic CMP Framework</dc:title>
  <dc:creator>SAFMC/NMFS</dc:creator>
  <cp:lastModifiedBy>Myra Brouwer</cp:lastModifiedBy>
  <cp:revision>5</cp:revision>
  <cp:lastPrinted>2016-10-17T16:13:00Z</cp:lastPrinted>
  <dcterms:created xsi:type="dcterms:W3CDTF">2016-11-15T14:52:00Z</dcterms:created>
  <dcterms:modified xsi:type="dcterms:W3CDTF">2016-11-15T16:12:00Z</dcterms:modified>
</cp:coreProperties>
</file>